
<file path=[Content_Types].xml><?xml version="1.0" encoding="utf-8"?>
<Types xmlns="http://schemas.openxmlformats.org/package/2006/content-types">
  <Default ContentType="image/jpeg" Extension="jpeg"/>
  <Default ContentType="image/x-emf" Extension="emf"/>
  <Default ContentType="image/png" Extension="png"/>
  <Default ContentType="image/x-wmf" Extension="wmf"/>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0.xml"/>
  <Override ContentType="application/vnd.openxmlformats-officedocument.wordprocessingml.footer+xml" PartName="/word/footer12.xml"/>
  <Override ContentType="application/vnd.openxmlformats-officedocument.wordprocessingml.footer+xml" PartName="/word/footer13.xml"/>
  <Override ContentType="application/vnd.openxmlformats-officedocument.wordprocessingml.footer+xml" PartName="/word/footer15.xml"/>
  <Override ContentType="application/vnd.openxmlformats-officedocument.wordprocessingml.footer+xml" PartName="/word/footer16.xml"/>
  <Override ContentType="application/vnd.openxmlformats-officedocument.wordprocessingml.footer+xml" PartName="/word/footer18.xml"/>
  <Override ContentType="application/vnd.openxmlformats-officedocument.wordprocessingml.footer+xml" PartName="/word/footer19.xml"/>
  <Override ContentType="application/vnd.openxmlformats-officedocument.wordprocessingml.footer+xml" PartName="/word/footer2.xml"/>
  <Override ContentType="application/vnd.openxmlformats-officedocument.wordprocessingml.footer+xml" PartName="/word/footer20.xml"/>
  <Override ContentType="application/vnd.openxmlformats-officedocument.wordprocessingml.footer+xml" PartName="/word/footer21.xml"/>
  <Override ContentType="application/vnd.openxmlformats-officedocument.wordprocessingml.footer+xml" PartName="/word/footer2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6.xml"/>
  <Override ContentType="application/vnd.openxmlformats-officedocument.wordprocessingml.footer+xml" PartName="/word/footer8.xml"/>
  <Override ContentType="application/vnd.openxmlformats-officedocument.wordprocessingml.footer+xml" PartName="/word/footer9.xml"/>
  <Override ContentType="application/vnd.openxmlformats-officedocument.wordprocessingml.header+xml" PartName="/word/header1.xml"/>
  <Override ContentType="application/vnd.openxmlformats-officedocument.wordprocessingml.header+xml" PartName="/word/header11.xml"/>
  <Override ContentType="application/vnd.openxmlformats-officedocument.wordprocessingml.header+xml" PartName="/word/header14.xml"/>
  <Override ContentType="application/vnd.openxmlformats-officedocument.wordprocessingml.header+xml" PartName="/word/header17.xml"/>
  <Override ContentType="application/vnd.openxmlformats-officedocument.wordprocessingml.header+xml" PartName="/word/header5.xml"/>
  <Override ContentType="application/vnd.openxmlformats-officedocument.wordprocessingml.header+xml" PartName="/word/header7.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27000000">
      <w:pPr>
        <w:widowControl w:val="1"/>
        <w:spacing w:line="360" w:lineRule="auto"/>
        <w:ind w:firstLine="709"/>
        <w:contextualSpacing w:val="1"/>
        <w:jc w:val="center"/>
        <w:rPr>
          <w:b w:val="1"/>
          <w:sz w:val="32"/>
        </w:rPr>
      </w:pPr>
      <w:r>
        <w:drawing>
          <wp:anchor allowOverlap="true" behindDoc="false" layoutInCell="true" locked="false" relativeHeight="251658240" simplePos="false">
            <wp:simplePos x="0" y="0"/>
            <wp:positionH relativeFrom="column">
              <wp:posOffset>-899795</wp:posOffset>
            </wp:positionH>
            <wp:positionV relativeFrom="paragraph">
              <wp:posOffset>-263525</wp:posOffset>
            </wp:positionV>
            <wp:extent cx="7558405" cy="10318115"/>
            <wp:wrapNone/>
            <wp:docPr hidden="false" id="1" name="Picture 1"/>
            <a:graphic>
              <a:graphicData uri="http://schemas.openxmlformats.org/drawingml/2006/picture">
                <pic:pic>
                  <pic:nvPicPr>
                    <pic:cNvPr hidden="false" id="2" name="Picture 2"/>
                    <pic:cNvPicPr preferRelativeResize="true"/>
                  </pic:nvPicPr>
                  <pic:blipFill>
                    <a:blip r:embed="rId23"/>
                    <a:srcRect b="0" l="0" r="0" t="0"/>
                    <a:stretch/>
                  </pic:blipFill>
                  <pic:spPr>
                    <a:xfrm flipH="false" flipV="false" rot="0">
                      <a:ext cx="7558405" cy="10318115"/>
                    </a:xfrm>
                    <a:prstGeom prst="rect"/>
                  </pic:spPr>
                </pic:pic>
              </a:graphicData>
            </a:graphic>
          </wp:anchor>
        </w:drawing>
      </w:r>
    </w:p>
    <w:p w14:paraId="28000000">
      <w:pPr>
        <w:widowControl w:val="1"/>
        <w:spacing w:line="360" w:lineRule="auto"/>
        <w:ind w:firstLine="709"/>
        <w:contextualSpacing w:val="1"/>
        <w:jc w:val="center"/>
        <w:rPr>
          <w:b w:val="1"/>
          <w:sz w:val="32"/>
        </w:rPr>
      </w:pPr>
    </w:p>
    <w:p w14:paraId="29000000">
      <w:pPr>
        <w:widowControl w:val="1"/>
        <w:spacing w:line="360" w:lineRule="auto"/>
        <w:ind w:firstLine="709"/>
        <w:contextualSpacing w:val="1"/>
        <w:jc w:val="center"/>
        <w:rPr>
          <w:b w:val="1"/>
          <w:sz w:val="32"/>
        </w:rPr>
      </w:pPr>
    </w:p>
    <w:p w14:paraId="2A000000">
      <w:pPr>
        <w:widowControl w:val="1"/>
        <w:spacing w:line="360" w:lineRule="auto"/>
        <w:ind w:firstLine="709"/>
        <w:contextualSpacing w:val="1"/>
        <w:jc w:val="center"/>
        <w:rPr>
          <w:b w:val="1"/>
          <w:sz w:val="32"/>
        </w:rPr>
      </w:pPr>
    </w:p>
    <w:p w14:paraId="2B000000">
      <w:pPr>
        <w:widowControl w:val="1"/>
        <w:spacing w:line="360" w:lineRule="auto"/>
        <w:ind w:firstLine="709"/>
        <w:contextualSpacing w:val="1"/>
        <w:jc w:val="center"/>
        <w:rPr>
          <w:b w:val="1"/>
          <w:sz w:val="32"/>
        </w:rPr>
      </w:pPr>
    </w:p>
    <w:p w14:paraId="2C000000">
      <w:pPr>
        <w:widowControl w:val="1"/>
        <w:spacing w:line="360" w:lineRule="auto"/>
        <w:ind w:firstLine="709"/>
        <w:contextualSpacing w:val="1"/>
        <w:jc w:val="center"/>
        <w:rPr>
          <w:b w:val="1"/>
          <w:sz w:val="32"/>
        </w:rPr>
      </w:pPr>
    </w:p>
    <w:p w14:paraId="2D000000">
      <w:pPr>
        <w:widowControl w:val="1"/>
        <w:spacing w:line="360" w:lineRule="auto"/>
        <w:ind w:firstLine="709"/>
        <w:contextualSpacing w:val="1"/>
        <w:jc w:val="center"/>
        <w:rPr>
          <w:b w:val="1"/>
          <w:sz w:val="32"/>
        </w:rPr>
      </w:pPr>
    </w:p>
    <w:p w14:paraId="2E000000">
      <w:pPr>
        <w:widowControl w:val="1"/>
        <w:spacing w:line="360" w:lineRule="auto"/>
        <w:ind w:firstLine="709"/>
        <w:contextualSpacing w:val="1"/>
        <w:jc w:val="center"/>
        <w:rPr>
          <w:b w:val="1"/>
          <w:sz w:val="32"/>
        </w:rPr>
      </w:pPr>
    </w:p>
    <w:p w14:paraId="2F000000">
      <w:pPr>
        <w:widowControl w:val="1"/>
        <w:spacing w:line="360" w:lineRule="auto"/>
        <w:ind w:firstLine="709"/>
        <w:contextualSpacing w:val="1"/>
        <w:jc w:val="center"/>
        <w:rPr>
          <w:b w:val="1"/>
          <w:sz w:val="32"/>
        </w:rPr>
      </w:pPr>
    </w:p>
    <w:p w14:paraId="30000000">
      <w:pPr>
        <w:widowControl w:val="1"/>
        <w:spacing w:line="360" w:lineRule="auto"/>
        <w:ind w:firstLine="709"/>
        <w:contextualSpacing w:val="1"/>
        <w:jc w:val="center"/>
        <w:rPr>
          <w:b w:val="1"/>
          <w:sz w:val="32"/>
        </w:rPr>
      </w:pPr>
    </w:p>
    <w:p w14:paraId="31000000">
      <w:pPr>
        <w:widowControl w:val="1"/>
        <w:spacing w:line="360" w:lineRule="auto"/>
        <w:ind w:firstLine="709"/>
        <w:contextualSpacing w:val="1"/>
        <w:jc w:val="center"/>
        <w:rPr>
          <w:b w:val="1"/>
          <w:sz w:val="32"/>
        </w:rPr>
      </w:pPr>
    </w:p>
    <w:p w14:paraId="32000000">
      <w:pPr>
        <w:widowControl w:val="1"/>
        <w:spacing w:line="360" w:lineRule="auto"/>
        <w:ind w:firstLine="709"/>
        <w:contextualSpacing w:val="1"/>
        <w:jc w:val="center"/>
        <w:rPr>
          <w:b w:val="1"/>
          <w:sz w:val="32"/>
        </w:rPr>
      </w:pPr>
    </w:p>
    <w:p w14:paraId="33000000">
      <w:pPr>
        <w:widowControl w:val="1"/>
        <w:spacing w:line="360" w:lineRule="auto"/>
        <w:ind w:firstLine="709"/>
        <w:contextualSpacing w:val="1"/>
        <w:jc w:val="center"/>
        <w:rPr>
          <w:b w:val="1"/>
          <w:sz w:val="32"/>
        </w:rPr>
      </w:pPr>
    </w:p>
    <w:p w14:paraId="34000000">
      <w:pPr>
        <w:widowControl w:val="1"/>
        <w:ind w:firstLine="709"/>
        <w:contextualSpacing w:val="1"/>
        <w:rPr>
          <w:b w:val="1"/>
        </w:rPr>
      </w:pPr>
    </w:p>
    <w:p w14:paraId="35000000">
      <w:pPr>
        <w:widowControl w:val="1"/>
        <w:ind w:firstLine="709"/>
        <w:contextualSpacing w:val="1"/>
        <w:rPr>
          <w:b w:val="1"/>
        </w:rPr>
      </w:pPr>
    </w:p>
    <w:p w14:paraId="36000000">
      <w:pPr>
        <w:widowControl w:val="1"/>
        <w:ind w:firstLine="709"/>
        <w:contextualSpacing w:val="1"/>
        <w:rPr>
          <w:b w:val="1"/>
        </w:rPr>
      </w:pPr>
    </w:p>
    <w:p w14:paraId="37000000">
      <w:pPr>
        <w:widowControl w:val="1"/>
        <w:ind w:firstLine="709"/>
        <w:contextualSpacing w:val="1"/>
        <w:rPr>
          <w:b w:val="1"/>
        </w:rPr>
      </w:pPr>
    </w:p>
    <w:p w14:paraId="38000000">
      <w:pPr>
        <w:widowControl w:val="1"/>
        <w:ind w:firstLine="709"/>
        <w:contextualSpacing w:val="1"/>
        <w:rPr>
          <w:b w:val="1"/>
        </w:rPr>
      </w:pPr>
    </w:p>
    <w:tbl>
      <w:tblPr>
        <w:tblStyle w:val="Style_4"/>
        <w:tblW w:type="auto" w:w="0"/>
        <w:tblLayout w:type="fixed"/>
      </w:tblPr>
      <w:tblGrid>
        <w:gridCol w:w="4520"/>
        <w:gridCol w:w="2340"/>
        <w:gridCol w:w="3060"/>
      </w:tblGrid>
      <w:tr>
        <w:trPr>
          <w:trHeight w:hRule="atLeast" w:val="948"/>
        </w:trPr>
        <w:tc>
          <w:tcPr>
            <w:tcW w:type="dxa" w:w="4520"/>
            <w:vAlign w:val="center"/>
          </w:tcPr>
          <w:p w14:paraId="39000000">
            <w:pPr>
              <w:widowControl w:val="1"/>
              <w:ind/>
              <w:contextualSpacing w:val="1"/>
              <w:rPr>
                <w:b w:val="1"/>
              </w:rPr>
            </w:pPr>
          </w:p>
        </w:tc>
        <w:tc>
          <w:tcPr>
            <w:tcW w:type="dxa" w:w="2340"/>
            <w:vAlign w:val="center"/>
          </w:tcPr>
          <w:p w14:paraId="3A000000">
            <w:pPr>
              <w:widowControl w:val="1"/>
              <w:ind w:firstLine="709"/>
              <w:contextualSpacing w:val="1"/>
              <w:rPr>
                <w:b w:val="1"/>
              </w:rPr>
            </w:pPr>
          </w:p>
        </w:tc>
        <w:tc>
          <w:tcPr>
            <w:tcW w:type="dxa" w:w="3060"/>
            <w:vAlign w:val="center"/>
          </w:tcPr>
          <w:p w14:paraId="3B000000">
            <w:pPr>
              <w:widowControl w:val="1"/>
              <w:ind/>
              <w:contextualSpacing w:val="1"/>
              <w:rPr>
                <w:b w:val="1"/>
              </w:rPr>
            </w:pPr>
          </w:p>
        </w:tc>
      </w:tr>
      <w:tr>
        <w:trPr>
          <w:trHeight w:hRule="atLeast" w:val="555"/>
        </w:trPr>
        <w:tc>
          <w:tcPr>
            <w:tcW w:type="dxa" w:w="4520"/>
            <w:vAlign w:val="center"/>
          </w:tcPr>
          <w:p w14:paraId="3C000000">
            <w:pPr>
              <w:widowControl w:val="1"/>
              <w:ind w:firstLine="709"/>
              <w:contextualSpacing w:val="1"/>
              <w:rPr>
                <w:b w:val="1"/>
              </w:rPr>
            </w:pPr>
          </w:p>
        </w:tc>
        <w:tc>
          <w:tcPr>
            <w:tcW w:type="dxa" w:w="2340"/>
            <w:vAlign w:val="center"/>
          </w:tcPr>
          <w:p w14:paraId="3D000000">
            <w:pPr>
              <w:widowControl w:val="1"/>
              <w:ind w:firstLine="709"/>
              <w:contextualSpacing w:val="1"/>
              <w:rPr>
                <w:b w:val="1"/>
              </w:rPr>
            </w:pPr>
          </w:p>
        </w:tc>
        <w:tc>
          <w:tcPr>
            <w:tcW w:type="dxa" w:w="3060"/>
            <w:vAlign w:val="center"/>
          </w:tcPr>
          <w:p w14:paraId="3E000000">
            <w:pPr>
              <w:widowControl w:val="1"/>
              <w:ind/>
              <w:contextualSpacing w:val="1"/>
              <w:rPr>
                <w:b w:val="1"/>
              </w:rPr>
            </w:pPr>
          </w:p>
        </w:tc>
      </w:tr>
      <w:tr>
        <w:trPr>
          <w:trHeight w:hRule="atLeast" w:val="870"/>
        </w:trPr>
        <w:tc>
          <w:tcPr>
            <w:tcW w:type="dxa" w:w="4520"/>
            <w:vAlign w:val="center"/>
          </w:tcPr>
          <w:p w14:paraId="3F000000">
            <w:pPr>
              <w:widowControl w:val="1"/>
              <w:ind/>
              <w:contextualSpacing w:val="1"/>
              <w:rPr>
                <w:b w:val="1"/>
              </w:rPr>
            </w:pPr>
          </w:p>
        </w:tc>
        <w:tc>
          <w:tcPr>
            <w:tcW w:type="dxa" w:w="2340"/>
            <w:vAlign w:val="center"/>
          </w:tcPr>
          <w:p w14:paraId="40000000">
            <w:pPr>
              <w:widowControl w:val="1"/>
              <w:ind w:firstLine="709"/>
              <w:contextualSpacing w:val="1"/>
              <w:rPr>
                <w:b w:val="1"/>
              </w:rPr>
            </w:pPr>
          </w:p>
        </w:tc>
        <w:tc>
          <w:tcPr>
            <w:tcW w:type="dxa" w:w="3060"/>
            <w:vAlign w:val="center"/>
          </w:tcPr>
          <w:p w14:paraId="41000000">
            <w:pPr>
              <w:widowControl w:val="1"/>
              <w:ind/>
              <w:contextualSpacing w:val="1"/>
              <w:rPr>
                <w:b w:val="1"/>
              </w:rPr>
            </w:pPr>
          </w:p>
        </w:tc>
      </w:tr>
      <w:tr>
        <w:trPr>
          <w:trHeight w:hRule="atLeast" w:val="700"/>
        </w:trPr>
        <w:tc>
          <w:tcPr>
            <w:tcW w:type="dxa" w:w="4520"/>
            <w:vAlign w:val="center"/>
          </w:tcPr>
          <w:p w14:paraId="42000000">
            <w:pPr>
              <w:widowControl w:val="1"/>
              <w:ind/>
              <w:contextualSpacing w:val="1"/>
              <w:rPr>
                <w:b w:val="1"/>
              </w:rPr>
            </w:pPr>
          </w:p>
        </w:tc>
        <w:tc>
          <w:tcPr>
            <w:tcW w:type="dxa" w:w="2340"/>
            <w:vAlign w:val="center"/>
          </w:tcPr>
          <w:p w14:paraId="43000000">
            <w:pPr>
              <w:widowControl w:val="1"/>
              <w:ind w:firstLine="709"/>
              <w:contextualSpacing w:val="1"/>
              <w:rPr>
                <w:b w:val="1"/>
              </w:rPr>
            </w:pPr>
          </w:p>
        </w:tc>
        <w:tc>
          <w:tcPr>
            <w:tcW w:type="dxa" w:w="3060"/>
            <w:vAlign w:val="center"/>
          </w:tcPr>
          <w:p w14:paraId="44000000">
            <w:pPr>
              <w:widowControl w:val="1"/>
              <w:spacing w:line="360" w:lineRule="auto"/>
              <w:ind/>
              <w:contextualSpacing w:val="1"/>
              <w:rPr>
                <w:b w:val="1"/>
              </w:rPr>
            </w:pPr>
          </w:p>
        </w:tc>
      </w:tr>
      <w:tr>
        <w:trPr>
          <w:trHeight w:hRule="atLeast" w:val="712"/>
        </w:trPr>
        <w:tc>
          <w:tcPr>
            <w:tcW w:type="dxa" w:w="4520"/>
            <w:vAlign w:val="center"/>
          </w:tcPr>
          <w:p w14:paraId="45000000">
            <w:pPr>
              <w:widowControl w:val="1"/>
              <w:ind/>
              <w:contextualSpacing w:val="1"/>
              <w:rPr>
                <w:b w:val="1"/>
              </w:rPr>
            </w:pPr>
          </w:p>
        </w:tc>
        <w:tc>
          <w:tcPr>
            <w:tcW w:type="dxa" w:w="2340"/>
            <w:vAlign w:val="center"/>
          </w:tcPr>
          <w:p w14:paraId="46000000">
            <w:pPr>
              <w:widowControl w:val="1"/>
              <w:ind w:firstLine="709"/>
              <w:contextualSpacing w:val="1"/>
              <w:rPr>
                <w:b w:val="1"/>
              </w:rPr>
            </w:pPr>
          </w:p>
        </w:tc>
        <w:tc>
          <w:tcPr>
            <w:tcW w:type="dxa" w:w="3060"/>
            <w:vAlign w:val="center"/>
          </w:tcPr>
          <w:p w14:paraId="47000000">
            <w:pPr>
              <w:widowControl w:val="1"/>
              <w:ind/>
              <w:contextualSpacing w:val="1"/>
              <w:rPr>
                <w:b w:val="1"/>
              </w:rPr>
            </w:pPr>
          </w:p>
        </w:tc>
      </w:tr>
      <w:tr>
        <w:trPr>
          <w:trHeight w:hRule="atLeast" w:val="850"/>
        </w:trPr>
        <w:tc>
          <w:tcPr>
            <w:tcW w:type="dxa" w:w="4520"/>
            <w:vAlign w:val="center"/>
          </w:tcPr>
          <w:p w14:paraId="48000000">
            <w:pPr>
              <w:widowControl w:val="1"/>
              <w:ind/>
              <w:contextualSpacing w:val="1"/>
              <w:rPr>
                <w:b w:val="1"/>
              </w:rPr>
            </w:pPr>
          </w:p>
        </w:tc>
        <w:tc>
          <w:tcPr>
            <w:tcW w:type="dxa" w:w="2340"/>
            <w:vAlign w:val="center"/>
          </w:tcPr>
          <w:p w14:paraId="49000000">
            <w:pPr>
              <w:widowControl w:val="1"/>
              <w:ind w:firstLine="709"/>
              <w:contextualSpacing w:val="1"/>
              <w:rPr>
                <w:b w:val="1"/>
              </w:rPr>
            </w:pPr>
          </w:p>
        </w:tc>
        <w:tc>
          <w:tcPr>
            <w:tcW w:type="dxa" w:w="3060"/>
            <w:vAlign w:val="center"/>
          </w:tcPr>
          <w:p w14:paraId="4A000000">
            <w:pPr>
              <w:widowControl w:val="1"/>
              <w:ind/>
              <w:contextualSpacing w:val="1"/>
              <w:rPr>
                <w:b w:val="1"/>
              </w:rPr>
            </w:pPr>
          </w:p>
        </w:tc>
      </w:tr>
    </w:tbl>
    <w:p w14:paraId="4B000000">
      <w:pPr>
        <w:widowControl w:val="1"/>
        <w:spacing w:line="240" w:lineRule="atLeast"/>
        <w:ind w:firstLine="709"/>
        <w:contextualSpacing w:val="1"/>
        <w:rPr>
          <w:b w:val="1"/>
        </w:rPr>
      </w:pPr>
      <w:r>
        <w:rPr>
          <w:b w:val="1"/>
        </w:rPr>
        <w:t xml:space="preserve">             </w:t>
      </w:r>
    </w:p>
    <w:p w14:paraId="4C000000">
      <w:pPr>
        <w:widowControl w:val="1"/>
        <w:spacing w:line="240" w:lineRule="atLeast"/>
        <w:ind w:firstLine="709"/>
        <w:contextualSpacing w:val="1"/>
        <w:rPr>
          <w:b w:val="1"/>
        </w:rPr>
      </w:pPr>
    </w:p>
    <w:p w14:paraId="4D000000">
      <w:pPr>
        <w:widowControl w:val="1"/>
        <w:spacing w:line="240" w:lineRule="atLeast"/>
        <w:ind w:firstLine="709"/>
        <w:contextualSpacing w:val="1"/>
        <w:rPr>
          <w:b w:val="1"/>
        </w:rPr>
      </w:pPr>
    </w:p>
    <w:p w14:paraId="4E000000">
      <w:pPr>
        <w:widowControl w:val="1"/>
        <w:spacing w:line="240" w:lineRule="atLeast"/>
        <w:ind w:firstLine="709"/>
        <w:contextualSpacing w:val="1"/>
        <w:rPr>
          <w:b w:val="1"/>
        </w:rPr>
      </w:pPr>
    </w:p>
    <w:p w14:paraId="4F000000">
      <w:pPr>
        <w:widowControl w:val="1"/>
        <w:spacing w:line="240" w:lineRule="atLeast"/>
        <w:ind w:firstLine="709"/>
        <w:contextualSpacing w:val="1"/>
        <w:rPr>
          <w:b w:val="1"/>
        </w:rPr>
      </w:pPr>
    </w:p>
    <w:p w14:paraId="50000000">
      <w:pPr>
        <w:widowControl w:val="1"/>
        <w:spacing w:line="240" w:lineRule="atLeast"/>
        <w:ind w:firstLine="709"/>
        <w:contextualSpacing w:val="1"/>
        <w:rPr>
          <w:b w:val="1"/>
        </w:rPr>
      </w:pPr>
    </w:p>
    <w:p w14:paraId="51000000">
      <w:pPr>
        <w:widowControl w:val="1"/>
        <w:spacing w:line="240" w:lineRule="atLeast"/>
        <w:ind w:firstLine="709"/>
        <w:contextualSpacing w:val="1"/>
        <w:rPr>
          <w:b w:val="1"/>
        </w:rPr>
      </w:pPr>
    </w:p>
    <w:p w14:paraId="52000000">
      <w:pPr>
        <w:widowControl w:val="1"/>
        <w:spacing w:line="240" w:lineRule="atLeast"/>
        <w:ind w:firstLine="709"/>
        <w:contextualSpacing w:val="1"/>
        <w:rPr>
          <w:b w:val="1"/>
        </w:rPr>
      </w:pPr>
    </w:p>
    <w:p w14:paraId="53000000">
      <w:pPr>
        <w:widowControl w:val="1"/>
        <w:spacing w:line="240" w:lineRule="atLeast"/>
        <w:ind w:firstLine="709"/>
        <w:contextualSpacing w:val="1"/>
        <w:rPr>
          <w:b w:val="1"/>
        </w:rPr>
      </w:pPr>
    </w:p>
    <w:p w14:paraId="54000000">
      <w:pPr>
        <w:widowControl w:val="1"/>
        <w:spacing w:line="240" w:lineRule="atLeast"/>
        <w:ind w:firstLine="709"/>
        <w:contextualSpacing w:val="1"/>
        <w:rPr>
          <w:b w:val="1"/>
        </w:rPr>
      </w:pPr>
    </w:p>
    <w:p w14:paraId="55000000">
      <w:pPr>
        <w:widowControl w:val="1"/>
        <w:spacing w:line="240" w:lineRule="atLeast"/>
        <w:ind w:firstLine="709"/>
        <w:contextualSpacing w:val="1"/>
        <w:rPr>
          <w:b w:val="1"/>
        </w:rPr>
      </w:pPr>
    </w:p>
    <w:p w14:paraId="56000000">
      <w:pPr>
        <w:widowControl w:val="1"/>
        <w:spacing w:line="240" w:lineRule="atLeast"/>
        <w:ind w:firstLine="709"/>
        <w:contextualSpacing w:val="1"/>
        <w:rPr>
          <w:b w:val="1"/>
        </w:rPr>
      </w:pPr>
    </w:p>
    <w:p w14:paraId="57000000">
      <w:pPr>
        <w:widowControl w:val="1"/>
        <w:spacing w:line="240" w:lineRule="atLeast"/>
        <w:ind w:firstLine="709"/>
        <w:contextualSpacing w:val="1"/>
        <w:rPr>
          <w:b w:val="1"/>
        </w:rPr>
      </w:pPr>
      <w:r>
        <w:rPr>
          <w:b w:val="1"/>
        </w:rPr>
        <w:t xml:space="preserve"> </w:t>
      </w:r>
      <w:r>
        <w:rPr>
          <w:b w:val="1"/>
          <w:u w:val="single"/>
        </w:rPr>
        <w:t>Оглавление</w:t>
      </w:r>
    </w:p>
    <w:p>
      <w:pPr>
        <w:pStyle w:val="Style_5"/>
        <w:tabs>
          <w:tab w:leader="none" w:pos="9629" w:val="clear"/>
          <w:tab w:leader="dot" w:pos="9639" w:val="right"/>
        </w:tabs>
        <w:ind/>
      </w:pPr>
      <w:r>
        <w:rPr>
          <w:b w:val="1"/>
        </w:rPr>
        <w:fldChar w:fldCharType="begin"/>
      </w:r>
      <w:r>
        <w:rPr>
          <w:b w:val="1"/>
        </w:rPr>
        <w:instrText xml:space="preserve">TOC \h \z \u \o "1-2"</w:instrText>
      </w:r>
      <w:r>
        <w:rPr>
          <w:b w:val="1"/>
        </w:rPr>
        <w:fldChar w:fldCharType="separate"/>
      </w:r>
      <w:r>
        <w:rPr>
          <w:b w:val="1"/>
        </w:rPr>
        <w:fldChar w:fldCharType="begin"/>
      </w:r>
      <w:r>
        <w:rPr>
          <w:b w:val="1"/>
        </w:rPr>
        <w:instrText>HYPERLINK \l "__RefHeading___1"</w:instrText>
      </w:r>
      <w:r>
        <w:rPr>
          <w:b w:val="1"/>
        </w:rPr>
        <w:fldChar w:fldCharType="separate"/>
      </w:r>
      <w:r>
        <w:rPr>
          <w:b w:val="1"/>
        </w:rPr>
        <w:t>Раздел 1. Обращение  к акционерам</w:t>
      </w:r>
      <w:r>
        <w:rPr>
          <w:b w:val="1"/>
        </w:rPr>
        <w:t xml:space="preserve"> </w:t>
      </w:r>
      <w:r>
        <w:rPr>
          <w:b w:val="1"/>
        </w:rPr>
        <w:t xml:space="preserve"> Председателя Совета директоров и Генерального директора АО «Краспригород».</w:t>
      </w:r>
      <w:r>
        <w:tab/>
      </w:r>
      <w:r>
        <w:fldChar w:fldCharType="begin"/>
      </w:r>
      <w:r>
        <w:instrText>PAGEREF __RefHeading___1 \h</w:instrText>
      </w:r>
      <w:r>
        <w:fldChar w:fldCharType="separate"/>
      </w:r>
      <w:r>
        <w:t>4</w:t>
      </w:r>
      <w:r>
        <w:fldChar w:fldCharType="end"/>
      </w:r>
      <w:r>
        <w:rPr>
          <w:b w:val="1"/>
        </w:rPr>
        <w:fldChar w:fldCharType="end"/>
      </w:r>
    </w:p>
    <w:p w14:paraId="59000000">
      <w:pPr>
        <w:pStyle w:val="Style_6"/>
        <w:tabs>
          <w:tab w:leader="none" w:pos="709" w:val="clear"/>
          <w:tab w:leader="none" w:pos="851" w:val="clear"/>
          <w:tab w:leader="none" w:pos="9639" w:val="clear"/>
          <w:tab w:leader="dot" w:pos="9639" w:val="right"/>
        </w:tabs>
        <w:ind/>
      </w:pPr>
      <w:r>
        <w:fldChar w:fldCharType="begin"/>
      </w:r>
      <w:r>
        <w:instrText>HYPERLINK \l "__RefHeading___2"</w:instrText>
      </w:r>
      <w:r>
        <w:fldChar w:fldCharType="separate"/>
      </w:r>
      <w:r>
        <w:t xml:space="preserve">1.1.    </w:t>
      </w:r>
      <w:r>
        <w:t>Основные финансовые и производственные показатели отчетного года</w:t>
      </w:r>
      <w:r>
        <w:t>.</w:t>
      </w:r>
      <w:r>
        <w:tab/>
      </w:r>
      <w:r>
        <w:fldChar w:fldCharType="begin"/>
      </w:r>
      <w:r>
        <w:instrText>PAGEREF __RefHeading___2 \h</w:instrText>
      </w:r>
      <w:r>
        <w:fldChar w:fldCharType="separate"/>
      </w:r>
      <w:r>
        <w:t>6</w:t>
      </w:r>
      <w:r>
        <w:fldChar w:fldCharType="end"/>
      </w:r>
      <w:r>
        <w:fldChar w:fldCharType="end"/>
      </w:r>
    </w:p>
    <w:p w14:paraId="5A000000">
      <w:pPr>
        <w:pStyle w:val="Style_6"/>
        <w:tabs>
          <w:tab w:leader="none" w:pos="709" w:val="clear"/>
          <w:tab w:leader="none" w:pos="851" w:val="clear"/>
          <w:tab w:leader="none" w:pos="9639" w:val="clear"/>
          <w:tab w:leader="dot" w:pos="9639" w:val="right"/>
        </w:tabs>
        <w:ind/>
      </w:pPr>
      <w:r>
        <w:fldChar w:fldCharType="begin"/>
      </w:r>
      <w:r>
        <w:instrText>HYPERLINK \l "__RefHeading___3"</w:instrText>
      </w:r>
      <w:r>
        <w:fldChar w:fldCharType="separate"/>
      </w:r>
      <w:r>
        <w:t xml:space="preserve">1.2.    </w:t>
      </w:r>
      <w:r>
        <w:t>Участие Общества в реформировании отрасли жел</w:t>
      </w:r>
      <w:r>
        <w:t>езнодорожного транспорта России</w:t>
      </w:r>
      <w:r>
        <w:tab/>
      </w:r>
      <w:r>
        <w:fldChar w:fldCharType="begin"/>
      </w:r>
      <w:r>
        <w:instrText>PAGEREF __RefHeading___3 \h</w:instrText>
      </w:r>
      <w:r>
        <w:fldChar w:fldCharType="separate"/>
      </w:r>
      <w:r>
        <w:t>7</w:t>
      </w:r>
      <w:r>
        <w:fldChar w:fldCharType="end"/>
      </w:r>
      <w:r>
        <w:fldChar w:fldCharType="end"/>
      </w:r>
    </w:p>
    <w:p w14:paraId="5B000000">
      <w:pPr>
        <w:pStyle w:val="Style_6"/>
        <w:tabs>
          <w:tab w:leader="none" w:pos="709" w:val="clear"/>
          <w:tab w:leader="none" w:pos="851" w:val="clear"/>
          <w:tab w:leader="none" w:pos="9639" w:val="clear"/>
          <w:tab w:leader="dot" w:pos="9639" w:val="right"/>
        </w:tabs>
        <w:ind/>
      </w:pPr>
      <w:r>
        <w:fldChar w:fldCharType="begin"/>
      </w:r>
      <w:r>
        <w:instrText>HYPERLINK \l "__RefHeading___4"</w:instrText>
      </w:r>
      <w:r>
        <w:fldChar w:fldCharType="separate"/>
      </w:r>
      <w:r>
        <w:t xml:space="preserve">1.3.    </w:t>
      </w:r>
      <w:r>
        <w:t xml:space="preserve">Основные вехи развития Общества в отчетном году, достигнутые за </w:t>
      </w:r>
      <w:r>
        <w:t>201</w:t>
      </w:r>
      <w:r>
        <w:t>8</w:t>
      </w:r>
      <w:r>
        <w:t xml:space="preserve"> </w:t>
      </w:r>
      <w:r>
        <w:t>год результаты</w:t>
      </w:r>
      <w:r>
        <w:t>.</w:t>
      </w:r>
      <w:r>
        <w:tab/>
      </w:r>
      <w:r>
        <w:fldChar w:fldCharType="begin"/>
      </w:r>
      <w:r>
        <w:instrText>PAGEREF __RefHeading___4 \h</w:instrText>
      </w:r>
      <w:r>
        <w:fldChar w:fldCharType="separate"/>
      </w:r>
      <w:r>
        <w:t>7</w:t>
      </w:r>
      <w:r>
        <w:fldChar w:fldCharType="end"/>
      </w:r>
      <w:r>
        <w:fldChar w:fldCharType="end"/>
      </w:r>
    </w:p>
    <w:p w14:paraId="5C000000">
      <w:pPr>
        <w:pStyle w:val="Style_6"/>
        <w:tabs>
          <w:tab w:leader="none" w:pos="709" w:val="clear"/>
          <w:tab w:leader="none" w:pos="851" w:val="clear"/>
          <w:tab w:leader="none" w:pos="9639" w:val="clear"/>
          <w:tab w:leader="dot" w:pos="9639" w:val="right"/>
        </w:tabs>
        <w:ind/>
      </w:pPr>
      <w:r>
        <w:fldChar w:fldCharType="begin"/>
      </w:r>
      <w:r>
        <w:instrText>HYPERLINK \l "__RefHeading___5"</w:instrText>
      </w:r>
      <w:r>
        <w:fldChar w:fldCharType="separate"/>
      </w:r>
      <w:r>
        <w:t xml:space="preserve">1.4.    </w:t>
      </w:r>
      <w:r>
        <w:t>Перспективы развития Общества в ближайшие годы.</w:t>
      </w:r>
      <w:r>
        <w:tab/>
      </w:r>
      <w:r>
        <w:fldChar w:fldCharType="begin"/>
      </w:r>
      <w:r>
        <w:instrText>PAGEREF __RefHeading___5 \h</w:instrText>
      </w:r>
      <w:r>
        <w:fldChar w:fldCharType="separate"/>
      </w:r>
      <w:r>
        <w:t>10</w:t>
      </w:r>
      <w:r>
        <w:fldChar w:fldCharType="end"/>
      </w:r>
      <w:r>
        <w:fldChar w:fldCharType="end"/>
      </w:r>
    </w:p>
    <w:p w14:paraId="5D000000">
      <w:pPr>
        <w:pStyle w:val="Style_5"/>
        <w:tabs>
          <w:tab w:leader="none" w:pos="9629" w:val="clear"/>
          <w:tab w:leader="dot" w:pos="9639" w:val="right"/>
        </w:tabs>
        <w:ind/>
      </w:pPr>
      <w:r>
        <w:rPr>
          <w:b w:val="1"/>
        </w:rPr>
        <w:fldChar w:fldCharType="begin"/>
      </w:r>
      <w:r>
        <w:rPr>
          <w:b w:val="1"/>
        </w:rPr>
        <w:instrText>HYPERLINK \l "__RefHeading___6"</w:instrText>
      </w:r>
      <w:r>
        <w:rPr>
          <w:b w:val="1"/>
        </w:rPr>
        <w:fldChar w:fldCharType="separate"/>
      </w:r>
      <w:r>
        <w:rPr>
          <w:b w:val="1"/>
        </w:rPr>
        <w:t>Раздел 2. Общие сведения, положение Общества в отрасли</w:t>
      </w:r>
      <w:r>
        <w:tab/>
      </w:r>
      <w:r>
        <w:fldChar w:fldCharType="begin"/>
      </w:r>
      <w:r>
        <w:instrText>PAGEREF __RefHeading___6 \h</w:instrText>
      </w:r>
      <w:r>
        <w:fldChar w:fldCharType="separate"/>
      </w:r>
      <w:r>
        <w:t>11</w:t>
      </w:r>
      <w:r>
        <w:fldChar w:fldCharType="end"/>
      </w:r>
      <w:r>
        <w:rPr>
          <w:b w:val="1"/>
        </w:rPr>
        <w:fldChar w:fldCharType="end"/>
      </w:r>
    </w:p>
    <w:p w14:paraId="5E000000">
      <w:pPr>
        <w:pStyle w:val="Style_6"/>
        <w:tabs>
          <w:tab w:leader="none" w:pos="709" w:val="clear"/>
          <w:tab w:leader="none" w:pos="851" w:val="clear"/>
          <w:tab w:leader="none" w:pos="9639" w:val="clear"/>
          <w:tab w:leader="dot" w:pos="9639" w:val="right"/>
        </w:tabs>
        <w:ind/>
      </w:pPr>
      <w:r>
        <w:fldChar w:fldCharType="begin"/>
      </w:r>
      <w:r>
        <w:instrText>HYPERLINK \l "__RefHeading___7"</w:instrText>
      </w:r>
      <w:r>
        <w:fldChar w:fldCharType="separate"/>
      </w:r>
      <w:r>
        <w:t>2.1. Географическое положение.</w:t>
      </w:r>
      <w:r>
        <w:tab/>
      </w:r>
      <w:r>
        <w:fldChar w:fldCharType="begin"/>
      </w:r>
      <w:r>
        <w:instrText>PAGEREF __RefHeading___7 \h</w:instrText>
      </w:r>
      <w:r>
        <w:fldChar w:fldCharType="separate"/>
      </w:r>
      <w:r>
        <w:t>11</w:t>
      </w:r>
      <w:r>
        <w:fldChar w:fldCharType="end"/>
      </w:r>
      <w:r>
        <w:fldChar w:fldCharType="end"/>
      </w:r>
    </w:p>
    <w:p w14:paraId="5F000000">
      <w:pPr>
        <w:pStyle w:val="Style_6"/>
        <w:tabs>
          <w:tab w:leader="none" w:pos="709" w:val="clear"/>
          <w:tab w:leader="none" w:pos="851" w:val="clear"/>
          <w:tab w:leader="none" w:pos="9639" w:val="clear"/>
          <w:tab w:leader="dot" w:pos="9639" w:val="right"/>
        </w:tabs>
        <w:ind/>
      </w:pPr>
      <w:r>
        <w:fldChar w:fldCharType="begin"/>
      </w:r>
      <w:r>
        <w:instrText>HYPERLINK \l "__RefHeading___8"</w:instrText>
      </w:r>
      <w:r>
        <w:fldChar w:fldCharType="separate"/>
      </w:r>
      <w:r>
        <w:t>2.2. Краткая история</w:t>
      </w:r>
      <w:r>
        <w:tab/>
      </w:r>
      <w:r>
        <w:fldChar w:fldCharType="begin"/>
      </w:r>
      <w:r>
        <w:instrText>PAGEREF __RefHeading___8 \h</w:instrText>
      </w:r>
      <w:r>
        <w:fldChar w:fldCharType="separate"/>
      </w:r>
      <w:r>
        <w:t>12</w:t>
      </w:r>
      <w:r>
        <w:fldChar w:fldCharType="end"/>
      </w:r>
      <w:r>
        <w:fldChar w:fldCharType="end"/>
      </w:r>
    </w:p>
    <w:p w14:paraId="60000000">
      <w:pPr>
        <w:pStyle w:val="Style_6"/>
        <w:tabs>
          <w:tab w:leader="none" w:pos="709" w:val="clear"/>
          <w:tab w:leader="none" w:pos="851" w:val="clear"/>
          <w:tab w:leader="none" w:pos="9639" w:val="clear"/>
          <w:tab w:leader="dot" w:pos="9639" w:val="right"/>
        </w:tabs>
        <w:ind/>
      </w:pPr>
      <w:r>
        <w:fldChar w:fldCharType="begin"/>
      </w:r>
      <w:r>
        <w:instrText>HYPERLINK \l "__RefHeading___9"</w:instrText>
      </w:r>
      <w:r>
        <w:fldChar w:fldCharType="separate"/>
      </w:r>
      <w:r>
        <w:t>2.3. Организационная структура Общества</w:t>
      </w:r>
      <w:r>
        <w:tab/>
      </w:r>
      <w:r>
        <w:fldChar w:fldCharType="begin"/>
      </w:r>
      <w:r>
        <w:instrText>PAGEREF __RefHeading___9 \h</w:instrText>
      </w:r>
      <w:r>
        <w:fldChar w:fldCharType="separate"/>
      </w:r>
      <w:r>
        <w:t>13</w:t>
      </w:r>
      <w:r>
        <w:fldChar w:fldCharType="end"/>
      </w:r>
      <w:r>
        <w:fldChar w:fldCharType="end"/>
      </w:r>
    </w:p>
    <w:p w14:paraId="61000000">
      <w:pPr>
        <w:pStyle w:val="Style_6"/>
        <w:tabs>
          <w:tab w:leader="none" w:pos="709" w:val="clear"/>
          <w:tab w:leader="none" w:pos="851" w:val="clear"/>
          <w:tab w:leader="none" w:pos="9639" w:val="clear"/>
          <w:tab w:leader="dot" w:pos="9639" w:val="right"/>
        </w:tabs>
        <w:ind/>
      </w:pPr>
      <w:r>
        <w:fldChar w:fldCharType="begin"/>
      </w:r>
      <w:r>
        <w:instrText>HYPERLINK \l "__RefHeading___10"</w:instrText>
      </w:r>
      <w:r>
        <w:fldChar w:fldCharType="separate"/>
      </w:r>
      <w:r>
        <w:t>2.4. Основные показатели деятельности</w:t>
      </w:r>
      <w:r>
        <w:tab/>
      </w:r>
      <w:r>
        <w:fldChar w:fldCharType="begin"/>
      </w:r>
      <w:r>
        <w:instrText>PAGEREF __RefHeading___10 \h</w:instrText>
      </w:r>
      <w:r>
        <w:fldChar w:fldCharType="separate"/>
      </w:r>
      <w:r>
        <w:t>14</w:t>
      </w:r>
      <w:r>
        <w:fldChar w:fldCharType="end"/>
      </w:r>
      <w:r>
        <w:fldChar w:fldCharType="end"/>
      </w:r>
    </w:p>
    <w:p w14:paraId="62000000">
      <w:pPr>
        <w:pStyle w:val="Style_6"/>
        <w:tabs>
          <w:tab w:leader="none" w:pos="709" w:val="clear"/>
          <w:tab w:leader="none" w:pos="851" w:val="clear"/>
          <w:tab w:leader="none" w:pos="9639" w:val="clear"/>
          <w:tab w:leader="dot" w:pos="9639" w:val="right"/>
        </w:tabs>
        <w:ind/>
      </w:pPr>
      <w:r>
        <w:fldChar w:fldCharType="begin"/>
      </w:r>
      <w:r>
        <w:instrText>HYPERLINK \l "__RefHeading___11"</w:instrText>
      </w:r>
      <w:r>
        <w:fldChar w:fldCharType="separate"/>
      </w:r>
      <w:r>
        <w:t>2.5. Конкурентное окружение Общества и факторы риска</w:t>
      </w:r>
      <w:r>
        <w:tab/>
      </w:r>
      <w:r>
        <w:fldChar w:fldCharType="begin"/>
      </w:r>
      <w:r>
        <w:instrText>PAGEREF __RefHeading___11 \h</w:instrText>
      </w:r>
      <w:r>
        <w:fldChar w:fldCharType="separate"/>
      </w:r>
      <w:r>
        <w:t>14</w:t>
      </w:r>
      <w:r>
        <w:fldChar w:fldCharType="end"/>
      </w:r>
      <w:r>
        <w:fldChar w:fldCharType="end"/>
      </w:r>
    </w:p>
    <w:p w14:paraId="63000000">
      <w:pPr>
        <w:pStyle w:val="Style_5"/>
        <w:tabs>
          <w:tab w:leader="none" w:pos="9629" w:val="clear"/>
          <w:tab w:leader="dot" w:pos="9639" w:val="right"/>
        </w:tabs>
        <w:ind/>
      </w:pPr>
      <w:r>
        <w:rPr>
          <w:b w:val="1"/>
        </w:rPr>
        <w:fldChar w:fldCharType="begin"/>
      </w:r>
      <w:r>
        <w:rPr>
          <w:b w:val="1"/>
        </w:rPr>
        <w:instrText>HYPERLINK \l "__RefHeading___12"</w:instrText>
      </w:r>
      <w:r>
        <w:rPr>
          <w:b w:val="1"/>
        </w:rPr>
        <w:fldChar w:fldCharType="separate"/>
      </w:r>
      <w:r>
        <w:rPr>
          <w:b w:val="1"/>
        </w:rPr>
        <w:t>Раздел 3. Корпоративное управление</w:t>
      </w:r>
      <w:r>
        <w:tab/>
      </w:r>
      <w:r>
        <w:fldChar w:fldCharType="begin"/>
      </w:r>
      <w:r>
        <w:instrText>PAGEREF __RefHeading___12 \h</w:instrText>
      </w:r>
      <w:r>
        <w:fldChar w:fldCharType="separate"/>
      </w:r>
      <w:r>
        <w:t>15</w:t>
      </w:r>
      <w:r>
        <w:fldChar w:fldCharType="end"/>
      </w:r>
      <w:r>
        <w:rPr>
          <w:b w:val="1"/>
        </w:rPr>
        <w:fldChar w:fldCharType="end"/>
      </w:r>
    </w:p>
    <w:p w14:paraId="64000000">
      <w:pPr>
        <w:pStyle w:val="Style_6"/>
        <w:tabs>
          <w:tab w:leader="none" w:pos="709" w:val="clear"/>
          <w:tab w:leader="none" w:pos="851" w:val="clear"/>
          <w:tab w:leader="none" w:pos="9639" w:val="clear"/>
          <w:tab w:leader="dot" w:pos="9639" w:val="right"/>
        </w:tabs>
        <w:ind/>
      </w:pPr>
      <w:r>
        <w:fldChar w:fldCharType="begin"/>
      </w:r>
      <w:r>
        <w:instrText>HYPERLINK \l "__RefHeading___13"</w:instrText>
      </w:r>
      <w:r>
        <w:fldChar w:fldCharType="separate"/>
      </w:r>
      <w:r>
        <w:t>3.1. Принципы. Документы</w:t>
      </w:r>
      <w:r>
        <w:tab/>
      </w:r>
      <w:r>
        <w:fldChar w:fldCharType="begin"/>
      </w:r>
      <w:r>
        <w:instrText>PAGEREF __RefHeading___13 \h</w:instrText>
      </w:r>
      <w:r>
        <w:fldChar w:fldCharType="separate"/>
      </w:r>
      <w:r>
        <w:t>15</w:t>
      </w:r>
      <w:r>
        <w:fldChar w:fldCharType="end"/>
      </w:r>
      <w:r>
        <w:fldChar w:fldCharType="end"/>
      </w:r>
    </w:p>
    <w:p w14:paraId="65000000">
      <w:pPr>
        <w:pStyle w:val="Style_6"/>
        <w:tabs>
          <w:tab w:leader="none" w:pos="709" w:val="clear"/>
          <w:tab w:leader="none" w:pos="851" w:val="clear"/>
          <w:tab w:leader="none" w:pos="9639" w:val="clear"/>
          <w:tab w:leader="dot" w:pos="9639" w:val="right"/>
        </w:tabs>
        <w:ind/>
      </w:pPr>
      <w:r>
        <w:fldChar w:fldCharType="begin"/>
      </w:r>
      <w:r>
        <w:instrText>HYPERLINK \l "__RefHeading___14"</w:instrText>
      </w:r>
      <w:r>
        <w:fldChar w:fldCharType="separate"/>
      </w:r>
      <w:r>
        <w:t xml:space="preserve">3.2. </w:t>
      </w:r>
      <w:r>
        <w:t>Информация о членах органов управления и контроля Общества</w:t>
      </w:r>
      <w:r>
        <w:t>.</w:t>
      </w:r>
      <w:r>
        <w:tab/>
      </w:r>
      <w:r>
        <w:fldChar w:fldCharType="begin"/>
      </w:r>
      <w:r>
        <w:instrText>PAGEREF __RefHeading___14 \h</w:instrText>
      </w:r>
      <w:r>
        <w:fldChar w:fldCharType="separate"/>
      </w:r>
      <w:r>
        <w:t>18</w:t>
      </w:r>
      <w:r>
        <w:fldChar w:fldCharType="end"/>
      </w:r>
      <w:r>
        <w:fldChar w:fldCharType="end"/>
      </w:r>
    </w:p>
    <w:p w14:paraId="66000000">
      <w:pPr>
        <w:pStyle w:val="Style_6"/>
        <w:tabs>
          <w:tab w:leader="none" w:pos="709" w:val="clear"/>
          <w:tab w:leader="none" w:pos="851" w:val="clear"/>
          <w:tab w:leader="none" w:pos="9639" w:val="clear"/>
          <w:tab w:leader="dot" w:pos="9639" w:val="right"/>
        </w:tabs>
        <w:ind/>
      </w:pPr>
      <w:r>
        <w:fldChar w:fldCharType="begin"/>
      </w:r>
      <w:r>
        <w:instrText>HYPERLINK \l "__RefHeading___15"</w:instrText>
      </w:r>
      <w:r>
        <w:fldChar w:fldCharType="separate"/>
      </w:r>
      <w:r>
        <w:t>3.3.</w:t>
      </w:r>
      <w:r>
        <w:t xml:space="preserve"> </w:t>
      </w:r>
      <w:r>
        <w:t>Акционеры</w:t>
      </w:r>
      <w:r>
        <w:tab/>
      </w:r>
      <w:r>
        <w:fldChar w:fldCharType="begin"/>
      </w:r>
      <w:r>
        <w:instrText>PAGEREF __RefHeading___15 \h</w:instrText>
      </w:r>
      <w:r>
        <w:fldChar w:fldCharType="separate"/>
      </w:r>
      <w:r>
        <w:t>25</w:t>
      </w:r>
      <w:r>
        <w:fldChar w:fldCharType="end"/>
      </w:r>
      <w:r>
        <w:fldChar w:fldCharType="end"/>
      </w:r>
    </w:p>
    <w:p w14:paraId="67000000">
      <w:pPr>
        <w:pStyle w:val="Style_6"/>
        <w:tabs>
          <w:tab w:leader="none" w:pos="709" w:val="clear"/>
          <w:tab w:leader="none" w:pos="851" w:val="clear"/>
          <w:tab w:leader="none" w:pos="9639" w:val="clear"/>
          <w:tab w:leader="dot" w:pos="9639" w:val="right"/>
        </w:tabs>
        <w:ind/>
      </w:pPr>
      <w:r>
        <w:fldChar w:fldCharType="begin"/>
      </w:r>
      <w:r>
        <w:instrText>HYPERLINK \l "__RefHeading___16"</w:instrText>
      </w:r>
      <w:r>
        <w:fldChar w:fldCharType="separate"/>
      </w:r>
      <w:r>
        <w:t>3.</w:t>
      </w:r>
      <w:r>
        <w:t>4</w:t>
      </w:r>
      <w:r>
        <w:t>. Описание  системы  управления  рисками  и  внутреннего  контроля общества.</w:t>
      </w:r>
      <w:r>
        <w:tab/>
      </w:r>
      <w:r>
        <w:fldChar w:fldCharType="begin"/>
      </w:r>
      <w:r>
        <w:instrText>PAGEREF __RefHeading___16 \h</w:instrText>
      </w:r>
      <w:r>
        <w:fldChar w:fldCharType="separate"/>
      </w:r>
      <w:r>
        <w:t>31</w:t>
      </w:r>
      <w:r>
        <w:fldChar w:fldCharType="end"/>
      </w:r>
      <w:r>
        <w:fldChar w:fldCharType="end"/>
      </w:r>
    </w:p>
    <w:p w14:paraId="68000000">
      <w:pPr>
        <w:pStyle w:val="Style_5"/>
        <w:tabs>
          <w:tab w:leader="none" w:pos="9629" w:val="clear"/>
          <w:tab w:leader="dot" w:pos="9639" w:val="right"/>
        </w:tabs>
        <w:ind/>
      </w:pPr>
      <w:r>
        <w:rPr>
          <w:b w:val="1"/>
        </w:rPr>
        <w:fldChar w:fldCharType="begin"/>
      </w:r>
      <w:r>
        <w:rPr>
          <w:b w:val="1"/>
        </w:rPr>
        <w:instrText>HYPERLINK \l "__RefHeading___17"</w:instrText>
      </w:r>
      <w:r>
        <w:rPr>
          <w:b w:val="1"/>
        </w:rPr>
        <w:fldChar w:fldCharType="separate"/>
      </w:r>
      <w:r>
        <w:rPr>
          <w:b w:val="1"/>
        </w:rPr>
        <w:t xml:space="preserve">Раздел </w:t>
      </w:r>
      <w:r>
        <w:rPr>
          <w:b w:val="1"/>
        </w:rPr>
        <w:t>4</w:t>
      </w:r>
      <w:r>
        <w:rPr>
          <w:b w:val="1"/>
        </w:rPr>
        <w:t xml:space="preserve">. </w:t>
      </w:r>
      <w:r>
        <w:rPr>
          <w:b w:val="1"/>
        </w:rPr>
        <w:t xml:space="preserve">Основные производственные </w:t>
      </w:r>
      <w:r>
        <w:rPr>
          <w:b w:val="1"/>
        </w:rPr>
        <w:t>показатели</w:t>
      </w:r>
      <w:r>
        <w:rPr>
          <w:b w:val="1"/>
        </w:rPr>
        <w:t>.</w:t>
      </w:r>
      <w:r>
        <w:tab/>
      </w:r>
      <w:r>
        <w:fldChar w:fldCharType="begin"/>
      </w:r>
      <w:r>
        <w:instrText>PAGEREF __RefHeading___17 \h</w:instrText>
      </w:r>
      <w:r>
        <w:fldChar w:fldCharType="separate"/>
      </w:r>
      <w:r>
        <w:t>36</w:t>
      </w:r>
      <w:r>
        <w:fldChar w:fldCharType="end"/>
      </w:r>
      <w:r>
        <w:rPr>
          <w:b w:val="1"/>
        </w:rPr>
        <w:fldChar w:fldCharType="end"/>
      </w:r>
    </w:p>
    <w:p w14:paraId="69000000">
      <w:pPr>
        <w:pStyle w:val="Style_5"/>
        <w:tabs>
          <w:tab w:leader="none" w:pos="9629" w:val="clear"/>
          <w:tab w:leader="dot" w:pos="9639" w:val="right"/>
        </w:tabs>
        <w:ind/>
      </w:pPr>
      <w:r>
        <w:rPr>
          <w:b w:val="1"/>
        </w:rPr>
        <w:fldChar w:fldCharType="begin"/>
      </w:r>
      <w:r>
        <w:rPr>
          <w:b w:val="1"/>
        </w:rPr>
        <w:instrText>HYPERLINK \l "__RefHeading___18"</w:instrText>
      </w:r>
      <w:r>
        <w:rPr>
          <w:b w:val="1"/>
        </w:rPr>
        <w:fldChar w:fldCharType="separate"/>
      </w:r>
      <w:r>
        <w:rPr>
          <w:b w:val="1"/>
        </w:rPr>
        <w:t>Раздел 5. Основные показатели бухгалтерской и финансовой о</w:t>
      </w:r>
      <w:r>
        <w:rPr>
          <w:b w:val="1"/>
        </w:rPr>
        <w:t>т</w:t>
      </w:r>
      <w:r>
        <w:rPr>
          <w:b w:val="1"/>
        </w:rPr>
        <w:t>четности Общества</w:t>
      </w:r>
      <w:r>
        <w:tab/>
      </w:r>
      <w:r>
        <w:fldChar w:fldCharType="begin"/>
      </w:r>
      <w:r>
        <w:instrText>PAGEREF __RefHeading___18 \h</w:instrText>
      </w:r>
      <w:r>
        <w:fldChar w:fldCharType="separate"/>
      </w:r>
      <w:r>
        <w:t>39</w:t>
      </w:r>
      <w:r>
        <w:fldChar w:fldCharType="end"/>
      </w:r>
      <w:r>
        <w:rPr>
          <w:b w:val="1"/>
        </w:rPr>
        <w:fldChar w:fldCharType="end"/>
      </w:r>
    </w:p>
    <w:p w14:paraId="6A000000">
      <w:pPr>
        <w:pStyle w:val="Style_6"/>
        <w:tabs>
          <w:tab w:leader="none" w:pos="709" w:val="clear"/>
          <w:tab w:leader="none" w:pos="851" w:val="clear"/>
          <w:tab w:leader="none" w:pos="9639" w:val="clear"/>
          <w:tab w:leader="dot" w:pos="9639" w:val="right"/>
        </w:tabs>
        <w:ind/>
      </w:pPr>
      <w:r>
        <w:fldChar w:fldCharType="begin"/>
      </w:r>
      <w:r>
        <w:instrText>HYPERLINK \l "__RefHeading___19"</w:instrText>
      </w:r>
      <w:r>
        <w:fldChar w:fldCharType="separate"/>
      </w:r>
      <w:r>
        <w:t>5.1. Основные положения учетной политики</w:t>
      </w:r>
      <w:r>
        <w:tab/>
      </w:r>
      <w:r>
        <w:fldChar w:fldCharType="begin"/>
      </w:r>
      <w:r>
        <w:instrText>PAGEREF __RefHeading___19 \h</w:instrText>
      </w:r>
      <w:r>
        <w:fldChar w:fldCharType="separate"/>
      </w:r>
      <w:r>
        <w:t>39</w:t>
      </w:r>
      <w:r>
        <w:fldChar w:fldCharType="end"/>
      </w:r>
      <w:r>
        <w:fldChar w:fldCharType="end"/>
      </w:r>
    </w:p>
    <w:p w14:paraId="6B000000">
      <w:pPr>
        <w:pStyle w:val="Style_6"/>
        <w:tabs>
          <w:tab w:leader="none" w:pos="709" w:val="clear"/>
          <w:tab w:leader="none" w:pos="851" w:val="clear"/>
          <w:tab w:leader="none" w:pos="9639" w:val="clear"/>
          <w:tab w:leader="dot" w:pos="9639" w:val="right"/>
        </w:tabs>
        <w:ind/>
      </w:pPr>
      <w:r>
        <w:fldChar w:fldCharType="begin"/>
      </w:r>
      <w:r>
        <w:instrText>HYPERLINK \l "__RefHeading___20"</w:instrText>
      </w:r>
      <w:r>
        <w:fldChar w:fldCharType="separate"/>
      </w:r>
      <w:r>
        <w:t xml:space="preserve">5.2. </w:t>
      </w:r>
      <w:r>
        <w:t>Тарифное регулирование</w:t>
      </w:r>
      <w:r>
        <w:tab/>
      </w:r>
      <w:r>
        <w:fldChar w:fldCharType="begin"/>
      </w:r>
      <w:r>
        <w:instrText>PAGEREF __RefHeading___20 \h</w:instrText>
      </w:r>
      <w:r>
        <w:fldChar w:fldCharType="separate"/>
      </w:r>
      <w:r>
        <w:t>48</w:t>
      </w:r>
      <w:r>
        <w:fldChar w:fldCharType="end"/>
      </w:r>
      <w:r>
        <w:fldChar w:fldCharType="end"/>
      </w:r>
    </w:p>
    <w:p w14:paraId="6C000000">
      <w:pPr>
        <w:pStyle w:val="Style_6"/>
        <w:tabs>
          <w:tab w:leader="none" w:pos="709" w:val="clear"/>
          <w:tab w:leader="none" w:pos="851" w:val="clear"/>
          <w:tab w:leader="none" w:pos="9639" w:val="clear"/>
          <w:tab w:leader="dot" w:pos="9639" w:val="right"/>
        </w:tabs>
        <w:ind/>
      </w:pPr>
      <w:r>
        <w:fldChar w:fldCharType="begin"/>
      </w:r>
      <w:r>
        <w:instrText>HYPERLINK \l "__RefHeading___21"</w:instrText>
      </w:r>
      <w:r>
        <w:fldChar w:fldCharType="separate"/>
      </w:r>
      <w:r>
        <w:t>5.3</w:t>
      </w:r>
      <w:r>
        <w:t xml:space="preserve">. </w:t>
      </w:r>
      <w:r>
        <w:t xml:space="preserve">Анализ </w:t>
      </w:r>
      <w:r>
        <w:t>динамики и результатов деятельности и финансового положения компании</w:t>
      </w:r>
      <w:r>
        <w:tab/>
      </w:r>
      <w:r>
        <w:fldChar w:fldCharType="begin"/>
      </w:r>
      <w:r>
        <w:instrText>PAGEREF __RefHeading___21 \h</w:instrText>
      </w:r>
      <w:r>
        <w:fldChar w:fldCharType="separate"/>
      </w:r>
      <w:r>
        <w:t>59</w:t>
      </w:r>
      <w:r>
        <w:fldChar w:fldCharType="end"/>
      </w:r>
      <w:r>
        <w:fldChar w:fldCharType="end"/>
      </w:r>
    </w:p>
    <w:p w14:paraId="6D000000">
      <w:pPr>
        <w:pStyle w:val="Style_6"/>
        <w:tabs>
          <w:tab w:leader="none" w:pos="709" w:val="clear"/>
          <w:tab w:leader="none" w:pos="851" w:val="clear"/>
          <w:tab w:leader="none" w:pos="9639" w:val="clear"/>
          <w:tab w:leader="dot" w:pos="9639" w:val="right"/>
        </w:tabs>
        <w:ind/>
      </w:pPr>
      <w:r>
        <w:fldChar w:fldCharType="begin"/>
      </w:r>
      <w:r>
        <w:instrText>HYPERLINK \l "__RefHeading___22"</w:instrText>
      </w:r>
      <w:r>
        <w:fldChar w:fldCharType="separate"/>
      </w:r>
      <w:r>
        <w:t>5.</w:t>
      </w:r>
      <w:r>
        <w:t>4</w:t>
      </w:r>
      <w:r>
        <w:t>. Бухгалт</w:t>
      </w:r>
      <w:r>
        <w:t>ерский баланс Общества</w:t>
      </w:r>
      <w:r>
        <w:tab/>
      </w:r>
      <w:r>
        <w:fldChar w:fldCharType="begin"/>
      </w:r>
      <w:r>
        <w:instrText>PAGEREF __RefHeading___22 \h</w:instrText>
      </w:r>
      <w:r>
        <w:fldChar w:fldCharType="separate"/>
      </w:r>
      <w:r>
        <w:t>68</w:t>
      </w:r>
      <w:r>
        <w:fldChar w:fldCharType="end"/>
      </w:r>
      <w:r>
        <w:fldChar w:fldCharType="end"/>
      </w:r>
    </w:p>
    <w:p w14:paraId="6E000000">
      <w:pPr>
        <w:pStyle w:val="Style_6"/>
        <w:tabs>
          <w:tab w:leader="none" w:pos="709" w:val="clear"/>
          <w:tab w:leader="none" w:pos="851" w:val="clear"/>
          <w:tab w:leader="none" w:pos="9639" w:val="clear"/>
          <w:tab w:leader="dot" w:pos="9639" w:val="right"/>
        </w:tabs>
        <w:ind/>
      </w:pPr>
      <w:r>
        <w:fldChar w:fldCharType="begin"/>
      </w:r>
      <w:r>
        <w:instrText>HYPERLINK \l "__RefHeading___23"</w:instrText>
      </w:r>
      <w:r>
        <w:fldChar w:fldCharType="separate"/>
      </w:r>
      <w:r>
        <w:t>5.</w:t>
      </w:r>
      <w:r>
        <w:t>5</w:t>
      </w:r>
      <w:r>
        <w:t xml:space="preserve">. </w:t>
      </w:r>
      <w:r>
        <w:t>Отчет о прибылях и убытках</w:t>
      </w:r>
      <w:r>
        <w:tab/>
      </w:r>
      <w:r>
        <w:fldChar w:fldCharType="begin"/>
      </w:r>
      <w:r>
        <w:instrText>PAGEREF __RefHeading___23 \h</w:instrText>
      </w:r>
      <w:r>
        <w:fldChar w:fldCharType="separate"/>
      </w:r>
      <w:r>
        <w:t>85</w:t>
      </w:r>
      <w:r>
        <w:fldChar w:fldCharType="end"/>
      </w:r>
      <w:r>
        <w:fldChar w:fldCharType="end"/>
      </w:r>
    </w:p>
    <w:p w14:paraId="6F000000">
      <w:pPr>
        <w:pStyle w:val="Style_6"/>
        <w:tabs>
          <w:tab w:leader="none" w:pos="709" w:val="clear"/>
          <w:tab w:leader="none" w:pos="851" w:val="clear"/>
          <w:tab w:leader="none" w:pos="9639" w:val="clear"/>
          <w:tab w:leader="dot" w:pos="9639" w:val="right"/>
        </w:tabs>
        <w:ind/>
      </w:pPr>
      <w:r>
        <w:fldChar w:fldCharType="begin"/>
      </w:r>
      <w:r>
        <w:instrText>HYPERLINK \l "__RefHeading___24"</w:instrText>
      </w:r>
      <w:r>
        <w:fldChar w:fldCharType="separate"/>
      </w:r>
      <w:r>
        <w:t>5.6. Заключение аудитора Общества за 201</w:t>
      </w:r>
      <w:r>
        <w:t>8</w:t>
      </w:r>
      <w:r>
        <w:t xml:space="preserve"> </w:t>
      </w:r>
      <w:r>
        <w:t>год</w:t>
      </w:r>
      <w:r>
        <w:tab/>
      </w:r>
      <w:r>
        <w:fldChar w:fldCharType="begin"/>
      </w:r>
      <w:r>
        <w:instrText>PAGEREF __RefHeading___24 \h</w:instrText>
      </w:r>
      <w:r>
        <w:fldChar w:fldCharType="separate"/>
      </w:r>
      <w:r>
        <w:t>107</w:t>
      </w:r>
      <w:r>
        <w:fldChar w:fldCharType="end"/>
      </w:r>
      <w:r>
        <w:fldChar w:fldCharType="end"/>
      </w:r>
    </w:p>
    <w:p w14:paraId="70000000">
      <w:pPr>
        <w:pStyle w:val="Style_5"/>
        <w:tabs>
          <w:tab w:leader="none" w:pos="9629" w:val="clear"/>
          <w:tab w:leader="dot" w:pos="9639" w:val="right"/>
        </w:tabs>
        <w:ind/>
      </w:pPr>
      <w:r>
        <w:rPr>
          <w:b w:val="1"/>
        </w:rPr>
        <w:fldChar w:fldCharType="begin"/>
      </w:r>
      <w:r>
        <w:rPr>
          <w:b w:val="1"/>
        </w:rPr>
        <w:instrText>HYPERLINK \l "__RefHeading___25"</w:instrText>
      </w:r>
      <w:r>
        <w:rPr>
          <w:b w:val="1"/>
        </w:rPr>
        <w:fldChar w:fldCharType="separate"/>
      </w:r>
      <w:r>
        <w:rPr>
          <w:b w:val="1"/>
        </w:rPr>
        <w:t>Раздел 6. Распределение прибыли 201</w:t>
      </w:r>
      <w:r>
        <w:rPr>
          <w:b w:val="1"/>
        </w:rPr>
        <w:t>8</w:t>
      </w:r>
      <w:r>
        <w:rPr>
          <w:b w:val="1"/>
        </w:rPr>
        <w:t xml:space="preserve"> </w:t>
      </w:r>
      <w:r>
        <w:rPr>
          <w:b w:val="1"/>
        </w:rPr>
        <w:t xml:space="preserve">г. </w:t>
      </w:r>
      <w:r>
        <w:rPr>
          <w:b w:val="1"/>
        </w:rPr>
        <w:t>и дивидендная политика.</w:t>
      </w:r>
      <w:r>
        <w:tab/>
      </w:r>
      <w:r>
        <w:fldChar w:fldCharType="begin"/>
      </w:r>
      <w:r>
        <w:instrText>PAGEREF __RefHeading___25 \h</w:instrText>
      </w:r>
      <w:r>
        <w:fldChar w:fldCharType="separate"/>
      </w:r>
      <w:r>
        <w:t>110</w:t>
      </w:r>
      <w:r>
        <w:fldChar w:fldCharType="end"/>
      </w:r>
      <w:r>
        <w:rPr>
          <w:b w:val="1"/>
        </w:rPr>
        <w:fldChar w:fldCharType="end"/>
      </w:r>
    </w:p>
    <w:p w14:paraId="71000000">
      <w:pPr>
        <w:pStyle w:val="Style_5"/>
        <w:tabs>
          <w:tab w:leader="none" w:pos="9629" w:val="clear"/>
          <w:tab w:leader="dot" w:pos="9639" w:val="right"/>
        </w:tabs>
        <w:ind/>
      </w:pPr>
      <w:r>
        <w:rPr>
          <w:b w:val="1"/>
        </w:rPr>
        <w:fldChar w:fldCharType="begin"/>
      </w:r>
      <w:r>
        <w:rPr>
          <w:b w:val="1"/>
        </w:rPr>
        <w:instrText>HYPERLINK \l "__RefHeading___26"</w:instrText>
      </w:r>
      <w:r>
        <w:rPr>
          <w:b w:val="1"/>
        </w:rPr>
        <w:fldChar w:fldCharType="separate"/>
      </w:r>
      <w:r>
        <w:rPr>
          <w:b w:val="1"/>
        </w:rPr>
        <w:t>Раздел 7. Инвестиционная деятельность</w:t>
      </w:r>
      <w:r>
        <w:tab/>
      </w:r>
      <w:r>
        <w:fldChar w:fldCharType="begin"/>
      </w:r>
      <w:r>
        <w:instrText>PAGEREF __RefHeading___26 \h</w:instrText>
      </w:r>
      <w:r>
        <w:fldChar w:fldCharType="separate"/>
      </w:r>
      <w:r>
        <w:t>110</w:t>
      </w:r>
      <w:r>
        <w:fldChar w:fldCharType="end"/>
      </w:r>
      <w:r>
        <w:rPr>
          <w:b w:val="1"/>
        </w:rPr>
        <w:fldChar w:fldCharType="end"/>
      </w:r>
    </w:p>
    <w:p w14:paraId="72000000">
      <w:pPr>
        <w:pStyle w:val="Style_5"/>
        <w:tabs>
          <w:tab w:leader="none" w:pos="9629" w:val="clear"/>
          <w:tab w:leader="dot" w:pos="9639" w:val="right"/>
        </w:tabs>
        <w:ind/>
      </w:pPr>
      <w:r>
        <w:rPr>
          <w:b w:val="1"/>
        </w:rPr>
        <w:fldChar w:fldCharType="begin"/>
      </w:r>
      <w:r>
        <w:rPr>
          <w:b w:val="1"/>
        </w:rPr>
        <w:instrText>HYPERLINK \l "__RefHeading___27"</w:instrText>
      </w:r>
      <w:r>
        <w:rPr>
          <w:b w:val="1"/>
        </w:rPr>
        <w:fldChar w:fldCharType="separate"/>
      </w:r>
      <w:r>
        <w:rPr>
          <w:b w:val="1"/>
        </w:rPr>
        <w:t>Раздел 8. Перспектива технического переоснащения и развития Общества.</w:t>
      </w:r>
      <w:r>
        <w:tab/>
      </w:r>
      <w:r>
        <w:fldChar w:fldCharType="begin"/>
      </w:r>
      <w:r>
        <w:instrText>PAGEREF __RefHeading___27 \h</w:instrText>
      </w:r>
      <w:r>
        <w:fldChar w:fldCharType="separate"/>
      </w:r>
      <w:r>
        <w:t>111</w:t>
      </w:r>
      <w:r>
        <w:fldChar w:fldCharType="end"/>
      </w:r>
      <w:r>
        <w:rPr>
          <w:b w:val="1"/>
        </w:rPr>
        <w:fldChar w:fldCharType="end"/>
      </w:r>
    </w:p>
    <w:p w14:paraId="73000000">
      <w:pPr>
        <w:pStyle w:val="Style_5"/>
        <w:tabs>
          <w:tab w:leader="none" w:pos="9629" w:val="clear"/>
          <w:tab w:leader="dot" w:pos="9639" w:val="right"/>
        </w:tabs>
        <w:ind/>
      </w:pPr>
      <w:r>
        <w:rPr>
          <w:b w:val="1"/>
        </w:rPr>
        <w:fldChar w:fldCharType="begin"/>
      </w:r>
      <w:r>
        <w:rPr>
          <w:b w:val="1"/>
        </w:rPr>
        <w:instrText>HYPERLINK \l "__RefHeading___28"</w:instrText>
      </w:r>
      <w:r>
        <w:rPr>
          <w:b w:val="1"/>
        </w:rPr>
        <w:fldChar w:fldCharType="separate"/>
      </w:r>
      <w:r>
        <w:rPr>
          <w:b w:val="1"/>
        </w:rPr>
        <w:t xml:space="preserve">Раздел 9. Развитие сети связи Общества и </w:t>
      </w:r>
      <w:r>
        <w:rPr>
          <w:b w:val="1"/>
        </w:rPr>
        <w:t>Internet</w:t>
      </w:r>
      <w:r>
        <w:rPr>
          <w:b w:val="1"/>
        </w:rPr>
        <w:t>-технологий</w:t>
      </w:r>
      <w:r>
        <w:tab/>
      </w:r>
      <w:r>
        <w:fldChar w:fldCharType="begin"/>
      </w:r>
      <w:r>
        <w:instrText>PAGEREF __RefHeading___28 \h</w:instrText>
      </w:r>
      <w:r>
        <w:fldChar w:fldCharType="separate"/>
      </w:r>
      <w:r>
        <w:t>114</w:t>
      </w:r>
      <w:r>
        <w:fldChar w:fldCharType="end"/>
      </w:r>
      <w:r>
        <w:rPr>
          <w:b w:val="1"/>
        </w:rPr>
        <w:fldChar w:fldCharType="end"/>
      </w:r>
    </w:p>
    <w:p w14:paraId="74000000">
      <w:pPr>
        <w:pStyle w:val="Style_5"/>
        <w:tabs>
          <w:tab w:leader="none" w:pos="9629" w:val="clear"/>
          <w:tab w:leader="dot" w:pos="9639" w:val="right"/>
        </w:tabs>
        <w:ind/>
      </w:pPr>
      <w:r>
        <w:rPr>
          <w:b w:val="1"/>
        </w:rPr>
        <w:fldChar w:fldCharType="begin"/>
      </w:r>
      <w:r>
        <w:rPr>
          <w:b w:val="1"/>
        </w:rPr>
        <w:instrText>HYPERLINK \l "__RefHeading___29"</w:instrText>
      </w:r>
      <w:r>
        <w:rPr>
          <w:b w:val="1"/>
        </w:rPr>
        <w:fldChar w:fldCharType="separate"/>
      </w:r>
      <w:r>
        <w:rPr>
          <w:b w:val="1"/>
        </w:rPr>
        <w:t xml:space="preserve">Раздел </w:t>
      </w:r>
      <w:r>
        <w:rPr>
          <w:b w:val="1"/>
        </w:rPr>
        <w:t>10</w:t>
      </w:r>
      <w:r>
        <w:rPr>
          <w:b w:val="1"/>
        </w:rPr>
        <w:t xml:space="preserve">. </w:t>
      </w:r>
      <w:r>
        <w:rPr>
          <w:b w:val="1"/>
        </w:rPr>
        <w:t>Кадровая и социальная политика</w:t>
      </w:r>
      <w:r>
        <w:tab/>
      </w:r>
      <w:r>
        <w:fldChar w:fldCharType="begin"/>
      </w:r>
      <w:r>
        <w:instrText>PAGEREF __RefHeading___29 \h</w:instrText>
      </w:r>
      <w:r>
        <w:fldChar w:fldCharType="separate"/>
      </w:r>
      <w:r>
        <w:t>116</w:t>
      </w:r>
      <w:r>
        <w:fldChar w:fldCharType="end"/>
      </w:r>
      <w:r>
        <w:rPr>
          <w:b w:val="1"/>
        </w:rPr>
        <w:fldChar w:fldCharType="end"/>
      </w:r>
    </w:p>
    <w:p w14:paraId="75000000">
      <w:pPr>
        <w:pStyle w:val="Style_6"/>
        <w:tabs>
          <w:tab w:leader="none" w:pos="709" w:val="clear"/>
          <w:tab w:leader="none" w:pos="851" w:val="clear"/>
          <w:tab w:leader="none" w:pos="9639" w:val="clear"/>
          <w:tab w:leader="dot" w:pos="9639" w:val="right"/>
        </w:tabs>
        <w:ind/>
      </w:pPr>
      <w:r>
        <w:fldChar w:fldCharType="begin"/>
      </w:r>
      <w:r>
        <w:instrText>HYPERLINK \l "__RefHeading___30"</w:instrText>
      </w:r>
      <w:r>
        <w:fldChar w:fldCharType="separate"/>
      </w:r>
      <w:r>
        <w:t>10</w:t>
      </w:r>
      <w:r>
        <w:t>.1</w:t>
      </w:r>
      <w:r>
        <w:t>.</w:t>
      </w:r>
      <w:r>
        <w:t>Структура работающих по категориям</w:t>
      </w:r>
      <w:r>
        <w:tab/>
      </w:r>
      <w:r>
        <w:fldChar w:fldCharType="begin"/>
      </w:r>
      <w:r>
        <w:instrText>PAGEREF __RefHeading___30 \h</w:instrText>
      </w:r>
      <w:r>
        <w:fldChar w:fldCharType="separate"/>
      </w:r>
      <w:r>
        <w:t>117</w:t>
      </w:r>
      <w:r>
        <w:fldChar w:fldCharType="end"/>
      </w:r>
      <w:r>
        <w:fldChar w:fldCharType="end"/>
      </w:r>
    </w:p>
    <w:p w14:paraId="76000000">
      <w:pPr>
        <w:pStyle w:val="Style_6"/>
        <w:tabs>
          <w:tab w:leader="none" w:pos="709" w:val="clear"/>
          <w:tab w:leader="none" w:pos="851" w:val="clear"/>
          <w:tab w:leader="none" w:pos="9639" w:val="clear"/>
          <w:tab w:leader="dot" w:pos="9639" w:val="right"/>
        </w:tabs>
        <w:ind/>
      </w:pPr>
      <w:r>
        <w:fldChar w:fldCharType="begin"/>
      </w:r>
      <w:r>
        <w:instrText>HYPERLINK \l "__RefHeading___31"</w:instrText>
      </w:r>
      <w:r>
        <w:fldChar w:fldCharType="separate"/>
      </w:r>
      <w:r>
        <w:t>10</w:t>
      </w:r>
      <w:r>
        <w:t xml:space="preserve">.2. </w:t>
      </w:r>
      <w:r>
        <w:t>Возрастной состав работников</w:t>
      </w:r>
      <w:r>
        <w:tab/>
      </w:r>
      <w:r>
        <w:fldChar w:fldCharType="begin"/>
      </w:r>
      <w:r>
        <w:instrText>PAGEREF __RefHeading___31 \h</w:instrText>
      </w:r>
      <w:r>
        <w:fldChar w:fldCharType="separate"/>
      </w:r>
      <w:r>
        <w:t>119</w:t>
      </w:r>
      <w:r>
        <w:fldChar w:fldCharType="end"/>
      </w:r>
      <w:r>
        <w:fldChar w:fldCharType="end"/>
      </w:r>
    </w:p>
    <w:p w14:paraId="77000000">
      <w:pPr>
        <w:pStyle w:val="Style_6"/>
        <w:tabs>
          <w:tab w:leader="none" w:pos="709" w:val="clear"/>
          <w:tab w:leader="none" w:pos="851" w:val="clear"/>
          <w:tab w:leader="none" w:pos="9639" w:val="clear"/>
          <w:tab w:leader="dot" w:pos="9639" w:val="right"/>
        </w:tabs>
        <w:ind/>
      </w:pPr>
      <w:r>
        <w:fldChar w:fldCharType="begin"/>
      </w:r>
      <w:r>
        <w:instrText>HYPERLINK \l "__RefHeading___32"</w:instrText>
      </w:r>
      <w:r>
        <w:fldChar w:fldCharType="separate"/>
      </w:r>
      <w:r>
        <w:t>10</w:t>
      </w:r>
      <w:r>
        <w:t>.3. Текучесть кадров</w:t>
      </w:r>
      <w:r>
        <w:tab/>
      </w:r>
      <w:r>
        <w:fldChar w:fldCharType="begin"/>
      </w:r>
      <w:r>
        <w:instrText>PAGEREF __RefHeading___32 \h</w:instrText>
      </w:r>
      <w:r>
        <w:fldChar w:fldCharType="separate"/>
      </w:r>
      <w:r>
        <w:t>120</w:t>
      </w:r>
      <w:r>
        <w:fldChar w:fldCharType="end"/>
      </w:r>
      <w:r>
        <w:fldChar w:fldCharType="end"/>
      </w:r>
    </w:p>
    <w:p w14:paraId="78000000">
      <w:pPr>
        <w:pStyle w:val="Style_6"/>
        <w:tabs>
          <w:tab w:leader="none" w:pos="709" w:val="clear"/>
          <w:tab w:leader="none" w:pos="851" w:val="clear"/>
          <w:tab w:leader="none" w:pos="9639" w:val="clear"/>
          <w:tab w:leader="dot" w:pos="9639" w:val="right"/>
        </w:tabs>
        <w:ind/>
      </w:pPr>
      <w:r>
        <w:fldChar w:fldCharType="begin"/>
      </w:r>
      <w:r>
        <w:instrText>HYPERLINK \l "__RefHeading___33"</w:instrText>
      </w:r>
      <w:r>
        <w:fldChar w:fldCharType="separate"/>
      </w:r>
      <w:r>
        <w:t>10</w:t>
      </w:r>
      <w:r>
        <w:t>.4. Качественный состав</w:t>
      </w:r>
      <w:r>
        <w:tab/>
      </w:r>
      <w:r>
        <w:fldChar w:fldCharType="begin"/>
      </w:r>
      <w:r>
        <w:instrText>PAGEREF __RefHeading___33 \h</w:instrText>
      </w:r>
      <w:r>
        <w:fldChar w:fldCharType="separate"/>
      </w:r>
      <w:r>
        <w:t>120</w:t>
      </w:r>
      <w:r>
        <w:fldChar w:fldCharType="end"/>
      </w:r>
      <w:r>
        <w:fldChar w:fldCharType="end"/>
      </w:r>
    </w:p>
    <w:p w14:paraId="79000000">
      <w:pPr>
        <w:pStyle w:val="Style_5"/>
        <w:tabs>
          <w:tab w:leader="none" w:pos="9629" w:val="clear"/>
          <w:tab w:leader="dot" w:pos="9639" w:val="right"/>
        </w:tabs>
        <w:ind/>
      </w:pPr>
      <w:r>
        <w:rPr>
          <w:b w:val="1"/>
        </w:rPr>
        <w:fldChar w:fldCharType="begin"/>
      </w:r>
      <w:r>
        <w:rPr>
          <w:b w:val="1"/>
        </w:rPr>
        <w:instrText>HYPERLINK \l "__RefHeading___34"</w:instrText>
      </w:r>
      <w:r>
        <w:rPr>
          <w:b w:val="1"/>
        </w:rPr>
        <w:fldChar w:fldCharType="separate"/>
      </w:r>
      <w:r>
        <w:rPr>
          <w:b w:val="1"/>
        </w:rPr>
        <w:t>Р</w:t>
      </w:r>
      <w:r>
        <w:rPr>
          <w:b w:val="1"/>
        </w:rPr>
        <w:t xml:space="preserve">аздел </w:t>
      </w:r>
      <w:r>
        <w:rPr>
          <w:b w:val="1"/>
        </w:rPr>
        <w:t>11</w:t>
      </w:r>
      <w:r>
        <w:rPr>
          <w:b w:val="1"/>
        </w:rPr>
        <w:t>. Задачи и перспективы Общества на будущий год.</w:t>
      </w:r>
      <w:r>
        <w:tab/>
      </w:r>
      <w:r>
        <w:fldChar w:fldCharType="begin"/>
      </w:r>
      <w:r>
        <w:instrText>PAGEREF __RefHeading___34 \h</w:instrText>
      </w:r>
      <w:r>
        <w:fldChar w:fldCharType="separate"/>
      </w:r>
      <w:r>
        <w:t>121</w:t>
      </w:r>
      <w:r>
        <w:fldChar w:fldCharType="end"/>
      </w:r>
      <w:r>
        <w:rPr>
          <w:b w:val="1"/>
        </w:rPr>
        <w:fldChar w:fldCharType="end"/>
      </w:r>
    </w:p>
    <w:p w14:paraId="7A000000">
      <w:pPr>
        <w:pStyle w:val="Style_6"/>
        <w:tabs>
          <w:tab w:leader="none" w:pos="709" w:val="clear"/>
          <w:tab w:leader="none" w:pos="851" w:val="clear"/>
          <w:tab w:leader="none" w:pos="9639" w:val="clear"/>
          <w:tab w:leader="dot" w:pos="9639" w:val="right"/>
        </w:tabs>
        <w:ind/>
      </w:pPr>
      <w:r>
        <w:fldChar w:fldCharType="begin"/>
      </w:r>
      <w:r>
        <w:instrText>HYPERLINK \l "__RefHeading___35"</w:instrText>
      </w:r>
      <w:r>
        <w:fldChar w:fldCharType="separate"/>
      </w:r>
      <w:r>
        <w:t>11</w:t>
      </w:r>
      <w:r>
        <w:t xml:space="preserve">.1. Стратегия развития </w:t>
      </w:r>
      <w:r>
        <w:t>Общества</w:t>
      </w:r>
      <w:r>
        <w:tab/>
      </w:r>
      <w:r>
        <w:fldChar w:fldCharType="begin"/>
      </w:r>
      <w:r>
        <w:instrText>PAGEREF __RefHeading___35 \h</w:instrText>
      </w:r>
      <w:r>
        <w:fldChar w:fldCharType="separate"/>
      </w:r>
      <w:r>
        <w:t>121</w:t>
      </w:r>
      <w:r>
        <w:fldChar w:fldCharType="end"/>
      </w:r>
      <w:r>
        <w:fldChar w:fldCharType="end"/>
      </w:r>
    </w:p>
    <w:p w14:paraId="7B000000">
      <w:pPr>
        <w:pStyle w:val="Style_6"/>
        <w:tabs>
          <w:tab w:leader="none" w:pos="709" w:val="clear"/>
          <w:tab w:leader="none" w:pos="851" w:val="clear"/>
          <w:tab w:leader="none" w:pos="9639" w:val="clear"/>
          <w:tab w:leader="dot" w:pos="9639" w:val="right"/>
        </w:tabs>
        <w:ind/>
      </w:pPr>
      <w:r>
        <w:fldChar w:fldCharType="begin"/>
      </w:r>
      <w:r>
        <w:instrText>HYPERLINK \l "__RefHeading___36"</w:instrText>
      </w:r>
      <w:r>
        <w:fldChar w:fldCharType="separate"/>
      </w:r>
      <w:r>
        <w:t>11</w:t>
      </w:r>
      <w:r>
        <w:t>.2</w:t>
      </w:r>
      <w:r>
        <w:t>.</w:t>
      </w:r>
      <w:r>
        <w:t xml:space="preserve"> Совершенствование качества обслуживания пассажиров и система стимулиров</w:t>
      </w:r>
      <w:r>
        <w:t>а</w:t>
      </w:r>
      <w:r>
        <w:t>ния продаж</w:t>
      </w:r>
      <w:r>
        <w:tab/>
      </w:r>
      <w:r>
        <w:fldChar w:fldCharType="begin"/>
      </w:r>
      <w:r>
        <w:instrText>PAGEREF __RefHeading___36 \h</w:instrText>
      </w:r>
      <w:r>
        <w:fldChar w:fldCharType="separate"/>
      </w:r>
      <w:r>
        <w:t>123</w:t>
      </w:r>
      <w:r>
        <w:fldChar w:fldCharType="end"/>
      </w:r>
      <w:r>
        <w:fldChar w:fldCharType="end"/>
      </w:r>
    </w:p>
    <w:p w14:paraId="7C000000">
      <w:pPr>
        <w:pStyle w:val="Style_5"/>
        <w:tabs>
          <w:tab w:leader="none" w:pos="9629" w:val="clear"/>
          <w:tab w:leader="dot" w:pos="9639" w:val="right"/>
        </w:tabs>
        <w:ind/>
      </w:pPr>
      <w:r>
        <w:rPr>
          <w:b w:val="1"/>
        </w:rPr>
        <w:fldChar w:fldCharType="begin"/>
      </w:r>
      <w:r>
        <w:rPr>
          <w:b w:val="1"/>
        </w:rPr>
        <w:instrText>HYPERLINK \l "__RefHeading___37"</w:instrText>
      </w:r>
      <w:r>
        <w:rPr>
          <w:b w:val="1"/>
        </w:rPr>
        <w:fldChar w:fldCharType="separate"/>
      </w:r>
      <w:r>
        <w:rPr>
          <w:b w:val="1"/>
        </w:rPr>
        <w:t xml:space="preserve">Раздел </w:t>
      </w:r>
      <w:r>
        <w:rPr>
          <w:b w:val="1"/>
        </w:rPr>
        <w:t>12</w:t>
      </w:r>
      <w:r>
        <w:rPr>
          <w:b w:val="1"/>
        </w:rPr>
        <w:t xml:space="preserve">. </w:t>
      </w:r>
      <w:r>
        <w:rPr>
          <w:b w:val="1"/>
        </w:rPr>
        <w:t>Справочная информация</w:t>
      </w:r>
      <w:r>
        <w:tab/>
      </w:r>
      <w:r>
        <w:fldChar w:fldCharType="begin"/>
      </w:r>
      <w:r>
        <w:instrText>PAGEREF __RefHeading___37 \h</w:instrText>
      </w:r>
      <w:r>
        <w:fldChar w:fldCharType="separate"/>
      </w:r>
      <w:r>
        <w:t>124</w:t>
      </w:r>
      <w:r>
        <w:fldChar w:fldCharType="end"/>
      </w:r>
      <w:r>
        <w:rPr>
          <w:b w:val="1"/>
        </w:rPr>
        <w:fldChar w:fldCharType="end"/>
      </w:r>
    </w:p>
    <w:p w14:paraId="7D000000">
      <w:pPr>
        <w:pStyle w:val="Style_5"/>
        <w:tabs>
          <w:tab w:leader="none" w:pos="9629" w:val="clear"/>
          <w:tab w:leader="dot" w:pos="9639" w:val="right"/>
        </w:tabs>
        <w:ind/>
      </w:pPr>
      <w:r>
        <w:rPr>
          <w:b w:val="1"/>
        </w:rPr>
        <w:fldChar w:fldCharType="begin"/>
      </w:r>
      <w:r>
        <w:rPr>
          <w:b w:val="1"/>
        </w:rPr>
        <w:instrText>HYPERLINK \l "__RefHeading___38"</w:instrText>
      </w:r>
      <w:r>
        <w:rPr>
          <w:b w:val="1"/>
        </w:rPr>
        <w:fldChar w:fldCharType="separate"/>
      </w:r>
      <w:r>
        <w:rPr>
          <w:b w:val="1"/>
        </w:rPr>
        <w:t>Приложения</w:t>
      </w:r>
      <w:r>
        <w:tab/>
      </w:r>
      <w:r>
        <w:fldChar w:fldCharType="begin"/>
      </w:r>
      <w:r>
        <w:instrText>PAGEREF __RefHeading___38 \h</w:instrText>
      </w:r>
      <w:r>
        <w:fldChar w:fldCharType="separate"/>
      </w:r>
      <w:r>
        <w:t>125</w:t>
      </w:r>
      <w:r>
        <w:fldChar w:fldCharType="end"/>
      </w:r>
      <w:r>
        <w:rPr>
          <w:b w:val="1"/>
        </w:rPr>
        <w:fldChar w:fldCharType="end"/>
      </w:r>
    </w:p>
    <w:p w14:paraId="7E000000">
      <w:pPr>
        <w:pStyle w:val="Style_6"/>
        <w:tabs>
          <w:tab w:leader="none" w:pos="709" w:val="clear"/>
          <w:tab w:leader="none" w:pos="851" w:val="clear"/>
          <w:tab w:leader="none" w:pos="9639" w:val="clear"/>
          <w:tab w:leader="dot" w:pos="9639" w:val="right"/>
        </w:tabs>
        <w:ind/>
      </w:pPr>
      <w:r>
        <w:fldChar w:fldCharType="begin"/>
      </w:r>
      <w:r>
        <w:instrText>HYPERLINK \l "__RefHeading___39"</w:instrText>
      </w:r>
      <w:r>
        <w:fldChar w:fldCharType="separate"/>
      </w:r>
      <w:r>
        <w:t xml:space="preserve">Приложение 1. </w:t>
      </w:r>
      <w:r>
        <w:t>Отчет о решении Совета директоров Общества за 201</w:t>
      </w:r>
      <w:r>
        <w:t>8</w:t>
      </w:r>
      <w:r>
        <w:t xml:space="preserve"> </w:t>
      </w:r>
      <w:r>
        <w:t>г.</w:t>
      </w:r>
      <w:r>
        <w:tab/>
      </w:r>
      <w:r>
        <w:fldChar w:fldCharType="begin"/>
      </w:r>
      <w:r>
        <w:instrText>PAGEREF __RefHeading___39 \h</w:instrText>
      </w:r>
      <w:r>
        <w:fldChar w:fldCharType="separate"/>
      </w:r>
      <w:r>
        <w:t>125</w:t>
      </w:r>
      <w:r>
        <w:fldChar w:fldCharType="end"/>
      </w:r>
      <w:r>
        <w:fldChar w:fldCharType="end"/>
      </w:r>
    </w:p>
    <w:p w14:paraId="7F000000">
      <w:pPr>
        <w:pStyle w:val="Style_6"/>
        <w:tabs>
          <w:tab w:leader="none" w:pos="709" w:val="clear"/>
          <w:tab w:leader="none" w:pos="851" w:val="clear"/>
          <w:tab w:leader="none" w:pos="9639" w:val="clear"/>
          <w:tab w:leader="dot" w:pos="9639" w:val="right"/>
        </w:tabs>
        <w:ind/>
      </w:pPr>
      <w:r>
        <w:fldChar w:fldCharType="begin"/>
      </w:r>
      <w:r>
        <w:instrText>HYPERLINK \l "__RefHeading___40"</w:instrText>
      </w:r>
      <w:r>
        <w:fldChar w:fldCharType="separate"/>
      </w:r>
      <w:r>
        <w:t xml:space="preserve">Приложение 2. </w:t>
      </w:r>
      <w:r>
        <w:t>Отчет о договорной работе за 201</w:t>
      </w:r>
      <w:r>
        <w:t>8</w:t>
      </w:r>
      <w:r>
        <w:t>г.</w:t>
      </w:r>
      <w:r>
        <w:tab/>
      </w:r>
      <w:r>
        <w:fldChar w:fldCharType="begin"/>
      </w:r>
      <w:r>
        <w:instrText>PAGEREF __RefHeading___40 \h</w:instrText>
      </w:r>
      <w:r>
        <w:fldChar w:fldCharType="separate"/>
      </w:r>
      <w:r>
        <w:t>128</w:t>
      </w:r>
      <w:r>
        <w:fldChar w:fldCharType="end"/>
      </w:r>
      <w:r>
        <w:fldChar w:fldCharType="end"/>
      </w:r>
    </w:p>
    <w:p w14:paraId="80000000">
      <w:pPr>
        <w:pStyle w:val="Style_6"/>
        <w:tabs>
          <w:tab w:leader="none" w:pos="709" w:val="clear"/>
          <w:tab w:leader="none" w:pos="851" w:val="clear"/>
          <w:tab w:leader="none" w:pos="9639" w:val="clear"/>
          <w:tab w:leader="dot" w:pos="9639" w:val="right"/>
        </w:tabs>
        <w:ind/>
      </w:pPr>
      <w:r>
        <w:fldChar w:fldCharType="begin"/>
      </w:r>
      <w:r>
        <w:instrText>HYPERLINK \l "__RefHeading___41"</w:instrText>
      </w:r>
      <w:r>
        <w:fldChar w:fldCharType="separate"/>
      </w:r>
      <w:r>
        <w:t xml:space="preserve">Приложение 3. </w:t>
      </w:r>
      <w:r>
        <w:t>Сделки 201</w:t>
      </w:r>
      <w:r>
        <w:t>8</w:t>
      </w:r>
      <w:r>
        <w:t>г., в совершении которых имеется заинтересованность</w:t>
      </w:r>
      <w:r>
        <w:tab/>
      </w:r>
      <w:r>
        <w:fldChar w:fldCharType="begin"/>
      </w:r>
      <w:r>
        <w:instrText>PAGEREF __RefHeading___41 \h</w:instrText>
      </w:r>
      <w:r>
        <w:fldChar w:fldCharType="separate"/>
      </w:r>
      <w:r>
        <w:t>303</w:t>
      </w:r>
      <w:r>
        <w:fldChar w:fldCharType="end"/>
      </w:r>
      <w:r>
        <w:fldChar w:fldCharType="end"/>
      </w:r>
    </w:p>
    <w:p w14:paraId="81000000">
      <w:pPr>
        <w:pStyle w:val="Style_6"/>
        <w:tabs>
          <w:tab w:leader="none" w:pos="709" w:val="clear"/>
          <w:tab w:leader="none" w:pos="851" w:val="clear"/>
          <w:tab w:leader="none" w:pos="9639" w:val="clear"/>
          <w:tab w:leader="dot" w:pos="9639" w:val="right"/>
        </w:tabs>
        <w:ind/>
      </w:pPr>
      <w:r>
        <w:fldChar w:fldCharType="begin"/>
      </w:r>
      <w:r>
        <w:instrText>HYPERLINK \l "__RefHeading___42"</w:instrText>
      </w:r>
      <w:r>
        <w:fldChar w:fldCharType="separate"/>
      </w:r>
      <w:r>
        <w:t xml:space="preserve">Приложение </w:t>
      </w:r>
      <w:r>
        <w:t>4</w:t>
      </w:r>
      <w:r>
        <w:t>. Отчет о закупочной деятельности 201</w:t>
      </w:r>
      <w:r>
        <w:t>8</w:t>
      </w:r>
      <w:r>
        <w:t>г.</w:t>
      </w:r>
      <w:r>
        <w:tab/>
      </w:r>
      <w:r>
        <w:fldChar w:fldCharType="begin"/>
      </w:r>
      <w:r>
        <w:instrText>PAGEREF __RefHeading___42 \h</w:instrText>
      </w:r>
      <w:r>
        <w:fldChar w:fldCharType="separate"/>
      </w:r>
      <w:r>
        <w:t>349</w:t>
      </w:r>
      <w:r>
        <w:fldChar w:fldCharType="end"/>
      </w:r>
      <w:r>
        <w:fldChar w:fldCharType="end"/>
      </w:r>
    </w:p>
    <w:p w14:paraId="82000000">
      <w:pPr>
        <w:pStyle w:val="Style_6"/>
        <w:tabs>
          <w:tab w:leader="none" w:pos="709" w:val="clear"/>
          <w:tab w:leader="none" w:pos="851" w:val="clear"/>
          <w:tab w:leader="none" w:pos="9639" w:val="clear"/>
          <w:tab w:leader="dot" w:pos="9639" w:val="right"/>
        </w:tabs>
        <w:ind/>
      </w:pPr>
      <w:r>
        <w:fldChar w:fldCharType="begin"/>
      </w:r>
      <w:r>
        <w:instrText>HYPERLINK \l "__RefHeading___43"</w:instrText>
      </w:r>
      <w:r>
        <w:fldChar w:fldCharType="separate"/>
      </w:r>
      <w:r>
        <w:t>П</w:t>
      </w:r>
      <w:r>
        <w:t xml:space="preserve">риложение </w:t>
      </w:r>
      <w:r>
        <w:t>5</w:t>
      </w:r>
      <w:r>
        <w:t>. Расшифровка дебиторской задолженности  АО "Краспригород" за 201</w:t>
      </w:r>
      <w:r>
        <w:t>8</w:t>
      </w:r>
      <w:r>
        <w:t xml:space="preserve"> </w:t>
      </w:r>
      <w:r>
        <w:t>г</w:t>
      </w:r>
      <w:r>
        <w:tab/>
      </w:r>
      <w:r>
        <w:fldChar w:fldCharType="begin"/>
      </w:r>
      <w:r>
        <w:instrText>PAGEREF __RefHeading___43 \h</w:instrText>
      </w:r>
      <w:r>
        <w:fldChar w:fldCharType="separate"/>
      </w:r>
      <w:r>
        <w:t>403</w:t>
      </w:r>
      <w:r>
        <w:fldChar w:fldCharType="end"/>
      </w:r>
      <w:r>
        <w:fldChar w:fldCharType="end"/>
      </w:r>
    </w:p>
    <w:p w14:paraId="83000000">
      <w:pPr>
        <w:pStyle w:val="Style_6"/>
        <w:tabs>
          <w:tab w:leader="none" w:pos="709" w:val="clear"/>
          <w:tab w:leader="none" w:pos="851" w:val="clear"/>
          <w:tab w:leader="none" w:pos="9639" w:val="clear"/>
          <w:tab w:leader="dot" w:pos="9639" w:val="right"/>
        </w:tabs>
        <w:ind/>
      </w:pPr>
      <w:r>
        <w:fldChar w:fldCharType="begin"/>
      </w:r>
      <w:r>
        <w:instrText>HYPERLINK \l "__RefHeading___44"</w:instrText>
      </w:r>
      <w:r>
        <w:fldChar w:fldCharType="separate"/>
      </w:r>
      <w:r>
        <w:t xml:space="preserve">Приложение </w:t>
      </w:r>
      <w:r>
        <w:t>6</w:t>
      </w:r>
      <w:r>
        <w:t>. Расшифровка кредиторской задолженности АО "Краспригород" за 201</w:t>
      </w:r>
      <w:r>
        <w:t>8</w:t>
      </w:r>
      <w:r>
        <w:t>г.</w:t>
      </w:r>
      <w:r>
        <w:tab/>
      </w:r>
      <w:r>
        <w:fldChar w:fldCharType="begin"/>
      </w:r>
      <w:r>
        <w:instrText>PAGEREF __RefHeading___44 \h</w:instrText>
      </w:r>
      <w:r>
        <w:fldChar w:fldCharType="separate"/>
      </w:r>
      <w:r>
        <w:t>407</w:t>
      </w:r>
      <w:r>
        <w:fldChar w:fldCharType="end"/>
      </w:r>
      <w:r>
        <w:fldChar w:fldCharType="end"/>
      </w:r>
    </w:p>
    <w:p w14:paraId="84000000">
      <w:pPr>
        <w:pStyle w:val="Style_6"/>
        <w:tabs>
          <w:tab w:leader="none" w:pos="709" w:val="clear"/>
          <w:tab w:leader="none" w:pos="851" w:val="clear"/>
          <w:tab w:leader="none" w:pos="9639" w:val="clear"/>
          <w:tab w:leader="dot" w:pos="9639" w:val="right"/>
        </w:tabs>
        <w:ind/>
      </w:pPr>
      <w:r>
        <w:fldChar w:fldCharType="begin"/>
      </w:r>
      <w:r>
        <w:instrText>HYPERLINK \l "__RefHeading___45"</w:instrText>
      </w:r>
      <w:r>
        <w:fldChar w:fldCharType="separate"/>
      </w:r>
      <w:r>
        <w:t xml:space="preserve">Приложение </w:t>
      </w:r>
      <w:r>
        <w:t>7</w:t>
      </w:r>
      <w:r>
        <w:t>. Информация о реализации непрофильных активов за 201</w:t>
      </w:r>
      <w:r>
        <w:t>8</w:t>
      </w:r>
      <w:r>
        <w:t>г.</w:t>
      </w:r>
      <w:r>
        <w:tab/>
      </w:r>
      <w:r>
        <w:fldChar w:fldCharType="begin"/>
      </w:r>
      <w:r>
        <w:instrText>PAGEREF __RefHeading___45 \h</w:instrText>
      </w:r>
      <w:r>
        <w:fldChar w:fldCharType="separate"/>
      </w:r>
      <w:r>
        <w:t>412</w:t>
      </w:r>
      <w:r>
        <w:fldChar w:fldCharType="end"/>
      </w:r>
      <w:r>
        <w:fldChar w:fldCharType="end"/>
      </w:r>
    </w:p>
    <w:p w14:paraId="85000000">
      <w:pPr>
        <w:pStyle w:val="Style_6"/>
        <w:tabs>
          <w:tab w:leader="none" w:pos="709" w:val="clear"/>
          <w:tab w:leader="none" w:pos="851" w:val="clear"/>
          <w:tab w:leader="none" w:pos="9639" w:val="clear"/>
          <w:tab w:leader="dot" w:pos="9639" w:val="right"/>
        </w:tabs>
        <w:ind/>
      </w:pPr>
      <w:r>
        <w:fldChar w:fldCharType="begin"/>
      </w:r>
      <w:r>
        <w:instrText>HYPERLINK \l "__RefHeading___46"</w:instrText>
      </w:r>
      <w:r>
        <w:fldChar w:fldCharType="separate"/>
      </w:r>
      <w:r>
        <w:t xml:space="preserve">Приложение </w:t>
      </w:r>
      <w:r>
        <w:t>8</w:t>
      </w:r>
      <w:r>
        <w:t>. Схема "Структура Общества"</w:t>
      </w:r>
      <w:r>
        <w:tab/>
      </w:r>
      <w:r>
        <w:fldChar w:fldCharType="begin"/>
      </w:r>
      <w:r>
        <w:instrText>PAGEREF __RefHeading___46 \h</w:instrText>
      </w:r>
      <w:r>
        <w:fldChar w:fldCharType="separate"/>
      </w:r>
      <w:r>
        <w:t>413</w:t>
      </w:r>
      <w:r>
        <w:fldChar w:fldCharType="end"/>
      </w:r>
      <w:r>
        <w:fldChar w:fldCharType="end"/>
      </w:r>
    </w:p>
    <w:p w14:paraId="87000000">
      <w:pPr>
        <w:widowControl w:val="1"/>
        <w:ind w:firstLine="709"/>
        <w:contextualSpacing w:val="1"/>
        <w:jc w:val="both"/>
        <w:rPr>
          <w:b w:val="1"/>
        </w:rPr>
      </w:pPr>
      <w:r>
        <w:fldChar w:fldCharType="end"/>
      </w:r>
    </w:p>
    <w:p w14:paraId="88000000">
      <w:bookmarkStart w:id="1" w:name="__RefHeading___1"/>
      <w:bookmarkEnd w:id="1"/>
      <w:pPr>
        <w:pStyle w:val="Style_7"/>
        <w:pageBreakBefore w:val="1"/>
        <w:widowControl w:val="1"/>
        <w:ind w:firstLine="709"/>
        <w:contextualSpacing w:val="1"/>
        <w:jc w:val="both"/>
        <w:rPr>
          <w:b w:val="1"/>
          <w:color w:val="000000"/>
          <w:sz w:val="24"/>
        </w:rPr>
      </w:pPr>
      <w:r>
        <w:rPr>
          <w:b w:val="1"/>
          <w:color w:val="000000"/>
          <w:sz w:val="24"/>
        </w:rPr>
        <w:t>Раздел 1. Обращение  к акционерам</w:t>
      </w:r>
      <w:r>
        <w:rPr>
          <w:b w:val="1"/>
          <w:color w:val="000000"/>
          <w:sz w:val="24"/>
        </w:rPr>
        <w:t xml:space="preserve"> </w:t>
      </w:r>
      <w:r>
        <w:rPr>
          <w:b w:val="1"/>
          <w:color w:val="000000"/>
          <w:sz w:val="24"/>
        </w:rPr>
        <w:t xml:space="preserve"> Председателя Совета директоров и Генерального директора АО «Краспригород».</w:t>
      </w:r>
    </w:p>
    <w:p w14:paraId="89000000">
      <w:pPr>
        <w:widowControl w:val="1"/>
        <w:ind w:firstLine="709"/>
        <w:contextualSpacing w:val="1"/>
      </w:pPr>
    </w:p>
    <w:p w14:paraId="8A000000">
      <w:pPr>
        <w:widowControl w:val="1"/>
        <w:ind w:firstLine="709"/>
        <w:contextualSpacing w:val="1"/>
        <w:jc w:val="center"/>
        <w:rPr>
          <w:b w:val="1"/>
        </w:rPr>
      </w:pPr>
    </w:p>
    <w:p w14:paraId="8B000000">
      <w:pPr>
        <w:widowControl w:val="1"/>
        <w:ind w:firstLine="709"/>
        <w:contextualSpacing w:val="1"/>
        <w:jc w:val="center"/>
        <w:rPr>
          <w:b w:val="1"/>
        </w:rPr>
      </w:pPr>
      <w:r>
        <w:rPr>
          <w:b w:val="1"/>
        </w:rPr>
        <w:t>Обращение Председателя Совета директоров Общества</w:t>
      </w:r>
    </w:p>
    <w:p w14:paraId="8C000000">
      <w:pPr>
        <w:widowControl w:val="1"/>
        <w:spacing w:line="360" w:lineRule="auto"/>
        <w:ind w:firstLine="709"/>
        <w:contextualSpacing w:val="1"/>
        <w:jc w:val="center"/>
      </w:pPr>
    </w:p>
    <w:p w14:paraId="8D000000">
      <w:pPr>
        <w:widowControl w:val="1"/>
        <w:spacing w:line="360" w:lineRule="auto"/>
        <w:ind w:firstLine="709"/>
        <w:contextualSpacing w:val="1"/>
        <w:jc w:val="center"/>
      </w:pPr>
    </w:p>
    <w:p w14:paraId="8E000000">
      <w:pPr>
        <w:widowControl w:val="1"/>
        <w:spacing w:line="360" w:lineRule="auto"/>
        <w:ind w:firstLine="709"/>
        <w:contextualSpacing w:val="1"/>
        <w:jc w:val="center"/>
      </w:pPr>
    </w:p>
    <w:p w14:paraId="8F000000">
      <w:pPr>
        <w:widowControl w:val="1"/>
        <w:spacing w:line="360" w:lineRule="auto"/>
        <w:ind w:firstLine="709"/>
        <w:contextualSpacing w:val="1"/>
        <w:jc w:val="center"/>
      </w:pPr>
      <w:r>
        <w:t>Уважаемые акционеры!</w:t>
      </w:r>
    </w:p>
    <w:p w14:paraId="90000000">
      <w:pPr>
        <w:widowControl w:val="1"/>
        <w:spacing w:line="360" w:lineRule="auto"/>
        <w:ind w:firstLine="709"/>
        <w:contextualSpacing w:val="1"/>
        <w:jc w:val="both"/>
      </w:pPr>
    </w:p>
    <w:p w14:paraId="91000000">
      <w:pPr>
        <w:widowControl w:val="1"/>
        <w:spacing w:line="360" w:lineRule="auto"/>
        <w:ind w:firstLine="709"/>
        <w:contextualSpacing w:val="1"/>
        <w:jc w:val="both"/>
      </w:pPr>
      <w:r>
        <w:t xml:space="preserve">Залогом эффективной организации пригородных  железнодорожных перевозок, несомненно,  является тесное  взаимодействие и сотрудничество региональных органов государственной власти, ОАО «РЖД» и компании перевозчика. </w:t>
      </w:r>
    </w:p>
    <w:p w14:paraId="92000000">
      <w:pPr>
        <w:widowControl w:val="1"/>
        <w:spacing w:line="360" w:lineRule="auto"/>
        <w:ind w:firstLine="709"/>
        <w:contextualSpacing w:val="1"/>
        <w:jc w:val="both"/>
      </w:pPr>
      <w:r>
        <w:t xml:space="preserve">В  качестве перевозчика в границах Красноярской железной дороги компания осуществляет свою деятельность на протяжении </w:t>
      </w:r>
      <w:r>
        <w:t>1</w:t>
      </w:r>
      <w:r>
        <w:t>1</w:t>
      </w:r>
      <w:r>
        <w:t xml:space="preserve"> лет.</w:t>
      </w:r>
    </w:p>
    <w:p w14:paraId="93000000">
      <w:pPr>
        <w:widowControl w:val="1"/>
        <w:spacing w:line="360" w:lineRule="auto"/>
        <w:ind w:firstLine="709"/>
        <w:contextualSpacing w:val="1"/>
        <w:jc w:val="both"/>
        <w:rPr>
          <w:color w:val="000000"/>
        </w:rPr>
      </w:pPr>
      <w:r>
        <w:rPr>
          <w:color w:val="000000"/>
        </w:rPr>
        <w:t>В текущем году, как и в предыдущие годы, АО «Краспригород» оказывало  качественные услуги пассажирам, обеспечивая потребности населения в пригородных перевозках железнодорожным транспортом, учитывая мнени</w:t>
      </w:r>
      <w:r>
        <w:rPr>
          <w:color w:val="000000"/>
        </w:rPr>
        <w:t>е</w:t>
      </w:r>
      <w:r>
        <w:rPr>
          <w:color w:val="000000"/>
        </w:rPr>
        <w:t xml:space="preserve"> потребителей данной услуги.</w:t>
      </w:r>
    </w:p>
    <w:p w14:paraId="94000000">
      <w:pPr>
        <w:widowControl w:val="1"/>
        <w:spacing w:line="360" w:lineRule="auto"/>
        <w:ind w:firstLine="709"/>
        <w:contextualSpacing w:val="1"/>
        <w:jc w:val="both"/>
      </w:pPr>
      <w:r>
        <w:rPr>
          <w:color w:val="000000"/>
        </w:rPr>
        <w:t xml:space="preserve">В </w:t>
      </w:r>
      <w:r>
        <w:rPr>
          <w:color w:val="000000"/>
        </w:rPr>
        <w:t>2</w:t>
      </w:r>
      <w:r>
        <w:rPr>
          <w:color w:val="000000"/>
        </w:rPr>
        <w:t>01</w:t>
      </w:r>
      <w:r>
        <w:rPr>
          <w:color w:val="000000"/>
        </w:rPr>
        <w:t>8</w:t>
      </w:r>
      <w:r>
        <w:rPr>
          <w:color w:val="000000"/>
        </w:rPr>
        <w:t xml:space="preserve"> год</w:t>
      </w:r>
      <w:r>
        <w:rPr>
          <w:color w:val="000000"/>
        </w:rPr>
        <w:t>у</w:t>
      </w:r>
      <w:r>
        <w:rPr>
          <w:color w:val="000000"/>
        </w:rPr>
        <w:t xml:space="preserve"> </w:t>
      </w:r>
      <w:r>
        <w:rPr>
          <w:color w:val="000000"/>
        </w:rPr>
        <w:t xml:space="preserve">перевозочная деятельность </w:t>
      </w:r>
      <w:r>
        <w:rPr>
          <w:color w:val="000000"/>
        </w:rPr>
        <w:t>компани</w:t>
      </w:r>
      <w:r>
        <w:rPr>
          <w:color w:val="000000"/>
        </w:rPr>
        <w:t>и</w:t>
      </w:r>
      <w:r>
        <w:rPr>
          <w:color w:val="000000"/>
        </w:rPr>
        <w:t xml:space="preserve"> осуществляла</w:t>
      </w:r>
      <w:r>
        <w:rPr>
          <w:color w:val="000000"/>
        </w:rPr>
        <w:t>сь</w:t>
      </w:r>
      <w:r>
        <w:rPr>
          <w:color w:val="000000"/>
        </w:rPr>
        <w:t xml:space="preserve"> на полигон</w:t>
      </w:r>
      <w:r>
        <w:rPr>
          <w:color w:val="000000"/>
        </w:rPr>
        <w:t>е</w:t>
      </w:r>
      <w:r>
        <w:rPr>
          <w:color w:val="000000"/>
        </w:rPr>
        <w:t xml:space="preserve"> обслуживания Красноярской железной дороги в границах трех субъектов</w:t>
      </w:r>
      <w:r>
        <w:rPr>
          <w:color w:val="000000"/>
        </w:rPr>
        <w:t>:</w:t>
      </w:r>
      <w:r>
        <w:rPr>
          <w:color w:val="000000"/>
        </w:rPr>
        <w:t xml:space="preserve"> Красноярского края, Республики Хакасия, Кемеровской области.</w:t>
      </w:r>
    </w:p>
    <w:p w14:paraId="95000000">
      <w:pPr>
        <w:widowControl w:val="1"/>
        <w:spacing w:line="360" w:lineRule="auto"/>
        <w:ind w:firstLine="709"/>
        <w:contextualSpacing w:val="1"/>
        <w:jc w:val="both"/>
      </w:pPr>
      <w:r>
        <w:t>Корпоративное управление в компании осуществляется</w:t>
      </w:r>
      <w:r>
        <w:t xml:space="preserve"> в соответствии с </w:t>
      </w:r>
      <w:r>
        <w:t xml:space="preserve"> законодательств</w:t>
      </w:r>
      <w:r>
        <w:t>ом</w:t>
      </w:r>
      <w:r>
        <w:t xml:space="preserve"> РФ и рекомендаци</w:t>
      </w:r>
      <w:r>
        <w:t xml:space="preserve">ями </w:t>
      </w:r>
      <w:r>
        <w:t>Кодекса корпоративного поведения. Действия должностных лиц Общества направлены на повышение доверия к Обществу, реализацию прав и обеспечение интересов акционеров Общества.</w:t>
      </w:r>
    </w:p>
    <w:p w14:paraId="96000000">
      <w:pPr>
        <w:widowControl w:val="1"/>
        <w:spacing w:line="360" w:lineRule="auto"/>
        <w:ind w:firstLine="709"/>
        <w:contextualSpacing w:val="1"/>
        <w:jc w:val="both"/>
        <w:rPr>
          <w:color w:val="000000"/>
          <w:highlight w:val="cyan"/>
        </w:rPr>
      </w:pPr>
    </w:p>
    <w:p w14:paraId="97000000">
      <w:pPr>
        <w:widowControl w:val="1"/>
        <w:spacing w:line="360" w:lineRule="auto"/>
        <w:ind w:firstLine="709"/>
        <w:jc w:val="both"/>
        <w:rPr>
          <w:color w:val="000000"/>
        </w:rPr>
      </w:pPr>
      <w:r>
        <w:rPr>
          <w:color w:val="000000"/>
        </w:rPr>
        <w:t>За 2018 год проведено 13 заседаний Совета директоров, на которых рассмотрено 85 вопросов. По рассмотренным вопросам  83 решения выполнены в полном объеме, 2  поручения по вопросу 3.2. протокол №10 от 30.03.2018г., по вопросу 10.2. протокол № 7 от 29.12.2018г. находятся в стадии исполнения.</w:t>
      </w:r>
    </w:p>
    <w:p w14:paraId="98000000">
      <w:pPr>
        <w:widowControl w:val="1"/>
        <w:spacing w:line="360" w:lineRule="auto"/>
        <w:ind w:firstLine="709"/>
        <w:contextualSpacing w:val="1"/>
        <w:jc w:val="both"/>
      </w:pPr>
      <w:r>
        <w:t>Оценивая деятельность Общества, Совет Директоров отмечает положительные тенденции и достигнутые результаты:</w:t>
      </w:r>
    </w:p>
    <w:p w14:paraId="99000000">
      <w:pPr>
        <w:widowControl w:val="1"/>
        <w:spacing w:line="360" w:lineRule="auto"/>
        <w:ind w:firstLine="709"/>
        <w:contextualSpacing w:val="1"/>
        <w:jc w:val="both"/>
      </w:pPr>
      <w:r>
        <w:t>1. Ос</w:t>
      </w:r>
      <w:r>
        <w:t xml:space="preserve">новным ключевым достижением </w:t>
      </w:r>
      <w:r>
        <w:t>компании за 201</w:t>
      </w:r>
      <w:r>
        <w:t>8</w:t>
      </w:r>
      <w:r>
        <w:t xml:space="preserve"> год является </w:t>
      </w:r>
      <w:r>
        <w:t xml:space="preserve"> безубыточная деятельность</w:t>
      </w:r>
      <w:r>
        <w:t xml:space="preserve"> от пригородных</w:t>
      </w:r>
      <w:r>
        <w:t xml:space="preserve"> перевозок</w:t>
      </w:r>
      <w:r>
        <w:t xml:space="preserve">, </w:t>
      </w:r>
      <w:r>
        <w:t xml:space="preserve"> </w:t>
      </w:r>
      <w:r>
        <w:t>при</w:t>
      </w:r>
      <w:r>
        <w:t xml:space="preserve"> </w:t>
      </w:r>
      <w:r>
        <w:t>сохране</w:t>
      </w:r>
      <w:r>
        <w:t>ни</w:t>
      </w:r>
      <w:r>
        <w:t>и</w:t>
      </w:r>
      <w:r>
        <w:t xml:space="preserve"> размеров движения</w:t>
      </w:r>
      <w:r>
        <w:t xml:space="preserve"> пригородных поездов</w:t>
      </w:r>
      <w:r>
        <w:t xml:space="preserve"> в регионах.  </w:t>
      </w:r>
    </w:p>
    <w:p w14:paraId="9A000000">
      <w:pPr>
        <w:widowControl w:val="1"/>
        <w:tabs>
          <w:tab w:leader="none" w:pos="0" w:val="left"/>
        </w:tabs>
        <w:spacing w:line="360" w:lineRule="auto"/>
        <w:ind w:firstLine="709"/>
        <w:contextualSpacing w:val="1"/>
        <w:jc w:val="both"/>
      </w:pPr>
      <w:r>
        <w:t xml:space="preserve">2. Силами компании </w:t>
      </w:r>
      <w:r>
        <w:t xml:space="preserve">продолжено </w:t>
      </w:r>
      <w:r>
        <w:t>движение пригородных поездов на тепловозной тяге на   направлениях  Ачинск-</w:t>
      </w:r>
      <w:r>
        <w:t xml:space="preserve">Суриково, Суриково - </w:t>
      </w:r>
      <w:r>
        <w:t xml:space="preserve">Лесосибирск, </w:t>
      </w:r>
      <w:r>
        <w:t xml:space="preserve"> </w:t>
      </w:r>
      <w:r>
        <w:t>Решоты-Чунояр,  Аскиз-Абаза</w:t>
      </w:r>
      <w:r>
        <w:t>.</w:t>
      </w:r>
    </w:p>
    <w:p w14:paraId="9B000000">
      <w:pPr>
        <w:widowControl w:val="1"/>
        <w:spacing w:line="360" w:lineRule="auto"/>
        <w:ind w:firstLine="709"/>
        <w:contextualSpacing w:val="1"/>
        <w:jc w:val="both"/>
        <w:rPr>
          <w:color w:val="000000"/>
        </w:rPr>
      </w:pPr>
      <w:r>
        <w:t>3</w:t>
      </w:r>
      <w:r>
        <w:t>.</w:t>
      </w:r>
      <w:r>
        <w:rPr>
          <w:color w:val="000000"/>
        </w:rPr>
        <w:t xml:space="preserve"> В соответствии с  региональными законами, </w:t>
      </w:r>
      <w:r>
        <w:t>во всех обслуживаемых регионах в 201</w:t>
      </w:r>
      <w:r>
        <w:t>8</w:t>
      </w:r>
      <w:r>
        <w:t xml:space="preserve"> году были </w:t>
      </w:r>
      <w:r>
        <w:rPr>
          <w:color w:val="000000"/>
        </w:rPr>
        <w:t>предоставлены льготы на проезд обучающимся, а также отдельным категориям пассажиров</w:t>
      </w:r>
      <w:r>
        <w:rPr>
          <w:color w:val="000000"/>
        </w:rPr>
        <w:t>,</w:t>
      </w:r>
      <w:r>
        <w:rPr>
          <w:color w:val="000000"/>
        </w:rPr>
        <w:t xml:space="preserve"> с полной компенсацией выпадающих доходов перевозчика. </w:t>
      </w:r>
    </w:p>
    <w:p w14:paraId="9C000000">
      <w:pPr>
        <w:pStyle w:val="Style_8"/>
        <w:widowControl w:val="1"/>
        <w:spacing w:line="360" w:lineRule="auto"/>
        <w:ind w:firstLine="709"/>
        <w:contextualSpacing w:val="1"/>
        <w:jc w:val="both"/>
        <w:rPr>
          <w:rFonts w:ascii="Times New Roman" w:hAnsi="Times New Roman"/>
          <w:b w:val="0"/>
          <w:sz w:val="24"/>
        </w:rPr>
      </w:pPr>
      <w:r>
        <w:rPr>
          <w:rFonts w:ascii="Times New Roman" w:hAnsi="Times New Roman"/>
          <w:b w:val="0"/>
          <w:spacing w:val="-8"/>
          <w:sz w:val="24"/>
        </w:rPr>
        <w:t>4</w:t>
      </w:r>
      <w:r>
        <w:rPr>
          <w:rFonts w:ascii="Times New Roman" w:hAnsi="Times New Roman"/>
          <w:b w:val="0"/>
          <w:spacing w:val="-8"/>
          <w:sz w:val="24"/>
        </w:rPr>
        <w:t>.</w:t>
      </w:r>
      <w:r>
        <w:rPr>
          <w:rFonts w:ascii="Times New Roman" w:hAnsi="Times New Roman"/>
          <w:b w:val="0"/>
          <w:sz w:val="24"/>
        </w:rPr>
        <w:t xml:space="preserve"> Большое внимание компанией уделялось в 201</w:t>
      </w:r>
      <w:r>
        <w:rPr>
          <w:rFonts w:ascii="Times New Roman" w:hAnsi="Times New Roman"/>
          <w:b w:val="0"/>
          <w:sz w:val="24"/>
        </w:rPr>
        <w:t>8</w:t>
      </w:r>
      <w:r>
        <w:rPr>
          <w:rFonts w:ascii="Times New Roman" w:hAnsi="Times New Roman"/>
          <w:b w:val="0"/>
          <w:sz w:val="24"/>
        </w:rPr>
        <w:t xml:space="preserve"> </w:t>
      </w:r>
      <w:r>
        <w:rPr>
          <w:rFonts w:ascii="Times New Roman" w:hAnsi="Times New Roman"/>
          <w:b w:val="0"/>
          <w:sz w:val="24"/>
        </w:rPr>
        <w:t>году перспективному направле</w:t>
      </w:r>
      <w:r>
        <w:rPr>
          <w:rFonts w:ascii="Times New Roman" w:hAnsi="Times New Roman"/>
          <w:b w:val="0"/>
          <w:sz w:val="24"/>
        </w:rPr>
        <w:t xml:space="preserve">нию </w:t>
      </w:r>
      <w:r>
        <w:rPr>
          <w:rFonts w:ascii="Times New Roman" w:hAnsi="Times New Roman"/>
          <w:b w:val="0"/>
          <w:sz w:val="24"/>
        </w:rPr>
        <w:t xml:space="preserve">- </w:t>
      </w:r>
      <w:r>
        <w:rPr>
          <w:rFonts w:ascii="Times New Roman" w:hAnsi="Times New Roman"/>
          <w:b w:val="0"/>
          <w:sz w:val="24"/>
        </w:rPr>
        <w:t>развити</w:t>
      </w:r>
      <w:r>
        <w:rPr>
          <w:rFonts w:ascii="Times New Roman" w:hAnsi="Times New Roman"/>
          <w:b w:val="0"/>
          <w:sz w:val="24"/>
        </w:rPr>
        <w:t>ю</w:t>
      </w:r>
      <w:r>
        <w:rPr>
          <w:rFonts w:ascii="Times New Roman" w:hAnsi="Times New Roman"/>
          <w:b w:val="0"/>
          <w:sz w:val="24"/>
        </w:rPr>
        <w:t xml:space="preserve"> </w:t>
      </w:r>
      <w:r>
        <w:rPr>
          <w:rFonts w:ascii="Times New Roman" w:hAnsi="Times New Roman"/>
          <w:b w:val="0"/>
          <w:color w:val="000000"/>
          <w:sz w:val="24"/>
        </w:rPr>
        <w:t xml:space="preserve"> внутригородских перевозок</w:t>
      </w:r>
      <w:r>
        <w:rPr>
          <w:rFonts w:ascii="Times New Roman" w:hAnsi="Times New Roman"/>
          <w:b w:val="0"/>
          <w:color w:val="000000"/>
          <w:sz w:val="24"/>
        </w:rPr>
        <w:t>.</w:t>
      </w:r>
      <w:r>
        <w:rPr>
          <w:rFonts w:ascii="Times New Roman" w:hAnsi="Times New Roman"/>
          <w:b w:val="0"/>
          <w:color w:val="000000"/>
          <w:sz w:val="24"/>
        </w:rPr>
        <w:t xml:space="preserve"> </w:t>
      </w:r>
      <w:r>
        <w:rPr>
          <w:rFonts w:ascii="Times New Roman" w:hAnsi="Times New Roman"/>
          <w:b w:val="0"/>
          <w:sz w:val="24"/>
        </w:rPr>
        <w:t>Продолжается целенаправленная работа по привлечению «городского» пассажира. С</w:t>
      </w:r>
      <w:r>
        <w:rPr>
          <w:rFonts w:ascii="Times New Roman" w:hAnsi="Times New Roman"/>
          <w:b w:val="0"/>
          <w:sz w:val="24"/>
        </w:rPr>
        <w:t xml:space="preserve"> сентября 2018 года по решению органов власти Красноярского края объем транспортной работы увеличен  на 5 поездов «Городской электрички» (2 поезда по маршруту Красноярск-Дивногорск и 3 поезда на маршрутах Бугач-Красноярск Северный-Красноярск-Базаиха</w:t>
      </w:r>
      <w:r>
        <w:rPr>
          <w:rFonts w:ascii="Times New Roman" w:hAnsi="Times New Roman"/>
          <w:b w:val="0"/>
          <w:sz w:val="24"/>
        </w:rPr>
        <w:t>.</w:t>
      </w:r>
    </w:p>
    <w:p w14:paraId="9D000000">
      <w:pPr>
        <w:pStyle w:val="Style_8"/>
        <w:widowControl w:val="1"/>
        <w:spacing w:line="360" w:lineRule="auto"/>
        <w:ind w:firstLine="709"/>
        <w:jc w:val="both"/>
        <w:rPr>
          <w:rFonts w:ascii="Times New Roman" w:hAnsi="Times New Roman"/>
          <w:b w:val="0"/>
          <w:sz w:val="24"/>
        </w:rPr>
      </w:pPr>
      <w:r>
        <w:rPr>
          <w:rFonts w:ascii="Times New Roman" w:hAnsi="Times New Roman"/>
          <w:b w:val="0"/>
          <w:sz w:val="24"/>
        </w:rPr>
        <w:t xml:space="preserve">В рамках проекта «Городская электричка» обеспечение удобного и качественного сервисного обслуживания пассажиров является приоритетным. </w:t>
      </w:r>
    </w:p>
    <w:p w14:paraId="9E000000">
      <w:pPr>
        <w:widowControl w:val="1"/>
        <w:spacing w:line="360" w:lineRule="auto"/>
        <w:ind w:firstLine="709"/>
        <w:jc w:val="both"/>
        <w:rPr>
          <w:rFonts w:ascii="Calibri" w:hAnsi="Calibri"/>
          <w:color w:val="000000"/>
          <w:sz w:val="22"/>
        </w:rPr>
      </w:pPr>
      <w:r>
        <w:t xml:space="preserve">Компанией «Краспригород» реализуется технология проезда по «Транспортной карте», </w:t>
      </w:r>
      <w:r>
        <w:rPr>
          <w:color w:val="000000"/>
        </w:rPr>
        <w:t xml:space="preserve">которая действует на всех видах городского общественного </w:t>
      </w:r>
      <w:r>
        <w:t>транспорта. В билетных кассах реализована</w:t>
      </w:r>
      <w:r>
        <w:rPr>
          <w:color w:val="000000"/>
        </w:rPr>
        <w:t xml:space="preserve"> возможность приобретения билета по безналичному расчету по банковским картам. </w:t>
      </w:r>
    </w:p>
    <w:p w14:paraId="9F000000">
      <w:pPr>
        <w:widowControl w:val="1"/>
        <w:spacing w:line="360" w:lineRule="auto"/>
        <w:ind w:firstLine="709"/>
        <w:contextualSpacing w:val="1"/>
        <w:jc w:val="both"/>
      </w:pPr>
      <w:r>
        <w:t>Очень важно, что внутригородские маршруты включаются в программу пригородных перевозок Красноярского края, а Постановлением Правительства утвержден единый тариф на протяжении всего внутригородского маршрута</w:t>
      </w:r>
      <w:r>
        <w:t>, с учетом направления Красноярск-Дивногорск</w:t>
      </w:r>
      <w:r>
        <w:t xml:space="preserve">. Причем он ниже, чем на муниципальном транспорте – 19 рублей против 22-х в </w:t>
      </w:r>
      <w:r>
        <w:t xml:space="preserve">городском </w:t>
      </w:r>
      <w:r>
        <w:t xml:space="preserve">автобусе. </w:t>
      </w:r>
      <w:r>
        <w:t>Если рассматривать Дивногорское направление, то стоимость проезда электропое</w:t>
      </w:r>
      <w:r>
        <w:t>здом в разы ниже автотранспорта, что, безусловно, способствует привлечению пассажиров. Пассажиропоток на данном направлении составил 13</w:t>
      </w:r>
      <w:r>
        <w:t>2,5</w:t>
      </w:r>
      <w:r>
        <w:t>% к уровню предыдущего года.</w:t>
      </w:r>
    </w:p>
    <w:p w14:paraId="A0000000">
      <w:pPr>
        <w:widowControl w:val="1"/>
        <w:spacing w:line="360" w:lineRule="auto"/>
        <w:ind w:firstLine="709"/>
        <w:contextualSpacing w:val="1"/>
        <w:jc w:val="both"/>
      </w:pPr>
      <w:r>
        <w:t>Строительство новых остановочных пунктов, увязка логистики маршрутов с работой муниципального транспорта</w:t>
      </w:r>
      <w:r>
        <w:t xml:space="preserve"> способствуют</w:t>
      </w:r>
      <w:r>
        <w:t xml:space="preserve"> </w:t>
      </w:r>
      <w:r>
        <w:t>положительной динамике проект "Городская электричка" с ежегодным приростом п</w:t>
      </w:r>
      <w:r>
        <w:t>еревезенных пассажиров от 8 до 20</w:t>
      </w:r>
      <w:r>
        <w:t xml:space="preserve">%. </w:t>
      </w:r>
    </w:p>
    <w:p w14:paraId="A1000000">
      <w:pPr>
        <w:widowControl w:val="1"/>
        <w:spacing w:line="360" w:lineRule="auto"/>
        <w:ind w:firstLine="709"/>
        <w:contextualSpacing w:val="1"/>
        <w:jc w:val="both"/>
      </w:pPr>
      <w:r>
        <w:t>В заключении</w:t>
      </w:r>
      <w:r>
        <w:t xml:space="preserve">, </w:t>
      </w:r>
      <w:r>
        <w:t>хочется дать удовлетворительную оценку деятельности команды менеджеров Общества. Дальнейшее развитие Общества, направленное на развитие удовлетворения потребностей пассажиров  в услугах по пригородным перевозкам железнодорожным транспортом, во многом будет зависеть от взаимовыгодного сотрудничества компании, ОАО «РЖД» и органов государственной власти.</w:t>
      </w:r>
      <w:r>
        <w:t xml:space="preserve"> </w:t>
      </w:r>
    </w:p>
    <w:p w14:paraId="A2000000">
      <w:pPr>
        <w:pStyle w:val="Style_9"/>
        <w:widowControl w:val="1"/>
        <w:ind w:firstLine="709"/>
        <w:contextualSpacing w:val="1"/>
        <w:outlineLvl w:val="0"/>
        <w:rPr>
          <w:sz w:val="24"/>
        </w:rPr>
      </w:pPr>
    </w:p>
    <w:p w14:paraId="A3000000">
      <w:pPr>
        <w:pageBreakBefore w:val="1"/>
        <w:widowControl w:val="1"/>
        <w:tabs>
          <w:tab w:leader="none" w:pos="1134" w:val="left"/>
        </w:tabs>
        <w:spacing w:line="360" w:lineRule="auto"/>
        <w:ind w:firstLine="709"/>
        <w:contextualSpacing w:val="1"/>
        <w:jc w:val="center"/>
        <w:rPr>
          <w:b w:val="1"/>
        </w:rPr>
      </w:pPr>
      <w:r>
        <w:rPr>
          <w:b w:val="1"/>
        </w:rPr>
        <w:t>Обращение к акционерам Генерального директора Общества.</w:t>
      </w:r>
    </w:p>
    <w:p w14:paraId="A4000000">
      <w:pPr>
        <w:widowControl w:val="1"/>
        <w:spacing w:line="360" w:lineRule="auto"/>
        <w:ind w:firstLine="709"/>
        <w:contextualSpacing w:val="1"/>
        <w:jc w:val="center"/>
      </w:pPr>
      <w:r>
        <w:t>Уважаемые акционеры!</w:t>
      </w:r>
    </w:p>
    <w:p w14:paraId="A5000000">
      <w:pPr>
        <w:widowControl w:val="1"/>
        <w:spacing w:line="360" w:lineRule="auto"/>
        <w:ind w:firstLine="709"/>
        <w:contextualSpacing w:val="1"/>
        <w:jc w:val="center"/>
      </w:pPr>
    </w:p>
    <w:p w14:paraId="A6000000">
      <w:pPr>
        <w:widowControl w:val="1"/>
        <w:spacing w:line="360" w:lineRule="auto"/>
        <w:ind w:firstLine="709"/>
        <w:contextualSpacing w:val="1"/>
      </w:pPr>
    </w:p>
    <w:p w14:paraId="A7000000">
      <w:bookmarkStart w:id="2" w:name="__RefHeading___2"/>
      <w:bookmarkEnd w:id="2"/>
      <w:pPr>
        <w:pStyle w:val="Style_10"/>
        <w:widowControl w:val="1"/>
        <w:numPr>
          <w:ilvl w:val="1"/>
          <w:numId w:val="1"/>
        </w:numPr>
        <w:spacing w:after="0" w:before="0" w:line="360" w:lineRule="auto"/>
        <w:ind w:firstLine="709" w:left="0"/>
        <w:contextualSpacing w:val="1"/>
        <w:jc w:val="both"/>
        <w:rPr>
          <w:rFonts w:ascii="Times New Roman" w:hAnsi="Times New Roman"/>
          <w:i w:val="0"/>
          <w:sz w:val="24"/>
        </w:rPr>
      </w:pPr>
      <w:r>
        <w:rPr>
          <w:rFonts w:ascii="Times New Roman" w:hAnsi="Times New Roman"/>
          <w:i w:val="0"/>
          <w:sz w:val="24"/>
        </w:rPr>
        <w:t>Основные финансовые и производственные показатели отчетного года</w:t>
      </w:r>
      <w:r>
        <w:rPr>
          <w:rFonts w:ascii="Times New Roman" w:hAnsi="Times New Roman"/>
          <w:i w:val="0"/>
          <w:sz w:val="24"/>
        </w:rPr>
        <w:t>.</w:t>
      </w:r>
    </w:p>
    <w:p w14:paraId="A8000000">
      <w:pPr>
        <w:widowControl w:val="1"/>
        <w:spacing w:line="360" w:lineRule="auto"/>
        <w:ind w:firstLine="709"/>
        <w:contextualSpacing w:val="1"/>
        <w:jc w:val="both"/>
      </w:pPr>
      <w:r>
        <w:t xml:space="preserve"> </w:t>
      </w:r>
      <w:r>
        <w:t>В  201</w:t>
      </w:r>
      <w:r>
        <w:t>8</w:t>
      </w:r>
      <w:r>
        <w:t xml:space="preserve"> году </w:t>
      </w:r>
      <w:r>
        <w:t>компания</w:t>
      </w:r>
      <w:r>
        <w:t xml:space="preserve"> «Краспригород»</w:t>
      </w:r>
      <w:r>
        <w:t xml:space="preserve"> осуществляла перевозочную деятельность </w:t>
      </w:r>
      <w:r>
        <w:t>в гран</w:t>
      </w:r>
      <w:r>
        <w:t xml:space="preserve">ицах Красноярской </w:t>
      </w:r>
      <w:r>
        <w:t>железн</w:t>
      </w:r>
      <w:r>
        <w:t>ой</w:t>
      </w:r>
      <w:r>
        <w:t xml:space="preserve"> дорог</w:t>
      </w:r>
      <w:r>
        <w:t>и</w:t>
      </w:r>
      <w:r>
        <w:t>.</w:t>
      </w:r>
      <w:r>
        <w:t xml:space="preserve"> По результатам финансово-хозяйственной деятельности 201</w:t>
      </w:r>
      <w:r>
        <w:t>8</w:t>
      </w:r>
      <w:r>
        <w:t xml:space="preserve"> </w:t>
      </w:r>
      <w:r>
        <w:t xml:space="preserve">года получена чистая прибыль </w:t>
      </w:r>
      <w:r>
        <w:t xml:space="preserve"> </w:t>
      </w:r>
      <w:r>
        <w:t>302</w:t>
      </w:r>
      <w:r>
        <w:t xml:space="preserve"> тыс. руб.</w:t>
      </w:r>
    </w:p>
    <w:p w14:paraId="A9000000">
      <w:pPr>
        <w:widowControl w:val="1"/>
        <w:spacing w:line="360" w:lineRule="auto"/>
        <w:ind w:firstLine="709"/>
        <w:contextualSpacing w:val="1"/>
        <w:jc w:val="both"/>
      </w:pPr>
      <w:r>
        <w:t>По итогам 201</w:t>
      </w:r>
      <w:r>
        <w:t>8</w:t>
      </w:r>
      <w:r>
        <w:t xml:space="preserve"> года перевезено </w:t>
      </w:r>
      <w:r>
        <w:t xml:space="preserve">6 </w:t>
      </w:r>
      <w:r>
        <w:t>499</w:t>
      </w:r>
      <w:r>
        <w:t xml:space="preserve"> тыс. пассажиров, что составляет  </w:t>
      </w:r>
      <w:r>
        <w:t>105,7</w:t>
      </w:r>
      <w:r>
        <w:t xml:space="preserve">% к плановому показателю, в т.ч. во внутригороде перевезено 1 млн. </w:t>
      </w:r>
      <w:r>
        <w:t>591</w:t>
      </w:r>
      <w:r>
        <w:t xml:space="preserve"> тыс. человек с ростом на 1</w:t>
      </w:r>
      <w:r>
        <w:t>9,</w:t>
      </w:r>
      <w:r>
        <w:t xml:space="preserve">5 </w:t>
      </w:r>
      <w:r>
        <w:t xml:space="preserve">% к уровню </w:t>
      </w:r>
      <w:r>
        <w:rPr>
          <w:color w:val="000000"/>
        </w:rPr>
        <w:t>201</w:t>
      </w:r>
      <w:r>
        <w:rPr>
          <w:color w:val="000000"/>
        </w:rPr>
        <w:t>7</w:t>
      </w:r>
      <w:r>
        <w:rPr>
          <w:color w:val="000000"/>
        </w:rPr>
        <w:t xml:space="preserve"> года. </w:t>
      </w:r>
      <w:r>
        <w:t>В пиковые часы «населенность» поездов на внутригородских участках достигает 100%.</w:t>
      </w:r>
    </w:p>
    <w:p w14:paraId="AA000000">
      <w:pPr>
        <w:widowControl w:val="1"/>
        <w:spacing w:line="360" w:lineRule="auto"/>
        <w:ind w:firstLine="709"/>
        <w:contextualSpacing w:val="1"/>
        <w:jc w:val="both"/>
      </w:pPr>
      <w:r>
        <w:t>Наибольший удельный вес в структуре отправленных пассажиров в границах Красноярской железной дороги составляют платные пассажиры -</w:t>
      </w:r>
      <w:r>
        <w:t xml:space="preserve"> </w:t>
      </w:r>
      <w:r>
        <w:t>54,6</w:t>
      </w:r>
      <w:r>
        <w:t>%.</w:t>
      </w:r>
    </w:p>
    <w:p w14:paraId="AB000000">
      <w:pPr>
        <w:widowControl w:val="1"/>
        <w:spacing w:line="360" w:lineRule="auto"/>
        <w:ind w:firstLine="709"/>
        <w:contextualSpacing w:val="1"/>
        <w:jc w:val="both"/>
      </w:pPr>
      <w:r>
        <w:t xml:space="preserve">Платных пассажиров перевезено </w:t>
      </w:r>
      <w:r>
        <w:t xml:space="preserve">3 </w:t>
      </w:r>
      <w:r>
        <w:t>551,7</w:t>
      </w:r>
      <w:r>
        <w:t xml:space="preserve"> тыс. пассажиров или </w:t>
      </w:r>
      <w:r>
        <w:t>10</w:t>
      </w:r>
      <w:r>
        <w:t>9</w:t>
      </w:r>
      <w:r>
        <w:t>% к плану.</w:t>
      </w:r>
    </w:p>
    <w:p w14:paraId="AC000000">
      <w:pPr>
        <w:widowControl w:val="1"/>
        <w:tabs>
          <w:tab w:leader="none" w:pos="0" w:val="left"/>
        </w:tabs>
        <w:spacing w:line="360" w:lineRule="auto"/>
        <w:ind w:firstLine="709"/>
        <w:contextualSpacing w:val="1"/>
        <w:jc w:val="both"/>
      </w:pPr>
      <w:r>
        <w:t>Пассажирооборот за  201</w:t>
      </w:r>
      <w:r>
        <w:t>8</w:t>
      </w:r>
      <w:r>
        <w:t xml:space="preserve"> год составил </w:t>
      </w:r>
      <w:r>
        <w:t>277,4</w:t>
      </w:r>
      <w:r>
        <w:t xml:space="preserve"> млн. пасс/км., </w:t>
      </w:r>
      <w:r>
        <w:t>101,5</w:t>
      </w:r>
      <w:r>
        <w:t xml:space="preserve">% к плану, </w:t>
      </w:r>
      <w:r>
        <w:t>102,5</w:t>
      </w:r>
      <w:r>
        <w:t>% к уровню прошлого года.</w:t>
      </w:r>
    </w:p>
    <w:p w14:paraId="AD000000">
      <w:pPr>
        <w:widowControl w:val="1"/>
        <w:tabs>
          <w:tab w:leader="none" w:pos="0" w:val="left"/>
        </w:tabs>
        <w:spacing w:line="360" w:lineRule="auto"/>
        <w:ind w:firstLine="709"/>
        <w:contextualSpacing w:val="1"/>
        <w:jc w:val="both"/>
      </w:pPr>
      <w:r>
        <w:t xml:space="preserve"> </w:t>
      </w:r>
      <w:r>
        <w:t>Объем выполненных работ за 201</w:t>
      </w:r>
      <w:r>
        <w:t>8</w:t>
      </w:r>
      <w:r>
        <w:t xml:space="preserve"> год составил 11 </w:t>
      </w:r>
      <w:r>
        <w:t>673,6</w:t>
      </w:r>
      <w:r>
        <w:t xml:space="preserve">  тыс.ваг-км., </w:t>
      </w:r>
      <w:r>
        <w:t>102,1</w:t>
      </w:r>
      <w:r>
        <w:t xml:space="preserve">% к плану и </w:t>
      </w:r>
      <w:r>
        <w:t>102,1</w:t>
      </w:r>
      <w:r>
        <w:t>% к 201</w:t>
      </w:r>
      <w:r>
        <w:t>7</w:t>
      </w:r>
      <w:r>
        <w:t xml:space="preserve"> году.</w:t>
      </w:r>
      <w:r>
        <w:t xml:space="preserve"> </w:t>
      </w:r>
    </w:p>
    <w:p w14:paraId="AE000000">
      <w:pPr>
        <w:widowControl w:val="1"/>
        <w:spacing w:line="360" w:lineRule="auto"/>
        <w:ind w:firstLine="709"/>
        <w:contextualSpacing w:val="1"/>
        <w:jc w:val="both"/>
      </w:pPr>
      <w:r>
        <w:t>Населенность</w:t>
      </w:r>
      <w:r>
        <w:t xml:space="preserve">  за 201</w:t>
      </w:r>
      <w:r>
        <w:t>8</w:t>
      </w:r>
      <w:r>
        <w:t xml:space="preserve"> год составила </w:t>
      </w:r>
      <w:r>
        <w:t>23,8</w:t>
      </w:r>
      <w:r>
        <w:t xml:space="preserve"> человека на вагон</w:t>
      </w:r>
      <w:r>
        <w:t xml:space="preserve"> </w:t>
      </w:r>
      <w:r>
        <w:t xml:space="preserve"> 99,</w:t>
      </w:r>
      <w:r>
        <w:t>5</w:t>
      </w:r>
      <w:r>
        <w:t>% к плану и 100,</w:t>
      </w:r>
      <w:r>
        <w:t>4</w:t>
      </w:r>
      <w:r>
        <w:t>% к уровню прошлого года</w:t>
      </w:r>
      <w:r>
        <w:t xml:space="preserve"> </w:t>
      </w:r>
    </w:p>
    <w:p w14:paraId="AF000000">
      <w:pPr>
        <w:widowControl w:val="1"/>
        <w:spacing w:line="360" w:lineRule="auto"/>
        <w:ind w:firstLine="709"/>
        <w:contextualSpacing w:val="1"/>
        <w:jc w:val="both"/>
      </w:pPr>
      <w:r>
        <w:t xml:space="preserve"> </w:t>
      </w:r>
      <w:r>
        <w:t>За 201</w:t>
      </w:r>
      <w:r>
        <w:t>8</w:t>
      </w:r>
      <w:r>
        <w:t xml:space="preserve"> </w:t>
      </w:r>
      <w:r>
        <w:t xml:space="preserve">год </w:t>
      </w:r>
      <w:r>
        <w:t xml:space="preserve">доходов </w:t>
      </w:r>
      <w:r>
        <w:t>от всех видов деятельности</w:t>
      </w:r>
      <w:r>
        <w:t>,</w:t>
      </w:r>
      <w:r>
        <w:t xml:space="preserve"> с учетом субсидий</w:t>
      </w:r>
      <w:r>
        <w:t>,</w:t>
      </w:r>
      <w:r>
        <w:t xml:space="preserve"> начислен</w:t>
      </w:r>
      <w:r>
        <w:t xml:space="preserve">о       </w:t>
      </w:r>
      <w:r>
        <w:t xml:space="preserve"> </w:t>
      </w:r>
      <w:r>
        <w:t>72</w:t>
      </w:r>
      <w:r>
        <w:t>9</w:t>
      </w:r>
      <w:r>
        <w:t xml:space="preserve"> </w:t>
      </w:r>
      <w:r>
        <w:t>505</w:t>
      </w:r>
      <w:r>
        <w:t xml:space="preserve"> тыс. руб. или </w:t>
      </w:r>
      <w:r>
        <w:t>100</w:t>
      </w:r>
      <w:r>
        <w:t>% к плану, 10</w:t>
      </w:r>
      <w:r>
        <w:t>1</w:t>
      </w:r>
      <w:r>
        <w:t>% к уровню прошлого года.</w:t>
      </w:r>
      <w:r>
        <w:t xml:space="preserve"> </w:t>
      </w:r>
      <w:r>
        <w:t>Доходы от реализации</w:t>
      </w:r>
      <w:r>
        <w:t xml:space="preserve"> за 201</w:t>
      </w:r>
      <w:r>
        <w:t>8</w:t>
      </w:r>
      <w:r>
        <w:t xml:space="preserve"> год </w:t>
      </w:r>
      <w:r>
        <w:t xml:space="preserve">составили </w:t>
      </w:r>
      <w:r>
        <w:t>335 109</w:t>
      </w:r>
      <w:r>
        <w:t xml:space="preserve"> тыс. руб.,  </w:t>
      </w:r>
      <w:r>
        <w:t>100</w:t>
      </w:r>
      <w:r>
        <w:t>% к плану, 103% к уровню прошлого года.</w:t>
      </w:r>
      <w:r>
        <w:t xml:space="preserve"> </w:t>
      </w:r>
      <w:r>
        <w:t xml:space="preserve">Денежной выручки </w:t>
      </w:r>
      <w:r>
        <w:t>от пригородных перевозок</w:t>
      </w:r>
      <w:r>
        <w:t xml:space="preserve"> собрано  </w:t>
      </w:r>
      <w:r>
        <w:t>221 987</w:t>
      </w:r>
      <w:r>
        <w:t xml:space="preserve"> </w:t>
      </w:r>
      <w:r>
        <w:t>тыс.</w:t>
      </w:r>
      <w:r>
        <w:t xml:space="preserve"> </w:t>
      </w:r>
      <w:r>
        <w:t>руб.,</w:t>
      </w:r>
      <w:r>
        <w:t xml:space="preserve"> </w:t>
      </w:r>
      <w:r>
        <w:t>104,6</w:t>
      </w:r>
      <w:r>
        <w:t>% к уровню прошлого года</w:t>
      </w:r>
      <w:r>
        <w:t xml:space="preserve">, </w:t>
      </w:r>
      <w:r>
        <w:t xml:space="preserve"> план выполнен на </w:t>
      </w:r>
      <w:r>
        <w:t>102,6</w:t>
      </w:r>
      <w:r>
        <w:t>%</w:t>
      </w:r>
      <w:r>
        <w:t>.</w:t>
      </w:r>
      <w:r>
        <w:t xml:space="preserve"> </w:t>
      </w:r>
    </w:p>
    <w:p w14:paraId="B0000000">
      <w:pPr>
        <w:widowControl w:val="1"/>
        <w:tabs>
          <w:tab w:leader="none" w:pos="0" w:val="left"/>
          <w:tab w:leader="none" w:pos="6300" w:val="left"/>
          <w:tab w:leader="none" w:pos="7200" w:val="left"/>
        </w:tabs>
        <w:spacing w:line="360" w:lineRule="auto"/>
        <w:ind w:firstLine="709"/>
        <w:contextualSpacing w:val="1"/>
        <w:jc w:val="both"/>
      </w:pPr>
      <w:r>
        <w:t xml:space="preserve">Расходы </w:t>
      </w:r>
      <w:r>
        <w:t>за 201</w:t>
      </w:r>
      <w:r>
        <w:t>8</w:t>
      </w:r>
      <w:r>
        <w:t xml:space="preserve"> год составили  </w:t>
      </w:r>
      <w:r>
        <w:t>728 376</w:t>
      </w:r>
      <w:r>
        <w:t xml:space="preserve"> тыс. руб. или </w:t>
      </w:r>
      <w:r>
        <w:t>100,3</w:t>
      </w:r>
      <w:r>
        <w:t>% к плану, 102</w:t>
      </w:r>
      <w:r>
        <w:t>,9</w:t>
      </w:r>
      <w:r>
        <w:t>% к уровню прошлого года (при стоимости услуг по использованию  инфраструктуры с учетом льготного исключительного тарифа в виде коэффициента 0,01</w:t>
      </w:r>
      <w:r>
        <w:t xml:space="preserve"> и ставке НДС 0%</w:t>
      </w:r>
      <w:r>
        <w:t xml:space="preserve">). </w:t>
      </w:r>
    </w:p>
    <w:p w14:paraId="B1000000">
      <w:pPr>
        <w:widowControl w:val="1"/>
        <w:spacing w:line="360" w:lineRule="auto"/>
        <w:ind w:firstLine="709"/>
        <w:contextualSpacing w:val="1"/>
        <w:jc w:val="both"/>
      </w:pPr>
      <w:r>
        <w:t xml:space="preserve">- </w:t>
      </w:r>
      <w:r>
        <w:t>по договорам с ОАО «РЖД» и АО «ФПК»  за 201</w:t>
      </w:r>
      <w:r>
        <w:t>8</w:t>
      </w:r>
      <w:r>
        <w:t xml:space="preserve"> </w:t>
      </w:r>
      <w:r>
        <w:t xml:space="preserve">год расходы составили </w:t>
      </w:r>
      <w:r>
        <w:t>472 160</w:t>
      </w:r>
      <w:r>
        <w:t xml:space="preserve"> тыс.руб., </w:t>
      </w:r>
      <w:r>
        <w:t>101,3</w:t>
      </w:r>
      <w:r>
        <w:t>% к плану</w:t>
      </w:r>
      <w:r>
        <w:t xml:space="preserve">, </w:t>
      </w:r>
      <w:r>
        <w:t>102,3</w:t>
      </w:r>
      <w:r>
        <w:t>% к прошлому году;</w:t>
      </w:r>
    </w:p>
    <w:p w14:paraId="B2000000">
      <w:pPr>
        <w:widowControl w:val="1"/>
        <w:spacing w:line="360" w:lineRule="auto"/>
        <w:ind w:firstLine="709"/>
        <w:contextualSpacing w:val="1"/>
        <w:jc w:val="both"/>
      </w:pPr>
      <w:r>
        <w:t>-</w:t>
      </w:r>
      <w:r>
        <w:t xml:space="preserve">  р</w:t>
      </w:r>
      <w:r>
        <w:t xml:space="preserve">асходы по </w:t>
      </w:r>
      <w:r>
        <w:t xml:space="preserve"> аренде</w:t>
      </w:r>
      <w:r>
        <w:t xml:space="preserve"> </w:t>
      </w:r>
      <w:r>
        <w:t xml:space="preserve">подвижного состава у ГП КК </w:t>
      </w:r>
      <w:r>
        <w:t xml:space="preserve">ЦТЛ – </w:t>
      </w:r>
      <w:r>
        <w:t>21</w:t>
      </w:r>
      <w:r>
        <w:t xml:space="preserve"> 868</w:t>
      </w:r>
      <w:r>
        <w:t xml:space="preserve"> </w:t>
      </w:r>
      <w:r>
        <w:t>тыс.</w:t>
      </w:r>
      <w:r>
        <w:t xml:space="preserve"> </w:t>
      </w:r>
      <w:r>
        <w:t>руб., 100% к плану и 100% к прошлому году.</w:t>
      </w:r>
    </w:p>
    <w:p w14:paraId="B3000000">
      <w:pPr>
        <w:widowControl w:val="1"/>
        <w:spacing w:line="360" w:lineRule="auto"/>
        <w:ind w:firstLine="709"/>
        <w:contextualSpacing w:val="1"/>
        <w:jc w:val="both"/>
      </w:pPr>
      <w:r>
        <w:t xml:space="preserve">- </w:t>
      </w:r>
      <w:r>
        <w:t>с</w:t>
      </w:r>
      <w:r>
        <w:t xml:space="preserve">обственные расходы -  </w:t>
      </w:r>
      <w:r>
        <w:t>234 34</w:t>
      </w:r>
      <w:r>
        <w:t>7</w:t>
      </w:r>
      <w:r>
        <w:t xml:space="preserve"> тыс.</w:t>
      </w:r>
      <w:r>
        <w:t xml:space="preserve"> </w:t>
      </w:r>
      <w:r>
        <w:t>руб</w:t>
      </w:r>
      <w:r>
        <w:t>.</w:t>
      </w:r>
      <w:r>
        <w:t>,</w:t>
      </w:r>
      <w:r>
        <w:t xml:space="preserve"> </w:t>
      </w:r>
      <w:r>
        <w:t>98,4</w:t>
      </w:r>
      <w:r>
        <w:t>% к плану</w:t>
      </w:r>
      <w:r>
        <w:t xml:space="preserve"> и </w:t>
      </w:r>
      <w:r>
        <w:t>104,6</w:t>
      </w:r>
      <w:r>
        <w:t>%  к</w:t>
      </w:r>
      <w:r>
        <w:t xml:space="preserve"> </w:t>
      </w:r>
      <w:r>
        <w:t xml:space="preserve">прошлому году. </w:t>
      </w:r>
    </w:p>
    <w:p w14:paraId="B4000000">
      <w:pPr>
        <w:widowControl w:val="1"/>
        <w:tabs>
          <w:tab w:leader="none" w:pos="0" w:val="left"/>
        </w:tabs>
        <w:spacing w:line="360" w:lineRule="auto"/>
        <w:ind w:firstLine="709"/>
        <w:contextualSpacing w:val="1"/>
        <w:jc w:val="both"/>
      </w:pPr>
      <w:r>
        <w:t>Финансовый результат за 201</w:t>
      </w:r>
      <w:r>
        <w:t>8</w:t>
      </w:r>
      <w:r>
        <w:t xml:space="preserve"> </w:t>
      </w:r>
      <w:r>
        <w:t xml:space="preserve">год </w:t>
      </w:r>
      <w:r>
        <w:t xml:space="preserve">- </w:t>
      </w:r>
      <w:r>
        <w:t>прибыль до налогообложения</w:t>
      </w:r>
      <w:r>
        <w:rPr>
          <w:b w:val="1"/>
        </w:rPr>
        <w:t xml:space="preserve">  </w:t>
      </w:r>
      <w:r>
        <w:t xml:space="preserve">1 129 </w:t>
      </w:r>
      <w:r>
        <w:t xml:space="preserve">тыс. руб. </w:t>
      </w:r>
    </w:p>
    <w:p w14:paraId="B5000000">
      <w:pPr>
        <w:widowControl w:val="1"/>
        <w:tabs>
          <w:tab w:leader="none" w:pos="0" w:val="left"/>
        </w:tabs>
        <w:spacing w:line="360" w:lineRule="auto"/>
        <w:ind w:firstLine="709"/>
        <w:contextualSpacing w:val="1"/>
        <w:jc w:val="both"/>
      </w:pPr>
      <w:r>
        <w:t>Чистая прибыль</w:t>
      </w:r>
      <w:r>
        <w:t xml:space="preserve"> отчетного периода составила  </w:t>
      </w:r>
      <w:r>
        <w:t>302</w:t>
      </w:r>
      <w:r>
        <w:t xml:space="preserve"> тыс. руб</w:t>
      </w:r>
      <w:r>
        <w:t>.</w:t>
      </w:r>
    </w:p>
    <w:p w14:paraId="B6000000">
      <w:pPr>
        <w:pStyle w:val="Style_11"/>
        <w:keepNext w:val="1"/>
        <w:widowControl w:val="1"/>
        <w:spacing w:after="0" w:line="360" w:lineRule="auto"/>
        <w:ind w:firstLine="709" w:left="0"/>
        <w:contextualSpacing w:val="1"/>
        <w:jc w:val="both"/>
        <w:rPr>
          <w:sz w:val="24"/>
        </w:rPr>
      </w:pPr>
      <w:r>
        <w:rPr>
          <w:sz w:val="24"/>
        </w:rPr>
        <w:t xml:space="preserve">С целью осуществления </w:t>
      </w:r>
      <w:r>
        <w:rPr>
          <w:sz w:val="24"/>
        </w:rPr>
        <w:t xml:space="preserve">эффективной </w:t>
      </w:r>
      <w:r>
        <w:rPr>
          <w:sz w:val="24"/>
        </w:rPr>
        <w:t>перевозочной деятельности в 201</w:t>
      </w:r>
      <w:r>
        <w:rPr>
          <w:sz w:val="24"/>
        </w:rPr>
        <w:t>9</w:t>
      </w:r>
      <w:r>
        <w:rPr>
          <w:sz w:val="24"/>
        </w:rPr>
        <w:t xml:space="preserve"> году</w:t>
      </w:r>
      <w:r>
        <w:rPr>
          <w:sz w:val="24"/>
        </w:rPr>
        <w:t>,</w:t>
      </w:r>
      <w:r>
        <w:rPr>
          <w:sz w:val="24"/>
        </w:rPr>
        <w:t xml:space="preserve">  согласованы программы перевозок с причастными министерствами субъектов РФ. </w:t>
      </w:r>
      <w:r>
        <w:rPr>
          <w:sz w:val="24"/>
        </w:rPr>
        <w:t xml:space="preserve">Во все обслуживаемые субъекты РФ </w:t>
      </w:r>
      <w:r>
        <w:rPr>
          <w:sz w:val="24"/>
        </w:rPr>
        <w:t xml:space="preserve">своевременно </w:t>
      </w:r>
      <w:r>
        <w:rPr>
          <w:sz w:val="24"/>
        </w:rPr>
        <w:t>направлены материалы об установлении тарифов на экономически обоснованном уровне на 201</w:t>
      </w:r>
      <w:r>
        <w:rPr>
          <w:sz w:val="24"/>
        </w:rPr>
        <w:t>9</w:t>
      </w:r>
      <w:r>
        <w:rPr>
          <w:sz w:val="24"/>
        </w:rPr>
        <w:t xml:space="preserve"> год</w:t>
      </w:r>
      <w:r>
        <w:rPr>
          <w:sz w:val="24"/>
        </w:rPr>
        <w:t>.</w:t>
      </w:r>
      <w:r>
        <w:rPr>
          <w:sz w:val="24"/>
        </w:rPr>
        <w:t xml:space="preserve"> Республикой Хакасия и Кемеровской областью установлены тарифы на экономическом уровне</w:t>
      </w:r>
      <w:r>
        <w:rPr>
          <w:sz w:val="24"/>
        </w:rPr>
        <w:t>, обеспечивающие планируемый уровень недополученных доходов на 201</w:t>
      </w:r>
      <w:r>
        <w:rPr>
          <w:sz w:val="24"/>
        </w:rPr>
        <w:t>9</w:t>
      </w:r>
      <w:r>
        <w:rPr>
          <w:sz w:val="24"/>
        </w:rPr>
        <w:t xml:space="preserve"> год</w:t>
      </w:r>
      <w:r>
        <w:rPr>
          <w:sz w:val="24"/>
        </w:rPr>
        <w:t xml:space="preserve">. </w:t>
      </w:r>
      <w:r>
        <w:rPr>
          <w:sz w:val="24"/>
        </w:rPr>
        <w:t>По</w:t>
      </w:r>
      <w:r>
        <w:rPr>
          <w:sz w:val="24"/>
        </w:rPr>
        <w:t xml:space="preserve"> Красноярск</w:t>
      </w:r>
      <w:r>
        <w:rPr>
          <w:sz w:val="24"/>
        </w:rPr>
        <w:t>ому</w:t>
      </w:r>
      <w:r>
        <w:rPr>
          <w:sz w:val="24"/>
        </w:rPr>
        <w:t xml:space="preserve"> кра</w:t>
      </w:r>
      <w:r>
        <w:rPr>
          <w:sz w:val="24"/>
        </w:rPr>
        <w:t>ю</w:t>
      </w:r>
      <w:r>
        <w:rPr>
          <w:sz w:val="24"/>
        </w:rPr>
        <w:t xml:space="preserve"> предоставление субсидий осуществл</w:t>
      </w:r>
      <w:r>
        <w:rPr>
          <w:sz w:val="24"/>
        </w:rPr>
        <w:t xml:space="preserve">яется </w:t>
      </w:r>
      <w:r>
        <w:rPr>
          <w:sz w:val="24"/>
        </w:rPr>
        <w:t>через норматив субсиди</w:t>
      </w:r>
      <w:r>
        <w:rPr>
          <w:sz w:val="24"/>
        </w:rPr>
        <w:t>рования за один вагоно-километр, средства в бюджете предусмотрены на полную компенсацию недополученных доходов.</w:t>
      </w:r>
      <w:r>
        <w:rPr>
          <w:sz w:val="24"/>
        </w:rPr>
        <w:t xml:space="preserve"> </w:t>
      </w:r>
      <w:r>
        <w:rPr>
          <w:sz w:val="24"/>
        </w:rPr>
        <w:t xml:space="preserve"> </w:t>
      </w:r>
    </w:p>
    <w:p w14:paraId="B7000000">
      <w:pPr>
        <w:pStyle w:val="Style_11"/>
        <w:keepNext w:val="1"/>
        <w:widowControl w:val="1"/>
        <w:spacing w:after="0" w:line="360" w:lineRule="auto"/>
        <w:ind w:firstLine="709" w:left="0"/>
        <w:contextualSpacing w:val="1"/>
        <w:jc w:val="both"/>
        <w:rPr>
          <w:i w:val="1"/>
          <w:sz w:val="24"/>
        </w:rPr>
      </w:pPr>
      <w:r>
        <w:rPr>
          <w:i w:val="1"/>
          <w:sz w:val="24"/>
        </w:rPr>
        <w:t>В</w:t>
      </w:r>
      <w:r>
        <w:rPr>
          <w:i w:val="1"/>
          <w:sz w:val="24"/>
        </w:rPr>
        <w:t>ыполнение инвестиционной программы за 2018 год</w:t>
      </w:r>
      <w:r>
        <w:rPr>
          <w:i w:val="1"/>
          <w:sz w:val="24"/>
        </w:rPr>
        <w:t>:</w:t>
      </w:r>
    </w:p>
    <w:p w14:paraId="B8000000">
      <w:pPr>
        <w:widowControl w:val="1"/>
        <w:spacing w:line="360" w:lineRule="auto"/>
        <w:ind w:firstLine="709"/>
        <w:contextualSpacing w:val="1"/>
        <w:jc w:val="both"/>
      </w:pPr>
      <w:r>
        <w:t>За 201</w:t>
      </w:r>
      <w:r>
        <w:t>8</w:t>
      </w:r>
      <w:r>
        <w:t xml:space="preserve"> год  приобретены основные средства</w:t>
      </w:r>
      <w:r>
        <w:t xml:space="preserve"> </w:t>
      </w:r>
      <w:r>
        <w:t xml:space="preserve">на сумму </w:t>
      </w:r>
      <w:r>
        <w:t>913</w:t>
      </w:r>
      <w:r>
        <w:t xml:space="preserve"> </w:t>
      </w:r>
      <w:r>
        <w:t>тыс. руб.:</w:t>
      </w:r>
    </w:p>
    <w:p w14:paraId="B9000000">
      <w:pPr>
        <w:widowControl w:val="1"/>
        <w:spacing w:line="360" w:lineRule="auto"/>
        <w:ind w:firstLine="709"/>
        <w:contextualSpacing w:val="1"/>
        <w:jc w:val="both"/>
      </w:pPr>
      <w:r>
        <w:t>- МФУ Konica Minolta bizhub 368e - 1 шт. на сумму 285,9 тыс. руб.;</w:t>
      </w:r>
    </w:p>
    <w:p w14:paraId="BA000000">
      <w:pPr>
        <w:widowControl w:val="1"/>
        <w:spacing w:line="360" w:lineRule="auto"/>
        <w:ind w:firstLine="709"/>
        <w:contextualSpacing w:val="1"/>
        <w:jc w:val="both"/>
      </w:pPr>
      <w:r>
        <w:t>- Компьютерное рабочее место</w:t>
      </w:r>
      <w:r>
        <w:t xml:space="preserve"> </w:t>
      </w:r>
      <w:r>
        <w:t>– 14 шт. на сумму 626,9 тыс. руб.;</w:t>
      </w:r>
    </w:p>
    <w:p w14:paraId="BB000000">
      <w:bookmarkStart w:id="3" w:name="__RefHeading___3"/>
      <w:bookmarkEnd w:id="3"/>
      <w:pPr>
        <w:pStyle w:val="Style_10"/>
        <w:widowControl w:val="1"/>
        <w:numPr>
          <w:ilvl w:val="1"/>
          <w:numId w:val="1"/>
        </w:numPr>
        <w:spacing w:after="0" w:before="0" w:line="360" w:lineRule="auto"/>
        <w:ind/>
        <w:contextualSpacing w:val="1"/>
        <w:jc w:val="both"/>
        <w:rPr>
          <w:rFonts w:ascii="Times New Roman" w:hAnsi="Times New Roman"/>
          <w:i w:val="0"/>
          <w:sz w:val="24"/>
        </w:rPr>
      </w:pPr>
      <w:r>
        <w:rPr>
          <w:rFonts w:ascii="Times New Roman" w:hAnsi="Times New Roman"/>
          <w:i w:val="0"/>
          <w:sz w:val="24"/>
        </w:rPr>
        <w:t>Участие Общества в реформировании отрасли жел</w:t>
      </w:r>
      <w:r>
        <w:rPr>
          <w:rFonts w:ascii="Times New Roman" w:hAnsi="Times New Roman"/>
          <w:i w:val="0"/>
          <w:sz w:val="24"/>
        </w:rPr>
        <w:t>езнодорожного транспорта России</w:t>
      </w:r>
    </w:p>
    <w:p w14:paraId="BC000000">
      <w:pPr>
        <w:widowControl w:val="1"/>
        <w:spacing w:line="360" w:lineRule="auto"/>
        <w:ind w:firstLine="709"/>
        <w:contextualSpacing w:val="1"/>
        <w:jc w:val="both"/>
      </w:pPr>
      <w:r>
        <w:t>В результате  реализации Программы структурной реформы на железнодорожном транспорте, утвержденной постановлением Правительства Российской Федерации от 18 мая 2001 г. № 384 « О Программе структурной реформы на железнодорожном транспорте» деятельность пригородного пассажирского</w:t>
      </w:r>
      <w:r>
        <w:t xml:space="preserve"> комплекса претерпела изменения, </w:t>
      </w:r>
      <w:r>
        <w:t xml:space="preserve">к настоящему времени на железных дорогах </w:t>
      </w:r>
      <w:r>
        <w:t>функционируют 2</w:t>
      </w:r>
      <w:r>
        <w:t>5</w:t>
      </w:r>
      <w:r>
        <w:t xml:space="preserve"> пригородных пассажирских компаний</w:t>
      </w:r>
      <w:r>
        <w:t>.</w:t>
      </w:r>
    </w:p>
    <w:p w14:paraId="BD000000">
      <w:pPr>
        <w:widowControl w:val="1"/>
        <w:spacing w:line="360" w:lineRule="auto"/>
        <w:ind w:firstLine="709"/>
        <w:contextualSpacing w:val="1"/>
        <w:jc w:val="both"/>
      </w:pPr>
      <w:r>
        <w:t xml:space="preserve"> Одним из созданных в 2005 году ДЗО является АО «Краспригород». </w:t>
      </w:r>
    </w:p>
    <w:p w14:paraId="BE000000">
      <w:pPr>
        <w:widowControl w:val="1"/>
        <w:spacing w:line="360" w:lineRule="auto"/>
        <w:ind w:firstLine="709"/>
        <w:contextualSpacing w:val="1"/>
        <w:jc w:val="both"/>
      </w:pPr>
      <w:r>
        <w:t xml:space="preserve">За период с момента своего создания компания прошла значительный путь становления и развития.  </w:t>
      </w:r>
    </w:p>
    <w:p w14:paraId="BF000000">
      <w:pPr>
        <w:widowControl w:val="1"/>
        <w:spacing w:line="360" w:lineRule="auto"/>
        <w:ind w:firstLine="709"/>
        <w:contextualSpacing w:val="1"/>
        <w:jc w:val="both"/>
      </w:pPr>
      <w:r>
        <w:t xml:space="preserve">Организацию деятельности в качестве Компании-перевозчика АО «Краспригород» начало осуществлять с 1 января 2008 года. </w:t>
      </w:r>
    </w:p>
    <w:p w14:paraId="C0000000">
      <w:pPr>
        <w:widowControl w:val="1"/>
        <w:spacing w:line="360" w:lineRule="auto"/>
        <w:ind w:firstLine="709"/>
        <w:contextualSpacing w:val="1"/>
        <w:jc w:val="both"/>
      </w:pPr>
      <w:r>
        <w:t xml:space="preserve">Таким образом, достигнута одна из основных целей Концепции структурной реформы на железнодорожном транспорте,  вывод пригородных пассажирских перевозок в конкурентный сектор. </w:t>
      </w:r>
    </w:p>
    <w:p w14:paraId="C1000000">
      <w:bookmarkStart w:id="4" w:name="__RefHeading___4"/>
      <w:bookmarkEnd w:id="4"/>
      <w:pPr>
        <w:pStyle w:val="Style_10"/>
        <w:widowControl w:val="1"/>
        <w:numPr>
          <w:ilvl w:val="1"/>
          <w:numId w:val="1"/>
        </w:numPr>
        <w:spacing w:after="0" w:before="0" w:line="360" w:lineRule="auto"/>
        <w:ind w:firstLine="709" w:left="0"/>
        <w:contextualSpacing w:val="1"/>
        <w:jc w:val="both"/>
        <w:rPr>
          <w:rFonts w:ascii="Times New Roman" w:hAnsi="Times New Roman"/>
          <w:i w:val="0"/>
          <w:sz w:val="24"/>
        </w:rPr>
      </w:pPr>
      <w:r>
        <w:rPr>
          <w:rFonts w:ascii="Times New Roman" w:hAnsi="Times New Roman"/>
          <w:i w:val="0"/>
          <w:sz w:val="24"/>
        </w:rPr>
        <w:t xml:space="preserve">Основные вехи развития Общества в отчетном году, достигнутые за </w:t>
      </w:r>
      <w:r>
        <w:rPr>
          <w:rFonts w:ascii="Times New Roman" w:hAnsi="Times New Roman"/>
          <w:i w:val="0"/>
          <w:sz w:val="24"/>
        </w:rPr>
        <w:t>201</w:t>
      </w:r>
      <w:r>
        <w:rPr>
          <w:rFonts w:ascii="Times New Roman" w:hAnsi="Times New Roman"/>
          <w:i w:val="0"/>
          <w:sz w:val="24"/>
        </w:rPr>
        <w:t>8</w:t>
      </w:r>
      <w:r>
        <w:rPr>
          <w:rFonts w:ascii="Times New Roman" w:hAnsi="Times New Roman"/>
          <w:i w:val="0"/>
          <w:sz w:val="24"/>
        </w:rPr>
        <w:t xml:space="preserve"> </w:t>
      </w:r>
      <w:r>
        <w:rPr>
          <w:rFonts w:ascii="Times New Roman" w:hAnsi="Times New Roman"/>
          <w:i w:val="0"/>
          <w:sz w:val="24"/>
        </w:rPr>
        <w:t>год результаты</w:t>
      </w:r>
      <w:r>
        <w:rPr>
          <w:rFonts w:ascii="Times New Roman" w:hAnsi="Times New Roman"/>
          <w:i w:val="0"/>
          <w:sz w:val="24"/>
        </w:rPr>
        <w:t>.</w:t>
      </w:r>
    </w:p>
    <w:p w14:paraId="C2000000">
      <w:pPr>
        <w:pStyle w:val="Style_12"/>
        <w:widowControl w:val="1"/>
        <w:numPr>
          <w:ilvl w:val="0"/>
          <w:numId w:val="2"/>
        </w:numPr>
        <w:tabs>
          <w:tab w:leader="none" w:pos="1134" w:val="left"/>
          <w:tab w:leader="none" w:pos="2438" w:val="clear"/>
        </w:tabs>
        <w:spacing w:line="360" w:lineRule="auto"/>
        <w:ind w:firstLine="709" w:left="0"/>
        <w:contextualSpacing w:val="1"/>
        <w:jc w:val="both"/>
        <w:rPr>
          <w:rFonts w:ascii="Times New Roman" w:hAnsi="Times New Roman"/>
          <w:sz w:val="24"/>
        </w:rPr>
      </w:pPr>
      <w:r>
        <w:rPr>
          <w:rFonts w:ascii="Times New Roman" w:hAnsi="Times New Roman"/>
          <w:sz w:val="24"/>
        </w:rPr>
        <w:t xml:space="preserve">Получен </w:t>
      </w:r>
      <w:r>
        <w:rPr>
          <w:rFonts w:ascii="Times New Roman" w:hAnsi="Times New Roman"/>
          <w:sz w:val="24"/>
        </w:rPr>
        <w:t>безубыточный</w:t>
      </w:r>
      <w:r>
        <w:rPr>
          <w:rFonts w:ascii="Times New Roman" w:hAnsi="Times New Roman"/>
          <w:sz w:val="24"/>
        </w:rPr>
        <w:t xml:space="preserve"> </w:t>
      </w:r>
      <w:r>
        <w:rPr>
          <w:rFonts w:ascii="Times New Roman" w:hAnsi="Times New Roman"/>
          <w:sz w:val="24"/>
        </w:rPr>
        <w:t>финансовый результат</w:t>
      </w:r>
      <w:r>
        <w:rPr>
          <w:rFonts w:ascii="Times New Roman" w:hAnsi="Times New Roman"/>
          <w:sz w:val="24"/>
        </w:rPr>
        <w:t xml:space="preserve"> от пригородных перевозок</w:t>
      </w:r>
      <w:r>
        <w:rPr>
          <w:rFonts w:ascii="Times New Roman" w:hAnsi="Times New Roman"/>
          <w:sz w:val="24"/>
        </w:rPr>
        <w:t xml:space="preserve"> в границах Красноярской железной дороги</w:t>
      </w:r>
      <w:r>
        <w:rPr>
          <w:rFonts w:ascii="Times New Roman" w:hAnsi="Times New Roman"/>
          <w:sz w:val="24"/>
        </w:rPr>
        <w:t>.</w:t>
      </w:r>
      <w:r>
        <w:rPr>
          <w:rFonts w:ascii="Times New Roman" w:hAnsi="Times New Roman"/>
          <w:sz w:val="24"/>
        </w:rPr>
        <w:t xml:space="preserve"> </w:t>
      </w:r>
    </w:p>
    <w:p w14:paraId="C3000000">
      <w:pPr>
        <w:pStyle w:val="Style_13"/>
        <w:widowControl w:val="1"/>
        <w:spacing w:line="360" w:lineRule="auto"/>
        <w:ind w:firstLine="567"/>
        <w:jc w:val="both"/>
        <w:rPr>
          <w:color w:val="000000"/>
        </w:rPr>
      </w:pPr>
      <w:r>
        <w:t>2.</w:t>
      </w:r>
      <w:r>
        <w:t xml:space="preserve">Силами компании </w:t>
      </w:r>
      <w:r>
        <w:t xml:space="preserve">продолжены перевозки </w:t>
      </w:r>
      <w:r>
        <w:t>пригородны</w:t>
      </w:r>
      <w:r>
        <w:t xml:space="preserve">ми </w:t>
      </w:r>
      <w:r>
        <w:t xml:space="preserve"> поезд</w:t>
      </w:r>
      <w:r>
        <w:t xml:space="preserve">ами </w:t>
      </w:r>
      <w:r>
        <w:t xml:space="preserve"> на тепловозной тяге на </w:t>
      </w:r>
      <w:r>
        <w:t xml:space="preserve">направлениях </w:t>
      </w:r>
      <w:r>
        <w:t>Ачинск-Лесосибирск,</w:t>
      </w:r>
      <w:r>
        <w:t xml:space="preserve"> </w:t>
      </w:r>
      <w:r>
        <w:t xml:space="preserve"> </w:t>
      </w:r>
      <w:r>
        <w:t>Решоты-Чунояр,  Аскиз-Абаза</w:t>
      </w:r>
      <w:r>
        <w:t xml:space="preserve">. </w:t>
      </w:r>
      <w:r>
        <w:t>В</w:t>
      </w:r>
      <w:r>
        <w:t xml:space="preserve"> границах </w:t>
      </w:r>
      <w:r>
        <w:t xml:space="preserve"> Кемеровской област</w:t>
      </w:r>
      <w:r>
        <w:t>и</w:t>
      </w:r>
      <w:r>
        <w:t>,</w:t>
      </w:r>
      <w:r>
        <w:t xml:space="preserve"> </w:t>
      </w:r>
      <w:r>
        <w:t xml:space="preserve">согласно заказа субъекта, </w:t>
      </w:r>
      <w:r>
        <w:t>с 02.12.2017 года</w:t>
      </w:r>
      <w:r>
        <w:t xml:space="preserve"> курсирует  дополнительный</w:t>
      </w:r>
      <w:r>
        <w:t xml:space="preserve"> </w:t>
      </w:r>
      <w:r>
        <w:t>пригородный поезд</w:t>
      </w:r>
      <w:r>
        <w:t xml:space="preserve"> </w:t>
      </w:r>
      <w:r>
        <w:t>по маршруту Междуреченск - Лужба.</w:t>
      </w:r>
      <w:r>
        <w:rPr>
          <w:color w:val="000000"/>
        </w:rPr>
        <w:t xml:space="preserve"> </w:t>
      </w:r>
    </w:p>
    <w:p w14:paraId="C4000000">
      <w:pPr>
        <w:pStyle w:val="Style_13"/>
        <w:widowControl w:val="1"/>
        <w:spacing w:line="360" w:lineRule="auto"/>
        <w:ind w:firstLine="567"/>
        <w:jc w:val="both"/>
      </w:pPr>
      <w:r>
        <w:rPr>
          <w:color w:val="000000"/>
        </w:rPr>
        <w:t xml:space="preserve">3. </w:t>
      </w:r>
      <w:r>
        <w:t xml:space="preserve">Пассажирам Красноярской железной дороги </w:t>
      </w:r>
      <w:r>
        <w:t xml:space="preserve">доступно </w:t>
      </w:r>
      <w:r>
        <w:t>– информирование о движении городских и пригородных электропоездов в режиме реального времени. Теперь, чтобы узнать местонахождение электропоезда и прогнозное время следования до интересующей остановки, достаточно иметь мобильный телефон с выходом в интернет.</w:t>
      </w:r>
    </w:p>
    <w:p w14:paraId="C5000000">
      <w:pPr>
        <w:pStyle w:val="Style_13"/>
        <w:widowControl w:val="1"/>
        <w:spacing w:line="360" w:lineRule="auto"/>
        <w:ind w:firstLine="567"/>
        <w:jc w:val="both"/>
      </w:pPr>
      <w:r>
        <w:t>В рамках совместного проекта компании "</w:t>
      </w:r>
      <w:r>
        <w:rPr>
          <w:rStyle w:val="Style_14_ch"/>
          <w:color w:val="000000"/>
          <w:u w:val="none"/>
        </w:rPr>
        <w:fldChar w:fldCharType="begin"/>
      </w:r>
      <w:r>
        <w:rPr>
          <w:rStyle w:val="Style_14_ch"/>
          <w:color w:val="000000"/>
          <w:u w:val="none"/>
        </w:rPr>
        <w:instrText>HYPERLINK "http://www.kraspg.ru/"</w:instrText>
      </w:r>
      <w:r>
        <w:rPr>
          <w:rStyle w:val="Style_14_ch"/>
          <w:color w:val="000000"/>
          <w:u w:val="none"/>
        </w:rPr>
        <w:fldChar w:fldCharType="separate"/>
      </w:r>
      <w:r>
        <w:rPr>
          <w:rStyle w:val="Style_14_ch"/>
          <w:color w:val="000000"/>
          <w:u w:val="none"/>
        </w:rPr>
        <w:t>Краспригород</w:t>
      </w:r>
      <w:r>
        <w:rPr>
          <w:rStyle w:val="Style_14_ch"/>
          <w:color w:val="000000"/>
          <w:u w:val="none"/>
        </w:rPr>
        <w:fldChar w:fldCharType="end"/>
      </w:r>
      <w:r>
        <w:t xml:space="preserve">" и муниципального казенного учреждения "Красноярскгортранс", электропоезда, курсирующие по территории Красноярского края, оснащены датчиками ГЛОНАСС/GPS. С помощью этого оборудования данные о местонахождении электрички передаются в единую городскую автоматизированную навигационную систему диспетчерского управления пассажирским транспортом МКУ "Красноярскгортранс". В режиме реального времени вся информация о движении электропоездов, наряду с другими видами общественного транспорта Красноярска – автобусами, троллейбусами и трамваями, – автоматически отражается на едином городском </w:t>
      </w:r>
      <w:r>
        <w:rPr>
          <w:rStyle w:val="Style_14_ch"/>
          <w:color w:val="000000"/>
          <w:u w:val="none"/>
        </w:rPr>
        <w:fldChar w:fldCharType="begin"/>
      </w:r>
      <w:r>
        <w:rPr>
          <w:rStyle w:val="Style_14_ch"/>
          <w:color w:val="000000"/>
          <w:u w:val="none"/>
        </w:rPr>
        <w:instrText>HYPERLINK "https://mu-kgt.ru/informing/wap/"</w:instrText>
      </w:r>
      <w:r>
        <w:rPr>
          <w:rStyle w:val="Style_14_ch"/>
          <w:color w:val="000000"/>
          <w:u w:val="none"/>
        </w:rPr>
        <w:fldChar w:fldCharType="separate"/>
      </w:r>
      <w:r>
        <w:rPr>
          <w:rStyle w:val="Style_14_ch"/>
          <w:color w:val="000000"/>
          <w:u w:val="none"/>
        </w:rPr>
        <w:t>портале</w:t>
      </w:r>
      <w:r>
        <w:rPr>
          <w:rStyle w:val="Style_14_ch"/>
          <w:color w:val="000000"/>
          <w:u w:val="none"/>
        </w:rPr>
        <w:fldChar w:fldCharType="end"/>
      </w:r>
      <w:r>
        <w:t xml:space="preserve"> по информированию пассажиров о движении общественного транспорта. Зайдя на сайт с компьютера или мобильного телефона, любой пассажир получает доступ к информации, которую раньше мог видеть только узкий круг специалистов. Здесь можно не только увидеть местонахождение поезда, прогноз его прибытия на интересующую остановку, расписание и схему движения, но и узнать, состав какого типа выполняет данный маршрут сегодня.</w:t>
      </w:r>
    </w:p>
    <w:p w14:paraId="C6000000">
      <w:pPr>
        <w:pStyle w:val="Style_13"/>
        <w:widowControl w:val="1"/>
        <w:spacing w:line="360" w:lineRule="auto"/>
        <w:ind w:firstLine="567"/>
        <w:jc w:val="both"/>
        <w:rPr>
          <w:color w:val="000000"/>
        </w:rPr>
      </w:pPr>
      <w:r>
        <w:t>4</w:t>
      </w:r>
      <w:r>
        <w:t xml:space="preserve">. </w:t>
      </w:r>
      <w:r>
        <w:t>Для</w:t>
      </w:r>
      <w:r>
        <w:rPr>
          <w:color w:val="000000"/>
        </w:rPr>
        <w:t xml:space="preserve"> красноярцев и гостей города курсир</w:t>
      </w:r>
      <w:r>
        <w:rPr>
          <w:color w:val="000000"/>
        </w:rPr>
        <w:t>ует</w:t>
      </w:r>
      <w:r>
        <w:rPr>
          <w:color w:val="000000"/>
        </w:rPr>
        <w:t xml:space="preserve"> экскурсионный электропоезд по маршруту Красноярск – Дивногорск – Красноярск. Проект "Экскурсионный турэкспресс" реализуется </w:t>
      </w:r>
      <w:r>
        <w:t xml:space="preserve">компанией  АО </w:t>
      </w:r>
      <w:r>
        <w:rPr>
          <w:rStyle w:val="Style_14_ch"/>
          <w:color w:val="000000"/>
          <w:u w:val="none"/>
        </w:rPr>
        <w:fldChar w:fldCharType="begin"/>
      </w:r>
      <w:r>
        <w:rPr>
          <w:rStyle w:val="Style_14_ch"/>
          <w:color w:val="000000"/>
          <w:u w:val="none"/>
        </w:rPr>
        <w:instrText>HYPERLINK "http://kras.rzd.ru/news/public/kraspg.ru"</w:instrText>
      </w:r>
      <w:r>
        <w:rPr>
          <w:rStyle w:val="Style_14_ch"/>
          <w:color w:val="000000"/>
          <w:u w:val="none"/>
        </w:rPr>
        <w:fldChar w:fldCharType="separate"/>
      </w:r>
      <w:r>
        <w:rPr>
          <w:rStyle w:val="Style_14_ch"/>
          <w:color w:val="000000"/>
          <w:u w:val="none"/>
        </w:rPr>
        <w:t>"Краспригород"</w:t>
      </w:r>
      <w:r>
        <w:rPr>
          <w:rStyle w:val="Style_14_ch"/>
          <w:color w:val="000000"/>
          <w:u w:val="none"/>
        </w:rPr>
        <w:fldChar w:fldCharType="end"/>
      </w:r>
      <w:r>
        <w:t> совместно</w:t>
      </w:r>
      <w:r>
        <w:rPr>
          <w:color w:val="000000"/>
        </w:rPr>
        <w:t xml:space="preserve"> с одним из региональных туристических агентств.</w:t>
      </w:r>
      <w:r>
        <w:rPr>
          <w:color w:val="000000"/>
        </w:rPr>
        <w:t xml:space="preserve"> </w:t>
      </w:r>
      <w:r>
        <w:rPr>
          <w:color w:val="000000"/>
        </w:rPr>
        <w:t>Туристы одновременно</w:t>
      </w:r>
      <w:r>
        <w:rPr>
          <w:color w:val="000000"/>
        </w:rPr>
        <w:t xml:space="preserve"> являлись </w:t>
      </w:r>
      <w:r>
        <w:rPr>
          <w:color w:val="000000"/>
        </w:rPr>
        <w:t xml:space="preserve"> пассажирами и электропоезда и речного судна. Они отправ</w:t>
      </w:r>
      <w:r>
        <w:rPr>
          <w:color w:val="000000"/>
        </w:rPr>
        <w:t>лялись</w:t>
      </w:r>
      <w:r>
        <w:rPr>
          <w:color w:val="000000"/>
        </w:rPr>
        <w:t xml:space="preserve"> из краевого центра на прогулочном теплоходе по реке Енисей, а затем в</w:t>
      </w:r>
      <w:r>
        <w:rPr>
          <w:color w:val="000000"/>
        </w:rPr>
        <w:t>озвращались</w:t>
      </w:r>
      <w:r>
        <w:rPr>
          <w:color w:val="000000"/>
        </w:rPr>
        <w:t xml:space="preserve"> из Дивногорска в Красноярск на электропоезде повышенной комфортности. Так же </w:t>
      </w:r>
      <w:r>
        <w:rPr>
          <w:color w:val="000000"/>
        </w:rPr>
        <w:t xml:space="preserve">был </w:t>
      </w:r>
      <w:r>
        <w:rPr>
          <w:color w:val="000000"/>
        </w:rPr>
        <w:t>возможен и обратный туристический маршрут: поездка из Красноярска в Дивногорск на электричке, и возвращение на речном судне.</w:t>
      </w:r>
    </w:p>
    <w:p w14:paraId="C7000000">
      <w:pPr>
        <w:pStyle w:val="Style_13"/>
        <w:widowControl w:val="1"/>
        <w:spacing w:line="360" w:lineRule="auto"/>
        <w:ind w:firstLine="567"/>
        <w:jc w:val="both"/>
        <w:rPr>
          <w:color w:val="000000"/>
        </w:rPr>
      </w:pPr>
    </w:p>
    <w:p w14:paraId="C8000000">
      <w:pPr>
        <w:pStyle w:val="Style_13"/>
        <w:widowControl w:val="1"/>
        <w:spacing w:line="360" w:lineRule="auto"/>
        <w:ind w:firstLine="567"/>
        <w:jc w:val="both"/>
        <w:rPr>
          <w:color w:val="000000"/>
        </w:rPr>
      </w:pPr>
      <w:r>
        <w:rPr>
          <w:color w:val="000000"/>
        </w:rPr>
        <w:t>5</w:t>
      </w:r>
      <w:r>
        <w:rPr>
          <w:color w:val="000000"/>
        </w:rPr>
        <w:t xml:space="preserve">. </w:t>
      </w:r>
      <w:r>
        <w:rPr>
          <w:color w:val="000000"/>
        </w:rPr>
        <w:t>Пассажиры Красноярской железной дороги могут приобретать билеты через Интернет на популярны</w:t>
      </w:r>
      <w:r>
        <w:rPr>
          <w:color w:val="000000"/>
        </w:rPr>
        <w:t>е</w:t>
      </w:r>
      <w:r>
        <w:rPr>
          <w:color w:val="000000"/>
        </w:rPr>
        <w:t xml:space="preserve"> пригородны</w:t>
      </w:r>
      <w:r>
        <w:rPr>
          <w:color w:val="000000"/>
        </w:rPr>
        <w:t>е</w:t>
      </w:r>
      <w:r>
        <w:rPr>
          <w:color w:val="000000"/>
        </w:rPr>
        <w:t xml:space="preserve"> поезд</w:t>
      </w:r>
      <w:r>
        <w:rPr>
          <w:color w:val="000000"/>
        </w:rPr>
        <w:t>а</w:t>
      </w:r>
      <w:r>
        <w:rPr>
          <w:color w:val="000000"/>
        </w:rPr>
        <w:t xml:space="preserve"> Красноярск – Уяр</w:t>
      </w:r>
      <w:r>
        <w:rPr>
          <w:color w:val="000000"/>
        </w:rPr>
        <w:t xml:space="preserve"> </w:t>
      </w:r>
      <w:r>
        <w:rPr>
          <w:color w:val="000000"/>
        </w:rPr>
        <w:t>–</w:t>
      </w:r>
      <w:r>
        <w:rPr>
          <w:color w:val="000000"/>
        </w:rPr>
        <w:t xml:space="preserve"> Иланская, Красноярск</w:t>
      </w:r>
      <w:r>
        <w:rPr>
          <w:color w:val="000000"/>
        </w:rPr>
        <w:t xml:space="preserve"> – </w:t>
      </w:r>
      <w:r>
        <w:rPr>
          <w:color w:val="000000"/>
        </w:rPr>
        <w:t xml:space="preserve">Уяр </w:t>
      </w:r>
      <w:r>
        <w:rPr>
          <w:color w:val="000000"/>
        </w:rPr>
        <w:t>–</w:t>
      </w:r>
      <w:r>
        <w:rPr>
          <w:color w:val="000000"/>
        </w:rPr>
        <w:t xml:space="preserve"> </w:t>
      </w:r>
      <w:r>
        <w:rPr>
          <w:color w:val="000000"/>
        </w:rPr>
        <w:t xml:space="preserve">Мана. Оформить билет за полную стоимость, а также детский билет на указанный поезд можно на сайте компании </w:t>
      </w:r>
      <w:r>
        <w:rPr>
          <w:color w:val="000000"/>
        </w:rPr>
        <w:t xml:space="preserve">АО </w:t>
      </w:r>
      <w:r>
        <w:rPr>
          <w:color w:val="000000"/>
        </w:rPr>
        <w:t>"Краспригород". Оплата при удаленной покупке билета производится банковской картой. Также на сайте пассажиры смогут приобрести проездной документ для своих питомцев (мелких домашних/комнатных животных, собак и птиц).</w:t>
      </w:r>
    </w:p>
    <w:p w14:paraId="C9000000">
      <w:pPr>
        <w:pStyle w:val="Style_13"/>
        <w:widowControl w:val="1"/>
        <w:spacing w:line="360" w:lineRule="auto"/>
        <w:ind w:firstLine="567"/>
        <w:jc w:val="both"/>
      </w:pPr>
      <w:r>
        <w:rPr>
          <w:color w:val="000000"/>
        </w:rPr>
        <w:t xml:space="preserve">7. </w:t>
      </w:r>
      <w:r>
        <w:t>В течение 201</w:t>
      </w:r>
      <w:r>
        <w:t>8</w:t>
      </w:r>
      <w:r>
        <w:t xml:space="preserve"> года</w:t>
      </w:r>
      <w:r>
        <w:t xml:space="preserve"> </w:t>
      </w:r>
      <w:r>
        <w:t>д</w:t>
      </w:r>
      <w:r>
        <w:t>ля осуществления эффективной коммуникационной деятельности</w:t>
      </w:r>
      <w:r>
        <w:t>,</w:t>
      </w:r>
      <w:r>
        <w:t xml:space="preserve"> компанией проведено пять запланированных акций, а также компания приняла участие в пяти общесетевых и всероссийских акциях:</w:t>
      </w:r>
      <w:r>
        <w:tab/>
      </w:r>
    </w:p>
    <w:p w14:paraId="CA000000">
      <w:pPr>
        <w:pStyle w:val="Style_12"/>
        <w:widowControl w:val="1"/>
        <w:spacing w:line="360" w:lineRule="auto"/>
        <w:ind w:firstLine="709"/>
        <w:contextualSpacing w:val="1"/>
        <w:jc w:val="both"/>
        <w:rPr>
          <w:rFonts w:ascii="Times New Roman" w:hAnsi="Times New Roman"/>
          <w:sz w:val="24"/>
        </w:rPr>
      </w:pPr>
      <w:r>
        <w:rPr>
          <w:rFonts w:ascii="Times New Roman" w:hAnsi="Times New Roman"/>
          <w:sz w:val="24"/>
        </w:rPr>
        <w:t>-  08 марта была проведена акция «Международный женский день»: акция проведена с целью формирования положительного имиджа компании. Поздравление пассажиров (женщин) с вручением бесплатного красочного экземпляра расписания движения пригородных поездов.</w:t>
      </w:r>
    </w:p>
    <w:p w14:paraId="CB000000">
      <w:pPr>
        <w:pStyle w:val="Style_12"/>
        <w:widowControl w:val="1"/>
        <w:spacing w:line="360" w:lineRule="auto"/>
        <w:ind w:firstLine="709"/>
        <w:contextualSpacing w:val="1"/>
        <w:jc w:val="both"/>
        <w:rPr>
          <w:rFonts w:ascii="Times New Roman" w:hAnsi="Times New Roman"/>
          <w:sz w:val="24"/>
        </w:rPr>
      </w:pPr>
      <w:r>
        <w:rPr>
          <w:rFonts w:ascii="Times New Roman" w:hAnsi="Times New Roman"/>
          <w:sz w:val="24"/>
        </w:rPr>
        <w:t>- с</w:t>
      </w:r>
      <w:r>
        <w:rPr>
          <w:rFonts w:ascii="Times New Roman" w:hAnsi="Times New Roman"/>
          <w:sz w:val="24"/>
        </w:rPr>
        <w:t xml:space="preserve"> 27 апреля по 20 мая  реализация проекта телефонной линии «Составь свое расписание».</w:t>
      </w:r>
    </w:p>
    <w:p w14:paraId="CC000000">
      <w:pPr>
        <w:pStyle w:val="Style_12"/>
        <w:widowControl w:val="1"/>
        <w:spacing w:line="360" w:lineRule="auto"/>
        <w:ind w:firstLine="709"/>
        <w:contextualSpacing w:val="1"/>
        <w:jc w:val="both"/>
        <w:rPr>
          <w:rFonts w:ascii="Times New Roman" w:hAnsi="Times New Roman"/>
          <w:sz w:val="24"/>
        </w:rPr>
      </w:pPr>
      <w:r>
        <w:rPr>
          <w:rFonts w:ascii="Times New Roman" w:hAnsi="Times New Roman"/>
          <w:sz w:val="24"/>
        </w:rPr>
        <w:t xml:space="preserve">- </w:t>
      </w:r>
      <w:r>
        <w:rPr>
          <w:rFonts w:ascii="Times New Roman" w:hAnsi="Times New Roman"/>
          <w:sz w:val="24"/>
        </w:rPr>
        <w:t xml:space="preserve">01 мая  акция «Открытие дачного сезона»: проведена с целью привлечения пассажиров, формирования положительного имиджа компании. Предоставление бесплатного экземпляра расписания движения пригородных поездов платной категории пассажиров при покупке разовых проездных документов «туда/обратно». </w:t>
      </w:r>
    </w:p>
    <w:p w14:paraId="CD000000">
      <w:pPr>
        <w:pStyle w:val="Style_12"/>
        <w:widowControl w:val="1"/>
        <w:spacing w:line="360" w:lineRule="auto"/>
        <w:ind w:firstLine="709"/>
        <w:contextualSpacing w:val="1"/>
        <w:jc w:val="both"/>
        <w:rPr>
          <w:rFonts w:ascii="Times New Roman" w:hAnsi="Times New Roman"/>
          <w:sz w:val="24"/>
        </w:rPr>
      </w:pPr>
      <w:r>
        <w:rPr>
          <w:rFonts w:ascii="Times New Roman" w:hAnsi="Times New Roman"/>
          <w:sz w:val="24"/>
        </w:rPr>
        <w:t>- с</w:t>
      </w:r>
      <w:r>
        <w:rPr>
          <w:rFonts w:ascii="Times New Roman" w:hAnsi="Times New Roman"/>
          <w:sz w:val="24"/>
        </w:rPr>
        <w:t xml:space="preserve"> 01 мая по 10 мая  акция «День Победы – Народный праздник»: проведена с целью формирования положительного имиджа компании. Поздравление пассажиров (ветеранов ВОВ)  с вручением бесплатного экземпляра расписания движения пригородных поездов.</w:t>
      </w:r>
    </w:p>
    <w:p w14:paraId="CE000000">
      <w:pPr>
        <w:pStyle w:val="Style_12"/>
        <w:widowControl w:val="1"/>
        <w:spacing w:line="360" w:lineRule="auto"/>
        <w:ind w:firstLine="709"/>
        <w:contextualSpacing w:val="1"/>
        <w:jc w:val="both"/>
        <w:rPr>
          <w:rFonts w:ascii="Times New Roman" w:hAnsi="Times New Roman"/>
          <w:sz w:val="24"/>
        </w:rPr>
      </w:pPr>
      <w:r>
        <w:rPr>
          <w:rFonts w:ascii="Times New Roman" w:hAnsi="Times New Roman"/>
          <w:sz w:val="24"/>
        </w:rPr>
        <w:t>- п</w:t>
      </w:r>
      <w:r>
        <w:rPr>
          <w:rFonts w:ascii="Times New Roman" w:hAnsi="Times New Roman"/>
          <w:sz w:val="24"/>
        </w:rPr>
        <w:t>риняли участие во всероссийских акциях и сетевых акциях, проводимых холдингом «РЖД»: с 14 по 20 мая во всероссийской акции "Стоп ВИЧ/Спид",  23 мая в акции "Музыкальная электричка" по профилактике соблюдения правил безопасности при нахождении на объектах железнодорожного транспорта.</w:t>
      </w:r>
    </w:p>
    <w:p w14:paraId="CF000000">
      <w:pPr>
        <w:pStyle w:val="Style_12"/>
        <w:widowControl w:val="1"/>
        <w:spacing w:line="360" w:lineRule="auto"/>
        <w:ind w:firstLine="709"/>
        <w:contextualSpacing w:val="1"/>
        <w:jc w:val="both"/>
        <w:rPr>
          <w:rFonts w:ascii="Times New Roman" w:hAnsi="Times New Roman"/>
          <w:sz w:val="24"/>
        </w:rPr>
      </w:pPr>
      <w:r>
        <w:rPr>
          <w:rFonts w:ascii="Times New Roman" w:hAnsi="Times New Roman"/>
          <w:sz w:val="24"/>
        </w:rPr>
        <w:t>- с</w:t>
      </w:r>
      <w:r>
        <w:rPr>
          <w:rFonts w:ascii="Times New Roman" w:hAnsi="Times New Roman"/>
          <w:sz w:val="24"/>
        </w:rPr>
        <w:t xml:space="preserve"> 8 по 19 июля приняли участие в акции «Маршрут здоровья». Всем пассажирам в кассах выдавались буклеты по профилактике заболеваний.</w:t>
      </w:r>
    </w:p>
    <w:p w14:paraId="D0000000">
      <w:pPr>
        <w:pStyle w:val="Style_12"/>
        <w:widowControl w:val="1"/>
        <w:spacing w:line="360" w:lineRule="auto"/>
        <w:ind w:firstLine="709"/>
        <w:contextualSpacing w:val="1"/>
        <w:jc w:val="both"/>
        <w:rPr>
          <w:rFonts w:ascii="Times New Roman" w:hAnsi="Times New Roman"/>
          <w:sz w:val="24"/>
        </w:rPr>
      </w:pPr>
      <w:r>
        <w:rPr>
          <w:rFonts w:ascii="Times New Roman" w:hAnsi="Times New Roman"/>
          <w:sz w:val="24"/>
        </w:rPr>
        <w:t xml:space="preserve">-  </w:t>
      </w:r>
      <w:r>
        <w:rPr>
          <w:rFonts w:ascii="Times New Roman" w:hAnsi="Times New Roman"/>
          <w:sz w:val="24"/>
        </w:rPr>
        <w:t>8 июля приняли участие в акции «День семьи, любви и верности», в ходе которой на пунктах продажи  пригородных проездных документов, а также на официальном сайте компании были размещены поздравительные плакаты для пассажиров.</w:t>
      </w:r>
    </w:p>
    <w:p w14:paraId="D1000000">
      <w:pPr>
        <w:pStyle w:val="Style_12"/>
        <w:widowControl w:val="1"/>
        <w:spacing w:line="360" w:lineRule="auto"/>
        <w:ind w:firstLine="709"/>
        <w:contextualSpacing w:val="1"/>
        <w:jc w:val="both"/>
        <w:rPr>
          <w:rFonts w:ascii="Times New Roman" w:hAnsi="Times New Roman"/>
          <w:sz w:val="24"/>
        </w:rPr>
      </w:pPr>
      <w:r>
        <w:rPr>
          <w:rFonts w:ascii="Times New Roman" w:hAnsi="Times New Roman"/>
          <w:sz w:val="24"/>
        </w:rPr>
        <w:t>- с</w:t>
      </w:r>
      <w:r>
        <w:rPr>
          <w:rFonts w:ascii="Times New Roman" w:hAnsi="Times New Roman"/>
          <w:sz w:val="24"/>
        </w:rPr>
        <w:t xml:space="preserve"> 16 по 22 сентября приняли участие в акции «Европейская неделя мобильности», в рамках которой 22 сентября пассажирам предоставлялось право бесплатного проезда в городских электропоездах при предъявлении свидетельства о регистрации транспортного средства (СТС).</w:t>
      </w:r>
    </w:p>
    <w:p w14:paraId="D2000000">
      <w:pPr>
        <w:pStyle w:val="Style_12"/>
        <w:widowControl w:val="1"/>
        <w:spacing w:line="360" w:lineRule="auto"/>
        <w:ind w:firstLine="709"/>
        <w:contextualSpacing w:val="1"/>
        <w:jc w:val="both"/>
        <w:rPr>
          <w:rFonts w:ascii="Times New Roman" w:hAnsi="Times New Roman"/>
          <w:sz w:val="24"/>
        </w:rPr>
      </w:pPr>
      <w:r>
        <w:rPr>
          <w:rFonts w:ascii="Times New Roman" w:hAnsi="Times New Roman"/>
          <w:sz w:val="24"/>
        </w:rPr>
        <w:t xml:space="preserve">- </w:t>
      </w:r>
      <w:r>
        <w:rPr>
          <w:rFonts w:ascii="Times New Roman" w:hAnsi="Times New Roman"/>
          <w:sz w:val="24"/>
        </w:rPr>
        <w:t>14 декабря была проведена акция «Полуторамиллионный пассажир городской электрички 2018 года», в ходе которой ценным подарком и сертификатом на право бесплатного проезда в городских поездах в течение 2019 года был награжден пассажир, оформивший в городском электропоезде полуторамиллионный билет.</w:t>
      </w:r>
    </w:p>
    <w:p w14:paraId="D3000000">
      <w:pPr>
        <w:pStyle w:val="Style_12"/>
        <w:widowControl w:val="1"/>
        <w:spacing w:line="360" w:lineRule="auto"/>
        <w:ind w:firstLine="709"/>
        <w:contextualSpacing w:val="1"/>
        <w:jc w:val="both"/>
        <w:rPr>
          <w:rFonts w:ascii="Times New Roman" w:hAnsi="Times New Roman"/>
          <w:i w:val="1"/>
          <w:sz w:val="24"/>
        </w:rPr>
      </w:pPr>
      <w:r>
        <w:rPr>
          <w:rFonts w:ascii="Times New Roman" w:hAnsi="Times New Roman"/>
          <w:i w:val="1"/>
          <w:sz w:val="24"/>
        </w:rPr>
        <w:t>Задачи, стоящие п</w:t>
      </w:r>
      <w:r>
        <w:rPr>
          <w:rFonts w:ascii="Times New Roman" w:hAnsi="Times New Roman"/>
          <w:i w:val="1"/>
          <w:sz w:val="24"/>
        </w:rPr>
        <w:t>еред Обществом в следующем году</w:t>
      </w:r>
    </w:p>
    <w:p w14:paraId="D4000000">
      <w:pPr>
        <w:pStyle w:val="Style_11"/>
        <w:keepLines w:val="1"/>
        <w:widowControl w:val="1"/>
        <w:spacing w:after="0" w:line="360" w:lineRule="auto"/>
        <w:ind w:firstLine="709" w:left="0"/>
        <w:contextualSpacing w:val="1"/>
        <w:jc w:val="both"/>
        <w:rPr>
          <w:sz w:val="24"/>
        </w:rPr>
      </w:pPr>
      <w:r>
        <w:rPr>
          <w:sz w:val="24"/>
        </w:rPr>
        <w:t>В 201</w:t>
      </w:r>
      <w:r>
        <w:rPr>
          <w:sz w:val="24"/>
        </w:rPr>
        <w:t>9</w:t>
      </w:r>
      <w:r>
        <w:rPr>
          <w:sz w:val="24"/>
        </w:rPr>
        <w:t xml:space="preserve"> </w:t>
      </w:r>
      <w:r>
        <w:rPr>
          <w:sz w:val="24"/>
        </w:rPr>
        <w:t xml:space="preserve">году Общество планирует продолжать совершенствовать тарифную политику в пригородном сообщении. </w:t>
      </w:r>
    </w:p>
    <w:p w14:paraId="D5000000">
      <w:pPr>
        <w:widowControl w:val="1"/>
        <w:spacing w:line="360" w:lineRule="auto"/>
        <w:ind w:firstLine="709"/>
        <w:contextualSpacing w:val="1"/>
        <w:jc w:val="both"/>
      </w:pPr>
      <w:r>
        <w:t xml:space="preserve">В целях организации перевозок на  полигоне Красноярской железной дороги </w:t>
      </w:r>
      <w:r>
        <w:t xml:space="preserve"> </w:t>
      </w:r>
      <w:r>
        <w:t>заключены договоры на транспортное обслуживание с органами исполнительной власти Красноярского края, Республики Хакасия и Кемеровской области на 201</w:t>
      </w:r>
      <w:r>
        <w:t>9</w:t>
      </w:r>
      <w:r>
        <w:t xml:space="preserve"> год.  </w:t>
      </w:r>
    </w:p>
    <w:p w14:paraId="D6000000">
      <w:pPr>
        <w:widowControl w:val="1"/>
        <w:spacing w:line="360" w:lineRule="auto"/>
        <w:ind w:firstLine="709"/>
        <w:contextualSpacing w:val="1"/>
        <w:jc w:val="both"/>
      </w:pPr>
      <w:r>
        <w:t>Общество также намерено продолжать работу по реализации намеченных направлений деятельности – организации внутригородских перевозок.</w:t>
      </w:r>
      <w:r>
        <w:t xml:space="preserve"> Поэтапн</w:t>
      </w:r>
      <w:r>
        <w:t>ое</w:t>
      </w:r>
      <w:r>
        <w:t xml:space="preserve"> исполнение мероприятий проекта «Городская электричка», безусловно, </w:t>
      </w:r>
      <w:r>
        <w:rPr>
          <w:b w:val="1"/>
        </w:rPr>
        <w:t xml:space="preserve">обеспечит  увеличение пассажиропотока на железнодорожном транспорте, что является для нас основной целью. </w:t>
      </w:r>
    </w:p>
    <w:p w14:paraId="D7000000">
      <w:pPr>
        <w:widowControl w:val="1"/>
        <w:spacing w:line="360" w:lineRule="auto"/>
        <w:ind w:firstLine="709"/>
        <w:contextualSpacing w:val="1"/>
        <w:jc w:val="both"/>
      </w:pPr>
      <w:r>
        <w:t xml:space="preserve">Положительные результаты работы по достижению стратегических целей окажут влияние на социально-экономическую ситуацию субъектов РФ, на территории которых Общество осуществляет свою деятельность. </w:t>
      </w:r>
    </w:p>
    <w:p w14:paraId="D8000000">
      <w:pPr>
        <w:widowControl w:val="1"/>
        <w:tabs>
          <w:tab w:leader="none" w:pos="1134" w:val="left"/>
        </w:tabs>
        <w:spacing w:line="360" w:lineRule="auto"/>
        <w:ind w:firstLine="709"/>
        <w:contextualSpacing w:val="1"/>
        <w:jc w:val="both"/>
      </w:pPr>
    </w:p>
    <w:p w14:paraId="D9000000">
      <w:bookmarkStart w:id="5" w:name="__RefHeading___5"/>
      <w:bookmarkEnd w:id="5"/>
      <w:pPr>
        <w:pStyle w:val="Style_10"/>
        <w:widowControl w:val="1"/>
        <w:numPr>
          <w:ilvl w:val="1"/>
          <w:numId w:val="1"/>
        </w:numPr>
        <w:spacing w:after="0" w:before="0" w:line="360" w:lineRule="auto"/>
        <w:ind w:firstLine="709" w:left="0"/>
        <w:contextualSpacing w:val="1"/>
        <w:jc w:val="both"/>
        <w:rPr>
          <w:rFonts w:ascii="Times New Roman" w:hAnsi="Times New Roman"/>
          <w:i w:val="0"/>
          <w:sz w:val="24"/>
        </w:rPr>
      </w:pPr>
      <w:r>
        <w:rPr>
          <w:rFonts w:ascii="Times New Roman" w:hAnsi="Times New Roman"/>
          <w:i w:val="0"/>
          <w:sz w:val="24"/>
        </w:rPr>
        <w:t>Перспективы развития Общества в ближайшие годы.</w:t>
      </w:r>
    </w:p>
    <w:p w14:paraId="DA000000">
      <w:pPr>
        <w:widowControl w:val="1"/>
        <w:spacing w:line="360" w:lineRule="auto"/>
        <w:ind w:firstLine="709"/>
        <w:contextualSpacing w:val="1"/>
        <w:jc w:val="center"/>
        <w:rPr>
          <w:b w:val="1"/>
          <w:color w:val="000000"/>
        </w:rPr>
      </w:pPr>
      <w:r>
        <w:rPr>
          <w:b w:val="1"/>
          <w:color w:val="000000"/>
        </w:rPr>
        <w:t>Стратегическим развитием Общества является:</w:t>
      </w:r>
    </w:p>
    <w:p w14:paraId="DB000000">
      <w:pPr>
        <w:widowControl w:val="1"/>
        <w:spacing w:line="360" w:lineRule="auto"/>
        <w:ind w:firstLine="709"/>
        <w:contextualSpacing w:val="1"/>
        <w:jc w:val="both"/>
      </w:pPr>
      <w:r>
        <w:t xml:space="preserve">1. Развитие внутригородских пассажирских перевозок в </w:t>
      </w:r>
      <w:r>
        <w:t>городе</w:t>
      </w:r>
      <w:r>
        <w:t xml:space="preserve"> Красноярске</w:t>
      </w:r>
      <w:r>
        <w:t xml:space="preserve"> </w:t>
      </w:r>
      <w:r>
        <w:t xml:space="preserve">с  </w:t>
      </w:r>
      <w:r>
        <w:t xml:space="preserve">увеличением тактовой частоты внутригородских поездов, </w:t>
      </w:r>
      <w:r>
        <w:t>изменением маршрутов движения внутригородских автобусов и маршрутных такси</w:t>
      </w:r>
      <w:r>
        <w:t>,</w:t>
      </w:r>
      <w:r>
        <w:t xml:space="preserve"> с увязкой их </w:t>
      </w:r>
      <w:r>
        <w:t>к</w:t>
      </w:r>
      <w:r>
        <w:t>о времен</w:t>
      </w:r>
      <w:r>
        <w:t>и</w:t>
      </w:r>
      <w:r>
        <w:t xml:space="preserve"> отправления и прибытия внутригородских поездов на остановочные пункты и станции.</w:t>
      </w:r>
    </w:p>
    <w:p w14:paraId="DC000000">
      <w:pPr>
        <w:widowControl w:val="1"/>
        <w:spacing w:line="360" w:lineRule="auto"/>
        <w:ind w:firstLine="709"/>
        <w:contextualSpacing w:val="1"/>
        <w:jc w:val="both"/>
      </w:pPr>
      <w:r>
        <w:t>2. Развитие пригородного движения в направлении Сосновоборск-Железногорск</w:t>
      </w:r>
      <w:r>
        <w:t xml:space="preserve"> и Красноярск-</w:t>
      </w:r>
      <w:r>
        <w:t xml:space="preserve"> Аэропорт (Емельяново)</w:t>
      </w:r>
      <w:r>
        <w:t xml:space="preserve"> в рамках </w:t>
      </w:r>
      <w:r>
        <w:t xml:space="preserve">развития </w:t>
      </w:r>
      <w:r>
        <w:t>Красноярской агломерации.</w:t>
      </w:r>
    </w:p>
    <w:p w14:paraId="DD000000">
      <w:pPr>
        <w:widowControl w:val="1"/>
        <w:spacing w:line="360" w:lineRule="auto"/>
        <w:ind w:firstLine="709"/>
        <w:contextualSpacing w:val="1"/>
        <w:jc w:val="both"/>
      </w:pPr>
      <w:r>
        <w:t>3</w:t>
      </w:r>
      <w:r>
        <w:t>.</w:t>
      </w:r>
      <w:r>
        <w:t xml:space="preserve"> Обеспечение</w:t>
      </w:r>
      <w:r>
        <w:t xml:space="preserve"> полной компенсации недополученных доходов, возникающих в результате государственного регулирования тарифов на проезд в пригородном</w:t>
      </w:r>
      <w:r>
        <w:t xml:space="preserve"> сообщении, из бюджетов субъектов Российской Федерации</w:t>
      </w:r>
      <w:r>
        <w:t xml:space="preserve"> за 201</w:t>
      </w:r>
      <w:r>
        <w:t>9</w:t>
      </w:r>
      <w:r>
        <w:t xml:space="preserve"> </w:t>
      </w:r>
      <w:r>
        <w:t>год</w:t>
      </w:r>
      <w:r>
        <w:t>.</w:t>
      </w:r>
    </w:p>
    <w:p w14:paraId="DE000000">
      <w:pPr>
        <w:widowControl w:val="1"/>
        <w:ind w:firstLine="709"/>
        <w:contextualSpacing w:val="1"/>
        <w:jc w:val="center"/>
        <w:rPr>
          <w:b w:val="1"/>
          <w:highlight w:val="cyan"/>
        </w:rPr>
      </w:pPr>
    </w:p>
    <w:p w14:paraId="DF000000">
      <w:pPr>
        <w:widowControl w:val="1"/>
        <w:ind w:firstLine="709"/>
        <w:contextualSpacing w:val="1"/>
        <w:jc w:val="center"/>
        <w:rPr>
          <w:b w:val="1"/>
        </w:rPr>
      </w:pPr>
      <w:r>
        <w:rPr>
          <w:b w:val="1"/>
        </w:rPr>
        <w:t>Проблемные вопросы, которые необходимо решать в ближайшие годы</w:t>
      </w:r>
    </w:p>
    <w:p w14:paraId="E0000000">
      <w:pPr>
        <w:widowControl w:val="1"/>
        <w:ind w:firstLine="709"/>
        <w:contextualSpacing w:val="1"/>
        <w:rPr>
          <w:b w:val="1"/>
        </w:rPr>
      </w:pPr>
    </w:p>
    <w:p w14:paraId="E1000000">
      <w:pPr>
        <w:pStyle w:val="Style_15"/>
        <w:widowControl w:val="1"/>
        <w:spacing w:line="360" w:lineRule="auto"/>
        <w:ind w:left="0"/>
        <w:jc w:val="both"/>
        <w:rPr>
          <w:rFonts w:ascii="Times New Roman" w:hAnsi="Times New Roman"/>
          <w:sz w:val="24"/>
        </w:rPr>
      </w:pPr>
      <w:r>
        <w:rPr>
          <w:rFonts w:ascii="Times New Roman" w:hAnsi="Times New Roman"/>
          <w:sz w:val="24"/>
        </w:rPr>
        <w:t>Организация пригородного движения по путям необщего пользования.</w:t>
      </w:r>
    </w:p>
    <w:p w14:paraId="E2000000">
      <w:pPr>
        <w:pStyle w:val="Style_15"/>
        <w:widowControl w:val="1"/>
        <w:spacing w:line="360" w:lineRule="auto"/>
        <w:ind w:left="0"/>
        <w:jc w:val="both"/>
        <w:rPr>
          <w:rFonts w:ascii="Times New Roman" w:hAnsi="Times New Roman"/>
          <w:sz w:val="24"/>
        </w:rPr>
      </w:pPr>
      <w:r>
        <w:rPr>
          <w:rFonts w:ascii="Times New Roman" w:hAnsi="Times New Roman"/>
          <w:sz w:val="24"/>
        </w:rPr>
        <w:tab/>
      </w:r>
      <w:r>
        <w:rPr>
          <w:rFonts w:ascii="Times New Roman" w:hAnsi="Times New Roman"/>
          <w:sz w:val="24"/>
        </w:rPr>
        <w:t xml:space="preserve">В соответствии со статьей 4 Федерального закона от 10.01.2003г. №18-ФЗ «Устав железнодорожного транспорта Российской Федерации», перевозки пассажиров, грузов, багажа и грузобагажа осуществляются по железнодорожным путям общего пользования и между железнодорожными станциями, открытыми для выполнения соответствующих операций. Осуществление пассажирских перевозок по железнодорожным путям необщего пользования, в соответствии с законодательством в области железнодорожного транспорта, не предусмотрено. </w:t>
      </w:r>
    </w:p>
    <w:p w14:paraId="E3000000">
      <w:pPr>
        <w:pStyle w:val="Style_16"/>
        <w:widowControl w:val="1"/>
        <w:ind/>
        <w:contextualSpacing w:val="1"/>
        <w:rPr>
          <w:rFonts w:ascii="Times New Roman" w:hAnsi="Times New Roman"/>
        </w:rPr>
      </w:pPr>
      <w:r>
        <w:rPr>
          <w:rFonts w:ascii="Times New Roman" w:hAnsi="Times New Roman"/>
        </w:rPr>
        <w:t xml:space="preserve">На Красноярской железной дороге вопрос организации пригородного железнодорожного сообщения по путям необщего пользования с городами-спутниками – Железногорск и Сосновоборск очень актуален, учитывая напряженность автодороги и ежедневную трудовую миграцию жителей в г.Красноярск.  </w:t>
      </w:r>
    </w:p>
    <w:p w14:paraId="E4000000">
      <w:pPr>
        <w:pStyle w:val="Style_16"/>
        <w:widowControl w:val="1"/>
        <w:ind/>
        <w:contextualSpacing w:val="1"/>
        <w:rPr>
          <w:rFonts w:ascii="Times New Roman" w:hAnsi="Times New Roman"/>
        </w:rPr>
      </w:pPr>
      <w:r>
        <w:rPr>
          <w:rFonts w:ascii="Times New Roman" w:hAnsi="Times New Roman"/>
        </w:rPr>
        <w:t xml:space="preserve">Железнодорожный путь </w:t>
      </w:r>
      <w:r>
        <w:rPr>
          <w:rFonts w:ascii="Times New Roman" w:hAnsi="Times New Roman"/>
        </w:rPr>
        <w:t xml:space="preserve">проходит по территории Красноярского края, на землях Березовского района, МО г. Сосновоборск, ЗАТО г. Железногорск. Протяженность участка составляет 61 км. В настоящее время на данном участке осуществляются грузовые железнодорожные перевозки. Железнодорожные пути от горно-химического комбината до станции Базаиха  находятся </w:t>
      </w:r>
      <w:r>
        <w:rPr>
          <w:rFonts w:ascii="Times New Roman" w:hAnsi="Times New Roman"/>
        </w:rPr>
        <w:t xml:space="preserve">в федеральной собственности (в хозяйственном ведении </w:t>
      </w:r>
      <w:r>
        <w:rPr>
          <w:rFonts w:ascii="Times New Roman" w:hAnsi="Times New Roman"/>
        </w:rPr>
        <w:t>ФГУП «ГХК»)</w:t>
      </w:r>
      <w:r>
        <w:rPr>
          <w:rFonts w:ascii="Times New Roman" w:hAnsi="Times New Roman"/>
        </w:rPr>
        <w:t xml:space="preserve"> и используются комбинатом в производственных целях.</w:t>
      </w:r>
    </w:p>
    <w:p w14:paraId="E5000000">
      <w:pPr>
        <w:pStyle w:val="Style_15"/>
        <w:widowControl w:val="1"/>
        <w:spacing w:line="360" w:lineRule="auto"/>
        <w:ind w:firstLine="709" w:left="0"/>
        <w:jc w:val="both"/>
        <w:rPr>
          <w:rFonts w:ascii="Times New Roman" w:hAnsi="Times New Roman"/>
          <w:sz w:val="24"/>
        </w:rPr>
      </w:pPr>
      <w:r>
        <w:rPr>
          <w:rFonts w:ascii="Times New Roman" w:hAnsi="Times New Roman"/>
          <w:sz w:val="24"/>
        </w:rPr>
        <w:t>Количество жителей г. Сосновоборска 33,3 тыс.человек,  агломерации ЗАТО г. Железногорска – 102 тыс.человек. Предполагаемый пассажиропоток на пригородном железнодорожном маршруте Красноярск-Сосновоборск-Железногорск может составить 9,6 тыс.человек в сутки или 3,5 млн.человек в год, что соответствует 56% существующего годового пассажиропотока.</w:t>
      </w:r>
    </w:p>
    <w:p w14:paraId="E6000000">
      <w:pPr>
        <w:pStyle w:val="Style_8"/>
        <w:widowControl w:val="1"/>
        <w:spacing w:line="360" w:lineRule="auto"/>
        <w:ind w:firstLine="709"/>
        <w:contextualSpacing w:val="1"/>
        <w:jc w:val="both"/>
        <w:rPr>
          <w:rFonts w:ascii="Times New Roman" w:hAnsi="Times New Roman"/>
          <w:b w:val="0"/>
          <w:sz w:val="24"/>
        </w:rPr>
      </w:pPr>
      <w:r>
        <w:rPr>
          <w:rFonts w:ascii="Times New Roman" w:hAnsi="Times New Roman"/>
          <w:b w:val="0"/>
          <w:sz w:val="24"/>
        </w:rPr>
        <w:t>Решению данного вопроса может способствовать внесение соответствующих изменений в законодательство РФ.</w:t>
      </w:r>
    </w:p>
    <w:p w14:paraId="E7000000">
      <w:pPr>
        <w:widowControl w:val="1"/>
        <w:ind w:firstLine="709"/>
        <w:contextualSpacing w:val="1"/>
        <w:rPr>
          <w:b w:val="1"/>
        </w:rPr>
      </w:pPr>
    </w:p>
    <w:p w14:paraId="E8000000">
      <w:bookmarkStart w:id="6" w:name="__RefHeading___6"/>
      <w:bookmarkEnd w:id="6"/>
      <w:pPr>
        <w:pStyle w:val="Style_7"/>
        <w:keepNext w:val="0"/>
        <w:widowControl w:val="1"/>
        <w:spacing w:line="360" w:lineRule="auto"/>
        <w:ind w:firstLine="709"/>
        <w:contextualSpacing w:val="1"/>
        <w:jc w:val="both"/>
        <w:rPr>
          <w:b w:val="1"/>
          <w:color w:val="000000"/>
          <w:sz w:val="24"/>
        </w:rPr>
      </w:pPr>
      <w:r>
        <w:rPr>
          <w:b w:val="1"/>
          <w:color w:val="000000"/>
          <w:sz w:val="24"/>
        </w:rPr>
        <w:t>Раздел 2. Общие сведения, положение Общества в отрасли</w:t>
      </w:r>
    </w:p>
    <w:p w14:paraId="E9000000">
      <w:bookmarkStart w:id="7" w:name="__RefHeading___7"/>
      <w:bookmarkEnd w:id="7"/>
      <w:pPr>
        <w:pStyle w:val="Style_10"/>
        <w:widowControl w:val="1"/>
        <w:spacing w:after="0" w:before="0" w:line="360" w:lineRule="auto"/>
        <w:ind w:firstLine="709"/>
        <w:contextualSpacing w:val="1"/>
        <w:jc w:val="both"/>
        <w:rPr>
          <w:rFonts w:ascii="Times New Roman" w:hAnsi="Times New Roman"/>
          <w:i w:val="0"/>
          <w:sz w:val="24"/>
        </w:rPr>
      </w:pPr>
      <w:r>
        <w:rPr>
          <w:rFonts w:ascii="Times New Roman" w:hAnsi="Times New Roman"/>
          <w:i w:val="0"/>
          <w:sz w:val="24"/>
        </w:rPr>
        <w:t>2.1. Географическое положение.</w:t>
      </w:r>
      <w:r>
        <w:rPr>
          <w:rFonts w:ascii="Times New Roman" w:hAnsi="Times New Roman"/>
          <w:i w:val="0"/>
          <w:sz w:val="24"/>
        </w:rPr>
        <w:t xml:space="preserve"> </w:t>
      </w:r>
    </w:p>
    <w:p w14:paraId="EA000000">
      <w:pPr>
        <w:pStyle w:val="Style_17"/>
        <w:widowControl w:val="1"/>
        <w:spacing w:after="0" w:line="360" w:lineRule="auto"/>
        <w:ind w:firstLine="709"/>
        <w:contextualSpacing w:val="1"/>
        <w:jc w:val="both"/>
        <w:rPr>
          <w:sz w:val="24"/>
        </w:rPr>
      </w:pPr>
      <w:r>
        <w:rPr>
          <w:sz w:val="24"/>
        </w:rPr>
        <w:t xml:space="preserve">Красноярск – краевой центр, город с населением </w:t>
      </w:r>
      <w:r>
        <w:rPr>
          <w:sz w:val="24"/>
        </w:rPr>
        <w:t xml:space="preserve">более </w:t>
      </w:r>
      <w:r>
        <w:rPr>
          <w:sz w:val="24"/>
        </w:rPr>
        <w:t>миллиона жителей, в кот</w:t>
      </w:r>
      <w:r>
        <w:rPr>
          <w:sz w:val="24"/>
        </w:rPr>
        <w:t>о</w:t>
      </w:r>
      <w:r>
        <w:rPr>
          <w:sz w:val="24"/>
        </w:rPr>
        <w:t>ром сосредоточены предприятия легкой и пищевой промышленности, тяжелого и легкого машин</w:t>
      </w:r>
      <w:r>
        <w:rPr>
          <w:sz w:val="24"/>
        </w:rPr>
        <w:t>о</w:t>
      </w:r>
      <w:r>
        <w:rPr>
          <w:sz w:val="24"/>
        </w:rPr>
        <w:t>строения, предприятия оборонно-промышленного комплекса, высшие и средние учебные заведения, туристические агентства, т</w:t>
      </w:r>
      <w:r>
        <w:rPr>
          <w:sz w:val="24"/>
        </w:rPr>
        <w:t>е</w:t>
      </w:r>
      <w:r>
        <w:rPr>
          <w:sz w:val="24"/>
        </w:rPr>
        <w:t>атры и т.д.</w:t>
      </w:r>
    </w:p>
    <w:p w14:paraId="EB000000">
      <w:pPr>
        <w:pStyle w:val="Style_17"/>
        <w:widowControl w:val="1"/>
        <w:spacing w:after="0" w:line="360" w:lineRule="auto"/>
        <w:ind w:firstLine="709"/>
        <w:contextualSpacing w:val="1"/>
        <w:jc w:val="both"/>
        <w:rPr>
          <w:sz w:val="24"/>
        </w:rPr>
      </w:pPr>
      <w:r>
        <w:rPr>
          <w:sz w:val="24"/>
        </w:rPr>
        <w:t>Все это обеспечивает большой приток населения, как в краевой центр, так и в пригородные зоны сел</w:t>
      </w:r>
      <w:r>
        <w:rPr>
          <w:sz w:val="24"/>
        </w:rPr>
        <w:t>ь</w:t>
      </w:r>
      <w:r>
        <w:rPr>
          <w:sz w:val="24"/>
        </w:rPr>
        <w:t>скохозяйственных районов, на садоводческие участки, в места отдыха и туризма.</w:t>
      </w:r>
    </w:p>
    <w:p w14:paraId="EC000000">
      <w:pPr>
        <w:pStyle w:val="Style_17"/>
        <w:widowControl w:val="1"/>
        <w:spacing w:after="0" w:line="360" w:lineRule="auto"/>
        <w:ind w:firstLine="709"/>
        <w:contextualSpacing w:val="1"/>
        <w:jc w:val="both"/>
        <w:rPr>
          <w:sz w:val="24"/>
        </w:rPr>
      </w:pPr>
      <w:r>
        <w:rPr>
          <w:sz w:val="24"/>
        </w:rPr>
        <w:t>Красноярский узел работает на два направления и обеспечивает транспортные связи с запа</w:t>
      </w:r>
      <w:r>
        <w:rPr>
          <w:sz w:val="24"/>
        </w:rPr>
        <w:t>д</w:t>
      </w:r>
      <w:r>
        <w:rPr>
          <w:sz w:val="24"/>
        </w:rPr>
        <w:t>ными и восточными районами страны.</w:t>
      </w:r>
    </w:p>
    <w:p w14:paraId="ED000000">
      <w:pPr>
        <w:pStyle w:val="Style_17"/>
        <w:widowControl w:val="1"/>
        <w:spacing w:after="0" w:line="360" w:lineRule="auto"/>
        <w:ind w:firstLine="709"/>
        <w:contextualSpacing w:val="1"/>
        <w:jc w:val="both"/>
        <w:rPr>
          <w:sz w:val="24"/>
        </w:rPr>
      </w:pPr>
      <w:r>
        <w:rPr>
          <w:sz w:val="24"/>
        </w:rPr>
        <w:t>По направлениям пассажиропоток неравномерен, на восток от главной ста</w:t>
      </w:r>
      <w:r>
        <w:rPr>
          <w:sz w:val="24"/>
        </w:rPr>
        <w:t>н</w:t>
      </w:r>
      <w:r>
        <w:rPr>
          <w:sz w:val="24"/>
        </w:rPr>
        <w:t>ции, на участке Красноярск-Уяр пассажиропоток превосходит пассажиропоток участка Красноярск-Чернореченская, это объясняется количеством населенных пунктов, расположенных вдоль ж</w:t>
      </w:r>
      <w:r>
        <w:rPr>
          <w:sz w:val="24"/>
        </w:rPr>
        <w:t>е</w:t>
      </w:r>
      <w:r>
        <w:rPr>
          <w:sz w:val="24"/>
        </w:rPr>
        <w:t>лезнодорожной магистрали.</w:t>
      </w:r>
      <w:r>
        <w:rPr>
          <w:sz w:val="24"/>
        </w:rPr>
        <w:t xml:space="preserve"> </w:t>
      </w:r>
      <w:r>
        <w:rPr>
          <w:sz w:val="24"/>
        </w:rPr>
        <w:t>Летом июнь-август максимальный пассажиропоток, а зимой ноябрь-февраль – минимал</w:t>
      </w:r>
      <w:r>
        <w:rPr>
          <w:sz w:val="24"/>
        </w:rPr>
        <w:t>ь</w:t>
      </w:r>
      <w:r>
        <w:rPr>
          <w:sz w:val="24"/>
        </w:rPr>
        <w:t>ный.</w:t>
      </w:r>
    </w:p>
    <w:p w14:paraId="EE000000">
      <w:pPr>
        <w:pStyle w:val="Style_17"/>
        <w:widowControl w:val="1"/>
        <w:spacing w:after="0" w:line="360" w:lineRule="auto"/>
        <w:ind w:firstLine="709"/>
        <w:contextualSpacing w:val="1"/>
        <w:jc w:val="both"/>
        <w:rPr>
          <w:sz w:val="24"/>
        </w:rPr>
      </w:pPr>
      <w:r>
        <w:rPr>
          <w:sz w:val="24"/>
        </w:rPr>
        <w:t>Максимальный рабочий день по отправлению пассажиров – пятница, по прибытию понедельник (з</w:t>
      </w:r>
      <w:r>
        <w:rPr>
          <w:sz w:val="24"/>
        </w:rPr>
        <w:t>и</w:t>
      </w:r>
      <w:r>
        <w:rPr>
          <w:sz w:val="24"/>
        </w:rPr>
        <w:t>мой и летом на двух участках).</w:t>
      </w:r>
    </w:p>
    <w:p w14:paraId="EF000000">
      <w:pPr>
        <w:pStyle w:val="Style_11"/>
        <w:widowControl w:val="1"/>
        <w:spacing w:after="0" w:line="360" w:lineRule="auto"/>
        <w:ind w:firstLine="709" w:left="0"/>
        <w:contextualSpacing w:val="1"/>
        <w:jc w:val="both"/>
        <w:rPr>
          <w:sz w:val="24"/>
        </w:rPr>
      </w:pPr>
      <w:r>
        <w:rPr>
          <w:sz w:val="24"/>
        </w:rPr>
        <w:t>Для всех участков узла по прибытию наибольший объем перевозок приходится с 6 до 10 часов, а максимум по отправлению с 18 до 21 часов, что составляет 40-45 % суточного п</w:t>
      </w:r>
      <w:r>
        <w:rPr>
          <w:sz w:val="24"/>
        </w:rPr>
        <w:t>о</w:t>
      </w:r>
      <w:r>
        <w:rPr>
          <w:sz w:val="24"/>
        </w:rPr>
        <w:t xml:space="preserve">тока. </w:t>
      </w:r>
    </w:p>
    <w:p w14:paraId="F0000000">
      <w:pPr>
        <w:widowControl w:val="1"/>
        <w:tabs>
          <w:tab w:leader="none" w:pos="0" w:val="left"/>
        </w:tabs>
        <w:spacing w:line="360" w:lineRule="auto"/>
        <w:ind w:firstLine="709"/>
        <w:contextualSpacing w:val="1"/>
        <w:jc w:val="both"/>
        <w:rPr>
          <w:spacing w:val="-8"/>
        </w:rPr>
      </w:pPr>
      <w:r>
        <w:rPr>
          <w:b w:val="1"/>
        </w:rPr>
        <w:t>В Красноярском крае</w:t>
      </w:r>
      <w:r>
        <w:t xml:space="preserve"> </w:t>
      </w:r>
      <w:r>
        <w:t>курсирование пригородных электропоездов осуществлялось на участках: Иланская-Уяр, Боготол-Чернореченская, Чернореченская-Красноярск, Красноярск-Уяр, Красноярск-Дивногорск, Абакан-Кошурниково, (к Красноярскому краю относится участок Енисейская-Кошурниково), Ачинск-Лесосибирск, Решоты-Чунояр</w:t>
      </w:r>
      <w:r>
        <w:t>.</w:t>
      </w:r>
      <w:r>
        <w:t xml:space="preserve"> </w:t>
      </w:r>
    </w:p>
    <w:p w14:paraId="F1000000">
      <w:pPr>
        <w:widowControl w:val="1"/>
        <w:tabs>
          <w:tab w:leader="none" w:pos="0" w:val="left"/>
        </w:tabs>
        <w:spacing w:line="360" w:lineRule="auto"/>
        <w:ind w:firstLine="709"/>
        <w:contextualSpacing w:val="1"/>
        <w:jc w:val="both"/>
      </w:pPr>
      <w:r>
        <w:rPr>
          <w:b w:val="1"/>
        </w:rPr>
        <w:t>По Республике Хакасия</w:t>
      </w:r>
      <w:r>
        <w:t>: курсирование пригородных электропоездов осуществлялось на участках Абакан-Бискамжа, Турбаза «Восход» - Бискамжа, Абакан-Кошурниково (к Республике Хакасия относится участок Абакан-Енисейская)</w:t>
      </w:r>
      <w:r>
        <w:t>.</w:t>
      </w:r>
      <w:r>
        <w:t xml:space="preserve">  </w:t>
      </w:r>
      <w:r>
        <w:t>Ввиду погодных условий</w:t>
      </w:r>
      <w:r>
        <w:t>,</w:t>
      </w:r>
      <w:r>
        <w:t xml:space="preserve"> в 1 квартале 201</w:t>
      </w:r>
      <w:r>
        <w:t>8</w:t>
      </w:r>
      <w:r>
        <w:t xml:space="preserve"> года ледовая переправа на участке Аскиз-Абаза не возводилась,  курсирование поездов на тепловозной тяге на участке Аскиз-Абаза в течение 201</w:t>
      </w:r>
      <w:r>
        <w:t>8</w:t>
      </w:r>
      <w:r>
        <w:t xml:space="preserve"> года  не прерывалось.</w:t>
      </w:r>
    </w:p>
    <w:p w14:paraId="F2000000">
      <w:pPr>
        <w:widowControl w:val="1"/>
        <w:tabs>
          <w:tab w:leader="none" w:pos="0" w:val="left"/>
        </w:tabs>
        <w:spacing w:line="360" w:lineRule="auto"/>
        <w:ind w:firstLine="709"/>
        <w:contextualSpacing w:val="1"/>
        <w:jc w:val="both"/>
      </w:pPr>
      <w:r>
        <w:rPr>
          <w:b w:val="1"/>
        </w:rPr>
        <w:t>По Кемеровской  области</w:t>
      </w:r>
      <w:r>
        <w:rPr>
          <w:i w:val="1"/>
        </w:rPr>
        <w:t xml:space="preserve">  </w:t>
      </w:r>
      <w:r>
        <w:t>осуществлялись перевозки пассажиров по маршрут</w:t>
      </w:r>
      <w:r>
        <w:t>ах</w:t>
      </w:r>
      <w:r>
        <w:t>: Междуреченск</w:t>
      </w:r>
      <w:r>
        <w:t xml:space="preserve"> </w:t>
      </w:r>
      <w:r>
        <w:t>-</w:t>
      </w:r>
      <w:r>
        <w:t xml:space="preserve"> </w:t>
      </w:r>
      <w:r>
        <w:t>Турбаза «Восход»</w:t>
      </w:r>
      <w:r>
        <w:t>, Междуреченск- Лужба</w:t>
      </w:r>
      <w:r>
        <w:t>.</w:t>
      </w:r>
    </w:p>
    <w:p w14:paraId="F3000000">
      <w:pPr>
        <w:widowControl w:val="1"/>
        <w:spacing w:line="360" w:lineRule="auto"/>
        <w:ind w:firstLine="709"/>
        <w:contextualSpacing w:val="1"/>
        <w:jc w:val="both"/>
      </w:pPr>
      <w:r>
        <w:t>Средняя составность за 201</w:t>
      </w:r>
      <w:r>
        <w:t>8</w:t>
      </w:r>
      <w:r>
        <w:t xml:space="preserve"> </w:t>
      </w:r>
      <w:r>
        <w:t xml:space="preserve">год по Красноярской железной дороге составила </w:t>
      </w:r>
      <w:r>
        <w:t>4,2 вагона, 101,1</w:t>
      </w:r>
      <w:r>
        <w:t xml:space="preserve">% к плану, </w:t>
      </w:r>
      <w:r>
        <w:t>100</w:t>
      </w:r>
      <w:r>
        <w:t xml:space="preserve"> % к аналогичному периоду прошлого года, в том числе средняя составность мотор-вагонного подвижного состава за 201</w:t>
      </w:r>
      <w:r>
        <w:t>8</w:t>
      </w:r>
      <w:r>
        <w:t xml:space="preserve"> год – 4,6 вагона или </w:t>
      </w:r>
      <w:r>
        <w:t>99,8</w:t>
      </w:r>
      <w:r>
        <w:t xml:space="preserve">% к аналогичному периоду прошлого года, составность вагонов на тепловозной тяге - 1,5 вагона, </w:t>
      </w:r>
      <w:r>
        <w:t>100</w:t>
      </w:r>
      <w:r>
        <w:t>% к аналогичному периоду 201</w:t>
      </w:r>
      <w:r>
        <w:t>7</w:t>
      </w:r>
      <w:r>
        <w:t xml:space="preserve"> года.</w:t>
      </w:r>
      <w:r>
        <w:rPr>
          <w:b w:val="1"/>
          <w:i w:val="1"/>
        </w:rPr>
        <w:t xml:space="preserve"> </w:t>
      </w:r>
      <w:r>
        <w:t>Расписание пригородных поездов составлено с учетом режима работы промышле</w:t>
      </w:r>
      <w:r>
        <w:t>н</w:t>
      </w:r>
      <w:r>
        <w:t>ных предприятий и городского транспорта.</w:t>
      </w:r>
    </w:p>
    <w:p w14:paraId="F4000000">
      <w:bookmarkStart w:id="8" w:name="__RefHeading___8"/>
      <w:bookmarkEnd w:id="8"/>
      <w:pPr>
        <w:pStyle w:val="Style_10"/>
        <w:widowControl w:val="1"/>
        <w:spacing w:after="0" w:before="0" w:line="360" w:lineRule="auto"/>
        <w:ind w:firstLine="709"/>
        <w:contextualSpacing w:val="1"/>
        <w:jc w:val="both"/>
        <w:rPr>
          <w:rFonts w:ascii="Times New Roman" w:hAnsi="Times New Roman"/>
          <w:i w:val="0"/>
          <w:sz w:val="24"/>
        </w:rPr>
      </w:pPr>
      <w:r>
        <w:rPr>
          <w:rFonts w:ascii="Times New Roman" w:hAnsi="Times New Roman"/>
          <w:i w:val="0"/>
          <w:sz w:val="24"/>
        </w:rPr>
        <w:t>2.2. Краткая история</w:t>
      </w:r>
    </w:p>
    <w:p w14:paraId="F5000000">
      <w:pPr>
        <w:pStyle w:val="Style_11"/>
        <w:widowControl w:val="1"/>
        <w:spacing w:after="0" w:line="360" w:lineRule="auto"/>
        <w:ind w:firstLine="709" w:left="0"/>
        <w:contextualSpacing w:val="1"/>
        <w:jc w:val="both"/>
        <w:rPr>
          <w:sz w:val="24"/>
        </w:rPr>
      </w:pPr>
      <w:r>
        <w:rPr>
          <w:sz w:val="24"/>
        </w:rPr>
        <w:t>Открытое акционерное общество «Крас</w:t>
      </w:r>
      <w:r>
        <w:rPr>
          <w:sz w:val="24"/>
        </w:rPr>
        <w:t>п</w:t>
      </w:r>
      <w:r>
        <w:rPr>
          <w:sz w:val="24"/>
        </w:rPr>
        <w:t>ригород» создано в соответствии с догов</w:t>
      </w:r>
      <w:r>
        <w:rPr>
          <w:sz w:val="24"/>
        </w:rPr>
        <w:t>о</w:t>
      </w:r>
      <w:r>
        <w:rPr>
          <w:sz w:val="24"/>
        </w:rPr>
        <w:t>ром о создании Общества от 30.06.2005г. №1, Гражданским кодексом Российской Федерации и Федеральным законом «Об акционерных общес</w:t>
      </w:r>
      <w:r>
        <w:rPr>
          <w:sz w:val="24"/>
        </w:rPr>
        <w:t>т</w:t>
      </w:r>
      <w:r>
        <w:rPr>
          <w:sz w:val="24"/>
        </w:rPr>
        <w:t>вах».</w:t>
      </w:r>
    </w:p>
    <w:p w14:paraId="F6000000">
      <w:pPr>
        <w:pStyle w:val="Style_11"/>
        <w:widowControl w:val="1"/>
        <w:spacing w:after="0" w:line="360" w:lineRule="auto"/>
        <w:ind w:firstLine="709" w:left="0"/>
        <w:contextualSpacing w:val="1"/>
        <w:jc w:val="both"/>
        <w:rPr>
          <w:sz w:val="24"/>
        </w:rPr>
      </w:pPr>
      <w:r>
        <w:rPr>
          <w:sz w:val="24"/>
        </w:rPr>
        <w:t>Полное фирменное наименование Общества: Акционерное общество «Краспригород».</w:t>
      </w:r>
    </w:p>
    <w:p w14:paraId="F7000000">
      <w:pPr>
        <w:pStyle w:val="Style_11"/>
        <w:widowControl w:val="1"/>
        <w:spacing w:after="0" w:line="360" w:lineRule="auto"/>
        <w:ind w:firstLine="709" w:left="0"/>
        <w:contextualSpacing w:val="1"/>
        <w:jc w:val="both"/>
        <w:rPr>
          <w:sz w:val="24"/>
        </w:rPr>
      </w:pPr>
      <w:r>
        <w:rPr>
          <w:sz w:val="24"/>
        </w:rPr>
        <w:t>Сокращенное фирменное наименование Общества: АО «Краспригород».</w:t>
      </w:r>
    </w:p>
    <w:p w14:paraId="F8000000">
      <w:pPr>
        <w:widowControl w:val="1"/>
        <w:spacing w:line="360" w:lineRule="auto"/>
        <w:ind w:firstLine="709"/>
        <w:contextualSpacing w:val="1"/>
        <w:jc w:val="both"/>
        <w:rPr>
          <w:color w:val="000000"/>
        </w:rPr>
      </w:pPr>
      <w:r>
        <w:rPr>
          <w:color w:val="000000"/>
        </w:rPr>
        <w:t>Юридический адрес Общества: 6600</w:t>
      </w:r>
      <w:r>
        <w:rPr>
          <w:color w:val="000000"/>
        </w:rPr>
        <w:t>21</w:t>
      </w:r>
      <w:r>
        <w:rPr>
          <w:color w:val="000000"/>
        </w:rPr>
        <w:t xml:space="preserve">, Российская Федерация, г. Красноярск, ул. </w:t>
      </w:r>
      <w:r>
        <w:rPr>
          <w:color w:val="000000"/>
        </w:rPr>
        <w:t>Горького</w:t>
      </w:r>
      <w:r>
        <w:rPr>
          <w:color w:val="000000"/>
        </w:rPr>
        <w:t>, дом 3</w:t>
      </w:r>
      <w:r>
        <w:rPr>
          <w:color w:val="000000"/>
        </w:rPr>
        <w:t>К</w:t>
      </w:r>
      <w:r>
        <w:rPr>
          <w:color w:val="000000"/>
        </w:rPr>
        <w:t xml:space="preserve">, </w:t>
      </w:r>
      <w:r>
        <w:rPr>
          <w:color w:val="000000"/>
        </w:rPr>
        <w:t>помещение 45, 52, 53</w:t>
      </w:r>
      <w:r>
        <w:rPr>
          <w:color w:val="000000"/>
        </w:rPr>
        <w:t>.</w:t>
      </w:r>
    </w:p>
    <w:p w14:paraId="F9000000">
      <w:pPr>
        <w:widowControl w:val="1"/>
        <w:spacing w:line="360" w:lineRule="auto"/>
        <w:ind w:firstLine="709"/>
        <w:contextualSpacing w:val="1"/>
        <w:jc w:val="both"/>
        <w:rPr>
          <w:color w:val="000000"/>
        </w:rPr>
      </w:pPr>
      <w:r>
        <w:rPr>
          <w:color w:val="000000"/>
        </w:rPr>
        <w:t>Почтовый адрес Общества: 6600</w:t>
      </w:r>
      <w:r>
        <w:rPr>
          <w:color w:val="000000"/>
        </w:rPr>
        <w:t>21</w:t>
      </w:r>
      <w:r>
        <w:rPr>
          <w:color w:val="000000"/>
        </w:rPr>
        <w:t xml:space="preserve">, Российская Федерация, г. Красноярск, ул. </w:t>
      </w:r>
      <w:r>
        <w:rPr>
          <w:color w:val="000000"/>
        </w:rPr>
        <w:t>Горького, дом 3К, помещение 45, 52, 53.</w:t>
      </w:r>
    </w:p>
    <w:p w14:paraId="FA000000">
      <w:pPr>
        <w:widowControl w:val="1"/>
        <w:spacing w:line="360" w:lineRule="auto"/>
        <w:ind w:firstLine="709"/>
        <w:contextualSpacing w:val="1"/>
        <w:jc w:val="both"/>
        <w:rPr>
          <w:color w:val="000000"/>
        </w:rPr>
      </w:pPr>
      <w:r>
        <w:rPr>
          <w:color w:val="000000"/>
        </w:rPr>
        <w:t>Общество создано без ограничения срока деятельности.</w:t>
      </w:r>
    </w:p>
    <w:p w14:paraId="FB000000">
      <w:pPr>
        <w:widowControl w:val="1"/>
        <w:spacing w:line="360" w:lineRule="auto"/>
        <w:ind w:firstLine="709"/>
        <w:contextualSpacing w:val="1"/>
        <w:jc w:val="both"/>
        <w:rPr>
          <w:color w:val="000000"/>
        </w:rPr>
      </w:pPr>
      <w:r>
        <w:rPr>
          <w:color w:val="000000"/>
        </w:rPr>
        <w:t>Контактные телефоны:</w:t>
      </w:r>
    </w:p>
    <w:p w14:paraId="FC000000">
      <w:pPr>
        <w:widowControl w:val="1"/>
        <w:spacing w:line="360" w:lineRule="auto"/>
        <w:ind w:firstLine="709"/>
        <w:contextualSpacing w:val="1"/>
        <w:jc w:val="both"/>
        <w:rPr>
          <w:color w:val="000000"/>
        </w:rPr>
      </w:pPr>
      <w:r>
        <w:rPr>
          <w:color w:val="000000"/>
        </w:rPr>
        <w:t xml:space="preserve">Приемная АО «Краспригород» </w:t>
      </w:r>
      <w:r>
        <w:rPr>
          <w:color w:val="000000"/>
        </w:rPr>
        <w:t xml:space="preserve">8 (391) </w:t>
      </w:r>
      <w:r>
        <w:rPr>
          <w:color w:val="000000"/>
        </w:rPr>
        <w:t>- 256-80-42</w:t>
      </w:r>
    </w:p>
    <w:p w14:paraId="FD000000">
      <w:pPr>
        <w:widowControl w:val="1"/>
        <w:spacing w:line="360" w:lineRule="auto"/>
        <w:ind w:firstLine="709"/>
        <w:contextualSpacing w:val="1"/>
        <w:jc w:val="both"/>
      </w:pPr>
      <w:r>
        <w:rPr>
          <w:color w:val="000000"/>
        </w:rPr>
        <w:t xml:space="preserve">Генеральный директор АО «Краспригород»  Быков Эдуард Владимирович возглавляет компанию </w:t>
      </w:r>
      <w:r>
        <w:t>с 03.08.2017 г. (Протокол  Совета директоров №2 от  01.08.2017 года).</w:t>
      </w:r>
    </w:p>
    <w:p w14:paraId="FE000000">
      <w:pPr>
        <w:widowControl w:val="1"/>
        <w:spacing w:line="360" w:lineRule="auto"/>
        <w:ind w:firstLine="709"/>
        <w:contextualSpacing w:val="1"/>
        <w:jc w:val="both"/>
        <w:rPr>
          <w:color w:val="000000"/>
        </w:rPr>
      </w:pPr>
      <w:r>
        <w:rPr>
          <w:color w:val="000000"/>
        </w:rPr>
        <w:t>Главный бухгалтер АО «Краспригород» Авхимович Галина Севастьяновна – контактный телефон  8 (391) -256-80- 43</w:t>
      </w:r>
      <w:r>
        <w:rPr>
          <w:color w:val="000000"/>
        </w:rPr>
        <w:t>.</w:t>
      </w:r>
    </w:p>
    <w:p w14:paraId="FF000000">
      <w:pPr>
        <w:widowControl w:val="1"/>
        <w:spacing w:line="360" w:lineRule="auto"/>
        <w:ind w:firstLine="709"/>
        <w:contextualSpacing w:val="1"/>
        <w:jc w:val="both"/>
        <w:rPr>
          <w:color w:val="000000"/>
        </w:rPr>
      </w:pPr>
      <w:r>
        <w:rPr>
          <w:color w:val="000000"/>
        </w:rPr>
        <w:t>С</w:t>
      </w:r>
      <w:r>
        <w:rPr>
          <w:color w:val="000000"/>
        </w:rPr>
        <w:t xml:space="preserve"> 01.09.2017г. корпоративным секретарем АО "Краспригород" (протокол №3 от 31.08.2017г.) избрана Свиридова Ольга Сергеевна  - контактный телефон 8 (391) -256-80-6</w:t>
      </w:r>
      <w:r>
        <w:rPr>
          <w:color w:val="000000"/>
        </w:rPr>
        <w:t>7</w:t>
      </w:r>
      <w:r>
        <w:rPr>
          <w:color w:val="000000"/>
        </w:rPr>
        <w:t>.</w:t>
      </w:r>
    </w:p>
    <w:p w14:paraId="00010000">
      <w:pPr>
        <w:widowControl w:val="1"/>
        <w:spacing w:line="360" w:lineRule="auto"/>
        <w:ind w:firstLine="709"/>
        <w:contextualSpacing w:val="1"/>
        <w:jc w:val="both"/>
        <w:rPr>
          <w:color w:val="000000"/>
        </w:rPr>
      </w:pPr>
      <w:r>
        <w:t xml:space="preserve">Правовое положение Общества определяется Гражданским кодексом Российской Федерации, Федеральным законом «Об акционерных обществах», а также Уставом Общества. </w:t>
      </w:r>
      <w:r>
        <w:rPr>
          <w:color w:val="000000"/>
        </w:rPr>
        <w:t>Компания является юридическим лицом в соответствии с законодательством Российской Федерации. Общество может иметь в собстве</w:t>
      </w:r>
      <w:r>
        <w:rPr>
          <w:color w:val="000000"/>
        </w:rPr>
        <w:t>н</w:t>
      </w:r>
      <w:r>
        <w:rPr>
          <w:color w:val="000000"/>
        </w:rPr>
        <w:t>ности обособленное имущество, учитываемое на его самостоятельном балансе, может от своего имени приобретать и осуществлять имущественные и личные неимущественные права, исполнять обязанности, быть истцом и ответч</w:t>
      </w:r>
      <w:r>
        <w:rPr>
          <w:color w:val="000000"/>
        </w:rPr>
        <w:t>и</w:t>
      </w:r>
      <w:r>
        <w:rPr>
          <w:color w:val="000000"/>
        </w:rPr>
        <w:t>ком в суде. Общество имеет расчетные банковские счета для выполнения платежных опер</w:t>
      </w:r>
      <w:r>
        <w:rPr>
          <w:color w:val="000000"/>
        </w:rPr>
        <w:t>а</w:t>
      </w:r>
      <w:r>
        <w:rPr>
          <w:color w:val="000000"/>
        </w:rPr>
        <w:t xml:space="preserve">ций и расчета по заработной плате с работниками. </w:t>
      </w:r>
    </w:p>
    <w:p w14:paraId="01010000">
      <w:pPr>
        <w:widowControl w:val="1"/>
        <w:spacing w:line="360" w:lineRule="auto"/>
        <w:ind w:firstLine="709"/>
        <w:contextualSpacing w:val="1"/>
        <w:jc w:val="both"/>
        <w:rPr>
          <w:color w:val="000000"/>
          <w:spacing w:val="-1"/>
        </w:rPr>
      </w:pPr>
      <w:r>
        <w:rPr>
          <w:color w:val="000000"/>
        </w:rPr>
        <w:t xml:space="preserve">Общество имеет филиал по адресу: </w:t>
      </w:r>
      <w:r>
        <w:rPr>
          <w:color w:val="000000"/>
        </w:rPr>
        <w:t xml:space="preserve">665017, </w:t>
      </w:r>
      <w:r>
        <w:rPr>
          <w:color w:val="000000"/>
        </w:rPr>
        <w:t>г</w:t>
      </w:r>
      <w:r>
        <w:rPr>
          <w:color w:val="000000"/>
        </w:rPr>
        <w:t xml:space="preserve">. </w:t>
      </w:r>
      <w:r>
        <w:rPr>
          <w:color w:val="000000"/>
        </w:rPr>
        <w:t>Абакан</w:t>
      </w:r>
      <w:r>
        <w:rPr>
          <w:color w:val="000000"/>
        </w:rPr>
        <w:t xml:space="preserve">, ул. Вокзальная, </w:t>
      </w:r>
      <w:r>
        <w:rPr>
          <w:color w:val="000000"/>
        </w:rPr>
        <w:t>д. 10-10н.</w:t>
      </w:r>
    </w:p>
    <w:p w14:paraId="02010000">
      <w:pPr>
        <w:widowControl w:val="1"/>
        <w:spacing w:line="360" w:lineRule="auto"/>
        <w:ind w:firstLine="709"/>
        <w:contextualSpacing w:val="1"/>
        <w:jc w:val="both"/>
      </w:pPr>
      <w:r>
        <w:rPr>
          <w:color w:val="000000"/>
          <w:spacing w:val="-1"/>
        </w:rPr>
        <w:t xml:space="preserve">Руководство текущей деятельностью Общества осуществляется единоличным исполнительным органом - Генеральным директором. </w:t>
      </w:r>
      <w:r>
        <w:rPr>
          <w:color w:val="000000"/>
          <w:spacing w:val="7"/>
        </w:rPr>
        <w:t>Генеральный директор</w:t>
      </w:r>
      <w:r>
        <w:rPr>
          <w:color w:val="000000"/>
          <w:spacing w:val="7"/>
        </w:rPr>
        <w:t xml:space="preserve"> подотчетен Общему собранию акционеров и </w:t>
      </w:r>
      <w:r>
        <w:rPr>
          <w:color w:val="000000"/>
          <w:spacing w:val="-2"/>
        </w:rPr>
        <w:t xml:space="preserve">Совету директоров. </w:t>
      </w:r>
      <w:r>
        <w:rPr>
          <w:color w:val="000000"/>
          <w:spacing w:val="2"/>
        </w:rPr>
        <w:t>К компетенции Генерального дире</w:t>
      </w:r>
      <w:r>
        <w:rPr>
          <w:color w:val="000000"/>
          <w:spacing w:val="2"/>
        </w:rPr>
        <w:t>к</w:t>
      </w:r>
      <w:r>
        <w:rPr>
          <w:color w:val="000000"/>
          <w:spacing w:val="2"/>
        </w:rPr>
        <w:t xml:space="preserve">тора относятся все вопросы </w:t>
      </w:r>
      <w:r>
        <w:rPr>
          <w:color w:val="000000"/>
          <w:spacing w:val="7"/>
        </w:rPr>
        <w:t xml:space="preserve">руководства текущей деятельностью Общества, за исключением вопросов, отнесенных к </w:t>
      </w:r>
      <w:r>
        <w:rPr>
          <w:color w:val="000000"/>
          <w:spacing w:val="-1"/>
        </w:rPr>
        <w:t>компетенции Общего собрания акционеров, Совета директоров.</w:t>
      </w:r>
      <w:r>
        <w:rPr>
          <w:color w:val="000000"/>
          <w:spacing w:val="-7"/>
        </w:rPr>
        <w:t xml:space="preserve"> </w:t>
      </w:r>
      <w:r>
        <w:rPr>
          <w:color w:val="000000"/>
          <w:spacing w:val="1"/>
        </w:rPr>
        <w:t>Генеральный директор</w:t>
      </w:r>
      <w:r>
        <w:rPr>
          <w:color w:val="000000"/>
          <w:spacing w:val="1"/>
        </w:rPr>
        <w:t xml:space="preserve"> без доверенности действует от имени Общества, </w:t>
      </w:r>
      <w:r>
        <w:rPr>
          <w:color w:val="000000"/>
          <w:spacing w:val="7"/>
        </w:rPr>
        <w:t>в том числе с учетом ограничений, предусмотренных законодательством Российской Фед</w:t>
      </w:r>
      <w:r>
        <w:rPr>
          <w:color w:val="000000"/>
          <w:spacing w:val="7"/>
        </w:rPr>
        <w:t>е</w:t>
      </w:r>
      <w:r>
        <w:rPr>
          <w:color w:val="000000"/>
          <w:spacing w:val="7"/>
        </w:rPr>
        <w:t>рации,</w:t>
      </w:r>
      <w:r>
        <w:rPr>
          <w:color w:val="000000"/>
          <w:spacing w:val="-6"/>
        </w:rPr>
        <w:t xml:space="preserve"> </w:t>
      </w:r>
      <w:r>
        <w:rPr>
          <w:color w:val="000000"/>
          <w:spacing w:val="-7"/>
        </w:rPr>
        <w:t>Уставом и решениями Совета директоров.</w:t>
      </w:r>
    </w:p>
    <w:p w14:paraId="03010000">
      <w:bookmarkStart w:id="9" w:name="__RefHeading___9"/>
      <w:bookmarkEnd w:id="9"/>
      <w:pPr>
        <w:pStyle w:val="Style_10"/>
        <w:widowControl w:val="1"/>
        <w:spacing w:after="0" w:before="0" w:line="360" w:lineRule="auto"/>
        <w:ind w:firstLine="709"/>
        <w:contextualSpacing w:val="1"/>
        <w:jc w:val="both"/>
        <w:rPr>
          <w:rFonts w:ascii="Times New Roman" w:hAnsi="Times New Roman"/>
          <w:i w:val="0"/>
          <w:sz w:val="24"/>
        </w:rPr>
      </w:pPr>
      <w:r>
        <w:rPr>
          <w:rFonts w:ascii="Times New Roman" w:hAnsi="Times New Roman"/>
          <w:i w:val="0"/>
          <w:sz w:val="24"/>
        </w:rPr>
        <w:t>2.3. Организационная структура Общества</w:t>
      </w:r>
    </w:p>
    <w:p w14:paraId="04010000">
      <w:pPr>
        <w:widowControl w:val="1"/>
        <w:spacing w:line="360" w:lineRule="auto"/>
        <w:ind w:firstLine="709"/>
        <w:contextualSpacing w:val="1"/>
        <w:jc w:val="both"/>
      </w:pPr>
      <w:r>
        <w:t xml:space="preserve">Организационная структура  Общества  графически представлена на Схеме </w:t>
      </w:r>
      <w:r>
        <w:t>«Структура Общества»</w:t>
      </w:r>
      <w:r>
        <w:t xml:space="preserve"> </w:t>
      </w:r>
      <w:r>
        <w:t xml:space="preserve"> -</w:t>
      </w:r>
      <w:r>
        <w:t xml:space="preserve"> </w:t>
      </w:r>
      <w:r>
        <w:t>Приложение 8</w:t>
      </w:r>
      <w:r>
        <w:t>.</w:t>
      </w:r>
    </w:p>
    <w:p w14:paraId="05010000">
      <w:pPr>
        <w:widowControl w:val="1"/>
        <w:spacing w:line="360" w:lineRule="auto"/>
        <w:ind w:firstLine="709"/>
        <w:contextualSpacing w:val="1"/>
        <w:jc w:val="both"/>
      </w:pPr>
      <w:r>
        <w:t xml:space="preserve">Организационная структура АО «Краспригород» представлена следующим образом: </w:t>
      </w:r>
    </w:p>
    <w:p w14:paraId="06010000">
      <w:pPr>
        <w:widowControl w:val="1"/>
        <w:spacing w:line="360" w:lineRule="auto"/>
        <w:ind w:firstLine="709"/>
        <w:contextualSpacing w:val="1"/>
        <w:jc w:val="both"/>
      </w:pPr>
      <w:r>
        <w:t>1.Генеральный директор АО «Краспригород» - осуществляет руководство компанией на основе единоначалия, проводит единую политику по обеспечению деятельности АО «Краспригород», несет персональную ответственность за выполнение возложенных на АО «Краспригород» задач.</w:t>
      </w:r>
    </w:p>
    <w:p w14:paraId="07010000">
      <w:pPr>
        <w:widowControl w:val="1"/>
        <w:spacing w:line="360" w:lineRule="auto"/>
        <w:ind w:firstLine="709"/>
        <w:contextualSpacing w:val="1"/>
        <w:jc w:val="both"/>
      </w:pPr>
      <w:r>
        <w:t xml:space="preserve">Непосредственно генеральному директору подчиняются: </w:t>
      </w:r>
    </w:p>
    <w:p w14:paraId="08010000">
      <w:pPr>
        <w:widowControl w:val="1"/>
        <w:spacing w:line="360" w:lineRule="auto"/>
        <w:ind w:firstLine="709"/>
        <w:contextualSpacing w:val="1"/>
        <w:jc w:val="both"/>
      </w:pPr>
      <w:r>
        <w:t xml:space="preserve">- главный инженер, </w:t>
      </w:r>
      <w:r>
        <w:t xml:space="preserve"> главный бухгалтер</w:t>
      </w:r>
      <w:r>
        <w:t xml:space="preserve">, </w:t>
      </w:r>
      <w:r>
        <w:t>заместител</w:t>
      </w:r>
      <w:r>
        <w:t>ь</w:t>
      </w:r>
      <w:r>
        <w:t xml:space="preserve"> генерального директора</w:t>
      </w:r>
      <w:r>
        <w:t xml:space="preserve"> по пассажирской работе</w:t>
      </w:r>
      <w:r>
        <w:t>,</w:t>
      </w:r>
      <w:r>
        <w:t xml:space="preserve">  заместитель</w:t>
      </w:r>
      <w:r>
        <w:t xml:space="preserve"> </w:t>
      </w:r>
      <w:r>
        <w:t xml:space="preserve"> </w:t>
      </w:r>
      <w:r>
        <w:t xml:space="preserve">генерального директора </w:t>
      </w:r>
      <w:r>
        <w:t xml:space="preserve">по экономике и финансам, </w:t>
      </w:r>
      <w:r>
        <w:t>заместитель</w:t>
      </w:r>
      <w:r>
        <w:t xml:space="preserve"> </w:t>
      </w:r>
      <w:r>
        <w:t xml:space="preserve">генерального директора </w:t>
      </w:r>
      <w:r>
        <w:t>по безопасности</w:t>
      </w:r>
      <w:r>
        <w:t xml:space="preserve">, </w:t>
      </w:r>
      <w:r>
        <w:t xml:space="preserve">начальник сектора </w:t>
      </w:r>
      <w:r>
        <w:t>правовой и договорной работы</w:t>
      </w:r>
      <w:r>
        <w:t>,</w:t>
      </w:r>
      <w:r>
        <w:t xml:space="preserve"> </w:t>
      </w:r>
      <w:r>
        <w:t>старший</w:t>
      </w:r>
      <w:r>
        <w:t xml:space="preserve"> внутренний</w:t>
      </w:r>
      <w:r>
        <w:t xml:space="preserve"> аудитор</w:t>
      </w:r>
      <w:r>
        <w:t>,</w:t>
      </w:r>
      <w:r>
        <w:t xml:space="preserve"> </w:t>
      </w:r>
      <w:r>
        <w:t xml:space="preserve">начальник сектора </w:t>
      </w:r>
      <w:r>
        <w:t>по управлению персоналом.</w:t>
      </w:r>
    </w:p>
    <w:p w14:paraId="09010000">
      <w:pPr>
        <w:widowControl w:val="1"/>
        <w:spacing w:line="360" w:lineRule="auto"/>
        <w:ind w:firstLine="709"/>
        <w:contextualSpacing w:val="1"/>
        <w:jc w:val="both"/>
      </w:pPr>
      <w:r>
        <w:t>З</w:t>
      </w:r>
      <w:r>
        <w:t>аместитель генерального директора</w:t>
      </w:r>
      <w:r>
        <w:t xml:space="preserve"> по пассажирской работе</w:t>
      </w:r>
      <w:r>
        <w:t xml:space="preserve"> - определяет стратегию  компании в сфере обслуживания пассажиров в билетных кассах и пригородных поездах. В непосредственном подчинении имеет:</w:t>
      </w:r>
      <w:r>
        <w:t xml:space="preserve"> </w:t>
      </w:r>
      <w:r>
        <w:t>отдел по пассажирской работе (</w:t>
      </w:r>
      <w:r>
        <w:t xml:space="preserve">организующий и контролирующий </w:t>
      </w:r>
      <w:r>
        <w:t xml:space="preserve">работу всех билетных кассиров), </w:t>
      </w:r>
      <w:r>
        <w:t xml:space="preserve"> участки по обслуживанию пассажиров: Красноярский, Западный, </w:t>
      </w:r>
      <w:r>
        <w:t>Енисей</w:t>
      </w:r>
      <w:r>
        <w:t xml:space="preserve">ский, Восточный, Ачинский, Уярский, филиал в г. </w:t>
      </w:r>
      <w:r>
        <w:t>Абакан</w:t>
      </w:r>
      <w:r>
        <w:t>е.</w:t>
      </w:r>
    </w:p>
    <w:p w14:paraId="0A010000">
      <w:pPr>
        <w:widowControl w:val="1"/>
        <w:spacing w:line="360" w:lineRule="auto"/>
        <w:ind w:firstLine="709"/>
        <w:contextualSpacing w:val="1"/>
        <w:jc w:val="both"/>
      </w:pPr>
      <w:r>
        <w:t xml:space="preserve">Главный инженер АО «Краспригород» - обеспечивает проведение единой технической политики, комплексного решения технологических и технических вопросов в АО «Краспригород», контролирует вопросы материально-технического обеспечения компании, нормирования расхода ресурсов и запасов товарно-материальных ценностей, экономии материальных ресурсов, курирует вопросы охраны труда. В непосредственном подчинении главного инженера находятся:  технический </w:t>
      </w:r>
      <w:r>
        <w:t>отдел</w:t>
      </w:r>
      <w:r>
        <w:t xml:space="preserve">, </w:t>
      </w:r>
      <w:r>
        <w:t xml:space="preserve"> уча</w:t>
      </w:r>
      <w:r>
        <w:t>сток хозяйственного обеспечения,</w:t>
      </w:r>
      <w:r>
        <w:t xml:space="preserve"> участок по использованию мот</w:t>
      </w:r>
      <w:r>
        <w:t>ор-вагонного подвижного состава,</w:t>
      </w:r>
      <w:r>
        <w:t xml:space="preserve"> инженер по охране труда. </w:t>
      </w:r>
    </w:p>
    <w:p w14:paraId="0B010000">
      <w:pPr>
        <w:widowControl w:val="1"/>
        <w:spacing w:line="360" w:lineRule="auto"/>
        <w:ind w:firstLine="709"/>
        <w:contextualSpacing w:val="1"/>
        <w:jc w:val="both"/>
      </w:pPr>
      <w:r>
        <w:t>Заместитель генерального директора по экономике и финансам - координирует экономическую и ф</w:t>
      </w:r>
      <w:r>
        <w:t>инансовую деятельность компании, обеспечивает взаимодействие с органами исполнительной власти субъектов Российской Федерации, на территории которых компания осуществляет перевозки.</w:t>
      </w:r>
      <w:r>
        <w:t xml:space="preserve"> В непосредственном подчинении имеет экономический отдел, отдел обработки первичных документов.</w:t>
      </w:r>
    </w:p>
    <w:p w14:paraId="0C010000">
      <w:pPr>
        <w:widowControl w:val="1"/>
        <w:tabs>
          <w:tab w:leader="none" w:pos="1560" w:val="left"/>
        </w:tabs>
        <w:spacing w:line="360" w:lineRule="auto"/>
        <w:ind w:firstLine="709"/>
        <w:contextualSpacing w:val="1"/>
        <w:jc w:val="both"/>
      </w:pPr>
      <w:r>
        <w:t>Заместитель генерального директора по безопасности - организует и проводит работу по своевременному выявлению и предупреждению внутренних и внешних угроз экономическим интересам АО «Краспригород», защите сведений, отнесенных к государственной и коммерческой тайне, обеспечению информационной безопасности во всех структурных подразделениях</w:t>
      </w:r>
      <w:r>
        <w:t>, обеспечению транспортной безопасности на объектах, находящихся в зоне ответственности Общества</w:t>
      </w:r>
      <w:r>
        <w:t>.</w:t>
      </w:r>
      <w:r>
        <w:t xml:space="preserve"> В непосредственном подчинении заместителя генерального директора по безопасности находится начальник участка технологического контроля, который </w:t>
      </w:r>
      <w:r>
        <w:t>организует работу контролеров–ревизоров по пресечению безбилетного проезда.</w:t>
      </w:r>
    </w:p>
    <w:p w14:paraId="0D010000">
      <w:bookmarkStart w:id="10" w:name="__RefHeading___10"/>
      <w:bookmarkEnd w:id="10"/>
      <w:pPr>
        <w:pStyle w:val="Style_10"/>
        <w:widowControl w:val="1"/>
        <w:spacing w:after="0" w:before="0" w:line="360" w:lineRule="auto"/>
        <w:ind w:firstLine="709"/>
        <w:contextualSpacing w:val="1"/>
        <w:jc w:val="both"/>
        <w:rPr>
          <w:rFonts w:ascii="Times New Roman" w:hAnsi="Times New Roman"/>
          <w:i w:val="0"/>
          <w:sz w:val="24"/>
        </w:rPr>
      </w:pPr>
      <w:r>
        <w:rPr>
          <w:rFonts w:ascii="Times New Roman" w:hAnsi="Times New Roman"/>
          <w:sz w:val="24"/>
        </w:rPr>
        <w:t xml:space="preserve">     </w:t>
      </w:r>
      <w:r>
        <w:rPr>
          <w:rFonts w:ascii="Times New Roman" w:hAnsi="Times New Roman"/>
          <w:i w:val="0"/>
          <w:sz w:val="24"/>
        </w:rPr>
        <w:t>2.4. Основные показатели деятельности</w:t>
      </w:r>
    </w:p>
    <w:p w14:paraId="0E010000">
      <w:pPr>
        <w:widowControl w:val="1"/>
        <w:ind w:firstLine="709"/>
        <w:contextualSpacing w:val="1"/>
      </w:pPr>
    </w:p>
    <w:p w14:paraId="0F010000">
      <w:pPr>
        <w:widowControl w:val="1"/>
        <w:numPr>
          <w:ilvl w:val="0"/>
          <w:numId w:val="3"/>
        </w:numPr>
        <w:tabs>
          <w:tab w:leader="none" w:pos="709" w:val="left"/>
          <w:tab w:leader="none" w:pos="928" w:val="clear"/>
          <w:tab w:leader="none" w:pos="1068" w:val="left"/>
        </w:tabs>
        <w:spacing w:line="360" w:lineRule="auto"/>
        <w:ind w:firstLine="709" w:left="0"/>
        <w:contextualSpacing w:val="1"/>
        <w:jc w:val="both"/>
      </w:pPr>
      <w:r>
        <w:t>Уставный капитал - 100 тыс. руб.</w:t>
      </w:r>
    </w:p>
    <w:p w14:paraId="10010000">
      <w:pPr>
        <w:widowControl w:val="1"/>
        <w:numPr>
          <w:ilvl w:val="0"/>
          <w:numId w:val="3"/>
        </w:numPr>
        <w:tabs>
          <w:tab w:leader="none" w:pos="709" w:val="left"/>
          <w:tab w:leader="none" w:pos="928" w:val="clear"/>
          <w:tab w:leader="none" w:pos="1068" w:val="left"/>
        </w:tabs>
        <w:spacing w:line="360" w:lineRule="auto"/>
        <w:ind w:firstLine="709" w:left="0"/>
        <w:contextualSpacing w:val="1"/>
        <w:jc w:val="both"/>
      </w:pPr>
      <w:r>
        <w:t xml:space="preserve">Основные производственные фонды </w:t>
      </w:r>
      <w:r>
        <w:t>11 341</w:t>
      </w:r>
      <w:r>
        <w:t xml:space="preserve"> тыс. руб.</w:t>
      </w:r>
    </w:p>
    <w:p w14:paraId="11010000">
      <w:pPr>
        <w:widowControl w:val="1"/>
        <w:numPr>
          <w:ilvl w:val="0"/>
          <w:numId w:val="3"/>
        </w:numPr>
        <w:tabs>
          <w:tab w:leader="none" w:pos="709" w:val="left"/>
          <w:tab w:leader="none" w:pos="928" w:val="clear"/>
          <w:tab w:leader="none" w:pos="1068" w:val="left"/>
        </w:tabs>
        <w:spacing w:line="360" w:lineRule="auto"/>
        <w:ind w:firstLine="709" w:left="0"/>
        <w:contextualSpacing w:val="1"/>
        <w:jc w:val="both"/>
      </w:pPr>
      <w:r>
        <w:t>Доходы компании за 201</w:t>
      </w:r>
      <w:r>
        <w:t>8</w:t>
      </w:r>
      <w:r>
        <w:t xml:space="preserve"> год </w:t>
      </w:r>
      <w:r>
        <w:t>729 505</w:t>
      </w:r>
      <w:r>
        <w:t xml:space="preserve"> тыс. руб.</w:t>
      </w:r>
    </w:p>
    <w:p w14:paraId="12010000">
      <w:pPr>
        <w:widowControl w:val="1"/>
        <w:numPr>
          <w:ilvl w:val="0"/>
          <w:numId w:val="3"/>
        </w:numPr>
        <w:tabs>
          <w:tab w:leader="none" w:pos="709" w:val="left"/>
          <w:tab w:leader="none" w:pos="928" w:val="clear"/>
          <w:tab w:leader="none" w:pos="1068" w:val="left"/>
        </w:tabs>
        <w:spacing w:line="360" w:lineRule="auto"/>
        <w:ind w:firstLine="709" w:left="0"/>
        <w:contextualSpacing w:val="1"/>
        <w:jc w:val="both"/>
      </w:pPr>
      <w:r>
        <w:t>Расходы за 201</w:t>
      </w:r>
      <w:r>
        <w:t>8</w:t>
      </w:r>
      <w:r>
        <w:t xml:space="preserve">  год  –  </w:t>
      </w:r>
      <w:r>
        <w:t>728 376</w:t>
      </w:r>
      <w:r>
        <w:t xml:space="preserve"> тыс. руб.</w:t>
      </w:r>
    </w:p>
    <w:p w14:paraId="13010000">
      <w:pPr>
        <w:widowControl w:val="1"/>
        <w:numPr>
          <w:ilvl w:val="0"/>
          <w:numId w:val="3"/>
        </w:numPr>
        <w:tabs>
          <w:tab w:leader="none" w:pos="709" w:val="left"/>
          <w:tab w:leader="none" w:pos="928" w:val="clear"/>
          <w:tab w:leader="none" w:pos="1068" w:val="left"/>
        </w:tabs>
        <w:spacing w:line="360" w:lineRule="auto"/>
        <w:ind w:firstLine="709" w:left="0"/>
        <w:contextualSpacing w:val="1"/>
        <w:jc w:val="both"/>
      </w:pPr>
      <w:r>
        <w:rPr>
          <w:spacing w:val="-6"/>
        </w:rPr>
        <w:t xml:space="preserve">Прибыль до налогообложения –  </w:t>
      </w:r>
      <w:r>
        <w:rPr>
          <w:spacing w:val="-6"/>
        </w:rPr>
        <w:t>1 129</w:t>
      </w:r>
      <w:r>
        <w:rPr>
          <w:spacing w:val="-6"/>
        </w:rPr>
        <w:t xml:space="preserve"> тыс. руб.</w:t>
      </w:r>
    </w:p>
    <w:p w14:paraId="14010000">
      <w:pPr>
        <w:widowControl w:val="1"/>
        <w:numPr>
          <w:ilvl w:val="0"/>
          <w:numId w:val="3"/>
        </w:numPr>
        <w:tabs>
          <w:tab w:leader="none" w:pos="709" w:val="left"/>
          <w:tab w:leader="none" w:pos="928" w:val="clear"/>
          <w:tab w:leader="none" w:pos="1068" w:val="left"/>
        </w:tabs>
        <w:spacing w:line="360" w:lineRule="auto"/>
        <w:ind w:firstLine="709" w:left="0"/>
        <w:contextualSpacing w:val="1"/>
        <w:jc w:val="both"/>
      </w:pPr>
      <w:r>
        <w:t>Численность согласно штатному расписанию на 31.12.201</w:t>
      </w:r>
      <w:r>
        <w:t>8</w:t>
      </w:r>
      <w:r>
        <w:t xml:space="preserve">г. – </w:t>
      </w:r>
      <w:r>
        <w:t>345,3</w:t>
      </w:r>
      <w:r>
        <w:t xml:space="preserve"> человек.</w:t>
      </w:r>
    </w:p>
    <w:p w14:paraId="15010000">
      <w:pPr>
        <w:widowControl w:val="1"/>
        <w:numPr>
          <w:ilvl w:val="0"/>
          <w:numId w:val="3"/>
        </w:numPr>
        <w:tabs>
          <w:tab w:leader="none" w:pos="709" w:val="left"/>
          <w:tab w:leader="none" w:pos="928" w:val="clear"/>
          <w:tab w:leader="none" w:pos="1068" w:val="left"/>
        </w:tabs>
        <w:spacing w:line="360" w:lineRule="auto"/>
        <w:ind w:firstLine="709" w:left="0"/>
        <w:contextualSpacing w:val="1"/>
        <w:jc w:val="both"/>
      </w:pPr>
      <w:r>
        <w:t>Среднесписочная численность персонала (списочный состав) за 201</w:t>
      </w:r>
      <w:r>
        <w:t>8</w:t>
      </w:r>
      <w:r>
        <w:t xml:space="preserve"> год  –  </w:t>
      </w:r>
      <w:r>
        <w:t>324,7</w:t>
      </w:r>
      <w:r>
        <w:t xml:space="preserve"> человека.</w:t>
      </w:r>
    </w:p>
    <w:p w14:paraId="16010000">
      <w:pPr>
        <w:widowControl w:val="1"/>
        <w:numPr>
          <w:ilvl w:val="0"/>
          <w:numId w:val="3"/>
        </w:numPr>
        <w:tabs>
          <w:tab w:leader="none" w:pos="709" w:val="left"/>
          <w:tab w:leader="none" w:pos="928" w:val="clear"/>
          <w:tab w:leader="none" w:pos="1068" w:val="left"/>
        </w:tabs>
        <w:spacing w:line="360" w:lineRule="auto"/>
        <w:ind w:firstLine="709" w:left="0"/>
        <w:contextualSpacing w:val="1"/>
        <w:jc w:val="both"/>
      </w:pPr>
      <w:r>
        <w:t xml:space="preserve">Среднемесячная заработная плата  </w:t>
      </w:r>
      <w:r>
        <w:t>37 188,4</w:t>
      </w:r>
      <w:r>
        <w:t xml:space="preserve">  руб. </w:t>
      </w:r>
    </w:p>
    <w:p w14:paraId="17010000">
      <w:pPr>
        <w:widowControl w:val="1"/>
        <w:numPr>
          <w:ilvl w:val="0"/>
          <w:numId w:val="3"/>
        </w:numPr>
        <w:tabs>
          <w:tab w:leader="none" w:pos="709" w:val="left"/>
          <w:tab w:leader="none" w:pos="928" w:val="clear"/>
          <w:tab w:leader="none" w:pos="1068" w:val="left"/>
        </w:tabs>
        <w:spacing w:line="360" w:lineRule="auto"/>
        <w:ind w:firstLine="709" w:left="0"/>
        <w:contextualSpacing w:val="1"/>
        <w:jc w:val="both"/>
        <w:rPr>
          <w:b w:val="1"/>
        </w:rPr>
      </w:pPr>
      <w:r>
        <w:t xml:space="preserve">Доходы на 1 работника (без учета прочих доходов) в месяц  составили   </w:t>
      </w:r>
      <w:r>
        <w:t>86,00</w:t>
      </w:r>
      <w:r>
        <w:t xml:space="preserve"> тыс. руб.</w:t>
      </w:r>
    </w:p>
    <w:p w14:paraId="18010000">
      <w:pPr>
        <w:widowControl w:val="1"/>
        <w:ind w:firstLine="709"/>
        <w:contextualSpacing w:val="1"/>
      </w:pPr>
    </w:p>
    <w:p w14:paraId="19010000">
      <w:bookmarkStart w:id="11" w:name="__RefHeading___11"/>
      <w:bookmarkEnd w:id="11"/>
      <w:pPr>
        <w:pStyle w:val="Style_10"/>
        <w:widowControl w:val="1"/>
        <w:spacing w:after="0" w:before="0" w:line="360" w:lineRule="auto"/>
        <w:ind w:firstLine="709"/>
        <w:contextualSpacing w:val="1"/>
        <w:jc w:val="both"/>
        <w:rPr>
          <w:rFonts w:ascii="Times New Roman" w:hAnsi="Times New Roman"/>
          <w:i w:val="0"/>
          <w:sz w:val="24"/>
        </w:rPr>
      </w:pPr>
      <w:r>
        <w:rPr>
          <w:rFonts w:ascii="Times New Roman" w:hAnsi="Times New Roman"/>
          <w:i w:val="0"/>
          <w:sz w:val="24"/>
        </w:rPr>
        <w:t>2.5. Конкурентное окружение Общества и факторы риска</w:t>
      </w:r>
    </w:p>
    <w:p w14:paraId="1A010000">
      <w:pPr>
        <w:widowControl w:val="1"/>
        <w:spacing w:line="360" w:lineRule="auto"/>
        <w:ind w:firstLine="709"/>
        <w:contextualSpacing w:val="1"/>
        <w:jc w:val="both"/>
      </w:pPr>
      <w:r>
        <w:t>Основным конкурентом пригородного железнодорожного транспорта является автомобил</w:t>
      </w:r>
      <w:r>
        <w:t>ь</w:t>
      </w:r>
      <w:r>
        <w:t>ный транспорт.</w:t>
      </w:r>
    </w:p>
    <w:p w14:paraId="1B010000">
      <w:pPr>
        <w:widowControl w:val="1"/>
        <w:spacing w:line="360" w:lineRule="auto"/>
        <w:ind w:firstLine="709"/>
        <w:contextualSpacing w:val="1"/>
        <w:jc w:val="both"/>
      </w:pPr>
      <w:r>
        <w:t>На автомобильном рынке Сибири прослеживаются те же тенденции, что и в целом по стр</w:t>
      </w:r>
      <w:r>
        <w:t>а</w:t>
      </w:r>
      <w:r>
        <w:t>не. Постоянный прирост автомобильного транспорта, вследствие чего сокращается доля па</w:t>
      </w:r>
      <w:r>
        <w:t>с</w:t>
      </w:r>
      <w:r>
        <w:t>сажиров пользующихся пригородным железнодорожным транспортом. Однако</w:t>
      </w:r>
      <w:r>
        <w:t>,</w:t>
      </w:r>
      <w:r>
        <w:t xml:space="preserve"> если рассмотреть тенденцию удорожания стоимости автомобильного транспорта и рост цен на бензин, то просматривается возможность увеличения числа пассажиров на рынке железнодорожных пригородных перев</w:t>
      </w:r>
      <w:r>
        <w:t>о</w:t>
      </w:r>
      <w:r>
        <w:t>зок.</w:t>
      </w:r>
    </w:p>
    <w:p w14:paraId="1C010000">
      <w:pPr>
        <w:pStyle w:val="Style_11"/>
        <w:widowControl w:val="1"/>
        <w:spacing w:after="0" w:line="360" w:lineRule="auto"/>
        <w:ind w:firstLine="709" w:left="0"/>
        <w:contextualSpacing w:val="1"/>
        <w:jc w:val="both"/>
        <w:rPr>
          <w:b w:val="1"/>
          <w:i w:val="1"/>
          <w:sz w:val="24"/>
        </w:rPr>
      </w:pPr>
      <w:r>
        <w:rPr>
          <w:sz w:val="24"/>
        </w:rPr>
        <w:t>Осуществление перевозок по установленному графику движения поездов с высокой степенью надежности при любых погодных условиях открывает явное преимущество железнодорожным пригородным перевозкам над другими вид</w:t>
      </w:r>
      <w:r>
        <w:rPr>
          <w:sz w:val="24"/>
        </w:rPr>
        <w:t>а</w:t>
      </w:r>
      <w:r>
        <w:rPr>
          <w:sz w:val="24"/>
        </w:rPr>
        <w:t xml:space="preserve">ми транспорта. </w:t>
      </w:r>
    </w:p>
    <w:p w14:paraId="1D010000">
      <w:pPr>
        <w:widowControl w:val="1"/>
        <w:tabs>
          <w:tab w:leader="none" w:pos="1134" w:val="left"/>
        </w:tabs>
        <w:spacing w:line="360" w:lineRule="auto"/>
        <w:ind w:firstLine="709"/>
        <w:contextualSpacing w:val="1"/>
        <w:jc w:val="both"/>
      </w:pPr>
      <w:r>
        <w:t>Основные конкурентные преимущества железнодорожного транспорта:</w:t>
      </w:r>
    </w:p>
    <w:p w14:paraId="1E010000">
      <w:pPr>
        <w:widowControl w:val="1"/>
        <w:numPr>
          <w:ilvl w:val="0"/>
          <w:numId w:val="3"/>
        </w:numPr>
        <w:tabs>
          <w:tab w:leader="none" w:pos="1134" w:val="left"/>
        </w:tabs>
        <w:spacing w:line="360" w:lineRule="auto"/>
        <w:ind w:firstLine="709" w:left="0"/>
        <w:contextualSpacing w:val="1"/>
        <w:jc w:val="both"/>
      </w:pPr>
      <w:r>
        <w:t>Стабильный график движения, не зависящий от погодных условий;</w:t>
      </w:r>
    </w:p>
    <w:p w14:paraId="1F010000">
      <w:pPr>
        <w:widowControl w:val="1"/>
        <w:numPr>
          <w:ilvl w:val="0"/>
          <w:numId w:val="3"/>
        </w:numPr>
        <w:tabs>
          <w:tab w:leader="none" w:pos="1134" w:val="left"/>
        </w:tabs>
        <w:spacing w:line="360" w:lineRule="auto"/>
        <w:ind w:firstLine="709" w:left="0"/>
        <w:contextualSpacing w:val="1"/>
        <w:jc w:val="both"/>
      </w:pPr>
      <w:r>
        <w:t>Наибольшая провозная способность;</w:t>
      </w:r>
    </w:p>
    <w:p w14:paraId="20010000">
      <w:pPr>
        <w:widowControl w:val="1"/>
        <w:numPr>
          <w:ilvl w:val="0"/>
          <w:numId w:val="3"/>
        </w:numPr>
        <w:tabs>
          <w:tab w:leader="none" w:pos="1134" w:val="left"/>
        </w:tabs>
        <w:spacing w:line="360" w:lineRule="auto"/>
        <w:ind w:firstLine="709" w:left="0"/>
        <w:contextualSpacing w:val="1"/>
        <w:jc w:val="both"/>
      </w:pPr>
      <w:r>
        <w:t>Экологически чистый вид транспорта;</w:t>
      </w:r>
    </w:p>
    <w:p w14:paraId="21010000">
      <w:pPr>
        <w:widowControl w:val="1"/>
        <w:numPr>
          <w:ilvl w:val="0"/>
          <w:numId w:val="3"/>
        </w:numPr>
        <w:tabs>
          <w:tab w:leader="none" w:pos="1134" w:val="left"/>
        </w:tabs>
        <w:spacing w:line="360" w:lineRule="auto"/>
        <w:ind w:firstLine="709" w:left="0"/>
        <w:contextualSpacing w:val="1"/>
        <w:jc w:val="both"/>
      </w:pPr>
      <w:r>
        <w:t>Наибольшая безопасность;</w:t>
      </w:r>
    </w:p>
    <w:p w14:paraId="22010000">
      <w:pPr>
        <w:widowControl w:val="1"/>
        <w:numPr>
          <w:ilvl w:val="0"/>
          <w:numId w:val="3"/>
        </w:numPr>
        <w:tabs>
          <w:tab w:leader="none" w:pos="1134" w:val="left"/>
        </w:tabs>
        <w:spacing w:line="360" w:lineRule="auto"/>
        <w:ind w:firstLine="709" w:left="0"/>
        <w:contextualSpacing w:val="1"/>
        <w:jc w:val="both"/>
      </w:pPr>
      <w:r>
        <w:t>Наиболее быстрый, в скоростном междугороднем сообщении;</w:t>
      </w:r>
    </w:p>
    <w:p w14:paraId="23010000">
      <w:pPr>
        <w:widowControl w:val="1"/>
        <w:numPr>
          <w:ilvl w:val="0"/>
          <w:numId w:val="3"/>
        </w:numPr>
        <w:tabs>
          <w:tab w:leader="none" w:pos="1134" w:val="left"/>
        </w:tabs>
        <w:spacing w:line="360" w:lineRule="auto"/>
        <w:ind w:firstLine="709" w:left="0"/>
        <w:contextualSpacing w:val="1"/>
        <w:jc w:val="both"/>
      </w:pPr>
      <w:r>
        <w:t>Более дешевый, в сравнении с автотранспортом;</w:t>
      </w:r>
    </w:p>
    <w:p w14:paraId="24010000">
      <w:pPr>
        <w:widowControl w:val="1"/>
        <w:numPr>
          <w:ilvl w:val="0"/>
          <w:numId w:val="3"/>
        </w:numPr>
        <w:tabs>
          <w:tab w:leader="none" w:pos="1134" w:val="left"/>
        </w:tabs>
        <w:spacing w:line="360" w:lineRule="auto"/>
        <w:ind w:firstLine="709" w:left="0"/>
        <w:contextualSpacing w:val="1"/>
        <w:jc w:val="both"/>
      </w:pPr>
      <w:r>
        <w:t>Наиболее комфортабельный</w:t>
      </w:r>
      <w:r>
        <w:t>.</w:t>
      </w:r>
    </w:p>
    <w:p w14:paraId="25010000">
      <w:pPr>
        <w:widowControl w:val="1"/>
        <w:tabs>
          <w:tab w:leader="none" w:pos="1440" w:val="left"/>
        </w:tabs>
        <w:spacing w:line="360" w:lineRule="auto"/>
        <w:ind w:firstLine="709"/>
        <w:contextualSpacing w:val="1"/>
        <w:jc w:val="both"/>
      </w:pPr>
      <w:r>
        <w:t>При этом необходимо отметить ряд моментов, которые негативно влияют на пов</w:t>
      </w:r>
      <w:r>
        <w:t>ы</w:t>
      </w:r>
      <w:r>
        <w:t>шение качественных и количественных показателей пригородных железнодорожных перев</w:t>
      </w:r>
      <w:r>
        <w:t>о</w:t>
      </w:r>
      <w:r>
        <w:t>зок:</w:t>
      </w:r>
    </w:p>
    <w:p w14:paraId="26010000">
      <w:pPr>
        <w:widowControl w:val="1"/>
        <w:numPr>
          <w:ilvl w:val="0"/>
          <w:numId w:val="3"/>
        </w:numPr>
        <w:tabs>
          <w:tab w:leader="none" w:pos="1134" w:val="left"/>
        </w:tabs>
        <w:spacing w:line="360" w:lineRule="auto"/>
        <w:ind w:firstLine="709" w:left="0"/>
        <w:contextualSpacing w:val="1"/>
        <w:jc w:val="both"/>
      </w:pPr>
      <w:r>
        <w:t>В сравнении с автотранспортом</w:t>
      </w:r>
      <w:r>
        <w:t>,</w:t>
      </w:r>
      <w:r>
        <w:t xml:space="preserve"> менее мобилен (введение новых маршрутов, регулирование населе</w:t>
      </w:r>
      <w:r>
        <w:t>н</w:t>
      </w:r>
      <w:r>
        <w:t>ности вагонов, увеличение скорости перевозок);</w:t>
      </w:r>
    </w:p>
    <w:p w14:paraId="27010000">
      <w:pPr>
        <w:widowControl w:val="1"/>
        <w:numPr>
          <w:ilvl w:val="0"/>
          <w:numId w:val="3"/>
        </w:numPr>
        <w:tabs>
          <w:tab w:leader="none" w:pos="1134" w:val="left"/>
        </w:tabs>
        <w:spacing w:line="360" w:lineRule="auto"/>
        <w:ind w:firstLine="709" w:left="0"/>
        <w:contextualSpacing w:val="1"/>
        <w:jc w:val="both"/>
      </w:pPr>
      <w:r>
        <w:t>Осуществление контроля за проездом безбилетных пассажиров;</w:t>
      </w:r>
    </w:p>
    <w:p w14:paraId="28010000">
      <w:pPr>
        <w:widowControl w:val="1"/>
        <w:numPr>
          <w:ilvl w:val="0"/>
          <w:numId w:val="3"/>
        </w:numPr>
        <w:tabs>
          <w:tab w:leader="none" w:pos="1134" w:val="left"/>
        </w:tabs>
        <w:spacing w:line="360" w:lineRule="auto"/>
        <w:ind w:firstLine="709" w:left="0"/>
        <w:contextualSpacing w:val="1"/>
        <w:jc w:val="both"/>
      </w:pPr>
      <w:r>
        <w:t xml:space="preserve">Высокая стоимость нового подвижного состава. </w:t>
      </w:r>
    </w:p>
    <w:p w14:paraId="29010000">
      <w:pPr>
        <w:pStyle w:val="Style_11"/>
        <w:widowControl w:val="1"/>
        <w:spacing w:after="0" w:line="360" w:lineRule="auto"/>
        <w:ind w:firstLine="709" w:left="0"/>
        <w:contextualSpacing w:val="1"/>
        <w:jc w:val="both"/>
        <w:rPr>
          <w:sz w:val="24"/>
        </w:rPr>
      </w:pPr>
      <w:r>
        <w:rPr>
          <w:sz w:val="24"/>
        </w:rPr>
        <w:t>Среди мотивационных причин, обуславливающих выбор электропоездов в качестве альтернативы другим видам транспорта (автобусы, автомобили), пассажиры указывают в первую очередь – невысокую стоимость проезда, безопасность движения, удобство расписания, точность с</w:t>
      </w:r>
      <w:r>
        <w:rPr>
          <w:sz w:val="24"/>
        </w:rPr>
        <w:t>о</w:t>
      </w:r>
      <w:r>
        <w:rPr>
          <w:sz w:val="24"/>
        </w:rPr>
        <w:t>блюдения графика.</w:t>
      </w:r>
    </w:p>
    <w:p w14:paraId="2A010000">
      <w:pPr>
        <w:widowControl w:val="1"/>
        <w:spacing w:line="360" w:lineRule="auto"/>
        <w:ind w:firstLine="709"/>
        <w:contextualSpacing w:val="1"/>
        <w:rPr>
          <w:b w:val="1"/>
        </w:rPr>
      </w:pPr>
    </w:p>
    <w:p w14:paraId="2B010000">
      <w:bookmarkStart w:id="12" w:name="__RefHeading___12"/>
      <w:bookmarkEnd w:id="12"/>
      <w:pPr>
        <w:pStyle w:val="Style_7"/>
        <w:widowControl w:val="1"/>
        <w:spacing w:line="360" w:lineRule="auto"/>
        <w:ind w:firstLine="709"/>
        <w:contextualSpacing w:val="1"/>
        <w:jc w:val="both"/>
        <w:rPr>
          <w:b w:val="1"/>
          <w:color w:val="000000"/>
          <w:sz w:val="24"/>
        </w:rPr>
      </w:pPr>
      <w:r>
        <w:rPr>
          <w:b w:val="1"/>
          <w:color w:val="000000"/>
          <w:sz w:val="24"/>
        </w:rPr>
        <w:t>Раздел 3. Корпоративное управление</w:t>
      </w:r>
    </w:p>
    <w:p w14:paraId="2C010000">
      <w:bookmarkStart w:id="13" w:name="__RefHeading___13"/>
      <w:bookmarkEnd w:id="13"/>
      <w:pPr>
        <w:pStyle w:val="Style_10"/>
        <w:widowControl w:val="1"/>
        <w:spacing w:after="0" w:before="0" w:line="360" w:lineRule="auto"/>
        <w:ind w:firstLine="709"/>
        <w:contextualSpacing w:val="1"/>
        <w:jc w:val="both"/>
        <w:rPr>
          <w:rFonts w:ascii="Times New Roman" w:hAnsi="Times New Roman"/>
          <w:i w:val="0"/>
          <w:sz w:val="24"/>
        </w:rPr>
      </w:pPr>
      <w:r>
        <w:rPr>
          <w:rFonts w:ascii="Times New Roman" w:hAnsi="Times New Roman"/>
          <w:i w:val="0"/>
          <w:sz w:val="24"/>
        </w:rPr>
        <w:t>3.1. Принципы. Документы</w:t>
      </w:r>
    </w:p>
    <w:p w14:paraId="2D010000">
      <w:pPr>
        <w:widowControl w:val="1"/>
        <w:spacing w:afterAutospacing="on" w:beforeAutospacing="on" w:line="360" w:lineRule="auto"/>
        <w:ind w:firstLine="709"/>
        <w:contextualSpacing w:val="1"/>
        <w:jc w:val="both"/>
        <w:rPr>
          <w:color w:val="000000"/>
          <w:highlight w:val="white"/>
        </w:rPr>
      </w:pPr>
      <w:r>
        <w:rPr>
          <w:color w:val="000000"/>
          <w:highlight w:val="white"/>
        </w:rPr>
        <w:t>Основной целью деятельности АО «Краспригород» является получение прибыли.</w:t>
      </w:r>
      <w:r>
        <w:rPr>
          <w:i w:val="1"/>
          <w:color w:val="000000"/>
          <w:highlight w:val="white"/>
        </w:rPr>
        <w:t> </w:t>
      </w:r>
      <w:r>
        <w:rPr>
          <w:color w:val="000000"/>
          <w:highlight w:val="white"/>
        </w:rPr>
        <w:t>Для получения прибыли Общество вправе осуществлять любые виды деятельности, не запрещенные законодательством Российской Федерации.</w:t>
      </w:r>
    </w:p>
    <w:p w14:paraId="2E010000">
      <w:pPr>
        <w:widowControl w:val="1"/>
        <w:spacing w:afterAutospacing="on" w:beforeAutospacing="on" w:line="360" w:lineRule="auto"/>
        <w:ind w:firstLine="709"/>
        <w:contextualSpacing w:val="1"/>
        <w:jc w:val="both"/>
        <w:rPr>
          <w:color w:val="000000"/>
          <w:highlight w:val="white"/>
        </w:rPr>
      </w:pPr>
      <w:r>
        <w:rPr>
          <w:color w:val="000000"/>
          <w:highlight w:val="white"/>
        </w:rPr>
        <w:t xml:space="preserve">В компании АО «Краспригород» соблюдается Кодекс корпоративного поведения. Акционеры имеют реальную возможность осуществлять свои права, акционеры имеют возможность участвовать в управлении акционерным обществом путем принятия решений по наиболее важным вопросам деятельности </w:t>
      </w:r>
      <w:r>
        <w:rPr>
          <w:color w:val="000000"/>
          <w:highlight w:val="white"/>
        </w:rPr>
        <w:t>О</w:t>
      </w:r>
      <w:r>
        <w:rPr>
          <w:color w:val="000000"/>
          <w:highlight w:val="white"/>
        </w:rPr>
        <w:t>бщества на общем собрании акционеров, участвовать в распределении прибыли общества, регулярно и своевременно получать полную и достоверную информацию об обществе.</w:t>
      </w:r>
    </w:p>
    <w:p w14:paraId="2F010000">
      <w:pPr>
        <w:widowControl w:val="1"/>
        <w:spacing w:afterAutospacing="on" w:beforeAutospacing="on" w:line="360" w:lineRule="auto"/>
        <w:ind w:firstLine="709"/>
        <w:contextualSpacing w:val="1"/>
        <w:jc w:val="both"/>
        <w:rPr>
          <w:color w:val="000000"/>
          <w:highlight w:val="white"/>
        </w:rPr>
      </w:pPr>
      <w:r>
        <w:rPr>
          <w:color w:val="000000"/>
          <w:highlight w:val="white"/>
        </w:rPr>
        <w:t>Структура органов управления АО «Краспригород» в соответствии с Уставом Общества и ФЗ «Об акционерных обществах» включает в себя:</w:t>
      </w:r>
    </w:p>
    <w:p w14:paraId="30010000">
      <w:pPr>
        <w:widowControl w:val="1"/>
        <w:spacing w:afterAutospacing="on" w:beforeAutospacing="on" w:line="360" w:lineRule="auto"/>
        <w:ind w:firstLine="709"/>
        <w:contextualSpacing w:val="1"/>
        <w:jc w:val="both"/>
        <w:rPr>
          <w:color w:val="000000"/>
          <w:highlight w:val="white"/>
        </w:rPr>
      </w:pPr>
      <w:r>
        <w:rPr>
          <w:color w:val="000000"/>
          <w:highlight w:val="white"/>
        </w:rPr>
        <w:t>    Общее собрание акционеров;</w:t>
      </w:r>
    </w:p>
    <w:p w14:paraId="31010000">
      <w:pPr>
        <w:widowControl w:val="1"/>
        <w:spacing w:afterAutospacing="on" w:beforeAutospacing="on" w:line="360" w:lineRule="auto"/>
        <w:ind w:firstLine="709"/>
        <w:contextualSpacing w:val="1"/>
        <w:jc w:val="both"/>
        <w:rPr>
          <w:color w:val="000000"/>
          <w:highlight w:val="white"/>
        </w:rPr>
      </w:pPr>
      <w:r>
        <w:rPr>
          <w:color w:val="000000"/>
          <w:highlight w:val="white"/>
        </w:rPr>
        <w:t>    Совет директоров;</w:t>
      </w:r>
    </w:p>
    <w:p w14:paraId="32010000">
      <w:pPr>
        <w:widowControl w:val="1"/>
        <w:spacing w:afterAutospacing="on" w:beforeAutospacing="on" w:line="360" w:lineRule="auto"/>
        <w:ind w:firstLine="709"/>
        <w:contextualSpacing w:val="1"/>
        <w:jc w:val="both"/>
        <w:rPr>
          <w:color w:val="000000"/>
          <w:highlight w:val="white"/>
        </w:rPr>
      </w:pPr>
      <w:r>
        <w:rPr>
          <w:color w:val="000000"/>
          <w:highlight w:val="white"/>
        </w:rPr>
        <w:t>    Генеральный директор (единоличный исполнительный орган).</w:t>
      </w:r>
    </w:p>
    <w:p w14:paraId="33010000">
      <w:pPr>
        <w:widowControl w:val="1"/>
        <w:spacing w:afterAutospacing="on" w:beforeAutospacing="on" w:line="360" w:lineRule="auto"/>
        <w:ind w:firstLine="709"/>
        <w:contextualSpacing w:val="1"/>
        <w:jc w:val="both"/>
        <w:rPr>
          <w:color w:val="000000"/>
          <w:highlight w:val="white"/>
        </w:rPr>
      </w:pPr>
      <w:r>
        <w:rPr>
          <w:color w:val="000000"/>
          <w:highlight w:val="white"/>
        </w:rPr>
        <w:t> Органом контроля за финансово-хозяйственной деятельностью Общества является Ревизионная комиссия Общества. При Совете директоров создан комитет по стратегическому планированию.</w:t>
      </w:r>
    </w:p>
    <w:p w14:paraId="34010000">
      <w:pPr>
        <w:widowControl w:val="1"/>
        <w:spacing w:afterAutospacing="on" w:beforeAutospacing="on" w:line="360" w:lineRule="auto"/>
        <w:ind w:firstLine="709"/>
        <w:contextualSpacing w:val="1"/>
        <w:jc w:val="both"/>
        <w:rPr>
          <w:color w:val="000000"/>
          <w:highlight w:val="white"/>
        </w:rPr>
      </w:pPr>
      <w:r>
        <w:rPr>
          <w:color w:val="000000"/>
          <w:highlight w:val="white"/>
        </w:rPr>
        <w:t>Совет директоров подотчетен его акционерам. Совет директоров осуществляет стратегическое управление деятельностью общества и эффективный контроль за деятельностью исполнительного органа.</w:t>
      </w:r>
    </w:p>
    <w:p w14:paraId="35010000">
      <w:pPr>
        <w:widowControl w:val="1"/>
        <w:spacing w:afterAutospacing="on" w:beforeAutospacing="on" w:line="360" w:lineRule="auto"/>
        <w:ind w:firstLine="709"/>
        <w:contextualSpacing w:val="1"/>
        <w:jc w:val="both"/>
        <w:rPr>
          <w:color w:val="000000"/>
          <w:highlight w:val="white"/>
        </w:rPr>
      </w:pPr>
      <w:r>
        <w:rPr>
          <w:color w:val="000000"/>
          <w:highlight w:val="white"/>
        </w:rPr>
        <w:t>Генеральный директор подотчетен Совету директоров и акционерам, осуществляет эффективное руководство текущей деятельностью Общества.</w:t>
      </w:r>
    </w:p>
    <w:p w14:paraId="36010000">
      <w:pPr>
        <w:widowControl w:val="1"/>
        <w:spacing w:afterAutospacing="on" w:beforeAutospacing="on" w:line="360" w:lineRule="auto"/>
        <w:ind w:firstLine="709"/>
        <w:contextualSpacing w:val="1"/>
        <w:jc w:val="both"/>
        <w:rPr>
          <w:color w:val="000000"/>
          <w:highlight w:val="white"/>
        </w:rPr>
      </w:pPr>
      <w:r>
        <w:rPr>
          <w:color w:val="000000"/>
          <w:highlight w:val="white"/>
        </w:rPr>
        <w:t>АО «Краспригород» действует в соответствии с законодательством Российской Федерации.</w:t>
      </w:r>
    </w:p>
    <w:p w14:paraId="37010000">
      <w:pPr>
        <w:widowControl w:val="1"/>
        <w:spacing w:afterAutospacing="on" w:beforeAutospacing="on" w:line="360" w:lineRule="auto"/>
        <w:ind w:firstLine="709"/>
        <w:contextualSpacing w:val="1"/>
        <w:jc w:val="both"/>
        <w:rPr>
          <w:color w:val="000000"/>
          <w:highlight w:val="white"/>
        </w:rPr>
      </w:pPr>
      <w:r>
        <w:rPr>
          <w:color w:val="000000"/>
          <w:highlight w:val="white"/>
        </w:rPr>
        <w:t xml:space="preserve">АО «Краспригород»  обеспечивает соблюдение высоких этических норм на всех направлениях деятельности посредством строгого соблюдения законов, которые регулируют бизнес-деятельность и партнерские отношения в любой сфере деловых интересов. </w:t>
      </w:r>
    </w:p>
    <w:p w14:paraId="38010000">
      <w:pPr>
        <w:widowControl w:val="1"/>
        <w:spacing w:afterAutospacing="on" w:beforeAutospacing="on" w:line="360" w:lineRule="auto"/>
        <w:ind w:firstLine="709"/>
        <w:contextualSpacing w:val="1"/>
        <w:jc w:val="both"/>
        <w:rPr>
          <w:color w:val="000000"/>
          <w:highlight w:val="white"/>
        </w:rPr>
      </w:pPr>
      <w:r>
        <w:rPr>
          <w:color w:val="000000"/>
          <w:highlight w:val="white"/>
        </w:rPr>
        <w:t xml:space="preserve">АО </w:t>
      </w:r>
      <w:r>
        <w:rPr>
          <w:color w:val="000000"/>
          <w:highlight w:val="white"/>
        </w:rPr>
        <w:t>«Краспригород» в корпоративных отношениях следует стандартам добросовестной деловой практики в сфере корпоративного поведения, как в вопросах соблюдения обязательных законодательных норм, так и этических норм взаимоотношений с клиентами и партнерами.</w:t>
      </w:r>
    </w:p>
    <w:p w14:paraId="39010000">
      <w:pPr>
        <w:widowControl w:val="1"/>
        <w:spacing w:line="360" w:lineRule="auto"/>
        <w:ind w:firstLine="709"/>
        <w:contextualSpacing w:val="1"/>
        <w:jc w:val="center"/>
        <w:rPr>
          <w:b w:val="1"/>
        </w:rPr>
      </w:pPr>
      <w:r>
        <w:rPr>
          <w:b w:val="1"/>
        </w:rPr>
        <w:t>Основные принципы корпоративного управления в Обществе:</w:t>
      </w:r>
    </w:p>
    <w:p w14:paraId="3A010000">
      <w:pPr>
        <w:widowControl w:val="1"/>
        <w:numPr>
          <w:ilvl w:val="0"/>
          <w:numId w:val="4"/>
        </w:numPr>
        <w:tabs>
          <w:tab w:leader="none" w:pos="930" w:val="clear"/>
          <w:tab w:leader="none" w:pos="1134" w:val="left"/>
        </w:tabs>
        <w:spacing w:afterAutospacing="on" w:beforeAutospacing="on" w:line="360" w:lineRule="auto"/>
        <w:ind w:firstLine="709" w:left="0"/>
        <w:contextualSpacing w:val="1"/>
        <w:jc w:val="both"/>
        <w:rPr>
          <w:color w:val="000000"/>
          <w:highlight w:val="white"/>
        </w:rPr>
      </w:pPr>
      <w:r>
        <w:rPr>
          <w:color w:val="000000"/>
          <w:highlight w:val="white"/>
        </w:rPr>
        <w:t>Ведение реестра владельцев именных ценных бумаг АО «Краспригород», а также функции счетной комиссии при проведении Общих собраний акционеров Общества,  осуществляет независимый и профессиональный регистратор АО «ВТБ-регистратор»;</w:t>
      </w:r>
    </w:p>
    <w:p w14:paraId="3B010000">
      <w:pPr>
        <w:widowControl w:val="1"/>
        <w:numPr>
          <w:ilvl w:val="0"/>
          <w:numId w:val="4"/>
        </w:numPr>
        <w:tabs>
          <w:tab w:leader="none" w:pos="930" w:val="clear"/>
          <w:tab w:leader="none" w:pos="1134" w:val="left"/>
        </w:tabs>
        <w:spacing w:afterAutospacing="on" w:beforeAutospacing="on" w:line="360" w:lineRule="auto"/>
        <w:ind w:firstLine="709" w:left="0"/>
        <w:contextualSpacing w:val="1"/>
        <w:jc w:val="both"/>
        <w:rPr>
          <w:color w:val="000000"/>
          <w:highlight w:val="white"/>
        </w:rPr>
      </w:pPr>
      <w:r>
        <w:rPr>
          <w:color w:val="000000"/>
          <w:highlight w:val="white"/>
        </w:rPr>
        <w:t>акционерам предоставлено право активного участия в управлении Обществом путем принятия решений по наиболее важным вопросам деятельности Общества;</w:t>
      </w:r>
    </w:p>
    <w:p w14:paraId="3C010000">
      <w:pPr>
        <w:widowControl w:val="1"/>
        <w:numPr>
          <w:ilvl w:val="0"/>
          <w:numId w:val="4"/>
        </w:numPr>
        <w:tabs>
          <w:tab w:leader="none" w:pos="930" w:val="clear"/>
          <w:tab w:leader="none" w:pos="1134" w:val="left"/>
        </w:tabs>
        <w:spacing w:afterAutospacing="on" w:beforeAutospacing="on" w:line="360" w:lineRule="auto"/>
        <w:ind w:firstLine="709" w:left="0"/>
        <w:contextualSpacing w:val="1"/>
        <w:jc w:val="both"/>
        <w:rPr>
          <w:color w:val="000000"/>
          <w:highlight w:val="white"/>
        </w:rPr>
      </w:pPr>
      <w:r>
        <w:rPr>
          <w:color w:val="000000"/>
          <w:highlight w:val="white"/>
        </w:rPr>
        <w:t>акционеры  принимают решение о распределении прибыли Общества;</w:t>
      </w:r>
    </w:p>
    <w:p w14:paraId="3D010000">
      <w:pPr>
        <w:widowControl w:val="1"/>
        <w:numPr>
          <w:ilvl w:val="0"/>
          <w:numId w:val="4"/>
        </w:numPr>
        <w:tabs>
          <w:tab w:leader="none" w:pos="930" w:val="clear"/>
          <w:tab w:leader="none" w:pos="1134" w:val="left"/>
        </w:tabs>
        <w:spacing w:afterAutospacing="on" w:beforeAutospacing="on" w:line="360" w:lineRule="auto"/>
        <w:ind w:firstLine="709" w:left="0"/>
        <w:contextualSpacing w:val="1"/>
        <w:jc w:val="both"/>
        <w:rPr>
          <w:color w:val="000000"/>
          <w:highlight w:val="white"/>
        </w:rPr>
      </w:pPr>
      <w:r>
        <w:rPr>
          <w:color w:val="000000"/>
          <w:highlight w:val="white"/>
        </w:rPr>
        <w:t>акционеры регулярно и своевременно получают информацию об изменениях, происходящих в Обществе;</w:t>
      </w:r>
    </w:p>
    <w:p w14:paraId="3E010000">
      <w:pPr>
        <w:widowControl w:val="1"/>
        <w:numPr>
          <w:ilvl w:val="0"/>
          <w:numId w:val="4"/>
        </w:numPr>
        <w:tabs>
          <w:tab w:leader="none" w:pos="930" w:val="clear"/>
          <w:tab w:leader="none" w:pos="1134" w:val="left"/>
        </w:tabs>
        <w:spacing w:afterAutospacing="on" w:beforeAutospacing="on" w:line="360" w:lineRule="auto"/>
        <w:ind w:firstLine="709" w:left="0"/>
        <w:contextualSpacing w:val="1"/>
        <w:jc w:val="both"/>
        <w:rPr>
          <w:color w:val="000000"/>
          <w:highlight w:val="white"/>
        </w:rPr>
      </w:pPr>
      <w:r>
        <w:rPr>
          <w:color w:val="000000"/>
          <w:highlight w:val="white"/>
        </w:rPr>
        <w:t>органы управления АО «Краспригород» подотчетны акционерам. Генеральный директор избирается Советом директоров, которому он и подотчетен;</w:t>
      </w:r>
    </w:p>
    <w:p w14:paraId="3F010000">
      <w:pPr>
        <w:widowControl w:val="1"/>
        <w:numPr>
          <w:ilvl w:val="0"/>
          <w:numId w:val="4"/>
        </w:numPr>
        <w:tabs>
          <w:tab w:leader="none" w:pos="930" w:val="clear"/>
          <w:tab w:leader="none" w:pos="1134" w:val="left"/>
        </w:tabs>
        <w:spacing w:afterAutospacing="on" w:beforeAutospacing="on" w:line="360" w:lineRule="auto"/>
        <w:ind w:firstLine="709" w:left="0"/>
        <w:contextualSpacing w:val="1"/>
        <w:jc w:val="both"/>
        <w:rPr>
          <w:color w:val="000000"/>
          <w:highlight w:val="white"/>
        </w:rPr>
      </w:pPr>
      <w:r>
        <w:rPr>
          <w:color w:val="000000"/>
          <w:highlight w:val="white"/>
        </w:rPr>
        <w:t>генеральный директор регулярно отчитывается перед Советом директоров о результатах деятельности Общества;        </w:t>
      </w:r>
    </w:p>
    <w:p w14:paraId="40010000">
      <w:pPr>
        <w:widowControl w:val="1"/>
        <w:numPr>
          <w:ilvl w:val="0"/>
          <w:numId w:val="4"/>
        </w:numPr>
        <w:tabs>
          <w:tab w:leader="none" w:pos="930" w:val="clear"/>
          <w:tab w:leader="none" w:pos="1134" w:val="left"/>
        </w:tabs>
        <w:spacing w:afterAutospacing="on" w:beforeAutospacing="on" w:line="360" w:lineRule="auto"/>
        <w:ind w:firstLine="709" w:left="0"/>
        <w:contextualSpacing w:val="1"/>
        <w:jc w:val="both"/>
        <w:rPr>
          <w:color w:val="000000"/>
          <w:highlight w:val="white"/>
        </w:rPr>
      </w:pPr>
      <w:r>
        <w:rPr>
          <w:color w:val="000000"/>
          <w:highlight w:val="white"/>
        </w:rPr>
        <w:t>исполнительный орган действует в интересах Общества и в соответствии с его бюджетом;</w:t>
      </w:r>
    </w:p>
    <w:p w14:paraId="41010000">
      <w:pPr>
        <w:widowControl w:val="1"/>
        <w:numPr>
          <w:ilvl w:val="0"/>
          <w:numId w:val="4"/>
        </w:numPr>
        <w:tabs>
          <w:tab w:leader="none" w:pos="930" w:val="clear"/>
          <w:tab w:leader="none" w:pos="1134" w:val="left"/>
        </w:tabs>
        <w:spacing w:afterAutospacing="on" w:beforeAutospacing="on" w:line="360" w:lineRule="auto"/>
        <w:ind w:firstLine="709" w:left="0"/>
        <w:contextualSpacing w:val="1"/>
        <w:jc w:val="both"/>
        <w:rPr>
          <w:color w:val="000000"/>
          <w:highlight w:val="white"/>
        </w:rPr>
      </w:pPr>
      <w:r>
        <w:rPr>
          <w:color w:val="000000"/>
          <w:highlight w:val="white"/>
        </w:rPr>
        <w:t>органы управления Общества содействуют заинтересованности работников общества в эффективной работе Общества;</w:t>
      </w:r>
    </w:p>
    <w:p w14:paraId="42010000">
      <w:pPr>
        <w:widowControl w:val="1"/>
        <w:numPr>
          <w:ilvl w:val="0"/>
          <w:numId w:val="4"/>
        </w:numPr>
        <w:tabs>
          <w:tab w:leader="none" w:pos="930" w:val="clear"/>
          <w:tab w:leader="none" w:pos="1134" w:val="left"/>
        </w:tabs>
        <w:spacing w:afterAutospacing="on" w:beforeAutospacing="on" w:line="360" w:lineRule="auto"/>
        <w:ind w:firstLine="709" w:left="0"/>
        <w:contextualSpacing w:val="1"/>
        <w:jc w:val="both"/>
        <w:rPr>
          <w:color w:val="000000"/>
          <w:highlight w:val="white"/>
        </w:rPr>
      </w:pPr>
      <w:r>
        <w:rPr>
          <w:color w:val="000000"/>
          <w:highlight w:val="white"/>
        </w:rPr>
        <w:t>Общество ведет постоянный информационный обмен с регулирующими органами (ФАС России, ЦБ РФ и т.д.);</w:t>
      </w:r>
    </w:p>
    <w:p w14:paraId="43010000">
      <w:pPr>
        <w:widowControl w:val="1"/>
        <w:spacing w:line="360" w:lineRule="auto"/>
        <w:ind w:firstLine="709"/>
        <w:contextualSpacing w:val="1"/>
        <w:jc w:val="both"/>
      </w:pPr>
      <w:r>
        <w:rPr>
          <w:color w:val="000000"/>
          <w:highlight w:val="white"/>
        </w:rPr>
        <w:t xml:space="preserve">В соответствие с ч. 1 статьи 5 Федерального закона от 30 декабря 2008 года № 307-ФЗ «Об аудиторской деятельности» все открытые акционерные общества подпадают под ежегодный аудит годовой бухгалтерской (финансовой) отчетности. В соответствии с п.п. 4 ст.  5 </w:t>
      </w:r>
      <w:r>
        <w:rPr>
          <w:color w:val="000000"/>
          <w:highlight w:val="white"/>
        </w:rPr>
        <w:fldChar w:fldCharType="begin"/>
      </w:r>
      <w:r>
        <w:rPr>
          <w:color w:val="000000"/>
          <w:highlight w:val="white"/>
        </w:rPr>
        <w:instrText>HYPERLINK "garantF1://12064283.0"</w:instrText>
      </w:r>
      <w:r>
        <w:rPr>
          <w:color w:val="000000"/>
          <w:highlight w:val="white"/>
        </w:rPr>
        <w:fldChar w:fldCharType="separate"/>
      </w:r>
      <w:r>
        <w:rPr>
          <w:color w:val="000000"/>
          <w:highlight w:val="white"/>
        </w:rPr>
        <w:t xml:space="preserve">Федерального закона от 30 декабря 2008 г. N 307-ФЗ "Об аудиторской деятельности" </w:t>
      </w:r>
      <w:r>
        <w:rPr>
          <w:color w:val="000000"/>
          <w:highlight w:val="white"/>
        </w:rPr>
        <w:fldChar w:fldCharType="end"/>
      </w:r>
      <w:r>
        <w:rPr>
          <w:color w:val="000000"/>
          <w:highlight w:val="white"/>
        </w:rPr>
        <w:t>договор на проведение обязательного аудита бухгалтерской (финансовой) отчетности организации, в уставном (складочном) капитале которой доля государственной собственности составляет не менее 25 процентов, а также на проведение аудита бухгалтерской (финансовой) отчетности государственной корпорации, государственной компании, государственного унитарного предприятия или муниципального унитарного предприятия</w:t>
      </w:r>
      <w:r>
        <w:rPr>
          <w:color w:val="000000"/>
          <w:highlight w:val="white"/>
        </w:rPr>
        <w:t>,</w:t>
      </w:r>
      <w:r>
        <w:rPr>
          <w:color w:val="000000"/>
          <w:highlight w:val="white"/>
        </w:rPr>
        <w:t xml:space="preserve"> заключается с аудиторской организацией или индивидуальным аудитором, определенными путем проведения не реже</w:t>
      </w:r>
      <w:r>
        <w:rPr>
          <w:color w:val="000000"/>
          <w:highlight w:val="white"/>
        </w:rPr>
        <w:t>,</w:t>
      </w:r>
      <w:r>
        <w:rPr>
          <w:color w:val="000000"/>
          <w:highlight w:val="white"/>
        </w:rPr>
        <w:t xml:space="preserve"> чем один раз в пять лет</w:t>
      </w:r>
      <w:r>
        <w:rPr>
          <w:color w:val="000000"/>
          <w:highlight w:val="white"/>
        </w:rPr>
        <w:t>,</w:t>
      </w:r>
      <w:r>
        <w:rPr>
          <w:color w:val="000000"/>
          <w:highlight w:val="white"/>
        </w:rPr>
        <w:t xml:space="preserve"> открытого конкурса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44010000">
      <w:pPr>
        <w:widowControl w:val="1"/>
        <w:spacing w:line="360" w:lineRule="auto"/>
        <w:ind w:firstLine="709"/>
        <w:contextualSpacing w:val="1"/>
        <w:jc w:val="both"/>
      </w:pPr>
      <w:r>
        <w:t>По результатам открытого конкурса по отбору аудитора 25 июля 2018 года заключен договор на оказание услуг по проведению обязательного ежегодного аудита бухгалтерской (финансовой) отчетности за 2018 год с Обществом с ограниченной ответственностью Аудиторская компания «Поиск».</w:t>
      </w:r>
    </w:p>
    <w:p w14:paraId="45010000">
      <w:pPr>
        <w:widowControl w:val="1"/>
        <w:numPr>
          <w:ilvl w:val="0"/>
          <w:numId w:val="5"/>
        </w:numPr>
        <w:tabs>
          <w:tab w:leader="none" w:pos="1134" w:val="left"/>
          <w:tab w:leader="none" w:pos="1639" w:val="clear"/>
        </w:tabs>
        <w:spacing w:afterAutospacing="on" w:beforeAutospacing="on" w:line="360" w:lineRule="auto"/>
        <w:ind w:firstLine="709" w:left="0"/>
        <w:contextualSpacing w:val="1"/>
        <w:jc w:val="both"/>
        <w:rPr>
          <w:color w:val="000000"/>
          <w:highlight w:val="white"/>
        </w:rPr>
      </w:pPr>
      <w:r>
        <w:rPr>
          <w:color w:val="000000"/>
          <w:highlight w:val="white"/>
        </w:rPr>
        <w:t xml:space="preserve">в целях обеспечения </w:t>
      </w:r>
      <w:r>
        <w:rPr>
          <w:color w:val="000000"/>
          <w:highlight w:val="white"/>
        </w:rPr>
        <w:t>контроля</w:t>
      </w:r>
      <w:r>
        <w:rPr>
          <w:color w:val="000000"/>
          <w:highlight w:val="white"/>
        </w:rPr>
        <w:t xml:space="preserve"> использования денежных средств советом директоров АО «Краспригород» </w:t>
      </w:r>
      <w:r>
        <w:rPr>
          <w:color w:val="000000"/>
          <w:highlight w:val="white"/>
        </w:rPr>
        <w:t>протокол</w:t>
      </w:r>
      <w:r>
        <w:rPr>
          <w:color w:val="000000"/>
          <w:highlight w:val="white"/>
        </w:rPr>
        <w:t>ом</w:t>
      </w:r>
      <w:r>
        <w:rPr>
          <w:color w:val="000000"/>
          <w:highlight w:val="white"/>
        </w:rPr>
        <w:t xml:space="preserve"> № 5 от 22.10.2018г. утверждено "Положение о казначейском контроле АО "Краспригород", разработанное в соответствии с распоряжением ОАО "РЖД" от 29.08.2018г. № 1919/р.</w:t>
      </w:r>
      <w:r>
        <w:rPr>
          <w:color w:val="000000"/>
          <w:highlight w:val="white"/>
        </w:rPr>
        <w:t xml:space="preserve"> Заключен</w:t>
      </w:r>
      <w:r>
        <w:rPr>
          <w:color w:val="000000"/>
          <w:highlight w:val="white"/>
        </w:rPr>
        <w:t xml:space="preserve"> с ОАО «РЖД» (Департамент «Казначейство») договор №3 от 26.01.2016г.</w:t>
      </w:r>
      <w:r>
        <w:rPr>
          <w:color w:val="000000"/>
          <w:highlight w:val="white"/>
        </w:rPr>
        <w:t xml:space="preserve"> и</w:t>
      </w:r>
      <w:r>
        <w:rPr>
          <w:color w:val="000000"/>
          <w:highlight w:val="white"/>
        </w:rPr>
        <w:t xml:space="preserve"> дополнительное соглашение №1 </w:t>
      </w:r>
      <w:r>
        <w:rPr>
          <w:color w:val="000000"/>
          <w:highlight w:val="white"/>
        </w:rPr>
        <w:t>от 04.12.2017г.</w:t>
      </w:r>
      <w:r>
        <w:rPr>
          <w:color w:val="000000"/>
          <w:highlight w:val="white"/>
        </w:rPr>
        <w:t xml:space="preserve"> о казначейском контроле (расторгнут</w:t>
      </w:r>
      <w:r>
        <w:rPr>
          <w:color w:val="000000"/>
          <w:highlight w:val="white"/>
        </w:rPr>
        <w:t xml:space="preserve"> с 01.01.2019 г. </w:t>
      </w:r>
      <w:r>
        <w:rPr>
          <w:color w:val="000000"/>
          <w:highlight w:val="white"/>
        </w:rPr>
        <w:t xml:space="preserve"> соглашением № 2 от 29.11.2018г.). Заключен с ОАО "РЖД" (Управление "Казначейство") </w:t>
      </w:r>
      <w:r>
        <w:rPr>
          <w:color w:val="000000"/>
          <w:highlight w:val="white"/>
        </w:rPr>
        <w:t xml:space="preserve">с 01.01.2019 г. </w:t>
      </w:r>
      <w:r>
        <w:rPr>
          <w:color w:val="000000"/>
          <w:highlight w:val="white"/>
        </w:rPr>
        <w:t>договор № 3164767 от 29.11.2018г. о казначейском контроле.</w:t>
      </w:r>
    </w:p>
    <w:p w14:paraId="46010000">
      <w:pPr>
        <w:widowControl w:val="1"/>
        <w:numPr>
          <w:ilvl w:val="0"/>
          <w:numId w:val="5"/>
        </w:numPr>
        <w:tabs>
          <w:tab w:leader="none" w:pos="1134" w:val="left"/>
          <w:tab w:leader="none" w:pos="1639" w:val="clear"/>
        </w:tabs>
        <w:spacing w:afterAutospacing="on" w:beforeAutospacing="on" w:line="360" w:lineRule="auto"/>
        <w:ind w:firstLine="709" w:left="0"/>
        <w:contextualSpacing w:val="1"/>
        <w:jc w:val="both"/>
        <w:rPr>
          <w:color w:val="000000"/>
          <w:highlight w:val="white"/>
        </w:rPr>
      </w:pPr>
      <w:r>
        <w:rPr>
          <w:color w:val="000000"/>
          <w:highlight w:val="white"/>
        </w:rPr>
        <w:t xml:space="preserve">раскрытие информации о деятельности Общества заключается в представлении для заинтересованных лиц достоверных сведений по корпоративному управлению и отчетности Общества через сайт Общества в сети интернет </w:t>
      </w:r>
      <w:r>
        <w:rPr>
          <w:color w:val="000000"/>
          <w:highlight w:val="white"/>
        </w:rPr>
        <w:t>(</w:t>
      </w:r>
      <w:r>
        <w:rPr>
          <w:rStyle w:val="Style_14_ch"/>
          <w:color w:val="000000"/>
        </w:rPr>
        <w:fldChar w:fldCharType="begin"/>
      </w:r>
      <w:r>
        <w:rPr>
          <w:rStyle w:val="Style_14_ch"/>
          <w:color w:val="000000"/>
        </w:rPr>
        <w:instrText>HYPERLINK "https://r.mail.yandex.net/url/akn2vxDjahLYaTRvhBp3DA,1371458993/www.e-disclosure.ru%2F"</w:instrText>
      </w:r>
      <w:r>
        <w:rPr>
          <w:rStyle w:val="Style_14_ch"/>
          <w:color w:val="000000"/>
        </w:rPr>
        <w:fldChar w:fldCharType="separate"/>
      </w:r>
      <w:r>
        <w:rPr>
          <w:rStyle w:val="Style_14_ch"/>
          <w:color w:val="000000"/>
        </w:rPr>
        <w:t>www.e-disclosure.ru</w:t>
      </w:r>
      <w:r>
        <w:rPr>
          <w:rStyle w:val="Style_14_ch"/>
          <w:color w:val="000000"/>
        </w:rPr>
        <w:fldChar w:fldCharType="end"/>
      </w:r>
      <w:r>
        <w:rPr>
          <w:b w:val="1"/>
        </w:rPr>
        <w:t>,</w:t>
      </w:r>
      <w:r>
        <w:rPr>
          <w:b w:val="1"/>
        </w:rPr>
        <w:t xml:space="preserve"> </w:t>
      </w:r>
      <w:r>
        <w:rPr>
          <w:color w:val="000000"/>
          <w:highlight w:val="white"/>
          <w:u w:val="single"/>
        </w:rPr>
        <w:fldChar w:fldCharType="begin"/>
      </w:r>
      <w:r>
        <w:rPr>
          <w:color w:val="000000"/>
          <w:highlight w:val="white"/>
          <w:u w:val="single"/>
        </w:rPr>
        <w:instrText>HYPERLINK "https://mail.yandex.ru/re.jsx?h=a,jKdFngN7Gn8Qo5b2YCQr7A&amp;l=aHR0cDovL3d3dy5rcmFzcGcucnUv"</w:instrText>
      </w:r>
      <w:r>
        <w:rPr>
          <w:color w:val="000000"/>
          <w:highlight w:val="white"/>
          <w:u w:val="single"/>
        </w:rPr>
        <w:fldChar w:fldCharType="separate"/>
      </w:r>
      <w:r>
        <w:rPr>
          <w:color w:val="000000"/>
          <w:highlight w:val="white"/>
          <w:u w:val="single"/>
        </w:rPr>
        <w:t>www</w:t>
      </w:r>
      <w:r>
        <w:rPr>
          <w:color w:val="000000"/>
          <w:highlight w:val="white"/>
          <w:u w:val="single"/>
        </w:rPr>
        <w:t>.</w:t>
      </w:r>
      <w:r>
        <w:rPr>
          <w:color w:val="000000"/>
          <w:highlight w:val="white"/>
          <w:u w:val="single"/>
        </w:rPr>
        <w:t>kraspg</w:t>
      </w:r>
      <w:r>
        <w:rPr>
          <w:color w:val="000000"/>
          <w:highlight w:val="white"/>
          <w:u w:val="single"/>
        </w:rPr>
        <w:t>.</w:t>
      </w:r>
      <w:r>
        <w:rPr>
          <w:color w:val="000000"/>
          <w:highlight w:val="white"/>
          <w:u w:val="single"/>
        </w:rPr>
        <w:t>ru</w:t>
      </w:r>
      <w:r>
        <w:rPr>
          <w:color w:val="000000"/>
          <w:highlight w:val="white"/>
          <w:u w:val="single"/>
        </w:rPr>
        <w:fldChar w:fldCharType="end"/>
      </w:r>
      <w:r>
        <w:rPr>
          <w:color w:val="000000"/>
          <w:highlight w:val="white"/>
        </w:rPr>
        <w:t>), а также с использованием печатных средств массовой информации.</w:t>
      </w:r>
    </w:p>
    <w:p w14:paraId="47010000">
      <w:pPr>
        <w:widowControl w:val="1"/>
        <w:spacing w:afterAutospacing="on" w:beforeAutospacing="on" w:line="360" w:lineRule="auto"/>
        <w:ind w:left="709"/>
        <w:contextualSpacing w:val="1"/>
        <w:jc w:val="both"/>
        <w:rPr>
          <w:color w:val="000000"/>
          <w:highlight w:val="white"/>
        </w:rPr>
      </w:pPr>
      <w:r>
        <w:rPr>
          <w:color w:val="000000"/>
          <w:highlight w:val="white"/>
        </w:rPr>
        <w:t>В 201</w:t>
      </w:r>
      <w:r>
        <w:rPr>
          <w:color w:val="000000"/>
          <w:highlight w:val="white"/>
        </w:rPr>
        <w:t>9</w:t>
      </w:r>
      <w:r>
        <w:rPr>
          <w:color w:val="000000"/>
          <w:highlight w:val="white"/>
        </w:rPr>
        <w:t xml:space="preserve"> г. АО «Краспригород» планирует:</w:t>
      </w:r>
    </w:p>
    <w:p w14:paraId="48010000">
      <w:pPr>
        <w:widowControl w:val="1"/>
        <w:numPr>
          <w:ilvl w:val="0"/>
          <w:numId w:val="6"/>
        </w:numPr>
        <w:tabs>
          <w:tab w:leader="none" w:pos="1134" w:val="left"/>
          <w:tab w:leader="none" w:pos="1639" w:val="clear"/>
        </w:tabs>
        <w:spacing w:afterAutospacing="on" w:beforeAutospacing="on" w:line="360" w:lineRule="auto"/>
        <w:ind w:firstLine="709" w:left="0"/>
        <w:contextualSpacing w:val="1"/>
        <w:jc w:val="both"/>
        <w:rPr>
          <w:color w:val="000000"/>
          <w:highlight w:val="white"/>
        </w:rPr>
      </w:pPr>
      <w:r>
        <w:rPr>
          <w:color w:val="000000"/>
          <w:highlight w:val="white"/>
        </w:rPr>
        <w:t>продолжить работу по соблюдению принципов корпоративного поведения с учетом передовой практики корпоративного управления, основанной на принципах прозрачности, доступности, эффективности, своевременности, полноты и достоверности представляемой информации;</w:t>
      </w:r>
    </w:p>
    <w:p w14:paraId="49010000">
      <w:pPr>
        <w:widowControl w:val="1"/>
        <w:numPr>
          <w:ilvl w:val="0"/>
          <w:numId w:val="6"/>
        </w:numPr>
        <w:tabs>
          <w:tab w:leader="none" w:pos="1134" w:val="left"/>
          <w:tab w:leader="none" w:pos="1639" w:val="clear"/>
        </w:tabs>
        <w:spacing w:afterAutospacing="on" w:beforeAutospacing="on" w:line="360" w:lineRule="auto"/>
        <w:ind w:firstLine="709" w:left="0"/>
        <w:contextualSpacing w:val="1"/>
        <w:jc w:val="both"/>
        <w:rPr>
          <w:color w:val="000000"/>
          <w:highlight w:val="white"/>
        </w:rPr>
      </w:pPr>
      <w:r>
        <w:rPr>
          <w:color w:val="000000"/>
          <w:highlight w:val="white"/>
        </w:rPr>
        <w:t>совершенствовать базу внутренних нормативных документов и систему подготовки отчетности;</w:t>
      </w:r>
    </w:p>
    <w:p w14:paraId="4A010000">
      <w:pPr>
        <w:widowControl w:val="1"/>
        <w:numPr>
          <w:ilvl w:val="0"/>
          <w:numId w:val="6"/>
        </w:numPr>
        <w:tabs>
          <w:tab w:leader="none" w:pos="1134" w:val="left"/>
          <w:tab w:leader="none" w:pos="1639" w:val="clear"/>
        </w:tabs>
        <w:spacing w:afterAutospacing="on" w:beforeAutospacing="on" w:line="360" w:lineRule="auto"/>
        <w:ind w:firstLine="709" w:left="0"/>
        <w:contextualSpacing w:val="1"/>
        <w:jc w:val="both"/>
        <w:rPr>
          <w:color w:val="000000"/>
          <w:highlight w:val="white"/>
        </w:rPr>
      </w:pPr>
      <w:r>
        <w:rPr>
          <w:color w:val="000000"/>
          <w:highlight w:val="white"/>
        </w:rPr>
        <w:t>организовать работу по применению фирменного стиля ОАО «РЖД» в деятельности Общества.</w:t>
      </w:r>
    </w:p>
    <w:p w14:paraId="4B010000">
      <w:pPr>
        <w:widowControl w:val="1"/>
        <w:spacing w:afterAutospacing="on" w:beforeAutospacing="on" w:line="360" w:lineRule="auto"/>
        <w:ind w:firstLine="709"/>
        <w:contextualSpacing w:val="1"/>
        <w:jc w:val="both"/>
        <w:rPr>
          <w:color w:val="000000"/>
          <w:highlight w:val="white"/>
        </w:rPr>
      </w:pPr>
      <w:r>
        <w:rPr>
          <w:color w:val="000000"/>
          <w:highlight w:val="white"/>
        </w:rPr>
        <w:t>В настоящее время в АО «Краспригород» действует Положение о выплате членам Совета директоров Общества вознаграждений и компенсаций, утвержденное Внеочередным общим собранием акционеров АО «Краспригород» №3 от 27.09.2016</w:t>
      </w:r>
      <w:r>
        <w:rPr>
          <w:color w:val="000000"/>
          <w:highlight w:val="white"/>
        </w:rPr>
        <w:t xml:space="preserve"> </w:t>
      </w:r>
      <w:r>
        <w:rPr>
          <w:color w:val="000000"/>
          <w:highlight w:val="white"/>
        </w:rPr>
        <w:t xml:space="preserve">г. </w:t>
      </w:r>
    </w:p>
    <w:p w14:paraId="4C010000">
      <w:pPr>
        <w:widowControl w:val="1"/>
        <w:spacing w:afterAutospacing="on" w:beforeAutospacing="on" w:line="360" w:lineRule="auto"/>
        <w:ind w:firstLine="709"/>
        <w:contextualSpacing w:val="1"/>
        <w:jc w:val="both"/>
        <w:rPr>
          <w:color w:val="000000"/>
          <w:highlight w:val="white"/>
        </w:rPr>
      </w:pPr>
      <w:r>
        <w:rPr>
          <w:color w:val="000000"/>
          <w:highlight w:val="white"/>
        </w:rPr>
        <w:t>Перечень совершенных Обществом в отчетном году сделок, признаваемых в соответствии с федеральным законом об Акционерных обществах сделками, в совершении которых имеется заинтересованность, представлен в Приложении 3. </w:t>
      </w:r>
    </w:p>
    <w:p w14:paraId="4D010000">
      <w:pPr>
        <w:widowControl w:val="1"/>
        <w:spacing w:line="360" w:lineRule="auto"/>
        <w:ind w:firstLine="709"/>
        <w:contextualSpacing w:val="1"/>
        <w:jc w:val="both"/>
      </w:pPr>
      <w:r>
        <w:t>В 201</w:t>
      </w:r>
      <w:r>
        <w:t>8</w:t>
      </w:r>
      <w:r>
        <w:t xml:space="preserve"> году сделки, признаваемые в соответствии с </w:t>
      </w:r>
      <w:r>
        <w:fldChar w:fldCharType="begin"/>
      </w:r>
      <w:r>
        <w:instrText>HYPERLINK "garantF1://10005712.72000"</w:instrText>
      </w:r>
      <w:r>
        <w:fldChar w:fldCharType="separate"/>
      </w:r>
      <w:r>
        <w:t>Федеральным законом</w:t>
      </w:r>
      <w:r>
        <w:fldChar w:fldCharType="end"/>
      </w:r>
      <w:r>
        <w:t xml:space="preserve"> № 208-ФЗ "Об акционерных обществах" крупными сделками, в АО "Краспригород" не заключались.</w:t>
      </w:r>
      <w:r>
        <w:t xml:space="preserve"> </w:t>
      </w:r>
    </w:p>
    <w:p w14:paraId="4E010000">
      <w:pPr>
        <w:widowControl w:val="1"/>
        <w:ind w:firstLine="709"/>
        <w:contextualSpacing w:val="1"/>
      </w:pPr>
    </w:p>
    <w:p w14:paraId="4F010000">
      <w:bookmarkStart w:id="14" w:name="__RefHeading___14"/>
      <w:bookmarkEnd w:id="14"/>
      <w:pPr>
        <w:pStyle w:val="Style_10"/>
        <w:widowControl w:val="1"/>
        <w:spacing w:after="0" w:before="0" w:line="360" w:lineRule="auto"/>
        <w:ind w:firstLine="709"/>
        <w:contextualSpacing w:val="1"/>
        <w:jc w:val="both"/>
        <w:rPr>
          <w:rFonts w:ascii="Times New Roman" w:hAnsi="Times New Roman"/>
          <w:b w:val="0"/>
          <w:i w:val="0"/>
          <w:sz w:val="24"/>
        </w:rPr>
      </w:pPr>
      <w:r>
        <w:rPr>
          <w:rFonts w:ascii="Times New Roman" w:hAnsi="Times New Roman"/>
          <w:i w:val="0"/>
          <w:sz w:val="24"/>
        </w:rPr>
        <w:t xml:space="preserve">3.2. </w:t>
      </w:r>
      <w:r>
        <w:rPr>
          <w:rFonts w:ascii="Times New Roman" w:hAnsi="Times New Roman"/>
          <w:i w:val="0"/>
          <w:sz w:val="24"/>
        </w:rPr>
        <w:t>Информация о членах органов управления и контроля Общества</w:t>
      </w:r>
      <w:r>
        <w:rPr>
          <w:rFonts w:ascii="Times New Roman" w:hAnsi="Times New Roman"/>
          <w:b w:val="0"/>
          <w:i w:val="0"/>
          <w:sz w:val="24"/>
        </w:rPr>
        <w:t>.</w:t>
      </w:r>
    </w:p>
    <w:p w14:paraId="50010000">
      <w:pPr>
        <w:pStyle w:val="Style_18"/>
        <w:widowControl w:val="1"/>
        <w:spacing w:line="360" w:lineRule="auto"/>
        <w:ind w:firstLine="709" w:right="0"/>
        <w:contextualSpacing w:val="1"/>
        <w:jc w:val="both"/>
        <w:rPr>
          <w:sz w:val="24"/>
        </w:rPr>
      </w:pPr>
      <w:bookmarkStart w:id="15" w:name="bazhenov"/>
      <w:r>
        <w:rPr>
          <w:sz w:val="24"/>
        </w:rPr>
        <w:t xml:space="preserve">3.2.1. </w:t>
      </w:r>
      <w:r>
        <w:rPr>
          <w:sz w:val="24"/>
        </w:rPr>
        <w:t>Совет директоров.</w:t>
      </w:r>
    </w:p>
    <w:p w14:paraId="51010000">
      <w:pPr>
        <w:widowControl w:val="1"/>
        <w:tabs>
          <w:tab w:leader="none" w:pos="709" w:val="left"/>
        </w:tabs>
        <w:spacing w:line="360" w:lineRule="auto"/>
        <w:ind w:firstLine="709"/>
        <w:contextualSpacing w:val="1"/>
        <w:jc w:val="both"/>
      </w:pPr>
      <w:r>
        <w:t xml:space="preserve">Состав Совета директоров Общества, утвержденный решением годового Общего собрания акционеров Общества  </w:t>
      </w:r>
      <w:r>
        <w:t>21.06.2017</w:t>
      </w:r>
      <w:r>
        <w:t xml:space="preserve"> г., действовал до </w:t>
      </w:r>
      <w:r>
        <w:t>25</w:t>
      </w:r>
      <w:r>
        <w:t>.06.201</w:t>
      </w:r>
      <w:r>
        <w:t>8</w:t>
      </w:r>
      <w:r>
        <w:t xml:space="preserve"> года :</w:t>
      </w:r>
    </w:p>
    <w:p w14:paraId="52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pPr>
      <w:r>
        <w:rPr>
          <w:b w:val="1"/>
          <w:i w:val="1"/>
        </w:rPr>
        <w:t>Ткачев Лев Викторович</w:t>
      </w:r>
      <w:r>
        <w:t xml:space="preserve"> – заместитель начальника Красноярской железной дороги – филиала ОАО «РЖД» </w:t>
      </w:r>
      <w:r>
        <w:rPr>
          <w:color w:val="000000"/>
        </w:rPr>
        <w:t xml:space="preserve">по взаимодействию с органами власти </w:t>
      </w:r>
      <w:r>
        <w:t xml:space="preserve">– председатель Совета директоров Общества (избран Советом директоров </w:t>
      </w:r>
      <w:r>
        <w:t>14.07.2017 г.</w:t>
      </w:r>
      <w:r>
        <w:t xml:space="preserve">, протокол СД №1 от </w:t>
      </w:r>
      <w:r>
        <w:t>14.07.2017</w:t>
      </w:r>
      <w:r>
        <w:t xml:space="preserve"> г.);</w:t>
      </w:r>
    </w:p>
    <w:p w14:paraId="53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pPr>
      <w:r>
        <w:rPr>
          <w:b w:val="1"/>
          <w:i w:val="1"/>
        </w:rPr>
        <w:t xml:space="preserve">Августинович Андрей Михайлович </w:t>
      </w:r>
      <w:r>
        <w:t xml:space="preserve">– директор ГП КК «Центр транспортной логистики» – заместитель председателя Совета директоров Общества (избран Советом директоров </w:t>
      </w:r>
      <w:r>
        <w:t>14.07.2017</w:t>
      </w:r>
      <w:r>
        <w:t xml:space="preserve">., протокол СД №1 от </w:t>
      </w:r>
      <w:r>
        <w:t>14.07.2017</w:t>
      </w:r>
      <w:r>
        <w:t xml:space="preserve"> г.);</w:t>
      </w:r>
    </w:p>
    <w:p w14:paraId="54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pPr>
      <w:r>
        <w:rPr>
          <w:b w:val="1"/>
          <w:i w:val="1"/>
        </w:rPr>
        <w:t xml:space="preserve">Овсянников Петр Алексеевич </w:t>
      </w:r>
      <w:r>
        <w:t>– начальник Красноярской региональной службы развития пассажирских сообщений и предоставления доступа к  инфраструктуре –структурного подразделения ОАО «РЖД» ;</w:t>
      </w:r>
    </w:p>
    <w:p w14:paraId="55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pPr>
      <w:r>
        <w:rPr>
          <w:b w:val="1"/>
          <w:i w:val="1"/>
        </w:rPr>
        <w:t xml:space="preserve">Федотов Олег Эдуардович </w:t>
      </w:r>
      <w:r>
        <w:t xml:space="preserve"> – генеральный директор ОАО «Московско-Тверской пригородной пассажирской компании»;</w:t>
      </w:r>
    </w:p>
    <w:p w14:paraId="56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pPr>
      <w:r>
        <w:rPr>
          <w:b w:val="1"/>
          <w:i w:val="1"/>
        </w:rPr>
        <w:t>Курьякова Лариса Валерьевна</w:t>
      </w:r>
      <w:r>
        <w:t xml:space="preserve"> – Заместитель Министра Транспорта Красноярского края;</w:t>
      </w:r>
    </w:p>
    <w:p w14:paraId="57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pPr>
      <w:r>
        <w:rPr>
          <w:b w:val="1"/>
          <w:i w:val="1"/>
        </w:rPr>
        <w:t>Бельская Яна Владимировна</w:t>
      </w:r>
      <w:r>
        <w:t xml:space="preserve"> – Заместитель директора ГП КК «Центр транспортной логистики» по правовым вопросам;</w:t>
      </w:r>
    </w:p>
    <w:p w14:paraId="58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pPr>
      <w:r>
        <w:rPr>
          <w:b w:val="1"/>
          <w:i w:val="1"/>
        </w:rPr>
        <w:t>Нестерова Ольга Геннадьевна</w:t>
      </w:r>
      <w:r>
        <w:t xml:space="preserve"> – Главный бухгалтер ГП КК «Центр транспортной логистики»;</w:t>
      </w:r>
    </w:p>
    <w:p w14:paraId="59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pPr>
      <w:r>
        <w:rPr>
          <w:b w:val="1"/>
          <w:i w:val="1"/>
        </w:rPr>
        <w:t xml:space="preserve">Михайлова Ольга Александровна </w:t>
      </w:r>
      <w:r>
        <w:t xml:space="preserve"> –</w:t>
      </w:r>
      <w:r>
        <w:rPr>
          <w:color w:val="000000"/>
        </w:rPr>
        <w:t xml:space="preserve"> </w:t>
      </w:r>
      <w:r>
        <w:t>Первый заместитель начальника Красноярской железной дороги - филиала ОАО "РЖД" по экономике, финансам и корпоративной координации.</w:t>
      </w:r>
    </w:p>
    <w:p w14:paraId="5A010000">
      <w:pPr>
        <w:widowControl w:val="1"/>
        <w:tabs>
          <w:tab w:leader="none" w:pos="928" w:val="left"/>
        </w:tabs>
        <w:spacing w:line="360" w:lineRule="auto"/>
        <w:ind w:firstLine="709"/>
        <w:contextualSpacing w:val="1"/>
        <w:jc w:val="both"/>
      </w:pPr>
    </w:p>
    <w:p w14:paraId="5B010000">
      <w:pPr>
        <w:pStyle w:val="Style_15"/>
        <w:widowControl w:val="1"/>
        <w:tabs>
          <w:tab w:leader="none" w:pos="709" w:val="left"/>
        </w:tabs>
        <w:spacing w:line="360" w:lineRule="auto"/>
        <w:ind w:firstLine="709" w:left="0"/>
        <w:jc w:val="both"/>
        <w:rPr>
          <w:rFonts w:ascii="Times New Roman" w:hAnsi="Times New Roman"/>
          <w:sz w:val="24"/>
        </w:rPr>
      </w:pPr>
      <w:r>
        <w:rPr>
          <w:rFonts w:ascii="Times New Roman" w:hAnsi="Times New Roman"/>
          <w:sz w:val="24"/>
        </w:rPr>
        <w:t>Состав Совета директоров Общества, утверж</w:t>
      </w:r>
      <w:r>
        <w:rPr>
          <w:rFonts w:ascii="Times New Roman" w:hAnsi="Times New Roman"/>
          <w:sz w:val="24"/>
        </w:rPr>
        <w:t>денный решением годового Общего</w:t>
      </w:r>
      <w:r>
        <w:rPr>
          <w:rFonts w:ascii="Times New Roman" w:hAnsi="Times New Roman"/>
          <w:sz w:val="24"/>
        </w:rPr>
        <w:t xml:space="preserve"> </w:t>
      </w:r>
      <w:r>
        <w:rPr>
          <w:rFonts w:ascii="Times New Roman" w:hAnsi="Times New Roman"/>
          <w:sz w:val="24"/>
        </w:rPr>
        <w:t xml:space="preserve">собрания акционеров Общества  </w:t>
      </w:r>
      <w:r>
        <w:rPr>
          <w:rFonts w:ascii="Times New Roman" w:hAnsi="Times New Roman"/>
          <w:sz w:val="24"/>
        </w:rPr>
        <w:t>25.06.2018</w:t>
      </w:r>
      <w:r>
        <w:rPr>
          <w:rFonts w:ascii="Times New Roman" w:hAnsi="Times New Roman"/>
          <w:sz w:val="24"/>
        </w:rPr>
        <w:t xml:space="preserve"> г., в составе:</w:t>
      </w:r>
    </w:p>
    <w:p w14:paraId="5C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pPr>
      <w:r>
        <w:rPr>
          <w:b w:val="1"/>
          <w:i w:val="1"/>
        </w:rPr>
        <w:t>Ткачев Лев Викторович</w:t>
      </w:r>
      <w:r>
        <w:t xml:space="preserve"> – заместитель начальника Красноярской железной дороги – филиала ОАО «РЖД» </w:t>
      </w:r>
      <w:r>
        <w:rPr>
          <w:color w:val="000000"/>
        </w:rPr>
        <w:t xml:space="preserve">по взаимодействию с органами власти </w:t>
      </w:r>
      <w:r>
        <w:t>– председатель Совета директоров Общества (избран Советом директоров 24.07.2018 г., протокол СД №1 от 24.07.2018 г.);</w:t>
      </w:r>
    </w:p>
    <w:p w14:paraId="5D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pPr>
      <w:r>
        <w:rPr>
          <w:b w:val="1"/>
          <w:i w:val="1"/>
        </w:rPr>
        <w:t xml:space="preserve">Августинович Андрей Михайлович </w:t>
      </w:r>
      <w:r>
        <w:t>– директор ГП КК «Центр транспортной логистики» – заместитель председателя Совета директоров Общества (избран Советом директоров 24.07.2018г., протокол СД №1 от 24.07.2018 г.);</w:t>
      </w:r>
    </w:p>
    <w:p w14:paraId="5E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pPr>
      <w:r>
        <w:rPr>
          <w:b w:val="1"/>
          <w:i w:val="1"/>
        </w:rPr>
        <w:t xml:space="preserve">Овсянников Петр Алексеевич </w:t>
      </w:r>
      <w:r>
        <w:t>– начальник Красноярской региональной службы развития пассажирских сообщений и предоставления доступа к  инфраструктуре –структурного подразделения ОАО «РЖД» ;</w:t>
      </w:r>
    </w:p>
    <w:p w14:paraId="5F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pPr>
      <w:r>
        <w:rPr>
          <w:b w:val="1"/>
          <w:i w:val="1"/>
        </w:rPr>
        <w:t xml:space="preserve">Михайлова Ольга Александровна </w:t>
      </w:r>
      <w:r>
        <w:t xml:space="preserve"> –</w:t>
      </w:r>
      <w:r>
        <w:rPr>
          <w:color w:val="000000"/>
        </w:rPr>
        <w:t xml:space="preserve"> </w:t>
      </w:r>
      <w:r>
        <w:t>Первый заместитель начальника Красноярской железной дороги - филиала ОАО "РЖД" по экономике, финансам и корпоративной координации;</w:t>
      </w:r>
    </w:p>
    <w:p w14:paraId="60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rPr>
          <w:b w:val="1"/>
          <w:i w:val="1"/>
        </w:rPr>
      </w:pPr>
      <w:r>
        <w:rPr>
          <w:b w:val="1"/>
          <w:i w:val="1"/>
          <w:color w:val="000000"/>
          <w:spacing w:val="-9"/>
        </w:rPr>
        <w:t xml:space="preserve">Кривошеева Екатерина Геннадьевна </w:t>
      </w:r>
      <w:r>
        <w:rPr>
          <w:color w:val="000000"/>
          <w:spacing w:val="-9"/>
        </w:rPr>
        <w:t>- Начальник службы управления имуществом Красноярской железной дороги</w:t>
      </w:r>
      <w:r>
        <w:t xml:space="preserve"> - филиала ОАО "РЖД";</w:t>
      </w:r>
    </w:p>
    <w:p w14:paraId="61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pPr>
      <w:r>
        <w:rPr>
          <w:b w:val="1"/>
          <w:i w:val="1"/>
        </w:rPr>
        <w:t>Курьякова Лариса Валерьевна</w:t>
      </w:r>
      <w:r>
        <w:t xml:space="preserve"> – Заместитель Министра Транспорта Красноярского края;</w:t>
      </w:r>
    </w:p>
    <w:p w14:paraId="62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pPr>
      <w:r>
        <w:rPr>
          <w:b w:val="1"/>
          <w:i w:val="1"/>
        </w:rPr>
        <w:t>Бельская Яна Владимировна</w:t>
      </w:r>
      <w:r>
        <w:t xml:space="preserve"> – Заместитель директора ГП КК «Центр транспортной логистики» по правовым вопросам;</w:t>
      </w:r>
    </w:p>
    <w:p w14:paraId="63010000">
      <w:pPr>
        <w:widowControl w:val="1"/>
        <w:numPr>
          <w:ilvl w:val="0"/>
          <w:numId w:val="7"/>
        </w:numPr>
        <w:tabs>
          <w:tab w:leader="none" w:pos="0" w:val="left"/>
          <w:tab w:leader="none" w:pos="720" w:val="clear"/>
          <w:tab w:leader="none" w:pos="928" w:val="left"/>
        </w:tabs>
        <w:spacing w:line="360" w:lineRule="auto"/>
        <w:ind w:firstLine="709" w:left="0"/>
        <w:contextualSpacing w:val="1"/>
        <w:jc w:val="both"/>
      </w:pPr>
      <w:r>
        <w:rPr>
          <w:b w:val="1"/>
          <w:i w:val="1"/>
        </w:rPr>
        <w:t>Нестерова Ольга Геннадьевна</w:t>
      </w:r>
      <w:r>
        <w:t xml:space="preserve"> – Главный бухгалтер ГП КК «Центр транспортной логистики».</w:t>
      </w:r>
    </w:p>
    <w:p w14:paraId="64010000">
      <w:pPr>
        <w:widowControl w:val="1"/>
        <w:spacing w:line="360" w:lineRule="auto"/>
        <w:ind w:firstLine="709"/>
        <w:contextualSpacing w:val="1"/>
        <w:jc w:val="both"/>
        <w:rPr>
          <w:color w:val="000000"/>
        </w:rPr>
      </w:pPr>
    </w:p>
    <w:p w14:paraId="65010000">
      <w:pPr>
        <w:widowControl w:val="1"/>
        <w:spacing w:line="360" w:lineRule="auto"/>
        <w:ind w:firstLine="709"/>
        <w:contextualSpacing w:val="1"/>
        <w:jc w:val="both"/>
        <w:rPr>
          <w:color w:val="000000"/>
        </w:rPr>
      </w:pPr>
      <w:r>
        <w:rPr>
          <w:color w:val="000000"/>
        </w:rPr>
        <w:t>За отчётный период 2018 года проведено 13 заседаний Совета директоров, на которых рассмотрено 85 вопросов. По рассмотренным вопросам  83 решения выполнены в полном объеме, 2  поручения по вопросу 3.2. протокол №10 от 30.03.2018г., по вопросу 10.2. протокол № 7 от 29.12.2018г. находятся в стадии исполнения.</w:t>
      </w:r>
    </w:p>
    <w:p w14:paraId="66010000">
      <w:pPr>
        <w:widowControl w:val="1"/>
        <w:tabs>
          <w:tab w:leader="none" w:pos="0" w:val="left"/>
        </w:tabs>
        <w:spacing w:line="360" w:lineRule="auto"/>
        <w:ind w:firstLine="709"/>
        <w:contextualSpacing w:val="1"/>
        <w:jc w:val="both"/>
      </w:pPr>
      <w:r>
        <w:t>Совет директоров осуществлял работу в составе, избранном Годовым общим собранием акционеров 21.06.2017 г., действовал до 25.06.2018 года. Состоялось 6 заседаний Совета директоров, на которых рассмотрено 42 вопроса. Участие осуществлялось следующим образом: Ткачев Л.В. (председатель Совета директоров)  принял участие в 6 заседаниях, сформулировал 3 (три) поручения исполнительному органу Общества, Августинович А.М. (заместитель председателя Совета директоров) принял участие в 6 заседаниях, Курьякова Л.В. приняла участие в 4 заседаниях, Овсянников П.А. принял участие в 5 заседаниях, Кривошеева Е.Г. приняла участие в 6 заседаниях,  Михайлова О.А. приняла участие в 6 заседаниях, сформулировала 2 (два) поручения исполнительному органу Общества, Бельская Я.В. приняла участие в 6 заседаниях,</w:t>
      </w:r>
      <w:r>
        <w:t xml:space="preserve"> </w:t>
      </w:r>
      <w:r>
        <w:t>Нестерова О.Г. приняла участие в 6 (шести) заседаниях.</w:t>
      </w:r>
    </w:p>
    <w:p w14:paraId="67010000">
      <w:pPr>
        <w:widowControl w:val="1"/>
        <w:tabs>
          <w:tab w:leader="none" w:pos="0" w:val="left"/>
        </w:tabs>
        <w:spacing w:line="360" w:lineRule="auto"/>
        <w:ind w:firstLine="709"/>
        <w:contextualSpacing w:val="1"/>
        <w:jc w:val="both"/>
      </w:pPr>
      <w:r>
        <w:t>Состав Совета директоров Общества, утвержденный решением годового Общего собрания акционеров Общества  25.06.2018 г.: Состоялось 7 заседаний Совета директоров, рассмотрено 43 вопроса. Участие осуществлялось следующим образом: Ткачев Л.В. (председатель Совета директоров)  принял участие в 7 заседаниях, сформулировал 2 (два) поручения исполнительному органу Общества, Августинович А.М. (заместитель председателя Совета директоров) принял участие в 7 заседаниях, Курьякова Л.В. приняла участие в 7 заседаниях, Михайлова О.А. приняла участие в 7 заседаниях, сформулировала 1 (од</w:t>
      </w:r>
      <w:r>
        <w:t>но</w:t>
      </w:r>
      <w:r>
        <w:t>) поручение исполнительному органу Общества, Овсянников П.А. принял участие в 7 заседаниях, Бельская Я.В. приняла участие в 6 заседаниях, Кривошеева Е.Г. приняла  участие в 7 заседаниях, Нестерова О.Г. приняла участие в 6 заседаниях.</w:t>
      </w:r>
    </w:p>
    <w:p w14:paraId="68010000">
      <w:pPr>
        <w:widowControl w:val="1"/>
        <w:tabs>
          <w:tab w:leader="none" w:pos="0" w:val="left"/>
        </w:tabs>
        <w:spacing w:line="360" w:lineRule="auto"/>
        <w:ind w:firstLine="709"/>
        <w:contextualSpacing w:val="1"/>
        <w:jc w:val="both"/>
      </w:pPr>
      <w:r>
        <w:t xml:space="preserve">Комитет по стратегическому планированию Совета директоров АО «Краспригород» создан на основании решения Совета директоров Общества от 14 мая 2015г., протокол №14. </w:t>
      </w:r>
      <w:r>
        <w:tab/>
      </w:r>
      <w:r>
        <w:t>Типовое положение о Комитете по стратегическому планированию Совета директоров АО «Краспригород"  утверждено на этом же заседании Совета директоров.</w:t>
      </w:r>
    </w:p>
    <w:p w14:paraId="69010000">
      <w:pPr>
        <w:widowControl w:val="1"/>
        <w:tabs>
          <w:tab w:leader="none" w:pos="0" w:val="left"/>
        </w:tabs>
        <w:spacing w:line="360" w:lineRule="auto"/>
        <w:ind w:firstLine="709"/>
        <w:contextualSpacing w:val="1"/>
        <w:jc w:val="both"/>
      </w:pPr>
      <w:r>
        <w:t>В соответствии с п. 7.1. Положения, Комитетом проведено 5 заседаний, в повестку дня которых входили вопросы рассмотрения Отчетов генерального директора Общества о результатах деятельности Общества: о выполнении бюджета, о выполнении договоров, о кадровой политике, о кредитной политике, о социальных программах, о страховой защите, об исполнении решений совета директоров, о рассмотрении проекта Стратегии развития акционерного общества «Краспригород» на период до 2025 года.  Рекомендации Комитета, связанные с рассмотрением Отчетов, как правило, принимаются Советом директоров.</w:t>
      </w:r>
    </w:p>
    <w:p w14:paraId="6A010000">
      <w:pPr>
        <w:widowControl w:val="1"/>
        <w:spacing w:line="360" w:lineRule="auto"/>
        <w:ind w:firstLine="709"/>
        <w:contextualSpacing w:val="1"/>
        <w:jc w:val="both"/>
      </w:pPr>
      <w:r>
        <w:t>В соответствии с частью 1 статьи 5 Федерального закона от 30 декабря 2008 года № 307-ФЗ «Об аудиторской деятельности» (в редакции Федерального закона от 03 июля 2016 года № 360-ФЗ) все открытые акционерные общества подпадают под ежегодный аудит годовой бухгалтерской (финансовой) отчетности.</w:t>
      </w:r>
    </w:p>
    <w:p w14:paraId="6B010000">
      <w:pPr>
        <w:widowControl w:val="1"/>
        <w:spacing w:line="360" w:lineRule="auto"/>
        <w:ind w:firstLine="709"/>
        <w:contextualSpacing w:val="1"/>
        <w:jc w:val="both"/>
      </w:pPr>
      <w:r>
        <w:t>По результатам открытого конкурса по отбору аудитора 25 июля 2018 года заключен договор на оказание услуг по проведению обязательного ежегодного аудита бухгалтерской (финансовой) отчетности за 2018 год с Обществом с ограниченной ответственностью Аудиторская компания «Поиск».</w:t>
      </w:r>
    </w:p>
    <w:p w14:paraId="6C010000">
      <w:pPr>
        <w:pStyle w:val="Style_8"/>
        <w:widowControl w:val="1"/>
        <w:tabs>
          <w:tab w:leader="none" w:pos="0" w:val="left"/>
        </w:tabs>
        <w:spacing w:line="360" w:lineRule="auto"/>
        <w:ind w:firstLine="709"/>
        <w:contextualSpacing w:val="1"/>
        <w:jc w:val="both"/>
        <w:rPr>
          <w:rFonts w:ascii="Times New Roman" w:hAnsi="Times New Roman"/>
          <w:b w:val="0"/>
          <w:sz w:val="24"/>
        </w:rPr>
      </w:pPr>
      <w:r>
        <w:rPr>
          <w:rFonts w:ascii="Times New Roman" w:hAnsi="Times New Roman"/>
          <w:b w:val="0"/>
          <w:sz w:val="24"/>
        </w:rPr>
        <w:t>В соответствии с распоряжением ОАО «РЖД» от 03.08.2015 № 1973р</w:t>
      </w:r>
      <w:r>
        <w:rPr>
          <w:rFonts w:ascii="Times New Roman" w:hAnsi="Times New Roman"/>
          <w:b w:val="0"/>
          <w:sz w:val="24"/>
        </w:rPr>
        <w:br/>
      </w:r>
      <w:r>
        <w:rPr>
          <w:rFonts w:ascii="Times New Roman" w:hAnsi="Times New Roman"/>
          <w:b w:val="0"/>
          <w:sz w:val="24"/>
        </w:rPr>
        <w:t>«Об утверждении типового положения об оценке деятельности совета директоров, комитетов совета директоров и членов совета директоров дочернего общества ОАО «РЖД» Советами директоров АО "Краспригород" утверждено Положение об оценке деятельности совета директоров, комитетов совета директоров и членов совета директоров (протокол Совета директоров  № 5 от 30.09.2015 г.).</w:t>
      </w:r>
    </w:p>
    <w:p w14:paraId="6D010000">
      <w:pPr>
        <w:widowControl w:val="1"/>
        <w:spacing w:line="360" w:lineRule="auto"/>
        <w:ind w:firstLine="709"/>
        <w:contextualSpacing w:val="1"/>
        <w:jc w:val="both"/>
      </w:pPr>
      <w:r>
        <w:t>Члены Совета директоров и исполнительный орган Общества  не владеет акциями.</w:t>
      </w:r>
    </w:p>
    <w:p w14:paraId="6E010000">
      <w:pPr>
        <w:widowControl w:val="1"/>
        <w:spacing w:line="360" w:lineRule="auto"/>
        <w:ind w:firstLine="709"/>
        <w:contextualSpacing w:val="1"/>
        <w:jc w:val="both"/>
      </w:pPr>
      <w:r>
        <w:t>Конфликты интересов (в том числе связанные с участием указанных лиц в органах управления конкурентов общества) связанных у членов  Совета директоров и исполнительных органов отсутствуют.</w:t>
      </w:r>
    </w:p>
    <w:p w14:paraId="6F010000">
      <w:pPr>
        <w:widowControl w:val="1"/>
        <w:tabs>
          <w:tab w:leader="none" w:pos="928" w:val="left"/>
        </w:tabs>
        <w:spacing w:line="360" w:lineRule="auto"/>
        <w:ind w:firstLine="709"/>
        <w:contextualSpacing w:val="1"/>
        <w:jc w:val="both"/>
      </w:pPr>
      <w:r>
        <w:t xml:space="preserve">В  2018 году  в АО «Краспригород» действовало Положение о выплате членам Совета директоров Общества вознаграждений и компенсаций, утвержденное Внеочередным общим собранием акционеров АО «Краспригород» №3 от 27.09.2016г., разработанное в соответствии с распоряжением ОАО "РЖД" от 28 ноября 2005г. №1888р, от 14 июля 2011 №1542р.  Данное Положение регламентирует порядок расчета вознаграждения, которое состоит из двух частей: вознаграждение за участие в работе Совета директоров и годовое вознаграждение. Размер вознаграждения Председателю Совета директоров  увеличивается на 50%, размер вознаграждения заместителю Председателя Совета директоров  увеличивается на 25%. </w:t>
      </w:r>
    </w:p>
    <w:p w14:paraId="70010000">
      <w:pPr>
        <w:widowControl w:val="1"/>
        <w:spacing w:line="360" w:lineRule="auto"/>
        <w:ind w:firstLine="709"/>
        <w:contextualSpacing w:val="1"/>
        <w:jc w:val="both"/>
      </w:pPr>
      <w:r>
        <w:t>В течение 2018 года годовое вознаграждение членам Совета Директоров по итогам 2017 года, в соответствии с решением Годового Общего Собрания Акционеров АО «Краспригород»,  не начислялось и не выплачивалось.  Вознаграждение за участие в работе Совета директоров членам Совета директоров также не начислялось и не выплачивалось, в соответствии с решением Годового общего собрания акционеров, протокол от 26.06.2009 г.</w:t>
      </w:r>
    </w:p>
    <w:p w14:paraId="71010000">
      <w:pPr>
        <w:widowControl w:val="1"/>
        <w:spacing w:line="360" w:lineRule="auto"/>
        <w:ind w:firstLine="709"/>
        <w:contextualSpacing w:val="1"/>
        <w:jc w:val="both"/>
      </w:pPr>
      <w:r>
        <w:t xml:space="preserve"> Долгосрочная мотивационная программа и опционная программа в АО "Краспригород"  для членов Совета директоров отсутствуют. </w:t>
      </w:r>
    </w:p>
    <w:p w14:paraId="72010000">
      <w:pPr>
        <w:widowControl w:val="1"/>
        <w:spacing w:line="360" w:lineRule="auto"/>
        <w:ind w:firstLine="709"/>
        <w:contextualSpacing w:val="1"/>
        <w:jc w:val="both"/>
      </w:pPr>
      <w:r>
        <w:t>Расходы Общества на страхование ответственности директоров как членов органов управления в течение отчетного периода отсутствуют.</w:t>
      </w:r>
    </w:p>
    <w:p w14:paraId="73010000">
      <w:pPr>
        <w:widowControl w:val="1"/>
        <w:spacing w:line="360" w:lineRule="auto"/>
        <w:ind w:firstLine="709"/>
        <w:contextualSpacing w:val="1"/>
        <w:jc w:val="both"/>
      </w:pPr>
      <w:r>
        <w:t>К ключевым руководителям относятся: генеральный директор (единоличный исполнительный орган), заместитель генерального директора по экономике и финансам, заместитель генерального директора по пассажирской работе, заместитель генерального директора по безопасности, главный инженер, главный бухгалтер.</w:t>
      </w:r>
    </w:p>
    <w:p w14:paraId="74010000">
      <w:pPr>
        <w:widowControl w:val="1"/>
        <w:tabs>
          <w:tab w:leader="none" w:pos="0" w:val="left"/>
        </w:tabs>
        <w:spacing w:line="360" w:lineRule="auto"/>
        <w:ind w:firstLine="709"/>
        <w:contextualSpacing w:val="1"/>
        <w:jc w:val="both"/>
      </w:pPr>
      <w:r>
        <w:t>Пенсионных отчислений сотрудникам АО "Краспригород" по программе софинансирования в негосударственные пенсионные  фонды не производится.</w:t>
      </w:r>
    </w:p>
    <w:p w14:paraId="75010000">
      <w:pPr>
        <w:widowControl w:val="1"/>
        <w:spacing w:line="360" w:lineRule="auto"/>
        <w:ind w:firstLine="709"/>
        <w:contextualSpacing w:val="1"/>
        <w:jc w:val="both"/>
      </w:pPr>
      <w:r>
        <w:t>АО "Краспригород" займы (кредиты) членам Совета директоров  в отчетном периоде не выдавались.</w:t>
      </w:r>
    </w:p>
    <w:p w14:paraId="76010000">
      <w:pPr>
        <w:widowControl w:val="1"/>
        <w:spacing w:line="360" w:lineRule="auto"/>
        <w:ind w:firstLine="709"/>
        <w:contextualSpacing w:val="1"/>
        <w:jc w:val="both"/>
      </w:pPr>
      <w:r>
        <w:t xml:space="preserve">Управление в Обществе базируется на подлинном уважении прав и законных интересов всех групп собственников и акционеров и следовании принципам корпоративного управления, основанным на требованиях законодательства в области корпоративного права, а также с учетом методических рекомендаций по соблюдению Кодекса корпоративного поведения. </w:t>
      </w:r>
    </w:p>
    <w:p w14:paraId="77010000">
      <w:pPr>
        <w:widowControl w:val="1"/>
        <w:spacing w:line="360" w:lineRule="auto"/>
        <w:ind w:firstLine="709"/>
        <w:contextualSpacing w:val="1"/>
        <w:jc w:val="both"/>
      </w:pPr>
      <w:r>
        <w:tab/>
      </w:r>
      <w:r>
        <w:t>Наиболее существенные сделки совершаются Обществом с ОАО "РЖД", ГПКК "ЦТЛ", АО "ФПК" и Министерством транспорта Красноярского края. Предметом сделок с ОАО "РЖД" является обеспечение осуществления основной деятельности АО "Краспригород": аренда подвижного состава с экипажем, ремонт и  техническое обслуживание подвижного состава, управление и эксплуатация подвижного состава, оказание услуг инфраструктуры железнодорожного транспорта общего пользования, аренда локомотивов с экипажем. Предметом сделки с АО "ФПК" является аренда вагонов для обеспечения исполнения государственного заказа по перевозкам пассажиров в пригородном железнодорожном сообщении на неэлектрифицированных участках Красноярской железной дороги. Предметом сделки с ГПКК "ЦТЛ" является</w:t>
      </w:r>
      <w:r>
        <w:t xml:space="preserve"> </w:t>
      </w:r>
      <w:r>
        <w:t>аренда трех  электропоездов ЭД9М без экипажа. Предметом сделки с Министерством транспорта Красноярского края является предоставление субсидии в целях возмещения недополученных доходов, возникающих в связи с государственным регулированием тарифов на перевозки пассажиров железнодорожным транспортом общего пользования в пригородном сообщении.</w:t>
      </w:r>
    </w:p>
    <w:p w14:paraId="78010000">
      <w:pPr>
        <w:pStyle w:val="Style_18"/>
        <w:widowControl w:val="1"/>
        <w:spacing w:line="360" w:lineRule="auto"/>
        <w:ind w:firstLine="709" w:right="0"/>
        <w:contextualSpacing w:val="1"/>
        <w:jc w:val="both"/>
        <w:rPr>
          <w:sz w:val="24"/>
        </w:rPr>
      </w:pPr>
      <w:r>
        <w:rPr>
          <w:sz w:val="24"/>
        </w:rPr>
        <w:t xml:space="preserve">3.2.2. </w:t>
      </w:r>
      <w:r>
        <w:rPr>
          <w:sz w:val="24"/>
        </w:rPr>
        <w:t>Ревизионная комиссия</w:t>
      </w:r>
    </w:p>
    <w:p w14:paraId="79010000">
      <w:pPr>
        <w:widowControl w:val="1"/>
        <w:spacing w:line="360" w:lineRule="auto"/>
        <w:ind w:firstLine="709"/>
        <w:contextualSpacing w:val="1"/>
        <w:jc w:val="both"/>
      </w:pPr>
      <w:r>
        <w:t xml:space="preserve">Для осуществления контроля финансово-хозяйственной деятельностью Общества годовым общим собранием акционеров от </w:t>
      </w:r>
      <w:r>
        <w:t>22.06.2017 г.</w:t>
      </w:r>
      <w:r>
        <w:t xml:space="preserve">., в соответствии с Уставом Общества, была избрана ревизионная комиссия, которая действовала до </w:t>
      </w:r>
      <w:r>
        <w:t>30.01.2018</w:t>
      </w:r>
      <w:r>
        <w:t xml:space="preserve"> г., годовым общим собранием акционеров от </w:t>
      </w:r>
      <w:r>
        <w:t>30.01.2018 г.</w:t>
      </w:r>
      <w:r>
        <w:t>. утвержден новый со</w:t>
      </w:r>
      <w:r>
        <w:t>став ревизионной комиссии, действующий до 25.06.2018 г.</w:t>
      </w:r>
    </w:p>
    <w:p w14:paraId="7A010000">
      <w:pPr>
        <w:widowControl w:val="1"/>
        <w:spacing w:line="360" w:lineRule="auto"/>
        <w:ind w:firstLine="709"/>
        <w:contextualSpacing w:val="1"/>
        <w:jc w:val="both"/>
      </w:pPr>
      <w:r>
        <w:t xml:space="preserve"> </w:t>
      </w:r>
    </w:p>
    <w:p w14:paraId="7B010000">
      <w:pPr>
        <w:widowControl w:val="1"/>
        <w:spacing w:line="360" w:lineRule="auto"/>
        <w:ind w:firstLine="709"/>
        <w:contextualSpacing w:val="1"/>
        <w:jc w:val="right"/>
        <w:rPr>
          <w:b w:val="1"/>
        </w:rPr>
      </w:pPr>
      <w:r>
        <w:rPr>
          <w:b w:val="1"/>
        </w:rPr>
        <w:t xml:space="preserve">Таблица </w:t>
      </w:r>
      <w:r>
        <w:rPr>
          <w:b w:val="1"/>
        </w:rPr>
        <w:t>3</w:t>
      </w:r>
      <w:r>
        <w:rPr>
          <w:b w:val="1"/>
        </w:rPr>
        <w:t>.1.</w:t>
      </w:r>
    </w:p>
    <w:p w14:paraId="7C010000">
      <w:pPr>
        <w:widowControl w:val="1"/>
        <w:spacing w:line="360" w:lineRule="auto"/>
        <w:ind w:firstLine="709"/>
        <w:contextualSpacing w:val="1"/>
        <w:jc w:val="center"/>
        <w:rPr>
          <w:b w:val="1"/>
        </w:rPr>
      </w:pPr>
      <w:r>
        <w:rPr>
          <w:b w:val="1"/>
        </w:rPr>
        <w:t>Состав ревизионной комиссии</w:t>
      </w:r>
    </w:p>
    <w:tbl>
      <w:tblPr>
        <w:tblStyle w:val="Style_4"/>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336"/>
        <w:gridCol w:w="3207"/>
        <w:gridCol w:w="6028"/>
      </w:tblGrid>
      <w:tr>
        <w:tc>
          <w:tcPr>
            <w:tcW w:type="dxa" w:w="9571"/>
            <w:gridSpan w:val="3"/>
            <w:tcBorders>
              <w:top w:color="000000" w:sz="4" w:val="single"/>
              <w:left w:color="000000" w:sz="4" w:val="single"/>
              <w:bottom w:color="000000" w:sz="4" w:val="single"/>
              <w:right w:color="000000" w:sz="4" w:val="single"/>
            </w:tcBorders>
            <w:vAlign w:val="center"/>
          </w:tcPr>
          <w:p w14:paraId="7D010000">
            <w:pPr>
              <w:widowControl w:val="1"/>
              <w:ind/>
              <w:contextualSpacing w:val="1"/>
            </w:pPr>
            <w:r>
              <w:t>Период действия  комиссии с 22.06.2017г. по 30.01.2018г. (Состав Утвержден на ГОСА 21.06.2017г.)</w:t>
            </w:r>
          </w:p>
        </w:tc>
      </w:tr>
      <w:tr>
        <w:tc>
          <w:tcPr>
            <w:tcW w:type="dxa" w:w="336"/>
            <w:tcBorders>
              <w:top w:color="000000" w:sz="4" w:val="single"/>
              <w:left w:color="000000" w:sz="4" w:val="single"/>
              <w:bottom w:color="000000" w:sz="4" w:val="single"/>
              <w:right w:color="000000" w:sz="4" w:val="single"/>
            </w:tcBorders>
            <w:vAlign w:val="center"/>
          </w:tcPr>
          <w:p w14:paraId="7E010000">
            <w:pPr>
              <w:widowControl w:val="1"/>
              <w:ind w:firstLine="709"/>
              <w:contextualSpacing w:val="1"/>
            </w:pPr>
            <w:r>
              <w:t>1</w:t>
            </w:r>
          </w:p>
        </w:tc>
        <w:tc>
          <w:tcPr>
            <w:tcW w:type="dxa" w:w="3207"/>
            <w:tcBorders>
              <w:top w:color="000000" w:sz="4" w:val="single"/>
              <w:left w:color="000000" w:sz="4" w:val="single"/>
              <w:bottom w:color="000000" w:sz="4" w:val="single"/>
              <w:right w:color="000000" w:sz="4" w:val="single"/>
            </w:tcBorders>
            <w:vAlign w:val="center"/>
          </w:tcPr>
          <w:p w14:paraId="7F010000">
            <w:pPr>
              <w:widowControl w:val="1"/>
              <w:ind w:firstLine="90"/>
              <w:contextualSpacing w:val="1"/>
              <w:rPr>
                <w:b w:val="1"/>
              </w:rPr>
            </w:pPr>
            <w:r>
              <w:rPr>
                <w:b w:val="1"/>
              </w:rPr>
              <w:t>Пех Наталья                             Васильевна</w:t>
            </w:r>
          </w:p>
        </w:tc>
        <w:tc>
          <w:tcPr>
            <w:tcW w:type="dxa" w:w="6028"/>
            <w:tcBorders>
              <w:top w:color="000000" w:sz="4" w:val="single"/>
              <w:left w:color="000000" w:sz="4" w:val="single"/>
              <w:bottom w:color="000000" w:sz="4" w:val="single"/>
              <w:right w:color="000000" w:sz="4" w:val="single"/>
            </w:tcBorders>
            <w:vAlign w:val="center"/>
          </w:tcPr>
          <w:p w14:paraId="80010000">
            <w:pPr>
              <w:widowControl w:val="1"/>
              <w:ind w:firstLine="1"/>
              <w:contextualSpacing w:val="1"/>
            </w:pPr>
            <w:r>
              <w:t>Начальник сектора Центра "Желдорконтроль" ОАО «РЖД»</w:t>
            </w:r>
          </w:p>
        </w:tc>
      </w:tr>
      <w:tr>
        <w:tc>
          <w:tcPr>
            <w:tcW w:type="dxa" w:w="336"/>
            <w:tcBorders>
              <w:top w:color="000000" w:sz="4" w:val="single"/>
              <w:left w:color="000000" w:sz="4" w:val="single"/>
              <w:bottom w:color="000000" w:sz="4" w:val="single"/>
              <w:right w:color="000000" w:sz="4" w:val="single"/>
            </w:tcBorders>
            <w:vAlign w:val="center"/>
          </w:tcPr>
          <w:p w14:paraId="81010000">
            <w:pPr>
              <w:widowControl w:val="1"/>
              <w:ind w:firstLine="709"/>
              <w:contextualSpacing w:val="1"/>
            </w:pPr>
            <w:r>
              <w:t>2</w:t>
            </w:r>
          </w:p>
        </w:tc>
        <w:tc>
          <w:tcPr>
            <w:tcW w:type="dxa" w:w="3207"/>
            <w:tcBorders>
              <w:top w:color="000000" w:sz="4" w:val="single"/>
              <w:left w:color="000000" w:sz="4" w:val="single"/>
              <w:bottom w:color="000000" w:sz="4" w:val="single"/>
              <w:right w:color="000000" w:sz="4" w:val="single"/>
            </w:tcBorders>
            <w:vAlign w:val="center"/>
          </w:tcPr>
          <w:p w14:paraId="82010000">
            <w:pPr>
              <w:widowControl w:val="1"/>
              <w:ind w:firstLine="90"/>
              <w:contextualSpacing w:val="1"/>
              <w:rPr>
                <w:b w:val="1"/>
              </w:rPr>
            </w:pPr>
            <w:r>
              <w:rPr>
                <w:b w:val="1"/>
              </w:rPr>
              <w:t xml:space="preserve">Вялых Надежда                                Юрьевна </w:t>
            </w:r>
          </w:p>
        </w:tc>
        <w:tc>
          <w:tcPr>
            <w:tcW w:type="dxa" w:w="6028"/>
            <w:tcBorders>
              <w:top w:color="000000" w:sz="4" w:val="single"/>
              <w:left w:color="000000" w:sz="4" w:val="single"/>
              <w:bottom w:color="000000" w:sz="4" w:val="single"/>
              <w:right w:color="000000" w:sz="4" w:val="single"/>
            </w:tcBorders>
            <w:vAlign w:val="center"/>
          </w:tcPr>
          <w:p w14:paraId="83010000">
            <w:pPr>
              <w:widowControl w:val="1"/>
              <w:ind w:firstLine="1"/>
              <w:contextualSpacing w:val="1"/>
            </w:pPr>
            <w:r>
              <w:t>Заместитель начальника Красноярского регионального управления Центра "Желдорконтроль" ОАО «РЖД»</w:t>
            </w:r>
          </w:p>
        </w:tc>
      </w:tr>
      <w:tr>
        <w:tc>
          <w:tcPr>
            <w:tcW w:type="dxa" w:w="336"/>
            <w:tcBorders>
              <w:top w:color="000000" w:sz="4" w:val="single"/>
              <w:left w:color="000000" w:sz="4" w:val="single"/>
              <w:bottom w:color="000000" w:sz="4" w:val="single"/>
              <w:right w:color="000000" w:sz="4" w:val="single"/>
            </w:tcBorders>
            <w:vAlign w:val="center"/>
          </w:tcPr>
          <w:p w14:paraId="84010000">
            <w:pPr>
              <w:widowControl w:val="1"/>
              <w:ind w:firstLine="709"/>
              <w:contextualSpacing w:val="1"/>
            </w:pPr>
            <w:r>
              <w:t>3</w:t>
            </w:r>
          </w:p>
        </w:tc>
        <w:tc>
          <w:tcPr>
            <w:tcW w:type="dxa" w:w="3207"/>
            <w:tcBorders>
              <w:top w:color="000000" w:sz="4" w:val="single"/>
              <w:left w:color="000000" w:sz="4" w:val="single"/>
              <w:bottom w:color="000000" w:sz="4" w:val="single"/>
              <w:right w:color="000000" w:sz="4" w:val="single"/>
            </w:tcBorders>
            <w:vAlign w:val="center"/>
          </w:tcPr>
          <w:p w14:paraId="85010000">
            <w:pPr>
              <w:widowControl w:val="1"/>
              <w:ind w:firstLine="90"/>
              <w:contextualSpacing w:val="1"/>
              <w:rPr>
                <w:b w:val="1"/>
              </w:rPr>
            </w:pPr>
            <w:r>
              <w:rPr>
                <w:b w:val="1"/>
              </w:rPr>
              <w:t>Бобылева Екатерина Сергеевна</w:t>
            </w:r>
          </w:p>
        </w:tc>
        <w:tc>
          <w:tcPr>
            <w:tcW w:type="dxa" w:w="6028"/>
            <w:tcBorders>
              <w:top w:color="000000" w:sz="4" w:val="single"/>
              <w:left w:color="000000" w:sz="4" w:val="single"/>
              <w:bottom w:color="000000" w:sz="4" w:val="single"/>
              <w:right w:color="000000" w:sz="4" w:val="single"/>
            </w:tcBorders>
            <w:vAlign w:val="center"/>
          </w:tcPr>
          <w:p w14:paraId="86010000">
            <w:pPr>
              <w:widowControl w:val="1"/>
              <w:ind w:firstLine="1"/>
              <w:contextualSpacing w:val="1"/>
            </w:pPr>
            <w:r>
              <w:t>Бухгалтер-экономист ГП КК «Центр транспортной логистики»</w:t>
            </w:r>
          </w:p>
        </w:tc>
      </w:tr>
      <w:tr>
        <w:tc>
          <w:tcPr>
            <w:tcW w:type="dxa" w:w="9571"/>
            <w:gridSpan w:val="3"/>
            <w:tcBorders>
              <w:top w:color="000000" w:sz="4" w:val="single"/>
              <w:left w:color="000000" w:sz="4" w:val="single"/>
              <w:bottom w:color="000000" w:sz="4" w:val="single"/>
              <w:right w:color="000000" w:sz="4" w:val="single"/>
            </w:tcBorders>
            <w:vAlign w:val="center"/>
          </w:tcPr>
          <w:p w14:paraId="87010000">
            <w:pPr>
              <w:widowControl w:val="1"/>
              <w:ind/>
              <w:contextualSpacing w:val="1"/>
            </w:pPr>
            <w:r>
              <w:t>Период действия комиссии с 30.01.2018г. по 25.06.2018г. (ВОСА 31.01.2018г.)</w:t>
            </w:r>
          </w:p>
        </w:tc>
      </w:tr>
      <w:tr>
        <w:tc>
          <w:tcPr>
            <w:tcW w:type="dxa" w:w="336"/>
            <w:tcBorders>
              <w:top w:color="000000" w:sz="4" w:val="single"/>
              <w:left w:color="000000" w:sz="4" w:val="single"/>
              <w:bottom w:color="000000" w:sz="4" w:val="single"/>
              <w:right w:color="000000" w:sz="4" w:val="single"/>
            </w:tcBorders>
            <w:vAlign w:val="center"/>
          </w:tcPr>
          <w:p w14:paraId="88010000">
            <w:pPr>
              <w:widowControl w:val="1"/>
              <w:ind w:firstLine="709"/>
              <w:contextualSpacing w:val="1"/>
            </w:pPr>
            <w:r>
              <w:t>1</w:t>
            </w:r>
          </w:p>
        </w:tc>
        <w:tc>
          <w:tcPr>
            <w:tcW w:type="dxa" w:w="3207"/>
            <w:tcBorders>
              <w:top w:color="000000" w:sz="4" w:val="single"/>
              <w:left w:color="000000" w:sz="4" w:val="single"/>
              <w:bottom w:color="000000" w:sz="4" w:val="single"/>
              <w:right w:color="000000" w:sz="4" w:val="single"/>
            </w:tcBorders>
            <w:vAlign w:val="center"/>
          </w:tcPr>
          <w:p w14:paraId="89010000">
            <w:pPr>
              <w:widowControl w:val="1"/>
              <w:ind/>
              <w:contextualSpacing w:val="1"/>
              <w:rPr>
                <w:b w:val="1"/>
              </w:rPr>
            </w:pPr>
            <w:r>
              <w:rPr>
                <w:b w:val="1"/>
              </w:rPr>
              <w:t xml:space="preserve">Вялых Надежда                                Юрьевна </w:t>
            </w:r>
          </w:p>
        </w:tc>
        <w:tc>
          <w:tcPr>
            <w:tcW w:type="dxa" w:w="6028"/>
            <w:tcBorders>
              <w:top w:color="000000" w:sz="4" w:val="single"/>
              <w:left w:color="000000" w:sz="4" w:val="single"/>
              <w:bottom w:color="000000" w:sz="4" w:val="single"/>
              <w:right w:color="000000" w:sz="4" w:val="single"/>
            </w:tcBorders>
            <w:vAlign w:val="center"/>
          </w:tcPr>
          <w:p w14:paraId="8A010000">
            <w:pPr>
              <w:widowControl w:val="1"/>
              <w:ind w:firstLine="1"/>
              <w:contextualSpacing w:val="1"/>
            </w:pPr>
            <w:r>
              <w:t>Заместитель начальника Красноярского регионального управления Центра "Желдорконтроль" ОАО «РЖД»</w:t>
            </w:r>
          </w:p>
        </w:tc>
      </w:tr>
      <w:tr>
        <w:tc>
          <w:tcPr>
            <w:tcW w:type="dxa" w:w="336"/>
            <w:tcBorders>
              <w:top w:color="000000" w:sz="4" w:val="single"/>
              <w:left w:color="000000" w:sz="4" w:val="single"/>
              <w:bottom w:color="000000" w:sz="4" w:val="single"/>
              <w:right w:color="000000" w:sz="4" w:val="single"/>
            </w:tcBorders>
            <w:vAlign w:val="center"/>
          </w:tcPr>
          <w:p w14:paraId="8B010000">
            <w:pPr>
              <w:widowControl w:val="1"/>
              <w:ind w:firstLine="709"/>
              <w:contextualSpacing w:val="1"/>
            </w:pPr>
            <w:r>
              <w:t>2</w:t>
            </w:r>
          </w:p>
        </w:tc>
        <w:tc>
          <w:tcPr>
            <w:tcW w:type="dxa" w:w="3207"/>
            <w:tcBorders>
              <w:top w:color="000000" w:sz="4" w:val="single"/>
              <w:left w:color="000000" w:sz="4" w:val="single"/>
              <w:bottom w:color="000000" w:sz="4" w:val="single"/>
              <w:right w:color="000000" w:sz="4" w:val="single"/>
            </w:tcBorders>
            <w:vAlign w:val="center"/>
          </w:tcPr>
          <w:p w14:paraId="8C010000">
            <w:pPr>
              <w:widowControl w:val="1"/>
              <w:ind/>
              <w:contextualSpacing w:val="1"/>
              <w:rPr>
                <w:b w:val="1"/>
              </w:rPr>
            </w:pPr>
            <w:r>
              <w:rPr>
                <w:b w:val="1"/>
              </w:rPr>
              <w:t>Кравцова Диана Юрьевна</w:t>
            </w:r>
          </w:p>
        </w:tc>
        <w:tc>
          <w:tcPr>
            <w:tcW w:type="dxa" w:w="6028"/>
            <w:tcBorders>
              <w:top w:color="000000" w:sz="4" w:val="single"/>
              <w:left w:color="000000" w:sz="4" w:val="single"/>
              <w:bottom w:color="000000" w:sz="4" w:val="single"/>
              <w:right w:color="000000" w:sz="4" w:val="single"/>
            </w:tcBorders>
            <w:vAlign w:val="center"/>
          </w:tcPr>
          <w:p w14:paraId="8D010000">
            <w:pPr>
              <w:widowControl w:val="1"/>
              <w:ind w:firstLine="1"/>
              <w:contextualSpacing w:val="1"/>
            </w:pPr>
            <w:r>
              <w:t>Главный ревизор сектора контроля доходов от перевозочных видов деятельности Красноярского регионального управления Центра «Желдорконтроль» ОАО «РЖД»</w:t>
            </w:r>
          </w:p>
        </w:tc>
      </w:tr>
      <w:tr>
        <w:tc>
          <w:tcPr>
            <w:tcW w:type="dxa" w:w="336"/>
            <w:tcBorders>
              <w:top w:color="000000" w:sz="4" w:val="single"/>
              <w:left w:color="000000" w:sz="4" w:val="single"/>
              <w:bottom w:color="000000" w:sz="4" w:val="single"/>
              <w:right w:color="000000" w:sz="4" w:val="single"/>
            </w:tcBorders>
            <w:vAlign w:val="center"/>
          </w:tcPr>
          <w:p w14:paraId="8E010000">
            <w:pPr>
              <w:widowControl w:val="1"/>
              <w:ind w:firstLine="709"/>
              <w:contextualSpacing w:val="1"/>
            </w:pPr>
            <w:r>
              <w:t>3</w:t>
            </w:r>
          </w:p>
        </w:tc>
        <w:tc>
          <w:tcPr>
            <w:tcW w:type="dxa" w:w="3207"/>
            <w:tcBorders>
              <w:top w:color="000000" w:sz="4" w:val="single"/>
              <w:left w:color="000000" w:sz="4" w:val="single"/>
              <w:bottom w:color="000000" w:sz="4" w:val="single"/>
              <w:right w:color="000000" w:sz="4" w:val="single"/>
            </w:tcBorders>
            <w:vAlign w:val="center"/>
          </w:tcPr>
          <w:p w14:paraId="8F010000">
            <w:pPr>
              <w:widowControl w:val="1"/>
              <w:ind/>
              <w:contextualSpacing w:val="1"/>
              <w:rPr>
                <w:b w:val="1"/>
              </w:rPr>
            </w:pPr>
            <w:r>
              <w:rPr>
                <w:b w:val="1"/>
              </w:rPr>
              <w:t>Бобылева Екатерина Сергеевна</w:t>
            </w:r>
          </w:p>
        </w:tc>
        <w:tc>
          <w:tcPr>
            <w:tcW w:type="dxa" w:w="6028"/>
            <w:tcBorders>
              <w:top w:color="000000" w:sz="4" w:val="single"/>
              <w:left w:color="000000" w:sz="4" w:val="single"/>
              <w:bottom w:color="000000" w:sz="4" w:val="single"/>
              <w:right w:color="000000" w:sz="4" w:val="single"/>
            </w:tcBorders>
            <w:vAlign w:val="center"/>
          </w:tcPr>
          <w:p w14:paraId="90010000">
            <w:pPr>
              <w:widowControl w:val="1"/>
              <w:ind w:firstLine="1"/>
              <w:contextualSpacing w:val="1"/>
            </w:pPr>
            <w:r>
              <w:t>Бухгалтер-экономист ГП КК «Центр транспортной логистики»</w:t>
            </w:r>
          </w:p>
        </w:tc>
      </w:tr>
      <w:tr>
        <w:tc>
          <w:tcPr>
            <w:tcW w:type="dxa" w:w="9571"/>
            <w:gridSpan w:val="3"/>
            <w:tcBorders>
              <w:top w:color="000000" w:sz="4" w:val="single"/>
              <w:left w:color="000000" w:sz="4" w:val="single"/>
              <w:bottom w:color="000000" w:sz="4" w:val="single"/>
              <w:right w:color="000000" w:sz="4" w:val="single"/>
            </w:tcBorders>
            <w:vAlign w:val="center"/>
          </w:tcPr>
          <w:p w14:paraId="91010000">
            <w:pPr>
              <w:widowControl w:val="1"/>
              <w:ind/>
              <w:contextualSpacing w:val="1"/>
            </w:pPr>
            <w:r>
              <w:t>Период действия комиссии с 26.06.2018 (Состав Утвержден на ГОСА 25.06.2018г.)</w:t>
            </w:r>
          </w:p>
        </w:tc>
      </w:tr>
      <w:tr>
        <w:tc>
          <w:tcPr>
            <w:tcW w:type="dxa" w:w="336"/>
            <w:tcBorders>
              <w:top w:color="000000" w:sz="4" w:val="single"/>
              <w:left w:color="000000" w:sz="4" w:val="single"/>
              <w:bottom w:color="000000" w:sz="4" w:val="single"/>
              <w:right w:color="000000" w:sz="4" w:val="single"/>
            </w:tcBorders>
            <w:vAlign w:val="center"/>
          </w:tcPr>
          <w:p w14:paraId="92010000">
            <w:pPr>
              <w:widowControl w:val="1"/>
              <w:ind w:firstLine="709"/>
              <w:contextualSpacing w:val="1"/>
            </w:pPr>
            <w:r>
              <w:t>1</w:t>
            </w:r>
          </w:p>
        </w:tc>
        <w:tc>
          <w:tcPr>
            <w:tcW w:type="dxa" w:w="3207"/>
            <w:tcBorders>
              <w:top w:color="000000" w:sz="4" w:val="single"/>
              <w:left w:color="000000" w:sz="4" w:val="single"/>
              <w:bottom w:color="000000" w:sz="4" w:val="single"/>
              <w:right w:color="000000" w:sz="4" w:val="single"/>
            </w:tcBorders>
            <w:vAlign w:val="center"/>
          </w:tcPr>
          <w:p w14:paraId="93010000">
            <w:pPr>
              <w:widowControl w:val="1"/>
              <w:ind w:firstLine="90"/>
              <w:contextualSpacing w:val="1"/>
              <w:rPr>
                <w:b w:val="1"/>
              </w:rPr>
            </w:pPr>
            <w:r>
              <w:rPr>
                <w:b w:val="1"/>
              </w:rPr>
              <w:t>Вялых Надежда                                Юрьевна</w:t>
            </w:r>
          </w:p>
        </w:tc>
        <w:tc>
          <w:tcPr>
            <w:tcW w:type="dxa" w:w="6028"/>
            <w:tcBorders>
              <w:top w:color="000000" w:sz="4" w:val="single"/>
              <w:left w:color="000000" w:sz="4" w:val="single"/>
              <w:bottom w:color="000000" w:sz="4" w:val="single"/>
              <w:right w:color="000000" w:sz="4" w:val="single"/>
            </w:tcBorders>
            <w:vAlign w:val="center"/>
          </w:tcPr>
          <w:p w14:paraId="94010000">
            <w:pPr>
              <w:widowControl w:val="1"/>
              <w:ind w:firstLine="1"/>
              <w:contextualSpacing w:val="1"/>
            </w:pPr>
            <w:r>
              <w:t>Заместитель начальника Красноярского регионального управления Центра "Желдорконтроль" ОАО «РЖД»</w:t>
            </w:r>
          </w:p>
        </w:tc>
      </w:tr>
      <w:tr>
        <w:tc>
          <w:tcPr>
            <w:tcW w:type="dxa" w:w="336"/>
            <w:tcBorders>
              <w:top w:color="000000" w:sz="4" w:val="single"/>
              <w:left w:color="000000" w:sz="4" w:val="single"/>
              <w:bottom w:color="000000" w:sz="4" w:val="single"/>
              <w:right w:color="000000" w:sz="4" w:val="single"/>
            </w:tcBorders>
            <w:vAlign w:val="center"/>
          </w:tcPr>
          <w:p w14:paraId="95010000">
            <w:pPr>
              <w:widowControl w:val="1"/>
              <w:ind w:firstLine="709"/>
              <w:contextualSpacing w:val="1"/>
            </w:pPr>
            <w:r>
              <w:t>2</w:t>
            </w:r>
          </w:p>
        </w:tc>
        <w:tc>
          <w:tcPr>
            <w:tcW w:type="dxa" w:w="3207"/>
            <w:tcBorders>
              <w:top w:color="000000" w:sz="4" w:val="single"/>
              <w:left w:color="000000" w:sz="4" w:val="single"/>
              <w:bottom w:color="000000" w:sz="4" w:val="single"/>
              <w:right w:color="000000" w:sz="4" w:val="single"/>
            </w:tcBorders>
            <w:vAlign w:val="center"/>
          </w:tcPr>
          <w:p w14:paraId="96010000">
            <w:pPr>
              <w:widowControl w:val="1"/>
              <w:ind w:firstLine="90"/>
              <w:contextualSpacing w:val="1"/>
              <w:rPr>
                <w:b w:val="1"/>
              </w:rPr>
            </w:pPr>
            <w:r>
              <w:rPr>
                <w:b w:val="1"/>
              </w:rPr>
              <w:t>Портнягина Елена Петровна</w:t>
            </w:r>
          </w:p>
        </w:tc>
        <w:tc>
          <w:tcPr>
            <w:tcW w:type="dxa" w:w="6028"/>
            <w:tcBorders>
              <w:top w:color="000000" w:sz="4" w:val="single"/>
              <w:left w:color="000000" w:sz="4" w:val="single"/>
              <w:bottom w:color="000000" w:sz="4" w:val="single"/>
              <w:right w:color="000000" w:sz="4" w:val="single"/>
            </w:tcBorders>
            <w:vAlign w:val="center"/>
          </w:tcPr>
          <w:p w14:paraId="97010000">
            <w:pPr>
              <w:widowControl w:val="1"/>
              <w:ind w:firstLine="1"/>
              <w:contextualSpacing w:val="1"/>
            </w:pPr>
            <w:r>
              <w:t>Начальник сектора Красноярского регионального управления Центра "Желдорконтроль" ОАО «РЖД»</w:t>
            </w:r>
          </w:p>
        </w:tc>
      </w:tr>
      <w:tr>
        <w:tc>
          <w:tcPr>
            <w:tcW w:type="dxa" w:w="336"/>
            <w:tcBorders>
              <w:top w:color="000000" w:sz="4" w:val="single"/>
              <w:left w:color="000000" w:sz="4" w:val="single"/>
              <w:bottom w:color="000000" w:sz="4" w:val="single"/>
              <w:right w:color="000000" w:sz="4" w:val="single"/>
            </w:tcBorders>
            <w:vAlign w:val="center"/>
          </w:tcPr>
          <w:p w14:paraId="98010000">
            <w:pPr>
              <w:widowControl w:val="1"/>
              <w:ind w:firstLine="709"/>
              <w:contextualSpacing w:val="1"/>
            </w:pPr>
            <w:r>
              <w:t>3</w:t>
            </w:r>
          </w:p>
        </w:tc>
        <w:tc>
          <w:tcPr>
            <w:tcW w:type="dxa" w:w="3207"/>
            <w:tcBorders>
              <w:top w:color="000000" w:sz="4" w:val="single"/>
              <w:left w:color="000000" w:sz="4" w:val="single"/>
              <w:bottom w:color="000000" w:sz="4" w:val="single"/>
              <w:right w:color="000000" w:sz="4" w:val="single"/>
            </w:tcBorders>
            <w:vAlign w:val="center"/>
          </w:tcPr>
          <w:p w14:paraId="99010000">
            <w:pPr>
              <w:widowControl w:val="1"/>
              <w:ind w:firstLine="90"/>
              <w:contextualSpacing w:val="1"/>
              <w:rPr>
                <w:b w:val="1"/>
              </w:rPr>
            </w:pPr>
            <w:r>
              <w:rPr>
                <w:b w:val="1"/>
              </w:rPr>
              <w:t>Бобылева Екатерина Сергеевна</w:t>
            </w:r>
          </w:p>
        </w:tc>
        <w:tc>
          <w:tcPr>
            <w:tcW w:type="dxa" w:w="6028"/>
            <w:tcBorders>
              <w:top w:color="000000" w:sz="4" w:val="single"/>
              <w:left w:color="000000" w:sz="4" w:val="single"/>
              <w:bottom w:color="000000" w:sz="4" w:val="single"/>
              <w:right w:color="000000" w:sz="4" w:val="single"/>
            </w:tcBorders>
            <w:vAlign w:val="center"/>
          </w:tcPr>
          <w:p w14:paraId="9A010000">
            <w:pPr>
              <w:widowControl w:val="1"/>
              <w:ind w:firstLine="1"/>
              <w:contextualSpacing w:val="1"/>
            </w:pPr>
            <w:r>
              <w:t>Бухгалтер-экономист ГП КК «Центр транспортной логистики»</w:t>
            </w:r>
          </w:p>
        </w:tc>
      </w:tr>
    </w:tbl>
    <w:p w14:paraId="9B010000">
      <w:pPr>
        <w:widowControl w:val="1"/>
        <w:spacing w:line="360" w:lineRule="auto"/>
        <w:ind w:firstLine="709"/>
        <w:contextualSpacing w:val="1"/>
        <w:jc w:val="center"/>
        <w:rPr>
          <w:b w:val="1"/>
        </w:rPr>
      </w:pPr>
    </w:p>
    <w:p w14:paraId="9C010000">
      <w:pPr>
        <w:widowControl w:val="1"/>
        <w:spacing w:line="360" w:lineRule="auto"/>
        <w:ind w:firstLine="709"/>
        <w:contextualSpacing w:val="1"/>
        <w:jc w:val="both"/>
      </w:pPr>
      <w:r>
        <w:rPr>
          <w:b w:val="1"/>
          <w:i w:val="1"/>
        </w:rPr>
        <w:t>Пех Наталья Васильевна</w:t>
      </w:r>
      <w:r>
        <w:rPr>
          <w:b w:val="1"/>
          <w:i w:val="1"/>
        </w:rPr>
        <w:t xml:space="preserve"> </w:t>
      </w:r>
      <w:r>
        <w:rPr>
          <w:b w:val="1"/>
          <w:i w:val="1"/>
        </w:rPr>
        <w:t xml:space="preserve"> - </w:t>
      </w:r>
      <w:r>
        <w:t xml:space="preserve">30 января 2018 года внеочередным общим собранием акционеров (Протокол ВОСА от 30.01.2018 г. № 9) принято решение о досрочном прекращении полномочий члена Ревизионной комиссии АО «Краспригород» - Пех Натальи Васильевны и избран новый член Ревизионной комиссии АО «Краспригород» - </w:t>
      </w:r>
      <w:r>
        <w:rPr>
          <w:b w:val="1"/>
          <w:i w:val="1"/>
        </w:rPr>
        <w:t>Кравцова Диана Юрьевна</w:t>
      </w:r>
      <w:r>
        <w:t>, главный ревизор сектора контроля доходов от перевозочных видов деятельности Красноярского регионального управления Центра «Желдорконтроль» ОАО «РЖД».</w:t>
      </w:r>
    </w:p>
    <w:p w14:paraId="9D010000">
      <w:pPr>
        <w:widowControl w:val="1"/>
        <w:spacing w:line="360" w:lineRule="auto"/>
        <w:ind w:firstLine="709"/>
        <w:contextualSpacing w:val="1"/>
        <w:jc w:val="both"/>
      </w:pPr>
    </w:p>
    <w:p w14:paraId="9E010000">
      <w:pPr>
        <w:widowControl w:val="1"/>
        <w:spacing w:line="360" w:lineRule="auto"/>
        <w:ind w:firstLine="709"/>
        <w:contextualSpacing w:val="1"/>
        <w:jc w:val="both"/>
      </w:pPr>
    </w:p>
    <w:p w14:paraId="9F010000">
      <w:pPr>
        <w:pStyle w:val="Style_18"/>
        <w:pageBreakBefore w:val="1"/>
        <w:widowControl w:val="1"/>
        <w:spacing w:line="360" w:lineRule="auto"/>
        <w:ind w:firstLine="709" w:right="0"/>
        <w:contextualSpacing w:val="1"/>
        <w:jc w:val="both"/>
        <w:rPr>
          <w:sz w:val="24"/>
        </w:rPr>
      </w:pPr>
      <w:r>
        <w:rPr>
          <w:sz w:val="24"/>
        </w:rPr>
        <w:t xml:space="preserve">3.2.3. </w:t>
      </w:r>
      <w:r>
        <w:rPr>
          <w:sz w:val="24"/>
        </w:rPr>
        <w:t>Генеральный директор</w:t>
      </w:r>
    </w:p>
    <w:p w14:paraId="A0010000">
      <w:pPr>
        <w:widowControl w:val="1"/>
        <w:ind w:firstLine="709"/>
        <w:contextualSpacing w:val="1"/>
      </w:pPr>
    </w:p>
    <w:p w14:paraId="A1010000">
      <w:pPr>
        <w:widowControl w:val="1"/>
        <w:tabs>
          <w:tab w:leader="none" w:pos="2268" w:val="left"/>
        </w:tabs>
        <w:spacing w:line="360" w:lineRule="auto"/>
        <w:ind w:firstLine="709"/>
        <w:contextualSpacing w:val="1"/>
        <w:jc w:val="both"/>
      </w:pPr>
      <w:bookmarkEnd w:id="15"/>
      <w:r>
        <w:rPr>
          <w:b w:val="1"/>
        </w:rPr>
        <w:t xml:space="preserve">Быков Эдуард Владимирович - </w:t>
      </w:r>
      <w:r>
        <w:t>генеральный директор АО "Краспригород" с 03.08.2017г., избран генеральным директором Советом директоров</w:t>
      </w:r>
      <w:r>
        <w:t xml:space="preserve"> </w:t>
      </w:r>
      <w:r>
        <w:t>(протокол №2 от 01.08.2017г.).</w:t>
      </w:r>
    </w:p>
    <w:p w14:paraId="A2010000">
      <w:pPr>
        <w:widowControl w:val="1"/>
        <w:tabs>
          <w:tab w:leader="none" w:pos="2268" w:val="left"/>
        </w:tabs>
        <w:spacing w:line="360" w:lineRule="auto"/>
        <w:ind w:firstLine="709"/>
        <w:contextualSpacing w:val="1"/>
        <w:jc w:val="both"/>
      </w:pPr>
      <w:r>
        <w:t xml:space="preserve">Родился 12 августа 1979 года. В 2001 году окончил Сибирский государственный  университет путей сообщения  по специальности "Организация перевозок и управление на транспорте (железнодорожном)", в 2012 году окончил ФГБОУ ВПО "Московский государственный университет путей сообщения"  по специальности "Мастер делового администрирования".            </w:t>
      </w:r>
    </w:p>
    <w:p w14:paraId="A3010000">
      <w:pPr>
        <w:pStyle w:val="Style_12"/>
        <w:keepNext w:val="1"/>
        <w:widowControl w:val="1"/>
        <w:spacing w:line="360" w:lineRule="auto"/>
        <w:ind w:firstLine="709"/>
        <w:contextualSpacing w:val="1"/>
        <w:jc w:val="right"/>
        <w:rPr>
          <w:rFonts w:ascii="Times New Roman" w:hAnsi="Times New Roman"/>
          <w:b w:val="1"/>
          <w:sz w:val="24"/>
        </w:rPr>
      </w:pPr>
      <w:r>
        <w:rPr>
          <w:rFonts w:ascii="Times New Roman" w:hAnsi="Times New Roman"/>
          <w:b w:val="1"/>
          <w:sz w:val="24"/>
        </w:rPr>
        <w:t xml:space="preserve">Таблица </w:t>
      </w:r>
      <w:r>
        <w:rPr>
          <w:rFonts w:ascii="Times New Roman" w:hAnsi="Times New Roman"/>
          <w:b w:val="1"/>
          <w:sz w:val="24"/>
        </w:rPr>
        <w:t>3</w:t>
      </w:r>
      <w:r>
        <w:rPr>
          <w:rFonts w:ascii="Times New Roman" w:hAnsi="Times New Roman"/>
          <w:b w:val="1"/>
          <w:sz w:val="24"/>
        </w:rPr>
        <w:t>.</w:t>
      </w:r>
      <w:r>
        <w:rPr>
          <w:rFonts w:ascii="Times New Roman" w:hAnsi="Times New Roman"/>
          <w:b w:val="1"/>
          <w:sz w:val="24"/>
        </w:rPr>
        <w:t>3.</w:t>
      </w:r>
    </w:p>
    <w:p w14:paraId="A4010000">
      <w:pPr>
        <w:pStyle w:val="Style_12"/>
        <w:keepNext w:val="1"/>
        <w:widowControl w:val="1"/>
        <w:spacing w:line="360" w:lineRule="auto"/>
        <w:ind w:firstLine="709"/>
        <w:contextualSpacing w:val="1"/>
        <w:jc w:val="center"/>
        <w:rPr>
          <w:rFonts w:ascii="Times New Roman" w:hAnsi="Times New Roman"/>
          <w:b w:val="1"/>
          <w:sz w:val="24"/>
        </w:rPr>
      </w:pPr>
      <w:r>
        <w:rPr>
          <w:rFonts w:ascii="Times New Roman" w:hAnsi="Times New Roman"/>
          <w:b w:val="1"/>
          <w:sz w:val="24"/>
        </w:rPr>
        <w:t>Профессиональная деятельность генерального директора АО «Краспригород»</w:t>
      </w:r>
    </w:p>
    <w:p w14:paraId="A5010000">
      <w:pPr>
        <w:pStyle w:val="Style_12"/>
        <w:keepNext w:val="1"/>
        <w:widowControl w:val="1"/>
        <w:spacing w:line="360" w:lineRule="auto"/>
        <w:ind w:firstLine="709"/>
        <w:contextualSpacing w:val="1"/>
        <w:jc w:val="center"/>
        <w:rPr>
          <w:rFonts w:ascii="Times New Roman" w:hAnsi="Times New Roman"/>
          <w:b w:val="1"/>
          <w:sz w:val="24"/>
        </w:rPr>
      </w:pPr>
      <w:r>
        <w:rPr>
          <w:rFonts w:ascii="Times New Roman" w:hAnsi="Times New Roman"/>
          <w:b w:val="1"/>
          <w:sz w:val="24"/>
        </w:rPr>
        <w:t>Э.В. Быкова</w:t>
      </w:r>
    </w:p>
    <w:tbl>
      <w:tblPr>
        <w:tblStyle w:val="Style_4"/>
        <w:tblW w:type="auto" w:w="0"/>
        <w:tblInd w:type="dxa" w:w="10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3544"/>
        <w:gridCol w:w="5954"/>
      </w:tblGrid>
      <w:tr>
        <w:trPr>
          <w:trHeight w:hRule="atLeast" w:val="256"/>
        </w:trPr>
        <w:tc>
          <w:tcPr>
            <w:tcW w:type="dxa" w:w="3544"/>
            <w:tcBorders>
              <w:top w:color="000000" w:sz="4" w:val="single"/>
              <w:left w:color="000000" w:sz="4" w:val="single"/>
              <w:bottom w:color="000000" w:sz="4" w:val="single"/>
              <w:right w:color="000000" w:sz="4" w:val="single"/>
            </w:tcBorders>
          </w:tcPr>
          <w:p w14:paraId="A6010000">
            <w:pPr>
              <w:widowControl w:val="1"/>
              <w:ind w:firstLine="34"/>
              <w:contextualSpacing w:val="1"/>
            </w:pPr>
            <w:r>
              <w:t>С 03.08.2017г.</w:t>
            </w:r>
            <w:r>
              <w:t xml:space="preserve"> </w:t>
            </w:r>
          </w:p>
          <w:p w14:paraId="A7010000">
            <w:pPr>
              <w:widowControl w:val="1"/>
              <w:ind w:firstLine="34"/>
              <w:contextualSpacing w:val="1"/>
            </w:pPr>
          </w:p>
        </w:tc>
        <w:tc>
          <w:tcPr>
            <w:tcW w:type="dxa" w:w="5954"/>
            <w:tcBorders>
              <w:top w:color="000000" w:sz="4" w:val="single"/>
              <w:left w:color="000000" w:sz="4" w:val="single"/>
              <w:bottom w:color="000000" w:sz="4" w:val="single"/>
              <w:right w:color="000000" w:sz="4" w:val="single"/>
            </w:tcBorders>
          </w:tcPr>
          <w:p w14:paraId="A8010000">
            <w:pPr>
              <w:widowControl w:val="1"/>
              <w:ind w:firstLine="34"/>
              <w:contextualSpacing w:val="1"/>
            </w:pPr>
            <w:r>
              <w:t>Генеральный директор АО «Краспригород»</w:t>
            </w:r>
          </w:p>
        </w:tc>
      </w:tr>
      <w:tr>
        <w:trPr>
          <w:trHeight w:hRule="atLeast" w:val="256"/>
        </w:trPr>
        <w:tc>
          <w:tcPr>
            <w:tcW w:type="dxa" w:w="3544"/>
            <w:tcBorders>
              <w:top w:color="000000" w:sz="4" w:val="single"/>
              <w:left w:color="000000" w:sz="4" w:val="single"/>
              <w:bottom w:color="000000" w:sz="4" w:val="single"/>
              <w:right w:color="000000" w:sz="4" w:val="single"/>
            </w:tcBorders>
          </w:tcPr>
          <w:p w14:paraId="A9010000">
            <w:pPr>
              <w:widowControl w:val="1"/>
              <w:ind w:firstLine="34"/>
              <w:contextualSpacing w:val="1"/>
            </w:pPr>
            <w:r>
              <w:t>С 03.06.2017 г.  по 02.08.2017г.</w:t>
            </w:r>
          </w:p>
          <w:p w14:paraId="AA010000">
            <w:pPr>
              <w:widowControl w:val="1"/>
              <w:ind w:firstLine="34"/>
              <w:contextualSpacing w:val="1"/>
            </w:pPr>
          </w:p>
        </w:tc>
        <w:tc>
          <w:tcPr>
            <w:tcW w:type="dxa" w:w="5954"/>
            <w:tcBorders>
              <w:top w:color="000000" w:sz="4" w:val="single"/>
              <w:left w:color="000000" w:sz="4" w:val="single"/>
              <w:bottom w:color="000000" w:sz="4" w:val="single"/>
              <w:right w:color="000000" w:sz="4" w:val="single"/>
            </w:tcBorders>
          </w:tcPr>
          <w:p w14:paraId="AB010000">
            <w:pPr>
              <w:widowControl w:val="1"/>
              <w:ind w:firstLine="34"/>
              <w:contextualSpacing w:val="1"/>
            </w:pPr>
            <w:r>
              <w:t>И.о. генерального директора АО «Краспригород»</w:t>
            </w:r>
          </w:p>
        </w:tc>
      </w:tr>
      <w:tr>
        <w:trPr>
          <w:trHeight w:hRule="atLeast" w:val="512"/>
        </w:trPr>
        <w:tc>
          <w:tcPr>
            <w:tcW w:type="dxa" w:w="3544"/>
            <w:tcBorders>
              <w:top w:color="000000" w:sz="4" w:val="single"/>
              <w:left w:color="000000" w:sz="4" w:val="single"/>
              <w:bottom w:color="000000" w:sz="4" w:val="single"/>
              <w:right w:color="000000" w:sz="4" w:val="single"/>
            </w:tcBorders>
          </w:tcPr>
          <w:p w14:paraId="AC010000">
            <w:pPr>
              <w:widowControl w:val="1"/>
              <w:ind w:firstLine="34"/>
              <w:contextualSpacing w:val="1"/>
            </w:pPr>
            <w:r>
              <w:t xml:space="preserve">С 20.05.2014 г. по 02.06.2017 г. </w:t>
            </w:r>
          </w:p>
        </w:tc>
        <w:tc>
          <w:tcPr>
            <w:tcW w:type="dxa" w:w="5954"/>
            <w:tcBorders>
              <w:top w:color="000000" w:sz="4" w:val="single"/>
              <w:left w:color="000000" w:sz="4" w:val="single"/>
              <w:bottom w:color="000000" w:sz="4" w:val="single"/>
              <w:right w:color="000000" w:sz="4" w:val="single"/>
            </w:tcBorders>
          </w:tcPr>
          <w:p w14:paraId="AD010000">
            <w:pPr>
              <w:widowControl w:val="1"/>
              <w:ind w:firstLine="34"/>
              <w:contextualSpacing w:val="1"/>
              <w:jc w:val="both"/>
            </w:pPr>
            <w:r>
              <w:t>Заместитель  генерального директора АО «Краспригород» по пассажирской работе</w:t>
            </w:r>
          </w:p>
        </w:tc>
      </w:tr>
      <w:tr>
        <w:trPr>
          <w:trHeight w:hRule="atLeast" w:val="782"/>
        </w:trPr>
        <w:tc>
          <w:tcPr>
            <w:tcW w:type="dxa" w:w="3544"/>
            <w:tcBorders>
              <w:top w:color="000000" w:sz="4" w:val="single"/>
              <w:left w:color="000000" w:sz="4" w:val="single"/>
              <w:bottom w:color="000000" w:sz="4" w:val="single"/>
              <w:right w:color="000000" w:sz="4" w:val="single"/>
            </w:tcBorders>
          </w:tcPr>
          <w:p w14:paraId="AE010000">
            <w:pPr>
              <w:widowControl w:val="1"/>
              <w:ind w:firstLine="34"/>
              <w:contextualSpacing w:val="1"/>
            </w:pPr>
            <w:r>
              <w:t xml:space="preserve">С 04.09.2012 г. по 19.05.2014 г. </w:t>
            </w:r>
          </w:p>
        </w:tc>
        <w:tc>
          <w:tcPr>
            <w:tcW w:type="dxa" w:w="5954"/>
            <w:tcBorders>
              <w:top w:color="000000" w:sz="4" w:val="single"/>
              <w:left w:color="000000" w:sz="4" w:val="single"/>
              <w:bottom w:color="000000" w:sz="4" w:val="single"/>
              <w:right w:color="000000" w:sz="4" w:val="single"/>
            </w:tcBorders>
          </w:tcPr>
          <w:p w14:paraId="AF010000">
            <w:pPr>
              <w:widowControl w:val="1"/>
              <w:ind w:firstLine="34"/>
              <w:contextualSpacing w:val="1"/>
              <w:jc w:val="both"/>
            </w:pPr>
            <w:r>
              <w:t>Начальник Ачинского центра организации работы железнодорожных станций Красноярской дирекции управления движением  - структурного подразделения Центральной дирекции управления движением - филиала ОАО «РЖД».</w:t>
            </w:r>
          </w:p>
        </w:tc>
      </w:tr>
      <w:tr>
        <w:trPr>
          <w:trHeight w:hRule="atLeast" w:val="526"/>
        </w:trPr>
        <w:tc>
          <w:tcPr>
            <w:tcW w:type="dxa" w:w="3544"/>
            <w:tcBorders>
              <w:top w:color="000000" w:sz="4" w:val="single"/>
              <w:left w:color="000000" w:sz="4" w:val="single"/>
              <w:bottom w:color="000000" w:sz="4" w:val="single"/>
              <w:right w:color="000000" w:sz="4" w:val="single"/>
            </w:tcBorders>
          </w:tcPr>
          <w:p w14:paraId="B0010000">
            <w:pPr>
              <w:widowControl w:val="1"/>
              <w:ind w:firstLine="34"/>
              <w:contextualSpacing w:val="1"/>
            </w:pPr>
            <w:r>
              <w:t>С 10.01.2012 г. по 03.09.2012 г.</w:t>
            </w:r>
          </w:p>
        </w:tc>
        <w:tc>
          <w:tcPr>
            <w:tcW w:type="dxa" w:w="5954"/>
            <w:tcBorders>
              <w:top w:color="000000" w:sz="4" w:val="single"/>
              <w:left w:color="000000" w:sz="4" w:val="single"/>
              <w:bottom w:color="000000" w:sz="4" w:val="single"/>
              <w:right w:color="000000" w:sz="4" w:val="single"/>
            </w:tcBorders>
          </w:tcPr>
          <w:p w14:paraId="B1010000">
            <w:pPr>
              <w:widowControl w:val="1"/>
              <w:ind w:firstLine="34"/>
              <w:contextualSpacing w:val="1"/>
              <w:jc w:val="both"/>
            </w:pPr>
            <w:r>
              <w:t>Первый заместитель  начальника Красноярского центра организации работы станций Красноярской дирекции управления движением  – структурного подразделения Центральной дирекции управления движением - филиала ОАО «РЖД»</w:t>
            </w:r>
          </w:p>
        </w:tc>
      </w:tr>
      <w:tr>
        <w:trPr>
          <w:trHeight w:hRule="atLeast" w:val="576"/>
        </w:trPr>
        <w:tc>
          <w:tcPr>
            <w:tcW w:type="dxa" w:w="3544"/>
            <w:tcBorders>
              <w:top w:color="000000" w:sz="4" w:val="single"/>
              <w:left w:color="000000" w:sz="4" w:val="single"/>
              <w:bottom w:color="000000" w:sz="4" w:val="single"/>
              <w:right w:color="000000" w:sz="4" w:val="single"/>
            </w:tcBorders>
          </w:tcPr>
          <w:p w14:paraId="B2010000">
            <w:pPr>
              <w:widowControl w:val="1"/>
              <w:ind w:firstLine="34"/>
              <w:contextualSpacing w:val="1"/>
            </w:pPr>
            <w:r>
              <w:t>С 01.01.2010 г. по 09.01.2012 г.</w:t>
            </w:r>
          </w:p>
        </w:tc>
        <w:tc>
          <w:tcPr>
            <w:tcW w:type="dxa" w:w="5954"/>
            <w:tcBorders>
              <w:top w:color="000000" w:sz="4" w:val="single"/>
              <w:left w:color="000000" w:sz="4" w:val="single"/>
              <w:bottom w:color="000000" w:sz="4" w:val="single"/>
              <w:right w:color="000000" w:sz="4" w:val="single"/>
            </w:tcBorders>
          </w:tcPr>
          <w:p w14:paraId="B3010000">
            <w:pPr>
              <w:widowControl w:val="1"/>
              <w:ind w:firstLine="34"/>
              <w:contextualSpacing w:val="1"/>
              <w:jc w:val="both"/>
            </w:pPr>
            <w:r>
              <w:t>Начальник железнодорожной станции Красноярск Красноярского центра организации работы станций Красноярской дирекции управления движением  – структурного подразделения Центральной дирекции управления движением -филиала ОАО «РЖД»</w:t>
            </w:r>
          </w:p>
        </w:tc>
      </w:tr>
      <w:tr>
        <w:trPr>
          <w:trHeight w:hRule="atLeast" w:val="512"/>
        </w:trPr>
        <w:tc>
          <w:tcPr>
            <w:tcW w:type="dxa" w:w="3544"/>
            <w:tcBorders>
              <w:top w:color="000000" w:sz="4" w:val="single"/>
              <w:left w:color="000000" w:sz="4" w:val="single"/>
              <w:bottom w:color="000000" w:sz="4" w:val="single"/>
              <w:right w:color="000000" w:sz="4" w:val="single"/>
            </w:tcBorders>
          </w:tcPr>
          <w:p w14:paraId="B4010000">
            <w:pPr>
              <w:widowControl w:val="1"/>
              <w:ind w:firstLine="34"/>
              <w:contextualSpacing w:val="1"/>
            </w:pPr>
            <w:r>
              <w:t>С 04.03.2008 г. по 31.12.2009 г.</w:t>
            </w:r>
          </w:p>
        </w:tc>
        <w:tc>
          <w:tcPr>
            <w:tcW w:type="dxa" w:w="5954"/>
            <w:tcBorders>
              <w:top w:color="000000" w:sz="4" w:val="single"/>
              <w:left w:color="000000" w:sz="4" w:val="single"/>
              <w:bottom w:color="000000" w:sz="4" w:val="single"/>
              <w:right w:color="000000" w:sz="4" w:val="single"/>
            </w:tcBorders>
          </w:tcPr>
          <w:p w14:paraId="B5010000">
            <w:pPr>
              <w:widowControl w:val="1"/>
              <w:ind w:firstLine="34"/>
              <w:contextualSpacing w:val="1"/>
              <w:jc w:val="both"/>
            </w:pPr>
            <w:r>
              <w:t>Начальник железнодорожной станции Красноярск - структурного подразделения Дирекции управления движением - структурного подразделения  Красноярской железной дороги - филиала ОАО «РЖД»</w:t>
            </w:r>
          </w:p>
        </w:tc>
      </w:tr>
      <w:tr>
        <w:trPr>
          <w:trHeight w:hRule="atLeast" w:val="512"/>
        </w:trPr>
        <w:tc>
          <w:tcPr>
            <w:tcW w:type="dxa" w:w="3544"/>
            <w:tcBorders>
              <w:top w:color="000000" w:sz="4" w:val="single"/>
              <w:left w:color="000000" w:sz="4" w:val="single"/>
              <w:bottom w:color="000000" w:sz="4" w:val="single"/>
              <w:right w:color="000000" w:sz="4" w:val="single"/>
            </w:tcBorders>
          </w:tcPr>
          <w:p w14:paraId="B6010000">
            <w:pPr>
              <w:widowControl w:val="1"/>
              <w:ind w:firstLine="34"/>
              <w:contextualSpacing w:val="1"/>
            </w:pPr>
            <w:r>
              <w:t>С 28.06.2007 г. по 03.03.2008 г.</w:t>
            </w:r>
          </w:p>
        </w:tc>
        <w:tc>
          <w:tcPr>
            <w:tcW w:type="dxa" w:w="5954"/>
            <w:tcBorders>
              <w:top w:color="000000" w:sz="4" w:val="single"/>
              <w:left w:color="000000" w:sz="4" w:val="single"/>
              <w:bottom w:color="000000" w:sz="4" w:val="single"/>
              <w:right w:color="000000" w:sz="4" w:val="single"/>
            </w:tcBorders>
          </w:tcPr>
          <w:p w14:paraId="B7010000">
            <w:pPr>
              <w:widowControl w:val="1"/>
              <w:ind w:firstLine="34"/>
              <w:contextualSpacing w:val="1"/>
              <w:jc w:val="both"/>
            </w:pPr>
            <w:r>
              <w:t>Заместитель начальника отдела перевозок - начальник Центра управления местной работой Красноярского отделения - структурного подразделения  Красноярской железной дороги - филиала ОАО «РЖД»</w:t>
            </w:r>
          </w:p>
        </w:tc>
      </w:tr>
      <w:tr>
        <w:trPr>
          <w:trHeight w:hRule="atLeast" w:val="526"/>
        </w:trPr>
        <w:tc>
          <w:tcPr>
            <w:tcW w:type="dxa" w:w="3544"/>
            <w:tcBorders>
              <w:top w:color="000000" w:sz="4" w:val="single"/>
              <w:left w:color="000000" w:sz="4" w:val="single"/>
              <w:bottom w:color="000000" w:sz="4" w:val="single"/>
              <w:right w:color="000000" w:sz="4" w:val="single"/>
            </w:tcBorders>
          </w:tcPr>
          <w:p w14:paraId="B8010000">
            <w:pPr>
              <w:widowControl w:val="1"/>
              <w:ind w:firstLine="34"/>
              <w:contextualSpacing w:val="1"/>
            </w:pPr>
            <w:r>
              <w:t>С 02.02.2004 г. по 27.06.2007 г.</w:t>
            </w:r>
          </w:p>
        </w:tc>
        <w:tc>
          <w:tcPr>
            <w:tcW w:type="dxa" w:w="5954"/>
            <w:tcBorders>
              <w:top w:color="000000" w:sz="4" w:val="single"/>
              <w:left w:color="000000" w:sz="4" w:val="single"/>
              <w:bottom w:color="000000" w:sz="4" w:val="single"/>
              <w:right w:color="000000" w:sz="4" w:val="single"/>
            </w:tcBorders>
          </w:tcPr>
          <w:p w14:paraId="B9010000">
            <w:pPr>
              <w:widowControl w:val="1"/>
              <w:ind w:firstLine="34"/>
              <w:contextualSpacing w:val="1"/>
              <w:jc w:val="both"/>
            </w:pPr>
            <w:r>
              <w:t>Заместитель начальника станции Базаиха Красноярского отделения - структурного подразделения  Красноярской железной дороги - филиала ОАО «РЖД»</w:t>
            </w:r>
          </w:p>
        </w:tc>
      </w:tr>
      <w:tr>
        <w:trPr>
          <w:trHeight w:hRule="atLeast" w:val="215"/>
        </w:trPr>
        <w:tc>
          <w:tcPr>
            <w:tcW w:type="dxa" w:w="3544"/>
            <w:tcBorders>
              <w:top w:color="000000" w:sz="4" w:val="single"/>
              <w:left w:color="000000" w:sz="4" w:val="single"/>
              <w:bottom w:color="000000" w:sz="4" w:val="single"/>
              <w:right w:color="000000" w:sz="4" w:val="single"/>
            </w:tcBorders>
          </w:tcPr>
          <w:p w14:paraId="BA010000">
            <w:pPr>
              <w:widowControl w:val="1"/>
              <w:ind w:firstLine="34"/>
              <w:contextualSpacing w:val="1"/>
            </w:pPr>
            <w:r>
              <w:t>С 01.10.2003 г. по 01.02.2004 г.</w:t>
            </w:r>
          </w:p>
        </w:tc>
        <w:tc>
          <w:tcPr>
            <w:tcW w:type="dxa" w:w="5954"/>
            <w:tcBorders>
              <w:top w:color="000000" w:sz="4" w:val="single"/>
              <w:left w:color="000000" w:sz="4" w:val="single"/>
              <w:bottom w:color="000000" w:sz="4" w:val="single"/>
              <w:right w:color="000000" w:sz="4" w:val="single"/>
            </w:tcBorders>
          </w:tcPr>
          <w:p w14:paraId="BB010000">
            <w:pPr>
              <w:widowControl w:val="1"/>
              <w:ind w:firstLine="34"/>
              <w:contextualSpacing w:val="1"/>
              <w:jc w:val="both"/>
            </w:pPr>
            <w:r>
              <w:t>Поездной диспетчер Единого центра диспетчерского управления службы перевозок Красноярской железной дороги - филиала ОАО "РЖД"</w:t>
            </w:r>
          </w:p>
        </w:tc>
      </w:tr>
      <w:tr>
        <w:trPr>
          <w:trHeight w:hRule="atLeast" w:val="562"/>
        </w:trPr>
        <w:tc>
          <w:tcPr>
            <w:tcW w:type="dxa" w:w="3544"/>
            <w:tcBorders>
              <w:top w:color="000000" w:sz="4" w:val="single"/>
              <w:left w:color="000000" w:sz="4" w:val="single"/>
              <w:bottom w:color="000000" w:sz="4" w:val="single"/>
              <w:right w:color="000000" w:sz="4" w:val="single"/>
            </w:tcBorders>
          </w:tcPr>
          <w:p w14:paraId="BC010000">
            <w:pPr>
              <w:widowControl w:val="1"/>
              <w:ind/>
              <w:contextualSpacing w:val="1"/>
            </w:pPr>
            <w:r>
              <w:t>С 04.01.2003 г. по 30.09.2003 г.</w:t>
            </w:r>
          </w:p>
        </w:tc>
        <w:tc>
          <w:tcPr>
            <w:tcW w:type="dxa" w:w="5954"/>
            <w:tcBorders>
              <w:top w:color="000000" w:sz="4" w:val="single"/>
              <w:left w:color="000000" w:sz="4" w:val="single"/>
              <w:bottom w:color="000000" w:sz="4" w:val="single"/>
              <w:right w:color="000000" w:sz="4" w:val="single"/>
            </w:tcBorders>
          </w:tcPr>
          <w:p w14:paraId="BD010000">
            <w:pPr>
              <w:widowControl w:val="1"/>
              <w:ind w:firstLine="34"/>
              <w:contextualSpacing w:val="1"/>
              <w:jc w:val="both"/>
            </w:pPr>
            <w:r>
              <w:t>Поездной диспетчер Единого центра диспетчерского управления службы перевозок ФГУП "Красноярская железная дорога"</w:t>
            </w:r>
          </w:p>
        </w:tc>
      </w:tr>
      <w:tr>
        <w:trPr>
          <w:trHeight w:hRule="atLeast" w:val="562"/>
        </w:trPr>
        <w:tc>
          <w:tcPr>
            <w:tcW w:type="dxa" w:w="3544"/>
            <w:tcBorders>
              <w:top w:color="000000" w:sz="4" w:val="single"/>
              <w:left w:color="000000" w:sz="4" w:val="single"/>
              <w:bottom w:color="000000" w:sz="4" w:val="single"/>
              <w:right w:color="000000" w:sz="4" w:val="single"/>
            </w:tcBorders>
          </w:tcPr>
          <w:p w14:paraId="BE010000">
            <w:pPr>
              <w:widowControl w:val="1"/>
              <w:ind/>
              <w:contextualSpacing w:val="1"/>
            </w:pPr>
            <w:r>
              <w:t>С 14.08.2002 г. по 03.01.2003 г.</w:t>
            </w:r>
          </w:p>
        </w:tc>
        <w:tc>
          <w:tcPr>
            <w:tcW w:type="dxa" w:w="5954"/>
            <w:tcBorders>
              <w:top w:color="000000" w:sz="4" w:val="single"/>
              <w:left w:color="000000" w:sz="4" w:val="single"/>
              <w:bottom w:color="000000" w:sz="4" w:val="single"/>
              <w:right w:color="000000" w:sz="4" w:val="single"/>
            </w:tcBorders>
          </w:tcPr>
          <w:p w14:paraId="BF010000">
            <w:pPr>
              <w:widowControl w:val="1"/>
              <w:ind w:firstLine="34"/>
              <w:contextualSpacing w:val="1"/>
              <w:jc w:val="both"/>
            </w:pPr>
            <w:r>
              <w:t>Дежурный по железнодорожной станции Базаиха Красноярской железной дороги</w:t>
            </w:r>
          </w:p>
        </w:tc>
      </w:tr>
      <w:tr>
        <w:trPr>
          <w:trHeight w:hRule="atLeast" w:val="562"/>
        </w:trPr>
        <w:tc>
          <w:tcPr>
            <w:tcW w:type="dxa" w:w="3544"/>
            <w:tcBorders>
              <w:top w:color="000000" w:sz="4" w:val="single"/>
              <w:left w:color="000000" w:sz="4" w:val="single"/>
              <w:bottom w:color="000000" w:sz="4" w:val="single"/>
              <w:right w:color="000000" w:sz="4" w:val="single"/>
            </w:tcBorders>
          </w:tcPr>
          <w:p w14:paraId="C0010000">
            <w:pPr>
              <w:widowControl w:val="1"/>
              <w:ind/>
              <w:contextualSpacing w:val="1"/>
            </w:pPr>
            <w:r>
              <w:t>С 25.05.2002 г. по 13.08.2002 г.</w:t>
            </w:r>
          </w:p>
        </w:tc>
        <w:tc>
          <w:tcPr>
            <w:tcW w:type="dxa" w:w="5954"/>
            <w:tcBorders>
              <w:top w:color="000000" w:sz="4" w:val="single"/>
              <w:left w:color="000000" w:sz="4" w:val="single"/>
              <w:bottom w:color="000000" w:sz="4" w:val="single"/>
              <w:right w:color="000000" w:sz="4" w:val="single"/>
            </w:tcBorders>
          </w:tcPr>
          <w:p w14:paraId="C1010000">
            <w:pPr>
              <w:widowControl w:val="1"/>
              <w:ind w:firstLine="34"/>
              <w:contextualSpacing w:val="1"/>
              <w:jc w:val="both"/>
            </w:pPr>
            <w:r>
              <w:t>Маневровый диспетчер железнодорожной станции Базаиха Красноярской железной дороги</w:t>
            </w:r>
          </w:p>
        </w:tc>
      </w:tr>
      <w:tr>
        <w:trPr>
          <w:trHeight w:hRule="atLeast" w:val="562"/>
        </w:trPr>
        <w:tc>
          <w:tcPr>
            <w:tcW w:type="dxa" w:w="3544"/>
            <w:tcBorders>
              <w:top w:color="000000" w:sz="4" w:val="single"/>
              <w:left w:color="000000" w:sz="4" w:val="single"/>
              <w:bottom w:color="000000" w:sz="4" w:val="single"/>
              <w:right w:color="000000" w:sz="4" w:val="single"/>
            </w:tcBorders>
          </w:tcPr>
          <w:p w14:paraId="C2010000">
            <w:pPr>
              <w:widowControl w:val="1"/>
              <w:ind/>
              <w:contextualSpacing w:val="1"/>
            </w:pPr>
            <w:r>
              <w:t>С 03.01.2002 г. по 24.05.2002 г.</w:t>
            </w:r>
          </w:p>
        </w:tc>
        <w:tc>
          <w:tcPr>
            <w:tcW w:type="dxa" w:w="5954"/>
            <w:tcBorders>
              <w:top w:color="000000" w:sz="4" w:val="single"/>
              <w:left w:color="000000" w:sz="4" w:val="single"/>
              <w:bottom w:color="000000" w:sz="4" w:val="single"/>
              <w:right w:color="000000" w:sz="4" w:val="single"/>
            </w:tcBorders>
          </w:tcPr>
          <w:p w14:paraId="C3010000">
            <w:pPr>
              <w:widowControl w:val="1"/>
              <w:ind w:firstLine="34"/>
              <w:contextualSpacing w:val="1"/>
              <w:jc w:val="both"/>
            </w:pPr>
            <w:r>
              <w:t>Дежурный по железнодорожной станции Базаиха Красноярской железной дороги</w:t>
            </w:r>
          </w:p>
        </w:tc>
      </w:tr>
      <w:tr>
        <w:trPr>
          <w:trHeight w:hRule="atLeast" w:val="562"/>
        </w:trPr>
        <w:tc>
          <w:tcPr>
            <w:tcW w:type="dxa" w:w="3544"/>
            <w:tcBorders>
              <w:top w:color="000000" w:sz="4" w:val="single"/>
              <w:left w:color="000000" w:sz="4" w:val="single"/>
              <w:bottom w:color="000000" w:sz="4" w:val="single"/>
              <w:right w:color="000000" w:sz="4" w:val="single"/>
            </w:tcBorders>
          </w:tcPr>
          <w:p w14:paraId="C4010000">
            <w:pPr>
              <w:widowControl w:val="1"/>
              <w:ind/>
              <w:contextualSpacing w:val="1"/>
            </w:pPr>
            <w:r>
              <w:t>С 17.07.2001 г. по 02.01.2002 г.</w:t>
            </w:r>
          </w:p>
        </w:tc>
        <w:tc>
          <w:tcPr>
            <w:tcW w:type="dxa" w:w="5954"/>
            <w:tcBorders>
              <w:top w:color="000000" w:sz="4" w:val="single"/>
              <w:left w:color="000000" w:sz="4" w:val="single"/>
              <w:bottom w:color="000000" w:sz="4" w:val="single"/>
              <w:right w:color="000000" w:sz="4" w:val="single"/>
            </w:tcBorders>
          </w:tcPr>
          <w:p w14:paraId="C5010000">
            <w:pPr>
              <w:widowControl w:val="1"/>
              <w:ind w:firstLine="34"/>
              <w:contextualSpacing w:val="1"/>
              <w:jc w:val="both"/>
            </w:pPr>
            <w:r>
              <w:t>Составитель поездов железнодорожной станции Базаиха Красноярской железной дороги</w:t>
            </w:r>
          </w:p>
        </w:tc>
      </w:tr>
    </w:tbl>
    <w:p w14:paraId="C6010000">
      <w:pPr>
        <w:widowControl w:val="1"/>
        <w:spacing w:line="360" w:lineRule="auto"/>
        <w:ind w:firstLine="709"/>
        <w:contextualSpacing w:val="1"/>
      </w:pPr>
    </w:p>
    <w:p w14:paraId="C7010000">
      <w:pPr>
        <w:widowControl w:val="1"/>
        <w:spacing w:line="360" w:lineRule="auto"/>
        <w:ind w:firstLine="709"/>
        <w:contextualSpacing w:val="1"/>
      </w:pPr>
      <w:r>
        <w:t>Контактная информация:</w:t>
      </w:r>
    </w:p>
    <w:p w14:paraId="C8010000">
      <w:pPr>
        <w:widowControl w:val="1"/>
        <w:spacing w:line="360" w:lineRule="auto"/>
        <w:ind w:firstLine="709"/>
        <w:contextualSpacing w:val="1"/>
        <w:jc w:val="both"/>
      </w:pPr>
      <w:r>
        <w:rPr>
          <w:color w:val="000000"/>
        </w:rPr>
        <w:t>660021, г. Красноярск, ул.</w:t>
      </w:r>
      <w:r>
        <w:t xml:space="preserve"> Горького, д.3к, помещение 45,52,53</w:t>
      </w:r>
      <w:r>
        <w:t xml:space="preserve">; тел. </w:t>
      </w:r>
      <w:r>
        <w:rPr>
          <w:color w:val="000000"/>
        </w:rPr>
        <w:t xml:space="preserve">8 (391) </w:t>
      </w:r>
      <w:r>
        <w:t>25</w:t>
      </w:r>
      <w:r>
        <w:t>-</w:t>
      </w:r>
      <w:r>
        <w:t>680</w:t>
      </w:r>
      <w:r>
        <w:t>-</w:t>
      </w:r>
      <w:r>
        <w:t>42</w:t>
      </w:r>
    </w:p>
    <w:p w14:paraId="C9010000">
      <w:pPr>
        <w:widowControl w:val="1"/>
        <w:ind w:firstLine="709"/>
        <w:contextualSpacing w:val="1"/>
        <w:rPr>
          <w:b w:val="1"/>
        </w:rPr>
      </w:pPr>
    </w:p>
    <w:p w14:paraId="CA010000">
      <w:pPr>
        <w:widowControl w:val="1"/>
        <w:ind w:firstLine="709"/>
        <w:contextualSpacing w:val="1"/>
        <w:rPr>
          <w:b w:val="1"/>
        </w:rPr>
      </w:pPr>
    </w:p>
    <w:p w14:paraId="CB010000">
      <w:pPr>
        <w:widowControl w:val="1"/>
        <w:ind w:firstLine="709"/>
        <w:contextualSpacing w:val="1"/>
        <w:rPr>
          <w:b w:val="1"/>
        </w:rPr>
      </w:pPr>
    </w:p>
    <w:p w14:paraId="CC010000">
      <w:pPr>
        <w:widowControl w:val="1"/>
        <w:ind w:firstLine="709"/>
        <w:contextualSpacing w:val="1"/>
        <w:rPr>
          <w:b w:val="1"/>
        </w:rPr>
      </w:pPr>
    </w:p>
    <w:p w14:paraId="CD010000">
      <w:pPr>
        <w:widowControl w:val="1"/>
        <w:ind w:firstLine="709"/>
        <w:contextualSpacing w:val="1"/>
        <w:rPr>
          <w:b w:val="1"/>
        </w:rPr>
      </w:pPr>
    </w:p>
    <w:p w14:paraId="CE010000">
      <w:pPr>
        <w:widowControl w:val="1"/>
        <w:ind w:firstLine="709"/>
        <w:contextualSpacing w:val="1"/>
        <w:rPr>
          <w:b w:val="1"/>
        </w:rPr>
      </w:pPr>
    </w:p>
    <w:p w14:paraId="CF010000">
      <w:bookmarkStart w:id="16" w:name="__RefHeading___15"/>
      <w:bookmarkEnd w:id="16"/>
      <w:pPr>
        <w:pStyle w:val="Style_10"/>
        <w:widowControl w:val="1"/>
        <w:spacing w:after="0" w:before="0"/>
        <w:ind w:firstLine="709"/>
        <w:contextualSpacing w:val="1"/>
        <w:jc w:val="both"/>
        <w:rPr>
          <w:rFonts w:ascii="Times New Roman" w:hAnsi="Times New Roman"/>
          <w:i w:val="0"/>
          <w:sz w:val="24"/>
        </w:rPr>
      </w:pPr>
      <w:r>
        <w:rPr>
          <w:rFonts w:ascii="Times New Roman" w:hAnsi="Times New Roman"/>
          <w:i w:val="0"/>
          <w:sz w:val="24"/>
        </w:rPr>
        <w:t>3.3.</w:t>
      </w:r>
      <w:r>
        <w:rPr>
          <w:rFonts w:ascii="Times New Roman" w:hAnsi="Times New Roman"/>
          <w:i w:val="0"/>
          <w:sz w:val="24"/>
        </w:rPr>
        <w:t xml:space="preserve"> </w:t>
      </w:r>
      <w:r>
        <w:rPr>
          <w:rFonts w:ascii="Times New Roman" w:hAnsi="Times New Roman"/>
          <w:i w:val="0"/>
          <w:sz w:val="24"/>
        </w:rPr>
        <w:t>Акционеры</w:t>
      </w:r>
    </w:p>
    <w:p w14:paraId="D0010000">
      <w:pPr>
        <w:keepNext w:val="1"/>
        <w:widowControl w:val="1"/>
        <w:spacing w:line="360" w:lineRule="auto"/>
        <w:ind w:firstLine="709"/>
        <w:contextualSpacing w:val="1"/>
        <w:jc w:val="right"/>
        <w:rPr>
          <w:b w:val="1"/>
        </w:rPr>
      </w:pPr>
      <w:r>
        <w:rPr>
          <w:b w:val="1"/>
        </w:rPr>
        <w:t>Таблица</w:t>
      </w:r>
      <w:r>
        <w:rPr>
          <w:b w:val="1"/>
        </w:rPr>
        <w:t xml:space="preserve"> </w:t>
      </w:r>
      <w:r>
        <w:rPr>
          <w:b w:val="1"/>
        </w:rPr>
        <w:t>3</w:t>
      </w:r>
      <w:r>
        <w:rPr>
          <w:b w:val="1"/>
        </w:rPr>
        <w:t>.</w:t>
      </w:r>
      <w:r>
        <w:rPr>
          <w:b w:val="1"/>
        </w:rPr>
        <w:t>4</w:t>
      </w:r>
      <w:r>
        <w:rPr>
          <w:b w:val="1"/>
        </w:rPr>
        <w:t>.</w:t>
      </w:r>
    </w:p>
    <w:p w14:paraId="D1010000">
      <w:pPr>
        <w:keepNext w:val="1"/>
        <w:widowControl w:val="1"/>
        <w:spacing w:line="360" w:lineRule="auto"/>
        <w:ind w:firstLine="709"/>
        <w:contextualSpacing w:val="1"/>
        <w:rPr>
          <w:b w:val="1"/>
        </w:rPr>
      </w:pPr>
      <w:r>
        <w:rPr>
          <w:b w:val="1"/>
        </w:rPr>
        <w:t>Список акционеров АО «Краспригород»</w:t>
      </w:r>
    </w:p>
    <w:tbl>
      <w:tblPr>
        <w:tblStyle w:val="Style_4"/>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4966"/>
        <w:gridCol w:w="2342"/>
        <w:gridCol w:w="2520"/>
      </w:tblGrid>
      <w:tr>
        <w:tc>
          <w:tcPr>
            <w:tcW w:type="dxa" w:w="4966"/>
            <w:tcBorders>
              <w:top w:color="000000" w:sz="4" w:val="single"/>
              <w:left w:color="000000" w:sz="4" w:val="single"/>
              <w:bottom w:color="000000" w:sz="4" w:val="single"/>
              <w:right w:color="000000" w:sz="4" w:val="single"/>
            </w:tcBorders>
            <w:vAlign w:val="center"/>
          </w:tcPr>
          <w:p w14:paraId="D2010000">
            <w:pPr>
              <w:pStyle w:val="Style_19"/>
              <w:keepNext w:val="1"/>
              <w:widowControl w:val="1"/>
              <w:pBdr>
                <w:right w:color="000000" w:space="0" w:val="nil"/>
              </w:pBdr>
              <w:spacing w:after="0" w:before="0"/>
              <w:ind/>
              <w:contextualSpacing w:val="1"/>
              <w:jc w:val="left"/>
              <w:rPr>
                <w:rFonts w:ascii="Times New Roman" w:hAnsi="Times New Roman"/>
              </w:rPr>
            </w:pPr>
            <w:r>
              <w:rPr>
                <w:rFonts w:ascii="Times New Roman" w:hAnsi="Times New Roman"/>
              </w:rPr>
              <w:t>Наименование владельца ценных бумаг</w:t>
            </w:r>
          </w:p>
        </w:tc>
        <w:tc>
          <w:tcPr>
            <w:tcW w:type="dxa" w:w="2342"/>
            <w:tcBorders>
              <w:top w:color="000000" w:sz="4" w:val="single"/>
              <w:left w:color="000000" w:sz="4" w:val="single"/>
              <w:bottom w:color="000000" w:sz="4" w:val="single"/>
              <w:right w:color="000000" w:sz="4" w:val="single"/>
            </w:tcBorders>
            <w:vAlign w:val="center"/>
          </w:tcPr>
          <w:p w14:paraId="D3010000">
            <w:pPr>
              <w:keepNext w:val="1"/>
              <w:widowControl w:val="1"/>
              <w:ind/>
              <w:contextualSpacing w:val="1"/>
              <w:jc w:val="center"/>
              <w:rPr>
                <w:b w:val="1"/>
              </w:rPr>
            </w:pPr>
            <w:r>
              <w:rPr>
                <w:b w:val="1"/>
              </w:rPr>
              <w:t>Доля в уставном к</w:t>
            </w:r>
            <w:r>
              <w:rPr>
                <w:b w:val="1"/>
              </w:rPr>
              <w:t>а</w:t>
            </w:r>
            <w:r>
              <w:rPr>
                <w:b w:val="1"/>
              </w:rPr>
              <w:t>питале, %</w:t>
            </w:r>
          </w:p>
        </w:tc>
        <w:tc>
          <w:tcPr>
            <w:tcW w:type="dxa" w:w="2520"/>
            <w:tcBorders>
              <w:top w:color="000000" w:sz="4" w:val="single"/>
              <w:left w:color="000000" w:sz="4" w:val="single"/>
              <w:bottom w:color="000000" w:sz="4" w:val="single"/>
              <w:right w:color="000000" w:sz="4" w:val="single"/>
            </w:tcBorders>
            <w:vAlign w:val="center"/>
          </w:tcPr>
          <w:p w14:paraId="D4010000">
            <w:pPr>
              <w:keepNext w:val="1"/>
              <w:widowControl w:val="1"/>
              <w:ind/>
              <w:contextualSpacing w:val="1"/>
              <w:jc w:val="center"/>
              <w:rPr>
                <w:b w:val="1"/>
              </w:rPr>
            </w:pPr>
            <w:r>
              <w:rPr>
                <w:b w:val="1"/>
              </w:rPr>
              <w:t>Сумма, тыс. руб.</w:t>
            </w:r>
          </w:p>
        </w:tc>
      </w:tr>
      <w:tr>
        <w:trPr>
          <w:trHeight w:hRule="atLeast" w:val="539"/>
        </w:trPr>
        <w:tc>
          <w:tcPr>
            <w:tcW w:type="dxa" w:w="4966"/>
            <w:tcBorders>
              <w:top w:color="000000" w:sz="4" w:val="single"/>
              <w:left w:color="000000" w:sz="4" w:val="single"/>
              <w:bottom w:color="000000" w:sz="4" w:val="single"/>
              <w:right w:color="000000" w:sz="4" w:val="single"/>
            </w:tcBorders>
            <w:vAlign w:val="center"/>
          </w:tcPr>
          <w:p w14:paraId="D5010000">
            <w:pPr>
              <w:widowControl w:val="1"/>
              <w:ind/>
              <w:contextualSpacing w:val="1"/>
            </w:pPr>
            <w:r>
              <w:t>ОАО «РЖД»</w:t>
            </w:r>
          </w:p>
        </w:tc>
        <w:tc>
          <w:tcPr>
            <w:tcW w:type="dxa" w:w="2342"/>
            <w:tcBorders>
              <w:top w:color="000000" w:sz="4" w:val="single"/>
              <w:left w:color="000000" w:sz="4" w:val="single"/>
              <w:bottom w:color="000000" w:sz="4" w:val="single"/>
              <w:right w:color="000000" w:sz="4" w:val="single"/>
            </w:tcBorders>
            <w:vAlign w:val="center"/>
          </w:tcPr>
          <w:p w14:paraId="D6010000">
            <w:pPr>
              <w:widowControl w:val="1"/>
              <w:ind/>
              <w:contextualSpacing w:val="1"/>
              <w:jc w:val="center"/>
            </w:pPr>
            <w:r>
              <w:t>51</w:t>
            </w:r>
          </w:p>
        </w:tc>
        <w:tc>
          <w:tcPr>
            <w:tcW w:type="dxa" w:w="2520"/>
            <w:tcBorders>
              <w:top w:color="000000" w:sz="4" w:val="single"/>
              <w:left w:color="000000" w:sz="4" w:val="single"/>
              <w:bottom w:color="000000" w:sz="4" w:val="single"/>
              <w:right w:color="000000" w:sz="4" w:val="single"/>
            </w:tcBorders>
            <w:vAlign w:val="center"/>
          </w:tcPr>
          <w:p w14:paraId="D7010000">
            <w:pPr>
              <w:widowControl w:val="1"/>
              <w:ind/>
              <w:contextualSpacing w:val="1"/>
              <w:jc w:val="center"/>
            </w:pPr>
            <w:r>
              <w:t>51</w:t>
            </w:r>
          </w:p>
        </w:tc>
      </w:tr>
      <w:tr>
        <w:trPr>
          <w:trHeight w:hRule="atLeast" w:val="519"/>
        </w:trPr>
        <w:tc>
          <w:tcPr>
            <w:tcW w:type="dxa" w:w="4966"/>
            <w:tcBorders>
              <w:top w:color="000000" w:sz="4" w:val="single"/>
              <w:left w:color="000000" w:sz="4" w:val="single"/>
              <w:bottom w:color="000000" w:sz="4" w:val="single"/>
              <w:right w:color="000000" w:sz="4" w:val="single"/>
            </w:tcBorders>
            <w:vAlign w:val="center"/>
          </w:tcPr>
          <w:p w14:paraId="D8010000">
            <w:pPr>
              <w:widowControl w:val="1"/>
              <w:ind/>
              <w:contextualSpacing w:val="1"/>
            </w:pPr>
            <w:r>
              <w:t>ГПКК «Центр транспортной лог</w:t>
            </w:r>
            <w:r>
              <w:t>и</w:t>
            </w:r>
            <w:r>
              <w:t>стики»</w:t>
            </w:r>
          </w:p>
        </w:tc>
        <w:tc>
          <w:tcPr>
            <w:tcW w:type="dxa" w:w="2342"/>
            <w:tcBorders>
              <w:top w:color="000000" w:sz="4" w:val="single"/>
              <w:left w:color="000000" w:sz="4" w:val="single"/>
              <w:bottom w:color="000000" w:sz="4" w:val="single"/>
              <w:right w:color="000000" w:sz="4" w:val="single"/>
            </w:tcBorders>
            <w:vAlign w:val="center"/>
          </w:tcPr>
          <w:p w14:paraId="D9010000">
            <w:pPr>
              <w:pStyle w:val="Style_20"/>
              <w:widowControl w:val="1"/>
              <w:ind/>
              <w:contextualSpacing w:val="1"/>
              <w:jc w:val="center"/>
            </w:pPr>
            <w:r>
              <w:t>49</w:t>
            </w:r>
          </w:p>
        </w:tc>
        <w:tc>
          <w:tcPr>
            <w:tcW w:type="dxa" w:w="2520"/>
            <w:tcBorders>
              <w:top w:color="000000" w:sz="4" w:val="single"/>
              <w:left w:color="000000" w:sz="4" w:val="single"/>
              <w:bottom w:color="000000" w:sz="4" w:val="single"/>
              <w:right w:color="000000" w:sz="4" w:val="single"/>
            </w:tcBorders>
            <w:vAlign w:val="center"/>
          </w:tcPr>
          <w:p w14:paraId="DA010000">
            <w:pPr>
              <w:widowControl w:val="1"/>
              <w:ind/>
              <w:contextualSpacing w:val="1"/>
              <w:jc w:val="center"/>
            </w:pPr>
            <w:r>
              <w:t>49</w:t>
            </w:r>
          </w:p>
        </w:tc>
      </w:tr>
      <w:tr>
        <w:trPr>
          <w:trHeight w:hRule="atLeast" w:val="527"/>
        </w:trPr>
        <w:tc>
          <w:tcPr>
            <w:tcW w:type="dxa" w:w="4966"/>
            <w:tcBorders>
              <w:top w:color="000000" w:sz="4" w:val="single"/>
              <w:left w:color="000000" w:sz="4" w:val="single"/>
              <w:bottom w:color="000000" w:sz="4" w:val="single"/>
              <w:right w:color="000000" w:sz="4" w:val="single"/>
            </w:tcBorders>
            <w:vAlign w:val="center"/>
          </w:tcPr>
          <w:p w14:paraId="DB010000">
            <w:pPr>
              <w:widowControl w:val="1"/>
              <w:ind/>
              <w:contextualSpacing w:val="1"/>
              <w:rPr>
                <w:b w:val="1"/>
              </w:rPr>
            </w:pPr>
            <w:r>
              <w:rPr>
                <w:b w:val="1"/>
              </w:rPr>
              <w:t>ИТОГО</w:t>
            </w:r>
          </w:p>
        </w:tc>
        <w:tc>
          <w:tcPr>
            <w:tcW w:type="dxa" w:w="2342"/>
            <w:tcBorders>
              <w:top w:color="000000" w:sz="4" w:val="single"/>
              <w:left w:color="000000" w:sz="4" w:val="single"/>
              <w:bottom w:color="000000" w:sz="4" w:val="single"/>
              <w:right w:color="000000" w:sz="4" w:val="single"/>
            </w:tcBorders>
            <w:vAlign w:val="center"/>
          </w:tcPr>
          <w:p w14:paraId="DC010000">
            <w:pPr>
              <w:pStyle w:val="Style_19"/>
              <w:widowControl w:val="1"/>
              <w:pBdr>
                <w:right w:color="000000" w:space="0" w:val="nil"/>
              </w:pBdr>
              <w:spacing w:after="0" w:before="0"/>
              <w:ind/>
              <w:contextualSpacing w:val="1"/>
              <w:rPr>
                <w:rFonts w:ascii="Times New Roman" w:hAnsi="Times New Roman"/>
              </w:rPr>
            </w:pPr>
            <w:r>
              <w:rPr>
                <w:rFonts w:ascii="Times New Roman" w:hAnsi="Times New Roman"/>
              </w:rPr>
              <w:t>100</w:t>
            </w:r>
          </w:p>
        </w:tc>
        <w:tc>
          <w:tcPr>
            <w:tcW w:type="dxa" w:w="2520"/>
            <w:tcBorders>
              <w:top w:color="000000" w:sz="4" w:val="single"/>
              <w:left w:color="000000" w:sz="4" w:val="single"/>
              <w:bottom w:color="000000" w:sz="4" w:val="single"/>
              <w:right w:color="000000" w:sz="4" w:val="single"/>
            </w:tcBorders>
            <w:vAlign w:val="center"/>
          </w:tcPr>
          <w:p w14:paraId="DD010000">
            <w:pPr>
              <w:widowControl w:val="1"/>
              <w:ind/>
              <w:contextualSpacing w:val="1"/>
              <w:jc w:val="center"/>
              <w:rPr>
                <w:b w:val="1"/>
              </w:rPr>
            </w:pPr>
            <w:r>
              <w:rPr>
                <w:b w:val="1"/>
              </w:rPr>
              <w:t>100</w:t>
            </w:r>
          </w:p>
        </w:tc>
      </w:tr>
    </w:tbl>
    <w:p w14:paraId="DE010000">
      <w:pPr>
        <w:widowControl w:val="1"/>
        <w:ind w:firstLine="709"/>
        <w:contextualSpacing w:val="1"/>
      </w:pPr>
      <w:r>
        <w:t xml:space="preserve"> </w:t>
      </w:r>
    </w:p>
    <w:p w14:paraId="DF010000">
      <w:pPr>
        <w:pStyle w:val="Style_21"/>
        <w:keepNext w:val="1"/>
        <w:widowControl w:val="1"/>
        <w:spacing w:after="120" w:before="120" w:line="360" w:lineRule="auto"/>
        <w:ind w:firstLine="709"/>
        <w:contextualSpacing w:val="1"/>
        <w:jc w:val="right"/>
        <w:rPr>
          <w:b w:val="1"/>
        </w:rPr>
      </w:pPr>
      <w:r>
        <w:rPr>
          <w:b w:val="1"/>
        </w:rPr>
        <w:t>Диаграмма</w:t>
      </w:r>
      <w:r>
        <w:rPr>
          <w:b w:val="1"/>
        </w:rPr>
        <w:t xml:space="preserve"> </w:t>
      </w:r>
      <w:r>
        <w:rPr>
          <w:b w:val="1"/>
        </w:rPr>
        <w:t>3</w:t>
      </w:r>
      <w:r>
        <w:rPr>
          <w:b w:val="1"/>
        </w:rPr>
        <w:t>.</w:t>
      </w:r>
      <w:r>
        <w:rPr>
          <w:b w:val="1"/>
        </w:rPr>
        <w:t>1.</w:t>
      </w:r>
      <w:r>
        <w:rPr>
          <w:b w:val="1"/>
        </w:rPr>
        <w:t xml:space="preserve"> </w:t>
      </w:r>
    </w:p>
    <w:p w14:paraId="E0010000">
      <w:pPr>
        <w:pStyle w:val="Style_21"/>
        <w:keepNext w:val="1"/>
        <w:widowControl w:val="1"/>
        <w:spacing w:after="120" w:before="120" w:line="360" w:lineRule="auto"/>
        <w:ind w:firstLine="709"/>
        <w:contextualSpacing w:val="1"/>
        <w:jc w:val="both"/>
        <w:rPr>
          <w:b w:val="1"/>
        </w:rPr>
      </w:pPr>
      <w:r>
        <w:rPr>
          <w:b w:val="1"/>
        </w:rPr>
        <w:t>Структура акционерного капитала АО «Краспригород»</w:t>
      </w:r>
      <w:r>
        <w:rPr>
          <w:b w:val="1"/>
        </w:rPr>
        <w:t xml:space="preserve"> в 201</w:t>
      </w:r>
      <w:r>
        <w:rPr>
          <w:b w:val="1"/>
        </w:rPr>
        <w:t>8</w:t>
      </w:r>
      <w:r>
        <w:rPr>
          <w:b w:val="1"/>
        </w:rPr>
        <w:t xml:space="preserve"> </w:t>
      </w:r>
      <w:r>
        <w:rPr>
          <w:b w:val="1"/>
        </w:rPr>
        <w:t>г.</w:t>
      </w:r>
    </w:p>
    <w:p w14:paraId="E1010000">
      <w:pPr>
        <w:pStyle w:val="Style_21"/>
        <w:keepNext w:val="1"/>
        <w:widowControl w:val="1"/>
        <w:spacing w:after="120" w:before="120" w:line="360" w:lineRule="auto"/>
        <w:ind w:firstLine="709"/>
        <w:contextualSpacing w:val="1"/>
        <w:jc w:val="both"/>
        <w:rPr>
          <w:b w:val="1"/>
        </w:rPr>
      </w:pPr>
      <w:r>
        <w:rPr>
          <w:b w:val="1"/>
        </w:rPr>
        <w:drawing>
          <wp:inline>
            <wp:extent cx="5608066" cy="3505708"/>
            <wp:docPr hidden="false" id="3" name="Picture 3"/>
            <a:graphic>
              <a:graphicData uri="http://schemas.openxmlformats.org/drawingml/2006/picture">
                <pic:pic>
                  <pic:nvPicPr>
                    <pic:cNvPr hidden="false" id="4" name="Picture 4"/>
                    <pic:cNvPicPr preferRelativeResize="true"/>
                  </pic:nvPicPr>
                  <pic:blipFill>
                    <a:blip r:embed="rId24"/>
                    <a:srcRect b="0" l="0" r="0" t="0"/>
                    <a:stretch/>
                  </pic:blipFill>
                  <pic:spPr>
                    <a:xfrm flipH="false" flipV="false" rot="0">
                      <a:ext cx="5608066" cy="3505708"/>
                    </a:xfrm>
                    <a:prstGeom prst="rect"/>
                  </pic:spPr>
                </pic:pic>
              </a:graphicData>
            </a:graphic>
          </wp:inline>
        </w:drawing>
      </w:r>
    </w:p>
    <w:p w14:paraId="E2010000">
      <w:pPr>
        <w:sectPr>
          <w:footerReference r:id="rId21" w:type="default"/>
          <w:footerReference r:id="rId3" w:type="even"/>
          <w:pgSz w:h="16840" w:orient="portrait" w:w="11907"/>
          <w:pgMar w:bottom="540" w:footer="567" w:gutter="0" w:header="720" w:left="1418" w:right="850" w:top="426"/>
          <w:titlePg/>
        </w:sectPr>
      </w:pPr>
    </w:p>
    <w:p w14:paraId="E3010000">
      <w:pPr>
        <w:widowControl w:val="1"/>
        <w:spacing w:before="240"/>
        <w:ind/>
        <w:rPr>
          <w:b w:val="1"/>
        </w:rPr>
      </w:pPr>
      <w:r>
        <w:rPr>
          <w:b w:val="1"/>
        </w:rPr>
        <w:t>А) Форма титульного листа списка аффилированных лиц акционерного общества</w:t>
      </w:r>
    </w:p>
    <w:p w14:paraId="E4010000">
      <w:pPr>
        <w:widowControl w:val="1"/>
        <w:spacing w:before="240"/>
        <w:ind/>
        <w:jc w:val="center"/>
        <w:rPr>
          <w:b w:val="1"/>
          <w:sz w:val="32"/>
        </w:rPr>
      </w:pPr>
      <w:r>
        <w:rPr>
          <w:b w:val="1"/>
          <w:sz w:val="32"/>
        </w:rPr>
        <w:t>СПИСОК АФФИЛИРОВАННЫХ ЛИЦ</w:t>
      </w:r>
    </w:p>
    <w:p w14:paraId="E5010000">
      <w:pPr>
        <w:widowControl w:val="1"/>
        <w:spacing w:before="120"/>
        <w:ind w:left="2835" w:right="2835"/>
        <w:jc w:val="center"/>
      </w:pPr>
      <w:r>
        <w:t>Акционерное общество «Краспригород»</w:t>
      </w:r>
    </w:p>
    <w:p w14:paraId="E6010000">
      <w:pPr>
        <w:widowControl w:val="1"/>
        <w:pBdr>
          <w:top w:color="000000" w:space="1" w:sz="4" w:val="single"/>
        </w:pBdr>
        <w:spacing w:after="240" w:before="240"/>
        <w:ind w:left="2835" w:right="2835"/>
        <w:jc w:val="center"/>
      </w:pPr>
      <w:r>
        <w:t>(указывается полное фирменное наименование акционерного общества)</w:t>
      </w:r>
    </w:p>
    <w:tbl>
      <w:tblPr>
        <w:tblStyle w:val="Style_4"/>
        <w:tblW w:type="auto" w:w="0"/>
        <w:jc w:val="center"/>
        <w:tblLayout w:type="fixed"/>
        <w:tblCellMar>
          <w:left w:type="dxa" w:w="28"/>
          <w:right w:type="dxa" w:w="28"/>
        </w:tblCellMar>
      </w:tblPr>
      <w:tblGrid>
        <w:gridCol w:w="2296"/>
        <w:gridCol w:w="340"/>
        <w:gridCol w:w="340"/>
        <w:gridCol w:w="340"/>
        <w:gridCol w:w="340"/>
        <w:gridCol w:w="340"/>
        <w:gridCol w:w="340"/>
        <w:gridCol w:w="340"/>
      </w:tblGrid>
      <w:tr>
        <w:tc>
          <w:tcPr>
            <w:tcW w:type="dxa" w:w="2296"/>
            <w:tcBorders>
              <w:top w:sz="4" w:val="nil"/>
              <w:left w:sz="4" w:val="nil"/>
              <w:bottom w:sz="4" w:val="nil"/>
              <w:right w:sz="4" w:val="nil"/>
            </w:tcBorders>
            <w:tcMar>
              <w:left w:type="dxa" w:w="28"/>
              <w:right w:type="dxa" w:w="28"/>
            </w:tcMar>
            <w:vAlign w:val="bottom"/>
          </w:tcPr>
          <w:p w14:paraId="E7010000">
            <w:pPr>
              <w:rPr>
                <w:b w:val="1"/>
                <w:sz w:val="32"/>
              </w:rPr>
            </w:pPr>
            <w:r>
              <w:rPr>
                <w:b w:val="1"/>
                <w:sz w:val="32"/>
              </w:rPr>
              <w:t>Код эмитента:</w:t>
            </w:r>
          </w:p>
        </w:tc>
        <w:tc>
          <w:tcPr>
            <w:tcW w:type="dxa" w:w="340"/>
            <w:tcBorders>
              <w:top w:color="000000" w:sz="4" w:val="single"/>
              <w:left w:color="000000" w:sz="4" w:val="single"/>
              <w:bottom w:color="000000" w:sz="4" w:val="single"/>
              <w:right w:color="000000" w:sz="4" w:val="single"/>
            </w:tcBorders>
            <w:tcMar>
              <w:left w:type="dxa" w:w="28"/>
              <w:right w:type="dxa" w:w="28"/>
            </w:tcMar>
            <w:vAlign w:val="bottom"/>
          </w:tcPr>
          <w:p w14:paraId="E8010000">
            <w:pPr>
              <w:widowControl w:val="1"/>
              <w:ind/>
              <w:jc w:val="center"/>
              <w:rPr>
                <w:b w:val="1"/>
                <w:sz w:val="32"/>
              </w:rPr>
            </w:pPr>
          </w:p>
        </w:tc>
        <w:tc>
          <w:tcPr>
            <w:tcW w:type="dxa" w:w="340"/>
            <w:tcBorders>
              <w:top w:color="000000" w:sz="4" w:val="single"/>
              <w:left w:color="000000" w:sz="4" w:val="single"/>
              <w:bottom w:color="000000" w:sz="4" w:val="single"/>
              <w:right w:color="000000" w:sz="4" w:val="single"/>
            </w:tcBorders>
            <w:tcMar>
              <w:left w:type="dxa" w:w="28"/>
              <w:right w:type="dxa" w:w="28"/>
            </w:tcMar>
            <w:vAlign w:val="bottom"/>
          </w:tcPr>
          <w:p w14:paraId="E9010000">
            <w:pPr>
              <w:widowControl w:val="1"/>
              <w:ind/>
              <w:jc w:val="center"/>
              <w:rPr>
                <w:b w:val="1"/>
                <w:sz w:val="32"/>
              </w:rPr>
            </w:pPr>
          </w:p>
        </w:tc>
        <w:tc>
          <w:tcPr>
            <w:tcW w:type="dxa" w:w="340"/>
            <w:tcBorders>
              <w:top w:color="000000" w:sz="4" w:val="single"/>
              <w:left w:color="000000" w:sz="4" w:val="single"/>
              <w:bottom w:color="000000" w:sz="4" w:val="single"/>
              <w:right w:color="000000" w:sz="4" w:val="single"/>
            </w:tcBorders>
            <w:tcMar>
              <w:left w:type="dxa" w:w="28"/>
              <w:right w:type="dxa" w:w="28"/>
            </w:tcMar>
            <w:vAlign w:val="bottom"/>
          </w:tcPr>
          <w:p w14:paraId="EA010000">
            <w:pPr>
              <w:widowControl w:val="1"/>
              <w:ind/>
              <w:jc w:val="center"/>
              <w:rPr>
                <w:b w:val="1"/>
                <w:sz w:val="32"/>
              </w:rPr>
            </w:pPr>
          </w:p>
        </w:tc>
        <w:tc>
          <w:tcPr>
            <w:tcW w:type="dxa" w:w="340"/>
            <w:tcBorders>
              <w:top w:color="000000" w:sz="4" w:val="single"/>
              <w:left w:color="000000" w:sz="4" w:val="single"/>
              <w:bottom w:color="000000" w:sz="4" w:val="single"/>
              <w:right w:color="000000" w:sz="4" w:val="single"/>
            </w:tcBorders>
            <w:tcMar>
              <w:left w:type="dxa" w:w="28"/>
              <w:right w:type="dxa" w:w="28"/>
            </w:tcMar>
            <w:vAlign w:val="bottom"/>
          </w:tcPr>
          <w:p w14:paraId="EB010000">
            <w:pPr>
              <w:widowControl w:val="1"/>
              <w:ind/>
              <w:jc w:val="center"/>
              <w:rPr>
                <w:b w:val="1"/>
                <w:sz w:val="32"/>
              </w:rPr>
            </w:pPr>
          </w:p>
        </w:tc>
        <w:tc>
          <w:tcPr>
            <w:tcW w:type="dxa" w:w="340"/>
            <w:tcBorders>
              <w:top w:color="000000" w:sz="4" w:val="single"/>
              <w:left w:color="000000" w:sz="4" w:val="single"/>
              <w:bottom w:color="000000" w:sz="4" w:val="single"/>
              <w:right w:color="000000" w:sz="4" w:val="single"/>
            </w:tcBorders>
            <w:tcMar>
              <w:left w:type="dxa" w:w="28"/>
              <w:right w:type="dxa" w:w="28"/>
            </w:tcMar>
            <w:vAlign w:val="bottom"/>
          </w:tcPr>
          <w:p w14:paraId="EC010000">
            <w:pPr>
              <w:widowControl w:val="1"/>
              <w:ind/>
              <w:jc w:val="center"/>
              <w:rPr>
                <w:b w:val="1"/>
                <w:sz w:val="32"/>
              </w:rPr>
            </w:pPr>
          </w:p>
        </w:tc>
        <w:tc>
          <w:tcPr>
            <w:tcW w:type="dxa" w:w="340"/>
            <w:tcBorders>
              <w:top w:sz="4" w:val="nil"/>
              <w:left w:sz="4" w:val="nil"/>
              <w:bottom w:sz="4" w:val="nil"/>
              <w:right w:sz="4" w:val="nil"/>
            </w:tcBorders>
            <w:tcMar>
              <w:left w:type="dxa" w:w="28"/>
              <w:right w:type="dxa" w:w="28"/>
            </w:tcMar>
            <w:vAlign w:val="bottom"/>
          </w:tcPr>
          <w:p w14:paraId="ED010000">
            <w:pPr>
              <w:widowControl w:val="1"/>
              <w:ind/>
              <w:jc w:val="center"/>
              <w:rPr>
                <w:b w:val="1"/>
                <w:sz w:val="32"/>
              </w:rPr>
            </w:pPr>
            <w:r>
              <w:rPr>
                <w:b w:val="1"/>
                <w:sz w:val="32"/>
              </w:rPr>
              <w:t>–</w:t>
            </w:r>
          </w:p>
        </w:tc>
        <w:tc>
          <w:tcPr>
            <w:tcW w:type="dxa" w:w="340"/>
            <w:tcBorders>
              <w:top w:color="000000" w:sz="4" w:val="single"/>
              <w:left w:color="000000" w:sz="4" w:val="single"/>
              <w:bottom w:color="000000" w:sz="4" w:val="single"/>
              <w:right w:color="000000" w:sz="4" w:val="single"/>
            </w:tcBorders>
            <w:tcMar>
              <w:left w:type="dxa" w:w="28"/>
              <w:right w:type="dxa" w:w="28"/>
            </w:tcMar>
            <w:vAlign w:val="bottom"/>
          </w:tcPr>
          <w:p w14:paraId="EE010000">
            <w:pPr>
              <w:widowControl w:val="1"/>
              <w:ind/>
              <w:jc w:val="center"/>
              <w:rPr>
                <w:b w:val="1"/>
                <w:sz w:val="32"/>
              </w:rPr>
            </w:pPr>
          </w:p>
        </w:tc>
      </w:tr>
    </w:tbl>
    <w:p w14:paraId="EF010000"/>
    <w:tbl>
      <w:tblPr>
        <w:tblStyle w:val="Style_4"/>
        <w:tblW w:type="auto" w:w="0"/>
        <w:jc w:val="center"/>
        <w:tblLayout w:type="fixed"/>
        <w:tblCellMar>
          <w:left w:type="dxa" w:w="28"/>
          <w:right w:type="dxa" w:w="28"/>
        </w:tblCellMar>
      </w:tblPr>
      <w:tblGrid>
        <w:gridCol w:w="595"/>
        <w:gridCol w:w="397"/>
        <w:gridCol w:w="397"/>
        <w:gridCol w:w="397"/>
        <w:gridCol w:w="397"/>
        <w:gridCol w:w="397"/>
        <w:gridCol w:w="397"/>
        <w:gridCol w:w="397"/>
        <w:gridCol w:w="397"/>
        <w:gridCol w:w="397"/>
        <w:gridCol w:w="397"/>
      </w:tblGrid>
      <w:tr>
        <w:tc>
          <w:tcPr>
            <w:tcW w:type="dxa" w:w="595"/>
            <w:tcBorders>
              <w:top w:sz="4" w:val="nil"/>
              <w:left w:sz="4" w:val="nil"/>
              <w:bottom w:sz="4" w:val="nil"/>
              <w:right w:sz="4" w:val="nil"/>
            </w:tcBorders>
            <w:tcMar>
              <w:left w:type="dxa" w:w="28"/>
              <w:right w:type="dxa" w:w="28"/>
            </w:tcMar>
            <w:vAlign w:val="bottom"/>
          </w:tcPr>
          <w:p w14:paraId="F0010000">
            <w:pPr>
              <w:rPr>
                <w:b w:val="1"/>
                <w:sz w:val="32"/>
              </w:rPr>
            </w:pPr>
            <w:r>
              <w:rPr>
                <w:b w:val="1"/>
                <w:sz w:val="32"/>
              </w:rPr>
              <w:t>на</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F1010000">
            <w:pPr>
              <w:widowControl w:val="1"/>
              <w:ind/>
              <w:jc w:val="center"/>
              <w:rPr>
                <w:b w:val="1"/>
                <w:sz w:val="32"/>
              </w:rPr>
            </w:pPr>
            <w:r>
              <w:rPr>
                <w:b w:val="1"/>
                <w:sz w:val="32"/>
              </w:rPr>
              <w:t>3</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F2010000">
            <w:pPr>
              <w:widowControl w:val="1"/>
              <w:ind/>
              <w:jc w:val="center"/>
              <w:rPr>
                <w:b w:val="1"/>
                <w:sz w:val="32"/>
              </w:rPr>
            </w:pPr>
            <w:r>
              <w:rPr>
                <w:b w:val="1"/>
                <w:sz w:val="32"/>
              </w:rPr>
              <w:t>1</w:t>
            </w:r>
          </w:p>
        </w:tc>
        <w:tc>
          <w:tcPr>
            <w:tcW w:type="dxa" w:w="397"/>
            <w:tcBorders>
              <w:top w:sz="4" w:val="nil"/>
              <w:left w:sz="4" w:val="nil"/>
              <w:bottom w:sz="4" w:val="nil"/>
              <w:right w:sz="4" w:val="nil"/>
            </w:tcBorders>
            <w:tcMar>
              <w:left w:type="dxa" w:w="28"/>
              <w:right w:type="dxa" w:w="28"/>
            </w:tcMar>
            <w:vAlign w:val="bottom"/>
          </w:tcPr>
          <w:p w14:paraId="F3010000">
            <w:pPr>
              <w:rPr>
                <w:b w:val="1"/>
                <w:sz w:val="32"/>
              </w:rPr>
            </w:pP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F4010000">
            <w:pPr>
              <w:widowControl w:val="1"/>
              <w:ind/>
              <w:jc w:val="center"/>
              <w:rPr>
                <w:b w:val="1"/>
                <w:sz w:val="32"/>
              </w:rPr>
            </w:pPr>
            <w:r>
              <w:rPr>
                <w:b w:val="1"/>
                <w:sz w:val="32"/>
              </w:rPr>
              <w:t>1</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F5010000">
            <w:pPr>
              <w:widowControl w:val="1"/>
              <w:ind/>
              <w:jc w:val="center"/>
              <w:rPr>
                <w:b w:val="1"/>
                <w:sz w:val="32"/>
              </w:rPr>
            </w:pPr>
            <w:r>
              <w:rPr>
                <w:b w:val="1"/>
                <w:sz w:val="32"/>
              </w:rPr>
              <w:t>2</w:t>
            </w:r>
          </w:p>
        </w:tc>
        <w:tc>
          <w:tcPr>
            <w:tcW w:type="dxa" w:w="397"/>
            <w:tcBorders>
              <w:top w:sz="4" w:val="nil"/>
              <w:left w:sz="4" w:val="nil"/>
              <w:bottom w:sz="4" w:val="nil"/>
              <w:right w:sz="4" w:val="nil"/>
            </w:tcBorders>
            <w:tcMar>
              <w:left w:type="dxa" w:w="28"/>
              <w:right w:type="dxa" w:w="28"/>
            </w:tcMar>
            <w:vAlign w:val="bottom"/>
          </w:tcPr>
          <w:p w14:paraId="F6010000">
            <w:pPr>
              <w:rPr>
                <w:b w:val="1"/>
                <w:sz w:val="32"/>
              </w:rPr>
            </w:pP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F7010000">
            <w:pPr>
              <w:widowControl w:val="1"/>
              <w:ind/>
              <w:jc w:val="center"/>
              <w:rPr>
                <w:b w:val="1"/>
                <w:sz w:val="32"/>
              </w:rPr>
            </w:pPr>
            <w:r>
              <w:rPr>
                <w:b w:val="1"/>
                <w:sz w:val="32"/>
              </w:rPr>
              <w:t>2</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F8010000">
            <w:pPr>
              <w:widowControl w:val="1"/>
              <w:ind/>
              <w:jc w:val="center"/>
              <w:rPr>
                <w:b w:val="1"/>
                <w:sz w:val="32"/>
              </w:rPr>
            </w:pPr>
            <w:r>
              <w:rPr>
                <w:b w:val="1"/>
                <w:sz w:val="32"/>
              </w:rPr>
              <w:t>0</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F9010000">
            <w:pPr>
              <w:widowControl w:val="1"/>
              <w:ind/>
              <w:jc w:val="center"/>
              <w:rPr>
                <w:b w:val="1"/>
                <w:sz w:val="32"/>
              </w:rPr>
            </w:pPr>
            <w:r>
              <w:rPr>
                <w:b w:val="1"/>
                <w:sz w:val="32"/>
              </w:rPr>
              <w:t>1</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FA010000">
            <w:pPr>
              <w:widowControl w:val="1"/>
              <w:ind/>
              <w:jc w:val="center"/>
              <w:rPr>
                <w:b w:val="1"/>
                <w:sz w:val="32"/>
              </w:rPr>
            </w:pPr>
            <w:r>
              <w:rPr>
                <w:b w:val="1"/>
                <w:sz w:val="32"/>
              </w:rPr>
              <w:t>8</w:t>
            </w:r>
          </w:p>
        </w:tc>
      </w:tr>
    </w:tbl>
    <w:p w14:paraId="FB010000">
      <w:pPr>
        <w:widowControl w:val="1"/>
        <w:ind w:left="5670" w:right="5073"/>
        <w:jc w:val="center"/>
      </w:pPr>
      <w:r>
        <w:t>(указывается дата, на которую составлен список аффилированных лиц акционерного общества)</w:t>
      </w:r>
    </w:p>
    <w:p w14:paraId="FC010000">
      <w:pPr>
        <w:widowControl w:val="1"/>
        <w:spacing w:before="240"/>
        <w:ind/>
      </w:pPr>
      <w:r>
        <w:t>Место нахождения эмитента:  660021, г. Красноярск, ул. Профсоюзов, д. 3, стр.2</w:t>
      </w:r>
    </w:p>
    <w:p w14:paraId="FD010000">
      <w:pPr>
        <w:widowControl w:val="1"/>
        <w:pBdr>
          <w:top w:color="000000" w:space="1" w:sz="4" w:val="single"/>
        </w:pBdr>
        <w:ind w:left="3119" w:right="2097"/>
        <w:jc w:val="center"/>
      </w:pPr>
      <w:r>
        <w:t>(указывается место нахождения (адрес постоянно действующего исполнительного органа акционерного общества (иного лица, имеющего право действовать от имени акционерного общества без доверенности)))</w:t>
      </w:r>
    </w:p>
    <w:p w14:paraId="FE010000">
      <w:pPr>
        <w:widowControl w:val="1"/>
        <w:spacing w:before="240"/>
        <w:ind/>
        <w:jc w:val="center"/>
        <w:rPr>
          <w:sz w:val="28"/>
        </w:rPr>
      </w:pPr>
      <w:r>
        <w:rPr>
          <w:sz w:val="28"/>
        </w:rPr>
        <w:t>Информация, содержащаяся в настоящем списке аффилированных лиц, подлежит раскрытию в соответствии</w:t>
      </w:r>
      <w:r>
        <w:rPr>
          <w:sz w:val="28"/>
        </w:rPr>
        <w:br/>
      </w:r>
      <w:r>
        <w:rPr>
          <w:sz w:val="28"/>
        </w:rPr>
        <w:t>с законодательством Российской Федерации о ценных бумагах</w:t>
      </w:r>
    </w:p>
    <w:p w14:paraId="FF010000">
      <w:pPr>
        <w:widowControl w:val="1"/>
        <w:ind w:firstLine="708"/>
        <w:jc w:val="both"/>
        <w:rPr>
          <w:sz w:val="28"/>
        </w:rPr>
      </w:pPr>
      <w:r>
        <w:t xml:space="preserve">Адрес страницы в сети Интернет:  </w:t>
      </w:r>
      <w:r>
        <w:rPr>
          <w:rStyle w:val="Style_14_ch"/>
          <w:b w:val="1"/>
          <w:sz w:val="32"/>
        </w:rPr>
        <w:fldChar w:fldCharType="begin"/>
      </w:r>
      <w:r>
        <w:rPr>
          <w:rStyle w:val="Style_14_ch"/>
          <w:b w:val="1"/>
          <w:sz w:val="32"/>
        </w:rPr>
        <w:instrText>HYPERLINK "https://r.mail.yandex.net/url/akn2vxDjahLYaTRvhBp3DA,1371458993/www.e-disclosure.ru%2F"</w:instrText>
      </w:r>
      <w:r>
        <w:rPr>
          <w:rStyle w:val="Style_14_ch"/>
          <w:b w:val="1"/>
          <w:sz w:val="32"/>
        </w:rPr>
        <w:fldChar w:fldCharType="separate"/>
      </w:r>
      <w:r>
        <w:rPr>
          <w:rStyle w:val="Style_14_ch"/>
          <w:b w:val="1"/>
          <w:sz w:val="32"/>
        </w:rPr>
        <w:t>www.e-disclosure.ru</w:t>
      </w:r>
      <w:r>
        <w:rPr>
          <w:rStyle w:val="Style_14_ch"/>
          <w:b w:val="1"/>
          <w:sz w:val="32"/>
        </w:rPr>
        <w:fldChar w:fldCharType="end"/>
      </w:r>
      <w:r>
        <w:rPr>
          <w:b w:val="1"/>
          <w:sz w:val="32"/>
        </w:rPr>
        <w:t xml:space="preserve">, </w:t>
      </w:r>
      <w:r>
        <w:rPr>
          <w:rStyle w:val="Style_14_ch"/>
          <w:b w:val="1"/>
          <w:sz w:val="32"/>
        </w:rPr>
        <w:fldChar w:fldCharType="begin"/>
      </w:r>
      <w:r>
        <w:rPr>
          <w:rStyle w:val="Style_14_ch"/>
          <w:b w:val="1"/>
          <w:sz w:val="32"/>
        </w:rPr>
        <w:instrText>HYPERLINK "http://www.kraspg.ru/"</w:instrText>
      </w:r>
      <w:r>
        <w:rPr>
          <w:rStyle w:val="Style_14_ch"/>
          <w:b w:val="1"/>
          <w:sz w:val="32"/>
        </w:rPr>
        <w:fldChar w:fldCharType="separate"/>
      </w:r>
      <w:r>
        <w:rPr>
          <w:rStyle w:val="Style_14_ch"/>
          <w:b w:val="1"/>
          <w:sz w:val="32"/>
        </w:rPr>
        <w:t>www</w:t>
      </w:r>
      <w:r>
        <w:rPr>
          <w:rStyle w:val="Style_14_ch"/>
          <w:b w:val="1"/>
          <w:sz w:val="32"/>
        </w:rPr>
        <w:t>.</w:t>
      </w:r>
      <w:r>
        <w:rPr>
          <w:rStyle w:val="Style_14_ch"/>
          <w:b w:val="1"/>
          <w:sz w:val="32"/>
        </w:rPr>
        <w:t>kraspg</w:t>
      </w:r>
      <w:r>
        <w:rPr>
          <w:rStyle w:val="Style_14_ch"/>
          <w:b w:val="1"/>
          <w:sz w:val="32"/>
        </w:rPr>
        <w:t>.</w:t>
      </w:r>
      <w:r>
        <w:rPr>
          <w:rStyle w:val="Style_14_ch"/>
          <w:b w:val="1"/>
          <w:sz w:val="32"/>
        </w:rPr>
        <w:t>ru</w:t>
      </w:r>
      <w:r>
        <w:rPr>
          <w:rStyle w:val="Style_14_ch"/>
          <w:b w:val="1"/>
          <w:sz w:val="32"/>
        </w:rPr>
        <w:fldChar w:fldCharType="end"/>
      </w:r>
    </w:p>
    <w:p w14:paraId="00020000">
      <w:pPr>
        <w:widowControl w:val="1"/>
        <w:pBdr>
          <w:top w:color="000000" w:space="1" w:sz="4" w:val="single"/>
        </w:pBdr>
        <w:spacing w:after="240"/>
        <w:ind w:left="3544" w:right="2098"/>
        <w:jc w:val="center"/>
      </w:pPr>
      <w:r>
        <w:t>(указывается адрес страницы в сети Интернет, используемой эмитентом для раскрытия информации)</w:t>
      </w:r>
    </w:p>
    <w:tbl>
      <w:tblPr>
        <w:tblStyle w:val="Style_4"/>
        <w:tblW w:type="auto" w:w="0"/>
        <w:tblLayout w:type="fixed"/>
        <w:tblCellMar>
          <w:left w:type="dxa" w:w="28"/>
          <w:right w:type="dxa" w:w="28"/>
        </w:tblCellMar>
      </w:tblPr>
      <w:tblGrid>
        <w:gridCol w:w="794"/>
        <w:gridCol w:w="510"/>
        <w:gridCol w:w="284"/>
        <w:gridCol w:w="1701"/>
        <w:gridCol w:w="425"/>
        <w:gridCol w:w="425"/>
        <w:gridCol w:w="2126"/>
        <w:gridCol w:w="567"/>
        <w:gridCol w:w="1150"/>
        <w:gridCol w:w="268"/>
        <w:gridCol w:w="2410"/>
        <w:gridCol w:w="567"/>
      </w:tblGrid>
      <w:tr>
        <w:tc>
          <w:tcPr>
            <w:tcW w:type="dxa" w:w="6265"/>
            <w:gridSpan w:val="7"/>
            <w:tcBorders>
              <w:top w:color="000000" w:sz="4" w:val="single"/>
              <w:left w:color="000000" w:sz="4" w:val="single"/>
              <w:bottom w:sz="4" w:val="nil"/>
              <w:right w:sz="4" w:val="nil"/>
            </w:tcBorders>
            <w:tcMar>
              <w:left w:type="dxa" w:w="28"/>
              <w:right w:type="dxa" w:w="28"/>
            </w:tcMar>
            <w:vAlign w:val="bottom"/>
          </w:tcPr>
          <w:p w14:paraId="01020000">
            <w:pPr>
              <w:widowControl w:val="1"/>
              <w:ind w:left="57" w:right="964"/>
              <w:jc w:val="center"/>
            </w:pPr>
            <w:r>
              <w:t>Генеральный директор</w:t>
            </w:r>
          </w:p>
        </w:tc>
        <w:tc>
          <w:tcPr>
            <w:tcW w:type="dxa" w:w="1717"/>
            <w:gridSpan w:val="2"/>
            <w:tcBorders>
              <w:top w:color="000000" w:sz="4" w:val="single"/>
              <w:left w:sz="4" w:val="nil"/>
              <w:bottom w:color="000000" w:sz="4" w:val="single"/>
              <w:right w:sz="4" w:val="nil"/>
            </w:tcBorders>
            <w:tcMar>
              <w:left w:type="dxa" w:w="28"/>
              <w:right w:type="dxa" w:w="28"/>
            </w:tcMar>
            <w:vAlign w:val="bottom"/>
          </w:tcPr>
          <w:p w14:paraId="02020000">
            <w:pPr>
              <w:widowControl w:val="1"/>
              <w:ind/>
              <w:jc w:val="center"/>
            </w:pPr>
          </w:p>
        </w:tc>
        <w:tc>
          <w:tcPr>
            <w:tcW w:type="dxa" w:w="268"/>
            <w:tcBorders>
              <w:top w:color="000000" w:sz="4" w:val="single"/>
              <w:left w:sz="4" w:val="nil"/>
              <w:bottom w:sz="4" w:val="nil"/>
              <w:right w:sz="4" w:val="nil"/>
            </w:tcBorders>
            <w:tcMar>
              <w:left w:type="dxa" w:w="28"/>
              <w:right w:type="dxa" w:w="28"/>
            </w:tcMar>
            <w:vAlign w:val="bottom"/>
          </w:tcPr>
          <w:p/>
        </w:tc>
        <w:tc>
          <w:tcPr>
            <w:tcW w:type="dxa" w:w="2410"/>
            <w:tcBorders>
              <w:top w:color="000000" w:sz="4" w:val="single"/>
              <w:left w:sz="4" w:val="nil"/>
              <w:bottom w:color="000000" w:sz="4" w:val="single"/>
              <w:right w:sz="4" w:val="nil"/>
            </w:tcBorders>
            <w:tcMar>
              <w:left w:type="dxa" w:w="28"/>
              <w:right w:type="dxa" w:w="28"/>
            </w:tcMar>
            <w:vAlign w:val="bottom"/>
          </w:tcPr>
          <w:p w14:paraId="03020000">
            <w:pPr>
              <w:widowControl w:val="1"/>
              <w:ind/>
              <w:jc w:val="center"/>
            </w:pPr>
            <w:r>
              <w:t>Э.В. Быков</w:t>
            </w:r>
          </w:p>
        </w:tc>
        <w:tc>
          <w:tcPr>
            <w:tcW w:type="dxa" w:w="567"/>
            <w:tcBorders>
              <w:top w:color="000000" w:sz="4" w:val="single"/>
              <w:left w:sz="4" w:val="nil"/>
              <w:bottom w:sz="4" w:val="nil"/>
              <w:right w:color="000000" w:sz="4" w:val="single"/>
            </w:tcBorders>
            <w:tcMar>
              <w:left w:type="dxa" w:w="28"/>
              <w:right w:type="dxa" w:w="28"/>
            </w:tcMar>
            <w:vAlign w:val="bottom"/>
          </w:tcPr>
          <w:p/>
        </w:tc>
      </w:tr>
      <w:tr>
        <w:tc>
          <w:tcPr>
            <w:tcW w:type="dxa" w:w="6265"/>
            <w:gridSpan w:val="7"/>
            <w:tcBorders>
              <w:top w:sz="4" w:val="nil"/>
              <w:left w:color="000000" w:sz="4" w:val="single"/>
              <w:bottom w:sz="4" w:val="nil"/>
              <w:right w:sz="4" w:val="nil"/>
            </w:tcBorders>
            <w:tcMar>
              <w:left w:type="dxa" w:w="28"/>
              <w:right w:type="dxa" w:w="28"/>
            </w:tcMar>
            <w:vAlign w:val="bottom"/>
          </w:tcPr>
          <w:p/>
        </w:tc>
        <w:tc>
          <w:tcPr>
            <w:tcW w:type="dxa" w:w="1717"/>
            <w:gridSpan w:val="2"/>
            <w:tcBorders>
              <w:top w:sz="4" w:val="nil"/>
              <w:left w:sz="4" w:val="nil"/>
              <w:bottom w:sz="4" w:val="nil"/>
              <w:right w:sz="4" w:val="nil"/>
            </w:tcBorders>
            <w:tcMar>
              <w:left w:type="dxa" w:w="28"/>
              <w:right w:type="dxa" w:w="28"/>
            </w:tcMar>
            <w:vAlign w:val="bottom"/>
          </w:tcPr>
          <w:p w14:paraId="04020000">
            <w:pPr>
              <w:widowControl w:val="1"/>
              <w:ind/>
              <w:jc w:val="center"/>
            </w:pPr>
            <w:r>
              <w:t>(подпись)</w:t>
            </w:r>
          </w:p>
        </w:tc>
        <w:tc>
          <w:tcPr>
            <w:tcW w:type="dxa" w:w="268"/>
            <w:tcBorders>
              <w:top w:sz="4" w:val="nil"/>
              <w:left w:sz="4" w:val="nil"/>
              <w:bottom w:sz="4" w:val="nil"/>
              <w:right w:sz="4" w:val="nil"/>
            </w:tcBorders>
            <w:tcMar>
              <w:left w:type="dxa" w:w="28"/>
              <w:right w:type="dxa" w:w="28"/>
            </w:tcMar>
            <w:vAlign w:val="bottom"/>
          </w:tcPr>
          <w:p/>
        </w:tc>
        <w:tc>
          <w:tcPr>
            <w:tcW w:type="dxa" w:w="2410"/>
            <w:tcBorders>
              <w:top w:sz="4" w:val="nil"/>
              <w:left w:sz="4" w:val="nil"/>
              <w:bottom w:sz="4" w:val="nil"/>
              <w:right w:sz="4" w:val="nil"/>
            </w:tcBorders>
            <w:tcMar>
              <w:left w:type="dxa" w:w="28"/>
              <w:right w:type="dxa" w:w="28"/>
            </w:tcMar>
            <w:vAlign w:val="bottom"/>
          </w:tcPr>
          <w:p w14:paraId="05020000">
            <w:pPr>
              <w:widowControl w:val="1"/>
              <w:ind/>
              <w:jc w:val="center"/>
            </w:pPr>
            <w:r>
              <w:t>(И.О. Фамилия)</w:t>
            </w:r>
          </w:p>
        </w:tc>
        <w:tc>
          <w:tcPr>
            <w:tcW w:type="dxa" w:w="567"/>
            <w:tcBorders>
              <w:top w:sz="4" w:val="nil"/>
              <w:left w:sz="4" w:val="nil"/>
              <w:bottom w:sz="4" w:val="nil"/>
              <w:right w:color="000000" w:sz="4" w:val="single"/>
            </w:tcBorders>
            <w:tcMar>
              <w:left w:type="dxa" w:w="28"/>
              <w:right w:type="dxa" w:w="28"/>
            </w:tcMar>
            <w:vAlign w:val="bottom"/>
          </w:tcPr>
          <w:p/>
        </w:tc>
      </w:tr>
      <w:tr>
        <w:tc>
          <w:tcPr>
            <w:tcW w:type="dxa" w:w="794"/>
            <w:tcBorders>
              <w:top w:sz="4" w:val="nil"/>
              <w:left w:color="000000" w:sz="4" w:val="single"/>
              <w:bottom w:sz="4" w:val="nil"/>
              <w:right w:sz="4" w:val="nil"/>
            </w:tcBorders>
            <w:tcMar>
              <w:left w:type="dxa" w:w="28"/>
              <w:right w:type="dxa" w:w="28"/>
            </w:tcMar>
            <w:vAlign w:val="bottom"/>
          </w:tcPr>
          <w:p w14:paraId="06020000">
            <w:pPr>
              <w:widowControl w:val="1"/>
              <w:ind w:left="57"/>
            </w:pPr>
            <w:r>
              <w:t>Дата “</w:t>
            </w:r>
          </w:p>
        </w:tc>
        <w:tc>
          <w:tcPr>
            <w:tcW w:type="dxa" w:w="510"/>
            <w:tcBorders>
              <w:top w:sz="4" w:val="nil"/>
              <w:left w:sz="4" w:val="nil"/>
              <w:bottom w:color="000000" w:sz="4" w:val="single"/>
              <w:right w:sz="4" w:val="nil"/>
            </w:tcBorders>
            <w:tcMar>
              <w:left w:type="dxa" w:w="28"/>
              <w:right w:type="dxa" w:w="28"/>
            </w:tcMar>
            <w:vAlign w:val="bottom"/>
          </w:tcPr>
          <w:p w14:paraId="07020000">
            <w:pPr>
              <w:widowControl w:val="1"/>
              <w:ind/>
              <w:jc w:val="center"/>
            </w:pPr>
            <w:r>
              <w:t>09</w:t>
            </w:r>
          </w:p>
        </w:tc>
        <w:tc>
          <w:tcPr>
            <w:tcW w:type="dxa" w:w="284"/>
            <w:tcBorders>
              <w:top w:sz="4" w:val="nil"/>
              <w:left w:sz="4" w:val="nil"/>
              <w:bottom w:sz="4" w:val="nil"/>
              <w:right w:sz="4" w:val="nil"/>
            </w:tcBorders>
            <w:tcMar>
              <w:left w:type="dxa" w:w="28"/>
              <w:right w:type="dxa" w:w="28"/>
            </w:tcMar>
            <w:vAlign w:val="bottom"/>
          </w:tcPr>
          <w:p w14:paraId="08020000">
            <w:r>
              <w:t>”</w:t>
            </w:r>
          </w:p>
        </w:tc>
        <w:tc>
          <w:tcPr>
            <w:tcW w:type="dxa" w:w="1701"/>
            <w:tcBorders>
              <w:top w:sz="4" w:val="nil"/>
              <w:left w:sz="4" w:val="nil"/>
              <w:bottom w:color="000000" w:sz="4" w:val="single"/>
              <w:right w:sz="4" w:val="nil"/>
            </w:tcBorders>
            <w:tcMar>
              <w:left w:type="dxa" w:w="28"/>
              <w:right w:type="dxa" w:w="28"/>
            </w:tcMar>
            <w:vAlign w:val="bottom"/>
          </w:tcPr>
          <w:p w14:paraId="09020000">
            <w:pPr>
              <w:widowControl w:val="1"/>
              <w:ind/>
              <w:jc w:val="center"/>
            </w:pPr>
            <w:r>
              <w:t>января</w:t>
            </w:r>
          </w:p>
        </w:tc>
        <w:tc>
          <w:tcPr>
            <w:tcW w:type="dxa" w:w="425"/>
            <w:tcBorders>
              <w:top w:sz="4" w:val="nil"/>
              <w:left w:sz="4" w:val="nil"/>
              <w:bottom w:sz="4" w:val="nil"/>
              <w:right w:sz="4" w:val="nil"/>
            </w:tcBorders>
            <w:tcMar>
              <w:left w:type="dxa" w:w="28"/>
              <w:right w:type="dxa" w:w="28"/>
            </w:tcMar>
            <w:vAlign w:val="bottom"/>
          </w:tcPr>
          <w:p w14:paraId="0A020000">
            <w:pPr>
              <w:widowControl w:val="1"/>
              <w:ind/>
              <w:jc w:val="right"/>
            </w:pPr>
            <w:r>
              <w:t>20</w:t>
            </w:r>
          </w:p>
        </w:tc>
        <w:tc>
          <w:tcPr>
            <w:tcW w:type="dxa" w:w="425"/>
            <w:tcBorders>
              <w:top w:sz="4" w:val="nil"/>
              <w:left w:sz="4" w:val="nil"/>
              <w:bottom w:color="000000" w:sz="4" w:val="single"/>
              <w:right w:sz="4" w:val="nil"/>
            </w:tcBorders>
            <w:tcMar>
              <w:left w:type="dxa" w:w="28"/>
              <w:right w:type="dxa" w:w="28"/>
            </w:tcMar>
            <w:vAlign w:val="bottom"/>
          </w:tcPr>
          <w:p w14:paraId="0B020000">
            <w:r>
              <w:t>19</w:t>
            </w:r>
          </w:p>
        </w:tc>
        <w:tc>
          <w:tcPr>
            <w:tcW w:type="dxa" w:w="2693"/>
            <w:gridSpan w:val="2"/>
            <w:tcBorders>
              <w:top w:sz="4" w:val="nil"/>
              <w:left w:sz="4" w:val="nil"/>
              <w:bottom w:sz="4" w:val="nil"/>
              <w:right w:sz="4" w:val="nil"/>
            </w:tcBorders>
            <w:tcMar>
              <w:left w:type="dxa" w:w="28"/>
              <w:right w:type="dxa" w:w="28"/>
            </w:tcMar>
            <w:vAlign w:val="bottom"/>
          </w:tcPr>
          <w:p w14:paraId="0C020000">
            <w:pPr>
              <w:widowControl w:val="1"/>
              <w:ind w:left="57"/>
            </w:pPr>
            <w:r>
              <w:t>г.</w:t>
            </w:r>
          </w:p>
        </w:tc>
        <w:tc>
          <w:tcPr>
            <w:tcW w:type="dxa" w:w="4395"/>
            <w:gridSpan w:val="4"/>
            <w:tcBorders>
              <w:top w:sz="4" w:val="nil"/>
              <w:left w:sz="4" w:val="nil"/>
              <w:bottom w:sz="4" w:val="nil"/>
              <w:right w:color="000000" w:sz="4" w:val="single"/>
            </w:tcBorders>
            <w:tcMar>
              <w:left w:type="dxa" w:w="28"/>
              <w:right w:type="dxa" w:w="28"/>
            </w:tcMar>
            <w:vAlign w:val="bottom"/>
          </w:tcPr>
          <w:p w14:paraId="0D020000">
            <w:r>
              <w:t>М.П.</w:t>
            </w:r>
          </w:p>
        </w:tc>
      </w:tr>
      <w:tr>
        <w:trPr>
          <w:trHeight w:hRule="atLeast" w:val="445"/>
        </w:trPr>
        <w:tc>
          <w:tcPr>
            <w:tcW w:type="dxa" w:w="794"/>
            <w:tcBorders>
              <w:top w:sz="4" w:val="nil"/>
              <w:left w:color="000000" w:sz="4" w:val="single"/>
              <w:bottom w:color="000000" w:sz="4" w:val="single"/>
              <w:right w:sz="4" w:val="nil"/>
            </w:tcBorders>
            <w:tcMar>
              <w:left w:type="dxa" w:w="28"/>
              <w:right w:type="dxa" w:w="28"/>
            </w:tcMar>
            <w:vAlign w:val="bottom"/>
          </w:tcPr>
          <w:p/>
        </w:tc>
        <w:tc>
          <w:tcPr>
            <w:tcW w:type="dxa" w:w="510"/>
            <w:tcBorders>
              <w:top w:sz="4" w:val="nil"/>
              <w:left w:sz="4" w:val="nil"/>
              <w:bottom w:color="000000" w:sz="4" w:val="single"/>
              <w:right w:sz="4" w:val="nil"/>
            </w:tcBorders>
            <w:tcMar>
              <w:left w:type="dxa" w:w="28"/>
              <w:right w:type="dxa" w:w="28"/>
            </w:tcMar>
            <w:vAlign w:val="bottom"/>
          </w:tcPr>
          <w:p/>
        </w:tc>
        <w:tc>
          <w:tcPr>
            <w:tcW w:type="dxa" w:w="284"/>
            <w:tcBorders>
              <w:top w:sz="4" w:val="nil"/>
              <w:left w:sz="4" w:val="nil"/>
              <w:bottom w:color="000000" w:sz="4" w:val="single"/>
              <w:right w:sz="4" w:val="nil"/>
            </w:tcBorders>
            <w:tcMar>
              <w:left w:type="dxa" w:w="28"/>
              <w:right w:type="dxa" w:w="28"/>
            </w:tcMar>
            <w:vAlign w:val="bottom"/>
          </w:tcPr>
          <w:p/>
        </w:tc>
        <w:tc>
          <w:tcPr>
            <w:tcW w:type="dxa" w:w="1701"/>
            <w:tcBorders>
              <w:top w:sz="4" w:val="nil"/>
              <w:left w:sz="4" w:val="nil"/>
              <w:bottom w:color="000000" w:sz="4" w:val="single"/>
              <w:right w:sz="4" w:val="nil"/>
            </w:tcBorders>
            <w:tcMar>
              <w:left w:type="dxa" w:w="28"/>
              <w:right w:type="dxa" w:w="28"/>
            </w:tcMar>
            <w:vAlign w:val="bottom"/>
          </w:tcPr>
          <w:p/>
        </w:tc>
        <w:tc>
          <w:tcPr>
            <w:tcW w:type="dxa" w:w="425"/>
            <w:tcBorders>
              <w:top w:sz="4" w:val="nil"/>
              <w:left w:sz="4" w:val="nil"/>
              <w:bottom w:color="000000" w:sz="4" w:val="single"/>
              <w:right w:sz="4" w:val="nil"/>
            </w:tcBorders>
            <w:tcMar>
              <w:left w:type="dxa" w:w="28"/>
              <w:right w:type="dxa" w:w="28"/>
            </w:tcMar>
            <w:vAlign w:val="bottom"/>
          </w:tcPr>
          <w:p/>
        </w:tc>
        <w:tc>
          <w:tcPr>
            <w:tcW w:type="dxa" w:w="425"/>
            <w:tcBorders>
              <w:top w:sz="4" w:val="nil"/>
              <w:left w:sz="4" w:val="nil"/>
              <w:bottom w:color="000000" w:sz="4" w:val="single"/>
              <w:right w:sz="4" w:val="nil"/>
            </w:tcBorders>
            <w:tcMar>
              <w:left w:type="dxa" w:w="28"/>
              <w:right w:type="dxa" w:w="28"/>
            </w:tcMar>
            <w:vAlign w:val="bottom"/>
          </w:tcPr>
          <w:p/>
        </w:tc>
        <w:tc>
          <w:tcPr>
            <w:tcW w:type="dxa" w:w="2693"/>
            <w:gridSpan w:val="2"/>
            <w:tcBorders>
              <w:top w:sz="4" w:val="nil"/>
              <w:left w:sz="4" w:val="nil"/>
              <w:bottom w:color="000000" w:sz="4" w:val="single"/>
              <w:right w:sz="4" w:val="nil"/>
            </w:tcBorders>
            <w:tcMar>
              <w:left w:type="dxa" w:w="28"/>
              <w:right w:type="dxa" w:w="28"/>
            </w:tcMar>
            <w:vAlign w:val="bottom"/>
          </w:tcPr>
          <w:p/>
        </w:tc>
        <w:tc>
          <w:tcPr>
            <w:tcW w:type="dxa" w:w="4395"/>
            <w:gridSpan w:val="4"/>
            <w:tcBorders>
              <w:top w:sz="4" w:val="nil"/>
              <w:left w:sz="4" w:val="nil"/>
              <w:bottom w:color="000000" w:sz="4" w:val="single"/>
              <w:right w:color="000000" w:sz="4" w:val="single"/>
            </w:tcBorders>
            <w:tcMar>
              <w:left w:type="dxa" w:w="28"/>
              <w:right w:type="dxa" w:w="28"/>
            </w:tcMar>
            <w:vAlign w:val="bottom"/>
          </w:tcPr>
          <w:p/>
        </w:tc>
      </w:tr>
    </w:tbl>
    <w:p w14:paraId="0E020000">
      <w:pPr>
        <w:pageBreakBefore w:val="1"/>
        <w:widowControl w:val="1"/>
        <w:spacing w:after="240"/>
        <w:ind/>
        <w:rPr>
          <w:b w:val="1"/>
        </w:rPr>
      </w:pPr>
      <w:r>
        <w:rPr>
          <w:b w:val="1"/>
        </w:rPr>
        <w:t>Б) Содержание списка аффилированных лиц акционерного общества</w:t>
      </w:r>
    </w:p>
    <w:tbl>
      <w:tblPr>
        <w:tblStyle w:val="Style_4"/>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left w:type="dxa" w:w="28"/>
          <w:right w:type="dxa" w:w="28"/>
        </w:tblCellMar>
      </w:tblPr>
      <w:tblGrid>
        <w:gridCol w:w="4848"/>
        <w:gridCol w:w="397"/>
        <w:gridCol w:w="397"/>
        <w:gridCol w:w="397"/>
        <w:gridCol w:w="368"/>
        <w:gridCol w:w="426"/>
        <w:gridCol w:w="397"/>
        <w:gridCol w:w="397"/>
        <w:gridCol w:w="397"/>
        <w:gridCol w:w="397"/>
        <w:gridCol w:w="397"/>
        <w:gridCol w:w="2834"/>
        <w:gridCol w:w="1417"/>
        <w:gridCol w:w="2127"/>
      </w:tblGrid>
      <w:tr>
        <w:tc>
          <w:tcPr>
            <w:tcW w:type="dxa" w:w="4848"/>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68"/>
            <w:tcBorders>
              <w:top w:color="000000" w:sz="4" w:val="single"/>
              <w:left w:color="000000" w:sz="4" w:val="single"/>
              <w:bottom w:color="000000" w:sz="4" w:val="single"/>
              <w:right w:color="000000" w:sz="4" w:val="single"/>
            </w:tcBorders>
            <w:tcMar>
              <w:left w:type="dxa" w:w="28"/>
              <w:right w:type="dxa" w:w="28"/>
            </w:tcMar>
          </w:tcPr>
          <w:p/>
        </w:tc>
        <w:tc>
          <w:tcPr>
            <w:tcW w:type="dxa" w:w="426"/>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2834"/>
            <w:tcBorders>
              <w:top w:color="000000" w:sz="4" w:val="single"/>
              <w:left w:color="000000" w:sz="4" w:val="single"/>
              <w:bottom w:color="000000" w:sz="4" w:val="single"/>
              <w:right w:color="000000" w:sz="4" w:val="single"/>
            </w:tcBorders>
            <w:tcMar>
              <w:left w:type="dxa" w:w="28"/>
              <w:right w:type="dxa" w:w="28"/>
            </w:tcMar>
          </w:tcPr>
          <w:p/>
        </w:tc>
        <w:tc>
          <w:tcPr>
            <w:tcW w:type="dxa" w:w="3544"/>
            <w:gridSpan w:val="2"/>
            <w:tcBorders>
              <w:top w:color="000000" w:sz="4" w:val="single"/>
              <w:left w:color="000000" w:sz="4" w:val="single"/>
              <w:bottom w:color="000000" w:sz="4" w:val="single"/>
              <w:right w:color="000000" w:sz="4" w:val="single"/>
            </w:tcBorders>
            <w:tcMar>
              <w:left w:type="dxa" w:w="28"/>
              <w:right w:type="dxa" w:w="28"/>
            </w:tcMar>
            <w:vAlign w:val="bottom"/>
          </w:tcPr>
          <w:p w14:paraId="0F020000">
            <w:pPr>
              <w:widowControl w:val="1"/>
              <w:ind/>
              <w:jc w:val="center"/>
              <w:rPr>
                <w:b w:val="1"/>
              </w:rPr>
            </w:pPr>
            <w:r>
              <w:rPr>
                <w:b w:val="1"/>
              </w:rPr>
              <w:t>Коды эмитента</w:t>
            </w:r>
          </w:p>
        </w:tc>
      </w:tr>
      <w:tr>
        <w:tc>
          <w:tcPr>
            <w:tcW w:type="dxa" w:w="4848"/>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68"/>
            <w:tcBorders>
              <w:top w:color="000000" w:sz="4" w:val="single"/>
              <w:left w:color="000000" w:sz="4" w:val="single"/>
              <w:bottom w:color="000000" w:sz="4" w:val="single"/>
              <w:right w:color="000000" w:sz="4" w:val="single"/>
            </w:tcBorders>
            <w:tcMar>
              <w:left w:type="dxa" w:w="28"/>
              <w:right w:type="dxa" w:w="28"/>
            </w:tcMar>
          </w:tcPr>
          <w:p/>
        </w:tc>
        <w:tc>
          <w:tcPr>
            <w:tcW w:type="dxa" w:w="426"/>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2834"/>
            <w:tcBorders>
              <w:top w:color="000000" w:sz="4" w:val="single"/>
              <w:left w:color="000000" w:sz="4" w:val="single"/>
              <w:bottom w:color="000000" w:sz="4" w:val="single"/>
              <w:right w:color="000000" w:sz="4" w:val="single"/>
            </w:tcBorders>
            <w:tcMar>
              <w:left w:type="dxa" w:w="28"/>
              <w:right w:type="dxa" w:w="28"/>
            </w:tcMar>
          </w:tcPr>
          <w:p/>
        </w:tc>
        <w:tc>
          <w:tcPr>
            <w:tcW w:type="dxa" w:w="1417"/>
            <w:tcBorders>
              <w:top w:color="000000" w:sz="4" w:val="single"/>
              <w:left w:color="000000" w:sz="4" w:val="single"/>
              <w:bottom w:color="000000" w:sz="4" w:val="single"/>
              <w:right w:color="000000" w:sz="4" w:val="single"/>
            </w:tcBorders>
            <w:tcMar>
              <w:left w:type="dxa" w:w="28"/>
              <w:right w:type="dxa" w:w="28"/>
            </w:tcMar>
            <w:vAlign w:val="bottom"/>
          </w:tcPr>
          <w:p w14:paraId="10020000">
            <w:pPr>
              <w:widowControl w:val="1"/>
              <w:ind w:left="57"/>
            </w:pPr>
            <w:r>
              <w:t>ИНН</w:t>
            </w:r>
          </w:p>
        </w:tc>
        <w:tc>
          <w:tcPr>
            <w:tcW w:type="dxa" w:w="2127"/>
            <w:tcBorders>
              <w:top w:color="000000" w:sz="4" w:val="single"/>
              <w:left w:color="000000" w:sz="4" w:val="single"/>
              <w:bottom w:color="000000" w:sz="4" w:val="single"/>
              <w:right w:color="000000" w:sz="4" w:val="single"/>
            </w:tcBorders>
            <w:tcMar>
              <w:left w:type="dxa" w:w="28"/>
              <w:right w:type="dxa" w:w="28"/>
            </w:tcMar>
            <w:vAlign w:val="bottom"/>
          </w:tcPr>
          <w:p w14:paraId="11020000">
            <w:pPr>
              <w:widowControl w:val="1"/>
              <w:ind/>
              <w:jc w:val="center"/>
            </w:pPr>
            <w:r>
              <w:t>2460069630</w:t>
            </w:r>
          </w:p>
        </w:tc>
      </w:tr>
      <w:tr>
        <w:trPr>
          <w:trHeight w:hRule="atLeast" w:val="311"/>
        </w:trPr>
        <w:tc>
          <w:tcPr>
            <w:tcW w:type="dxa" w:w="4848"/>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68"/>
            <w:tcBorders>
              <w:top w:color="000000" w:sz="4" w:val="single"/>
              <w:left w:color="000000" w:sz="4" w:val="single"/>
              <w:bottom w:color="000000" w:sz="4" w:val="single"/>
              <w:right w:color="000000" w:sz="4" w:val="single"/>
            </w:tcBorders>
            <w:tcMar>
              <w:left w:type="dxa" w:w="28"/>
              <w:right w:type="dxa" w:w="28"/>
            </w:tcMar>
          </w:tcPr>
          <w:p/>
        </w:tc>
        <w:tc>
          <w:tcPr>
            <w:tcW w:type="dxa" w:w="426"/>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397"/>
            <w:tcBorders>
              <w:top w:color="000000" w:sz="4" w:val="single"/>
              <w:left w:color="000000" w:sz="4" w:val="single"/>
              <w:bottom w:color="000000" w:sz="4" w:val="single"/>
              <w:right w:color="000000" w:sz="4" w:val="single"/>
            </w:tcBorders>
            <w:tcMar>
              <w:left w:type="dxa" w:w="28"/>
              <w:right w:type="dxa" w:w="28"/>
            </w:tcMar>
          </w:tcPr>
          <w:p/>
        </w:tc>
        <w:tc>
          <w:tcPr>
            <w:tcW w:type="dxa" w:w="2834"/>
            <w:tcBorders>
              <w:top w:color="000000" w:sz="4" w:val="single"/>
              <w:left w:color="000000" w:sz="4" w:val="single"/>
              <w:bottom w:color="000000" w:sz="4" w:val="single"/>
              <w:right w:color="000000" w:sz="4" w:val="single"/>
            </w:tcBorders>
            <w:tcMar>
              <w:left w:type="dxa" w:w="28"/>
              <w:right w:type="dxa" w:w="28"/>
            </w:tcMar>
          </w:tcPr>
          <w:p/>
        </w:tc>
        <w:tc>
          <w:tcPr>
            <w:tcW w:type="dxa" w:w="1417"/>
            <w:tcBorders>
              <w:top w:color="000000" w:sz="4" w:val="single"/>
              <w:left w:color="000000" w:sz="4" w:val="single"/>
              <w:bottom w:color="000000" w:sz="4" w:val="single"/>
              <w:right w:color="000000" w:sz="4" w:val="single"/>
            </w:tcBorders>
            <w:tcMar>
              <w:left w:type="dxa" w:w="28"/>
              <w:right w:type="dxa" w:w="28"/>
            </w:tcMar>
            <w:vAlign w:val="bottom"/>
          </w:tcPr>
          <w:p w14:paraId="12020000">
            <w:pPr>
              <w:widowControl w:val="1"/>
              <w:ind w:left="57"/>
            </w:pPr>
            <w:r>
              <w:t>ОГРН</w:t>
            </w:r>
          </w:p>
        </w:tc>
        <w:tc>
          <w:tcPr>
            <w:tcW w:type="dxa" w:w="2127"/>
            <w:tcBorders>
              <w:top w:color="000000" w:sz="4" w:val="single"/>
              <w:left w:color="000000" w:sz="4" w:val="single"/>
              <w:bottom w:color="000000" w:sz="4" w:val="single"/>
              <w:right w:color="000000" w:sz="4" w:val="single"/>
            </w:tcBorders>
            <w:tcMar>
              <w:left w:type="dxa" w:w="28"/>
              <w:right w:type="dxa" w:w="28"/>
            </w:tcMar>
            <w:vAlign w:val="bottom"/>
          </w:tcPr>
          <w:p w14:paraId="13020000">
            <w:pPr>
              <w:widowControl w:val="1"/>
              <w:ind/>
              <w:jc w:val="center"/>
            </w:pPr>
            <w:r>
              <w:t>1052460055746</w:t>
            </w:r>
          </w:p>
        </w:tc>
      </w:tr>
      <w:tr>
        <w:tc>
          <w:tcPr>
            <w:tcW w:type="dxa" w:w="4848"/>
            <w:tcBorders>
              <w:top w:sz="4" w:val="nil"/>
              <w:left w:sz="4" w:val="nil"/>
              <w:bottom w:sz="4" w:val="nil"/>
              <w:right w:sz="4" w:val="nil"/>
            </w:tcBorders>
            <w:tcMar>
              <w:left w:type="dxa" w:w="28"/>
              <w:right w:type="dxa" w:w="28"/>
            </w:tcMar>
            <w:vAlign w:val="bottom"/>
          </w:tcPr>
          <w:p w14:paraId="14020000">
            <w:pPr>
              <w:widowControl w:val="1"/>
              <w:ind w:firstLine="567"/>
              <w:rPr>
                <w:b w:val="1"/>
              </w:rPr>
            </w:pPr>
            <w:r>
              <w:rPr>
                <w:b w:val="1"/>
              </w:rPr>
              <w:t>I</w:t>
            </w:r>
            <w:r>
              <w:rPr>
                <w:b w:val="1"/>
              </w:rPr>
              <w:t>. Состав аффилированных лиц на</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15020000">
            <w:pPr>
              <w:widowControl w:val="1"/>
              <w:ind/>
              <w:jc w:val="center"/>
            </w:pPr>
            <w:r>
              <w:t>3</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16020000">
            <w:pPr>
              <w:widowControl w:val="1"/>
              <w:ind/>
              <w:jc w:val="center"/>
            </w:pPr>
            <w:r>
              <w:t>1</w:t>
            </w:r>
          </w:p>
        </w:tc>
        <w:tc>
          <w:tcPr>
            <w:tcW w:type="dxa" w:w="397"/>
            <w:tcBorders>
              <w:top w:sz="4" w:val="nil"/>
              <w:left w:sz="4" w:val="nil"/>
              <w:bottom w:sz="4" w:val="nil"/>
              <w:right w:sz="4" w:val="nil"/>
            </w:tcBorders>
            <w:tcMar>
              <w:left w:type="dxa" w:w="28"/>
              <w:right w:type="dxa" w:w="28"/>
            </w:tcMar>
            <w:vAlign w:val="bottom"/>
          </w:tcPr>
          <w:p/>
        </w:tc>
        <w:tc>
          <w:tcPr>
            <w:tcW w:type="dxa" w:w="368"/>
            <w:tcBorders>
              <w:top w:color="000000" w:sz="4" w:val="single"/>
              <w:left w:color="000000" w:sz="4" w:val="single"/>
              <w:bottom w:color="000000" w:sz="4" w:val="single"/>
              <w:right w:color="000000" w:sz="4" w:val="single"/>
            </w:tcBorders>
            <w:tcMar>
              <w:left w:type="dxa" w:w="28"/>
              <w:right w:type="dxa" w:w="28"/>
            </w:tcMar>
            <w:vAlign w:val="bottom"/>
          </w:tcPr>
          <w:p w14:paraId="17020000">
            <w:pPr>
              <w:widowControl w:val="1"/>
              <w:ind/>
              <w:jc w:val="center"/>
            </w:pPr>
            <w:r>
              <w:t>1</w:t>
            </w:r>
          </w:p>
        </w:tc>
        <w:tc>
          <w:tcPr>
            <w:tcW w:type="dxa" w:w="426"/>
            <w:tcBorders>
              <w:top w:color="000000" w:sz="4" w:val="single"/>
              <w:left w:color="000000" w:sz="4" w:val="single"/>
              <w:bottom w:color="000000" w:sz="4" w:val="single"/>
              <w:right w:color="000000" w:sz="4" w:val="single"/>
            </w:tcBorders>
            <w:tcMar>
              <w:left w:type="dxa" w:w="28"/>
              <w:right w:type="dxa" w:w="28"/>
            </w:tcMar>
            <w:vAlign w:val="bottom"/>
          </w:tcPr>
          <w:p w14:paraId="18020000">
            <w:pPr>
              <w:widowControl w:val="1"/>
              <w:ind/>
              <w:jc w:val="center"/>
            </w:pPr>
            <w:r>
              <w:t>2</w:t>
            </w:r>
          </w:p>
        </w:tc>
        <w:tc>
          <w:tcPr>
            <w:tcW w:type="dxa" w:w="397"/>
            <w:tcBorders>
              <w:top w:sz="4" w:val="nil"/>
              <w:left w:sz="4" w:val="nil"/>
              <w:bottom w:sz="4" w:val="nil"/>
              <w:right w:sz="4" w:val="nil"/>
            </w:tcBorders>
            <w:tcMar>
              <w:left w:type="dxa" w:w="28"/>
              <w:right w:type="dxa" w:w="28"/>
            </w:tcMar>
            <w:vAlign w:val="bottom"/>
          </w:tcP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19020000">
            <w:pPr>
              <w:widowControl w:val="1"/>
              <w:ind/>
              <w:jc w:val="center"/>
            </w:pPr>
            <w:r>
              <w:t>2</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1A020000">
            <w:pPr>
              <w:widowControl w:val="1"/>
              <w:ind/>
              <w:jc w:val="center"/>
            </w:pPr>
            <w:r>
              <w:t>0</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1B020000">
            <w:pPr>
              <w:widowControl w:val="1"/>
              <w:ind/>
              <w:jc w:val="center"/>
            </w:pPr>
            <w:r>
              <w:t>1</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1C020000">
            <w:pPr>
              <w:widowControl w:val="1"/>
              <w:ind/>
              <w:jc w:val="center"/>
            </w:pPr>
            <w:r>
              <w:t>8</w:t>
            </w:r>
          </w:p>
        </w:tc>
        <w:tc>
          <w:tcPr>
            <w:tcW w:type="dxa" w:w="2834"/>
            <w:tcBorders>
              <w:top w:color="000000" w:val="nil"/>
              <w:left w:color="000000" w:val="nil"/>
              <w:bottom w:color="000000" w:val="nil"/>
              <w:right w:color="000000" w:val="nil"/>
            </w:tcBorders>
            <w:tcMar>
              <w:left w:type="dxa" w:w="28"/>
              <w:right w:type="dxa" w:w="28"/>
            </w:tcMar>
          </w:tcPr>
          <w:p/>
        </w:tc>
        <w:tc>
          <w:tcPr>
            <w:tcW w:type="dxa" w:w="1417"/>
            <w:tcBorders>
              <w:top w:color="000000" w:val="nil"/>
              <w:left w:color="000000" w:val="nil"/>
              <w:bottom w:color="000000" w:val="nil"/>
              <w:right w:color="000000" w:val="nil"/>
            </w:tcBorders>
            <w:tcMar>
              <w:left w:type="dxa" w:w="28"/>
              <w:right w:type="dxa" w:w="28"/>
            </w:tcMar>
          </w:tcPr>
          <w:p/>
        </w:tc>
        <w:tc>
          <w:tcPr>
            <w:tcW w:type="dxa" w:w="2127"/>
            <w:tcBorders>
              <w:top w:color="000000" w:val="nil"/>
              <w:left w:color="000000" w:val="nil"/>
              <w:bottom w:color="000000" w:val="nil"/>
              <w:right w:color="000000" w:val="nil"/>
            </w:tcBorders>
            <w:tcMar>
              <w:left w:type="dxa" w:w="28"/>
              <w:right w:type="dxa" w:w="28"/>
            </w:tcMar>
          </w:tcPr>
          <w:p/>
        </w:tc>
      </w:tr>
    </w:tbl>
    <w:p w14:paraId="1D020000"/>
    <w:tbl>
      <w:tblPr>
        <w:tblStyle w:val="Style_4"/>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left w:type="dxa" w:w="28"/>
          <w:right w:type="dxa" w:w="28"/>
        </w:tblCellMar>
      </w:tblPr>
      <w:tblGrid>
        <w:gridCol w:w="737"/>
        <w:gridCol w:w="3610"/>
        <w:gridCol w:w="2977"/>
        <w:gridCol w:w="2193"/>
        <w:gridCol w:w="1501"/>
        <w:gridCol w:w="1976"/>
        <w:gridCol w:w="2193"/>
      </w:tblGrid>
      <w:tr>
        <w:tc>
          <w:tcPr>
            <w:tcW w:type="dxa" w:w="737"/>
            <w:tcBorders>
              <w:top w:color="000000" w:sz="4" w:val="single"/>
              <w:left w:color="000000" w:sz="4" w:val="single"/>
              <w:bottom w:color="000000" w:sz="4" w:val="single"/>
              <w:right w:color="000000" w:sz="4" w:val="single"/>
            </w:tcBorders>
            <w:tcMar>
              <w:left w:type="dxa" w:w="28"/>
              <w:right w:type="dxa" w:w="28"/>
            </w:tcMar>
          </w:tcPr>
          <w:p w14:paraId="1E020000">
            <w:pPr>
              <w:widowControl w:val="1"/>
              <w:ind/>
              <w:jc w:val="center"/>
            </w:pPr>
            <w:r>
              <w:t>№</w:t>
            </w:r>
            <w:r>
              <w:br/>
            </w:r>
            <w:r>
              <w:t>п/п</w:t>
            </w:r>
          </w:p>
        </w:tc>
        <w:tc>
          <w:tcPr>
            <w:tcW w:type="dxa" w:w="3610"/>
            <w:tcBorders>
              <w:top w:color="000000" w:sz="4" w:val="single"/>
              <w:left w:color="000000" w:sz="4" w:val="single"/>
              <w:bottom w:color="000000" w:sz="4" w:val="single"/>
              <w:right w:color="000000" w:sz="4" w:val="single"/>
            </w:tcBorders>
            <w:tcMar>
              <w:left w:type="dxa" w:w="28"/>
              <w:right w:type="dxa" w:w="28"/>
            </w:tcMar>
          </w:tcPr>
          <w:p w14:paraId="1F020000">
            <w:pPr>
              <w:widowControl w:val="1"/>
              <w:ind/>
              <w:jc w:val="center"/>
            </w:pPr>
            <w:r>
              <w:t>Полное фирменное наименование (наименование для некоммерческой организации) или фамилия, имя, отчество аффилированного лица</w:t>
            </w:r>
          </w:p>
        </w:tc>
        <w:tc>
          <w:tcPr>
            <w:tcW w:type="dxa" w:w="2977"/>
            <w:tcBorders>
              <w:top w:color="000000" w:sz="4" w:val="single"/>
              <w:left w:color="000000" w:sz="4" w:val="single"/>
              <w:bottom w:color="000000" w:sz="4" w:val="single"/>
              <w:right w:color="000000" w:sz="4" w:val="single"/>
            </w:tcBorders>
            <w:tcMar>
              <w:left w:type="dxa" w:w="28"/>
              <w:right w:type="dxa" w:w="28"/>
            </w:tcMar>
          </w:tcPr>
          <w:p w14:paraId="20020000">
            <w:pPr>
              <w:widowControl w:val="1"/>
              <w:ind/>
              <w:jc w:val="center"/>
            </w:pPr>
            <w:r>
              <w:t>Место нахождения юридического лица или место жительства физического лица (указывается только с согласия физического лица)</w:t>
            </w:r>
          </w:p>
        </w:tc>
        <w:tc>
          <w:tcPr>
            <w:tcW w:type="dxa" w:w="2193"/>
            <w:tcBorders>
              <w:top w:color="000000" w:sz="4" w:val="single"/>
              <w:left w:color="000000" w:sz="4" w:val="single"/>
              <w:bottom w:color="000000" w:sz="4" w:val="single"/>
              <w:right w:color="000000" w:sz="4" w:val="single"/>
            </w:tcBorders>
            <w:tcMar>
              <w:left w:type="dxa" w:w="28"/>
              <w:right w:type="dxa" w:w="28"/>
            </w:tcMar>
          </w:tcPr>
          <w:p w14:paraId="21020000">
            <w:pPr>
              <w:widowControl w:val="1"/>
              <w:ind/>
              <w:jc w:val="center"/>
            </w:pPr>
            <w:r>
              <w:t>Основание (основания), в силу которого лицо признается аффилированным</w:t>
            </w:r>
          </w:p>
        </w:tc>
        <w:tc>
          <w:tcPr>
            <w:tcW w:type="dxa" w:w="1501"/>
            <w:tcBorders>
              <w:top w:color="000000" w:sz="4" w:val="single"/>
              <w:left w:color="000000" w:sz="4" w:val="single"/>
              <w:bottom w:color="000000" w:sz="4" w:val="single"/>
              <w:right w:color="000000" w:sz="4" w:val="single"/>
            </w:tcBorders>
            <w:tcMar>
              <w:left w:type="dxa" w:w="28"/>
              <w:right w:type="dxa" w:w="28"/>
            </w:tcMar>
          </w:tcPr>
          <w:p w14:paraId="22020000">
            <w:pPr>
              <w:widowControl w:val="1"/>
              <w:ind/>
              <w:jc w:val="center"/>
            </w:pPr>
            <w:r>
              <w:t>Дата наступления основания (оснований)</w:t>
            </w:r>
          </w:p>
        </w:tc>
        <w:tc>
          <w:tcPr>
            <w:tcW w:type="dxa" w:w="1976"/>
            <w:tcBorders>
              <w:top w:color="000000" w:sz="4" w:val="single"/>
              <w:left w:color="000000" w:sz="4" w:val="single"/>
              <w:bottom w:color="000000" w:sz="4" w:val="single"/>
              <w:right w:color="000000" w:sz="4" w:val="single"/>
            </w:tcBorders>
            <w:tcMar>
              <w:left w:type="dxa" w:w="28"/>
              <w:right w:type="dxa" w:w="28"/>
            </w:tcMar>
          </w:tcPr>
          <w:p w14:paraId="23020000">
            <w:pPr>
              <w:widowControl w:val="1"/>
              <w:ind/>
              <w:jc w:val="center"/>
            </w:pPr>
            <w:r>
              <w:t>Доля участия аффилированного лица в уставном капитале акционерного общества, %</w:t>
            </w:r>
          </w:p>
        </w:tc>
        <w:tc>
          <w:tcPr>
            <w:tcW w:type="dxa" w:w="2193"/>
            <w:tcBorders>
              <w:top w:color="000000" w:sz="4" w:val="single"/>
              <w:left w:color="000000" w:sz="4" w:val="single"/>
              <w:bottom w:color="000000" w:sz="4" w:val="single"/>
              <w:right w:color="000000" w:sz="4" w:val="single"/>
            </w:tcBorders>
            <w:tcMar>
              <w:left w:type="dxa" w:w="28"/>
              <w:right w:type="dxa" w:w="28"/>
            </w:tcMar>
          </w:tcPr>
          <w:p w14:paraId="24020000">
            <w:pPr>
              <w:widowControl w:val="1"/>
              <w:ind/>
              <w:jc w:val="center"/>
            </w:pPr>
            <w:r>
              <w:t>Доля принадлежащих аффилированному лицу обыкновенных акций акционерного общества, %</w:t>
            </w:r>
          </w:p>
        </w:tc>
      </w:tr>
      <w:tr>
        <w:tc>
          <w:tcPr>
            <w:tcW w:type="dxa" w:w="737"/>
            <w:tcBorders>
              <w:top w:color="000000" w:sz="4" w:val="single"/>
              <w:left w:color="000000" w:sz="4" w:val="single"/>
              <w:bottom w:color="000000" w:sz="4" w:val="single"/>
              <w:right w:color="000000" w:sz="4" w:val="single"/>
            </w:tcBorders>
            <w:tcMar>
              <w:left w:type="dxa" w:w="28"/>
              <w:right w:type="dxa" w:w="28"/>
            </w:tcMar>
            <w:vAlign w:val="bottom"/>
          </w:tcPr>
          <w:p w14:paraId="25020000">
            <w:pPr>
              <w:widowControl w:val="1"/>
              <w:ind/>
              <w:jc w:val="center"/>
            </w:pPr>
            <w:r>
              <w:t>1</w:t>
            </w:r>
          </w:p>
        </w:tc>
        <w:tc>
          <w:tcPr>
            <w:tcW w:type="dxa" w:w="3610"/>
            <w:tcBorders>
              <w:top w:color="000000" w:sz="4" w:val="single"/>
              <w:left w:color="000000" w:sz="4" w:val="single"/>
              <w:bottom w:color="000000" w:sz="4" w:val="single"/>
              <w:right w:color="000000" w:sz="4" w:val="single"/>
            </w:tcBorders>
            <w:tcMar>
              <w:left w:type="dxa" w:w="28"/>
              <w:right w:type="dxa" w:w="28"/>
            </w:tcMar>
            <w:vAlign w:val="bottom"/>
          </w:tcPr>
          <w:p w14:paraId="26020000">
            <w:pPr>
              <w:widowControl w:val="1"/>
              <w:ind/>
              <w:jc w:val="center"/>
            </w:pPr>
            <w:r>
              <w:t>2</w:t>
            </w:r>
          </w:p>
        </w:tc>
        <w:tc>
          <w:tcPr>
            <w:tcW w:type="dxa" w:w="2977"/>
            <w:tcBorders>
              <w:top w:color="000000" w:sz="4" w:val="single"/>
              <w:left w:color="000000" w:sz="4" w:val="single"/>
              <w:bottom w:color="000000" w:sz="4" w:val="single"/>
              <w:right w:color="000000" w:sz="4" w:val="single"/>
            </w:tcBorders>
            <w:tcMar>
              <w:left w:type="dxa" w:w="28"/>
              <w:right w:type="dxa" w:w="28"/>
            </w:tcMar>
            <w:vAlign w:val="bottom"/>
          </w:tcPr>
          <w:p w14:paraId="27020000">
            <w:pPr>
              <w:widowControl w:val="1"/>
              <w:ind/>
              <w:jc w:val="center"/>
            </w:pPr>
            <w:r>
              <w:t>3</w:t>
            </w:r>
          </w:p>
        </w:tc>
        <w:tc>
          <w:tcPr>
            <w:tcW w:type="dxa" w:w="2193"/>
            <w:tcBorders>
              <w:top w:color="000000" w:sz="4" w:val="single"/>
              <w:left w:color="000000" w:sz="4" w:val="single"/>
              <w:bottom w:color="000000" w:sz="4" w:val="single"/>
              <w:right w:color="000000" w:sz="4" w:val="single"/>
            </w:tcBorders>
            <w:tcMar>
              <w:left w:type="dxa" w:w="28"/>
              <w:right w:type="dxa" w:w="28"/>
            </w:tcMar>
            <w:vAlign w:val="bottom"/>
          </w:tcPr>
          <w:p w14:paraId="28020000">
            <w:pPr>
              <w:widowControl w:val="1"/>
              <w:ind/>
              <w:jc w:val="center"/>
            </w:pPr>
            <w:r>
              <w:t>4</w:t>
            </w:r>
          </w:p>
        </w:tc>
        <w:tc>
          <w:tcPr>
            <w:tcW w:type="dxa" w:w="1501"/>
            <w:tcBorders>
              <w:top w:color="000000" w:sz="4" w:val="single"/>
              <w:left w:color="000000" w:sz="4" w:val="single"/>
              <w:bottom w:color="000000" w:sz="4" w:val="single"/>
              <w:right w:color="000000" w:sz="4" w:val="single"/>
            </w:tcBorders>
            <w:tcMar>
              <w:left w:type="dxa" w:w="28"/>
              <w:right w:type="dxa" w:w="28"/>
            </w:tcMar>
            <w:vAlign w:val="bottom"/>
          </w:tcPr>
          <w:p w14:paraId="29020000">
            <w:pPr>
              <w:widowControl w:val="1"/>
              <w:ind/>
              <w:jc w:val="center"/>
            </w:pPr>
            <w:r>
              <w:t>5</w:t>
            </w:r>
          </w:p>
        </w:tc>
        <w:tc>
          <w:tcPr>
            <w:tcW w:type="dxa" w:w="1976"/>
            <w:tcBorders>
              <w:top w:color="000000" w:sz="4" w:val="single"/>
              <w:left w:color="000000" w:sz="4" w:val="single"/>
              <w:bottom w:color="000000" w:sz="4" w:val="single"/>
              <w:right w:color="000000" w:sz="4" w:val="single"/>
            </w:tcBorders>
            <w:tcMar>
              <w:left w:type="dxa" w:w="28"/>
              <w:right w:type="dxa" w:w="28"/>
            </w:tcMar>
            <w:vAlign w:val="bottom"/>
          </w:tcPr>
          <w:p w14:paraId="2A020000">
            <w:pPr>
              <w:widowControl w:val="1"/>
              <w:ind/>
              <w:jc w:val="center"/>
            </w:pPr>
            <w:r>
              <w:t>6</w:t>
            </w:r>
          </w:p>
        </w:tc>
        <w:tc>
          <w:tcPr>
            <w:tcW w:type="dxa" w:w="2193"/>
            <w:tcBorders>
              <w:top w:color="000000" w:sz="4" w:val="single"/>
              <w:left w:color="000000" w:sz="4" w:val="single"/>
              <w:bottom w:color="000000" w:sz="4" w:val="single"/>
              <w:right w:color="000000" w:sz="4" w:val="single"/>
            </w:tcBorders>
            <w:tcMar>
              <w:left w:type="dxa" w:w="28"/>
              <w:right w:type="dxa" w:w="28"/>
            </w:tcMar>
            <w:vAlign w:val="bottom"/>
          </w:tcPr>
          <w:p w14:paraId="2B020000">
            <w:pPr>
              <w:widowControl w:val="1"/>
              <w:ind/>
              <w:jc w:val="center"/>
            </w:pPr>
            <w:r>
              <w:t>7</w:t>
            </w:r>
          </w:p>
        </w:tc>
      </w:tr>
      <w:tr>
        <w:tc>
          <w:tcPr>
            <w:tcW w:type="dxa" w:w="737"/>
            <w:tcBorders>
              <w:top w:color="000000" w:sz="4" w:val="single"/>
              <w:left w:color="000000" w:sz="4" w:val="single"/>
              <w:bottom w:color="000000" w:sz="4" w:val="single"/>
              <w:right w:color="000000" w:sz="4" w:val="single"/>
            </w:tcBorders>
            <w:tcMar>
              <w:left w:type="dxa" w:w="28"/>
              <w:right w:type="dxa" w:w="28"/>
            </w:tcMar>
            <w:vAlign w:val="center"/>
          </w:tcPr>
          <w:p w14:paraId="2C020000">
            <w:pPr>
              <w:widowControl w:val="1"/>
              <w:ind/>
              <w:jc w:val="center"/>
            </w:pPr>
            <w:r>
              <w:t>1</w:t>
            </w:r>
          </w:p>
        </w:tc>
        <w:tc>
          <w:tcPr>
            <w:tcW w:type="dxa" w:w="3610"/>
            <w:tcBorders>
              <w:top w:color="000000" w:sz="4" w:val="single"/>
              <w:left w:color="000000" w:sz="4" w:val="single"/>
              <w:bottom w:color="000000" w:sz="4" w:val="single"/>
              <w:right w:color="000000" w:sz="4" w:val="single"/>
            </w:tcBorders>
            <w:tcMar>
              <w:left w:type="dxa" w:w="28"/>
              <w:right w:type="dxa" w:w="28"/>
            </w:tcMar>
            <w:vAlign w:val="center"/>
          </w:tcPr>
          <w:p w14:paraId="2D020000">
            <w:pPr>
              <w:widowControl w:val="1"/>
              <w:ind/>
              <w:jc w:val="center"/>
            </w:pPr>
            <w:r>
              <w:t>Открытое акционерное общество «Российские железные дороги»</w:t>
            </w:r>
          </w:p>
        </w:tc>
        <w:tc>
          <w:tcPr>
            <w:tcW w:type="dxa" w:w="2977"/>
            <w:tcBorders>
              <w:top w:color="000000" w:sz="4" w:val="single"/>
              <w:left w:color="000000" w:sz="4" w:val="single"/>
              <w:bottom w:color="000000" w:sz="4" w:val="single"/>
              <w:right w:color="000000" w:sz="4" w:val="single"/>
            </w:tcBorders>
            <w:tcMar>
              <w:left w:type="dxa" w:w="28"/>
              <w:right w:type="dxa" w:w="28"/>
            </w:tcMar>
            <w:vAlign w:val="center"/>
          </w:tcPr>
          <w:p w14:paraId="2E020000">
            <w:pPr>
              <w:widowControl w:val="1"/>
              <w:ind/>
              <w:jc w:val="center"/>
            </w:pPr>
            <w:r>
              <w:t>г. Москва,</w:t>
            </w:r>
          </w:p>
          <w:p w14:paraId="2F020000">
            <w:pPr>
              <w:widowControl w:val="1"/>
              <w:ind/>
              <w:jc w:val="center"/>
            </w:pPr>
            <w:r>
              <w:t>ул. Н. Басманная, 2</w:t>
            </w: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30020000">
            <w:pPr>
              <w:widowControl w:val="1"/>
              <w:ind/>
              <w:jc w:val="center"/>
            </w:pPr>
            <w:r>
              <w:t>Учредительный договор, учредитель</w:t>
            </w:r>
          </w:p>
        </w:tc>
        <w:tc>
          <w:tcPr>
            <w:tcW w:type="dxa" w:w="1501"/>
            <w:tcBorders>
              <w:top w:color="000000" w:sz="4" w:val="single"/>
              <w:left w:color="000000" w:sz="4" w:val="single"/>
              <w:bottom w:color="000000" w:sz="4" w:val="single"/>
              <w:right w:color="000000" w:sz="4" w:val="single"/>
            </w:tcBorders>
            <w:tcMar>
              <w:left w:type="dxa" w:w="28"/>
              <w:right w:type="dxa" w:w="28"/>
            </w:tcMar>
            <w:vAlign w:val="center"/>
          </w:tcPr>
          <w:p w14:paraId="31020000">
            <w:pPr>
              <w:widowControl w:val="1"/>
              <w:ind/>
              <w:jc w:val="center"/>
            </w:pPr>
            <w:r>
              <w:t>30.06.2005</w:t>
            </w:r>
          </w:p>
        </w:tc>
        <w:tc>
          <w:tcPr>
            <w:tcW w:type="dxa" w:w="1976"/>
            <w:tcBorders>
              <w:top w:color="000000" w:sz="4" w:val="single"/>
              <w:left w:color="000000" w:sz="4" w:val="single"/>
              <w:bottom w:color="000000" w:sz="4" w:val="single"/>
              <w:right w:color="000000" w:sz="4" w:val="single"/>
            </w:tcBorders>
            <w:tcMar>
              <w:left w:type="dxa" w:w="28"/>
              <w:right w:type="dxa" w:w="28"/>
            </w:tcMar>
            <w:vAlign w:val="center"/>
          </w:tcPr>
          <w:p w14:paraId="32020000">
            <w:pPr>
              <w:widowControl w:val="1"/>
              <w:ind/>
              <w:jc w:val="center"/>
            </w:pPr>
            <w:r>
              <w:t>51</w:t>
            </w: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33020000">
            <w:pPr>
              <w:widowControl w:val="1"/>
              <w:ind/>
              <w:jc w:val="center"/>
            </w:pPr>
            <w:r>
              <w:t>51</w:t>
            </w:r>
          </w:p>
        </w:tc>
      </w:tr>
      <w:tr>
        <w:tc>
          <w:tcPr>
            <w:tcW w:type="dxa" w:w="737"/>
            <w:tcBorders>
              <w:top w:color="000000" w:sz="4" w:val="single"/>
              <w:left w:color="000000" w:sz="4" w:val="single"/>
              <w:bottom w:color="000000" w:sz="4" w:val="single"/>
              <w:right w:color="000000" w:sz="4" w:val="single"/>
            </w:tcBorders>
            <w:tcMar>
              <w:left w:type="dxa" w:w="28"/>
              <w:right w:type="dxa" w:w="28"/>
            </w:tcMar>
            <w:vAlign w:val="center"/>
          </w:tcPr>
          <w:p w14:paraId="34020000">
            <w:pPr>
              <w:widowControl w:val="1"/>
              <w:ind/>
              <w:jc w:val="center"/>
            </w:pPr>
            <w:r>
              <w:t>2</w:t>
            </w:r>
          </w:p>
        </w:tc>
        <w:tc>
          <w:tcPr>
            <w:tcW w:type="dxa" w:w="3610"/>
            <w:tcBorders>
              <w:top w:color="000000" w:sz="4" w:val="single"/>
              <w:left w:color="000000" w:sz="4" w:val="single"/>
              <w:bottom w:color="000000" w:sz="4" w:val="single"/>
              <w:right w:color="000000" w:sz="4" w:val="single"/>
            </w:tcBorders>
            <w:tcMar>
              <w:left w:type="dxa" w:w="28"/>
              <w:right w:type="dxa" w:w="28"/>
            </w:tcMar>
            <w:vAlign w:val="center"/>
          </w:tcPr>
          <w:p w14:paraId="35020000">
            <w:pPr>
              <w:widowControl w:val="1"/>
              <w:ind/>
              <w:jc w:val="center"/>
            </w:pPr>
            <w:r>
              <w:t>Государственное предприятие Красноярского края «Центр транспортной логистики»</w:t>
            </w:r>
          </w:p>
        </w:tc>
        <w:tc>
          <w:tcPr>
            <w:tcW w:type="dxa" w:w="2977"/>
            <w:tcBorders>
              <w:top w:color="000000" w:sz="4" w:val="single"/>
              <w:left w:color="000000" w:sz="4" w:val="single"/>
              <w:bottom w:color="000000" w:sz="4" w:val="single"/>
              <w:right w:color="000000" w:sz="4" w:val="single"/>
            </w:tcBorders>
            <w:tcMar>
              <w:left w:type="dxa" w:w="28"/>
              <w:right w:type="dxa" w:w="28"/>
            </w:tcMar>
            <w:vAlign w:val="center"/>
          </w:tcPr>
          <w:p w14:paraId="36020000">
            <w:pPr>
              <w:widowControl w:val="1"/>
              <w:ind/>
              <w:jc w:val="center"/>
            </w:pPr>
            <w:r>
              <w:t>Г. Красноярск, ул. Диктатуры пролетариата, 12а</w:t>
            </w: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37020000">
            <w:pPr>
              <w:widowControl w:val="1"/>
              <w:ind/>
              <w:jc w:val="center"/>
            </w:pPr>
            <w:r>
              <w:t>Учредительный договор, учредитель</w:t>
            </w:r>
          </w:p>
          <w:p w14:paraId="38020000">
            <w:pPr>
              <w:widowControl w:val="1"/>
              <w:ind/>
              <w:jc w:val="center"/>
            </w:pPr>
          </w:p>
        </w:tc>
        <w:tc>
          <w:tcPr>
            <w:tcW w:type="dxa" w:w="1501"/>
            <w:tcBorders>
              <w:top w:color="000000" w:sz="4" w:val="single"/>
              <w:left w:color="000000" w:sz="4" w:val="single"/>
              <w:bottom w:color="000000" w:sz="4" w:val="single"/>
              <w:right w:color="000000" w:sz="4" w:val="single"/>
            </w:tcBorders>
            <w:tcMar>
              <w:left w:type="dxa" w:w="28"/>
              <w:right w:type="dxa" w:w="28"/>
            </w:tcMar>
            <w:vAlign w:val="center"/>
          </w:tcPr>
          <w:p w14:paraId="39020000">
            <w:pPr>
              <w:widowControl w:val="1"/>
              <w:ind/>
              <w:jc w:val="center"/>
            </w:pPr>
            <w:r>
              <w:t>30.06.2005</w:t>
            </w:r>
          </w:p>
        </w:tc>
        <w:tc>
          <w:tcPr>
            <w:tcW w:type="dxa" w:w="1976"/>
            <w:tcBorders>
              <w:top w:color="000000" w:sz="4" w:val="single"/>
              <w:left w:color="000000" w:sz="4" w:val="single"/>
              <w:bottom w:color="000000" w:sz="4" w:val="single"/>
              <w:right w:color="000000" w:sz="4" w:val="single"/>
            </w:tcBorders>
            <w:tcMar>
              <w:left w:type="dxa" w:w="28"/>
              <w:right w:type="dxa" w:w="28"/>
            </w:tcMar>
            <w:vAlign w:val="center"/>
          </w:tcPr>
          <w:p w14:paraId="3A020000">
            <w:pPr>
              <w:widowControl w:val="1"/>
              <w:ind/>
              <w:jc w:val="center"/>
            </w:pPr>
            <w:r>
              <w:t>49</w:t>
            </w: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3B020000">
            <w:pPr>
              <w:widowControl w:val="1"/>
              <w:ind/>
              <w:jc w:val="center"/>
            </w:pPr>
            <w:r>
              <w:t>49</w:t>
            </w:r>
          </w:p>
        </w:tc>
      </w:tr>
      <w:tr>
        <w:trPr>
          <w:trHeight w:hRule="atLeast" w:val="1682"/>
        </w:trPr>
        <w:tc>
          <w:tcPr>
            <w:tcW w:type="dxa" w:w="737"/>
            <w:tcBorders>
              <w:top w:color="000000" w:sz="4" w:val="single"/>
              <w:left w:color="000000" w:sz="4" w:val="single"/>
              <w:bottom w:color="000000" w:sz="4" w:val="single"/>
              <w:right w:color="000000" w:sz="4" w:val="single"/>
            </w:tcBorders>
            <w:tcMar>
              <w:left w:type="dxa" w:w="28"/>
              <w:right w:type="dxa" w:w="28"/>
            </w:tcMar>
            <w:vAlign w:val="center"/>
          </w:tcPr>
          <w:p w14:paraId="3C020000">
            <w:pPr>
              <w:widowControl w:val="1"/>
              <w:ind/>
              <w:jc w:val="center"/>
            </w:pPr>
            <w:r>
              <w:t>3</w:t>
            </w:r>
          </w:p>
        </w:tc>
        <w:tc>
          <w:tcPr>
            <w:tcW w:type="dxa" w:w="3610"/>
            <w:tcBorders>
              <w:top w:color="000000" w:sz="4" w:val="single"/>
              <w:left w:color="000000" w:sz="4" w:val="single"/>
              <w:bottom w:color="000000" w:sz="4" w:val="single"/>
              <w:right w:color="000000" w:sz="4" w:val="single"/>
            </w:tcBorders>
            <w:tcMar>
              <w:left w:type="dxa" w:w="28"/>
              <w:right w:type="dxa" w:w="28"/>
            </w:tcMar>
            <w:vAlign w:val="center"/>
          </w:tcPr>
          <w:p w14:paraId="3D020000">
            <w:pPr>
              <w:widowControl w:val="1"/>
              <w:ind/>
              <w:jc w:val="center"/>
            </w:pPr>
            <w:r>
              <w:t>Быков Эдуард Владимирович</w:t>
            </w:r>
          </w:p>
        </w:tc>
        <w:tc>
          <w:tcPr>
            <w:tcW w:type="dxa" w:w="2977"/>
            <w:tcBorders>
              <w:top w:color="000000" w:sz="4" w:val="single"/>
              <w:left w:color="000000" w:sz="4" w:val="single"/>
              <w:bottom w:color="000000" w:sz="4" w:val="single"/>
              <w:right w:color="000000" w:sz="4" w:val="single"/>
            </w:tcBorders>
            <w:tcMar>
              <w:left w:type="dxa" w:w="28"/>
              <w:right w:type="dxa" w:w="28"/>
            </w:tcMar>
            <w:vAlign w:val="center"/>
          </w:tcPr>
          <w:p w14:paraId="3E020000">
            <w:pPr>
              <w:widowControl w:val="1"/>
              <w:ind/>
              <w:jc w:val="center"/>
            </w:pP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3F020000">
            <w:pPr>
              <w:widowControl w:val="1"/>
              <w:ind/>
              <w:jc w:val="center"/>
            </w:pPr>
            <w:r>
              <w:t xml:space="preserve">Протокол заседания Совета директоров №2 от 01.08.2017г., </w:t>
            </w:r>
          </w:p>
          <w:p w14:paraId="40020000">
            <w:pPr>
              <w:widowControl w:val="1"/>
              <w:ind/>
              <w:jc w:val="center"/>
            </w:pPr>
            <w:r>
              <w:t>Генеральный директор</w:t>
            </w:r>
          </w:p>
        </w:tc>
        <w:tc>
          <w:tcPr>
            <w:tcW w:type="dxa" w:w="1501"/>
            <w:tcBorders>
              <w:top w:color="000000" w:sz="4" w:val="single"/>
              <w:left w:color="000000" w:sz="4" w:val="single"/>
              <w:bottom w:color="000000" w:sz="4" w:val="single"/>
              <w:right w:color="000000" w:sz="4" w:val="single"/>
            </w:tcBorders>
            <w:tcMar>
              <w:left w:type="dxa" w:w="28"/>
              <w:right w:type="dxa" w:w="28"/>
            </w:tcMar>
            <w:vAlign w:val="center"/>
          </w:tcPr>
          <w:p w14:paraId="41020000">
            <w:pPr>
              <w:widowControl w:val="1"/>
              <w:ind/>
              <w:jc w:val="center"/>
            </w:pPr>
            <w:r>
              <w:t>03.08.2017г.</w:t>
            </w:r>
          </w:p>
        </w:tc>
        <w:tc>
          <w:tcPr>
            <w:tcW w:type="dxa" w:w="1976"/>
            <w:tcBorders>
              <w:top w:color="000000" w:sz="4" w:val="single"/>
              <w:left w:color="000000" w:sz="4" w:val="single"/>
              <w:bottom w:color="000000" w:sz="4" w:val="single"/>
              <w:right w:color="000000" w:sz="4" w:val="single"/>
            </w:tcBorders>
            <w:tcMar>
              <w:left w:type="dxa" w:w="28"/>
              <w:right w:type="dxa" w:w="28"/>
            </w:tcMar>
            <w:vAlign w:val="center"/>
          </w:tcPr>
          <w:p w14:paraId="42020000">
            <w:pPr>
              <w:widowControl w:val="1"/>
              <w:ind/>
              <w:jc w:val="center"/>
            </w:pPr>
            <w:r>
              <w:t>0</w:t>
            </w: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43020000">
            <w:pPr>
              <w:widowControl w:val="1"/>
              <w:ind/>
              <w:jc w:val="center"/>
            </w:pPr>
            <w:r>
              <w:t>0</w:t>
            </w:r>
          </w:p>
        </w:tc>
      </w:tr>
      <w:tr>
        <w:tc>
          <w:tcPr>
            <w:tcW w:type="dxa" w:w="737"/>
            <w:tcBorders>
              <w:top w:color="000000" w:sz="4" w:val="single"/>
              <w:left w:color="000000" w:sz="4" w:val="single"/>
              <w:bottom w:color="000000" w:sz="4" w:val="single"/>
              <w:right w:color="000000" w:sz="4" w:val="single"/>
            </w:tcBorders>
            <w:tcMar>
              <w:left w:type="dxa" w:w="28"/>
              <w:right w:type="dxa" w:w="28"/>
            </w:tcMar>
            <w:vAlign w:val="center"/>
          </w:tcPr>
          <w:p w14:paraId="44020000">
            <w:pPr>
              <w:widowControl w:val="1"/>
              <w:ind/>
              <w:jc w:val="center"/>
            </w:pPr>
            <w:r>
              <w:t>4</w:t>
            </w:r>
          </w:p>
        </w:tc>
        <w:tc>
          <w:tcPr>
            <w:tcW w:type="dxa" w:w="3610"/>
            <w:tcBorders>
              <w:top w:color="000000" w:sz="4" w:val="single"/>
              <w:left w:color="000000" w:sz="4" w:val="single"/>
              <w:bottom w:color="000000" w:sz="4" w:val="single"/>
              <w:right w:color="000000" w:sz="4" w:val="single"/>
            </w:tcBorders>
            <w:tcMar>
              <w:left w:type="dxa" w:w="28"/>
              <w:right w:type="dxa" w:w="28"/>
            </w:tcMar>
            <w:vAlign w:val="center"/>
          </w:tcPr>
          <w:p w14:paraId="45020000">
            <w:pPr>
              <w:widowControl w:val="1"/>
              <w:ind/>
              <w:jc w:val="center"/>
            </w:pPr>
            <w:r>
              <w:t>Овсянников Петр Алексеевич</w:t>
            </w:r>
          </w:p>
        </w:tc>
        <w:tc>
          <w:tcPr>
            <w:tcW w:type="dxa" w:w="2977"/>
            <w:tcBorders>
              <w:top w:color="000000" w:sz="4" w:val="single"/>
              <w:left w:color="000000" w:sz="4" w:val="single"/>
              <w:bottom w:color="000000" w:sz="4" w:val="single"/>
              <w:right w:color="000000" w:sz="4" w:val="single"/>
            </w:tcBorders>
            <w:tcMar>
              <w:left w:type="dxa" w:w="28"/>
              <w:right w:type="dxa" w:w="28"/>
            </w:tcMar>
            <w:vAlign w:val="center"/>
          </w:tcPr>
          <w:p w14:paraId="46020000">
            <w:pPr>
              <w:widowControl w:val="1"/>
              <w:ind/>
              <w:jc w:val="center"/>
            </w:pP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47020000">
            <w:pPr>
              <w:widowControl w:val="1"/>
              <w:ind/>
              <w:jc w:val="center"/>
            </w:pPr>
            <w:r>
              <w:t>Протокол годового общего собрания акционеров  от 25.06.2018г.,</w:t>
            </w:r>
          </w:p>
          <w:p w14:paraId="48020000">
            <w:pPr>
              <w:widowControl w:val="1"/>
              <w:ind/>
              <w:jc w:val="center"/>
            </w:pPr>
            <w:r>
              <w:t>Член совета директоров</w:t>
            </w:r>
          </w:p>
        </w:tc>
        <w:tc>
          <w:tcPr>
            <w:tcW w:type="dxa" w:w="1501"/>
            <w:tcBorders>
              <w:top w:color="000000" w:sz="4" w:val="single"/>
              <w:left w:color="000000" w:sz="4" w:val="single"/>
              <w:bottom w:color="000000" w:sz="4" w:val="single"/>
              <w:right w:color="000000" w:sz="4" w:val="single"/>
            </w:tcBorders>
            <w:tcMar>
              <w:left w:type="dxa" w:w="28"/>
              <w:right w:type="dxa" w:w="28"/>
            </w:tcMar>
            <w:vAlign w:val="center"/>
          </w:tcPr>
          <w:p w14:paraId="49020000">
            <w:pPr>
              <w:widowControl w:val="1"/>
              <w:ind/>
              <w:jc w:val="center"/>
            </w:pPr>
            <w:r>
              <w:t>25.06.2018</w:t>
            </w:r>
          </w:p>
        </w:tc>
        <w:tc>
          <w:tcPr>
            <w:tcW w:type="dxa" w:w="1976"/>
            <w:tcBorders>
              <w:top w:color="000000" w:sz="4" w:val="single"/>
              <w:left w:color="000000" w:sz="4" w:val="single"/>
              <w:bottom w:color="000000" w:sz="4" w:val="single"/>
              <w:right w:color="000000" w:sz="4" w:val="single"/>
            </w:tcBorders>
            <w:tcMar>
              <w:left w:type="dxa" w:w="28"/>
              <w:right w:type="dxa" w:w="28"/>
            </w:tcMar>
            <w:vAlign w:val="center"/>
          </w:tcPr>
          <w:p w14:paraId="4A020000">
            <w:pPr>
              <w:widowControl w:val="1"/>
              <w:ind/>
              <w:jc w:val="center"/>
            </w:pPr>
            <w:r>
              <w:t>0</w:t>
            </w: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4B020000">
            <w:pPr>
              <w:widowControl w:val="1"/>
              <w:ind/>
              <w:jc w:val="center"/>
            </w:pPr>
            <w:r>
              <w:t>0</w:t>
            </w:r>
          </w:p>
        </w:tc>
      </w:tr>
      <w:tr>
        <w:tc>
          <w:tcPr>
            <w:tcW w:type="dxa" w:w="737"/>
            <w:tcBorders>
              <w:top w:color="000000" w:sz="4" w:val="single"/>
              <w:left w:color="000000" w:sz="4" w:val="single"/>
              <w:bottom w:color="000000" w:sz="4" w:val="single"/>
              <w:right w:color="000000" w:sz="4" w:val="single"/>
            </w:tcBorders>
            <w:tcMar>
              <w:left w:type="dxa" w:w="28"/>
              <w:right w:type="dxa" w:w="28"/>
            </w:tcMar>
            <w:vAlign w:val="center"/>
          </w:tcPr>
          <w:p w14:paraId="4C020000">
            <w:pPr>
              <w:widowControl w:val="1"/>
              <w:ind/>
              <w:jc w:val="center"/>
            </w:pPr>
            <w:r>
              <w:t>5</w:t>
            </w:r>
          </w:p>
        </w:tc>
        <w:tc>
          <w:tcPr>
            <w:tcW w:type="dxa" w:w="3610"/>
            <w:tcBorders>
              <w:top w:color="000000" w:sz="4" w:val="single"/>
              <w:left w:color="000000" w:sz="4" w:val="single"/>
              <w:bottom w:color="000000" w:sz="4" w:val="single"/>
              <w:right w:color="000000" w:sz="4" w:val="single"/>
            </w:tcBorders>
            <w:tcMar>
              <w:left w:type="dxa" w:w="28"/>
              <w:right w:type="dxa" w:w="28"/>
            </w:tcMar>
            <w:vAlign w:val="center"/>
          </w:tcPr>
          <w:p w14:paraId="4D020000">
            <w:pPr>
              <w:widowControl w:val="1"/>
              <w:ind/>
              <w:jc w:val="center"/>
            </w:pPr>
            <w:r>
              <w:t>Кривошеева Екатерина Геннадьевна</w:t>
            </w:r>
          </w:p>
        </w:tc>
        <w:tc>
          <w:tcPr>
            <w:tcW w:type="dxa" w:w="2977"/>
            <w:tcBorders>
              <w:top w:color="000000" w:sz="4" w:val="single"/>
              <w:left w:color="000000" w:sz="4" w:val="single"/>
              <w:bottom w:color="000000" w:sz="4" w:val="single"/>
              <w:right w:color="000000" w:sz="4" w:val="single"/>
            </w:tcBorders>
            <w:tcMar>
              <w:left w:type="dxa" w:w="28"/>
              <w:right w:type="dxa" w:w="28"/>
            </w:tcMar>
            <w:vAlign w:val="center"/>
          </w:tcPr>
          <w:p w14:paraId="4E020000">
            <w:pPr>
              <w:widowControl w:val="1"/>
              <w:ind/>
              <w:jc w:val="center"/>
            </w:pP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4F020000">
            <w:pPr>
              <w:widowControl w:val="1"/>
              <w:ind/>
              <w:jc w:val="center"/>
            </w:pPr>
            <w:r>
              <w:t>Протокол годового общего собрания акционеров  от 25.06.2018г.,</w:t>
            </w:r>
          </w:p>
          <w:p w14:paraId="50020000">
            <w:pPr>
              <w:widowControl w:val="1"/>
              <w:ind/>
              <w:jc w:val="center"/>
            </w:pPr>
            <w:r>
              <w:t>Член совета директоров</w:t>
            </w:r>
          </w:p>
        </w:tc>
        <w:tc>
          <w:tcPr>
            <w:tcW w:type="dxa" w:w="1501"/>
            <w:tcBorders>
              <w:top w:color="000000" w:sz="4" w:val="single"/>
              <w:left w:color="000000" w:sz="4" w:val="single"/>
              <w:bottom w:color="000000" w:sz="4" w:val="single"/>
              <w:right w:color="000000" w:sz="4" w:val="single"/>
            </w:tcBorders>
            <w:tcMar>
              <w:left w:type="dxa" w:w="28"/>
              <w:right w:type="dxa" w:w="28"/>
            </w:tcMar>
            <w:vAlign w:val="center"/>
          </w:tcPr>
          <w:p w14:paraId="51020000">
            <w:pPr>
              <w:widowControl w:val="1"/>
              <w:ind/>
              <w:jc w:val="center"/>
            </w:pPr>
            <w:r>
              <w:t>25.06.2018</w:t>
            </w:r>
          </w:p>
        </w:tc>
        <w:tc>
          <w:tcPr>
            <w:tcW w:type="dxa" w:w="1976"/>
            <w:tcBorders>
              <w:top w:color="000000" w:sz="4" w:val="single"/>
              <w:left w:color="000000" w:sz="4" w:val="single"/>
              <w:bottom w:color="000000" w:sz="4" w:val="single"/>
              <w:right w:color="000000" w:sz="4" w:val="single"/>
            </w:tcBorders>
            <w:tcMar>
              <w:left w:type="dxa" w:w="28"/>
              <w:right w:type="dxa" w:w="28"/>
            </w:tcMar>
            <w:vAlign w:val="center"/>
          </w:tcPr>
          <w:p w14:paraId="52020000">
            <w:pPr>
              <w:widowControl w:val="1"/>
              <w:ind/>
              <w:jc w:val="center"/>
            </w:pPr>
            <w:r>
              <w:t>0</w:t>
            </w: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53020000">
            <w:pPr>
              <w:widowControl w:val="1"/>
              <w:ind/>
              <w:jc w:val="center"/>
            </w:pPr>
            <w:r>
              <w:t>0</w:t>
            </w:r>
          </w:p>
        </w:tc>
      </w:tr>
      <w:tr>
        <w:trPr>
          <w:trHeight w:hRule="atLeast" w:val="1700"/>
        </w:trPr>
        <w:tc>
          <w:tcPr>
            <w:tcW w:type="dxa" w:w="737"/>
            <w:tcBorders>
              <w:top w:color="000000" w:sz="4" w:val="single"/>
              <w:left w:color="000000" w:sz="4" w:val="single"/>
              <w:bottom w:color="000000" w:sz="4" w:val="single"/>
              <w:right w:color="000000" w:sz="4" w:val="single"/>
            </w:tcBorders>
            <w:tcMar>
              <w:left w:type="dxa" w:w="28"/>
              <w:right w:type="dxa" w:w="28"/>
            </w:tcMar>
            <w:vAlign w:val="center"/>
          </w:tcPr>
          <w:p w14:paraId="54020000">
            <w:pPr>
              <w:widowControl w:val="1"/>
              <w:ind/>
              <w:jc w:val="center"/>
            </w:pPr>
            <w:r>
              <w:t>6</w:t>
            </w:r>
          </w:p>
        </w:tc>
        <w:tc>
          <w:tcPr>
            <w:tcW w:type="dxa" w:w="3610"/>
            <w:tcBorders>
              <w:top w:color="000000" w:sz="4" w:val="single"/>
              <w:left w:color="000000" w:sz="4" w:val="single"/>
              <w:bottom w:color="000000" w:sz="4" w:val="single"/>
              <w:right w:color="000000" w:sz="4" w:val="single"/>
            </w:tcBorders>
            <w:tcMar>
              <w:left w:type="dxa" w:w="28"/>
              <w:right w:type="dxa" w:w="28"/>
            </w:tcMar>
            <w:vAlign w:val="center"/>
          </w:tcPr>
          <w:p w14:paraId="55020000">
            <w:pPr>
              <w:widowControl w:val="1"/>
              <w:ind/>
              <w:jc w:val="center"/>
            </w:pPr>
            <w:r>
              <w:t>Ткачев Лев Викторович</w:t>
            </w:r>
          </w:p>
        </w:tc>
        <w:tc>
          <w:tcPr>
            <w:tcW w:type="dxa" w:w="2977"/>
            <w:tcBorders>
              <w:top w:color="000000" w:sz="4" w:val="single"/>
              <w:left w:color="000000" w:sz="4" w:val="single"/>
              <w:bottom w:color="000000" w:sz="4" w:val="single"/>
              <w:right w:color="000000" w:sz="4" w:val="single"/>
            </w:tcBorders>
            <w:tcMar>
              <w:left w:type="dxa" w:w="28"/>
              <w:right w:type="dxa" w:w="28"/>
            </w:tcMar>
            <w:vAlign w:val="center"/>
          </w:tcPr>
          <w:p w14:paraId="56020000">
            <w:pPr>
              <w:widowControl w:val="1"/>
              <w:ind/>
              <w:jc w:val="center"/>
            </w:pP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57020000">
            <w:pPr>
              <w:widowControl w:val="1"/>
              <w:ind/>
              <w:jc w:val="center"/>
            </w:pPr>
            <w:r>
              <w:t>Протокол годового общего собрания акционеров  от 25.06.2018г.,</w:t>
            </w:r>
          </w:p>
          <w:p w14:paraId="58020000">
            <w:pPr>
              <w:widowControl w:val="1"/>
              <w:ind/>
              <w:jc w:val="center"/>
            </w:pPr>
            <w:r>
              <w:t>Член совета директоров</w:t>
            </w:r>
          </w:p>
        </w:tc>
        <w:tc>
          <w:tcPr>
            <w:tcW w:type="dxa" w:w="1501"/>
            <w:tcBorders>
              <w:top w:color="000000" w:sz="4" w:val="single"/>
              <w:left w:color="000000" w:sz="4" w:val="single"/>
              <w:bottom w:color="000000" w:sz="4" w:val="single"/>
              <w:right w:color="000000" w:sz="4" w:val="single"/>
            </w:tcBorders>
            <w:tcMar>
              <w:left w:type="dxa" w:w="28"/>
              <w:right w:type="dxa" w:w="28"/>
            </w:tcMar>
            <w:vAlign w:val="center"/>
          </w:tcPr>
          <w:p w14:paraId="59020000">
            <w:pPr>
              <w:widowControl w:val="1"/>
              <w:ind/>
              <w:jc w:val="center"/>
            </w:pPr>
            <w:r>
              <w:t>25.06.2018</w:t>
            </w:r>
          </w:p>
        </w:tc>
        <w:tc>
          <w:tcPr>
            <w:tcW w:type="dxa" w:w="1976"/>
            <w:tcBorders>
              <w:top w:color="000000" w:sz="4" w:val="single"/>
              <w:left w:color="000000" w:sz="4" w:val="single"/>
              <w:bottom w:color="000000" w:sz="4" w:val="single"/>
              <w:right w:color="000000" w:sz="4" w:val="single"/>
            </w:tcBorders>
            <w:tcMar>
              <w:left w:type="dxa" w:w="28"/>
              <w:right w:type="dxa" w:w="28"/>
            </w:tcMar>
            <w:vAlign w:val="center"/>
          </w:tcPr>
          <w:p w14:paraId="5A020000">
            <w:pPr>
              <w:widowControl w:val="1"/>
              <w:ind/>
              <w:jc w:val="center"/>
            </w:pPr>
            <w:r>
              <w:t>0</w:t>
            </w: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5B020000">
            <w:pPr>
              <w:widowControl w:val="1"/>
              <w:ind/>
              <w:jc w:val="center"/>
            </w:pPr>
            <w:r>
              <w:t>0</w:t>
            </w:r>
          </w:p>
        </w:tc>
      </w:tr>
      <w:tr>
        <w:trPr>
          <w:trHeight w:hRule="atLeast" w:val="1823"/>
        </w:trPr>
        <w:tc>
          <w:tcPr>
            <w:tcW w:type="dxa" w:w="737"/>
            <w:tcBorders>
              <w:top w:color="000000" w:sz="4" w:val="single"/>
              <w:left w:color="000000" w:sz="4" w:val="single"/>
              <w:bottom w:color="000000" w:sz="4" w:val="single"/>
              <w:right w:color="000000" w:sz="4" w:val="single"/>
            </w:tcBorders>
            <w:tcMar>
              <w:left w:type="dxa" w:w="28"/>
              <w:right w:type="dxa" w:w="28"/>
            </w:tcMar>
            <w:vAlign w:val="center"/>
          </w:tcPr>
          <w:p w14:paraId="5C020000">
            <w:pPr>
              <w:widowControl w:val="1"/>
              <w:ind/>
              <w:jc w:val="center"/>
            </w:pPr>
            <w:r>
              <w:t>7</w:t>
            </w:r>
          </w:p>
        </w:tc>
        <w:tc>
          <w:tcPr>
            <w:tcW w:type="dxa" w:w="3610"/>
            <w:tcBorders>
              <w:top w:color="000000" w:sz="4" w:val="single"/>
              <w:left w:color="000000" w:sz="4" w:val="single"/>
              <w:bottom w:color="000000" w:sz="4" w:val="single"/>
              <w:right w:color="000000" w:sz="4" w:val="single"/>
            </w:tcBorders>
            <w:tcMar>
              <w:left w:type="dxa" w:w="28"/>
              <w:right w:type="dxa" w:w="28"/>
            </w:tcMar>
            <w:vAlign w:val="center"/>
          </w:tcPr>
          <w:p w14:paraId="5D020000">
            <w:pPr>
              <w:widowControl w:val="1"/>
              <w:ind/>
              <w:jc w:val="center"/>
            </w:pPr>
            <w:r>
              <w:t>Августинович Андрей Михайлович</w:t>
            </w:r>
          </w:p>
        </w:tc>
        <w:tc>
          <w:tcPr>
            <w:tcW w:type="dxa" w:w="2977"/>
            <w:tcBorders>
              <w:top w:color="000000" w:sz="4" w:val="single"/>
              <w:left w:color="000000" w:sz="4" w:val="single"/>
              <w:bottom w:color="000000" w:sz="4" w:val="single"/>
              <w:right w:color="000000" w:sz="4" w:val="single"/>
            </w:tcBorders>
            <w:tcMar>
              <w:left w:type="dxa" w:w="28"/>
              <w:right w:type="dxa" w:w="28"/>
            </w:tcMar>
            <w:vAlign w:val="center"/>
          </w:tcPr>
          <w:p w14:paraId="5E020000">
            <w:pPr>
              <w:widowControl w:val="1"/>
              <w:ind/>
              <w:jc w:val="center"/>
            </w:pP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5F020000">
            <w:pPr>
              <w:widowControl w:val="1"/>
              <w:ind/>
              <w:jc w:val="center"/>
            </w:pPr>
            <w:r>
              <w:t>Протокол годового общего собрания акционеров  от 25.06.2018г.,</w:t>
            </w:r>
          </w:p>
          <w:p w14:paraId="60020000">
            <w:pPr>
              <w:widowControl w:val="1"/>
              <w:ind/>
              <w:jc w:val="center"/>
            </w:pPr>
            <w:r>
              <w:t>Член совета директоров</w:t>
            </w:r>
          </w:p>
        </w:tc>
        <w:tc>
          <w:tcPr>
            <w:tcW w:type="dxa" w:w="1501"/>
            <w:tcBorders>
              <w:top w:color="000000" w:sz="4" w:val="single"/>
              <w:left w:color="000000" w:sz="4" w:val="single"/>
              <w:bottom w:color="000000" w:sz="4" w:val="single"/>
              <w:right w:color="000000" w:sz="4" w:val="single"/>
            </w:tcBorders>
            <w:tcMar>
              <w:left w:type="dxa" w:w="28"/>
              <w:right w:type="dxa" w:w="28"/>
            </w:tcMar>
            <w:vAlign w:val="center"/>
          </w:tcPr>
          <w:p w14:paraId="61020000">
            <w:pPr>
              <w:widowControl w:val="1"/>
              <w:ind/>
              <w:jc w:val="center"/>
            </w:pPr>
            <w:r>
              <w:t>25.06.2018</w:t>
            </w:r>
          </w:p>
        </w:tc>
        <w:tc>
          <w:tcPr>
            <w:tcW w:type="dxa" w:w="1976"/>
            <w:tcBorders>
              <w:top w:color="000000" w:sz="4" w:val="single"/>
              <w:left w:color="000000" w:sz="4" w:val="single"/>
              <w:bottom w:color="000000" w:sz="4" w:val="single"/>
              <w:right w:color="000000" w:sz="4" w:val="single"/>
            </w:tcBorders>
            <w:tcMar>
              <w:left w:type="dxa" w:w="28"/>
              <w:right w:type="dxa" w:w="28"/>
            </w:tcMar>
            <w:vAlign w:val="center"/>
          </w:tcPr>
          <w:p w14:paraId="62020000">
            <w:pPr>
              <w:widowControl w:val="1"/>
              <w:ind/>
              <w:jc w:val="center"/>
            </w:pPr>
            <w:r>
              <w:t>0</w:t>
            </w: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63020000">
            <w:pPr>
              <w:widowControl w:val="1"/>
              <w:ind/>
              <w:jc w:val="center"/>
            </w:pPr>
            <w:r>
              <w:t>0</w:t>
            </w:r>
          </w:p>
        </w:tc>
      </w:tr>
      <w:tr>
        <w:tc>
          <w:tcPr>
            <w:tcW w:type="dxa" w:w="737"/>
            <w:tcBorders>
              <w:top w:color="000000" w:sz="4" w:val="single"/>
              <w:left w:color="000000" w:sz="4" w:val="single"/>
              <w:bottom w:color="000000" w:sz="4" w:val="single"/>
              <w:right w:color="000000" w:sz="4" w:val="single"/>
            </w:tcBorders>
            <w:tcMar>
              <w:left w:type="dxa" w:w="28"/>
              <w:right w:type="dxa" w:w="28"/>
            </w:tcMar>
            <w:vAlign w:val="center"/>
          </w:tcPr>
          <w:p w14:paraId="64020000">
            <w:pPr>
              <w:widowControl w:val="1"/>
              <w:ind/>
              <w:jc w:val="center"/>
            </w:pPr>
            <w:r>
              <w:t>8</w:t>
            </w:r>
          </w:p>
        </w:tc>
        <w:tc>
          <w:tcPr>
            <w:tcW w:type="dxa" w:w="3610"/>
            <w:tcBorders>
              <w:top w:color="000000" w:sz="4" w:val="single"/>
              <w:left w:color="000000" w:sz="4" w:val="single"/>
              <w:bottom w:color="000000" w:sz="4" w:val="single"/>
              <w:right w:color="000000" w:sz="4" w:val="single"/>
            </w:tcBorders>
            <w:tcMar>
              <w:left w:type="dxa" w:w="28"/>
              <w:right w:type="dxa" w:w="28"/>
            </w:tcMar>
            <w:vAlign w:val="center"/>
          </w:tcPr>
          <w:p w14:paraId="65020000">
            <w:pPr>
              <w:widowControl w:val="1"/>
              <w:ind/>
              <w:jc w:val="center"/>
            </w:pPr>
            <w:r>
              <w:t>Бельская Яна Владимировна</w:t>
            </w:r>
          </w:p>
        </w:tc>
        <w:tc>
          <w:tcPr>
            <w:tcW w:type="dxa" w:w="2977"/>
            <w:tcBorders>
              <w:top w:color="000000" w:sz="4" w:val="single"/>
              <w:left w:color="000000" w:sz="4" w:val="single"/>
              <w:bottom w:color="000000" w:sz="4" w:val="single"/>
              <w:right w:color="000000" w:sz="4" w:val="single"/>
            </w:tcBorders>
            <w:tcMar>
              <w:left w:type="dxa" w:w="28"/>
              <w:right w:type="dxa" w:w="28"/>
            </w:tcMar>
            <w:vAlign w:val="center"/>
          </w:tcPr>
          <w:p w14:paraId="66020000">
            <w:pPr>
              <w:widowControl w:val="1"/>
              <w:ind/>
              <w:jc w:val="center"/>
            </w:pP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67020000">
            <w:pPr>
              <w:widowControl w:val="1"/>
              <w:ind/>
              <w:jc w:val="center"/>
            </w:pPr>
            <w:r>
              <w:t>Протокол годового общего собрания акционеров  от 25.06.2018г.,</w:t>
            </w:r>
          </w:p>
          <w:p w14:paraId="68020000">
            <w:pPr>
              <w:widowControl w:val="1"/>
              <w:ind/>
              <w:jc w:val="center"/>
            </w:pPr>
            <w:r>
              <w:t>Член совета директоров</w:t>
            </w:r>
          </w:p>
        </w:tc>
        <w:tc>
          <w:tcPr>
            <w:tcW w:type="dxa" w:w="1501"/>
            <w:tcBorders>
              <w:top w:color="000000" w:sz="4" w:val="single"/>
              <w:left w:color="000000" w:sz="4" w:val="single"/>
              <w:bottom w:color="000000" w:sz="4" w:val="single"/>
              <w:right w:color="000000" w:sz="4" w:val="single"/>
            </w:tcBorders>
            <w:tcMar>
              <w:left w:type="dxa" w:w="28"/>
              <w:right w:type="dxa" w:w="28"/>
            </w:tcMar>
            <w:vAlign w:val="center"/>
          </w:tcPr>
          <w:p w14:paraId="69020000">
            <w:pPr>
              <w:widowControl w:val="1"/>
              <w:ind/>
              <w:jc w:val="center"/>
            </w:pPr>
            <w:r>
              <w:t>25.06.2018</w:t>
            </w:r>
          </w:p>
        </w:tc>
        <w:tc>
          <w:tcPr>
            <w:tcW w:type="dxa" w:w="1976"/>
            <w:tcBorders>
              <w:top w:color="000000" w:sz="4" w:val="single"/>
              <w:left w:color="000000" w:sz="4" w:val="single"/>
              <w:bottom w:color="000000" w:sz="4" w:val="single"/>
              <w:right w:color="000000" w:sz="4" w:val="single"/>
            </w:tcBorders>
            <w:tcMar>
              <w:left w:type="dxa" w:w="28"/>
              <w:right w:type="dxa" w:w="28"/>
            </w:tcMar>
            <w:vAlign w:val="center"/>
          </w:tcPr>
          <w:p w14:paraId="6A020000">
            <w:pPr>
              <w:widowControl w:val="1"/>
              <w:ind/>
              <w:jc w:val="center"/>
            </w:pPr>
            <w:r>
              <w:t>0</w:t>
            </w: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6B020000">
            <w:pPr>
              <w:widowControl w:val="1"/>
              <w:ind/>
              <w:jc w:val="center"/>
            </w:pPr>
            <w:r>
              <w:t>0</w:t>
            </w:r>
          </w:p>
        </w:tc>
      </w:tr>
      <w:tr>
        <w:trPr>
          <w:trHeight w:hRule="atLeast" w:val="1717"/>
        </w:trPr>
        <w:tc>
          <w:tcPr>
            <w:tcW w:type="dxa" w:w="737"/>
            <w:tcBorders>
              <w:top w:color="000000" w:sz="4" w:val="single"/>
              <w:left w:color="000000" w:sz="4" w:val="single"/>
              <w:bottom w:color="000000" w:sz="4" w:val="single"/>
              <w:right w:color="000000" w:sz="4" w:val="single"/>
            </w:tcBorders>
            <w:tcMar>
              <w:left w:type="dxa" w:w="28"/>
              <w:right w:type="dxa" w:w="28"/>
            </w:tcMar>
            <w:vAlign w:val="center"/>
          </w:tcPr>
          <w:p w14:paraId="6C020000">
            <w:pPr>
              <w:widowControl w:val="1"/>
              <w:ind/>
              <w:jc w:val="center"/>
            </w:pPr>
            <w:r>
              <w:t>9</w:t>
            </w:r>
          </w:p>
        </w:tc>
        <w:tc>
          <w:tcPr>
            <w:tcW w:type="dxa" w:w="3610"/>
            <w:tcBorders>
              <w:top w:color="000000" w:sz="4" w:val="single"/>
              <w:left w:color="000000" w:sz="4" w:val="single"/>
              <w:bottom w:color="000000" w:sz="4" w:val="single"/>
              <w:right w:color="000000" w:sz="4" w:val="single"/>
            </w:tcBorders>
            <w:tcMar>
              <w:left w:type="dxa" w:w="28"/>
              <w:right w:type="dxa" w:w="28"/>
            </w:tcMar>
            <w:vAlign w:val="center"/>
          </w:tcPr>
          <w:p w14:paraId="6D020000">
            <w:pPr>
              <w:widowControl w:val="1"/>
              <w:ind/>
              <w:jc w:val="center"/>
            </w:pPr>
            <w:r>
              <w:t>Нестерова Ольга Геннадьевна</w:t>
            </w:r>
          </w:p>
        </w:tc>
        <w:tc>
          <w:tcPr>
            <w:tcW w:type="dxa" w:w="2977"/>
            <w:tcBorders>
              <w:top w:color="000000" w:sz="4" w:val="single"/>
              <w:left w:color="000000" w:sz="4" w:val="single"/>
              <w:bottom w:color="000000" w:sz="4" w:val="single"/>
              <w:right w:color="000000" w:sz="4" w:val="single"/>
            </w:tcBorders>
            <w:tcMar>
              <w:left w:type="dxa" w:w="28"/>
              <w:right w:type="dxa" w:w="28"/>
            </w:tcMar>
            <w:vAlign w:val="center"/>
          </w:tcPr>
          <w:p w14:paraId="6E020000">
            <w:pPr>
              <w:widowControl w:val="1"/>
              <w:ind/>
              <w:jc w:val="center"/>
            </w:pP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6F020000">
            <w:pPr>
              <w:widowControl w:val="1"/>
              <w:ind/>
              <w:jc w:val="center"/>
            </w:pPr>
            <w:r>
              <w:t>Протокол годового общего собрания акционеров  от 25.06.2018г.,</w:t>
            </w:r>
          </w:p>
          <w:p w14:paraId="70020000">
            <w:pPr>
              <w:widowControl w:val="1"/>
              <w:ind/>
              <w:jc w:val="center"/>
            </w:pPr>
            <w:r>
              <w:t>Член совета директоров</w:t>
            </w:r>
          </w:p>
        </w:tc>
        <w:tc>
          <w:tcPr>
            <w:tcW w:type="dxa" w:w="1501"/>
            <w:tcBorders>
              <w:top w:color="000000" w:sz="4" w:val="single"/>
              <w:left w:color="000000" w:sz="4" w:val="single"/>
              <w:bottom w:color="000000" w:sz="4" w:val="single"/>
              <w:right w:color="000000" w:sz="4" w:val="single"/>
            </w:tcBorders>
            <w:tcMar>
              <w:left w:type="dxa" w:w="28"/>
              <w:right w:type="dxa" w:w="28"/>
            </w:tcMar>
            <w:vAlign w:val="center"/>
          </w:tcPr>
          <w:p w14:paraId="71020000">
            <w:pPr>
              <w:widowControl w:val="1"/>
              <w:ind/>
              <w:jc w:val="center"/>
            </w:pPr>
            <w:r>
              <w:t>25.06.2018</w:t>
            </w:r>
          </w:p>
        </w:tc>
        <w:tc>
          <w:tcPr>
            <w:tcW w:type="dxa" w:w="1976"/>
            <w:tcBorders>
              <w:top w:color="000000" w:sz="4" w:val="single"/>
              <w:left w:color="000000" w:sz="4" w:val="single"/>
              <w:bottom w:color="000000" w:sz="4" w:val="single"/>
              <w:right w:color="000000" w:sz="4" w:val="single"/>
            </w:tcBorders>
            <w:tcMar>
              <w:left w:type="dxa" w:w="28"/>
              <w:right w:type="dxa" w:w="28"/>
            </w:tcMar>
            <w:vAlign w:val="center"/>
          </w:tcPr>
          <w:p w14:paraId="72020000">
            <w:pPr>
              <w:widowControl w:val="1"/>
              <w:ind/>
              <w:jc w:val="center"/>
            </w:pPr>
            <w:r>
              <w:t>0</w:t>
            </w: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73020000">
            <w:pPr>
              <w:widowControl w:val="1"/>
              <w:ind/>
              <w:jc w:val="center"/>
            </w:pPr>
            <w:r>
              <w:t>0</w:t>
            </w:r>
          </w:p>
        </w:tc>
      </w:tr>
      <w:tr>
        <w:trPr>
          <w:trHeight w:hRule="atLeast" w:val="1699"/>
        </w:trPr>
        <w:tc>
          <w:tcPr>
            <w:tcW w:type="dxa" w:w="737"/>
            <w:tcBorders>
              <w:top w:color="000000" w:sz="4" w:val="single"/>
              <w:left w:color="000000" w:sz="4" w:val="single"/>
              <w:bottom w:color="000000" w:sz="4" w:val="single"/>
              <w:right w:color="000000" w:sz="4" w:val="single"/>
            </w:tcBorders>
            <w:tcMar>
              <w:left w:type="dxa" w:w="28"/>
              <w:right w:type="dxa" w:w="28"/>
            </w:tcMar>
            <w:vAlign w:val="center"/>
          </w:tcPr>
          <w:p w14:paraId="74020000">
            <w:pPr>
              <w:widowControl w:val="1"/>
              <w:ind/>
              <w:jc w:val="center"/>
            </w:pPr>
            <w:r>
              <w:t>10</w:t>
            </w:r>
          </w:p>
        </w:tc>
        <w:tc>
          <w:tcPr>
            <w:tcW w:type="dxa" w:w="3610"/>
            <w:tcBorders>
              <w:top w:color="000000" w:sz="4" w:val="single"/>
              <w:left w:color="000000" w:sz="4" w:val="single"/>
              <w:bottom w:color="000000" w:sz="4" w:val="single"/>
              <w:right w:color="000000" w:sz="4" w:val="single"/>
            </w:tcBorders>
            <w:tcMar>
              <w:left w:type="dxa" w:w="28"/>
              <w:right w:type="dxa" w:w="28"/>
            </w:tcMar>
            <w:vAlign w:val="center"/>
          </w:tcPr>
          <w:p w14:paraId="75020000">
            <w:pPr>
              <w:widowControl w:val="1"/>
              <w:ind/>
              <w:jc w:val="center"/>
            </w:pPr>
            <w:r>
              <w:t>Курьякова Лариса Валерьевна</w:t>
            </w:r>
          </w:p>
        </w:tc>
        <w:tc>
          <w:tcPr>
            <w:tcW w:type="dxa" w:w="2977"/>
            <w:tcBorders>
              <w:top w:color="000000" w:sz="4" w:val="single"/>
              <w:left w:color="000000" w:sz="4" w:val="single"/>
              <w:bottom w:color="000000" w:sz="4" w:val="single"/>
              <w:right w:color="000000" w:sz="4" w:val="single"/>
            </w:tcBorders>
            <w:tcMar>
              <w:left w:type="dxa" w:w="28"/>
              <w:right w:type="dxa" w:w="28"/>
            </w:tcMar>
            <w:vAlign w:val="center"/>
          </w:tcPr>
          <w:p w14:paraId="76020000">
            <w:pPr>
              <w:widowControl w:val="1"/>
              <w:ind/>
              <w:jc w:val="center"/>
            </w:pP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77020000">
            <w:pPr>
              <w:widowControl w:val="1"/>
              <w:ind/>
              <w:jc w:val="center"/>
            </w:pPr>
            <w:r>
              <w:t>Протокол годового общего собрания акционеров  от 25.06.2018г.,</w:t>
            </w:r>
          </w:p>
          <w:p w14:paraId="78020000">
            <w:pPr>
              <w:widowControl w:val="1"/>
              <w:ind/>
              <w:jc w:val="center"/>
            </w:pPr>
            <w:r>
              <w:t>Член совета директоров</w:t>
            </w:r>
          </w:p>
        </w:tc>
        <w:tc>
          <w:tcPr>
            <w:tcW w:type="dxa" w:w="1501"/>
            <w:tcBorders>
              <w:top w:color="000000" w:sz="4" w:val="single"/>
              <w:left w:color="000000" w:sz="4" w:val="single"/>
              <w:bottom w:color="000000" w:sz="4" w:val="single"/>
              <w:right w:color="000000" w:sz="4" w:val="single"/>
            </w:tcBorders>
            <w:tcMar>
              <w:left w:type="dxa" w:w="28"/>
              <w:right w:type="dxa" w:w="28"/>
            </w:tcMar>
            <w:vAlign w:val="center"/>
          </w:tcPr>
          <w:p w14:paraId="79020000">
            <w:pPr>
              <w:widowControl w:val="1"/>
              <w:ind/>
              <w:jc w:val="center"/>
            </w:pPr>
            <w:r>
              <w:t>25.06.2018</w:t>
            </w:r>
          </w:p>
        </w:tc>
        <w:tc>
          <w:tcPr>
            <w:tcW w:type="dxa" w:w="1976"/>
            <w:tcBorders>
              <w:top w:color="000000" w:sz="4" w:val="single"/>
              <w:left w:color="000000" w:sz="4" w:val="single"/>
              <w:bottom w:color="000000" w:sz="4" w:val="single"/>
              <w:right w:color="000000" w:sz="4" w:val="single"/>
            </w:tcBorders>
            <w:tcMar>
              <w:left w:type="dxa" w:w="28"/>
              <w:right w:type="dxa" w:w="28"/>
            </w:tcMar>
            <w:vAlign w:val="center"/>
          </w:tcPr>
          <w:p w14:paraId="7A020000">
            <w:pPr>
              <w:widowControl w:val="1"/>
              <w:ind/>
              <w:jc w:val="center"/>
            </w:pPr>
            <w:r>
              <w:t>0</w:t>
            </w: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7B020000">
            <w:pPr>
              <w:widowControl w:val="1"/>
              <w:ind/>
              <w:jc w:val="center"/>
            </w:pPr>
            <w:r>
              <w:t>0</w:t>
            </w:r>
          </w:p>
        </w:tc>
      </w:tr>
      <w:tr>
        <w:tc>
          <w:tcPr>
            <w:tcW w:type="dxa" w:w="737"/>
            <w:tcBorders>
              <w:top w:color="000000" w:sz="4" w:val="single"/>
              <w:left w:color="000000" w:sz="4" w:val="single"/>
              <w:bottom w:color="000000" w:sz="4" w:val="single"/>
              <w:right w:color="000000" w:sz="4" w:val="single"/>
            </w:tcBorders>
            <w:tcMar>
              <w:left w:type="dxa" w:w="28"/>
              <w:right w:type="dxa" w:w="28"/>
            </w:tcMar>
            <w:vAlign w:val="center"/>
          </w:tcPr>
          <w:p w14:paraId="7C020000">
            <w:pPr>
              <w:widowControl w:val="1"/>
              <w:ind/>
              <w:jc w:val="center"/>
            </w:pPr>
          </w:p>
          <w:p w14:paraId="7D020000">
            <w:pPr>
              <w:widowControl w:val="1"/>
              <w:ind/>
              <w:jc w:val="center"/>
            </w:pPr>
            <w:r>
              <w:t>11</w:t>
            </w:r>
          </w:p>
        </w:tc>
        <w:tc>
          <w:tcPr>
            <w:tcW w:type="dxa" w:w="3610"/>
            <w:tcBorders>
              <w:top w:color="000000" w:sz="4" w:val="single"/>
              <w:left w:color="000000" w:sz="4" w:val="single"/>
              <w:bottom w:color="000000" w:sz="4" w:val="single"/>
              <w:right w:color="000000" w:sz="4" w:val="single"/>
            </w:tcBorders>
            <w:tcMar>
              <w:left w:type="dxa" w:w="28"/>
              <w:right w:type="dxa" w:w="28"/>
            </w:tcMar>
            <w:vAlign w:val="center"/>
          </w:tcPr>
          <w:p w14:paraId="7E020000">
            <w:pPr>
              <w:widowControl w:val="1"/>
              <w:ind/>
              <w:jc w:val="center"/>
            </w:pPr>
            <w:r>
              <w:t>Михайлова Ольга Александровна</w:t>
            </w:r>
          </w:p>
        </w:tc>
        <w:tc>
          <w:tcPr>
            <w:tcW w:type="dxa" w:w="2977"/>
            <w:tcBorders>
              <w:top w:color="000000" w:sz="4" w:val="single"/>
              <w:left w:color="000000" w:sz="4" w:val="single"/>
              <w:bottom w:color="000000" w:sz="4" w:val="single"/>
              <w:right w:color="000000" w:sz="4" w:val="single"/>
            </w:tcBorders>
            <w:tcMar>
              <w:left w:type="dxa" w:w="28"/>
              <w:right w:type="dxa" w:w="28"/>
            </w:tcMar>
            <w:vAlign w:val="center"/>
          </w:tcPr>
          <w:p w14:paraId="7F020000">
            <w:pPr>
              <w:widowControl w:val="1"/>
              <w:ind/>
              <w:jc w:val="center"/>
            </w:pP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80020000">
            <w:pPr>
              <w:widowControl w:val="1"/>
              <w:ind/>
              <w:jc w:val="center"/>
            </w:pPr>
            <w:r>
              <w:t>Протокол годового общего собрания акционеров  от 25.06.2018г.,</w:t>
            </w:r>
          </w:p>
          <w:p w14:paraId="81020000">
            <w:pPr>
              <w:widowControl w:val="1"/>
              <w:ind/>
              <w:jc w:val="center"/>
            </w:pPr>
            <w:r>
              <w:t>Член совета директоров</w:t>
            </w:r>
          </w:p>
        </w:tc>
        <w:tc>
          <w:tcPr>
            <w:tcW w:type="dxa" w:w="1501"/>
            <w:tcBorders>
              <w:top w:color="000000" w:sz="4" w:val="single"/>
              <w:left w:color="000000" w:sz="4" w:val="single"/>
              <w:bottom w:color="000000" w:sz="4" w:val="single"/>
              <w:right w:color="000000" w:sz="4" w:val="single"/>
            </w:tcBorders>
            <w:tcMar>
              <w:left w:type="dxa" w:w="28"/>
              <w:right w:type="dxa" w:w="28"/>
            </w:tcMar>
            <w:vAlign w:val="center"/>
          </w:tcPr>
          <w:p w14:paraId="82020000">
            <w:pPr>
              <w:widowControl w:val="1"/>
              <w:ind/>
              <w:jc w:val="center"/>
            </w:pPr>
            <w:r>
              <w:t>25.06.2018</w:t>
            </w:r>
          </w:p>
        </w:tc>
        <w:tc>
          <w:tcPr>
            <w:tcW w:type="dxa" w:w="1976"/>
            <w:tcBorders>
              <w:top w:color="000000" w:sz="4" w:val="single"/>
              <w:left w:color="000000" w:sz="4" w:val="single"/>
              <w:bottom w:color="000000" w:sz="4" w:val="single"/>
              <w:right w:color="000000" w:sz="4" w:val="single"/>
            </w:tcBorders>
            <w:tcMar>
              <w:left w:type="dxa" w:w="28"/>
              <w:right w:type="dxa" w:w="28"/>
            </w:tcMar>
            <w:vAlign w:val="center"/>
          </w:tcPr>
          <w:p w14:paraId="83020000">
            <w:pPr>
              <w:widowControl w:val="1"/>
              <w:ind/>
              <w:jc w:val="center"/>
            </w:pPr>
            <w:r>
              <w:t>0</w:t>
            </w:r>
          </w:p>
        </w:tc>
        <w:tc>
          <w:tcPr>
            <w:tcW w:type="dxa" w:w="2193"/>
            <w:tcBorders>
              <w:top w:color="000000" w:sz="4" w:val="single"/>
              <w:left w:color="000000" w:sz="4" w:val="single"/>
              <w:bottom w:color="000000" w:sz="4" w:val="single"/>
              <w:right w:color="000000" w:sz="4" w:val="single"/>
            </w:tcBorders>
            <w:tcMar>
              <w:left w:type="dxa" w:w="28"/>
              <w:right w:type="dxa" w:w="28"/>
            </w:tcMar>
            <w:vAlign w:val="center"/>
          </w:tcPr>
          <w:p w14:paraId="84020000">
            <w:pPr>
              <w:widowControl w:val="1"/>
              <w:ind/>
              <w:jc w:val="center"/>
            </w:pPr>
            <w:r>
              <w:t>0</w:t>
            </w:r>
          </w:p>
        </w:tc>
      </w:tr>
    </w:tbl>
    <w:p w14:paraId="85020000"/>
    <w:p w14:paraId="86020000">
      <w:pPr>
        <w:widowControl w:val="1"/>
        <w:spacing w:before="240"/>
        <w:ind/>
        <w:rPr>
          <w:b w:val="1"/>
        </w:rPr>
      </w:pPr>
      <w:r>
        <w:rPr>
          <w:b w:val="1"/>
        </w:rPr>
        <w:t>II</w:t>
      </w:r>
      <w:r>
        <w:rPr>
          <w:b w:val="1"/>
        </w:rPr>
        <w:t>. Изменения, произошедшие в списке аффилированных лиц, за период</w:t>
      </w:r>
    </w:p>
    <w:p w14:paraId="87020000">
      <w:pPr>
        <w:widowControl w:val="1"/>
        <w:spacing w:before="240"/>
        <w:ind w:firstLine="567"/>
        <w:rPr>
          <w:b w:val="1"/>
        </w:rPr>
      </w:pPr>
    </w:p>
    <w:tbl>
      <w:tblPr>
        <w:tblStyle w:val="Style_4"/>
        <w:tblW w:type="auto" w:w="0"/>
        <w:tblLayout w:type="fixed"/>
        <w:tblCellMar>
          <w:left w:type="dxa" w:w="28"/>
          <w:right w:type="dxa" w:w="28"/>
        </w:tblCellMar>
      </w:tblPr>
      <w:tblGrid>
        <w:gridCol w:w="1304"/>
        <w:gridCol w:w="397"/>
        <w:gridCol w:w="397"/>
        <w:gridCol w:w="397"/>
        <w:gridCol w:w="397"/>
        <w:gridCol w:w="397"/>
        <w:gridCol w:w="397"/>
        <w:gridCol w:w="397"/>
        <w:gridCol w:w="397"/>
        <w:gridCol w:w="397"/>
        <w:gridCol w:w="397"/>
        <w:gridCol w:w="566"/>
        <w:gridCol w:w="397"/>
        <w:gridCol w:w="397"/>
        <w:gridCol w:w="397"/>
        <w:gridCol w:w="397"/>
        <w:gridCol w:w="397"/>
        <w:gridCol w:w="397"/>
        <w:gridCol w:w="397"/>
        <w:gridCol w:w="397"/>
        <w:gridCol w:w="397"/>
        <w:gridCol w:w="397"/>
      </w:tblGrid>
      <w:tr>
        <w:tc>
          <w:tcPr>
            <w:tcW w:type="dxa" w:w="1304"/>
            <w:tcBorders>
              <w:top w:sz="4" w:val="nil"/>
              <w:left w:sz="4" w:val="nil"/>
              <w:bottom w:sz="4" w:val="nil"/>
              <w:right w:sz="4" w:val="nil"/>
            </w:tcBorders>
            <w:tcMar>
              <w:left w:type="dxa" w:w="28"/>
              <w:right w:type="dxa" w:w="28"/>
            </w:tcMar>
            <w:vAlign w:val="bottom"/>
          </w:tcPr>
          <w:p w14:paraId="88020000">
            <w:pPr>
              <w:widowControl w:val="1"/>
              <w:ind w:firstLine="907"/>
              <w:rPr>
                <w:b w:val="1"/>
              </w:rPr>
            </w:pPr>
            <w:r>
              <w:rPr>
                <w:b w:val="1"/>
              </w:rPr>
              <w:t>-</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89020000">
            <w:pPr>
              <w:widowControl w:val="1"/>
              <w:ind/>
              <w:jc w:val="center"/>
              <w:rPr>
                <w:b w:val="1"/>
              </w:rPr>
            </w:pPr>
            <w:r>
              <w:rPr>
                <w:b w:val="1"/>
              </w:rPr>
              <w:t>0</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8A020000">
            <w:pPr>
              <w:widowControl w:val="1"/>
              <w:ind/>
              <w:jc w:val="center"/>
              <w:rPr>
                <w:b w:val="1"/>
              </w:rPr>
            </w:pPr>
            <w:r>
              <w:rPr>
                <w:b w:val="1"/>
              </w:rPr>
              <w:t>1</w:t>
            </w:r>
          </w:p>
        </w:tc>
        <w:tc>
          <w:tcPr>
            <w:tcW w:type="dxa" w:w="397"/>
            <w:tcBorders>
              <w:top w:sz="4" w:val="nil"/>
              <w:left w:sz="4" w:val="nil"/>
              <w:bottom w:sz="4" w:val="nil"/>
              <w:right w:sz="4" w:val="nil"/>
            </w:tcBorders>
            <w:tcMar>
              <w:left w:type="dxa" w:w="28"/>
              <w:right w:type="dxa" w:w="28"/>
            </w:tcMar>
            <w:vAlign w:val="bottom"/>
          </w:tcPr>
          <w:p w14:paraId="8B020000">
            <w:pPr>
              <w:rPr>
                <w:b w:val="1"/>
              </w:rPr>
            </w:pP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8C020000">
            <w:pPr>
              <w:widowControl w:val="1"/>
              <w:ind/>
              <w:jc w:val="center"/>
              <w:rPr>
                <w:b w:val="1"/>
              </w:rPr>
            </w:pPr>
            <w:r>
              <w:rPr>
                <w:b w:val="1"/>
              </w:rPr>
              <w:t>1</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8D020000">
            <w:pPr>
              <w:widowControl w:val="1"/>
              <w:ind/>
              <w:jc w:val="center"/>
              <w:rPr>
                <w:b w:val="1"/>
              </w:rPr>
            </w:pPr>
            <w:r>
              <w:rPr>
                <w:b w:val="1"/>
              </w:rPr>
              <w:t>0</w:t>
            </w:r>
          </w:p>
        </w:tc>
        <w:tc>
          <w:tcPr>
            <w:tcW w:type="dxa" w:w="397"/>
            <w:tcBorders>
              <w:top w:sz="4" w:val="nil"/>
              <w:left w:sz="4" w:val="nil"/>
              <w:bottom w:sz="4" w:val="nil"/>
              <w:right w:sz="4" w:val="nil"/>
            </w:tcBorders>
            <w:tcMar>
              <w:left w:type="dxa" w:w="28"/>
              <w:right w:type="dxa" w:w="28"/>
            </w:tcMar>
            <w:vAlign w:val="bottom"/>
          </w:tcPr>
          <w:p w14:paraId="8E020000">
            <w:pPr>
              <w:rPr>
                <w:b w:val="1"/>
              </w:rPr>
            </w:pP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8F020000">
            <w:pPr>
              <w:widowControl w:val="1"/>
              <w:ind/>
              <w:jc w:val="center"/>
              <w:rPr>
                <w:b w:val="1"/>
              </w:rPr>
            </w:pPr>
            <w:r>
              <w:rPr>
                <w:b w:val="1"/>
              </w:rPr>
              <w:t>2</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90020000">
            <w:pPr>
              <w:widowControl w:val="1"/>
              <w:ind/>
              <w:jc w:val="center"/>
              <w:rPr>
                <w:b w:val="1"/>
              </w:rPr>
            </w:pPr>
            <w:r>
              <w:rPr>
                <w:b w:val="1"/>
              </w:rPr>
              <w:t>0</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91020000">
            <w:pPr>
              <w:widowControl w:val="1"/>
              <w:ind/>
              <w:jc w:val="center"/>
              <w:rPr>
                <w:b w:val="1"/>
              </w:rPr>
            </w:pPr>
            <w:r>
              <w:rPr>
                <w:b w:val="1"/>
              </w:rPr>
              <w:t>1</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92020000">
            <w:pPr>
              <w:widowControl w:val="1"/>
              <w:ind/>
              <w:jc w:val="center"/>
              <w:rPr>
                <w:b w:val="1"/>
              </w:rPr>
            </w:pPr>
            <w:r>
              <w:rPr>
                <w:b w:val="1"/>
              </w:rPr>
              <w:t>8</w:t>
            </w:r>
          </w:p>
        </w:tc>
        <w:tc>
          <w:tcPr>
            <w:tcW w:type="dxa" w:w="566"/>
            <w:tcBorders>
              <w:top w:sz="4" w:val="nil"/>
              <w:left w:sz="4" w:val="nil"/>
              <w:bottom w:sz="4" w:val="nil"/>
              <w:right w:sz="4" w:val="nil"/>
            </w:tcBorders>
            <w:tcMar>
              <w:left w:type="dxa" w:w="28"/>
              <w:right w:type="dxa" w:w="28"/>
            </w:tcMar>
            <w:vAlign w:val="bottom"/>
          </w:tcPr>
          <w:p w14:paraId="93020000">
            <w:pPr>
              <w:widowControl w:val="1"/>
              <w:ind/>
              <w:jc w:val="center"/>
              <w:rPr>
                <w:b w:val="1"/>
              </w:rPr>
            </w:pPr>
            <w:r>
              <w:rPr>
                <w:b w:val="1"/>
              </w:rPr>
              <w:t>по</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94020000">
            <w:pPr>
              <w:widowControl w:val="1"/>
              <w:ind/>
              <w:jc w:val="center"/>
              <w:rPr>
                <w:b w:val="1"/>
              </w:rPr>
            </w:pPr>
            <w:r>
              <w:rPr>
                <w:b w:val="1"/>
              </w:rPr>
              <w:t>3</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95020000">
            <w:pPr>
              <w:widowControl w:val="1"/>
              <w:ind/>
              <w:jc w:val="center"/>
              <w:rPr>
                <w:b w:val="1"/>
              </w:rPr>
            </w:pPr>
            <w:r>
              <w:rPr>
                <w:b w:val="1"/>
              </w:rPr>
              <w:t>1</w:t>
            </w:r>
          </w:p>
        </w:tc>
        <w:tc>
          <w:tcPr>
            <w:tcW w:type="dxa" w:w="397"/>
            <w:tcBorders>
              <w:top w:sz="4" w:val="nil"/>
              <w:left w:sz="4" w:val="nil"/>
              <w:bottom w:sz="4" w:val="nil"/>
              <w:right w:sz="4" w:val="nil"/>
            </w:tcBorders>
            <w:tcMar>
              <w:left w:type="dxa" w:w="28"/>
              <w:right w:type="dxa" w:w="28"/>
            </w:tcMar>
            <w:vAlign w:val="bottom"/>
          </w:tcPr>
          <w:p w14:paraId="96020000">
            <w:pPr>
              <w:rPr>
                <w:b w:val="1"/>
              </w:rPr>
            </w:pP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97020000">
            <w:pPr>
              <w:widowControl w:val="1"/>
              <w:ind/>
              <w:jc w:val="center"/>
              <w:rPr>
                <w:b w:val="1"/>
              </w:rPr>
            </w:pPr>
            <w:r>
              <w:rPr>
                <w:b w:val="1"/>
              </w:rPr>
              <w:t>1</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98020000">
            <w:pPr>
              <w:widowControl w:val="1"/>
              <w:ind/>
              <w:jc w:val="center"/>
              <w:rPr>
                <w:b w:val="1"/>
              </w:rPr>
            </w:pPr>
            <w:r>
              <w:rPr>
                <w:b w:val="1"/>
              </w:rPr>
              <w:t>2</w:t>
            </w:r>
          </w:p>
        </w:tc>
        <w:tc>
          <w:tcPr>
            <w:tcW w:type="dxa" w:w="397"/>
            <w:tcBorders>
              <w:top w:sz="4" w:val="nil"/>
              <w:left w:sz="4" w:val="nil"/>
              <w:bottom w:sz="4" w:val="nil"/>
              <w:right w:sz="4" w:val="nil"/>
            </w:tcBorders>
            <w:tcMar>
              <w:left w:type="dxa" w:w="28"/>
              <w:right w:type="dxa" w:w="28"/>
            </w:tcMar>
            <w:vAlign w:val="bottom"/>
          </w:tcPr>
          <w:p w14:paraId="99020000">
            <w:pPr>
              <w:rPr>
                <w:b w:val="1"/>
              </w:rPr>
            </w:pP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9A020000">
            <w:pPr>
              <w:widowControl w:val="1"/>
              <w:ind/>
              <w:jc w:val="center"/>
              <w:rPr>
                <w:b w:val="1"/>
              </w:rPr>
            </w:pPr>
            <w:r>
              <w:rPr>
                <w:b w:val="1"/>
              </w:rPr>
              <w:t>2</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9B020000">
            <w:pPr>
              <w:widowControl w:val="1"/>
              <w:ind/>
              <w:jc w:val="center"/>
              <w:rPr>
                <w:b w:val="1"/>
              </w:rPr>
            </w:pPr>
            <w:r>
              <w:rPr>
                <w:b w:val="1"/>
              </w:rPr>
              <w:t>0</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9C020000">
            <w:pPr>
              <w:widowControl w:val="1"/>
              <w:ind/>
              <w:jc w:val="center"/>
              <w:rPr>
                <w:b w:val="1"/>
              </w:rPr>
            </w:pPr>
            <w:r>
              <w:rPr>
                <w:b w:val="1"/>
              </w:rPr>
              <w:t>1</w:t>
            </w:r>
          </w:p>
        </w:tc>
        <w:tc>
          <w:tcPr>
            <w:tcW w:type="dxa" w:w="397"/>
            <w:tcBorders>
              <w:top w:color="000000" w:sz="4" w:val="single"/>
              <w:left w:color="000000" w:sz="4" w:val="single"/>
              <w:bottom w:color="000000" w:sz="4" w:val="single"/>
              <w:right w:color="000000" w:sz="4" w:val="single"/>
            </w:tcBorders>
            <w:tcMar>
              <w:left w:type="dxa" w:w="28"/>
              <w:right w:type="dxa" w:w="28"/>
            </w:tcMar>
            <w:vAlign w:val="bottom"/>
          </w:tcPr>
          <w:p w14:paraId="9D020000">
            <w:pPr>
              <w:widowControl w:val="1"/>
              <w:ind/>
              <w:jc w:val="center"/>
              <w:rPr>
                <w:b w:val="1"/>
              </w:rPr>
            </w:pPr>
            <w:r>
              <w:rPr>
                <w:b w:val="1"/>
              </w:rPr>
              <w:t>8</w:t>
            </w:r>
          </w:p>
        </w:tc>
      </w:tr>
    </w:tbl>
    <w:p w14:paraId="9E020000"/>
    <w:tbl>
      <w:tblPr>
        <w:tblStyle w:val="Style_4"/>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left w:type="dxa" w:w="28"/>
          <w:right w:type="dxa" w:w="28"/>
        </w:tblCellMar>
      </w:tblPr>
      <w:tblGrid>
        <w:gridCol w:w="737"/>
        <w:gridCol w:w="8930"/>
        <w:gridCol w:w="2541"/>
        <w:gridCol w:w="2988"/>
      </w:tblGrid>
      <w:tr>
        <w:trPr>
          <w:trHeight w:hRule="atLeast" w:val="909"/>
        </w:trPr>
        <w:tc>
          <w:tcPr>
            <w:tcW w:type="dxa" w:w="737"/>
            <w:tcBorders>
              <w:top w:color="000000" w:sz="4" w:val="single"/>
              <w:left w:color="000000" w:sz="4" w:val="single"/>
              <w:bottom w:color="000000" w:sz="4" w:val="single"/>
              <w:right w:color="000000" w:sz="4" w:val="single"/>
            </w:tcBorders>
            <w:tcMar>
              <w:left w:type="dxa" w:w="28"/>
              <w:right w:type="dxa" w:w="28"/>
            </w:tcMar>
          </w:tcPr>
          <w:p w14:paraId="9F020000">
            <w:pPr>
              <w:widowControl w:val="1"/>
              <w:ind/>
              <w:jc w:val="center"/>
            </w:pPr>
            <w:r>
              <w:t>№</w:t>
            </w:r>
            <w:r>
              <w:br/>
            </w:r>
            <w:r>
              <w:t>п/п</w:t>
            </w:r>
          </w:p>
        </w:tc>
        <w:tc>
          <w:tcPr>
            <w:tcW w:type="dxa" w:w="8930"/>
            <w:tcBorders>
              <w:top w:color="000000" w:sz="4" w:val="single"/>
              <w:left w:color="000000" w:sz="4" w:val="single"/>
              <w:bottom w:color="000000" w:sz="4" w:val="single"/>
              <w:right w:color="000000" w:sz="4" w:val="single"/>
            </w:tcBorders>
            <w:tcMar>
              <w:left w:type="dxa" w:w="28"/>
              <w:right w:type="dxa" w:w="28"/>
            </w:tcMar>
          </w:tcPr>
          <w:p w14:paraId="A0020000">
            <w:pPr>
              <w:widowControl w:val="1"/>
              <w:ind/>
              <w:jc w:val="center"/>
            </w:pPr>
            <w:r>
              <w:t>Содержание изменения</w:t>
            </w:r>
          </w:p>
        </w:tc>
        <w:tc>
          <w:tcPr>
            <w:tcW w:type="dxa" w:w="2541"/>
            <w:tcBorders>
              <w:top w:color="000000" w:sz="4" w:val="single"/>
              <w:left w:color="000000" w:sz="4" w:val="single"/>
              <w:bottom w:color="000000" w:sz="4" w:val="single"/>
              <w:right w:color="000000" w:sz="4" w:val="single"/>
            </w:tcBorders>
            <w:tcMar>
              <w:left w:type="dxa" w:w="28"/>
              <w:right w:type="dxa" w:w="28"/>
            </w:tcMar>
          </w:tcPr>
          <w:p w14:paraId="A1020000">
            <w:pPr>
              <w:widowControl w:val="1"/>
              <w:ind/>
              <w:jc w:val="center"/>
            </w:pPr>
            <w:r>
              <w:t>Дата наступления изменения</w:t>
            </w:r>
          </w:p>
        </w:tc>
        <w:tc>
          <w:tcPr>
            <w:tcW w:type="dxa" w:w="2988"/>
            <w:tcBorders>
              <w:top w:color="000000" w:sz="4" w:val="single"/>
              <w:left w:color="000000" w:sz="4" w:val="single"/>
              <w:bottom w:color="000000" w:sz="4" w:val="single"/>
              <w:right w:color="000000" w:sz="4" w:val="single"/>
            </w:tcBorders>
            <w:tcMar>
              <w:left w:type="dxa" w:w="28"/>
              <w:right w:type="dxa" w:w="28"/>
            </w:tcMar>
          </w:tcPr>
          <w:p w14:paraId="A2020000">
            <w:pPr>
              <w:widowControl w:val="1"/>
              <w:ind/>
              <w:jc w:val="center"/>
            </w:pPr>
            <w:r>
              <w:t>Дата внесения изменения в список аффилированных лиц</w:t>
            </w:r>
          </w:p>
        </w:tc>
      </w:tr>
      <w:tr>
        <w:trPr>
          <w:trHeight w:hRule="atLeast" w:val="302"/>
        </w:trPr>
        <w:tc>
          <w:tcPr>
            <w:tcW w:type="dxa" w:w="737"/>
            <w:tcBorders>
              <w:top w:color="000000" w:sz="4" w:val="single"/>
              <w:left w:color="000000" w:sz="4" w:val="single"/>
              <w:bottom w:color="000000" w:sz="4" w:val="single"/>
              <w:right w:color="000000" w:sz="4" w:val="single"/>
            </w:tcBorders>
            <w:tcMar>
              <w:left w:type="dxa" w:w="28"/>
              <w:right w:type="dxa" w:w="28"/>
            </w:tcMar>
            <w:vAlign w:val="center"/>
          </w:tcPr>
          <w:p w14:paraId="A3020000">
            <w:pPr>
              <w:widowControl w:val="1"/>
              <w:ind/>
              <w:jc w:val="center"/>
            </w:pPr>
          </w:p>
        </w:tc>
        <w:tc>
          <w:tcPr>
            <w:tcW w:type="dxa" w:w="8930"/>
            <w:tcBorders>
              <w:top w:color="000000" w:sz="4" w:val="single"/>
              <w:left w:color="000000" w:sz="4" w:val="single"/>
              <w:bottom w:color="000000" w:sz="4" w:val="single"/>
              <w:right w:color="000000" w:sz="4" w:val="single"/>
            </w:tcBorders>
            <w:tcMar>
              <w:left w:type="dxa" w:w="28"/>
              <w:right w:type="dxa" w:w="28"/>
            </w:tcMar>
            <w:vAlign w:val="center"/>
          </w:tcPr>
          <w:p w14:paraId="A4020000">
            <w:pPr>
              <w:widowControl w:val="1"/>
              <w:ind/>
              <w:jc w:val="center"/>
            </w:pPr>
          </w:p>
        </w:tc>
        <w:tc>
          <w:tcPr>
            <w:tcW w:type="dxa" w:w="2541"/>
            <w:tcBorders>
              <w:top w:color="000000" w:sz="4" w:val="single"/>
              <w:left w:color="000000" w:sz="4" w:val="single"/>
              <w:bottom w:color="000000" w:sz="4" w:val="single"/>
              <w:right w:color="000000" w:sz="4" w:val="single"/>
            </w:tcBorders>
            <w:tcMar>
              <w:left w:type="dxa" w:w="28"/>
              <w:right w:type="dxa" w:w="28"/>
            </w:tcMar>
            <w:vAlign w:val="center"/>
          </w:tcPr>
          <w:p w14:paraId="A5020000">
            <w:pPr>
              <w:widowControl w:val="1"/>
              <w:ind/>
              <w:jc w:val="center"/>
            </w:pPr>
          </w:p>
        </w:tc>
        <w:tc>
          <w:tcPr>
            <w:tcW w:type="dxa" w:w="2988"/>
            <w:tcBorders>
              <w:top w:color="000000" w:sz="4" w:val="single"/>
              <w:left w:color="000000" w:sz="4" w:val="single"/>
              <w:bottom w:color="000000" w:sz="4" w:val="single"/>
              <w:right w:color="000000" w:sz="4" w:val="single"/>
            </w:tcBorders>
            <w:tcMar>
              <w:left w:type="dxa" w:w="28"/>
              <w:right w:type="dxa" w:w="28"/>
            </w:tcMar>
            <w:vAlign w:val="center"/>
          </w:tcPr>
          <w:p w14:paraId="A6020000">
            <w:pPr>
              <w:widowControl w:val="1"/>
              <w:ind/>
              <w:jc w:val="center"/>
            </w:pPr>
          </w:p>
        </w:tc>
      </w:tr>
    </w:tbl>
    <w:p w14:paraId="A7020000"/>
    <w:p w14:paraId="A8020000"/>
    <w:p w14:paraId="A9020000">
      <w:r>
        <w:t>Содержание сведений об аффилированном лице до изменения:</w:t>
      </w:r>
    </w:p>
    <w:tbl>
      <w:tblPr>
        <w:tblStyle w:val="Style_4"/>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left w:type="dxa" w:w="28"/>
          <w:right w:type="dxa" w:w="28"/>
        </w:tblCellMar>
      </w:tblPr>
      <w:tblGrid>
        <w:gridCol w:w="4347"/>
        <w:gridCol w:w="2977"/>
        <w:gridCol w:w="2193"/>
        <w:gridCol w:w="1501"/>
        <w:gridCol w:w="1976"/>
        <w:gridCol w:w="2193"/>
      </w:tblGrid>
      <w:tr>
        <w:tc>
          <w:tcPr>
            <w:tcW w:type="dxa" w:w="4347"/>
            <w:tcBorders>
              <w:top w:color="000000" w:sz="4" w:val="single"/>
              <w:left w:color="000000" w:sz="4" w:val="single"/>
              <w:bottom w:color="000000" w:sz="4" w:val="single"/>
              <w:right w:color="000000" w:sz="4" w:val="single"/>
            </w:tcBorders>
            <w:tcMar>
              <w:left w:type="dxa" w:w="28"/>
              <w:right w:type="dxa" w:w="28"/>
            </w:tcMar>
            <w:vAlign w:val="bottom"/>
          </w:tcPr>
          <w:p w14:paraId="AA020000">
            <w:pPr>
              <w:widowControl w:val="1"/>
              <w:ind/>
              <w:jc w:val="center"/>
            </w:pPr>
            <w:r>
              <w:t>2</w:t>
            </w:r>
          </w:p>
        </w:tc>
        <w:tc>
          <w:tcPr>
            <w:tcW w:type="dxa" w:w="2977"/>
            <w:tcBorders>
              <w:top w:color="000000" w:sz="4" w:val="single"/>
              <w:left w:color="000000" w:sz="4" w:val="single"/>
              <w:bottom w:color="000000" w:sz="4" w:val="single"/>
              <w:right w:color="000000" w:sz="4" w:val="single"/>
            </w:tcBorders>
            <w:tcMar>
              <w:left w:type="dxa" w:w="28"/>
              <w:right w:type="dxa" w:w="28"/>
            </w:tcMar>
            <w:vAlign w:val="bottom"/>
          </w:tcPr>
          <w:p w14:paraId="AB020000">
            <w:pPr>
              <w:widowControl w:val="1"/>
              <w:ind/>
              <w:jc w:val="center"/>
            </w:pPr>
            <w:r>
              <w:t>3</w:t>
            </w:r>
          </w:p>
        </w:tc>
        <w:tc>
          <w:tcPr>
            <w:tcW w:type="dxa" w:w="2193"/>
            <w:tcBorders>
              <w:top w:color="000000" w:sz="4" w:val="single"/>
              <w:left w:color="000000" w:sz="4" w:val="single"/>
              <w:bottom w:color="000000" w:sz="4" w:val="single"/>
              <w:right w:color="000000" w:sz="4" w:val="single"/>
            </w:tcBorders>
            <w:tcMar>
              <w:left w:type="dxa" w:w="28"/>
              <w:right w:type="dxa" w:w="28"/>
            </w:tcMar>
            <w:vAlign w:val="bottom"/>
          </w:tcPr>
          <w:p w14:paraId="AC020000">
            <w:pPr>
              <w:widowControl w:val="1"/>
              <w:ind/>
              <w:jc w:val="center"/>
            </w:pPr>
            <w:r>
              <w:t>4</w:t>
            </w:r>
          </w:p>
        </w:tc>
        <w:tc>
          <w:tcPr>
            <w:tcW w:type="dxa" w:w="1501"/>
            <w:tcBorders>
              <w:top w:color="000000" w:sz="4" w:val="single"/>
              <w:left w:color="000000" w:sz="4" w:val="single"/>
              <w:bottom w:color="000000" w:sz="4" w:val="single"/>
              <w:right w:color="000000" w:sz="4" w:val="single"/>
            </w:tcBorders>
            <w:tcMar>
              <w:left w:type="dxa" w:w="28"/>
              <w:right w:type="dxa" w:w="28"/>
            </w:tcMar>
            <w:vAlign w:val="bottom"/>
          </w:tcPr>
          <w:p w14:paraId="AD020000">
            <w:pPr>
              <w:widowControl w:val="1"/>
              <w:ind/>
              <w:jc w:val="center"/>
            </w:pPr>
            <w:r>
              <w:t>5</w:t>
            </w:r>
          </w:p>
        </w:tc>
        <w:tc>
          <w:tcPr>
            <w:tcW w:type="dxa" w:w="1976"/>
            <w:tcBorders>
              <w:top w:color="000000" w:sz="4" w:val="single"/>
              <w:left w:color="000000" w:sz="4" w:val="single"/>
              <w:bottom w:color="000000" w:sz="4" w:val="single"/>
              <w:right w:color="000000" w:sz="4" w:val="single"/>
            </w:tcBorders>
            <w:tcMar>
              <w:left w:type="dxa" w:w="28"/>
              <w:right w:type="dxa" w:w="28"/>
            </w:tcMar>
            <w:vAlign w:val="bottom"/>
          </w:tcPr>
          <w:p w14:paraId="AE020000">
            <w:pPr>
              <w:widowControl w:val="1"/>
              <w:ind/>
              <w:jc w:val="center"/>
            </w:pPr>
            <w:r>
              <w:t>6</w:t>
            </w:r>
          </w:p>
        </w:tc>
        <w:tc>
          <w:tcPr>
            <w:tcW w:type="dxa" w:w="2193"/>
            <w:tcBorders>
              <w:top w:color="000000" w:sz="4" w:val="single"/>
              <w:left w:color="000000" w:sz="4" w:val="single"/>
              <w:bottom w:color="000000" w:sz="4" w:val="single"/>
              <w:right w:color="000000" w:sz="4" w:val="single"/>
            </w:tcBorders>
            <w:tcMar>
              <w:left w:type="dxa" w:w="28"/>
              <w:right w:type="dxa" w:w="28"/>
            </w:tcMar>
            <w:vAlign w:val="bottom"/>
          </w:tcPr>
          <w:p w14:paraId="AF020000">
            <w:pPr>
              <w:widowControl w:val="1"/>
              <w:ind/>
              <w:jc w:val="center"/>
            </w:pPr>
            <w:r>
              <w:t>7</w:t>
            </w:r>
          </w:p>
        </w:tc>
      </w:tr>
      <w:tr>
        <w:tc>
          <w:tcPr>
            <w:tcW w:type="dxa" w:w="4347"/>
            <w:tcBorders>
              <w:top w:color="000000" w:sz="4" w:val="single"/>
              <w:left w:color="000000" w:sz="4" w:val="single"/>
              <w:bottom w:color="000000" w:sz="4" w:val="single"/>
              <w:right w:color="000000" w:sz="4" w:val="single"/>
            </w:tcBorders>
            <w:tcMar>
              <w:left w:type="dxa" w:w="28"/>
              <w:right w:type="dxa" w:w="28"/>
            </w:tcMar>
            <w:vAlign w:val="bottom"/>
          </w:tcPr>
          <w:p/>
        </w:tc>
        <w:tc>
          <w:tcPr>
            <w:tcW w:type="dxa" w:w="2977"/>
            <w:tcBorders>
              <w:top w:color="000000" w:sz="4" w:val="single"/>
              <w:left w:color="000000" w:sz="4" w:val="single"/>
              <w:bottom w:color="000000" w:sz="4" w:val="single"/>
              <w:right w:color="000000" w:sz="4" w:val="single"/>
            </w:tcBorders>
            <w:tcMar>
              <w:left w:type="dxa" w:w="28"/>
              <w:right w:type="dxa" w:w="28"/>
            </w:tcMar>
            <w:vAlign w:val="bottom"/>
          </w:tcPr>
          <w:p/>
        </w:tc>
        <w:tc>
          <w:tcPr>
            <w:tcW w:type="dxa" w:w="2193"/>
            <w:tcBorders>
              <w:top w:color="000000" w:sz="4" w:val="single"/>
              <w:left w:color="000000" w:sz="4" w:val="single"/>
              <w:bottom w:color="000000" w:sz="4" w:val="single"/>
              <w:right w:color="000000" w:sz="4" w:val="single"/>
            </w:tcBorders>
            <w:tcMar>
              <w:left w:type="dxa" w:w="28"/>
              <w:right w:type="dxa" w:w="28"/>
            </w:tcMar>
            <w:vAlign w:val="bottom"/>
          </w:tcPr>
          <w:p/>
        </w:tc>
        <w:tc>
          <w:tcPr>
            <w:tcW w:type="dxa" w:w="1501"/>
            <w:tcBorders>
              <w:top w:color="000000" w:sz="4" w:val="single"/>
              <w:left w:color="000000" w:sz="4" w:val="single"/>
              <w:bottom w:color="000000" w:sz="4" w:val="single"/>
              <w:right w:color="000000" w:sz="4" w:val="single"/>
            </w:tcBorders>
            <w:tcMar>
              <w:left w:type="dxa" w:w="28"/>
              <w:right w:type="dxa" w:w="28"/>
            </w:tcMar>
            <w:vAlign w:val="bottom"/>
          </w:tcPr>
          <w:p w14:paraId="B0020000">
            <w:pPr>
              <w:widowControl w:val="1"/>
              <w:ind/>
              <w:jc w:val="center"/>
            </w:pPr>
          </w:p>
        </w:tc>
        <w:tc>
          <w:tcPr>
            <w:tcW w:type="dxa" w:w="1976"/>
            <w:tcBorders>
              <w:top w:color="000000" w:sz="4" w:val="single"/>
              <w:left w:color="000000" w:sz="4" w:val="single"/>
              <w:bottom w:color="000000" w:sz="4" w:val="single"/>
              <w:right w:color="000000" w:sz="4" w:val="single"/>
            </w:tcBorders>
            <w:tcMar>
              <w:left w:type="dxa" w:w="28"/>
              <w:right w:type="dxa" w:w="28"/>
            </w:tcMar>
            <w:vAlign w:val="bottom"/>
          </w:tcPr>
          <w:p w14:paraId="B1020000">
            <w:pPr>
              <w:widowControl w:val="1"/>
              <w:ind/>
              <w:jc w:val="center"/>
            </w:pPr>
          </w:p>
        </w:tc>
        <w:tc>
          <w:tcPr>
            <w:tcW w:type="dxa" w:w="2193"/>
            <w:tcBorders>
              <w:top w:color="000000" w:sz="4" w:val="single"/>
              <w:left w:color="000000" w:sz="4" w:val="single"/>
              <w:bottom w:color="000000" w:sz="4" w:val="single"/>
              <w:right w:color="000000" w:sz="4" w:val="single"/>
            </w:tcBorders>
            <w:tcMar>
              <w:left w:type="dxa" w:w="28"/>
              <w:right w:type="dxa" w:w="28"/>
            </w:tcMar>
            <w:vAlign w:val="bottom"/>
          </w:tcPr>
          <w:p w14:paraId="B2020000">
            <w:pPr>
              <w:widowControl w:val="1"/>
              <w:ind/>
              <w:jc w:val="center"/>
            </w:pPr>
          </w:p>
        </w:tc>
      </w:tr>
    </w:tbl>
    <w:p w14:paraId="B3020000">
      <w:r>
        <w:t>Содержание сведений об аффилированном лице после изменения:</w:t>
      </w:r>
    </w:p>
    <w:tbl>
      <w:tblPr>
        <w:tblStyle w:val="Style_4"/>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left w:type="dxa" w:w="28"/>
          <w:right w:type="dxa" w:w="28"/>
        </w:tblCellMar>
      </w:tblPr>
      <w:tblGrid>
        <w:gridCol w:w="4347"/>
        <w:gridCol w:w="2977"/>
        <w:gridCol w:w="2193"/>
        <w:gridCol w:w="1501"/>
        <w:gridCol w:w="1976"/>
        <w:gridCol w:w="2193"/>
      </w:tblGrid>
      <w:tr>
        <w:tc>
          <w:tcPr>
            <w:tcW w:type="dxa" w:w="4347"/>
            <w:tcBorders>
              <w:top w:color="000000" w:sz="4" w:val="single"/>
              <w:left w:color="000000" w:sz="4" w:val="single"/>
              <w:bottom w:color="000000" w:sz="4" w:val="single"/>
              <w:right w:color="000000" w:sz="4" w:val="single"/>
            </w:tcBorders>
            <w:tcMar>
              <w:left w:type="dxa" w:w="28"/>
              <w:right w:type="dxa" w:w="28"/>
            </w:tcMar>
            <w:vAlign w:val="bottom"/>
          </w:tcPr>
          <w:p w14:paraId="B4020000">
            <w:pPr>
              <w:widowControl w:val="1"/>
              <w:ind/>
              <w:jc w:val="center"/>
            </w:pPr>
            <w:r>
              <w:t>2</w:t>
            </w:r>
          </w:p>
        </w:tc>
        <w:tc>
          <w:tcPr>
            <w:tcW w:type="dxa" w:w="2977"/>
            <w:tcBorders>
              <w:top w:color="000000" w:sz="4" w:val="single"/>
              <w:left w:color="000000" w:sz="4" w:val="single"/>
              <w:bottom w:color="000000" w:sz="4" w:val="single"/>
              <w:right w:color="000000" w:sz="4" w:val="single"/>
            </w:tcBorders>
            <w:tcMar>
              <w:left w:type="dxa" w:w="28"/>
              <w:right w:type="dxa" w:w="28"/>
            </w:tcMar>
            <w:vAlign w:val="bottom"/>
          </w:tcPr>
          <w:p w14:paraId="B5020000">
            <w:pPr>
              <w:widowControl w:val="1"/>
              <w:ind/>
              <w:jc w:val="center"/>
            </w:pPr>
            <w:r>
              <w:t>3</w:t>
            </w:r>
          </w:p>
        </w:tc>
        <w:tc>
          <w:tcPr>
            <w:tcW w:type="dxa" w:w="2193"/>
            <w:tcBorders>
              <w:top w:color="000000" w:sz="4" w:val="single"/>
              <w:left w:color="000000" w:sz="4" w:val="single"/>
              <w:bottom w:color="000000" w:sz="4" w:val="single"/>
              <w:right w:color="000000" w:sz="4" w:val="single"/>
            </w:tcBorders>
            <w:tcMar>
              <w:left w:type="dxa" w:w="28"/>
              <w:right w:type="dxa" w:w="28"/>
            </w:tcMar>
            <w:vAlign w:val="bottom"/>
          </w:tcPr>
          <w:p w14:paraId="B6020000">
            <w:pPr>
              <w:widowControl w:val="1"/>
              <w:ind/>
              <w:jc w:val="center"/>
            </w:pPr>
            <w:r>
              <w:t>4</w:t>
            </w:r>
          </w:p>
        </w:tc>
        <w:tc>
          <w:tcPr>
            <w:tcW w:type="dxa" w:w="1501"/>
            <w:tcBorders>
              <w:top w:color="000000" w:sz="4" w:val="single"/>
              <w:left w:color="000000" w:sz="4" w:val="single"/>
              <w:bottom w:color="000000" w:sz="4" w:val="single"/>
              <w:right w:color="000000" w:sz="4" w:val="single"/>
            </w:tcBorders>
            <w:tcMar>
              <w:left w:type="dxa" w:w="28"/>
              <w:right w:type="dxa" w:w="28"/>
            </w:tcMar>
            <w:vAlign w:val="bottom"/>
          </w:tcPr>
          <w:p w14:paraId="B7020000">
            <w:pPr>
              <w:widowControl w:val="1"/>
              <w:ind/>
              <w:jc w:val="center"/>
            </w:pPr>
            <w:r>
              <w:t>5</w:t>
            </w:r>
          </w:p>
        </w:tc>
        <w:tc>
          <w:tcPr>
            <w:tcW w:type="dxa" w:w="1976"/>
            <w:tcBorders>
              <w:top w:color="000000" w:sz="4" w:val="single"/>
              <w:left w:color="000000" w:sz="4" w:val="single"/>
              <w:bottom w:color="000000" w:sz="4" w:val="single"/>
              <w:right w:color="000000" w:sz="4" w:val="single"/>
            </w:tcBorders>
            <w:tcMar>
              <w:left w:type="dxa" w:w="28"/>
              <w:right w:type="dxa" w:w="28"/>
            </w:tcMar>
            <w:vAlign w:val="bottom"/>
          </w:tcPr>
          <w:p w14:paraId="B8020000">
            <w:pPr>
              <w:widowControl w:val="1"/>
              <w:ind/>
              <w:jc w:val="center"/>
            </w:pPr>
            <w:r>
              <w:t>6</w:t>
            </w:r>
          </w:p>
        </w:tc>
        <w:tc>
          <w:tcPr>
            <w:tcW w:type="dxa" w:w="2193"/>
            <w:tcBorders>
              <w:top w:color="000000" w:sz="4" w:val="single"/>
              <w:left w:color="000000" w:sz="4" w:val="single"/>
              <w:bottom w:color="000000" w:sz="4" w:val="single"/>
              <w:right w:color="000000" w:sz="4" w:val="single"/>
            </w:tcBorders>
            <w:tcMar>
              <w:left w:type="dxa" w:w="28"/>
              <w:right w:type="dxa" w:w="28"/>
            </w:tcMar>
            <w:vAlign w:val="bottom"/>
          </w:tcPr>
          <w:p w14:paraId="B9020000">
            <w:pPr>
              <w:widowControl w:val="1"/>
              <w:ind/>
              <w:jc w:val="center"/>
            </w:pPr>
            <w:r>
              <w:t>7</w:t>
            </w:r>
          </w:p>
        </w:tc>
      </w:tr>
      <w:tr>
        <w:tc>
          <w:tcPr>
            <w:tcW w:type="dxa" w:w="4347"/>
            <w:tcBorders>
              <w:top w:color="000000" w:sz="4" w:val="single"/>
              <w:left w:color="000000" w:sz="4" w:val="single"/>
              <w:bottom w:color="000000" w:sz="4" w:val="single"/>
              <w:right w:color="000000" w:sz="4" w:val="single"/>
            </w:tcBorders>
            <w:tcMar>
              <w:left w:type="dxa" w:w="28"/>
              <w:right w:type="dxa" w:w="28"/>
            </w:tcMar>
            <w:vAlign w:val="bottom"/>
          </w:tcPr>
          <w:p/>
        </w:tc>
        <w:tc>
          <w:tcPr>
            <w:tcW w:type="dxa" w:w="2977"/>
            <w:tcBorders>
              <w:top w:color="000000" w:sz="4" w:val="single"/>
              <w:left w:color="000000" w:sz="4" w:val="single"/>
              <w:bottom w:color="000000" w:sz="4" w:val="single"/>
              <w:right w:color="000000" w:sz="4" w:val="single"/>
            </w:tcBorders>
            <w:tcMar>
              <w:left w:type="dxa" w:w="28"/>
              <w:right w:type="dxa" w:w="28"/>
            </w:tcMar>
            <w:vAlign w:val="bottom"/>
          </w:tcPr>
          <w:p/>
        </w:tc>
        <w:tc>
          <w:tcPr>
            <w:tcW w:type="dxa" w:w="2193"/>
            <w:tcBorders>
              <w:top w:color="000000" w:sz="4" w:val="single"/>
              <w:left w:color="000000" w:sz="4" w:val="single"/>
              <w:bottom w:color="000000" w:sz="4" w:val="single"/>
              <w:right w:color="000000" w:sz="4" w:val="single"/>
            </w:tcBorders>
            <w:tcMar>
              <w:left w:type="dxa" w:w="28"/>
              <w:right w:type="dxa" w:w="28"/>
            </w:tcMar>
            <w:vAlign w:val="bottom"/>
          </w:tcPr>
          <w:p/>
        </w:tc>
        <w:tc>
          <w:tcPr>
            <w:tcW w:type="dxa" w:w="1501"/>
            <w:tcBorders>
              <w:top w:color="000000" w:sz="4" w:val="single"/>
              <w:left w:color="000000" w:sz="4" w:val="single"/>
              <w:bottom w:color="000000" w:sz="4" w:val="single"/>
              <w:right w:color="000000" w:sz="4" w:val="single"/>
            </w:tcBorders>
            <w:tcMar>
              <w:left w:type="dxa" w:w="28"/>
              <w:right w:type="dxa" w:w="28"/>
            </w:tcMar>
            <w:vAlign w:val="bottom"/>
          </w:tcPr>
          <w:p w14:paraId="BA020000">
            <w:pPr>
              <w:widowControl w:val="1"/>
              <w:ind/>
              <w:jc w:val="center"/>
            </w:pPr>
          </w:p>
        </w:tc>
        <w:tc>
          <w:tcPr>
            <w:tcW w:type="dxa" w:w="1976"/>
            <w:tcBorders>
              <w:top w:color="000000" w:sz="4" w:val="single"/>
              <w:left w:color="000000" w:sz="4" w:val="single"/>
              <w:bottom w:color="000000" w:sz="4" w:val="single"/>
              <w:right w:color="000000" w:sz="4" w:val="single"/>
            </w:tcBorders>
            <w:tcMar>
              <w:left w:type="dxa" w:w="28"/>
              <w:right w:type="dxa" w:w="28"/>
            </w:tcMar>
            <w:vAlign w:val="bottom"/>
          </w:tcPr>
          <w:p w14:paraId="BB020000">
            <w:pPr>
              <w:widowControl w:val="1"/>
              <w:ind/>
              <w:jc w:val="center"/>
            </w:pPr>
          </w:p>
        </w:tc>
        <w:tc>
          <w:tcPr>
            <w:tcW w:type="dxa" w:w="2193"/>
            <w:tcBorders>
              <w:top w:color="000000" w:sz="4" w:val="single"/>
              <w:left w:color="000000" w:sz="4" w:val="single"/>
              <w:bottom w:color="000000" w:sz="4" w:val="single"/>
              <w:right w:color="000000" w:sz="4" w:val="single"/>
            </w:tcBorders>
            <w:tcMar>
              <w:left w:type="dxa" w:w="28"/>
              <w:right w:type="dxa" w:w="28"/>
            </w:tcMar>
            <w:vAlign w:val="bottom"/>
          </w:tcPr>
          <w:p w14:paraId="BC020000">
            <w:pPr>
              <w:widowControl w:val="1"/>
              <w:ind/>
              <w:jc w:val="center"/>
            </w:pPr>
          </w:p>
        </w:tc>
      </w:tr>
    </w:tbl>
    <w:p w14:paraId="BD020000">
      <w:pPr>
        <w:sectPr>
          <w:footerReference r:id="rId16" w:type="default"/>
          <w:footerReference r:id="rId10" w:type="even"/>
          <w:pgSz w:h="11907" w:orient="landscape" w:w="16840"/>
          <w:pgMar w:bottom="748" w:footer="567" w:gutter="0" w:header="720" w:left="1418" w:right="850" w:top="851"/>
          <w:titlePg/>
        </w:sectPr>
      </w:pPr>
    </w:p>
    <w:p w14:paraId="BE020000">
      <w:bookmarkStart w:id="17" w:name="__RefHeading___16"/>
      <w:bookmarkEnd w:id="17"/>
      <w:pPr>
        <w:pStyle w:val="Style_10"/>
        <w:rPr>
          <w:rFonts w:ascii="Times New Roman" w:hAnsi="Times New Roman"/>
          <w:i w:val="0"/>
        </w:rPr>
      </w:pPr>
      <w:r>
        <w:rPr>
          <w:rFonts w:ascii="Times New Roman" w:hAnsi="Times New Roman"/>
          <w:i w:val="0"/>
        </w:rPr>
        <w:t>3.</w:t>
      </w:r>
      <w:r>
        <w:rPr>
          <w:rFonts w:ascii="Times New Roman" w:hAnsi="Times New Roman"/>
          <w:i w:val="0"/>
        </w:rPr>
        <w:t>4</w:t>
      </w:r>
      <w:r>
        <w:rPr>
          <w:rFonts w:ascii="Times New Roman" w:hAnsi="Times New Roman"/>
          <w:i w:val="0"/>
        </w:rPr>
        <w:t>. Описание  системы  управления  рисками  и  внутреннего  контроля общества.</w:t>
      </w:r>
      <w:r>
        <w:rPr>
          <w:rFonts w:ascii="Times New Roman" w:hAnsi="Times New Roman"/>
          <w:i w:val="0"/>
        </w:rPr>
        <w:t xml:space="preserve"> </w:t>
      </w:r>
    </w:p>
    <w:p w14:paraId="BF020000"/>
    <w:p w14:paraId="C0020000">
      <w:pPr>
        <w:widowControl w:val="1"/>
        <w:spacing w:line="360" w:lineRule="auto"/>
        <w:ind w:firstLine="709"/>
        <w:contextualSpacing w:val="1"/>
        <w:jc w:val="both"/>
      </w:pPr>
      <w:r>
        <w:t xml:space="preserve">02 июня 2015 года в соответствии с приказом Федерального агентства по управлению государственным имуществом от 22.08.2014г. №306 АО "Краспригород" проведена самооценка качества корпоративного управления в Обществе. 24 июня 2015 года Советом директоров АО "Краспригород" (протокол №2) утвержден План мероприятий по внедрению ключевых положений Кодекса корпоративного управления в АО "Краспригород". 12 февраля 2018 года (протокол №8) Советом директоров АО "Краспригород" рассмотрен и принят к сведению Отчет о ходе реализации Плана мероприятий по внедрению ключевых положений Кодекса корпоративного управления в АО "Краспригород" за период 2015-2017 годов.  </w:t>
      </w:r>
    </w:p>
    <w:p w14:paraId="C1020000">
      <w:pPr>
        <w:widowControl w:val="1"/>
        <w:spacing w:line="360" w:lineRule="auto"/>
        <w:ind w:firstLine="709"/>
        <w:contextualSpacing w:val="1"/>
        <w:jc w:val="both"/>
      </w:pPr>
      <w:r>
        <w:t>13 февраля 2015 года Советом директоров АО "Краспригород" (протокол №8) принято к руководству Положение о системе внутреннего контроля в холдинге «РЖД» в соответствии с распоряжением ОАО "РЖД" от 23.01.2015г. №131р.</w:t>
      </w:r>
    </w:p>
    <w:p w14:paraId="C2020000">
      <w:pPr>
        <w:widowControl w:val="1"/>
        <w:spacing w:line="360" w:lineRule="auto"/>
        <w:ind w:firstLine="709"/>
        <w:contextualSpacing w:val="1"/>
        <w:jc w:val="both"/>
      </w:pPr>
      <w:r>
        <w:t xml:space="preserve">07 сентября 2016 года Советом директоров АО "Краспригород" (протокол №4) утверждены </w:t>
      </w:r>
      <w:r>
        <w:t>Методические рекомендации по оценке коррупционных рисков в Обществе</w:t>
      </w:r>
      <w:r>
        <w:t>, разработанные на основе Методических рекомендаций, утвержденных распоряжением ОАО «РЖД» от 09.08.2016 г. № 1634р.</w:t>
      </w:r>
    </w:p>
    <w:p w14:paraId="C3020000">
      <w:pPr>
        <w:pStyle w:val="Style_8"/>
        <w:widowControl w:val="1"/>
        <w:spacing w:line="360" w:lineRule="auto"/>
        <w:ind w:firstLine="709"/>
        <w:contextualSpacing w:val="1"/>
        <w:jc w:val="both"/>
        <w:rPr>
          <w:rFonts w:ascii="Times New Roman" w:hAnsi="Times New Roman"/>
          <w:b w:val="0"/>
          <w:sz w:val="24"/>
        </w:rPr>
      </w:pPr>
      <w:r>
        <w:rPr>
          <w:rFonts w:ascii="Times New Roman" w:hAnsi="Times New Roman"/>
          <w:b w:val="0"/>
          <w:sz w:val="24"/>
        </w:rPr>
        <w:t>Во исполнение Методических рекомендаций по оценке коррупционных рисков в Обществе, в соответствии с приказом №1150 АО "Краспригород" от 22.12.2017г.  "О создании рабочей группы АО "Краспригород" для проведения мероприятий по оценке коррупционных рисков" проведены  мероприятия по оценке коррупционных рисков в соответствии с методическими рекомендациями утвержденными советом директоров АО "Краспригород" от 07.09.2016г, протокол №4.</w:t>
      </w:r>
    </w:p>
    <w:p w14:paraId="C4020000">
      <w:pPr>
        <w:pStyle w:val="Style_22"/>
        <w:widowControl w:val="1"/>
        <w:spacing w:line="360" w:lineRule="auto"/>
        <w:ind w:firstLine="709"/>
        <w:contextualSpacing w:val="1"/>
        <w:rPr>
          <w:sz w:val="24"/>
        </w:rPr>
      </w:pPr>
      <w:r>
        <w:rPr>
          <w:sz w:val="24"/>
        </w:rPr>
        <w:t xml:space="preserve">По результатам проведенной работы группой подготовлен </w:t>
      </w:r>
      <w:r>
        <w:rPr>
          <w:sz w:val="24"/>
        </w:rPr>
        <w:t xml:space="preserve">Перечень коррупционно опасных функций в аппарате управления и структурных подразделений АО "Краспригород" </w:t>
      </w:r>
      <w:r>
        <w:rPr>
          <w:sz w:val="24"/>
        </w:rPr>
        <w:t xml:space="preserve"> и Реестр коррупционных рисков АО "Краспригород".</w:t>
      </w:r>
    </w:p>
    <w:p w14:paraId="C5020000">
      <w:pPr>
        <w:pStyle w:val="Style_22"/>
        <w:widowControl w:val="1"/>
        <w:spacing w:line="360" w:lineRule="auto"/>
        <w:ind w:firstLine="709"/>
        <w:contextualSpacing w:val="1"/>
        <w:rPr>
          <w:sz w:val="24"/>
        </w:rPr>
      </w:pPr>
      <w:r>
        <w:rPr>
          <w:sz w:val="24"/>
        </w:rPr>
        <w:t>На основании решения Совета директоров Общества (протокол от 28.09.2018г. №4), Приказом генерального директора от 15.10.2018г № 1015   утвержден план</w:t>
      </w:r>
      <w:r>
        <w:rPr>
          <w:sz w:val="24"/>
        </w:rPr>
        <w:t xml:space="preserve"> АО «Краспригород» по противодействию коррупции на 2018-2019 годы.</w:t>
      </w:r>
    </w:p>
    <w:p w14:paraId="C6020000">
      <w:pPr>
        <w:pStyle w:val="Style_8"/>
        <w:widowControl w:val="1"/>
        <w:spacing w:line="360" w:lineRule="auto"/>
        <w:ind w:firstLine="709"/>
        <w:contextualSpacing w:val="1"/>
        <w:jc w:val="both"/>
        <w:rPr>
          <w:rFonts w:ascii="Times New Roman" w:hAnsi="Times New Roman"/>
          <w:b w:val="0"/>
          <w:sz w:val="24"/>
        </w:rPr>
      </w:pPr>
      <w:r>
        <w:rPr>
          <w:rFonts w:ascii="Times New Roman" w:hAnsi="Times New Roman"/>
          <w:b w:val="0"/>
          <w:sz w:val="24"/>
        </w:rPr>
        <w:t>28 ноября 2016 года Советом директоров АО "Краспригород" (протокол №7) утвержден Порядок уведомления работодателя о фактах обращения с целью склонения работников Общества к совершению коррупционных правонарушений, разработанный в соответствии с Порядком, утвержденным распоряжением ОАО "РЖД" от 29.07.2015г. № 1912р,  кроме того генеральным директором подписаны Соглашения о дополнительных обязанностях с целью предупреждения потенциального конфликта интересов с главным бухгалтером, главным инженером, начальником филиала в г. Абакан, заместителями генерального директора.</w:t>
      </w:r>
    </w:p>
    <w:p w14:paraId="C7020000">
      <w:pPr>
        <w:widowControl w:val="1"/>
        <w:spacing w:line="360" w:lineRule="auto"/>
        <w:ind w:firstLine="709"/>
        <w:contextualSpacing w:val="1"/>
        <w:jc w:val="both"/>
      </w:pPr>
      <w:r>
        <w:t>12 мая 2016 года, в рамках реализации системы управления рисками, Советом директоров АО "Краспригород" (протокол №12) утверждены Положение об урегулировании конфликта интересов в Обществе, разработанное на основе Положения об урегулировании конфликта интересов в ОАО «РЖД», утвержденного распоряжением ОАО «РЖД» от 24.02.2016 № 321р; Порядок сообщения работниками АО «Краспригород» о получении подарка, сдачи и оценка подарка, реализации (выкупа) и зачисления средств, вырученных от его реализации.</w:t>
      </w:r>
    </w:p>
    <w:p w14:paraId="C8020000">
      <w:pPr>
        <w:pStyle w:val="Style_22"/>
        <w:widowControl w:val="1"/>
        <w:spacing w:line="360" w:lineRule="auto"/>
        <w:ind w:firstLine="709"/>
        <w:contextualSpacing w:val="1"/>
        <w:rPr>
          <w:sz w:val="24"/>
        </w:rPr>
      </w:pPr>
      <w:r>
        <w:rPr>
          <w:sz w:val="24"/>
        </w:rPr>
        <w:t xml:space="preserve">Приказом генерального директора от 10.01.2018г № 24 </w:t>
      </w:r>
      <w:r>
        <w:rPr>
          <w:sz w:val="24"/>
        </w:rPr>
        <w:t>уполномоченн</w:t>
      </w:r>
      <w:r>
        <w:rPr>
          <w:sz w:val="24"/>
        </w:rPr>
        <w:t>ым</w:t>
      </w:r>
      <w:r>
        <w:rPr>
          <w:sz w:val="24"/>
        </w:rPr>
        <w:t xml:space="preserve"> лиц</w:t>
      </w:r>
      <w:r>
        <w:rPr>
          <w:sz w:val="24"/>
        </w:rPr>
        <w:t>ом</w:t>
      </w:r>
      <w:r>
        <w:rPr>
          <w:sz w:val="24"/>
        </w:rPr>
        <w:t>, ответственн</w:t>
      </w:r>
      <w:r>
        <w:rPr>
          <w:sz w:val="24"/>
        </w:rPr>
        <w:t>ым</w:t>
      </w:r>
      <w:r>
        <w:rPr>
          <w:sz w:val="24"/>
        </w:rPr>
        <w:t xml:space="preserve"> за прием сведений о потенциальном (реальном) конфликте интересов в АО «Краспригород» назначен заместитель генерального директора по безопасности Нестеров В.Ю., утверждена форма антикоррупционной оговорки, вносимой в заключаемые Обществом договоры.</w:t>
      </w:r>
    </w:p>
    <w:p w14:paraId="C9020000">
      <w:pPr>
        <w:pStyle w:val="Style_22"/>
        <w:widowControl w:val="1"/>
        <w:spacing w:line="360" w:lineRule="auto"/>
        <w:ind w:firstLine="709"/>
        <w:contextualSpacing w:val="1"/>
        <w:rPr>
          <w:sz w:val="24"/>
        </w:rPr>
      </w:pPr>
      <w:r>
        <w:rPr>
          <w:sz w:val="24"/>
        </w:rPr>
        <w:t xml:space="preserve">Приказом генерального директора от 20.12.2018г № 1225, на основании </w:t>
      </w:r>
      <w:r>
        <w:rPr>
          <w:sz w:val="24"/>
        </w:rPr>
        <w:t xml:space="preserve">положений </w:t>
      </w:r>
      <w:r>
        <w:rPr>
          <w:sz w:val="24"/>
        </w:rPr>
        <w:t>плана</w:t>
      </w:r>
      <w:r>
        <w:rPr>
          <w:sz w:val="24"/>
        </w:rPr>
        <w:t xml:space="preserve"> АО «Краспригород» по противодействию коррупции на 2018-2019 годы,</w:t>
      </w:r>
      <w:r>
        <w:rPr>
          <w:sz w:val="24"/>
        </w:rPr>
        <w:t xml:space="preserve"> создана комиссия по урегулированию конфликта интересов </w:t>
      </w:r>
      <w:r>
        <w:rPr>
          <w:sz w:val="24"/>
        </w:rPr>
        <w:t xml:space="preserve">в АО «Краспригород». </w:t>
      </w:r>
    </w:p>
    <w:p w14:paraId="CA020000">
      <w:pPr>
        <w:pStyle w:val="Style_22"/>
        <w:widowControl w:val="1"/>
        <w:spacing w:line="360" w:lineRule="auto"/>
        <w:ind w:firstLine="709"/>
        <w:contextualSpacing w:val="1"/>
        <w:rPr>
          <w:sz w:val="24"/>
        </w:rPr>
      </w:pPr>
      <w:r>
        <w:rPr>
          <w:sz w:val="24"/>
        </w:rPr>
        <w:t>В отчетном периоде конфликтов интересов в АО «Краспригород», не выявлено.</w:t>
      </w:r>
    </w:p>
    <w:p w14:paraId="CB020000">
      <w:pPr>
        <w:widowControl w:val="1"/>
        <w:spacing w:line="360" w:lineRule="auto"/>
        <w:ind w:firstLine="709"/>
        <w:contextualSpacing w:val="1"/>
        <w:jc w:val="both"/>
        <w:rPr>
          <w:b w:val="1"/>
        </w:rPr>
      </w:pPr>
      <w:r>
        <w:t>На заседании Совета директоров</w:t>
      </w:r>
      <w:r>
        <w:rPr>
          <w:b w:val="1"/>
        </w:rPr>
        <w:t xml:space="preserve"> </w:t>
      </w:r>
      <w:r>
        <w:t xml:space="preserve">29.12.2016г. (протокол № 8) утверждено Положение об организации контроля за соблюдением режима защиты персональных данных в АО "Краспригород".  </w:t>
      </w:r>
    </w:p>
    <w:p w14:paraId="CC020000">
      <w:pPr>
        <w:widowControl w:val="1"/>
        <w:spacing w:line="360" w:lineRule="auto"/>
        <w:ind w:firstLine="709"/>
        <w:contextualSpacing w:val="1"/>
        <w:jc w:val="both"/>
      </w:pPr>
      <w:r>
        <w:t>12 марта 2016 года Советом директоров АО «Краспригород» утвержден Кодекс деловой этики, который устанавливает корпоративные нормы и правила служебного поведения должностных лиц и других работников АО «Краспригород», а также определяет принципы взаимоотношений АО «Краспригород» с акционерами, органами власти, юридическими и физическими лицами.</w:t>
      </w:r>
    </w:p>
    <w:p w14:paraId="CD020000">
      <w:pPr>
        <w:widowControl w:val="1"/>
        <w:spacing w:line="360" w:lineRule="auto"/>
        <w:ind w:firstLine="709"/>
        <w:contextualSpacing w:val="1"/>
        <w:jc w:val="both"/>
      </w:pPr>
      <w:r>
        <w:t>Между АО «Краспригород» и Департаментом безопасности ОАО «РЖД» заключены типовые «Регламент взаимодействия ОАО «РЖД» и дочерних обществ ОАО «РЖД» в области обеспечения безопасности» и</w:t>
      </w:r>
      <w:r>
        <w:rPr>
          <w:spacing w:val="-9"/>
        </w:rPr>
        <w:t xml:space="preserve"> «Регламент взаимодействия </w:t>
      </w:r>
      <w:r>
        <w:rPr>
          <w:spacing w:val="-14"/>
        </w:rPr>
        <w:t xml:space="preserve">ОАО «РЖД» и  АО «Краспригород» по вопросам </w:t>
      </w:r>
      <w:r>
        <w:rPr>
          <w:spacing w:val="-11"/>
        </w:rPr>
        <w:t xml:space="preserve">обеспечения информационной безопасности». </w:t>
      </w:r>
      <w:r>
        <w:t xml:space="preserve"> В рамках Регламентов оказывается взаимная методическая и практическая помощь в вопросах организации работы по обеспечению безопасности, в том числе и антикоррупционной направленности. </w:t>
      </w:r>
    </w:p>
    <w:p w14:paraId="CE020000">
      <w:pPr>
        <w:widowControl w:val="1"/>
        <w:spacing w:line="360" w:lineRule="auto"/>
        <w:ind w:firstLine="709"/>
        <w:contextualSpacing w:val="1"/>
        <w:jc w:val="both"/>
      </w:pPr>
      <w:r>
        <w:t xml:space="preserve">07 сентября 2018г. (протокол № 3) на заседании Совета директоров утверждено положение об организации контроля за соблюдением требований нормативных документов АО "Краспригород" в сфере предупреждения и противодействия коррупции. </w:t>
      </w:r>
    </w:p>
    <w:p w14:paraId="CF020000">
      <w:pPr>
        <w:pStyle w:val="Style_12"/>
        <w:widowControl w:val="1"/>
        <w:spacing w:line="360" w:lineRule="auto"/>
        <w:ind w:firstLine="709"/>
        <w:contextualSpacing w:val="1"/>
        <w:jc w:val="both"/>
        <w:rPr>
          <w:rFonts w:ascii="Times New Roman" w:hAnsi="Times New Roman"/>
          <w:sz w:val="24"/>
        </w:rPr>
      </w:pPr>
      <w:r>
        <w:rPr>
          <w:rFonts w:ascii="Times New Roman" w:hAnsi="Times New Roman"/>
          <w:sz w:val="24"/>
        </w:rPr>
        <w:t>С целью формирования системы внутреннего аудита АО «Краспригород», советом директоров от 12.05.2016 (протокол №12) принято к руков</w:t>
      </w:r>
      <w:r>
        <w:rPr>
          <w:rFonts w:ascii="Times New Roman" w:hAnsi="Times New Roman"/>
          <w:sz w:val="24"/>
        </w:rPr>
        <w:t>о</w:t>
      </w:r>
      <w:r>
        <w:rPr>
          <w:rFonts w:ascii="Times New Roman" w:hAnsi="Times New Roman"/>
          <w:sz w:val="24"/>
        </w:rPr>
        <w:t>дству Положение об организации внутреннего аудита в холдинге «РЖД», утвержденное распоряжением ОАО "РЖД" от 19.01.2016 № 91р, советом директоров от 29.12.2016 (протокол №8) приняты к руководству Стандарты внутре</w:t>
      </w:r>
      <w:r>
        <w:rPr>
          <w:rFonts w:ascii="Times New Roman" w:hAnsi="Times New Roman"/>
          <w:sz w:val="24"/>
        </w:rPr>
        <w:t>н</w:t>
      </w:r>
      <w:r>
        <w:rPr>
          <w:rFonts w:ascii="Times New Roman" w:hAnsi="Times New Roman"/>
          <w:sz w:val="24"/>
        </w:rPr>
        <w:t xml:space="preserve">него аудита, утвержденные распоряжением ОАО "РЖД" от 16.11.2016 № 2327р. </w:t>
      </w:r>
    </w:p>
    <w:p w14:paraId="D0020000">
      <w:pPr>
        <w:pStyle w:val="Style_8"/>
        <w:widowControl w:val="1"/>
        <w:spacing w:line="360" w:lineRule="auto"/>
        <w:ind w:firstLine="709"/>
        <w:contextualSpacing w:val="1"/>
        <w:jc w:val="both"/>
        <w:rPr>
          <w:rFonts w:ascii="Times New Roman" w:hAnsi="Times New Roman"/>
          <w:b w:val="0"/>
          <w:sz w:val="24"/>
        </w:rPr>
      </w:pPr>
      <w:r>
        <w:rPr>
          <w:rFonts w:ascii="Times New Roman" w:hAnsi="Times New Roman"/>
          <w:b w:val="0"/>
          <w:sz w:val="24"/>
        </w:rPr>
        <w:t>В соответствии с внутрикорпоративными стандартами аудиторской деятельности холдинга «РЖД», на основании вышеназванных принятых к рук</w:t>
      </w:r>
      <w:r>
        <w:rPr>
          <w:rFonts w:ascii="Times New Roman" w:hAnsi="Times New Roman"/>
          <w:b w:val="0"/>
          <w:sz w:val="24"/>
        </w:rPr>
        <w:t>о</w:t>
      </w:r>
      <w:r>
        <w:rPr>
          <w:rFonts w:ascii="Times New Roman" w:hAnsi="Times New Roman"/>
          <w:b w:val="0"/>
          <w:sz w:val="24"/>
        </w:rPr>
        <w:t>водству документов, в организационно-штатной структуре предусмотрена должность «старший внутренний аудитор». Утверждена должностная инструкция на должность «старший внутренний аудитор» с закреплением функциональной подотчетности совету директоров, разработанная с учетом Профессионального стандарта «внутренний аудитор» (утв.приказом Минтруда и социальной защ</w:t>
      </w:r>
      <w:r>
        <w:rPr>
          <w:rFonts w:ascii="Times New Roman" w:hAnsi="Times New Roman"/>
          <w:b w:val="0"/>
          <w:sz w:val="24"/>
        </w:rPr>
        <w:t>и</w:t>
      </w:r>
      <w:r>
        <w:rPr>
          <w:rFonts w:ascii="Times New Roman" w:hAnsi="Times New Roman"/>
          <w:b w:val="0"/>
          <w:sz w:val="24"/>
        </w:rPr>
        <w:t>ты РФ от 24 июня 2015 г. N 398н).</w:t>
      </w:r>
    </w:p>
    <w:p w14:paraId="D1020000">
      <w:pPr>
        <w:pStyle w:val="Style_11"/>
        <w:widowControl w:val="1"/>
        <w:spacing w:line="360" w:lineRule="auto"/>
        <w:ind w:firstLine="709" w:left="0"/>
        <w:contextualSpacing w:val="1"/>
        <w:jc w:val="both"/>
        <w:rPr>
          <w:sz w:val="24"/>
        </w:rPr>
      </w:pPr>
      <w:r>
        <w:rPr>
          <w:sz w:val="24"/>
        </w:rPr>
        <w:t>На заседании Совета директоров 23.04.2018г. (протокол № 11) утверждено Положение об организации внутреннего аудита Общества.</w:t>
      </w:r>
    </w:p>
    <w:p w14:paraId="D2020000">
      <w:pPr>
        <w:pStyle w:val="Style_11"/>
        <w:widowControl w:val="1"/>
        <w:spacing w:line="360" w:lineRule="auto"/>
        <w:ind w:firstLine="709" w:left="0"/>
        <w:contextualSpacing w:val="1"/>
        <w:jc w:val="both"/>
        <w:rPr>
          <w:sz w:val="24"/>
        </w:rPr>
      </w:pPr>
      <w:r>
        <w:rPr>
          <w:sz w:val="24"/>
        </w:rPr>
        <w:t xml:space="preserve">Функции внутреннего аудита в обществе возложены на старшего внутреннего аудитора (1 штатная единица), что целесообразно ввиду отсутствия в Обществе филиалов с обязанностью ведения самостоятельного бухгалтерского баланса, </w:t>
      </w:r>
      <w:r>
        <w:rPr>
          <w:sz w:val="24"/>
        </w:rPr>
        <w:t xml:space="preserve">дочерних Обществ, </w:t>
      </w:r>
      <w:r>
        <w:rPr>
          <w:sz w:val="24"/>
        </w:rPr>
        <w:t>небольшого количества структурных подразделений и списочного состава работников,</w:t>
      </w:r>
      <w:r>
        <w:rPr>
          <w:sz w:val="24"/>
        </w:rPr>
        <w:t xml:space="preserve"> а также учитывая одн</w:t>
      </w:r>
      <w:r>
        <w:rPr>
          <w:sz w:val="24"/>
        </w:rPr>
        <w:t>о</w:t>
      </w:r>
      <w:r>
        <w:rPr>
          <w:sz w:val="24"/>
        </w:rPr>
        <w:t>родность осуществляемой деятельности и бизнес-процессов</w:t>
      </w:r>
      <w:r>
        <w:rPr>
          <w:sz w:val="24"/>
        </w:rPr>
        <w:t xml:space="preserve">. </w:t>
      </w:r>
    </w:p>
    <w:p w14:paraId="D3020000">
      <w:pPr>
        <w:pStyle w:val="Style_11"/>
        <w:widowControl w:val="1"/>
        <w:spacing w:line="360" w:lineRule="auto"/>
        <w:ind w:firstLine="709" w:left="0"/>
        <w:contextualSpacing w:val="1"/>
        <w:jc w:val="both"/>
        <w:rPr>
          <w:sz w:val="24"/>
        </w:rPr>
      </w:pPr>
      <w:r>
        <w:rPr>
          <w:sz w:val="24"/>
        </w:rPr>
        <w:t>На заседании Совета директоров  28.09.2018г. (протокол № 4) на должность старшего внутреннего аудитора Общества согласована кандидатура Чернобаевой Юлии Вячеславовны.</w:t>
      </w:r>
    </w:p>
    <w:p w14:paraId="D4020000">
      <w:pPr>
        <w:widowControl w:val="1"/>
        <w:spacing w:line="360" w:lineRule="auto"/>
        <w:ind w:firstLine="709"/>
        <w:contextualSpacing w:val="1"/>
        <w:jc w:val="both"/>
      </w:pPr>
      <w:r>
        <w:t>План проведения внутреннего аудита в АО «Краспригород» на 2018 год утвержден Советом директоров 30.03.2018г. (протокол № 10), с изменениями от 29.12.2018г. (протокол № 7).</w:t>
      </w:r>
    </w:p>
    <w:p w14:paraId="D5020000">
      <w:pPr>
        <w:widowControl w:val="1"/>
        <w:spacing w:line="360" w:lineRule="auto"/>
        <w:ind w:firstLine="709"/>
        <w:contextualSpacing w:val="1"/>
        <w:jc w:val="both"/>
      </w:pPr>
      <w:r>
        <w:t>План деятельности старшего внутреннего аудитора на 2018г. утвержден на заседании Совета директоров 23.04.2018г. (протокол № 11), с изменениями от 29.12.2018г. (протокол № 7).</w:t>
      </w:r>
    </w:p>
    <w:p w14:paraId="D6020000">
      <w:pPr>
        <w:widowControl w:val="1"/>
        <w:spacing w:line="360" w:lineRule="auto"/>
        <w:ind w:firstLine="709"/>
        <w:contextualSpacing w:val="1"/>
        <w:jc w:val="both"/>
      </w:pPr>
      <w:r>
        <w:t>Кроме того, между ОАО «РЖД» и АО «Краспригород» подписано Соглашение от  28.12.2017 № 273 о взаимодействии по вопросам внутреннего контроля финансово-хозяйственной деятельности и вну</w:t>
      </w:r>
      <w:r>
        <w:t>т</w:t>
      </w:r>
      <w:r>
        <w:t>реннего аудита. Со стороны Общества взаимодействие в рамках данного Соглашение будет осуществляться старшим внутренним аудитором, что предусмотрено Положением об организации внутреннего аудита.</w:t>
      </w:r>
    </w:p>
    <w:p w14:paraId="D7020000">
      <w:pPr>
        <w:pStyle w:val="Style_8"/>
        <w:widowControl w:val="1"/>
        <w:spacing w:line="360" w:lineRule="auto"/>
        <w:ind w:firstLine="709"/>
        <w:contextualSpacing w:val="1"/>
        <w:jc w:val="both"/>
        <w:rPr>
          <w:rFonts w:ascii="Times New Roman" w:hAnsi="Times New Roman"/>
          <w:b w:val="0"/>
          <w:sz w:val="24"/>
        </w:rPr>
      </w:pPr>
      <w:r>
        <w:rPr>
          <w:rFonts w:ascii="Times New Roman" w:hAnsi="Times New Roman"/>
          <w:b w:val="0"/>
          <w:sz w:val="24"/>
        </w:rPr>
        <w:t>В целях управления рисками в финансово-хозяйственной сфере, обеспечения наблюдения за соответствием совершаемых Обществом финансово-хозяйственных операций законодательству РФ и Уставу Общества, осуществления независимой оценки финансового состояния Общества Годовым собранием акционеров Общество ежегодно избирается постоянно действующая ревизионная комиссия. При осуществлении своей деятельности ревизионная комиссия независима от должностных лиц Общества.</w:t>
      </w:r>
    </w:p>
    <w:p w14:paraId="D8020000">
      <w:pPr>
        <w:widowControl w:val="1"/>
        <w:spacing w:line="360" w:lineRule="auto"/>
        <w:ind w:firstLine="709"/>
        <w:contextualSpacing w:val="1"/>
        <w:jc w:val="both"/>
      </w:pPr>
      <w:r>
        <w:t xml:space="preserve">Согласно </w:t>
      </w:r>
      <w:r>
        <w:fldChar w:fldCharType="begin"/>
      </w:r>
      <w:r>
        <w:instrText>HYPERLINK "garantF1://10005712.8803"</w:instrText>
      </w:r>
      <w:r>
        <w:fldChar w:fldCharType="separate"/>
      </w:r>
      <w:r>
        <w:t>п.3 ст.88</w:t>
      </w:r>
      <w:r>
        <w:fldChar w:fldCharType="end"/>
      </w:r>
      <w:r>
        <w:t xml:space="preserve"> Федерального закона от 26 декабря 1995 г. № 208-ФЗ «Об акционерных обществах» перед опубликованием открытым акционерным обществом годовой бухгалтерской отчетности общество ежегодно проводит обязательный аудит финансовой (бухгалтерской) отчетности Общества. Независимый аудитор избирается в соответствии с п.п. 4 ст.  5 </w:t>
      </w:r>
      <w:r>
        <w:fldChar w:fldCharType="begin"/>
      </w:r>
      <w:r>
        <w:instrText>HYPERLINK "garantF1://12064283.0"</w:instrText>
      </w:r>
      <w:r>
        <w:fldChar w:fldCharType="separate"/>
      </w:r>
      <w:r>
        <w:t>Федерального закона от 30 декабря 2008 г. N 307-ФЗ "Об аудиторской деятельности"</w:t>
      </w:r>
      <w:r>
        <w:rPr>
          <w:b w:val="1"/>
        </w:rPr>
        <w:t xml:space="preserve"> </w:t>
      </w:r>
      <w:r>
        <w:fldChar w:fldCharType="end"/>
      </w:r>
      <w:r>
        <w:t>посредством проведения открытого конкурса,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D9020000">
      <w:pPr>
        <w:widowControl w:val="1"/>
        <w:spacing w:line="360" w:lineRule="auto"/>
        <w:ind w:firstLine="709"/>
        <w:contextualSpacing w:val="1"/>
        <w:jc w:val="both"/>
      </w:pPr>
      <w:r>
        <w:t xml:space="preserve">На заседании Совета директоров 14 июля 2017г. (протокол № 1), утверждена Политика управления финансовыми рисками. </w:t>
      </w:r>
    </w:p>
    <w:p w14:paraId="DA020000">
      <w:pPr>
        <w:pStyle w:val="Style_12"/>
        <w:widowControl w:val="1"/>
        <w:spacing w:line="360" w:lineRule="auto"/>
        <w:ind w:firstLine="709"/>
        <w:contextualSpacing w:val="1"/>
        <w:jc w:val="both"/>
        <w:rPr>
          <w:rFonts w:ascii="Times New Roman" w:hAnsi="Times New Roman"/>
          <w:sz w:val="24"/>
        </w:rPr>
      </w:pPr>
      <w:r>
        <w:rPr>
          <w:rFonts w:ascii="Times New Roman" w:hAnsi="Times New Roman"/>
          <w:sz w:val="24"/>
        </w:rPr>
        <w:t>Советом директоров от  05 марта 2018г. (протокол № 9) утвержден реестр рисков и карта рисков АО "Краспригород" на 2018 год.</w:t>
      </w:r>
    </w:p>
    <w:p w14:paraId="DB020000">
      <w:pPr>
        <w:widowControl w:val="1"/>
        <w:spacing w:line="360" w:lineRule="auto"/>
        <w:ind w:firstLine="709"/>
        <w:contextualSpacing w:val="1"/>
        <w:jc w:val="both"/>
      </w:pPr>
      <w:r>
        <w:t xml:space="preserve">Также 19 октября 2017г. на заседании Совета директоров утвержден Порядок предоставления сведений о доходах, расходах, об имуществе и обязательствах имущественного характера в АО "Краспригород" (протокол № 5). </w:t>
      </w:r>
    </w:p>
    <w:p w14:paraId="DC020000">
      <w:pPr>
        <w:widowControl w:val="1"/>
        <w:spacing w:line="360" w:lineRule="auto"/>
        <w:ind w:firstLine="709"/>
        <w:contextualSpacing w:val="1"/>
        <w:jc w:val="both"/>
      </w:pPr>
      <w:r>
        <w:t>В соответствии с распоряжением ОАО «РЖД» от 03.08.2015 № 1973р</w:t>
      </w:r>
      <w:r>
        <w:br/>
      </w:r>
      <w:r>
        <w:t xml:space="preserve">«Об утверждении типового положения об оценке деятельности совета директоров, комитетов совета директоров и членов совета директоров дочернего общества ОАО «РЖД», 30 сентября 2015 года Советом директоров ОАО "Краспригород" утверждено Положение об оценке деятельности совета директоров, комитетов совета директоров и членов совета </w:t>
      </w:r>
      <w:r>
        <w:t>директоров.</w:t>
      </w:r>
    </w:p>
    <w:p w14:paraId="DD020000">
      <w:pPr>
        <w:widowControl w:val="1"/>
        <w:spacing w:line="360" w:lineRule="auto"/>
        <w:ind w:firstLine="709"/>
        <w:jc w:val="both"/>
      </w:pPr>
      <w:r>
        <w:t>Самооценка деятельности совета директоров, комитетов совета директоров и каждого члена совета директоров будет рассмотрена на заседании совета директоров, на котором предварительно утверждается годовой отчет Общества за 2018 год.</w:t>
      </w:r>
    </w:p>
    <w:p w14:paraId="DE020000">
      <w:pPr>
        <w:widowControl w:val="1"/>
        <w:spacing w:line="360" w:lineRule="auto"/>
        <w:ind w:firstLine="709"/>
        <w:contextualSpacing w:val="1"/>
        <w:jc w:val="both"/>
      </w:pPr>
      <w:r>
        <w:t>Действующая в АО "Краспригород" система управления рисками разработана</w:t>
      </w:r>
      <w:r>
        <w:t xml:space="preserve"> в соответствие с федеральными законами, нормативными правовыми актам Российской Федерации и нормативными документами ОАО «РЖД». Система управления рисками АО "Краспригород" способствует установлению в АО «Краспригород» общих подходов к определению конкретных направлений, бизнес-процессов и проектов деятельности, при реализации которых наиболее высока вероятность совершения работниками АО «Краспригород» коррупционных правонарушений. Ответственность за оценку коррупционных рисков в рамках направлений деятельности, бизнес-процессов и проектов несет заместитель генерального директора по безопасности. Заместитель генерального директора по безопасности несет ответственность за обеспечение консолидации и координации работы по оценке</w:t>
      </w:r>
      <w:r>
        <w:t xml:space="preserve"> </w:t>
      </w:r>
      <w:r>
        <w:t xml:space="preserve">коррупционных рисков. </w:t>
      </w:r>
    </w:p>
    <w:p w14:paraId="DF020000">
      <w:pPr>
        <w:pStyle w:val="Style_22"/>
        <w:widowControl w:val="1"/>
        <w:spacing w:line="360" w:lineRule="auto"/>
        <w:ind w:firstLine="709"/>
        <w:contextualSpacing w:val="1"/>
        <w:rPr>
          <w:sz w:val="24"/>
        </w:rPr>
      </w:pPr>
      <w:r>
        <w:rPr>
          <w:sz w:val="24"/>
        </w:rPr>
        <w:t>Информация о проводимых мероприятиях антикоррупционной направленности, методических рекомендациях по профилактике данного вида правонарушений размещена на официальном сайте АО «Краспригород».</w:t>
      </w:r>
    </w:p>
    <w:p w14:paraId="E0020000">
      <w:pPr>
        <w:widowControl w:val="1"/>
        <w:spacing w:line="360" w:lineRule="auto"/>
        <w:ind w:firstLine="709"/>
        <w:contextualSpacing w:val="1"/>
        <w:jc w:val="both"/>
      </w:pPr>
      <w:r>
        <w:t>Работа по выявлению и оценке коррупционных рисков в АО «Краспригород» проводится на непрерывной основе.</w:t>
      </w:r>
    </w:p>
    <w:p w14:paraId="E1020000">
      <w:bookmarkStart w:id="18" w:name="__RefHeading___17"/>
      <w:bookmarkEnd w:id="18"/>
      <w:pPr>
        <w:pStyle w:val="Style_7"/>
        <w:pageBreakBefore w:val="1"/>
        <w:widowControl w:val="1"/>
        <w:ind w:firstLine="709"/>
        <w:contextualSpacing w:val="1"/>
        <w:jc w:val="both"/>
        <w:rPr>
          <w:b w:val="1"/>
          <w:color w:val="000000"/>
          <w:sz w:val="24"/>
        </w:rPr>
      </w:pPr>
      <w:r>
        <w:rPr>
          <w:b w:val="1"/>
          <w:color w:val="000000"/>
          <w:sz w:val="24"/>
        </w:rPr>
        <w:t xml:space="preserve">Раздел </w:t>
      </w:r>
      <w:r>
        <w:rPr>
          <w:b w:val="1"/>
          <w:color w:val="000000"/>
          <w:sz w:val="24"/>
        </w:rPr>
        <w:t>4</w:t>
      </w:r>
      <w:r>
        <w:rPr>
          <w:b w:val="1"/>
          <w:color w:val="000000"/>
          <w:sz w:val="24"/>
        </w:rPr>
        <w:t xml:space="preserve">. </w:t>
      </w:r>
      <w:r>
        <w:rPr>
          <w:b w:val="1"/>
          <w:color w:val="000000"/>
          <w:sz w:val="24"/>
        </w:rPr>
        <w:t xml:space="preserve">Основные производственные </w:t>
      </w:r>
      <w:r>
        <w:rPr>
          <w:b w:val="1"/>
          <w:color w:val="000000"/>
          <w:sz w:val="24"/>
        </w:rPr>
        <w:t>показатели</w:t>
      </w:r>
      <w:r>
        <w:rPr>
          <w:b w:val="1"/>
          <w:color w:val="000000"/>
          <w:sz w:val="24"/>
        </w:rPr>
        <w:t>.</w:t>
      </w:r>
      <w:r>
        <w:rPr>
          <w:b w:val="1"/>
          <w:color w:val="000000"/>
          <w:sz w:val="24"/>
        </w:rPr>
        <w:t xml:space="preserve"> </w:t>
      </w:r>
    </w:p>
    <w:p w14:paraId="E2020000">
      <w:pPr>
        <w:widowControl w:val="1"/>
        <w:tabs>
          <w:tab w:leader="none" w:pos="0" w:val="left"/>
        </w:tabs>
        <w:spacing w:line="360" w:lineRule="auto"/>
        <w:ind w:firstLine="709"/>
        <w:contextualSpacing w:val="1"/>
        <w:jc w:val="both"/>
      </w:pPr>
    </w:p>
    <w:p w14:paraId="E3020000">
      <w:pPr>
        <w:widowControl w:val="1"/>
        <w:tabs>
          <w:tab w:leader="none" w:pos="0" w:val="left"/>
        </w:tabs>
        <w:spacing w:line="360" w:lineRule="auto"/>
        <w:ind w:firstLine="709"/>
        <w:contextualSpacing w:val="1"/>
        <w:jc w:val="both"/>
      </w:pPr>
      <w:r>
        <w:t>За  201</w:t>
      </w:r>
      <w:r>
        <w:t xml:space="preserve">8 </w:t>
      </w:r>
      <w:r>
        <w:t>год компания осуществляла перевозку пассажиров в пригородном сообщении на территории Красноярского края, Республики Хакасия, Кемеровской области на полигоне Красноярской железной дороги</w:t>
      </w:r>
      <w:r>
        <w:t>.</w:t>
      </w:r>
      <w:r>
        <w:t xml:space="preserve"> </w:t>
      </w:r>
    </w:p>
    <w:p w14:paraId="E4020000">
      <w:pPr>
        <w:widowControl w:val="1"/>
        <w:tabs>
          <w:tab w:leader="none" w:pos="0" w:val="left"/>
        </w:tabs>
        <w:spacing w:line="360" w:lineRule="auto"/>
        <w:ind w:firstLine="709"/>
        <w:contextualSpacing w:val="1"/>
        <w:jc w:val="both"/>
      </w:pPr>
      <w:r>
        <w:t>Для осуществления перевозок пассажиров пригородными поездами АО «Краспригород в течение 201</w:t>
      </w:r>
      <w:r>
        <w:t>8</w:t>
      </w:r>
      <w:r>
        <w:t xml:space="preserve">  года заказывало в аренду  у АО «ФПК» пассажирские вагоны, у  ОАО «РЖД» - электропоезда и локомотивы – в соотв</w:t>
      </w:r>
      <w:r>
        <w:t>е</w:t>
      </w:r>
      <w:r>
        <w:t>тствии с графиками движения поездов, ГП</w:t>
      </w:r>
      <w:r>
        <w:t xml:space="preserve"> КК</w:t>
      </w:r>
      <w:r>
        <w:t xml:space="preserve"> ЦТЛ передало в аренду три электропоезда ЭД9М.  </w:t>
      </w:r>
      <w:r>
        <w:t>В среднем за 201</w:t>
      </w:r>
      <w:r>
        <w:t>8</w:t>
      </w:r>
      <w:r>
        <w:t xml:space="preserve"> год количество пар поездов составило в границах Красноярской железной дороги 4</w:t>
      </w:r>
      <w:r>
        <w:t xml:space="preserve">4 </w:t>
      </w:r>
      <w:r>
        <w:t>пары, на 2 пары больше, чем за 201</w:t>
      </w:r>
      <w:r>
        <w:t>7</w:t>
      </w:r>
      <w:r>
        <w:t xml:space="preserve"> год.</w:t>
      </w:r>
      <w:r>
        <w:t xml:space="preserve"> </w:t>
      </w:r>
    </w:p>
    <w:p w14:paraId="E5020000">
      <w:pPr>
        <w:pStyle w:val="Style_17"/>
        <w:widowControl w:val="1"/>
        <w:spacing w:after="0" w:line="360" w:lineRule="auto"/>
        <w:ind w:firstLine="709"/>
        <w:contextualSpacing w:val="1"/>
        <w:jc w:val="right"/>
        <w:rPr>
          <w:b w:val="1"/>
          <w:sz w:val="24"/>
        </w:rPr>
      </w:pPr>
      <w:r>
        <w:rPr>
          <w:b w:val="1"/>
          <w:sz w:val="24"/>
        </w:rPr>
        <w:t xml:space="preserve">Таблица </w:t>
      </w:r>
      <w:r>
        <w:rPr>
          <w:b w:val="1"/>
          <w:sz w:val="24"/>
        </w:rPr>
        <w:t>4</w:t>
      </w:r>
      <w:r>
        <w:rPr>
          <w:b w:val="1"/>
          <w:sz w:val="24"/>
        </w:rPr>
        <w:t>.</w:t>
      </w:r>
      <w:r>
        <w:rPr>
          <w:b w:val="1"/>
          <w:sz w:val="24"/>
        </w:rPr>
        <w:t>1</w:t>
      </w:r>
      <w:r>
        <w:rPr>
          <w:b w:val="1"/>
          <w:sz w:val="24"/>
        </w:rPr>
        <w:t xml:space="preserve">. </w:t>
      </w:r>
    </w:p>
    <w:p w14:paraId="E6020000">
      <w:pPr>
        <w:pStyle w:val="Style_17"/>
        <w:widowControl w:val="1"/>
        <w:spacing w:after="0" w:line="360" w:lineRule="auto"/>
        <w:ind w:firstLine="709"/>
        <w:contextualSpacing w:val="1"/>
        <w:jc w:val="center"/>
        <w:rPr>
          <w:b w:val="1"/>
          <w:sz w:val="24"/>
        </w:rPr>
      </w:pPr>
      <w:r>
        <w:rPr>
          <w:b w:val="1"/>
          <w:sz w:val="24"/>
        </w:rPr>
        <w:t>Анализ количества пар поездов за 20</w:t>
      </w:r>
      <w:r>
        <w:rPr>
          <w:b w:val="1"/>
          <w:sz w:val="24"/>
        </w:rPr>
        <w:t>1</w:t>
      </w:r>
      <w:r>
        <w:rPr>
          <w:b w:val="1"/>
          <w:sz w:val="24"/>
        </w:rPr>
        <w:t>6</w:t>
      </w:r>
      <w:r>
        <w:rPr>
          <w:b w:val="1"/>
          <w:sz w:val="24"/>
        </w:rPr>
        <w:t>-201</w:t>
      </w:r>
      <w:r>
        <w:rPr>
          <w:b w:val="1"/>
          <w:sz w:val="24"/>
        </w:rPr>
        <w:t>8</w:t>
      </w:r>
      <w:r>
        <w:rPr>
          <w:b w:val="1"/>
          <w:sz w:val="24"/>
        </w:rPr>
        <w:t xml:space="preserve"> </w:t>
      </w:r>
      <w:r>
        <w:rPr>
          <w:b w:val="1"/>
          <w:sz w:val="24"/>
        </w:rPr>
        <w:t>г</w:t>
      </w:r>
      <w:r>
        <w:rPr>
          <w:b w:val="1"/>
          <w:sz w:val="24"/>
        </w:rPr>
        <w:t>.</w:t>
      </w:r>
      <w:r>
        <w:rPr>
          <w:b w:val="1"/>
          <w:sz w:val="24"/>
        </w:rPr>
        <w:t>г.</w:t>
      </w:r>
    </w:p>
    <w:tbl>
      <w:tblPr>
        <w:tblStyle w:val="Style_4"/>
        <w:tblW w:type="auto" w:w="0"/>
        <w:jc w:val="center"/>
        <w:tblInd w:type="dxa" w:w="-1114"/>
        <w:tblLayout w:type="fixed"/>
      </w:tblPr>
      <w:tblGrid>
        <w:gridCol w:w="2999"/>
        <w:gridCol w:w="1357"/>
        <w:gridCol w:w="1356"/>
        <w:gridCol w:w="1392"/>
        <w:gridCol w:w="1449"/>
        <w:gridCol w:w="1449"/>
      </w:tblGrid>
      <w:tr>
        <w:trPr>
          <w:trHeight w:hRule="atLeast" w:val="1005"/>
        </w:trPr>
        <w:tc>
          <w:tcPr>
            <w:tcW w:type="dxa" w:w="2999"/>
            <w:tcBorders>
              <w:top w:color="000000" w:sz="4" w:val="single"/>
              <w:left w:color="000000" w:sz="4" w:val="single"/>
              <w:bottom w:color="000000" w:sz="4" w:val="single"/>
              <w:right w:color="000000" w:sz="4" w:val="single"/>
            </w:tcBorders>
            <w:shd w:fill="auto" w:val="clear"/>
            <w:vAlign w:val="center"/>
          </w:tcPr>
          <w:p w14:paraId="E7020000">
            <w:pPr>
              <w:widowControl w:val="1"/>
              <w:ind/>
              <w:contextualSpacing w:val="1"/>
              <w:jc w:val="center"/>
            </w:pPr>
            <w:r>
              <w:t>Регион</w:t>
            </w:r>
          </w:p>
        </w:tc>
        <w:tc>
          <w:tcPr>
            <w:tcW w:type="dxa" w:w="1357"/>
            <w:tcBorders>
              <w:top w:color="000000" w:sz="4" w:val="single"/>
              <w:left w:color="000000" w:sz="4" w:val="single"/>
              <w:bottom w:color="000000" w:sz="4" w:val="single"/>
              <w:right w:color="000000" w:sz="4" w:val="single"/>
            </w:tcBorders>
            <w:shd w:fill="auto" w:val="clear"/>
            <w:vAlign w:val="center"/>
          </w:tcPr>
          <w:p w14:paraId="E8020000">
            <w:pPr>
              <w:widowControl w:val="1"/>
              <w:ind w:firstLine="52"/>
              <w:contextualSpacing w:val="1"/>
              <w:jc w:val="center"/>
              <w:rPr>
                <w:color w:val="000000"/>
              </w:rPr>
            </w:pPr>
            <w:r>
              <w:rPr>
                <w:color w:val="000000"/>
              </w:rPr>
              <w:t>В среднем в месяц в 2016 г.</w:t>
            </w:r>
          </w:p>
        </w:tc>
        <w:tc>
          <w:tcPr>
            <w:tcW w:type="dxa" w:w="1356"/>
            <w:tcBorders>
              <w:top w:color="000000" w:sz="4" w:val="single"/>
              <w:left w:sz="4" w:val="nil"/>
              <w:bottom w:color="000000" w:sz="4" w:val="single"/>
              <w:right w:color="000000" w:sz="4" w:val="single"/>
            </w:tcBorders>
            <w:shd w:fill="auto" w:val="clear"/>
            <w:vAlign w:val="center"/>
          </w:tcPr>
          <w:p w14:paraId="E9020000">
            <w:pPr>
              <w:widowControl w:val="1"/>
              <w:ind w:firstLine="52"/>
              <w:contextualSpacing w:val="1"/>
              <w:jc w:val="center"/>
              <w:rPr>
                <w:color w:val="000000"/>
              </w:rPr>
            </w:pPr>
            <w:r>
              <w:rPr>
                <w:color w:val="000000"/>
              </w:rPr>
              <w:t>В среднем в месяц в 2017 г.</w:t>
            </w:r>
          </w:p>
        </w:tc>
        <w:tc>
          <w:tcPr>
            <w:tcW w:type="dxa" w:w="1392"/>
            <w:tcBorders>
              <w:top w:color="000000" w:sz="4" w:val="single"/>
              <w:left w:sz="4" w:val="nil"/>
              <w:bottom w:color="000000" w:sz="4" w:val="single"/>
              <w:right w:color="000000" w:sz="4" w:val="single"/>
            </w:tcBorders>
            <w:vAlign w:val="center"/>
          </w:tcPr>
          <w:p w14:paraId="EA020000">
            <w:pPr>
              <w:widowControl w:val="1"/>
              <w:ind w:firstLine="52"/>
              <w:contextualSpacing w:val="1"/>
              <w:jc w:val="center"/>
              <w:rPr>
                <w:color w:val="000000"/>
              </w:rPr>
            </w:pPr>
            <w:r>
              <w:rPr>
                <w:color w:val="000000"/>
              </w:rPr>
              <w:t>В среднем в месяц в 2018 г.</w:t>
            </w:r>
          </w:p>
        </w:tc>
        <w:tc>
          <w:tcPr>
            <w:tcW w:type="dxa" w:w="1449"/>
            <w:tcBorders>
              <w:top w:color="000000" w:sz="4" w:val="single"/>
              <w:left w:color="000000" w:sz="4" w:val="single"/>
              <w:bottom w:color="000000" w:sz="4" w:val="single"/>
              <w:right w:color="000000" w:sz="4" w:val="single"/>
            </w:tcBorders>
            <w:vAlign w:val="center"/>
          </w:tcPr>
          <w:p w14:paraId="EB020000">
            <w:pPr>
              <w:widowControl w:val="1"/>
              <w:ind w:firstLine="52"/>
              <w:contextualSpacing w:val="1"/>
              <w:jc w:val="center"/>
              <w:rPr>
                <w:color w:val="000000"/>
              </w:rPr>
            </w:pPr>
            <w:r>
              <w:rPr>
                <w:color w:val="000000"/>
              </w:rPr>
              <w:t>Отклонение 2017г./ 2016г.</w:t>
            </w:r>
          </w:p>
        </w:tc>
        <w:tc>
          <w:tcPr>
            <w:tcW w:type="dxa" w:w="1449"/>
            <w:tcBorders>
              <w:top w:color="000000" w:sz="4" w:val="single"/>
              <w:left w:color="000000" w:sz="4" w:val="single"/>
              <w:bottom w:color="000000" w:sz="4" w:val="single"/>
              <w:right w:color="000000" w:sz="4" w:val="single"/>
            </w:tcBorders>
            <w:vAlign w:val="center"/>
          </w:tcPr>
          <w:p w14:paraId="EC020000">
            <w:pPr>
              <w:widowControl w:val="1"/>
              <w:ind w:firstLine="52"/>
              <w:contextualSpacing w:val="1"/>
              <w:jc w:val="center"/>
              <w:rPr>
                <w:color w:val="000000"/>
              </w:rPr>
            </w:pPr>
            <w:r>
              <w:rPr>
                <w:color w:val="000000"/>
              </w:rPr>
              <w:t>Отклонение 2018г./ 2017г.</w:t>
            </w:r>
          </w:p>
        </w:tc>
      </w:tr>
      <w:tr>
        <w:trPr>
          <w:trHeight w:hRule="atLeast" w:val="375"/>
        </w:trPr>
        <w:tc>
          <w:tcPr>
            <w:tcW w:type="dxa" w:w="2999"/>
            <w:tcBorders>
              <w:top w:color="000000" w:sz="4" w:val="single"/>
              <w:left w:color="000000" w:sz="4" w:val="single"/>
              <w:bottom w:color="000000" w:sz="4" w:val="single"/>
              <w:right w:color="000000" w:sz="4" w:val="single"/>
            </w:tcBorders>
            <w:shd w:fill="auto" w:val="clear"/>
            <w:vAlign w:val="center"/>
          </w:tcPr>
          <w:p w14:paraId="ED020000">
            <w:pPr>
              <w:widowControl w:val="1"/>
              <w:ind/>
              <w:contextualSpacing w:val="1"/>
            </w:pPr>
            <w:r>
              <w:t>Красноярский край</w:t>
            </w:r>
          </w:p>
        </w:tc>
        <w:tc>
          <w:tcPr>
            <w:tcW w:type="dxa" w:w="1357"/>
            <w:tcBorders>
              <w:top w:color="000000" w:sz="4" w:val="single"/>
              <w:left w:color="000000" w:sz="4" w:val="single"/>
              <w:bottom w:color="000000" w:sz="4" w:val="single"/>
              <w:right w:color="000000" w:sz="4" w:val="single"/>
            </w:tcBorders>
            <w:shd w:fill="auto" w:val="clear"/>
            <w:vAlign w:val="center"/>
          </w:tcPr>
          <w:p w14:paraId="EE020000">
            <w:pPr>
              <w:widowControl w:val="1"/>
              <w:ind w:firstLine="52"/>
              <w:contextualSpacing w:val="1"/>
              <w:jc w:val="center"/>
              <w:rPr>
                <w:color w:val="000000"/>
              </w:rPr>
            </w:pPr>
            <w:r>
              <w:rPr>
                <w:color w:val="000000"/>
              </w:rPr>
              <w:t>37</w:t>
            </w:r>
          </w:p>
        </w:tc>
        <w:tc>
          <w:tcPr>
            <w:tcW w:type="dxa" w:w="1356"/>
            <w:tcBorders>
              <w:top w:color="000000" w:sz="4" w:val="single"/>
              <w:left w:sz="4" w:val="nil"/>
              <w:bottom w:color="000000" w:sz="4" w:val="single"/>
              <w:right w:color="000000" w:sz="4" w:val="single"/>
            </w:tcBorders>
            <w:shd w:fill="auto" w:val="clear"/>
            <w:vAlign w:val="center"/>
          </w:tcPr>
          <w:p w14:paraId="EF020000">
            <w:pPr>
              <w:widowControl w:val="1"/>
              <w:ind w:firstLine="52"/>
              <w:contextualSpacing w:val="1"/>
              <w:jc w:val="center"/>
              <w:rPr>
                <w:color w:val="000000"/>
              </w:rPr>
            </w:pPr>
            <w:r>
              <w:rPr>
                <w:color w:val="000000"/>
              </w:rPr>
              <w:t>38</w:t>
            </w:r>
          </w:p>
        </w:tc>
        <w:tc>
          <w:tcPr>
            <w:tcW w:type="dxa" w:w="1392"/>
            <w:tcBorders>
              <w:top w:color="000000" w:sz="4" w:val="single"/>
              <w:left w:sz="4" w:val="nil"/>
              <w:bottom w:color="000000" w:sz="4" w:val="single"/>
              <w:right w:color="000000" w:sz="4" w:val="single"/>
            </w:tcBorders>
            <w:vAlign w:val="center"/>
          </w:tcPr>
          <w:p w14:paraId="F0020000">
            <w:pPr>
              <w:widowControl w:val="1"/>
              <w:ind w:firstLine="52"/>
              <w:contextualSpacing w:val="1"/>
              <w:jc w:val="center"/>
              <w:rPr>
                <w:color w:val="000000"/>
              </w:rPr>
            </w:pPr>
            <w:r>
              <w:rPr>
                <w:color w:val="000000"/>
              </w:rPr>
              <w:t>40</w:t>
            </w:r>
          </w:p>
        </w:tc>
        <w:tc>
          <w:tcPr>
            <w:tcW w:type="dxa" w:w="1449"/>
            <w:tcBorders>
              <w:top w:color="000000" w:sz="4" w:val="single"/>
              <w:left w:color="000000" w:sz="4" w:val="single"/>
              <w:bottom w:color="000000" w:sz="4" w:val="single"/>
              <w:right w:color="000000" w:sz="4" w:val="single"/>
            </w:tcBorders>
            <w:vAlign w:val="center"/>
          </w:tcPr>
          <w:p w14:paraId="F1020000">
            <w:pPr>
              <w:widowControl w:val="1"/>
              <w:ind w:firstLine="52"/>
              <w:contextualSpacing w:val="1"/>
              <w:jc w:val="center"/>
              <w:rPr>
                <w:color w:val="000000"/>
              </w:rPr>
            </w:pPr>
            <w:r>
              <w:rPr>
                <w:color w:val="000000"/>
              </w:rPr>
              <w:t>1</w:t>
            </w:r>
          </w:p>
        </w:tc>
        <w:tc>
          <w:tcPr>
            <w:tcW w:type="dxa" w:w="1449"/>
            <w:tcBorders>
              <w:top w:color="000000" w:sz="4" w:val="single"/>
              <w:left w:color="000000" w:sz="4" w:val="single"/>
              <w:bottom w:color="000000" w:sz="4" w:val="single"/>
              <w:right w:color="000000" w:sz="4" w:val="single"/>
            </w:tcBorders>
            <w:vAlign w:val="center"/>
          </w:tcPr>
          <w:p w14:paraId="F2020000">
            <w:pPr>
              <w:widowControl w:val="1"/>
              <w:ind w:firstLine="52"/>
              <w:contextualSpacing w:val="1"/>
              <w:jc w:val="center"/>
              <w:rPr>
                <w:color w:val="000000"/>
              </w:rPr>
            </w:pPr>
            <w:r>
              <w:rPr>
                <w:color w:val="000000"/>
              </w:rPr>
              <w:t>2</w:t>
            </w:r>
          </w:p>
        </w:tc>
      </w:tr>
      <w:tr>
        <w:trPr>
          <w:trHeight w:hRule="atLeast" w:val="375"/>
        </w:trPr>
        <w:tc>
          <w:tcPr>
            <w:tcW w:type="dxa" w:w="2999"/>
            <w:tcBorders>
              <w:top w:color="000000" w:sz="4" w:val="single"/>
              <w:left w:color="000000" w:sz="4" w:val="single"/>
              <w:bottom w:color="000000" w:sz="4" w:val="single"/>
              <w:right w:color="000000" w:sz="4" w:val="single"/>
            </w:tcBorders>
            <w:shd w:fill="auto" w:val="clear"/>
            <w:vAlign w:val="center"/>
          </w:tcPr>
          <w:p w14:paraId="F3020000">
            <w:pPr>
              <w:widowControl w:val="1"/>
              <w:ind/>
              <w:contextualSpacing w:val="1"/>
            </w:pPr>
            <w:r>
              <w:t>Кемеровская обл.</w:t>
            </w:r>
          </w:p>
        </w:tc>
        <w:tc>
          <w:tcPr>
            <w:tcW w:type="dxa" w:w="1357"/>
            <w:tcBorders>
              <w:top w:color="000000" w:sz="4" w:val="single"/>
              <w:left w:color="000000" w:sz="4" w:val="single"/>
              <w:bottom w:color="000000" w:sz="4" w:val="single"/>
              <w:right w:color="000000" w:sz="4" w:val="single"/>
            </w:tcBorders>
            <w:shd w:fill="auto" w:val="clear"/>
            <w:vAlign w:val="center"/>
          </w:tcPr>
          <w:p w14:paraId="F4020000">
            <w:pPr>
              <w:widowControl w:val="1"/>
              <w:ind w:firstLine="52"/>
              <w:contextualSpacing w:val="1"/>
              <w:jc w:val="center"/>
              <w:rPr>
                <w:color w:val="000000"/>
              </w:rPr>
            </w:pPr>
            <w:r>
              <w:rPr>
                <w:color w:val="000000"/>
              </w:rPr>
              <w:t>1</w:t>
            </w:r>
          </w:p>
        </w:tc>
        <w:tc>
          <w:tcPr>
            <w:tcW w:type="dxa" w:w="1356"/>
            <w:tcBorders>
              <w:top w:color="000000" w:sz="4" w:val="single"/>
              <w:left w:sz="4" w:val="nil"/>
              <w:bottom w:color="000000" w:sz="4" w:val="single"/>
              <w:right w:color="000000" w:sz="4" w:val="single"/>
            </w:tcBorders>
            <w:shd w:fill="auto" w:val="clear"/>
            <w:vAlign w:val="center"/>
          </w:tcPr>
          <w:p w14:paraId="F5020000">
            <w:pPr>
              <w:widowControl w:val="1"/>
              <w:ind w:firstLine="52"/>
              <w:contextualSpacing w:val="1"/>
              <w:jc w:val="center"/>
              <w:rPr>
                <w:color w:val="000000"/>
              </w:rPr>
            </w:pPr>
            <w:r>
              <w:rPr>
                <w:color w:val="000000"/>
              </w:rPr>
              <w:t>1</w:t>
            </w:r>
          </w:p>
        </w:tc>
        <w:tc>
          <w:tcPr>
            <w:tcW w:type="dxa" w:w="1392"/>
            <w:tcBorders>
              <w:top w:color="000000" w:sz="4" w:val="single"/>
              <w:left w:sz="4" w:val="nil"/>
              <w:bottom w:color="000000" w:sz="4" w:val="single"/>
              <w:right w:color="000000" w:sz="4" w:val="single"/>
            </w:tcBorders>
            <w:vAlign w:val="center"/>
          </w:tcPr>
          <w:p w14:paraId="F6020000">
            <w:pPr>
              <w:widowControl w:val="1"/>
              <w:ind w:firstLine="52"/>
              <w:contextualSpacing w:val="1"/>
              <w:jc w:val="center"/>
              <w:rPr>
                <w:color w:val="000000"/>
              </w:rPr>
            </w:pPr>
            <w:r>
              <w:rPr>
                <w:color w:val="000000"/>
              </w:rPr>
              <w:t>2</w:t>
            </w:r>
          </w:p>
        </w:tc>
        <w:tc>
          <w:tcPr>
            <w:tcW w:type="dxa" w:w="1449"/>
            <w:tcBorders>
              <w:top w:color="000000" w:sz="4" w:val="single"/>
              <w:left w:color="000000" w:sz="4" w:val="single"/>
              <w:bottom w:color="000000" w:sz="4" w:val="single"/>
              <w:right w:color="000000" w:sz="4" w:val="single"/>
            </w:tcBorders>
            <w:vAlign w:val="center"/>
          </w:tcPr>
          <w:p w14:paraId="F7020000">
            <w:pPr>
              <w:widowControl w:val="1"/>
              <w:ind w:firstLine="52"/>
              <w:contextualSpacing w:val="1"/>
              <w:jc w:val="center"/>
              <w:rPr>
                <w:color w:val="000000"/>
              </w:rPr>
            </w:pPr>
            <w:r>
              <w:rPr>
                <w:color w:val="000000"/>
              </w:rPr>
              <w:t>0</w:t>
            </w:r>
          </w:p>
        </w:tc>
        <w:tc>
          <w:tcPr>
            <w:tcW w:type="dxa" w:w="1449"/>
            <w:tcBorders>
              <w:top w:color="000000" w:sz="4" w:val="single"/>
              <w:left w:color="000000" w:sz="4" w:val="single"/>
              <w:bottom w:color="000000" w:sz="4" w:val="single"/>
              <w:right w:color="000000" w:sz="4" w:val="single"/>
            </w:tcBorders>
            <w:vAlign w:val="center"/>
          </w:tcPr>
          <w:p w14:paraId="F8020000">
            <w:pPr>
              <w:widowControl w:val="1"/>
              <w:ind w:firstLine="52"/>
              <w:contextualSpacing w:val="1"/>
              <w:jc w:val="center"/>
              <w:rPr>
                <w:color w:val="000000"/>
              </w:rPr>
            </w:pPr>
            <w:r>
              <w:rPr>
                <w:color w:val="000000"/>
              </w:rPr>
              <w:t>1</w:t>
            </w:r>
          </w:p>
        </w:tc>
      </w:tr>
      <w:tr>
        <w:trPr>
          <w:trHeight w:hRule="atLeast" w:val="375"/>
        </w:trPr>
        <w:tc>
          <w:tcPr>
            <w:tcW w:type="dxa" w:w="2999"/>
            <w:tcBorders>
              <w:top w:color="000000" w:sz="4" w:val="single"/>
              <w:left w:color="000000" w:sz="4" w:val="single"/>
              <w:bottom w:color="000000" w:sz="4" w:val="single"/>
              <w:right w:color="000000" w:sz="4" w:val="single"/>
            </w:tcBorders>
            <w:shd w:fill="auto" w:val="clear"/>
            <w:vAlign w:val="center"/>
          </w:tcPr>
          <w:p w14:paraId="F9020000">
            <w:pPr>
              <w:widowControl w:val="1"/>
              <w:ind/>
              <w:contextualSpacing w:val="1"/>
            </w:pPr>
            <w:r>
              <w:t>Республика Хакасия</w:t>
            </w:r>
          </w:p>
        </w:tc>
        <w:tc>
          <w:tcPr>
            <w:tcW w:type="dxa" w:w="1357"/>
            <w:tcBorders>
              <w:top w:color="000000" w:sz="4" w:val="single"/>
              <w:left w:color="000000" w:sz="4" w:val="single"/>
              <w:bottom w:color="000000" w:sz="4" w:val="single"/>
              <w:right w:color="000000" w:sz="4" w:val="single"/>
            </w:tcBorders>
            <w:shd w:fill="auto" w:val="clear"/>
            <w:vAlign w:val="center"/>
          </w:tcPr>
          <w:p w14:paraId="FA020000">
            <w:pPr>
              <w:widowControl w:val="1"/>
              <w:ind w:firstLine="52"/>
              <w:contextualSpacing w:val="1"/>
              <w:jc w:val="center"/>
              <w:rPr>
                <w:color w:val="000000"/>
              </w:rPr>
            </w:pPr>
            <w:r>
              <w:rPr>
                <w:color w:val="000000"/>
              </w:rPr>
              <w:t>4,5</w:t>
            </w:r>
          </w:p>
        </w:tc>
        <w:tc>
          <w:tcPr>
            <w:tcW w:type="dxa" w:w="1356"/>
            <w:tcBorders>
              <w:top w:color="000000" w:sz="4" w:val="single"/>
              <w:left w:sz="4" w:val="nil"/>
              <w:bottom w:color="000000" w:sz="4" w:val="single"/>
              <w:right w:color="000000" w:sz="4" w:val="single"/>
            </w:tcBorders>
            <w:shd w:fill="auto" w:val="clear"/>
            <w:vAlign w:val="center"/>
          </w:tcPr>
          <w:p w14:paraId="FB020000">
            <w:pPr>
              <w:widowControl w:val="1"/>
              <w:ind w:firstLine="52"/>
              <w:contextualSpacing w:val="1"/>
              <w:jc w:val="center"/>
              <w:rPr>
                <w:color w:val="000000"/>
              </w:rPr>
            </w:pPr>
            <w:r>
              <w:rPr>
                <w:color w:val="000000"/>
              </w:rPr>
              <w:t>5</w:t>
            </w:r>
          </w:p>
        </w:tc>
        <w:tc>
          <w:tcPr>
            <w:tcW w:type="dxa" w:w="1392"/>
            <w:tcBorders>
              <w:top w:color="000000" w:sz="4" w:val="single"/>
              <w:left w:sz="4" w:val="nil"/>
              <w:bottom w:color="000000" w:sz="4" w:val="single"/>
              <w:right w:color="000000" w:sz="4" w:val="single"/>
            </w:tcBorders>
            <w:vAlign w:val="center"/>
          </w:tcPr>
          <w:p w14:paraId="FC020000">
            <w:pPr>
              <w:widowControl w:val="1"/>
              <w:ind w:firstLine="52"/>
              <w:contextualSpacing w:val="1"/>
              <w:jc w:val="center"/>
              <w:rPr>
                <w:color w:val="000000"/>
              </w:rPr>
            </w:pPr>
            <w:r>
              <w:rPr>
                <w:color w:val="000000"/>
              </w:rPr>
              <w:t>5</w:t>
            </w:r>
          </w:p>
        </w:tc>
        <w:tc>
          <w:tcPr>
            <w:tcW w:type="dxa" w:w="1449"/>
            <w:tcBorders>
              <w:top w:color="000000" w:sz="4" w:val="single"/>
              <w:left w:color="000000" w:sz="4" w:val="single"/>
              <w:bottom w:color="000000" w:sz="4" w:val="single"/>
              <w:right w:color="000000" w:sz="4" w:val="single"/>
            </w:tcBorders>
            <w:vAlign w:val="center"/>
          </w:tcPr>
          <w:p w14:paraId="FD020000">
            <w:pPr>
              <w:widowControl w:val="1"/>
              <w:ind w:firstLine="52"/>
              <w:contextualSpacing w:val="1"/>
              <w:jc w:val="center"/>
              <w:rPr>
                <w:color w:val="000000"/>
              </w:rPr>
            </w:pPr>
            <w:r>
              <w:rPr>
                <w:color w:val="000000"/>
              </w:rPr>
              <w:t>0,5</w:t>
            </w:r>
          </w:p>
        </w:tc>
        <w:tc>
          <w:tcPr>
            <w:tcW w:type="dxa" w:w="1449"/>
            <w:tcBorders>
              <w:top w:color="000000" w:sz="4" w:val="single"/>
              <w:left w:color="000000" w:sz="4" w:val="single"/>
              <w:bottom w:color="000000" w:sz="4" w:val="single"/>
              <w:right w:color="000000" w:sz="4" w:val="single"/>
            </w:tcBorders>
            <w:vAlign w:val="center"/>
          </w:tcPr>
          <w:p w14:paraId="FE020000">
            <w:pPr>
              <w:widowControl w:val="1"/>
              <w:ind w:firstLine="52"/>
              <w:contextualSpacing w:val="1"/>
              <w:jc w:val="center"/>
              <w:rPr>
                <w:color w:val="000000"/>
              </w:rPr>
            </w:pPr>
            <w:r>
              <w:rPr>
                <w:color w:val="000000"/>
              </w:rPr>
              <w:t>0</w:t>
            </w:r>
          </w:p>
        </w:tc>
      </w:tr>
      <w:tr>
        <w:trPr>
          <w:trHeight w:hRule="atLeast" w:val="375"/>
        </w:trPr>
        <w:tc>
          <w:tcPr>
            <w:tcW w:type="dxa" w:w="2999"/>
            <w:tcBorders>
              <w:top w:color="000000" w:sz="4" w:val="single"/>
              <w:left w:color="000000" w:sz="4" w:val="single"/>
              <w:bottom w:color="000000" w:sz="4" w:val="single"/>
              <w:right w:color="000000" w:sz="4" w:val="single"/>
            </w:tcBorders>
            <w:shd w:fill="auto" w:val="clear"/>
            <w:vAlign w:val="center"/>
          </w:tcPr>
          <w:p w14:paraId="FF020000">
            <w:pPr>
              <w:widowControl w:val="1"/>
              <w:ind/>
              <w:contextualSpacing w:val="1"/>
              <w:rPr>
                <w:b w:val="1"/>
              </w:rPr>
            </w:pPr>
            <w:r>
              <w:rPr>
                <w:b w:val="1"/>
              </w:rPr>
              <w:t>Итого Красноярская ж.д.</w:t>
            </w:r>
          </w:p>
        </w:tc>
        <w:tc>
          <w:tcPr>
            <w:tcW w:type="dxa" w:w="1357"/>
            <w:tcBorders>
              <w:top w:color="000000" w:sz="4" w:val="single"/>
              <w:left w:color="000000" w:sz="4" w:val="single"/>
              <w:bottom w:color="000000" w:sz="4" w:val="single"/>
              <w:right w:color="000000" w:sz="4" w:val="single"/>
            </w:tcBorders>
            <w:shd w:fill="auto" w:val="clear"/>
            <w:vAlign w:val="center"/>
          </w:tcPr>
          <w:p w14:paraId="00030000">
            <w:pPr>
              <w:widowControl w:val="1"/>
              <w:ind w:firstLine="52"/>
              <w:contextualSpacing w:val="1"/>
              <w:jc w:val="center"/>
              <w:rPr>
                <w:b w:val="1"/>
                <w:color w:val="000000"/>
              </w:rPr>
            </w:pPr>
            <w:r>
              <w:rPr>
                <w:b w:val="1"/>
                <w:color w:val="000000"/>
              </w:rPr>
              <w:t>40</w:t>
            </w:r>
          </w:p>
        </w:tc>
        <w:tc>
          <w:tcPr>
            <w:tcW w:type="dxa" w:w="1356"/>
            <w:tcBorders>
              <w:top w:color="000000" w:sz="4" w:val="single"/>
              <w:left w:sz="4" w:val="nil"/>
              <w:bottom w:color="000000" w:sz="4" w:val="single"/>
              <w:right w:color="000000" w:sz="4" w:val="single"/>
            </w:tcBorders>
            <w:shd w:fill="auto" w:val="clear"/>
            <w:vAlign w:val="center"/>
          </w:tcPr>
          <w:p w14:paraId="01030000">
            <w:pPr>
              <w:widowControl w:val="1"/>
              <w:ind w:firstLine="52"/>
              <w:contextualSpacing w:val="1"/>
              <w:jc w:val="center"/>
              <w:rPr>
                <w:b w:val="1"/>
                <w:color w:val="000000"/>
              </w:rPr>
            </w:pPr>
            <w:r>
              <w:rPr>
                <w:b w:val="1"/>
                <w:color w:val="000000"/>
              </w:rPr>
              <w:t>42</w:t>
            </w:r>
          </w:p>
        </w:tc>
        <w:tc>
          <w:tcPr>
            <w:tcW w:type="dxa" w:w="1392"/>
            <w:tcBorders>
              <w:top w:color="000000" w:sz="4" w:val="single"/>
              <w:left w:sz="4" w:val="nil"/>
              <w:bottom w:color="000000" w:sz="4" w:val="single"/>
              <w:right w:color="000000" w:sz="4" w:val="single"/>
            </w:tcBorders>
            <w:vAlign w:val="center"/>
          </w:tcPr>
          <w:p w14:paraId="02030000">
            <w:pPr>
              <w:widowControl w:val="1"/>
              <w:ind w:firstLine="52"/>
              <w:contextualSpacing w:val="1"/>
              <w:jc w:val="center"/>
              <w:rPr>
                <w:b w:val="1"/>
                <w:color w:val="000000"/>
              </w:rPr>
            </w:pPr>
            <w:r>
              <w:rPr>
                <w:b w:val="1"/>
                <w:color w:val="000000"/>
              </w:rPr>
              <w:t>44</w:t>
            </w:r>
          </w:p>
        </w:tc>
        <w:tc>
          <w:tcPr>
            <w:tcW w:type="dxa" w:w="1449"/>
            <w:tcBorders>
              <w:top w:color="000000" w:sz="4" w:val="single"/>
              <w:left w:color="000000" w:sz="4" w:val="single"/>
              <w:bottom w:color="000000" w:sz="4" w:val="single"/>
              <w:right w:color="000000" w:sz="4" w:val="single"/>
            </w:tcBorders>
            <w:vAlign w:val="center"/>
          </w:tcPr>
          <w:p w14:paraId="03030000">
            <w:pPr>
              <w:widowControl w:val="1"/>
              <w:ind w:firstLine="52"/>
              <w:contextualSpacing w:val="1"/>
              <w:jc w:val="center"/>
              <w:rPr>
                <w:b w:val="1"/>
                <w:color w:val="000000"/>
              </w:rPr>
            </w:pPr>
            <w:r>
              <w:rPr>
                <w:b w:val="1"/>
                <w:color w:val="000000"/>
              </w:rPr>
              <w:t>2</w:t>
            </w:r>
          </w:p>
        </w:tc>
        <w:tc>
          <w:tcPr>
            <w:tcW w:type="dxa" w:w="1449"/>
            <w:tcBorders>
              <w:top w:color="000000" w:sz="4" w:val="single"/>
              <w:left w:color="000000" w:sz="4" w:val="single"/>
              <w:bottom w:color="000000" w:sz="4" w:val="single"/>
              <w:right w:color="000000" w:sz="4" w:val="single"/>
            </w:tcBorders>
            <w:vAlign w:val="center"/>
          </w:tcPr>
          <w:p w14:paraId="04030000">
            <w:pPr>
              <w:widowControl w:val="1"/>
              <w:ind w:firstLine="52"/>
              <w:contextualSpacing w:val="1"/>
              <w:jc w:val="center"/>
              <w:rPr>
                <w:b w:val="1"/>
                <w:color w:val="000000"/>
              </w:rPr>
            </w:pPr>
            <w:r>
              <w:rPr>
                <w:b w:val="1"/>
                <w:color w:val="000000"/>
              </w:rPr>
              <w:t>2</w:t>
            </w:r>
          </w:p>
        </w:tc>
      </w:tr>
    </w:tbl>
    <w:p w14:paraId="05030000">
      <w:pPr>
        <w:widowControl w:val="1"/>
        <w:tabs>
          <w:tab w:leader="none" w:pos="0" w:val="left"/>
        </w:tabs>
        <w:spacing w:line="360" w:lineRule="auto"/>
        <w:ind w:firstLine="709"/>
        <w:contextualSpacing w:val="1"/>
        <w:jc w:val="both"/>
        <w:rPr>
          <w:b w:val="1"/>
        </w:rPr>
      </w:pPr>
    </w:p>
    <w:p w14:paraId="06030000">
      <w:pPr>
        <w:widowControl w:val="1"/>
        <w:tabs>
          <w:tab w:leader="none" w:pos="0" w:val="left"/>
        </w:tabs>
        <w:spacing w:line="360" w:lineRule="auto"/>
        <w:ind w:firstLine="709"/>
        <w:contextualSpacing w:val="1"/>
        <w:jc w:val="both"/>
      </w:pPr>
      <w:r>
        <w:rPr>
          <w:b w:val="1"/>
        </w:rPr>
        <w:t>В Красноярском крае</w:t>
      </w:r>
      <w:r>
        <w:t xml:space="preserve"> курсирование пригородных электропоездов осуществлялось на участках: Иланская-Уяр, Боготол-Чернореченская, Чернореченская-Красноярск, Красноярск-Уяр, Красноярск-Дивногорск, Абакан-Кошурниково, (к Красноярскому краю относится участок Енисейская-Кошурниково), Ачинск-Лесосибирск, Решоты-Чунояр</w:t>
      </w:r>
      <w:r>
        <w:t>.</w:t>
      </w:r>
    </w:p>
    <w:p w14:paraId="07030000">
      <w:pPr>
        <w:widowControl w:val="1"/>
        <w:tabs>
          <w:tab w:leader="none" w:pos="0" w:val="left"/>
        </w:tabs>
        <w:spacing w:line="360" w:lineRule="auto"/>
        <w:ind w:firstLine="720"/>
        <w:jc w:val="both"/>
      </w:pPr>
      <w:r>
        <w:rPr>
          <w:b w:val="1"/>
        </w:rPr>
        <w:t>По Республике Хакасия</w:t>
      </w:r>
      <w:r>
        <w:t xml:space="preserve">: </w:t>
      </w:r>
      <w:r>
        <w:t>курсирование пригородных электропоездов осуществлялось на участках Абакан-Бискамжа, Турбаза «Восход» - Бискамжа, Абакан-Кошурниково (к Республике Хакасия относится участок Абакан-Енисейская)</w:t>
      </w:r>
      <w:r>
        <w:t xml:space="preserve">, </w:t>
      </w:r>
      <w:r>
        <w:t>Аскиз-Абаза.</w:t>
      </w:r>
      <w:r>
        <w:t xml:space="preserve"> </w:t>
      </w:r>
      <w:r>
        <w:t>Ввиду погодных условий в 1 квартале 2018 года ледовая переправа на участ</w:t>
      </w:r>
      <w:r>
        <w:t xml:space="preserve">ке Аскиз-Абаза не возводилась,  </w:t>
      </w:r>
      <w:r>
        <w:t>курсирование поездов на тепловозной тяге на участке Аскиз-Абаза в течение 1 квартала 2018 года  не прерывалось.</w:t>
      </w:r>
    </w:p>
    <w:p w14:paraId="08030000">
      <w:pPr>
        <w:widowControl w:val="1"/>
        <w:tabs>
          <w:tab w:leader="none" w:pos="0" w:val="left"/>
        </w:tabs>
        <w:spacing w:line="360" w:lineRule="auto"/>
        <w:ind w:firstLine="709"/>
        <w:contextualSpacing w:val="1"/>
        <w:jc w:val="both"/>
      </w:pPr>
      <w:r>
        <w:rPr>
          <w:b w:val="1"/>
        </w:rPr>
        <w:t>По Кемеровской  области</w:t>
      </w:r>
      <w:r>
        <w:rPr>
          <w:i w:val="1"/>
        </w:rPr>
        <w:t xml:space="preserve"> </w:t>
      </w:r>
      <w:r>
        <w:t>осуществлялись перевозки пассажиров по маршруту: Междуреченск-Турбаза «Восход»</w:t>
      </w:r>
      <w:r>
        <w:t>, с 02.12.2017 года было организовано курсирование пригородного электропоезда по маршруту Междуреченск- Лужба, согласно заказа субъекта.</w:t>
      </w:r>
    </w:p>
    <w:p w14:paraId="09030000">
      <w:pPr>
        <w:widowControl w:val="1"/>
        <w:tabs>
          <w:tab w:leader="none" w:pos="9639" w:val="left"/>
        </w:tabs>
        <w:spacing w:line="360" w:lineRule="auto"/>
        <w:ind w:firstLine="709"/>
        <w:contextualSpacing w:val="1"/>
        <w:jc w:val="right"/>
        <w:rPr>
          <w:b w:val="1"/>
        </w:rPr>
      </w:pPr>
      <w:r>
        <w:rPr>
          <w:b w:val="1"/>
        </w:rPr>
        <w:t xml:space="preserve">Таблица </w:t>
      </w:r>
      <w:r>
        <w:rPr>
          <w:b w:val="1"/>
        </w:rPr>
        <w:t>4</w:t>
      </w:r>
      <w:r>
        <w:rPr>
          <w:b w:val="1"/>
        </w:rPr>
        <w:t>.</w:t>
      </w:r>
      <w:r>
        <w:rPr>
          <w:b w:val="1"/>
        </w:rPr>
        <w:t>2</w:t>
      </w:r>
      <w:r>
        <w:rPr>
          <w:b w:val="1"/>
        </w:rPr>
        <w:t>.</w:t>
      </w:r>
    </w:p>
    <w:p w14:paraId="0A030000">
      <w:pPr>
        <w:widowControl w:val="1"/>
        <w:spacing w:line="360" w:lineRule="auto"/>
        <w:ind w:firstLine="709"/>
        <w:contextualSpacing w:val="1"/>
        <w:jc w:val="center"/>
      </w:pPr>
      <w:r>
        <w:t>Объемные</w:t>
      </w:r>
      <w:r>
        <w:t xml:space="preserve"> и качественные </w:t>
      </w:r>
      <w:r>
        <w:t xml:space="preserve"> показатели работы АО «Краспригород»</w:t>
      </w:r>
      <w:r>
        <w:t>.</w:t>
      </w:r>
    </w:p>
    <w:tbl>
      <w:tblPr>
        <w:tblStyle w:val="Style_4"/>
        <w:tblW w:type="auto" w:w="0"/>
        <w:tblInd w:type="dxa" w:w="103"/>
        <w:tblLayout w:type="fixed"/>
      </w:tblPr>
      <w:tblGrid>
        <w:gridCol w:w="2982"/>
        <w:gridCol w:w="2552"/>
        <w:gridCol w:w="2268"/>
        <w:gridCol w:w="2126"/>
      </w:tblGrid>
      <w:tr>
        <w:trPr>
          <w:trHeight w:hRule="atLeast" w:val="708"/>
          <w:tblHeader/>
        </w:trPr>
        <w:tc>
          <w:tcPr>
            <w:tcW w:type="dxa" w:w="2982"/>
            <w:tcBorders>
              <w:top w:color="000000" w:sz="4" w:val="single"/>
              <w:left w:color="000000" w:sz="4" w:val="single"/>
              <w:bottom w:color="000000" w:sz="4" w:val="single"/>
              <w:right w:color="000000" w:sz="4" w:val="single"/>
            </w:tcBorders>
            <w:shd w:fill="auto" w:val="clear"/>
            <w:vAlign w:val="center"/>
          </w:tcPr>
          <w:p w14:paraId="0B030000">
            <w:pPr>
              <w:widowControl w:val="1"/>
              <w:ind w:firstLine="39"/>
              <w:contextualSpacing w:val="1"/>
              <w:jc w:val="center"/>
              <w:rPr>
                <w:b w:val="1"/>
              </w:rPr>
            </w:pPr>
            <w:r>
              <w:rPr>
                <w:b w:val="1"/>
              </w:rPr>
              <w:t>Показатели</w:t>
            </w:r>
          </w:p>
        </w:tc>
        <w:tc>
          <w:tcPr>
            <w:tcW w:type="dxa" w:w="2552"/>
            <w:tcBorders>
              <w:top w:color="000000" w:sz="4" w:val="single"/>
              <w:left w:color="000000" w:sz="4" w:val="single"/>
              <w:bottom w:color="000000" w:sz="4" w:val="single"/>
              <w:right w:color="000000" w:sz="4" w:val="single"/>
            </w:tcBorders>
            <w:vAlign w:val="center"/>
          </w:tcPr>
          <w:p w14:paraId="0C030000">
            <w:pPr>
              <w:widowControl w:val="1"/>
              <w:ind w:firstLine="39"/>
              <w:contextualSpacing w:val="1"/>
              <w:jc w:val="center"/>
              <w:rPr>
                <w:b w:val="1"/>
                <w:color w:val="000000"/>
              </w:rPr>
            </w:pPr>
            <w:r>
              <w:rPr>
                <w:b w:val="1"/>
                <w:color w:val="000000"/>
              </w:rPr>
              <w:t>2016</w:t>
            </w:r>
          </w:p>
        </w:tc>
        <w:tc>
          <w:tcPr>
            <w:tcW w:type="dxa" w:w="2268"/>
            <w:tcBorders>
              <w:top w:color="000000" w:sz="4" w:val="single"/>
              <w:left w:color="000000" w:sz="4" w:val="single"/>
              <w:right w:color="000000" w:sz="4" w:val="single"/>
            </w:tcBorders>
            <w:vAlign w:val="center"/>
          </w:tcPr>
          <w:p w14:paraId="0D030000">
            <w:pPr>
              <w:widowControl w:val="1"/>
              <w:ind w:firstLine="39"/>
              <w:contextualSpacing w:val="1"/>
              <w:jc w:val="center"/>
              <w:rPr>
                <w:b w:val="1"/>
                <w:color w:val="000000"/>
              </w:rPr>
            </w:pPr>
            <w:r>
              <w:rPr>
                <w:b w:val="1"/>
                <w:color w:val="000000"/>
              </w:rPr>
              <w:t>2017</w:t>
            </w:r>
          </w:p>
        </w:tc>
        <w:tc>
          <w:tcPr>
            <w:tcW w:type="dxa" w:w="2126"/>
            <w:tcBorders>
              <w:top w:color="000000" w:sz="4" w:val="single"/>
              <w:left w:color="000000" w:sz="4" w:val="single"/>
              <w:right w:color="000000" w:sz="4" w:val="single"/>
            </w:tcBorders>
            <w:vAlign w:val="center"/>
          </w:tcPr>
          <w:p w14:paraId="0E030000">
            <w:pPr>
              <w:widowControl w:val="1"/>
              <w:ind w:firstLine="39"/>
              <w:contextualSpacing w:val="1"/>
              <w:jc w:val="center"/>
              <w:rPr>
                <w:b w:val="1"/>
                <w:color w:val="000000"/>
              </w:rPr>
            </w:pPr>
            <w:r>
              <w:rPr>
                <w:b w:val="1"/>
                <w:color w:val="000000"/>
              </w:rPr>
              <w:t>2018</w:t>
            </w:r>
          </w:p>
        </w:tc>
      </w:tr>
      <w:tr>
        <w:trPr>
          <w:trHeight w:hRule="atLeast" w:val="349"/>
        </w:trPr>
        <w:tc>
          <w:tcPr>
            <w:tcW w:type="dxa" w:w="2982"/>
            <w:tcBorders>
              <w:top w:color="000000" w:sz="4" w:val="single"/>
              <w:left w:color="000000" w:sz="4" w:val="single"/>
              <w:bottom w:color="000000" w:sz="4" w:val="single"/>
              <w:right w:color="000000" w:sz="4" w:val="single"/>
            </w:tcBorders>
            <w:shd w:fill="auto" w:val="clear"/>
            <w:vAlign w:val="center"/>
          </w:tcPr>
          <w:p w14:paraId="0F030000">
            <w:pPr>
              <w:widowControl w:val="1"/>
              <w:ind w:firstLine="39"/>
              <w:contextualSpacing w:val="1"/>
            </w:pPr>
            <w:r>
              <w:t>Ваг-км (тыс.)</w:t>
            </w:r>
          </w:p>
        </w:tc>
        <w:tc>
          <w:tcPr>
            <w:tcW w:type="dxa" w:w="2552"/>
            <w:tcBorders>
              <w:top w:color="000000" w:sz="4" w:val="single"/>
              <w:left w:color="000000" w:sz="4" w:val="single"/>
              <w:bottom w:color="000000" w:sz="4" w:val="single"/>
              <w:right w:color="000000" w:sz="4" w:val="single"/>
            </w:tcBorders>
            <w:vAlign w:val="center"/>
          </w:tcPr>
          <w:p w14:paraId="10030000">
            <w:pPr>
              <w:widowControl w:val="1"/>
              <w:ind w:firstLine="39"/>
              <w:contextualSpacing w:val="1"/>
              <w:jc w:val="center"/>
              <w:rPr>
                <w:color w:val="000000"/>
              </w:rPr>
            </w:pPr>
            <w:r>
              <w:rPr>
                <w:color w:val="000000"/>
              </w:rPr>
              <w:t>11 484</w:t>
            </w:r>
          </w:p>
        </w:tc>
        <w:tc>
          <w:tcPr>
            <w:tcW w:type="dxa" w:w="2268"/>
            <w:tcBorders>
              <w:top w:color="000000" w:sz="4" w:val="single"/>
              <w:left w:color="000000" w:sz="4" w:val="single"/>
              <w:bottom w:color="000000" w:sz="4" w:val="single"/>
              <w:right w:color="000000" w:sz="4" w:val="single"/>
            </w:tcBorders>
            <w:vAlign w:val="center"/>
          </w:tcPr>
          <w:p w14:paraId="11030000">
            <w:pPr>
              <w:widowControl w:val="1"/>
              <w:ind w:firstLine="39"/>
              <w:contextualSpacing w:val="1"/>
              <w:jc w:val="center"/>
              <w:rPr>
                <w:color w:val="000000"/>
              </w:rPr>
            </w:pPr>
            <w:r>
              <w:rPr>
                <w:color w:val="000000"/>
              </w:rPr>
              <w:t>11 433</w:t>
            </w:r>
          </w:p>
        </w:tc>
        <w:tc>
          <w:tcPr>
            <w:tcW w:type="dxa" w:w="2126"/>
            <w:tcBorders>
              <w:top w:color="000000" w:sz="4" w:val="single"/>
              <w:left w:color="000000" w:sz="4" w:val="single"/>
              <w:bottom w:color="000000" w:sz="4" w:val="single"/>
              <w:right w:color="000000" w:sz="4" w:val="single"/>
            </w:tcBorders>
            <w:vAlign w:val="center"/>
          </w:tcPr>
          <w:p w14:paraId="12030000">
            <w:pPr>
              <w:widowControl w:val="1"/>
              <w:ind w:firstLine="39"/>
              <w:contextualSpacing w:val="1"/>
              <w:jc w:val="center"/>
              <w:rPr>
                <w:color w:val="000000"/>
              </w:rPr>
            </w:pPr>
            <w:r>
              <w:rPr>
                <w:color w:val="000000"/>
              </w:rPr>
              <w:t>11 674</w:t>
            </w:r>
          </w:p>
        </w:tc>
      </w:tr>
      <w:tr>
        <w:trPr>
          <w:trHeight w:hRule="atLeast" w:val="349"/>
        </w:trPr>
        <w:tc>
          <w:tcPr>
            <w:tcW w:type="dxa" w:w="2982"/>
            <w:tcBorders>
              <w:top w:color="000000" w:sz="4" w:val="single"/>
              <w:left w:color="000000" w:sz="4" w:val="single"/>
              <w:bottom w:color="000000" w:sz="4" w:val="single"/>
              <w:right w:color="000000" w:sz="4" w:val="single"/>
            </w:tcBorders>
            <w:shd w:fill="auto" w:val="clear"/>
            <w:vAlign w:val="center"/>
          </w:tcPr>
          <w:p w14:paraId="13030000">
            <w:pPr>
              <w:widowControl w:val="1"/>
              <w:ind w:firstLine="39"/>
              <w:contextualSpacing w:val="1"/>
            </w:pPr>
            <w:r>
              <w:t>Количество  пар поездов</w:t>
            </w:r>
          </w:p>
        </w:tc>
        <w:tc>
          <w:tcPr>
            <w:tcW w:type="dxa" w:w="2552"/>
            <w:tcBorders>
              <w:top w:color="000000" w:sz="4" w:val="single"/>
              <w:left w:color="000000" w:sz="4" w:val="single"/>
              <w:bottom w:color="000000" w:sz="4" w:val="single"/>
              <w:right w:color="000000" w:sz="4" w:val="single"/>
            </w:tcBorders>
            <w:vAlign w:val="center"/>
          </w:tcPr>
          <w:p w14:paraId="14030000">
            <w:pPr>
              <w:widowControl w:val="1"/>
              <w:ind w:firstLine="39"/>
              <w:contextualSpacing w:val="1"/>
              <w:jc w:val="center"/>
              <w:rPr>
                <w:color w:val="000000"/>
              </w:rPr>
            </w:pPr>
            <w:r>
              <w:rPr>
                <w:color w:val="000000"/>
              </w:rPr>
              <w:t>40</w:t>
            </w:r>
          </w:p>
        </w:tc>
        <w:tc>
          <w:tcPr>
            <w:tcW w:type="dxa" w:w="2268"/>
            <w:tcBorders>
              <w:top w:color="000000" w:sz="4" w:val="single"/>
              <w:left w:color="000000" w:sz="4" w:val="single"/>
              <w:bottom w:color="000000" w:sz="4" w:val="single"/>
              <w:right w:color="000000" w:sz="4" w:val="single"/>
            </w:tcBorders>
            <w:vAlign w:val="center"/>
          </w:tcPr>
          <w:p w14:paraId="15030000">
            <w:pPr>
              <w:widowControl w:val="1"/>
              <w:ind w:firstLine="39"/>
              <w:contextualSpacing w:val="1"/>
              <w:jc w:val="center"/>
              <w:rPr>
                <w:color w:val="000000"/>
              </w:rPr>
            </w:pPr>
            <w:r>
              <w:rPr>
                <w:color w:val="000000"/>
              </w:rPr>
              <w:t>42</w:t>
            </w:r>
          </w:p>
        </w:tc>
        <w:tc>
          <w:tcPr>
            <w:tcW w:type="dxa" w:w="2126"/>
            <w:tcBorders>
              <w:top w:color="000000" w:sz="4" w:val="single"/>
              <w:left w:color="000000" w:sz="4" w:val="single"/>
              <w:bottom w:color="000000" w:sz="4" w:val="single"/>
              <w:right w:color="000000" w:sz="4" w:val="single"/>
            </w:tcBorders>
            <w:vAlign w:val="center"/>
          </w:tcPr>
          <w:p w14:paraId="16030000">
            <w:pPr>
              <w:widowControl w:val="1"/>
              <w:ind w:firstLine="39"/>
              <w:contextualSpacing w:val="1"/>
              <w:jc w:val="center"/>
              <w:rPr>
                <w:color w:val="000000"/>
              </w:rPr>
            </w:pPr>
            <w:r>
              <w:rPr>
                <w:color w:val="000000"/>
              </w:rPr>
              <w:t>44</w:t>
            </w:r>
          </w:p>
        </w:tc>
      </w:tr>
      <w:tr>
        <w:trPr>
          <w:trHeight w:hRule="atLeast" w:val="350"/>
        </w:trPr>
        <w:tc>
          <w:tcPr>
            <w:tcW w:type="dxa" w:w="2982"/>
            <w:tcBorders>
              <w:top w:sz="4" w:val="nil"/>
              <w:left w:color="000000" w:sz="4" w:val="single"/>
              <w:bottom w:color="000000" w:sz="4" w:val="single"/>
              <w:right w:color="000000" w:sz="4" w:val="single"/>
            </w:tcBorders>
            <w:shd w:fill="auto" w:val="clear"/>
            <w:vAlign w:val="center"/>
          </w:tcPr>
          <w:p w14:paraId="17030000">
            <w:pPr>
              <w:widowControl w:val="1"/>
              <w:ind w:firstLine="39"/>
              <w:contextualSpacing w:val="1"/>
            </w:pPr>
            <w:r>
              <w:t>Средняя составность</w:t>
            </w:r>
          </w:p>
        </w:tc>
        <w:tc>
          <w:tcPr>
            <w:tcW w:type="dxa" w:w="2552"/>
            <w:tcBorders>
              <w:top w:color="000000" w:sz="4" w:val="single"/>
              <w:left w:color="000000" w:sz="4" w:val="single"/>
              <w:bottom w:color="000000" w:sz="4" w:val="single"/>
              <w:right w:color="000000" w:sz="4" w:val="single"/>
            </w:tcBorders>
            <w:vAlign w:val="center"/>
          </w:tcPr>
          <w:p w14:paraId="18030000">
            <w:pPr>
              <w:widowControl w:val="1"/>
              <w:ind w:firstLine="39"/>
              <w:contextualSpacing w:val="1"/>
              <w:jc w:val="center"/>
              <w:rPr>
                <w:color w:val="000000"/>
              </w:rPr>
            </w:pPr>
            <w:r>
              <w:rPr>
                <w:color w:val="000000"/>
              </w:rPr>
              <w:t>4,3</w:t>
            </w:r>
          </w:p>
        </w:tc>
        <w:tc>
          <w:tcPr>
            <w:tcW w:type="dxa" w:w="2268"/>
            <w:tcBorders>
              <w:top w:color="000000" w:sz="4" w:val="single"/>
              <w:left w:color="000000" w:sz="4" w:val="single"/>
              <w:bottom w:color="000000" w:sz="4" w:val="single"/>
              <w:right w:color="000000" w:sz="4" w:val="single"/>
            </w:tcBorders>
            <w:vAlign w:val="center"/>
          </w:tcPr>
          <w:p w14:paraId="19030000">
            <w:pPr>
              <w:widowControl w:val="1"/>
              <w:ind w:firstLine="39"/>
              <w:contextualSpacing w:val="1"/>
              <w:jc w:val="center"/>
              <w:rPr>
                <w:color w:val="000000"/>
              </w:rPr>
            </w:pPr>
            <w:r>
              <w:rPr>
                <w:color w:val="000000"/>
              </w:rPr>
              <w:t>4,2</w:t>
            </w:r>
          </w:p>
        </w:tc>
        <w:tc>
          <w:tcPr>
            <w:tcW w:type="dxa" w:w="2126"/>
            <w:tcBorders>
              <w:top w:color="000000" w:sz="4" w:val="single"/>
              <w:left w:color="000000" w:sz="4" w:val="single"/>
              <w:bottom w:color="000000" w:sz="4" w:val="single"/>
              <w:right w:color="000000" w:sz="4" w:val="single"/>
            </w:tcBorders>
            <w:vAlign w:val="center"/>
          </w:tcPr>
          <w:p w14:paraId="1A030000">
            <w:pPr>
              <w:widowControl w:val="1"/>
              <w:ind w:firstLine="39"/>
              <w:contextualSpacing w:val="1"/>
              <w:jc w:val="center"/>
              <w:rPr>
                <w:color w:val="000000"/>
              </w:rPr>
            </w:pPr>
            <w:r>
              <w:rPr>
                <w:color w:val="000000"/>
              </w:rPr>
              <w:t>4,2</w:t>
            </w:r>
          </w:p>
        </w:tc>
      </w:tr>
      <w:tr>
        <w:trPr>
          <w:trHeight w:hRule="atLeast" w:val="349"/>
        </w:trPr>
        <w:tc>
          <w:tcPr>
            <w:tcW w:type="dxa" w:w="2982"/>
            <w:tcBorders>
              <w:top w:sz="4" w:val="nil"/>
              <w:left w:color="000000" w:sz="4" w:val="single"/>
              <w:bottom w:color="000000" w:sz="4" w:val="single"/>
              <w:right w:color="000000" w:sz="4" w:val="single"/>
            </w:tcBorders>
            <w:shd w:fill="auto" w:val="clear"/>
            <w:vAlign w:val="center"/>
          </w:tcPr>
          <w:p w14:paraId="1B030000">
            <w:pPr>
              <w:widowControl w:val="1"/>
              <w:ind w:firstLine="39"/>
              <w:contextualSpacing w:val="1"/>
            </w:pPr>
            <w:r>
              <w:t>Поездо/часы</w:t>
            </w:r>
          </w:p>
        </w:tc>
        <w:tc>
          <w:tcPr>
            <w:tcW w:type="dxa" w:w="2552"/>
            <w:tcBorders>
              <w:top w:color="000000" w:sz="4" w:val="single"/>
              <w:left w:color="000000" w:sz="4" w:val="single"/>
              <w:bottom w:color="000000" w:sz="4" w:val="single"/>
              <w:right w:color="000000" w:sz="4" w:val="single"/>
            </w:tcBorders>
            <w:vAlign w:val="center"/>
          </w:tcPr>
          <w:p w14:paraId="1C030000">
            <w:pPr>
              <w:widowControl w:val="1"/>
              <w:ind w:firstLine="39"/>
              <w:contextualSpacing w:val="1"/>
              <w:jc w:val="center"/>
              <w:rPr>
                <w:color w:val="000000"/>
              </w:rPr>
            </w:pPr>
            <w:r>
              <w:rPr>
                <w:color w:val="000000"/>
              </w:rPr>
              <w:t>61 730</w:t>
            </w:r>
          </w:p>
        </w:tc>
        <w:tc>
          <w:tcPr>
            <w:tcW w:type="dxa" w:w="2268"/>
            <w:tcBorders>
              <w:top w:color="000000" w:sz="4" w:val="single"/>
              <w:left w:color="000000" w:sz="4" w:val="single"/>
              <w:bottom w:color="000000" w:sz="4" w:val="single"/>
              <w:right w:color="000000" w:sz="4" w:val="single"/>
            </w:tcBorders>
            <w:vAlign w:val="center"/>
          </w:tcPr>
          <w:p w14:paraId="1D030000">
            <w:pPr>
              <w:widowControl w:val="1"/>
              <w:ind w:firstLine="39"/>
              <w:contextualSpacing w:val="1"/>
              <w:jc w:val="center"/>
              <w:rPr>
                <w:color w:val="000000"/>
              </w:rPr>
            </w:pPr>
            <w:r>
              <w:rPr>
                <w:color w:val="000000"/>
              </w:rPr>
              <w:t>62 532</w:t>
            </w:r>
          </w:p>
        </w:tc>
        <w:tc>
          <w:tcPr>
            <w:tcW w:type="dxa" w:w="2126"/>
            <w:tcBorders>
              <w:top w:color="000000" w:sz="4" w:val="single"/>
              <w:left w:color="000000" w:sz="4" w:val="single"/>
              <w:bottom w:color="000000" w:sz="4" w:val="single"/>
              <w:right w:color="000000" w:sz="4" w:val="single"/>
            </w:tcBorders>
            <w:vAlign w:val="center"/>
          </w:tcPr>
          <w:p w14:paraId="1E030000">
            <w:pPr>
              <w:widowControl w:val="1"/>
              <w:ind w:firstLine="39"/>
              <w:contextualSpacing w:val="1"/>
              <w:jc w:val="center"/>
              <w:rPr>
                <w:color w:val="000000"/>
              </w:rPr>
            </w:pPr>
            <w:r>
              <w:rPr>
                <w:color w:val="000000"/>
              </w:rPr>
              <w:t>64 603</w:t>
            </w:r>
          </w:p>
        </w:tc>
      </w:tr>
      <w:tr>
        <w:trPr>
          <w:trHeight w:hRule="atLeast" w:val="350"/>
        </w:trPr>
        <w:tc>
          <w:tcPr>
            <w:tcW w:type="dxa" w:w="2982"/>
            <w:tcBorders>
              <w:top w:sz="4" w:val="nil"/>
              <w:left w:color="000000" w:sz="4" w:val="single"/>
              <w:bottom w:color="000000" w:sz="4" w:val="single"/>
              <w:right w:color="000000" w:sz="4" w:val="single"/>
            </w:tcBorders>
            <w:shd w:fill="auto" w:val="clear"/>
            <w:vAlign w:val="center"/>
          </w:tcPr>
          <w:p w14:paraId="1F030000">
            <w:pPr>
              <w:widowControl w:val="1"/>
              <w:ind w:firstLine="39"/>
              <w:contextualSpacing w:val="1"/>
            </w:pPr>
            <w:r>
              <w:t>Вагоно/часы</w:t>
            </w:r>
          </w:p>
        </w:tc>
        <w:tc>
          <w:tcPr>
            <w:tcW w:type="dxa" w:w="2552"/>
            <w:tcBorders>
              <w:top w:color="000000" w:sz="4" w:val="single"/>
              <w:left w:color="000000" w:sz="4" w:val="single"/>
              <w:bottom w:color="000000" w:sz="4" w:val="single"/>
              <w:right w:color="000000" w:sz="4" w:val="single"/>
            </w:tcBorders>
            <w:vAlign w:val="center"/>
          </w:tcPr>
          <w:p w14:paraId="20030000">
            <w:pPr>
              <w:widowControl w:val="1"/>
              <w:ind w:firstLine="39"/>
              <w:contextualSpacing w:val="1"/>
              <w:jc w:val="center"/>
              <w:rPr>
                <w:color w:val="000000"/>
              </w:rPr>
            </w:pPr>
            <w:r>
              <w:rPr>
                <w:color w:val="000000"/>
              </w:rPr>
              <w:t>230 447</w:t>
            </w:r>
          </w:p>
        </w:tc>
        <w:tc>
          <w:tcPr>
            <w:tcW w:type="dxa" w:w="2268"/>
            <w:tcBorders>
              <w:top w:color="000000" w:sz="4" w:val="single"/>
              <w:left w:color="000000" w:sz="4" w:val="single"/>
              <w:bottom w:color="000000" w:sz="4" w:val="single"/>
              <w:right w:color="000000" w:sz="4" w:val="single"/>
            </w:tcBorders>
            <w:vAlign w:val="center"/>
          </w:tcPr>
          <w:p w14:paraId="21030000">
            <w:pPr>
              <w:widowControl w:val="1"/>
              <w:ind w:firstLine="39"/>
              <w:contextualSpacing w:val="1"/>
              <w:jc w:val="center"/>
              <w:rPr>
                <w:color w:val="000000"/>
              </w:rPr>
            </w:pPr>
            <w:r>
              <w:rPr>
                <w:color w:val="000000"/>
              </w:rPr>
              <w:t>230 9</w:t>
            </w:r>
            <w:r>
              <w:rPr>
                <w:color w:val="000000"/>
              </w:rPr>
              <w:t>85</w:t>
            </w:r>
          </w:p>
        </w:tc>
        <w:tc>
          <w:tcPr>
            <w:tcW w:type="dxa" w:w="2126"/>
            <w:tcBorders>
              <w:top w:color="000000" w:sz="4" w:val="single"/>
              <w:left w:color="000000" w:sz="4" w:val="single"/>
              <w:bottom w:color="000000" w:sz="4" w:val="single"/>
              <w:right w:color="000000" w:sz="4" w:val="single"/>
            </w:tcBorders>
            <w:vAlign w:val="center"/>
          </w:tcPr>
          <w:p w14:paraId="22030000">
            <w:pPr>
              <w:widowControl w:val="1"/>
              <w:ind w:firstLine="39"/>
              <w:contextualSpacing w:val="1"/>
              <w:jc w:val="center"/>
              <w:rPr>
                <w:color w:val="000000"/>
              </w:rPr>
            </w:pPr>
            <w:r>
              <w:rPr>
                <w:color w:val="000000"/>
              </w:rPr>
              <w:t>238 107</w:t>
            </w:r>
          </w:p>
        </w:tc>
      </w:tr>
      <w:tr>
        <w:trPr>
          <w:trHeight w:hRule="atLeast" w:val="350"/>
        </w:trPr>
        <w:tc>
          <w:tcPr>
            <w:tcW w:type="dxa" w:w="2982"/>
            <w:tcBorders>
              <w:top w:color="000000" w:sz="4" w:val="single"/>
              <w:left w:color="000000" w:sz="4" w:val="single"/>
              <w:bottom w:color="000000" w:sz="4" w:val="single"/>
              <w:right w:color="000000" w:sz="4" w:val="single"/>
            </w:tcBorders>
            <w:shd w:fill="auto" w:val="clear"/>
            <w:vAlign w:val="center"/>
          </w:tcPr>
          <w:p w14:paraId="23030000">
            <w:pPr>
              <w:widowControl w:val="1"/>
              <w:ind w:firstLine="39"/>
              <w:contextualSpacing w:val="1"/>
            </w:pPr>
            <w:r>
              <w:t>Объем произведенных работ (перевозка пассажиров), тыс. пасс.</w:t>
            </w:r>
          </w:p>
        </w:tc>
        <w:tc>
          <w:tcPr>
            <w:tcW w:type="dxa" w:w="2552"/>
            <w:tcBorders>
              <w:top w:color="000000" w:sz="4" w:val="single"/>
              <w:left w:color="000000" w:sz="4" w:val="single"/>
              <w:bottom w:color="000000" w:sz="4" w:val="single"/>
              <w:right w:color="000000" w:sz="4" w:val="single"/>
            </w:tcBorders>
            <w:vAlign w:val="center"/>
          </w:tcPr>
          <w:p w14:paraId="24030000">
            <w:pPr>
              <w:widowControl w:val="1"/>
              <w:ind w:firstLine="39"/>
              <w:contextualSpacing w:val="1"/>
              <w:jc w:val="center"/>
              <w:rPr>
                <w:color w:val="000000"/>
              </w:rPr>
            </w:pPr>
            <w:r>
              <w:rPr>
                <w:color w:val="000000"/>
              </w:rPr>
              <w:t>6 147</w:t>
            </w:r>
          </w:p>
        </w:tc>
        <w:tc>
          <w:tcPr>
            <w:tcW w:type="dxa" w:w="2268"/>
            <w:tcBorders>
              <w:top w:color="000000" w:sz="4" w:val="single"/>
              <w:left w:color="000000" w:sz="4" w:val="single"/>
              <w:bottom w:color="000000" w:sz="4" w:val="single"/>
              <w:right w:color="000000" w:sz="4" w:val="single"/>
            </w:tcBorders>
            <w:vAlign w:val="center"/>
          </w:tcPr>
          <w:p w14:paraId="25030000">
            <w:pPr>
              <w:widowControl w:val="1"/>
              <w:ind w:firstLine="39"/>
              <w:contextualSpacing w:val="1"/>
              <w:jc w:val="center"/>
              <w:rPr>
                <w:color w:val="000000"/>
              </w:rPr>
            </w:pPr>
            <w:r>
              <w:rPr>
                <w:color w:val="000000"/>
              </w:rPr>
              <w:t>6215,9</w:t>
            </w:r>
          </w:p>
        </w:tc>
        <w:tc>
          <w:tcPr>
            <w:tcW w:type="dxa" w:w="2126"/>
            <w:tcBorders>
              <w:top w:color="000000" w:sz="4" w:val="single"/>
              <w:left w:color="000000" w:sz="4" w:val="single"/>
              <w:bottom w:color="000000" w:sz="4" w:val="single"/>
              <w:right w:color="000000" w:sz="4" w:val="single"/>
            </w:tcBorders>
            <w:vAlign w:val="center"/>
          </w:tcPr>
          <w:p w14:paraId="26030000">
            <w:pPr>
              <w:widowControl w:val="1"/>
              <w:ind w:firstLine="39"/>
              <w:contextualSpacing w:val="1"/>
              <w:jc w:val="center"/>
              <w:rPr>
                <w:color w:val="000000"/>
              </w:rPr>
            </w:pPr>
            <w:r>
              <w:rPr>
                <w:color w:val="000000"/>
              </w:rPr>
              <w:t>6499,1</w:t>
            </w:r>
          </w:p>
        </w:tc>
      </w:tr>
      <w:tr>
        <w:trPr>
          <w:trHeight w:hRule="atLeast" w:val="350"/>
        </w:trPr>
        <w:tc>
          <w:tcPr>
            <w:tcW w:type="dxa" w:w="2982"/>
            <w:tcBorders>
              <w:top w:color="000000" w:sz="4" w:val="single"/>
              <w:left w:color="000000" w:sz="4" w:val="single"/>
              <w:bottom w:color="000000" w:sz="4" w:val="single"/>
              <w:right w:color="000000" w:sz="4" w:val="single"/>
            </w:tcBorders>
            <w:shd w:fill="auto" w:val="clear"/>
            <w:vAlign w:val="center"/>
          </w:tcPr>
          <w:p w14:paraId="27030000">
            <w:pPr>
              <w:widowControl w:val="1"/>
              <w:ind w:firstLine="39"/>
              <w:contextualSpacing w:val="1"/>
            </w:pPr>
            <w:r>
              <w:t>Пассажирооборот, млн.пасс-км</w:t>
            </w:r>
          </w:p>
        </w:tc>
        <w:tc>
          <w:tcPr>
            <w:tcW w:type="dxa" w:w="2552"/>
            <w:tcBorders>
              <w:top w:color="000000" w:sz="4" w:val="single"/>
              <w:left w:color="000000" w:sz="4" w:val="single"/>
              <w:bottom w:color="000000" w:sz="4" w:val="single"/>
              <w:right w:color="000000" w:sz="4" w:val="single"/>
            </w:tcBorders>
            <w:vAlign w:val="center"/>
          </w:tcPr>
          <w:p w14:paraId="28030000">
            <w:pPr>
              <w:widowControl w:val="1"/>
              <w:ind w:firstLine="39"/>
              <w:contextualSpacing w:val="1"/>
              <w:jc w:val="center"/>
              <w:rPr>
                <w:color w:val="000000"/>
              </w:rPr>
            </w:pPr>
            <w:r>
              <w:rPr>
                <w:color w:val="000000"/>
              </w:rPr>
              <w:t>270</w:t>
            </w:r>
          </w:p>
        </w:tc>
        <w:tc>
          <w:tcPr>
            <w:tcW w:type="dxa" w:w="2268"/>
            <w:tcBorders>
              <w:top w:color="000000" w:sz="4" w:val="single"/>
              <w:left w:color="000000" w:sz="4" w:val="single"/>
              <w:bottom w:color="000000" w:sz="4" w:val="single"/>
              <w:right w:color="000000" w:sz="4" w:val="single"/>
            </w:tcBorders>
            <w:vAlign w:val="center"/>
          </w:tcPr>
          <w:p w14:paraId="29030000">
            <w:pPr>
              <w:widowControl w:val="1"/>
              <w:ind w:firstLine="39"/>
              <w:contextualSpacing w:val="1"/>
              <w:jc w:val="center"/>
              <w:rPr>
                <w:color w:val="000000"/>
              </w:rPr>
            </w:pPr>
            <w:r>
              <w:rPr>
                <w:color w:val="000000"/>
              </w:rPr>
              <w:t>270,5</w:t>
            </w:r>
          </w:p>
        </w:tc>
        <w:tc>
          <w:tcPr>
            <w:tcW w:type="dxa" w:w="2126"/>
            <w:tcBorders>
              <w:top w:color="000000" w:sz="4" w:val="single"/>
              <w:left w:color="000000" w:sz="4" w:val="single"/>
              <w:bottom w:color="000000" w:sz="4" w:val="single"/>
              <w:right w:color="000000" w:sz="4" w:val="single"/>
            </w:tcBorders>
            <w:vAlign w:val="center"/>
          </w:tcPr>
          <w:p w14:paraId="2A030000">
            <w:pPr>
              <w:widowControl w:val="1"/>
              <w:ind w:firstLine="39"/>
              <w:contextualSpacing w:val="1"/>
              <w:jc w:val="center"/>
              <w:rPr>
                <w:color w:val="000000"/>
              </w:rPr>
            </w:pPr>
            <w:r>
              <w:rPr>
                <w:color w:val="000000"/>
              </w:rPr>
              <w:t>277,4</w:t>
            </w:r>
          </w:p>
        </w:tc>
      </w:tr>
      <w:tr>
        <w:trPr>
          <w:trHeight w:hRule="atLeast" w:val="350"/>
        </w:trPr>
        <w:tc>
          <w:tcPr>
            <w:tcW w:type="dxa" w:w="2982"/>
            <w:tcBorders>
              <w:top w:color="000000" w:sz="4" w:val="single"/>
              <w:left w:color="000000" w:sz="4" w:val="single"/>
              <w:bottom w:color="000000" w:sz="4" w:val="single"/>
              <w:right w:color="000000" w:sz="4" w:val="single"/>
            </w:tcBorders>
            <w:shd w:fill="auto" w:val="clear"/>
            <w:vAlign w:val="center"/>
          </w:tcPr>
          <w:p w14:paraId="2B030000">
            <w:pPr>
              <w:widowControl w:val="1"/>
              <w:ind w:firstLine="39"/>
              <w:contextualSpacing w:val="1"/>
            </w:pPr>
            <w:r>
              <w:t>Населенность, чел./ваг.</w:t>
            </w:r>
          </w:p>
        </w:tc>
        <w:tc>
          <w:tcPr>
            <w:tcW w:type="dxa" w:w="2552"/>
            <w:tcBorders>
              <w:top w:color="000000" w:sz="4" w:val="single"/>
              <w:left w:color="000000" w:sz="4" w:val="single"/>
              <w:bottom w:color="000000" w:sz="4" w:val="single"/>
              <w:right w:color="000000" w:sz="4" w:val="single"/>
            </w:tcBorders>
            <w:vAlign w:val="center"/>
          </w:tcPr>
          <w:p w14:paraId="2C030000">
            <w:pPr>
              <w:widowControl w:val="1"/>
              <w:ind w:firstLine="39"/>
              <w:contextualSpacing w:val="1"/>
              <w:jc w:val="center"/>
              <w:rPr>
                <w:color w:val="000000"/>
              </w:rPr>
            </w:pPr>
            <w:r>
              <w:rPr>
                <w:color w:val="000000"/>
              </w:rPr>
              <w:t>24</w:t>
            </w:r>
          </w:p>
        </w:tc>
        <w:tc>
          <w:tcPr>
            <w:tcW w:type="dxa" w:w="2268"/>
            <w:tcBorders>
              <w:top w:color="000000" w:sz="4" w:val="single"/>
              <w:left w:color="000000" w:sz="4" w:val="single"/>
              <w:bottom w:color="000000" w:sz="4" w:val="single"/>
              <w:right w:color="000000" w:sz="4" w:val="single"/>
            </w:tcBorders>
            <w:vAlign w:val="center"/>
          </w:tcPr>
          <w:p w14:paraId="2D030000">
            <w:pPr>
              <w:widowControl w:val="1"/>
              <w:ind w:firstLine="39"/>
              <w:contextualSpacing w:val="1"/>
              <w:jc w:val="center"/>
              <w:rPr>
                <w:color w:val="000000"/>
              </w:rPr>
            </w:pPr>
            <w:r>
              <w:rPr>
                <w:color w:val="000000"/>
              </w:rPr>
              <w:t>23,7</w:t>
            </w:r>
          </w:p>
        </w:tc>
        <w:tc>
          <w:tcPr>
            <w:tcW w:type="dxa" w:w="2126"/>
            <w:tcBorders>
              <w:top w:color="000000" w:sz="4" w:val="single"/>
              <w:left w:color="000000" w:sz="4" w:val="single"/>
              <w:bottom w:color="000000" w:sz="4" w:val="single"/>
              <w:right w:color="000000" w:sz="4" w:val="single"/>
            </w:tcBorders>
            <w:vAlign w:val="center"/>
          </w:tcPr>
          <w:p w14:paraId="2E030000">
            <w:pPr>
              <w:widowControl w:val="1"/>
              <w:ind w:firstLine="39"/>
              <w:contextualSpacing w:val="1"/>
              <w:jc w:val="center"/>
              <w:rPr>
                <w:color w:val="000000"/>
              </w:rPr>
            </w:pPr>
            <w:r>
              <w:rPr>
                <w:color w:val="000000"/>
              </w:rPr>
              <w:t>23,8</w:t>
            </w:r>
          </w:p>
        </w:tc>
      </w:tr>
      <w:tr>
        <w:trPr>
          <w:trHeight w:hRule="atLeast" w:val="350"/>
        </w:trPr>
        <w:tc>
          <w:tcPr>
            <w:tcW w:type="dxa" w:w="2982"/>
            <w:tcBorders>
              <w:top w:color="000000" w:sz="4" w:val="single"/>
              <w:left w:color="000000" w:sz="4" w:val="single"/>
              <w:bottom w:color="000000" w:sz="4" w:val="single"/>
              <w:right w:color="000000" w:sz="4" w:val="single"/>
            </w:tcBorders>
            <w:shd w:fill="auto" w:val="clear"/>
            <w:vAlign w:val="center"/>
          </w:tcPr>
          <w:p w14:paraId="2F030000">
            <w:pPr>
              <w:widowControl w:val="1"/>
              <w:ind w:firstLine="39"/>
              <w:contextualSpacing w:val="1"/>
            </w:pPr>
            <w:r>
              <w:t>Производительность труда на 1 работника (без учета прочих доходов, субсидий), тыс.руб./чел.</w:t>
            </w:r>
          </w:p>
        </w:tc>
        <w:tc>
          <w:tcPr>
            <w:tcW w:type="dxa" w:w="2552"/>
            <w:tcBorders>
              <w:top w:color="000000" w:sz="4" w:val="single"/>
              <w:left w:color="000000" w:sz="4" w:val="single"/>
              <w:bottom w:color="000000" w:sz="4" w:val="single"/>
              <w:right w:color="000000" w:sz="4" w:val="single"/>
            </w:tcBorders>
            <w:vAlign w:val="center"/>
          </w:tcPr>
          <w:p w14:paraId="30030000">
            <w:pPr>
              <w:widowControl w:val="1"/>
              <w:ind w:firstLine="39"/>
              <w:contextualSpacing w:val="1"/>
              <w:jc w:val="center"/>
              <w:rPr>
                <w:color w:val="000000"/>
              </w:rPr>
            </w:pPr>
            <w:r>
              <w:rPr>
                <w:color w:val="000000"/>
              </w:rPr>
              <w:t>970</w:t>
            </w:r>
          </w:p>
        </w:tc>
        <w:tc>
          <w:tcPr>
            <w:tcW w:type="dxa" w:w="2268"/>
            <w:tcBorders>
              <w:top w:color="000000" w:sz="4" w:val="single"/>
              <w:left w:color="000000" w:sz="4" w:val="single"/>
              <w:bottom w:color="000000" w:sz="4" w:val="single"/>
              <w:right w:color="000000" w:sz="4" w:val="single"/>
            </w:tcBorders>
            <w:vAlign w:val="center"/>
          </w:tcPr>
          <w:p w14:paraId="31030000">
            <w:pPr>
              <w:widowControl w:val="1"/>
              <w:ind w:firstLine="39"/>
              <w:contextualSpacing w:val="1"/>
              <w:jc w:val="center"/>
              <w:rPr>
                <w:color w:val="000000"/>
              </w:rPr>
            </w:pPr>
            <w:r>
              <w:rPr>
                <w:color w:val="000000"/>
              </w:rPr>
              <w:t>1 001</w:t>
            </w:r>
          </w:p>
        </w:tc>
        <w:tc>
          <w:tcPr>
            <w:tcW w:type="dxa" w:w="2126"/>
            <w:tcBorders>
              <w:top w:color="000000" w:sz="4" w:val="single"/>
              <w:left w:color="000000" w:sz="4" w:val="single"/>
              <w:bottom w:color="000000" w:sz="4" w:val="single"/>
              <w:right w:color="000000" w:sz="4" w:val="single"/>
            </w:tcBorders>
            <w:vAlign w:val="center"/>
          </w:tcPr>
          <w:p w14:paraId="32030000">
            <w:pPr>
              <w:widowControl w:val="1"/>
              <w:ind w:firstLine="39"/>
              <w:contextualSpacing w:val="1"/>
              <w:jc w:val="center"/>
              <w:rPr>
                <w:color w:val="000000"/>
              </w:rPr>
            </w:pPr>
            <w:r>
              <w:rPr>
                <w:color w:val="000000"/>
              </w:rPr>
              <w:t>1 032</w:t>
            </w:r>
            <w:r>
              <w:rPr>
                <w:color w:val="000000"/>
              </w:rPr>
              <w:t> </w:t>
            </w:r>
          </w:p>
        </w:tc>
      </w:tr>
    </w:tbl>
    <w:p w14:paraId="33030000">
      <w:pPr>
        <w:widowControl w:val="1"/>
        <w:tabs>
          <w:tab w:leader="none" w:pos="720" w:val="left"/>
        </w:tabs>
        <w:spacing w:line="360" w:lineRule="auto"/>
        <w:ind w:firstLine="709"/>
        <w:contextualSpacing w:val="1"/>
        <w:jc w:val="both"/>
      </w:pPr>
    </w:p>
    <w:p w14:paraId="34030000">
      <w:pPr>
        <w:widowControl w:val="1"/>
        <w:tabs>
          <w:tab w:leader="none" w:pos="0" w:val="left"/>
        </w:tabs>
        <w:spacing w:line="360" w:lineRule="auto"/>
        <w:ind w:firstLine="709"/>
        <w:contextualSpacing w:val="1"/>
        <w:jc w:val="both"/>
      </w:pPr>
      <w:r>
        <w:t>Объем выполненных работ за 201</w:t>
      </w:r>
      <w:r>
        <w:t>8</w:t>
      </w:r>
      <w:r>
        <w:t xml:space="preserve"> год составил </w:t>
      </w:r>
      <w:r>
        <w:t>11 673,6</w:t>
      </w:r>
      <w:r>
        <w:t xml:space="preserve">  тыс.ваг-км., </w:t>
      </w:r>
      <w:r>
        <w:t>102,1</w:t>
      </w:r>
      <w:r>
        <w:t xml:space="preserve">% к плану и </w:t>
      </w:r>
      <w:r>
        <w:t>102,1</w:t>
      </w:r>
      <w:r>
        <w:t>% к 201</w:t>
      </w:r>
      <w:r>
        <w:t>7</w:t>
      </w:r>
      <w:r>
        <w:t xml:space="preserve"> году, в том числе:</w:t>
      </w:r>
    </w:p>
    <w:p w14:paraId="35030000">
      <w:pPr>
        <w:widowControl w:val="1"/>
        <w:tabs>
          <w:tab w:leader="none" w:pos="0" w:val="left"/>
        </w:tabs>
        <w:spacing w:line="360" w:lineRule="auto"/>
        <w:ind w:firstLine="709"/>
        <w:contextualSpacing w:val="1"/>
        <w:jc w:val="both"/>
      </w:pPr>
      <w:r>
        <w:t xml:space="preserve">- по регулируемому тарифу - </w:t>
      </w:r>
      <w:r>
        <w:t>11 660,8</w:t>
      </w:r>
      <w:r>
        <w:t xml:space="preserve"> тыс.ваг-км., </w:t>
      </w:r>
    </w:p>
    <w:p w14:paraId="36030000">
      <w:pPr>
        <w:widowControl w:val="1"/>
        <w:tabs>
          <w:tab w:leader="none" w:pos="0" w:val="left"/>
        </w:tabs>
        <w:spacing w:line="360" w:lineRule="auto"/>
        <w:ind w:firstLine="709"/>
        <w:contextualSpacing w:val="1"/>
        <w:jc w:val="both"/>
      </w:pPr>
      <w:r>
        <w:t>-</w:t>
      </w:r>
      <w:r>
        <w:t xml:space="preserve"> </w:t>
      </w:r>
      <w:r>
        <w:t>по нерегулируемому тарифу</w:t>
      </w:r>
      <w:r>
        <w:t xml:space="preserve"> (туристический поезд)</w:t>
      </w:r>
      <w:r>
        <w:t xml:space="preserve"> - </w:t>
      </w:r>
      <w:r>
        <w:t>12</w:t>
      </w:r>
      <w:r>
        <w:t>,8</w:t>
      </w:r>
      <w:r>
        <w:t xml:space="preserve"> тыс.ваг-км.</w:t>
      </w:r>
    </w:p>
    <w:p w14:paraId="37030000">
      <w:pPr>
        <w:widowControl w:val="1"/>
        <w:tabs>
          <w:tab w:leader="none" w:pos="0" w:val="left"/>
        </w:tabs>
        <w:spacing w:line="360" w:lineRule="auto"/>
        <w:ind w:firstLine="709"/>
        <w:contextualSpacing w:val="1"/>
        <w:jc w:val="right"/>
      </w:pPr>
      <w:r>
        <w:t>Диаграмма 4.1.</w:t>
      </w:r>
    </w:p>
    <w:p w14:paraId="38030000">
      <w:pPr>
        <w:widowControl w:val="1"/>
        <w:tabs>
          <w:tab w:leader="none" w:pos="0" w:val="left"/>
        </w:tabs>
        <w:spacing w:line="360" w:lineRule="auto"/>
        <w:ind w:firstLine="709"/>
        <w:contextualSpacing w:val="1"/>
        <w:jc w:val="right"/>
      </w:pPr>
    </w:p>
    <w:p w14:paraId="39030000">
      <w:pPr>
        <w:widowControl w:val="1"/>
        <w:tabs>
          <w:tab w:leader="none" w:pos="0" w:val="left"/>
        </w:tabs>
        <w:spacing w:line="360" w:lineRule="auto"/>
        <w:ind w:firstLine="709"/>
        <w:contextualSpacing w:val="1"/>
        <w:jc w:val="right"/>
      </w:pPr>
      <w:r>
        <w:drawing>
          <wp:inline>
            <wp:extent cx="5846445" cy="2915793"/>
            <wp:docPr hidden="false" id="5" name="Picture 5"/>
            <a:graphic>
              <a:graphicData uri="http://schemas.openxmlformats.org/drawingml/2006/picture">
                <pic:pic>
                  <pic:nvPicPr>
                    <pic:cNvPr hidden="false" id="6" name="Picture 6"/>
                    <pic:cNvPicPr preferRelativeResize="true"/>
                  </pic:nvPicPr>
                  <pic:blipFill>
                    <a:blip r:embed="rId25"/>
                    <a:srcRect b="-18" l="0" r="0" t="0"/>
                    <a:stretch/>
                  </pic:blipFill>
                  <pic:spPr>
                    <a:xfrm flipH="false" flipV="false" rot="0">
                      <a:ext cx="5846445" cy="2915793"/>
                    </a:xfrm>
                    <a:prstGeom prst="rect"/>
                  </pic:spPr>
                </pic:pic>
              </a:graphicData>
            </a:graphic>
          </wp:inline>
        </w:drawing>
      </w:r>
    </w:p>
    <w:p w14:paraId="3A030000">
      <w:pPr>
        <w:widowControl w:val="1"/>
        <w:spacing w:line="360" w:lineRule="auto"/>
        <w:ind w:firstLine="709"/>
        <w:contextualSpacing w:val="1"/>
        <w:jc w:val="both"/>
      </w:pPr>
      <w:r>
        <w:t>Средняя составность за 2018 год по Красноярской железной дороге составила 4,2 вагона, 101,1% к плану, 100 % к аналогичному периоду прошлого года, в том числе средняя составность мотор-вагонного подвижного состава за 2018 год – 4,6 вагона или 99,8% к аналогичному периоду прошлого года, составность вагонов на тепловозной тяге - 1,5 вагона, 100% к аналогичному периоду 2017 года.</w:t>
      </w:r>
      <w:r>
        <w:rPr>
          <w:b w:val="1"/>
          <w:i w:val="1"/>
        </w:rPr>
        <w:t xml:space="preserve"> </w:t>
      </w:r>
      <w:r>
        <w:t>Расписание пригородных поездов составлено с учетом режима работы промышле</w:t>
      </w:r>
      <w:r>
        <w:t>н</w:t>
      </w:r>
      <w:r>
        <w:t>ных предприятий и городского транспорта.</w:t>
      </w:r>
    </w:p>
    <w:p w14:paraId="3B030000">
      <w:pPr>
        <w:widowControl w:val="1"/>
        <w:tabs>
          <w:tab w:leader="none" w:pos="0" w:val="left"/>
        </w:tabs>
        <w:spacing w:line="360" w:lineRule="auto"/>
        <w:ind w:firstLine="709"/>
        <w:contextualSpacing w:val="1"/>
        <w:jc w:val="both"/>
      </w:pPr>
      <w:r>
        <w:rPr>
          <w:b w:val="1"/>
        </w:rPr>
        <w:t xml:space="preserve">Объем выполненных работ </w:t>
      </w:r>
      <w:r>
        <w:t>за 201</w:t>
      </w:r>
      <w:r>
        <w:t>8</w:t>
      </w:r>
      <w:r>
        <w:t xml:space="preserve"> год составил </w:t>
      </w:r>
      <w:r>
        <w:t xml:space="preserve">6 499 </w:t>
      </w:r>
      <w:r>
        <w:t xml:space="preserve">тысяч отправленных пассажиров, </w:t>
      </w:r>
      <w:r>
        <w:t>105,</w:t>
      </w:r>
      <w:r>
        <w:t>7</w:t>
      </w:r>
      <w:r>
        <w:t>% к плану, 10</w:t>
      </w:r>
      <w:r>
        <w:t>4,</w:t>
      </w:r>
      <w:r>
        <w:t>6</w:t>
      </w:r>
      <w:r>
        <w:t>% к прошлому году</w:t>
      </w:r>
    </w:p>
    <w:p w14:paraId="3C030000">
      <w:pPr>
        <w:widowControl w:val="1"/>
        <w:tabs>
          <w:tab w:leader="none" w:pos="0" w:val="left"/>
        </w:tabs>
        <w:spacing w:line="360" w:lineRule="auto"/>
        <w:ind w:firstLine="709"/>
        <w:contextualSpacing w:val="1"/>
        <w:jc w:val="both"/>
      </w:pPr>
      <w:r>
        <w:t>В границах Красноярской железной дороги динамика отправленных пассажиров  за 201</w:t>
      </w:r>
      <w:r>
        <w:t>6</w:t>
      </w:r>
      <w:r>
        <w:t>-201</w:t>
      </w:r>
      <w:r>
        <w:t>8</w:t>
      </w:r>
      <w:r>
        <w:t xml:space="preserve"> </w:t>
      </w:r>
      <w:r>
        <w:t>год</w:t>
      </w:r>
      <w:r>
        <w:t>ы</w:t>
      </w:r>
      <w:r>
        <w:t xml:space="preserve"> представлена на диаграмме 4.</w:t>
      </w:r>
      <w:r>
        <w:t>2</w:t>
      </w:r>
      <w:r>
        <w:t>.</w:t>
      </w:r>
    </w:p>
    <w:p w14:paraId="3D030000">
      <w:pPr>
        <w:widowControl w:val="1"/>
        <w:tabs>
          <w:tab w:leader="none" w:pos="0" w:val="left"/>
        </w:tabs>
        <w:spacing w:line="360" w:lineRule="auto"/>
        <w:ind w:firstLine="709"/>
        <w:contextualSpacing w:val="1"/>
        <w:jc w:val="right"/>
      </w:pPr>
      <w:r>
        <w:t>Диаграмма 4.</w:t>
      </w:r>
      <w:r>
        <w:t>2</w:t>
      </w:r>
      <w:r>
        <w:t>.</w:t>
      </w:r>
    </w:p>
    <w:p w14:paraId="3E030000">
      <w:pPr>
        <w:widowControl w:val="1"/>
        <w:tabs>
          <w:tab w:leader="none" w:pos="0" w:val="left"/>
        </w:tabs>
        <w:spacing w:line="360" w:lineRule="auto"/>
        <w:ind w:firstLine="709"/>
        <w:contextualSpacing w:val="1"/>
        <w:jc w:val="right"/>
      </w:pPr>
      <w:r>
        <w:drawing>
          <wp:inline>
            <wp:extent cx="5663565" cy="3968750"/>
            <wp:docPr hidden="false" id="7" name="Picture 7"/>
            <a:graphic>
              <a:graphicData uri="http://schemas.openxmlformats.org/drawingml/2006/picture">
                <pic:pic>
                  <pic:nvPicPr>
                    <pic:cNvPr hidden="false" id="8" name="Picture 8"/>
                    <pic:cNvPicPr preferRelativeResize="true"/>
                  </pic:nvPicPr>
                  <pic:blipFill>
                    <a:blip r:embed="rId26"/>
                    <a:srcRect b="0" l="0" r="0" t="0"/>
                    <a:stretch/>
                  </pic:blipFill>
                  <pic:spPr>
                    <a:xfrm flipH="false" flipV="false" rot="0">
                      <a:ext cx="5663565" cy="3968750"/>
                    </a:xfrm>
                    <a:prstGeom prst="rect"/>
                  </pic:spPr>
                </pic:pic>
              </a:graphicData>
            </a:graphic>
          </wp:inline>
        </w:drawing>
      </w:r>
    </w:p>
    <w:p w14:paraId="3F030000">
      <w:pPr>
        <w:widowControl w:val="1"/>
        <w:tabs>
          <w:tab w:leader="none" w:pos="0" w:val="left"/>
        </w:tabs>
        <w:spacing w:line="360" w:lineRule="auto"/>
        <w:ind w:firstLine="709"/>
        <w:contextualSpacing w:val="1"/>
        <w:jc w:val="right"/>
      </w:pPr>
    </w:p>
    <w:p w14:paraId="40030000">
      <w:pPr>
        <w:widowControl w:val="1"/>
        <w:tabs>
          <w:tab w:leader="none" w:pos="0" w:val="left"/>
        </w:tabs>
        <w:spacing w:line="360" w:lineRule="auto"/>
        <w:ind w:firstLine="709"/>
        <w:contextualSpacing w:val="1"/>
        <w:jc w:val="right"/>
      </w:pPr>
    </w:p>
    <w:p w14:paraId="41030000">
      <w:pPr>
        <w:widowControl w:val="1"/>
        <w:tabs>
          <w:tab w:leader="none" w:pos="0" w:val="left"/>
        </w:tabs>
        <w:spacing w:line="360" w:lineRule="auto"/>
        <w:ind w:firstLine="709"/>
        <w:contextualSpacing w:val="1"/>
        <w:jc w:val="both"/>
      </w:pPr>
      <w:r>
        <w:t xml:space="preserve">Наибольший удельный вес в структуре отправленных пассажиров в границах Красноярской железной дороги составляют платные пассажиры - </w:t>
      </w:r>
      <w:r>
        <w:t>54.6</w:t>
      </w:r>
      <w:r>
        <w:t>%.</w:t>
      </w:r>
    </w:p>
    <w:p w14:paraId="42030000">
      <w:pPr>
        <w:pStyle w:val="Style_15"/>
        <w:widowControl w:val="1"/>
        <w:numPr>
          <w:ilvl w:val="0"/>
          <w:numId w:val="8"/>
        </w:numPr>
        <w:tabs>
          <w:tab w:leader="none" w:pos="0" w:val="left"/>
        </w:tabs>
        <w:spacing w:after="0" w:line="360" w:lineRule="auto"/>
        <w:ind w:firstLine="709" w:left="0"/>
        <w:jc w:val="both"/>
        <w:rPr>
          <w:rFonts w:ascii="Times New Roman" w:hAnsi="Times New Roman"/>
          <w:sz w:val="24"/>
        </w:rPr>
      </w:pPr>
      <w:r>
        <w:rPr>
          <w:rFonts w:ascii="Times New Roman" w:hAnsi="Times New Roman"/>
          <w:b w:val="1"/>
          <w:sz w:val="24"/>
        </w:rPr>
        <w:t>платных пассажиров</w:t>
      </w:r>
      <w:r>
        <w:rPr>
          <w:rFonts w:ascii="Times New Roman" w:hAnsi="Times New Roman"/>
          <w:sz w:val="24"/>
        </w:rPr>
        <w:t xml:space="preserve"> перевезено 3 </w:t>
      </w:r>
      <w:r>
        <w:rPr>
          <w:rFonts w:ascii="Times New Roman" w:hAnsi="Times New Roman"/>
          <w:sz w:val="24"/>
        </w:rPr>
        <w:t>551,7</w:t>
      </w:r>
      <w:r>
        <w:rPr>
          <w:rFonts w:ascii="Times New Roman" w:hAnsi="Times New Roman"/>
          <w:sz w:val="24"/>
        </w:rPr>
        <w:t xml:space="preserve"> тыс. пассажиров или 10</w:t>
      </w:r>
      <w:r>
        <w:rPr>
          <w:rFonts w:ascii="Times New Roman" w:hAnsi="Times New Roman"/>
          <w:sz w:val="24"/>
        </w:rPr>
        <w:t>9</w:t>
      </w:r>
      <w:r>
        <w:rPr>
          <w:rFonts w:ascii="Times New Roman" w:hAnsi="Times New Roman"/>
          <w:sz w:val="24"/>
        </w:rPr>
        <w:t>% к плану, 10</w:t>
      </w:r>
      <w:r>
        <w:rPr>
          <w:rFonts w:ascii="Times New Roman" w:hAnsi="Times New Roman"/>
          <w:sz w:val="24"/>
        </w:rPr>
        <w:t>7</w:t>
      </w:r>
      <w:r>
        <w:rPr>
          <w:rFonts w:ascii="Times New Roman" w:hAnsi="Times New Roman"/>
          <w:sz w:val="24"/>
        </w:rPr>
        <w:t xml:space="preserve">% к прошлому году, в том числе по регулируемому тарифу перевезено </w:t>
      </w:r>
      <w:r>
        <w:rPr>
          <w:rFonts w:ascii="Times New Roman" w:hAnsi="Times New Roman"/>
          <w:sz w:val="24"/>
        </w:rPr>
        <w:t>3 542,5</w:t>
      </w:r>
      <w:r>
        <w:rPr>
          <w:rFonts w:ascii="Times New Roman" w:hAnsi="Times New Roman"/>
          <w:sz w:val="24"/>
        </w:rPr>
        <w:t xml:space="preserve"> тыс.пассажиров </w:t>
      </w:r>
      <w:r>
        <w:rPr>
          <w:rFonts w:ascii="Times New Roman" w:hAnsi="Times New Roman"/>
          <w:sz w:val="24"/>
        </w:rPr>
        <w:t>109,2</w:t>
      </w:r>
      <w:r>
        <w:rPr>
          <w:rFonts w:ascii="Times New Roman" w:hAnsi="Times New Roman"/>
          <w:sz w:val="24"/>
        </w:rPr>
        <w:t xml:space="preserve">% к плану, </w:t>
      </w:r>
      <w:r>
        <w:rPr>
          <w:rFonts w:ascii="Times New Roman" w:hAnsi="Times New Roman"/>
          <w:sz w:val="24"/>
        </w:rPr>
        <w:t>107</w:t>
      </w:r>
      <w:r>
        <w:rPr>
          <w:rFonts w:ascii="Times New Roman" w:hAnsi="Times New Roman"/>
          <w:sz w:val="24"/>
        </w:rPr>
        <w:t>% к аналогичному периоду прошлого года</w:t>
      </w:r>
      <w:r>
        <w:rPr>
          <w:rFonts w:ascii="Times New Roman" w:hAnsi="Times New Roman"/>
          <w:sz w:val="24"/>
        </w:rPr>
        <w:t>.</w:t>
      </w:r>
    </w:p>
    <w:p w14:paraId="43030000">
      <w:pPr>
        <w:pStyle w:val="Style_15"/>
        <w:widowControl w:val="1"/>
        <w:numPr>
          <w:ilvl w:val="0"/>
          <w:numId w:val="8"/>
        </w:numPr>
        <w:tabs>
          <w:tab w:leader="none" w:pos="0" w:val="left"/>
        </w:tabs>
        <w:spacing w:after="0" w:line="360" w:lineRule="auto"/>
        <w:ind w:firstLine="709" w:left="0"/>
        <w:jc w:val="both"/>
        <w:rPr>
          <w:rFonts w:ascii="Times New Roman" w:hAnsi="Times New Roman"/>
          <w:sz w:val="24"/>
        </w:rPr>
      </w:pPr>
      <w:r>
        <w:rPr>
          <w:rFonts w:ascii="Times New Roman" w:hAnsi="Times New Roman"/>
          <w:sz w:val="24"/>
        </w:rPr>
        <w:t>Пассажиров-получателей социальных услуг</w:t>
      </w:r>
      <w:r>
        <w:rPr>
          <w:rFonts w:ascii="Times New Roman" w:hAnsi="Times New Roman"/>
          <w:b w:val="1"/>
          <w:sz w:val="24"/>
        </w:rPr>
        <w:t xml:space="preserve"> по федеральному закону и военнослужащих</w:t>
      </w:r>
      <w:r>
        <w:rPr>
          <w:rFonts w:ascii="Times New Roman" w:hAnsi="Times New Roman"/>
          <w:sz w:val="24"/>
        </w:rPr>
        <w:t xml:space="preserve"> перевезено </w:t>
      </w:r>
      <w:r>
        <w:rPr>
          <w:rFonts w:ascii="Times New Roman" w:hAnsi="Times New Roman"/>
          <w:sz w:val="24"/>
        </w:rPr>
        <w:t>4</w:t>
      </w:r>
      <w:r>
        <w:rPr>
          <w:rFonts w:ascii="Times New Roman" w:hAnsi="Times New Roman"/>
          <w:sz w:val="24"/>
        </w:rPr>
        <w:t>00</w:t>
      </w:r>
      <w:r>
        <w:rPr>
          <w:rFonts w:ascii="Times New Roman" w:hAnsi="Times New Roman"/>
          <w:sz w:val="24"/>
        </w:rPr>
        <w:t xml:space="preserve"> тыс. пассажиров –</w:t>
      </w:r>
      <w:r>
        <w:rPr>
          <w:rFonts w:ascii="Times New Roman" w:hAnsi="Times New Roman"/>
          <w:sz w:val="24"/>
        </w:rPr>
        <w:t xml:space="preserve"> </w:t>
      </w:r>
      <w:r>
        <w:rPr>
          <w:rFonts w:ascii="Times New Roman" w:hAnsi="Times New Roman"/>
          <w:sz w:val="24"/>
        </w:rPr>
        <w:t>81</w:t>
      </w:r>
      <w:r>
        <w:rPr>
          <w:rFonts w:ascii="Times New Roman" w:hAnsi="Times New Roman"/>
          <w:sz w:val="24"/>
        </w:rPr>
        <w:t>% к плану,  и</w:t>
      </w:r>
      <w:r>
        <w:rPr>
          <w:rFonts w:ascii="Times New Roman" w:hAnsi="Times New Roman"/>
          <w:sz w:val="24"/>
        </w:rPr>
        <w:t xml:space="preserve"> </w:t>
      </w:r>
      <w:r>
        <w:rPr>
          <w:rFonts w:ascii="Times New Roman" w:hAnsi="Times New Roman"/>
          <w:sz w:val="24"/>
        </w:rPr>
        <w:t>86,2</w:t>
      </w:r>
      <w:r>
        <w:rPr>
          <w:rFonts w:ascii="Times New Roman" w:hAnsi="Times New Roman"/>
          <w:sz w:val="24"/>
        </w:rPr>
        <w:t>% к аналогичному периоду прошлого года, что объясняется естественным сокращением населения этой категории граждан, кроме того в силу возрастных  причин  многие федеральные льготники отдают предпочтение льготам в денежном виде.</w:t>
      </w:r>
    </w:p>
    <w:p w14:paraId="44030000">
      <w:pPr>
        <w:pStyle w:val="Style_15"/>
        <w:widowControl w:val="1"/>
        <w:numPr>
          <w:ilvl w:val="0"/>
          <w:numId w:val="8"/>
        </w:numPr>
        <w:spacing w:after="0" w:line="360" w:lineRule="auto"/>
        <w:ind w:firstLine="709" w:left="0"/>
        <w:jc w:val="both"/>
        <w:rPr>
          <w:rFonts w:ascii="Times New Roman" w:hAnsi="Times New Roman"/>
          <w:sz w:val="24"/>
        </w:rPr>
      </w:pPr>
      <w:r>
        <w:rPr>
          <w:rFonts w:ascii="Times New Roman" w:hAnsi="Times New Roman"/>
          <w:sz w:val="24"/>
        </w:rPr>
        <w:t xml:space="preserve">пассажиров, пользующихся </w:t>
      </w:r>
      <w:r>
        <w:rPr>
          <w:rFonts w:ascii="Times New Roman" w:hAnsi="Times New Roman"/>
          <w:b w:val="1"/>
          <w:sz w:val="24"/>
        </w:rPr>
        <w:t>региональными льготами</w:t>
      </w:r>
      <w:r>
        <w:rPr>
          <w:rFonts w:ascii="Times New Roman" w:hAnsi="Times New Roman"/>
          <w:sz w:val="24"/>
        </w:rPr>
        <w:t xml:space="preserve"> (в том числе перевозка студентов и школьников), перевезено </w:t>
      </w:r>
      <w:r>
        <w:rPr>
          <w:rFonts w:ascii="Times New Roman" w:hAnsi="Times New Roman"/>
          <w:sz w:val="24"/>
        </w:rPr>
        <w:t>1 754,3</w:t>
      </w:r>
      <w:r>
        <w:rPr>
          <w:rFonts w:ascii="Times New Roman" w:hAnsi="Times New Roman"/>
          <w:sz w:val="24"/>
        </w:rPr>
        <w:t xml:space="preserve"> тыс. пассажиров, </w:t>
      </w:r>
      <w:r>
        <w:rPr>
          <w:rFonts w:ascii="Times New Roman" w:hAnsi="Times New Roman"/>
          <w:sz w:val="24"/>
        </w:rPr>
        <w:t>104,3</w:t>
      </w:r>
      <w:r>
        <w:rPr>
          <w:rFonts w:ascii="Times New Roman" w:hAnsi="Times New Roman"/>
          <w:sz w:val="24"/>
        </w:rPr>
        <w:t xml:space="preserve">% к плану и </w:t>
      </w:r>
      <w:r>
        <w:rPr>
          <w:rFonts w:ascii="Times New Roman" w:hAnsi="Times New Roman"/>
          <w:sz w:val="24"/>
        </w:rPr>
        <w:t>103,5</w:t>
      </w:r>
      <w:r>
        <w:rPr>
          <w:rFonts w:ascii="Times New Roman" w:hAnsi="Times New Roman"/>
          <w:sz w:val="24"/>
        </w:rPr>
        <w:t xml:space="preserve"> % к аналогичному периоду прошлого года.</w:t>
      </w:r>
    </w:p>
    <w:p w14:paraId="45030000">
      <w:pPr>
        <w:pStyle w:val="Style_15"/>
        <w:widowControl w:val="1"/>
        <w:numPr>
          <w:ilvl w:val="0"/>
          <w:numId w:val="8"/>
        </w:numPr>
        <w:tabs>
          <w:tab w:leader="none" w:pos="0" w:val="left"/>
        </w:tabs>
        <w:spacing w:after="0" w:line="360" w:lineRule="auto"/>
        <w:ind w:firstLine="709" w:left="0"/>
        <w:jc w:val="both"/>
        <w:rPr>
          <w:rFonts w:ascii="Times New Roman" w:hAnsi="Times New Roman"/>
          <w:sz w:val="24"/>
        </w:rPr>
      </w:pPr>
      <w:r>
        <w:rPr>
          <w:rFonts w:ascii="Times New Roman" w:hAnsi="Times New Roman"/>
          <w:b w:val="1"/>
          <w:sz w:val="24"/>
        </w:rPr>
        <w:t>железнодорожников</w:t>
      </w:r>
      <w:r>
        <w:rPr>
          <w:rFonts w:ascii="Times New Roman" w:hAnsi="Times New Roman"/>
          <w:sz w:val="24"/>
        </w:rPr>
        <w:t xml:space="preserve"> перевезено </w:t>
      </w:r>
      <w:r>
        <w:rPr>
          <w:rFonts w:ascii="Times New Roman" w:hAnsi="Times New Roman"/>
          <w:sz w:val="24"/>
        </w:rPr>
        <w:t>793,2</w:t>
      </w:r>
      <w:r>
        <w:rPr>
          <w:rFonts w:ascii="Times New Roman" w:hAnsi="Times New Roman"/>
          <w:sz w:val="24"/>
        </w:rPr>
        <w:t xml:space="preserve"> тыс. пассажиров, </w:t>
      </w:r>
      <w:r>
        <w:rPr>
          <w:rFonts w:ascii="Times New Roman" w:hAnsi="Times New Roman"/>
          <w:sz w:val="24"/>
        </w:rPr>
        <w:t>109,4</w:t>
      </w:r>
      <w:r>
        <w:rPr>
          <w:rFonts w:ascii="Times New Roman" w:hAnsi="Times New Roman"/>
          <w:sz w:val="24"/>
        </w:rPr>
        <w:t xml:space="preserve">% к плану, </w:t>
      </w:r>
      <w:r>
        <w:rPr>
          <w:rFonts w:ascii="Times New Roman" w:hAnsi="Times New Roman"/>
          <w:sz w:val="24"/>
        </w:rPr>
        <w:t>107,4</w:t>
      </w:r>
      <w:r>
        <w:rPr>
          <w:rFonts w:ascii="Times New Roman" w:hAnsi="Times New Roman"/>
          <w:sz w:val="24"/>
        </w:rPr>
        <w:t xml:space="preserve">% к аналогичному периоду прошлого года. </w:t>
      </w:r>
    </w:p>
    <w:p w14:paraId="46030000">
      <w:pPr>
        <w:widowControl w:val="1"/>
        <w:tabs>
          <w:tab w:leader="none" w:pos="0" w:val="left"/>
        </w:tabs>
        <w:spacing w:line="360" w:lineRule="auto"/>
        <w:ind w:firstLine="709"/>
        <w:contextualSpacing w:val="1"/>
        <w:jc w:val="both"/>
      </w:pPr>
      <w:r>
        <w:rPr>
          <w:b w:val="1"/>
        </w:rPr>
        <w:tab/>
      </w:r>
      <w:r>
        <w:rPr>
          <w:b w:val="1"/>
        </w:rPr>
        <w:t>Пассажирооборот</w:t>
      </w:r>
      <w:r>
        <w:t xml:space="preserve"> за  201</w:t>
      </w:r>
      <w:r>
        <w:t>8</w:t>
      </w:r>
      <w:r>
        <w:t xml:space="preserve"> год составил </w:t>
      </w:r>
      <w:r>
        <w:t>277,35</w:t>
      </w:r>
      <w:r>
        <w:t xml:space="preserve"> млн. пасс/км., </w:t>
      </w:r>
      <w:r>
        <w:t>101,5</w:t>
      </w:r>
      <w:r>
        <w:t xml:space="preserve">% к плану, </w:t>
      </w:r>
      <w:r>
        <w:t>102,5</w:t>
      </w:r>
      <w:r>
        <w:t>% к уровню прошлого года, в том числе:</w:t>
      </w:r>
    </w:p>
    <w:p w14:paraId="47030000">
      <w:pPr>
        <w:widowControl w:val="1"/>
        <w:numPr>
          <w:ilvl w:val="0"/>
          <w:numId w:val="9"/>
        </w:numPr>
        <w:tabs>
          <w:tab w:leader="none" w:pos="1134" w:val="left"/>
          <w:tab w:leader="none" w:pos="1639" w:val="clear"/>
        </w:tabs>
        <w:spacing w:line="360" w:lineRule="auto"/>
        <w:ind w:firstLine="709" w:left="0"/>
        <w:contextualSpacing w:val="1"/>
        <w:jc w:val="both"/>
      </w:pPr>
      <w:r>
        <w:t xml:space="preserve">в дерегулируемом секторе (перевозка пассажиров по экскурсионному маршруту  Красноярск-Дивногорск-Красноярск ) пассажирооборот составил </w:t>
      </w:r>
      <w:r>
        <w:t>0,32</w:t>
      </w:r>
      <w:r>
        <w:t xml:space="preserve"> млн.пасс/км.,  </w:t>
      </w:r>
    </w:p>
    <w:p w14:paraId="48030000">
      <w:pPr>
        <w:widowControl w:val="1"/>
        <w:numPr>
          <w:ilvl w:val="0"/>
          <w:numId w:val="9"/>
        </w:numPr>
        <w:tabs>
          <w:tab w:leader="none" w:pos="1134" w:val="left"/>
          <w:tab w:leader="none" w:pos="1639" w:val="clear"/>
        </w:tabs>
        <w:spacing w:line="360" w:lineRule="auto"/>
        <w:ind w:firstLine="709" w:left="0"/>
        <w:contextualSpacing w:val="1"/>
        <w:jc w:val="both"/>
      </w:pPr>
      <w:r>
        <w:t xml:space="preserve">в регулируемом секторе пассажирооборот составил </w:t>
      </w:r>
      <w:r>
        <w:t>277,03</w:t>
      </w:r>
      <w:r>
        <w:t xml:space="preserve"> млн.пасс/км.,  </w:t>
      </w:r>
      <w:r>
        <w:t>101,4% к плану, 102,5% к уровню прошлого года.</w:t>
      </w:r>
    </w:p>
    <w:p w14:paraId="49030000">
      <w:pPr>
        <w:widowControl w:val="1"/>
        <w:tabs>
          <w:tab w:leader="none" w:pos="0" w:val="left"/>
        </w:tabs>
        <w:spacing w:line="360" w:lineRule="auto"/>
        <w:ind w:firstLine="709"/>
        <w:contextualSpacing w:val="1"/>
        <w:jc w:val="both"/>
      </w:pPr>
      <w:r>
        <w:rPr>
          <w:b w:val="1"/>
        </w:rPr>
        <w:t>Населенность</w:t>
      </w:r>
      <w:r>
        <w:t xml:space="preserve"> </w:t>
      </w:r>
      <w:r>
        <w:t>(качественный показатель, который определяется  отношением  пассажирооборота  на вагоно - километровую работу) за 201</w:t>
      </w:r>
      <w:r>
        <w:t xml:space="preserve">8 </w:t>
      </w:r>
      <w:r>
        <w:t>год составила 23,</w:t>
      </w:r>
      <w:r>
        <w:t>8</w:t>
      </w:r>
      <w:r>
        <w:t xml:space="preserve"> человека на вагон </w:t>
      </w:r>
      <w:r>
        <w:t>99,5</w:t>
      </w:r>
      <w:r>
        <w:t xml:space="preserve">% к плану и </w:t>
      </w:r>
      <w:r>
        <w:t>100,4</w:t>
      </w:r>
      <w:r>
        <w:t xml:space="preserve">% к уровню прошлого года. </w:t>
      </w:r>
    </w:p>
    <w:p w14:paraId="4A030000">
      <w:pPr>
        <w:widowControl w:val="1"/>
        <w:tabs>
          <w:tab w:leader="none" w:pos="0" w:val="left"/>
        </w:tabs>
        <w:spacing w:line="360" w:lineRule="auto"/>
        <w:ind w:firstLine="709"/>
        <w:contextualSpacing w:val="1"/>
        <w:jc w:val="both"/>
        <w:rPr>
          <w:b w:val="1"/>
        </w:rPr>
      </w:pPr>
      <w:r>
        <w:t xml:space="preserve"> </w:t>
      </w:r>
      <w:r>
        <w:t xml:space="preserve"> </w:t>
      </w:r>
      <w:r>
        <w:rPr>
          <w:b w:val="1"/>
        </w:rPr>
        <w:t>Производительность</w:t>
      </w:r>
    </w:p>
    <w:p w14:paraId="4B030000">
      <w:pPr>
        <w:widowControl w:val="1"/>
        <w:tabs>
          <w:tab w:leader="none" w:pos="0" w:val="left"/>
        </w:tabs>
        <w:spacing w:line="360" w:lineRule="auto"/>
        <w:ind w:firstLine="709"/>
        <w:contextualSpacing w:val="1"/>
        <w:jc w:val="both"/>
      </w:pPr>
      <w:r>
        <w:t xml:space="preserve">Производительность труда </w:t>
      </w:r>
      <w:r>
        <w:t xml:space="preserve">на пригородных пассажирских перевозках в натуральном выражении за </w:t>
      </w:r>
      <w:r>
        <w:t>201</w:t>
      </w:r>
      <w:r>
        <w:t>8</w:t>
      </w:r>
      <w:r>
        <w:t xml:space="preserve"> год </w:t>
      </w:r>
      <w:r>
        <w:t>составила 0,07</w:t>
      </w:r>
      <w:r>
        <w:t>3</w:t>
      </w:r>
      <w:r>
        <w:t xml:space="preserve"> млн. пасс.км./чел. или </w:t>
      </w:r>
      <w:r>
        <w:t>102,3</w:t>
      </w:r>
      <w:r>
        <w:t>% к плановому показателю</w:t>
      </w:r>
      <w:r>
        <w:t xml:space="preserve"> и 104,3% к уровню прошлого года.</w:t>
      </w:r>
    </w:p>
    <w:p w14:paraId="4C030000">
      <w:pPr>
        <w:widowControl w:val="1"/>
        <w:tabs>
          <w:tab w:leader="none" w:pos="0" w:val="left"/>
        </w:tabs>
        <w:spacing w:line="360" w:lineRule="auto"/>
        <w:ind w:firstLine="709"/>
        <w:contextualSpacing w:val="1"/>
        <w:jc w:val="both"/>
      </w:pPr>
    </w:p>
    <w:p w14:paraId="4D030000">
      <w:bookmarkStart w:id="19" w:name="__RefHeading___18"/>
      <w:bookmarkEnd w:id="19"/>
      <w:pPr>
        <w:pStyle w:val="Style_7"/>
        <w:widowControl w:val="1"/>
        <w:ind/>
        <w:jc w:val="both"/>
        <w:rPr>
          <w:b w:val="1"/>
          <w:color w:val="000000"/>
        </w:rPr>
      </w:pPr>
      <w:r>
        <w:rPr>
          <w:b w:val="1"/>
          <w:color w:val="000000"/>
        </w:rPr>
        <w:t>Раздел 5. Основные показатели бухгалтерской и финансовой о</w:t>
      </w:r>
      <w:r>
        <w:rPr>
          <w:b w:val="1"/>
          <w:color w:val="000000"/>
        </w:rPr>
        <w:t>т</w:t>
      </w:r>
      <w:r>
        <w:rPr>
          <w:b w:val="1"/>
          <w:color w:val="000000"/>
        </w:rPr>
        <w:t>четности Общества</w:t>
      </w:r>
    </w:p>
    <w:p w14:paraId="4E030000">
      <w:pPr>
        <w:pStyle w:val="Style_10"/>
        <w:widowControl w:val="1"/>
        <w:spacing w:after="0" w:before="0"/>
        <w:ind w:firstLine="709"/>
        <w:contextualSpacing w:val="1"/>
        <w:jc w:val="both"/>
        <w:rPr>
          <w:rFonts w:ascii="Times New Roman" w:hAnsi="Times New Roman"/>
          <w:i w:val="0"/>
          <w:sz w:val="24"/>
        </w:rPr>
      </w:pPr>
    </w:p>
    <w:p w14:paraId="4F030000">
      <w:bookmarkStart w:id="20" w:name="__RefHeading___19"/>
      <w:bookmarkEnd w:id="20"/>
      <w:pPr>
        <w:pStyle w:val="Style_10"/>
        <w:widowControl w:val="1"/>
        <w:spacing w:after="0" w:before="0"/>
        <w:ind w:firstLine="709"/>
        <w:contextualSpacing w:val="1"/>
        <w:jc w:val="both"/>
        <w:rPr>
          <w:rFonts w:ascii="Times New Roman" w:hAnsi="Times New Roman"/>
          <w:i w:val="0"/>
          <w:sz w:val="24"/>
        </w:rPr>
      </w:pPr>
      <w:r>
        <w:rPr>
          <w:rFonts w:ascii="Times New Roman" w:hAnsi="Times New Roman"/>
          <w:i w:val="0"/>
          <w:sz w:val="24"/>
        </w:rPr>
        <w:t>5.1. Основные положения учетной политики</w:t>
      </w:r>
    </w:p>
    <w:p w14:paraId="50030000">
      <w:pPr>
        <w:widowControl w:val="1"/>
        <w:ind w:firstLine="709"/>
        <w:contextualSpacing w:val="1"/>
      </w:pPr>
    </w:p>
    <w:p w14:paraId="51030000">
      <w:pPr>
        <w:widowControl w:val="1"/>
        <w:spacing w:line="360" w:lineRule="auto"/>
        <w:ind w:firstLine="709"/>
        <w:contextualSpacing w:val="1"/>
        <w:jc w:val="both"/>
      </w:pPr>
      <w:r>
        <w:t xml:space="preserve">Данная бухгалтерская отчетность сформирована </w:t>
      </w:r>
      <w:r>
        <w:t>в соответствии с Учетной политикой Общества на 2017 год, утвержденной приказом № 1192 от 30.12.2016 г., с учетом изменений (приказ № 547 от 29.06.2017 г.). Учетная политика АО «Краспригород» разработана в соответствии с законодательством Российской Федерации о бухгалтерском учете, федеральными и отраслевыми стандартами по бухгалтерскому учету с учетом особенностей, осуществляемых АО «Краспригород» (далее по тексту – Общество) видов деятельности и совершаемых хозяйственных операций.</w:t>
      </w:r>
    </w:p>
    <w:p w14:paraId="52030000">
      <w:pPr>
        <w:widowControl w:val="1"/>
        <w:spacing w:line="360" w:lineRule="auto"/>
        <w:ind w:firstLine="709"/>
        <w:contextualSpacing w:val="1"/>
        <w:jc w:val="both"/>
      </w:pPr>
      <w:r>
        <w:t>Целью учетной политики является раскрытие организационных и методических способов ведения бухгалтерского учета, избранных для составления бухгалтерской отчетности Общества.</w:t>
      </w:r>
    </w:p>
    <w:p w14:paraId="53030000">
      <w:pPr>
        <w:widowControl w:val="1"/>
        <w:spacing w:line="360" w:lineRule="auto"/>
        <w:ind w:firstLine="709"/>
        <w:contextualSpacing w:val="1"/>
        <w:jc w:val="both"/>
      </w:pPr>
      <w:r>
        <w:t>Принятая Учетная политика АО «Краспригород» на 201</w:t>
      </w:r>
      <w:r>
        <w:t>8</w:t>
      </w:r>
      <w:r>
        <w:t xml:space="preserve"> год применяется последовательно, от одного отчетного года к другому.</w:t>
      </w:r>
    </w:p>
    <w:p w14:paraId="54030000">
      <w:pPr>
        <w:widowControl w:val="1"/>
        <w:spacing w:line="360" w:lineRule="auto"/>
        <w:ind w:firstLine="709"/>
        <w:contextualSpacing w:val="1"/>
        <w:jc w:val="both"/>
        <w:rPr>
          <w:b w:val="1"/>
        </w:rPr>
      </w:pPr>
      <w:r>
        <w:rPr>
          <w:b w:val="1"/>
        </w:rPr>
        <w:t>Организация учетного процесса.</w:t>
      </w:r>
    </w:p>
    <w:p w14:paraId="55030000">
      <w:pPr>
        <w:widowControl w:val="1"/>
        <w:spacing w:line="360" w:lineRule="auto"/>
        <w:ind w:firstLine="709"/>
        <w:contextualSpacing w:val="1"/>
        <w:jc w:val="both"/>
      </w:pPr>
      <w:r>
        <w:t>Ведение бухгалтерского учета и составление бухгалтерской отчетности осуществляется Бухгалтерией Общества.</w:t>
      </w:r>
    </w:p>
    <w:p w14:paraId="56030000">
      <w:pPr>
        <w:widowControl w:val="1"/>
        <w:spacing w:line="360" w:lineRule="auto"/>
        <w:ind w:firstLine="709"/>
        <w:contextualSpacing w:val="1"/>
        <w:jc w:val="both"/>
      </w:pPr>
      <w:r>
        <w:t xml:space="preserve">Общество осуществляет бухгалтерский учет с использованием программных продуктов 1С: Бухгалтерия предприятия, редакция 3.0 и 1С: Зарплата и управление персоналом, редакция 3.1 (1С: Предприятие 8.3) по журнально-ордерной форме счетоводства. </w:t>
      </w:r>
    </w:p>
    <w:p w14:paraId="57030000">
      <w:pPr>
        <w:widowControl w:val="1"/>
        <w:spacing w:line="360" w:lineRule="auto"/>
        <w:ind w:firstLine="709"/>
        <w:contextualSpacing w:val="1"/>
        <w:jc w:val="both"/>
      </w:pPr>
      <w:r>
        <w:t xml:space="preserve">Регистры бухгалтерского учета (карточки по счетам бухгалтерского учета, оборотно-сальдовые ведомости и т.д.) используются для систематизации и накопления информации, содержащейся в принятых к учету первичных учетных документах, для отражения на счетах бухгалтерского учета и в бухгалтерской отчетности. </w:t>
      </w:r>
    </w:p>
    <w:p w14:paraId="58030000">
      <w:pPr>
        <w:widowControl w:val="1"/>
        <w:spacing w:line="360" w:lineRule="auto"/>
        <w:ind w:firstLine="709"/>
        <w:contextualSpacing w:val="1"/>
        <w:jc w:val="both"/>
      </w:pPr>
      <w:r>
        <w:t xml:space="preserve">Порядок отражения в бухгалтерском учете отдельных фактов хозяйственной жизни устанавливается методическими документами Бухгалтерской службы ОАО «РЖД». </w:t>
      </w:r>
    </w:p>
    <w:p w14:paraId="59030000">
      <w:pPr>
        <w:widowControl w:val="1"/>
        <w:spacing w:line="360" w:lineRule="auto"/>
        <w:ind w:firstLine="709"/>
        <w:contextualSpacing w:val="1"/>
        <w:jc w:val="center"/>
        <w:rPr>
          <w:b w:val="1"/>
        </w:rPr>
      </w:pPr>
      <w:r>
        <w:rPr>
          <w:b w:val="1"/>
        </w:rPr>
        <w:t>Формы первичных документов и правила документооборота.</w:t>
      </w:r>
    </w:p>
    <w:p w14:paraId="5A030000">
      <w:pPr>
        <w:widowControl w:val="1"/>
        <w:spacing w:line="360" w:lineRule="auto"/>
        <w:ind w:firstLine="709"/>
        <w:contextualSpacing w:val="1"/>
        <w:jc w:val="both"/>
      </w:pPr>
      <w:r>
        <w:t>Все совершаемые Обществом факты хозяйственной жизни оформляются оправдательными документами, составленными в соответствии с требованиями законодательства Российской Федерации о бухгалтерском учете. Эти документы служат первичными учетными документами, на основании которых ведется бухгалтерский учет и составляется бухгалтерская (финансовая) отчетность Общества.</w:t>
      </w:r>
    </w:p>
    <w:p w14:paraId="5B030000">
      <w:pPr>
        <w:widowControl w:val="1"/>
        <w:spacing w:line="360" w:lineRule="auto"/>
        <w:ind w:firstLine="709"/>
        <w:contextualSpacing w:val="1"/>
        <w:jc w:val="both"/>
      </w:pPr>
      <w:r>
        <w:t xml:space="preserve">Общество использует первичные учетные документы, составленные по формам, содержащимся в альбоме форм первичной учетной документации, утвержденном распоряжением ОАО «РЖД» от 15 декабря 2008 г. № 2688р с учетом дополнений и изменений, и по формам, утвержденным распоряжением Общества № 908 от 17.12.2012 года. </w:t>
      </w:r>
    </w:p>
    <w:p w14:paraId="5C030000">
      <w:pPr>
        <w:widowControl w:val="1"/>
        <w:spacing w:line="360" w:lineRule="auto"/>
        <w:ind w:firstLine="709"/>
        <w:contextualSpacing w:val="1"/>
        <w:jc w:val="both"/>
      </w:pPr>
      <w:r>
        <w:t>Кроме того, Общество использует первичные учетные документы, полученные от поставщиков и подрядчиков, покупателей и заказчиков, прочих дебиторов и кредиторов, и иных контрагентов, содержащие обязательные для этих документов реквизиты в соответствии с требованиями законодательства Российской Федерации о бухгалтерском учете.</w:t>
      </w:r>
    </w:p>
    <w:p w14:paraId="5D030000">
      <w:pPr>
        <w:widowControl w:val="1"/>
        <w:spacing w:line="360" w:lineRule="auto"/>
        <w:ind w:firstLine="709"/>
        <w:contextualSpacing w:val="1"/>
        <w:jc w:val="both"/>
      </w:pPr>
      <w:r>
        <w:t>Движение первичных учетных документов (создание или получение, проверка, подготовка и передача в Бухгалтерию Общества) определяется графиком документооборота, разрабатываемым подразделениями аппарата управления Общества и другими структурными подразделениями, и утверждаемым руководителем Общества.</w:t>
      </w:r>
    </w:p>
    <w:p w14:paraId="5E030000">
      <w:pPr>
        <w:widowControl w:val="1"/>
        <w:spacing w:line="360" w:lineRule="auto"/>
        <w:ind w:firstLine="709"/>
        <w:contextualSpacing w:val="1"/>
        <w:jc w:val="center"/>
        <w:rPr>
          <w:b w:val="1"/>
        </w:rPr>
      </w:pPr>
      <w:r>
        <w:rPr>
          <w:b w:val="1"/>
        </w:rPr>
        <w:t>Инвентаризация.</w:t>
      </w:r>
    </w:p>
    <w:p w14:paraId="5F030000">
      <w:pPr>
        <w:widowControl w:val="1"/>
        <w:spacing w:line="360" w:lineRule="auto"/>
        <w:ind w:firstLine="709"/>
        <w:contextualSpacing w:val="1"/>
        <w:jc w:val="both"/>
      </w:pPr>
      <w:r>
        <w:t xml:space="preserve">Проведение инвентаризации имущества и финансовых обязательств Общества и оформление ее результатов осуществляется в соответствии Методическими указаниями по инвентаризации имущества и финансовых обязательств, утвержденных приказом Минфина России от 13 июня </w:t>
      </w:r>
      <w:r>
        <w:t>1995 г</w:t>
      </w:r>
      <w:r>
        <w:t>. № 49.</w:t>
      </w:r>
    </w:p>
    <w:p w14:paraId="60030000">
      <w:pPr>
        <w:widowControl w:val="1"/>
        <w:spacing w:line="360" w:lineRule="auto"/>
        <w:ind w:firstLine="709"/>
        <w:contextualSpacing w:val="1"/>
        <w:jc w:val="both"/>
      </w:pPr>
      <w:r>
        <w:t>Инвентаризация основных средств проводится 1 раз в год перед составлением годовой отчетности.</w:t>
      </w:r>
    </w:p>
    <w:p w14:paraId="61030000">
      <w:pPr>
        <w:widowControl w:val="1"/>
        <w:spacing w:line="360" w:lineRule="auto"/>
        <w:ind w:firstLine="709"/>
        <w:contextualSpacing w:val="1"/>
        <w:jc w:val="both"/>
      </w:pPr>
      <w:r>
        <w:t>Инвентаризация проводится Обществом в целях обеспечения достоверности данных бухгалтерского учета и бухгалтерской отчетности.</w:t>
      </w:r>
    </w:p>
    <w:p w14:paraId="62030000">
      <w:pPr>
        <w:widowControl w:val="1"/>
        <w:spacing w:line="360" w:lineRule="auto"/>
        <w:ind w:firstLine="709"/>
        <w:contextualSpacing w:val="1"/>
        <w:jc w:val="center"/>
        <w:rPr>
          <w:b w:val="1"/>
        </w:rPr>
      </w:pPr>
      <w:r>
        <w:rPr>
          <w:b w:val="1"/>
        </w:rPr>
        <w:t>Бухгалтерская отчетность и регистры бухгалтерского учета.</w:t>
      </w:r>
    </w:p>
    <w:p w14:paraId="63030000">
      <w:pPr>
        <w:widowControl w:val="1"/>
        <w:spacing w:line="360" w:lineRule="auto"/>
        <w:ind w:firstLine="709"/>
        <w:contextualSpacing w:val="1"/>
        <w:jc w:val="both"/>
      </w:pPr>
      <w:r>
        <w:t>Бухгалтерская отчетность Общества подразделяется на бухгалтерскую отчетность для внешних пользователей и внутреннюю бухгалтерскую отчетность.</w:t>
      </w:r>
    </w:p>
    <w:p w14:paraId="64030000">
      <w:pPr>
        <w:widowControl w:val="1"/>
        <w:spacing w:line="360" w:lineRule="auto"/>
        <w:ind w:firstLine="709"/>
        <w:contextualSpacing w:val="1"/>
        <w:jc w:val="both"/>
      </w:pPr>
      <w:r>
        <w:t>Функциональной валютой бухгалтерской отчетности Общества является российский рубль. Бухгалтерская отчетность Общества составляется в тысячах рублей. Синтетический и аналитический бухгалтерский учет ведется в рублях и копейках.</w:t>
      </w:r>
    </w:p>
    <w:p w14:paraId="65030000">
      <w:pPr>
        <w:widowControl w:val="1"/>
        <w:spacing w:line="360" w:lineRule="auto"/>
        <w:ind w:firstLine="709"/>
        <w:contextualSpacing w:val="1"/>
        <w:jc w:val="both"/>
      </w:pPr>
      <w:r>
        <w:t>Обществом составляется промежуточная бухгалтерская отчетность в составе бухгалтерского баланса и отчета о финансовых результатах.</w:t>
      </w:r>
    </w:p>
    <w:p w14:paraId="66030000">
      <w:pPr>
        <w:widowControl w:val="1"/>
        <w:spacing w:line="360" w:lineRule="auto"/>
        <w:ind w:firstLine="709"/>
        <w:contextualSpacing w:val="1"/>
        <w:jc w:val="both"/>
      </w:pPr>
      <w:r>
        <w:t xml:space="preserve">Информация о доходах и расходах Общества составляется по сегментам. В качестве отчетных сегментов Общество выделяет операционные сегменты – виды деятельности, осуществляемые в соответствии со статьей 6 Федерального закона от 27 февраля </w:t>
      </w:r>
      <w:r>
        <w:t>2003 г</w:t>
      </w:r>
      <w:r>
        <w:t>. № 29-ФЗ «Об особенностях управления и распоряжения имуществом железнодорожного транспорта».</w:t>
      </w:r>
    </w:p>
    <w:p w14:paraId="67030000">
      <w:pPr>
        <w:widowControl w:val="1"/>
        <w:spacing w:line="360" w:lineRule="auto"/>
        <w:ind w:firstLine="709"/>
        <w:contextualSpacing w:val="1"/>
        <w:jc w:val="both"/>
      </w:pPr>
      <w:r>
        <w:t>Бухгалтерская отчетность Общества за отчетный год утверждается решением общего собрания акционеров Общества.</w:t>
      </w:r>
    </w:p>
    <w:p w14:paraId="68030000">
      <w:pPr>
        <w:widowControl w:val="1"/>
        <w:spacing w:line="360" w:lineRule="auto"/>
        <w:ind w:firstLine="709"/>
        <w:contextualSpacing w:val="1"/>
        <w:jc w:val="both"/>
      </w:pPr>
      <w:r>
        <w:t xml:space="preserve">Бухгалтерская отчетность Общества призвана обеспечить достоверность, полноту и надежность отчетной информации при допустимом уровне издержек на ее формирование и представление. </w:t>
      </w:r>
    </w:p>
    <w:p w14:paraId="69030000">
      <w:pPr>
        <w:widowControl w:val="1"/>
        <w:spacing w:line="360" w:lineRule="auto"/>
        <w:ind w:firstLine="709"/>
        <w:contextualSpacing w:val="1"/>
        <w:jc w:val="both"/>
      </w:pPr>
      <w:r>
        <w:t>К бухгалтерской отчетности Общества за отчетный год, представляемой на утверждение общему собранию акционеров, прилагается аудиторское заключение, выданное по результатам ее аудита.</w:t>
      </w:r>
    </w:p>
    <w:p w14:paraId="6A030000">
      <w:pPr>
        <w:widowControl w:val="1"/>
        <w:spacing w:line="360" w:lineRule="auto"/>
        <w:ind w:firstLine="709"/>
        <w:contextualSpacing w:val="1"/>
        <w:jc w:val="center"/>
        <w:rPr>
          <w:b w:val="1"/>
        </w:rPr>
      </w:pPr>
      <w:r>
        <w:rPr>
          <w:b w:val="1"/>
        </w:rPr>
        <w:t>Взаимоотношения с учредителем Общества – ОАО «РЖД»</w:t>
      </w:r>
    </w:p>
    <w:p w14:paraId="6B030000">
      <w:pPr>
        <w:widowControl w:val="1"/>
        <w:spacing w:line="360" w:lineRule="auto"/>
        <w:ind w:firstLine="709"/>
        <w:contextualSpacing w:val="1"/>
        <w:jc w:val="both"/>
      </w:pPr>
      <w:r>
        <w:t xml:space="preserve">Для соблюдения единства учетной политики Общества и учетной политики учредителя Общества – ОАО «РЖД» Общество использует учетную политику, подготовленную на базе утвержденной ОАО «РЖД» Типовой учетной политики пригородных пассажирских компаний ОАО «РЖД». </w:t>
      </w:r>
    </w:p>
    <w:p w14:paraId="6C030000">
      <w:pPr>
        <w:widowControl w:val="1"/>
        <w:spacing w:line="360" w:lineRule="auto"/>
        <w:ind w:firstLine="709"/>
        <w:contextualSpacing w:val="1"/>
        <w:jc w:val="both"/>
      </w:pPr>
      <w:r>
        <w:t>Для целей формирования сводной отчетности ОАО «РЖД» Общество предоставляет в утвержденном порядке ОАО «РЖД»:</w:t>
      </w:r>
    </w:p>
    <w:p w14:paraId="6D030000">
      <w:pPr>
        <w:widowControl w:val="1"/>
        <w:spacing w:line="360" w:lineRule="auto"/>
        <w:ind w:firstLine="709"/>
        <w:contextualSpacing w:val="1"/>
        <w:jc w:val="both"/>
      </w:pPr>
      <w:r>
        <w:t>бухгалтерскую (финансовую) отчетность;</w:t>
      </w:r>
    </w:p>
    <w:p w14:paraId="6E030000">
      <w:pPr>
        <w:widowControl w:val="1"/>
        <w:spacing w:line="360" w:lineRule="auto"/>
        <w:ind w:firstLine="709"/>
        <w:contextualSpacing w:val="1"/>
        <w:jc w:val="both"/>
      </w:pPr>
      <w:r>
        <w:t xml:space="preserve">информационные формы, разработанные ОАО «РЖД» и характеризующие факты хозяйственной жизни, совершенные между ОАО «РЖД» и Обществом, а также между Обществом и иными дочерними (зависимыми) обществами ОАО «РЖД».  </w:t>
      </w:r>
    </w:p>
    <w:p w14:paraId="6F030000">
      <w:pPr>
        <w:widowControl w:val="1"/>
        <w:spacing w:line="360" w:lineRule="auto"/>
        <w:ind w:firstLine="709"/>
        <w:contextualSpacing w:val="1"/>
        <w:jc w:val="center"/>
        <w:rPr>
          <w:b w:val="1"/>
        </w:rPr>
      </w:pPr>
      <w:r>
        <w:rPr>
          <w:b w:val="1"/>
        </w:rPr>
        <w:t>Учет основных средств</w:t>
      </w:r>
    </w:p>
    <w:p w14:paraId="70030000">
      <w:pPr>
        <w:widowControl w:val="1"/>
        <w:spacing w:line="360" w:lineRule="auto"/>
        <w:ind w:firstLine="709"/>
        <w:contextualSpacing w:val="1"/>
        <w:jc w:val="both"/>
      </w:pPr>
      <w:r>
        <w:t xml:space="preserve">Формирование в бухгалтерском учете и бухгалтерской отчетности Общества информации об основных средствах производится в соответствии с Положением по бухгалтерскому учету «Учет основных средств» ПБУ 6/01, утвержденным приказом Минфина России от 30 марта </w:t>
      </w:r>
      <w:r>
        <w:t>2001 г</w:t>
      </w:r>
      <w:r>
        <w:t>. № 26н, с учетом следующих особенностей.</w:t>
      </w:r>
    </w:p>
    <w:p w14:paraId="71030000">
      <w:pPr>
        <w:widowControl w:val="1"/>
        <w:spacing w:line="360" w:lineRule="auto"/>
        <w:ind w:firstLine="709"/>
        <w:contextualSpacing w:val="1"/>
        <w:jc w:val="both"/>
      </w:pPr>
      <w:r>
        <w:t>Общество не признает в качестве основных средств активы, в отношении которых при принятии к учету принято решение об их отчуждении в пользу других юридических и физических лиц – предполагается продажа, мена и т.п. В этом случае активы отражаются в бухгалтерском учете в качестве материально-производственных запасов как товары.</w:t>
      </w:r>
    </w:p>
    <w:p w14:paraId="72030000">
      <w:pPr>
        <w:widowControl w:val="1"/>
        <w:spacing w:line="360" w:lineRule="auto"/>
        <w:ind w:firstLine="709"/>
        <w:contextualSpacing w:val="1"/>
        <w:jc w:val="both"/>
      </w:pPr>
      <w:r>
        <w:t xml:space="preserve">Активы, в отношении которых выполняются условия, предусмотренные в пункте 4 ПБУ 6/01, и стоимостью не более 40000 рублей за единицу (не более 20000 рублей за единицу по 31 декабря </w:t>
      </w:r>
      <w:r>
        <w:t>2010 г</w:t>
      </w:r>
      <w:r>
        <w:t xml:space="preserve">. включительно), отражаются в составе материально-производственных запасов. </w:t>
      </w:r>
    </w:p>
    <w:p w14:paraId="73030000">
      <w:pPr>
        <w:widowControl w:val="1"/>
        <w:spacing w:line="360" w:lineRule="auto"/>
        <w:ind w:firstLine="709"/>
        <w:contextualSpacing w:val="1"/>
        <w:jc w:val="both"/>
      </w:pPr>
      <w:r>
        <w:t>При передаче в эксплуатацию таких активов в целях обеспечения сохранности организуется надлежащий контроль за их движением с отражением стоимости на отдельном забалансовом счете учета активов со сроком полезного использования более 12 месяцев, учитываемых в качестве материально-производственных запасов, переданных в производство.</w:t>
      </w:r>
    </w:p>
    <w:p w14:paraId="74030000">
      <w:pPr>
        <w:widowControl w:val="1"/>
        <w:spacing w:line="360" w:lineRule="auto"/>
        <w:ind w:firstLine="709"/>
        <w:contextualSpacing w:val="1"/>
        <w:jc w:val="both"/>
      </w:pPr>
      <w:r>
        <w:t>Первоначальная стоимость основных средств, являющихся предметом договора лизинга, при выкупе данного актива Обществом определяется исходя из суммы начисленных лизинговых платежей и его выкупной стоимости.</w:t>
      </w:r>
    </w:p>
    <w:p w14:paraId="75030000">
      <w:pPr>
        <w:widowControl w:val="1"/>
        <w:spacing w:line="360" w:lineRule="auto"/>
        <w:ind w:firstLine="709"/>
        <w:contextualSpacing w:val="1"/>
        <w:jc w:val="both"/>
      </w:pPr>
      <w:r>
        <w:t>Начисление амортизационных отчислений по всем группам однородных основных средств производится линейным способом в течение всего срока полезного использования основных средств, входящих в эту группу.</w:t>
      </w:r>
    </w:p>
    <w:p w14:paraId="76030000">
      <w:pPr>
        <w:widowControl w:val="1"/>
        <w:spacing w:line="360" w:lineRule="auto"/>
        <w:ind w:firstLine="709"/>
        <w:contextualSpacing w:val="1"/>
        <w:jc w:val="both"/>
      </w:pPr>
      <w:r>
        <w:t>При переводе основного средства на консервацию на срок более трех месяцев начисление амортизационных отчислений прекращается с первого числа месяца, следующего за месяцем его перевода на консервацию.</w:t>
      </w:r>
    </w:p>
    <w:p w14:paraId="77030000">
      <w:pPr>
        <w:widowControl w:val="1"/>
        <w:spacing w:line="360" w:lineRule="auto"/>
        <w:ind w:firstLine="709"/>
        <w:contextualSpacing w:val="1"/>
        <w:jc w:val="both"/>
      </w:pPr>
      <w:r>
        <w:t>При расконсервации основного средства, переведенного на консервацию на срок более трех месяцев, начисление амортизационных отчислений продолжается с первого числа месяца, следующего за месяцем его расконсервации.</w:t>
      </w:r>
    </w:p>
    <w:p w14:paraId="78030000">
      <w:pPr>
        <w:widowControl w:val="1"/>
        <w:spacing w:line="360" w:lineRule="auto"/>
        <w:ind w:firstLine="709"/>
        <w:contextualSpacing w:val="1"/>
        <w:jc w:val="both"/>
      </w:pPr>
      <w:r>
        <w:t>Сроки полезного использования основных средств устанавливаются при их принятии к бухгалтерскому учету в соответствии с Классификацией основных средств, включаемых в амортизационные группы, утвержденной постановлением Правительства РФ от 01 января 2002 г. № 1 или иными распорядительными документами, утвержденными руководителем Общества. Если принимаемые к бухгалтерскому учету основные средства не указаны в приведенных выше документах, срок полезного использования по ним определяется на основании паспорта объекта, иных технических документов, которыми предусмотрено точное наименование этих основных средств, а также оценки технических служб аппарата управления Общества, в соответствии с внутренними документами Общества.</w:t>
      </w:r>
    </w:p>
    <w:p w14:paraId="79030000">
      <w:pPr>
        <w:widowControl w:val="1"/>
        <w:spacing w:line="360" w:lineRule="auto"/>
        <w:ind w:firstLine="709"/>
        <w:contextualSpacing w:val="1"/>
        <w:jc w:val="center"/>
        <w:rPr>
          <w:b w:val="1"/>
        </w:rPr>
      </w:pPr>
      <w:r>
        <w:rPr>
          <w:b w:val="1"/>
        </w:rPr>
        <w:t>Учет нематериальных активов</w:t>
      </w:r>
    </w:p>
    <w:p w14:paraId="7A030000">
      <w:pPr>
        <w:widowControl w:val="1"/>
        <w:spacing w:line="360" w:lineRule="auto"/>
        <w:ind w:firstLine="709"/>
        <w:contextualSpacing w:val="1"/>
        <w:jc w:val="both"/>
      </w:pPr>
      <w:r>
        <w:t xml:space="preserve">Формирование в бухгалтерском учете и бухгалтерской отчетности Общества информации о нематериальных активах производится в соответствии с Положением по бухгалтерскому учету «Учет нематериальных активов» (ПБУ 14/2007), утвержденным приказом Минфина России от 27 декабря </w:t>
      </w:r>
      <w:r>
        <w:t>2007 г</w:t>
      </w:r>
      <w:r>
        <w:t>. № 153н, с учетом следующих особенностей.</w:t>
      </w:r>
    </w:p>
    <w:p w14:paraId="7B030000">
      <w:pPr>
        <w:widowControl w:val="1"/>
        <w:spacing w:line="360" w:lineRule="auto"/>
        <w:ind w:firstLine="709"/>
        <w:contextualSpacing w:val="1"/>
        <w:jc w:val="both"/>
      </w:pPr>
      <w:r>
        <w:t xml:space="preserve">Общество учитывает нематериальные активы по фактической (первоначальной) стоимости. </w:t>
      </w:r>
    </w:p>
    <w:p w14:paraId="7C030000">
      <w:pPr>
        <w:widowControl w:val="1"/>
        <w:spacing w:line="360" w:lineRule="auto"/>
        <w:ind w:firstLine="709"/>
        <w:contextualSpacing w:val="1"/>
        <w:jc w:val="center"/>
        <w:rPr>
          <w:b w:val="1"/>
        </w:rPr>
      </w:pPr>
      <w:r>
        <w:rPr>
          <w:b w:val="1"/>
        </w:rPr>
        <w:t>Учет материально-производственных запасов</w:t>
      </w:r>
    </w:p>
    <w:p w14:paraId="7D030000">
      <w:pPr>
        <w:widowControl w:val="1"/>
        <w:spacing w:line="360" w:lineRule="auto"/>
        <w:ind w:firstLine="709"/>
        <w:contextualSpacing w:val="1"/>
        <w:jc w:val="both"/>
      </w:pPr>
      <w:r>
        <w:t>Формирование в бухгалтерском учете и бухгалтерской отчетности Общества информации о материально-производственных запасах производится в соответствии с Положением по бухгалтерскому учету «Учет материально-производственных запасов» ПБУ 5/01, утвержденным приказом Минфина России от 09 июня 2001 № 44н, с учетом следующих особенностей.</w:t>
      </w:r>
    </w:p>
    <w:p w14:paraId="7E030000">
      <w:pPr>
        <w:widowControl w:val="1"/>
        <w:spacing w:line="360" w:lineRule="auto"/>
        <w:ind w:firstLine="709"/>
        <w:contextualSpacing w:val="1"/>
        <w:jc w:val="both"/>
      </w:pPr>
      <w:r>
        <w:t>Принятие к бухгалтерскому учету материально-производственных запасов в виде материалов и товаров осуществляется по фактической себестоимости, которая подлежит отражению в бухгалтерском учете на счетах учета материалов и учета товаров соответственно (без использования счета учета заготовления и приобретения материальных ценностей и счета учета отклонений в стоимости материальных ценностей).</w:t>
      </w:r>
    </w:p>
    <w:p w14:paraId="7F030000">
      <w:pPr>
        <w:widowControl w:val="1"/>
        <w:spacing w:line="360" w:lineRule="auto"/>
        <w:ind w:firstLine="709"/>
        <w:contextualSpacing w:val="1"/>
        <w:jc w:val="both"/>
      </w:pPr>
      <w:r>
        <w:t>Материально-производственные запасы (кроме товаров, учитываемых по продажной стоимости) при отпуске в производство и ином выбытии оцениваются по средней себестоимости.</w:t>
      </w:r>
    </w:p>
    <w:p w14:paraId="80030000">
      <w:pPr>
        <w:widowControl w:val="1"/>
        <w:spacing w:line="360" w:lineRule="auto"/>
        <w:ind w:firstLine="709"/>
        <w:contextualSpacing w:val="1"/>
        <w:jc w:val="center"/>
        <w:rPr>
          <w:b w:val="1"/>
        </w:rPr>
      </w:pPr>
      <w:r>
        <w:rPr>
          <w:b w:val="1"/>
        </w:rPr>
        <w:t>Учет специального инструмента, специальных приспособлений, специального оборудования и специальной одежды</w:t>
      </w:r>
    </w:p>
    <w:p w14:paraId="81030000">
      <w:pPr>
        <w:widowControl w:val="1"/>
        <w:spacing w:line="360" w:lineRule="auto"/>
        <w:ind w:firstLine="709"/>
        <w:contextualSpacing w:val="1"/>
        <w:jc w:val="both"/>
      </w:pPr>
      <w:r>
        <w:t xml:space="preserve">Формирование в бухгалтерском учете и бухгалтерской отчетности Общества информации о специальном инструменте, специальных приспособлениях, специальном оборудовании и специальной одежды производится в соответствии с Методическими указаниями по бухгалтерскому учету специального инструмента, специальных приспособлений, специального оборудования и специальной одежды, утвержденными приказом Минфина России от 26 декабря </w:t>
      </w:r>
      <w:r>
        <w:t>2002 г</w:t>
      </w:r>
      <w:r>
        <w:t>. № 135н, с учетом следующих особенностей.</w:t>
      </w:r>
    </w:p>
    <w:p w14:paraId="82030000">
      <w:pPr>
        <w:widowControl w:val="1"/>
        <w:spacing w:line="360" w:lineRule="auto"/>
        <w:ind w:firstLine="709"/>
        <w:contextualSpacing w:val="1"/>
        <w:jc w:val="both"/>
      </w:pPr>
      <w:r>
        <w:t>Средства индивидуальной защиты работников (специальная одежда, специальная обувь и предохранительные приспособления), а также форменная, корпоративная одежда относятся к оборотным активам и отражаются обособленно на отдельном субсчете счета учета материалов.</w:t>
      </w:r>
    </w:p>
    <w:p w14:paraId="83030000">
      <w:pPr>
        <w:widowControl w:val="1"/>
        <w:spacing w:line="360" w:lineRule="auto"/>
        <w:ind w:firstLine="709"/>
        <w:contextualSpacing w:val="1"/>
        <w:jc w:val="both"/>
      </w:pPr>
      <w:r>
        <w:t xml:space="preserve">Стоимость средств индивидуальной защиты, срок эксплуатации которых согласно нормам выдачи не превышает 12 месяцев, единовременно списывается на затраты на производство (расходы на продажу) в момент ее передачи (отпуска) работникам. </w:t>
      </w:r>
    </w:p>
    <w:p w14:paraId="84030000">
      <w:pPr>
        <w:widowControl w:val="1"/>
        <w:spacing w:line="360" w:lineRule="auto"/>
        <w:ind w:firstLine="709"/>
        <w:contextualSpacing w:val="1"/>
        <w:jc w:val="both"/>
      </w:pPr>
      <w:r>
        <w:t>Стоимость средств индивидуальной защиты, срок эксплуатации которых, согласно нормам выдачи, превышает 12 месяцев, погашается линейным способом исходя из сроков полезного использования средств индивидуальной защиты.</w:t>
      </w:r>
    </w:p>
    <w:p w14:paraId="85030000">
      <w:pPr>
        <w:widowControl w:val="1"/>
        <w:spacing w:line="360" w:lineRule="auto"/>
        <w:ind w:firstLine="709"/>
        <w:contextualSpacing w:val="1"/>
        <w:jc w:val="center"/>
        <w:rPr>
          <w:b w:val="1"/>
        </w:rPr>
      </w:pPr>
      <w:r>
        <w:rPr>
          <w:b w:val="1"/>
        </w:rPr>
        <w:t>Учет доходов</w:t>
      </w:r>
    </w:p>
    <w:p w14:paraId="86030000">
      <w:pPr>
        <w:widowControl w:val="1"/>
        <w:spacing w:line="360" w:lineRule="auto"/>
        <w:ind w:firstLine="709"/>
        <w:contextualSpacing w:val="1"/>
        <w:jc w:val="both"/>
      </w:pPr>
      <w:r>
        <w:t xml:space="preserve">Формирование в бухгалтерском учете и бухгалтерской отчетности Общества информации о доходах производится в соответствии с положениями по бухгалтерскому учету «Доходы организации» ПБУ 9/99 и «Учет договоров строительного подряда» (ПБУ 2/2008), утвержденными приказами Минфина России от 06 мая </w:t>
      </w:r>
      <w:r>
        <w:t>1999 г</w:t>
      </w:r>
      <w:r>
        <w:t xml:space="preserve">. № 32н и от 24 октября </w:t>
      </w:r>
      <w:r>
        <w:t>2008 г</w:t>
      </w:r>
      <w:r>
        <w:t>. № 116н соответственно, с учетом следующих особенностей.</w:t>
      </w:r>
    </w:p>
    <w:p w14:paraId="87030000">
      <w:pPr>
        <w:widowControl w:val="1"/>
        <w:spacing w:line="360" w:lineRule="auto"/>
        <w:ind w:firstLine="709"/>
        <w:contextualSpacing w:val="1"/>
        <w:jc w:val="both"/>
      </w:pPr>
      <w:r>
        <w:t>Общество признает доходы отчетного периода в зависимости от их вида, условия получения и характера своей деятельности доходами от обычных видов деятельности или прочими доходами.</w:t>
      </w:r>
    </w:p>
    <w:p w14:paraId="88030000">
      <w:pPr>
        <w:widowControl w:val="1"/>
        <w:spacing w:line="360" w:lineRule="auto"/>
        <w:ind w:firstLine="709"/>
        <w:contextualSpacing w:val="1"/>
        <w:jc w:val="both"/>
      </w:pPr>
      <w:r>
        <w:t xml:space="preserve">Доходами от обычных видов деятельности признается выручка от оказанных услуг, выполненных работ и от продажи товаров.  </w:t>
      </w:r>
    </w:p>
    <w:p w14:paraId="89030000">
      <w:pPr>
        <w:widowControl w:val="1"/>
        <w:spacing w:line="360" w:lineRule="auto"/>
        <w:ind w:firstLine="709"/>
        <w:contextualSpacing w:val="1"/>
        <w:jc w:val="both"/>
      </w:pPr>
      <w:r>
        <w:t xml:space="preserve">Доходы, получаемые Обществом от предоставления за плату во временное пользование (временное владение и пользование) своих активов по договорам аренды, найма жилого помещения (арендная плата, плата за жилое помещение), признаются доходами от обычных видов деятельности. </w:t>
      </w:r>
    </w:p>
    <w:p w14:paraId="8A030000">
      <w:pPr>
        <w:widowControl w:val="1"/>
        <w:spacing w:line="360" w:lineRule="auto"/>
        <w:ind w:firstLine="709"/>
        <w:contextualSpacing w:val="1"/>
        <w:jc w:val="both"/>
      </w:pPr>
      <w:r>
        <w:t>Не относятся к доходам поступления по договорам аренды, найма жилого помещения в счет возмещения затрат по работам и услугам, приобретенным Обществом у поставщиков электроэнергии, коммунальных услуг, услуг связи и иных аналогичных работ и услуг.</w:t>
      </w:r>
    </w:p>
    <w:p w14:paraId="8B030000">
      <w:pPr>
        <w:widowControl w:val="1"/>
        <w:spacing w:line="360" w:lineRule="auto"/>
        <w:ind w:firstLine="709"/>
        <w:contextualSpacing w:val="1"/>
        <w:jc w:val="both"/>
      </w:pPr>
      <w:r>
        <w:t xml:space="preserve">Общество ведет учет доходов в соответствии с Классификатором доходов Номенклатуры доходов и расходов по видам деятельности ОАО «РЖД» (Приложение № 1 к Порядку ведения раздельного учета доходов, расходов и финансовых результатов по видам деятельности, тарифным составляющим и укрупненным видам работ ОАО «РЖД», утвержденному приказом Минтранса России от 12 августа 2014 г. № 225. </w:t>
      </w:r>
    </w:p>
    <w:p w14:paraId="8C030000">
      <w:pPr>
        <w:widowControl w:val="1"/>
        <w:spacing w:line="360" w:lineRule="auto"/>
        <w:ind w:firstLine="709"/>
        <w:contextualSpacing w:val="1"/>
        <w:jc w:val="both"/>
      </w:pPr>
      <w:r>
        <w:t>Доходы от обычных видов деятельности Общества формируются по следующим видам деятельности:</w:t>
      </w:r>
    </w:p>
    <w:p w14:paraId="8D030000">
      <w:pPr>
        <w:widowControl w:val="1"/>
        <w:spacing w:line="360" w:lineRule="auto"/>
        <w:ind w:firstLine="709"/>
        <w:contextualSpacing w:val="1"/>
        <w:jc w:val="both"/>
      </w:pPr>
      <w:r>
        <w:t>пассажирские перевозки в пригородном сообщении;</w:t>
      </w:r>
    </w:p>
    <w:p w14:paraId="8E030000">
      <w:pPr>
        <w:widowControl w:val="1"/>
        <w:spacing w:line="360" w:lineRule="auto"/>
        <w:ind w:firstLine="709"/>
        <w:contextualSpacing w:val="1"/>
        <w:jc w:val="both"/>
      </w:pPr>
      <w:r>
        <w:t>прочие виды деятельности.</w:t>
      </w:r>
    </w:p>
    <w:p w14:paraId="8F030000">
      <w:pPr>
        <w:widowControl w:val="1"/>
        <w:spacing w:line="360" w:lineRule="auto"/>
        <w:ind w:firstLine="709"/>
        <w:contextualSpacing w:val="1"/>
        <w:jc w:val="both"/>
      </w:pPr>
      <w:r>
        <w:t xml:space="preserve">Доходы от перевозок пассажиров, багажа определяются по дате начисления провозных платежей и сборов на основании проездных и перевозочных документов. </w:t>
      </w:r>
    </w:p>
    <w:p w14:paraId="90030000">
      <w:pPr>
        <w:widowControl w:val="1"/>
        <w:spacing w:line="360" w:lineRule="auto"/>
        <w:ind w:firstLine="709"/>
        <w:contextualSpacing w:val="1"/>
        <w:jc w:val="both"/>
      </w:pPr>
      <w:r>
        <w:t>Датой начисления провозных платежей и сборов признается:</w:t>
      </w:r>
    </w:p>
    <w:p w14:paraId="91030000">
      <w:pPr>
        <w:widowControl w:val="1"/>
        <w:spacing w:line="360" w:lineRule="auto"/>
        <w:ind w:firstLine="709"/>
        <w:contextualSpacing w:val="1"/>
        <w:jc w:val="both"/>
      </w:pPr>
      <w:r>
        <w:t>дата оформления проездных и перевозочных документов – при перевозках пассажиров и багажа в пригородном сообщении;</w:t>
      </w:r>
    </w:p>
    <w:p w14:paraId="92030000">
      <w:pPr>
        <w:widowControl w:val="1"/>
        <w:spacing w:line="360" w:lineRule="auto"/>
        <w:ind w:firstLine="709"/>
        <w:contextualSpacing w:val="1"/>
        <w:jc w:val="both"/>
      </w:pPr>
      <w:r>
        <w:t>дата оказания услуги – при оказании услуг, связанных с оформлением, резервированием, возвратом, переоформлением и восстановлением проездных документов, а также при оказании дополнительных услуг, связанных с перевозкой пассажиров железнодорожным транспортом</w:t>
      </w:r>
    </w:p>
    <w:p w14:paraId="93030000">
      <w:pPr>
        <w:widowControl w:val="1"/>
        <w:spacing w:line="360" w:lineRule="auto"/>
        <w:ind w:firstLine="709"/>
        <w:contextualSpacing w:val="1"/>
        <w:jc w:val="both"/>
      </w:pPr>
      <w:r>
        <w:t xml:space="preserve">При государственном регулировании цен и тарифов на продукцию, работы и услуги доходы от обычных видов деятельности Общества признаются в сумме равной величине установленных государством цен и тарифов. </w:t>
      </w:r>
    </w:p>
    <w:p w14:paraId="94030000">
      <w:pPr>
        <w:widowControl w:val="1"/>
        <w:spacing w:line="360" w:lineRule="auto"/>
        <w:ind w:firstLine="709"/>
        <w:contextualSpacing w:val="1"/>
        <w:jc w:val="both"/>
      </w:pPr>
      <w:r>
        <w:t>Доходы от прочих обычных видов деятельности признаются по мере выполнения работ и оказания услуг.</w:t>
      </w:r>
    </w:p>
    <w:p w14:paraId="95030000">
      <w:pPr>
        <w:widowControl w:val="1"/>
        <w:spacing w:line="360" w:lineRule="auto"/>
        <w:ind w:firstLine="709"/>
        <w:contextualSpacing w:val="1"/>
        <w:jc w:val="both"/>
      </w:pPr>
      <w:r>
        <w:t xml:space="preserve">Прочими доходами признаются доходы отчетного периода, не являющиеся доходами от обычных видов деятельности. </w:t>
      </w:r>
    </w:p>
    <w:p w14:paraId="96030000">
      <w:pPr>
        <w:widowControl w:val="1"/>
        <w:spacing w:line="360" w:lineRule="auto"/>
        <w:ind w:firstLine="709"/>
        <w:contextualSpacing w:val="1"/>
        <w:jc w:val="both"/>
      </w:pPr>
      <w:r>
        <w:t>В состав прочих доходов Общества относятся так же бюджетные субсидии на компенсацию потерь в доходах, возникающих в результате государственного регулирования цен и тарифов.</w:t>
      </w:r>
    </w:p>
    <w:p w14:paraId="97030000">
      <w:pPr>
        <w:widowControl w:val="1"/>
        <w:spacing w:line="360" w:lineRule="auto"/>
        <w:ind w:firstLine="709"/>
        <w:contextualSpacing w:val="1"/>
        <w:jc w:val="center"/>
        <w:rPr>
          <w:b w:val="1"/>
        </w:rPr>
      </w:pPr>
      <w:r>
        <w:rPr>
          <w:b w:val="1"/>
        </w:rPr>
        <w:t>Учет расходов</w:t>
      </w:r>
    </w:p>
    <w:p w14:paraId="98030000">
      <w:pPr>
        <w:widowControl w:val="1"/>
        <w:spacing w:line="360" w:lineRule="auto"/>
        <w:ind w:firstLine="709"/>
        <w:contextualSpacing w:val="1"/>
        <w:jc w:val="both"/>
      </w:pPr>
      <w:r>
        <w:t xml:space="preserve">Формирование в бухгалтерском учете и бухгалтерской отчетности Общества информации о расходах производится в соответствии с положениями по бухгалтерскому учету «Расходы организации» ПБУ 10/99 и «Учет договоров строительного подряда» (ПБУ 2/2008), утвержденными приказами Минфина России от 06 мая </w:t>
      </w:r>
      <w:r>
        <w:t>1999 г</w:t>
      </w:r>
      <w:r>
        <w:t xml:space="preserve">. № 33н и от 24 октября </w:t>
      </w:r>
      <w:r>
        <w:t>2008 г</w:t>
      </w:r>
      <w:r>
        <w:t>. № 116н соответственно, с учетом следующих особенностей.</w:t>
      </w:r>
    </w:p>
    <w:p w14:paraId="99030000">
      <w:pPr>
        <w:widowControl w:val="1"/>
        <w:spacing w:line="360" w:lineRule="auto"/>
        <w:ind w:firstLine="709"/>
        <w:contextualSpacing w:val="1"/>
        <w:jc w:val="both"/>
      </w:pPr>
      <w:r>
        <w:t>Общество признает расходы отчетного периода в зависимости от их вида, условия осуществления и характера своей деятельности расходами по обычным видам деятельности или прочими расходами.</w:t>
      </w:r>
    </w:p>
    <w:p w14:paraId="9A030000">
      <w:pPr>
        <w:widowControl w:val="1"/>
        <w:spacing w:line="360" w:lineRule="auto"/>
        <w:ind w:firstLine="709"/>
        <w:contextualSpacing w:val="1"/>
        <w:jc w:val="both"/>
      </w:pPr>
      <w:r>
        <w:t>Расходами по обычным видам деятельности признаются расходы, связанные с оказанием услуг, выполнением работ и продажей товаров.</w:t>
      </w:r>
    </w:p>
    <w:p w14:paraId="9B030000">
      <w:pPr>
        <w:widowControl w:val="1"/>
        <w:spacing w:line="360" w:lineRule="auto"/>
        <w:ind w:firstLine="709"/>
        <w:contextualSpacing w:val="1"/>
        <w:jc w:val="both"/>
      </w:pPr>
      <w:r>
        <w:t>Расходы, понесенные Обществом: при предоставлении за плату во временное пользование (временное владение и пользование) своих активов по договорам аренды; при оказании услуг по агентскому договору; найма жилого помещения, признаются расходами по обычным видам деятельности.</w:t>
      </w:r>
    </w:p>
    <w:p w14:paraId="9C030000">
      <w:pPr>
        <w:widowControl w:val="1"/>
        <w:spacing w:line="360" w:lineRule="auto"/>
        <w:ind w:firstLine="709"/>
        <w:contextualSpacing w:val="1"/>
        <w:jc w:val="both"/>
      </w:pPr>
      <w:r>
        <w:t>Расходы, понесенные Обществом при предоставлении за плату прав, возникающих из патентов на изобретения, промышленные образцы и другие виды интеллектуальной собственности, а также при участии в уставных капиталах в других организациях и управлении иными финансовыми вложениями, признаются прочими расходами.</w:t>
      </w:r>
    </w:p>
    <w:p w14:paraId="9D030000">
      <w:pPr>
        <w:widowControl w:val="1"/>
        <w:spacing w:line="360" w:lineRule="auto"/>
        <w:ind w:firstLine="709"/>
        <w:contextualSpacing w:val="1"/>
        <w:jc w:val="both"/>
      </w:pPr>
      <w:r>
        <w:t>Общество ведет учет расходов в соответствии с Классификатором расходов Номенклатуры доходов и расходов по видам деятельности ОАО «РЖД» (Приложение № 1 к Порядку ведения раздельного учета доходов, расходов и финансовых результатов по видам деятельности, тарифным составляющим и укрупненным видам работ ОАО «РЖД», утвержденному приказом Минтранса России от 12 августа 2014 г. № 225).</w:t>
      </w:r>
    </w:p>
    <w:p w14:paraId="9E030000">
      <w:pPr>
        <w:widowControl w:val="1"/>
        <w:spacing w:line="360" w:lineRule="auto"/>
        <w:ind w:firstLine="709"/>
        <w:contextualSpacing w:val="1"/>
        <w:jc w:val="both"/>
      </w:pPr>
      <w:r>
        <w:t>Расходы по обычным видам деятельности Общества формируются по следующим видам деятельности:</w:t>
      </w:r>
    </w:p>
    <w:p w14:paraId="9F030000">
      <w:pPr>
        <w:widowControl w:val="1"/>
        <w:spacing w:line="360" w:lineRule="auto"/>
        <w:ind w:firstLine="709"/>
        <w:contextualSpacing w:val="1"/>
        <w:jc w:val="both"/>
      </w:pPr>
      <w:r>
        <w:t>пассажирские перевозки в пригородном сообщении;</w:t>
      </w:r>
    </w:p>
    <w:p w14:paraId="A0030000">
      <w:pPr>
        <w:widowControl w:val="1"/>
        <w:spacing w:line="360" w:lineRule="auto"/>
        <w:ind w:firstLine="709"/>
        <w:contextualSpacing w:val="1"/>
        <w:jc w:val="both"/>
      </w:pPr>
      <w:r>
        <w:t>прочие виды деятельности.</w:t>
      </w:r>
    </w:p>
    <w:p w14:paraId="A1030000">
      <w:pPr>
        <w:widowControl w:val="1"/>
        <w:spacing w:line="360" w:lineRule="auto"/>
        <w:ind w:firstLine="709"/>
        <w:contextualSpacing w:val="1"/>
        <w:jc w:val="both"/>
      </w:pPr>
      <w:r>
        <w:t>Расходы по обычным видам деятельности признаются по местам их возникновения и в зависимости от отношения к производственному процессу делятся на непосредственно вызываемые этим процессом (производственные) и общехозяйственные (управленческие), т.е. расходы по обслуживанию производства и управлению. В свою очередь расходы, непосредственно вызванные процессом производства, подразделяются на специфические (прямые производственные) и общепроизводственные расходы.</w:t>
      </w:r>
    </w:p>
    <w:p w14:paraId="A2030000">
      <w:pPr>
        <w:widowControl w:val="1"/>
        <w:spacing w:line="360" w:lineRule="auto"/>
        <w:ind w:firstLine="709"/>
        <w:contextualSpacing w:val="1"/>
        <w:jc w:val="both"/>
      </w:pPr>
      <w:r>
        <w:t>Распределение между обычными видами деятельности Общества общепроизводственных и общехозяйственных (управленческих) расходов производится в соответствии с Порядком ведения раздельного учета доходов, расходов и финансовых результатов по видам деятельности, тарифным составляющим и укрупненным видам работ ОАО «РЖД».</w:t>
      </w:r>
    </w:p>
    <w:p w14:paraId="A3030000">
      <w:pPr>
        <w:widowControl w:val="1"/>
        <w:spacing w:line="360" w:lineRule="auto"/>
        <w:ind w:firstLine="709"/>
        <w:contextualSpacing w:val="1"/>
        <w:jc w:val="both"/>
      </w:pPr>
      <w:r>
        <w:t xml:space="preserve">Расходы по обычным видам деятельности, связанные со сбытом готовой продукции и товаров, признаются расходами на продажу. </w:t>
      </w:r>
    </w:p>
    <w:p w14:paraId="A4030000">
      <w:pPr>
        <w:widowControl w:val="1"/>
        <w:spacing w:line="360" w:lineRule="auto"/>
        <w:ind w:firstLine="709"/>
        <w:contextualSpacing w:val="1"/>
        <w:jc w:val="both"/>
      </w:pPr>
      <w:r>
        <w:t>Расходы на продажу делятся на коммерческие расходы по сбыту готовой продукции и на издержки обращения по сбыту товаров, приобретенных для перепродажи.</w:t>
      </w:r>
    </w:p>
    <w:p w14:paraId="A5030000">
      <w:pPr>
        <w:widowControl w:val="1"/>
        <w:spacing w:line="360" w:lineRule="auto"/>
        <w:ind w:firstLine="709"/>
        <w:contextualSpacing w:val="1"/>
        <w:jc w:val="both"/>
      </w:pPr>
      <w:r>
        <w:t>Прочими расходами признаются расходы отчетного периода, не являющиеся расходами по обычным видам деятельности.</w:t>
      </w:r>
    </w:p>
    <w:p w14:paraId="A6030000">
      <w:pPr>
        <w:widowControl w:val="1"/>
        <w:spacing w:line="360" w:lineRule="auto"/>
        <w:ind w:firstLine="709"/>
        <w:contextualSpacing w:val="1"/>
        <w:jc w:val="both"/>
      </w:pPr>
      <w:r>
        <w:t xml:space="preserve">Затраты, произведенные в отчетном периоде, но относящиеся к следующим отчетным периодам, отражаются в составе расходов будущих периодов в порядке, установленном положениями (стандартами) по бухгалтерскому учету. </w:t>
      </w:r>
    </w:p>
    <w:p w14:paraId="A7030000">
      <w:pPr>
        <w:widowControl w:val="1"/>
        <w:spacing w:line="360" w:lineRule="auto"/>
        <w:ind w:firstLine="709"/>
        <w:contextualSpacing w:val="1"/>
        <w:jc w:val="center"/>
        <w:rPr>
          <w:b w:val="1"/>
        </w:rPr>
      </w:pPr>
      <w:r>
        <w:rPr>
          <w:b w:val="1"/>
        </w:rPr>
        <w:t xml:space="preserve">Учет </w:t>
      </w:r>
      <w:r>
        <w:rPr>
          <w:b w:val="1"/>
        </w:rPr>
        <w:t>дебиторской и кредиторской задолженности</w:t>
      </w:r>
    </w:p>
    <w:p w14:paraId="A8030000">
      <w:pPr>
        <w:widowControl w:val="1"/>
        <w:spacing w:line="360" w:lineRule="auto"/>
        <w:ind w:firstLine="709"/>
        <w:contextualSpacing w:val="1"/>
        <w:jc w:val="both"/>
      </w:pPr>
      <w:r>
        <w:t xml:space="preserve">Формирование в бухгалтерском учете и бухгалтерской отчетности Общества информации о дебиторской и кредиторской задолженности (расчетах с дебиторами и кредиторами) производится в соответствии с Положением по ведению бухгалтерского учета и бухгалтерской отчетности в РФ, утвержденным приказом Минфина России от 29 июля </w:t>
      </w:r>
      <w:r>
        <w:t>1998 г</w:t>
      </w:r>
      <w:r>
        <w:t>. № 34н, с учетом следующих особенностей.</w:t>
      </w:r>
    </w:p>
    <w:p w14:paraId="A9030000">
      <w:pPr>
        <w:widowControl w:val="1"/>
        <w:spacing w:line="360" w:lineRule="auto"/>
        <w:ind w:firstLine="709"/>
        <w:contextualSpacing w:val="1"/>
        <w:jc w:val="both"/>
      </w:pPr>
      <w:r>
        <w:t>Дебиторской задолженностью признается задолженность, которая является следствием определенных действий или бездействия другого контрагента (дебитора) по отношению к Обществу и связана с требованием Общества получить денежные средства, иное имущество, принять результат выполненных работ или оказанных услуг, совершить иные действия в свою пользу, возникающие в силу договора, закона или другой правовой нормы, а также обычаев делового оборота.</w:t>
      </w:r>
    </w:p>
    <w:p w14:paraId="AA030000">
      <w:pPr>
        <w:widowControl w:val="1"/>
        <w:spacing w:line="360" w:lineRule="auto"/>
        <w:ind w:firstLine="709"/>
        <w:contextualSpacing w:val="1"/>
        <w:jc w:val="both"/>
      </w:pPr>
      <w:r>
        <w:t>Кредиторской задолженностью признается задолженность, которая является следствием определенных действий или бездействия Общества по отношению к другому контрагенту (кредитору) и связана с требованием контрагента передать денежные средства, иное имущество, результат выполненных работ или оказанных услуг, совершить иные действия в пользу этого лица, возникающие в силу договора, закона или другой правовой нормы, а также обычаев делового оборота.</w:t>
      </w:r>
    </w:p>
    <w:p w14:paraId="AB030000">
      <w:pPr>
        <w:widowControl w:val="1"/>
        <w:spacing w:line="360" w:lineRule="auto"/>
        <w:ind w:firstLine="709"/>
        <w:contextualSpacing w:val="1"/>
        <w:jc w:val="both"/>
      </w:pPr>
      <w:r>
        <w:t>Дебиторская и кредиторская задолженность разделяется на срочную и просроченную задолженность.</w:t>
      </w:r>
    </w:p>
    <w:p w14:paraId="AC030000">
      <w:pPr>
        <w:widowControl w:val="1"/>
        <w:spacing w:line="360" w:lineRule="auto"/>
        <w:ind w:firstLine="709"/>
        <w:contextualSpacing w:val="1"/>
        <w:jc w:val="both"/>
      </w:pPr>
      <w:r>
        <w:t>Течение срока исковой давности по дебиторской и кредиторской задолженности начинается с момента ее перехода в состав просроченной задолженности.</w:t>
      </w:r>
    </w:p>
    <w:p w14:paraId="AD030000">
      <w:pPr>
        <w:widowControl w:val="1"/>
        <w:spacing w:line="360" w:lineRule="auto"/>
        <w:ind w:firstLine="709"/>
        <w:contextualSpacing w:val="1"/>
        <w:jc w:val="center"/>
        <w:rPr>
          <w:b w:val="1"/>
        </w:rPr>
      </w:pPr>
      <w:r>
        <w:rPr>
          <w:b w:val="1"/>
        </w:rPr>
        <w:t>Учет резервов</w:t>
      </w:r>
    </w:p>
    <w:p w14:paraId="AE030000">
      <w:pPr>
        <w:widowControl w:val="1"/>
        <w:spacing w:line="360" w:lineRule="auto"/>
        <w:ind w:firstLine="709"/>
        <w:contextualSpacing w:val="1"/>
        <w:jc w:val="both"/>
      </w:pPr>
      <w:r>
        <w:t xml:space="preserve">Формирование в бухгалтерском учете и бухгалтерской отчетности Общества информации о резервах (за исключением резервов, учитываемых в составе собственного капитала) производится в соответствии с Положением по ведению бухгалтерского учета и бухгалтерской отчетности в РФ, утвержденным приказом Минфина России от 29 июля </w:t>
      </w:r>
      <w:r>
        <w:t>1998 г</w:t>
      </w:r>
      <w:r>
        <w:t xml:space="preserve">. № 34н, положениями по бухгалтерскому учету «Учет материально-производственных запасов» ПБУ 5/01, Оценочные обязательства, условные обязательства и условные активы» (ПБУ 8/2010), «Учет финансовых вложений» ПБУ 19/02, утвержденными приказами Минфина России от 09 июня </w:t>
      </w:r>
      <w:r>
        <w:t>2001 г</w:t>
      </w:r>
      <w:r>
        <w:t xml:space="preserve">. № 44н, от 13 декабря 2010 № 167н и от 10 декабря </w:t>
      </w:r>
      <w:r>
        <w:t>2002 г</w:t>
      </w:r>
      <w:r>
        <w:t>. № 126н соответственно, с учетом следующих особенностей.</w:t>
      </w:r>
    </w:p>
    <w:p w14:paraId="AF030000">
      <w:pPr>
        <w:widowControl w:val="1"/>
        <w:spacing w:line="360" w:lineRule="auto"/>
        <w:ind w:firstLine="709"/>
        <w:contextualSpacing w:val="1"/>
        <w:jc w:val="both"/>
      </w:pPr>
      <w:r>
        <w:t>Обществом создается резерв сомнительных долгов.</w:t>
      </w:r>
    </w:p>
    <w:p w14:paraId="B0030000">
      <w:pPr>
        <w:widowControl w:val="1"/>
        <w:spacing w:line="360" w:lineRule="auto"/>
        <w:ind w:firstLine="709"/>
        <w:contextualSpacing w:val="1"/>
        <w:jc w:val="both"/>
      </w:pPr>
      <w:r>
        <w:t xml:space="preserve">Обществом признаются оценочные обязательства в отношении предстоящих расходов при выполнении условий, установленных ПБУ 8/2010. </w:t>
      </w:r>
    </w:p>
    <w:p w14:paraId="B1030000">
      <w:pPr>
        <w:widowControl w:val="1"/>
        <w:spacing w:line="360" w:lineRule="auto"/>
        <w:ind w:firstLine="709"/>
        <w:contextualSpacing w:val="1"/>
        <w:jc w:val="both"/>
      </w:pPr>
      <w:r>
        <w:t>Порядок создания оценочного обязательства по отпускам работников Общества утвержден распоряжением ОАО "РЖД" от 15 октября 2012 г. № 2039р.</w:t>
      </w:r>
    </w:p>
    <w:p w14:paraId="B2030000">
      <w:pPr>
        <w:widowControl w:val="1"/>
        <w:spacing w:line="360" w:lineRule="auto"/>
        <w:ind w:firstLine="709"/>
        <w:contextualSpacing w:val="1"/>
        <w:jc w:val="both"/>
      </w:pPr>
      <w:r>
        <w:t>Резерв по сомнительным долгам создается не реже двух раз в год по состоянию на 30 июня и 31 декабря отчетного года в установленном Обществом порядке на основании результатов проведенной инвентаризации дебиторской задолженности Общества.</w:t>
      </w:r>
    </w:p>
    <w:p w14:paraId="B3030000">
      <w:pPr>
        <w:keepNext w:val="1"/>
        <w:widowControl w:val="1"/>
        <w:tabs>
          <w:tab w:leader="none" w:pos="567" w:val="left"/>
        </w:tabs>
        <w:spacing w:line="360" w:lineRule="auto"/>
        <w:ind w:firstLine="709"/>
        <w:contextualSpacing w:val="1"/>
        <w:jc w:val="center"/>
        <w:rPr>
          <w:b w:val="1"/>
        </w:rPr>
      </w:pPr>
      <w:r>
        <w:rPr>
          <w:b w:val="1"/>
        </w:rPr>
        <w:t>Учет расчетов по налогу на прибыль организаций</w:t>
      </w:r>
    </w:p>
    <w:p w14:paraId="B4030000">
      <w:pPr>
        <w:widowControl w:val="1"/>
        <w:spacing w:line="360" w:lineRule="auto"/>
        <w:ind w:firstLine="709"/>
        <w:contextualSpacing w:val="1"/>
        <w:jc w:val="both"/>
      </w:pPr>
      <w:bookmarkStart w:id="21" w:name="OLE_LINK3"/>
      <w:bookmarkStart w:id="22" w:name="OLE_LINK4"/>
      <w:r>
        <w:t xml:space="preserve">Формирование в бухгалтерском учете и бухгалтерской отчетности Общества информации о расчетах по налогу на прибыль организаций производится в соответствии с Положением по бухгалтерскому учету «Учет расчетов по налогу на прибыль организаций» ПБУ 18/02, утвержденным приказом Минфина России от 19 ноября </w:t>
      </w:r>
      <w:r>
        <w:t>2002 г</w:t>
      </w:r>
      <w:r>
        <w:t>. № 114н, с учетом следующих особенностей.</w:t>
      </w:r>
    </w:p>
    <w:p w14:paraId="B5030000">
      <w:pPr>
        <w:widowControl w:val="1"/>
        <w:spacing w:line="360" w:lineRule="auto"/>
        <w:ind w:firstLine="709"/>
        <w:contextualSpacing w:val="1"/>
        <w:jc w:val="both"/>
      </w:pPr>
      <w:bookmarkEnd w:id="21"/>
      <w:bookmarkEnd w:id="22"/>
      <w:r>
        <w:t>При составлении бухгалтерской отчетности в бухгалтерском балансе отложенные налоговые активы и отложенные налоговые обязательства отражаются сальдировано (свернуто), кроме случаев, когда законодательством РФ о налогах и сборах предусмотрено раздельное формирование налоговой базы.</w:t>
      </w:r>
    </w:p>
    <w:p w14:paraId="B6030000">
      <w:pPr>
        <w:widowControl w:val="1"/>
        <w:spacing w:line="360" w:lineRule="auto"/>
        <w:ind w:firstLine="709"/>
        <w:contextualSpacing w:val="1"/>
        <w:jc w:val="center"/>
        <w:rPr>
          <w:b w:val="1"/>
        </w:rPr>
      </w:pPr>
    </w:p>
    <w:p w14:paraId="B7030000">
      <w:pPr>
        <w:widowControl w:val="1"/>
        <w:spacing w:line="360" w:lineRule="auto"/>
        <w:ind w:firstLine="709"/>
        <w:contextualSpacing w:val="1"/>
        <w:jc w:val="center"/>
        <w:rPr>
          <w:b w:val="1"/>
        </w:rPr>
      </w:pPr>
      <w:r>
        <w:rPr>
          <w:b w:val="1"/>
        </w:rPr>
        <w:t xml:space="preserve">         </w:t>
      </w:r>
      <w:r>
        <w:rPr>
          <w:b w:val="1"/>
        </w:rPr>
        <w:t xml:space="preserve">Налог на добавленную стоимость. </w:t>
      </w:r>
      <w:r>
        <w:rPr>
          <w:b w:val="1"/>
        </w:rPr>
        <w:t>П</w:t>
      </w:r>
      <w:r>
        <w:rPr>
          <w:b w:val="1"/>
        </w:rPr>
        <w:t xml:space="preserve">орядок раздельного учета НДС по видам деятельности, </w:t>
      </w:r>
      <w:r>
        <w:rPr>
          <w:b w:val="1"/>
        </w:rPr>
        <w:t>облагаемым НДС в общем порядке и облагаемым НДС по ставке 0 %</w:t>
      </w:r>
    </w:p>
    <w:p w14:paraId="B8030000">
      <w:pPr>
        <w:widowControl w:val="1"/>
        <w:spacing w:line="360" w:lineRule="auto"/>
        <w:ind w:firstLine="709"/>
        <w:contextualSpacing w:val="1"/>
        <w:jc w:val="both"/>
      </w:pPr>
      <w:r>
        <w:t xml:space="preserve">В АО «Краспригород» организуется и ведется раздельный учет операций, по товарам (работам, услугам), имущественным правам, облагаемым по различным налоговым ставкам, а также облагаемых и необлагаемых НДС (освобождаемых от налогообложения) согласно статье 149 Налогового кодекса Российской Федерации. </w:t>
      </w:r>
    </w:p>
    <w:p w14:paraId="B9030000">
      <w:pPr>
        <w:widowControl w:val="1"/>
        <w:spacing w:line="360" w:lineRule="auto"/>
        <w:ind w:firstLine="709"/>
        <w:contextualSpacing w:val="1"/>
        <w:jc w:val="both"/>
      </w:pPr>
      <w:r>
        <w:t xml:space="preserve">Федеральным законом от 06.04.2015 года № 83-ФЗ в главу 21 НК РФ внесены изменения, согласно которым перевозки пассажиров железнодорожным транспортом в пригородном сообщении (основной вид деятельности Общества) в период с 01.01.2015 по 31.12.2029 года включительно подлежат налогообложению налогом на добавленную стоимость с применением ставки 0 процентов (п. п. 9.2 ст. 164 НК РФ). </w:t>
      </w:r>
    </w:p>
    <w:p w14:paraId="BA030000">
      <w:pPr>
        <w:widowControl w:val="1"/>
        <w:spacing w:line="360" w:lineRule="auto"/>
        <w:ind w:firstLine="709"/>
        <w:contextualSpacing w:val="1"/>
        <w:jc w:val="both"/>
      </w:pPr>
      <w:r>
        <w:t>В соответствие с пунктом 9.2 статьи 167 моментом определения налоговой базы при реализации услуг по перевозке пассажиров железнодорожным транспортом в пригородном сообщении является последнее число каждого налогового периода, т.е. квартала. В Приложении № 1 к учетной политике для целей налогообложения АО «Краспригород» на 201</w:t>
      </w:r>
      <w:r>
        <w:t>8</w:t>
      </w:r>
      <w:r>
        <w:t xml:space="preserve"> год прописана методика раздельного учета НДС, в том числе в разделе III по ставке 0%. </w:t>
      </w:r>
    </w:p>
    <w:p w14:paraId="BB030000">
      <w:pPr>
        <w:widowControl w:val="1"/>
        <w:spacing w:line="360" w:lineRule="auto"/>
        <w:ind w:firstLine="709"/>
        <w:contextualSpacing w:val="1"/>
        <w:jc w:val="both"/>
      </w:pPr>
      <w:r>
        <w:t>Общество осуществляет расчет сумм НДС, подлежащих возмещению из бюджета в связи с применением налоговой ставки 0 процентов.</w:t>
      </w:r>
    </w:p>
    <w:p w14:paraId="BC030000">
      <w:pPr>
        <w:widowControl w:val="1"/>
        <w:spacing w:line="360" w:lineRule="auto"/>
        <w:ind w:firstLine="709"/>
        <w:contextualSpacing w:val="1"/>
        <w:jc w:val="both"/>
      </w:pPr>
    </w:p>
    <w:p w14:paraId="BD030000">
      <w:bookmarkStart w:id="23" w:name="__RefHeading___20"/>
      <w:bookmarkEnd w:id="23"/>
      <w:pPr>
        <w:pStyle w:val="Style_10"/>
        <w:widowControl w:val="1"/>
        <w:spacing w:after="0" w:before="0"/>
        <w:ind w:firstLine="709"/>
        <w:contextualSpacing w:val="1"/>
        <w:jc w:val="both"/>
        <w:rPr>
          <w:rFonts w:ascii="Times New Roman" w:hAnsi="Times New Roman"/>
          <w:i w:val="0"/>
          <w:sz w:val="24"/>
        </w:rPr>
      </w:pPr>
      <w:r>
        <w:rPr>
          <w:rFonts w:ascii="Times New Roman" w:hAnsi="Times New Roman"/>
          <w:i w:val="0"/>
          <w:sz w:val="24"/>
        </w:rPr>
        <w:t xml:space="preserve">5.2. </w:t>
      </w:r>
      <w:r>
        <w:rPr>
          <w:rFonts w:ascii="Times New Roman" w:hAnsi="Times New Roman"/>
          <w:i w:val="0"/>
          <w:sz w:val="24"/>
        </w:rPr>
        <w:t>Тарифное регулирование</w:t>
      </w:r>
    </w:p>
    <w:p w14:paraId="BE030000">
      <w:pPr>
        <w:keepNext w:val="1"/>
        <w:widowControl w:val="1"/>
        <w:spacing w:line="360" w:lineRule="auto"/>
        <w:ind w:firstLine="709"/>
        <w:contextualSpacing w:val="1"/>
        <w:jc w:val="both"/>
        <w:rPr>
          <w:color w:val="000000"/>
        </w:rPr>
      </w:pPr>
    </w:p>
    <w:p w14:paraId="BF030000">
      <w:pPr>
        <w:keepNext w:val="1"/>
        <w:widowControl w:val="1"/>
        <w:spacing w:line="360" w:lineRule="auto"/>
        <w:ind w:firstLine="709"/>
        <w:contextualSpacing w:val="1"/>
        <w:jc w:val="both"/>
      </w:pPr>
      <w:r>
        <w:rPr>
          <w:color w:val="000000"/>
        </w:rPr>
        <w:t>В соответствии с п.3 Постановления Правительства РФ от 10.12.2008 года № 950 «Об участии органов исполнительной власти субъектов Российской Федерации в области государственного регулирования тарифов в осуществлении государственного регулирования и контроля деятельности субъектов естественных монополий» Правительство Красноярского края, Республики Хакасия, администрация Кемеровской области  регулируют тарифы на перевозки пассажиров железнодорожным транспортом в пригородном сообщении. В Субъектах РФ приняты нормативные акты, регламентирующие указанную деятельность, д</w:t>
      </w:r>
      <w:r>
        <w:t>ля определения цен (тарифов)  на перевозки пригородным железнодорожным транспортом для населения</w:t>
      </w:r>
      <w:r>
        <w:t>.</w:t>
      </w:r>
      <w:r>
        <w:t xml:space="preserve">  </w:t>
      </w:r>
    </w:p>
    <w:p w14:paraId="C0030000">
      <w:pPr>
        <w:keepNext w:val="1"/>
        <w:widowControl w:val="1"/>
        <w:spacing w:line="360" w:lineRule="auto"/>
        <w:ind w:firstLine="709"/>
        <w:contextualSpacing w:val="1"/>
        <w:jc w:val="both"/>
      </w:pPr>
      <w:r>
        <w:t>Общество в 201</w:t>
      </w:r>
      <w:r>
        <w:t>8</w:t>
      </w:r>
      <w:r>
        <w:t xml:space="preserve"> году руководствуется следующими нормативными правовыми актами:</w:t>
      </w:r>
    </w:p>
    <w:p w14:paraId="C1030000">
      <w:pPr>
        <w:widowControl w:val="1"/>
        <w:spacing w:line="360" w:lineRule="auto"/>
        <w:ind w:firstLine="709"/>
        <w:contextualSpacing w:val="1"/>
        <w:jc w:val="both"/>
        <w:rPr>
          <w:b w:val="1"/>
        </w:rPr>
      </w:pPr>
      <w:r>
        <w:t>-</w:t>
      </w:r>
      <w:r>
        <w:rPr>
          <w:b w:val="1"/>
        </w:rPr>
        <w:t>Постановлени</w:t>
      </w:r>
      <w:r>
        <w:rPr>
          <w:b w:val="1"/>
        </w:rPr>
        <w:t>е</w:t>
      </w:r>
      <w:r>
        <w:rPr>
          <w:b w:val="1"/>
        </w:rPr>
        <w:t xml:space="preserve"> Правительства Красноярского края</w:t>
      </w:r>
      <w:r>
        <w:rPr>
          <w:b w:val="1"/>
        </w:rPr>
        <w:t>:</w:t>
      </w:r>
      <w:r>
        <w:rPr>
          <w:b w:val="1"/>
        </w:rPr>
        <w:t xml:space="preserve"> </w:t>
      </w:r>
    </w:p>
    <w:p w14:paraId="C2030000">
      <w:pPr>
        <w:widowControl w:val="1"/>
        <w:spacing w:line="360" w:lineRule="auto"/>
        <w:ind w:firstLine="709"/>
        <w:contextualSpacing w:val="1"/>
        <w:jc w:val="both"/>
      </w:pPr>
      <w:r>
        <w:t>№143-п</w:t>
      </w:r>
      <w:r>
        <w:rPr>
          <w:b w:val="1"/>
        </w:rPr>
        <w:t xml:space="preserve"> </w:t>
      </w:r>
      <w:r>
        <w:t>от 0</w:t>
      </w:r>
      <w:r>
        <w:t>5</w:t>
      </w:r>
      <w:r>
        <w:t>.04.201</w:t>
      </w:r>
      <w:r>
        <w:t>6</w:t>
      </w:r>
      <w:r>
        <w:t xml:space="preserve"> «Об утверждении предельных тарифов на услуги по перевозке пассажиров и багажа железнодорожным транспортом в пригородном сообщении» </w:t>
      </w:r>
      <w:r>
        <w:t>(при составности 4 вагона и более 1 зона - 1</w:t>
      </w:r>
      <w:r>
        <w:t>9</w:t>
      </w:r>
      <w:r>
        <w:t xml:space="preserve"> руб., при составности до трех вагонов включительно  1 зона - 4</w:t>
      </w:r>
      <w:r>
        <w:t>6</w:t>
      </w:r>
      <w:r>
        <w:t xml:space="preserve"> руб.</w:t>
      </w:r>
      <w:r>
        <w:t xml:space="preserve">, </w:t>
      </w:r>
      <w:r>
        <w:t>на отдельных участках железнодорожных путей (внутригород) Овинный-Красноярск-Сады, Бугач - Красноярск-Северный</w:t>
      </w:r>
      <w:r>
        <w:t>, Енисей-Дивногорск</w:t>
      </w:r>
      <w:r>
        <w:t>) - 1</w:t>
      </w:r>
      <w:r>
        <w:t>9</w:t>
      </w:r>
      <w:r>
        <w:t xml:space="preserve"> руб., постановление </w:t>
      </w:r>
      <w:r>
        <w:t xml:space="preserve"> </w:t>
      </w:r>
    </w:p>
    <w:p w14:paraId="C3030000">
      <w:pPr>
        <w:widowControl w:val="1"/>
        <w:spacing w:line="360" w:lineRule="auto"/>
        <w:ind w:firstLine="709"/>
        <w:contextualSpacing w:val="1"/>
        <w:jc w:val="both"/>
      </w:pPr>
      <w:r>
        <w:t>вступило в действие с 1</w:t>
      </w:r>
      <w:r>
        <w:t>9</w:t>
      </w:r>
      <w:r>
        <w:t>.04.201</w:t>
      </w:r>
      <w:r>
        <w:t>6</w:t>
      </w:r>
      <w:r>
        <w:t xml:space="preserve">г. </w:t>
      </w:r>
      <w:r>
        <w:t xml:space="preserve"> и действует до </w:t>
      </w:r>
      <w:r>
        <w:t>настоящего времени</w:t>
      </w:r>
      <w:r>
        <w:t>.</w:t>
      </w:r>
    </w:p>
    <w:p w14:paraId="C4030000">
      <w:pPr>
        <w:widowControl w:val="1"/>
        <w:ind w:firstLine="709"/>
        <w:contextualSpacing w:val="1"/>
        <w:jc w:val="right"/>
      </w:pPr>
    </w:p>
    <w:p w14:paraId="C5030000">
      <w:pPr>
        <w:widowControl w:val="1"/>
        <w:ind w:firstLine="709"/>
        <w:contextualSpacing w:val="1"/>
        <w:jc w:val="right"/>
      </w:pPr>
    </w:p>
    <w:p w14:paraId="C6030000">
      <w:pPr>
        <w:widowControl w:val="1"/>
        <w:ind w:firstLine="709"/>
        <w:contextualSpacing w:val="1"/>
        <w:jc w:val="right"/>
      </w:pPr>
    </w:p>
    <w:p w14:paraId="C7030000">
      <w:pPr>
        <w:widowControl w:val="1"/>
        <w:ind w:firstLine="709"/>
        <w:contextualSpacing w:val="1"/>
        <w:jc w:val="right"/>
      </w:pPr>
      <w:r>
        <w:t>Таблица 5.1.</w:t>
      </w:r>
    </w:p>
    <w:p w14:paraId="C8030000">
      <w:pPr>
        <w:pStyle w:val="Style_11"/>
        <w:widowControl w:val="1"/>
        <w:spacing w:line="360" w:lineRule="auto"/>
        <w:ind w:firstLine="709" w:left="0"/>
        <w:contextualSpacing w:val="1"/>
        <w:jc w:val="center"/>
        <w:rPr>
          <w:sz w:val="24"/>
        </w:rPr>
      </w:pPr>
      <w:r>
        <w:rPr>
          <w:sz w:val="24"/>
        </w:rPr>
        <w:t>Динамика тарифов на пригородные пассажирские перевозк</w:t>
      </w:r>
      <w:r>
        <w:rPr>
          <w:sz w:val="24"/>
        </w:rPr>
        <w:t>и  по Красноярскому краю за 201</w:t>
      </w:r>
      <w:r>
        <w:rPr>
          <w:sz w:val="24"/>
        </w:rPr>
        <w:t>3</w:t>
      </w:r>
      <w:r>
        <w:rPr>
          <w:sz w:val="24"/>
        </w:rPr>
        <w:t>-201</w:t>
      </w:r>
      <w:r>
        <w:rPr>
          <w:sz w:val="24"/>
        </w:rPr>
        <w:t>8</w:t>
      </w:r>
      <w:r>
        <w:rPr>
          <w:sz w:val="24"/>
        </w:rPr>
        <w:t xml:space="preserve"> </w:t>
      </w:r>
      <w:r>
        <w:rPr>
          <w:sz w:val="24"/>
        </w:rPr>
        <w:t>(</w:t>
      </w:r>
      <w:r>
        <w:rPr>
          <w:sz w:val="24"/>
          <w:u w:val="single"/>
        </w:rPr>
        <w:t>электропоезда</w:t>
      </w:r>
      <w:r>
        <w:rPr>
          <w:sz w:val="24"/>
        </w:rPr>
        <w:t>, составностью от 4 вагонов)</w:t>
      </w:r>
    </w:p>
    <w:tbl>
      <w:tblPr>
        <w:tblStyle w:val="Style_4"/>
        <w:tblW w:type="auto" w:w="0"/>
        <w:tblInd w:type="dxa" w:w="103"/>
        <w:tblLayout w:type="fixed"/>
      </w:tblPr>
      <w:tblGrid>
        <w:gridCol w:w="727"/>
        <w:gridCol w:w="1121"/>
        <w:gridCol w:w="1276"/>
        <w:gridCol w:w="1276"/>
        <w:gridCol w:w="1275"/>
        <w:gridCol w:w="1418"/>
        <w:gridCol w:w="1276"/>
        <w:gridCol w:w="1134"/>
      </w:tblGrid>
      <w:tr>
        <w:trPr>
          <w:trHeight w:hRule="atLeast" w:val="1308"/>
          <w:tblHeader/>
        </w:trPr>
        <w:tc>
          <w:tcPr>
            <w:tcW w:type="dxa" w:w="727"/>
            <w:tcBorders>
              <w:top w:color="000000" w:sz="4" w:val="single"/>
              <w:left w:color="000000" w:sz="4" w:val="single"/>
              <w:bottom w:color="000000" w:sz="4" w:val="single"/>
              <w:right w:color="000000" w:sz="4" w:val="single"/>
            </w:tcBorders>
            <w:shd w:fill="auto" w:val="clear"/>
            <w:vAlign w:val="center"/>
          </w:tcPr>
          <w:p w14:paraId="C9030000">
            <w:pPr>
              <w:widowControl w:val="1"/>
              <w:ind w:firstLine="709" w:left="-1018" w:right="-237"/>
              <w:contextualSpacing w:val="1"/>
              <w:jc w:val="center"/>
              <w:rPr>
                <w:color w:val="000000"/>
                <w:sz w:val="22"/>
              </w:rPr>
            </w:pPr>
            <w:r>
              <w:rPr>
                <w:color w:val="000000"/>
                <w:sz w:val="22"/>
              </w:rPr>
              <w:t>Зона</w:t>
            </w:r>
          </w:p>
        </w:tc>
        <w:tc>
          <w:tcPr>
            <w:tcW w:type="dxa" w:w="1121"/>
            <w:tcBorders>
              <w:top w:color="000000" w:sz="4" w:val="single"/>
              <w:left w:color="000000" w:sz="4" w:val="single"/>
              <w:bottom w:color="000000" w:sz="4" w:val="single"/>
              <w:right w:color="000000" w:sz="4" w:val="single"/>
            </w:tcBorders>
            <w:shd w:fill="auto" w:val="clear"/>
            <w:vAlign w:val="center"/>
          </w:tcPr>
          <w:p w14:paraId="CA030000">
            <w:pPr>
              <w:widowControl w:val="1"/>
              <w:ind w:firstLine="867" w:left="-988" w:right="-108"/>
              <w:contextualSpacing w:val="1"/>
              <w:jc w:val="center"/>
              <w:rPr>
                <w:color w:val="000000"/>
                <w:sz w:val="22"/>
              </w:rPr>
            </w:pPr>
            <w:r>
              <w:rPr>
                <w:color w:val="000000"/>
                <w:sz w:val="22"/>
              </w:rPr>
              <w:t>Расстояние</w:t>
            </w:r>
          </w:p>
        </w:tc>
        <w:tc>
          <w:tcPr>
            <w:tcW w:type="dxa" w:w="1276"/>
            <w:tcBorders>
              <w:top w:color="000000" w:sz="4" w:val="single"/>
              <w:left w:sz="4" w:val="nil"/>
              <w:bottom w:color="000000" w:sz="4" w:val="single"/>
              <w:right w:color="000000" w:sz="4" w:val="single"/>
            </w:tcBorders>
            <w:shd w:fill="auto" w:val="clear"/>
            <w:vAlign w:val="center"/>
          </w:tcPr>
          <w:p w14:paraId="CB030000">
            <w:pPr>
              <w:widowControl w:val="1"/>
              <w:ind w:left="-108" w:right="-108"/>
              <w:contextualSpacing w:val="1"/>
              <w:jc w:val="center"/>
              <w:rPr>
                <w:color w:val="000000"/>
                <w:sz w:val="22"/>
              </w:rPr>
            </w:pPr>
            <w:r>
              <w:rPr>
                <w:color w:val="000000"/>
                <w:sz w:val="22"/>
              </w:rPr>
              <w:t>2013г. (с 04.01.2013г.)</w:t>
            </w:r>
          </w:p>
        </w:tc>
        <w:tc>
          <w:tcPr>
            <w:tcW w:type="dxa" w:w="1276"/>
            <w:tcBorders>
              <w:top w:color="000000" w:sz="4" w:val="single"/>
              <w:left w:color="000000" w:sz="4" w:val="single"/>
              <w:bottom w:color="000000" w:sz="4" w:val="single"/>
              <w:right w:color="000000" w:sz="4" w:val="single"/>
            </w:tcBorders>
            <w:shd w:fill="auto" w:val="clear"/>
            <w:vAlign w:val="center"/>
          </w:tcPr>
          <w:p w14:paraId="CC030000">
            <w:pPr>
              <w:widowControl w:val="1"/>
              <w:ind w:left="-108" w:right="-108"/>
              <w:contextualSpacing w:val="1"/>
              <w:jc w:val="center"/>
              <w:rPr>
                <w:color w:val="000000"/>
                <w:sz w:val="22"/>
              </w:rPr>
            </w:pPr>
            <w:r>
              <w:rPr>
                <w:color w:val="000000"/>
                <w:sz w:val="22"/>
              </w:rPr>
              <w:t>2014г.  ( с11.07.2014г.) -на отдельных участках (внутригород)</w:t>
            </w:r>
          </w:p>
        </w:tc>
        <w:tc>
          <w:tcPr>
            <w:tcW w:type="dxa" w:w="1275"/>
            <w:tcBorders>
              <w:top w:color="000000" w:sz="4" w:val="single"/>
              <w:left w:sz="4" w:val="nil"/>
              <w:bottom w:color="000000" w:sz="4" w:val="single"/>
              <w:right w:color="000000" w:sz="4" w:val="single"/>
            </w:tcBorders>
            <w:shd w:fill="auto" w:val="clear"/>
            <w:vAlign w:val="center"/>
          </w:tcPr>
          <w:p w14:paraId="CD030000">
            <w:pPr>
              <w:widowControl w:val="1"/>
              <w:ind w:left="-108" w:right="-108"/>
              <w:contextualSpacing w:val="1"/>
              <w:jc w:val="center"/>
              <w:rPr>
                <w:color w:val="000000"/>
                <w:sz w:val="22"/>
              </w:rPr>
            </w:pPr>
            <w:r>
              <w:rPr>
                <w:color w:val="000000"/>
                <w:sz w:val="22"/>
              </w:rPr>
              <w:t>2015 (с 17.04.2015г.)</w:t>
            </w:r>
          </w:p>
        </w:tc>
        <w:tc>
          <w:tcPr>
            <w:tcW w:type="dxa" w:w="1418"/>
            <w:tcBorders>
              <w:top w:color="000000" w:sz="4" w:val="single"/>
              <w:left w:color="000000" w:sz="4" w:val="single"/>
              <w:bottom w:color="000000" w:sz="4" w:val="single"/>
              <w:right w:color="000000" w:sz="4" w:val="single"/>
            </w:tcBorders>
            <w:shd w:fill="auto" w:val="clear"/>
            <w:vAlign w:val="center"/>
          </w:tcPr>
          <w:p w14:paraId="CE030000">
            <w:pPr>
              <w:widowControl w:val="1"/>
              <w:ind w:left="-108" w:right="-108"/>
              <w:contextualSpacing w:val="1"/>
              <w:jc w:val="center"/>
              <w:rPr>
                <w:color w:val="000000"/>
                <w:sz w:val="22"/>
              </w:rPr>
            </w:pPr>
            <w:r>
              <w:rPr>
                <w:color w:val="000000"/>
                <w:sz w:val="22"/>
              </w:rPr>
              <w:t>2016 (с 19.04.2016г.)</w:t>
            </w:r>
          </w:p>
        </w:tc>
        <w:tc>
          <w:tcPr>
            <w:tcW w:type="dxa" w:w="1276"/>
            <w:tcBorders>
              <w:top w:color="000000" w:sz="4" w:val="single"/>
              <w:left w:color="000000" w:sz="4" w:val="single"/>
              <w:bottom w:color="000000" w:sz="4" w:val="single"/>
              <w:right w:color="000000" w:sz="4" w:val="single"/>
            </w:tcBorders>
            <w:vAlign w:val="center"/>
          </w:tcPr>
          <w:p w14:paraId="CF030000">
            <w:pPr>
              <w:widowControl w:val="1"/>
              <w:ind w:left="-108" w:right="-108"/>
              <w:contextualSpacing w:val="1"/>
              <w:jc w:val="center"/>
              <w:rPr>
                <w:color w:val="000000"/>
                <w:sz w:val="22"/>
              </w:rPr>
            </w:pPr>
          </w:p>
          <w:p w14:paraId="D0030000">
            <w:pPr>
              <w:widowControl w:val="1"/>
              <w:ind w:left="-108" w:right="-108"/>
              <w:contextualSpacing w:val="1"/>
              <w:jc w:val="center"/>
              <w:rPr>
                <w:color w:val="000000"/>
                <w:sz w:val="22"/>
              </w:rPr>
            </w:pPr>
            <w:r>
              <w:rPr>
                <w:color w:val="000000"/>
                <w:sz w:val="22"/>
              </w:rPr>
              <w:t>2017</w:t>
            </w:r>
          </w:p>
        </w:tc>
        <w:tc>
          <w:tcPr>
            <w:tcW w:type="dxa" w:w="1134"/>
            <w:tcBorders>
              <w:top w:color="000000" w:sz="4" w:val="single"/>
              <w:left w:color="000000" w:sz="4" w:val="single"/>
              <w:bottom w:color="000000" w:sz="4" w:val="single"/>
              <w:right w:color="000000" w:sz="4" w:val="single"/>
            </w:tcBorders>
            <w:vAlign w:val="center"/>
          </w:tcPr>
          <w:p w14:paraId="D1030000">
            <w:pPr>
              <w:widowControl w:val="1"/>
              <w:ind w:left="-108" w:right="-108"/>
              <w:contextualSpacing w:val="1"/>
              <w:jc w:val="center"/>
              <w:rPr>
                <w:color w:val="000000"/>
                <w:sz w:val="22"/>
              </w:rPr>
            </w:pPr>
          </w:p>
          <w:p w14:paraId="D2030000">
            <w:pPr>
              <w:widowControl w:val="1"/>
              <w:ind w:left="-108" w:right="-108"/>
              <w:contextualSpacing w:val="1"/>
              <w:jc w:val="center"/>
              <w:rPr>
                <w:color w:val="000000"/>
                <w:sz w:val="22"/>
              </w:rPr>
            </w:pPr>
            <w:r>
              <w:rPr>
                <w:color w:val="000000"/>
                <w:sz w:val="22"/>
              </w:rPr>
              <w:t>2018</w:t>
            </w:r>
          </w:p>
        </w:tc>
      </w:tr>
      <w:tr>
        <w:trPr>
          <w:trHeight w:hRule="atLeast" w:val="205"/>
        </w:trPr>
        <w:tc>
          <w:tcPr>
            <w:tcW w:type="dxa" w:w="727"/>
            <w:tcBorders>
              <w:top w:sz="4" w:val="nil"/>
              <w:left w:color="000000" w:sz="4" w:val="single"/>
              <w:bottom w:color="000000" w:sz="4" w:val="single"/>
              <w:right w:color="000000" w:sz="4" w:val="single"/>
            </w:tcBorders>
            <w:shd w:fill="auto" w:val="clear"/>
            <w:vAlign w:val="center"/>
          </w:tcPr>
          <w:p w14:paraId="D3030000">
            <w:pPr>
              <w:widowControl w:val="1"/>
              <w:ind w:firstLine="709" w:left="-1018" w:right="-95"/>
              <w:contextualSpacing w:val="1"/>
              <w:jc w:val="center"/>
              <w:rPr>
                <w:color w:val="000000"/>
                <w:sz w:val="22"/>
              </w:rPr>
            </w:pPr>
            <w:r>
              <w:rPr>
                <w:color w:val="000000"/>
                <w:sz w:val="22"/>
              </w:rPr>
              <w:t>1</w:t>
            </w:r>
          </w:p>
        </w:tc>
        <w:tc>
          <w:tcPr>
            <w:tcW w:type="dxa" w:w="1121"/>
            <w:tcBorders>
              <w:top w:sz="4" w:val="nil"/>
              <w:left w:sz="4" w:val="nil"/>
              <w:bottom w:color="000000" w:sz="4" w:val="single"/>
              <w:right w:color="000000" w:sz="4" w:val="single"/>
            </w:tcBorders>
            <w:shd w:fill="auto" w:val="clear"/>
            <w:vAlign w:val="center"/>
          </w:tcPr>
          <w:p w14:paraId="D4030000">
            <w:pPr>
              <w:widowControl w:val="1"/>
              <w:ind w:firstLine="1039" w:left="-988" w:right="34"/>
              <w:contextualSpacing w:val="1"/>
              <w:jc w:val="center"/>
              <w:rPr>
                <w:color w:val="000000"/>
                <w:sz w:val="22"/>
              </w:rPr>
            </w:pPr>
            <w:r>
              <w:rPr>
                <w:color w:val="000000"/>
                <w:sz w:val="22"/>
              </w:rPr>
              <w:t>0-10</w:t>
            </w:r>
          </w:p>
        </w:tc>
        <w:tc>
          <w:tcPr>
            <w:tcW w:type="dxa" w:w="1276"/>
            <w:tcBorders>
              <w:top w:color="000000" w:sz="4" w:val="single"/>
              <w:left w:sz="4" w:val="nil"/>
              <w:bottom w:color="000000" w:sz="4" w:val="single"/>
              <w:right w:color="000000" w:sz="4" w:val="single"/>
            </w:tcBorders>
            <w:shd w:fill="auto" w:val="clear"/>
            <w:vAlign w:val="center"/>
          </w:tcPr>
          <w:p w14:paraId="D5030000">
            <w:pPr>
              <w:widowControl w:val="1"/>
              <w:ind w:firstLine="1039" w:left="-988" w:right="34"/>
              <w:contextualSpacing w:val="1"/>
              <w:jc w:val="center"/>
              <w:rPr>
                <w:color w:val="000000"/>
                <w:sz w:val="22"/>
              </w:rPr>
            </w:pPr>
            <w:r>
              <w:rPr>
                <w:color w:val="000000"/>
                <w:sz w:val="22"/>
              </w:rPr>
              <w:t>16</w:t>
            </w:r>
          </w:p>
        </w:tc>
        <w:tc>
          <w:tcPr>
            <w:tcW w:type="dxa" w:w="1276"/>
            <w:vMerge w:val="restart"/>
            <w:tcBorders>
              <w:top w:color="000000" w:sz="4" w:val="single"/>
              <w:left w:sz="4" w:val="nil"/>
              <w:bottom w:color="000000" w:sz="4" w:val="single"/>
              <w:right w:color="000000" w:sz="4" w:val="single"/>
            </w:tcBorders>
            <w:shd w:fill="auto" w:val="clear"/>
            <w:vAlign w:val="center"/>
          </w:tcPr>
          <w:p w14:paraId="D6030000">
            <w:pPr>
              <w:widowControl w:val="1"/>
              <w:ind w:firstLine="1039" w:left="-988" w:right="34"/>
              <w:contextualSpacing w:val="1"/>
              <w:jc w:val="center"/>
              <w:rPr>
                <w:color w:val="000000"/>
                <w:sz w:val="22"/>
              </w:rPr>
            </w:pPr>
            <w:r>
              <w:rPr>
                <w:color w:val="000000"/>
                <w:sz w:val="22"/>
              </w:rPr>
              <w:t>18</w:t>
            </w:r>
          </w:p>
        </w:tc>
        <w:tc>
          <w:tcPr>
            <w:tcW w:type="dxa" w:w="1275"/>
            <w:tcBorders>
              <w:top w:color="000000" w:sz="4" w:val="single"/>
              <w:left w:color="000000" w:sz="4" w:val="single"/>
              <w:bottom w:color="000000" w:sz="4" w:val="single"/>
              <w:right w:color="000000" w:sz="4" w:val="single"/>
            </w:tcBorders>
            <w:shd w:fill="auto" w:val="clear"/>
            <w:vAlign w:val="center"/>
          </w:tcPr>
          <w:p w14:paraId="D7030000">
            <w:pPr>
              <w:widowControl w:val="1"/>
              <w:ind w:firstLine="1039" w:left="-988" w:right="34"/>
              <w:contextualSpacing w:val="1"/>
              <w:jc w:val="center"/>
              <w:rPr>
                <w:color w:val="000000"/>
                <w:sz w:val="22"/>
              </w:rPr>
            </w:pPr>
            <w:r>
              <w:rPr>
                <w:color w:val="000000"/>
                <w:sz w:val="22"/>
              </w:rPr>
              <w:t>18</w:t>
            </w:r>
          </w:p>
        </w:tc>
        <w:tc>
          <w:tcPr>
            <w:tcW w:type="dxa" w:w="1418"/>
            <w:tcBorders>
              <w:top w:color="000000" w:sz="4" w:val="single"/>
              <w:left w:color="000000" w:sz="4" w:val="single"/>
              <w:bottom w:color="000000" w:sz="4" w:val="single"/>
              <w:right w:color="000000" w:sz="4" w:val="single"/>
            </w:tcBorders>
            <w:shd w:fill="auto" w:val="clear"/>
            <w:vAlign w:val="center"/>
          </w:tcPr>
          <w:p w14:paraId="D8030000">
            <w:pPr>
              <w:widowControl w:val="1"/>
              <w:ind w:firstLine="1039" w:left="-988" w:right="34"/>
              <w:contextualSpacing w:val="1"/>
              <w:jc w:val="center"/>
              <w:rPr>
                <w:sz w:val="22"/>
              </w:rPr>
            </w:pPr>
            <w:r>
              <w:rPr>
                <w:sz w:val="22"/>
              </w:rPr>
              <w:t>19</w:t>
            </w:r>
          </w:p>
        </w:tc>
        <w:tc>
          <w:tcPr>
            <w:tcW w:type="dxa" w:w="1276"/>
            <w:tcBorders>
              <w:top w:color="000000" w:sz="4" w:val="single"/>
              <w:left w:color="000000" w:sz="4" w:val="single"/>
              <w:bottom w:color="000000" w:sz="4" w:val="single"/>
              <w:right w:color="000000" w:sz="4" w:val="single"/>
            </w:tcBorders>
            <w:vAlign w:val="center"/>
          </w:tcPr>
          <w:p w14:paraId="D9030000">
            <w:pPr>
              <w:widowControl w:val="1"/>
              <w:ind w:firstLine="1039" w:left="-988" w:right="34"/>
              <w:contextualSpacing w:val="1"/>
              <w:jc w:val="center"/>
              <w:rPr>
                <w:sz w:val="22"/>
              </w:rPr>
            </w:pPr>
            <w:r>
              <w:rPr>
                <w:sz w:val="22"/>
              </w:rPr>
              <w:t>19</w:t>
            </w:r>
          </w:p>
        </w:tc>
        <w:tc>
          <w:tcPr>
            <w:tcW w:type="dxa" w:w="1134"/>
            <w:tcBorders>
              <w:top w:color="000000" w:sz="4" w:val="single"/>
              <w:left w:color="000000" w:sz="4" w:val="single"/>
              <w:bottom w:color="000000" w:sz="4" w:val="single"/>
              <w:right w:color="000000" w:sz="4" w:val="single"/>
            </w:tcBorders>
            <w:vAlign w:val="center"/>
          </w:tcPr>
          <w:p w14:paraId="DA030000">
            <w:pPr>
              <w:widowControl w:val="1"/>
              <w:ind w:firstLine="1039" w:left="-988" w:right="34"/>
              <w:contextualSpacing w:val="1"/>
              <w:jc w:val="center"/>
              <w:rPr>
                <w:sz w:val="22"/>
              </w:rPr>
            </w:pPr>
            <w:r>
              <w:rPr>
                <w:sz w:val="22"/>
              </w:rPr>
              <w:t>19</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DB030000">
            <w:pPr>
              <w:widowControl w:val="1"/>
              <w:ind w:firstLine="709" w:left="-1018" w:right="-95"/>
              <w:contextualSpacing w:val="1"/>
              <w:jc w:val="center"/>
              <w:rPr>
                <w:color w:val="000000"/>
                <w:sz w:val="22"/>
              </w:rPr>
            </w:pPr>
            <w:r>
              <w:rPr>
                <w:color w:val="000000"/>
                <w:sz w:val="22"/>
              </w:rPr>
              <w:t>2</w:t>
            </w:r>
          </w:p>
        </w:tc>
        <w:tc>
          <w:tcPr>
            <w:tcW w:type="dxa" w:w="1121"/>
            <w:tcBorders>
              <w:top w:sz="4" w:val="nil"/>
              <w:left w:sz="4" w:val="nil"/>
              <w:bottom w:color="000000" w:sz="4" w:val="single"/>
              <w:right w:color="000000" w:sz="4" w:val="single"/>
            </w:tcBorders>
            <w:shd w:fill="auto" w:val="clear"/>
            <w:vAlign w:val="center"/>
          </w:tcPr>
          <w:p w14:paraId="DC030000">
            <w:pPr>
              <w:widowControl w:val="1"/>
              <w:ind w:firstLine="1039" w:left="-988" w:right="34"/>
              <w:contextualSpacing w:val="1"/>
              <w:jc w:val="center"/>
              <w:rPr>
                <w:color w:val="000000"/>
                <w:sz w:val="22"/>
              </w:rPr>
            </w:pPr>
            <w:r>
              <w:rPr>
                <w:color w:val="000000"/>
                <w:sz w:val="22"/>
              </w:rPr>
              <w:t>11-20</w:t>
            </w:r>
          </w:p>
        </w:tc>
        <w:tc>
          <w:tcPr>
            <w:tcW w:type="dxa" w:w="1276"/>
            <w:tcBorders>
              <w:top w:sz="4" w:val="nil"/>
              <w:left w:sz="4" w:val="nil"/>
              <w:bottom w:color="000000" w:sz="4" w:val="single"/>
              <w:right w:color="000000" w:sz="4" w:val="single"/>
            </w:tcBorders>
            <w:shd w:fill="auto" w:val="clear"/>
            <w:vAlign w:val="center"/>
          </w:tcPr>
          <w:p w14:paraId="DD030000">
            <w:pPr>
              <w:widowControl w:val="1"/>
              <w:ind w:firstLine="1039" w:left="-988" w:right="34"/>
              <w:contextualSpacing w:val="1"/>
              <w:jc w:val="center"/>
              <w:rPr>
                <w:color w:val="000000"/>
                <w:sz w:val="22"/>
              </w:rPr>
            </w:pPr>
            <w:r>
              <w:rPr>
                <w:color w:val="000000"/>
                <w:sz w:val="22"/>
              </w:rPr>
              <w:t>22</w:t>
            </w:r>
          </w:p>
        </w:tc>
        <w:tc>
          <w:tcPr>
            <w:tcW w:type="dxa" w:w="1276"/>
            <w:gridSpan w:val="1"/>
            <w:vMerge w:val="continue"/>
            <w:tcBorders>
              <w:top w:color="000000" w:sz="4" w:val="single"/>
              <w:left w:sz="4" w:val="nil"/>
              <w:bottom w:color="000000" w:sz="4" w:val="single"/>
              <w:right w:color="000000" w:sz="4" w:val="single"/>
            </w:tcBorders>
            <w:shd w:fill="auto" w:val="clear"/>
            <w:vAlign w:val="center"/>
          </w:tcPr>
          <w:p/>
        </w:tc>
        <w:tc>
          <w:tcPr>
            <w:tcW w:type="dxa" w:w="1275"/>
            <w:tcBorders>
              <w:top w:color="000000" w:sz="4" w:val="single"/>
              <w:left w:color="000000" w:sz="4" w:val="single"/>
              <w:bottom w:color="000000" w:sz="4" w:val="single"/>
              <w:right w:color="000000" w:sz="4" w:val="single"/>
            </w:tcBorders>
            <w:shd w:fill="auto" w:val="clear"/>
            <w:vAlign w:val="center"/>
          </w:tcPr>
          <w:p w14:paraId="DE030000">
            <w:pPr>
              <w:widowControl w:val="1"/>
              <w:ind w:firstLine="1039" w:left="-988" w:right="34"/>
              <w:contextualSpacing w:val="1"/>
              <w:jc w:val="center"/>
              <w:rPr>
                <w:color w:val="000000"/>
                <w:sz w:val="22"/>
              </w:rPr>
            </w:pPr>
            <w:r>
              <w:rPr>
                <w:color w:val="000000"/>
                <w:sz w:val="22"/>
              </w:rPr>
              <w:t>24</w:t>
            </w:r>
          </w:p>
        </w:tc>
        <w:tc>
          <w:tcPr>
            <w:tcW w:type="dxa" w:w="1418"/>
            <w:tcBorders>
              <w:top w:color="000000" w:sz="4" w:val="single"/>
              <w:left w:color="000000" w:sz="4" w:val="single"/>
              <w:bottom w:color="000000" w:sz="4" w:val="single"/>
              <w:right w:color="000000" w:sz="4" w:val="single"/>
            </w:tcBorders>
            <w:shd w:fill="auto" w:val="clear"/>
            <w:vAlign w:val="center"/>
          </w:tcPr>
          <w:p w14:paraId="DF030000">
            <w:pPr>
              <w:widowControl w:val="1"/>
              <w:ind w:firstLine="1039" w:left="-988" w:right="34"/>
              <w:contextualSpacing w:val="1"/>
              <w:jc w:val="center"/>
              <w:rPr>
                <w:sz w:val="22"/>
              </w:rPr>
            </w:pPr>
            <w:r>
              <w:rPr>
                <w:sz w:val="22"/>
              </w:rPr>
              <w:t>26</w:t>
            </w:r>
          </w:p>
        </w:tc>
        <w:tc>
          <w:tcPr>
            <w:tcW w:type="dxa" w:w="1276"/>
            <w:tcBorders>
              <w:top w:color="000000" w:sz="4" w:val="single"/>
              <w:left w:color="000000" w:sz="4" w:val="single"/>
              <w:bottom w:color="000000" w:sz="4" w:val="single"/>
              <w:right w:color="000000" w:sz="4" w:val="single"/>
            </w:tcBorders>
            <w:vAlign w:val="center"/>
          </w:tcPr>
          <w:p w14:paraId="E0030000">
            <w:pPr>
              <w:widowControl w:val="1"/>
              <w:ind w:firstLine="1039" w:left="-988" w:right="34"/>
              <w:contextualSpacing w:val="1"/>
              <w:jc w:val="center"/>
              <w:rPr>
                <w:sz w:val="22"/>
              </w:rPr>
            </w:pPr>
            <w:r>
              <w:rPr>
                <w:sz w:val="22"/>
              </w:rPr>
              <w:t>26</w:t>
            </w:r>
          </w:p>
        </w:tc>
        <w:tc>
          <w:tcPr>
            <w:tcW w:type="dxa" w:w="1134"/>
            <w:tcBorders>
              <w:top w:color="000000" w:sz="4" w:val="single"/>
              <w:left w:color="000000" w:sz="4" w:val="single"/>
              <w:bottom w:color="000000" w:sz="4" w:val="single"/>
              <w:right w:color="000000" w:sz="4" w:val="single"/>
            </w:tcBorders>
            <w:vAlign w:val="center"/>
          </w:tcPr>
          <w:p w14:paraId="E1030000">
            <w:pPr>
              <w:widowControl w:val="1"/>
              <w:ind w:firstLine="1039" w:left="-988" w:right="34"/>
              <w:contextualSpacing w:val="1"/>
              <w:jc w:val="center"/>
              <w:rPr>
                <w:sz w:val="22"/>
              </w:rPr>
            </w:pPr>
            <w:r>
              <w:rPr>
                <w:sz w:val="22"/>
              </w:rPr>
              <w:t>26</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E2030000">
            <w:pPr>
              <w:widowControl w:val="1"/>
              <w:ind w:firstLine="709" w:left="-1018" w:right="-95"/>
              <w:contextualSpacing w:val="1"/>
              <w:jc w:val="center"/>
              <w:rPr>
                <w:color w:val="000000"/>
                <w:sz w:val="22"/>
              </w:rPr>
            </w:pPr>
            <w:r>
              <w:rPr>
                <w:color w:val="000000"/>
                <w:sz w:val="22"/>
              </w:rPr>
              <w:t>3</w:t>
            </w:r>
          </w:p>
        </w:tc>
        <w:tc>
          <w:tcPr>
            <w:tcW w:type="dxa" w:w="1121"/>
            <w:tcBorders>
              <w:top w:sz="4" w:val="nil"/>
              <w:left w:sz="4" w:val="nil"/>
              <w:bottom w:color="000000" w:sz="4" w:val="single"/>
              <w:right w:color="000000" w:sz="4" w:val="single"/>
            </w:tcBorders>
            <w:shd w:fill="auto" w:val="clear"/>
            <w:vAlign w:val="center"/>
          </w:tcPr>
          <w:p w14:paraId="E3030000">
            <w:pPr>
              <w:widowControl w:val="1"/>
              <w:ind w:firstLine="1039" w:left="-988" w:right="34"/>
              <w:contextualSpacing w:val="1"/>
              <w:jc w:val="center"/>
              <w:rPr>
                <w:color w:val="000000"/>
                <w:sz w:val="22"/>
              </w:rPr>
            </w:pPr>
            <w:r>
              <w:rPr>
                <w:color w:val="000000"/>
                <w:sz w:val="22"/>
              </w:rPr>
              <w:t>21-30</w:t>
            </w:r>
          </w:p>
        </w:tc>
        <w:tc>
          <w:tcPr>
            <w:tcW w:type="dxa" w:w="1276"/>
            <w:tcBorders>
              <w:top w:sz="4" w:val="nil"/>
              <w:left w:sz="4" w:val="nil"/>
              <w:bottom w:color="000000" w:sz="4" w:val="single"/>
              <w:right w:color="000000" w:sz="4" w:val="single"/>
            </w:tcBorders>
            <w:shd w:fill="auto" w:val="clear"/>
            <w:vAlign w:val="center"/>
          </w:tcPr>
          <w:p w14:paraId="E4030000">
            <w:pPr>
              <w:widowControl w:val="1"/>
              <w:ind w:firstLine="1039" w:left="-988" w:right="34"/>
              <w:contextualSpacing w:val="1"/>
              <w:jc w:val="center"/>
              <w:rPr>
                <w:color w:val="000000"/>
                <w:sz w:val="22"/>
              </w:rPr>
            </w:pPr>
            <w:r>
              <w:rPr>
                <w:color w:val="000000"/>
                <w:sz w:val="22"/>
              </w:rPr>
              <w:t>28</w:t>
            </w:r>
          </w:p>
        </w:tc>
        <w:tc>
          <w:tcPr>
            <w:tcW w:type="dxa" w:w="1276"/>
            <w:gridSpan w:val="1"/>
            <w:vMerge w:val="continue"/>
            <w:tcBorders>
              <w:top w:color="000000" w:sz="4" w:val="single"/>
              <w:left w:sz="4" w:val="nil"/>
              <w:bottom w:color="000000" w:sz="4" w:val="single"/>
              <w:right w:color="000000" w:sz="4" w:val="single"/>
            </w:tcBorders>
            <w:shd w:fill="auto" w:val="clear"/>
            <w:vAlign w:val="center"/>
          </w:tcPr>
          <w:p/>
        </w:tc>
        <w:tc>
          <w:tcPr>
            <w:tcW w:type="dxa" w:w="1275"/>
            <w:tcBorders>
              <w:top w:color="000000" w:sz="4" w:val="single"/>
              <w:left w:color="000000" w:sz="4" w:val="single"/>
              <w:bottom w:color="000000" w:sz="4" w:val="single"/>
              <w:right w:color="000000" w:sz="4" w:val="single"/>
            </w:tcBorders>
            <w:shd w:fill="auto" w:val="clear"/>
            <w:vAlign w:val="center"/>
          </w:tcPr>
          <w:p w14:paraId="E5030000">
            <w:pPr>
              <w:widowControl w:val="1"/>
              <w:ind w:firstLine="1039" w:left="-988" w:right="34"/>
              <w:contextualSpacing w:val="1"/>
              <w:jc w:val="center"/>
              <w:rPr>
                <w:color w:val="000000"/>
                <w:sz w:val="22"/>
              </w:rPr>
            </w:pPr>
            <w:r>
              <w:rPr>
                <w:color w:val="000000"/>
                <w:sz w:val="22"/>
              </w:rPr>
              <w:t>31</w:t>
            </w:r>
          </w:p>
        </w:tc>
        <w:tc>
          <w:tcPr>
            <w:tcW w:type="dxa" w:w="1418"/>
            <w:tcBorders>
              <w:top w:color="000000" w:sz="4" w:val="single"/>
              <w:left w:color="000000" w:sz="4" w:val="single"/>
              <w:bottom w:color="000000" w:sz="4" w:val="single"/>
              <w:right w:color="000000" w:sz="4" w:val="single"/>
            </w:tcBorders>
            <w:shd w:fill="auto" w:val="clear"/>
            <w:vAlign w:val="center"/>
          </w:tcPr>
          <w:p w14:paraId="E6030000">
            <w:pPr>
              <w:widowControl w:val="1"/>
              <w:ind w:firstLine="1039" w:left="-988" w:right="34"/>
              <w:contextualSpacing w:val="1"/>
              <w:jc w:val="center"/>
              <w:rPr>
                <w:sz w:val="22"/>
              </w:rPr>
            </w:pPr>
            <w:r>
              <w:rPr>
                <w:sz w:val="22"/>
              </w:rPr>
              <w:t>34</w:t>
            </w:r>
          </w:p>
        </w:tc>
        <w:tc>
          <w:tcPr>
            <w:tcW w:type="dxa" w:w="1276"/>
            <w:tcBorders>
              <w:top w:color="000000" w:sz="4" w:val="single"/>
              <w:left w:color="000000" w:sz="4" w:val="single"/>
              <w:bottom w:color="000000" w:sz="4" w:val="single"/>
              <w:right w:color="000000" w:sz="4" w:val="single"/>
            </w:tcBorders>
            <w:vAlign w:val="center"/>
          </w:tcPr>
          <w:p w14:paraId="E7030000">
            <w:pPr>
              <w:widowControl w:val="1"/>
              <w:ind w:firstLine="1039" w:left="-988" w:right="34"/>
              <w:contextualSpacing w:val="1"/>
              <w:jc w:val="center"/>
              <w:rPr>
                <w:sz w:val="22"/>
              </w:rPr>
            </w:pPr>
            <w:r>
              <w:rPr>
                <w:sz w:val="22"/>
              </w:rPr>
              <w:t>34</w:t>
            </w:r>
          </w:p>
        </w:tc>
        <w:tc>
          <w:tcPr>
            <w:tcW w:type="dxa" w:w="1134"/>
            <w:tcBorders>
              <w:top w:color="000000" w:sz="4" w:val="single"/>
              <w:left w:color="000000" w:sz="4" w:val="single"/>
              <w:bottom w:color="000000" w:sz="4" w:val="single"/>
              <w:right w:color="000000" w:sz="4" w:val="single"/>
            </w:tcBorders>
            <w:vAlign w:val="center"/>
          </w:tcPr>
          <w:p w14:paraId="E8030000">
            <w:pPr>
              <w:widowControl w:val="1"/>
              <w:ind w:firstLine="1039" w:left="-988" w:right="34"/>
              <w:contextualSpacing w:val="1"/>
              <w:jc w:val="center"/>
              <w:rPr>
                <w:sz w:val="22"/>
              </w:rPr>
            </w:pPr>
            <w:r>
              <w:rPr>
                <w:sz w:val="22"/>
              </w:rPr>
              <w:t>34</w:t>
            </w:r>
          </w:p>
        </w:tc>
      </w:tr>
      <w:tr>
        <w:trPr>
          <w:trHeight w:hRule="atLeast" w:val="195"/>
        </w:trPr>
        <w:tc>
          <w:tcPr>
            <w:tcW w:type="dxa" w:w="727"/>
            <w:tcBorders>
              <w:top w:sz="4" w:val="nil"/>
              <w:left w:color="000000" w:sz="4" w:val="single"/>
              <w:bottom w:color="000000" w:sz="4" w:val="single"/>
              <w:right w:color="000000" w:sz="4" w:val="single"/>
            </w:tcBorders>
            <w:shd w:fill="auto" w:val="clear"/>
            <w:vAlign w:val="center"/>
          </w:tcPr>
          <w:p w14:paraId="E9030000">
            <w:pPr>
              <w:widowControl w:val="1"/>
              <w:ind w:firstLine="709" w:left="-1018" w:right="-95"/>
              <w:contextualSpacing w:val="1"/>
              <w:jc w:val="center"/>
              <w:rPr>
                <w:color w:val="000000"/>
                <w:sz w:val="22"/>
              </w:rPr>
            </w:pPr>
            <w:r>
              <w:rPr>
                <w:color w:val="000000"/>
                <w:sz w:val="22"/>
              </w:rPr>
              <w:t>4</w:t>
            </w:r>
          </w:p>
        </w:tc>
        <w:tc>
          <w:tcPr>
            <w:tcW w:type="dxa" w:w="1121"/>
            <w:tcBorders>
              <w:top w:sz="4" w:val="nil"/>
              <w:left w:sz="4" w:val="nil"/>
              <w:bottom w:color="000000" w:sz="4" w:val="single"/>
              <w:right w:color="000000" w:sz="4" w:val="single"/>
            </w:tcBorders>
            <w:shd w:fill="auto" w:val="clear"/>
            <w:vAlign w:val="center"/>
          </w:tcPr>
          <w:p w14:paraId="EA030000">
            <w:pPr>
              <w:widowControl w:val="1"/>
              <w:ind w:firstLine="1039" w:left="-988" w:right="34"/>
              <w:contextualSpacing w:val="1"/>
              <w:jc w:val="center"/>
              <w:rPr>
                <w:color w:val="000000"/>
                <w:sz w:val="22"/>
              </w:rPr>
            </w:pPr>
            <w:r>
              <w:rPr>
                <w:color w:val="000000"/>
                <w:sz w:val="22"/>
              </w:rPr>
              <w:t>31-40</w:t>
            </w:r>
          </w:p>
        </w:tc>
        <w:tc>
          <w:tcPr>
            <w:tcW w:type="dxa" w:w="1276"/>
            <w:tcBorders>
              <w:top w:sz="4" w:val="nil"/>
              <w:left w:sz="4" w:val="nil"/>
              <w:bottom w:color="000000" w:sz="4" w:val="single"/>
              <w:right w:color="000000" w:sz="4" w:val="single"/>
            </w:tcBorders>
            <w:shd w:fill="auto" w:val="clear"/>
            <w:vAlign w:val="center"/>
          </w:tcPr>
          <w:p w14:paraId="EB030000">
            <w:pPr>
              <w:widowControl w:val="1"/>
              <w:ind w:firstLine="1039" w:left="-988" w:right="34"/>
              <w:contextualSpacing w:val="1"/>
              <w:jc w:val="center"/>
              <w:rPr>
                <w:color w:val="000000"/>
                <w:sz w:val="22"/>
              </w:rPr>
            </w:pPr>
            <w:r>
              <w:rPr>
                <w:color w:val="000000"/>
                <w:sz w:val="22"/>
              </w:rPr>
              <w:t>36</w:t>
            </w:r>
          </w:p>
        </w:tc>
        <w:tc>
          <w:tcPr>
            <w:tcW w:type="dxa" w:w="1276"/>
            <w:tcBorders>
              <w:top w:sz="4" w:val="nil"/>
              <w:left w:sz="4" w:val="nil"/>
              <w:bottom w:color="000000" w:sz="4" w:val="single"/>
              <w:right w:color="000000" w:sz="4" w:val="single"/>
            </w:tcBorders>
            <w:shd w:fill="auto" w:val="clear"/>
            <w:vAlign w:val="center"/>
          </w:tcPr>
          <w:p w14:paraId="EC030000">
            <w:pPr>
              <w:widowControl w:val="1"/>
              <w:ind w:firstLine="1039" w:left="-988" w:right="34"/>
              <w:contextualSpacing w:val="1"/>
              <w:jc w:val="center"/>
              <w:rPr>
                <w:color w:val="000000"/>
                <w:sz w:val="22"/>
              </w:rPr>
            </w:pPr>
          </w:p>
        </w:tc>
        <w:tc>
          <w:tcPr>
            <w:tcW w:type="dxa" w:w="1275"/>
            <w:tcBorders>
              <w:top w:color="000000" w:sz="4" w:val="single"/>
              <w:left w:color="000000" w:sz="4" w:val="single"/>
              <w:bottom w:color="000000" w:sz="4" w:val="single"/>
              <w:right w:color="000000" w:sz="4" w:val="single"/>
            </w:tcBorders>
            <w:shd w:fill="auto" w:val="clear"/>
            <w:vAlign w:val="center"/>
          </w:tcPr>
          <w:p w14:paraId="ED030000">
            <w:pPr>
              <w:widowControl w:val="1"/>
              <w:ind w:firstLine="1039" w:left="-988" w:right="34"/>
              <w:contextualSpacing w:val="1"/>
              <w:jc w:val="center"/>
              <w:rPr>
                <w:color w:val="000000"/>
                <w:sz w:val="22"/>
              </w:rPr>
            </w:pPr>
            <w:r>
              <w:rPr>
                <w:color w:val="000000"/>
                <w:sz w:val="22"/>
              </w:rPr>
              <w:t>40</w:t>
            </w:r>
          </w:p>
        </w:tc>
        <w:tc>
          <w:tcPr>
            <w:tcW w:type="dxa" w:w="1418"/>
            <w:tcBorders>
              <w:top w:color="000000" w:sz="4" w:val="single"/>
              <w:left w:color="000000" w:sz="4" w:val="single"/>
              <w:bottom w:color="000000" w:sz="4" w:val="single"/>
              <w:right w:color="000000" w:sz="4" w:val="single"/>
            </w:tcBorders>
            <w:shd w:fill="auto" w:val="clear"/>
            <w:vAlign w:val="center"/>
          </w:tcPr>
          <w:p w14:paraId="EE030000">
            <w:pPr>
              <w:widowControl w:val="1"/>
              <w:ind w:firstLine="1039" w:left="-988" w:right="34"/>
              <w:contextualSpacing w:val="1"/>
              <w:jc w:val="center"/>
              <w:rPr>
                <w:sz w:val="22"/>
              </w:rPr>
            </w:pPr>
            <w:r>
              <w:rPr>
                <w:sz w:val="22"/>
              </w:rPr>
              <w:t>44</w:t>
            </w:r>
          </w:p>
        </w:tc>
        <w:tc>
          <w:tcPr>
            <w:tcW w:type="dxa" w:w="1276"/>
            <w:tcBorders>
              <w:top w:color="000000" w:sz="4" w:val="single"/>
              <w:left w:color="000000" w:sz="4" w:val="single"/>
              <w:bottom w:color="000000" w:sz="4" w:val="single"/>
              <w:right w:color="000000" w:sz="4" w:val="single"/>
            </w:tcBorders>
            <w:vAlign w:val="center"/>
          </w:tcPr>
          <w:p w14:paraId="EF030000">
            <w:pPr>
              <w:widowControl w:val="1"/>
              <w:ind w:firstLine="1039" w:left="-988" w:right="34"/>
              <w:contextualSpacing w:val="1"/>
              <w:jc w:val="center"/>
              <w:rPr>
                <w:sz w:val="22"/>
              </w:rPr>
            </w:pPr>
            <w:r>
              <w:rPr>
                <w:sz w:val="22"/>
              </w:rPr>
              <w:t>44</w:t>
            </w:r>
          </w:p>
        </w:tc>
        <w:tc>
          <w:tcPr>
            <w:tcW w:type="dxa" w:w="1134"/>
            <w:tcBorders>
              <w:top w:color="000000" w:sz="4" w:val="single"/>
              <w:left w:color="000000" w:sz="4" w:val="single"/>
              <w:bottom w:color="000000" w:sz="4" w:val="single"/>
              <w:right w:color="000000" w:sz="4" w:val="single"/>
            </w:tcBorders>
            <w:vAlign w:val="center"/>
          </w:tcPr>
          <w:p w14:paraId="F0030000">
            <w:pPr>
              <w:widowControl w:val="1"/>
              <w:ind w:firstLine="1039" w:left="-988" w:right="34"/>
              <w:contextualSpacing w:val="1"/>
              <w:jc w:val="center"/>
              <w:rPr>
                <w:sz w:val="22"/>
              </w:rPr>
            </w:pPr>
            <w:r>
              <w:rPr>
                <w:sz w:val="22"/>
              </w:rPr>
              <w:t>44</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F1030000">
            <w:pPr>
              <w:widowControl w:val="1"/>
              <w:ind w:firstLine="709" w:left="-1018" w:right="-95"/>
              <w:contextualSpacing w:val="1"/>
              <w:jc w:val="center"/>
              <w:rPr>
                <w:color w:val="000000"/>
                <w:sz w:val="22"/>
              </w:rPr>
            </w:pPr>
            <w:r>
              <w:rPr>
                <w:color w:val="000000"/>
                <w:sz w:val="22"/>
              </w:rPr>
              <w:t>5</w:t>
            </w:r>
          </w:p>
        </w:tc>
        <w:tc>
          <w:tcPr>
            <w:tcW w:type="dxa" w:w="1121"/>
            <w:tcBorders>
              <w:top w:sz="4" w:val="nil"/>
              <w:left w:sz="4" w:val="nil"/>
              <w:bottom w:color="000000" w:sz="4" w:val="single"/>
              <w:right w:color="000000" w:sz="4" w:val="single"/>
            </w:tcBorders>
            <w:shd w:fill="auto" w:val="clear"/>
            <w:vAlign w:val="center"/>
          </w:tcPr>
          <w:p w14:paraId="F2030000">
            <w:pPr>
              <w:widowControl w:val="1"/>
              <w:ind w:firstLine="1039" w:left="-988" w:right="34"/>
              <w:contextualSpacing w:val="1"/>
              <w:jc w:val="center"/>
              <w:rPr>
                <w:color w:val="000000"/>
                <w:sz w:val="22"/>
              </w:rPr>
            </w:pPr>
            <w:r>
              <w:rPr>
                <w:color w:val="000000"/>
                <w:sz w:val="22"/>
              </w:rPr>
              <w:t>41-50</w:t>
            </w:r>
          </w:p>
        </w:tc>
        <w:tc>
          <w:tcPr>
            <w:tcW w:type="dxa" w:w="1276"/>
            <w:tcBorders>
              <w:top w:sz="4" w:val="nil"/>
              <w:left w:sz="4" w:val="nil"/>
              <w:bottom w:color="000000" w:sz="4" w:val="single"/>
              <w:right w:color="000000" w:sz="4" w:val="single"/>
            </w:tcBorders>
            <w:shd w:fill="auto" w:val="clear"/>
            <w:vAlign w:val="center"/>
          </w:tcPr>
          <w:p w14:paraId="F3030000">
            <w:pPr>
              <w:widowControl w:val="1"/>
              <w:ind w:firstLine="1039" w:left="-988" w:right="34"/>
              <w:contextualSpacing w:val="1"/>
              <w:jc w:val="center"/>
              <w:rPr>
                <w:color w:val="000000"/>
                <w:sz w:val="22"/>
              </w:rPr>
            </w:pPr>
            <w:r>
              <w:rPr>
                <w:color w:val="000000"/>
                <w:sz w:val="22"/>
              </w:rPr>
              <w:t>41</w:t>
            </w:r>
          </w:p>
        </w:tc>
        <w:tc>
          <w:tcPr>
            <w:tcW w:type="dxa" w:w="1276"/>
            <w:tcBorders>
              <w:top w:sz="4" w:val="nil"/>
              <w:left w:sz="4" w:val="nil"/>
              <w:bottom w:color="000000" w:sz="4" w:val="single"/>
              <w:right w:color="000000" w:sz="4" w:val="single"/>
            </w:tcBorders>
            <w:shd w:fill="auto" w:val="clear"/>
            <w:vAlign w:val="center"/>
          </w:tcPr>
          <w:p w14:paraId="F4030000">
            <w:pPr>
              <w:widowControl w:val="1"/>
              <w:ind w:firstLine="1039" w:left="-988" w:right="34"/>
              <w:contextualSpacing w:val="1"/>
              <w:jc w:val="center"/>
              <w:rPr>
                <w:color w:val="000000"/>
                <w:sz w:val="22"/>
              </w:rPr>
            </w:pPr>
          </w:p>
        </w:tc>
        <w:tc>
          <w:tcPr>
            <w:tcW w:type="dxa" w:w="1275"/>
            <w:tcBorders>
              <w:top w:color="000000" w:sz="4" w:val="single"/>
              <w:left w:sz="4" w:val="nil"/>
              <w:bottom w:color="000000" w:sz="4" w:val="single"/>
              <w:right w:sz="4" w:val="nil"/>
            </w:tcBorders>
            <w:shd w:fill="auto" w:val="clear"/>
            <w:vAlign w:val="center"/>
          </w:tcPr>
          <w:p w14:paraId="F5030000">
            <w:pPr>
              <w:widowControl w:val="1"/>
              <w:ind w:firstLine="1039" w:left="-988" w:right="34"/>
              <w:contextualSpacing w:val="1"/>
              <w:jc w:val="center"/>
              <w:rPr>
                <w:color w:val="000000"/>
                <w:sz w:val="22"/>
              </w:rPr>
            </w:pPr>
            <w:r>
              <w:rPr>
                <w:color w:val="000000"/>
                <w:sz w:val="22"/>
              </w:rPr>
              <w:t>45</w:t>
            </w:r>
          </w:p>
        </w:tc>
        <w:tc>
          <w:tcPr>
            <w:tcW w:type="dxa" w:w="1418"/>
            <w:tcBorders>
              <w:top w:sz="4" w:val="nil"/>
              <w:left w:color="000000" w:sz="4" w:val="single"/>
              <w:bottom w:color="000000" w:sz="4" w:val="single"/>
              <w:right w:color="000000" w:sz="4" w:val="single"/>
            </w:tcBorders>
            <w:shd w:fill="auto" w:val="clear"/>
            <w:vAlign w:val="center"/>
          </w:tcPr>
          <w:p w14:paraId="F6030000">
            <w:pPr>
              <w:widowControl w:val="1"/>
              <w:ind w:firstLine="1039" w:left="-988" w:right="34"/>
              <w:contextualSpacing w:val="1"/>
              <w:jc w:val="center"/>
              <w:rPr>
                <w:sz w:val="22"/>
              </w:rPr>
            </w:pPr>
            <w:r>
              <w:rPr>
                <w:sz w:val="22"/>
              </w:rPr>
              <w:t>49</w:t>
            </w:r>
          </w:p>
        </w:tc>
        <w:tc>
          <w:tcPr>
            <w:tcW w:type="dxa" w:w="1276"/>
            <w:tcBorders>
              <w:top w:sz="4" w:val="nil"/>
              <w:left w:color="000000" w:sz="4" w:val="single"/>
              <w:bottom w:color="000000" w:sz="4" w:val="single"/>
              <w:right w:color="000000" w:sz="4" w:val="single"/>
            </w:tcBorders>
            <w:vAlign w:val="center"/>
          </w:tcPr>
          <w:p w14:paraId="F7030000">
            <w:pPr>
              <w:widowControl w:val="1"/>
              <w:ind w:firstLine="1039" w:left="-988" w:right="34"/>
              <w:contextualSpacing w:val="1"/>
              <w:jc w:val="center"/>
              <w:rPr>
                <w:sz w:val="22"/>
              </w:rPr>
            </w:pPr>
            <w:r>
              <w:rPr>
                <w:sz w:val="22"/>
              </w:rPr>
              <w:t>49</w:t>
            </w:r>
          </w:p>
        </w:tc>
        <w:tc>
          <w:tcPr>
            <w:tcW w:type="dxa" w:w="1134"/>
            <w:tcBorders>
              <w:top w:sz="4" w:val="nil"/>
              <w:left w:color="000000" w:sz="4" w:val="single"/>
              <w:bottom w:color="000000" w:sz="4" w:val="single"/>
              <w:right w:color="000000" w:sz="4" w:val="single"/>
            </w:tcBorders>
            <w:vAlign w:val="center"/>
          </w:tcPr>
          <w:p w14:paraId="F8030000">
            <w:pPr>
              <w:widowControl w:val="1"/>
              <w:ind w:firstLine="1039" w:left="-988" w:right="34"/>
              <w:contextualSpacing w:val="1"/>
              <w:jc w:val="center"/>
              <w:rPr>
                <w:sz w:val="22"/>
              </w:rPr>
            </w:pPr>
            <w:r>
              <w:rPr>
                <w:sz w:val="22"/>
              </w:rPr>
              <w:t>49</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F9030000">
            <w:pPr>
              <w:widowControl w:val="1"/>
              <w:ind w:firstLine="709" w:left="-1018" w:right="-95"/>
              <w:contextualSpacing w:val="1"/>
              <w:jc w:val="center"/>
              <w:rPr>
                <w:color w:val="000000"/>
                <w:sz w:val="22"/>
              </w:rPr>
            </w:pPr>
            <w:r>
              <w:rPr>
                <w:color w:val="000000"/>
                <w:sz w:val="22"/>
              </w:rPr>
              <w:t>6</w:t>
            </w:r>
          </w:p>
        </w:tc>
        <w:tc>
          <w:tcPr>
            <w:tcW w:type="dxa" w:w="1121"/>
            <w:tcBorders>
              <w:top w:sz="4" w:val="nil"/>
              <w:left w:sz="4" w:val="nil"/>
              <w:bottom w:color="000000" w:sz="4" w:val="single"/>
              <w:right w:color="000000" w:sz="4" w:val="single"/>
            </w:tcBorders>
            <w:shd w:fill="auto" w:val="clear"/>
            <w:vAlign w:val="center"/>
          </w:tcPr>
          <w:p w14:paraId="FA030000">
            <w:pPr>
              <w:widowControl w:val="1"/>
              <w:ind w:firstLine="1039" w:left="-988" w:right="34"/>
              <w:contextualSpacing w:val="1"/>
              <w:jc w:val="center"/>
              <w:rPr>
                <w:color w:val="000000"/>
                <w:sz w:val="22"/>
              </w:rPr>
            </w:pPr>
            <w:r>
              <w:rPr>
                <w:color w:val="000000"/>
                <w:sz w:val="22"/>
              </w:rPr>
              <w:t>51-60</w:t>
            </w:r>
          </w:p>
        </w:tc>
        <w:tc>
          <w:tcPr>
            <w:tcW w:type="dxa" w:w="1276"/>
            <w:tcBorders>
              <w:top w:sz="4" w:val="nil"/>
              <w:left w:sz="4" w:val="nil"/>
              <w:bottom w:color="000000" w:sz="4" w:val="single"/>
              <w:right w:color="000000" w:sz="4" w:val="single"/>
            </w:tcBorders>
            <w:shd w:fill="auto" w:val="clear"/>
            <w:vAlign w:val="center"/>
          </w:tcPr>
          <w:p w14:paraId="FB030000">
            <w:pPr>
              <w:widowControl w:val="1"/>
              <w:ind w:firstLine="1039" w:left="-988" w:right="34"/>
              <w:contextualSpacing w:val="1"/>
              <w:jc w:val="center"/>
              <w:rPr>
                <w:color w:val="000000"/>
                <w:sz w:val="22"/>
              </w:rPr>
            </w:pPr>
            <w:r>
              <w:rPr>
                <w:color w:val="000000"/>
                <w:sz w:val="22"/>
              </w:rPr>
              <w:t>45</w:t>
            </w:r>
          </w:p>
        </w:tc>
        <w:tc>
          <w:tcPr>
            <w:tcW w:type="dxa" w:w="1276"/>
            <w:tcBorders>
              <w:top w:color="000000" w:sz="4" w:val="single"/>
              <w:left w:sz="4" w:val="nil"/>
              <w:bottom w:color="000000" w:sz="4" w:val="single"/>
              <w:right w:color="000000" w:sz="4" w:val="single"/>
            </w:tcBorders>
            <w:shd w:fill="auto" w:val="clear"/>
            <w:vAlign w:val="center"/>
          </w:tcPr>
          <w:p w14:paraId="FC030000">
            <w:pPr>
              <w:widowControl w:val="1"/>
              <w:ind w:firstLine="1039" w:left="-988" w:right="34"/>
              <w:contextualSpacing w:val="1"/>
              <w:jc w:val="center"/>
              <w:rPr>
                <w:color w:val="000000"/>
                <w:sz w:val="22"/>
              </w:rPr>
            </w:pPr>
          </w:p>
        </w:tc>
        <w:tc>
          <w:tcPr>
            <w:tcW w:type="dxa" w:w="1275"/>
            <w:tcBorders>
              <w:top w:color="000000" w:sz="4" w:val="single"/>
              <w:left w:sz="4" w:val="nil"/>
              <w:bottom w:color="000000" w:sz="4" w:val="single"/>
              <w:right w:sz="4" w:val="nil"/>
            </w:tcBorders>
            <w:shd w:fill="auto" w:val="clear"/>
            <w:vAlign w:val="center"/>
          </w:tcPr>
          <w:p w14:paraId="FD030000">
            <w:pPr>
              <w:widowControl w:val="1"/>
              <w:ind w:firstLine="1039" w:left="-988" w:right="34"/>
              <w:contextualSpacing w:val="1"/>
              <w:jc w:val="center"/>
              <w:rPr>
                <w:color w:val="000000"/>
                <w:sz w:val="22"/>
              </w:rPr>
            </w:pPr>
            <w:r>
              <w:rPr>
                <w:color w:val="000000"/>
                <w:sz w:val="22"/>
              </w:rPr>
              <w:t>50</w:t>
            </w:r>
          </w:p>
        </w:tc>
        <w:tc>
          <w:tcPr>
            <w:tcW w:type="dxa" w:w="1418"/>
            <w:tcBorders>
              <w:top w:sz="4" w:val="nil"/>
              <w:left w:color="000000" w:sz="4" w:val="single"/>
              <w:bottom w:color="000000" w:sz="4" w:val="single"/>
              <w:right w:color="000000" w:sz="4" w:val="single"/>
            </w:tcBorders>
            <w:shd w:fill="auto" w:val="clear"/>
            <w:vAlign w:val="center"/>
          </w:tcPr>
          <w:p w14:paraId="FE030000">
            <w:pPr>
              <w:widowControl w:val="1"/>
              <w:ind w:firstLine="1039" w:left="-988" w:right="34"/>
              <w:contextualSpacing w:val="1"/>
              <w:jc w:val="center"/>
              <w:rPr>
                <w:sz w:val="22"/>
              </w:rPr>
            </w:pPr>
            <w:r>
              <w:rPr>
                <w:sz w:val="22"/>
              </w:rPr>
              <w:t>55</w:t>
            </w:r>
          </w:p>
        </w:tc>
        <w:tc>
          <w:tcPr>
            <w:tcW w:type="dxa" w:w="1276"/>
            <w:tcBorders>
              <w:top w:sz="4" w:val="nil"/>
              <w:left w:color="000000" w:sz="4" w:val="single"/>
              <w:bottom w:color="000000" w:sz="4" w:val="single"/>
              <w:right w:color="000000" w:sz="4" w:val="single"/>
            </w:tcBorders>
            <w:vAlign w:val="center"/>
          </w:tcPr>
          <w:p w14:paraId="FF030000">
            <w:pPr>
              <w:widowControl w:val="1"/>
              <w:ind w:firstLine="1039" w:left="-988" w:right="34"/>
              <w:contextualSpacing w:val="1"/>
              <w:jc w:val="center"/>
              <w:rPr>
                <w:sz w:val="22"/>
              </w:rPr>
            </w:pPr>
            <w:r>
              <w:rPr>
                <w:sz w:val="22"/>
              </w:rPr>
              <w:t>55</w:t>
            </w:r>
          </w:p>
        </w:tc>
        <w:tc>
          <w:tcPr>
            <w:tcW w:type="dxa" w:w="1134"/>
            <w:tcBorders>
              <w:top w:sz="4" w:val="nil"/>
              <w:left w:color="000000" w:sz="4" w:val="single"/>
              <w:bottom w:color="000000" w:sz="4" w:val="single"/>
              <w:right w:color="000000" w:sz="4" w:val="single"/>
            </w:tcBorders>
            <w:vAlign w:val="center"/>
          </w:tcPr>
          <w:p w14:paraId="00040000">
            <w:pPr>
              <w:widowControl w:val="1"/>
              <w:ind w:firstLine="1039" w:left="-988" w:right="34"/>
              <w:contextualSpacing w:val="1"/>
              <w:jc w:val="center"/>
              <w:rPr>
                <w:sz w:val="22"/>
              </w:rPr>
            </w:pPr>
            <w:r>
              <w:rPr>
                <w:sz w:val="22"/>
              </w:rPr>
              <w:t>55</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01040000">
            <w:pPr>
              <w:widowControl w:val="1"/>
              <w:ind w:firstLine="709" w:left="-1018" w:right="-95"/>
              <w:contextualSpacing w:val="1"/>
              <w:jc w:val="center"/>
              <w:rPr>
                <w:color w:val="000000"/>
                <w:sz w:val="22"/>
              </w:rPr>
            </w:pPr>
            <w:r>
              <w:rPr>
                <w:color w:val="000000"/>
                <w:sz w:val="22"/>
              </w:rPr>
              <w:t>7</w:t>
            </w:r>
          </w:p>
        </w:tc>
        <w:tc>
          <w:tcPr>
            <w:tcW w:type="dxa" w:w="1121"/>
            <w:tcBorders>
              <w:top w:sz="4" w:val="nil"/>
              <w:left w:sz="4" w:val="nil"/>
              <w:bottom w:color="000000" w:sz="4" w:val="single"/>
              <w:right w:color="000000" w:sz="4" w:val="single"/>
            </w:tcBorders>
            <w:shd w:fill="auto" w:val="clear"/>
            <w:vAlign w:val="center"/>
          </w:tcPr>
          <w:p w14:paraId="02040000">
            <w:pPr>
              <w:widowControl w:val="1"/>
              <w:ind w:firstLine="1039" w:left="-988" w:right="34"/>
              <w:contextualSpacing w:val="1"/>
              <w:jc w:val="center"/>
              <w:rPr>
                <w:color w:val="000000"/>
                <w:sz w:val="22"/>
              </w:rPr>
            </w:pPr>
            <w:r>
              <w:rPr>
                <w:color w:val="000000"/>
                <w:sz w:val="22"/>
              </w:rPr>
              <w:t>61-70</w:t>
            </w:r>
          </w:p>
        </w:tc>
        <w:tc>
          <w:tcPr>
            <w:tcW w:type="dxa" w:w="1276"/>
            <w:tcBorders>
              <w:top w:sz="4" w:val="nil"/>
              <w:left w:sz="4" w:val="nil"/>
              <w:bottom w:color="000000" w:sz="4" w:val="single"/>
              <w:right w:color="000000" w:sz="4" w:val="single"/>
            </w:tcBorders>
            <w:shd w:fill="auto" w:val="clear"/>
            <w:vAlign w:val="center"/>
          </w:tcPr>
          <w:p w14:paraId="03040000">
            <w:pPr>
              <w:widowControl w:val="1"/>
              <w:ind w:firstLine="1039" w:left="-988" w:right="34"/>
              <w:contextualSpacing w:val="1"/>
              <w:jc w:val="center"/>
              <w:rPr>
                <w:color w:val="000000"/>
                <w:sz w:val="22"/>
              </w:rPr>
            </w:pPr>
            <w:r>
              <w:rPr>
                <w:color w:val="000000"/>
                <w:sz w:val="22"/>
              </w:rPr>
              <w:t>52</w:t>
            </w:r>
          </w:p>
        </w:tc>
        <w:tc>
          <w:tcPr>
            <w:tcW w:type="dxa" w:w="1276"/>
            <w:tcBorders>
              <w:top w:sz="4" w:val="nil"/>
              <w:left w:sz="4" w:val="nil"/>
              <w:bottom w:color="000000" w:sz="4" w:val="single"/>
              <w:right w:color="000000" w:sz="4" w:val="single"/>
            </w:tcBorders>
            <w:shd w:fill="auto" w:val="clear"/>
            <w:vAlign w:val="center"/>
          </w:tcPr>
          <w:p w14:paraId="04040000">
            <w:pPr>
              <w:widowControl w:val="1"/>
              <w:ind w:firstLine="1039" w:left="-988" w:right="34"/>
              <w:contextualSpacing w:val="1"/>
              <w:jc w:val="center"/>
              <w:rPr>
                <w:color w:val="000000"/>
                <w:sz w:val="22"/>
              </w:rPr>
            </w:pPr>
          </w:p>
        </w:tc>
        <w:tc>
          <w:tcPr>
            <w:tcW w:type="dxa" w:w="1275"/>
            <w:tcBorders>
              <w:top w:sz="4" w:val="nil"/>
              <w:left w:sz="4" w:val="nil"/>
              <w:bottom w:color="000000" w:sz="4" w:val="single"/>
              <w:right w:sz="4" w:val="nil"/>
            </w:tcBorders>
            <w:shd w:fill="auto" w:val="clear"/>
            <w:vAlign w:val="center"/>
          </w:tcPr>
          <w:p w14:paraId="05040000">
            <w:pPr>
              <w:widowControl w:val="1"/>
              <w:ind w:firstLine="1039" w:left="-988" w:right="34"/>
              <w:contextualSpacing w:val="1"/>
              <w:jc w:val="center"/>
              <w:rPr>
                <w:color w:val="000000"/>
                <w:sz w:val="22"/>
              </w:rPr>
            </w:pPr>
            <w:r>
              <w:rPr>
                <w:color w:val="000000"/>
                <w:sz w:val="22"/>
              </w:rPr>
              <w:t>57</w:t>
            </w:r>
          </w:p>
        </w:tc>
        <w:tc>
          <w:tcPr>
            <w:tcW w:type="dxa" w:w="1418"/>
            <w:tcBorders>
              <w:top w:sz="4" w:val="nil"/>
              <w:left w:color="000000" w:sz="4" w:val="single"/>
              <w:bottom w:color="000000" w:sz="4" w:val="single"/>
              <w:right w:color="000000" w:sz="4" w:val="single"/>
            </w:tcBorders>
            <w:shd w:fill="auto" w:val="clear"/>
            <w:vAlign w:val="center"/>
          </w:tcPr>
          <w:p w14:paraId="06040000">
            <w:pPr>
              <w:widowControl w:val="1"/>
              <w:ind w:firstLine="1039" w:left="-988" w:right="34"/>
              <w:contextualSpacing w:val="1"/>
              <w:jc w:val="center"/>
              <w:rPr>
                <w:sz w:val="22"/>
              </w:rPr>
            </w:pPr>
            <w:r>
              <w:rPr>
                <w:sz w:val="22"/>
              </w:rPr>
              <w:t>62</w:t>
            </w:r>
          </w:p>
        </w:tc>
        <w:tc>
          <w:tcPr>
            <w:tcW w:type="dxa" w:w="1276"/>
            <w:tcBorders>
              <w:top w:sz="4" w:val="nil"/>
              <w:left w:color="000000" w:sz="4" w:val="single"/>
              <w:bottom w:color="000000" w:sz="4" w:val="single"/>
              <w:right w:color="000000" w:sz="4" w:val="single"/>
            </w:tcBorders>
            <w:vAlign w:val="center"/>
          </w:tcPr>
          <w:p w14:paraId="07040000">
            <w:pPr>
              <w:widowControl w:val="1"/>
              <w:ind w:firstLine="1039" w:left="-988" w:right="34"/>
              <w:contextualSpacing w:val="1"/>
              <w:jc w:val="center"/>
              <w:rPr>
                <w:sz w:val="22"/>
              </w:rPr>
            </w:pPr>
            <w:r>
              <w:rPr>
                <w:sz w:val="22"/>
              </w:rPr>
              <w:t>62</w:t>
            </w:r>
          </w:p>
        </w:tc>
        <w:tc>
          <w:tcPr>
            <w:tcW w:type="dxa" w:w="1134"/>
            <w:tcBorders>
              <w:top w:sz="4" w:val="nil"/>
              <w:left w:color="000000" w:sz="4" w:val="single"/>
              <w:bottom w:color="000000" w:sz="4" w:val="single"/>
              <w:right w:color="000000" w:sz="4" w:val="single"/>
            </w:tcBorders>
            <w:vAlign w:val="center"/>
          </w:tcPr>
          <w:p w14:paraId="08040000">
            <w:pPr>
              <w:widowControl w:val="1"/>
              <w:ind w:firstLine="1039" w:left="-988" w:right="34"/>
              <w:contextualSpacing w:val="1"/>
              <w:jc w:val="center"/>
              <w:rPr>
                <w:sz w:val="22"/>
              </w:rPr>
            </w:pPr>
            <w:r>
              <w:rPr>
                <w:sz w:val="22"/>
              </w:rPr>
              <w:t>62</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09040000">
            <w:pPr>
              <w:widowControl w:val="1"/>
              <w:ind w:firstLine="709" w:left="-1018" w:right="-95"/>
              <w:contextualSpacing w:val="1"/>
              <w:jc w:val="center"/>
              <w:rPr>
                <w:color w:val="000000"/>
                <w:sz w:val="22"/>
              </w:rPr>
            </w:pPr>
            <w:r>
              <w:rPr>
                <w:color w:val="000000"/>
                <w:sz w:val="22"/>
              </w:rPr>
              <w:t>8</w:t>
            </w:r>
          </w:p>
        </w:tc>
        <w:tc>
          <w:tcPr>
            <w:tcW w:type="dxa" w:w="1121"/>
            <w:tcBorders>
              <w:top w:sz="4" w:val="nil"/>
              <w:left w:sz="4" w:val="nil"/>
              <w:bottom w:color="000000" w:sz="4" w:val="single"/>
              <w:right w:color="000000" w:sz="4" w:val="single"/>
            </w:tcBorders>
            <w:shd w:fill="auto" w:val="clear"/>
            <w:vAlign w:val="center"/>
          </w:tcPr>
          <w:p w14:paraId="0A040000">
            <w:pPr>
              <w:widowControl w:val="1"/>
              <w:ind w:firstLine="1039" w:left="-988" w:right="34"/>
              <w:contextualSpacing w:val="1"/>
              <w:jc w:val="center"/>
              <w:rPr>
                <w:color w:val="000000"/>
                <w:sz w:val="22"/>
              </w:rPr>
            </w:pPr>
            <w:r>
              <w:rPr>
                <w:color w:val="000000"/>
                <w:sz w:val="22"/>
              </w:rPr>
              <w:t>71-80</w:t>
            </w:r>
          </w:p>
        </w:tc>
        <w:tc>
          <w:tcPr>
            <w:tcW w:type="dxa" w:w="1276"/>
            <w:tcBorders>
              <w:top w:sz="4" w:val="nil"/>
              <w:left w:sz="4" w:val="nil"/>
              <w:bottom w:color="000000" w:sz="4" w:val="single"/>
              <w:right w:color="000000" w:sz="4" w:val="single"/>
            </w:tcBorders>
            <w:shd w:fill="auto" w:val="clear"/>
            <w:vAlign w:val="center"/>
          </w:tcPr>
          <w:p w14:paraId="0B040000">
            <w:pPr>
              <w:widowControl w:val="1"/>
              <w:ind w:firstLine="1039" w:left="-988" w:right="34"/>
              <w:contextualSpacing w:val="1"/>
              <w:jc w:val="center"/>
              <w:rPr>
                <w:color w:val="000000"/>
                <w:sz w:val="22"/>
              </w:rPr>
            </w:pPr>
            <w:r>
              <w:rPr>
                <w:color w:val="000000"/>
                <w:sz w:val="22"/>
              </w:rPr>
              <w:t>80</w:t>
            </w:r>
          </w:p>
        </w:tc>
        <w:tc>
          <w:tcPr>
            <w:tcW w:type="dxa" w:w="1276"/>
            <w:tcBorders>
              <w:top w:sz="4" w:val="nil"/>
              <w:left w:sz="4" w:val="nil"/>
              <w:bottom w:color="000000" w:sz="4" w:val="single"/>
              <w:right w:color="000000" w:sz="4" w:val="single"/>
            </w:tcBorders>
            <w:shd w:fill="auto" w:val="clear"/>
            <w:vAlign w:val="center"/>
          </w:tcPr>
          <w:p w14:paraId="0C040000">
            <w:pPr>
              <w:widowControl w:val="1"/>
              <w:ind w:firstLine="1039" w:left="-988" w:right="34"/>
              <w:contextualSpacing w:val="1"/>
              <w:jc w:val="center"/>
              <w:rPr>
                <w:color w:val="000000"/>
                <w:sz w:val="22"/>
              </w:rPr>
            </w:pPr>
          </w:p>
        </w:tc>
        <w:tc>
          <w:tcPr>
            <w:tcW w:type="dxa" w:w="1275"/>
            <w:tcBorders>
              <w:top w:sz="4" w:val="nil"/>
              <w:left w:sz="4" w:val="nil"/>
              <w:bottom w:color="000000" w:sz="4" w:val="single"/>
              <w:right w:sz="4" w:val="nil"/>
            </w:tcBorders>
            <w:shd w:fill="auto" w:val="clear"/>
            <w:vAlign w:val="center"/>
          </w:tcPr>
          <w:p w14:paraId="0D040000">
            <w:pPr>
              <w:widowControl w:val="1"/>
              <w:ind w:firstLine="1039" w:left="-988" w:right="34"/>
              <w:contextualSpacing w:val="1"/>
              <w:jc w:val="center"/>
              <w:rPr>
                <w:color w:val="000000"/>
                <w:sz w:val="22"/>
              </w:rPr>
            </w:pPr>
            <w:r>
              <w:rPr>
                <w:color w:val="000000"/>
                <w:sz w:val="22"/>
              </w:rPr>
              <w:t>88</w:t>
            </w:r>
          </w:p>
        </w:tc>
        <w:tc>
          <w:tcPr>
            <w:tcW w:type="dxa" w:w="1418"/>
            <w:tcBorders>
              <w:top w:sz="4" w:val="nil"/>
              <w:left w:color="000000" w:sz="4" w:val="single"/>
              <w:bottom w:color="000000" w:sz="4" w:val="single"/>
              <w:right w:color="000000" w:sz="4" w:val="single"/>
            </w:tcBorders>
            <w:shd w:fill="auto" w:val="clear"/>
            <w:vAlign w:val="center"/>
          </w:tcPr>
          <w:p w14:paraId="0E040000">
            <w:pPr>
              <w:widowControl w:val="1"/>
              <w:ind w:firstLine="1039" w:left="-988" w:right="34"/>
              <w:contextualSpacing w:val="1"/>
              <w:jc w:val="center"/>
              <w:rPr>
                <w:sz w:val="22"/>
              </w:rPr>
            </w:pPr>
            <w:r>
              <w:rPr>
                <w:sz w:val="22"/>
              </w:rPr>
              <w:t>96</w:t>
            </w:r>
          </w:p>
        </w:tc>
        <w:tc>
          <w:tcPr>
            <w:tcW w:type="dxa" w:w="1276"/>
            <w:tcBorders>
              <w:top w:sz="4" w:val="nil"/>
              <w:left w:color="000000" w:sz="4" w:val="single"/>
              <w:bottom w:color="000000" w:sz="4" w:val="single"/>
              <w:right w:color="000000" w:sz="4" w:val="single"/>
            </w:tcBorders>
            <w:vAlign w:val="center"/>
          </w:tcPr>
          <w:p w14:paraId="0F040000">
            <w:pPr>
              <w:widowControl w:val="1"/>
              <w:ind w:firstLine="1039" w:left="-988" w:right="34"/>
              <w:contextualSpacing w:val="1"/>
              <w:jc w:val="center"/>
              <w:rPr>
                <w:sz w:val="22"/>
              </w:rPr>
            </w:pPr>
            <w:r>
              <w:rPr>
                <w:sz w:val="22"/>
              </w:rPr>
              <w:t>96</w:t>
            </w:r>
          </w:p>
        </w:tc>
        <w:tc>
          <w:tcPr>
            <w:tcW w:type="dxa" w:w="1134"/>
            <w:tcBorders>
              <w:top w:sz="4" w:val="nil"/>
              <w:left w:color="000000" w:sz="4" w:val="single"/>
              <w:bottom w:color="000000" w:sz="4" w:val="single"/>
              <w:right w:color="000000" w:sz="4" w:val="single"/>
            </w:tcBorders>
            <w:vAlign w:val="center"/>
          </w:tcPr>
          <w:p w14:paraId="10040000">
            <w:pPr>
              <w:widowControl w:val="1"/>
              <w:ind w:firstLine="1039" w:left="-988" w:right="34"/>
              <w:contextualSpacing w:val="1"/>
              <w:jc w:val="center"/>
              <w:rPr>
                <w:sz w:val="22"/>
              </w:rPr>
            </w:pPr>
            <w:r>
              <w:rPr>
                <w:sz w:val="22"/>
              </w:rPr>
              <w:t>96</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11040000">
            <w:pPr>
              <w:widowControl w:val="1"/>
              <w:ind w:firstLine="709" w:left="-1018" w:right="-95"/>
              <w:contextualSpacing w:val="1"/>
              <w:jc w:val="center"/>
              <w:rPr>
                <w:color w:val="000000"/>
                <w:sz w:val="22"/>
              </w:rPr>
            </w:pPr>
            <w:r>
              <w:rPr>
                <w:color w:val="000000"/>
                <w:sz w:val="22"/>
              </w:rPr>
              <w:t>9</w:t>
            </w:r>
          </w:p>
        </w:tc>
        <w:tc>
          <w:tcPr>
            <w:tcW w:type="dxa" w:w="1121"/>
            <w:tcBorders>
              <w:top w:sz="4" w:val="nil"/>
              <w:left w:sz="4" w:val="nil"/>
              <w:bottom w:color="000000" w:sz="4" w:val="single"/>
              <w:right w:color="000000" w:sz="4" w:val="single"/>
            </w:tcBorders>
            <w:shd w:fill="auto" w:val="clear"/>
            <w:vAlign w:val="center"/>
          </w:tcPr>
          <w:p w14:paraId="12040000">
            <w:pPr>
              <w:widowControl w:val="1"/>
              <w:ind w:firstLine="1039" w:left="-988" w:right="34"/>
              <w:contextualSpacing w:val="1"/>
              <w:jc w:val="center"/>
              <w:rPr>
                <w:color w:val="000000"/>
                <w:sz w:val="22"/>
              </w:rPr>
            </w:pPr>
            <w:r>
              <w:rPr>
                <w:color w:val="000000"/>
                <w:sz w:val="22"/>
              </w:rPr>
              <w:t>81-90</w:t>
            </w:r>
          </w:p>
        </w:tc>
        <w:tc>
          <w:tcPr>
            <w:tcW w:type="dxa" w:w="1276"/>
            <w:tcBorders>
              <w:top w:sz="4" w:val="nil"/>
              <w:left w:sz="4" w:val="nil"/>
              <w:bottom w:color="000000" w:sz="4" w:val="single"/>
              <w:right w:color="000000" w:sz="4" w:val="single"/>
            </w:tcBorders>
            <w:shd w:fill="auto" w:val="clear"/>
            <w:vAlign w:val="center"/>
          </w:tcPr>
          <w:p w14:paraId="13040000">
            <w:pPr>
              <w:widowControl w:val="1"/>
              <w:ind w:firstLine="1039" w:left="-988" w:right="34"/>
              <w:contextualSpacing w:val="1"/>
              <w:jc w:val="center"/>
              <w:rPr>
                <w:color w:val="000000"/>
                <w:sz w:val="22"/>
              </w:rPr>
            </w:pPr>
            <w:r>
              <w:rPr>
                <w:color w:val="000000"/>
                <w:sz w:val="22"/>
              </w:rPr>
              <w:t>88</w:t>
            </w:r>
          </w:p>
        </w:tc>
        <w:tc>
          <w:tcPr>
            <w:tcW w:type="dxa" w:w="1276"/>
            <w:tcBorders>
              <w:top w:sz="4" w:val="nil"/>
              <w:left w:sz="4" w:val="nil"/>
              <w:bottom w:color="000000" w:sz="4" w:val="single"/>
              <w:right w:color="000000" w:sz="4" w:val="single"/>
            </w:tcBorders>
            <w:shd w:fill="auto" w:val="clear"/>
            <w:vAlign w:val="center"/>
          </w:tcPr>
          <w:p w14:paraId="14040000">
            <w:pPr>
              <w:widowControl w:val="1"/>
              <w:ind w:firstLine="1039" w:left="-988" w:right="34"/>
              <w:contextualSpacing w:val="1"/>
              <w:jc w:val="center"/>
              <w:rPr>
                <w:color w:val="000000"/>
                <w:sz w:val="22"/>
              </w:rPr>
            </w:pPr>
          </w:p>
        </w:tc>
        <w:tc>
          <w:tcPr>
            <w:tcW w:type="dxa" w:w="1275"/>
            <w:tcBorders>
              <w:top w:sz="4" w:val="nil"/>
              <w:left w:sz="4" w:val="nil"/>
              <w:bottom w:color="000000" w:sz="4" w:val="single"/>
              <w:right w:sz="4" w:val="nil"/>
            </w:tcBorders>
            <w:shd w:fill="auto" w:val="clear"/>
            <w:vAlign w:val="center"/>
          </w:tcPr>
          <w:p w14:paraId="15040000">
            <w:pPr>
              <w:widowControl w:val="1"/>
              <w:ind w:firstLine="1039" w:left="-988" w:right="34"/>
              <w:contextualSpacing w:val="1"/>
              <w:jc w:val="center"/>
              <w:rPr>
                <w:color w:val="000000"/>
                <w:sz w:val="22"/>
              </w:rPr>
            </w:pPr>
            <w:r>
              <w:rPr>
                <w:color w:val="000000"/>
                <w:sz w:val="22"/>
              </w:rPr>
              <w:t>97</w:t>
            </w:r>
          </w:p>
        </w:tc>
        <w:tc>
          <w:tcPr>
            <w:tcW w:type="dxa" w:w="1418"/>
            <w:tcBorders>
              <w:top w:sz="4" w:val="nil"/>
              <w:left w:color="000000" w:sz="4" w:val="single"/>
              <w:bottom w:color="000000" w:sz="4" w:val="single"/>
              <w:right w:color="000000" w:sz="4" w:val="single"/>
            </w:tcBorders>
            <w:shd w:fill="auto" w:val="clear"/>
            <w:vAlign w:val="center"/>
          </w:tcPr>
          <w:p w14:paraId="16040000">
            <w:pPr>
              <w:widowControl w:val="1"/>
              <w:ind w:firstLine="1039" w:left="-988" w:right="34"/>
              <w:contextualSpacing w:val="1"/>
              <w:jc w:val="center"/>
              <w:rPr>
                <w:sz w:val="22"/>
              </w:rPr>
            </w:pPr>
            <w:r>
              <w:rPr>
                <w:sz w:val="22"/>
              </w:rPr>
              <w:t>106</w:t>
            </w:r>
          </w:p>
        </w:tc>
        <w:tc>
          <w:tcPr>
            <w:tcW w:type="dxa" w:w="1276"/>
            <w:tcBorders>
              <w:top w:sz="4" w:val="nil"/>
              <w:left w:color="000000" w:sz="4" w:val="single"/>
              <w:bottom w:color="000000" w:sz="4" w:val="single"/>
              <w:right w:color="000000" w:sz="4" w:val="single"/>
            </w:tcBorders>
            <w:vAlign w:val="center"/>
          </w:tcPr>
          <w:p w14:paraId="17040000">
            <w:pPr>
              <w:widowControl w:val="1"/>
              <w:ind w:firstLine="1039" w:left="-988" w:right="34"/>
              <w:contextualSpacing w:val="1"/>
              <w:jc w:val="center"/>
              <w:rPr>
                <w:sz w:val="22"/>
              </w:rPr>
            </w:pPr>
            <w:r>
              <w:rPr>
                <w:sz w:val="22"/>
              </w:rPr>
              <w:t>106</w:t>
            </w:r>
          </w:p>
        </w:tc>
        <w:tc>
          <w:tcPr>
            <w:tcW w:type="dxa" w:w="1134"/>
            <w:tcBorders>
              <w:top w:sz="4" w:val="nil"/>
              <w:left w:color="000000" w:sz="4" w:val="single"/>
              <w:bottom w:color="000000" w:sz="4" w:val="single"/>
              <w:right w:color="000000" w:sz="4" w:val="single"/>
            </w:tcBorders>
            <w:vAlign w:val="center"/>
          </w:tcPr>
          <w:p w14:paraId="18040000">
            <w:pPr>
              <w:widowControl w:val="1"/>
              <w:ind w:firstLine="1039" w:left="-988" w:right="34"/>
              <w:contextualSpacing w:val="1"/>
              <w:jc w:val="center"/>
              <w:rPr>
                <w:sz w:val="22"/>
              </w:rPr>
            </w:pPr>
            <w:r>
              <w:rPr>
                <w:sz w:val="22"/>
              </w:rPr>
              <w:t>106</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19040000">
            <w:pPr>
              <w:widowControl w:val="1"/>
              <w:ind w:firstLine="709" w:left="-1018" w:right="-95"/>
              <w:contextualSpacing w:val="1"/>
              <w:jc w:val="center"/>
              <w:rPr>
                <w:color w:val="000000"/>
                <w:sz w:val="22"/>
              </w:rPr>
            </w:pPr>
            <w:r>
              <w:rPr>
                <w:color w:val="000000"/>
                <w:sz w:val="22"/>
              </w:rPr>
              <w:t>10</w:t>
            </w:r>
          </w:p>
        </w:tc>
        <w:tc>
          <w:tcPr>
            <w:tcW w:type="dxa" w:w="1121"/>
            <w:tcBorders>
              <w:top w:sz="4" w:val="nil"/>
              <w:left w:sz="4" w:val="nil"/>
              <w:bottom w:color="000000" w:sz="4" w:val="single"/>
              <w:right w:color="000000" w:sz="4" w:val="single"/>
            </w:tcBorders>
            <w:shd w:fill="auto" w:val="clear"/>
            <w:vAlign w:val="center"/>
          </w:tcPr>
          <w:p w14:paraId="1A040000">
            <w:pPr>
              <w:widowControl w:val="1"/>
              <w:ind w:firstLine="1039" w:left="-988" w:right="34"/>
              <w:contextualSpacing w:val="1"/>
              <w:jc w:val="center"/>
              <w:rPr>
                <w:color w:val="000000"/>
                <w:sz w:val="22"/>
              </w:rPr>
            </w:pPr>
            <w:r>
              <w:rPr>
                <w:color w:val="000000"/>
                <w:sz w:val="22"/>
              </w:rPr>
              <w:t>91-100</w:t>
            </w:r>
          </w:p>
        </w:tc>
        <w:tc>
          <w:tcPr>
            <w:tcW w:type="dxa" w:w="1276"/>
            <w:tcBorders>
              <w:top w:sz="4" w:val="nil"/>
              <w:left w:sz="4" w:val="nil"/>
              <w:bottom w:color="000000" w:sz="4" w:val="single"/>
              <w:right w:color="000000" w:sz="4" w:val="single"/>
            </w:tcBorders>
            <w:shd w:fill="auto" w:val="clear"/>
            <w:vAlign w:val="center"/>
          </w:tcPr>
          <w:p w14:paraId="1B040000">
            <w:pPr>
              <w:widowControl w:val="1"/>
              <w:ind w:firstLine="1039" w:left="-988" w:right="34"/>
              <w:contextualSpacing w:val="1"/>
              <w:jc w:val="center"/>
              <w:rPr>
                <w:color w:val="000000"/>
                <w:sz w:val="22"/>
              </w:rPr>
            </w:pPr>
            <w:r>
              <w:rPr>
                <w:color w:val="000000"/>
                <w:sz w:val="22"/>
              </w:rPr>
              <w:t>98</w:t>
            </w:r>
          </w:p>
        </w:tc>
        <w:tc>
          <w:tcPr>
            <w:tcW w:type="dxa" w:w="1276"/>
            <w:tcBorders>
              <w:top w:sz="4" w:val="nil"/>
              <w:left w:sz="4" w:val="nil"/>
              <w:bottom w:color="000000" w:sz="4" w:val="single"/>
              <w:right w:color="000000" w:sz="4" w:val="single"/>
            </w:tcBorders>
            <w:shd w:fill="auto" w:val="clear"/>
            <w:vAlign w:val="center"/>
          </w:tcPr>
          <w:p w14:paraId="1C040000">
            <w:pPr>
              <w:widowControl w:val="1"/>
              <w:ind w:firstLine="1039" w:left="-988" w:right="34"/>
              <w:contextualSpacing w:val="1"/>
              <w:jc w:val="center"/>
              <w:rPr>
                <w:color w:val="000000"/>
                <w:sz w:val="22"/>
              </w:rPr>
            </w:pPr>
          </w:p>
        </w:tc>
        <w:tc>
          <w:tcPr>
            <w:tcW w:type="dxa" w:w="1275"/>
            <w:tcBorders>
              <w:top w:sz="4" w:val="nil"/>
              <w:left w:sz="4" w:val="nil"/>
              <w:bottom w:color="000000" w:sz="4" w:val="single"/>
              <w:right w:sz="4" w:val="nil"/>
            </w:tcBorders>
            <w:shd w:fill="auto" w:val="clear"/>
            <w:vAlign w:val="center"/>
          </w:tcPr>
          <w:p w14:paraId="1D040000">
            <w:pPr>
              <w:widowControl w:val="1"/>
              <w:ind w:firstLine="1039" w:left="-988" w:right="34"/>
              <w:contextualSpacing w:val="1"/>
              <w:jc w:val="center"/>
              <w:rPr>
                <w:color w:val="000000"/>
                <w:sz w:val="22"/>
              </w:rPr>
            </w:pPr>
            <w:r>
              <w:rPr>
                <w:color w:val="000000"/>
                <w:sz w:val="22"/>
              </w:rPr>
              <w:t>108</w:t>
            </w:r>
          </w:p>
        </w:tc>
        <w:tc>
          <w:tcPr>
            <w:tcW w:type="dxa" w:w="1418"/>
            <w:tcBorders>
              <w:top w:sz="4" w:val="nil"/>
              <w:left w:color="000000" w:sz="4" w:val="single"/>
              <w:bottom w:color="000000" w:sz="4" w:val="single"/>
              <w:right w:color="000000" w:sz="4" w:val="single"/>
            </w:tcBorders>
            <w:shd w:fill="auto" w:val="clear"/>
            <w:vAlign w:val="center"/>
          </w:tcPr>
          <w:p w14:paraId="1E040000">
            <w:pPr>
              <w:widowControl w:val="1"/>
              <w:ind w:firstLine="1039" w:left="-988" w:right="34"/>
              <w:contextualSpacing w:val="1"/>
              <w:jc w:val="center"/>
              <w:rPr>
                <w:sz w:val="22"/>
              </w:rPr>
            </w:pPr>
            <w:r>
              <w:rPr>
                <w:sz w:val="22"/>
              </w:rPr>
              <w:t>118</w:t>
            </w:r>
          </w:p>
        </w:tc>
        <w:tc>
          <w:tcPr>
            <w:tcW w:type="dxa" w:w="1276"/>
            <w:tcBorders>
              <w:top w:sz="4" w:val="nil"/>
              <w:left w:color="000000" w:sz="4" w:val="single"/>
              <w:bottom w:color="000000" w:sz="4" w:val="single"/>
              <w:right w:color="000000" w:sz="4" w:val="single"/>
            </w:tcBorders>
            <w:vAlign w:val="center"/>
          </w:tcPr>
          <w:p w14:paraId="1F040000">
            <w:pPr>
              <w:widowControl w:val="1"/>
              <w:ind w:firstLine="1039" w:left="-988" w:right="34"/>
              <w:contextualSpacing w:val="1"/>
              <w:jc w:val="center"/>
              <w:rPr>
                <w:sz w:val="22"/>
              </w:rPr>
            </w:pPr>
            <w:r>
              <w:rPr>
                <w:sz w:val="22"/>
              </w:rPr>
              <w:t>118</w:t>
            </w:r>
          </w:p>
        </w:tc>
        <w:tc>
          <w:tcPr>
            <w:tcW w:type="dxa" w:w="1134"/>
            <w:tcBorders>
              <w:top w:sz="4" w:val="nil"/>
              <w:left w:color="000000" w:sz="4" w:val="single"/>
              <w:bottom w:color="000000" w:sz="4" w:val="single"/>
              <w:right w:color="000000" w:sz="4" w:val="single"/>
            </w:tcBorders>
            <w:vAlign w:val="center"/>
          </w:tcPr>
          <w:p w14:paraId="20040000">
            <w:pPr>
              <w:widowControl w:val="1"/>
              <w:ind w:firstLine="1039" w:left="-988" w:right="34"/>
              <w:contextualSpacing w:val="1"/>
              <w:jc w:val="center"/>
              <w:rPr>
                <w:sz w:val="22"/>
              </w:rPr>
            </w:pPr>
            <w:r>
              <w:rPr>
                <w:sz w:val="22"/>
              </w:rPr>
              <w:t>118</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21040000">
            <w:pPr>
              <w:widowControl w:val="1"/>
              <w:ind w:firstLine="709" w:left="-1018" w:right="-95"/>
              <w:contextualSpacing w:val="1"/>
              <w:jc w:val="center"/>
              <w:rPr>
                <w:color w:val="000000"/>
                <w:sz w:val="22"/>
              </w:rPr>
            </w:pPr>
            <w:r>
              <w:rPr>
                <w:color w:val="000000"/>
                <w:sz w:val="22"/>
              </w:rPr>
              <w:t>11</w:t>
            </w:r>
          </w:p>
        </w:tc>
        <w:tc>
          <w:tcPr>
            <w:tcW w:type="dxa" w:w="1121"/>
            <w:tcBorders>
              <w:top w:sz="4" w:val="nil"/>
              <w:left w:sz="4" w:val="nil"/>
              <w:bottom w:color="000000" w:sz="4" w:val="single"/>
              <w:right w:color="000000" w:sz="4" w:val="single"/>
            </w:tcBorders>
            <w:shd w:fill="auto" w:val="clear"/>
            <w:vAlign w:val="center"/>
          </w:tcPr>
          <w:p w14:paraId="22040000">
            <w:pPr>
              <w:widowControl w:val="1"/>
              <w:ind w:firstLine="1039" w:left="-988" w:right="34"/>
              <w:contextualSpacing w:val="1"/>
              <w:jc w:val="center"/>
              <w:rPr>
                <w:color w:val="000000"/>
                <w:sz w:val="22"/>
              </w:rPr>
            </w:pPr>
            <w:r>
              <w:rPr>
                <w:color w:val="000000"/>
                <w:sz w:val="22"/>
              </w:rPr>
              <w:t>101-110</w:t>
            </w:r>
          </w:p>
        </w:tc>
        <w:tc>
          <w:tcPr>
            <w:tcW w:type="dxa" w:w="1276"/>
            <w:tcBorders>
              <w:top w:sz="4" w:val="nil"/>
              <w:left w:sz="4" w:val="nil"/>
              <w:bottom w:color="000000" w:sz="4" w:val="single"/>
              <w:right w:color="000000" w:sz="4" w:val="single"/>
            </w:tcBorders>
            <w:shd w:fill="auto" w:val="clear"/>
            <w:vAlign w:val="center"/>
          </w:tcPr>
          <w:p w14:paraId="23040000">
            <w:pPr>
              <w:widowControl w:val="1"/>
              <w:ind w:firstLine="1039" w:left="-988" w:right="34"/>
              <w:contextualSpacing w:val="1"/>
              <w:jc w:val="center"/>
              <w:rPr>
                <w:color w:val="000000"/>
                <w:sz w:val="22"/>
              </w:rPr>
            </w:pPr>
            <w:r>
              <w:rPr>
                <w:color w:val="000000"/>
                <w:sz w:val="22"/>
              </w:rPr>
              <w:t>104</w:t>
            </w:r>
          </w:p>
        </w:tc>
        <w:tc>
          <w:tcPr>
            <w:tcW w:type="dxa" w:w="1276"/>
            <w:tcBorders>
              <w:top w:sz="4" w:val="nil"/>
              <w:left w:sz="4" w:val="nil"/>
              <w:bottom w:color="000000" w:sz="4" w:val="single"/>
              <w:right w:color="000000" w:sz="4" w:val="single"/>
            </w:tcBorders>
            <w:shd w:fill="auto" w:val="clear"/>
            <w:vAlign w:val="center"/>
          </w:tcPr>
          <w:p w14:paraId="24040000">
            <w:pPr>
              <w:widowControl w:val="1"/>
              <w:ind w:firstLine="1039" w:left="-988" w:right="34"/>
              <w:contextualSpacing w:val="1"/>
              <w:jc w:val="center"/>
              <w:rPr>
                <w:color w:val="000000"/>
                <w:sz w:val="22"/>
              </w:rPr>
            </w:pPr>
          </w:p>
        </w:tc>
        <w:tc>
          <w:tcPr>
            <w:tcW w:type="dxa" w:w="1275"/>
            <w:tcBorders>
              <w:top w:sz="4" w:val="nil"/>
              <w:left w:sz="4" w:val="nil"/>
              <w:bottom w:color="000000" w:sz="4" w:val="single"/>
              <w:right w:sz="4" w:val="nil"/>
            </w:tcBorders>
            <w:shd w:fill="auto" w:val="clear"/>
            <w:vAlign w:val="center"/>
          </w:tcPr>
          <w:p w14:paraId="25040000">
            <w:pPr>
              <w:widowControl w:val="1"/>
              <w:ind w:firstLine="1039" w:left="-988" w:right="34"/>
              <w:contextualSpacing w:val="1"/>
              <w:jc w:val="center"/>
              <w:rPr>
                <w:color w:val="000000"/>
                <w:sz w:val="22"/>
              </w:rPr>
            </w:pPr>
            <w:r>
              <w:rPr>
                <w:color w:val="000000"/>
                <w:sz w:val="22"/>
              </w:rPr>
              <w:t>114</w:t>
            </w:r>
          </w:p>
        </w:tc>
        <w:tc>
          <w:tcPr>
            <w:tcW w:type="dxa" w:w="1418"/>
            <w:tcBorders>
              <w:top w:sz="4" w:val="nil"/>
              <w:left w:color="000000" w:sz="4" w:val="single"/>
              <w:bottom w:color="000000" w:sz="4" w:val="single"/>
              <w:right w:color="000000" w:sz="4" w:val="single"/>
            </w:tcBorders>
            <w:shd w:fill="auto" w:val="clear"/>
            <w:vAlign w:val="center"/>
          </w:tcPr>
          <w:p w14:paraId="26040000">
            <w:pPr>
              <w:widowControl w:val="1"/>
              <w:ind w:firstLine="1039" w:left="-988" w:right="34"/>
              <w:contextualSpacing w:val="1"/>
              <w:jc w:val="center"/>
              <w:rPr>
                <w:sz w:val="22"/>
              </w:rPr>
            </w:pPr>
            <w:r>
              <w:rPr>
                <w:sz w:val="22"/>
              </w:rPr>
              <w:t>125</w:t>
            </w:r>
          </w:p>
        </w:tc>
        <w:tc>
          <w:tcPr>
            <w:tcW w:type="dxa" w:w="1276"/>
            <w:tcBorders>
              <w:top w:sz="4" w:val="nil"/>
              <w:left w:color="000000" w:sz="4" w:val="single"/>
              <w:bottom w:color="000000" w:sz="4" w:val="single"/>
              <w:right w:color="000000" w:sz="4" w:val="single"/>
            </w:tcBorders>
            <w:vAlign w:val="center"/>
          </w:tcPr>
          <w:p w14:paraId="27040000">
            <w:pPr>
              <w:widowControl w:val="1"/>
              <w:ind w:firstLine="1039" w:left="-988" w:right="34"/>
              <w:contextualSpacing w:val="1"/>
              <w:jc w:val="center"/>
              <w:rPr>
                <w:sz w:val="22"/>
              </w:rPr>
            </w:pPr>
            <w:r>
              <w:rPr>
                <w:sz w:val="22"/>
              </w:rPr>
              <w:t>125</w:t>
            </w:r>
          </w:p>
        </w:tc>
        <w:tc>
          <w:tcPr>
            <w:tcW w:type="dxa" w:w="1134"/>
            <w:tcBorders>
              <w:top w:sz="4" w:val="nil"/>
              <w:left w:color="000000" w:sz="4" w:val="single"/>
              <w:bottom w:color="000000" w:sz="4" w:val="single"/>
              <w:right w:color="000000" w:sz="4" w:val="single"/>
            </w:tcBorders>
            <w:vAlign w:val="center"/>
          </w:tcPr>
          <w:p w14:paraId="28040000">
            <w:pPr>
              <w:widowControl w:val="1"/>
              <w:ind w:firstLine="1039" w:left="-988" w:right="34"/>
              <w:contextualSpacing w:val="1"/>
              <w:jc w:val="center"/>
              <w:rPr>
                <w:sz w:val="22"/>
              </w:rPr>
            </w:pPr>
            <w:r>
              <w:rPr>
                <w:sz w:val="22"/>
              </w:rPr>
              <w:t>125</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29040000">
            <w:pPr>
              <w:widowControl w:val="1"/>
              <w:ind w:firstLine="709" w:left="-1018" w:right="-95"/>
              <w:contextualSpacing w:val="1"/>
              <w:jc w:val="center"/>
              <w:rPr>
                <w:color w:val="000000"/>
                <w:sz w:val="22"/>
              </w:rPr>
            </w:pPr>
            <w:r>
              <w:rPr>
                <w:color w:val="000000"/>
                <w:sz w:val="22"/>
              </w:rPr>
              <w:t>12</w:t>
            </w:r>
          </w:p>
        </w:tc>
        <w:tc>
          <w:tcPr>
            <w:tcW w:type="dxa" w:w="1121"/>
            <w:tcBorders>
              <w:top w:sz="4" w:val="nil"/>
              <w:left w:sz="4" w:val="nil"/>
              <w:bottom w:color="000000" w:sz="4" w:val="single"/>
              <w:right w:color="000000" w:sz="4" w:val="single"/>
            </w:tcBorders>
            <w:shd w:fill="auto" w:val="clear"/>
            <w:vAlign w:val="center"/>
          </w:tcPr>
          <w:p w14:paraId="2A040000">
            <w:pPr>
              <w:widowControl w:val="1"/>
              <w:ind w:firstLine="1039" w:left="-988" w:right="34"/>
              <w:contextualSpacing w:val="1"/>
              <w:jc w:val="center"/>
              <w:rPr>
                <w:color w:val="000000"/>
                <w:sz w:val="22"/>
              </w:rPr>
            </w:pPr>
            <w:r>
              <w:rPr>
                <w:color w:val="000000"/>
                <w:sz w:val="22"/>
              </w:rPr>
              <w:t>111-120</w:t>
            </w:r>
          </w:p>
        </w:tc>
        <w:tc>
          <w:tcPr>
            <w:tcW w:type="dxa" w:w="1276"/>
            <w:tcBorders>
              <w:top w:sz="4" w:val="nil"/>
              <w:left w:sz="4" w:val="nil"/>
              <w:bottom w:color="000000" w:sz="4" w:val="single"/>
              <w:right w:color="000000" w:sz="4" w:val="single"/>
            </w:tcBorders>
            <w:shd w:fill="auto" w:val="clear"/>
            <w:vAlign w:val="center"/>
          </w:tcPr>
          <w:p w14:paraId="2B040000">
            <w:pPr>
              <w:widowControl w:val="1"/>
              <w:ind w:firstLine="1039" w:left="-988" w:right="34"/>
              <w:contextualSpacing w:val="1"/>
              <w:jc w:val="center"/>
              <w:rPr>
                <w:color w:val="000000"/>
                <w:sz w:val="22"/>
              </w:rPr>
            </w:pPr>
            <w:r>
              <w:rPr>
                <w:color w:val="000000"/>
                <w:sz w:val="22"/>
              </w:rPr>
              <w:t>110</w:t>
            </w:r>
          </w:p>
        </w:tc>
        <w:tc>
          <w:tcPr>
            <w:tcW w:type="dxa" w:w="1276"/>
            <w:tcBorders>
              <w:top w:sz="4" w:val="nil"/>
              <w:left w:sz="4" w:val="nil"/>
              <w:bottom w:color="000000" w:sz="4" w:val="single"/>
              <w:right w:color="000000" w:sz="4" w:val="single"/>
            </w:tcBorders>
            <w:shd w:fill="auto" w:val="clear"/>
            <w:vAlign w:val="center"/>
          </w:tcPr>
          <w:p w14:paraId="2C040000">
            <w:pPr>
              <w:widowControl w:val="1"/>
              <w:ind w:firstLine="1039" w:left="-988" w:right="34"/>
              <w:contextualSpacing w:val="1"/>
              <w:jc w:val="center"/>
              <w:rPr>
                <w:color w:val="000000"/>
                <w:sz w:val="22"/>
              </w:rPr>
            </w:pPr>
          </w:p>
        </w:tc>
        <w:tc>
          <w:tcPr>
            <w:tcW w:type="dxa" w:w="1275"/>
            <w:tcBorders>
              <w:top w:sz="4" w:val="nil"/>
              <w:left w:sz="4" w:val="nil"/>
              <w:bottom w:color="000000" w:sz="4" w:val="single"/>
              <w:right w:sz="4" w:val="nil"/>
            </w:tcBorders>
            <w:shd w:fill="auto" w:val="clear"/>
            <w:vAlign w:val="center"/>
          </w:tcPr>
          <w:p w14:paraId="2D040000">
            <w:pPr>
              <w:widowControl w:val="1"/>
              <w:ind w:firstLine="1039" w:left="-988" w:right="34"/>
              <w:contextualSpacing w:val="1"/>
              <w:jc w:val="center"/>
              <w:rPr>
                <w:color w:val="000000"/>
                <w:sz w:val="22"/>
              </w:rPr>
            </w:pPr>
            <w:r>
              <w:rPr>
                <w:color w:val="000000"/>
                <w:sz w:val="22"/>
              </w:rPr>
              <w:t>121</w:t>
            </w:r>
          </w:p>
        </w:tc>
        <w:tc>
          <w:tcPr>
            <w:tcW w:type="dxa" w:w="1418"/>
            <w:tcBorders>
              <w:top w:sz="4" w:val="nil"/>
              <w:left w:color="000000" w:sz="4" w:val="single"/>
              <w:bottom w:color="000000" w:sz="4" w:val="single"/>
              <w:right w:color="000000" w:sz="4" w:val="single"/>
            </w:tcBorders>
            <w:shd w:fill="auto" w:val="clear"/>
            <w:vAlign w:val="center"/>
          </w:tcPr>
          <w:p w14:paraId="2E040000">
            <w:pPr>
              <w:widowControl w:val="1"/>
              <w:ind w:firstLine="1039" w:left="-988" w:right="34"/>
              <w:contextualSpacing w:val="1"/>
              <w:jc w:val="center"/>
              <w:rPr>
                <w:sz w:val="22"/>
              </w:rPr>
            </w:pPr>
            <w:r>
              <w:rPr>
                <w:sz w:val="22"/>
              </w:rPr>
              <w:t>133</w:t>
            </w:r>
          </w:p>
        </w:tc>
        <w:tc>
          <w:tcPr>
            <w:tcW w:type="dxa" w:w="1276"/>
            <w:tcBorders>
              <w:top w:sz="4" w:val="nil"/>
              <w:left w:color="000000" w:sz="4" w:val="single"/>
              <w:bottom w:color="000000" w:sz="4" w:val="single"/>
              <w:right w:color="000000" w:sz="4" w:val="single"/>
            </w:tcBorders>
            <w:vAlign w:val="center"/>
          </w:tcPr>
          <w:p w14:paraId="2F040000">
            <w:pPr>
              <w:widowControl w:val="1"/>
              <w:ind w:firstLine="1039" w:left="-988" w:right="34"/>
              <w:contextualSpacing w:val="1"/>
              <w:jc w:val="center"/>
              <w:rPr>
                <w:sz w:val="22"/>
              </w:rPr>
            </w:pPr>
            <w:r>
              <w:rPr>
                <w:sz w:val="22"/>
              </w:rPr>
              <w:t>133</w:t>
            </w:r>
          </w:p>
        </w:tc>
        <w:tc>
          <w:tcPr>
            <w:tcW w:type="dxa" w:w="1134"/>
            <w:tcBorders>
              <w:top w:sz="4" w:val="nil"/>
              <w:left w:color="000000" w:sz="4" w:val="single"/>
              <w:bottom w:color="000000" w:sz="4" w:val="single"/>
              <w:right w:color="000000" w:sz="4" w:val="single"/>
            </w:tcBorders>
            <w:vAlign w:val="center"/>
          </w:tcPr>
          <w:p w14:paraId="30040000">
            <w:pPr>
              <w:widowControl w:val="1"/>
              <w:ind w:firstLine="1039" w:left="-988" w:right="34"/>
              <w:contextualSpacing w:val="1"/>
              <w:jc w:val="center"/>
              <w:rPr>
                <w:sz w:val="22"/>
              </w:rPr>
            </w:pPr>
            <w:r>
              <w:rPr>
                <w:sz w:val="22"/>
              </w:rPr>
              <w:t>133</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31040000">
            <w:pPr>
              <w:widowControl w:val="1"/>
              <w:ind w:firstLine="709" w:left="-1018" w:right="-95"/>
              <w:contextualSpacing w:val="1"/>
              <w:jc w:val="center"/>
              <w:rPr>
                <w:color w:val="000000"/>
                <w:sz w:val="22"/>
              </w:rPr>
            </w:pPr>
            <w:r>
              <w:rPr>
                <w:color w:val="000000"/>
                <w:sz w:val="22"/>
              </w:rPr>
              <w:t>13</w:t>
            </w:r>
          </w:p>
        </w:tc>
        <w:tc>
          <w:tcPr>
            <w:tcW w:type="dxa" w:w="1121"/>
            <w:tcBorders>
              <w:top w:sz="4" w:val="nil"/>
              <w:left w:sz="4" w:val="nil"/>
              <w:bottom w:color="000000" w:sz="4" w:val="single"/>
              <w:right w:color="000000" w:sz="4" w:val="single"/>
            </w:tcBorders>
            <w:shd w:fill="auto" w:val="clear"/>
            <w:vAlign w:val="center"/>
          </w:tcPr>
          <w:p w14:paraId="32040000">
            <w:pPr>
              <w:widowControl w:val="1"/>
              <w:ind w:firstLine="1039" w:left="-988" w:right="34"/>
              <w:contextualSpacing w:val="1"/>
              <w:jc w:val="center"/>
              <w:rPr>
                <w:color w:val="000000"/>
                <w:sz w:val="22"/>
              </w:rPr>
            </w:pPr>
            <w:r>
              <w:rPr>
                <w:color w:val="000000"/>
                <w:sz w:val="22"/>
              </w:rPr>
              <w:t>121-130</w:t>
            </w:r>
          </w:p>
        </w:tc>
        <w:tc>
          <w:tcPr>
            <w:tcW w:type="dxa" w:w="1276"/>
            <w:tcBorders>
              <w:top w:sz="4" w:val="nil"/>
              <w:left w:sz="4" w:val="nil"/>
              <w:bottom w:color="000000" w:sz="4" w:val="single"/>
              <w:right w:color="000000" w:sz="4" w:val="single"/>
            </w:tcBorders>
            <w:shd w:fill="auto" w:val="clear"/>
            <w:vAlign w:val="center"/>
          </w:tcPr>
          <w:p w14:paraId="33040000">
            <w:pPr>
              <w:widowControl w:val="1"/>
              <w:ind w:firstLine="1039" w:left="-988" w:right="34"/>
              <w:contextualSpacing w:val="1"/>
              <w:jc w:val="center"/>
              <w:rPr>
                <w:color w:val="000000"/>
                <w:sz w:val="22"/>
              </w:rPr>
            </w:pPr>
            <w:r>
              <w:rPr>
                <w:color w:val="000000"/>
                <w:sz w:val="22"/>
              </w:rPr>
              <w:t>116</w:t>
            </w:r>
          </w:p>
        </w:tc>
        <w:tc>
          <w:tcPr>
            <w:tcW w:type="dxa" w:w="1276"/>
            <w:tcBorders>
              <w:top w:sz="4" w:val="nil"/>
              <w:left w:sz="4" w:val="nil"/>
              <w:bottom w:color="000000" w:sz="4" w:val="single"/>
              <w:right w:color="000000" w:sz="4" w:val="single"/>
            </w:tcBorders>
            <w:shd w:fill="auto" w:val="clear"/>
            <w:vAlign w:val="center"/>
          </w:tcPr>
          <w:p w14:paraId="34040000">
            <w:pPr>
              <w:widowControl w:val="1"/>
              <w:ind w:firstLine="1039" w:left="-988" w:right="34"/>
              <w:contextualSpacing w:val="1"/>
              <w:jc w:val="center"/>
              <w:rPr>
                <w:color w:val="000000"/>
                <w:sz w:val="22"/>
              </w:rPr>
            </w:pPr>
          </w:p>
        </w:tc>
        <w:tc>
          <w:tcPr>
            <w:tcW w:type="dxa" w:w="1275"/>
            <w:tcBorders>
              <w:top w:sz="4" w:val="nil"/>
              <w:left w:sz="4" w:val="nil"/>
              <w:bottom w:color="000000" w:sz="4" w:val="single"/>
              <w:right w:sz="4" w:val="nil"/>
            </w:tcBorders>
            <w:shd w:fill="auto" w:val="clear"/>
            <w:vAlign w:val="center"/>
          </w:tcPr>
          <w:p w14:paraId="35040000">
            <w:pPr>
              <w:widowControl w:val="1"/>
              <w:ind w:firstLine="1039" w:left="-988" w:right="34"/>
              <w:contextualSpacing w:val="1"/>
              <w:jc w:val="center"/>
              <w:rPr>
                <w:color w:val="000000"/>
                <w:sz w:val="22"/>
              </w:rPr>
            </w:pPr>
            <w:r>
              <w:rPr>
                <w:color w:val="000000"/>
                <w:sz w:val="22"/>
              </w:rPr>
              <w:t>128</w:t>
            </w:r>
          </w:p>
        </w:tc>
        <w:tc>
          <w:tcPr>
            <w:tcW w:type="dxa" w:w="1418"/>
            <w:tcBorders>
              <w:top w:sz="4" w:val="nil"/>
              <w:left w:color="000000" w:sz="4" w:val="single"/>
              <w:bottom w:color="000000" w:sz="4" w:val="single"/>
              <w:right w:color="000000" w:sz="4" w:val="single"/>
            </w:tcBorders>
            <w:shd w:fill="auto" w:val="clear"/>
            <w:vAlign w:val="center"/>
          </w:tcPr>
          <w:p w14:paraId="36040000">
            <w:pPr>
              <w:widowControl w:val="1"/>
              <w:ind w:firstLine="1039" w:left="-988" w:right="34"/>
              <w:contextualSpacing w:val="1"/>
              <w:jc w:val="center"/>
              <w:rPr>
                <w:sz w:val="22"/>
              </w:rPr>
            </w:pPr>
            <w:r>
              <w:rPr>
                <w:sz w:val="22"/>
              </w:rPr>
              <w:t>140</w:t>
            </w:r>
          </w:p>
        </w:tc>
        <w:tc>
          <w:tcPr>
            <w:tcW w:type="dxa" w:w="1276"/>
            <w:tcBorders>
              <w:top w:sz="4" w:val="nil"/>
              <w:left w:color="000000" w:sz="4" w:val="single"/>
              <w:bottom w:color="000000" w:sz="4" w:val="single"/>
              <w:right w:color="000000" w:sz="4" w:val="single"/>
            </w:tcBorders>
            <w:vAlign w:val="center"/>
          </w:tcPr>
          <w:p w14:paraId="37040000">
            <w:pPr>
              <w:widowControl w:val="1"/>
              <w:ind w:firstLine="1039" w:left="-988" w:right="34"/>
              <w:contextualSpacing w:val="1"/>
              <w:jc w:val="center"/>
              <w:rPr>
                <w:sz w:val="22"/>
              </w:rPr>
            </w:pPr>
            <w:r>
              <w:rPr>
                <w:sz w:val="22"/>
              </w:rPr>
              <w:t>140</w:t>
            </w:r>
          </w:p>
        </w:tc>
        <w:tc>
          <w:tcPr>
            <w:tcW w:type="dxa" w:w="1134"/>
            <w:tcBorders>
              <w:top w:sz="4" w:val="nil"/>
              <w:left w:color="000000" w:sz="4" w:val="single"/>
              <w:bottom w:color="000000" w:sz="4" w:val="single"/>
              <w:right w:color="000000" w:sz="4" w:val="single"/>
            </w:tcBorders>
            <w:vAlign w:val="center"/>
          </w:tcPr>
          <w:p w14:paraId="38040000">
            <w:pPr>
              <w:widowControl w:val="1"/>
              <w:ind w:firstLine="1039" w:left="-988" w:right="34"/>
              <w:contextualSpacing w:val="1"/>
              <w:jc w:val="center"/>
              <w:rPr>
                <w:sz w:val="22"/>
              </w:rPr>
            </w:pPr>
            <w:r>
              <w:rPr>
                <w:sz w:val="22"/>
              </w:rPr>
              <w:t>140</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39040000">
            <w:pPr>
              <w:widowControl w:val="1"/>
              <w:ind w:firstLine="709" w:left="-1018" w:right="-95"/>
              <w:contextualSpacing w:val="1"/>
              <w:jc w:val="center"/>
              <w:rPr>
                <w:color w:val="000000"/>
                <w:sz w:val="22"/>
              </w:rPr>
            </w:pPr>
            <w:r>
              <w:rPr>
                <w:color w:val="000000"/>
                <w:sz w:val="22"/>
              </w:rPr>
              <w:t>14</w:t>
            </w:r>
          </w:p>
        </w:tc>
        <w:tc>
          <w:tcPr>
            <w:tcW w:type="dxa" w:w="1121"/>
            <w:tcBorders>
              <w:top w:sz="4" w:val="nil"/>
              <w:left w:sz="4" w:val="nil"/>
              <w:bottom w:color="000000" w:sz="4" w:val="single"/>
              <w:right w:color="000000" w:sz="4" w:val="single"/>
            </w:tcBorders>
            <w:shd w:fill="auto" w:val="clear"/>
            <w:vAlign w:val="center"/>
          </w:tcPr>
          <w:p w14:paraId="3A040000">
            <w:pPr>
              <w:widowControl w:val="1"/>
              <w:ind w:firstLine="1039" w:left="-988" w:right="34"/>
              <w:contextualSpacing w:val="1"/>
              <w:jc w:val="center"/>
              <w:rPr>
                <w:color w:val="000000"/>
                <w:sz w:val="22"/>
              </w:rPr>
            </w:pPr>
            <w:r>
              <w:rPr>
                <w:color w:val="000000"/>
                <w:sz w:val="22"/>
              </w:rPr>
              <w:t>131-140</w:t>
            </w:r>
          </w:p>
        </w:tc>
        <w:tc>
          <w:tcPr>
            <w:tcW w:type="dxa" w:w="1276"/>
            <w:tcBorders>
              <w:top w:sz="4" w:val="nil"/>
              <w:left w:sz="4" w:val="nil"/>
              <w:bottom w:color="000000" w:sz="4" w:val="single"/>
              <w:right w:color="000000" w:sz="4" w:val="single"/>
            </w:tcBorders>
            <w:shd w:fill="auto" w:val="clear"/>
            <w:vAlign w:val="center"/>
          </w:tcPr>
          <w:p w14:paraId="3B040000">
            <w:pPr>
              <w:widowControl w:val="1"/>
              <w:ind w:firstLine="1039" w:left="-988" w:right="34"/>
              <w:contextualSpacing w:val="1"/>
              <w:jc w:val="center"/>
              <w:rPr>
                <w:color w:val="000000"/>
                <w:sz w:val="22"/>
              </w:rPr>
            </w:pPr>
            <w:r>
              <w:rPr>
                <w:color w:val="000000"/>
                <w:sz w:val="22"/>
              </w:rPr>
              <w:t>126</w:t>
            </w:r>
          </w:p>
        </w:tc>
        <w:tc>
          <w:tcPr>
            <w:tcW w:type="dxa" w:w="1276"/>
            <w:tcBorders>
              <w:top w:sz="4" w:val="nil"/>
              <w:left w:sz="4" w:val="nil"/>
              <w:bottom w:color="000000" w:sz="4" w:val="single"/>
              <w:right w:color="000000" w:sz="4" w:val="single"/>
            </w:tcBorders>
            <w:shd w:fill="auto" w:val="clear"/>
            <w:vAlign w:val="center"/>
          </w:tcPr>
          <w:p w14:paraId="3C040000">
            <w:pPr>
              <w:widowControl w:val="1"/>
              <w:ind w:firstLine="1039" w:left="-988" w:right="34"/>
              <w:contextualSpacing w:val="1"/>
              <w:jc w:val="center"/>
              <w:rPr>
                <w:color w:val="000000"/>
                <w:sz w:val="22"/>
              </w:rPr>
            </w:pPr>
          </w:p>
        </w:tc>
        <w:tc>
          <w:tcPr>
            <w:tcW w:type="dxa" w:w="1275"/>
            <w:tcBorders>
              <w:top w:sz="4" w:val="nil"/>
              <w:left w:sz="4" w:val="nil"/>
              <w:bottom w:color="000000" w:sz="4" w:val="single"/>
              <w:right w:sz="4" w:val="nil"/>
            </w:tcBorders>
            <w:shd w:fill="auto" w:val="clear"/>
            <w:vAlign w:val="center"/>
          </w:tcPr>
          <w:p w14:paraId="3D040000">
            <w:pPr>
              <w:widowControl w:val="1"/>
              <w:ind w:firstLine="1039" w:left="-988" w:right="34"/>
              <w:contextualSpacing w:val="1"/>
              <w:jc w:val="center"/>
              <w:rPr>
                <w:color w:val="000000"/>
                <w:sz w:val="22"/>
              </w:rPr>
            </w:pPr>
            <w:r>
              <w:rPr>
                <w:color w:val="000000"/>
                <w:sz w:val="22"/>
              </w:rPr>
              <w:t>139</w:t>
            </w:r>
          </w:p>
        </w:tc>
        <w:tc>
          <w:tcPr>
            <w:tcW w:type="dxa" w:w="1418"/>
            <w:tcBorders>
              <w:top w:sz="4" w:val="nil"/>
              <w:left w:color="000000" w:sz="4" w:val="single"/>
              <w:bottom w:color="000000" w:sz="4" w:val="single"/>
              <w:right w:color="000000" w:sz="4" w:val="single"/>
            </w:tcBorders>
            <w:shd w:fill="auto" w:val="clear"/>
            <w:vAlign w:val="center"/>
          </w:tcPr>
          <w:p w14:paraId="3E040000">
            <w:pPr>
              <w:widowControl w:val="1"/>
              <w:ind w:firstLine="1039" w:left="-988" w:right="34"/>
              <w:contextualSpacing w:val="1"/>
              <w:jc w:val="center"/>
              <w:rPr>
                <w:sz w:val="22"/>
              </w:rPr>
            </w:pPr>
            <w:r>
              <w:rPr>
                <w:sz w:val="22"/>
              </w:rPr>
              <w:t>152</w:t>
            </w:r>
          </w:p>
        </w:tc>
        <w:tc>
          <w:tcPr>
            <w:tcW w:type="dxa" w:w="1276"/>
            <w:tcBorders>
              <w:top w:sz="4" w:val="nil"/>
              <w:left w:color="000000" w:sz="4" w:val="single"/>
              <w:bottom w:color="000000" w:sz="4" w:val="single"/>
              <w:right w:color="000000" w:sz="4" w:val="single"/>
            </w:tcBorders>
            <w:vAlign w:val="center"/>
          </w:tcPr>
          <w:p w14:paraId="3F040000">
            <w:pPr>
              <w:widowControl w:val="1"/>
              <w:ind w:firstLine="1039" w:left="-988" w:right="34"/>
              <w:contextualSpacing w:val="1"/>
              <w:jc w:val="center"/>
              <w:rPr>
                <w:sz w:val="22"/>
              </w:rPr>
            </w:pPr>
            <w:r>
              <w:rPr>
                <w:sz w:val="22"/>
              </w:rPr>
              <w:t>152</w:t>
            </w:r>
          </w:p>
        </w:tc>
        <w:tc>
          <w:tcPr>
            <w:tcW w:type="dxa" w:w="1134"/>
            <w:tcBorders>
              <w:top w:sz="4" w:val="nil"/>
              <w:left w:color="000000" w:sz="4" w:val="single"/>
              <w:bottom w:color="000000" w:sz="4" w:val="single"/>
              <w:right w:color="000000" w:sz="4" w:val="single"/>
            </w:tcBorders>
            <w:vAlign w:val="center"/>
          </w:tcPr>
          <w:p w14:paraId="40040000">
            <w:pPr>
              <w:widowControl w:val="1"/>
              <w:ind w:firstLine="1039" w:left="-988" w:right="34"/>
              <w:contextualSpacing w:val="1"/>
              <w:jc w:val="center"/>
              <w:rPr>
                <w:sz w:val="22"/>
              </w:rPr>
            </w:pPr>
            <w:r>
              <w:rPr>
                <w:sz w:val="22"/>
              </w:rPr>
              <w:t>152</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41040000">
            <w:pPr>
              <w:widowControl w:val="1"/>
              <w:ind w:firstLine="709" w:left="-1018" w:right="-95"/>
              <w:contextualSpacing w:val="1"/>
              <w:jc w:val="center"/>
              <w:rPr>
                <w:color w:val="000000"/>
                <w:sz w:val="22"/>
              </w:rPr>
            </w:pPr>
            <w:r>
              <w:rPr>
                <w:color w:val="000000"/>
                <w:sz w:val="22"/>
              </w:rPr>
              <w:t>15</w:t>
            </w:r>
          </w:p>
        </w:tc>
        <w:tc>
          <w:tcPr>
            <w:tcW w:type="dxa" w:w="1121"/>
            <w:tcBorders>
              <w:top w:sz="4" w:val="nil"/>
              <w:left w:sz="4" w:val="nil"/>
              <w:bottom w:color="000000" w:sz="4" w:val="single"/>
              <w:right w:color="000000" w:sz="4" w:val="single"/>
            </w:tcBorders>
            <w:shd w:fill="auto" w:val="clear"/>
            <w:vAlign w:val="center"/>
          </w:tcPr>
          <w:p w14:paraId="42040000">
            <w:pPr>
              <w:widowControl w:val="1"/>
              <w:ind w:firstLine="1039" w:left="-988" w:right="34"/>
              <w:contextualSpacing w:val="1"/>
              <w:jc w:val="center"/>
              <w:rPr>
                <w:color w:val="000000"/>
                <w:sz w:val="22"/>
              </w:rPr>
            </w:pPr>
            <w:r>
              <w:rPr>
                <w:color w:val="000000"/>
                <w:sz w:val="22"/>
              </w:rPr>
              <w:t>141-150</w:t>
            </w:r>
          </w:p>
        </w:tc>
        <w:tc>
          <w:tcPr>
            <w:tcW w:type="dxa" w:w="1276"/>
            <w:tcBorders>
              <w:top w:sz="4" w:val="nil"/>
              <w:left w:sz="4" w:val="nil"/>
              <w:bottom w:color="000000" w:sz="4" w:val="single"/>
              <w:right w:color="000000" w:sz="4" w:val="single"/>
            </w:tcBorders>
            <w:shd w:fill="auto" w:val="clear"/>
            <w:vAlign w:val="center"/>
          </w:tcPr>
          <w:p w14:paraId="43040000">
            <w:pPr>
              <w:widowControl w:val="1"/>
              <w:ind w:firstLine="1039" w:left="-988" w:right="34"/>
              <w:contextualSpacing w:val="1"/>
              <w:jc w:val="center"/>
              <w:rPr>
                <w:color w:val="000000"/>
                <w:sz w:val="22"/>
              </w:rPr>
            </w:pPr>
            <w:r>
              <w:rPr>
                <w:color w:val="000000"/>
                <w:sz w:val="22"/>
              </w:rPr>
              <w:t>167</w:t>
            </w:r>
          </w:p>
        </w:tc>
        <w:tc>
          <w:tcPr>
            <w:tcW w:type="dxa" w:w="1276"/>
            <w:tcBorders>
              <w:top w:sz="4" w:val="nil"/>
              <w:left w:sz="4" w:val="nil"/>
              <w:bottom w:color="000000" w:sz="4" w:val="single"/>
              <w:right w:color="000000" w:sz="4" w:val="single"/>
            </w:tcBorders>
            <w:shd w:fill="auto" w:val="clear"/>
            <w:vAlign w:val="center"/>
          </w:tcPr>
          <w:p w14:paraId="44040000">
            <w:pPr>
              <w:widowControl w:val="1"/>
              <w:ind w:firstLine="1039" w:left="-988" w:right="34"/>
              <w:contextualSpacing w:val="1"/>
              <w:jc w:val="center"/>
              <w:rPr>
                <w:color w:val="000000"/>
                <w:sz w:val="22"/>
              </w:rPr>
            </w:pPr>
          </w:p>
        </w:tc>
        <w:tc>
          <w:tcPr>
            <w:tcW w:type="dxa" w:w="1275"/>
            <w:tcBorders>
              <w:top w:sz="4" w:val="nil"/>
              <w:left w:sz="4" w:val="nil"/>
              <w:bottom w:color="000000" w:sz="4" w:val="single"/>
              <w:right w:sz="4" w:val="nil"/>
            </w:tcBorders>
            <w:shd w:fill="auto" w:val="clear"/>
            <w:vAlign w:val="center"/>
          </w:tcPr>
          <w:p w14:paraId="45040000">
            <w:pPr>
              <w:widowControl w:val="1"/>
              <w:ind w:firstLine="1039" w:left="-988" w:right="34"/>
              <w:contextualSpacing w:val="1"/>
              <w:jc w:val="center"/>
              <w:rPr>
                <w:color w:val="000000"/>
                <w:sz w:val="22"/>
              </w:rPr>
            </w:pPr>
            <w:r>
              <w:rPr>
                <w:color w:val="000000"/>
                <w:sz w:val="22"/>
              </w:rPr>
              <w:t>184</w:t>
            </w:r>
          </w:p>
        </w:tc>
        <w:tc>
          <w:tcPr>
            <w:tcW w:type="dxa" w:w="1418"/>
            <w:tcBorders>
              <w:top w:sz="4" w:val="nil"/>
              <w:left w:color="000000" w:sz="4" w:val="single"/>
              <w:bottom w:color="000000" w:sz="4" w:val="single"/>
              <w:right w:color="000000" w:sz="4" w:val="single"/>
            </w:tcBorders>
            <w:shd w:fill="auto" w:val="clear"/>
            <w:vAlign w:val="center"/>
          </w:tcPr>
          <w:p w14:paraId="46040000">
            <w:pPr>
              <w:widowControl w:val="1"/>
              <w:ind w:firstLine="1039" w:left="-988" w:right="34"/>
              <w:contextualSpacing w:val="1"/>
              <w:jc w:val="center"/>
              <w:rPr>
                <w:sz w:val="22"/>
              </w:rPr>
            </w:pPr>
            <w:r>
              <w:rPr>
                <w:sz w:val="22"/>
              </w:rPr>
              <w:t>202</w:t>
            </w:r>
          </w:p>
        </w:tc>
        <w:tc>
          <w:tcPr>
            <w:tcW w:type="dxa" w:w="1276"/>
            <w:tcBorders>
              <w:top w:sz="4" w:val="nil"/>
              <w:left w:color="000000" w:sz="4" w:val="single"/>
              <w:bottom w:color="000000" w:sz="4" w:val="single"/>
              <w:right w:color="000000" w:sz="4" w:val="single"/>
            </w:tcBorders>
            <w:vAlign w:val="center"/>
          </w:tcPr>
          <w:p w14:paraId="47040000">
            <w:pPr>
              <w:widowControl w:val="1"/>
              <w:ind w:firstLine="1039" w:left="-988" w:right="34"/>
              <w:contextualSpacing w:val="1"/>
              <w:jc w:val="center"/>
              <w:rPr>
                <w:sz w:val="22"/>
              </w:rPr>
            </w:pPr>
            <w:r>
              <w:rPr>
                <w:sz w:val="22"/>
              </w:rPr>
              <w:t>202</w:t>
            </w:r>
          </w:p>
        </w:tc>
        <w:tc>
          <w:tcPr>
            <w:tcW w:type="dxa" w:w="1134"/>
            <w:tcBorders>
              <w:top w:sz="4" w:val="nil"/>
              <w:left w:color="000000" w:sz="4" w:val="single"/>
              <w:bottom w:color="000000" w:sz="4" w:val="single"/>
              <w:right w:color="000000" w:sz="4" w:val="single"/>
            </w:tcBorders>
            <w:vAlign w:val="center"/>
          </w:tcPr>
          <w:p w14:paraId="48040000">
            <w:pPr>
              <w:widowControl w:val="1"/>
              <w:ind w:firstLine="1039" w:left="-988" w:right="34"/>
              <w:contextualSpacing w:val="1"/>
              <w:jc w:val="center"/>
              <w:rPr>
                <w:sz w:val="22"/>
              </w:rPr>
            </w:pPr>
            <w:r>
              <w:rPr>
                <w:sz w:val="22"/>
              </w:rPr>
              <w:t>202</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49040000">
            <w:pPr>
              <w:widowControl w:val="1"/>
              <w:ind w:firstLine="709" w:left="-1018" w:right="-95"/>
              <w:contextualSpacing w:val="1"/>
              <w:jc w:val="center"/>
              <w:rPr>
                <w:color w:val="000000"/>
                <w:sz w:val="22"/>
              </w:rPr>
            </w:pPr>
            <w:r>
              <w:rPr>
                <w:color w:val="000000"/>
                <w:sz w:val="22"/>
              </w:rPr>
              <w:t>16</w:t>
            </w:r>
          </w:p>
        </w:tc>
        <w:tc>
          <w:tcPr>
            <w:tcW w:type="dxa" w:w="1121"/>
            <w:tcBorders>
              <w:top w:sz="4" w:val="nil"/>
              <w:left w:sz="4" w:val="nil"/>
              <w:bottom w:color="000000" w:sz="4" w:val="single"/>
              <w:right w:color="000000" w:sz="4" w:val="single"/>
            </w:tcBorders>
            <w:shd w:fill="auto" w:val="clear"/>
            <w:vAlign w:val="center"/>
          </w:tcPr>
          <w:p w14:paraId="4A040000">
            <w:pPr>
              <w:widowControl w:val="1"/>
              <w:ind w:firstLine="1039" w:left="-988" w:right="34"/>
              <w:contextualSpacing w:val="1"/>
              <w:jc w:val="center"/>
              <w:rPr>
                <w:color w:val="000000"/>
                <w:sz w:val="22"/>
              </w:rPr>
            </w:pPr>
            <w:r>
              <w:rPr>
                <w:color w:val="000000"/>
                <w:sz w:val="22"/>
              </w:rPr>
              <w:t>151-160</w:t>
            </w:r>
          </w:p>
        </w:tc>
        <w:tc>
          <w:tcPr>
            <w:tcW w:type="dxa" w:w="1276"/>
            <w:tcBorders>
              <w:top w:sz="4" w:val="nil"/>
              <w:left w:sz="4" w:val="nil"/>
              <w:bottom w:color="000000" w:sz="4" w:val="single"/>
              <w:right w:color="000000" w:sz="4" w:val="single"/>
            </w:tcBorders>
            <w:shd w:fill="auto" w:val="clear"/>
            <w:vAlign w:val="center"/>
          </w:tcPr>
          <w:p w14:paraId="4B040000">
            <w:pPr>
              <w:widowControl w:val="1"/>
              <w:ind w:firstLine="1039" w:left="-988" w:right="34"/>
              <w:contextualSpacing w:val="1"/>
              <w:jc w:val="center"/>
              <w:rPr>
                <w:color w:val="000000"/>
                <w:sz w:val="22"/>
              </w:rPr>
            </w:pPr>
            <w:r>
              <w:rPr>
                <w:color w:val="000000"/>
                <w:sz w:val="22"/>
              </w:rPr>
              <w:t>177</w:t>
            </w:r>
          </w:p>
        </w:tc>
        <w:tc>
          <w:tcPr>
            <w:tcW w:type="dxa" w:w="1276"/>
            <w:tcBorders>
              <w:top w:sz="4" w:val="nil"/>
              <w:left w:sz="4" w:val="nil"/>
              <w:bottom w:color="000000" w:sz="4" w:val="single"/>
              <w:right w:color="000000" w:sz="4" w:val="single"/>
            </w:tcBorders>
            <w:shd w:fill="auto" w:val="clear"/>
            <w:vAlign w:val="center"/>
          </w:tcPr>
          <w:p w14:paraId="4C040000">
            <w:pPr>
              <w:widowControl w:val="1"/>
              <w:ind w:firstLine="1039" w:left="-988" w:right="34"/>
              <w:contextualSpacing w:val="1"/>
              <w:jc w:val="center"/>
              <w:rPr>
                <w:color w:val="000000"/>
                <w:sz w:val="22"/>
              </w:rPr>
            </w:pPr>
          </w:p>
        </w:tc>
        <w:tc>
          <w:tcPr>
            <w:tcW w:type="dxa" w:w="1275"/>
            <w:tcBorders>
              <w:top w:sz="4" w:val="nil"/>
              <w:left w:sz="4" w:val="nil"/>
              <w:bottom w:color="000000" w:sz="4" w:val="single"/>
              <w:right w:sz="4" w:val="nil"/>
            </w:tcBorders>
            <w:shd w:fill="auto" w:val="clear"/>
            <w:vAlign w:val="center"/>
          </w:tcPr>
          <w:p w14:paraId="4D040000">
            <w:pPr>
              <w:widowControl w:val="1"/>
              <w:ind w:firstLine="1039" w:left="-988" w:right="34"/>
              <w:contextualSpacing w:val="1"/>
              <w:jc w:val="center"/>
              <w:rPr>
                <w:color w:val="000000"/>
                <w:sz w:val="22"/>
              </w:rPr>
            </w:pPr>
            <w:r>
              <w:rPr>
                <w:color w:val="000000"/>
                <w:sz w:val="22"/>
              </w:rPr>
              <w:t>195</w:t>
            </w:r>
          </w:p>
        </w:tc>
        <w:tc>
          <w:tcPr>
            <w:tcW w:type="dxa" w:w="1418"/>
            <w:tcBorders>
              <w:top w:sz="4" w:val="nil"/>
              <w:left w:color="000000" w:sz="4" w:val="single"/>
              <w:bottom w:color="000000" w:sz="4" w:val="single"/>
              <w:right w:color="000000" w:sz="4" w:val="single"/>
            </w:tcBorders>
            <w:shd w:fill="auto" w:val="clear"/>
            <w:vAlign w:val="center"/>
          </w:tcPr>
          <w:p w14:paraId="4E040000">
            <w:pPr>
              <w:widowControl w:val="1"/>
              <w:ind w:firstLine="1039" w:left="-988" w:right="34"/>
              <w:contextualSpacing w:val="1"/>
              <w:jc w:val="center"/>
              <w:rPr>
                <w:sz w:val="22"/>
              </w:rPr>
            </w:pPr>
            <w:r>
              <w:rPr>
                <w:sz w:val="22"/>
              </w:rPr>
              <w:t>214</w:t>
            </w:r>
          </w:p>
        </w:tc>
        <w:tc>
          <w:tcPr>
            <w:tcW w:type="dxa" w:w="1276"/>
            <w:tcBorders>
              <w:top w:sz="4" w:val="nil"/>
              <w:left w:color="000000" w:sz="4" w:val="single"/>
              <w:bottom w:color="000000" w:sz="4" w:val="single"/>
              <w:right w:color="000000" w:sz="4" w:val="single"/>
            </w:tcBorders>
            <w:vAlign w:val="center"/>
          </w:tcPr>
          <w:p w14:paraId="4F040000">
            <w:pPr>
              <w:widowControl w:val="1"/>
              <w:ind w:firstLine="1039" w:left="-988" w:right="34"/>
              <w:contextualSpacing w:val="1"/>
              <w:jc w:val="center"/>
              <w:rPr>
                <w:sz w:val="22"/>
              </w:rPr>
            </w:pPr>
            <w:r>
              <w:rPr>
                <w:sz w:val="22"/>
              </w:rPr>
              <w:t>214</w:t>
            </w:r>
          </w:p>
        </w:tc>
        <w:tc>
          <w:tcPr>
            <w:tcW w:type="dxa" w:w="1134"/>
            <w:tcBorders>
              <w:top w:sz="4" w:val="nil"/>
              <w:left w:color="000000" w:sz="4" w:val="single"/>
              <w:bottom w:color="000000" w:sz="4" w:val="single"/>
              <w:right w:color="000000" w:sz="4" w:val="single"/>
            </w:tcBorders>
            <w:vAlign w:val="center"/>
          </w:tcPr>
          <w:p w14:paraId="50040000">
            <w:pPr>
              <w:widowControl w:val="1"/>
              <w:ind w:firstLine="1039" w:left="-988" w:right="34"/>
              <w:contextualSpacing w:val="1"/>
              <w:jc w:val="center"/>
              <w:rPr>
                <w:sz w:val="22"/>
              </w:rPr>
            </w:pPr>
            <w:r>
              <w:rPr>
                <w:sz w:val="22"/>
              </w:rPr>
              <w:t>214</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51040000">
            <w:pPr>
              <w:widowControl w:val="1"/>
              <w:ind w:firstLine="709" w:left="-1018" w:right="-95"/>
              <w:contextualSpacing w:val="1"/>
              <w:jc w:val="center"/>
              <w:rPr>
                <w:color w:val="000000"/>
                <w:sz w:val="22"/>
              </w:rPr>
            </w:pPr>
            <w:r>
              <w:rPr>
                <w:color w:val="000000"/>
                <w:sz w:val="22"/>
              </w:rPr>
              <w:t>17</w:t>
            </w:r>
          </w:p>
        </w:tc>
        <w:tc>
          <w:tcPr>
            <w:tcW w:type="dxa" w:w="1121"/>
            <w:tcBorders>
              <w:top w:sz="4" w:val="nil"/>
              <w:left w:sz="4" w:val="nil"/>
              <w:bottom w:color="000000" w:sz="4" w:val="single"/>
              <w:right w:color="000000" w:sz="4" w:val="single"/>
            </w:tcBorders>
            <w:shd w:fill="auto" w:val="clear"/>
            <w:vAlign w:val="center"/>
          </w:tcPr>
          <w:p w14:paraId="52040000">
            <w:pPr>
              <w:widowControl w:val="1"/>
              <w:ind w:firstLine="1039" w:left="-988" w:right="34"/>
              <w:contextualSpacing w:val="1"/>
              <w:jc w:val="center"/>
              <w:rPr>
                <w:color w:val="000000"/>
                <w:sz w:val="22"/>
              </w:rPr>
            </w:pPr>
            <w:r>
              <w:rPr>
                <w:color w:val="000000"/>
                <w:sz w:val="22"/>
              </w:rPr>
              <w:t>161-170</w:t>
            </w:r>
          </w:p>
        </w:tc>
        <w:tc>
          <w:tcPr>
            <w:tcW w:type="dxa" w:w="1276"/>
            <w:tcBorders>
              <w:top w:sz="4" w:val="nil"/>
              <w:left w:sz="4" w:val="nil"/>
              <w:bottom w:color="000000" w:sz="4" w:val="single"/>
              <w:right w:color="000000" w:sz="4" w:val="single"/>
            </w:tcBorders>
            <w:shd w:fill="auto" w:val="clear"/>
            <w:vAlign w:val="center"/>
          </w:tcPr>
          <w:p w14:paraId="53040000">
            <w:pPr>
              <w:widowControl w:val="1"/>
              <w:ind w:firstLine="1039" w:left="-988" w:right="34"/>
              <w:contextualSpacing w:val="1"/>
              <w:jc w:val="center"/>
              <w:rPr>
                <w:color w:val="000000"/>
                <w:sz w:val="22"/>
              </w:rPr>
            </w:pPr>
            <w:r>
              <w:rPr>
                <w:color w:val="000000"/>
                <w:sz w:val="22"/>
              </w:rPr>
              <w:t>185</w:t>
            </w:r>
          </w:p>
        </w:tc>
        <w:tc>
          <w:tcPr>
            <w:tcW w:type="dxa" w:w="1276"/>
            <w:tcBorders>
              <w:top w:sz="4" w:val="nil"/>
              <w:left w:sz="4" w:val="nil"/>
              <w:bottom w:color="000000" w:sz="4" w:val="single"/>
              <w:right w:color="000000" w:sz="4" w:val="single"/>
            </w:tcBorders>
            <w:shd w:fill="auto" w:val="clear"/>
            <w:vAlign w:val="center"/>
          </w:tcPr>
          <w:p w14:paraId="54040000">
            <w:pPr>
              <w:widowControl w:val="1"/>
              <w:ind w:firstLine="1039" w:left="-988" w:right="34"/>
              <w:contextualSpacing w:val="1"/>
              <w:jc w:val="center"/>
              <w:rPr>
                <w:color w:val="000000"/>
                <w:sz w:val="22"/>
              </w:rPr>
            </w:pPr>
          </w:p>
        </w:tc>
        <w:tc>
          <w:tcPr>
            <w:tcW w:type="dxa" w:w="1275"/>
            <w:tcBorders>
              <w:top w:sz="4" w:val="nil"/>
              <w:left w:sz="4" w:val="nil"/>
              <w:bottom w:color="000000" w:sz="4" w:val="single"/>
              <w:right w:sz="4" w:val="nil"/>
            </w:tcBorders>
            <w:shd w:fill="auto" w:val="clear"/>
            <w:vAlign w:val="center"/>
          </w:tcPr>
          <w:p w14:paraId="55040000">
            <w:pPr>
              <w:widowControl w:val="1"/>
              <w:ind w:firstLine="1039" w:left="-988" w:right="34"/>
              <w:contextualSpacing w:val="1"/>
              <w:jc w:val="center"/>
              <w:rPr>
                <w:color w:val="000000"/>
                <w:sz w:val="22"/>
              </w:rPr>
            </w:pPr>
            <w:r>
              <w:rPr>
                <w:color w:val="000000"/>
                <w:sz w:val="22"/>
              </w:rPr>
              <w:t>204</w:t>
            </w:r>
          </w:p>
        </w:tc>
        <w:tc>
          <w:tcPr>
            <w:tcW w:type="dxa" w:w="1418"/>
            <w:tcBorders>
              <w:top w:sz="4" w:val="nil"/>
              <w:left w:color="000000" w:sz="4" w:val="single"/>
              <w:bottom w:color="000000" w:sz="4" w:val="single"/>
              <w:right w:color="000000" w:sz="4" w:val="single"/>
            </w:tcBorders>
            <w:shd w:fill="auto" w:val="clear"/>
            <w:vAlign w:val="center"/>
          </w:tcPr>
          <w:p w14:paraId="56040000">
            <w:pPr>
              <w:widowControl w:val="1"/>
              <w:ind w:firstLine="1039" w:left="-988" w:right="34"/>
              <w:contextualSpacing w:val="1"/>
              <w:jc w:val="center"/>
              <w:rPr>
                <w:sz w:val="22"/>
              </w:rPr>
            </w:pPr>
            <w:r>
              <w:rPr>
                <w:sz w:val="22"/>
              </w:rPr>
              <w:t>223</w:t>
            </w:r>
          </w:p>
        </w:tc>
        <w:tc>
          <w:tcPr>
            <w:tcW w:type="dxa" w:w="1276"/>
            <w:tcBorders>
              <w:top w:sz="4" w:val="nil"/>
              <w:left w:color="000000" w:sz="4" w:val="single"/>
              <w:bottom w:color="000000" w:sz="4" w:val="single"/>
              <w:right w:color="000000" w:sz="4" w:val="single"/>
            </w:tcBorders>
            <w:vAlign w:val="center"/>
          </w:tcPr>
          <w:p w14:paraId="57040000">
            <w:pPr>
              <w:widowControl w:val="1"/>
              <w:ind w:firstLine="1039" w:left="-988" w:right="34"/>
              <w:contextualSpacing w:val="1"/>
              <w:jc w:val="center"/>
              <w:rPr>
                <w:sz w:val="22"/>
              </w:rPr>
            </w:pPr>
            <w:r>
              <w:rPr>
                <w:sz w:val="22"/>
              </w:rPr>
              <w:t>223</w:t>
            </w:r>
          </w:p>
        </w:tc>
        <w:tc>
          <w:tcPr>
            <w:tcW w:type="dxa" w:w="1134"/>
            <w:tcBorders>
              <w:top w:sz="4" w:val="nil"/>
              <w:left w:color="000000" w:sz="4" w:val="single"/>
              <w:bottom w:color="000000" w:sz="4" w:val="single"/>
              <w:right w:color="000000" w:sz="4" w:val="single"/>
            </w:tcBorders>
            <w:vAlign w:val="center"/>
          </w:tcPr>
          <w:p w14:paraId="58040000">
            <w:pPr>
              <w:widowControl w:val="1"/>
              <w:ind w:firstLine="1039" w:left="-988" w:right="34"/>
              <w:contextualSpacing w:val="1"/>
              <w:jc w:val="center"/>
              <w:rPr>
                <w:sz w:val="22"/>
              </w:rPr>
            </w:pPr>
            <w:r>
              <w:rPr>
                <w:sz w:val="22"/>
              </w:rPr>
              <w:t>223</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59040000">
            <w:pPr>
              <w:widowControl w:val="1"/>
              <w:ind w:firstLine="709" w:left="-1018" w:right="-95"/>
              <w:contextualSpacing w:val="1"/>
              <w:jc w:val="center"/>
              <w:rPr>
                <w:color w:val="000000"/>
                <w:sz w:val="22"/>
              </w:rPr>
            </w:pPr>
            <w:r>
              <w:rPr>
                <w:color w:val="000000"/>
                <w:sz w:val="22"/>
              </w:rPr>
              <w:t>18</w:t>
            </w:r>
          </w:p>
        </w:tc>
        <w:tc>
          <w:tcPr>
            <w:tcW w:type="dxa" w:w="1121"/>
            <w:tcBorders>
              <w:top w:sz="4" w:val="nil"/>
              <w:left w:sz="4" w:val="nil"/>
              <w:bottom w:color="000000" w:sz="4" w:val="single"/>
              <w:right w:color="000000" w:sz="4" w:val="single"/>
            </w:tcBorders>
            <w:shd w:fill="auto" w:val="clear"/>
            <w:vAlign w:val="center"/>
          </w:tcPr>
          <w:p w14:paraId="5A040000">
            <w:pPr>
              <w:widowControl w:val="1"/>
              <w:ind w:firstLine="1039" w:left="-988" w:right="34"/>
              <w:contextualSpacing w:val="1"/>
              <w:jc w:val="center"/>
              <w:rPr>
                <w:color w:val="000000"/>
                <w:sz w:val="22"/>
              </w:rPr>
            </w:pPr>
            <w:r>
              <w:rPr>
                <w:color w:val="000000"/>
                <w:sz w:val="22"/>
              </w:rPr>
              <w:t>171-180</w:t>
            </w:r>
          </w:p>
        </w:tc>
        <w:tc>
          <w:tcPr>
            <w:tcW w:type="dxa" w:w="1276"/>
            <w:tcBorders>
              <w:top w:sz="4" w:val="nil"/>
              <w:left w:sz="4" w:val="nil"/>
              <w:bottom w:color="000000" w:sz="4" w:val="single"/>
              <w:right w:color="000000" w:sz="4" w:val="single"/>
            </w:tcBorders>
            <w:shd w:fill="auto" w:val="clear"/>
            <w:vAlign w:val="center"/>
          </w:tcPr>
          <w:p w14:paraId="5B040000">
            <w:pPr>
              <w:widowControl w:val="1"/>
              <w:ind w:firstLine="1039" w:left="-988" w:right="34"/>
              <w:contextualSpacing w:val="1"/>
              <w:jc w:val="center"/>
              <w:rPr>
                <w:color w:val="000000"/>
                <w:sz w:val="22"/>
              </w:rPr>
            </w:pPr>
            <w:r>
              <w:rPr>
                <w:color w:val="000000"/>
                <w:sz w:val="22"/>
              </w:rPr>
              <w:t>196</w:t>
            </w:r>
          </w:p>
        </w:tc>
        <w:tc>
          <w:tcPr>
            <w:tcW w:type="dxa" w:w="1276"/>
            <w:tcBorders>
              <w:top w:sz="4" w:val="nil"/>
              <w:left w:sz="4" w:val="nil"/>
              <w:bottom w:color="000000" w:sz="4" w:val="single"/>
              <w:right w:color="000000" w:sz="4" w:val="single"/>
            </w:tcBorders>
            <w:shd w:fill="auto" w:val="clear"/>
            <w:vAlign w:val="center"/>
          </w:tcPr>
          <w:p w14:paraId="5C040000">
            <w:pPr>
              <w:widowControl w:val="1"/>
              <w:ind w:firstLine="1039" w:left="-988" w:right="34"/>
              <w:contextualSpacing w:val="1"/>
              <w:jc w:val="center"/>
              <w:rPr>
                <w:color w:val="000000"/>
                <w:sz w:val="22"/>
              </w:rPr>
            </w:pPr>
          </w:p>
        </w:tc>
        <w:tc>
          <w:tcPr>
            <w:tcW w:type="dxa" w:w="1275"/>
            <w:tcBorders>
              <w:top w:sz="4" w:val="nil"/>
              <w:left w:sz="4" w:val="nil"/>
              <w:bottom w:color="000000" w:sz="4" w:val="single"/>
              <w:right w:sz="4" w:val="nil"/>
            </w:tcBorders>
            <w:shd w:fill="auto" w:val="clear"/>
            <w:vAlign w:val="center"/>
          </w:tcPr>
          <w:p w14:paraId="5D040000">
            <w:pPr>
              <w:widowControl w:val="1"/>
              <w:ind w:firstLine="1039" w:left="-988" w:right="34"/>
              <w:contextualSpacing w:val="1"/>
              <w:jc w:val="center"/>
              <w:rPr>
                <w:color w:val="000000"/>
                <w:sz w:val="22"/>
              </w:rPr>
            </w:pPr>
            <w:r>
              <w:rPr>
                <w:color w:val="000000"/>
                <w:sz w:val="22"/>
              </w:rPr>
              <w:t>216</w:t>
            </w:r>
          </w:p>
        </w:tc>
        <w:tc>
          <w:tcPr>
            <w:tcW w:type="dxa" w:w="1418"/>
            <w:tcBorders>
              <w:top w:sz="4" w:val="nil"/>
              <w:left w:color="000000" w:sz="4" w:val="single"/>
              <w:bottom w:color="000000" w:sz="4" w:val="single"/>
              <w:right w:color="000000" w:sz="4" w:val="single"/>
            </w:tcBorders>
            <w:shd w:fill="auto" w:val="clear"/>
            <w:vAlign w:val="center"/>
          </w:tcPr>
          <w:p w14:paraId="5E040000">
            <w:pPr>
              <w:widowControl w:val="1"/>
              <w:ind w:firstLine="1039" w:left="-988" w:right="34"/>
              <w:contextualSpacing w:val="1"/>
              <w:jc w:val="center"/>
              <w:rPr>
                <w:sz w:val="22"/>
              </w:rPr>
            </w:pPr>
            <w:r>
              <w:rPr>
                <w:sz w:val="22"/>
              </w:rPr>
              <w:t>237</w:t>
            </w:r>
          </w:p>
        </w:tc>
        <w:tc>
          <w:tcPr>
            <w:tcW w:type="dxa" w:w="1276"/>
            <w:tcBorders>
              <w:top w:sz="4" w:val="nil"/>
              <w:left w:color="000000" w:sz="4" w:val="single"/>
              <w:bottom w:color="000000" w:sz="4" w:val="single"/>
              <w:right w:color="000000" w:sz="4" w:val="single"/>
            </w:tcBorders>
            <w:vAlign w:val="center"/>
          </w:tcPr>
          <w:p w14:paraId="5F040000">
            <w:pPr>
              <w:widowControl w:val="1"/>
              <w:ind w:firstLine="1039" w:left="-988" w:right="34"/>
              <w:contextualSpacing w:val="1"/>
              <w:jc w:val="center"/>
              <w:rPr>
                <w:sz w:val="22"/>
              </w:rPr>
            </w:pPr>
            <w:r>
              <w:rPr>
                <w:sz w:val="22"/>
              </w:rPr>
              <w:t>237</w:t>
            </w:r>
          </w:p>
        </w:tc>
        <w:tc>
          <w:tcPr>
            <w:tcW w:type="dxa" w:w="1134"/>
            <w:tcBorders>
              <w:top w:sz="4" w:val="nil"/>
              <w:left w:color="000000" w:sz="4" w:val="single"/>
              <w:bottom w:color="000000" w:sz="4" w:val="single"/>
              <w:right w:color="000000" w:sz="4" w:val="single"/>
            </w:tcBorders>
            <w:vAlign w:val="center"/>
          </w:tcPr>
          <w:p w14:paraId="60040000">
            <w:pPr>
              <w:widowControl w:val="1"/>
              <w:ind w:firstLine="1039" w:left="-988" w:right="34"/>
              <w:contextualSpacing w:val="1"/>
              <w:jc w:val="center"/>
              <w:rPr>
                <w:sz w:val="22"/>
              </w:rPr>
            </w:pPr>
            <w:r>
              <w:rPr>
                <w:sz w:val="22"/>
              </w:rPr>
              <w:t>237</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61040000">
            <w:pPr>
              <w:widowControl w:val="1"/>
              <w:ind w:firstLine="709" w:left="-1018" w:right="-95"/>
              <w:contextualSpacing w:val="1"/>
              <w:jc w:val="center"/>
              <w:rPr>
                <w:color w:val="000000"/>
                <w:sz w:val="22"/>
              </w:rPr>
            </w:pPr>
            <w:r>
              <w:rPr>
                <w:color w:val="000000"/>
                <w:sz w:val="22"/>
              </w:rPr>
              <w:t>19</w:t>
            </w:r>
          </w:p>
        </w:tc>
        <w:tc>
          <w:tcPr>
            <w:tcW w:type="dxa" w:w="1121"/>
            <w:tcBorders>
              <w:top w:sz="4" w:val="nil"/>
              <w:left w:sz="4" w:val="nil"/>
              <w:bottom w:color="000000" w:sz="4" w:val="single"/>
              <w:right w:color="000000" w:sz="4" w:val="single"/>
            </w:tcBorders>
            <w:shd w:fill="auto" w:val="clear"/>
            <w:vAlign w:val="center"/>
          </w:tcPr>
          <w:p w14:paraId="62040000">
            <w:pPr>
              <w:widowControl w:val="1"/>
              <w:ind w:firstLine="1039" w:left="-988" w:right="34"/>
              <w:contextualSpacing w:val="1"/>
              <w:jc w:val="center"/>
              <w:rPr>
                <w:color w:val="000000"/>
                <w:sz w:val="22"/>
              </w:rPr>
            </w:pPr>
            <w:r>
              <w:rPr>
                <w:color w:val="000000"/>
                <w:sz w:val="22"/>
              </w:rPr>
              <w:t>181-190</w:t>
            </w:r>
          </w:p>
        </w:tc>
        <w:tc>
          <w:tcPr>
            <w:tcW w:type="dxa" w:w="1276"/>
            <w:tcBorders>
              <w:top w:sz="4" w:val="nil"/>
              <w:left w:sz="4" w:val="nil"/>
              <w:bottom w:color="000000" w:sz="4" w:val="single"/>
              <w:right w:color="000000" w:sz="4" w:val="single"/>
            </w:tcBorders>
            <w:shd w:fill="auto" w:val="clear"/>
            <w:vAlign w:val="center"/>
          </w:tcPr>
          <w:p w14:paraId="63040000">
            <w:pPr>
              <w:widowControl w:val="1"/>
              <w:ind w:firstLine="1039" w:left="-988" w:right="34"/>
              <w:contextualSpacing w:val="1"/>
              <w:jc w:val="center"/>
              <w:rPr>
                <w:color w:val="000000"/>
                <w:sz w:val="22"/>
              </w:rPr>
            </w:pPr>
            <w:r>
              <w:rPr>
                <w:color w:val="000000"/>
                <w:sz w:val="22"/>
              </w:rPr>
              <w:t>206</w:t>
            </w:r>
          </w:p>
        </w:tc>
        <w:tc>
          <w:tcPr>
            <w:tcW w:type="dxa" w:w="1276"/>
            <w:tcBorders>
              <w:top w:sz="4" w:val="nil"/>
              <w:left w:sz="4" w:val="nil"/>
              <w:bottom w:color="000000" w:sz="4" w:val="single"/>
              <w:right w:color="000000" w:sz="4" w:val="single"/>
            </w:tcBorders>
            <w:shd w:fill="auto" w:val="clear"/>
            <w:vAlign w:val="center"/>
          </w:tcPr>
          <w:p w14:paraId="64040000">
            <w:pPr>
              <w:widowControl w:val="1"/>
              <w:ind w:firstLine="1039" w:left="-988" w:right="34"/>
              <w:contextualSpacing w:val="1"/>
              <w:jc w:val="center"/>
              <w:rPr>
                <w:color w:val="000000"/>
                <w:sz w:val="22"/>
              </w:rPr>
            </w:pPr>
          </w:p>
        </w:tc>
        <w:tc>
          <w:tcPr>
            <w:tcW w:type="dxa" w:w="1275"/>
            <w:tcBorders>
              <w:top w:sz="4" w:val="nil"/>
              <w:left w:sz="4" w:val="nil"/>
              <w:bottom w:color="000000" w:sz="4" w:val="single"/>
              <w:right w:sz="4" w:val="nil"/>
            </w:tcBorders>
            <w:shd w:fill="auto" w:val="clear"/>
            <w:vAlign w:val="center"/>
          </w:tcPr>
          <w:p w14:paraId="65040000">
            <w:pPr>
              <w:widowControl w:val="1"/>
              <w:ind w:firstLine="1039" w:left="-988" w:right="34"/>
              <w:contextualSpacing w:val="1"/>
              <w:jc w:val="center"/>
              <w:rPr>
                <w:color w:val="000000"/>
                <w:sz w:val="22"/>
              </w:rPr>
            </w:pPr>
            <w:r>
              <w:rPr>
                <w:color w:val="000000"/>
                <w:sz w:val="22"/>
              </w:rPr>
              <w:t>227</w:t>
            </w:r>
          </w:p>
        </w:tc>
        <w:tc>
          <w:tcPr>
            <w:tcW w:type="dxa" w:w="1418"/>
            <w:tcBorders>
              <w:top w:sz="4" w:val="nil"/>
              <w:left w:color="000000" w:sz="4" w:val="single"/>
              <w:bottom w:color="000000" w:sz="4" w:val="single"/>
              <w:right w:color="000000" w:sz="4" w:val="single"/>
            </w:tcBorders>
            <w:shd w:fill="auto" w:val="clear"/>
            <w:vAlign w:val="center"/>
          </w:tcPr>
          <w:p w14:paraId="66040000">
            <w:pPr>
              <w:widowControl w:val="1"/>
              <w:ind w:firstLine="1039" w:left="-988" w:right="34"/>
              <w:contextualSpacing w:val="1"/>
              <w:jc w:val="center"/>
              <w:rPr>
                <w:sz w:val="22"/>
              </w:rPr>
            </w:pPr>
            <w:r>
              <w:rPr>
                <w:sz w:val="22"/>
              </w:rPr>
              <w:t>249</w:t>
            </w:r>
          </w:p>
        </w:tc>
        <w:tc>
          <w:tcPr>
            <w:tcW w:type="dxa" w:w="1276"/>
            <w:tcBorders>
              <w:top w:sz="4" w:val="nil"/>
              <w:left w:color="000000" w:sz="4" w:val="single"/>
              <w:bottom w:color="000000" w:sz="4" w:val="single"/>
              <w:right w:color="000000" w:sz="4" w:val="single"/>
            </w:tcBorders>
            <w:vAlign w:val="center"/>
          </w:tcPr>
          <w:p w14:paraId="67040000">
            <w:pPr>
              <w:widowControl w:val="1"/>
              <w:ind w:firstLine="1039" w:left="-988" w:right="34"/>
              <w:contextualSpacing w:val="1"/>
              <w:jc w:val="center"/>
              <w:rPr>
                <w:sz w:val="22"/>
              </w:rPr>
            </w:pPr>
            <w:r>
              <w:rPr>
                <w:sz w:val="22"/>
              </w:rPr>
              <w:t>249</w:t>
            </w:r>
          </w:p>
        </w:tc>
        <w:tc>
          <w:tcPr>
            <w:tcW w:type="dxa" w:w="1134"/>
            <w:tcBorders>
              <w:top w:sz="4" w:val="nil"/>
              <w:left w:color="000000" w:sz="4" w:val="single"/>
              <w:bottom w:color="000000" w:sz="4" w:val="single"/>
              <w:right w:color="000000" w:sz="4" w:val="single"/>
            </w:tcBorders>
            <w:vAlign w:val="center"/>
          </w:tcPr>
          <w:p w14:paraId="68040000">
            <w:pPr>
              <w:widowControl w:val="1"/>
              <w:ind w:firstLine="1039" w:left="-988" w:right="34"/>
              <w:contextualSpacing w:val="1"/>
              <w:jc w:val="center"/>
              <w:rPr>
                <w:sz w:val="22"/>
              </w:rPr>
            </w:pPr>
            <w:r>
              <w:rPr>
                <w:sz w:val="22"/>
              </w:rPr>
              <w:t>249</w:t>
            </w:r>
          </w:p>
        </w:tc>
      </w:tr>
      <w:tr>
        <w:trPr>
          <w:trHeight w:hRule="atLeast" w:val="229"/>
        </w:trPr>
        <w:tc>
          <w:tcPr>
            <w:tcW w:type="dxa" w:w="727"/>
            <w:tcBorders>
              <w:top w:sz="4" w:val="nil"/>
              <w:left w:color="000000" w:sz="4" w:val="single"/>
              <w:bottom w:color="000000" w:sz="4" w:val="single"/>
              <w:right w:color="000000" w:sz="4" w:val="single"/>
            </w:tcBorders>
            <w:shd w:fill="auto" w:val="clear"/>
            <w:vAlign w:val="center"/>
          </w:tcPr>
          <w:p w14:paraId="69040000">
            <w:pPr>
              <w:widowControl w:val="1"/>
              <w:ind w:firstLine="709" w:left="-1018" w:right="-95"/>
              <w:contextualSpacing w:val="1"/>
              <w:jc w:val="center"/>
              <w:rPr>
                <w:color w:val="000000"/>
                <w:sz w:val="22"/>
              </w:rPr>
            </w:pPr>
            <w:r>
              <w:rPr>
                <w:color w:val="000000"/>
                <w:sz w:val="22"/>
              </w:rPr>
              <w:t>20</w:t>
            </w:r>
          </w:p>
        </w:tc>
        <w:tc>
          <w:tcPr>
            <w:tcW w:type="dxa" w:w="1121"/>
            <w:tcBorders>
              <w:top w:sz="4" w:val="nil"/>
              <w:left w:sz="4" w:val="nil"/>
              <w:bottom w:color="000000" w:sz="4" w:val="single"/>
              <w:right w:color="000000" w:sz="4" w:val="single"/>
            </w:tcBorders>
            <w:shd w:fill="auto" w:val="clear"/>
            <w:vAlign w:val="center"/>
          </w:tcPr>
          <w:p w14:paraId="6A040000">
            <w:pPr>
              <w:widowControl w:val="1"/>
              <w:ind w:firstLine="1039" w:left="-988" w:right="34"/>
              <w:contextualSpacing w:val="1"/>
              <w:jc w:val="center"/>
              <w:rPr>
                <w:color w:val="000000"/>
                <w:sz w:val="22"/>
              </w:rPr>
            </w:pPr>
            <w:r>
              <w:rPr>
                <w:color w:val="000000"/>
                <w:sz w:val="22"/>
              </w:rPr>
              <w:t>191-200</w:t>
            </w:r>
          </w:p>
        </w:tc>
        <w:tc>
          <w:tcPr>
            <w:tcW w:type="dxa" w:w="1276"/>
            <w:tcBorders>
              <w:top w:sz="4" w:val="nil"/>
              <w:left w:sz="4" w:val="nil"/>
              <w:bottom w:color="000000" w:sz="4" w:val="single"/>
              <w:right w:color="000000" w:sz="4" w:val="single"/>
            </w:tcBorders>
            <w:shd w:fill="auto" w:val="clear"/>
            <w:vAlign w:val="center"/>
          </w:tcPr>
          <w:p w14:paraId="6B040000">
            <w:pPr>
              <w:widowControl w:val="1"/>
              <w:ind w:firstLine="1039" w:left="-988" w:right="34"/>
              <w:contextualSpacing w:val="1"/>
              <w:jc w:val="center"/>
              <w:rPr>
                <w:color w:val="000000"/>
                <w:sz w:val="22"/>
              </w:rPr>
            </w:pPr>
            <w:r>
              <w:rPr>
                <w:color w:val="000000"/>
                <w:sz w:val="22"/>
              </w:rPr>
              <w:t>215</w:t>
            </w:r>
          </w:p>
        </w:tc>
        <w:tc>
          <w:tcPr>
            <w:tcW w:type="dxa" w:w="1276"/>
            <w:tcBorders>
              <w:top w:sz="4" w:val="nil"/>
              <w:left w:sz="4" w:val="nil"/>
              <w:bottom w:color="000000" w:sz="4" w:val="single"/>
              <w:right w:color="000000" w:sz="4" w:val="single"/>
            </w:tcBorders>
            <w:shd w:fill="auto" w:val="clear"/>
            <w:vAlign w:val="center"/>
          </w:tcPr>
          <w:p w14:paraId="6C040000">
            <w:pPr>
              <w:widowControl w:val="1"/>
              <w:ind w:firstLine="1039" w:left="-988" w:right="34"/>
              <w:contextualSpacing w:val="1"/>
              <w:jc w:val="center"/>
              <w:rPr>
                <w:color w:val="000000"/>
                <w:sz w:val="22"/>
              </w:rPr>
            </w:pPr>
          </w:p>
        </w:tc>
        <w:tc>
          <w:tcPr>
            <w:tcW w:type="dxa" w:w="1275"/>
            <w:tcBorders>
              <w:top w:sz="4" w:val="nil"/>
              <w:left w:sz="4" w:val="nil"/>
              <w:bottom w:color="000000" w:sz="4" w:val="single"/>
              <w:right w:sz="4" w:val="nil"/>
            </w:tcBorders>
            <w:shd w:fill="auto" w:val="clear"/>
            <w:vAlign w:val="center"/>
          </w:tcPr>
          <w:p w14:paraId="6D040000">
            <w:pPr>
              <w:widowControl w:val="1"/>
              <w:ind w:firstLine="1039" w:left="-988" w:right="34"/>
              <w:contextualSpacing w:val="1"/>
              <w:jc w:val="center"/>
              <w:rPr>
                <w:color w:val="000000"/>
                <w:sz w:val="22"/>
              </w:rPr>
            </w:pPr>
            <w:r>
              <w:rPr>
                <w:color w:val="000000"/>
                <w:sz w:val="22"/>
              </w:rPr>
              <w:t>237</w:t>
            </w:r>
          </w:p>
        </w:tc>
        <w:tc>
          <w:tcPr>
            <w:tcW w:type="dxa" w:w="1418"/>
            <w:tcBorders>
              <w:top w:sz="4" w:val="nil"/>
              <w:left w:color="000000" w:sz="4" w:val="single"/>
              <w:bottom w:color="000000" w:sz="4" w:val="single"/>
              <w:right w:color="000000" w:sz="4" w:val="single"/>
            </w:tcBorders>
            <w:shd w:fill="auto" w:val="clear"/>
            <w:vAlign w:val="center"/>
          </w:tcPr>
          <w:p w14:paraId="6E040000">
            <w:pPr>
              <w:widowControl w:val="1"/>
              <w:ind w:firstLine="1039" w:left="-988" w:right="34"/>
              <w:contextualSpacing w:val="1"/>
              <w:jc w:val="center"/>
              <w:rPr>
                <w:sz w:val="22"/>
              </w:rPr>
            </w:pPr>
            <w:r>
              <w:rPr>
                <w:sz w:val="22"/>
              </w:rPr>
              <w:t>260</w:t>
            </w:r>
          </w:p>
        </w:tc>
        <w:tc>
          <w:tcPr>
            <w:tcW w:type="dxa" w:w="1276"/>
            <w:tcBorders>
              <w:top w:sz="4" w:val="nil"/>
              <w:left w:color="000000" w:sz="4" w:val="single"/>
              <w:bottom w:color="000000" w:sz="4" w:val="single"/>
              <w:right w:color="000000" w:sz="4" w:val="single"/>
            </w:tcBorders>
            <w:vAlign w:val="center"/>
          </w:tcPr>
          <w:p w14:paraId="6F040000">
            <w:pPr>
              <w:widowControl w:val="1"/>
              <w:ind w:firstLine="1039" w:left="-988" w:right="34"/>
              <w:contextualSpacing w:val="1"/>
              <w:jc w:val="center"/>
              <w:rPr>
                <w:sz w:val="22"/>
              </w:rPr>
            </w:pPr>
            <w:r>
              <w:rPr>
                <w:sz w:val="22"/>
              </w:rPr>
              <w:t>260</w:t>
            </w:r>
          </w:p>
        </w:tc>
        <w:tc>
          <w:tcPr>
            <w:tcW w:type="dxa" w:w="1134"/>
            <w:tcBorders>
              <w:top w:sz="4" w:val="nil"/>
              <w:left w:color="000000" w:sz="4" w:val="single"/>
              <w:bottom w:color="000000" w:sz="4" w:val="single"/>
              <w:right w:color="000000" w:sz="4" w:val="single"/>
            </w:tcBorders>
            <w:vAlign w:val="center"/>
          </w:tcPr>
          <w:p w14:paraId="70040000">
            <w:pPr>
              <w:widowControl w:val="1"/>
              <w:ind w:firstLine="1039" w:left="-988" w:right="34"/>
              <w:contextualSpacing w:val="1"/>
              <w:jc w:val="center"/>
              <w:rPr>
                <w:sz w:val="22"/>
              </w:rPr>
            </w:pPr>
            <w:r>
              <w:rPr>
                <w:sz w:val="22"/>
              </w:rPr>
              <w:t>260</w:t>
            </w:r>
          </w:p>
        </w:tc>
      </w:tr>
    </w:tbl>
    <w:p w14:paraId="71040000">
      <w:pPr>
        <w:pStyle w:val="Style_11"/>
        <w:widowControl w:val="1"/>
        <w:spacing w:line="360" w:lineRule="auto"/>
        <w:ind w:firstLine="709" w:left="0"/>
        <w:contextualSpacing w:val="1"/>
        <w:jc w:val="right"/>
        <w:rPr>
          <w:sz w:val="24"/>
        </w:rPr>
      </w:pPr>
    </w:p>
    <w:p w14:paraId="72040000">
      <w:pPr>
        <w:pStyle w:val="Style_11"/>
        <w:widowControl w:val="1"/>
        <w:spacing w:line="360" w:lineRule="auto"/>
        <w:ind w:firstLine="709" w:left="0"/>
        <w:contextualSpacing w:val="1"/>
        <w:jc w:val="right"/>
        <w:rPr>
          <w:sz w:val="24"/>
        </w:rPr>
      </w:pPr>
      <w:r>
        <w:rPr>
          <w:sz w:val="24"/>
        </w:rPr>
        <w:t>Диаграмма 5.1</w:t>
      </w:r>
    </w:p>
    <w:p w14:paraId="73040000">
      <w:pPr>
        <w:pStyle w:val="Style_11"/>
        <w:widowControl w:val="1"/>
        <w:spacing w:line="360" w:lineRule="auto"/>
        <w:ind w:left="0"/>
        <w:contextualSpacing w:val="1"/>
        <w:jc w:val="right"/>
        <w:rPr>
          <w:sz w:val="24"/>
        </w:rPr>
      </w:pPr>
      <w:r>
        <w:rPr>
          <w:sz w:val="24"/>
        </w:rPr>
        <w:drawing>
          <wp:inline>
            <wp:extent cx="6114161" cy="2932557"/>
            <wp:docPr hidden="false" id="9" name="Picture 9"/>
            <a:graphic>
              <a:graphicData uri="http://schemas.openxmlformats.org/drawingml/2006/picture">
                <pic:pic>
                  <pic:nvPicPr>
                    <pic:cNvPr hidden="false" id="10" name="Picture 10"/>
                    <pic:cNvPicPr preferRelativeResize="true"/>
                  </pic:nvPicPr>
                  <pic:blipFill>
                    <a:blip r:embed="rId27"/>
                    <a:srcRect b="-18" l="0" r="0" t="0"/>
                    <a:stretch/>
                  </pic:blipFill>
                  <pic:spPr>
                    <a:xfrm flipH="false" flipV="false" rot="0">
                      <a:ext cx="6114161" cy="2932557"/>
                    </a:xfrm>
                    <a:prstGeom prst="rect"/>
                  </pic:spPr>
                </pic:pic>
              </a:graphicData>
            </a:graphic>
          </wp:inline>
        </w:drawing>
      </w:r>
    </w:p>
    <w:p w14:paraId="74040000">
      <w:pPr>
        <w:widowControl w:val="1"/>
        <w:ind w:firstLine="709"/>
        <w:contextualSpacing w:val="1"/>
        <w:jc w:val="right"/>
      </w:pPr>
    </w:p>
    <w:p w14:paraId="75040000">
      <w:pPr>
        <w:widowControl w:val="1"/>
        <w:ind w:firstLine="709"/>
        <w:contextualSpacing w:val="1"/>
        <w:jc w:val="right"/>
      </w:pPr>
    </w:p>
    <w:p w14:paraId="76040000">
      <w:pPr>
        <w:widowControl w:val="1"/>
        <w:ind w:firstLine="709"/>
        <w:contextualSpacing w:val="1"/>
        <w:jc w:val="right"/>
      </w:pPr>
    </w:p>
    <w:p w14:paraId="77040000">
      <w:pPr>
        <w:widowControl w:val="1"/>
        <w:ind w:firstLine="709"/>
        <w:contextualSpacing w:val="1"/>
        <w:jc w:val="right"/>
      </w:pPr>
      <w:r>
        <w:t>Таблица 5.2.</w:t>
      </w:r>
    </w:p>
    <w:p w14:paraId="78040000">
      <w:pPr>
        <w:widowControl w:val="1"/>
        <w:ind w:firstLine="709"/>
        <w:contextualSpacing w:val="1"/>
        <w:jc w:val="right"/>
      </w:pPr>
    </w:p>
    <w:p w14:paraId="79040000">
      <w:pPr>
        <w:pStyle w:val="Style_11"/>
        <w:widowControl w:val="1"/>
        <w:spacing w:line="360" w:lineRule="auto"/>
        <w:ind w:firstLine="709" w:left="0"/>
        <w:contextualSpacing w:val="1"/>
        <w:jc w:val="center"/>
        <w:rPr>
          <w:sz w:val="24"/>
        </w:rPr>
      </w:pPr>
      <w:r>
        <w:rPr>
          <w:sz w:val="24"/>
        </w:rPr>
        <w:t>Динамика тарифов на пригородные пассажирские перевозк</w:t>
      </w:r>
      <w:r>
        <w:rPr>
          <w:sz w:val="24"/>
        </w:rPr>
        <w:t>и  по Красноярскому краю за 201</w:t>
      </w:r>
      <w:r>
        <w:rPr>
          <w:sz w:val="24"/>
        </w:rPr>
        <w:t>3</w:t>
      </w:r>
      <w:r>
        <w:rPr>
          <w:sz w:val="24"/>
        </w:rPr>
        <w:t>-201</w:t>
      </w:r>
      <w:r>
        <w:rPr>
          <w:sz w:val="24"/>
        </w:rPr>
        <w:t>8</w:t>
      </w:r>
      <w:r>
        <w:rPr>
          <w:sz w:val="24"/>
        </w:rPr>
        <w:t xml:space="preserve"> (поезда на </w:t>
      </w:r>
      <w:r>
        <w:rPr>
          <w:sz w:val="24"/>
          <w:u w:val="single"/>
        </w:rPr>
        <w:t>локомотивной тяге</w:t>
      </w:r>
      <w:r>
        <w:rPr>
          <w:sz w:val="24"/>
        </w:rPr>
        <w:t xml:space="preserve">, составностью до </w:t>
      </w:r>
      <w:r>
        <w:rPr>
          <w:sz w:val="24"/>
        </w:rPr>
        <w:t>3</w:t>
      </w:r>
      <w:r>
        <w:rPr>
          <w:sz w:val="24"/>
        </w:rPr>
        <w:t xml:space="preserve"> вагонов</w:t>
      </w:r>
      <w:r>
        <w:rPr>
          <w:sz w:val="24"/>
        </w:rPr>
        <w:t xml:space="preserve"> включительно</w:t>
      </w:r>
      <w:r>
        <w:rPr>
          <w:sz w:val="24"/>
        </w:rPr>
        <w:t>)</w:t>
      </w:r>
    </w:p>
    <w:tbl>
      <w:tblPr>
        <w:tblStyle w:val="Style_4"/>
        <w:tblW w:type="auto" w:w="0"/>
        <w:tblInd w:type="dxa" w:w="103"/>
        <w:tblLayout w:type="fixed"/>
      </w:tblPr>
      <w:tblGrid>
        <w:gridCol w:w="856"/>
        <w:gridCol w:w="1134"/>
        <w:gridCol w:w="1276"/>
        <w:gridCol w:w="1276"/>
        <w:gridCol w:w="1275"/>
        <w:gridCol w:w="1418"/>
        <w:gridCol w:w="1276"/>
        <w:gridCol w:w="1134"/>
      </w:tblGrid>
      <w:tr>
        <w:trPr>
          <w:trHeight w:hRule="atLeast" w:val="697"/>
          <w:tblHeader/>
        </w:trPr>
        <w:tc>
          <w:tcPr>
            <w:tcW w:type="dxa" w:w="856"/>
            <w:tcBorders>
              <w:top w:color="000000" w:sz="4" w:val="single"/>
              <w:left w:color="000000" w:sz="4" w:val="single"/>
              <w:bottom w:color="000000" w:sz="4" w:val="single"/>
              <w:right w:color="000000" w:sz="4" w:val="single"/>
            </w:tcBorders>
            <w:shd w:fill="auto" w:val="clear"/>
            <w:vAlign w:val="center"/>
          </w:tcPr>
          <w:p w14:paraId="7A040000">
            <w:pPr>
              <w:widowControl w:val="1"/>
              <w:ind w:right="-108"/>
              <w:contextualSpacing w:val="1"/>
              <w:jc w:val="center"/>
              <w:rPr>
                <w:color w:val="000000"/>
                <w:sz w:val="22"/>
              </w:rPr>
            </w:pPr>
            <w:r>
              <w:rPr>
                <w:color w:val="000000"/>
                <w:sz w:val="22"/>
              </w:rPr>
              <w:t>Зона</w:t>
            </w:r>
          </w:p>
        </w:tc>
        <w:tc>
          <w:tcPr>
            <w:tcW w:type="dxa" w:w="1134"/>
            <w:tcBorders>
              <w:top w:color="000000" w:sz="4" w:val="single"/>
              <w:left w:color="000000" w:sz="4" w:val="single"/>
              <w:bottom w:color="000000" w:sz="4" w:val="single"/>
              <w:right w:color="000000" w:sz="4" w:val="single"/>
            </w:tcBorders>
            <w:shd w:fill="auto" w:val="clear"/>
            <w:vAlign w:val="center"/>
          </w:tcPr>
          <w:p w14:paraId="7B040000">
            <w:pPr>
              <w:widowControl w:val="1"/>
              <w:ind w:firstLine="34"/>
              <w:contextualSpacing w:val="1"/>
              <w:jc w:val="center"/>
              <w:rPr>
                <w:color w:val="000000"/>
                <w:sz w:val="22"/>
              </w:rPr>
            </w:pPr>
            <w:r>
              <w:rPr>
                <w:color w:val="000000"/>
                <w:sz w:val="22"/>
              </w:rPr>
              <w:t>Расстояние</w:t>
            </w:r>
          </w:p>
        </w:tc>
        <w:tc>
          <w:tcPr>
            <w:tcW w:type="dxa" w:w="1276"/>
            <w:tcBorders>
              <w:top w:color="000000" w:sz="4" w:val="single"/>
              <w:left w:color="000000" w:sz="4" w:val="single"/>
              <w:bottom w:color="000000" w:sz="4" w:val="single"/>
              <w:right w:color="000000" w:sz="4" w:val="single"/>
            </w:tcBorders>
            <w:shd w:fill="auto" w:val="clear"/>
            <w:vAlign w:val="center"/>
          </w:tcPr>
          <w:p w14:paraId="7C040000">
            <w:pPr>
              <w:widowControl w:val="1"/>
              <w:ind w:firstLine="34"/>
              <w:contextualSpacing w:val="1"/>
              <w:jc w:val="center"/>
              <w:rPr>
                <w:color w:val="000000"/>
                <w:sz w:val="22"/>
              </w:rPr>
            </w:pPr>
            <w:r>
              <w:rPr>
                <w:color w:val="000000"/>
                <w:sz w:val="22"/>
              </w:rPr>
              <w:t>2013г. (с 04.01.2013г.)</w:t>
            </w:r>
          </w:p>
        </w:tc>
        <w:tc>
          <w:tcPr>
            <w:tcW w:type="dxa" w:w="1276"/>
            <w:tcBorders>
              <w:top w:color="000000" w:sz="4" w:val="single"/>
              <w:left w:color="000000" w:sz="4" w:val="single"/>
              <w:bottom w:color="000000" w:sz="4" w:val="single"/>
              <w:right w:color="000000" w:sz="4" w:val="single"/>
            </w:tcBorders>
            <w:shd w:fill="auto" w:val="clear"/>
            <w:vAlign w:val="center"/>
          </w:tcPr>
          <w:p w14:paraId="7D040000">
            <w:pPr>
              <w:widowControl w:val="1"/>
              <w:ind w:firstLine="34"/>
              <w:contextualSpacing w:val="1"/>
              <w:jc w:val="center"/>
              <w:rPr>
                <w:color w:val="000000"/>
                <w:sz w:val="22"/>
              </w:rPr>
            </w:pPr>
            <w:r>
              <w:rPr>
                <w:color w:val="000000"/>
                <w:sz w:val="22"/>
              </w:rPr>
              <w:t>2014г.</w:t>
            </w:r>
          </w:p>
        </w:tc>
        <w:tc>
          <w:tcPr>
            <w:tcW w:type="dxa" w:w="1275"/>
            <w:tcBorders>
              <w:top w:color="000000" w:sz="4" w:val="single"/>
              <w:left w:color="000000" w:sz="4" w:val="single"/>
              <w:bottom w:color="000000" w:sz="4" w:val="single"/>
              <w:right w:color="000000" w:sz="4" w:val="single"/>
            </w:tcBorders>
            <w:shd w:fill="auto" w:val="clear"/>
            <w:vAlign w:val="center"/>
          </w:tcPr>
          <w:p w14:paraId="7E040000">
            <w:pPr>
              <w:widowControl w:val="1"/>
              <w:ind w:firstLine="34"/>
              <w:contextualSpacing w:val="1"/>
              <w:jc w:val="center"/>
              <w:rPr>
                <w:color w:val="000000"/>
                <w:sz w:val="22"/>
              </w:rPr>
            </w:pPr>
            <w:r>
              <w:rPr>
                <w:color w:val="000000"/>
                <w:sz w:val="22"/>
              </w:rPr>
              <w:t>2015 (с 17.04.2015г.)</w:t>
            </w:r>
          </w:p>
        </w:tc>
        <w:tc>
          <w:tcPr>
            <w:tcW w:type="dxa" w:w="1418"/>
            <w:tcBorders>
              <w:top w:color="000000" w:sz="4" w:val="single"/>
              <w:left w:color="000000" w:sz="4" w:val="single"/>
              <w:bottom w:color="000000" w:sz="4" w:val="single"/>
              <w:right w:color="000000" w:sz="4" w:val="single"/>
            </w:tcBorders>
            <w:shd w:fill="auto" w:val="clear"/>
            <w:vAlign w:val="center"/>
          </w:tcPr>
          <w:p w14:paraId="7F040000">
            <w:pPr>
              <w:widowControl w:val="1"/>
              <w:ind w:firstLine="34"/>
              <w:contextualSpacing w:val="1"/>
              <w:jc w:val="center"/>
              <w:rPr>
                <w:color w:val="000000"/>
                <w:sz w:val="22"/>
              </w:rPr>
            </w:pPr>
            <w:r>
              <w:rPr>
                <w:color w:val="000000"/>
                <w:sz w:val="22"/>
              </w:rPr>
              <w:t>2016 (с 19.04.2016г.)</w:t>
            </w:r>
          </w:p>
        </w:tc>
        <w:tc>
          <w:tcPr>
            <w:tcW w:type="dxa" w:w="1276"/>
            <w:tcBorders>
              <w:top w:color="000000" w:sz="4" w:val="single"/>
              <w:left w:color="000000" w:sz="4" w:val="single"/>
              <w:bottom w:color="000000" w:sz="4" w:val="single"/>
              <w:right w:color="000000" w:sz="4" w:val="single"/>
            </w:tcBorders>
            <w:vAlign w:val="center"/>
          </w:tcPr>
          <w:p w14:paraId="80040000">
            <w:pPr>
              <w:widowControl w:val="1"/>
              <w:ind w:firstLine="34"/>
              <w:contextualSpacing w:val="1"/>
              <w:jc w:val="center"/>
              <w:rPr>
                <w:color w:val="000000"/>
                <w:sz w:val="22"/>
              </w:rPr>
            </w:pPr>
            <w:r>
              <w:rPr>
                <w:color w:val="000000"/>
                <w:sz w:val="22"/>
              </w:rPr>
              <w:t>2017</w:t>
            </w:r>
          </w:p>
        </w:tc>
        <w:tc>
          <w:tcPr>
            <w:tcW w:type="dxa" w:w="1134"/>
            <w:tcBorders>
              <w:top w:color="000000" w:sz="4" w:val="single"/>
              <w:left w:color="000000" w:sz="4" w:val="single"/>
              <w:bottom w:color="000000" w:sz="4" w:val="single"/>
              <w:right w:color="000000" w:sz="4" w:val="single"/>
            </w:tcBorders>
            <w:vAlign w:val="center"/>
          </w:tcPr>
          <w:p w14:paraId="81040000">
            <w:pPr>
              <w:widowControl w:val="1"/>
              <w:ind w:firstLine="34"/>
              <w:contextualSpacing w:val="1"/>
              <w:jc w:val="center"/>
              <w:rPr>
                <w:color w:val="000000"/>
                <w:sz w:val="22"/>
              </w:rPr>
            </w:pPr>
            <w:r>
              <w:rPr>
                <w:color w:val="000000"/>
                <w:sz w:val="22"/>
              </w:rPr>
              <w:t>2018</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82040000">
            <w:pPr>
              <w:widowControl w:val="1"/>
              <w:ind w:right="-108"/>
              <w:contextualSpacing w:val="1"/>
              <w:jc w:val="center"/>
              <w:rPr>
                <w:color w:val="000000"/>
                <w:sz w:val="22"/>
              </w:rPr>
            </w:pPr>
            <w:r>
              <w:rPr>
                <w:color w:val="000000"/>
                <w:sz w:val="22"/>
              </w:rPr>
              <w:t>1</w:t>
            </w:r>
          </w:p>
        </w:tc>
        <w:tc>
          <w:tcPr>
            <w:tcW w:type="dxa" w:w="1134"/>
            <w:tcBorders>
              <w:top w:sz="4" w:val="nil"/>
              <w:left w:sz="4" w:val="nil"/>
              <w:bottom w:color="000000" w:sz="4" w:val="single"/>
              <w:right w:color="000000" w:sz="4" w:val="single"/>
            </w:tcBorders>
            <w:shd w:fill="auto" w:val="clear"/>
            <w:vAlign w:val="center"/>
          </w:tcPr>
          <w:p w14:paraId="83040000">
            <w:pPr>
              <w:widowControl w:val="1"/>
              <w:ind w:right="-108"/>
              <w:contextualSpacing w:val="1"/>
              <w:jc w:val="center"/>
              <w:rPr>
                <w:color w:val="000000"/>
                <w:sz w:val="22"/>
              </w:rPr>
            </w:pPr>
            <w:r>
              <w:rPr>
                <w:color w:val="000000"/>
                <w:sz w:val="22"/>
              </w:rPr>
              <w:t>0-10</w:t>
            </w:r>
          </w:p>
        </w:tc>
        <w:tc>
          <w:tcPr>
            <w:tcW w:type="dxa" w:w="1276"/>
            <w:tcBorders>
              <w:top w:sz="4" w:val="nil"/>
              <w:left w:sz="4" w:val="nil"/>
              <w:bottom w:color="000000" w:sz="4" w:val="single"/>
              <w:right w:color="000000" w:sz="4" w:val="single"/>
            </w:tcBorders>
            <w:shd w:fill="auto" w:val="clear"/>
            <w:vAlign w:val="center"/>
          </w:tcPr>
          <w:p w14:paraId="84040000">
            <w:pPr>
              <w:widowControl w:val="1"/>
              <w:ind w:right="-108"/>
              <w:contextualSpacing w:val="1"/>
              <w:jc w:val="center"/>
              <w:rPr>
                <w:color w:val="000000"/>
                <w:sz w:val="22"/>
              </w:rPr>
            </w:pPr>
            <w:r>
              <w:rPr>
                <w:color w:val="000000"/>
                <w:sz w:val="22"/>
              </w:rPr>
              <w:t>38</w:t>
            </w:r>
          </w:p>
        </w:tc>
        <w:tc>
          <w:tcPr>
            <w:tcW w:type="dxa" w:w="1276"/>
            <w:tcBorders>
              <w:top w:sz="4" w:val="nil"/>
              <w:left w:sz="4" w:val="nil"/>
              <w:bottom w:color="000000" w:sz="4" w:val="single"/>
              <w:right w:color="000000" w:sz="4" w:val="single"/>
            </w:tcBorders>
            <w:shd w:fill="auto" w:val="clear"/>
            <w:vAlign w:val="center"/>
          </w:tcPr>
          <w:p w14:paraId="85040000">
            <w:pPr>
              <w:widowControl w:val="1"/>
              <w:ind w:right="-108"/>
              <w:contextualSpacing w:val="1"/>
              <w:jc w:val="center"/>
              <w:rPr>
                <w:color w:val="000000"/>
                <w:sz w:val="22"/>
              </w:rPr>
            </w:pPr>
            <w:r>
              <w:rPr>
                <w:color w:val="000000"/>
                <w:sz w:val="22"/>
              </w:rPr>
              <w:t>38</w:t>
            </w:r>
          </w:p>
        </w:tc>
        <w:tc>
          <w:tcPr>
            <w:tcW w:type="dxa" w:w="1275"/>
            <w:tcBorders>
              <w:top w:sz="4" w:val="nil"/>
              <w:left w:sz="4" w:val="nil"/>
              <w:bottom w:color="000000" w:sz="4" w:val="single"/>
              <w:right w:color="000000" w:sz="4" w:val="single"/>
            </w:tcBorders>
            <w:shd w:fill="auto" w:val="clear"/>
            <w:vAlign w:val="center"/>
          </w:tcPr>
          <w:p w14:paraId="86040000">
            <w:pPr>
              <w:widowControl w:val="1"/>
              <w:ind w:right="-108"/>
              <w:contextualSpacing w:val="1"/>
              <w:jc w:val="center"/>
              <w:rPr>
                <w:color w:val="000000"/>
                <w:sz w:val="22"/>
              </w:rPr>
            </w:pPr>
            <w:r>
              <w:rPr>
                <w:color w:val="000000"/>
                <w:sz w:val="22"/>
              </w:rPr>
              <w:t>42</w:t>
            </w:r>
          </w:p>
        </w:tc>
        <w:tc>
          <w:tcPr>
            <w:tcW w:type="dxa" w:w="1418"/>
            <w:tcBorders>
              <w:top w:sz="4" w:val="nil"/>
              <w:left w:sz="4" w:val="nil"/>
              <w:bottom w:color="000000" w:sz="4" w:val="single"/>
              <w:right w:color="000000" w:sz="4" w:val="single"/>
            </w:tcBorders>
            <w:shd w:fill="auto" w:val="clear"/>
            <w:vAlign w:val="center"/>
          </w:tcPr>
          <w:p w14:paraId="87040000">
            <w:pPr>
              <w:widowControl w:val="1"/>
              <w:ind w:right="-108"/>
              <w:contextualSpacing w:val="1"/>
              <w:jc w:val="center"/>
              <w:rPr>
                <w:sz w:val="22"/>
              </w:rPr>
            </w:pPr>
            <w:r>
              <w:rPr>
                <w:sz w:val="22"/>
              </w:rPr>
              <w:t>46</w:t>
            </w:r>
          </w:p>
        </w:tc>
        <w:tc>
          <w:tcPr>
            <w:tcW w:type="dxa" w:w="1276"/>
            <w:tcBorders>
              <w:top w:color="000000" w:sz="4" w:val="single"/>
              <w:left w:sz="4" w:val="nil"/>
              <w:bottom w:color="000000" w:sz="4" w:val="single"/>
              <w:right w:color="000000" w:sz="4" w:val="single"/>
            </w:tcBorders>
            <w:vAlign w:val="center"/>
          </w:tcPr>
          <w:p w14:paraId="88040000">
            <w:pPr>
              <w:widowControl w:val="1"/>
              <w:ind w:right="-108"/>
              <w:contextualSpacing w:val="1"/>
              <w:jc w:val="center"/>
              <w:rPr>
                <w:sz w:val="22"/>
              </w:rPr>
            </w:pPr>
            <w:r>
              <w:rPr>
                <w:sz w:val="22"/>
              </w:rPr>
              <w:t>46</w:t>
            </w:r>
          </w:p>
        </w:tc>
        <w:tc>
          <w:tcPr>
            <w:tcW w:type="dxa" w:w="1134"/>
            <w:tcBorders>
              <w:top w:color="000000" w:sz="4" w:val="single"/>
              <w:left w:sz="4" w:val="nil"/>
              <w:bottom w:color="000000" w:sz="4" w:val="single"/>
              <w:right w:color="000000" w:sz="4" w:val="single"/>
            </w:tcBorders>
            <w:vAlign w:val="center"/>
          </w:tcPr>
          <w:p w14:paraId="89040000">
            <w:pPr>
              <w:widowControl w:val="1"/>
              <w:ind w:right="-108"/>
              <w:contextualSpacing w:val="1"/>
              <w:jc w:val="center"/>
              <w:rPr>
                <w:sz w:val="22"/>
              </w:rPr>
            </w:pPr>
            <w:r>
              <w:rPr>
                <w:sz w:val="22"/>
              </w:rPr>
              <w:t>46</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8A040000">
            <w:pPr>
              <w:widowControl w:val="1"/>
              <w:ind w:right="-108"/>
              <w:contextualSpacing w:val="1"/>
              <w:jc w:val="center"/>
              <w:rPr>
                <w:color w:val="000000"/>
                <w:sz w:val="22"/>
              </w:rPr>
            </w:pPr>
            <w:r>
              <w:rPr>
                <w:color w:val="000000"/>
                <w:sz w:val="22"/>
              </w:rPr>
              <w:t>2</w:t>
            </w:r>
          </w:p>
        </w:tc>
        <w:tc>
          <w:tcPr>
            <w:tcW w:type="dxa" w:w="1134"/>
            <w:tcBorders>
              <w:top w:sz="4" w:val="nil"/>
              <w:left w:sz="4" w:val="nil"/>
              <w:bottom w:color="000000" w:sz="4" w:val="single"/>
              <w:right w:color="000000" w:sz="4" w:val="single"/>
            </w:tcBorders>
            <w:shd w:fill="auto" w:val="clear"/>
            <w:vAlign w:val="center"/>
          </w:tcPr>
          <w:p w14:paraId="8B040000">
            <w:pPr>
              <w:widowControl w:val="1"/>
              <w:ind w:right="-108"/>
              <w:contextualSpacing w:val="1"/>
              <w:jc w:val="center"/>
              <w:rPr>
                <w:color w:val="000000"/>
                <w:sz w:val="22"/>
              </w:rPr>
            </w:pPr>
            <w:r>
              <w:rPr>
                <w:color w:val="000000"/>
                <w:sz w:val="22"/>
              </w:rPr>
              <w:t>11-20</w:t>
            </w:r>
          </w:p>
        </w:tc>
        <w:tc>
          <w:tcPr>
            <w:tcW w:type="dxa" w:w="1276"/>
            <w:tcBorders>
              <w:top w:sz="4" w:val="nil"/>
              <w:left w:sz="4" w:val="nil"/>
              <w:bottom w:color="000000" w:sz="4" w:val="single"/>
              <w:right w:color="000000" w:sz="4" w:val="single"/>
            </w:tcBorders>
            <w:shd w:fill="auto" w:val="clear"/>
            <w:vAlign w:val="center"/>
          </w:tcPr>
          <w:p w14:paraId="8C040000">
            <w:pPr>
              <w:widowControl w:val="1"/>
              <w:ind w:right="-108"/>
              <w:contextualSpacing w:val="1"/>
              <w:jc w:val="center"/>
              <w:rPr>
                <w:color w:val="000000"/>
                <w:sz w:val="22"/>
              </w:rPr>
            </w:pPr>
            <w:r>
              <w:rPr>
                <w:color w:val="000000"/>
                <w:sz w:val="22"/>
              </w:rPr>
              <w:t>48</w:t>
            </w:r>
          </w:p>
        </w:tc>
        <w:tc>
          <w:tcPr>
            <w:tcW w:type="dxa" w:w="1276"/>
            <w:tcBorders>
              <w:top w:sz="4" w:val="nil"/>
              <w:left w:sz="4" w:val="nil"/>
              <w:bottom w:color="000000" w:sz="4" w:val="single"/>
              <w:right w:color="000000" w:sz="4" w:val="single"/>
            </w:tcBorders>
            <w:shd w:fill="auto" w:val="clear"/>
            <w:vAlign w:val="center"/>
          </w:tcPr>
          <w:p w14:paraId="8D040000">
            <w:pPr>
              <w:widowControl w:val="1"/>
              <w:ind w:right="-108"/>
              <w:contextualSpacing w:val="1"/>
              <w:jc w:val="center"/>
              <w:rPr>
                <w:color w:val="000000"/>
                <w:sz w:val="22"/>
              </w:rPr>
            </w:pPr>
            <w:r>
              <w:rPr>
                <w:color w:val="000000"/>
                <w:sz w:val="22"/>
              </w:rPr>
              <w:t>48</w:t>
            </w:r>
          </w:p>
        </w:tc>
        <w:tc>
          <w:tcPr>
            <w:tcW w:type="dxa" w:w="1275"/>
            <w:tcBorders>
              <w:top w:sz="4" w:val="nil"/>
              <w:left w:sz="4" w:val="nil"/>
              <w:bottom w:color="000000" w:sz="4" w:val="single"/>
              <w:right w:color="000000" w:sz="4" w:val="single"/>
            </w:tcBorders>
            <w:shd w:fill="auto" w:val="clear"/>
            <w:vAlign w:val="center"/>
          </w:tcPr>
          <w:p w14:paraId="8E040000">
            <w:pPr>
              <w:widowControl w:val="1"/>
              <w:ind w:right="-108"/>
              <w:contextualSpacing w:val="1"/>
              <w:jc w:val="center"/>
              <w:rPr>
                <w:color w:val="000000"/>
                <w:sz w:val="22"/>
              </w:rPr>
            </w:pPr>
            <w:r>
              <w:rPr>
                <w:color w:val="000000"/>
                <w:sz w:val="22"/>
              </w:rPr>
              <w:t>53</w:t>
            </w:r>
          </w:p>
        </w:tc>
        <w:tc>
          <w:tcPr>
            <w:tcW w:type="dxa" w:w="1418"/>
            <w:tcBorders>
              <w:top w:sz="4" w:val="nil"/>
              <w:left w:sz="4" w:val="nil"/>
              <w:bottom w:color="000000" w:sz="4" w:val="single"/>
              <w:right w:color="000000" w:sz="4" w:val="single"/>
            </w:tcBorders>
            <w:shd w:fill="auto" w:val="clear"/>
            <w:vAlign w:val="center"/>
          </w:tcPr>
          <w:p w14:paraId="8F040000">
            <w:pPr>
              <w:widowControl w:val="1"/>
              <w:ind w:right="-108"/>
              <w:contextualSpacing w:val="1"/>
              <w:jc w:val="center"/>
              <w:rPr>
                <w:sz w:val="22"/>
              </w:rPr>
            </w:pPr>
            <w:r>
              <w:rPr>
                <w:sz w:val="22"/>
              </w:rPr>
              <w:t>58</w:t>
            </w:r>
          </w:p>
        </w:tc>
        <w:tc>
          <w:tcPr>
            <w:tcW w:type="dxa" w:w="1276"/>
            <w:tcBorders>
              <w:top w:sz="4" w:val="nil"/>
              <w:left w:sz="4" w:val="nil"/>
              <w:bottom w:color="000000" w:sz="4" w:val="single"/>
              <w:right w:color="000000" w:sz="4" w:val="single"/>
            </w:tcBorders>
            <w:vAlign w:val="center"/>
          </w:tcPr>
          <w:p w14:paraId="90040000">
            <w:pPr>
              <w:widowControl w:val="1"/>
              <w:ind w:right="-108"/>
              <w:contextualSpacing w:val="1"/>
              <w:jc w:val="center"/>
              <w:rPr>
                <w:sz w:val="22"/>
              </w:rPr>
            </w:pPr>
            <w:r>
              <w:rPr>
                <w:sz w:val="22"/>
              </w:rPr>
              <w:t>58</w:t>
            </w:r>
          </w:p>
        </w:tc>
        <w:tc>
          <w:tcPr>
            <w:tcW w:type="dxa" w:w="1134"/>
            <w:tcBorders>
              <w:top w:color="000000" w:sz="4" w:val="single"/>
              <w:left w:sz="4" w:val="nil"/>
              <w:bottom w:color="000000" w:sz="4" w:val="single"/>
              <w:right w:color="000000" w:sz="4" w:val="single"/>
            </w:tcBorders>
            <w:vAlign w:val="center"/>
          </w:tcPr>
          <w:p w14:paraId="91040000">
            <w:pPr>
              <w:widowControl w:val="1"/>
              <w:ind w:right="-108"/>
              <w:contextualSpacing w:val="1"/>
              <w:jc w:val="center"/>
              <w:rPr>
                <w:sz w:val="22"/>
              </w:rPr>
            </w:pPr>
            <w:r>
              <w:rPr>
                <w:sz w:val="22"/>
              </w:rPr>
              <w:t>58</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92040000">
            <w:pPr>
              <w:widowControl w:val="1"/>
              <w:ind w:right="-108"/>
              <w:contextualSpacing w:val="1"/>
              <w:jc w:val="center"/>
              <w:rPr>
                <w:color w:val="000000"/>
                <w:sz w:val="22"/>
              </w:rPr>
            </w:pPr>
            <w:r>
              <w:rPr>
                <w:color w:val="000000"/>
                <w:sz w:val="22"/>
              </w:rPr>
              <w:t>3</w:t>
            </w:r>
          </w:p>
        </w:tc>
        <w:tc>
          <w:tcPr>
            <w:tcW w:type="dxa" w:w="1134"/>
            <w:tcBorders>
              <w:top w:sz="4" w:val="nil"/>
              <w:left w:sz="4" w:val="nil"/>
              <w:bottom w:color="000000" w:sz="4" w:val="single"/>
              <w:right w:color="000000" w:sz="4" w:val="single"/>
            </w:tcBorders>
            <w:shd w:fill="auto" w:val="clear"/>
            <w:vAlign w:val="center"/>
          </w:tcPr>
          <w:p w14:paraId="93040000">
            <w:pPr>
              <w:widowControl w:val="1"/>
              <w:ind w:right="-108"/>
              <w:contextualSpacing w:val="1"/>
              <w:jc w:val="center"/>
              <w:rPr>
                <w:color w:val="000000"/>
                <w:sz w:val="22"/>
              </w:rPr>
            </w:pPr>
            <w:r>
              <w:rPr>
                <w:color w:val="000000"/>
                <w:sz w:val="22"/>
              </w:rPr>
              <w:t>21-30</w:t>
            </w:r>
          </w:p>
        </w:tc>
        <w:tc>
          <w:tcPr>
            <w:tcW w:type="dxa" w:w="1276"/>
            <w:tcBorders>
              <w:top w:sz="4" w:val="nil"/>
              <w:left w:sz="4" w:val="nil"/>
              <w:bottom w:color="000000" w:sz="4" w:val="single"/>
              <w:right w:color="000000" w:sz="4" w:val="single"/>
            </w:tcBorders>
            <w:shd w:fill="auto" w:val="clear"/>
            <w:vAlign w:val="center"/>
          </w:tcPr>
          <w:p w14:paraId="94040000">
            <w:pPr>
              <w:widowControl w:val="1"/>
              <w:ind w:right="-108"/>
              <w:contextualSpacing w:val="1"/>
              <w:jc w:val="center"/>
              <w:rPr>
                <w:color w:val="000000"/>
                <w:sz w:val="22"/>
              </w:rPr>
            </w:pPr>
            <w:r>
              <w:rPr>
                <w:color w:val="000000"/>
                <w:sz w:val="22"/>
              </w:rPr>
              <w:t>58</w:t>
            </w:r>
          </w:p>
        </w:tc>
        <w:tc>
          <w:tcPr>
            <w:tcW w:type="dxa" w:w="1276"/>
            <w:tcBorders>
              <w:top w:sz="4" w:val="nil"/>
              <w:left w:sz="4" w:val="nil"/>
              <w:bottom w:color="000000" w:sz="4" w:val="single"/>
              <w:right w:color="000000" w:sz="4" w:val="single"/>
            </w:tcBorders>
            <w:shd w:fill="auto" w:val="clear"/>
            <w:vAlign w:val="center"/>
          </w:tcPr>
          <w:p w14:paraId="95040000">
            <w:pPr>
              <w:widowControl w:val="1"/>
              <w:ind w:right="-108"/>
              <w:contextualSpacing w:val="1"/>
              <w:jc w:val="center"/>
              <w:rPr>
                <w:color w:val="000000"/>
                <w:sz w:val="22"/>
              </w:rPr>
            </w:pPr>
            <w:r>
              <w:rPr>
                <w:color w:val="000000"/>
                <w:sz w:val="22"/>
              </w:rPr>
              <w:t>58</w:t>
            </w:r>
          </w:p>
        </w:tc>
        <w:tc>
          <w:tcPr>
            <w:tcW w:type="dxa" w:w="1275"/>
            <w:tcBorders>
              <w:top w:sz="4" w:val="nil"/>
              <w:left w:sz="4" w:val="nil"/>
              <w:bottom w:color="000000" w:sz="4" w:val="single"/>
              <w:right w:color="000000" w:sz="4" w:val="single"/>
            </w:tcBorders>
            <w:shd w:fill="auto" w:val="clear"/>
            <w:vAlign w:val="center"/>
          </w:tcPr>
          <w:p w14:paraId="96040000">
            <w:pPr>
              <w:widowControl w:val="1"/>
              <w:ind w:right="-108"/>
              <w:contextualSpacing w:val="1"/>
              <w:jc w:val="center"/>
              <w:rPr>
                <w:color w:val="000000"/>
                <w:sz w:val="22"/>
              </w:rPr>
            </w:pPr>
            <w:r>
              <w:rPr>
                <w:color w:val="000000"/>
                <w:sz w:val="22"/>
              </w:rPr>
              <w:t>64</w:t>
            </w:r>
          </w:p>
        </w:tc>
        <w:tc>
          <w:tcPr>
            <w:tcW w:type="dxa" w:w="1418"/>
            <w:tcBorders>
              <w:top w:sz="4" w:val="nil"/>
              <w:left w:sz="4" w:val="nil"/>
              <w:bottom w:color="000000" w:sz="4" w:val="single"/>
              <w:right w:color="000000" w:sz="4" w:val="single"/>
            </w:tcBorders>
            <w:shd w:fill="auto" w:val="clear"/>
            <w:vAlign w:val="center"/>
          </w:tcPr>
          <w:p w14:paraId="97040000">
            <w:pPr>
              <w:widowControl w:val="1"/>
              <w:ind w:right="-108"/>
              <w:contextualSpacing w:val="1"/>
              <w:jc w:val="center"/>
              <w:rPr>
                <w:sz w:val="22"/>
              </w:rPr>
            </w:pPr>
            <w:r>
              <w:rPr>
                <w:sz w:val="22"/>
              </w:rPr>
              <w:t>70</w:t>
            </w:r>
          </w:p>
        </w:tc>
        <w:tc>
          <w:tcPr>
            <w:tcW w:type="dxa" w:w="1276"/>
            <w:tcBorders>
              <w:top w:sz="4" w:val="nil"/>
              <w:left w:sz="4" w:val="nil"/>
              <w:bottom w:color="000000" w:sz="4" w:val="single"/>
              <w:right w:color="000000" w:sz="4" w:val="single"/>
            </w:tcBorders>
            <w:vAlign w:val="center"/>
          </w:tcPr>
          <w:p w14:paraId="98040000">
            <w:pPr>
              <w:widowControl w:val="1"/>
              <w:ind w:right="-108"/>
              <w:contextualSpacing w:val="1"/>
              <w:jc w:val="center"/>
              <w:rPr>
                <w:sz w:val="22"/>
              </w:rPr>
            </w:pPr>
            <w:r>
              <w:rPr>
                <w:sz w:val="22"/>
              </w:rPr>
              <w:t>70</w:t>
            </w:r>
          </w:p>
        </w:tc>
        <w:tc>
          <w:tcPr>
            <w:tcW w:type="dxa" w:w="1134"/>
            <w:tcBorders>
              <w:top w:color="000000" w:sz="4" w:val="single"/>
              <w:left w:sz="4" w:val="nil"/>
              <w:bottom w:color="000000" w:sz="4" w:val="single"/>
              <w:right w:color="000000" w:sz="4" w:val="single"/>
            </w:tcBorders>
            <w:vAlign w:val="center"/>
          </w:tcPr>
          <w:p w14:paraId="99040000">
            <w:pPr>
              <w:widowControl w:val="1"/>
              <w:ind w:right="-108"/>
              <w:contextualSpacing w:val="1"/>
              <w:jc w:val="center"/>
              <w:rPr>
                <w:sz w:val="22"/>
              </w:rPr>
            </w:pPr>
            <w:r>
              <w:rPr>
                <w:sz w:val="22"/>
              </w:rPr>
              <w:t>70</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9A040000">
            <w:pPr>
              <w:widowControl w:val="1"/>
              <w:ind w:right="-108"/>
              <w:contextualSpacing w:val="1"/>
              <w:jc w:val="center"/>
              <w:rPr>
                <w:color w:val="000000"/>
                <w:sz w:val="22"/>
              </w:rPr>
            </w:pPr>
            <w:r>
              <w:rPr>
                <w:color w:val="000000"/>
                <w:sz w:val="22"/>
              </w:rPr>
              <w:t>4</w:t>
            </w:r>
          </w:p>
        </w:tc>
        <w:tc>
          <w:tcPr>
            <w:tcW w:type="dxa" w:w="1134"/>
            <w:tcBorders>
              <w:top w:sz="4" w:val="nil"/>
              <w:left w:sz="4" w:val="nil"/>
              <w:bottom w:color="000000" w:sz="4" w:val="single"/>
              <w:right w:color="000000" w:sz="4" w:val="single"/>
            </w:tcBorders>
            <w:shd w:fill="auto" w:val="clear"/>
            <w:vAlign w:val="center"/>
          </w:tcPr>
          <w:p w14:paraId="9B040000">
            <w:pPr>
              <w:widowControl w:val="1"/>
              <w:ind w:right="-108"/>
              <w:contextualSpacing w:val="1"/>
              <w:jc w:val="center"/>
              <w:rPr>
                <w:color w:val="000000"/>
                <w:sz w:val="22"/>
              </w:rPr>
            </w:pPr>
            <w:r>
              <w:rPr>
                <w:color w:val="000000"/>
                <w:sz w:val="22"/>
              </w:rPr>
              <w:t>31-40</w:t>
            </w:r>
          </w:p>
        </w:tc>
        <w:tc>
          <w:tcPr>
            <w:tcW w:type="dxa" w:w="1276"/>
            <w:tcBorders>
              <w:top w:sz="4" w:val="nil"/>
              <w:left w:sz="4" w:val="nil"/>
              <w:bottom w:color="000000" w:sz="4" w:val="single"/>
              <w:right w:color="000000" w:sz="4" w:val="single"/>
            </w:tcBorders>
            <w:shd w:fill="auto" w:val="clear"/>
            <w:vAlign w:val="center"/>
          </w:tcPr>
          <w:p w14:paraId="9C040000">
            <w:pPr>
              <w:widowControl w:val="1"/>
              <w:ind w:right="-108"/>
              <w:contextualSpacing w:val="1"/>
              <w:jc w:val="center"/>
              <w:rPr>
                <w:color w:val="000000"/>
                <w:sz w:val="22"/>
              </w:rPr>
            </w:pPr>
            <w:r>
              <w:rPr>
                <w:color w:val="000000"/>
                <w:sz w:val="22"/>
              </w:rPr>
              <w:t>68</w:t>
            </w:r>
          </w:p>
        </w:tc>
        <w:tc>
          <w:tcPr>
            <w:tcW w:type="dxa" w:w="1276"/>
            <w:tcBorders>
              <w:top w:sz="4" w:val="nil"/>
              <w:left w:sz="4" w:val="nil"/>
              <w:bottom w:color="000000" w:sz="4" w:val="single"/>
              <w:right w:color="000000" w:sz="4" w:val="single"/>
            </w:tcBorders>
            <w:shd w:fill="auto" w:val="clear"/>
            <w:vAlign w:val="center"/>
          </w:tcPr>
          <w:p w14:paraId="9D040000">
            <w:pPr>
              <w:widowControl w:val="1"/>
              <w:ind w:right="-108"/>
              <w:contextualSpacing w:val="1"/>
              <w:jc w:val="center"/>
              <w:rPr>
                <w:color w:val="000000"/>
                <w:sz w:val="22"/>
              </w:rPr>
            </w:pPr>
            <w:r>
              <w:rPr>
                <w:color w:val="000000"/>
                <w:sz w:val="22"/>
              </w:rPr>
              <w:t>68</w:t>
            </w:r>
          </w:p>
        </w:tc>
        <w:tc>
          <w:tcPr>
            <w:tcW w:type="dxa" w:w="1275"/>
            <w:tcBorders>
              <w:top w:sz="4" w:val="nil"/>
              <w:left w:sz="4" w:val="nil"/>
              <w:bottom w:color="000000" w:sz="4" w:val="single"/>
              <w:right w:color="000000" w:sz="4" w:val="single"/>
            </w:tcBorders>
            <w:shd w:fill="auto" w:val="clear"/>
            <w:vAlign w:val="center"/>
          </w:tcPr>
          <w:p w14:paraId="9E040000">
            <w:pPr>
              <w:widowControl w:val="1"/>
              <w:ind w:right="-108"/>
              <w:contextualSpacing w:val="1"/>
              <w:jc w:val="center"/>
              <w:rPr>
                <w:color w:val="000000"/>
                <w:sz w:val="22"/>
              </w:rPr>
            </w:pPr>
            <w:r>
              <w:rPr>
                <w:color w:val="000000"/>
                <w:sz w:val="22"/>
              </w:rPr>
              <w:t>75</w:t>
            </w:r>
          </w:p>
        </w:tc>
        <w:tc>
          <w:tcPr>
            <w:tcW w:type="dxa" w:w="1418"/>
            <w:tcBorders>
              <w:top w:sz="4" w:val="nil"/>
              <w:left w:sz="4" w:val="nil"/>
              <w:bottom w:color="000000" w:sz="4" w:val="single"/>
              <w:right w:color="000000" w:sz="4" w:val="single"/>
            </w:tcBorders>
            <w:shd w:fill="auto" w:val="clear"/>
            <w:vAlign w:val="center"/>
          </w:tcPr>
          <w:p w14:paraId="9F040000">
            <w:pPr>
              <w:widowControl w:val="1"/>
              <w:ind w:right="-108"/>
              <w:contextualSpacing w:val="1"/>
              <w:jc w:val="center"/>
              <w:rPr>
                <w:sz w:val="22"/>
              </w:rPr>
            </w:pPr>
            <w:r>
              <w:rPr>
                <w:sz w:val="22"/>
              </w:rPr>
              <w:t>82</w:t>
            </w:r>
          </w:p>
        </w:tc>
        <w:tc>
          <w:tcPr>
            <w:tcW w:type="dxa" w:w="1276"/>
            <w:tcBorders>
              <w:top w:sz="4" w:val="nil"/>
              <w:left w:sz="4" w:val="nil"/>
              <w:bottom w:color="000000" w:sz="4" w:val="single"/>
              <w:right w:color="000000" w:sz="4" w:val="single"/>
            </w:tcBorders>
            <w:vAlign w:val="center"/>
          </w:tcPr>
          <w:p w14:paraId="A0040000">
            <w:pPr>
              <w:widowControl w:val="1"/>
              <w:ind w:right="-108"/>
              <w:contextualSpacing w:val="1"/>
              <w:jc w:val="center"/>
              <w:rPr>
                <w:sz w:val="22"/>
              </w:rPr>
            </w:pPr>
            <w:r>
              <w:rPr>
                <w:sz w:val="22"/>
              </w:rPr>
              <w:t>82</w:t>
            </w:r>
          </w:p>
        </w:tc>
        <w:tc>
          <w:tcPr>
            <w:tcW w:type="dxa" w:w="1134"/>
            <w:tcBorders>
              <w:top w:color="000000" w:sz="4" w:val="single"/>
              <w:left w:sz="4" w:val="nil"/>
              <w:bottom w:color="000000" w:sz="4" w:val="single"/>
              <w:right w:color="000000" w:sz="4" w:val="single"/>
            </w:tcBorders>
            <w:vAlign w:val="center"/>
          </w:tcPr>
          <w:p w14:paraId="A1040000">
            <w:pPr>
              <w:widowControl w:val="1"/>
              <w:ind w:right="-108"/>
              <w:contextualSpacing w:val="1"/>
              <w:jc w:val="center"/>
              <w:rPr>
                <w:sz w:val="22"/>
              </w:rPr>
            </w:pPr>
            <w:r>
              <w:rPr>
                <w:sz w:val="22"/>
              </w:rPr>
              <w:t>82</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A2040000">
            <w:pPr>
              <w:widowControl w:val="1"/>
              <w:ind w:right="-108"/>
              <w:contextualSpacing w:val="1"/>
              <w:jc w:val="center"/>
              <w:rPr>
                <w:color w:val="000000"/>
                <w:sz w:val="22"/>
              </w:rPr>
            </w:pPr>
            <w:r>
              <w:rPr>
                <w:color w:val="000000"/>
                <w:sz w:val="22"/>
              </w:rPr>
              <w:t>5</w:t>
            </w:r>
          </w:p>
        </w:tc>
        <w:tc>
          <w:tcPr>
            <w:tcW w:type="dxa" w:w="1134"/>
            <w:tcBorders>
              <w:top w:sz="4" w:val="nil"/>
              <w:left w:sz="4" w:val="nil"/>
              <w:bottom w:color="000000" w:sz="4" w:val="single"/>
              <w:right w:color="000000" w:sz="4" w:val="single"/>
            </w:tcBorders>
            <w:shd w:fill="auto" w:val="clear"/>
            <w:vAlign w:val="center"/>
          </w:tcPr>
          <w:p w14:paraId="A3040000">
            <w:pPr>
              <w:widowControl w:val="1"/>
              <w:ind w:right="-108"/>
              <w:contextualSpacing w:val="1"/>
              <w:jc w:val="center"/>
              <w:rPr>
                <w:color w:val="000000"/>
                <w:sz w:val="22"/>
              </w:rPr>
            </w:pPr>
            <w:r>
              <w:rPr>
                <w:color w:val="000000"/>
                <w:sz w:val="22"/>
              </w:rPr>
              <w:t>41-50</w:t>
            </w:r>
          </w:p>
        </w:tc>
        <w:tc>
          <w:tcPr>
            <w:tcW w:type="dxa" w:w="1276"/>
            <w:tcBorders>
              <w:top w:sz="4" w:val="nil"/>
              <w:left w:sz="4" w:val="nil"/>
              <w:bottom w:color="000000" w:sz="4" w:val="single"/>
              <w:right w:color="000000" w:sz="4" w:val="single"/>
            </w:tcBorders>
            <w:shd w:fill="auto" w:val="clear"/>
            <w:vAlign w:val="center"/>
          </w:tcPr>
          <w:p w14:paraId="A4040000">
            <w:pPr>
              <w:widowControl w:val="1"/>
              <w:ind w:right="-108"/>
              <w:contextualSpacing w:val="1"/>
              <w:jc w:val="center"/>
              <w:rPr>
                <w:color w:val="000000"/>
                <w:sz w:val="22"/>
              </w:rPr>
            </w:pPr>
            <w:r>
              <w:rPr>
                <w:color w:val="000000"/>
                <w:sz w:val="22"/>
              </w:rPr>
              <w:t>77</w:t>
            </w:r>
          </w:p>
        </w:tc>
        <w:tc>
          <w:tcPr>
            <w:tcW w:type="dxa" w:w="1276"/>
            <w:tcBorders>
              <w:top w:sz="4" w:val="nil"/>
              <w:left w:sz="4" w:val="nil"/>
              <w:bottom w:color="000000" w:sz="4" w:val="single"/>
              <w:right w:color="000000" w:sz="4" w:val="single"/>
            </w:tcBorders>
            <w:shd w:fill="auto" w:val="clear"/>
            <w:vAlign w:val="center"/>
          </w:tcPr>
          <w:p w14:paraId="A5040000">
            <w:pPr>
              <w:widowControl w:val="1"/>
              <w:ind w:right="-108"/>
              <w:contextualSpacing w:val="1"/>
              <w:jc w:val="center"/>
              <w:rPr>
                <w:color w:val="000000"/>
                <w:sz w:val="22"/>
              </w:rPr>
            </w:pPr>
            <w:r>
              <w:rPr>
                <w:color w:val="000000"/>
                <w:sz w:val="22"/>
              </w:rPr>
              <w:t>77</w:t>
            </w:r>
          </w:p>
        </w:tc>
        <w:tc>
          <w:tcPr>
            <w:tcW w:type="dxa" w:w="1275"/>
            <w:tcBorders>
              <w:top w:sz="4" w:val="nil"/>
              <w:left w:sz="4" w:val="nil"/>
              <w:bottom w:color="000000" w:sz="4" w:val="single"/>
              <w:right w:color="000000" w:sz="4" w:val="single"/>
            </w:tcBorders>
            <w:shd w:fill="auto" w:val="clear"/>
            <w:vAlign w:val="center"/>
          </w:tcPr>
          <w:p w14:paraId="A6040000">
            <w:pPr>
              <w:widowControl w:val="1"/>
              <w:ind w:right="-108"/>
              <w:contextualSpacing w:val="1"/>
              <w:jc w:val="center"/>
              <w:rPr>
                <w:color w:val="000000"/>
                <w:sz w:val="22"/>
              </w:rPr>
            </w:pPr>
            <w:r>
              <w:rPr>
                <w:color w:val="000000"/>
                <w:sz w:val="22"/>
              </w:rPr>
              <w:t>85</w:t>
            </w:r>
          </w:p>
        </w:tc>
        <w:tc>
          <w:tcPr>
            <w:tcW w:type="dxa" w:w="1418"/>
            <w:tcBorders>
              <w:top w:sz="4" w:val="nil"/>
              <w:left w:sz="4" w:val="nil"/>
              <w:bottom w:color="000000" w:sz="4" w:val="single"/>
              <w:right w:color="000000" w:sz="4" w:val="single"/>
            </w:tcBorders>
            <w:shd w:fill="auto" w:val="clear"/>
            <w:vAlign w:val="center"/>
          </w:tcPr>
          <w:p w14:paraId="A7040000">
            <w:pPr>
              <w:widowControl w:val="1"/>
              <w:ind w:right="-108"/>
              <w:contextualSpacing w:val="1"/>
              <w:jc w:val="center"/>
              <w:rPr>
                <w:sz w:val="22"/>
              </w:rPr>
            </w:pPr>
            <w:r>
              <w:rPr>
                <w:sz w:val="22"/>
              </w:rPr>
              <w:t>93</w:t>
            </w:r>
          </w:p>
        </w:tc>
        <w:tc>
          <w:tcPr>
            <w:tcW w:type="dxa" w:w="1276"/>
            <w:tcBorders>
              <w:top w:sz="4" w:val="nil"/>
              <w:left w:sz="4" w:val="nil"/>
              <w:bottom w:color="000000" w:sz="4" w:val="single"/>
              <w:right w:color="000000" w:sz="4" w:val="single"/>
            </w:tcBorders>
            <w:vAlign w:val="center"/>
          </w:tcPr>
          <w:p w14:paraId="A8040000">
            <w:pPr>
              <w:widowControl w:val="1"/>
              <w:ind w:right="-108"/>
              <w:contextualSpacing w:val="1"/>
              <w:jc w:val="center"/>
              <w:rPr>
                <w:sz w:val="22"/>
              </w:rPr>
            </w:pPr>
            <w:r>
              <w:rPr>
                <w:sz w:val="22"/>
              </w:rPr>
              <w:t>93</w:t>
            </w:r>
          </w:p>
        </w:tc>
        <w:tc>
          <w:tcPr>
            <w:tcW w:type="dxa" w:w="1134"/>
            <w:tcBorders>
              <w:top w:color="000000" w:sz="4" w:val="single"/>
              <w:left w:sz="4" w:val="nil"/>
              <w:bottom w:color="000000" w:sz="4" w:val="single"/>
              <w:right w:color="000000" w:sz="4" w:val="single"/>
            </w:tcBorders>
            <w:vAlign w:val="center"/>
          </w:tcPr>
          <w:p w14:paraId="A9040000">
            <w:pPr>
              <w:widowControl w:val="1"/>
              <w:ind w:right="-108"/>
              <w:contextualSpacing w:val="1"/>
              <w:jc w:val="center"/>
              <w:rPr>
                <w:sz w:val="22"/>
              </w:rPr>
            </w:pPr>
            <w:r>
              <w:rPr>
                <w:sz w:val="22"/>
              </w:rPr>
              <w:t>93</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AA040000">
            <w:pPr>
              <w:widowControl w:val="1"/>
              <w:ind w:right="-108"/>
              <w:contextualSpacing w:val="1"/>
              <w:jc w:val="center"/>
              <w:rPr>
                <w:color w:val="000000"/>
                <w:sz w:val="22"/>
              </w:rPr>
            </w:pPr>
            <w:r>
              <w:rPr>
                <w:color w:val="000000"/>
                <w:sz w:val="22"/>
              </w:rPr>
              <w:t>6</w:t>
            </w:r>
          </w:p>
        </w:tc>
        <w:tc>
          <w:tcPr>
            <w:tcW w:type="dxa" w:w="1134"/>
            <w:tcBorders>
              <w:top w:sz="4" w:val="nil"/>
              <w:left w:sz="4" w:val="nil"/>
              <w:bottom w:color="000000" w:sz="4" w:val="single"/>
              <w:right w:color="000000" w:sz="4" w:val="single"/>
            </w:tcBorders>
            <w:shd w:fill="auto" w:val="clear"/>
            <w:vAlign w:val="center"/>
          </w:tcPr>
          <w:p w14:paraId="AB040000">
            <w:pPr>
              <w:widowControl w:val="1"/>
              <w:ind w:right="-108"/>
              <w:contextualSpacing w:val="1"/>
              <w:jc w:val="center"/>
              <w:rPr>
                <w:color w:val="000000"/>
                <w:sz w:val="22"/>
              </w:rPr>
            </w:pPr>
            <w:r>
              <w:rPr>
                <w:color w:val="000000"/>
                <w:sz w:val="22"/>
              </w:rPr>
              <w:t>51-60</w:t>
            </w:r>
          </w:p>
        </w:tc>
        <w:tc>
          <w:tcPr>
            <w:tcW w:type="dxa" w:w="1276"/>
            <w:tcBorders>
              <w:top w:sz="4" w:val="nil"/>
              <w:left w:sz="4" w:val="nil"/>
              <w:bottom w:color="000000" w:sz="4" w:val="single"/>
              <w:right w:color="000000" w:sz="4" w:val="single"/>
            </w:tcBorders>
            <w:shd w:fill="auto" w:val="clear"/>
            <w:vAlign w:val="center"/>
          </w:tcPr>
          <w:p w14:paraId="AC040000">
            <w:pPr>
              <w:widowControl w:val="1"/>
              <w:ind w:right="-108"/>
              <w:contextualSpacing w:val="1"/>
              <w:jc w:val="center"/>
              <w:rPr>
                <w:color w:val="000000"/>
                <w:sz w:val="22"/>
              </w:rPr>
            </w:pPr>
            <w:r>
              <w:rPr>
                <w:color w:val="000000"/>
                <w:sz w:val="22"/>
              </w:rPr>
              <w:t>88</w:t>
            </w:r>
          </w:p>
        </w:tc>
        <w:tc>
          <w:tcPr>
            <w:tcW w:type="dxa" w:w="1276"/>
            <w:tcBorders>
              <w:top w:sz="4" w:val="nil"/>
              <w:left w:sz="4" w:val="nil"/>
              <w:bottom w:color="000000" w:sz="4" w:val="single"/>
              <w:right w:color="000000" w:sz="4" w:val="single"/>
            </w:tcBorders>
            <w:shd w:fill="auto" w:val="clear"/>
            <w:vAlign w:val="center"/>
          </w:tcPr>
          <w:p w14:paraId="AD040000">
            <w:pPr>
              <w:widowControl w:val="1"/>
              <w:ind w:right="-108"/>
              <w:contextualSpacing w:val="1"/>
              <w:jc w:val="center"/>
              <w:rPr>
                <w:color w:val="000000"/>
                <w:sz w:val="22"/>
              </w:rPr>
            </w:pPr>
            <w:r>
              <w:rPr>
                <w:color w:val="000000"/>
                <w:sz w:val="22"/>
              </w:rPr>
              <w:t>88</w:t>
            </w:r>
          </w:p>
        </w:tc>
        <w:tc>
          <w:tcPr>
            <w:tcW w:type="dxa" w:w="1275"/>
            <w:tcBorders>
              <w:top w:sz="4" w:val="nil"/>
              <w:left w:sz="4" w:val="nil"/>
              <w:bottom w:color="000000" w:sz="4" w:val="single"/>
              <w:right w:color="000000" w:sz="4" w:val="single"/>
            </w:tcBorders>
            <w:shd w:fill="auto" w:val="clear"/>
            <w:vAlign w:val="center"/>
          </w:tcPr>
          <w:p w14:paraId="AE040000">
            <w:pPr>
              <w:widowControl w:val="1"/>
              <w:ind w:right="-108"/>
              <w:contextualSpacing w:val="1"/>
              <w:jc w:val="center"/>
              <w:rPr>
                <w:color w:val="000000"/>
                <w:sz w:val="22"/>
              </w:rPr>
            </w:pPr>
            <w:r>
              <w:rPr>
                <w:color w:val="000000"/>
                <w:sz w:val="22"/>
              </w:rPr>
              <w:t>97</w:t>
            </w:r>
          </w:p>
        </w:tc>
        <w:tc>
          <w:tcPr>
            <w:tcW w:type="dxa" w:w="1418"/>
            <w:tcBorders>
              <w:top w:sz="4" w:val="nil"/>
              <w:left w:sz="4" w:val="nil"/>
              <w:bottom w:color="000000" w:sz="4" w:val="single"/>
              <w:right w:color="000000" w:sz="4" w:val="single"/>
            </w:tcBorders>
            <w:shd w:fill="auto" w:val="clear"/>
            <w:vAlign w:val="center"/>
          </w:tcPr>
          <w:p w14:paraId="AF040000">
            <w:pPr>
              <w:widowControl w:val="1"/>
              <w:ind w:right="-108"/>
              <w:contextualSpacing w:val="1"/>
              <w:jc w:val="center"/>
              <w:rPr>
                <w:sz w:val="22"/>
              </w:rPr>
            </w:pPr>
            <w:r>
              <w:rPr>
                <w:sz w:val="22"/>
              </w:rPr>
              <w:t>106</w:t>
            </w:r>
          </w:p>
        </w:tc>
        <w:tc>
          <w:tcPr>
            <w:tcW w:type="dxa" w:w="1276"/>
            <w:tcBorders>
              <w:top w:sz="4" w:val="nil"/>
              <w:left w:sz="4" w:val="nil"/>
              <w:bottom w:color="000000" w:sz="4" w:val="single"/>
              <w:right w:color="000000" w:sz="4" w:val="single"/>
            </w:tcBorders>
            <w:vAlign w:val="center"/>
          </w:tcPr>
          <w:p w14:paraId="B0040000">
            <w:pPr>
              <w:widowControl w:val="1"/>
              <w:ind w:right="-108"/>
              <w:contextualSpacing w:val="1"/>
              <w:jc w:val="center"/>
              <w:rPr>
                <w:sz w:val="22"/>
              </w:rPr>
            </w:pPr>
            <w:r>
              <w:rPr>
                <w:sz w:val="22"/>
              </w:rPr>
              <w:t>106</w:t>
            </w:r>
          </w:p>
        </w:tc>
        <w:tc>
          <w:tcPr>
            <w:tcW w:type="dxa" w:w="1134"/>
            <w:tcBorders>
              <w:top w:color="000000" w:sz="4" w:val="single"/>
              <w:left w:sz="4" w:val="nil"/>
              <w:bottom w:color="000000" w:sz="4" w:val="single"/>
              <w:right w:color="000000" w:sz="4" w:val="single"/>
            </w:tcBorders>
            <w:vAlign w:val="center"/>
          </w:tcPr>
          <w:p w14:paraId="B1040000">
            <w:pPr>
              <w:widowControl w:val="1"/>
              <w:ind w:right="-108"/>
              <w:contextualSpacing w:val="1"/>
              <w:jc w:val="center"/>
              <w:rPr>
                <w:sz w:val="22"/>
              </w:rPr>
            </w:pPr>
            <w:r>
              <w:rPr>
                <w:sz w:val="22"/>
              </w:rPr>
              <w:t>106</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B2040000">
            <w:pPr>
              <w:widowControl w:val="1"/>
              <w:ind w:right="-108"/>
              <w:contextualSpacing w:val="1"/>
              <w:jc w:val="center"/>
              <w:rPr>
                <w:color w:val="000000"/>
                <w:sz w:val="22"/>
              </w:rPr>
            </w:pPr>
            <w:r>
              <w:rPr>
                <w:color w:val="000000"/>
                <w:sz w:val="22"/>
              </w:rPr>
              <w:t>7</w:t>
            </w:r>
          </w:p>
        </w:tc>
        <w:tc>
          <w:tcPr>
            <w:tcW w:type="dxa" w:w="1134"/>
            <w:tcBorders>
              <w:top w:sz="4" w:val="nil"/>
              <w:left w:sz="4" w:val="nil"/>
              <w:bottom w:color="000000" w:sz="4" w:val="single"/>
              <w:right w:color="000000" w:sz="4" w:val="single"/>
            </w:tcBorders>
            <w:shd w:fill="auto" w:val="clear"/>
            <w:vAlign w:val="center"/>
          </w:tcPr>
          <w:p w14:paraId="B3040000">
            <w:pPr>
              <w:widowControl w:val="1"/>
              <w:ind w:right="-108"/>
              <w:contextualSpacing w:val="1"/>
              <w:jc w:val="center"/>
              <w:rPr>
                <w:color w:val="000000"/>
                <w:sz w:val="22"/>
              </w:rPr>
            </w:pPr>
            <w:r>
              <w:rPr>
                <w:color w:val="000000"/>
                <w:sz w:val="22"/>
              </w:rPr>
              <w:t>61-70</w:t>
            </w:r>
          </w:p>
        </w:tc>
        <w:tc>
          <w:tcPr>
            <w:tcW w:type="dxa" w:w="1276"/>
            <w:tcBorders>
              <w:top w:sz="4" w:val="nil"/>
              <w:left w:sz="4" w:val="nil"/>
              <w:bottom w:color="000000" w:sz="4" w:val="single"/>
              <w:right w:color="000000" w:sz="4" w:val="single"/>
            </w:tcBorders>
            <w:shd w:fill="auto" w:val="clear"/>
            <w:vAlign w:val="center"/>
          </w:tcPr>
          <w:p w14:paraId="B4040000">
            <w:pPr>
              <w:widowControl w:val="1"/>
              <w:ind w:right="-108"/>
              <w:contextualSpacing w:val="1"/>
              <w:jc w:val="center"/>
              <w:rPr>
                <w:color w:val="000000"/>
                <w:sz w:val="22"/>
              </w:rPr>
            </w:pPr>
            <w:r>
              <w:rPr>
                <w:color w:val="000000"/>
                <w:sz w:val="22"/>
              </w:rPr>
              <w:t>98</w:t>
            </w:r>
          </w:p>
        </w:tc>
        <w:tc>
          <w:tcPr>
            <w:tcW w:type="dxa" w:w="1276"/>
            <w:tcBorders>
              <w:top w:sz="4" w:val="nil"/>
              <w:left w:sz="4" w:val="nil"/>
              <w:bottom w:color="000000" w:sz="4" w:val="single"/>
              <w:right w:color="000000" w:sz="4" w:val="single"/>
            </w:tcBorders>
            <w:shd w:fill="auto" w:val="clear"/>
            <w:vAlign w:val="center"/>
          </w:tcPr>
          <w:p w14:paraId="B5040000">
            <w:pPr>
              <w:widowControl w:val="1"/>
              <w:ind w:right="-108"/>
              <w:contextualSpacing w:val="1"/>
              <w:jc w:val="center"/>
              <w:rPr>
                <w:color w:val="000000"/>
                <w:sz w:val="22"/>
              </w:rPr>
            </w:pPr>
            <w:r>
              <w:rPr>
                <w:color w:val="000000"/>
                <w:sz w:val="22"/>
              </w:rPr>
              <w:t>98</w:t>
            </w:r>
          </w:p>
        </w:tc>
        <w:tc>
          <w:tcPr>
            <w:tcW w:type="dxa" w:w="1275"/>
            <w:tcBorders>
              <w:top w:sz="4" w:val="nil"/>
              <w:left w:sz="4" w:val="nil"/>
              <w:bottom w:color="000000" w:sz="4" w:val="single"/>
              <w:right w:color="000000" w:sz="4" w:val="single"/>
            </w:tcBorders>
            <w:shd w:fill="auto" w:val="clear"/>
            <w:vAlign w:val="center"/>
          </w:tcPr>
          <w:p w14:paraId="B6040000">
            <w:pPr>
              <w:widowControl w:val="1"/>
              <w:ind w:right="-108"/>
              <w:contextualSpacing w:val="1"/>
              <w:jc w:val="center"/>
              <w:rPr>
                <w:color w:val="000000"/>
                <w:sz w:val="22"/>
              </w:rPr>
            </w:pPr>
            <w:r>
              <w:rPr>
                <w:color w:val="000000"/>
                <w:sz w:val="22"/>
              </w:rPr>
              <w:t>108</w:t>
            </w:r>
          </w:p>
        </w:tc>
        <w:tc>
          <w:tcPr>
            <w:tcW w:type="dxa" w:w="1418"/>
            <w:tcBorders>
              <w:top w:sz="4" w:val="nil"/>
              <w:left w:sz="4" w:val="nil"/>
              <w:bottom w:color="000000" w:sz="4" w:val="single"/>
              <w:right w:color="000000" w:sz="4" w:val="single"/>
            </w:tcBorders>
            <w:shd w:fill="auto" w:val="clear"/>
            <w:vAlign w:val="center"/>
          </w:tcPr>
          <w:p w14:paraId="B7040000">
            <w:pPr>
              <w:widowControl w:val="1"/>
              <w:ind w:right="-108"/>
              <w:contextualSpacing w:val="1"/>
              <w:jc w:val="center"/>
              <w:rPr>
                <w:sz w:val="22"/>
              </w:rPr>
            </w:pPr>
            <w:r>
              <w:rPr>
                <w:sz w:val="22"/>
              </w:rPr>
              <w:t>118</w:t>
            </w:r>
          </w:p>
        </w:tc>
        <w:tc>
          <w:tcPr>
            <w:tcW w:type="dxa" w:w="1276"/>
            <w:tcBorders>
              <w:top w:sz="4" w:val="nil"/>
              <w:left w:sz="4" w:val="nil"/>
              <w:bottom w:color="000000" w:sz="4" w:val="single"/>
              <w:right w:color="000000" w:sz="4" w:val="single"/>
            </w:tcBorders>
            <w:vAlign w:val="center"/>
          </w:tcPr>
          <w:p w14:paraId="B8040000">
            <w:pPr>
              <w:widowControl w:val="1"/>
              <w:ind w:right="-108"/>
              <w:contextualSpacing w:val="1"/>
              <w:jc w:val="center"/>
              <w:rPr>
                <w:sz w:val="22"/>
              </w:rPr>
            </w:pPr>
            <w:r>
              <w:rPr>
                <w:sz w:val="22"/>
              </w:rPr>
              <w:t>118</w:t>
            </w:r>
          </w:p>
        </w:tc>
        <w:tc>
          <w:tcPr>
            <w:tcW w:type="dxa" w:w="1134"/>
            <w:tcBorders>
              <w:top w:color="000000" w:sz="4" w:val="single"/>
              <w:left w:sz="4" w:val="nil"/>
              <w:bottom w:color="000000" w:sz="4" w:val="single"/>
              <w:right w:color="000000" w:sz="4" w:val="single"/>
            </w:tcBorders>
            <w:vAlign w:val="center"/>
          </w:tcPr>
          <w:p w14:paraId="B9040000">
            <w:pPr>
              <w:widowControl w:val="1"/>
              <w:ind w:right="-108"/>
              <w:contextualSpacing w:val="1"/>
              <w:jc w:val="center"/>
              <w:rPr>
                <w:sz w:val="22"/>
              </w:rPr>
            </w:pPr>
            <w:r>
              <w:rPr>
                <w:sz w:val="22"/>
              </w:rPr>
              <w:t>118</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BA040000">
            <w:pPr>
              <w:widowControl w:val="1"/>
              <w:ind w:right="-108"/>
              <w:contextualSpacing w:val="1"/>
              <w:jc w:val="center"/>
              <w:rPr>
                <w:color w:val="000000"/>
                <w:sz w:val="22"/>
              </w:rPr>
            </w:pPr>
            <w:r>
              <w:rPr>
                <w:color w:val="000000"/>
                <w:sz w:val="22"/>
              </w:rPr>
              <w:t>8</w:t>
            </w:r>
          </w:p>
        </w:tc>
        <w:tc>
          <w:tcPr>
            <w:tcW w:type="dxa" w:w="1134"/>
            <w:tcBorders>
              <w:top w:sz="4" w:val="nil"/>
              <w:left w:sz="4" w:val="nil"/>
              <w:bottom w:color="000000" w:sz="4" w:val="single"/>
              <w:right w:color="000000" w:sz="4" w:val="single"/>
            </w:tcBorders>
            <w:shd w:fill="auto" w:val="clear"/>
            <w:vAlign w:val="center"/>
          </w:tcPr>
          <w:p w14:paraId="BB040000">
            <w:pPr>
              <w:widowControl w:val="1"/>
              <w:ind w:right="-108"/>
              <w:contextualSpacing w:val="1"/>
              <w:jc w:val="center"/>
              <w:rPr>
                <w:color w:val="000000"/>
                <w:sz w:val="22"/>
              </w:rPr>
            </w:pPr>
            <w:r>
              <w:rPr>
                <w:color w:val="000000"/>
                <w:sz w:val="22"/>
              </w:rPr>
              <w:t>71-80</w:t>
            </w:r>
          </w:p>
        </w:tc>
        <w:tc>
          <w:tcPr>
            <w:tcW w:type="dxa" w:w="1276"/>
            <w:tcBorders>
              <w:top w:sz="4" w:val="nil"/>
              <w:left w:sz="4" w:val="nil"/>
              <w:bottom w:color="000000" w:sz="4" w:val="single"/>
              <w:right w:color="000000" w:sz="4" w:val="single"/>
            </w:tcBorders>
            <w:shd w:fill="auto" w:val="clear"/>
            <w:vAlign w:val="center"/>
          </w:tcPr>
          <w:p w14:paraId="BC040000">
            <w:pPr>
              <w:widowControl w:val="1"/>
              <w:ind w:right="-108"/>
              <w:contextualSpacing w:val="1"/>
              <w:jc w:val="center"/>
              <w:rPr>
                <w:color w:val="000000"/>
                <w:sz w:val="22"/>
              </w:rPr>
            </w:pPr>
            <w:r>
              <w:rPr>
                <w:color w:val="000000"/>
                <w:sz w:val="22"/>
              </w:rPr>
              <w:t>109</w:t>
            </w:r>
          </w:p>
        </w:tc>
        <w:tc>
          <w:tcPr>
            <w:tcW w:type="dxa" w:w="1276"/>
            <w:tcBorders>
              <w:top w:sz="4" w:val="nil"/>
              <w:left w:sz="4" w:val="nil"/>
              <w:bottom w:color="000000" w:sz="4" w:val="single"/>
              <w:right w:color="000000" w:sz="4" w:val="single"/>
            </w:tcBorders>
            <w:shd w:fill="auto" w:val="clear"/>
            <w:vAlign w:val="center"/>
          </w:tcPr>
          <w:p w14:paraId="BD040000">
            <w:pPr>
              <w:widowControl w:val="1"/>
              <w:ind w:right="-108"/>
              <w:contextualSpacing w:val="1"/>
              <w:jc w:val="center"/>
              <w:rPr>
                <w:color w:val="000000"/>
                <w:sz w:val="22"/>
              </w:rPr>
            </w:pPr>
            <w:r>
              <w:rPr>
                <w:color w:val="000000"/>
                <w:sz w:val="22"/>
              </w:rPr>
              <w:t>109</w:t>
            </w:r>
          </w:p>
        </w:tc>
        <w:tc>
          <w:tcPr>
            <w:tcW w:type="dxa" w:w="1275"/>
            <w:tcBorders>
              <w:top w:sz="4" w:val="nil"/>
              <w:left w:sz="4" w:val="nil"/>
              <w:bottom w:color="000000" w:sz="4" w:val="single"/>
              <w:right w:color="000000" w:sz="4" w:val="single"/>
            </w:tcBorders>
            <w:shd w:fill="auto" w:val="clear"/>
            <w:vAlign w:val="center"/>
          </w:tcPr>
          <w:p w14:paraId="BE040000">
            <w:pPr>
              <w:widowControl w:val="1"/>
              <w:ind w:right="-108"/>
              <w:contextualSpacing w:val="1"/>
              <w:jc w:val="center"/>
              <w:rPr>
                <w:color w:val="000000"/>
                <w:sz w:val="22"/>
              </w:rPr>
            </w:pPr>
            <w:r>
              <w:rPr>
                <w:color w:val="000000"/>
                <w:sz w:val="22"/>
              </w:rPr>
              <w:t>120</w:t>
            </w:r>
          </w:p>
        </w:tc>
        <w:tc>
          <w:tcPr>
            <w:tcW w:type="dxa" w:w="1418"/>
            <w:tcBorders>
              <w:top w:sz="4" w:val="nil"/>
              <w:left w:sz="4" w:val="nil"/>
              <w:bottom w:color="000000" w:sz="4" w:val="single"/>
              <w:right w:color="000000" w:sz="4" w:val="single"/>
            </w:tcBorders>
            <w:shd w:fill="auto" w:val="clear"/>
            <w:vAlign w:val="center"/>
          </w:tcPr>
          <w:p w14:paraId="BF040000">
            <w:pPr>
              <w:widowControl w:val="1"/>
              <w:ind w:right="-108"/>
              <w:contextualSpacing w:val="1"/>
              <w:jc w:val="center"/>
              <w:rPr>
                <w:sz w:val="22"/>
              </w:rPr>
            </w:pPr>
            <w:r>
              <w:rPr>
                <w:sz w:val="22"/>
              </w:rPr>
              <w:t>1</w:t>
            </w:r>
            <w:r>
              <w:rPr>
                <w:sz w:val="22"/>
              </w:rPr>
              <w:t>32</w:t>
            </w:r>
          </w:p>
        </w:tc>
        <w:tc>
          <w:tcPr>
            <w:tcW w:type="dxa" w:w="1276"/>
            <w:tcBorders>
              <w:top w:sz="4" w:val="nil"/>
              <w:left w:sz="4" w:val="nil"/>
              <w:bottom w:color="000000" w:sz="4" w:val="single"/>
              <w:right w:color="000000" w:sz="4" w:val="single"/>
            </w:tcBorders>
            <w:vAlign w:val="center"/>
          </w:tcPr>
          <w:p w14:paraId="C0040000">
            <w:pPr>
              <w:widowControl w:val="1"/>
              <w:ind w:right="-108"/>
              <w:contextualSpacing w:val="1"/>
              <w:jc w:val="center"/>
              <w:rPr>
                <w:sz w:val="22"/>
              </w:rPr>
            </w:pPr>
            <w:r>
              <w:rPr>
                <w:sz w:val="22"/>
              </w:rPr>
              <w:t>132</w:t>
            </w:r>
          </w:p>
        </w:tc>
        <w:tc>
          <w:tcPr>
            <w:tcW w:type="dxa" w:w="1134"/>
            <w:tcBorders>
              <w:top w:color="000000" w:sz="4" w:val="single"/>
              <w:left w:sz="4" w:val="nil"/>
              <w:bottom w:color="000000" w:sz="4" w:val="single"/>
              <w:right w:color="000000" w:sz="4" w:val="single"/>
            </w:tcBorders>
            <w:vAlign w:val="center"/>
          </w:tcPr>
          <w:p w14:paraId="C1040000">
            <w:pPr>
              <w:widowControl w:val="1"/>
              <w:ind w:right="-108"/>
              <w:contextualSpacing w:val="1"/>
              <w:jc w:val="center"/>
              <w:rPr>
                <w:sz w:val="22"/>
              </w:rPr>
            </w:pPr>
            <w:r>
              <w:rPr>
                <w:sz w:val="22"/>
              </w:rPr>
              <w:t>132</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C2040000">
            <w:pPr>
              <w:widowControl w:val="1"/>
              <w:ind w:right="-108"/>
              <w:contextualSpacing w:val="1"/>
              <w:jc w:val="center"/>
              <w:rPr>
                <w:color w:val="000000"/>
                <w:sz w:val="22"/>
              </w:rPr>
            </w:pPr>
            <w:r>
              <w:rPr>
                <w:color w:val="000000"/>
                <w:sz w:val="22"/>
              </w:rPr>
              <w:t>9</w:t>
            </w:r>
          </w:p>
        </w:tc>
        <w:tc>
          <w:tcPr>
            <w:tcW w:type="dxa" w:w="1134"/>
            <w:tcBorders>
              <w:top w:sz="4" w:val="nil"/>
              <w:left w:sz="4" w:val="nil"/>
              <w:bottom w:color="000000" w:sz="4" w:val="single"/>
              <w:right w:color="000000" w:sz="4" w:val="single"/>
            </w:tcBorders>
            <w:shd w:fill="auto" w:val="clear"/>
            <w:vAlign w:val="center"/>
          </w:tcPr>
          <w:p w14:paraId="C3040000">
            <w:pPr>
              <w:widowControl w:val="1"/>
              <w:ind w:right="-108"/>
              <w:contextualSpacing w:val="1"/>
              <w:jc w:val="center"/>
              <w:rPr>
                <w:color w:val="000000"/>
                <w:sz w:val="22"/>
              </w:rPr>
            </w:pPr>
            <w:r>
              <w:rPr>
                <w:color w:val="000000"/>
                <w:sz w:val="22"/>
              </w:rPr>
              <w:t>81-90</w:t>
            </w:r>
          </w:p>
        </w:tc>
        <w:tc>
          <w:tcPr>
            <w:tcW w:type="dxa" w:w="1276"/>
            <w:tcBorders>
              <w:top w:sz="4" w:val="nil"/>
              <w:left w:sz="4" w:val="nil"/>
              <w:bottom w:color="000000" w:sz="4" w:val="single"/>
              <w:right w:color="000000" w:sz="4" w:val="single"/>
            </w:tcBorders>
            <w:shd w:fill="auto" w:val="clear"/>
            <w:vAlign w:val="center"/>
          </w:tcPr>
          <w:p w14:paraId="C4040000">
            <w:pPr>
              <w:widowControl w:val="1"/>
              <w:ind w:right="-108"/>
              <w:contextualSpacing w:val="1"/>
              <w:jc w:val="center"/>
              <w:rPr>
                <w:color w:val="000000"/>
                <w:sz w:val="22"/>
              </w:rPr>
            </w:pPr>
            <w:r>
              <w:rPr>
                <w:color w:val="000000"/>
                <w:sz w:val="22"/>
              </w:rPr>
              <w:t>116</w:t>
            </w:r>
          </w:p>
        </w:tc>
        <w:tc>
          <w:tcPr>
            <w:tcW w:type="dxa" w:w="1276"/>
            <w:tcBorders>
              <w:top w:sz="4" w:val="nil"/>
              <w:left w:sz="4" w:val="nil"/>
              <w:bottom w:color="000000" w:sz="4" w:val="single"/>
              <w:right w:color="000000" w:sz="4" w:val="single"/>
            </w:tcBorders>
            <w:shd w:fill="auto" w:val="clear"/>
            <w:vAlign w:val="center"/>
          </w:tcPr>
          <w:p w14:paraId="C5040000">
            <w:pPr>
              <w:widowControl w:val="1"/>
              <w:ind w:right="-108"/>
              <w:contextualSpacing w:val="1"/>
              <w:jc w:val="center"/>
              <w:rPr>
                <w:color w:val="000000"/>
                <w:sz w:val="22"/>
              </w:rPr>
            </w:pPr>
            <w:r>
              <w:rPr>
                <w:color w:val="000000"/>
                <w:sz w:val="22"/>
              </w:rPr>
              <w:t>116</w:t>
            </w:r>
          </w:p>
        </w:tc>
        <w:tc>
          <w:tcPr>
            <w:tcW w:type="dxa" w:w="1275"/>
            <w:tcBorders>
              <w:top w:sz="4" w:val="nil"/>
              <w:left w:sz="4" w:val="nil"/>
              <w:bottom w:color="000000" w:sz="4" w:val="single"/>
              <w:right w:color="000000" w:sz="4" w:val="single"/>
            </w:tcBorders>
            <w:shd w:fill="auto" w:val="clear"/>
            <w:vAlign w:val="center"/>
          </w:tcPr>
          <w:p w14:paraId="C6040000">
            <w:pPr>
              <w:widowControl w:val="1"/>
              <w:ind w:right="-108"/>
              <w:contextualSpacing w:val="1"/>
              <w:jc w:val="center"/>
              <w:rPr>
                <w:color w:val="000000"/>
                <w:sz w:val="22"/>
              </w:rPr>
            </w:pPr>
            <w:r>
              <w:rPr>
                <w:color w:val="000000"/>
                <w:sz w:val="22"/>
              </w:rPr>
              <w:t>128</w:t>
            </w:r>
          </w:p>
        </w:tc>
        <w:tc>
          <w:tcPr>
            <w:tcW w:type="dxa" w:w="1418"/>
            <w:tcBorders>
              <w:top w:sz="4" w:val="nil"/>
              <w:left w:sz="4" w:val="nil"/>
              <w:bottom w:color="000000" w:sz="4" w:val="single"/>
              <w:right w:color="000000" w:sz="4" w:val="single"/>
            </w:tcBorders>
            <w:shd w:fill="auto" w:val="clear"/>
            <w:vAlign w:val="center"/>
          </w:tcPr>
          <w:p w14:paraId="C7040000">
            <w:pPr>
              <w:widowControl w:val="1"/>
              <w:ind w:right="-108"/>
              <w:contextualSpacing w:val="1"/>
              <w:jc w:val="center"/>
              <w:rPr>
                <w:sz w:val="22"/>
              </w:rPr>
            </w:pPr>
            <w:r>
              <w:rPr>
                <w:sz w:val="22"/>
              </w:rPr>
              <w:t>140</w:t>
            </w:r>
          </w:p>
        </w:tc>
        <w:tc>
          <w:tcPr>
            <w:tcW w:type="dxa" w:w="1276"/>
            <w:tcBorders>
              <w:top w:sz="4" w:val="nil"/>
              <w:left w:sz="4" w:val="nil"/>
              <w:bottom w:color="000000" w:sz="4" w:val="single"/>
              <w:right w:color="000000" w:sz="4" w:val="single"/>
            </w:tcBorders>
            <w:vAlign w:val="center"/>
          </w:tcPr>
          <w:p w14:paraId="C8040000">
            <w:pPr>
              <w:widowControl w:val="1"/>
              <w:ind w:right="-108"/>
              <w:contextualSpacing w:val="1"/>
              <w:jc w:val="center"/>
              <w:rPr>
                <w:sz w:val="22"/>
              </w:rPr>
            </w:pPr>
            <w:r>
              <w:rPr>
                <w:sz w:val="22"/>
              </w:rPr>
              <w:t>140</w:t>
            </w:r>
          </w:p>
        </w:tc>
        <w:tc>
          <w:tcPr>
            <w:tcW w:type="dxa" w:w="1134"/>
            <w:tcBorders>
              <w:top w:color="000000" w:sz="4" w:val="single"/>
              <w:left w:sz="4" w:val="nil"/>
              <w:bottom w:color="000000" w:sz="4" w:val="single"/>
              <w:right w:color="000000" w:sz="4" w:val="single"/>
            </w:tcBorders>
            <w:vAlign w:val="center"/>
          </w:tcPr>
          <w:p w14:paraId="C9040000">
            <w:pPr>
              <w:widowControl w:val="1"/>
              <w:ind w:right="-108"/>
              <w:contextualSpacing w:val="1"/>
              <w:jc w:val="center"/>
              <w:rPr>
                <w:sz w:val="22"/>
              </w:rPr>
            </w:pPr>
            <w:r>
              <w:rPr>
                <w:sz w:val="22"/>
              </w:rPr>
              <w:t>140</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CA040000">
            <w:pPr>
              <w:widowControl w:val="1"/>
              <w:ind w:right="-108"/>
              <w:contextualSpacing w:val="1"/>
              <w:jc w:val="center"/>
              <w:rPr>
                <w:color w:val="000000"/>
                <w:sz w:val="22"/>
              </w:rPr>
            </w:pPr>
            <w:r>
              <w:rPr>
                <w:color w:val="000000"/>
                <w:sz w:val="22"/>
              </w:rPr>
              <w:t>10</w:t>
            </w:r>
          </w:p>
        </w:tc>
        <w:tc>
          <w:tcPr>
            <w:tcW w:type="dxa" w:w="1134"/>
            <w:tcBorders>
              <w:top w:sz="4" w:val="nil"/>
              <w:left w:sz="4" w:val="nil"/>
              <w:bottom w:color="000000" w:sz="4" w:val="single"/>
              <w:right w:color="000000" w:sz="4" w:val="single"/>
            </w:tcBorders>
            <w:shd w:fill="auto" w:val="clear"/>
            <w:vAlign w:val="center"/>
          </w:tcPr>
          <w:p w14:paraId="CB040000">
            <w:pPr>
              <w:widowControl w:val="1"/>
              <w:ind w:right="-108"/>
              <w:contextualSpacing w:val="1"/>
              <w:jc w:val="center"/>
              <w:rPr>
                <w:color w:val="000000"/>
                <w:sz w:val="22"/>
              </w:rPr>
            </w:pPr>
            <w:r>
              <w:rPr>
                <w:color w:val="000000"/>
                <w:sz w:val="22"/>
              </w:rPr>
              <w:t>91-100</w:t>
            </w:r>
          </w:p>
        </w:tc>
        <w:tc>
          <w:tcPr>
            <w:tcW w:type="dxa" w:w="1276"/>
            <w:tcBorders>
              <w:top w:sz="4" w:val="nil"/>
              <w:left w:sz="4" w:val="nil"/>
              <w:bottom w:color="000000" w:sz="4" w:val="single"/>
              <w:right w:color="000000" w:sz="4" w:val="single"/>
            </w:tcBorders>
            <w:shd w:fill="auto" w:val="clear"/>
            <w:vAlign w:val="center"/>
          </w:tcPr>
          <w:p w14:paraId="CC040000">
            <w:pPr>
              <w:widowControl w:val="1"/>
              <w:ind w:right="-108"/>
              <w:contextualSpacing w:val="1"/>
              <w:jc w:val="center"/>
              <w:rPr>
                <w:color w:val="000000"/>
                <w:sz w:val="22"/>
              </w:rPr>
            </w:pPr>
            <w:r>
              <w:rPr>
                <w:color w:val="000000"/>
                <w:sz w:val="22"/>
              </w:rPr>
              <w:t>127</w:t>
            </w:r>
          </w:p>
        </w:tc>
        <w:tc>
          <w:tcPr>
            <w:tcW w:type="dxa" w:w="1276"/>
            <w:tcBorders>
              <w:top w:sz="4" w:val="nil"/>
              <w:left w:sz="4" w:val="nil"/>
              <w:bottom w:color="000000" w:sz="4" w:val="single"/>
              <w:right w:color="000000" w:sz="4" w:val="single"/>
            </w:tcBorders>
            <w:shd w:fill="auto" w:val="clear"/>
            <w:vAlign w:val="center"/>
          </w:tcPr>
          <w:p w14:paraId="CD040000">
            <w:pPr>
              <w:widowControl w:val="1"/>
              <w:ind w:right="-108"/>
              <w:contextualSpacing w:val="1"/>
              <w:jc w:val="center"/>
              <w:rPr>
                <w:color w:val="000000"/>
                <w:sz w:val="22"/>
              </w:rPr>
            </w:pPr>
            <w:r>
              <w:rPr>
                <w:color w:val="000000"/>
                <w:sz w:val="22"/>
              </w:rPr>
              <w:t>127</w:t>
            </w:r>
          </w:p>
        </w:tc>
        <w:tc>
          <w:tcPr>
            <w:tcW w:type="dxa" w:w="1275"/>
            <w:tcBorders>
              <w:top w:sz="4" w:val="nil"/>
              <w:left w:sz="4" w:val="nil"/>
              <w:bottom w:color="000000" w:sz="4" w:val="single"/>
              <w:right w:color="000000" w:sz="4" w:val="single"/>
            </w:tcBorders>
            <w:shd w:fill="auto" w:val="clear"/>
            <w:vAlign w:val="center"/>
          </w:tcPr>
          <w:p w14:paraId="CE040000">
            <w:pPr>
              <w:widowControl w:val="1"/>
              <w:ind w:right="-108"/>
              <w:contextualSpacing w:val="1"/>
              <w:jc w:val="center"/>
              <w:rPr>
                <w:color w:val="000000"/>
                <w:sz w:val="22"/>
              </w:rPr>
            </w:pPr>
            <w:r>
              <w:rPr>
                <w:color w:val="000000"/>
                <w:sz w:val="22"/>
              </w:rPr>
              <w:t>140</w:t>
            </w:r>
          </w:p>
        </w:tc>
        <w:tc>
          <w:tcPr>
            <w:tcW w:type="dxa" w:w="1418"/>
            <w:tcBorders>
              <w:top w:sz="4" w:val="nil"/>
              <w:left w:sz="4" w:val="nil"/>
              <w:bottom w:color="000000" w:sz="4" w:val="single"/>
              <w:right w:color="000000" w:sz="4" w:val="single"/>
            </w:tcBorders>
            <w:shd w:fill="auto" w:val="clear"/>
            <w:vAlign w:val="center"/>
          </w:tcPr>
          <w:p w14:paraId="CF040000">
            <w:pPr>
              <w:widowControl w:val="1"/>
              <w:ind w:right="-108"/>
              <w:contextualSpacing w:val="1"/>
              <w:jc w:val="center"/>
              <w:rPr>
                <w:sz w:val="22"/>
              </w:rPr>
            </w:pPr>
            <w:r>
              <w:rPr>
                <w:sz w:val="22"/>
              </w:rPr>
              <w:t>154</w:t>
            </w:r>
          </w:p>
        </w:tc>
        <w:tc>
          <w:tcPr>
            <w:tcW w:type="dxa" w:w="1276"/>
            <w:tcBorders>
              <w:top w:sz="4" w:val="nil"/>
              <w:left w:sz="4" w:val="nil"/>
              <w:bottom w:color="000000" w:sz="4" w:val="single"/>
              <w:right w:color="000000" w:sz="4" w:val="single"/>
            </w:tcBorders>
            <w:vAlign w:val="center"/>
          </w:tcPr>
          <w:p w14:paraId="D0040000">
            <w:pPr>
              <w:widowControl w:val="1"/>
              <w:ind w:right="-108"/>
              <w:contextualSpacing w:val="1"/>
              <w:jc w:val="center"/>
              <w:rPr>
                <w:sz w:val="22"/>
              </w:rPr>
            </w:pPr>
            <w:r>
              <w:rPr>
                <w:sz w:val="22"/>
              </w:rPr>
              <w:t>154</w:t>
            </w:r>
          </w:p>
        </w:tc>
        <w:tc>
          <w:tcPr>
            <w:tcW w:type="dxa" w:w="1134"/>
            <w:tcBorders>
              <w:top w:color="000000" w:sz="4" w:val="single"/>
              <w:left w:sz="4" w:val="nil"/>
              <w:bottom w:color="000000" w:sz="4" w:val="single"/>
              <w:right w:color="000000" w:sz="4" w:val="single"/>
            </w:tcBorders>
            <w:vAlign w:val="center"/>
          </w:tcPr>
          <w:p w14:paraId="D1040000">
            <w:pPr>
              <w:widowControl w:val="1"/>
              <w:ind w:right="-108"/>
              <w:contextualSpacing w:val="1"/>
              <w:jc w:val="center"/>
              <w:rPr>
                <w:sz w:val="22"/>
              </w:rPr>
            </w:pPr>
            <w:r>
              <w:rPr>
                <w:sz w:val="22"/>
              </w:rPr>
              <w:t>154</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D2040000">
            <w:pPr>
              <w:widowControl w:val="1"/>
              <w:ind w:right="-108"/>
              <w:contextualSpacing w:val="1"/>
              <w:jc w:val="center"/>
              <w:rPr>
                <w:color w:val="000000"/>
                <w:sz w:val="22"/>
              </w:rPr>
            </w:pPr>
            <w:r>
              <w:rPr>
                <w:color w:val="000000"/>
                <w:sz w:val="22"/>
              </w:rPr>
              <w:t>11</w:t>
            </w:r>
          </w:p>
        </w:tc>
        <w:tc>
          <w:tcPr>
            <w:tcW w:type="dxa" w:w="1134"/>
            <w:tcBorders>
              <w:top w:sz="4" w:val="nil"/>
              <w:left w:sz="4" w:val="nil"/>
              <w:bottom w:color="000000" w:sz="4" w:val="single"/>
              <w:right w:color="000000" w:sz="4" w:val="single"/>
            </w:tcBorders>
            <w:shd w:fill="auto" w:val="clear"/>
            <w:vAlign w:val="center"/>
          </w:tcPr>
          <w:p w14:paraId="D3040000">
            <w:pPr>
              <w:widowControl w:val="1"/>
              <w:ind w:right="-108"/>
              <w:contextualSpacing w:val="1"/>
              <w:jc w:val="center"/>
              <w:rPr>
                <w:color w:val="000000"/>
                <w:sz w:val="22"/>
              </w:rPr>
            </w:pPr>
            <w:r>
              <w:rPr>
                <w:color w:val="000000"/>
                <w:sz w:val="22"/>
              </w:rPr>
              <w:t>101-110</w:t>
            </w:r>
          </w:p>
        </w:tc>
        <w:tc>
          <w:tcPr>
            <w:tcW w:type="dxa" w:w="1276"/>
            <w:tcBorders>
              <w:top w:sz="4" w:val="nil"/>
              <w:left w:sz="4" w:val="nil"/>
              <w:bottom w:color="000000" w:sz="4" w:val="single"/>
              <w:right w:color="000000" w:sz="4" w:val="single"/>
            </w:tcBorders>
            <w:shd w:fill="auto" w:val="clear"/>
            <w:vAlign w:val="center"/>
          </w:tcPr>
          <w:p w14:paraId="D4040000">
            <w:pPr>
              <w:widowControl w:val="1"/>
              <w:ind w:right="-108"/>
              <w:contextualSpacing w:val="1"/>
              <w:jc w:val="center"/>
              <w:rPr>
                <w:color w:val="000000"/>
                <w:sz w:val="22"/>
              </w:rPr>
            </w:pPr>
            <w:r>
              <w:rPr>
                <w:color w:val="000000"/>
                <w:sz w:val="22"/>
              </w:rPr>
              <w:t>137</w:t>
            </w:r>
          </w:p>
        </w:tc>
        <w:tc>
          <w:tcPr>
            <w:tcW w:type="dxa" w:w="1276"/>
            <w:tcBorders>
              <w:top w:sz="4" w:val="nil"/>
              <w:left w:sz="4" w:val="nil"/>
              <w:bottom w:color="000000" w:sz="4" w:val="single"/>
              <w:right w:color="000000" w:sz="4" w:val="single"/>
            </w:tcBorders>
            <w:shd w:fill="auto" w:val="clear"/>
            <w:vAlign w:val="center"/>
          </w:tcPr>
          <w:p w14:paraId="D5040000">
            <w:pPr>
              <w:widowControl w:val="1"/>
              <w:ind w:right="-108"/>
              <w:contextualSpacing w:val="1"/>
              <w:jc w:val="center"/>
              <w:rPr>
                <w:color w:val="000000"/>
                <w:sz w:val="22"/>
              </w:rPr>
            </w:pPr>
            <w:r>
              <w:rPr>
                <w:color w:val="000000"/>
                <w:sz w:val="22"/>
              </w:rPr>
              <w:t>137</w:t>
            </w:r>
          </w:p>
        </w:tc>
        <w:tc>
          <w:tcPr>
            <w:tcW w:type="dxa" w:w="1275"/>
            <w:tcBorders>
              <w:top w:sz="4" w:val="nil"/>
              <w:left w:sz="4" w:val="nil"/>
              <w:bottom w:color="000000" w:sz="4" w:val="single"/>
              <w:right w:color="000000" w:sz="4" w:val="single"/>
            </w:tcBorders>
            <w:shd w:fill="auto" w:val="clear"/>
            <w:vAlign w:val="center"/>
          </w:tcPr>
          <w:p w14:paraId="D6040000">
            <w:pPr>
              <w:widowControl w:val="1"/>
              <w:ind w:right="-108"/>
              <w:contextualSpacing w:val="1"/>
              <w:jc w:val="center"/>
              <w:rPr>
                <w:color w:val="000000"/>
                <w:sz w:val="22"/>
              </w:rPr>
            </w:pPr>
            <w:r>
              <w:rPr>
                <w:color w:val="000000"/>
                <w:sz w:val="22"/>
              </w:rPr>
              <w:t>151</w:t>
            </w:r>
          </w:p>
        </w:tc>
        <w:tc>
          <w:tcPr>
            <w:tcW w:type="dxa" w:w="1418"/>
            <w:tcBorders>
              <w:top w:sz="4" w:val="nil"/>
              <w:left w:sz="4" w:val="nil"/>
              <w:bottom w:color="000000" w:sz="4" w:val="single"/>
              <w:right w:color="000000" w:sz="4" w:val="single"/>
            </w:tcBorders>
            <w:shd w:fill="auto" w:val="clear"/>
            <w:vAlign w:val="center"/>
          </w:tcPr>
          <w:p w14:paraId="D7040000">
            <w:pPr>
              <w:widowControl w:val="1"/>
              <w:ind w:right="-108"/>
              <w:contextualSpacing w:val="1"/>
              <w:jc w:val="center"/>
              <w:rPr>
                <w:sz w:val="22"/>
              </w:rPr>
            </w:pPr>
            <w:r>
              <w:rPr>
                <w:sz w:val="22"/>
              </w:rPr>
              <w:t>166</w:t>
            </w:r>
          </w:p>
        </w:tc>
        <w:tc>
          <w:tcPr>
            <w:tcW w:type="dxa" w:w="1276"/>
            <w:tcBorders>
              <w:top w:sz="4" w:val="nil"/>
              <w:left w:sz="4" w:val="nil"/>
              <w:bottom w:color="000000" w:sz="4" w:val="single"/>
              <w:right w:color="000000" w:sz="4" w:val="single"/>
            </w:tcBorders>
            <w:vAlign w:val="center"/>
          </w:tcPr>
          <w:p w14:paraId="D8040000">
            <w:pPr>
              <w:widowControl w:val="1"/>
              <w:ind w:right="-108"/>
              <w:contextualSpacing w:val="1"/>
              <w:jc w:val="center"/>
              <w:rPr>
                <w:sz w:val="22"/>
              </w:rPr>
            </w:pPr>
            <w:r>
              <w:rPr>
                <w:sz w:val="22"/>
              </w:rPr>
              <w:t>166</w:t>
            </w:r>
          </w:p>
        </w:tc>
        <w:tc>
          <w:tcPr>
            <w:tcW w:type="dxa" w:w="1134"/>
            <w:tcBorders>
              <w:top w:color="000000" w:sz="4" w:val="single"/>
              <w:left w:sz="4" w:val="nil"/>
              <w:bottom w:color="000000" w:sz="4" w:val="single"/>
              <w:right w:color="000000" w:sz="4" w:val="single"/>
            </w:tcBorders>
            <w:vAlign w:val="center"/>
          </w:tcPr>
          <w:p w14:paraId="D9040000">
            <w:pPr>
              <w:widowControl w:val="1"/>
              <w:ind w:right="-108"/>
              <w:contextualSpacing w:val="1"/>
              <w:jc w:val="center"/>
              <w:rPr>
                <w:sz w:val="22"/>
              </w:rPr>
            </w:pPr>
            <w:r>
              <w:rPr>
                <w:sz w:val="22"/>
              </w:rPr>
              <w:t>166</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DA040000">
            <w:pPr>
              <w:widowControl w:val="1"/>
              <w:ind w:right="-108"/>
              <w:contextualSpacing w:val="1"/>
              <w:jc w:val="center"/>
              <w:rPr>
                <w:color w:val="000000"/>
                <w:sz w:val="22"/>
              </w:rPr>
            </w:pPr>
            <w:r>
              <w:rPr>
                <w:color w:val="000000"/>
                <w:sz w:val="22"/>
              </w:rPr>
              <w:t>12</w:t>
            </w:r>
          </w:p>
        </w:tc>
        <w:tc>
          <w:tcPr>
            <w:tcW w:type="dxa" w:w="1134"/>
            <w:tcBorders>
              <w:top w:sz="4" w:val="nil"/>
              <w:left w:sz="4" w:val="nil"/>
              <w:bottom w:color="000000" w:sz="4" w:val="single"/>
              <w:right w:color="000000" w:sz="4" w:val="single"/>
            </w:tcBorders>
            <w:shd w:fill="auto" w:val="clear"/>
            <w:vAlign w:val="center"/>
          </w:tcPr>
          <w:p w14:paraId="DB040000">
            <w:pPr>
              <w:widowControl w:val="1"/>
              <w:ind w:right="-108"/>
              <w:contextualSpacing w:val="1"/>
              <w:jc w:val="center"/>
              <w:rPr>
                <w:color w:val="000000"/>
                <w:sz w:val="22"/>
              </w:rPr>
            </w:pPr>
            <w:r>
              <w:rPr>
                <w:color w:val="000000"/>
                <w:sz w:val="22"/>
              </w:rPr>
              <w:t>111-120</w:t>
            </w:r>
          </w:p>
        </w:tc>
        <w:tc>
          <w:tcPr>
            <w:tcW w:type="dxa" w:w="1276"/>
            <w:tcBorders>
              <w:top w:sz="4" w:val="nil"/>
              <w:left w:sz="4" w:val="nil"/>
              <w:bottom w:color="000000" w:sz="4" w:val="single"/>
              <w:right w:color="000000" w:sz="4" w:val="single"/>
            </w:tcBorders>
            <w:shd w:fill="auto" w:val="clear"/>
            <w:vAlign w:val="center"/>
          </w:tcPr>
          <w:p w14:paraId="DC040000">
            <w:pPr>
              <w:widowControl w:val="1"/>
              <w:ind w:right="-108"/>
              <w:contextualSpacing w:val="1"/>
              <w:jc w:val="center"/>
              <w:rPr>
                <w:color w:val="000000"/>
                <w:sz w:val="22"/>
              </w:rPr>
            </w:pPr>
            <w:r>
              <w:rPr>
                <w:color w:val="000000"/>
                <w:sz w:val="22"/>
              </w:rPr>
              <w:t>148</w:t>
            </w:r>
          </w:p>
        </w:tc>
        <w:tc>
          <w:tcPr>
            <w:tcW w:type="dxa" w:w="1276"/>
            <w:tcBorders>
              <w:top w:sz="4" w:val="nil"/>
              <w:left w:sz="4" w:val="nil"/>
              <w:bottom w:color="000000" w:sz="4" w:val="single"/>
              <w:right w:color="000000" w:sz="4" w:val="single"/>
            </w:tcBorders>
            <w:shd w:fill="auto" w:val="clear"/>
            <w:vAlign w:val="center"/>
          </w:tcPr>
          <w:p w14:paraId="DD040000">
            <w:pPr>
              <w:widowControl w:val="1"/>
              <w:ind w:right="-108"/>
              <w:contextualSpacing w:val="1"/>
              <w:jc w:val="center"/>
              <w:rPr>
                <w:color w:val="000000"/>
                <w:sz w:val="22"/>
              </w:rPr>
            </w:pPr>
            <w:r>
              <w:rPr>
                <w:color w:val="000000"/>
                <w:sz w:val="22"/>
              </w:rPr>
              <w:t>148</w:t>
            </w:r>
          </w:p>
        </w:tc>
        <w:tc>
          <w:tcPr>
            <w:tcW w:type="dxa" w:w="1275"/>
            <w:tcBorders>
              <w:top w:sz="4" w:val="nil"/>
              <w:left w:sz="4" w:val="nil"/>
              <w:bottom w:color="000000" w:sz="4" w:val="single"/>
              <w:right w:color="000000" w:sz="4" w:val="single"/>
            </w:tcBorders>
            <w:shd w:fill="auto" w:val="clear"/>
            <w:vAlign w:val="center"/>
          </w:tcPr>
          <w:p w14:paraId="DE040000">
            <w:pPr>
              <w:widowControl w:val="1"/>
              <w:ind w:right="-108"/>
              <w:contextualSpacing w:val="1"/>
              <w:jc w:val="center"/>
              <w:rPr>
                <w:color w:val="000000"/>
                <w:sz w:val="22"/>
              </w:rPr>
            </w:pPr>
            <w:r>
              <w:rPr>
                <w:color w:val="000000"/>
                <w:sz w:val="22"/>
              </w:rPr>
              <w:t>163</w:t>
            </w:r>
          </w:p>
        </w:tc>
        <w:tc>
          <w:tcPr>
            <w:tcW w:type="dxa" w:w="1418"/>
            <w:tcBorders>
              <w:top w:sz="4" w:val="nil"/>
              <w:left w:sz="4" w:val="nil"/>
              <w:bottom w:color="000000" w:sz="4" w:val="single"/>
              <w:right w:color="000000" w:sz="4" w:val="single"/>
            </w:tcBorders>
            <w:shd w:fill="auto" w:val="clear"/>
            <w:vAlign w:val="center"/>
          </w:tcPr>
          <w:p w14:paraId="DF040000">
            <w:pPr>
              <w:widowControl w:val="1"/>
              <w:ind w:right="-108"/>
              <w:contextualSpacing w:val="1"/>
              <w:jc w:val="center"/>
              <w:rPr>
                <w:sz w:val="22"/>
              </w:rPr>
            </w:pPr>
            <w:r>
              <w:rPr>
                <w:sz w:val="22"/>
              </w:rPr>
              <w:t>179</w:t>
            </w:r>
          </w:p>
        </w:tc>
        <w:tc>
          <w:tcPr>
            <w:tcW w:type="dxa" w:w="1276"/>
            <w:tcBorders>
              <w:top w:sz="4" w:val="nil"/>
              <w:left w:sz="4" w:val="nil"/>
              <w:bottom w:color="000000" w:sz="4" w:val="single"/>
              <w:right w:color="000000" w:sz="4" w:val="single"/>
            </w:tcBorders>
            <w:vAlign w:val="center"/>
          </w:tcPr>
          <w:p w14:paraId="E0040000">
            <w:pPr>
              <w:widowControl w:val="1"/>
              <w:ind w:right="-108"/>
              <w:contextualSpacing w:val="1"/>
              <w:jc w:val="center"/>
              <w:rPr>
                <w:sz w:val="22"/>
              </w:rPr>
            </w:pPr>
            <w:r>
              <w:rPr>
                <w:sz w:val="22"/>
              </w:rPr>
              <w:t>179</w:t>
            </w:r>
          </w:p>
        </w:tc>
        <w:tc>
          <w:tcPr>
            <w:tcW w:type="dxa" w:w="1134"/>
            <w:tcBorders>
              <w:top w:color="000000" w:sz="4" w:val="single"/>
              <w:left w:sz="4" w:val="nil"/>
              <w:bottom w:color="000000" w:sz="4" w:val="single"/>
              <w:right w:color="000000" w:sz="4" w:val="single"/>
            </w:tcBorders>
            <w:vAlign w:val="center"/>
          </w:tcPr>
          <w:p w14:paraId="E1040000">
            <w:pPr>
              <w:widowControl w:val="1"/>
              <w:ind w:right="-108"/>
              <w:contextualSpacing w:val="1"/>
              <w:jc w:val="center"/>
              <w:rPr>
                <w:sz w:val="22"/>
              </w:rPr>
            </w:pPr>
            <w:r>
              <w:rPr>
                <w:sz w:val="22"/>
              </w:rPr>
              <w:t>179</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E2040000">
            <w:pPr>
              <w:widowControl w:val="1"/>
              <w:ind w:right="-108"/>
              <w:contextualSpacing w:val="1"/>
              <w:jc w:val="center"/>
              <w:rPr>
                <w:color w:val="000000"/>
                <w:sz w:val="22"/>
              </w:rPr>
            </w:pPr>
            <w:r>
              <w:rPr>
                <w:color w:val="000000"/>
                <w:sz w:val="22"/>
              </w:rPr>
              <w:t>13</w:t>
            </w:r>
          </w:p>
        </w:tc>
        <w:tc>
          <w:tcPr>
            <w:tcW w:type="dxa" w:w="1134"/>
            <w:tcBorders>
              <w:top w:sz="4" w:val="nil"/>
              <w:left w:sz="4" w:val="nil"/>
              <w:bottom w:color="000000" w:sz="4" w:val="single"/>
              <w:right w:color="000000" w:sz="4" w:val="single"/>
            </w:tcBorders>
            <w:shd w:fill="auto" w:val="clear"/>
            <w:vAlign w:val="center"/>
          </w:tcPr>
          <w:p w14:paraId="E3040000">
            <w:pPr>
              <w:widowControl w:val="1"/>
              <w:ind w:right="-108"/>
              <w:contextualSpacing w:val="1"/>
              <w:jc w:val="center"/>
              <w:rPr>
                <w:color w:val="000000"/>
                <w:sz w:val="22"/>
              </w:rPr>
            </w:pPr>
            <w:r>
              <w:rPr>
                <w:color w:val="000000"/>
                <w:sz w:val="22"/>
              </w:rPr>
              <w:t>121-130</w:t>
            </w:r>
          </w:p>
        </w:tc>
        <w:tc>
          <w:tcPr>
            <w:tcW w:type="dxa" w:w="1276"/>
            <w:tcBorders>
              <w:top w:sz="4" w:val="nil"/>
              <w:left w:sz="4" w:val="nil"/>
              <w:bottom w:color="000000" w:sz="4" w:val="single"/>
              <w:right w:color="000000" w:sz="4" w:val="single"/>
            </w:tcBorders>
            <w:shd w:fill="auto" w:val="clear"/>
            <w:vAlign w:val="center"/>
          </w:tcPr>
          <w:p w14:paraId="E4040000">
            <w:pPr>
              <w:widowControl w:val="1"/>
              <w:ind w:right="-108"/>
              <w:contextualSpacing w:val="1"/>
              <w:jc w:val="center"/>
              <w:rPr>
                <w:color w:val="000000"/>
                <w:sz w:val="22"/>
              </w:rPr>
            </w:pPr>
            <w:r>
              <w:rPr>
                <w:color w:val="000000"/>
                <w:sz w:val="22"/>
              </w:rPr>
              <w:t>156</w:t>
            </w:r>
          </w:p>
        </w:tc>
        <w:tc>
          <w:tcPr>
            <w:tcW w:type="dxa" w:w="1276"/>
            <w:tcBorders>
              <w:top w:sz="4" w:val="nil"/>
              <w:left w:sz="4" w:val="nil"/>
              <w:bottom w:color="000000" w:sz="4" w:val="single"/>
              <w:right w:color="000000" w:sz="4" w:val="single"/>
            </w:tcBorders>
            <w:shd w:fill="auto" w:val="clear"/>
            <w:vAlign w:val="center"/>
          </w:tcPr>
          <w:p w14:paraId="E5040000">
            <w:pPr>
              <w:widowControl w:val="1"/>
              <w:ind w:right="-108"/>
              <w:contextualSpacing w:val="1"/>
              <w:jc w:val="center"/>
              <w:rPr>
                <w:color w:val="000000"/>
                <w:sz w:val="22"/>
              </w:rPr>
            </w:pPr>
            <w:r>
              <w:rPr>
                <w:color w:val="000000"/>
                <w:sz w:val="22"/>
              </w:rPr>
              <w:t>156</w:t>
            </w:r>
          </w:p>
        </w:tc>
        <w:tc>
          <w:tcPr>
            <w:tcW w:type="dxa" w:w="1275"/>
            <w:tcBorders>
              <w:top w:sz="4" w:val="nil"/>
              <w:left w:sz="4" w:val="nil"/>
              <w:bottom w:color="000000" w:sz="4" w:val="single"/>
              <w:right w:color="000000" w:sz="4" w:val="single"/>
            </w:tcBorders>
            <w:shd w:fill="auto" w:val="clear"/>
            <w:vAlign w:val="center"/>
          </w:tcPr>
          <w:p w14:paraId="E6040000">
            <w:pPr>
              <w:widowControl w:val="1"/>
              <w:ind w:right="-108"/>
              <w:contextualSpacing w:val="1"/>
              <w:jc w:val="center"/>
              <w:rPr>
                <w:color w:val="000000"/>
                <w:sz w:val="22"/>
              </w:rPr>
            </w:pPr>
            <w:r>
              <w:rPr>
                <w:color w:val="000000"/>
                <w:sz w:val="22"/>
              </w:rPr>
              <w:t>172</w:t>
            </w:r>
          </w:p>
        </w:tc>
        <w:tc>
          <w:tcPr>
            <w:tcW w:type="dxa" w:w="1418"/>
            <w:tcBorders>
              <w:top w:sz="4" w:val="nil"/>
              <w:left w:sz="4" w:val="nil"/>
              <w:bottom w:color="000000" w:sz="4" w:val="single"/>
              <w:right w:color="000000" w:sz="4" w:val="single"/>
            </w:tcBorders>
            <w:shd w:fill="auto" w:val="clear"/>
            <w:vAlign w:val="center"/>
          </w:tcPr>
          <w:p w14:paraId="E7040000">
            <w:pPr>
              <w:widowControl w:val="1"/>
              <w:ind w:right="-108"/>
              <w:contextualSpacing w:val="1"/>
              <w:jc w:val="center"/>
              <w:rPr>
                <w:sz w:val="22"/>
              </w:rPr>
            </w:pPr>
            <w:r>
              <w:rPr>
                <w:sz w:val="22"/>
              </w:rPr>
              <w:t>189</w:t>
            </w:r>
          </w:p>
        </w:tc>
        <w:tc>
          <w:tcPr>
            <w:tcW w:type="dxa" w:w="1276"/>
            <w:tcBorders>
              <w:top w:sz="4" w:val="nil"/>
              <w:left w:sz="4" w:val="nil"/>
              <w:bottom w:color="000000" w:sz="4" w:val="single"/>
              <w:right w:color="000000" w:sz="4" w:val="single"/>
            </w:tcBorders>
            <w:vAlign w:val="center"/>
          </w:tcPr>
          <w:p w14:paraId="E8040000">
            <w:pPr>
              <w:widowControl w:val="1"/>
              <w:ind w:right="-108"/>
              <w:contextualSpacing w:val="1"/>
              <w:jc w:val="center"/>
              <w:rPr>
                <w:sz w:val="22"/>
              </w:rPr>
            </w:pPr>
            <w:r>
              <w:rPr>
                <w:sz w:val="22"/>
              </w:rPr>
              <w:t>189</w:t>
            </w:r>
          </w:p>
        </w:tc>
        <w:tc>
          <w:tcPr>
            <w:tcW w:type="dxa" w:w="1134"/>
            <w:tcBorders>
              <w:top w:color="000000" w:sz="4" w:val="single"/>
              <w:left w:sz="4" w:val="nil"/>
              <w:bottom w:color="000000" w:sz="4" w:val="single"/>
              <w:right w:color="000000" w:sz="4" w:val="single"/>
            </w:tcBorders>
            <w:vAlign w:val="center"/>
          </w:tcPr>
          <w:p w14:paraId="E9040000">
            <w:pPr>
              <w:widowControl w:val="1"/>
              <w:ind w:right="-108"/>
              <w:contextualSpacing w:val="1"/>
              <w:jc w:val="center"/>
              <w:rPr>
                <w:sz w:val="22"/>
              </w:rPr>
            </w:pPr>
            <w:r>
              <w:rPr>
                <w:sz w:val="22"/>
              </w:rPr>
              <w:t>189</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EA040000">
            <w:pPr>
              <w:widowControl w:val="1"/>
              <w:ind w:right="-108"/>
              <w:contextualSpacing w:val="1"/>
              <w:jc w:val="center"/>
              <w:rPr>
                <w:color w:val="000000"/>
                <w:sz w:val="22"/>
              </w:rPr>
            </w:pPr>
            <w:r>
              <w:rPr>
                <w:color w:val="000000"/>
                <w:sz w:val="22"/>
              </w:rPr>
              <w:t>14</w:t>
            </w:r>
          </w:p>
        </w:tc>
        <w:tc>
          <w:tcPr>
            <w:tcW w:type="dxa" w:w="1134"/>
            <w:tcBorders>
              <w:top w:sz="4" w:val="nil"/>
              <w:left w:sz="4" w:val="nil"/>
              <w:bottom w:color="000000" w:sz="4" w:val="single"/>
              <w:right w:color="000000" w:sz="4" w:val="single"/>
            </w:tcBorders>
            <w:shd w:fill="auto" w:val="clear"/>
            <w:vAlign w:val="center"/>
          </w:tcPr>
          <w:p w14:paraId="EB040000">
            <w:pPr>
              <w:widowControl w:val="1"/>
              <w:ind w:right="-108"/>
              <w:contextualSpacing w:val="1"/>
              <w:jc w:val="center"/>
              <w:rPr>
                <w:color w:val="000000"/>
                <w:sz w:val="22"/>
              </w:rPr>
            </w:pPr>
            <w:r>
              <w:rPr>
                <w:color w:val="000000"/>
                <w:sz w:val="22"/>
              </w:rPr>
              <w:t>131-140</w:t>
            </w:r>
          </w:p>
        </w:tc>
        <w:tc>
          <w:tcPr>
            <w:tcW w:type="dxa" w:w="1276"/>
            <w:tcBorders>
              <w:top w:sz="4" w:val="nil"/>
              <w:left w:sz="4" w:val="nil"/>
              <w:bottom w:color="000000" w:sz="4" w:val="single"/>
              <w:right w:color="000000" w:sz="4" w:val="single"/>
            </w:tcBorders>
            <w:shd w:fill="auto" w:val="clear"/>
            <w:vAlign w:val="center"/>
          </w:tcPr>
          <w:p w14:paraId="EC040000">
            <w:pPr>
              <w:widowControl w:val="1"/>
              <w:ind w:right="-108"/>
              <w:contextualSpacing w:val="1"/>
              <w:jc w:val="center"/>
              <w:rPr>
                <w:color w:val="000000"/>
                <w:sz w:val="22"/>
              </w:rPr>
            </w:pPr>
            <w:r>
              <w:rPr>
                <w:color w:val="000000"/>
                <w:sz w:val="22"/>
              </w:rPr>
              <w:t>167</w:t>
            </w:r>
          </w:p>
        </w:tc>
        <w:tc>
          <w:tcPr>
            <w:tcW w:type="dxa" w:w="1276"/>
            <w:tcBorders>
              <w:top w:sz="4" w:val="nil"/>
              <w:left w:sz="4" w:val="nil"/>
              <w:bottom w:color="000000" w:sz="4" w:val="single"/>
              <w:right w:color="000000" w:sz="4" w:val="single"/>
            </w:tcBorders>
            <w:shd w:fill="auto" w:val="clear"/>
            <w:vAlign w:val="center"/>
          </w:tcPr>
          <w:p w14:paraId="ED040000">
            <w:pPr>
              <w:widowControl w:val="1"/>
              <w:ind w:right="-108"/>
              <w:contextualSpacing w:val="1"/>
              <w:jc w:val="center"/>
              <w:rPr>
                <w:color w:val="000000"/>
                <w:sz w:val="22"/>
              </w:rPr>
            </w:pPr>
            <w:r>
              <w:rPr>
                <w:color w:val="000000"/>
                <w:sz w:val="22"/>
              </w:rPr>
              <w:t>167</w:t>
            </w:r>
          </w:p>
        </w:tc>
        <w:tc>
          <w:tcPr>
            <w:tcW w:type="dxa" w:w="1275"/>
            <w:tcBorders>
              <w:top w:sz="4" w:val="nil"/>
              <w:left w:sz="4" w:val="nil"/>
              <w:bottom w:color="000000" w:sz="4" w:val="single"/>
              <w:right w:color="000000" w:sz="4" w:val="single"/>
            </w:tcBorders>
            <w:shd w:fill="auto" w:val="clear"/>
            <w:vAlign w:val="center"/>
          </w:tcPr>
          <w:p w14:paraId="EE040000">
            <w:pPr>
              <w:widowControl w:val="1"/>
              <w:ind w:right="-108"/>
              <w:contextualSpacing w:val="1"/>
              <w:jc w:val="center"/>
              <w:rPr>
                <w:color w:val="000000"/>
                <w:sz w:val="22"/>
              </w:rPr>
            </w:pPr>
            <w:r>
              <w:rPr>
                <w:color w:val="000000"/>
                <w:sz w:val="22"/>
              </w:rPr>
              <w:t>184</w:t>
            </w:r>
          </w:p>
        </w:tc>
        <w:tc>
          <w:tcPr>
            <w:tcW w:type="dxa" w:w="1418"/>
            <w:tcBorders>
              <w:top w:sz="4" w:val="nil"/>
              <w:left w:sz="4" w:val="nil"/>
              <w:bottom w:color="000000" w:sz="4" w:val="single"/>
              <w:right w:color="000000" w:sz="4" w:val="single"/>
            </w:tcBorders>
            <w:shd w:fill="auto" w:val="clear"/>
            <w:vAlign w:val="center"/>
          </w:tcPr>
          <w:p w14:paraId="EF040000">
            <w:pPr>
              <w:widowControl w:val="1"/>
              <w:ind w:right="-108"/>
              <w:contextualSpacing w:val="1"/>
              <w:jc w:val="center"/>
              <w:rPr>
                <w:sz w:val="22"/>
              </w:rPr>
            </w:pPr>
            <w:r>
              <w:rPr>
                <w:sz w:val="22"/>
              </w:rPr>
              <w:t>202</w:t>
            </w:r>
          </w:p>
        </w:tc>
        <w:tc>
          <w:tcPr>
            <w:tcW w:type="dxa" w:w="1276"/>
            <w:tcBorders>
              <w:top w:sz="4" w:val="nil"/>
              <w:left w:sz="4" w:val="nil"/>
              <w:bottom w:color="000000" w:sz="4" w:val="single"/>
              <w:right w:color="000000" w:sz="4" w:val="single"/>
            </w:tcBorders>
            <w:vAlign w:val="center"/>
          </w:tcPr>
          <w:p w14:paraId="F0040000">
            <w:pPr>
              <w:widowControl w:val="1"/>
              <w:ind w:right="-108"/>
              <w:contextualSpacing w:val="1"/>
              <w:jc w:val="center"/>
              <w:rPr>
                <w:sz w:val="22"/>
              </w:rPr>
            </w:pPr>
            <w:r>
              <w:rPr>
                <w:sz w:val="22"/>
              </w:rPr>
              <w:t>202</w:t>
            </w:r>
          </w:p>
        </w:tc>
        <w:tc>
          <w:tcPr>
            <w:tcW w:type="dxa" w:w="1134"/>
            <w:tcBorders>
              <w:top w:color="000000" w:sz="4" w:val="single"/>
              <w:left w:sz="4" w:val="nil"/>
              <w:bottom w:color="000000" w:sz="4" w:val="single"/>
              <w:right w:color="000000" w:sz="4" w:val="single"/>
            </w:tcBorders>
            <w:vAlign w:val="center"/>
          </w:tcPr>
          <w:p w14:paraId="F1040000">
            <w:pPr>
              <w:widowControl w:val="1"/>
              <w:ind w:right="-108"/>
              <w:contextualSpacing w:val="1"/>
              <w:jc w:val="center"/>
              <w:rPr>
                <w:sz w:val="22"/>
              </w:rPr>
            </w:pPr>
            <w:r>
              <w:rPr>
                <w:sz w:val="22"/>
              </w:rPr>
              <w:t>202</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F2040000">
            <w:pPr>
              <w:widowControl w:val="1"/>
              <w:ind w:right="-108"/>
              <w:contextualSpacing w:val="1"/>
              <w:jc w:val="center"/>
              <w:rPr>
                <w:color w:val="000000"/>
                <w:sz w:val="22"/>
              </w:rPr>
            </w:pPr>
            <w:r>
              <w:rPr>
                <w:color w:val="000000"/>
                <w:sz w:val="22"/>
              </w:rPr>
              <w:t>15</w:t>
            </w:r>
          </w:p>
        </w:tc>
        <w:tc>
          <w:tcPr>
            <w:tcW w:type="dxa" w:w="1134"/>
            <w:tcBorders>
              <w:top w:sz="4" w:val="nil"/>
              <w:left w:sz="4" w:val="nil"/>
              <w:bottom w:color="000000" w:sz="4" w:val="single"/>
              <w:right w:color="000000" w:sz="4" w:val="single"/>
            </w:tcBorders>
            <w:shd w:fill="auto" w:val="clear"/>
            <w:vAlign w:val="center"/>
          </w:tcPr>
          <w:p w14:paraId="F3040000">
            <w:pPr>
              <w:widowControl w:val="1"/>
              <w:ind w:right="-108"/>
              <w:contextualSpacing w:val="1"/>
              <w:jc w:val="center"/>
              <w:rPr>
                <w:color w:val="000000"/>
                <w:sz w:val="22"/>
              </w:rPr>
            </w:pPr>
            <w:r>
              <w:rPr>
                <w:color w:val="000000"/>
                <w:sz w:val="22"/>
              </w:rPr>
              <w:t>141-150</w:t>
            </w:r>
          </w:p>
        </w:tc>
        <w:tc>
          <w:tcPr>
            <w:tcW w:type="dxa" w:w="1276"/>
            <w:tcBorders>
              <w:top w:sz="4" w:val="nil"/>
              <w:left w:sz="4" w:val="nil"/>
              <w:bottom w:color="000000" w:sz="4" w:val="single"/>
              <w:right w:color="000000" w:sz="4" w:val="single"/>
            </w:tcBorders>
            <w:shd w:fill="auto" w:val="clear"/>
            <w:vAlign w:val="center"/>
          </w:tcPr>
          <w:p w14:paraId="F4040000">
            <w:pPr>
              <w:widowControl w:val="1"/>
              <w:ind w:right="-108"/>
              <w:contextualSpacing w:val="1"/>
              <w:jc w:val="center"/>
              <w:rPr>
                <w:color w:val="000000"/>
                <w:sz w:val="22"/>
              </w:rPr>
            </w:pPr>
            <w:r>
              <w:rPr>
                <w:color w:val="000000"/>
                <w:sz w:val="22"/>
              </w:rPr>
              <w:t>177</w:t>
            </w:r>
          </w:p>
        </w:tc>
        <w:tc>
          <w:tcPr>
            <w:tcW w:type="dxa" w:w="1276"/>
            <w:tcBorders>
              <w:top w:sz="4" w:val="nil"/>
              <w:left w:sz="4" w:val="nil"/>
              <w:bottom w:color="000000" w:sz="4" w:val="single"/>
              <w:right w:color="000000" w:sz="4" w:val="single"/>
            </w:tcBorders>
            <w:shd w:fill="auto" w:val="clear"/>
            <w:vAlign w:val="center"/>
          </w:tcPr>
          <w:p w14:paraId="F5040000">
            <w:pPr>
              <w:widowControl w:val="1"/>
              <w:ind w:right="-108"/>
              <w:contextualSpacing w:val="1"/>
              <w:jc w:val="center"/>
              <w:rPr>
                <w:color w:val="000000"/>
                <w:sz w:val="22"/>
              </w:rPr>
            </w:pPr>
            <w:r>
              <w:rPr>
                <w:color w:val="000000"/>
                <w:sz w:val="22"/>
              </w:rPr>
              <w:t>177</w:t>
            </w:r>
          </w:p>
        </w:tc>
        <w:tc>
          <w:tcPr>
            <w:tcW w:type="dxa" w:w="1275"/>
            <w:tcBorders>
              <w:top w:sz="4" w:val="nil"/>
              <w:left w:sz="4" w:val="nil"/>
              <w:bottom w:color="000000" w:sz="4" w:val="single"/>
              <w:right w:color="000000" w:sz="4" w:val="single"/>
            </w:tcBorders>
            <w:shd w:fill="auto" w:val="clear"/>
            <w:vAlign w:val="center"/>
          </w:tcPr>
          <w:p w14:paraId="F6040000">
            <w:pPr>
              <w:widowControl w:val="1"/>
              <w:ind w:right="-108"/>
              <w:contextualSpacing w:val="1"/>
              <w:jc w:val="center"/>
              <w:rPr>
                <w:color w:val="000000"/>
                <w:sz w:val="22"/>
              </w:rPr>
            </w:pPr>
            <w:r>
              <w:rPr>
                <w:color w:val="000000"/>
                <w:sz w:val="22"/>
              </w:rPr>
              <w:t>195</w:t>
            </w:r>
          </w:p>
        </w:tc>
        <w:tc>
          <w:tcPr>
            <w:tcW w:type="dxa" w:w="1418"/>
            <w:tcBorders>
              <w:top w:sz="4" w:val="nil"/>
              <w:left w:sz="4" w:val="nil"/>
              <w:bottom w:color="000000" w:sz="4" w:val="single"/>
              <w:right w:color="000000" w:sz="4" w:val="single"/>
            </w:tcBorders>
            <w:shd w:fill="auto" w:val="clear"/>
            <w:vAlign w:val="center"/>
          </w:tcPr>
          <w:p w14:paraId="F7040000">
            <w:pPr>
              <w:widowControl w:val="1"/>
              <w:ind w:right="-108"/>
              <w:contextualSpacing w:val="1"/>
              <w:jc w:val="center"/>
              <w:rPr>
                <w:sz w:val="22"/>
              </w:rPr>
            </w:pPr>
            <w:r>
              <w:rPr>
                <w:sz w:val="22"/>
              </w:rPr>
              <w:t>214</w:t>
            </w:r>
          </w:p>
        </w:tc>
        <w:tc>
          <w:tcPr>
            <w:tcW w:type="dxa" w:w="1276"/>
            <w:tcBorders>
              <w:top w:sz="4" w:val="nil"/>
              <w:left w:sz="4" w:val="nil"/>
              <w:bottom w:color="000000" w:sz="4" w:val="single"/>
              <w:right w:color="000000" w:sz="4" w:val="single"/>
            </w:tcBorders>
            <w:vAlign w:val="center"/>
          </w:tcPr>
          <w:p w14:paraId="F8040000">
            <w:pPr>
              <w:widowControl w:val="1"/>
              <w:ind w:right="-108"/>
              <w:contextualSpacing w:val="1"/>
              <w:jc w:val="center"/>
              <w:rPr>
                <w:sz w:val="22"/>
              </w:rPr>
            </w:pPr>
            <w:r>
              <w:rPr>
                <w:sz w:val="22"/>
              </w:rPr>
              <w:t>214</w:t>
            </w:r>
          </w:p>
        </w:tc>
        <w:tc>
          <w:tcPr>
            <w:tcW w:type="dxa" w:w="1134"/>
            <w:tcBorders>
              <w:top w:color="000000" w:sz="4" w:val="single"/>
              <w:left w:sz="4" w:val="nil"/>
              <w:bottom w:color="000000" w:sz="4" w:val="single"/>
              <w:right w:color="000000" w:sz="4" w:val="single"/>
            </w:tcBorders>
            <w:vAlign w:val="center"/>
          </w:tcPr>
          <w:p w14:paraId="F9040000">
            <w:pPr>
              <w:widowControl w:val="1"/>
              <w:ind w:right="-108"/>
              <w:contextualSpacing w:val="1"/>
              <w:jc w:val="center"/>
              <w:rPr>
                <w:sz w:val="22"/>
              </w:rPr>
            </w:pPr>
            <w:r>
              <w:rPr>
                <w:sz w:val="22"/>
              </w:rPr>
              <w:t>214</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FA040000">
            <w:pPr>
              <w:widowControl w:val="1"/>
              <w:ind w:right="-108"/>
              <w:contextualSpacing w:val="1"/>
              <w:jc w:val="center"/>
              <w:rPr>
                <w:color w:val="000000"/>
                <w:sz w:val="22"/>
              </w:rPr>
            </w:pPr>
            <w:r>
              <w:rPr>
                <w:color w:val="000000"/>
                <w:sz w:val="22"/>
              </w:rPr>
              <w:t>16</w:t>
            </w:r>
          </w:p>
        </w:tc>
        <w:tc>
          <w:tcPr>
            <w:tcW w:type="dxa" w:w="1134"/>
            <w:tcBorders>
              <w:top w:sz="4" w:val="nil"/>
              <w:left w:sz="4" w:val="nil"/>
              <w:bottom w:color="000000" w:sz="4" w:val="single"/>
              <w:right w:color="000000" w:sz="4" w:val="single"/>
            </w:tcBorders>
            <w:shd w:fill="auto" w:val="clear"/>
            <w:vAlign w:val="center"/>
          </w:tcPr>
          <w:p w14:paraId="FB040000">
            <w:pPr>
              <w:widowControl w:val="1"/>
              <w:ind w:right="-108"/>
              <w:contextualSpacing w:val="1"/>
              <w:jc w:val="center"/>
              <w:rPr>
                <w:color w:val="000000"/>
                <w:sz w:val="22"/>
              </w:rPr>
            </w:pPr>
            <w:r>
              <w:rPr>
                <w:color w:val="000000"/>
                <w:sz w:val="22"/>
              </w:rPr>
              <w:t>151-160</w:t>
            </w:r>
          </w:p>
        </w:tc>
        <w:tc>
          <w:tcPr>
            <w:tcW w:type="dxa" w:w="1276"/>
            <w:tcBorders>
              <w:top w:sz="4" w:val="nil"/>
              <w:left w:sz="4" w:val="nil"/>
              <w:bottom w:color="000000" w:sz="4" w:val="single"/>
              <w:right w:color="000000" w:sz="4" w:val="single"/>
            </w:tcBorders>
            <w:shd w:fill="auto" w:val="clear"/>
            <w:vAlign w:val="center"/>
          </w:tcPr>
          <w:p w14:paraId="FC040000">
            <w:pPr>
              <w:widowControl w:val="1"/>
              <w:ind w:right="-108"/>
              <w:contextualSpacing w:val="1"/>
              <w:jc w:val="center"/>
              <w:rPr>
                <w:color w:val="000000"/>
                <w:sz w:val="22"/>
              </w:rPr>
            </w:pPr>
            <w:r>
              <w:rPr>
                <w:color w:val="000000"/>
                <w:sz w:val="22"/>
              </w:rPr>
              <w:t>188</w:t>
            </w:r>
          </w:p>
        </w:tc>
        <w:tc>
          <w:tcPr>
            <w:tcW w:type="dxa" w:w="1276"/>
            <w:tcBorders>
              <w:top w:sz="4" w:val="nil"/>
              <w:left w:sz="4" w:val="nil"/>
              <w:bottom w:color="000000" w:sz="4" w:val="single"/>
              <w:right w:color="000000" w:sz="4" w:val="single"/>
            </w:tcBorders>
            <w:shd w:fill="auto" w:val="clear"/>
            <w:vAlign w:val="center"/>
          </w:tcPr>
          <w:p w14:paraId="FD040000">
            <w:pPr>
              <w:widowControl w:val="1"/>
              <w:ind w:right="-108"/>
              <w:contextualSpacing w:val="1"/>
              <w:jc w:val="center"/>
              <w:rPr>
                <w:color w:val="000000"/>
                <w:sz w:val="22"/>
              </w:rPr>
            </w:pPr>
            <w:r>
              <w:rPr>
                <w:color w:val="000000"/>
                <w:sz w:val="22"/>
              </w:rPr>
              <w:t>188</w:t>
            </w:r>
          </w:p>
        </w:tc>
        <w:tc>
          <w:tcPr>
            <w:tcW w:type="dxa" w:w="1275"/>
            <w:tcBorders>
              <w:top w:sz="4" w:val="nil"/>
              <w:left w:sz="4" w:val="nil"/>
              <w:bottom w:color="000000" w:sz="4" w:val="single"/>
              <w:right w:color="000000" w:sz="4" w:val="single"/>
            </w:tcBorders>
            <w:shd w:fill="auto" w:val="clear"/>
            <w:vAlign w:val="center"/>
          </w:tcPr>
          <w:p w14:paraId="FE040000">
            <w:pPr>
              <w:widowControl w:val="1"/>
              <w:ind w:right="-108"/>
              <w:contextualSpacing w:val="1"/>
              <w:jc w:val="center"/>
              <w:rPr>
                <w:color w:val="000000"/>
                <w:sz w:val="22"/>
              </w:rPr>
            </w:pPr>
            <w:r>
              <w:rPr>
                <w:color w:val="000000"/>
                <w:sz w:val="22"/>
              </w:rPr>
              <w:t>207</w:t>
            </w:r>
          </w:p>
        </w:tc>
        <w:tc>
          <w:tcPr>
            <w:tcW w:type="dxa" w:w="1418"/>
            <w:tcBorders>
              <w:top w:sz="4" w:val="nil"/>
              <w:left w:sz="4" w:val="nil"/>
              <w:bottom w:color="000000" w:sz="4" w:val="single"/>
              <w:right w:color="000000" w:sz="4" w:val="single"/>
            </w:tcBorders>
            <w:shd w:fill="auto" w:val="clear"/>
            <w:vAlign w:val="center"/>
          </w:tcPr>
          <w:p w14:paraId="FF040000">
            <w:pPr>
              <w:widowControl w:val="1"/>
              <w:ind w:right="-108"/>
              <w:contextualSpacing w:val="1"/>
              <w:jc w:val="center"/>
              <w:rPr>
                <w:sz w:val="22"/>
              </w:rPr>
            </w:pPr>
            <w:r>
              <w:rPr>
                <w:sz w:val="22"/>
              </w:rPr>
              <w:t>227</w:t>
            </w:r>
          </w:p>
        </w:tc>
        <w:tc>
          <w:tcPr>
            <w:tcW w:type="dxa" w:w="1276"/>
            <w:tcBorders>
              <w:top w:sz="4" w:val="nil"/>
              <w:left w:sz="4" w:val="nil"/>
              <w:bottom w:color="000000" w:sz="4" w:val="single"/>
              <w:right w:color="000000" w:sz="4" w:val="single"/>
            </w:tcBorders>
            <w:vAlign w:val="center"/>
          </w:tcPr>
          <w:p w14:paraId="00050000">
            <w:pPr>
              <w:widowControl w:val="1"/>
              <w:ind w:right="-108"/>
              <w:contextualSpacing w:val="1"/>
              <w:jc w:val="center"/>
              <w:rPr>
                <w:sz w:val="22"/>
              </w:rPr>
            </w:pPr>
            <w:r>
              <w:rPr>
                <w:sz w:val="22"/>
              </w:rPr>
              <w:t>227</w:t>
            </w:r>
          </w:p>
        </w:tc>
        <w:tc>
          <w:tcPr>
            <w:tcW w:type="dxa" w:w="1134"/>
            <w:tcBorders>
              <w:top w:color="000000" w:sz="4" w:val="single"/>
              <w:left w:sz="4" w:val="nil"/>
              <w:bottom w:color="000000" w:sz="4" w:val="single"/>
              <w:right w:color="000000" w:sz="4" w:val="single"/>
            </w:tcBorders>
            <w:vAlign w:val="center"/>
          </w:tcPr>
          <w:p w14:paraId="01050000">
            <w:pPr>
              <w:widowControl w:val="1"/>
              <w:ind w:right="-108"/>
              <w:contextualSpacing w:val="1"/>
              <w:jc w:val="center"/>
              <w:rPr>
                <w:sz w:val="22"/>
              </w:rPr>
            </w:pPr>
            <w:r>
              <w:rPr>
                <w:sz w:val="22"/>
              </w:rPr>
              <w:t>227</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02050000">
            <w:pPr>
              <w:widowControl w:val="1"/>
              <w:ind w:right="-108"/>
              <w:contextualSpacing w:val="1"/>
              <w:jc w:val="center"/>
              <w:rPr>
                <w:color w:val="000000"/>
                <w:sz w:val="22"/>
              </w:rPr>
            </w:pPr>
            <w:r>
              <w:rPr>
                <w:color w:val="000000"/>
                <w:sz w:val="22"/>
              </w:rPr>
              <w:t>17</w:t>
            </w:r>
          </w:p>
        </w:tc>
        <w:tc>
          <w:tcPr>
            <w:tcW w:type="dxa" w:w="1134"/>
            <w:tcBorders>
              <w:top w:sz="4" w:val="nil"/>
              <w:left w:sz="4" w:val="nil"/>
              <w:bottom w:color="000000" w:sz="4" w:val="single"/>
              <w:right w:color="000000" w:sz="4" w:val="single"/>
            </w:tcBorders>
            <w:shd w:fill="auto" w:val="clear"/>
            <w:vAlign w:val="center"/>
          </w:tcPr>
          <w:p w14:paraId="03050000">
            <w:pPr>
              <w:widowControl w:val="1"/>
              <w:ind w:right="-108"/>
              <w:contextualSpacing w:val="1"/>
              <w:jc w:val="center"/>
              <w:rPr>
                <w:color w:val="000000"/>
                <w:sz w:val="22"/>
              </w:rPr>
            </w:pPr>
            <w:r>
              <w:rPr>
                <w:color w:val="000000"/>
                <w:sz w:val="22"/>
              </w:rPr>
              <w:t>161-170</w:t>
            </w:r>
          </w:p>
        </w:tc>
        <w:tc>
          <w:tcPr>
            <w:tcW w:type="dxa" w:w="1276"/>
            <w:tcBorders>
              <w:top w:sz="4" w:val="nil"/>
              <w:left w:sz="4" w:val="nil"/>
              <w:bottom w:color="000000" w:sz="4" w:val="single"/>
              <w:right w:color="000000" w:sz="4" w:val="single"/>
            </w:tcBorders>
            <w:shd w:fill="auto" w:val="clear"/>
            <w:vAlign w:val="center"/>
          </w:tcPr>
          <w:p w14:paraId="04050000">
            <w:pPr>
              <w:widowControl w:val="1"/>
              <w:ind w:right="-108"/>
              <w:contextualSpacing w:val="1"/>
              <w:jc w:val="center"/>
              <w:rPr>
                <w:color w:val="000000"/>
                <w:sz w:val="22"/>
              </w:rPr>
            </w:pPr>
            <w:r>
              <w:rPr>
                <w:color w:val="000000"/>
                <w:sz w:val="22"/>
              </w:rPr>
              <w:t>195</w:t>
            </w:r>
          </w:p>
        </w:tc>
        <w:tc>
          <w:tcPr>
            <w:tcW w:type="dxa" w:w="1276"/>
            <w:tcBorders>
              <w:top w:sz="4" w:val="nil"/>
              <w:left w:sz="4" w:val="nil"/>
              <w:bottom w:color="000000" w:sz="4" w:val="single"/>
              <w:right w:color="000000" w:sz="4" w:val="single"/>
            </w:tcBorders>
            <w:shd w:fill="auto" w:val="clear"/>
            <w:vAlign w:val="center"/>
          </w:tcPr>
          <w:p w14:paraId="05050000">
            <w:pPr>
              <w:widowControl w:val="1"/>
              <w:ind w:right="-108"/>
              <w:contextualSpacing w:val="1"/>
              <w:jc w:val="center"/>
              <w:rPr>
                <w:color w:val="000000"/>
                <w:sz w:val="22"/>
              </w:rPr>
            </w:pPr>
            <w:r>
              <w:rPr>
                <w:color w:val="000000"/>
                <w:sz w:val="22"/>
              </w:rPr>
              <w:t>195</w:t>
            </w:r>
          </w:p>
        </w:tc>
        <w:tc>
          <w:tcPr>
            <w:tcW w:type="dxa" w:w="1275"/>
            <w:tcBorders>
              <w:top w:sz="4" w:val="nil"/>
              <w:left w:sz="4" w:val="nil"/>
              <w:bottom w:color="000000" w:sz="4" w:val="single"/>
              <w:right w:color="000000" w:sz="4" w:val="single"/>
            </w:tcBorders>
            <w:shd w:fill="auto" w:val="clear"/>
            <w:vAlign w:val="center"/>
          </w:tcPr>
          <w:p w14:paraId="06050000">
            <w:pPr>
              <w:widowControl w:val="1"/>
              <w:ind w:right="-108"/>
              <w:contextualSpacing w:val="1"/>
              <w:jc w:val="center"/>
              <w:rPr>
                <w:color w:val="000000"/>
                <w:sz w:val="22"/>
              </w:rPr>
            </w:pPr>
            <w:r>
              <w:rPr>
                <w:color w:val="000000"/>
                <w:sz w:val="22"/>
              </w:rPr>
              <w:t>215</w:t>
            </w:r>
          </w:p>
        </w:tc>
        <w:tc>
          <w:tcPr>
            <w:tcW w:type="dxa" w:w="1418"/>
            <w:tcBorders>
              <w:top w:sz="4" w:val="nil"/>
              <w:left w:sz="4" w:val="nil"/>
              <w:bottom w:color="000000" w:sz="4" w:val="single"/>
              <w:right w:color="000000" w:sz="4" w:val="single"/>
            </w:tcBorders>
            <w:shd w:fill="auto" w:val="clear"/>
            <w:vAlign w:val="center"/>
          </w:tcPr>
          <w:p w14:paraId="07050000">
            <w:pPr>
              <w:widowControl w:val="1"/>
              <w:ind w:right="-108"/>
              <w:contextualSpacing w:val="1"/>
              <w:jc w:val="center"/>
              <w:rPr>
                <w:sz w:val="22"/>
              </w:rPr>
            </w:pPr>
            <w:r>
              <w:rPr>
                <w:sz w:val="22"/>
              </w:rPr>
              <w:t>236</w:t>
            </w:r>
          </w:p>
        </w:tc>
        <w:tc>
          <w:tcPr>
            <w:tcW w:type="dxa" w:w="1276"/>
            <w:tcBorders>
              <w:top w:sz="4" w:val="nil"/>
              <w:left w:sz="4" w:val="nil"/>
              <w:bottom w:color="000000" w:sz="4" w:val="single"/>
              <w:right w:color="000000" w:sz="4" w:val="single"/>
            </w:tcBorders>
            <w:vAlign w:val="center"/>
          </w:tcPr>
          <w:p w14:paraId="08050000">
            <w:pPr>
              <w:widowControl w:val="1"/>
              <w:ind w:right="-108"/>
              <w:contextualSpacing w:val="1"/>
              <w:jc w:val="center"/>
              <w:rPr>
                <w:sz w:val="22"/>
              </w:rPr>
            </w:pPr>
            <w:r>
              <w:rPr>
                <w:sz w:val="22"/>
              </w:rPr>
              <w:t>236</w:t>
            </w:r>
          </w:p>
        </w:tc>
        <w:tc>
          <w:tcPr>
            <w:tcW w:type="dxa" w:w="1134"/>
            <w:tcBorders>
              <w:top w:color="000000" w:sz="4" w:val="single"/>
              <w:left w:sz="4" w:val="nil"/>
              <w:bottom w:color="000000" w:sz="4" w:val="single"/>
              <w:right w:color="000000" w:sz="4" w:val="single"/>
            </w:tcBorders>
            <w:vAlign w:val="center"/>
          </w:tcPr>
          <w:p w14:paraId="09050000">
            <w:pPr>
              <w:widowControl w:val="1"/>
              <w:ind w:right="-108"/>
              <w:contextualSpacing w:val="1"/>
              <w:jc w:val="center"/>
              <w:rPr>
                <w:sz w:val="22"/>
              </w:rPr>
            </w:pPr>
            <w:r>
              <w:rPr>
                <w:sz w:val="22"/>
              </w:rPr>
              <w:t>236</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0A050000">
            <w:pPr>
              <w:widowControl w:val="1"/>
              <w:ind w:right="-108"/>
              <w:contextualSpacing w:val="1"/>
              <w:jc w:val="center"/>
              <w:rPr>
                <w:color w:val="000000"/>
                <w:sz w:val="22"/>
              </w:rPr>
            </w:pPr>
            <w:r>
              <w:rPr>
                <w:color w:val="000000"/>
                <w:sz w:val="22"/>
              </w:rPr>
              <w:t>18</w:t>
            </w:r>
          </w:p>
        </w:tc>
        <w:tc>
          <w:tcPr>
            <w:tcW w:type="dxa" w:w="1134"/>
            <w:tcBorders>
              <w:top w:sz="4" w:val="nil"/>
              <w:left w:sz="4" w:val="nil"/>
              <w:bottom w:color="000000" w:sz="4" w:val="single"/>
              <w:right w:color="000000" w:sz="4" w:val="single"/>
            </w:tcBorders>
            <w:shd w:fill="auto" w:val="clear"/>
            <w:vAlign w:val="center"/>
          </w:tcPr>
          <w:p w14:paraId="0B050000">
            <w:pPr>
              <w:widowControl w:val="1"/>
              <w:ind w:right="-108"/>
              <w:contextualSpacing w:val="1"/>
              <w:jc w:val="center"/>
              <w:rPr>
                <w:color w:val="000000"/>
                <w:sz w:val="22"/>
              </w:rPr>
            </w:pPr>
            <w:r>
              <w:rPr>
                <w:color w:val="000000"/>
                <w:sz w:val="22"/>
              </w:rPr>
              <w:t>171-180</w:t>
            </w:r>
          </w:p>
        </w:tc>
        <w:tc>
          <w:tcPr>
            <w:tcW w:type="dxa" w:w="1276"/>
            <w:tcBorders>
              <w:top w:sz="4" w:val="nil"/>
              <w:left w:sz="4" w:val="nil"/>
              <w:bottom w:color="000000" w:sz="4" w:val="single"/>
              <w:right w:color="000000" w:sz="4" w:val="single"/>
            </w:tcBorders>
            <w:shd w:fill="auto" w:val="clear"/>
            <w:vAlign w:val="center"/>
          </w:tcPr>
          <w:p w14:paraId="0C050000">
            <w:pPr>
              <w:widowControl w:val="1"/>
              <w:ind w:right="-108"/>
              <w:contextualSpacing w:val="1"/>
              <w:jc w:val="center"/>
              <w:rPr>
                <w:color w:val="000000"/>
                <w:sz w:val="22"/>
              </w:rPr>
            </w:pPr>
            <w:r>
              <w:rPr>
                <w:color w:val="000000"/>
                <w:sz w:val="22"/>
              </w:rPr>
              <w:t>206</w:t>
            </w:r>
          </w:p>
        </w:tc>
        <w:tc>
          <w:tcPr>
            <w:tcW w:type="dxa" w:w="1276"/>
            <w:tcBorders>
              <w:top w:sz="4" w:val="nil"/>
              <w:left w:sz="4" w:val="nil"/>
              <w:bottom w:color="000000" w:sz="4" w:val="single"/>
              <w:right w:color="000000" w:sz="4" w:val="single"/>
            </w:tcBorders>
            <w:shd w:fill="auto" w:val="clear"/>
            <w:vAlign w:val="center"/>
          </w:tcPr>
          <w:p w14:paraId="0D050000">
            <w:pPr>
              <w:widowControl w:val="1"/>
              <w:ind w:right="-108"/>
              <w:contextualSpacing w:val="1"/>
              <w:jc w:val="center"/>
              <w:rPr>
                <w:color w:val="000000"/>
                <w:sz w:val="22"/>
              </w:rPr>
            </w:pPr>
            <w:r>
              <w:rPr>
                <w:color w:val="000000"/>
                <w:sz w:val="22"/>
              </w:rPr>
              <w:t>206</w:t>
            </w:r>
          </w:p>
        </w:tc>
        <w:tc>
          <w:tcPr>
            <w:tcW w:type="dxa" w:w="1275"/>
            <w:tcBorders>
              <w:top w:sz="4" w:val="nil"/>
              <w:left w:sz="4" w:val="nil"/>
              <w:bottom w:color="000000" w:sz="4" w:val="single"/>
              <w:right w:color="000000" w:sz="4" w:val="single"/>
            </w:tcBorders>
            <w:shd w:fill="auto" w:val="clear"/>
            <w:vAlign w:val="center"/>
          </w:tcPr>
          <w:p w14:paraId="0E050000">
            <w:pPr>
              <w:widowControl w:val="1"/>
              <w:ind w:right="-108"/>
              <w:contextualSpacing w:val="1"/>
              <w:jc w:val="center"/>
              <w:rPr>
                <w:color w:val="000000"/>
                <w:sz w:val="22"/>
              </w:rPr>
            </w:pPr>
            <w:r>
              <w:rPr>
                <w:color w:val="000000"/>
                <w:sz w:val="22"/>
              </w:rPr>
              <w:t>227</w:t>
            </w:r>
          </w:p>
        </w:tc>
        <w:tc>
          <w:tcPr>
            <w:tcW w:type="dxa" w:w="1418"/>
            <w:tcBorders>
              <w:top w:sz="4" w:val="nil"/>
              <w:left w:sz="4" w:val="nil"/>
              <w:bottom w:color="000000" w:sz="4" w:val="single"/>
              <w:right w:color="000000" w:sz="4" w:val="single"/>
            </w:tcBorders>
            <w:shd w:fill="auto" w:val="clear"/>
            <w:vAlign w:val="center"/>
          </w:tcPr>
          <w:p w14:paraId="0F050000">
            <w:pPr>
              <w:widowControl w:val="1"/>
              <w:ind w:right="-108"/>
              <w:contextualSpacing w:val="1"/>
              <w:jc w:val="center"/>
              <w:rPr>
                <w:sz w:val="22"/>
              </w:rPr>
            </w:pPr>
            <w:r>
              <w:rPr>
                <w:sz w:val="22"/>
              </w:rPr>
              <w:t>249</w:t>
            </w:r>
          </w:p>
        </w:tc>
        <w:tc>
          <w:tcPr>
            <w:tcW w:type="dxa" w:w="1276"/>
            <w:tcBorders>
              <w:top w:sz="4" w:val="nil"/>
              <w:left w:sz="4" w:val="nil"/>
              <w:bottom w:color="000000" w:sz="4" w:val="single"/>
              <w:right w:color="000000" w:sz="4" w:val="single"/>
            </w:tcBorders>
            <w:vAlign w:val="center"/>
          </w:tcPr>
          <w:p w14:paraId="10050000">
            <w:pPr>
              <w:widowControl w:val="1"/>
              <w:ind w:right="-108"/>
              <w:contextualSpacing w:val="1"/>
              <w:jc w:val="center"/>
              <w:rPr>
                <w:sz w:val="22"/>
              </w:rPr>
            </w:pPr>
            <w:r>
              <w:rPr>
                <w:sz w:val="22"/>
              </w:rPr>
              <w:t>249</w:t>
            </w:r>
          </w:p>
        </w:tc>
        <w:tc>
          <w:tcPr>
            <w:tcW w:type="dxa" w:w="1134"/>
            <w:tcBorders>
              <w:top w:color="000000" w:sz="4" w:val="single"/>
              <w:left w:sz="4" w:val="nil"/>
              <w:bottom w:color="000000" w:sz="4" w:val="single"/>
              <w:right w:color="000000" w:sz="4" w:val="single"/>
            </w:tcBorders>
            <w:vAlign w:val="center"/>
          </w:tcPr>
          <w:p w14:paraId="11050000">
            <w:pPr>
              <w:widowControl w:val="1"/>
              <w:ind w:right="-108"/>
              <w:contextualSpacing w:val="1"/>
              <w:jc w:val="center"/>
              <w:rPr>
                <w:sz w:val="22"/>
              </w:rPr>
            </w:pPr>
            <w:r>
              <w:rPr>
                <w:sz w:val="22"/>
              </w:rPr>
              <w:t>249</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12050000">
            <w:pPr>
              <w:widowControl w:val="1"/>
              <w:ind w:right="-108"/>
              <w:contextualSpacing w:val="1"/>
              <w:jc w:val="center"/>
              <w:rPr>
                <w:color w:val="000000"/>
                <w:sz w:val="22"/>
              </w:rPr>
            </w:pPr>
            <w:r>
              <w:rPr>
                <w:color w:val="000000"/>
                <w:sz w:val="22"/>
              </w:rPr>
              <w:t>19</w:t>
            </w:r>
          </w:p>
        </w:tc>
        <w:tc>
          <w:tcPr>
            <w:tcW w:type="dxa" w:w="1134"/>
            <w:tcBorders>
              <w:top w:sz="4" w:val="nil"/>
              <w:left w:sz="4" w:val="nil"/>
              <w:bottom w:color="000000" w:sz="4" w:val="single"/>
              <w:right w:color="000000" w:sz="4" w:val="single"/>
            </w:tcBorders>
            <w:shd w:fill="auto" w:val="clear"/>
            <w:vAlign w:val="center"/>
          </w:tcPr>
          <w:p w14:paraId="13050000">
            <w:pPr>
              <w:widowControl w:val="1"/>
              <w:ind w:right="-108"/>
              <w:contextualSpacing w:val="1"/>
              <w:jc w:val="center"/>
              <w:rPr>
                <w:color w:val="000000"/>
                <w:sz w:val="22"/>
              </w:rPr>
            </w:pPr>
            <w:r>
              <w:rPr>
                <w:color w:val="000000"/>
                <w:sz w:val="22"/>
              </w:rPr>
              <w:t>181-190</w:t>
            </w:r>
          </w:p>
        </w:tc>
        <w:tc>
          <w:tcPr>
            <w:tcW w:type="dxa" w:w="1276"/>
            <w:tcBorders>
              <w:top w:sz="4" w:val="nil"/>
              <w:left w:sz="4" w:val="nil"/>
              <w:bottom w:color="000000" w:sz="4" w:val="single"/>
              <w:right w:color="000000" w:sz="4" w:val="single"/>
            </w:tcBorders>
            <w:shd w:fill="auto" w:val="clear"/>
            <w:vAlign w:val="center"/>
          </w:tcPr>
          <w:p w14:paraId="14050000">
            <w:pPr>
              <w:widowControl w:val="1"/>
              <w:ind w:right="-108"/>
              <w:contextualSpacing w:val="1"/>
              <w:jc w:val="center"/>
              <w:rPr>
                <w:color w:val="000000"/>
                <w:sz w:val="22"/>
              </w:rPr>
            </w:pPr>
            <w:r>
              <w:rPr>
                <w:color w:val="000000"/>
                <w:sz w:val="22"/>
              </w:rPr>
              <w:t>215</w:t>
            </w:r>
          </w:p>
        </w:tc>
        <w:tc>
          <w:tcPr>
            <w:tcW w:type="dxa" w:w="1276"/>
            <w:tcBorders>
              <w:top w:sz="4" w:val="nil"/>
              <w:left w:sz="4" w:val="nil"/>
              <w:bottom w:color="000000" w:sz="4" w:val="single"/>
              <w:right w:color="000000" w:sz="4" w:val="single"/>
            </w:tcBorders>
            <w:shd w:fill="auto" w:val="clear"/>
            <w:vAlign w:val="center"/>
          </w:tcPr>
          <w:p w14:paraId="15050000">
            <w:pPr>
              <w:widowControl w:val="1"/>
              <w:ind w:right="-108"/>
              <w:contextualSpacing w:val="1"/>
              <w:jc w:val="center"/>
              <w:rPr>
                <w:color w:val="000000"/>
                <w:sz w:val="22"/>
              </w:rPr>
            </w:pPr>
            <w:r>
              <w:rPr>
                <w:color w:val="000000"/>
                <w:sz w:val="22"/>
              </w:rPr>
              <w:t>215</w:t>
            </w:r>
          </w:p>
        </w:tc>
        <w:tc>
          <w:tcPr>
            <w:tcW w:type="dxa" w:w="1275"/>
            <w:tcBorders>
              <w:top w:sz="4" w:val="nil"/>
              <w:left w:sz="4" w:val="nil"/>
              <w:bottom w:color="000000" w:sz="4" w:val="single"/>
              <w:right w:color="000000" w:sz="4" w:val="single"/>
            </w:tcBorders>
            <w:shd w:fill="auto" w:val="clear"/>
            <w:vAlign w:val="center"/>
          </w:tcPr>
          <w:p w14:paraId="16050000">
            <w:pPr>
              <w:widowControl w:val="1"/>
              <w:ind w:right="-108"/>
              <w:contextualSpacing w:val="1"/>
              <w:jc w:val="center"/>
              <w:rPr>
                <w:color w:val="000000"/>
                <w:sz w:val="22"/>
              </w:rPr>
            </w:pPr>
            <w:r>
              <w:rPr>
                <w:color w:val="000000"/>
                <w:sz w:val="22"/>
              </w:rPr>
              <w:t>237</w:t>
            </w:r>
          </w:p>
        </w:tc>
        <w:tc>
          <w:tcPr>
            <w:tcW w:type="dxa" w:w="1418"/>
            <w:tcBorders>
              <w:top w:sz="4" w:val="nil"/>
              <w:left w:sz="4" w:val="nil"/>
              <w:bottom w:color="000000" w:sz="4" w:val="single"/>
              <w:right w:color="000000" w:sz="4" w:val="single"/>
            </w:tcBorders>
            <w:shd w:fill="auto" w:val="clear"/>
            <w:vAlign w:val="center"/>
          </w:tcPr>
          <w:p w14:paraId="17050000">
            <w:pPr>
              <w:widowControl w:val="1"/>
              <w:ind w:right="-108"/>
              <w:contextualSpacing w:val="1"/>
              <w:jc w:val="center"/>
              <w:rPr>
                <w:sz w:val="22"/>
              </w:rPr>
            </w:pPr>
            <w:r>
              <w:rPr>
                <w:sz w:val="22"/>
              </w:rPr>
              <w:t>260</w:t>
            </w:r>
          </w:p>
        </w:tc>
        <w:tc>
          <w:tcPr>
            <w:tcW w:type="dxa" w:w="1276"/>
            <w:tcBorders>
              <w:top w:sz="4" w:val="nil"/>
              <w:left w:sz="4" w:val="nil"/>
              <w:bottom w:color="000000" w:sz="4" w:val="single"/>
              <w:right w:color="000000" w:sz="4" w:val="single"/>
            </w:tcBorders>
            <w:vAlign w:val="center"/>
          </w:tcPr>
          <w:p w14:paraId="18050000">
            <w:pPr>
              <w:widowControl w:val="1"/>
              <w:ind w:right="-108"/>
              <w:contextualSpacing w:val="1"/>
              <w:jc w:val="center"/>
              <w:rPr>
                <w:sz w:val="22"/>
              </w:rPr>
            </w:pPr>
            <w:r>
              <w:rPr>
                <w:sz w:val="22"/>
              </w:rPr>
              <w:t>260</w:t>
            </w:r>
          </w:p>
        </w:tc>
        <w:tc>
          <w:tcPr>
            <w:tcW w:type="dxa" w:w="1134"/>
            <w:tcBorders>
              <w:top w:color="000000" w:sz="4" w:val="single"/>
              <w:left w:sz="4" w:val="nil"/>
              <w:bottom w:color="000000" w:sz="4" w:val="single"/>
              <w:right w:color="000000" w:sz="4" w:val="single"/>
            </w:tcBorders>
            <w:vAlign w:val="center"/>
          </w:tcPr>
          <w:p w14:paraId="19050000">
            <w:pPr>
              <w:widowControl w:val="1"/>
              <w:ind w:right="-108"/>
              <w:contextualSpacing w:val="1"/>
              <w:jc w:val="center"/>
              <w:rPr>
                <w:sz w:val="22"/>
              </w:rPr>
            </w:pPr>
            <w:r>
              <w:rPr>
                <w:sz w:val="22"/>
              </w:rPr>
              <w:t>260</w:t>
            </w:r>
          </w:p>
        </w:tc>
      </w:tr>
      <w:tr>
        <w:trPr>
          <w:trHeight w:hRule="atLeast" w:val="315"/>
        </w:trPr>
        <w:tc>
          <w:tcPr>
            <w:tcW w:type="dxa" w:w="856"/>
            <w:tcBorders>
              <w:top w:sz="4" w:val="nil"/>
              <w:left w:color="000000" w:sz="4" w:val="single"/>
              <w:bottom w:color="000000" w:sz="4" w:val="single"/>
              <w:right w:color="000000" w:sz="4" w:val="single"/>
            </w:tcBorders>
            <w:shd w:fill="auto" w:val="clear"/>
            <w:vAlign w:val="center"/>
          </w:tcPr>
          <w:p w14:paraId="1A050000">
            <w:pPr>
              <w:widowControl w:val="1"/>
              <w:ind w:right="-108"/>
              <w:contextualSpacing w:val="1"/>
              <w:jc w:val="center"/>
              <w:rPr>
                <w:color w:val="000000"/>
                <w:sz w:val="22"/>
              </w:rPr>
            </w:pPr>
            <w:r>
              <w:rPr>
                <w:color w:val="000000"/>
                <w:sz w:val="22"/>
              </w:rPr>
              <w:t>20</w:t>
            </w:r>
          </w:p>
        </w:tc>
        <w:tc>
          <w:tcPr>
            <w:tcW w:type="dxa" w:w="1134"/>
            <w:tcBorders>
              <w:top w:sz="4" w:val="nil"/>
              <w:left w:sz="4" w:val="nil"/>
              <w:bottom w:color="000000" w:sz="4" w:val="single"/>
              <w:right w:color="000000" w:sz="4" w:val="single"/>
            </w:tcBorders>
            <w:shd w:fill="auto" w:val="clear"/>
            <w:vAlign w:val="center"/>
          </w:tcPr>
          <w:p w14:paraId="1B050000">
            <w:pPr>
              <w:widowControl w:val="1"/>
              <w:ind w:right="-108"/>
              <w:contextualSpacing w:val="1"/>
              <w:jc w:val="center"/>
              <w:rPr>
                <w:color w:val="000000"/>
                <w:sz w:val="22"/>
              </w:rPr>
            </w:pPr>
            <w:r>
              <w:rPr>
                <w:color w:val="000000"/>
                <w:sz w:val="22"/>
              </w:rPr>
              <w:t>191-200</w:t>
            </w:r>
          </w:p>
        </w:tc>
        <w:tc>
          <w:tcPr>
            <w:tcW w:type="dxa" w:w="1276"/>
            <w:tcBorders>
              <w:top w:sz="4" w:val="nil"/>
              <w:left w:sz="4" w:val="nil"/>
              <w:bottom w:color="000000" w:sz="4" w:val="single"/>
              <w:right w:color="000000" w:sz="4" w:val="single"/>
            </w:tcBorders>
            <w:shd w:fill="auto" w:val="clear"/>
            <w:vAlign w:val="center"/>
          </w:tcPr>
          <w:p w14:paraId="1C050000">
            <w:pPr>
              <w:widowControl w:val="1"/>
              <w:ind w:right="-108"/>
              <w:contextualSpacing w:val="1"/>
              <w:jc w:val="center"/>
              <w:rPr>
                <w:color w:val="000000"/>
                <w:sz w:val="22"/>
              </w:rPr>
            </w:pPr>
            <w:r>
              <w:rPr>
                <w:color w:val="000000"/>
                <w:sz w:val="22"/>
              </w:rPr>
              <w:t>226</w:t>
            </w:r>
          </w:p>
        </w:tc>
        <w:tc>
          <w:tcPr>
            <w:tcW w:type="dxa" w:w="1276"/>
            <w:tcBorders>
              <w:top w:sz="4" w:val="nil"/>
              <w:left w:sz="4" w:val="nil"/>
              <w:bottom w:color="000000" w:sz="4" w:val="single"/>
              <w:right w:color="000000" w:sz="4" w:val="single"/>
            </w:tcBorders>
            <w:shd w:fill="auto" w:val="clear"/>
            <w:vAlign w:val="center"/>
          </w:tcPr>
          <w:p w14:paraId="1D050000">
            <w:pPr>
              <w:widowControl w:val="1"/>
              <w:ind w:right="-108"/>
              <w:contextualSpacing w:val="1"/>
              <w:jc w:val="center"/>
              <w:rPr>
                <w:color w:val="000000"/>
                <w:sz w:val="22"/>
              </w:rPr>
            </w:pPr>
            <w:r>
              <w:rPr>
                <w:color w:val="000000"/>
                <w:sz w:val="22"/>
              </w:rPr>
              <w:t>226</w:t>
            </w:r>
          </w:p>
        </w:tc>
        <w:tc>
          <w:tcPr>
            <w:tcW w:type="dxa" w:w="1275"/>
            <w:tcBorders>
              <w:top w:sz="4" w:val="nil"/>
              <w:left w:sz="4" w:val="nil"/>
              <w:bottom w:color="000000" w:sz="4" w:val="single"/>
              <w:right w:color="000000" w:sz="4" w:val="single"/>
            </w:tcBorders>
            <w:shd w:fill="auto" w:val="clear"/>
            <w:vAlign w:val="center"/>
          </w:tcPr>
          <w:p w14:paraId="1E050000">
            <w:pPr>
              <w:widowControl w:val="1"/>
              <w:ind w:right="-108"/>
              <w:contextualSpacing w:val="1"/>
              <w:jc w:val="center"/>
              <w:rPr>
                <w:color w:val="000000"/>
                <w:sz w:val="22"/>
              </w:rPr>
            </w:pPr>
            <w:r>
              <w:rPr>
                <w:color w:val="000000"/>
                <w:sz w:val="22"/>
              </w:rPr>
              <w:t>249</w:t>
            </w:r>
          </w:p>
        </w:tc>
        <w:tc>
          <w:tcPr>
            <w:tcW w:type="dxa" w:w="1418"/>
            <w:tcBorders>
              <w:top w:sz="4" w:val="nil"/>
              <w:left w:sz="4" w:val="nil"/>
              <w:bottom w:color="000000" w:sz="4" w:val="single"/>
              <w:right w:color="000000" w:sz="4" w:val="single"/>
            </w:tcBorders>
            <w:shd w:fill="auto" w:val="clear"/>
            <w:vAlign w:val="center"/>
          </w:tcPr>
          <w:p w14:paraId="1F050000">
            <w:pPr>
              <w:widowControl w:val="1"/>
              <w:ind w:right="-108"/>
              <w:contextualSpacing w:val="1"/>
              <w:jc w:val="center"/>
              <w:rPr>
                <w:sz w:val="22"/>
              </w:rPr>
            </w:pPr>
            <w:r>
              <w:rPr>
                <w:sz w:val="22"/>
              </w:rPr>
              <w:t>273</w:t>
            </w:r>
          </w:p>
        </w:tc>
        <w:tc>
          <w:tcPr>
            <w:tcW w:type="dxa" w:w="1276"/>
            <w:tcBorders>
              <w:top w:sz="4" w:val="nil"/>
              <w:left w:sz="4" w:val="nil"/>
              <w:bottom w:color="000000" w:sz="4" w:val="single"/>
              <w:right w:color="000000" w:sz="4" w:val="single"/>
            </w:tcBorders>
            <w:vAlign w:val="center"/>
          </w:tcPr>
          <w:p w14:paraId="20050000">
            <w:pPr>
              <w:widowControl w:val="1"/>
              <w:ind w:right="-108"/>
              <w:contextualSpacing w:val="1"/>
              <w:jc w:val="center"/>
              <w:rPr>
                <w:sz w:val="22"/>
              </w:rPr>
            </w:pPr>
            <w:r>
              <w:rPr>
                <w:sz w:val="22"/>
              </w:rPr>
              <w:t>273</w:t>
            </w:r>
          </w:p>
        </w:tc>
        <w:tc>
          <w:tcPr>
            <w:tcW w:type="dxa" w:w="1134"/>
            <w:tcBorders>
              <w:top w:color="000000" w:sz="4" w:val="single"/>
              <w:left w:sz="4" w:val="nil"/>
              <w:bottom w:color="000000" w:sz="4" w:val="single"/>
              <w:right w:color="000000" w:sz="4" w:val="single"/>
            </w:tcBorders>
            <w:vAlign w:val="center"/>
          </w:tcPr>
          <w:p w14:paraId="21050000">
            <w:pPr>
              <w:widowControl w:val="1"/>
              <w:ind w:right="-108"/>
              <w:contextualSpacing w:val="1"/>
              <w:jc w:val="center"/>
              <w:rPr>
                <w:sz w:val="22"/>
              </w:rPr>
            </w:pPr>
            <w:r>
              <w:rPr>
                <w:sz w:val="22"/>
              </w:rPr>
              <w:t>273</w:t>
            </w:r>
          </w:p>
        </w:tc>
      </w:tr>
    </w:tbl>
    <w:p w14:paraId="22050000">
      <w:pPr>
        <w:pStyle w:val="Style_11"/>
        <w:widowControl w:val="1"/>
        <w:spacing w:line="360" w:lineRule="auto"/>
        <w:ind w:firstLine="709" w:left="0"/>
        <w:contextualSpacing w:val="1"/>
        <w:jc w:val="right"/>
        <w:rPr>
          <w:sz w:val="24"/>
        </w:rPr>
      </w:pPr>
    </w:p>
    <w:p w14:paraId="23050000">
      <w:pPr>
        <w:pStyle w:val="Style_11"/>
        <w:widowControl w:val="1"/>
        <w:spacing w:line="360" w:lineRule="auto"/>
        <w:ind w:firstLine="709" w:left="0"/>
        <w:contextualSpacing w:val="1"/>
        <w:jc w:val="right"/>
        <w:rPr>
          <w:sz w:val="24"/>
        </w:rPr>
      </w:pPr>
      <w:r>
        <w:rPr>
          <w:sz w:val="24"/>
        </w:rPr>
        <w:t>Диаграмма 5.2</w:t>
      </w:r>
    </w:p>
    <w:p w14:paraId="24050000">
      <w:pPr>
        <w:pStyle w:val="Style_11"/>
        <w:widowControl w:val="1"/>
        <w:spacing w:line="360" w:lineRule="auto"/>
        <w:ind w:left="0"/>
        <w:contextualSpacing w:val="1"/>
        <w:jc w:val="right"/>
        <w:rPr>
          <w:sz w:val="24"/>
        </w:rPr>
      </w:pPr>
      <w:r>
        <w:rPr>
          <w:sz w:val="24"/>
        </w:rPr>
        <w:drawing>
          <wp:inline>
            <wp:extent cx="6021578" cy="1995804"/>
            <wp:docPr hidden="false" id="11" name="Picture 11"/>
            <a:graphic>
              <a:graphicData uri="http://schemas.openxmlformats.org/drawingml/2006/picture">
                <pic:pic>
                  <pic:nvPicPr>
                    <pic:cNvPr hidden="false" id="12" name="Picture 12"/>
                    <pic:cNvPicPr preferRelativeResize="true"/>
                  </pic:nvPicPr>
                  <pic:blipFill>
                    <a:blip r:embed="rId28"/>
                    <a:srcRect b="0" l="0" r="0" t="0"/>
                    <a:stretch/>
                  </pic:blipFill>
                  <pic:spPr>
                    <a:xfrm flipH="false" flipV="false" rot="0">
                      <a:ext cx="6021578" cy="1995804"/>
                    </a:xfrm>
                    <a:prstGeom prst="rect"/>
                  </pic:spPr>
                </pic:pic>
              </a:graphicData>
            </a:graphic>
          </wp:inline>
        </w:drawing>
      </w:r>
    </w:p>
    <w:p w14:paraId="25050000">
      <w:pPr>
        <w:widowControl w:val="1"/>
        <w:spacing w:line="360" w:lineRule="auto"/>
        <w:ind w:firstLine="709"/>
        <w:contextualSpacing w:val="1"/>
        <w:jc w:val="both"/>
      </w:pPr>
      <w:r>
        <w:t>-</w:t>
      </w:r>
      <w:r>
        <w:rPr>
          <w:b w:val="1"/>
        </w:rPr>
        <w:t>Постановлени</w:t>
      </w:r>
      <w:r>
        <w:rPr>
          <w:b w:val="1"/>
        </w:rPr>
        <w:t>е</w:t>
      </w:r>
      <w:r>
        <w:rPr>
          <w:b w:val="1"/>
        </w:rPr>
        <w:t xml:space="preserve"> Правительства Республики Хакасия</w:t>
      </w:r>
      <w:r>
        <w:rPr>
          <w:b w:val="1"/>
        </w:rPr>
        <w:t xml:space="preserve"> </w:t>
      </w:r>
      <w:r>
        <w:t>С 1 января 2017 года  №650 от 29.12.2016г. установлены  тарифы:</w:t>
      </w:r>
    </w:p>
    <w:p w14:paraId="26050000">
      <w:pPr>
        <w:widowControl w:val="1"/>
        <w:spacing w:line="360" w:lineRule="auto"/>
        <w:ind w:firstLine="709"/>
        <w:contextualSpacing w:val="1"/>
        <w:jc w:val="both"/>
      </w:pPr>
      <w:r>
        <w:t>-  для населения в электропоездах, составностью 4 и более вагонов 1 зона  -</w:t>
      </w:r>
      <w:r>
        <w:t xml:space="preserve"> </w:t>
      </w:r>
      <w:r>
        <w:t xml:space="preserve">17 рублей, </w:t>
      </w:r>
    </w:p>
    <w:p w14:paraId="27050000">
      <w:pPr>
        <w:widowControl w:val="1"/>
        <w:spacing w:line="360" w:lineRule="auto"/>
        <w:ind w:firstLine="709"/>
        <w:contextualSpacing w:val="1"/>
        <w:jc w:val="both"/>
      </w:pPr>
      <w:r>
        <w:t>- для населения в подвижном составе, составностью менее четырех вагонов (вагон на локомотивной тяге)  1 зона -54 рубля;</w:t>
      </w:r>
    </w:p>
    <w:p w14:paraId="28050000">
      <w:pPr>
        <w:widowControl w:val="1"/>
        <w:spacing w:line="360" w:lineRule="auto"/>
        <w:ind w:firstLine="709"/>
        <w:contextualSpacing w:val="1"/>
        <w:jc w:val="both"/>
      </w:pPr>
      <w:r>
        <w:t>-тарифы на экономически обоснованном уровне: в электропоездах составностью 4 и более вагонов 1 зона - 44 рубля,  составностью менее 4 вагонов  (вагоны на локомотивной тяге) 1 зона - 478 рубля.</w:t>
      </w:r>
    </w:p>
    <w:p w14:paraId="29050000">
      <w:pPr>
        <w:widowControl w:val="1"/>
        <w:spacing w:line="360" w:lineRule="auto"/>
        <w:ind w:firstLine="709"/>
        <w:contextualSpacing w:val="1"/>
        <w:jc w:val="both"/>
      </w:pPr>
      <w:r>
        <w:t>Действие тарифов распространяется на 2017-2018 годы.</w:t>
      </w:r>
    </w:p>
    <w:p w14:paraId="2A050000">
      <w:pPr>
        <w:widowControl w:val="1"/>
        <w:ind w:firstLine="709"/>
        <w:contextualSpacing w:val="1"/>
        <w:jc w:val="right"/>
      </w:pPr>
      <w:r>
        <w:t>Таблица 5.3.</w:t>
      </w:r>
    </w:p>
    <w:p w14:paraId="2B050000">
      <w:pPr>
        <w:widowControl w:val="1"/>
        <w:ind w:firstLine="709"/>
        <w:contextualSpacing w:val="1"/>
        <w:jc w:val="right"/>
      </w:pPr>
    </w:p>
    <w:p w14:paraId="2C050000">
      <w:pPr>
        <w:pStyle w:val="Style_11"/>
        <w:widowControl w:val="1"/>
        <w:spacing w:line="360" w:lineRule="auto"/>
        <w:ind w:firstLine="709" w:left="0"/>
        <w:contextualSpacing w:val="1"/>
        <w:jc w:val="center"/>
        <w:rPr>
          <w:sz w:val="24"/>
        </w:rPr>
      </w:pPr>
      <w:r>
        <w:rPr>
          <w:sz w:val="24"/>
        </w:rPr>
        <w:t>Динамика тарифов на пригородные пассажирские перевозк</w:t>
      </w:r>
      <w:r>
        <w:rPr>
          <w:sz w:val="24"/>
        </w:rPr>
        <w:t>и  по Республике Хакасия за 201</w:t>
      </w:r>
      <w:r>
        <w:rPr>
          <w:sz w:val="24"/>
        </w:rPr>
        <w:t>3</w:t>
      </w:r>
      <w:r>
        <w:rPr>
          <w:sz w:val="24"/>
        </w:rPr>
        <w:t>-</w:t>
      </w:r>
      <w:r>
        <w:rPr>
          <w:sz w:val="24"/>
        </w:rPr>
        <w:t>201</w:t>
      </w:r>
      <w:r>
        <w:rPr>
          <w:sz w:val="24"/>
        </w:rPr>
        <w:t>8</w:t>
      </w:r>
      <w:r>
        <w:rPr>
          <w:sz w:val="24"/>
        </w:rPr>
        <w:t xml:space="preserve"> (</w:t>
      </w:r>
      <w:r>
        <w:rPr>
          <w:sz w:val="24"/>
          <w:u w:val="single"/>
        </w:rPr>
        <w:t>электропоезда</w:t>
      </w:r>
      <w:r>
        <w:rPr>
          <w:sz w:val="24"/>
        </w:rPr>
        <w:t>, составностью от 4 вагонов)</w:t>
      </w:r>
    </w:p>
    <w:tbl>
      <w:tblPr>
        <w:tblStyle w:val="Style_4"/>
        <w:tblW w:type="auto" w:w="0"/>
        <w:tblInd w:type="dxa" w:w="103"/>
        <w:tblLayout w:type="fixed"/>
      </w:tblPr>
      <w:tblGrid>
        <w:gridCol w:w="714"/>
        <w:gridCol w:w="1134"/>
        <w:gridCol w:w="1276"/>
        <w:gridCol w:w="1276"/>
        <w:gridCol w:w="1275"/>
        <w:gridCol w:w="1559"/>
        <w:gridCol w:w="1135"/>
        <w:gridCol w:w="1134"/>
      </w:tblGrid>
      <w:tr>
        <w:trPr>
          <w:trHeight w:hRule="atLeast" w:val="836"/>
          <w:tblHeader/>
        </w:trPr>
        <w:tc>
          <w:tcPr>
            <w:tcW w:type="dxa" w:w="714"/>
            <w:tcBorders>
              <w:top w:color="000000" w:sz="4" w:val="single"/>
              <w:left w:color="000000" w:sz="4" w:val="single"/>
              <w:bottom w:color="000000" w:sz="4" w:val="single"/>
              <w:right w:color="000000" w:sz="4" w:val="single"/>
            </w:tcBorders>
            <w:shd w:fill="auto" w:val="clear"/>
            <w:vAlign w:val="center"/>
          </w:tcPr>
          <w:p w14:paraId="2D050000">
            <w:pPr>
              <w:widowControl w:val="1"/>
              <w:ind w:firstLine="709" w:left="-812" w:right="-108"/>
              <w:contextualSpacing w:val="1"/>
              <w:jc w:val="center"/>
              <w:rPr>
                <w:color w:val="000000"/>
                <w:sz w:val="22"/>
              </w:rPr>
            </w:pPr>
            <w:r>
              <w:rPr>
                <w:color w:val="000000"/>
                <w:sz w:val="22"/>
              </w:rPr>
              <w:t>Зона</w:t>
            </w:r>
          </w:p>
        </w:tc>
        <w:tc>
          <w:tcPr>
            <w:tcW w:type="dxa" w:w="1134"/>
            <w:tcBorders>
              <w:top w:color="000000" w:sz="4" w:val="single"/>
              <w:left w:color="000000" w:sz="4" w:val="single"/>
              <w:bottom w:color="000000" w:sz="4" w:val="single"/>
              <w:right w:color="000000" w:sz="4" w:val="single"/>
            </w:tcBorders>
            <w:shd w:fill="auto" w:val="clear"/>
            <w:vAlign w:val="center"/>
          </w:tcPr>
          <w:p w14:paraId="2E050000">
            <w:pPr>
              <w:widowControl w:val="1"/>
              <w:ind/>
              <w:contextualSpacing w:val="1"/>
              <w:jc w:val="center"/>
              <w:rPr>
                <w:color w:val="000000"/>
                <w:sz w:val="22"/>
              </w:rPr>
            </w:pPr>
            <w:r>
              <w:rPr>
                <w:color w:val="000000"/>
                <w:sz w:val="22"/>
              </w:rPr>
              <w:t>Расстояние</w:t>
            </w:r>
          </w:p>
        </w:tc>
        <w:tc>
          <w:tcPr>
            <w:tcW w:type="dxa" w:w="1276"/>
            <w:tcBorders>
              <w:top w:color="000000" w:sz="4" w:val="single"/>
              <w:left w:color="000000" w:sz="4" w:val="single"/>
              <w:bottom w:color="000000" w:sz="4" w:val="single"/>
              <w:right w:color="000000" w:sz="4" w:val="single"/>
            </w:tcBorders>
            <w:shd w:fill="auto" w:val="clear"/>
            <w:vAlign w:val="center"/>
          </w:tcPr>
          <w:p w14:paraId="2F050000">
            <w:pPr>
              <w:widowControl w:val="1"/>
              <w:ind/>
              <w:contextualSpacing w:val="1"/>
              <w:jc w:val="center"/>
              <w:rPr>
                <w:color w:val="000000"/>
                <w:sz w:val="22"/>
              </w:rPr>
            </w:pPr>
            <w:r>
              <w:rPr>
                <w:color w:val="000000"/>
                <w:sz w:val="22"/>
              </w:rPr>
              <w:t>2013г.  (с 01.01.2013г</w:t>
            </w:r>
            <w:r>
              <w:rPr>
                <w:color w:val="000000"/>
                <w:sz w:val="22"/>
              </w:rPr>
              <w:t>.)</w:t>
            </w:r>
          </w:p>
        </w:tc>
        <w:tc>
          <w:tcPr>
            <w:tcW w:type="dxa" w:w="1276"/>
            <w:tcBorders>
              <w:top w:color="000000" w:sz="4" w:val="single"/>
              <w:left w:color="000000" w:sz="4" w:val="single"/>
              <w:bottom w:color="000000" w:sz="4" w:val="single"/>
              <w:right w:color="000000" w:sz="4" w:val="single"/>
            </w:tcBorders>
            <w:shd w:fill="auto" w:val="clear"/>
            <w:vAlign w:val="center"/>
          </w:tcPr>
          <w:p w14:paraId="30050000">
            <w:pPr>
              <w:widowControl w:val="1"/>
              <w:ind/>
              <w:contextualSpacing w:val="1"/>
              <w:jc w:val="center"/>
              <w:rPr>
                <w:color w:val="000000"/>
                <w:sz w:val="22"/>
              </w:rPr>
            </w:pPr>
            <w:r>
              <w:rPr>
                <w:color w:val="000000"/>
                <w:sz w:val="22"/>
              </w:rPr>
              <w:t>2014г.  (с 15.02.2014г.)</w:t>
            </w:r>
          </w:p>
        </w:tc>
        <w:tc>
          <w:tcPr>
            <w:tcW w:type="dxa" w:w="1275"/>
            <w:tcBorders>
              <w:top w:color="000000" w:sz="4" w:val="single"/>
              <w:left w:sz="4" w:val="nil"/>
              <w:bottom w:color="000000" w:sz="4" w:val="single"/>
              <w:right w:color="000000" w:sz="4" w:val="single"/>
            </w:tcBorders>
            <w:shd w:fill="auto" w:val="clear"/>
            <w:vAlign w:val="center"/>
          </w:tcPr>
          <w:p w14:paraId="31050000">
            <w:pPr>
              <w:widowControl w:val="1"/>
              <w:ind/>
              <w:contextualSpacing w:val="1"/>
              <w:jc w:val="center"/>
              <w:rPr>
                <w:color w:val="000000"/>
                <w:sz w:val="22"/>
              </w:rPr>
            </w:pPr>
            <w:r>
              <w:rPr>
                <w:color w:val="000000"/>
                <w:sz w:val="22"/>
              </w:rPr>
              <w:t>2015 г.</w:t>
            </w:r>
          </w:p>
        </w:tc>
        <w:tc>
          <w:tcPr>
            <w:tcW w:type="dxa" w:w="1559"/>
            <w:tcBorders>
              <w:top w:color="000000" w:sz="4" w:val="single"/>
              <w:left w:color="000000" w:sz="4" w:val="single"/>
              <w:bottom w:color="000000" w:sz="4" w:val="single"/>
              <w:right w:color="000000" w:sz="4" w:val="single"/>
            </w:tcBorders>
            <w:shd w:fill="auto" w:val="clear"/>
            <w:vAlign w:val="center"/>
          </w:tcPr>
          <w:p w14:paraId="32050000">
            <w:pPr>
              <w:widowControl w:val="1"/>
              <w:ind/>
              <w:contextualSpacing w:val="1"/>
              <w:jc w:val="center"/>
              <w:rPr>
                <w:color w:val="000000"/>
                <w:sz w:val="22"/>
              </w:rPr>
            </w:pPr>
            <w:r>
              <w:rPr>
                <w:color w:val="000000"/>
                <w:sz w:val="22"/>
              </w:rPr>
              <w:t>2016 г. (с 01.01.2016)</w:t>
            </w:r>
          </w:p>
        </w:tc>
        <w:tc>
          <w:tcPr>
            <w:tcW w:type="dxa" w:w="1135"/>
            <w:tcBorders>
              <w:top w:color="000000" w:sz="4" w:val="single"/>
              <w:left w:color="000000" w:sz="4" w:val="single"/>
              <w:bottom w:color="000000" w:sz="4" w:val="single"/>
              <w:right w:color="000000" w:sz="4" w:val="single"/>
            </w:tcBorders>
            <w:vAlign w:val="center"/>
          </w:tcPr>
          <w:p w14:paraId="33050000">
            <w:pPr>
              <w:widowControl w:val="1"/>
              <w:ind/>
              <w:contextualSpacing w:val="1"/>
              <w:jc w:val="center"/>
              <w:rPr>
                <w:color w:val="000000"/>
                <w:sz w:val="22"/>
              </w:rPr>
            </w:pPr>
            <w:r>
              <w:rPr>
                <w:color w:val="000000"/>
                <w:sz w:val="22"/>
              </w:rPr>
              <w:t>2017 г. (с 01.01.2017)</w:t>
            </w:r>
          </w:p>
        </w:tc>
        <w:tc>
          <w:tcPr>
            <w:tcW w:type="dxa" w:w="1134"/>
            <w:tcBorders>
              <w:top w:color="000000" w:sz="4" w:val="single"/>
              <w:left w:color="000000" w:sz="4" w:val="single"/>
              <w:bottom w:color="000000" w:sz="4" w:val="single"/>
              <w:right w:color="000000" w:sz="4" w:val="single"/>
            </w:tcBorders>
            <w:vAlign w:val="center"/>
          </w:tcPr>
          <w:p w14:paraId="34050000">
            <w:pPr>
              <w:widowControl w:val="1"/>
              <w:ind/>
              <w:contextualSpacing w:val="1"/>
              <w:jc w:val="center"/>
              <w:rPr>
                <w:color w:val="000000"/>
                <w:sz w:val="22"/>
              </w:rPr>
            </w:pPr>
            <w:r>
              <w:rPr>
                <w:color w:val="000000"/>
                <w:sz w:val="22"/>
              </w:rPr>
              <w:t>2018 г.</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35050000">
            <w:pPr>
              <w:widowControl w:val="1"/>
              <w:ind w:firstLine="709" w:left="-688" w:right="-119"/>
              <w:contextualSpacing w:val="1"/>
              <w:jc w:val="center"/>
              <w:rPr>
                <w:color w:val="000000"/>
                <w:sz w:val="22"/>
              </w:rPr>
            </w:pPr>
            <w:r>
              <w:rPr>
                <w:color w:val="000000"/>
                <w:sz w:val="22"/>
              </w:rPr>
              <w:t>1</w:t>
            </w:r>
          </w:p>
        </w:tc>
        <w:tc>
          <w:tcPr>
            <w:tcW w:type="dxa" w:w="1134"/>
            <w:tcBorders>
              <w:top w:sz="4" w:val="nil"/>
              <w:left w:sz="4" w:val="nil"/>
              <w:bottom w:color="000000" w:sz="4" w:val="single"/>
              <w:right w:color="000000" w:sz="4" w:val="single"/>
            </w:tcBorders>
            <w:shd w:fill="auto" w:val="clear"/>
            <w:vAlign w:val="center"/>
          </w:tcPr>
          <w:p w14:paraId="36050000">
            <w:pPr>
              <w:widowControl w:val="1"/>
              <w:ind w:firstLine="34" w:right="-108"/>
              <w:contextualSpacing w:val="1"/>
              <w:jc w:val="center"/>
              <w:rPr>
                <w:color w:val="000000"/>
                <w:sz w:val="22"/>
              </w:rPr>
            </w:pPr>
            <w:r>
              <w:rPr>
                <w:color w:val="000000"/>
                <w:sz w:val="22"/>
              </w:rPr>
              <w:t>0-10</w:t>
            </w:r>
          </w:p>
        </w:tc>
        <w:tc>
          <w:tcPr>
            <w:tcW w:type="dxa" w:w="1276"/>
            <w:tcBorders>
              <w:top w:sz="4" w:val="nil"/>
              <w:left w:sz="4" w:val="nil"/>
              <w:bottom w:color="000000" w:sz="4" w:val="single"/>
              <w:right w:color="000000" w:sz="4" w:val="single"/>
            </w:tcBorders>
            <w:shd w:fill="auto" w:val="clear"/>
            <w:vAlign w:val="center"/>
          </w:tcPr>
          <w:p w14:paraId="37050000">
            <w:pPr>
              <w:widowControl w:val="1"/>
              <w:ind w:firstLine="34" w:right="-108"/>
              <w:contextualSpacing w:val="1"/>
              <w:jc w:val="center"/>
              <w:rPr>
                <w:color w:val="000000"/>
                <w:sz w:val="22"/>
              </w:rPr>
            </w:pPr>
            <w:r>
              <w:rPr>
                <w:color w:val="000000"/>
                <w:sz w:val="22"/>
              </w:rPr>
              <w:t>14</w:t>
            </w:r>
          </w:p>
        </w:tc>
        <w:tc>
          <w:tcPr>
            <w:tcW w:type="dxa" w:w="1276"/>
            <w:tcBorders>
              <w:top w:color="000000" w:sz="4" w:val="single"/>
              <w:left w:sz="4" w:val="nil"/>
              <w:bottom w:color="000000" w:sz="4" w:val="single"/>
              <w:right w:color="000000" w:sz="4" w:val="single"/>
            </w:tcBorders>
            <w:shd w:fill="auto" w:val="clear"/>
            <w:vAlign w:val="center"/>
          </w:tcPr>
          <w:p w14:paraId="38050000">
            <w:pPr>
              <w:widowControl w:val="1"/>
              <w:ind w:firstLine="34" w:right="-108"/>
              <w:contextualSpacing w:val="1"/>
              <w:jc w:val="center"/>
              <w:rPr>
                <w:color w:val="000000"/>
                <w:sz w:val="22"/>
              </w:rPr>
            </w:pPr>
            <w:r>
              <w:rPr>
                <w:color w:val="000000"/>
                <w:sz w:val="22"/>
              </w:rPr>
              <w:t>15</w:t>
            </w:r>
          </w:p>
        </w:tc>
        <w:tc>
          <w:tcPr>
            <w:tcW w:type="dxa" w:w="1275"/>
            <w:tcBorders>
              <w:top w:color="000000" w:sz="4" w:val="single"/>
              <w:left w:sz="4" w:val="nil"/>
              <w:bottom w:color="000000" w:sz="4" w:val="single"/>
              <w:right w:color="000000" w:sz="4" w:val="single"/>
            </w:tcBorders>
            <w:shd w:fill="auto" w:val="clear"/>
            <w:vAlign w:val="center"/>
          </w:tcPr>
          <w:p w14:paraId="39050000">
            <w:pPr>
              <w:widowControl w:val="1"/>
              <w:ind w:firstLine="34" w:right="-108"/>
              <w:contextualSpacing w:val="1"/>
              <w:jc w:val="center"/>
              <w:rPr>
                <w:color w:val="000000"/>
                <w:sz w:val="22"/>
              </w:rPr>
            </w:pPr>
            <w:r>
              <w:rPr>
                <w:color w:val="000000"/>
                <w:sz w:val="22"/>
              </w:rPr>
              <w:t>15</w:t>
            </w:r>
          </w:p>
        </w:tc>
        <w:tc>
          <w:tcPr>
            <w:tcW w:type="dxa" w:w="1559"/>
            <w:tcBorders>
              <w:top w:color="000000" w:sz="4" w:val="single"/>
              <w:left w:sz="4" w:val="nil"/>
              <w:bottom w:color="000000" w:sz="4" w:val="single"/>
              <w:right w:color="000000" w:sz="4" w:val="single"/>
            </w:tcBorders>
            <w:shd w:fill="auto" w:val="clear"/>
            <w:vAlign w:val="center"/>
          </w:tcPr>
          <w:p w14:paraId="3A050000">
            <w:pPr>
              <w:widowControl w:val="1"/>
              <w:ind w:firstLine="34" w:right="-108"/>
              <w:contextualSpacing w:val="1"/>
              <w:jc w:val="center"/>
              <w:rPr>
                <w:sz w:val="22"/>
              </w:rPr>
            </w:pPr>
            <w:r>
              <w:rPr>
                <w:sz w:val="22"/>
              </w:rPr>
              <w:t>16</w:t>
            </w:r>
          </w:p>
        </w:tc>
        <w:tc>
          <w:tcPr>
            <w:tcW w:type="dxa" w:w="1135"/>
            <w:tcBorders>
              <w:top w:color="000000" w:sz="4" w:val="single"/>
              <w:left w:sz="4" w:val="nil"/>
              <w:bottom w:color="000000" w:sz="4" w:val="single"/>
              <w:right w:color="000000" w:sz="4" w:val="single"/>
            </w:tcBorders>
            <w:vAlign w:val="center"/>
          </w:tcPr>
          <w:p w14:paraId="3B050000">
            <w:pPr>
              <w:widowControl w:val="1"/>
              <w:ind w:firstLine="34" w:right="-108"/>
              <w:contextualSpacing w:val="1"/>
              <w:jc w:val="center"/>
              <w:rPr>
                <w:color w:val="000000"/>
                <w:sz w:val="22"/>
              </w:rPr>
            </w:pPr>
            <w:r>
              <w:rPr>
                <w:color w:val="000000"/>
                <w:sz w:val="22"/>
              </w:rPr>
              <w:t>17</w:t>
            </w:r>
          </w:p>
        </w:tc>
        <w:tc>
          <w:tcPr>
            <w:tcW w:type="dxa" w:w="1134"/>
            <w:tcBorders>
              <w:top w:color="000000" w:sz="4" w:val="single"/>
              <w:left w:sz="4" w:val="nil"/>
              <w:bottom w:color="000000" w:sz="4" w:val="single"/>
              <w:right w:color="000000" w:sz="4" w:val="single"/>
            </w:tcBorders>
            <w:vAlign w:val="center"/>
          </w:tcPr>
          <w:p w14:paraId="3C050000">
            <w:pPr>
              <w:widowControl w:val="1"/>
              <w:ind w:firstLine="34" w:right="-108"/>
              <w:contextualSpacing w:val="1"/>
              <w:jc w:val="center"/>
              <w:rPr>
                <w:color w:val="000000"/>
                <w:sz w:val="22"/>
              </w:rPr>
            </w:pPr>
            <w:r>
              <w:rPr>
                <w:color w:val="000000"/>
                <w:sz w:val="22"/>
              </w:rPr>
              <w:t>17</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3D050000">
            <w:pPr>
              <w:widowControl w:val="1"/>
              <w:ind w:firstLine="709" w:left="-688" w:right="-119"/>
              <w:contextualSpacing w:val="1"/>
              <w:jc w:val="center"/>
              <w:rPr>
                <w:color w:val="000000"/>
                <w:sz w:val="22"/>
              </w:rPr>
            </w:pPr>
            <w:r>
              <w:rPr>
                <w:color w:val="000000"/>
                <w:sz w:val="22"/>
              </w:rPr>
              <w:t>2</w:t>
            </w:r>
          </w:p>
        </w:tc>
        <w:tc>
          <w:tcPr>
            <w:tcW w:type="dxa" w:w="1134"/>
            <w:tcBorders>
              <w:top w:sz="4" w:val="nil"/>
              <w:left w:sz="4" w:val="nil"/>
              <w:bottom w:color="000000" w:sz="4" w:val="single"/>
              <w:right w:color="000000" w:sz="4" w:val="single"/>
            </w:tcBorders>
            <w:shd w:fill="auto" w:val="clear"/>
            <w:vAlign w:val="center"/>
          </w:tcPr>
          <w:p w14:paraId="3E050000">
            <w:pPr>
              <w:widowControl w:val="1"/>
              <w:ind w:firstLine="34" w:right="-108"/>
              <w:contextualSpacing w:val="1"/>
              <w:jc w:val="center"/>
              <w:rPr>
                <w:color w:val="000000"/>
                <w:sz w:val="22"/>
              </w:rPr>
            </w:pPr>
            <w:r>
              <w:rPr>
                <w:color w:val="000000"/>
                <w:sz w:val="22"/>
              </w:rPr>
              <w:t>11-20</w:t>
            </w:r>
          </w:p>
        </w:tc>
        <w:tc>
          <w:tcPr>
            <w:tcW w:type="dxa" w:w="1276"/>
            <w:tcBorders>
              <w:top w:sz="4" w:val="nil"/>
              <w:left w:sz="4" w:val="nil"/>
              <w:bottom w:color="000000" w:sz="4" w:val="single"/>
              <w:right w:color="000000" w:sz="4" w:val="single"/>
            </w:tcBorders>
            <w:shd w:fill="auto" w:val="clear"/>
            <w:vAlign w:val="center"/>
          </w:tcPr>
          <w:p w14:paraId="3F050000">
            <w:pPr>
              <w:widowControl w:val="1"/>
              <w:ind w:firstLine="34" w:right="-108"/>
              <w:contextualSpacing w:val="1"/>
              <w:jc w:val="center"/>
              <w:rPr>
                <w:color w:val="000000"/>
                <w:sz w:val="22"/>
              </w:rPr>
            </w:pPr>
            <w:r>
              <w:rPr>
                <w:color w:val="000000"/>
                <w:sz w:val="22"/>
              </w:rPr>
              <w:t>20</w:t>
            </w:r>
          </w:p>
        </w:tc>
        <w:tc>
          <w:tcPr>
            <w:tcW w:type="dxa" w:w="1276"/>
            <w:tcBorders>
              <w:top w:sz="4" w:val="nil"/>
              <w:left w:sz="4" w:val="nil"/>
              <w:bottom w:color="000000" w:sz="4" w:val="single"/>
              <w:right w:color="000000" w:sz="4" w:val="single"/>
            </w:tcBorders>
            <w:shd w:fill="auto" w:val="clear"/>
            <w:vAlign w:val="center"/>
          </w:tcPr>
          <w:p w14:paraId="40050000">
            <w:pPr>
              <w:widowControl w:val="1"/>
              <w:ind w:firstLine="34" w:right="-108"/>
              <w:contextualSpacing w:val="1"/>
              <w:jc w:val="center"/>
              <w:rPr>
                <w:color w:val="000000"/>
                <w:sz w:val="22"/>
              </w:rPr>
            </w:pPr>
            <w:r>
              <w:rPr>
                <w:color w:val="000000"/>
                <w:sz w:val="22"/>
              </w:rPr>
              <w:t>22</w:t>
            </w:r>
          </w:p>
        </w:tc>
        <w:tc>
          <w:tcPr>
            <w:tcW w:type="dxa" w:w="1275"/>
            <w:tcBorders>
              <w:top w:sz="4" w:val="nil"/>
              <w:left w:sz="4" w:val="nil"/>
              <w:bottom w:color="000000" w:sz="4" w:val="single"/>
              <w:right w:color="000000" w:sz="4" w:val="single"/>
            </w:tcBorders>
            <w:shd w:fill="auto" w:val="clear"/>
            <w:vAlign w:val="center"/>
          </w:tcPr>
          <w:p w14:paraId="41050000">
            <w:pPr>
              <w:widowControl w:val="1"/>
              <w:ind w:firstLine="34" w:right="-108"/>
              <w:contextualSpacing w:val="1"/>
              <w:jc w:val="center"/>
              <w:rPr>
                <w:color w:val="000000"/>
                <w:sz w:val="22"/>
              </w:rPr>
            </w:pPr>
            <w:r>
              <w:rPr>
                <w:color w:val="000000"/>
                <w:sz w:val="22"/>
              </w:rPr>
              <w:t>22</w:t>
            </w:r>
          </w:p>
        </w:tc>
        <w:tc>
          <w:tcPr>
            <w:tcW w:type="dxa" w:w="1559"/>
            <w:tcBorders>
              <w:top w:sz="4" w:val="nil"/>
              <w:left w:sz="4" w:val="nil"/>
              <w:bottom w:color="000000" w:sz="4" w:val="single"/>
              <w:right w:color="000000" w:sz="4" w:val="single"/>
            </w:tcBorders>
            <w:shd w:fill="auto" w:val="clear"/>
            <w:vAlign w:val="center"/>
          </w:tcPr>
          <w:p w14:paraId="42050000">
            <w:pPr>
              <w:widowControl w:val="1"/>
              <w:ind w:firstLine="34" w:right="-108"/>
              <w:contextualSpacing w:val="1"/>
              <w:jc w:val="center"/>
              <w:rPr>
                <w:sz w:val="22"/>
              </w:rPr>
            </w:pPr>
            <w:r>
              <w:rPr>
                <w:sz w:val="22"/>
              </w:rPr>
              <w:t>24</w:t>
            </w:r>
          </w:p>
        </w:tc>
        <w:tc>
          <w:tcPr>
            <w:tcW w:type="dxa" w:w="1135"/>
            <w:tcBorders>
              <w:top w:sz="4" w:val="nil"/>
              <w:left w:sz="4" w:val="nil"/>
              <w:bottom w:color="000000" w:sz="4" w:val="single"/>
              <w:right w:color="000000" w:sz="4" w:val="single"/>
            </w:tcBorders>
            <w:vAlign w:val="center"/>
          </w:tcPr>
          <w:p w14:paraId="43050000">
            <w:pPr>
              <w:widowControl w:val="1"/>
              <w:ind w:firstLine="34" w:right="-108"/>
              <w:contextualSpacing w:val="1"/>
              <w:jc w:val="center"/>
              <w:rPr>
                <w:color w:val="000000"/>
                <w:sz w:val="22"/>
              </w:rPr>
            </w:pPr>
            <w:r>
              <w:rPr>
                <w:color w:val="000000"/>
                <w:sz w:val="22"/>
              </w:rPr>
              <w:t>25</w:t>
            </w:r>
          </w:p>
        </w:tc>
        <w:tc>
          <w:tcPr>
            <w:tcW w:type="dxa" w:w="1134"/>
            <w:tcBorders>
              <w:top w:sz="4" w:val="nil"/>
              <w:left w:sz="4" w:val="nil"/>
              <w:bottom w:color="000000" w:sz="4" w:val="single"/>
              <w:right w:color="000000" w:sz="4" w:val="single"/>
            </w:tcBorders>
            <w:vAlign w:val="center"/>
          </w:tcPr>
          <w:p w14:paraId="44050000">
            <w:pPr>
              <w:widowControl w:val="1"/>
              <w:ind w:firstLine="34" w:right="-108"/>
              <w:contextualSpacing w:val="1"/>
              <w:jc w:val="center"/>
              <w:rPr>
                <w:color w:val="000000"/>
                <w:sz w:val="22"/>
              </w:rPr>
            </w:pPr>
            <w:r>
              <w:rPr>
                <w:color w:val="000000"/>
                <w:sz w:val="22"/>
              </w:rPr>
              <w:t>25</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45050000">
            <w:pPr>
              <w:widowControl w:val="1"/>
              <w:ind w:firstLine="709" w:left="-688" w:right="-119"/>
              <w:contextualSpacing w:val="1"/>
              <w:jc w:val="center"/>
              <w:rPr>
                <w:color w:val="000000"/>
                <w:sz w:val="22"/>
              </w:rPr>
            </w:pPr>
            <w:r>
              <w:rPr>
                <w:color w:val="000000"/>
                <w:sz w:val="22"/>
              </w:rPr>
              <w:t>3</w:t>
            </w:r>
          </w:p>
        </w:tc>
        <w:tc>
          <w:tcPr>
            <w:tcW w:type="dxa" w:w="1134"/>
            <w:tcBorders>
              <w:top w:sz="4" w:val="nil"/>
              <w:left w:sz="4" w:val="nil"/>
              <w:bottom w:color="000000" w:sz="4" w:val="single"/>
              <w:right w:color="000000" w:sz="4" w:val="single"/>
            </w:tcBorders>
            <w:shd w:fill="auto" w:val="clear"/>
            <w:vAlign w:val="center"/>
          </w:tcPr>
          <w:p w14:paraId="46050000">
            <w:pPr>
              <w:widowControl w:val="1"/>
              <w:ind w:firstLine="34" w:right="-108"/>
              <w:contextualSpacing w:val="1"/>
              <w:jc w:val="center"/>
              <w:rPr>
                <w:color w:val="000000"/>
                <w:sz w:val="22"/>
              </w:rPr>
            </w:pPr>
            <w:r>
              <w:rPr>
                <w:color w:val="000000"/>
                <w:sz w:val="22"/>
              </w:rPr>
              <w:t>21-30</w:t>
            </w:r>
          </w:p>
        </w:tc>
        <w:tc>
          <w:tcPr>
            <w:tcW w:type="dxa" w:w="1276"/>
            <w:tcBorders>
              <w:top w:sz="4" w:val="nil"/>
              <w:left w:sz="4" w:val="nil"/>
              <w:bottom w:color="000000" w:sz="4" w:val="single"/>
              <w:right w:color="000000" w:sz="4" w:val="single"/>
            </w:tcBorders>
            <w:shd w:fill="auto" w:val="clear"/>
            <w:vAlign w:val="center"/>
          </w:tcPr>
          <w:p w14:paraId="47050000">
            <w:pPr>
              <w:widowControl w:val="1"/>
              <w:ind w:firstLine="34" w:right="-108"/>
              <w:contextualSpacing w:val="1"/>
              <w:jc w:val="center"/>
              <w:rPr>
                <w:color w:val="000000"/>
                <w:sz w:val="22"/>
              </w:rPr>
            </w:pPr>
            <w:r>
              <w:rPr>
                <w:color w:val="000000"/>
                <w:sz w:val="22"/>
              </w:rPr>
              <w:t>25</w:t>
            </w:r>
          </w:p>
        </w:tc>
        <w:tc>
          <w:tcPr>
            <w:tcW w:type="dxa" w:w="1276"/>
            <w:tcBorders>
              <w:top w:sz="4" w:val="nil"/>
              <w:left w:sz="4" w:val="nil"/>
              <w:bottom w:color="000000" w:sz="4" w:val="single"/>
              <w:right w:color="000000" w:sz="4" w:val="single"/>
            </w:tcBorders>
            <w:shd w:fill="auto" w:val="clear"/>
            <w:vAlign w:val="center"/>
          </w:tcPr>
          <w:p w14:paraId="48050000">
            <w:pPr>
              <w:widowControl w:val="1"/>
              <w:ind w:firstLine="34" w:right="-108"/>
              <w:contextualSpacing w:val="1"/>
              <w:jc w:val="center"/>
              <w:rPr>
                <w:color w:val="000000"/>
                <w:sz w:val="22"/>
              </w:rPr>
            </w:pPr>
            <w:r>
              <w:rPr>
                <w:color w:val="000000"/>
                <w:sz w:val="22"/>
              </w:rPr>
              <w:t>28</w:t>
            </w:r>
          </w:p>
        </w:tc>
        <w:tc>
          <w:tcPr>
            <w:tcW w:type="dxa" w:w="1275"/>
            <w:tcBorders>
              <w:top w:sz="4" w:val="nil"/>
              <w:left w:sz="4" w:val="nil"/>
              <w:bottom w:color="000000" w:sz="4" w:val="single"/>
              <w:right w:color="000000" w:sz="4" w:val="single"/>
            </w:tcBorders>
            <w:shd w:fill="auto" w:val="clear"/>
            <w:vAlign w:val="center"/>
          </w:tcPr>
          <w:p w14:paraId="49050000">
            <w:pPr>
              <w:widowControl w:val="1"/>
              <w:ind w:firstLine="34" w:right="-108"/>
              <w:contextualSpacing w:val="1"/>
              <w:jc w:val="center"/>
              <w:rPr>
                <w:color w:val="000000"/>
                <w:sz w:val="22"/>
              </w:rPr>
            </w:pPr>
            <w:r>
              <w:rPr>
                <w:color w:val="000000"/>
                <w:sz w:val="22"/>
              </w:rPr>
              <w:t>28</w:t>
            </w:r>
          </w:p>
        </w:tc>
        <w:tc>
          <w:tcPr>
            <w:tcW w:type="dxa" w:w="1559"/>
            <w:tcBorders>
              <w:top w:sz="4" w:val="nil"/>
              <w:left w:sz="4" w:val="nil"/>
              <w:bottom w:color="000000" w:sz="4" w:val="single"/>
              <w:right w:color="000000" w:sz="4" w:val="single"/>
            </w:tcBorders>
            <w:shd w:fill="auto" w:val="clear"/>
            <w:vAlign w:val="center"/>
          </w:tcPr>
          <w:p w14:paraId="4A050000">
            <w:pPr>
              <w:widowControl w:val="1"/>
              <w:ind w:firstLine="34" w:right="-108"/>
              <w:contextualSpacing w:val="1"/>
              <w:jc w:val="center"/>
              <w:rPr>
                <w:sz w:val="22"/>
              </w:rPr>
            </w:pPr>
            <w:r>
              <w:rPr>
                <w:sz w:val="22"/>
              </w:rPr>
              <w:t>30</w:t>
            </w:r>
          </w:p>
        </w:tc>
        <w:tc>
          <w:tcPr>
            <w:tcW w:type="dxa" w:w="1135"/>
            <w:tcBorders>
              <w:top w:sz="4" w:val="nil"/>
              <w:left w:sz="4" w:val="nil"/>
              <w:bottom w:color="000000" w:sz="4" w:val="single"/>
              <w:right w:color="000000" w:sz="4" w:val="single"/>
            </w:tcBorders>
            <w:vAlign w:val="center"/>
          </w:tcPr>
          <w:p w14:paraId="4B050000">
            <w:pPr>
              <w:widowControl w:val="1"/>
              <w:ind w:firstLine="34" w:right="-108"/>
              <w:contextualSpacing w:val="1"/>
              <w:jc w:val="center"/>
              <w:rPr>
                <w:color w:val="000000"/>
                <w:sz w:val="22"/>
              </w:rPr>
            </w:pPr>
            <w:r>
              <w:rPr>
                <w:color w:val="000000"/>
                <w:sz w:val="22"/>
              </w:rPr>
              <w:t>31</w:t>
            </w:r>
          </w:p>
        </w:tc>
        <w:tc>
          <w:tcPr>
            <w:tcW w:type="dxa" w:w="1134"/>
            <w:tcBorders>
              <w:top w:sz="4" w:val="nil"/>
              <w:left w:sz="4" w:val="nil"/>
              <w:bottom w:color="000000" w:sz="4" w:val="single"/>
              <w:right w:color="000000" w:sz="4" w:val="single"/>
            </w:tcBorders>
            <w:vAlign w:val="center"/>
          </w:tcPr>
          <w:p w14:paraId="4C050000">
            <w:pPr>
              <w:widowControl w:val="1"/>
              <w:ind w:firstLine="34" w:right="-108"/>
              <w:contextualSpacing w:val="1"/>
              <w:jc w:val="center"/>
              <w:rPr>
                <w:color w:val="000000"/>
                <w:sz w:val="22"/>
              </w:rPr>
            </w:pPr>
            <w:r>
              <w:rPr>
                <w:color w:val="000000"/>
                <w:sz w:val="22"/>
              </w:rPr>
              <w:t>31</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4D050000">
            <w:pPr>
              <w:widowControl w:val="1"/>
              <w:ind w:firstLine="709" w:left="-688" w:right="-119"/>
              <w:contextualSpacing w:val="1"/>
              <w:jc w:val="center"/>
              <w:rPr>
                <w:color w:val="000000"/>
                <w:sz w:val="22"/>
              </w:rPr>
            </w:pPr>
            <w:r>
              <w:rPr>
                <w:color w:val="000000"/>
                <w:sz w:val="22"/>
              </w:rPr>
              <w:t>4</w:t>
            </w:r>
          </w:p>
        </w:tc>
        <w:tc>
          <w:tcPr>
            <w:tcW w:type="dxa" w:w="1134"/>
            <w:tcBorders>
              <w:top w:sz="4" w:val="nil"/>
              <w:left w:sz="4" w:val="nil"/>
              <w:bottom w:color="000000" w:sz="4" w:val="single"/>
              <w:right w:color="000000" w:sz="4" w:val="single"/>
            </w:tcBorders>
            <w:shd w:fill="auto" w:val="clear"/>
            <w:vAlign w:val="center"/>
          </w:tcPr>
          <w:p w14:paraId="4E050000">
            <w:pPr>
              <w:widowControl w:val="1"/>
              <w:ind w:firstLine="34" w:right="-108"/>
              <w:contextualSpacing w:val="1"/>
              <w:jc w:val="center"/>
              <w:rPr>
                <w:color w:val="000000"/>
                <w:sz w:val="22"/>
              </w:rPr>
            </w:pPr>
            <w:r>
              <w:rPr>
                <w:color w:val="000000"/>
                <w:sz w:val="22"/>
              </w:rPr>
              <w:t>31-40</w:t>
            </w:r>
          </w:p>
        </w:tc>
        <w:tc>
          <w:tcPr>
            <w:tcW w:type="dxa" w:w="1276"/>
            <w:tcBorders>
              <w:top w:sz="4" w:val="nil"/>
              <w:left w:sz="4" w:val="nil"/>
              <w:bottom w:color="000000" w:sz="4" w:val="single"/>
              <w:right w:color="000000" w:sz="4" w:val="single"/>
            </w:tcBorders>
            <w:shd w:fill="auto" w:val="clear"/>
            <w:vAlign w:val="center"/>
          </w:tcPr>
          <w:p w14:paraId="4F050000">
            <w:pPr>
              <w:widowControl w:val="1"/>
              <w:ind w:firstLine="34" w:right="-108"/>
              <w:contextualSpacing w:val="1"/>
              <w:jc w:val="center"/>
              <w:rPr>
                <w:color w:val="000000"/>
                <w:sz w:val="22"/>
              </w:rPr>
            </w:pPr>
            <w:r>
              <w:rPr>
                <w:color w:val="000000"/>
                <w:sz w:val="22"/>
              </w:rPr>
              <w:t>33</w:t>
            </w:r>
          </w:p>
        </w:tc>
        <w:tc>
          <w:tcPr>
            <w:tcW w:type="dxa" w:w="1276"/>
            <w:tcBorders>
              <w:top w:sz="4" w:val="nil"/>
              <w:left w:sz="4" w:val="nil"/>
              <w:bottom w:color="000000" w:sz="4" w:val="single"/>
              <w:right w:color="000000" w:sz="4" w:val="single"/>
            </w:tcBorders>
            <w:shd w:fill="auto" w:val="clear"/>
            <w:vAlign w:val="center"/>
          </w:tcPr>
          <w:p w14:paraId="50050000">
            <w:pPr>
              <w:widowControl w:val="1"/>
              <w:ind w:firstLine="34" w:right="-108"/>
              <w:contextualSpacing w:val="1"/>
              <w:jc w:val="center"/>
              <w:rPr>
                <w:color w:val="000000"/>
                <w:sz w:val="22"/>
              </w:rPr>
            </w:pPr>
            <w:r>
              <w:rPr>
                <w:color w:val="000000"/>
                <w:sz w:val="22"/>
              </w:rPr>
              <w:t>36</w:t>
            </w:r>
          </w:p>
        </w:tc>
        <w:tc>
          <w:tcPr>
            <w:tcW w:type="dxa" w:w="1275"/>
            <w:tcBorders>
              <w:top w:sz="4" w:val="nil"/>
              <w:left w:sz="4" w:val="nil"/>
              <w:bottom w:color="000000" w:sz="4" w:val="single"/>
              <w:right w:color="000000" w:sz="4" w:val="single"/>
            </w:tcBorders>
            <w:shd w:fill="auto" w:val="clear"/>
            <w:vAlign w:val="center"/>
          </w:tcPr>
          <w:p w14:paraId="51050000">
            <w:pPr>
              <w:widowControl w:val="1"/>
              <w:ind w:firstLine="34" w:right="-108"/>
              <w:contextualSpacing w:val="1"/>
              <w:jc w:val="center"/>
              <w:rPr>
                <w:color w:val="000000"/>
                <w:sz w:val="22"/>
              </w:rPr>
            </w:pPr>
            <w:r>
              <w:rPr>
                <w:color w:val="000000"/>
                <w:sz w:val="22"/>
              </w:rPr>
              <w:t>36</w:t>
            </w:r>
          </w:p>
        </w:tc>
        <w:tc>
          <w:tcPr>
            <w:tcW w:type="dxa" w:w="1559"/>
            <w:tcBorders>
              <w:top w:sz="4" w:val="nil"/>
              <w:left w:sz="4" w:val="nil"/>
              <w:bottom w:color="000000" w:sz="4" w:val="single"/>
              <w:right w:color="000000" w:sz="4" w:val="single"/>
            </w:tcBorders>
            <w:shd w:fill="auto" w:val="clear"/>
            <w:vAlign w:val="center"/>
          </w:tcPr>
          <w:p w14:paraId="52050000">
            <w:pPr>
              <w:widowControl w:val="1"/>
              <w:ind w:firstLine="34" w:right="-108"/>
              <w:contextualSpacing w:val="1"/>
              <w:jc w:val="center"/>
              <w:rPr>
                <w:sz w:val="22"/>
              </w:rPr>
            </w:pPr>
            <w:r>
              <w:rPr>
                <w:sz w:val="22"/>
              </w:rPr>
              <w:t>39</w:t>
            </w:r>
          </w:p>
        </w:tc>
        <w:tc>
          <w:tcPr>
            <w:tcW w:type="dxa" w:w="1135"/>
            <w:tcBorders>
              <w:top w:sz="4" w:val="nil"/>
              <w:left w:sz="4" w:val="nil"/>
              <w:bottom w:color="000000" w:sz="4" w:val="single"/>
              <w:right w:color="000000" w:sz="4" w:val="single"/>
            </w:tcBorders>
            <w:vAlign w:val="center"/>
          </w:tcPr>
          <w:p w14:paraId="53050000">
            <w:pPr>
              <w:widowControl w:val="1"/>
              <w:ind w:firstLine="34" w:right="-108"/>
              <w:contextualSpacing w:val="1"/>
              <w:jc w:val="center"/>
              <w:rPr>
                <w:color w:val="000000"/>
                <w:sz w:val="22"/>
              </w:rPr>
            </w:pPr>
            <w:r>
              <w:rPr>
                <w:color w:val="000000"/>
                <w:sz w:val="22"/>
              </w:rPr>
              <w:t>41</w:t>
            </w:r>
          </w:p>
        </w:tc>
        <w:tc>
          <w:tcPr>
            <w:tcW w:type="dxa" w:w="1134"/>
            <w:tcBorders>
              <w:top w:sz="4" w:val="nil"/>
              <w:left w:sz="4" w:val="nil"/>
              <w:bottom w:color="000000" w:sz="4" w:val="single"/>
              <w:right w:color="000000" w:sz="4" w:val="single"/>
            </w:tcBorders>
            <w:vAlign w:val="center"/>
          </w:tcPr>
          <w:p w14:paraId="54050000">
            <w:pPr>
              <w:widowControl w:val="1"/>
              <w:ind w:firstLine="34" w:right="-108"/>
              <w:contextualSpacing w:val="1"/>
              <w:jc w:val="center"/>
              <w:rPr>
                <w:color w:val="000000"/>
                <w:sz w:val="22"/>
              </w:rPr>
            </w:pPr>
            <w:r>
              <w:rPr>
                <w:color w:val="000000"/>
                <w:sz w:val="22"/>
              </w:rPr>
              <w:t>41</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55050000">
            <w:pPr>
              <w:widowControl w:val="1"/>
              <w:ind w:firstLine="709" w:left="-688" w:right="-119"/>
              <w:contextualSpacing w:val="1"/>
              <w:jc w:val="center"/>
              <w:rPr>
                <w:color w:val="000000"/>
                <w:sz w:val="22"/>
              </w:rPr>
            </w:pPr>
            <w:r>
              <w:rPr>
                <w:color w:val="000000"/>
                <w:sz w:val="22"/>
              </w:rPr>
              <w:t>5</w:t>
            </w:r>
          </w:p>
        </w:tc>
        <w:tc>
          <w:tcPr>
            <w:tcW w:type="dxa" w:w="1134"/>
            <w:tcBorders>
              <w:top w:sz="4" w:val="nil"/>
              <w:left w:sz="4" w:val="nil"/>
              <w:bottom w:color="000000" w:sz="4" w:val="single"/>
              <w:right w:color="000000" w:sz="4" w:val="single"/>
            </w:tcBorders>
            <w:shd w:fill="auto" w:val="clear"/>
            <w:vAlign w:val="center"/>
          </w:tcPr>
          <w:p w14:paraId="56050000">
            <w:pPr>
              <w:widowControl w:val="1"/>
              <w:ind w:firstLine="34" w:right="-108"/>
              <w:contextualSpacing w:val="1"/>
              <w:jc w:val="center"/>
              <w:rPr>
                <w:color w:val="000000"/>
                <w:sz w:val="22"/>
              </w:rPr>
            </w:pPr>
            <w:r>
              <w:rPr>
                <w:color w:val="000000"/>
                <w:sz w:val="22"/>
              </w:rPr>
              <w:t>41-50</w:t>
            </w:r>
          </w:p>
        </w:tc>
        <w:tc>
          <w:tcPr>
            <w:tcW w:type="dxa" w:w="1276"/>
            <w:tcBorders>
              <w:top w:sz="4" w:val="nil"/>
              <w:left w:sz="4" w:val="nil"/>
              <w:bottom w:color="000000" w:sz="4" w:val="single"/>
              <w:right w:color="000000" w:sz="4" w:val="single"/>
            </w:tcBorders>
            <w:shd w:fill="auto" w:val="clear"/>
            <w:vAlign w:val="center"/>
          </w:tcPr>
          <w:p w14:paraId="57050000">
            <w:pPr>
              <w:widowControl w:val="1"/>
              <w:ind w:firstLine="34" w:right="-108"/>
              <w:contextualSpacing w:val="1"/>
              <w:jc w:val="center"/>
              <w:rPr>
                <w:color w:val="000000"/>
                <w:sz w:val="22"/>
              </w:rPr>
            </w:pPr>
            <w:r>
              <w:rPr>
                <w:color w:val="000000"/>
                <w:sz w:val="22"/>
              </w:rPr>
              <w:t>37</w:t>
            </w:r>
          </w:p>
        </w:tc>
        <w:tc>
          <w:tcPr>
            <w:tcW w:type="dxa" w:w="1276"/>
            <w:tcBorders>
              <w:top w:sz="4" w:val="nil"/>
              <w:left w:sz="4" w:val="nil"/>
              <w:bottom w:color="000000" w:sz="4" w:val="single"/>
              <w:right w:color="000000" w:sz="4" w:val="single"/>
            </w:tcBorders>
            <w:shd w:fill="auto" w:val="clear"/>
            <w:vAlign w:val="center"/>
          </w:tcPr>
          <w:p w14:paraId="58050000">
            <w:pPr>
              <w:widowControl w:val="1"/>
              <w:ind w:firstLine="34" w:right="-108"/>
              <w:contextualSpacing w:val="1"/>
              <w:jc w:val="center"/>
              <w:rPr>
                <w:color w:val="000000"/>
                <w:sz w:val="22"/>
              </w:rPr>
            </w:pPr>
            <w:r>
              <w:rPr>
                <w:color w:val="000000"/>
                <w:sz w:val="22"/>
              </w:rPr>
              <w:t>41</w:t>
            </w:r>
          </w:p>
        </w:tc>
        <w:tc>
          <w:tcPr>
            <w:tcW w:type="dxa" w:w="1275"/>
            <w:tcBorders>
              <w:top w:sz="4" w:val="nil"/>
              <w:left w:sz="4" w:val="nil"/>
              <w:bottom w:color="000000" w:sz="4" w:val="single"/>
              <w:right w:color="000000" w:sz="4" w:val="single"/>
            </w:tcBorders>
            <w:shd w:fill="auto" w:val="clear"/>
            <w:vAlign w:val="center"/>
          </w:tcPr>
          <w:p w14:paraId="59050000">
            <w:pPr>
              <w:widowControl w:val="1"/>
              <w:ind w:firstLine="34" w:right="-108"/>
              <w:contextualSpacing w:val="1"/>
              <w:jc w:val="center"/>
              <w:rPr>
                <w:color w:val="000000"/>
                <w:sz w:val="22"/>
              </w:rPr>
            </w:pPr>
            <w:r>
              <w:rPr>
                <w:color w:val="000000"/>
                <w:sz w:val="22"/>
              </w:rPr>
              <w:t>41</w:t>
            </w:r>
          </w:p>
        </w:tc>
        <w:tc>
          <w:tcPr>
            <w:tcW w:type="dxa" w:w="1559"/>
            <w:tcBorders>
              <w:top w:sz="4" w:val="nil"/>
              <w:left w:sz="4" w:val="nil"/>
              <w:bottom w:color="000000" w:sz="4" w:val="single"/>
              <w:right w:color="000000" w:sz="4" w:val="single"/>
            </w:tcBorders>
            <w:shd w:fill="auto" w:val="clear"/>
            <w:vAlign w:val="center"/>
          </w:tcPr>
          <w:p w14:paraId="5A050000">
            <w:pPr>
              <w:widowControl w:val="1"/>
              <w:ind w:firstLine="34" w:right="-108"/>
              <w:contextualSpacing w:val="1"/>
              <w:jc w:val="center"/>
              <w:rPr>
                <w:sz w:val="22"/>
              </w:rPr>
            </w:pPr>
            <w:r>
              <w:rPr>
                <w:sz w:val="22"/>
              </w:rPr>
              <w:t>44</w:t>
            </w:r>
          </w:p>
        </w:tc>
        <w:tc>
          <w:tcPr>
            <w:tcW w:type="dxa" w:w="1135"/>
            <w:tcBorders>
              <w:top w:sz="4" w:val="nil"/>
              <w:left w:sz="4" w:val="nil"/>
              <w:bottom w:color="000000" w:sz="4" w:val="single"/>
              <w:right w:color="000000" w:sz="4" w:val="single"/>
            </w:tcBorders>
            <w:vAlign w:val="center"/>
          </w:tcPr>
          <w:p w14:paraId="5B050000">
            <w:pPr>
              <w:widowControl w:val="1"/>
              <w:ind w:firstLine="34" w:right="-108"/>
              <w:contextualSpacing w:val="1"/>
              <w:jc w:val="center"/>
              <w:rPr>
                <w:color w:val="000000"/>
                <w:sz w:val="22"/>
              </w:rPr>
            </w:pPr>
            <w:r>
              <w:rPr>
                <w:color w:val="000000"/>
                <w:sz w:val="22"/>
              </w:rPr>
              <w:t>46</w:t>
            </w:r>
          </w:p>
        </w:tc>
        <w:tc>
          <w:tcPr>
            <w:tcW w:type="dxa" w:w="1134"/>
            <w:tcBorders>
              <w:top w:sz="4" w:val="nil"/>
              <w:left w:sz="4" w:val="nil"/>
              <w:bottom w:color="000000" w:sz="4" w:val="single"/>
              <w:right w:color="000000" w:sz="4" w:val="single"/>
            </w:tcBorders>
            <w:vAlign w:val="center"/>
          </w:tcPr>
          <w:p w14:paraId="5C050000">
            <w:pPr>
              <w:widowControl w:val="1"/>
              <w:ind w:firstLine="34" w:right="-108"/>
              <w:contextualSpacing w:val="1"/>
              <w:jc w:val="center"/>
              <w:rPr>
                <w:color w:val="000000"/>
                <w:sz w:val="22"/>
              </w:rPr>
            </w:pPr>
            <w:r>
              <w:rPr>
                <w:color w:val="000000"/>
                <w:sz w:val="22"/>
              </w:rPr>
              <w:t>46</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5D050000">
            <w:pPr>
              <w:widowControl w:val="1"/>
              <w:ind w:firstLine="709" w:left="-688" w:right="-119"/>
              <w:contextualSpacing w:val="1"/>
              <w:jc w:val="center"/>
              <w:rPr>
                <w:color w:val="000000"/>
                <w:sz w:val="22"/>
              </w:rPr>
            </w:pPr>
            <w:r>
              <w:rPr>
                <w:color w:val="000000"/>
                <w:sz w:val="22"/>
              </w:rPr>
              <w:t>6</w:t>
            </w:r>
          </w:p>
        </w:tc>
        <w:tc>
          <w:tcPr>
            <w:tcW w:type="dxa" w:w="1134"/>
            <w:tcBorders>
              <w:top w:sz="4" w:val="nil"/>
              <w:left w:sz="4" w:val="nil"/>
              <w:bottom w:color="000000" w:sz="4" w:val="single"/>
              <w:right w:color="000000" w:sz="4" w:val="single"/>
            </w:tcBorders>
            <w:shd w:fill="auto" w:val="clear"/>
            <w:vAlign w:val="center"/>
          </w:tcPr>
          <w:p w14:paraId="5E050000">
            <w:pPr>
              <w:widowControl w:val="1"/>
              <w:ind w:firstLine="34" w:right="-108"/>
              <w:contextualSpacing w:val="1"/>
              <w:jc w:val="center"/>
              <w:rPr>
                <w:color w:val="000000"/>
                <w:sz w:val="22"/>
              </w:rPr>
            </w:pPr>
            <w:r>
              <w:rPr>
                <w:color w:val="000000"/>
                <w:sz w:val="22"/>
              </w:rPr>
              <w:t>51-60</w:t>
            </w:r>
          </w:p>
        </w:tc>
        <w:tc>
          <w:tcPr>
            <w:tcW w:type="dxa" w:w="1276"/>
            <w:tcBorders>
              <w:top w:sz="4" w:val="nil"/>
              <w:left w:sz="4" w:val="nil"/>
              <w:bottom w:color="000000" w:sz="4" w:val="single"/>
              <w:right w:color="000000" w:sz="4" w:val="single"/>
            </w:tcBorders>
            <w:shd w:fill="auto" w:val="clear"/>
            <w:vAlign w:val="center"/>
          </w:tcPr>
          <w:p w14:paraId="5F050000">
            <w:pPr>
              <w:widowControl w:val="1"/>
              <w:ind w:firstLine="34" w:right="-108"/>
              <w:contextualSpacing w:val="1"/>
              <w:jc w:val="center"/>
              <w:rPr>
                <w:color w:val="000000"/>
                <w:sz w:val="22"/>
              </w:rPr>
            </w:pPr>
            <w:r>
              <w:rPr>
                <w:color w:val="000000"/>
                <w:sz w:val="22"/>
              </w:rPr>
              <w:t>41</w:t>
            </w:r>
          </w:p>
        </w:tc>
        <w:tc>
          <w:tcPr>
            <w:tcW w:type="dxa" w:w="1276"/>
            <w:tcBorders>
              <w:top w:sz="4" w:val="nil"/>
              <w:left w:sz="4" w:val="nil"/>
              <w:bottom w:color="000000" w:sz="4" w:val="single"/>
              <w:right w:color="000000" w:sz="4" w:val="single"/>
            </w:tcBorders>
            <w:shd w:fill="auto" w:val="clear"/>
            <w:vAlign w:val="center"/>
          </w:tcPr>
          <w:p w14:paraId="60050000">
            <w:pPr>
              <w:widowControl w:val="1"/>
              <w:ind w:firstLine="34" w:right="-108"/>
              <w:contextualSpacing w:val="1"/>
              <w:jc w:val="center"/>
              <w:rPr>
                <w:color w:val="000000"/>
                <w:sz w:val="22"/>
              </w:rPr>
            </w:pPr>
            <w:r>
              <w:rPr>
                <w:color w:val="000000"/>
                <w:sz w:val="22"/>
              </w:rPr>
              <w:t>45</w:t>
            </w:r>
          </w:p>
        </w:tc>
        <w:tc>
          <w:tcPr>
            <w:tcW w:type="dxa" w:w="1275"/>
            <w:tcBorders>
              <w:top w:sz="4" w:val="nil"/>
              <w:left w:sz="4" w:val="nil"/>
              <w:bottom w:color="000000" w:sz="4" w:val="single"/>
              <w:right w:color="000000" w:sz="4" w:val="single"/>
            </w:tcBorders>
            <w:shd w:fill="auto" w:val="clear"/>
            <w:vAlign w:val="center"/>
          </w:tcPr>
          <w:p w14:paraId="61050000">
            <w:pPr>
              <w:widowControl w:val="1"/>
              <w:ind w:firstLine="34" w:right="-108"/>
              <w:contextualSpacing w:val="1"/>
              <w:jc w:val="center"/>
              <w:rPr>
                <w:color w:val="000000"/>
                <w:sz w:val="22"/>
              </w:rPr>
            </w:pPr>
            <w:r>
              <w:rPr>
                <w:color w:val="000000"/>
                <w:sz w:val="22"/>
              </w:rPr>
              <w:t>45</w:t>
            </w:r>
          </w:p>
        </w:tc>
        <w:tc>
          <w:tcPr>
            <w:tcW w:type="dxa" w:w="1559"/>
            <w:tcBorders>
              <w:top w:sz="4" w:val="nil"/>
              <w:left w:sz="4" w:val="nil"/>
              <w:bottom w:color="000000" w:sz="4" w:val="single"/>
              <w:right w:color="000000" w:sz="4" w:val="single"/>
            </w:tcBorders>
            <w:shd w:fill="auto" w:val="clear"/>
            <w:vAlign w:val="center"/>
          </w:tcPr>
          <w:p w14:paraId="62050000">
            <w:pPr>
              <w:widowControl w:val="1"/>
              <w:ind w:firstLine="34" w:right="-108"/>
              <w:contextualSpacing w:val="1"/>
              <w:jc w:val="center"/>
              <w:rPr>
                <w:sz w:val="22"/>
              </w:rPr>
            </w:pPr>
            <w:r>
              <w:rPr>
                <w:sz w:val="22"/>
              </w:rPr>
              <w:t>48</w:t>
            </w:r>
          </w:p>
        </w:tc>
        <w:tc>
          <w:tcPr>
            <w:tcW w:type="dxa" w:w="1135"/>
            <w:tcBorders>
              <w:top w:sz="4" w:val="nil"/>
              <w:left w:sz="4" w:val="nil"/>
              <w:bottom w:color="000000" w:sz="4" w:val="single"/>
              <w:right w:color="000000" w:sz="4" w:val="single"/>
            </w:tcBorders>
            <w:vAlign w:val="center"/>
          </w:tcPr>
          <w:p w14:paraId="63050000">
            <w:pPr>
              <w:widowControl w:val="1"/>
              <w:ind w:firstLine="34" w:right="-108"/>
              <w:contextualSpacing w:val="1"/>
              <w:jc w:val="center"/>
              <w:rPr>
                <w:color w:val="000000"/>
                <w:sz w:val="22"/>
              </w:rPr>
            </w:pPr>
            <w:r>
              <w:rPr>
                <w:color w:val="000000"/>
                <w:sz w:val="22"/>
              </w:rPr>
              <w:t>50</w:t>
            </w:r>
          </w:p>
        </w:tc>
        <w:tc>
          <w:tcPr>
            <w:tcW w:type="dxa" w:w="1134"/>
            <w:tcBorders>
              <w:top w:sz="4" w:val="nil"/>
              <w:left w:sz="4" w:val="nil"/>
              <w:bottom w:color="000000" w:sz="4" w:val="single"/>
              <w:right w:color="000000" w:sz="4" w:val="single"/>
            </w:tcBorders>
            <w:vAlign w:val="center"/>
          </w:tcPr>
          <w:p w14:paraId="64050000">
            <w:pPr>
              <w:widowControl w:val="1"/>
              <w:ind w:firstLine="34" w:right="-108"/>
              <w:contextualSpacing w:val="1"/>
              <w:jc w:val="center"/>
              <w:rPr>
                <w:color w:val="000000"/>
                <w:sz w:val="22"/>
              </w:rPr>
            </w:pPr>
            <w:r>
              <w:rPr>
                <w:color w:val="000000"/>
                <w:sz w:val="22"/>
              </w:rPr>
              <w:t>50</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65050000">
            <w:pPr>
              <w:widowControl w:val="1"/>
              <w:ind w:firstLine="709" w:left="-688" w:right="-119"/>
              <w:contextualSpacing w:val="1"/>
              <w:jc w:val="center"/>
              <w:rPr>
                <w:color w:val="000000"/>
                <w:sz w:val="22"/>
              </w:rPr>
            </w:pPr>
            <w:r>
              <w:rPr>
                <w:color w:val="000000"/>
                <w:sz w:val="22"/>
              </w:rPr>
              <w:t>7</w:t>
            </w:r>
          </w:p>
        </w:tc>
        <w:tc>
          <w:tcPr>
            <w:tcW w:type="dxa" w:w="1134"/>
            <w:tcBorders>
              <w:top w:sz="4" w:val="nil"/>
              <w:left w:sz="4" w:val="nil"/>
              <w:bottom w:color="000000" w:sz="4" w:val="single"/>
              <w:right w:color="000000" w:sz="4" w:val="single"/>
            </w:tcBorders>
            <w:shd w:fill="auto" w:val="clear"/>
            <w:vAlign w:val="center"/>
          </w:tcPr>
          <w:p w14:paraId="66050000">
            <w:pPr>
              <w:widowControl w:val="1"/>
              <w:ind w:firstLine="34" w:right="-108"/>
              <w:contextualSpacing w:val="1"/>
              <w:jc w:val="center"/>
              <w:rPr>
                <w:color w:val="000000"/>
                <w:sz w:val="22"/>
              </w:rPr>
            </w:pPr>
            <w:r>
              <w:rPr>
                <w:color w:val="000000"/>
                <w:sz w:val="22"/>
              </w:rPr>
              <w:t>61</w:t>
            </w:r>
            <w:r>
              <w:rPr>
                <w:color w:val="000000"/>
                <w:sz w:val="22"/>
              </w:rPr>
              <w:t>-70</w:t>
            </w:r>
          </w:p>
        </w:tc>
        <w:tc>
          <w:tcPr>
            <w:tcW w:type="dxa" w:w="1276"/>
            <w:tcBorders>
              <w:top w:sz="4" w:val="nil"/>
              <w:left w:sz="4" w:val="nil"/>
              <w:bottom w:color="000000" w:sz="4" w:val="single"/>
              <w:right w:color="000000" w:sz="4" w:val="single"/>
            </w:tcBorders>
            <w:shd w:fill="auto" w:val="clear"/>
            <w:vAlign w:val="center"/>
          </w:tcPr>
          <w:p w14:paraId="67050000">
            <w:pPr>
              <w:widowControl w:val="1"/>
              <w:ind w:firstLine="34" w:right="-108"/>
              <w:contextualSpacing w:val="1"/>
              <w:jc w:val="center"/>
              <w:rPr>
                <w:color w:val="000000"/>
                <w:sz w:val="22"/>
              </w:rPr>
            </w:pPr>
            <w:r>
              <w:rPr>
                <w:color w:val="000000"/>
                <w:sz w:val="22"/>
              </w:rPr>
              <w:t>47</w:t>
            </w:r>
          </w:p>
        </w:tc>
        <w:tc>
          <w:tcPr>
            <w:tcW w:type="dxa" w:w="1276"/>
            <w:tcBorders>
              <w:top w:sz="4" w:val="nil"/>
              <w:left w:sz="4" w:val="nil"/>
              <w:bottom w:color="000000" w:sz="4" w:val="single"/>
              <w:right w:color="000000" w:sz="4" w:val="single"/>
            </w:tcBorders>
            <w:shd w:fill="auto" w:val="clear"/>
            <w:vAlign w:val="center"/>
          </w:tcPr>
          <w:p w14:paraId="68050000">
            <w:pPr>
              <w:widowControl w:val="1"/>
              <w:ind w:firstLine="34" w:right="-108"/>
              <w:contextualSpacing w:val="1"/>
              <w:jc w:val="center"/>
              <w:rPr>
                <w:color w:val="000000"/>
                <w:sz w:val="22"/>
              </w:rPr>
            </w:pPr>
            <w:r>
              <w:rPr>
                <w:color w:val="000000"/>
                <w:sz w:val="22"/>
              </w:rPr>
              <w:t>52</w:t>
            </w:r>
          </w:p>
        </w:tc>
        <w:tc>
          <w:tcPr>
            <w:tcW w:type="dxa" w:w="1275"/>
            <w:tcBorders>
              <w:top w:sz="4" w:val="nil"/>
              <w:left w:sz="4" w:val="nil"/>
              <w:bottom w:color="000000" w:sz="4" w:val="single"/>
              <w:right w:color="000000" w:sz="4" w:val="single"/>
            </w:tcBorders>
            <w:shd w:fill="auto" w:val="clear"/>
            <w:vAlign w:val="center"/>
          </w:tcPr>
          <w:p w14:paraId="69050000">
            <w:pPr>
              <w:widowControl w:val="1"/>
              <w:ind w:firstLine="34" w:right="-108"/>
              <w:contextualSpacing w:val="1"/>
              <w:jc w:val="center"/>
              <w:rPr>
                <w:color w:val="000000"/>
                <w:sz w:val="22"/>
              </w:rPr>
            </w:pPr>
            <w:r>
              <w:rPr>
                <w:color w:val="000000"/>
                <w:sz w:val="22"/>
              </w:rPr>
              <w:t>52</w:t>
            </w:r>
          </w:p>
        </w:tc>
        <w:tc>
          <w:tcPr>
            <w:tcW w:type="dxa" w:w="1559"/>
            <w:tcBorders>
              <w:top w:sz="4" w:val="nil"/>
              <w:left w:sz="4" w:val="nil"/>
              <w:bottom w:color="000000" w:sz="4" w:val="single"/>
              <w:right w:color="000000" w:sz="4" w:val="single"/>
            </w:tcBorders>
            <w:shd w:fill="auto" w:val="clear"/>
            <w:vAlign w:val="center"/>
          </w:tcPr>
          <w:p w14:paraId="6A050000">
            <w:pPr>
              <w:widowControl w:val="1"/>
              <w:ind w:firstLine="34" w:right="-108"/>
              <w:contextualSpacing w:val="1"/>
              <w:jc w:val="center"/>
              <w:rPr>
                <w:sz w:val="22"/>
              </w:rPr>
            </w:pPr>
            <w:r>
              <w:rPr>
                <w:sz w:val="22"/>
              </w:rPr>
              <w:t>56</w:t>
            </w:r>
          </w:p>
        </w:tc>
        <w:tc>
          <w:tcPr>
            <w:tcW w:type="dxa" w:w="1135"/>
            <w:tcBorders>
              <w:top w:sz="4" w:val="nil"/>
              <w:left w:sz="4" w:val="nil"/>
              <w:bottom w:color="000000" w:sz="4" w:val="single"/>
              <w:right w:color="000000" w:sz="4" w:val="single"/>
            </w:tcBorders>
            <w:vAlign w:val="center"/>
          </w:tcPr>
          <w:p w14:paraId="6B050000">
            <w:pPr>
              <w:widowControl w:val="1"/>
              <w:ind w:firstLine="34" w:right="-108"/>
              <w:contextualSpacing w:val="1"/>
              <w:jc w:val="center"/>
              <w:rPr>
                <w:color w:val="000000"/>
                <w:sz w:val="22"/>
              </w:rPr>
            </w:pPr>
            <w:r>
              <w:rPr>
                <w:color w:val="000000"/>
                <w:sz w:val="22"/>
              </w:rPr>
              <w:t>58</w:t>
            </w:r>
          </w:p>
        </w:tc>
        <w:tc>
          <w:tcPr>
            <w:tcW w:type="dxa" w:w="1134"/>
            <w:tcBorders>
              <w:top w:sz="4" w:val="nil"/>
              <w:left w:sz="4" w:val="nil"/>
              <w:bottom w:color="000000" w:sz="4" w:val="single"/>
              <w:right w:color="000000" w:sz="4" w:val="single"/>
            </w:tcBorders>
            <w:vAlign w:val="center"/>
          </w:tcPr>
          <w:p w14:paraId="6C050000">
            <w:pPr>
              <w:widowControl w:val="1"/>
              <w:ind w:firstLine="34" w:right="-108"/>
              <w:contextualSpacing w:val="1"/>
              <w:jc w:val="center"/>
              <w:rPr>
                <w:color w:val="000000"/>
                <w:sz w:val="22"/>
              </w:rPr>
            </w:pPr>
            <w:r>
              <w:rPr>
                <w:color w:val="000000"/>
                <w:sz w:val="22"/>
              </w:rPr>
              <w:t>58</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6D050000">
            <w:pPr>
              <w:widowControl w:val="1"/>
              <w:ind w:firstLine="709" w:left="-688" w:right="-119"/>
              <w:contextualSpacing w:val="1"/>
              <w:jc w:val="center"/>
              <w:rPr>
                <w:color w:val="000000"/>
                <w:sz w:val="22"/>
              </w:rPr>
            </w:pPr>
            <w:r>
              <w:rPr>
                <w:color w:val="000000"/>
                <w:sz w:val="22"/>
              </w:rPr>
              <w:t>8</w:t>
            </w:r>
          </w:p>
        </w:tc>
        <w:tc>
          <w:tcPr>
            <w:tcW w:type="dxa" w:w="1134"/>
            <w:tcBorders>
              <w:top w:sz="4" w:val="nil"/>
              <w:left w:sz="4" w:val="nil"/>
              <w:bottom w:color="000000" w:sz="4" w:val="single"/>
              <w:right w:color="000000" w:sz="4" w:val="single"/>
            </w:tcBorders>
            <w:shd w:fill="auto" w:val="clear"/>
            <w:vAlign w:val="center"/>
          </w:tcPr>
          <w:p w14:paraId="6E050000">
            <w:pPr>
              <w:widowControl w:val="1"/>
              <w:ind w:firstLine="34" w:right="-108"/>
              <w:contextualSpacing w:val="1"/>
              <w:jc w:val="center"/>
              <w:rPr>
                <w:color w:val="000000"/>
                <w:sz w:val="22"/>
              </w:rPr>
            </w:pPr>
            <w:r>
              <w:rPr>
                <w:color w:val="000000"/>
                <w:sz w:val="22"/>
              </w:rPr>
              <w:t>71-80</w:t>
            </w:r>
          </w:p>
        </w:tc>
        <w:tc>
          <w:tcPr>
            <w:tcW w:type="dxa" w:w="1276"/>
            <w:tcBorders>
              <w:top w:sz="4" w:val="nil"/>
              <w:left w:sz="4" w:val="nil"/>
              <w:bottom w:color="000000" w:sz="4" w:val="single"/>
              <w:right w:color="000000" w:sz="4" w:val="single"/>
            </w:tcBorders>
            <w:shd w:fill="auto" w:val="clear"/>
            <w:vAlign w:val="center"/>
          </w:tcPr>
          <w:p w14:paraId="6F050000">
            <w:pPr>
              <w:widowControl w:val="1"/>
              <w:ind w:firstLine="34" w:right="-108"/>
              <w:contextualSpacing w:val="1"/>
              <w:jc w:val="center"/>
              <w:rPr>
                <w:color w:val="000000"/>
                <w:sz w:val="22"/>
              </w:rPr>
            </w:pPr>
            <w:r>
              <w:rPr>
                <w:color w:val="000000"/>
                <w:sz w:val="22"/>
              </w:rPr>
              <w:t>73</w:t>
            </w:r>
          </w:p>
        </w:tc>
        <w:tc>
          <w:tcPr>
            <w:tcW w:type="dxa" w:w="1276"/>
            <w:tcBorders>
              <w:top w:sz="4" w:val="nil"/>
              <w:left w:sz="4" w:val="nil"/>
              <w:bottom w:color="000000" w:sz="4" w:val="single"/>
              <w:right w:color="000000" w:sz="4" w:val="single"/>
            </w:tcBorders>
            <w:shd w:fill="auto" w:val="clear"/>
            <w:vAlign w:val="center"/>
          </w:tcPr>
          <w:p w14:paraId="70050000">
            <w:pPr>
              <w:widowControl w:val="1"/>
              <w:ind w:firstLine="34" w:right="-108"/>
              <w:contextualSpacing w:val="1"/>
              <w:jc w:val="center"/>
              <w:rPr>
                <w:color w:val="000000"/>
                <w:sz w:val="22"/>
              </w:rPr>
            </w:pPr>
            <w:r>
              <w:rPr>
                <w:color w:val="000000"/>
                <w:sz w:val="22"/>
              </w:rPr>
              <w:t>80</w:t>
            </w:r>
          </w:p>
        </w:tc>
        <w:tc>
          <w:tcPr>
            <w:tcW w:type="dxa" w:w="1275"/>
            <w:tcBorders>
              <w:top w:sz="4" w:val="nil"/>
              <w:left w:sz="4" w:val="nil"/>
              <w:bottom w:color="000000" w:sz="4" w:val="single"/>
              <w:right w:color="000000" w:sz="4" w:val="single"/>
            </w:tcBorders>
            <w:shd w:fill="auto" w:val="clear"/>
            <w:vAlign w:val="center"/>
          </w:tcPr>
          <w:p w14:paraId="71050000">
            <w:pPr>
              <w:widowControl w:val="1"/>
              <w:ind w:firstLine="34" w:right="-108"/>
              <w:contextualSpacing w:val="1"/>
              <w:jc w:val="center"/>
              <w:rPr>
                <w:color w:val="000000"/>
                <w:sz w:val="22"/>
              </w:rPr>
            </w:pPr>
            <w:r>
              <w:rPr>
                <w:color w:val="000000"/>
                <w:sz w:val="22"/>
              </w:rPr>
              <w:t>80</w:t>
            </w:r>
          </w:p>
        </w:tc>
        <w:tc>
          <w:tcPr>
            <w:tcW w:type="dxa" w:w="1559"/>
            <w:tcBorders>
              <w:top w:sz="4" w:val="nil"/>
              <w:left w:sz="4" w:val="nil"/>
              <w:bottom w:color="000000" w:sz="4" w:val="single"/>
              <w:right w:color="000000" w:sz="4" w:val="single"/>
            </w:tcBorders>
            <w:shd w:fill="auto" w:val="clear"/>
            <w:vAlign w:val="center"/>
          </w:tcPr>
          <w:p w14:paraId="72050000">
            <w:pPr>
              <w:widowControl w:val="1"/>
              <w:ind w:firstLine="34" w:right="-108"/>
              <w:contextualSpacing w:val="1"/>
              <w:jc w:val="center"/>
              <w:rPr>
                <w:sz w:val="22"/>
              </w:rPr>
            </w:pPr>
            <w:r>
              <w:rPr>
                <w:sz w:val="22"/>
              </w:rPr>
              <w:t>86</w:t>
            </w:r>
          </w:p>
        </w:tc>
        <w:tc>
          <w:tcPr>
            <w:tcW w:type="dxa" w:w="1135"/>
            <w:tcBorders>
              <w:top w:sz="4" w:val="nil"/>
              <w:left w:sz="4" w:val="nil"/>
              <w:bottom w:color="000000" w:sz="4" w:val="single"/>
              <w:right w:color="000000" w:sz="4" w:val="single"/>
            </w:tcBorders>
            <w:vAlign w:val="center"/>
          </w:tcPr>
          <w:p w14:paraId="73050000">
            <w:pPr>
              <w:widowControl w:val="1"/>
              <w:ind w:firstLine="34" w:right="-108"/>
              <w:contextualSpacing w:val="1"/>
              <w:jc w:val="center"/>
              <w:rPr>
                <w:color w:val="000000"/>
                <w:sz w:val="22"/>
              </w:rPr>
            </w:pPr>
            <w:r>
              <w:rPr>
                <w:color w:val="000000"/>
                <w:sz w:val="22"/>
              </w:rPr>
              <w:t>90</w:t>
            </w:r>
          </w:p>
        </w:tc>
        <w:tc>
          <w:tcPr>
            <w:tcW w:type="dxa" w:w="1134"/>
            <w:tcBorders>
              <w:top w:sz="4" w:val="nil"/>
              <w:left w:sz="4" w:val="nil"/>
              <w:bottom w:color="000000" w:sz="4" w:val="single"/>
              <w:right w:color="000000" w:sz="4" w:val="single"/>
            </w:tcBorders>
            <w:vAlign w:val="center"/>
          </w:tcPr>
          <w:p w14:paraId="74050000">
            <w:pPr>
              <w:widowControl w:val="1"/>
              <w:ind w:firstLine="34" w:right="-108"/>
              <w:contextualSpacing w:val="1"/>
              <w:jc w:val="center"/>
              <w:rPr>
                <w:color w:val="000000"/>
                <w:sz w:val="22"/>
              </w:rPr>
            </w:pPr>
            <w:r>
              <w:rPr>
                <w:color w:val="000000"/>
                <w:sz w:val="22"/>
              </w:rPr>
              <w:t>90</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75050000">
            <w:pPr>
              <w:widowControl w:val="1"/>
              <w:ind w:firstLine="709" w:left="-688" w:right="-119"/>
              <w:contextualSpacing w:val="1"/>
              <w:jc w:val="center"/>
              <w:rPr>
                <w:color w:val="000000"/>
                <w:sz w:val="22"/>
              </w:rPr>
            </w:pPr>
            <w:r>
              <w:rPr>
                <w:color w:val="000000"/>
                <w:sz w:val="22"/>
              </w:rPr>
              <w:t>9</w:t>
            </w:r>
          </w:p>
        </w:tc>
        <w:tc>
          <w:tcPr>
            <w:tcW w:type="dxa" w:w="1134"/>
            <w:tcBorders>
              <w:top w:sz="4" w:val="nil"/>
              <w:left w:sz="4" w:val="nil"/>
              <w:bottom w:color="000000" w:sz="4" w:val="single"/>
              <w:right w:color="000000" w:sz="4" w:val="single"/>
            </w:tcBorders>
            <w:shd w:fill="auto" w:val="clear"/>
            <w:vAlign w:val="center"/>
          </w:tcPr>
          <w:p w14:paraId="76050000">
            <w:pPr>
              <w:widowControl w:val="1"/>
              <w:ind w:firstLine="34" w:right="-108"/>
              <w:contextualSpacing w:val="1"/>
              <w:jc w:val="center"/>
              <w:rPr>
                <w:color w:val="000000"/>
                <w:sz w:val="22"/>
              </w:rPr>
            </w:pPr>
            <w:r>
              <w:rPr>
                <w:color w:val="000000"/>
                <w:sz w:val="22"/>
              </w:rPr>
              <w:t>81-90</w:t>
            </w:r>
          </w:p>
        </w:tc>
        <w:tc>
          <w:tcPr>
            <w:tcW w:type="dxa" w:w="1276"/>
            <w:tcBorders>
              <w:top w:sz="4" w:val="nil"/>
              <w:left w:sz="4" w:val="nil"/>
              <w:bottom w:color="000000" w:sz="4" w:val="single"/>
              <w:right w:color="000000" w:sz="4" w:val="single"/>
            </w:tcBorders>
            <w:shd w:fill="auto" w:val="clear"/>
            <w:vAlign w:val="center"/>
          </w:tcPr>
          <w:p w14:paraId="77050000">
            <w:pPr>
              <w:widowControl w:val="1"/>
              <w:ind w:firstLine="34" w:right="-108"/>
              <w:contextualSpacing w:val="1"/>
              <w:jc w:val="center"/>
              <w:rPr>
                <w:color w:val="000000"/>
                <w:sz w:val="22"/>
              </w:rPr>
            </w:pPr>
            <w:r>
              <w:rPr>
                <w:color w:val="000000"/>
                <w:sz w:val="22"/>
              </w:rPr>
              <w:t>80</w:t>
            </w:r>
          </w:p>
        </w:tc>
        <w:tc>
          <w:tcPr>
            <w:tcW w:type="dxa" w:w="1276"/>
            <w:tcBorders>
              <w:top w:sz="4" w:val="nil"/>
              <w:left w:sz="4" w:val="nil"/>
              <w:bottom w:color="000000" w:sz="4" w:val="single"/>
              <w:right w:color="000000" w:sz="4" w:val="single"/>
            </w:tcBorders>
            <w:shd w:fill="auto" w:val="clear"/>
            <w:vAlign w:val="center"/>
          </w:tcPr>
          <w:p w14:paraId="78050000">
            <w:pPr>
              <w:widowControl w:val="1"/>
              <w:ind w:firstLine="34" w:right="-108"/>
              <w:contextualSpacing w:val="1"/>
              <w:jc w:val="center"/>
              <w:rPr>
                <w:color w:val="000000"/>
                <w:sz w:val="22"/>
              </w:rPr>
            </w:pPr>
            <w:r>
              <w:rPr>
                <w:color w:val="000000"/>
                <w:sz w:val="22"/>
              </w:rPr>
              <w:t>88</w:t>
            </w:r>
          </w:p>
        </w:tc>
        <w:tc>
          <w:tcPr>
            <w:tcW w:type="dxa" w:w="1275"/>
            <w:tcBorders>
              <w:top w:sz="4" w:val="nil"/>
              <w:left w:sz="4" w:val="nil"/>
              <w:bottom w:color="000000" w:sz="4" w:val="single"/>
              <w:right w:color="000000" w:sz="4" w:val="single"/>
            </w:tcBorders>
            <w:shd w:fill="auto" w:val="clear"/>
            <w:vAlign w:val="center"/>
          </w:tcPr>
          <w:p w14:paraId="79050000">
            <w:pPr>
              <w:widowControl w:val="1"/>
              <w:ind w:firstLine="34" w:right="-108"/>
              <w:contextualSpacing w:val="1"/>
              <w:jc w:val="center"/>
              <w:rPr>
                <w:color w:val="000000"/>
                <w:sz w:val="22"/>
              </w:rPr>
            </w:pPr>
            <w:r>
              <w:rPr>
                <w:color w:val="000000"/>
                <w:sz w:val="22"/>
              </w:rPr>
              <w:t>88</w:t>
            </w:r>
          </w:p>
        </w:tc>
        <w:tc>
          <w:tcPr>
            <w:tcW w:type="dxa" w:w="1559"/>
            <w:tcBorders>
              <w:top w:sz="4" w:val="nil"/>
              <w:left w:sz="4" w:val="nil"/>
              <w:bottom w:color="000000" w:sz="4" w:val="single"/>
              <w:right w:color="000000" w:sz="4" w:val="single"/>
            </w:tcBorders>
            <w:shd w:fill="auto" w:val="clear"/>
            <w:vAlign w:val="center"/>
          </w:tcPr>
          <w:p w14:paraId="7A050000">
            <w:pPr>
              <w:widowControl w:val="1"/>
              <w:ind w:firstLine="34" w:right="-108"/>
              <w:contextualSpacing w:val="1"/>
              <w:jc w:val="center"/>
              <w:rPr>
                <w:sz w:val="22"/>
              </w:rPr>
            </w:pPr>
            <w:r>
              <w:rPr>
                <w:sz w:val="22"/>
              </w:rPr>
              <w:t>95</w:t>
            </w:r>
          </w:p>
        </w:tc>
        <w:tc>
          <w:tcPr>
            <w:tcW w:type="dxa" w:w="1135"/>
            <w:tcBorders>
              <w:top w:sz="4" w:val="nil"/>
              <w:left w:sz="4" w:val="nil"/>
              <w:bottom w:color="000000" w:sz="4" w:val="single"/>
              <w:right w:color="000000" w:sz="4" w:val="single"/>
            </w:tcBorders>
            <w:vAlign w:val="center"/>
          </w:tcPr>
          <w:p w14:paraId="7B050000">
            <w:pPr>
              <w:widowControl w:val="1"/>
              <w:ind w:firstLine="34" w:right="-108"/>
              <w:contextualSpacing w:val="1"/>
              <w:jc w:val="center"/>
              <w:rPr>
                <w:color w:val="000000"/>
                <w:sz w:val="22"/>
              </w:rPr>
            </w:pPr>
            <w:r>
              <w:rPr>
                <w:color w:val="000000"/>
                <w:sz w:val="22"/>
              </w:rPr>
              <w:t>99</w:t>
            </w:r>
          </w:p>
        </w:tc>
        <w:tc>
          <w:tcPr>
            <w:tcW w:type="dxa" w:w="1134"/>
            <w:tcBorders>
              <w:top w:sz="4" w:val="nil"/>
              <w:left w:sz="4" w:val="nil"/>
              <w:bottom w:color="000000" w:sz="4" w:val="single"/>
              <w:right w:color="000000" w:sz="4" w:val="single"/>
            </w:tcBorders>
            <w:vAlign w:val="center"/>
          </w:tcPr>
          <w:p w14:paraId="7C050000">
            <w:pPr>
              <w:widowControl w:val="1"/>
              <w:ind w:firstLine="34" w:right="-108"/>
              <w:contextualSpacing w:val="1"/>
              <w:jc w:val="center"/>
              <w:rPr>
                <w:color w:val="000000"/>
                <w:sz w:val="22"/>
              </w:rPr>
            </w:pPr>
            <w:r>
              <w:rPr>
                <w:color w:val="000000"/>
                <w:sz w:val="22"/>
              </w:rPr>
              <w:t>99</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7D050000">
            <w:pPr>
              <w:widowControl w:val="1"/>
              <w:ind w:firstLine="709" w:left="-688" w:right="-119"/>
              <w:contextualSpacing w:val="1"/>
              <w:jc w:val="center"/>
              <w:rPr>
                <w:color w:val="000000"/>
                <w:sz w:val="22"/>
              </w:rPr>
            </w:pPr>
            <w:r>
              <w:rPr>
                <w:color w:val="000000"/>
                <w:sz w:val="22"/>
              </w:rPr>
              <w:t>10</w:t>
            </w:r>
          </w:p>
        </w:tc>
        <w:tc>
          <w:tcPr>
            <w:tcW w:type="dxa" w:w="1134"/>
            <w:tcBorders>
              <w:top w:sz="4" w:val="nil"/>
              <w:left w:sz="4" w:val="nil"/>
              <w:bottom w:color="000000" w:sz="4" w:val="single"/>
              <w:right w:color="000000" w:sz="4" w:val="single"/>
            </w:tcBorders>
            <w:shd w:fill="auto" w:val="clear"/>
            <w:vAlign w:val="center"/>
          </w:tcPr>
          <w:p w14:paraId="7E050000">
            <w:pPr>
              <w:widowControl w:val="1"/>
              <w:ind w:firstLine="34" w:right="-108"/>
              <w:contextualSpacing w:val="1"/>
              <w:jc w:val="center"/>
              <w:rPr>
                <w:color w:val="000000"/>
                <w:sz w:val="22"/>
              </w:rPr>
            </w:pPr>
            <w:r>
              <w:rPr>
                <w:color w:val="000000"/>
                <w:sz w:val="22"/>
              </w:rPr>
              <w:t>91-100</w:t>
            </w:r>
          </w:p>
        </w:tc>
        <w:tc>
          <w:tcPr>
            <w:tcW w:type="dxa" w:w="1276"/>
            <w:tcBorders>
              <w:top w:sz="4" w:val="nil"/>
              <w:left w:sz="4" w:val="nil"/>
              <w:bottom w:color="000000" w:sz="4" w:val="single"/>
              <w:right w:color="000000" w:sz="4" w:val="single"/>
            </w:tcBorders>
            <w:shd w:fill="auto" w:val="clear"/>
            <w:vAlign w:val="center"/>
          </w:tcPr>
          <w:p w14:paraId="7F050000">
            <w:pPr>
              <w:widowControl w:val="1"/>
              <w:ind w:firstLine="34" w:right="-108"/>
              <w:contextualSpacing w:val="1"/>
              <w:jc w:val="center"/>
              <w:rPr>
                <w:color w:val="000000"/>
                <w:sz w:val="22"/>
              </w:rPr>
            </w:pPr>
            <w:r>
              <w:rPr>
                <w:color w:val="000000"/>
                <w:sz w:val="22"/>
              </w:rPr>
              <w:t>89</w:t>
            </w:r>
          </w:p>
        </w:tc>
        <w:tc>
          <w:tcPr>
            <w:tcW w:type="dxa" w:w="1276"/>
            <w:tcBorders>
              <w:top w:sz="4" w:val="nil"/>
              <w:left w:sz="4" w:val="nil"/>
              <w:bottom w:color="000000" w:sz="4" w:val="single"/>
              <w:right w:color="000000" w:sz="4" w:val="single"/>
            </w:tcBorders>
            <w:shd w:fill="auto" w:val="clear"/>
            <w:vAlign w:val="center"/>
          </w:tcPr>
          <w:p w14:paraId="80050000">
            <w:pPr>
              <w:widowControl w:val="1"/>
              <w:ind w:firstLine="34" w:right="-108"/>
              <w:contextualSpacing w:val="1"/>
              <w:jc w:val="center"/>
              <w:rPr>
                <w:color w:val="000000"/>
                <w:sz w:val="22"/>
              </w:rPr>
            </w:pPr>
            <w:r>
              <w:rPr>
                <w:color w:val="000000"/>
                <w:sz w:val="22"/>
              </w:rPr>
              <w:t>98</w:t>
            </w:r>
          </w:p>
        </w:tc>
        <w:tc>
          <w:tcPr>
            <w:tcW w:type="dxa" w:w="1275"/>
            <w:tcBorders>
              <w:top w:sz="4" w:val="nil"/>
              <w:left w:sz="4" w:val="nil"/>
              <w:bottom w:color="000000" w:sz="4" w:val="single"/>
              <w:right w:color="000000" w:sz="4" w:val="single"/>
            </w:tcBorders>
            <w:shd w:fill="auto" w:val="clear"/>
            <w:vAlign w:val="center"/>
          </w:tcPr>
          <w:p w14:paraId="81050000">
            <w:pPr>
              <w:widowControl w:val="1"/>
              <w:ind w:firstLine="34" w:right="-108"/>
              <w:contextualSpacing w:val="1"/>
              <w:jc w:val="center"/>
              <w:rPr>
                <w:color w:val="000000"/>
                <w:sz w:val="22"/>
              </w:rPr>
            </w:pPr>
            <w:r>
              <w:rPr>
                <w:color w:val="000000"/>
                <w:sz w:val="22"/>
              </w:rPr>
              <w:t>98</w:t>
            </w:r>
          </w:p>
        </w:tc>
        <w:tc>
          <w:tcPr>
            <w:tcW w:type="dxa" w:w="1559"/>
            <w:tcBorders>
              <w:top w:sz="4" w:val="nil"/>
              <w:left w:sz="4" w:val="nil"/>
              <w:bottom w:color="000000" w:sz="4" w:val="single"/>
              <w:right w:color="000000" w:sz="4" w:val="single"/>
            </w:tcBorders>
            <w:shd w:fill="auto" w:val="clear"/>
            <w:vAlign w:val="center"/>
          </w:tcPr>
          <w:p w14:paraId="82050000">
            <w:pPr>
              <w:widowControl w:val="1"/>
              <w:ind w:firstLine="34" w:right="-108"/>
              <w:contextualSpacing w:val="1"/>
              <w:jc w:val="center"/>
              <w:rPr>
                <w:sz w:val="22"/>
              </w:rPr>
            </w:pPr>
            <w:r>
              <w:rPr>
                <w:sz w:val="22"/>
              </w:rPr>
              <w:t>104</w:t>
            </w:r>
          </w:p>
        </w:tc>
        <w:tc>
          <w:tcPr>
            <w:tcW w:type="dxa" w:w="1135"/>
            <w:tcBorders>
              <w:top w:sz="4" w:val="nil"/>
              <w:left w:sz="4" w:val="nil"/>
              <w:bottom w:color="000000" w:sz="4" w:val="single"/>
              <w:right w:color="000000" w:sz="4" w:val="single"/>
            </w:tcBorders>
            <w:vAlign w:val="center"/>
          </w:tcPr>
          <w:p w14:paraId="83050000">
            <w:pPr>
              <w:widowControl w:val="1"/>
              <w:ind w:firstLine="34" w:right="-108"/>
              <w:contextualSpacing w:val="1"/>
              <w:jc w:val="center"/>
              <w:rPr>
                <w:color w:val="000000"/>
                <w:sz w:val="22"/>
              </w:rPr>
            </w:pPr>
            <w:r>
              <w:rPr>
                <w:color w:val="000000"/>
                <w:sz w:val="22"/>
              </w:rPr>
              <w:t>109</w:t>
            </w:r>
          </w:p>
        </w:tc>
        <w:tc>
          <w:tcPr>
            <w:tcW w:type="dxa" w:w="1134"/>
            <w:tcBorders>
              <w:top w:sz="4" w:val="nil"/>
              <w:left w:sz="4" w:val="nil"/>
              <w:bottom w:color="000000" w:sz="4" w:val="single"/>
              <w:right w:color="000000" w:sz="4" w:val="single"/>
            </w:tcBorders>
            <w:vAlign w:val="center"/>
          </w:tcPr>
          <w:p w14:paraId="84050000">
            <w:pPr>
              <w:widowControl w:val="1"/>
              <w:ind w:firstLine="34" w:right="-108"/>
              <w:contextualSpacing w:val="1"/>
              <w:jc w:val="center"/>
              <w:rPr>
                <w:color w:val="000000"/>
                <w:sz w:val="22"/>
              </w:rPr>
            </w:pPr>
            <w:r>
              <w:rPr>
                <w:color w:val="000000"/>
                <w:sz w:val="22"/>
              </w:rPr>
              <w:t>109</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85050000">
            <w:pPr>
              <w:widowControl w:val="1"/>
              <w:ind w:firstLine="709" w:left="-688" w:right="-119"/>
              <w:contextualSpacing w:val="1"/>
              <w:jc w:val="center"/>
              <w:rPr>
                <w:color w:val="000000"/>
                <w:sz w:val="22"/>
              </w:rPr>
            </w:pPr>
            <w:r>
              <w:rPr>
                <w:color w:val="000000"/>
                <w:sz w:val="22"/>
              </w:rPr>
              <w:t>11</w:t>
            </w:r>
          </w:p>
        </w:tc>
        <w:tc>
          <w:tcPr>
            <w:tcW w:type="dxa" w:w="1134"/>
            <w:tcBorders>
              <w:top w:sz="4" w:val="nil"/>
              <w:left w:sz="4" w:val="nil"/>
              <w:bottom w:color="000000" w:sz="4" w:val="single"/>
              <w:right w:color="000000" w:sz="4" w:val="single"/>
            </w:tcBorders>
            <w:shd w:fill="auto" w:val="clear"/>
            <w:vAlign w:val="center"/>
          </w:tcPr>
          <w:p w14:paraId="86050000">
            <w:pPr>
              <w:widowControl w:val="1"/>
              <w:ind w:firstLine="34" w:right="-108"/>
              <w:contextualSpacing w:val="1"/>
              <w:jc w:val="center"/>
              <w:rPr>
                <w:color w:val="000000"/>
                <w:sz w:val="22"/>
              </w:rPr>
            </w:pPr>
            <w:r>
              <w:rPr>
                <w:color w:val="000000"/>
                <w:sz w:val="22"/>
              </w:rPr>
              <w:t>101-110</w:t>
            </w:r>
          </w:p>
        </w:tc>
        <w:tc>
          <w:tcPr>
            <w:tcW w:type="dxa" w:w="1276"/>
            <w:tcBorders>
              <w:top w:sz="4" w:val="nil"/>
              <w:left w:sz="4" w:val="nil"/>
              <w:bottom w:color="000000" w:sz="4" w:val="single"/>
              <w:right w:color="000000" w:sz="4" w:val="single"/>
            </w:tcBorders>
            <w:shd w:fill="auto" w:val="clear"/>
            <w:vAlign w:val="center"/>
          </w:tcPr>
          <w:p w14:paraId="87050000">
            <w:pPr>
              <w:widowControl w:val="1"/>
              <w:ind w:firstLine="34" w:right="-108"/>
              <w:contextualSpacing w:val="1"/>
              <w:jc w:val="center"/>
              <w:rPr>
                <w:color w:val="000000"/>
                <w:sz w:val="22"/>
              </w:rPr>
            </w:pPr>
            <w:r>
              <w:rPr>
                <w:color w:val="000000"/>
                <w:sz w:val="22"/>
              </w:rPr>
              <w:t>95</w:t>
            </w:r>
          </w:p>
        </w:tc>
        <w:tc>
          <w:tcPr>
            <w:tcW w:type="dxa" w:w="1276"/>
            <w:tcBorders>
              <w:top w:sz="4" w:val="nil"/>
              <w:left w:sz="4" w:val="nil"/>
              <w:bottom w:color="000000" w:sz="4" w:val="single"/>
              <w:right w:color="000000" w:sz="4" w:val="single"/>
            </w:tcBorders>
            <w:shd w:fill="auto" w:val="clear"/>
            <w:vAlign w:val="center"/>
          </w:tcPr>
          <w:p w14:paraId="88050000">
            <w:pPr>
              <w:widowControl w:val="1"/>
              <w:ind w:firstLine="34" w:right="-108"/>
              <w:contextualSpacing w:val="1"/>
              <w:jc w:val="center"/>
              <w:rPr>
                <w:color w:val="000000"/>
                <w:sz w:val="22"/>
              </w:rPr>
            </w:pPr>
            <w:r>
              <w:rPr>
                <w:color w:val="000000"/>
                <w:sz w:val="22"/>
              </w:rPr>
              <w:t>105</w:t>
            </w:r>
          </w:p>
        </w:tc>
        <w:tc>
          <w:tcPr>
            <w:tcW w:type="dxa" w:w="1275"/>
            <w:tcBorders>
              <w:top w:sz="4" w:val="nil"/>
              <w:left w:sz="4" w:val="nil"/>
              <w:bottom w:color="000000" w:sz="4" w:val="single"/>
              <w:right w:color="000000" w:sz="4" w:val="single"/>
            </w:tcBorders>
            <w:shd w:fill="auto" w:val="clear"/>
            <w:vAlign w:val="center"/>
          </w:tcPr>
          <w:p w14:paraId="89050000">
            <w:pPr>
              <w:widowControl w:val="1"/>
              <w:ind w:firstLine="34" w:right="-108"/>
              <w:contextualSpacing w:val="1"/>
              <w:jc w:val="center"/>
              <w:rPr>
                <w:color w:val="000000"/>
                <w:sz w:val="22"/>
              </w:rPr>
            </w:pPr>
            <w:r>
              <w:rPr>
                <w:color w:val="000000"/>
                <w:sz w:val="22"/>
              </w:rPr>
              <w:t>105</w:t>
            </w:r>
          </w:p>
        </w:tc>
        <w:tc>
          <w:tcPr>
            <w:tcW w:type="dxa" w:w="1559"/>
            <w:tcBorders>
              <w:top w:sz="4" w:val="nil"/>
              <w:left w:sz="4" w:val="nil"/>
              <w:bottom w:color="000000" w:sz="4" w:val="single"/>
              <w:right w:color="000000" w:sz="4" w:val="single"/>
            </w:tcBorders>
            <w:shd w:fill="auto" w:val="clear"/>
            <w:vAlign w:val="center"/>
          </w:tcPr>
          <w:p w14:paraId="8A050000">
            <w:pPr>
              <w:widowControl w:val="1"/>
              <w:ind w:firstLine="34" w:right="-108"/>
              <w:contextualSpacing w:val="1"/>
              <w:jc w:val="center"/>
              <w:rPr>
                <w:sz w:val="22"/>
              </w:rPr>
            </w:pPr>
            <w:r>
              <w:rPr>
                <w:sz w:val="22"/>
              </w:rPr>
              <w:t>111</w:t>
            </w:r>
          </w:p>
        </w:tc>
        <w:tc>
          <w:tcPr>
            <w:tcW w:type="dxa" w:w="1135"/>
            <w:tcBorders>
              <w:top w:sz="4" w:val="nil"/>
              <w:left w:sz="4" w:val="nil"/>
              <w:bottom w:color="000000" w:sz="4" w:val="single"/>
              <w:right w:color="000000" w:sz="4" w:val="single"/>
            </w:tcBorders>
            <w:vAlign w:val="center"/>
          </w:tcPr>
          <w:p w14:paraId="8B050000">
            <w:pPr>
              <w:widowControl w:val="1"/>
              <w:ind w:firstLine="34" w:right="-108"/>
              <w:contextualSpacing w:val="1"/>
              <w:jc w:val="center"/>
              <w:rPr>
                <w:color w:val="000000"/>
                <w:sz w:val="22"/>
              </w:rPr>
            </w:pPr>
            <w:r>
              <w:rPr>
                <w:color w:val="000000"/>
                <w:sz w:val="22"/>
              </w:rPr>
              <w:t>116</w:t>
            </w:r>
          </w:p>
        </w:tc>
        <w:tc>
          <w:tcPr>
            <w:tcW w:type="dxa" w:w="1134"/>
            <w:tcBorders>
              <w:top w:sz="4" w:val="nil"/>
              <w:left w:sz="4" w:val="nil"/>
              <w:bottom w:color="000000" w:sz="4" w:val="single"/>
              <w:right w:color="000000" w:sz="4" w:val="single"/>
            </w:tcBorders>
            <w:vAlign w:val="center"/>
          </w:tcPr>
          <w:p w14:paraId="8C050000">
            <w:pPr>
              <w:widowControl w:val="1"/>
              <w:ind w:firstLine="34" w:right="-108"/>
              <w:contextualSpacing w:val="1"/>
              <w:jc w:val="center"/>
              <w:rPr>
                <w:color w:val="000000"/>
                <w:sz w:val="22"/>
              </w:rPr>
            </w:pPr>
            <w:r>
              <w:rPr>
                <w:color w:val="000000"/>
                <w:sz w:val="22"/>
              </w:rPr>
              <w:t>116</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8D050000">
            <w:pPr>
              <w:widowControl w:val="1"/>
              <w:ind w:firstLine="709" w:left="-688" w:right="-119"/>
              <w:contextualSpacing w:val="1"/>
              <w:jc w:val="center"/>
              <w:rPr>
                <w:color w:val="000000"/>
                <w:sz w:val="22"/>
              </w:rPr>
            </w:pPr>
            <w:r>
              <w:rPr>
                <w:color w:val="000000"/>
                <w:sz w:val="22"/>
              </w:rPr>
              <w:t>12</w:t>
            </w:r>
          </w:p>
        </w:tc>
        <w:tc>
          <w:tcPr>
            <w:tcW w:type="dxa" w:w="1134"/>
            <w:tcBorders>
              <w:top w:sz="4" w:val="nil"/>
              <w:left w:sz="4" w:val="nil"/>
              <w:bottom w:color="000000" w:sz="4" w:val="single"/>
              <w:right w:color="000000" w:sz="4" w:val="single"/>
            </w:tcBorders>
            <w:shd w:fill="auto" w:val="clear"/>
            <w:vAlign w:val="center"/>
          </w:tcPr>
          <w:p w14:paraId="8E050000">
            <w:pPr>
              <w:widowControl w:val="1"/>
              <w:ind w:firstLine="34" w:right="-108"/>
              <w:contextualSpacing w:val="1"/>
              <w:jc w:val="center"/>
              <w:rPr>
                <w:color w:val="000000"/>
                <w:sz w:val="22"/>
              </w:rPr>
            </w:pPr>
            <w:r>
              <w:rPr>
                <w:color w:val="000000"/>
                <w:sz w:val="22"/>
              </w:rPr>
              <w:t>111-120</w:t>
            </w:r>
          </w:p>
        </w:tc>
        <w:tc>
          <w:tcPr>
            <w:tcW w:type="dxa" w:w="1276"/>
            <w:tcBorders>
              <w:top w:sz="4" w:val="nil"/>
              <w:left w:sz="4" w:val="nil"/>
              <w:bottom w:color="000000" w:sz="4" w:val="single"/>
              <w:right w:color="000000" w:sz="4" w:val="single"/>
            </w:tcBorders>
            <w:shd w:fill="auto" w:val="clear"/>
            <w:vAlign w:val="center"/>
          </w:tcPr>
          <w:p w14:paraId="8F050000">
            <w:pPr>
              <w:widowControl w:val="1"/>
              <w:ind w:firstLine="34" w:right="-108"/>
              <w:contextualSpacing w:val="1"/>
              <w:jc w:val="center"/>
              <w:rPr>
                <w:color w:val="000000"/>
                <w:sz w:val="22"/>
              </w:rPr>
            </w:pPr>
            <w:r>
              <w:rPr>
                <w:color w:val="000000"/>
                <w:sz w:val="22"/>
              </w:rPr>
              <w:t>100</w:t>
            </w:r>
          </w:p>
        </w:tc>
        <w:tc>
          <w:tcPr>
            <w:tcW w:type="dxa" w:w="1276"/>
            <w:tcBorders>
              <w:top w:sz="4" w:val="nil"/>
              <w:left w:sz="4" w:val="nil"/>
              <w:bottom w:color="000000" w:sz="4" w:val="single"/>
              <w:right w:color="000000" w:sz="4" w:val="single"/>
            </w:tcBorders>
            <w:shd w:fill="auto" w:val="clear"/>
            <w:vAlign w:val="center"/>
          </w:tcPr>
          <w:p w14:paraId="90050000">
            <w:pPr>
              <w:widowControl w:val="1"/>
              <w:ind w:firstLine="34" w:right="-108"/>
              <w:contextualSpacing w:val="1"/>
              <w:jc w:val="center"/>
              <w:rPr>
                <w:color w:val="000000"/>
                <w:sz w:val="22"/>
              </w:rPr>
            </w:pPr>
            <w:r>
              <w:rPr>
                <w:color w:val="000000"/>
                <w:sz w:val="22"/>
              </w:rPr>
              <w:t>110</w:t>
            </w:r>
          </w:p>
        </w:tc>
        <w:tc>
          <w:tcPr>
            <w:tcW w:type="dxa" w:w="1275"/>
            <w:tcBorders>
              <w:top w:sz="4" w:val="nil"/>
              <w:left w:sz="4" w:val="nil"/>
              <w:bottom w:color="000000" w:sz="4" w:val="single"/>
              <w:right w:color="000000" w:sz="4" w:val="single"/>
            </w:tcBorders>
            <w:shd w:fill="auto" w:val="clear"/>
            <w:vAlign w:val="center"/>
          </w:tcPr>
          <w:p w14:paraId="91050000">
            <w:pPr>
              <w:widowControl w:val="1"/>
              <w:ind w:firstLine="34" w:right="-108"/>
              <w:contextualSpacing w:val="1"/>
              <w:jc w:val="center"/>
              <w:rPr>
                <w:color w:val="000000"/>
                <w:sz w:val="22"/>
              </w:rPr>
            </w:pPr>
            <w:r>
              <w:rPr>
                <w:color w:val="000000"/>
                <w:sz w:val="22"/>
              </w:rPr>
              <w:t>110</w:t>
            </w:r>
          </w:p>
        </w:tc>
        <w:tc>
          <w:tcPr>
            <w:tcW w:type="dxa" w:w="1559"/>
            <w:tcBorders>
              <w:top w:sz="4" w:val="nil"/>
              <w:left w:sz="4" w:val="nil"/>
              <w:bottom w:color="000000" w:sz="4" w:val="single"/>
              <w:right w:color="000000" w:sz="4" w:val="single"/>
            </w:tcBorders>
            <w:shd w:fill="auto" w:val="clear"/>
            <w:vAlign w:val="center"/>
          </w:tcPr>
          <w:p w14:paraId="92050000">
            <w:pPr>
              <w:widowControl w:val="1"/>
              <w:ind w:firstLine="34" w:right="-108"/>
              <w:contextualSpacing w:val="1"/>
              <w:jc w:val="center"/>
              <w:rPr>
                <w:sz w:val="22"/>
              </w:rPr>
            </w:pPr>
            <w:r>
              <w:rPr>
                <w:sz w:val="22"/>
              </w:rPr>
              <w:t>117</w:t>
            </w:r>
          </w:p>
        </w:tc>
        <w:tc>
          <w:tcPr>
            <w:tcW w:type="dxa" w:w="1135"/>
            <w:tcBorders>
              <w:top w:sz="4" w:val="nil"/>
              <w:left w:sz="4" w:val="nil"/>
              <w:bottom w:color="000000" w:sz="4" w:val="single"/>
              <w:right w:color="000000" w:sz="4" w:val="single"/>
            </w:tcBorders>
            <w:vAlign w:val="center"/>
          </w:tcPr>
          <w:p w14:paraId="93050000">
            <w:pPr>
              <w:widowControl w:val="1"/>
              <w:ind w:firstLine="34" w:right="-108"/>
              <w:contextualSpacing w:val="1"/>
              <w:jc w:val="center"/>
              <w:rPr>
                <w:color w:val="000000"/>
                <w:sz w:val="22"/>
              </w:rPr>
            </w:pPr>
            <w:r>
              <w:rPr>
                <w:color w:val="000000"/>
                <w:sz w:val="22"/>
              </w:rPr>
              <w:t>122</w:t>
            </w:r>
          </w:p>
        </w:tc>
        <w:tc>
          <w:tcPr>
            <w:tcW w:type="dxa" w:w="1134"/>
            <w:tcBorders>
              <w:top w:sz="4" w:val="nil"/>
              <w:left w:sz="4" w:val="nil"/>
              <w:bottom w:color="000000" w:sz="4" w:val="single"/>
              <w:right w:color="000000" w:sz="4" w:val="single"/>
            </w:tcBorders>
            <w:vAlign w:val="center"/>
          </w:tcPr>
          <w:p w14:paraId="94050000">
            <w:pPr>
              <w:widowControl w:val="1"/>
              <w:ind w:firstLine="34" w:right="-108"/>
              <w:contextualSpacing w:val="1"/>
              <w:jc w:val="center"/>
              <w:rPr>
                <w:color w:val="000000"/>
                <w:sz w:val="22"/>
              </w:rPr>
            </w:pPr>
            <w:r>
              <w:rPr>
                <w:color w:val="000000"/>
                <w:sz w:val="22"/>
              </w:rPr>
              <w:t>122</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95050000">
            <w:pPr>
              <w:widowControl w:val="1"/>
              <w:ind w:firstLine="709" w:left="-688" w:right="-119"/>
              <w:contextualSpacing w:val="1"/>
              <w:jc w:val="center"/>
              <w:rPr>
                <w:color w:val="000000"/>
                <w:sz w:val="22"/>
              </w:rPr>
            </w:pPr>
            <w:r>
              <w:rPr>
                <w:color w:val="000000"/>
                <w:sz w:val="22"/>
              </w:rPr>
              <w:t>13</w:t>
            </w:r>
          </w:p>
        </w:tc>
        <w:tc>
          <w:tcPr>
            <w:tcW w:type="dxa" w:w="1134"/>
            <w:tcBorders>
              <w:top w:sz="4" w:val="nil"/>
              <w:left w:sz="4" w:val="nil"/>
              <w:bottom w:color="000000" w:sz="4" w:val="single"/>
              <w:right w:color="000000" w:sz="4" w:val="single"/>
            </w:tcBorders>
            <w:shd w:fill="auto" w:val="clear"/>
            <w:vAlign w:val="center"/>
          </w:tcPr>
          <w:p w14:paraId="96050000">
            <w:pPr>
              <w:widowControl w:val="1"/>
              <w:ind w:firstLine="34" w:right="-108"/>
              <w:contextualSpacing w:val="1"/>
              <w:jc w:val="center"/>
              <w:rPr>
                <w:color w:val="000000"/>
                <w:sz w:val="22"/>
              </w:rPr>
            </w:pPr>
            <w:r>
              <w:rPr>
                <w:color w:val="000000"/>
                <w:sz w:val="22"/>
              </w:rPr>
              <w:t>121-130</w:t>
            </w:r>
          </w:p>
        </w:tc>
        <w:tc>
          <w:tcPr>
            <w:tcW w:type="dxa" w:w="1276"/>
            <w:tcBorders>
              <w:top w:sz="4" w:val="nil"/>
              <w:left w:sz="4" w:val="nil"/>
              <w:bottom w:color="000000" w:sz="4" w:val="single"/>
              <w:right w:color="000000" w:sz="4" w:val="single"/>
            </w:tcBorders>
            <w:shd w:fill="auto" w:val="clear"/>
            <w:vAlign w:val="center"/>
          </w:tcPr>
          <w:p w14:paraId="97050000">
            <w:pPr>
              <w:widowControl w:val="1"/>
              <w:ind w:firstLine="34" w:right="-108"/>
              <w:contextualSpacing w:val="1"/>
              <w:jc w:val="center"/>
              <w:rPr>
                <w:color w:val="000000"/>
                <w:sz w:val="22"/>
              </w:rPr>
            </w:pPr>
            <w:r>
              <w:rPr>
                <w:color w:val="000000"/>
                <w:sz w:val="22"/>
              </w:rPr>
              <w:t>106</w:t>
            </w:r>
          </w:p>
        </w:tc>
        <w:tc>
          <w:tcPr>
            <w:tcW w:type="dxa" w:w="1276"/>
            <w:tcBorders>
              <w:top w:sz="4" w:val="nil"/>
              <w:left w:sz="4" w:val="nil"/>
              <w:bottom w:color="000000" w:sz="4" w:val="single"/>
              <w:right w:color="000000" w:sz="4" w:val="single"/>
            </w:tcBorders>
            <w:shd w:fill="auto" w:val="clear"/>
            <w:vAlign w:val="center"/>
          </w:tcPr>
          <w:p w14:paraId="98050000">
            <w:pPr>
              <w:widowControl w:val="1"/>
              <w:ind w:firstLine="34" w:right="-108"/>
              <w:contextualSpacing w:val="1"/>
              <w:jc w:val="center"/>
              <w:rPr>
                <w:color w:val="000000"/>
                <w:sz w:val="22"/>
              </w:rPr>
            </w:pPr>
            <w:r>
              <w:rPr>
                <w:color w:val="000000"/>
                <w:sz w:val="22"/>
              </w:rPr>
              <w:t>117</w:t>
            </w:r>
          </w:p>
        </w:tc>
        <w:tc>
          <w:tcPr>
            <w:tcW w:type="dxa" w:w="1275"/>
            <w:tcBorders>
              <w:top w:sz="4" w:val="nil"/>
              <w:left w:sz="4" w:val="nil"/>
              <w:bottom w:color="000000" w:sz="4" w:val="single"/>
              <w:right w:color="000000" w:sz="4" w:val="single"/>
            </w:tcBorders>
            <w:shd w:fill="auto" w:val="clear"/>
            <w:vAlign w:val="center"/>
          </w:tcPr>
          <w:p w14:paraId="99050000">
            <w:pPr>
              <w:widowControl w:val="1"/>
              <w:ind w:firstLine="34" w:right="-108"/>
              <w:contextualSpacing w:val="1"/>
              <w:jc w:val="center"/>
              <w:rPr>
                <w:color w:val="000000"/>
                <w:sz w:val="22"/>
              </w:rPr>
            </w:pPr>
            <w:r>
              <w:rPr>
                <w:color w:val="000000"/>
                <w:sz w:val="22"/>
              </w:rPr>
              <w:t>117</w:t>
            </w:r>
          </w:p>
        </w:tc>
        <w:tc>
          <w:tcPr>
            <w:tcW w:type="dxa" w:w="1559"/>
            <w:tcBorders>
              <w:top w:sz="4" w:val="nil"/>
              <w:left w:sz="4" w:val="nil"/>
              <w:bottom w:color="000000" w:sz="4" w:val="single"/>
              <w:right w:color="000000" w:sz="4" w:val="single"/>
            </w:tcBorders>
            <w:shd w:fill="auto" w:val="clear"/>
            <w:vAlign w:val="center"/>
          </w:tcPr>
          <w:p w14:paraId="9A050000">
            <w:pPr>
              <w:widowControl w:val="1"/>
              <w:ind w:firstLine="34" w:right="-108"/>
              <w:contextualSpacing w:val="1"/>
              <w:jc w:val="center"/>
              <w:rPr>
                <w:sz w:val="22"/>
              </w:rPr>
            </w:pPr>
            <w:r>
              <w:rPr>
                <w:sz w:val="22"/>
              </w:rPr>
              <w:t>125</w:t>
            </w:r>
          </w:p>
        </w:tc>
        <w:tc>
          <w:tcPr>
            <w:tcW w:type="dxa" w:w="1135"/>
            <w:tcBorders>
              <w:top w:sz="4" w:val="nil"/>
              <w:left w:sz="4" w:val="nil"/>
              <w:bottom w:color="000000" w:sz="4" w:val="single"/>
              <w:right w:color="000000" w:sz="4" w:val="single"/>
            </w:tcBorders>
            <w:vAlign w:val="center"/>
          </w:tcPr>
          <w:p w14:paraId="9B050000">
            <w:pPr>
              <w:widowControl w:val="1"/>
              <w:ind w:firstLine="34" w:right="-108"/>
              <w:contextualSpacing w:val="1"/>
              <w:jc w:val="center"/>
              <w:rPr>
                <w:color w:val="000000"/>
                <w:sz w:val="22"/>
              </w:rPr>
            </w:pPr>
            <w:r>
              <w:rPr>
                <w:color w:val="000000"/>
                <w:sz w:val="22"/>
              </w:rPr>
              <w:t>131</w:t>
            </w:r>
          </w:p>
        </w:tc>
        <w:tc>
          <w:tcPr>
            <w:tcW w:type="dxa" w:w="1134"/>
            <w:tcBorders>
              <w:top w:sz="4" w:val="nil"/>
              <w:left w:sz="4" w:val="nil"/>
              <w:bottom w:color="000000" w:sz="4" w:val="single"/>
              <w:right w:color="000000" w:sz="4" w:val="single"/>
            </w:tcBorders>
            <w:vAlign w:val="center"/>
          </w:tcPr>
          <w:p w14:paraId="9C050000">
            <w:pPr>
              <w:widowControl w:val="1"/>
              <w:ind w:firstLine="34" w:right="-108"/>
              <w:contextualSpacing w:val="1"/>
              <w:jc w:val="center"/>
              <w:rPr>
                <w:color w:val="000000"/>
                <w:sz w:val="22"/>
              </w:rPr>
            </w:pPr>
            <w:r>
              <w:rPr>
                <w:color w:val="000000"/>
                <w:sz w:val="22"/>
              </w:rPr>
              <w:t>131</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9D050000">
            <w:pPr>
              <w:widowControl w:val="1"/>
              <w:ind w:firstLine="709" w:left="-688" w:right="-119"/>
              <w:contextualSpacing w:val="1"/>
              <w:jc w:val="center"/>
              <w:rPr>
                <w:color w:val="000000"/>
                <w:sz w:val="22"/>
              </w:rPr>
            </w:pPr>
            <w:r>
              <w:rPr>
                <w:color w:val="000000"/>
                <w:sz w:val="22"/>
              </w:rPr>
              <w:t>14</w:t>
            </w:r>
          </w:p>
        </w:tc>
        <w:tc>
          <w:tcPr>
            <w:tcW w:type="dxa" w:w="1134"/>
            <w:tcBorders>
              <w:top w:sz="4" w:val="nil"/>
              <w:left w:sz="4" w:val="nil"/>
              <w:bottom w:color="000000" w:sz="4" w:val="single"/>
              <w:right w:color="000000" w:sz="4" w:val="single"/>
            </w:tcBorders>
            <w:shd w:fill="auto" w:val="clear"/>
            <w:vAlign w:val="center"/>
          </w:tcPr>
          <w:p w14:paraId="9E050000">
            <w:pPr>
              <w:widowControl w:val="1"/>
              <w:ind w:firstLine="34" w:right="-108"/>
              <w:contextualSpacing w:val="1"/>
              <w:jc w:val="center"/>
              <w:rPr>
                <w:color w:val="000000"/>
                <w:sz w:val="22"/>
              </w:rPr>
            </w:pPr>
            <w:r>
              <w:rPr>
                <w:color w:val="000000"/>
                <w:sz w:val="22"/>
              </w:rPr>
              <w:t>131-140</w:t>
            </w:r>
          </w:p>
        </w:tc>
        <w:tc>
          <w:tcPr>
            <w:tcW w:type="dxa" w:w="1276"/>
            <w:tcBorders>
              <w:top w:sz="4" w:val="nil"/>
              <w:left w:sz="4" w:val="nil"/>
              <w:bottom w:color="000000" w:sz="4" w:val="single"/>
              <w:right w:color="000000" w:sz="4" w:val="single"/>
            </w:tcBorders>
            <w:shd w:fill="auto" w:val="clear"/>
            <w:vAlign w:val="center"/>
          </w:tcPr>
          <w:p w14:paraId="9F050000">
            <w:pPr>
              <w:widowControl w:val="1"/>
              <w:ind w:firstLine="34" w:right="-108"/>
              <w:contextualSpacing w:val="1"/>
              <w:jc w:val="center"/>
              <w:rPr>
                <w:color w:val="000000"/>
                <w:sz w:val="22"/>
              </w:rPr>
            </w:pPr>
            <w:r>
              <w:rPr>
                <w:color w:val="000000"/>
                <w:sz w:val="22"/>
              </w:rPr>
              <w:t>114</w:t>
            </w:r>
          </w:p>
        </w:tc>
        <w:tc>
          <w:tcPr>
            <w:tcW w:type="dxa" w:w="1276"/>
            <w:tcBorders>
              <w:top w:sz="4" w:val="nil"/>
              <w:left w:sz="4" w:val="nil"/>
              <w:bottom w:color="000000" w:sz="4" w:val="single"/>
              <w:right w:color="000000" w:sz="4" w:val="single"/>
            </w:tcBorders>
            <w:shd w:fill="auto" w:val="clear"/>
            <w:vAlign w:val="center"/>
          </w:tcPr>
          <w:p w14:paraId="A0050000">
            <w:pPr>
              <w:widowControl w:val="1"/>
              <w:ind w:firstLine="34" w:right="-108"/>
              <w:contextualSpacing w:val="1"/>
              <w:jc w:val="center"/>
              <w:rPr>
                <w:color w:val="000000"/>
                <w:sz w:val="22"/>
              </w:rPr>
            </w:pPr>
            <w:r>
              <w:rPr>
                <w:color w:val="000000"/>
                <w:sz w:val="22"/>
              </w:rPr>
              <w:t>125</w:t>
            </w:r>
          </w:p>
        </w:tc>
        <w:tc>
          <w:tcPr>
            <w:tcW w:type="dxa" w:w="1275"/>
            <w:tcBorders>
              <w:top w:sz="4" w:val="nil"/>
              <w:left w:sz="4" w:val="nil"/>
              <w:bottom w:color="000000" w:sz="4" w:val="single"/>
              <w:right w:color="000000" w:sz="4" w:val="single"/>
            </w:tcBorders>
            <w:shd w:fill="auto" w:val="clear"/>
            <w:vAlign w:val="center"/>
          </w:tcPr>
          <w:p w14:paraId="A1050000">
            <w:pPr>
              <w:widowControl w:val="1"/>
              <w:ind w:firstLine="34" w:right="-108"/>
              <w:contextualSpacing w:val="1"/>
              <w:jc w:val="center"/>
              <w:rPr>
                <w:color w:val="000000"/>
                <w:sz w:val="22"/>
              </w:rPr>
            </w:pPr>
            <w:r>
              <w:rPr>
                <w:color w:val="000000"/>
                <w:sz w:val="22"/>
              </w:rPr>
              <w:t>125</w:t>
            </w:r>
          </w:p>
        </w:tc>
        <w:tc>
          <w:tcPr>
            <w:tcW w:type="dxa" w:w="1559"/>
            <w:tcBorders>
              <w:top w:sz="4" w:val="nil"/>
              <w:left w:sz="4" w:val="nil"/>
              <w:bottom w:color="000000" w:sz="4" w:val="single"/>
              <w:right w:color="000000" w:sz="4" w:val="single"/>
            </w:tcBorders>
            <w:shd w:fill="auto" w:val="clear"/>
            <w:vAlign w:val="center"/>
          </w:tcPr>
          <w:p w14:paraId="A2050000">
            <w:pPr>
              <w:widowControl w:val="1"/>
              <w:ind w:firstLine="34" w:right="-108"/>
              <w:contextualSpacing w:val="1"/>
              <w:jc w:val="center"/>
              <w:rPr>
                <w:sz w:val="22"/>
              </w:rPr>
            </w:pPr>
            <w:r>
              <w:rPr>
                <w:sz w:val="22"/>
              </w:rPr>
              <w:t>133</w:t>
            </w:r>
          </w:p>
        </w:tc>
        <w:tc>
          <w:tcPr>
            <w:tcW w:type="dxa" w:w="1135"/>
            <w:tcBorders>
              <w:top w:sz="4" w:val="nil"/>
              <w:left w:sz="4" w:val="nil"/>
              <w:bottom w:color="000000" w:sz="4" w:val="single"/>
              <w:right w:color="000000" w:sz="4" w:val="single"/>
            </w:tcBorders>
            <w:vAlign w:val="center"/>
          </w:tcPr>
          <w:p w14:paraId="A3050000">
            <w:pPr>
              <w:widowControl w:val="1"/>
              <w:ind w:firstLine="34" w:right="-108"/>
              <w:contextualSpacing w:val="1"/>
              <w:jc w:val="center"/>
              <w:rPr>
                <w:color w:val="000000"/>
                <w:sz w:val="22"/>
              </w:rPr>
            </w:pPr>
            <w:r>
              <w:rPr>
                <w:color w:val="000000"/>
                <w:sz w:val="22"/>
              </w:rPr>
              <w:t>139</w:t>
            </w:r>
          </w:p>
        </w:tc>
        <w:tc>
          <w:tcPr>
            <w:tcW w:type="dxa" w:w="1134"/>
            <w:tcBorders>
              <w:top w:sz="4" w:val="nil"/>
              <w:left w:sz="4" w:val="nil"/>
              <w:bottom w:color="000000" w:sz="4" w:val="single"/>
              <w:right w:color="000000" w:sz="4" w:val="single"/>
            </w:tcBorders>
            <w:vAlign w:val="center"/>
          </w:tcPr>
          <w:p w14:paraId="A4050000">
            <w:pPr>
              <w:widowControl w:val="1"/>
              <w:ind w:firstLine="34" w:right="-108"/>
              <w:contextualSpacing w:val="1"/>
              <w:jc w:val="center"/>
              <w:rPr>
                <w:color w:val="000000"/>
                <w:sz w:val="22"/>
              </w:rPr>
            </w:pPr>
            <w:r>
              <w:rPr>
                <w:color w:val="000000"/>
                <w:sz w:val="22"/>
              </w:rPr>
              <w:t>139</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A5050000">
            <w:pPr>
              <w:widowControl w:val="1"/>
              <w:ind w:firstLine="709" w:left="-688" w:right="-119"/>
              <w:contextualSpacing w:val="1"/>
              <w:jc w:val="center"/>
              <w:rPr>
                <w:color w:val="000000"/>
                <w:sz w:val="22"/>
              </w:rPr>
            </w:pPr>
            <w:r>
              <w:rPr>
                <w:color w:val="000000"/>
                <w:sz w:val="22"/>
              </w:rPr>
              <w:t>15</w:t>
            </w:r>
          </w:p>
        </w:tc>
        <w:tc>
          <w:tcPr>
            <w:tcW w:type="dxa" w:w="1134"/>
            <w:tcBorders>
              <w:top w:sz="4" w:val="nil"/>
              <w:left w:sz="4" w:val="nil"/>
              <w:bottom w:color="000000" w:sz="4" w:val="single"/>
              <w:right w:color="000000" w:sz="4" w:val="single"/>
            </w:tcBorders>
            <w:shd w:fill="auto" w:val="clear"/>
            <w:vAlign w:val="center"/>
          </w:tcPr>
          <w:p w14:paraId="A6050000">
            <w:pPr>
              <w:widowControl w:val="1"/>
              <w:ind w:firstLine="34" w:right="-108"/>
              <w:contextualSpacing w:val="1"/>
              <w:jc w:val="center"/>
              <w:rPr>
                <w:color w:val="000000"/>
                <w:sz w:val="22"/>
              </w:rPr>
            </w:pPr>
            <w:r>
              <w:rPr>
                <w:color w:val="000000"/>
                <w:sz w:val="22"/>
              </w:rPr>
              <w:t>141-150</w:t>
            </w:r>
          </w:p>
        </w:tc>
        <w:tc>
          <w:tcPr>
            <w:tcW w:type="dxa" w:w="1276"/>
            <w:tcBorders>
              <w:top w:sz="4" w:val="nil"/>
              <w:left w:sz="4" w:val="nil"/>
              <w:bottom w:color="000000" w:sz="4" w:val="single"/>
              <w:right w:color="000000" w:sz="4" w:val="single"/>
            </w:tcBorders>
            <w:shd w:fill="auto" w:val="clear"/>
            <w:vAlign w:val="center"/>
          </w:tcPr>
          <w:p w14:paraId="A7050000">
            <w:pPr>
              <w:widowControl w:val="1"/>
              <w:ind w:firstLine="34" w:right="-108"/>
              <w:contextualSpacing w:val="1"/>
              <w:jc w:val="center"/>
              <w:rPr>
                <w:color w:val="000000"/>
                <w:sz w:val="22"/>
              </w:rPr>
            </w:pPr>
            <w:r>
              <w:rPr>
                <w:color w:val="000000"/>
                <w:sz w:val="22"/>
              </w:rPr>
              <w:t>152</w:t>
            </w:r>
          </w:p>
        </w:tc>
        <w:tc>
          <w:tcPr>
            <w:tcW w:type="dxa" w:w="1276"/>
            <w:tcBorders>
              <w:top w:sz="4" w:val="nil"/>
              <w:left w:sz="4" w:val="nil"/>
              <w:bottom w:color="000000" w:sz="4" w:val="single"/>
              <w:right w:color="000000" w:sz="4" w:val="single"/>
            </w:tcBorders>
            <w:shd w:fill="auto" w:val="clear"/>
            <w:vAlign w:val="center"/>
          </w:tcPr>
          <w:p w14:paraId="A8050000">
            <w:pPr>
              <w:widowControl w:val="1"/>
              <w:ind w:firstLine="34" w:right="-108"/>
              <w:contextualSpacing w:val="1"/>
              <w:jc w:val="center"/>
              <w:rPr>
                <w:color w:val="000000"/>
                <w:sz w:val="22"/>
              </w:rPr>
            </w:pPr>
            <w:r>
              <w:rPr>
                <w:color w:val="000000"/>
                <w:sz w:val="22"/>
              </w:rPr>
              <w:t>167</w:t>
            </w:r>
          </w:p>
        </w:tc>
        <w:tc>
          <w:tcPr>
            <w:tcW w:type="dxa" w:w="1275"/>
            <w:tcBorders>
              <w:top w:sz="4" w:val="nil"/>
              <w:left w:sz="4" w:val="nil"/>
              <w:bottom w:color="000000" w:sz="4" w:val="single"/>
              <w:right w:color="000000" w:sz="4" w:val="single"/>
            </w:tcBorders>
            <w:shd w:fill="auto" w:val="clear"/>
            <w:vAlign w:val="center"/>
          </w:tcPr>
          <w:p w14:paraId="A9050000">
            <w:pPr>
              <w:widowControl w:val="1"/>
              <w:ind w:firstLine="34" w:right="-108"/>
              <w:contextualSpacing w:val="1"/>
              <w:jc w:val="center"/>
              <w:rPr>
                <w:color w:val="000000"/>
                <w:sz w:val="22"/>
              </w:rPr>
            </w:pPr>
            <w:r>
              <w:rPr>
                <w:color w:val="000000"/>
                <w:sz w:val="22"/>
              </w:rPr>
              <w:t>167</w:t>
            </w:r>
          </w:p>
        </w:tc>
        <w:tc>
          <w:tcPr>
            <w:tcW w:type="dxa" w:w="1559"/>
            <w:tcBorders>
              <w:top w:sz="4" w:val="nil"/>
              <w:left w:sz="4" w:val="nil"/>
              <w:bottom w:color="000000" w:sz="4" w:val="single"/>
              <w:right w:color="000000" w:sz="4" w:val="single"/>
            </w:tcBorders>
            <w:shd w:fill="auto" w:val="clear"/>
            <w:vAlign w:val="center"/>
          </w:tcPr>
          <w:p w14:paraId="AA050000">
            <w:pPr>
              <w:widowControl w:val="1"/>
              <w:ind w:firstLine="34" w:right="-108"/>
              <w:contextualSpacing w:val="1"/>
              <w:jc w:val="center"/>
              <w:rPr>
                <w:sz w:val="22"/>
              </w:rPr>
            </w:pPr>
            <w:r>
              <w:rPr>
                <w:sz w:val="22"/>
              </w:rPr>
              <w:t>177</w:t>
            </w:r>
          </w:p>
        </w:tc>
        <w:tc>
          <w:tcPr>
            <w:tcW w:type="dxa" w:w="1135"/>
            <w:tcBorders>
              <w:top w:sz="4" w:val="nil"/>
              <w:left w:sz="4" w:val="nil"/>
              <w:bottom w:color="000000" w:sz="4" w:val="single"/>
              <w:right w:color="000000" w:sz="4" w:val="single"/>
            </w:tcBorders>
            <w:vAlign w:val="center"/>
          </w:tcPr>
          <w:p w14:paraId="AB050000">
            <w:pPr>
              <w:widowControl w:val="1"/>
              <w:ind w:firstLine="34" w:right="-108"/>
              <w:contextualSpacing w:val="1"/>
              <w:jc w:val="center"/>
              <w:rPr>
                <w:color w:val="000000"/>
                <w:sz w:val="22"/>
              </w:rPr>
            </w:pPr>
            <w:r>
              <w:rPr>
                <w:color w:val="000000"/>
                <w:sz w:val="22"/>
              </w:rPr>
              <w:t>185</w:t>
            </w:r>
          </w:p>
        </w:tc>
        <w:tc>
          <w:tcPr>
            <w:tcW w:type="dxa" w:w="1134"/>
            <w:tcBorders>
              <w:top w:sz="4" w:val="nil"/>
              <w:left w:sz="4" w:val="nil"/>
              <w:bottom w:color="000000" w:sz="4" w:val="single"/>
              <w:right w:color="000000" w:sz="4" w:val="single"/>
            </w:tcBorders>
            <w:vAlign w:val="center"/>
          </w:tcPr>
          <w:p w14:paraId="AC050000">
            <w:pPr>
              <w:widowControl w:val="1"/>
              <w:ind w:firstLine="34" w:right="-108"/>
              <w:contextualSpacing w:val="1"/>
              <w:jc w:val="center"/>
              <w:rPr>
                <w:color w:val="000000"/>
                <w:sz w:val="22"/>
              </w:rPr>
            </w:pPr>
            <w:r>
              <w:rPr>
                <w:color w:val="000000"/>
                <w:sz w:val="22"/>
              </w:rPr>
              <w:t>185</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AD050000">
            <w:pPr>
              <w:widowControl w:val="1"/>
              <w:ind w:firstLine="709" w:left="-688" w:right="-119"/>
              <w:contextualSpacing w:val="1"/>
              <w:jc w:val="center"/>
              <w:rPr>
                <w:color w:val="000000"/>
                <w:sz w:val="22"/>
              </w:rPr>
            </w:pPr>
            <w:r>
              <w:rPr>
                <w:color w:val="000000"/>
                <w:sz w:val="22"/>
              </w:rPr>
              <w:t>16</w:t>
            </w:r>
          </w:p>
        </w:tc>
        <w:tc>
          <w:tcPr>
            <w:tcW w:type="dxa" w:w="1134"/>
            <w:tcBorders>
              <w:top w:sz="4" w:val="nil"/>
              <w:left w:sz="4" w:val="nil"/>
              <w:bottom w:color="000000" w:sz="4" w:val="single"/>
              <w:right w:color="000000" w:sz="4" w:val="single"/>
            </w:tcBorders>
            <w:shd w:fill="auto" w:val="clear"/>
            <w:vAlign w:val="center"/>
          </w:tcPr>
          <w:p w14:paraId="AE050000">
            <w:pPr>
              <w:widowControl w:val="1"/>
              <w:ind w:firstLine="34" w:right="-108"/>
              <w:contextualSpacing w:val="1"/>
              <w:jc w:val="center"/>
              <w:rPr>
                <w:color w:val="000000"/>
                <w:sz w:val="22"/>
              </w:rPr>
            </w:pPr>
            <w:r>
              <w:rPr>
                <w:color w:val="000000"/>
                <w:sz w:val="22"/>
              </w:rPr>
              <w:t>151-160</w:t>
            </w:r>
          </w:p>
        </w:tc>
        <w:tc>
          <w:tcPr>
            <w:tcW w:type="dxa" w:w="1276"/>
            <w:tcBorders>
              <w:top w:sz="4" w:val="nil"/>
              <w:left w:sz="4" w:val="nil"/>
              <w:bottom w:color="000000" w:sz="4" w:val="single"/>
              <w:right w:color="000000" w:sz="4" w:val="single"/>
            </w:tcBorders>
            <w:shd w:fill="auto" w:val="clear"/>
            <w:vAlign w:val="center"/>
          </w:tcPr>
          <w:p w14:paraId="AF050000">
            <w:pPr>
              <w:widowControl w:val="1"/>
              <w:ind w:firstLine="34" w:right="-108"/>
              <w:contextualSpacing w:val="1"/>
              <w:jc w:val="center"/>
              <w:rPr>
                <w:color w:val="000000"/>
                <w:sz w:val="22"/>
              </w:rPr>
            </w:pPr>
            <w:r>
              <w:rPr>
                <w:color w:val="000000"/>
                <w:sz w:val="22"/>
              </w:rPr>
              <w:t>161</w:t>
            </w:r>
          </w:p>
        </w:tc>
        <w:tc>
          <w:tcPr>
            <w:tcW w:type="dxa" w:w="1276"/>
            <w:tcBorders>
              <w:top w:sz="4" w:val="nil"/>
              <w:left w:sz="4" w:val="nil"/>
              <w:bottom w:color="000000" w:sz="4" w:val="single"/>
              <w:right w:color="000000" w:sz="4" w:val="single"/>
            </w:tcBorders>
            <w:shd w:fill="auto" w:val="clear"/>
            <w:vAlign w:val="center"/>
          </w:tcPr>
          <w:p w14:paraId="B0050000">
            <w:pPr>
              <w:widowControl w:val="1"/>
              <w:ind w:firstLine="34" w:right="-108"/>
              <w:contextualSpacing w:val="1"/>
              <w:jc w:val="center"/>
              <w:rPr>
                <w:color w:val="000000"/>
                <w:sz w:val="22"/>
              </w:rPr>
            </w:pPr>
            <w:r>
              <w:rPr>
                <w:color w:val="000000"/>
                <w:sz w:val="22"/>
              </w:rPr>
              <w:t>177</w:t>
            </w:r>
          </w:p>
        </w:tc>
        <w:tc>
          <w:tcPr>
            <w:tcW w:type="dxa" w:w="1275"/>
            <w:tcBorders>
              <w:top w:sz="4" w:val="nil"/>
              <w:left w:sz="4" w:val="nil"/>
              <w:bottom w:color="000000" w:sz="4" w:val="single"/>
              <w:right w:color="000000" w:sz="4" w:val="single"/>
            </w:tcBorders>
            <w:shd w:fill="auto" w:val="clear"/>
            <w:vAlign w:val="center"/>
          </w:tcPr>
          <w:p w14:paraId="B1050000">
            <w:pPr>
              <w:widowControl w:val="1"/>
              <w:ind w:firstLine="34" w:right="-108"/>
              <w:contextualSpacing w:val="1"/>
              <w:jc w:val="center"/>
              <w:rPr>
                <w:color w:val="000000"/>
                <w:sz w:val="22"/>
              </w:rPr>
            </w:pPr>
            <w:r>
              <w:rPr>
                <w:color w:val="000000"/>
                <w:sz w:val="22"/>
              </w:rPr>
              <w:t>177</w:t>
            </w:r>
          </w:p>
        </w:tc>
        <w:tc>
          <w:tcPr>
            <w:tcW w:type="dxa" w:w="1559"/>
            <w:tcBorders>
              <w:top w:sz="4" w:val="nil"/>
              <w:left w:sz="4" w:val="nil"/>
              <w:bottom w:color="000000" w:sz="4" w:val="single"/>
              <w:right w:color="000000" w:sz="4" w:val="single"/>
            </w:tcBorders>
            <w:shd w:fill="auto" w:val="clear"/>
            <w:vAlign w:val="center"/>
          </w:tcPr>
          <w:p w14:paraId="B2050000">
            <w:pPr>
              <w:widowControl w:val="1"/>
              <w:ind w:firstLine="34" w:right="-108"/>
              <w:contextualSpacing w:val="1"/>
              <w:jc w:val="center"/>
              <w:rPr>
                <w:sz w:val="22"/>
              </w:rPr>
            </w:pPr>
            <w:r>
              <w:rPr>
                <w:sz w:val="22"/>
              </w:rPr>
              <w:t>190</w:t>
            </w:r>
          </w:p>
        </w:tc>
        <w:tc>
          <w:tcPr>
            <w:tcW w:type="dxa" w:w="1135"/>
            <w:tcBorders>
              <w:top w:sz="4" w:val="nil"/>
              <w:left w:sz="4" w:val="nil"/>
              <w:bottom w:color="000000" w:sz="4" w:val="single"/>
              <w:right w:color="000000" w:sz="4" w:val="single"/>
            </w:tcBorders>
            <w:vAlign w:val="center"/>
          </w:tcPr>
          <w:p w14:paraId="B3050000">
            <w:pPr>
              <w:widowControl w:val="1"/>
              <w:ind w:firstLine="34" w:right="-108"/>
              <w:contextualSpacing w:val="1"/>
              <w:jc w:val="center"/>
              <w:rPr>
                <w:color w:val="000000"/>
                <w:sz w:val="22"/>
              </w:rPr>
            </w:pPr>
            <w:r>
              <w:rPr>
                <w:color w:val="000000"/>
                <w:sz w:val="22"/>
              </w:rPr>
              <w:t>198</w:t>
            </w:r>
          </w:p>
        </w:tc>
        <w:tc>
          <w:tcPr>
            <w:tcW w:type="dxa" w:w="1134"/>
            <w:tcBorders>
              <w:top w:sz="4" w:val="nil"/>
              <w:left w:sz="4" w:val="nil"/>
              <w:bottom w:color="000000" w:sz="4" w:val="single"/>
              <w:right w:color="000000" w:sz="4" w:val="single"/>
            </w:tcBorders>
            <w:vAlign w:val="center"/>
          </w:tcPr>
          <w:p w14:paraId="B4050000">
            <w:pPr>
              <w:widowControl w:val="1"/>
              <w:ind w:firstLine="34" w:right="-108"/>
              <w:contextualSpacing w:val="1"/>
              <w:jc w:val="center"/>
              <w:rPr>
                <w:color w:val="000000"/>
                <w:sz w:val="22"/>
              </w:rPr>
            </w:pPr>
            <w:r>
              <w:rPr>
                <w:color w:val="000000"/>
                <w:sz w:val="22"/>
              </w:rPr>
              <w:t>198</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B5050000">
            <w:pPr>
              <w:widowControl w:val="1"/>
              <w:ind w:firstLine="709" w:left="-688" w:right="-119"/>
              <w:contextualSpacing w:val="1"/>
              <w:jc w:val="center"/>
              <w:rPr>
                <w:color w:val="000000"/>
                <w:sz w:val="22"/>
              </w:rPr>
            </w:pPr>
            <w:r>
              <w:rPr>
                <w:color w:val="000000"/>
                <w:sz w:val="22"/>
              </w:rPr>
              <w:t>17</w:t>
            </w:r>
          </w:p>
        </w:tc>
        <w:tc>
          <w:tcPr>
            <w:tcW w:type="dxa" w:w="1134"/>
            <w:tcBorders>
              <w:top w:sz="4" w:val="nil"/>
              <w:left w:sz="4" w:val="nil"/>
              <w:bottom w:color="000000" w:sz="4" w:val="single"/>
              <w:right w:color="000000" w:sz="4" w:val="single"/>
            </w:tcBorders>
            <w:shd w:fill="auto" w:val="clear"/>
            <w:vAlign w:val="center"/>
          </w:tcPr>
          <w:p w14:paraId="B6050000">
            <w:pPr>
              <w:widowControl w:val="1"/>
              <w:ind w:firstLine="34" w:right="-108"/>
              <w:contextualSpacing w:val="1"/>
              <w:jc w:val="center"/>
              <w:rPr>
                <w:color w:val="000000"/>
                <w:sz w:val="22"/>
              </w:rPr>
            </w:pPr>
            <w:r>
              <w:rPr>
                <w:color w:val="000000"/>
                <w:sz w:val="22"/>
              </w:rPr>
              <w:t>161-170</w:t>
            </w:r>
          </w:p>
        </w:tc>
        <w:tc>
          <w:tcPr>
            <w:tcW w:type="dxa" w:w="1276"/>
            <w:tcBorders>
              <w:top w:sz="4" w:val="nil"/>
              <w:left w:sz="4" w:val="nil"/>
              <w:bottom w:color="000000" w:sz="4" w:val="single"/>
              <w:right w:color="000000" w:sz="4" w:val="single"/>
            </w:tcBorders>
            <w:shd w:fill="auto" w:val="clear"/>
            <w:vAlign w:val="center"/>
          </w:tcPr>
          <w:p w14:paraId="B7050000">
            <w:pPr>
              <w:widowControl w:val="1"/>
              <w:ind w:firstLine="34" w:right="-108"/>
              <w:contextualSpacing w:val="1"/>
              <w:jc w:val="center"/>
              <w:rPr>
                <w:color w:val="000000"/>
                <w:sz w:val="22"/>
              </w:rPr>
            </w:pPr>
            <w:r>
              <w:rPr>
                <w:color w:val="000000"/>
                <w:sz w:val="22"/>
              </w:rPr>
              <w:t>168</w:t>
            </w:r>
          </w:p>
        </w:tc>
        <w:tc>
          <w:tcPr>
            <w:tcW w:type="dxa" w:w="1276"/>
            <w:tcBorders>
              <w:top w:sz="4" w:val="nil"/>
              <w:left w:sz="4" w:val="nil"/>
              <w:bottom w:color="000000" w:sz="4" w:val="single"/>
              <w:right w:color="000000" w:sz="4" w:val="single"/>
            </w:tcBorders>
            <w:shd w:fill="auto" w:val="clear"/>
            <w:vAlign w:val="center"/>
          </w:tcPr>
          <w:p w14:paraId="B8050000">
            <w:pPr>
              <w:widowControl w:val="1"/>
              <w:ind w:firstLine="34" w:right="-108"/>
              <w:contextualSpacing w:val="1"/>
              <w:jc w:val="center"/>
              <w:rPr>
                <w:color w:val="000000"/>
                <w:sz w:val="22"/>
              </w:rPr>
            </w:pPr>
            <w:r>
              <w:rPr>
                <w:color w:val="000000"/>
                <w:sz w:val="22"/>
              </w:rPr>
              <w:t>185</w:t>
            </w:r>
          </w:p>
        </w:tc>
        <w:tc>
          <w:tcPr>
            <w:tcW w:type="dxa" w:w="1275"/>
            <w:tcBorders>
              <w:top w:sz="4" w:val="nil"/>
              <w:left w:sz="4" w:val="nil"/>
              <w:bottom w:color="000000" w:sz="4" w:val="single"/>
              <w:right w:color="000000" w:sz="4" w:val="single"/>
            </w:tcBorders>
            <w:shd w:fill="auto" w:val="clear"/>
            <w:vAlign w:val="center"/>
          </w:tcPr>
          <w:p w14:paraId="B9050000">
            <w:pPr>
              <w:widowControl w:val="1"/>
              <w:ind w:firstLine="34" w:right="-108"/>
              <w:contextualSpacing w:val="1"/>
              <w:jc w:val="center"/>
              <w:rPr>
                <w:color w:val="000000"/>
                <w:sz w:val="22"/>
              </w:rPr>
            </w:pPr>
            <w:r>
              <w:rPr>
                <w:color w:val="000000"/>
                <w:sz w:val="22"/>
              </w:rPr>
              <w:t>185</w:t>
            </w:r>
          </w:p>
        </w:tc>
        <w:tc>
          <w:tcPr>
            <w:tcW w:type="dxa" w:w="1559"/>
            <w:tcBorders>
              <w:top w:sz="4" w:val="nil"/>
              <w:left w:sz="4" w:val="nil"/>
              <w:bottom w:color="000000" w:sz="4" w:val="single"/>
              <w:right w:color="000000" w:sz="4" w:val="single"/>
            </w:tcBorders>
            <w:shd w:fill="auto" w:val="clear"/>
            <w:vAlign w:val="center"/>
          </w:tcPr>
          <w:p w14:paraId="BA050000">
            <w:pPr>
              <w:widowControl w:val="1"/>
              <w:ind w:firstLine="34" w:right="-108"/>
              <w:contextualSpacing w:val="1"/>
              <w:jc w:val="center"/>
              <w:rPr>
                <w:sz w:val="22"/>
              </w:rPr>
            </w:pPr>
            <w:r>
              <w:rPr>
                <w:sz w:val="22"/>
              </w:rPr>
              <w:t>197</w:t>
            </w:r>
          </w:p>
        </w:tc>
        <w:tc>
          <w:tcPr>
            <w:tcW w:type="dxa" w:w="1135"/>
            <w:tcBorders>
              <w:top w:sz="4" w:val="nil"/>
              <w:left w:sz="4" w:val="nil"/>
              <w:bottom w:color="000000" w:sz="4" w:val="single"/>
              <w:right w:color="000000" w:sz="4" w:val="single"/>
            </w:tcBorders>
            <w:vAlign w:val="center"/>
          </w:tcPr>
          <w:p w14:paraId="BB050000">
            <w:pPr>
              <w:widowControl w:val="1"/>
              <w:ind w:firstLine="34" w:right="-108"/>
              <w:contextualSpacing w:val="1"/>
              <w:jc w:val="center"/>
              <w:rPr>
                <w:color w:val="000000"/>
                <w:sz w:val="22"/>
              </w:rPr>
            </w:pPr>
            <w:r>
              <w:rPr>
                <w:color w:val="000000"/>
                <w:sz w:val="22"/>
              </w:rPr>
              <w:t>205</w:t>
            </w:r>
          </w:p>
        </w:tc>
        <w:tc>
          <w:tcPr>
            <w:tcW w:type="dxa" w:w="1134"/>
            <w:tcBorders>
              <w:top w:sz="4" w:val="nil"/>
              <w:left w:sz="4" w:val="nil"/>
              <w:bottom w:color="000000" w:sz="4" w:val="single"/>
              <w:right w:color="000000" w:sz="4" w:val="single"/>
            </w:tcBorders>
            <w:vAlign w:val="center"/>
          </w:tcPr>
          <w:p w14:paraId="BC050000">
            <w:pPr>
              <w:widowControl w:val="1"/>
              <w:ind w:firstLine="34" w:right="-108"/>
              <w:contextualSpacing w:val="1"/>
              <w:jc w:val="center"/>
              <w:rPr>
                <w:color w:val="000000"/>
                <w:sz w:val="22"/>
              </w:rPr>
            </w:pPr>
            <w:r>
              <w:rPr>
                <w:color w:val="000000"/>
                <w:sz w:val="22"/>
              </w:rPr>
              <w:t>205</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BD050000">
            <w:pPr>
              <w:widowControl w:val="1"/>
              <w:ind w:firstLine="709" w:left="-688" w:right="-119"/>
              <w:contextualSpacing w:val="1"/>
              <w:jc w:val="center"/>
              <w:rPr>
                <w:color w:val="000000"/>
                <w:sz w:val="22"/>
              </w:rPr>
            </w:pPr>
            <w:r>
              <w:rPr>
                <w:color w:val="000000"/>
                <w:sz w:val="22"/>
              </w:rPr>
              <w:t>18</w:t>
            </w:r>
          </w:p>
        </w:tc>
        <w:tc>
          <w:tcPr>
            <w:tcW w:type="dxa" w:w="1134"/>
            <w:tcBorders>
              <w:top w:sz="4" w:val="nil"/>
              <w:left w:sz="4" w:val="nil"/>
              <w:bottom w:color="000000" w:sz="4" w:val="single"/>
              <w:right w:color="000000" w:sz="4" w:val="single"/>
            </w:tcBorders>
            <w:shd w:fill="auto" w:val="clear"/>
            <w:vAlign w:val="center"/>
          </w:tcPr>
          <w:p w14:paraId="BE050000">
            <w:pPr>
              <w:widowControl w:val="1"/>
              <w:ind w:firstLine="34" w:right="-108"/>
              <w:contextualSpacing w:val="1"/>
              <w:jc w:val="center"/>
              <w:rPr>
                <w:color w:val="000000"/>
                <w:sz w:val="22"/>
              </w:rPr>
            </w:pPr>
            <w:r>
              <w:rPr>
                <w:color w:val="000000"/>
                <w:sz w:val="22"/>
              </w:rPr>
              <w:t>171-180</w:t>
            </w:r>
          </w:p>
        </w:tc>
        <w:tc>
          <w:tcPr>
            <w:tcW w:type="dxa" w:w="1276"/>
            <w:tcBorders>
              <w:top w:sz="4" w:val="nil"/>
              <w:left w:sz="4" w:val="nil"/>
              <w:bottom w:color="000000" w:sz="4" w:val="single"/>
              <w:right w:color="000000" w:sz="4" w:val="single"/>
            </w:tcBorders>
            <w:shd w:fill="auto" w:val="clear"/>
            <w:vAlign w:val="center"/>
          </w:tcPr>
          <w:p w14:paraId="BF050000">
            <w:pPr>
              <w:widowControl w:val="1"/>
              <w:ind w:firstLine="34" w:right="-108"/>
              <w:contextualSpacing w:val="1"/>
              <w:jc w:val="center"/>
              <w:rPr>
                <w:color w:val="000000"/>
                <w:sz w:val="22"/>
              </w:rPr>
            </w:pPr>
            <w:r>
              <w:rPr>
                <w:color w:val="000000"/>
                <w:sz w:val="22"/>
              </w:rPr>
              <w:t>178</w:t>
            </w:r>
          </w:p>
        </w:tc>
        <w:tc>
          <w:tcPr>
            <w:tcW w:type="dxa" w:w="1276"/>
            <w:tcBorders>
              <w:top w:sz="4" w:val="nil"/>
              <w:left w:sz="4" w:val="nil"/>
              <w:bottom w:color="000000" w:sz="4" w:val="single"/>
              <w:right w:color="000000" w:sz="4" w:val="single"/>
            </w:tcBorders>
            <w:shd w:fill="auto" w:val="clear"/>
            <w:vAlign w:val="center"/>
          </w:tcPr>
          <w:p w14:paraId="C0050000">
            <w:pPr>
              <w:widowControl w:val="1"/>
              <w:ind w:firstLine="34" w:right="-108"/>
              <w:contextualSpacing w:val="1"/>
              <w:jc w:val="center"/>
              <w:rPr>
                <w:color w:val="000000"/>
                <w:sz w:val="22"/>
              </w:rPr>
            </w:pPr>
            <w:r>
              <w:rPr>
                <w:color w:val="000000"/>
                <w:sz w:val="22"/>
              </w:rPr>
              <w:t>196</w:t>
            </w:r>
          </w:p>
        </w:tc>
        <w:tc>
          <w:tcPr>
            <w:tcW w:type="dxa" w:w="1275"/>
            <w:tcBorders>
              <w:top w:sz="4" w:val="nil"/>
              <w:left w:sz="4" w:val="nil"/>
              <w:bottom w:color="000000" w:sz="4" w:val="single"/>
              <w:right w:color="000000" w:sz="4" w:val="single"/>
            </w:tcBorders>
            <w:shd w:fill="auto" w:val="clear"/>
            <w:vAlign w:val="center"/>
          </w:tcPr>
          <w:p w14:paraId="C1050000">
            <w:pPr>
              <w:widowControl w:val="1"/>
              <w:ind w:firstLine="34" w:right="-108"/>
              <w:contextualSpacing w:val="1"/>
              <w:jc w:val="center"/>
              <w:rPr>
                <w:color w:val="000000"/>
                <w:sz w:val="22"/>
              </w:rPr>
            </w:pPr>
            <w:r>
              <w:rPr>
                <w:color w:val="000000"/>
                <w:sz w:val="22"/>
              </w:rPr>
              <w:t>196</w:t>
            </w:r>
          </w:p>
        </w:tc>
        <w:tc>
          <w:tcPr>
            <w:tcW w:type="dxa" w:w="1559"/>
            <w:tcBorders>
              <w:top w:sz="4" w:val="nil"/>
              <w:left w:sz="4" w:val="nil"/>
              <w:bottom w:color="000000" w:sz="4" w:val="single"/>
              <w:right w:color="000000" w:sz="4" w:val="single"/>
            </w:tcBorders>
            <w:shd w:fill="auto" w:val="clear"/>
            <w:vAlign w:val="center"/>
          </w:tcPr>
          <w:p w14:paraId="C2050000">
            <w:pPr>
              <w:widowControl w:val="1"/>
              <w:ind w:firstLine="34" w:right="-108"/>
              <w:contextualSpacing w:val="1"/>
              <w:jc w:val="center"/>
              <w:rPr>
                <w:sz w:val="22"/>
              </w:rPr>
            </w:pPr>
            <w:r>
              <w:rPr>
                <w:sz w:val="22"/>
              </w:rPr>
              <w:t>210</w:t>
            </w:r>
          </w:p>
        </w:tc>
        <w:tc>
          <w:tcPr>
            <w:tcW w:type="dxa" w:w="1135"/>
            <w:tcBorders>
              <w:top w:sz="4" w:val="nil"/>
              <w:left w:sz="4" w:val="nil"/>
              <w:bottom w:color="000000" w:sz="4" w:val="single"/>
              <w:right w:color="000000" w:sz="4" w:val="single"/>
            </w:tcBorders>
            <w:vAlign w:val="center"/>
          </w:tcPr>
          <w:p w14:paraId="C3050000">
            <w:pPr>
              <w:widowControl w:val="1"/>
              <w:ind w:firstLine="34" w:right="-108"/>
              <w:contextualSpacing w:val="1"/>
              <w:jc w:val="center"/>
              <w:rPr>
                <w:color w:val="000000"/>
                <w:sz w:val="22"/>
              </w:rPr>
            </w:pPr>
            <w:r>
              <w:rPr>
                <w:color w:val="000000"/>
                <w:sz w:val="22"/>
              </w:rPr>
              <w:t>219</w:t>
            </w:r>
          </w:p>
        </w:tc>
        <w:tc>
          <w:tcPr>
            <w:tcW w:type="dxa" w:w="1134"/>
            <w:tcBorders>
              <w:top w:sz="4" w:val="nil"/>
              <w:left w:sz="4" w:val="nil"/>
              <w:bottom w:color="000000" w:sz="4" w:val="single"/>
              <w:right w:color="000000" w:sz="4" w:val="single"/>
            </w:tcBorders>
            <w:vAlign w:val="center"/>
          </w:tcPr>
          <w:p w14:paraId="C4050000">
            <w:pPr>
              <w:widowControl w:val="1"/>
              <w:ind w:firstLine="34" w:right="-108"/>
              <w:contextualSpacing w:val="1"/>
              <w:jc w:val="center"/>
              <w:rPr>
                <w:color w:val="000000"/>
                <w:sz w:val="22"/>
              </w:rPr>
            </w:pPr>
            <w:r>
              <w:rPr>
                <w:color w:val="000000"/>
                <w:sz w:val="22"/>
              </w:rPr>
              <w:t>219</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C5050000">
            <w:pPr>
              <w:widowControl w:val="1"/>
              <w:ind w:firstLine="709" w:left="-688" w:right="-119"/>
              <w:contextualSpacing w:val="1"/>
              <w:jc w:val="center"/>
              <w:rPr>
                <w:color w:val="000000"/>
                <w:sz w:val="22"/>
              </w:rPr>
            </w:pPr>
            <w:r>
              <w:rPr>
                <w:color w:val="000000"/>
                <w:sz w:val="22"/>
              </w:rPr>
              <w:t>19</w:t>
            </w:r>
          </w:p>
        </w:tc>
        <w:tc>
          <w:tcPr>
            <w:tcW w:type="dxa" w:w="1134"/>
            <w:tcBorders>
              <w:top w:sz="4" w:val="nil"/>
              <w:left w:sz="4" w:val="nil"/>
              <w:bottom w:color="000000" w:sz="4" w:val="single"/>
              <w:right w:color="000000" w:sz="4" w:val="single"/>
            </w:tcBorders>
            <w:shd w:fill="auto" w:val="clear"/>
            <w:vAlign w:val="center"/>
          </w:tcPr>
          <w:p w14:paraId="C6050000">
            <w:pPr>
              <w:widowControl w:val="1"/>
              <w:ind w:firstLine="34" w:right="-108"/>
              <w:contextualSpacing w:val="1"/>
              <w:jc w:val="center"/>
              <w:rPr>
                <w:color w:val="000000"/>
                <w:sz w:val="22"/>
              </w:rPr>
            </w:pPr>
            <w:r>
              <w:rPr>
                <w:color w:val="000000"/>
                <w:sz w:val="22"/>
              </w:rPr>
              <w:t>181-190</w:t>
            </w:r>
          </w:p>
        </w:tc>
        <w:tc>
          <w:tcPr>
            <w:tcW w:type="dxa" w:w="1276"/>
            <w:tcBorders>
              <w:top w:sz="4" w:val="nil"/>
              <w:left w:sz="4" w:val="nil"/>
              <w:bottom w:color="000000" w:sz="4" w:val="single"/>
              <w:right w:color="000000" w:sz="4" w:val="single"/>
            </w:tcBorders>
            <w:shd w:fill="auto" w:val="clear"/>
            <w:vAlign w:val="center"/>
          </w:tcPr>
          <w:p w14:paraId="C7050000">
            <w:pPr>
              <w:widowControl w:val="1"/>
              <w:ind w:firstLine="34" w:right="-108"/>
              <w:contextualSpacing w:val="1"/>
              <w:jc w:val="center"/>
              <w:rPr>
                <w:color w:val="000000"/>
                <w:sz w:val="22"/>
              </w:rPr>
            </w:pPr>
            <w:r>
              <w:rPr>
                <w:color w:val="000000"/>
                <w:sz w:val="22"/>
              </w:rPr>
              <w:t>187</w:t>
            </w:r>
          </w:p>
        </w:tc>
        <w:tc>
          <w:tcPr>
            <w:tcW w:type="dxa" w:w="1276"/>
            <w:tcBorders>
              <w:top w:sz="4" w:val="nil"/>
              <w:left w:sz="4" w:val="nil"/>
              <w:bottom w:color="000000" w:sz="4" w:val="single"/>
              <w:right w:color="000000" w:sz="4" w:val="single"/>
            </w:tcBorders>
            <w:shd w:fill="auto" w:val="clear"/>
            <w:vAlign w:val="center"/>
          </w:tcPr>
          <w:p w14:paraId="C8050000">
            <w:pPr>
              <w:widowControl w:val="1"/>
              <w:ind w:firstLine="34" w:right="-108"/>
              <w:contextualSpacing w:val="1"/>
              <w:jc w:val="center"/>
              <w:rPr>
                <w:color w:val="000000"/>
                <w:sz w:val="22"/>
              </w:rPr>
            </w:pPr>
            <w:r>
              <w:rPr>
                <w:color w:val="000000"/>
                <w:sz w:val="22"/>
              </w:rPr>
              <w:t>206</w:t>
            </w:r>
          </w:p>
        </w:tc>
        <w:tc>
          <w:tcPr>
            <w:tcW w:type="dxa" w:w="1275"/>
            <w:tcBorders>
              <w:top w:sz="4" w:val="nil"/>
              <w:left w:sz="4" w:val="nil"/>
              <w:bottom w:color="000000" w:sz="4" w:val="single"/>
              <w:right w:color="000000" w:sz="4" w:val="single"/>
            </w:tcBorders>
            <w:shd w:fill="auto" w:val="clear"/>
            <w:vAlign w:val="center"/>
          </w:tcPr>
          <w:p w14:paraId="C9050000">
            <w:pPr>
              <w:widowControl w:val="1"/>
              <w:ind w:firstLine="34" w:right="-108"/>
              <w:contextualSpacing w:val="1"/>
              <w:jc w:val="center"/>
              <w:rPr>
                <w:color w:val="000000"/>
                <w:sz w:val="22"/>
              </w:rPr>
            </w:pPr>
            <w:r>
              <w:rPr>
                <w:color w:val="000000"/>
                <w:sz w:val="22"/>
              </w:rPr>
              <w:t>206</w:t>
            </w:r>
          </w:p>
        </w:tc>
        <w:tc>
          <w:tcPr>
            <w:tcW w:type="dxa" w:w="1559"/>
            <w:tcBorders>
              <w:top w:sz="4" w:val="nil"/>
              <w:left w:sz="4" w:val="nil"/>
              <w:bottom w:color="000000" w:sz="4" w:val="single"/>
              <w:right w:color="000000" w:sz="4" w:val="single"/>
            </w:tcBorders>
            <w:shd w:fill="auto" w:val="clear"/>
            <w:vAlign w:val="center"/>
          </w:tcPr>
          <w:p w14:paraId="CA050000">
            <w:pPr>
              <w:widowControl w:val="1"/>
              <w:ind w:firstLine="34" w:right="-108"/>
              <w:contextualSpacing w:val="1"/>
              <w:jc w:val="center"/>
              <w:rPr>
                <w:sz w:val="22"/>
              </w:rPr>
            </w:pPr>
            <w:r>
              <w:rPr>
                <w:sz w:val="22"/>
              </w:rPr>
              <w:t>220</w:t>
            </w:r>
          </w:p>
        </w:tc>
        <w:tc>
          <w:tcPr>
            <w:tcW w:type="dxa" w:w="1135"/>
            <w:tcBorders>
              <w:top w:sz="4" w:val="nil"/>
              <w:left w:sz="4" w:val="nil"/>
              <w:bottom w:color="000000" w:sz="4" w:val="single"/>
              <w:right w:color="000000" w:sz="4" w:val="single"/>
            </w:tcBorders>
            <w:vAlign w:val="center"/>
          </w:tcPr>
          <w:p w14:paraId="CB050000">
            <w:pPr>
              <w:widowControl w:val="1"/>
              <w:ind w:firstLine="34" w:right="-108"/>
              <w:contextualSpacing w:val="1"/>
              <w:jc w:val="center"/>
              <w:rPr>
                <w:color w:val="000000"/>
                <w:sz w:val="22"/>
              </w:rPr>
            </w:pPr>
            <w:r>
              <w:rPr>
                <w:color w:val="000000"/>
                <w:sz w:val="22"/>
              </w:rPr>
              <w:t>230</w:t>
            </w:r>
          </w:p>
        </w:tc>
        <w:tc>
          <w:tcPr>
            <w:tcW w:type="dxa" w:w="1134"/>
            <w:tcBorders>
              <w:top w:sz="4" w:val="nil"/>
              <w:left w:sz="4" w:val="nil"/>
              <w:bottom w:color="000000" w:sz="4" w:val="single"/>
              <w:right w:color="000000" w:sz="4" w:val="single"/>
            </w:tcBorders>
            <w:vAlign w:val="center"/>
          </w:tcPr>
          <w:p w14:paraId="CC050000">
            <w:pPr>
              <w:widowControl w:val="1"/>
              <w:ind w:firstLine="34" w:right="-108"/>
              <w:contextualSpacing w:val="1"/>
              <w:jc w:val="center"/>
              <w:rPr>
                <w:color w:val="000000"/>
                <w:sz w:val="22"/>
              </w:rPr>
            </w:pPr>
            <w:r>
              <w:rPr>
                <w:color w:val="000000"/>
                <w:sz w:val="22"/>
              </w:rPr>
              <w:t>230</w:t>
            </w:r>
          </w:p>
        </w:tc>
      </w:tr>
      <w:tr>
        <w:trPr>
          <w:trHeight w:hRule="atLeast" w:val="300"/>
        </w:trPr>
        <w:tc>
          <w:tcPr>
            <w:tcW w:type="dxa" w:w="714"/>
            <w:tcBorders>
              <w:top w:sz="4" w:val="nil"/>
              <w:left w:color="000000" w:sz="4" w:val="single"/>
              <w:bottom w:color="000000" w:sz="4" w:val="single"/>
              <w:right w:color="000000" w:sz="4" w:val="single"/>
            </w:tcBorders>
            <w:shd w:fill="auto" w:val="clear"/>
            <w:vAlign w:val="center"/>
          </w:tcPr>
          <w:p w14:paraId="CD050000">
            <w:pPr>
              <w:widowControl w:val="1"/>
              <w:ind w:firstLine="709" w:left="-688" w:right="-119"/>
              <w:contextualSpacing w:val="1"/>
              <w:jc w:val="center"/>
              <w:rPr>
                <w:color w:val="000000"/>
                <w:sz w:val="22"/>
              </w:rPr>
            </w:pPr>
            <w:r>
              <w:rPr>
                <w:color w:val="000000"/>
                <w:sz w:val="22"/>
              </w:rPr>
              <w:t>20</w:t>
            </w:r>
          </w:p>
        </w:tc>
        <w:tc>
          <w:tcPr>
            <w:tcW w:type="dxa" w:w="1134"/>
            <w:tcBorders>
              <w:top w:sz="4" w:val="nil"/>
              <w:left w:sz="4" w:val="nil"/>
              <w:bottom w:color="000000" w:sz="4" w:val="single"/>
              <w:right w:color="000000" w:sz="4" w:val="single"/>
            </w:tcBorders>
            <w:shd w:fill="auto" w:val="clear"/>
            <w:vAlign w:val="center"/>
          </w:tcPr>
          <w:p w14:paraId="CE050000">
            <w:pPr>
              <w:widowControl w:val="1"/>
              <w:ind w:firstLine="34" w:right="-108"/>
              <w:contextualSpacing w:val="1"/>
              <w:jc w:val="center"/>
              <w:rPr>
                <w:color w:val="000000"/>
                <w:sz w:val="22"/>
              </w:rPr>
            </w:pPr>
            <w:r>
              <w:rPr>
                <w:color w:val="000000"/>
                <w:sz w:val="22"/>
              </w:rPr>
              <w:t>191-200</w:t>
            </w:r>
          </w:p>
        </w:tc>
        <w:tc>
          <w:tcPr>
            <w:tcW w:type="dxa" w:w="1276"/>
            <w:tcBorders>
              <w:top w:sz="4" w:val="nil"/>
              <w:left w:sz="4" w:val="nil"/>
              <w:bottom w:color="000000" w:sz="4" w:val="single"/>
              <w:right w:color="000000" w:sz="4" w:val="single"/>
            </w:tcBorders>
            <w:shd w:fill="auto" w:val="clear"/>
            <w:vAlign w:val="center"/>
          </w:tcPr>
          <w:p w14:paraId="CF050000">
            <w:pPr>
              <w:widowControl w:val="1"/>
              <w:ind w:firstLine="34" w:right="-108"/>
              <w:contextualSpacing w:val="1"/>
              <w:jc w:val="center"/>
              <w:rPr>
                <w:color w:val="000000"/>
                <w:sz w:val="22"/>
              </w:rPr>
            </w:pPr>
            <w:r>
              <w:rPr>
                <w:color w:val="000000"/>
                <w:sz w:val="22"/>
              </w:rPr>
              <w:t>196</w:t>
            </w:r>
          </w:p>
        </w:tc>
        <w:tc>
          <w:tcPr>
            <w:tcW w:type="dxa" w:w="1276"/>
            <w:tcBorders>
              <w:top w:sz="4" w:val="nil"/>
              <w:left w:sz="4" w:val="nil"/>
              <w:bottom w:color="000000" w:sz="4" w:val="single"/>
              <w:right w:color="000000" w:sz="4" w:val="single"/>
            </w:tcBorders>
            <w:shd w:fill="auto" w:val="clear"/>
            <w:vAlign w:val="center"/>
          </w:tcPr>
          <w:p w14:paraId="D0050000">
            <w:pPr>
              <w:widowControl w:val="1"/>
              <w:ind w:firstLine="34" w:right="-108"/>
              <w:contextualSpacing w:val="1"/>
              <w:jc w:val="center"/>
              <w:rPr>
                <w:color w:val="000000"/>
                <w:sz w:val="22"/>
              </w:rPr>
            </w:pPr>
            <w:r>
              <w:rPr>
                <w:color w:val="000000"/>
                <w:sz w:val="22"/>
              </w:rPr>
              <w:t>216</w:t>
            </w:r>
          </w:p>
        </w:tc>
        <w:tc>
          <w:tcPr>
            <w:tcW w:type="dxa" w:w="1275"/>
            <w:tcBorders>
              <w:top w:sz="4" w:val="nil"/>
              <w:left w:sz="4" w:val="nil"/>
              <w:bottom w:color="000000" w:sz="4" w:val="single"/>
              <w:right w:color="000000" w:sz="4" w:val="single"/>
            </w:tcBorders>
            <w:shd w:fill="auto" w:val="clear"/>
            <w:vAlign w:val="center"/>
          </w:tcPr>
          <w:p w14:paraId="D1050000">
            <w:pPr>
              <w:widowControl w:val="1"/>
              <w:ind w:firstLine="34" w:right="-108"/>
              <w:contextualSpacing w:val="1"/>
              <w:jc w:val="center"/>
              <w:rPr>
                <w:color w:val="000000"/>
                <w:sz w:val="22"/>
              </w:rPr>
            </w:pPr>
            <w:r>
              <w:rPr>
                <w:color w:val="000000"/>
                <w:sz w:val="22"/>
              </w:rPr>
              <w:t>216</w:t>
            </w:r>
          </w:p>
        </w:tc>
        <w:tc>
          <w:tcPr>
            <w:tcW w:type="dxa" w:w="1559"/>
            <w:tcBorders>
              <w:top w:sz="4" w:val="nil"/>
              <w:left w:sz="4" w:val="nil"/>
              <w:bottom w:color="000000" w:sz="4" w:val="single"/>
              <w:right w:color="000000" w:sz="4" w:val="single"/>
            </w:tcBorders>
            <w:shd w:fill="auto" w:val="clear"/>
            <w:vAlign w:val="center"/>
          </w:tcPr>
          <w:p w14:paraId="D2050000">
            <w:pPr>
              <w:widowControl w:val="1"/>
              <w:ind w:firstLine="34" w:right="-108"/>
              <w:contextualSpacing w:val="1"/>
              <w:jc w:val="center"/>
              <w:rPr>
                <w:sz w:val="22"/>
              </w:rPr>
            </w:pPr>
            <w:r>
              <w:rPr>
                <w:sz w:val="22"/>
              </w:rPr>
              <w:t>232</w:t>
            </w:r>
          </w:p>
        </w:tc>
        <w:tc>
          <w:tcPr>
            <w:tcW w:type="dxa" w:w="1135"/>
            <w:tcBorders>
              <w:top w:sz="4" w:val="nil"/>
              <w:left w:sz="4" w:val="nil"/>
              <w:bottom w:color="000000" w:sz="4" w:val="single"/>
              <w:right w:color="000000" w:sz="4" w:val="single"/>
            </w:tcBorders>
            <w:vAlign w:val="center"/>
          </w:tcPr>
          <w:p w14:paraId="D3050000">
            <w:pPr>
              <w:widowControl w:val="1"/>
              <w:ind w:firstLine="34" w:right="-108"/>
              <w:contextualSpacing w:val="1"/>
              <w:jc w:val="center"/>
              <w:rPr>
                <w:color w:val="000000"/>
                <w:sz w:val="22"/>
              </w:rPr>
            </w:pPr>
            <w:r>
              <w:rPr>
                <w:color w:val="000000"/>
                <w:sz w:val="22"/>
              </w:rPr>
              <w:t>242</w:t>
            </w:r>
          </w:p>
        </w:tc>
        <w:tc>
          <w:tcPr>
            <w:tcW w:type="dxa" w:w="1134"/>
            <w:tcBorders>
              <w:top w:sz="4" w:val="nil"/>
              <w:left w:sz="4" w:val="nil"/>
              <w:bottom w:color="000000" w:sz="4" w:val="single"/>
              <w:right w:color="000000" w:sz="4" w:val="single"/>
            </w:tcBorders>
            <w:vAlign w:val="center"/>
          </w:tcPr>
          <w:p w14:paraId="D4050000">
            <w:pPr>
              <w:widowControl w:val="1"/>
              <w:ind w:firstLine="34" w:right="-108"/>
              <w:contextualSpacing w:val="1"/>
              <w:jc w:val="center"/>
              <w:rPr>
                <w:color w:val="000000"/>
                <w:sz w:val="22"/>
              </w:rPr>
            </w:pPr>
            <w:r>
              <w:rPr>
                <w:color w:val="000000"/>
                <w:sz w:val="22"/>
              </w:rPr>
              <w:t>242</w:t>
            </w:r>
          </w:p>
        </w:tc>
      </w:tr>
    </w:tbl>
    <w:p w14:paraId="D5050000">
      <w:pPr>
        <w:pStyle w:val="Style_11"/>
        <w:widowControl w:val="1"/>
        <w:spacing w:line="360" w:lineRule="auto"/>
        <w:ind w:firstLine="709" w:left="0"/>
        <w:contextualSpacing w:val="1"/>
        <w:jc w:val="right"/>
        <w:rPr>
          <w:sz w:val="24"/>
        </w:rPr>
      </w:pPr>
      <w:r>
        <w:rPr>
          <w:sz w:val="24"/>
        </w:rPr>
        <w:t>Диаграмма 5.3</w:t>
      </w:r>
    </w:p>
    <w:p w14:paraId="D6050000">
      <w:pPr>
        <w:pStyle w:val="Style_11"/>
        <w:widowControl w:val="1"/>
        <w:spacing w:line="360" w:lineRule="auto"/>
        <w:ind w:left="0"/>
        <w:contextualSpacing w:val="1"/>
        <w:jc w:val="right"/>
        <w:rPr>
          <w:sz w:val="24"/>
        </w:rPr>
      </w:pPr>
      <w:r>
        <w:rPr>
          <w:sz w:val="24"/>
        </w:rPr>
        <w:drawing>
          <wp:inline>
            <wp:extent cx="6033897" cy="2268855"/>
            <wp:docPr hidden="false" id="13" name="Picture 13"/>
            <a:graphic>
              <a:graphicData uri="http://schemas.openxmlformats.org/drawingml/2006/picture">
                <pic:pic>
                  <pic:nvPicPr>
                    <pic:cNvPr hidden="false" id="14" name="Picture 14"/>
                    <pic:cNvPicPr preferRelativeResize="true"/>
                  </pic:nvPicPr>
                  <pic:blipFill>
                    <a:blip r:embed="rId29"/>
                    <a:srcRect b="-20" l="0" r="0" t="0"/>
                    <a:stretch/>
                  </pic:blipFill>
                  <pic:spPr>
                    <a:xfrm flipH="false" flipV="false" rot="0">
                      <a:ext cx="6033897" cy="2268855"/>
                    </a:xfrm>
                    <a:prstGeom prst="rect"/>
                  </pic:spPr>
                </pic:pic>
              </a:graphicData>
            </a:graphic>
          </wp:inline>
        </w:drawing>
      </w:r>
    </w:p>
    <w:p w14:paraId="D7050000">
      <w:pPr>
        <w:pStyle w:val="Style_11"/>
        <w:pageBreakBefore w:val="1"/>
        <w:widowControl w:val="1"/>
        <w:spacing w:line="360" w:lineRule="auto"/>
        <w:ind w:firstLine="709" w:left="0"/>
        <w:contextualSpacing w:val="1"/>
        <w:jc w:val="right"/>
        <w:rPr>
          <w:sz w:val="24"/>
        </w:rPr>
      </w:pPr>
      <w:r>
        <w:rPr>
          <w:sz w:val="24"/>
        </w:rPr>
        <w:t>Таблица 5.4.</w:t>
      </w:r>
    </w:p>
    <w:p w14:paraId="D8050000">
      <w:pPr>
        <w:pStyle w:val="Style_11"/>
        <w:widowControl w:val="1"/>
        <w:spacing w:line="360" w:lineRule="auto"/>
        <w:ind w:firstLine="709" w:left="0"/>
        <w:contextualSpacing w:val="1"/>
        <w:jc w:val="center"/>
        <w:rPr>
          <w:sz w:val="24"/>
        </w:rPr>
      </w:pPr>
      <w:r>
        <w:rPr>
          <w:sz w:val="24"/>
        </w:rPr>
        <w:t>Динамика тарифов на пригородные пассажирские перевозк</w:t>
      </w:r>
      <w:r>
        <w:rPr>
          <w:sz w:val="24"/>
        </w:rPr>
        <w:t>и  по Республике Хакасия за 201</w:t>
      </w:r>
      <w:r>
        <w:rPr>
          <w:sz w:val="24"/>
        </w:rPr>
        <w:t>3</w:t>
      </w:r>
      <w:r>
        <w:rPr>
          <w:sz w:val="24"/>
        </w:rPr>
        <w:t>-201</w:t>
      </w:r>
      <w:r>
        <w:rPr>
          <w:sz w:val="24"/>
        </w:rPr>
        <w:t>8</w:t>
      </w:r>
      <w:r>
        <w:rPr>
          <w:sz w:val="24"/>
        </w:rPr>
        <w:t xml:space="preserve"> (поезда на </w:t>
      </w:r>
      <w:r>
        <w:rPr>
          <w:sz w:val="24"/>
          <w:u w:val="single"/>
        </w:rPr>
        <w:t>локомотивной тяге</w:t>
      </w:r>
      <w:r>
        <w:rPr>
          <w:sz w:val="24"/>
        </w:rPr>
        <w:t>, составностью до 4 вагонов)</w:t>
      </w:r>
    </w:p>
    <w:tbl>
      <w:tblPr>
        <w:tblStyle w:val="Style_4"/>
        <w:tblW w:type="auto" w:w="0"/>
        <w:tblInd w:type="dxa" w:w="87"/>
        <w:tblLayout w:type="fixed"/>
      </w:tblPr>
      <w:tblGrid>
        <w:gridCol w:w="730"/>
        <w:gridCol w:w="1134"/>
        <w:gridCol w:w="1276"/>
        <w:gridCol w:w="1276"/>
        <w:gridCol w:w="1275"/>
        <w:gridCol w:w="1418"/>
        <w:gridCol w:w="1276"/>
        <w:gridCol w:w="1134"/>
      </w:tblGrid>
      <w:tr>
        <w:trPr>
          <w:trHeight w:hRule="atLeast" w:val="783"/>
          <w:tblHeader/>
        </w:trPr>
        <w:tc>
          <w:tcPr>
            <w:tcW w:type="dxa" w:w="730"/>
            <w:tcBorders>
              <w:top w:color="000000" w:sz="4" w:val="single"/>
              <w:left w:color="000000" w:sz="4" w:val="single"/>
              <w:bottom w:color="000000" w:sz="4" w:val="single"/>
              <w:right w:color="000000" w:sz="4" w:val="single"/>
            </w:tcBorders>
            <w:shd w:fill="auto" w:val="clear"/>
            <w:vAlign w:val="center"/>
          </w:tcPr>
          <w:p w14:paraId="D9050000">
            <w:pPr>
              <w:widowControl w:val="1"/>
              <w:ind w:firstLine="709" w:left="-697"/>
              <w:contextualSpacing w:val="1"/>
              <w:jc w:val="center"/>
              <w:rPr>
                <w:color w:val="000000"/>
                <w:sz w:val="22"/>
              </w:rPr>
            </w:pPr>
            <w:r>
              <w:rPr>
                <w:color w:val="000000"/>
                <w:sz w:val="22"/>
              </w:rPr>
              <w:t>Зона</w:t>
            </w:r>
          </w:p>
        </w:tc>
        <w:tc>
          <w:tcPr>
            <w:tcW w:type="dxa" w:w="1134"/>
            <w:tcBorders>
              <w:top w:color="000000" w:sz="4" w:val="single"/>
              <w:left w:color="000000" w:sz="4" w:val="single"/>
              <w:bottom w:color="000000" w:sz="4" w:val="single"/>
              <w:right w:color="000000" w:sz="4" w:val="single"/>
            </w:tcBorders>
            <w:shd w:fill="auto" w:val="clear"/>
            <w:vAlign w:val="center"/>
          </w:tcPr>
          <w:p w14:paraId="DA050000">
            <w:pPr>
              <w:widowControl w:val="1"/>
              <w:ind w:firstLine="34"/>
              <w:contextualSpacing w:val="1"/>
              <w:jc w:val="center"/>
              <w:rPr>
                <w:color w:val="000000"/>
                <w:sz w:val="22"/>
              </w:rPr>
            </w:pPr>
            <w:r>
              <w:rPr>
                <w:color w:val="000000"/>
                <w:sz w:val="22"/>
              </w:rPr>
              <w:t>Расстояние</w:t>
            </w:r>
          </w:p>
        </w:tc>
        <w:tc>
          <w:tcPr>
            <w:tcW w:type="dxa" w:w="1276"/>
            <w:tcBorders>
              <w:top w:color="000000" w:sz="4" w:val="single"/>
              <w:left w:color="000000" w:sz="4" w:val="single"/>
              <w:bottom w:color="000000" w:sz="4" w:val="single"/>
              <w:right w:color="000000" w:sz="4" w:val="single"/>
            </w:tcBorders>
            <w:shd w:fill="auto" w:val="clear"/>
            <w:vAlign w:val="center"/>
          </w:tcPr>
          <w:p w14:paraId="DB050000">
            <w:pPr>
              <w:widowControl w:val="1"/>
              <w:ind w:firstLine="34"/>
              <w:contextualSpacing w:val="1"/>
              <w:jc w:val="center"/>
              <w:rPr>
                <w:color w:val="000000"/>
                <w:sz w:val="22"/>
              </w:rPr>
            </w:pPr>
            <w:r>
              <w:rPr>
                <w:color w:val="000000"/>
                <w:sz w:val="22"/>
              </w:rPr>
              <w:t>2013г.  (с 01.01.2013г.)</w:t>
            </w:r>
          </w:p>
        </w:tc>
        <w:tc>
          <w:tcPr>
            <w:tcW w:type="dxa" w:w="1276"/>
            <w:tcBorders>
              <w:top w:color="000000" w:sz="4" w:val="single"/>
              <w:left w:color="000000" w:sz="4" w:val="single"/>
              <w:bottom w:color="000000" w:sz="4" w:val="single"/>
              <w:right w:color="000000" w:sz="4" w:val="single"/>
            </w:tcBorders>
            <w:shd w:fill="auto" w:val="clear"/>
            <w:vAlign w:val="center"/>
          </w:tcPr>
          <w:p w14:paraId="DC050000">
            <w:pPr>
              <w:widowControl w:val="1"/>
              <w:ind w:firstLine="34"/>
              <w:contextualSpacing w:val="1"/>
              <w:jc w:val="center"/>
              <w:rPr>
                <w:color w:val="000000"/>
                <w:sz w:val="22"/>
              </w:rPr>
            </w:pPr>
            <w:r>
              <w:rPr>
                <w:sz w:val="22"/>
              </w:rPr>
              <w:t>2014г.  (с 15.02.2014г.)</w:t>
            </w:r>
          </w:p>
        </w:tc>
        <w:tc>
          <w:tcPr>
            <w:tcW w:type="dxa" w:w="1275"/>
            <w:tcBorders>
              <w:top w:color="000000" w:sz="4" w:val="single"/>
              <w:left w:color="000000" w:sz="4" w:val="single"/>
              <w:bottom w:color="000000" w:sz="4" w:val="single"/>
              <w:right w:color="000000" w:sz="4" w:val="single"/>
            </w:tcBorders>
            <w:vAlign w:val="center"/>
          </w:tcPr>
          <w:p w14:paraId="DD050000">
            <w:pPr>
              <w:widowControl w:val="1"/>
              <w:ind w:firstLine="34"/>
              <w:contextualSpacing w:val="1"/>
              <w:jc w:val="center"/>
              <w:rPr>
                <w:color w:val="000000"/>
                <w:sz w:val="22"/>
              </w:rPr>
            </w:pPr>
            <w:r>
              <w:rPr>
                <w:sz w:val="22"/>
              </w:rPr>
              <w:t>2015г.</w:t>
            </w:r>
          </w:p>
        </w:tc>
        <w:tc>
          <w:tcPr>
            <w:tcW w:type="dxa" w:w="1418"/>
            <w:tcBorders>
              <w:top w:color="000000" w:sz="4" w:val="single"/>
              <w:left w:color="000000" w:sz="4" w:val="single"/>
              <w:bottom w:color="000000" w:sz="4" w:val="single"/>
              <w:right w:color="000000" w:sz="4" w:val="single"/>
            </w:tcBorders>
            <w:vAlign w:val="center"/>
          </w:tcPr>
          <w:p w14:paraId="DE050000">
            <w:pPr>
              <w:widowControl w:val="1"/>
              <w:ind w:firstLine="34"/>
              <w:contextualSpacing w:val="1"/>
              <w:jc w:val="center"/>
              <w:rPr>
                <w:sz w:val="22"/>
              </w:rPr>
            </w:pPr>
            <w:r>
              <w:rPr>
                <w:sz w:val="22"/>
              </w:rPr>
              <w:t>2016г. (с 01.01.2016)</w:t>
            </w:r>
          </w:p>
        </w:tc>
        <w:tc>
          <w:tcPr>
            <w:tcW w:type="dxa" w:w="1276"/>
            <w:tcBorders>
              <w:top w:color="000000" w:sz="4" w:val="single"/>
              <w:left w:color="000000" w:sz="4" w:val="single"/>
              <w:bottom w:color="000000" w:sz="4" w:val="single"/>
              <w:right w:color="000000" w:sz="4" w:val="single"/>
            </w:tcBorders>
            <w:vAlign w:val="center"/>
          </w:tcPr>
          <w:p w14:paraId="DF050000">
            <w:pPr>
              <w:widowControl w:val="1"/>
              <w:ind w:firstLine="34"/>
              <w:contextualSpacing w:val="1"/>
              <w:jc w:val="center"/>
              <w:rPr>
                <w:sz w:val="22"/>
              </w:rPr>
            </w:pPr>
            <w:r>
              <w:rPr>
                <w:sz w:val="22"/>
              </w:rPr>
              <w:t>2017 (с 01.01.2017)</w:t>
            </w:r>
          </w:p>
        </w:tc>
        <w:tc>
          <w:tcPr>
            <w:tcW w:type="dxa" w:w="1134"/>
            <w:tcBorders>
              <w:top w:color="000000" w:sz="4" w:val="single"/>
              <w:left w:color="000000" w:sz="4" w:val="single"/>
              <w:bottom w:color="000000" w:sz="4" w:val="single"/>
              <w:right w:color="000000" w:sz="4" w:val="single"/>
            </w:tcBorders>
            <w:vAlign w:val="center"/>
          </w:tcPr>
          <w:p w14:paraId="E0050000">
            <w:pPr>
              <w:widowControl w:val="1"/>
              <w:ind w:firstLine="34"/>
              <w:contextualSpacing w:val="1"/>
              <w:jc w:val="center"/>
              <w:rPr>
                <w:sz w:val="22"/>
              </w:rPr>
            </w:pPr>
            <w:r>
              <w:rPr>
                <w:sz w:val="22"/>
              </w:rPr>
              <w:t>2018г.</w:t>
            </w:r>
          </w:p>
        </w:tc>
      </w:tr>
      <w:tr>
        <w:trPr>
          <w:trHeight w:hRule="atLeast" w:val="312"/>
        </w:trPr>
        <w:tc>
          <w:tcPr>
            <w:tcW w:type="dxa" w:w="730"/>
            <w:tcBorders>
              <w:top w:sz="4" w:val="nil"/>
              <w:left w:color="000000" w:sz="4" w:val="single"/>
              <w:bottom w:color="000000" w:sz="4" w:val="single"/>
              <w:right w:color="000000" w:sz="4" w:val="single"/>
            </w:tcBorders>
            <w:shd w:fill="auto" w:val="clear"/>
            <w:vAlign w:val="center"/>
          </w:tcPr>
          <w:p w14:paraId="E1050000">
            <w:pPr>
              <w:widowControl w:val="1"/>
              <w:ind w:firstLine="709" w:left="-697"/>
              <w:contextualSpacing w:val="1"/>
              <w:jc w:val="center"/>
              <w:rPr>
                <w:color w:val="000000"/>
                <w:sz w:val="22"/>
              </w:rPr>
            </w:pPr>
            <w:r>
              <w:rPr>
                <w:color w:val="000000"/>
                <w:sz w:val="22"/>
              </w:rPr>
              <w:t>1</w:t>
            </w:r>
          </w:p>
        </w:tc>
        <w:tc>
          <w:tcPr>
            <w:tcW w:type="dxa" w:w="1134"/>
            <w:tcBorders>
              <w:top w:sz="4" w:val="nil"/>
              <w:left w:sz="4" w:val="nil"/>
              <w:bottom w:color="000000" w:sz="4" w:val="single"/>
              <w:right w:color="000000" w:sz="4" w:val="single"/>
            </w:tcBorders>
            <w:shd w:fill="auto" w:val="clear"/>
            <w:vAlign w:val="center"/>
          </w:tcPr>
          <w:p w14:paraId="E2050000">
            <w:pPr>
              <w:widowControl w:val="1"/>
              <w:ind w:firstLine="34"/>
              <w:contextualSpacing w:val="1"/>
              <w:jc w:val="center"/>
              <w:rPr>
                <w:color w:val="000000"/>
                <w:sz w:val="22"/>
              </w:rPr>
            </w:pPr>
            <w:r>
              <w:rPr>
                <w:color w:val="000000"/>
                <w:sz w:val="22"/>
              </w:rPr>
              <w:t>0-10</w:t>
            </w:r>
          </w:p>
        </w:tc>
        <w:tc>
          <w:tcPr>
            <w:tcW w:type="dxa" w:w="1276"/>
            <w:tcBorders>
              <w:top w:sz="4" w:val="nil"/>
              <w:left w:sz="4" w:val="nil"/>
              <w:bottom w:color="000000" w:sz="4" w:val="single"/>
              <w:right w:color="000000" w:sz="4" w:val="single"/>
            </w:tcBorders>
            <w:shd w:fill="auto" w:val="clear"/>
            <w:vAlign w:val="center"/>
          </w:tcPr>
          <w:p w14:paraId="E3050000">
            <w:pPr>
              <w:widowControl w:val="1"/>
              <w:ind w:firstLine="34"/>
              <w:contextualSpacing w:val="1"/>
              <w:jc w:val="center"/>
              <w:rPr>
                <w:color w:val="000000"/>
                <w:sz w:val="22"/>
              </w:rPr>
            </w:pPr>
            <w:r>
              <w:rPr>
                <w:color w:val="000000"/>
                <w:sz w:val="22"/>
              </w:rPr>
              <w:t>44</w:t>
            </w:r>
          </w:p>
        </w:tc>
        <w:tc>
          <w:tcPr>
            <w:tcW w:type="dxa" w:w="1276"/>
            <w:tcBorders>
              <w:top w:sz="4" w:val="nil"/>
              <w:left w:sz="4" w:val="nil"/>
              <w:bottom w:color="000000" w:sz="4" w:val="single"/>
              <w:right w:color="000000" w:sz="4" w:val="single"/>
            </w:tcBorders>
            <w:shd w:fill="auto" w:val="clear"/>
            <w:vAlign w:val="center"/>
          </w:tcPr>
          <w:p w14:paraId="E4050000">
            <w:pPr>
              <w:widowControl w:val="1"/>
              <w:ind w:firstLine="34"/>
              <w:contextualSpacing w:val="1"/>
              <w:jc w:val="center"/>
              <w:rPr>
                <w:color w:val="000000"/>
                <w:sz w:val="22"/>
              </w:rPr>
            </w:pPr>
            <w:r>
              <w:rPr>
                <w:color w:val="000000"/>
                <w:sz w:val="22"/>
              </w:rPr>
              <w:t>48</w:t>
            </w:r>
          </w:p>
        </w:tc>
        <w:tc>
          <w:tcPr>
            <w:tcW w:type="dxa" w:w="1275"/>
            <w:tcBorders>
              <w:top w:color="000000" w:sz="4" w:val="single"/>
              <w:left w:sz="4" w:val="nil"/>
              <w:bottom w:color="000000" w:sz="4" w:val="single"/>
              <w:right w:color="000000" w:sz="4" w:val="single"/>
            </w:tcBorders>
            <w:vAlign w:val="center"/>
          </w:tcPr>
          <w:p w14:paraId="E5050000">
            <w:pPr>
              <w:widowControl w:val="1"/>
              <w:ind w:firstLine="34"/>
              <w:contextualSpacing w:val="1"/>
              <w:jc w:val="center"/>
              <w:rPr>
                <w:color w:val="000000"/>
                <w:sz w:val="22"/>
              </w:rPr>
            </w:pPr>
            <w:r>
              <w:rPr>
                <w:color w:val="000000"/>
                <w:sz w:val="22"/>
              </w:rPr>
              <w:t>48</w:t>
            </w:r>
          </w:p>
        </w:tc>
        <w:tc>
          <w:tcPr>
            <w:tcW w:type="dxa" w:w="1418"/>
            <w:tcBorders>
              <w:top w:color="000000" w:sz="4" w:val="single"/>
              <w:left w:sz="4" w:val="nil"/>
              <w:bottom w:color="000000" w:sz="4" w:val="single"/>
              <w:right w:color="000000" w:sz="4" w:val="single"/>
            </w:tcBorders>
            <w:vAlign w:val="center"/>
          </w:tcPr>
          <w:p w14:paraId="E6050000">
            <w:pPr>
              <w:widowControl w:val="1"/>
              <w:ind w:firstLine="34"/>
              <w:contextualSpacing w:val="1"/>
              <w:jc w:val="center"/>
              <w:rPr>
                <w:sz w:val="22"/>
              </w:rPr>
            </w:pPr>
            <w:r>
              <w:rPr>
                <w:sz w:val="22"/>
              </w:rPr>
              <w:t>52</w:t>
            </w:r>
          </w:p>
        </w:tc>
        <w:tc>
          <w:tcPr>
            <w:tcW w:type="dxa" w:w="1276"/>
            <w:tcBorders>
              <w:top w:color="000000" w:sz="4" w:val="single"/>
              <w:left w:sz="4" w:val="nil"/>
              <w:bottom w:color="000000" w:sz="4" w:val="single"/>
              <w:right w:color="000000" w:sz="4" w:val="single"/>
            </w:tcBorders>
            <w:vAlign w:val="center"/>
          </w:tcPr>
          <w:p w14:paraId="E7050000">
            <w:pPr>
              <w:widowControl w:val="1"/>
              <w:ind w:firstLine="34"/>
              <w:contextualSpacing w:val="1"/>
              <w:jc w:val="center"/>
              <w:rPr>
                <w:sz w:val="22"/>
              </w:rPr>
            </w:pPr>
            <w:r>
              <w:rPr>
                <w:sz w:val="22"/>
              </w:rPr>
              <w:t>54</w:t>
            </w:r>
          </w:p>
        </w:tc>
        <w:tc>
          <w:tcPr>
            <w:tcW w:type="dxa" w:w="1134"/>
            <w:tcBorders>
              <w:top w:color="000000" w:sz="4" w:val="single"/>
              <w:left w:sz="4" w:val="nil"/>
              <w:bottom w:color="000000" w:sz="4" w:val="single"/>
              <w:right w:color="000000" w:sz="4" w:val="single"/>
            </w:tcBorders>
            <w:vAlign w:val="center"/>
          </w:tcPr>
          <w:p w14:paraId="E8050000">
            <w:pPr>
              <w:widowControl w:val="1"/>
              <w:ind w:firstLine="34"/>
              <w:contextualSpacing w:val="1"/>
              <w:jc w:val="center"/>
              <w:rPr>
                <w:sz w:val="22"/>
              </w:rPr>
            </w:pPr>
            <w:r>
              <w:rPr>
                <w:sz w:val="22"/>
              </w:rPr>
              <w:t>54</w:t>
            </w:r>
          </w:p>
        </w:tc>
      </w:tr>
      <w:tr>
        <w:trPr>
          <w:trHeight w:hRule="atLeast" w:val="312"/>
        </w:trPr>
        <w:tc>
          <w:tcPr>
            <w:tcW w:type="dxa" w:w="730"/>
            <w:tcBorders>
              <w:top w:sz="4" w:val="nil"/>
              <w:left w:color="000000" w:sz="4" w:val="single"/>
              <w:bottom w:color="000000" w:sz="4" w:val="single"/>
              <w:right w:color="000000" w:sz="4" w:val="single"/>
            </w:tcBorders>
            <w:shd w:fill="auto" w:val="clear"/>
            <w:vAlign w:val="center"/>
          </w:tcPr>
          <w:p w14:paraId="E9050000">
            <w:pPr>
              <w:widowControl w:val="1"/>
              <w:ind w:firstLine="709" w:left="-697"/>
              <w:contextualSpacing w:val="1"/>
              <w:jc w:val="center"/>
              <w:rPr>
                <w:color w:val="000000"/>
                <w:sz w:val="22"/>
              </w:rPr>
            </w:pPr>
            <w:r>
              <w:rPr>
                <w:color w:val="000000"/>
                <w:sz w:val="22"/>
              </w:rPr>
              <w:t>2</w:t>
            </w:r>
          </w:p>
        </w:tc>
        <w:tc>
          <w:tcPr>
            <w:tcW w:type="dxa" w:w="1134"/>
            <w:tcBorders>
              <w:top w:sz="4" w:val="nil"/>
              <w:left w:sz="4" w:val="nil"/>
              <w:bottom w:color="000000" w:sz="4" w:val="single"/>
              <w:right w:color="000000" w:sz="4" w:val="single"/>
            </w:tcBorders>
            <w:shd w:fill="auto" w:val="clear"/>
            <w:vAlign w:val="center"/>
          </w:tcPr>
          <w:p w14:paraId="EA050000">
            <w:pPr>
              <w:widowControl w:val="1"/>
              <w:ind w:firstLine="34"/>
              <w:contextualSpacing w:val="1"/>
              <w:jc w:val="center"/>
              <w:rPr>
                <w:color w:val="000000"/>
                <w:sz w:val="22"/>
              </w:rPr>
            </w:pPr>
            <w:r>
              <w:rPr>
                <w:sz w:val="22"/>
              </w:rPr>
              <w:t>11-20</w:t>
            </w:r>
          </w:p>
        </w:tc>
        <w:tc>
          <w:tcPr>
            <w:tcW w:type="dxa" w:w="1276"/>
            <w:tcBorders>
              <w:top w:sz="4" w:val="nil"/>
              <w:left w:sz="4" w:val="nil"/>
              <w:bottom w:color="000000" w:sz="4" w:val="single"/>
              <w:right w:color="000000" w:sz="4" w:val="single"/>
            </w:tcBorders>
            <w:shd w:fill="auto" w:val="clear"/>
            <w:vAlign w:val="center"/>
          </w:tcPr>
          <w:p w14:paraId="EB050000">
            <w:pPr>
              <w:widowControl w:val="1"/>
              <w:ind w:firstLine="34"/>
              <w:contextualSpacing w:val="1"/>
              <w:jc w:val="center"/>
              <w:rPr>
                <w:color w:val="000000"/>
                <w:sz w:val="22"/>
              </w:rPr>
            </w:pPr>
            <w:r>
              <w:rPr>
                <w:color w:val="000000"/>
                <w:sz w:val="22"/>
              </w:rPr>
              <w:t>56</w:t>
            </w:r>
          </w:p>
        </w:tc>
        <w:tc>
          <w:tcPr>
            <w:tcW w:type="dxa" w:w="1276"/>
            <w:tcBorders>
              <w:top w:sz="4" w:val="nil"/>
              <w:left w:sz="4" w:val="nil"/>
              <w:bottom w:color="000000" w:sz="4" w:val="single"/>
              <w:right w:color="000000" w:sz="4" w:val="single"/>
            </w:tcBorders>
            <w:shd w:fill="auto" w:val="clear"/>
            <w:vAlign w:val="center"/>
          </w:tcPr>
          <w:p w14:paraId="EC050000">
            <w:pPr>
              <w:widowControl w:val="1"/>
              <w:ind w:firstLine="34"/>
              <w:contextualSpacing w:val="1"/>
              <w:jc w:val="center"/>
              <w:rPr>
                <w:color w:val="000000"/>
                <w:sz w:val="22"/>
              </w:rPr>
            </w:pPr>
            <w:r>
              <w:rPr>
                <w:color w:val="000000"/>
                <w:sz w:val="22"/>
              </w:rPr>
              <w:t>62</w:t>
            </w:r>
          </w:p>
        </w:tc>
        <w:tc>
          <w:tcPr>
            <w:tcW w:type="dxa" w:w="1275"/>
            <w:tcBorders>
              <w:top w:sz="4" w:val="nil"/>
              <w:left w:sz="4" w:val="nil"/>
              <w:bottom w:color="000000" w:sz="4" w:val="single"/>
              <w:right w:color="000000" w:sz="4" w:val="single"/>
            </w:tcBorders>
            <w:vAlign w:val="center"/>
          </w:tcPr>
          <w:p w14:paraId="ED050000">
            <w:pPr>
              <w:widowControl w:val="1"/>
              <w:ind w:firstLine="34"/>
              <w:contextualSpacing w:val="1"/>
              <w:jc w:val="center"/>
              <w:rPr>
                <w:color w:val="000000"/>
                <w:sz w:val="22"/>
              </w:rPr>
            </w:pPr>
            <w:r>
              <w:rPr>
                <w:color w:val="000000"/>
                <w:sz w:val="22"/>
              </w:rPr>
              <w:t>62</w:t>
            </w:r>
          </w:p>
        </w:tc>
        <w:tc>
          <w:tcPr>
            <w:tcW w:type="dxa" w:w="1418"/>
            <w:tcBorders>
              <w:top w:sz="4" w:val="nil"/>
              <w:left w:sz="4" w:val="nil"/>
              <w:bottom w:color="000000" w:sz="4" w:val="single"/>
              <w:right w:color="000000" w:sz="4" w:val="single"/>
            </w:tcBorders>
            <w:vAlign w:val="center"/>
          </w:tcPr>
          <w:p w14:paraId="EE050000">
            <w:pPr>
              <w:widowControl w:val="1"/>
              <w:ind w:firstLine="34"/>
              <w:contextualSpacing w:val="1"/>
              <w:jc w:val="center"/>
              <w:rPr>
                <w:sz w:val="22"/>
              </w:rPr>
            </w:pPr>
            <w:r>
              <w:rPr>
                <w:sz w:val="22"/>
              </w:rPr>
              <w:t>67</w:t>
            </w:r>
          </w:p>
        </w:tc>
        <w:tc>
          <w:tcPr>
            <w:tcW w:type="dxa" w:w="1276"/>
            <w:tcBorders>
              <w:top w:sz="4" w:val="nil"/>
              <w:left w:sz="4" w:val="nil"/>
              <w:bottom w:color="000000" w:sz="4" w:val="single"/>
              <w:right w:color="000000" w:sz="4" w:val="single"/>
            </w:tcBorders>
            <w:vAlign w:val="center"/>
          </w:tcPr>
          <w:p w14:paraId="EF050000">
            <w:pPr>
              <w:widowControl w:val="1"/>
              <w:ind w:firstLine="34"/>
              <w:contextualSpacing w:val="1"/>
              <w:jc w:val="center"/>
              <w:rPr>
                <w:sz w:val="22"/>
              </w:rPr>
            </w:pPr>
            <w:r>
              <w:rPr>
                <w:sz w:val="22"/>
              </w:rPr>
              <w:t>70</w:t>
            </w:r>
          </w:p>
        </w:tc>
        <w:tc>
          <w:tcPr>
            <w:tcW w:type="dxa" w:w="1134"/>
            <w:tcBorders>
              <w:top w:sz="4" w:val="nil"/>
              <w:left w:sz="4" w:val="nil"/>
              <w:bottom w:color="000000" w:sz="4" w:val="single"/>
              <w:right w:color="000000" w:sz="4" w:val="single"/>
            </w:tcBorders>
            <w:vAlign w:val="center"/>
          </w:tcPr>
          <w:p w14:paraId="F0050000">
            <w:pPr>
              <w:widowControl w:val="1"/>
              <w:ind w:firstLine="34"/>
              <w:contextualSpacing w:val="1"/>
              <w:jc w:val="center"/>
              <w:rPr>
                <w:sz w:val="22"/>
              </w:rPr>
            </w:pPr>
            <w:r>
              <w:rPr>
                <w:sz w:val="22"/>
              </w:rPr>
              <w:t>70</w:t>
            </w:r>
          </w:p>
        </w:tc>
      </w:tr>
      <w:tr>
        <w:trPr>
          <w:trHeight w:hRule="atLeast" w:val="312"/>
        </w:trPr>
        <w:tc>
          <w:tcPr>
            <w:tcW w:type="dxa" w:w="730"/>
            <w:tcBorders>
              <w:top w:sz="4" w:val="nil"/>
              <w:left w:color="000000" w:sz="4" w:val="single"/>
              <w:bottom w:color="000000" w:sz="4" w:val="single"/>
              <w:right w:color="000000" w:sz="4" w:val="single"/>
            </w:tcBorders>
            <w:shd w:fill="auto" w:val="clear"/>
            <w:vAlign w:val="center"/>
          </w:tcPr>
          <w:p w14:paraId="F1050000">
            <w:pPr>
              <w:widowControl w:val="1"/>
              <w:ind w:firstLine="709" w:left="-697"/>
              <w:contextualSpacing w:val="1"/>
              <w:jc w:val="center"/>
              <w:rPr>
                <w:color w:val="000000"/>
                <w:sz w:val="22"/>
              </w:rPr>
            </w:pPr>
            <w:r>
              <w:rPr>
                <w:color w:val="000000"/>
                <w:sz w:val="22"/>
              </w:rPr>
              <w:t>3</w:t>
            </w:r>
          </w:p>
        </w:tc>
        <w:tc>
          <w:tcPr>
            <w:tcW w:type="dxa" w:w="1134"/>
            <w:tcBorders>
              <w:top w:sz="4" w:val="nil"/>
              <w:left w:sz="4" w:val="nil"/>
              <w:bottom w:color="000000" w:sz="4" w:val="single"/>
              <w:right w:color="000000" w:sz="4" w:val="single"/>
            </w:tcBorders>
            <w:shd w:fill="auto" w:val="clear"/>
            <w:vAlign w:val="center"/>
          </w:tcPr>
          <w:p w14:paraId="F2050000">
            <w:pPr>
              <w:widowControl w:val="1"/>
              <w:ind w:firstLine="34"/>
              <w:contextualSpacing w:val="1"/>
              <w:jc w:val="center"/>
              <w:rPr>
                <w:color w:val="000000"/>
                <w:sz w:val="22"/>
              </w:rPr>
            </w:pPr>
            <w:r>
              <w:rPr>
                <w:color w:val="000000"/>
                <w:sz w:val="22"/>
              </w:rPr>
              <w:t>21-30</w:t>
            </w:r>
          </w:p>
        </w:tc>
        <w:tc>
          <w:tcPr>
            <w:tcW w:type="dxa" w:w="1276"/>
            <w:tcBorders>
              <w:top w:sz="4" w:val="nil"/>
              <w:left w:sz="4" w:val="nil"/>
              <w:bottom w:color="000000" w:sz="4" w:val="single"/>
              <w:right w:color="000000" w:sz="4" w:val="single"/>
            </w:tcBorders>
            <w:shd w:fill="auto" w:val="clear"/>
            <w:vAlign w:val="center"/>
          </w:tcPr>
          <w:p w14:paraId="F3050000">
            <w:pPr>
              <w:widowControl w:val="1"/>
              <w:ind w:firstLine="34"/>
              <w:contextualSpacing w:val="1"/>
              <w:jc w:val="center"/>
              <w:rPr>
                <w:color w:val="000000"/>
                <w:sz w:val="22"/>
              </w:rPr>
            </w:pPr>
            <w:r>
              <w:rPr>
                <w:color w:val="000000"/>
                <w:sz w:val="22"/>
              </w:rPr>
              <w:t>63</w:t>
            </w:r>
          </w:p>
        </w:tc>
        <w:tc>
          <w:tcPr>
            <w:tcW w:type="dxa" w:w="1276"/>
            <w:tcBorders>
              <w:top w:sz="4" w:val="nil"/>
              <w:left w:sz="4" w:val="nil"/>
              <w:bottom w:color="000000" w:sz="4" w:val="single"/>
              <w:right w:color="000000" w:sz="4" w:val="single"/>
            </w:tcBorders>
            <w:shd w:fill="auto" w:val="clear"/>
            <w:vAlign w:val="center"/>
          </w:tcPr>
          <w:p w14:paraId="F4050000">
            <w:pPr>
              <w:widowControl w:val="1"/>
              <w:ind w:firstLine="34"/>
              <w:contextualSpacing w:val="1"/>
              <w:jc w:val="center"/>
              <w:rPr>
                <w:color w:val="000000"/>
                <w:sz w:val="22"/>
              </w:rPr>
            </w:pPr>
            <w:r>
              <w:rPr>
                <w:color w:val="000000"/>
                <w:sz w:val="22"/>
              </w:rPr>
              <w:t>69</w:t>
            </w:r>
          </w:p>
        </w:tc>
        <w:tc>
          <w:tcPr>
            <w:tcW w:type="dxa" w:w="1275"/>
            <w:tcBorders>
              <w:top w:sz="4" w:val="nil"/>
              <w:left w:sz="4" w:val="nil"/>
              <w:bottom w:color="000000" w:sz="4" w:val="single"/>
              <w:right w:color="000000" w:sz="4" w:val="single"/>
            </w:tcBorders>
            <w:vAlign w:val="center"/>
          </w:tcPr>
          <w:p w14:paraId="F5050000">
            <w:pPr>
              <w:widowControl w:val="1"/>
              <w:ind w:firstLine="34"/>
              <w:contextualSpacing w:val="1"/>
              <w:jc w:val="center"/>
              <w:rPr>
                <w:color w:val="000000"/>
                <w:sz w:val="22"/>
              </w:rPr>
            </w:pPr>
            <w:r>
              <w:rPr>
                <w:color w:val="000000"/>
                <w:sz w:val="22"/>
              </w:rPr>
              <w:t>69</w:t>
            </w:r>
          </w:p>
        </w:tc>
        <w:tc>
          <w:tcPr>
            <w:tcW w:type="dxa" w:w="1418"/>
            <w:tcBorders>
              <w:top w:sz="4" w:val="nil"/>
              <w:left w:sz="4" w:val="nil"/>
              <w:bottom w:color="000000" w:sz="4" w:val="single"/>
              <w:right w:color="000000" w:sz="4" w:val="single"/>
            </w:tcBorders>
            <w:vAlign w:val="center"/>
          </w:tcPr>
          <w:p w14:paraId="F6050000">
            <w:pPr>
              <w:widowControl w:val="1"/>
              <w:ind w:firstLine="34"/>
              <w:contextualSpacing w:val="1"/>
              <w:jc w:val="center"/>
              <w:rPr>
                <w:sz w:val="22"/>
              </w:rPr>
            </w:pPr>
            <w:r>
              <w:rPr>
                <w:sz w:val="22"/>
              </w:rPr>
              <w:t>74</w:t>
            </w:r>
          </w:p>
        </w:tc>
        <w:tc>
          <w:tcPr>
            <w:tcW w:type="dxa" w:w="1276"/>
            <w:tcBorders>
              <w:top w:sz="4" w:val="nil"/>
              <w:left w:sz="4" w:val="nil"/>
              <w:bottom w:color="000000" w:sz="4" w:val="single"/>
              <w:right w:color="000000" w:sz="4" w:val="single"/>
            </w:tcBorders>
            <w:vAlign w:val="center"/>
          </w:tcPr>
          <w:p w14:paraId="F7050000">
            <w:pPr>
              <w:widowControl w:val="1"/>
              <w:ind w:firstLine="34"/>
              <w:contextualSpacing w:val="1"/>
              <w:jc w:val="center"/>
              <w:rPr>
                <w:sz w:val="22"/>
              </w:rPr>
            </w:pPr>
            <w:r>
              <w:rPr>
                <w:sz w:val="22"/>
              </w:rPr>
              <w:t>78</w:t>
            </w:r>
          </w:p>
        </w:tc>
        <w:tc>
          <w:tcPr>
            <w:tcW w:type="dxa" w:w="1134"/>
            <w:tcBorders>
              <w:top w:sz="4" w:val="nil"/>
              <w:left w:sz="4" w:val="nil"/>
              <w:bottom w:color="000000" w:sz="4" w:val="single"/>
              <w:right w:color="000000" w:sz="4" w:val="single"/>
            </w:tcBorders>
            <w:vAlign w:val="center"/>
          </w:tcPr>
          <w:p w14:paraId="F8050000">
            <w:pPr>
              <w:widowControl w:val="1"/>
              <w:ind w:firstLine="34"/>
              <w:contextualSpacing w:val="1"/>
              <w:jc w:val="center"/>
              <w:rPr>
                <w:sz w:val="22"/>
              </w:rPr>
            </w:pPr>
            <w:r>
              <w:rPr>
                <w:sz w:val="22"/>
              </w:rPr>
              <w:t>78</w:t>
            </w:r>
          </w:p>
        </w:tc>
      </w:tr>
      <w:tr>
        <w:trPr>
          <w:trHeight w:hRule="atLeast" w:val="312"/>
        </w:trPr>
        <w:tc>
          <w:tcPr>
            <w:tcW w:type="dxa" w:w="730"/>
            <w:tcBorders>
              <w:top w:sz="4" w:val="nil"/>
              <w:left w:color="000000" w:sz="4" w:val="single"/>
              <w:bottom w:color="000000" w:sz="4" w:val="single"/>
              <w:right w:color="000000" w:sz="4" w:val="single"/>
            </w:tcBorders>
            <w:shd w:fill="auto" w:val="clear"/>
            <w:vAlign w:val="center"/>
          </w:tcPr>
          <w:p w14:paraId="F9050000">
            <w:pPr>
              <w:widowControl w:val="1"/>
              <w:ind w:firstLine="709" w:left="-697"/>
              <w:contextualSpacing w:val="1"/>
              <w:jc w:val="center"/>
              <w:rPr>
                <w:color w:val="000000"/>
                <w:sz w:val="22"/>
              </w:rPr>
            </w:pPr>
            <w:r>
              <w:rPr>
                <w:color w:val="000000"/>
                <w:sz w:val="22"/>
              </w:rPr>
              <w:t>4</w:t>
            </w:r>
          </w:p>
        </w:tc>
        <w:tc>
          <w:tcPr>
            <w:tcW w:type="dxa" w:w="1134"/>
            <w:tcBorders>
              <w:top w:sz="4" w:val="nil"/>
              <w:left w:sz="4" w:val="nil"/>
              <w:bottom w:color="000000" w:sz="4" w:val="single"/>
              <w:right w:color="000000" w:sz="4" w:val="single"/>
            </w:tcBorders>
            <w:shd w:fill="auto" w:val="clear"/>
            <w:vAlign w:val="center"/>
          </w:tcPr>
          <w:p w14:paraId="FA050000">
            <w:pPr>
              <w:widowControl w:val="1"/>
              <w:ind w:firstLine="34"/>
              <w:contextualSpacing w:val="1"/>
              <w:jc w:val="center"/>
              <w:rPr>
                <w:color w:val="000000"/>
                <w:sz w:val="22"/>
              </w:rPr>
            </w:pPr>
            <w:r>
              <w:rPr>
                <w:color w:val="000000"/>
                <w:sz w:val="22"/>
              </w:rPr>
              <w:t>31-40</w:t>
            </w:r>
          </w:p>
        </w:tc>
        <w:tc>
          <w:tcPr>
            <w:tcW w:type="dxa" w:w="1276"/>
            <w:tcBorders>
              <w:top w:sz="4" w:val="nil"/>
              <w:left w:sz="4" w:val="nil"/>
              <w:bottom w:color="000000" w:sz="4" w:val="single"/>
              <w:right w:color="000000" w:sz="4" w:val="single"/>
            </w:tcBorders>
            <w:shd w:fill="auto" w:val="clear"/>
            <w:vAlign w:val="center"/>
          </w:tcPr>
          <w:p w14:paraId="FB050000">
            <w:pPr>
              <w:widowControl w:val="1"/>
              <w:ind w:firstLine="34"/>
              <w:contextualSpacing w:val="1"/>
              <w:jc w:val="center"/>
              <w:rPr>
                <w:color w:val="000000"/>
                <w:sz w:val="22"/>
              </w:rPr>
            </w:pPr>
            <w:r>
              <w:rPr>
                <w:color w:val="000000"/>
                <w:sz w:val="22"/>
              </w:rPr>
              <w:t>75</w:t>
            </w:r>
          </w:p>
        </w:tc>
        <w:tc>
          <w:tcPr>
            <w:tcW w:type="dxa" w:w="1276"/>
            <w:tcBorders>
              <w:top w:sz="4" w:val="nil"/>
              <w:left w:sz="4" w:val="nil"/>
              <w:bottom w:color="000000" w:sz="4" w:val="single"/>
              <w:right w:color="000000" w:sz="4" w:val="single"/>
            </w:tcBorders>
            <w:shd w:fill="auto" w:val="clear"/>
            <w:vAlign w:val="center"/>
          </w:tcPr>
          <w:p w14:paraId="FC050000">
            <w:pPr>
              <w:widowControl w:val="1"/>
              <w:ind w:firstLine="34"/>
              <w:contextualSpacing w:val="1"/>
              <w:jc w:val="center"/>
              <w:rPr>
                <w:color w:val="000000"/>
                <w:sz w:val="22"/>
              </w:rPr>
            </w:pPr>
            <w:r>
              <w:rPr>
                <w:color w:val="000000"/>
                <w:sz w:val="22"/>
              </w:rPr>
              <w:t>83</w:t>
            </w:r>
          </w:p>
        </w:tc>
        <w:tc>
          <w:tcPr>
            <w:tcW w:type="dxa" w:w="1275"/>
            <w:tcBorders>
              <w:top w:sz="4" w:val="nil"/>
              <w:left w:sz="4" w:val="nil"/>
              <w:bottom w:color="000000" w:sz="4" w:val="single"/>
              <w:right w:color="000000" w:sz="4" w:val="single"/>
            </w:tcBorders>
            <w:vAlign w:val="center"/>
          </w:tcPr>
          <w:p w14:paraId="FD050000">
            <w:pPr>
              <w:widowControl w:val="1"/>
              <w:ind w:firstLine="34"/>
              <w:contextualSpacing w:val="1"/>
              <w:jc w:val="center"/>
              <w:rPr>
                <w:color w:val="000000"/>
                <w:sz w:val="22"/>
              </w:rPr>
            </w:pPr>
            <w:r>
              <w:rPr>
                <w:color w:val="000000"/>
                <w:sz w:val="22"/>
              </w:rPr>
              <w:t>83</w:t>
            </w:r>
          </w:p>
        </w:tc>
        <w:tc>
          <w:tcPr>
            <w:tcW w:type="dxa" w:w="1418"/>
            <w:tcBorders>
              <w:top w:sz="4" w:val="nil"/>
              <w:left w:sz="4" w:val="nil"/>
              <w:bottom w:color="000000" w:sz="4" w:val="single"/>
              <w:right w:color="000000" w:sz="4" w:val="single"/>
            </w:tcBorders>
            <w:vAlign w:val="center"/>
          </w:tcPr>
          <w:p w14:paraId="FE050000">
            <w:pPr>
              <w:widowControl w:val="1"/>
              <w:ind w:firstLine="34"/>
              <w:contextualSpacing w:val="1"/>
              <w:jc w:val="center"/>
              <w:rPr>
                <w:sz w:val="22"/>
              </w:rPr>
            </w:pPr>
            <w:r>
              <w:rPr>
                <w:sz w:val="22"/>
              </w:rPr>
              <w:t>89</w:t>
            </w:r>
          </w:p>
        </w:tc>
        <w:tc>
          <w:tcPr>
            <w:tcW w:type="dxa" w:w="1276"/>
            <w:tcBorders>
              <w:top w:sz="4" w:val="nil"/>
              <w:left w:sz="4" w:val="nil"/>
              <w:bottom w:color="000000" w:sz="4" w:val="single"/>
              <w:right w:color="000000" w:sz="4" w:val="single"/>
            </w:tcBorders>
            <w:vAlign w:val="center"/>
          </w:tcPr>
          <w:p w14:paraId="FF050000">
            <w:pPr>
              <w:widowControl w:val="1"/>
              <w:ind w:firstLine="34"/>
              <w:contextualSpacing w:val="1"/>
              <w:jc w:val="center"/>
              <w:rPr>
                <w:sz w:val="22"/>
              </w:rPr>
            </w:pPr>
            <w:r>
              <w:rPr>
                <w:sz w:val="22"/>
              </w:rPr>
              <w:t>93</w:t>
            </w:r>
          </w:p>
        </w:tc>
        <w:tc>
          <w:tcPr>
            <w:tcW w:type="dxa" w:w="1134"/>
            <w:tcBorders>
              <w:top w:sz="4" w:val="nil"/>
              <w:left w:sz="4" w:val="nil"/>
              <w:bottom w:color="000000" w:sz="4" w:val="single"/>
              <w:right w:color="000000" w:sz="4" w:val="single"/>
            </w:tcBorders>
            <w:vAlign w:val="center"/>
          </w:tcPr>
          <w:p w14:paraId="00060000">
            <w:pPr>
              <w:widowControl w:val="1"/>
              <w:ind w:firstLine="34"/>
              <w:contextualSpacing w:val="1"/>
              <w:jc w:val="center"/>
              <w:rPr>
                <w:sz w:val="22"/>
              </w:rPr>
            </w:pPr>
            <w:r>
              <w:rPr>
                <w:sz w:val="22"/>
              </w:rPr>
              <w:t>93</w:t>
            </w:r>
          </w:p>
        </w:tc>
      </w:tr>
      <w:tr>
        <w:trPr>
          <w:trHeight w:hRule="atLeast" w:val="312"/>
        </w:trPr>
        <w:tc>
          <w:tcPr>
            <w:tcW w:type="dxa" w:w="730"/>
            <w:tcBorders>
              <w:top w:sz="4" w:val="nil"/>
              <w:left w:color="000000" w:sz="4" w:val="single"/>
              <w:bottom w:color="000000" w:sz="4" w:val="single"/>
              <w:right w:color="000000" w:sz="4" w:val="single"/>
            </w:tcBorders>
            <w:shd w:fill="auto" w:val="clear"/>
            <w:vAlign w:val="center"/>
          </w:tcPr>
          <w:p w14:paraId="01060000">
            <w:pPr>
              <w:widowControl w:val="1"/>
              <w:ind w:firstLine="709" w:left="-697"/>
              <w:contextualSpacing w:val="1"/>
              <w:jc w:val="center"/>
              <w:rPr>
                <w:color w:val="000000"/>
                <w:sz w:val="22"/>
              </w:rPr>
            </w:pPr>
            <w:r>
              <w:rPr>
                <w:color w:val="000000"/>
                <w:sz w:val="22"/>
              </w:rPr>
              <w:t>5</w:t>
            </w:r>
          </w:p>
        </w:tc>
        <w:tc>
          <w:tcPr>
            <w:tcW w:type="dxa" w:w="1134"/>
            <w:tcBorders>
              <w:top w:sz="4" w:val="nil"/>
              <w:left w:sz="4" w:val="nil"/>
              <w:bottom w:color="000000" w:sz="4" w:val="single"/>
              <w:right w:color="000000" w:sz="4" w:val="single"/>
            </w:tcBorders>
            <w:shd w:fill="auto" w:val="clear"/>
            <w:vAlign w:val="center"/>
          </w:tcPr>
          <w:p w14:paraId="02060000">
            <w:pPr>
              <w:widowControl w:val="1"/>
              <w:ind w:firstLine="34"/>
              <w:contextualSpacing w:val="1"/>
              <w:jc w:val="center"/>
              <w:rPr>
                <w:color w:val="000000"/>
                <w:sz w:val="22"/>
              </w:rPr>
            </w:pPr>
            <w:r>
              <w:rPr>
                <w:color w:val="000000"/>
                <w:sz w:val="22"/>
              </w:rPr>
              <w:t>41-50</w:t>
            </w:r>
          </w:p>
        </w:tc>
        <w:tc>
          <w:tcPr>
            <w:tcW w:type="dxa" w:w="1276"/>
            <w:tcBorders>
              <w:top w:sz="4" w:val="nil"/>
              <w:left w:sz="4" w:val="nil"/>
              <w:bottom w:color="000000" w:sz="4" w:val="single"/>
              <w:right w:color="000000" w:sz="4" w:val="single"/>
            </w:tcBorders>
            <w:shd w:fill="auto" w:val="clear"/>
            <w:vAlign w:val="center"/>
          </w:tcPr>
          <w:p w14:paraId="03060000">
            <w:pPr>
              <w:widowControl w:val="1"/>
              <w:ind w:firstLine="34"/>
              <w:contextualSpacing w:val="1"/>
              <w:jc w:val="center"/>
              <w:rPr>
                <w:color w:val="000000"/>
                <w:sz w:val="22"/>
              </w:rPr>
            </w:pPr>
            <w:r>
              <w:rPr>
                <w:color w:val="000000"/>
                <w:sz w:val="22"/>
              </w:rPr>
              <w:t>88</w:t>
            </w:r>
          </w:p>
        </w:tc>
        <w:tc>
          <w:tcPr>
            <w:tcW w:type="dxa" w:w="1276"/>
            <w:tcBorders>
              <w:top w:sz="4" w:val="nil"/>
              <w:left w:sz="4" w:val="nil"/>
              <w:bottom w:color="000000" w:sz="4" w:val="single"/>
              <w:right w:color="000000" w:sz="4" w:val="single"/>
            </w:tcBorders>
            <w:shd w:fill="auto" w:val="clear"/>
            <w:vAlign w:val="center"/>
          </w:tcPr>
          <w:p w14:paraId="04060000">
            <w:pPr>
              <w:widowControl w:val="1"/>
              <w:ind w:firstLine="34"/>
              <w:contextualSpacing w:val="1"/>
              <w:jc w:val="center"/>
              <w:rPr>
                <w:color w:val="000000"/>
                <w:sz w:val="22"/>
              </w:rPr>
            </w:pPr>
            <w:r>
              <w:rPr>
                <w:color w:val="000000"/>
                <w:sz w:val="22"/>
              </w:rPr>
              <w:t>97</w:t>
            </w:r>
          </w:p>
        </w:tc>
        <w:tc>
          <w:tcPr>
            <w:tcW w:type="dxa" w:w="1275"/>
            <w:tcBorders>
              <w:top w:sz="4" w:val="nil"/>
              <w:left w:sz="4" w:val="nil"/>
              <w:bottom w:color="000000" w:sz="4" w:val="single"/>
              <w:right w:color="000000" w:sz="4" w:val="single"/>
            </w:tcBorders>
            <w:vAlign w:val="center"/>
          </w:tcPr>
          <w:p w14:paraId="05060000">
            <w:pPr>
              <w:widowControl w:val="1"/>
              <w:ind w:firstLine="34"/>
              <w:contextualSpacing w:val="1"/>
              <w:jc w:val="center"/>
              <w:rPr>
                <w:color w:val="000000"/>
                <w:sz w:val="22"/>
              </w:rPr>
            </w:pPr>
            <w:r>
              <w:rPr>
                <w:color w:val="000000"/>
                <w:sz w:val="22"/>
              </w:rPr>
              <w:t>97</w:t>
            </w:r>
          </w:p>
        </w:tc>
        <w:tc>
          <w:tcPr>
            <w:tcW w:type="dxa" w:w="1418"/>
            <w:tcBorders>
              <w:top w:sz="4" w:val="nil"/>
              <w:left w:sz="4" w:val="nil"/>
              <w:bottom w:color="000000" w:sz="4" w:val="single"/>
              <w:right w:color="000000" w:sz="4" w:val="single"/>
            </w:tcBorders>
            <w:vAlign w:val="center"/>
          </w:tcPr>
          <w:p w14:paraId="06060000">
            <w:pPr>
              <w:widowControl w:val="1"/>
              <w:ind w:firstLine="34"/>
              <w:contextualSpacing w:val="1"/>
              <w:jc w:val="center"/>
              <w:rPr>
                <w:sz w:val="22"/>
              </w:rPr>
            </w:pPr>
            <w:r>
              <w:rPr>
                <w:sz w:val="22"/>
              </w:rPr>
              <w:t>104</w:t>
            </w:r>
          </w:p>
        </w:tc>
        <w:tc>
          <w:tcPr>
            <w:tcW w:type="dxa" w:w="1276"/>
            <w:tcBorders>
              <w:top w:sz="4" w:val="nil"/>
              <w:left w:sz="4" w:val="nil"/>
              <w:bottom w:color="000000" w:sz="4" w:val="single"/>
              <w:right w:color="000000" w:sz="4" w:val="single"/>
            </w:tcBorders>
            <w:vAlign w:val="center"/>
          </w:tcPr>
          <w:p w14:paraId="07060000">
            <w:pPr>
              <w:widowControl w:val="1"/>
              <w:ind w:firstLine="34"/>
              <w:contextualSpacing w:val="1"/>
              <w:jc w:val="center"/>
              <w:rPr>
                <w:sz w:val="22"/>
              </w:rPr>
            </w:pPr>
            <w:r>
              <w:rPr>
                <w:sz w:val="22"/>
              </w:rPr>
              <w:t>109</w:t>
            </w:r>
          </w:p>
        </w:tc>
        <w:tc>
          <w:tcPr>
            <w:tcW w:type="dxa" w:w="1134"/>
            <w:tcBorders>
              <w:top w:sz="4" w:val="nil"/>
              <w:left w:sz="4" w:val="nil"/>
              <w:bottom w:color="000000" w:sz="4" w:val="single"/>
              <w:right w:color="000000" w:sz="4" w:val="single"/>
            </w:tcBorders>
            <w:vAlign w:val="center"/>
          </w:tcPr>
          <w:p w14:paraId="08060000">
            <w:pPr>
              <w:widowControl w:val="1"/>
              <w:ind w:firstLine="34"/>
              <w:contextualSpacing w:val="1"/>
              <w:jc w:val="center"/>
              <w:rPr>
                <w:sz w:val="22"/>
              </w:rPr>
            </w:pPr>
            <w:r>
              <w:rPr>
                <w:sz w:val="22"/>
              </w:rPr>
              <w:t>109</w:t>
            </w:r>
          </w:p>
        </w:tc>
      </w:tr>
      <w:tr>
        <w:trPr>
          <w:trHeight w:hRule="atLeast" w:val="312"/>
        </w:trPr>
        <w:tc>
          <w:tcPr>
            <w:tcW w:type="dxa" w:w="730"/>
            <w:tcBorders>
              <w:top w:sz="4" w:val="nil"/>
              <w:left w:color="000000" w:sz="4" w:val="single"/>
              <w:bottom w:color="000000" w:sz="4" w:val="single"/>
              <w:right w:color="000000" w:sz="4" w:val="single"/>
            </w:tcBorders>
            <w:shd w:fill="auto" w:val="clear"/>
            <w:vAlign w:val="center"/>
          </w:tcPr>
          <w:p w14:paraId="09060000">
            <w:pPr>
              <w:widowControl w:val="1"/>
              <w:ind w:firstLine="709" w:left="-697"/>
              <w:contextualSpacing w:val="1"/>
              <w:jc w:val="center"/>
              <w:rPr>
                <w:color w:val="000000"/>
                <w:sz w:val="22"/>
              </w:rPr>
            </w:pPr>
            <w:r>
              <w:rPr>
                <w:color w:val="000000"/>
                <w:sz w:val="22"/>
              </w:rPr>
              <w:t>6</w:t>
            </w:r>
          </w:p>
        </w:tc>
        <w:tc>
          <w:tcPr>
            <w:tcW w:type="dxa" w:w="1134"/>
            <w:tcBorders>
              <w:top w:sz="4" w:val="nil"/>
              <w:left w:sz="4" w:val="nil"/>
              <w:bottom w:color="000000" w:sz="4" w:val="single"/>
              <w:right w:color="000000" w:sz="4" w:val="single"/>
            </w:tcBorders>
            <w:shd w:fill="auto" w:val="clear"/>
            <w:vAlign w:val="center"/>
          </w:tcPr>
          <w:p w14:paraId="0A060000">
            <w:pPr>
              <w:widowControl w:val="1"/>
              <w:ind w:firstLine="34"/>
              <w:contextualSpacing w:val="1"/>
              <w:jc w:val="center"/>
              <w:rPr>
                <w:color w:val="000000"/>
                <w:sz w:val="22"/>
              </w:rPr>
            </w:pPr>
            <w:r>
              <w:rPr>
                <w:color w:val="000000"/>
                <w:sz w:val="22"/>
              </w:rPr>
              <w:t>51-60</w:t>
            </w:r>
          </w:p>
        </w:tc>
        <w:tc>
          <w:tcPr>
            <w:tcW w:type="dxa" w:w="1276"/>
            <w:tcBorders>
              <w:top w:sz="4" w:val="nil"/>
              <w:left w:sz="4" w:val="nil"/>
              <w:bottom w:color="000000" w:sz="4" w:val="single"/>
              <w:right w:color="000000" w:sz="4" w:val="single"/>
            </w:tcBorders>
            <w:shd w:fill="auto" w:val="clear"/>
            <w:vAlign w:val="center"/>
          </w:tcPr>
          <w:p w14:paraId="0B060000">
            <w:pPr>
              <w:widowControl w:val="1"/>
              <w:ind w:firstLine="34"/>
              <w:contextualSpacing w:val="1"/>
              <w:jc w:val="center"/>
              <w:rPr>
                <w:color w:val="000000"/>
                <w:sz w:val="22"/>
              </w:rPr>
            </w:pPr>
            <w:r>
              <w:rPr>
                <w:color w:val="000000"/>
                <w:sz w:val="22"/>
              </w:rPr>
              <w:t>100</w:t>
            </w:r>
          </w:p>
        </w:tc>
        <w:tc>
          <w:tcPr>
            <w:tcW w:type="dxa" w:w="1276"/>
            <w:tcBorders>
              <w:top w:sz="4" w:val="nil"/>
              <w:left w:sz="4" w:val="nil"/>
              <w:bottom w:color="000000" w:sz="4" w:val="single"/>
              <w:right w:color="000000" w:sz="4" w:val="single"/>
            </w:tcBorders>
            <w:shd w:fill="auto" w:val="clear"/>
            <w:vAlign w:val="center"/>
          </w:tcPr>
          <w:p w14:paraId="0C060000">
            <w:pPr>
              <w:widowControl w:val="1"/>
              <w:ind w:firstLine="34"/>
              <w:contextualSpacing w:val="1"/>
              <w:jc w:val="center"/>
              <w:rPr>
                <w:color w:val="000000"/>
                <w:sz w:val="22"/>
              </w:rPr>
            </w:pPr>
            <w:r>
              <w:rPr>
                <w:color w:val="000000"/>
                <w:sz w:val="22"/>
              </w:rPr>
              <w:t>110</w:t>
            </w:r>
          </w:p>
        </w:tc>
        <w:tc>
          <w:tcPr>
            <w:tcW w:type="dxa" w:w="1275"/>
            <w:tcBorders>
              <w:top w:sz="4" w:val="nil"/>
              <w:left w:sz="4" w:val="nil"/>
              <w:bottom w:color="000000" w:sz="4" w:val="single"/>
              <w:right w:color="000000" w:sz="4" w:val="single"/>
            </w:tcBorders>
            <w:vAlign w:val="center"/>
          </w:tcPr>
          <w:p w14:paraId="0D060000">
            <w:pPr>
              <w:widowControl w:val="1"/>
              <w:ind w:firstLine="34"/>
              <w:contextualSpacing w:val="1"/>
              <w:jc w:val="center"/>
              <w:rPr>
                <w:color w:val="000000"/>
                <w:sz w:val="22"/>
              </w:rPr>
            </w:pPr>
            <w:r>
              <w:rPr>
                <w:color w:val="000000"/>
                <w:sz w:val="22"/>
              </w:rPr>
              <w:t>110</w:t>
            </w:r>
          </w:p>
        </w:tc>
        <w:tc>
          <w:tcPr>
            <w:tcW w:type="dxa" w:w="1418"/>
            <w:tcBorders>
              <w:top w:sz="4" w:val="nil"/>
              <w:left w:sz="4" w:val="nil"/>
              <w:bottom w:color="000000" w:sz="4" w:val="single"/>
              <w:right w:color="000000" w:sz="4" w:val="single"/>
            </w:tcBorders>
            <w:vAlign w:val="center"/>
          </w:tcPr>
          <w:p w14:paraId="0E060000">
            <w:pPr>
              <w:widowControl w:val="1"/>
              <w:ind w:firstLine="34"/>
              <w:contextualSpacing w:val="1"/>
              <w:jc w:val="center"/>
              <w:rPr>
                <w:sz w:val="22"/>
              </w:rPr>
            </w:pPr>
            <w:r>
              <w:rPr>
                <w:sz w:val="22"/>
              </w:rPr>
              <w:t>118</w:t>
            </w:r>
          </w:p>
        </w:tc>
        <w:tc>
          <w:tcPr>
            <w:tcW w:type="dxa" w:w="1276"/>
            <w:tcBorders>
              <w:top w:sz="4" w:val="nil"/>
              <w:left w:sz="4" w:val="nil"/>
              <w:bottom w:color="000000" w:sz="4" w:val="single"/>
              <w:right w:color="000000" w:sz="4" w:val="single"/>
            </w:tcBorders>
            <w:vAlign w:val="center"/>
          </w:tcPr>
          <w:p w14:paraId="0F060000">
            <w:pPr>
              <w:widowControl w:val="1"/>
              <w:ind w:firstLine="34"/>
              <w:contextualSpacing w:val="1"/>
              <w:jc w:val="center"/>
              <w:rPr>
                <w:sz w:val="22"/>
              </w:rPr>
            </w:pPr>
            <w:r>
              <w:rPr>
                <w:sz w:val="22"/>
              </w:rPr>
              <w:t>123</w:t>
            </w:r>
          </w:p>
        </w:tc>
        <w:tc>
          <w:tcPr>
            <w:tcW w:type="dxa" w:w="1134"/>
            <w:tcBorders>
              <w:top w:sz="4" w:val="nil"/>
              <w:left w:sz="4" w:val="nil"/>
              <w:bottom w:color="000000" w:sz="4" w:val="single"/>
              <w:right w:color="000000" w:sz="4" w:val="single"/>
            </w:tcBorders>
            <w:vAlign w:val="center"/>
          </w:tcPr>
          <w:p w14:paraId="10060000">
            <w:pPr>
              <w:widowControl w:val="1"/>
              <w:ind w:firstLine="34"/>
              <w:contextualSpacing w:val="1"/>
              <w:jc w:val="center"/>
              <w:rPr>
                <w:sz w:val="22"/>
              </w:rPr>
            </w:pPr>
            <w:r>
              <w:rPr>
                <w:sz w:val="22"/>
              </w:rPr>
              <w:t>123</w:t>
            </w:r>
          </w:p>
        </w:tc>
      </w:tr>
      <w:tr>
        <w:trPr>
          <w:trHeight w:hRule="atLeast" w:val="312"/>
        </w:trPr>
        <w:tc>
          <w:tcPr>
            <w:tcW w:type="dxa" w:w="730"/>
            <w:tcBorders>
              <w:top w:sz="4" w:val="nil"/>
              <w:left w:color="000000" w:sz="4" w:val="single"/>
              <w:bottom w:color="000000" w:sz="4" w:val="single"/>
              <w:right w:color="000000" w:sz="4" w:val="single"/>
            </w:tcBorders>
            <w:shd w:fill="auto" w:val="clear"/>
            <w:vAlign w:val="center"/>
          </w:tcPr>
          <w:p w14:paraId="11060000">
            <w:pPr>
              <w:widowControl w:val="1"/>
              <w:ind w:firstLine="709" w:left="-697"/>
              <w:contextualSpacing w:val="1"/>
              <w:jc w:val="center"/>
              <w:rPr>
                <w:color w:val="000000"/>
                <w:sz w:val="22"/>
              </w:rPr>
            </w:pPr>
            <w:r>
              <w:rPr>
                <w:color w:val="000000"/>
                <w:sz w:val="22"/>
              </w:rPr>
              <w:t>7</w:t>
            </w:r>
          </w:p>
        </w:tc>
        <w:tc>
          <w:tcPr>
            <w:tcW w:type="dxa" w:w="1134"/>
            <w:tcBorders>
              <w:top w:sz="4" w:val="nil"/>
              <w:left w:sz="4" w:val="nil"/>
              <w:bottom w:color="000000" w:sz="4" w:val="single"/>
              <w:right w:color="000000" w:sz="4" w:val="single"/>
            </w:tcBorders>
            <w:shd w:fill="auto" w:val="clear"/>
            <w:vAlign w:val="center"/>
          </w:tcPr>
          <w:p w14:paraId="12060000">
            <w:pPr>
              <w:widowControl w:val="1"/>
              <w:ind w:firstLine="34"/>
              <w:contextualSpacing w:val="1"/>
              <w:jc w:val="center"/>
              <w:rPr>
                <w:color w:val="000000"/>
                <w:sz w:val="22"/>
              </w:rPr>
            </w:pPr>
            <w:r>
              <w:rPr>
                <w:color w:val="000000"/>
                <w:sz w:val="22"/>
              </w:rPr>
              <w:t>61-70</w:t>
            </w:r>
          </w:p>
        </w:tc>
        <w:tc>
          <w:tcPr>
            <w:tcW w:type="dxa" w:w="1276"/>
            <w:tcBorders>
              <w:top w:sz="4" w:val="nil"/>
              <w:left w:sz="4" w:val="nil"/>
              <w:bottom w:color="000000" w:sz="4" w:val="single"/>
              <w:right w:color="000000" w:sz="4" w:val="single"/>
            </w:tcBorders>
            <w:shd w:fill="auto" w:val="clear"/>
            <w:vAlign w:val="center"/>
          </w:tcPr>
          <w:p w14:paraId="13060000">
            <w:pPr>
              <w:widowControl w:val="1"/>
              <w:ind w:firstLine="34"/>
              <w:contextualSpacing w:val="1"/>
              <w:jc w:val="center"/>
              <w:rPr>
                <w:color w:val="000000"/>
                <w:sz w:val="22"/>
              </w:rPr>
            </w:pPr>
            <w:r>
              <w:rPr>
                <w:color w:val="000000"/>
                <w:sz w:val="22"/>
              </w:rPr>
              <w:t>107</w:t>
            </w:r>
          </w:p>
        </w:tc>
        <w:tc>
          <w:tcPr>
            <w:tcW w:type="dxa" w:w="1276"/>
            <w:tcBorders>
              <w:top w:sz="4" w:val="nil"/>
              <w:left w:sz="4" w:val="nil"/>
              <w:bottom w:color="000000" w:sz="4" w:val="single"/>
              <w:right w:color="000000" w:sz="4" w:val="single"/>
            </w:tcBorders>
            <w:shd w:fill="auto" w:val="clear"/>
            <w:vAlign w:val="center"/>
          </w:tcPr>
          <w:p w14:paraId="14060000">
            <w:pPr>
              <w:widowControl w:val="1"/>
              <w:ind w:firstLine="34"/>
              <w:contextualSpacing w:val="1"/>
              <w:jc w:val="center"/>
              <w:rPr>
                <w:color w:val="000000"/>
                <w:sz w:val="22"/>
              </w:rPr>
            </w:pPr>
            <w:r>
              <w:rPr>
                <w:color w:val="000000"/>
                <w:sz w:val="22"/>
              </w:rPr>
              <w:t>118</w:t>
            </w:r>
          </w:p>
        </w:tc>
        <w:tc>
          <w:tcPr>
            <w:tcW w:type="dxa" w:w="1275"/>
            <w:tcBorders>
              <w:top w:sz="4" w:val="nil"/>
              <w:left w:sz="4" w:val="nil"/>
              <w:bottom w:color="000000" w:sz="4" w:val="single"/>
              <w:right w:color="000000" w:sz="4" w:val="single"/>
            </w:tcBorders>
            <w:vAlign w:val="center"/>
          </w:tcPr>
          <w:p w14:paraId="15060000">
            <w:pPr>
              <w:widowControl w:val="1"/>
              <w:ind w:firstLine="34"/>
              <w:contextualSpacing w:val="1"/>
              <w:jc w:val="center"/>
              <w:rPr>
                <w:color w:val="000000"/>
                <w:sz w:val="22"/>
              </w:rPr>
            </w:pPr>
            <w:r>
              <w:rPr>
                <w:color w:val="000000"/>
                <w:sz w:val="22"/>
              </w:rPr>
              <w:t>118</w:t>
            </w:r>
          </w:p>
        </w:tc>
        <w:tc>
          <w:tcPr>
            <w:tcW w:type="dxa" w:w="1418"/>
            <w:tcBorders>
              <w:top w:sz="4" w:val="nil"/>
              <w:left w:sz="4" w:val="nil"/>
              <w:bottom w:color="000000" w:sz="4" w:val="single"/>
              <w:right w:color="000000" w:sz="4" w:val="single"/>
            </w:tcBorders>
            <w:vAlign w:val="center"/>
          </w:tcPr>
          <w:p w14:paraId="16060000">
            <w:pPr>
              <w:widowControl w:val="1"/>
              <w:ind w:firstLine="34"/>
              <w:contextualSpacing w:val="1"/>
              <w:jc w:val="center"/>
              <w:rPr>
                <w:sz w:val="22"/>
              </w:rPr>
            </w:pPr>
            <w:r>
              <w:rPr>
                <w:sz w:val="22"/>
              </w:rPr>
              <w:t>127</w:t>
            </w:r>
          </w:p>
        </w:tc>
        <w:tc>
          <w:tcPr>
            <w:tcW w:type="dxa" w:w="1276"/>
            <w:tcBorders>
              <w:top w:sz="4" w:val="nil"/>
              <w:left w:sz="4" w:val="nil"/>
              <w:bottom w:color="000000" w:sz="4" w:val="single"/>
              <w:right w:color="000000" w:sz="4" w:val="single"/>
            </w:tcBorders>
            <w:vAlign w:val="center"/>
          </w:tcPr>
          <w:p w14:paraId="17060000">
            <w:pPr>
              <w:widowControl w:val="1"/>
              <w:ind w:firstLine="34"/>
              <w:contextualSpacing w:val="1"/>
              <w:jc w:val="center"/>
              <w:rPr>
                <w:sz w:val="22"/>
              </w:rPr>
            </w:pPr>
            <w:r>
              <w:rPr>
                <w:sz w:val="22"/>
              </w:rPr>
              <w:t>133</w:t>
            </w:r>
          </w:p>
        </w:tc>
        <w:tc>
          <w:tcPr>
            <w:tcW w:type="dxa" w:w="1134"/>
            <w:tcBorders>
              <w:top w:sz="4" w:val="nil"/>
              <w:left w:sz="4" w:val="nil"/>
              <w:bottom w:color="000000" w:sz="4" w:val="single"/>
              <w:right w:color="000000" w:sz="4" w:val="single"/>
            </w:tcBorders>
            <w:vAlign w:val="center"/>
          </w:tcPr>
          <w:p w14:paraId="18060000">
            <w:pPr>
              <w:widowControl w:val="1"/>
              <w:ind w:firstLine="34"/>
              <w:contextualSpacing w:val="1"/>
              <w:jc w:val="center"/>
              <w:rPr>
                <w:sz w:val="22"/>
              </w:rPr>
            </w:pPr>
            <w:r>
              <w:rPr>
                <w:sz w:val="22"/>
              </w:rPr>
              <w:t>133</w:t>
            </w:r>
          </w:p>
        </w:tc>
      </w:tr>
    </w:tbl>
    <w:p w14:paraId="19060000">
      <w:pPr>
        <w:pStyle w:val="Style_11"/>
        <w:widowControl w:val="1"/>
        <w:spacing w:line="360" w:lineRule="auto"/>
        <w:ind w:firstLine="709" w:left="0"/>
        <w:contextualSpacing w:val="1"/>
        <w:jc w:val="center"/>
        <w:rPr>
          <w:sz w:val="24"/>
        </w:rPr>
      </w:pPr>
    </w:p>
    <w:p w14:paraId="1A060000">
      <w:pPr>
        <w:pStyle w:val="Style_11"/>
        <w:widowControl w:val="1"/>
        <w:spacing w:line="360" w:lineRule="auto"/>
        <w:ind w:firstLine="709" w:left="0"/>
        <w:contextualSpacing w:val="1"/>
        <w:jc w:val="right"/>
        <w:rPr>
          <w:sz w:val="24"/>
        </w:rPr>
      </w:pPr>
      <w:r>
        <w:rPr>
          <w:sz w:val="24"/>
        </w:rPr>
        <w:t>Диаграмма 5.4.</w:t>
      </w:r>
    </w:p>
    <w:p w14:paraId="1B060000">
      <w:pPr>
        <w:pStyle w:val="Style_11"/>
        <w:widowControl w:val="1"/>
        <w:spacing w:line="360" w:lineRule="auto"/>
        <w:ind w:left="0"/>
        <w:contextualSpacing w:val="1"/>
        <w:jc w:val="right"/>
        <w:rPr>
          <w:sz w:val="24"/>
        </w:rPr>
      </w:pPr>
      <w:r>
        <w:rPr>
          <w:sz w:val="24"/>
        </w:rPr>
        <w:drawing>
          <wp:inline>
            <wp:extent cx="6027801" cy="2352548"/>
            <wp:docPr hidden="false" id="15" name="Picture 15"/>
            <a:graphic>
              <a:graphicData uri="http://schemas.openxmlformats.org/drawingml/2006/picture">
                <pic:pic>
                  <pic:nvPicPr>
                    <pic:cNvPr hidden="false" id="16" name="Picture 16"/>
                    <pic:cNvPicPr preferRelativeResize="true"/>
                  </pic:nvPicPr>
                  <pic:blipFill>
                    <a:blip r:embed="rId30"/>
                    <a:srcRect b="0" l="0" r="0" t="0"/>
                    <a:stretch/>
                  </pic:blipFill>
                  <pic:spPr>
                    <a:xfrm flipH="false" flipV="false" rot="0">
                      <a:ext cx="6027801" cy="2352548"/>
                    </a:xfrm>
                    <a:prstGeom prst="rect"/>
                  </pic:spPr>
                </pic:pic>
              </a:graphicData>
            </a:graphic>
          </wp:inline>
        </w:drawing>
      </w:r>
    </w:p>
    <w:p w14:paraId="1C060000">
      <w:pPr>
        <w:widowControl w:val="1"/>
        <w:spacing w:line="360" w:lineRule="auto"/>
        <w:ind w:firstLine="709"/>
        <w:contextualSpacing w:val="1"/>
        <w:jc w:val="both"/>
      </w:pPr>
      <w:r>
        <w:rPr>
          <w:b w:val="1"/>
          <w:color w:val="000000"/>
        </w:rPr>
        <w:t>-</w:t>
      </w:r>
      <w:r>
        <w:rPr>
          <w:b w:val="1"/>
          <w:color w:val="000000"/>
        </w:rPr>
        <w:t>Постановлени</w:t>
      </w:r>
      <w:r>
        <w:rPr>
          <w:b w:val="1"/>
          <w:color w:val="000000"/>
        </w:rPr>
        <w:t>е</w:t>
      </w:r>
      <w:r>
        <w:rPr>
          <w:b w:val="1"/>
          <w:color w:val="000000"/>
        </w:rPr>
        <w:t xml:space="preserve"> </w:t>
      </w:r>
      <w:r>
        <w:rPr>
          <w:b w:val="1"/>
          <w:color w:val="000000"/>
        </w:rPr>
        <w:t>региональной энергетической комиссии</w:t>
      </w:r>
      <w:r>
        <w:rPr>
          <w:b w:val="1"/>
          <w:color w:val="000000"/>
        </w:rPr>
        <w:t xml:space="preserve"> Кемеровской области</w:t>
      </w:r>
      <w:r>
        <w:rPr>
          <w:b w:val="1"/>
          <w:color w:val="000000"/>
        </w:rPr>
        <w:t xml:space="preserve"> </w:t>
      </w:r>
      <w:r>
        <w:t xml:space="preserve">от </w:t>
      </w:r>
      <w:r>
        <w:t>20.12.2017</w:t>
      </w:r>
      <w:r>
        <w:t xml:space="preserve">г. № </w:t>
      </w:r>
      <w:r>
        <w:t>578</w:t>
      </w:r>
      <w:r>
        <w:t xml:space="preserve"> с 1 января 201</w:t>
      </w:r>
      <w:r>
        <w:t>8</w:t>
      </w:r>
      <w:r>
        <w:t xml:space="preserve"> года установлен тариф </w:t>
      </w:r>
      <w:r>
        <w:t xml:space="preserve">для населения </w:t>
      </w:r>
      <w:r>
        <w:t xml:space="preserve">равный  20 рублям за 1 зону;  тариф на услуги по перевозке пассажиров  железнодорожным транспортом в пригородном сообщении на территории Кемеровской области на экономически обоснованном уровне 1 зона - </w:t>
      </w:r>
      <w:r>
        <w:t>32,6</w:t>
      </w:r>
      <w:r>
        <w:t xml:space="preserve"> руб.  </w:t>
      </w:r>
      <w:r>
        <w:rPr>
          <w:color w:val="000000"/>
        </w:rPr>
        <w:t>Вступило в силу с 01.01.201</w:t>
      </w:r>
      <w:r>
        <w:rPr>
          <w:color w:val="000000"/>
        </w:rPr>
        <w:t>8</w:t>
      </w:r>
      <w:r>
        <w:rPr>
          <w:color w:val="000000"/>
        </w:rPr>
        <w:t>г. и действовало в течение 201</w:t>
      </w:r>
      <w:r>
        <w:rPr>
          <w:color w:val="000000"/>
        </w:rPr>
        <w:t>8</w:t>
      </w:r>
      <w:r>
        <w:rPr>
          <w:color w:val="000000"/>
        </w:rPr>
        <w:t xml:space="preserve"> года.</w:t>
      </w:r>
    </w:p>
    <w:p w14:paraId="1D060000">
      <w:pPr>
        <w:pStyle w:val="Style_11"/>
        <w:widowControl w:val="1"/>
        <w:spacing w:line="360" w:lineRule="auto"/>
        <w:ind w:firstLine="709" w:left="0"/>
        <w:contextualSpacing w:val="1"/>
        <w:jc w:val="right"/>
        <w:rPr>
          <w:sz w:val="24"/>
        </w:rPr>
      </w:pPr>
      <w:r>
        <w:rPr>
          <w:sz w:val="24"/>
        </w:rPr>
        <w:t>Таблица 5.5</w:t>
      </w:r>
    </w:p>
    <w:p w14:paraId="1E060000">
      <w:pPr>
        <w:pStyle w:val="Style_11"/>
        <w:widowControl w:val="1"/>
        <w:spacing w:line="360" w:lineRule="auto"/>
        <w:ind w:firstLine="709" w:left="0"/>
        <w:contextualSpacing w:val="1"/>
        <w:jc w:val="center"/>
        <w:rPr>
          <w:sz w:val="24"/>
        </w:rPr>
      </w:pPr>
      <w:r>
        <w:rPr>
          <w:sz w:val="24"/>
        </w:rPr>
        <w:t>Динамика тарифов для пассажиров, не имеющих права бесплатного проезда железнодорожным транспортом в пригородном сообщении Кемеровской области</w:t>
      </w:r>
    </w:p>
    <w:tbl>
      <w:tblPr>
        <w:tblStyle w:val="Style_4"/>
        <w:tblW w:type="auto" w:w="0"/>
        <w:tblInd w:type="dxa" w:w="103"/>
        <w:tblLayout w:type="fixed"/>
      </w:tblPr>
      <w:tblGrid>
        <w:gridCol w:w="856"/>
        <w:gridCol w:w="1276"/>
        <w:gridCol w:w="1275"/>
        <w:gridCol w:w="1276"/>
        <w:gridCol w:w="1134"/>
        <w:gridCol w:w="1276"/>
        <w:gridCol w:w="1134"/>
        <w:gridCol w:w="1276"/>
      </w:tblGrid>
      <w:tr>
        <w:trPr>
          <w:trHeight w:hRule="atLeast" w:val="676"/>
          <w:tblHeader/>
        </w:trPr>
        <w:tc>
          <w:tcPr>
            <w:tcW w:type="dxa" w:w="856"/>
            <w:tcBorders>
              <w:top w:color="000000" w:sz="4" w:val="single"/>
              <w:left w:color="000000" w:sz="4" w:val="single"/>
              <w:bottom w:color="000000" w:sz="4" w:val="single"/>
              <w:right w:color="000000" w:sz="4" w:val="single"/>
            </w:tcBorders>
            <w:shd w:fill="auto" w:val="clear"/>
            <w:vAlign w:val="center"/>
          </w:tcPr>
          <w:p w14:paraId="1F060000">
            <w:pPr>
              <w:widowControl w:val="1"/>
              <w:ind w:firstLine="709" w:left="-713"/>
              <w:contextualSpacing w:val="1"/>
              <w:jc w:val="center"/>
              <w:rPr>
                <w:i w:val="1"/>
              </w:rPr>
            </w:pPr>
          </w:p>
          <w:p w14:paraId="20060000">
            <w:pPr>
              <w:widowControl w:val="1"/>
              <w:ind w:firstLine="709" w:left="-713"/>
              <w:contextualSpacing w:val="1"/>
              <w:jc w:val="center"/>
            </w:pPr>
            <w:r>
              <w:t>Расстояние, км.</w:t>
            </w:r>
          </w:p>
        </w:tc>
        <w:tc>
          <w:tcPr>
            <w:tcW w:type="dxa" w:w="1276"/>
            <w:tcBorders>
              <w:top w:color="000000" w:sz="4" w:val="single"/>
              <w:left w:color="000000" w:sz="4" w:val="single"/>
              <w:bottom w:color="000000" w:sz="4" w:val="single"/>
              <w:right w:color="000000" w:sz="4" w:val="single"/>
            </w:tcBorders>
            <w:shd w:fill="auto" w:val="clear"/>
            <w:vAlign w:val="center"/>
          </w:tcPr>
          <w:p w14:paraId="21060000">
            <w:pPr>
              <w:widowControl w:val="1"/>
              <w:ind/>
              <w:contextualSpacing w:val="1"/>
              <w:jc w:val="center"/>
            </w:pPr>
            <w:r>
              <w:t>2012-2013г.г.</w:t>
            </w:r>
          </w:p>
          <w:p w14:paraId="22060000">
            <w:pPr>
              <w:widowControl w:val="1"/>
              <w:ind/>
              <w:contextualSpacing w:val="1"/>
              <w:jc w:val="center"/>
            </w:pPr>
            <w:r>
              <w:t>руб.  (по 09.05.2013г.)</w:t>
            </w:r>
          </w:p>
        </w:tc>
        <w:tc>
          <w:tcPr>
            <w:tcW w:type="dxa" w:w="1275"/>
            <w:tcBorders>
              <w:top w:color="000000" w:sz="4" w:val="single"/>
              <w:left w:sz="4" w:val="nil"/>
              <w:bottom w:color="000000" w:sz="4" w:val="single"/>
              <w:right w:color="000000" w:sz="4" w:val="single"/>
            </w:tcBorders>
            <w:shd w:fill="auto" w:val="clear"/>
            <w:vAlign w:val="center"/>
          </w:tcPr>
          <w:p w14:paraId="23060000">
            <w:pPr>
              <w:widowControl w:val="1"/>
              <w:ind/>
              <w:contextualSpacing w:val="1"/>
              <w:jc w:val="center"/>
            </w:pPr>
            <w:r>
              <w:t>2013г.  (с 01.05.2013г.)</w:t>
            </w:r>
          </w:p>
        </w:tc>
        <w:tc>
          <w:tcPr>
            <w:tcW w:type="dxa" w:w="1276"/>
            <w:tcBorders>
              <w:top w:color="000000" w:sz="4" w:val="single"/>
              <w:left w:sz="4" w:val="nil"/>
              <w:bottom w:color="000000" w:sz="4" w:val="single"/>
              <w:right w:color="000000" w:sz="4" w:val="single"/>
            </w:tcBorders>
            <w:vAlign w:val="center"/>
          </w:tcPr>
          <w:p w14:paraId="24060000">
            <w:pPr>
              <w:widowControl w:val="1"/>
              <w:ind/>
              <w:contextualSpacing w:val="1"/>
              <w:jc w:val="center"/>
            </w:pPr>
            <w:r>
              <w:t>2014г. (с 15.10.2014г.)</w:t>
            </w:r>
          </w:p>
        </w:tc>
        <w:tc>
          <w:tcPr>
            <w:tcW w:type="dxa" w:w="1134"/>
            <w:tcBorders>
              <w:top w:color="000000" w:sz="4" w:val="single"/>
              <w:left w:sz="4" w:val="nil"/>
              <w:bottom w:color="000000" w:sz="4" w:val="single"/>
              <w:right w:color="000000" w:sz="4" w:val="single"/>
            </w:tcBorders>
            <w:vAlign w:val="center"/>
          </w:tcPr>
          <w:p w14:paraId="25060000">
            <w:pPr>
              <w:widowControl w:val="1"/>
              <w:ind/>
              <w:contextualSpacing w:val="1"/>
              <w:jc w:val="center"/>
            </w:pPr>
            <w:r>
              <w:t>2015г.</w:t>
            </w:r>
          </w:p>
        </w:tc>
        <w:tc>
          <w:tcPr>
            <w:tcW w:type="dxa" w:w="1276"/>
            <w:tcBorders>
              <w:top w:color="000000" w:sz="4" w:val="single"/>
              <w:left w:sz="4" w:val="nil"/>
              <w:bottom w:color="000000" w:sz="4" w:val="single"/>
              <w:right w:color="000000" w:sz="4" w:val="single"/>
            </w:tcBorders>
            <w:vAlign w:val="center"/>
          </w:tcPr>
          <w:p w14:paraId="26060000">
            <w:pPr>
              <w:widowControl w:val="1"/>
              <w:ind/>
              <w:contextualSpacing w:val="1"/>
              <w:jc w:val="center"/>
            </w:pPr>
            <w:r>
              <w:t>2016г. (с 01.01.2016)</w:t>
            </w:r>
          </w:p>
        </w:tc>
        <w:tc>
          <w:tcPr>
            <w:tcW w:type="dxa" w:w="1134"/>
            <w:tcBorders>
              <w:top w:color="000000" w:sz="4" w:val="single"/>
              <w:left w:sz="4" w:val="nil"/>
              <w:bottom w:color="000000" w:sz="4" w:val="single"/>
              <w:right w:color="000000" w:sz="4" w:val="single"/>
            </w:tcBorders>
            <w:vAlign w:val="center"/>
          </w:tcPr>
          <w:p w14:paraId="27060000">
            <w:pPr>
              <w:widowControl w:val="1"/>
              <w:ind/>
              <w:contextualSpacing w:val="1"/>
              <w:jc w:val="center"/>
            </w:pPr>
            <w:r>
              <w:t>2017г. (с 01.01.2017)</w:t>
            </w:r>
          </w:p>
        </w:tc>
        <w:tc>
          <w:tcPr>
            <w:tcW w:type="dxa" w:w="1276"/>
            <w:tcBorders>
              <w:top w:color="000000" w:sz="4" w:val="single"/>
              <w:left w:sz="4" w:val="nil"/>
              <w:bottom w:color="000000" w:sz="4" w:val="single"/>
              <w:right w:color="000000" w:sz="4" w:val="single"/>
            </w:tcBorders>
            <w:vAlign w:val="center"/>
          </w:tcPr>
          <w:p w14:paraId="28060000">
            <w:pPr>
              <w:widowControl w:val="1"/>
              <w:ind/>
              <w:contextualSpacing w:val="1"/>
              <w:jc w:val="center"/>
            </w:pPr>
            <w:r>
              <w:t>2018</w:t>
            </w:r>
            <w:r>
              <w:t>г. (с 01.01.201</w:t>
            </w:r>
            <w:r>
              <w:t>8</w:t>
            </w:r>
            <w:r>
              <w:t>)</w:t>
            </w:r>
          </w:p>
        </w:tc>
      </w:tr>
      <w:tr>
        <w:trPr>
          <w:trHeight w:hRule="atLeast" w:val="259"/>
        </w:trPr>
        <w:tc>
          <w:tcPr>
            <w:tcW w:type="dxa" w:w="856"/>
            <w:tcBorders>
              <w:top w:color="000000" w:sz="4" w:val="single"/>
              <w:left w:color="000000" w:sz="4" w:val="single"/>
              <w:bottom w:color="000000" w:sz="4" w:val="single"/>
              <w:right w:color="000000" w:sz="4" w:val="single"/>
            </w:tcBorders>
            <w:shd w:fill="auto" w:val="clear"/>
            <w:vAlign w:val="center"/>
          </w:tcPr>
          <w:p w14:paraId="29060000">
            <w:pPr>
              <w:widowControl w:val="1"/>
              <w:ind w:firstLine="709" w:left="-713"/>
              <w:contextualSpacing w:val="1"/>
              <w:jc w:val="center"/>
            </w:pPr>
            <w:r>
              <w:t>1-</w:t>
            </w:r>
            <w:r>
              <w:t>5</w:t>
            </w:r>
          </w:p>
        </w:tc>
        <w:tc>
          <w:tcPr>
            <w:tcW w:type="dxa" w:w="1276"/>
            <w:tcBorders>
              <w:top w:color="000000" w:sz="4" w:val="single"/>
              <w:left w:color="000000" w:sz="4" w:val="single"/>
              <w:bottom w:color="000000" w:sz="4" w:val="single"/>
              <w:right w:color="000000" w:sz="4" w:val="single"/>
            </w:tcBorders>
            <w:shd w:fill="auto" w:val="clear"/>
            <w:vAlign w:val="center"/>
          </w:tcPr>
          <w:p w14:paraId="2A060000">
            <w:pPr>
              <w:widowControl w:val="1"/>
              <w:ind/>
              <w:contextualSpacing w:val="1"/>
              <w:jc w:val="center"/>
            </w:pPr>
            <w:r>
              <w:t>16</w:t>
            </w:r>
          </w:p>
        </w:tc>
        <w:tc>
          <w:tcPr>
            <w:tcW w:type="dxa" w:w="1275"/>
            <w:tcBorders>
              <w:top w:color="000000" w:sz="4" w:val="single"/>
              <w:left w:sz="4" w:val="nil"/>
              <w:bottom w:color="000000" w:sz="4" w:val="single"/>
              <w:right w:color="000000" w:sz="4" w:val="single"/>
            </w:tcBorders>
            <w:shd w:fill="auto" w:val="clear"/>
            <w:vAlign w:val="center"/>
          </w:tcPr>
          <w:p w14:paraId="2B060000">
            <w:pPr>
              <w:widowControl w:val="1"/>
              <w:ind/>
              <w:contextualSpacing w:val="1"/>
              <w:jc w:val="center"/>
            </w:pPr>
            <w:r>
              <w:t>17</w:t>
            </w:r>
          </w:p>
        </w:tc>
        <w:tc>
          <w:tcPr>
            <w:tcW w:type="dxa" w:w="1276"/>
            <w:tcBorders>
              <w:top w:color="000000" w:sz="4" w:val="single"/>
              <w:left w:sz="4" w:val="nil"/>
              <w:bottom w:color="000000" w:sz="4" w:val="single"/>
              <w:right w:color="000000" w:sz="4" w:val="single"/>
            </w:tcBorders>
            <w:vAlign w:val="center"/>
          </w:tcPr>
          <w:p w14:paraId="2C060000">
            <w:pPr>
              <w:widowControl w:val="1"/>
              <w:ind/>
              <w:contextualSpacing w:val="1"/>
              <w:jc w:val="center"/>
            </w:pPr>
            <w:r>
              <w:t>18</w:t>
            </w:r>
          </w:p>
        </w:tc>
        <w:tc>
          <w:tcPr>
            <w:tcW w:type="dxa" w:w="1134"/>
            <w:tcBorders>
              <w:top w:color="000000" w:sz="4" w:val="single"/>
              <w:left w:sz="4" w:val="nil"/>
              <w:bottom w:color="000000" w:sz="4" w:val="single"/>
              <w:right w:color="000000" w:sz="4" w:val="single"/>
            </w:tcBorders>
            <w:vAlign w:val="center"/>
          </w:tcPr>
          <w:p w14:paraId="2D060000">
            <w:pPr>
              <w:widowControl w:val="1"/>
              <w:ind/>
              <w:contextualSpacing w:val="1"/>
              <w:jc w:val="center"/>
            </w:pPr>
            <w:r>
              <w:t>18</w:t>
            </w:r>
          </w:p>
        </w:tc>
        <w:tc>
          <w:tcPr>
            <w:tcW w:type="dxa" w:w="1276"/>
            <w:tcBorders>
              <w:top w:color="000000" w:sz="4" w:val="single"/>
              <w:left w:sz="4" w:val="nil"/>
              <w:bottom w:color="000000" w:sz="4" w:val="single"/>
              <w:right w:color="000000" w:sz="4" w:val="single"/>
            </w:tcBorders>
            <w:vAlign w:val="center"/>
          </w:tcPr>
          <w:p w14:paraId="2E060000">
            <w:pPr>
              <w:widowControl w:val="1"/>
              <w:ind/>
              <w:contextualSpacing w:val="1"/>
              <w:jc w:val="center"/>
            </w:pPr>
            <w:r>
              <w:t>19</w:t>
            </w:r>
          </w:p>
        </w:tc>
        <w:tc>
          <w:tcPr>
            <w:tcW w:type="dxa" w:w="1134"/>
            <w:tcBorders>
              <w:top w:color="000000" w:sz="4" w:val="single"/>
              <w:left w:sz="4" w:val="nil"/>
              <w:bottom w:color="000000" w:sz="4" w:val="single"/>
              <w:right w:color="000000" w:sz="4" w:val="single"/>
            </w:tcBorders>
            <w:vAlign w:val="center"/>
          </w:tcPr>
          <w:p w14:paraId="2F060000">
            <w:pPr>
              <w:widowControl w:val="1"/>
              <w:ind/>
              <w:contextualSpacing w:val="1"/>
              <w:jc w:val="center"/>
            </w:pPr>
            <w:r>
              <w:t>20</w:t>
            </w:r>
          </w:p>
        </w:tc>
        <w:tc>
          <w:tcPr>
            <w:tcW w:type="dxa" w:w="1276"/>
            <w:tcBorders>
              <w:top w:color="000000" w:sz="4" w:val="single"/>
              <w:left w:sz="4" w:val="nil"/>
              <w:bottom w:color="000000" w:sz="4" w:val="single"/>
              <w:right w:color="000000" w:sz="4" w:val="single"/>
            </w:tcBorders>
            <w:vAlign w:val="center"/>
          </w:tcPr>
          <w:p w14:paraId="30060000">
            <w:pPr>
              <w:widowControl w:val="1"/>
              <w:ind/>
              <w:contextualSpacing w:val="1"/>
              <w:jc w:val="center"/>
            </w:pPr>
            <w:r>
              <w:t>20</w:t>
            </w:r>
          </w:p>
        </w:tc>
      </w:tr>
      <w:tr>
        <w:trPr>
          <w:trHeight w:hRule="atLeast" w:val="259"/>
        </w:trPr>
        <w:tc>
          <w:tcPr>
            <w:tcW w:type="dxa" w:w="856"/>
            <w:tcBorders>
              <w:top w:sz="4" w:val="nil"/>
              <w:left w:color="000000" w:sz="4" w:val="single"/>
              <w:bottom w:color="000000" w:sz="4" w:val="single"/>
              <w:right w:color="000000" w:sz="4" w:val="single"/>
            </w:tcBorders>
            <w:shd w:fill="auto" w:val="clear"/>
            <w:vAlign w:val="center"/>
          </w:tcPr>
          <w:p w14:paraId="31060000">
            <w:pPr>
              <w:widowControl w:val="1"/>
              <w:ind w:firstLine="709" w:left="-713"/>
              <w:contextualSpacing w:val="1"/>
              <w:jc w:val="center"/>
            </w:pPr>
            <w:r>
              <w:t>6-15</w:t>
            </w:r>
          </w:p>
        </w:tc>
        <w:tc>
          <w:tcPr>
            <w:tcW w:type="dxa" w:w="1276"/>
            <w:tcBorders>
              <w:top w:sz="4" w:val="nil"/>
              <w:left w:color="000000" w:sz="4" w:val="single"/>
              <w:bottom w:color="000000" w:sz="4" w:val="single"/>
              <w:right w:color="000000" w:sz="4" w:val="single"/>
            </w:tcBorders>
            <w:shd w:fill="auto" w:val="clear"/>
            <w:vAlign w:val="center"/>
          </w:tcPr>
          <w:p w14:paraId="32060000">
            <w:pPr>
              <w:widowControl w:val="1"/>
              <w:ind/>
              <w:contextualSpacing w:val="1"/>
              <w:jc w:val="center"/>
            </w:pPr>
            <w:r>
              <w:t>20</w:t>
            </w:r>
          </w:p>
        </w:tc>
        <w:tc>
          <w:tcPr>
            <w:tcW w:type="dxa" w:w="1275"/>
            <w:tcBorders>
              <w:top w:sz="4" w:val="nil"/>
              <w:left w:sz="4" w:val="nil"/>
              <w:bottom w:color="000000" w:sz="4" w:val="single"/>
              <w:right w:color="000000" w:sz="4" w:val="single"/>
            </w:tcBorders>
            <w:shd w:fill="auto" w:val="clear"/>
            <w:vAlign w:val="center"/>
          </w:tcPr>
          <w:p w14:paraId="33060000">
            <w:pPr>
              <w:widowControl w:val="1"/>
              <w:ind/>
              <w:contextualSpacing w:val="1"/>
              <w:jc w:val="center"/>
            </w:pPr>
            <w:r>
              <w:t>24</w:t>
            </w:r>
          </w:p>
        </w:tc>
        <w:tc>
          <w:tcPr>
            <w:tcW w:type="dxa" w:w="1276"/>
            <w:tcBorders>
              <w:top w:sz="4" w:val="nil"/>
              <w:left w:sz="4" w:val="nil"/>
              <w:bottom w:color="000000" w:sz="4" w:val="single"/>
              <w:right w:color="000000" w:sz="4" w:val="single"/>
            </w:tcBorders>
            <w:vAlign w:val="center"/>
          </w:tcPr>
          <w:p w14:paraId="34060000">
            <w:pPr>
              <w:widowControl w:val="1"/>
              <w:ind/>
              <w:contextualSpacing w:val="1"/>
              <w:jc w:val="center"/>
            </w:pPr>
            <w:r>
              <w:t>25</w:t>
            </w:r>
          </w:p>
        </w:tc>
        <w:tc>
          <w:tcPr>
            <w:tcW w:type="dxa" w:w="1134"/>
            <w:tcBorders>
              <w:top w:sz="4" w:val="nil"/>
              <w:left w:sz="4" w:val="nil"/>
              <w:bottom w:color="000000" w:sz="4" w:val="single"/>
              <w:right w:color="000000" w:sz="4" w:val="single"/>
            </w:tcBorders>
            <w:vAlign w:val="center"/>
          </w:tcPr>
          <w:p w14:paraId="35060000">
            <w:pPr>
              <w:widowControl w:val="1"/>
              <w:ind/>
              <w:contextualSpacing w:val="1"/>
              <w:jc w:val="center"/>
            </w:pPr>
            <w:r>
              <w:t>25</w:t>
            </w:r>
          </w:p>
        </w:tc>
        <w:tc>
          <w:tcPr>
            <w:tcW w:type="dxa" w:w="1276"/>
            <w:tcBorders>
              <w:top w:sz="4" w:val="nil"/>
              <w:left w:sz="4" w:val="nil"/>
              <w:bottom w:color="000000" w:sz="4" w:val="single"/>
              <w:right w:color="000000" w:sz="4" w:val="single"/>
            </w:tcBorders>
            <w:vAlign w:val="center"/>
          </w:tcPr>
          <w:p w14:paraId="36060000">
            <w:pPr>
              <w:widowControl w:val="1"/>
              <w:ind/>
              <w:contextualSpacing w:val="1"/>
              <w:jc w:val="center"/>
            </w:pPr>
            <w:r>
              <w:t>27</w:t>
            </w:r>
          </w:p>
        </w:tc>
        <w:tc>
          <w:tcPr>
            <w:tcW w:type="dxa" w:w="1134"/>
            <w:tcBorders>
              <w:top w:sz="4" w:val="nil"/>
              <w:left w:sz="4" w:val="nil"/>
              <w:bottom w:color="000000" w:sz="4" w:val="single"/>
              <w:right w:color="000000" w:sz="4" w:val="single"/>
            </w:tcBorders>
            <w:vAlign w:val="center"/>
          </w:tcPr>
          <w:p w14:paraId="37060000">
            <w:pPr>
              <w:widowControl w:val="1"/>
              <w:ind/>
              <w:contextualSpacing w:val="1"/>
              <w:jc w:val="center"/>
            </w:pPr>
            <w:r>
              <w:t>28</w:t>
            </w:r>
          </w:p>
        </w:tc>
        <w:tc>
          <w:tcPr>
            <w:tcW w:type="dxa" w:w="1276"/>
            <w:tcBorders>
              <w:top w:sz="4" w:val="nil"/>
              <w:left w:sz="4" w:val="nil"/>
              <w:bottom w:color="000000" w:sz="4" w:val="single"/>
              <w:right w:color="000000" w:sz="4" w:val="single"/>
            </w:tcBorders>
            <w:vAlign w:val="center"/>
          </w:tcPr>
          <w:p w14:paraId="38060000">
            <w:pPr>
              <w:widowControl w:val="1"/>
              <w:ind/>
              <w:contextualSpacing w:val="1"/>
              <w:jc w:val="center"/>
            </w:pPr>
            <w:r>
              <w:t>28</w:t>
            </w:r>
          </w:p>
        </w:tc>
      </w:tr>
      <w:tr>
        <w:trPr>
          <w:trHeight w:hRule="atLeast" w:val="259"/>
        </w:trPr>
        <w:tc>
          <w:tcPr>
            <w:tcW w:type="dxa" w:w="856"/>
            <w:tcBorders>
              <w:top w:sz="4" w:val="nil"/>
              <w:left w:color="000000" w:sz="4" w:val="single"/>
              <w:bottom w:color="000000" w:sz="4" w:val="single"/>
              <w:right w:color="000000" w:sz="4" w:val="single"/>
            </w:tcBorders>
            <w:shd w:fill="auto" w:val="clear"/>
            <w:vAlign w:val="center"/>
          </w:tcPr>
          <w:p w14:paraId="39060000">
            <w:pPr>
              <w:widowControl w:val="1"/>
              <w:ind w:firstLine="709" w:left="-713"/>
              <w:contextualSpacing w:val="1"/>
              <w:jc w:val="center"/>
            </w:pPr>
            <w:r>
              <w:t>16-25</w:t>
            </w:r>
          </w:p>
        </w:tc>
        <w:tc>
          <w:tcPr>
            <w:tcW w:type="dxa" w:w="1276"/>
            <w:tcBorders>
              <w:top w:sz="4" w:val="nil"/>
              <w:left w:color="000000" w:sz="4" w:val="single"/>
              <w:bottom w:color="000000" w:sz="4" w:val="single"/>
              <w:right w:color="000000" w:sz="4" w:val="single"/>
            </w:tcBorders>
            <w:shd w:fill="auto" w:val="clear"/>
            <w:vAlign w:val="center"/>
          </w:tcPr>
          <w:p w14:paraId="3A060000">
            <w:pPr>
              <w:widowControl w:val="1"/>
              <w:ind/>
              <w:contextualSpacing w:val="1"/>
              <w:jc w:val="center"/>
            </w:pPr>
            <w:r>
              <w:t>26</w:t>
            </w:r>
          </w:p>
        </w:tc>
        <w:tc>
          <w:tcPr>
            <w:tcW w:type="dxa" w:w="1275"/>
            <w:tcBorders>
              <w:top w:sz="4" w:val="nil"/>
              <w:left w:sz="4" w:val="nil"/>
              <w:bottom w:color="000000" w:sz="4" w:val="single"/>
              <w:right w:color="000000" w:sz="4" w:val="single"/>
            </w:tcBorders>
            <w:shd w:fill="auto" w:val="clear"/>
            <w:vAlign w:val="center"/>
          </w:tcPr>
          <w:p w14:paraId="3B060000">
            <w:pPr>
              <w:widowControl w:val="1"/>
              <w:ind/>
              <w:contextualSpacing w:val="1"/>
              <w:jc w:val="center"/>
            </w:pPr>
            <w:r>
              <w:t>31</w:t>
            </w:r>
          </w:p>
        </w:tc>
        <w:tc>
          <w:tcPr>
            <w:tcW w:type="dxa" w:w="1276"/>
            <w:tcBorders>
              <w:top w:sz="4" w:val="nil"/>
              <w:left w:sz="4" w:val="nil"/>
              <w:bottom w:color="000000" w:sz="4" w:val="single"/>
              <w:right w:color="000000" w:sz="4" w:val="single"/>
            </w:tcBorders>
            <w:vAlign w:val="center"/>
          </w:tcPr>
          <w:p w14:paraId="3C060000">
            <w:pPr>
              <w:widowControl w:val="1"/>
              <w:ind/>
              <w:contextualSpacing w:val="1"/>
              <w:jc w:val="center"/>
            </w:pPr>
            <w:r>
              <w:t>33</w:t>
            </w:r>
          </w:p>
        </w:tc>
        <w:tc>
          <w:tcPr>
            <w:tcW w:type="dxa" w:w="1134"/>
            <w:tcBorders>
              <w:top w:sz="4" w:val="nil"/>
              <w:left w:sz="4" w:val="nil"/>
              <w:bottom w:color="000000" w:sz="4" w:val="single"/>
              <w:right w:color="000000" w:sz="4" w:val="single"/>
            </w:tcBorders>
            <w:vAlign w:val="center"/>
          </w:tcPr>
          <w:p w14:paraId="3D060000">
            <w:pPr>
              <w:widowControl w:val="1"/>
              <w:ind/>
              <w:contextualSpacing w:val="1"/>
              <w:jc w:val="center"/>
            </w:pPr>
            <w:r>
              <w:t>33</w:t>
            </w:r>
          </w:p>
        </w:tc>
        <w:tc>
          <w:tcPr>
            <w:tcW w:type="dxa" w:w="1276"/>
            <w:tcBorders>
              <w:top w:sz="4" w:val="nil"/>
              <w:left w:sz="4" w:val="nil"/>
              <w:bottom w:color="000000" w:sz="4" w:val="single"/>
              <w:right w:color="000000" w:sz="4" w:val="single"/>
            </w:tcBorders>
            <w:vAlign w:val="center"/>
          </w:tcPr>
          <w:p w14:paraId="3E060000">
            <w:pPr>
              <w:widowControl w:val="1"/>
              <w:ind/>
              <w:contextualSpacing w:val="1"/>
              <w:jc w:val="center"/>
            </w:pPr>
            <w:r>
              <w:t>36</w:t>
            </w:r>
          </w:p>
        </w:tc>
        <w:tc>
          <w:tcPr>
            <w:tcW w:type="dxa" w:w="1134"/>
            <w:tcBorders>
              <w:top w:sz="4" w:val="nil"/>
              <w:left w:sz="4" w:val="nil"/>
              <w:bottom w:color="000000" w:sz="4" w:val="single"/>
              <w:right w:color="000000" w:sz="4" w:val="single"/>
            </w:tcBorders>
            <w:vAlign w:val="center"/>
          </w:tcPr>
          <w:p w14:paraId="3F060000">
            <w:pPr>
              <w:widowControl w:val="1"/>
              <w:ind/>
              <w:contextualSpacing w:val="1"/>
              <w:jc w:val="center"/>
            </w:pPr>
            <w:r>
              <w:t>37</w:t>
            </w:r>
          </w:p>
        </w:tc>
        <w:tc>
          <w:tcPr>
            <w:tcW w:type="dxa" w:w="1276"/>
            <w:tcBorders>
              <w:top w:sz="4" w:val="nil"/>
              <w:left w:sz="4" w:val="nil"/>
              <w:bottom w:color="000000" w:sz="4" w:val="single"/>
              <w:right w:color="000000" w:sz="4" w:val="single"/>
            </w:tcBorders>
            <w:vAlign w:val="center"/>
          </w:tcPr>
          <w:p w14:paraId="40060000">
            <w:pPr>
              <w:widowControl w:val="1"/>
              <w:ind/>
              <w:contextualSpacing w:val="1"/>
              <w:jc w:val="center"/>
            </w:pPr>
            <w:r>
              <w:t>37</w:t>
            </w:r>
          </w:p>
        </w:tc>
      </w:tr>
      <w:tr>
        <w:trPr>
          <w:trHeight w:hRule="atLeast" w:val="259"/>
        </w:trPr>
        <w:tc>
          <w:tcPr>
            <w:tcW w:type="dxa" w:w="856"/>
            <w:tcBorders>
              <w:top w:sz="4" w:val="nil"/>
              <w:left w:color="000000" w:sz="4" w:val="single"/>
              <w:bottom w:color="000000" w:sz="4" w:val="single"/>
              <w:right w:color="000000" w:sz="4" w:val="single"/>
            </w:tcBorders>
            <w:shd w:fill="auto" w:val="clear"/>
            <w:vAlign w:val="center"/>
          </w:tcPr>
          <w:p w14:paraId="41060000">
            <w:pPr>
              <w:widowControl w:val="1"/>
              <w:ind w:firstLine="709" w:left="-713"/>
              <w:contextualSpacing w:val="1"/>
              <w:jc w:val="center"/>
            </w:pPr>
            <w:r>
              <w:t>26-35</w:t>
            </w:r>
          </w:p>
        </w:tc>
        <w:tc>
          <w:tcPr>
            <w:tcW w:type="dxa" w:w="1276"/>
            <w:tcBorders>
              <w:top w:sz="4" w:val="nil"/>
              <w:left w:color="000000" w:sz="4" w:val="single"/>
              <w:bottom w:color="000000" w:sz="4" w:val="single"/>
              <w:right w:color="000000" w:sz="4" w:val="single"/>
            </w:tcBorders>
            <w:shd w:fill="auto" w:val="clear"/>
            <w:vAlign w:val="center"/>
          </w:tcPr>
          <w:p w14:paraId="42060000">
            <w:pPr>
              <w:widowControl w:val="1"/>
              <w:ind/>
              <w:contextualSpacing w:val="1"/>
              <w:jc w:val="center"/>
            </w:pPr>
            <w:r>
              <w:t>29</w:t>
            </w:r>
          </w:p>
        </w:tc>
        <w:tc>
          <w:tcPr>
            <w:tcW w:type="dxa" w:w="1275"/>
            <w:tcBorders>
              <w:top w:sz="4" w:val="nil"/>
              <w:left w:sz="4" w:val="nil"/>
              <w:bottom w:color="000000" w:sz="4" w:val="single"/>
              <w:right w:color="000000" w:sz="4" w:val="single"/>
            </w:tcBorders>
            <w:shd w:fill="auto" w:val="clear"/>
            <w:vAlign w:val="center"/>
          </w:tcPr>
          <w:p w14:paraId="43060000">
            <w:pPr>
              <w:widowControl w:val="1"/>
              <w:ind/>
              <w:contextualSpacing w:val="1"/>
              <w:jc w:val="center"/>
            </w:pPr>
            <w:r>
              <w:t>35</w:t>
            </w:r>
          </w:p>
        </w:tc>
        <w:tc>
          <w:tcPr>
            <w:tcW w:type="dxa" w:w="1276"/>
            <w:tcBorders>
              <w:top w:sz="4" w:val="nil"/>
              <w:left w:sz="4" w:val="nil"/>
              <w:bottom w:color="000000" w:sz="4" w:val="single"/>
              <w:right w:color="000000" w:sz="4" w:val="single"/>
            </w:tcBorders>
            <w:vAlign w:val="center"/>
          </w:tcPr>
          <w:p w14:paraId="44060000">
            <w:pPr>
              <w:widowControl w:val="1"/>
              <w:ind/>
              <w:contextualSpacing w:val="1"/>
              <w:jc w:val="center"/>
            </w:pPr>
            <w:r>
              <w:t>37</w:t>
            </w:r>
          </w:p>
        </w:tc>
        <w:tc>
          <w:tcPr>
            <w:tcW w:type="dxa" w:w="1134"/>
            <w:tcBorders>
              <w:top w:sz="4" w:val="nil"/>
              <w:left w:sz="4" w:val="nil"/>
              <w:bottom w:color="000000" w:sz="4" w:val="single"/>
              <w:right w:color="000000" w:sz="4" w:val="single"/>
            </w:tcBorders>
            <w:vAlign w:val="center"/>
          </w:tcPr>
          <w:p w14:paraId="45060000">
            <w:pPr>
              <w:widowControl w:val="1"/>
              <w:ind/>
              <w:contextualSpacing w:val="1"/>
              <w:jc w:val="center"/>
            </w:pPr>
            <w:r>
              <w:t>37</w:t>
            </w:r>
          </w:p>
        </w:tc>
        <w:tc>
          <w:tcPr>
            <w:tcW w:type="dxa" w:w="1276"/>
            <w:tcBorders>
              <w:top w:sz="4" w:val="nil"/>
              <w:left w:sz="4" w:val="nil"/>
              <w:bottom w:color="000000" w:sz="4" w:val="single"/>
              <w:right w:color="000000" w:sz="4" w:val="single"/>
            </w:tcBorders>
            <w:vAlign w:val="center"/>
          </w:tcPr>
          <w:p w14:paraId="46060000">
            <w:pPr>
              <w:widowControl w:val="1"/>
              <w:ind/>
              <w:contextualSpacing w:val="1"/>
              <w:jc w:val="center"/>
            </w:pPr>
            <w:r>
              <w:t>40</w:t>
            </w:r>
          </w:p>
        </w:tc>
        <w:tc>
          <w:tcPr>
            <w:tcW w:type="dxa" w:w="1134"/>
            <w:tcBorders>
              <w:top w:sz="4" w:val="nil"/>
              <w:left w:sz="4" w:val="nil"/>
              <w:bottom w:color="000000" w:sz="4" w:val="single"/>
              <w:right w:color="000000" w:sz="4" w:val="single"/>
            </w:tcBorders>
            <w:vAlign w:val="center"/>
          </w:tcPr>
          <w:p w14:paraId="47060000">
            <w:pPr>
              <w:widowControl w:val="1"/>
              <w:ind/>
              <w:contextualSpacing w:val="1"/>
              <w:jc w:val="center"/>
            </w:pPr>
            <w:r>
              <w:t>41</w:t>
            </w:r>
          </w:p>
        </w:tc>
        <w:tc>
          <w:tcPr>
            <w:tcW w:type="dxa" w:w="1276"/>
            <w:tcBorders>
              <w:top w:sz="4" w:val="nil"/>
              <w:left w:sz="4" w:val="nil"/>
              <w:bottom w:color="000000" w:sz="4" w:val="single"/>
              <w:right w:color="000000" w:sz="4" w:val="single"/>
            </w:tcBorders>
            <w:vAlign w:val="center"/>
          </w:tcPr>
          <w:p w14:paraId="48060000">
            <w:pPr>
              <w:widowControl w:val="1"/>
              <w:ind/>
              <w:contextualSpacing w:val="1"/>
              <w:jc w:val="center"/>
            </w:pPr>
            <w:r>
              <w:t>41</w:t>
            </w:r>
          </w:p>
        </w:tc>
      </w:tr>
      <w:tr>
        <w:trPr>
          <w:trHeight w:hRule="atLeast" w:val="259"/>
        </w:trPr>
        <w:tc>
          <w:tcPr>
            <w:tcW w:type="dxa" w:w="856"/>
            <w:tcBorders>
              <w:top w:sz="4" w:val="nil"/>
              <w:left w:color="000000" w:sz="4" w:val="single"/>
              <w:bottom w:color="000000" w:sz="4" w:val="single"/>
              <w:right w:color="000000" w:sz="4" w:val="single"/>
            </w:tcBorders>
            <w:shd w:fill="auto" w:val="clear"/>
            <w:vAlign w:val="center"/>
          </w:tcPr>
          <w:p w14:paraId="49060000">
            <w:pPr>
              <w:widowControl w:val="1"/>
              <w:ind w:firstLine="709" w:left="-713"/>
              <w:contextualSpacing w:val="1"/>
              <w:jc w:val="center"/>
            </w:pPr>
            <w:r>
              <w:t>36-45</w:t>
            </w:r>
          </w:p>
        </w:tc>
        <w:tc>
          <w:tcPr>
            <w:tcW w:type="dxa" w:w="1276"/>
            <w:tcBorders>
              <w:top w:sz="4" w:val="nil"/>
              <w:left w:color="000000" w:sz="4" w:val="single"/>
              <w:bottom w:color="000000" w:sz="4" w:val="single"/>
              <w:right w:color="000000" w:sz="4" w:val="single"/>
            </w:tcBorders>
            <w:shd w:fill="auto" w:val="clear"/>
            <w:vAlign w:val="center"/>
          </w:tcPr>
          <w:p w14:paraId="4A060000">
            <w:pPr>
              <w:widowControl w:val="1"/>
              <w:ind/>
              <w:contextualSpacing w:val="1"/>
              <w:jc w:val="center"/>
            </w:pPr>
            <w:r>
              <w:t>34</w:t>
            </w:r>
          </w:p>
        </w:tc>
        <w:tc>
          <w:tcPr>
            <w:tcW w:type="dxa" w:w="1275"/>
            <w:tcBorders>
              <w:top w:sz="4" w:val="nil"/>
              <w:left w:sz="4" w:val="nil"/>
              <w:bottom w:color="000000" w:sz="4" w:val="single"/>
              <w:right w:color="000000" w:sz="4" w:val="single"/>
            </w:tcBorders>
            <w:shd w:fill="auto" w:val="clear"/>
            <w:vAlign w:val="center"/>
          </w:tcPr>
          <w:p w14:paraId="4B060000">
            <w:pPr>
              <w:widowControl w:val="1"/>
              <w:ind/>
              <w:contextualSpacing w:val="1"/>
              <w:jc w:val="center"/>
            </w:pPr>
            <w:r>
              <w:t>41</w:t>
            </w:r>
          </w:p>
        </w:tc>
        <w:tc>
          <w:tcPr>
            <w:tcW w:type="dxa" w:w="1276"/>
            <w:tcBorders>
              <w:top w:sz="4" w:val="nil"/>
              <w:left w:sz="4" w:val="nil"/>
              <w:bottom w:color="000000" w:sz="4" w:val="single"/>
              <w:right w:color="000000" w:sz="4" w:val="single"/>
            </w:tcBorders>
            <w:vAlign w:val="center"/>
          </w:tcPr>
          <w:p w14:paraId="4C060000">
            <w:pPr>
              <w:widowControl w:val="1"/>
              <w:ind/>
              <w:contextualSpacing w:val="1"/>
              <w:jc w:val="center"/>
            </w:pPr>
            <w:r>
              <w:t>43</w:t>
            </w:r>
          </w:p>
        </w:tc>
        <w:tc>
          <w:tcPr>
            <w:tcW w:type="dxa" w:w="1134"/>
            <w:tcBorders>
              <w:top w:sz="4" w:val="nil"/>
              <w:left w:sz="4" w:val="nil"/>
              <w:bottom w:color="000000" w:sz="4" w:val="single"/>
              <w:right w:color="000000" w:sz="4" w:val="single"/>
            </w:tcBorders>
            <w:vAlign w:val="center"/>
          </w:tcPr>
          <w:p w14:paraId="4D060000">
            <w:pPr>
              <w:widowControl w:val="1"/>
              <w:ind/>
              <w:contextualSpacing w:val="1"/>
              <w:jc w:val="center"/>
            </w:pPr>
            <w:r>
              <w:t>43</w:t>
            </w:r>
          </w:p>
        </w:tc>
        <w:tc>
          <w:tcPr>
            <w:tcW w:type="dxa" w:w="1276"/>
            <w:tcBorders>
              <w:top w:sz="4" w:val="nil"/>
              <w:left w:sz="4" w:val="nil"/>
              <w:bottom w:color="000000" w:sz="4" w:val="single"/>
              <w:right w:color="000000" w:sz="4" w:val="single"/>
            </w:tcBorders>
            <w:vAlign w:val="center"/>
          </w:tcPr>
          <w:p w14:paraId="4E060000">
            <w:pPr>
              <w:widowControl w:val="1"/>
              <w:ind/>
              <w:contextualSpacing w:val="1"/>
              <w:jc w:val="center"/>
            </w:pPr>
            <w:r>
              <w:t>47</w:t>
            </w:r>
          </w:p>
        </w:tc>
        <w:tc>
          <w:tcPr>
            <w:tcW w:type="dxa" w:w="1134"/>
            <w:tcBorders>
              <w:top w:sz="4" w:val="nil"/>
              <w:left w:sz="4" w:val="nil"/>
              <w:bottom w:color="000000" w:sz="4" w:val="single"/>
              <w:right w:color="000000" w:sz="4" w:val="single"/>
            </w:tcBorders>
            <w:vAlign w:val="center"/>
          </w:tcPr>
          <w:p w14:paraId="4F060000">
            <w:pPr>
              <w:widowControl w:val="1"/>
              <w:ind/>
              <w:contextualSpacing w:val="1"/>
              <w:jc w:val="center"/>
            </w:pPr>
            <w:r>
              <w:t>48</w:t>
            </w:r>
          </w:p>
        </w:tc>
        <w:tc>
          <w:tcPr>
            <w:tcW w:type="dxa" w:w="1276"/>
            <w:tcBorders>
              <w:top w:sz="4" w:val="nil"/>
              <w:left w:sz="4" w:val="nil"/>
              <w:bottom w:color="000000" w:sz="4" w:val="single"/>
              <w:right w:color="000000" w:sz="4" w:val="single"/>
            </w:tcBorders>
            <w:vAlign w:val="center"/>
          </w:tcPr>
          <w:p w14:paraId="50060000">
            <w:pPr>
              <w:widowControl w:val="1"/>
              <w:ind/>
              <w:contextualSpacing w:val="1"/>
              <w:jc w:val="center"/>
            </w:pPr>
            <w:r>
              <w:t>48</w:t>
            </w:r>
          </w:p>
        </w:tc>
      </w:tr>
      <w:tr>
        <w:trPr>
          <w:trHeight w:hRule="atLeast" w:val="259"/>
        </w:trPr>
        <w:tc>
          <w:tcPr>
            <w:tcW w:type="dxa" w:w="856"/>
            <w:tcBorders>
              <w:top w:sz="4" w:val="nil"/>
              <w:left w:color="000000" w:sz="4" w:val="single"/>
              <w:bottom w:color="000000" w:sz="4" w:val="single"/>
              <w:right w:color="000000" w:sz="4" w:val="single"/>
            </w:tcBorders>
            <w:shd w:fill="auto" w:val="clear"/>
            <w:vAlign w:val="center"/>
          </w:tcPr>
          <w:p w14:paraId="51060000">
            <w:pPr>
              <w:widowControl w:val="1"/>
              <w:ind w:firstLine="709" w:left="-713"/>
              <w:contextualSpacing w:val="1"/>
              <w:jc w:val="center"/>
            </w:pPr>
            <w:r>
              <w:t>46-55</w:t>
            </w:r>
          </w:p>
        </w:tc>
        <w:tc>
          <w:tcPr>
            <w:tcW w:type="dxa" w:w="1276"/>
            <w:tcBorders>
              <w:top w:sz="4" w:val="nil"/>
              <w:left w:color="000000" w:sz="4" w:val="single"/>
              <w:bottom w:color="000000" w:sz="4" w:val="single"/>
              <w:right w:color="000000" w:sz="4" w:val="single"/>
            </w:tcBorders>
            <w:shd w:fill="auto" w:val="clear"/>
            <w:vAlign w:val="center"/>
          </w:tcPr>
          <w:p w14:paraId="52060000">
            <w:pPr>
              <w:widowControl w:val="1"/>
              <w:ind/>
              <w:contextualSpacing w:val="1"/>
              <w:jc w:val="center"/>
            </w:pPr>
            <w:r>
              <w:t>36</w:t>
            </w:r>
          </w:p>
        </w:tc>
        <w:tc>
          <w:tcPr>
            <w:tcW w:type="dxa" w:w="1275"/>
            <w:tcBorders>
              <w:top w:sz="4" w:val="nil"/>
              <w:left w:sz="4" w:val="nil"/>
              <w:bottom w:color="000000" w:sz="4" w:val="single"/>
              <w:right w:color="000000" w:sz="4" w:val="single"/>
            </w:tcBorders>
            <w:shd w:fill="auto" w:val="clear"/>
            <w:vAlign w:val="center"/>
          </w:tcPr>
          <w:p w14:paraId="53060000">
            <w:pPr>
              <w:widowControl w:val="1"/>
              <w:ind/>
              <w:contextualSpacing w:val="1"/>
              <w:jc w:val="center"/>
            </w:pPr>
            <w:r>
              <w:t>44</w:t>
            </w:r>
          </w:p>
        </w:tc>
        <w:tc>
          <w:tcPr>
            <w:tcW w:type="dxa" w:w="1276"/>
            <w:tcBorders>
              <w:top w:sz="4" w:val="nil"/>
              <w:left w:sz="4" w:val="nil"/>
              <w:bottom w:color="000000" w:sz="4" w:val="single"/>
              <w:right w:color="000000" w:sz="4" w:val="single"/>
            </w:tcBorders>
            <w:vAlign w:val="center"/>
          </w:tcPr>
          <w:p w14:paraId="54060000">
            <w:pPr>
              <w:widowControl w:val="1"/>
              <w:ind/>
              <w:contextualSpacing w:val="1"/>
              <w:jc w:val="center"/>
            </w:pPr>
            <w:r>
              <w:t>47</w:t>
            </w:r>
          </w:p>
        </w:tc>
        <w:tc>
          <w:tcPr>
            <w:tcW w:type="dxa" w:w="1134"/>
            <w:tcBorders>
              <w:top w:sz="4" w:val="nil"/>
              <w:left w:sz="4" w:val="nil"/>
              <w:bottom w:color="000000" w:sz="4" w:val="single"/>
              <w:right w:color="000000" w:sz="4" w:val="single"/>
            </w:tcBorders>
            <w:vAlign w:val="center"/>
          </w:tcPr>
          <w:p w14:paraId="55060000">
            <w:pPr>
              <w:widowControl w:val="1"/>
              <w:ind/>
              <w:contextualSpacing w:val="1"/>
              <w:jc w:val="center"/>
            </w:pPr>
            <w:r>
              <w:t>47</w:t>
            </w:r>
          </w:p>
        </w:tc>
        <w:tc>
          <w:tcPr>
            <w:tcW w:type="dxa" w:w="1276"/>
            <w:tcBorders>
              <w:top w:sz="4" w:val="nil"/>
              <w:left w:sz="4" w:val="nil"/>
              <w:bottom w:color="000000" w:sz="4" w:val="single"/>
              <w:right w:color="000000" w:sz="4" w:val="single"/>
            </w:tcBorders>
            <w:vAlign w:val="center"/>
          </w:tcPr>
          <w:p w14:paraId="56060000">
            <w:pPr>
              <w:widowControl w:val="1"/>
              <w:ind/>
              <w:contextualSpacing w:val="1"/>
              <w:jc w:val="center"/>
            </w:pPr>
            <w:r>
              <w:t>51</w:t>
            </w:r>
          </w:p>
        </w:tc>
        <w:tc>
          <w:tcPr>
            <w:tcW w:type="dxa" w:w="1134"/>
            <w:tcBorders>
              <w:top w:sz="4" w:val="nil"/>
              <w:left w:sz="4" w:val="nil"/>
              <w:bottom w:color="000000" w:sz="4" w:val="single"/>
              <w:right w:color="000000" w:sz="4" w:val="single"/>
            </w:tcBorders>
            <w:vAlign w:val="center"/>
          </w:tcPr>
          <w:p w14:paraId="57060000">
            <w:pPr>
              <w:widowControl w:val="1"/>
              <w:ind/>
              <w:contextualSpacing w:val="1"/>
              <w:jc w:val="center"/>
            </w:pPr>
            <w:r>
              <w:t>52</w:t>
            </w:r>
          </w:p>
        </w:tc>
        <w:tc>
          <w:tcPr>
            <w:tcW w:type="dxa" w:w="1276"/>
            <w:tcBorders>
              <w:top w:sz="4" w:val="nil"/>
              <w:left w:sz="4" w:val="nil"/>
              <w:bottom w:color="000000" w:sz="4" w:val="single"/>
              <w:right w:color="000000" w:sz="4" w:val="single"/>
            </w:tcBorders>
            <w:vAlign w:val="center"/>
          </w:tcPr>
          <w:p w14:paraId="58060000">
            <w:pPr>
              <w:widowControl w:val="1"/>
              <w:ind/>
              <w:contextualSpacing w:val="1"/>
              <w:jc w:val="center"/>
            </w:pPr>
            <w:r>
              <w:t>52</w:t>
            </w:r>
          </w:p>
        </w:tc>
      </w:tr>
      <w:tr>
        <w:trPr>
          <w:trHeight w:hRule="atLeast" w:val="259"/>
        </w:trPr>
        <w:tc>
          <w:tcPr>
            <w:tcW w:type="dxa" w:w="856"/>
            <w:tcBorders>
              <w:top w:sz="4" w:val="nil"/>
              <w:left w:color="000000" w:sz="4" w:val="single"/>
              <w:bottom w:color="000000" w:sz="4" w:val="single"/>
              <w:right w:color="000000" w:sz="4" w:val="single"/>
            </w:tcBorders>
            <w:shd w:fill="auto" w:val="clear"/>
            <w:vAlign w:val="center"/>
          </w:tcPr>
          <w:p w14:paraId="59060000">
            <w:pPr>
              <w:widowControl w:val="1"/>
              <w:ind w:firstLine="709" w:left="-713"/>
              <w:contextualSpacing w:val="1"/>
              <w:jc w:val="center"/>
            </w:pPr>
            <w:r>
              <w:t>56-65</w:t>
            </w:r>
          </w:p>
        </w:tc>
        <w:tc>
          <w:tcPr>
            <w:tcW w:type="dxa" w:w="1276"/>
            <w:tcBorders>
              <w:top w:sz="4" w:val="nil"/>
              <w:left w:color="000000" w:sz="4" w:val="single"/>
              <w:bottom w:color="000000" w:sz="4" w:val="single"/>
              <w:right w:color="000000" w:sz="4" w:val="single"/>
            </w:tcBorders>
            <w:shd w:fill="auto" w:val="clear"/>
            <w:vAlign w:val="center"/>
          </w:tcPr>
          <w:p w14:paraId="5A060000">
            <w:pPr>
              <w:widowControl w:val="1"/>
              <w:ind/>
              <w:contextualSpacing w:val="1"/>
              <w:jc w:val="center"/>
            </w:pPr>
            <w:r>
              <w:t>40</w:t>
            </w:r>
          </w:p>
        </w:tc>
        <w:tc>
          <w:tcPr>
            <w:tcW w:type="dxa" w:w="1275"/>
            <w:tcBorders>
              <w:top w:sz="4" w:val="nil"/>
              <w:left w:sz="4" w:val="nil"/>
              <w:bottom w:color="000000" w:sz="4" w:val="single"/>
              <w:right w:color="000000" w:sz="4" w:val="single"/>
            </w:tcBorders>
            <w:shd w:fill="auto" w:val="clear"/>
            <w:vAlign w:val="center"/>
          </w:tcPr>
          <w:p w14:paraId="5B060000">
            <w:pPr>
              <w:widowControl w:val="1"/>
              <w:ind/>
              <w:contextualSpacing w:val="1"/>
              <w:jc w:val="center"/>
            </w:pPr>
            <w:r>
              <w:t>48</w:t>
            </w:r>
          </w:p>
        </w:tc>
        <w:tc>
          <w:tcPr>
            <w:tcW w:type="dxa" w:w="1276"/>
            <w:tcBorders>
              <w:top w:sz="4" w:val="nil"/>
              <w:left w:sz="4" w:val="nil"/>
              <w:bottom w:color="000000" w:sz="4" w:val="single"/>
              <w:right w:color="000000" w:sz="4" w:val="single"/>
            </w:tcBorders>
            <w:vAlign w:val="center"/>
          </w:tcPr>
          <w:p w14:paraId="5C060000">
            <w:pPr>
              <w:widowControl w:val="1"/>
              <w:ind/>
              <w:contextualSpacing w:val="1"/>
              <w:jc w:val="center"/>
            </w:pPr>
            <w:r>
              <w:t>51</w:t>
            </w:r>
          </w:p>
        </w:tc>
        <w:tc>
          <w:tcPr>
            <w:tcW w:type="dxa" w:w="1134"/>
            <w:tcBorders>
              <w:top w:sz="4" w:val="nil"/>
              <w:left w:sz="4" w:val="nil"/>
              <w:bottom w:color="000000" w:sz="4" w:val="single"/>
              <w:right w:color="000000" w:sz="4" w:val="single"/>
            </w:tcBorders>
            <w:vAlign w:val="center"/>
          </w:tcPr>
          <w:p w14:paraId="5D060000">
            <w:pPr>
              <w:widowControl w:val="1"/>
              <w:ind/>
              <w:contextualSpacing w:val="1"/>
              <w:jc w:val="center"/>
            </w:pPr>
            <w:r>
              <w:t>51</w:t>
            </w:r>
          </w:p>
        </w:tc>
        <w:tc>
          <w:tcPr>
            <w:tcW w:type="dxa" w:w="1276"/>
            <w:tcBorders>
              <w:top w:sz="4" w:val="nil"/>
              <w:left w:sz="4" w:val="nil"/>
              <w:bottom w:color="000000" w:sz="4" w:val="single"/>
              <w:right w:color="000000" w:sz="4" w:val="single"/>
            </w:tcBorders>
            <w:vAlign w:val="center"/>
          </w:tcPr>
          <w:p w14:paraId="5E060000">
            <w:pPr>
              <w:widowControl w:val="1"/>
              <w:ind/>
              <w:contextualSpacing w:val="1"/>
              <w:jc w:val="center"/>
            </w:pPr>
            <w:r>
              <w:t>56</w:t>
            </w:r>
          </w:p>
        </w:tc>
        <w:tc>
          <w:tcPr>
            <w:tcW w:type="dxa" w:w="1134"/>
            <w:tcBorders>
              <w:top w:sz="4" w:val="nil"/>
              <w:left w:sz="4" w:val="nil"/>
              <w:bottom w:color="000000" w:sz="4" w:val="single"/>
              <w:right w:color="000000" w:sz="4" w:val="single"/>
            </w:tcBorders>
            <w:vAlign w:val="center"/>
          </w:tcPr>
          <w:p w14:paraId="5F060000">
            <w:pPr>
              <w:widowControl w:val="1"/>
              <w:ind/>
              <w:contextualSpacing w:val="1"/>
              <w:jc w:val="center"/>
            </w:pPr>
            <w:r>
              <w:t>58</w:t>
            </w:r>
          </w:p>
        </w:tc>
        <w:tc>
          <w:tcPr>
            <w:tcW w:type="dxa" w:w="1276"/>
            <w:tcBorders>
              <w:top w:sz="4" w:val="nil"/>
              <w:left w:sz="4" w:val="nil"/>
              <w:bottom w:color="000000" w:sz="4" w:val="single"/>
              <w:right w:color="000000" w:sz="4" w:val="single"/>
            </w:tcBorders>
            <w:vAlign w:val="center"/>
          </w:tcPr>
          <w:p w14:paraId="60060000">
            <w:pPr>
              <w:widowControl w:val="1"/>
              <w:ind/>
              <w:contextualSpacing w:val="1"/>
              <w:jc w:val="center"/>
            </w:pPr>
            <w:r>
              <w:t>58</w:t>
            </w:r>
          </w:p>
        </w:tc>
      </w:tr>
      <w:tr>
        <w:trPr>
          <w:trHeight w:hRule="atLeast" w:val="259"/>
        </w:trPr>
        <w:tc>
          <w:tcPr>
            <w:tcW w:type="dxa" w:w="856"/>
            <w:tcBorders>
              <w:top w:sz="4" w:val="nil"/>
              <w:left w:color="000000" w:sz="4" w:val="single"/>
              <w:bottom w:color="000000" w:sz="4" w:val="single"/>
              <w:right w:color="000000" w:sz="4" w:val="single"/>
            </w:tcBorders>
            <w:shd w:fill="auto" w:val="clear"/>
            <w:vAlign w:val="center"/>
          </w:tcPr>
          <w:p w14:paraId="61060000">
            <w:pPr>
              <w:widowControl w:val="1"/>
              <w:ind w:firstLine="709" w:left="-713"/>
              <w:contextualSpacing w:val="1"/>
              <w:jc w:val="center"/>
            </w:pPr>
            <w:r>
              <w:t>66-75</w:t>
            </w:r>
          </w:p>
        </w:tc>
        <w:tc>
          <w:tcPr>
            <w:tcW w:type="dxa" w:w="1276"/>
            <w:tcBorders>
              <w:top w:sz="4" w:val="nil"/>
              <w:left w:color="000000" w:sz="4" w:val="single"/>
              <w:bottom w:color="000000" w:sz="4" w:val="single"/>
              <w:right w:color="000000" w:sz="4" w:val="single"/>
            </w:tcBorders>
            <w:shd w:fill="auto" w:val="clear"/>
            <w:vAlign w:val="center"/>
          </w:tcPr>
          <w:p w14:paraId="62060000">
            <w:pPr>
              <w:widowControl w:val="1"/>
              <w:ind/>
              <w:contextualSpacing w:val="1"/>
              <w:jc w:val="center"/>
            </w:pPr>
            <w:r>
              <w:t>48</w:t>
            </w:r>
          </w:p>
        </w:tc>
        <w:tc>
          <w:tcPr>
            <w:tcW w:type="dxa" w:w="1275"/>
            <w:tcBorders>
              <w:top w:sz="4" w:val="nil"/>
              <w:left w:sz="4" w:val="nil"/>
              <w:bottom w:color="000000" w:sz="4" w:val="single"/>
              <w:right w:color="000000" w:sz="4" w:val="single"/>
            </w:tcBorders>
            <w:shd w:fill="auto" w:val="clear"/>
            <w:vAlign w:val="center"/>
          </w:tcPr>
          <w:p w14:paraId="63060000">
            <w:pPr>
              <w:widowControl w:val="1"/>
              <w:ind/>
              <w:contextualSpacing w:val="1"/>
              <w:jc w:val="center"/>
            </w:pPr>
            <w:r>
              <w:t>58</w:t>
            </w:r>
          </w:p>
        </w:tc>
        <w:tc>
          <w:tcPr>
            <w:tcW w:type="dxa" w:w="1276"/>
            <w:tcBorders>
              <w:top w:sz="4" w:val="nil"/>
              <w:left w:sz="4" w:val="nil"/>
              <w:bottom w:color="000000" w:sz="4" w:val="single"/>
              <w:right w:color="000000" w:sz="4" w:val="single"/>
            </w:tcBorders>
            <w:vAlign w:val="center"/>
          </w:tcPr>
          <w:p w14:paraId="64060000">
            <w:pPr>
              <w:widowControl w:val="1"/>
              <w:ind/>
              <w:contextualSpacing w:val="1"/>
              <w:jc w:val="center"/>
            </w:pPr>
            <w:r>
              <w:t>61</w:t>
            </w:r>
          </w:p>
        </w:tc>
        <w:tc>
          <w:tcPr>
            <w:tcW w:type="dxa" w:w="1134"/>
            <w:tcBorders>
              <w:top w:sz="4" w:val="nil"/>
              <w:left w:sz="4" w:val="nil"/>
              <w:bottom w:color="000000" w:sz="4" w:val="single"/>
              <w:right w:color="000000" w:sz="4" w:val="single"/>
            </w:tcBorders>
            <w:vAlign w:val="center"/>
          </w:tcPr>
          <w:p w14:paraId="65060000">
            <w:pPr>
              <w:widowControl w:val="1"/>
              <w:ind/>
              <w:contextualSpacing w:val="1"/>
              <w:jc w:val="center"/>
            </w:pPr>
            <w:r>
              <w:t>61</w:t>
            </w:r>
          </w:p>
        </w:tc>
        <w:tc>
          <w:tcPr>
            <w:tcW w:type="dxa" w:w="1276"/>
            <w:tcBorders>
              <w:top w:sz="4" w:val="nil"/>
              <w:left w:sz="4" w:val="nil"/>
              <w:bottom w:color="000000" w:sz="4" w:val="single"/>
              <w:right w:color="000000" w:sz="4" w:val="single"/>
            </w:tcBorders>
            <w:vAlign w:val="center"/>
          </w:tcPr>
          <w:p w14:paraId="66060000">
            <w:pPr>
              <w:widowControl w:val="1"/>
              <w:ind/>
              <w:contextualSpacing w:val="1"/>
              <w:jc w:val="center"/>
            </w:pPr>
            <w:r>
              <w:t>67</w:t>
            </w:r>
          </w:p>
        </w:tc>
        <w:tc>
          <w:tcPr>
            <w:tcW w:type="dxa" w:w="1134"/>
            <w:tcBorders>
              <w:top w:sz="4" w:val="nil"/>
              <w:left w:sz="4" w:val="nil"/>
              <w:bottom w:color="000000" w:sz="4" w:val="single"/>
              <w:right w:color="000000" w:sz="4" w:val="single"/>
            </w:tcBorders>
            <w:vAlign w:val="center"/>
          </w:tcPr>
          <w:p w14:paraId="67060000">
            <w:pPr>
              <w:widowControl w:val="1"/>
              <w:ind/>
              <w:contextualSpacing w:val="1"/>
              <w:jc w:val="center"/>
            </w:pPr>
            <w:r>
              <w:t>69</w:t>
            </w:r>
          </w:p>
        </w:tc>
        <w:tc>
          <w:tcPr>
            <w:tcW w:type="dxa" w:w="1276"/>
            <w:tcBorders>
              <w:top w:sz="4" w:val="nil"/>
              <w:left w:sz="4" w:val="nil"/>
              <w:bottom w:color="000000" w:sz="4" w:val="single"/>
              <w:right w:color="000000" w:sz="4" w:val="single"/>
            </w:tcBorders>
            <w:vAlign w:val="center"/>
          </w:tcPr>
          <w:p w14:paraId="68060000">
            <w:pPr>
              <w:widowControl w:val="1"/>
              <w:ind/>
              <w:contextualSpacing w:val="1"/>
              <w:jc w:val="center"/>
            </w:pPr>
            <w:r>
              <w:t>69</w:t>
            </w:r>
          </w:p>
        </w:tc>
      </w:tr>
      <w:tr>
        <w:trPr>
          <w:trHeight w:hRule="atLeast" w:val="259"/>
        </w:trPr>
        <w:tc>
          <w:tcPr>
            <w:tcW w:type="dxa" w:w="856"/>
            <w:tcBorders>
              <w:top w:sz="4" w:val="nil"/>
              <w:left w:color="000000" w:sz="4" w:val="single"/>
              <w:bottom w:color="000000" w:sz="4" w:val="single"/>
              <w:right w:color="000000" w:sz="4" w:val="single"/>
            </w:tcBorders>
            <w:shd w:fill="auto" w:val="clear"/>
            <w:vAlign w:val="center"/>
          </w:tcPr>
          <w:p w14:paraId="69060000">
            <w:pPr>
              <w:widowControl w:val="1"/>
              <w:ind w:firstLine="709" w:left="-713"/>
              <w:contextualSpacing w:val="1"/>
              <w:jc w:val="center"/>
            </w:pPr>
            <w:r>
              <w:t>76-85</w:t>
            </w:r>
          </w:p>
        </w:tc>
        <w:tc>
          <w:tcPr>
            <w:tcW w:type="dxa" w:w="1276"/>
            <w:tcBorders>
              <w:top w:sz="4" w:val="nil"/>
              <w:left w:color="000000" w:sz="4" w:val="single"/>
              <w:bottom w:color="000000" w:sz="4" w:val="single"/>
              <w:right w:color="000000" w:sz="4" w:val="single"/>
            </w:tcBorders>
            <w:shd w:fill="auto" w:val="clear"/>
            <w:vAlign w:val="center"/>
          </w:tcPr>
          <w:p w14:paraId="6A060000">
            <w:pPr>
              <w:widowControl w:val="1"/>
              <w:ind/>
              <w:contextualSpacing w:val="1"/>
              <w:jc w:val="center"/>
            </w:pPr>
            <w:r>
              <w:t>51</w:t>
            </w:r>
          </w:p>
        </w:tc>
        <w:tc>
          <w:tcPr>
            <w:tcW w:type="dxa" w:w="1275"/>
            <w:tcBorders>
              <w:top w:sz="4" w:val="nil"/>
              <w:left w:sz="4" w:val="nil"/>
              <w:bottom w:color="000000" w:sz="4" w:val="single"/>
              <w:right w:color="000000" w:sz="4" w:val="single"/>
            </w:tcBorders>
            <w:shd w:fill="auto" w:val="clear"/>
            <w:vAlign w:val="center"/>
          </w:tcPr>
          <w:p w14:paraId="6B060000">
            <w:pPr>
              <w:widowControl w:val="1"/>
              <w:ind/>
              <w:contextualSpacing w:val="1"/>
              <w:jc w:val="center"/>
            </w:pPr>
            <w:r>
              <w:t>62</w:t>
            </w:r>
          </w:p>
        </w:tc>
        <w:tc>
          <w:tcPr>
            <w:tcW w:type="dxa" w:w="1276"/>
            <w:tcBorders>
              <w:top w:sz="4" w:val="nil"/>
              <w:left w:sz="4" w:val="nil"/>
              <w:bottom w:color="000000" w:sz="4" w:val="single"/>
              <w:right w:color="000000" w:sz="4" w:val="single"/>
            </w:tcBorders>
            <w:vAlign w:val="center"/>
          </w:tcPr>
          <w:p w14:paraId="6C060000">
            <w:pPr>
              <w:widowControl w:val="1"/>
              <w:ind/>
              <w:contextualSpacing w:val="1"/>
              <w:jc w:val="center"/>
            </w:pPr>
          </w:p>
        </w:tc>
        <w:tc>
          <w:tcPr>
            <w:tcW w:type="dxa" w:w="1134"/>
            <w:tcBorders>
              <w:top w:sz="4" w:val="nil"/>
              <w:left w:sz="4" w:val="nil"/>
              <w:bottom w:color="000000" w:sz="4" w:val="single"/>
              <w:right w:color="000000" w:sz="4" w:val="single"/>
            </w:tcBorders>
            <w:vAlign w:val="center"/>
          </w:tcPr>
          <w:p w14:paraId="6D060000">
            <w:pPr>
              <w:widowControl w:val="1"/>
              <w:ind/>
              <w:contextualSpacing w:val="1"/>
              <w:jc w:val="center"/>
            </w:pPr>
          </w:p>
        </w:tc>
        <w:tc>
          <w:tcPr>
            <w:tcW w:type="dxa" w:w="1276"/>
            <w:tcBorders>
              <w:top w:sz="4" w:val="nil"/>
              <w:left w:sz="4" w:val="nil"/>
              <w:bottom w:color="000000" w:sz="4" w:val="single"/>
              <w:right w:color="000000" w:sz="4" w:val="single"/>
            </w:tcBorders>
            <w:vAlign w:val="center"/>
          </w:tcPr>
          <w:p w14:paraId="6E060000">
            <w:pPr>
              <w:widowControl w:val="1"/>
              <w:ind/>
              <w:contextualSpacing w:val="1"/>
              <w:jc w:val="center"/>
            </w:pPr>
          </w:p>
        </w:tc>
        <w:tc>
          <w:tcPr>
            <w:tcW w:type="dxa" w:w="1134"/>
            <w:tcBorders>
              <w:top w:sz="4" w:val="nil"/>
              <w:left w:sz="4" w:val="nil"/>
              <w:bottom w:color="000000" w:sz="4" w:val="single"/>
              <w:right w:color="000000" w:sz="4" w:val="single"/>
            </w:tcBorders>
            <w:vAlign w:val="center"/>
          </w:tcPr>
          <w:p w14:paraId="6F060000">
            <w:pPr>
              <w:widowControl w:val="1"/>
              <w:ind/>
              <w:contextualSpacing w:val="1"/>
              <w:jc w:val="center"/>
            </w:pPr>
          </w:p>
        </w:tc>
        <w:tc>
          <w:tcPr>
            <w:tcW w:type="dxa" w:w="1276"/>
            <w:tcBorders>
              <w:top w:sz="4" w:val="nil"/>
              <w:left w:sz="4" w:val="nil"/>
              <w:bottom w:color="000000" w:sz="4" w:val="single"/>
              <w:right w:color="000000" w:sz="4" w:val="single"/>
            </w:tcBorders>
            <w:vAlign w:val="center"/>
          </w:tcPr>
          <w:p w14:paraId="70060000">
            <w:pPr>
              <w:widowControl w:val="1"/>
              <w:ind/>
              <w:contextualSpacing w:val="1"/>
              <w:jc w:val="center"/>
            </w:pPr>
          </w:p>
        </w:tc>
      </w:tr>
      <w:tr>
        <w:trPr>
          <w:trHeight w:hRule="atLeast" w:val="259"/>
        </w:trPr>
        <w:tc>
          <w:tcPr>
            <w:tcW w:type="dxa" w:w="856"/>
            <w:tcBorders>
              <w:top w:sz="4" w:val="nil"/>
              <w:left w:color="000000" w:sz="4" w:val="single"/>
              <w:bottom w:color="000000" w:sz="4" w:val="single"/>
              <w:right w:color="000000" w:sz="4" w:val="single"/>
            </w:tcBorders>
            <w:shd w:fill="auto" w:val="clear"/>
            <w:vAlign w:val="center"/>
          </w:tcPr>
          <w:p w14:paraId="71060000">
            <w:pPr>
              <w:widowControl w:val="1"/>
              <w:ind w:firstLine="709" w:left="-713"/>
              <w:contextualSpacing w:val="1"/>
              <w:jc w:val="center"/>
            </w:pPr>
            <w:r>
              <w:t>86-95</w:t>
            </w:r>
          </w:p>
        </w:tc>
        <w:tc>
          <w:tcPr>
            <w:tcW w:type="dxa" w:w="1276"/>
            <w:tcBorders>
              <w:top w:sz="4" w:val="nil"/>
              <w:left w:color="000000" w:sz="4" w:val="single"/>
              <w:bottom w:color="000000" w:sz="4" w:val="single"/>
              <w:right w:color="000000" w:sz="4" w:val="single"/>
            </w:tcBorders>
            <w:shd w:fill="auto" w:val="clear"/>
            <w:vAlign w:val="center"/>
          </w:tcPr>
          <w:p w14:paraId="72060000">
            <w:pPr>
              <w:widowControl w:val="1"/>
              <w:ind/>
              <w:contextualSpacing w:val="1"/>
              <w:jc w:val="center"/>
            </w:pPr>
            <w:r>
              <w:t>57</w:t>
            </w:r>
          </w:p>
        </w:tc>
        <w:tc>
          <w:tcPr>
            <w:tcW w:type="dxa" w:w="1275"/>
            <w:tcBorders>
              <w:top w:sz="4" w:val="nil"/>
              <w:left w:sz="4" w:val="nil"/>
              <w:bottom w:color="000000" w:sz="4" w:val="single"/>
              <w:right w:color="000000" w:sz="4" w:val="single"/>
            </w:tcBorders>
            <w:shd w:fill="auto" w:val="clear"/>
            <w:vAlign w:val="center"/>
          </w:tcPr>
          <w:p w14:paraId="73060000">
            <w:pPr>
              <w:widowControl w:val="1"/>
              <w:ind/>
              <w:contextualSpacing w:val="1"/>
              <w:jc w:val="center"/>
            </w:pPr>
            <w:r>
              <w:t>68</w:t>
            </w:r>
          </w:p>
        </w:tc>
        <w:tc>
          <w:tcPr>
            <w:tcW w:type="dxa" w:w="1276"/>
            <w:tcBorders>
              <w:top w:sz="4" w:val="nil"/>
              <w:left w:sz="4" w:val="nil"/>
              <w:bottom w:color="000000" w:sz="4" w:val="single"/>
              <w:right w:color="000000" w:sz="4" w:val="single"/>
            </w:tcBorders>
            <w:vAlign w:val="center"/>
          </w:tcPr>
          <w:p w14:paraId="74060000">
            <w:pPr>
              <w:widowControl w:val="1"/>
              <w:ind/>
              <w:contextualSpacing w:val="1"/>
              <w:jc w:val="center"/>
            </w:pPr>
          </w:p>
        </w:tc>
        <w:tc>
          <w:tcPr>
            <w:tcW w:type="dxa" w:w="1134"/>
            <w:tcBorders>
              <w:top w:sz="4" w:val="nil"/>
              <w:left w:sz="4" w:val="nil"/>
              <w:bottom w:color="000000" w:sz="4" w:val="single"/>
              <w:right w:color="000000" w:sz="4" w:val="single"/>
            </w:tcBorders>
            <w:vAlign w:val="center"/>
          </w:tcPr>
          <w:p w14:paraId="75060000">
            <w:pPr>
              <w:widowControl w:val="1"/>
              <w:ind/>
              <w:contextualSpacing w:val="1"/>
              <w:jc w:val="center"/>
            </w:pPr>
          </w:p>
        </w:tc>
        <w:tc>
          <w:tcPr>
            <w:tcW w:type="dxa" w:w="1276"/>
            <w:tcBorders>
              <w:top w:sz="4" w:val="nil"/>
              <w:left w:sz="4" w:val="nil"/>
              <w:bottom w:color="000000" w:sz="4" w:val="single"/>
              <w:right w:color="000000" w:sz="4" w:val="single"/>
            </w:tcBorders>
            <w:vAlign w:val="center"/>
          </w:tcPr>
          <w:p w14:paraId="76060000">
            <w:pPr>
              <w:widowControl w:val="1"/>
              <w:ind/>
              <w:contextualSpacing w:val="1"/>
              <w:jc w:val="center"/>
            </w:pPr>
          </w:p>
        </w:tc>
        <w:tc>
          <w:tcPr>
            <w:tcW w:type="dxa" w:w="1134"/>
            <w:tcBorders>
              <w:top w:sz="4" w:val="nil"/>
              <w:left w:sz="4" w:val="nil"/>
              <w:bottom w:color="000000" w:sz="4" w:val="single"/>
              <w:right w:color="000000" w:sz="4" w:val="single"/>
            </w:tcBorders>
            <w:vAlign w:val="center"/>
          </w:tcPr>
          <w:p w14:paraId="77060000">
            <w:pPr>
              <w:widowControl w:val="1"/>
              <w:ind/>
              <w:contextualSpacing w:val="1"/>
              <w:jc w:val="center"/>
            </w:pPr>
          </w:p>
        </w:tc>
        <w:tc>
          <w:tcPr>
            <w:tcW w:type="dxa" w:w="1276"/>
            <w:tcBorders>
              <w:top w:sz="4" w:val="nil"/>
              <w:left w:sz="4" w:val="nil"/>
              <w:bottom w:color="000000" w:sz="4" w:val="single"/>
              <w:right w:color="000000" w:sz="4" w:val="single"/>
            </w:tcBorders>
            <w:vAlign w:val="center"/>
          </w:tcPr>
          <w:p w14:paraId="78060000">
            <w:pPr>
              <w:widowControl w:val="1"/>
              <w:ind/>
              <w:contextualSpacing w:val="1"/>
              <w:jc w:val="center"/>
            </w:pPr>
          </w:p>
        </w:tc>
      </w:tr>
    </w:tbl>
    <w:p w14:paraId="79060000">
      <w:pPr>
        <w:widowControl w:val="1"/>
        <w:spacing w:line="360" w:lineRule="auto"/>
        <w:ind w:firstLine="709"/>
        <w:contextualSpacing w:val="1"/>
        <w:jc w:val="both"/>
        <w:rPr>
          <w:b w:val="1"/>
          <w:i w:val="1"/>
        </w:rPr>
      </w:pPr>
    </w:p>
    <w:p w14:paraId="7A060000">
      <w:pPr>
        <w:pStyle w:val="Style_11"/>
        <w:widowControl w:val="1"/>
        <w:spacing w:line="360" w:lineRule="auto"/>
        <w:ind w:firstLine="709" w:left="0"/>
        <w:contextualSpacing w:val="1"/>
        <w:jc w:val="right"/>
        <w:rPr>
          <w:sz w:val="24"/>
        </w:rPr>
      </w:pPr>
      <w:r>
        <w:rPr>
          <w:b w:val="1"/>
          <w:i w:val="1"/>
          <w:sz w:val="24"/>
        </w:rPr>
        <w:t xml:space="preserve"> </w:t>
      </w:r>
      <w:r>
        <w:rPr>
          <w:sz w:val="24"/>
        </w:rPr>
        <w:t>Диаграмма 5.</w:t>
      </w:r>
      <w:r>
        <w:rPr>
          <w:sz w:val="24"/>
        </w:rPr>
        <w:t>5</w:t>
      </w:r>
      <w:r>
        <w:rPr>
          <w:sz w:val="24"/>
        </w:rPr>
        <w:t>.</w:t>
      </w:r>
    </w:p>
    <w:p w14:paraId="7B060000">
      <w:pPr>
        <w:pStyle w:val="Style_11"/>
        <w:widowControl w:val="1"/>
        <w:spacing w:line="360" w:lineRule="auto"/>
        <w:ind w:left="0"/>
        <w:contextualSpacing w:val="1"/>
        <w:jc w:val="right"/>
        <w:rPr>
          <w:sz w:val="24"/>
        </w:rPr>
      </w:pPr>
      <w:r>
        <w:rPr>
          <w:sz w:val="24"/>
        </w:rPr>
        <w:drawing>
          <wp:inline>
            <wp:extent cx="6033897" cy="3846195"/>
            <wp:docPr hidden="false" id="17" name="Picture 17"/>
            <a:graphic>
              <a:graphicData uri="http://schemas.openxmlformats.org/drawingml/2006/picture">
                <pic:pic>
                  <pic:nvPicPr>
                    <pic:cNvPr hidden="false" id="18" name="Picture 18"/>
                    <pic:cNvPicPr preferRelativeResize="true"/>
                  </pic:nvPicPr>
                  <pic:blipFill>
                    <a:blip r:embed="rId31"/>
                    <a:srcRect b="-31" l="0" r="0" t="0"/>
                    <a:stretch/>
                  </pic:blipFill>
                  <pic:spPr>
                    <a:xfrm flipH="false" flipV="false" rot="0">
                      <a:ext cx="6033897" cy="3846195"/>
                    </a:xfrm>
                    <a:prstGeom prst="rect"/>
                  </pic:spPr>
                </pic:pic>
              </a:graphicData>
            </a:graphic>
          </wp:inline>
        </w:drawing>
      </w:r>
    </w:p>
    <w:p w14:paraId="7C060000">
      <w:pPr>
        <w:widowControl w:val="1"/>
        <w:spacing w:line="360" w:lineRule="auto"/>
        <w:ind w:firstLine="709"/>
        <w:contextualSpacing w:val="1"/>
        <w:jc w:val="both"/>
        <w:rPr>
          <w:b w:val="1"/>
          <w:i w:val="1"/>
        </w:rPr>
      </w:pPr>
    </w:p>
    <w:p w14:paraId="7D060000">
      <w:pPr>
        <w:pStyle w:val="Style_11"/>
        <w:widowControl w:val="1"/>
        <w:tabs>
          <w:tab w:leader="none" w:pos="0" w:val="left"/>
        </w:tabs>
        <w:spacing w:after="0" w:line="360" w:lineRule="auto"/>
        <w:ind w:firstLine="709" w:left="0"/>
        <w:contextualSpacing w:val="1"/>
        <w:jc w:val="both"/>
        <w:rPr>
          <w:sz w:val="24"/>
        </w:rPr>
      </w:pPr>
      <w:r>
        <w:rPr>
          <w:sz w:val="24"/>
        </w:rPr>
        <w:t xml:space="preserve">Стоимость проезда в пригородном железнодорожном сообщении </w:t>
      </w:r>
      <w:r>
        <w:rPr>
          <w:sz w:val="24"/>
        </w:rPr>
        <w:t xml:space="preserve">по </w:t>
      </w:r>
      <w:r>
        <w:rPr>
          <w:sz w:val="24"/>
        </w:rPr>
        <w:t xml:space="preserve">территории </w:t>
      </w:r>
      <w:r>
        <w:rPr>
          <w:sz w:val="24"/>
        </w:rPr>
        <w:t>Красноярско</w:t>
      </w:r>
      <w:r>
        <w:rPr>
          <w:sz w:val="24"/>
        </w:rPr>
        <w:t>го</w:t>
      </w:r>
      <w:r>
        <w:rPr>
          <w:sz w:val="24"/>
        </w:rPr>
        <w:t xml:space="preserve"> кра</w:t>
      </w:r>
      <w:r>
        <w:rPr>
          <w:sz w:val="24"/>
        </w:rPr>
        <w:t>я</w:t>
      </w:r>
      <w:r>
        <w:rPr>
          <w:sz w:val="24"/>
        </w:rPr>
        <w:t xml:space="preserve"> и в Республик</w:t>
      </w:r>
      <w:r>
        <w:rPr>
          <w:sz w:val="24"/>
        </w:rPr>
        <w:t>и</w:t>
      </w:r>
      <w:r>
        <w:rPr>
          <w:sz w:val="24"/>
        </w:rPr>
        <w:t xml:space="preserve"> Хакасия  в течение 2010, 2011, 2012 годов оставалась без изменения</w:t>
      </w:r>
      <w:r>
        <w:rPr>
          <w:sz w:val="24"/>
        </w:rPr>
        <w:t>, и составляла 13 рублей за первую зону</w:t>
      </w:r>
      <w:r>
        <w:rPr>
          <w:sz w:val="24"/>
        </w:rPr>
        <w:t>.</w:t>
      </w:r>
    </w:p>
    <w:p w14:paraId="7E060000">
      <w:pPr>
        <w:pStyle w:val="Style_11"/>
        <w:widowControl w:val="1"/>
        <w:tabs>
          <w:tab w:leader="none" w:pos="0" w:val="left"/>
        </w:tabs>
        <w:spacing w:after="0" w:line="360" w:lineRule="auto"/>
        <w:ind w:firstLine="709" w:left="0"/>
        <w:contextualSpacing w:val="1"/>
        <w:jc w:val="both"/>
        <w:rPr>
          <w:sz w:val="24"/>
        </w:rPr>
      </w:pPr>
      <w:r>
        <w:rPr>
          <w:sz w:val="24"/>
        </w:rPr>
        <w:t xml:space="preserve"> </w:t>
      </w:r>
      <w:r>
        <w:rPr>
          <w:sz w:val="24"/>
        </w:rPr>
        <w:t>По Красноярскому краю с</w:t>
      </w:r>
      <w:r>
        <w:rPr>
          <w:sz w:val="24"/>
        </w:rPr>
        <w:t xml:space="preserve">  января 2013г. повышение тарифа для населения составило  21%</w:t>
      </w:r>
      <w:r>
        <w:rPr>
          <w:sz w:val="24"/>
        </w:rPr>
        <w:t>, тариф  в течение 2014г. не повышался. В 2014</w:t>
      </w:r>
      <w:r>
        <w:rPr>
          <w:sz w:val="24"/>
        </w:rPr>
        <w:t xml:space="preserve"> </w:t>
      </w:r>
      <w:r>
        <w:rPr>
          <w:sz w:val="24"/>
        </w:rPr>
        <w:t>году</w:t>
      </w:r>
      <w:r>
        <w:rPr>
          <w:sz w:val="24"/>
        </w:rPr>
        <w:t xml:space="preserve"> по территории Красноярского края</w:t>
      </w:r>
      <w:r>
        <w:rPr>
          <w:sz w:val="24"/>
        </w:rPr>
        <w:t xml:space="preserve"> был введен </w:t>
      </w:r>
      <w:r>
        <w:rPr>
          <w:sz w:val="24"/>
        </w:rPr>
        <w:t xml:space="preserve"> тариф на перевозку пассажир</w:t>
      </w:r>
      <w:r>
        <w:rPr>
          <w:sz w:val="24"/>
        </w:rPr>
        <w:t>ов</w:t>
      </w:r>
      <w:r>
        <w:rPr>
          <w:sz w:val="24"/>
        </w:rPr>
        <w:t xml:space="preserve"> на отдельных участках - внутригородские маршруты (Овинный-Красноярск-Сады, Енисей-Красноярские столбы, Бугач - Красноярск-Северный) - 18 руб.</w:t>
      </w:r>
      <w:r>
        <w:rPr>
          <w:sz w:val="24"/>
        </w:rPr>
        <w:t xml:space="preserve"> </w:t>
      </w:r>
      <w:r>
        <w:rPr>
          <w:sz w:val="24"/>
        </w:rPr>
        <w:t xml:space="preserve"> </w:t>
      </w:r>
      <w:r>
        <w:rPr>
          <w:sz w:val="24"/>
        </w:rPr>
        <w:t>В</w:t>
      </w:r>
      <w:r>
        <w:rPr>
          <w:sz w:val="24"/>
        </w:rPr>
        <w:t xml:space="preserve"> </w:t>
      </w:r>
      <w:r>
        <w:rPr>
          <w:sz w:val="24"/>
        </w:rPr>
        <w:t xml:space="preserve"> 2015 году проведено повышение тарифа для населения с 17.04.2015г. </w:t>
      </w:r>
      <w:r>
        <w:rPr>
          <w:sz w:val="24"/>
        </w:rPr>
        <w:t xml:space="preserve"> </w:t>
      </w:r>
      <w:r>
        <w:rPr>
          <w:sz w:val="24"/>
        </w:rPr>
        <w:t xml:space="preserve">в среднем </w:t>
      </w:r>
      <w:r>
        <w:rPr>
          <w:sz w:val="24"/>
        </w:rPr>
        <w:t>на 10%.</w:t>
      </w:r>
      <w:r>
        <w:rPr>
          <w:sz w:val="24"/>
        </w:rPr>
        <w:t xml:space="preserve"> В 2016 году проведено повышение тарифа для населения с </w:t>
      </w:r>
      <w:r>
        <w:rPr>
          <w:sz w:val="24"/>
        </w:rPr>
        <w:t>19.04.2016г. в среднем на 10%. В</w:t>
      </w:r>
      <w:r>
        <w:rPr>
          <w:sz w:val="24"/>
        </w:rPr>
        <w:t xml:space="preserve"> течение 2017</w:t>
      </w:r>
      <w:r>
        <w:rPr>
          <w:sz w:val="24"/>
        </w:rPr>
        <w:t>-2018</w:t>
      </w:r>
      <w:r>
        <w:rPr>
          <w:sz w:val="24"/>
        </w:rPr>
        <w:t xml:space="preserve"> год</w:t>
      </w:r>
      <w:r>
        <w:rPr>
          <w:sz w:val="24"/>
        </w:rPr>
        <w:t>ов</w:t>
      </w:r>
      <w:r>
        <w:rPr>
          <w:sz w:val="24"/>
        </w:rPr>
        <w:t xml:space="preserve"> повышения тарифов для населения не производилось.</w:t>
      </w:r>
    </w:p>
    <w:p w14:paraId="7F060000">
      <w:pPr>
        <w:pStyle w:val="Style_11"/>
        <w:widowControl w:val="1"/>
        <w:tabs>
          <w:tab w:leader="none" w:pos="0" w:val="left"/>
        </w:tabs>
        <w:spacing w:after="0" w:line="360" w:lineRule="auto"/>
        <w:ind w:firstLine="709" w:left="0"/>
        <w:contextualSpacing w:val="1"/>
        <w:jc w:val="both"/>
        <w:rPr>
          <w:sz w:val="24"/>
        </w:rPr>
      </w:pPr>
      <w:r>
        <w:rPr>
          <w:sz w:val="24"/>
        </w:rPr>
        <w:t>По Республике Хакасия</w:t>
      </w:r>
      <w:r>
        <w:rPr>
          <w:sz w:val="24"/>
        </w:rPr>
        <w:t xml:space="preserve"> с  января 2013</w:t>
      </w:r>
      <w:r>
        <w:rPr>
          <w:sz w:val="24"/>
        </w:rPr>
        <w:t xml:space="preserve"> </w:t>
      </w:r>
      <w:r>
        <w:rPr>
          <w:sz w:val="24"/>
        </w:rPr>
        <w:t>года</w:t>
      </w:r>
      <w:r>
        <w:rPr>
          <w:sz w:val="24"/>
        </w:rPr>
        <w:t xml:space="preserve"> </w:t>
      </w:r>
      <w:r>
        <w:rPr>
          <w:sz w:val="24"/>
        </w:rPr>
        <w:t xml:space="preserve">повышение </w:t>
      </w:r>
      <w:r>
        <w:rPr>
          <w:sz w:val="24"/>
        </w:rPr>
        <w:t>тариф</w:t>
      </w:r>
      <w:r>
        <w:rPr>
          <w:sz w:val="24"/>
        </w:rPr>
        <w:t>а</w:t>
      </w:r>
      <w:r>
        <w:rPr>
          <w:sz w:val="24"/>
        </w:rPr>
        <w:t xml:space="preserve"> для населения </w:t>
      </w:r>
      <w:r>
        <w:rPr>
          <w:sz w:val="24"/>
        </w:rPr>
        <w:t>составило</w:t>
      </w:r>
      <w:r>
        <w:rPr>
          <w:sz w:val="24"/>
        </w:rPr>
        <w:t xml:space="preserve"> 10%</w:t>
      </w:r>
      <w:r>
        <w:rPr>
          <w:sz w:val="24"/>
        </w:rPr>
        <w:t>, в 2014</w:t>
      </w:r>
      <w:r>
        <w:rPr>
          <w:sz w:val="24"/>
        </w:rPr>
        <w:t xml:space="preserve"> </w:t>
      </w:r>
      <w:r>
        <w:rPr>
          <w:sz w:val="24"/>
        </w:rPr>
        <w:t>году с 15.02.2014г. тариф для населения был повышен на 10% и  до конца 201</w:t>
      </w:r>
      <w:r>
        <w:rPr>
          <w:sz w:val="24"/>
        </w:rPr>
        <w:t>5</w:t>
      </w:r>
      <w:r>
        <w:rPr>
          <w:sz w:val="24"/>
        </w:rPr>
        <w:t xml:space="preserve"> </w:t>
      </w:r>
      <w:r>
        <w:rPr>
          <w:sz w:val="24"/>
        </w:rPr>
        <w:t>года тариф не изменялся.</w:t>
      </w:r>
      <w:r>
        <w:rPr>
          <w:sz w:val="24"/>
        </w:rPr>
        <w:t xml:space="preserve"> С 01.01.2016 года тариф для населения был повышен в среднем на 7</w:t>
      </w:r>
      <w:r>
        <w:rPr>
          <w:sz w:val="24"/>
        </w:rPr>
        <w:t>,4</w:t>
      </w:r>
      <w:r>
        <w:rPr>
          <w:sz w:val="24"/>
        </w:rPr>
        <w:t>%.</w:t>
      </w:r>
      <w:r>
        <w:rPr>
          <w:sz w:val="24"/>
        </w:rPr>
        <w:t xml:space="preserve"> С 01.01.2017 года тариф для населения был повышен в среднем на 4%</w:t>
      </w:r>
      <w:r>
        <w:rPr>
          <w:sz w:val="24"/>
        </w:rPr>
        <w:t>. В течение 2018 года повышения тарифов для населения не производилось.</w:t>
      </w:r>
    </w:p>
    <w:p w14:paraId="80060000">
      <w:pPr>
        <w:widowControl w:val="1"/>
        <w:spacing w:line="360" w:lineRule="auto"/>
        <w:ind w:firstLine="709"/>
        <w:contextualSpacing w:val="1"/>
        <w:jc w:val="both"/>
      </w:pPr>
      <w:r>
        <w:t xml:space="preserve"> По Кемеровской области </w:t>
      </w:r>
      <w:r>
        <w:t xml:space="preserve"> с конца 2010</w:t>
      </w:r>
      <w:r>
        <w:t xml:space="preserve"> </w:t>
      </w:r>
      <w:r>
        <w:t xml:space="preserve">года  в течение 2011, 2012 годов тариф для населения </w:t>
      </w:r>
      <w:r>
        <w:t>оставался без изменения, и составлял 16 рублей по первой зоне.</w:t>
      </w:r>
      <w:r>
        <w:t xml:space="preserve"> Повышение </w:t>
      </w:r>
      <w:r>
        <w:t xml:space="preserve"> тарифа</w:t>
      </w:r>
      <w:r>
        <w:t xml:space="preserve"> в среднем  на 19% было произведено с 01</w:t>
      </w:r>
      <w:r>
        <w:t xml:space="preserve"> </w:t>
      </w:r>
      <w:r>
        <w:t xml:space="preserve">мая </w:t>
      </w:r>
      <w:r>
        <w:t>2013</w:t>
      </w:r>
      <w:r>
        <w:t xml:space="preserve"> </w:t>
      </w:r>
      <w:r>
        <w:t>год</w:t>
      </w:r>
      <w:r>
        <w:t>а</w:t>
      </w:r>
      <w:r>
        <w:t xml:space="preserve">  для пассажиров, не имеющих права бесплатного проезда железнодорожным транспортом в пригородном сообщении Кемеровской области</w:t>
      </w:r>
      <w:r>
        <w:t>,</w:t>
      </w:r>
      <w:r>
        <w:t xml:space="preserve"> </w:t>
      </w:r>
      <w:r>
        <w:t xml:space="preserve">действие </w:t>
      </w:r>
      <w:r>
        <w:t>данного</w:t>
      </w:r>
      <w:r>
        <w:t xml:space="preserve"> тарифа </w:t>
      </w:r>
      <w:r>
        <w:t xml:space="preserve">распространялось до 14.10.2014г. </w:t>
      </w:r>
      <w:r>
        <w:t xml:space="preserve"> </w:t>
      </w:r>
      <w:r>
        <w:t>С</w:t>
      </w:r>
      <w:r>
        <w:t xml:space="preserve"> 15</w:t>
      </w:r>
      <w:r>
        <w:t xml:space="preserve"> </w:t>
      </w:r>
      <w:r>
        <w:t>октября</w:t>
      </w:r>
      <w:r>
        <w:t xml:space="preserve"> </w:t>
      </w:r>
      <w:r>
        <w:t>2014</w:t>
      </w:r>
      <w:r>
        <w:t xml:space="preserve"> </w:t>
      </w:r>
      <w:r>
        <w:t xml:space="preserve">года </w:t>
      </w:r>
      <w:r>
        <w:t>было произведено повышение тарифа для населения  в среднем на 5,5% и его действие распростран</w:t>
      </w:r>
      <w:r>
        <w:t>я</w:t>
      </w:r>
      <w:r>
        <w:t xml:space="preserve">лось </w:t>
      </w:r>
      <w:r>
        <w:t>в течение</w:t>
      </w:r>
      <w:r>
        <w:t xml:space="preserve"> всего</w:t>
      </w:r>
      <w:r>
        <w:t xml:space="preserve"> 2015</w:t>
      </w:r>
      <w:r>
        <w:t>года.</w:t>
      </w:r>
      <w:r>
        <w:t xml:space="preserve"> </w:t>
      </w:r>
      <w:r>
        <w:t xml:space="preserve"> </w:t>
      </w:r>
      <w:r>
        <w:t>С 01.01.2016</w:t>
      </w:r>
      <w:r>
        <w:t xml:space="preserve"> </w:t>
      </w:r>
      <w:r>
        <w:t>года был повышен тариф для населения в среднем на 8% и его действие распространялось в течение 2016 года.</w:t>
      </w:r>
      <w:r>
        <w:t xml:space="preserve"> С 01.01.2017 года тариф для населени</w:t>
      </w:r>
      <w:r>
        <w:t>я был повышен в среднем на 3,1%</w:t>
      </w:r>
      <w:r>
        <w:t xml:space="preserve">. В </w:t>
      </w:r>
      <w:r>
        <w:t>течение 2018 года повышения тарифов для населения не производилось.</w:t>
      </w:r>
    </w:p>
    <w:p w14:paraId="81060000">
      <w:pPr>
        <w:widowControl w:val="1"/>
        <w:spacing w:line="360" w:lineRule="auto"/>
        <w:ind w:firstLine="709"/>
        <w:contextualSpacing w:val="1"/>
        <w:jc w:val="both"/>
        <w:rPr>
          <w:color w:val="000000"/>
        </w:rPr>
      </w:pPr>
      <w:r>
        <w:rPr>
          <w:color w:val="000000"/>
        </w:rPr>
        <w:t>Для осуществления пригородных железнодорожных перевозок в 201</w:t>
      </w:r>
      <w:r>
        <w:rPr>
          <w:color w:val="000000"/>
        </w:rPr>
        <w:t>8</w:t>
      </w:r>
      <w:r>
        <w:rPr>
          <w:color w:val="000000"/>
        </w:rPr>
        <w:t xml:space="preserve"> </w:t>
      </w:r>
      <w:r>
        <w:rPr>
          <w:color w:val="000000"/>
        </w:rPr>
        <w:t xml:space="preserve">году </w:t>
      </w:r>
      <w:r>
        <w:rPr>
          <w:color w:val="000000"/>
        </w:rPr>
        <w:t xml:space="preserve">компанией были заключены </w:t>
      </w:r>
      <w:r>
        <w:rPr>
          <w:color w:val="000000"/>
        </w:rPr>
        <w:t>договоры</w:t>
      </w:r>
      <w:r>
        <w:rPr>
          <w:color w:val="000000"/>
        </w:rPr>
        <w:t xml:space="preserve"> (контракты) </w:t>
      </w:r>
      <w:r>
        <w:rPr>
          <w:color w:val="000000"/>
        </w:rPr>
        <w:t xml:space="preserve"> на транспортное обслуживание и компенсацию расходов:</w:t>
      </w:r>
    </w:p>
    <w:p w14:paraId="82060000">
      <w:pPr>
        <w:pStyle w:val="Style_11"/>
        <w:widowControl w:val="1"/>
        <w:spacing w:after="0" w:line="360" w:lineRule="auto"/>
        <w:ind w:firstLine="709" w:left="0"/>
        <w:contextualSpacing w:val="1"/>
        <w:jc w:val="both"/>
        <w:rPr>
          <w:b w:val="1"/>
          <w:i w:val="1"/>
          <w:sz w:val="24"/>
        </w:rPr>
      </w:pPr>
      <w:r>
        <w:rPr>
          <w:b w:val="1"/>
          <w:i w:val="1"/>
          <w:sz w:val="24"/>
        </w:rPr>
        <w:t>- с Министерством труда и социальной защиты Российской Федерации:</w:t>
      </w:r>
    </w:p>
    <w:p w14:paraId="83060000">
      <w:pPr>
        <w:pStyle w:val="Style_11"/>
        <w:widowControl w:val="1"/>
        <w:spacing w:after="0" w:line="360" w:lineRule="auto"/>
        <w:ind w:firstLine="709" w:left="0"/>
        <w:contextualSpacing w:val="1"/>
        <w:jc w:val="both"/>
        <w:rPr>
          <w:sz w:val="24"/>
        </w:rPr>
      </w:pPr>
      <w:r>
        <w:rPr>
          <w:sz w:val="24"/>
        </w:rPr>
        <w:t>1. Государственный контракт № 18-к-12-028 от 26.02.2018 г. на оказание услуг по перевозке граждан-получателей социальной услуги железнодорожным транспортом  в пригородном сообщении на 2018 год.</w:t>
      </w:r>
    </w:p>
    <w:p w14:paraId="84060000">
      <w:pPr>
        <w:pStyle w:val="Style_11"/>
        <w:keepNext w:val="1"/>
        <w:widowControl w:val="1"/>
        <w:spacing w:after="0" w:line="360" w:lineRule="auto"/>
        <w:ind w:firstLine="709" w:left="0"/>
        <w:contextualSpacing w:val="1"/>
        <w:jc w:val="both"/>
        <w:rPr>
          <w:b w:val="1"/>
          <w:i w:val="1"/>
          <w:sz w:val="24"/>
        </w:rPr>
      </w:pPr>
      <w:r>
        <w:rPr>
          <w:b w:val="1"/>
          <w:i w:val="1"/>
          <w:sz w:val="24"/>
        </w:rPr>
        <w:t>- с Министерством транспорта Красноярского края:</w:t>
      </w:r>
    </w:p>
    <w:p w14:paraId="85060000">
      <w:pPr>
        <w:pStyle w:val="Style_11"/>
        <w:widowControl w:val="1"/>
        <w:tabs>
          <w:tab w:leader="none" w:pos="0" w:val="left"/>
        </w:tabs>
        <w:spacing w:after="0" w:line="360" w:lineRule="auto"/>
        <w:ind w:firstLine="709" w:left="0"/>
        <w:contextualSpacing w:val="1"/>
        <w:jc w:val="both"/>
        <w:rPr>
          <w:sz w:val="24"/>
        </w:rPr>
      </w:pPr>
      <w:r>
        <w:rPr>
          <w:sz w:val="24"/>
        </w:rPr>
        <w:t xml:space="preserve">1. Соглашение № 1/жд между Главным распорядителем средств краевого бюджета и Акционерным обществом «Краспригород» о предоставлении в 2018 году субсидии в целях возмещения недополученных доходов, возникающих в связи с государственным регулированием тарифов на перевозки пассажиров железнодорожным транспортом общего пользования в пригородном сообщении от 27.02.2018 г. </w:t>
      </w:r>
    </w:p>
    <w:p w14:paraId="86060000">
      <w:pPr>
        <w:pStyle w:val="Style_11"/>
        <w:widowControl w:val="1"/>
        <w:tabs>
          <w:tab w:leader="none" w:pos="0" w:val="left"/>
        </w:tabs>
        <w:spacing w:after="0" w:line="360" w:lineRule="auto"/>
        <w:ind w:firstLine="709" w:left="0"/>
        <w:contextualSpacing w:val="1"/>
        <w:jc w:val="both"/>
        <w:rPr>
          <w:sz w:val="24"/>
        </w:rPr>
      </w:pPr>
      <w:r>
        <w:rPr>
          <w:sz w:val="24"/>
        </w:rPr>
        <w:t>2. Соглашение № 2/жд между Главным распорядителем средств краевого бюджета и Акционерным обществом «Краспригород» о предоставлении в 2018 году субсидии в целях возмещения недополученных доходов, возникающих в связи с перевозкой граждан, которым в соответствии с нормативными правовыми актами Красноярского края предоставлены меры социальной поддержки по оплате проезда на железнодорожном транспорте общего пользования в пригородном сообщении от 14.03.2018 г.</w:t>
      </w:r>
    </w:p>
    <w:p w14:paraId="87060000">
      <w:pPr>
        <w:pStyle w:val="Style_11"/>
        <w:widowControl w:val="1"/>
        <w:tabs>
          <w:tab w:leader="none" w:pos="1134" w:val="left"/>
        </w:tabs>
        <w:spacing w:after="0" w:line="360" w:lineRule="auto"/>
        <w:ind w:firstLine="709" w:left="0"/>
        <w:contextualSpacing w:val="1"/>
        <w:jc w:val="both"/>
        <w:rPr>
          <w:b w:val="1"/>
          <w:i w:val="1"/>
          <w:sz w:val="24"/>
        </w:rPr>
      </w:pPr>
      <w:r>
        <w:rPr>
          <w:b w:val="1"/>
          <w:i w:val="1"/>
          <w:sz w:val="24"/>
        </w:rPr>
        <w:t>- с Министерством социальной политики Красноярского края</w:t>
      </w:r>
    </w:p>
    <w:p w14:paraId="88060000">
      <w:pPr>
        <w:pStyle w:val="Style_11"/>
        <w:widowControl w:val="1"/>
        <w:tabs>
          <w:tab w:leader="none" w:pos="1134" w:val="left"/>
        </w:tabs>
        <w:spacing w:after="0" w:line="360" w:lineRule="auto"/>
        <w:ind w:firstLine="709" w:left="0"/>
        <w:contextualSpacing w:val="1"/>
        <w:jc w:val="both"/>
        <w:rPr>
          <w:sz w:val="24"/>
        </w:rPr>
      </w:pPr>
      <w:r>
        <w:rPr>
          <w:sz w:val="24"/>
        </w:rPr>
        <w:t>1. Договор о предоставлении мер социальной поддержки по перевозке реабилитированных лиц и лиц, признанных пострадавшими от политических репрессий, железнодорожным транспортом пригородного сообщения и возмещении расходов АО «Краспригород» за счёт средств краевого бюджета № 251 от 28.12.2017 г.</w:t>
      </w:r>
    </w:p>
    <w:p w14:paraId="89060000">
      <w:pPr>
        <w:pStyle w:val="Style_11"/>
        <w:widowControl w:val="1"/>
        <w:spacing w:after="0" w:line="360" w:lineRule="auto"/>
        <w:ind w:firstLine="709" w:left="0"/>
        <w:contextualSpacing w:val="1"/>
        <w:jc w:val="both"/>
        <w:rPr>
          <w:sz w:val="24"/>
        </w:rPr>
      </w:pPr>
      <w:r>
        <w:rPr>
          <w:sz w:val="24"/>
        </w:rPr>
        <w:t>2. Договор о предоставлении мер социальной поддержки по перевозке ветеранов труда и граждан, приравненных к ним по состоянию на 31 декабря 2004 года, и лиц, проработавших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награжденных орденами или медалями СССР за самоотверженный труд в период ВОВ, железнодорожным транспортом пригородного сообщения и возмещении расходов АО «Краспригород» за счёт средств краевого бюджета № 252 от 28.12.2017 г.</w:t>
      </w:r>
    </w:p>
    <w:p w14:paraId="8A060000">
      <w:pPr>
        <w:pStyle w:val="Style_11"/>
        <w:widowControl w:val="1"/>
        <w:spacing w:after="0" w:line="360" w:lineRule="auto"/>
        <w:ind w:firstLine="709" w:left="0"/>
        <w:contextualSpacing w:val="1"/>
        <w:jc w:val="both"/>
        <w:rPr>
          <w:sz w:val="24"/>
        </w:rPr>
      </w:pPr>
      <w:r>
        <w:rPr>
          <w:sz w:val="24"/>
        </w:rPr>
        <w:t>3. Договор № 115 от 13.04.2018 г. о предоставлении мер социальной поддержки по перевозке ветеранов труда края и пенсионеров железнодорожным транспортом пригородного сообщения и возмещении расходов АО «Краспригород» за счёт средств краевого бюджета.</w:t>
      </w:r>
    </w:p>
    <w:p w14:paraId="8B060000">
      <w:pPr>
        <w:pStyle w:val="Style_11"/>
        <w:keepNext w:val="1"/>
        <w:widowControl w:val="1"/>
        <w:spacing w:after="0" w:line="360" w:lineRule="auto"/>
        <w:ind w:firstLine="709" w:left="0"/>
        <w:contextualSpacing w:val="1"/>
        <w:jc w:val="both"/>
        <w:rPr>
          <w:b w:val="1"/>
          <w:i w:val="1"/>
          <w:sz w:val="24"/>
        </w:rPr>
      </w:pPr>
      <w:r>
        <w:rPr>
          <w:b w:val="1"/>
          <w:i w:val="1"/>
          <w:sz w:val="24"/>
        </w:rPr>
        <w:t>- с Министерством транспорта и дорожного хозяйства  Республики Хакасия</w:t>
      </w:r>
    </w:p>
    <w:p w14:paraId="8C060000">
      <w:pPr>
        <w:pStyle w:val="Style_11"/>
        <w:widowControl w:val="1"/>
        <w:spacing w:after="0" w:line="360" w:lineRule="auto"/>
        <w:ind w:firstLine="709" w:left="0"/>
        <w:contextualSpacing w:val="1"/>
        <w:jc w:val="both"/>
        <w:rPr>
          <w:sz w:val="24"/>
        </w:rPr>
      </w:pPr>
      <w:r>
        <w:rPr>
          <w:sz w:val="24"/>
        </w:rPr>
        <w:t>1. Договор № 30-18 от 22.01.2018г. на организацию транспортного обслуживания населения железнодорожным транспортом общего пользования в пригородном сообщении на территории Республики Хакасия и предоставление субсидии из республиканского бюджета Республики Хакасия.</w:t>
      </w:r>
    </w:p>
    <w:p w14:paraId="8D060000">
      <w:pPr>
        <w:pStyle w:val="Style_11"/>
        <w:widowControl w:val="1"/>
        <w:spacing w:after="0" w:line="360" w:lineRule="auto"/>
        <w:ind w:firstLine="709" w:left="0"/>
        <w:contextualSpacing w:val="1"/>
        <w:jc w:val="both"/>
        <w:rPr>
          <w:sz w:val="24"/>
        </w:rPr>
      </w:pPr>
      <w:r>
        <w:rPr>
          <w:sz w:val="24"/>
        </w:rPr>
        <w:t>Дополнительное соглашение № 1 от 16.03.2018 г. к договору № 30-18 от 22.01.2018г.</w:t>
      </w:r>
    </w:p>
    <w:p w14:paraId="8E060000">
      <w:pPr>
        <w:pStyle w:val="Style_11"/>
        <w:widowControl w:val="1"/>
        <w:spacing w:after="0" w:line="360" w:lineRule="auto"/>
        <w:ind w:firstLine="709" w:left="0"/>
        <w:contextualSpacing w:val="1"/>
        <w:jc w:val="both"/>
        <w:rPr>
          <w:sz w:val="24"/>
        </w:rPr>
      </w:pPr>
      <w:r>
        <w:rPr>
          <w:sz w:val="24"/>
        </w:rPr>
        <w:t>Дополнительное соглашение № 2 от 05.06.2018 г. к договору № 30-18 от 22.01.2018г.</w:t>
      </w:r>
    </w:p>
    <w:p w14:paraId="8F060000">
      <w:pPr>
        <w:pStyle w:val="Style_11"/>
        <w:widowControl w:val="1"/>
        <w:spacing w:after="0" w:line="360" w:lineRule="auto"/>
        <w:ind w:firstLine="709" w:left="0"/>
        <w:contextualSpacing w:val="1"/>
        <w:jc w:val="both"/>
        <w:rPr>
          <w:sz w:val="24"/>
        </w:rPr>
      </w:pPr>
      <w:r>
        <w:rPr>
          <w:sz w:val="24"/>
        </w:rPr>
        <w:t>2. Договор № 31-18 от 22.01.2018 г.  о предоставлении субсидии из республиканского бюджета Республики Хакасия на компенсацию недополученных доходов в связи с предоставлением меры социальной поддержки при проезде железнодорожным транспортом в пригородном сообщении на территории Республики Хакасия.</w:t>
      </w:r>
    </w:p>
    <w:p w14:paraId="90060000">
      <w:pPr>
        <w:pStyle w:val="Style_11"/>
        <w:keepNext w:val="1"/>
        <w:widowControl w:val="1"/>
        <w:spacing w:after="0" w:line="360" w:lineRule="auto"/>
        <w:ind w:firstLine="709" w:left="0"/>
        <w:contextualSpacing w:val="1"/>
        <w:jc w:val="both"/>
        <w:rPr>
          <w:b w:val="1"/>
          <w:i w:val="1"/>
          <w:sz w:val="24"/>
        </w:rPr>
      </w:pPr>
      <w:r>
        <w:rPr>
          <w:b w:val="1"/>
          <w:i w:val="1"/>
          <w:sz w:val="24"/>
        </w:rPr>
        <w:t>- с Министерством социальной защиты Республики Хакасия</w:t>
      </w:r>
    </w:p>
    <w:p w14:paraId="91060000">
      <w:pPr>
        <w:pStyle w:val="Style_11"/>
        <w:widowControl w:val="1"/>
        <w:spacing w:after="0" w:line="360" w:lineRule="auto"/>
        <w:ind w:firstLine="709" w:left="0"/>
        <w:contextualSpacing w:val="1"/>
        <w:jc w:val="both"/>
        <w:rPr>
          <w:sz w:val="24"/>
        </w:rPr>
      </w:pPr>
      <w:r>
        <w:rPr>
          <w:sz w:val="24"/>
        </w:rPr>
        <w:t>1. Договор № 26 от 08.02.2018 г. на возмещение расходов АО «Краспригород», связанных с предоставлением льгот по перевозке реабилитированных лиц и лиц, признанных пострадавшими от политических репрессий на железнодорожном транспорте в пригородном сообщении, за счет средств республиканского бюджета, согласно Закону Республики Хакасия от 11.11.04 г. №85 «О мерах социальной поддержки реабилитированных лиц и лиц, признанных пострадавшими от политических репрессий » в 2018 году.</w:t>
      </w:r>
    </w:p>
    <w:p w14:paraId="92060000">
      <w:pPr>
        <w:pStyle w:val="Style_11"/>
        <w:widowControl w:val="1"/>
        <w:spacing w:after="0" w:line="360" w:lineRule="auto"/>
        <w:ind w:firstLine="709" w:left="0"/>
        <w:contextualSpacing w:val="1"/>
        <w:jc w:val="both"/>
        <w:rPr>
          <w:sz w:val="24"/>
        </w:rPr>
      </w:pPr>
      <w:r>
        <w:rPr>
          <w:sz w:val="24"/>
        </w:rPr>
        <w:t>2. Договор № 27 от 08.02.2018г. на возмещение расходов АО «Краспригород», связанных с предоставлением льгот по перевозке ветеранов труда и тружеников тыла на железнодорожном транспорте в пригородном сообщении, за счет средств республиканского бюджета, согласно Закону Республики Хакасия от 11.11.04 г. № 84 «О мерах социальной поддержки ветеранов, проживающих на территории Республики Хакасия» и Закону Республики Хакасия от 21.02.2014 № 15-ЗРХ «О дополнительных мерах социальной поддержки лиц, вышедших на трудовую пенсию по старости, и о внесении изменений в отдельные законодательные акты Республики Хакасия в сфере социальной поддержки населения» в 2018 году.</w:t>
      </w:r>
    </w:p>
    <w:p w14:paraId="93060000">
      <w:pPr>
        <w:pStyle w:val="Style_11"/>
        <w:widowControl w:val="1"/>
        <w:spacing w:after="0" w:line="360" w:lineRule="auto"/>
        <w:ind w:firstLine="709" w:left="0"/>
        <w:contextualSpacing w:val="1"/>
        <w:jc w:val="both"/>
        <w:rPr>
          <w:sz w:val="24"/>
        </w:rPr>
      </w:pPr>
      <w:r>
        <w:rPr>
          <w:b w:val="1"/>
          <w:i w:val="1"/>
          <w:sz w:val="24"/>
        </w:rPr>
        <w:t>-  с Департаментом транспорта и связи Кемеровской области</w:t>
      </w:r>
    </w:p>
    <w:p w14:paraId="94060000">
      <w:pPr>
        <w:widowControl w:val="1"/>
        <w:numPr>
          <w:ilvl w:val="0"/>
          <w:numId w:val="10"/>
        </w:numPr>
        <w:tabs>
          <w:tab w:leader="none" w:pos="0" w:val="left"/>
          <w:tab w:leader="none" w:pos="360" w:val="left"/>
          <w:tab w:leader="none" w:pos="720" w:val="clear"/>
          <w:tab w:leader="none" w:pos="1134" w:val="left"/>
        </w:tabs>
        <w:spacing w:line="360" w:lineRule="auto"/>
        <w:ind w:firstLine="709" w:left="0"/>
        <w:contextualSpacing w:val="1"/>
        <w:jc w:val="both"/>
      </w:pPr>
      <w:r>
        <w:t>Договор № 4 от 28.12.2017 г. на организацию транспортного обслуживания населения железнодорожным транспортом в пригородном сообщении по территории Кемеровской области в границах Красноярской железной дороги.</w:t>
      </w:r>
    </w:p>
    <w:p w14:paraId="95060000">
      <w:pPr>
        <w:widowControl w:val="1"/>
        <w:numPr>
          <w:ilvl w:val="0"/>
          <w:numId w:val="10"/>
        </w:numPr>
        <w:tabs>
          <w:tab w:leader="none" w:pos="0" w:val="left"/>
          <w:tab w:leader="none" w:pos="360" w:val="left"/>
          <w:tab w:leader="none" w:pos="720" w:val="clear"/>
          <w:tab w:leader="none" w:pos="1134" w:val="left"/>
        </w:tabs>
        <w:spacing w:line="360" w:lineRule="auto"/>
        <w:ind w:firstLine="709" w:left="0"/>
        <w:contextualSpacing w:val="1"/>
        <w:jc w:val="both"/>
      </w:pPr>
      <w:r>
        <w:t>Соглашение № 5 от 28.12.2017 г. на возмещение недополученных в 2018 году доходов в связи с организацией транспортного обслуживания населения железнодорожным транспортом в пригородном сообщении по территории Кемеровской области в границах Красноярской железной дороги.</w:t>
      </w:r>
    </w:p>
    <w:p w14:paraId="96060000">
      <w:pPr>
        <w:pStyle w:val="Style_11"/>
        <w:widowControl w:val="1"/>
        <w:spacing w:after="0" w:line="360" w:lineRule="auto"/>
        <w:ind w:firstLine="709" w:left="0"/>
        <w:contextualSpacing w:val="1"/>
        <w:jc w:val="both"/>
        <w:rPr>
          <w:b w:val="1"/>
          <w:i w:val="1"/>
          <w:sz w:val="24"/>
        </w:rPr>
      </w:pPr>
      <w:r>
        <w:rPr>
          <w:b w:val="1"/>
          <w:i w:val="1"/>
          <w:sz w:val="24"/>
        </w:rPr>
        <w:t>-  с Департаментом социальной защиты населения Кемеровской области</w:t>
      </w:r>
    </w:p>
    <w:p w14:paraId="97060000">
      <w:pPr>
        <w:widowControl w:val="1"/>
        <w:numPr>
          <w:ilvl w:val="3"/>
          <w:numId w:val="10"/>
        </w:numPr>
        <w:tabs>
          <w:tab w:leader="none" w:pos="993" w:val="left"/>
          <w:tab w:leader="none" w:pos="1070" w:val="clear"/>
          <w:tab w:leader="none" w:pos="5605" w:val="left"/>
        </w:tabs>
        <w:spacing w:line="360" w:lineRule="auto"/>
        <w:ind w:firstLine="709" w:left="0"/>
        <w:contextualSpacing w:val="1"/>
        <w:jc w:val="both"/>
      </w:pPr>
      <w:r>
        <w:t>Соглашение № 34/09 от 18.01.2018 г. о предоставлении субсидии на возмещение затрат, возникающих при отдельных категорий лиц, имеющих право на меры социальной по оплате проезда отдельными видами транспорта, соглашение действует с 01.01.2018 г. по 30.06.2018 г.</w:t>
      </w:r>
    </w:p>
    <w:p w14:paraId="98060000">
      <w:pPr>
        <w:widowControl w:val="1"/>
        <w:numPr>
          <w:ilvl w:val="3"/>
          <w:numId w:val="10"/>
        </w:numPr>
        <w:tabs>
          <w:tab w:leader="none" w:pos="993" w:val="left"/>
          <w:tab w:leader="none" w:pos="1070" w:val="clear"/>
          <w:tab w:leader="none" w:pos="5605" w:val="left"/>
        </w:tabs>
        <w:spacing w:line="360" w:lineRule="auto"/>
        <w:ind w:firstLine="709" w:left="0"/>
        <w:contextualSpacing w:val="1"/>
        <w:jc w:val="both"/>
      </w:pPr>
      <w:r>
        <w:t>Соглашение № 142/09 от 03.07.2018 г. о предоставлении субсидии на возмещение затрат, возникающих при перевозке отдельных категорий лиц, имеющих право на меры социальной поддержки по оплате проезда отдельными видами транспорта, соглашение действует с 01.07.2018 г. по 31.12.2018 г</w:t>
      </w:r>
      <w:r>
        <w:t>.</w:t>
      </w:r>
    </w:p>
    <w:p w14:paraId="99060000">
      <w:pPr>
        <w:widowControl w:val="1"/>
        <w:numPr>
          <w:ilvl w:val="3"/>
          <w:numId w:val="10"/>
        </w:numPr>
        <w:tabs>
          <w:tab w:leader="none" w:pos="993" w:val="left"/>
          <w:tab w:leader="none" w:pos="1070" w:val="clear"/>
          <w:tab w:leader="none" w:pos="5605" w:val="left"/>
        </w:tabs>
        <w:spacing w:line="360" w:lineRule="auto"/>
        <w:ind w:firstLine="709" w:left="0"/>
        <w:contextualSpacing w:val="1"/>
        <w:jc w:val="both"/>
      </w:pPr>
      <w:r>
        <w:t>АО «Краспригород» в целях формирования убытков, возникающих в результате государственного регулирования тарифов по</w:t>
      </w:r>
      <w:r>
        <w:t xml:space="preserve"> субъектам РФ, на территории которых осуществляются пригородные перевозки, примен</w:t>
      </w:r>
      <w:r>
        <w:t>яет</w:t>
      </w:r>
      <w:r>
        <w:t xml:space="preserve"> принципы формирования и распределения  затрат, утвержденные приказом ФСТ от 05.12.2017 г. № 1649/17 «Об утверждении методики расчета экономически обоснованного уровня  тарифов за услуги субъектов естественных монополий в  сфере перевозок пассажиров железнодорожным транспортом общего пользования в пригородном сообщении». </w:t>
      </w:r>
    </w:p>
    <w:p w14:paraId="9A060000">
      <w:pPr>
        <w:widowControl w:val="1"/>
        <w:numPr>
          <w:ilvl w:val="3"/>
          <w:numId w:val="10"/>
        </w:numPr>
        <w:tabs>
          <w:tab w:leader="none" w:pos="993" w:val="left"/>
          <w:tab w:leader="none" w:pos="1070" w:val="clear"/>
          <w:tab w:leader="none" w:pos="5605" w:val="left"/>
        </w:tabs>
        <w:spacing w:line="360" w:lineRule="auto"/>
        <w:ind w:firstLine="709" w:left="0"/>
        <w:contextualSpacing w:val="1"/>
        <w:jc w:val="both"/>
      </w:pPr>
      <w:r>
        <w:t>Ставки на услуги по предоставлению инфраструктуры утверждены приказом ФСТ РФ № 156-т/1 от 27.07.2010 с последующими изменениями, и  с учетом применения льготного исключительного тарифа в виде коэффициента 0,01.</w:t>
      </w:r>
    </w:p>
    <w:p w14:paraId="9B060000">
      <w:pPr>
        <w:pStyle w:val="Style_11"/>
        <w:widowControl w:val="1"/>
        <w:spacing w:after="0" w:line="360" w:lineRule="auto"/>
        <w:ind w:firstLine="709" w:left="0"/>
        <w:contextualSpacing w:val="1"/>
        <w:jc w:val="both"/>
        <w:rPr>
          <w:b w:val="1"/>
          <w:sz w:val="24"/>
        </w:rPr>
      </w:pPr>
    </w:p>
    <w:p w14:paraId="9C060000">
      <w:pPr>
        <w:pStyle w:val="Style_11"/>
        <w:widowControl w:val="1"/>
        <w:spacing w:after="0" w:line="360" w:lineRule="auto"/>
        <w:ind w:firstLine="709" w:left="0"/>
        <w:contextualSpacing w:val="1"/>
        <w:jc w:val="both"/>
        <w:rPr>
          <w:b w:val="1"/>
          <w:sz w:val="24"/>
        </w:rPr>
      </w:pPr>
    </w:p>
    <w:p w14:paraId="9D060000">
      <w:pPr>
        <w:pStyle w:val="Style_11"/>
        <w:widowControl w:val="1"/>
        <w:spacing w:after="0" w:line="360" w:lineRule="auto"/>
        <w:ind w:firstLine="709" w:left="0"/>
        <w:contextualSpacing w:val="1"/>
        <w:jc w:val="both"/>
        <w:rPr>
          <w:b w:val="1"/>
          <w:sz w:val="24"/>
        </w:rPr>
      </w:pPr>
      <w:r>
        <w:rPr>
          <w:b w:val="1"/>
          <w:sz w:val="24"/>
        </w:rPr>
        <w:t>Красноярский край.</w:t>
      </w:r>
    </w:p>
    <w:p w14:paraId="9E060000">
      <w:pPr>
        <w:widowControl w:val="1"/>
        <w:spacing w:line="360" w:lineRule="auto"/>
        <w:ind w:firstLine="709"/>
        <w:contextualSpacing w:val="1"/>
        <w:jc w:val="both"/>
      </w:pPr>
      <w:r>
        <w:t xml:space="preserve">В рамках Соглашения между Правительством Красноярского края  и ОАО «РЖД», начиная с 2009 года, осуществляется  полное возмещение </w:t>
      </w:r>
      <w:r>
        <w:t>недополученных доходов, возникающих в результате государственного регулирования тарифов на проезд железнодорожным транспортом в пригор</w:t>
      </w:r>
      <w:r>
        <w:t xml:space="preserve">одном сообщении. </w:t>
      </w:r>
    </w:p>
    <w:p w14:paraId="9F060000">
      <w:pPr>
        <w:widowControl w:val="1"/>
        <w:spacing w:line="360" w:lineRule="auto"/>
        <w:ind w:firstLine="709"/>
        <w:contextualSpacing w:val="1"/>
        <w:jc w:val="both"/>
      </w:pPr>
      <w:r>
        <w:t>Постановлением Правительства Красноярского края №45-п от 12.02.2018 г. утвержден норматив субсидирования для расчета размера субсидий на 2018 год: 32,95 рублей на один вагонокилометр с 01.01.2018г. по 30.09.2018г.</w:t>
      </w:r>
    </w:p>
    <w:p w14:paraId="A0060000">
      <w:pPr>
        <w:widowControl w:val="1"/>
        <w:spacing w:line="360" w:lineRule="auto"/>
        <w:ind w:firstLine="709"/>
        <w:contextualSpacing w:val="1"/>
        <w:jc w:val="both"/>
      </w:pPr>
      <w:r>
        <w:t>Постановлением Правительства Красноярского края №655-п от 09.11.2018 г. утвержден норматив субсидирования для расчета размера субсидий на 2018 год: 32,14 рублей на один вагонокилометр с 01.10.2018г. по 31.12.2018г.</w:t>
      </w:r>
    </w:p>
    <w:p w14:paraId="A1060000">
      <w:pPr>
        <w:widowControl w:val="1"/>
        <w:spacing w:line="360" w:lineRule="auto"/>
        <w:ind w:firstLine="709"/>
        <w:contextualSpacing w:val="1"/>
        <w:jc w:val="both"/>
      </w:pPr>
      <w:r>
        <w:t>Начисленные суммы</w:t>
      </w:r>
      <w:r>
        <w:t xml:space="preserve"> субсидий за 201</w:t>
      </w:r>
      <w:r>
        <w:t>8</w:t>
      </w:r>
      <w:r>
        <w:t xml:space="preserve"> год составили</w:t>
      </w:r>
      <w:r>
        <w:t xml:space="preserve"> </w:t>
      </w:r>
      <w:r>
        <w:t>342 062</w:t>
      </w:r>
      <w:r>
        <w:t xml:space="preserve"> тыс. руб., денежные средства  в течение 201</w:t>
      </w:r>
      <w:r>
        <w:t xml:space="preserve">8 года  получены </w:t>
      </w:r>
      <w:r>
        <w:t>342 719 тыс.руб.</w:t>
      </w:r>
      <w:r>
        <w:t xml:space="preserve">. </w:t>
      </w:r>
    </w:p>
    <w:p w14:paraId="A2060000">
      <w:pPr>
        <w:widowControl w:val="1"/>
        <w:spacing w:line="360" w:lineRule="auto"/>
        <w:ind w:firstLine="709"/>
        <w:contextualSpacing w:val="1"/>
        <w:jc w:val="both"/>
      </w:pPr>
      <w:r>
        <w:t>По результатам 201</w:t>
      </w:r>
      <w:r>
        <w:t>8</w:t>
      </w:r>
      <w:r>
        <w:t xml:space="preserve"> года по Красноярскому краю получена прибыль до налогообложения  </w:t>
      </w:r>
      <w:r>
        <w:t>0</w:t>
      </w:r>
      <w:r>
        <w:t xml:space="preserve"> тыс. руб</w:t>
      </w:r>
      <w:r>
        <w:t>.</w:t>
      </w:r>
      <w:r>
        <w:t xml:space="preserve"> </w:t>
      </w:r>
    </w:p>
    <w:p w14:paraId="A3060000">
      <w:pPr>
        <w:widowControl w:val="1"/>
        <w:spacing w:line="360" w:lineRule="auto"/>
        <w:ind w:firstLine="709"/>
        <w:contextualSpacing w:val="1"/>
        <w:jc w:val="both"/>
      </w:pPr>
      <w:r>
        <w:rPr>
          <w:b w:val="1"/>
        </w:rPr>
        <w:t>Республика Хакасия</w:t>
      </w:r>
      <w:r>
        <w:t xml:space="preserve">. </w:t>
      </w:r>
    </w:p>
    <w:p w14:paraId="A4060000">
      <w:pPr>
        <w:widowControl w:val="1"/>
        <w:spacing w:line="360" w:lineRule="auto"/>
        <w:ind w:firstLine="709"/>
        <w:contextualSpacing w:val="1"/>
        <w:jc w:val="both"/>
      </w:pPr>
      <w:r>
        <w:t>Республиканским законодательством предусмотрено установление тарифов для населения и тарифов на экономически обоснованном уровне, предоставление субсидий осуществляется в пределах разницы между двумя видами тарифов за фактически перевезенных пассажиров.</w:t>
      </w:r>
    </w:p>
    <w:p w14:paraId="A5060000">
      <w:pPr>
        <w:widowControl w:val="1"/>
        <w:tabs>
          <w:tab w:leader="none" w:pos="9498" w:val="left"/>
        </w:tabs>
        <w:spacing w:line="360" w:lineRule="auto"/>
        <w:ind w:firstLine="709"/>
        <w:contextualSpacing w:val="1"/>
        <w:jc w:val="both"/>
      </w:pPr>
      <w:r>
        <w:t xml:space="preserve">Начисленные суммы субсидий за </w:t>
      </w:r>
      <w:r>
        <w:t>201</w:t>
      </w:r>
      <w:r>
        <w:t>8 год составили  42 034</w:t>
      </w:r>
      <w:r>
        <w:t xml:space="preserve">  тыс. рублей, денежные средства в течение 201</w:t>
      </w:r>
      <w:r>
        <w:t>8</w:t>
      </w:r>
      <w:r>
        <w:t xml:space="preserve"> года за текущий год </w:t>
      </w:r>
      <w:r>
        <w:t xml:space="preserve">в размере 42 034 тыс.руб.,  за прошлые периоды получено 35 317 тыс.руб., в том числе за 2017 год в размере 31 132 тыс. руб., за 2013 год – </w:t>
      </w:r>
      <w:r>
        <w:t xml:space="preserve">           </w:t>
      </w:r>
      <w:r>
        <w:t>4 185 тыс. руб.</w:t>
      </w:r>
    </w:p>
    <w:p w14:paraId="A6060000">
      <w:pPr>
        <w:widowControl w:val="1"/>
        <w:tabs>
          <w:tab w:leader="none" w:pos="9498" w:val="left"/>
        </w:tabs>
        <w:spacing w:line="360" w:lineRule="auto"/>
        <w:ind w:firstLine="709"/>
        <w:contextualSpacing w:val="1"/>
        <w:jc w:val="both"/>
      </w:pPr>
      <w:r>
        <w:t xml:space="preserve">По результатам 2018 года  по Республике Хакасия  получена прибыль до налогообложения  0 тыс. руб. </w:t>
      </w:r>
    </w:p>
    <w:p w14:paraId="A7060000">
      <w:pPr>
        <w:widowControl w:val="1"/>
        <w:spacing w:line="360" w:lineRule="auto"/>
        <w:ind w:firstLine="709"/>
        <w:contextualSpacing w:val="1"/>
        <w:jc w:val="both"/>
      </w:pPr>
      <w:r>
        <w:t xml:space="preserve">  </w:t>
      </w:r>
      <w:r>
        <w:rPr>
          <w:b w:val="1"/>
        </w:rPr>
        <w:t xml:space="preserve">Кемеровская область. </w:t>
      </w:r>
    </w:p>
    <w:p w14:paraId="A8060000">
      <w:pPr>
        <w:widowControl w:val="1"/>
        <w:spacing w:line="360" w:lineRule="auto"/>
        <w:ind w:firstLine="709"/>
        <w:contextualSpacing w:val="1"/>
        <w:jc w:val="both"/>
      </w:pPr>
      <w:r>
        <w:rPr>
          <w:b w:val="1"/>
          <w:i w:val="1"/>
        </w:rPr>
        <w:t xml:space="preserve"> </w:t>
      </w:r>
      <w:r>
        <w:t xml:space="preserve">Законодательством области и государственным контрактом  предусмотрено субсидирование в пределах региональной скидки от тарифов, установленных на экономически обоснованном уровне. </w:t>
      </w:r>
    </w:p>
    <w:p w14:paraId="A9060000">
      <w:pPr>
        <w:widowControl w:val="1"/>
        <w:spacing w:line="360" w:lineRule="auto"/>
        <w:ind w:firstLine="709"/>
        <w:contextualSpacing w:val="1"/>
        <w:jc w:val="both"/>
      </w:pPr>
      <w:r>
        <w:t>За 2018 год  начисленная субсидия составила 7 303 тыс.руб., денежные средства получены в сумме 7 347 тыс.руб., кроме того получены денежные средства за 2017 год в сумме 28 тыс. руб.</w:t>
      </w:r>
    </w:p>
    <w:p w14:paraId="AA060000">
      <w:pPr>
        <w:widowControl w:val="1"/>
        <w:spacing w:line="360" w:lineRule="auto"/>
        <w:ind w:firstLine="709"/>
        <w:contextualSpacing w:val="1"/>
        <w:jc w:val="both"/>
      </w:pPr>
      <w:r>
        <w:t>По результатам 2018 года по Кемеровской области  получена прибыль до налогообложения 0 тыс.руб.</w:t>
      </w:r>
    </w:p>
    <w:p w14:paraId="AB060000">
      <w:bookmarkStart w:id="24" w:name="__RefHeading___21"/>
      <w:bookmarkEnd w:id="24"/>
      <w:pPr>
        <w:pStyle w:val="Style_10"/>
        <w:pageBreakBefore w:val="1"/>
        <w:widowControl w:val="1"/>
        <w:spacing w:after="0" w:before="0"/>
        <w:ind w:firstLine="709"/>
        <w:contextualSpacing w:val="1"/>
        <w:jc w:val="both"/>
        <w:rPr>
          <w:rFonts w:ascii="Times New Roman" w:hAnsi="Times New Roman"/>
          <w:i w:val="0"/>
          <w:sz w:val="24"/>
        </w:rPr>
      </w:pPr>
      <w:r>
        <w:rPr>
          <w:rFonts w:ascii="Times New Roman" w:hAnsi="Times New Roman"/>
          <w:i w:val="0"/>
          <w:sz w:val="24"/>
        </w:rPr>
        <w:t>5.3</w:t>
      </w:r>
      <w:r>
        <w:rPr>
          <w:rFonts w:ascii="Times New Roman" w:hAnsi="Times New Roman"/>
          <w:i w:val="0"/>
          <w:sz w:val="24"/>
        </w:rPr>
        <w:t xml:space="preserve">. </w:t>
      </w:r>
      <w:r>
        <w:rPr>
          <w:rFonts w:ascii="Times New Roman" w:hAnsi="Times New Roman"/>
          <w:i w:val="0"/>
          <w:sz w:val="24"/>
        </w:rP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anchor allowOverlap="true" behindDoc="false" layoutInCell="true" locked="false" relativeHeight="251658240" simplePos="false">
                <wp:simplePos x="0" y="0"/>
                <wp:positionH relativeFrom="column">
                  <wp:posOffset>5943600</wp:posOffset>
                </wp:positionH>
                <wp:positionV relativeFrom="paragraph">
                  <wp:posOffset>2586355</wp:posOffset>
                </wp:positionV>
                <wp:extent cx="342900" cy="228600"/>
                <wp:wrapNone/>
                <wp:docPr hidden="false" id="19" name="Picture 19"/>
                <a:graphic>
                  <a:graphicData uri="http://schemas.microsoft.com/office/word/2010/wordprocessingShape">
                    <wps:wsp>
                      <wps:cNvSpPr txBox="false"/>
                      <wps:spPr>
                        <a:xfrm flipH="false" flipV="false" rot="0">
                          <a:off x="0" y="0"/>
                          <a:ext cx="342900" cy="228600"/>
                        </a:xfrm>
                        <a:prstGeom prst="rect">
                          <a:avLst/>
                        </a:prstGeom>
                        <a:solidFill>
                          <a:srgbClr val="FFFFFF"/>
                        </a:solidFill>
                        <a:ln w="12700">
                          <a:solidFill>
                            <a:srgbClr val="FFFFFF"/>
                          </a:solidFill>
                          <a:prstDash val="solid"/>
                        </a:ln>
                      </wps:spPr>
                      <wps:bodyPr anchor="t" bIns="45720" lIns="91440" rIns="91440" tIns="45720">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r>
        <w:rPr>
          <w:rFonts w:ascii="Times New Roman" w:hAnsi="Times New Roman"/>
          <w:i w:val="0"/>
          <w:sz w:val="24"/>
        </w:rPr>
        <w:t xml:space="preserve">Анализ </w:t>
      </w:r>
      <w:r>
        <w:rPr>
          <w:rFonts w:ascii="Times New Roman" w:hAnsi="Times New Roman"/>
          <w:i w:val="0"/>
          <w:sz w:val="24"/>
        </w:rPr>
        <w:t>динамики и результатов деятельности и финансового положения компании</w:t>
      </w:r>
    </w:p>
    <w:p w14:paraId="AC060000">
      <w:pPr>
        <w:widowControl w:val="1"/>
        <w:ind w:firstLine="709"/>
        <w:contextualSpacing w:val="1"/>
      </w:pPr>
    </w:p>
    <w:p w14:paraId="AD060000">
      <w:pPr>
        <w:widowControl w:val="1"/>
        <w:spacing w:line="360" w:lineRule="auto"/>
        <w:ind w:firstLine="709"/>
        <w:contextualSpacing w:val="1"/>
        <w:jc w:val="both"/>
      </w:pPr>
      <w:r>
        <w:t>Оценка финансового состояния АО «Краспригород» произведена в соответствии с  «Методикой оценки  финансового состояния дочерних и зависимых обществ ОАО «РЖД», утвержденной распоряжением ОАО «РЖД»  №847р от 01.04.2015г. и протоколом заседания Совета директоров АО «Краспригород» №1 от 17.06.2015г.</w:t>
      </w:r>
    </w:p>
    <w:p w14:paraId="AE060000">
      <w:pPr>
        <w:widowControl w:val="1"/>
        <w:spacing w:line="360" w:lineRule="auto"/>
        <w:ind w:firstLine="709"/>
        <w:contextualSpacing w:val="1"/>
        <w:jc w:val="both"/>
      </w:pPr>
      <w:r>
        <w:t>Количественный анализ рисков предполагает оценку следующих групп риска и характеризующих их финансовых коэффициентов:</w:t>
      </w:r>
    </w:p>
    <w:p w14:paraId="AF060000">
      <w:pPr>
        <w:widowControl w:val="1"/>
        <w:numPr>
          <w:ilvl w:val="0"/>
          <w:numId w:val="11"/>
        </w:numPr>
        <w:tabs>
          <w:tab w:leader="none" w:pos="360" w:val="clear"/>
          <w:tab w:leader="none" w:pos="1134" w:val="left"/>
        </w:tabs>
        <w:spacing w:line="360" w:lineRule="auto"/>
        <w:ind w:firstLine="709" w:left="0"/>
        <w:contextualSpacing w:val="1"/>
        <w:jc w:val="both"/>
      </w:pPr>
      <w:r>
        <w:t>риска неликвидности активов предприятия (коэффициенты ликвидности);</w:t>
      </w:r>
    </w:p>
    <w:p w14:paraId="B0060000">
      <w:pPr>
        <w:widowControl w:val="1"/>
        <w:numPr>
          <w:ilvl w:val="0"/>
          <w:numId w:val="11"/>
        </w:numPr>
        <w:tabs>
          <w:tab w:leader="none" w:pos="360" w:val="clear"/>
          <w:tab w:leader="none" w:pos="1134" w:val="left"/>
        </w:tabs>
        <w:spacing w:line="360" w:lineRule="auto"/>
        <w:ind w:firstLine="709" w:left="0"/>
        <w:contextualSpacing w:val="1"/>
        <w:jc w:val="both"/>
      </w:pPr>
      <w:r>
        <w:t>риска снижения финансовой устойчивости предприятия (коэффициент соотношения собственных и заемных средств);</w:t>
      </w:r>
    </w:p>
    <w:p w14:paraId="B1060000">
      <w:pPr>
        <w:widowControl w:val="1"/>
        <w:numPr>
          <w:ilvl w:val="0"/>
          <w:numId w:val="11"/>
        </w:numPr>
        <w:tabs>
          <w:tab w:leader="none" w:pos="360" w:val="clear"/>
          <w:tab w:leader="none" w:pos="1134" w:val="left"/>
        </w:tabs>
        <w:spacing w:line="360" w:lineRule="auto"/>
        <w:ind w:firstLine="709" w:left="0"/>
        <w:contextualSpacing w:val="1"/>
        <w:jc w:val="both"/>
      </w:pPr>
      <w:r>
        <w:t>риска низкой рентабельности деятельности (коэффициенты рентабельности);</w:t>
      </w:r>
    </w:p>
    <w:p w14:paraId="B2060000">
      <w:pPr>
        <w:widowControl w:val="1"/>
        <w:numPr>
          <w:ilvl w:val="0"/>
          <w:numId w:val="11"/>
        </w:numPr>
        <w:tabs>
          <w:tab w:leader="none" w:pos="360" w:val="clear"/>
          <w:tab w:leader="none" w:pos="1134" w:val="left"/>
        </w:tabs>
        <w:spacing w:line="360" w:lineRule="auto"/>
        <w:ind w:firstLine="709" w:left="0"/>
        <w:contextualSpacing w:val="1"/>
        <w:jc w:val="both"/>
      </w:pPr>
      <w:r>
        <w:t xml:space="preserve">риска снижения деловой активности </w:t>
      </w:r>
    </w:p>
    <w:p w14:paraId="B3060000">
      <w:pPr>
        <w:widowControl w:val="1"/>
        <w:spacing w:line="360" w:lineRule="auto"/>
        <w:ind w:firstLine="709"/>
        <w:contextualSpacing w:val="1"/>
        <w:jc w:val="both"/>
      </w:pPr>
      <w:r>
        <w:t>Расчет коэффициентов осуществляется на основе данных бухгалтерского  баланса, отчета о финансовых результатах и приложения к ним, определенных типовой учетной политикой дочерних обществ ОАО «РЖД».</w:t>
      </w:r>
    </w:p>
    <w:p w14:paraId="B4060000">
      <w:pPr>
        <w:widowControl w:val="1"/>
        <w:spacing w:line="360" w:lineRule="auto"/>
        <w:ind w:firstLine="709"/>
        <w:contextualSpacing w:val="1"/>
        <w:jc w:val="both"/>
        <w:rPr>
          <w:b w:val="1"/>
        </w:rPr>
      </w:pPr>
      <w:r>
        <w:rPr>
          <w:b w:val="1"/>
        </w:rPr>
        <w:t>ПОКАЗАТЕЛИ ЛИКВИДНОСТИ:</w:t>
      </w:r>
    </w:p>
    <w:p w14:paraId="B5060000">
      <w:pPr>
        <w:widowControl w:val="1"/>
        <w:spacing w:line="360" w:lineRule="auto"/>
        <w:ind w:firstLine="709"/>
        <w:contextualSpacing w:val="1"/>
        <w:jc w:val="both"/>
        <w:rPr>
          <w:u w:val="single"/>
        </w:rPr>
      </w:pPr>
      <w:r>
        <w:t>1.</w:t>
      </w:r>
      <w:r>
        <w:rPr>
          <w:u w:val="single"/>
        </w:rPr>
        <w:t xml:space="preserve"> Коэффициент абсолютной ликвидности (К1)</w:t>
      </w:r>
    </w:p>
    <w:p w14:paraId="B6060000">
      <w:pPr>
        <w:widowControl w:val="1"/>
        <w:spacing w:line="360" w:lineRule="auto"/>
        <w:ind w:firstLine="709"/>
        <w:contextualSpacing w:val="1"/>
        <w:jc w:val="both"/>
      </w:pPr>
      <w:r>
        <w:t>Показывает, какая доля краткосрочных долговых обязательств может быть покрыта за счет денежных средств и их эквивалентов в виде рыночных ценных бумаг и депозитов, т.е. практически абсолютно ликвидными активами.</w:t>
      </w:r>
    </w:p>
    <w:p w14:paraId="B7060000">
      <w:pPr>
        <w:widowControl w:val="1"/>
        <w:spacing w:line="360" w:lineRule="auto"/>
        <w:ind w:firstLine="709"/>
        <w:contextualSpacing w:val="1"/>
        <w:jc w:val="both"/>
      </w:pPr>
      <w:r>
        <w:t>К1 = (Денежные средства и денежные эквиваленты + Финансовые вложения (за исключением денежных эквивалентов) / Краткосрочные обязательства = (стр. 12500 ф.1 + стр.12400 ф.1) / стр. 15000 ф.1</w:t>
      </w:r>
    </w:p>
    <w:p w14:paraId="B8060000">
      <w:pPr>
        <w:pStyle w:val="Style_23"/>
        <w:widowControl w:val="1"/>
        <w:spacing w:line="360" w:lineRule="auto"/>
        <w:ind w:firstLine="709"/>
        <w:contextualSpacing w:val="1"/>
        <w:rPr>
          <w:b w:val="1"/>
          <w:sz w:val="24"/>
        </w:rPr>
      </w:pPr>
      <w:r>
        <w:rPr>
          <w:b w:val="1"/>
          <w:sz w:val="24"/>
        </w:rPr>
        <w:t>К1</w:t>
      </w:r>
      <w:r>
        <w:rPr>
          <w:sz w:val="24"/>
        </w:rPr>
        <w:t xml:space="preserve"> = (65 177 тыс. руб.+0) / 41 309 тыс. руб. = </w:t>
      </w:r>
      <w:r>
        <w:rPr>
          <w:b w:val="1"/>
          <w:sz w:val="24"/>
        </w:rPr>
        <w:t>1,58</w:t>
      </w:r>
    </w:p>
    <w:p w14:paraId="B9060000">
      <w:pPr>
        <w:widowControl w:val="1"/>
        <w:spacing w:line="360" w:lineRule="auto"/>
        <w:ind w:firstLine="709"/>
        <w:contextualSpacing w:val="1"/>
        <w:jc w:val="both"/>
        <w:rPr>
          <w:u w:val="single"/>
        </w:rPr>
      </w:pPr>
      <w:r>
        <w:t>2.</w:t>
      </w:r>
      <w:r>
        <w:rPr>
          <w:u w:val="single"/>
        </w:rPr>
        <w:t xml:space="preserve"> Коэффициент срочной ликвидности (К2)</w:t>
      </w:r>
    </w:p>
    <w:p w14:paraId="BA060000">
      <w:pPr>
        <w:widowControl w:val="1"/>
        <w:spacing w:line="360" w:lineRule="auto"/>
        <w:ind w:firstLine="709"/>
        <w:contextualSpacing w:val="1"/>
        <w:jc w:val="both"/>
      </w:pPr>
      <w:r>
        <w:t>Отношение наиболее ликвидной части оборотных средств к краткосрочным обязательствам.</w:t>
      </w:r>
    </w:p>
    <w:p w14:paraId="BB060000">
      <w:pPr>
        <w:widowControl w:val="1"/>
        <w:spacing w:line="360" w:lineRule="auto"/>
        <w:ind w:firstLine="709"/>
        <w:contextualSpacing w:val="1"/>
        <w:jc w:val="both"/>
      </w:pPr>
      <w:r>
        <w:t>К2 = (Денежные средства и денежные эквиваленты + Финансовые вложения (за исключением денежных эквивалентов) + Дебиторская задолженность, платежи по которой осуществляются в течение 12 месяцев после отчетной даты) / Краткосрочные обязательства =</w:t>
      </w:r>
    </w:p>
    <w:p w14:paraId="BC060000">
      <w:pPr>
        <w:widowControl w:val="1"/>
        <w:spacing w:line="360" w:lineRule="auto"/>
        <w:ind w:firstLine="709"/>
        <w:contextualSpacing w:val="1"/>
        <w:jc w:val="both"/>
      </w:pPr>
      <w:r>
        <w:t>= (стр. 12500 ф.1 + стр.12400 ф.1+стр. 12320ф.1) / стр. 15000ф.1</w:t>
      </w:r>
    </w:p>
    <w:p w14:paraId="BD060000">
      <w:pPr>
        <w:widowControl w:val="1"/>
        <w:spacing w:line="360" w:lineRule="auto"/>
        <w:ind w:firstLine="709"/>
        <w:contextualSpacing w:val="1"/>
        <w:rPr>
          <w:b w:val="1"/>
        </w:rPr>
      </w:pPr>
      <w:r>
        <w:rPr>
          <w:b w:val="1"/>
        </w:rPr>
        <w:t>К2</w:t>
      </w:r>
      <w:r>
        <w:t xml:space="preserve"> = (65 177 тыс. руб. + 0 + 33 104 тыс. руб.)/41 309  тыс. руб. </w:t>
      </w:r>
      <w:r>
        <w:rPr>
          <w:b w:val="1"/>
        </w:rPr>
        <w:t>= 2,38</w:t>
      </w:r>
    </w:p>
    <w:p w14:paraId="BE060000">
      <w:pPr>
        <w:widowControl w:val="1"/>
        <w:spacing w:line="360" w:lineRule="auto"/>
        <w:ind w:firstLine="709"/>
        <w:contextualSpacing w:val="1"/>
        <w:jc w:val="both"/>
        <w:rPr>
          <w:u w:val="single"/>
        </w:rPr>
      </w:pPr>
      <w:r>
        <w:t>3.</w:t>
      </w:r>
      <w:r>
        <w:rPr>
          <w:u w:val="single"/>
        </w:rPr>
        <w:t xml:space="preserve"> Коэффициент текущей ликвидности (К3)</w:t>
      </w:r>
    </w:p>
    <w:p w14:paraId="BF060000">
      <w:pPr>
        <w:widowControl w:val="1"/>
        <w:spacing w:line="360" w:lineRule="auto"/>
        <w:ind w:firstLine="709"/>
        <w:contextualSpacing w:val="1"/>
        <w:jc w:val="both"/>
      </w:pPr>
      <w:r>
        <w:t xml:space="preserve">Рассчитывается как частное от деления оборотных средств на краткосрочные обязательства и показывает, достаточно ли у предприятия средств, которые могут быть использованы для погашения краткосрочных обязательств. </w:t>
      </w:r>
    </w:p>
    <w:p w14:paraId="C0060000">
      <w:pPr>
        <w:widowControl w:val="1"/>
        <w:spacing w:line="360" w:lineRule="auto"/>
        <w:ind w:firstLine="709"/>
        <w:contextualSpacing w:val="1"/>
        <w:jc w:val="both"/>
      </w:pPr>
      <w:r>
        <w:t>К3 = Оборотные активы – Дебиторская задолженность, платежи по которой осуществляются более чем через 12 месяцев после отчетной даты ) /Краткосрочные обязательства = стр.12000 ф.1-стр.12310ф.1 / стр. 15000 ф.1</w:t>
      </w:r>
    </w:p>
    <w:p w14:paraId="C1060000">
      <w:pPr>
        <w:pStyle w:val="Style_23"/>
        <w:widowControl w:val="1"/>
        <w:spacing w:line="360" w:lineRule="auto"/>
        <w:ind w:firstLine="709"/>
        <w:contextualSpacing w:val="1"/>
        <w:rPr>
          <w:b w:val="1"/>
          <w:sz w:val="24"/>
        </w:rPr>
      </w:pPr>
      <w:r>
        <w:rPr>
          <w:b w:val="1"/>
          <w:sz w:val="24"/>
        </w:rPr>
        <w:t>К3</w:t>
      </w:r>
      <w:r>
        <w:rPr>
          <w:sz w:val="24"/>
        </w:rPr>
        <w:t xml:space="preserve"> = 102 781 тыс. руб. – 0 тыс.руб./ 41 309 тыс. руб. </w:t>
      </w:r>
      <w:r>
        <w:rPr>
          <w:b w:val="1"/>
          <w:sz w:val="24"/>
        </w:rPr>
        <w:t>= 2,49</w:t>
      </w:r>
    </w:p>
    <w:p w14:paraId="C2060000">
      <w:pPr>
        <w:widowControl w:val="1"/>
        <w:spacing w:line="360" w:lineRule="auto"/>
        <w:ind w:firstLine="709"/>
        <w:contextualSpacing w:val="1"/>
        <w:jc w:val="both"/>
        <w:rPr>
          <w:b w:val="1"/>
        </w:rPr>
      </w:pPr>
      <w:r>
        <w:rPr>
          <w:b w:val="1"/>
        </w:rPr>
        <w:t>ПОКАЗАТЕЛИ ФИНАНСОВОЙ УСТОЙЧИВОСТИ:</w:t>
      </w:r>
    </w:p>
    <w:p w14:paraId="C3060000">
      <w:pPr>
        <w:widowControl w:val="1"/>
        <w:spacing w:line="360" w:lineRule="auto"/>
        <w:ind w:firstLine="709"/>
        <w:contextualSpacing w:val="1"/>
        <w:jc w:val="both"/>
      </w:pPr>
      <w:r>
        <w:t xml:space="preserve">4. </w:t>
      </w:r>
      <w:r>
        <w:rPr>
          <w:u w:val="single"/>
        </w:rPr>
        <w:t>Коэффициент финансовой независимости (К4)</w:t>
      </w:r>
    </w:p>
    <w:p w14:paraId="C4060000">
      <w:pPr>
        <w:widowControl w:val="1"/>
        <w:spacing w:line="360" w:lineRule="auto"/>
        <w:ind w:firstLine="709"/>
        <w:contextualSpacing w:val="1"/>
        <w:jc w:val="both"/>
      </w:pPr>
      <w:r>
        <w:t>К4 = Капитал и резервы / Валюта баланса = стр. 13000ф.1 / стр. 16000 ф.1</w:t>
      </w:r>
    </w:p>
    <w:p w14:paraId="C5060000">
      <w:pPr>
        <w:pStyle w:val="Style_23"/>
        <w:widowControl w:val="1"/>
        <w:spacing w:line="360" w:lineRule="auto"/>
        <w:ind w:firstLine="709"/>
        <w:contextualSpacing w:val="1"/>
        <w:rPr>
          <w:b w:val="1"/>
          <w:sz w:val="24"/>
        </w:rPr>
      </w:pPr>
      <w:r>
        <w:rPr>
          <w:b w:val="1"/>
          <w:sz w:val="24"/>
        </w:rPr>
        <w:t>К4</w:t>
      </w:r>
      <w:r>
        <w:rPr>
          <w:sz w:val="24"/>
        </w:rPr>
        <w:t xml:space="preserve"> = - 143 531 тыс. руб. / 139 697 тыс. руб. </w:t>
      </w:r>
      <w:r>
        <w:rPr>
          <w:b w:val="1"/>
          <w:sz w:val="24"/>
        </w:rPr>
        <w:t>= -1,03</w:t>
      </w:r>
    </w:p>
    <w:p w14:paraId="C6060000">
      <w:pPr>
        <w:widowControl w:val="1"/>
        <w:spacing w:line="360" w:lineRule="auto"/>
        <w:ind w:firstLine="709"/>
        <w:contextualSpacing w:val="1"/>
        <w:jc w:val="both"/>
        <w:rPr>
          <w:b w:val="1"/>
        </w:rPr>
      </w:pPr>
      <w:r>
        <w:rPr>
          <w:b w:val="1"/>
        </w:rPr>
        <w:t>ПОКАЗАТЕЛИ РЕНТАБЕЛЬНОСТИ:</w:t>
      </w:r>
    </w:p>
    <w:p w14:paraId="C7060000">
      <w:pPr>
        <w:widowControl w:val="1"/>
        <w:spacing w:line="360" w:lineRule="auto"/>
        <w:ind w:firstLine="709"/>
        <w:contextualSpacing w:val="1"/>
        <w:jc w:val="both"/>
        <w:rPr>
          <w:u w:val="single"/>
        </w:rPr>
      </w:pPr>
      <w:r>
        <w:t>5.</w:t>
      </w:r>
      <w:r>
        <w:rPr>
          <w:u w:val="single"/>
        </w:rPr>
        <w:t xml:space="preserve"> Рентабельность продаж (К5), %</w:t>
      </w:r>
    </w:p>
    <w:p w14:paraId="C8060000">
      <w:pPr>
        <w:widowControl w:val="1"/>
        <w:spacing w:line="360" w:lineRule="auto"/>
        <w:ind w:firstLine="709"/>
        <w:contextualSpacing w:val="1"/>
        <w:jc w:val="both"/>
      </w:pPr>
      <w:r>
        <w:t>Демонстрирует долю валовой прибыли в объеме продаж предприятия.</w:t>
      </w:r>
    </w:p>
    <w:p w14:paraId="C9060000">
      <w:pPr>
        <w:widowControl w:val="1"/>
        <w:spacing w:line="360" w:lineRule="auto"/>
        <w:ind w:firstLine="709"/>
        <w:contextualSpacing w:val="1"/>
        <w:jc w:val="both"/>
      </w:pPr>
      <w:r>
        <w:t>К5 (ROS) =(Валовая прибыль (убыток)+субсидии/ Выручка+ субсидии)*100% =</w:t>
      </w:r>
    </w:p>
    <w:p w14:paraId="CA060000">
      <w:pPr>
        <w:widowControl w:val="1"/>
        <w:spacing w:line="360" w:lineRule="auto"/>
        <w:ind w:firstLine="709"/>
        <w:contextualSpacing w:val="1"/>
        <w:jc w:val="both"/>
      </w:pPr>
      <w:r>
        <w:t>= стр.21000ф.2 / стр.21100ф.2*100%</w:t>
      </w:r>
    </w:p>
    <w:p w14:paraId="CB060000">
      <w:pPr>
        <w:pStyle w:val="Style_23"/>
        <w:widowControl w:val="1"/>
        <w:spacing w:line="360" w:lineRule="auto"/>
        <w:ind w:firstLine="709"/>
        <w:contextualSpacing w:val="1"/>
        <w:rPr>
          <w:sz w:val="24"/>
        </w:rPr>
      </w:pPr>
      <w:r>
        <w:rPr>
          <w:b w:val="1"/>
          <w:sz w:val="24"/>
        </w:rPr>
        <w:t>К5</w:t>
      </w:r>
      <w:r>
        <w:rPr>
          <w:sz w:val="24"/>
        </w:rPr>
        <w:t xml:space="preserve"> =(-386 359 тыс. руб. + 391 398 тыс. руб.)/ (335 109 тыс. руб. + 391 398 тыс. руб.) *100= </w:t>
      </w:r>
      <w:r>
        <w:rPr>
          <w:b w:val="1"/>
          <w:sz w:val="24"/>
        </w:rPr>
        <w:t>0,69</w:t>
      </w:r>
    </w:p>
    <w:p w14:paraId="CC060000">
      <w:pPr>
        <w:pStyle w:val="Style_23"/>
        <w:widowControl w:val="1"/>
        <w:spacing w:line="360" w:lineRule="auto"/>
        <w:ind w:firstLine="709"/>
        <w:contextualSpacing w:val="1"/>
        <w:rPr>
          <w:sz w:val="24"/>
        </w:rPr>
      </w:pPr>
      <w:r>
        <w:rPr>
          <w:sz w:val="24"/>
        </w:rPr>
        <w:t>Для дочерних и зависимых обществ ОАО «РЖД», имеющих финансовую поддержку со стороны государства (получение субсидий из федерального бюджета) необходимо учитывать данный вид дохода в совокупности с валовой прибылью и выручкой.</w:t>
      </w:r>
    </w:p>
    <w:p w14:paraId="CD060000">
      <w:pPr>
        <w:widowControl w:val="1"/>
        <w:spacing w:line="360" w:lineRule="auto"/>
        <w:ind w:firstLine="709"/>
        <w:contextualSpacing w:val="1"/>
        <w:jc w:val="both"/>
        <w:rPr>
          <w:u w:val="single"/>
        </w:rPr>
      </w:pPr>
      <w:r>
        <w:t>6.</w:t>
      </w:r>
      <w:r>
        <w:rPr>
          <w:u w:val="single"/>
        </w:rPr>
        <w:t>Рентабельность собственного капитала (К6), %</w:t>
      </w:r>
    </w:p>
    <w:p w14:paraId="CE060000">
      <w:pPr>
        <w:widowControl w:val="1"/>
        <w:spacing w:line="360" w:lineRule="auto"/>
        <w:ind w:firstLine="709"/>
        <w:contextualSpacing w:val="1"/>
        <w:jc w:val="both"/>
      </w:pPr>
      <w:r>
        <w:t>Демонстрирует эффективность использования капитала, инвестированного собственниками предприятия.</w:t>
      </w:r>
    </w:p>
    <w:p w14:paraId="CF060000">
      <w:pPr>
        <w:widowControl w:val="1"/>
        <w:spacing w:line="360" w:lineRule="auto"/>
        <w:ind w:firstLine="709"/>
        <w:contextualSpacing w:val="1"/>
        <w:jc w:val="both"/>
      </w:pPr>
      <w:r>
        <w:t>К6 (</w:t>
      </w:r>
      <w:r>
        <w:t>ROE</w:t>
      </w:r>
      <w:r>
        <w:t>) = (Чистая прибыль (убыток)/Капитал и резервы)*100% = [стр.24000 ф.2 / (стр.13000 ф.1 отч. + стр.1300 ф.1 баз.)*0,5]*100%</w:t>
      </w:r>
    </w:p>
    <w:p w14:paraId="D0060000">
      <w:pPr>
        <w:pStyle w:val="Style_23"/>
        <w:widowControl w:val="1"/>
        <w:spacing w:line="360" w:lineRule="auto"/>
        <w:ind w:firstLine="709"/>
        <w:contextualSpacing w:val="1"/>
        <w:rPr>
          <w:b w:val="1"/>
          <w:sz w:val="24"/>
        </w:rPr>
      </w:pPr>
      <w:r>
        <w:rPr>
          <w:b w:val="1"/>
          <w:sz w:val="24"/>
        </w:rPr>
        <w:t>К6</w:t>
      </w:r>
      <w:r>
        <w:rPr>
          <w:sz w:val="24"/>
        </w:rPr>
        <w:t xml:space="preserve"> = (302 тыс. руб. / (-143 531 тыс. руб. + (-143 833 тыс. руб.)) * 0,5) * 100% </w:t>
      </w:r>
      <w:r>
        <w:rPr>
          <w:b w:val="1"/>
          <w:sz w:val="24"/>
        </w:rPr>
        <w:t>= -0,21</w:t>
      </w:r>
    </w:p>
    <w:p w14:paraId="D1060000">
      <w:pPr>
        <w:widowControl w:val="1"/>
        <w:spacing w:line="360" w:lineRule="auto"/>
        <w:ind w:firstLine="709"/>
        <w:contextualSpacing w:val="1"/>
        <w:jc w:val="both"/>
        <w:rPr>
          <w:u w:val="single"/>
        </w:rPr>
      </w:pPr>
      <w:r>
        <w:t>7.</w:t>
      </w:r>
      <w:r>
        <w:rPr>
          <w:u w:val="single"/>
        </w:rPr>
        <w:t>Рентабельность активов (К7), %</w:t>
      </w:r>
    </w:p>
    <w:p w14:paraId="D2060000">
      <w:pPr>
        <w:widowControl w:val="1"/>
        <w:spacing w:line="360" w:lineRule="auto"/>
        <w:ind w:firstLine="709"/>
        <w:contextualSpacing w:val="1"/>
        <w:jc w:val="both"/>
      </w:pPr>
      <w:r>
        <w:t>К7 (</w:t>
      </w:r>
      <w:r>
        <w:t>ROA</w:t>
      </w:r>
      <w:r>
        <w:t>) = (Прибыль (убыток) от продаж / Валюта баланса)*100% = стр.2200 ф.2 / [ (стр.16000 ф.1 отч. + стр.16000 ф.1 баз.)*0,5]*100%</w:t>
      </w:r>
    </w:p>
    <w:p w14:paraId="D3060000">
      <w:pPr>
        <w:pStyle w:val="Style_23"/>
        <w:widowControl w:val="1"/>
        <w:spacing w:line="360" w:lineRule="auto"/>
        <w:ind w:firstLine="709"/>
        <w:contextualSpacing w:val="1"/>
        <w:rPr>
          <w:b w:val="1"/>
          <w:sz w:val="24"/>
        </w:rPr>
      </w:pPr>
      <w:r>
        <w:rPr>
          <w:b w:val="1"/>
          <w:sz w:val="24"/>
        </w:rPr>
        <w:t>К7</w:t>
      </w:r>
      <w:r>
        <w:rPr>
          <w:sz w:val="24"/>
        </w:rPr>
        <w:t xml:space="preserve"> =(-386 477+ 391 398) тыс. руб. / (139 697 тыс. руб. + 159 215 тыс. руб.) * 0,5) * 100% =</w:t>
      </w:r>
      <w:r>
        <w:rPr>
          <w:b w:val="1"/>
          <w:sz w:val="24"/>
        </w:rPr>
        <w:t>3,29</w:t>
      </w:r>
    </w:p>
    <w:p w14:paraId="D4060000">
      <w:pPr>
        <w:pStyle w:val="Style_23"/>
        <w:widowControl w:val="1"/>
        <w:spacing w:line="360" w:lineRule="auto"/>
        <w:ind w:firstLine="709"/>
        <w:contextualSpacing w:val="1"/>
        <w:rPr>
          <w:sz w:val="24"/>
        </w:rPr>
      </w:pPr>
      <w:r>
        <w:rPr>
          <w:sz w:val="24"/>
        </w:rPr>
        <w:t>Для дочерних и зависимых обществ ОАО «РЖД», имеющих финансовую поддержку со стороны государства (получение субсидий из федерального бюджета) необходимо учитывать субсидии в совокупности с выручкой при расчете соотношения прибыли (убытка) от продаж к средней величине суммарных активов.</w:t>
      </w:r>
    </w:p>
    <w:p w14:paraId="D5060000">
      <w:pPr>
        <w:widowControl w:val="1"/>
        <w:spacing w:line="360" w:lineRule="auto"/>
        <w:ind w:firstLine="709"/>
        <w:contextualSpacing w:val="1"/>
        <w:jc w:val="both"/>
        <w:rPr>
          <w:u w:val="single"/>
        </w:rPr>
      </w:pPr>
      <w:r>
        <w:t>8.</w:t>
      </w:r>
      <w:r>
        <w:rPr>
          <w:u w:val="single"/>
        </w:rPr>
        <w:t>Соотношение дебиторской и кредиторской задолженности  (К8), %</w:t>
      </w:r>
    </w:p>
    <w:p w14:paraId="D6060000">
      <w:pPr>
        <w:widowControl w:val="1"/>
        <w:spacing w:line="360" w:lineRule="auto"/>
        <w:ind w:firstLine="709"/>
        <w:contextualSpacing w:val="1"/>
        <w:jc w:val="both"/>
      </w:pPr>
      <w:r>
        <w:t>Характеризует баланс дебиторской и кредиторской задолженности предприятия.</w:t>
      </w:r>
    </w:p>
    <w:p w14:paraId="D7060000">
      <w:pPr>
        <w:widowControl w:val="1"/>
        <w:spacing w:line="360" w:lineRule="auto"/>
        <w:ind w:firstLine="709"/>
        <w:contextualSpacing w:val="1"/>
        <w:jc w:val="both"/>
      </w:pPr>
    </w:p>
    <w:p w14:paraId="D8060000">
      <w:pPr>
        <w:widowControl w:val="1"/>
        <w:spacing w:line="360" w:lineRule="auto"/>
        <w:ind w:firstLine="709"/>
        <w:contextualSpacing w:val="1"/>
        <w:jc w:val="both"/>
      </w:pPr>
      <w:r>
        <w:t>К8 = Дебиторская задолженность на конец отчетного периода / Кредиторская задолженность на конец отчетного периода = (стр.12300 ф.1 отч.) / стр.15200 ф.1отч.</w:t>
      </w:r>
    </w:p>
    <w:p w14:paraId="D9060000">
      <w:pPr>
        <w:pStyle w:val="Style_23"/>
        <w:widowControl w:val="1"/>
        <w:spacing w:line="360" w:lineRule="auto"/>
        <w:ind w:firstLine="709"/>
        <w:contextualSpacing w:val="1"/>
        <w:rPr>
          <w:b w:val="1"/>
          <w:sz w:val="24"/>
        </w:rPr>
      </w:pPr>
      <w:r>
        <w:rPr>
          <w:b w:val="1"/>
          <w:sz w:val="24"/>
        </w:rPr>
        <w:t xml:space="preserve">К8 </w:t>
      </w:r>
      <w:r>
        <w:rPr>
          <w:sz w:val="24"/>
        </w:rPr>
        <w:t xml:space="preserve">= 33 104 тыс. руб. / 34 259 тыс. руб. = </w:t>
      </w:r>
      <w:r>
        <w:rPr>
          <w:b w:val="1"/>
          <w:sz w:val="24"/>
        </w:rPr>
        <w:t>0,97</w:t>
      </w:r>
    </w:p>
    <w:p w14:paraId="DA060000">
      <w:pPr>
        <w:widowControl w:val="1"/>
        <w:spacing w:line="360" w:lineRule="auto"/>
        <w:ind w:firstLine="709"/>
        <w:contextualSpacing w:val="1"/>
        <w:jc w:val="both"/>
        <w:rPr>
          <w:u w:val="single"/>
        </w:rPr>
      </w:pPr>
      <w:r>
        <w:t>9.</w:t>
      </w:r>
      <w:r>
        <w:rPr>
          <w:u w:val="single"/>
        </w:rPr>
        <w:t>Соотношение оборачиваемости дебиторской и кредиторской задолженности (К9)</w:t>
      </w:r>
    </w:p>
    <w:p w14:paraId="DB060000">
      <w:pPr>
        <w:pStyle w:val="Style_23"/>
        <w:widowControl w:val="1"/>
        <w:spacing w:line="360" w:lineRule="auto"/>
        <w:ind w:firstLine="709"/>
        <w:contextualSpacing w:val="1"/>
        <w:rPr>
          <w:sz w:val="24"/>
        </w:rPr>
      </w:pPr>
      <w:r>
        <w:rPr>
          <w:sz w:val="24"/>
        </w:rPr>
        <w:t>Характеризует устойчивость финансового положения и деловую активность предприятия.</w:t>
      </w:r>
    </w:p>
    <w:p w14:paraId="DC060000">
      <w:pPr>
        <w:pStyle w:val="Style_23"/>
        <w:widowControl w:val="1"/>
        <w:spacing w:line="360" w:lineRule="auto"/>
        <w:ind w:firstLine="709"/>
        <w:contextualSpacing w:val="1"/>
        <w:rPr>
          <w:sz w:val="24"/>
        </w:rPr>
      </w:pPr>
      <w:r>
        <w:rPr>
          <w:sz w:val="24"/>
        </w:rPr>
        <w:t>К9 = Оборачиваемость дебиторской задолженности / Оборачиваемость кредиторской задолженности = (Выручка * (Кредиторская задолженность на начало отчетного периода + Кредиторская задолженность на конец отчетного периода)) / (Себестоимость  * (Дебиторская задолженность на начало отчетного периода + Дебиторская задолженность на конец отчетного периода)) = (стр.21100 ф .2 * (стр.15200 ф.1 баз. + стр.15200 отч.ф.1) / (стр.21200 ф2.* (стр.12300 ф1 баз. + стр.12300ф.1 отч.).</w:t>
      </w:r>
    </w:p>
    <w:p w14:paraId="DD060000">
      <w:pPr>
        <w:widowControl w:val="1"/>
        <w:tabs>
          <w:tab w:leader="none" w:pos="709" w:val="left"/>
        </w:tabs>
        <w:spacing w:line="360" w:lineRule="auto"/>
        <w:ind w:firstLine="709"/>
        <w:contextualSpacing w:val="1"/>
      </w:pPr>
      <w:r>
        <w:rPr>
          <w:b w:val="1"/>
        </w:rPr>
        <w:t>К 9</w:t>
      </w:r>
      <w:r>
        <w:t xml:space="preserve"> = [(335 109+391 398) * (48 723+34 259)] тыс. руб./ [(721 468* (64 617+33 104)] тыс. руб. = </w:t>
      </w:r>
      <w:r>
        <w:rPr>
          <w:b w:val="1"/>
        </w:rPr>
        <w:t>0,86</w:t>
      </w:r>
    </w:p>
    <w:p w14:paraId="DE060000">
      <w:pPr>
        <w:pStyle w:val="Style_23"/>
        <w:widowControl w:val="1"/>
        <w:spacing w:line="360" w:lineRule="auto"/>
        <w:ind w:firstLine="709"/>
        <w:contextualSpacing w:val="1"/>
        <w:rPr>
          <w:sz w:val="24"/>
        </w:rPr>
      </w:pPr>
      <w:r>
        <w:rPr>
          <w:sz w:val="24"/>
        </w:rPr>
        <w:t>Для дочерних и зависимых обществ ОАО «РЖД», имеющих финансовую поддержку со стороны государства (получение субсидий из федерального бюджета) необходимо учитывать субсидии в совокупности с выручкой при расчете соотношения оборачиваемости дебиторской и кредиторской задолженности</w:t>
      </w:r>
    </w:p>
    <w:p w14:paraId="DF060000">
      <w:pPr>
        <w:pStyle w:val="Style_23"/>
        <w:widowControl w:val="1"/>
        <w:spacing w:line="360" w:lineRule="auto"/>
        <w:ind w:firstLine="709"/>
        <w:contextualSpacing w:val="1"/>
        <w:rPr>
          <w:sz w:val="24"/>
        </w:rPr>
      </w:pPr>
      <w:r>
        <w:rPr>
          <w:sz w:val="24"/>
          <w:u w:val="single"/>
        </w:rPr>
        <w:t xml:space="preserve"> 10.Соотношение роста прибыли до вычета расходов по процентам, уплаты налогов и амортизации (Е</w:t>
      </w:r>
      <w:r>
        <w:rPr>
          <w:sz w:val="24"/>
          <w:u w:val="single"/>
        </w:rPr>
        <w:t>BITDA</w:t>
      </w:r>
      <w:r>
        <w:rPr>
          <w:sz w:val="24"/>
          <w:u w:val="single"/>
        </w:rPr>
        <w:t>) к росту выручки (К10).</w:t>
      </w:r>
      <w:r>
        <w:rPr>
          <w:sz w:val="24"/>
        </w:rPr>
        <w:t xml:space="preserve"> </w:t>
      </w:r>
    </w:p>
    <w:p w14:paraId="E0060000">
      <w:pPr>
        <w:pStyle w:val="Style_23"/>
        <w:widowControl w:val="1"/>
        <w:spacing w:line="360" w:lineRule="auto"/>
        <w:ind w:firstLine="709"/>
        <w:contextualSpacing w:val="1"/>
        <w:rPr>
          <w:sz w:val="24"/>
        </w:rPr>
      </w:pPr>
      <w:r>
        <w:rPr>
          <w:sz w:val="24"/>
        </w:rPr>
        <w:t>Характеризует способность дочерних и зависимых обществ управлять расходами.</w:t>
      </w:r>
    </w:p>
    <w:p w14:paraId="E1060000">
      <w:pPr>
        <w:pStyle w:val="Style_23"/>
        <w:widowControl w:val="1"/>
        <w:spacing w:line="360" w:lineRule="auto"/>
        <w:ind w:firstLine="709"/>
        <w:contextualSpacing w:val="1"/>
        <w:rPr>
          <w:sz w:val="24"/>
        </w:rPr>
      </w:pPr>
      <w:r>
        <w:rPr>
          <w:sz w:val="24"/>
        </w:rPr>
        <w:t xml:space="preserve">К10 = (Прибыль (убыток) до налогообложения + Проценты к уплате + Амортизация) отч. /Прибыль (убыток)  до налогообложения + Проценты к уплате + Амортизация)баз. /Выручка отчетного периода /Выручка базового периода) = (стр. 23000ф.2 отч. +стр. 23300ф. 2 отч. + стр. 56400 раздела «Затраты на производство» ф.5 отч.)/(стр. 23000ф.2баз. + стр. 23300 ф.2баз. + стр. 56400 раздела «Затраты на производство ф. 5 баз. /(стр. 21100ф.2 отч. /стр. 21100 баз.)  </w:t>
      </w:r>
    </w:p>
    <w:p w14:paraId="E2060000">
      <w:pPr>
        <w:pStyle w:val="Style_23"/>
        <w:widowControl w:val="1"/>
        <w:spacing w:line="360" w:lineRule="auto"/>
        <w:ind w:firstLine="709"/>
        <w:contextualSpacing w:val="1"/>
        <w:rPr>
          <w:sz w:val="24"/>
        </w:rPr>
      </w:pPr>
      <w:r>
        <w:rPr>
          <w:b w:val="1"/>
          <w:sz w:val="24"/>
        </w:rPr>
        <w:t>К10 =</w:t>
      </w:r>
      <w:r>
        <w:rPr>
          <w:sz w:val="24"/>
        </w:rPr>
        <w:t xml:space="preserve"> (1 129+ 0+3 789)/(15 421+0+4 705)/[(</w:t>
      </w:r>
      <w:r>
        <w:rPr>
          <w:sz w:val="24"/>
        </w:rPr>
        <w:t>335 109+391 398</w:t>
      </w:r>
      <w:r>
        <w:rPr>
          <w:sz w:val="24"/>
        </w:rPr>
        <w:t xml:space="preserve">)/(326 638+393 321)]= </w:t>
      </w:r>
      <w:r>
        <w:rPr>
          <w:b w:val="1"/>
          <w:sz w:val="24"/>
        </w:rPr>
        <w:t>0,24</w:t>
      </w:r>
    </w:p>
    <w:p w14:paraId="E3060000">
      <w:pPr>
        <w:pStyle w:val="Style_23"/>
        <w:widowControl w:val="1"/>
        <w:spacing w:line="360" w:lineRule="auto"/>
        <w:ind w:firstLine="709"/>
        <w:contextualSpacing w:val="1"/>
        <w:rPr>
          <w:sz w:val="24"/>
        </w:rPr>
      </w:pPr>
      <w:r>
        <w:rPr>
          <w:sz w:val="24"/>
        </w:rPr>
        <w:t xml:space="preserve"> со стороны государства (получение субсидий из федерального бюджета) необходимо учитывать субсидии в совокупности с выручкой при расчете соотношения роста прибыли до вычета  расходов по процентам, уплаты налогов и амортизации (</w:t>
      </w:r>
      <w:r>
        <w:rPr>
          <w:sz w:val="24"/>
        </w:rPr>
        <w:t>EBITDA</w:t>
      </w:r>
      <w:r>
        <w:rPr>
          <w:sz w:val="24"/>
        </w:rPr>
        <w:t>) к росту выручки (К10).</w:t>
      </w:r>
    </w:p>
    <w:p w14:paraId="E4060000">
      <w:pPr>
        <w:pStyle w:val="Style_23"/>
        <w:widowControl w:val="1"/>
        <w:spacing w:line="360" w:lineRule="auto"/>
        <w:ind w:firstLine="709"/>
        <w:contextualSpacing w:val="1"/>
        <w:rPr>
          <w:sz w:val="24"/>
        </w:rPr>
      </w:pPr>
      <w:r>
        <w:rPr>
          <w:sz w:val="24"/>
        </w:rPr>
        <w:t>При значении данного показателя более 1 издержки общества сокращаются.</w:t>
      </w:r>
    </w:p>
    <w:p w14:paraId="E5060000">
      <w:pPr>
        <w:widowControl w:val="1"/>
        <w:spacing w:line="360" w:lineRule="auto"/>
        <w:ind w:firstLine="709"/>
        <w:contextualSpacing w:val="1"/>
        <w:jc w:val="both"/>
        <w:rPr>
          <w:b w:val="1"/>
        </w:rPr>
      </w:pPr>
      <w:r>
        <w:rPr>
          <w:b w:val="1"/>
        </w:rPr>
        <w:t>Критериальные  значения аналитических показателей</w:t>
      </w:r>
    </w:p>
    <w:p w14:paraId="E6060000">
      <w:pPr>
        <w:widowControl w:val="1"/>
        <w:spacing w:line="360" w:lineRule="auto"/>
        <w:ind w:firstLine="709"/>
        <w:contextualSpacing w:val="1"/>
        <w:jc w:val="both"/>
      </w:pPr>
      <w:r>
        <w:t>В зависимости от величины каждого показателя он относится к одной из 4-х групп, каждой из которых присваивается определенное количество баллов:</w:t>
      </w:r>
    </w:p>
    <w:p w14:paraId="E7060000">
      <w:pPr>
        <w:widowControl w:val="1"/>
        <w:spacing w:line="360" w:lineRule="auto"/>
        <w:ind w:firstLine="709"/>
        <w:contextualSpacing w:val="1"/>
        <w:jc w:val="both"/>
      </w:pPr>
    </w:p>
    <w:p w14:paraId="E8060000">
      <w:pPr>
        <w:widowControl w:val="1"/>
        <w:ind w:firstLine="709"/>
        <w:contextualSpacing w:val="1"/>
        <w:jc w:val="right"/>
        <w:rPr>
          <w:b w:val="1"/>
        </w:rPr>
      </w:pPr>
      <w:r>
        <w:rPr>
          <w:b w:val="1"/>
        </w:rPr>
        <w:t>Таблица 5.</w:t>
      </w:r>
      <w:r>
        <w:rPr>
          <w:b w:val="1"/>
        </w:rPr>
        <w:t>6</w:t>
      </w:r>
    </w:p>
    <w:tbl>
      <w:tblPr>
        <w:tblStyle w:val="Style_4"/>
        <w:tblW w:type="auto" w:w="0"/>
        <w:tblInd w:type="dxa" w:w="10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3931"/>
        <w:gridCol w:w="1246"/>
        <w:gridCol w:w="25"/>
        <w:gridCol w:w="1265"/>
        <w:gridCol w:w="40"/>
        <w:gridCol w:w="43"/>
        <w:gridCol w:w="59"/>
        <w:gridCol w:w="1305"/>
        <w:gridCol w:w="1539"/>
      </w:tblGrid>
      <w:tr>
        <w:trPr>
          <w:trHeight w:hRule="atLeast" w:val="760"/>
          <w:tblHeader/>
        </w:trPr>
        <w:tc>
          <w:tcPr>
            <w:tcW w:type="dxa" w:w="3931"/>
            <w:tcBorders>
              <w:top w:color="000000" w:sz="4" w:val="single"/>
              <w:left w:color="000000" w:sz="4" w:val="single"/>
              <w:bottom w:color="000000" w:sz="4" w:val="single"/>
              <w:right w:color="000000" w:sz="4" w:val="single"/>
            </w:tcBorders>
            <w:vAlign w:val="center"/>
          </w:tcPr>
          <w:p w14:paraId="E9060000">
            <w:pPr>
              <w:widowControl w:val="1"/>
              <w:ind/>
              <w:contextualSpacing w:val="1"/>
              <w:jc w:val="center"/>
            </w:pPr>
            <w:r>
              <w:t>Показатель</w:t>
            </w:r>
          </w:p>
        </w:tc>
        <w:tc>
          <w:tcPr>
            <w:tcW w:type="dxa" w:w="1246"/>
            <w:tcBorders>
              <w:top w:color="000000" w:sz="4" w:val="single"/>
              <w:left w:color="000000" w:sz="4" w:val="single"/>
              <w:bottom w:color="000000" w:sz="4" w:val="single"/>
              <w:right w:color="000000" w:sz="4" w:val="single"/>
            </w:tcBorders>
            <w:vAlign w:val="center"/>
          </w:tcPr>
          <w:p w14:paraId="EA060000">
            <w:pPr>
              <w:widowControl w:val="1"/>
              <w:ind/>
              <w:contextualSpacing w:val="1"/>
              <w:jc w:val="center"/>
            </w:pPr>
            <w:r>
              <w:t>I</w:t>
            </w:r>
            <w:r>
              <w:t xml:space="preserve"> группа</w:t>
            </w:r>
          </w:p>
          <w:p w14:paraId="EB060000">
            <w:pPr>
              <w:widowControl w:val="1"/>
              <w:ind/>
              <w:contextualSpacing w:val="1"/>
              <w:jc w:val="center"/>
            </w:pPr>
            <w:r>
              <w:t>(4 балла)</w:t>
            </w:r>
          </w:p>
        </w:tc>
        <w:tc>
          <w:tcPr>
            <w:tcW w:type="dxa" w:w="1373"/>
            <w:gridSpan w:val="4"/>
            <w:tcBorders>
              <w:top w:color="000000" w:sz="4" w:val="single"/>
              <w:left w:color="000000" w:sz="4" w:val="single"/>
              <w:bottom w:color="000000" w:sz="4" w:val="single"/>
              <w:right w:color="000000" w:sz="4" w:val="single"/>
            </w:tcBorders>
            <w:vAlign w:val="center"/>
          </w:tcPr>
          <w:p w14:paraId="EC060000">
            <w:pPr>
              <w:widowControl w:val="1"/>
              <w:ind/>
              <w:contextualSpacing w:val="1"/>
              <w:jc w:val="center"/>
            </w:pPr>
            <w:r>
              <w:t>II</w:t>
            </w:r>
            <w:r>
              <w:t xml:space="preserve"> группа</w:t>
            </w:r>
          </w:p>
          <w:p w14:paraId="ED060000">
            <w:pPr>
              <w:widowControl w:val="1"/>
              <w:ind/>
              <w:contextualSpacing w:val="1"/>
              <w:jc w:val="center"/>
            </w:pPr>
            <w:r>
              <w:t>(3 балла)</w:t>
            </w:r>
          </w:p>
        </w:tc>
        <w:tc>
          <w:tcPr>
            <w:tcW w:type="dxa" w:w="1363"/>
            <w:gridSpan w:val="2"/>
            <w:tcBorders>
              <w:top w:color="000000" w:sz="4" w:val="single"/>
              <w:left w:color="000000" w:sz="4" w:val="single"/>
              <w:bottom w:color="000000" w:sz="4" w:val="single"/>
              <w:right w:color="000000" w:sz="4" w:val="single"/>
            </w:tcBorders>
            <w:vAlign w:val="center"/>
          </w:tcPr>
          <w:p w14:paraId="EE060000">
            <w:pPr>
              <w:widowControl w:val="1"/>
              <w:ind/>
              <w:contextualSpacing w:val="1"/>
              <w:jc w:val="center"/>
            </w:pPr>
            <w:r>
              <w:t>III</w:t>
            </w:r>
            <w:r>
              <w:t xml:space="preserve"> группа</w:t>
            </w:r>
          </w:p>
          <w:p w14:paraId="EF060000">
            <w:pPr>
              <w:widowControl w:val="1"/>
              <w:ind/>
              <w:contextualSpacing w:val="1"/>
              <w:jc w:val="center"/>
            </w:pPr>
            <w:r>
              <w:t>(2 балла)</w:t>
            </w:r>
          </w:p>
        </w:tc>
        <w:tc>
          <w:tcPr>
            <w:tcW w:type="dxa" w:w="1539"/>
            <w:tcBorders>
              <w:top w:color="000000" w:sz="4" w:val="single"/>
              <w:left w:color="000000" w:sz="4" w:val="single"/>
              <w:bottom w:color="000000" w:sz="4" w:val="single"/>
              <w:right w:color="000000" w:sz="4" w:val="single"/>
            </w:tcBorders>
            <w:vAlign w:val="center"/>
          </w:tcPr>
          <w:p w14:paraId="F0060000">
            <w:pPr>
              <w:widowControl w:val="1"/>
              <w:ind/>
              <w:contextualSpacing w:val="1"/>
              <w:jc w:val="center"/>
            </w:pPr>
            <w:r>
              <w:t>IV</w:t>
            </w:r>
            <w:r>
              <w:t xml:space="preserve"> группа</w:t>
            </w:r>
          </w:p>
          <w:p w14:paraId="F1060000">
            <w:pPr>
              <w:widowControl w:val="1"/>
              <w:ind/>
              <w:contextualSpacing w:val="1"/>
              <w:jc w:val="center"/>
            </w:pPr>
            <w:r>
              <w:t>(1 балл)</w:t>
            </w:r>
          </w:p>
        </w:tc>
      </w:tr>
      <w:tr>
        <w:trPr>
          <w:trHeight w:hRule="atLeast" w:val="379"/>
        </w:trPr>
        <w:tc>
          <w:tcPr>
            <w:tcW w:type="dxa" w:w="9452"/>
            <w:gridSpan w:val="9"/>
            <w:tcBorders>
              <w:top w:color="000000" w:sz="4" w:val="single"/>
              <w:left w:color="000000" w:sz="4" w:val="single"/>
              <w:bottom w:color="000000" w:sz="4" w:val="single"/>
              <w:right w:color="000000" w:sz="4" w:val="single"/>
            </w:tcBorders>
            <w:vAlign w:val="center"/>
          </w:tcPr>
          <w:p w14:paraId="F2060000">
            <w:pPr>
              <w:widowControl w:val="1"/>
              <w:ind w:firstLine="709"/>
              <w:contextualSpacing w:val="1"/>
              <w:jc w:val="center"/>
              <w:rPr>
                <w:b w:val="1"/>
              </w:rPr>
            </w:pPr>
            <w:r>
              <w:rPr>
                <w:b w:val="1"/>
              </w:rPr>
              <w:t>КОЭФФИЦИЕНТЫ ЛИКВИДНОСТИ</w:t>
            </w:r>
          </w:p>
        </w:tc>
      </w:tr>
      <w:tr>
        <w:trPr>
          <w:trHeight w:hRule="atLeast" w:val="420"/>
        </w:trPr>
        <w:tc>
          <w:tcPr>
            <w:tcW w:type="dxa" w:w="3931"/>
            <w:tcBorders>
              <w:top w:color="000000" w:sz="4" w:val="single"/>
              <w:left w:color="000000" w:sz="4" w:val="single"/>
              <w:bottom w:color="000000" w:sz="4" w:val="single"/>
              <w:right w:color="000000" w:sz="4" w:val="single"/>
            </w:tcBorders>
          </w:tcPr>
          <w:p w14:paraId="F3060000">
            <w:pPr>
              <w:widowControl w:val="1"/>
              <w:ind w:firstLine="34"/>
              <w:contextualSpacing w:val="1"/>
            </w:pPr>
            <w:r>
              <w:t>Коэффициент абсолютной ликвидности (К1 = 1,58)</w:t>
            </w:r>
          </w:p>
        </w:tc>
        <w:tc>
          <w:tcPr>
            <w:tcW w:type="dxa" w:w="1246"/>
            <w:tcBorders>
              <w:top w:color="000000" w:sz="4" w:val="single"/>
              <w:left w:color="000000" w:sz="4" w:val="single"/>
              <w:bottom w:color="000000" w:sz="4" w:val="single"/>
              <w:right w:color="000000" w:sz="4" w:val="single"/>
            </w:tcBorders>
            <w:vAlign w:val="center"/>
          </w:tcPr>
          <w:p w14:paraId="F4060000">
            <w:pPr>
              <w:pStyle w:val="Style_24"/>
              <w:widowControl w:val="1"/>
              <w:ind w:firstLine="34"/>
              <w:contextualSpacing w:val="1"/>
              <w:jc w:val="center"/>
              <w:rPr>
                <w:rFonts w:ascii="Times New Roman" w:hAnsi="Times New Roman"/>
                <w:b w:val="1"/>
                <w:sz w:val="24"/>
                <w:u w:val="single"/>
              </w:rPr>
            </w:pPr>
            <w:r>
              <w:rPr>
                <w:rFonts w:ascii="Times New Roman" w:hAnsi="Times New Roman"/>
                <w:b w:val="1"/>
                <w:sz w:val="24"/>
                <w:u w:val="single"/>
              </w:rPr>
              <w:t>&gt; 0.15</w:t>
            </w:r>
          </w:p>
        </w:tc>
        <w:tc>
          <w:tcPr>
            <w:tcW w:type="dxa" w:w="1329"/>
            <w:gridSpan w:val="3"/>
            <w:tcBorders>
              <w:top w:color="000000" w:sz="4" w:val="single"/>
              <w:left w:color="000000" w:sz="4" w:val="single"/>
              <w:bottom w:color="000000" w:sz="4" w:val="single"/>
              <w:right w:color="000000" w:sz="4" w:val="single"/>
            </w:tcBorders>
            <w:vAlign w:val="center"/>
          </w:tcPr>
          <w:p w14:paraId="F5060000">
            <w:pPr>
              <w:widowControl w:val="1"/>
              <w:ind w:firstLine="34"/>
              <w:contextualSpacing w:val="1"/>
              <w:jc w:val="center"/>
            </w:pPr>
            <w:r>
              <w:t>0,03-0,15</w:t>
            </w:r>
          </w:p>
        </w:tc>
        <w:tc>
          <w:tcPr>
            <w:tcW w:type="dxa" w:w="1407"/>
            <w:gridSpan w:val="3"/>
            <w:tcBorders>
              <w:top w:color="000000" w:sz="4" w:val="single"/>
              <w:left w:color="000000" w:sz="4" w:val="single"/>
              <w:bottom w:color="000000" w:sz="4" w:val="single"/>
              <w:right w:color="000000" w:sz="4" w:val="single"/>
            </w:tcBorders>
            <w:vAlign w:val="center"/>
          </w:tcPr>
          <w:p w14:paraId="F6060000">
            <w:pPr>
              <w:widowControl w:val="1"/>
              <w:ind w:firstLine="34"/>
              <w:contextualSpacing w:val="1"/>
              <w:jc w:val="center"/>
            </w:pPr>
            <w:r>
              <w:t>0.01 – 0.03</w:t>
            </w:r>
          </w:p>
        </w:tc>
        <w:tc>
          <w:tcPr>
            <w:tcW w:type="dxa" w:w="1539"/>
            <w:tcBorders>
              <w:top w:color="000000" w:sz="4" w:val="single"/>
              <w:left w:color="000000" w:sz="4" w:val="single"/>
              <w:bottom w:color="000000" w:sz="4" w:val="single"/>
              <w:right w:color="000000" w:sz="4" w:val="single"/>
            </w:tcBorders>
            <w:vAlign w:val="center"/>
          </w:tcPr>
          <w:p w14:paraId="F7060000">
            <w:pPr>
              <w:widowControl w:val="1"/>
              <w:ind w:firstLine="34"/>
              <w:contextualSpacing w:val="1"/>
              <w:jc w:val="center"/>
            </w:pPr>
            <w:r>
              <w:t>&lt; 0.01</w:t>
            </w:r>
          </w:p>
        </w:tc>
      </w:tr>
      <w:tr>
        <w:trPr>
          <w:trHeight w:hRule="atLeast" w:val="465"/>
        </w:trPr>
        <w:tc>
          <w:tcPr>
            <w:tcW w:type="dxa" w:w="3931"/>
            <w:tcBorders>
              <w:top w:color="000000" w:sz="4" w:val="single"/>
              <w:left w:color="000000" w:sz="4" w:val="single"/>
              <w:bottom w:color="000000" w:sz="4" w:val="single"/>
              <w:right w:color="000000" w:sz="4" w:val="single"/>
            </w:tcBorders>
          </w:tcPr>
          <w:p w14:paraId="F8060000">
            <w:pPr>
              <w:widowControl w:val="1"/>
              <w:ind w:firstLine="34"/>
              <w:contextualSpacing w:val="1"/>
            </w:pPr>
            <w:r>
              <w:t>Коэффициент срочной ликвидности (К2 = 2,38)</w:t>
            </w:r>
          </w:p>
        </w:tc>
        <w:tc>
          <w:tcPr>
            <w:tcW w:type="dxa" w:w="1246"/>
            <w:tcBorders>
              <w:top w:color="000000" w:sz="4" w:val="single"/>
              <w:left w:color="000000" w:sz="4" w:val="single"/>
              <w:bottom w:color="000000" w:sz="4" w:val="single"/>
              <w:right w:color="000000" w:sz="4" w:val="single"/>
            </w:tcBorders>
            <w:vAlign w:val="center"/>
          </w:tcPr>
          <w:p w14:paraId="F9060000">
            <w:pPr>
              <w:widowControl w:val="1"/>
              <w:ind w:firstLine="34"/>
              <w:contextualSpacing w:val="1"/>
              <w:jc w:val="center"/>
              <w:rPr>
                <w:b w:val="1"/>
                <w:u w:val="single"/>
              </w:rPr>
            </w:pPr>
            <w:r>
              <w:rPr>
                <w:b w:val="1"/>
                <w:u w:val="single"/>
              </w:rPr>
              <w:t>&gt; 0.95</w:t>
            </w:r>
          </w:p>
        </w:tc>
        <w:tc>
          <w:tcPr>
            <w:tcW w:type="dxa" w:w="1329"/>
            <w:gridSpan w:val="3"/>
            <w:tcBorders>
              <w:top w:color="000000" w:sz="4" w:val="single"/>
              <w:left w:color="000000" w:sz="4" w:val="single"/>
              <w:bottom w:color="000000" w:sz="4" w:val="single"/>
              <w:right w:color="000000" w:sz="4" w:val="single"/>
            </w:tcBorders>
            <w:vAlign w:val="center"/>
          </w:tcPr>
          <w:p w14:paraId="FA060000">
            <w:pPr>
              <w:widowControl w:val="1"/>
              <w:ind w:firstLine="34"/>
              <w:contextualSpacing w:val="1"/>
              <w:jc w:val="center"/>
            </w:pPr>
            <w:r>
              <w:t>0.75 – 0.95</w:t>
            </w:r>
          </w:p>
        </w:tc>
        <w:tc>
          <w:tcPr>
            <w:tcW w:type="dxa" w:w="1407"/>
            <w:gridSpan w:val="3"/>
            <w:tcBorders>
              <w:top w:color="000000" w:sz="4" w:val="single"/>
              <w:left w:color="000000" w:sz="4" w:val="single"/>
              <w:bottom w:color="000000" w:sz="4" w:val="single"/>
              <w:right w:color="000000" w:sz="4" w:val="single"/>
            </w:tcBorders>
            <w:vAlign w:val="center"/>
          </w:tcPr>
          <w:p w14:paraId="FB060000">
            <w:pPr>
              <w:widowControl w:val="1"/>
              <w:ind w:firstLine="34"/>
              <w:contextualSpacing w:val="1"/>
              <w:jc w:val="center"/>
            </w:pPr>
            <w:r>
              <w:t>0,50-0,75</w:t>
            </w:r>
          </w:p>
        </w:tc>
        <w:tc>
          <w:tcPr>
            <w:tcW w:type="dxa" w:w="1539"/>
            <w:tcBorders>
              <w:top w:color="000000" w:sz="4" w:val="single"/>
              <w:left w:color="000000" w:sz="4" w:val="single"/>
              <w:bottom w:color="000000" w:sz="4" w:val="single"/>
              <w:right w:color="000000" w:sz="4" w:val="single"/>
            </w:tcBorders>
            <w:vAlign w:val="center"/>
          </w:tcPr>
          <w:p w14:paraId="FC060000">
            <w:pPr>
              <w:widowControl w:val="1"/>
              <w:ind w:firstLine="34"/>
              <w:contextualSpacing w:val="1"/>
              <w:jc w:val="center"/>
            </w:pPr>
            <w:r>
              <w:t>&lt; 0.50</w:t>
            </w:r>
          </w:p>
        </w:tc>
      </w:tr>
      <w:tr>
        <w:trPr>
          <w:trHeight w:hRule="atLeast" w:val="465"/>
        </w:trPr>
        <w:tc>
          <w:tcPr>
            <w:tcW w:type="dxa" w:w="3931"/>
            <w:tcBorders>
              <w:top w:color="000000" w:sz="4" w:val="single"/>
              <w:left w:color="000000" w:sz="4" w:val="single"/>
              <w:bottom w:color="000000" w:sz="4" w:val="single"/>
              <w:right w:color="000000" w:sz="4" w:val="single"/>
            </w:tcBorders>
          </w:tcPr>
          <w:p w14:paraId="FD060000">
            <w:pPr>
              <w:widowControl w:val="1"/>
              <w:ind w:firstLine="34"/>
              <w:contextualSpacing w:val="1"/>
            </w:pPr>
            <w:r>
              <w:t>Коэффициент текущей ликвидности (К3 = 2,49)</w:t>
            </w:r>
          </w:p>
        </w:tc>
        <w:tc>
          <w:tcPr>
            <w:tcW w:type="dxa" w:w="1246"/>
            <w:tcBorders>
              <w:top w:color="000000" w:sz="4" w:val="single"/>
              <w:left w:color="000000" w:sz="4" w:val="single"/>
              <w:bottom w:color="000000" w:sz="4" w:val="single"/>
              <w:right w:color="000000" w:sz="4" w:val="single"/>
            </w:tcBorders>
            <w:vAlign w:val="center"/>
          </w:tcPr>
          <w:p w14:paraId="FE060000">
            <w:pPr>
              <w:widowControl w:val="1"/>
              <w:ind w:firstLine="34"/>
              <w:contextualSpacing w:val="1"/>
              <w:jc w:val="center"/>
              <w:rPr>
                <w:b w:val="1"/>
                <w:u w:val="single"/>
              </w:rPr>
            </w:pPr>
            <w:r>
              <w:rPr>
                <w:b w:val="1"/>
                <w:u w:val="single"/>
              </w:rPr>
              <w:t>&gt; 2.00</w:t>
            </w:r>
          </w:p>
        </w:tc>
        <w:tc>
          <w:tcPr>
            <w:tcW w:type="dxa" w:w="1329"/>
            <w:gridSpan w:val="3"/>
            <w:tcBorders>
              <w:top w:color="000000" w:sz="4" w:val="single"/>
              <w:left w:color="000000" w:sz="4" w:val="single"/>
              <w:bottom w:color="000000" w:sz="4" w:val="single"/>
              <w:right w:color="000000" w:sz="4" w:val="single"/>
            </w:tcBorders>
            <w:vAlign w:val="center"/>
          </w:tcPr>
          <w:p w14:paraId="FF060000">
            <w:pPr>
              <w:widowControl w:val="1"/>
              <w:ind w:firstLine="34"/>
              <w:contextualSpacing w:val="1"/>
              <w:jc w:val="center"/>
            </w:pPr>
            <w:r>
              <w:t>1.20 – 2.00</w:t>
            </w:r>
          </w:p>
        </w:tc>
        <w:tc>
          <w:tcPr>
            <w:tcW w:type="dxa" w:w="1407"/>
            <w:gridSpan w:val="3"/>
            <w:tcBorders>
              <w:top w:color="000000" w:sz="4" w:val="single"/>
              <w:left w:color="000000" w:sz="4" w:val="single"/>
              <w:bottom w:color="000000" w:sz="4" w:val="single"/>
              <w:right w:color="000000" w:sz="4" w:val="single"/>
            </w:tcBorders>
            <w:vAlign w:val="center"/>
          </w:tcPr>
          <w:p w14:paraId="00070000">
            <w:pPr>
              <w:widowControl w:val="1"/>
              <w:ind w:firstLine="34"/>
              <w:contextualSpacing w:val="1"/>
              <w:jc w:val="center"/>
            </w:pPr>
            <w:r>
              <w:t>1.00 –</w:t>
            </w:r>
            <w:r>
              <w:t xml:space="preserve"> 1.20</w:t>
            </w:r>
          </w:p>
        </w:tc>
        <w:tc>
          <w:tcPr>
            <w:tcW w:type="dxa" w:w="1539"/>
            <w:tcBorders>
              <w:top w:color="000000" w:sz="4" w:val="single"/>
              <w:left w:color="000000" w:sz="4" w:val="single"/>
              <w:bottom w:color="000000" w:sz="4" w:val="single"/>
              <w:right w:color="000000" w:sz="4" w:val="single"/>
            </w:tcBorders>
            <w:vAlign w:val="center"/>
          </w:tcPr>
          <w:p w14:paraId="01070000">
            <w:pPr>
              <w:widowControl w:val="1"/>
              <w:ind w:firstLine="34"/>
              <w:contextualSpacing w:val="1"/>
              <w:jc w:val="center"/>
            </w:pPr>
            <w:r>
              <w:t>&lt; 1.00</w:t>
            </w:r>
          </w:p>
        </w:tc>
      </w:tr>
      <w:tr>
        <w:trPr>
          <w:trHeight w:hRule="atLeast" w:val="466"/>
        </w:trPr>
        <w:tc>
          <w:tcPr>
            <w:tcW w:type="dxa" w:w="9452"/>
            <w:gridSpan w:val="9"/>
            <w:tcBorders>
              <w:top w:color="000000" w:sz="4" w:val="single"/>
              <w:left w:color="000000" w:sz="4" w:val="single"/>
              <w:bottom w:color="000000" w:sz="4" w:val="single"/>
              <w:right w:color="000000" w:sz="4" w:val="single"/>
            </w:tcBorders>
            <w:vAlign w:val="center"/>
          </w:tcPr>
          <w:p w14:paraId="02070000">
            <w:pPr>
              <w:widowControl w:val="1"/>
              <w:ind w:firstLine="34"/>
              <w:contextualSpacing w:val="1"/>
              <w:jc w:val="center"/>
              <w:rPr>
                <w:b w:val="1"/>
              </w:rPr>
            </w:pPr>
            <w:r>
              <w:rPr>
                <w:b w:val="1"/>
              </w:rPr>
              <w:t>КОЭФФИЦИЕНТЫ ФИНАНСОВОЙ УСТОЙЧИВОСТИ</w:t>
            </w:r>
          </w:p>
        </w:tc>
      </w:tr>
      <w:tr>
        <w:trPr>
          <w:trHeight w:hRule="atLeast" w:val="465"/>
        </w:trPr>
        <w:tc>
          <w:tcPr>
            <w:tcW w:type="dxa" w:w="3931"/>
            <w:tcBorders>
              <w:top w:color="000000" w:sz="4" w:val="single"/>
              <w:left w:color="000000" w:sz="4" w:val="single"/>
              <w:bottom w:color="000000" w:sz="4" w:val="single"/>
              <w:right w:color="000000" w:sz="4" w:val="single"/>
            </w:tcBorders>
          </w:tcPr>
          <w:p w14:paraId="03070000">
            <w:pPr>
              <w:widowControl w:val="1"/>
              <w:ind w:firstLine="34"/>
              <w:contextualSpacing w:val="1"/>
            </w:pPr>
            <w:r>
              <w:t>Коэффициент финансовой независимости (К4 = -1,03)</w:t>
            </w:r>
          </w:p>
        </w:tc>
        <w:tc>
          <w:tcPr>
            <w:tcW w:type="dxa" w:w="1246"/>
            <w:tcBorders>
              <w:top w:color="000000" w:sz="4" w:val="single"/>
              <w:left w:color="000000" w:sz="4" w:val="single"/>
              <w:bottom w:color="000000" w:sz="4" w:val="single"/>
              <w:right w:color="000000" w:sz="4" w:val="single"/>
            </w:tcBorders>
            <w:vAlign w:val="center"/>
          </w:tcPr>
          <w:p w14:paraId="04070000">
            <w:pPr>
              <w:widowControl w:val="1"/>
              <w:ind w:firstLine="34"/>
              <w:contextualSpacing w:val="1"/>
              <w:jc w:val="center"/>
            </w:pPr>
            <w:r>
              <w:t>0,7- 0.80</w:t>
            </w:r>
          </w:p>
        </w:tc>
        <w:tc>
          <w:tcPr>
            <w:tcW w:type="dxa" w:w="1290"/>
            <w:gridSpan w:val="2"/>
            <w:tcBorders>
              <w:top w:color="000000" w:sz="4" w:val="single"/>
              <w:left w:color="000000" w:sz="4" w:val="single"/>
              <w:bottom w:color="000000" w:sz="4" w:val="single"/>
              <w:right w:color="000000" w:sz="4" w:val="single"/>
            </w:tcBorders>
            <w:vAlign w:val="center"/>
          </w:tcPr>
          <w:p w14:paraId="05070000">
            <w:pPr>
              <w:widowControl w:val="1"/>
              <w:ind w:firstLine="34"/>
              <w:contextualSpacing w:val="1"/>
              <w:jc w:val="center"/>
            </w:pPr>
            <w:r>
              <w:t>0,6-0,7</w:t>
            </w:r>
          </w:p>
        </w:tc>
        <w:tc>
          <w:tcPr>
            <w:tcW w:type="dxa" w:w="1446"/>
            <w:gridSpan w:val="4"/>
            <w:tcBorders>
              <w:top w:color="000000" w:sz="4" w:val="single"/>
              <w:left w:color="000000" w:sz="4" w:val="single"/>
              <w:bottom w:color="000000" w:sz="4" w:val="single"/>
              <w:right w:color="000000" w:sz="4" w:val="single"/>
            </w:tcBorders>
            <w:vAlign w:val="center"/>
          </w:tcPr>
          <w:p w14:paraId="06070000">
            <w:pPr>
              <w:widowControl w:val="1"/>
              <w:ind w:firstLine="34"/>
              <w:contextualSpacing w:val="1"/>
              <w:jc w:val="center"/>
            </w:pPr>
            <w:r>
              <w:t>0.50 – 0.65</w:t>
            </w:r>
          </w:p>
        </w:tc>
        <w:tc>
          <w:tcPr>
            <w:tcW w:type="dxa" w:w="1539"/>
            <w:tcBorders>
              <w:top w:color="000000" w:sz="4" w:val="single"/>
              <w:left w:color="000000" w:sz="4" w:val="single"/>
              <w:bottom w:color="000000" w:sz="4" w:val="single"/>
              <w:right w:color="000000" w:sz="4" w:val="single"/>
            </w:tcBorders>
            <w:vAlign w:val="center"/>
          </w:tcPr>
          <w:p w14:paraId="07070000">
            <w:pPr>
              <w:widowControl w:val="1"/>
              <w:ind w:firstLine="34"/>
              <w:contextualSpacing w:val="1"/>
              <w:jc w:val="center"/>
              <w:rPr>
                <w:b w:val="1"/>
                <w:u w:val="single"/>
              </w:rPr>
            </w:pPr>
            <w:r>
              <w:rPr>
                <w:b w:val="1"/>
                <w:u w:val="single"/>
              </w:rPr>
              <w:t>&lt; 0,5</w:t>
            </w:r>
            <w:r>
              <w:rPr>
                <w:b w:val="1"/>
                <w:u w:val="single"/>
              </w:rPr>
              <w:t>0</w:t>
            </w:r>
          </w:p>
          <w:p w14:paraId="08070000">
            <w:pPr>
              <w:widowControl w:val="1"/>
              <w:ind w:firstLine="34"/>
              <w:contextualSpacing w:val="1"/>
              <w:jc w:val="center"/>
              <w:rPr>
                <w:b w:val="1"/>
              </w:rPr>
            </w:pPr>
            <w:r>
              <w:rPr>
                <w:b w:val="1"/>
                <w:u w:val="single"/>
              </w:rPr>
              <w:t>&gt;0.80</w:t>
            </w:r>
          </w:p>
        </w:tc>
      </w:tr>
      <w:tr>
        <w:trPr>
          <w:trHeight w:hRule="atLeast" w:val="381"/>
        </w:trPr>
        <w:tc>
          <w:tcPr>
            <w:tcW w:type="dxa" w:w="9452"/>
            <w:gridSpan w:val="9"/>
            <w:tcBorders>
              <w:top w:color="000000" w:sz="4" w:val="single"/>
              <w:left w:color="000000" w:sz="4" w:val="single"/>
              <w:bottom w:color="000000" w:sz="4" w:val="single"/>
              <w:right w:color="000000" w:sz="4" w:val="single"/>
            </w:tcBorders>
            <w:vAlign w:val="center"/>
          </w:tcPr>
          <w:p w14:paraId="09070000">
            <w:pPr>
              <w:widowControl w:val="1"/>
              <w:ind w:firstLine="34"/>
              <w:contextualSpacing w:val="1"/>
              <w:jc w:val="center"/>
              <w:rPr>
                <w:b w:val="1"/>
              </w:rPr>
            </w:pPr>
            <w:r>
              <w:rPr>
                <w:b w:val="1"/>
              </w:rPr>
              <w:t>КОЭФФИЦИЕНТЫ РЕНТАБЕЛЬНОСТИ</w:t>
            </w:r>
          </w:p>
        </w:tc>
      </w:tr>
      <w:tr>
        <w:trPr>
          <w:trHeight w:hRule="atLeast" w:val="465"/>
        </w:trPr>
        <w:tc>
          <w:tcPr>
            <w:tcW w:type="dxa" w:w="3931"/>
            <w:tcBorders>
              <w:top w:color="000000" w:sz="4" w:val="single"/>
              <w:left w:color="000000" w:sz="4" w:val="single"/>
              <w:bottom w:color="000000" w:sz="4" w:val="single"/>
              <w:right w:color="000000" w:sz="4" w:val="single"/>
            </w:tcBorders>
          </w:tcPr>
          <w:p w14:paraId="0A070000">
            <w:pPr>
              <w:widowControl w:val="1"/>
              <w:ind w:firstLine="34"/>
              <w:contextualSpacing w:val="1"/>
            </w:pPr>
            <w:r>
              <w:t xml:space="preserve">Рентабельность продаж </w:t>
            </w:r>
          </w:p>
          <w:p w14:paraId="0B070000">
            <w:pPr>
              <w:widowControl w:val="1"/>
              <w:ind w:firstLine="34"/>
              <w:contextualSpacing w:val="1"/>
            </w:pPr>
            <w:r>
              <w:t>(К5 = 0,69)</w:t>
            </w:r>
          </w:p>
        </w:tc>
        <w:tc>
          <w:tcPr>
            <w:tcW w:type="dxa" w:w="1246"/>
            <w:tcBorders>
              <w:top w:color="000000" w:sz="4" w:val="single"/>
              <w:left w:color="000000" w:sz="4" w:val="single"/>
              <w:bottom w:color="000000" w:sz="4" w:val="single"/>
              <w:right w:color="000000" w:sz="4" w:val="single"/>
            </w:tcBorders>
            <w:vAlign w:val="center"/>
          </w:tcPr>
          <w:p w14:paraId="0C070000">
            <w:pPr>
              <w:widowControl w:val="1"/>
              <w:ind w:firstLine="34"/>
              <w:contextualSpacing w:val="1"/>
              <w:jc w:val="center"/>
            </w:pPr>
            <w:r>
              <w:t>&gt; 15%</w:t>
            </w:r>
          </w:p>
        </w:tc>
        <w:tc>
          <w:tcPr>
            <w:tcW w:type="dxa" w:w="1373"/>
            <w:gridSpan w:val="4"/>
            <w:tcBorders>
              <w:top w:color="000000" w:sz="4" w:val="single"/>
              <w:left w:color="000000" w:sz="4" w:val="single"/>
              <w:bottom w:color="000000" w:sz="4" w:val="single"/>
              <w:right w:color="000000" w:sz="4" w:val="single"/>
            </w:tcBorders>
            <w:vAlign w:val="center"/>
          </w:tcPr>
          <w:p w14:paraId="0D070000">
            <w:pPr>
              <w:widowControl w:val="1"/>
              <w:ind w:firstLine="34"/>
              <w:contextualSpacing w:val="1"/>
              <w:jc w:val="center"/>
              <w:rPr>
                <w:b w:val="1"/>
              </w:rPr>
            </w:pPr>
            <w:r>
              <w:t>5% - 15</w:t>
            </w:r>
            <w:r>
              <w:rPr>
                <w:b w:val="1"/>
              </w:rPr>
              <w:t>%</w:t>
            </w:r>
          </w:p>
        </w:tc>
        <w:tc>
          <w:tcPr>
            <w:tcW w:type="dxa" w:w="1363"/>
            <w:gridSpan w:val="2"/>
            <w:tcBorders>
              <w:top w:color="000000" w:sz="4" w:val="single"/>
              <w:left w:color="000000" w:sz="4" w:val="single"/>
              <w:bottom w:color="000000" w:sz="4" w:val="single"/>
              <w:right w:color="000000" w:sz="4" w:val="single"/>
            </w:tcBorders>
            <w:vAlign w:val="center"/>
          </w:tcPr>
          <w:p w14:paraId="0E070000">
            <w:pPr>
              <w:widowControl w:val="1"/>
              <w:ind w:firstLine="34"/>
              <w:contextualSpacing w:val="1"/>
              <w:jc w:val="center"/>
              <w:rPr>
                <w:b w:val="1"/>
                <w:u w:val="single"/>
              </w:rPr>
            </w:pPr>
            <w:r>
              <w:rPr>
                <w:b w:val="1"/>
                <w:u w:val="single"/>
              </w:rPr>
              <w:t>0% - 5%</w:t>
            </w:r>
          </w:p>
        </w:tc>
        <w:tc>
          <w:tcPr>
            <w:tcW w:type="dxa" w:w="1539"/>
            <w:tcBorders>
              <w:top w:color="000000" w:sz="4" w:val="single"/>
              <w:left w:color="000000" w:sz="4" w:val="single"/>
              <w:bottom w:color="000000" w:sz="4" w:val="single"/>
              <w:right w:color="000000" w:sz="4" w:val="single"/>
            </w:tcBorders>
            <w:vAlign w:val="center"/>
          </w:tcPr>
          <w:p w14:paraId="0F070000">
            <w:pPr>
              <w:widowControl w:val="1"/>
              <w:ind w:firstLine="34"/>
              <w:contextualSpacing w:val="1"/>
              <w:jc w:val="center"/>
              <w:rPr>
                <w:u w:val="single"/>
              </w:rPr>
            </w:pPr>
            <w:r>
              <w:rPr>
                <w:u w:val="single"/>
              </w:rPr>
              <w:t>&lt; 0%</w:t>
            </w:r>
          </w:p>
        </w:tc>
      </w:tr>
      <w:tr>
        <w:trPr>
          <w:trHeight w:hRule="atLeast" w:val="465"/>
        </w:trPr>
        <w:tc>
          <w:tcPr>
            <w:tcW w:type="dxa" w:w="3931"/>
            <w:tcBorders>
              <w:top w:color="000000" w:sz="4" w:val="single"/>
              <w:left w:color="000000" w:sz="4" w:val="single"/>
              <w:bottom w:color="000000" w:sz="4" w:val="single"/>
              <w:right w:color="000000" w:sz="4" w:val="single"/>
            </w:tcBorders>
          </w:tcPr>
          <w:p w14:paraId="10070000">
            <w:pPr>
              <w:widowControl w:val="1"/>
              <w:ind w:firstLine="34"/>
              <w:contextualSpacing w:val="1"/>
            </w:pPr>
            <w:r>
              <w:t>Рентабельность собственного капитала (К6 =-0,21)</w:t>
            </w:r>
          </w:p>
        </w:tc>
        <w:tc>
          <w:tcPr>
            <w:tcW w:type="dxa" w:w="1246"/>
            <w:tcBorders>
              <w:top w:color="000000" w:sz="4" w:val="single"/>
              <w:left w:color="000000" w:sz="4" w:val="single"/>
              <w:bottom w:color="000000" w:sz="4" w:val="single"/>
              <w:right w:color="000000" w:sz="4" w:val="single"/>
            </w:tcBorders>
            <w:vAlign w:val="center"/>
          </w:tcPr>
          <w:p w14:paraId="11070000">
            <w:pPr>
              <w:widowControl w:val="1"/>
              <w:ind w:firstLine="34"/>
              <w:contextualSpacing w:val="1"/>
              <w:jc w:val="center"/>
              <w:rPr>
                <w:u w:val="single"/>
              </w:rPr>
            </w:pPr>
            <w:r>
              <w:rPr>
                <w:u w:val="single"/>
              </w:rPr>
              <w:t>&gt; 5%</w:t>
            </w:r>
          </w:p>
        </w:tc>
        <w:tc>
          <w:tcPr>
            <w:tcW w:type="dxa" w:w="1373"/>
            <w:gridSpan w:val="4"/>
            <w:tcBorders>
              <w:top w:color="000000" w:sz="4" w:val="single"/>
              <w:left w:color="000000" w:sz="4" w:val="single"/>
              <w:bottom w:color="000000" w:sz="4" w:val="single"/>
              <w:right w:color="000000" w:sz="4" w:val="single"/>
            </w:tcBorders>
            <w:vAlign w:val="center"/>
          </w:tcPr>
          <w:p w14:paraId="12070000">
            <w:pPr>
              <w:widowControl w:val="1"/>
              <w:ind w:firstLine="34"/>
              <w:contextualSpacing w:val="1"/>
              <w:jc w:val="center"/>
            </w:pPr>
            <w:r>
              <w:t>2% - 5%</w:t>
            </w:r>
          </w:p>
        </w:tc>
        <w:tc>
          <w:tcPr>
            <w:tcW w:type="dxa" w:w="1363"/>
            <w:gridSpan w:val="2"/>
            <w:tcBorders>
              <w:top w:color="000000" w:sz="4" w:val="single"/>
              <w:left w:color="000000" w:sz="4" w:val="single"/>
              <w:bottom w:color="000000" w:sz="4" w:val="single"/>
              <w:right w:color="000000" w:sz="4" w:val="single"/>
            </w:tcBorders>
            <w:vAlign w:val="center"/>
          </w:tcPr>
          <w:p w14:paraId="13070000">
            <w:pPr>
              <w:widowControl w:val="1"/>
              <w:ind w:firstLine="34"/>
              <w:contextualSpacing w:val="1"/>
              <w:jc w:val="center"/>
            </w:pPr>
            <w:r>
              <w:t>0% - 2%</w:t>
            </w:r>
          </w:p>
        </w:tc>
        <w:tc>
          <w:tcPr>
            <w:tcW w:type="dxa" w:w="1539"/>
            <w:tcBorders>
              <w:top w:color="000000" w:sz="4" w:val="single"/>
              <w:left w:color="000000" w:sz="4" w:val="single"/>
              <w:bottom w:color="000000" w:sz="4" w:val="single"/>
              <w:right w:color="000000" w:sz="4" w:val="single"/>
            </w:tcBorders>
            <w:vAlign w:val="center"/>
          </w:tcPr>
          <w:p w14:paraId="14070000">
            <w:pPr>
              <w:widowControl w:val="1"/>
              <w:ind w:firstLine="34"/>
              <w:contextualSpacing w:val="1"/>
              <w:jc w:val="center"/>
              <w:rPr>
                <w:b w:val="1"/>
                <w:u w:val="single"/>
              </w:rPr>
            </w:pPr>
            <w:r>
              <w:rPr>
                <w:b w:val="1"/>
                <w:u w:val="single"/>
              </w:rPr>
              <w:t>&lt; 0%</w:t>
            </w:r>
          </w:p>
        </w:tc>
      </w:tr>
      <w:tr>
        <w:trPr>
          <w:trHeight w:hRule="atLeast" w:val="465"/>
        </w:trPr>
        <w:tc>
          <w:tcPr>
            <w:tcW w:type="dxa" w:w="3931"/>
            <w:tcBorders>
              <w:top w:color="000000" w:sz="4" w:val="single"/>
              <w:left w:color="000000" w:sz="4" w:val="single"/>
              <w:bottom w:color="000000" w:sz="4" w:val="single"/>
              <w:right w:color="000000" w:sz="4" w:val="single"/>
            </w:tcBorders>
          </w:tcPr>
          <w:p w14:paraId="15070000">
            <w:pPr>
              <w:widowControl w:val="1"/>
              <w:ind w:firstLine="34"/>
              <w:contextualSpacing w:val="1"/>
            </w:pPr>
            <w:r>
              <w:t xml:space="preserve">Рентабельность активов </w:t>
            </w:r>
          </w:p>
          <w:p w14:paraId="16070000">
            <w:pPr>
              <w:widowControl w:val="1"/>
              <w:ind w:firstLine="34"/>
              <w:contextualSpacing w:val="1"/>
            </w:pPr>
            <w:r>
              <w:t>(К7=3,29)</w:t>
            </w:r>
          </w:p>
        </w:tc>
        <w:tc>
          <w:tcPr>
            <w:tcW w:type="dxa" w:w="1246"/>
            <w:tcBorders>
              <w:top w:color="000000" w:sz="4" w:val="single"/>
              <w:left w:color="000000" w:sz="4" w:val="single"/>
              <w:bottom w:color="000000" w:sz="4" w:val="single"/>
              <w:right w:color="000000" w:sz="4" w:val="single"/>
            </w:tcBorders>
            <w:vAlign w:val="center"/>
          </w:tcPr>
          <w:p w14:paraId="17070000">
            <w:pPr>
              <w:pStyle w:val="Style_24"/>
              <w:widowControl w:val="1"/>
              <w:ind w:firstLine="34"/>
              <w:contextualSpacing w:val="1"/>
              <w:jc w:val="center"/>
              <w:rPr>
                <w:rFonts w:ascii="Times New Roman" w:hAnsi="Times New Roman"/>
                <w:b w:val="1"/>
                <w:sz w:val="24"/>
              </w:rPr>
            </w:pPr>
            <w:r>
              <w:rPr>
                <w:rFonts w:ascii="Times New Roman" w:hAnsi="Times New Roman"/>
                <w:b w:val="1"/>
                <w:sz w:val="24"/>
              </w:rPr>
              <w:t xml:space="preserve">&gt; </w:t>
            </w:r>
            <w:r>
              <w:rPr>
                <w:rFonts w:ascii="Times New Roman" w:hAnsi="Times New Roman"/>
                <w:sz w:val="24"/>
              </w:rPr>
              <w:t>10</w:t>
            </w:r>
            <w:r>
              <w:rPr>
                <w:rFonts w:ascii="Times New Roman" w:hAnsi="Times New Roman"/>
                <w:b w:val="1"/>
                <w:sz w:val="24"/>
              </w:rPr>
              <w:t>%</w:t>
            </w:r>
          </w:p>
        </w:tc>
        <w:tc>
          <w:tcPr>
            <w:tcW w:type="dxa" w:w="1373"/>
            <w:gridSpan w:val="4"/>
            <w:tcBorders>
              <w:top w:color="000000" w:sz="4" w:val="single"/>
              <w:left w:color="000000" w:sz="4" w:val="single"/>
              <w:bottom w:color="000000" w:sz="4" w:val="single"/>
              <w:right w:color="000000" w:sz="4" w:val="single"/>
            </w:tcBorders>
            <w:vAlign w:val="center"/>
          </w:tcPr>
          <w:p w14:paraId="18070000">
            <w:pPr>
              <w:widowControl w:val="1"/>
              <w:ind w:firstLine="34"/>
              <w:contextualSpacing w:val="1"/>
              <w:jc w:val="center"/>
            </w:pPr>
            <w:r>
              <w:t>5% - 10%</w:t>
            </w:r>
          </w:p>
        </w:tc>
        <w:tc>
          <w:tcPr>
            <w:tcW w:type="dxa" w:w="1363"/>
            <w:gridSpan w:val="2"/>
            <w:tcBorders>
              <w:top w:color="000000" w:sz="4" w:val="single"/>
              <w:left w:color="000000" w:sz="4" w:val="single"/>
              <w:bottom w:color="000000" w:sz="4" w:val="single"/>
              <w:right w:color="000000" w:sz="4" w:val="single"/>
            </w:tcBorders>
            <w:vAlign w:val="center"/>
          </w:tcPr>
          <w:p w14:paraId="19070000">
            <w:pPr>
              <w:widowControl w:val="1"/>
              <w:ind w:firstLine="34"/>
              <w:contextualSpacing w:val="1"/>
              <w:jc w:val="center"/>
              <w:rPr>
                <w:b w:val="1"/>
                <w:u w:val="single"/>
              </w:rPr>
            </w:pPr>
            <w:r>
              <w:rPr>
                <w:b w:val="1"/>
                <w:u w:val="single"/>
              </w:rPr>
              <w:t>0% - 5%</w:t>
            </w:r>
          </w:p>
        </w:tc>
        <w:tc>
          <w:tcPr>
            <w:tcW w:type="dxa" w:w="1539"/>
            <w:tcBorders>
              <w:top w:color="000000" w:sz="4" w:val="single"/>
              <w:left w:color="000000" w:sz="4" w:val="single"/>
              <w:bottom w:color="000000" w:sz="4" w:val="single"/>
              <w:right w:color="000000" w:sz="4" w:val="single"/>
            </w:tcBorders>
            <w:vAlign w:val="center"/>
          </w:tcPr>
          <w:p w14:paraId="1A070000">
            <w:pPr>
              <w:widowControl w:val="1"/>
              <w:ind w:firstLine="34"/>
              <w:contextualSpacing w:val="1"/>
              <w:jc w:val="center"/>
              <w:rPr>
                <w:u w:val="single"/>
              </w:rPr>
            </w:pPr>
            <w:r>
              <w:rPr>
                <w:u w:val="single"/>
              </w:rPr>
              <w:t>&lt; 0%</w:t>
            </w:r>
          </w:p>
        </w:tc>
      </w:tr>
      <w:tr>
        <w:trPr>
          <w:trHeight w:hRule="atLeast" w:val="424"/>
        </w:trPr>
        <w:tc>
          <w:tcPr>
            <w:tcW w:type="dxa" w:w="9452"/>
            <w:gridSpan w:val="9"/>
            <w:tcBorders>
              <w:top w:color="000000" w:sz="4" w:val="single"/>
              <w:left w:color="000000" w:sz="4" w:val="single"/>
              <w:bottom w:color="000000" w:sz="4" w:val="single"/>
              <w:right w:color="000000" w:sz="4" w:val="single"/>
            </w:tcBorders>
            <w:vAlign w:val="center"/>
          </w:tcPr>
          <w:p w14:paraId="1B070000">
            <w:pPr>
              <w:widowControl w:val="1"/>
              <w:ind w:firstLine="34"/>
              <w:contextualSpacing w:val="1"/>
              <w:jc w:val="center"/>
              <w:rPr>
                <w:b w:val="1"/>
              </w:rPr>
            </w:pPr>
            <w:r>
              <w:rPr>
                <w:b w:val="1"/>
              </w:rPr>
              <w:t>КОЭФФИЦИЕНТЫ ДЕЛОВОЙ АКТИВНОСТИ</w:t>
            </w:r>
          </w:p>
        </w:tc>
      </w:tr>
      <w:tr>
        <w:trPr>
          <w:trHeight w:hRule="atLeast" w:val="931"/>
        </w:trPr>
        <w:tc>
          <w:tcPr>
            <w:tcW w:type="dxa" w:w="3931"/>
            <w:tcBorders>
              <w:top w:color="000000" w:sz="4" w:val="single"/>
              <w:left w:color="000000" w:sz="4" w:val="single"/>
              <w:bottom w:color="000000" w:sz="4" w:val="single"/>
              <w:right w:color="000000" w:sz="4" w:val="single"/>
            </w:tcBorders>
          </w:tcPr>
          <w:p w14:paraId="1C070000">
            <w:pPr>
              <w:widowControl w:val="1"/>
              <w:ind w:firstLine="34"/>
              <w:contextualSpacing w:val="1"/>
            </w:pPr>
            <w:r>
              <w:t>Соотношение дебиторской и кредиторской задолженности (К8 = 0,97)</w:t>
            </w:r>
          </w:p>
        </w:tc>
        <w:tc>
          <w:tcPr>
            <w:tcW w:type="dxa" w:w="1271"/>
            <w:gridSpan w:val="2"/>
            <w:tcBorders>
              <w:top w:color="000000" w:sz="4" w:val="single"/>
              <w:left w:color="000000" w:sz="4" w:val="single"/>
              <w:bottom w:color="000000" w:sz="4" w:val="single"/>
              <w:right w:color="000000" w:sz="4" w:val="single"/>
            </w:tcBorders>
            <w:vAlign w:val="center"/>
          </w:tcPr>
          <w:p w14:paraId="1D070000">
            <w:pPr>
              <w:widowControl w:val="1"/>
              <w:ind w:firstLine="34"/>
              <w:contextualSpacing w:val="1"/>
              <w:jc w:val="center"/>
            </w:pPr>
            <w:r>
              <w:t>1.2 – 1.5</w:t>
            </w:r>
          </w:p>
        </w:tc>
        <w:tc>
          <w:tcPr>
            <w:tcW w:type="dxa" w:w="1407"/>
            <w:gridSpan w:val="4"/>
            <w:tcBorders>
              <w:top w:color="000000" w:sz="4" w:val="single"/>
              <w:left w:color="000000" w:sz="4" w:val="single"/>
              <w:bottom w:color="000000" w:sz="4" w:val="single"/>
              <w:right w:color="000000" w:sz="4" w:val="single"/>
            </w:tcBorders>
            <w:vAlign w:val="center"/>
          </w:tcPr>
          <w:p w14:paraId="1E070000">
            <w:pPr>
              <w:widowControl w:val="1"/>
              <w:ind w:firstLine="34"/>
              <w:contextualSpacing w:val="1"/>
              <w:jc w:val="center"/>
            </w:pPr>
          </w:p>
          <w:p w14:paraId="1F070000">
            <w:pPr>
              <w:widowControl w:val="1"/>
              <w:ind w:firstLine="34"/>
              <w:contextualSpacing w:val="1"/>
              <w:jc w:val="center"/>
            </w:pPr>
            <w:r>
              <w:rPr>
                <w:u w:val="single"/>
              </w:rPr>
              <w:t>1.0 – 1.2 или</w:t>
            </w:r>
            <w:r>
              <w:t xml:space="preserve"> 1,5-2,0</w:t>
            </w:r>
          </w:p>
          <w:p w14:paraId="20070000">
            <w:pPr>
              <w:widowControl w:val="1"/>
              <w:ind w:firstLine="34"/>
              <w:contextualSpacing w:val="1"/>
              <w:jc w:val="center"/>
            </w:pPr>
          </w:p>
        </w:tc>
        <w:tc>
          <w:tcPr>
            <w:tcW w:type="dxa" w:w="1305"/>
            <w:tcBorders>
              <w:top w:color="000000" w:sz="4" w:val="single"/>
              <w:left w:color="000000" w:sz="4" w:val="single"/>
              <w:bottom w:color="000000" w:sz="4" w:val="single"/>
              <w:right w:color="000000" w:sz="4" w:val="single"/>
            </w:tcBorders>
            <w:vAlign w:val="center"/>
          </w:tcPr>
          <w:p w14:paraId="21070000">
            <w:pPr>
              <w:widowControl w:val="1"/>
              <w:ind w:firstLine="34"/>
              <w:contextualSpacing w:val="1"/>
              <w:jc w:val="center"/>
              <w:rPr>
                <w:b w:val="1"/>
                <w:u w:val="single"/>
              </w:rPr>
            </w:pPr>
            <w:r>
              <w:rPr>
                <w:b w:val="1"/>
                <w:u w:val="single"/>
              </w:rPr>
              <w:t>0,</w:t>
            </w:r>
            <w:r>
              <w:rPr>
                <w:b w:val="1"/>
                <w:u w:val="single"/>
              </w:rPr>
              <w:t>8 – 1,0</w:t>
            </w:r>
          </w:p>
        </w:tc>
        <w:tc>
          <w:tcPr>
            <w:tcW w:type="dxa" w:w="1539"/>
            <w:tcBorders>
              <w:top w:color="000000" w:sz="4" w:val="single"/>
              <w:left w:color="000000" w:sz="4" w:val="single"/>
              <w:bottom w:color="000000" w:sz="4" w:val="single"/>
              <w:right w:color="000000" w:sz="4" w:val="single"/>
            </w:tcBorders>
          </w:tcPr>
          <w:p w14:paraId="22070000">
            <w:pPr>
              <w:widowControl w:val="1"/>
              <w:ind w:firstLine="34"/>
              <w:contextualSpacing w:val="1"/>
              <w:jc w:val="center"/>
            </w:pPr>
          </w:p>
          <w:p w14:paraId="23070000">
            <w:pPr>
              <w:widowControl w:val="1"/>
              <w:ind w:firstLine="34"/>
              <w:contextualSpacing w:val="1"/>
              <w:jc w:val="center"/>
            </w:pPr>
            <w:r>
              <w:t xml:space="preserve">&lt; 0.8 или </w:t>
            </w:r>
            <w:r>
              <w:t>&gt;2</w:t>
            </w:r>
          </w:p>
        </w:tc>
      </w:tr>
      <w:tr>
        <w:trPr>
          <w:trHeight w:hRule="atLeast" w:val="465"/>
        </w:trPr>
        <w:tc>
          <w:tcPr>
            <w:tcW w:type="dxa" w:w="3931"/>
            <w:tcBorders>
              <w:top w:color="000000" w:sz="4" w:val="single"/>
              <w:left w:color="000000" w:sz="4" w:val="single"/>
              <w:bottom w:color="000000" w:sz="4" w:val="single"/>
              <w:right w:color="000000" w:sz="4" w:val="single"/>
            </w:tcBorders>
          </w:tcPr>
          <w:p w14:paraId="24070000">
            <w:pPr>
              <w:widowControl w:val="1"/>
              <w:ind w:firstLine="34"/>
              <w:contextualSpacing w:val="1"/>
            </w:pPr>
            <w:r>
              <w:t>Соотношение оборачиваемости дебиторской и кредиторской задолженности (К9 = 0,86)</w:t>
            </w:r>
          </w:p>
        </w:tc>
        <w:tc>
          <w:tcPr>
            <w:tcW w:type="dxa" w:w="1271"/>
            <w:gridSpan w:val="2"/>
            <w:tcBorders>
              <w:top w:color="000000" w:sz="4" w:val="single"/>
              <w:left w:color="000000" w:sz="4" w:val="single"/>
              <w:bottom w:color="000000" w:sz="4" w:val="single"/>
              <w:right w:color="000000" w:sz="4" w:val="single"/>
            </w:tcBorders>
            <w:vAlign w:val="center"/>
          </w:tcPr>
          <w:p w14:paraId="25070000">
            <w:pPr>
              <w:widowControl w:val="1"/>
              <w:ind w:firstLine="34"/>
              <w:contextualSpacing w:val="1"/>
              <w:jc w:val="center"/>
            </w:pPr>
            <w:r>
              <w:t>1,0-1,5</w:t>
            </w:r>
          </w:p>
        </w:tc>
        <w:tc>
          <w:tcPr>
            <w:tcW w:type="dxa" w:w="1407"/>
            <w:gridSpan w:val="4"/>
            <w:tcBorders>
              <w:top w:color="000000" w:sz="4" w:val="single"/>
              <w:left w:color="000000" w:sz="4" w:val="single"/>
              <w:bottom w:color="000000" w:sz="4" w:val="single"/>
              <w:right w:color="000000" w:sz="4" w:val="single"/>
            </w:tcBorders>
            <w:vAlign w:val="center"/>
          </w:tcPr>
          <w:p w14:paraId="26070000">
            <w:pPr>
              <w:widowControl w:val="1"/>
              <w:ind w:firstLine="34"/>
              <w:contextualSpacing w:val="1"/>
              <w:jc w:val="center"/>
            </w:pPr>
            <w:r>
              <w:t>1,5-2</w:t>
            </w:r>
          </w:p>
        </w:tc>
        <w:tc>
          <w:tcPr>
            <w:tcW w:type="dxa" w:w="1305"/>
            <w:tcBorders>
              <w:top w:color="000000" w:sz="4" w:val="single"/>
              <w:left w:color="000000" w:sz="4" w:val="single"/>
              <w:bottom w:color="000000" w:sz="4" w:val="single"/>
              <w:right w:color="000000" w:sz="4" w:val="single"/>
            </w:tcBorders>
            <w:vAlign w:val="center"/>
          </w:tcPr>
          <w:p w14:paraId="27070000">
            <w:pPr>
              <w:widowControl w:val="1"/>
              <w:ind w:firstLine="34"/>
              <w:contextualSpacing w:val="1"/>
              <w:jc w:val="center"/>
              <w:rPr>
                <w:b w:val="1"/>
                <w:u w:val="single"/>
              </w:rPr>
            </w:pPr>
            <w:r>
              <w:rPr>
                <w:b w:val="1"/>
                <w:u w:val="single"/>
              </w:rPr>
              <w:t>0,5-1,</w:t>
            </w:r>
            <w:r>
              <w:rPr>
                <w:b w:val="1"/>
                <w:u w:val="single"/>
              </w:rPr>
              <w:t>0</w:t>
            </w:r>
          </w:p>
        </w:tc>
        <w:tc>
          <w:tcPr>
            <w:tcW w:type="dxa" w:w="1539"/>
            <w:tcBorders>
              <w:top w:color="000000" w:sz="4" w:val="single"/>
              <w:left w:color="000000" w:sz="4" w:val="single"/>
              <w:bottom w:color="000000" w:sz="4" w:val="single"/>
              <w:right w:color="000000" w:sz="4" w:val="single"/>
            </w:tcBorders>
          </w:tcPr>
          <w:p w14:paraId="28070000">
            <w:pPr>
              <w:widowControl w:val="1"/>
              <w:ind w:firstLine="34"/>
              <w:contextualSpacing w:val="1"/>
              <w:jc w:val="center"/>
            </w:pPr>
          </w:p>
          <w:p w14:paraId="29070000">
            <w:pPr>
              <w:widowControl w:val="1"/>
              <w:ind w:firstLine="34"/>
              <w:contextualSpacing w:val="1"/>
              <w:jc w:val="center"/>
            </w:pPr>
            <w:r>
              <w:t xml:space="preserve">0-0,5 или </w:t>
            </w:r>
            <w:r>
              <w:t>&gt;2</w:t>
            </w:r>
          </w:p>
        </w:tc>
      </w:tr>
      <w:tr>
        <w:trPr>
          <w:trHeight w:hRule="atLeast" w:val="318"/>
        </w:trPr>
        <w:tc>
          <w:tcPr>
            <w:tcW w:type="dxa" w:w="9452"/>
            <w:gridSpan w:val="9"/>
            <w:tcBorders>
              <w:top w:color="000000" w:sz="4" w:val="single"/>
              <w:left w:color="000000" w:sz="4" w:val="single"/>
              <w:bottom w:color="000000" w:sz="4" w:val="single"/>
              <w:right w:color="000000" w:sz="4" w:val="single"/>
            </w:tcBorders>
          </w:tcPr>
          <w:p w14:paraId="2A070000">
            <w:pPr>
              <w:widowControl w:val="1"/>
              <w:ind w:firstLine="34"/>
              <w:contextualSpacing w:val="1"/>
              <w:jc w:val="center"/>
            </w:pPr>
            <w:r>
              <w:rPr>
                <w:b w:val="1"/>
              </w:rPr>
              <w:t xml:space="preserve">ПРОЧИЕ КОЭФФИЦИЕНТЫ </w:t>
            </w:r>
          </w:p>
        </w:tc>
      </w:tr>
      <w:tr>
        <w:trPr>
          <w:trHeight w:hRule="atLeast" w:val="465"/>
        </w:trPr>
        <w:tc>
          <w:tcPr>
            <w:tcW w:type="dxa" w:w="3931"/>
            <w:tcBorders>
              <w:top w:color="000000" w:sz="4" w:val="single"/>
              <w:left w:color="000000" w:sz="4" w:val="single"/>
              <w:bottom w:color="000000" w:sz="4" w:val="single"/>
              <w:right w:color="000000" w:sz="4" w:val="single"/>
            </w:tcBorders>
          </w:tcPr>
          <w:p w14:paraId="2B070000">
            <w:pPr>
              <w:widowControl w:val="1"/>
              <w:ind w:firstLine="34"/>
              <w:contextualSpacing w:val="1"/>
            </w:pPr>
            <w:r>
              <w:t>Соотношение роста прибыли до вычета расходов по процентам, уплаты налогов и амортизации (</w:t>
            </w:r>
            <w:r>
              <w:t>EBIT</w:t>
            </w:r>
            <w:r>
              <w:t>DA</w:t>
            </w:r>
            <w:r>
              <w:t>) к росту выручки (К10=0,24)</w:t>
            </w:r>
          </w:p>
        </w:tc>
        <w:tc>
          <w:tcPr>
            <w:tcW w:type="dxa" w:w="1271"/>
            <w:gridSpan w:val="2"/>
            <w:tcBorders>
              <w:top w:color="000000" w:sz="4" w:val="single"/>
              <w:left w:color="000000" w:sz="4" w:val="single"/>
              <w:bottom w:color="000000" w:sz="4" w:val="single"/>
              <w:right w:color="000000" w:sz="4" w:val="single"/>
            </w:tcBorders>
            <w:vAlign w:val="center"/>
          </w:tcPr>
          <w:p w14:paraId="2C070000">
            <w:pPr>
              <w:widowControl w:val="1"/>
              <w:ind w:firstLine="34"/>
              <w:contextualSpacing w:val="1"/>
              <w:jc w:val="center"/>
              <w:rPr>
                <w:b w:val="1"/>
              </w:rPr>
            </w:pPr>
            <w:r>
              <w:rPr>
                <w:b w:val="1"/>
              </w:rPr>
              <w:t>&gt;</w:t>
            </w:r>
            <w:r>
              <w:t>1.0</w:t>
            </w:r>
          </w:p>
        </w:tc>
        <w:tc>
          <w:tcPr>
            <w:tcW w:type="dxa" w:w="1407"/>
            <w:gridSpan w:val="4"/>
            <w:tcBorders>
              <w:top w:color="000000" w:sz="4" w:val="single"/>
              <w:left w:color="000000" w:sz="4" w:val="single"/>
              <w:bottom w:color="000000" w:sz="4" w:val="single"/>
              <w:right w:color="000000" w:sz="4" w:val="single"/>
            </w:tcBorders>
            <w:vAlign w:val="center"/>
          </w:tcPr>
          <w:p w14:paraId="2D070000">
            <w:pPr>
              <w:widowControl w:val="1"/>
              <w:ind w:firstLine="34"/>
              <w:contextualSpacing w:val="1"/>
              <w:jc w:val="center"/>
            </w:pPr>
            <w:r>
              <w:t>0</w:t>
            </w:r>
            <w:r>
              <w:t>,9-1,0</w:t>
            </w:r>
          </w:p>
        </w:tc>
        <w:tc>
          <w:tcPr>
            <w:tcW w:type="dxa" w:w="1305"/>
            <w:tcBorders>
              <w:top w:color="000000" w:sz="4" w:val="single"/>
              <w:left w:color="000000" w:sz="4" w:val="single"/>
              <w:bottom w:color="000000" w:sz="4" w:val="single"/>
              <w:right w:color="000000" w:sz="4" w:val="single"/>
            </w:tcBorders>
            <w:vAlign w:val="center"/>
          </w:tcPr>
          <w:p w14:paraId="2E070000">
            <w:pPr>
              <w:widowControl w:val="1"/>
              <w:ind w:firstLine="34"/>
              <w:contextualSpacing w:val="1"/>
              <w:jc w:val="center"/>
              <w:rPr>
                <w:u w:val="single"/>
              </w:rPr>
            </w:pPr>
            <w:r>
              <w:rPr>
                <w:u w:val="single"/>
              </w:rPr>
              <w:t>0,7-0,9</w:t>
            </w:r>
          </w:p>
        </w:tc>
        <w:tc>
          <w:tcPr>
            <w:tcW w:type="dxa" w:w="1539"/>
            <w:tcBorders>
              <w:top w:color="000000" w:sz="4" w:val="single"/>
              <w:left w:color="000000" w:sz="4" w:val="single"/>
              <w:bottom w:color="000000" w:sz="4" w:val="single"/>
              <w:right w:color="000000" w:sz="4" w:val="single"/>
            </w:tcBorders>
            <w:vAlign w:val="center"/>
          </w:tcPr>
          <w:p w14:paraId="2F070000">
            <w:pPr>
              <w:widowControl w:val="1"/>
              <w:ind w:firstLine="34"/>
              <w:contextualSpacing w:val="1"/>
              <w:jc w:val="center"/>
              <w:rPr>
                <w:b w:val="1"/>
                <w:u w:val="single"/>
              </w:rPr>
            </w:pPr>
            <w:r>
              <w:rPr>
                <w:b w:val="1"/>
                <w:u w:val="single"/>
              </w:rPr>
              <w:t>&lt;0</w:t>
            </w:r>
            <w:r>
              <w:rPr>
                <w:b w:val="1"/>
                <w:u w:val="single"/>
              </w:rPr>
              <w:t>,</w:t>
            </w:r>
            <w:r>
              <w:rPr>
                <w:b w:val="1"/>
                <w:u w:val="single"/>
              </w:rPr>
              <w:t>7</w:t>
            </w:r>
          </w:p>
        </w:tc>
      </w:tr>
    </w:tbl>
    <w:p w14:paraId="30070000">
      <w:pPr>
        <w:widowControl w:val="1"/>
        <w:ind w:firstLine="709"/>
        <w:contextualSpacing w:val="1"/>
        <w:jc w:val="right"/>
        <w:rPr>
          <w:b w:val="1"/>
        </w:rPr>
      </w:pPr>
    </w:p>
    <w:p w14:paraId="31070000">
      <w:pPr>
        <w:widowControl w:val="1"/>
        <w:ind w:firstLine="709"/>
        <w:contextualSpacing w:val="1"/>
        <w:jc w:val="right"/>
        <w:rPr>
          <w:b w:val="1"/>
        </w:rPr>
      </w:pPr>
    </w:p>
    <w:p w14:paraId="32070000">
      <w:pPr>
        <w:widowControl w:val="1"/>
        <w:ind w:firstLine="709"/>
        <w:contextualSpacing w:val="1"/>
        <w:jc w:val="right"/>
        <w:rPr>
          <w:b w:val="1"/>
        </w:rPr>
      </w:pPr>
    </w:p>
    <w:p w14:paraId="33070000">
      <w:pPr>
        <w:pStyle w:val="Style_23"/>
        <w:widowControl w:val="1"/>
        <w:tabs>
          <w:tab w:leader="none" w:pos="5625" w:val="left"/>
        </w:tabs>
        <w:ind w:firstLine="709"/>
        <w:contextualSpacing w:val="1"/>
        <w:rPr>
          <w:sz w:val="24"/>
        </w:rPr>
      </w:pPr>
    </w:p>
    <w:p w14:paraId="34070000">
      <w:pPr>
        <w:keepNext w:val="1"/>
        <w:widowControl w:val="1"/>
        <w:ind w:firstLine="709"/>
        <w:contextualSpacing w:val="1"/>
        <w:jc w:val="center"/>
        <w:rPr>
          <w:b w:val="1"/>
        </w:rPr>
      </w:pPr>
      <w:r>
        <w:rPr>
          <w:b w:val="1"/>
        </w:rPr>
        <w:t>Определение рейтинга предприятия</w:t>
      </w:r>
    </w:p>
    <w:p w14:paraId="35070000">
      <w:pPr>
        <w:keepNext w:val="1"/>
        <w:widowControl w:val="1"/>
        <w:ind w:firstLine="709"/>
        <w:contextualSpacing w:val="1"/>
        <w:jc w:val="right"/>
        <w:rPr>
          <w:b w:val="1"/>
        </w:rPr>
      </w:pPr>
      <w:r>
        <w:rPr>
          <w:b w:val="1"/>
        </w:rPr>
        <w:t>Таблица 5.</w:t>
      </w:r>
      <w:r>
        <w:rPr>
          <w:b w:val="1"/>
        </w:rPr>
        <w:t>7</w:t>
      </w:r>
    </w:p>
    <w:tbl>
      <w:tblPr>
        <w:tblStyle w:val="Style_4"/>
        <w:tblW w:type="auto" w:w="0"/>
        <w:jc w:val="center"/>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3739"/>
        <w:gridCol w:w="674"/>
        <w:gridCol w:w="944"/>
        <w:gridCol w:w="1616"/>
        <w:gridCol w:w="1645"/>
        <w:gridCol w:w="747"/>
      </w:tblGrid>
      <w:tr>
        <w:trPr>
          <w:trHeight w:hRule="atLeast" w:val="186"/>
          <w:tblHeader/>
        </w:trPr>
        <w:tc>
          <w:tcPr>
            <w:tcW w:type="dxa" w:w="4413"/>
            <w:gridSpan w:val="2"/>
            <w:vMerge w:val="restart"/>
            <w:tcBorders>
              <w:top w:color="000000" w:sz="4" w:val="single"/>
              <w:left w:color="000000" w:sz="4" w:val="single"/>
              <w:bottom w:color="000000" w:sz="4" w:val="single"/>
              <w:right w:color="000000" w:sz="4" w:val="single"/>
            </w:tcBorders>
            <w:vAlign w:val="center"/>
          </w:tcPr>
          <w:p w14:paraId="36070000">
            <w:pPr>
              <w:keepNext w:val="1"/>
              <w:widowControl w:val="1"/>
              <w:ind w:firstLine="2"/>
              <w:contextualSpacing w:val="1"/>
              <w:jc w:val="center"/>
              <w:rPr>
                <w:b w:val="1"/>
              </w:rPr>
            </w:pPr>
            <w:r>
              <w:rPr>
                <w:b w:val="1"/>
              </w:rPr>
              <w:t>Коэффициент</w:t>
            </w:r>
          </w:p>
        </w:tc>
        <w:tc>
          <w:tcPr>
            <w:tcW w:type="dxa" w:w="944"/>
            <w:vMerge w:val="restart"/>
            <w:tcBorders>
              <w:top w:color="000000" w:sz="4" w:val="single"/>
              <w:left w:color="000000" w:sz="4" w:val="single"/>
              <w:bottom w:color="000000" w:sz="4" w:val="single"/>
              <w:right w:color="000000" w:sz="4" w:val="single"/>
            </w:tcBorders>
            <w:vAlign w:val="center"/>
          </w:tcPr>
          <w:p w14:paraId="37070000">
            <w:pPr>
              <w:keepNext w:val="1"/>
              <w:widowControl w:val="1"/>
              <w:ind w:firstLine="2"/>
              <w:contextualSpacing w:val="1"/>
              <w:jc w:val="center"/>
              <w:rPr>
                <w:b w:val="1"/>
              </w:rPr>
            </w:pPr>
            <w:r>
              <w:rPr>
                <w:b w:val="1"/>
              </w:rPr>
              <w:t>Вес показателя</w:t>
            </w:r>
          </w:p>
        </w:tc>
        <w:tc>
          <w:tcPr>
            <w:tcW w:type="dxa" w:w="4008"/>
            <w:gridSpan w:val="3"/>
            <w:tcBorders>
              <w:top w:color="000000" w:sz="4" w:val="single"/>
              <w:left w:color="000000" w:sz="4" w:val="single"/>
              <w:bottom w:color="000000" w:sz="4" w:val="single"/>
              <w:right w:color="000000" w:sz="4" w:val="single"/>
            </w:tcBorders>
          </w:tcPr>
          <w:p w14:paraId="38070000">
            <w:pPr>
              <w:keepNext w:val="1"/>
              <w:widowControl w:val="1"/>
              <w:ind w:firstLine="2"/>
              <w:contextualSpacing w:val="1"/>
              <w:jc w:val="center"/>
              <w:rPr>
                <w:b w:val="1"/>
              </w:rPr>
            </w:pPr>
            <w:r>
              <w:rPr>
                <w:b w:val="1"/>
              </w:rPr>
              <w:t xml:space="preserve">Кол-во баллов </w:t>
            </w:r>
          </w:p>
        </w:tc>
      </w:tr>
      <w:tr>
        <w:trPr>
          <w:trHeight w:hRule="atLeast" w:val="340"/>
          <w:tblHeader/>
        </w:trPr>
        <w:tc>
          <w:tcPr>
            <w:tcW w:type="dxa" w:w="4413"/>
            <w:gridSpan w:val="2"/>
            <w:vMerge w:val="continue"/>
            <w:tcBorders>
              <w:top w:color="000000" w:sz="4" w:val="single"/>
              <w:left w:color="000000" w:sz="4" w:val="single"/>
              <w:bottom w:color="000000" w:sz="4" w:val="single"/>
              <w:right w:color="000000" w:sz="4" w:val="single"/>
            </w:tcBorders>
            <w:vAlign w:val="center"/>
          </w:tcPr>
          <w:p/>
        </w:tc>
        <w:tc>
          <w:tcPr>
            <w:tcW w:type="dxa" w:w="944"/>
            <w:gridSpan w:val="1"/>
            <w:vMerge w:val="continue"/>
            <w:tcBorders>
              <w:top w:color="000000" w:sz="4" w:val="single"/>
              <w:left w:color="000000" w:sz="4" w:val="single"/>
              <w:bottom w:color="000000" w:sz="4" w:val="single"/>
              <w:right w:color="000000" w:sz="4" w:val="single"/>
            </w:tcBorders>
            <w:vAlign w:val="center"/>
          </w:tcPr>
          <w:p/>
        </w:tc>
        <w:tc>
          <w:tcPr>
            <w:tcW w:type="dxa" w:w="1616"/>
            <w:tcBorders>
              <w:top w:color="000000" w:sz="4" w:val="single"/>
              <w:left w:color="000000" w:sz="4" w:val="single"/>
              <w:bottom w:color="000000" w:sz="4" w:val="single"/>
              <w:right w:color="000000" w:sz="4" w:val="single"/>
            </w:tcBorders>
            <w:vAlign w:val="center"/>
          </w:tcPr>
          <w:p w14:paraId="39070000">
            <w:pPr>
              <w:keepNext w:val="1"/>
              <w:widowControl w:val="1"/>
              <w:ind w:firstLine="2"/>
              <w:contextualSpacing w:val="1"/>
              <w:jc w:val="center"/>
              <w:rPr>
                <w:b w:val="1"/>
              </w:rPr>
            </w:pPr>
            <w:r>
              <w:rPr>
                <w:b w:val="1"/>
              </w:rPr>
              <w:t>план</w:t>
            </w:r>
          </w:p>
        </w:tc>
        <w:tc>
          <w:tcPr>
            <w:tcW w:type="dxa" w:w="1645"/>
            <w:tcBorders>
              <w:top w:color="000000" w:sz="4" w:val="single"/>
              <w:left w:color="000000" w:sz="4" w:val="single"/>
              <w:bottom w:color="000000" w:sz="4" w:val="single"/>
              <w:right w:color="000000" w:sz="4" w:val="single"/>
            </w:tcBorders>
            <w:vAlign w:val="center"/>
          </w:tcPr>
          <w:p w14:paraId="3A070000">
            <w:pPr>
              <w:keepNext w:val="1"/>
              <w:widowControl w:val="1"/>
              <w:ind w:firstLine="2"/>
              <w:contextualSpacing w:val="1"/>
              <w:jc w:val="center"/>
              <w:rPr>
                <w:b w:val="1"/>
              </w:rPr>
            </w:pPr>
            <w:r>
              <w:rPr>
                <w:b w:val="1"/>
              </w:rPr>
              <w:t>факт</w:t>
            </w:r>
          </w:p>
        </w:tc>
        <w:tc>
          <w:tcPr>
            <w:tcW w:type="dxa" w:w="747"/>
            <w:tcBorders>
              <w:top w:color="000000" w:sz="4" w:val="single"/>
              <w:left w:color="000000" w:sz="4" w:val="single"/>
              <w:bottom w:color="000000" w:sz="4" w:val="single"/>
              <w:right w:color="000000" w:sz="4" w:val="single"/>
            </w:tcBorders>
            <w:vAlign w:val="center"/>
          </w:tcPr>
          <w:p w14:paraId="3B070000">
            <w:pPr>
              <w:keepNext w:val="1"/>
              <w:widowControl w:val="1"/>
              <w:ind w:firstLine="2"/>
              <w:contextualSpacing w:val="1"/>
              <w:jc w:val="center"/>
              <w:rPr>
                <w:b w:val="1"/>
              </w:rPr>
            </w:pPr>
            <w:r>
              <w:rPr>
                <w:b w:val="1"/>
              </w:rPr>
              <w:t>(+/-)</w:t>
            </w:r>
          </w:p>
        </w:tc>
      </w:tr>
      <w:tr>
        <w:trPr>
          <w:trHeight w:hRule="atLeast" w:val="348"/>
        </w:trPr>
        <w:tc>
          <w:tcPr>
            <w:tcW w:type="dxa" w:w="3739"/>
            <w:tcBorders>
              <w:top w:color="000000" w:sz="4" w:val="single"/>
              <w:left w:color="000000" w:sz="4" w:val="single"/>
              <w:bottom w:color="000000" w:sz="4" w:val="single"/>
              <w:right w:color="000000" w:sz="4" w:val="single"/>
            </w:tcBorders>
            <w:vAlign w:val="center"/>
          </w:tcPr>
          <w:p w14:paraId="3C070000">
            <w:pPr>
              <w:widowControl w:val="1"/>
              <w:ind w:firstLine="2"/>
              <w:contextualSpacing w:val="1"/>
            </w:pPr>
            <w:r>
              <w:t xml:space="preserve">Коэффициент абсолютной ликвидности </w:t>
            </w:r>
          </w:p>
        </w:tc>
        <w:tc>
          <w:tcPr>
            <w:tcW w:type="dxa" w:w="674"/>
            <w:tcBorders>
              <w:top w:color="000000" w:sz="4" w:val="single"/>
              <w:left w:color="000000" w:sz="4" w:val="single"/>
              <w:bottom w:color="000000" w:sz="4" w:val="single"/>
              <w:right w:color="000000" w:sz="4" w:val="single"/>
            </w:tcBorders>
            <w:vAlign w:val="center"/>
          </w:tcPr>
          <w:p w14:paraId="3D070000">
            <w:pPr>
              <w:widowControl w:val="1"/>
              <w:ind w:firstLine="2"/>
              <w:contextualSpacing w:val="1"/>
              <w:jc w:val="center"/>
            </w:pPr>
            <w:r>
              <w:t>К1</w:t>
            </w:r>
          </w:p>
        </w:tc>
        <w:tc>
          <w:tcPr>
            <w:tcW w:type="dxa" w:w="944"/>
            <w:tcBorders>
              <w:top w:color="000000" w:sz="4" w:val="single"/>
              <w:left w:color="000000" w:sz="4" w:val="single"/>
              <w:bottom w:color="000000" w:sz="4" w:val="single"/>
              <w:right w:color="000000" w:sz="4" w:val="single"/>
            </w:tcBorders>
            <w:vAlign w:val="center"/>
          </w:tcPr>
          <w:p w14:paraId="3E070000">
            <w:pPr>
              <w:widowControl w:val="1"/>
              <w:ind w:firstLine="2"/>
              <w:contextualSpacing w:val="1"/>
              <w:jc w:val="center"/>
            </w:pPr>
            <w:r>
              <w:t>0,25</w:t>
            </w:r>
          </w:p>
        </w:tc>
        <w:tc>
          <w:tcPr>
            <w:tcW w:type="dxa" w:w="1616"/>
            <w:tcBorders>
              <w:top w:color="000000" w:sz="4" w:val="single"/>
              <w:left w:color="000000" w:sz="4" w:val="single"/>
              <w:bottom w:color="000000" w:sz="4" w:val="single"/>
              <w:right w:color="000000" w:sz="4" w:val="single"/>
            </w:tcBorders>
            <w:vAlign w:val="center"/>
          </w:tcPr>
          <w:p w14:paraId="3F070000">
            <w:pPr>
              <w:widowControl w:val="1"/>
              <w:ind w:firstLine="2"/>
              <w:contextualSpacing w:val="1"/>
              <w:jc w:val="center"/>
            </w:pPr>
            <w:r>
              <w:t xml:space="preserve">0,25 * 4 = </w:t>
            </w:r>
            <w:r>
              <w:t>1,0</w:t>
            </w:r>
          </w:p>
        </w:tc>
        <w:tc>
          <w:tcPr>
            <w:tcW w:type="dxa" w:w="1645"/>
            <w:tcBorders>
              <w:top w:color="000000" w:sz="4" w:val="single"/>
              <w:left w:color="000000" w:sz="4" w:val="single"/>
              <w:bottom w:color="000000" w:sz="4" w:val="single"/>
              <w:right w:color="000000" w:sz="4" w:val="single"/>
            </w:tcBorders>
            <w:vAlign w:val="center"/>
          </w:tcPr>
          <w:p w14:paraId="40070000">
            <w:pPr>
              <w:widowControl w:val="1"/>
              <w:ind w:firstLine="2"/>
              <w:contextualSpacing w:val="1"/>
              <w:jc w:val="center"/>
            </w:pPr>
            <w:r>
              <w:t xml:space="preserve">0,25 * 4= </w:t>
            </w:r>
            <w:r>
              <w:t>1,0</w:t>
            </w:r>
          </w:p>
        </w:tc>
        <w:tc>
          <w:tcPr>
            <w:tcW w:type="dxa" w:w="747"/>
            <w:tcBorders>
              <w:top w:color="000000" w:sz="4" w:val="single"/>
              <w:left w:color="000000" w:sz="4" w:val="single"/>
              <w:bottom w:color="000000" w:sz="4" w:val="single"/>
              <w:right w:color="000000" w:sz="4" w:val="single"/>
            </w:tcBorders>
            <w:vAlign w:val="center"/>
          </w:tcPr>
          <w:p w14:paraId="41070000">
            <w:pPr>
              <w:widowControl w:val="1"/>
              <w:ind w:firstLine="2"/>
              <w:contextualSpacing w:val="1"/>
              <w:jc w:val="center"/>
            </w:pPr>
            <w:r>
              <w:t>0</w:t>
            </w:r>
          </w:p>
        </w:tc>
      </w:tr>
      <w:tr>
        <w:trPr>
          <w:trHeight w:hRule="atLeast" w:val="357"/>
        </w:trPr>
        <w:tc>
          <w:tcPr>
            <w:tcW w:type="dxa" w:w="3739"/>
            <w:tcBorders>
              <w:top w:color="000000" w:sz="4" w:val="single"/>
              <w:left w:color="000000" w:sz="4" w:val="single"/>
              <w:bottom w:color="000000" w:sz="4" w:val="single"/>
              <w:right w:color="000000" w:sz="4" w:val="single"/>
            </w:tcBorders>
            <w:vAlign w:val="center"/>
          </w:tcPr>
          <w:p w14:paraId="42070000">
            <w:pPr>
              <w:widowControl w:val="1"/>
              <w:ind w:firstLine="2"/>
              <w:contextualSpacing w:val="1"/>
            </w:pPr>
            <w:r>
              <w:t>Коэффициент срочной ликвидности</w:t>
            </w:r>
          </w:p>
        </w:tc>
        <w:tc>
          <w:tcPr>
            <w:tcW w:type="dxa" w:w="674"/>
            <w:tcBorders>
              <w:top w:color="000000" w:sz="4" w:val="single"/>
              <w:left w:color="000000" w:sz="4" w:val="single"/>
              <w:bottom w:color="000000" w:sz="4" w:val="single"/>
              <w:right w:color="000000" w:sz="4" w:val="single"/>
            </w:tcBorders>
            <w:vAlign w:val="center"/>
          </w:tcPr>
          <w:p w14:paraId="43070000">
            <w:pPr>
              <w:widowControl w:val="1"/>
              <w:ind w:firstLine="2"/>
              <w:contextualSpacing w:val="1"/>
              <w:jc w:val="center"/>
            </w:pPr>
            <w:r>
              <w:t>К2</w:t>
            </w:r>
          </w:p>
        </w:tc>
        <w:tc>
          <w:tcPr>
            <w:tcW w:type="dxa" w:w="944"/>
            <w:tcBorders>
              <w:top w:color="000000" w:sz="4" w:val="single"/>
              <w:left w:color="000000" w:sz="4" w:val="single"/>
              <w:bottom w:color="000000" w:sz="4" w:val="single"/>
              <w:right w:color="000000" w:sz="4" w:val="single"/>
            </w:tcBorders>
            <w:vAlign w:val="center"/>
          </w:tcPr>
          <w:p w14:paraId="44070000">
            <w:pPr>
              <w:widowControl w:val="1"/>
              <w:ind w:firstLine="2"/>
              <w:contextualSpacing w:val="1"/>
              <w:jc w:val="center"/>
            </w:pPr>
            <w:r>
              <w:t>0,50</w:t>
            </w:r>
          </w:p>
        </w:tc>
        <w:tc>
          <w:tcPr>
            <w:tcW w:type="dxa" w:w="1616"/>
            <w:tcBorders>
              <w:top w:color="000000" w:sz="4" w:val="single"/>
              <w:left w:color="000000" w:sz="4" w:val="single"/>
              <w:bottom w:color="000000" w:sz="4" w:val="single"/>
              <w:right w:color="000000" w:sz="4" w:val="single"/>
            </w:tcBorders>
            <w:vAlign w:val="center"/>
          </w:tcPr>
          <w:p w14:paraId="45070000">
            <w:pPr>
              <w:widowControl w:val="1"/>
              <w:ind w:firstLine="2"/>
              <w:contextualSpacing w:val="1"/>
              <w:jc w:val="center"/>
            </w:pPr>
            <w:r>
              <w:t xml:space="preserve">0,50 * 4 = </w:t>
            </w:r>
            <w:r>
              <w:t>2,0</w:t>
            </w:r>
          </w:p>
        </w:tc>
        <w:tc>
          <w:tcPr>
            <w:tcW w:type="dxa" w:w="1645"/>
            <w:tcBorders>
              <w:top w:color="000000" w:sz="4" w:val="single"/>
              <w:left w:color="000000" w:sz="4" w:val="single"/>
              <w:bottom w:color="000000" w:sz="4" w:val="single"/>
              <w:right w:color="000000" w:sz="4" w:val="single"/>
            </w:tcBorders>
            <w:vAlign w:val="center"/>
          </w:tcPr>
          <w:p w14:paraId="46070000">
            <w:pPr>
              <w:widowControl w:val="1"/>
              <w:ind w:firstLine="2"/>
              <w:contextualSpacing w:val="1"/>
              <w:jc w:val="center"/>
            </w:pPr>
            <w:r>
              <w:t xml:space="preserve">0,50 * 4  = </w:t>
            </w:r>
            <w:r>
              <w:t>2,0</w:t>
            </w:r>
          </w:p>
        </w:tc>
        <w:tc>
          <w:tcPr>
            <w:tcW w:type="dxa" w:w="747"/>
            <w:tcBorders>
              <w:top w:color="000000" w:sz="4" w:val="single"/>
              <w:left w:color="000000" w:sz="4" w:val="single"/>
              <w:bottom w:color="000000" w:sz="4" w:val="single"/>
              <w:right w:color="000000" w:sz="4" w:val="single"/>
            </w:tcBorders>
            <w:vAlign w:val="center"/>
          </w:tcPr>
          <w:p w14:paraId="47070000">
            <w:pPr>
              <w:widowControl w:val="1"/>
              <w:ind w:firstLine="2"/>
              <w:contextualSpacing w:val="1"/>
              <w:jc w:val="center"/>
            </w:pPr>
            <w:r>
              <w:t>0</w:t>
            </w:r>
          </w:p>
        </w:tc>
      </w:tr>
      <w:tr>
        <w:trPr>
          <w:trHeight w:hRule="atLeast" w:val="354"/>
        </w:trPr>
        <w:tc>
          <w:tcPr>
            <w:tcW w:type="dxa" w:w="3739"/>
            <w:tcBorders>
              <w:top w:color="000000" w:sz="4" w:val="single"/>
              <w:left w:color="000000" w:sz="4" w:val="single"/>
              <w:bottom w:color="000000" w:sz="4" w:val="single"/>
              <w:right w:color="000000" w:sz="4" w:val="single"/>
            </w:tcBorders>
            <w:vAlign w:val="center"/>
          </w:tcPr>
          <w:p w14:paraId="48070000">
            <w:pPr>
              <w:widowControl w:val="1"/>
              <w:ind w:firstLine="2"/>
              <w:contextualSpacing w:val="1"/>
            </w:pPr>
            <w:r>
              <w:t>Коэффициент текущей ликвидности</w:t>
            </w:r>
          </w:p>
        </w:tc>
        <w:tc>
          <w:tcPr>
            <w:tcW w:type="dxa" w:w="674"/>
            <w:tcBorders>
              <w:top w:color="000000" w:sz="4" w:val="single"/>
              <w:left w:color="000000" w:sz="4" w:val="single"/>
              <w:bottom w:color="000000" w:sz="4" w:val="single"/>
              <w:right w:color="000000" w:sz="4" w:val="single"/>
            </w:tcBorders>
            <w:vAlign w:val="center"/>
          </w:tcPr>
          <w:p w14:paraId="49070000">
            <w:pPr>
              <w:widowControl w:val="1"/>
              <w:ind w:firstLine="2"/>
              <w:contextualSpacing w:val="1"/>
              <w:jc w:val="center"/>
            </w:pPr>
            <w:r>
              <w:t>К3</w:t>
            </w:r>
          </w:p>
        </w:tc>
        <w:tc>
          <w:tcPr>
            <w:tcW w:type="dxa" w:w="944"/>
            <w:tcBorders>
              <w:top w:color="000000" w:sz="4" w:val="single"/>
              <w:left w:color="000000" w:sz="4" w:val="single"/>
              <w:bottom w:color="000000" w:sz="4" w:val="single"/>
              <w:right w:color="000000" w:sz="4" w:val="single"/>
            </w:tcBorders>
            <w:vAlign w:val="center"/>
          </w:tcPr>
          <w:p w14:paraId="4A070000">
            <w:pPr>
              <w:widowControl w:val="1"/>
              <w:ind w:firstLine="2"/>
              <w:contextualSpacing w:val="1"/>
              <w:jc w:val="center"/>
            </w:pPr>
            <w:r>
              <w:t>0,50</w:t>
            </w:r>
          </w:p>
        </w:tc>
        <w:tc>
          <w:tcPr>
            <w:tcW w:type="dxa" w:w="1616"/>
            <w:tcBorders>
              <w:top w:color="000000" w:sz="4" w:val="single"/>
              <w:left w:color="000000" w:sz="4" w:val="single"/>
              <w:bottom w:color="000000" w:sz="4" w:val="single"/>
              <w:right w:color="000000" w:sz="4" w:val="single"/>
            </w:tcBorders>
            <w:vAlign w:val="center"/>
          </w:tcPr>
          <w:p w14:paraId="4B070000">
            <w:pPr>
              <w:widowControl w:val="1"/>
              <w:ind w:firstLine="2"/>
              <w:contextualSpacing w:val="1"/>
              <w:jc w:val="center"/>
            </w:pPr>
            <w:r>
              <w:t xml:space="preserve">0,50 * 4 = </w:t>
            </w:r>
            <w:r>
              <w:t>2,0</w:t>
            </w:r>
          </w:p>
        </w:tc>
        <w:tc>
          <w:tcPr>
            <w:tcW w:type="dxa" w:w="1645"/>
            <w:tcBorders>
              <w:top w:color="000000" w:sz="4" w:val="single"/>
              <w:left w:color="000000" w:sz="4" w:val="single"/>
              <w:bottom w:color="000000" w:sz="4" w:val="single"/>
              <w:right w:color="000000" w:sz="4" w:val="single"/>
            </w:tcBorders>
            <w:vAlign w:val="center"/>
          </w:tcPr>
          <w:p w14:paraId="4C070000">
            <w:pPr>
              <w:widowControl w:val="1"/>
              <w:ind w:firstLine="2"/>
              <w:contextualSpacing w:val="1"/>
              <w:jc w:val="center"/>
            </w:pPr>
            <w:r>
              <w:t>0,50 * 4 = 2,0</w:t>
            </w:r>
          </w:p>
        </w:tc>
        <w:tc>
          <w:tcPr>
            <w:tcW w:type="dxa" w:w="747"/>
            <w:tcBorders>
              <w:top w:color="000000" w:sz="4" w:val="single"/>
              <w:left w:color="000000" w:sz="4" w:val="single"/>
              <w:bottom w:color="000000" w:sz="4" w:val="single"/>
              <w:right w:color="000000" w:sz="4" w:val="single"/>
            </w:tcBorders>
            <w:vAlign w:val="center"/>
          </w:tcPr>
          <w:p w14:paraId="4D070000">
            <w:pPr>
              <w:widowControl w:val="1"/>
              <w:ind w:firstLine="2"/>
              <w:contextualSpacing w:val="1"/>
              <w:jc w:val="center"/>
            </w:pPr>
            <w:r>
              <w:t>0</w:t>
            </w:r>
          </w:p>
        </w:tc>
      </w:tr>
      <w:tr>
        <w:trPr>
          <w:trHeight w:hRule="atLeast" w:val="350"/>
        </w:trPr>
        <w:tc>
          <w:tcPr>
            <w:tcW w:type="dxa" w:w="3739"/>
            <w:tcBorders>
              <w:top w:color="000000" w:sz="4" w:val="single"/>
              <w:left w:color="000000" w:sz="4" w:val="single"/>
              <w:bottom w:color="000000" w:sz="4" w:val="single"/>
              <w:right w:color="000000" w:sz="4" w:val="single"/>
            </w:tcBorders>
            <w:vAlign w:val="center"/>
          </w:tcPr>
          <w:p w14:paraId="4E070000">
            <w:pPr>
              <w:widowControl w:val="1"/>
              <w:ind w:firstLine="2"/>
              <w:contextualSpacing w:val="1"/>
            </w:pPr>
            <w:r>
              <w:t>Коэффициент финансовой независимости</w:t>
            </w:r>
          </w:p>
        </w:tc>
        <w:tc>
          <w:tcPr>
            <w:tcW w:type="dxa" w:w="674"/>
            <w:tcBorders>
              <w:top w:color="000000" w:sz="4" w:val="single"/>
              <w:left w:color="000000" w:sz="4" w:val="single"/>
              <w:bottom w:color="000000" w:sz="4" w:val="single"/>
              <w:right w:color="000000" w:sz="4" w:val="single"/>
            </w:tcBorders>
            <w:vAlign w:val="center"/>
          </w:tcPr>
          <w:p w14:paraId="4F070000">
            <w:pPr>
              <w:widowControl w:val="1"/>
              <w:ind w:firstLine="2"/>
              <w:contextualSpacing w:val="1"/>
              <w:jc w:val="center"/>
            </w:pPr>
            <w:r>
              <w:t>К4</w:t>
            </w:r>
          </w:p>
        </w:tc>
        <w:tc>
          <w:tcPr>
            <w:tcW w:type="dxa" w:w="944"/>
            <w:tcBorders>
              <w:top w:color="000000" w:sz="4" w:val="single"/>
              <w:left w:color="000000" w:sz="4" w:val="single"/>
              <w:bottom w:color="000000" w:sz="4" w:val="single"/>
              <w:right w:color="000000" w:sz="4" w:val="single"/>
            </w:tcBorders>
            <w:vAlign w:val="center"/>
          </w:tcPr>
          <w:p w14:paraId="50070000">
            <w:pPr>
              <w:widowControl w:val="1"/>
              <w:ind w:firstLine="2"/>
              <w:contextualSpacing w:val="1"/>
              <w:jc w:val="center"/>
            </w:pPr>
            <w:r>
              <w:t>0,75</w:t>
            </w:r>
          </w:p>
        </w:tc>
        <w:tc>
          <w:tcPr>
            <w:tcW w:type="dxa" w:w="1616"/>
            <w:tcBorders>
              <w:top w:color="000000" w:sz="4" w:val="single"/>
              <w:left w:color="000000" w:sz="4" w:val="single"/>
              <w:bottom w:color="000000" w:sz="4" w:val="single"/>
              <w:right w:color="000000" w:sz="4" w:val="single"/>
            </w:tcBorders>
            <w:vAlign w:val="center"/>
          </w:tcPr>
          <w:p w14:paraId="51070000">
            <w:pPr>
              <w:widowControl w:val="1"/>
              <w:ind w:firstLine="2"/>
              <w:contextualSpacing w:val="1"/>
              <w:jc w:val="center"/>
            </w:pPr>
            <w:r>
              <w:t>0,75 * 1 =</w:t>
            </w:r>
            <w:r>
              <w:t>0,75</w:t>
            </w:r>
          </w:p>
        </w:tc>
        <w:tc>
          <w:tcPr>
            <w:tcW w:type="dxa" w:w="1645"/>
            <w:tcBorders>
              <w:top w:color="000000" w:sz="4" w:val="single"/>
              <w:left w:color="000000" w:sz="4" w:val="single"/>
              <w:bottom w:color="000000" w:sz="4" w:val="single"/>
              <w:right w:color="000000" w:sz="4" w:val="single"/>
            </w:tcBorders>
            <w:vAlign w:val="center"/>
          </w:tcPr>
          <w:p w14:paraId="52070000">
            <w:pPr>
              <w:widowControl w:val="1"/>
              <w:ind w:firstLine="2"/>
              <w:contextualSpacing w:val="1"/>
              <w:jc w:val="center"/>
            </w:pPr>
            <w:r>
              <w:t xml:space="preserve">0,75 * 1 = </w:t>
            </w:r>
            <w:r>
              <w:t>0</w:t>
            </w:r>
            <w:r>
              <w:t>,75</w:t>
            </w:r>
          </w:p>
        </w:tc>
        <w:tc>
          <w:tcPr>
            <w:tcW w:type="dxa" w:w="747"/>
            <w:tcBorders>
              <w:top w:color="000000" w:sz="4" w:val="single"/>
              <w:left w:color="000000" w:sz="4" w:val="single"/>
              <w:bottom w:color="000000" w:sz="4" w:val="single"/>
              <w:right w:color="000000" w:sz="4" w:val="single"/>
            </w:tcBorders>
            <w:vAlign w:val="center"/>
          </w:tcPr>
          <w:p w14:paraId="53070000">
            <w:pPr>
              <w:widowControl w:val="1"/>
              <w:ind w:firstLine="2"/>
              <w:contextualSpacing w:val="1"/>
              <w:jc w:val="center"/>
            </w:pPr>
            <w:r>
              <w:t>0</w:t>
            </w:r>
          </w:p>
        </w:tc>
      </w:tr>
      <w:tr>
        <w:trPr>
          <w:trHeight w:hRule="atLeast" w:val="345"/>
        </w:trPr>
        <w:tc>
          <w:tcPr>
            <w:tcW w:type="dxa" w:w="3739"/>
            <w:tcBorders>
              <w:top w:color="000000" w:sz="4" w:val="single"/>
              <w:left w:color="000000" w:sz="4" w:val="single"/>
              <w:bottom w:color="000000" w:sz="4" w:val="single"/>
              <w:right w:color="000000" w:sz="4" w:val="single"/>
            </w:tcBorders>
            <w:vAlign w:val="center"/>
          </w:tcPr>
          <w:p w14:paraId="54070000">
            <w:pPr>
              <w:widowControl w:val="1"/>
              <w:ind w:firstLine="2"/>
              <w:contextualSpacing w:val="1"/>
            </w:pPr>
            <w:r>
              <w:t>Рентабельность продаж</w:t>
            </w:r>
          </w:p>
        </w:tc>
        <w:tc>
          <w:tcPr>
            <w:tcW w:type="dxa" w:w="674"/>
            <w:tcBorders>
              <w:top w:color="000000" w:sz="4" w:val="single"/>
              <w:left w:color="000000" w:sz="4" w:val="single"/>
              <w:bottom w:color="000000" w:sz="4" w:val="single"/>
              <w:right w:color="000000" w:sz="4" w:val="single"/>
            </w:tcBorders>
            <w:vAlign w:val="center"/>
          </w:tcPr>
          <w:p w14:paraId="55070000">
            <w:pPr>
              <w:widowControl w:val="1"/>
              <w:ind w:firstLine="2"/>
              <w:contextualSpacing w:val="1"/>
              <w:jc w:val="center"/>
            </w:pPr>
            <w:r>
              <w:t>К5</w:t>
            </w:r>
          </w:p>
        </w:tc>
        <w:tc>
          <w:tcPr>
            <w:tcW w:type="dxa" w:w="944"/>
            <w:tcBorders>
              <w:top w:color="000000" w:sz="4" w:val="single"/>
              <w:left w:color="000000" w:sz="4" w:val="single"/>
              <w:bottom w:color="000000" w:sz="4" w:val="single"/>
              <w:right w:color="000000" w:sz="4" w:val="single"/>
            </w:tcBorders>
            <w:vAlign w:val="center"/>
          </w:tcPr>
          <w:p w14:paraId="56070000">
            <w:pPr>
              <w:widowControl w:val="1"/>
              <w:ind w:firstLine="2"/>
              <w:contextualSpacing w:val="1"/>
              <w:jc w:val="center"/>
            </w:pPr>
            <w:r>
              <w:t>0,25</w:t>
            </w:r>
          </w:p>
        </w:tc>
        <w:tc>
          <w:tcPr>
            <w:tcW w:type="dxa" w:w="1616"/>
            <w:tcBorders>
              <w:top w:color="000000" w:sz="4" w:val="single"/>
              <w:left w:color="000000" w:sz="4" w:val="single"/>
              <w:bottom w:color="000000" w:sz="4" w:val="single"/>
              <w:right w:color="000000" w:sz="4" w:val="single"/>
            </w:tcBorders>
            <w:vAlign w:val="center"/>
          </w:tcPr>
          <w:p w14:paraId="57070000">
            <w:pPr>
              <w:widowControl w:val="1"/>
              <w:ind w:firstLine="2"/>
              <w:contextualSpacing w:val="1"/>
              <w:jc w:val="center"/>
            </w:pPr>
            <w:r>
              <w:t>0,25 * 2 =</w:t>
            </w:r>
            <w:r>
              <w:t>0</w:t>
            </w:r>
            <w:r>
              <w:t>,50</w:t>
            </w:r>
          </w:p>
        </w:tc>
        <w:tc>
          <w:tcPr>
            <w:tcW w:type="dxa" w:w="1645"/>
            <w:tcBorders>
              <w:top w:color="000000" w:sz="4" w:val="single"/>
              <w:left w:color="000000" w:sz="4" w:val="single"/>
              <w:bottom w:color="000000" w:sz="4" w:val="single"/>
              <w:right w:color="000000" w:sz="4" w:val="single"/>
            </w:tcBorders>
            <w:vAlign w:val="center"/>
          </w:tcPr>
          <w:p w14:paraId="58070000">
            <w:pPr>
              <w:widowControl w:val="1"/>
              <w:ind w:firstLine="2"/>
              <w:contextualSpacing w:val="1"/>
              <w:jc w:val="center"/>
            </w:pPr>
            <w:r>
              <w:t xml:space="preserve">0,25 * 2 = </w:t>
            </w:r>
            <w:r>
              <w:t>0</w:t>
            </w:r>
            <w:r>
              <w:t>,5</w:t>
            </w:r>
          </w:p>
        </w:tc>
        <w:tc>
          <w:tcPr>
            <w:tcW w:type="dxa" w:w="747"/>
            <w:tcBorders>
              <w:top w:color="000000" w:sz="4" w:val="single"/>
              <w:left w:color="000000" w:sz="4" w:val="single"/>
              <w:bottom w:color="000000" w:sz="4" w:val="single"/>
              <w:right w:color="000000" w:sz="4" w:val="single"/>
            </w:tcBorders>
            <w:vAlign w:val="center"/>
          </w:tcPr>
          <w:p w14:paraId="59070000">
            <w:pPr>
              <w:widowControl w:val="1"/>
              <w:ind w:firstLine="2"/>
              <w:contextualSpacing w:val="1"/>
              <w:jc w:val="center"/>
            </w:pPr>
            <w:r>
              <w:t>0</w:t>
            </w:r>
          </w:p>
        </w:tc>
      </w:tr>
      <w:tr>
        <w:trPr>
          <w:trHeight w:hRule="atLeast" w:val="342"/>
        </w:trPr>
        <w:tc>
          <w:tcPr>
            <w:tcW w:type="dxa" w:w="3739"/>
            <w:tcBorders>
              <w:top w:color="000000" w:sz="4" w:val="single"/>
              <w:left w:color="000000" w:sz="4" w:val="single"/>
              <w:bottom w:color="000000" w:sz="4" w:val="single"/>
              <w:right w:color="000000" w:sz="4" w:val="single"/>
            </w:tcBorders>
            <w:vAlign w:val="center"/>
          </w:tcPr>
          <w:p w14:paraId="5A070000">
            <w:pPr>
              <w:widowControl w:val="1"/>
              <w:ind w:firstLine="2"/>
              <w:contextualSpacing w:val="1"/>
            </w:pPr>
            <w:r>
              <w:t>Рентабельность собственного капитала</w:t>
            </w:r>
          </w:p>
        </w:tc>
        <w:tc>
          <w:tcPr>
            <w:tcW w:type="dxa" w:w="674"/>
            <w:tcBorders>
              <w:top w:color="000000" w:sz="4" w:val="single"/>
              <w:left w:color="000000" w:sz="4" w:val="single"/>
              <w:bottom w:color="000000" w:sz="4" w:val="single"/>
              <w:right w:color="000000" w:sz="4" w:val="single"/>
            </w:tcBorders>
            <w:vAlign w:val="center"/>
          </w:tcPr>
          <w:p w14:paraId="5B070000">
            <w:pPr>
              <w:widowControl w:val="1"/>
              <w:ind w:firstLine="2"/>
              <w:contextualSpacing w:val="1"/>
              <w:jc w:val="center"/>
            </w:pPr>
            <w:r>
              <w:t>К6</w:t>
            </w:r>
          </w:p>
        </w:tc>
        <w:tc>
          <w:tcPr>
            <w:tcW w:type="dxa" w:w="944"/>
            <w:tcBorders>
              <w:top w:color="000000" w:sz="4" w:val="single"/>
              <w:left w:color="000000" w:sz="4" w:val="single"/>
              <w:bottom w:color="000000" w:sz="4" w:val="single"/>
              <w:right w:color="000000" w:sz="4" w:val="single"/>
            </w:tcBorders>
            <w:vAlign w:val="center"/>
          </w:tcPr>
          <w:p w14:paraId="5C070000">
            <w:pPr>
              <w:widowControl w:val="1"/>
              <w:ind w:firstLine="2"/>
              <w:contextualSpacing w:val="1"/>
              <w:jc w:val="center"/>
            </w:pPr>
            <w:r>
              <w:t>0,50</w:t>
            </w:r>
          </w:p>
        </w:tc>
        <w:tc>
          <w:tcPr>
            <w:tcW w:type="dxa" w:w="1616"/>
            <w:tcBorders>
              <w:top w:color="000000" w:sz="4" w:val="single"/>
              <w:left w:color="000000" w:sz="4" w:val="single"/>
              <w:bottom w:color="000000" w:sz="4" w:val="single"/>
              <w:right w:color="000000" w:sz="4" w:val="single"/>
            </w:tcBorders>
            <w:vAlign w:val="center"/>
          </w:tcPr>
          <w:p w14:paraId="5D070000">
            <w:pPr>
              <w:widowControl w:val="1"/>
              <w:ind w:firstLine="2"/>
              <w:contextualSpacing w:val="1"/>
              <w:jc w:val="center"/>
            </w:pPr>
            <w:r>
              <w:t>0,5 * 1 = 0,5</w:t>
            </w:r>
          </w:p>
        </w:tc>
        <w:tc>
          <w:tcPr>
            <w:tcW w:type="dxa" w:w="1645"/>
            <w:tcBorders>
              <w:top w:color="000000" w:sz="4" w:val="single"/>
              <w:left w:color="000000" w:sz="4" w:val="single"/>
              <w:bottom w:color="000000" w:sz="4" w:val="single"/>
              <w:right w:color="000000" w:sz="4" w:val="single"/>
            </w:tcBorders>
            <w:vAlign w:val="center"/>
          </w:tcPr>
          <w:p w14:paraId="5E070000">
            <w:pPr>
              <w:widowControl w:val="1"/>
              <w:ind w:firstLine="2"/>
              <w:contextualSpacing w:val="1"/>
              <w:jc w:val="center"/>
            </w:pPr>
            <w:r>
              <w:t>0,50 * 1 = 0,5</w:t>
            </w:r>
          </w:p>
        </w:tc>
        <w:tc>
          <w:tcPr>
            <w:tcW w:type="dxa" w:w="747"/>
            <w:tcBorders>
              <w:top w:color="000000" w:sz="4" w:val="single"/>
              <w:left w:color="000000" w:sz="4" w:val="single"/>
              <w:bottom w:color="000000" w:sz="4" w:val="single"/>
              <w:right w:color="000000" w:sz="4" w:val="single"/>
            </w:tcBorders>
            <w:vAlign w:val="center"/>
          </w:tcPr>
          <w:p w14:paraId="5F070000">
            <w:pPr>
              <w:widowControl w:val="1"/>
              <w:ind w:firstLine="2"/>
              <w:contextualSpacing w:val="1"/>
              <w:jc w:val="center"/>
            </w:pPr>
            <w:r>
              <w:t>0</w:t>
            </w:r>
          </w:p>
        </w:tc>
      </w:tr>
      <w:tr>
        <w:trPr>
          <w:trHeight w:hRule="atLeast" w:val="351"/>
        </w:trPr>
        <w:tc>
          <w:tcPr>
            <w:tcW w:type="dxa" w:w="3739"/>
            <w:tcBorders>
              <w:top w:color="000000" w:sz="4" w:val="single"/>
              <w:left w:color="000000" w:sz="4" w:val="single"/>
              <w:bottom w:color="000000" w:sz="4" w:val="single"/>
              <w:right w:color="000000" w:sz="4" w:val="single"/>
            </w:tcBorders>
            <w:vAlign w:val="center"/>
          </w:tcPr>
          <w:p w14:paraId="60070000">
            <w:pPr>
              <w:widowControl w:val="1"/>
              <w:ind w:firstLine="2"/>
              <w:contextualSpacing w:val="1"/>
            </w:pPr>
            <w:r>
              <w:t>Рентабельность активов</w:t>
            </w:r>
          </w:p>
        </w:tc>
        <w:tc>
          <w:tcPr>
            <w:tcW w:type="dxa" w:w="674"/>
            <w:tcBorders>
              <w:top w:color="000000" w:sz="4" w:val="single"/>
              <w:left w:color="000000" w:sz="4" w:val="single"/>
              <w:bottom w:color="000000" w:sz="4" w:val="single"/>
              <w:right w:color="000000" w:sz="4" w:val="single"/>
            </w:tcBorders>
            <w:vAlign w:val="center"/>
          </w:tcPr>
          <w:p w14:paraId="61070000">
            <w:pPr>
              <w:widowControl w:val="1"/>
              <w:ind w:firstLine="2"/>
              <w:contextualSpacing w:val="1"/>
              <w:jc w:val="center"/>
            </w:pPr>
            <w:r>
              <w:t>К7</w:t>
            </w:r>
          </w:p>
        </w:tc>
        <w:tc>
          <w:tcPr>
            <w:tcW w:type="dxa" w:w="944"/>
            <w:tcBorders>
              <w:top w:color="000000" w:sz="4" w:val="single"/>
              <w:left w:color="000000" w:sz="4" w:val="single"/>
              <w:bottom w:color="000000" w:sz="4" w:val="single"/>
              <w:right w:color="000000" w:sz="4" w:val="single"/>
            </w:tcBorders>
            <w:vAlign w:val="center"/>
          </w:tcPr>
          <w:p w14:paraId="62070000">
            <w:pPr>
              <w:widowControl w:val="1"/>
              <w:ind w:firstLine="2"/>
              <w:contextualSpacing w:val="1"/>
              <w:jc w:val="center"/>
            </w:pPr>
            <w:r>
              <w:t>0,50</w:t>
            </w:r>
          </w:p>
        </w:tc>
        <w:tc>
          <w:tcPr>
            <w:tcW w:type="dxa" w:w="1616"/>
            <w:tcBorders>
              <w:top w:color="000000" w:sz="4" w:val="single"/>
              <w:left w:color="000000" w:sz="4" w:val="single"/>
              <w:bottom w:color="000000" w:sz="4" w:val="single"/>
              <w:right w:color="000000" w:sz="4" w:val="single"/>
            </w:tcBorders>
            <w:vAlign w:val="center"/>
          </w:tcPr>
          <w:p w14:paraId="63070000">
            <w:pPr>
              <w:widowControl w:val="1"/>
              <w:ind w:firstLine="2"/>
              <w:contextualSpacing w:val="1"/>
              <w:jc w:val="center"/>
            </w:pPr>
            <w:r>
              <w:t>0,50 * 3= 1,5</w:t>
            </w:r>
          </w:p>
        </w:tc>
        <w:tc>
          <w:tcPr>
            <w:tcW w:type="dxa" w:w="1645"/>
            <w:tcBorders>
              <w:top w:color="000000" w:sz="4" w:val="single"/>
              <w:left w:color="000000" w:sz="4" w:val="single"/>
              <w:bottom w:color="000000" w:sz="4" w:val="single"/>
              <w:right w:color="000000" w:sz="4" w:val="single"/>
            </w:tcBorders>
            <w:vAlign w:val="center"/>
          </w:tcPr>
          <w:p w14:paraId="64070000">
            <w:pPr>
              <w:widowControl w:val="1"/>
              <w:ind w:firstLine="2"/>
              <w:contextualSpacing w:val="1"/>
              <w:jc w:val="center"/>
            </w:pPr>
            <w:r>
              <w:t>0,50 * 2= 1,0</w:t>
            </w:r>
          </w:p>
        </w:tc>
        <w:tc>
          <w:tcPr>
            <w:tcW w:type="dxa" w:w="747"/>
            <w:tcBorders>
              <w:top w:color="000000" w:sz="4" w:val="single"/>
              <w:left w:color="000000" w:sz="4" w:val="single"/>
              <w:bottom w:color="000000" w:sz="4" w:val="single"/>
              <w:right w:color="000000" w:sz="4" w:val="single"/>
            </w:tcBorders>
            <w:vAlign w:val="center"/>
          </w:tcPr>
          <w:p w14:paraId="65070000">
            <w:pPr>
              <w:widowControl w:val="1"/>
              <w:ind w:firstLine="2"/>
              <w:contextualSpacing w:val="1"/>
              <w:jc w:val="center"/>
            </w:pPr>
            <w:r>
              <w:t>-0,5</w:t>
            </w:r>
          </w:p>
        </w:tc>
      </w:tr>
      <w:tr>
        <w:trPr>
          <w:trHeight w:hRule="atLeast" w:val="434"/>
        </w:trPr>
        <w:tc>
          <w:tcPr>
            <w:tcW w:type="dxa" w:w="3739"/>
            <w:tcBorders>
              <w:top w:color="000000" w:sz="4" w:val="single"/>
              <w:left w:color="000000" w:sz="4" w:val="single"/>
              <w:bottom w:color="000000" w:sz="4" w:val="single"/>
              <w:right w:color="000000" w:sz="4" w:val="single"/>
            </w:tcBorders>
            <w:vAlign w:val="center"/>
          </w:tcPr>
          <w:p w14:paraId="66070000">
            <w:pPr>
              <w:widowControl w:val="1"/>
              <w:ind w:firstLine="2"/>
              <w:contextualSpacing w:val="1"/>
            </w:pPr>
            <w:r>
              <w:t xml:space="preserve">Соотношение дебиторской и кредиторской задолженности </w:t>
            </w:r>
          </w:p>
        </w:tc>
        <w:tc>
          <w:tcPr>
            <w:tcW w:type="dxa" w:w="674"/>
            <w:tcBorders>
              <w:top w:color="000000" w:sz="4" w:val="single"/>
              <w:left w:color="000000" w:sz="4" w:val="single"/>
              <w:bottom w:color="000000" w:sz="4" w:val="single"/>
              <w:right w:color="000000" w:sz="4" w:val="single"/>
            </w:tcBorders>
            <w:vAlign w:val="center"/>
          </w:tcPr>
          <w:p w14:paraId="67070000">
            <w:pPr>
              <w:widowControl w:val="1"/>
              <w:ind w:firstLine="2"/>
              <w:contextualSpacing w:val="1"/>
              <w:jc w:val="center"/>
            </w:pPr>
            <w:r>
              <w:t>К8</w:t>
            </w:r>
          </w:p>
        </w:tc>
        <w:tc>
          <w:tcPr>
            <w:tcW w:type="dxa" w:w="944"/>
            <w:tcBorders>
              <w:top w:color="000000" w:sz="4" w:val="single"/>
              <w:left w:color="000000" w:sz="4" w:val="single"/>
              <w:bottom w:color="000000" w:sz="4" w:val="single"/>
              <w:right w:color="000000" w:sz="4" w:val="single"/>
            </w:tcBorders>
            <w:vAlign w:val="center"/>
          </w:tcPr>
          <w:p w14:paraId="68070000">
            <w:pPr>
              <w:widowControl w:val="1"/>
              <w:ind w:firstLine="2"/>
              <w:contextualSpacing w:val="1"/>
              <w:jc w:val="center"/>
            </w:pPr>
            <w:r>
              <w:t>0,25</w:t>
            </w:r>
          </w:p>
        </w:tc>
        <w:tc>
          <w:tcPr>
            <w:tcW w:type="dxa" w:w="1616"/>
            <w:tcBorders>
              <w:top w:color="000000" w:sz="4" w:val="single"/>
              <w:left w:color="000000" w:sz="4" w:val="single"/>
              <w:bottom w:color="000000" w:sz="4" w:val="single"/>
              <w:right w:color="000000" w:sz="4" w:val="single"/>
            </w:tcBorders>
            <w:vAlign w:val="center"/>
          </w:tcPr>
          <w:p w14:paraId="69070000">
            <w:pPr>
              <w:widowControl w:val="1"/>
              <w:ind w:firstLine="2"/>
              <w:contextualSpacing w:val="1"/>
              <w:jc w:val="center"/>
            </w:pPr>
            <w:r>
              <w:t>0,25 * 1= 0,25</w:t>
            </w:r>
          </w:p>
        </w:tc>
        <w:tc>
          <w:tcPr>
            <w:tcW w:type="dxa" w:w="1645"/>
            <w:tcBorders>
              <w:top w:color="000000" w:sz="4" w:val="single"/>
              <w:left w:color="000000" w:sz="4" w:val="single"/>
              <w:bottom w:color="000000" w:sz="4" w:val="single"/>
              <w:right w:color="000000" w:sz="4" w:val="single"/>
            </w:tcBorders>
            <w:vAlign w:val="center"/>
          </w:tcPr>
          <w:p w14:paraId="6A070000">
            <w:pPr>
              <w:widowControl w:val="1"/>
              <w:ind w:firstLine="2"/>
              <w:contextualSpacing w:val="1"/>
              <w:jc w:val="center"/>
            </w:pPr>
            <w:r>
              <w:t xml:space="preserve">0,25 * 2= </w:t>
            </w:r>
            <w:r>
              <w:t>0,5</w:t>
            </w:r>
          </w:p>
        </w:tc>
        <w:tc>
          <w:tcPr>
            <w:tcW w:type="dxa" w:w="747"/>
            <w:tcBorders>
              <w:top w:color="000000" w:sz="4" w:val="single"/>
              <w:left w:color="000000" w:sz="4" w:val="single"/>
              <w:bottom w:color="000000" w:sz="4" w:val="single"/>
              <w:right w:color="000000" w:sz="4" w:val="single"/>
            </w:tcBorders>
            <w:vAlign w:val="center"/>
          </w:tcPr>
          <w:p w14:paraId="6B070000">
            <w:pPr>
              <w:widowControl w:val="1"/>
              <w:ind w:firstLine="2"/>
              <w:contextualSpacing w:val="1"/>
              <w:jc w:val="center"/>
            </w:pPr>
            <w:r>
              <w:t>0</w:t>
            </w:r>
            <w:r>
              <w:t>,25</w:t>
            </w:r>
          </w:p>
        </w:tc>
      </w:tr>
      <w:tr>
        <w:trPr>
          <w:trHeight w:hRule="atLeast" w:val="584"/>
        </w:trPr>
        <w:tc>
          <w:tcPr>
            <w:tcW w:type="dxa" w:w="3739"/>
            <w:tcBorders>
              <w:top w:color="000000" w:sz="4" w:val="single"/>
              <w:left w:color="000000" w:sz="4" w:val="single"/>
              <w:bottom w:color="000000" w:sz="4" w:val="single"/>
              <w:right w:color="000000" w:sz="4" w:val="single"/>
            </w:tcBorders>
            <w:vAlign w:val="center"/>
          </w:tcPr>
          <w:p w14:paraId="6C070000">
            <w:pPr>
              <w:widowControl w:val="1"/>
              <w:ind w:firstLine="2"/>
              <w:contextualSpacing w:val="1"/>
              <w:rPr>
                <w:b w:val="1"/>
              </w:rPr>
            </w:pPr>
            <w:r>
              <w:t xml:space="preserve">Соотношение оборачиваемости дебиторской и кредиторской задолженности </w:t>
            </w:r>
          </w:p>
        </w:tc>
        <w:tc>
          <w:tcPr>
            <w:tcW w:type="dxa" w:w="674"/>
            <w:tcBorders>
              <w:top w:color="000000" w:sz="4" w:val="single"/>
              <w:left w:color="000000" w:sz="4" w:val="single"/>
              <w:bottom w:color="000000" w:sz="4" w:val="single"/>
              <w:right w:color="000000" w:sz="4" w:val="single"/>
            </w:tcBorders>
            <w:vAlign w:val="center"/>
          </w:tcPr>
          <w:p w14:paraId="6D070000">
            <w:pPr>
              <w:widowControl w:val="1"/>
              <w:ind w:firstLine="2"/>
              <w:contextualSpacing w:val="1"/>
              <w:jc w:val="center"/>
            </w:pPr>
            <w:r>
              <w:t>К9</w:t>
            </w:r>
          </w:p>
        </w:tc>
        <w:tc>
          <w:tcPr>
            <w:tcW w:type="dxa" w:w="944"/>
            <w:tcBorders>
              <w:top w:color="000000" w:sz="4" w:val="single"/>
              <w:left w:color="000000" w:sz="4" w:val="single"/>
              <w:bottom w:color="000000" w:sz="4" w:val="single"/>
              <w:right w:color="000000" w:sz="4" w:val="single"/>
            </w:tcBorders>
            <w:vAlign w:val="center"/>
          </w:tcPr>
          <w:p w14:paraId="6E070000">
            <w:pPr>
              <w:widowControl w:val="1"/>
              <w:ind w:firstLine="2"/>
              <w:contextualSpacing w:val="1"/>
              <w:jc w:val="center"/>
            </w:pPr>
            <w:r>
              <w:t>0,25</w:t>
            </w:r>
          </w:p>
        </w:tc>
        <w:tc>
          <w:tcPr>
            <w:tcW w:type="dxa" w:w="1616"/>
            <w:tcBorders>
              <w:top w:color="000000" w:sz="4" w:val="single"/>
              <w:left w:color="000000" w:sz="4" w:val="single"/>
              <w:bottom w:color="000000" w:sz="4" w:val="single"/>
              <w:right w:color="000000" w:sz="4" w:val="single"/>
            </w:tcBorders>
            <w:vAlign w:val="center"/>
          </w:tcPr>
          <w:p w14:paraId="6F070000">
            <w:pPr>
              <w:widowControl w:val="1"/>
              <w:ind w:firstLine="2"/>
              <w:contextualSpacing w:val="1"/>
              <w:jc w:val="center"/>
            </w:pPr>
            <w:r>
              <w:t xml:space="preserve">0,25*2= </w:t>
            </w:r>
            <w:r>
              <w:t>0</w:t>
            </w:r>
            <w:r>
              <w:t>,</w:t>
            </w:r>
            <w:r>
              <w:t>5</w:t>
            </w:r>
          </w:p>
        </w:tc>
        <w:tc>
          <w:tcPr>
            <w:tcW w:type="dxa" w:w="1645"/>
            <w:tcBorders>
              <w:top w:color="000000" w:sz="4" w:val="single"/>
              <w:left w:color="000000" w:sz="4" w:val="single"/>
              <w:bottom w:color="000000" w:sz="4" w:val="single"/>
              <w:right w:color="000000" w:sz="4" w:val="single"/>
            </w:tcBorders>
            <w:vAlign w:val="center"/>
          </w:tcPr>
          <w:p w14:paraId="70070000">
            <w:pPr>
              <w:widowControl w:val="1"/>
              <w:ind w:firstLine="2"/>
              <w:contextualSpacing w:val="1"/>
              <w:jc w:val="center"/>
            </w:pPr>
            <w:r>
              <w:t xml:space="preserve">0,25*2= </w:t>
            </w:r>
            <w:r>
              <w:t>0</w:t>
            </w:r>
            <w:r>
              <w:t>,</w:t>
            </w:r>
            <w:r>
              <w:t>5</w:t>
            </w:r>
          </w:p>
        </w:tc>
        <w:tc>
          <w:tcPr>
            <w:tcW w:type="dxa" w:w="747"/>
            <w:tcBorders>
              <w:top w:color="000000" w:sz="4" w:val="single"/>
              <w:left w:color="000000" w:sz="4" w:val="single"/>
              <w:bottom w:color="000000" w:sz="4" w:val="single"/>
              <w:right w:color="000000" w:sz="4" w:val="single"/>
            </w:tcBorders>
            <w:vAlign w:val="center"/>
          </w:tcPr>
          <w:p w14:paraId="71070000">
            <w:pPr>
              <w:widowControl w:val="1"/>
              <w:ind w:firstLine="2"/>
              <w:contextualSpacing w:val="1"/>
              <w:jc w:val="center"/>
            </w:pPr>
            <w:r>
              <w:t>0</w:t>
            </w:r>
          </w:p>
        </w:tc>
      </w:tr>
      <w:tr>
        <w:trPr>
          <w:trHeight w:hRule="atLeast" w:val="710"/>
        </w:trPr>
        <w:tc>
          <w:tcPr>
            <w:tcW w:type="dxa" w:w="3739"/>
            <w:tcBorders>
              <w:top w:color="000000" w:sz="4" w:val="single"/>
              <w:left w:color="000000" w:sz="4" w:val="single"/>
              <w:bottom w:color="000000" w:sz="4" w:val="single"/>
              <w:right w:color="000000" w:sz="4" w:val="single"/>
            </w:tcBorders>
          </w:tcPr>
          <w:p w14:paraId="72070000">
            <w:pPr>
              <w:widowControl w:val="1"/>
              <w:ind w:firstLine="2"/>
              <w:contextualSpacing w:val="1"/>
            </w:pPr>
            <w:r>
              <w:t>Соотношение роста прибыли до вычета расходов по процентам, уплаты налогов и амортизации (</w:t>
            </w:r>
            <w:r>
              <w:t>EBITDA</w:t>
            </w:r>
            <w:r>
              <w:t>) к росту выручки</w:t>
            </w:r>
          </w:p>
        </w:tc>
        <w:tc>
          <w:tcPr>
            <w:tcW w:type="dxa" w:w="674"/>
            <w:tcBorders>
              <w:top w:color="000000" w:sz="4" w:val="single"/>
              <w:left w:color="000000" w:sz="4" w:val="single"/>
              <w:bottom w:color="000000" w:sz="4" w:val="single"/>
              <w:right w:color="000000" w:sz="4" w:val="single"/>
            </w:tcBorders>
            <w:vAlign w:val="center"/>
          </w:tcPr>
          <w:p w14:paraId="73070000">
            <w:pPr>
              <w:widowControl w:val="1"/>
              <w:ind w:firstLine="2"/>
              <w:contextualSpacing w:val="1"/>
              <w:jc w:val="center"/>
            </w:pPr>
            <w:r>
              <w:t>К10</w:t>
            </w:r>
          </w:p>
        </w:tc>
        <w:tc>
          <w:tcPr>
            <w:tcW w:type="dxa" w:w="944"/>
            <w:tcBorders>
              <w:top w:color="000000" w:sz="4" w:val="single"/>
              <w:left w:color="000000" w:sz="4" w:val="single"/>
              <w:bottom w:color="000000" w:sz="4" w:val="single"/>
              <w:right w:color="000000" w:sz="4" w:val="single"/>
            </w:tcBorders>
            <w:vAlign w:val="center"/>
          </w:tcPr>
          <w:p w14:paraId="74070000">
            <w:pPr>
              <w:widowControl w:val="1"/>
              <w:ind w:firstLine="2"/>
              <w:contextualSpacing w:val="1"/>
              <w:jc w:val="center"/>
            </w:pPr>
            <w:r>
              <w:t>0,25</w:t>
            </w:r>
          </w:p>
        </w:tc>
        <w:tc>
          <w:tcPr>
            <w:tcW w:type="dxa" w:w="1616"/>
            <w:tcBorders>
              <w:top w:color="000000" w:sz="4" w:val="single"/>
              <w:left w:color="000000" w:sz="4" w:val="single"/>
              <w:bottom w:color="000000" w:sz="4" w:val="single"/>
              <w:right w:color="000000" w:sz="4" w:val="single"/>
            </w:tcBorders>
            <w:vAlign w:val="center"/>
          </w:tcPr>
          <w:p w14:paraId="75070000">
            <w:pPr>
              <w:widowControl w:val="1"/>
              <w:ind w:firstLine="2"/>
              <w:contextualSpacing w:val="1"/>
              <w:jc w:val="center"/>
            </w:pPr>
            <w:r>
              <w:t>0,25*1=0,25</w:t>
            </w:r>
          </w:p>
        </w:tc>
        <w:tc>
          <w:tcPr>
            <w:tcW w:type="dxa" w:w="1645"/>
            <w:tcBorders>
              <w:top w:color="000000" w:sz="4" w:val="single"/>
              <w:left w:color="000000" w:sz="4" w:val="single"/>
              <w:bottom w:color="000000" w:sz="4" w:val="single"/>
              <w:right w:color="000000" w:sz="4" w:val="single"/>
            </w:tcBorders>
            <w:vAlign w:val="center"/>
          </w:tcPr>
          <w:p w14:paraId="76070000">
            <w:pPr>
              <w:widowControl w:val="1"/>
              <w:ind w:firstLine="2"/>
              <w:contextualSpacing w:val="1"/>
              <w:jc w:val="center"/>
            </w:pPr>
            <w:r>
              <w:t>0,25*1=0,25</w:t>
            </w:r>
          </w:p>
        </w:tc>
        <w:tc>
          <w:tcPr>
            <w:tcW w:type="dxa" w:w="747"/>
            <w:tcBorders>
              <w:top w:color="000000" w:sz="4" w:val="single"/>
              <w:left w:color="000000" w:sz="4" w:val="single"/>
              <w:bottom w:color="000000" w:sz="4" w:val="single"/>
              <w:right w:color="000000" w:sz="4" w:val="single"/>
            </w:tcBorders>
            <w:vAlign w:val="center"/>
          </w:tcPr>
          <w:p w14:paraId="77070000">
            <w:pPr>
              <w:widowControl w:val="1"/>
              <w:ind w:firstLine="2"/>
              <w:contextualSpacing w:val="1"/>
              <w:jc w:val="center"/>
            </w:pPr>
            <w:r>
              <w:t>0</w:t>
            </w:r>
          </w:p>
        </w:tc>
      </w:tr>
      <w:tr>
        <w:trPr>
          <w:trHeight w:hRule="atLeast" w:val="477"/>
        </w:trPr>
        <w:tc>
          <w:tcPr>
            <w:tcW w:type="dxa" w:w="4413"/>
            <w:gridSpan w:val="2"/>
            <w:tcBorders>
              <w:top w:color="000000" w:sz="4" w:val="single"/>
              <w:left w:color="000000" w:sz="4" w:val="single"/>
              <w:bottom w:color="000000" w:sz="4" w:val="single"/>
              <w:right w:color="000000" w:sz="4" w:val="single"/>
            </w:tcBorders>
            <w:vAlign w:val="center"/>
          </w:tcPr>
          <w:p w14:paraId="78070000">
            <w:pPr>
              <w:widowControl w:val="1"/>
              <w:ind w:firstLine="2"/>
              <w:contextualSpacing w:val="1"/>
              <w:jc w:val="center"/>
              <w:rPr>
                <w:b w:val="1"/>
              </w:rPr>
            </w:pPr>
            <w:r>
              <w:rPr>
                <w:b w:val="1"/>
              </w:rPr>
              <w:t>Итого (сумма весов)</w:t>
            </w:r>
          </w:p>
        </w:tc>
        <w:tc>
          <w:tcPr>
            <w:tcW w:type="dxa" w:w="944"/>
            <w:tcBorders>
              <w:top w:color="000000" w:sz="4" w:val="single"/>
              <w:left w:color="000000" w:sz="4" w:val="single"/>
              <w:bottom w:color="000000" w:sz="4" w:val="single"/>
              <w:right w:color="000000" w:sz="4" w:val="single"/>
            </w:tcBorders>
            <w:vAlign w:val="center"/>
          </w:tcPr>
          <w:p w14:paraId="79070000">
            <w:pPr>
              <w:widowControl w:val="1"/>
              <w:ind w:firstLine="2"/>
              <w:contextualSpacing w:val="1"/>
              <w:jc w:val="center"/>
              <w:rPr>
                <w:b w:val="1"/>
              </w:rPr>
            </w:pPr>
          </w:p>
        </w:tc>
        <w:tc>
          <w:tcPr>
            <w:tcW w:type="dxa" w:w="1616"/>
            <w:tcBorders>
              <w:top w:color="000000" w:sz="4" w:val="single"/>
              <w:left w:color="000000" w:sz="4" w:val="single"/>
              <w:bottom w:color="000000" w:sz="4" w:val="single"/>
              <w:right w:color="000000" w:sz="4" w:val="single"/>
            </w:tcBorders>
            <w:vAlign w:val="center"/>
          </w:tcPr>
          <w:p w14:paraId="7A070000">
            <w:pPr>
              <w:widowControl w:val="1"/>
              <w:ind w:firstLine="2"/>
              <w:contextualSpacing w:val="1"/>
              <w:jc w:val="center"/>
              <w:rPr>
                <w:b w:val="1"/>
              </w:rPr>
            </w:pPr>
            <w:r>
              <w:rPr>
                <w:b w:val="1"/>
              </w:rPr>
              <w:t>9,25</w:t>
            </w:r>
          </w:p>
        </w:tc>
        <w:tc>
          <w:tcPr>
            <w:tcW w:type="dxa" w:w="1645"/>
            <w:tcBorders>
              <w:top w:color="000000" w:sz="4" w:val="single"/>
              <w:left w:color="000000" w:sz="4" w:val="single"/>
              <w:bottom w:color="000000" w:sz="4" w:val="single"/>
              <w:right w:color="000000" w:sz="4" w:val="single"/>
            </w:tcBorders>
            <w:vAlign w:val="center"/>
          </w:tcPr>
          <w:p w14:paraId="7B070000">
            <w:pPr>
              <w:widowControl w:val="1"/>
              <w:ind w:firstLine="2"/>
              <w:contextualSpacing w:val="1"/>
              <w:jc w:val="center"/>
              <w:rPr>
                <w:b w:val="1"/>
              </w:rPr>
            </w:pPr>
            <w:r>
              <w:rPr>
                <w:b w:val="1"/>
              </w:rPr>
              <w:t>9,00</w:t>
            </w:r>
          </w:p>
        </w:tc>
        <w:tc>
          <w:tcPr>
            <w:tcW w:type="dxa" w:w="747"/>
            <w:tcBorders>
              <w:top w:color="000000" w:sz="4" w:val="single"/>
              <w:left w:color="000000" w:sz="4" w:val="single"/>
              <w:bottom w:color="000000" w:sz="4" w:val="single"/>
              <w:right w:color="000000" w:sz="4" w:val="single"/>
            </w:tcBorders>
            <w:vAlign w:val="center"/>
          </w:tcPr>
          <w:p w14:paraId="7C070000">
            <w:pPr>
              <w:widowControl w:val="1"/>
              <w:ind w:firstLine="2"/>
              <w:contextualSpacing w:val="1"/>
              <w:jc w:val="center"/>
              <w:rPr>
                <w:b w:val="1"/>
              </w:rPr>
            </w:pPr>
            <w:r>
              <w:rPr>
                <w:b w:val="1"/>
              </w:rPr>
              <w:t>-0,25</w:t>
            </w:r>
          </w:p>
        </w:tc>
      </w:tr>
    </w:tbl>
    <w:p w14:paraId="7D070000">
      <w:pPr>
        <w:keepNext w:val="1"/>
        <w:widowControl w:val="1"/>
        <w:ind w:firstLine="709"/>
        <w:contextualSpacing w:val="1"/>
        <w:jc w:val="right"/>
        <w:rPr>
          <w:b w:val="1"/>
        </w:rPr>
      </w:pPr>
    </w:p>
    <w:p w14:paraId="7E070000">
      <w:pPr>
        <w:pStyle w:val="Style_23"/>
        <w:widowControl w:val="1"/>
        <w:ind w:firstLine="709"/>
        <w:contextualSpacing w:val="1"/>
        <w:rPr>
          <w:sz w:val="24"/>
        </w:rPr>
      </w:pPr>
    </w:p>
    <w:p w14:paraId="7F070000">
      <w:pPr>
        <w:pStyle w:val="Style_23"/>
        <w:widowControl w:val="1"/>
        <w:ind w:firstLine="709"/>
        <w:contextualSpacing w:val="1"/>
        <w:rPr>
          <w:sz w:val="24"/>
        </w:rPr>
      </w:pPr>
      <w:r>
        <w:rPr>
          <w:sz w:val="24"/>
        </w:rPr>
        <w:t>Общая сумма баллов рассчитывается по следующей формуле:</w:t>
      </w:r>
    </w:p>
    <w:p w14:paraId="80070000">
      <w:pPr>
        <w:widowControl w:val="1"/>
        <w:ind w:firstLine="709"/>
        <w:contextualSpacing w:val="1"/>
        <w:jc w:val="both"/>
      </w:pPr>
      <w:r>
        <w:drawing>
          <wp:inline>
            <wp:extent cx="1060450" cy="255905"/>
            <wp:docPr hidden="false" id="20" name="Picture 20"/>
            <a:graphic>
              <a:graphicData uri="http://schemas.openxmlformats.org/drawingml/2006/picture">
                <pic:pic>
                  <pic:nvPicPr>
                    <pic:cNvPr hidden="false" id="21" name="Picture 21"/>
                    <pic:cNvPicPr preferRelativeResize="true"/>
                  </pic:nvPicPr>
                  <pic:blipFill>
                    <a:blip r:embed="rId32"/>
                    <a:srcRect b="0" l="0" r="0" t="0"/>
                    <a:stretch/>
                  </pic:blipFill>
                  <pic:spPr>
                    <a:xfrm flipH="false" flipV="false" rot="0">
                      <a:ext cx="1060450" cy="255905"/>
                    </a:xfrm>
                    <a:prstGeom prst="rect"/>
                  </pic:spPr>
                </pic:pic>
              </a:graphicData>
            </a:graphic>
          </wp:inline>
        </w:drawing>
      </w:r>
      <w:r>
        <w:t>, где</w:t>
      </w:r>
    </w:p>
    <w:p w14:paraId="81070000">
      <w:pPr>
        <w:widowControl w:val="1"/>
        <w:ind w:firstLine="709"/>
        <w:contextualSpacing w:val="1"/>
        <w:jc w:val="both"/>
      </w:pPr>
      <w:r>
        <w:drawing>
          <wp:inline>
            <wp:extent cx="153670" cy="160655"/>
            <wp:docPr hidden="false" id="22" name="Picture 22"/>
            <a:graphic>
              <a:graphicData uri="http://schemas.openxmlformats.org/drawingml/2006/picture">
                <pic:pic>
                  <pic:nvPicPr>
                    <pic:cNvPr hidden="false" id="23" name="Picture 23"/>
                    <pic:cNvPicPr preferRelativeResize="true"/>
                  </pic:nvPicPr>
                  <pic:blipFill>
                    <a:blip r:embed="rId33"/>
                    <a:srcRect b="0" l="0" r="0" t="0"/>
                    <a:stretch/>
                  </pic:blipFill>
                  <pic:spPr>
                    <a:xfrm flipH="false" flipV="false" rot="0">
                      <a:ext cx="153670" cy="160655"/>
                    </a:xfrm>
                    <a:prstGeom prst="rect"/>
                  </pic:spPr>
                </pic:pic>
              </a:graphicData>
            </a:graphic>
          </wp:inline>
        </w:drawing>
      </w:r>
      <w:r>
        <w:t xml:space="preserve"> - общая сумма баллов.</w:t>
      </w:r>
    </w:p>
    <w:p w14:paraId="82070000">
      <w:pPr>
        <w:widowControl w:val="1"/>
        <w:ind w:firstLine="709"/>
        <w:contextualSpacing w:val="1"/>
        <w:jc w:val="both"/>
      </w:pPr>
      <w:r>
        <w:drawing>
          <wp:inline>
            <wp:extent cx="226695" cy="226568"/>
            <wp:docPr hidden="false" id="24" name="Picture 24"/>
            <a:graphic>
              <a:graphicData uri="http://schemas.openxmlformats.org/drawingml/2006/picture">
                <pic:pic>
                  <pic:nvPicPr>
                    <pic:cNvPr hidden="false" id="25" name="Picture 25"/>
                    <pic:cNvPicPr preferRelativeResize="true"/>
                  </pic:nvPicPr>
                  <pic:blipFill>
                    <a:blip r:embed="rId34"/>
                    <a:srcRect b="0" l="0" r="0" t="0"/>
                    <a:stretch/>
                  </pic:blipFill>
                  <pic:spPr>
                    <a:xfrm flipH="false" flipV="false" rot="0">
                      <a:ext cx="226695" cy="226568"/>
                    </a:xfrm>
                    <a:prstGeom prst="rect"/>
                  </pic:spPr>
                </pic:pic>
              </a:graphicData>
            </a:graphic>
          </wp:inline>
        </w:drawing>
      </w:r>
      <w:r>
        <w:t xml:space="preserve"> - балл </w:t>
      </w:r>
      <w:r>
        <w:rPr>
          <w:i w:val="1"/>
        </w:rPr>
        <w:t>j</w:t>
      </w:r>
      <w:r>
        <w:t>-го финансового показателя;</w:t>
      </w:r>
    </w:p>
    <w:p w14:paraId="83070000">
      <w:pPr>
        <w:widowControl w:val="1"/>
        <w:ind w:firstLine="709"/>
        <w:contextualSpacing w:val="1"/>
        <w:jc w:val="both"/>
      </w:pPr>
      <w:r>
        <w:drawing>
          <wp:inline>
            <wp:extent cx="226695" cy="226568"/>
            <wp:docPr hidden="false" id="26" name="Picture 26"/>
            <a:graphic>
              <a:graphicData uri="http://schemas.openxmlformats.org/drawingml/2006/picture">
                <pic:pic>
                  <pic:nvPicPr>
                    <pic:cNvPr hidden="false" id="27" name="Picture 27"/>
                    <pic:cNvPicPr preferRelativeResize="true"/>
                  </pic:nvPicPr>
                  <pic:blipFill>
                    <a:blip r:embed="rId35"/>
                    <a:srcRect b="0" l="0" r="0" t="0"/>
                    <a:stretch/>
                  </pic:blipFill>
                  <pic:spPr>
                    <a:xfrm flipH="false" flipV="false" rot="0">
                      <a:ext cx="226695" cy="226568"/>
                    </a:xfrm>
                    <a:prstGeom prst="rect"/>
                  </pic:spPr>
                </pic:pic>
              </a:graphicData>
            </a:graphic>
          </wp:inline>
        </w:drawing>
      </w:r>
      <w:r>
        <w:t xml:space="preserve"> - вес </w:t>
      </w:r>
      <w:r>
        <w:rPr>
          <w:i w:val="1"/>
        </w:rPr>
        <w:t>j</w:t>
      </w:r>
      <w:r>
        <w:t>-го финансового показателя.</w:t>
      </w:r>
    </w:p>
    <w:p w14:paraId="84070000">
      <w:pPr>
        <w:pStyle w:val="Style_17"/>
        <w:keepNext w:val="1"/>
        <w:widowControl w:val="1"/>
        <w:ind w:firstLine="709"/>
        <w:contextualSpacing w:val="1"/>
        <w:jc w:val="both"/>
        <w:rPr>
          <w:b w:val="1"/>
          <w:sz w:val="24"/>
        </w:rPr>
      </w:pPr>
      <w:r>
        <w:rPr>
          <w:b w:val="1"/>
          <w:sz w:val="24"/>
        </w:rPr>
        <w:t>Итоговый рейтинг предприятия.</w:t>
      </w:r>
    </w:p>
    <w:p w14:paraId="85070000">
      <w:pPr>
        <w:pStyle w:val="Style_17"/>
        <w:keepNext w:val="1"/>
        <w:widowControl w:val="1"/>
        <w:ind w:firstLine="709"/>
        <w:contextualSpacing w:val="1"/>
        <w:jc w:val="right"/>
        <w:rPr>
          <w:b w:val="1"/>
          <w:sz w:val="24"/>
        </w:rPr>
      </w:pPr>
      <w:r>
        <w:rPr>
          <w:b w:val="1"/>
          <w:sz w:val="24"/>
        </w:rPr>
        <w:t>Таблица 5.</w:t>
      </w:r>
      <w:r>
        <w:rPr>
          <w:b w:val="1"/>
          <w:sz w:val="24"/>
        </w:rPr>
        <w:t>8</w:t>
      </w:r>
    </w:p>
    <w:tbl>
      <w:tblPr>
        <w:tblStyle w:val="Style_4"/>
        <w:tblW w:type="auto" w:w="0"/>
        <w:tblInd w:type="dxa" w:w="250"/>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769"/>
        <w:gridCol w:w="1186"/>
        <w:gridCol w:w="2353"/>
      </w:tblGrid>
      <w:tr>
        <w:trPr>
          <w:trHeight w:hRule="atLeast" w:val="631"/>
        </w:trPr>
        <w:tc>
          <w:tcPr>
            <w:tcW w:type="dxa" w:w="5769"/>
            <w:tcBorders>
              <w:top w:color="000000" w:sz="4" w:val="single"/>
              <w:left w:color="000000" w:sz="4" w:val="single"/>
              <w:bottom w:color="000000" w:sz="4" w:val="single"/>
              <w:right w:color="000000" w:sz="4" w:val="single"/>
            </w:tcBorders>
            <w:vAlign w:val="center"/>
          </w:tcPr>
          <w:p w14:paraId="86070000">
            <w:pPr>
              <w:widowControl w:val="1"/>
              <w:ind/>
              <w:contextualSpacing w:val="1"/>
              <w:jc w:val="center"/>
            </w:pPr>
            <w:r>
              <w:t>Группа финансовой устойчивости</w:t>
            </w:r>
          </w:p>
        </w:tc>
        <w:tc>
          <w:tcPr>
            <w:tcW w:type="dxa" w:w="1186"/>
            <w:tcBorders>
              <w:top w:color="000000" w:sz="4" w:val="single"/>
              <w:left w:color="000000" w:sz="4" w:val="single"/>
              <w:bottom w:color="000000" w:sz="4" w:val="single"/>
              <w:right w:color="000000" w:sz="4" w:val="single"/>
            </w:tcBorders>
            <w:vAlign w:val="center"/>
          </w:tcPr>
          <w:p w14:paraId="87070000">
            <w:pPr>
              <w:widowControl w:val="1"/>
              <w:ind/>
              <w:contextualSpacing w:val="1"/>
              <w:jc w:val="center"/>
            </w:pPr>
            <w:r>
              <w:t>Рейтинг</w:t>
            </w:r>
          </w:p>
        </w:tc>
        <w:tc>
          <w:tcPr>
            <w:tcW w:type="dxa" w:w="2353"/>
            <w:tcBorders>
              <w:top w:color="000000" w:sz="4" w:val="single"/>
              <w:left w:color="000000" w:sz="4" w:val="single"/>
              <w:bottom w:color="000000" w:sz="4" w:val="single"/>
              <w:right w:color="000000" w:sz="4" w:val="single"/>
            </w:tcBorders>
            <w:vAlign w:val="center"/>
          </w:tcPr>
          <w:p w14:paraId="88070000">
            <w:pPr>
              <w:widowControl w:val="1"/>
              <w:ind/>
              <w:contextualSpacing w:val="1"/>
              <w:jc w:val="center"/>
            </w:pPr>
            <w:r>
              <w:t>Критерий присвоения рейтинга</w:t>
            </w:r>
          </w:p>
        </w:tc>
      </w:tr>
      <w:tr>
        <w:trPr>
          <w:trHeight w:hRule="atLeast" w:val="284"/>
        </w:trPr>
        <w:tc>
          <w:tcPr>
            <w:tcW w:type="dxa" w:w="5769"/>
            <w:vMerge w:val="restart"/>
            <w:tcBorders>
              <w:top w:color="000000" w:sz="4" w:val="single"/>
              <w:left w:color="000000" w:sz="4" w:val="single"/>
              <w:bottom w:color="000000" w:sz="4" w:val="single"/>
              <w:right w:color="000000" w:sz="4" w:val="single"/>
            </w:tcBorders>
            <w:vAlign w:val="center"/>
          </w:tcPr>
          <w:p w14:paraId="89070000">
            <w:pPr>
              <w:widowControl w:val="1"/>
              <w:ind/>
              <w:contextualSpacing w:val="1"/>
            </w:pPr>
            <w:r>
              <w:t>Предприятие с устойчивым финансовым состоянием</w:t>
            </w:r>
          </w:p>
        </w:tc>
        <w:tc>
          <w:tcPr>
            <w:tcW w:type="dxa" w:w="1186"/>
            <w:tcBorders>
              <w:top w:color="000000" w:sz="4" w:val="single"/>
              <w:left w:color="000000" w:sz="4" w:val="single"/>
              <w:bottom w:color="000000" w:sz="4" w:val="single"/>
              <w:right w:color="000000" w:sz="4" w:val="single"/>
            </w:tcBorders>
            <w:vAlign w:val="center"/>
          </w:tcPr>
          <w:p w14:paraId="8A070000">
            <w:pPr>
              <w:widowControl w:val="1"/>
              <w:ind/>
              <w:contextualSpacing w:val="1"/>
              <w:jc w:val="center"/>
            </w:pPr>
            <w:r>
              <w:t>A1</w:t>
            </w:r>
          </w:p>
        </w:tc>
        <w:tc>
          <w:tcPr>
            <w:tcW w:type="dxa" w:w="2353"/>
            <w:tcBorders>
              <w:top w:color="000000" w:sz="4" w:val="single"/>
              <w:left w:color="000000" w:sz="4" w:val="single"/>
              <w:bottom w:color="000000" w:sz="4" w:val="single"/>
              <w:right w:color="000000" w:sz="4" w:val="single"/>
            </w:tcBorders>
            <w:vAlign w:val="center"/>
          </w:tcPr>
          <w:p w14:paraId="8B070000">
            <w:pPr>
              <w:widowControl w:val="1"/>
              <w:ind/>
              <w:contextualSpacing w:val="1"/>
              <w:jc w:val="center"/>
            </w:pPr>
            <w:r>
              <w:t>15 &lt; R ≤ 16</w:t>
            </w:r>
          </w:p>
        </w:tc>
      </w:tr>
      <w:tr>
        <w:trPr>
          <w:trHeight w:hRule="atLeast" w:val="284"/>
        </w:trPr>
        <w:tc>
          <w:tcPr>
            <w:tcW w:type="dxa" w:w="5769"/>
            <w:gridSpan w:val="1"/>
            <w:vMerge w:val="continue"/>
            <w:tcBorders>
              <w:top w:color="000000" w:sz="4" w:val="single"/>
              <w:left w:color="000000" w:sz="4" w:val="single"/>
              <w:bottom w:color="000000" w:sz="4" w:val="single"/>
              <w:right w:color="000000" w:sz="4" w:val="single"/>
            </w:tcBorders>
            <w:vAlign w:val="center"/>
          </w:tcPr>
          <w:p/>
        </w:tc>
        <w:tc>
          <w:tcPr>
            <w:tcW w:type="dxa" w:w="1186"/>
            <w:tcBorders>
              <w:top w:color="000000" w:sz="4" w:val="single"/>
              <w:left w:color="000000" w:sz="4" w:val="single"/>
              <w:bottom w:color="000000" w:sz="4" w:val="single"/>
              <w:right w:color="000000" w:sz="4" w:val="single"/>
            </w:tcBorders>
            <w:vAlign w:val="center"/>
          </w:tcPr>
          <w:p w14:paraId="8C070000">
            <w:pPr>
              <w:widowControl w:val="1"/>
              <w:ind/>
              <w:contextualSpacing w:val="1"/>
              <w:jc w:val="center"/>
            </w:pPr>
            <w:r>
              <w:t>A2</w:t>
            </w:r>
          </w:p>
        </w:tc>
        <w:tc>
          <w:tcPr>
            <w:tcW w:type="dxa" w:w="2353"/>
            <w:tcBorders>
              <w:top w:color="000000" w:sz="4" w:val="single"/>
              <w:left w:color="000000" w:sz="4" w:val="single"/>
              <w:bottom w:color="000000" w:sz="4" w:val="single"/>
              <w:right w:color="000000" w:sz="4" w:val="single"/>
            </w:tcBorders>
            <w:vAlign w:val="center"/>
          </w:tcPr>
          <w:p w14:paraId="8D070000">
            <w:pPr>
              <w:widowControl w:val="1"/>
              <w:ind/>
              <w:contextualSpacing w:val="1"/>
              <w:jc w:val="center"/>
            </w:pPr>
            <w:r>
              <w:t>14 &lt; R ≤ 15</w:t>
            </w:r>
          </w:p>
        </w:tc>
      </w:tr>
      <w:tr>
        <w:trPr>
          <w:trHeight w:hRule="atLeast" w:val="284"/>
        </w:trPr>
        <w:tc>
          <w:tcPr>
            <w:tcW w:type="dxa" w:w="5769"/>
            <w:gridSpan w:val="1"/>
            <w:vMerge w:val="continue"/>
            <w:tcBorders>
              <w:top w:color="000000" w:sz="4" w:val="single"/>
              <w:left w:color="000000" w:sz="4" w:val="single"/>
              <w:bottom w:color="000000" w:sz="4" w:val="single"/>
              <w:right w:color="000000" w:sz="4" w:val="single"/>
            </w:tcBorders>
            <w:vAlign w:val="center"/>
          </w:tcPr>
          <w:p/>
        </w:tc>
        <w:tc>
          <w:tcPr>
            <w:tcW w:type="dxa" w:w="1186"/>
            <w:tcBorders>
              <w:top w:color="000000" w:sz="4" w:val="single"/>
              <w:left w:color="000000" w:sz="4" w:val="single"/>
              <w:bottom w:color="000000" w:sz="4" w:val="single"/>
              <w:right w:color="000000" w:sz="4" w:val="single"/>
            </w:tcBorders>
            <w:vAlign w:val="center"/>
          </w:tcPr>
          <w:p w14:paraId="8E070000">
            <w:pPr>
              <w:widowControl w:val="1"/>
              <w:ind/>
              <w:contextualSpacing w:val="1"/>
              <w:jc w:val="center"/>
            </w:pPr>
            <w:r>
              <w:t>A3</w:t>
            </w:r>
          </w:p>
        </w:tc>
        <w:tc>
          <w:tcPr>
            <w:tcW w:type="dxa" w:w="2353"/>
            <w:tcBorders>
              <w:top w:color="000000" w:sz="4" w:val="single"/>
              <w:left w:color="000000" w:sz="4" w:val="single"/>
              <w:bottom w:color="000000" w:sz="4" w:val="single"/>
              <w:right w:color="000000" w:sz="4" w:val="single"/>
            </w:tcBorders>
            <w:vAlign w:val="center"/>
          </w:tcPr>
          <w:p w14:paraId="8F070000">
            <w:pPr>
              <w:widowControl w:val="1"/>
              <w:ind/>
              <w:contextualSpacing w:val="1"/>
              <w:jc w:val="center"/>
            </w:pPr>
            <w:r>
              <w:t>13 &lt; R ≤ 14</w:t>
            </w:r>
          </w:p>
        </w:tc>
      </w:tr>
      <w:tr>
        <w:trPr>
          <w:trHeight w:hRule="atLeast" w:val="284"/>
        </w:trPr>
        <w:tc>
          <w:tcPr>
            <w:tcW w:type="dxa" w:w="5769"/>
            <w:vMerge w:val="restart"/>
            <w:tcBorders>
              <w:top w:color="000000" w:sz="4" w:val="single"/>
              <w:left w:color="000000" w:sz="4" w:val="single"/>
              <w:bottom w:color="000000" w:sz="4" w:val="single"/>
              <w:right w:color="000000" w:sz="4" w:val="single"/>
            </w:tcBorders>
            <w:vAlign w:val="center"/>
          </w:tcPr>
          <w:p w14:paraId="90070000">
            <w:pPr>
              <w:widowControl w:val="1"/>
              <w:ind/>
              <w:contextualSpacing w:val="1"/>
            </w:pPr>
            <w:r>
              <w:t>Предприятие с удовлетворительным финансовым состоянием</w:t>
            </w:r>
          </w:p>
        </w:tc>
        <w:tc>
          <w:tcPr>
            <w:tcW w:type="dxa" w:w="1186"/>
            <w:tcBorders>
              <w:top w:color="000000" w:sz="4" w:val="single"/>
              <w:left w:color="000000" w:sz="4" w:val="single"/>
              <w:bottom w:color="000000" w:sz="4" w:val="single"/>
              <w:right w:color="000000" w:sz="4" w:val="single"/>
            </w:tcBorders>
            <w:vAlign w:val="center"/>
          </w:tcPr>
          <w:p w14:paraId="91070000">
            <w:pPr>
              <w:widowControl w:val="1"/>
              <w:ind/>
              <w:contextualSpacing w:val="1"/>
              <w:jc w:val="center"/>
            </w:pPr>
            <w:r>
              <w:t>B1</w:t>
            </w:r>
          </w:p>
        </w:tc>
        <w:tc>
          <w:tcPr>
            <w:tcW w:type="dxa" w:w="2353"/>
            <w:tcBorders>
              <w:top w:color="000000" w:sz="4" w:val="single"/>
              <w:left w:color="000000" w:sz="4" w:val="single"/>
              <w:bottom w:color="000000" w:sz="4" w:val="single"/>
              <w:right w:color="000000" w:sz="4" w:val="single"/>
            </w:tcBorders>
            <w:vAlign w:val="center"/>
          </w:tcPr>
          <w:p w14:paraId="92070000">
            <w:pPr>
              <w:widowControl w:val="1"/>
              <w:ind/>
              <w:contextualSpacing w:val="1"/>
              <w:jc w:val="center"/>
            </w:pPr>
            <w:r>
              <w:t>12 &lt; R ≤ 13</w:t>
            </w:r>
          </w:p>
        </w:tc>
      </w:tr>
      <w:tr>
        <w:trPr>
          <w:trHeight w:hRule="atLeast" w:val="284"/>
        </w:trPr>
        <w:tc>
          <w:tcPr>
            <w:tcW w:type="dxa" w:w="5769"/>
            <w:gridSpan w:val="1"/>
            <w:vMerge w:val="continue"/>
            <w:tcBorders>
              <w:top w:color="000000" w:sz="4" w:val="single"/>
              <w:left w:color="000000" w:sz="4" w:val="single"/>
              <w:bottom w:color="000000" w:sz="4" w:val="single"/>
              <w:right w:color="000000" w:sz="4" w:val="single"/>
            </w:tcBorders>
            <w:vAlign w:val="center"/>
          </w:tcPr>
          <w:p/>
        </w:tc>
        <w:tc>
          <w:tcPr>
            <w:tcW w:type="dxa" w:w="1186"/>
            <w:tcBorders>
              <w:top w:color="000000" w:sz="4" w:val="single"/>
              <w:left w:color="000000" w:sz="4" w:val="single"/>
              <w:bottom w:color="000000" w:sz="4" w:val="single"/>
              <w:right w:color="000000" w:sz="4" w:val="single"/>
            </w:tcBorders>
            <w:vAlign w:val="center"/>
          </w:tcPr>
          <w:p w14:paraId="93070000">
            <w:pPr>
              <w:widowControl w:val="1"/>
              <w:ind/>
              <w:contextualSpacing w:val="1"/>
              <w:jc w:val="center"/>
            </w:pPr>
            <w:r>
              <w:t>B2</w:t>
            </w:r>
          </w:p>
        </w:tc>
        <w:tc>
          <w:tcPr>
            <w:tcW w:type="dxa" w:w="2353"/>
            <w:tcBorders>
              <w:top w:color="000000" w:sz="4" w:val="single"/>
              <w:left w:color="000000" w:sz="4" w:val="single"/>
              <w:bottom w:color="000000" w:sz="4" w:val="single"/>
              <w:right w:color="000000" w:sz="4" w:val="single"/>
            </w:tcBorders>
            <w:vAlign w:val="center"/>
          </w:tcPr>
          <w:p w14:paraId="94070000">
            <w:pPr>
              <w:widowControl w:val="1"/>
              <w:ind/>
              <w:contextualSpacing w:val="1"/>
              <w:jc w:val="center"/>
            </w:pPr>
            <w:r>
              <w:t>11 &lt; R ≤ 12</w:t>
            </w:r>
          </w:p>
        </w:tc>
      </w:tr>
      <w:tr>
        <w:trPr>
          <w:trHeight w:hRule="atLeast" w:val="284"/>
        </w:trPr>
        <w:tc>
          <w:tcPr>
            <w:tcW w:type="dxa" w:w="5769"/>
            <w:gridSpan w:val="1"/>
            <w:vMerge w:val="continue"/>
            <w:tcBorders>
              <w:top w:color="000000" w:sz="4" w:val="single"/>
              <w:left w:color="000000" w:sz="4" w:val="single"/>
              <w:bottom w:color="000000" w:sz="4" w:val="single"/>
              <w:right w:color="000000" w:sz="4" w:val="single"/>
            </w:tcBorders>
            <w:vAlign w:val="center"/>
          </w:tcPr>
          <w:p/>
        </w:tc>
        <w:tc>
          <w:tcPr>
            <w:tcW w:type="dxa" w:w="1186"/>
            <w:tcBorders>
              <w:top w:color="000000" w:sz="4" w:val="single"/>
              <w:left w:color="000000" w:sz="4" w:val="single"/>
              <w:bottom w:color="000000" w:sz="4" w:val="single"/>
              <w:right w:color="000000" w:sz="4" w:val="single"/>
            </w:tcBorders>
            <w:vAlign w:val="center"/>
          </w:tcPr>
          <w:p w14:paraId="95070000">
            <w:pPr>
              <w:widowControl w:val="1"/>
              <w:ind/>
              <w:contextualSpacing w:val="1"/>
              <w:jc w:val="center"/>
            </w:pPr>
            <w:r>
              <w:t>B3</w:t>
            </w:r>
          </w:p>
        </w:tc>
        <w:tc>
          <w:tcPr>
            <w:tcW w:type="dxa" w:w="2353"/>
            <w:tcBorders>
              <w:top w:color="000000" w:sz="4" w:val="single"/>
              <w:left w:color="000000" w:sz="4" w:val="single"/>
              <w:bottom w:color="000000" w:sz="4" w:val="single"/>
              <w:right w:color="000000" w:sz="4" w:val="single"/>
            </w:tcBorders>
            <w:vAlign w:val="center"/>
          </w:tcPr>
          <w:p w14:paraId="96070000">
            <w:pPr>
              <w:widowControl w:val="1"/>
              <w:ind/>
              <w:contextualSpacing w:val="1"/>
              <w:jc w:val="center"/>
            </w:pPr>
            <w:r>
              <w:t>10 &lt; R ≤ 11</w:t>
            </w:r>
          </w:p>
        </w:tc>
      </w:tr>
      <w:tr>
        <w:trPr>
          <w:trHeight w:hRule="atLeast" w:val="284"/>
        </w:trPr>
        <w:tc>
          <w:tcPr>
            <w:tcW w:type="dxa" w:w="5769"/>
            <w:vMerge w:val="restart"/>
            <w:tcBorders>
              <w:top w:color="000000" w:sz="4" w:val="single"/>
              <w:left w:color="000000" w:sz="4" w:val="single"/>
              <w:bottom w:color="000000" w:sz="4" w:val="single"/>
              <w:right w:color="000000" w:sz="4" w:val="single"/>
            </w:tcBorders>
            <w:vAlign w:val="center"/>
          </w:tcPr>
          <w:p w14:paraId="97070000">
            <w:pPr>
              <w:widowControl w:val="1"/>
              <w:ind/>
              <w:contextualSpacing w:val="1"/>
            </w:pPr>
            <w:r>
              <w:t>Предприятие с неудовлетворительным финансовым состоянием</w:t>
            </w:r>
          </w:p>
        </w:tc>
        <w:tc>
          <w:tcPr>
            <w:tcW w:type="dxa" w:w="1186"/>
            <w:tcBorders>
              <w:top w:color="000000" w:sz="4" w:val="single"/>
              <w:left w:color="000000" w:sz="4" w:val="single"/>
              <w:bottom w:color="000000" w:sz="4" w:val="single"/>
              <w:right w:color="000000" w:sz="4" w:val="single"/>
            </w:tcBorders>
            <w:vAlign w:val="center"/>
          </w:tcPr>
          <w:p w14:paraId="98070000">
            <w:pPr>
              <w:widowControl w:val="1"/>
              <w:ind/>
              <w:contextualSpacing w:val="1"/>
              <w:jc w:val="center"/>
            </w:pPr>
            <w:r>
              <w:t>C1</w:t>
            </w:r>
          </w:p>
        </w:tc>
        <w:tc>
          <w:tcPr>
            <w:tcW w:type="dxa" w:w="2353"/>
            <w:tcBorders>
              <w:top w:color="000000" w:sz="4" w:val="single"/>
              <w:left w:color="000000" w:sz="4" w:val="single"/>
              <w:bottom w:color="000000" w:sz="4" w:val="single"/>
              <w:right w:color="000000" w:sz="4" w:val="single"/>
            </w:tcBorders>
            <w:vAlign w:val="center"/>
          </w:tcPr>
          <w:p w14:paraId="99070000">
            <w:pPr>
              <w:widowControl w:val="1"/>
              <w:ind/>
              <w:contextualSpacing w:val="1"/>
              <w:jc w:val="center"/>
            </w:pPr>
            <w:r>
              <w:t>9 &lt; R ≤ 10</w:t>
            </w:r>
          </w:p>
        </w:tc>
      </w:tr>
      <w:tr>
        <w:trPr>
          <w:trHeight w:hRule="atLeast" w:val="284"/>
        </w:trPr>
        <w:tc>
          <w:tcPr>
            <w:tcW w:type="dxa" w:w="5769"/>
            <w:gridSpan w:val="1"/>
            <w:vMerge w:val="continue"/>
            <w:tcBorders>
              <w:top w:color="000000" w:sz="4" w:val="single"/>
              <w:left w:color="000000" w:sz="4" w:val="single"/>
              <w:bottom w:color="000000" w:sz="4" w:val="single"/>
              <w:right w:color="000000" w:sz="4" w:val="single"/>
            </w:tcBorders>
            <w:vAlign w:val="center"/>
          </w:tcPr>
          <w:p/>
        </w:tc>
        <w:tc>
          <w:tcPr>
            <w:tcW w:type="dxa" w:w="1186"/>
            <w:tcBorders>
              <w:top w:color="000000" w:sz="4" w:val="single"/>
              <w:left w:color="000000" w:sz="4" w:val="single"/>
              <w:bottom w:color="000000" w:sz="4" w:val="single"/>
              <w:right w:color="000000" w:sz="4" w:val="single"/>
            </w:tcBorders>
            <w:vAlign w:val="center"/>
          </w:tcPr>
          <w:p w14:paraId="9A070000">
            <w:pPr>
              <w:widowControl w:val="1"/>
              <w:ind/>
              <w:contextualSpacing w:val="1"/>
              <w:jc w:val="center"/>
              <w:rPr>
                <w:b w:val="1"/>
              </w:rPr>
            </w:pPr>
            <w:r>
              <w:rPr>
                <w:b w:val="1"/>
              </w:rPr>
              <w:t>C2</w:t>
            </w:r>
          </w:p>
        </w:tc>
        <w:tc>
          <w:tcPr>
            <w:tcW w:type="dxa" w:w="2353"/>
            <w:tcBorders>
              <w:top w:color="000000" w:sz="4" w:val="single"/>
              <w:left w:color="000000" w:sz="4" w:val="single"/>
              <w:bottom w:color="000000" w:sz="4" w:val="single"/>
              <w:right w:color="000000" w:sz="4" w:val="single"/>
            </w:tcBorders>
            <w:vAlign w:val="center"/>
          </w:tcPr>
          <w:p w14:paraId="9B070000">
            <w:pPr>
              <w:widowControl w:val="1"/>
              <w:ind/>
              <w:contextualSpacing w:val="1"/>
              <w:jc w:val="center"/>
              <w:rPr>
                <w:b w:val="1"/>
              </w:rPr>
            </w:pPr>
            <w:r>
              <w:rPr>
                <w:b w:val="1"/>
              </w:rPr>
              <w:t>8 &lt; R ≤ 9</w:t>
            </w:r>
          </w:p>
        </w:tc>
      </w:tr>
      <w:tr>
        <w:trPr>
          <w:trHeight w:hRule="atLeast" w:val="284"/>
        </w:trPr>
        <w:tc>
          <w:tcPr>
            <w:tcW w:type="dxa" w:w="5769"/>
            <w:gridSpan w:val="1"/>
            <w:vMerge w:val="continue"/>
            <w:tcBorders>
              <w:top w:color="000000" w:sz="4" w:val="single"/>
              <w:left w:color="000000" w:sz="4" w:val="single"/>
              <w:bottom w:color="000000" w:sz="4" w:val="single"/>
              <w:right w:color="000000" w:sz="4" w:val="single"/>
            </w:tcBorders>
            <w:vAlign w:val="center"/>
          </w:tcPr>
          <w:p/>
        </w:tc>
        <w:tc>
          <w:tcPr>
            <w:tcW w:type="dxa" w:w="1186"/>
            <w:tcBorders>
              <w:top w:color="000000" w:sz="4" w:val="single"/>
              <w:left w:color="000000" w:sz="4" w:val="single"/>
              <w:bottom w:color="000000" w:sz="4" w:val="single"/>
              <w:right w:color="000000" w:sz="4" w:val="single"/>
            </w:tcBorders>
            <w:vAlign w:val="center"/>
          </w:tcPr>
          <w:p w14:paraId="9C070000">
            <w:pPr>
              <w:widowControl w:val="1"/>
              <w:ind/>
              <w:contextualSpacing w:val="1"/>
              <w:jc w:val="center"/>
            </w:pPr>
            <w:r>
              <w:t>C3</w:t>
            </w:r>
          </w:p>
        </w:tc>
        <w:tc>
          <w:tcPr>
            <w:tcW w:type="dxa" w:w="2353"/>
            <w:tcBorders>
              <w:top w:color="000000" w:sz="4" w:val="single"/>
              <w:left w:color="000000" w:sz="4" w:val="single"/>
              <w:bottom w:color="000000" w:sz="4" w:val="single"/>
              <w:right w:color="000000" w:sz="4" w:val="single"/>
            </w:tcBorders>
            <w:vAlign w:val="center"/>
          </w:tcPr>
          <w:p w14:paraId="9D070000">
            <w:pPr>
              <w:widowControl w:val="1"/>
              <w:ind/>
              <w:contextualSpacing w:val="1"/>
              <w:jc w:val="center"/>
            </w:pPr>
            <w:r>
              <w:t>7 &lt; R ≤ 8</w:t>
            </w:r>
          </w:p>
        </w:tc>
      </w:tr>
      <w:tr>
        <w:trPr>
          <w:trHeight w:hRule="atLeast" w:val="324"/>
        </w:trPr>
        <w:tc>
          <w:tcPr>
            <w:tcW w:type="dxa" w:w="5769"/>
            <w:tcBorders>
              <w:top w:color="000000" w:sz="4" w:val="single"/>
              <w:left w:color="000000" w:sz="4" w:val="single"/>
              <w:bottom w:color="000000" w:sz="4" w:val="single"/>
              <w:right w:color="000000" w:sz="4" w:val="single"/>
            </w:tcBorders>
            <w:vAlign w:val="center"/>
          </w:tcPr>
          <w:p w14:paraId="9E070000">
            <w:pPr>
              <w:widowControl w:val="1"/>
              <w:ind/>
              <w:contextualSpacing w:val="1"/>
            </w:pPr>
            <w:r>
              <w:t>Предприятие с критическим фи</w:t>
            </w:r>
            <w:r>
              <w:t>нансовым состоянием</w:t>
            </w:r>
          </w:p>
        </w:tc>
        <w:tc>
          <w:tcPr>
            <w:tcW w:type="dxa" w:w="1186"/>
            <w:tcBorders>
              <w:top w:color="000000" w:sz="4" w:val="single"/>
              <w:left w:color="000000" w:sz="4" w:val="single"/>
              <w:bottom w:color="000000" w:sz="4" w:val="single"/>
              <w:right w:color="000000" w:sz="4" w:val="single"/>
            </w:tcBorders>
            <w:vAlign w:val="center"/>
          </w:tcPr>
          <w:p w14:paraId="9F070000">
            <w:pPr>
              <w:widowControl w:val="1"/>
              <w:ind/>
              <w:contextualSpacing w:val="1"/>
              <w:jc w:val="center"/>
            </w:pPr>
            <w:r>
              <w:t>D</w:t>
            </w:r>
          </w:p>
        </w:tc>
        <w:tc>
          <w:tcPr>
            <w:tcW w:type="dxa" w:w="2353"/>
            <w:tcBorders>
              <w:top w:color="000000" w:sz="4" w:val="single"/>
              <w:left w:color="000000" w:sz="4" w:val="single"/>
              <w:bottom w:color="000000" w:sz="4" w:val="single"/>
              <w:right w:color="000000" w:sz="4" w:val="single"/>
            </w:tcBorders>
            <w:vAlign w:val="center"/>
          </w:tcPr>
          <w:p w14:paraId="A0070000">
            <w:pPr>
              <w:widowControl w:val="1"/>
              <w:ind/>
              <w:contextualSpacing w:val="1"/>
              <w:jc w:val="center"/>
            </w:pPr>
            <w:r>
              <w:t>R</w:t>
            </w:r>
            <w:r>
              <w:t xml:space="preserve"> ≤ 7</w:t>
            </w:r>
          </w:p>
        </w:tc>
      </w:tr>
    </w:tbl>
    <w:p w14:paraId="A1070000">
      <w:pPr>
        <w:widowControl w:val="1"/>
        <w:spacing w:line="360" w:lineRule="auto"/>
        <w:ind w:firstLine="709"/>
        <w:contextualSpacing w:val="1"/>
        <w:jc w:val="both"/>
      </w:pPr>
    </w:p>
    <w:p w14:paraId="A2070000">
      <w:pPr>
        <w:widowControl w:val="1"/>
        <w:spacing w:line="360" w:lineRule="auto"/>
        <w:ind w:firstLine="709"/>
        <w:contextualSpacing w:val="1"/>
        <w:jc w:val="both"/>
      </w:pPr>
      <w:r>
        <w:t>Итоговая сумма баллов АО «Краспригород» за 2018 год составляет 9 баллов, что характеризует предприятие с неудовлетворительным финансовым состоянием. Вне зависимости от результатов рейтинга производится анализ следующих показателей финансового состояния общества (дополнительных критериев отсечения) :</w:t>
      </w:r>
    </w:p>
    <w:p w14:paraId="A3070000">
      <w:pPr>
        <w:widowControl w:val="1"/>
        <w:spacing w:line="360" w:lineRule="auto"/>
        <w:ind w:firstLine="709"/>
        <w:contextualSpacing w:val="1"/>
        <w:jc w:val="both"/>
      </w:pPr>
      <w:r>
        <w:t>а) кредиторская задолженность 34 259 тыс.руб. не превышает годовую выручку 335 109 тыс.руб. + субсидии 391 398 тыс.руб.</w:t>
      </w:r>
    </w:p>
    <w:p w14:paraId="A4070000">
      <w:pPr>
        <w:widowControl w:val="1"/>
        <w:spacing w:line="360" w:lineRule="auto"/>
        <w:ind w:firstLine="709"/>
        <w:contextualSpacing w:val="1"/>
        <w:jc w:val="both"/>
      </w:pPr>
      <w:r>
        <w:t>б) кредиторская задолженность 34 259 тыс.руб. не превышает 50% совокупных активов 0,5*139 697=69 849 тыс.руб.</w:t>
      </w:r>
    </w:p>
    <w:p w14:paraId="A5070000">
      <w:pPr>
        <w:widowControl w:val="1"/>
        <w:spacing w:line="360" w:lineRule="auto"/>
        <w:ind w:firstLine="709"/>
        <w:contextualSpacing w:val="1"/>
        <w:jc w:val="both"/>
      </w:pPr>
      <w:r>
        <w:t xml:space="preserve"> По результатам второго дополнительного критерия отсечения АО «Краспригород» характеризуется как </w:t>
      </w:r>
      <w:r>
        <w:rPr>
          <w:b w:val="1"/>
        </w:rPr>
        <w:t>предприятие с неудовлетворительным финансовым состоянием</w:t>
      </w:r>
      <w:r>
        <w:t>.</w:t>
      </w:r>
    </w:p>
    <w:p w14:paraId="A6070000">
      <w:pPr>
        <w:widowControl w:val="1"/>
        <w:spacing w:line="360" w:lineRule="auto"/>
        <w:ind w:firstLine="709"/>
        <w:contextualSpacing w:val="1"/>
        <w:jc w:val="both"/>
      </w:pPr>
      <w:r>
        <w:t xml:space="preserve">Одним из направлений по улучшению финансового состояния послужит решение вопроса безубыточного завершения деятельности на территории  Республики Бурятия за 2011 год. В декабре 2014 года было подано заявление о возмещении  убытков от перевозок пассажиров в пригородном сообщении по территории Республики Бурятия за 2011 год в размере 36,8 млн. руб., отраженных с бухгалтерском балансе в составе «Непокрытого убытка».   </w:t>
      </w:r>
    </w:p>
    <w:p w14:paraId="A7070000">
      <w:pPr>
        <w:pStyle w:val="Style_11"/>
        <w:widowControl w:val="1"/>
        <w:spacing w:line="360" w:lineRule="auto"/>
        <w:ind w:firstLine="709" w:left="0"/>
        <w:contextualSpacing w:val="1"/>
        <w:jc w:val="both"/>
        <w:rPr>
          <w:sz w:val="24"/>
        </w:rPr>
      </w:pPr>
      <w:r>
        <w:rPr>
          <w:sz w:val="24"/>
        </w:rPr>
        <w:t xml:space="preserve">Арбитражным судом Республики Бурятия 10 июня 2015 года вынесено решение по делу №  А10-6019/2014 об удовлетворении исковых требований Открытого акционерного общества «Краспригород» к Республике Бурятия о взыскании 36,8 млн.руб. убытков, возникших в результате государственного регулирования тарифов и перевозки пассажиров железнодорожным транспортом в пригородном сообщении по территории Республики Бурятия за период с 01.01.2011г. по 30.06.2011г., и  200 тыс. руб. - расходов по уплате государственной пошлины.  </w:t>
      </w:r>
    </w:p>
    <w:p w14:paraId="A8070000">
      <w:pPr>
        <w:pStyle w:val="Style_11"/>
        <w:widowControl w:val="1"/>
        <w:spacing w:line="360" w:lineRule="auto"/>
        <w:ind w:firstLine="709" w:left="0"/>
        <w:contextualSpacing w:val="1"/>
        <w:jc w:val="both"/>
        <w:rPr>
          <w:sz w:val="24"/>
        </w:rPr>
      </w:pPr>
      <w:r>
        <w:rPr>
          <w:sz w:val="24"/>
        </w:rPr>
        <w:t xml:space="preserve">Ответчиками поданы апелляционные жалобы, и на основании определения Четвертого Арбитражного Апелляционного суда от 21.10.2015г. производство по делу №А10-6019/2014 приостановлено согласно пункту 1 части 1 статьи 143 АПК РФ до рассмотрения дела №А10-554/2013 Верховным судом РФ.  </w:t>
      </w:r>
    </w:p>
    <w:p w14:paraId="A9070000">
      <w:pPr>
        <w:widowControl w:val="1"/>
        <w:spacing w:line="360" w:lineRule="auto"/>
        <w:ind w:firstLine="709"/>
        <w:contextualSpacing w:val="1"/>
        <w:jc w:val="both"/>
      </w:pPr>
      <w:r>
        <w:t xml:space="preserve">26 апреля 2016 г. на основании ходатайства Ответчиков Четвертый арбитражный апелляционный суд, рассмотрев в открытом судебном заседании вопрос о необходимости возобновления производства по делу № А10-6019/2014 по иску открытого акционерного общества «Краспригород» к Республике Бурятия, определил отказать в возобновлении производства по делу №А10-6019/2014. </w:t>
      </w:r>
    </w:p>
    <w:p w14:paraId="AA070000">
      <w:pPr>
        <w:widowControl w:val="1"/>
        <w:spacing w:line="360" w:lineRule="auto"/>
        <w:ind w:firstLine="709"/>
        <w:contextualSpacing w:val="1"/>
        <w:jc w:val="both"/>
      </w:pPr>
      <w:r>
        <w:t>Определением от 15.02.2018 г. Четвертый арбитражный апелляционный суд возобновил производство по делу № А10-6019/2014 (при этом производство по делу № А10-554/2013 еще не окончено).</w:t>
      </w:r>
    </w:p>
    <w:p w14:paraId="AB070000">
      <w:pPr>
        <w:widowControl w:val="1"/>
        <w:spacing w:line="360" w:lineRule="auto"/>
        <w:ind w:firstLine="709"/>
        <w:contextualSpacing w:val="1"/>
        <w:jc w:val="both"/>
      </w:pPr>
      <w:r>
        <w:t>Определением от 04.09.2018 Четвертый арбитражный апелляционный суд назначил судебную экспертизу по делу А10-6019/2014 на предмет определения обоснованности расходов АО «Краспригород» по услугам ОАО «РЖД». Результаты судебной экспертизы должны быть предоставлены в суд экспертом в срок до 28.11.2018 г.</w:t>
      </w:r>
    </w:p>
    <w:p w14:paraId="AC070000">
      <w:pPr>
        <w:widowControl w:val="1"/>
        <w:spacing w:line="360" w:lineRule="auto"/>
        <w:ind w:firstLine="709"/>
        <w:contextualSpacing w:val="1"/>
        <w:jc w:val="both"/>
      </w:pPr>
      <w:r>
        <w:t>Определением от 23 ноября 2018 года Четвертый арбитражный апелляционный суд назначил судебное заседание для разрешения ходатайства эксперта ООО «ФЭС Экспертиза» Капсудиной Л.О. о предоставлении дополнительных документов для производства экспертизы по делу № А10-6019/2014 на 11 декабря 2018 года.</w:t>
      </w:r>
    </w:p>
    <w:p w14:paraId="AD070000">
      <w:pPr>
        <w:widowControl w:val="1"/>
        <w:spacing w:line="360" w:lineRule="auto"/>
        <w:ind w:firstLine="709"/>
        <w:contextualSpacing w:val="1"/>
        <w:jc w:val="both"/>
      </w:pPr>
      <w:r>
        <w:t xml:space="preserve">Определением от 19 декабря 2018 года Четвертый арбитражный апелляционный суд частично удовлетворил ходатайство эксперта общества с ограниченной ответственностью «ФЭС Экспертиза» Капсудиной Л.О. о продлении срока экспертизы и предоставлении дополнительных документов для производства экспертизы по делу № А10-6019/2014. Срок производства экспертизы, назначенной определением Четвертого арбитражного апелляционного суда от 04.09.2018, продлен до 12.01.2019. Следующее заседание назначено на 05.03.19 г </w:t>
      </w:r>
    </w:p>
    <w:p w14:paraId="AE070000">
      <w:pPr>
        <w:widowControl w:val="1"/>
        <w:spacing w:line="360" w:lineRule="auto"/>
        <w:ind w:firstLine="709"/>
        <w:contextualSpacing w:val="1"/>
        <w:jc w:val="both"/>
      </w:pPr>
      <w:r>
        <w:t xml:space="preserve"> В случае положительного судебного решения и взыскания 36,8 млн.руб. из бюджета Республики Бурятия, непокрытый убыток будет уменьшен на указанную сумму.    </w:t>
      </w:r>
    </w:p>
    <w:p w14:paraId="AF070000">
      <w:pPr>
        <w:widowControl w:val="1"/>
        <w:spacing w:line="360" w:lineRule="auto"/>
        <w:ind w:firstLine="709"/>
        <w:contextualSpacing w:val="1"/>
        <w:jc w:val="both"/>
      </w:pPr>
    </w:p>
    <w:p w14:paraId="B0070000">
      <w:pPr>
        <w:pageBreakBefore w:val="1"/>
        <w:widowControl w:val="1"/>
        <w:ind w:firstLine="709"/>
        <w:contextualSpacing w:val="1"/>
        <w:jc w:val="center"/>
        <w:rPr>
          <w:b w:val="1"/>
        </w:rPr>
      </w:pPr>
      <w:r>
        <w:rPr>
          <w:b w:val="1"/>
        </w:rPr>
        <w:t>Анализ структуры и динамики чистых активов</w:t>
      </w:r>
    </w:p>
    <w:p w14:paraId="B1070000">
      <w:pPr>
        <w:widowControl w:val="1"/>
        <w:ind w:firstLine="709"/>
        <w:contextualSpacing w:val="1"/>
        <w:jc w:val="right"/>
        <w:rPr>
          <w:b w:val="1"/>
        </w:rPr>
      </w:pPr>
      <w:r>
        <w:rPr>
          <w:b w:val="1"/>
        </w:rPr>
        <w:t>Таблица</w:t>
      </w:r>
      <w:r>
        <w:rPr>
          <w:b w:val="1"/>
        </w:rPr>
        <w:t xml:space="preserve"> 5.</w:t>
      </w:r>
      <w:r>
        <w:rPr>
          <w:b w:val="1"/>
        </w:rPr>
        <w:t>9</w:t>
      </w:r>
      <w:r>
        <w:rPr>
          <w:b w:val="1"/>
        </w:rPr>
        <w:t>.</w:t>
      </w:r>
    </w:p>
    <w:p w14:paraId="B2070000">
      <w:pPr>
        <w:widowControl w:val="1"/>
        <w:ind w:firstLine="709"/>
        <w:contextualSpacing w:val="1"/>
        <w:jc w:val="center"/>
        <w:rPr>
          <w:b w:val="1"/>
        </w:rPr>
      </w:pPr>
      <w:r>
        <w:rPr>
          <w:b w:val="1"/>
        </w:rPr>
        <w:t>Расчет стоимости чистых активов</w:t>
      </w:r>
    </w:p>
    <w:p w14:paraId="B3070000">
      <w:pPr>
        <w:widowControl w:val="1"/>
        <w:ind w:firstLine="709"/>
        <w:contextualSpacing w:val="1"/>
        <w:jc w:val="right"/>
      </w:pPr>
      <w:r>
        <w:t>(тыс.руб.)</w:t>
      </w:r>
    </w:p>
    <w:tbl>
      <w:tblPr>
        <w:tblStyle w:val="Style_4"/>
        <w:tblW w:type="auto" w:w="0"/>
        <w:tblInd w:type="dxa" w:w="9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35"/>
        <w:gridCol w:w="3456"/>
        <w:gridCol w:w="2104"/>
        <w:gridCol w:w="1281"/>
        <w:gridCol w:w="1281"/>
        <w:gridCol w:w="1276"/>
      </w:tblGrid>
      <w:tr>
        <w:trPr>
          <w:trHeight w:hRule="atLeast" w:val="788"/>
        </w:trPr>
        <w:tc>
          <w:tcPr>
            <w:tcW w:type="dxa" w:w="3991"/>
            <w:gridSpan w:val="2"/>
            <w:tcBorders>
              <w:top w:color="000000" w:sz="4" w:val="single"/>
              <w:left w:color="000000" w:sz="4" w:val="single"/>
              <w:bottom w:color="000000" w:sz="4" w:val="single"/>
              <w:right w:color="000000" w:sz="4" w:val="single"/>
            </w:tcBorders>
            <w:shd w:fill="auto" w:val="clear"/>
            <w:vAlign w:val="center"/>
          </w:tcPr>
          <w:p w14:paraId="B4070000">
            <w:pPr>
              <w:widowControl w:val="1"/>
              <w:ind/>
              <w:contextualSpacing w:val="1"/>
              <w:jc w:val="center"/>
              <w:rPr>
                <w:color w:val="000000"/>
              </w:rPr>
            </w:pPr>
            <w:r>
              <w:rPr>
                <w:color w:val="000000"/>
              </w:rPr>
              <w:t>Наименование показателя</w:t>
            </w:r>
          </w:p>
        </w:tc>
        <w:tc>
          <w:tcPr>
            <w:tcW w:type="dxa" w:w="2104"/>
            <w:tcBorders>
              <w:top w:color="000000" w:sz="4" w:val="single"/>
              <w:left w:color="000000" w:sz="4" w:val="single"/>
              <w:bottom w:color="000000" w:sz="4" w:val="single"/>
              <w:right w:color="000000" w:sz="4" w:val="single"/>
            </w:tcBorders>
            <w:shd w:fill="auto" w:val="clear"/>
            <w:vAlign w:val="center"/>
          </w:tcPr>
          <w:p w14:paraId="B5070000">
            <w:pPr>
              <w:widowControl w:val="1"/>
              <w:ind/>
              <w:contextualSpacing w:val="1"/>
              <w:jc w:val="center"/>
              <w:rPr>
                <w:color w:val="000000"/>
              </w:rPr>
            </w:pPr>
            <w:r>
              <w:rPr>
                <w:color w:val="000000"/>
              </w:rPr>
              <w:t>Код строки бухгалтерского баланса</w:t>
            </w:r>
          </w:p>
        </w:tc>
        <w:tc>
          <w:tcPr>
            <w:tcW w:type="dxa" w:w="1281"/>
            <w:tcBorders>
              <w:top w:color="000000" w:sz="4" w:val="single"/>
              <w:left w:color="000000" w:sz="4" w:val="single"/>
              <w:bottom w:color="000000" w:sz="4" w:val="single"/>
              <w:right w:color="000000" w:sz="4" w:val="single"/>
            </w:tcBorders>
            <w:shd w:fill="auto" w:val="clear"/>
            <w:vAlign w:val="center"/>
          </w:tcPr>
          <w:p w14:paraId="B6070000">
            <w:pPr>
              <w:widowControl w:val="1"/>
              <w:ind/>
              <w:contextualSpacing w:val="1"/>
              <w:jc w:val="center"/>
              <w:rPr>
                <w:color w:val="000000"/>
              </w:rPr>
            </w:pPr>
            <w:r>
              <w:rPr>
                <w:color w:val="000000"/>
              </w:rPr>
              <w:t>На конец 2018г.</w:t>
            </w:r>
          </w:p>
        </w:tc>
        <w:tc>
          <w:tcPr>
            <w:tcW w:type="dxa" w:w="1281"/>
            <w:tcBorders>
              <w:top w:color="000000" w:sz="4" w:val="single"/>
              <w:left w:color="000000" w:sz="4" w:val="single"/>
              <w:bottom w:color="000000" w:sz="4" w:val="single"/>
              <w:right w:color="000000" w:sz="4" w:val="single"/>
            </w:tcBorders>
            <w:shd w:fill="auto" w:val="clear"/>
            <w:vAlign w:val="center"/>
          </w:tcPr>
          <w:p w14:paraId="B7070000">
            <w:pPr>
              <w:widowControl w:val="1"/>
              <w:ind/>
              <w:contextualSpacing w:val="1"/>
              <w:jc w:val="center"/>
              <w:rPr>
                <w:color w:val="000000"/>
              </w:rPr>
            </w:pPr>
            <w:r>
              <w:rPr>
                <w:color w:val="000000"/>
              </w:rPr>
              <w:t>На конец 2017г.</w:t>
            </w:r>
          </w:p>
        </w:tc>
        <w:tc>
          <w:tcPr>
            <w:tcW w:type="dxa" w:w="1276"/>
            <w:tcBorders>
              <w:top w:color="000000" w:sz="4" w:val="single"/>
              <w:left w:color="000000" w:sz="4" w:val="single"/>
              <w:bottom w:color="000000" w:sz="4" w:val="single"/>
              <w:right w:color="000000" w:sz="4" w:val="single"/>
            </w:tcBorders>
            <w:shd w:fill="auto" w:val="clear"/>
            <w:vAlign w:val="center"/>
          </w:tcPr>
          <w:p w14:paraId="B8070000">
            <w:pPr>
              <w:widowControl w:val="1"/>
              <w:ind/>
              <w:contextualSpacing w:val="1"/>
              <w:jc w:val="center"/>
              <w:rPr>
                <w:color w:val="000000"/>
              </w:rPr>
            </w:pPr>
            <w:r>
              <w:rPr>
                <w:color w:val="000000"/>
              </w:rPr>
              <w:t>На конец 2016г.</w:t>
            </w:r>
          </w:p>
        </w:tc>
      </w:tr>
      <w:tr>
        <w:trPr>
          <w:trHeight w:hRule="atLeast" w:val="301"/>
        </w:trPr>
        <w:tc>
          <w:tcPr>
            <w:tcW w:type="dxa" w:w="9933"/>
            <w:gridSpan w:val="6"/>
            <w:tcBorders>
              <w:top w:color="000000" w:sz="4" w:val="single"/>
              <w:left w:color="000000" w:sz="4" w:val="single"/>
              <w:bottom w:color="000000" w:sz="4" w:val="single"/>
              <w:right w:color="000000" w:sz="4" w:val="single"/>
            </w:tcBorders>
            <w:shd w:fill="auto" w:val="clear"/>
            <w:vAlign w:val="bottom"/>
          </w:tcPr>
          <w:p w14:paraId="B9070000">
            <w:pPr>
              <w:widowControl w:val="1"/>
              <w:ind w:firstLine="709"/>
              <w:contextualSpacing w:val="1"/>
              <w:rPr>
                <w:b w:val="1"/>
                <w:color w:val="000000"/>
              </w:rPr>
            </w:pPr>
            <w:r>
              <w:rPr>
                <w:b w:val="1"/>
                <w:color w:val="000000"/>
              </w:rPr>
              <w:t>I. Активы </w:t>
            </w:r>
          </w:p>
        </w:tc>
      </w:tr>
      <w:tr>
        <w:trPr>
          <w:trHeight w:hRule="atLeast" w:val="412"/>
        </w:trPr>
        <w:tc>
          <w:tcPr>
            <w:tcW w:type="dxa" w:w="535"/>
            <w:tcBorders>
              <w:top w:color="000000" w:sz="4" w:val="single"/>
              <w:left w:color="000000" w:sz="4" w:val="single"/>
              <w:bottom w:color="000000" w:sz="4" w:val="single"/>
              <w:right w:color="000000" w:sz="4" w:val="single"/>
            </w:tcBorders>
            <w:shd w:fill="auto" w:val="clear"/>
            <w:vAlign w:val="center"/>
          </w:tcPr>
          <w:p w14:paraId="BA070000">
            <w:pPr>
              <w:widowControl w:val="1"/>
              <w:ind/>
              <w:contextualSpacing w:val="1"/>
              <w:jc w:val="center"/>
              <w:rPr>
                <w:color w:val="000000"/>
              </w:rPr>
            </w:pPr>
            <w:r>
              <w:rPr>
                <w:color w:val="000000"/>
              </w:rPr>
              <w:t>1</w:t>
            </w:r>
          </w:p>
        </w:tc>
        <w:tc>
          <w:tcPr>
            <w:tcW w:type="dxa" w:w="3456"/>
            <w:tcBorders>
              <w:top w:color="000000" w:sz="4" w:val="single"/>
              <w:left w:color="000000" w:sz="4" w:val="single"/>
              <w:bottom w:color="000000" w:sz="4" w:val="single"/>
              <w:right w:color="000000" w:sz="4" w:val="single"/>
            </w:tcBorders>
            <w:shd w:fill="auto" w:val="clear"/>
            <w:vAlign w:val="center"/>
          </w:tcPr>
          <w:p w14:paraId="BB070000">
            <w:pPr>
              <w:widowControl w:val="1"/>
              <w:ind/>
              <w:contextualSpacing w:val="1"/>
              <w:rPr>
                <w:color w:val="000000"/>
              </w:rPr>
            </w:pPr>
            <w:r>
              <w:rPr>
                <w:color w:val="000000"/>
              </w:rPr>
              <w:t>Нематериальные средства</w:t>
            </w:r>
          </w:p>
        </w:tc>
        <w:tc>
          <w:tcPr>
            <w:tcW w:type="dxa" w:w="2104"/>
            <w:tcBorders>
              <w:top w:color="000000" w:sz="4" w:val="single"/>
              <w:left w:color="000000" w:sz="4" w:val="single"/>
              <w:bottom w:color="000000" w:sz="4" w:val="single"/>
              <w:right w:color="000000" w:sz="4" w:val="single"/>
            </w:tcBorders>
            <w:shd w:fill="auto" w:val="clear"/>
            <w:vAlign w:val="center"/>
          </w:tcPr>
          <w:p w14:paraId="BC070000">
            <w:pPr>
              <w:widowControl w:val="1"/>
              <w:ind/>
              <w:contextualSpacing w:val="1"/>
              <w:jc w:val="center"/>
              <w:rPr>
                <w:color w:val="000000"/>
              </w:rPr>
            </w:pPr>
            <w:r>
              <w:rPr>
                <w:color w:val="000000"/>
              </w:rPr>
              <w:t>11100</w:t>
            </w:r>
          </w:p>
        </w:tc>
        <w:tc>
          <w:tcPr>
            <w:tcW w:type="dxa" w:w="1281"/>
            <w:tcBorders>
              <w:top w:color="000000" w:sz="4" w:val="single"/>
              <w:left w:color="000000" w:sz="4" w:val="single"/>
              <w:bottom w:color="000000" w:sz="4" w:val="single"/>
              <w:right w:color="000000" w:sz="4" w:val="single"/>
            </w:tcBorders>
            <w:shd w:fill="auto" w:val="clear"/>
            <w:vAlign w:val="center"/>
          </w:tcPr>
          <w:p w14:paraId="BD070000">
            <w:pPr>
              <w:widowControl w:val="1"/>
              <w:ind/>
              <w:contextualSpacing w:val="1"/>
              <w:jc w:val="center"/>
              <w:rPr>
                <w:color w:val="000000"/>
              </w:rPr>
            </w:pPr>
            <w:r>
              <w:rPr>
                <w:color w:val="000000"/>
              </w:rPr>
              <w:t>321</w:t>
            </w:r>
          </w:p>
        </w:tc>
        <w:tc>
          <w:tcPr>
            <w:tcW w:type="dxa" w:w="1281"/>
            <w:tcBorders>
              <w:top w:color="000000" w:sz="4" w:val="single"/>
              <w:left w:color="000000" w:sz="4" w:val="single"/>
              <w:bottom w:color="000000" w:sz="4" w:val="single"/>
              <w:right w:color="000000" w:sz="4" w:val="single"/>
            </w:tcBorders>
            <w:shd w:fill="auto" w:val="clear"/>
            <w:vAlign w:val="center"/>
          </w:tcPr>
          <w:p w14:paraId="BE070000">
            <w:pPr>
              <w:widowControl w:val="1"/>
              <w:ind/>
              <w:contextualSpacing w:val="1"/>
              <w:jc w:val="center"/>
              <w:rPr>
                <w:color w:val="000000"/>
              </w:rPr>
            </w:pPr>
            <w:r>
              <w:rPr>
                <w:color w:val="000000"/>
              </w:rPr>
              <w:t>710</w:t>
            </w:r>
          </w:p>
        </w:tc>
        <w:tc>
          <w:tcPr>
            <w:tcW w:type="dxa" w:w="1276"/>
            <w:tcBorders>
              <w:top w:color="000000" w:sz="4" w:val="single"/>
              <w:left w:color="000000" w:sz="4" w:val="single"/>
              <w:bottom w:color="000000" w:sz="4" w:val="single"/>
              <w:right w:color="000000" w:sz="4" w:val="single"/>
            </w:tcBorders>
            <w:shd w:fill="auto" w:val="clear"/>
            <w:vAlign w:val="center"/>
          </w:tcPr>
          <w:p w14:paraId="BF070000">
            <w:pPr>
              <w:widowControl w:val="1"/>
              <w:ind/>
              <w:contextualSpacing w:val="1"/>
              <w:jc w:val="center"/>
              <w:rPr>
                <w:color w:val="000000"/>
              </w:rPr>
            </w:pPr>
            <w:r>
              <w:rPr>
                <w:color w:val="000000"/>
              </w:rPr>
              <w:t>2 215</w:t>
            </w:r>
          </w:p>
        </w:tc>
      </w:tr>
      <w:tr>
        <w:trPr>
          <w:trHeight w:hRule="atLeast" w:val="301"/>
        </w:trPr>
        <w:tc>
          <w:tcPr>
            <w:tcW w:type="dxa" w:w="535"/>
            <w:tcBorders>
              <w:top w:color="000000" w:sz="4" w:val="single"/>
              <w:left w:color="000000" w:sz="4" w:val="single"/>
              <w:bottom w:color="000000" w:sz="4" w:val="single"/>
              <w:right w:color="000000" w:sz="4" w:val="single"/>
            </w:tcBorders>
            <w:shd w:fill="auto" w:val="clear"/>
            <w:vAlign w:val="center"/>
          </w:tcPr>
          <w:p w14:paraId="C0070000">
            <w:pPr>
              <w:widowControl w:val="1"/>
              <w:ind/>
              <w:contextualSpacing w:val="1"/>
              <w:jc w:val="center"/>
              <w:rPr>
                <w:color w:val="000000"/>
              </w:rPr>
            </w:pPr>
            <w:r>
              <w:rPr>
                <w:color w:val="000000"/>
              </w:rPr>
              <w:t>2</w:t>
            </w:r>
          </w:p>
        </w:tc>
        <w:tc>
          <w:tcPr>
            <w:tcW w:type="dxa" w:w="3456"/>
            <w:tcBorders>
              <w:top w:color="000000" w:sz="4" w:val="single"/>
              <w:left w:color="000000" w:sz="4" w:val="single"/>
              <w:bottom w:color="000000" w:sz="4" w:val="single"/>
              <w:right w:color="000000" w:sz="4" w:val="single"/>
            </w:tcBorders>
            <w:shd w:fill="auto" w:val="clear"/>
            <w:vAlign w:val="center"/>
          </w:tcPr>
          <w:p w14:paraId="C1070000">
            <w:pPr>
              <w:widowControl w:val="1"/>
              <w:ind/>
              <w:contextualSpacing w:val="1"/>
              <w:rPr>
                <w:color w:val="000000"/>
              </w:rPr>
            </w:pPr>
            <w:r>
              <w:rPr>
                <w:color w:val="000000"/>
              </w:rPr>
              <w:t>Основные средства</w:t>
            </w:r>
          </w:p>
        </w:tc>
        <w:tc>
          <w:tcPr>
            <w:tcW w:type="dxa" w:w="2104"/>
            <w:tcBorders>
              <w:top w:color="000000" w:sz="4" w:val="single"/>
              <w:left w:color="000000" w:sz="4" w:val="single"/>
              <w:bottom w:color="000000" w:sz="4" w:val="single"/>
              <w:right w:color="000000" w:sz="4" w:val="single"/>
            </w:tcBorders>
            <w:shd w:fill="auto" w:val="clear"/>
            <w:vAlign w:val="center"/>
          </w:tcPr>
          <w:p w14:paraId="C2070000">
            <w:pPr>
              <w:widowControl w:val="1"/>
              <w:ind/>
              <w:contextualSpacing w:val="1"/>
              <w:jc w:val="center"/>
              <w:rPr>
                <w:color w:val="000000"/>
              </w:rPr>
            </w:pPr>
            <w:r>
              <w:rPr>
                <w:color w:val="000000"/>
              </w:rPr>
              <w:t>11500</w:t>
            </w:r>
          </w:p>
        </w:tc>
        <w:tc>
          <w:tcPr>
            <w:tcW w:type="dxa" w:w="1281"/>
            <w:tcBorders>
              <w:top w:color="000000" w:sz="4" w:val="single"/>
              <w:left w:color="000000" w:sz="4" w:val="single"/>
              <w:bottom w:color="000000" w:sz="4" w:val="single"/>
              <w:right w:color="000000" w:sz="4" w:val="single"/>
            </w:tcBorders>
            <w:shd w:fill="auto" w:val="clear"/>
            <w:vAlign w:val="center"/>
          </w:tcPr>
          <w:p w14:paraId="C3070000">
            <w:pPr>
              <w:widowControl w:val="1"/>
              <w:ind/>
              <w:contextualSpacing w:val="1"/>
              <w:jc w:val="center"/>
              <w:rPr>
                <w:color w:val="000000"/>
              </w:rPr>
            </w:pPr>
            <w:r>
              <w:rPr>
                <w:color w:val="000000"/>
              </w:rPr>
              <w:t>11 341</w:t>
            </w:r>
          </w:p>
        </w:tc>
        <w:tc>
          <w:tcPr>
            <w:tcW w:type="dxa" w:w="1281"/>
            <w:tcBorders>
              <w:top w:color="000000" w:sz="4" w:val="single"/>
              <w:left w:color="000000" w:sz="4" w:val="single"/>
              <w:bottom w:color="000000" w:sz="4" w:val="single"/>
              <w:right w:color="000000" w:sz="4" w:val="single"/>
            </w:tcBorders>
            <w:shd w:fill="auto" w:val="clear"/>
            <w:vAlign w:val="center"/>
          </w:tcPr>
          <w:p w14:paraId="C4070000">
            <w:pPr>
              <w:widowControl w:val="1"/>
              <w:ind/>
              <w:contextualSpacing w:val="1"/>
              <w:jc w:val="center"/>
              <w:rPr>
                <w:color w:val="000000"/>
              </w:rPr>
            </w:pPr>
            <w:r>
              <w:rPr>
                <w:color w:val="000000"/>
              </w:rPr>
              <w:t>13 675</w:t>
            </w:r>
          </w:p>
        </w:tc>
        <w:tc>
          <w:tcPr>
            <w:tcW w:type="dxa" w:w="1276"/>
            <w:tcBorders>
              <w:top w:color="000000" w:sz="4" w:val="single"/>
              <w:left w:color="000000" w:sz="4" w:val="single"/>
              <w:bottom w:color="000000" w:sz="4" w:val="single"/>
              <w:right w:color="000000" w:sz="4" w:val="single"/>
            </w:tcBorders>
            <w:shd w:fill="auto" w:val="clear"/>
            <w:vAlign w:val="center"/>
          </w:tcPr>
          <w:p w14:paraId="C5070000">
            <w:pPr>
              <w:widowControl w:val="1"/>
              <w:ind/>
              <w:contextualSpacing w:val="1"/>
              <w:jc w:val="center"/>
              <w:rPr>
                <w:color w:val="000000"/>
              </w:rPr>
            </w:pPr>
            <w:r>
              <w:rPr>
                <w:color w:val="000000"/>
              </w:rPr>
              <w:t>5 695</w:t>
            </w:r>
          </w:p>
        </w:tc>
      </w:tr>
      <w:tr>
        <w:trPr>
          <w:trHeight w:hRule="atLeast" w:val="692"/>
        </w:trPr>
        <w:tc>
          <w:tcPr>
            <w:tcW w:type="dxa" w:w="535"/>
            <w:tcBorders>
              <w:top w:color="000000" w:sz="4" w:val="single"/>
              <w:left w:color="000000" w:sz="4" w:val="single"/>
              <w:bottom w:color="000000" w:sz="4" w:val="single"/>
              <w:right w:color="000000" w:sz="4" w:val="single"/>
            </w:tcBorders>
            <w:shd w:fill="auto" w:val="clear"/>
            <w:vAlign w:val="center"/>
          </w:tcPr>
          <w:p w14:paraId="C6070000">
            <w:pPr>
              <w:widowControl w:val="1"/>
              <w:ind/>
              <w:contextualSpacing w:val="1"/>
              <w:jc w:val="center"/>
              <w:rPr>
                <w:color w:val="000000"/>
              </w:rPr>
            </w:pPr>
            <w:r>
              <w:rPr>
                <w:color w:val="000000"/>
              </w:rPr>
              <w:t>3</w:t>
            </w:r>
          </w:p>
        </w:tc>
        <w:tc>
          <w:tcPr>
            <w:tcW w:type="dxa" w:w="3456"/>
            <w:tcBorders>
              <w:top w:color="000000" w:sz="4" w:val="single"/>
              <w:left w:color="000000" w:sz="4" w:val="single"/>
              <w:bottom w:color="000000" w:sz="4" w:val="single"/>
              <w:right w:color="000000" w:sz="4" w:val="single"/>
            </w:tcBorders>
            <w:shd w:fill="auto" w:val="clear"/>
            <w:vAlign w:val="center"/>
          </w:tcPr>
          <w:p w14:paraId="C7070000">
            <w:pPr>
              <w:widowControl w:val="1"/>
              <w:ind/>
              <w:contextualSpacing w:val="1"/>
              <w:rPr>
                <w:color w:val="000000"/>
              </w:rPr>
            </w:pPr>
            <w:r>
              <w:rPr>
                <w:color w:val="000000"/>
              </w:rPr>
              <w:t>Отложенные налоговые активы</w:t>
            </w:r>
          </w:p>
        </w:tc>
        <w:tc>
          <w:tcPr>
            <w:tcW w:type="dxa" w:w="2104"/>
            <w:tcBorders>
              <w:top w:color="000000" w:sz="4" w:val="single"/>
              <w:left w:color="000000" w:sz="4" w:val="single"/>
              <w:bottom w:color="000000" w:sz="4" w:val="single"/>
              <w:right w:color="000000" w:sz="4" w:val="single"/>
            </w:tcBorders>
            <w:shd w:fill="auto" w:val="clear"/>
            <w:vAlign w:val="center"/>
          </w:tcPr>
          <w:p w14:paraId="C8070000">
            <w:pPr>
              <w:widowControl w:val="1"/>
              <w:ind/>
              <w:contextualSpacing w:val="1"/>
              <w:jc w:val="center"/>
              <w:rPr>
                <w:color w:val="000000"/>
              </w:rPr>
            </w:pPr>
            <w:r>
              <w:rPr>
                <w:color w:val="000000"/>
              </w:rPr>
              <w:t>11800</w:t>
            </w:r>
          </w:p>
        </w:tc>
        <w:tc>
          <w:tcPr>
            <w:tcW w:type="dxa" w:w="1281"/>
            <w:tcBorders>
              <w:top w:color="000000" w:sz="4" w:val="single"/>
              <w:left w:color="000000" w:sz="4" w:val="single"/>
              <w:bottom w:color="000000" w:sz="4" w:val="single"/>
              <w:right w:color="000000" w:sz="4" w:val="single"/>
            </w:tcBorders>
            <w:shd w:fill="auto" w:val="clear"/>
            <w:vAlign w:val="center"/>
          </w:tcPr>
          <w:p w14:paraId="C9070000">
            <w:pPr>
              <w:widowControl w:val="1"/>
              <w:ind/>
              <w:contextualSpacing w:val="1"/>
              <w:jc w:val="center"/>
              <w:rPr>
                <w:color w:val="000000"/>
              </w:rPr>
            </w:pPr>
            <w:r>
              <w:rPr>
                <w:color w:val="000000"/>
              </w:rPr>
              <w:t>25 071</w:t>
            </w:r>
          </w:p>
        </w:tc>
        <w:tc>
          <w:tcPr>
            <w:tcW w:type="dxa" w:w="1281"/>
            <w:tcBorders>
              <w:top w:color="000000" w:sz="4" w:val="single"/>
              <w:left w:color="000000" w:sz="4" w:val="single"/>
              <w:bottom w:color="000000" w:sz="4" w:val="single"/>
              <w:right w:color="000000" w:sz="4" w:val="single"/>
            </w:tcBorders>
            <w:shd w:fill="auto" w:val="clear"/>
            <w:vAlign w:val="center"/>
          </w:tcPr>
          <w:p w14:paraId="CA070000">
            <w:pPr>
              <w:widowControl w:val="1"/>
              <w:ind/>
              <w:contextualSpacing w:val="1"/>
              <w:jc w:val="center"/>
              <w:rPr>
                <w:color w:val="000000"/>
              </w:rPr>
            </w:pPr>
            <w:r>
              <w:rPr>
                <w:color w:val="000000"/>
              </w:rPr>
              <w:t>29 733</w:t>
            </w:r>
          </w:p>
        </w:tc>
        <w:tc>
          <w:tcPr>
            <w:tcW w:type="dxa" w:w="1276"/>
            <w:tcBorders>
              <w:top w:color="000000" w:sz="4" w:val="single"/>
              <w:left w:color="000000" w:sz="4" w:val="single"/>
              <w:bottom w:color="000000" w:sz="4" w:val="single"/>
              <w:right w:color="000000" w:sz="4" w:val="single"/>
            </w:tcBorders>
            <w:shd w:fill="auto" w:val="clear"/>
            <w:vAlign w:val="center"/>
          </w:tcPr>
          <w:p w14:paraId="CB070000">
            <w:pPr>
              <w:widowControl w:val="1"/>
              <w:ind/>
              <w:contextualSpacing w:val="1"/>
              <w:jc w:val="center"/>
              <w:rPr>
                <w:color w:val="000000"/>
              </w:rPr>
            </w:pPr>
            <w:r>
              <w:rPr>
                <w:color w:val="000000"/>
              </w:rPr>
              <w:t>27 076</w:t>
            </w:r>
          </w:p>
        </w:tc>
      </w:tr>
      <w:tr>
        <w:trPr>
          <w:trHeight w:hRule="atLeast" w:val="495"/>
        </w:trPr>
        <w:tc>
          <w:tcPr>
            <w:tcW w:type="dxa" w:w="535"/>
            <w:tcBorders>
              <w:top w:color="000000" w:sz="4" w:val="single"/>
              <w:left w:color="000000" w:sz="4" w:val="single"/>
              <w:bottom w:color="000000" w:sz="4" w:val="single"/>
              <w:right w:color="000000" w:sz="4" w:val="single"/>
            </w:tcBorders>
            <w:shd w:fill="auto" w:val="clear"/>
            <w:vAlign w:val="center"/>
          </w:tcPr>
          <w:p w14:paraId="CC070000">
            <w:pPr>
              <w:widowControl w:val="1"/>
              <w:ind/>
              <w:contextualSpacing w:val="1"/>
              <w:jc w:val="center"/>
              <w:rPr>
                <w:color w:val="000000"/>
              </w:rPr>
            </w:pPr>
            <w:r>
              <w:rPr>
                <w:color w:val="000000"/>
              </w:rPr>
              <w:t>4</w:t>
            </w:r>
          </w:p>
        </w:tc>
        <w:tc>
          <w:tcPr>
            <w:tcW w:type="dxa" w:w="3456"/>
            <w:tcBorders>
              <w:top w:color="000000" w:sz="4" w:val="single"/>
              <w:left w:color="000000" w:sz="4" w:val="single"/>
              <w:bottom w:color="000000" w:sz="4" w:val="single"/>
              <w:right w:color="000000" w:sz="4" w:val="single"/>
            </w:tcBorders>
            <w:shd w:fill="auto" w:val="clear"/>
            <w:vAlign w:val="center"/>
          </w:tcPr>
          <w:p w14:paraId="CD070000">
            <w:pPr>
              <w:widowControl w:val="1"/>
              <w:ind/>
              <w:contextualSpacing w:val="1"/>
              <w:rPr>
                <w:color w:val="000000"/>
              </w:rPr>
            </w:pPr>
            <w:r>
              <w:rPr>
                <w:color w:val="000000"/>
              </w:rPr>
              <w:t>Доходные вложения в материальные ценности</w:t>
            </w:r>
          </w:p>
        </w:tc>
        <w:tc>
          <w:tcPr>
            <w:tcW w:type="dxa" w:w="2104"/>
            <w:tcBorders>
              <w:top w:color="000000" w:sz="4" w:val="single"/>
              <w:left w:color="000000" w:sz="4" w:val="single"/>
              <w:bottom w:color="000000" w:sz="4" w:val="single"/>
              <w:right w:color="000000" w:sz="4" w:val="single"/>
            </w:tcBorders>
            <w:shd w:fill="auto" w:val="clear"/>
            <w:vAlign w:val="center"/>
          </w:tcPr>
          <w:p w14:paraId="CE070000">
            <w:pPr>
              <w:widowControl w:val="1"/>
              <w:ind/>
              <w:contextualSpacing w:val="1"/>
              <w:jc w:val="center"/>
              <w:rPr>
                <w:color w:val="000000"/>
              </w:rPr>
            </w:pPr>
            <w:r>
              <w:rPr>
                <w:color w:val="000000"/>
              </w:rPr>
              <w:t>11600</w:t>
            </w:r>
          </w:p>
        </w:tc>
        <w:tc>
          <w:tcPr>
            <w:tcW w:type="dxa" w:w="1281"/>
            <w:tcBorders>
              <w:top w:color="000000" w:sz="4" w:val="single"/>
              <w:left w:color="000000" w:sz="4" w:val="single"/>
              <w:bottom w:color="000000" w:sz="4" w:val="single"/>
              <w:right w:color="000000" w:sz="4" w:val="single"/>
            </w:tcBorders>
            <w:shd w:fill="auto" w:val="clear"/>
            <w:vAlign w:val="center"/>
          </w:tcPr>
          <w:p w14:paraId="CF070000">
            <w:pPr>
              <w:widowControl w:val="1"/>
              <w:ind/>
              <w:contextualSpacing w:val="1"/>
              <w:jc w:val="center"/>
              <w:rPr>
                <w:color w:val="000000"/>
              </w:rPr>
            </w:pPr>
          </w:p>
        </w:tc>
        <w:tc>
          <w:tcPr>
            <w:tcW w:type="dxa" w:w="1281"/>
            <w:tcBorders>
              <w:top w:color="000000" w:sz="4" w:val="single"/>
              <w:left w:color="000000" w:sz="4" w:val="single"/>
              <w:bottom w:color="000000" w:sz="4" w:val="single"/>
              <w:right w:color="000000" w:sz="4" w:val="single"/>
            </w:tcBorders>
            <w:shd w:fill="auto" w:val="clear"/>
            <w:vAlign w:val="center"/>
          </w:tcPr>
          <w:p w14:paraId="D0070000">
            <w:pPr>
              <w:widowControl w:val="1"/>
              <w:ind/>
              <w:contextualSpacing w:val="1"/>
              <w:jc w:val="center"/>
              <w:rPr>
                <w:color w:val="000000"/>
              </w:rPr>
            </w:pPr>
          </w:p>
        </w:tc>
        <w:tc>
          <w:tcPr>
            <w:tcW w:type="dxa" w:w="1276"/>
            <w:tcBorders>
              <w:top w:color="000000" w:sz="4" w:val="single"/>
              <w:left w:color="000000" w:sz="4" w:val="single"/>
              <w:bottom w:color="000000" w:sz="4" w:val="single"/>
              <w:right w:color="000000" w:sz="4" w:val="single"/>
            </w:tcBorders>
            <w:shd w:fill="auto" w:val="clear"/>
            <w:vAlign w:val="center"/>
          </w:tcPr>
          <w:p w14:paraId="D1070000">
            <w:pPr>
              <w:widowControl w:val="1"/>
              <w:ind/>
              <w:contextualSpacing w:val="1"/>
              <w:jc w:val="center"/>
              <w:rPr>
                <w:color w:val="000000"/>
              </w:rPr>
            </w:pPr>
          </w:p>
        </w:tc>
      </w:tr>
      <w:tr>
        <w:trPr>
          <w:trHeight w:hRule="atLeast" w:val="350"/>
        </w:trPr>
        <w:tc>
          <w:tcPr>
            <w:tcW w:type="dxa" w:w="535"/>
            <w:tcBorders>
              <w:top w:color="000000" w:sz="4" w:val="single"/>
              <w:left w:color="000000" w:sz="4" w:val="single"/>
              <w:bottom w:color="000000" w:sz="4" w:val="single"/>
              <w:right w:color="000000" w:sz="4" w:val="single"/>
            </w:tcBorders>
            <w:shd w:fill="auto" w:val="clear"/>
            <w:vAlign w:val="center"/>
          </w:tcPr>
          <w:p w14:paraId="D2070000">
            <w:pPr>
              <w:widowControl w:val="1"/>
              <w:ind/>
              <w:contextualSpacing w:val="1"/>
              <w:jc w:val="center"/>
              <w:rPr>
                <w:color w:val="000000"/>
              </w:rPr>
            </w:pPr>
            <w:r>
              <w:rPr>
                <w:color w:val="000000"/>
              </w:rPr>
              <w:t>5</w:t>
            </w:r>
          </w:p>
        </w:tc>
        <w:tc>
          <w:tcPr>
            <w:tcW w:type="dxa" w:w="3456"/>
            <w:tcBorders>
              <w:top w:color="000000" w:sz="4" w:val="single"/>
              <w:left w:color="000000" w:sz="4" w:val="single"/>
              <w:bottom w:color="000000" w:sz="4" w:val="single"/>
              <w:right w:color="000000" w:sz="4" w:val="single"/>
            </w:tcBorders>
            <w:shd w:fill="auto" w:val="clear"/>
            <w:vAlign w:val="center"/>
          </w:tcPr>
          <w:p w14:paraId="D3070000">
            <w:pPr>
              <w:widowControl w:val="1"/>
              <w:ind/>
              <w:contextualSpacing w:val="1"/>
              <w:rPr>
                <w:color w:val="000000"/>
              </w:rPr>
            </w:pPr>
            <w:r>
              <w:rPr>
                <w:color w:val="000000"/>
              </w:rPr>
              <w:t>Финансовые вложения</w:t>
            </w:r>
          </w:p>
        </w:tc>
        <w:tc>
          <w:tcPr>
            <w:tcW w:type="dxa" w:w="2104"/>
            <w:tcBorders>
              <w:top w:color="000000" w:sz="4" w:val="single"/>
              <w:left w:color="000000" w:sz="4" w:val="single"/>
              <w:bottom w:color="000000" w:sz="4" w:val="single"/>
              <w:right w:color="000000" w:sz="4" w:val="single"/>
            </w:tcBorders>
            <w:shd w:fill="auto" w:val="clear"/>
            <w:vAlign w:val="center"/>
          </w:tcPr>
          <w:p w14:paraId="D4070000">
            <w:pPr>
              <w:widowControl w:val="1"/>
              <w:ind/>
              <w:contextualSpacing w:val="1"/>
              <w:jc w:val="center"/>
              <w:rPr>
                <w:color w:val="000000"/>
              </w:rPr>
            </w:pPr>
            <w:r>
              <w:rPr>
                <w:color w:val="000000"/>
              </w:rPr>
              <w:t>11700</w:t>
            </w:r>
          </w:p>
        </w:tc>
        <w:tc>
          <w:tcPr>
            <w:tcW w:type="dxa" w:w="1281"/>
            <w:tcBorders>
              <w:top w:color="000000" w:sz="4" w:val="single"/>
              <w:left w:color="000000" w:sz="4" w:val="single"/>
              <w:bottom w:color="000000" w:sz="4" w:val="single"/>
              <w:right w:color="000000" w:sz="4" w:val="single"/>
            </w:tcBorders>
            <w:shd w:fill="auto" w:val="clear"/>
            <w:vAlign w:val="center"/>
          </w:tcPr>
          <w:p w14:paraId="D5070000">
            <w:pPr>
              <w:widowControl w:val="1"/>
              <w:ind/>
              <w:contextualSpacing w:val="1"/>
              <w:jc w:val="center"/>
              <w:rPr>
                <w:color w:val="000000"/>
              </w:rPr>
            </w:pPr>
          </w:p>
        </w:tc>
        <w:tc>
          <w:tcPr>
            <w:tcW w:type="dxa" w:w="1281"/>
            <w:tcBorders>
              <w:top w:color="000000" w:sz="4" w:val="single"/>
              <w:left w:color="000000" w:sz="4" w:val="single"/>
              <w:bottom w:color="000000" w:sz="4" w:val="single"/>
              <w:right w:color="000000" w:sz="4" w:val="single"/>
            </w:tcBorders>
            <w:shd w:fill="auto" w:val="clear"/>
            <w:vAlign w:val="center"/>
          </w:tcPr>
          <w:p w14:paraId="D6070000">
            <w:pPr>
              <w:widowControl w:val="1"/>
              <w:ind/>
              <w:contextualSpacing w:val="1"/>
              <w:jc w:val="center"/>
              <w:rPr>
                <w:color w:val="000000"/>
              </w:rPr>
            </w:pPr>
          </w:p>
        </w:tc>
        <w:tc>
          <w:tcPr>
            <w:tcW w:type="dxa" w:w="1276"/>
            <w:tcBorders>
              <w:top w:color="000000" w:sz="4" w:val="single"/>
              <w:left w:color="000000" w:sz="4" w:val="single"/>
              <w:bottom w:color="000000" w:sz="4" w:val="single"/>
              <w:right w:color="000000" w:sz="4" w:val="single"/>
            </w:tcBorders>
            <w:shd w:fill="auto" w:val="clear"/>
            <w:vAlign w:val="center"/>
          </w:tcPr>
          <w:p w14:paraId="D7070000">
            <w:pPr>
              <w:widowControl w:val="1"/>
              <w:ind/>
              <w:contextualSpacing w:val="1"/>
              <w:jc w:val="center"/>
              <w:rPr>
                <w:color w:val="000000"/>
              </w:rPr>
            </w:pPr>
          </w:p>
        </w:tc>
      </w:tr>
      <w:tr>
        <w:trPr>
          <w:trHeight w:hRule="atLeast" w:val="588"/>
        </w:trPr>
        <w:tc>
          <w:tcPr>
            <w:tcW w:type="dxa" w:w="535"/>
            <w:tcBorders>
              <w:top w:color="000000" w:sz="4" w:val="single"/>
              <w:left w:color="000000" w:sz="4" w:val="single"/>
              <w:bottom w:color="000000" w:sz="4" w:val="single"/>
              <w:right w:color="000000" w:sz="4" w:val="single"/>
            </w:tcBorders>
            <w:shd w:fill="auto" w:val="clear"/>
            <w:vAlign w:val="center"/>
          </w:tcPr>
          <w:p w14:paraId="D8070000">
            <w:pPr>
              <w:widowControl w:val="1"/>
              <w:ind/>
              <w:contextualSpacing w:val="1"/>
              <w:jc w:val="center"/>
              <w:rPr>
                <w:color w:val="000000"/>
              </w:rPr>
            </w:pPr>
            <w:r>
              <w:rPr>
                <w:color w:val="000000"/>
              </w:rPr>
              <w:t>6</w:t>
            </w:r>
          </w:p>
        </w:tc>
        <w:tc>
          <w:tcPr>
            <w:tcW w:type="dxa" w:w="3456"/>
            <w:tcBorders>
              <w:top w:color="000000" w:sz="4" w:val="single"/>
              <w:left w:color="000000" w:sz="4" w:val="single"/>
              <w:bottom w:color="000000" w:sz="4" w:val="single"/>
              <w:right w:color="000000" w:sz="4" w:val="single"/>
            </w:tcBorders>
            <w:shd w:fill="auto" w:val="clear"/>
            <w:vAlign w:val="center"/>
          </w:tcPr>
          <w:p w14:paraId="D9070000">
            <w:pPr>
              <w:widowControl w:val="1"/>
              <w:ind/>
              <w:contextualSpacing w:val="1"/>
              <w:rPr>
                <w:color w:val="000000"/>
              </w:rPr>
            </w:pPr>
            <w:r>
              <w:rPr>
                <w:color w:val="000000"/>
              </w:rPr>
              <w:t>Прочие внеоборотные активы</w:t>
            </w:r>
          </w:p>
        </w:tc>
        <w:tc>
          <w:tcPr>
            <w:tcW w:type="dxa" w:w="2104"/>
            <w:tcBorders>
              <w:top w:color="000000" w:sz="4" w:val="single"/>
              <w:left w:color="000000" w:sz="4" w:val="single"/>
              <w:bottom w:color="000000" w:sz="4" w:val="single"/>
              <w:right w:color="000000" w:sz="4" w:val="single"/>
            </w:tcBorders>
            <w:shd w:fill="auto" w:val="clear"/>
            <w:vAlign w:val="center"/>
          </w:tcPr>
          <w:p w14:paraId="DA070000">
            <w:pPr>
              <w:widowControl w:val="1"/>
              <w:ind/>
              <w:contextualSpacing w:val="1"/>
              <w:jc w:val="center"/>
              <w:rPr>
                <w:color w:val="000000"/>
              </w:rPr>
            </w:pPr>
            <w:r>
              <w:rPr>
                <w:color w:val="000000"/>
              </w:rPr>
              <w:t>11900</w:t>
            </w:r>
          </w:p>
        </w:tc>
        <w:tc>
          <w:tcPr>
            <w:tcW w:type="dxa" w:w="1281"/>
            <w:tcBorders>
              <w:top w:color="000000" w:sz="4" w:val="single"/>
              <w:left w:color="000000" w:sz="4" w:val="single"/>
              <w:bottom w:color="000000" w:sz="4" w:val="single"/>
              <w:right w:color="000000" w:sz="4" w:val="single"/>
            </w:tcBorders>
            <w:shd w:fill="auto" w:val="clear"/>
            <w:vAlign w:val="center"/>
          </w:tcPr>
          <w:p w14:paraId="DB070000">
            <w:pPr>
              <w:widowControl w:val="1"/>
              <w:ind/>
              <w:contextualSpacing w:val="1"/>
              <w:jc w:val="center"/>
              <w:rPr>
                <w:color w:val="000000"/>
              </w:rPr>
            </w:pPr>
            <w:r>
              <w:rPr>
                <w:color w:val="000000"/>
              </w:rPr>
              <w:t>183</w:t>
            </w:r>
          </w:p>
        </w:tc>
        <w:tc>
          <w:tcPr>
            <w:tcW w:type="dxa" w:w="1281"/>
            <w:tcBorders>
              <w:top w:color="000000" w:sz="4" w:val="single"/>
              <w:left w:color="000000" w:sz="4" w:val="single"/>
              <w:bottom w:color="000000" w:sz="4" w:val="single"/>
              <w:right w:color="000000" w:sz="4" w:val="single"/>
            </w:tcBorders>
            <w:shd w:fill="auto" w:val="clear"/>
            <w:vAlign w:val="center"/>
          </w:tcPr>
          <w:p w14:paraId="DC070000">
            <w:pPr>
              <w:widowControl w:val="1"/>
              <w:ind/>
              <w:contextualSpacing w:val="1"/>
              <w:jc w:val="center"/>
              <w:rPr>
                <w:color w:val="000000"/>
              </w:rPr>
            </w:pPr>
            <w:r>
              <w:rPr>
                <w:color w:val="000000"/>
              </w:rPr>
              <w:t>73</w:t>
            </w:r>
          </w:p>
        </w:tc>
        <w:tc>
          <w:tcPr>
            <w:tcW w:type="dxa" w:w="1276"/>
            <w:tcBorders>
              <w:top w:color="000000" w:sz="4" w:val="single"/>
              <w:left w:color="000000" w:sz="4" w:val="single"/>
              <w:bottom w:color="000000" w:sz="4" w:val="single"/>
              <w:right w:color="000000" w:sz="4" w:val="single"/>
            </w:tcBorders>
            <w:shd w:fill="auto" w:val="clear"/>
            <w:vAlign w:val="center"/>
          </w:tcPr>
          <w:p w14:paraId="DD070000">
            <w:pPr>
              <w:widowControl w:val="1"/>
              <w:ind/>
              <w:contextualSpacing w:val="1"/>
              <w:jc w:val="center"/>
              <w:rPr>
                <w:color w:val="000000"/>
              </w:rPr>
            </w:pPr>
            <w:r>
              <w:rPr>
                <w:color w:val="000000"/>
              </w:rPr>
              <w:t>176</w:t>
            </w:r>
          </w:p>
        </w:tc>
      </w:tr>
      <w:tr>
        <w:trPr>
          <w:trHeight w:hRule="atLeast" w:val="301"/>
        </w:trPr>
        <w:tc>
          <w:tcPr>
            <w:tcW w:type="dxa" w:w="535"/>
            <w:tcBorders>
              <w:top w:color="000000" w:sz="4" w:val="single"/>
              <w:left w:color="000000" w:sz="4" w:val="single"/>
              <w:bottom w:color="000000" w:sz="4" w:val="single"/>
              <w:right w:color="000000" w:sz="4" w:val="single"/>
            </w:tcBorders>
            <w:shd w:fill="auto" w:val="clear"/>
            <w:vAlign w:val="center"/>
          </w:tcPr>
          <w:p w14:paraId="DE070000">
            <w:pPr>
              <w:widowControl w:val="1"/>
              <w:ind/>
              <w:contextualSpacing w:val="1"/>
              <w:jc w:val="center"/>
              <w:rPr>
                <w:color w:val="000000"/>
              </w:rPr>
            </w:pPr>
            <w:r>
              <w:rPr>
                <w:color w:val="000000"/>
              </w:rPr>
              <w:t>7</w:t>
            </w:r>
          </w:p>
        </w:tc>
        <w:tc>
          <w:tcPr>
            <w:tcW w:type="dxa" w:w="3456"/>
            <w:tcBorders>
              <w:top w:color="000000" w:sz="4" w:val="single"/>
              <w:left w:color="000000" w:sz="4" w:val="single"/>
              <w:bottom w:color="000000" w:sz="4" w:val="single"/>
              <w:right w:color="000000" w:sz="4" w:val="single"/>
            </w:tcBorders>
            <w:shd w:fill="auto" w:val="clear"/>
            <w:vAlign w:val="center"/>
          </w:tcPr>
          <w:p w14:paraId="DF070000">
            <w:pPr>
              <w:widowControl w:val="1"/>
              <w:ind/>
              <w:contextualSpacing w:val="1"/>
              <w:rPr>
                <w:color w:val="000000"/>
              </w:rPr>
            </w:pPr>
            <w:r>
              <w:rPr>
                <w:color w:val="000000"/>
              </w:rPr>
              <w:t>Запасы</w:t>
            </w:r>
          </w:p>
        </w:tc>
        <w:tc>
          <w:tcPr>
            <w:tcW w:type="dxa" w:w="2104"/>
            <w:tcBorders>
              <w:top w:color="000000" w:sz="4" w:val="single"/>
              <w:left w:color="000000" w:sz="4" w:val="single"/>
              <w:bottom w:color="000000" w:sz="4" w:val="single"/>
              <w:right w:color="000000" w:sz="4" w:val="single"/>
            </w:tcBorders>
            <w:shd w:fill="auto" w:val="clear"/>
            <w:vAlign w:val="center"/>
          </w:tcPr>
          <w:p w14:paraId="E0070000">
            <w:pPr>
              <w:widowControl w:val="1"/>
              <w:ind/>
              <w:contextualSpacing w:val="1"/>
              <w:jc w:val="center"/>
              <w:rPr>
                <w:color w:val="000000"/>
              </w:rPr>
            </w:pPr>
            <w:r>
              <w:rPr>
                <w:color w:val="000000"/>
              </w:rPr>
              <w:t>12100</w:t>
            </w:r>
          </w:p>
        </w:tc>
        <w:tc>
          <w:tcPr>
            <w:tcW w:type="dxa" w:w="1281"/>
            <w:tcBorders>
              <w:top w:color="000000" w:sz="4" w:val="single"/>
              <w:left w:color="000000" w:sz="4" w:val="single"/>
              <w:bottom w:color="000000" w:sz="4" w:val="single"/>
              <w:right w:color="000000" w:sz="4" w:val="single"/>
            </w:tcBorders>
            <w:shd w:fill="auto" w:val="clear"/>
            <w:vAlign w:val="center"/>
          </w:tcPr>
          <w:p w14:paraId="E1070000">
            <w:pPr>
              <w:widowControl w:val="1"/>
              <w:ind/>
              <w:contextualSpacing w:val="1"/>
              <w:jc w:val="center"/>
              <w:rPr>
                <w:color w:val="000000"/>
              </w:rPr>
            </w:pPr>
            <w:r>
              <w:rPr>
                <w:color w:val="000000"/>
              </w:rPr>
              <w:t>4 212</w:t>
            </w:r>
          </w:p>
        </w:tc>
        <w:tc>
          <w:tcPr>
            <w:tcW w:type="dxa" w:w="1281"/>
            <w:tcBorders>
              <w:top w:color="000000" w:sz="4" w:val="single"/>
              <w:left w:color="000000" w:sz="4" w:val="single"/>
              <w:bottom w:color="000000" w:sz="4" w:val="single"/>
              <w:right w:color="000000" w:sz="4" w:val="single"/>
            </w:tcBorders>
            <w:shd w:fill="auto" w:val="clear"/>
            <w:vAlign w:val="center"/>
          </w:tcPr>
          <w:p w14:paraId="E2070000">
            <w:pPr>
              <w:widowControl w:val="1"/>
              <w:ind/>
              <w:contextualSpacing w:val="1"/>
              <w:jc w:val="center"/>
              <w:rPr>
                <w:color w:val="000000"/>
              </w:rPr>
            </w:pPr>
            <w:r>
              <w:rPr>
                <w:color w:val="000000"/>
              </w:rPr>
              <w:t>4 171</w:t>
            </w:r>
          </w:p>
        </w:tc>
        <w:tc>
          <w:tcPr>
            <w:tcW w:type="dxa" w:w="1276"/>
            <w:tcBorders>
              <w:top w:color="000000" w:sz="4" w:val="single"/>
              <w:left w:color="000000" w:sz="4" w:val="single"/>
              <w:bottom w:color="000000" w:sz="4" w:val="single"/>
              <w:right w:color="000000" w:sz="4" w:val="single"/>
            </w:tcBorders>
            <w:shd w:fill="auto" w:val="clear"/>
            <w:vAlign w:val="center"/>
          </w:tcPr>
          <w:p w14:paraId="E3070000">
            <w:pPr>
              <w:widowControl w:val="1"/>
              <w:ind/>
              <w:contextualSpacing w:val="1"/>
              <w:jc w:val="center"/>
              <w:rPr>
                <w:color w:val="000000"/>
              </w:rPr>
            </w:pPr>
            <w:r>
              <w:rPr>
                <w:color w:val="000000"/>
              </w:rPr>
              <w:t>3 085</w:t>
            </w:r>
          </w:p>
        </w:tc>
      </w:tr>
      <w:tr>
        <w:trPr>
          <w:trHeight w:hRule="atLeast" w:val="691"/>
        </w:trPr>
        <w:tc>
          <w:tcPr>
            <w:tcW w:type="dxa" w:w="535"/>
            <w:tcBorders>
              <w:top w:color="000000" w:sz="4" w:val="single"/>
              <w:left w:color="000000" w:sz="4" w:val="single"/>
              <w:bottom w:color="000000" w:sz="4" w:val="single"/>
              <w:right w:color="000000" w:sz="4" w:val="single"/>
            </w:tcBorders>
            <w:shd w:fill="auto" w:val="clear"/>
            <w:vAlign w:val="center"/>
          </w:tcPr>
          <w:p w14:paraId="E4070000">
            <w:pPr>
              <w:widowControl w:val="1"/>
              <w:ind/>
              <w:contextualSpacing w:val="1"/>
              <w:jc w:val="center"/>
              <w:rPr>
                <w:color w:val="000000"/>
              </w:rPr>
            </w:pPr>
            <w:r>
              <w:rPr>
                <w:color w:val="000000"/>
              </w:rPr>
              <w:t>8</w:t>
            </w:r>
          </w:p>
        </w:tc>
        <w:tc>
          <w:tcPr>
            <w:tcW w:type="dxa" w:w="3456"/>
            <w:tcBorders>
              <w:top w:color="000000" w:sz="4" w:val="single"/>
              <w:left w:color="000000" w:sz="4" w:val="single"/>
              <w:bottom w:color="000000" w:sz="4" w:val="single"/>
              <w:right w:color="000000" w:sz="4" w:val="single"/>
            </w:tcBorders>
            <w:shd w:fill="auto" w:val="clear"/>
            <w:vAlign w:val="center"/>
          </w:tcPr>
          <w:p w14:paraId="E5070000">
            <w:pPr>
              <w:widowControl w:val="1"/>
              <w:ind/>
              <w:contextualSpacing w:val="1"/>
              <w:rPr>
                <w:color w:val="000000"/>
              </w:rPr>
            </w:pPr>
            <w:r>
              <w:rPr>
                <w:color w:val="000000"/>
              </w:rPr>
              <w:t>Налог на добавленную стоимость по приобретенным ценностям</w:t>
            </w:r>
          </w:p>
        </w:tc>
        <w:tc>
          <w:tcPr>
            <w:tcW w:type="dxa" w:w="2104"/>
            <w:tcBorders>
              <w:top w:color="000000" w:sz="4" w:val="single"/>
              <w:left w:color="000000" w:sz="4" w:val="single"/>
              <w:bottom w:color="000000" w:sz="4" w:val="single"/>
              <w:right w:color="000000" w:sz="4" w:val="single"/>
            </w:tcBorders>
            <w:shd w:fill="auto" w:val="clear"/>
            <w:vAlign w:val="center"/>
          </w:tcPr>
          <w:p w14:paraId="E6070000">
            <w:pPr>
              <w:widowControl w:val="1"/>
              <w:ind/>
              <w:contextualSpacing w:val="1"/>
              <w:jc w:val="center"/>
              <w:rPr>
                <w:color w:val="000000"/>
              </w:rPr>
            </w:pPr>
            <w:r>
              <w:rPr>
                <w:color w:val="000000"/>
              </w:rPr>
              <w:t>12200</w:t>
            </w:r>
          </w:p>
        </w:tc>
        <w:tc>
          <w:tcPr>
            <w:tcW w:type="dxa" w:w="1281"/>
            <w:tcBorders>
              <w:top w:color="000000" w:sz="4" w:val="single"/>
              <w:left w:color="000000" w:sz="4" w:val="single"/>
              <w:bottom w:color="000000" w:sz="4" w:val="single"/>
              <w:right w:color="000000" w:sz="4" w:val="single"/>
            </w:tcBorders>
            <w:shd w:fill="auto" w:val="clear"/>
            <w:vAlign w:val="center"/>
          </w:tcPr>
          <w:p w14:paraId="E7070000">
            <w:pPr>
              <w:widowControl w:val="1"/>
              <w:ind/>
              <w:contextualSpacing w:val="1"/>
              <w:jc w:val="center"/>
              <w:rPr>
                <w:color w:val="000000"/>
              </w:rPr>
            </w:pPr>
            <w:r>
              <w:rPr>
                <w:color w:val="000000"/>
              </w:rPr>
              <w:t>7</w:t>
            </w:r>
          </w:p>
        </w:tc>
        <w:tc>
          <w:tcPr>
            <w:tcW w:type="dxa" w:w="1281"/>
            <w:tcBorders>
              <w:top w:color="000000" w:sz="4" w:val="single"/>
              <w:left w:color="000000" w:sz="4" w:val="single"/>
              <w:bottom w:color="000000" w:sz="4" w:val="single"/>
              <w:right w:color="000000" w:sz="4" w:val="single"/>
            </w:tcBorders>
            <w:shd w:fill="auto" w:val="clear"/>
            <w:vAlign w:val="center"/>
          </w:tcPr>
          <w:p w14:paraId="E8070000">
            <w:pPr>
              <w:widowControl w:val="1"/>
              <w:ind/>
              <w:contextualSpacing w:val="1"/>
              <w:jc w:val="center"/>
              <w:rPr>
                <w:color w:val="000000"/>
              </w:rPr>
            </w:pPr>
            <w:r>
              <w:rPr>
                <w:color w:val="000000"/>
              </w:rPr>
              <w:t>7</w:t>
            </w:r>
          </w:p>
        </w:tc>
        <w:tc>
          <w:tcPr>
            <w:tcW w:type="dxa" w:w="1276"/>
            <w:tcBorders>
              <w:top w:color="000000" w:sz="4" w:val="single"/>
              <w:left w:color="000000" w:sz="4" w:val="single"/>
              <w:bottom w:color="000000" w:sz="4" w:val="single"/>
              <w:right w:color="000000" w:sz="4" w:val="single"/>
            </w:tcBorders>
            <w:shd w:fill="auto" w:val="clear"/>
            <w:vAlign w:val="center"/>
          </w:tcPr>
          <w:p w14:paraId="E9070000">
            <w:pPr>
              <w:widowControl w:val="1"/>
              <w:ind/>
              <w:contextualSpacing w:val="1"/>
              <w:jc w:val="center"/>
              <w:rPr>
                <w:color w:val="000000"/>
              </w:rPr>
            </w:pPr>
            <w:r>
              <w:rPr>
                <w:color w:val="000000"/>
              </w:rPr>
              <w:t>2</w:t>
            </w:r>
          </w:p>
        </w:tc>
      </w:tr>
      <w:tr>
        <w:trPr>
          <w:trHeight w:hRule="atLeast" w:val="588"/>
        </w:trPr>
        <w:tc>
          <w:tcPr>
            <w:tcW w:type="dxa" w:w="535"/>
            <w:tcBorders>
              <w:top w:color="000000" w:sz="4" w:val="single"/>
              <w:left w:color="000000" w:sz="4" w:val="single"/>
              <w:bottom w:color="000000" w:sz="4" w:val="single"/>
              <w:right w:color="000000" w:sz="4" w:val="single"/>
            </w:tcBorders>
            <w:shd w:fill="auto" w:val="clear"/>
            <w:vAlign w:val="center"/>
          </w:tcPr>
          <w:p w14:paraId="EA070000">
            <w:pPr>
              <w:widowControl w:val="1"/>
              <w:ind/>
              <w:contextualSpacing w:val="1"/>
              <w:jc w:val="center"/>
              <w:rPr>
                <w:color w:val="000000"/>
              </w:rPr>
            </w:pPr>
            <w:r>
              <w:rPr>
                <w:color w:val="000000"/>
              </w:rPr>
              <w:t>9</w:t>
            </w:r>
          </w:p>
        </w:tc>
        <w:tc>
          <w:tcPr>
            <w:tcW w:type="dxa" w:w="3456"/>
            <w:tcBorders>
              <w:top w:color="000000" w:sz="4" w:val="single"/>
              <w:left w:color="000000" w:sz="4" w:val="single"/>
              <w:bottom w:color="000000" w:sz="4" w:val="single"/>
              <w:right w:color="000000" w:sz="4" w:val="single"/>
            </w:tcBorders>
            <w:shd w:fill="auto" w:val="clear"/>
            <w:vAlign w:val="center"/>
          </w:tcPr>
          <w:p w14:paraId="EB070000">
            <w:pPr>
              <w:widowControl w:val="1"/>
              <w:ind/>
              <w:contextualSpacing w:val="1"/>
              <w:rPr>
                <w:color w:val="000000"/>
              </w:rPr>
            </w:pPr>
            <w:r>
              <w:rPr>
                <w:color w:val="000000"/>
              </w:rPr>
              <w:t>Дебиторская задолженность</w:t>
            </w:r>
          </w:p>
        </w:tc>
        <w:tc>
          <w:tcPr>
            <w:tcW w:type="dxa" w:w="2104"/>
            <w:tcBorders>
              <w:top w:color="000000" w:sz="4" w:val="single"/>
              <w:left w:color="000000" w:sz="4" w:val="single"/>
              <w:bottom w:color="000000" w:sz="4" w:val="single"/>
              <w:right w:color="000000" w:sz="4" w:val="single"/>
            </w:tcBorders>
            <w:shd w:fill="auto" w:val="clear"/>
            <w:vAlign w:val="center"/>
          </w:tcPr>
          <w:p w14:paraId="EC070000">
            <w:pPr>
              <w:widowControl w:val="1"/>
              <w:ind/>
              <w:contextualSpacing w:val="1"/>
              <w:jc w:val="center"/>
              <w:rPr>
                <w:color w:val="000000"/>
              </w:rPr>
            </w:pPr>
            <w:r>
              <w:rPr>
                <w:color w:val="000000"/>
              </w:rPr>
              <w:t>12300</w:t>
            </w:r>
          </w:p>
        </w:tc>
        <w:tc>
          <w:tcPr>
            <w:tcW w:type="dxa" w:w="1281"/>
            <w:tcBorders>
              <w:top w:color="000000" w:sz="4" w:val="single"/>
              <w:left w:color="000000" w:sz="4" w:val="single"/>
              <w:bottom w:color="000000" w:sz="4" w:val="single"/>
              <w:right w:color="000000" w:sz="4" w:val="single"/>
            </w:tcBorders>
            <w:shd w:fill="auto" w:val="clear"/>
            <w:vAlign w:val="center"/>
          </w:tcPr>
          <w:p w14:paraId="ED070000">
            <w:pPr>
              <w:widowControl w:val="1"/>
              <w:ind/>
              <w:contextualSpacing w:val="1"/>
              <w:jc w:val="center"/>
              <w:rPr>
                <w:color w:val="000000"/>
              </w:rPr>
            </w:pPr>
            <w:r>
              <w:rPr>
                <w:color w:val="000000"/>
              </w:rPr>
              <w:t>33 104</w:t>
            </w:r>
          </w:p>
        </w:tc>
        <w:tc>
          <w:tcPr>
            <w:tcW w:type="dxa" w:w="1281"/>
            <w:tcBorders>
              <w:top w:color="000000" w:sz="4" w:val="single"/>
              <w:left w:color="000000" w:sz="4" w:val="single"/>
              <w:bottom w:color="000000" w:sz="4" w:val="single"/>
              <w:right w:color="000000" w:sz="4" w:val="single"/>
            </w:tcBorders>
            <w:shd w:fill="auto" w:val="clear"/>
            <w:vAlign w:val="center"/>
          </w:tcPr>
          <w:p w14:paraId="EE070000">
            <w:pPr>
              <w:widowControl w:val="1"/>
              <w:ind/>
              <w:contextualSpacing w:val="1"/>
              <w:jc w:val="center"/>
              <w:rPr>
                <w:color w:val="000000"/>
              </w:rPr>
            </w:pPr>
            <w:r>
              <w:rPr>
                <w:color w:val="000000"/>
              </w:rPr>
              <w:t>64 617</w:t>
            </w:r>
          </w:p>
        </w:tc>
        <w:tc>
          <w:tcPr>
            <w:tcW w:type="dxa" w:w="1276"/>
            <w:tcBorders>
              <w:top w:color="000000" w:sz="4" w:val="single"/>
              <w:left w:color="000000" w:sz="4" w:val="single"/>
              <w:bottom w:color="000000" w:sz="4" w:val="single"/>
              <w:right w:color="000000" w:sz="4" w:val="single"/>
            </w:tcBorders>
            <w:shd w:fill="auto" w:val="clear"/>
            <w:vAlign w:val="center"/>
          </w:tcPr>
          <w:p w14:paraId="EF070000">
            <w:pPr>
              <w:widowControl w:val="1"/>
              <w:ind/>
              <w:contextualSpacing w:val="1"/>
              <w:jc w:val="center"/>
              <w:rPr>
                <w:color w:val="000000"/>
              </w:rPr>
            </w:pPr>
            <w:r>
              <w:rPr>
                <w:color w:val="000000"/>
              </w:rPr>
              <w:t>34 486</w:t>
            </w:r>
          </w:p>
        </w:tc>
      </w:tr>
      <w:tr>
        <w:trPr>
          <w:trHeight w:hRule="atLeast" w:val="336"/>
        </w:trPr>
        <w:tc>
          <w:tcPr>
            <w:tcW w:type="dxa" w:w="535"/>
            <w:tcBorders>
              <w:top w:color="000000" w:sz="4" w:val="single"/>
              <w:left w:color="000000" w:sz="4" w:val="single"/>
              <w:bottom w:color="000000" w:sz="4" w:val="single"/>
              <w:right w:color="000000" w:sz="4" w:val="single"/>
            </w:tcBorders>
            <w:shd w:fill="auto" w:val="clear"/>
            <w:vAlign w:val="center"/>
          </w:tcPr>
          <w:p w14:paraId="F0070000">
            <w:pPr>
              <w:widowControl w:val="1"/>
              <w:ind/>
              <w:contextualSpacing w:val="1"/>
              <w:jc w:val="center"/>
              <w:rPr>
                <w:color w:val="000000"/>
              </w:rPr>
            </w:pPr>
            <w:r>
              <w:rPr>
                <w:color w:val="000000"/>
              </w:rPr>
              <w:t>10</w:t>
            </w:r>
          </w:p>
        </w:tc>
        <w:tc>
          <w:tcPr>
            <w:tcW w:type="dxa" w:w="3456"/>
            <w:tcBorders>
              <w:top w:color="000000" w:sz="4" w:val="single"/>
              <w:left w:color="000000" w:sz="4" w:val="single"/>
              <w:bottom w:color="000000" w:sz="4" w:val="single"/>
              <w:right w:color="000000" w:sz="4" w:val="single"/>
            </w:tcBorders>
            <w:shd w:fill="auto" w:val="clear"/>
            <w:vAlign w:val="center"/>
          </w:tcPr>
          <w:p w14:paraId="F1070000">
            <w:pPr>
              <w:widowControl w:val="1"/>
              <w:ind/>
              <w:contextualSpacing w:val="1"/>
              <w:rPr>
                <w:color w:val="000000"/>
              </w:rPr>
            </w:pPr>
            <w:r>
              <w:rPr>
                <w:color w:val="000000"/>
              </w:rPr>
              <w:t>Денежные средства</w:t>
            </w:r>
          </w:p>
        </w:tc>
        <w:tc>
          <w:tcPr>
            <w:tcW w:type="dxa" w:w="2104"/>
            <w:tcBorders>
              <w:top w:color="000000" w:sz="4" w:val="single"/>
              <w:left w:color="000000" w:sz="4" w:val="single"/>
              <w:bottom w:color="000000" w:sz="4" w:val="single"/>
              <w:right w:color="000000" w:sz="4" w:val="single"/>
            </w:tcBorders>
            <w:shd w:fill="auto" w:val="clear"/>
            <w:vAlign w:val="center"/>
          </w:tcPr>
          <w:p w14:paraId="F2070000">
            <w:pPr>
              <w:widowControl w:val="1"/>
              <w:ind/>
              <w:contextualSpacing w:val="1"/>
              <w:jc w:val="center"/>
              <w:rPr>
                <w:color w:val="000000"/>
              </w:rPr>
            </w:pPr>
            <w:r>
              <w:rPr>
                <w:color w:val="000000"/>
              </w:rPr>
              <w:t>12500</w:t>
            </w:r>
          </w:p>
        </w:tc>
        <w:tc>
          <w:tcPr>
            <w:tcW w:type="dxa" w:w="1281"/>
            <w:tcBorders>
              <w:top w:color="000000" w:sz="4" w:val="single"/>
              <w:left w:color="000000" w:sz="4" w:val="single"/>
              <w:bottom w:color="000000" w:sz="4" w:val="single"/>
              <w:right w:color="000000" w:sz="4" w:val="single"/>
            </w:tcBorders>
            <w:shd w:fill="auto" w:val="clear"/>
            <w:vAlign w:val="center"/>
          </w:tcPr>
          <w:p w14:paraId="F3070000">
            <w:pPr>
              <w:widowControl w:val="1"/>
              <w:ind/>
              <w:contextualSpacing w:val="1"/>
              <w:jc w:val="center"/>
              <w:rPr>
                <w:color w:val="000000"/>
              </w:rPr>
            </w:pPr>
            <w:r>
              <w:rPr>
                <w:color w:val="000000"/>
              </w:rPr>
              <w:t>65 177</w:t>
            </w:r>
          </w:p>
        </w:tc>
        <w:tc>
          <w:tcPr>
            <w:tcW w:type="dxa" w:w="1281"/>
            <w:tcBorders>
              <w:top w:color="000000" w:sz="4" w:val="single"/>
              <w:left w:color="000000" w:sz="4" w:val="single"/>
              <w:bottom w:color="000000" w:sz="4" w:val="single"/>
              <w:right w:color="000000" w:sz="4" w:val="single"/>
            </w:tcBorders>
            <w:shd w:fill="auto" w:val="clear"/>
            <w:vAlign w:val="center"/>
          </w:tcPr>
          <w:p w14:paraId="F4070000">
            <w:pPr>
              <w:widowControl w:val="1"/>
              <w:ind/>
              <w:contextualSpacing w:val="1"/>
              <w:jc w:val="center"/>
              <w:rPr>
                <w:color w:val="000000"/>
              </w:rPr>
            </w:pPr>
            <w:r>
              <w:rPr>
                <w:color w:val="000000"/>
              </w:rPr>
              <w:t>45 937</w:t>
            </w:r>
          </w:p>
        </w:tc>
        <w:tc>
          <w:tcPr>
            <w:tcW w:type="dxa" w:w="1276"/>
            <w:tcBorders>
              <w:top w:color="000000" w:sz="4" w:val="single"/>
              <w:left w:color="000000" w:sz="4" w:val="single"/>
              <w:bottom w:color="000000" w:sz="4" w:val="single"/>
              <w:right w:color="000000" w:sz="4" w:val="single"/>
            </w:tcBorders>
            <w:shd w:fill="auto" w:val="clear"/>
            <w:vAlign w:val="center"/>
          </w:tcPr>
          <w:p w14:paraId="F5070000">
            <w:pPr>
              <w:widowControl w:val="1"/>
              <w:ind/>
              <w:contextualSpacing w:val="1"/>
              <w:jc w:val="center"/>
              <w:rPr>
                <w:color w:val="000000"/>
              </w:rPr>
            </w:pPr>
            <w:r>
              <w:rPr>
                <w:color w:val="000000"/>
              </w:rPr>
              <w:t>60 617</w:t>
            </w:r>
          </w:p>
        </w:tc>
      </w:tr>
      <w:tr>
        <w:trPr>
          <w:trHeight w:hRule="atLeast" w:val="588"/>
        </w:trPr>
        <w:tc>
          <w:tcPr>
            <w:tcW w:type="dxa" w:w="535"/>
            <w:tcBorders>
              <w:top w:color="000000" w:sz="4" w:val="single"/>
              <w:left w:color="000000" w:sz="4" w:val="single"/>
              <w:bottom w:color="000000" w:sz="4" w:val="single"/>
              <w:right w:color="000000" w:sz="4" w:val="single"/>
            </w:tcBorders>
            <w:shd w:fill="auto" w:val="clear"/>
            <w:vAlign w:val="center"/>
          </w:tcPr>
          <w:p w14:paraId="F6070000">
            <w:pPr>
              <w:widowControl w:val="1"/>
              <w:ind/>
              <w:contextualSpacing w:val="1"/>
              <w:jc w:val="center"/>
              <w:rPr>
                <w:color w:val="000000"/>
              </w:rPr>
            </w:pPr>
            <w:r>
              <w:rPr>
                <w:color w:val="000000"/>
              </w:rPr>
              <w:t>11</w:t>
            </w:r>
          </w:p>
        </w:tc>
        <w:tc>
          <w:tcPr>
            <w:tcW w:type="dxa" w:w="3456"/>
            <w:tcBorders>
              <w:top w:color="000000" w:sz="4" w:val="single"/>
              <w:left w:color="000000" w:sz="4" w:val="single"/>
              <w:bottom w:color="000000" w:sz="4" w:val="single"/>
              <w:right w:color="000000" w:sz="4" w:val="single"/>
            </w:tcBorders>
            <w:shd w:fill="auto" w:val="clear"/>
            <w:vAlign w:val="center"/>
          </w:tcPr>
          <w:p w14:paraId="F7070000">
            <w:pPr>
              <w:widowControl w:val="1"/>
              <w:ind/>
              <w:contextualSpacing w:val="1"/>
              <w:rPr>
                <w:color w:val="000000"/>
              </w:rPr>
            </w:pPr>
            <w:r>
              <w:rPr>
                <w:color w:val="000000"/>
              </w:rPr>
              <w:t>Прочие оборотные активы</w:t>
            </w:r>
          </w:p>
        </w:tc>
        <w:tc>
          <w:tcPr>
            <w:tcW w:type="dxa" w:w="2104"/>
            <w:tcBorders>
              <w:top w:color="000000" w:sz="4" w:val="single"/>
              <w:left w:color="000000" w:sz="4" w:val="single"/>
              <w:bottom w:color="000000" w:sz="4" w:val="single"/>
              <w:right w:color="000000" w:sz="4" w:val="single"/>
            </w:tcBorders>
            <w:shd w:fill="auto" w:val="clear"/>
            <w:vAlign w:val="center"/>
          </w:tcPr>
          <w:p w14:paraId="F8070000">
            <w:pPr>
              <w:widowControl w:val="1"/>
              <w:ind/>
              <w:contextualSpacing w:val="1"/>
              <w:jc w:val="center"/>
              <w:rPr>
                <w:color w:val="000000"/>
              </w:rPr>
            </w:pPr>
            <w:r>
              <w:rPr>
                <w:color w:val="000000"/>
              </w:rPr>
              <w:t>12600</w:t>
            </w:r>
          </w:p>
        </w:tc>
        <w:tc>
          <w:tcPr>
            <w:tcW w:type="dxa" w:w="1281"/>
            <w:tcBorders>
              <w:top w:color="000000" w:sz="4" w:val="single"/>
              <w:left w:color="000000" w:sz="4" w:val="single"/>
              <w:bottom w:color="000000" w:sz="4" w:val="single"/>
              <w:right w:color="000000" w:sz="4" w:val="single"/>
            </w:tcBorders>
            <w:shd w:fill="auto" w:val="clear"/>
            <w:vAlign w:val="center"/>
          </w:tcPr>
          <w:p w14:paraId="F9070000">
            <w:pPr>
              <w:widowControl w:val="1"/>
              <w:ind/>
              <w:contextualSpacing w:val="1"/>
              <w:jc w:val="center"/>
              <w:rPr>
                <w:color w:val="000000"/>
              </w:rPr>
            </w:pPr>
            <w:r>
              <w:rPr>
                <w:color w:val="000000"/>
              </w:rPr>
              <w:t>281</w:t>
            </w:r>
          </w:p>
        </w:tc>
        <w:tc>
          <w:tcPr>
            <w:tcW w:type="dxa" w:w="1281"/>
            <w:tcBorders>
              <w:top w:color="000000" w:sz="4" w:val="single"/>
              <w:left w:color="000000" w:sz="4" w:val="single"/>
              <w:bottom w:color="000000" w:sz="4" w:val="single"/>
              <w:right w:color="000000" w:sz="4" w:val="single"/>
            </w:tcBorders>
            <w:shd w:fill="auto" w:val="clear"/>
            <w:vAlign w:val="center"/>
          </w:tcPr>
          <w:p w14:paraId="FA070000">
            <w:pPr>
              <w:widowControl w:val="1"/>
              <w:ind/>
              <w:contextualSpacing w:val="1"/>
              <w:jc w:val="center"/>
              <w:rPr>
                <w:color w:val="000000"/>
              </w:rPr>
            </w:pPr>
            <w:r>
              <w:rPr>
                <w:color w:val="000000"/>
              </w:rPr>
              <w:t>292</w:t>
            </w:r>
          </w:p>
        </w:tc>
        <w:tc>
          <w:tcPr>
            <w:tcW w:type="dxa" w:w="1276"/>
            <w:tcBorders>
              <w:top w:color="000000" w:sz="4" w:val="single"/>
              <w:left w:color="000000" w:sz="4" w:val="single"/>
              <w:bottom w:color="000000" w:sz="4" w:val="single"/>
              <w:right w:color="000000" w:sz="4" w:val="single"/>
            </w:tcBorders>
            <w:shd w:fill="auto" w:val="clear"/>
            <w:vAlign w:val="center"/>
          </w:tcPr>
          <w:p w14:paraId="FB070000">
            <w:pPr>
              <w:widowControl w:val="1"/>
              <w:ind/>
              <w:contextualSpacing w:val="1"/>
              <w:jc w:val="center"/>
              <w:rPr>
                <w:color w:val="000000"/>
              </w:rPr>
            </w:pPr>
            <w:r>
              <w:rPr>
                <w:color w:val="000000"/>
              </w:rPr>
              <w:t>452</w:t>
            </w:r>
          </w:p>
        </w:tc>
      </w:tr>
      <w:tr>
        <w:trPr>
          <w:trHeight w:hRule="atLeast" w:val="930"/>
        </w:trPr>
        <w:tc>
          <w:tcPr>
            <w:tcW w:type="dxa" w:w="535"/>
            <w:tcBorders>
              <w:top w:color="000000" w:sz="4" w:val="single"/>
              <w:left w:color="000000" w:sz="4" w:val="single"/>
              <w:bottom w:color="000000" w:sz="4" w:val="single"/>
              <w:right w:color="000000" w:sz="4" w:val="single"/>
            </w:tcBorders>
            <w:shd w:fill="auto" w:val="clear"/>
            <w:vAlign w:val="center"/>
          </w:tcPr>
          <w:p w14:paraId="FC070000">
            <w:pPr>
              <w:widowControl w:val="1"/>
              <w:ind/>
              <w:contextualSpacing w:val="1"/>
              <w:jc w:val="center"/>
              <w:rPr>
                <w:b w:val="1"/>
                <w:color w:val="000000"/>
              </w:rPr>
            </w:pPr>
            <w:r>
              <w:rPr>
                <w:b w:val="1"/>
                <w:color w:val="000000"/>
              </w:rPr>
              <w:t>12</w:t>
            </w:r>
          </w:p>
        </w:tc>
        <w:tc>
          <w:tcPr>
            <w:tcW w:type="dxa" w:w="5560"/>
            <w:gridSpan w:val="2"/>
            <w:tcBorders>
              <w:top w:color="000000" w:sz="4" w:val="single"/>
              <w:left w:color="000000" w:sz="4" w:val="single"/>
              <w:bottom w:color="000000" w:sz="4" w:val="single"/>
              <w:right w:color="000000" w:sz="4" w:val="single"/>
            </w:tcBorders>
            <w:shd w:fill="auto" w:val="clear"/>
            <w:vAlign w:val="center"/>
          </w:tcPr>
          <w:p w14:paraId="FD070000">
            <w:pPr>
              <w:widowControl w:val="1"/>
              <w:ind/>
              <w:contextualSpacing w:val="1"/>
              <w:rPr>
                <w:b w:val="1"/>
                <w:color w:val="000000"/>
              </w:rPr>
            </w:pPr>
            <w:r>
              <w:rPr>
                <w:b w:val="1"/>
                <w:color w:val="000000"/>
              </w:rPr>
              <w:t>Итого активы, принимаемые к расчету (сумма данные пунктов 1-11) </w:t>
            </w:r>
          </w:p>
        </w:tc>
        <w:tc>
          <w:tcPr>
            <w:tcW w:type="dxa" w:w="1281"/>
            <w:tcBorders>
              <w:top w:color="000000" w:sz="4" w:val="single"/>
              <w:left w:color="000000" w:sz="4" w:val="single"/>
              <w:bottom w:color="000000" w:sz="4" w:val="single"/>
              <w:right w:color="000000" w:sz="4" w:val="single"/>
            </w:tcBorders>
            <w:shd w:fill="auto" w:val="clear"/>
            <w:vAlign w:val="center"/>
          </w:tcPr>
          <w:p w14:paraId="FE070000">
            <w:pPr>
              <w:widowControl w:val="1"/>
              <w:ind/>
              <w:contextualSpacing w:val="1"/>
              <w:jc w:val="center"/>
              <w:rPr>
                <w:b w:val="1"/>
                <w:color w:val="000000"/>
              </w:rPr>
            </w:pPr>
            <w:r>
              <w:rPr>
                <w:b w:val="1"/>
                <w:color w:val="000000"/>
              </w:rPr>
              <w:t>139 697</w:t>
            </w:r>
          </w:p>
        </w:tc>
        <w:tc>
          <w:tcPr>
            <w:tcW w:type="dxa" w:w="1281"/>
            <w:tcBorders>
              <w:top w:color="000000" w:sz="4" w:val="single"/>
              <w:left w:color="000000" w:sz="4" w:val="single"/>
              <w:bottom w:color="000000" w:sz="4" w:val="single"/>
              <w:right w:color="000000" w:sz="4" w:val="single"/>
            </w:tcBorders>
            <w:shd w:fill="auto" w:val="clear"/>
            <w:vAlign w:val="center"/>
          </w:tcPr>
          <w:p w14:paraId="FF070000">
            <w:pPr>
              <w:widowControl w:val="1"/>
              <w:ind/>
              <w:contextualSpacing w:val="1"/>
              <w:jc w:val="center"/>
              <w:rPr>
                <w:b w:val="1"/>
                <w:color w:val="000000"/>
              </w:rPr>
            </w:pPr>
            <w:r>
              <w:rPr>
                <w:b w:val="1"/>
                <w:color w:val="000000"/>
              </w:rPr>
              <w:t>159 215</w:t>
            </w:r>
          </w:p>
        </w:tc>
        <w:tc>
          <w:tcPr>
            <w:tcW w:type="dxa" w:w="1276"/>
            <w:tcBorders>
              <w:top w:color="000000" w:sz="4" w:val="single"/>
              <w:left w:color="000000" w:sz="4" w:val="single"/>
              <w:bottom w:color="000000" w:sz="4" w:val="single"/>
              <w:right w:color="000000" w:sz="4" w:val="single"/>
            </w:tcBorders>
            <w:shd w:fill="auto" w:val="clear"/>
            <w:vAlign w:val="center"/>
          </w:tcPr>
          <w:p w14:paraId="00080000">
            <w:pPr>
              <w:widowControl w:val="1"/>
              <w:ind/>
              <w:contextualSpacing w:val="1"/>
              <w:jc w:val="center"/>
              <w:rPr>
                <w:b w:val="1"/>
                <w:color w:val="000000"/>
              </w:rPr>
            </w:pPr>
            <w:r>
              <w:rPr>
                <w:b w:val="1"/>
                <w:color w:val="000000"/>
              </w:rPr>
              <w:t>133 806</w:t>
            </w:r>
          </w:p>
        </w:tc>
      </w:tr>
    </w:tbl>
    <w:p w14:paraId="01080000">
      <w:pPr>
        <w:widowControl w:val="1"/>
        <w:ind/>
        <w:contextualSpacing w:val="1"/>
        <w:rPr>
          <w:b w:val="1"/>
        </w:rPr>
      </w:pPr>
      <w:r>
        <w:rPr>
          <w:b w:val="1"/>
        </w:rPr>
        <w:t>2. Пассивы</w:t>
      </w:r>
    </w:p>
    <w:tbl>
      <w:tblPr>
        <w:tblStyle w:val="Style_4"/>
        <w:tblW w:type="auto" w:w="0"/>
        <w:tblInd w:type="dxa" w:w="98"/>
        <w:tblLayout w:type="fixed"/>
      </w:tblPr>
      <w:tblGrid>
        <w:gridCol w:w="674"/>
        <w:gridCol w:w="3305"/>
        <w:gridCol w:w="2127"/>
        <w:gridCol w:w="1275"/>
        <w:gridCol w:w="1276"/>
        <w:gridCol w:w="1251"/>
      </w:tblGrid>
      <w:tr>
        <w:trPr>
          <w:trHeight w:hRule="atLeast" w:val="603"/>
        </w:trPr>
        <w:tc>
          <w:tcPr>
            <w:tcW w:type="dxa" w:w="674"/>
            <w:tcBorders>
              <w:top w:color="000000" w:sz="4" w:val="single"/>
              <w:left w:color="000000" w:sz="4" w:val="single"/>
              <w:bottom w:color="000000" w:sz="4" w:val="single"/>
              <w:right w:color="000000" w:sz="4" w:val="single"/>
            </w:tcBorders>
            <w:shd w:fill="auto" w:val="clear"/>
            <w:vAlign w:val="center"/>
          </w:tcPr>
          <w:p w14:paraId="02080000">
            <w:pPr>
              <w:widowControl w:val="1"/>
              <w:ind w:firstLine="709" w:left="-708"/>
              <w:contextualSpacing w:val="1"/>
              <w:jc w:val="center"/>
              <w:rPr>
                <w:color w:val="000000"/>
              </w:rPr>
            </w:pPr>
            <w:r>
              <w:rPr>
                <w:color w:val="000000"/>
              </w:rPr>
              <w:t>13</w:t>
            </w:r>
          </w:p>
        </w:tc>
        <w:tc>
          <w:tcPr>
            <w:tcW w:type="dxa" w:w="3305"/>
            <w:tcBorders>
              <w:top w:color="000000" w:sz="4" w:val="single"/>
              <w:left w:color="000000" w:sz="4" w:val="single"/>
              <w:bottom w:color="000000" w:sz="4" w:val="single"/>
              <w:right w:color="000000" w:sz="4" w:val="single"/>
            </w:tcBorders>
            <w:shd w:fill="auto" w:val="clear"/>
            <w:vAlign w:val="center"/>
          </w:tcPr>
          <w:p w14:paraId="03080000">
            <w:pPr>
              <w:widowControl w:val="1"/>
              <w:ind w:firstLine="79"/>
              <w:contextualSpacing w:val="1"/>
              <w:rPr>
                <w:color w:val="000000"/>
              </w:rPr>
            </w:pPr>
            <w:r>
              <w:rPr>
                <w:color w:val="000000"/>
              </w:rPr>
              <w:t>Долгосрочные обязательства по займам и кредитам</w:t>
            </w:r>
          </w:p>
        </w:tc>
        <w:tc>
          <w:tcPr>
            <w:tcW w:type="dxa" w:w="2127"/>
            <w:tcBorders>
              <w:top w:color="000000" w:sz="4" w:val="single"/>
              <w:left w:color="000000" w:sz="4" w:val="single"/>
              <w:bottom w:color="000000" w:sz="4" w:val="single"/>
              <w:right w:color="000000" w:sz="4" w:val="single"/>
            </w:tcBorders>
            <w:shd w:fill="auto" w:val="clear"/>
            <w:vAlign w:val="center"/>
          </w:tcPr>
          <w:p w14:paraId="04080000">
            <w:pPr>
              <w:widowControl w:val="1"/>
              <w:ind w:firstLine="79"/>
              <w:contextualSpacing w:val="1"/>
              <w:jc w:val="center"/>
              <w:rPr>
                <w:color w:val="000000"/>
              </w:rPr>
            </w:pPr>
            <w:r>
              <w:rPr>
                <w:color w:val="000000"/>
              </w:rPr>
              <w:t>14100</w:t>
            </w:r>
          </w:p>
        </w:tc>
        <w:tc>
          <w:tcPr>
            <w:tcW w:type="dxa" w:w="1275"/>
            <w:tcBorders>
              <w:top w:color="000000" w:sz="4" w:val="single"/>
              <w:left w:color="000000" w:sz="4" w:val="single"/>
              <w:bottom w:color="000000" w:sz="4" w:val="single"/>
              <w:right w:color="000000" w:sz="4" w:val="single"/>
            </w:tcBorders>
            <w:shd w:fill="auto" w:val="clear"/>
            <w:vAlign w:val="bottom"/>
          </w:tcPr>
          <w:p w14:paraId="05080000">
            <w:pPr>
              <w:widowControl w:val="1"/>
              <w:ind w:firstLine="79"/>
              <w:contextualSpacing w:val="1"/>
              <w:jc w:val="center"/>
              <w:rPr>
                <w:color w:val="000000"/>
              </w:rPr>
            </w:pPr>
            <w:r>
              <w:rPr>
                <w:color w:val="000000"/>
              </w:rPr>
              <w:t> </w:t>
            </w:r>
          </w:p>
        </w:tc>
        <w:tc>
          <w:tcPr>
            <w:tcW w:type="dxa" w:w="1276"/>
            <w:tcBorders>
              <w:top w:color="000000" w:sz="4" w:val="single"/>
              <w:left w:color="000000" w:sz="4" w:val="single"/>
              <w:bottom w:color="000000" w:sz="4" w:val="single"/>
              <w:right w:color="000000" w:sz="4" w:val="single"/>
            </w:tcBorders>
            <w:shd w:fill="auto" w:val="clear"/>
            <w:vAlign w:val="bottom"/>
          </w:tcPr>
          <w:p w14:paraId="06080000">
            <w:pPr>
              <w:widowControl w:val="1"/>
              <w:ind w:firstLine="79"/>
              <w:contextualSpacing w:val="1"/>
              <w:jc w:val="center"/>
              <w:rPr>
                <w:color w:val="000000"/>
              </w:rPr>
            </w:pPr>
            <w:r>
              <w:rPr>
                <w:color w:val="000000"/>
              </w:rPr>
              <w:t> </w:t>
            </w:r>
          </w:p>
        </w:tc>
        <w:tc>
          <w:tcPr>
            <w:tcW w:type="dxa" w:w="1251"/>
            <w:tcBorders>
              <w:top w:color="000000" w:sz="4" w:val="single"/>
              <w:left w:color="000000" w:sz="4" w:val="single"/>
              <w:bottom w:color="000000" w:sz="4" w:val="single"/>
              <w:right w:color="000000" w:sz="4" w:val="single"/>
            </w:tcBorders>
            <w:shd w:fill="auto" w:val="clear"/>
            <w:vAlign w:val="bottom"/>
          </w:tcPr>
          <w:p w14:paraId="07080000">
            <w:pPr>
              <w:widowControl w:val="1"/>
              <w:ind w:firstLine="79"/>
              <w:contextualSpacing w:val="1"/>
              <w:jc w:val="center"/>
              <w:rPr>
                <w:color w:val="000000"/>
              </w:rPr>
            </w:pPr>
            <w:r>
              <w:rPr>
                <w:color w:val="000000"/>
              </w:rPr>
              <w:t> </w:t>
            </w:r>
          </w:p>
        </w:tc>
      </w:tr>
      <w:tr>
        <w:trPr>
          <w:trHeight w:hRule="atLeast" w:val="555"/>
        </w:trPr>
        <w:tc>
          <w:tcPr>
            <w:tcW w:type="dxa" w:w="674"/>
            <w:tcBorders>
              <w:top w:color="000000" w:sz="4" w:val="single"/>
              <w:left w:color="000000" w:sz="4" w:val="single"/>
              <w:bottom w:color="000000" w:sz="4" w:val="single"/>
              <w:right w:color="000000" w:sz="4" w:val="single"/>
            </w:tcBorders>
            <w:shd w:fill="auto" w:val="clear"/>
            <w:vAlign w:val="center"/>
          </w:tcPr>
          <w:p w14:paraId="08080000">
            <w:pPr>
              <w:widowControl w:val="1"/>
              <w:ind w:firstLine="709" w:left="-708"/>
              <w:contextualSpacing w:val="1"/>
              <w:jc w:val="center"/>
              <w:rPr>
                <w:color w:val="000000"/>
              </w:rPr>
            </w:pPr>
            <w:r>
              <w:rPr>
                <w:color w:val="000000"/>
              </w:rPr>
              <w:t>14</w:t>
            </w:r>
          </w:p>
        </w:tc>
        <w:tc>
          <w:tcPr>
            <w:tcW w:type="dxa" w:w="3305"/>
            <w:tcBorders>
              <w:top w:color="000000" w:sz="4" w:val="single"/>
              <w:left w:color="000000" w:sz="4" w:val="single"/>
              <w:bottom w:color="000000" w:sz="4" w:val="single"/>
              <w:right w:color="000000" w:sz="4" w:val="single"/>
            </w:tcBorders>
            <w:shd w:fill="auto" w:val="clear"/>
            <w:vAlign w:val="center"/>
          </w:tcPr>
          <w:p w14:paraId="09080000">
            <w:pPr>
              <w:widowControl w:val="1"/>
              <w:ind w:firstLine="79"/>
              <w:contextualSpacing w:val="1"/>
              <w:rPr>
                <w:color w:val="000000"/>
              </w:rPr>
            </w:pPr>
            <w:r>
              <w:rPr>
                <w:color w:val="000000"/>
              </w:rPr>
              <w:t>Отложенные налоговые обязательства</w:t>
            </w:r>
          </w:p>
        </w:tc>
        <w:tc>
          <w:tcPr>
            <w:tcW w:type="dxa" w:w="2127"/>
            <w:tcBorders>
              <w:top w:color="000000" w:sz="4" w:val="single"/>
              <w:left w:color="000000" w:sz="4" w:val="single"/>
              <w:bottom w:color="000000" w:sz="4" w:val="single"/>
              <w:right w:color="000000" w:sz="4" w:val="single"/>
            </w:tcBorders>
            <w:shd w:fill="auto" w:val="clear"/>
            <w:vAlign w:val="center"/>
          </w:tcPr>
          <w:p w14:paraId="0A080000">
            <w:pPr>
              <w:widowControl w:val="1"/>
              <w:ind w:firstLine="79"/>
              <w:contextualSpacing w:val="1"/>
              <w:jc w:val="center"/>
              <w:rPr>
                <w:color w:val="000000"/>
              </w:rPr>
            </w:pPr>
            <w:r>
              <w:rPr>
                <w:color w:val="000000"/>
              </w:rPr>
              <w:t>14200</w:t>
            </w:r>
          </w:p>
        </w:tc>
        <w:tc>
          <w:tcPr>
            <w:tcW w:type="dxa" w:w="1275"/>
            <w:tcBorders>
              <w:top w:color="000000" w:sz="4" w:val="single"/>
              <w:left w:color="000000" w:sz="4" w:val="single"/>
              <w:bottom w:color="000000" w:sz="4" w:val="single"/>
              <w:right w:color="000000" w:sz="4" w:val="single"/>
            </w:tcBorders>
            <w:shd w:fill="auto" w:val="clear"/>
            <w:vAlign w:val="center"/>
          </w:tcPr>
          <w:p w14:paraId="0B080000">
            <w:pPr>
              <w:widowControl w:val="1"/>
              <w:ind w:firstLine="79"/>
              <w:contextualSpacing w:val="1"/>
              <w:jc w:val="center"/>
              <w:rPr>
                <w:color w:val="000000"/>
              </w:rPr>
            </w:pPr>
            <w:r>
              <w:rPr>
                <w:color w:val="000000"/>
              </w:rPr>
              <w:t>536</w:t>
            </w:r>
          </w:p>
        </w:tc>
        <w:tc>
          <w:tcPr>
            <w:tcW w:type="dxa" w:w="1276"/>
            <w:tcBorders>
              <w:top w:color="000000" w:sz="4" w:val="single"/>
              <w:left w:color="000000" w:sz="4" w:val="single"/>
              <w:bottom w:color="000000" w:sz="4" w:val="single"/>
              <w:right w:color="000000" w:sz="4" w:val="single"/>
            </w:tcBorders>
            <w:shd w:fill="auto" w:val="clear"/>
            <w:vAlign w:val="center"/>
          </w:tcPr>
          <w:p w14:paraId="0C080000">
            <w:pPr>
              <w:widowControl w:val="1"/>
              <w:ind w:firstLine="79"/>
              <w:contextualSpacing w:val="1"/>
              <w:jc w:val="center"/>
              <w:rPr>
                <w:color w:val="000000"/>
              </w:rPr>
            </w:pPr>
            <w:r>
              <w:rPr>
                <w:color w:val="000000"/>
              </w:rPr>
              <w:t>6 670</w:t>
            </w:r>
          </w:p>
        </w:tc>
        <w:tc>
          <w:tcPr>
            <w:tcW w:type="dxa" w:w="1251"/>
            <w:tcBorders>
              <w:top w:color="000000" w:sz="4" w:val="single"/>
              <w:left w:color="000000" w:sz="4" w:val="single"/>
              <w:bottom w:color="000000" w:sz="4" w:val="single"/>
              <w:right w:color="000000" w:sz="4" w:val="single"/>
            </w:tcBorders>
            <w:shd w:fill="auto" w:val="clear"/>
            <w:vAlign w:val="center"/>
          </w:tcPr>
          <w:p w14:paraId="0D080000">
            <w:pPr>
              <w:widowControl w:val="1"/>
              <w:ind w:firstLine="79"/>
              <w:contextualSpacing w:val="1"/>
              <w:jc w:val="center"/>
              <w:rPr>
                <w:color w:val="000000"/>
              </w:rPr>
            </w:pPr>
            <w:r>
              <w:rPr>
                <w:color w:val="000000"/>
              </w:rPr>
              <w:t>248</w:t>
            </w:r>
          </w:p>
        </w:tc>
      </w:tr>
      <w:tr>
        <w:trPr>
          <w:trHeight w:hRule="atLeast" w:val="397"/>
        </w:trPr>
        <w:tc>
          <w:tcPr>
            <w:tcW w:type="dxa" w:w="674"/>
            <w:tcBorders>
              <w:top w:color="000000" w:sz="4" w:val="single"/>
              <w:left w:color="000000" w:sz="4" w:val="single"/>
              <w:bottom w:color="000000" w:sz="4" w:val="single"/>
              <w:right w:color="000000" w:sz="4" w:val="single"/>
            </w:tcBorders>
            <w:shd w:fill="auto" w:val="clear"/>
            <w:vAlign w:val="center"/>
          </w:tcPr>
          <w:p w14:paraId="0E080000">
            <w:pPr>
              <w:widowControl w:val="1"/>
              <w:ind w:firstLine="709" w:left="-708"/>
              <w:contextualSpacing w:val="1"/>
              <w:jc w:val="center"/>
              <w:rPr>
                <w:color w:val="000000"/>
              </w:rPr>
            </w:pPr>
            <w:r>
              <w:rPr>
                <w:color w:val="000000"/>
              </w:rPr>
              <w:t>15</w:t>
            </w:r>
          </w:p>
        </w:tc>
        <w:tc>
          <w:tcPr>
            <w:tcW w:type="dxa" w:w="3305"/>
            <w:tcBorders>
              <w:top w:color="000000" w:sz="4" w:val="single"/>
              <w:left w:color="000000" w:sz="4" w:val="single"/>
              <w:bottom w:color="000000" w:sz="4" w:val="single"/>
              <w:right w:color="000000" w:sz="4" w:val="single"/>
            </w:tcBorders>
            <w:shd w:fill="auto" w:val="clear"/>
            <w:vAlign w:val="center"/>
          </w:tcPr>
          <w:p w14:paraId="0F080000">
            <w:pPr>
              <w:widowControl w:val="1"/>
              <w:ind w:firstLine="79"/>
              <w:contextualSpacing w:val="1"/>
              <w:rPr>
                <w:color w:val="000000"/>
              </w:rPr>
            </w:pPr>
            <w:r>
              <w:rPr>
                <w:color w:val="000000"/>
              </w:rPr>
              <w:t>Заемные  средства</w:t>
            </w:r>
          </w:p>
        </w:tc>
        <w:tc>
          <w:tcPr>
            <w:tcW w:type="dxa" w:w="2127"/>
            <w:tcBorders>
              <w:top w:color="000000" w:sz="4" w:val="single"/>
              <w:left w:color="000000" w:sz="4" w:val="single"/>
              <w:bottom w:color="000000" w:sz="4" w:val="single"/>
              <w:right w:color="000000" w:sz="4" w:val="single"/>
            </w:tcBorders>
            <w:shd w:fill="auto" w:val="clear"/>
            <w:vAlign w:val="center"/>
          </w:tcPr>
          <w:p w14:paraId="10080000">
            <w:pPr>
              <w:widowControl w:val="1"/>
              <w:ind w:firstLine="79"/>
              <w:contextualSpacing w:val="1"/>
              <w:jc w:val="center"/>
              <w:rPr>
                <w:color w:val="000000"/>
              </w:rPr>
            </w:pPr>
            <w:r>
              <w:rPr>
                <w:color w:val="000000"/>
              </w:rPr>
              <w:t>15100</w:t>
            </w:r>
          </w:p>
        </w:tc>
        <w:tc>
          <w:tcPr>
            <w:tcW w:type="dxa" w:w="1275"/>
            <w:tcBorders>
              <w:top w:color="000000" w:sz="4" w:val="single"/>
              <w:left w:color="000000" w:sz="4" w:val="single"/>
              <w:bottom w:color="000000" w:sz="4" w:val="single"/>
              <w:right w:color="000000" w:sz="4" w:val="single"/>
            </w:tcBorders>
            <w:shd w:fill="auto" w:val="clear"/>
            <w:vAlign w:val="center"/>
          </w:tcPr>
          <w:p w14:paraId="11080000">
            <w:pPr>
              <w:widowControl w:val="1"/>
              <w:ind w:firstLine="79"/>
              <w:contextualSpacing w:val="1"/>
              <w:jc w:val="center"/>
              <w:rPr>
                <w:color w:val="000000"/>
              </w:rPr>
            </w:pPr>
          </w:p>
        </w:tc>
        <w:tc>
          <w:tcPr>
            <w:tcW w:type="dxa" w:w="1276"/>
            <w:tcBorders>
              <w:top w:color="000000" w:sz="4" w:val="single"/>
              <w:left w:color="000000" w:sz="4" w:val="single"/>
              <w:bottom w:color="000000" w:sz="4" w:val="single"/>
              <w:right w:color="000000" w:sz="4" w:val="single"/>
            </w:tcBorders>
            <w:shd w:fill="auto" w:val="clear"/>
            <w:vAlign w:val="center"/>
          </w:tcPr>
          <w:p w14:paraId="12080000">
            <w:pPr>
              <w:widowControl w:val="1"/>
              <w:ind w:firstLine="79"/>
              <w:contextualSpacing w:val="1"/>
              <w:jc w:val="center"/>
              <w:rPr>
                <w:color w:val="000000"/>
              </w:rPr>
            </w:pPr>
          </w:p>
        </w:tc>
        <w:tc>
          <w:tcPr>
            <w:tcW w:type="dxa" w:w="1251"/>
            <w:tcBorders>
              <w:top w:color="000000" w:sz="4" w:val="single"/>
              <w:left w:color="000000" w:sz="4" w:val="single"/>
              <w:bottom w:color="000000" w:sz="4" w:val="single"/>
              <w:right w:color="000000" w:sz="4" w:val="single"/>
            </w:tcBorders>
            <w:shd w:fill="auto" w:val="clear"/>
            <w:vAlign w:val="center"/>
          </w:tcPr>
          <w:p w14:paraId="13080000">
            <w:pPr>
              <w:widowControl w:val="1"/>
              <w:ind w:firstLine="79"/>
              <w:contextualSpacing w:val="1"/>
              <w:jc w:val="center"/>
              <w:rPr>
                <w:color w:val="000000"/>
              </w:rPr>
            </w:pPr>
          </w:p>
        </w:tc>
      </w:tr>
      <w:tr>
        <w:trPr>
          <w:trHeight w:hRule="atLeast" w:val="276"/>
        </w:trPr>
        <w:tc>
          <w:tcPr>
            <w:tcW w:type="dxa" w:w="674"/>
            <w:tcBorders>
              <w:top w:color="000000" w:sz="4" w:val="single"/>
              <w:left w:color="000000" w:sz="4" w:val="single"/>
              <w:bottom w:color="000000" w:sz="4" w:val="single"/>
              <w:right w:color="000000" w:sz="4" w:val="single"/>
            </w:tcBorders>
            <w:shd w:fill="auto" w:val="clear"/>
            <w:vAlign w:val="center"/>
          </w:tcPr>
          <w:p w14:paraId="14080000">
            <w:pPr>
              <w:widowControl w:val="1"/>
              <w:ind w:firstLine="709" w:left="-708"/>
              <w:contextualSpacing w:val="1"/>
              <w:jc w:val="center"/>
              <w:rPr>
                <w:color w:val="000000"/>
              </w:rPr>
            </w:pPr>
            <w:r>
              <w:rPr>
                <w:color w:val="000000"/>
              </w:rPr>
              <w:t>16</w:t>
            </w:r>
          </w:p>
        </w:tc>
        <w:tc>
          <w:tcPr>
            <w:tcW w:type="dxa" w:w="3305"/>
            <w:tcBorders>
              <w:top w:color="000000" w:sz="4" w:val="single"/>
              <w:left w:color="000000" w:sz="4" w:val="single"/>
              <w:bottom w:color="000000" w:sz="4" w:val="single"/>
              <w:right w:color="000000" w:sz="4" w:val="single"/>
            </w:tcBorders>
            <w:shd w:fill="auto" w:val="clear"/>
            <w:vAlign w:val="center"/>
          </w:tcPr>
          <w:p w14:paraId="15080000">
            <w:pPr>
              <w:widowControl w:val="1"/>
              <w:ind w:firstLine="79"/>
              <w:contextualSpacing w:val="1"/>
              <w:rPr>
                <w:color w:val="000000"/>
              </w:rPr>
            </w:pPr>
            <w:r>
              <w:rPr>
                <w:color w:val="000000"/>
              </w:rPr>
              <w:t>Кредиторская задолженность</w:t>
            </w:r>
          </w:p>
        </w:tc>
        <w:tc>
          <w:tcPr>
            <w:tcW w:type="dxa" w:w="2127"/>
            <w:tcBorders>
              <w:top w:color="000000" w:sz="4" w:val="single"/>
              <w:left w:color="000000" w:sz="4" w:val="single"/>
              <w:bottom w:color="000000" w:sz="4" w:val="single"/>
              <w:right w:color="000000" w:sz="4" w:val="single"/>
            </w:tcBorders>
            <w:shd w:fill="auto" w:val="clear"/>
            <w:vAlign w:val="center"/>
          </w:tcPr>
          <w:p w14:paraId="16080000">
            <w:pPr>
              <w:widowControl w:val="1"/>
              <w:ind w:firstLine="79"/>
              <w:contextualSpacing w:val="1"/>
              <w:jc w:val="center"/>
              <w:rPr>
                <w:color w:val="000000"/>
              </w:rPr>
            </w:pPr>
            <w:r>
              <w:rPr>
                <w:color w:val="000000"/>
              </w:rPr>
              <w:t>15200</w:t>
            </w:r>
          </w:p>
        </w:tc>
        <w:tc>
          <w:tcPr>
            <w:tcW w:type="dxa" w:w="1275"/>
            <w:tcBorders>
              <w:top w:color="000000" w:sz="4" w:val="single"/>
              <w:left w:color="000000" w:sz="4" w:val="single"/>
              <w:bottom w:color="000000" w:sz="4" w:val="single"/>
              <w:right w:color="000000" w:sz="4" w:val="single"/>
            </w:tcBorders>
            <w:shd w:fill="auto" w:val="clear"/>
            <w:vAlign w:val="center"/>
          </w:tcPr>
          <w:p w14:paraId="17080000">
            <w:pPr>
              <w:widowControl w:val="1"/>
              <w:ind w:firstLine="79"/>
              <w:contextualSpacing w:val="1"/>
              <w:jc w:val="center"/>
              <w:rPr>
                <w:color w:val="000000"/>
              </w:rPr>
            </w:pPr>
            <w:r>
              <w:rPr>
                <w:color w:val="000000"/>
              </w:rPr>
              <w:t>275 642</w:t>
            </w:r>
          </w:p>
        </w:tc>
        <w:tc>
          <w:tcPr>
            <w:tcW w:type="dxa" w:w="1276"/>
            <w:tcBorders>
              <w:top w:color="000000" w:sz="4" w:val="single"/>
              <w:left w:color="000000" w:sz="4" w:val="single"/>
              <w:bottom w:color="000000" w:sz="4" w:val="single"/>
              <w:right w:color="000000" w:sz="4" w:val="single"/>
            </w:tcBorders>
            <w:shd w:fill="auto" w:val="clear"/>
            <w:vAlign w:val="center"/>
          </w:tcPr>
          <w:p w14:paraId="18080000">
            <w:pPr>
              <w:widowControl w:val="1"/>
              <w:ind w:firstLine="79"/>
              <w:contextualSpacing w:val="1"/>
              <w:jc w:val="center"/>
              <w:rPr>
                <w:color w:val="000000"/>
              </w:rPr>
            </w:pPr>
            <w:r>
              <w:rPr>
                <w:color w:val="000000"/>
              </w:rPr>
              <w:t>291 286</w:t>
            </w:r>
          </w:p>
        </w:tc>
        <w:tc>
          <w:tcPr>
            <w:tcW w:type="dxa" w:w="1251"/>
            <w:tcBorders>
              <w:top w:color="000000" w:sz="4" w:val="single"/>
              <w:left w:color="000000" w:sz="4" w:val="single"/>
              <w:bottom w:color="000000" w:sz="4" w:val="single"/>
              <w:right w:color="000000" w:sz="4" w:val="single"/>
            </w:tcBorders>
            <w:shd w:fill="auto" w:val="clear"/>
            <w:vAlign w:val="center"/>
          </w:tcPr>
          <w:p w14:paraId="19080000">
            <w:pPr>
              <w:widowControl w:val="1"/>
              <w:ind w:firstLine="79"/>
              <w:contextualSpacing w:val="1"/>
              <w:jc w:val="center"/>
              <w:rPr>
                <w:color w:val="000000"/>
              </w:rPr>
            </w:pPr>
            <w:r>
              <w:rPr>
                <w:color w:val="000000"/>
              </w:rPr>
              <w:t>283 669</w:t>
            </w:r>
          </w:p>
        </w:tc>
      </w:tr>
      <w:tr>
        <w:trPr>
          <w:trHeight w:hRule="atLeast" w:val="394"/>
        </w:trPr>
        <w:tc>
          <w:tcPr>
            <w:tcW w:type="dxa" w:w="674"/>
            <w:tcBorders>
              <w:top w:color="000000" w:sz="4" w:val="single"/>
              <w:left w:color="000000" w:sz="4" w:val="single"/>
              <w:bottom w:color="000000" w:sz="4" w:val="single"/>
              <w:right w:color="000000" w:sz="4" w:val="single"/>
            </w:tcBorders>
            <w:shd w:fill="auto" w:val="clear"/>
            <w:vAlign w:val="center"/>
          </w:tcPr>
          <w:p w14:paraId="1A080000">
            <w:pPr>
              <w:widowControl w:val="1"/>
              <w:ind w:firstLine="709" w:left="-708"/>
              <w:contextualSpacing w:val="1"/>
              <w:jc w:val="center"/>
              <w:rPr>
                <w:color w:val="000000"/>
              </w:rPr>
            </w:pPr>
            <w:r>
              <w:rPr>
                <w:color w:val="000000"/>
              </w:rPr>
              <w:t>17</w:t>
            </w:r>
          </w:p>
        </w:tc>
        <w:tc>
          <w:tcPr>
            <w:tcW w:type="dxa" w:w="3305"/>
            <w:tcBorders>
              <w:top w:color="000000" w:sz="4" w:val="single"/>
              <w:left w:color="000000" w:sz="4" w:val="single"/>
              <w:bottom w:color="000000" w:sz="4" w:val="single"/>
              <w:right w:color="000000" w:sz="4" w:val="single"/>
            </w:tcBorders>
            <w:shd w:fill="auto" w:val="clear"/>
            <w:vAlign w:val="center"/>
          </w:tcPr>
          <w:p w14:paraId="1B080000">
            <w:pPr>
              <w:widowControl w:val="1"/>
              <w:ind w:firstLine="79"/>
              <w:contextualSpacing w:val="1"/>
              <w:rPr>
                <w:color w:val="000000"/>
              </w:rPr>
            </w:pPr>
            <w:r>
              <w:rPr>
                <w:color w:val="000000"/>
              </w:rPr>
              <w:t>Доходы будущих периодов</w:t>
            </w:r>
          </w:p>
        </w:tc>
        <w:tc>
          <w:tcPr>
            <w:tcW w:type="dxa" w:w="2127"/>
            <w:tcBorders>
              <w:top w:color="000000" w:sz="4" w:val="single"/>
              <w:left w:color="000000" w:sz="4" w:val="single"/>
              <w:bottom w:color="000000" w:sz="4" w:val="single"/>
              <w:right w:color="000000" w:sz="4" w:val="single"/>
            </w:tcBorders>
            <w:shd w:fill="auto" w:val="clear"/>
            <w:vAlign w:val="center"/>
          </w:tcPr>
          <w:p w14:paraId="1C080000">
            <w:pPr>
              <w:widowControl w:val="1"/>
              <w:ind w:firstLine="79"/>
              <w:contextualSpacing w:val="1"/>
              <w:jc w:val="center"/>
              <w:rPr>
                <w:color w:val="000000"/>
              </w:rPr>
            </w:pPr>
            <w:r>
              <w:rPr>
                <w:color w:val="000000"/>
              </w:rPr>
              <w:t>15300</w:t>
            </w:r>
          </w:p>
        </w:tc>
        <w:tc>
          <w:tcPr>
            <w:tcW w:type="dxa" w:w="1275"/>
            <w:tcBorders>
              <w:top w:color="000000" w:sz="4" w:val="single"/>
              <w:left w:color="000000" w:sz="4" w:val="single"/>
              <w:bottom w:color="000000" w:sz="4" w:val="single"/>
              <w:right w:color="000000" w:sz="4" w:val="single"/>
            </w:tcBorders>
            <w:shd w:fill="auto" w:val="clear"/>
            <w:vAlign w:val="center"/>
          </w:tcPr>
          <w:p w14:paraId="1D080000">
            <w:pPr>
              <w:widowControl w:val="1"/>
              <w:ind w:firstLine="79"/>
              <w:contextualSpacing w:val="1"/>
              <w:jc w:val="center"/>
              <w:rPr>
                <w:color w:val="000000"/>
              </w:rPr>
            </w:pPr>
          </w:p>
        </w:tc>
        <w:tc>
          <w:tcPr>
            <w:tcW w:type="dxa" w:w="1276"/>
            <w:tcBorders>
              <w:top w:color="000000" w:sz="4" w:val="single"/>
              <w:left w:color="000000" w:sz="4" w:val="single"/>
              <w:bottom w:color="000000" w:sz="4" w:val="single"/>
              <w:right w:color="000000" w:sz="4" w:val="single"/>
            </w:tcBorders>
            <w:shd w:fill="auto" w:val="clear"/>
            <w:vAlign w:val="center"/>
          </w:tcPr>
          <w:p w14:paraId="1E080000">
            <w:pPr>
              <w:widowControl w:val="1"/>
              <w:ind w:firstLine="79"/>
              <w:contextualSpacing w:val="1"/>
              <w:jc w:val="center"/>
              <w:rPr>
                <w:color w:val="000000"/>
              </w:rPr>
            </w:pPr>
          </w:p>
        </w:tc>
        <w:tc>
          <w:tcPr>
            <w:tcW w:type="dxa" w:w="1251"/>
            <w:tcBorders>
              <w:top w:color="000000" w:sz="4" w:val="single"/>
              <w:left w:color="000000" w:sz="4" w:val="single"/>
              <w:bottom w:color="000000" w:sz="4" w:val="single"/>
              <w:right w:color="000000" w:sz="4" w:val="single"/>
            </w:tcBorders>
            <w:shd w:fill="auto" w:val="clear"/>
            <w:vAlign w:val="center"/>
          </w:tcPr>
          <w:p w14:paraId="1F080000">
            <w:pPr>
              <w:widowControl w:val="1"/>
              <w:ind w:firstLine="79"/>
              <w:contextualSpacing w:val="1"/>
              <w:jc w:val="center"/>
              <w:rPr>
                <w:color w:val="000000"/>
              </w:rPr>
            </w:pPr>
          </w:p>
        </w:tc>
      </w:tr>
      <w:tr>
        <w:trPr>
          <w:trHeight w:hRule="atLeast" w:val="400"/>
        </w:trPr>
        <w:tc>
          <w:tcPr>
            <w:tcW w:type="dxa" w:w="674"/>
            <w:tcBorders>
              <w:top w:color="000000" w:sz="4" w:val="single"/>
              <w:left w:color="000000" w:sz="4" w:val="single"/>
              <w:bottom w:color="000000" w:sz="4" w:val="single"/>
              <w:right w:color="000000" w:sz="4" w:val="single"/>
            </w:tcBorders>
            <w:shd w:fill="auto" w:val="clear"/>
            <w:vAlign w:val="center"/>
          </w:tcPr>
          <w:p w14:paraId="20080000">
            <w:pPr>
              <w:widowControl w:val="1"/>
              <w:ind w:firstLine="709" w:left="-708"/>
              <w:contextualSpacing w:val="1"/>
              <w:jc w:val="center"/>
              <w:rPr>
                <w:color w:val="000000"/>
              </w:rPr>
            </w:pPr>
            <w:r>
              <w:rPr>
                <w:color w:val="000000"/>
              </w:rPr>
              <w:t>18</w:t>
            </w:r>
          </w:p>
        </w:tc>
        <w:tc>
          <w:tcPr>
            <w:tcW w:type="dxa" w:w="3305"/>
            <w:tcBorders>
              <w:top w:color="000000" w:sz="4" w:val="single"/>
              <w:left w:color="000000" w:sz="4" w:val="single"/>
              <w:bottom w:color="000000" w:sz="4" w:val="single"/>
              <w:right w:color="000000" w:sz="4" w:val="single"/>
            </w:tcBorders>
            <w:shd w:fill="auto" w:val="clear"/>
            <w:vAlign w:val="center"/>
          </w:tcPr>
          <w:p w14:paraId="21080000">
            <w:pPr>
              <w:widowControl w:val="1"/>
              <w:ind w:firstLine="79"/>
              <w:contextualSpacing w:val="1"/>
              <w:rPr>
                <w:color w:val="000000"/>
              </w:rPr>
            </w:pPr>
            <w:r>
              <w:rPr>
                <w:color w:val="000000"/>
              </w:rPr>
              <w:t>Оценочные обязательства</w:t>
            </w:r>
          </w:p>
        </w:tc>
        <w:tc>
          <w:tcPr>
            <w:tcW w:type="dxa" w:w="2127"/>
            <w:tcBorders>
              <w:top w:color="000000" w:sz="4" w:val="single"/>
              <w:left w:color="000000" w:sz="4" w:val="single"/>
              <w:bottom w:color="000000" w:sz="4" w:val="single"/>
              <w:right w:color="000000" w:sz="4" w:val="single"/>
            </w:tcBorders>
            <w:shd w:fill="auto" w:val="clear"/>
            <w:vAlign w:val="center"/>
          </w:tcPr>
          <w:p w14:paraId="22080000">
            <w:pPr>
              <w:widowControl w:val="1"/>
              <w:ind w:firstLine="79"/>
              <w:contextualSpacing w:val="1"/>
              <w:jc w:val="center"/>
              <w:rPr>
                <w:color w:val="000000"/>
              </w:rPr>
            </w:pPr>
            <w:r>
              <w:rPr>
                <w:color w:val="000000"/>
              </w:rPr>
              <w:t>15400</w:t>
            </w:r>
          </w:p>
        </w:tc>
        <w:tc>
          <w:tcPr>
            <w:tcW w:type="dxa" w:w="1275"/>
            <w:tcBorders>
              <w:top w:color="000000" w:sz="4" w:val="single"/>
              <w:left w:color="000000" w:sz="4" w:val="single"/>
              <w:bottom w:color="000000" w:sz="4" w:val="single"/>
              <w:right w:color="000000" w:sz="4" w:val="single"/>
            </w:tcBorders>
            <w:shd w:fill="auto" w:val="clear"/>
            <w:vAlign w:val="center"/>
          </w:tcPr>
          <w:p w14:paraId="23080000">
            <w:pPr>
              <w:widowControl w:val="1"/>
              <w:ind w:firstLine="79"/>
              <w:contextualSpacing w:val="1"/>
              <w:jc w:val="center"/>
              <w:rPr>
                <w:color w:val="000000"/>
              </w:rPr>
            </w:pPr>
            <w:r>
              <w:rPr>
                <w:color w:val="000000"/>
              </w:rPr>
              <w:t>7 050</w:t>
            </w:r>
          </w:p>
        </w:tc>
        <w:tc>
          <w:tcPr>
            <w:tcW w:type="dxa" w:w="1276"/>
            <w:tcBorders>
              <w:top w:color="000000" w:sz="4" w:val="single"/>
              <w:left w:color="000000" w:sz="4" w:val="single"/>
              <w:bottom w:color="000000" w:sz="4" w:val="single"/>
              <w:right w:color="000000" w:sz="4" w:val="single"/>
            </w:tcBorders>
            <w:shd w:fill="auto" w:val="clear"/>
            <w:vAlign w:val="center"/>
          </w:tcPr>
          <w:p w14:paraId="24080000">
            <w:pPr>
              <w:widowControl w:val="1"/>
              <w:ind w:firstLine="79"/>
              <w:contextualSpacing w:val="1"/>
              <w:jc w:val="center"/>
              <w:rPr>
                <w:color w:val="000000"/>
              </w:rPr>
            </w:pPr>
            <w:r>
              <w:rPr>
                <w:color w:val="000000"/>
              </w:rPr>
              <w:t>5 092</w:t>
            </w:r>
          </w:p>
        </w:tc>
        <w:tc>
          <w:tcPr>
            <w:tcW w:type="dxa" w:w="1251"/>
            <w:tcBorders>
              <w:top w:color="000000" w:sz="4" w:val="single"/>
              <w:left w:color="000000" w:sz="4" w:val="single"/>
              <w:bottom w:color="000000" w:sz="4" w:val="single"/>
              <w:right w:color="000000" w:sz="4" w:val="single"/>
            </w:tcBorders>
            <w:shd w:fill="auto" w:val="clear"/>
            <w:vAlign w:val="center"/>
          </w:tcPr>
          <w:p w14:paraId="25080000">
            <w:pPr>
              <w:widowControl w:val="1"/>
              <w:ind w:firstLine="79"/>
              <w:contextualSpacing w:val="1"/>
              <w:jc w:val="center"/>
              <w:rPr>
                <w:color w:val="000000"/>
              </w:rPr>
            </w:pPr>
            <w:r>
              <w:rPr>
                <w:color w:val="000000"/>
              </w:rPr>
              <w:t>5 374</w:t>
            </w:r>
          </w:p>
        </w:tc>
      </w:tr>
      <w:tr>
        <w:trPr>
          <w:trHeight w:hRule="atLeast" w:val="314"/>
        </w:trPr>
        <w:tc>
          <w:tcPr>
            <w:tcW w:type="dxa" w:w="674"/>
            <w:tcBorders>
              <w:top w:color="000000" w:sz="4" w:val="single"/>
              <w:left w:color="000000" w:sz="4" w:val="single"/>
              <w:bottom w:color="000000" w:sz="4" w:val="single"/>
              <w:right w:color="000000" w:sz="4" w:val="single"/>
            </w:tcBorders>
            <w:shd w:fill="auto" w:val="clear"/>
            <w:vAlign w:val="center"/>
          </w:tcPr>
          <w:p w14:paraId="26080000">
            <w:pPr>
              <w:widowControl w:val="1"/>
              <w:ind w:firstLine="709" w:left="-708"/>
              <w:contextualSpacing w:val="1"/>
              <w:jc w:val="center"/>
              <w:rPr>
                <w:color w:val="000000"/>
              </w:rPr>
            </w:pPr>
            <w:r>
              <w:rPr>
                <w:color w:val="000000"/>
              </w:rPr>
              <w:t>1</w:t>
            </w:r>
            <w:r>
              <w:rPr>
                <w:color w:val="000000"/>
              </w:rPr>
              <w:t>9</w:t>
            </w:r>
          </w:p>
        </w:tc>
        <w:tc>
          <w:tcPr>
            <w:tcW w:type="dxa" w:w="3305"/>
            <w:tcBorders>
              <w:top w:color="000000" w:sz="4" w:val="single"/>
              <w:left w:color="000000" w:sz="4" w:val="single"/>
              <w:bottom w:color="000000" w:sz="4" w:val="single"/>
              <w:right w:color="000000" w:sz="4" w:val="single"/>
            </w:tcBorders>
            <w:shd w:fill="auto" w:val="clear"/>
            <w:vAlign w:val="center"/>
          </w:tcPr>
          <w:p w14:paraId="27080000">
            <w:pPr>
              <w:widowControl w:val="1"/>
              <w:ind w:firstLine="79"/>
              <w:contextualSpacing w:val="1"/>
              <w:rPr>
                <w:color w:val="000000"/>
              </w:rPr>
            </w:pPr>
            <w:r>
              <w:rPr>
                <w:color w:val="000000"/>
              </w:rPr>
              <w:t>Прочие обязательства</w:t>
            </w:r>
          </w:p>
        </w:tc>
        <w:tc>
          <w:tcPr>
            <w:tcW w:type="dxa" w:w="2127"/>
            <w:tcBorders>
              <w:top w:color="000000" w:sz="4" w:val="single"/>
              <w:left w:color="000000" w:sz="4" w:val="single"/>
              <w:bottom w:color="000000" w:sz="4" w:val="single"/>
              <w:right w:color="000000" w:sz="4" w:val="single"/>
            </w:tcBorders>
            <w:shd w:fill="auto" w:val="clear"/>
            <w:vAlign w:val="center"/>
          </w:tcPr>
          <w:p w14:paraId="28080000">
            <w:pPr>
              <w:widowControl w:val="1"/>
              <w:ind w:firstLine="79"/>
              <w:contextualSpacing w:val="1"/>
              <w:jc w:val="center"/>
              <w:rPr>
                <w:color w:val="000000"/>
              </w:rPr>
            </w:pPr>
            <w:r>
              <w:rPr>
                <w:color w:val="000000"/>
              </w:rPr>
              <w:t>15500</w:t>
            </w:r>
          </w:p>
        </w:tc>
        <w:tc>
          <w:tcPr>
            <w:tcW w:type="dxa" w:w="1275"/>
            <w:tcBorders>
              <w:top w:color="000000" w:sz="4" w:val="single"/>
              <w:left w:color="000000" w:sz="4" w:val="single"/>
              <w:bottom w:color="000000" w:sz="4" w:val="single"/>
              <w:right w:color="000000" w:sz="4" w:val="single"/>
            </w:tcBorders>
            <w:shd w:fill="auto" w:val="clear"/>
            <w:vAlign w:val="center"/>
          </w:tcPr>
          <w:p w14:paraId="29080000">
            <w:pPr>
              <w:widowControl w:val="1"/>
              <w:ind w:firstLine="79"/>
              <w:contextualSpacing w:val="1"/>
              <w:jc w:val="center"/>
              <w:rPr>
                <w:color w:val="000000"/>
              </w:rPr>
            </w:pPr>
          </w:p>
        </w:tc>
        <w:tc>
          <w:tcPr>
            <w:tcW w:type="dxa" w:w="1276"/>
            <w:tcBorders>
              <w:top w:color="000000" w:sz="4" w:val="single"/>
              <w:left w:color="000000" w:sz="4" w:val="single"/>
              <w:bottom w:color="000000" w:sz="4" w:val="single"/>
              <w:right w:color="000000" w:sz="4" w:val="single"/>
            </w:tcBorders>
            <w:shd w:fill="auto" w:val="clear"/>
            <w:vAlign w:val="center"/>
          </w:tcPr>
          <w:p w14:paraId="2A080000">
            <w:pPr>
              <w:widowControl w:val="1"/>
              <w:ind w:firstLine="79"/>
              <w:contextualSpacing w:val="1"/>
              <w:jc w:val="center"/>
              <w:rPr>
                <w:color w:val="000000"/>
              </w:rPr>
            </w:pPr>
          </w:p>
        </w:tc>
        <w:tc>
          <w:tcPr>
            <w:tcW w:type="dxa" w:w="1251"/>
            <w:tcBorders>
              <w:top w:color="000000" w:sz="4" w:val="single"/>
              <w:left w:color="000000" w:sz="4" w:val="single"/>
              <w:bottom w:color="000000" w:sz="4" w:val="single"/>
              <w:right w:color="000000" w:sz="4" w:val="single"/>
            </w:tcBorders>
            <w:shd w:fill="auto" w:val="clear"/>
            <w:vAlign w:val="center"/>
          </w:tcPr>
          <w:p w14:paraId="2B080000">
            <w:pPr>
              <w:widowControl w:val="1"/>
              <w:ind w:firstLine="79"/>
              <w:contextualSpacing w:val="1"/>
              <w:jc w:val="center"/>
              <w:rPr>
                <w:color w:val="000000"/>
              </w:rPr>
            </w:pPr>
          </w:p>
        </w:tc>
      </w:tr>
      <w:tr>
        <w:trPr>
          <w:trHeight w:hRule="atLeast" w:val="602"/>
        </w:trPr>
        <w:tc>
          <w:tcPr>
            <w:tcW w:type="dxa" w:w="674"/>
            <w:tcBorders>
              <w:top w:color="000000" w:sz="4" w:val="single"/>
              <w:left w:color="000000" w:sz="4" w:val="single"/>
              <w:bottom w:color="000000" w:sz="4" w:val="single"/>
              <w:right w:color="000000" w:sz="4" w:val="single"/>
            </w:tcBorders>
            <w:shd w:fill="auto" w:val="clear"/>
            <w:vAlign w:val="center"/>
          </w:tcPr>
          <w:p w14:paraId="2C080000">
            <w:pPr>
              <w:widowControl w:val="1"/>
              <w:ind w:firstLine="709" w:left="-708"/>
              <w:contextualSpacing w:val="1"/>
              <w:jc w:val="center"/>
              <w:rPr>
                <w:b w:val="1"/>
                <w:color w:val="000000"/>
              </w:rPr>
            </w:pPr>
            <w:r>
              <w:rPr>
                <w:b w:val="1"/>
                <w:color w:val="000000"/>
              </w:rPr>
              <w:t>20</w:t>
            </w:r>
          </w:p>
        </w:tc>
        <w:tc>
          <w:tcPr>
            <w:tcW w:type="dxa" w:w="5432"/>
            <w:gridSpan w:val="2"/>
            <w:tcBorders>
              <w:top w:color="000000" w:sz="4" w:val="single"/>
              <w:left w:color="000000" w:sz="4" w:val="single"/>
              <w:bottom w:color="000000" w:sz="4" w:val="single"/>
              <w:right w:color="000000" w:sz="4" w:val="single"/>
            </w:tcBorders>
            <w:shd w:fill="auto" w:val="clear"/>
            <w:vAlign w:val="center"/>
          </w:tcPr>
          <w:p w14:paraId="2D080000">
            <w:pPr>
              <w:widowControl w:val="1"/>
              <w:ind w:firstLine="79"/>
              <w:contextualSpacing w:val="1"/>
              <w:rPr>
                <w:b w:val="1"/>
                <w:color w:val="000000"/>
              </w:rPr>
            </w:pPr>
            <w:r>
              <w:rPr>
                <w:b w:val="1"/>
                <w:color w:val="000000"/>
              </w:rPr>
              <w:t>Итого пассивы, принимаемые к расчету (13-19)</w:t>
            </w:r>
          </w:p>
        </w:tc>
        <w:tc>
          <w:tcPr>
            <w:tcW w:type="dxa" w:w="1275"/>
            <w:tcBorders>
              <w:top w:color="000000" w:sz="4" w:val="single"/>
              <w:left w:color="000000" w:sz="4" w:val="single"/>
              <w:bottom w:color="000000" w:sz="4" w:val="single"/>
              <w:right w:color="000000" w:sz="4" w:val="single"/>
            </w:tcBorders>
            <w:shd w:fill="auto" w:val="clear"/>
            <w:vAlign w:val="center"/>
          </w:tcPr>
          <w:p w14:paraId="2E080000">
            <w:pPr>
              <w:widowControl w:val="1"/>
              <w:ind w:firstLine="79"/>
              <w:contextualSpacing w:val="1"/>
              <w:jc w:val="center"/>
              <w:rPr>
                <w:b w:val="1"/>
                <w:color w:val="000000"/>
              </w:rPr>
            </w:pPr>
            <w:r>
              <w:rPr>
                <w:b w:val="1"/>
                <w:color w:val="000000"/>
              </w:rPr>
              <w:t>283 228</w:t>
            </w:r>
          </w:p>
        </w:tc>
        <w:tc>
          <w:tcPr>
            <w:tcW w:type="dxa" w:w="1276"/>
            <w:tcBorders>
              <w:top w:color="000000" w:sz="4" w:val="single"/>
              <w:left w:color="000000" w:sz="4" w:val="single"/>
              <w:bottom w:color="000000" w:sz="4" w:val="single"/>
              <w:right w:color="000000" w:sz="4" w:val="single"/>
            </w:tcBorders>
            <w:shd w:fill="auto" w:val="clear"/>
            <w:vAlign w:val="center"/>
          </w:tcPr>
          <w:p w14:paraId="2F080000">
            <w:pPr>
              <w:widowControl w:val="1"/>
              <w:ind w:firstLine="79"/>
              <w:contextualSpacing w:val="1"/>
              <w:jc w:val="center"/>
              <w:rPr>
                <w:b w:val="1"/>
                <w:color w:val="000000"/>
              </w:rPr>
            </w:pPr>
            <w:r>
              <w:rPr>
                <w:b w:val="1"/>
                <w:color w:val="000000"/>
              </w:rPr>
              <w:t>303 048</w:t>
            </w:r>
          </w:p>
        </w:tc>
        <w:tc>
          <w:tcPr>
            <w:tcW w:type="dxa" w:w="1251"/>
            <w:tcBorders>
              <w:top w:color="000000" w:sz="4" w:val="single"/>
              <w:left w:color="000000" w:sz="4" w:val="single"/>
              <w:bottom w:color="000000" w:sz="4" w:val="single"/>
              <w:right w:color="000000" w:sz="4" w:val="single"/>
            </w:tcBorders>
            <w:shd w:fill="auto" w:val="clear"/>
            <w:vAlign w:val="center"/>
          </w:tcPr>
          <w:p w14:paraId="30080000">
            <w:pPr>
              <w:widowControl w:val="1"/>
              <w:ind w:firstLine="79"/>
              <w:contextualSpacing w:val="1"/>
              <w:jc w:val="center"/>
              <w:rPr>
                <w:b w:val="1"/>
                <w:color w:val="000000"/>
              </w:rPr>
            </w:pPr>
            <w:r>
              <w:rPr>
                <w:b w:val="1"/>
                <w:color w:val="000000"/>
              </w:rPr>
              <w:t>289 291</w:t>
            </w:r>
          </w:p>
        </w:tc>
      </w:tr>
      <w:tr>
        <w:trPr>
          <w:trHeight w:hRule="atLeast" w:val="736"/>
        </w:trPr>
        <w:tc>
          <w:tcPr>
            <w:tcW w:type="dxa" w:w="674"/>
            <w:tcBorders>
              <w:top w:color="000000" w:sz="4" w:val="single"/>
              <w:left w:color="000000" w:sz="4" w:val="single"/>
              <w:bottom w:color="000000" w:sz="4" w:val="single"/>
              <w:right w:color="000000" w:sz="4" w:val="single"/>
            </w:tcBorders>
            <w:shd w:fill="auto" w:val="clear"/>
            <w:vAlign w:val="center"/>
          </w:tcPr>
          <w:p w14:paraId="31080000">
            <w:pPr>
              <w:widowControl w:val="1"/>
              <w:ind w:firstLine="709" w:left="-708"/>
              <w:contextualSpacing w:val="1"/>
              <w:jc w:val="center"/>
              <w:rPr>
                <w:b w:val="1"/>
                <w:color w:val="000000"/>
              </w:rPr>
            </w:pPr>
            <w:r>
              <w:rPr>
                <w:b w:val="1"/>
                <w:color w:val="000000"/>
              </w:rPr>
              <w:t>21</w:t>
            </w:r>
          </w:p>
        </w:tc>
        <w:tc>
          <w:tcPr>
            <w:tcW w:type="dxa" w:w="5432"/>
            <w:gridSpan w:val="2"/>
            <w:tcBorders>
              <w:top w:color="000000" w:sz="4" w:val="single"/>
              <w:left w:color="000000" w:sz="4" w:val="single"/>
              <w:bottom w:color="000000" w:sz="4" w:val="single"/>
              <w:right w:color="000000" w:sz="4" w:val="single"/>
            </w:tcBorders>
            <w:shd w:fill="auto" w:val="clear"/>
            <w:vAlign w:val="center"/>
          </w:tcPr>
          <w:p w14:paraId="32080000">
            <w:pPr>
              <w:widowControl w:val="1"/>
              <w:ind w:firstLine="79"/>
              <w:contextualSpacing w:val="1"/>
              <w:rPr>
                <w:b w:val="1"/>
                <w:color w:val="000000"/>
              </w:rPr>
            </w:pPr>
            <w:r>
              <w:rPr>
                <w:b w:val="1"/>
                <w:color w:val="000000"/>
              </w:rPr>
              <w:t xml:space="preserve">Стоимость чистых активов акционерного общества </w:t>
            </w:r>
          </w:p>
        </w:tc>
        <w:tc>
          <w:tcPr>
            <w:tcW w:type="dxa" w:w="1275"/>
            <w:tcBorders>
              <w:top w:color="000000" w:sz="4" w:val="single"/>
              <w:left w:color="000000" w:sz="4" w:val="single"/>
              <w:bottom w:color="000000" w:sz="4" w:val="single"/>
              <w:right w:color="000000" w:sz="4" w:val="single"/>
            </w:tcBorders>
            <w:shd w:fill="auto" w:val="clear"/>
            <w:vAlign w:val="center"/>
          </w:tcPr>
          <w:p w14:paraId="33080000">
            <w:pPr>
              <w:widowControl w:val="1"/>
              <w:ind w:firstLine="79"/>
              <w:contextualSpacing w:val="1"/>
              <w:jc w:val="center"/>
              <w:rPr>
                <w:b w:val="1"/>
                <w:color w:val="000000"/>
              </w:rPr>
            </w:pPr>
            <w:r>
              <w:rPr>
                <w:b w:val="1"/>
                <w:color w:val="000000"/>
              </w:rPr>
              <w:t>-143 531</w:t>
            </w:r>
          </w:p>
        </w:tc>
        <w:tc>
          <w:tcPr>
            <w:tcW w:type="dxa" w:w="1276"/>
            <w:tcBorders>
              <w:top w:color="000000" w:sz="4" w:val="single"/>
              <w:left w:color="000000" w:sz="4" w:val="single"/>
              <w:bottom w:color="000000" w:sz="4" w:val="single"/>
              <w:right w:color="000000" w:sz="4" w:val="single"/>
            </w:tcBorders>
            <w:shd w:fill="auto" w:val="clear"/>
            <w:vAlign w:val="center"/>
          </w:tcPr>
          <w:p w14:paraId="34080000">
            <w:pPr>
              <w:widowControl w:val="1"/>
              <w:ind w:firstLine="79"/>
              <w:contextualSpacing w:val="1"/>
              <w:jc w:val="center"/>
              <w:rPr>
                <w:b w:val="1"/>
                <w:color w:val="000000"/>
              </w:rPr>
            </w:pPr>
            <w:r>
              <w:rPr>
                <w:b w:val="1"/>
                <w:color w:val="000000"/>
              </w:rPr>
              <w:t>-143 833</w:t>
            </w:r>
          </w:p>
        </w:tc>
        <w:tc>
          <w:tcPr>
            <w:tcW w:type="dxa" w:w="1251"/>
            <w:tcBorders>
              <w:top w:color="000000" w:sz="4" w:val="single"/>
              <w:left w:color="000000" w:sz="4" w:val="single"/>
              <w:bottom w:color="000000" w:sz="4" w:val="single"/>
              <w:right w:color="000000" w:sz="4" w:val="single"/>
            </w:tcBorders>
            <w:shd w:fill="auto" w:val="clear"/>
            <w:vAlign w:val="center"/>
          </w:tcPr>
          <w:p w14:paraId="35080000">
            <w:pPr>
              <w:widowControl w:val="1"/>
              <w:ind w:firstLine="79"/>
              <w:contextualSpacing w:val="1"/>
              <w:jc w:val="center"/>
              <w:rPr>
                <w:b w:val="1"/>
                <w:color w:val="000000"/>
              </w:rPr>
            </w:pPr>
            <w:r>
              <w:rPr>
                <w:b w:val="1"/>
                <w:color w:val="000000"/>
              </w:rPr>
              <w:t>-155 485</w:t>
            </w:r>
          </w:p>
        </w:tc>
      </w:tr>
    </w:tbl>
    <w:p w14:paraId="36080000">
      <w:pPr>
        <w:widowControl w:val="1"/>
        <w:ind w:firstLine="709"/>
        <w:contextualSpacing w:val="1"/>
        <w:jc w:val="right"/>
      </w:pPr>
    </w:p>
    <w:p w14:paraId="37080000">
      <w:pPr>
        <w:widowControl w:val="1"/>
        <w:ind w:firstLine="709"/>
        <w:contextualSpacing w:val="1"/>
        <w:jc w:val="right"/>
      </w:pPr>
    </w:p>
    <w:p w14:paraId="38080000">
      <w:pPr>
        <w:widowControl w:val="1"/>
        <w:ind w:firstLine="709"/>
        <w:contextualSpacing w:val="1"/>
        <w:jc w:val="right"/>
      </w:pPr>
    </w:p>
    <w:p w14:paraId="39080000">
      <w:pPr>
        <w:widowControl w:val="1"/>
        <w:ind w:firstLine="709"/>
        <w:contextualSpacing w:val="1"/>
        <w:jc w:val="right"/>
      </w:pPr>
    </w:p>
    <w:p w14:paraId="3A080000">
      <w:pPr>
        <w:widowControl w:val="1"/>
        <w:ind w:firstLine="709"/>
        <w:contextualSpacing w:val="1"/>
        <w:jc w:val="right"/>
      </w:pPr>
    </w:p>
    <w:p w14:paraId="3B080000">
      <w:pPr>
        <w:widowControl w:val="1"/>
        <w:ind w:firstLine="709"/>
        <w:contextualSpacing w:val="1"/>
        <w:jc w:val="right"/>
      </w:pPr>
    </w:p>
    <w:p w14:paraId="3C080000">
      <w:pPr>
        <w:widowControl w:val="1"/>
        <w:ind w:firstLine="709"/>
        <w:contextualSpacing w:val="1"/>
        <w:jc w:val="right"/>
      </w:pPr>
      <w:r>
        <w:t>Диаграмма 5.</w:t>
      </w:r>
      <w:r>
        <w:t>6</w:t>
      </w:r>
    </w:p>
    <w:p w14:paraId="3D080000">
      <w:pPr>
        <w:widowControl w:val="1"/>
        <w:ind w:firstLine="709"/>
        <w:contextualSpacing w:val="1"/>
        <w:jc w:val="right"/>
      </w:pPr>
    </w:p>
    <w:p w14:paraId="3E080000">
      <w:pPr>
        <w:widowControl w:val="1"/>
        <w:ind/>
        <w:contextualSpacing w:val="1"/>
        <w:jc w:val="right"/>
      </w:pPr>
      <w:r>
        <w:drawing>
          <wp:inline>
            <wp:extent cx="6047740" cy="3083306"/>
            <wp:docPr hidden="false" id="28" name="Picture 28"/>
            <a:graphic>
              <a:graphicData uri="http://schemas.openxmlformats.org/drawingml/2006/picture">
                <pic:pic>
                  <pic:nvPicPr>
                    <pic:cNvPr hidden="false" id="29" name="Picture 29"/>
                    <pic:cNvPicPr preferRelativeResize="true"/>
                  </pic:nvPicPr>
                  <pic:blipFill>
                    <a:blip r:embed="rId36"/>
                    <a:srcRect b="-20" l="0" r="0" t="0"/>
                    <a:stretch/>
                  </pic:blipFill>
                  <pic:spPr>
                    <a:xfrm flipH="false" flipV="false" rot="0">
                      <a:ext cx="6047740" cy="3083306"/>
                    </a:xfrm>
                    <a:prstGeom prst="rect"/>
                  </pic:spPr>
                </pic:pic>
              </a:graphicData>
            </a:graphic>
          </wp:inline>
        </w:drawing>
      </w:r>
    </w:p>
    <w:p w14:paraId="3F080000">
      <w:pPr>
        <w:widowControl w:val="1"/>
        <w:ind w:firstLine="709"/>
        <w:contextualSpacing w:val="1"/>
        <w:jc w:val="right"/>
      </w:pPr>
    </w:p>
    <w:p w14:paraId="40080000">
      <w:pPr>
        <w:widowControl w:val="1"/>
        <w:ind w:firstLine="709"/>
        <w:contextualSpacing w:val="1"/>
        <w:jc w:val="right"/>
      </w:pPr>
    </w:p>
    <w:p w14:paraId="41080000">
      <w:pPr>
        <w:widowControl w:val="1"/>
        <w:spacing w:line="360" w:lineRule="auto"/>
        <w:ind w:firstLine="709"/>
        <w:contextualSpacing w:val="1"/>
        <w:jc w:val="both"/>
      </w:pPr>
      <w:r>
        <w:t>Чистые активы на конец 201</w:t>
      </w:r>
      <w:r>
        <w:t>8</w:t>
      </w:r>
      <w:r>
        <w:t xml:space="preserve"> года  отрицательные и составляют   -</w:t>
      </w:r>
      <w:r>
        <w:t xml:space="preserve"> </w:t>
      </w:r>
      <w:r>
        <w:t>143,531</w:t>
      </w:r>
      <w:r>
        <w:t xml:space="preserve"> млн. руб., по сравнению с 201</w:t>
      </w:r>
      <w:r>
        <w:t>7</w:t>
      </w:r>
      <w:r>
        <w:t xml:space="preserve"> годом наблюдается положительная динамика </w:t>
      </w:r>
      <w:r>
        <w:t>на</w:t>
      </w:r>
      <w:r>
        <w:t xml:space="preserve"> </w:t>
      </w:r>
      <w:r>
        <w:t>0,3</w:t>
      </w:r>
      <w:r>
        <w:t xml:space="preserve"> млн. руб</w:t>
      </w:r>
      <w:r>
        <w:t>.</w:t>
      </w:r>
    </w:p>
    <w:p w14:paraId="42080000">
      <w:pPr>
        <w:keepNext w:val="1"/>
        <w:widowControl w:val="1"/>
        <w:ind w:firstLine="709"/>
        <w:contextualSpacing w:val="1"/>
        <w:jc w:val="right"/>
      </w:pPr>
    </w:p>
    <w:p w14:paraId="43080000">
      <w:pPr>
        <w:keepNext w:val="1"/>
        <w:widowControl w:val="1"/>
        <w:ind w:firstLine="709"/>
        <w:contextualSpacing w:val="1"/>
        <w:jc w:val="right"/>
        <w:rPr>
          <w:b w:val="1"/>
        </w:rPr>
      </w:pPr>
      <w:r>
        <w:rPr>
          <w:b w:val="1"/>
        </w:rPr>
        <w:t>Таблица</w:t>
      </w:r>
      <w:r>
        <w:rPr>
          <w:b w:val="1"/>
        </w:rPr>
        <w:t xml:space="preserve"> 5.</w:t>
      </w:r>
      <w:r>
        <w:rPr>
          <w:b w:val="1"/>
        </w:rPr>
        <w:t>10.</w:t>
      </w:r>
    </w:p>
    <w:p w14:paraId="44080000">
      <w:pPr>
        <w:keepNext w:val="1"/>
        <w:widowControl w:val="1"/>
        <w:ind w:firstLine="709"/>
        <w:contextualSpacing w:val="1"/>
        <w:jc w:val="center"/>
        <w:rPr>
          <w:b w:val="1"/>
        </w:rPr>
      </w:pPr>
      <w:r>
        <w:rPr>
          <w:b w:val="1"/>
        </w:rPr>
        <w:t>С</w:t>
      </w:r>
      <w:r>
        <w:rPr>
          <w:b w:val="1"/>
        </w:rPr>
        <w:t>труктур</w:t>
      </w:r>
      <w:r>
        <w:rPr>
          <w:b w:val="1"/>
        </w:rPr>
        <w:t>а</w:t>
      </w:r>
      <w:r>
        <w:rPr>
          <w:b w:val="1"/>
        </w:rPr>
        <w:t xml:space="preserve"> и динамик</w:t>
      </w:r>
      <w:r>
        <w:rPr>
          <w:b w:val="1"/>
        </w:rPr>
        <w:t>а</w:t>
      </w:r>
      <w:r>
        <w:rPr>
          <w:b w:val="1"/>
        </w:rPr>
        <w:t xml:space="preserve"> чистых активов</w:t>
      </w:r>
      <w:r>
        <w:rPr>
          <w:b w:val="1"/>
        </w:rPr>
        <w:t xml:space="preserve"> за 201</w:t>
      </w:r>
      <w:r>
        <w:rPr>
          <w:b w:val="1"/>
        </w:rPr>
        <w:t>6</w:t>
      </w:r>
      <w:r>
        <w:rPr>
          <w:b w:val="1"/>
        </w:rPr>
        <w:t>-201</w:t>
      </w:r>
      <w:r>
        <w:rPr>
          <w:b w:val="1"/>
        </w:rPr>
        <w:t>8</w:t>
      </w:r>
      <w:r>
        <w:rPr>
          <w:b w:val="1"/>
        </w:rPr>
        <w:t>г.г.</w:t>
      </w:r>
    </w:p>
    <w:p w14:paraId="45080000">
      <w:pPr>
        <w:keepNext w:val="1"/>
        <w:widowControl w:val="1"/>
        <w:ind w:firstLine="709"/>
        <w:contextualSpacing w:val="1"/>
        <w:jc w:val="center"/>
        <w:rPr>
          <w:b w:val="1"/>
        </w:rPr>
      </w:pPr>
    </w:p>
    <w:tbl>
      <w:tblPr>
        <w:tblStyle w:val="Style_4"/>
        <w:tblW w:type="auto" w:w="0"/>
        <w:tblInd w:type="dxa" w:w="103"/>
        <w:tblLayout w:type="fixed"/>
      </w:tblPr>
      <w:tblGrid>
        <w:gridCol w:w="714"/>
        <w:gridCol w:w="2692"/>
        <w:gridCol w:w="1134"/>
        <w:gridCol w:w="1134"/>
        <w:gridCol w:w="1134"/>
        <w:gridCol w:w="1559"/>
        <w:gridCol w:w="1276"/>
      </w:tblGrid>
      <w:tr>
        <w:trPr>
          <w:trHeight w:hRule="atLeast" w:val="355"/>
        </w:trPr>
        <w:tc>
          <w:tcPr>
            <w:tcW w:type="dxa" w:w="714"/>
            <w:tcBorders>
              <w:top w:color="000000" w:sz="4" w:val="single"/>
              <w:left w:color="000000" w:sz="4" w:val="single"/>
              <w:bottom w:color="000000" w:sz="4" w:val="single"/>
              <w:right w:color="000000" w:sz="4" w:val="single"/>
            </w:tcBorders>
            <w:vAlign w:val="center"/>
          </w:tcPr>
          <w:p w14:paraId="46080000">
            <w:pPr>
              <w:keepNext w:val="1"/>
              <w:widowControl w:val="1"/>
              <w:ind w:firstLine="709" w:left="-1096" w:right="-106"/>
              <w:contextualSpacing w:val="1"/>
              <w:jc w:val="right"/>
              <w:rPr>
                <w:b w:val="1"/>
                <w:color w:val="000000"/>
              </w:rPr>
            </w:pPr>
            <w:r>
              <w:rPr>
                <w:b w:val="1"/>
                <w:color w:val="000000"/>
              </w:rPr>
              <w:t>№ п/п</w:t>
            </w:r>
          </w:p>
        </w:tc>
        <w:tc>
          <w:tcPr>
            <w:tcW w:type="dxa" w:w="2692"/>
            <w:tcBorders>
              <w:top w:color="000000" w:sz="4" w:val="single"/>
              <w:left w:color="000000" w:sz="4" w:val="single"/>
              <w:bottom w:color="000000" w:sz="4" w:val="single"/>
              <w:right w:color="000000" w:sz="4" w:val="single"/>
            </w:tcBorders>
            <w:shd w:fill="auto" w:val="clear"/>
            <w:vAlign w:val="center"/>
          </w:tcPr>
          <w:p w14:paraId="47080000">
            <w:pPr>
              <w:keepNext w:val="1"/>
              <w:widowControl w:val="1"/>
              <w:ind w:firstLine="32"/>
              <w:contextualSpacing w:val="1"/>
              <w:jc w:val="center"/>
              <w:rPr>
                <w:b w:val="1"/>
                <w:color w:val="000000"/>
              </w:rPr>
            </w:pPr>
            <w:r>
              <w:rPr>
                <w:b w:val="1"/>
                <w:color w:val="000000"/>
              </w:rPr>
              <w:t>Наименование показателя</w:t>
            </w:r>
          </w:p>
        </w:tc>
        <w:tc>
          <w:tcPr>
            <w:tcW w:type="dxa" w:w="1134"/>
            <w:tcBorders>
              <w:top w:color="000000" w:sz="4" w:val="single"/>
              <w:left w:sz="4" w:val="nil"/>
              <w:bottom w:color="000000" w:sz="4" w:val="single"/>
              <w:right w:color="000000" w:sz="4" w:val="single"/>
            </w:tcBorders>
            <w:shd w:fill="auto" w:val="clear"/>
            <w:vAlign w:val="center"/>
          </w:tcPr>
          <w:p w14:paraId="48080000">
            <w:pPr>
              <w:widowControl w:val="1"/>
              <w:ind w:firstLine="32"/>
              <w:contextualSpacing w:val="1"/>
              <w:jc w:val="center"/>
              <w:rPr>
                <w:b w:val="1"/>
                <w:color w:val="000000"/>
              </w:rPr>
            </w:pPr>
            <w:r>
              <w:rPr>
                <w:b w:val="1"/>
                <w:color w:val="000000"/>
              </w:rPr>
              <w:t>2018</w:t>
            </w:r>
          </w:p>
        </w:tc>
        <w:tc>
          <w:tcPr>
            <w:tcW w:type="dxa" w:w="1134"/>
            <w:tcBorders>
              <w:top w:color="000000" w:sz="4" w:val="single"/>
              <w:left w:sz="4" w:val="nil"/>
              <w:bottom w:color="000000" w:sz="4" w:val="single"/>
              <w:right w:color="000000" w:sz="4" w:val="single"/>
            </w:tcBorders>
            <w:shd w:fill="auto" w:val="clear"/>
            <w:vAlign w:val="center"/>
          </w:tcPr>
          <w:p w14:paraId="49080000">
            <w:pPr>
              <w:widowControl w:val="1"/>
              <w:ind w:firstLine="32"/>
              <w:contextualSpacing w:val="1"/>
              <w:jc w:val="center"/>
              <w:rPr>
                <w:b w:val="1"/>
                <w:color w:val="000000"/>
              </w:rPr>
            </w:pPr>
            <w:r>
              <w:rPr>
                <w:b w:val="1"/>
                <w:color w:val="000000"/>
              </w:rPr>
              <w:t>2017</w:t>
            </w:r>
          </w:p>
        </w:tc>
        <w:tc>
          <w:tcPr>
            <w:tcW w:type="dxa" w:w="1134"/>
            <w:tcBorders>
              <w:top w:color="000000" w:sz="4" w:val="single"/>
              <w:left w:sz="4" w:val="nil"/>
              <w:bottom w:color="000000" w:sz="4" w:val="single"/>
              <w:right w:color="000000" w:sz="4" w:val="single"/>
            </w:tcBorders>
            <w:shd w:fill="auto" w:val="clear"/>
            <w:vAlign w:val="center"/>
          </w:tcPr>
          <w:p w14:paraId="4A080000">
            <w:pPr>
              <w:widowControl w:val="1"/>
              <w:ind w:firstLine="32"/>
              <w:contextualSpacing w:val="1"/>
              <w:jc w:val="center"/>
              <w:rPr>
                <w:b w:val="1"/>
                <w:color w:val="000000"/>
              </w:rPr>
            </w:pPr>
            <w:r>
              <w:rPr>
                <w:b w:val="1"/>
                <w:color w:val="000000"/>
              </w:rPr>
              <w:t>2016</w:t>
            </w:r>
          </w:p>
        </w:tc>
        <w:tc>
          <w:tcPr>
            <w:tcW w:type="dxa" w:w="1559"/>
            <w:tcBorders>
              <w:top w:color="000000" w:sz="4" w:val="single"/>
              <w:left w:sz="4" w:val="nil"/>
              <w:bottom w:color="000000" w:sz="4" w:val="single"/>
              <w:right w:color="000000" w:sz="4" w:val="single"/>
            </w:tcBorders>
            <w:vAlign w:val="center"/>
          </w:tcPr>
          <w:p w14:paraId="4B080000">
            <w:pPr>
              <w:widowControl w:val="1"/>
              <w:ind w:firstLine="32"/>
              <w:contextualSpacing w:val="1"/>
              <w:jc w:val="center"/>
              <w:rPr>
                <w:b w:val="1"/>
                <w:color w:val="000000"/>
              </w:rPr>
            </w:pPr>
            <w:r>
              <w:rPr>
                <w:b w:val="1"/>
                <w:color w:val="000000"/>
              </w:rPr>
              <w:t>Отклонение 2017/2016</w:t>
            </w:r>
          </w:p>
        </w:tc>
        <w:tc>
          <w:tcPr>
            <w:tcW w:type="dxa" w:w="1276"/>
            <w:tcBorders>
              <w:top w:color="000000" w:sz="4" w:val="single"/>
              <w:left w:sz="4" w:val="nil"/>
              <w:bottom w:color="000000" w:sz="4" w:val="single"/>
              <w:right w:color="000000" w:sz="4" w:val="single"/>
            </w:tcBorders>
            <w:vAlign w:val="center"/>
          </w:tcPr>
          <w:p w14:paraId="4C080000">
            <w:pPr>
              <w:widowControl w:val="1"/>
              <w:ind w:firstLine="32"/>
              <w:contextualSpacing w:val="1"/>
              <w:jc w:val="center"/>
              <w:rPr>
                <w:b w:val="1"/>
                <w:color w:val="000000"/>
              </w:rPr>
            </w:pPr>
            <w:r>
              <w:rPr>
                <w:b w:val="1"/>
                <w:color w:val="000000"/>
              </w:rPr>
              <w:t>Отклонение 2018/2017</w:t>
            </w:r>
          </w:p>
        </w:tc>
      </w:tr>
      <w:tr>
        <w:trPr>
          <w:trHeight w:hRule="atLeast" w:val="355"/>
        </w:trPr>
        <w:tc>
          <w:tcPr>
            <w:tcW w:type="dxa" w:w="714"/>
            <w:tcBorders>
              <w:top w:sz="4" w:val="nil"/>
              <w:left w:color="000000" w:sz="4" w:val="single"/>
              <w:bottom w:color="000000" w:sz="4" w:val="single"/>
              <w:right w:color="000000" w:sz="4" w:val="single"/>
            </w:tcBorders>
            <w:vAlign w:val="center"/>
          </w:tcPr>
          <w:p w14:paraId="4D080000">
            <w:pPr>
              <w:keepNext w:val="1"/>
              <w:widowControl w:val="1"/>
              <w:ind w:firstLine="709" w:left="-1096" w:right="-106"/>
              <w:contextualSpacing w:val="1"/>
              <w:jc w:val="center"/>
              <w:rPr>
                <w:color w:val="000000"/>
              </w:rPr>
            </w:pPr>
            <w:r>
              <w:rPr>
                <w:color w:val="000000"/>
              </w:rPr>
              <w:t>1</w:t>
            </w:r>
          </w:p>
        </w:tc>
        <w:tc>
          <w:tcPr>
            <w:tcW w:type="dxa" w:w="2692"/>
            <w:tcBorders>
              <w:top w:sz="4" w:val="nil"/>
              <w:left w:color="000000" w:sz="4" w:val="single"/>
              <w:bottom w:color="000000" w:sz="4" w:val="single"/>
              <w:right w:color="000000" w:sz="4" w:val="single"/>
            </w:tcBorders>
            <w:shd w:fill="auto" w:val="clear"/>
            <w:vAlign w:val="center"/>
          </w:tcPr>
          <w:p w14:paraId="4E080000">
            <w:pPr>
              <w:keepNext w:val="1"/>
              <w:widowControl w:val="1"/>
              <w:ind w:firstLine="32"/>
              <w:contextualSpacing w:val="1"/>
              <w:jc w:val="center"/>
              <w:rPr>
                <w:color w:val="000000"/>
              </w:rPr>
            </w:pPr>
            <w:r>
              <w:rPr>
                <w:color w:val="000000"/>
              </w:rPr>
              <w:t>Уставный капитал</w:t>
            </w:r>
          </w:p>
        </w:tc>
        <w:tc>
          <w:tcPr>
            <w:tcW w:type="dxa" w:w="1134"/>
            <w:tcBorders>
              <w:top w:sz="4" w:val="nil"/>
              <w:left w:sz="4" w:val="nil"/>
              <w:bottom w:color="000000" w:sz="4" w:val="single"/>
              <w:right w:color="000000" w:sz="4" w:val="single"/>
            </w:tcBorders>
            <w:shd w:fill="auto" w:val="clear"/>
            <w:vAlign w:val="center"/>
          </w:tcPr>
          <w:p w14:paraId="4F080000">
            <w:pPr>
              <w:widowControl w:val="1"/>
              <w:ind w:firstLine="32"/>
              <w:contextualSpacing w:val="1"/>
              <w:jc w:val="center"/>
              <w:rPr>
                <w:color w:val="000000"/>
              </w:rPr>
            </w:pPr>
            <w:r>
              <w:rPr>
                <w:color w:val="000000"/>
              </w:rPr>
              <w:t>100</w:t>
            </w:r>
          </w:p>
        </w:tc>
        <w:tc>
          <w:tcPr>
            <w:tcW w:type="dxa" w:w="1134"/>
            <w:tcBorders>
              <w:top w:sz="4" w:val="nil"/>
              <w:left w:sz="4" w:val="nil"/>
              <w:bottom w:color="000000" w:sz="4" w:val="single"/>
              <w:right w:color="000000" w:sz="4" w:val="single"/>
            </w:tcBorders>
            <w:shd w:fill="auto" w:val="clear"/>
            <w:vAlign w:val="center"/>
          </w:tcPr>
          <w:p w14:paraId="50080000">
            <w:pPr>
              <w:widowControl w:val="1"/>
              <w:ind w:firstLine="32"/>
              <w:contextualSpacing w:val="1"/>
              <w:jc w:val="center"/>
              <w:rPr>
                <w:color w:val="000000"/>
              </w:rPr>
            </w:pPr>
            <w:r>
              <w:rPr>
                <w:color w:val="000000"/>
              </w:rPr>
              <w:t>100</w:t>
            </w:r>
          </w:p>
        </w:tc>
        <w:tc>
          <w:tcPr>
            <w:tcW w:type="dxa" w:w="1134"/>
            <w:tcBorders>
              <w:top w:sz="4" w:val="nil"/>
              <w:left w:sz="4" w:val="nil"/>
              <w:bottom w:color="000000" w:sz="4" w:val="single"/>
              <w:right w:color="000000" w:sz="4" w:val="single"/>
            </w:tcBorders>
            <w:shd w:fill="auto" w:val="clear"/>
            <w:vAlign w:val="center"/>
          </w:tcPr>
          <w:p w14:paraId="51080000">
            <w:pPr>
              <w:widowControl w:val="1"/>
              <w:ind w:firstLine="32"/>
              <w:contextualSpacing w:val="1"/>
              <w:jc w:val="center"/>
              <w:rPr>
                <w:color w:val="000000"/>
              </w:rPr>
            </w:pPr>
            <w:r>
              <w:rPr>
                <w:color w:val="000000"/>
              </w:rPr>
              <w:t>100</w:t>
            </w:r>
          </w:p>
        </w:tc>
        <w:tc>
          <w:tcPr>
            <w:tcW w:type="dxa" w:w="1559"/>
            <w:tcBorders>
              <w:top w:sz="4" w:val="nil"/>
              <w:left w:sz="4" w:val="nil"/>
              <w:bottom w:color="000000" w:sz="4" w:val="single"/>
              <w:right w:color="000000" w:sz="4" w:val="single"/>
            </w:tcBorders>
            <w:vAlign w:val="center"/>
          </w:tcPr>
          <w:p w14:paraId="52080000">
            <w:pPr>
              <w:widowControl w:val="1"/>
              <w:ind w:firstLine="32"/>
              <w:contextualSpacing w:val="1"/>
              <w:jc w:val="center"/>
              <w:rPr>
                <w:color w:val="000000"/>
              </w:rPr>
            </w:pPr>
            <w:r>
              <w:rPr>
                <w:color w:val="000000"/>
              </w:rPr>
              <w:t>0</w:t>
            </w:r>
          </w:p>
        </w:tc>
        <w:tc>
          <w:tcPr>
            <w:tcW w:type="dxa" w:w="1276"/>
            <w:tcBorders>
              <w:top w:sz="4" w:val="nil"/>
              <w:left w:sz="4" w:val="nil"/>
              <w:bottom w:color="000000" w:sz="4" w:val="single"/>
              <w:right w:color="000000" w:sz="4" w:val="single"/>
            </w:tcBorders>
            <w:vAlign w:val="center"/>
          </w:tcPr>
          <w:p w14:paraId="53080000">
            <w:pPr>
              <w:widowControl w:val="1"/>
              <w:ind w:firstLine="32"/>
              <w:contextualSpacing w:val="1"/>
              <w:jc w:val="center"/>
              <w:rPr>
                <w:color w:val="000000"/>
              </w:rPr>
            </w:pPr>
            <w:r>
              <w:rPr>
                <w:color w:val="000000"/>
              </w:rPr>
              <w:t>0</w:t>
            </w:r>
          </w:p>
        </w:tc>
      </w:tr>
      <w:tr>
        <w:trPr>
          <w:trHeight w:hRule="atLeast" w:val="355"/>
        </w:trPr>
        <w:tc>
          <w:tcPr>
            <w:tcW w:type="dxa" w:w="714"/>
            <w:tcBorders>
              <w:top w:sz="4" w:val="nil"/>
              <w:left w:color="000000" w:sz="4" w:val="single"/>
              <w:bottom w:color="000000" w:sz="4" w:val="single"/>
              <w:right w:color="000000" w:sz="4" w:val="single"/>
            </w:tcBorders>
            <w:vAlign w:val="center"/>
          </w:tcPr>
          <w:p w14:paraId="54080000">
            <w:pPr>
              <w:keepNext w:val="1"/>
              <w:widowControl w:val="1"/>
              <w:ind w:firstLine="709" w:left="-1096" w:right="-106"/>
              <w:contextualSpacing w:val="1"/>
              <w:jc w:val="center"/>
              <w:rPr>
                <w:color w:val="000000"/>
              </w:rPr>
            </w:pPr>
            <w:r>
              <w:rPr>
                <w:color w:val="000000"/>
              </w:rPr>
              <w:t>2</w:t>
            </w:r>
          </w:p>
        </w:tc>
        <w:tc>
          <w:tcPr>
            <w:tcW w:type="dxa" w:w="2692"/>
            <w:tcBorders>
              <w:top w:sz="4" w:val="nil"/>
              <w:left w:color="000000" w:sz="4" w:val="single"/>
              <w:bottom w:color="000000" w:sz="4" w:val="single"/>
              <w:right w:color="000000" w:sz="4" w:val="single"/>
            </w:tcBorders>
            <w:shd w:fill="auto" w:val="clear"/>
            <w:vAlign w:val="center"/>
          </w:tcPr>
          <w:p w14:paraId="55080000">
            <w:pPr>
              <w:keepNext w:val="1"/>
              <w:widowControl w:val="1"/>
              <w:ind w:firstLine="32"/>
              <w:contextualSpacing w:val="1"/>
              <w:jc w:val="center"/>
              <w:rPr>
                <w:color w:val="000000"/>
              </w:rPr>
            </w:pPr>
            <w:r>
              <w:rPr>
                <w:color w:val="000000"/>
              </w:rPr>
              <w:t>Резервный капитал</w:t>
            </w:r>
          </w:p>
        </w:tc>
        <w:tc>
          <w:tcPr>
            <w:tcW w:type="dxa" w:w="1134"/>
            <w:tcBorders>
              <w:top w:sz="4" w:val="nil"/>
              <w:left w:sz="4" w:val="nil"/>
              <w:bottom w:color="000000" w:sz="4" w:val="single"/>
              <w:right w:color="000000" w:sz="4" w:val="single"/>
            </w:tcBorders>
            <w:shd w:fill="auto" w:val="clear"/>
            <w:vAlign w:val="center"/>
          </w:tcPr>
          <w:p w14:paraId="56080000">
            <w:pPr>
              <w:widowControl w:val="1"/>
              <w:ind w:firstLine="32"/>
              <w:contextualSpacing w:val="1"/>
              <w:jc w:val="center"/>
              <w:rPr>
                <w:color w:val="000000"/>
              </w:rPr>
            </w:pPr>
            <w:r>
              <w:rPr>
                <w:color w:val="000000"/>
              </w:rPr>
              <w:t>5</w:t>
            </w:r>
          </w:p>
        </w:tc>
        <w:tc>
          <w:tcPr>
            <w:tcW w:type="dxa" w:w="1134"/>
            <w:tcBorders>
              <w:top w:sz="4" w:val="nil"/>
              <w:left w:sz="4" w:val="nil"/>
              <w:bottom w:color="000000" w:sz="4" w:val="single"/>
              <w:right w:color="000000" w:sz="4" w:val="single"/>
            </w:tcBorders>
            <w:shd w:fill="auto" w:val="clear"/>
            <w:vAlign w:val="center"/>
          </w:tcPr>
          <w:p w14:paraId="57080000">
            <w:pPr>
              <w:widowControl w:val="1"/>
              <w:ind w:firstLine="32"/>
              <w:contextualSpacing w:val="1"/>
              <w:jc w:val="center"/>
              <w:rPr>
                <w:color w:val="000000"/>
              </w:rPr>
            </w:pPr>
            <w:r>
              <w:rPr>
                <w:color w:val="000000"/>
              </w:rPr>
              <w:t>5</w:t>
            </w:r>
          </w:p>
        </w:tc>
        <w:tc>
          <w:tcPr>
            <w:tcW w:type="dxa" w:w="1134"/>
            <w:tcBorders>
              <w:top w:sz="4" w:val="nil"/>
              <w:left w:sz="4" w:val="nil"/>
              <w:bottom w:color="000000" w:sz="4" w:val="single"/>
              <w:right w:color="000000" w:sz="4" w:val="single"/>
            </w:tcBorders>
            <w:shd w:fill="auto" w:val="clear"/>
            <w:vAlign w:val="center"/>
          </w:tcPr>
          <w:p w14:paraId="58080000">
            <w:pPr>
              <w:widowControl w:val="1"/>
              <w:ind w:firstLine="32"/>
              <w:contextualSpacing w:val="1"/>
              <w:jc w:val="center"/>
              <w:rPr>
                <w:color w:val="000000"/>
              </w:rPr>
            </w:pPr>
            <w:r>
              <w:rPr>
                <w:color w:val="000000"/>
              </w:rPr>
              <w:t>5</w:t>
            </w:r>
          </w:p>
        </w:tc>
        <w:tc>
          <w:tcPr>
            <w:tcW w:type="dxa" w:w="1559"/>
            <w:tcBorders>
              <w:top w:sz="4" w:val="nil"/>
              <w:left w:sz="4" w:val="nil"/>
              <w:bottom w:color="000000" w:sz="4" w:val="single"/>
              <w:right w:color="000000" w:sz="4" w:val="single"/>
            </w:tcBorders>
            <w:vAlign w:val="center"/>
          </w:tcPr>
          <w:p w14:paraId="59080000">
            <w:pPr>
              <w:widowControl w:val="1"/>
              <w:ind w:firstLine="32"/>
              <w:contextualSpacing w:val="1"/>
              <w:jc w:val="center"/>
              <w:rPr>
                <w:color w:val="000000"/>
              </w:rPr>
            </w:pPr>
            <w:r>
              <w:rPr>
                <w:color w:val="000000"/>
              </w:rPr>
              <w:t>0</w:t>
            </w:r>
          </w:p>
        </w:tc>
        <w:tc>
          <w:tcPr>
            <w:tcW w:type="dxa" w:w="1276"/>
            <w:tcBorders>
              <w:top w:sz="4" w:val="nil"/>
              <w:left w:sz="4" w:val="nil"/>
              <w:bottom w:color="000000" w:sz="4" w:val="single"/>
              <w:right w:color="000000" w:sz="4" w:val="single"/>
            </w:tcBorders>
            <w:vAlign w:val="center"/>
          </w:tcPr>
          <w:p w14:paraId="5A080000">
            <w:pPr>
              <w:widowControl w:val="1"/>
              <w:ind w:firstLine="32"/>
              <w:contextualSpacing w:val="1"/>
              <w:jc w:val="center"/>
              <w:rPr>
                <w:color w:val="000000"/>
              </w:rPr>
            </w:pPr>
            <w:r>
              <w:rPr>
                <w:color w:val="000000"/>
              </w:rPr>
              <w:t>0</w:t>
            </w:r>
          </w:p>
        </w:tc>
      </w:tr>
      <w:tr>
        <w:trPr>
          <w:trHeight w:hRule="atLeast" w:val="355"/>
        </w:trPr>
        <w:tc>
          <w:tcPr>
            <w:tcW w:type="dxa" w:w="714"/>
            <w:tcBorders>
              <w:top w:sz="4" w:val="nil"/>
              <w:left w:color="000000" w:sz="4" w:val="single"/>
              <w:bottom w:color="000000" w:sz="4" w:val="single"/>
              <w:right w:color="000000" w:sz="4" w:val="single"/>
            </w:tcBorders>
            <w:vAlign w:val="center"/>
          </w:tcPr>
          <w:p w14:paraId="5B080000">
            <w:pPr>
              <w:keepNext w:val="1"/>
              <w:widowControl w:val="1"/>
              <w:ind w:firstLine="709" w:left="-1096" w:right="-106"/>
              <w:contextualSpacing w:val="1"/>
              <w:jc w:val="center"/>
              <w:rPr>
                <w:color w:val="000000"/>
              </w:rPr>
            </w:pPr>
            <w:r>
              <w:rPr>
                <w:color w:val="000000"/>
              </w:rPr>
              <w:t>3</w:t>
            </w:r>
          </w:p>
        </w:tc>
        <w:tc>
          <w:tcPr>
            <w:tcW w:type="dxa" w:w="2692"/>
            <w:tcBorders>
              <w:top w:sz="4" w:val="nil"/>
              <w:left w:color="000000" w:sz="4" w:val="single"/>
              <w:bottom w:color="000000" w:sz="4" w:val="single"/>
              <w:right w:color="000000" w:sz="4" w:val="single"/>
            </w:tcBorders>
            <w:shd w:fill="auto" w:val="clear"/>
            <w:vAlign w:val="center"/>
          </w:tcPr>
          <w:p w14:paraId="5C080000">
            <w:pPr>
              <w:keepNext w:val="1"/>
              <w:widowControl w:val="1"/>
              <w:ind w:firstLine="32"/>
              <w:contextualSpacing w:val="1"/>
              <w:jc w:val="center"/>
              <w:rPr>
                <w:color w:val="000000"/>
              </w:rPr>
            </w:pPr>
            <w:r>
              <w:rPr>
                <w:color w:val="000000"/>
              </w:rPr>
              <w:t>Нераспределенная прибыль (непокрытый убыток)</w:t>
            </w:r>
          </w:p>
        </w:tc>
        <w:tc>
          <w:tcPr>
            <w:tcW w:type="dxa" w:w="1134"/>
            <w:tcBorders>
              <w:top w:sz="4" w:val="nil"/>
              <w:left w:sz="4" w:val="nil"/>
              <w:bottom w:color="000000" w:sz="4" w:val="single"/>
              <w:right w:color="000000" w:sz="4" w:val="single"/>
            </w:tcBorders>
            <w:shd w:fill="auto" w:val="clear"/>
            <w:vAlign w:val="center"/>
          </w:tcPr>
          <w:p w14:paraId="5D080000">
            <w:pPr>
              <w:widowControl w:val="1"/>
              <w:ind w:firstLine="32"/>
              <w:contextualSpacing w:val="1"/>
              <w:jc w:val="center"/>
              <w:rPr>
                <w:color w:val="000000"/>
              </w:rPr>
            </w:pPr>
            <w:r>
              <w:rPr>
                <w:color w:val="000000"/>
              </w:rPr>
              <w:t>-143 636</w:t>
            </w:r>
          </w:p>
        </w:tc>
        <w:tc>
          <w:tcPr>
            <w:tcW w:type="dxa" w:w="1134"/>
            <w:tcBorders>
              <w:top w:sz="4" w:val="nil"/>
              <w:left w:sz="4" w:val="nil"/>
              <w:bottom w:color="000000" w:sz="4" w:val="single"/>
              <w:right w:color="000000" w:sz="4" w:val="single"/>
            </w:tcBorders>
            <w:shd w:fill="auto" w:val="clear"/>
            <w:vAlign w:val="center"/>
          </w:tcPr>
          <w:p w14:paraId="5E080000">
            <w:pPr>
              <w:widowControl w:val="1"/>
              <w:ind w:firstLine="32"/>
              <w:contextualSpacing w:val="1"/>
              <w:jc w:val="center"/>
              <w:rPr>
                <w:color w:val="000000"/>
              </w:rPr>
            </w:pPr>
            <w:r>
              <w:rPr>
                <w:color w:val="000000"/>
              </w:rPr>
              <w:t>-143 938</w:t>
            </w:r>
          </w:p>
        </w:tc>
        <w:tc>
          <w:tcPr>
            <w:tcW w:type="dxa" w:w="1134"/>
            <w:tcBorders>
              <w:top w:sz="4" w:val="nil"/>
              <w:left w:sz="4" w:val="nil"/>
              <w:bottom w:color="000000" w:sz="4" w:val="single"/>
              <w:right w:color="000000" w:sz="4" w:val="single"/>
            </w:tcBorders>
            <w:shd w:fill="auto" w:val="clear"/>
            <w:vAlign w:val="center"/>
          </w:tcPr>
          <w:p w14:paraId="5F080000">
            <w:pPr>
              <w:widowControl w:val="1"/>
              <w:ind w:firstLine="32"/>
              <w:contextualSpacing w:val="1"/>
              <w:jc w:val="center"/>
              <w:rPr>
                <w:color w:val="000000"/>
              </w:rPr>
            </w:pPr>
            <w:r>
              <w:rPr>
                <w:color w:val="000000"/>
              </w:rPr>
              <w:t>-155 590</w:t>
            </w:r>
          </w:p>
        </w:tc>
        <w:tc>
          <w:tcPr>
            <w:tcW w:type="dxa" w:w="1559"/>
            <w:tcBorders>
              <w:top w:sz="4" w:val="nil"/>
              <w:left w:sz="4" w:val="nil"/>
              <w:bottom w:color="000000" w:sz="4" w:val="single"/>
              <w:right w:color="000000" w:sz="4" w:val="single"/>
            </w:tcBorders>
            <w:vAlign w:val="center"/>
          </w:tcPr>
          <w:p w14:paraId="60080000">
            <w:pPr>
              <w:widowControl w:val="1"/>
              <w:ind w:firstLine="32"/>
              <w:contextualSpacing w:val="1"/>
              <w:jc w:val="center"/>
              <w:rPr>
                <w:color w:val="000000"/>
              </w:rPr>
            </w:pPr>
            <w:r>
              <w:rPr>
                <w:color w:val="000000"/>
              </w:rPr>
              <w:t>11 652</w:t>
            </w:r>
          </w:p>
        </w:tc>
        <w:tc>
          <w:tcPr>
            <w:tcW w:type="dxa" w:w="1276"/>
            <w:tcBorders>
              <w:top w:sz="4" w:val="nil"/>
              <w:left w:sz="4" w:val="nil"/>
              <w:bottom w:color="000000" w:sz="4" w:val="single"/>
              <w:right w:color="000000" w:sz="4" w:val="single"/>
            </w:tcBorders>
            <w:vAlign w:val="center"/>
          </w:tcPr>
          <w:p w14:paraId="61080000">
            <w:pPr>
              <w:widowControl w:val="1"/>
              <w:ind w:firstLine="32"/>
              <w:contextualSpacing w:val="1"/>
              <w:jc w:val="center"/>
              <w:rPr>
                <w:color w:val="000000"/>
              </w:rPr>
            </w:pPr>
            <w:r>
              <w:rPr>
                <w:color w:val="000000"/>
              </w:rPr>
              <w:t>302</w:t>
            </w:r>
          </w:p>
        </w:tc>
      </w:tr>
      <w:tr>
        <w:trPr>
          <w:trHeight w:hRule="atLeast" w:val="355"/>
        </w:trPr>
        <w:tc>
          <w:tcPr>
            <w:tcW w:type="dxa" w:w="714"/>
            <w:tcBorders>
              <w:top w:sz="4" w:val="nil"/>
              <w:left w:color="000000" w:sz="4" w:val="single"/>
              <w:bottom w:color="000000" w:sz="4" w:val="single"/>
              <w:right w:color="000000" w:sz="4" w:val="single"/>
            </w:tcBorders>
            <w:vAlign w:val="center"/>
          </w:tcPr>
          <w:p w14:paraId="62080000">
            <w:pPr>
              <w:keepNext w:val="1"/>
              <w:widowControl w:val="1"/>
              <w:ind w:firstLine="709" w:left="-1096" w:right="-106"/>
              <w:contextualSpacing w:val="1"/>
              <w:jc w:val="center"/>
              <w:rPr>
                <w:color w:val="000000"/>
              </w:rPr>
            </w:pPr>
            <w:r>
              <w:rPr>
                <w:color w:val="000000"/>
              </w:rPr>
              <w:t>4</w:t>
            </w:r>
          </w:p>
        </w:tc>
        <w:tc>
          <w:tcPr>
            <w:tcW w:type="dxa" w:w="2692"/>
            <w:tcBorders>
              <w:top w:sz="4" w:val="nil"/>
              <w:left w:color="000000" w:sz="4" w:val="single"/>
              <w:bottom w:color="000000" w:sz="4" w:val="single"/>
              <w:right w:color="000000" w:sz="4" w:val="single"/>
            </w:tcBorders>
            <w:shd w:fill="auto" w:val="clear"/>
            <w:vAlign w:val="center"/>
          </w:tcPr>
          <w:p w14:paraId="63080000">
            <w:pPr>
              <w:keepNext w:val="1"/>
              <w:widowControl w:val="1"/>
              <w:ind w:firstLine="32"/>
              <w:contextualSpacing w:val="1"/>
              <w:jc w:val="center"/>
              <w:rPr>
                <w:color w:val="000000"/>
              </w:rPr>
            </w:pPr>
            <w:r>
              <w:rPr>
                <w:color w:val="000000"/>
              </w:rPr>
              <w:t>Добавочный капитал</w:t>
            </w:r>
          </w:p>
        </w:tc>
        <w:tc>
          <w:tcPr>
            <w:tcW w:type="dxa" w:w="1134"/>
            <w:tcBorders>
              <w:top w:sz="4" w:val="nil"/>
              <w:left w:sz="4" w:val="nil"/>
              <w:bottom w:color="000000" w:sz="4" w:val="single"/>
              <w:right w:color="000000" w:sz="4" w:val="single"/>
            </w:tcBorders>
            <w:shd w:fill="auto" w:val="clear"/>
            <w:vAlign w:val="center"/>
          </w:tcPr>
          <w:p w14:paraId="64080000">
            <w:pPr>
              <w:widowControl w:val="1"/>
              <w:ind w:firstLine="32"/>
              <w:contextualSpacing w:val="1"/>
              <w:jc w:val="center"/>
              <w:rPr>
                <w:color w:val="000000"/>
              </w:rPr>
            </w:pPr>
            <w:r>
              <w:rPr>
                <w:color w:val="000000"/>
              </w:rPr>
              <w:t> </w:t>
            </w:r>
          </w:p>
        </w:tc>
        <w:tc>
          <w:tcPr>
            <w:tcW w:type="dxa" w:w="1134"/>
            <w:tcBorders>
              <w:top w:sz="4" w:val="nil"/>
              <w:left w:sz="4" w:val="nil"/>
              <w:bottom w:color="000000" w:sz="4" w:val="single"/>
              <w:right w:color="000000" w:sz="4" w:val="single"/>
            </w:tcBorders>
            <w:shd w:fill="auto" w:val="clear"/>
            <w:vAlign w:val="center"/>
          </w:tcPr>
          <w:p w14:paraId="65080000">
            <w:pPr>
              <w:widowControl w:val="1"/>
              <w:ind w:firstLine="32"/>
              <w:contextualSpacing w:val="1"/>
              <w:jc w:val="center"/>
              <w:rPr>
                <w:color w:val="000000"/>
              </w:rPr>
            </w:pPr>
            <w:r>
              <w:rPr>
                <w:color w:val="000000"/>
              </w:rPr>
              <w:t> </w:t>
            </w:r>
          </w:p>
        </w:tc>
        <w:tc>
          <w:tcPr>
            <w:tcW w:type="dxa" w:w="1134"/>
            <w:tcBorders>
              <w:top w:sz="4" w:val="nil"/>
              <w:left w:sz="4" w:val="nil"/>
              <w:bottom w:color="000000" w:sz="4" w:val="single"/>
              <w:right w:color="000000" w:sz="4" w:val="single"/>
            </w:tcBorders>
            <w:shd w:fill="auto" w:val="clear"/>
            <w:vAlign w:val="center"/>
          </w:tcPr>
          <w:p w14:paraId="66080000">
            <w:pPr>
              <w:widowControl w:val="1"/>
              <w:ind w:firstLine="32"/>
              <w:contextualSpacing w:val="1"/>
              <w:jc w:val="center"/>
              <w:rPr>
                <w:color w:val="000000"/>
              </w:rPr>
            </w:pPr>
            <w:r>
              <w:rPr>
                <w:color w:val="000000"/>
              </w:rPr>
              <w:t> </w:t>
            </w:r>
          </w:p>
        </w:tc>
        <w:tc>
          <w:tcPr>
            <w:tcW w:type="dxa" w:w="1559"/>
            <w:tcBorders>
              <w:top w:sz="4" w:val="nil"/>
              <w:left w:sz="4" w:val="nil"/>
              <w:bottom w:color="000000" w:sz="4" w:val="single"/>
              <w:right w:color="000000" w:sz="4" w:val="single"/>
            </w:tcBorders>
            <w:vAlign w:val="center"/>
          </w:tcPr>
          <w:p w14:paraId="67080000">
            <w:pPr>
              <w:widowControl w:val="1"/>
              <w:ind w:firstLine="32"/>
              <w:contextualSpacing w:val="1"/>
              <w:jc w:val="center"/>
              <w:rPr>
                <w:color w:val="000000"/>
              </w:rPr>
            </w:pPr>
            <w:r>
              <w:rPr>
                <w:color w:val="000000"/>
              </w:rPr>
              <w:t>0</w:t>
            </w:r>
          </w:p>
        </w:tc>
        <w:tc>
          <w:tcPr>
            <w:tcW w:type="dxa" w:w="1276"/>
            <w:tcBorders>
              <w:top w:sz="4" w:val="nil"/>
              <w:left w:sz="4" w:val="nil"/>
              <w:bottom w:color="000000" w:sz="4" w:val="single"/>
              <w:right w:color="000000" w:sz="4" w:val="single"/>
            </w:tcBorders>
            <w:vAlign w:val="center"/>
          </w:tcPr>
          <w:p w14:paraId="68080000">
            <w:pPr>
              <w:widowControl w:val="1"/>
              <w:ind w:firstLine="32"/>
              <w:contextualSpacing w:val="1"/>
              <w:jc w:val="center"/>
              <w:rPr>
                <w:color w:val="000000"/>
              </w:rPr>
            </w:pPr>
            <w:r>
              <w:rPr>
                <w:color w:val="000000"/>
              </w:rPr>
              <w:t>0</w:t>
            </w:r>
          </w:p>
        </w:tc>
      </w:tr>
      <w:tr>
        <w:trPr>
          <w:trHeight w:hRule="atLeast" w:val="355"/>
        </w:trPr>
        <w:tc>
          <w:tcPr>
            <w:tcW w:type="dxa" w:w="714"/>
            <w:tcBorders>
              <w:top w:sz="4" w:val="nil"/>
              <w:left w:color="000000" w:sz="4" w:val="single"/>
              <w:bottom w:color="000000" w:sz="4" w:val="single"/>
              <w:right w:color="000000" w:sz="4" w:val="single"/>
            </w:tcBorders>
            <w:vAlign w:val="center"/>
          </w:tcPr>
          <w:p w14:paraId="69080000">
            <w:pPr>
              <w:keepNext w:val="1"/>
              <w:widowControl w:val="1"/>
              <w:ind w:firstLine="709" w:left="-1096" w:right="-106"/>
              <w:contextualSpacing w:val="1"/>
              <w:jc w:val="center"/>
              <w:rPr>
                <w:color w:val="000000"/>
              </w:rPr>
            </w:pPr>
            <w:r>
              <w:rPr>
                <w:color w:val="000000"/>
              </w:rPr>
              <w:t>5</w:t>
            </w:r>
          </w:p>
        </w:tc>
        <w:tc>
          <w:tcPr>
            <w:tcW w:type="dxa" w:w="2692"/>
            <w:tcBorders>
              <w:top w:sz="4" w:val="nil"/>
              <w:left w:color="000000" w:sz="4" w:val="single"/>
              <w:bottom w:color="000000" w:sz="4" w:val="single"/>
              <w:right w:color="000000" w:sz="4" w:val="single"/>
            </w:tcBorders>
            <w:shd w:fill="auto" w:val="clear"/>
            <w:vAlign w:val="center"/>
          </w:tcPr>
          <w:p w14:paraId="6A080000">
            <w:pPr>
              <w:keepNext w:val="1"/>
              <w:widowControl w:val="1"/>
              <w:ind w:firstLine="32"/>
              <w:contextualSpacing w:val="1"/>
              <w:jc w:val="center"/>
              <w:rPr>
                <w:color w:val="000000"/>
              </w:rPr>
            </w:pPr>
            <w:r>
              <w:rPr>
                <w:color w:val="000000"/>
              </w:rPr>
              <w:t>Итого стоимость чистых активов</w:t>
            </w:r>
          </w:p>
        </w:tc>
        <w:tc>
          <w:tcPr>
            <w:tcW w:type="dxa" w:w="1134"/>
            <w:tcBorders>
              <w:top w:sz="4" w:val="nil"/>
              <w:left w:sz="4" w:val="nil"/>
              <w:bottom w:color="000000" w:sz="4" w:val="single"/>
              <w:right w:color="000000" w:sz="4" w:val="single"/>
            </w:tcBorders>
            <w:shd w:fill="auto" w:val="clear"/>
            <w:vAlign w:val="center"/>
          </w:tcPr>
          <w:p w14:paraId="6B080000">
            <w:pPr>
              <w:widowControl w:val="1"/>
              <w:ind w:firstLine="32"/>
              <w:contextualSpacing w:val="1"/>
              <w:jc w:val="center"/>
              <w:rPr>
                <w:color w:val="000000"/>
              </w:rPr>
            </w:pPr>
            <w:r>
              <w:rPr>
                <w:color w:val="000000"/>
              </w:rPr>
              <w:t>-143 531</w:t>
            </w:r>
          </w:p>
        </w:tc>
        <w:tc>
          <w:tcPr>
            <w:tcW w:type="dxa" w:w="1134"/>
            <w:tcBorders>
              <w:top w:sz="4" w:val="nil"/>
              <w:left w:sz="4" w:val="nil"/>
              <w:bottom w:color="000000" w:sz="4" w:val="single"/>
              <w:right w:color="000000" w:sz="4" w:val="single"/>
            </w:tcBorders>
            <w:shd w:fill="auto" w:val="clear"/>
            <w:vAlign w:val="center"/>
          </w:tcPr>
          <w:p w14:paraId="6C080000">
            <w:pPr>
              <w:widowControl w:val="1"/>
              <w:ind w:firstLine="32"/>
              <w:contextualSpacing w:val="1"/>
              <w:jc w:val="center"/>
              <w:rPr>
                <w:color w:val="000000"/>
              </w:rPr>
            </w:pPr>
            <w:r>
              <w:rPr>
                <w:color w:val="000000"/>
              </w:rPr>
              <w:t>-143 833</w:t>
            </w:r>
          </w:p>
        </w:tc>
        <w:tc>
          <w:tcPr>
            <w:tcW w:type="dxa" w:w="1134"/>
            <w:tcBorders>
              <w:top w:sz="4" w:val="nil"/>
              <w:left w:sz="4" w:val="nil"/>
              <w:bottom w:color="000000" w:sz="4" w:val="single"/>
              <w:right w:color="000000" w:sz="4" w:val="single"/>
            </w:tcBorders>
            <w:shd w:fill="auto" w:val="clear"/>
            <w:vAlign w:val="center"/>
          </w:tcPr>
          <w:p w14:paraId="6D080000">
            <w:pPr>
              <w:widowControl w:val="1"/>
              <w:ind w:firstLine="32"/>
              <w:contextualSpacing w:val="1"/>
              <w:jc w:val="center"/>
              <w:rPr>
                <w:color w:val="000000"/>
              </w:rPr>
            </w:pPr>
            <w:r>
              <w:rPr>
                <w:color w:val="000000"/>
              </w:rPr>
              <w:t>-15</w:t>
            </w:r>
            <w:r>
              <w:rPr>
                <w:color w:val="000000"/>
              </w:rPr>
              <w:t>5 485</w:t>
            </w:r>
          </w:p>
        </w:tc>
        <w:tc>
          <w:tcPr>
            <w:tcW w:type="dxa" w:w="1559"/>
            <w:tcBorders>
              <w:top w:sz="4" w:val="nil"/>
              <w:left w:sz="4" w:val="nil"/>
              <w:bottom w:color="000000" w:sz="4" w:val="single"/>
              <w:right w:color="000000" w:sz="4" w:val="single"/>
            </w:tcBorders>
            <w:vAlign w:val="center"/>
          </w:tcPr>
          <w:p w14:paraId="6E080000">
            <w:pPr>
              <w:widowControl w:val="1"/>
              <w:ind w:firstLine="32"/>
              <w:contextualSpacing w:val="1"/>
              <w:jc w:val="center"/>
              <w:rPr>
                <w:color w:val="000000"/>
              </w:rPr>
            </w:pPr>
            <w:r>
              <w:rPr>
                <w:color w:val="000000"/>
              </w:rPr>
              <w:t>11 652</w:t>
            </w:r>
          </w:p>
        </w:tc>
        <w:tc>
          <w:tcPr>
            <w:tcW w:type="dxa" w:w="1276"/>
            <w:tcBorders>
              <w:top w:sz="4" w:val="nil"/>
              <w:left w:sz="4" w:val="nil"/>
              <w:bottom w:color="000000" w:sz="4" w:val="single"/>
              <w:right w:color="000000" w:sz="4" w:val="single"/>
            </w:tcBorders>
            <w:vAlign w:val="center"/>
          </w:tcPr>
          <w:p w14:paraId="6F080000">
            <w:pPr>
              <w:widowControl w:val="1"/>
              <w:ind w:firstLine="32"/>
              <w:contextualSpacing w:val="1"/>
              <w:jc w:val="center"/>
              <w:rPr>
                <w:color w:val="000000"/>
              </w:rPr>
            </w:pPr>
            <w:r>
              <w:rPr>
                <w:color w:val="000000"/>
              </w:rPr>
              <w:t>302</w:t>
            </w:r>
          </w:p>
        </w:tc>
      </w:tr>
    </w:tbl>
    <w:p w14:paraId="70080000">
      <w:pPr>
        <w:keepNext w:val="1"/>
        <w:widowControl w:val="1"/>
        <w:ind w:firstLine="709"/>
        <w:contextualSpacing w:val="1"/>
      </w:pPr>
    </w:p>
    <w:p w14:paraId="71080000">
      <w:pPr>
        <w:keepNext w:val="1"/>
        <w:widowControl w:val="1"/>
        <w:spacing w:line="360" w:lineRule="auto"/>
        <w:ind w:firstLine="709"/>
        <w:contextualSpacing w:val="1"/>
        <w:jc w:val="both"/>
      </w:pPr>
      <w:r>
        <w:t>В течение 20</w:t>
      </w:r>
      <w:r>
        <w:t>1</w:t>
      </w:r>
      <w:r>
        <w:t>6</w:t>
      </w:r>
      <w:r>
        <w:t>-201</w:t>
      </w:r>
      <w:r>
        <w:t>8</w:t>
      </w:r>
      <w:r>
        <w:t xml:space="preserve"> </w:t>
      </w:r>
      <w:r>
        <w:t>г</w:t>
      </w:r>
      <w:r>
        <w:t>.</w:t>
      </w:r>
      <w:r>
        <w:t xml:space="preserve">г. величина уставного и резервного капитала оставалась неизменной. </w:t>
      </w:r>
      <w:r>
        <w:t>Значение</w:t>
      </w:r>
      <w:r>
        <w:t xml:space="preserve"> статьи нераспределенн</w:t>
      </w:r>
      <w:r>
        <w:t>ая прибыль (непокрытый убыток) остается отрицательным.</w:t>
      </w:r>
    </w:p>
    <w:p w14:paraId="72080000">
      <w:pPr>
        <w:widowControl w:val="1"/>
        <w:spacing w:line="360" w:lineRule="auto"/>
        <w:ind w:firstLine="709"/>
        <w:contextualSpacing w:val="1"/>
        <w:jc w:val="both"/>
      </w:pPr>
    </w:p>
    <w:p w14:paraId="73080000">
      <w:pPr>
        <w:widowControl w:val="1"/>
        <w:ind w:firstLine="709"/>
        <w:contextualSpacing w:val="1"/>
      </w:pPr>
    </w:p>
    <w:p w14:paraId="74080000">
      <w:bookmarkStart w:id="25" w:name="__RefHeading___22"/>
      <w:bookmarkEnd w:id="25"/>
      <w:pPr>
        <w:pStyle w:val="Style_10"/>
        <w:pageBreakBefore w:val="1"/>
        <w:widowControl w:val="1"/>
        <w:spacing w:after="0" w:before="0"/>
        <w:ind w:firstLine="709"/>
        <w:contextualSpacing w:val="1"/>
        <w:jc w:val="both"/>
        <w:rPr>
          <w:rFonts w:ascii="Times New Roman" w:hAnsi="Times New Roman"/>
          <w:i w:val="0"/>
          <w:sz w:val="24"/>
        </w:rPr>
      </w:pPr>
      <w:r>
        <w:rPr>
          <w:rFonts w:ascii="Times New Roman" w:hAnsi="Times New Roman"/>
          <w:i w:val="0"/>
          <w:sz w:val="24"/>
        </w:rPr>
        <w:t>5.</w:t>
      </w:r>
      <w:r>
        <w:rPr>
          <w:rFonts w:ascii="Times New Roman" w:hAnsi="Times New Roman"/>
          <w:i w:val="0"/>
          <w:sz w:val="24"/>
        </w:rPr>
        <w:t>4</w:t>
      </w:r>
      <w:r>
        <w:rPr>
          <w:rFonts w:ascii="Times New Roman" w:hAnsi="Times New Roman"/>
          <w:i w:val="0"/>
          <w:sz w:val="24"/>
        </w:rPr>
        <w:t>. Бухгалт</w:t>
      </w:r>
      <w:r>
        <w:rPr>
          <w:rFonts w:ascii="Times New Roman" w:hAnsi="Times New Roman"/>
          <w:i w:val="0"/>
          <w:sz w:val="24"/>
        </w:rPr>
        <w:t>ерский баланс Общества</w:t>
      </w:r>
    </w:p>
    <w:p w14:paraId="75080000">
      <w:pPr>
        <w:widowControl w:val="1"/>
        <w:ind w:firstLine="709"/>
        <w:contextualSpacing w:val="1"/>
        <w:jc w:val="right"/>
      </w:pPr>
      <w:r>
        <w:t>Таблица 5.</w:t>
      </w:r>
      <w:r>
        <w:t>11</w:t>
      </w:r>
      <w:r>
        <w:t>.</w:t>
      </w:r>
    </w:p>
    <w:p w14:paraId="76080000">
      <w:pPr>
        <w:widowControl w:val="1"/>
        <w:ind w:firstLine="709"/>
        <w:contextualSpacing w:val="1"/>
        <w:jc w:val="right"/>
      </w:pPr>
    </w:p>
    <w:tbl>
      <w:tblPr>
        <w:tblStyle w:val="Style_4"/>
        <w:tblW w:type="auto" w:w="0"/>
        <w:tblInd w:type="dxa" w:w="-318"/>
        <w:tblLayout w:type="fixed"/>
      </w:tblPr>
      <w:tblGrid>
        <w:gridCol w:w="4537"/>
        <w:gridCol w:w="1152"/>
        <w:gridCol w:w="1541"/>
        <w:gridCol w:w="1713"/>
        <w:gridCol w:w="1156"/>
      </w:tblGrid>
      <w:tr>
        <w:trPr>
          <w:trHeight w:hRule="atLeast" w:val="600"/>
        </w:trPr>
        <w:tc>
          <w:tcPr>
            <w:tcW w:type="dxa" w:w="4537"/>
            <w:tcBorders>
              <w:top w:color="000000" w:sz="4" w:val="single"/>
              <w:left w:color="000000" w:sz="4" w:val="single"/>
              <w:bottom w:color="000000" w:sz="4" w:val="single"/>
              <w:right w:color="000000" w:sz="4" w:val="single"/>
            </w:tcBorders>
            <w:shd w:fill="auto" w:val="clear"/>
            <w:vAlign w:val="center"/>
          </w:tcPr>
          <w:p w14:paraId="77080000">
            <w:pPr>
              <w:widowControl w:val="1"/>
              <w:ind/>
              <w:contextualSpacing w:val="1"/>
              <w:jc w:val="center"/>
            </w:pPr>
            <w:r>
              <w:t>Наименование показателя</w:t>
            </w:r>
          </w:p>
        </w:tc>
        <w:tc>
          <w:tcPr>
            <w:tcW w:type="dxa" w:w="1152"/>
            <w:tcBorders>
              <w:top w:color="000000" w:sz="4" w:val="single"/>
              <w:left w:sz="4" w:val="nil"/>
              <w:bottom w:color="000000" w:sz="4" w:val="single"/>
              <w:right w:color="000000" w:sz="4" w:val="single"/>
            </w:tcBorders>
            <w:shd w:fill="auto" w:val="clear"/>
            <w:vAlign w:val="center"/>
          </w:tcPr>
          <w:p w14:paraId="78080000">
            <w:pPr>
              <w:widowControl w:val="1"/>
              <w:ind/>
              <w:contextualSpacing w:val="1"/>
              <w:jc w:val="center"/>
            </w:pPr>
            <w:r>
              <w:t>Код</w:t>
            </w:r>
          </w:p>
        </w:tc>
        <w:tc>
          <w:tcPr>
            <w:tcW w:type="dxa" w:w="1541"/>
            <w:tcBorders>
              <w:top w:color="000000" w:sz="4" w:val="single"/>
              <w:left w:sz="4" w:val="nil"/>
              <w:bottom w:color="000000" w:sz="4" w:val="single"/>
              <w:right w:color="000000" w:sz="4" w:val="single"/>
            </w:tcBorders>
            <w:shd w:fill="auto" w:val="clear"/>
            <w:vAlign w:val="center"/>
          </w:tcPr>
          <w:p w14:paraId="79080000">
            <w:pPr>
              <w:widowControl w:val="1"/>
              <w:ind/>
              <w:contextualSpacing w:val="1"/>
              <w:jc w:val="center"/>
            </w:pPr>
            <w:r>
              <w:t>На 31 декабря 2018 г.</w:t>
            </w:r>
          </w:p>
        </w:tc>
        <w:tc>
          <w:tcPr>
            <w:tcW w:type="dxa" w:w="1713"/>
            <w:tcBorders>
              <w:top w:color="000000" w:sz="4" w:val="single"/>
              <w:left w:sz="4" w:val="nil"/>
              <w:bottom w:color="000000" w:sz="4" w:val="single"/>
              <w:right w:color="000000" w:sz="4" w:val="single"/>
            </w:tcBorders>
            <w:shd w:fill="auto" w:val="clear"/>
            <w:vAlign w:val="center"/>
          </w:tcPr>
          <w:p w14:paraId="7A080000">
            <w:pPr>
              <w:widowControl w:val="1"/>
              <w:ind/>
              <w:contextualSpacing w:val="1"/>
              <w:jc w:val="center"/>
            </w:pPr>
            <w:r>
              <w:t>На 31 декабря 2017 г.</w:t>
            </w:r>
          </w:p>
        </w:tc>
        <w:tc>
          <w:tcPr>
            <w:tcW w:type="dxa" w:w="1156"/>
            <w:tcBorders>
              <w:top w:color="000000" w:sz="4" w:val="single"/>
              <w:left w:sz="4" w:val="nil"/>
              <w:bottom w:color="000000" w:sz="4" w:val="single"/>
              <w:right w:color="000000" w:sz="4" w:val="single"/>
            </w:tcBorders>
            <w:shd w:fill="auto" w:val="clear"/>
            <w:vAlign w:val="center"/>
          </w:tcPr>
          <w:p w14:paraId="7B080000">
            <w:pPr>
              <w:widowControl w:val="1"/>
              <w:ind/>
              <w:contextualSpacing w:val="1"/>
              <w:jc w:val="center"/>
            </w:pPr>
            <w:r>
              <w:t>На 31 декабря 2016 г.</w:t>
            </w:r>
          </w:p>
        </w:tc>
      </w:tr>
      <w:tr>
        <w:trPr>
          <w:trHeight w:hRule="atLeast" w:val="362"/>
        </w:trPr>
        <w:tc>
          <w:tcPr>
            <w:tcW w:type="dxa" w:w="4537"/>
            <w:tcBorders>
              <w:top w:color="000000" w:sz="4" w:val="single"/>
              <w:left w:color="000000" w:sz="4" w:val="single"/>
              <w:bottom w:color="000000" w:sz="4" w:val="single"/>
              <w:right w:color="000000" w:sz="4" w:val="single"/>
            </w:tcBorders>
            <w:shd w:fill="auto" w:val="clear"/>
            <w:vAlign w:val="center"/>
          </w:tcPr>
          <w:p w14:paraId="7C080000">
            <w:pPr>
              <w:widowControl w:val="1"/>
              <w:ind w:firstLine="34"/>
              <w:contextualSpacing w:val="1"/>
              <w:jc w:val="center"/>
              <w:rPr>
                <w:b w:val="1"/>
              </w:rPr>
            </w:pPr>
            <w:r>
              <w:rPr>
                <w:b w:val="1"/>
              </w:rPr>
              <w:t>АКТИВ</w:t>
            </w:r>
          </w:p>
        </w:tc>
        <w:tc>
          <w:tcPr>
            <w:tcW w:type="dxa" w:w="1152"/>
            <w:tcBorders>
              <w:top w:color="000000" w:sz="4" w:val="single"/>
              <w:left w:color="000000" w:sz="4" w:val="single"/>
              <w:bottom w:color="000000" w:sz="4" w:val="single"/>
              <w:right w:color="000000" w:sz="4" w:val="single"/>
            </w:tcBorders>
            <w:shd w:fill="auto" w:val="clear"/>
            <w:vAlign w:val="bottom"/>
          </w:tcPr>
          <w:p w14:paraId="7D080000">
            <w:pPr>
              <w:widowControl w:val="1"/>
              <w:ind w:firstLine="34"/>
              <w:contextualSpacing w:val="1"/>
            </w:pPr>
            <w:r>
              <w:t> </w:t>
            </w:r>
          </w:p>
          <w:p w14:paraId="7E080000">
            <w:pPr>
              <w:widowControl w:val="1"/>
              <w:ind w:firstLine="34"/>
              <w:contextualSpacing w:val="1"/>
            </w:pPr>
            <w:r>
              <w:t> </w:t>
            </w:r>
          </w:p>
        </w:tc>
        <w:tc>
          <w:tcPr>
            <w:tcW w:type="dxa" w:w="1541"/>
            <w:tcBorders>
              <w:top w:color="000000" w:sz="4" w:val="single"/>
              <w:left w:color="000000" w:sz="4" w:val="single"/>
              <w:bottom w:color="000000" w:sz="4" w:val="single"/>
              <w:right w:color="000000" w:sz="4" w:val="single"/>
            </w:tcBorders>
            <w:shd w:fill="auto" w:val="clear"/>
            <w:vAlign w:val="bottom"/>
          </w:tcPr>
          <w:p w14:paraId="7F080000">
            <w:pPr>
              <w:widowControl w:val="1"/>
              <w:ind/>
              <w:contextualSpacing w:val="1"/>
            </w:pPr>
            <w:r>
              <w:t> </w:t>
            </w:r>
          </w:p>
        </w:tc>
        <w:tc>
          <w:tcPr>
            <w:tcW w:type="dxa" w:w="1713"/>
            <w:tcBorders>
              <w:top w:color="000000" w:sz="4" w:val="single"/>
              <w:left w:color="000000" w:sz="4" w:val="single"/>
              <w:bottom w:color="000000" w:sz="4" w:val="single"/>
              <w:right w:color="000000" w:sz="4" w:val="single"/>
            </w:tcBorders>
            <w:shd w:fill="auto" w:val="clear"/>
            <w:vAlign w:val="bottom"/>
          </w:tcPr>
          <w:p w14:paraId="80080000">
            <w:pPr>
              <w:widowControl w:val="1"/>
              <w:ind/>
              <w:contextualSpacing w:val="1"/>
            </w:pPr>
            <w:r>
              <w:t> </w:t>
            </w:r>
          </w:p>
          <w:p w14:paraId="81080000">
            <w:pPr>
              <w:widowControl w:val="1"/>
              <w:ind/>
              <w:contextualSpacing w:val="1"/>
            </w:pPr>
            <w:r>
              <w:t> </w:t>
            </w:r>
          </w:p>
        </w:tc>
        <w:tc>
          <w:tcPr>
            <w:tcW w:type="dxa" w:w="1156"/>
            <w:tcBorders>
              <w:top w:color="000000" w:sz="4" w:val="single"/>
              <w:left w:color="000000" w:sz="4" w:val="single"/>
              <w:bottom w:color="000000" w:sz="4" w:val="single"/>
              <w:right w:color="000000" w:sz="4" w:val="single"/>
            </w:tcBorders>
            <w:shd w:fill="auto" w:val="clear"/>
            <w:vAlign w:val="bottom"/>
          </w:tcPr>
          <w:p w14:paraId="82080000">
            <w:pPr>
              <w:widowControl w:val="1"/>
              <w:ind/>
              <w:contextualSpacing w:val="1"/>
            </w:pPr>
          </w:p>
          <w:p w14:paraId="83080000">
            <w:pPr>
              <w:widowControl w:val="1"/>
              <w:ind/>
              <w:contextualSpacing w:val="1"/>
            </w:pPr>
            <w:r>
              <w:t> </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84080000">
            <w:pPr>
              <w:widowControl w:val="1"/>
              <w:ind w:firstLine="34"/>
              <w:contextualSpacing w:val="1"/>
              <w:jc w:val="center"/>
              <w:rPr>
                <w:b w:val="1"/>
              </w:rPr>
            </w:pPr>
            <w:r>
              <w:rPr>
                <w:b w:val="1"/>
              </w:rPr>
              <w:t>I. ВНЕОБОРОТНЫЕ АКТИВЫ</w:t>
            </w:r>
          </w:p>
        </w:tc>
        <w:tc>
          <w:tcPr>
            <w:tcW w:type="dxa" w:w="1152"/>
            <w:tcBorders>
              <w:top w:color="000000" w:sz="4" w:val="single"/>
              <w:left w:color="000000" w:sz="4" w:val="single"/>
              <w:bottom w:color="000000" w:sz="4" w:val="single"/>
              <w:right w:color="000000" w:sz="4" w:val="single"/>
            </w:tcBorders>
            <w:shd w:fill="auto" w:val="clear"/>
            <w:vAlign w:val="bottom"/>
          </w:tcPr>
          <w:p w14:paraId="85080000">
            <w:pPr>
              <w:widowControl w:val="1"/>
              <w:ind w:firstLine="34"/>
              <w:contextualSpacing w:val="1"/>
            </w:pPr>
            <w:r>
              <w:t> </w:t>
            </w:r>
          </w:p>
          <w:p w14:paraId="86080000">
            <w:pPr>
              <w:widowControl w:val="1"/>
              <w:ind w:firstLine="34"/>
              <w:contextualSpacing w:val="1"/>
            </w:pPr>
            <w:r>
              <w:t> </w:t>
            </w:r>
          </w:p>
        </w:tc>
        <w:tc>
          <w:tcPr>
            <w:tcW w:type="dxa" w:w="1541"/>
            <w:tcBorders>
              <w:top w:color="000000" w:sz="4" w:val="single"/>
              <w:left w:color="000000" w:sz="4" w:val="single"/>
              <w:bottom w:color="000000" w:sz="4" w:val="single"/>
              <w:right w:color="000000" w:sz="4" w:val="single"/>
            </w:tcBorders>
            <w:shd w:fill="auto" w:val="clear"/>
            <w:vAlign w:val="bottom"/>
          </w:tcPr>
          <w:p w14:paraId="87080000">
            <w:pPr>
              <w:widowControl w:val="1"/>
              <w:ind/>
              <w:contextualSpacing w:val="1"/>
            </w:pPr>
            <w:r>
              <w:t> </w:t>
            </w:r>
          </w:p>
        </w:tc>
        <w:tc>
          <w:tcPr>
            <w:tcW w:type="dxa" w:w="1713"/>
            <w:tcBorders>
              <w:top w:color="000000" w:sz="4" w:val="single"/>
              <w:left w:color="000000" w:sz="4" w:val="single"/>
              <w:bottom w:color="000000" w:sz="4" w:val="single"/>
              <w:right w:color="000000" w:sz="4" w:val="single"/>
            </w:tcBorders>
            <w:shd w:fill="auto" w:val="clear"/>
            <w:vAlign w:val="bottom"/>
          </w:tcPr>
          <w:p w14:paraId="88080000">
            <w:pPr>
              <w:widowControl w:val="1"/>
              <w:ind/>
              <w:contextualSpacing w:val="1"/>
            </w:pPr>
            <w:r>
              <w:t> </w:t>
            </w:r>
          </w:p>
          <w:p w14:paraId="89080000">
            <w:pPr>
              <w:widowControl w:val="1"/>
              <w:ind/>
              <w:contextualSpacing w:val="1"/>
            </w:pPr>
            <w:r>
              <w:t> </w:t>
            </w:r>
          </w:p>
        </w:tc>
        <w:tc>
          <w:tcPr>
            <w:tcW w:type="dxa" w:w="1156"/>
            <w:tcBorders>
              <w:top w:color="000000" w:sz="4" w:val="single"/>
              <w:left w:color="000000" w:sz="4" w:val="single"/>
              <w:bottom w:color="000000" w:sz="4" w:val="single"/>
              <w:right w:color="000000" w:sz="4" w:val="single"/>
            </w:tcBorders>
            <w:shd w:fill="auto" w:val="clear"/>
            <w:vAlign w:val="bottom"/>
          </w:tcPr>
          <w:p w14:paraId="8A080000">
            <w:pPr>
              <w:widowControl w:val="1"/>
              <w:ind/>
              <w:contextualSpacing w:val="1"/>
            </w:pPr>
            <w:r>
              <w:t> </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8B080000">
            <w:pPr>
              <w:widowControl w:val="1"/>
              <w:ind w:firstLine="34"/>
              <w:contextualSpacing w:val="1"/>
            </w:pPr>
            <w:r>
              <w:t>Нематериальные активы</w:t>
            </w:r>
          </w:p>
        </w:tc>
        <w:tc>
          <w:tcPr>
            <w:tcW w:type="dxa" w:w="1152"/>
            <w:tcBorders>
              <w:top w:color="000000" w:sz="4" w:val="single"/>
              <w:left w:color="000000" w:sz="4" w:val="single"/>
              <w:bottom w:color="000000" w:sz="4" w:val="single"/>
              <w:right w:color="000000" w:sz="4" w:val="single"/>
            </w:tcBorders>
            <w:shd w:fill="auto" w:val="clear"/>
            <w:vAlign w:val="bottom"/>
          </w:tcPr>
          <w:p w14:paraId="8C080000">
            <w:pPr>
              <w:widowControl w:val="1"/>
              <w:ind w:firstLine="34"/>
              <w:contextualSpacing w:val="1"/>
              <w:jc w:val="center"/>
            </w:pPr>
            <w:r>
              <w:t>1110</w:t>
            </w:r>
          </w:p>
        </w:tc>
        <w:tc>
          <w:tcPr>
            <w:tcW w:type="dxa" w:w="1541"/>
            <w:tcBorders>
              <w:top w:color="000000" w:sz="4" w:val="single"/>
              <w:left w:color="000000" w:sz="4" w:val="single"/>
              <w:bottom w:color="000000" w:sz="4" w:val="single"/>
              <w:right w:color="000000" w:sz="4" w:val="single"/>
            </w:tcBorders>
            <w:shd w:fill="auto" w:val="clear"/>
            <w:vAlign w:val="bottom"/>
          </w:tcPr>
          <w:p w14:paraId="8D080000">
            <w:pPr>
              <w:widowControl w:val="1"/>
              <w:ind/>
              <w:contextualSpacing w:val="1"/>
              <w:jc w:val="right"/>
            </w:pPr>
            <w:r>
              <w:t>321</w:t>
            </w:r>
          </w:p>
        </w:tc>
        <w:tc>
          <w:tcPr>
            <w:tcW w:type="dxa" w:w="1713"/>
            <w:tcBorders>
              <w:top w:color="000000" w:sz="4" w:val="single"/>
              <w:left w:color="000000" w:sz="4" w:val="single"/>
              <w:bottom w:color="000000" w:sz="4" w:val="single"/>
              <w:right w:color="000000" w:sz="4" w:val="single"/>
            </w:tcBorders>
            <w:shd w:fill="auto" w:val="clear"/>
            <w:vAlign w:val="bottom"/>
          </w:tcPr>
          <w:p w14:paraId="8E080000">
            <w:pPr>
              <w:widowControl w:val="1"/>
              <w:ind/>
              <w:contextualSpacing w:val="1"/>
              <w:jc w:val="right"/>
            </w:pPr>
            <w:r>
              <w:t>710</w:t>
            </w:r>
          </w:p>
        </w:tc>
        <w:tc>
          <w:tcPr>
            <w:tcW w:type="dxa" w:w="1156"/>
            <w:tcBorders>
              <w:top w:color="000000" w:sz="4" w:val="single"/>
              <w:left w:color="000000" w:sz="4" w:val="single"/>
              <w:bottom w:color="000000" w:sz="4" w:val="single"/>
              <w:right w:color="000000" w:sz="4" w:val="single"/>
            </w:tcBorders>
            <w:shd w:fill="auto" w:val="clear"/>
            <w:vAlign w:val="bottom"/>
          </w:tcPr>
          <w:p w14:paraId="8F080000">
            <w:pPr>
              <w:widowControl w:val="1"/>
              <w:ind/>
              <w:contextualSpacing w:val="1"/>
              <w:jc w:val="right"/>
            </w:pPr>
            <w:r>
              <w:t>2 215</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90080000">
            <w:pPr>
              <w:widowControl w:val="1"/>
              <w:ind w:firstLine="34"/>
              <w:contextualSpacing w:val="1"/>
            </w:pPr>
            <w:r>
              <w:t>Результаты исследований и разработок</w:t>
            </w:r>
          </w:p>
        </w:tc>
        <w:tc>
          <w:tcPr>
            <w:tcW w:type="dxa" w:w="1152"/>
            <w:tcBorders>
              <w:top w:color="000000" w:sz="4" w:val="single"/>
              <w:left w:color="000000" w:sz="4" w:val="single"/>
              <w:bottom w:color="000000" w:sz="4" w:val="single"/>
              <w:right w:color="000000" w:sz="4" w:val="single"/>
            </w:tcBorders>
            <w:shd w:fill="auto" w:val="clear"/>
            <w:vAlign w:val="center"/>
          </w:tcPr>
          <w:p w14:paraId="91080000">
            <w:pPr>
              <w:widowControl w:val="1"/>
              <w:ind w:firstLine="34"/>
              <w:contextualSpacing w:val="1"/>
              <w:jc w:val="center"/>
            </w:pPr>
            <w:r>
              <w:t>1120</w:t>
            </w:r>
          </w:p>
        </w:tc>
        <w:tc>
          <w:tcPr>
            <w:tcW w:type="dxa" w:w="1541"/>
            <w:tcBorders>
              <w:top w:color="000000" w:sz="4" w:val="single"/>
              <w:left w:color="000000" w:sz="4" w:val="single"/>
              <w:bottom w:color="000000" w:sz="4" w:val="single"/>
              <w:right w:color="000000" w:sz="4" w:val="single"/>
            </w:tcBorders>
            <w:shd w:fill="auto" w:val="clear"/>
            <w:vAlign w:val="bottom"/>
          </w:tcPr>
          <w:p w14:paraId="92080000">
            <w:pPr>
              <w:widowControl w:val="1"/>
              <w:ind/>
              <w:contextualSpacing w:val="1"/>
              <w:jc w:val="right"/>
            </w:pPr>
            <w:r>
              <w:t>-</w:t>
            </w:r>
          </w:p>
        </w:tc>
        <w:tc>
          <w:tcPr>
            <w:tcW w:type="dxa" w:w="1713"/>
            <w:tcBorders>
              <w:top w:color="000000" w:sz="4" w:val="single"/>
              <w:left w:color="000000" w:sz="4" w:val="single"/>
              <w:bottom w:color="000000" w:sz="4" w:val="single"/>
              <w:right w:color="000000" w:sz="4" w:val="single"/>
            </w:tcBorders>
            <w:shd w:fill="auto" w:val="clear"/>
            <w:vAlign w:val="bottom"/>
          </w:tcPr>
          <w:p w14:paraId="93080000">
            <w:pPr>
              <w:widowControl w:val="1"/>
              <w:ind/>
              <w:contextualSpacing w:val="1"/>
              <w:jc w:val="right"/>
            </w:pPr>
            <w:r>
              <w:t>-</w:t>
            </w:r>
          </w:p>
        </w:tc>
        <w:tc>
          <w:tcPr>
            <w:tcW w:type="dxa" w:w="1156"/>
            <w:tcBorders>
              <w:top w:color="000000" w:sz="4" w:val="single"/>
              <w:left w:color="000000" w:sz="4" w:val="single"/>
              <w:bottom w:color="000000" w:sz="4" w:val="single"/>
              <w:right w:color="000000" w:sz="4" w:val="single"/>
            </w:tcBorders>
            <w:shd w:fill="auto" w:val="clear"/>
            <w:vAlign w:val="bottom"/>
          </w:tcPr>
          <w:p w14:paraId="94080000">
            <w:pPr>
              <w:widowControl w:val="1"/>
              <w:ind/>
              <w:contextualSpacing w:val="1"/>
              <w:jc w:val="right"/>
            </w:pPr>
            <w:r>
              <w:t>-</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95080000">
            <w:pPr>
              <w:widowControl w:val="1"/>
              <w:ind w:firstLine="34"/>
              <w:contextualSpacing w:val="1"/>
            </w:pPr>
            <w:r>
              <w:t>Нематериальные поисковые активы</w:t>
            </w:r>
          </w:p>
        </w:tc>
        <w:tc>
          <w:tcPr>
            <w:tcW w:type="dxa" w:w="1152"/>
            <w:tcBorders>
              <w:top w:color="000000" w:sz="4" w:val="single"/>
              <w:left w:color="000000" w:sz="4" w:val="single"/>
              <w:bottom w:color="000000" w:sz="4" w:val="single"/>
              <w:right w:color="000000" w:sz="4" w:val="single"/>
            </w:tcBorders>
            <w:shd w:fill="auto" w:val="clear"/>
            <w:vAlign w:val="center"/>
          </w:tcPr>
          <w:p w14:paraId="96080000">
            <w:pPr>
              <w:widowControl w:val="1"/>
              <w:ind w:firstLine="34"/>
              <w:contextualSpacing w:val="1"/>
              <w:jc w:val="center"/>
            </w:pPr>
            <w:r>
              <w:t>1130</w:t>
            </w:r>
          </w:p>
        </w:tc>
        <w:tc>
          <w:tcPr>
            <w:tcW w:type="dxa" w:w="1541"/>
            <w:tcBorders>
              <w:top w:color="000000" w:sz="4" w:val="single"/>
              <w:left w:color="000000" w:sz="4" w:val="single"/>
              <w:bottom w:color="000000" w:sz="4" w:val="single"/>
              <w:right w:color="000000" w:sz="4" w:val="single"/>
            </w:tcBorders>
            <w:shd w:fill="auto" w:val="clear"/>
            <w:vAlign w:val="bottom"/>
          </w:tcPr>
          <w:p w14:paraId="97080000">
            <w:pPr>
              <w:widowControl w:val="1"/>
              <w:ind/>
              <w:contextualSpacing w:val="1"/>
              <w:jc w:val="right"/>
            </w:pPr>
            <w:r>
              <w:t>-</w:t>
            </w:r>
          </w:p>
        </w:tc>
        <w:tc>
          <w:tcPr>
            <w:tcW w:type="dxa" w:w="1713"/>
            <w:tcBorders>
              <w:top w:color="000000" w:sz="4" w:val="single"/>
              <w:left w:color="000000" w:sz="4" w:val="single"/>
              <w:bottom w:color="000000" w:sz="4" w:val="single"/>
              <w:right w:color="000000" w:sz="4" w:val="single"/>
            </w:tcBorders>
            <w:shd w:fill="auto" w:val="clear"/>
            <w:vAlign w:val="bottom"/>
          </w:tcPr>
          <w:p w14:paraId="98080000">
            <w:pPr>
              <w:widowControl w:val="1"/>
              <w:ind/>
              <w:contextualSpacing w:val="1"/>
              <w:jc w:val="right"/>
            </w:pPr>
            <w:r>
              <w:t>-</w:t>
            </w:r>
          </w:p>
        </w:tc>
        <w:tc>
          <w:tcPr>
            <w:tcW w:type="dxa" w:w="1156"/>
            <w:tcBorders>
              <w:top w:color="000000" w:sz="4" w:val="single"/>
              <w:left w:color="000000" w:sz="4" w:val="single"/>
              <w:bottom w:color="000000" w:sz="4" w:val="single"/>
              <w:right w:color="000000" w:sz="4" w:val="single"/>
            </w:tcBorders>
            <w:shd w:fill="auto" w:val="clear"/>
            <w:vAlign w:val="bottom"/>
          </w:tcPr>
          <w:p w14:paraId="99080000">
            <w:pPr>
              <w:widowControl w:val="1"/>
              <w:ind/>
              <w:contextualSpacing w:val="1"/>
              <w:jc w:val="right"/>
            </w:pPr>
            <w:r>
              <w:t>-</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9A080000">
            <w:pPr>
              <w:widowControl w:val="1"/>
              <w:ind w:firstLine="34"/>
              <w:contextualSpacing w:val="1"/>
            </w:pPr>
            <w:r>
              <w:t>Материальные поисковые активы</w:t>
            </w:r>
          </w:p>
        </w:tc>
        <w:tc>
          <w:tcPr>
            <w:tcW w:type="dxa" w:w="1152"/>
            <w:tcBorders>
              <w:top w:color="000000" w:sz="4" w:val="single"/>
              <w:left w:color="000000" w:sz="4" w:val="single"/>
              <w:bottom w:color="000000" w:sz="4" w:val="single"/>
              <w:right w:color="000000" w:sz="4" w:val="single"/>
            </w:tcBorders>
            <w:shd w:fill="auto" w:val="clear"/>
            <w:vAlign w:val="center"/>
          </w:tcPr>
          <w:p w14:paraId="9B080000">
            <w:pPr>
              <w:widowControl w:val="1"/>
              <w:ind w:firstLine="34"/>
              <w:contextualSpacing w:val="1"/>
              <w:jc w:val="center"/>
            </w:pPr>
            <w:r>
              <w:t>1140</w:t>
            </w:r>
          </w:p>
        </w:tc>
        <w:tc>
          <w:tcPr>
            <w:tcW w:type="dxa" w:w="1541"/>
            <w:tcBorders>
              <w:top w:color="000000" w:sz="4" w:val="single"/>
              <w:left w:color="000000" w:sz="4" w:val="single"/>
              <w:bottom w:color="000000" w:sz="4" w:val="single"/>
              <w:right w:color="000000" w:sz="4" w:val="single"/>
            </w:tcBorders>
            <w:shd w:fill="auto" w:val="clear"/>
            <w:vAlign w:val="bottom"/>
          </w:tcPr>
          <w:p w14:paraId="9C080000">
            <w:pPr>
              <w:widowControl w:val="1"/>
              <w:ind/>
              <w:contextualSpacing w:val="1"/>
              <w:jc w:val="right"/>
            </w:pPr>
            <w:r>
              <w:t>-</w:t>
            </w:r>
          </w:p>
        </w:tc>
        <w:tc>
          <w:tcPr>
            <w:tcW w:type="dxa" w:w="1713"/>
            <w:tcBorders>
              <w:top w:color="000000" w:sz="4" w:val="single"/>
              <w:left w:color="000000" w:sz="4" w:val="single"/>
              <w:bottom w:color="000000" w:sz="4" w:val="single"/>
              <w:right w:color="000000" w:sz="4" w:val="single"/>
            </w:tcBorders>
            <w:shd w:fill="auto" w:val="clear"/>
            <w:vAlign w:val="bottom"/>
          </w:tcPr>
          <w:p w14:paraId="9D080000">
            <w:pPr>
              <w:widowControl w:val="1"/>
              <w:ind/>
              <w:contextualSpacing w:val="1"/>
              <w:jc w:val="right"/>
            </w:pPr>
            <w:r>
              <w:t>-</w:t>
            </w:r>
          </w:p>
        </w:tc>
        <w:tc>
          <w:tcPr>
            <w:tcW w:type="dxa" w:w="1156"/>
            <w:tcBorders>
              <w:top w:color="000000" w:sz="4" w:val="single"/>
              <w:left w:color="000000" w:sz="4" w:val="single"/>
              <w:bottom w:color="000000" w:sz="4" w:val="single"/>
              <w:right w:color="000000" w:sz="4" w:val="single"/>
            </w:tcBorders>
            <w:shd w:fill="auto" w:val="clear"/>
            <w:vAlign w:val="bottom"/>
          </w:tcPr>
          <w:p w14:paraId="9E080000">
            <w:pPr>
              <w:widowControl w:val="1"/>
              <w:ind/>
              <w:contextualSpacing w:val="1"/>
              <w:jc w:val="right"/>
            </w:pPr>
            <w:r>
              <w:t>-</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9F080000">
            <w:pPr>
              <w:widowControl w:val="1"/>
              <w:ind w:firstLine="34"/>
              <w:contextualSpacing w:val="1"/>
            </w:pPr>
            <w:r>
              <w:t>Основные средства</w:t>
            </w:r>
          </w:p>
        </w:tc>
        <w:tc>
          <w:tcPr>
            <w:tcW w:type="dxa" w:w="1152"/>
            <w:tcBorders>
              <w:top w:color="000000" w:sz="4" w:val="single"/>
              <w:left w:color="000000" w:sz="4" w:val="single"/>
              <w:bottom w:color="000000" w:sz="4" w:val="single"/>
              <w:right w:color="000000" w:sz="4" w:val="single"/>
            </w:tcBorders>
            <w:shd w:fill="auto" w:val="clear"/>
            <w:vAlign w:val="center"/>
          </w:tcPr>
          <w:p w14:paraId="A0080000">
            <w:pPr>
              <w:widowControl w:val="1"/>
              <w:ind w:firstLine="34"/>
              <w:contextualSpacing w:val="1"/>
              <w:jc w:val="center"/>
            </w:pPr>
            <w:r>
              <w:t>1150</w:t>
            </w:r>
          </w:p>
        </w:tc>
        <w:tc>
          <w:tcPr>
            <w:tcW w:type="dxa" w:w="1541"/>
            <w:tcBorders>
              <w:top w:color="000000" w:sz="4" w:val="single"/>
              <w:left w:color="000000" w:sz="4" w:val="single"/>
              <w:bottom w:color="000000" w:sz="4" w:val="single"/>
              <w:right w:color="000000" w:sz="4" w:val="single"/>
            </w:tcBorders>
            <w:shd w:fill="auto" w:val="clear"/>
            <w:vAlign w:val="bottom"/>
          </w:tcPr>
          <w:p w14:paraId="A1080000">
            <w:pPr>
              <w:widowControl w:val="1"/>
              <w:ind/>
              <w:contextualSpacing w:val="1"/>
              <w:jc w:val="right"/>
            </w:pPr>
            <w:r>
              <w:t>11 341</w:t>
            </w:r>
          </w:p>
        </w:tc>
        <w:tc>
          <w:tcPr>
            <w:tcW w:type="dxa" w:w="1713"/>
            <w:tcBorders>
              <w:top w:color="000000" w:sz="4" w:val="single"/>
              <w:left w:color="000000" w:sz="4" w:val="single"/>
              <w:bottom w:color="000000" w:sz="4" w:val="single"/>
              <w:right w:color="000000" w:sz="4" w:val="single"/>
            </w:tcBorders>
            <w:shd w:fill="auto" w:val="clear"/>
            <w:vAlign w:val="bottom"/>
          </w:tcPr>
          <w:p w14:paraId="A2080000">
            <w:pPr>
              <w:widowControl w:val="1"/>
              <w:ind/>
              <w:contextualSpacing w:val="1"/>
              <w:jc w:val="right"/>
            </w:pPr>
            <w:r>
              <w:t>13 675</w:t>
            </w:r>
          </w:p>
        </w:tc>
        <w:tc>
          <w:tcPr>
            <w:tcW w:type="dxa" w:w="1156"/>
            <w:tcBorders>
              <w:top w:color="000000" w:sz="4" w:val="single"/>
              <w:left w:color="000000" w:sz="4" w:val="single"/>
              <w:bottom w:color="000000" w:sz="4" w:val="single"/>
              <w:right w:color="000000" w:sz="4" w:val="single"/>
            </w:tcBorders>
            <w:shd w:fill="auto" w:val="clear"/>
            <w:vAlign w:val="bottom"/>
          </w:tcPr>
          <w:p w14:paraId="A3080000">
            <w:pPr>
              <w:widowControl w:val="1"/>
              <w:ind/>
              <w:contextualSpacing w:val="1"/>
              <w:jc w:val="right"/>
            </w:pPr>
            <w:r>
              <w:t>5 695</w:t>
            </w:r>
          </w:p>
        </w:tc>
      </w:tr>
      <w:tr>
        <w:trPr>
          <w:trHeight w:hRule="atLeast" w:val="495"/>
        </w:trPr>
        <w:tc>
          <w:tcPr>
            <w:tcW w:type="dxa" w:w="4537"/>
            <w:tcBorders>
              <w:top w:color="000000" w:sz="4" w:val="single"/>
              <w:left w:color="000000" w:sz="4" w:val="single"/>
              <w:bottom w:color="000000" w:sz="4" w:val="single"/>
              <w:right w:color="000000" w:sz="4" w:val="single"/>
            </w:tcBorders>
            <w:shd w:fill="auto" w:val="clear"/>
            <w:vAlign w:val="center"/>
          </w:tcPr>
          <w:p w14:paraId="A4080000">
            <w:pPr>
              <w:widowControl w:val="1"/>
              <w:ind w:firstLine="34"/>
              <w:contextualSpacing w:val="1"/>
            </w:pPr>
            <w:r>
              <w:t>Доходные вложения в материальные</w:t>
            </w:r>
            <w:r>
              <w:br/>
            </w:r>
            <w:r>
              <w:t>ценности</w:t>
            </w:r>
          </w:p>
        </w:tc>
        <w:tc>
          <w:tcPr>
            <w:tcW w:type="dxa" w:w="1152"/>
            <w:tcBorders>
              <w:top w:color="000000" w:sz="4" w:val="single"/>
              <w:left w:color="000000" w:sz="4" w:val="single"/>
              <w:bottom w:color="000000" w:sz="4" w:val="single"/>
              <w:right w:color="000000" w:sz="4" w:val="single"/>
            </w:tcBorders>
            <w:shd w:fill="auto" w:val="clear"/>
            <w:vAlign w:val="center"/>
          </w:tcPr>
          <w:p w14:paraId="A5080000">
            <w:pPr>
              <w:widowControl w:val="1"/>
              <w:ind w:firstLine="34"/>
              <w:contextualSpacing w:val="1"/>
              <w:jc w:val="center"/>
            </w:pPr>
            <w:r>
              <w:t>1160</w:t>
            </w:r>
          </w:p>
        </w:tc>
        <w:tc>
          <w:tcPr>
            <w:tcW w:type="dxa" w:w="1541"/>
            <w:tcBorders>
              <w:top w:color="000000" w:sz="4" w:val="single"/>
              <w:left w:color="000000" w:sz="4" w:val="single"/>
              <w:bottom w:color="000000" w:sz="4" w:val="single"/>
              <w:right w:color="000000" w:sz="4" w:val="single"/>
            </w:tcBorders>
            <w:shd w:fill="auto" w:val="clear"/>
            <w:vAlign w:val="bottom"/>
          </w:tcPr>
          <w:p w14:paraId="A6080000">
            <w:pPr>
              <w:widowControl w:val="1"/>
              <w:ind/>
              <w:contextualSpacing w:val="1"/>
              <w:jc w:val="right"/>
            </w:pPr>
            <w:r>
              <w:t>-</w:t>
            </w:r>
          </w:p>
        </w:tc>
        <w:tc>
          <w:tcPr>
            <w:tcW w:type="dxa" w:w="1713"/>
            <w:tcBorders>
              <w:top w:color="000000" w:sz="4" w:val="single"/>
              <w:left w:color="000000" w:sz="4" w:val="single"/>
              <w:bottom w:color="000000" w:sz="4" w:val="single"/>
              <w:right w:color="000000" w:sz="4" w:val="single"/>
            </w:tcBorders>
            <w:shd w:fill="auto" w:val="clear"/>
            <w:vAlign w:val="bottom"/>
          </w:tcPr>
          <w:p w14:paraId="A7080000">
            <w:pPr>
              <w:widowControl w:val="1"/>
              <w:ind/>
              <w:contextualSpacing w:val="1"/>
              <w:jc w:val="right"/>
            </w:pPr>
            <w:r>
              <w:t>-</w:t>
            </w:r>
          </w:p>
        </w:tc>
        <w:tc>
          <w:tcPr>
            <w:tcW w:type="dxa" w:w="1156"/>
            <w:tcBorders>
              <w:top w:color="000000" w:sz="4" w:val="single"/>
              <w:left w:color="000000" w:sz="4" w:val="single"/>
              <w:bottom w:color="000000" w:sz="4" w:val="single"/>
              <w:right w:color="000000" w:sz="4" w:val="single"/>
            </w:tcBorders>
            <w:shd w:fill="auto" w:val="clear"/>
            <w:vAlign w:val="bottom"/>
          </w:tcPr>
          <w:p w14:paraId="A8080000">
            <w:pPr>
              <w:widowControl w:val="1"/>
              <w:ind/>
              <w:contextualSpacing w:val="1"/>
              <w:jc w:val="right"/>
            </w:pPr>
            <w:r>
              <w:t>-</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A9080000">
            <w:pPr>
              <w:widowControl w:val="1"/>
              <w:ind w:firstLine="34"/>
              <w:contextualSpacing w:val="1"/>
            </w:pPr>
            <w:r>
              <w:t>Финансовые вложения</w:t>
            </w:r>
          </w:p>
        </w:tc>
        <w:tc>
          <w:tcPr>
            <w:tcW w:type="dxa" w:w="1152"/>
            <w:tcBorders>
              <w:top w:color="000000" w:sz="4" w:val="single"/>
              <w:left w:color="000000" w:sz="4" w:val="single"/>
              <w:bottom w:color="000000" w:sz="4" w:val="single"/>
              <w:right w:color="000000" w:sz="4" w:val="single"/>
            </w:tcBorders>
            <w:shd w:fill="auto" w:val="clear"/>
            <w:vAlign w:val="center"/>
          </w:tcPr>
          <w:p w14:paraId="AA080000">
            <w:pPr>
              <w:widowControl w:val="1"/>
              <w:ind w:firstLine="34"/>
              <w:contextualSpacing w:val="1"/>
              <w:jc w:val="center"/>
            </w:pPr>
            <w:r>
              <w:t>1170</w:t>
            </w:r>
          </w:p>
        </w:tc>
        <w:tc>
          <w:tcPr>
            <w:tcW w:type="dxa" w:w="1541"/>
            <w:tcBorders>
              <w:top w:color="000000" w:sz="4" w:val="single"/>
              <w:left w:color="000000" w:sz="4" w:val="single"/>
              <w:bottom w:color="000000" w:sz="4" w:val="single"/>
              <w:right w:color="000000" w:sz="4" w:val="single"/>
            </w:tcBorders>
            <w:shd w:fill="auto" w:val="clear"/>
            <w:vAlign w:val="bottom"/>
          </w:tcPr>
          <w:p w14:paraId="AB080000">
            <w:pPr>
              <w:widowControl w:val="1"/>
              <w:ind/>
              <w:contextualSpacing w:val="1"/>
              <w:jc w:val="right"/>
            </w:pPr>
            <w:r>
              <w:t>-</w:t>
            </w:r>
          </w:p>
        </w:tc>
        <w:tc>
          <w:tcPr>
            <w:tcW w:type="dxa" w:w="1713"/>
            <w:tcBorders>
              <w:top w:color="000000" w:sz="4" w:val="single"/>
              <w:left w:color="000000" w:sz="4" w:val="single"/>
              <w:bottom w:color="000000" w:sz="4" w:val="single"/>
              <w:right w:color="000000" w:sz="4" w:val="single"/>
            </w:tcBorders>
            <w:shd w:fill="auto" w:val="clear"/>
            <w:vAlign w:val="bottom"/>
          </w:tcPr>
          <w:p w14:paraId="AC080000">
            <w:pPr>
              <w:widowControl w:val="1"/>
              <w:ind/>
              <w:contextualSpacing w:val="1"/>
              <w:jc w:val="right"/>
            </w:pPr>
            <w:r>
              <w:t>-</w:t>
            </w:r>
          </w:p>
        </w:tc>
        <w:tc>
          <w:tcPr>
            <w:tcW w:type="dxa" w:w="1156"/>
            <w:tcBorders>
              <w:top w:color="000000" w:sz="4" w:val="single"/>
              <w:left w:color="000000" w:sz="4" w:val="single"/>
              <w:bottom w:color="000000" w:sz="4" w:val="single"/>
              <w:right w:color="000000" w:sz="4" w:val="single"/>
            </w:tcBorders>
            <w:shd w:fill="auto" w:val="clear"/>
            <w:vAlign w:val="bottom"/>
          </w:tcPr>
          <w:p w14:paraId="AD080000">
            <w:pPr>
              <w:widowControl w:val="1"/>
              <w:ind/>
              <w:contextualSpacing w:val="1"/>
              <w:jc w:val="right"/>
            </w:pPr>
            <w:r>
              <w:t>-</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AE080000">
            <w:pPr>
              <w:widowControl w:val="1"/>
              <w:ind w:firstLine="34"/>
              <w:contextualSpacing w:val="1"/>
            </w:pPr>
            <w:r>
              <w:t>Отложенные налоговые активы</w:t>
            </w:r>
          </w:p>
        </w:tc>
        <w:tc>
          <w:tcPr>
            <w:tcW w:type="dxa" w:w="1152"/>
            <w:tcBorders>
              <w:top w:color="000000" w:sz="4" w:val="single"/>
              <w:left w:color="000000" w:sz="4" w:val="single"/>
              <w:bottom w:color="000000" w:sz="4" w:val="single"/>
              <w:right w:color="000000" w:sz="4" w:val="single"/>
            </w:tcBorders>
            <w:shd w:fill="auto" w:val="clear"/>
            <w:vAlign w:val="center"/>
          </w:tcPr>
          <w:p w14:paraId="AF080000">
            <w:pPr>
              <w:widowControl w:val="1"/>
              <w:ind w:firstLine="34"/>
              <w:contextualSpacing w:val="1"/>
              <w:jc w:val="center"/>
            </w:pPr>
            <w:r>
              <w:t>1180</w:t>
            </w:r>
          </w:p>
        </w:tc>
        <w:tc>
          <w:tcPr>
            <w:tcW w:type="dxa" w:w="1541"/>
            <w:tcBorders>
              <w:top w:color="000000" w:sz="4" w:val="single"/>
              <w:left w:color="000000" w:sz="4" w:val="single"/>
              <w:bottom w:color="000000" w:sz="4" w:val="single"/>
              <w:right w:color="000000" w:sz="4" w:val="single"/>
            </w:tcBorders>
            <w:shd w:fill="auto" w:val="clear"/>
            <w:vAlign w:val="bottom"/>
          </w:tcPr>
          <w:p w14:paraId="B0080000">
            <w:pPr>
              <w:widowControl w:val="1"/>
              <w:ind/>
              <w:contextualSpacing w:val="1"/>
              <w:jc w:val="right"/>
            </w:pPr>
            <w:r>
              <w:t>25 071</w:t>
            </w:r>
          </w:p>
        </w:tc>
        <w:tc>
          <w:tcPr>
            <w:tcW w:type="dxa" w:w="1713"/>
            <w:tcBorders>
              <w:top w:color="000000" w:sz="4" w:val="single"/>
              <w:left w:color="000000" w:sz="4" w:val="single"/>
              <w:bottom w:color="000000" w:sz="4" w:val="single"/>
              <w:right w:color="000000" w:sz="4" w:val="single"/>
            </w:tcBorders>
            <w:shd w:fill="auto" w:val="clear"/>
            <w:vAlign w:val="bottom"/>
          </w:tcPr>
          <w:p w14:paraId="B1080000">
            <w:pPr>
              <w:widowControl w:val="1"/>
              <w:ind/>
              <w:contextualSpacing w:val="1"/>
              <w:jc w:val="right"/>
            </w:pPr>
            <w:r>
              <w:t>29 733</w:t>
            </w:r>
          </w:p>
        </w:tc>
        <w:tc>
          <w:tcPr>
            <w:tcW w:type="dxa" w:w="1156"/>
            <w:tcBorders>
              <w:top w:color="000000" w:sz="4" w:val="single"/>
              <w:left w:color="000000" w:sz="4" w:val="single"/>
              <w:bottom w:color="000000" w:sz="4" w:val="single"/>
              <w:right w:color="000000" w:sz="4" w:val="single"/>
            </w:tcBorders>
            <w:shd w:fill="auto" w:val="clear"/>
            <w:vAlign w:val="bottom"/>
          </w:tcPr>
          <w:p w14:paraId="B2080000">
            <w:pPr>
              <w:widowControl w:val="1"/>
              <w:ind/>
              <w:contextualSpacing w:val="1"/>
              <w:jc w:val="right"/>
            </w:pPr>
            <w:r>
              <w:t>27 076</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B3080000">
            <w:pPr>
              <w:widowControl w:val="1"/>
              <w:ind w:firstLine="34"/>
              <w:contextualSpacing w:val="1"/>
            </w:pPr>
            <w:r>
              <w:t>Прочие внеоборотные активы</w:t>
            </w:r>
          </w:p>
        </w:tc>
        <w:tc>
          <w:tcPr>
            <w:tcW w:type="dxa" w:w="1152"/>
            <w:tcBorders>
              <w:top w:color="000000" w:sz="4" w:val="single"/>
              <w:left w:color="000000" w:sz="4" w:val="single"/>
              <w:bottom w:color="000000" w:sz="4" w:val="single"/>
              <w:right w:color="000000" w:sz="4" w:val="single"/>
            </w:tcBorders>
            <w:shd w:fill="auto" w:val="clear"/>
            <w:vAlign w:val="center"/>
          </w:tcPr>
          <w:p w14:paraId="B4080000">
            <w:pPr>
              <w:widowControl w:val="1"/>
              <w:ind w:firstLine="34"/>
              <w:contextualSpacing w:val="1"/>
              <w:jc w:val="center"/>
            </w:pPr>
            <w:r>
              <w:t>1190</w:t>
            </w:r>
          </w:p>
        </w:tc>
        <w:tc>
          <w:tcPr>
            <w:tcW w:type="dxa" w:w="1541"/>
            <w:tcBorders>
              <w:top w:color="000000" w:sz="4" w:val="single"/>
              <w:left w:color="000000" w:sz="4" w:val="single"/>
              <w:bottom w:color="000000" w:sz="4" w:val="single"/>
              <w:right w:color="000000" w:sz="4" w:val="single"/>
            </w:tcBorders>
            <w:shd w:fill="auto" w:val="clear"/>
            <w:vAlign w:val="bottom"/>
          </w:tcPr>
          <w:p w14:paraId="B5080000">
            <w:pPr>
              <w:widowControl w:val="1"/>
              <w:ind/>
              <w:contextualSpacing w:val="1"/>
              <w:jc w:val="right"/>
            </w:pPr>
            <w:r>
              <w:t>183</w:t>
            </w:r>
          </w:p>
        </w:tc>
        <w:tc>
          <w:tcPr>
            <w:tcW w:type="dxa" w:w="1713"/>
            <w:tcBorders>
              <w:top w:color="000000" w:sz="4" w:val="single"/>
              <w:left w:color="000000" w:sz="4" w:val="single"/>
              <w:bottom w:color="000000" w:sz="4" w:val="single"/>
              <w:right w:color="000000" w:sz="4" w:val="single"/>
            </w:tcBorders>
            <w:shd w:fill="auto" w:val="clear"/>
            <w:vAlign w:val="bottom"/>
          </w:tcPr>
          <w:p w14:paraId="B6080000">
            <w:pPr>
              <w:widowControl w:val="1"/>
              <w:ind/>
              <w:contextualSpacing w:val="1"/>
              <w:jc w:val="right"/>
            </w:pPr>
            <w:r>
              <w:t>73</w:t>
            </w:r>
          </w:p>
        </w:tc>
        <w:tc>
          <w:tcPr>
            <w:tcW w:type="dxa" w:w="1156"/>
            <w:tcBorders>
              <w:top w:color="000000" w:sz="4" w:val="single"/>
              <w:left w:color="000000" w:sz="4" w:val="single"/>
              <w:bottom w:color="000000" w:sz="4" w:val="single"/>
              <w:right w:color="000000" w:sz="4" w:val="single"/>
            </w:tcBorders>
            <w:shd w:fill="auto" w:val="clear"/>
            <w:vAlign w:val="bottom"/>
          </w:tcPr>
          <w:p w14:paraId="B7080000">
            <w:pPr>
              <w:widowControl w:val="1"/>
              <w:ind/>
              <w:contextualSpacing w:val="1"/>
              <w:jc w:val="right"/>
            </w:pPr>
            <w:r>
              <w:t>176</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B8080000">
            <w:pPr>
              <w:widowControl w:val="1"/>
              <w:ind w:firstLine="34"/>
              <w:contextualSpacing w:val="1"/>
            </w:pPr>
            <w:r>
              <w:t>Итого по разделу I</w:t>
            </w:r>
          </w:p>
        </w:tc>
        <w:tc>
          <w:tcPr>
            <w:tcW w:type="dxa" w:w="1152"/>
            <w:tcBorders>
              <w:top w:color="000000" w:sz="4" w:val="single"/>
              <w:left w:color="000000" w:sz="4" w:val="single"/>
              <w:bottom w:color="000000" w:sz="4" w:val="single"/>
              <w:right w:color="000000" w:sz="4" w:val="single"/>
            </w:tcBorders>
            <w:shd w:fill="auto" w:val="clear"/>
            <w:vAlign w:val="center"/>
          </w:tcPr>
          <w:p w14:paraId="B9080000">
            <w:pPr>
              <w:widowControl w:val="1"/>
              <w:ind w:firstLine="34"/>
              <w:contextualSpacing w:val="1"/>
              <w:jc w:val="center"/>
            </w:pPr>
            <w:r>
              <w:t>1100</w:t>
            </w:r>
          </w:p>
        </w:tc>
        <w:tc>
          <w:tcPr>
            <w:tcW w:type="dxa" w:w="1541"/>
            <w:tcBorders>
              <w:top w:color="000000" w:sz="4" w:val="single"/>
              <w:left w:color="000000" w:sz="4" w:val="single"/>
              <w:bottom w:color="000000" w:sz="4" w:val="single"/>
              <w:right w:color="000000" w:sz="4" w:val="single"/>
            </w:tcBorders>
            <w:shd w:fill="auto" w:val="clear"/>
            <w:vAlign w:val="bottom"/>
          </w:tcPr>
          <w:p w14:paraId="BA080000">
            <w:pPr>
              <w:widowControl w:val="1"/>
              <w:ind/>
              <w:contextualSpacing w:val="1"/>
              <w:jc w:val="right"/>
            </w:pPr>
            <w:r>
              <w:t>36 916</w:t>
            </w:r>
          </w:p>
        </w:tc>
        <w:tc>
          <w:tcPr>
            <w:tcW w:type="dxa" w:w="1713"/>
            <w:tcBorders>
              <w:top w:color="000000" w:sz="4" w:val="single"/>
              <w:left w:color="000000" w:sz="4" w:val="single"/>
              <w:bottom w:color="000000" w:sz="4" w:val="single"/>
              <w:right w:color="000000" w:sz="4" w:val="single"/>
            </w:tcBorders>
            <w:shd w:fill="auto" w:val="clear"/>
            <w:vAlign w:val="bottom"/>
          </w:tcPr>
          <w:p w14:paraId="BB080000">
            <w:pPr>
              <w:widowControl w:val="1"/>
              <w:ind/>
              <w:contextualSpacing w:val="1"/>
              <w:jc w:val="right"/>
            </w:pPr>
            <w:r>
              <w:t>44 191</w:t>
            </w:r>
          </w:p>
        </w:tc>
        <w:tc>
          <w:tcPr>
            <w:tcW w:type="dxa" w:w="1156"/>
            <w:tcBorders>
              <w:top w:color="000000" w:sz="4" w:val="single"/>
              <w:left w:color="000000" w:sz="4" w:val="single"/>
              <w:bottom w:color="000000" w:sz="4" w:val="single"/>
              <w:right w:color="000000" w:sz="4" w:val="single"/>
            </w:tcBorders>
            <w:shd w:fill="auto" w:val="clear"/>
            <w:vAlign w:val="bottom"/>
          </w:tcPr>
          <w:p w14:paraId="BC080000">
            <w:pPr>
              <w:widowControl w:val="1"/>
              <w:ind/>
              <w:contextualSpacing w:val="1"/>
              <w:jc w:val="right"/>
            </w:pPr>
            <w:r>
              <w:t>35 163</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BD080000">
            <w:pPr>
              <w:widowControl w:val="1"/>
              <w:ind w:firstLine="34"/>
              <w:contextualSpacing w:val="1"/>
              <w:jc w:val="center"/>
              <w:rPr>
                <w:b w:val="1"/>
              </w:rPr>
            </w:pPr>
            <w:r>
              <w:rPr>
                <w:b w:val="1"/>
              </w:rPr>
              <w:t>II. ОБОРОТНЫЕ АКТИВЫ</w:t>
            </w:r>
          </w:p>
        </w:tc>
        <w:tc>
          <w:tcPr>
            <w:tcW w:type="dxa" w:w="1152"/>
            <w:tcBorders>
              <w:top w:color="000000" w:sz="4" w:val="single"/>
              <w:left w:color="000000" w:sz="4" w:val="single"/>
              <w:bottom w:color="000000" w:sz="4" w:val="single"/>
              <w:right w:color="000000" w:sz="4" w:val="single"/>
            </w:tcBorders>
            <w:shd w:fill="auto" w:val="clear"/>
            <w:vAlign w:val="center"/>
          </w:tcPr>
          <w:p w14:paraId="BE080000">
            <w:pPr>
              <w:widowControl w:val="1"/>
              <w:ind w:firstLine="34"/>
              <w:contextualSpacing w:val="1"/>
              <w:jc w:val="center"/>
            </w:pPr>
            <w:r>
              <w:t> </w:t>
            </w:r>
          </w:p>
          <w:p w14:paraId="BF080000">
            <w:pPr>
              <w:widowControl w:val="1"/>
              <w:ind w:firstLine="34"/>
              <w:contextualSpacing w:val="1"/>
              <w:jc w:val="right"/>
            </w:pPr>
            <w:r>
              <w:t> </w:t>
            </w:r>
          </w:p>
          <w:p w14:paraId="C0080000">
            <w:pPr>
              <w:widowControl w:val="1"/>
              <w:ind w:firstLine="34"/>
              <w:contextualSpacing w:val="1"/>
              <w:jc w:val="center"/>
            </w:pPr>
            <w:r>
              <w:t> </w:t>
            </w:r>
          </w:p>
        </w:tc>
        <w:tc>
          <w:tcPr>
            <w:tcW w:type="dxa" w:w="1541"/>
            <w:tcBorders>
              <w:top w:color="000000" w:sz="4" w:val="single"/>
              <w:left w:color="000000" w:sz="4" w:val="single"/>
              <w:bottom w:color="000000" w:sz="4" w:val="single"/>
              <w:right w:color="000000" w:sz="4" w:val="single"/>
            </w:tcBorders>
            <w:shd w:fill="auto" w:val="clear"/>
            <w:vAlign w:val="bottom"/>
          </w:tcPr>
          <w:p w14:paraId="C1080000">
            <w:pPr>
              <w:widowControl w:val="1"/>
              <w:ind/>
              <w:contextualSpacing w:val="1"/>
              <w:jc w:val="right"/>
            </w:pPr>
          </w:p>
        </w:tc>
        <w:tc>
          <w:tcPr>
            <w:tcW w:type="dxa" w:w="1713"/>
            <w:tcBorders>
              <w:top w:color="000000" w:sz="4" w:val="single"/>
              <w:left w:color="000000" w:sz="4" w:val="single"/>
              <w:bottom w:color="000000" w:sz="4" w:val="single"/>
              <w:right w:color="000000" w:sz="4" w:val="single"/>
            </w:tcBorders>
            <w:shd w:fill="auto" w:val="clear"/>
            <w:vAlign w:val="bottom"/>
          </w:tcPr>
          <w:p w14:paraId="C2080000">
            <w:pPr>
              <w:widowControl w:val="1"/>
              <w:ind/>
              <w:contextualSpacing w:val="1"/>
              <w:jc w:val="right"/>
            </w:pPr>
          </w:p>
          <w:p w14:paraId="C3080000">
            <w:pPr>
              <w:widowControl w:val="1"/>
              <w:ind/>
              <w:contextualSpacing w:val="1"/>
              <w:jc w:val="right"/>
            </w:pPr>
            <w:r>
              <w:t> </w:t>
            </w:r>
          </w:p>
          <w:p w14:paraId="C4080000">
            <w:pPr>
              <w:widowControl w:val="1"/>
              <w:ind/>
              <w:contextualSpacing w:val="1"/>
              <w:jc w:val="right"/>
            </w:pPr>
            <w:r>
              <w:t> </w:t>
            </w:r>
          </w:p>
        </w:tc>
        <w:tc>
          <w:tcPr>
            <w:tcW w:type="dxa" w:w="1156"/>
            <w:tcBorders>
              <w:top w:color="000000" w:sz="4" w:val="single"/>
              <w:left w:color="000000" w:sz="4" w:val="single"/>
              <w:bottom w:color="000000" w:sz="4" w:val="single"/>
              <w:right w:color="000000" w:sz="4" w:val="single"/>
            </w:tcBorders>
            <w:shd w:fill="auto" w:val="clear"/>
            <w:vAlign w:val="bottom"/>
          </w:tcPr>
          <w:p w14:paraId="C5080000">
            <w:pPr>
              <w:widowControl w:val="1"/>
              <w:ind/>
              <w:contextualSpacing w:val="1"/>
              <w:jc w:val="right"/>
            </w:pP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C6080000">
            <w:pPr>
              <w:widowControl w:val="1"/>
              <w:ind w:firstLine="34"/>
              <w:contextualSpacing w:val="1"/>
            </w:pPr>
            <w:r>
              <w:t>Запасы</w:t>
            </w:r>
          </w:p>
        </w:tc>
        <w:tc>
          <w:tcPr>
            <w:tcW w:type="dxa" w:w="1152"/>
            <w:tcBorders>
              <w:top w:color="000000" w:sz="4" w:val="single"/>
              <w:left w:color="000000" w:sz="4" w:val="single"/>
              <w:bottom w:color="000000" w:sz="4" w:val="single"/>
              <w:right w:color="000000" w:sz="4" w:val="single"/>
            </w:tcBorders>
            <w:shd w:fill="auto" w:val="clear"/>
            <w:vAlign w:val="center"/>
          </w:tcPr>
          <w:p w14:paraId="C7080000">
            <w:pPr>
              <w:widowControl w:val="1"/>
              <w:ind w:firstLine="34"/>
              <w:contextualSpacing w:val="1"/>
              <w:jc w:val="center"/>
            </w:pPr>
            <w:r>
              <w:t>1210</w:t>
            </w:r>
          </w:p>
        </w:tc>
        <w:tc>
          <w:tcPr>
            <w:tcW w:type="dxa" w:w="1541"/>
            <w:tcBorders>
              <w:top w:color="000000" w:sz="4" w:val="single"/>
              <w:left w:color="000000" w:sz="4" w:val="single"/>
              <w:bottom w:color="000000" w:sz="4" w:val="single"/>
              <w:right w:color="000000" w:sz="4" w:val="single"/>
            </w:tcBorders>
            <w:shd w:fill="auto" w:val="clear"/>
            <w:vAlign w:val="bottom"/>
          </w:tcPr>
          <w:p w14:paraId="C8080000">
            <w:pPr>
              <w:widowControl w:val="1"/>
              <w:ind/>
              <w:contextualSpacing w:val="1"/>
              <w:jc w:val="right"/>
            </w:pPr>
            <w:r>
              <w:t>4 212</w:t>
            </w:r>
          </w:p>
        </w:tc>
        <w:tc>
          <w:tcPr>
            <w:tcW w:type="dxa" w:w="1713"/>
            <w:tcBorders>
              <w:top w:color="000000" w:sz="4" w:val="single"/>
              <w:left w:color="000000" w:sz="4" w:val="single"/>
              <w:bottom w:color="000000" w:sz="4" w:val="single"/>
              <w:right w:color="000000" w:sz="4" w:val="single"/>
            </w:tcBorders>
            <w:shd w:fill="auto" w:val="clear"/>
            <w:vAlign w:val="bottom"/>
          </w:tcPr>
          <w:p w14:paraId="C9080000">
            <w:pPr>
              <w:widowControl w:val="1"/>
              <w:ind/>
              <w:contextualSpacing w:val="1"/>
              <w:jc w:val="right"/>
            </w:pPr>
            <w:r>
              <w:t>4 171</w:t>
            </w:r>
          </w:p>
        </w:tc>
        <w:tc>
          <w:tcPr>
            <w:tcW w:type="dxa" w:w="1156"/>
            <w:tcBorders>
              <w:top w:color="000000" w:sz="4" w:val="single"/>
              <w:left w:color="000000" w:sz="4" w:val="single"/>
              <w:bottom w:color="000000" w:sz="4" w:val="single"/>
              <w:right w:color="000000" w:sz="4" w:val="single"/>
            </w:tcBorders>
            <w:shd w:fill="auto" w:val="clear"/>
            <w:vAlign w:val="bottom"/>
          </w:tcPr>
          <w:p w14:paraId="CA080000">
            <w:pPr>
              <w:widowControl w:val="1"/>
              <w:ind/>
              <w:contextualSpacing w:val="1"/>
              <w:jc w:val="right"/>
            </w:pPr>
            <w:r>
              <w:t>3 085</w:t>
            </w:r>
          </w:p>
        </w:tc>
      </w:tr>
      <w:tr>
        <w:trPr>
          <w:trHeight w:hRule="atLeast" w:val="495"/>
        </w:trPr>
        <w:tc>
          <w:tcPr>
            <w:tcW w:type="dxa" w:w="4537"/>
            <w:tcBorders>
              <w:top w:color="000000" w:sz="4" w:val="single"/>
              <w:left w:color="000000" w:sz="4" w:val="single"/>
              <w:bottom w:color="000000" w:sz="4" w:val="single"/>
              <w:right w:color="000000" w:sz="4" w:val="single"/>
            </w:tcBorders>
            <w:shd w:fill="auto" w:val="clear"/>
            <w:vAlign w:val="bottom"/>
          </w:tcPr>
          <w:p w14:paraId="CB080000">
            <w:pPr>
              <w:widowControl w:val="1"/>
              <w:ind w:firstLine="34"/>
              <w:contextualSpacing w:val="1"/>
            </w:pPr>
            <w:r>
              <w:t>Налог на добавленную стоимость по приобретенным ценностям</w:t>
            </w:r>
          </w:p>
        </w:tc>
        <w:tc>
          <w:tcPr>
            <w:tcW w:type="dxa" w:w="1152"/>
            <w:tcBorders>
              <w:top w:color="000000" w:sz="4" w:val="single"/>
              <w:left w:color="000000" w:sz="4" w:val="single"/>
              <w:bottom w:color="000000" w:sz="4" w:val="single"/>
              <w:right w:color="000000" w:sz="4" w:val="single"/>
            </w:tcBorders>
            <w:shd w:fill="auto" w:val="clear"/>
            <w:vAlign w:val="center"/>
          </w:tcPr>
          <w:p w14:paraId="CC080000">
            <w:pPr>
              <w:widowControl w:val="1"/>
              <w:ind w:firstLine="34"/>
              <w:contextualSpacing w:val="1"/>
              <w:jc w:val="center"/>
            </w:pPr>
            <w:r>
              <w:t>1220</w:t>
            </w:r>
          </w:p>
        </w:tc>
        <w:tc>
          <w:tcPr>
            <w:tcW w:type="dxa" w:w="1541"/>
            <w:tcBorders>
              <w:top w:color="000000" w:sz="4" w:val="single"/>
              <w:left w:color="000000" w:sz="4" w:val="single"/>
              <w:bottom w:color="000000" w:sz="4" w:val="single"/>
              <w:right w:color="000000" w:sz="4" w:val="single"/>
            </w:tcBorders>
            <w:shd w:fill="auto" w:val="clear"/>
            <w:vAlign w:val="bottom"/>
          </w:tcPr>
          <w:p w14:paraId="CD080000">
            <w:pPr>
              <w:widowControl w:val="1"/>
              <w:ind/>
              <w:contextualSpacing w:val="1"/>
              <w:jc w:val="right"/>
            </w:pPr>
            <w:r>
              <w:t>-</w:t>
            </w:r>
          </w:p>
        </w:tc>
        <w:tc>
          <w:tcPr>
            <w:tcW w:type="dxa" w:w="1713"/>
            <w:tcBorders>
              <w:top w:color="000000" w:sz="4" w:val="single"/>
              <w:left w:color="000000" w:sz="4" w:val="single"/>
              <w:bottom w:color="000000" w:sz="4" w:val="single"/>
              <w:right w:color="000000" w:sz="4" w:val="single"/>
            </w:tcBorders>
            <w:shd w:fill="auto" w:val="clear"/>
            <w:vAlign w:val="bottom"/>
          </w:tcPr>
          <w:p w14:paraId="CE080000">
            <w:pPr>
              <w:widowControl w:val="1"/>
              <w:ind/>
              <w:contextualSpacing w:val="1"/>
              <w:jc w:val="right"/>
            </w:pPr>
            <w:r>
              <w:t>7</w:t>
            </w:r>
          </w:p>
        </w:tc>
        <w:tc>
          <w:tcPr>
            <w:tcW w:type="dxa" w:w="1156"/>
            <w:tcBorders>
              <w:top w:color="000000" w:sz="4" w:val="single"/>
              <w:left w:color="000000" w:sz="4" w:val="single"/>
              <w:bottom w:color="000000" w:sz="4" w:val="single"/>
              <w:right w:color="000000" w:sz="4" w:val="single"/>
            </w:tcBorders>
            <w:shd w:fill="auto" w:val="clear"/>
            <w:vAlign w:val="bottom"/>
          </w:tcPr>
          <w:p w14:paraId="CF080000">
            <w:pPr>
              <w:widowControl w:val="1"/>
              <w:ind/>
              <w:contextualSpacing w:val="1"/>
              <w:jc w:val="right"/>
            </w:pPr>
            <w:r>
              <w:t>2</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bottom"/>
          </w:tcPr>
          <w:p w14:paraId="D0080000">
            <w:pPr>
              <w:widowControl w:val="1"/>
              <w:ind w:firstLine="34"/>
              <w:contextualSpacing w:val="1"/>
            </w:pPr>
            <w:r>
              <w:t>Дебиторская задолженность</w:t>
            </w:r>
          </w:p>
        </w:tc>
        <w:tc>
          <w:tcPr>
            <w:tcW w:type="dxa" w:w="1152"/>
            <w:tcBorders>
              <w:top w:color="000000" w:sz="4" w:val="single"/>
              <w:left w:color="000000" w:sz="4" w:val="single"/>
              <w:bottom w:color="000000" w:sz="4" w:val="single"/>
              <w:right w:color="000000" w:sz="4" w:val="single"/>
            </w:tcBorders>
            <w:shd w:fill="auto" w:val="clear"/>
            <w:vAlign w:val="center"/>
          </w:tcPr>
          <w:p w14:paraId="D1080000">
            <w:pPr>
              <w:widowControl w:val="1"/>
              <w:ind w:firstLine="34"/>
              <w:contextualSpacing w:val="1"/>
              <w:jc w:val="center"/>
            </w:pPr>
            <w:r>
              <w:t>1230</w:t>
            </w:r>
          </w:p>
        </w:tc>
        <w:tc>
          <w:tcPr>
            <w:tcW w:type="dxa" w:w="1541"/>
            <w:tcBorders>
              <w:top w:color="000000" w:sz="4" w:val="single"/>
              <w:left w:color="000000" w:sz="4" w:val="single"/>
              <w:bottom w:color="000000" w:sz="4" w:val="single"/>
              <w:right w:color="000000" w:sz="4" w:val="single"/>
            </w:tcBorders>
            <w:shd w:fill="auto" w:val="clear"/>
            <w:vAlign w:val="bottom"/>
          </w:tcPr>
          <w:p w14:paraId="D2080000">
            <w:pPr>
              <w:widowControl w:val="1"/>
              <w:ind/>
              <w:contextualSpacing w:val="1"/>
              <w:jc w:val="right"/>
            </w:pPr>
            <w:r>
              <w:t>33 104</w:t>
            </w:r>
          </w:p>
        </w:tc>
        <w:tc>
          <w:tcPr>
            <w:tcW w:type="dxa" w:w="1713"/>
            <w:tcBorders>
              <w:top w:color="000000" w:sz="4" w:val="single"/>
              <w:left w:color="000000" w:sz="4" w:val="single"/>
              <w:bottom w:color="000000" w:sz="4" w:val="single"/>
              <w:right w:color="000000" w:sz="4" w:val="single"/>
            </w:tcBorders>
            <w:shd w:fill="auto" w:val="clear"/>
            <w:vAlign w:val="bottom"/>
          </w:tcPr>
          <w:p w14:paraId="D3080000">
            <w:pPr>
              <w:widowControl w:val="1"/>
              <w:ind/>
              <w:contextualSpacing w:val="1"/>
              <w:jc w:val="right"/>
            </w:pPr>
            <w:r>
              <w:t>64</w:t>
            </w:r>
            <w:r>
              <w:t xml:space="preserve"> 617</w:t>
            </w:r>
          </w:p>
        </w:tc>
        <w:tc>
          <w:tcPr>
            <w:tcW w:type="dxa" w:w="1156"/>
            <w:tcBorders>
              <w:top w:color="000000" w:sz="4" w:val="single"/>
              <w:left w:color="000000" w:sz="4" w:val="single"/>
              <w:bottom w:color="000000" w:sz="4" w:val="single"/>
              <w:right w:color="000000" w:sz="4" w:val="single"/>
            </w:tcBorders>
            <w:shd w:fill="auto" w:val="clear"/>
            <w:vAlign w:val="bottom"/>
          </w:tcPr>
          <w:p w14:paraId="D4080000">
            <w:pPr>
              <w:widowControl w:val="1"/>
              <w:ind/>
              <w:contextualSpacing w:val="1"/>
              <w:jc w:val="right"/>
            </w:pPr>
            <w:r>
              <w:t>34 486</w:t>
            </w:r>
          </w:p>
        </w:tc>
      </w:tr>
      <w:tr>
        <w:trPr>
          <w:trHeight w:hRule="atLeast" w:val="414"/>
        </w:trPr>
        <w:tc>
          <w:tcPr>
            <w:tcW w:type="dxa" w:w="4537"/>
            <w:tcBorders>
              <w:top w:color="000000" w:sz="4" w:val="single"/>
              <w:left w:color="000000" w:sz="4" w:val="single"/>
              <w:bottom w:color="000000" w:sz="4" w:val="single"/>
              <w:right w:color="000000" w:sz="4" w:val="single"/>
            </w:tcBorders>
            <w:shd w:fill="auto" w:val="clear"/>
            <w:vAlign w:val="bottom"/>
          </w:tcPr>
          <w:p w14:paraId="D5080000">
            <w:pPr>
              <w:widowControl w:val="1"/>
              <w:ind w:firstLine="34"/>
              <w:contextualSpacing w:val="1"/>
            </w:pPr>
            <w:r>
              <w:t>Финансовые вложения (за исключением денежных эквивалентов)</w:t>
            </w:r>
          </w:p>
        </w:tc>
        <w:tc>
          <w:tcPr>
            <w:tcW w:type="dxa" w:w="1152"/>
            <w:tcBorders>
              <w:top w:color="000000" w:sz="4" w:val="single"/>
              <w:left w:color="000000" w:sz="4" w:val="single"/>
              <w:bottom w:color="000000" w:sz="4" w:val="single"/>
              <w:right w:color="000000" w:sz="4" w:val="single"/>
            </w:tcBorders>
            <w:shd w:fill="auto" w:val="clear"/>
            <w:vAlign w:val="center"/>
          </w:tcPr>
          <w:p w14:paraId="D6080000">
            <w:pPr>
              <w:widowControl w:val="1"/>
              <w:ind w:firstLine="34"/>
              <w:contextualSpacing w:val="1"/>
              <w:jc w:val="center"/>
            </w:pPr>
            <w:r>
              <w:t>1240</w:t>
            </w:r>
          </w:p>
        </w:tc>
        <w:tc>
          <w:tcPr>
            <w:tcW w:type="dxa" w:w="1541"/>
            <w:tcBorders>
              <w:top w:color="000000" w:sz="4" w:val="single"/>
              <w:left w:color="000000" w:sz="4" w:val="single"/>
              <w:bottom w:color="000000" w:sz="4" w:val="single"/>
              <w:right w:color="000000" w:sz="4" w:val="single"/>
            </w:tcBorders>
            <w:shd w:fill="auto" w:val="clear"/>
            <w:vAlign w:val="bottom"/>
          </w:tcPr>
          <w:p w14:paraId="D7080000">
            <w:pPr>
              <w:widowControl w:val="1"/>
              <w:ind/>
              <w:contextualSpacing w:val="1"/>
              <w:jc w:val="right"/>
            </w:pPr>
            <w:r>
              <w:t>-</w:t>
            </w:r>
          </w:p>
        </w:tc>
        <w:tc>
          <w:tcPr>
            <w:tcW w:type="dxa" w:w="1713"/>
            <w:tcBorders>
              <w:top w:color="000000" w:sz="4" w:val="single"/>
              <w:left w:color="000000" w:sz="4" w:val="single"/>
              <w:bottom w:color="000000" w:sz="4" w:val="single"/>
              <w:right w:color="000000" w:sz="4" w:val="single"/>
            </w:tcBorders>
            <w:shd w:fill="auto" w:val="clear"/>
            <w:vAlign w:val="bottom"/>
          </w:tcPr>
          <w:p w14:paraId="D8080000">
            <w:pPr>
              <w:widowControl w:val="1"/>
              <w:ind/>
              <w:contextualSpacing w:val="1"/>
              <w:jc w:val="right"/>
            </w:pPr>
            <w:r>
              <w:t>-</w:t>
            </w:r>
          </w:p>
        </w:tc>
        <w:tc>
          <w:tcPr>
            <w:tcW w:type="dxa" w:w="1156"/>
            <w:tcBorders>
              <w:top w:color="000000" w:sz="4" w:val="single"/>
              <w:left w:color="000000" w:sz="4" w:val="single"/>
              <w:bottom w:color="000000" w:sz="4" w:val="single"/>
              <w:right w:color="000000" w:sz="4" w:val="single"/>
            </w:tcBorders>
            <w:shd w:fill="auto" w:val="clear"/>
            <w:vAlign w:val="bottom"/>
          </w:tcPr>
          <w:p w14:paraId="D9080000">
            <w:pPr>
              <w:widowControl w:val="1"/>
              <w:ind/>
              <w:contextualSpacing w:val="1"/>
              <w:jc w:val="right"/>
            </w:pPr>
            <w:r>
              <w:t>-</w:t>
            </w:r>
          </w:p>
        </w:tc>
      </w:tr>
      <w:tr>
        <w:trPr>
          <w:trHeight w:hRule="atLeast" w:val="277"/>
        </w:trPr>
        <w:tc>
          <w:tcPr>
            <w:tcW w:type="dxa" w:w="4537"/>
            <w:tcBorders>
              <w:top w:color="000000" w:sz="4" w:val="single"/>
              <w:left w:color="000000" w:sz="4" w:val="single"/>
              <w:bottom w:color="000000" w:sz="4" w:val="single"/>
              <w:right w:color="000000" w:sz="4" w:val="single"/>
            </w:tcBorders>
            <w:shd w:fill="auto" w:val="clear"/>
            <w:vAlign w:val="bottom"/>
          </w:tcPr>
          <w:p w14:paraId="DA080000">
            <w:pPr>
              <w:widowControl w:val="1"/>
              <w:ind w:firstLine="34"/>
              <w:contextualSpacing w:val="1"/>
            </w:pPr>
            <w:r>
              <w:t>Денежные средства и денежные эквиваленты</w:t>
            </w:r>
          </w:p>
        </w:tc>
        <w:tc>
          <w:tcPr>
            <w:tcW w:type="dxa" w:w="1152"/>
            <w:tcBorders>
              <w:top w:color="000000" w:sz="4" w:val="single"/>
              <w:left w:color="000000" w:sz="4" w:val="single"/>
              <w:bottom w:color="000000" w:sz="4" w:val="single"/>
              <w:right w:color="000000" w:sz="4" w:val="single"/>
            </w:tcBorders>
            <w:shd w:fill="auto" w:val="clear"/>
            <w:vAlign w:val="center"/>
          </w:tcPr>
          <w:p w14:paraId="DB080000">
            <w:pPr>
              <w:widowControl w:val="1"/>
              <w:ind w:firstLine="34"/>
              <w:contextualSpacing w:val="1"/>
              <w:jc w:val="center"/>
            </w:pPr>
            <w:r>
              <w:t>1250</w:t>
            </w:r>
          </w:p>
        </w:tc>
        <w:tc>
          <w:tcPr>
            <w:tcW w:type="dxa" w:w="1541"/>
            <w:tcBorders>
              <w:top w:color="000000" w:sz="4" w:val="single"/>
              <w:left w:color="000000" w:sz="4" w:val="single"/>
              <w:bottom w:color="000000" w:sz="4" w:val="single"/>
              <w:right w:color="000000" w:sz="4" w:val="single"/>
            </w:tcBorders>
            <w:shd w:fill="auto" w:val="clear"/>
            <w:vAlign w:val="bottom"/>
          </w:tcPr>
          <w:p w14:paraId="DC080000">
            <w:pPr>
              <w:widowControl w:val="1"/>
              <w:ind/>
              <w:contextualSpacing w:val="1"/>
              <w:jc w:val="right"/>
            </w:pPr>
            <w:r>
              <w:t>65 177</w:t>
            </w:r>
          </w:p>
        </w:tc>
        <w:tc>
          <w:tcPr>
            <w:tcW w:type="dxa" w:w="1713"/>
            <w:tcBorders>
              <w:top w:color="000000" w:sz="4" w:val="single"/>
              <w:left w:color="000000" w:sz="4" w:val="single"/>
              <w:bottom w:color="000000" w:sz="4" w:val="single"/>
              <w:right w:color="000000" w:sz="4" w:val="single"/>
            </w:tcBorders>
            <w:shd w:fill="auto" w:val="clear"/>
            <w:vAlign w:val="bottom"/>
          </w:tcPr>
          <w:p w14:paraId="DD080000">
            <w:pPr>
              <w:widowControl w:val="1"/>
              <w:ind/>
              <w:contextualSpacing w:val="1"/>
              <w:jc w:val="right"/>
            </w:pPr>
            <w:r>
              <w:t>45 937</w:t>
            </w:r>
          </w:p>
        </w:tc>
        <w:tc>
          <w:tcPr>
            <w:tcW w:type="dxa" w:w="1156"/>
            <w:tcBorders>
              <w:top w:color="000000" w:sz="4" w:val="single"/>
              <w:left w:color="000000" w:sz="4" w:val="single"/>
              <w:bottom w:color="000000" w:sz="4" w:val="single"/>
              <w:right w:color="000000" w:sz="4" w:val="single"/>
            </w:tcBorders>
            <w:shd w:fill="auto" w:val="clear"/>
            <w:vAlign w:val="bottom"/>
          </w:tcPr>
          <w:p w14:paraId="DE080000">
            <w:pPr>
              <w:widowControl w:val="1"/>
              <w:ind/>
              <w:contextualSpacing w:val="1"/>
              <w:jc w:val="right"/>
            </w:pPr>
            <w:r>
              <w:t>60 617</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bottom"/>
          </w:tcPr>
          <w:p w14:paraId="DF080000">
            <w:pPr>
              <w:widowControl w:val="1"/>
              <w:ind w:firstLine="34"/>
              <w:contextualSpacing w:val="1"/>
            </w:pPr>
            <w:r>
              <w:t>Прочие оборотные активы</w:t>
            </w:r>
          </w:p>
        </w:tc>
        <w:tc>
          <w:tcPr>
            <w:tcW w:type="dxa" w:w="1152"/>
            <w:tcBorders>
              <w:top w:color="000000" w:sz="4" w:val="single"/>
              <w:left w:color="000000" w:sz="4" w:val="single"/>
              <w:bottom w:color="000000" w:sz="4" w:val="single"/>
              <w:right w:color="000000" w:sz="4" w:val="single"/>
            </w:tcBorders>
            <w:shd w:fill="auto" w:val="clear"/>
            <w:vAlign w:val="center"/>
          </w:tcPr>
          <w:p w14:paraId="E0080000">
            <w:pPr>
              <w:widowControl w:val="1"/>
              <w:ind w:firstLine="34"/>
              <w:contextualSpacing w:val="1"/>
              <w:jc w:val="center"/>
            </w:pPr>
            <w:r>
              <w:t>1260</w:t>
            </w:r>
          </w:p>
        </w:tc>
        <w:tc>
          <w:tcPr>
            <w:tcW w:type="dxa" w:w="1541"/>
            <w:tcBorders>
              <w:top w:color="000000" w:sz="4" w:val="single"/>
              <w:left w:color="000000" w:sz="4" w:val="single"/>
              <w:bottom w:color="000000" w:sz="4" w:val="single"/>
              <w:right w:color="000000" w:sz="4" w:val="single"/>
            </w:tcBorders>
            <w:shd w:fill="auto" w:val="clear"/>
            <w:vAlign w:val="bottom"/>
          </w:tcPr>
          <w:p w14:paraId="E1080000">
            <w:pPr>
              <w:widowControl w:val="1"/>
              <w:ind/>
              <w:contextualSpacing w:val="1"/>
              <w:jc w:val="right"/>
            </w:pPr>
            <w:r>
              <w:t>281</w:t>
            </w:r>
          </w:p>
        </w:tc>
        <w:tc>
          <w:tcPr>
            <w:tcW w:type="dxa" w:w="1713"/>
            <w:tcBorders>
              <w:top w:color="000000" w:sz="4" w:val="single"/>
              <w:left w:color="000000" w:sz="4" w:val="single"/>
              <w:bottom w:color="000000" w:sz="4" w:val="single"/>
              <w:right w:color="000000" w:sz="4" w:val="single"/>
            </w:tcBorders>
            <w:shd w:fill="auto" w:val="clear"/>
            <w:vAlign w:val="bottom"/>
          </w:tcPr>
          <w:p w14:paraId="E2080000">
            <w:pPr>
              <w:widowControl w:val="1"/>
              <w:ind/>
              <w:contextualSpacing w:val="1"/>
              <w:jc w:val="right"/>
            </w:pPr>
            <w:r>
              <w:t>292</w:t>
            </w:r>
          </w:p>
        </w:tc>
        <w:tc>
          <w:tcPr>
            <w:tcW w:type="dxa" w:w="1156"/>
            <w:tcBorders>
              <w:top w:color="000000" w:sz="4" w:val="single"/>
              <w:left w:color="000000" w:sz="4" w:val="single"/>
              <w:bottom w:color="000000" w:sz="4" w:val="single"/>
              <w:right w:color="000000" w:sz="4" w:val="single"/>
            </w:tcBorders>
            <w:shd w:fill="auto" w:val="clear"/>
            <w:vAlign w:val="bottom"/>
          </w:tcPr>
          <w:p w14:paraId="E3080000">
            <w:pPr>
              <w:widowControl w:val="1"/>
              <w:ind/>
              <w:contextualSpacing w:val="1"/>
              <w:jc w:val="right"/>
            </w:pPr>
            <w:r>
              <w:t>452</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E4080000">
            <w:pPr>
              <w:widowControl w:val="1"/>
              <w:ind w:firstLine="34"/>
              <w:contextualSpacing w:val="1"/>
            </w:pPr>
            <w:r>
              <w:t>Итого по разделу II</w:t>
            </w:r>
          </w:p>
        </w:tc>
        <w:tc>
          <w:tcPr>
            <w:tcW w:type="dxa" w:w="1152"/>
            <w:tcBorders>
              <w:top w:color="000000" w:sz="4" w:val="single"/>
              <w:left w:color="000000" w:sz="4" w:val="single"/>
              <w:bottom w:color="000000" w:sz="4" w:val="single"/>
              <w:right w:color="000000" w:sz="4" w:val="single"/>
            </w:tcBorders>
            <w:shd w:fill="auto" w:val="clear"/>
            <w:vAlign w:val="center"/>
          </w:tcPr>
          <w:p w14:paraId="E5080000">
            <w:pPr>
              <w:widowControl w:val="1"/>
              <w:ind w:firstLine="34"/>
              <w:contextualSpacing w:val="1"/>
              <w:jc w:val="center"/>
            </w:pPr>
            <w:r>
              <w:t>1200</w:t>
            </w:r>
          </w:p>
        </w:tc>
        <w:tc>
          <w:tcPr>
            <w:tcW w:type="dxa" w:w="1541"/>
            <w:tcBorders>
              <w:top w:color="000000" w:sz="4" w:val="single"/>
              <w:left w:color="000000" w:sz="4" w:val="single"/>
              <w:bottom w:color="000000" w:sz="4" w:val="single"/>
              <w:right w:color="000000" w:sz="4" w:val="single"/>
            </w:tcBorders>
            <w:shd w:fill="auto" w:val="clear"/>
            <w:vAlign w:val="bottom"/>
          </w:tcPr>
          <w:p w14:paraId="E6080000">
            <w:pPr>
              <w:widowControl w:val="1"/>
              <w:ind/>
              <w:contextualSpacing w:val="1"/>
              <w:jc w:val="right"/>
            </w:pPr>
            <w:r>
              <w:t>102 781</w:t>
            </w:r>
          </w:p>
        </w:tc>
        <w:tc>
          <w:tcPr>
            <w:tcW w:type="dxa" w:w="1713"/>
            <w:tcBorders>
              <w:top w:color="000000" w:sz="4" w:val="single"/>
              <w:left w:color="000000" w:sz="4" w:val="single"/>
              <w:bottom w:color="000000" w:sz="4" w:val="single"/>
              <w:right w:color="000000" w:sz="4" w:val="single"/>
            </w:tcBorders>
            <w:shd w:fill="auto" w:val="clear"/>
            <w:vAlign w:val="bottom"/>
          </w:tcPr>
          <w:p w14:paraId="E7080000">
            <w:pPr>
              <w:widowControl w:val="1"/>
              <w:ind/>
              <w:contextualSpacing w:val="1"/>
              <w:jc w:val="right"/>
            </w:pPr>
            <w:r>
              <w:t>115 024</w:t>
            </w:r>
          </w:p>
        </w:tc>
        <w:tc>
          <w:tcPr>
            <w:tcW w:type="dxa" w:w="1156"/>
            <w:tcBorders>
              <w:top w:color="000000" w:sz="4" w:val="single"/>
              <w:left w:color="000000" w:sz="4" w:val="single"/>
              <w:bottom w:color="000000" w:sz="4" w:val="single"/>
              <w:right w:color="000000" w:sz="4" w:val="single"/>
            </w:tcBorders>
            <w:shd w:fill="auto" w:val="clear"/>
            <w:vAlign w:val="bottom"/>
          </w:tcPr>
          <w:p w14:paraId="E8080000">
            <w:pPr>
              <w:widowControl w:val="1"/>
              <w:ind/>
              <w:contextualSpacing w:val="1"/>
              <w:jc w:val="right"/>
            </w:pPr>
            <w:r>
              <w:t>98 643</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E9080000">
            <w:pPr>
              <w:widowControl w:val="1"/>
              <w:ind w:firstLine="34"/>
              <w:contextualSpacing w:val="1"/>
              <w:rPr>
                <w:b w:val="1"/>
              </w:rPr>
            </w:pPr>
            <w:r>
              <w:rPr>
                <w:b w:val="1"/>
              </w:rPr>
              <w:t>БАЛАНС</w:t>
            </w:r>
          </w:p>
        </w:tc>
        <w:tc>
          <w:tcPr>
            <w:tcW w:type="dxa" w:w="1152"/>
            <w:tcBorders>
              <w:top w:color="000000" w:sz="4" w:val="single"/>
              <w:left w:color="000000" w:sz="4" w:val="single"/>
              <w:bottom w:color="000000" w:sz="4" w:val="single"/>
              <w:right w:color="000000" w:sz="4" w:val="single"/>
            </w:tcBorders>
            <w:shd w:fill="auto" w:val="clear"/>
            <w:vAlign w:val="center"/>
          </w:tcPr>
          <w:p w14:paraId="EA080000">
            <w:pPr>
              <w:widowControl w:val="1"/>
              <w:ind w:firstLine="34"/>
              <w:contextualSpacing w:val="1"/>
              <w:jc w:val="center"/>
            </w:pPr>
            <w:r>
              <w:t>1600</w:t>
            </w:r>
          </w:p>
        </w:tc>
        <w:tc>
          <w:tcPr>
            <w:tcW w:type="dxa" w:w="1541"/>
            <w:tcBorders>
              <w:top w:color="000000" w:sz="4" w:val="single"/>
              <w:left w:color="000000" w:sz="4" w:val="single"/>
              <w:bottom w:color="000000" w:sz="4" w:val="single"/>
              <w:right w:color="000000" w:sz="4" w:val="single"/>
            </w:tcBorders>
            <w:shd w:fill="auto" w:val="clear"/>
            <w:vAlign w:val="bottom"/>
          </w:tcPr>
          <w:p w14:paraId="EB080000">
            <w:pPr>
              <w:widowControl w:val="1"/>
              <w:ind/>
              <w:contextualSpacing w:val="1"/>
              <w:jc w:val="right"/>
              <w:rPr>
                <w:b w:val="1"/>
              </w:rPr>
            </w:pPr>
            <w:r>
              <w:rPr>
                <w:b w:val="1"/>
              </w:rPr>
              <w:t>1</w:t>
            </w:r>
            <w:r>
              <w:rPr>
                <w:b w:val="1"/>
              </w:rPr>
              <w:t>39 697</w:t>
            </w:r>
          </w:p>
        </w:tc>
        <w:tc>
          <w:tcPr>
            <w:tcW w:type="dxa" w:w="1713"/>
            <w:tcBorders>
              <w:top w:color="000000" w:sz="4" w:val="single"/>
              <w:left w:color="000000" w:sz="4" w:val="single"/>
              <w:bottom w:color="000000" w:sz="4" w:val="single"/>
              <w:right w:color="000000" w:sz="4" w:val="single"/>
            </w:tcBorders>
            <w:shd w:fill="auto" w:val="clear"/>
            <w:vAlign w:val="bottom"/>
          </w:tcPr>
          <w:p w14:paraId="EC080000">
            <w:pPr>
              <w:widowControl w:val="1"/>
              <w:ind/>
              <w:contextualSpacing w:val="1"/>
              <w:jc w:val="right"/>
              <w:rPr>
                <w:b w:val="1"/>
              </w:rPr>
            </w:pPr>
            <w:r>
              <w:rPr>
                <w:b w:val="1"/>
              </w:rPr>
              <w:t>159 215</w:t>
            </w:r>
          </w:p>
        </w:tc>
        <w:tc>
          <w:tcPr>
            <w:tcW w:type="dxa" w:w="1156"/>
            <w:tcBorders>
              <w:top w:color="000000" w:sz="4" w:val="single"/>
              <w:left w:color="000000" w:sz="4" w:val="single"/>
              <w:bottom w:color="000000" w:sz="4" w:val="single"/>
              <w:right w:color="000000" w:sz="4" w:val="single"/>
            </w:tcBorders>
            <w:shd w:fill="auto" w:val="clear"/>
            <w:vAlign w:val="bottom"/>
          </w:tcPr>
          <w:p w14:paraId="ED080000">
            <w:pPr>
              <w:widowControl w:val="1"/>
              <w:ind/>
              <w:contextualSpacing w:val="1"/>
              <w:jc w:val="right"/>
              <w:rPr>
                <w:b w:val="1"/>
              </w:rPr>
            </w:pPr>
            <w:r>
              <w:rPr>
                <w:b w:val="1"/>
              </w:rPr>
              <w:t>133 806</w:t>
            </w:r>
          </w:p>
        </w:tc>
      </w:tr>
      <w:tr>
        <w:trPr>
          <w:trHeight w:hRule="atLeast" w:val="375"/>
        </w:trPr>
        <w:tc>
          <w:tcPr>
            <w:tcW w:type="dxa" w:w="4537"/>
            <w:tcBorders>
              <w:top w:color="000000" w:sz="4" w:val="single"/>
              <w:left w:color="000000" w:sz="4" w:val="single"/>
              <w:bottom w:color="000000" w:sz="4" w:val="single"/>
              <w:right w:color="000000" w:sz="4" w:val="single"/>
            </w:tcBorders>
            <w:shd w:fill="auto" w:val="clear"/>
            <w:vAlign w:val="center"/>
          </w:tcPr>
          <w:p w14:paraId="EE080000">
            <w:pPr>
              <w:widowControl w:val="1"/>
              <w:ind w:firstLine="34"/>
              <w:contextualSpacing w:val="1"/>
              <w:jc w:val="center"/>
              <w:rPr>
                <w:b w:val="1"/>
              </w:rPr>
            </w:pPr>
            <w:r>
              <w:rPr>
                <w:b w:val="1"/>
              </w:rPr>
              <w:t>ПАССИВ</w:t>
            </w:r>
          </w:p>
        </w:tc>
        <w:tc>
          <w:tcPr>
            <w:tcW w:type="dxa" w:w="1152"/>
            <w:tcBorders>
              <w:top w:color="000000" w:sz="4" w:val="single"/>
              <w:left w:color="000000" w:sz="4" w:val="single"/>
              <w:bottom w:color="000000" w:sz="4" w:val="single"/>
              <w:right w:color="000000" w:sz="4" w:val="single"/>
            </w:tcBorders>
            <w:shd w:fill="auto" w:val="clear"/>
            <w:vAlign w:val="center"/>
          </w:tcPr>
          <w:p w14:paraId="EF080000">
            <w:pPr>
              <w:widowControl w:val="1"/>
              <w:ind w:firstLine="34"/>
              <w:contextualSpacing w:val="1"/>
              <w:jc w:val="center"/>
            </w:pPr>
            <w:r>
              <w:t> </w:t>
            </w:r>
          </w:p>
          <w:p w14:paraId="F0080000">
            <w:pPr>
              <w:widowControl w:val="1"/>
              <w:ind w:firstLine="34"/>
              <w:contextualSpacing w:val="1"/>
              <w:jc w:val="center"/>
            </w:pPr>
            <w:r>
              <w:t> </w:t>
            </w:r>
          </w:p>
        </w:tc>
        <w:tc>
          <w:tcPr>
            <w:tcW w:type="dxa" w:w="1541"/>
            <w:tcBorders>
              <w:top w:color="000000" w:sz="4" w:val="single"/>
              <w:left w:color="000000" w:sz="4" w:val="single"/>
              <w:bottom w:color="000000" w:sz="4" w:val="single"/>
              <w:right w:color="000000" w:sz="4" w:val="single"/>
            </w:tcBorders>
            <w:shd w:fill="auto" w:val="clear"/>
            <w:vAlign w:val="bottom"/>
          </w:tcPr>
          <w:p w14:paraId="F1080000">
            <w:pPr>
              <w:widowControl w:val="1"/>
              <w:ind/>
              <w:contextualSpacing w:val="1"/>
            </w:pPr>
            <w:r>
              <w:t> </w:t>
            </w:r>
          </w:p>
          <w:p w14:paraId="F2080000">
            <w:pPr>
              <w:widowControl w:val="1"/>
              <w:ind/>
              <w:contextualSpacing w:val="1"/>
            </w:pPr>
            <w:r>
              <w:t> </w:t>
            </w:r>
          </w:p>
        </w:tc>
        <w:tc>
          <w:tcPr>
            <w:tcW w:type="dxa" w:w="1713"/>
            <w:tcBorders>
              <w:top w:color="000000" w:sz="4" w:val="single"/>
              <w:left w:color="000000" w:sz="4" w:val="single"/>
              <w:bottom w:color="000000" w:sz="4" w:val="single"/>
              <w:right w:color="000000" w:sz="4" w:val="single"/>
            </w:tcBorders>
            <w:shd w:fill="auto" w:val="clear"/>
            <w:vAlign w:val="bottom"/>
          </w:tcPr>
          <w:p w14:paraId="F3080000">
            <w:pPr>
              <w:widowControl w:val="1"/>
              <w:ind/>
              <w:contextualSpacing w:val="1"/>
            </w:pPr>
            <w:r>
              <w:t> </w:t>
            </w:r>
          </w:p>
          <w:p w14:paraId="F4080000">
            <w:pPr>
              <w:widowControl w:val="1"/>
              <w:ind/>
              <w:contextualSpacing w:val="1"/>
            </w:pPr>
            <w:r>
              <w:t>  </w:t>
            </w:r>
          </w:p>
        </w:tc>
        <w:tc>
          <w:tcPr>
            <w:tcW w:type="dxa" w:w="1156"/>
            <w:tcBorders>
              <w:top w:color="000000" w:sz="4" w:val="single"/>
              <w:left w:color="000000" w:sz="4" w:val="single"/>
              <w:bottom w:color="000000" w:sz="4" w:val="single"/>
              <w:right w:color="000000" w:sz="4" w:val="single"/>
            </w:tcBorders>
            <w:shd w:fill="auto" w:val="clear"/>
            <w:vAlign w:val="bottom"/>
          </w:tcPr>
          <w:p w14:paraId="F5080000">
            <w:pPr>
              <w:widowControl w:val="1"/>
              <w:ind/>
              <w:contextualSpacing w:val="1"/>
            </w:pPr>
            <w:r>
              <w:t> </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F6080000">
            <w:pPr>
              <w:widowControl w:val="1"/>
              <w:ind w:firstLine="34"/>
              <w:contextualSpacing w:val="1"/>
              <w:jc w:val="center"/>
              <w:rPr>
                <w:b w:val="1"/>
              </w:rPr>
            </w:pPr>
            <w:r>
              <w:rPr>
                <w:b w:val="1"/>
              </w:rPr>
              <w:t>III. КАПИТАЛ И РЕЗЕРВЫ</w:t>
            </w:r>
          </w:p>
        </w:tc>
        <w:tc>
          <w:tcPr>
            <w:tcW w:type="dxa" w:w="1152"/>
            <w:tcBorders>
              <w:top w:color="000000" w:sz="4" w:val="single"/>
              <w:left w:color="000000" w:sz="4" w:val="single"/>
              <w:bottom w:color="000000" w:sz="4" w:val="single"/>
              <w:right w:color="000000" w:sz="4" w:val="single"/>
            </w:tcBorders>
            <w:shd w:fill="auto" w:val="clear"/>
            <w:vAlign w:val="center"/>
          </w:tcPr>
          <w:p w14:paraId="F7080000">
            <w:pPr>
              <w:widowControl w:val="1"/>
              <w:ind w:firstLine="34"/>
              <w:contextualSpacing w:val="1"/>
              <w:jc w:val="center"/>
            </w:pPr>
            <w:r>
              <w:t> </w:t>
            </w:r>
          </w:p>
          <w:p w14:paraId="F8080000">
            <w:pPr>
              <w:widowControl w:val="1"/>
              <w:ind w:firstLine="34"/>
              <w:contextualSpacing w:val="1"/>
              <w:jc w:val="center"/>
            </w:pPr>
            <w:r>
              <w:t> </w:t>
            </w:r>
          </w:p>
        </w:tc>
        <w:tc>
          <w:tcPr>
            <w:tcW w:type="dxa" w:w="1541"/>
            <w:tcBorders>
              <w:top w:color="000000" w:sz="4" w:val="single"/>
              <w:left w:color="000000" w:sz="4" w:val="single"/>
              <w:bottom w:color="000000" w:sz="4" w:val="single"/>
              <w:right w:color="000000" w:sz="4" w:val="single"/>
            </w:tcBorders>
            <w:shd w:fill="auto" w:val="clear"/>
            <w:vAlign w:val="bottom"/>
          </w:tcPr>
          <w:p w14:paraId="F9080000">
            <w:pPr>
              <w:widowControl w:val="1"/>
              <w:ind/>
              <w:contextualSpacing w:val="1"/>
            </w:pPr>
            <w:r>
              <w:t> </w:t>
            </w:r>
          </w:p>
          <w:p w14:paraId="FA080000">
            <w:pPr>
              <w:widowControl w:val="1"/>
              <w:ind/>
              <w:contextualSpacing w:val="1"/>
            </w:pPr>
            <w:r>
              <w:t> </w:t>
            </w:r>
          </w:p>
        </w:tc>
        <w:tc>
          <w:tcPr>
            <w:tcW w:type="dxa" w:w="1713"/>
            <w:tcBorders>
              <w:top w:color="000000" w:sz="4" w:val="single"/>
              <w:left w:color="000000" w:sz="4" w:val="single"/>
              <w:bottom w:color="000000" w:sz="4" w:val="single"/>
              <w:right w:color="000000" w:sz="4" w:val="single"/>
            </w:tcBorders>
            <w:shd w:fill="auto" w:val="clear"/>
            <w:vAlign w:val="bottom"/>
          </w:tcPr>
          <w:p w14:paraId="FB080000">
            <w:pPr>
              <w:widowControl w:val="1"/>
              <w:ind/>
              <w:contextualSpacing w:val="1"/>
            </w:pPr>
            <w:r>
              <w:t> </w:t>
            </w:r>
          </w:p>
          <w:p w14:paraId="FC080000">
            <w:pPr>
              <w:widowControl w:val="1"/>
              <w:ind/>
              <w:contextualSpacing w:val="1"/>
            </w:pPr>
            <w:r>
              <w:t> </w:t>
            </w:r>
          </w:p>
        </w:tc>
        <w:tc>
          <w:tcPr>
            <w:tcW w:type="dxa" w:w="1156"/>
            <w:tcBorders>
              <w:top w:color="000000" w:sz="4" w:val="single"/>
              <w:left w:color="000000" w:sz="4" w:val="single"/>
              <w:bottom w:color="000000" w:sz="4" w:val="single"/>
              <w:right w:color="000000" w:sz="4" w:val="single"/>
            </w:tcBorders>
            <w:shd w:fill="auto" w:val="clear"/>
            <w:vAlign w:val="bottom"/>
          </w:tcPr>
          <w:p w14:paraId="FD080000">
            <w:pPr>
              <w:widowControl w:val="1"/>
              <w:ind/>
              <w:contextualSpacing w:val="1"/>
            </w:pPr>
            <w:r>
              <w:t> </w:t>
            </w:r>
          </w:p>
        </w:tc>
      </w:tr>
      <w:tr>
        <w:trPr>
          <w:trHeight w:hRule="atLeast" w:val="495"/>
        </w:trPr>
        <w:tc>
          <w:tcPr>
            <w:tcW w:type="dxa" w:w="4537"/>
            <w:tcBorders>
              <w:top w:color="000000" w:sz="4" w:val="single"/>
              <w:left w:color="000000" w:sz="4" w:val="single"/>
              <w:bottom w:color="000000" w:sz="4" w:val="single"/>
              <w:right w:color="000000" w:sz="4" w:val="single"/>
            </w:tcBorders>
            <w:shd w:fill="auto" w:val="clear"/>
            <w:vAlign w:val="center"/>
          </w:tcPr>
          <w:p w14:paraId="FE080000">
            <w:pPr>
              <w:widowControl w:val="1"/>
              <w:ind w:firstLine="34"/>
              <w:contextualSpacing w:val="1"/>
            </w:pPr>
            <w:r>
              <w:t>Уставный капитал (складочный капитал, уставный фонд, вклады товарищей)</w:t>
            </w:r>
          </w:p>
        </w:tc>
        <w:tc>
          <w:tcPr>
            <w:tcW w:type="dxa" w:w="1152"/>
            <w:tcBorders>
              <w:top w:color="000000" w:sz="4" w:val="single"/>
              <w:left w:color="000000" w:sz="4" w:val="single"/>
              <w:bottom w:color="000000" w:sz="4" w:val="single"/>
              <w:right w:color="000000" w:sz="4" w:val="single"/>
            </w:tcBorders>
            <w:shd w:fill="auto" w:val="clear"/>
            <w:vAlign w:val="center"/>
          </w:tcPr>
          <w:p w14:paraId="FF080000">
            <w:pPr>
              <w:widowControl w:val="1"/>
              <w:ind w:firstLine="34"/>
              <w:contextualSpacing w:val="1"/>
              <w:jc w:val="center"/>
            </w:pPr>
            <w:r>
              <w:t>1310</w:t>
            </w:r>
          </w:p>
        </w:tc>
        <w:tc>
          <w:tcPr>
            <w:tcW w:type="dxa" w:w="1541"/>
            <w:tcBorders>
              <w:top w:color="000000" w:sz="4" w:val="single"/>
              <w:left w:color="000000" w:sz="4" w:val="single"/>
              <w:bottom w:color="000000" w:sz="4" w:val="single"/>
              <w:right w:color="000000" w:sz="4" w:val="single"/>
            </w:tcBorders>
            <w:shd w:fill="auto" w:val="clear"/>
            <w:vAlign w:val="bottom"/>
          </w:tcPr>
          <w:p w14:paraId="00090000">
            <w:pPr>
              <w:widowControl w:val="1"/>
              <w:ind/>
              <w:contextualSpacing w:val="1"/>
              <w:jc w:val="right"/>
            </w:pPr>
            <w:r>
              <w:t>100</w:t>
            </w:r>
          </w:p>
        </w:tc>
        <w:tc>
          <w:tcPr>
            <w:tcW w:type="dxa" w:w="1713"/>
            <w:tcBorders>
              <w:top w:color="000000" w:sz="4" w:val="single"/>
              <w:left w:color="000000" w:sz="4" w:val="single"/>
              <w:bottom w:color="000000" w:sz="4" w:val="single"/>
              <w:right w:color="000000" w:sz="4" w:val="single"/>
            </w:tcBorders>
            <w:shd w:fill="auto" w:val="clear"/>
            <w:vAlign w:val="bottom"/>
          </w:tcPr>
          <w:p w14:paraId="01090000">
            <w:pPr>
              <w:widowControl w:val="1"/>
              <w:ind/>
              <w:contextualSpacing w:val="1"/>
              <w:jc w:val="right"/>
            </w:pPr>
            <w:r>
              <w:t>100</w:t>
            </w:r>
          </w:p>
        </w:tc>
        <w:tc>
          <w:tcPr>
            <w:tcW w:type="dxa" w:w="1156"/>
            <w:tcBorders>
              <w:top w:color="000000" w:sz="4" w:val="single"/>
              <w:left w:color="000000" w:sz="4" w:val="single"/>
              <w:bottom w:color="000000" w:sz="4" w:val="single"/>
              <w:right w:color="000000" w:sz="4" w:val="single"/>
            </w:tcBorders>
            <w:shd w:fill="auto" w:val="clear"/>
            <w:vAlign w:val="bottom"/>
          </w:tcPr>
          <w:p w14:paraId="02090000">
            <w:pPr>
              <w:widowControl w:val="1"/>
              <w:ind/>
              <w:contextualSpacing w:val="1"/>
              <w:jc w:val="right"/>
            </w:pPr>
            <w:r>
              <w:t>100</w:t>
            </w:r>
          </w:p>
        </w:tc>
      </w:tr>
      <w:tr>
        <w:trPr>
          <w:trHeight w:hRule="atLeast" w:val="289"/>
        </w:trPr>
        <w:tc>
          <w:tcPr>
            <w:tcW w:type="dxa" w:w="4537"/>
            <w:tcBorders>
              <w:top w:color="000000" w:sz="4" w:val="single"/>
              <w:left w:color="000000" w:sz="4" w:val="single"/>
              <w:bottom w:color="000000" w:sz="4" w:val="single"/>
              <w:right w:color="000000" w:sz="4" w:val="single"/>
            </w:tcBorders>
            <w:shd w:fill="auto" w:val="clear"/>
            <w:vAlign w:val="center"/>
          </w:tcPr>
          <w:p w14:paraId="03090000">
            <w:pPr>
              <w:widowControl w:val="1"/>
              <w:ind w:firstLine="34"/>
              <w:contextualSpacing w:val="1"/>
            </w:pPr>
            <w:r>
              <w:t>Собственные акции, выкупленные у акционеров</w:t>
            </w:r>
          </w:p>
        </w:tc>
        <w:tc>
          <w:tcPr>
            <w:tcW w:type="dxa" w:w="1152"/>
            <w:tcBorders>
              <w:top w:color="000000" w:sz="4" w:val="single"/>
              <w:left w:color="000000" w:sz="4" w:val="single"/>
              <w:bottom w:color="000000" w:sz="4" w:val="single"/>
              <w:right w:color="000000" w:sz="4" w:val="single"/>
            </w:tcBorders>
            <w:shd w:fill="auto" w:val="clear"/>
            <w:vAlign w:val="center"/>
          </w:tcPr>
          <w:p w14:paraId="04090000">
            <w:pPr>
              <w:widowControl w:val="1"/>
              <w:ind w:firstLine="34"/>
              <w:contextualSpacing w:val="1"/>
              <w:jc w:val="center"/>
            </w:pPr>
            <w:r>
              <w:t>1320</w:t>
            </w:r>
          </w:p>
        </w:tc>
        <w:tc>
          <w:tcPr>
            <w:tcW w:type="dxa" w:w="1541"/>
            <w:tcBorders>
              <w:top w:color="000000" w:sz="4" w:val="single"/>
              <w:left w:color="000000" w:sz="4" w:val="single"/>
              <w:bottom w:color="000000" w:sz="4" w:val="single"/>
              <w:right w:color="000000" w:sz="4" w:val="single"/>
            </w:tcBorders>
            <w:shd w:fill="auto" w:val="clear"/>
            <w:vAlign w:val="bottom"/>
          </w:tcPr>
          <w:p w14:paraId="05090000">
            <w:pPr>
              <w:widowControl w:val="1"/>
              <w:ind/>
              <w:contextualSpacing w:val="1"/>
              <w:jc w:val="right"/>
            </w:pPr>
            <w:r>
              <w:t>-</w:t>
            </w:r>
          </w:p>
        </w:tc>
        <w:tc>
          <w:tcPr>
            <w:tcW w:type="dxa" w:w="1713"/>
            <w:tcBorders>
              <w:top w:color="000000" w:sz="4" w:val="single"/>
              <w:left w:color="000000" w:sz="4" w:val="single"/>
              <w:bottom w:color="000000" w:sz="4" w:val="single"/>
              <w:right w:color="000000" w:sz="4" w:val="single"/>
            </w:tcBorders>
            <w:shd w:fill="auto" w:val="clear"/>
            <w:vAlign w:val="bottom"/>
          </w:tcPr>
          <w:p w14:paraId="06090000">
            <w:pPr>
              <w:widowControl w:val="1"/>
              <w:ind/>
              <w:contextualSpacing w:val="1"/>
              <w:jc w:val="right"/>
            </w:pPr>
            <w:r>
              <w:t>-</w:t>
            </w:r>
          </w:p>
        </w:tc>
        <w:tc>
          <w:tcPr>
            <w:tcW w:type="dxa" w:w="1156"/>
            <w:tcBorders>
              <w:top w:color="000000" w:sz="4" w:val="single"/>
              <w:left w:color="000000" w:sz="4" w:val="single"/>
              <w:bottom w:color="000000" w:sz="4" w:val="single"/>
              <w:right w:color="000000" w:sz="4" w:val="single"/>
            </w:tcBorders>
            <w:shd w:fill="auto" w:val="clear"/>
            <w:vAlign w:val="bottom"/>
          </w:tcPr>
          <w:p w14:paraId="07090000">
            <w:pPr>
              <w:widowControl w:val="1"/>
              <w:ind/>
              <w:contextualSpacing w:val="1"/>
              <w:jc w:val="right"/>
            </w:pPr>
            <w:r>
              <w:t>-</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08090000">
            <w:pPr>
              <w:widowControl w:val="1"/>
              <w:ind w:firstLine="34"/>
              <w:contextualSpacing w:val="1"/>
            </w:pPr>
            <w:r>
              <w:t>Переоценка внеоборотных активов</w:t>
            </w:r>
          </w:p>
        </w:tc>
        <w:tc>
          <w:tcPr>
            <w:tcW w:type="dxa" w:w="1152"/>
            <w:tcBorders>
              <w:top w:color="000000" w:sz="4" w:val="single"/>
              <w:left w:color="000000" w:sz="4" w:val="single"/>
              <w:bottom w:color="000000" w:sz="4" w:val="single"/>
              <w:right w:color="000000" w:sz="4" w:val="single"/>
            </w:tcBorders>
            <w:shd w:fill="auto" w:val="clear"/>
            <w:vAlign w:val="center"/>
          </w:tcPr>
          <w:p w14:paraId="09090000">
            <w:pPr>
              <w:widowControl w:val="1"/>
              <w:ind w:firstLine="34"/>
              <w:contextualSpacing w:val="1"/>
              <w:jc w:val="center"/>
            </w:pPr>
            <w:r>
              <w:t>1340</w:t>
            </w:r>
          </w:p>
        </w:tc>
        <w:tc>
          <w:tcPr>
            <w:tcW w:type="dxa" w:w="1541"/>
            <w:tcBorders>
              <w:top w:color="000000" w:sz="4" w:val="single"/>
              <w:left w:color="000000" w:sz="4" w:val="single"/>
              <w:bottom w:color="000000" w:sz="4" w:val="single"/>
              <w:right w:color="000000" w:sz="4" w:val="single"/>
            </w:tcBorders>
            <w:shd w:fill="auto" w:val="clear"/>
            <w:vAlign w:val="bottom"/>
          </w:tcPr>
          <w:p w14:paraId="0A090000">
            <w:pPr>
              <w:widowControl w:val="1"/>
              <w:ind/>
              <w:contextualSpacing w:val="1"/>
              <w:jc w:val="right"/>
            </w:pPr>
            <w:r>
              <w:t>-</w:t>
            </w:r>
          </w:p>
        </w:tc>
        <w:tc>
          <w:tcPr>
            <w:tcW w:type="dxa" w:w="1713"/>
            <w:tcBorders>
              <w:top w:color="000000" w:sz="4" w:val="single"/>
              <w:left w:color="000000" w:sz="4" w:val="single"/>
              <w:bottom w:color="000000" w:sz="4" w:val="single"/>
              <w:right w:color="000000" w:sz="4" w:val="single"/>
            </w:tcBorders>
            <w:shd w:fill="auto" w:val="clear"/>
            <w:vAlign w:val="bottom"/>
          </w:tcPr>
          <w:p w14:paraId="0B090000">
            <w:pPr>
              <w:widowControl w:val="1"/>
              <w:ind/>
              <w:contextualSpacing w:val="1"/>
              <w:jc w:val="right"/>
            </w:pPr>
            <w:r>
              <w:t>-</w:t>
            </w:r>
          </w:p>
        </w:tc>
        <w:tc>
          <w:tcPr>
            <w:tcW w:type="dxa" w:w="1156"/>
            <w:tcBorders>
              <w:top w:color="000000" w:sz="4" w:val="single"/>
              <w:left w:color="000000" w:sz="4" w:val="single"/>
              <w:bottom w:color="000000" w:sz="4" w:val="single"/>
              <w:right w:color="000000" w:sz="4" w:val="single"/>
            </w:tcBorders>
            <w:shd w:fill="auto" w:val="clear"/>
            <w:vAlign w:val="bottom"/>
          </w:tcPr>
          <w:p w14:paraId="0C090000">
            <w:pPr>
              <w:widowControl w:val="1"/>
              <w:ind/>
              <w:contextualSpacing w:val="1"/>
              <w:jc w:val="right"/>
            </w:pPr>
            <w:r>
              <w:t>-</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0D090000">
            <w:pPr>
              <w:widowControl w:val="1"/>
              <w:ind w:firstLine="34"/>
              <w:contextualSpacing w:val="1"/>
            </w:pPr>
            <w:r>
              <w:t>Добавочный капитал (без переоценки)</w:t>
            </w:r>
          </w:p>
        </w:tc>
        <w:tc>
          <w:tcPr>
            <w:tcW w:type="dxa" w:w="1152"/>
            <w:tcBorders>
              <w:top w:color="000000" w:sz="4" w:val="single"/>
              <w:left w:color="000000" w:sz="4" w:val="single"/>
              <w:bottom w:color="000000" w:sz="4" w:val="single"/>
              <w:right w:color="000000" w:sz="4" w:val="single"/>
            </w:tcBorders>
            <w:shd w:fill="auto" w:val="clear"/>
            <w:vAlign w:val="center"/>
          </w:tcPr>
          <w:p w14:paraId="0E090000">
            <w:pPr>
              <w:widowControl w:val="1"/>
              <w:ind w:firstLine="34"/>
              <w:contextualSpacing w:val="1"/>
              <w:jc w:val="center"/>
            </w:pPr>
            <w:r>
              <w:t>1350</w:t>
            </w:r>
          </w:p>
        </w:tc>
        <w:tc>
          <w:tcPr>
            <w:tcW w:type="dxa" w:w="1541"/>
            <w:tcBorders>
              <w:top w:color="000000" w:sz="4" w:val="single"/>
              <w:left w:color="000000" w:sz="4" w:val="single"/>
              <w:bottom w:color="000000" w:sz="4" w:val="single"/>
              <w:right w:color="000000" w:sz="4" w:val="single"/>
            </w:tcBorders>
            <w:shd w:fill="auto" w:val="clear"/>
            <w:vAlign w:val="bottom"/>
          </w:tcPr>
          <w:p w14:paraId="0F090000">
            <w:pPr>
              <w:widowControl w:val="1"/>
              <w:ind/>
              <w:contextualSpacing w:val="1"/>
              <w:jc w:val="right"/>
            </w:pPr>
            <w:r>
              <w:t>-</w:t>
            </w:r>
          </w:p>
        </w:tc>
        <w:tc>
          <w:tcPr>
            <w:tcW w:type="dxa" w:w="1713"/>
            <w:tcBorders>
              <w:top w:color="000000" w:sz="4" w:val="single"/>
              <w:left w:color="000000" w:sz="4" w:val="single"/>
              <w:bottom w:color="000000" w:sz="4" w:val="single"/>
              <w:right w:color="000000" w:sz="4" w:val="single"/>
            </w:tcBorders>
            <w:shd w:fill="auto" w:val="clear"/>
            <w:vAlign w:val="bottom"/>
          </w:tcPr>
          <w:p w14:paraId="10090000">
            <w:pPr>
              <w:widowControl w:val="1"/>
              <w:ind/>
              <w:contextualSpacing w:val="1"/>
              <w:jc w:val="right"/>
            </w:pPr>
            <w:r>
              <w:t>-</w:t>
            </w:r>
          </w:p>
        </w:tc>
        <w:tc>
          <w:tcPr>
            <w:tcW w:type="dxa" w:w="1156"/>
            <w:tcBorders>
              <w:top w:color="000000" w:sz="4" w:val="single"/>
              <w:left w:color="000000" w:sz="4" w:val="single"/>
              <w:bottom w:color="000000" w:sz="4" w:val="single"/>
              <w:right w:color="000000" w:sz="4" w:val="single"/>
            </w:tcBorders>
            <w:shd w:fill="auto" w:val="clear"/>
            <w:vAlign w:val="bottom"/>
          </w:tcPr>
          <w:p w14:paraId="11090000">
            <w:pPr>
              <w:widowControl w:val="1"/>
              <w:ind/>
              <w:contextualSpacing w:val="1"/>
              <w:jc w:val="right"/>
            </w:pPr>
            <w:r>
              <w:t>-</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12090000">
            <w:pPr>
              <w:widowControl w:val="1"/>
              <w:ind w:firstLine="34"/>
              <w:contextualSpacing w:val="1"/>
            </w:pPr>
            <w:r>
              <w:t>Резервный капитал</w:t>
            </w:r>
          </w:p>
        </w:tc>
        <w:tc>
          <w:tcPr>
            <w:tcW w:type="dxa" w:w="1152"/>
            <w:tcBorders>
              <w:top w:color="000000" w:sz="4" w:val="single"/>
              <w:left w:color="000000" w:sz="4" w:val="single"/>
              <w:bottom w:color="000000" w:sz="4" w:val="single"/>
              <w:right w:color="000000" w:sz="4" w:val="single"/>
            </w:tcBorders>
            <w:shd w:fill="auto" w:val="clear"/>
            <w:vAlign w:val="center"/>
          </w:tcPr>
          <w:p w14:paraId="13090000">
            <w:pPr>
              <w:widowControl w:val="1"/>
              <w:ind w:firstLine="34"/>
              <w:contextualSpacing w:val="1"/>
              <w:jc w:val="center"/>
            </w:pPr>
            <w:r>
              <w:t>1360</w:t>
            </w:r>
          </w:p>
        </w:tc>
        <w:tc>
          <w:tcPr>
            <w:tcW w:type="dxa" w:w="1541"/>
            <w:tcBorders>
              <w:top w:color="000000" w:sz="4" w:val="single"/>
              <w:left w:color="000000" w:sz="4" w:val="single"/>
              <w:bottom w:color="000000" w:sz="4" w:val="single"/>
              <w:right w:color="000000" w:sz="4" w:val="single"/>
            </w:tcBorders>
            <w:shd w:fill="auto" w:val="clear"/>
            <w:vAlign w:val="bottom"/>
          </w:tcPr>
          <w:p w14:paraId="14090000">
            <w:pPr>
              <w:widowControl w:val="1"/>
              <w:ind/>
              <w:contextualSpacing w:val="1"/>
              <w:jc w:val="right"/>
            </w:pPr>
            <w:r>
              <w:t>5</w:t>
            </w:r>
          </w:p>
        </w:tc>
        <w:tc>
          <w:tcPr>
            <w:tcW w:type="dxa" w:w="1713"/>
            <w:tcBorders>
              <w:top w:color="000000" w:sz="4" w:val="single"/>
              <w:left w:color="000000" w:sz="4" w:val="single"/>
              <w:bottom w:color="000000" w:sz="4" w:val="single"/>
              <w:right w:color="000000" w:sz="4" w:val="single"/>
            </w:tcBorders>
            <w:shd w:fill="auto" w:val="clear"/>
            <w:vAlign w:val="bottom"/>
          </w:tcPr>
          <w:p w14:paraId="15090000">
            <w:pPr>
              <w:widowControl w:val="1"/>
              <w:ind/>
              <w:contextualSpacing w:val="1"/>
              <w:jc w:val="right"/>
            </w:pPr>
            <w:r>
              <w:t>5</w:t>
            </w:r>
          </w:p>
        </w:tc>
        <w:tc>
          <w:tcPr>
            <w:tcW w:type="dxa" w:w="1156"/>
            <w:tcBorders>
              <w:top w:color="000000" w:sz="4" w:val="single"/>
              <w:left w:color="000000" w:sz="4" w:val="single"/>
              <w:bottom w:color="000000" w:sz="4" w:val="single"/>
              <w:right w:color="000000" w:sz="4" w:val="single"/>
            </w:tcBorders>
            <w:shd w:fill="auto" w:val="clear"/>
            <w:vAlign w:val="bottom"/>
          </w:tcPr>
          <w:p w14:paraId="16090000">
            <w:pPr>
              <w:widowControl w:val="1"/>
              <w:ind/>
              <w:contextualSpacing w:val="1"/>
              <w:jc w:val="right"/>
            </w:pPr>
            <w:r>
              <w:t>5</w:t>
            </w:r>
          </w:p>
        </w:tc>
      </w:tr>
      <w:tr>
        <w:trPr>
          <w:trHeight w:hRule="atLeast" w:val="495"/>
        </w:trPr>
        <w:tc>
          <w:tcPr>
            <w:tcW w:type="dxa" w:w="4537"/>
            <w:tcBorders>
              <w:top w:color="000000" w:sz="4" w:val="single"/>
              <w:left w:color="000000" w:sz="4" w:val="single"/>
              <w:bottom w:color="000000" w:sz="4" w:val="single"/>
              <w:right w:color="000000" w:sz="4" w:val="single"/>
            </w:tcBorders>
            <w:shd w:fill="auto" w:val="clear"/>
            <w:vAlign w:val="center"/>
          </w:tcPr>
          <w:p w14:paraId="17090000">
            <w:pPr>
              <w:widowControl w:val="1"/>
              <w:ind w:firstLine="34"/>
              <w:contextualSpacing w:val="1"/>
            </w:pPr>
            <w:r>
              <w:t>Нераспределенная прибыль (непокрытый убыток)</w:t>
            </w:r>
          </w:p>
        </w:tc>
        <w:tc>
          <w:tcPr>
            <w:tcW w:type="dxa" w:w="1152"/>
            <w:tcBorders>
              <w:top w:color="000000" w:sz="4" w:val="single"/>
              <w:left w:color="000000" w:sz="4" w:val="single"/>
              <w:bottom w:color="000000" w:sz="4" w:val="single"/>
              <w:right w:color="000000" w:sz="4" w:val="single"/>
            </w:tcBorders>
            <w:shd w:fill="auto" w:val="clear"/>
            <w:vAlign w:val="center"/>
          </w:tcPr>
          <w:p w14:paraId="18090000">
            <w:pPr>
              <w:widowControl w:val="1"/>
              <w:ind w:firstLine="34"/>
              <w:contextualSpacing w:val="1"/>
              <w:jc w:val="center"/>
            </w:pPr>
            <w:r>
              <w:t>1370</w:t>
            </w:r>
          </w:p>
        </w:tc>
        <w:tc>
          <w:tcPr>
            <w:tcW w:type="dxa" w:w="1541"/>
            <w:tcBorders>
              <w:top w:color="000000" w:sz="4" w:val="single"/>
              <w:left w:color="000000" w:sz="4" w:val="single"/>
              <w:bottom w:color="000000" w:sz="4" w:val="single"/>
              <w:right w:color="000000" w:sz="4" w:val="single"/>
            </w:tcBorders>
            <w:shd w:fill="auto" w:val="clear"/>
            <w:vAlign w:val="bottom"/>
          </w:tcPr>
          <w:p w14:paraId="19090000">
            <w:pPr>
              <w:widowControl w:val="1"/>
              <w:ind/>
              <w:contextualSpacing w:val="1"/>
              <w:jc w:val="right"/>
            </w:pPr>
            <w:r>
              <w:t>(143 636)</w:t>
            </w:r>
          </w:p>
        </w:tc>
        <w:tc>
          <w:tcPr>
            <w:tcW w:type="dxa" w:w="1713"/>
            <w:tcBorders>
              <w:top w:color="000000" w:sz="4" w:val="single"/>
              <w:left w:color="000000" w:sz="4" w:val="single"/>
              <w:bottom w:color="000000" w:sz="4" w:val="single"/>
              <w:right w:color="000000" w:sz="4" w:val="single"/>
            </w:tcBorders>
            <w:shd w:fill="auto" w:val="clear"/>
            <w:vAlign w:val="bottom"/>
          </w:tcPr>
          <w:p w14:paraId="1A090000">
            <w:pPr>
              <w:widowControl w:val="1"/>
              <w:ind/>
              <w:contextualSpacing w:val="1"/>
              <w:jc w:val="right"/>
            </w:pPr>
            <w:r>
              <w:t>(143 938)</w:t>
            </w:r>
          </w:p>
        </w:tc>
        <w:tc>
          <w:tcPr>
            <w:tcW w:type="dxa" w:w="1156"/>
            <w:tcBorders>
              <w:top w:color="000000" w:sz="4" w:val="single"/>
              <w:left w:color="000000" w:sz="4" w:val="single"/>
              <w:bottom w:color="000000" w:sz="4" w:val="single"/>
              <w:right w:color="000000" w:sz="4" w:val="single"/>
            </w:tcBorders>
            <w:shd w:fill="auto" w:val="clear"/>
            <w:vAlign w:val="bottom"/>
          </w:tcPr>
          <w:p w14:paraId="1B090000">
            <w:pPr>
              <w:widowControl w:val="1"/>
              <w:ind/>
              <w:contextualSpacing w:val="1"/>
              <w:jc w:val="right"/>
            </w:pPr>
            <w:r>
              <w:t>(155 590)</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1C090000">
            <w:pPr>
              <w:widowControl w:val="1"/>
              <w:ind w:firstLine="34"/>
              <w:contextualSpacing w:val="1"/>
            </w:pPr>
            <w:r>
              <w:t>Итого по разделу III</w:t>
            </w:r>
          </w:p>
        </w:tc>
        <w:tc>
          <w:tcPr>
            <w:tcW w:type="dxa" w:w="1152"/>
            <w:tcBorders>
              <w:top w:color="000000" w:sz="4" w:val="single"/>
              <w:left w:color="000000" w:sz="4" w:val="single"/>
              <w:bottom w:color="000000" w:sz="4" w:val="single"/>
              <w:right w:color="000000" w:sz="4" w:val="single"/>
            </w:tcBorders>
            <w:shd w:fill="auto" w:val="clear"/>
            <w:vAlign w:val="center"/>
          </w:tcPr>
          <w:p w14:paraId="1D090000">
            <w:pPr>
              <w:widowControl w:val="1"/>
              <w:ind w:firstLine="34"/>
              <w:contextualSpacing w:val="1"/>
              <w:jc w:val="center"/>
            </w:pPr>
            <w:r>
              <w:t>1300</w:t>
            </w:r>
          </w:p>
        </w:tc>
        <w:tc>
          <w:tcPr>
            <w:tcW w:type="dxa" w:w="1541"/>
            <w:tcBorders>
              <w:top w:color="000000" w:sz="4" w:val="single"/>
              <w:left w:color="000000" w:sz="4" w:val="single"/>
              <w:bottom w:color="000000" w:sz="4" w:val="single"/>
              <w:right w:color="000000" w:sz="4" w:val="single"/>
            </w:tcBorders>
            <w:shd w:fill="auto" w:val="clear"/>
            <w:vAlign w:val="bottom"/>
          </w:tcPr>
          <w:p w14:paraId="1E090000">
            <w:pPr>
              <w:widowControl w:val="1"/>
              <w:ind/>
              <w:contextualSpacing w:val="1"/>
              <w:jc w:val="right"/>
            </w:pPr>
            <w:r>
              <w:t>(143 531)</w:t>
            </w:r>
          </w:p>
        </w:tc>
        <w:tc>
          <w:tcPr>
            <w:tcW w:type="dxa" w:w="1713"/>
            <w:tcBorders>
              <w:top w:color="000000" w:sz="4" w:val="single"/>
              <w:left w:color="000000" w:sz="4" w:val="single"/>
              <w:bottom w:color="000000" w:sz="4" w:val="single"/>
              <w:right w:color="000000" w:sz="4" w:val="single"/>
            </w:tcBorders>
            <w:shd w:fill="auto" w:val="clear"/>
            <w:vAlign w:val="bottom"/>
          </w:tcPr>
          <w:p w14:paraId="1F090000">
            <w:pPr>
              <w:widowControl w:val="1"/>
              <w:ind/>
              <w:contextualSpacing w:val="1"/>
              <w:jc w:val="right"/>
            </w:pPr>
            <w:r>
              <w:t>(143 833)</w:t>
            </w:r>
          </w:p>
        </w:tc>
        <w:tc>
          <w:tcPr>
            <w:tcW w:type="dxa" w:w="1156"/>
            <w:tcBorders>
              <w:top w:color="000000" w:sz="4" w:val="single"/>
              <w:left w:color="000000" w:sz="4" w:val="single"/>
              <w:bottom w:color="000000" w:sz="4" w:val="single"/>
              <w:right w:color="000000" w:sz="4" w:val="single"/>
            </w:tcBorders>
            <w:shd w:fill="auto" w:val="clear"/>
            <w:vAlign w:val="bottom"/>
          </w:tcPr>
          <w:p w14:paraId="20090000">
            <w:pPr>
              <w:widowControl w:val="1"/>
              <w:ind/>
              <w:contextualSpacing w:val="1"/>
              <w:jc w:val="right"/>
            </w:pPr>
            <w:r>
              <w:t>(155 485)</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21090000">
            <w:pPr>
              <w:widowControl w:val="1"/>
              <w:ind w:firstLine="34"/>
              <w:contextualSpacing w:val="1"/>
              <w:jc w:val="center"/>
              <w:rPr>
                <w:b w:val="1"/>
              </w:rPr>
            </w:pPr>
            <w:r>
              <w:rPr>
                <w:b w:val="1"/>
              </w:rPr>
              <w:t>IV. ДОЛГОСРОЧНЫЕ ОБЯЗАТЕЛЬСТВА</w:t>
            </w:r>
          </w:p>
        </w:tc>
        <w:tc>
          <w:tcPr>
            <w:tcW w:type="dxa" w:w="1152"/>
            <w:tcBorders>
              <w:top w:color="000000" w:sz="4" w:val="single"/>
              <w:left w:color="000000" w:sz="4" w:val="single"/>
              <w:bottom w:color="000000" w:sz="4" w:val="single"/>
              <w:right w:color="000000" w:sz="4" w:val="single"/>
            </w:tcBorders>
            <w:shd w:fill="auto" w:val="clear"/>
            <w:vAlign w:val="center"/>
          </w:tcPr>
          <w:p w14:paraId="22090000">
            <w:pPr>
              <w:widowControl w:val="1"/>
              <w:ind w:firstLine="34"/>
              <w:contextualSpacing w:val="1"/>
              <w:jc w:val="center"/>
            </w:pPr>
            <w:r>
              <w:t> </w:t>
            </w:r>
          </w:p>
          <w:p w14:paraId="23090000">
            <w:pPr>
              <w:widowControl w:val="1"/>
              <w:ind w:firstLine="34"/>
              <w:contextualSpacing w:val="1"/>
              <w:jc w:val="right"/>
            </w:pPr>
            <w:r>
              <w:t> </w:t>
            </w:r>
          </w:p>
        </w:tc>
        <w:tc>
          <w:tcPr>
            <w:tcW w:type="dxa" w:w="1541"/>
            <w:tcBorders>
              <w:top w:color="000000" w:sz="4" w:val="single"/>
              <w:left w:color="000000" w:sz="4" w:val="single"/>
              <w:bottom w:color="000000" w:sz="4" w:val="single"/>
              <w:right w:color="000000" w:sz="4" w:val="single"/>
            </w:tcBorders>
            <w:shd w:fill="auto" w:val="clear"/>
            <w:vAlign w:val="bottom"/>
          </w:tcPr>
          <w:p w14:paraId="24090000">
            <w:pPr>
              <w:widowControl w:val="1"/>
              <w:ind/>
              <w:contextualSpacing w:val="1"/>
              <w:jc w:val="right"/>
            </w:pPr>
            <w:r>
              <w:t> </w:t>
            </w:r>
          </w:p>
          <w:p w14:paraId="25090000">
            <w:pPr>
              <w:widowControl w:val="1"/>
              <w:ind/>
              <w:contextualSpacing w:val="1"/>
              <w:jc w:val="right"/>
            </w:pPr>
            <w:r>
              <w:t> </w:t>
            </w:r>
          </w:p>
        </w:tc>
        <w:tc>
          <w:tcPr>
            <w:tcW w:type="dxa" w:w="1713"/>
            <w:tcBorders>
              <w:top w:color="000000" w:sz="4" w:val="single"/>
              <w:left w:color="000000" w:sz="4" w:val="single"/>
              <w:bottom w:color="000000" w:sz="4" w:val="single"/>
              <w:right w:color="000000" w:sz="4" w:val="single"/>
            </w:tcBorders>
            <w:shd w:fill="auto" w:val="clear"/>
            <w:vAlign w:val="bottom"/>
          </w:tcPr>
          <w:p w14:paraId="26090000">
            <w:pPr>
              <w:widowControl w:val="1"/>
              <w:ind/>
              <w:contextualSpacing w:val="1"/>
              <w:jc w:val="right"/>
            </w:pPr>
            <w:r>
              <w:t> </w:t>
            </w:r>
          </w:p>
          <w:p w14:paraId="27090000">
            <w:pPr>
              <w:widowControl w:val="1"/>
              <w:ind/>
              <w:contextualSpacing w:val="1"/>
              <w:jc w:val="right"/>
            </w:pPr>
            <w:r>
              <w:t> </w:t>
            </w:r>
          </w:p>
        </w:tc>
        <w:tc>
          <w:tcPr>
            <w:tcW w:type="dxa" w:w="1156"/>
            <w:tcBorders>
              <w:top w:color="000000" w:sz="4" w:val="single"/>
              <w:left w:color="000000" w:sz="4" w:val="single"/>
              <w:bottom w:color="000000" w:sz="4" w:val="single"/>
              <w:right w:color="000000" w:sz="4" w:val="single"/>
            </w:tcBorders>
            <w:shd w:fill="auto" w:val="clear"/>
            <w:vAlign w:val="bottom"/>
          </w:tcPr>
          <w:p w14:paraId="28090000">
            <w:pPr>
              <w:widowControl w:val="1"/>
              <w:ind/>
              <w:contextualSpacing w:val="1"/>
              <w:jc w:val="right"/>
            </w:pPr>
            <w:r>
              <w:t> </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29090000">
            <w:pPr>
              <w:widowControl w:val="1"/>
              <w:ind w:firstLine="34"/>
              <w:contextualSpacing w:val="1"/>
            </w:pPr>
            <w:r>
              <w:t>Заемные средства</w:t>
            </w:r>
          </w:p>
        </w:tc>
        <w:tc>
          <w:tcPr>
            <w:tcW w:type="dxa" w:w="1152"/>
            <w:tcBorders>
              <w:top w:color="000000" w:sz="4" w:val="single"/>
              <w:left w:color="000000" w:sz="4" w:val="single"/>
              <w:bottom w:color="000000" w:sz="4" w:val="single"/>
              <w:right w:color="000000" w:sz="4" w:val="single"/>
            </w:tcBorders>
            <w:shd w:fill="auto" w:val="clear"/>
            <w:vAlign w:val="center"/>
          </w:tcPr>
          <w:p w14:paraId="2A090000">
            <w:pPr>
              <w:widowControl w:val="1"/>
              <w:ind w:firstLine="34"/>
              <w:contextualSpacing w:val="1"/>
              <w:jc w:val="center"/>
            </w:pPr>
            <w:r>
              <w:t>1410</w:t>
            </w:r>
          </w:p>
        </w:tc>
        <w:tc>
          <w:tcPr>
            <w:tcW w:type="dxa" w:w="1541"/>
            <w:tcBorders>
              <w:top w:color="000000" w:sz="4" w:val="single"/>
              <w:left w:color="000000" w:sz="4" w:val="single"/>
              <w:bottom w:color="000000" w:sz="4" w:val="single"/>
              <w:right w:color="000000" w:sz="4" w:val="single"/>
            </w:tcBorders>
            <w:shd w:fill="auto" w:val="clear"/>
            <w:vAlign w:val="bottom"/>
          </w:tcPr>
          <w:p w14:paraId="2B090000">
            <w:pPr>
              <w:widowControl w:val="1"/>
              <w:ind/>
              <w:contextualSpacing w:val="1"/>
              <w:jc w:val="right"/>
            </w:pPr>
            <w:r>
              <w:t>-</w:t>
            </w:r>
          </w:p>
        </w:tc>
        <w:tc>
          <w:tcPr>
            <w:tcW w:type="dxa" w:w="1713"/>
            <w:tcBorders>
              <w:top w:color="000000" w:sz="4" w:val="single"/>
              <w:left w:color="000000" w:sz="4" w:val="single"/>
              <w:bottom w:color="000000" w:sz="4" w:val="single"/>
              <w:right w:color="000000" w:sz="4" w:val="single"/>
            </w:tcBorders>
            <w:shd w:fill="auto" w:val="clear"/>
            <w:vAlign w:val="bottom"/>
          </w:tcPr>
          <w:p w14:paraId="2C090000">
            <w:pPr>
              <w:widowControl w:val="1"/>
              <w:ind/>
              <w:contextualSpacing w:val="1"/>
              <w:jc w:val="right"/>
            </w:pPr>
            <w:r>
              <w:t>-</w:t>
            </w:r>
          </w:p>
        </w:tc>
        <w:tc>
          <w:tcPr>
            <w:tcW w:type="dxa" w:w="1156"/>
            <w:tcBorders>
              <w:top w:color="000000" w:sz="4" w:val="single"/>
              <w:left w:color="000000" w:sz="4" w:val="single"/>
              <w:bottom w:color="000000" w:sz="4" w:val="single"/>
              <w:right w:color="000000" w:sz="4" w:val="single"/>
            </w:tcBorders>
            <w:shd w:fill="auto" w:val="clear"/>
            <w:vAlign w:val="bottom"/>
          </w:tcPr>
          <w:p w14:paraId="2D090000">
            <w:pPr>
              <w:widowControl w:val="1"/>
              <w:ind/>
              <w:contextualSpacing w:val="1"/>
              <w:jc w:val="right"/>
            </w:pPr>
            <w:r>
              <w:t>-</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2E090000">
            <w:pPr>
              <w:widowControl w:val="1"/>
              <w:ind w:firstLine="34"/>
              <w:contextualSpacing w:val="1"/>
            </w:pPr>
            <w:r>
              <w:t>Отложенные налоговые обязательства</w:t>
            </w:r>
          </w:p>
        </w:tc>
        <w:tc>
          <w:tcPr>
            <w:tcW w:type="dxa" w:w="1152"/>
            <w:tcBorders>
              <w:top w:color="000000" w:sz="4" w:val="single"/>
              <w:left w:color="000000" w:sz="4" w:val="single"/>
              <w:bottom w:color="000000" w:sz="4" w:val="single"/>
              <w:right w:color="000000" w:sz="4" w:val="single"/>
            </w:tcBorders>
            <w:shd w:fill="auto" w:val="clear"/>
            <w:vAlign w:val="center"/>
          </w:tcPr>
          <w:p w14:paraId="2F090000">
            <w:pPr>
              <w:widowControl w:val="1"/>
              <w:ind w:firstLine="34"/>
              <w:contextualSpacing w:val="1"/>
              <w:jc w:val="center"/>
            </w:pPr>
            <w:r>
              <w:t>1420</w:t>
            </w:r>
          </w:p>
        </w:tc>
        <w:tc>
          <w:tcPr>
            <w:tcW w:type="dxa" w:w="1541"/>
            <w:tcBorders>
              <w:top w:color="000000" w:sz="4" w:val="single"/>
              <w:left w:color="000000" w:sz="4" w:val="single"/>
              <w:bottom w:color="000000" w:sz="4" w:val="single"/>
              <w:right w:color="000000" w:sz="4" w:val="single"/>
            </w:tcBorders>
            <w:shd w:fill="auto" w:val="clear"/>
            <w:vAlign w:val="bottom"/>
          </w:tcPr>
          <w:p w14:paraId="30090000">
            <w:pPr>
              <w:widowControl w:val="1"/>
              <w:ind/>
              <w:contextualSpacing w:val="1"/>
              <w:jc w:val="right"/>
            </w:pPr>
            <w:r>
              <w:t>536</w:t>
            </w:r>
          </w:p>
        </w:tc>
        <w:tc>
          <w:tcPr>
            <w:tcW w:type="dxa" w:w="1713"/>
            <w:tcBorders>
              <w:top w:color="000000" w:sz="4" w:val="single"/>
              <w:left w:color="000000" w:sz="4" w:val="single"/>
              <w:bottom w:color="000000" w:sz="4" w:val="single"/>
              <w:right w:color="000000" w:sz="4" w:val="single"/>
            </w:tcBorders>
            <w:shd w:fill="auto" w:val="clear"/>
            <w:vAlign w:val="bottom"/>
          </w:tcPr>
          <w:p w14:paraId="31090000">
            <w:pPr>
              <w:widowControl w:val="1"/>
              <w:ind/>
              <w:contextualSpacing w:val="1"/>
              <w:jc w:val="right"/>
            </w:pPr>
            <w:r>
              <w:t>6 670</w:t>
            </w:r>
          </w:p>
        </w:tc>
        <w:tc>
          <w:tcPr>
            <w:tcW w:type="dxa" w:w="1156"/>
            <w:tcBorders>
              <w:top w:color="000000" w:sz="4" w:val="single"/>
              <w:left w:color="000000" w:sz="4" w:val="single"/>
              <w:bottom w:color="000000" w:sz="4" w:val="single"/>
              <w:right w:color="000000" w:sz="4" w:val="single"/>
            </w:tcBorders>
            <w:shd w:fill="auto" w:val="clear"/>
            <w:vAlign w:val="bottom"/>
          </w:tcPr>
          <w:p w14:paraId="32090000">
            <w:pPr>
              <w:widowControl w:val="1"/>
              <w:ind/>
              <w:contextualSpacing w:val="1"/>
              <w:jc w:val="right"/>
            </w:pPr>
            <w:r>
              <w:t>248</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33090000">
            <w:pPr>
              <w:widowControl w:val="1"/>
              <w:ind w:firstLine="34"/>
              <w:contextualSpacing w:val="1"/>
            </w:pPr>
            <w:r>
              <w:t>Оценочные обязательства</w:t>
            </w:r>
          </w:p>
        </w:tc>
        <w:tc>
          <w:tcPr>
            <w:tcW w:type="dxa" w:w="1152"/>
            <w:tcBorders>
              <w:top w:color="000000" w:sz="4" w:val="single"/>
              <w:left w:color="000000" w:sz="4" w:val="single"/>
              <w:bottom w:color="000000" w:sz="4" w:val="single"/>
              <w:right w:color="000000" w:sz="4" w:val="single"/>
            </w:tcBorders>
            <w:shd w:fill="auto" w:val="clear"/>
            <w:vAlign w:val="center"/>
          </w:tcPr>
          <w:p w14:paraId="34090000">
            <w:pPr>
              <w:widowControl w:val="1"/>
              <w:ind w:firstLine="34"/>
              <w:contextualSpacing w:val="1"/>
              <w:jc w:val="center"/>
            </w:pPr>
            <w:r>
              <w:t>1430</w:t>
            </w:r>
          </w:p>
        </w:tc>
        <w:tc>
          <w:tcPr>
            <w:tcW w:type="dxa" w:w="1541"/>
            <w:tcBorders>
              <w:top w:color="000000" w:sz="4" w:val="single"/>
              <w:left w:color="000000" w:sz="4" w:val="single"/>
              <w:bottom w:color="000000" w:sz="4" w:val="single"/>
              <w:right w:color="000000" w:sz="4" w:val="single"/>
            </w:tcBorders>
            <w:shd w:fill="auto" w:val="clear"/>
            <w:vAlign w:val="bottom"/>
          </w:tcPr>
          <w:p w14:paraId="35090000">
            <w:pPr>
              <w:widowControl w:val="1"/>
              <w:ind/>
              <w:contextualSpacing w:val="1"/>
              <w:jc w:val="right"/>
            </w:pPr>
            <w:r>
              <w:t>-</w:t>
            </w:r>
          </w:p>
        </w:tc>
        <w:tc>
          <w:tcPr>
            <w:tcW w:type="dxa" w:w="1713"/>
            <w:tcBorders>
              <w:top w:color="000000" w:sz="4" w:val="single"/>
              <w:left w:color="000000" w:sz="4" w:val="single"/>
              <w:bottom w:color="000000" w:sz="4" w:val="single"/>
              <w:right w:color="000000" w:sz="4" w:val="single"/>
            </w:tcBorders>
            <w:shd w:fill="auto" w:val="clear"/>
            <w:vAlign w:val="bottom"/>
          </w:tcPr>
          <w:p w14:paraId="36090000">
            <w:pPr>
              <w:widowControl w:val="1"/>
              <w:ind/>
              <w:contextualSpacing w:val="1"/>
              <w:jc w:val="right"/>
            </w:pPr>
            <w:r>
              <w:t>-</w:t>
            </w:r>
          </w:p>
        </w:tc>
        <w:tc>
          <w:tcPr>
            <w:tcW w:type="dxa" w:w="1156"/>
            <w:tcBorders>
              <w:top w:color="000000" w:sz="4" w:val="single"/>
              <w:left w:color="000000" w:sz="4" w:val="single"/>
              <w:bottom w:color="000000" w:sz="4" w:val="single"/>
              <w:right w:color="000000" w:sz="4" w:val="single"/>
            </w:tcBorders>
            <w:shd w:fill="auto" w:val="clear"/>
            <w:vAlign w:val="bottom"/>
          </w:tcPr>
          <w:p w14:paraId="37090000">
            <w:pPr>
              <w:widowControl w:val="1"/>
              <w:ind/>
              <w:contextualSpacing w:val="1"/>
              <w:jc w:val="right"/>
            </w:pPr>
            <w:r>
              <w:t>-</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38090000">
            <w:pPr>
              <w:widowControl w:val="1"/>
              <w:ind w:firstLine="34"/>
              <w:contextualSpacing w:val="1"/>
            </w:pPr>
            <w:r>
              <w:t>Прочие обязательства</w:t>
            </w:r>
          </w:p>
        </w:tc>
        <w:tc>
          <w:tcPr>
            <w:tcW w:type="dxa" w:w="1152"/>
            <w:tcBorders>
              <w:top w:color="000000" w:sz="4" w:val="single"/>
              <w:left w:color="000000" w:sz="4" w:val="single"/>
              <w:bottom w:color="000000" w:sz="4" w:val="single"/>
              <w:right w:color="000000" w:sz="4" w:val="single"/>
            </w:tcBorders>
            <w:shd w:fill="auto" w:val="clear"/>
            <w:vAlign w:val="center"/>
          </w:tcPr>
          <w:p w14:paraId="39090000">
            <w:pPr>
              <w:widowControl w:val="1"/>
              <w:ind w:firstLine="34"/>
              <w:contextualSpacing w:val="1"/>
              <w:jc w:val="center"/>
            </w:pPr>
            <w:r>
              <w:t>1450</w:t>
            </w:r>
          </w:p>
        </w:tc>
        <w:tc>
          <w:tcPr>
            <w:tcW w:type="dxa" w:w="1541"/>
            <w:tcBorders>
              <w:top w:color="000000" w:sz="4" w:val="single"/>
              <w:left w:color="000000" w:sz="4" w:val="single"/>
              <w:bottom w:color="000000" w:sz="4" w:val="single"/>
              <w:right w:color="000000" w:sz="4" w:val="single"/>
            </w:tcBorders>
            <w:shd w:fill="auto" w:val="clear"/>
            <w:vAlign w:val="bottom"/>
          </w:tcPr>
          <w:p w14:paraId="3A090000">
            <w:pPr>
              <w:widowControl w:val="1"/>
              <w:ind/>
              <w:contextualSpacing w:val="1"/>
              <w:jc w:val="right"/>
            </w:pPr>
            <w:r>
              <w:t>241 383</w:t>
            </w:r>
          </w:p>
        </w:tc>
        <w:tc>
          <w:tcPr>
            <w:tcW w:type="dxa" w:w="1713"/>
            <w:tcBorders>
              <w:top w:color="000000" w:sz="4" w:val="single"/>
              <w:left w:color="000000" w:sz="4" w:val="single"/>
              <w:bottom w:color="000000" w:sz="4" w:val="single"/>
              <w:right w:color="000000" w:sz="4" w:val="single"/>
            </w:tcBorders>
            <w:shd w:fill="auto" w:val="clear"/>
            <w:vAlign w:val="bottom"/>
          </w:tcPr>
          <w:p w14:paraId="3B090000">
            <w:pPr>
              <w:widowControl w:val="1"/>
              <w:ind/>
              <w:contextualSpacing w:val="1"/>
              <w:jc w:val="right"/>
            </w:pPr>
            <w:r>
              <w:t>242 563</w:t>
            </w:r>
          </w:p>
        </w:tc>
        <w:tc>
          <w:tcPr>
            <w:tcW w:type="dxa" w:w="1156"/>
            <w:tcBorders>
              <w:top w:color="000000" w:sz="4" w:val="single"/>
              <w:left w:color="000000" w:sz="4" w:val="single"/>
              <w:bottom w:color="000000" w:sz="4" w:val="single"/>
              <w:right w:color="000000" w:sz="4" w:val="single"/>
            </w:tcBorders>
            <w:shd w:fill="auto" w:val="clear"/>
            <w:vAlign w:val="bottom"/>
          </w:tcPr>
          <w:p w14:paraId="3C090000">
            <w:pPr>
              <w:widowControl w:val="1"/>
              <w:ind/>
              <w:contextualSpacing w:val="1"/>
              <w:jc w:val="right"/>
            </w:pPr>
            <w:r>
              <w:t>243 805</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3D090000">
            <w:pPr>
              <w:widowControl w:val="1"/>
              <w:ind w:firstLine="34"/>
              <w:contextualSpacing w:val="1"/>
            </w:pPr>
            <w:r>
              <w:t>Итого по разделу IV</w:t>
            </w:r>
          </w:p>
        </w:tc>
        <w:tc>
          <w:tcPr>
            <w:tcW w:type="dxa" w:w="1152"/>
            <w:tcBorders>
              <w:top w:color="000000" w:sz="4" w:val="single"/>
              <w:left w:color="000000" w:sz="4" w:val="single"/>
              <w:bottom w:color="000000" w:sz="4" w:val="single"/>
              <w:right w:color="000000" w:sz="4" w:val="single"/>
            </w:tcBorders>
            <w:shd w:fill="auto" w:val="clear"/>
            <w:vAlign w:val="center"/>
          </w:tcPr>
          <w:p w14:paraId="3E090000">
            <w:pPr>
              <w:widowControl w:val="1"/>
              <w:ind w:firstLine="34"/>
              <w:contextualSpacing w:val="1"/>
              <w:jc w:val="center"/>
            </w:pPr>
            <w:r>
              <w:t>1400</w:t>
            </w:r>
          </w:p>
        </w:tc>
        <w:tc>
          <w:tcPr>
            <w:tcW w:type="dxa" w:w="1541"/>
            <w:tcBorders>
              <w:top w:color="000000" w:sz="4" w:val="single"/>
              <w:left w:color="000000" w:sz="4" w:val="single"/>
              <w:bottom w:color="000000" w:sz="4" w:val="single"/>
              <w:right w:color="000000" w:sz="4" w:val="single"/>
            </w:tcBorders>
            <w:shd w:fill="auto" w:val="clear"/>
            <w:vAlign w:val="bottom"/>
          </w:tcPr>
          <w:p w14:paraId="3F090000">
            <w:pPr>
              <w:widowControl w:val="1"/>
              <w:ind/>
              <w:contextualSpacing w:val="1"/>
              <w:jc w:val="right"/>
            </w:pPr>
            <w:r>
              <w:t>241 919</w:t>
            </w:r>
          </w:p>
        </w:tc>
        <w:tc>
          <w:tcPr>
            <w:tcW w:type="dxa" w:w="1713"/>
            <w:tcBorders>
              <w:top w:color="000000" w:sz="4" w:val="single"/>
              <w:left w:color="000000" w:sz="4" w:val="single"/>
              <w:bottom w:color="000000" w:sz="4" w:val="single"/>
              <w:right w:color="000000" w:sz="4" w:val="single"/>
            </w:tcBorders>
            <w:shd w:fill="auto" w:val="clear"/>
            <w:vAlign w:val="bottom"/>
          </w:tcPr>
          <w:p w14:paraId="40090000">
            <w:pPr>
              <w:widowControl w:val="1"/>
              <w:ind/>
              <w:contextualSpacing w:val="1"/>
              <w:jc w:val="right"/>
            </w:pPr>
            <w:r>
              <w:t>249 233</w:t>
            </w:r>
          </w:p>
        </w:tc>
        <w:tc>
          <w:tcPr>
            <w:tcW w:type="dxa" w:w="1156"/>
            <w:tcBorders>
              <w:top w:color="000000" w:sz="4" w:val="single"/>
              <w:left w:color="000000" w:sz="4" w:val="single"/>
              <w:bottom w:color="000000" w:sz="4" w:val="single"/>
              <w:right w:color="000000" w:sz="4" w:val="single"/>
            </w:tcBorders>
            <w:shd w:fill="auto" w:val="clear"/>
            <w:vAlign w:val="bottom"/>
          </w:tcPr>
          <w:p w14:paraId="41090000">
            <w:pPr>
              <w:widowControl w:val="1"/>
              <w:ind/>
              <w:contextualSpacing w:val="1"/>
              <w:jc w:val="right"/>
            </w:pPr>
            <w:r>
              <w:t>244 053</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42090000">
            <w:pPr>
              <w:widowControl w:val="1"/>
              <w:ind w:firstLine="34"/>
              <w:contextualSpacing w:val="1"/>
              <w:jc w:val="center"/>
              <w:rPr>
                <w:b w:val="1"/>
              </w:rPr>
            </w:pPr>
            <w:r>
              <w:rPr>
                <w:b w:val="1"/>
              </w:rPr>
              <w:t>V. КРАТКОСРОЧНЫЕ ОБЯЗАТЕЛЬСТВА</w:t>
            </w:r>
          </w:p>
        </w:tc>
        <w:tc>
          <w:tcPr>
            <w:tcW w:type="dxa" w:w="1152"/>
            <w:tcBorders>
              <w:top w:color="000000" w:sz="4" w:val="single"/>
              <w:left w:color="000000" w:sz="4" w:val="single"/>
              <w:bottom w:color="000000" w:sz="4" w:val="single"/>
              <w:right w:color="000000" w:sz="4" w:val="single"/>
            </w:tcBorders>
            <w:shd w:fill="auto" w:val="clear"/>
            <w:vAlign w:val="center"/>
          </w:tcPr>
          <w:p w14:paraId="43090000">
            <w:pPr>
              <w:widowControl w:val="1"/>
              <w:ind w:firstLine="34"/>
              <w:contextualSpacing w:val="1"/>
              <w:jc w:val="center"/>
            </w:pPr>
            <w:r>
              <w:t> </w:t>
            </w:r>
          </w:p>
          <w:p w14:paraId="44090000">
            <w:pPr>
              <w:widowControl w:val="1"/>
              <w:ind w:firstLine="34"/>
              <w:contextualSpacing w:val="1"/>
              <w:jc w:val="right"/>
            </w:pPr>
            <w:r>
              <w:t> </w:t>
            </w:r>
          </w:p>
        </w:tc>
        <w:tc>
          <w:tcPr>
            <w:tcW w:type="dxa" w:w="1541"/>
            <w:tcBorders>
              <w:top w:color="000000" w:sz="4" w:val="single"/>
              <w:left w:color="000000" w:sz="4" w:val="single"/>
              <w:bottom w:color="000000" w:sz="4" w:val="single"/>
              <w:right w:color="000000" w:sz="4" w:val="single"/>
            </w:tcBorders>
            <w:shd w:fill="auto" w:val="clear"/>
            <w:vAlign w:val="bottom"/>
          </w:tcPr>
          <w:p w14:paraId="45090000">
            <w:pPr>
              <w:widowControl w:val="1"/>
              <w:ind/>
              <w:contextualSpacing w:val="1"/>
              <w:jc w:val="right"/>
            </w:pPr>
            <w:r>
              <w:t> </w:t>
            </w:r>
          </w:p>
          <w:p w14:paraId="46090000">
            <w:pPr>
              <w:widowControl w:val="1"/>
              <w:ind/>
              <w:contextualSpacing w:val="1"/>
              <w:jc w:val="right"/>
            </w:pPr>
            <w:r>
              <w:t> </w:t>
            </w:r>
          </w:p>
        </w:tc>
        <w:tc>
          <w:tcPr>
            <w:tcW w:type="dxa" w:w="1713"/>
            <w:tcBorders>
              <w:top w:color="000000" w:sz="4" w:val="single"/>
              <w:left w:color="000000" w:sz="4" w:val="single"/>
              <w:bottom w:color="000000" w:sz="4" w:val="single"/>
              <w:right w:color="000000" w:sz="4" w:val="single"/>
            </w:tcBorders>
            <w:shd w:fill="auto" w:val="clear"/>
            <w:vAlign w:val="bottom"/>
          </w:tcPr>
          <w:p w14:paraId="47090000">
            <w:pPr>
              <w:widowControl w:val="1"/>
              <w:ind/>
              <w:contextualSpacing w:val="1"/>
              <w:jc w:val="right"/>
            </w:pPr>
            <w:r>
              <w:t> </w:t>
            </w:r>
          </w:p>
          <w:p w14:paraId="48090000">
            <w:pPr>
              <w:widowControl w:val="1"/>
              <w:ind/>
              <w:contextualSpacing w:val="1"/>
              <w:jc w:val="right"/>
            </w:pPr>
            <w:r>
              <w:t> </w:t>
            </w:r>
          </w:p>
        </w:tc>
        <w:tc>
          <w:tcPr>
            <w:tcW w:type="dxa" w:w="1156"/>
            <w:tcBorders>
              <w:top w:color="000000" w:sz="4" w:val="single"/>
              <w:left w:color="000000" w:sz="4" w:val="single"/>
              <w:bottom w:color="000000" w:sz="4" w:val="single"/>
              <w:right w:color="000000" w:sz="4" w:val="single"/>
            </w:tcBorders>
            <w:shd w:fill="auto" w:val="clear"/>
            <w:vAlign w:val="bottom"/>
          </w:tcPr>
          <w:p w14:paraId="49090000">
            <w:pPr>
              <w:widowControl w:val="1"/>
              <w:ind/>
              <w:contextualSpacing w:val="1"/>
              <w:jc w:val="right"/>
            </w:pPr>
            <w:r>
              <w:t> </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4A090000">
            <w:pPr>
              <w:widowControl w:val="1"/>
              <w:ind w:firstLine="34"/>
              <w:contextualSpacing w:val="1"/>
            </w:pPr>
            <w:r>
              <w:t>Заемные средства</w:t>
            </w:r>
          </w:p>
        </w:tc>
        <w:tc>
          <w:tcPr>
            <w:tcW w:type="dxa" w:w="1152"/>
            <w:tcBorders>
              <w:top w:color="000000" w:sz="4" w:val="single"/>
              <w:left w:color="000000" w:sz="4" w:val="single"/>
              <w:bottom w:color="000000" w:sz="4" w:val="single"/>
              <w:right w:color="000000" w:sz="4" w:val="single"/>
            </w:tcBorders>
            <w:shd w:fill="auto" w:val="clear"/>
            <w:vAlign w:val="center"/>
          </w:tcPr>
          <w:p w14:paraId="4B090000">
            <w:pPr>
              <w:widowControl w:val="1"/>
              <w:ind w:firstLine="34"/>
              <w:contextualSpacing w:val="1"/>
              <w:jc w:val="center"/>
            </w:pPr>
            <w:r>
              <w:t>1510</w:t>
            </w:r>
          </w:p>
        </w:tc>
        <w:tc>
          <w:tcPr>
            <w:tcW w:type="dxa" w:w="1541"/>
            <w:tcBorders>
              <w:top w:color="000000" w:sz="4" w:val="single"/>
              <w:left w:color="000000" w:sz="4" w:val="single"/>
              <w:bottom w:color="000000" w:sz="4" w:val="single"/>
              <w:right w:color="000000" w:sz="4" w:val="single"/>
            </w:tcBorders>
            <w:shd w:fill="auto" w:val="clear"/>
            <w:vAlign w:val="bottom"/>
          </w:tcPr>
          <w:p w14:paraId="4C090000">
            <w:pPr>
              <w:widowControl w:val="1"/>
              <w:ind/>
              <w:contextualSpacing w:val="1"/>
              <w:jc w:val="right"/>
            </w:pPr>
            <w:r>
              <w:t>-</w:t>
            </w:r>
          </w:p>
        </w:tc>
        <w:tc>
          <w:tcPr>
            <w:tcW w:type="dxa" w:w="1713"/>
            <w:tcBorders>
              <w:top w:color="000000" w:sz="4" w:val="single"/>
              <w:left w:color="000000" w:sz="4" w:val="single"/>
              <w:bottom w:color="000000" w:sz="4" w:val="single"/>
              <w:right w:color="000000" w:sz="4" w:val="single"/>
            </w:tcBorders>
            <w:shd w:fill="auto" w:val="clear"/>
            <w:vAlign w:val="bottom"/>
          </w:tcPr>
          <w:p w14:paraId="4D090000">
            <w:pPr>
              <w:widowControl w:val="1"/>
              <w:ind/>
              <w:contextualSpacing w:val="1"/>
              <w:jc w:val="right"/>
            </w:pPr>
            <w:r>
              <w:t>-</w:t>
            </w:r>
          </w:p>
        </w:tc>
        <w:tc>
          <w:tcPr>
            <w:tcW w:type="dxa" w:w="1156"/>
            <w:tcBorders>
              <w:top w:color="000000" w:sz="4" w:val="single"/>
              <w:left w:color="000000" w:sz="4" w:val="single"/>
              <w:bottom w:color="000000" w:sz="4" w:val="single"/>
              <w:right w:color="000000" w:sz="4" w:val="single"/>
            </w:tcBorders>
            <w:shd w:fill="auto" w:val="clear"/>
            <w:vAlign w:val="bottom"/>
          </w:tcPr>
          <w:p w14:paraId="4E090000">
            <w:pPr>
              <w:widowControl w:val="1"/>
              <w:ind/>
              <w:contextualSpacing w:val="1"/>
              <w:jc w:val="right"/>
            </w:pPr>
            <w:r>
              <w:t>-</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4F090000">
            <w:pPr>
              <w:widowControl w:val="1"/>
              <w:ind w:firstLine="34"/>
              <w:contextualSpacing w:val="1"/>
            </w:pPr>
            <w:r>
              <w:t>Кредиторская задолженность</w:t>
            </w:r>
          </w:p>
        </w:tc>
        <w:tc>
          <w:tcPr>
            <w:tcW w:type="dxa" w:w="1152"/>
            <w:tcBorders>
              <w:top w:color="000000" w:sz="4" w:val="single"/>
              <w:left w:color="000000" w:sz="4" w:val="single"/>
              <w:bottom w:color="000000" w:sz="4" w:val="single"/>
              <w:right w:color="000000" w:sz="4" w:val="single"/>
            </w:tcBorders>
            <w:shd w:fill="auto" w:val="clear"/>
            <w:vAlign w:val="center"/>
          </w:tcPr>
          <w:p w14:paraId="50090000">
            <w:pPr>
              <w:widowControl w:val="1"/>
              <w:ind w:firstLine="34"/>
              <w:contextualSpacing w:val="1"/>
              <w:jc w:val="center"/>
            </w:pPr>
            <w:r>
              <w:t>1520</w:t>
            </w:r>
          </w:p>
        </w:tc>
        <w:tc>
          <w:tcPr>
            <w:tcW w:type="dxa" w:w="1541"/>
            <w:tcBorders>
              <w:top w:color="000000" w:sz="4" w:val="single"/>
              <w:left w:color="000000" w:sz="4" w:val="single"/>
              <w:bottom w:color="000000" w:sz="4" w:val="single"/>
              <w:right w:color="000000" w:sz="4" w:val="single"/>
            </w:tcBorders>
            <w:shd w:fill="auto" w:val="clear"/>
            <w:vAlign w:val="bottom"/>
          </w:tcPr>
          <w:p w14:paraId="51090000">
            <w:pPr>
              <w:widowControl w:val="1"/>
              <w:ind/>
              <w:contextualSpacing w:val="1"/>
              <w:jc w:val="right"/>
            </w:pPr>
            <w:r>
              <w:t>34 259</w:t>
            </w:r>
          </w:p>
        </w:tc>
        <w:tc>
          <w:tcPr>
            <w:tcW w:type="dxa" w:w="1713"/>
            <w:tcBorders>
              <w:top w:color="000000" w:sz="4" w:val="single"/>
              <w:left w:color="000000" w:sz="4" w:val="single"/>
              <w:bottom w:color="000000" w:sz="4" w:val="single"/>
              <w:right w:color="000000" w:sz="4" w:val="single"/>
            </w:tcBorders>
            <w:shd w:fill="auto" w:val="clear"/>
            <w:vAlign w:val="bottom"/>
          </w:tcPr>
          <w:p w14:paraId="52090000">
            <w:pPr>
              <w:widowControl w:val="1"/>
              <w:ind/>
              <w:contextualSpacing w:val="1"/>
              <w:jc w:val="right"/>
            </w:pPr>
            <w:r>
              <w:t>48 723</w:t>
            </w:r>
          </w:p>
        </w:tc>
        <w:tc>
          <w:tcPr>
            <w:tcW w:type="dxa" w:w="1156"/>
            <w:tcBorders>
              <w:top w:color="000000" w:sz="4" w:val="single"/>
              <w:left w:color="000000" w:sz="4" w:val="single"/>
              <w:bottom w:color="000000" w:sz="4" w:val="single"/>
              <w:right w:color="000000" w:sz="4" w:val="single"/>
            </w:tcBorders>
            <w:shd w:fill="auto" w:val="clear"/>
            <w:vAlign w:val="bottom"/>
          </w:tcPr>
          <w:p w14:paraId="53090000">
            <w:pPr>
              <w:widowControl w:val="1"/>
              <w:ind/>
              <w:contextualSpacing w:val="1"/>
              <w:jc w:val="right"/>
            </w:pPr>
            <w:r>
              <w:t>39 864</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54090000">
            <w:pPr>
              <w:widowControl w:val="1"/>
              <w:ind w:firstLine="34"/>
              <w:contextualSpacing w:val="1"/>
            </w:pPr>
            <w:r>
              <w:t>Доходы будущих периодов</w:t>
            </w:r>
          </w:p>
        </w:tc>
        <w:tc>
          <w:tcPr>
            <w:tcW w:type="dxa" w:w="1152"/>
            <w:tcBorders>
              <w:top w:color="000000" w:sz="4" w:val="single"/>
              <w:left w:color="000000" w:sz="4" w:val="single"/>
              <w:bottom w:color="000000" w:sz="4" w:val="single"/>
              <w:right w:color="000000" w:sz="4" w:val="single"/>
            </w:tcBorders>
            <w:shd w:fill="auto" w:val="clear"/>
            <w:vAlign w:val="center"/>
          </w:tcPr>
          <w:p w14:paraId="55090000">
            <w:pPr>
              <w:widowControl w:val="1"/>
              <w:ind w:firstLine="34"/>
              <w:contextualSpacing w:val="1"/>
              <w:jc w:val="center"/>
            </w:pPr>
            <w:r>
              <w:t>1530</w:t>
            </w:r>
          </w:p>
        </w:tc>
        <w:tc>
          <w:tcPr>
            <w:tcW w:type="dxa" w:w="1541"/>
            <w:tcBorders>
              <w:top w:color="000000" w:sz="4" w:val="single"/>
              <w:left w:color="000000" w:sz="4" w:val="single"/>
              <w:bottom w:color="000000" w:sz="4" w:val="single"/>
              <w:right w:color="000000" w:sz="4" w:val="single"/>
            </w:tcBorders>
            <w:shd w:fill="auto" w:val="clear"/>
            <w:vAlign w:val="bottom"/>
          </w:tcPr>
          <w:p w14:paraId="56090000">
            <w:pPr>
              <w:widowControl w:val="1"/>
              <w:ind/>
              <w:contextualSpacing w:val="1"/>
              <w:jc w:val="right"/>
            </w:pPr>
            <w:r>
              <w:t>-</w:t>
            </w:r>
          </w:p>
        </w:tc>
        <w:tc>
          <w:tcPr>
            <w:tcW w:type="dxa" w:w="1713"/>
            <w:tcBorders>
              <w:top w:color="000000" w:sz="4" w:val="single"/>
              <w:left w:color="000000" w:sz="4" w:val="single"/>
              <w:bottom w:color="000000" w:sz="4" w:val="single"/>
              <w:right w:color="000000" w:sz="4" w:val="single"/>
            </w:tcBorders>
            <w:shd w:fill="auto" w:val="clear"/>
            <w:vAlign w:val="bottom"/>
          </w:tcPr>
          <w:p w14:paraId="57090000">
            <w:pPr>
              <w:widowControl w:val="1"/>
              <w:ind/>
              <w:contextualSpacing w:val="1"/>
              <w:jc w:val="right"/>
            </w:pPr>
            <w:r>
              <w:t>-</w:t>
            </w:r>
          </w:p>
        </w:tc>
        <w:tc>
          <w:tcPr>
            <w:tcW w:type="dxa" w:w="1156"/>
            <w:tcBorders>
              <w:top w:color="000000" w:sz="4" w:val="single"/>
              <w:left w:color="000000" w:sz="4" w:val="single"/>
              <w:bottom w:color="000000" w:sz="4" w:val="single"/>
              <w:right w:color="000000" w:sz="4" w:val="single"/>
            </w:tcBorders>
            <w:shd w:fill="auto" w:val="clear"/>
            <w:vAlign w:val="bottom"/>
          </w:tcPr>
          <w:p w14:paraId="58090000">
            <w:pPr>
              <w:widowControl w:val="1"/>
              <w:ind/>
              <w:contextualSpacing w:val="1"/>
              <w:jc w:val="right"/>
            </w:pPr>
            <w:r>
              <w:t>-</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59090000">
            <w:pPr>
              <w:widowControl w:val="1"/>
              <w:ind w:firstLine="34"/>
              <w:contextualSpacing w:val="1"/>
            </w:pPr>
            <w:r>
              <w:t>Оценочные обязательства</w:t>
            </w:r>
          </w:p>
        </w:tc>
        <w:tc>
          <w:tcPr>
            <w:tcW w:type="dxa" w:w="1152"/>
            <w:tcBorders>
              <w:top w:color="000000" w:sz="4" w:val="single"/>
              <w:left w:color="000000" w:sz="4" w:val="single"/>
              <w:bottom w:color="000000" w:sz="4" w:val="single"/>
              <w:right w:color="000000" w:sz="4" w:val="single"/>
            </w:tcBorders>
            <w:shd w:fill="auto" w:val="clear"/>
            <w:vAlign w:val="center"/>
          </w:tcPr>
          <w:p w14:paraId="5A090000">
            <w:pPr>
              <w:widowControl w:val="1"/>
              <w:ind w:firstLine="34"/>
              <w:contextualSpacing w:val="1"/>
              <w:jc w:val="center"/>
            </w:pPr>
            <w:r>
              <w:t>1540</w:t>
            </w:r>
          </w:p>
        </w:tc>
        <w:tc>
          <w:tcPr>
            <w:tcW w:type="dxa" w:w="1541"/>
            <w:tcBorders>
              <w:top w:color="000000" w:sz="4" w:val="single"/>
              <w:left w:color="000000" w:sz="4" w:val="single"/>
              <w:bottom w:color="000000" w:sz="4" w:val="single"/>
              <w:right w:color="000000" w:sz="4" w:val="single"/>
            </w:tcBorders>
            <w:shd w:fill="auto" w:val="clear"/>
            <w:vAlign w:val="bottom"/>
          </w:tcPr>
          <w:p w14:paraId="5B090000">
            <w:pPr>
              <w:widowControl w:val="1"/>
              <w:ind/>
              <w:contextualSpacing w:val="1"/>
              <w:jc w:val="right"/>
            </w:pPr>
            <w:r>
              <w:t>7 050</w:t>
            </w:r>
          </w:p>
        </w:tc>
        <w:tc>
          <w:tcPr>
            <w:tcW w:type="dxa" w:w="1713"/>
            <w:tcBorders>
              <w:top w:color="000000" w:sz="4" w:val="single"/>
              <w:left w:color="000000" w:sz="4" w:val="single"/>
              <w:bottom w:color="000000" w:sz="4" w:val="single"/>
              <w:right w:color="000000" w:sz="4" w:val="single"/>
            </w:tcBorders>
            <w:shd w:fill="auto" w:val="clear"/>
            <w:vAlign w:val="bottom"/>
          </w:tcPr>
          <w:p w14:paraId="5C090000">
            <w:pPr>
              <w:widowControl w:val="1"/>
              <w:ind/>
              <w:contextualSpacing w:val="1"/>
              <w:jc w:val="right"/>
            </w:pPr>
            <w:r>
              <w:t>5 092</w:t>
            </w:r>
          </w:p>
        </w:tc>
        <w:tc>
          <w:tcPr>
            <w:tcW w:type="dxa" w:w="1156"/>
            <w:tcBorders>
              <w:top w:color="000000" w:sz="4" w:val="single"/>
              <w:left w:color="000000" w:sz="4" w:val="single"/>
              <w:bottom w:color="000000" w:sz="4" w:val="single"/>
              <w:right w:color="000000" w:sz="4" w:val="single"/>
            </w:tcBorders>
            <w:shd w:fill="auto" w:val="clear"/>
            <w:vAlign w:val="bottom"/>
          </w:tcPr>
          <w:p w14:paraId="5D090000">
            <w:pPr>
              <w:widowControl w:val="1"/>
              <w:ind/>
              <w:contextualSpacing w:val="1"/>
              <w:jc w:val="right"/>
            </w:pPr>
            <w:r>
              <w:t>5 374</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5E090000">
            <w:pPr>
              <w:widowControl w:val="1"/>
              <w:ind w:firstLine="34"/>
              <w:contextualSpacing w:val="1"/>
            </w:pPr>
            <w:r>
              <w:t>Прочие обязательства</w:t>
            </w:r>
          </w:p>
        </w:tc>
        <w:tc>
          <w:tcPr>
            <w:tcW w:type="dxa" w:w="1152"/>
            <w:tcBorders>
              <w:top w:color="000000" w:sz="4" w:val="single"/>
              <w:left w:color="000000" w:sz="4" w:val="single"/>
              <w:bottom w:color="000000" w:sz="4" w:val="single"/>
              <w:right w:color="000000" w:sz="4" w:val="single"/>
            </w:tcBorders>
            <w:shd w:fill="auto" w:val="clear"/>
            <w:vAlign w:val="center"/>
          </w:tcPr>
          <w:p w14:paraId="5F090000">
            <w:pPr>
              <w:widowControl w:val="1"/>
              <w:ind w:firstLine="34"/>
              <w:contextualSpacing w:val="1"/>
              <w:jc w:val="center"/>
            </w:pPr>
            <w:r>
              <w:t>1550</w:t>
            </w:r>
          </w:p>
        </w:tc>
        <w:tc>
          <w:tcPr>
            <w:tcW w:type="dxa" w:w="1541"/>
            <w:tcBorders>
              <w:top w:color="000000" w:sz="4" w:val="single"/>
              <w:left w:color="000000" w:sz="4" w:val="single"/>
              <w:bottom w:color="000000" w:sz="4" w:val="single"/>
              <w:right w:color="000000" w:sz="4" w:val="single"/>
            </w:tcBorders>
            <w:shd w:fill="auto" w:val="clear"/>
            <w:vAlign w:val="bottom"/>
          </w:tcPr>
          <w:p w14:paraId="60090000">
            <w:pPr>
              <w:widowControl w:val="1"/>
              <w:ind/>
              <w:contextualSpacing w:val="1"/>
              <w:jc w:val="right"/>
            </w:pPr>
            <w:r>
              <w:t>-</w:t>
            </w:r>
          </w:p>
        </w:tc>
        <w:tc>
          <w:tcPr>
            <w:tcW w:type="dxa" w:w="1713"/>
            <w:tcBorders>
              <w:top w:color="000000" w:sz="4" w:val="single"/>
              <w:left w:color="000000" w:sz="4" w:val="single"/>
              <w:bottom w:color="000000" w:sz="4" w:val="single"/>
              <w:right w:color="000000" w:sz="4" w:val="single"/>
            </w:tcBorders>
            <w:shd w:fill="auto" w:val="clear"/>
            <w:vAlign w:val="bottom"/>
          </w:tcPr>
          <w:p w14:paraId="61090000">
            <w:pPr>
              <w:widowControl w:val="1"/>
              <w:ind/>
              <w:contextualSpacing w:val="1"/>
              <w:jc w:val="right"/>
            </w:pPr>
            <w:r>
              <w:t>-</w:t>
            </w:r>
          </w:p>
        </w:tc>
        <w:tc>
          <w:tcPr>
            <w:tcW w:type="dxa" w:w="1156"/>
            <w:tcBorders>
              <w:top w:color="000000" w:sz="4" w:val="single"/>
              <w:left w:color="000000" w:sz="4" w:val="single"/>
              <w:bottom w:color="000000" w:sz="4" w:val="single"/>
              <w:right w:color="000000" w:sz="4" w:val="single"/>
            </w:tcBorders>
            <w:shd w:fill="auto" w:val="clear"/>
            <w:vAlign w:val="bottom"/>
          </w:tcPr>
          <w:p w14:paraId="62090000">
            <w:pPr>
              <w:widowControl w:val="1"/>
              <w:ind/>
              <w:contextualSpacing w:val="1"/>
              <w:jc w:val="right"/>
            </w:pPr>
            <w:r>
              <w:t>-</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63090000">
            <w:pPr>
              <w:widowControl w:val="1"/>
              <w:ind w:firstLine="34"/>
              <w:contextualSpacing w:val="1"/>
            </w:pPr>
            <w:r>
              <w:t>Итого по разделу V</w:t>
            </w:r>
          </w:p>
        </w:tc>
        <w:tc>
          <w:tcPr>
            <w:tcW w:type="dxa" w:w="1152"/>
            <w:tcBorders>
              <w:top w:color="000000" w:sz="4" w:val="single"/>
              <w:left w:color="000000" w:sz="4" w:val="single"/>
              <w:bottom w:color="000000" w:sz="4" w:val="single"/>
              <w:right w:color="000000" w:sz="4" w:val="single"/>
            </w:tcBorders>
            <w:shd w:fill="auto" w:val="clear"/>
            <w:vAlign w:val="center"/>
          </w:tcPr>
          <w:p w14:paraId="64090000">
            <w:pPr>
              <w:widowControl w:val="1"/>
              <w:ind w:firstLine="34"/>
              <w:contextualSpacing w:val="1"/>
              <w:jc w:val="center"/>
            </w:pPr>
            <w:r>
              <w:t>15</w:t>
            </w:r>
            <w:r>
              <w:t>00</w:t>
            </w:r>
          </w:p>
        </w:tc>
        <w:tc>
          <w:tcPr>
            <w:tcW w:type="dxa" w:w="1541"/>
            <w:tcBorders>
              <w:top w:color="000000" w:sz="4" w:val="single"/>
              <w:left w:color="000000" w:sz="4" w:val="single"/>
              <w:bottom w:color="000000" w:sz="4" w:val="single"/>
              <w:right w:color="000000" w:sz="4" w:val="single"/>
            </w:tcBorders>
            <w:shd w:fill="auto" w:val="clear"/>
            <w:vAlign w:val="bottom"/>
          </w:tcPr>
          <w:p w14:paraId="65090000">
            <w:pPr>
              <w:widowControl w:val="1"/>
              <w:ind/>
              <w:contextualSpacing w:val="1"/>
              <w:jc w:val="right"/>
            </w:pPr>
            <w:r>
              <w:t>41 309</w:t>
            </w:r>
          </w:p>
        </w:tc>
        <w:tc>
          <w:tcPr>
            <w:tcW w:type="dxa" w:w="1713"/>
            <w:tcBorders>
              <w:top w:color="000000" w:sz="4" w:val="single"/>
              <w:left w:color="000000" w:sz="4" w:val="single"/>
              <w:bottom w:color="000000" w:sz="4" w:val="single"/>
              <w:right w:color="000000" w:sz="4" w:val="single"/>
            </w:tcBorders>
            <w:shd w:fill="auto" w:val="clear"/>
            <w:vAlign w:val="bottom"/>
          </w:tcPr>
          <w:p w14:paraId="66090000">
            <w:pPr>
              <w:widowControl w:val="1"/>
              <w:ind/>
              <w:contextualSpacing w:val="1"/>
              <w:jc w:val="right"/>
            </w:pPr>
            <w:r>
              <w:t>53 814</w:t>
            </w:r>
          </w:p>
        </w:tc>
        <w:tc>
          <w:tcPr>
            <w:tcW w:type="dxa" w:w="1156"/>
            <w:tcBorders>
              <w:top w:color="000000" w:sz="4" w:val="single"/>
              <w:left w:color="000000" w:sz="4" w:val="single"/>
              <w:bottom w:color="000000" w:sz="4" w:val="single"/>
              <w:right w:color="000000" w:sz="4" w:val="single"/>
            </w:tcBorders>
            <w:shd w:fill="auto" w:val="clear"/>
            <w:vAlign w:val="bottom"/>
          </w:tcPr>
          <w:p w14:paraId="67090000">
            <w:pPr>
              <w:widowControl w:val="1"/>
              <w:ind/>
              <w:contextualSpacing w:val="1"/>
              <w:jc w:val="right"/>
            </w:pPr>
            <w:r>
              <w:t>45 238</w:t>
            </w:r>
          </w:p>
        </w:tc>
      </w:tr>
      <w:tr>
        <w:trPr>
          <w:trHeight w:hRule="atLeast" w:val="255"/>
        </w:trPr>
        <w:tc>
          <w:tcPr>
            <w:tcW w:type="dxa" w:w="4537"/>
            <w:tcBorders>
              <w:top w:color="000000" w:sz="4" w:val="single"/>
              <w:left w:color="000000" w:sz="4" w:val="single"/>
              <w:bottom w:color="000000" w:sz="4" w:val="single"/>
              <w:right w:color="000000" w:sz="4" w:val="single"/>
            </w:tcBorders>
            <w:shd w:fill="auto" w:val="clear"/>
            <w:vAlign w:val="center"/>
          </w:tcPr>
          <w:p w14:paraId="68090000">
            <w:pPr>
              <w:widowControl w:val="1"/>
              <w:ind w:firstLine="34"/>
              <w:contextualSpacing w:val="1"/>
              <w:rPr>
                <w:b w:val="1"/>
              </w:rPr>
            </w:pPr>
            <w:r>
              <w:rPr>
                <w:b w:val="1"/>
              </w:rPr>
              <w:t>БАЛАНС</w:t>
            </w:r>
          </w:p>
        </w:tc>
        <w:tc>
          <w:tcPr>
            <w:tcW w:type="dxa" w:w="1152"/>
            <w:tcBorders>
              <w:top w:color="000000" w:sz="4" w:val="single"/>
              <w:left w:color="000000" w:sz="4" w:val="single"/>
              <w:bottom w:color="000000" w:sz="4" w:val="single"/>
              <w:right w:color="000000" w:sz="4" w:val="single"/>
            </w:tcBorders>
            <w:shd w:fill="auto" w:val="clear"/>
            <w:vAlign w:val="center"/>
          </w:tcPr>
          <w:p w14:paraId="69090000">
            <w:pPr>
              <w:widowControl w:val="1"/>
              <w:ind w:firstLine="34"/>
              <w:contextualSpacing w:val="1"/>
              <w:jc w:val="center"/>
            </w:pPr>
            <w:r>
              <w:t>1700</w:t>
            </w:r>
          </w:p>
        </w:tc>
        <w:tc>
          <w:tcPr>
            <w:tcW w:type="dxa" w:w="1541"/>
            <w:tcBorders>
              <w:top w:color="000000" w:sz="4" w:val="single"/>
              <w:left w:color="000000" w:sz="4" w:val="single"/>
              <w:bottom w:color="000000" w:sz="4" w:val="single"/>
              <w:right w:color="000000" w:sz="4" w:val="single"/>
            </w:tcBorders>
            <w:shd w:fill="auto" w:val="clear"/>
            <w:vAlign w:val="bottom"/>
          </w:tcPr>
          <w:p w14:paraId="6A090000">
            <w:pPr>
              <w:widowControl w:val="1"/>
              <w:ind/>
              <w:contextualSpacing w:val="1"/>
              <w:jc w:val="right"/>
              <w:rPr>
                <w:b w:val="1"/>
              </w:rPr>
            </w:pPr>
            <w:r>
              <w:rPr>
                <w:b w:val="1"/>
              </w:rPr>
              <w:t>139 697</w:t>
            </w:r>
          </w:p>
        </w:tc>
        <w:tc>
          <w:tcPr>
            <w:tcW w:type="dxa" w:w="1713"/>
            <w:tcBorders>
              <w:top w:color="000000" w:sz="4" w:val="single"/>
              <w:left w:color="000000" w:sz="4" w:val="single"/>
              <w:bottom w:color="000000" w:sz="4" w:val="single"/>
              <w:right w:color="000000" w:sz="4" w:val="single"/>
            </w:tcBorders>
            <w:shd w:fill="auto" w:val="clear"/>
            <w:vAlign w:val="bottom"/>
          </w:tcPr>
          <w:p w14:paraId="6B090000">
            <w:pPr>
              <w:widowControl w:val="1"/>
              <w:ind/>
              <w:contextualSpacing w:val="1"/>
              <w:jc w:val="right"/>
              <w:rPr>
                <w:b w:val="1"/>
              </w:rPr>
            </w:pPr>
            <w:r>
              <w:rPr>
                <w:b w:val="1"/>
              </w:rPr>
              <w:t>159 215</w:t>
            </w:r>
          </w:p>
        </w:tc>
        <w:tc>
          <w:tcPr>
            <w:tcW w:type="dxa" w:w="1156"/>
            <w:tcBorders>
              <w:top w:color="000000" w:sz="4" w:val="single"/>
              <w:left w:color="000000" w:sz="4" w:val="single"/>
              <w:bottom w:color="000000" w:sz="4" w:val="single"/>
              <w:right w:color="000000" w:sz="4" w:val="single"/>
            </w:tcBorders>
            <w:shd w:fill="auto" w:val="clear"/>
            <w:vAlign w:val="bottom"/>
          </w:tcPr>
          <w:p w14:paraId="6C090000">
            <w:pPr>
              <w:widowControl w:val="1"/>
              <w:ind/>
              <w:contextualSpacing w:val="1"/>
              <w:jc w:val="right"/>
              <w:rPr>
                <w:b w:val="1"/>
              </w:rPr>
            </w:pPr>
            <w:r>
              <w:rPr>
                <w:b w:val="1"/>
              </w:rPr>
              <w:t>133 806</w:t>
            </w:r>
          </w:p>
        </w:tc>
      </w:tr>
    </w:tbl>
    <w:p w14:paraId="6D090000">
      <w:pPr>
        <w:widowControl w:val="1"/>
        <w:ind w:firstLine="709"/>
        <w:contextualSpacing w:val="1"/>
        <w:jc w:val="right"/>
      </w:pPr>
    </w:p>
    <w:p w14:paraId="6E090000">
      <w:pPr>
        <w:widowControl w:val="1"/>
        <w:ind w:firstLine="709"/>
        <w:contextualSpacing w:val="1"/>
        <w:jc w:val="right"/>
      </w:pPr>
    </w:p>
    <w:p w14:paraId="6F090000">
      <w:pPr>
        <w:widowControl w:val="1"/>
        <w:ind w:firstLine="709"/>
        <w:contextualSpacing w:val="1"/>
        <w:jc w:val="both"/>
      </w:pPr>
      <w:r>
        <w:t xml:space="preserve">По отношению к началу года валюта баланса </w:t>
      </w:r>
      <w:r>
        <w:t>уменьшилась</w:t>
      </w:r>
      <w:r>
        <w:t xml:space="preserve"> на 1</w:t>
      </w:r>
      <w:r>
        <w:t>2,3</w:t>
      </w:r>
      <w:r>
        <w:t>% и составила на 31.12.201</w:t>
      </w:r>
      <w:r>
        <w:t>8</w:t>
      </w:r>
      <w:r>
        <w:t xml:space="preserve"> года </w:t>
      </w:r>
      <w:r>
        <w:t>139 697</w:t>
      </w:r>
      <w:r>
        <w:t xml:space="preserve"> тыс. руб.</w:t>
      </w:r>
    </w:p>
    <w:p w14:paraId="70090000">
      <w:pPr>
        <w:keepNext w:val="1"/>
        <w:pageBreakBefore w:val="1"/>
        <w:widowControl w:val="1"/>
        <w:ind w:firstLine="709"/>
        <w:contextualSpacing w:val="1"/>
        <w:jc w:val="right"/>
        <w:rPr>
          <w:b w:val="1"/>
        </w:rPr>
      </w:pPr>
      <w:r>
        <w:rPr>
          <w:b w:val="1"/>
        </w:rPr>
        <w:t>Таблица 5.</w:t>
      </w:r>
      <w:r>
        <w:rPr>
          <w:b w:val="1"/>
        </w:rPr>
        <w:t>12</w:t>
      </w:r>
    </w:p>
    <w:p w14:paraId="71090000">
      <w:pPr>
        <w:keepNext w:val="1"/>
        <w:widowControl w:val="1"/>
        <w:ind w:firstLine="709"/>
        <w:contextualSpacing w:val="1"/>
        <w:jc w:val="center"/>
        <w:rPr>
          <w:b w:val="1"/>
        </w:rPr>
      </w:pPr>
      <w:r>
        <w:rPr>
          <w:b w:val="1"/>
        </w:rPr>
        <w:t>Анализ структуры баланса</w:t>
      </w:r>
    </w:p>
    <w:p w14:paraId="72090000">
      <w:pPr>
        <w:keepNext w:val="1"/>
        <w:widowControl w:val="1"/>
        <w:ind w:firstLine="709"/>
        <w:contextualSpacing w:val="1"/>
        <w:jc w:val="center"/>
        <w:rPr>
          <w:b w:val="1"/>
        </w:rPr>
      </w:pPr>
    </w:p>
    <w:tbl>
      <w:tblPr>
        <w:tblStyle w:val="Style_4"/>
        <w:tblW w:type="auto" w:w="0"/>
        <w:tblInd w:type="dxa" w:w="-31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2694"/>
        <w:gridCol w:w="1134"/>
        <w:gridCol w:w="992"/>
        <w:gridCol w:w="1134"/>
        <w:gridCol w:w="992"/>
        <w:gridCol w:w="1417"/>
        <w:gridCol w:w="1134"/>
        <w:gridCol w:w="852"/>
      </w:tblGrid>
      <w:tr>
        <w:trPr>
          <w:trHeight w:hRule="atLeast" w:val="1545"/>
        </w:trPr>
        <w:tc>
          <w:tcPr>
            <w:tcW w:type="dxa" w:w="2694"/>
            <w:tcBorders>
              <w:top w:color="000000" w:sz="4" w:val="single"/>
              <w:left w:color="000000" w:sz="4" w:val="single"/>
              <w:bottom w:color="000000" w:sz="4" w:val="single"/>
              <w:right w:color="000000" w:sz="4" w:val="single"/>
            </w:tcBorders>
            <w:shd w:fill="auto" w:val="clear"/>
            <w:vAlign w:val="center"/>
          </w:tcPr>
          <w:p w14:paraId="73090000">
            <w:pPr>
              <w:widowControl w:val="1"/>
              <w:ind w:firstLine="34"/>
              <w:contextualSpacing w:val="1"/>
              <w:jc w:val="center"/>
              <w:rPr>
                <w:b w:val="1"/>
                <w:color w:val="000000"/>
              </w:rPr>
            </w:pPr>
            <w:r>
              <w:rPr>
                <w:b w:val="1"/>
                <w:color w:val="000000"/>
              </w:rPr>
              <w:t>Показатели</w:t>
            </w:r>
          </w:p>
        </w:tc>
        <w:tc>
          <w:tcPr>
            <w:tcW w:type="dxa" w:w="1134"/>
            <w:tcBorders>
              <w:top w:color="000000" w:sz="4" w:val="single"/>
              <w:left w:color="000000" w:sz="4" w:val="single"/>
              <w:bottom w:color="000000" w:sz="4" w:val="single"/>
              <w:right w:color="000000" w:sz="4" w:val="single"/>
            </w:tcBorders>
            <w:shd w:fill="auto" w:val="clear"/>
            <w:vAlign w:val="center"/>
          </w:tcPr>
          <w:p w14:paraId="74090000">
            <w:pPr>
              <w:widowControl w:val="1"/>
              <w:ind w:firstLine="34"/>
              <w:contextualSpacing w:val="1"/>
              <w:jc w:val="center"/>
              <w:rPr>
                <w:b w:val="1"/>
                <w:color w:val="000000"/>
              </w:rPr>
            </w:pPr>
            <w:r>
              <w:rPr>
                <w:b w:val="1"/>
                <w:color w:val="000000"/>
              </w:rPr>
              <w:t>Стоимость активов, пассивов на начало периода, тыс. руб.</w:t>
            </w:r>
          </w:p>
        </w:tc>
        <w:tc>
          <w:tcPr>
            <w:tcW w:type="dxa" w:w="992"/>
            <w:tcBorders>
              <w:top w:color="000000" w:sz="4" w:val="single"/>
              <w:left w:color="000000" w:sz="4" w:val="single"/>
              <w:bottom w:color="000000" w:sz="4" w:val="single"/>
              <w:right w:color="000000" w:sz="4" w:val="single"/>
            </w:tcBorders>
            <w:shd w:fill="auto" w:val="clear"/>
            <w:vAlign w:val="center"/>
          </w:tcPr>
          <w:p w14:paraId="75090000">
            <w:pPr>
              <w:widowControl w:val="1"/>
              <w:ind w:firstLine="34"/>
              <w:contextualSpacing w:val="1"/>
              <w:jc w:val="center"/>
              <w:rPr>
                <w:b w:val="1"/>
                <w:color w:val="000000"/>
              </w:rPr>
            </w:pPr>
            <w:r>
              <w:rPr>
                <w:b w:val="1"/>
                <w:color w:val="000000"/>
              </w:rPr>
              <w:t>Доля в составе валюты баланса, %</w:t>
            </w:r>
          </w:p>
        </w:tc>
        <w:tc>
          <w:tcPr>
            <w:tcW w:type="dxa" w:w="1134"/>
            <w:tcBorders>
              <w:top w:color="000000" w:sz="4" w:val="single"/>
              <w:left w:color="000000" w:sz="4" w:val="single"/>
              <w:bottom w:color="000000" w:sz="4" w:val="single"/>
              <w:right w:color="000000" w:sz="4" w:val="single"/>
            </w:tcBorders>
            <w:shd w:fill="auto" w:val="clear"/>
            <w:vAlign w:val="center"/>
          </w:tcPr>
          <w:p w14:paraId="76090000">
            <w:pPr>
              <w:widowControl w:val="1"/>
              <w:ind w:firstLine="34"/>
              <w:contextualSpacing w:val="1"/>
              <w:jc w:val="center"/>
              <w:rPr>
                <w:b w:val="1"/>
                <w:color w:val="000000"/>
              </w:rPr>
            </w:pPr>
            <w:r>
              <w:rPr>
                <w:b w:val="1"/>
                <w:color w:val="000000"/>
              </w:rPr>
              <w:t>Стоимость активов, пассивов на конец периода, тыс. руб.</w:t>
            </w:r>
          </w:p>
        </w:tc>
        <w:tc>
          <w:tcPr>
            <w:tcW w:type="dxa" w:w="992"/>
            <w:tcBorders>
              <w:top w:color="000000" w:sz="4" w:val="single"/>
              <w:left w:color="000000" w:sz="4" w:val="single"/>
              <w:bottom w:color="000000" w:sz="4" w:val="single"/>
              <w:right w:color="000000" w:sz="4" w:val="single"/>
            </w:tcBorders>
            <w:shd w:fill="auto" w:val="clear"/>
            <w:vAlign w:val="center"/>
          </w:tcPr>
          <w:p w14:paraId="77090000">
            <w:pPr>
              <w:widowControl w:val="1"/>
              <w:ind w:firstLine="34"/>
              <w:contextualSpacing w:val="1"/>
              <w:jc w:val="center"/>
              <w:rPr>
                <w:b w:val="1"/>
                <w:color w:val="000000"/>
              </w:rPr>
            </w:pPr>
            <w:r>
              <w:rPr>
                <w:b w:val="1"/>
                <w:color w:val="000000"/>
              </w:rPr>
              <w:t>Доля в составе валюты баланса, %</w:t>
            </w:r>
          </w:p>
        </w:tc>
        <w:tc>
          <w:tcPr>
            <w:tcW w:type="dxa" w:w="1417"/>
            <w:tcBorders>
              <w:top w:color="000000" w:sz="4" w:val="single"/>
              <w:left w:color="000000" w:sz="4" w:val="single"/>
              <w:bottom w:color="000000" w:sz="4" w:val="single"/>
              <w:right w:color="000000" w:sz="4" w:val="single"/>
            </w:tcBorders>
            <w:shd w:fill="auto" w:val="clear"/>
            <w:vAlign w:val="center"/>
          </w:tcPr>
          <w:p w14:paraId="78090000">
            <w:pPr>
              <w:widowControl w:val="1"/>
              <w:ind w:firstLine="34"/>
              <w:contextualSpacing w:val="1"/>
              <w:jc w:val="center"/>
              <w:rPr>
                <w:b w:val="1"/>
                <w:color w:val="000000"/>
              </w:rPr>
            </w:pPr>
            <w:r>
              <w:rPr>
                <w:b w:val="1"/>
                <w:color w:val="000000"/>
              </w:rPr>
              <w:t>Абсолютное отклонение, тыс. руб.</w:t>
            </w:r>
          </w:p>
        </w:tc>
        <w:tc>
          <w:tcPr>
            <w:tcW w:type="dxa" w:w="1134"/>
            <w:tcBorders>
              <w:top w:color="000000" w:sz="4" w:val="single"/>
              <w:left w:color="000000" w:sz="4" w:val="single"/>
              <w:bottom w:color="000000" w:sz="4" w:val="single"/>
              <w:right w:color="000000" w:sz="4" w:val="single"/>
            </w:tcBorders>
            <w:shd w:fill="auto" w:val="clear"/>
            <w:vAlign w:val="center"/>
          </w:tcPr>
          <w:p w14:paraId="79090000">
            <w:pPr>
              <w:widowControl w:val="1"/>
              <w:ind w:firstLine="34"/>
              <w:contextualSpacing w:val="1"/>
              <w:jc w:val="center"/>
              <w:rPr>
                <w:b w:val="1"/>
                <w:color w:val="000000"/>
              </w:rPr>
            </w:pPr>
            <w:r>
              <w:rPr>
                <w:b w:val="1"/>
                <w:color w:val="000000"/>
              </w:rPr>
              <w:t>Темп роста,                 %</w:t>
            </w:r>
          </w:p>
        </w:tc>
        <w:tc>
          <w:tcPr>
            <w:tcW w:type="dxa" w:w="852"/>
            <w:tcBorders>
              <w:top w:color="000000" w:sz="4" w:val="single"/>
              <w:left w:color="000000" w:sz="4" w:val="single"/>
              <w:bottom w:color="000000" w:sz="4" w:val="single"/>
              <w:right w:color="000000" w:sz="4" w:val="single"/>
            </w:tcBorders>
            <w:vAlign w:val="center"/>
          </w:tcPr>
          <w:p w14:paraId="7A090000">
            <w:pPr>
              <w:widowControl w:val="1"/>
              <w:ind w:firstLine="34"/>
              <w:contextualSpacing w:val="1"/>
              <w:jc w:val="center"/>
              <w:rPr>
                <w:color w:val="000000"/>
              </w:rPr>
            </w:pPr>
            <w:r>
              <w:rPr>
                <w:color w:val="000000"/>
              </w:rPr>
              <w:t xml:space="preserve">Изменение доли в составе валюты баланса,    </w:t>
            </w:r>
            <w:r>
              <w:rPr>
                <w:color w:val="000000"/>
              </w:rPr>
              <w:t xml:space="preserve">             </w:t>
            </w:r>
            <w:r>
              <w:rPr>
                <w:i w:val="1"/>
                <w:color w:val="000000"/>
              </w:rPr>
              <w:t>%</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7B090000">
            <w:pPr>
              <w:widowControl w:val="1"/>
              <w:ind w:firstLine="34"/>
              <w:contextualSpacing w:val="1"/>
              <w:jc w:val="center"/>
              <w:rPr>
                <w:b w:val="1"/>
                <w:color w:val="000000"/>
              </w:rPr>
            </w:pPr>
            <w:r>
              <w:rPr>
                <w:b w:val="1"/>
                <w:color w:val="000000"/>
              </w:rPr>
              <w:t>Внеоборотные активы</w:t>
            </w:r>
          </w:p>
        </w:tc>
        <w:tc>
          <w:tcPr>
            <w:tcW w:type="dxa" w:w="1134"/>
            <w:tcBorders>
              <w:top w:color="000000" w:sz="4" w:val="single"/>
              <w:left w:color="000000" w:sz="4" w:val="single"/>
              <w:bottom w:color="000000" w:sz="4" w:val="single"/>
              <w:right w:color="000000" w:sz="4" w:val="single"/>
            </w:tcBorders>
            <w:shd w:fill="auto" w:val="clear"/>
            <w:vAlign w:val="center"/>
          </w:tcPr>
          <w:p w14:paraId="7C090000">
            <w:pPr>
              <w:widowControl w:val="1"/>
              <w:ind w:firstLine="34"/>
              <w:contextualSpacing w:val="1"/>
              <w:jc w:val="center"/>
              <w:rPr>
                <w:b w:val="1"/>
                <w:color w:val="000000"/>
              </w:rPr>
            </w:pPr>
            <w:r>
              <w:rPr>
                <w:b w:val="1"/>
                <w:color w:val="000000"/>
              </w:rPr>
              <w:t>44 191</w:t>
            </w:r>
          </w:p>
        </w:tc>
        <w:tc>
          <w:tcPr>
            <w:tcW w:type="dxa" w:w="992"/>
            <w:tcBorders>
              <w:top w:color="000000" w:sz="4" w:val="single"/>
              <w:left w:color="000000" w:sz="4" w:val="single"/>
              <w:bottom w:color="000000" w:sz="4" w:val="single"/>
              <w:right w:color="000000" w:sz="4" w:val="single"/>
            </w:tcBorders>
            <w:shd w:fill="auto" w:val="clear"/>
            <w:vAlign w:val="center"/>
          </w:tcPr>
          <w:p w14:paraId="7D090000">
            <w:pPr>
              <w:widowControl w:val="1"/>
              <w:ind w:firstLine="34"/>
              <w:contextualSpacing w:val="1"/>
              <w:jc w:val="center"/>
              <w:rPr>
                <w:b w:val="1"/>
                <w:color w:val="000000"/>
              </w:rPr>
            </w:pPr>
            <w:r>
              <w:rPr>
                <w:b w:val="1"/>
                <w:color w:val="000000"/>
              </w:rPr>
              <w:t>27,8</w:t>
            </w:r>
          </w:p>
        </w:tc>
        <w:tc>
          <w:tcPr>
            <w:tcW w:type="dxa" w:w="1134"/>
            <w:tcBorders>
              <w:top w:color="000000" w:sz="4" w:val="single"/>
              <w:left w:color="000000" w:sz="4" w:val="single"/>
              <w:bottom w:color="000000" w:sz="4" w:val="single"/>
              <w:right w:color="000000" w:sz="4" w:val="single"/>
            </w:tcBorders>
            <w:shd w:fill="auto" w:val="clear"/>
            <w:vAlign w:val="center"/>
          </w:tcPr>
          <w:p w14:paraId="7E090000">
            <w:pPr>
              <w:widowControl w:val="1"/>
              <w:ind w:firstLine="34"/>
              <w:contextualSpacing w:val="1"/>
              <w:jc w:val="center"/>
              <w:rPr>
                <w:b w:val="1"/>
                <w:color w:val="000000"/>
              </w:rPr>
            </w:pPr>
            <w:r>
              <w:rPr>
                <w:b w:val="1"/>
                <w:color w:val="000000"/>
              </w:rPr>
              <w:t>36 916</w:t>
            </w:r>
          </w:p>
        </w:tc>
        <w:tc>
          <w:tcPr>
            <w:tcW w:type="dxa" w:w="992"/>
            <w:tcBorders>
              <w:top w:color="000000" w:sz="4" w:val="single"/>
              <w:left w:color="000000" w:sz="4" w:val="single"/>
              <w:bottom w:color="000000" w:sz="4" w:val="single"/>
              <w:right w:color="000000" w:sz="4" w:val="single"/>
            </w:tcBorders>
            <w:shd w:fill="auto" w:val="clear"/>
            <w:vAlign w:val="center"/>
          </w:tcPr>
          <w:p w14:paraId="7F090000">
            <w:pPr>
              <w:widowControl w:val="1"/>
              <w:ind w:firstLine="34"/>
              <w:contextualSpacing w:val="1"/>
              <w:jc w:val="center"/>
              <w:rPr>
                <w:b w:val="1"/>
                <w:color w:val="000000"/>
              </w:rPr>
            </w:pPr>
            <w:r>
              <w:rPr>
                <w:b w:val="1"/>
                <w:color w:val="000000"/>
              </w:rPr>
              <w:t>26,4</w:t>
            </w:r>
          </w:p>
        </w:tc>
        <w:tc>
          <w:tcPr>
            <w:tcW w:type="dxa" w:w="1417"/>
            <w:tcBorders>
              <w:top w:color="000000" w:sz="4" w:val="single"/>
              <w:left w:color="000000" w:sz="4" w:val="single"/>
              <w:bottom w:color="000000" w:sz="4" w:val="single"/>
              <w:right w:color="000000" w:sz="4" w:val="single"/>
            </w:tcBorders>
            <w:shd w:fill="auto" w:val="clear"/>
            <w:vAlign w:val="center"/>
          </w:tcPr>
          <w:p w14:paraId="80090000">
            <w:pPr>
              <w:widowControl w:val="1"/>
              <w:ind w:firstLine="34"/>
              <w:contextualSpacing w:val="1"/>
              <w:jc w:val="center"/>
              <w:rPr>
                <w:b w:val="1"/>
                <w:color w:val="000000"/>
              </w:rPr>
            </w:pPr>
            <w:r>
              <w:rPr>
                <w:b w:val="1"/>
                <w:color w:val="000000"/>
              </w:rPr>
              <w:t>-7 275</w:t>
            </w:r>
          </w:p>
        </w:tc>
        <w:tc>
          <w:tcPr>
            <w:tcW w:type="dxa" w:w="1134"/>
            <w:tcBorders>
              <w:top w:color="000000" w:sz="4" w:val="single"/>
              <w:left w:color="000000" w:sz="4" w:val="single"/>
              <w:bottom w:color="000000" w:sz="4" w:val="single"/>
              <w:right w:color="000000" w:sz="4" w:val="single"/>
            </w:tcBorders>
            <w:shd w:fill="auto" w:val="clear"/>
            <w:vAlign w:val="center"/>
          </w:tcPr>
          <w:p w14:paraId="81090000">
            <w:pPr>
              <w:widowControl w:val="1"/>
              <w:ind w:firstLine="34"/>
              <w:contextualSpacing w:val="1"/>
              <w:jc w:val="center"/>
              <w:rPr>
                <w:b w:val="1"/>
                <w:color w:val="000000"/>
              </w:rPr>
            </w:pPr>
            <w:r>
              <w:rPr>
                <w:b w:val="1"/>
                <w:color w:val="000000"/>
              </w:rPr>
              <w:t>83,5%</w:t>
            </w:r>
          </w:p>
        </w:tc>
        <w:tc>
          <w:tcPr>
            <w:tcW w:type="dxa" w:w="852"/>
            <w:tcBorders>
              <w:top w:color="000000" w:sz="4" w:val="single"/>
              <w:left w:color="000000" w:sz="4" w:val="single"/>
              <w:bottom w:color="000000" w:sz="4" w:val="single"/>
              <w:right w:color="000000" w:sz="4" w:val="single"/>
            </w:tcBorders>
            <w:vAlign w:val="center"/>
          </w:tcPr>
          <w:p w14:paraId="82090000">
            <w:pPr>
              <w:widowControl w:val="1"/>
              <w:ind w:firstLine="34"/>
              <w:contextualSpacing w:val="1"/>
              <w:jc w:val="center"/>
              <w:rPr>
                <w:b w:val="1"/>
                <w:color w:val="000000"/>
              </w:rPr>
            </w:pPr>
            <w:r>
              <w:rPr>
                <w:b w:val="1"/>
                <w:color w:val="000000"/>
              </w:rPr>
              <w:t>-1,3</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83090000">
            <w:pPr>
              <w:widowControl w:val="1"/>
              <w:ind w:firstLine="34"/>
              <w:contextualSpacing w:val="1"/>
              <w:jc w:val="center"/>
              <w:rPr>
                <w:color w:val="000000"/>
              </w:rPr>
            </w:pPr>
            <w:r>
              <w:rPr>
                <w:color w:val="000000"/>
              </w:rPr>
              <w:t>нематериальные активы</w:t>
            </w:r>
          </w:p>
        </w:tc>
        <w:tc>
          <w:tcPr>
            <w:tcW w:type="dxa" w:w="1134"/>
            <w:tcBorders>
              <w:top w:color="000000" w:sz="4" w:val="single"/>
              <w:left w:color="000000" w:sz="4" w:val="single"/>
              <w:bottom w:color="000000" w:sz="4" w:val="single"/>
              <w:right w:color="000000" w:sz="4" w:val="single"/>
            </w:tcBorders>
            <w:shd w:fill="auto" w:val="clear"/>
            <w:vAlign w:val="center"/>
          </w:tcPr>
          <w:p w14:paraId="84090000">
            <w:pPr>
              <w:widowControl w:val="1"/>
              <w:ind w:firstLine="34"/>
              <w:contextualSpacing w:val="1"/>
              <w:jc w:val="center"/>
              <w:rPr>
                <w:color w:val="000000"/>
              </w:rPr>
            </w:pPr>
            <w:r>
              <w:rPr>
                <w:color w:val="000000"/>
              </w:rPr>
              <w:t>710</w:t>
            </w:r>
          </w:p>
        </w:tc>
        <w:tc>
          <w:tcPr>
            <w:tcW w:type="dxa" w:w="992"/>
            <w:tcBorders>
              <w:top w:color="000000" w:sz="4" w:val="single"/>
              <w:left w:color="000000" w:sz="4" w:val="single"/>
              <w:bottom w:color="000000" w:sz="4" w:val="single"/>
              <w:right w:color="000000" w:sz="4" w:val="single"/>
            </w:tcBorders>
            <w:shd w:fill="auto" w:val="clear"/>
            <w:vAlign w:val="center"/>
          </w:tcPr>
          <w:p w14:paraId="85090000">
            <w:pPr>
              <w:widowControl w:val="1"/>
              <w:ind w:firstLine="34"/>
              <w:contextualSpacing w:val="1"/>
              <w:jc w:val="center"/>
              <w:rPr>
                <w:color w:val="000000"/>
              </w:rPr>
            </w:pPr>
            <w:r>
              <w:rPr>
                <w:color w:val="000000"/>
              </w:rPr>
              <w:t>0,4</w:t>
            </w:r>
          </w:p>
        </w:tc>
        <w:tc>
          <w:tcPr>
            <w:tcW w:type="dxa" w:w="1134"/>
            <w:tcBorders>
              <w:top w:color="000000" w:sz="4" w:val="single"/>
              <w:left w:color="000000" w:sz="4" w:val="single"/>
              <w:bottom w:color="000000" w:sz="4" w:val="single"/>
              <w:right w:color="000000" w:sz="4" w:val="single"/>
            </w:tcBorders>
            <w:shd w:fill="auto" w:val="clear"/>
            <w:vAlign w:val="center"/>
          </w:tcPr>
          <w:p w14:paraId="86090000">
            <w:pPr>
              <w:widowControl w:val="1"/>
              <w:ind w:firstLine="34"/>
              <w:contextualSpacing w:val="1"/>
              <w:jc w:val="center"/>
              <w:rPr>
                <w:color w:val="000000"/>
              </w:rPr>
            </w:pPr>
            <w:r>
              <w:rPr>
                <w:color w:val="000000"/>
              </w:rPr>
              <w:t>321</w:t>
            </w:r>
          </w:p>
        </w:tc>
        <w:tc>
          <w:tcPr>
            <w:tcW w:type="dxa" w:w="992"/>
            <w:tcBorders>
              <w:top w:color="000000" w:sz="4" w:val="single"/>
              <w:left w:color="000000" w:sz="4" w:val="single"/>
              <w:bottom w:color="000000" w:sz="4" w:val="single"/>
              <w:right w:color="000000" w:sz="4" w:val="single"/>
            </w:tcBorders>
            <w:shd w:fill="auto" w:val="clear"/>
            <w:vAlign w:val="center"/>
          </w:tcPr>
          <w:p w14:paraId="87090000">
            <w:pPr>
              <w:widowControl w:val="1"/>
              <w:ind w:firstLine="34"/>
              <w:contextualSpacing w:val="1"/>
              <w:jc w:val="center"/>
              <w:rPr>
                <w:color w:val="000000"/>
              </w:rPr>
            </w:pPr>
            <w:r>
              <w:rPr>
                <w:color w:val="000000"/>
              </w:rPr>
              <w:t>0,2</w:t>
            </w:r>
          </w:p>
        </w:tc>
        <w:tc>
          <w:tcPr>
            <w:tcW w:type="dxa" w:w="1417"/>
            <w:tcBorders>
              <w:top w:color="000000" w:sz="4" w:val="single"/>
              <w:left w:color="000000" w:sz="4" w:val="single"/>
              <w:bottom w:color="000000" w:sz="4" w:val="single"/>
              <w:right w:color="000000" w:sz="4" w:val="single"/>
            </w:tcBorders>
            <w:shd w:fill="auto" w:val="clear"/>
            <w:vAlign w:val="center"/>
          </w:tcPr>
          <w:p w14:paraId="88090000">
            <w:pPr>
              <w:widowControl w:val="1"/>
              <w:ind w:firstLine="34"/>
              <w:contextualSpacing w:val="1"/>
              <w:jc w:val="center"/>
              <w:rPr>
                <w:color w:val="000000"/>
              </w:rPr>
            </w:pPr>
            <w:r>
              <w:rPr>
                <w:color w:val="000000"/>
              </w:rPr>
              <w:t>-389</w:t>
            </w:r>
          </w:p>
        </w:tc>
        <w:tc>
          <w:tcPr>
            <w:tcW w:type="dxa" w:w="1134"/>
            <w:tcBorders>
              <w:top w:color="000000" w:sz="4" w:val="single"/>
              <w:left w:color="000000" w:sz="4" w:val="single"/>
              <w:bottom w:color="000000" w:sz="4" w:val="single"/>
              <w:right w:color="000000" w:sz="4" w:val="single"/>
            </w:tcBorders>
            <w:shd w:fill="auto" w:val="clear"/>
            <w:vAlign w:val="center"/>
          </w:tcPr>
          <w:p w14:paraId="89090000">
            <w:pPr>
              <w:widowControl w:val="1"/>
              <w:ind w:firstLine="34"/>
              <w:contextualSpacing w:val="1"/>
              <w:jc w:val="center"/>
              <w:rPr>
                <w:color w:val="000000"/>
              </w:rPr>
            </w:pPr>
            <w:r>
              <w:rPr>
                <w:color w:val="000000"/>
              </w:rPr>
              <w:t>45,2%</w:t>
            </w:r>
          </w:p>
        </w:tc>
        <w:tc>
          <w:tcPr>
            <w:tcW w:type="dxa" w:w="852"/>
            <w:tcBorders>
              <w:top w:color="000000" w:sz="4" w:val="single"/>
              <w:left w:color="000000" w:sz="4" w:val="single"/>
              <w:bottom w:color="000000" w:sz="4" w:val="single"/>
              <w:right w:color="000000" w:sz="4" w:val="single"/>
            </w:tcBorders>
            <w:vAlign w:val="center"/>
          </w:tcPr>
          <w:p w14:paraId="8A090000">
            <w:pPr>
              <w:widowControl w:val="1"/>
              <w:ind w:firstLine="34"/>
              <w:contextualSpacing w:val="1"/>
              <w:jc w:val="center"/>
              <w:rPr>
                <w:color w:val="000000"/>
              </w:rPr>
            </w:pPr>
            <w:r>
              <w:rPr>
                <w:color w:val="000000"/>
              </w:rPr>
              <w:t>-0,2</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8B090000">
            <w:pPr>
              <w:widowControl w:val="1"/>
              <w:ind w:firstLine="34"/>
              <w:contextualSpacing w:val="1"/>
              <w:jc w:val="center"/>
              <w:rPr>
                <w:color w:val="000000"/>
              </w:rPr>
            </w:pPr>
            <w:r>
              <w:rPr>
                <w:color w:val="000000"/>
              </w:rPr>
              <w:t>основные средства</w:t>
            </w:r>
          </w:p>
        </w:tc>
        <w:tc>
          <w:tcPr>
            <w:tcW w:type="dxa" w:w="1134"/>
            <w:tcBorders>
              <w:top w:color="000000" w:sz="4" w:val="single"/>
              <w:left w:color="000000" w:sz="4" w:val="single"/>
              <w:bottom w:color="000000" w:sz="4" w:val="single"/>
              <w:right w:color="000000" w:sz="4" w:val="single"/>
            </w:tcBorders>
            <w:shd w:fill="auto" w:val="clear"/>
            <w:vAlign w:val="center"/>
          </w:tcPr>
          <w:p w14:paraId="8C090000">
            <w:pPr>
              <w:widowControl w:val="1"/>
              <w:ind w:firstLine="34"/>
              <w:contextualSpacing w:val="1"/>
              <w:jc w:val="center"/>
              <w:rPr>
                <w:color w:val="000000"/>
              </w:rPr>
            </w:pPr>
            <w:r>
              <w:rPr>
                <w:color w:val="000000"/>
              </w:rPr>
              <w:t>13 675</w:t>
            </w:r>
          </w:p>
        </w:tc>
        <w:tc>
          <w:tcPr>
            <w:tcW w:type="dxa" w:w="992"/>
            <w:tcBorders>
              <w:top w:color="000000" w:sz="4" w:val="single"/>
              <w:left w:color="000000" w:sz="4" w:val="single"/>
              <w:bottom w:color="000000" w:sz="4" w:val="single"/>
              <w:right w:color="000000" w:sz="4" w:val="single"/>
            </w:tcBorders>
            <w:shd w:fill="auto" w:val="clear"/>
            <w:vAlign w:val="center"/>
          </w:tcPr>
          <w:p w14:paraId="8D090000">
            <w:pPr>
              <w:widowControl w:val="1"/>
              <w:ind w:firstLine="34"/>
              <w:contextualSpacing w:val="1"/>
              <w:jc w:val="center"/>
              <w:rPr>
                <w:color w:val="000000"/>
              </w:rPr>
            </w:pPr>
            <w:r>
              <w:rPr>
                <w:color w:val="000000"/>
              </w:rPr>
              <w:t>8,6</w:t>
            </w:r>
          </w:p>
        </w:tc>
        <w:tc>
          <w:tcPr>
            <w:tcW w:type="dxa" w:w="1134"/>
            <w:tcBorders>
              <w:top w:color="000000" w:sz="4" w:val="single"/>
              <w:left w:color="000000" w:sz="4" w:val="single"/>
              <w:bottom w:color="000000" w:sz="4" w:val="single"/>
              <w:right w:color="000000" w:sz="4" w:val="single"/>
            </w:tcBorders>
            <w:shd w:fill="auto" w:val="clear"/>
            <w:vAlign w:val="center"/>
          </w:tcPr>
          <w:p w14:paraId="8E090000">
            <w:pPr>
              <w:widowControl w:val="1"/>
              <w:ind w:firstLine="34"/>
              <w:contextualSpacing w:val="1"/>
              <w:jc w:val="center"/>
              <w:rPr>
                <w:color w:val="000000"/>
              </w:rPr>
            </w:pPr>
            <w:r>
              <w:rPr>
                <w:color w:val="000000"/>
              </w:rPr>
              <w:t>11 341</w:t>
            </w:r>
          </w:p>
        </w:tc>
        <w:tc>
          <w:tcPr>
            <w:tcW w:type="dxa" w:w="992"/>
            <w:tcBorders>
              <w:top w:color="000000" w:sz="4" w:val="single"/>
              <w:left w:color="000000" w:sz="4" w:val="single"/>
              <w:bottom w:color="000000" w:sz="4" w:val="single"/>
              <w:right w:color="000000" w:sz="4" w:val="single"/>
            </w:tcBorders>
            <w:shd w:fill="auto" w:val="clear"/>
            <w:vAlign w:val="center"/>
          </w:tcPr>
          <w:p w14:paraId="8F090000">
            <w:pPr>
              <w:widowControl w:val="1"/>
              <w:ind w:firstLine="34"/>
              <w:contextualSpacing w:val="1"/>
              <w:jc w:val="center"/>
              <w:rPr>
                <w:color w:val="000000"/>
              </w:rPr>
            </w:pPr>
            <w:r>
              <w:rPr>
                <w:color w:val="000000"/>
              </w:rPr>
              <w:t>8,1</w:t>
            </w:r>
          </w:p>
        </w:tc>
        <w:tc>
          <w:tcPr>
            <w:tcW w:type="dxa" w:w="1417"/>
            <w:tcBorders>
              <w:top w:color="000000" w:sz="4" w:val="single"/>
              <w:left w:color="000000" w:sz="4" w:val="single"/>
              <w:bottom w:color="000000" w:sz="4" w:val="single"/>
              <w:right w:color="000000" w:sz="4" w:val="single"/>
            </w:tcBorders>
            <w:shd w:fill="auto" w:val="clear"/>
            <w:vAlign w:val="center"/>
          </w:tcPr>
          <w:p w14:paraId="90090000">
            <w:pPr>
              <w:widowControl w:val="1"/>
              <w:ind w:firstLine="34"/>
              <w:contextualSpacing w:val="1"/>
              <w:jc w:val="center"/>
              <w:rPr>
                <w:color w:val="000000"/>
              </w:rPr>
            </w:pPr>
            <w:r>
              <w:rPr>
                <w:color w:val="000000"/>
              </w:rPr>
              <w:t>-2 334</w:t>
            </w:r>
          </w:p>
        </w:tc>
        <w:tc>
          <w:tcPr>
            <w:tcW w:type="dxa" w:w="1134"/>
            <w:tcBorders>
              <w:top w:color="000000" w:sz="4" w:val="single"/>
              <w:left w:color="000000" w:sz="4" w:val="single"/>
              <w:bottom w:color="000000" w:sz="4" w:val="single"/>
              <w:right w:color="000000" w:sz="4" w:val="single"/>
            </w:tcBorders>
            <w:shd w:fill="auto" w:val="clear"/>
            <w:vAlign w:val="center"/>
          </w:tcPr>
          <w:p w14:paraId="91090000">
            <w:pPr>
              <w:widowControl w:val="1"/>
              <w:ind w:firstLine="34"/>
              <w:contextualSpacing w:val="1"/>
              <w:jc w:val="center"/>
              <w:rPr>
                <w:color w:val="000000"/>
              </w:rPr>
            </w:pPr>
            <w:r>
              <w:rPr>
                <w:color w:val="000000"/>
              </w:rPr>
              <w:t>82,9%</w:t>
            </w:r>
          </w:p>
        </w:tc>
        <w:tc>
          <w:tcPr>
            <w:tcW w:type="dxa" w:w="852"/>
            <w:tcBorders>
              <w:top w:color="000000" w:sz="4" w:val="single"/>
              <w:left w:color="000000" w:sz="4" w:val="single"/>
              <w:bottom w:color="000000" w:sz="4" w:val="single"/>
              <w:right w:color="000000" w:sz="4" w:val="single"/>
            </w:tcBorders>
            <w:vAlign w:val="center"/>
          </w:tcPr>
          <w:p w14:paraId="92090000">
            <w:pPr>
              <w:widowControl w:val="1"/>
              <w:ind w:firstLine="34"/>
              <w:contextualSpacing w:val="1"/>
              <w:jc w:val="center"/>
              <w:rPr>
                <w:color w:val="000000"/>
              </w:rPr>
            </w:pPr>
            <w:r>
              <w:rPr>
                <w:color w:val="000000"/>
              </w:rPr>
              <w:t>-0,5</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93090000">
            <w:pPr>
              <w:widowControl w:val="1"/>
              <w:ind w:firstLine="34"/>
              <w:contextualSpacing w:val="1"/>
              <w:jc w:val="center"/>
              <w:rPr>
                <w:color w:val="000000"/>
              </w:rPr>
            </w:pPr>
            <w:r>
              <w:rPr>
                <w:color w:val="000000"/>
              </w:rPr>
              <w:t>отложенные налоговые активы</w:t>
            </w:r>
          </w:p>
        </w:tc>
        <w:tc>
          <w:tcPr>
            <w:tcW w:type="dxa" w:w="1134"/>
            <w:tcBorders>
              <w:top w:color="000000" w:sz="4" w:val="single"/>
              <w:left w:color="000000" w:sz="4" w:val="single"/>
              <w:bottom w:color="000000" w:sz="4" w:val="single"/>
              <w:right w:color="000000" w:sz="4" w:val="single"/>
            </w:tcBorders>
            <w:shd w:fill="auto" w:val="clear"/>
            <w:vAlign w:val="center"/>
          </w:tcPr>
          <w:p w14:paraId="94090000">
            <w:pPr>
              <w:widowControl w:val="1"/>
              <w:ind w:firstLine="34"/>
              <w:contextualSpacing w:val="1"/>
              <w:jc w:val="center"/>
              <w:rPr>
                <w:color w:val="000000"/>
              </w:rPr>
            </w:pPr>
            <w:r>
              <w:rPr>
                <w:color w:val="000000"/>
              </w:rPr>
              <w:t>29 733</w:t>
            </w:r>
          </w:p>
        </w:tc>
        <w:tc>
          <w:tcPr>
            <w:tcW w:type="dxa" w:w="992"/>
            <w:tcBorders>
              <w:top w:color="000000" w:sz="4" w:val="single"/>
              <w:left w:color="000000" w:sz="4" w:val="single"/>
              <w:bottom w:color="000000" w:sz="4" w:val="single"/>
              <w:right w:color="000000" w:sz="4" w:val="single"/>
            </w:tcBorders>
            <w:shd w:fill="auto" w:val="clear"/>
            <w:vAlign w:val="center"/>
          </w:tcPr>
          <w:p w14:paraId="95090000">
            <w:pPr>
              <w:widowControl w:val="1"/>
              <w:ind w:firstLine="34"/>
              <w:contextualSpacing w:val="1"/>
              <w:jc w:val="center"/>
              <w:rPr>
                <w:color w:val="000000"/>
              </w:rPr>
            </w:pPr>
            <w:r>
              <w:rPr>
                <w:color w:val="000000"/>
              </w:rPr>
              <w:t>18,7</w:t>
            </w:r>
          </w:p>
        </w:tc>
        <w:tc>
          <w:tcPr>
            <w:tcW w:type="dxa" w:w="1134"/>
            <w:tcBorders>
              <w:top w:color="000000" w:sz="4" w:val="single"/>
              <w:left w:color="000000" w:sz="4" w:val="single"/>
              <w:bottom w:color="000000" w:sz="4" w:val="single"/>
              <w:right w:color="000000" w:sz="4" w:val="single"/>
            </w:tcBorders>
            <w:shd w:fill="auto" w:val="clear"/>
            <w:vAlign w:val="center"/>
          </w:tcPr>
          <w:p w14:paraId="96090000">
            <w:pPr>
              <w:widowControl w:val="1"/>
              <w:ind w:firstLine="34"/>
              <w:contextualSpacing w:val="1"/>
              <w:jc w:val="center"/>
              <w:rPr>
                <w:color w:val="000000"/>
              </w:rPr>
            </w:pPr>
            <w:r>
              <w:rPr>
                <w:color w:val="000000"/>
              </w:rPr>
              <w:t>25 071</w:t>
            </w:r>
          </w:p>
        </w:tc>
        <w:tc>
          <w:tcPr>
            <w:tcW w:type="dxa" w:w="992"/>
            <w:tcBorders>
              <w:top w:color="000000" w:sz="4" w:val="single"/>
              <w:left w:color="000000" w:sz="4" w:val="single"/>
              <w:bottom w:color="000000" w:sz="4" w:val="single"/>
              <w:right w:color="000000" w:sz="4" w:val="single"/>
            </w:tcBorders>
            <w:shd w:fill="auto" w:val="clear"/>
            <w:vAlign w:val="center"/>
          </w:tcPr>
          <w:p w14:paraId="97090000">
            <w:pPr>
              <w:widowControl w:val="1"/>
              <w:ind w:firstLine="34"/>
              <w:contextualSpacing w:val="1"/>
              <w:jc w:val="center"/>
              <w:rPr>
                <w:color w:val="000000"/>
              </w:rPr>
            </w:pPr>
            <w:r>
              <w:rPr>
                <w:color w:val="000000"/>
              </w:rPr>
              <w:t>17,9</w:t>
            </w:r>
          </w:p>
        </w:tc>
        <w:tc>
          <w:tcPr>
            <w:tcW w:type="dxa" w:w="1417"/>
            <w:tcBorders>
              <w:top w:color="000000" w:sz="4" w:val="single"/>
              <w:left w:color="000000" w:sz="4" w:val="single"/>
              <w:bottom w:color="000000" w:sz="4" w:val="single"/>
              <w:right w:color="000000" w:sz="4" w:val="single"/>
            </w:tcBorders>
            <w:shd w:fill="auto" w:val="clear"/>
            <w:vAlign w:val="center"/>
          </w:tcPr>
          <w:p w14:paraId="98090000">
            <w:pPr>
              <w:widowControl w:val="1"/>
              <w:ind w:firstLine="34"/>
              <w:contextualSpacing w:val="1"/>
              <w:jc w:val="center"/>
              <w:rPr>
                <w:color w:val="000000"/>
              </w:rPr>
            </w:pPr>
            <w:r>
              <w:rPr>
                <w:color w:val="000000"/>
              </w:rPr>
              <w:t>-4 662</w:t>
            </w:r>
          </w:p>
        </w:tc>
        <w:tc>
          <w:tcPr>
            <w:tcW w:type="dxa" w:w="1134"/>
            <w:tcBorders>
              <w:top w:color="000000" w:sz="4" w:val="single"/>
              <w:left w:color="000000" w:sz="4" w:val="single"/>
              <w:bottom w:color="000000" w:sz="4" w:val="single"/>
              <w:right w:color="000000" w:sz="4" w:val="single"/>
            </w:tcBorders>
            <w:shd w:fill="auto" w:val="clear"/>
            <w:vAlign w:val="center"/>
          </w:tcPr>
          <w:p w14:paraId="99090000">
            <w:pPr>
              <w:widowControl w:val="1"/>
              <w:ind w:firstLine="34"/>
              <w:contextualSpacing w:val="1"/>
              <w:jc w:val="center"/>
              <w:rPr>
                <w:color w:val="000000"/>
              </w:rPr>
            </w:pPr>
            <w:r>
              <w:rPr>
                <w:color w:val="000000"/>
              </w:rPr>
              <w:t>84,3</w:t>
            </w:r>
            <w:r>
              <w:rPr>
                <w:color w:val="000000"/>
              </w:rPr>
              <w:t>%</w:t>
            </w:r>
          </w:p>
        </w:tc>
        <w:tc>
          <w:tcPr>
            <w:tcW w:type="dxa" w:w="852"/>
            <w:tcBorders>
              <w:top w:color="000000" w:sz="4" w:val="single"/>
              <w:left w:color="000000" w:sz="4" w:val="single"/>
              <w:bottom w:color="000000" w:sz="4" w:val="single"/>
              <w:right w:color="000000" w:sz="4" w:val="single"/>
            </w:tcBorders>
            <w:vAlign w:val="center"/>
          </w:tcPr>
          <w:p w14:paraId="9A090000">
            <w:pPr>
              <w:widowControl w:val="1"/>
              <w:ind w:firstLine="34"/>
              <w:contextualSpacing w:val="1"/>
              <w:jc w:val="center"/>
              <w:rPr>
                <w:color w:val="000000"/>
              </w:rPr>
            </w:pPr>
            <w:r>
              <w:rPr>
                <w:color w:val="000000"/>
              </w:rPr>
              <w:t>-0,7</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9B090000">
            <w:pPr>
              <w:widowControl w:val="1"/>
              <w:ind w:firstLine="34"/>
              <w:contextualSpacing w:val="1"/>
              <w:jc w:val="center"/>
              <w:rPr>
                <w:color w:val="000000"/>
              </w:rPr>
            </w:pPr>
            <w:r>
              <w:rPr>
                <w:color w:val="000000"/>
              </w:rPr>
              <w:t>прочие внеоборотные активы</w:t>
            </w:r>
          </w:p>
        </w:tc>
        <w:tc>
          <w:tcPr>
            <w:tcW w:type="dxa" w:w="1134"/>
            <w:tcBorders>
              <w:top w:color="000000" w:sz="4" w:val="single"/>
              <w:left w:color="000000" w:sz="4" w:val="single"/>
              <w:bottom w:color="000000" w:sz="4" w:val="single"/>
              <w:right w:color="000000" w:sz="4" w:val="single"/>
            </w:tcBorders>
            <w:shd w:fill="auto" w:val="clear"/>
            <w:vAlign w:val="center"/>
          </w:tcPr>
          <w:p w14:paraId="9C090000">
            <w:pPr>
              <w:widowControl w:val="1"/>
              <w:ind w:firstLine="34"/>
              <w:contextualSpacing w:val="1"/>
              <w:jc w:val="center"/>
              <w:rPr>
                <w:color w:val="000000"/>
              </w:rPr>
            </w:pPr>
            <w:r>
              <w:rPr>
                <w:color w:val="000000"/>
              </w:rPr>
              <w:t>73</w:t>
            </w:r>
          </w:p>
        </w:tc>
        <w:tc>
          <w:tcPr>
            <w:tcW w:type="dxa" w:w="992"/>
            <w:tcBorders>
              <w:top w:color="000000" w:sz="4" w:val="single"/>
              <w:left w:color="000000" w:sz="4" w:val="single"/>
              <w:bottom w:color="000000" w:sz="4" w:val="single"/>
              <w:right w:color="000000" w:sz="4" w:val="single"/>
            </w:tcBorders>
            <w:shd w:fill="auto" w:val="clear"/>
            <w:vAlign w:val="center"/>
          </w:tcPr>
          <w:p w14:paraId="9D090000">
            <w:pPr>
              <w:widowControl w:val="1"/>
              <w:ind w:firstLine="34"/>
              <w:contextualSpacing w:val="1"/>
              <w:jc w:val="center"/>
              <w:rPr>
                <w:color w:val="000000"/>
              </w:rPr>
            </w:pPr>
            <w:r>
              <w:rPr>
                <w:color w:val="000000"/>
              </w:rPr>
              <w:t>0,0</w:t>
            </w:r>
          </w:p>
        </w:tc>
        <w:tc>
          <w:tcPr>
            <w:tcW w:type="dxa" w:w="1134"/>
            <w:tcBorders>
              <w:top w:color="000000" w:sz="4" w:val="single"/>
              <w:left w:color="000000" w:sz="4" w:val="single"/>
              <w:bottom w:color="000000" w:sz="4" w:val="single"/>
              <w:right w:color="000000" w:sz="4" w:val="single"/>
            </w:tcBorders>
            <w:shd w:fill="auto" w:val="clear"/>
            <w:vAlign w:val="center"/>
          </w:tcPr>
          <w:p w14:paraId="9E090000">
            <w:pPr>
              <w:widowControl w:val="1"/>
              <w:ind w:firstLine="34"/>
              <w:contextualSpacing w:val="1"/>
              <w:jc w:val="center"/>
              <w:rPr>
                <w:color w:val="000000"/>
              </w:rPr>
            </w:pPr>
            <w:r>
              <w:rPr>
                <w:color w:val="000000"/>
              </w:rPr>
              <w:t>183</w:t>
            </w:r>
          </w:p>
        </w:tc>
        <w:tc>
          <w:tcPr>
            <w:tcW w:type="dxa" w:w="992"/>
            <w:tcBorders>
              <w:top w:color="000000" w:sz="4" w:val="single"/>
              <w:left w:color="000000" w:sz="4" w:val="single"/>
              <w:bottom w:color="000000" w:sz="4" w:val="single"/>
              <w:right w:color="000000" w:sz="4" w:val="single"/>
            </w:tcBorders>
            <w:shd w:fill="auto" w:val="clear"/>
            <w:vAlign w:val="center"/>
          </w:tcPr>
          <w:p w14:paraId="9F090000">
            <w:pPr>
              <w:widowControl w:val="1"/>
              <w:ind w:firstLine="34"/>
              <w:contextualSpacing w:val="1"/>
              <w:jc w:val="center"/>
              <w:rPr>
                <w:color w:val="000000"/>
              </w:rPr>
            </w:pPr>
            <w:r>
              <w:rPr>
                <w:color w:val="000000"/>
              </w:rPr>
              <w:t>0,1</w:t>
            </w:r>
          </w:p>
        </w:tc>
        <w:tc>
          <w:tcPr>
            <w:tcW w:type="dxa" w:w="1417"/>
            <w:tcBorders>
              <w:top w:color="000000" w:sz="4" w:val="single"/>
              <w:left w:color="000000" w:sz="4" w:val="single"/>
              <w:bottom w:color="000000" w:sz="4" w:val="single"/>
              <w:right w:color="000000" w:sz="4" w:val="single"/>
            </w:tcBorders>
            <w:shd w:fill="auto" w:val="clear"/>
            <w:vAlign w:val="center"/>
          </w:tcPr>
          <w:p w14:paraId="A0090000">
            <w:pPr>
              <w:widowControl w:val="1"/>
              <w:ind w:firstLine="34"/>
              <w:contextualSpacing w:val="1"/>
              <w:jc w:val="center"/>
              <w:rPr>
                <w:color w:val="000000"/>
              </w:rPr>
            </w:pPr>
            <w:r>
              <w:rPr>
                <w:color w:val="000000"/>
              </w:rPr>
              <w:t>110</w:t>
            </w:r>
          </w:p>
        </w:tc>
        <w:tc>
          <w:tcPr>
            <w:tcW w:type="dxa" w:w="1134"/>
            <w:tcBorders>
              <w:top w:color="000000" w:sz="4" w:val="single"/>
              <w:left w:color="000000" w:sz="4" w:val="single"/>
              <w:bottom w:color="000000" w:sz="4" w:val="single"/>
              <w:right w:color="000000" w:sz="4" w:val="single"/>
            </w:tcBorders>
            <w:shd w:fill="auto" w:val="clear"/>
            <w:vAlign w:val="center"/>
          </w:tcPr>
          <w:p w14:paraId="A1090000">
            <w:pPr>
              <w:widowControl w:val="1"/>
              <w:ind w:firstLine="34"/>
              <w:contextualSpacing w:val="1"/>
              <w:jc w:val="center"/>
              <w:rPr>
                <w:color w:val="000000"/>
              </w:rPr>
            </w:pPr>
            <w:r>
              <w:rPr>
                <w:color w:val="000000"/>
              </w:rPr>
              <w:t>250,7%</w:t>
            </w:r>
          </w:p>
        </w:tc>
        <w:tc>
          <w:tcPr>
            <w:tcW w:type="dxa" w:w="852"/>
            <w:tcBorders>
              <w:top w:color="000000" w:sz="4" w:val="single"/>
              <w:left w:color="000000" w:sz="4" w:val="single"/>
              <w:bottom w:color="000000" w:sz="4" w:val="single"/>
              <w:right w:color="000000" w:sz="4" w:val="single"/>
            </w:tcBorders>
            <w:vAlign w:val="center"/>
          </w:tcPr>
          <w:p w14:paraId="A2090000">
            <w:pPr>
              <w:widowControl w:val="1"/>
              <w:ind w:firstLine="34"/>
              <w:contextualSpacing w:val="1"/>
              <w:jc w:val="center"/>
              <w:rPr>
                <w:color w:val="000000"/>
              </w:rPr>
            </w:pPr>
            <w:r>
              <w:rPr>
                <w:color w:val="000000"/>
              </w:rPr>
              <w:t>0,1</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A3090000">
            <w:pPr>
              <w:widowControl w:val="1"/>
              <w:ind w:firstLine="34"/>
              <w:contextualSpacing w:val="1"/>
              <w:jc w:val="center"/>
              <w:rPr>
                <w:b w:val="1"/>
                <w:color w:val="000000"/>
              </w:rPr>
            </w:pPr>
            <w:r>
              <w:rPr>
                <w:b w:val="1"/>
                <w:color w:val="000000"/>
              </w:rPr>
              <w:t>Оборотные активы</w:t>
            </w:r>
          </w:p>
        </w:tc>
        <w:tc>
          <w:tcPr>
            <w:tcW w:type="dxa" w:w="1134"/>
            <w:tcBorders>
              <w:top w:color="000000" w:sz="4" w:val="single"/>
              <w:left w:color="000000" w:sz="4" w:val="single"/>
              <w:bottom w:color="000000" w:sz="4" w:val="single"/>
              <w:right w:color="000000" w:sz="4" w:val="single"/>
            </w:tcBorders>
            <w:shd w:fill="auto" w:val="clear"/>
            <w:vAlign w:val="center"/>
          </w:tcPr>
          <w:p w14:paraId="A4090000">
            <w:pPr>
              <w:widowControl w:val="1"/>
              <w:ind w:firstLine="34"/>
              <w:contextualSpacing w:val="1"/>
              <w:jc w:val="center"/>
              <w:rPr>
                <w:b w:val="1"/>
                <w:color w:val="000000"/>
              </w:rPr>
            </w:pPr>
            <w:r>
              <w:rPr>
                <w:b w:val="1"/>
                <w:color w:val="000000"/>
              </w:rPr>
              <w:t>115 024</w:t>
            </w:r>
          </w:p>
        </w:tc>
        <w:tc>
          <w:tcPr>
            <w:tcW w:type="dxa" w:w="992"/>
            <w:tcBorders>
              <w:top w:color="000000" w:sz="4" w:val="single"/>
              <w:left w:color="000000" w:sz="4" w:val="single"/>
              <w:bottom w:color="000000" w:sz="4" w:val="single"/>
              <w:right w:color="000000" w:sz="4" w:val="single"/>
            </w:tcBorders>
            <w:shd w:fill="auto" w:val="clear"/>
            <w:vAlign w:val="center"/>
          </w:tcPr>
          <w:p w14:paraId="A5090000">
            <w:pPr>
              <w:widowControl w:val="1"/>
              <w:ind w:firstLine="34"/>
              <w:contextualSpacing w:val="1"/>
              <w:jc w:val="center"/>
              <w:rPr>
                <w:b w:val="1"/>
                <w:color w:val="000000"/>
              </w:rPr>
            </w:pPr>
            <w:r>
              <w:rPr>
                <w:b w:val="1"/>
                <w:color w:val="000000"/>
              </w:rPr>
              <w:t>72,2</w:t>
            </w:r>
          </w:p>
        </w:tc>
        <w:tc>
          <w:tcPr>
            <w:tcW w:type="dxa" w:w="1134"/>
            <w:tcBorders>
              <w:top w:color="000000" w:sz="4" w:val="single"/>
              <w:left w:color="000000" w:sz="4" w:val="single"/>
              <w:bottom w:color="000000" w:sz="4" w:val="single"/>
              <w:right w:color="000000" w:sz="4" w:val="single"/>
            </w:tcBorders>
            <w:shd w:fill="auto" w:val="clear"/>
            <w:vAlign w:val="center"/>
          </w:tcPr>
          <w:p w14:paraId="A6090000">
            <w:pPr>
              <w:widowControl w:val="1"/>
              <w:ind w:firstLine="34"/>
              <w:contextualSpacing w:val="1"/>
              <w:jc w:val="center"/>
              <w:rPr>
                <w:b w:val="1"/>
                <w:color w:val="000000"/>
              </w:rPr>
            </w:pPr>
            <w:r>
              <w:rPr>
                <w:b w:val="1"/>
                <w:color w:val="000000"/>
              </w:rPr>
              <w:t>102 781</w:t>
            </w:r>
          </w:p>
        </w:tc>
        <w:tc>
          <w:tcPr>
            <w:tcW w:type="dxa" w:w="992"/>
            <w:tcBorders>
              <w:top w:color="000000" w:sz="4" w:val="single"/>
              <w:left w:color="000000" w:sz="4" w:val="single"/>
              <w:bottom w:color="000000" w:sz="4" w:val="single"/>
              <w:right w:color="000000" w:sz="4" w:val="single"/>
            </w:tcBorders>
            <w:shd w:fill="auto" w:val="clear"/>
            <w:vAlign w:val="center"/>
          </w:tcPr>
          <w:p w14:paraId="A7090000">
            <w:pPr>
              <w:widowControl w:val="1"/>
              <w:ind w:firstLine="34"/>
              <w:contextualSpacing w:val="1"/>
              <w:jc w:val="center"/>
              <w:rPr>
                <w:b w:val="1"/>
                <w:color w:val="000000"/>
              </w:rPr>
            </w:pPr>
            <w:r>
              <w:rPr>
                <w:b w:val="1"/>
                <w:color w:val="000000"/>
              </w:rPr>
              <w:t>73,6</w:t>
            </w:r>
          </w:p>
        </w:tc>
        <w:tc>
          <w:tcPr>
            <w:tcW w:type="dxa" w:w="1417"/>
            <w:tcBorders>
              <w:top w:color="000000" w:sz="4" w:val="single"/>
              <w:left w:color="000000" w:sz="4" w:val="single"/>
              <w:bottom w:color="000000" w:sz="4" w:val="single"/>
              <w:right w:color="000000" w:sz="4" w:val="single"/>
            </w:tcBorders>
            <w:shd w:fill="auto" w:val="clear"/>
            <w:vAlign w:val="center"/>
          </w:tcPr>
          <w:p w14:paraId="A8090000">
            <w:pPr>
              <w:widowControl w:val="1"/>
              <w:ind w:firstLine="34"/>
              <w:contextualSpacing w:val="1"/>
              <w:jc w:val="center"/>
              <w:rPr>
                <w:b w:val="1"/>
                <w:color w:val="000000"/>
              </w:rPr>
            </w:pPr>
            <w:r>
              <w:rPr>
                <w:b w:val="1"/>
                <w:color w:val="000000"/>
              </w:rPr>
              <w:t>-12 243</w:t>
            </w:r>
          </w:p>
        </w:tc>
        <w:tc>
          <w:tcPr>
            <w:tcW w:type="dxa" w:w="1134"/>
            <w:tcBorders>
              <w:top w:color="000000" w:sz="4" w:val="single"/>
              <w:left w:color="000000" w:sz="4" w:val="single"/>
              <w:bottom w:color="000000" w:sz="4" w:val="single"/>
              <w:right w:color="000000" w:sz="4" w:val="single"/>
            </w:tcBorders>
            <w:shd w:fill="auto" w:val="clear"/>
            <w:vAlign w:val="center"/>
          </w:tcPr>
          <w:p w14:paraId="A9090000">
            <w:pPr>
              <w:widowControl w:val="1"/>
              <w:ind w:firstLine="34"/>
              <w:contextualSpacing w:val="1"/>
              <w:jc w:val="center"/>
              <w:rPr>
                <w:b w:val="1"/>
                <w:color w:val="000000"/>
              </w:rPr>
            </w:pPr>
            <w:r>
              <w:rPr>
                <w:b w:val="1"/>
                <w:color w:val="000000"/>
              </w:rPr>
              <w:t>89,4%</w:t>
            </w:r>
          </w:p>
        </w:tc>
        <w:tc>
          <w:tcPr>
            <w:tcW w:type="dxa" w:w="852"/>
            <w:tcBorders>
              <w:top w:color="000000" w:sz="4" w:val="single"/>
              <w:left w:color="000000" w:sz="4" w:val="single"/>
              <w:bottom w:color="000000" w:sz="4" w:val="single"/>
              <w:right w:color="000000" w:sz="4" w:val="single"/>
            </w:tcBorders>
            <w:vAlign w:val="center"/>
          </w:tcPr>
          <w:p w14:paraId="AA090000">
            <w:pPr>
              <w:widowControl w:val="1"/>
              <w:ind w:firstLine="34"/>
              <w:contextualSpacing w:val="1"/>
              <w:jc w:val="center"/>
              <w:rPr>
                <w:b w:val="1"/>
                <w:color w:val="000000"/>
              </w:rPr>
            </w:pPr>
            <w:r>
              <w:rPr>
                <w:b w:val="1"/>
                <w:color w:val="000000"/>
              </w:rPr>
              <w:t>1,3</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AB090000">
            <w:pPr>
              <w:widowControl w:val="1"/>
              <w:ind w:firstLine="34"/>
              <w:contextualSpacing w:val="1"/>
              <w:jc w:val="center"/>
              <w:rPr>
                <w:color w:val="000000"/>
              </w:rPr>
            </w:pPr>
            <w:r>
              <w:rPr>
                <w:color w:val="000000"/>
              </w:rPr>
              <w:t>запасы</w:t>
            </w:r>
          </w:p>
        </w:tc>
        <w:tc>
          <w:tcPr>
            <w:tcW w:type="dxa" w:w="1134"/>
            <w:tcBorders>
              <w:top w:color="000000" w:sz="4" w:val="single"/>
              <w:left w:color="000000" w:sz="4" w:val="single"/>
              <w:bottom w:color="000000" w:sz="4" w:val="single"/>
              <w:right w:color="000000" w:sz="4" w:val="single"/>
            </w:tcBorders>
            <w:shd w:fill="auto" w:val="clear"/>
            <w:vAlign w:val="center"/>
          </w:tcPr>
          <w:p w14:paraId="AC090000">
            <w:pPr>
              <w:widowControl w:val="1"/>
              <w:ind w:firstLine="34"/>
              <w:contextualSpacing w:val="1"/>
              <w:jc w:val="center"/>
              <w:rPr>
                <w:color w:val="000000"/>
              </w:rPr>
            </w:pPr>
            <w:r>
              <w:rPr>
                <w:color w:val="000000"/>
              </w:rPr>
              <w:t>4 171</w:t>
            </w:r>
          </w:p>
        </w:tc>
        <w:tc>
          <w:tcPr>
            <w:tcW w:type="dxa" w:w="992"/>
            <w:tcBorders>
              <w:top w:color="000000" w:sz="4" w:val="single"/>
              <w:left w:color="000000" w:sz="4" w:val="single"/>
              <w:bottom w:color="000000" w:sz="4" w:val="single"/>
              <w:right w:color="000000" w:sz="4" w:val="single"/>
            </w:tcBorders>
            <w:shd w:fill="auto" w:val="clear"/>
            <w:vAlign w:val="center"/>
          </w:tcPr>
          <w:p w14:paraId="AD090000">
            <w:pPr>
              <w:widowControl w:val="1"/>
              <w:ind w:firstLine="34"/>
              <w:contextualSpacing w:val="1"/>
              <w:jc w:val="center"/>
              <w:rPr>
                <w:color w:val="000000"/>
              </w:rPr>
            </w:pPr>
            <w:r>
              <w:rPr>
                <w:color w:val="000000"/>
              </w:rPr>
              <w:t>2,6</w:t>
            </w:r>
          </w:p>
        </w:tc>
        <w:tc>
          <w:tcPr>
            <w:tcW w:type="dxa" w:w="1134"/>
            <w:tcBorders>
              <w:top w:color="000000" w:sz="4" w:val="single"/>
              <w:left w:color="000000" w:sz="4" w:val="single"/>
              <w:bottom w:color="000000" w:sz="4" w:val="single"/>
              <w:right w:color="000000" w:sz="4" w:val="single"/>
            </w:tcBorders>
            <w:shd w:fill="auto" w:val="clear"/>
            <w:vAlign w:val="center"/>
          </w:tcPr>
          <w:p w14:paraId="AE090000">
            <w:pPr>
              <w:widowControl w:val="1"/>
              <w:ind w:firstLine="34"/>
              <w:contextualSpacing w:val="1"/>
              <w:jc w:val="center"/>
              <w:rPr>
                <w:color w:val="000000"/>
              </w:rPr>
            </w:pPr>
            <w:r>
              <w:rPr>
                <w:color w:val="000000"/>
              </w:rPr>
              <w:t>4 212</w:t>
            </w:r>
          </w:p>
        </w:tc>
        <w:tc>
          <w:tcPr>
            <w:tcW w:type="dxa" w:w="992"/>
            <w:tcBorders>
              <w:top w:color="000000" w:sz="4" w:val="single"/>
              <w:left w:color="000000" w:sz="4" w:val="single"/>
              <w:bottom w:color="000000" w:sz="4" w:val="single"/>
              <w:right w:color="000000" w:sz="4" w:val="single"/>
            </w:tcBorders>
            <w:shd w:fill="auto" w:val="clear"/>
            <w:vAlign w:val="center"/>
          </w:tcPr>
          <w:p w14:paraId="AF090000">
            <w:pPr>
              <w:widowControl w:val="1"/>
              <w:ind w:firstLine="34"/>
              <w:contextualSpacing w:val="1"/>
              <w:jc w:val="center"/>
              <w:rPr>
                <w:color w:val="000000"/>
              </w:rPr>
            </w:pPr>
            <w:r>
              <w:rPr>
                <w:color w:val="000000"/>
              </w:rPr>
              <w:t>3,0</w:t>
            </w:r>
          </w:p>
        </w:tc>
        <w:tc>
          <w:tcPr>
            <w:tcW w:type="dxa" w:w="1417"/>
            <w:tcBorders>
              <w:top w:color="000000" w:sz="4" w:val="single"/>
              <w:left w:color="000000" w:sz="4" w:val="single"/>
              <w:bottom w:color="000000" w:sz="4" w:val="single"/>
              <w:right w:color="000000" w:sz="4" w:val="single"/>
            </w:tcBorders>
            <w:shd w:fill="auto" w:val="clear"/>
            <w:vAlign w:val="center"/>
          </w:tcPr>
          <w:p w14:paraId="B0090000">
            <w:pPr>
              <w:widowControl w:val="1"/>
              <w:ind w:firstLine="34"/>
              <w:contextualSpacing w:val="1"/>
              <w:jc w:val="center"/>
              <w:rPr>
                <w:color w:val="000000"/>
              </w:rPr>
            </w:pPr>
            <w:r>
              <w:rPr>
                <w:color w:val="000000"/>
              </w:rPr>
              <w:t>41</w:t>
            </w:r>
          </w:p>
        </w:tc>
        <w:tc>
          <w:tcPr>
            <w:tcW w:type="dxa" w:w="1134"/>
            <w:tcBorders>
              <w:top w:color="000000" w:sz="4" w:val="single"/>
              <w:left w:color="000000" w:sz="4" w:val="single"/>
              <w:bottom w:color="000000" w:sz="4" w:val="single"/>
              <w:right w:color="000000" w:sz="4" w:val="single"/>
            </w:tcBorders>
            <w:shd w:fill="auto" w:val="clear"/>
            <w:vAlign w:val="center"/>
          </w:tcPr>
          <w:p w14:paraId="B1090000">
            <w:pPr>
              <w:widowControl w:val="1"/>
              <w:ind w:firstLine="34"/>
              <w:contextualSpacing w:val="1"/>
              <w:jc w:val="center"/>
              <w:rPr>
                <w:color w:val="000000"/>
              </w:rPr>
            </w:pPr>
            <w:r>
              <w:rPr>
                <w:color w:val="000000"/>
              </w:rPr>
              <w:t>101,0%</w:t>
            </w:r>
          </w:p>
        </w:tc>
        <w:tc>
          <w:tcPr>
            <w:tcW w:type="dxa" w:w="852"/>
            <w:tcBorders>
              <w:top w:color="000000" w:sz="4" w:val="single"/>
              <w:left w:color="000000" w:sz="4" w:val="single"/>
              <w:bottom w:color="000000" w:sz="4" w:val="single"/>
              <w:right w:color="000000" w:sz="4" w:val="single"/>
            </w:tcBorders>
            <w:vAlign w:val="center"/>
          </w:tcPr>
          <w:p w14:paraId="B2090000">
            <w:pPr>
              <w:widowControl w:val="1"/>
              <w:ind w:firstLine="34"/>
              <w:contextualSpacing w:val="1"/>
              <w:jc w:val="center"/>
              <w:rPr>
                <w:color w:val="000000"/>
              </w:rPr>
            </w:pPr>
            <w:r>
              <w:rPr>
                <w:color w:val="000000"/>
              </w:rPr>
              <w:t>0,4</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B3090000">
            <w:pPr>
              <w:widowControl w:val="1"/>
              <w:ind w:firstLine="34"/>
              <w:contextualSpacing w:val="1"/>
              <w:jc w:val="center"/>
              <w:rPr>
                <w:color w:val="000000"/>
              </w:rPr>
            </w:pPr>
            <w:r>
              <w:rPr>
                <w:color w:val="000000"/>
              </w:rPr>
              <w:t>НДС</w:t>
            </w:r>
          </w:p>
        </w:tc>
        <w:tc>
          <w:tcPr>
            <w:tcW w:type="dxa" w:w="1134"/>
            <w:tcBorders>
              <w:top w:color="000000" w:sz="4" w:val="single"/>
              <w:left w:color="000000" w:sz="4" w:val="single"/>
              <w:bottom w:color="000000" w:sz="4" w:val="single"/>
              <w:right w:color="000000" w:sz="4" w:val="single"/>
            </w:tcBorders>
            <w:shd w:fill="auto" w:val="clear"/>
            <w:vAlign w:val="center"/>
          </w:tcPr>
          <w:p w14:paraId="B4090000">
            <w:pPr>
              <w:widowControl w:val="1"/>
              <w:ind w:firstLine="34"/>
              <w:contextualSpacing w:val="1"/>
              <w:jc w:val="center"/>
              <w:rPr>
                <w:color w:val="000000"/>
              </w:rPr>
            </w:pPr>
            <w:r>
              <w:rPr>
                <w:color w:val="000000"/>
              </w:rPr>
              <w:t>7</w:t>
            </w:r>
          </w:p>
        </w:tc>
        <w:tc>
          <w:tcPr>
            <w:tcW w:type="dxa" w:w="992"/>
            <w:tcBorders>
              <w:top w:color="000000" w:sz="4" w:val="single"/>
              <w:left w:color="000000" w:sz="4" w:val="single"/>
              <w:bottom w:color="000000" w:sz="4" w:val="single"/>
              <w:right w:color="000000" w:sz="4" w:val="single"/>
            </w:tcBorders>
            <w:shd w:fill="auto" w:val="clear"/>
            <w:vAlign w:val="center"/>
          </w:tcPr>
          <w:p w14:paraId="B5090000">
            <w:pPr>
              <w:widowControl w:val="1"/>
              <w:ind w:firstLine="34"/>
              <w:contextualSpacing w:val="1"/>
              <w:jc w:val="center"/>
              <w:rPr>
                <w:color w:val="000000"/>
              </w:rPr>
            </w:pPr>
            <w:r>
              <w:rPr>
                <w:color w:val="000000"/>
              </w:rPr>
              <w:t>0,0</w:t>
            </w:r>
          </w:p>
        </w:tc>
        <w:tc>
          <w:tcPr>
            <w:tcW w:type="dxa" w:w="1134"/>
            <w:tcBorders>
              <w:top w:color="000000" w:sz="4" w:val="single"/>
              <w:left w:color="000000" w:sz="4" w:val="single"/>
              <w:bottom w:color="000000" w:sz="4" w:val="single"/>
              <w:right w:color="000000" w:sz="4" w:val="single"/>
            </w:tcBorders>
            <w:shd w:fill="auto" w:val="clear"/>
            <w:vAlign w:val="center"/>
          </w:tcPr>
          <w:p w14:paraId="B6090000">
            <w:pPr>
              <w:widowControl w:val="1"/>
              <w:ind w:firstLine="34"/>
              <w:contextualSpacing w:val="1"/>
              <w:jc w:val="center"/>
              <w:rPr>
                <w:color w:val="000000"/>
              </w:rPr>
            </w:pPr>
            <w:r>
              <w:rPr>
                <w:color w:val="000000"/>
              </w:rPr>
              <w:t>7</w:t>
            </w:r>
          </w:p>
        </w:tc>
        <w:tc>
          <w:tcPr>
            <w:tcW w:type="dxa" w:w="992"/>
            <w:tcBorders>
              <w:top w:color="000000" w:sz="4" w:val="single"/>
              <w:left w:color="000000" w:sz="4" w:val="single"/>
              <w:bottom w:color="000000" w:sz="4" w:val="single"/>
              <w:right w:color="000000" w:sz="4" w:val="single"/>
            </w:tcBorders>
            <w:shd w:fill="auto" w:val="clear"/>
            <w:vAlign w:val="center"/>
          </w:tcPr>
          <w:p w14:paraId="B7090000">
            <w:pPr>
              <w:widowControl w:val="1"/>
              <w:ind w:firstLine="34"/>
              <w:contextualSpacing w:val="1"/>
              <w:jc w:val="center"/>
              <w:rPr>
                <w:color w:val="000000"/>
              </w:rPr>
            </w:pPr>
            <w:r>
              <w:rPr>
                <w:color w:val="000000"/>
              </w:rPr>
              <w:t>0,0</w:t>
            </w:r>
          </w:p>
        </w:tc>
        <w:tc>
          <w:tcPr>
            <w:tcW w:type="dxa" w:w="1417"/>
            <w:tcBorders>
              <w:top w:color="000000" w:sz="4" w:val="single"/>
              <w:left w:color="000000" w:sz="4" w:val="single"/>
              <w:bottom w:color="000000" w:sz="4" w:val="single"/>
              <w:right w:color="000000" w:sz="4" w:val="single"/>
            </w:tcBorders>
            <w:shd w:fill="auto" w:val="clear"/>
            <w:vAlign w:val="center"/>
          </w:tcPr>
          <w:p w14:paraId="B8090000">
            <w:pPr>
              <w:widowControl w:val="1"/>
              <w:ind w:firstLine="34"/>
              <w:contextualSpacing w:val="1"/>
              <w:jc w:val="center"/>
              <w:rPr>
                <w:color w:val="000000"/>
              </w:rPr>
            </w:pPr>
            <w:r>
              <w:rPr>
                <w:color w:val="000000"/>
              </w:rPr>
              <w:t>0</w:t>
            </w:r>
          </w:p>
        </w:tc>
        <w:tc>
          <w:tcPr>
            <w:tcW w:type="dxa" w:w="1134"/>
            <w:tcBorders>
              <w:top w:color="000000" w:sz="4" w:val="single"/>
              <w:left w:color="000000" w:sz="4" w:val="single"/>
              <w:bottom w:color="000000" w:sz="4" w:val="single"/>
              <w:right w:color="000000" w:sz="4" w:val="single"/>
            </w:tcBorders>
            <w:shd w:fill="auto" w:val="clear"/>
            <w:vAlign w:val="center"/>
          </w:tcPr>
          <w:p w14:paraId="B9090000">
            <w:pPr>
              <w:widowControl w:val="1"/>
              <w:ind w:firstLine="34"/>
              <w:contextualSpacing w:val="1"/>
              <w:jc w:val="center"/>
              <w:rPr>
                <w:color w:val="000000"/>
              </w:rPr>
            </w:pPr>
            <w:r>
              <w:rPr>
                <w:color w:val="000000"/>
              </w:rPr>
              <w:t>100,0%</w:t>
            </w:r>
          </w:p>
        </w:tc>
        <w:tc>
          <w:tcPr>
            <w:tcW w:type="dxa" w:w="852"/>
            <w:tcBorders>
              <w:top w:color="000000" w:sz="4" w:val="single"/>
              <w:left w:color="000000" w:sz="4" w:val="single"/>
              <w:bottom w:color="000000" w:sz="4" w:val="single"/>
              <w:right w:color="000000" w:sz="4" w:val="single"/>
            </w:tcBorders>
            <w:vAlign w:val="center"/>
          </w:tcPr>
          <w:p w14:paraId="BA090000">
            <w:pPr>
              <w:widowControl w:val="1"/>
              <w:ind w:firstLine="34"/>
              <w:contextualSpacing w:val="1"/>
              <w:jc w:val="center"/>
              <w:rPr>
                <w:color w:val="000000"/>
              </w:rPr>
            </w:pPr>
            <w:r>
              <w:rPr>
                <w:color w:val="000000"/>
              </w:rPr>
              <w:t>0,0</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BB090000">
            <w:pPr>
              <w:widowControl w:val="1"/>
              <w:ind w:firstLine="34"/>
              <w:contextualSpacing w:val="1"/>
              <w:jc w:val="center"/>
              <w:rPr>
                <w:color w:val="000000"/>
              </w:rPr>
            </w:pPr>
            <w:r>
              <w:rPr>
                <w:color w:val="000000"/>
              </w:rPr>
              <w:t>дебиторская задолженность</w:t>
            </w:r>
          </w:p>
        </w:tc>
        <w:tc>
          <w:tcPr>
            <w:tcW w:type="dxa" w:w="1134"/>
            <w:tcBorders>
              <w:top w:color="000000" w:sz="4" w:val="single"/>
              <w:left w:color="000000" w:sz="4" w:val="single"/>
              <w:bottom w:color="000000" w:sz="4" w:val="single"/>
              <w:right w:color="000000" w:sz="4" w:val="single"/>
            </w:tcBorders>
            <w:shd w:fill="auto" w:val="clear"/>
            <w:vAlign w:val="center"/>
          </w:tcPr>
          <w:p w14:paraId="BC090000">
            <w:pPr>
              <w:widowControl w:val="1"/>
              <w:ind w:firstLine="34"/>
              <w:contextualSpacing w:val="1"/>
              <w:jc w:val="center"/>
              <w:rPr>
                <w:color w:val="000000"/>
              </w:rPr>
            </w:pPr>
            <w:r>
              <w:rPr>
                <w:color w:val="000000"/>
              </w:rPr>
              <w:t>64 617</w:t>
            </w:r>
          </w:p>
        </w:tc>
        <w:tc>
          <w:tcPr>
            <w:tcW w:type="dxa" w:w="992"/>
            <w:tcBorders>
              <w:top w:color="000000" w:sz="4" w:val="single"/>
              <w:left w:color="000000" w:sz="4" w:val="single"/>
              <w:bottom w:color="000000" w:sz="4" w:val="single"/>
              <w:right w:color="000000" w:sz="4" w:val="single"/>
            </w:tcBorders>
            <w:shd w:fill="auto" w:val="clear"/>
            <w:vAlign w:val="center"/>
          </w:tcPr>
          <w:p w14:paraId="BD090000">
            <w:pPr>
              <w:widowControl w:val="1"/>
              <w:ind w:firstLine="34"/>
              <w:contextualSpacing w:val="1"/>
              <w:jc w:val="center"/>
              <w:rPr>
                <w:color w:val="000000"/>
              </w:rPr>
            </w:pPr>
            <w:r>
              <w:rPr>
                <w:color w:val="000000"/>
              </w:rPr>
              <w:t>40,6</w:t>
            </w:r>
          </w:p>
        </w:tc>
        <w:tc>
          <w:tcPr>
            <w:tcW w:type="dxa" w:w="1134"/>
            <w:tcBorders>
              <w:top w:color="000000" w:sz="4" w:val="single"/>
              <w:left w:color="000000" w:sz="4" w:val="single"/>
              <w:bottom w:color="000000" w:sz="4" w:val="single"/>
              <w:right w:color="000000" w:sz="4" w:val="single"/>
            </w:tcBorders>
            <w:shd w:fill="auto" w:val="clear"/>
            <w:vAlign w:val="center"/>
          </w:tcPr>
          <w:p w14:paraId="BE090000">
            <w:pPr>
              <w:widowControl w:val="1"/>
              <w:ind w:firstLine="34"/>
              <w:contextualSpacing w:val="1"/>
              <w:jc w:val="center"/>
              <w:rPr>
                <w:color w:val="000000"/>
              </w:rPr>
            </w:pPr>
            <w:r>
              <w:rPr>
                <w:color w:val="000000"/>
              </w:rPr>
              <w:t>33 104</w:t>
            </w:r>
          </w:p>
        </w:tc>
        <w:tc>
          <w:tcPr>
            <w:tcW w:type="dxa" w:w="992"/>
            <w:tcBorders>
              <w:top w:color="000000" w:sz="4" w:val="single"/>
              <w:left w:color="000000" w:sz="4" w:val="single"/>
              <w:bottom w:color="000000" w:sz="4" w:val="single"/>
              <w:right w:color="000000" w:sz="4" w:val="single"/>
            </w:tcBorders>
            <w:shd w:fill="auto" w:val="clear"/>
            <w:vAlign w:val="center"/>
          </w:tcPr>
          <w:p w14:paraId="BF090000">
            <w:pPr>
              <w:widowControl w:val="1"/>
              <w:ind w:firstLine="34"/>
              <w:contextualSpacing w:val="1"/>
              <w:jc w:val="center"/>
              <w:rPr>
                <w:color w:val="000000"/>
              </w:rPr>
            </w:pPr>
            <w:r>
              <w:rPr>
                <w:color w:val="000000"/>
              </w:rPr>
              <w:t>23,7</w:t>
            </w:r>
          </w:p>
        </w:tc>
        <w:tc>
          <w:tcPr>
            <w:tcW w:type="dxa" w:w="1417"/>
            <w:tcBorders>
              <w:top w:color="000000" w:sz="4" w:val="single"/>
              <w:left w:color="000000" w:sz="4" w:val="single"/>
              <w:bottom w:color="000000" w:sz="4" w:val="single"/>
              <w:right w:color="000000" w:sz="4" w:val="single"/>
            </w:tcBorders>
            <w:shd w:fill="auto" w:val="clear"/>
            <w:vAlign w:val="center"/>
          </w:tcPr>
          <w:p w14:paraId="C0090000">
            <w:pPr>
              <w:widowControl w:val="1"/>
              <w:ind w:firstLine="34"/>
              <w:contextualSpacing w:val="1"/>
              <w:jc w:val="center"/>
              <w:rPr>
                <w:color w:val="000000"/>
              </w:rPr>
            </w:pPr>
            <w:r>
              <w:rPr>
                <w:color w:val="000000"/>
              </w:rPr>
              <w:t>-31 51</w:t>
            </w:r>
            <w:r>
              <w:rPr>
                <w:color w:val="000000"/>
              </w:rPr>
              <w:t>3</w:t>
            </w:r>
          </w:p>
        </w:tc>
        <w:tc>
          <w:tcPr>
            <w:tcW w:type="dxa" w:w="1134"/>
            <w:tcBorders>
              <w:top w:color="000000" w:sz="4" w:val="single"/>
              <w:left w:color="000000" w:sz="4" w:val="single"/>
              <w:bottom w:color="000000" w:sz="4" w:val="single"/>
              <w:right w:color="000000" w:sz="4" w:val="single"/>
            </w:tcBorders>
            <w:shd w:fill="auto" w:val="clear"/>
            <w:vAlign w:val="center"/>
          </w:tcPr>
          <w:p w14:paraId="C1090000">
            <w:pPr>
              <w:widowControl w:val="1"/>
              <w:ind w:firstLine="34"/>
              <w:contextualSpacing w:val="1"/>
              <w:jc w:val="center"/>
              <w:rPr>
                <w:color w:val="000000"/>
              </w:rPr>
            </w:pPr>
            <w:r>
              <w:rPr>
                <w:color w:val="000000"/>
              </w:rPr>
              <w:t>51,2%</w:t>
            </w:r>
          </w:p>
        </w:tc>
        <w:tc>
          <w:tcPr>
            <w:tcW w:type="dxa" w:w="852"/>
            <w:tcBorders>
              <w:top w:color="000000" w:sz="4" w:val="single"/>
              <w:left w:color="000000" w:sz="4" w:val="single"/>
              <w:bottom w:color="000000" w:sz="4" w:val="single"/>
              <w:right w:color="000000" w:sz="4" w:val="single"/>
            </w:tcBorders>
            <w:vAlign w:val="center"/>
          </w:tcPr>
          <w:p w14:paraId="C2090000">
            <w:pPr>
              <w:widowControl w:val="1"/>
              <w:ind w:firstLine="34"/>
              <w:contextualSpacing w:val="1"/>
              <w:jc w:val="center"/>
              <w:rPr>
                <w:color w:val="000000"/>
              </w:rPr>
            </w:pPr>
            <w:r>
              <w:rPr>
                <w:color w:val="000000"/>
              </w:rPr>
              <w:t>-16,9</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C3090000">
            <w:pPr>
              <w:widowControl w:val="1"/>
              <w:ind w:firstLine="34"/>
              <w:contextualSpacing w:val="1"/>
              <w:jc w:val="center"/>
              <w:rPr>
                <w:color w:val="000000"/>
              </w:rPr>
            </w:pPr>
            <w:r>
              <w:rPr>
                <w:color w:val="000000"/>
              </w:rPr>
              <w:t>денежные средства</w:t>
            </w:r>
          </w:p>
        </w:tc>
        <w:tc>
          <w:tcPr>
            <w:tcW w:type="dxa" w:w="1134"/>
            <w:tcBorders>
              <w:top w:color="000000" w:sz="4" w:val="single"/>
              <w:left w:color="000000" w:sz="4" w:val="single"/>
              <w:bottom w:color="000000" w:sz="4" w:val="single"/>
              <w:right w:color="000000" w:sz="4" w:val="single"/>
            </w:tcBorders>
            <w:shd w:fill="auto" w:val="clear"/>
            <w:vAlign w:val="center"/>
          </w:tcPr>
          <w:p w14:paraId="C4090000">
            <w:pPr>
              <w:widowControl w:val="1"/>
              <w:ind w:firstLine="34"/>
              <w:contextualSpacing w:val="1"/>
              <w:jc w:val="center"/>
              <w:rPr>
                <w:color w:val="000000"/>
              </w:rPr>
            </w:pPr>
            <w:r>
              <w:rPr>
                <w:color w:val="000000"/>
              </w:rPr>
              <w:t>45 937</w:t>
            </w:r>
          </w:p>
        </w:tc>
        <w:tc>
          <w:tcPr>
            <w:tcW w:type="dxa" w:w="992"/>
            <w:tcBorders>
              <w:top w:color="000000" w:sz="4" w:val="single"/>
              <w:left w:color="000000" w:sz="4" w:val="single"/>
              <w:bottom w:color="000000" w:sz="4" w:val="single"/>
              <w:right w:color="000000" w:sz="4" w:val="single"/>
            </w:tcBorders>
            <w:shd w:fill="auto" w:val="clear"/>
            <w:vAlign w:val="center"/>
          </w:tcPr>
          <w:p w14:paraId="C5090000">
            <w:pPr>
              <w:widowControl w:val="1"/>
              <w:ind w:firstLine="34"/>
              <w:contextualSpacing w:val="1"/>
              <w:jc w:val="center"/>
              <w:rPr>
                <w:color w:val="000000"/>
              </w:rPr>
            </w:pPr>
            <w:r>
              <w:rPr>
                <w:color w:val="000000"/>
              </w:rPr>
              <w:t>28,9</w:t>
            </w:r>
          </w:p>
        </w:tc>
        <w:tc>
          <w:tcPr>
            <w:tcW w:type="dxa" w:w="1134"/>
            <w:tcBorders>
              <w:top w:color="000000" w:sz="4" w:val="single"/>
              <w:left w:color="000000" w:sz="4" w:val="single"/>
              <w:bottom w:color="000000" w:sz="4" w:val="single"/>
              <w:right w:color="000000" w:sz="4" w:val="single"/>
            </w:tcBorders>
            <w:shd w:fill="auto" w:val="clear"/>
            <w:vAlign w:val="center"/>
          </w:tcPr>
          <w:p w14:paraId="C6090000">
            <w:pPr>
              <w:widowControl w:val="1"/>
              <w:ind w:firstLine="34"/>
              <w:contextualSpacing w:val="1"/>
              <w:jc w:val="center"/>
              <w:rPr>
                <w:color w:val="000000"/>
              </w:rPr>
            </w:pPr>
            <w:r>
              <w:rPr>
                <w:color w:val="000000"/>
              </w:rPr>
              <w:t>65 177</w:t>
            </w:r>
          </w:p>
        </w:tc>
        <w:tc>
          <w:tcPr>
            <w:tcW w:type="dxa" w:w="992"/>
            <w:tcBorders>
              <w:top w:color="000000" w:sz="4" w:val="single"/>
              <w:left w:color="000000" w:sz="4" w:val="single"/>
              <w:bottom w:color="000000" w:sz="4" w:val="single"/>
              <w:right w:color="000000" w:sz="4" w:val="single"/>
            </w:tcBorders>
            <w:shd w:fill="auto" w:val="clear"/>
            <w:vAlign w:val="center"/>
          </w:tcPr>
          <w:p w14:paraId="C7090000">
            <w:pPr>
              <w:widowControl w:val="1"/>
              <w:ind w:firstLine="34"/>
              <w:contextualSpacing w:val="1"/>
              <w:jc w:val="center"/>
              <w:rPr>
                <w:color w:val="000000"/>
              </w:rPr>
            </w:pPr>
            <w:r>
              <w:rPr>
                <w:color w:val="000000"/>
              </w:rPr>
              <w:t>46,7</w:t>
            </w:r>
          </w:p>
        </w:tc>
        <w:tc>
          <w:tcPr>
            <w:tcW w:type="dxa" w:w="1417"/>
            <w:tcBorders>
              <w:top w:color="000000" w:sz="4" w:val="single"/>
              <w:left w:color="000000" w:sz="4" w:val="single"/>
              <w:bottom w:color="000000" w:sz="4" w:val="single"/>
              <w:right w:color="000000" w:sz="4" w:val="single"/>
            </w:tcBorders>
            <w:shd w:fill="auto" w:val="clear"/>
            <w:vAlign w:val="center"/>
          </w:tcPr>
          <w:p w14:paraId="C8090000">
            <w:pPr>
              <w:widowControl w:val="1"/>
              <w:ind w:firstLine="34"/>
              <w:contextualSpacing w:val="1"/>
              <w:jc w:val="center"/>
              <w:rPr>
                <w:color w:val="000000"/>
              </w:rPr>
            </w:pPr>
            <w:r>
              <w:rPr>
                <w:color w:val="000000"/>
              </w:rPr>
              <w:t>19 240</w:t>
            </w:r>
          </w:p>
        </w:tc>
        <w:tc>
          <w:tcPr>
            <w:tcW w:type="dxa" w:w="1134"/>
            <w:tcBorders>
              <w:top w:color="000000" w:sz="4" w:val="single"/>
              <w:left w:color="000000" w:sz="4" w:val="single"/>
              <w:bottom w:color="000000" w:sz="4" w:val="single"/>
              <w:right w:color="000000" w:sz="4" w:val="single"/>
            </w:tcBorders>
            <w:shd w:fill="auto" w:val="clear"/>
            <w:vAlign w:val="center"/>
          </w:tcPr>
          <w:p w14:paraId="C9090000">
            <w:pPr>
              <w:widowControl w:val="1"/>
              <w:ind w:firstLine="34"/>
              <w:contextualSpacing w:val="1"/>
              <w:jc w:val="center"/>
              <w:rPr>
                <w:color w:val="000000"/>
              </w:rPr>
            </w:pPr>
            <w:r>
              <w:rPr>
                <w:color w:val="000000"/>
              </w:rPr>
              <w:t>141,9%</w:t>
            </w:r>
          </w:p>
        </w:tc>
        <w:tc>
          <w:tcPr>
            <w:tcW w:type="dxa" w:w="852"/>
            <w:tcBorders>
              <w:top w:color="000000" w:sz="4" w:val="single"/>
              <w:left w:color="000000" w:sz="4" w:val="single"/>
              <w:bottom w:color="000000" w:sz="4" w:val="single"/>
              <w:right w:color="000000" w:sz="4" w:val="single"/>
            </w:tcBorders>
            <w:vAlign w:val="center"/>
          </w:tcPr>
          <w:p w14:paraId="CA090000">
            <w:pPr>
              <w:widowControl w:val="1"/>
              <w:ind w:firstLine="34"/>
              <w:contextualSpacing w:val="1"/>
              <w:jc w:val="center"/>
              <w:rPr>
                <w:color w:val="000000"/>
              </w:rPr>
            </w:pPr>
            <w:r>
              <w:rPr>
                <w:color w:val="000000"/>
              </w:rPr>
              <w:t>17,8</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CB090000">
            <w:pPr>
              <w:widowControl w:val="1"/>
              <w:ind w:firstLine="34"/>
              <w:contextualSpacing w:val="1"/>
              <w:jc w:val="center"/>
              <w:rPr>
                <w:color w:val="000000"/>
              </w:rPr>
            </w:pPr>
            <w:r>
              <w:rPr>
                <w:color w:val="000000"/>
              </w:rPr>
              <w:t>прочие оборотные активы</w:t>
            </w:r>
          </w:p>
        </w:tc>
        <w:tc>
          <w:tcPr>
            <w:tcW w:type="dxa" w:w="1134"/>
            <w:tcBorders>
              <w:top w:color="000000" w:sz="4" w:val="single"/>
              <w:left w:color="000000" w:sz="4" w:val="single"/>
              <w:bottom w:color="000000" w:sz="4" w:val="single"/>
              <w:right w:color="000000" w:sz="4" w:val="single"/>
            </w:tcBorders>
            <w:shd w:fill="auto" w:val="clear"/>
            <w:vAlign w:val="center"/>
          </w:tcPr>
          <w:p w14:paraId="CC090000">
            <w:pPr>
              <w:widowControl w:val="1"/>
              <w:ind w:firstLine="34"/>
              <w:contextualSpacing w:val="1"/>
              <w:jc w:val="center"/>
              <w:rPr>
                <w:color w:val="000000"/>
              </w:rPr>
            </w:pPr>
            <w:r>
              <w:rPr>
                <w:color w:val="000000"/>
              </w:rPr>
              <w:t>292</w:t>
            </w:r>
          </w:p>
        </w:tc>
        <w:tc>
          <w:tcPr>
            <w:tcW w:type="dxa" w:w="992"/>
            <w:tcBorders>
              <w:top w:color="000000" w:sz="4" w:val="single"/>
              <w:left w:color="000000" w:sz="4" w:val="single"/>
              <w:bottom w:color="000000" w:sz="4" w:val="single"/>
              <w:right w:color="000000" w:sz="4" w:val="single"/>
            </w:tcBorders>
            <w:shd w:fill="auto" w:val="clear"/>
            <w:vAlign w:val="center"/>
          </w:tcPr>
          <w:p w14:paraId="CD090000">
            <w:pPr>
              <w:widowControl w:val="1"/>
              <w:ind w:firstLine="34"/>
              <w:contextualSpacing w:val="1"/>
              <w:jc w:val="center"/>
              <w:rPr>
                <w:color w:val="000000"/>
              </w:rPr>
            </w:pPr>
            <w:r>
              <w:rPr>
                <w:color w:val="000000"/>
              </w:rPr>
              <w:t>0,2</w:t>
            </w:r>
          </w:p>
        </w:tc>
        <w:tc>
          <w:tcPr>
            <w:tcW w:type="dxa" w:w="1134"/>
            <w:tcBorders>
              <w:top w:color="000000" w:sz="4" w:val="single"/>
              <w:left w:color="000000" w:sz="4" w:val="single"/>
              <w:bottom w:color="000000" w:sz="4" w:val="single"/>
              <w:right w:color="000000" w:sz="4" w:val="single"/>
            </w:tcBorders>
            <w:shd w:fill="auto" w:val="clear"/>
            <w:vAlign w:val="center"/>
          </w:tcPr>
          <w:p w14:paraId="CE090000">
            <w:pPr>
              <w:widowControl w:val="1"/>
              <w:ind w:firstLine="34"/>
              <w:contextualSpacing w:val="1"/>
              <w:jc w:val="center"/>
              <w:rPr>
                <w:color w:val="000000"/>
              </w:rPr>
            </w:pPr>
            <w:r>
              <w:rPr>
                <w:color w:val="000000"/>
              </w:rPr>
              <w:t>281</w:t>
            </w:r>
          </w:p>
        </w:tc>
        <w:tc>
          <w:tcPr>
            <w:tcW w:type="dxa" w:w="992"/>
            <w:tcBorders>
              <w:top w:color="000000" w:sz="4" w:val="single"/>
              <w:left w:color="000000" w:sz="4" w:val="single"/>
              <w:bottom w:color="000000" w:sz="4" w:val="single"/>
              <w:right w:color="000000" w:sz="4" w:val="single"/>
            </w:tcBorders>
            <w:shd w:fill="auto" w:val="clear"/>
            <w:vAlign w:val="center"/>
          </w:tcPr>
          <w:p w14:paraId="CF090000">
            <w:pPr>
              <w:widowControl w:val="1"/>
              <w:ind w:firstLine="34"/>
              <w:contextualSpacing w:val="1"/>
              <w:jc w:val="center"/>
              <w:rPr>
                <w:color w:val="000000"/>
              </w:rPr>
            </w:pPr>
            <w:r>
              <w:rPr>
                <w:color w:val="000000"/>
              </w:rPr>
              <w:t>0,2</w:t>
            </w:r>
          </w:p>
        </w:tc>
        <w:tc>
          <w:tcPr>
            <w:tcW w:type="dxa" w:w="1417"/>
            <w:tcBorders>
              <w:top w:color="000000" w:sz="4" w:val="single"/>
              <w:left w:color="000000" w:sz="4" w:val="single"/>
              <w:bottom w:color="000000" w:sz="4" w:val="single"/>
              <w:right w:color="000000" w:sz="4" w:val="single"/>
            </w:tcBorders>
            <w:shd w:fill="auto" w:val="clear"/>
            <w:vAlign w:val="center"/>
          </w:tcPr>
          <w:p w14:paraId="D0090000">
            <w:pPr>
              <w:widowControl w:val="1"/>
              <w:ind w:firstLine="34"/>
              <w:contextualSpacing w:val="1"/>
              <w:jc w:val="center"/>
              <w:rPr>
                <w:color w:val="000000"/>
              </w:rPr>
            </w:pPr>
            <w:r>
              <w:rPr>
                <w:color w:val="000000"/>
              </w:rPr>
              <w:t>-11</w:t>
            </w:r>
          </w:p>
        </w:tc>
        <w:tc>
          <w:tcPr>
            <w:tcW w:type="dxa" w:w="1134"/>
            <w:tcBorders>
              <w:top w:color="000000" w:sz="4" w:val="single"/>
              <w:left w:color="000000" w:sz="4" w:val="single"/>
              <w:bottom w:color="000000" w:sz="4" w:val="single"/>
              <w:right w:color="000000" w:sz="4" w:val="single"/>
            </w:tcBorders>
            <w:shd w:fill="auto" w:val="clear"/>
            <w:vAlign w:val="center"/>
          </w:tcPr>
          <w:p w14:paraId="D1090000">
            <w:pPr>
              <w:widowControl w:val="1"/>
              <w:ind w:firstLine="34"/>
              <w:contextualSpacing w:val="1"/>
              <w:jc w:val="center"/>
              <w:rPr>
                <w:color w:val="000000"/>
              </w:rPr>
            </w:pPr>
            <w:r>
              <w:rPr>
                <w:color w:val="000000"/>
              </w:rPr>
              <w:t>96,2%</w:t>
            </w:r>
          </w:p>
        </w:tc>
        <w:tc>
          <w:tcPr>
            <w:tcW w:type="dxa" w:w="852"/>
            <w:tcBorders>
              <w:top w:color="000000" w:sz="4" w:val="single"/>
              <w:left w:color="000000" w:sz="4" w:val="single"/>
              <w:bottom w:color="000000" w:sz="4" w:val="single"/>
              <w:right w:color="000000" w:sz="4" w:val="single"/>
            </w:tcBorders>
            <w:vAlign w:val="center"/>
          </w:tcPr>
          <w:p w14:paraId="D2090000">
            <w:pPr>
              <w:widowControl w:val="1"/>
              <w:ind w:firstLine="34"/>
              <w:contextualSpacing w:val="1"/>
              <w:jc w:val="center"/>
              <w:rPr>
                <w:color w:val="000000"/>
              </w:rPr>
            </w:pPr>
            <w:r>
              <w:rPr>
                <w:color w:val="000000"/>
              </w:rPr>
              <w:t>0,0</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D3090000">
            <w:pPr>
              <w:widowControl w:val="1"/>
              <w:ind w:firstLine="34"/>
              <w:contextualSpacing w:val="1"/>
              <w:jc w:val="center"/>
              <w:rPr>
                <w:b w:val="1"/>
                <w:color w:val="000000"/>
              </w:rPr>
            </w:pPr>
            <w:r>
              <w:rPr>
                <w:b w:val="1"/>
                <w:color w:val="000000"/>
              </w:rPr>
              <w:t>Капитал и резервы</w:t>
            </w:r>
          </w:p>
        </w:tc>
        <w:tc>
          <w:tcPr>
            <w:tcW w:type="dxa" w:w="1134"/>
            <w:tcBorders>
              <w:top w:color="000000" w:sz="4" w:val="single"/>
              <w:left w:color="000000" w:sz="4" w:val="single"/>
              <w:bottom w:color="000000" w:sz="4" w:val="single"/>
              <w:right w:color="000000" w:sz="4" w:val="single"/>
            </w:tcBorders>
            <w:shd w:fill="auto" w:val="clear"/>
            <w:vAlign w:val="center"/>
          </w:tcPr>
          <w:p w14:paraId="D4090000">
            <w:pPr>
              <w:widowControl w:val="1"/>
              <w:ind w:firstLine="34"/>
              <w:contextualSpacing w:val="1"/>
              <w:jc w:val="center"/>
              <w:rPr>
                <w:b w:val="1"/>
                <w:color w:val="000000"/>
              </w:rPr>
            </w:pPr>
            <w:r>
              <w:rPr>
                <w:b w:val="1"/>
                <w:color w:val="000000"/>
              </w:rPr>
              <w:t>-143 833</w:t>
            </w:r>
          </w:p>
        </w:tc>
        <w:tc>
          <w:tcPr>
            <w:tcW w:type="dxa" w:w="992"/>
            <w:tcBorders>
              <w:top w:color="000000" w:sz="4" w:val="single"/>
              <w:left w:color="000000" w:sz="4" w:val="single"/>
              <w:bottom w:color="000000" w:sz="4" w:val="single"/>
              <w:right w:color="000000" w:sz="4" w:val="single"/>
            </w:tcBorders>
            <w:shd w:fill="auto" w:val="clear"/>
            <w:vAlign w:val="center"/>
          </w:tcPr>
          <w:p w14:paraId="D5090000">
            <w:pPr>
              <w:widowControl w:val="1"/>
              <w:ind w:firstLine="34"/>
              <w:contextualSpacing w:val="1"/>
              <w:jc w:val="center"/>
              <w:rPr>
                <w:b w:val="1"/>
                <w:color w:val="000000"/>
              </w:rPr>
            </w:pPr>
            <w:r>
              <w:rPr>
                <w:b w:val="1"/>
                <w:color w:val="000000"/>
              </w:rPr>
              <w:t>-90,3</w:t>
            </w:r>
          </w:p>
        </w:tc>
        <w:tc>
          <w:tcPr>
            <w:tcW w:type="dxa" w:w="1134"/>
            <w:tcBorders>
              <w:top w:color="000000" w:sz="4" w:val="single"/>
              <w:left w:color="000000" w:sz="4" w:val="single"/>
              <w:bottom w:color="000000" w:sz="4" w:val="single"/>
              <w:right w:color="000000" w:sz="4" w:val="single"/>
            </w:tcBorders>
            <w:shd w:fill="auto" w:val="clear"/>
            <w:vAlign w:val="center"/>
          </w:tcPr>
          <w:p w14:paraId="D6090000">
            <w:pPr>
              <w:widowControl w:val="1"/>
              <w:ind w:firstLine="34"/>
              <w:contextualSpacing w:val="1"/>
              <w:jc w:val="center"/>
              <w:rPr>
                <w:b w:val="1"/>
                <w:color w:val="000000"/>
              </w:rPr>
            </w:pPr>
            <w:r>
              <w:rPr>
                <w:b w:val="1"/>
                <w:color w:val="000000"/>
              </w:rPr>
              <w:t>-143 531</w:t>
            </w:r>
          </w:p>
        </w:tc>
        <w:tc>
          <w:tcPr>
            <w:tcW w:type="dxa" w:w="992"/>
            <w:tcBorders>
              <w:top w:color="000000" w:sz="4" w:val="single"/>
              <w:left w:color="000000" w:sz="4" w:val="single"/>
              <w:bottom w:color="000000" w:sz="4" w:val="single"/>
              <w:right w:color="000000" w:sz="4" w:val="single"/>
            </w:tcBorders>
            <w:shd w:fill="auto" w:val="clear"/>
            <w:vAlign w:val="center"/>
          </w:tcPr>
          <w:p w14:paraId="D7090000">
            <w:pPr>
              <w:widowControl w:val="1"/>
              <w:ind w:firstLine="34"/>
              <w:contextualSpacing w:val="1"/>
              <w:jc w:val="center"/>
              <w:rPr>
                <w:b w:val="1"/>
                <w:color w:val="000000"/>
              </w:rPr>
            </w:pPr>
            <w:r>
              <w:rPr>
                <w:b w:val="1"/>
                <w:color w:val="000000"/>
              </w:rPr>
              <w:t>-102,7</w:t>
            </w:r>
          </w:p>
        </w:tc>
        <w:tc>
          <w:tcPr>
            <w:tcW w:type="dxa" w:w="1417"/>
            <w:tcBorders>
              <w:top w:color="000000" w:sz="4" w:val="single"/>
              <w:left w:color="000000" w:sz="4" w:val="single"/>
              <w:bottom w:color="000000" w:sz="4" w:val="single"/>
              <w:right w:color="000000" w:sz="4" w:val="single"/>
            </w:tcBorders>
            <w:shd w:fill="auto" w:val="clear"/>
            <w:vAlign w:val="center"/>
          </w:tcPr>
          <w:p w14:paraId="D8090000">
            <w:pPr>
              <w:widowControl w:val="1"/>
              <w:ind w:firstLine="34"/>
              <w:contextualSpacing w:val="1"/>
              <w:jc w:val="center"/>
              <w:rPr>
                <w:b w:val="1"/>
                <w:color w:val="000000"/>
              </w:rPr>
            </w:pPr>
            <w:r>
              <w:rPr>
                <w:b w:val="1"/>
                <w:color w:val="000000"/>
              </w:rPr>
              <w:t>302</w:t>
            </w:r>
          </w:p>
        </w:tc>
        <w:tc>
          <w:tcPr>
            <w:tcW w:type="dxa" w:w="1134"/>
            <w:tcBorders>
              <w:top w:color="000000" w:sz="4" w:val="single"/>
              <w:left w:color="000000" w:sz="4" w:val="single"/>
              <w:bottom w:color="000000" w:sz="4" w:val="single"/>
              <w:right w:color="000000" w:sz="4" w:val="single"/>
            </w:tcBorders>
            <w:shd w:fill="auto" w:val="clear"/>
            <w:vAlign w:val="center"/>
          </w:tcPr>
          <w:p w14:paraId="D9090000">
            <w:pPr>
              <w:widowControl w:val="1"/>
              <w:ind w:firstLine="34"/>
              <w:contextualSpacing w:val="1"/>
              <w:jc w:val="center"/>
              <w:rPr>
                <w:b w:val="1"/>
                <w:color w:val="000000"/>
              </w:rPr>
            </w:pPr>
            <w:r>
              <w:rPr>
                <w:b w:val="1"/>
                <w:color w:val="000000"/>
              </w:rPr>
              <w:t>99,8%</w:t>
            </w:r>
          </w:p>
        </w:tc>
        <w:tc>
          <w:tcPr>
            <w:tcW w:type="dxa" w:w="852"/>
            <w:tcBorders>
              <w:top w:color="000000" w:sz="4" w:val="single"/>
              <w:left w:color="000000" w:sz="4" w:val="single"/>
              <w:bottom w:color="000000" w:sz="4" w:val="single"/>
              <w:right w:color="000000" w:sz="4" w:val="single"/>
            </w:tcBorders>
            <w:vAlign w:val="center"/>
          </w:tcPr>
          <w:p w14:paraId="DA090000">
            <w:pPr>
              <w:widowControl w:val="1"/>
              <w:ind w:firstLine="34"/>
              <w:contextualSpacing w:val="1"/>
              <w:jc w:val="center"/>
              <w:rPr>
                <w:b w:val="1"/>
                <w:color w:val="000000"/>
              </w:rPr>
            </w:pPr>
            <w:r>
              <w:rPr>
                <w:b w:val="1"/>
                <w:color w:val="000000"/>
              </w:rPr>
              <w:t>-12,4</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DB090000">
            <w:pPr>
              <w:widowControl w:val="1"/>
              <w:ind w:firstLine="34"/>
              <w:contextualSpacing w:val="1"/>
              <w:jc w:val="center"/>
              <w:rPr>
                <w:color w:val="000000"/>
              </w:rPr>
            </w:pPr>
            <w:r>
              <w:rPr>
                <w:color w:val="000000"/>
              </w:rPr>
              <w:t>уставный капитал</w:t>
            </w:r>
          </w:p>
        </w:tc>
        <w:tc>
          <w:tcPr>
            <w:tcW w:type="dxa" w:w="1134"/>
            <w:tcBorders>
              <w:top w:color="000000" w:sz="4" w:val="single"/>
              <w:left w:color="000000" w:sz="4" w:val="single"/>
              <w:bottom w:color="000000" w:sz="4" w:val="single"/>
              <w:right w:color="000000" w:sz="4" w:val="single"/>
            </w:tcBorders>
            <w:shd w:fill="auto" w:val="clear"/>
            <w:vAlign w:val="center"/>
          </w:tcPr>
          <w:p w14:paraId="DC090000">
            <w:pPr>
              <w:widowControl w:val="1"/>
              <w:ind w:firstLine="34"/>
              <w:contextualSpacing w:val="1"/>
              <w:jc w:val="center"/>
              <w:rPr>
                <w:color w:val="000000"/>
              </w:rPr>
            </w:pPr>
            <w:r>
              <w:rPr>
                <w:color w:val="000000"/>
              </w:rPr>
              <w:t>100</w:t>
            </w:r>
          </w:p>
        </w:tc>
        <w:tc>
          <w:tcPr>
            <w:tcW w:type="dxa" w:w="992"/>
            <w:tcBorders>
              <w:top w:color="000000" w:sz="4" w:val="single"/>
              <w:left w:color="000000" w:sz="4" w:val="single"/>
              <w:bottom w:color="000000" w:sz="4" w:val="single"/>
              <w:right w:color="000000" w:sz="4" w:val="single"/>
            </w:tcBorders>
            <w:shd w:fill="auto" w:val="clear"/>
            <w:vAlign w:val="center"/>
          </w:tcPr>
          <w:p w14:paraId="DD090000">
            <w:pPr>
              <w:widowControl w:val="1"/>
              <w:ind w:firstLine="34"/>
              <w:contextualSpacing w:val="1"/>
              <w:jc w:val="center"/>
              <w:rPr>
                <w:color w:val="000000"/>
              </w:rPr>
            </w:pPr>
            <w:r>
              <w:rPr>
                <w:color w:val="000000"/>
              </w:rPr>
              <w:t>0,1</w:t>
            </w:r>
          </w:p>
        </w:tc>
        <w:tc>
          <w:tcPr>
            <w:tcW w:type="dxa" w:w="1134"/>
            <w:tcBorders>
              <w:top w:color="000000" w:sz="4" w:val="single"/>
              <w:left w:color="000000" w:sz="4" w:val="single"/>
              <w:bottom w:color="000000" w:sz="4" w:val="single"/>
              <w:right w:color="000000" w:sz="4" w:val="single"/>
            </w:tcBorders>
            <w:shd w:fill="auto" w:val="clear"/>
            <w:vAlign w:val="center"/>
          </w:tcPr>
          <w:p w14:paraId="DE090000">
            <w:pPr>
              <w:widowControl w:val="1"/>
              <w:ind w:firstLine="34"/>
              <w:contextualSpacing w:val="1"/>
              <w:jc w:val="center"/>
              <w:rPr>
                <w:color w:val="000000"/>
              </w:rPr>
            </w:pPr>
            <w:r>
              <w:rPr>
                <w:color w:val="000000"/>
              </w:rPr>
              <w:t>100</w:t>
            </w:r>
          </w:p>
        </w:tc>
        <w:tc>
          <w:tcPr>
            <w:tcW w:type="dxa" w:w="992"/>
            <w:tcBorders>
              <w:top w:color="000000" w:sz="4" w:val="single"/>
              <w:left w:color="000000" w:sz="4" w:val="single"/>
              <w:bottom w:color="000000" w:sz="4" w:val="single"/>
              <w:right w:color="000000" w:sz="4" w:val="single"/>
            </w:tcBorders>
            <w:shd w:fill="auto" w:val="clear"/>
            <w:vAlign w:val="center"/>
          </w:tcPr>
          <w:p w14:paraId="DF090000">
            <w:pPr>
              <w:widowControl w:val="1"/>
              <w:ind w:firstLine="34"/>
              <w:contextualSpacing w:val="1"/>
              <w:jc w:val="center"/>
              <w:rPr>
                <w:color w:val="000000"/>
              </w:rPr>
            </w:pPr>
            <w:r>
              <w:rPr>
                <w:color w:val="000000"/>
              </w:rPr>
              <w:t>0,1</w:t>
            </w:r>
          </w:p>
        </w:tc>
        <w:tc>
          <w:tcPr>
            <w:tcW w:type="dxa" w:w="1417"/>
            <w:tcBorders>
              <w:top w:color="000000" w:sz="4" w:val="single"/>
              <w:left w:color="000000" w:sz="4" w:val="single"/>
              <w:bottom w:color="000000" w:sz="4" w:val="single"/>
              <w:right w:color="000000" w:sz="4" w:val="single"/>
            </w:tcBorders>
            <w:shd w:fill="auto" w:val="clear"/>
            <w:vAlign w:val="center"/>
          </w:tcPr>
          <w:p w14:paraId="E0090000">
            <w:pPr>
              <w:widowControl w:val="1"/>
              <w:ind w:firstLine="34"/>
              <w:contextualSpacing w:val="1"/>
              <w:jc w:val="center"/>
              <w:rPr>
                <w:color w:val="000000"/>
              </w:rPr>
            </w:pPr>
            <w:r>
              <w:rPr>
                <w:color w:val="000000"/>
              </w:rPr>
              <w:t>0</w:t>
            </w:r>
          </w:p>
        </w:tc>
        <w:tc>
          <w:tcPr>
            <w:tcW w:type="dxa" w:w="1134"/>
            <w:tcBorders>
              <w:top w:color="000000" w:sz="4" w:val="single"/>
              <w:left w:color="000000" w:sz="4" w:val="single"/>
              <w:bottom w:color="000000" w:sz="4" w:val="single"/>
              <w:right w:color="000000" w:sz="4" w:val="single"/>
            </w:tcBorders>
            <w:shd w:fill="auto" w:val="clear"/>
            <w:vAlign w:val="center"/>
          </w:tcPr>
          <w:p w14:paraId="E1090000">
            <w:pPr>
              <w:widowControl w:val="1"/>
              <w:ind w:firstLine="34"/>
              <w:contextualSpacing w:val="1"/>
              <w:jc w:val="center"/>
              <w:rPr>
                <w:color w:val="000000"/>
              </w:rPr>
            </w:pPr>
            <w:r>
              <w:rPr>
                <w:color w:val="000000"/>
              </w:rPr>
              <w:t>100,0%</w:t>
            </w:r>
          </w:p>
        </w:tc>
        <w:tc>
          <w:tcPr>
            <w:tcW w:type="dxa" w:w="852"/>
            <w:tcBorders>
              <w:top w:color="000000" w:sz="4" w:val="single"/>
              <w:left w:color="000000" w:sz="4" w:val="single"/>
              <w:bottom w:color="000000" w:sz="4" w:val="single"/>
              <w:right w:color="000000" w:sz="4" w:val="single"/>
            </w:tcBorders>
            <w:vAlign w:val="center"/>
          </w:tcPr>
          <w:p w14:paraId="E2090000">
            <w:pPr>
              <w:widowControl w:val="1"/>
              <w:ind w:firstLine="34"/>
              <w:contextualSpacing w:val="1"/>
              <w:jc w:val="center"/>
              <w:rPr>
                <w:color w:val="000000"/>
              </w:rPr>
            </w:pPr>
            <w:r>
              <w:rPr>
                <w:color w:val="000000"/>
              </w:rPr>
              <w:t>0,0</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E3090000">
            <w:pPr>
              <w:widowControl w:val="1"/>
              <w:ind w:firstLine="34"/>
              <w:contextualSpacing w:val="1"/>
              <w:jc w:val="center"/>
              <w:rPr>
                <w:color w:val="000000"/>
              </w:rPr>
            </w:pPr>
            <w:r>
              <w:rPr>
                <w:color w:val="000000"/>
              </w:rPr>
              <w:t>резервный капитал</w:t>
            </w:r>
          </w:p>
        </w:tc>
        <w:tc>
          <w:tcPr>
            <w:tcW w:type="dxa" w:w="1134"/>
            <w:tcBorders>
              <w:top w:color="000000" w:sz="4" w:val="single"/>
              <w:left w:color="000000" w:sz="4" w:val="single"/>
              <w:bottom w:color="000000" w:sz="4" w:val="single"/>
              <w:right w:color="000000" w:sz="4" w:val="single"/>
            </w:tcBorders>
            <w:shd w:fill="auto" w:val="clear"/>
            <w:vAlign w:val="center"/>
          </w:tcPr>
          <w:p w14:paraId="E4090000">
            <w:pPr>
              <w:widowControl w:val="1"/>
              <w:ind w:firstLine="34"/>
              <w:contextualSpacing w:val="1"/>
              <w:jc w:val="center"/>
              <w:rPr>
                <w:color w:val="000000"/>
              </w:rPr>
            </w:pPr>
            <w:r>
              <w:rPr>
                <w:color w:val="000000"/>
              </w:rPr>
              <w:t>5</w:t>
            </w:r>
          </w:p>
        </w:tc>
        <w:tc>
          <w:tcPr>
            <w:tcW w:type="dxa" w:w="992"/>
            <w:tcBorders>
              <w:top w:color="000000" w:sz="4" w:val="single"/>
              <w:left w:color="000000" w:sz="4" w:val="single"/>
              <w:bottom w:color="000000" w:sz="4" w:val="single"/>
              <w:right w:color="000000" w:sz="4" w:val="single"/>
            </w:tcBorders>
            <w:shd w:fill="auto" w:val="clear"/>
            <w:vAlign w:val="center"/>
          </w:tcPr>
          <w:p w14:paraId="E5090000">
            <w:pPr>
              <w:widowControl w:val="1"/>
              <w:ind w:firstLine="34"/>
              <w:contextualSpacing w:val="1"/>
              <w:jc w:val="center"/>
              <w:rPr>
                <w:color w:val="000000"/>
              </w:rPr>
            </w:pPr>
            <w:r>
              <w:rPr>
                <w:color w:val="000000"/>
              </w:rPr>
              <w:t>0,0</w:t>
            </w:r>
          </w:p>
        </w:tc>
        <w:tc>
          <w:tcPr>
            <w:tcW w:type="dxa" w:w="1134"/>
            <w:tcBorders>
              <w:top w:color="000000" w:sz="4" w:val="single"/>
              <w:left w:color="000000" w:sz="4" w:val="single"/>
              <w:bottom w:color="000000" w:sz="4" w:val="single"/>
              <w:right w:color="000000" w:sz="4" w:val="single"/>
            </w:tcBorders>
            <w:shd w:fill="auto" w:val="clear"/>
            <w:vAlign w:val="center"/>
          </w:tcPr>
          <w:p w14:paraId="E6090000">
            <w:pPr>
              <w:widowControl w:val="1"/>
              <w:ind w:firstLine="34"/>
              <w:contextualSpacing w:val="1"/>
              <w:jc w:val="center"/>
              <w:rPr>
                <w:color w:val="000000"/>
              </w:rPr>
            </w:pPr>
            <w:r>
              <w:rPr>
                <w:color w:val="000000"/>
              </w:rPr>
              <w:t>5</w:t>
            </w:r>
          </w:p>
        </w:tc>
        <w:tc>
          <w:tcPr>
            <w:tcW w:type="dxa" w:w="992"/>
            <w:tcBorders>
              <w:top w:color="000000" w:sz="4" w:val="single"/>
              <w:left w:color="000000" w:sz="4" w:val="single"/>
              <w:bottom w:color="000000" w:sz="4" w:val="single"/>
              <w:right w:color="000000" w:sz="4" w:val="single"/>
            </w:tcBorders>
            <w:shd w:fill="auto" w:val="clear"/>
            <w:vAlign w:val="center"/>
          </w:tcPr>
          <w:p w14:paraId="E7090000">
            <w:pPr>
              <w:widowControl w:val="1"/>
              <w:ind w:firstLine="34"/>
              <w:contextualSpacing w:val="1"/>
              <w:jc w:val="center"/>
              <w:rPr>
                <w:color w:val="000000"/>
              </w:rPr>
            </w:pPr>
            <w:r>
              <w:rPr>
                <w:color w:val="000000"/>
              </w:rPr>
              <w:t>0,0</w:t>
            </w:r>
          </w:p>
        </w:tc>
        <w:tc>
          <w:tcPr>
            <w:tcW w:type="dxa" w:w="1417"/>
            <w:tcBorders>
              <w:top w:color="000000" w:sz="4" w:val="single"/>
              <w:left w:color="000000" w:sz="4" w:val="single"/>
              <w:bottom w:color="000000" w:sz="4" w:val="single"/>
              <w:right w:color="000000" w:sz="4" w:val="single"/>
            </w:tcBorders>
            <w:shd w:fill="auto" w:val="clear"/>
            <w:vAlign w:val="center"/>
          </w:tcPr>
          <w:p w14:paraId="E8090000">
            <w:pPr>
              <w:widowControl w:val="1"/>
              <w:ind w:firstLine="34"/>
              <w:contextualSpacing w:val="1"/>
              <w:jc w:val="center"/>
              <w:rPr>
                <w:color w:val="000000"/>
              </w:rPr>
            </w:pPr>
            <w:r>
              <w:rPr>
                <w:color w:val="000000"/>
              </w:rPr>
              <w:t>0</w:t>
            </w:r>
          </w:p>
        </w:tc>
        <w:tc>
          <w:tcPr>
            <w:tcW w:type="dxa" w:w="1134"/>
            <w:tcBorders>
              <w:top w:color="000000" w:sz="4" w:val="single"/>
              <w:left w:color="000000" w:sz="4" w:val="single"/>
              <w:bottom w:color="000000" w:sz="4" w:val="single"/>
              <w:right w:color="000000" w:sz="4" w:val="single"/>
            </w:tcBorders>
            <w:shd w:fill="auto" w:val="clear"/>
            <w:vAlign w:val="center"/>
          </w:tcPr>
          <w:p w14:paraId="E9090000">
            <w:pPr>
              <w:widowControl w:val="1"/>
              <w:ind w:firstLine="34"/>
              <w:contextualSpacing w:val="1"/>
              <w:jc w:val="center"/>
              <w:rPr>
                <w:color w:val="000000"/>
              </w:rPr>
            </w:pPr>
            <w:r>
              <w:rPr>
                <w:color w:val="000000"/>
              </w:rPr>
              <w:t>100,0%</w:t>
            </w:r>
          </w:p>
        </w:tc>
        <w:tc>
          <w:tcPr>
            <w:tcW w:type="dxa" w:w="852"/>
            <w:tcBorders>
              <w:top w:color="000000" w:sz="4" w:val="single"/>
              <w:left w:color="000000" w:sz="4" w:val="single"/>
              <w:bottom w:color="000000" w:sz="4" w:val="single"/>
              <w:right w:color="000000" w:sz="4" w:val="single"/>
            </w:tcBorders>
            <w:vAlign w:val="center"/>
          </w:tcPr>
          <w:p w14:paraId="EA090000">
            <w:pPr>
              <w:widowControl w:val="1"/>
              <w:ind w:firstLine="34"/>
              <w:contextualSpacing w:val="1"/>
              <w:jc w:val="center"/>
              <w:rPr>
                <w:color w:val="000000"/>
              </w:rPr>
            </w:pPr>
            <w:r>
              <w:rPr>
                <w:color w:val="000000"/>
              </w:rPr>
              <w:t>0,0</w:t>
            </w:r>
          </w:p>
        </w:tc>
      </w:tr>
      <w:tr>
        <w:trPr>
          <w:trHeight w:hRule="atLeast" w:val="633"/>
        </w:trPr>
        <w:tc>
          <w:tcPr>
            <w:tcW w:type="dxa" w:w="2694"/>
            <w:tcBorders>
              <w:top w:color="000000" w:sz="4" w:val="single"/>
              <w:left w:color="000000" w:sz="4" w:val="single"/>
              <w:bottom w:color="000000" w:sz="4" w:val="single"/>
              <w:right w:color="000000" w:sz="4" w:val="single"/>
            </w:tcBorders>
            <w:shd w:fill="auto" w:val="clear"/>
            <w:vAlign w:val="center"/>
          </w:tcPr>
          <w:p w14:paraId="EB090000">
            <w:pPr>
              <w:widowControl w:val="1"/>
              <w:ind w:firstLine="34"/>
              <w:contextualSpacing w:val="1"/>
              <w:jc w:val="center"/>
              <w:rPr>
                <w:color w:val="000000"/>
              </w:rPr>
            </w:pPr>
            <w:r>
              <w:rPr>
                <w:color w:val="000000"/>
              </w:rPr>
              <w:t>нераспределенная прибыль (непокрытый убыток)</w:t>
            </w:r>
          </w:p>
        </w:tc>
        <w:tc>
          <w:tcPr>
            <w:tcW w:type="dxa" w:w="1134"/>
            <w:tcBorders>
              <w:top w:color="000000" w:sz="4" w:val="single"/>
              <w:left w:color="000000" w:sz="4" w:val="single"/>
              <w:bottom w:color="000000" w:sz="4" w:val="single"/>
              <w:right w:color="000000" w:sz="4" w:val="single"/>
            </w:tcBorders>
            <w:shd w:fill="auto" w:val="clear"/>
            <w:vAlign w:val="center"/>
          </w:tcPr>
          <w:p w14:paraId="EC090000">
            <w:pPr>
              <w:widowControl w:val="1"/>
              <w:ind w:firstLine="34"/>
              <w:contextualSpacing w:val="1"/>
              <w:jc w:val="center"/>
              <w:rPr>
                <w:color w:val="000000"/>
              </w:rPr>
            </w:pPr>
            <w:r>
              <w:rPr>
                <w:color w:val="000000"/>
              </w:rPr>
              <w:t>-143 938</w:t>
            </w:r>
          </w:p>
        </w:tc>
        <w:tc>
          <w:tcPr>
            <w:tcW w:type="dxa" w:w="992"/>
            <w:tcBorders>
              <w:top w:color="000000" w:sz="4" w:val="single"/>
              <w:left w:color="000000" w:sz="4" w:val="single"/>
              <w:bottom w:color="000000" w:sz="4" w:val="single"/>
              <w:right w:color="000000" w:sz="4" w:val="single"/>
            </w:tcBorders>
            <w:shd w:fill="auto" w:val="clear"/>
            <w:vAlign w:val="center"/>
          </w:tcPr>
          <w:p w14:paraId="ED090000">
            <w:pPr>
              <w:widowControl w:val="1"/>
              <w:ind w:firstLine="34"/>
              <w:contextualSpacing w:val="1"/>
              <w:jc w:val="center"/>
              <w:rPr>
                <w:color w:val="000000"/>
              </w:rPr>
            </w:pPr>
            <w:r>
              <w:rPr>
                <w:color w:val="000000"/>
              </w:rPr>
              <w:t>-90,4</w:t>
            </w:r>
          </w:p>
        </w:tc>
        <w:tc>
          <w:tcPr>
            <w:tcW w:type="dxa" w:w="1134"/>
            <w:tcBorders>
              <w:top w:color="000000" w:sz="4" w:val="single"/>
              <w:left w:color="000000" w:sz="4" w:val="single"/>
              <w:bottom w:color="000000" w:sz="4" w:val="single"/>
              <w:right w:color="000000" w:sz="4" w:val="single"/>
            </w:tcBorders>
            <w:shd w:fill="auto" w:val="clear"/>
            <w:vAlign w:val="center"/>
          </w:tcPr>
          <w:p w14:paraId="EE090000">
            <w:pPr>
              <w:widowControl w:val="1"/>
              <w:ind w:firstLine="34"/>
              <w:contextualSpacing w:val="1"/>
              <w:jc w:val="center"/>
              <w:rPr>
                <w:color w:val="000000"/>
              </w:rPr>
            </w:pPr>
            <w:r>
              <w:rPr>
                <w:color w:val="000000"/>
              </w:rPr>
              <w:t>-143 636</w:t>
            </w:r>
          </w:p>
        </w:tc>
        <w:tc>
          <w:tcPr>
            <w:tcW w:type="dxa" w:w="992"/>
            <w:tcBorders>
              <w:top w:color="000000" w:sz="4" w:val="single"/>
              <w:left w:color="000000" w:sz="4" w:val="single"/>
              <w:bottom w:color="000000" w:sz="4" w:val="single"/>
              <w:right w:color="000000" w:sz="4" w:val="single"/>
            </w:tcBorders>
            <w:shd w:fill="auto" w:val="clear"/>
            <w:vAlign w:val="center"/>
          </w:tcPr>
          <w:p w14:paraId="EF090000">
            <w:pPr>
              <w:widowControl w:val="1"/>
              <w:ind w:firstLine="34"/>
              <w:contextualSpacing w:val="1"/>
              <w:jc w:val="center"/>
              <w:rPr>
                <w:color w:val="000000"/>
              </w:rPr>
            </w:pPr>
            <w:r>
              <w:rPr>
                <w:color w:val="000000"/>
              </w:rPr>
              <w:t>-102,8</w:t>
            </w:r>
          </w:p>
        </w:tc>
        <w:tc>
          <w:tcPr>
            <w:tcW w:type="dxa" w:w="1417"/>
            <w:tcBorders>
              <w:top w:color="000000" w:sz="4" w:val="single"/>
              <w:left w:color="000000" w:sz="4" w:val="single"/>
              <w:bottom w:color="000000" w:sz="4" w:val="single"/>
              <w:right w:color="000000" w:sz="4" w:val="single"/>
            </w:tcBorders>
            <w:shd w:fill="auto" w:val="clear"/>
            <w:vAlign w:val="center"/>
          </w:tcPr>
          <w:p w14:paraId="F0090000">
            <w:pPr>
              <w:widowControl w:val="1"/>
              <w:ind w:firstLine="34"/>
              <w:contextualSpacing w:val="1"/>
              <w:jc w:val="center"/>
              <w:rPr>
                <w:color w:val="000000"/>
              </w:rPr>
            </w:pPr>
            <w:r>
              <w:rPr>
                <w:color w:val="000000"/>
              </w:rPr>
              <w:t>302</w:t>
            </w:r>
          </w:p>
        </w:tc>
        <w:tc>
          <w:tcPr>
            <w:tcW w:type="dxa" w:w="1134"/>
            <w:tcBorders>
              <w:top w:color="000000" w:sz="4" w:val="single"/>
              <w:left w:color="000000" w:sz="4" w:val="single"/>
              <w:bottom w:color="000000" w:sz="4" w:val="single"/>
              <w:right w:color="000000" w:sz="4" w:val="single"/>
            </w:tcBorders>
            <w:shd w:fill="auto" w:val="clear"/>
            <w:vAlign w:val="center"/>
          </w:tcPr>
          <w:p w14:paraId="F1090000">
            <w:pPr>
              <w:widowControl w:val="1"/>
              <w:ind w:firstLine="34"/>
              <w:contextualSpacing w:val="1"/>
              <w:jc w:val="center"/>
              <w:rPr>
                <w:color w:val="000000"/>
              </w:rPr>
            </w:pPr>
            <w:r>
              <w:rPr>
                <w:color w:val="000000"/>
              </w:rPr>
              <w:t>99,8%</w:t>
            </w:r>
          </w:p>
        </w:tc>
        <w:tc>
          <w:tcPr>
            <w:tcW w:type="dxa" w:w="852"/>
            <w:tcBorders>
              <w:top w:color="000000" w:sz="4" w:val="single"/>
              <w:left w:color="000000" w:sz="4" w:val="single"/>
              <w:bottom w:color="000000" w:sz="4" w:val="single"/>
              <w:right w:color="000000" w:sz="4" w:val="single"/>
            </w:tcBorders>
            <w:vAlign w:val="center"/>
          </w:tcPr>
          <w:p w14:paraId="F2090000">
            <w:pPr>
              <w:widowControl w:val="1"/>
              <w:ind w:firstLine="34"/>
              <w:contextualSpacing w:val="1"/>
              <w:jc w:val="center"/>
              <w:rPr>
                <w:color w:val="000000"/>
              </w:rPr>
            </w:pPr>
            <w:r>
              <w:rPr>
                <w:color w:val="000000"/>
              </w:rPr>
              <w:t>-12,4</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F3090000">
            <w:pPr>
              <w:widowControl w:val="1"/>
              <w:ind w:firstLine="34"/>
              <w:contextualSpacing w:val="1"/>
              <w:jc w:val="center"/>
              <w:rPr>
                <w:b w:val="1"/>
                <w:color w:val="000000"/>
              </w:rPr>
            </w:pPr>
            <w:r>
              <w:rPr>
                <w:b w:val="1"/>
                <w:color w:val="000000"/>
              </w:rPr>
              <w:t>Долгосрочные обязательства</w:t>
            </w:r>
          </w:p>
        </w:tc>
        <w:tc>
          <w:tcPr>
            <w:tcW w:type="dxa" w:w="1134"/>
            <w:tcBorders>
              <w:top w:color="000000" w:sz="4" w:val="single"/>
              <w:left w:color="000000" w:sz="4" w:val="single"/>
              <w:bottom w:color="000000" w:sz="4" w:val="single"/>
              <w:right w:color="000000" w:sz="4" w:val="single"/>
            </w:tcBorders>
            <w:shd w:fill="auto" w:val="clear"/>
            <w:vAlign w:val="center"/>
          </w:tcPr>
          <w:p w14:paraId="F4090000">
            <w:pPr>
              <w:widowControl w:val="1"/>
              <w:ind w:firstLine="34"/>
              <w:contextualSpacing w:val="1"/>
              <w:jc w:val="center"/>
              <w:rPr>
                <w:b w:val="1"/>
                <w:color w:val="000000"/>
              </w:rPr>
            </w:pPr>
            <w:r>
              <w:rPr>
                <w:b w:val="1"/>
                <w:color w:val="000000"/>
              </w:rPr>
              <w:t>249 233</w:t>
            </w:r>
          </w:p>
        </w:tc>
        <w:tc>
          <w:tcPr>
            <w:tcW w:type="dxa" w:w="992"/>
            <w:tcBorders>
              <w:top w:color="000000" w:sz="4" w:val="single"/>
              <w:left w:color="000000" w:sz="4" w:val="single"/>
              <w:bottom w:color="000000" w:sz="4" w:val="single"/>
              <w:right w:color="000000" w:sz="4" w:val="single"/>
            </w:tcBorders>
            <w:shd w:fill="auto" w:val="clear"/>
            <w:vAlign w:val="center"/>
          </w:tcPr>
          <w:p w14:paraId="F5090000">
            <w:pPr>
              <w:widowControl w:val="1"/>
              <w:ind w:firstLine="34"/>
              <w:contextualSpacing w:val="1"/>
              <w:jc w:val="center"/>
              <w:rPr>
                <w:b w:val="1"/>
                <w:color w:val="000000"/>
              </w:rPr>
            </w:pPr>
            <w:r>
              <w:rPr>
                <w:b w:val="1"/>
                <w:color w:val="000000"/>
              </w:rPr>
              <w:t>156,5</w:t>
            </w:r>
          </w:p>
        </w:tc>
        <w:tc>
          <w:tcPr>
            <w:tcW w:type="dxa" w:w="1134"/>
            <w:tcBorders>
              <w:top w:color="000000" w:sz="4" w:val="single"/>
              <w:left w:color="000000" w:sz="4" w:val="single"/>
              <w:bottom w:color="000000" w:sz="4" w:val="single"/>
              <w:right w:color="000000" w:sz="4" w:val="single"/>
            </w:tcBorders>
            <w:shd w:fill="auto" w:val="clear"/>
            <w:vAlign w:val="center"/>
          </w:tcPr>
          <w:p w14:paraId="F6090000">
            <w:pPr>
              <w:widowControl w:val="1"/>
              <w:ind w:firstLine="34"/>
              <w:contextualSpacing w:val="1"/>
              <w:jc w:val="center"/>
              <w:rPr>
                <w:b w:val="1"/>
                <w:color w:val="000000"/>
              </w:rPr>
            </w:pPr>
            <w:r>
              <w:rPr>
                <w:b w:val="1"/>
                <w:color w:val="000000"/>
              </w:rPr>
              <w:t>241 919</w:t>
            </w:r>
          </w:p>
        </w:tc>
        <w:tc>
          <w:tcPr>
            <w:tcW w:type="dxa" w:w="992"/>
            <w:tcBorders>
              <w:top w:color="000000" w:sz="4" w:val="single"/>
              <w:left w:color="000000" w:sz="4" w:val="single"/>
              <w:bottom w:color="000000" w:sz="4" w:val="single"/>
              <w:right w:color="000000" w:sz="4" w:val="single"/>
            </w:tcBorders>
            <w:shd w:fill="auto" w:val="clear"/>
            <w:vAlign w:val="center"/>
          </w:tcPr>
          <w:p w14:paraId="F7090000">
            <w:pPr>
              <w:widowControl w:val="1"/>
              <w:ind w:firstLine="34"/>
              <w:contextualSpacing w:val="1"/>
              <w:jc w:val="center"/>
              <w:rPr>
                <w:b w:val="1"/>
                <w:color w:val="000000"/>
              </w:rPr>
            </w:pPr>
            <w:r>
              <w:rPr>
                <w:b w:val="1"/>
                <w:color w:val="000000"/>
              </w:rPr>
              <w:t>173,2</w:t>
            </w:r>
          </w:p>
        </w:tc>
        <w:tc>
          <w:tcPr>
            <w:tcW w:type="dxa" w:w="1417"/>
            <w:tcBorders>
              <w:top w:color="000000" w:sz="4" w:val="single"/>
              <w:left w:color="000000" w:sz="4" w:val="single"/>
              <w:bottom w:color="000000" w:sz="4" w:val="single"/>
              <w:right w:color="000000" w:sz="4" w:val="single"/>
            </w:tcBorders>
            <w:shd w:fill="auto" w:val="clear"/>
            <w:vAlign w:val="center"/>
          </w:tcPr>
          <w:p w14:paraId="F8090000">
            <w:pPr>
              <w:widowControl w:val="1"/>
              <w:ind w:firstLine="34"/>
              <w:contextualSpacing w:val="1"/>
              <w:jc w:val="center"/>
              <w:rPr>
                <w:b w:val="1"/>
                <w:color w:val="000000"/>
              </w:rPr>
            </w:pPr>
            <w:r>
              <w:rPr>
                <w:b w:val="1"/>
                <w:color w:val="000000"/>
              </w:rPr>
              <w:t>-7 314</w:t>
            </w:r>
          </w:p>
        </w:tc>
        <w:tc>
          <w:tcPr>
            <w:tcW w:type="dxa" w:w="1134"/>
            <w:tcBorders>
              <w:top w:color="000000" w:sz="4" w:val="single"/>
              <w:left w:color="000000" w:sz="4" w:val="single"/>
              <w:bottom w:color="000000" w:sz="4" w:val="single"/>
              <w:right w:color="000000" w:sz="4" w:val="single"/>
            </w:tcBorders>
            <w:shd w:fill="auto" w:val="clear"/>
            <w:vAlign w:val="center"/>
          </w:tcPr>
          <w:p w14:paraId="F9090000">
            <w:pPr>
              <w:widowControl w:val="1"/>
              <w:ind w:firstLine="34"/>
              <w:contextualSpacing w:val="1"/>
              <w:jc w:val="center"/>
              <w:rPr>
                <w:b w:val="1"/>
                <w:color w:val="000000"/>
              </w:rPr>
            </w:pPr>
            <w:r>
              <w:rPr>
                <w:b w:val="1"/>
                <w:color w:val="000000"/>
              </w:rPr>
              <w:t>97,1%</w:t>
            </w:r>
          </w:p>
        </w:tc>
        <w:tc>
          <w:tcPr>
            <w:tcW w:type="dxa" w:w="852"/>
            <w:tcBorders>
              <w:top w:color="000000" w:sz="4" w:val="single"/>
              <w:left w:color="000000" w:sz="4" w:val="single"/>
              <w:bottom w:color="000000" w:sz="4" w:val="single"/>
              <w:right w:color="000000" w:sz="4" w:val="single"/>
            </w:tcBorders>
            <w:vAlign w:val="center"/>
          </w:tcPr>
          <w:p w14:paraId="FA090000">
            <w:pPr>
              <w:widowControl w:val="1"/>
              <w:ind w:firstLine="34"/>
              <w:contextualSpacing w:val="1"/>
              <w:jc w:val="center"/>
              <w:rPr>
                <w:b w:val="1"/>
                <w:color w:val="000000"/>
              </w:rPr>
            </w:pPr>
            <w:r>
              <w:rPr>
                <w:b w:val="1"/>
                <w:color w:val="000000"/>
              </w:rPr>
              <w:t>16,6</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FB090000">
            <w:pPr>
              <w:widowControl w:val="1"/>
              <w:ind w:firstLine="34"/>
              <w:contextualSpacing w:val="1"/>
              <w:jc w:val="center"/>
              <w:rPr>
                <w:color w:val="000000"/>
              </w:rPr>
            </w:pPr>
            <w:r>
              <w:rPr>
                <w:color w:val="000000"/>
              </w:rPr>
              <w:t>отложенные налоговые обязательства</w:t>
            </w:r>
          </w:p>
        </w:tc>
        <w:tc>
          <w:tcPr>
            <w:tcW w:type="dxa" w:w="1134"/>
            <w:tcBorders>
              <w:top w:color="000000" w:sz="4" w:val="single"/>
              <w:left w:color="000000" w:sz="4" w:val="single"/>
              <w:bottom w:color="000000" w:sz="4" w:val="single"/>
              <w:right w:color="000000" w:sz="4" w:val="single"/>
            </w:tcBorders>
            <w:shd w:fill="auto" w:val="clear"/>
            <w:vAlign w:val="center"/>
          </w:tcPr>
          <w:p w14:paraId="FC090000">
            <w:pPr>
              <w:widowControl w:val="1"/>
              <w:ind w:firstLine="34"/>
              <w:contextualSpacing w:val="1"/>
              <w:jc w:val="center"/>
              <w:rPr>
                <w:color w:val="000000"/>
              </w:rPr>
            </w:pPr>
            <w:r>
              <w:rPr>
                <w:color w:val="000000"/>
              </w:rPr>
              <w:t>6 670</w:t>
            </w:r>
          </w:p>
        </w:tc>
        <w:tc>
          <w:tcPr>
            <w:tcW w:type="dxa" w:w="992"/>
            <w:tcBorders>
              <w:top w:color="000000" w:sz="4" w:val="single"/>
              <w:left w:color="000000" w:sz="4" w:val="single"/>
              <w:bottom w:color="000000" w:sz="4" w:val="single"/>
              <w:right w:color="000000" w:sz="4" w:val="single"/>
            </w:tcBorders>
            <w:shd w:fill="auto" w:val="clear"/>
            <w:vAlign w:val="center"/>
          </w:tcPr>
          <w:p w14:paraId="FD090000">
            <w:pPr>
              <w:widowControl w:val="1"/>
              <w:ind w:firstLine="34"/>
              <w:contextualSpacing w:val="1"/>
              <w:jc w:val="center"/>
              <w:rPr>
                <w:color w:val="000000"/>
              </w:rPr>
            </w:pPr>
            <w:r>
              <w:rPr>
                <w:color w:val="000000"/>
              </w:rPr>
              <w:t>4,2</w:t>
            </w:r>
          </w:p>
        </w:tc>
        <w:tc>
          <w:tcPr>
            <w:tcW w:type="dxa" w:w="1134"/>
            <w:tcBorders>
              <w:top w:color="000000" w:sz="4" w:val="single"/>
              <w:left w:color="000000" w:sz="4" w:val="single"/>
              <w:bottom w:color="000000" w:sz="4" w:val="single"/>
              <w:right w:color="000000" w:sz="4" w:val="single"/>
            </w:tcBorders>
            <w:shd w:fill="auto" w:val="clear"/>
            <w:vAlign w:val="center"/>
          </w:tcPr>
          <w:p w14:paraId="FE090000">
            <w:pPr>
              <w:widowControl w:val="1"/>
              <w:ind w:firstLine="34"/>
              <w:contextualSpacing w:val="1"/>
              <w:jc w:val="center"/>
              <w:rPr>
                <w:color w:val="000000"/>
              </w:rPr>
            </w:pPr>
            <w:r>
              <w:rPr>
                <w:color w:val="000000"/>
              </w:rPr>
              <w:t>536</w:t>
            </w:r>
          </w:p>
        </w:tc>
        <w:tc>
          <w:tcPr>
            <w:tcW w:type="dxa" w:w="992"/>
            <w:tcBorders>
              <w:top w:color="000000" w:sz="4" w:val="single"/>
              <w:left w:color="000000" w:sz="4" w:val="single"/>
              <w:bottom w:color="000000" w:sz="4" w:val="single"/>
              <w:right w:color="000000" w:sz="4" w:val="single"/>
            </w:tcBorders>
            <w:shd w:fill="auto" w:val="clear"/>
            <w:vAlign w:val="center"/>
          </w:tcPr>
          <w:p w14:paraId="FF090000">
            <w:pPr>
              <w:widowControl w:val="1"/>
              <w:ind w:firstLine="34"/>
              <w:contextualSpacing w:val="1"/>
              <w:jc w:val="center"/>
              <w:rPr>
                <w:color w:val="000000"/>
              </w:rPr>
            </w:pPr>
            <w:r>
              <w:rPr>
                <w:color w:val="000000"/>
              </w:rPr>
              <w:t>0,4</w:t>
            </w:r>
          </w:p>
        </w:tc>
        <w:tc>
          <w:tcPr>
            <w:tcW w:type="dxa" w:w="1417"/>
            <w:tcBorders>
              <w:top w:color="000000" w:sz="4" w:val="single"/>
              <w:left w:color="000000" w:sz="4" w:val="single"/>
              <w:bottom w:color="000000" w:sz="4" w:val="single"/>
              <w:right w:color="000000" w:sz="4" w:val="single"/>
            </w:tcBorders>
            <w:shd w:fill="auto" w:val="clear"/>
            <w:vAlign w:val="center"/>
          </w:tcPr>
          <w:p w14:paraId="000A0000">
            <w:pPr>
              <w:widowControl w:val="1"/>
              <w:ind w:firstLine="34"/>
              <w:contextualSpacing w:val="1"/>
              <w:jc w:val="center"/>
              <w:rPr>
                <w:color w:val="000000"/>
              </w:rPr>
            </w:pPr>
            <w:r>
              <w:rPr>
                <w:color w:val="000000"/>
              </w:rPr>
              <w:t xml:space="preserve">-6 </w:t>
            </w:r>
            <w:r>
              <w:rPr>
                <w:color w:val="000000"/>
              </w:rPr>
              <w:t>134</w:t>
            </w:r>
          </w:p>
        </w:tc>
        <w:tc>
          <w:tcPr>
            <w:tcW w:type="dxa" w:w="1134"/>
            <w:tcBorders>
              <w:top w:color="000000" w:sz="4" w:val="single"/>
              <w:left w:color="000000" w:sz="4" w:val="single"/>
              <w:bottom w:color="000000" w:sz="4" w:val="single"/>
              <w:right w:color="000000" w:sz="4" w:val="single"/>
            </w:tcBorders>
            <w:shd w:fill="auto" w:val="clear"/>
            <w:vAlign w:val="center"/>
          </w:tcPr>
          <w:p w14:paraId="010A0000">
            <w:pPr>
              <w:widowControl w:val="1"/>
              <w:ind w:firstLine="34"/>
              <w:contextualSpacing w:val="1"/>
              <w:jc w:val="center"/>
              <w:rPr>
                <w:color w:val="000000"/>
              </w:rPr>
            </w:pPr>
            <w:r>
              <w:rPr>
                <w:color w:val="000000"/>
              </w:rPr>
              <w:t>8,0%</w:t>
            </w:r>
          </w:p>
        </w:tc>
        <w:tc>
          <w:tcPr>
            <w:tcW w:type="dxa" w:w="852"/>
            <w:tcBorders>
              <w:top w:color="000000" w:sz="4" w:val="single"/>
              <w:left w:color="000000" w:sz="4" w:val="single"/>
              <w:bottom w:color="000000" w:sz="4" w:val="single"/>
              <w:right w:color="000000" w:sz="4" w:val="single"/>
            </w:tcBorders>
            <w:vAlign w:val="center"/>
          </w:tcPr>
          <w:p w14:paraId="020A0000">
            <w:pPr>
              <w:widowControl w:val="1"/>
              <w:ind w:firstLine="34"/>
              <w:contextualSpacing w:val="1"/>
              <w:jc w:val="center"/>
              <w:rPr>
                <w:color w:val="000000"/>
              </w:rPr>
            </w:pPr>
            <w:r>
              <w:rPr>
                <w:color w:val="000000"/>
              </w:rPr>
              <w:t>-3,8</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030A0000">
            <w:pPr>
              <w:widowControl w:val="1"/>
              <w:ind w:firstLine="34"/>
              <w:contextualSpacing w:val="1"/>
              <w:jc w:val="center"/>
              <w:rPr>
                <w:color w:val="000000"/>
              </w:rPr>
            </w:pPr>
            <w:r>
              <w:rPr>
                <w:color w:val="000000"/>
              </w:rPr>
              <w:t>Прочие обязательства, в т.ч.</w:t>
            </w:r>
          </w:p>
        </w:tc>
        <w:tc>
          <w:tcPr>
            <w:tcW w:type="dxa" w:w="1134"/>
            <w:tcBorders>
              <w:top w:color="000000" w:sz="4" w:val="single"/>
              <w:left w:color="000000" w:sz="4" w:val="single"/>
              <w:bottom w:color="000000" w:sz="4" w:val="single"/>
              <w:right w:color="000000" w:sz="4" w:val="single"/>
            </w:tcBorders>
            <w:shd w:fill="auto" w:val="clear"/>
            <w:vAlign w:val="center"/>
          </w:tcPr>
          <w:p w14:paraId="040A0000">
            <w:pPr>
              <w:widowControl w:val="1"/>
              <w:ind w:firstLine="34"/>
              <w:contextualSpacing w:val="1"/>
              <w:jc w:val="center"/>
              <w:rPr>
                <w:color w:val="000000"/>
              </w:rPr>
            </w:pPr>
            <w:r>
              <w:rPr>
                <w:color w:val="000000"/>
              </w:rPr>
              <w:t>242 563</w:t>
            </w:r>
          </w:p>
        </w:tc>
        <w:tc>
          <w:tcPr>
            <w:tcW w:type="dxa" w:w="992"/>
            <w:tcBorders>
              <w:top w:color="000000" w:sz="4" w:val="single"/>
              <w:left w:color="000000" w:sz="4" w:val="single"/>
              <w:bottom w:color="000000" w:sz="4" w:val="single"/>
              <w:right w:color="000000" w:sz="4" w:val="single"/>
            </w:tcBorders>
            <w:shd w:fill="auto" w:val="clear"/>
            <w:vAlign w:val="center"/>
          </w:tcPr>
          <w:p w14:paraId="050A0000">
            <w:pPr>
              <w:widowControl w:val="1"/>
              <w:ind w:firstLine="34"/>
              <w:contextualSpacing w:val="1"/>
              <w:jc w:val="center"/>
              <w:rPr>
                <w:color w:val="000000"/>
              </w:rPr>
            </w:pPr>
            <w:r>
              <w:rPr>
                <w:color w:val="000000"/>
              </w:rPr>
              <w:t>152,3</w:t>
            </w:r>
          </w:p>
        </w:tc>
        <w:tc>
          <w:tcPr>
            <w:tcW w:type="dxa" w:w="1134"/>
            <w:tcBorders>
              <w:top w:color="000000" w:sz="4" w:val="single"/>
              <w:left w:color="000000" w:sz="4" w:val="single"/>
              <w:bottom w:color="000000" w:sz="4" w:val="single"/>
              <w:right w:color="000000" w:sz="4" w:val="single"/>
            </w:tcBorders>
            <w:shd w:fill="auto" w:val="clear"/>
            <w:vAlign w:val="center"/>
          </w:tcPr>
          <w:p w14:paraId="060A0000">
            <w:pPr>
              <w:widowControl w:val="1"/>
              <w:ind w:firstLine="34"/>
              <w:contextualSpacing w:val="1"/>
              <w:jc w:val="center"/>
              <w:rPr>
                <w:color w:val="000000"/>
              </w:rPr>
            </w:pPr>
            <w:r>
              <w:rPr>
                <w:color w:val="000000"/>
              </w:rPr>
              <w:t>241 383</w:t>
            </w:r>
          </w:p>
        </w:tc>
        <w:tc>
          <w:tcPr>
            <w:tcW w:type="dxa" w:w="992"/>
            <w:tcBorders>
              <w:top w:color="000000" w:sz="4" w:val="single"/>
              <w:left w:color="000000" w:sz="4" w:val="single"/>
              <w:bottom w:color="000000" w:sz="4" w:val="single"/>
              <w:right w:color="000000" w:sz="4" w:val="single"/>
            </w:tcBorders>
            <w:shd w:fill="auto" w:val="clear"/>
            <w:vAlign w:val="center"/>
          </w:tcPr>
          <w:p w14:paraId="070A0000">
            <w:pPr>
              <w:widowControl w:val="1"/>
              <w:ind w:firstLine="34"/>
              <w:contextualSpacing w:val="1"/>
              <w:jc w:val="center"/>
              <w:rPr>
                <w:color w:val="000000"/>
              </w:rPr>
            </w:pPr>
            <w:r>
              <w:rPr>
                <w:color w:val="000000"/>
              </w:rPr>
              <w:t>172,8</w:t>
            </w:r>
          </w:p>
        </w:tc>
        <w:tc>
          <w:tcPr>
            <w:tcW w:type="dxa" w:w="1417"/>
            <w:tcBorders>
              <w:top w:color="000000" w:sz="4" w:val="single"/>
              <w:left w:color="000000" w:sz="4" w:val="single"/>
              <w:bottom w:color="000000" w:sz="4" w:val="single"/>
              <w:right w:color="000000" w:sz="4" w:val="single"/>
            </w:tcBorders>
            <w:shd w:fill="auto" w:val="clear"/>
            <w:vAlign w:val="center"/>
          </w:tcPr>
          <w:p w14:paraId="080A0000">
            <w:pPr>
              <w:widowControl w:val="1"/>
              <w:ind w:firstLine="34"/>
              <w:contextualSpacing w:val="1"/>
              <w:jc w:val="center"/>
              <w:rPr>
                <w:color w:val="000000"/>
              </w:rPr>
            </w:pPr>
            <w:r>
              <w:rPr>
                <w:color w:val="000000"/>
              </w:rPr>
              <w:t>-1 180</w:t>
            </w:r>
          </w:p>
        </w:tc>
        <w:tc>
          <w:tcPr>
            <w:tcW w:type="dxa" w:w="1134"/>
            <w:tcBorders>
              <w:top w:color="000000" w:sz="4" w:val="single"/>
              <w:left w:color="000000" w:sz="4" w:val="single"/>
              <w:bottom w:color="000000" w:sz="4" w:val="single"/>
              <w:right w:color="000000" w:sz="4" w:val="single"/>
            </w:tcBorders>
            <w:shd w:fill="auto" w:val="clear"/>
            <w:vAlign w:val="center"/>
          </w:tcPr>
          <w:p w14:paraId="090A0000">
            <w:pPr>
              <w:widowControl w:val="1"/>
              <w:ind w:firstLine="34"/>
              <w:contextualSpacing w:val="1"/>
              <w:jc w:val="center"/>
              <w:rPr>
                <w:color w:val="000000"/>
              </w:rPr>
            </w:pPr>
            <w:r>
              <w:rPr>
                <w:color w:val="000000"/>
              </w:rPr>
              <w:t>99,5%</w:t>
            </w:r>
          </w:p>
        </w:tc>
        <w:tc>
          <w:tcPr>
            <w:tcW w:type="dxa" w:w="852"/>
            <w:tcBorders>
              <w:top w:color="000000" w:sz="4" w:val="single"/>
              <w:left w:color="000000" w:sz="4" w:val="single"/>
              <w:bottom w:color="000000" w:sz="4" w:val="single"/>
              <w:right w:color="000000" w:sz="4" w:val="single"/>
            </w:tcBorders>
            <w:vAlign w:val="center"/>
          </w:tcPr>
          <w:p w14:paraId="0A0A0000">
            <w:pPr>
              <w:widowControl w:val="1"/>
              <w:ind w:firstLine="34"/>
              <w:contextualSpacing w:val="1"/>
              <w:jc w:val="center"/>
              <w:rPr>
                <w:color w:val="000000"/>
              </w:rPr>
            </w:pPr>
            <w:r>
              <w:rPr>
                <w:color w:val="000000"/>
              </w:rPr>
              <w:t>20,4</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0B0A0000">
            <w:pPr>
              <w:widowControl w:val="1"/>
              <w:ind w:firstLine="34"/>
              <w:contextualSpacing w:val="1"/>
              <w:jc w:val="center"/>
              <w:rPr>
                <w:color w:val="000000"/>
              </w:rPr>
            </w:pPr>
            <w:r>
              <w:rPr>
                <w:color w:val="000000"/>
              </w:rPr>
              <w:t>Долгосрочная кредиторская задолженность</w:t>
            </w:r>
          </w:p>
        </w:tc>
        <w:tc>
          <w:tcPr>
            <w:tcW w:type="dxa" w:w="1134"/>
            <w:tcBorders>
              <w:top w:color="000000" w:sz="4" w:val="single"/>
              <w:left w:color="000000" w:sz="4" w:val="single"/>
              <w:bottom w:color="000000" w:sz="4" w:val="single"/>
              <w:right w:color="000000" w:sz="4" w:val="single"/>
            </w:tcBorders>
            <w:shd w:fill="auto" w:val="clear"/>
            <w:vAlign w:val="center"/>
          </w:tcPr>
          <w:p w14:paraId="0C0A0000">
            <w:pPr>
              <w:widowControl w:val="1"/>
              <w:ind w:firstLine="34"/>
              <w:contextualSpacing w:val="1"/>
              <w:jc w:val="center"/>
              <w:rPr>
                <w:color w:val="000000"/>
              </w:rPr>
            </w:pPr>
            <w:r>
              <w:rPr>
                <w:color w:val="000000"/>
              </w:rPr>
              <w:t>242 563</w:t>
            </w:r>
          </w:p>
        </w:tc>
        <w:tc>
          <w:tcPr>
            <w:tcW w:type="dxa" w:w="992"/>
            <w:tcBorders>
              <w:top w:color="000000" w:sz="4" w:val="single"/>
              <w:left w:color="000000" w:sz="4" w:val="single"/>
              <w:bottom w:color="000000" w:sz="4" w:val="single"/>
              <w:right w:color="000000" w:sz="4" w:val="single"/>
            </w:tcBorders>
            <w:shd w:fill="auto" w:val="clear"/>
            <w:vAlign w:val="center"/>
          </w:tcPr>
          <w:p w14:paraId="0D0A0000">
            <w:pPr>
              <w:widowControl w:val="1"/>
              <w:ind w:firstLine="34"/>
              <w:contextualSpacing w:val="1"/>
              <w:jc w:val="center"/>
              <w:rPr>
                <w:color w:val="000000"/>
              </w:rPr>
            </w:pPr>
            <w:r>
              <w:rPr>
                <w:color w:val="000000"/>
              </w:rPr>
              <w:t>152</w:t>
            </w:r>
          </w:p>
        </w:tc>
        <w:tc>
          <w:tcPr>
            <w:tcW w:type="dxa" w:w="1134"/>
            <w:tcBorders>
              <w:top w:color="000000" w:sz="4" w:val="single"/>
              <w:left w:color="000000" w:sz="4" w:val="single"/>
              <w:bottom w:color="000000" w:sz="4" w:val="single"/>
              <w:right w:color="000000" w:sz="4" w:val="single"/>
            </w:tcBorders>
            <w:shd w:fill="auto" w:val="clear"/>
            <w:vAlign w:val="center"/>
          </w:tcPr>
          <w:p w14:paraId="0E0A0000">
            <w:pPr>
              <w:widowControl w:val="1"/>
              <w:ind w:firstLine="34"/>
              <w:contextualSpacing w:val="1"/>
              <w:jc w:val="center"/>
              <w:rPr>
                <w:color w:val="000000"/>
              </w:rPr>
            </w:pPr>
            <w:r>
              <w:rPr>
                <w:color w:val="000000"/>
              </w:rPr>
              <w:t>241 383</w:t>
            </w:r>
          </w:p>
        </w:tc>
        <w:tc>
          <w:tcPr>
            <w:tcW w:type="dxa" w:w="992"/>
            <w:tcBorders>
              <w:top w:color="000000" w:sz="4" w:val="single"/>
              <w:left w:color="000000" w:sz="4" w:val="single"/>
              <w:bottom w:color="000000" w:sz="4" w:val="single"/>
              <w:right w:color="000000" w:sz="4" w:val="single"/>
            </w:tcBorders>
            <w:shd w:fill="auto" w:val="clear"/>
            <w:vAlign w:val="center"/>
          </w:tcPr>
          <w:p w14:paraId="0F0A0000">
            <w:pPr>
              <w:widowControl w:val="1"/>
              <w:ind w:firstLine="34"/>
              <w:contextualSpacing w:val="1"/>
              <w:jc w:val="center"/>
              <w:rPr>
                <w:color w:val="000000"/>
              </w:rPr>
            </w:pPr>
            <w:r>
              <w:rPr>
                <w:color w:val="000000"/>
              </w:rPr>
              <w:t>173</w:t>
            </w:r>
          </w:p>
        </w:tc>
        <w:tc>
          <w:tcPr>
            <w:tcW w:type="dxa" w:w="1417"/>
            <w:tcBorders>
              <w:top w:color="000000" w:sz="4" w:val="single"/>
              <w:left w:color="000000" w:sz="4" w:val="single"/>
              <w:bottom w:color="000000" w:sz="4" w:val="single"/>
              <w:right w:color="000000" w:sz="4" w:val="single"/>
            </w:tcBorders>
            <w:shd w:fill="auto" w:val="clear"/>
            <w:vAlign w:val="center"/>
          </w:tcPr>
          <w:p w14:paraId="100A0000">
            <w:pPr>
              <w:widowControl w:val="1"/>
              <w:ind w:firstLine="34"/>
              <w:contextualSpacing w:val="1"/>
              <w:jc w:val="center"/>
              <w:rPr>
                <w:color w:val="000000"/>
              </w:rPr>
            </w:pPr>
            <w:r>
              <w:rPr>
                <w:color w:val="000000"/>
              </w:rPr>
              <w:t>-1 180</w:t>
            </w:r>
          </w:p>
        </w:tc>
        <w:tc>
          <w:tcPr>
            <w:tcW w:type="dxa" w:w="1134"/>
            <w:tcBorders>
              <w:top w:color="000000" w:sz="4" w:val="single"/>
              <w:left w:color="000000" w:sz="4" w:val="single"/>
              <w:bottom w:color="000000" w:sz="4" w:val="single"/>
              <w:right w:color="000000" w:sz="4" w:val="single"/>
            </w:tcBorders>
            <w:shd w:fill="auto" w:val="clear"/>
            <w:vAlign w:val="center"/>
          </w:tcPr>
          <w:p w14:paraId="110A0000">
            <w:pPr>
              <w:widowControl w:val="1"/>
              <w:ind w:firstLine="34"/>
              <w:contextualSpacing w:val="1"/>
              <w:jc w:val="center"/>
              <w:rPr>
                <w:color w:val="000000"/>
              </w:rPr>
            </w:pPr>
            <w:r>
              <w:rPr>
                <w:color w:val="000000"/>
              </w:rPr>
              <w:t>99,5%</w:t>
            </w:r>
          </w:p>
        </w:tc>
        <w:tc>
          <w:tcPr>
            <w:tcW w:type="dxa" w:w="852"/>
            <w:tcBorders>
              <w:top w:color="000000" w:sz="4" w:val="single"/>
              <w:left w:color="000000" w:sz="4" w:val="single"/>
              <w:bottom w:color="000000" w:sz="4" w:val="single"/>
              <w:right w:color="000000" w:sz="4" w:val="single"/>
            </w:tcBorders>
            <w:vAlign w:val="center"/>
          </w:tcPr>
          <w:p w14:paraId="120A0000">
            <w:pPr>
              <w:widowControl w:val="1"/>
              <w:ind w:firstLine="34"/>
              <w:contextualSpacing w:val="1"/>
              <w:jc w:val="center"/>
              <w:rPr>
                <w:color w:val="000000"/>
              </w:rPr>
            </w:pPr>
            <w:r>
              <w:rPr>
                <w:color w:val="000000"/>
              </w:rPr>
              <w:t>20,4</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130A0000">
            <w:pPr>
              <w:widowControl w:val="1"/>
              <w:ind w:firstLine="34"/>
              <w:contextualSpacing w:val="1"/>
              <w:jc w:val="center"/>
              <w:rPr>
                <w:b w:val="1"/>
                <w:color w:val="000000"/>
              </w:rPr>
            </w:pPr>
            <w:r>
              <w:rPr>
                <w:b w:val="1"/>
                <w:color w:val="000000"/>
              </w:rPr>
              <w:t>Краткосрочные обязательства</w:t>
            </w:r>
          </w:p>
        </w:tc>
        <w:tc>
          <w:tcPr>
            <w:tcW w:type="dxa" w:w="1134"/>
            <w:tcBorders>
              <w:top w:color="000000" w:sz="4" w:val="single"/>
              <w:left w:color="000000" w:sz="4" w:val="single"/>
              <w:bottom w:color="000000" w:sz="4" w:val="single"/>
              <w:right w:color="000000" w:sz="4" w:val="single"/>
            </w:tcBorders>
            <w:shd w:fill="auto" w:val="clear"/>
            <w:vAlign w:val="center"/>
          </w:tcPr>
          <w:p w14:paraId="140A0000">
            <w:pPr>
              <w:widowControl w:val="1"/>
              <w:ind w:firstLine="34"/>
              <w:contextualSpacing w:val="1"/>
              <w:jc w:val="center"/>
              <w:rPr>
                <w:b w:val="1"/>
                <w:color w:val="000000"/>
              </w:rPr>
            </w:pPr>
            <w:r>
              <w:rPr>
                <w:b w:val="1"/>
                <w:color w:val="000000"/>
              </w:rPr>
              <w:t>53 815</w:t>
            </w:r>
          </w:p>
        </w:tc>
        <w:tc>
          <w:tcPr>
            <w:tcW w:type="dxa" w:w="992"/>
            <w:tcBorders>
              <w:top w:color="000000" w:sz="4" w:val="single"/>
              <w:left w:color="000000" w:sz="4" w:val="single"/>
              <w:bottom w:color="000000" w:sz="4" w:val="single"/>
              <w:right w:color="000000" w:sz="4" w:val="single"/>
            </w:tcBorders>
            <w:shd w:fill="auto" w:val="clear"/>
            <w:vAlign w:val="center"/>
          </w:tcPr>
          <w:p w14:paraId="150A0000">
            <w:pPr>
              <w:widowControl w:val="1"/>
              <w:ind w:firstLine="34"/>
              <w:contextualSpacing w:val="1"/>
              <w:jc w:val="center"/>
              <w:rPr>
                <w:b w:val="1"/>
                <w:color w:val="000000"/>
              </w:rPr>
            </w:pPr>
            <w:r>
              <w:rPr>
                <w:b w:val="1"/>
                <w:color w:val="000000"/>
              </w:rPr>
              <w:t>33,8</w:t>
            </w:r>
          </w:p>
        </w:tc>
        <w:tc>
          <w:tcPr>
            <w:tcW w:type="dxa" w:w="1134"/>
            <w:tcBorders>
              <w:top w:color="000000" w:sz="4" w:val="single"/>
              <w:left w:color="000000" w:sz="4" w:val="single"/>
              <w:bottom w:color="000000" w:sz="4" w:val="single"/>
              <w:right w:color="000000" w:sz="4" w:val="single"/>
            </w:tcBorders>
            <w:shd w:fill="auto" w:val="clear"/>
            <w:vAlign w:val="center"/>
          </w:tcPr>
          <w:p w14:paraId="160A0000">
            <w:pPr>
              <w:widowControl w:val="1"/>
              <w:ind w:firstLine="34"/>
              <w:contextualSpacing w:val="1"/>
              <w:jc w:val="center"/>
              <w:rPr>
                <w:b w:val="1"/>
                <w:color w:val="000000"/>
              </w:rPr>
            </w:pPr>
            <w:r>
              <w:rPr>
                <w:b w:val="1"/>
                <w:color w:val="000000"/>
              </w:rPr>
              <w:t>41 309</w:t>
            </w:r>
          </w:p>
        </w:tc>
        <w:tc>
          <w:tcPr>
            <w:tcW w:type="dxa" w:w="992"/>
            <w:tcBorders>
              <w:top w:color="000000" w:sz="4" w:val="single"/>
              <w:left w:color="000000" w:sz="4" w:val="single"/>
              <w:bottom w:color="000000" w:sz="4" w:val="single"/>
              <w:right w:color="000000" w:sz="4" w:val="single"/>
            </w:tcBorders>
            <w:shd w:fill="auto" w:val="clear"/>
            <w:vAlign w:val="center"/>
          </w:tcPr>
          <w:p w14:paraId="170A0000">
            <w:pPr>
              <w:widowControl w:val="1"/>
              <w:ind w:firstLine="34"/>
              <w:contextualSpacing w:val="1"/>
              <w:jc w:val="center"/>
              <w:rPr>
                <w:b w:val="1"/>
                <w:color w:val="000000"/>
              </w:rPr>
            </w:pPr>
            <w:r>
              <w:rPr>
                <w:b w:val="1"/>
                <w:color w:val="000000"/>
              </w:rPr>
              <w:t>29,6</w:t>
            </w:r>
          </w:p>
        </w:tc>
        <w:tc>
          <w:tcPr>
            <w:tcW w:type="dxa" w:w="1417"/>
            <w:tcBorders>
              <w:top w:color="000000" w:sz="4" w:val="single"/>
              <w:left w:color="000000" w:sz="4" w:val="single"/>
              <w:bottom w:color="000000" w:sz="4" w:val="single"/>
              <w:right w:color="000000" w:sz="4" w:val="single"/>
            </w:tcBorders>
            <w:shd w:fill="auto" w:val="clear"/>
            <w:vAlign w:val="center"/>
          </w:tcPr>
          <w:p w14:paraId="180A0000">
            <w:pPr>
              <w:widowControl w:val="1"/>
              <w:ind w:firstLine="34"/>
              <w:contextualSpacing w:val="1"/>
              <w:jc w:val="center"/>
              <w:rPr>
                <w:b w:val="1"/>
                <w:color w:val="000000"/>
              </w:rPr>
            </w:pPr>
            <w:r>
              <w:rPr>
                <w:b w:val="1"/>
                <w:color w:val="000000"/>
              </w:rPr>
              <w:t>-12 506</w:t>
            </w:r>
          </w:p>
        </w:tc>
        <w:tc>
          <w:tcPr>
            <w:tcW w:type="dxa" w:w="1134"/>
            <w:tcBorders>
              <w:top w:color="000000" w:sz="4" w:val="single"/>
              <w:left w:color="000000" w:sz="4" w:val="single"/>
              <w:bottom w:color="000000" w:sz="4" w:val="single"/>
              <w:right w:color="000000" w:sz="4" w:val="single"/>
            </w:tcBorders>
            <w:shd w:fill="auto" w:val="clear"/>
            <w:vAlign w:val="center"/>
          </w:tcPr>
          <w:p w14:paraId="190A0000">
            <w:pPr>
              <w:widowControl w:val="1"/>
              <w:ind w:firstLine="34"/>
              <w:contextualSpacing w:val="1"/>
              <w:jc w:val="center"/>
              <w:rPr>
                <w:b w:val="1"/>
                <w:color w:val="000000"/>
              </w:rPr>
            </w:pPr>
            <w:r>
              <w:rPr>
                <w:b w:val="1"/>
                <w:color w:val="000000"/>
              </w:rPr>
              <w:t>76,8%</w:t>
            </w:r>
          </w:p>
        </w:tc>
        <w:tc>
          <w:tcPr>
            <w:tcW w:type="dxa" w:w="852"/>
            <w:tcBorders>
              <w:top w:color="000000" w:sz="4" w:val="single"/>
              <w:left w:color="000000" w:sz="4" w:val="single"/>
              <w:bottom w:color="000000" w:sz="4" w:val="single"/>
              <w:right w:color="000000" w:sz="4" w:val="single"/>
            </w:tcBorders>
            <w:vAlign w:val="center"/>
          </w:tcPr>
          <w:p w14:paraId="1A0A0000">
            <w:pPr>
              <w:widowControl w:val="1"/>
              <w:ind w:firstLine="34"/>
              <w:contextualSpacing w:val="1"/>
              <w:jc w:val="center"/>
              <w:rPr>
                <w:b w:val="1"/>
                <w:color w:val="000000"/>
              </w:rPr>
            </w:pPr>
            <w:r>
              <w:rPr>
                <w:b w:val="1"/>
                <w:color w:val="000000"/>
              </w:rPr>
              <w:t>-4,2</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1B0A0000">
            <w:pPr>
              <w:widowControl w:val="1"/>
              <w:ind w:firstLine="34"/>
              <w:contextualSpacing w:val="1"/>
              <w:jc w:val="center"/>
              <w:rPr>
                <w:color w:val="000000"/>
              </w:rPr>
            </w:pPr>
            <w:r>
              <w:rPr>
                <w:color w:val="000000"/>
              </w:rPr>
              <w:t>кредиторская задолженность</w:t>
            </w:r>
          </w:p>
        </w:tc>
        <w:tc>
          <w:tcPr>
            <w:tcW w:type="dxa" w:w="1134"/>
            <w:tcBorders>
              <w:top w:color="000000" w:sz="4" w:val="single"/>
              <w:left w:color="000000" w:sz="4" w:val="single"/>
              <w:bottom w:color="000000" w:sz="4" w:val="single"/>
              <w:right w:color="000000" w:sz="4" w:val="single"/>
            </w:tcBorders>
            <w:shd w:fill="auto" w:val="clear"/>
            <w:vAlign w:val="center"/>
          </w:tcPr>
          <w:p w14:paraId="1C0A0000">
            <w:pPr>
              <w:widowControl w:val="1"/>
              <w:ind w:firstLine="34"/>
              <w:contextualSpacing w:val="1"/>
              <w:jc w:val="center"/>
              <w:rPr>
                <w:color w:val="000000"/>
              </w:rPr>
            </w:pPr>
            <w:r>
              <w:rPr>
                <w:color w:val="000000"/>
              </w:rPr>
              <w:t>48 723</w:t>
            </w:r>
          </w:p>
        </w:tc>
        <w:tc>
          <w:tcPr>
            <w:tcW w:type="dxa" w:w="992"/>
            <w:tcBorders>
              <w:top w:color="000000" w:sz="4" w:val="single"/>
              <w:left w:color="000000" w:sz="4" w:val="single"/>
              <w:bottom w:color="000000" w:sz="4" w:val="single"/>
              <w:right w:color="000000" w:sz="4" w:val="single"/>
            </w:tcBorders>
            <w:shd w:fill="auto" w:val="clear"/>
            <w:vAlign w:val="center"/>
          </w:tcPr>
          <w:p w14:paraId="1D0A0000">
            <w:pPr>
              <w:widowControl w:val="1"/>
              <w:ind w:firstLine="34"/>
              <w:contextualSpacing w:val="1"/>
              <w:jc w:val="center"/>
              <w:rPr>
                <w:color w:val="000000"/>
              </w:rPr>
            </w:pPr>
            <w:r>
              <w:rPr>
                <w:color w:val="000000"/>
              </w:rPr>
              <w:t>30,6</w:t>
            </w:r>
          </w:p>
        </w:tc>
        <w:tc>
          <w:tcPr>
            <w:tcW w:type="dxa" w:w="1134"/>
            <w:tcBorders>
              <w:top w:color="000000" w:sz="4" w:val="single"/>
              <w:left w:color="000000" w:sz="4" w:val="single"/>
              <w:bottom w:color="000000" w:sz="4" w:val="single"/>
              <w:right w:color="000000" w:sz="4" w:val="single"/>
            </w:tcBorders>
            <w:shd w:fill="auto" w:val="clear"/>
            <w:vAlign w:val="center"/>
          </w:tcPr>
          <w:p w14:paraId="1E0A0000">
            <w:pPr>
              <w:widowControl w:val="1"/>
              <w:ind w:firstLine="34"/>
              <w:contextualSpacing w:val="1"/>
              <w:jc w:val="center"/>
              <w:rPr>
                <w:color w:val="000000"/>
              </w:rPr>
            </w:pPr>
            <w:r>
              <w:rPr>
                <w:color w:val="000000"/>
              </w:rPr>
              <w:t>34 259</w:t>
            </w:r>
          </w:p>
        </w:tc>
        <w:tc>
          <w:tcPr>
            <w:tcW w:type="dxa" w:w="992"/>
            <w:tcBorders>
              <w:top w:color="000000" w:sz="4" w:val="single"/>
              <w:left w:color="000000" w:sz="4" w:val="single"/>
              <w:bottom w:color="000000" w:sz="4" w:val="single"/>
              <w:right w:color="000000" w:sz="4" w:val="single"/>
            </w:tcBorders>
            <w:shd w:fill="auto" w:val="clear"/>
            <w:vAlign w:val="center"/>
          </w:tcPr>
          <w:p w14:paraId="1F0A0000">
            <w:pPr>
              <w:widowControl w:val="1"/>
              <w:ind w:firstLine="34"/>
              <w:contextualSpacing w:val="1"/>
              <w:jc w:val="center"/>
              <w:rPr>
                <w:color w:val="000000"/>
              </w:rPr>
            </w:pPr>
            <w:r>
              <w:rPr>
                <w:color w:val="000000"/>
              </w:rPr>
              <w:t>24,5</w:t>
            </w:r>
          </w:p>
        </w:tc>
        <w:tc>
          <w:tcPr>
            <w:tcW w:type="dxa" w:w="1417"/>
            <w:tcBorders>
              <w:top w:color="000000" w:sz="4" w:val="single"/>
              <w:left w:color="000000" w:sz="4" w:val="single"/>
              <w:bottom w:color="000000" w:sz="4" w:val="single"/>
              <w:right w:color="000000" w:sz="4" w:val="single"/>
            </w:tcBorders>
            <w:shd w:fill="auto" w:val="clear"/>
            <w:vAlign w:val="center"/>
          </w:tcPr>
          <w:p w14:paraId="200A0000">
            <w:pPr>
              <w:widowControl w:val="1"/>
              <w:ind w:firstLine="34"/>
              <w:contextualSpacing w:val="1"/>
              <w:jc w:val="center"/>
              <w:rPr>
                <w:color w:val="000000"/>
              </w:rPr>
            </w:pPr>
            <w:r>
              <w:rPr>
                <w:color w:val="000000"/>
              </w:rPr>
              <w:t>-14 464</w:t>
            </w:r>
          </w:p>
        </w:tc>
        <w:tc>
          <w:tcPr>
            <w:tcW w:type="dxa" w:w="1134"/>
            <w:tcBorders>
              <w:top w:color="000000" w:sz="4" w:val="single"/>
              <w:left w:color="000000" w:sz="4" w:val="single"/>
              <w:bottom w:color="000000" w:sz="4" w:val="single"/>
              <w:right w:color="000000" w:sz="4" w:val="single"/>
            </w:tcBorders>
            <w:shd w:fill="auto" w:val="clear"/>
            <w:vAlign w:val="center"/>
          </w:tcPr>
          <w:p w14:paraId="210A0000">
            <w:pPr>
              <w:widowControl w:val="1"/>
              <w:ind w:firstLine="34"/>
              <w:contextualSpacing w:val="1"/>
              <w:jc w:val="center"/>
              <w:rPr>
                <w:color w:val="000000"/>
              </w:rPr>
            </w:pPr>
            <w:r>
              <w:rPr>
                <w:color w:val="000000"/>
              </w:rPr>
              <w:t>70,3%</w:t>
            </w:r>
          </w:p>
        </w:tc>
        <w:tc>
          <w:tcPr>
            <w:tcW w:type="dxa" w:w="852"/>
            <w:tcBorders>
              <w:top w:color="000000" w:sz="4" w:val="single"/>
              <w:left w:color="000000" w:sz="4" w:val="single"/>
              <w:bottom w:color="000000" w:sz="4" w:val="single"/>
              <w:right w:color="000000" w:sz="4" w:val="single"/>
            </w:tcBorders>
            <w:vAlign w:val="center"/>
          </w:tcPr>
          <w:p w14:paraId="220A0000">
            <w:pPr>
              <w:widowControl w:val="1"/>
              <w:ind w:firstLine="34"/>
              <w:contextualSpacing w:val="1"/>
              <w:jc w:val="center"/>
              <w:rPr>
                <w:color w:val="000000"/>
              </w:rPr>
            </w:pPr>
            <w:r>
              <w:rPr>
                <w:color w:val="000000"/>
              </w:rPr>
              <w:t>-6,1</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230A0000">
            <w:pPr>
              <w:widowControl w:val="1"/>
              <w:ind w:firstLine="34"/>
              <w:contextualSpacing w:val="1"/>
              <w:jc w:val="center"/>
              <w:rPr>
                <w:color w:val="000000"/>
              </w:rPr>
            </w:pPr>
            <w:r>
              <w:rPr>
                <w:color w:val="000000"/>
              </w:rPr>
              <w:t>Оценочные обязательства</w:t>
            </w:r>
          </w:p>
        </w:tc>
        <w:tc>
          <w:tcPr>
            <w:tcW w:type="dxa" w:w="1134"/>
            <w:tcBorders>
              <w:top w:color="000000" w:sz="4" w:val="single"/>
              <w:left w:color="000000" w:sz="4" w:val="single"/>
              <w:bottom w:color="000000" w:sz="4" w:val="single"/>
              <w:right w:color="000000" w:sz="4" w:val="single"/>
            </w:tcBorders>
            <w:shd w:fill="auto" w:val="clear"/>
            <w:vAlign w:val="center"/>
          </w:tcPr>
          <w:p w14:paraId="240A0000">
            <w:pPr>
              <w:widowControl w:val="1"/>
              <w:ind w:firstLine="34"/>
              <w:contextualSpacing w:val="1"/>
              <w:jc w:val="center"/>
              <w:rPr>
                <w:color w:val="000000"/>
              </w:rPr>
            </w:pPr>
            <w:r>
              <w:rPr>
                <w:color w:val="000000"/>
              </w:rPr>
              <w:t>5 092</w:t>
            </w:r>
          </w:p>
        </w:tc>
        <w:tc>
          <w:tcPr>
            <w:tcW w:type="dxa" w:w="992"/>
            <w:tcBorders>
              <w:top w:color="000000" w:sz="4" w:val="single"/>
              <w:left w:color="000000" w:sz="4" w:val="single"/>
              <w:bottom w:color="000000" w:sz="4" w:val="single"/>
              <w:right w:color="000000" w:sz="4" w:val="single"/>
            </w:tcBorders>
            <w:shd w:fill="auto" w:val="clear"/>
            <w:vAlign w:val="center"/>
          </w:tcPr>
          <w:p w14:paraId="250A0000">
            <w:pPr>
              <w:widowControl w:val="1"/>
              <w:ind w:firstLine="34"/>
              <w:contextualSpacing w:val="1"/>
              <w:jc w:val="center"/>
              <w:rPr>
                <w:color w:val="000000"/>
              </w:rPr>
            </w:pPr>
            <w:r>
              <w:rPr>
                <w:color w:val="000000"/>
              </w:rPr>
              <w:t>3,2</w:t>
            </w:r>
          </w:p>
        </w:tc>
        <w:tc>
          <w:tcPr>
            <w:tcW w:type="dxa" w:w="1134"/>
            <w:tcBorders>
              <w:top w:color="000000" w:sz="4" w:val="single"/>
              <w:left w:color="000000" w:sz="4" w:val="single"/>
              <w:bottom w:color="000000" w:sz="4" w:val="single"/>
              <w:right w:color="000000" w:sz="4" w:val="single"/>
            </w:tcBorders>
            <w:shd w:fill="auto" w:val="clear"/>
            <w:vAlign w:val="center"/>
          </w:tcPr>
          <w:p w14:paraId="260A0000">
            <w:pPr>
              <w:widowControl w:val="1"/>
              <w:ind w:firstLine="34"/>
              <w:contextualSpacing w:val="1"/>
              <w:jc w:val="center"/>
              <w:rPr>
                <w:color w:val="000000"/>
              </w:rPr>
            </w:pPr>
            <w:r>
              <w:rPr>
                <w:color w:val="000000"/>
              </w:rPr>
              <w:t>7 050</w:t>
            </w:r>
          </w:p>
        </w:tc>
        <w:tc>
          <w:tcPr>
            <w:tcW w:type="dxa" w:w="992"/>
            <w:tcBorders>
              <w:top w:color="000000" w:sz="4" w:val="single"/>
              <w:left w:color="000000" w:sz="4" w:val="single"/>
              <w:bottom w:color="000000" w:sz="4" w:val="single"/>
              <w:right w:color="000000" w:sz="4" w:val="single"/>
            </w:tcBorders>
            <w:shd w:fill="auto" w:val="clear"/>
            <w:vAlign w:val="center"/>
          </w:tcPr>
          <w:p w14:paraId="270A0000">
            <w:pPr>
              <w:widowControl w:val="1"/>
              <w:ind w:firstLine="34"/>
              <w:contextualSpacing w:val="1"/>
              <w:jc w:val="center"/>
              <w:rPr>
                <w:color w:val="000000"/>
              </w:rPr>
            </w:pPr>
            <w:r>
              <w:rPr>
                <w:color w:val="000000"/>
              </w:rPr>
              <w:t>5,0</w:t>
            </w:r>
          </w:p>
        </w:tc>
        <w:tc>
          <w:tcPr>
            <w:tcW w:type="dxa" w:w="1417"/>
            <w:tcBorders>
              <w:top w:color="000000" w:sz="4" w:val="single"/>
              <w:left w:color="000000" w:sz="4" w:val="single"/>
              <w:bottom w:color="000000" w:sz="4" w:val="single"/>
              <w:right w:color="000000" w:sz="4" w:val="single"/>
            </w:tcBorders>
            <w:shd w:fill="auto" w:val="clear"/>
            <w:vAlign w:val="center"/>
          </w:tcPr>
          <w:p w14:paraId="280A0000">
            <w:pPr>
              <w:widowControl w:val="1"/>
              <w:ind w:firstLine="34"/>
              <w:contextualSpacing w:val="1"/>
              <w:jc w:val="center"/>
              <w:rPr>
                <w:color w:val="000000"/>
              </w:rPr>
            </w:pPr>
            <w:r>
              <w:rPr>
                <w:color w:val="000000"/>
              </w:rPr>
              <w:t>1 958</w:t>
            </w:r>
          </w:p>
        </w:tc>
        <w:tc>
          <w:tcPr>
            <w:tcW w:type="dxa" w:w="1134"/>
            <w:tcBorders>
              <w:top w:color="000000" w:sz="4" w:val="single"/>
              <w:left w:color="000000" w:sz="4" w:val="single"/>
              <w:bottom w:color="000000" w:sz="4" w:val="single"/>
              <w:right w:color="000000" w:sz="4" w:val="single"/>
            </w:tcBorders>
            <w:shd w:fill="auto" w:val="clear"/>
            <w:vAlign w:val="center"/>
          </w:tcPr>
          <w:p w14:paraId="290A0000">
            <w:pPr>
              <w:widowControl w:val="1"/>
              <w:ind w:firstLine="34"/>
              <w:contextualSpacing w:val="1"/>
              <w:jc w:val="center"/>
              <w:rPr>
                <w:color w:val="000000"/>
              </w:rPr>
            </w:pPr>
            <w:r>
              <w:rPr>
                <w:color w:val="000000"/>
              </w:rPr>
              <w:t>138,5%</w:t>
            </w:r>
          </w:p>
        </w:tc>
        <w:tc>
          <w:tcPr>
            <w:tcW w:type="dxa" w:w="852"/>
            <w:tcBorders>
              <w:top w:color="000000" w:sz="4" w:val="single"/>
              <w:left w:color="000000" w:sz="4" w:val="single"/>
              <w:bottom w:color="000000" w:sz="4" w:val="single"/>
              <w:right w:color="000000" w:sz="4" w:val="single"/>
            </w:tcBorders>
            <w:vAlign w:val="center"/>
          </w:tcPr>
          <w:p w14:paraId="2A0A0000">
            <w:pPr>
              <w:widowControl w:val="1"/>
              <w:ind w:firstLine="34"/>
              <w:contextualSpacing w:val="1"/>
              <w:jc w:val="center"/>
              <w:rPr>
                <w:color w:val="000000"/>
              </w:rPr>
            </w:pPr>
            <w:r>
              <w:rPr>
                <w:color w:val="000000"/>
              </w:rPr>
              <w:t>1,8</w:t>
            </w:r>
          </w:p>
        </w:tc>
      </w:tr>
      <w:tr>
        <w:trPr>
          <w:trHeight w:hRule="atLeast" w:val="315"/>
        </w:trPr>
        <w:tc>
          <w:tcPr>
            <w:tcW w:type="dxa" w:w="2694"/>
            <w:tcBorders>
              <w:top w:color="000000" w:sz="4" w:val="single"/>
              <w:left w:color="000000" w:sz="4" w:val="single"/>
              <w:bottom w:color="000000" w:sz="4" w:val="single"/>
              <w:right w:color="000000" w:sz="4" w:val="single"/>
            </w:tcBorders>
            <w:shd w:fill="auto" w:val="clear"/>
            <w:vAlign w:val="center"/>
          </w:tcPr>
          <w:p w14:paraId="2B0A0000">
            <w:pPr>
              <w:widowControl w:val="1"/>
              <w:ind w:firstLine="34"/>
              <w:contextualSpacing w:val="1"/>
              <w:jc w:val="center"/>
              <w:rPr>
                <w:b w:val="1"/>
                <w:color w:val="000000"/>
              </w:rPr>
            </w:pPr>
            <w:r>
              <w:rPr>
                <w:b w:val="1"/>
                <w:color w:val="000000"/>
              </w:rPr>
              <w:t>Валюта баланса</w:t>
            </w:r>
          </w:p>
        </w:tc>
        <w:tc>
          <w:tcPr>
            <w:tcW w:type="dxa" w:w="1134"/>
            <w:tcBorders>
              <w:top w:color="000000" w:sz="4" w:val="single"/>
              <w:left w:color="000000" w:sz="4" w:val="single"/>
              <w:bottom w:color="000000" w:sz="4" w:val="single"/>
              <w:right w:color="000000" w:sz="4" w:val="single"/>
            </w:tcBorders>
            <w:shd w:fill="auto" w:val="clear"/>
            <w:vAlign w:val="center"/>
          </w:tcPr>
          <w:p w14:paraId="2C0A0000">
            <w:pPr>
              <w:widowControl w:val="1"/>
              <w:ind w:firstLine="34"/>
              <w:contextualSpacing w:val="1"/>
              <w:jc w:val="center"/>
              <w:rPr>
                <w:b w:val="1"/>
                <w:color w:val="000000"/>
              </w:rPr>
            </w:pPr>
            <w:r>
              <w:rPr>
                <w:b w:val="1"/>
                <w:color w:val="000000"/>
              </w:rPr>
              <w:t>159 215</w:t>
            </w:r>
          </w:p>
        </w:tc>
        <w:tc>
          <w:tcPr>
            <w:tcW w:type="dxa" w:w="992"/>
            <w:tcBorders>
              <w:top w:color="000000" w:sz="4" w:val="single"/>
              <w:left w:color="000000" w:sz="4" w:val="single"/>
              <w:bottom w:color="000000" w:sz="4" w:val="single"/>
              <w:right w:color="000000" w:sz="4" w:val="single"/>
            </w:tcBorders>
            <w:shd w:fill="auto" w:val="clear"/>
            <w:vAlign w:val="center"/>
          </w:tcPr>
          <w:p w14:paraId="2D0A0000">
            <w:pPr>
              <w:widowControl w:val="1"/>
              <w:ind w:firstLine="34"/>
              <w:contextualSpacing w:val="1"/>
              <w:jc w:val="center"/>
              <w:rPr>
                <w:b w:val="1"/>
                <w:color w:val="000000"/>
              </w:rPr>
            </w:pPr>
            <w:r>
              <w:rPr>
                <w:b w:val="1"/>
                <w:color w:val="000000"/>
              </w:rPr>
              <w:t>100,0</w:t>
            </w:r>
          </w:p>
        </w:tc>
        <w:tc>
          <w:tcPr>
            <w:tcW w:type="dxa" w:w="1134"/>
            <w:tcBorders>
              <w:top w:color="000000" w:sz="4" w:val="single"/>
              <w:left w:color="000000" w:sz="4" w:val="single"/>
              <w:bottom w:color="000000" w:sz="4" w:val="single"/>
              <w:right w:color="000000" w:sz="4" w:val="single"/>
            </w:tcBorders>
            <w:shd w:fill="auto" w:val="clear"/>
            <w:vAlign w:val="center"/>
          </w:tcPr>
          <w:p w14:paraId="2E0A0000">
            <w:pPr>
              <w:widowControl w:val="1"/>
              <w:ind w:firstLine="34"/>
              <w:contextualSpacing w:val="1"/>
              <w:jc w:val="center"/>
              <w:rPr>
                <w:b w:val="1"/>
                <w:color w:val="000000"/>
              </w:rPr>
            </w:pPr>
            <w:r>
              <w:rPr>
                <w:b w:val="1"/>
                <w:color w:val="000000"/>
              </w:rPr>
              <w:t>139 697</w:t>
            </w:r>
          </w:p>
        </w:tc>
        <w:tc>
          <w:tcPr>
            <w:tcW w:type="dxa" w:w="992"/>
            <w:tcBorders>
              <w:top w:color="000000" w:sz="4" w:val="single"/>
              <w:left w:color="000000" w:sz="4" w:val="single"/>
              <w:bottom w:color="000000" w:sz="4" w:val="single"/>
              <w:right w:color="000000" w:sz="4" w:val="single"/>
            </w:tcBorders>
            <w:shd w:fill="auto" w:val="clear"/>
            <w:vAlign w:val="center"/>
          </w:tcPr>
          <w:p w14:paraId="2F0A0000">
            <w:pPr>
              <w:widowControl w:val="1"/>
              <w:ind w:firstLine="34"/>
              <w:contextualSpacing w:val="1"/>
              <w:jc w:val="center"/>
              <w:rPr>
                <w:b w:val="1"/>
                <w:color w:val="000000"/>
              </w:rPr>
            </w:pPr>
            <w:r>
              <w:rPr>
                <w:b w:val="1"/>
                <w:color w:val="000000"/>
              </w:rPr>
              <w:t>100,0</w:t>
            </w:r>
          </w:p>
        </w:tc>
        <w:tc>
          <w:tcPr>
            <w:tcW w:type="dxa" w:w="1417"/>
            <w:tcBorders>
              <w:top w:color="000000" w:sz="4" w:val="single"/>
              <w:left w:color="000000" w:sz="4" w:val="single"/>
              <w:bottom w:color="000000" w:sz="4" w:val="single"/>
              <w:right w:color="000000" w:sz="4" w:val="single"/>
            </w:tcBorders>
            <w:shd w:fill="auto" w:val="clear"/>
            <w:vAlign w:val="center"/>
          </w:tcPr>
          <w:p w14:paraId="300A0000">
            <w:pPr>
              <w:widowControl w:val="1"/>
              <w:ind w:firstLine="34"/>
              <w:contextualSpacing w:val="1"/>
              <w:jc w:val="center"/>
              <w:rPr>
                <w:b w:val="1"/>
                <w:color w:val="000000"/>
              </w:rPr>
            </w:pPr>
            <w:r>
              <w:rPr>
                <w:b w:val="1"/>
                <w:color w:val="000000"/>
              </w:rPr>
              <w:t>-19 518</w:t>
            </w:r>
          </w:p>
        </w:tc>
        <w:tc>
          <w:tcPr>
            <w:tcW w:type="dxa" w:w="1134"/>
            <w:tcBorders>
              <w:top w:color="000000" w:sz="4" w:val="single"/>
              <w:left w:color="000000" w:sz="4" w:val="single"/>
              <w:bottom w:color="000000" w:sz="4" w:val="single"/>
              <w:right w:color="000000" w:sz="4" w:val="single"/>
            </w:tcBorders>
            <w:shd w:fill="auto" w:val="clear"/>
            <w:vAlign w:val="center"/>
          </w:tcPr>
          <w:p w14:paraId="310A0000">
            <w:pPr>
              <w:widowControl w:val="1"/>
              <w:ind w:firstLine="34"/>
              <w:contextualSpacing w:val="1"/>
              <w:jc w:val="center"/>
              <w:rPr>
                <w:b w:val="1"/>
                <w:color w:val="000000"/>
              </w:rPr>
            </w:pPr>
            <w:r>
              <w:rPr>
                <w:b w:val="1"/>
                <w:color w:val="000000"/>
              </w:rPr>
              <w:t>87,7%</w:t>
            </w:r>
          </w:p>
        </w:tc>
        <w:tc>
          <w:tcPr>
            <w:tcW w:type="dxa" w:w="852"/>
            <w:tcBorders>
              <w:top w:color="000000" w:sz="4" w:val="single"/>
              <w:left w:color="000000" w:sz="4" w:val="single"/>
              <w:bottom w:color="000000" w:sz="4" w:val="single"/>
              <w:right w:color="000000" w:sz="4" w:val="single"/>
            </w:tcBorders>
            <w:vAlign w:val="center"/>
          </w:tcPr>
          <w:p w14:paraId="320A0000">
            <w:pPr>
              <w:widowControl w:val="1"/>
              <w:ind w:firstLine="34"/>
              <w:contextualSpacing w:val="1"/>
              <w:jc w:val="center"/>
              <w:rPr>
                <w:b w:val="1"/>
                <w:color w:val="000000"/>
              </w:rPr>
            </w:pPr>
            <w:r>
              <w:rPr>
                <w:b w:val="1"/>
                <w:color w:val="000000"/>
              </w:rPr>
              <w:t>0,0</w:t>
            </w:r>
          </w:p>
        </w:tc>
      </w:tr>
    </w:tbl>
    <w:p w14:paraId="330A0000">
      <w:pPr>
        <w:keepNext w:val="1"/>
        <w:widowControl w:val="1"/>
        <w:ind w:firstLine="709"/>
        <w:contextualSpacing w:val="1"/>
        <w:jc w:val="center"/>
        <w:rPr>
          <w:b w:val="1"/>
        </w:rPr>
      </w:pPr>
    </w:p>
    <w:p w14:paraId="340A0000">
      <w:pPr>
        <w:widowControl w:val="1"/>
        <w:tabs>
          <w:tab w:leader="none" w:pos="0" w:val="left"/>
        </w:tabs>
        <w:spacing w:line="360" w:lineRule="auto"/>
        <w:ind w:firstLine="709"/>
        <w:contextualSpacing w:val="1"/>
        <w:jc w:val="both"/>
      </w:pPr>
      <w:r>
        <w:t>Внеоборотные активы Общества сформированы в основном</w:t>
      </w:r>
      <w:r>
        <w:t xml:space="preserve"> за счет отложенных налоговых активов и основных средств</w:t>
      </w:r>
      <w:r>
        <w:t xml:space="preserve">. </w:t>
      </w:r>
      <w:r>
        <w:t>Стоимость внеоборотных активов в отчетном периоде уменьшилась н</w:t>
      </w:r>
      <w:r>
        <w:t xml:space="preserve">а 16,5% или на 7 275 тыс. руб. </w:t>
      </w:r>
      <w:r>
        <w:t xml:space="preserve">Их доля в общей стоимости валюты баланса уменьшилась на 1,3% и на конец анализируемого периода составила 26,4%. Сумма отложенных налоговых активов в течение отчетного периода уменьшилась на 4 662 тыс. руб., их удельный вес в структуре актива баланса составил 17,9% или 25 071 тыс. руб. соответственно. </w:t>
      </w:r>
      <w:r>
        <w:t xml:space="preserve">. Отложенный налоговый актив сформирован в результате полученного убытка за 2008, 2010-2011 годы, который может быть в дальнейшем признан в налоговом учете. </w:t>
      </w:r>
    </w:p>
    <w:p w14:paraId="350A0000">
      <w:pPr>
        <w:widowControl w:val="1"/>
        <w:spacing w:line="360" w:lineRule="auto"/>
        <w:ind w:firstLine="709"/>
        <w:contextualSpacing w:val="1"/>
        <w:jc w:val="both"/>
      </w:pPr>
      <w:r>
        <w:t xml:space="preserve">Показатель «Нематериальные активы» в стоимостном выражении уменьшился на </w:t>
      </w:r>
      <w:r>
        <w:t>54,8</w:t>
      </w:r>
      <w:r>
        <w:t xml:space="preserve"> % </w:t>
      </w:r>
      <w:r>
        <w:t xml:space="preserve"> </w:t>
      </w:r>
      <w:r>
        <w:t xml:space="preserve">или на </w:t>
      </w:r>
      <w:r>
        <w:t>389</w:t>
      </w:r>
      <w:r>
        <w:t xml:space="preserve"> тыс. руб., его доля в общей стоимости валюты баланса уменьшилась на </w:t>
      </w:r>
      <w:r>
        <w:t>0,2</w:t>
      </w:r>
      <w:r>
        <w:t xml:space="preserve"> % и на конец анализируемого периода составила </w:t>
      </w:r>
      <w:r>
        <w:t>0,2</w:t>
      </w:r>
      <w:r>
        <w:t xml:space="preserve"> % или </w:t>
      </w:r>
      <w:r>
        <w:t>321</w:t>
      </w:r>
      <w:r>
        <w:t xml:space="preserve"> тыс. руб. соответственно. Уменьшение данного показателя произошло за счет начисленной амортизации.</w:t>
      </w:r>
    </w:p>
    <w:p w14:paraId="360A0000">
      <w:pPr>
        <w:widowControl w:val="1"/>
        <w:spacing w:line="360" w:lineRule="auto"/>
        <w:ind w:firstLine="709"/>
        <w:contextualSpacing w:val="1"/>
        <w:jc w:val="both"/>
      </w:pPr>
      <w:r>
        <w:t xml:space="preserve">Показатель «Основные средства» </w:t>
      </w:r>
      <w:r>
        <w:t xml:space="preserve">уменьшился на </w:t>
      </w:r>
      <w:r>
        <w:t>17,1%</w:t>
      </w:r>
      <w:r>
        <w:t xml:space="preserve">, его доля в активе баланса </w:t>
      </w:r>
      <w:r>
        <w:t>уменьшилась на 0,</w:t>
      </w:r>
      <w:r>
        <w:t>5</w:t>
      </w:r>
      <w:r>
        <w:t xml:space="preserve">%. В денежном выражении сумма основных средств на конец отчетного периода </w:t>
      </w:r>
      <w:r>
        <w:t>уменьшилась</w:t>
      </w:r>
      <w:r>
        <w:t xml:space="preserve"> на </w:t>
      </w:r>
      <w:r>
        <w:t>2 334</w:t>
      </w:r>
      <w:r>
        <w:t xml:space="preserve"> тыс. руб. и составила </w:t>
      </w:r>
      <w:r>
        <w:t>11 341</w:t>
      </w:r>
      <w:r>
        <w:t xml:space="preserve"> тыс. руб. </w:t>
      </w:r>
      <w:r>
        <w:t>Уменьшение данного показателя произошло за счет начисленной амортизации.</w:t>
      </w:r>
    </w:p>
    <w:p w14:paraId="370A0000">
      <w:pPr>
        <w:widowControl w:val="1"/>
        <w:tabs>
          <w:tab w:leader="none" w:pos="851" w:val="left"/>
        </w:tabs>
        <w:spacing w:line="360" w:lineRule="auto"/>
        <w:ind w:firstLine="709"/>
        <w:contextualSpacing w:val="1"/>
        <w:jc w:val="both"/>
      </w:pPr>
      <w:r>
        <w:tab/>
      </w:r>
      <w:r>
        <w:t xml:space="preserve">Показатель «Прочие </w:t>
      </w:r>
      <w:r>
        <w:t xml:space="preserve">внеоборотные активы» в стоимостном выражении </w:t>
      </w:r>
      <w:r>
        <w:t xml:space="preserve">увеличились </w:t>
      </w:r>
      <w:r>
        <w:t xml:space="preserve"> на </w:t>
      </w:r>
      <w:r>
        <w:t>150,7</w:t>
      </w:r>
      <w:r>
        <w:t xml:space="preserve">% или на </w:t>
      </w:r>
      <w:r>
        <w:t xml:space="preserve">110 </w:t>
      </w:r>
      <w:r>
        <w:t xml:space="preserve"> тыс. руб., его доля в общей стоимости валюты баланса </w:t>
      </w:r>
      <w:r>
        <w:t>увеличилась</w:t>
      </w:r>
      <w:r>
        <w:t xml:space="preserve"> на 0,1 %, и на конец анализируемого периода составила 0</w:t>
      </w:r>
      <w:r>
        <w:t>,1</w:t>
      </w:r>
      <w:r>
        <w:t xml:space="preserve"> % или </w:t>
      </w:r>
      <w:r>
        <w:t>183</w:t>
      </w:r>
      <w:r>
        <w:t xml:space="preserve"> тыс. руб. соответственно. </w:t>
      </w:r>
      <w:r>
        <w:t>Рост данного показателя обусловлен тем, что в течение отчетного периода приобретен актив «Драйвер под операционную систему Windows CE7 для терминала сбора данных Chipherlab CP 55» со сроком действия договора после отчетной даты более 12 месяцев, который квалифицируется как «Прочие внеоборотные активы».</w:t>
      </w:r>
    </w:p>
    <w:p w14:paraId="380A0000">
      <w:pPr>
        <w:widowControl w:val="1"/>
        <w:spacing w:line="360" w:lineRule="auto"/>
        <w:ind w:firstLine="709"/>
        <w:contextualSpacing w:val="1"/>
        <w:jc w:val="both"/>
      </w:pPr>
      <w:r>
        <w:t xml:space="preserve">На конец отчетного периода произошло </w:t>
      </w:r>
      <w:r>
        <w:t>увеличение</w:t>
      </w:r>
      <w:r>
        <w:t xml:space="preserve"> доли в составе валюты баланса оборотных активов на 1,</w:t>
      </w:r>
      <w:r>
        <w:t>4</w:t>
      </w:r>
      <w:r>
        <w:t xml:space="preserve"> %. и на конец анализируемого периода составила </w:t>
      </w:r>
      <w:r>
        <w:t>73,6</w:t>
      </w:r>
      <w:r>
        <w:t xml:space="preserve"> %. В стоимостном выражении Оборотные активы Общества </w:t>
      </w:r>
      <w:r>
        <w:t>уменьшились</w:t>
      </w:r>
      <w:r>
        <w:t xml:space="preserve"> на </w:t>
      </w:r>
      <w:r>
        <w:t>10</w:t>
      </w:r>
      <w:r>
        <w:t>,6 % или на 1</w:t>
      </w:r>
      <w:r>
        <w:t>2</w:t>
      </w:r>
      <w:r>
        <w:t xml:space="preserve"> </w:t>
      </w:r>
      <w:r>
        <w:t>243</w:t>
      </w:r>
      <w:r>
        <w:t xml:space="preserve"> тыс. руб. и на конец анализируемого периода составили </w:t>
      </w:r>
      <w:r>
        <w:t>102 781</w:t>
      </w:r>
      <w:r>
        <w:t xml:space="preserve"> тыс. руб. </w:t>
      </w:r>
    </w:p>
    <w:p w14:paraId="390A0000">
      <w:pPr>
        <w:widowControl w:val="1"/>
        <w:spacing w:line="360" w:lineRule="auto"/>
        <w:ind w:firstLine="709"/>
        <w:contextualSpacing w:val="1"/>
        <w:jc w:val="both"/>
      </w:pPr>
      <w:r>
        <w:t>Оборотные активы Общества сформированы преимущественно за счет денежных средств и дебиторской задолженности.</w:t>
      </w:r>
    </w:p>
    <w:p w14:paraId="3A0A0000">
      <w:pPr>
        <w:widowControl w:val="1"/>
        <w:spacing w:line="360" w:lineRule="auto"/>
        <w:ind w:firstLine="709"/>
        <w:contextualSpacing w:val="1"/>
        <w:jc w:val="both"/>
      </w:pPr>
      <w:r>
        <w:t xml:space="preserve">Показатель «Денежные средства» в стоимостном выражении на конец анализируемого периода </w:t>
      </w:r>
      <w:r>
        <w:t>увеличились</w:t>
      </w:r>
      <w:r>
        <w:t xml:space="preserve"> на </w:t>
      </w:r>
      <w:r>
        <w:t>19 240</w:t>
      </w:r>
      <w:r>
        <w:t xml:space="preserve"> тыс. руб. или на </w:t>
      </w:r>
      <w:r>
        <w:t>41,9</w:t>
      </w:r>
      <w:r>
        <w:t xml:space="preserve"> % и составил </w:t>
      </w:r>
      <w:r>
        <w:t>65 177</w:t>
      </w:r>
      <w:r>
        <w:t xml:space="preserve"> тыс. руб., его доля в валюте баланса </w:t>
      </w:r>
      <w:r>
        <w:t>увеличилась</w:t>
      </w:r>
      <w:r>
        <w:t xml:space="preserve"> на </w:t>
      </w:r>
      <w:r>
        <w:t>17,8</w:t>
      </w:r>
      <w:r>
        <w:t xml:space="preserve"> %.</w:t>
      </w:r>
    </w:p>
    <w:p w14:paraId="3B0A0000">
      <w:pPr>
        <w:widowControl w:val="1"/>
        <w:spacing w:line="360" w:lineRule="auto"/>
        <w:ind w:firstLine="709"/>
        <w:contextualSpacing w:val="1"/>
        <w:jc w:val="both"/>
      </w:pPr>
      <w:r>
        <w:t xml:space="preserve">В составе оборотных активов Общества значительно </w:t>
      </w:r>
      <w:r>
        <w:t>уменьшился</w:t>
      </w:r>
      <w:r>
        <w:t xml:space="preserve"> размер деби</w:t>
      </w:r>
      <w:r>
        <w:t xml:space="preserve">торской задолженности. </w:t>
      </w:r>
      <w:r>
        <w:t xml:space="preserve">За анализируемый период дебиторская задолженность </w:t>
      </w:r>
      <w:r>
        <w:t>уменьшилась</w:t>
      </w:r>
      <w:r>
        <w:t xml:space="preserve"> на </w:t>
      </w:r>
      <w:r>
        <w:t xml:space="preserve">48,8 % </w:t>
      </w:r>
      <w:r>
        <w:t xml:space="preserve">или </w:t>
      </w:r>
      <w:r>
        <w:t>31 513</w:t>
      </w:r>
      <w:r>
        <w:t xml:space="preserve"> тыс. руб.,</w:t>
      </w:r>
      <w:r>
        <w:t xml:space="preserve"> ее доля в составе валюты баланса </w:t>
      </w:r>
      <w:r>
        <w:t>уменьшилась</w:t>
      </w:r>
      <w:r>
        <w:t xml:space="preserve"> на </w:t>
      </w:r>
      <w:r>
        <w:t>16,9</w:t>
      </w:r>
      <w:r>
        <w:t xml:space="preserve"> %.</w:t>
      </w:r>
      <w:r>
        <w:t xml:space="preserve"> Значительное снижение суммы дебиторской задолженности произошло в результате погашения задолженности Министерством транспорта и дорожного хозяйства Республики Хакасия по субсидиям, в целях возмещения недополученных доходов, возникающих в связи с государственным регулированием тарифов на перевозки пассажиров железнодорожным транспортом общего пользования в пригородном сообщении за предыдущий отчетный период и своевременное перечисление субсидий за отчетный период. </w:t>
      </w:r>
      <w:r>
        <w:t xml:space="preserve"> </w:t>
      </w:r>
    </w:p>
    <w:p w14:paraId="3C0A0000">
      <w:pPr>
        <w:widowControl w:val="1"/>
        <w:spacing w:line="360" w:lineRule="auto"/>
        <w:ind w:firstLine="709"/>
        <w:contextualSpacing w:val="1"/>
        <w:jc w:val="both"/>
      </w:pPr>
      <w:r>
        <w:t>Доля запасов в составе валюты баланса изменилась на 0,</w:t>
      </w:r>
      <w:r>
        <w:t>4</w:t>
      </w:r>
      <w:r>
        <w:t xml:space="preserve"> %. В стоимостном выражении запасы увеличились на </w:t>
      </w:r>
      <w:r>
        <w:t>1</w:t>
      </w:r>
      <w:r>
        <w:t xml:space="preserve"> % и составили </w:t>
      </w:r>
      <w:r>
        <w:t>4 212</w:t>
      </w:r>
      <w:r>
        <w:t xml:space="preserve"> тыс. руб. </w:t>
      </w:r>
      <w:r>
        <w:t>Увеличение данного показателя обусловлено закупкой определенного объема ГСМ, что позволило зафиксировать его цену и обеспечить недопущение роста расходов Общества, но привело к росту остатков на конец анализируемого периода по группе запасов «топливо».</w:t>
      </w:r>
    </w:p>
    <w:p w14:paraId="3D0A0000">
      <w:pPr>
        <w:widowControl w:val="1"/>
        <w:tabs>
          <w:tab w:leader="none" w:pos="709" w:val="left"/>
        </w:tabs>
        <w:spacing w:line="360" w:lineRule="auto"/>
        <w:ind w:firstLine="709"/>
        <w:contextualSpacing w:val="1"/>
        <w:jc w:val="both"/>
        <w:rPr>
          <w:highlight w:val="yellow"/>
        </w:rPr>
      </w:pPr>
      <w:r>
        <w:t xml:space="preserve">Показатель «Прочие оборотные активы» в стоимостном выражении уменьшился на 11 тыс. руб. или на 3,8% и на конец отчетного периода составил 281 тыс. руб. Его доля в общей стоимости валюты баланса не изменилась и на конец анализируемого периода составила 0,2 %. </w:t>
      </w:r>
    </w:p>
    <w:p w14:paraId="3E0A0000">
      <w:pPr>
        <w:widowControl w:val="1"/>
        <w:spacing w:line="360" w:lineRule="auto"/>
        <w:ind w:firstLine="709"/>
        <w:contextualSpacing w:val="1"/>
        <w:jc w:val="both"/>
      </w:pPr>
      <w:r>
        <w:t>Для оценки имущественного потенциала предприятия проводится анализ динамики состава и структуры обязательств (пассива баланса). Эти позиции рассматриваются на основе таких показателей баланса, как стоимость собственного капитала предприятия (итог раздела баланса «Капитал и резервы») и заемного капитала (Итоги разделов баланса «долгосрочные обязательства» и «краткосрочные обязательства»).</w:t>
      </w:r>
    </w:p>
    <w:p w14:paraId="3F0A0000">
      <w:pPr>
        <w:widowControl w:val="1"/>
        <w:tabs>
          <w:tab w:leader="none" w:pos="0" w:val="left"/>
        </w:tabs>
        <w:spacing w:line="360" w:lineRule="auto"/>
        <w:ind w:firstLine="709"/>
        <w:contextualSpacing w:val="1"/>
        <w:jc w:val="both"/>
        <w:rPr>
          <w:highlight w:val="yellow"/>
        </w:rPr>
      </w:pPr>
      <w:r>
        <w:t>Собственный капитал предприятия сформирован за счет уставного капитала, резервного к</w:t>
      </w:r>
      <w:r>
        <w:t xml:space="preserve">апитал и непокрытого убытка. Причем доля непокрытого убытка уменьшилась за 2018 год на </w:t>
      </w:r>
      <w:r>
        <w:t>12,4</w:t>
      </w:r>
      <w:r>
        <w:t xml:space="preserve">% по сравнению с данными на начало года и составила 143 531 тыс. руб. </w:t>
      </w:r>
      <w:r>
        <w:t>Сумма убытка на 31.12.201</w:t>
      </w:r>
      <w:r>
        <w:t>8</w:t>
      </w:r>
      <w:r>
        <w:t xml:space="preserve"> года уменьшилась на </w:t>
      </w:r>
      <w:r>
        <w:t>302</w:t>
      </w:r>
      <w:r>
        <w:t xml:space="preserve"> тыс. руб. и составила 143 </w:t>
      </w:r>
      <w:r>
        <w:t>636</w:t>
      </w:r>
      <w:r>
        <w:t xml:space="preserve"> тыс. руб. Показатель «непокрытый убыток» содержит в себе следующую информацию:</w:t>
      </w:r>
      <w:r>
        <w:t xml:space="preserve"> нераспределенная прибыль (убыток) предыдущих лет в сумме -160 683 тыс. руб., прибыль 2014-2017 годов, в сумме 16 745 тыс. руб. и прибыль 2018 года в размере 302 тыс. руб.</w:t>
      </w:r>
    </w:p>
    <w:p w14:paraId="400A0000">
      <w:pPr>
        <w:widowControl w:val="1"/>
        <w:spacing w:line="360" w:lineRule="auto"/>
        <w:ind w:firstLine="709"/>
        <w:contextualSpacing w:val="1"/>
        <w:jc w:val="both"/>
      </w:pPr>
      <w:r>
        <w:t xml:space="preserve">Долгосрочные обязательства сформированы за счет отложенных налоговых обязательств и прочих долгосрочных обязательств (долгосрочная кредиторская задолженность). </w:t>
      </w:r>
    </w:p>
    <w:p w14:paraId="410A0000">
      <w:pPr>
        <w:widowControl w:val="1"/>
        <w:spacing w:line="360" w:lineRule="auto"/>
        <w:ind w:firstLine="709"/>
        <w:contextualSpacing w:val="1"/>
        <w:jc w:val="both"/>
      </w:pPr>
      <w:r>
        <w:t xml:space="preserve">Разница между начисленными и полученными субсидиями в налоговом и бухгалтерском учете, в целях возмещения недополученных доходов, возникающих в связи с государственным регулированием тарифов на перевозки пассажиров железнодорожным транспортом общего пользования в пригородном сообщении привела к снижению показателя «Отложенные налоговые обязательства». В связи с погашением дебиторской задолженности Министерством транспорта и дорожного хозяйства Республики Хакасия по субсидиям данный показатель уменьшился в 12,4 раза и на конец отчетного периода в стоимостном выражении равен 536 тыс. руб., его доля в валюте баланса составила 0,4%. </w:t>
      </w:r>
    </w:p>
    <w:p w14:paraId="420A0000">
      <w:pPr>
        <w:widowControl w:val="1"/>
        <w:spacing w:line="360" w:lineRule="auto"/>
        <w:ind w:firstLine="709"/>
        <w:contextualSpacing w:val="1"/>
        <w:jc w:val="both"/>
      </w:pPr>
      <w:r>
        <w:t xml:space="preserve">Уменьшение долгосрочных обязательств по показателю «Прочие обязательства» произошло за счет перевода долгосрочной кредиторской задолженности в краткосрочную в соответствии с Соглашением от 28 ноября 2014 года № 198С/14, Дополнительным соглашением к нему от 05 марта 2018 года № 1 и Графиком оплаты и погашения реструктуризированной задолженности Общества, возникшей перед Центральной дирекцией моторвагонного подвижного состава за период до 2013 года включительно и Соглашением от 18 сентября 2014 года, Дополнительным соглашением к нему от 26 июня 2018 года № 1 и Графиком оплаты погашения реструктуризированной задолженности Общества, возникшей перед Центральной дирекцией инфраструктуры за период до 2013 года включительно. В бухгалтерском балансе на 31.12.2018 г. данные о долгосрочной кредиторской задолженности отражены с учетом изменения графиков погашения реструктуризированной задолженности в соответствие подписанным дополнительным соглашениям согласно Распоряжению ОАО «РЖД» от 29 декабря 2017 года № 2813р. Величина показателя «Прочие обязательства» на конец отчетного периода в стоимостном выражении равна 241 383 тыс. руб. </w:t>
      </w:r>
    </w:p>
    <w:p w14:paraId="430A0000">
      <w:pPr>
        <w:widowControl w:val="1"/>
        <w:spacing w:line="360" w:lineRule="auto"/>
        <w:ind w:firstLine="709"/>
        <w:contextualSpacing w:val="1"/>
        <w:jc w:val="both"/>
      </w:pPr>
      <w:r>
        <w:t>Краткосрочные обязательства сформированы в основном за счет кредиторской задолженности Общества. Сумма кредиторской задолженности за анализируемый период увеличилась за счет перевода долгосрочной кредиторской задолженности в краткосрочную в размере 1 180 тыс. руб., но уменьшилась за счет возврата сумм превышения выплат над суммой фактически оказанных услуг согласно условиям государственных контрактов на оказание услуги по перевозке граждан - получателей социальной услуги железнодорожным транспортом в пригородном сообщении (федеральные льготники) за 2015, 2016 и 2017 годы в размере 11 133 тыс. руб., а так же за счет возврата в бюджет Красноярского края излишне полученной субсидии, числящейся в учете Общества, на возмещение недополученных доходов, возникающих в связи с государственным регулированием тарифов, в размере 6 173 тыс. руб.  Показатель «кредиторская задолженность» на конец отчетного периода уменьшился на 29,7% или на 14 464 тыс. руб. и составил 34 259 тыс. руб. Доля кредиторской задолженности в общей стоимости валюты баланса на конец анализируемого периода уменьшилась на 6,1 % и составила 24,5 %.</w:t>
      </w:r>
    </w:p>
    <w:p w14:paraId="440A0000">
      <w:pPr>
        <w:widowControl w:val="1"/>
        <w:tabs>
          <w:tab w:leader="none" w:pos="851" w:val="left"/>
        </w:tabs>
        <w:spacing w:line="360" w:lineRule="auto"/>
        <w:ind w:firstLine="709"/>
        <w:contextualSpacing w:val="1"/>
        <w:jc w:val="both"/>
      </w:pPr>
      <w:r>
        <w:t>Показатель «Оценочные обязательства», связанный с возникновением у работников права на оплачиваемые отпуска, рассчитанный по каждому сотруднику как увеличенное на сумму страховых взносов произведение количества дней отпуска, не использованного сотрудником на конец отчетного периода, и среднедневного заработка сотрудника, на конец анализируемого периода увеличился на 38,5 % или на 1 958 тыс. руб. Его доля в общей стоимости валюты баланса возросла на 1,8 % и составила 5,0%.</w:t>
      </w:r>
    </w:p>
    <w:p w14:paraId="450A0000">
      <w:pPr>
        <w:widowControl w:val="1"/>
        <w:spacing w:line="360" w:lineRule="auto"/>
        <w:ind w:firstLine="709"/>
        <w:contextualSpacing w:val="1"/>
        <w:jc w:val="both"/>
      </w:pPr>
      <w:r>
        <w:t>Данные раздела «Долгосрочные обязательства» и «Краткосрочные обязательства» Бухгалтерского баланса на 31 декабря 201</w:t>
      </w:r>
      <w:r>
        <w:t>8</w:t>
      </w:r>
      <w:r>
        <w:t xml:space="preserve"> года </w:t>
      </w:r>
      <w:r>
        <w:t xml:space="preserve"> </w:t>
      </w:r>
      <w:r>
        <w:t>несопоставимы с данными Бухгалтерского баланса на 31 декабря 201</w:t>
      </w:r>
      <w:r>
        <w:t>7</w:t>
      </w:r>
      <w:r>
        <w:t xml:space="preserve"> года и Бухгалтерского баланса на 31 декабря 201</w:t>
      </w:r>
      <w:r>
        <w:t>6</w:t>
      </w:r>
      <w:r>
        <w:t xml:space="preserve"> года. Проведена корректировка, исходя из правил установленными нормативными актами по бухгалтерскому учету. </w:t>
      </w:r>
    </w:p>
    <w:p w14:paraId="460A0000">
      <w:pPr>
        <w:pStyle w:val="Style_1"/>
        <w:widowControl w:val="1"/>
        <w:tabs>
          <w:tab w:leader="none" w:pos="4677" w:val="clear"/>
          <w:tab w:leader="none" w:pos="9355" w:val="clear"/>
        </w:tabs>
        <w:spacing w:before="240" w:line="360" w:lineRule="auto"/>
        <w:ind w:firstLine="709"/>
        <w:contextualSpacing w:val="1"/>
        <w:jc w:val="center"/>
        <w:rPr>
          <w:b w:val="1"/>
          <w:sz w:val="24"/>
        </w:rPr>
      </w:pPr>
      <w:r>
        <w:rPr>
          <w:b w:val="1"/>
          <w:sz w:val="24"/>
        </w:rPr>
        <w:t>Анализ основных фондов.</w:t>
      </w:r>
    </w:p>
    <w:p w14:paraId="470A0000">
      <w:pPr>
        <w:pStyle w:val="Style_1"/>
        <w:widowControl w:val="1"/>
        <w:tabs>
          <w:tab w:leader="none" w:pos="4677" w:val="clear"/>
          <w:tab w:leader="none" w:pos="9355" w:val="clear"/>
        </w:tabs>
        <w:spacing w:line="360" w:lineRule="auto"/>
        <w:ind w:firstLine="709"/>
        <w:contextualSpacing w:val="1"/>
        <w:jc w:val="both"/>
        <w:rPr>
          <w:sz w:val="24"/>
        </w:rPr>
      </w:pPr>
      <w:r>
        <w:rPr>
          <w:sz w:val="24"/>
        </w:rPr>
        <w:t>На 31.12</w:t>
      </w:r>
      <w:r>
        <w:rPr>
          <w:sz w:val="24"/>
        </w:rPr>
        <w:t>.201</w:t>
      </w:r>
      <w:r>
        <w:rPr>
          <w:sz w:val="24"/>
        </w:rPr>
        <w:t>8</w:t>
      </w:r>
      <w:r>
        <w:rPr>
          <w:sz w:val="24"/>
        </w:rPr>
        <w:t xml:space="preserve"> года основные средства составляют сумму </w:t>
      </w:r>
      <w:r>
        <w:rPr>
          <w:sz w:val="24"/>
        </w:rPr>
        <w:t>11 341</w:t>
      </w:r>
      <w:r>
        <w:rPr>
          <w:sz w:val="24"/>
        </w:rPr>
        <w:t xml:space="preserve"> тыс. руб. или </w:t>
      </w:r>
      <w:r>
        <w:rPr>
          <w:sz w:val="24"/>
        </w:rPr>
        <w:t>8</w:t>
      </w:r>
      <w:r>
        <w:rPr>
          <w:sz w:val="24"/>
        </w:rPr>
        <w:t>% в составе валюты баланса и представлены следующим образом:</w:t>
      </w:r>
      <w:r>
        <w:rPr>
          <w:color w:val="333399"/>
          <w:sz w:val="24"/>
        </w:rPr>
        <w:tab/>
      </w:r>
    </w:p>
    <w:p w14:paraId="480A0000">
      <w:pPr>
        <w:pStyle w:val="Style_1"/>
        <w:widowControl w:val="1"/>
        <w:tabs>
          <w:tab w:leader="none" w:pos="4677" w:val="clear"/>
          <w:tab w:leader="none" w:pos="9355" w:val="clear"/>
        </w:tabs>
        <w:spacing w:line="360" w:lineRule="auto"/>
        <w:ind w:firstLine="709"/>
        <w:contextualSpacing w:val="1"/>
        <w:jc w:val="both"/>
        <w:rPr>
          <w:color w:val="333399"/>
          <w:sz w:val="24"/>
        </w:rPr>
      </w:pPr>
      <w:r>
        <w:rPr>
          <w:color w:val="333399"/>
          <w:sz w:val="24"/>
        </w:rPr>
        <w:tab/>
      </w:r>
    </w:p>
    <w:p w14:paraId="490A0000">
      <w:pPr>
        <w:pStyle w:val="Style_1"/>
        <w:widowControl w:val="1"/>
        <w:tabs>
          <w:tab w:leader="none" w:pos="4677" w:val="clear"/>
          <w:tab w:leader="none" w:pos="9355" w:val="clear"/>
        </w:tabs>
        <w:spacing w:line="360" w:lineRule="auto"/>
        <w:ind w:firstLine="709"/>
        <w:contextualSpacing w:val="1"/>
        <w:jc w:val="right"/>
        <w:rPr>
          <w:b w:val="1"/>
          <w:sz w:val="24"/>
        </w:rPr>
      </w:pPr>
      <w:r>
        <w:rPr>
          <w:b w:val="1"/>
          <w:sz w:val="24"/>
        </w:rPr>
        <w:t>Таблица 5.</w:t>
      </w:r>
      <w:r>
        <w:rPr>
          <w:b w:val="1"/>
          <w:sz w:val="24"/>
        </w:rPr>
        <w:t>13</w:t>
      </w:r>
      <w:r>
        <w:rPr>
          <w:b w:val="1"/>
          <w:sz w:val="24"/>
        </w:rPr>
        <w:t>.</w:t>
      </w:r>
    </w:p>
    <w:tbl>
      <w:tblPr>
        <w:tblStyle w:val="Style_4"/>
        <w:tblW w:type="auto" w:w="0"/>
        <w:tblInd w:type="dxa" w:w="95"/>
        <w:tblLayout w:type="fixed"/>
      </w:tblPr>
      <w:tblGrid>
        <w:gridCol w:w="1714"/>
        <w:gridCol w:w="1197"/>
        <w:gridCol w:w="1067"/>
        <w:gridCol w:w="1218"/>
        <w:gridCol w:w="1004"/>
        <w:gridCol w:w="1224"/>
        <w:gridCol w:w="861"/>
        <w:gridCol w:w="1237"/>
      </w:tblGrid>
      <w:tr>
        <w:trPr>
          <w:trHeight w:hRule="atLeast" w:val="1204"/>
        </w:trPr>
        <w:tc>
          <w:tcPr>
            <w:tcW w:type="dxa" w:w="1714"/>
            <w:tcBorders>
              <w:top w:color="000000" w:sz="4" w:val="single"/>
              <w:left w:color="000000" w:sz="4" w:val="single"/>
              <w:bottom w:color="000000" w:sz="4" w:val="single"/>
              <w:right w:color="000000" w:sz="4" w:val="single"/>
            </w:tcBorders>
            <w:shd w:fill="auto" w:val="clear"/>
            <w:vAlign w:val="center"/>
          </w:tcPr>
          <w:p w14:paraId="4A0A0000">
            <w:pPr>
              <w:widowControl w:val="1"/>
              <w:ind w:firstLine="47"/>
              <w:contextualSpacing w:val="1"/>
              <w:jc w:val="center"/>
              <w:rPr>
                <w:color w:val="000000"/>
              </w:rPr>
            </w:pPr>
            <w:r>
              <w:rPr>
                <w:color w:val="000000"/>
              </w:rPr>
              <w:t>Группы основных средств</w:t>
            </w:r>
          </w:p>
        </w:tc>
        <w:tc>
          <w:tcPr>
            <w:tcW w:type="dxa" w:w="1197"/>
            <w:tcBorders>
              <w:top w:color="000000" w:sz="4" w:val="single"/>
              <w:left w:sz="4" w:val="nil"/>
              <w:bottom w:color="000000" w:sz="4" w:val="single"/>
              <w:right w:color="000000" w:sz="4" w:val="single"/>
            </w:tcBorders>
            <w:shd w:fill="auto" w:val="clear"/>
            <w:vAlign w:val="center"/>
          </w:tcPr>
          <w:p w14:paraId="4B0A0000">
            <w:pPr>
              <w:widowControl w:val="1"/>
              <w:ind w:firstLine="47"/>
              <w:contextualSpacing w:val="1"/>
              <w:jc w:val="center"/>
              <w:rPr>
                <w:color w:val="000000"/>
              </w:rPr>
            </w:pPr>
            <w:r>
              <w:rPr>
                <w:color w:val="000000"/>
              </w:rPr>
              <w:t xml:space="preserve">Остаточная стоимость на 01.01.2018 г, </w:t>
            </w:r>
            <w:r>
              <w:rPr>
                <w:i w:val="1"/>
                <w:color w:val="000000"/>
              </w:rPr>
              <w:t>тыс.руб.</w:t>
            </w:r>
          </w:p>
        </w:tc>
        <w:tc>
          <w:tcPr>
            <w:tcW w:type="dxa" w:w="1067"/>
            <w:tcBorders>
              <w:top w:color="000000" w:sz="4" w:val="single"/>
              <w:left w:sz="4" w:val="nil"/>
              <w:bottom w:color="000000" w:sz="4" w:val="single"/>
              <w:right w:color="000000" w:sz="4" w:val="single"/>
            </w:tcBorders>
            <w:shd w:fill="auto" w:val="clear"/>
            <w:vAlign w:val="center"/>
          </w:tcPr>
          <w:p w14:paraId="4C0A0000">
            <w:pPr>
              <w:widowControl w:val="1"/>
              <w:ind w:firstLine="47"/>
              <w:contextualSpacing w:val="1"/>
              <w:jc w:val="center"/>
              <w:rPr>
                <w:color w:val="000000"/>
              </w:rPr>
            </w:pPr>
            <w:r>
              <w:rPr>
                <w:color w:val="000000"/>
              </w:rPr>
              <w:t xml:space="preserve">Доля в составе основных средств, </w:t>
            </w:r>
            <w:r>
              <w:rPr>
                <w:i w:val="1"/>
                <w:color w:val="000000"/>
              </w:rPr>
              <w:t>%</w:t>
            </w:r>
          </w:p>
        </w:tc>
        <w:tc>
          <w:tcPr>
            <w:tcW w:type="dxa" w:w="1218"/>
            <w:tcBorders>
              <w:top w:color="000000" w:sz="4" w:val="single"/>
              <w:left w:sz="4" w:val="nil"/>
              <w:bottom w:color="000000" w:sz="4" w:val="single"/>
              <w:right w:color="000000" w:sz="4" w:val="single"/>
            </w:tcBorders>
            <w:shd w:fill="auto" w:val="clear"/>
            <w:vAlign w:val="center"/>
          </w:tcPr>
          <w:p w14:paraId="4D0A0000">
            <w:pPr>
              <w:widowControl w:val="1"/>
              <w:ind w:firstLine="47"/>
              <w:contextualSpacing w:val="1"/>
              <w:jc w:val="center"/>
              <w:rPr>
                <w:color w:val="000000"/>
              </w:rPr>
            </w:pPr>
            <w:r>
              <w:rPr>
                <w:color w:val="000000"/>
              </w:rPr>
              <w:t xml:space="preserve">Остаточная стоимость на 31.12.2018 г, </w:t>
            </w:r>
            <w:r>
              <w:rPr>
                <w:i w:val="1"/>
                <w:color w:val="000000"/>
              </w:rPr>
              <w:t>тыс.руб.</w:t>
            </w:r>
          </w:p>
        </w:tc>
        <w:tc>
          <w:tcPr>
            <w:tcW w:type="dxa" w:w="1004"/>
            <w:tcBorders>
              <w:top w:color="000000" w:sz="4" w:val="single"/>
              <w:left w:sz="4" w:val="nil"/>
              <w:bottom w:color="000000" w:sz="4" w:val="single"/>
              <w:right w:color="000000" w:sz="4" w:val="single"/>
            </w:tcBorders>
            <w:shd w:fill="auto" w:val="clear"/>
            <w:vAlign w:val="center"/>
          </w:tcPr>
          <w:p w14:paraId="4E0A0000">
            <w:pPr>
              <w:widowControl w:val="1"/>
              <w:ind w:firstLine="47"/>
              <w:contextualSpacing w:val="1"/>
              <w:jc w:val="center"/>
              <w:rPr>
                <w:color w:val="000000"/>
              </w:rPr>
            </w:pPr>
            <w:r>
              <w:rPr>
                <w:color w:val="000000"/>
              </w:rPr>
              <w:t xml:space="preserve">Доля в составе основных средств, </w:t>
            </w:r>
            <w:r>
              <w:rPr>
                <w:i w:val="1"/>
                <w:color w:val="000000"/>
              </w:rPr>
              <w:t>%</w:t>
            </w:r>
          </w:p>
        </w:tc>
        <w:tc>
          <w:tcPr>
            <w:tcW w:type="dxa" w:w="1224"/>
            <w:tcBorders>
              <w:top w:color="000000" w:sz="4" w:val="single"/>
              <w:left w:sz="4" w:val="nil"/>
              <w:bottom w:color="000000" w:sz="4" w:val="single"/>
              <w:right w:color="000000" w:sz="4" w:val="single"/>
            </w:tcBorders>
            <w:shd w:fill="auto" w:val="clear"/>
            <w:vAlign w:val="center"/>
          </w:tcPr>
          <w:p w14:paraId="4F0A0000">
            <w:pPr>
              <w:widowControl w:val="1"/>
              <w:ind w:firstLine="47"/>
              <w:contextualSpacing w:val="1"/>
              <w:jc w:val="center"/>
              <w:rPr>
                <w:color w:val="000000"/>
              </w:rPr>
            </w:pPr>
            <w:r>
              <w:rPr>
                <w:color w:val="000000"/>
              </w:rPr>
              <w:t xml:space="preserve">Абсолютное отклонение, </w:t>
            </w:r>
            <w:r>
              <w:rPr>
                <w:i w:val="1"/>
                <w:color w:val="000000"/>
              </w:rPr>
              <w:t>тыс.руб.</w:t>
            </w:r>
          </w:p>
        </w:tc>
        <w:tc>
          <w:tcPr>
            <w:tcW w:type="dxa" w:w="861"/>
            <w:tcBorders>
              <w:top w:color="000000" w:sz="4" w:val="single"/>
              <w:left w:sz="4" w:val="nil"/>
              <w:bottom w:color="000000" w:sz="4" w:val="single"/>
              <w:right w:color="000000" w:sz="4" w:val="single"/>
            </w:tcBorders>
            <w:shd w:fill="auto" w:val="clear"/>
            <w:vAlign w:val="center"/>
          </w:tcPr>
          <w:p w14:paraId="500A0000">
            <w:pPr>
              <w:widowControl w:val="1"/>
              <w:ind w:firstLine="47"/>
              <w:contextualSpacing w:val="1"/>
              <w:jc w:val="center"/>
              <w:rPr>
                <w:color w:val="000000"/>
              </w:rPr>
            </w:pPr>
            <w:r>
              <w:rPr>
                <w:color w:val="000000"/>
              </w:rPr>
              <w:t xml:space="preserve">Темп                         роста,                           </w:t>
            </w:r>
            <w:r>
              <w:rPr>
                <w:i w:val="1"/>
                <w:color w:val="000000"/>
              </w:rPr>
              <w:t>%</w:t>
            </w:r>
          </w:p>
        </w:tc>
        <w:tc>
          <w:tcPr>
            <w:tcW w:type="dxa" w:w="1237"/>
            <w:tcBorders>
              <w:top w:color="000000" w:sz="4" w:val="single"/>
              <w:left w:sz="4" w:val="nil"/>
              <w:bottom w:color="000000" w:sz="4" w:val="single"/>
              <w:right w:color="000000" w:sz="4" w:val="single"/>
            </w:tcBorders>
            <w:shd w:fill="auto" w:val="clear"/>
            <w:vAlign w:val="center"/>
          </w:tcPr>
          <w:p w14:paraId="510A0000">
            <w:pPr>
              <w:widowControl w:val="1"/>
              <w:ind w:firstLine="47"/>
              <w:contextualSpacing w:val="1"/>
              <w:jc w:val="center"/>
              <w:rPr>
                <w:color w:val="000000"/>
              </w:rPr>
            </w:pPr>
            <w:r>
              <w:rPr>
                <w:color w:val="000000"/>
              </w:rPr>
              <w:t xml:space="preserve">Изменение доли в составе основных средств,                   </w:t>
            </w:r>
            <w:r>
              <w:rPr>
                <w:i w:val="1"/>
                <w:color w:val="000000"/>
              </w:rPr>
              <w:t>%</w:t>
            </w:r>
          </w:p>
        </w:tc>
      </w:tr>
      <w:tr>
        <w:trPr>
          <w:trHeight w:hRule="atLeast" w:val="378"/>
        </w:trPr>
        <w:tc>
          <w:tcPr>
            <w:tcW w:type="dxa" w:w="1714"/>
            <w:tcBorders>
              <w:top w:sz="4" w:val="nil"/>
              <w:left w:color="000000" w:sz="4" w:val="single"/>
              <w:bottom w:color="000000" w:sz="4" w:val="single"/>
              <w:right w:color="000000" w:sz="4" w:val="single"/>
            </w:tcBorders>
            <w:shd w:fill="auto" w:val="clear"/>
            <w:vAlign w:val="center"/>
          </w:tcPr>
          <w:p w14:paraId="520A0000">
            <w:pPr>
              <w:widowControl w:val="1"/>
              <w:ind w:firstLine="47"/>
              <w:contextualSpacing w:val="1"/>
              <w:rPr>
                <w:color w:val="000000"/>
              </w:rPr>
            </w:pPr>
            <w:r>
              <w:rPr>
                <w:color w:val="000000"/>
              </w:rPr>
              <w:t>Сооружения</w:t>
            </w:r>
          </w:p>
        </w:tc>
        <w:tc>
          <w:tcPr>
            <w:tcW w:type="dxa" w:w="1197"/>
            <w:tcBorders>
              <w:top w:sz="4" w:val="nil"/>
              <w:left w:sz="4" w:val="nil"/>
              <w:bottom w:color="000000" w:sz="4" w:val="single"/>
              <w:right w:color="000000" w:sz="4" w:val="single"/>
            </w:tcBorders>
            <w:shd w:fill="auto" w:val="clear"/>
            <w:vAlign w:val="center"/>
          </w:tcPr>
          <w:p w14:paraId="530A0000">
            <w:pPr>
              <w:widowControl w:val="1"/>
              <w:ind w:firstLine="47"/>
              <w:contextualSpacing w:val="1"/>
              <w:jc w:val="center"/>
              <w:rPr>
                <w:color w:val="000000"/>
              </w:rPr>
            </w:pPr>
            <w:r>
              <w:rPr>
                <w:color w:val="000000"/>
              </w:rPr>
              <w:t>296</w:t>
            </w:r>
          </w:p>
        </w:tc>
        <w:tc>
          <w:tcPr>
            <w:tcW w:type="dxa" w:w="1067"/>
            <w:tcBorders>
              <w:top w:sz="4" w:val="nil"/>
              <w:left w:sz="4" w:val="nil"/>
              <w:bottom w:color="000000" w:sz="4" w:val="single"/>
              <w:right w:color="000000" w:sz="4" w:val="single"/>
            </w:tcBorders>
            <w:shd w:fill="auto" w:val="clear"/>
            <w:vAlign w:val="center"/>
          </w:tcPr>
          <w:p w14:paraId="540A0000">
            <w:pPr>
              <w:widowControl w:val="1"/>
              <w:ind w:firstLine="47"/>
              <w:contextualSpacing w:val="1"/>
              <w:jc w:val="center"/>
              <w:rPr>
                <w:color w:val="000000"/>
              </w:rPr>
            </w:pPr>
            <w:r>
              <w:rPr>
                <w:color w:val="000000"/>
              </w:rPr>
              <w:t>2</w:t>
            </w:r>
          </w:p>
        </w:tc>
        <w:tc>
          <w:tcPr>
            <w:tcW w:type="dxa" w:w="1218"/>
            <w:tcBorders>
              <w:top w:sz="4" w:val="nil"/>
              <w:left w:sz="4" w:val="nil"/>
              <w:bottom w:color="000000" w:sz="4" w:val="single"/>
              <w:right w:color="000000" w:sz="4" w:val="single"/>
            </w:tcBorders>
            <w:shd w:fill="auto" w:val="clear"/>
            <w:vAlign w:val="center"/>
          </w:tcPr>
          <w:p w14:paraId="550A0000">
            <w:pPr>
              <w:widowControl w:val="1"/>
              <w:ind w:firstLine="47"/>
              <w:contextualSpacing w:val="1"/>
              <w:jc w:val="center"/>
              <w:rPr>
                <w:color w:val="000000"/>
              </w:rPr>
            </w:pPr>
            <w:r>
              <w:rPr>
                <w:color w:val="000000"/>
              </w:rPr>
              <w:t>246</w:t>
            </w:r>
          </w:p>
        </w:tc>
        <w:tc>
          <w:tcPr>
            <w:tcW w:type="dxa" w:w="1004"/>
            <w:tcBorders>
              <w:top w:sz="4" w:val="nil"/>
              <w:left w:sz="4" w:val="nil"/>
              <w:bottom w:color="000000" w:sz="4" w:val="single"/>
              <w:right w:color="000000" w:sz="4" w:val="single"/>
            </w:tcBorders>
            <w:shd w:fill="auto" w:val="clear"/>
            <w:vAlign w:val="center"/>
          </w:tcPr>
          <w:p w14:paraId="560A0000">
            <w:pPr>
              <w:widowControl w:val="1"/>
              <w:ind w:firstLine="47"/>
              <w:contextualSpacing w:val="1"/>
              <w:jc w:val="center"/>
              <w:rPr>
                <w:color w:val="000000"/>
              </w:rPr>
            </w:pPr>
            <w:r>
              <w:rPr>
                <w:color w:val="000000"/>
              </w:rPr>
              <w:t>2</w:t>
            </w:r>
          </w:p>
        </w:tc>
        <w:tc>
          <w:tcPr>
            <w:tcW w:type="dxa" w:w="1224"/>
            <w:tcBorders>
              <w:top w:sz="4" w:val="nil"/>
              <w:left w:sz="4" w:val="nil"/>
              <w:bottom w:color="000000" w:sz="4" w:val="single"/>
              <w:right w:color="000000" w:sz="4" w:val="single"/>
            </w:tcBorders>
            <w:shd w:fill="auto" w:val="clear"/>
            <w:vAlign w:val="center"/>
          </w:tcPr>
          <w:p w14:paraId="570A0000">
            <w:pPr>
              <w:widowControl w:val="1"/>
              <w:ind w:firstLine="47"/>
              <w:contextualSpacing w:val="1"/>
              <w:jc w:val="center"/>
              <w:rPr>
                <w:color w:val="000000"/>
              </w:rPr>
            </w:pPr>
            <w:r>
              <w:rPr>
                <w:color w:val="000000"/>
              </w:rPr>
              <w:t>-50</w:t>
            </w:r>
          </w:p>
        </w:tc>
        <w:tc>
          <w:tcPr>
            <w:tcW w:type="dxa" w:w="861"/>
            <w:tcBorders>
              <w:top w:sz="4" w:val="nil"/>
              <w:left w:sz="4" w:val="nil"/>
              <w:bottom w:color="000000" w:sz="4" w:val="single"/>
              <w:right w:color="000000" w:sz="4" w:val="single"/>
            </w:tcBorders>
            <w:shd w:fill="auto" w:val="clear"/>
            <w:vAlign w:val="center"/>
          </w:tcPr>
          <w:p w14:paraId="580A0000">
            <w:pPr>
              <w:widowControl w:val="1"/>
              <w:ind w:firstLine="47"/>
              <w:contextualSpacing w:val="1"/>
              <w:jc w:val="center"/>
              <w:rPr>
                <w:color w:val="000000"/>
              </w:rPr>
            </w:pPr>
            <w:r>
              <w:rPr>
                <w:color w:val="000000"/>
              </w:rPr>
              <w:t>83%</w:t>
            </w:r>
          </w:p>
        </w:tc>
        <w:tc>
          <w:tcPr>
            <w:tcW w:type="dxa" w:w="1237"/>
            <w:tcBorders>
              <w:top w:sz="4" w:val="nil"/>
              <w:left w:sz="4" w:val="nil"/>
              <w:bottom w:color="000000" w:sz="4" w:val="single"/>
              <w:right w:color="000000" w:sz="4" w:val="single"/>
            </w:tcBorders>
            <w:shd w:fill="auto" w:val="clear"/>
            <w:vAlign w:val="center"/>
          </w:tcPr>
          <w:p w14:paraId="590A0000">
            <w:pPr>
              <w:widowControl w:val="1"/>
              <w:ind w:firstLine="47"/>
              <w:contextualSpacing w:val="1"/>
              <w:jc w:val="center"/>
              <w:rPr>
                <w:color w:val="000000"/>
              </w:rPr>
            </w:pPr>
            <w:r>
              <w:rPr>
                <w:color w:val="000000"/>
              </w:rPr>
              <w:t>0,0</w:t>
            </w:r>
          </w:p>
        </w:tc>
      </w:tr>
      <w:tr>
        <w:trPr>
          <w:trHeight w:hRule="atLeast" w:val="439"/>
        </w:trPr>
        <w:tc>
          <w:tcPr>
            <w:tcW w:type="dxa" w:w="1714"/>
            <w:tcBorders>
              <w:top w:color="000000" w:sz="4" w:val="single"/>
              <w:left w:color="000000" w:sz="4" w:val="single"/>
              <w:bottom w:color="000000" w:sz="4" w:val="single"/>
              <w:right w:color="000000" w:sz="4" w:val="single"/>
            </w:tcBorders>
            <w:shd w:fill="auto" w:val="clear"/>
            <w:vAlign w:val="center"/>
          </w:tcPr>
          <w:p w14:paraId="5A0A0000">
            <w:pPr>
              <w:widowControl w:val="1"/>
              <w:ind w:firstLine="47"/>
              <w:contextualSpacing w:val="1"/>
              <w:rPr>
                <w:color w:val="000000"/>
              </w:rPr>
            </w:pPr>
            <w:r>
              <w:rPr>
                <w:color w:val="000000"/>
              </w:rPr>
              <w:t>Машины и оборудование (кроме офисного)</w:t>
            </w:r>
          </w:p>
        </w:tc>
        <w:tc>
          <w:tcPr>
            <w:tcW w:type="dxa" w:w="1197"/>
            <w:tcBorders>
              <w:top w:color="000000" w:sz="4" w:val="single"/>
              <w:left w:sz="4" w:val="nil"/>
              <w:bottom w:color="000000" w:sz="4" w:val="single"/>
              <w:right w:color="000000" w:sz="4" w:val="single"/>
            </w:tcBorders>
            <w:shd w:fill="auto" w:val="clear"/>
            <w:vAlign w:val="center"/>
          </w:tcPr>
          <w:p w14:paraId="5B0A0000">
            <w:pPr>
              <w:widowControl w:val="1"/>
              <w:ind w:firstLine="47"/>
              <w:contextualSpacing w:val="1"/>
              <w:jc w:val="center"/>
              <w:rPr>
                <w:color w:val="000000"/>
              </w:rPr>
            </w:pPr>
            <w:r>
              <w:rPr>
                <w:color w:val="000000"/>
              </w:rPr>
              <w:t>12 203</w:t>
            </w:r>
          </w:p>
        </w:tc>
        <w:tc>
          <w:tcPr>
            <w:tcW w:type="dxa" w:w="1067"/>
            <w:tcBorders>
              <w:top w:color="000000" w:sz="4" w:val="single"/>
              <w:left w:sz="4" w:val="nil"/>
              <w:bottom w:color="000000" w:sz="4" w:val="single"/>
              <w:right w:color="000000" w:sz="4" w:val="single"/>
            </w:tcBorders>
            <w:shd w:fill="auto" w:val="clear"/>
            <w:vAlign w:val="center"/>
          </w:tcPr>
          <w:p w14:paraId="5C0A0000">
            <w:pPr>
              <w:widowControl w:val="1"/>
              <w:ind w:firstLine="47"/>
              <w:contextualSpacing w:val="1"/>
              <w:jc w:val="center"/>
              <w:rPr>
                <w:color w:val="000000"/>
              </w:rPr>
            </w:pPr>
            <w:r>
              <w:rPr>
                <w:color w:val="000000"/>
              </w:rPr>
              <w:t>89</w:t>
            </w:r>
          </w:p>
        </w:tc>
        <w:tc>
          <w:tcPr>
            <w:tcW w:type="dxa" w:w="1218"/>
            <w:tcBorders>
              <w:top w:color="000000" w:sz="4" w:val="single"/>
              <w:left w:sz="4" w:val="nil"/>
              <w:bottom w:color="000000" w:sz="4" w:val="single"/>
              <w:right w:color="000000" w:sz="4" w:val="single"/>
            </w:tcBorders>
            <w:shd w:fill="auto" w:val="clear"/>
            <w:vAlign w:val="center"/>
          </w:tcPr>
          <w:p w14:paraId="5D0A0000">
            <w:pPr>
              <w:widowControl w:val="1"/>
              <w:ind w:firstLine="47"/>
              <w:contextualSpacing w:val="1"/>
              <w:jc w:val="center"/>
              <w:rPr>
                <w:color w:val="000000"/>
              </w:rPr>
            </w:pPr>
            <w:r>
              <w:rPr>
                <w:color w:val="000000"/>
              </w:rPr>
              <w:t>10 071</w:t>
            </w:r>
          </w:p>
        </w:tc>
        <w:tc>
          <w:tcPr>
            <w:tcW w:type="dxa" w:w="1004"/>
            <w:tcBorders>
              <w:top w:color="000000" w:sz="4" w:val="single"/>
              <w:left w:sz="4" w:val="nil"/>
              <w:bottom w:color="000000" w:sz="4" w:val="single"/>
              <w:right w:color="000000" w:sz="4" w:val="single"/>
            </w:tcBorders>
            <w:shd w:fill="auto" w:val="clear"/>
            <w:vAlign w:val="center"/>
          </w:tcPr>
          <w:p w14:paraId="5E0A0000">
            <w:pPr>
              <w:widowControl w:val="1"/>
              <w:ind w:firstLine="47"/>
              <w:contextualSpacing w:val="1"/>
              <w:jc w:val="center"/>
              <w:rPr>
                <w:color w:val="000000"/>
              </w:rPr>
            </w:pPr>
            <w:r>
              <w:rPr>
                <w:color w:val="000000"/>
              </w:rPr>
              <w:t>89</w:t>
            </w:r>
          </w:p>
        </w:tc>
        <w:tc>
          <w:tcPr>
            <w:tcW w:type="dxa" w:w="1224"/>
            <w:tcBorders>
              <w:top w:color="000000" w:sz="4" w:val="single"/>
              <w:left w:sz="4" w:val="nil"/>
              <w:bottom w:color="000000" w:sz="4" w:val="single"/>
              <w:right w:color="000000" w:sz="4" w:val="single"/>
            </w:tcBorders>
            <w:shd w:fill="auto" w:val="clear"/>
            <w:vAlign w:val="center"/>
          </w:tcPr>
          <w:p w14:paraId="5F0A0000">
            <w:pPr>
              <w:widowControl w:val="1"/>
              <w:ind w:firstLine="47"/>
              <w:contextualSpacing w:val="1"/>
              <w:jc w:val="center"/>
              <w:rPr>
                <w:color w:val="000000"/>
              </w:rPr>
            </w:pPr>
            <w:r>
              <w:rPr>
                <w:color w:val="000000"/>
              </w:rPr>
              <w:t>-2 132</w:t>
            </w:r>
          </w:p>
        </w:tc>
        <w:tc>
          <w:tcPr>
            <w:tcW w:type="dxa" w:w="861"/>
            <w:tcBorders>
              <w:top w:color="000000" w:sz="4" w:val="single"/>
              <w:left w:sz="4" w:val="nil"/>
              <w:bottom w:color="000000" w:sz="4" w:val="single"/>
              <w:right w:color="000000" w:sz="4" w:val="single"/>
            </w:tcBorders>
            <w:shd w:fill="auto" w:val="clear"/>
            <w:vAlign w:val="center"/>
          </w:tcPr>
          <w:p w14:paraId="600A0000">
            <w:pPr>
              <w:widowControl w:val="1"/>
              <w:ind w:firstLine="47"/>
              <w:contextualSpacing w:val="1"/>
              <w:jc w:val="center"/>
              <w:rPr>
                <w:color w:val="000000"/>
              </w:rPr>
            </w:pPr>
            <w:r>
              <w:rPr>
                <w:color w:val="000000"/>
              </w:rPr>
              <w:t>83%</w:t>
            </w:r>
          </w:p>
        </w:tc>
        <w:tc>
          <w:tcPr>
            <w:tcW w:type="dxa" w:w="1237"/>
            <w:tcBorders>
              <w:top w:color="000000" w:sz="4" w:val="single"/>
              <w:left w:sz="4" w:val="nil"/>
              <w:bottom w:color="000000" w:sz="4" w:val="single"/>
              <w:right w:color="000000" w:sz="4" w:val="single"/>
            </w:tcBorders>
            <w:shd w:fill="auto" w:val="clear"/>
            <w:vAlign w:val="center"/>
          </w:tcPr>
          <w:p w14:paraId="610A0000">
            <w:pPr>
              <w:widowControl w:val="1"/>
              <w:ind w:firstLine="47"/>
              <w:contextualSpacing w:val="1"/>
              <w:jc w:val="center"/>
              <w:rPr>
                <w:color w:val="000000"/>
              </w:rPr>
            </w:pPr>
            <w:r>
              <w:rPr>
                <w:color w:val="000000"/>
              </w:rPr>
              <w:t>-0,4</w:t>
            </w:r>
          </w:p>
        </w:tc>
      </w:tr>
      <w:tr>
        <w:trPr>
          <w:trHeight w:hRule="atLeast" w:val="490"/>
        </w:trPr>
        <w:tc>
          <w:tcPr>
            <w:tcW w:type="dxa" w:w="1714"/>
            <w:tcBorders>
              <w:top w:color="000000" w:sz="4" w:val="single"/>
              <w:left w:color="000000" w:sz="4" w:val="single"/>
              <w:bottom w:color="000000" w:sz="4" w:val="single"/>
              <w:right w:color="000000" w:sz="4" w:val="single"/>
            </w:tcBorders>
            <w:shd w:fill="auto" w:val="clear"/>
            <w:vAlign w:val="center"/>
          </w:tcPr>
          <w:p w14:paraId="620A0000">
            <w:pPr>
              <w:widowControl w:val="1"/>
              <w:ind w:firstLine="47"/>
              <w:contextualSpacing w:val="1"/>
              <w:rPr>
                <w:color w:val="000000"/>
              </w:rPr>
            </w:pPr>
            <w:r>
              <w:rPr>
                <w:color w:val="000000"/>
              </w:rPr>
              <w:t>Офисное оборудование</w:t>
            </w:r>
          </w:p>
        </w:tc>
        <w:tc>
          <w:tcPr>
            <w:tcW w:type="dxa" w:w="1197"/>
            <w:tcBorders>
              <w:top w:color="000000" w:sz="4" w:val="single"/>
              <w:left w:sz="4" w:val="nil"/>
              <w:bottom w:color="000000" w:sz="4" w:val="single"/>
              <w:right w:color="000000" w:sz="4" w:val="single"/>
            </w:tcBorders>
            <w:shd w:fill="auto" w:val="clear"/>
            <w:vAlign w:val="center"/>
          </w:tcPr>
          <w:p w14:paraId="630A0000">
            <w:pPr>
              <w:widowControl w:val="1"/>
              <w:ind w:firstLine="47"/>
              <w:contextualSpacing w:val="1"/>
              <w:jc w:val="center"/>
              <w:rPr>
                <w:color w:val="000000"/>
              </w:rPr>
            </w:pPr>
            <w:r>
              <w:rPr>
                <w:color w:val="000000"/>
              </w:rPr>
              <w:t>1 026</w:t>
            </w:r>
          </w:p>
        </w:tc>
        <w:tc>
          <w:tcPr>
            <w:tcW w:type="dxa" w:w="1067"/>
            <w:tcBorders>
              <w:top w:color="000000" w:sz="4" w:val="single"/>
              <w:left w:sz="4" w:val="nil"/>
              <w:bottom w:color="000000" w:sz="4" w:val="single"/>
              <w:right w:color="000000" w:sz="4" w:val="single"/>
            </w:tcBorders>
            <w:shd w:fill="auto" w:val="clear"/>
            <w:vAlign w:val="center"/>
          </w:tcPr>
          <w:p w14:paraId="640A0000">
            <w:pPr>
              <w:widowControl w:val="1"/>
              <w:ind w:firstLine="47"/>
              <w:contextualSpacing w:val="1"/>
              <w:jc w:val="center"/>
              <w:rPr>
                <w:color w:val="000000"/>
              </w:rPr>
            </w:pPr>
            <w:r>
              <w:rPr>
                <w:color w:val="000000"/>
              </w:rPr>
              <w:t>8</w:t>
            </w:r>
          </w:p>
        </w:tc>
        <w:tc>
          <w:tcPr>
            <w:tcW w:type="dxa" w:w="1218"/>
            <w:tcBorders>
              <w:top w:color="000000" w:sz="4" w:val="single"/>
              <w:left w:sz="4" w:val="nil"/>
              <w:bottom w:color="000000" w:sz="4" w:val="single"/>
              <w:right w:color="000000" w:sz="4" w:val="single"/>
            </w:tcBorders>
            <w:shd w:fill="auto" w:val="clear"/>
            <w:vAlign w:val="center"/>
          </w:tcPr>
          <w:p w14:paraId="650A0000">
            <w:pPr>
              <w:widowControl w:val="1"/>
              <w:ind w:firstLine="47"/>
              <w:contextualSpacing w:val="1"/>
              <w:jc w:val="center"/>
              <w:rPr>
                <w:color w:val="000000"/>
              </w:rPr>
            </w:pPr>
            <w:r>
              <w:rPr>
                <w:color w:val="000000"/>
              </w:rPr>
              <w:t>892</w:t>
            </w:r>
          </w:p>
        </w:tc>
        <w:tc>
          <w:tcPr>
            <w:tcW w:type="dxa" w:w="1004"/>
            <w:tcBorders>
              <w:top w:color="000000" w:sz="4" w:val="single"/>
              <w:left w:sz="4" w:val="nil"/>
              <w:bottom w:color="000000" w:sz="4" w:val="single"/>
              <w:right w:color="000000" w:sz="4" w:val="single"/>
            </w:tcBorders>
            <w:shd w:fill="auto" w:val="clear"/>
            <w:vAlign w:val="center"/>
          </w:tcPr>
          <w:p w14:paraId="660A0000">
            <w:pPr>
              <w:widowControl w:val="1"/>
              <w:ind w:firstLine="47"/>
              <w:contextualSpacing w:val="1"/>
              <w:jc w:val="center"/>
              <w:rPr>
                <w:color w:val="000000"/>
              </w:rPr>
            </w:pPr>
            <w:r>
              <w:rPr>
                <w:color w:val="000000"/>
              </w:rPr>
              <w:t>8</w:t>
            </w:r>
          </w:p>
        </w:tc>
        <w:tc>
          <w:tcPr>
            <w:tcW w:type="dxa" w:w="1224"/>
            <w:tcBorders>
              <w:top w:color="000000" w:sz="4" w:val="single"/>
              <w:left w:sz="4" w:val="nil"/>
              <w:bottom w:color="000000" w:sz="4" w:val="single"/>
              <w:right w:color="000000" w:sz="4" w:val="single"/>
            </w:tcBorders>
            <w:shd w:fill="auto" w:val="clear"/>
            <w:vAlign w:val="center"/>
          </w:tcPr>
          <w:p w14:paraId="670A0000">
            <w:pPr>
              <w:widowControl w:val="1"/>
              <w:ind w:firstLine="47"/>
              <w:contextualSpacing w:val="1"/>
              <w:jc w:val="center"/>
              <w:rPr>
                <w:color w:val="000000"/>
              </w:rPr>
            </w:pPr>
            <w:r>
              <w:rPr>
                <w:color w:val="000000"/>
              </w:rPr>
              <w:t>-134</w:t>
            </w:r>
          </w:p>
        </w:tc>
        <w:tc>
          <w:tcPr>
            <w:tcW w:type="dxa" w:w="861"/>
            <w:tcBorders>
              <w:top w:color="000000" w:sz="4" w:val="single"/>
              <w:left w:sz="4" w:val="nil"/>
              <w:bottom w:color="000000" w:sz="4" w:val="single"/>
              <w:right w:color="000000" w:sz="4" w:val="single"/>
            </w:tcBorders>
            <w:shd w:fill="auto" w:val="clear"/>
            <w:vAlign w:val="center"/>
          </w:tcPr>
          <w:p w14:paraId="680A0000">
            <w:pPr>
              <w:widowControl w:val="1"/>
              <w:ind w:firstLine="47"/>
              <w:contextualSpacing w:val="1"/>
              <w:jc w:val="center"/>
              <w:rPr>
                <w:color w:val="000000"/>
              </w:rPr>
            </w:pPr>
            <w:r>
              <w:rPr>
                <w:color w:val="000000"/>
              </w:rPr>
              <w:t>87%</w:t>
            </w:r>
          </w:p>
        </w:tc>
        <w:tc>
          <w:tcPr>
            <w:tcW w:type="dxa" w:w="1237"/>
            <w:tcBorders>
              <w:top w:color="000000" w:sz="4" w:val="single"/>
              <w:left w:sz="4" w:val="nil"/>
              <w:bottom w:color="000000" w:sz="4" w:val="single"/>
              <w:right w:color="000000" w:sz="4" w:val="single"/>
            </w:tcBorders>
            <w:shd w:fill="auto" w:val="clear"/>
            <w:vAlign w:val="center"/>
          </w:tcPr>
          <w:p w14:paraId="690A0000">
            <w:pPr>
              <w:widowControl w:val="1"/>
              <w:ind w:firstLine="47"/>
              <w:contextualSpacing w:val="1"/>
              <w:jc w:val="center"/>
              <w:rPr>
                <w:color w:val="000000"/>
              </w:rPr>
            </w:pPr>
            <w:r>
              <w:rPr>
                <w:color w:val="000000"/>
              </w:rPr>
              <w:t>0,4</w:t>
            </w:r>
          </w:p>
        </w:tc>
      </w:tr>
      <w:tr>
        <w:trPr>
          <w:trHeight w:hRule="atLeast" w:val="316"/>
        </w:trPr>
        <w:tc>
          <w:tcPr>
            <w:tcW w:type="dxa" w:w="1714"/>
            <w:tcBorders>
              <w:top w:sz="4" w:val="nil"/>
              <w:left w:color="000000" w:sz="4" w:val="single"/>
              <w:bottom w:color="000000" w:sz="4" w:val="single"/>
              <w:right w:color="000000" w:sz="4" w:val="single"/>
            </w:tcBorders>
            <w:shd w:fill="auto" w:val="clear"/>
            <w:vAlign w:val="center"/>
          </w:tcPr>
          <w:p w14:paraId="6A0A0000">
            <w:pPr>
              <w:widowControl w:val="1"/>
              <w:ind w:firstLine="47"/>
              <w:contextualSpacing w:val="1"/>
              <w:rPr>
                <w:color w:val="000000"/>
              </w:rPr>
            </w:pPr>
            <w:r>
              <w:rPr>
                <w:color w:val="000000"/>
              </w:rPr>
              <w:t>Транспортные средства</w:t>
            </w:r>
          </w:p>
        </w:tc>
        <w:tc>
          <w:tcPr>
            <w:tcW w:type="dxa" w:w="1197"/>
            <w:tcBorders>
              <w:top w:sz="4" w:val="nil"/>
              <w:left w:sz="4" w:val="nil"/>
              <w:bottom w:color="000000" w:sz="4" w:val="single"/>
              <w:right w:color="000000" w:sz="4" w:val="single"/>
            </w:tcBorders>
            <w:shd w:fill="auto" w:val="clear"/>
            <w:vAlign w:val="center"/>
          </w:tcPr>
          <w:p w14:paraId="6B0A0000">
            <w:pPr>
              <w:widowControl w:val="1"/>
              <w:ind w:firstLine="47"/>
              <w:contextualSpacing w:val="1"/>
              <w:jc w:val="center"/>
              <w:rPr>
                <w:color w:val="000000"/>
              </w:rPr>
            </w:pPr>
            <w:r>
              <w:rPr>
                <w:color w:val="000000"/>
              </w:rPr>
              <w:t>0</w:t>
            </w:r>
          </w:p>
        </w:tc>
        <w:tc>
          <w:tcPr>
            <w:tcW w:type="dxa" w:w="1067"/>
            <w:tcBorders>
              <w:top w:sz="4" w:val="nil"/>
              <w:left w:sz="4" w:val="nil"/>
              <w:bottom w:color="000000" w:sz="4" w:val="single"/>
              <w:right w:color="000000" w:sz="4" w:val="single"/>
            </w:tcBorders>
            <w:shd w:fill="auto" w:val="clear"/>
            <w:vAlign w:val="center"/>
          </w:tcPr>
          <w:p w14:paraId="6C0A0000">
            <w:pPr>
              <w:widowControl w:val="1"/>
              <w:ind w:firstLine="47"/>
              <w:contextualSpacing w:val="1"/>
              <w:jc w:val="center"/>
              <w:rPr>
                <w:color w:val="000000"/>
              </w:rPr>
            </w:pPr>
            <w:r>
              <w:rPr>
                <w:color w:val="000000"/>
              </w:rPr>
              <w:t>0</w:t>
            </w:r>
          </w:p>
        </w:tc>
        <w:tc>
          <w:tcPr>
            <w:tcW w:type="dxa" w:w="1218"/>
            <w:tcBorders>
              <w:top w:sz="4" w:val="nil"/>
              <w:left w:sz="4" w:val="nil"/>
              <w:bottom w:color="000000" w:sz="4" w:val="single"/>
              <w:right w:color="000000" w:sz="4" w:val="single"/>
            </w:tcBorders>
            <w:shd w:fill="auto" w:val="clear"/>
            <w:vAlign w:val="center"/>
          </w:tcPr>
          <w:p w14:paraId="6D0A0000">
            <w:pPr>
              <w:widowControl w:val="1"/>
              <w:ind w:firstLine="47"/>
              <w:contextualSpacing w:val="1"/>
              <w:jc w:val="center"/>
              <w:rPr>
                <w:color w:val="000000"/>
              </w:rPr>
            </w:pPr>
            <w:r>
              <w:rPr>
                <w:color w:val="000000"/>
              </w:rPr>
              <w:t>0</w:t>
            </w:r>
          </w:p>
        </w:tc>
        <w:tc>
          <w:tcPr>
            <w:tcW w:type="dxa" w:w="1004"/>
            <w:tcBorders>
              <w:top w:sz="4" w:val="nil"/>
              <w:left w:sz="4" w:val="nil"/>
              <w:bottom w:color="000000" w:sz="4" w:val="single"/>
              <w:right w:color="000000" w:sz="4" w:val="single"/>
            </w:tcBorders>
            <w:shd w:fill="auto" w:val="clear"/>
            <w:vAlign w:val="center"/>
          </w:tcPr>
          <w:p w14:paraId="6E0A0000">
            <w:pPr>
              <w:widowControl w:val="1"/>
              <w:ind w:firstLine="47"/>
              <w:contextualSpacing w:val="1"/>
              <w:jc w:val="center"/>
              <w:rPr>
                <w:color w:val="000000"/>
              </w:rPr>
            </w:pPr>
            <w:r>
              <w:rPr>
                <w:color w:val="000000"/>
              </w:rPr>
              <w:t>0</w:t>
            </w:r>
          </w:p>
        </w:tc>
        <w:tc>
          <w:tcPr>
            <w:tcW w:type="dxa" w:w="1224"/>
            <w:tcBorders>
              <w:top w:sz="4" w:val="nil"/>
              <w:left w:sz="4" w:val="nil"/>
              <w:bottom w:color="000000" w:sz="4" w:val="single"/>
              <w:right w:color="000000" w:sz="4" w:val="single"/>
            </w:tcBorders>
            <w:shd w:fill="auto" w:val="clear"/>
            <w:vAlign w:val="center"/>
          </w:tcPr>
          <w:p w14:paraId="6F0A0000">
            <w:pPr>
              <w:widowControl w:val="1"/>
              <w:ind w:firstLine="47"/>
              <w:contextualSpacing w:val="1"/>
              <w:jc w:val="center"/>
              <w:rPr>
                <w:color w:val="000000"/>
              </w:rPr>
            </w:pPr>
            <w:r>
              <w:rPr>
                <w:color w:val="000000"/>
              </w:rPr>
              <w:t>0</w:t>
            </w:r>
          </w:p>
        </w:tc>
        <w:tc>
          <w:tcPr>
            <w:tcW w:type="dxa" w:w="861"/>
            <w:tcBorders>
              <w:top w:sz="4" w:val="nil"/>
              <w:left w:sz="4" w:val="nil"/>
              <w:bottom w:color="000000" w:sz="4" w:val="single"/>
              <w:right w:color="000000" w:sz="4" w:val="single"/>
            </w:tcBorders>
            <w:shd w:fill="auto" w:val="clear"/>
            <w:vAlign w:val="center"/>
          </w:tcPr>
          <w:p w14:paraId="700A0000">
            <w:pPr>
              <w:widowControl w:val="1"/>
              <w:ind w:firstLine="47"/>
              <w:contextualSpacing w:val="1"/>
              <w:jc w:val="center"/>
              <w:rPr>
                <w:color w:val="000000"/>
              </w:rPr>
            </w:pPr>
            <w:r>
              <w:rPr>
                <w:color w:val="000000"/>
              </w:rPr>
              <w:t>#ДЕЛ/0!</w:t>
            </w:r>
          </w:p>
        </w:tc>
        <w:tc>
          <w:tcPr>
            <w:tcW w:type="dxa" w:w="1237"/>
            <w:tcBorders>
              <w:top w:sz="4" w:val="nil"/>
              <w:left w:sz="4" w:val="nil"/>
              <w:bottom w:color="000000" w:sz="4" w:val="single"/>
              <w:right w:color="000000" w:sz="4" w:val="single"/>
            </w:tcBorders>
            <w:shd w:fill="auto" w:val="clear"/>
            <w:vAlign w:val="center"/>
          </w:tcPr>
          <w:p w14:paraId="710A0000">
            <w:pPr>
              <w:widowControl w:val="1"/>
              <w:ind w:firstLine="47"/>
              <w:contextualSpacing w:val="1"/>
              <w:jc w:val="center"/>
              <w:rPr>
                <w:color w:val="000000"/>
              </w:rPr>
            </w:pPr>
            <w:r>
              <w:rPr>
                <w:color w:val="000000"/>
              </w:rPr>
              <w:t>0,0</w:t>
            </w:r>
          </w:p>
        </w:tc>
      </w:tr>
      <w:tr>
        <w:trPr>
          <w:trHeight w:hRule="atLeast" w:val="316"/>
        </w:trPr>
        <w:tc>
          <w:tcPr>
            <w:tcW w:type="dxa" w:w="1714"/>
            <w:tcBorders>
              <w:top w:sz="4" w:val="nil"/>
              <w:left w:color="000000" w:sz="4" w:val="single"/>
              <w:bottom w:color="000000" w:sz="4" w:val="single"/>
              <w:right w:color="000000" w:sz="4" w:val="single"/>
            </w:tcBorders>
            <w:shd w:fill="auto" w:val="clear"/>
            <w:vAlign w:val="center"/>
          </w:tcPr>
          <w:p w14:paraId="720A0000">
            <w:pPr>
              <w:widowControl w:val="1"/>
              <w:ind w:firstLine="47"/>
              <w:contextualSpacing w:val="1"/>
              <w:rPr>
                <w:color w:val="000000"/>
              </w:rPr>
            </w:pPr>
            <w:r>
              <w:rPr>
                <w:color w:val="000000"/>
              </w:rPr>
              <w:t>Производственный и хозяйственный инвентарь</w:t>
            </w:r>
          </w:p>
        </w:tc>
        <w:tc>
          <w:tcPr>
            <w:tcW w:type="dxa" w:w="1197"/>
            <w:tcBorders>
              <w:top w:sz="4" w:val="nil"/>
              <w:left w:sz="4" w:val="nil"/>
              <w:bottom w:color="000000" w:sz="4" w:val="single"/>
              <w:right w:color="000000" w:sz="4" w:val="single"/>
            </w:tcBorders>
            <w:shd w:fill="auto" w:val="clear"/>
            <w:vAlign w:val="center"/>
          </w:tcPr>
          <w:p w14:paraId="730A0000">
            <w:pPr>
              <w:widowControl w:val="1"/>
              <w:ind w:firstLine="47"/>
              <w:contextualSpacing w:val="1"/>
              <w:jc w:val="center"/>
              <w:rPr>
                <w:color w:val="000000"/>
              </w:rPr>
            </w:pPr>
            <w:r>
              <w:rPr>
                <w:color w:val="000000"/>
              </w:rPr>
              <w:t>32</w:t>
            </w:r>
          </w:p>
        </w:tc>
        <w:tc>
          <w:tcPr>
            <w:tcW w:type="dxa" w:w="1067"/>
            <w:tcBorders>
              <w:top w:sz="4" w:val="nil"/>
              <w:left w:sz="4" w:val="nil"/>
              <w:bottom w:color="000000" w:sz="4" w:val="single"/>
              <w:right w:color="000000" w:sz="4" w:val="single"/>
            </w:tcBorders>
            <w:shd w:fill="auto" w:val="clear"/>
            <w:vAlign w:val="center"/>
          </w:tcPr>
          <w:p w14:paraId="740A0000">
            <w:pPr>
              <w:widowControl w:val="1"/>
              <w:ind w:firstLine="47"/>
              <w:contextualSpacing w:val="1"/>
              <w:jc w:val="center"/>
              <w:rPr>
                <w:color w:val="000000"/>
              </w:rPr>
            </w:pPr>
            <w:r>
              <w:rPr>
                <w:color w:val="000000"/>
              </w:rPr>
              <w:t>0</w:t>
            </w:r>
          </w:p>
        </w:tc>
        <w:tc>
          <w:tcPr>
            <w:tcW w:type="dxa" w:w="1218"/>
            <w:tcBorders>
              <w:top w:sz="4" w:val="nil"/>
              <w:left w:sz="4" w:val="nil"/>
              <w:bottom w:color="000000" w:sz="4" w:val="single"/>
              <w:right w:color="000000" w:sz="4" w:val="single"/>
            </w:tcBorders>
            <w:shd w:fill="auto" w:val="clear"/>
            <w:vAlign w:val="center"/>
          </w:tcPr>
          <w:p w14:paraId="750A0000">
            <w:pPr>
              <w:widowControl w:val="1"/>
              <w:ind w:firstLine="47"/>
              <w:contextualSpacing w:val="1"/>
              <w:jc w:val="center"/>
              <w:rPr>
                <w:color w:val="000000"/>
              </w:rPr>
            </w:pPr>
            <w:r>
              <w:rPr>
                <w:color w:val="000000"/>
              </w:rPr>
              <w:t>27</w:t>
            </w:r>
          </w:p>
        </w:tc>
        <w:tc>
          <w:tcPr>
            <w:tcW w:type="dxa" w:w="1004"/>
            <w:tcBorders>
              <w:top w:sz="4" w:val="nil"/>
              <w:left w:sz="4" w:val="nil"/>
              <w:bottom w:color="000000" w:sz="4" w:val="single"/>
              <w:right w:color="000000" w:sz="4" w:val="single"/>
            </w:tcBorders>
            <w:shd w:fill="auto" w:val="clear"/>
            <w:vAlign w:val="center"/>
          </w:tcPr>
          <w:p w14:paraId="760A0000">
            <w:pPr>
              <w:widowControl w:val="1"/>
              <w:ind w:firstLine="47"/>
              <w:contextualSpacing w:val="1"/>
              <w:jc w:val="center"/>
              <w:rPr>
                <w:color w:val="000000"/>
              </w:rPr>
            </w:pPr>
            <w:r>
              <w:rPr>
                <w:color w:val="000000"/>
              </w:rPr>
              <w:t>0</w:t>
            </w:r>
          </w:p>
        </w:tc>
        <w:tc>
          <w:tcPr>
            <w:tcW w:type="dxa" w:w="1224"/>
            <w:tcBorders>
              <w:top w:sz="4" w:val="nil"/>
              <w:left w:sz="4" w:val="nil"/>
              <w:bottom w:color="000000" w:sz="4" w:val="single"/>
              <w:right w:color="000000" w:sz="4" w:val="single"/>
            </w:tcBorders>
            <w:shd w:fill="auto" w:val="clear"/>
            <w:vAlign w:val="center"/>
          </w:tcPr>
          <w:p w14:paraId="770A0000">
            <w:pPr>
              <w:widowControl w:val="1"/>
              <w:ind w:firstLine="47"/>
              <w:contextualSpacing w:val="1"/>
              <w:jc w:val="center"/>
              <w:rPr>
                <w:color w:val="000000"/>
              </w:rPr>
            </w:pPr>
            <w:r>
              <w:rPr>
                <w:color w:val="000000"/>
              </w:rPr>
              <w:t>-5</w:t>
            </w:r>
          </w:p>
        </w:tc>
        <w:tc>
          <w:tcPr>
            <w:tcW w:type="dxa" w:w="861"/>
            <w:tcBorders>
              <w:top w:sz="4" w:val="nil"/>
              <w:left w:sz="4" w:val="nil"/>
              <w:bottom w:color="000000" w:sz="4" w:val="single"/>
              <w:right w:color="000000" w:sz="4" w:val="single"/>
            </w:tcBorders>
            <w:shd w:fill="auto" w:val="clear"/>
            <w:vAlign w:val="center"/>
          </w:tcPr>
          <w:p w14:paraId="780A0000">
            <w:pPr>
              <w:widowControl w:val="1"/>
              <w:ind w:firstLine="47"/>
              <w:contextualSpacing w:val="1"/>
              <w:jc w:val="center"/>
              <w:rPr>
                <w:color w:val="000000"/>
              </w:rPr>
            </w:pPr>
            <w:r>
              <w:rPr>
                <w:color w:val="000000"/>
              </w:rPr>
              <w:t>84%</w:t>
            </w:r>
          </w:p>
        </w:tc>
        <w:tc>
          <w:tcPr>
            <w:tcW w:type="dxa" w:w="1237"/>
            <w:tcBorders>
              <w:top w:sz="4" w:val="nil"/>
              <w:left w:sz="4" w:val="nil"/>
              <w:bottom w:color="000000" w:sz="4" w:val="single"/>
              <w:right w:color="000000" w:sz="4" w:val="single"/>
            </w:tcBorders>
            <w:shd w:fill="auto" w:val="clear"/>
            <w:vAlign w:val="center"/>
          </w:tcPr>
          <w:p w14:paraId="790A0000">
            <w:pPr>
              <w:widowControl w:val="1"/>
              <w:ind w:firstLine="47"/>
              <w:contextualSpacing w:val="1"/>
              <w:jc w:val="center"/>
              <w:rPr>
                <w:color w:val="000000"/>
              </w:rPr>
            </w:pPr>
            <w:r>
              <w:rPr>
                <w:color w:val="000000"/>
              </w:rPr>
              <w:t>0,0</w:t>
            </w:r>
          </w:p>
        </w:tc>
      </w:tr>
      <w:tr>
        <w:trPr>
          <w:trHeight w:hRule="atLeast" w:val="497"/>
        </w:trPr>
        <w:tc>
          <w:tcPr>
            <w:tcW w:type="dxa" w:w="1714"/>
            <w:tcBorders>
              <w:top w:sz="4" w:val="nil"/>
              <w:left w:color="000000" w:sz="4" w:val="single"/>
              <w:bottom w:color="000000" w:sz="4" w:val="single"/>
              <w:right w:color="000000" w:sz="4" w:val="single"/>
            </w:tcBorders>
            <w:shd w:fill="auto" w:val="clear"/>
            <w:vAlign w:val="center"/>
          </w:tcPr>
          <w:p w14:paraId="7A0A0000">
            <w:pPr>
              <w:widowControl w:val="1"/>
              <w:ind w:firstLine="47"/>
              <w:contextualSpacing w:val="1"/>
              <w:rPr>
                <w:color w:val="000000"/>
              </w:rPr>
            </w:pPr>
            <w:r>
              <w:rPr>
                <w:color w:val="000000"/>
              </w:rPr>
              <w:t>Другие виды основных средств</w:t>
            </w:r>
          </w:p>
        </w:tc>
        <w:tc>
          <w:tcPr>
            <w:tcW w:type="dxa" w:w="1197"/>
            <w:tcBorders>
              <w:top w:sz="4" w:val="nil"/>
              <w:left w:sz="4" w:val="nil"/>
              <w:bottom w:color="000000" w:sz="4" w:val="single"/>
              <w:right w:color="000000" w:sz="4" w:val="single"/>
            </w:tcBorders>
            <w:shd w:fill="auto" w:val="clear"/>
            <w:vAlign w:val="center"/>
          </w:tcPr>
          <w:p w14:paraId="7B0A0000">
            <w:pPr>
              <w:widowControl w:val="1"/>
              <w:ind w:firstLine="47"/>
              <w:contextualSpacing w:val="1"/>
              <w:jc w:val="center"/>
              <w:rPr>
                <w:color w:val="000000"/>
              </w:rPr>
            </w:pPr>
            <w:r>
              <w:rPr>
                <w:color w:val="000000"/>
              </w:rPr>
              <w:t>118</w:t>
            </w:r>
          </w:p>
        </w:tc>
        <w:tc>
          <w:tcPr>
            <w:tcW w:type="dxa" w:w="1067"/>
            <w:tcBorders>
              <w:top w:sz="4" w:val="nil"/>
              <w:left w:sz="4" w:val="nil"/>
              <w:bottom w:color="000000" w:sz="4" w:val="single"/>
              <w:right w:color="000000" w:sz="4" w:val="single"/>
            </w:tcBorders>
            <w:shd w:fill="auto" w:val="clear"/>
            <w:vAlign w:val="center"/>
          </w:tcPr>
          <w:p w14:paraId="7C0A0000">
            <w:pPr>
              <w:widowControl w:val="1"/>
              <w:ind w:firstLine="47"/>
              <w:contextualSpacing w:val="1"/>
              <w:jc w:val="center"/>
              <w:rPr>
                <w:color w:val="000000"/>
              </w:rPr>
            </w:pPr>
            <w:r>
              <w:rPr>
                <w:color w:val="000000"/>
              </w:rPr>
              <w:t>1</w:t>
            </w:r>
          </w:p>
        </w:tc>
        <w:tc>
          <w:tcPr>
            <w:tcW w:type="dxa" w:w="1218"/>
            <w:tcBorders>
              <w:top w:sz="4" w:val="nil"/>
              <w:left w:sz="4" w:val="nil"/>
              <w:bottom w:color="000000" w:sz="4" w:val="single"/>
              <w:right w:color="000000" w:sz="4" w:val="single"/>
            </w:tcBorders>
            <w:shd w:fill="auto" w:val="clear"/>
            <w:vAlign w:val="center"/>
          </w:tcPr>
          <w:p w14:paraId="7D0A0000">
            <w:pPr>
              <w:widowControl w:val="1"/>
              <w:ind w:firstLine="47"/>
              <w:contextualSpacing w:val="1"/>
              <w:jc w:val="center"/>
              <w:rPr>
                <w:color w:val="000000"/>
              </w:rPr>
            </w:pPr>
            <w:r>
              <w:rPr>
                <w:color w:val="000000"/>
              </w:rPr>
              <w:t>105</w:t>
            </w:r>
          </w:p>
        </w:tc>
        <w:tc>
          <w:tcPr>
            <w:tcW w:type="dxa" w:w="1004"/>
            <w:tcBorders>
              <w:top w:sz="4" w:val="nil"/>
              <w:left w:sz="4" w:val="nil"/>
              <w:bottom w:color="000000" w:sz="4" w:val="single"/>
              <w:right w:color="000000" w:sz="4" w:val="single"/>
            </w:tcBorders>
            <w:shd w:fill="auto" w:val="clear"/>
            <w:vAlign w:val="center"/>
          </w:tcPr>
          <w:p w14:paraId="7E0A0000">
            <w:pPr>
              <w:widowControl w:val="1"/>
              <w:ind w:firstLine="47"/>
              <w:contextualSpacing w:val="1"/>
              <w:jc w:val="center"/>
              <w:rPr>
                <w:color w:val="000000"/>
              </w:rPr>
            </w:pPr>
            <w:r>
              <w:rPr>
                <w:color w:val="000000"/>
              </w:rPr>
              <w:t>1</w:t>
            </w:r>
          </w:p>
        </w:tc>
        <w:tc>
          <w:tcPr>
            <w:tcW w:type="dxa" w:w="1224"/>
            <w:tcBorders>
              <w:top w:sz="4" w:val="nil"/>
              <w:left w:sz="4" w:val="nil"/>
              <w:bottom w:color="000000" w:sz="4" w:val="single"/>
              <w:right w:color="000000" w:sz="4" w:val="single"/>
            </w:tcBorders>
            <w:shd w:fill="auto" w:val="clear"/>
            <w:vAlign w:val="center"/>
          </w:tcPr>
          <w:p w14:paraId="7F0A0000">
            <w:pPr>
              <w:widowControl w:val="1"/>
              <w:ind w:firstLine="47"/>
              <w:contextualSpacing w:val="1"/>
              <w:jc w:val="center"/>
              <w:rPr>
                <w:color w:val="000000"/>
              </w:rPr>
            </w:pPr>
            <w:r>
              <w:rPr>
                <w:color w:val="000000"/>
              </w:rPr>
              <w:t>-13</w:t>
            </w:r>
          </w:p>
        </w:tc>
        <w:tc>
          <w:tcPr>
            <w:tcW w:type="dxa" w:w="861"/>
            <w:tcBorders>
              <w:top w:sz="4" w:val="nil"/>
              <w:left w:sz="4" w:val="nil"/>
              <w:bottom w:color="000000" w:sz="4" w:val="single"/>
              <w:right w:color="000000" w:sz="4" w:val="single"/>
            </w:tcBorders>
            <w:shd w:fill="auto" w:val="clear"/>
            <w:vAlign w:val="center"/>
          </w:tcPr>
          <w:p w14:paraId="800A0000">
            <w:pPr>
              <w:widowControl w:val="1"/>
              <w:ind w:firstLine="47"/>
              <w:contextualSpacing w:val="1"/>
              <w:jc w:val="center"/>
              <w:rPr>
                <w:color w:val="000000"/>
              </w:rPr>
            </w:pPr>
            <w:r>
              <w:rPr>
                <w:color w:val="000000"/>
              </w:rPr>
              <w:t>89%</w:t>
            </w:r>
          </w:p>
        </w:tc>
        <w:tc>
          <w:tcPr>
            <w:tcW w:type="dxa" w:w="1237"/>
            <w:tcBorders>
              <w:top w:sz="4" w:val="nil"/>
              <w:left w:sz="4" w:val="nil"/>
              <w:bottom w:color="000000" w:sz="4" w:val="single"/>
              <w:right w:color="000000" w:sz="4" w:val="single"/>
            </w:tcBorders>
            <w:shd w:fill="auto" w:val="clear"/>
            <w:vAlign w:val="center"/>
          </w:tcPr>
          <w:p w14:paraId="810A0000">
            <w:pPr>
              <w:widowControl w:val="1"/>
              <w:ind w:firstLine="47"/>
              <w:contextualSpacing w:val="1"/>
              <w:jc w:val="center"/>
              <w:rPr>
                <w:color w:val="000000"/>
              </w:rPr>
            </w:pPr>
            <w:r>
              <w:rPr>
                <w:color w:val="000000"/>
              </w:rPr>
              <w:t>0,1</w:t>
            </w:r>
          </w:p>
        </w:tc>
      </w:tr>
      <w:tr>
        <w:trPr>
          <w:trHeight w:hRule="atLeast" w:val="316"/>
        </w:trPr>
        <w:tc>
          <w:tcPr>
            <w:tcW w:type="dxa" w:w="1714"/>
            <w:tcBorders>
              <w:top w:sz="4" w:val="nil"/>
              <w:left w:color="000000" w:sz="4" w:val="single"/>
              <w:bottom w:color="000000" w:sz="4" w:val="single"/>
              <w:right w:color="000000" w:sz="4" w:val="single"/>
            </w:tcBorders>
            <w:shd w:fill="auto" w:val="clear"/>
            <w:vAlign w:val="center"/>
          </w:tcPr>
          <w:p w14:paraId="820A0000">
            <w:pPr>
              <w:widowControl w:val="1"/>
              <w:ind w:firstLine="47"/>
              <w:contextualSpacing w:val="1"/>
              <w:jc w:val="center"/>
              <w:rPr>
                <w:b w:val="1"/>
                <w:color w:val="000000"/>
              </w:rPr>
            </w:pPr>
            <w:r>
              <w:rPr>
                <w:b w:val="1"/>
                <w:color w:val="000000"/>
              </w:rPr>
              <w:t>ИТОГО</w:t>
            </w:r>
          </w:p>
        </w:tc>
        <w:tc>
          <w:tcPr>
            <w:tcW w:type="dxa" w:w="1197"/>
            <w:tcBorders>
              <w:top w:sz="4" w:val="nil"/>
              <w:left w:sz="4" w:val="nil"/>
              <w:bottom w:color="000000" w:sz="4" w:val="single"/>
              <w:right w:color="000000" w:sz="4" w:val="single"/>
            </w:tcBorders>
            <w:shd w:fill="auto" w:val="clear"/>
            <w:vAlign w:val="center"/>
          </w:tcPr>
          <w:p w14:paraId="830A0000">
            <w:pPr>
              <w:widowControl w:val="1"/>
              <w:ind w:firstLine="47"/>
              <w:contextualSpacing w:val="1"/>
              <w:jc w:val="center"/>
              <w:rPr>
                <w:b w:val="1"/>
                <w:color w:val="000000"/>
              </w:rPr>
            </w:pPr>
            <w:r>
              <w:rPr>
                <w:b w:val="1"/>
                <w:color w:val="000000"/>
              </w:rPr>
              <w:t>13 675</w:t>
            </w:r>
          </w:p>
        </w:tc>
        <w:tc>
          <w:tcPr>
            <w:tcW w:type="dxa" w:w="1067"/>
            <w:tcBorders>
              <w:top w:sz="4" w:val="nil"/>
              <w:left w:sz="4" w:val="nil"/>
              <w:bottom w:color="000000" w:sz="4" w:val="single"/>
              <w:right w:color="000000" w:sz="4" w:val="single"/>
            </w:tcBorders>
            <w:shd w:fill="auto" w:val="clear"/>
            <w:vAlign w:val="center"/>
          </w:tcPr>
          <w:p w14:paraId="840A0000">
            <w:pPr>
              <w:widowControl w:val="1"/>
              <w:ind w:firstLine="47"/>
              <w:contextualSpacing w:val="1"/>
              <w:jc w:val="center"/>
              <w:rPr>
                <w:b w:val="1"/>
                <w:color w:val="000000"/>
              </w:rPr>
            </w:pPr>
            <w:r>
              <w:rPr>
                <w:b w:val="1"/>
                <w:color w:val="000000"/>
              </w:rPr>
              <w:t>100</w:t>
            </w:r>
          </w:p>
        </w:tc>
        <w:tc>
          <w:tcPr>
            <w:tcW w:type="dxa" w:w="1218"/>
            <w:tcBorders>
              <w:top w:sz="4" w:val="nil"/>
              <w:left w:sz="4" w:val="nil"/>
              <w:bottom w:color="000000" w:sz="4" w:val="single"/>
              <w:right w:color="000000" w:sz="4" w:val="single"/>
            </w:tcBorders>
            <w:shd w:fill="auto" w:val="clear"/>
            <w:vAlign w:val="center"/>
          </w:tcPr>
          <w:p w14:paraId="850A0000">
            <w:pPr>
              <w:widowControl w:val="1"/>
              <w:ind w:firstLine="47"/>
              <w:contextualSpacing w:val="1"/>
              <w:jc w:val="center"/>
              <w:rPr>
                <w:b w:val="1"/>
                <w:color w:val="000000"/>
              </w:rPr>
            </w:pPr>
            <w:r>
              <w:rPr>
                <w:b w:val="1"/>
                <w:color w:val="000000"/>
              </w:rPr>
              <w:t>11 341</w:t>
            </w:r>
          </w:p>
        </w:tc>
        <w:tc>
          <w:tcPr>
            <w:tcW w:type="dxa" w:w="1004"/>
            <w:tcBorders>
              <w:top w:sz="4" w:val="nil"/>
              <w:left w:sz="4" w:val="nil"/>
              <w:bottom w:color="000000" w:sz="4" w:val="single"/>
              <w:right w:color="000000" w:sz="4" w:val="single"/>
            </w:tcBorders>
            <w:shd w:fill="auto" w:val="clear"/>
            <w:vAlign w:val="center"/>
          </w:tcPr>
          <w:p w14:paraId="860A0000">
            <w:pPr>
              <w:widowControl w:val="1"/>
              <w:ind w:firstLine="47"/>
              <w:contextualSpacing w:val="1"/>
              <w:jc w:val="center"/>
              <w:rPr>
                <w:b w:val="1"/>
                <w:color w:val="000000"/>
              </w:rPr>
            </w:pPr>
            <w:r>
              <w:rPr>
                <w:b w:val="1"/>
                <w:color w:val="000000"/>
              </w:rPr>
              <w:t>100</w:t>
            </w:r>
          </w:p>
        </w:tc>
        <w:tc>
          <w:tcPr>
            <w:tcW w:type="dxa" w:w="1224"/>
            <w:tcBorders>
              <w:top w:sz="4" w:val="nil"/>
              <w:left w:sz="4" w:val="nil"/>
              <w:bottom w:color="000000" w:sz="4" w:val="single"/>
              <w:right w:color="000000" w:sz="4" w:val="single"/>
            </w:tcBorders>
            <w:shd w:fill="auto" w:val="clear"/>
            <w:vAlign w:val="center"/>
          </w:tcPr>
          <w:p w14:paraId="870A0000">
            <w:pPr>
              <w:widowControl w:val="1"/>
              <w:ind w:firstLine="47"/>
              <w:contextualSpacing w:val="1"/>
              <w:jc w:val="center"/>
              <w:rPr>
                <w:b w:val="1"/>
                <w:color w:val="000000"/>
              </w:rPr>
            </w:pPr>
            <w:r>
              <w:rPr>
                <w:b w:val="1"/>
                <w:color w:val="000000"/>
              </w:rPr>
              <w:t>-2 334</w:t>
            </w:r>
          </w:p>
        </w:tc>
        <w:tc>
          <w:tcPr>
            <w:tcW w:type="dxa" w:w="861"/>
            <w:tcBorders>
              <w:top w:sz="4" w:val="nil"/>
              <w:left w:sz="4" w:val="nil"/>
              <w:bottom w:color="000000" w:sz="4" w:val="single"/>
              <w:right w:color="000000" w:sz="4" w:val="single"/>
            </w:tcBorders>
            <w:shd w:fill="auto" w:val="clear"/>
            <w:vAlign w:val="center"/>
          </w:tcPr>
          <w:p w14:paraId="880A0000">
            <w:pPr>
              <w:widowControl w:val="1"/>
              <w:ind w:firstLine="47"/>
              <w:contextualSpacing w:val="1"/>
              <w:jc w:val="center"/>
              <w:rPr>
                <w:b w:val="1"/>
                <w:color w:val="000000"/>
              </w:rPr>
            </w:pPr>
            <w:r>
              <w:rPr>
                <w:b w:val="1"/>
                <w:color w:val="000000"/>
              </w:rPr>
              <w:t>83%</w:t>
            </w:r>
          </w:p>
        </w:tc>
        <w:tc>
          <w:tcPr>
            <w:tcW w:type="dxa" w:w="1237"/>
            <w:tcBorders>
              <w:top w:sz="4" w:val="nil"/>
              <w:left w:sz="4" w:val="nil"/>
              <w:bottom w:color="000000" w:sz="4" w:val="single"/>
              <w:right w:color="000000" w:sz="4" w:val="single"/>
            </w:tcBorders>
            <w:shd w:fill="auto" w:val="clear"/>
            <w:vAlign w:val="center"/>
          </w:tcPr>
          <w:p w14:paraId="890A0000">
            <w:pPr>
              <w:widowControl w:val="1"/>
              <w:ind w:firstLine="47"/>
              <w:contextualSpacing w:val="1"/>
              <w:jc w:val="center"/>
              <w:rPr>
                <w:b w:val="1"/>
                <w:color w:val="000000"/>
              </w:rPr>
            </w:pPr>
            <w:r>
              <w:rPr>
                <w:b w:val="1"/>
                <w:color w:val="000000"/>
              </w:rPr>
              <w:t>0,0</w:t>
            </w:r>
          </w:p>
        </w:tc>
      </w:tr>
    </w:tbl>
    <w:p w14:paraId="8A0A0000">
      <w:pPr>
        <w:pStyle w:val="Style_1"/>
        <w:widowControl w:val="1"/>
        <w:tabs>
          <w:tab w:leader="none" w:pos="4677" w:val="clear"/>
          <w:tab w:leader="none" w:pos="9355" w:val="clear"/>
        </w:tabs>
        <w:spacing w:line="360" w:lineRule="auto"/>
        <w:ind w:firstLine="709"/>
        <w:contextualSpacing w:val="1"/>
        <w:jc w:val="right"/>
        <w:rPr>
          <w:b w:val="1"/>
          <w:sz w:val="24"/>
        </w:rPr>
      </w:pPr>
    </w:p>
    <w:p w14:paraId="8B0A0000">
      <w:pPr>
        <w:widowControl w:val="1"/>
        <w:spacing w:line="360" w:lineRule="auto"/>
        <w:ind w:firstLine="709"/>
        <w:contextualSpacing w:val="1"/>
        <w:jc w:val="both"/>
      </w:pPr>
      <w:r>
        <w:t xml:space="preserve">Балансовая стоимость основных средств за 12 месяцев 2018 года уменьшилась на 2 334 тыс. руб. Основная доля основных средств относится к группе «машины и оборудование, вычислительная техника» (88,8%), наименьшую долю в составе основных средств занимает группа «производственный и хозяйственный инвентарь» (0,2%). Балансовая стоимость   группы «транспортные средства» равна 0. </w:t>
      </w:r>
    </w:p>
    <w:p w14:paraId="8C0A0000">
      <w:pPr>
        <w:widowControl w:val="1"/>
        <w:spacing w:line="360" w:lineRule="auto"/>
        <w:ind w:firstLine="709"/>
        <w:contextualSpacing w:val="1"/>
        <w:jc w:val="both"/>
      </w:pPr>
      <w:r>
        <w:t>Сумма начисленной амортизации по основным средствам за 12 месяцев 2018 года составила   3 400,2 тыс. руб. Корректировка начисленной амортизации по основным средствам за прошлый период составила 20,0 тыс. руб.</w:t>
      </w:r>
    </w:p>
    <w:p w14:paraId="8D0A0000">
      <w:pPr>
        <w:widowControl w:val="1"/>
        <w:spacing w:line="360" w:lineRule="auto"/>
        <w:ind w:firstLine="709"/>
        <w:contextualSpacing w:val="1"/>
        <w:jc w:val="both"/>
      </w:pPr>
      <w:r>
        <w:t xml:space="preserve">Выбыло 6 единиц основных средств (списано основных средств) на сумму 765,7 тыс. руб., из них 4 единицы на сумму 708,3 тыс. руб. с нулевой балансовой (остаточной) стоимостью. </w:t>
      </w:r>
    </w:p>
    <w:p w14:paraId="8E0A0000">
      <w:pPr>
        <w:widowControl w:val="1"/>
        <w:spacing w:line="360" w:lineRule="auto"/>
        <w:ind w:firstLine="709"/>
        <w:contextualSpacing w:val="1"/>
        <w:jc w:val="both"/>
      </w:pPr>
      <w:r>
        <w:t xml:space="preserve">Приобретены следующие объекты основных средств: </w:t>
      </w:r>
    </w:p>
    <w:p w14:paraId="8F0A0000">
      <w:pPr>
        <w:widowControl w:val="1"/>
        <w:spacing w:line="360" w:lineRule="auto"/>
        <w:ind w:firstLine="709"/>
        <w:contextualSpacing w:val="1"/>
        <w:jc w:val="both"/>
      </w:pPr>
      <w:r>
        <w:t>- МФУ Konica Minolta bizhub 368e - 1 шт. на сумму 285,9 тыс. руб.;</w:t>
      </w:r>
    </w:p>
    <w:p w14:paraId="900A0000">
      <w:pPr>
        <w:widowControl w:val="1"/>
        <w:spacing w:line="360" w:lineRule="auto"/>
        <w:ind w:firstLine="709"/>
        <w:contextualSpacing w:val="1"/>
        <w:jc w:val="both"/>
      </w:pPr>
      <w:r>
        <w:t>- Компьютерное рабочее место (системный блок, монитор, клавиатура, мышь) – 14 шт. на сумму 626,9 тыс. руб.;</w:t>
      </w:r>
    </w:p>
    <w:p w14:paraId="910A0000">
      <w:pPr>
        <w:pStyle w:val="Style_1"/>
        <w:widowControl w:val="1"/>
        <w:tabs>
          <w:tab w:leader="none" w:pos="360" w:val="left"/>
          <w:tab w:leader="none" w:pos="3600" w:val="left"/>
          <w:tab w:leader="none" w:pos="4677" w:val="clear"/>
          <w:tab w:leader="none" w:pos="4860" w:val="left"/>
          <w:tab w:leader="none" w:pos="7020" w:val="left"/>
          <w:tab w:leader="none" w:pos="8100" w:val="left"/>
          <w:tab w:leader="none" w:pos="9355" w:val="clear"/>
        </w:tabs>
        <w:spacing w:before="240" w:line="360" w:lineRule="auto"/>
        <w:ind w:firstLine="709"/>
        <w:contextualSpacing w:val="1"/>
        <w:jc w:val="both"/>
        <w:rPr>
          <w:sz w:val="24"/>
        </w:rPr>
      </w:pPr>
      <w:r>
        <w:rPr>
          <w:sz w:val="24"/>
        </w:rPr>
        <w:t>На 31.12.201</w:t>
      </w:r>
      <w:r>
        <w:rPr>
          <w:sz w:val="24"/>
        </w:rPr>
        <w:t>8</w:t>
      </w:r>
      <w:r>
        <w:rPr>
          <w:sz w:val="24"/>
        </w:rPr>
        <w:t xml:space="preserve"> года стоимость оборотных активов по разделу «Запасы» составляют сумму в размере </w:t>
      </w:r>
      <w:r>
        <w:rPr>
          <w:sz w:val="24"/>
        </w:rPr>
        <w:t>4 212</w:t>
      </w:r>
      <w:r>
        <w:rPr>
          <w:sz w:val="24"/>
        </w:rPr>
        <w:t xml:space="preserve">  тыс. руб., они представлены следующим образом:</w:t>
      </w:r>
    </w:p>
    <w:p w14:paraId="920A0000">
      <w:pPr>
        <w:widowControl w:val="1"/>
        <w:tabs>
          <w:tab w:leader="none" w:pos="851" w:val="left"/>
        </w:tabs>
        <w:spacing w:line="360" w:lineRule="auto"/>
        <w:ind w:firstLine="709"/>
        <w:contextualSpacing w:val="1"/>
        <w:jc w:val="right"/>
        <w:rPr>
          <w:b w:val="1"/>
        </w:rPr>
      </w:pPr>
      <w:r>
        <w:rPr>
          <w:b w:val="1"/>
        </w:rPr>
        <w:t>Таблица 5.</w:t>
      </w:r>
      <w:r>
        <w:rPr>
          <w:b w:val="1"/>
        </w:rPr>
        <w:t>14</w:t>
      </w:r>
      <w:r>
        <w:rPr>
          <w:b w:val="1"/>
        </w:rPr>
        <w:t>.</w:t>
      </w:r>
    </w:p>
    <w:p w14:paraId="930A0000">
      <w:pPr>
        <w:widowControl w:val="1"/>
        <w:tabs>
          <w:tab w:leader="none" w:pos="851" w:val="left"/>
        </w:tabs>
        <w:spacing w:line="360" w:lineRule="auto"/>
        <w:ind w:firstLine="709"/>
        <w:contextualSpacing w:val="1"/>
        <w:jc w:val="center"/>
        <w:rPr>
          <w:b w:val="1"/>
        </w:rPr>
      </w:pPr>
      <w:r>
        <w:rPr>
          <w:b w:val="1"/>
        </w:rPr>
        <w:t>Анализ запасов</w:t>
      </w:r>
    </w:p>
    <w:tbl>
      <w:tblPr>
        <w:tblStyle w:val="Style_4"/>
        <w:tblW w:type="auto" w:w="0"/>
        <w:tblLayout w:type="fixed"/>
      </w:tblPr>
      <w:tblGrid>
        <w:gridCol w:w="3553"/>
        <w:gridCol w:w="2078"/>
        <w:gridCol w:w="1936"/>
        <w:gridCol w:w="2072"/>
      </w:tblGrid>
      <w:tr>
        <w:trPr>
          <w:trHeight w:hRule="atLeast" w:val="1200"/>
          <w:tblHeader/>
        </w:trPr>
        <w:tc>
          <w:tcPr>
            <w:tcW w:type="dxa" w:w="3553"/>
            <w:tcBorders>
              <w:top w:color="000000" w:sz="4" w:val="single"/>
              <w:left w:color="000000" w:sz="4" w:val="single"/>
              <w:bottom w:color="000000" w:sz="4" w:val="single"/>
              <w:right w:color="000000" w:sz="4" w:val="single"/>
            </w:tcBorders>
            <w:shd w:fill="auto" w:val="clear"/>
            <w:vAlign w:val="center"/>
          </w:tcPr>
          <w:p w14:paraId="940A0000">
            <w:pPr>
              <w:widowControl w:val="1"/>
              <w:ind/>
              <w:jc w:val="center"/>
              <w:rPr>
                <w:b w:val="1"/>
                <w:color w:val="000000"/>
                <w:sz w:val="20"/>
              </w:rPr>
            </w:pPr>
            <w:r>
              <w:rPr>
                <w:b w:val="1"/>
                <w:color w:val="000000"/>
                <w:sz w:val="20"/>
              </w:rPr>
              <w:t>Наименование запасов</w:t>
            </w:r>
          </w:p>
        </w:tc>
        <w:tc>
          <w:tcPr>
            <w:tcW w:type="dxa" w:w="2078"/>
            <w:tcBorders>
              <w:top w:color="000000" w:sz="4" w:val="single"/>
              <w:left w:sz="4" w:val="nil"/>
              <w:bottom w:color="000000" w:sz="4" w:val="single"/>
              <w:right w:color="000000" w:sz="4" w:val="single"/>
            </w:tcBorders>
            <w:shd w:fill="auto" w:val="clear"/>
            <w:vAlign w:val="center"/>
          </w:tcPr>
          <w:p w14:paraId="950A0000">
            <w:pPr>
              <w:widowControl w:val="1"/>
              <w:ind/>
              <w:jc w:val="center"/>
              <w:rPr>
                <w:b w:val="1"/>
                <w:color w:val="000000"/>
                <w:sz w:val="20"/>
              </w:rPr>
            </w:pPr>
            <w:r>
              <w:rPr>
                <w:b w:val="1"/>
                <w:color w:val="000000"/>
                <w:sz w:val="20"/>
              </w:rPr>
              <w:t>На начало периода, тыс. руб.</w:t>
            </w:r>
          </w:p>
        </w:tc>
        <w:tc>
          <w:tcPr>
            <w:tcW w:type="dxa" w:w="1936"/>
            <w:tcBorders>
              <w:top w:color="000000" w:sz="4" w:val="single"/>
              <w:left w:sz="4" w:val="nil"/>
              <w:bottom w:color="000000" w:sz="4" w:val="single"/>
              <w:right w:color="000000" w:sz="4" w:val="single"/>
            </w:tcBorders>
            <w:shd w:fill="auto" w:val="clear"/>
            <w:vAlign w:val="center"/>
          </w:tcPr>
          <w:p w14:paraId="960A0000">
            <w:pPr>
              <w:widowControl w:val="1"/>
              <w:ind/>
              <w:jc w:val="center"/>
              <w:rPr>
                <w:b w:val="1"/>
                <w:color w:val="000000"/>
                <w:sz w:val="20"/>
              </w:rPr>
            </w:pPr>
            <w:r>
              <w:rPr>
                <w:b w:val="1"/>
                <w:color w:val="000000"/>
                <w:sz w:val="20"/>
              </w:rPr>
              <w:t>На конец периода, тыс. руб.</w:t>
            </w:r>
          </w:p>
        </w:tc>
        <w:tc>
          <w:tcPr>
            <w:tcW w:type="dxa" w:w="2072"/>
            <w:tcBorders>
              <w:top w:color="000000" w:sz="4" w:val="single"/>
              <w:left w:sz="4" w:val="nil"/>
              <w:bottom w:color="000000" w:sz="4" w:val="single"/>
              <w:right w:color="000000" w:sz="4" w:val="single"/>
            </w:tcBorders>
            <w:shd w:fill="auto" w:val="clear"/>
            <w:vAlign w:val="center"/>
          </w:tcPr>
          <w:p w14:paraId="970A0000">
            <w:pPr>
              <w:widowControl w:val="1"/>
              <w:ind/>
              <w:jc w:val="center"/>
              <w:rPr>
                <w:b w:val="1"/>
                <w:color w:val="000000"/>
                <w:sz w:val="20"/>
              </w:rPr>
            </w:pPr>
            <w:r>
              <w:rPr>
                <w:b w:val="1"/>
                <w:color w:val="000000"/>
                <w:sz w:val="20"/>
              </w:rPr>
              <w:t>Абсолютное отклонение, тыс. руб.</w:t>
            </w:r>
          </w:p>
        </w:tc>
      </w:tr>
      <w:tr>
        <w:trPr>
          <w:trHeight w:hRule="atLeast" w:val="377"/>
        </w:trPr>
        <w:tc>
          <w:tcPr>
            <w:tcW w:type="dxa" w:w="3553"/>
            <w:tcBorders>
              <w:top w:sz="4" w:val="nil"/>
              <w:left w:color="000000" w:sz="4" w:val="single"/>
              <w:bottom w:color="000000" w:sz="4" w:val="single"/>
              <w:right w:color="000000" w:sz="4" w:val="single"/>
            </w:tcBorders>
            <w:shd w:fill="auto" w:val="clear"/>
            <w:vAlign w:val="center"/>
          </w:tcPr>
          <w:p w14:paraId="980A0000">
            <w:pPr>
              <w:widowControl w:val="1"/>
              <w:ind/>
              <w:jc w:val="center"/>
              <w:rPr>
                <w:color w:val="000000"/>
                <w:sz w:val="22"/>
              </w:rPr>
            </w:pPr>
            <w:r>
              <w:rPr>
                <w:color w:val="000000"/>
                <w:sz w:val="22"/>
              </w:rPr>
              <w:t>Сырье и материалы (счет 10.1,5,6,9)</w:t>
            </w:r>
          </w:p>
        </w:tc>
        <w:tc>
          <w:tcPr>
            <w:tcW w:type="dxa" w:w="2078"/>
            <w:tcBorders>
              <w:top w:sz="4" w:val="nil"/>
              <w:left w:sz="4" w:val="nil"/>
              <w:bottom w:color="000000" w:sz="4" w:val="single"/>
              <w:right w:color="000000" w:sz="4" w:val="single"/>
            </w:tcBorders>
            <w:shd w:fill="auto" w:val="clear"/>
            <w:vAlign w:val="center"/>
          </w:tcPr>
          <w:p w14:paraId="990A0000">
            <w:pPr>
              <w:widowControl w:val="1"/>
              <w:ind/>
              <w:jc w:val="center"/>
              <w:rPr>
                <w:color w:val="000000"/>
              </w:rPr>
            </w:pPr>
            <w:r>
              <w:rPr>
                <w:color w:val="000000"/>
              </w:rPr>
              <w:t>1 624</w:t>
            </w:r>
          </w:p>
        </w:tc>
        <w:tc>
          <w:tcPr>
            <w:tcW w:type="dxa" w:w="1936"/>
            <w:tcBorders>
              <w:top w:sz="4" w:val="nil"/>
              <w:left w:sz="4" w:val="nil"/>
              <w:bottom w:color="000000" w:sz="4" w:val="single"/>
              <w:right w:color="000000" w:sz="4" w:val="single"/>
            </w:tcBorders>
            <w:shd w:fill="auto" w:val="clear"/>
            <w:vAlign w:val="center"/>
          </w:tcPr>
          <w:p w14:paraId="9A0A0000">
            <w:pPr>
              <w:widowControl w:val="1"/>
              <w:ind/>
              <w:jc w:val="center"/>
              <w:rPr>
                <w:color w:val="000000"/>
              </w:rPr>
            </w:pPr>
            <w:r>
              <w:rPr>
                <w:color w:val="000000"/>
              </w:rPr>
              <w:t>1 711</w:t>
            </w:r>
          </w:p>
        </w:tc>
        <w:tc>
          <w:tcPr>
            <w:tcW w:type="dxa" w:w="2072"/>
            <w:tcBorders>
              <w:top w:sz="4" w:val="nil"/>
              <w:left w:sz="4" w:val="nil"/>
              <w:bottom w:color="000000" w:sz="4" w:val="single"/>
              <w:right w:color="000000" w:sz="4" w:val="single"/>
            </w:tcBorders>
            <w:shd w:fill="auto" w:val="clear"/>
            <w:vAlign w:val="center"/>
          </w:tcPr>
          <w:p w14:paraId="9B0A0000">
            <w:pPr>
              <w:widowControl w:val="1"/>
              <w:ind/>
              <w:jc w:val="center"/>
              <w:rPr>
                <w:color w:val="000000"/>
              </w:rPr>
            </w:pPr>
            <w:r>
              <w:rPr>
                <w:color w:val="000000"/>
              </w:rPr>
              <w:t>87</w:t>
            </w:r>
          </w:p>
        </w:tc>
      </w:tr>
      <w:tr>
        <w:trPr>
          <w:trHeight w:hRule="atLeast" w:val="438"/>
        </w:trPr>
        <w:tc>
          <w:tcPr>
            <w:tcW w:type="dxa" w:w="3553"/>
            <w:tcBorders>
              <w:top w:color="000000" w:sz="4" w:val="single"/>
              <w:left w:color="000000" w:sz="4" w:val="single"/>
              <w:bottom w:color="000000" w:sz="4" w:val="single"/>
              <w:right w:color="000000" w:sz="4" w:val="single"/>
            </w:tcBorders>
            <w:shd w:fill="auto" w:val="clear"/>
            <w:vAlign w:val="center"/>
          </w:tcPr>
          <w:p w14:paraId="9C0A0000">
            <w:pPr>
              <w:widowControl w:val="1"/>
              <w:ind/>
              <w:jc w:val="center"/>
              <w:rPr>
                <w:color w:val="000000"/>
                <w:sz w:val="22"/>
              </w:rPr>
            </w:pPr>
            <w:r>
              <w:rPr>
                <w:color w:val="000000"/>
                <w:sz w:val="22"/>
              </w:rPr>
              <w:t>Топливо (счет 10.3)</w:t>
            </w:r>
          </w:p>
        </w:tc>
        <w:tc>
          <w:tcPr>
            <w:tcW w:type="dxa" w:w="2078"/>
            <w:tcBorders>
              <w:top w:color="000000" w:sz="4" w:val="single"/>
              <w:left w:sz="4" w:val="nil"/>
              <w:bottom w:color="000000" w:sz="4" w:val="single"/>
              <w:right w:color="000000" w:sz="4" w:val="single"/>
            </w:tcBorders>
            <w:shd w:fill="auto" w:val="clear"/>
            <w:vAlign w:val="center"/>
          </w:tcPr>
          <w:p w14:paraId="9D0A0000">
            <w:pPr>
              <w:widowControl w:val="1"/>
              <w:ind/>
              <w:jc w:val="center"/>
              <w:rPr>
                <w:color w:val="000000"/>
              </w:rPr>
            </w:pPr>
            <w:r>
              <w:rPr>
                <w:color w:val="000000"/>
              </w:rPr>
              <w:t>289</w:t>
            </w:r>
          </w:p>
        </w:tc>
        <w:tc>
          <w:tcPr>
            <w:tcW w:type="dxa" w:w="1936"/>
            <w:tcBorders>
              <w:top w:color="000000" w:sz="4" w:val="single"/>
              <w:left w:sz="4" w:val="nil"/>
              <w:bottom w:color="000000" w:sz="4" w:val="single"/>
              <w:right w:color="000000" w:sz="4" w:val="single"/>
            </w:tcBorders>
            <w:shd w:fill="auto" w:val="clear"/>
            <w:vAlign w:val="center"/>
          </w:tcPr>
          <w:p w14:paraId="9E0A0000">
            <w:pPr>
              <w:widowControl w:val="1"/>
              <w:ind/>
              <w:jc w:val="center"/>
              <w:rPr>
                <w:color w:val="000000"/>
              </w:rPr>
            </w:pPr>
            <w:r>
              <w:rPr>
                <w:color w:val="000000"/>
              </w:rPr>
              <w:t>394</w:t>
            </w:r>
          </w:p>
        </w:tc>
        <w:tc>
          <w:tcPr>
            <w:tcW w:type="dxa" w:w="2072"/>
            <w:tcBorders>
              <w:top w:color="000000" w:sz="4" w:val="single"/>
              <w:left w:sz="4" w:val="nil"/>
              <w:bottom w:color="000000" w:sz="4" w:val="single"/>
              <w:right w:color="000000" w:sz="4" w:val="single"/>
            </w:tcBorders>
            <w:shd w:fill="auto" w:val="clear"/>
            <w:vAlign w:val="center"/>
          </w:tcPr>
          <w:p w14:paraId="9F0A0000">
            <w:pPr>
              <w:widowControl w:val="1"/>
              <w:ind/>
              <w:jc w:val="center"/>
              <w:rPr>
                <w:color w:val="000000"/>
              </w:rPr>
            </w:pPr>
            <w:r>
              <w:rPr>
                <w:color w:val="000000"/>
              </w:rPr>
              <w:t>105</w:t>
            </w:r>
          </w:p>
        </w:tc>
      </w:tr>
      <w:tr>
        <w:trPr>
          <w:trHeight w:hRule="atLeast" w:val="488"/>
        </w:trPr>
        <w:tc>
          <w:tcPr>
            <w:tcW w:type="dxa" w:w="3553"/>
            <w:tcBorders>
              <w:top w:color="000000" w:sz="4" w:val="single"/>
              <w:left w:color="000000" w:sz="4" w:val="single"/>
              <w:bottom w:color="000000" w:sz="4" w:val="single"/>
              <w:right w:color="000000" w:sz="4" w:val="single"/>
            </w:tcBorders>
            <w:shd w:fill="auto" w:val="clear"/>
            <w:vAlign w:val="center"/>
          </w:tcPr>
          <w:p w14:paraId="A00A0000">
            <w:pPr>
              <w:widowControl w:val="1"/>
              <w:ind/>
              <w:jc w:val="center"/>
              <w:rPr>
                <w:color w:val="000000"/>
                <w:sz w:val="22"/>
              </w:rPr>
            </w:pPr>
            <w:r>
              <w:rPr>
                <w:color w:val="000000"/>
                <w:sz w:val="22"/>
              </w:rPr>
              <w:t>Тара и тарные материалы (счет 10.4)</w:t>
            </w:r>
          </w:p>
        </w:tc>
        <w:tc>
          <w:tcPr>
            <w:tcW w:type="dxa" w:w="2078"/>
            <w:tcBorders>
              <w:top w:color="000000" w:sz="4" w:val="single"/>
              <w:left w:sz="4" w:val="nil"/>
              <w:bottom w:color="000000" w:sz="4" w:val="single"/>
              <w:right w:color="000000" w:sz="4" w:val="single"/>
            </w:tcBorders>
            <w:shd w:fill="auto" w:val="clear"/>
            <w:vAlign w:val="center"/>
          </w:tcPr>
          <w:p w14:paraId="A10A0000">
            <w:pPr>
              <w:widowControl w:val="1"/>
              <w:ind/>
              <w:jc w:val="center"/>
              <w:rPr>
                <w:color w:val="000000"/>
              </w:rPr>
            </w:pPr>
            <w:r>
              <w:rPr>
                <w:color w:val="000000"/>
              </w:rPr>
              <w:t>8</w:t>
            </w:r>
          </w:p>
        </w:tc>
        <w:tc>
          <w:tcPr>
            <w:tcW w:type="dxa" w:w="1936"/>
            <w:tcBorders>
              <w:top w:color="000000" w:sz="4" w:val="single"/>
              <w:left w:sz="4" w:val="nil"/>
              <w:bottom w:color="000000" w:sz="4" w:val="single"/>
              <w:right w:color="000000" w:sz="4" w:val="single"/>
            </w:tcBorders>
            <w:shd w:fill="auto" w:val="clear"/>
            <w:vAlign w:val="center"/>
          </w:tcPr>
          <w:p w14:paraId="A20A0000">
            <w:pPr>
              <w:widowControl w:val="1"/>
              <w:ind/>
              <w:jc w:val="center"/>
              <w:rPr>
                <w:color w:val="000000"/>
              </w:rPr>
            </w:pPr>
            <w:r>
              <w:rPr>
                <w:color w:val="000000"/>
              </w:rPr>
              <w:t>8</w:t>
            </w:r>
          </w:p>
        </w:tc>
        <w:tc>
          <w:tcPr>
            <w:tcW w:type="dxa" w:w="2072"/>
            <w:tcBorders>
              <w:top w:color="000000" w:sz="4" w:val="single"/>
              <w:left w:sz="4" w:val="nil"/>
              <w:bottom w:color="000000" w:sz="4" w:val="single"/>
              <w:right w:color="000000" w:sz="4" w:val="single"/>
            </w:tcBorders>
            <w:shd w:fill="auto" w:val="clear"/>
            <w:vAlign w:val="center"/>
          </w:tcPr>
          <w:p w14:paraId="A30A0000">
            <w:pPr>
              <w:widowControl w:val="1"/>
              <w:ind/>
              <w:jc w:val="center"/>
              <w:rPr>
                <w:color w:val="000000"/>
              </w:rPr>
            </w:pPr>
            <w:r>
              <w:rPr>
                <w:color w:val="000000"/>
              </w:rPr>
              <w:t>0</w:t>
            </w:r>
          </w:p>
        </w:tc>
      </w:tr>
      <w:tr>
        <w:trPr>
          <w:trHeight w:hRule="atLeast" w:val="315"/>
        </w:trPr>
        <w:tc>
          <w:tcPr>
            <w:tcW w:type="dxa" w:w="3553"/>
            <w:tcBorders>
              <w:top w:sz="4" w:val="nil"/>
              <w:left w:color="000000" w:sz="4" w:val="single"/>
              <w:bottom w:color="000000" w:sz="4" w:val="single"/>
              <w:right w:color="000000" w:sz="4" w:val="single"/>
            </w:tcBorders>
            <w:shd w:fill="auto" w:val="clear"/>
            <w:vAlign w:val="center"/>
          </w:tcPr>
          <w:p w14:paraId="A40A0000">
            <w:pPr>
              <w:widowControl w:val="1"/>
              <w:ind/>
              <w:jc w:val="center"/>
              <w:rPr>
                <w:color w:val="000000"/>
                <w:sz w:val="22"/>
              </w:rPr>
            </w:pPr>
            <w:r>
              <w:rPr>
                <w:color w:val="000000"/>
                <w:sz w:val="22"/>
              </w:rPr>
              <w:t>Спец.одежда на складе и в эксплуатации (счет 10.10, 10.11)</w:t>
            </w:r>
          </w:p>
        </w:tc>
        <w:tc>
          <w:tcPr>
            <w:tcW w:type="dxa" w:w="2078"/>
            <w:tcBorders>
              <w:top w:sz="4" w:val="nil"/>
              <w:left w:sz="4" w:val="nil"/>
              <w:bottom w:color="000000" w:sz="4" w:val="single"/>
              <w:right w:color="000000" w:sz="4" w:val="single"/>
            </w:tcBorders>
            <w:shd w:fill="auto" w:val="clear"/>
            <w:vAlign w:val="center"/>
          </w:tcPr>
          <w:p w14:paraId="A50A0000">
            <w:pPr>
              <w:widowControl w:val="1"/>
              <w:ind/>
              <w:jc w:val="center"/>
              <w:rPr>
                <w:color w:val="000000"/>
              </w:rPr>
            </w:pPr>
            <w:r>
              <w:rPr>
                <w:color w:val="000000"/>
              </w:rPr>
              <w:t>2 247</w:t>
            </w:r>
          </w:p>
        </w:tc>
        <w:tc>
          <w:tcPr>
            <w:tcW w:type="dxa" w:w="1936"/>
            <w:tcBorders>
              <w:top w:sz="4" w:val="nil"/>
              <w:left w:sz="4" w:val="nil"/>
              <w:bottom w:color="000000" w:sz="4" w:val="single"/>
              <w:right w:color="000000" w:sz="4" w:val="single"/>
            </w:tcBorders>
            <w:shd w:fill="auto" w:val="clear"/>
            <w:vAlign w:val="center"/>
          </w:tcPr>
          <w:p w14:paraId="A60A0000">
            <w:pPr>
              <w:widowControl w:val="1"/>
              <w:ind/>
              <w:jc w:val="center"/>
              <w:rPr>
                <w:color w:val="000000"/>
              </w:rPr>
            </w:pPr>
            <w:r>
              <w:rPr>
                <w:color w:val="000000"/>
              </w:rPr>
              <w:t>2 098</w:t>
            </w:r>
          </w:p>
        </w:tc>
        <w:tc>
          <w:tcPr>
            <w:tcW w:type="dxa" w:w="2072"/>
            <w:tcBorders>
              <w:top w:sz="4" w:val="nil"/>
              <w:left w:sz="4" w:val="nil"/>
              <w:bottom w:color="000000" w:sz="4" w:val="single"/>
              <w:right w:color="000000" w:sz="4" w:val="single"/>
            </w:tcBorders>
            <w:shd w:fill="auto" w:val="clear"/>
            <w:vAlign w:val="center"/>
          </w:tcPr>
          <w:p w14:paraId="A70A0000">
            <w:pPr>
              <w:widowControl w:val="1"/>
              <w:ind/>
              <w:jc w:val="center"/>
              <w:rPr>
                <w:color w:val="000000"/>
              </w:rPr>
            </w:pPr>
            <w:r>
              <w:rPr>
                <w:color w:val="000000"/>
              </w:rPr>
              <w:t>-149</w:t>
            </w:r>
          </w:p>
        </w:tc>
      </w:tr>
      <w:tr>
        <w:trPr>
          <w:trHeight w:hRule="atLeast" w:val="315"/>
        </w:trPr>
        <w:tc>
          <w:tcPr>
            <w:tcW w:type="dxa" w:w="3553"/>
            <w:tcBorders>
              <w:top w:sz="4" w:val="nil"/>
              <w:left w:color="000000" w:sz="4" w:val="single"/>
              <w:bottom w:color="000000" w:sz="4" w:val="single"/>
              <w:right w:color="000000" w:sz="4" w:val="single"/>
            </w:tcBorders>
            <w:shd w:fill="auto" w:val="clear"/>
            <w:vAlign w:val="center"/>
          </w:tcPr>
          <w:p w14:paraId="A80A0000">
            <w:pPr>
              <w:widowControl w:val="1"/>
              <w:ind/>
              <w:jc w:val="center"/>
              <w:rPr>
                <w:b w:val="1"/>
                <w:color w:val="000000"/>
                <w:sz w:val="22"/>
              </w:rPr>
            </w:pPr>
            <w:r>
              <w:rPr>
                <w:b w:val="1"/>
                <w:color w:val="000000"/>
                <w:sz w:val="22"/>
              </w:rPr>
              <w:t>ИТОГО МАТЕРИАЛЫ</w:t>
            </w:r>
          </w:p>
        </w:tc>
        <w:tc>
          <w:tcPr>
            <w:tcW w:type="dxa" w:w="2078"/>
            <w:tcBorders>
              <w:top w:sz="4" w:val="nil"/>
              <w:left w:sz="4" w:val="nil"/>
              <w:bottom w:color="000000" w:sz="4" w:val="single"/>
              <w:right w:color="000000" w:sz="4" w:val="single"/>
            </w:tcBorders>
            <w:shd w:fill="auto" w:val="clear"/>
            <w:vAlign w:val="center"/>
          </w:tcPr>
          <w:p w14:paraId="A90A0000">
            <w:pPr>
              <w:widowControl w:val="1"/>
              <w:ind/>
              <w:jc w:val="center"/>
              <w:rPr>
                <w:b w:val="1"/>
                <w:color w:val="000000"/>
              </w:rPr>
            </w:pPr>
            <w:r>
              <w:rPr>
                <w:b w:val="1"/>
                <w:color w:val="000000"/>
              </w:rPr>
              <w:t>4 168</w:t>
            </w:r>
          </w:p>
        </w:tc>
        <w:tc>
          <w:tcPr>
            <w:tcW w:type="dxa" w:w="1936"/>
            <w:tcBorders>
              <w:top w:sz="4" w:val="nil"/>
              <w:left w:sz="4" w:val="nil"/>
              <w:bottom w:color="000000" w:sz="4" w:val="single"/>
              <w:right w:color="000000" w:sz="4" w:val="single"/>
            </w:tcBorders>
            <w:shd w:fill="auto" w:val="clear"/>
            <w:vAlign w:val="center"/>
          </w:tcPr>
          <w:p w14:paraId="AA0A0000">
            <w:pPr>
              <w:widowControl w:val="1"/>
              <w:ind/>
              <w:jc w:val="center"/>
              <w:rPr>
                <w:b w:val="1"/>
                <w:color w:val="000000"/>
              </w:rPr>
            </w:pPr>
            <w:r>
              <w:rPr>
                <w:b w:val="1"/>
                <w:color w:val="000000"/>
              </w:rPr>
              <w:t>4 211</w:t>
            </w:r>
          </w:p>
        </w:tc>
        <w:tc>
          <w:tcPr>
            <w:tcW w:type="dxa" w:w="2072"/>
            <w:tcBorders>
              <w:top w:sz="4" w:val="nil"/>
              <w:left w:sz="4" w:val="nil"/>
              <w:bottom w:color="000000" w:sz="4" w:val="single"/>
              <w:right w:color="000000" w:sz="4" w:val="single"/>
            </w:tcBorders>
            <w:shd w:fill="auto" w:val="clear"/>
            <w:vAlign w:val="center"/>
          </w:tcPr>
          <w:p w14:paraId="AB0A0000">
            <w:pPr>
              <w:widowControl w:val="1"/>
              <w:ind/>
              <w:jc w:val="center"/>
              <w:rPr>
                <w:b w:val="1"/>
                <w:color w:val="000000"/>
              </w:rPr>
            </w:pPr>
            <w:r>
              <w:rPr>
                <w:b w:val="1"/>
                <w:color w:val="000000"/>
              </w:rPr>
              <w:t>43</w:t>
            </w:r>
          </w:p>
        </w:tc>
      </w:tr>
      <w:tr>
        <w:trPr>
          <w:trHeight w:hRule="atLeast" w:val="495"/>
        </w:trPr>
        <w:tc>
          <w:tcPr>
            <w:tcW w:type="dxa" w:w="3553"/>
            <w:tcBorders>
              <w:top w:sz="4" w:val="nil"/>
              <w:left w:color="000000" w:sz="4" w:val="single"/>
              <w:bottom w:color="000000" w:sz="4" w:val="single"/>
              <w:right w:color="000000" w:sz="4" w:val="single"/>
            </w:tcBorders>
            <w:shd w:fill="auto" w:val="clear"/>
            <w:vAlign w:val="center"/>
          </w:tcPr>
          <w:p w14:paraId="AC0A0000">
            <w:pPr>
              <w:widowControl w:val="1"/>
              <w:ind/>
              <w:jc w:val="center"/>
              <w:rPr>
                <w:color w:val="000000"/>
                <w:sz w:val="22"/>
              </w:rPr>
            </w:pPr>
            <w:r>
              <w:rPr>
                <w:color w:val="000000"/>
                <w:sz w:val="22"/>
              </w:rPr>
              <w:t>Товары в розничной торговле</w:t>
            </w:r>
          </w:p>
        </w:tc>
        <w:tc>
          <w:tcPr>
            <w:tcW w:type="dxa" w:w="2078"/>
            <w:tcBorders>
              <w:top w:sz="4" w:val="nil"/>
              <w:left w:sz="4" w:val="nil"/>
              <w:bottom w:color="000000" w:sz="4" w:val="single"/>
              <w:right w:color="000000" w:sz="4" w:val="single"/>
            </w:tcBorders>
            <w:shd w:fill="auto" w:val="clear"/>
            <w:vAlign w:val="center"/>
          </w:tcPr>
          <w:p w14:paraId="AD0A0000">
            <w:pPr>
              <w:widowControl w:val="1"/>
              <w:ind/>
              <w:jc w:val="center"/>
              <w:rPr>
                <w:color w:val="000000"/>
              </w:rPr>
            </w:pPr>
            <w:r>
              <w:rPr>
                <w:color w:val="000000"/>
              </w:rPr>
              <w:t>2</w:t>
            </w:r>
          </w:p>
        </w:tc>
        <w:tc>
          <w:tcPr>
            <w:tcW w:type="dxa" w:w="1936"/>
            <w:tcBorders>
              <w:top w:sz="4" w:val="nil"/>
              <w:left w:sz="4" w:val="nil"/>
              <w:bottom w:color="000000" w:sz="4" w:val="single"/>
              <w:right w:color="000000" w:sz="4" w:val="single"/>
            </w:tcBorders>
            <w:shd w:fill="auto" w:val="clear"/>
            <w:vAlign w:val="center"/>
          </w:tcPr>
          <w:p w14:paraId="AE0A0000">
            <w:pPr>
              <w:widowControl w:val="1"/>
              <w:ind/>
              <w:jc w:val="center"/>
              <w:rPr>
                <w:color w:val="000000"/>
              </w:rPr>
            </w:pPr>
            <w:r>
              <w:rPr>
                <w:color w:val="000000"/>
              </w:rPr>
              <w:t>0</w:t>
            </w:r>
          </w:p>
        </w:tc>
        <w:tc>
          <w:tcPr>
            <w:tcW w:type="dxa" w:w="2072"/>
            <w:tcBorders>
              <w:top w:sz="4" w:val="nil"/>
              <w:left w:sz="4" w:val="nil"/>
              <w:bottom w:color="000000" w:sz="4" w:val="single"/>
              <w:right w:color="000000" w:sz="4" w:val="single"/>
            </w:tcBorders>
            <w:shd w:fill="auto" w:val="clear"/>
            <w:vAlign w:val="center"/>
          </w:tcPr>
          <w:p w14:paraId="AF0A0000">
            <w:pPr>
              <w:widowControl w:val="1"/>
              <w:ind/>
              <w:jc w:val="center"/>
              <w:rPr>
                <w:color w:val="000000"/>
              </w:rPr>
            </w:pPr>
            <w:r>
              <w:rPr>
                <w:color w:val="000000"/>
              </w:rPr>
              <w:t>-2</w:t>
            </w:r>
          </w:p>
        </w:tc>
      </w:tr>
      <w:tr>
        <w:trPr>
          <w:trHeight w:hRule="atLeast" w:val="315"/>
        </w:trPr>
        <w:tc>
          <w:tcPr>
            <w:tcW w:type="dxa" w:w="3553"/>
            <w:tcBorders>
              <w:top w:color="000000" w:sz="4" w:val="single"/>
              <w:left w:color="000000" w:sz="4" w:val="single"/>
              <w:bottom w:color="000000" w:sz="4" w:val="single"/>
              <w:right w:color="000000" w:sz="4" w:val="single"/>
            </w:tcBorders>
            <w:shd w:fill="auto" w:val="clear"/>
            <w:vAlign w:val="center"/>
          </w:tcPr>
          <w:p w14:paraId="B00A0000">
            <w:pPr>
              <w:widowControl w:val="1"/>
              <w:ind/>
              <w:jc w:val="center"/>
              <w:rPr>
                <w:color w:val="000000"/>
                <w:sz w:val="22"/>
              </w:rPr>
            </w:pPr>
            <w:r>
              <w:rPr>
                <w:color w:val="000000"/>
                <w:sz w:val="22"/>
              </w:rPr>
              <w:t>Готовая продукция (расписания)</w:t>
            </w:r>
          </w:p>
        </w:tc>
        <w:tc>
          <w:tcPr>
            <w:tcW w:type="dxa" w:w="2078"/>
            <w:tcBorders>
              <w:top w:color="000000" w:sz="4" w:val="single"/>
              <w:left w:sz="4" w:val="nil"/>
              <w:bottom w:color="000000" w:sz="4" w:val="single"/>
              <w:right w:color="000000" w:sz="4" w:val="single"/>
            </w:tcBorders>
            <w:shd w:fill="auto" w:val="clear"/>
            <w:vAlign w:val="center"/>
          </w:tcPr>
          <w:p w14:paraId="B10A0000">
            <w:pPr>
              <w:widowControl w:val="1"/>
              <w:ind/>
              <w:jc w:val="center"/>
              <w:rPr>
                <w:color w:val="000000"/>
              </w:rPr>
            </w:pPr>
            <w:r>
              <w:rPr>
                <w:color w:val="000000"/>
              </w:rPr>
              <w:t>1</w:t>
            </w:r>
          </w:p>
        </w:tc>
        <w:tc>
          <w:tcPr>
            <w:tcW w:type="dxa" w:w="1936"/>
            <w:tcBorders>
              <w:top w:color="000000" w:sz="4" w:val="single"/>
              <w:left w:sz="4" w:val="nil"/>
              <w:bottom w:color="000000" w:sz="4" w:val="single"/>
              <w:right w:color="000000" w:sz="4" w:val="single"/>
            </w:tcBorders>
            <w:shd w:fill="auto" w:val="clear"/>
            <w:vAlign w:val="center"/>
          </w:tcPr>
          <w:p w14:paraId="B20A0000">
            <w:pPr>
              <w:widowControl w:val="1"/>
              <w:ind/>
              <w:jc w:val="center"/>
              <w:rPr>
                <w:color w:val="000000"/>
              </w:rPr>
            </w:pPr>
            <w:r>
              <w:rPr>
                <w:color w:val="000000"/>
              </w:rPr>
              <w:t>1</w:t>
            </w:r>
          </w:p>
        </w:tc>
        <w:tc>
          <w:tcPr>
            <w:tcW w:type="dxa" w:w="2072"/>
            <w:tcBorders>
              <w:top w:color="000000" w:sz="4" w:val="single"/>
              <w:left w:sz="4" w:val="nil"/>
              <w:bottom w:color="000000" w:sz="4" w:val="single"/>
              <w:right w:color="000000" w:sz="4" w:val="single"/>
            </w:tcBorders>
            <w:shd w:fill="auto" w:val="clear"/>
            <w:vAlign w:val="center"/>
          </w:tcPr>
          <w:p w14:paraId="B30A0000">
            <w:pPr>
              <w:widowControl w:val="1"/>
              <w:ind/>
              <w:jc w:val="center"/>
              <w:rPr>
                <w:color w:val="000000"/>
              </w:rPr>
            </w:pPr>
            <w:r>
              <w:rPr>
                <w:color w:val="000000"/>
              </w:rPr>
              <w:t>0</w:t>
            </w:r>
          </w:p>
        </w:tc>
      </w:tr>
      <w:tr>
        <w:trPr>
          <w:trHeight w:hRule="atLeast" w:val="315"/>
        </w:trPr>
        <w:tc>
          <w:tcPr>
            <w:tcW w:type="dxa" w:w="3553"/>
            <w:tcBorders>
              <w:top w:color="000000" w:sz="4" w:val="single"/>
              <w:left w:color="000000" w:sz="4" w:val="single"/>
              <w:bottom w:color="000000" w:sz="4" w:val="single"/>
              <w:right w:color="000000" w:sz="4" w:val="single"/>
            </w:tcBorders>
            <w:shd w:fill="auto" w:val="clear"/>
            <w:vAlign w:val="center"/>
          </w:tcPr>
          <w:p w14:paraId="B40A0000">
            <w:pPr>
              <w:widowControl w:val="1"/>
              <w:ind/>
              <w:jc w:val="center"/>
              <w:rPr>
                <w:b w:val="1"/>
                <w:color w:val="000000"/>
              </w:rPr>
            </w:pPr>
            <w:r>
              <w:rPr>
                <w:b w:val="1"/>
                <w:color w:val="000000"/>
              </w:rPr>
              <w:t>ВСЕГО</w:t>
            </w:r>
          </w:p>
        </w:tc>
        <w:tc>
          <w:tcPr>
            <w:tcW w:type="dxa" w:w="2078"/>
            <w:tcBorders>
              <w:top w:color="000000" w:sz="4" w:val="single"/>
              <w:left w:sz="4" w:val="nil"/>
              <w:bottom w:color="000000" w:sz="4" w:val="single"/>
              <w:right w:color="000000" w:sz="4" w:val="single"/>
            </w:tcBorders>
            <w:shd w:fill="auto" w:val="clear"/>
            <w:vAlign w:val="center"/>
          </w:tcPr>
          <w:p w14:paraId="B50A0000">
            <w:pPr>
              <w:widowControl w:val="1"/>
              <w:ind/>
              <w:jc w:val="center"/>
              <w:rPr>
                <w:b w:val="1"/>
                <w:color w:val="000000"/>
              </w:rPr>
            </w:pPr>
            <w:r>
              <w:rPr>
                <w:b w:val="1"/>
                <w:color w:val="000000"/>
              </w:rPr>
              <w:t>4 171</w:t>
            </w:r>
          </w:p>
        </w:tc>
        <w:tc>
          <w:tcPr>
            <w:tcW w:type="dxa" w:w="1936"/>
            <w:tcBorders>
              <w:top w:color="000000" w:sz="4" w:val="single"/>
              <w:left w:sz="4" w:val="nil"/>
              <w:bottom w:color="000000" w:sz="4" w:val="single"/>
              <w:right w:color="000000" w:sz="4" w:val="single"/>
            </w:tcBorders>
            <w:shd w:fill="auto" w:val="clear"/>
            <w:vAlign w:val="center"/>
          </w:tcPr>
          <w:p w14:paraId="B60A0000">
            <w:pPr>
              <w:widowControl w:val="1"/>
              <w:ind/>
              <w:jc w:val="center"/>
              <w:rPr>
                <w:b w:val="1"/>
                <w:color w:val="000000"/>
              </w:rPr>
            </w:pPr>
            <w:r>
              <w:rPr>
                <w:b w:val="1"/>
                <w:color w:val="000000"/>
              </w:rPr>
              <w:t>4 212</w:t>
            </w:r>
          </w:p>
        </w:tc>
        <w:tc>
          <w:tcPr>
            <w:tcW w:type="dxa" w:w="2072"/>
            <w:tcBorders>
              <w:top w:color="000000" w:sz="4" w:val="single"/>
              <w:left w:sz="4" w:val="nil"/>
              <w:bottom w:color="000000" w:sz="4" w:val="single"/>
              <w:right w:color="000000" w:sz="4" w:val="single"/>
            </w:tcBorders>
            <w:shd w:fill="auto" w:val="clear"/>
            <w:vAlign w:val="center"/>
          </w:tcPr>
          <w:p w14:paraId="B70A0000">
            <w:pPr>
              <w:widowControl w:val="1"/>
              <w:ind/>
              <w:jc w:val="center"/>
              <w:rPr>
                <w:b w:val="1"/>
                <w:color w:val="000000"/>
              </w:rPr>
            </w:pPr>
            <w:r>
              <w:rPr>
                <w:b w:val="1"/>
                <w:color w:val="000000"/>
              </w:rPr>
              <w:t>41</w:t>
            </w:r>
          </w:p>
        </w:tc>
      </w:tr>
    </w:tbl>
    <w:p w14:paraId="B80A0000">
      <w:pPr>
        <w:widowControl w:val="1"/>
        <w:tabs>
          <w:tab w:leader="none" w:pos="851" w:val="left"/>
        </w:tabs>
        <w:spacing w:line="360" w:lineRule="auto"/>
        <w:ind w:firstLine="709"/>
        <w:contextualSpacing w:val="1"/>
        <w:jc w:val="center"/>
        <w:rPr>
          <w:b w:val="1"/>
        </w:rPr>
      </w:pPr>
    </w:p>
    <w:p w14:paraId="B90A0000">
      <w:pPr>
        <w:widowControl w:val="1"/>
        <w:tabs>
          <w:tab w:leader="none" w:pos="851" w:val="left"/>
        </w:tabs>
        <w:spacing w:line="360" w:lineRule="auto"/>
        <w:ind w:firstLine="709"/>
        <w:contextualSpacing w:val="1"/>
        <w:jc w:val="both"/>
      </w:pPr>
      <w:r>
        <w:tab/>
      </w:r>
      <w:r>
        <w:t xml:space="preserve">Общая стоимость запасов за отчетный период увеличилась на </w:t>
      </w:r>
      <w:r>
        <w:t>0,98</w:t>
      </w:r>
      <w:r>
        <w:t xml:space="preserve"> % и на конец отчетного периода составила 4 212 тыс. руб. Основную долю запасов составляют «сырье и материалы, инвентарь и принадлежности» и «спец. одежда на складе и в эксплуатации». Увеличение запасов по группе «сырье и материалы, инвентарь и принадлежности» произошло за счет закупки комплектующих к орг. технике, картриджей и прочих материалов, которые будут использованы в 2019 году. Снижение стоимости по группе «спец. одежда на складе и в эксплуатации» произошло за счет списания изношенной и пришедшей в негодность одежды, и одежды с истекшим сроком эксплуатации, т.к. в 2018 году произошло частичное обновление форменной одежды кассирам (билетным), кассирам (билетным разъездным) и спец. одежды мойщикам-уборщикам подвижного состава.  Учитывая фактический рост цен на топливо, в отчетном периоде произведена закупка определенного объема ГСМ, что позволило зафиксировать его цену и обеспечить недопущение роста расходов Общества, но привело к росту остатков на конец анализируемого периода по группе запасов «топливо». Увеличение стоимости запасов на конец отчетного периода в общей стоимости составило 41 тыс. руб.</w:t>
      </w:r>
    </w:p>
    <w:p w14:paraId="BA0A0000">
      <w:pPr>
        <w:widowControl w:val="1"/>
        <w:tabs>
          <w:tab w:leader="none" w:pos="851" w:val="left"/>
        </w:tabs>
        <w:ind w:firstLine="709"/>
        <w:contextualSpacing w:val="1"/>
        <w:jc w:val="both"/>
      </w:pPr>
      <w:r>
        <w:tab/>
      </w:r>
    </w:p>
    <w:p w14:paraId="BB0A0000">
      <w:pPr>
        <w:widowControl w:val="1"/>
        <w:tabs>
          <w:tab w:leader="none" w:pos="851" w:val="left"/>
        </w:tabs>
        <w:spacing w:line="360" w:lineRule="auto"/>
        <w:ind w:firstLine="709"/>
        <w:contextualSpacing w:val="1"/>
        <w:jc w:val="both"/>
      </w:pPr>
      <w:r>
        <w:tab/>
      </w:r>
      <w:r>
        <w:rPr>
          <w:b w:val="1"/>
        </w:rPr>
        <w:t>Анализ дебиторской задолженности</w:t>
      </w:r>
      <w:r>
        <w:t>.</w:t>
      </w:r>
    </w:p>
    <w:p w14:paraId="BC0A0000">
      <w:pPr>
        <w:widowControl w:val="1"/>
        <w:tabs>
          <w:tab w:leader="none" w:pos="851" w:val="left"/>
        </w:tabs>
        <w:spacing w:line="360" w:lineRule="auto"/>
        <w:ind w:firstLine="709"/>
        <w:contextualSpacing w:val="1"/>
        <w:jc w:val="both"/>
      </w:pPr>
      <w:r>
        <w:tab/>
      </w:r>
      <w:r>
        <w:t>Дебиторская задолженность по состоянию на 01 января 2018 года составила 64 617 тыс. руб.  По отношению к началу года дебиторская задолженность снизилась на 48,8 %, что в стоимостном выражении составило на 31 513 тыс. руб. и на 31.12.2018 года составила 33 104 тыс. руб. Структура дебиторской задолженности представлена следующим образом:</w:t>
      </w:r>
    </w:p>
    <w:p w14:paraId="BD0A0000">
      <w:pPr>
        <w:widowControl w:val="1"/>
        <w:tabs>
          <w:tab w:leader="none" w:pos="851" w:val="left"/>
        </w:tabs>
        <w:spacing w:line="360" w:lineRule="auto"/>
        <w:ind w:firstLine="709"/>
        <w:contextualSpacing w:val="1"/>
        <w:jc w:val="right"/>
        <w:rPr>
          <w:b w:val="1"/>
        </w:rPr>
      </w:pPr>
    </w:p>
    <w:p w14:paraId="BE0A0000">
      <w:pPr>
        <w:widowControl w:val="1"/>
        <w:tabs>
          <w:tab w:leader="none" w:pos="851" w:val="left"/>
        </w:tabs>
        <w:spacing w:line="360" w:lineRule="auto"/>
        <w:ind w:firstLine="709"/>
        <w:contextualSpacing w:val="1"/>
        <w:jc w:val="right"/>
        <w:rPr>
          <w:b w:val="1"/>
        </w:rPr>
      </w:pPr>
      <w:r>
        <w:rPr>
          <w:b w:val="1"/>
        </w:rPr>
        <w:t>Таблица 5.</w:t>
      </w:r>
      <w:r>
        <w:rPr>
          <w:b w:val="1"/>
        </w:rPr>
        <w:t>1</w:t>
      </w:r>
      <w:r>
        <w:rPr>
          <w:b w:val="1"/>
        </w:rPr>
        <w:t>5</w:t>
      </w:r>
    </w:p>
    <w:p w14:paraId="BF0A0000">
      <w:pPr>
        <w:widowControl w:val="1"/>
        <w:tabs>
          <w:tab w:leader="none" w:pos="851" w:val="left"/>
        </w:tabs>
        <w:spacing w:line="360" w:lineRule="auto"/>
        <w:ind w:firstLine="709"/>
        <w:contextualSpacing w:val="1"/>
        <w:jc w:val="center"/>
        <w:rPr>
          <w:b w:val="1"/>
        </w:rPr>
      </w:pPr>
      <w:r>
        <w:rPr>
          <w:b w:val="1"/>
        </w:rPr>
        <w:t>Структура дебиторской задолженности</w:t>
      </w:r>
    </w:p>
    <w:tbl>
      <w:tblPr>
        <w:tblStyle w:val="Style_4"/>
        <w:tblW w:type="auto" w:w="0"/>
        <w:tblInd w:type="dxa" w:w="10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1985"/>
        <w:gridCol w:w="1134"/>
        <w:gridCol w:w="1134"/>
        <w:gridCol w:w="1134"/>
        <w:gridCol w:w="1276"/>
        <w:gridCol w:w="1294"/>
        <w:gridCol w:w="1541"/>
      </w:tblGrid>
      <w:tr>
        <w:trPr>
          <w:trHeight w:hRule="atLeast" w:val="810"/>
        </w:trPr>
        <w:tc>
          <w:tcPr>
            <w:tcW w:type="dxa" w:w="1985"/>
            <w:tcBorders>
              <w:top w:color="000000" w:sz="4" w:val="single"/>
              <w:left w:color="000000" w:sz="4" w:val="single"/>
              <w:bottom w:color="000000" w:sz="4" w:val="single"/>
              <w:right w:color="000000" w:sz="4" w:val="single"/>
            </w:tcBorders>
            <w:shd w:fill="auto" w:val="clear"/>
            <w:vAlign w:val="center"/>
          </w:tcPr>
          <w:p w14:paraId="C00A0000">
            <w:pPr>
              <w:widowControl w:val="1"/>
              <w:ind/>
              <w:contextualSpacing w:val="1"/>
              <w:jc w:val="center"/>
              <w:rPr>
                <w:color w:val="000000"/>
              </w:rPr>
            </w:pPr>
            <w:r>
              <w:rPr>
                <w:color w:val="000000"/>
              </w:rPr>
              <w:t>Наименование</w:t>
            </w:r>
          </w:p>
        </w:tc>
        <w:tc>
          <w:tcPr>
            <w:tcW w:type="dxa" w:w="1134"/>
            <w:tcBorders>
              <w:top w:color="000000" w:sz="4" w:val="single"/>
              <w:left w:color="000000" w:sz="4" w:val="single"/>
              <w:bottom w:color="000000" w:sz="4" w:val="single"/>
              <w:right w:color="000000" w:sz="4" w:val="single"/>
            </w:tcBorders>
            <w:shd w:fill="FFFFFF" w:val="clear"/>
            <w:vAlign w:val="center"/>
          </w:tcPr>
          <w:p w14:paraId="C10A0000">
            <w:pPr>
              <w:widowControl w:val="1"/>
              <w:ind/>
              <w:contextualSpacing w:val="1"/>
              <w:jc w:val="center"/>
              <w:rPr>
                <w:color w:val="000000"/>
              </w:rPr>
            </w:pPr>
            <w:r>
              <w:rPr>
                <w:color w:val="000000"/>
              </w:rPr>
              <w:t>Остаток на 31.12.2018,тыс.руб.</w:t>
            </w:r>
          </w:p>
        </w:tc>
        <w:tc>
          <w:tcPr>
            <w:tcW w:type="dxa" w:w="1134"/>
            <w:tcBorders>
              <w:top w:color="000000" w:sz="4" w:val="single"/>
              <w:left w:color="000000" w:sz="4" w:val="single"/>
              <w:bottom w:color="000000" w:sz="4" w:val="single"/>
              <w:right w:color="000000" w:sz="4" w:val="single"/>
            </w:tcBorders>
            <w:shd w:fill="FFFFFF" w:val="clear"/>
            <w:vAlign w:val="center"/>
          </w:tcPr>
          <w:p w14:paraId="C20A0000">
            <w:pPr>
              <w:widowControl w:val="1"/>
              <w:ind/>
              <w:contextualSpacing w:val="1"/>
              <w:jc w:val="center"/>
              <w:rPr>
                <w:color w:val="000000"/>
              </w:rPr>
            </w:pPr>
            <w:r>
              <w:rPr>
                <w:color w:val="000000"/>
              </w:rPr>
              <w:t>Остаток на 31.12.2017,тыс.руб.</w:t>
            </w:r>
          </w:p>
        </w:tc>
        <w:tc>
          <w:tcPr>
            <w:tcW w:type="dxa" w:w="1134"/>
            <w:tcBorders>
              <w:top w:color="000000" w:sz="4" w:val="single"/>
              <w:left w:color="000000" w:sz="4" w:val="single"/>
              <w:bottom w:color="000000" w:sz="4" w:val="single"/>
              <w:right w:color="000000" w:sz="4" w:val="single"/>
            </w:tcBorders>
            <w:shd w:fill="FFFFFF" w:val="clear"/>
            <w:vAlign w:val="center"/>
          </w:tcPr>
          <w:p w14:paraId="C30A0000">
            <w:pPr>
              <w:widowControl w:val="1"/>
              <w:ind/>
              <w:contextualSpacing w:val="1"/>
              <w:jc w:val="center"/>
              <w:rPr>
                <w:color w:val="000000"/>
              </w:rPr>
            </w:pPr>
            <w:r>
              <w:rPr>
                <w:color w:val="000000"/>
              </w:rPr>
              <w:t>Остаток на 31.12.2016,тыс.руб.</w:t>
            </w:r>
          </w:p>
        </w:tc>
        <w:tc>
          <w:tcPr>
            <w:tcW w:type="dxa" w:w="1276"/>
            <w:tcBorders>
              <w:top w:color="000000" w:sz="4" w:val="single"/>
              <w:left w:color="000000" w:sz="4" w:val="single"/>
              <w:bottom w:color="000000" w:sz="4" w:val="single"/>
              <w:right w:color="000000" w:sz="4" w:val="single"/>
            </w:tcBorders>
            <w:shd w:fill="FFFFFF" w:val="clear"/>
            <w:vAlign w:val="center"/>
          </w:tcPr>
          <w:p w14:paraId="C40A0000">
            <w:pPr>
              <w:widowControl w:val="1"/>
              <w:ind/>
              <w:contextualSpacing w:val="1"/>
              <w:jc w:val="center"/>
              <w:rPr>
                <w:color w:val="000000"/>
              </w:rPr>
            </w:pPr>
            <w:r>
              <w:rPr>
                <w:color w:val="000000"/>
              </w:rPr>
              <w:t>Абсолютное отклонение 2018/2017, тыс. руб.</w:t>
            </w:r>
          </w:p>
        </w:tc>
        <w:tc>
          <w:tcPr>
            <w:tcW w:type="dxa" w:w="1294"/>
            <w:tcBorders>
              <w:top w:color="000000" w:sz="4" w:val="single"/>
              <w:left w:color="000000" w:sz="4" w:val="single"/>
              <w:bottom w:color="000000" w:sz="4" w:val="single"/>
              <w:right w:color="000000" w:sz="4" w:val="single"/>
            </w:tcBorders>
            <w:shd w:fill="FFFFFF" w:val="clear"/>
            <w:vAlign w:val="center"/>
          </w:tcPr>
          <w:p w14:paraId="C50A0000">
            <w:pPr>
              <w:widowControl w:val="1"/>
              <w:ind/>
              <w:contextualSpacing w:val="1"/>
              <w:jc w:val="center"/>
              <w:rPr>
                <w:color w:val="000000"/>
              </w:rPr>
            </w:pPr>
            <w:r>
              <w:rPr>
                <w:color w:val="000000"/>
              </w:rPr>
              <w:t>Темп роста 2018/2017, %</w:t>
            </w:r>
          </w:p>
        </w:tc>
        <w:tc>
          <w:tcPr>
            <w:tcW w:type="dxa" w:w="1541"/>
            <w:tcBorders>
              <w:top w:color="000000" w:sz="4" w:val="single"/>
              <w:left w:color="000000" w:sz="4" w:val="single"/>
              <w:bottom w:color="000000" w:sz="4" w:val="single"/>
              <w:right w:color="000000" w:sz="4" w:val="single"/>
            </w:tcBorders>
            <w:shd w:fill="FFFFFF" w:val="clear"/>
            <w:vAlign w:val="center"/>
          </w:tcPr>
          <w:p w14:paraId="C60A0000">
            <w:pPr>
              <w:widowControl w:val="1"/>
              <w:ind/>
              <w:contextualSpacing w:val="1"/>
              <w:jc w:val="center"/>
              <w:rPr>
                <w:color w:val="000000"/>
              </w:rPr>
            </w:pPr>
            <w:r>
              <w:rPr>
                <w:color w:val="000000"/>
              </w:rPr>
              <w:t>Доля в составе дебиторской задолженности 2018, %</w:t>
            </w:r>
          </w:p>
        </w:tc>
      </w:tr>
      <w:tr>
        <w:trPr>
          <w:trHeight w:hRule="atLeast" w:val="255"/>
        </w:trPr>
        <w:tc>
          <w:tcPr>
            <w:tcW w:type="dxa" w:w="1985"/>
            <w:tcBorders>
              <w:top w:color="000000" w:sz="4" w:val="single"/>
              <w:left w:color="000000" w:sz="4" w:val="single"/>
              <w:bottom w:color="000000" w:sz="4" w:val="single"/>
              <w:right w:color="000000" w:sz="4" w:val="single"/>
            </w:tcBorders>
            <w:shd w:fill="FFFFFF" w:val="clear"/>
            <w:vAlign w:val="center"/>
          </w:tcPr>
          <w:p w14:paraId="C70A0000">
            <w:pPr>
              <w:widowControl w:val="1"/>
              <w:ind/>
              <w:contextualSpacing w:val="1"/>
              <w:jc w:val="center"/>
              <w:rPr>
                <w:color w:val="000000"/>
              </w:rPr>
            </w:pPr>
          </w:p>
        </w:tc>
        <w:tc>
          <w:tcPr>
            <w:tcW w:type="dxa" w:w="1134"/>
            <w:tcBorders>
              <w:top w:color="000000" w:sz="4" w:val="single"/>
              <w:left w:color="000000" w:sz="4" w:val="single"/>
              <w:bottom w:color="000000" w:sz="4" w:val="single"/>
              <w:right w:color="000000" w:sz="4" w:val="single"/>
            </w:tcBorders>
            <w:shd w:fill="FFFFFF" w:val="clear"/>
            <w:vAlign w:val="center"/>
          </w:tcPr>
          <w:p w14:paraId="C80A0000">
            <w:pPr>
              <w:widowControl w:val="1"/>
              <w:ind/>
              <w:contextualSpacing w:val="1"/>
              <w:jc w:val="center"/>
              <w:rPr>
                <w:color w:val="000000"/>
              </w:rPr>
            </w:pPr>
          </w:p>
        </w:tc>
        <w:tc>
          <w:tcPr>
            <w:tcW w:type="dxa" w:w="1134"/>
            <w:tcBorders>
              <w:top w:color="000000" w:sz="4" w:val="single"/>
              <w:left w:color="000000" w:sz="4" w:val="single"/>
              <w:bottom w:color="000000" w:sz="4" w:val="single"/>
              <w:right w:color="000000" w:sz="4" w:val="single"/>
            </w:tcBorders>
            <w:shd w:fill="FFFFFF" w:val="clear"/>
            <w:vAlign w:val="center"/>
          </w:tcPr>
          <w:p w14:paraId="C90A0000">
            <w:pPr>
              <w:widowControl w:val="1"/>
              <w:ind/>
              <w:contextualSpacing w:val="1"/>
              <w:jc w:val="center"/>
              <w:rPr>
                <w:color w:val="000000"/>
              </w:rPr>
            </w:pPr>
          </w:p>
        </w:tc>
        <w:tc>
          <w:tcPr>
            <w:tcW w:type="dxa" w:w="1134"/>
            <w:tcBorders>
              <w:top w:color="000000" w:sz="4" w:val="single"/>
              <w:left w:color="000000" w:sz="4" w:val="single"/>
              <w:bottom w:color="000000" w:sz="4" w:val="single"/>
              <w:right w:color="000000" w:sz="4" w:val="single"/>
            </w:tcBorders>
            <w:shd w:fill="FFFFFF" w:val="clear"/>
            <w:vAlign w:val="center"/>
          </w:tcPr>
          <w:p w14:paraId="CA0A0000">
            <w:pPr>
              <w:widowControl w:val="1"/>
              <w:ind/>
              <w:contextualSpacing w:val="1"/>
              <w:jc w:val="center"/>
              <w:rPr>
                <w:color w:val="000000"/>
              </w:rPr>
            </w:pPr>
          </w:p>
        </w:tc>
        <w:tc>
          <w:tcPr>
            <w:tcW w:type="dxa" w:w="1276"/>
            <w:tcBorders>
              <w:top w:color="000000" w:sz="4" w:val="single"/>
              <w:left w:color="000000" w:sz="4" w:val="single"/>
              <w:bottom w:color="000000" w:sz="4" w:val="single"/>
              <w:right w:color="000000" w:sz="4" w:val="single"/>
            </w:tcBorders>
            <w:shd w:fill="FFFFFF" w:val="clear"/>
            <w:vAlign w:val="center"/>
          </w:tcPr>
          <w:p w14:paraId="CB0A0000">
            <w:pPr>
              <w:widowControl w:val="1"/>
              <w:ind/>
              <w:contextualSpacing w:val="1"/>
              <w:jc w:val="center"/>
              <w:rPr>
                <w:color w:val="000000"/>
              </w:rPr>
            </w:pPr>
          </w:p>
        </w:tc>
        <w:tc>
          <w:tcPr>
            <w:tcW w:type="dxa" w:w="1294"/>
            <w:tcBorders>
              <w:top w:color="000000" w:sz="4" w:val="single"/>
              <w:left w:color="000000" w:sz="4" w:val="single"/>
              <w:bottom w:color="000000" w:sz="4" w:val="single"/>
              <w:right w:color="000000" w:sz="4" w:val="single"/>
            </w:tcBorders>
            <w:shd w:fill="FFFFFF" w:val="clear"/>
            <w:vAlign w:val="center"/>
          </w:tcPr>
          <w:p w14:paraId="CC0A0000">
            <w:pPr>
              <w:widowControl w:val="1"/>
              <w:ind/>
              <w:contextualSpacing w:val="1"/>
              <w:jc w:val="center"/>
              <w:rPr>
                <w:color w:val="000000"/>
              </w:rPr>
            </w:pPr>
          </w:p>
        </w:tc>
        <w:tc>
          <w:tcPr>
            <w:tcW w:type="dxa" w:w="1541"/>
            <w:tcBorders>
              <w:top w:color="000000" w:sz="4" w:val="single"/>
              <w:left w:color="000000" w:sz="4" w:val="single"/>
              <w:bottom w:color="000000" w:sz="4" w:val="single"/>
              <w:right w:color="000000" w:sz="4" w:val="single"/>
            </w:tcBorders>
            <w:shd w:fill="FFFFFF" w:val="clear"/>
            <w:vAlign w:val="center"/>
          </w:tcPr>
          <w:p w14:paraId="CD0A0000">
            <w:pPr>
              <w:widowControl w:val="1"/>
              <w:ind/>
              <w:contextualSpacing w:val="1"/>
              <w:jc w:val="center"/>
              <w:rPr>
                <w:color w:val="000000"/>
              </w:rPr>
            </w:pPr>
          </w:p>
        </w:tc>
      </w:tr>
      <w:tr>
        <w:trPr>
          <w:trHeight w:hRule="atLeast" w:val="255"/>
        </w:trPr>
        <w:tc>
          <w:tcPr>
            <w:tcW w:type="dxa" w:w="1985"/>
            <w:tcBorders>
              <w:top w:color="000000" w:sz="4" w:val="single"/>
              <w:left w:color="000000" w:sz="4" w:val="single"/>
              <w:bottom w:color="000000" w:sz="4" w:val="single"/>
              <w:right w:color="000000" w:sz="4" w:val="single"/>
            </w:tcBorders>
            <w:shd w:fill="FFFFFF" w:val="clear"/>
            <w:vAlign w:val="center"/>
          </w:tcPr>
          <w:p w14:paraId="CE0A0000">
            <w:pPr>
              <w:widowControl w:val="1"/>
              <w:ind/>
              <w:contextualSpacing w:val="1"/>
              <w:jc w:val="center"/>
              <w:rPr>
                <w:b w:val="1"/>
                <w:color w:val="000000"/>
              </w:rPr>
            </w:pPr>
            <w:r>
              <w:rPr>
                <w:b w:val="1"/>
                <w:color w:val="000000"/>
              </w:rPr>
              <w:t>Дебиторская задолженность, в т.ч.</w:t>
            </w:r>
          </w:p>
        </w:tc>
        <w:tc>
          <w:tcPr>
            <w:tcW w:type="dxa" w:w="1134"/>
            <w:tcBorders>
              <w:top w:color="000000" w:sz="4" w:val="single"/>
              <w:left w:color="000000" w:sz="4" w:val="single"/>
              <w:bottom w:color="000000" w:sz="4" w:val="single"/>
              <w:right w:color="000000" w:sz="4" w:val="single"/>
            </w:tcBorders>
            <w:shd w:fill="FFFFFF" w:val="clear"/>
            <w:vAlign w:val="center"/>
          </w:tcPr>
          <w:p w14:paraId="CF0A0000">
            <w:pPr>
              <w:widowControl w:val="1"/>
              <w:ind/>
              <w:contextualSpacing w:val="1"/>
              <w:jc w:val="center"/>
              <w:rPr>
                <w:color w:val="000000"/>
              </w:rPr>
            </w:pPr>
            <w:r>
              <w:rPr>
                <w:color w:val="000000"/>
              </w:rPr>
              <w:t>33 104</w:t>
            </w:r>
          </w:p>
        </w:tc>
        <w:tc>
          <w:tcPr>
            <w:tcW w:type="dxa" w:w="1134"/>
            <w:tcBorders>
              <w:top w:color="000000" w:sz="4" w:val="single"/>
              <w:left w:color="000000" w:sz="4" w:val="single"/>
              <w:bottom w:color="000000" w:sz="4" w:val="single"/>
              <w:right w:color="000000" w:sz="4" w:val="single"/>
            </w:tcBorders>
            <w:shd w:fill="FFFFFF" w:val="clear"/>
            <w:vAlign w:val="center"/>
          </w:tcPr>
          <w:p w14:paraId="D00A0000">
            <w:pPr>
              <w:widowControl w:val="1"/>
              <w:ind/>
              <w:contextualSpacing w:val="1"/>
              <w:jc w:val="center"/>
              <w:rPr>
                <w:color w:val="000000"/>
              </w:rPr>
            </w:pPr>
            <w:r>
              <w:rPr>
                <w:color w:val="000000"/>
              </w:rPr>
              <w:t>64 617</w:t>
            </w:r>
          </w:p>
        </w:tc>
        <w:tc>
          <w:tcPr>
            <w:tcW w:type="dxa" w:w="1134"/>
            <w:tcBorders>
              <w:top w:color="000000" w:sz="4" w:val="single"/>
              <w:left w:color="000000" w:sz="4" w:val="single"/>
              <w:bottom w:color="000000" w:sz="4" w:val="single"/>
              <w:right w:color="000000" w:sz="4" w:val="single"/>
            </w:tcBorders>
            <w:shd w:fill="FFFFFF" w:val="clear"/>
            <w:vAlign w:val="center"/>
          </w:tcPr>
          <w:p w14:paraId="D10A0000">
            <w:pPr>
              <w:widowControl w:val="1"/>
              <w:ind/>
              <w:contextualSpacing w:val="1"/>
              <w:jc w:val="center"/>
              <w:rPr>
                <w:color w:val="000000"/>
              </w:rPr>
            </w:pPr>
            <w:r>
              <w:rPr>
                <w:color w:val="000000"/>
              </w:rPr>
              <w:t>34 486</w:t>
            </w:r>
          </w:p>
        </w:tc>
        <w:tc>
          <w:tcPr>
            <w:tcW w:type="dxa" w:w="1276"/>
            <w:tcBorders>
              <w:top w:color="000000" w:sz="4" w:val="single"/>
              <w:left w:color="000000" w:sz="4" w:val="single"/>
              <w:bottom w:color="000000" w:sz="4" w:val="single"/>
              <w:right w:color="000000" w:sz="4" w:val="single"/>
            </w:tcBorders>
            <w:shd w:fill="FFFFFF" w:val="clear"/>
            <w:vAlign w:val="center"/>
          </w:tcPr>
          <w:p w14:paraId="D20A0000">
            <w:pPr>
              <w:widowControl w:val="1"/>
              <w:ind/>
              <w:contextualSpacing w:val="1"/>
              <w:jc w:val="center"/>
              <w:rPr>
                <w:color w:val="000000"/>
              </w:rPr>
            </w:pPr>
            <w:r>
              <w:rPr>
                <w:color w:val="000000"/>
              </w:rPr>
              <w:t>-31 513</w:t>
            </w:r>
          </w:p>
        </w:tc>
        <w:tc>
          <w:tcPr>
            <w:tcW w:type="dxa" w:w="1294"/>
            <w:tcBorders>
              <w:top w:color="000000" w:sz="4" w:val="single"/>
              <w:left w:color="000000" w:sz="4" w:val="single"/>
              <w:bottom w:color="000000" w:sz="4" w:val="single"/>
              <w:right w:color="000000" w:sz="4" w:val="single"/>
            </w:tcBorders>
            <w:shd w:fill="FFFFFF" w:val="clear"/>
            <w:vAlign w:val="center"/>
          </w:tcPr>
          <w:p w14:paraId="D30A0000">
            <w:pPr>
              <w:widowControl w:val="1"/>
              <w:ind/>
              <w:contextualSpacing w:val="1"/>
              <w:jc w:val="center"/>
              <w:rPr>
                <w:color w:val="000000"/>
              </w:rPr>
            </w:pPr>
            <w:r>
              <w:rPr>
                <w:color w:val="000000"/>
              </w:rPr>
              <w:t>51,2</w:t>
            </w:r>
          </w:p>
        </w:tc>
        <w:tc>
          <w:tcPr>
            <w:tcW w:type="dxa" w:w="1541"/>
            <w:tcBorders>
              <w:top w:color="000000" w:sz="4" w:val="single"/>
              <w:left w:color="000000" w:sz="4" w:val="single"/>
              <w:bottom w:color="000000" w:sz="4" w:val="single"/>
              <w:right w:color="000000" w:sz="4" w:val="single"/>
            </w:tcBorders>
            <w:shd w:fill="FFFFFF" w:val="clear"/>
            <w:vAlign w:val="center"/>
          </w:tcPr>
          <w:p w14:paraId="D40A0000">
            <w:pPr>
              <w:widowControl w:val="1"/>
              <w:ind/>
              <w:contextualSpacing w:val="1"/>
              <w:jc w:val="center"/>
              <w:rPr>
                <w:color w:val="000000"/>
              </w:rPr>
            </w:pPr>
            <w:r>
              <w:rPr>
                <w:color w:val="000000"/>
              </w:rPr>
              <w:t>100%</w:t>
            </w:r>
          </w:p>
        </w:tc>
      </w:tr>
      <w:tr>
        <w:trPr>
          <w:trHeight w:hRule="atLeast" w:val="255"/>
        </w:trPr>
        <w:tc>
          <w:tcPr>
            <w:tcW w:type="dxa" w:w="1985"/>
            <w:tcBorders>
              <w:top w:color="000000" w:sz="4" w:val="single"/>
              <w:left w:color="000000" w:sz="4" w:val="single"/>
              <w:bottom w:color="000000" w:sz="4" w:val="single"/>
              <w:right w:color="000000" w:sz="4" w:val="single"/>
            </w:tcBorders>
            <w:shd w:fill="FFFFFF" w:val="clear"/>
            <w:vAlign w:val="center"/>
          </w:tcPr>
          <w:p w14:paraId="D50A0000">
            <w:pPr>
              <w:widowControl w:val="1"/>
              <w:ind/>
              <w:contextualSpacing w:val="1"/>
              <w:jc w:val="center"/>
              <w:rPr>
                <w:color w:val="000000"/>
              </w:rPr>
            </w:pPr>
            <w:r>
              <w:rPr>
                <w:color w:val="000000"/>
              </w:rPr>
              <w:t>- покупатели и заказчики</w:t>
            </w:r>
          </w:p>
        </w:tc>
        <w:tc>
          <w:tcPr>
            <w:tcW w:type="dxa" w:w="1134"/>
            <w:tcBorders>
              <w:top w:color="000000" w:sz="4" w:val="single"/>
              <w:left w:color="000000" w:sz="4" w:val="single"/>
              <w:bottom w:color="000000" w:sz="4" w:val="single"/>
              <w:right w:color="000000" w:sz="4" w:val="single"/>
            </w:tcBorders>
            <w:shd w:fill="FFFFFF" w:val="clear"/>
            <w:vAlign w:val="center"/>
          </w:tcPr>
          <w:p w14:paraId="D60A0000">
            <w:pPr>
              <w:widowControl w:val="1"/>
              <w:ind/>
              <w:contextualSpacing w:val="1"/>
              <w:jc w:val="center"/>
              <w:rPr>
                <w:color w:val="000000"/>
              </w:rPr>
            </w:pPr>
            <w:r>
              <w:rPr>
                <w:color w:val="000000"/>
              </w:rPr>
              <w:t>5 172</w:t>
            </w:r>
          </w:p>
        </w:tc>
        <w:tc>
          <w:tcPr>
            <w:tcW w:type="dxa" w:w="1134"/>
            <w:tcBorders>
              <w:top w:color="000000" w:sz="4" w:val="single"/>
              <w:left w:color="000000" w:sz="4" w:val="single"/>
              <w:bottom w:color="000000" w:sz="4" w:val="single"/>
              <w:right w:color="000000" w:sz="4" w:val="single"/>
            </w:tcBorders>
            <w:shd w:fill="FFFFFF" w:val="clear"/>
            <w:vAlign w:val="center"/>
          </w:tcPr>
          <w:p w14:paraId="D70A0000">
            <w:pPr>
              <w:widowControl w:val="1"/>
              <w:ind/>
              <w:contextualSpacing w:val="1"/>
              <w:jc w:val="center"/>
              <w:rPr>
                <w:color w:val="000000"/>
              </w:rPr>
            </w:pPr>
            <w:r>
              <w:rPr>
                <w:color w:val="000000"/>
              </w:rPr>
              <w:t>4 969</w:t>
            </w:r>
          </w:p>
        </w:tc>
        <w:tc>
          <w:tcPr>
            <w:tcW w:type="dxa" w:w="1134"/>
            <w:tcBorders>
              <w:top w:color="000000" w:sz="4" w:val="single"/>
              <w:left w:color="000000" w:sz="4" w:val="single"/>
              <w:bottom w:color="000000" w:sz="4" w:val="single"/>
              <w:right w:color="000000" w:sz="4" w:val="single"/>
            </w:tcBorders>
            <w:shd w:fill="FFFFFF" w:val="clear"/>
            <w:vAlign w:val="center"/>
          </w:tcPr>
          <w:p w14:paraId="D80A0000">
            <w:pPr>
              <w:widowControl w:val="1"/>
              <w:ind/>
              <w:contextualSpacing w:val="1"/>
              <w:jc w:val="center"/>
              <w:rPr>
                <w:color w:val="000000"/>
              </w:rPr>
            </w:pPr>
            <w:r>
              <w:rPr>
                <w:color w:val="000000"/>
              </w:rPr>
              <w:t>5 081</w:t>
            </w:r>
          </w:p>
        </w:tc>
        <w:tc>
          <w:tcPr>
            <w:tcW w:type="dxa" w:w="1276"/>
            <w:tcBorders>
              <w:top w:color="000000" w:sz="4" w:val="single"/>
              <w:left w:color="000000" w:sz="4" w:val="single"/>
              <w:bottom w:color="000000" w:sz="4" w:val="single"/>
              <w:right w:color="000000" w:sz="4" w:val="single"/>
            </w:tcBorders>
            <w:shd w:fill="FFFFFF" w:val="clear"/>
            <w:vAlign w:val="center"/>
          </w:tcPr>
          <w:p w14:paraId="D90A0000">
            <w:pPr>
              <w:widowControl w:val="1"/>
              <w:ind/>
              <w:contextualSpacing w:val="1"/>
              <w:jc w:val="center"/>
              <w:rPr>
                <w:color w:val="000000"/>
              </w:rPr>
            </w:pPr>
            <w:r>
              <w:rPr>
                <w:color w:val="000000"/>
              </w:rPr>
              <w:t>203</w:t>
            </w:r>
          </w:p>
        </w:tc>
        <w:tc>
          <w:tcPr>
            <w:tcW w:type="dxa" w:w="1294"/>
            <w:tcBorders>
              <w:top w:color="000000" w:sz="4" w:val="single"/>
              <w:left w:color="000000" w:sz="4" w:val="single"/>
              <w:bottom w:color="000000" w:sz="4" w:val="single"/>
              <w:right w:color="000000" w:sz="4" w:val="single"/>
            </w:tcBorders>
            <w:shd w:fill="FFFFFF" w:val="clear"/>
            <w:vAlign w:val="center"/>
          </w:tcPr>
          <w:p w14:paraId="DA0A0000">
            <w:pPr>
              <w:widowControl w:val="1"/>
              <w:ind/>
              <w:contextualSpacing w:val="1"/>
              <w:jc w:val="center"/>
              <w:rPr>
                <w:color w:val="000000"/>
              </w:rPr>
            </w:pPr>
            <w:r>
              <w:rPr>
                <w:color w:val="000000"/>
              </w:rPr>
              <w:t>104,1</w:t>
            </w:r>
          </w:p>
        </w:tc>
        <w:tc>
          <w:tcPr>
            <w:tcW w:type="dxa" w:w="1541"/>
            <w:tcBorders>
              <w:top w:color="000000" w:sz="4" w:val="single"/>
              <w:left w:color="000000" w:sz="4" w:val="single"/>
              <w:bottom w:color="000000" w:sz="4" w:val="single"/>
              <w:right w:color="000000" w:sz="4" w:val="single"/>
            </w:tcBorders>
            <w:shd w:fill="FFFFFF" w:val="clear"/>
            <w:vAlign w:val="center"/>
          </w:tcPr>
          <w:p w14:paraId="DB0A0000">
            <w:pPr>
              <w:widowControl w:val="1"/>
              <w:ind/>
              <w:contextualSpacing w:val="1"/>
              <w:jc w:val="center"/>
              <w:rPr>
                <w:color w:val="000000"/>
              </w:rPr>
            </w:pPr>
            <w:r>
              <w:rPr>
                <w:color w:val="000000"/>
              </w:rPr>
              <w:t>16%</w:t>
            </w:r>
          </w:p>
        </w:tc>
      </w:tr>
      <w:tr>
        <w:trPr>
          <w:trHeight w:hRule="atLeast" w:val="255"/>
        </w:trPr>
        <w:tc>
          <w:tcPr>
            <w:tcW w:type="dxa" w:w="1985"/>
            <w:tcBorders>
              <w:top w:color="000000" w:sz="4" w:val="single"/>
              <w:left w:color="000000" w:sz="4" w:val="single"/>
              <w:bottom w:color="000000" w:sz="4" w:val="single"/>
              <w:right w:color="000000" w:sz="4" w:val="single"/>
            </w:tcBorders>
            <w:shd w:fill="FFFFFF" w:val="clear"/>
            <w:vAlign w:val="center"/>
          </w:tcPr>
          <w:p w14:paraId="DC0A0000">
            <w:pPr>
              <w:widowControl w:val="1"/>
              <w:ind/>
              <w:contextualSpacing w:val="1"/>
              <w:jc w:val="center"/>
              <w:rPr>
                <w:color w:val="000000"/>
              </w:rPr>
            </w:pPr>
            <w:r>
              <w:rPr>
                <w:color w:val="000000"/>
              </w:rPr>
              <w:t>в т.ч. задолженность ОАО "РЖД"</w:t>
            </w:r>
          </w:p>
        </w:tc>
        <w:tc>
          <w:tcPr>
            <w:tcW w:type="dxa" w:w="1134"/>
            <w:tcBorders>
              <w:top w:color="000000" w:sz="4" w:val="single"/>
              <w:left w:color="000000" w:sz="4" w:val="single"/>
              <w:bottom w:color="000000" w:sz="4" w:val="single"/>
              <w:right w:color="000000" w:sz="4" w:val="single"/>
            </w:tcBorders>
            <w:shd w:fill="FFFFFF" w:val="clear"/>
            <w:vAlign w:val="center"/>
          </w:tcPr>
          <w:p w14:paraId="DD0A0000">
            <w:pPr>
              <w:widowControl w:val="1"/>
              <w:ind/>
              <w:contextualSpacing w:val="1"/>
              <w:jc w:val="center"/>
              <w:rPr>
                <w:color w:val="000000"/>
              </w:rPr>
            </w:pPr>
            <w:r>
              <w:rPr>
                <w:color w:val="000000"/>
              </w:rPr>
              <w:t>4 201</w:t>
            </w:r>
          </w:p>
        </w:tc>
        <w:tc>
          <w:tcPr>
            <w:tcW w:type="dxa" w:w="1134"/>
            <w:tcBorders>
              <w:top w:color="000000" w:sz="4" w:val="single"/>
              <w:left w:color="000000" w:sz="4" w:val="single"/>
              <w:bottom w:color="000000" w:sz="4" w:val="single"/>
              <w:right w:color="000000" w:sz="4" w:val="single"/>
            </w:tcBorders>
            <w:shd w:fill="FFFFFF" w:val="clear"/>
            <w:vAlign w:val="center"/>
          </w:tcPr>
          <w:p w14:paraId="DE0A0000">
            <w:pPr>
              <w:widowControl w:val="1"/>
              <w:ind/>
              <w:contextualSpacing w:val="1"/>
              <w:jc w:val="center"/>
              <w:rPr>
                <w:color w:val="000000"/>
              </w:rPr>
            </w:pPr>
            <w:r>
              <w:rPr>
                <w:color w:val="000000"/>
              </w:rPr>
              <w:t>3 417</w:t>
            </w:r>
          </w:p>
        </w:tc>
        <w:tc>
          <w:tcPr>
            <w:tcW w:type="dxa" w:w="1134"/>
            <w:tcBorders>
              <w:top w:color="000000" w:sz="4" w:val="single"/>
              <w:left w:color="000000" w:sz="4" w:val="single"/>
              <w:bottom w:color="000000" w:sz="4" w:val="single"/>
              <w:right w:color="000000" w:sz="4" w:val="single"/>
            </w:tcBorders>
            <w:shd w:fill="FFFFFF" w:val="clear"/>
            <w:vAlign w:val="center"/>
          </w:tcPr>
          <w:p w14:paraId="DF0A0000">
            <w:pPr>
              <w:widowControl w:val="1"/>
              <w:ind/>
              <w:contextualSpacing w:val="1"/>
              <w:jc w:val="center"/>
              <w:rPr>
                <w:color w:val="000000"/>
              </w:rPr>
            </w:pPr>
            <w:r>
              <w:rPr>
                <w:color w:val="000000"/>
              </w:rPr>
              <w:t>3 495</w:t>
            </w:r>
          </w:p>
        </w:tc>
        <w:tc>
          <w:tcPr>
            <w:tcW w:type="dxa" w:w="1276"/>
            <w:tcBorders>
              <w:top w:color="000000" w:sz="4" w:val="single"/>
              <w:left w:color="000000" w:sz="4" w:val="single"/>
              <w:bottom w:color="000000" w:sz="4" w:val="single"/>
              <w:right w:color="000000" w:sz="4" w:val="single"/>
            </w:tcBorders>
            <w:shd w:fill="FFFFFF" w:val="clear"/>
            <w:vAlign w:val="center"/>
          </w:tcPr>
          <w:p w14:paraId="E00A0000">
            <w:pPr>
              <w:widowControl w:val="1"/>
              <w:ind/>
              <w:contextualSpacing w:val="1"/>
              <w:jc w:val="center"/>
              <w:rPr>
                <w:color w:val="000000"/>
              </w:rPr>
            </w:pPr>
            <w:r>
              <w:rPr>
                <w:color w:val="000000"/>
              </w:rPr>
              <w:t>784</w:t>
            </w:r>
          </w:p>
        </w:tc>
        <w:tc>
          <w:tcPr>
            <w:tcW w:type="dxa" w:w="1294"/>
            <w:tcBorders>
              <w:top w:color="000000" w:sz="4" w:val="single"/>
              <w:left w:color="000000" w:sz="4" w:val="single"/>
              <w:bottom w:color="000000" w:sz="4" w:val="single"/>
              <w:right w:color="000000" w:sz="4" w:val="single"/>
            </w:tcBorders>
            <w:shd w:fill="FFFFFF" w:val="clear"/>
            <w:vAlign w:val="center"/>
          </w:tcPr>
          <w:p w14:paraId="E10A0000">
            <w:pPr>
              <w:widowControl w:val="1"/>
              <w:ind/>
              <w:contextualSpacing w:val="1"/>
              <w:jc w:val="center"/>
              <w:rPr>
                <w:color w:val="000000"/>
              </w:rPr>
            </w:pPr>
            <w:r>
              <w:rPr>
                <w:color w:val="000000"/>
              </w:rPr>
              <w:t>122,9</w:t>
            </w:r>
          </w:p>
        </w:tc>
        <w:tc>
          <w:tcPr>
            <w:tcW w:type="dxa" w:w="1541"/>
            <w:tcBorders>
              <w:top w:color="000000" w:sz="4" w:val="single"/>
              <w:left w:color="000000" w:sz="4" w:val="single"/>
              <w:bottom w:color="000000" w:sz="4" w:val="single"/>
              <w:right w:color="000000" w:sz="4" w:val="single"/>
            </w:tcBorders>
            <w:shd w:fill="FFFFFF" w:val="clear"/>
            <w:vAlign w:val="center"/>
          </w:tcPr>
          <w:p w14:paraId="E20A0000">
            <w:pPr>
              <w:widowControl w:val="1"/>
              <w:ind/>
              <w:contextualSpacing w:val="1"/>
              <w:jc w:val="center"/>
              <w:rPr>
                <w:color w:val="000000"/>
              </w:rPr>
            </w:pPr>
            <w:r>
              <w:rPr>
                <w:color w:val="000000"/>
              </w:rPr>
              <w:t>13%</w:t>
            </w:r>
          </w:p>
        </w:tc>
      </w:tr>
      <w:tr>
        <w:trPr>
          <w:trHeight w:hRule="atLeast" w:val="255"/>
        </w:trPr>
        <w:tc>
          <w:tcPr>
            <w:tcW w:type="dxa" w:w="1985"/>
            <w:tcBorders>
              <w:top w:color="000000" w:sz="4" w:val="single"/>
              <w:left w:color="000000" w:sz="4" w:val="single"/>
              <w:bottom w:color="000000" w:sz="4" w:val="single"/>
              <w:right w:color="000000" w:sz="4" w:val="single"/>
            </w:tcBorders>
            <w:shd w:fill="FFFFFF" w:val="clear"/>
            <w:vAlign w:val="center"/>
          </w:tcPr>
          <w:p w14:paraId="E30A0000">
            <w:pPr>
              <w:widowControl w:val="1"/>
              <w:ind/>
              <w:contextualSpacing w:val="1"/>
              <w:jc w:val="center"/>
              <w:rPr>
                <w:color w:val="000000"/>
              </w:rPr>
            </w:pPr>
            <w:r>
              <w:rPr>
                <w:color w:val="000000"/>
              </w:rPr>
              <w:t>в т.ч. задолженность Субъектов РФ</w:t>
            </w:r>
          </w:p>
        </w:tc>
        <w:tc>
          <w:tcPr>
            <w:tcW w:type="dxa" w:w="1134"/>
            <w:tcBorders>
              <w:top w:color="000000" w:sz="4" w:val="single"/>
              <w:left w:color="000000" w:sz="4" w:val="single"/>
              <w:bottom w:color="000000" w:sz="4" w:val="single"/>
              <w:right w:color="000000" w:sz="4" w:val="single"/>
            </w:tcBorders>
            <w:shd w:fill="FFFFFF" w:val="clear"/>
            <w:vAlign w:val="center"/>
          </w:tcPr>
          <w:p w14:paraId="E40A0000">
            <w:pPr>
              <w:widowControl w:val="1"/>
              <w:ind/>
              <w:contextualSpacing w:val="1"/>
              <w:jc w:val="center"/>
              <w:rPr>
                <w:color w:val="000000"/>
              </w:rPr>
            </w:pPr>
            <w:r>
              <w:rPr>
                <w:color w:val="000000"/>
              </w:rPr>
              <w:t>177</w:t>
            </w:r>
          </w:p>
        </w:tc>
        <w:tc>
          <w:tcPr>
            <w:tcW w:type="dxa" w:w="1134"/>
            <w:tcBorders>
              <w:top w:color="000000" w:sz="4" w:val="single"/>
              <w:left w:color="000000" w:sz="4" w:val="single"/>
              <w:bottom w:color="000000" w:sz="4" w:val="single"/>
              <w:right w:color="000000" w:sz="4" w:val="single"/>
            </w:tcBorders>
            <w:shd w:fill="FFFFFF" w:val="clear"/>
            <w:vAlign w:val="center"/>
          </w:tcPr>
          <w:p w14:paraId="E50A0000">
            <w:pPr>
              <w:widowControl w:val="1"/>
              <w:ind/>
              <w:contextualSpacing w:val="1"/>
              <w:jc w:val="center"/>
              <w:rPr>
                <w:color w:val="000000"/>
              </w:rPr>
            </w:pPr>
            <w:r>
              <w:rPr>
                <w:color w:val="000000"/>
              </w:rPr>
              <w:t>660</w:t>
            </w:r>
          </w:p>
        </w:tc>
        <w:tc>
          <w:tcPr>
            <w:tcW w:type="dxa" w:w="1134"/>
            <w:tcBorders>
              <w:top w:color="000000" w:sz="4" w:val="single"/>
              <w:left w:color="000000" w:sz="4" w:val="single"/>
              <w:bottom w:color="000000" w:sz="4" w:val="single"/>
              <w:right w:color="000000" w:sz="4" w:val="single"/>
            </w:tcBorders>
            <w:shd w:fill="FFFFFF" w:val="clear"/>
            <w:vAlign w:val="center"/>
          </w:tcPr>
          <w:p w14:paraId="E60A0000">
            <w:pPr>
              <w:widowControl w:val="1"/>
              <w:ind/>
              <w:contextualSpacing w:val="1"/>
              <w:jc w:val="center"/>
              <w:rPr>
                <w:color w:val="000000"/>
              </w:rPr>
            </w:pPr>
            <w:r>
              <w:rPr>
                <w:color w:val="000000"/>
              </w:rPr>
              <w:t>875</w:t>
            </w:r>
          </w:p>
        </w:tc>
        <w:tc>
          <w:tcPr>
            <w:tcW w:type="dxa" w:w="1276"/>
            <w:tcBorders>
              <w:top w:color="000000" w:sz="4" w:val="single"/>
              <w:left w:color="000000" w:sz="4" w:val="single"/>
              <w:bottom w:color="000000" w:sz="4" w:val="single"/>
              <w:right w:color="000000" w:sz="4" w:val="single"/>
            </w:tcBorders>
            <w:shd w:fill="FFFFFF" w:val="clear"/>
            <w:vAlign w:val="center"/>
          </w:tcPr>
          <w:p w14:paraId="E70A0000">
            <w:pPr>
              <w:widowControl w:val="1"/>
              <w:ind/>
              <w:contextualSpacing w:val="1"/>
              <w:jc w:val="center"/>
              <w:rPr>
                <w:color w:val="000000"/>
              </w:rPr>
            </w:pPr>
            <w:r>
              <w:rPr>
                <w:color w:val="000000"/>
              </w:rPr>
              <w:t>-483</w:t>
            </w:r>
          </w:p>
        </w:tc>
        <w:tc>
          <w:tcPr>
            <w:tcW w:type="dxa" w:w="1294"/>
            <w:tcBorders>
              <w:top w:color="000000" w:sz="4" w:val="single"/>
              <w:left w:color="000000" w:sz="4" w:val="single"/>
              <w:bottom w:color="000000" w:sz="4" w:val="single"/>
              <w:right w:color="000000" w:sz="4" w:val="single"/>
            </w:tcBorders>
            <w:shd w:fill="FFFFFF" w:val="clear"/>
            <w:vAlign w:val="center"/>
          </w:tcPr>
          <w:p w14:paraId="E80A0000">
            <w:pPr>
              <w:widowControl w:val="1"/>
              <w:ind/>
              <w:contextualSpacing w:val="1"/>
              <w:jc w:val="center"/>
              <w:rPr>
                <w:color w:val="000000"/>
              </w:rPr>
            </w:pPr>
            <w:r>
              <w:rPr>
                <w:color w:val="000000"/>
              </w:rPr>
              <w:t>26,8</w:t>
            </w:r>
          </w:p>
        </w:tc>
        <w:tc>
          <w:tcPr>
            <w:tcW w:type="dxa" w:w="1541"/>
            <w:tcBorders>
              <w:top w:color="000000" w:sz="4" w:val="single"/>
              <w:left w:color="000000" w:sz="4" w:val="single"/>
              <w:bottom w:color="000000" w:sz="4" w:val="single"/>
              <w:right w:color="000000" w:sz="4" w:val="single"/>
            </w:tcBorders>
            <w:shd w:fill="FFFFFF" w:val="clear"/>
            <w:vAlign w:val="center"/>
          </w:tcPr>
          <w:p w14:paraId="E90A0000">
            <w:pPr>
              <w:widowControl w:val="1"/>
              <w:ind/>
              <w:contextualSpacing w:val="1"/>
              <w:jc w:val="center"/>
              <w:rPr>
                <w:color w:val="000000"/>
              </w:rPr>
            </w:pPr>
            <w:r>
              <w:rPr>
                <w:color w:val="000000"/>
              </w:rPr>
              <w:t>1%</w:t>
            </w:r>
          </w:p>
        </w:tc>
      </w:tr>
      <w:tr>
        <w:trPr>
          <w:trHeight w:hRule="atLeast" w:val="255"/>
        </w:trPr>
        <w:tc>
          <w:tcPr>
            <w:tcW w:type="dxa" w:w="1985"/>
            <w:tcBorders>
              <w:top w:color="000000" w:sz="4" w:val="single"/>
              <w:left w:color="000000" w:sz="4" w:val="single"/>
              <w:bottom w:color="000000" w:sz="4" w:val="single"/>
              <w:right w:color="000000" w:sz="4" w:val="single"/>
            </w:tcBorders>
            <w:shd w:fill="FFFFFF" w:val="clear"/>
            <w:vAlign w:val="center"/>
          </w:tcPr>
          <w:p w14:paraId="EA0A0000">
            <w:pPr>
              <w:widowControl w:val="1"/>
              <w:ind/>
              <w:contextualSpacing w:val="1"/>
              <w:jc w:val="center"/>
              <w:rPr>
                <w:color w:val="000000"/>
              </w:rPr>
            </w:pPr>
            <w:r>
              <w:rPr>
                <w:color w:val="000000"/>
              </w:rPr>
              <w:t>- авансы выданные</w:t>
            </w:r>
          </w:p>
        </w:tc>
        <w:tc>
          <w:tcPr>
            <w:tcW w:type="dxa" w:w="1134"/>
            <w:tcBorders>
              <w:top w:color="000000" w:sz="4" w:val="single"/>
              <w:left w:color="000000" w:sz="4" w:val="single"/>
              <w:bottom w:color="000000" w:sz="4" w:val="single"/>
              <w:right w:color="000000" w:sz="4" w:val="single"/>
            </w:tcBorders>
            <w:shd w:fill="FFFFFF" w:val="clear"/>
            <w:vAlign w:val="center"/>
          </w:tcPr>
          <w:p w14:paraId="EB0A0000">
            <w:pPr>
              <w:widowControl w:val="1"/>
              <w:ind/>
              <w:contextualSpacing w:val="1"/>
              <w:jc w:val="center"/>
              <w:rPr>
                <w:color w:val="000000"/>
              </w:rPr>
            </w:pPr>
            <w:r>
              <w:rPr>
                <w:color w:val="000000"/>
              </w:rPr>
              <w:t>3 203</w:t>
            </w:r>
          </w:p>
        </w:tc>
        <w:tc>
          <w:tcPr>
            <w:tcW w:type="dxa" w:w="1134"/>
            <w:tcBorders>
              <w:top w:color="000000" w:sz="4" w:val="single"/>
              <w:left w:color="000000" w:sz="4" w:val="single"/>
              <w:bottom w:color="000000" w:sz="4" w:val="single"/>
              <w:right w:color="000000" w:sz="4" w:val="single"/>
            </w:tcBorders>
            <w:shd w:fill="FFFFFF" w:val="clear"/>
            <w:vAlign w:val="center"/>
          </w:tcPr>
          <w:p w14:paraId="EC0A0000">
            <w:pPr>
              <w:widowControl w:val="1"/>
              <w:ind/>
              <w:contextualSpacing w:val="1"/>
              <w:jc w:val="center"/>
              <w:rPr>
                <w:color w:val="000000"/>
              </w:rPr>
            </w:pPr>
            <w:r>
              <w:rPr>
                <w:color w:val="000000"/>
              </w:rPr>
              <w:t>1 271</w:t>
            </w:r>
          </w:p>
        </w:tc>
        <w:tc>
          <w:tcPr>
            <w:tcW w:type="dxa" w:w="1134"/>
            <w:tcBorders>
              <w:top w:color="000000" w:sz="4" w:val="single"/>
              <w:left w:color="000000" w:sz="4" w:val="single"/>
              <w:bottom w:color="000000" w:sz="4" w:val="single"/>
              <w:right w:color="000000" w:sz="4" w:val="single"/>
            </w:tcBorders>
            <w:shd w:fill="FFFFFF" w:val="clear"/>
            <w:vAlign w:val="center"/>
          </w:tcPr>
          <w:p w14:paraId="ED0A0000">
            <w:pPr>
              <w:widowControl w:val="1"/>
              <w:ind/>
              <w:contextualSpacing w:val="1"/>
              <w:jc w:val="center"/>
              <w:rPr>
                <w:color w:val="000000"/>
              </w:rPr>
            </w:pPr>
            <w:r>
              <w:rPr>
                <w:color w:val="000000"/>
              </w:rPr>
              <w:t>633</w:t>
            </w:r>
          </w:p>
        </w:tc>
        <w:tc>
          <w:tcPr>
            <w:tcW w:type="dxa" w:w="1276"/>
            <w:tcBorders>
              <w:top w:color="000000" w:sz="4" w:val="single"/>
              <w:left w:color="000000" w:sz="4" w:val="single"/>
              <w:bottom w:color="000000" w:sz="4" w:val="single"/>
              <w:right w:color="000000" w:sz="4" w:val="single"/>
            </w:tcBorders>
            <w:shd w:fill="FFFFFF" w:val="clear"/>
            <w:vAlign w:val="center"/>
          </w:tcPr>
          <w:p w14:paraId="EE0A0000">
            <w:pPr>
              <w:widowControl w:val="1"/>
              <w:ind/>
              <w:contextualSpacing w:val="1"/>
              <w:jc w:val="center"/>
              <w:rPr>
                <w:color w:val="000000"/>
              </w:rPr>
            </w:pPr>
            <w:r>
              <w:rPr>
                <w:color w:val="000000"/>
              </w:rPr>
              <w:t>1 932</w:t>
            </w:r>
          </w:p>
        </w:tc>
        <w:tc>
          <w:tcPr>
            <w:tcW w:type="dxa" w:w="1294"/>
            <w:tcBorders>
              <w:top w:color="000000" w:sz="4" w:val="single"/>
              <w:left w:color="000000" w:sz="4" w:val="single"/>
              <w:bottom w:color="000000" w:sz="4" w:val="single"/>
              <w:right w:color="000000" w:sz="4" w:val="single"/>
            </w:tcBorders>
            <w:shd w:fill="FFFFFF" w:val="clear"/>
            <w:vAlign w:val="center"/>
          </w:tcPr>
          <w:p w14:paraId="EF0A0000">
            <w:pPr>
              <w:widowControl w:val="1"/>
              <w:ind/>
              <w:contextualSpacing w:val="1"/>
              <w:jc w:val="center"/>
              <w:rPr>
                <w:color w:val="000000"/>
              </w:rPr>
            </w:pPr>
            <w:r>
              <w:rPr>
                <w:color w:val="000000"/>
              </w:rPr>
              <w:t>252,0</w:t>
            </w:r>
          </w:p>
        </w:tc>
        <w:tc>
          <w:tcPr>
            <w:tcW w:type="dxa" w:w="1541"/>
            <w:tcBorders>
              <w:top w:color="000000" w:sz="4" w:val="single"/>
              <w:left w:color="000000" w:sz="4" w:val="single"/>
              <w:bottom w:color="000000" w:sz="4" w:val="single"/>
              <w:right w:color="000000" w:sz="4" w:val="single"/>
            </w:tcBorders>
            <w:shd w:fill="FFFFFF" w:val="clear"/>
            <w:vAlign w:val="center"/>
          </w:tcPr>
          <w:p w14:paraId="F00A0000">
            <w:pPr>
              <w:widowControl w:val="1"/>
              <w:ind/>
              <w:contextualSpacing w:val="1"/>
              <w:jc w:val="center"/>
              <w:rPr>
                <w:color w:val="000000"/>
              </w:rPr>
            </w:pPr>
            <w:r>
              <w:rPr>
                <w:color w:val="000000"/>
              </w:rPr>
              <w:t>10%</w:t>
            </w:r>
          </w:p>
        </w:tc>
      </w:tr>
      <w:tr>
        <w:trPr>
          <w:trHeight w:hRule="atLeast" w:val="255"/>
        </w:trPr>
        <w:tc>
          <w:tcPr>
            <w:tcW w:type="dxa" w:w="1985"/>
            <w:tcBorders>
              <w:top w:color="000000" w:sz="4" w:val="single"/>
              <w:left w:color="000000" w:sz="4" w:val="single"/>
              <w:bottom w:color="000000" w:sz="4" w:val="single"/>
              <w:right w:color="000000" w:sz="4" w:val="single"/>
            </w:tcBorders>
            <w:shd w:fill="FFFFFF" w:val="clear"/>
            <w:vAlign w:val="center"/>
          </w:tcPr>
          <w:p w14:paraId="F10A0000">
            <w:pPr>
              <w:widowControl w:val="1"/>
              <w:ind/>
              <w:contextualSpacing w:val="1"/>
              <w:jc w:val="center"/>
              <w:rPr>
                <w:color w:val="000000"/>
              </w:rPr>
            </w:pPr>
            <w:r>
              <w:rPr>
                <w:color w:val="000000"/>
              </w:rPr>
              <w:t>в т.ч. задолженность ОАО "РЖД"</w:t>
            </w:r>
          </w:p>
        </w:tc>
        <w:tc>
          <w:tcPr>
            <w:tcW w:type="dxa" w:w="1134"/>
            <w:tcBorders>
              <w:top w:color="000000" w:sz="4" w:val="single"/>
              <w:left w:color="000000" w:sz="4" w:val="single"/>
              <w:bottom w:color="000000" w:sz="4" w:val="single"/>
              <w:right w:color="000000" w:sz="4" w:val="single"/>
            </w:tcBorders>
            <w:shd w:fill="FFFFFF" w:val="clear"/>
            <w:vAlign w:val="center"/>
          </w:tcPr>
          <w:p w14:paraId="F20A0000">
            <w:pPr>
              <w:widowControl w:val="1"/>
              <w:ind/>
              <w:contextualSpacing w:val="1"/>
              <w:jc w:val="center"/>
              <w:rPr>
                <w:color w:val="000000"/>
              </w:rPr>
            </w:pPr>
            <w:r>
              <w:rPr>
                <w:color w:val="000000"/>
              </w:rPr>
              <w:t>1 750</w:t>
            </w:r>
          </w:p>
        </w:tc>
        <w:tc>
          <w:tcPr>
            <w:tcW w:type="dxa" w:w="1134"/>
            <w:tcBorders>
              <w:top w:color="000000" w:sz="4" w:val="single"/>
              <w:left w:color="000000" w:sz="4" w:val="single"/>
              <w:bottom w:color="000000" w:sz="4" w:val="single"/>
              <w:right w:color="000000" w:sz="4" w:val="single"/>
            </w:tcBorders>
            <w:shd w:fill="FFFFFF" w:val="clear"/>
            <w:vAlign w:val="center"/>
          </w:tcPr>
          <w:p w14:paraId="F30A0000">
            <w:pPr>
              <w:widowControl w:val="1"/>
              <w:ind/>
              <w:contextualSpacing w:val="1"/>
              <w:jc w:val="center"/>
              <w:rPr>
                <w:color w:val="000000"/>
              </w:rPr>
            </w:pPr>
            <w:r>
              <w:rPr>
                <w:color w:val="000000"/>
              </w:rPr>
              <w:t>665</w:t>
            </w:r>
          </w:p>
        </w:tc>
        <w:tc>
          <w:tcPr>
            <w:tcW w:type="dxa" w:w="1134"/>
            <w:tcBorders>
              <w:top w:color="000000" w:sz="4" w:val="single"/>
              <w:left w:color="000000" w:sz="4" w:val="single"/>
              <w:bottom w:color="000000" w:sz="4" w:val="single"/>
              <w:right w:color="000000" w:sz="4" w:val="single"/>
            </w:tcBorders>
            <w:shd w:fill="FFFFFF" w:val="clear"/>
            <w:vAlign w:val="center"/>
          </w:tcPr>
          <w:p w14:paraId="F40A0000">
            <w:pPr>
              <w:widowControl w:val="1"/>
              <w:ind/>
              <w:contextualSpacing w:val="1"/>
              <w:jc w:val="center"/>
              <w:rPr>
                <w:color w:val="000000"/>
              </w:rPr>
            </w:pPr>
            <w:r>
              <w:rPr>
                <w:color w:val="000000"/>
              </w:rPr>
              <w:t>64</w:t>
            </w:r>
          </w:p>
        </w:tc>
        <w:tc>
          <w:tcPr>
            <w:tcW w:type="dxa" w:w="1276"/>
            <w:tcBorders>
              <w:top w:color="000000" w:sz="4" w:val="single"/>
              <w:left w:color="000000" w:sz="4" w:val="single"/>
              <w:bottom w:color="000000" w:sz="4" w:val="single"/>
              <w:right w:color="000000" w:sz="4" w:val="single"/>
            </w:tcBorders>
            <w:shd w:fill="FFFFFF" w:val="clear"/>
            <w:vAlign w:val="center"/>
          </w:tcPr>
          <w:p w14:paraId="F50A0000">
            <w:pPr>
              <w:widowControl w:val="1"/>
              <w:ind/>
              <w:contextualSpacing w:val="1"/>
              <w:jc w:val="center"/>
              <w:rPr>
                <w:color w:val="000000"/>
              </w:rPr>
            </w:pPr>
            <w:r>
              <w:rPr>
                <w:color w:val="000000"/>
              </w:rPr>
              <w:t>1 085</w:t>
            </w:r>
          </w:p>
        </w:tc>
        <w:tc>
          <w:tcPr>
            <w:tcW w:type="dxa" w:w="1294"/>
            <w:tcBorders>
              <w:top w:color="000000" w:sz="4" w:val="single"/>
              <w:left w:color="000000" w:sz="4" w:val="single"/>
              <w:bottom w:color="000000" w:sz="4" w:val="single"/>
              <w:right w:color="000000" w:sz="4" w:val="single"/>
            </w:tcBorders>
            <w:shd w:fill="FFFFFF" w:val="clear"/>
            <w:vAlign w:val="center"/>
          </w:tcPr>
          <w:p w14:paraId="F60A0000">
            <w:pPr>
              <w:widowControl w:val="1"/>
              <w:ind/>
              <w:contextualSpacing w:val="1"/>
              <w:jc w:val="center"/>
              <w:rPr>
                <w:color w:val="000000"/>
              </w:rPr>
            </w:pPr>
            <w:r>
              <w:rPr>
                <w:color w:val="000000"/>
              </w:rPr>
              <w:t>263,2</w:t>
            </w:r>
          </w:p>
        </w:tc>
        <w:tc>
          <w:tcPr>
            <w:tcW w:type="dxa" w:w="1541"/>
            <w:tcBorders>
              <w:top w:color="000000" w:sz="4" w:val="single"/>
              <w:left w:color="000000" w:sz="4" w:val="single"/>
              <w:bottom w:color="000000" w:sz="4" w:val="single"/>
              <w:right w:color="000000" w:sz="4" w:val="single"/>
            </w:tcBorders>
            <w:shd w:fill="FFFFFF" w:val="clear"/>
            <w:vAlign w:val="center"/>
          </w:tcPr>
          <w:p w14:paraId="F70A0000">
            <w:pPr>
              <w:widowControl w:val="1"/>
              <w:ind/>
              <w:contextualSpacing w:val="1"/>
              <w:jc w:val="center"/>
              <w:rPr>
                <w:color w:val="000000"/>
              </w:rPr>
            </w:pPr>
            <w:r>
              <w:rPr>
                <w:color w:val="000000"/>
              </w:rPr>
              <w:t>5%</w:t>
            </w:r>
          </w:p>
        </w:tc>
      </w:tr>
      <w:tr>
        <w:trPr>
          <w:trHeight w:hRule="atLeast" w:val="255"/>
        </w:trPr>
        <w:tc>
          <w:tcPr>
            <w:tcW w:type="dxa" w:w="1985"/>
            <w:tcBorders>
              <w:top w:color="000000" w:sz="4" w:val="single"/>
              <w:left w:color="000000" w:sz="4" w:val="single"/>
              <w:bottom w:color="000000" w:sz="4" w:val="single"/>
              <w:right w:color="000000" w:sz="4" w:val="single"/>
            </w:tcBorders>
            <w:shd w:fill="FFFFFF" w:val="clear"/>
            <w:vAlign w:val="center"/>
          </w:tcPr>
          <w:p w14:paraId="F80A0000">
            <w:pPr>
              <w:widowControl w:val="1"/>
              <w:ind/>
              <w:contextualSpacing w:val="1"/>
              <w:jc w:val="center"/>
              <w:rPr>
                <w:color w:val="000000"/>
              </w:rPr>
            </w:pPr>
            <w:r>
              <w:rPr>
                <w:color w:val="000000"/>
              </w:rPr>
              <w:t>- прочие дебиторы</w:t>
            </w:r>
          </w:p>
        </w:tc>
        <w:tc>
          <w:tcPr>
            <w:tcW w:type="dxa" w:w="1134"/>
            <w:tcBorders>
              <w:top w:color="000000" w:sz="4" w:val="single"/>
              <w:left w:color="000000" w:sz="4" w:val="single"/>
              <w:bottom w:color="000000" w:sz="4" w:val="single"/>
              <w:right w:color="000000" w:sz="4" w:val="single"/>
            </w:tcBorders>
            <w:shd w:fill="FFFFFF" w:val="clear"/>
            <w:vAlign w:val="center"/>
          </w:tcPr>
          <w:p w14:paraId="F90A0000">
            <w:pPr>
              <w:widowControl w:val="1"/>
              <w:ind/>
              <w:contextualSpacing w:val="1"/>
              <w:jc w:val="center"/>
              <w:rPr>
                <w:color w:val="000000"/>
              </w:rPr>
            </w:pPr>
            <w:r>
              <w:rPr>
                <w:color w:val="000000"/>
              </w:rPr>
              <w:t>24 729</w:t>
            </w:r>
          </w:p>
        </w:tc>
        <w:tc>
          <w:tcPr>
            <w:tcW w:type="dxa" w:w="1134"/>
            <w:tcBorders>
              <w:top w:color="000000" w:sz="4" w:val="single"/>
              <w:left w:color="000000" w:sz="4" w:val="single"/>
              <w:bottom w:color="000000" w:sz="4" w:val="single"/>
              <w:right w:color="000000" w:sz="4" w:val="single"/>
            </w:tcBorders>
            <w:shd w:fill="FFFFFF" w:val="clear"/>
            <w:vAlign w:val="center"/>
          </w:tcPr>
          <w:p w14:paraId="FA0A0000">
            <w:pPr>
              <w:widowControl w:val="1"/>
              <w:ind/>
              <w:contextualSpacing w:val="1"/>
              <w:jc w:val="center"/>
              <w:rPr>
                <w:color w:val="000000"/>
              </w:rPr>
            </w:pPr>
            <w:r>
              <w:rPr>
                <w:color w:val="000000"/>
              </w:rPr>
              <w:t>58 377</w:t>
            </w:r>
          </w:p>
        </w:tc>
        <w:tc>
          <w:tcPr>
            <w:tcW w:type="dxa" w:w="1134"/>
            <w:tcBorders>
              <w:top w:color="000000" w:sz="4" w:val="single"/>
              <w:left w:color="000000" w:sz="4" w:val="single"/>
              <w:bottom w:color="000000" w:sz="4" w:val="single"/>
              <w:right w:color="000000" w:sz="4" w:val="single"/>
            </w:tcBorders>
            <w:shd w:fill="FFFFFF" w:val="clear"/>
            <w:vAlign w:val="center"/>
          </w:tcPr>
          <w:p w14:paraId="FB0A0000">
            <w:pPr>
              <w:widowControl w:val="1"/>
              <w:ind/>
              <w:contextualSpacing w:val="1"/>
              <w:jc w:val="center"/>
              <w:rPr>
                <w:color w:val="000000"/>
              </w:rPr>
            </w:pPr>
            <w:r>
              <w:rPr>
                <w:color w:val="000000"/>
              </w:rPr>
              <w:t>28 772</w:t>
            </w:r>
          </w:p>
        </w:tc>
        <w:tc>
          <w:tcPr>
            <w:tcW w:type="dxa" w:w="1276"/>
            <w:tcBorders>
              <w:top w:color="000000" w:sz="4" w:val="single"/>
              <w:left w:color="000000" w:sz="4" w:val="single"/>
              <w:bottom w:color="000000" w:sz="4" w:val="single"/>
              <w:right w:color="000000" w:sz="4" w:val="single"/>
            </w:tcBorders>
            <w:shd w:fill="FFFFFF" w:val="clear"/>
            <w:vAlign w:val="center"/>
          </w:tcPr>
          <w:p w14:paraId="FC0A0000">
            <w:pPr>
              <w:widowControl w:val="1"/>
              <w:ind/>
              <w:contextualSpacing w:val="1"/>
              <w:jc w:val="center"/>
              <w:rPr>
                <w:color w:val="000000"/>
              </w:rPr>
            </w:pPr>
            <w:r>
              <w:rPr>
                <w:color w:val="000000"/>
              </w:rPr>
              <w:t>-33 648</w:t>
            </w:r>
          </w:p>
        </w:tc>
        <w:tc>
          <w:tcPr>
            <w:tcW w:type="dxa" w:w="1294"/>
            <w:tcBorders>
              <w:top w:color="000000" w:sz="4" w:val="single"/>
              <w:left w:color="000000" w:sz="4" w:val="single"/>
              <w:bottom w:color="000000" w:sz="4" w:val="single"/>
              <w:right w:color="000000" w:sz="4" w:val="single"/>
            </w:tcBorders>
            <w:shd w:fill="FFFFFF" w:val="clear"/>
            <w:vAlign w:val="center"/>
          </w:tcPr>
          <w:p w14:paraId="FD0A0000">
            <w:pPr>
              <w:widowControl w:val="1"/>
              <w:ind/>
              <w:contextualSpacing w:val="1"/>
              <w:jc w:val="center"/>
              <w:rPr>
                <w:color w:val="000000"/>
              </w:rPr>
            </w:pPr>
            <w:r>
              <w:rPr>
                <w:color w:val="000000"/>
              </w:rPr>
              <w:t>42,4</w:t>
            </w:r>
          </w:p>
        </w:tc>
        <w:tc>
          <w:tcPr>
            <w:tcW w:type="dxa" w:w="1541"/>
            <w:tcBorders>
              <w:top w:color="000000" w:sz="4" w:val="single"/>
              <w:left w:color="000000" w:sz="4" w:val="single"/>
              <w:bottom w:color="000000" w:sz="4" w:val="single"/>
              <w:right w:color="000000" w:sz="4" w:val="single"/>
            </w:tcBorders>
            <w:shd w:fill="FFFFFF" w:val="clear"/>
            <w:vAlign w:val="center"/>
          </w:tcPr>
          <w:p w14:paraId="FE0A0000">
            <w:pPr>
              <w:widowControl w:val="1"/>
              <w:ind/>
              <w:contextualSpacing w:val="1"/>
              <w:jc w:val="center"/>
              <w:rPr>
                <w:color w:val="000000"/>
              </w:rPr>
            </w:pPr>
            <w:r>
              <w:rPr>
                <w:color w:val="000000"/>
              </w:rPr>
              <w:t>75%</w:t>
            </w:r>
          </w:p>
        </w:tc>
      </w:tr>
      <w:tr>
        <w:trPr>
          <w:trHeight w:hRule="atLeast" w:val="255"/>
        </w:trPr>
        <w:tc>
          <w:tcPr>
            <w:tcW w:type="dxa" w:w="1985"/>
            <w:tcBorders>
              <w:top w:color="000000" w:sz="4" w:val="single"/>
              <w:left w:color="000000" w:sz="4" w:val="single"/>
              <w:bottom w:color="000000" w:sz="4" w:val="single"/>
              <w:right w:color="000000" w:sz="4" w:val="single"/>
            </w:tcBorders>
            <w:shd w:fill="FFFFFF" w:val="clear"/>
            <w:vAlign w:val="center"/>
          </w:tcPr>
          <w:p w14:paraId="FF0A0000">
            <w:pPr>
              <w:widowControl w:val="1"/>
              <w:ind/>
              <w:contextualSpacing w:val="1"/>
              <w:jc w:val="center"/>
              <w:rPr>
                <w:color w:val="000000"/>
              </w:rPr>
            </w:pPr>
            <w:r>
              <w:rPr>
                <w:color w:val="000000"/>
              </w:rPr>
              <w:t>в т.ч. задолженность Субъектов РФ</w:t>
            </w:r>
          </w:p>
        </w:tc>
        <w:tc>
          <w:tcPr>
            <w:tcW w:type="dxa" w:w="1134"/>
            <w:tcBorders>
              <w:top w:color="000000" w:sz="4" w:val="single"/>
              <w:left w:color="000000" w:sz="4" w:val="single"/>
              <w:bottom w:color="000000" w:sz="4" w:val="single"/>
              <w:right w:color="000000" w:sz="4" w:val="single"/>
            </w:tcBorders>
            <w:shd w:fill="FFFFFF" w:val="clear"/>
            <w:vAlign w:val="center"/>
          </w:tcPr>
          <w:p w14:paraId="000B0000">
            <w:pPr>
              <w:widowControl w:val="1"/>
              <w:ind/>
              <w:contextualSpacing w:val="1"/>
              <w:jc w:val="center"/>
              <w:rPr>
                <w:color w:val="000000"/>
              </w:rPr>
            </w:pPr>
            <w:r>
              <w:rPr>
                <w:color w:val="000000"/>
              </w:rPr>
              <w:t>0</w:t>
            </w:r>
          </w:p>
        </w:tc>
        <w:tc>
          <w:tcPr>
            <w:tcW w:type="dxa" w:w="1134"/>
            <w:tcBorders>
              <w:top w:color="000000" w:sz="4" w:val="single"/>
              <w:left w:color="000000" w:sz="4" w:val="single"/>
              <w:bottom w:color="000000" w:sz="4" w:val="single"/>
              <w:right w:color="000000" w:sz="4" w:val="single"/>
            </w:tcBorders>
            <w:shd w:fill="FFFFFF" w:val="clear"/>
            <w:vAlign w:val="center"/>
          </w:tcPr>
          <w:p w14:paraId="010B0000">
            <w:pPr>
              <w:widowControl w:val="1"/>
              <w:ind/>
              <w:contextualSpacing w:val="1"/>
              <w:jc w:val="center"/>
              <w:rPr>
                <w:color w:val="000000"/>
              </w:rPr>
            </w:pPr>
            <w:r>
              <w:rPr>
                <w:color w:val="000000"/>
              </w:rPr>
              <w:t>35 345</w:t>
            </w:r>
          </w:p>
        </w:tc>
        <w:tc>
          <w:tcPr>
            <w:tcW w:type="dxa" w:w="1134"/>
            <w:tcBorders>
              <w:top w:color="000000" w:sz="4" w:val="single"/>
              <w:left w:color="000000" w:sz="4" w:val="single"/>
              <w:bottom w:color="000000" w:sz="4" w:val="single"/>
              <w:right w:color="000000" w:sz="4" w:val="single"/>
            </w:tcBorders>
            <w:shd w:fill="FFFFFF" w:val="clear"/>
            <w:vAlign w:val="center"/>
          </w:tcPr>
          <w:p w14:paraId="020B0000">
            <w:pPr>
              <w:widowControl w:val="1"/>
              <w:ind/>
              <w:contextualSpacing w:val="1"/>
              <w:jc w:val="center"/>
              <w:rPr>
                <w:color w:val="000000"/>
              </w:rPr>
            </w:pPr>
            <w:r>
              <w:rPr>
                <w:color w:val="000000"/>
              </w:rPr>
              <w:t>7 149</w:t>
            </w:r>
          </w:p>
        </w:tc>
        <w:tc>
          <w:tcPr>
            <w:tcW w:type="dxa" w:w="1276"/>
            <w:tcBorders>
              <w:top w:color="000000" w:sz="4" w:val="single"/>
              <w:left w:color="000000" w:sz="4" w:val="single"/>
              <w:bottom w:color="000000" w:sz="4" w:val="single"/>
              <w:right w:color="000000" w:sz="4" w:val="single"/>
            </w:tcBorders>
            <w:shd w:fill="FFFFFF" w:val="clear"/>
            <w:vAlign w:val="center"/>
          </w:tcPr>
          <w:p w14:paraId="030B0000">
            <w:pPr>
              <w:widowControl w:val="1"/>
              <w:ind/>
              <w:contextualSpacing w:val="1"/>
              <w:jc w:val="center"/>
              <w:rPr>
                <w:color w:val="000000"/>
              </w:rPr>
            </w:pPr>
            <w:r>
              <w:rPr>
                <w:color w:val="000000"/>
              </w:rPr>
              <w:t>-35 345</w:t>
            </w:r>
          </w:p>
        </w:tc>
        <w:tc>
          <w:tcPr>
            <w:tcW w:type="dxa" w:w="1294"/>
            <w:tcBorders>
              <w:top w:color="000000" w:sz="4" w:val="single"/>
              <w:left w:color="000000" w:sz="4" w:val="single"/>
              <w:bottom w:color="000000" w:sz="4" w:val="single"/>
              <w:right w:color="000000" w:sz="4" w:val="single"/>
            </w:tcBorders>
            <w:shd w:fill="FFFFFF" w:val="clear"/>
            <w:vAlign w:val="center"/>
          </w:tcPr>
          <w:p w14:paraId="040B0000">
            <w:pPr>
              <w:widowControl w:val="1"/>
              <w:ind/>
              <w:contextualSpacing w:val="1"/>
              <w:jc w:val="center"/>
              <w:rPr>
                <w:color w:val="000000"/>
              </w:rPr>
            </w:pPr>
            <w:r>
              <w:rPr>
                <w:color w:val="000000"/>
              </w:rPr>
              <w:t>0,0</w:t>
            </w:r>
          </w:p>
        </w:tc>
        <w:tc>
          <w:tcPr>
            <w:tcW w:type="dxa" w:w="1541"/>
            <w:tcBorders>
              <w:top w:color="000000" w:sz="4" w:val="single"/>
              <w:left w:color="000000" w:sz="4" w:val="single"/>
              <w:bottom w:color="000000" w:sz="4" w:val="single"/>
              <w:right w:color="000000" w:sz="4" w:val="single"/>
            </w:tcBorders>
            <w:shd w:fill="FFFFFF" w:val="clear"/>
            <w:vAlign w:val="center"/>
          </w:tcPr>
          <w:p w14:paraId="050B0000">
            <w:pPr>
              <w:widowControl w:val="1"/>
              <w:ind/>
              <w:contextualSpacing w:val="1"/>
              <w:jc w:val="center"/>
              <w:rPr>
                <w:color w:val="000000"/>
              </w:rPr>
            </w:pPr>
            <w:r>
              <w:rPr>
                <w:color w:val="000000"/>
              </w:rPr>
              <w:t>0%</w:t>
            </w:r>
          </w:p>
        </w:tc>
      </w:tr>
    </w:tbl>
    <w:p w14:paraId="060B0000">
      <w:pPr>
        <w:widowControl w:val="1"/>
        <w:spacing w:line="360" w:lineRule="auto"/>
        <w:ind w:firstLine="709"/>
        <w:contextualSpacing w:val="1"/>
        <w:jc w:val="both"/>
      </w:pPr>
    </w:p>
    <w:p w14:paraId="070B0000">
      <w:pPr>
        <w:widowControl w:val="1"/>
        <w:spacing w:line="360" w:lineRule="auto"/>
        <w:ind w:firstLine="709"/>
        <w:contextualSpacing w:val="1"/>
        <w:jc w:val="both"/>
        <w:rPr>
          <w:highlight w:val="yellow"/>
        </w:rPr>
      </w:pPr>
      <w:r>
        <w:t xml:space="preserve">Незначительный рост дебиторской задолженности наблюдается по задолженности покупателей и заказчиков и в общей стоимости составило 203 тыс. руб. Значительный рост дебиторской задолженности, наблюдается по статье «авансы выданные» в 2,5 раза. В стоимостном выражении «авансы выданные» возросли на 1 932 тыс. руб. или на 152,0 %, задолженность «прочих дебиторов» снизилась на 33 648 тыс. руб. или на 57,6%. Наблюдается снижение дебиторской задолженности до 0 рублей Субъектов РФ по статье «покупатели и заказчики». Такими субъектами как Республика Хакасия погашена задолженность за перевозку региональных льготников конца прошлого отчетного периода в общей сумме 31 132 тыс. руб., а вновь образованная задолженность (за отчетный период) данного субъекта отсутствует. </w:t>
      </w:r>
    </w:p>
    <w:p w14:paraId="080B0000">
      <w:pPr>
        <w:widowControl w:val="1"/>
        <w:tabs>
          <w:tab w:leader="none" w:pos="851" w:val="left"/>
        </w:tabs>
        <w:spacing w:line="360" w:lineRule="auto"/>
        <w:ind w:firstLine="709"/>
        <w:contextualSpacing w:val="1"/>
        <w:jc w:val="both"/>
      </w:pPr>
      <w:r>
        <w:tab/>
      </w:r>
      <w:r>
        <w:t>На конец отчетного периода наибольший удельный вес в структуре дебиторской задолженности занимают «Прочие дебиторы» 74,7 % или 24 729 тыс. руб., в т. ч.:</w:t>
      </w:r>
    </w:p>
    <w:p w14:paraId="09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23 721 тыс. руб. (95,9%) - ИФНС по Железнодорожному району г. Красноярска (возмещение НДС за 4 квартал 2018 года);</w:t>
      </w:r>
    </w:p>
    <w:p w14:paraId="0A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625 тыс. руб. (2,5 %) - ФСС (возмещение расходов на выплату пособий по временной нетрудоспособности и в связи с материнством за 4 квартал 2018 года);</w:t>
      </w:r>
    </w:p>
    <w:p w14:paraId="0B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383 тыс. руб. (1,6%) - другие;</w:t>
      </w:r>
    </w:p>
    <w:p w14:paraId="0C0B0000">
      <w:pPr>
        <w:widowControl w:val="1"/>
        <w:tabs>
          <w:tab w:leader="none" w:pos="851" w:val="left"/>
        </w:tabs>
        <w:spacing w:line="360" w:lineRule="auto"/>
        <w:ind w:firstLine="709"/>
        <w:contextualSpacing w:val="1"/>
        <w:jc w:val="both"/>
      </w:pPr>
      <w:r>
        <w:tab/>
      </w:r>
      <w:r>
        <w:t>«Покупатели и заказчики» в структуре дебиторской задолженности составляют 15,6 % или 5 172 тыс. руб., в т.ч.:</w:t>
      </w:r>
    </w:p>
    <w:p w14:paraId="0D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1 275 тыс. руб. (24,7 %) – Центральная дирекция инфраструктуры – филиал ОАО «РЖД» (в т. ч. за перевозку железнодорожников – 1 231);</w:t>
      </w:r>
    </w:p>
    <w:p w14:paraId="0E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565 тыс. руб. (10,9 %) – Красноярская дирекция управления движением – структурное подразделение Центральной дирекции управления движением - филиала ОАО «РЖД» (перевозка железнодорожников);</w:t>
      </w:r>
    </w:p>
    <w:p w14:paraId="0F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545 тыс. руб. (10,5 %) - Красноярская дирекция тяги – структурное подразделение Дирекции тяги - филиала ОАО «РЖД» (перевозка железнодорожников);</w:t>
      </w:r>
    </w:p>
    <w:p w14:paraId="10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467 тыс. руб. (9,0 %) – Красноярская дирекция по энергообеспечению - структурное подразделение ТрансЭнерго - филиала ОАО «РЖД» (перевозка железнодорожников);</w:t>
      </w:r>
    </w:p>
    <w:p w14:paraId="11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425 тыс. руб. (8,2) - Енисейский филиал - пассажирское вагонное депо Красноярск АО «ФПК» (перевозка железнодорожников и агентское вознаграждение за продажу билетов на поезда дальнего следования</w:t>
      </w:r>
      <w:r>
        <w:t>);</w:t>
      </w:r>
    </w:p>
    <w:p w14:paraId="12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320 тыс. руб. (6,2 %) – Красноярская дирекция по ремонту пути – структурное подразделение Центральной дирекции по ремонту пути – филиала ОАО «РЖД» (перевозка железнодорожников);</w:t>
      </w:r>
    </w:p>
    <w:p w14:paraId="13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277 тыс. руб. (5,4 %) - Унитарная Некоммерческая организация Благотворительный фонд "ПОЧЕТ" (перевозка пенсионеров-железнодорожников);</w:t>
      </w:r>
    </w:p>
    <w:p w14:paraId="14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274 тыс. руб. (5,3 %) - Красноярская железная дорога – филиал ОАО «РЖД» (перевозка железнодорожников);</w:t>
      </w:r>
    </w:p>
    <w:p w14:paraId="15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241 тыс. руб. (4,7 %) – Красноярская дирекция по тепловодоснабжению - структурное подразделение Центральной дирекции по тепловодоснабжению - филиала ОАО "РЖД" (перевозка железнодорожников);</w:t>
      </w:r>
    </w:p>
    <w:p w14:paraId="16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137 тыс. руб. (2,6 %) – Красноярская дирекция связи - структурное подразделение Центральной станции связи - филиала ОАО "РЖД" (перевозка железнодорожников);</w:t>
      </w:r>
    </w:p>
    <w:p w14:paraId="17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125 тыс. руб. (2,6 %) – Красноярская дирекция пассажирских обустройств - структурное подразделение Центральной дирекции пассажирских обустройств - филиала ОАО "РЖД" (перевозка железнодорожников);</w:t>
      </w:r>
    </w:p>
    <w:p w14:paraId="18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112 тыс. руб. (2,2 %) – Министерство труда и социального развития Республики Хакасия (перевозка региональных льготников);</w:t>
      </w:r>
    </w:p>
    <w:p w14:paraId="19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409 тыс. руб. (7,9 %) - другие покупатели и заказчики.</w:t>
      </w:r>
    </w:p>
    <w:p w14:paraId="1A0B0000">
      <w:pPr>
        <w:widowControl w:val="1"/>
        <w:tabs>
          <w:tab w:leader="none" w:pos="851" w:val="left"/>
        </w:tabs>
        <w:spacing w:line="360" w:lineRule="auto"/>
        <w:ind w:firstLine="709"/>
        <w:contextualSpacing w:val="1"/>
        <w:jc w:val="both"/>
      </w:pPr>
      <w:r>
        <w:tab/>
      </w:r>
      <w:r>
        <w:t>В общей сумме дебиторской задолженности числится просроченная дебиторская задолженность «Покупателей и заказчиков» в сумме 268 тыс. руб. Сумма просроченной дебиторской задолженности за перевозку региональных льготников составляет 81 тыс. руб., в т.ч.:  Министерства труда и социального развития Республики Хакасия - 81 тыс. руб. Сумма просроченной дебиторской задолженности за перевозку железнодорожников составляет 184 тыс. руб. Погашение просроченной задолженности Министерства транспорта и дорожного хозяйства Республики Хакасия в размере 4 185 тыс. руб., числившейся на начало отчетного периода, в течение 2018 года производилось согласно графику платежей в соответствие мировому соглашению о рассрочке выплаты суммы долга. На конец отчетного периода задолженность отсутствует.</w:t>
      </w:r>
    </w:p>
    <w:p w14:paraId="1B0B0000">
      <w:pPr>
        <w:widowControl w:val="1"/>
        <w:tabs>
          <w:tab w:leader="none" w:pos="851" w:val="left"/>
        </w:tabs>
        <w:spacing w:line="360" w:lineRule="auto"/>
        <w:ind w:firstLine="709"/>
        <w:contextualSpacing w:val="1"/>
        <w:jc w:val="both"/>
      </w:pPr>
      <w:r>
        <w:tab/>
      </w:r>
      <w:r>
        <w:t>«Авансы выданные» в структуре дебиторской задолженности составляют 9,7 % или                  3 203 тыс. руб., в т. ч.:</w:t>
      </w:r>
    </w:p>
    <w:p w14:paraId="1C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1 453 тыс. руб. (45,4 %) – Енисейскому филиалу - пассажирскому вагонному депо Красноярск АО «ФПК» по договору аренды пассажирских вагонов;</w:t>
      </w:r>
    </w:p>
    <w:p w14:paraId="1D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1 148 тыс. руб. (35,8 %) – Центральной дирекции моторвагонного подвижного состава – филиала ОАО «РЖД» по договорам аренды, управления и выполнения работ по ремонтам;</w:t>
      </w:r>
    </w:p>
    <w:p w14:paraId="1E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582 тыс. руб. (18,2 %) – Красноярской дирекцией моторвагонного подвижного состава – структурного подразделения Центральной дирекции моторвагонного подвижного состава – филиала ОАО «РЖД» по договорам управления и выполнения работ по ремонтам;</w:t>
      </w:r>
    </w:p>
    <w:p w14:paraId="1F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10 тыс. руб. (0,3 %) – Центральной дирекции инфраструктуры – филиала ОАО «РЖД» по договору оказания услуг по использованию инфраструктуры железнодорожного транспорта;</w:t>
      </w:r>
    </w:p>
    <w:p w14:paraId="200B0000">
      <w:pPr>
        <w:widowControl w:val="1"/>
        <w:numPr>
          <w:ilvl w:val="0"/>
          <w:numId w:val="12"/>
        </w:numPr>
        <w:tabs>
          <w:tab w:leader="none" w:pos="720" w:val="left"/>
          <w:tab w:leader="none" w:pos="786" w:val="clear"/>
          <w:tab w:leader="none" w:pos="851" w:val="left"/>
        </w:tabs>
        <w:spacing w:line="360" w:lineRule="auto"/>
        <w:ind w:firstLine="709" w:left="0"/>
        <w:contextualSpacing w:val="1"/>
        <w:jc w:val="both"/>
      </w:pPr>
      <w:r>
        <w:t>10 тыс. руб. (0,3 %) – Красноярскому территориальному центру фирменного обслуживания - СП ЦФТО - филиала ОАО "РЖД" за перевозку моторного электропоезда;</w:t>
      </w:r>
    </w:p>
    <w:p w14:paraId="210B0000">
      <w:pPr>
        <w:widowControl w:val="1"/>
        <w:tabs>
          <w:tab w:leader="none" w:pos="851" w:val="left"/>
        </w:tabs>
        <w:spacing w:line="360" w:lineRule="auto"/>
        <w:ind w:firstLine="709"/>
        <w:contextualSpacing w:val="1"/>
        <w:jc w:val="both"/>
        <w:rPr>
          <w:b w:val="1"/>
        </w:rPr>
      </w:pPr>
      <w:r>
        <w:tab/>
      </w:r>
      <w:r>
        <w:t xml:space="preserve">Наличие и движение дебиторской задолженности в разрезе контрагентов представлены в Приложении № </w:t>
      </w:r>
      <w:r>
        <w:t>5</w:t>
      </w:r>
      <w:r>
        <w:t>.</w:t>
      </w:r>
    </w:p>
    <w:p w14:paraId="220B0000">
      <w:pPr>
        <w:widowControl w:val="1"/>
        <w:tabs>
          <w:tab w:leader="none" w:pos="851" w:val="left"/>
        </w:tabs>
        <w:spacing w:line="360" w:lineRule="auto"/>
        <w:ind w:firstLine="709"/>
        <w:contextualSpacing w:val="1"/>
        <w:jc w:val="both"/>
        <w:rPr>
          <w:b w:val="1"/>
        </w:rPr>
      </w:pPr>
    </w:p>
    <w:p w14:paraId="230B0000">
      <w:pPr>
        <w:widowControl w:val="1"/>
        <w:tabs>
          <w:tab w:leader="none" w:pos="851" w:val="left"/>
        </w:tabs>
        <w:spacing w:line="360" w:lineRule="auto"/>
        <w:ind w:firstLine="709"/>
        <w:contextualSpacing w:val="1"/>
        <w:jc w:val="center"/>
      </w:pPr>
      <w:r>
        <w:rPr>
          <w:b w:val="1"/>
        </w:rPr>
        <w:t>Анализ кредиторской задолженности</w:t>
      </w:r>
      <w:r>
        <w:t>.</w:t>
      </w:r>
    </w:p>
    <w:p w14:paraId="240B0000">
      <w:pPr>
        <w:widowControl w:val="1"/>
        <w:tabs>
          <w:tab w:leader="none" w:pos="851" w:val="left"/>
        </w:tabs>
        <w:spacing w:line="360" w:lineRule="auto"/>
        <w:ind w:firstLine="709"/>
        <w:contextualSpacing w:val="1"/>
        <w:jc w:val="both"/>
      </w:pPr>
      <w:r>
        <w:t>Краткосрочная к</w:t>
      </w:r>
      <w:r>
        <w:t>редиторская задолженность по состоянию на 01 января 201</w:t>
      </w:r>
      <w:r>
        <w:t xml:space="preserve">8 </w:t>
      </w:r>
      <w:r>
        <w:t xml:space="preserve">года составила </w:t>
      </w:r>
      <w:r>
        <w:t>48 723</w:t>
      </w:r>
      <w:r>
        <w:t xml:space="preserve"> тыс. руб.  По отношению к началу года кредиторская задолженность </w:t>
      </w:r>
      <w:r>
        <w:t>снизилась</w:t>
      </w:r>
      <w:r>
        <w:t xml:space="preserve"> на </w:t>
      </w:r>
      <w:r>
        <w:t>29,7</w:t>
      </w:r>
      <w:r>
        <w:t xml:space="preserve"> %, что в стоимостном выражении составляет </w:t>
      </w:r>
      <w:r>
        <w:t>14 464</w:t>
      </w:r>
      <w:r>
        <w:t xml:space="preserve"> тыс. руб. и на 31.12.201</w:t>
      </w:r>
      <w:r>
        <w:t>8</w:t>
      </w:r>
      <w:r>
        <w:t xml:space="preserve"> года составила </w:t>
      </w:r>
      <w:r>
        <w:t>34 259</w:t>
      </w:r>
      <w:r>
        <w:t xml:space="preserve"> тыс. руб. Структура кредиторской задолженности представлена следующим образом:</w:t>
      </w:r>
    </w:p>
    <w:p w14:paraId="250B0000">
      <w:pPr>
        <w:widowControl w:val="1"/>
        <w:tabs>
          <w:tab w:leader="none" w:pos="851" w:val="left"/>
        </w:tabs>
        <w:spacing w:line="360" w:lineRule="auto"/>
        <w:ind w:firstLine="709"/>
        <w:contextualSpacing w:val="1"/>
        <w:jc w:val="right"/>
        <w:rPr>
          <w:b w:val="1"/>
        </w:rPr>
      </w:pPr>
    </w:p>
    <w:p w14:paraId="260B0000">
      <w:pPr>
        <w:widowControl w:val="1"/>
        <w:tabs>
          <w:tab w:leader="none" w:pos="851" w:val="left"/>
        </w:tabs>
        <w:spacing w:line="360" w:lineRule="auto"/>
        <w:ind w:firstLine="709"/>
        <w:contextualSpacing w:val="1"/>
        <w:jc w:val="right"/>
        <w:rPr>
          <w:b w:val="1"/>
        </w:rPr>
      </w:pPr>
    </w:p>
    <w:p w14:paraId="270B0000">
      <w:pPr>
        <w:widowControl w:val="1"/>
        <w:tabs>
          <w:tab w:leader="none" w:pos="851" w:val="left"/>
        </w:tabs>
        <w:spacing w:line="360" w:lineRule="auto"/>
        <w:ind w:firstLine="709"/>
        <w:contextualSpacing w:val="1"/>
        <w:jc w:val="right"/>
        <w:rPr>
          <w:b w:val="1"/>
        </w:rPr>
      </w:pPr>
      <w:r>
        <w:rPr>
          <w:b w:val="1"/>
        </w:rPr>
        <w:t>Таблица 5.</w:t>
      </w:r>
      <w:r>
        <w:rPr>
          <w:b w:val="1"/>
        </w:rPr>
        <w:t>1</w:t>
      </w:r>
      <w:r>
        <w:rPr>
          <w:b w:val="1"/>
        </w:rPr>
        <w:t>6</w:t>
      </w:r>
      <w:r>
        <w:rPr>
          <w:b w:val="1"/>
        </w:rPr>
        <w:t>.</w:t>
      </w:r>
    </w:p>
    <w:p w14:paraId="280B0000">
      <w:pPr>
        <w:widowControl w:val="1"/>
        <w:tabs>
          <w:tab w:leader="none" w:pos="851" w:val="left"/>
        </w:tabs>
        <w:spacing w:line="360" w:lineRule="auto"/>
        <w:ind w:firstLine="709"/>
        <w:contextualSpacing w:val="1"/>
        <w:jc w:val="center"/>
        <w:rPr>
          <w:b w:val="1"/>
        </w:rPr>
      </w:pPr>
      <w:r>
        <w:rPr>
          <w:b w:val="1"/>
        </w:rPr>
        <w:t>Структура кредиторской задолженности</w:t>
      </w:r>
    </w:p>
    <w:p w14:paraId="290B0000">
      <w:pPr>
        <w:pStyle w:val="Style_12"/>
        <w:widowControl w:val="1"/>
        <w:ind w:firstLine="709"/>
        <w:contextualSpacing w:val="1"/>
        <w:rPr>
          <w:rFonts w:ascii="Times New Roman" w:hAnsi="Times New Roman"/>
          <w:sz w:val="24"/>
          <w:highlight w:val="magenta"/>
        </w:rPr>
      </w:pPr>
    </w:p>
    <w:tbl>
      <w:tblPr>
        <w:tblStyle w:val="Style_4"/>
        <w:tblW w:type="auto" w:w="0"/>
        <w:tblInd w:type="dxa" w:w="10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2410"/>
        <w:gridCol w:w="1166"/>
        <w:gridCol w:w="1166"/>
        <w:gridCol w:w="1166"/>
        <w:gridCol w:w="1284"/>
        <w:gridCol w:w="1030"/>
        <w:gridCol w:w="1276"/>
      </w:tblGrid>
      <w:tr>
        <w:trPr>
          <w:trHeight w:hRule="atLeast" w:val="1689"/>
        </w:trPr>
        <w:tc>
          <w:tcPr>
            <w:tcW w:type="dxa" w:w="2410"/>
            <w:tcBorders>
              <w:top w:color="000000" w:sz="4" w:val="single"/>
              <w:left w:color="000000" w:sz="4" w:val="single"/>
              <w:bottom w:color="000000" w:sz="4" w:val="single"/>
              <w:right w:color="000000" w:sz="4" w:val="single"/>
            </w:tcBorders>
            <w:vAlign w:val="center"/>
          </w:tcPr>
          <w:p w14:paraId="2A0B0000">
            <w:pPr>
              <w:widowControl w:val="1"/>
              <w:ind w:firstLine="34"/>
              <w:contextualSpacing w:val="1"/>
              <w:jc w:val="center"/>
              <w:rPr>
                <w:color w:val="000000"/>
              </w:rPr>
            </w:pPr>
            <w:r>
              <w:t>Наименование</w:t>
            </w:r>
          </w:p>
        </w:tc>
        <w:tc>
          <w:tcPr>
            <w:tcW w:type="dxa" w:w="1166"/>
            <w:tcBorders>
              <w:top w:color="000000" w:sz="4" w:val="single"/>
              <w:left w:color="000000" w:sz="4" w:val="single"/>
              <w:bottom w:color="000000" w:sz="4" w:val="single"/>
              <w:right w:color="000000" w:sz="4" w:val="single"/>
            </w:tcBorders>
            <w:shd w:fill="auto" w:val="clear"/>
            <w:vAlign w:val="center"/>
          </w:tcPr>
          <w:p w14:paraId="2B0B0000">
            <w:pPr>
              <w:widowControl w:val="1"/>
              <w:ind w:firstLine="34"/>
              <w:contextualSpacing w:val="1"/>
              <w:jc w:val="center"/>
              <w:rPr>
                <w:color w:val="000000"/>
              </w:rPr>
            </w:pPr>
            <w:r>
              <w:rPr>
                <w:color w:val="000000"/>
              </w:rPr>
              <w:t>Остаток на 31.12.2018, тыс.руб.</w:t>
            </w:r>
          </w:p>
        </w:tc>
        <w:tc>
          <w:tcPr>
            <w:tcW w:type="dxa" w:w="1166"/>
            <w:tcBorders>
              <w:top w:color="000000" w:sz="4" w:val="single"/>
              <w:left w:color="000000" w:sz="4" w:val="single"/>
              <w:bottom w:color="000000" w:sz="4" w:val="single"/>
              <w:right w:color="000000" w:sz="4" w:val="single"/>
            </w:tcBorders>
            <w:shd w:fill="auto" w:val="clear"/>
            <w:vAlign w:val="center"/>
          </w:tcPr>
          <w:p w14:paraId="2C0B0000">
            <w:pPr>
              <w:widowControl w:val="1"/>
              <w:ind w:firstLine="34"/>
              <w:contextualSpacing w:val="1"/>
              <w:jc w:val="center"/>
              <w:rPr>
                <w:color w:val="000000"/>
              </w:rPr>
            </w:pPr>
            <w:r>
              <w:rPr>
                <w:color w:val="000000"/>
              </w:rPr>
              <w:t>Остаток на 31.12.2017, тыс.руб.</w:t>
            </w:r>
          </w:p>
        </w:tc>
        <w:tc>
          <w:tcPr>
            <w:tcW w:type="dxa" w:w="1166"/>
            <w:tcBorders>
              <w:top w:color="000000" w:sz="4" w:val="single"/>
              <w:left w:color="000000" w:sz="4" w:val="single"/>
              <w:bottom w:color="000000" w:sz="4" w:val="single"/>
              <w:right w:color="000000" w:sz="4" w:val="single"/>
            </w:tcBorders>
            <w:shd w:fill="auto" w:val="clear"/>
            <w:vAlign w:val="center"/>
          </w:tcPr>
          <w:p w14:paraId="2D0B0000">
            <w:pPr>
              <w:widowControl w:val="1"/>
              <w:ind w:firstLine="34"/>
              <w:contextualSpacing w:val="1"/>
              <w:jc w:val="center"/>
              <w:rPr>
                <w:color w:val="000000"/>
              </w:rPr>
            </w:pPr>
            <w:r>
              <w:rPr>
                <w:color w:val="000000"/>
              </w:rPr>
              <w:t>Остаток на 31.12.2016, тыс.руб.</w:t>
            </w:r>
          </w:p>
        </w:tc>
        <w:tc>
          <w:tcPr>
            <w:tcW w:type="dxa" w:w="1284"/>
            <w:tcBorders>
              <w:top w:color="000000" w:sz="4" w:val="single"/>
              <w:left w:color="000000" w:sz="4" w:val="single"/>
              <w:bottom w:color="000000" w:sz="4" w:val="single"/>
              <w:right w:color="000000" w:sz="4" w:val="single"/>
            </w:tcBorders>
            <w:vAlign w:val="center"/>
          </w:tcPr>
          <w:p w14:paraId="2E0B0000">
            <w:pPr>
              <w:widowControl w:val="1"/>
              <w:ind w:firstLine="34"/>
              <w:contextualSpacing w:val="1"/>
              <w:jc w:val="center"/>
              <w:rPr>
                <w:color w:val="000000"/>
              </w:rPr>
            </w:pPr>
            <w:r>
              <w:rPr>
                <w:color w:val="000000"/>
              </w:rPr>
              <w:t>Абсолютное отклонение 2018/2017, тыс. руб.</w:t>
            </w:r>
          </w:p>
        </w:tc>
        <w:tc>
          <w:tcPr>
            <w:tcW w:type="dxa" w:w="1030"/>
            <w:tcBorders>
              <w:top w:color="000000" w:sz="4" w:val="single"/>
              <w:left w:color="000000" w:sz="4" w:val="single"/>
              <w:bottom w:color="000000" w:sz="4" w:val="single"/>
              <w:right w:color="000000" w:sz="4" w:val="single"/>
            </w:tcBorders>
            <w:vAlign w:val="center"/>
          </w:tcPr>
          <w:p w14:paraId="2F0B0000">
            <w:pPr>
              <w:widowControl w:val="1"/>
              <w:ind w:firstLine="34"/>
              <w:contextualSpacing w:val="1"/>
              <w:jc w:val="center"/>
              <w:rPr>
                <w:color w:val="000000"/>
              </w:rPr>
            </w:pPr>
            <w:r>
              <w:rPr>
                <w:color w:val="000000"/>
              </w:rPr>
              <w:t>Темп роста 2018/ 2017, %</w:t>
            </w:r>
          </w:p>
        </w:tc>
        <w:tc>
          <w:tcPr>
            <w:tcW w:type="dxa" w:w="1276"/>
            <w:tcBorders>
              <w:top w:color="000000" w:sz="4" w:val="single"/>
              <w:left w:color="000000" w:sz="4" w:val="single"/>
              <w:bottom w:color="000000" w:sz="4" w:val="single"/>
              <w:right w:color="000000" w:sz="4" w:val="single"/>
            </w:tcBorders>
            <w:shd w:fill="auto" w:val="clear"/>
            <w:vAlign w:val="center"/>
          </w:tcPr>
          <w:p w14:paraId="300B0000">
            <w:pPr>
              <w:widowControl w:val="1"/>
              <w:ind w:firstLine="34"/>
              <w:contextualSpacing w:val="1"/>
              <w:jc w:val="center"/>
              <w:rPr>
                <w:color w:val="000000"/>
              </w:rPr>
            </w:pPr>
            <w:r>
              <w:rPr>
                <w:color w:val="000000"/>
              </w:rPr>
              <w:t>Доля в составе дебиторской задолженности 2018, %</w:t>
            </w:r>
          </w:p>
        </w:tc>
      </w:tr>
      <w:tr>
        <w:trPr>
          <w:trHeight w:hRule="atLeast" w:val="330"/>
        </w:trPr>
        <w:tc>
          <w:tcPr>
            <w:tcW w:type="dxa" w:w="2410"/>
            <w:tcBorders>
              <w:top w:color="000000" w:sz="4" w:val="single"/>
              <w:left w:color="000000" w:sz="4" w:val="single"/>
              <w:bottom w:color="000000" w:sz="4" w:val="single"/>
              <w:right w:color="000000" w:sz="4" w:val="single"/>
            </w:tcBorders>
            <w:shd w:fill="FFFFFF" w:val="clear"/>
            <w:vAlign w:val="center"/>
          </w:tcPr>
          <w:p w14:paraId="310B0000">
            <w:pPr>
              <w:widowControl w:val="1"/>
              <w:ind w:firstLine="34"/>
              <w:contextualSpacing w:val="1"/>
              <w:jc w:val="center"/>
              <w:rPr>
                <w:b w:val="1"/>
                <w:color w:val="000000"/>
              </w:rPr>
            </w:pPr>
            <w:r>
              <w:rPr>
                <w:b w:val="1"/>
                <w:color w:val="000000"/>
              </w:rPr>
              <w:t>Кредиторская задолженность всего</w:t>
            </w:r>
          </w:p>
        </w:tc>
        <w:tc>
          <w:tcPr>
            <w:tcW w:type="dxa" w:w="1166"/>
            <w:tcBorders>
              <w:top w:color="000000" w:sz="4" w:val="single"/>
              <w:left w:color="000000" w:sz="4" w:val="single"/>
              <w:bottom w:color="000000" w:sz="4" w:val="single"/>
              <w:right w:color="000000" w:sz="4" w:val="single"/>
            </w:tcBorders>
            <w:shd w:fill="auto" w:val="clear"/>
            <w:vAlign w:val="center"/>
          </w:tcPr>
          <w:p w14:paraId="320B0000">
            <w:pPr>
              <w:widowControl w:val="1"/>
              <w:ind w:firstLine="34"/>
              <w:contextualSpacing w:val="1"/>
              <w:jc w:val="center"/>
              <w:rPr>
                <w:b w:val="1"/>
                <w:color w:val="000000"/>
              </w:rPr>
            </w:pPr>
            <w:r>
              <w:rPr>
                <w:b w:val="1"/>
                <w:color w:val="000000"/>
              </w:rPr>
              <w:t>275 642</w:t>
            </w:r>
          </w:p>
        </w:tc>
        <w:tc>
          <w:tcPr>
            <w:tcW w:type="dxa" w:w="1166"/>
            <w:tcBorders>
              <w:top w:color="000000" w:sz="4" w:val="single"/>
              <w:left w:color="000000" w:sz="4" w:val="single"/>
              <w:bottom w:color="000000" w:sz="4" w:val="single"/>
              <w:right w:color="000000" w:sz="4" w:val="single"/>
            </w:tcBorders>
            <w:shd w:fill="auto" w:val="clear"/>
            <w:vAlign w:val="center"/>
          </w:tcPr>
          <w:p w14:paraId="330B0000">
            <w:pPr>
              <w:widowControl w:val="1"/>
              <w:ind w:firstLine="34"/>
              <w:contextualSpacing w:val="1"/>
              <w:jc w:val="center"/>
              <w:rPr>
                <w:b w:val="1"/>
                <w:color w:val="000000"/>
              </w:rPr>
            </w:pPr>
            <w:r>
              <w:rPr>
                <w:b w:val="1"/>
                <w:color w:val="000000"/>
              </w:rPr>
              <w:t>291 286</w:t>
            </w:r>
          </w:p>
        </w:tc>
        <w:tc>
          <w:tcPr>
            <w:tcW w:type="dxa" w:w="1166"/>
            <w:tcBorders>
              <w:top w:color="000000" w:sz="4" w:val="single"/>
              <w:left w:color="000000" w:sz="4" w:val="single"/>
              <w:bottom w:color="000000" w:sz="4" w:val="single"/>
              <w:right w:color="000000" w:sz="4" w:val="single"/>
            </w:tcBorders>
            <w:shd w:fill="auto" w:val="clear"/>
            <w:vAlign w:val="center"/>
          </w:tcPr>
          <w:p w14:paraId="340B0000">
            <w:pPr>
              <w:widowControl w:val="1"/>
              <w:ind w:firstLine="34"/>
              <w:contextualSpacing w:val="1"/>
              <w:jc w:val="center"/>
              <w:rPr>
                <w:b w:val="1"/>
                <w:color w:val="000000"/>
              </w:rPr>
            </w:pPr>
            <w:r>
              <w:rPr>
                <w:b w:val="1"/>
                <w:color w:val="000000"/>
              </w:rPr>
              <w:t>283 669</w:t>
            </w:r>
          </w:p>
        </w:tc>
        <w:tc>
          <w:tcPr>
            <w:tcW w:type="dxa" w:w="1284"/>
            <w:tcBorders>
              <w:top w:color="000000" w:sz="4" w:val="single"/>
              <w:left w:color="000000" w:sz="4" w:val="single"/>
              <w:bottom w:color="000000" w:sz="4" w:val="single"/>
              <w:right w:color="000000" w:sz="4" w:val="single"/>
            </w:tcBorders>
            <w:shd w:fill="auto" w:val="clear"/>
            <w:vAlign w:val="center"/>
          </w:tcPr>
          <w:p w14:paraId="350B0000">
            <w:pPr>
              <w:widowControl w:val="1"/>
              <w:ind w:firstLine="34"/>
              <w:contextualSpacing w:val="1"/>
              <w:jc w:val="center"/>
              <w:rPr>
                <w:color w:val="000000"/>
              </w:rPr>
            </w:pPr>
            <w:r>
              <w:rPr>
                <w:color w:val="000000"/>
              </w:rPr>
              <w:t>-15 644</w:t>
            </w:r>
          </w:p>
        </w:tc>
        <w:tc>
          <w:tcPr>
            <w:tcW w:type="dxa" w:w="1030"/>
            <w:tcBorders>
              <w:top w:color="000000" w:sz="4" w:val="single"/>
              <w:left w:color="000000" w:sz="4" w:val="single"/>
              <w:bottom w:color="000000" w:sz="4" w:val="single"/>
              <w:right w:color="000000" w:sz="4" w:val="single"/>
            </w:tcBorders>
            <w:shd w:fill="auto" w:val="clear"/>
            <w:vAlign w:val="center"/>
          </w:tcPr>
          <w:p w14:paraId="360B0000">
            <w:pPr>
              <w:widowControl w:val="1"/>
              <w:ind w:firstLine="34"/>
              <w:contextualSpacing w:val="1"/>
              <w:jc w:val="center"/>
              <w:rPr>
                <w:color w:val="000000"/>
              </w:rPr>
            </w:pPr>
            <w:r>
              <w:rPr>
                <w:color w:val="000000"/>
              </w:rPr>
              <w:t>94,6</w:t>
            </w:r>
          </w:p>
        </w:tc>
        <w:tc>
          <w:tcPr>
            <w:tcW w:type="dxa" w:w="1276"/>
            <w:tcBorders>
              <w:top w:color="000000" w:sz="4" w:val="single"/>
              <w:left w:color="000000" w:sz="4" w:val="single"/>
              <w:bottom w:color="000000" w:sz="4" w:val="single"/>
              <w:right w:color="000000" w:sz="4" w:val="single"/>
            </w:tcBorders>
            <w:shd w:fill="auto" w:val="clear"/>
            <w:vAlign w:val="center"/>
          </w:tcPr>
          <w:p w14:paraId="370B0000">
            <w:pPr>
              <w:widowControl w:val="1"/>
              <w:ind w:firstLine="34"/>
              <w:contextualSpacing w:val="1"/>
              <w:jc w:val="center"/>
              <w:rPr>
                <w:b w:val="1"/>
                <w:color w:val="000000"/>
              </w:rPr>
            </w:pPr>
            <w:r>
              <w:rPr>
                <w:b w:val="1"/>
                <w:color w:val="000000"/>
              </w:rPr>
              <w:t>100%</w:t>
            </w:r>
          </w:p>
        </w:tc>
      </w:tr>
      <w:tr>
        <w:trPr>
          <w:trHeight w:hRule="atLeast" w:val="330"/>
        </w:trPr>
        <w:tc>
          <w:tcPr>
            <w:tcW w:type="dxa" w:w="2410"/>
            <w:tcBorders>
              <w:top w:color="000000" w:sz="4" w:val="single"/>
              <w:left w:color="000000" w:sz="4" w:val="single"/>
              <w:bottom w:color="000000" w:sz="4" w:val="single"/>
              <w:right w:color="000000" w:sz="4" w:val="single"/>
            </w:tcBorders>
            <w:shd w:fill="auto" w:val="clear"/>
            <w:vAlign w:val="center"/>
          </w:tcPr>
          <w:p w14:paraId="380B0000">
            <w:pPr>
              <w:widowControl w:val="1"/>
              <w:ind w:firstLine="34"/>
              <w:contextualSpacing w:val="1"/>
              <w:jc w:val="center"/>
              <w:rPr>
                <w:b w:val="1"/>
                <w:color w:val="000000"/>
              </w:rPr>
            </w:pPr>
            <w:r>
              <w:rPr>
                <w:b w:val="1"/>
                <w:color w:val="000000"/>
              </w:rPr>
              <w:t>Долгосрочная кредиторская задолженность, в т.ч.</w:t>
            </w:r>
          </w:p>
        </w:tc>
        <w:tc>
          <w:tcPr>
            <w:tcW w:type="dxa" w:w="1166"/>
            <w:tcBorders>
              <w:top w:color="000000" w:sz="4" w:val="single"/>
              <w:left w:color="000000" w:sz="4" w:val="single"/>
              <w:bottom w:color="000000" w:sz="4" w:val="single"/>
              <w:right w:color="000000" w:sz="4" w:val="single"/>
            </w:tcBorders>
            <w:shd w:fill="auto" w:val="clear"/>
            <w:vAlign w:val="center"/>
          </w:tcPr>
          <w:p w14:paraId="390B0000">
            <w:pPr>
              <w:widowControl w:val="1"/>
              <w:ind w:firstLine="34"/>
              <w:contextualSpacing w:val="1"/>
              <w:jc w:val="center"/>
              <w:rPr>
                <w:b w:val="1"/>
                <w:color w:val="000000"/>
              </w:rPr>
            </w:pPr>
            <w:r>
              <w:rPr>
                <w:b w:val="1"/>
                <w:color w:val="000000"/>
              </w:rPr>
              <w:t>241 383</w:t>
            </w:r>
          </w:p>
        </w:tc>
        <w:tc>
          <w:tcPr>
            <w:tcW w:type="dxa" w:w="1166"/>
            <w:tcBorders>
              <w:top w:color="000000" w:sz="4" w:val="single"/>
              <w:left w:color="000000" w:sz="4" w:val="single"/>
              <w:bottom w:color="000000" w:sz="4" w:val="single"/>
              <w:right w:color="000000" w:sz="4" w:val="single"/>
            </w:tcBorders>
            <w:shd w:fill="auto" w:val="clear"/>
            <w:vAlign w:val="center"/>
          </w:tcPr>
          <w:p w14:paraId="3A0B0000">
            <w:pPr>
              <w:widowControl w:val="1"/>
              <w:ind w:firstLine="34"/>
              <w:contextualSpacing w:val="1"/>
              <w:jc w:val="center"/>
              <w:rPr>
                <w:b w:val="1"/>
                <w:color w:val="000000"/>
              </w:rPr>
            </w:pPr>
            <w:r>
              <w:rPr>
                <w:b w:val="1"/>
                <w:color w:val="000000"/>
              </w:rPr>
              <w:t>242 563</w:t>
            </w:r>
          </w:p>
        </w:tc>
        <w:tc>
          <w:tcPr>
            <w:tcW w:type="dxa" w:w="1166"/>
            <w:tcBorders>
              <w:top w:color="000000" w:sz="4" w:val="single"/>
              <w:left w:color="000000" w:sz="4" w:val="single"/>
              <w:bottom w:color="000000" w:sz="4" w:val="single"/>
              <w:right w:color="000000" w:sz="4" w:val="single"/>
            </w:tcBorders>
            <w:shd w:fill="auto" w:val="clear"/>
            <w:vAlign w:val="center"/>
          </w:tcPr>
          <w:p w14:paraId="3B0B0000">
            <w:pPr>
              <w:widowControl w:val="1"/>
              <w:ind w:firstLine="34"/>
              <w:contextualSpacing w:val="1"/>
              <w:jc w:val="center"/>
              <w:rPr>
                <w:b w:val="1"/>
                <w:color w:val="000000"/>
              </w:rPr>
            </w:pPr>
            <w:r>
              <w:rPr>
                <w:b w:val="1"/>
                <w:color w:val="000000"/>
              </w:rPr>
              <w:t>243 805</w:t>
            </w:r>
          </w:p>
        </w:tc>
        <w:tc>
          <w:tcPr>
            <w:tcW w:type="dxa" w:w="1284"/>
            <w:tcBorders>
              <w:top w:color="000000" w:sz="4" w:val="single"/>
              <w:left w:color="000000" w:sz="4" w:val="single"/>
              <w:bottom w:color="000000" w:sz="4" w:val="single"/>
              <w:right w:color="000000" w:sz="4" w:val="single"/>
            </w:tcBorders>
            <w:shd w:fill="auto" w:val="clear"/>
            <w:vAlign w:val="center"/>
          </w:tcPr>
          <w:p w14:paraId="3C0B0000">
            <w:pPr>
              <w:widowControl w:val="1"/>
              <w:ind w:firstLine="34"/>
              <w:contextualSpacing w:val="1"/>
              <w:jc w:val="center"/>
              <w:rPr>
                <w:color w:val="000000"/>
              </w:rPr>
            </w:pPr>
            <w:r>
              <w:rPr>
                <w:color w:val="000000"/>
              </w:rPr>
              <w:t>-1 180</w:t>
            </w:r>
          </w:p>
        </w:tc>
        <w:tc>
          <w:tcPr>
            <w:tcW w:type="dxa" w:w="1030"/>
            <w:tcBorders>
              <w:top w:color="000000" w:sz="4" w:val="single"/>
              <w:left w:color="000000" w:sz="4" w:val="single"/>
              <w:bottom w:color="000000" w:sz="4" w:val="single"/>
              <w:right w:color="000000" w:sz="4" w:val="single"/>
            </w:tcBorders>
            <w:shd w:fill="auto" w:val="clear"/>
            <w:vAlign w:val="center"/>
          </w:tcPr>
          <w:p w14:paraId="3D0B0000">
            <w:pPr>
              <w:widowControl w:val="1"/>
              <w:ind w:firstLine="34"/>
              <w:contextualSpacing w:val="1"/>
              <w:jc w:val="center"/>
              <w:rPr>
                <w:color w:val="000000"/>
              </w:rPr>
            </w:pPr>
            <w:r>
              <w:rPr>
                <w:color w:val="000000"/>
              </w:rPr>
              <w:t>99,5</w:t>
            </w:r>
          </w:p>
        </w:tc>
        <w:tc>
          <w:tcPr>
            <w:tcW w:type="dxa" w:w="1276"/>
            <w:tcBorders>
              <w:top w:color="000000" w:sz="4" w:val="single"/>
              <w:left w:color="000000" w:sz="4" w:val="single"/>
              <w:bottom w:color="000000" w:sz="4" w:val="single"/>
              <w:right w:color="000000" w:sz="4" w:val="single"/>
            </w:tcBorders>
            <w:shd w:fill="auto" w:val="clear"/>
            <w:vAlign w:val="center"/>
          </w:tcPr>
          <w:p w14:paraId="3E0B0000">
            <w:pPr>
              <w:widowControl w:val="1"/>
              <w:ind w:firstLine="34"/>
              <w:contextualSpacing w:val="1"/>
              <w:jc w:val="center"/>
              <w:rPr>
                <w:b w:val="1"/>
                <w:color w:val="000000"/>
              </w:rPr>
            </w:pPr>
            <w:r>
              <w:rPr>
                <w:b w:val="1"/>
                <w:color w:val="000000"/>
              </w:rPr>
              <w:t>88%</w:t>
            </w:r>
          </w:p>
        </w:tc>
      </w:tr>
      <w:tr>
        <w:trPr>
          <w:trHeight w:hRule="atLeast" w:val="330"/>
        </w:trPr>
        <w:tc>
          <w:tcPr>
            <w:tcW w:type="dxa" w:w="2410"/>
            <w:tcBorders>
              <w:top w:color="000000" w:sz="4" w:val="single"/>
              <w:left w:color="000000" w:sz="4" w:val="single"/>
              <w:bottom w:color="000000" w:sz="4" w:val="single"/>
              <w:right w:color="000000" w:sz="4" w:val="single"/>
            </w:tcBorders>
            <w:shd w:fill="auto" w:val="clear"/>
            <w:vAlign w:val="center"/>
          </w:tcPr>
          <w:p w14:paraId="3F0B0000">
            <w:pPr>
              <w:widowControl w:val="1"/>
              <w:ind w:firstLine="34"/>
              <w:contextualSpacing w:val="1"/>
              <w:jc w:val="center"/>
              <w:rPr>
                <w:color w:val="000000"/>
              </w:rPr>
            </w:pPr>
            <w:r>
              <w:rPr>
                <w:color w:val="000000"/>
              </w:rPr>
              <w:t>- поставщики и подрядчики</w:t>
            </w:r>
          </w:p>
        </w:tc>
        <w:tc>
          <w:tcPr>
            <w:tcW w:type="dxa" w:w="1166"/>
            <w:tcBorders>
              <w:top w:color="000000" w:sz="4" w:val="single"/>
              <w:left w:color="000000" w:sz="4" w:val="single"/>
              <w:bottom w:color="000000" w:sz="4" w:val="single"/>
              <w:right w:color="000000" w:sz="4" w:val="single"/>
            </w:tcBorders>
            <w:shd w:fill="auto" w:val="clear"/>
            <w:vAlign w:val="center"/>
          </w:tcPr>
          <w:p w14:paraId="400B0000">
            <w:pPr>
              <w:widowControl w:val="1"/>
              <w:ind w:firstLine="34"/>
              <w:contextualSpacing w:val="1"/>
              <w:jc w:val="center"/>
              <w:rPr>
                <w:color w:val="000000"/>
              </w:rPr>
            </w:pPr>
            <w:r>
              <w:rPr>
                <w:color w:val="000000"/>
              </w:rPr>
              <w:t>241 383</w:t>
            </w:r>
          </w:p>
        </w:tc>
        <w:tc>
          <w:tcPr>
            <w:tcW w:type="dxa" w:w="1166"/>
            <w:tcBorders>
              <w:top w:color="000000" w:sz="4" w:val="single"/>
              <w:left w:color="000000" w:sz="4" w:val="single"/>
              <w:bottom w:color="000000" w:sz="4" w:val="single"/>
              <w:right w:color="000000" w:sz="4" w:val="single"/>
            </w:tcBorders>
            <w:shd w:fill="auto" w:val="clear"/>
            <w:vAlign w:val="center"/>
          </w:tcPr>
          <w:p w14:paraId="410B0000">
            <w:pPr>
              <w:widowControl w:val="1"/>
              <w:ind w:firstLine="34"/>
              <w:contextualSpacing w:val="1"/>
              <w:jc w:val="center"/>
              <w:rPr>
                <w:color w:val="000000"/>
              </w:rPr>
            </w:pPr>
            <w:r>
              <w:rPr>
                <w:color w:val="000000"/>
              </w:rPr>
              <w:t>242 563</w:t>
            </w:r>
          </w:p>
        </w:tc>
        <w:tc>
          <w:tcPr>
            <w:tcW w:type="dxa" w:w="1166"/>
            <w:tcBorders>
              <w:top w:color="000000" w:sz="4" w:val="single"/>
              <w:left w:color="000000" w:sz="4" w:val="single"/>
              <w:bottom w:color="000000" w:sz="4" w:val="single"/>
              <w:right w:color="000000" w:sz="4" w:val="single"/>
            </w:tcBorders>
            <w:shd w:fill="auto" w:val="clear"/>
            <w:vAlign w:val="center"/>
          </w:tcPr>
          <w:p w14:paraId="420B0000">
            <w:pPr>
              <w:widowControl w:val="1"/>
              <w:ind w:firstLine="34"/>
              <w:contextualSpacing w:val="1"/>
              <w:jc w:val="center"/>
              <w:rPr>
                <w:color w:val="000000"/>
              </w:rPr>
            </w:pPr>
            <w:r>
              <w:rPr>
                <w:color w:val="000000"/>
              </w:rPr>
              <w:t>243 805</w:t>
            </w:r>
          </w:p>
        </w:tc>
        <w:tc>
          <w:tcPr>
            <w:tcW w:type="dxa" w:w="1284"/>
            <w:tcBorders>
              <w:top w:color="000000" w:sz="4" w:val="single"/>
              <w:left w:color="000000" w:sz="4" w:val="single"/>
              <w:bottom w:color="000000" w:sz="4" w:val="single"/>
              <w:right w:color="000000" w:sz="4" w:val="single"/>
            </w:tcBorders>
            <w:shd w:fill="auto" w:val="clear"/>
            <w:vAlign w:val="center"/>
          </w:tcPr>
          <w:p w14:paraId="430B0000">
            <w:pPr>
              <w:widowControl w:val="1"/>
              <w:ind w:firstLine="34"/>
              <w:contextualSpacing w:val="1"/>
              <w:jc w:val="center"/>
              <w:rPr>
                <w:color w:val="000000"/>
              </w:rPr>
            </w:pPr>
            <w:r>
              <w:rPr>
                <w:color w:val="000000"/>
              </w:rPr>
              <w:t>-1 180</w:t>
            </w:r>
          </w:p>
        </w:tc>
        <w:tc>
          <w:tcPr>
            <w:tcW w:type="dxa" w:w="1030"/>
            <w:tcBorders>
              <w:top w:color="000000" w:sz="4" w:val="single"/>
              <w:left w:color="000000" w:sz="4" w:val="single"/>
              <w:bottom w:color="000000" w:sz="4" w:val="single"/>
              <w:right w:color="000000" w:sz="4" w:val="single"/>
            </w:tcBorders>
            <w:shd w:fill="auto" w:val="clear"/>
            <w:vAlign w:val="center"/>
          </w:tcPr>
          <w:p w14:paraId="440B0000">
            <w:pPr>
              <w:widowControl w:val="1"/>
              <w:ind w:firstLine="34"/>
              <w:contextualSpacing w:val="1"/>
              <w:jc w:val="center"/>
              <w:rPr>
                <w:color w:val="000000"/>
              </w:rPr>
            </w:pPr>
            <w:r>
              <w:rPr>
                <w:color w:val="000000"/>
              </w:rPr>
              <w:t>99,5</w:t>
            </w:r>
          </w:p>
        </w:tc>
        <w:tc>
          <w:tcPr>
            <w:tcW w:type="dxa" w:w="1276"/>
            <w:tcBorders>
              <w:top w:color="000000" w:sz="4" w:val="single"/>
              <w:left w:color="000000" w:sz="4" w:val="single"/>
              <w:bottom w:color="000000" w:sz="4" w:val="single"/>
              <w:right w:color="000000" w:sz="4" w:val="single"/>
            </w:tcBorders>
            <w:shd w:fill="auto" w:val="clear"/>
            <w:vAlign w:val="center"/>
          </w:tcPr>
          <w:p w14:paraId="450B0000">
            <w:pPr>
              <w:widowControl w:val="1"/>
              <w:ind w:firstLine="34"/>
              <w:contextualSpacing w:val="1"/>
              <w:jc w:val="center"/>
              <w:rPr>
                <w:color w:val="000000"/>
              </w:rPr>
            </w:pPr>
            <w:r>
              <w:rPr>
                <w:color w:val="000000"/>
              </w:rPr>
              <w:t>88%</w:t>
            </w:r>
          </w:p>
        </w:tc>
      </w:tr>
      <w:tr>
        <w:trPr>
          <w:trHeight w:hRule="atLeast" w:val="330"/>
        </w:trPr>
        <w:tc>
          <w:tcPr>
            <w:tcW w:type="dxa" w:w="2410"/>
            <w:tcBorders>
              <w:top w:color="000000" w:sz="4" w:val="single"/>
              <w:left w:color="000000" w:sz="4" w:val="single"/>
              <w:bottom w:color="000000" w:sz="4" w:val="single"/>
              <w:right w:color="000000" w:sz="4" w:val="single"/>
            </w:tcBorders>
            <w:shd w:fill="auto" w:val="clear"/>
            <w:vAlign w:val="center"/>
          </w:tcPr>
          <w:p w14:paraId="460B0000">
            <w:pPr>
              <w:widowControl w:val="1"/>
              <w:ind w:firstLine="34"/>
              <w:contextualSpacing w:val="1"/>
              <w:jc w:val="center"/>
              <w:rPr>
                <w:color w:val="000000"/>
              </w:rPr>
            </w:pPr>
            <w:r>
              <w:rPr>
                <w:color w:val="000000"/>
              </w:rPr>
              <w:t>в т.ч. задолженность ОАО "РЖД"</w:t>
            </w:r>
          </w:p>
        </w:tc>
        <w:tc>
          <w:tcPr>
            <w:tcW w:type="dxa" w:w="1166"/>
            <w:tcBorders>
              <w:top w:color="000000" w:sz="4" w:val="single"/>
              <w:left w:color="000000" w:sz="4" w:val="single"/>
              <w:bottom w:color="000000" w:sz="4" w:val="single"/>
              <w:right w:color="000000" w:sz="4" w:val="single"/>
            </w:tcBorders>
            <w:shd w:fill="auto" w:val="clear"/>
            <w:vAlign w:val="center"/>
          </w:tcPr>
          <w:p w14:paraId="470B0000">
            <w:pPr>
              <w:widowControl w:val="1"/>
              <w:ind w:firstLine="34"/>
              <w:contextualSpacing w:val="1"/>
              <w:jc w:val="center"/>
              <w:rPr>
                <w:color w:val="000000"/>
              </w:rPr>
            </w:pPr>
            <w:r>
              <w:rPr>
                <w:color w:val="000000"/>
              </w:rPr>
              <w:t>241 383</w:t>
            </w:r>
          </w:p>
        </w:tc>
        <w:tc>
          <w:tcPr>
            <w:tcW w:type="dxa" w:w="1166"/>
            <w:tcBorders>
              <w:top w:color="000000" w:sz="4" w:val="single"/>
              <w:left w:color="000000" w:sz="4" w:val="single"/>
              <w:bottom w:color="000000" w:sz="4" w:val="single"/>
              <w:right w:color="000000" w:sz="4" w:val="single"/>
            </w:tcBorders>
            <w:shd w:fill="auto" w:val="clear"/>
            <w:vAlign w:val="center"/>
          </w:tcPr>
          <w:p w14:paraId="480B0000">
            <w:pPr>
              <w:widowControl w:val="1"/>
              <w:ind w:firstLine="34"/>
              <w:contextualSpacing w:val="1"/>
              <w:jc w:val="center"/>
              <w:rPr>
                <w:color w:val="000000"/>
              </w:rPr>
            </w:pPr>
            <w:r>
              <w:rPr>
                <w:color w:val="000000"/>
              </w:rPr>
              <w:t>242 563</w:t>
            </w:r>
          </w:p>
        </w:tc>
        <w:tc>
          <w:tcPr>
            <w:tcW w:type="dxa" w:w="1166"/>
            <w:tcBorders>
              <w:top w:color="000000" w:sz="4" w:val="single"/>
              <w:left w:color="000000" w:sz="4" w:val="single"/>
              <w:bottom w:color="000000" w:sz="4" w:val="single"/>
              <w:right w:color="000000" w:sz="4" w:val="single"/>
            </w:tcBorders>
            <w:shd w:fill="auto" w:val="clear"/>
            <w:vAlign w:val="center"/>
          </w:tcPr>
          <w:p w14:paraId="490B0000">
            <w:pPr>
              <w:widowControl w:val="1"/>
              <w:ind w:firstLine="34"/>
              <w:contextualSpacing w:val="1"/>
              <w:jc w:val="center"/>
              <w:rPr>
                <w:color w:val="000000"/>
              </w:rPr>
            </w:pPr>
            <w:r>
              <w:rPr>
                <w:color w:val="000000"/>
              </w:rPr>
              <w:t>243 805</w:t>
            </w:r>
          </w:p>
        </w:tc>
        <w:tc>
          <w:tcPr>
            <w:tcW w:type="dxa" w:w="1284"/>
            <w:tcBorders>
              <w:top w:color="000000" w:sz="4" w:val="single"/>
              <w:left w:color="000000" w:sz="4" w:val="single"/>
              <w:bottom w:color="000000" w:sz="4" w:val="single"/>
              <w:right w:color="000000" w:sz="4" w:val="single"/>
            </w:tcBorders>
            <w:shd w:fill="auto" w:val="clear"/>
            <w:vAlign w:val="center"/>
          </w:tcPr>
          <w:p w14:paraId="4A0B0000">
            <w:pPr>
              <w:widowControl w:val="1"/>
              <w:ind w:firstLine="34"/>
              <w:contextualSpacing w:val="1"/>
              <w:jc w:val="center"/>
              <w:rPr>
                <w:color w:val="000000"/>
              </w:rPr>
            </w:pPr>
            <w:r>
              <w:rPr>
                <w:color w:val="000000"/>
              </w:rPr>
              <w:t>-1 180</w:t>
            </w:r>
          </w:p>
        </w:tc>
        <w:tc>
          <w:tcPr>
            <w:tcW w:type="dxa" w:w="1030"/>
            <w:tcBorders>
              <w:top w:color="000000" w:sz="4" w:val="single"/>
              <w:left w:color="000000" w:sz="4" w:val="single"/>
              <w:bottom w:color="000000" w:sz="4" w:val="single"/>
              <w:right w:color="000000" w:sz="4" w:val="single"/>
            </w:tcBorders>
            <w:shd w:fill="auto" w:val="clear"/>
            <w:vAlign w:val="center"/>
          </w:tcPr>
          <w:p w14:paraId="4B0B0000">
            <w:pPr>
              <w:widowControl w:val="1"/>
              <w:ind w:firstLine="34"/>
              <w:contextualSpacing w:val="1"/>
              <w:jc w:val="center"/>
              <w:rPr>
                <w:color w:val="000000"/>
              </w:rPr>
            </w:pPr>
            <w:r>
              <w:rPr>
                <w:color w:val="000000"/>
              </w:rPr>
              <w:t>99,5</w:t>
            </w:r>
          </w:p>
        </w:tc>
        <w:tc>
          <w:tcPr>
            <w:tcW w:type="dxa" w:w="1276"/>
            <w:tcBorders>
              <w:top w:color="000000" w:sz="4" w:val="single"/>
              <w:left w:color="000000" w:sz="4" w:val="single"/>
              <w:bottom w:color="000000" w:sz="4" w:val="single"/>
              <w:right w:color="000000" w:sz="4" w:val="single"/>
            </w:tcBorders>
            <w:shd w:fill="auto" w:val="clear"/>
            <w:vAlign w:val="center"/>
          </w:tcPr>
          <w:p w14:paraId="4C0B0000">
            <w:pPr>
              <w:widowControl w:val="1"/>
              <w:ind w:firstLine="34"/>
              <w:contextualSpacing w:val="1"/>
              <w:jc w:val="center"/>
              <w:rPr>
                <w:color w:val="000000"/>
              </w:rPr>
            </w:pPr>
            <w:r>
              <w:rPr>
                <w:color w:val="000000"/>
              </w:rPr>
              <w:t>88%</w:t>
            </w:r>
          </w:p>
        </w:tc>
      </w:tr>
      <w:tr>
        <w:trPr>
          <w:trHeight w:hRule="atLeast" w:val="330"/>
        </w:trPr>
        <w:tc>
          <w:tcPr>
            <w:tcW w:type="dxa" w:w="2410"/>
            <w:tcBorders>
              <w:top w:color="000000" w:sz="4" w:val="single"/>
              <w:left w:color="000000" w:sz="4" w:val="single"/>
              <w:bottom w:color="000000" w:sz="4" w:val="single"/>
              <w:right w:color="000000" w:sz="4" w:val="single"/>
            </w:tcBorders>
            <w:shd w:fill="auto" w:val="clear"/>
            <w:vAlign w:val="center"/>
          </w:tcPr>
          <w:p w14:paraId="4D0B0000">
            <w:pPr>
              <w:widowControl w:val="1"/>
              <w:ind w:firstLine="34"/>
              <w:contextualSpacing w:val="1"/>
              <w:jc w:val="center"/>
              <w:rPr>
                <w:b w:val="1"/>
                <w:color w:val="000000"/>
              </w:rPr>
            </w:pPr>
            <w:r>
              <w:rPr>
                <w:b w:val="1"/>
                <w:color w:val="000000"/>
              </w:rPr>
              <w:t>Краткосрочная кредиторская задолженность, в т.ч.</w:t>
            </w:r>
          </w:p>
        </w:tc>
        <w:tc>
          <w:tcPr>
            <w:tcW w:type="dxa" w:w="1166"/>
            <w:tcBorders>
              <w:top w:color="000000" w:sz="4" w:val="single"/>
              <w:left w:color="000000" w:sz="4" w:val="single"/>
              <w:bottom w:color="000000" w:sz="4" w:val="single"/>
              <w:right w:color="000000" w:sz="4" w:val="single"/>
            </w:tcBorders>
            <w:shd w:fill="auto" w:val="clear"/>
            <w:vAlign w:val="center"/>
          </w:tcPr>
          <w:p w14:paraId="4E0B0000">
            <w:pPr>
              <w:widowControl w:val="1"/>
              <w:ind w:firstLine="34"/>
              <w:contextualSpacing w:val="1"/>
              <w:jc w:val="center"/>
              <w:rPr>
                <w:b w:val="1"/>
                <w:color w:val="000000"/>
              </w:rPr>
            </w:pPr>
            <w:r>
              <w:rPr>
                <w:b w:val="1"/>
                <w:color w:val="000000"/>
              </w:rPr>
              <w:t>34 259</w:t>
            </w:r>
          </w:p>
        </w:tc>
        <w:tc>
          <w:tcPr>
            <w:tcW w:type="dxa" w:w="1166"/>
            <w:tcBorders>
              <w:top w:color="000000" w:sz="4" w:val="single"/>
              <w:left w:color="000000" w:sz="4" w:val="single"/>
              <w:bottom w:color="000000" w:sz="4" w:val="single"/>
              <w:right w:color="000000" w:sz="4" w:val="single"/>
            </w:tcBorders>
            <w:shd w:fill="auto" w:val="clear"/>
            <w:vAlign w:val="center"/>
          </w:tcPr>
          <w:p w14:paraId="4F0B0000">
            <w:pPr>
              <w:widowControl w:val="1"/>
              <w:ind w:firstLine="34"/>
              <w:contextualSpacing w:val="1"/>
              <w:jc w:val="center"/>
              <w:rPr>
                <w:b w:val="1"/>
                <w:color w:val="000000"/>
              </w:rPr>
            </w:pPr>
            <w:r>
              <w:rPr>
                <w:b w:val="1"/>
                <w:color w:val="000000"/>
              </w:rPr>
              <w:t>48 723</w:t>
            </w:r>
          </w:p>
        </w:tc>
        <w:tc>
          <w:tcPr>
            <w:tcW w:type="dxa" w:w="1166"/>
            <w:tcBorders>
              <w:top w:color="000000" w:sz="4" w:val="single"/>
              <w:left w:color="000000" w:sz="4" w:val="single"/>
              <w:bottom w:color="000000" w:sz="4" w:val="single"/>
              <w:right w:color="000000" w:sz="4" w:val="single"/>
            </w:tcBorders>
            <w:shd w:fill="auto" w:val="clear"/>
            <w:vAlign w:val="center"/>
          </w:tcPr>
          <w:p w14:paraId="500B0000">
            <w:pPr>
              <w:widowControl w:val="1"/>
              <w:ind w:firstLine="34"/>
              <w:contextualSpacing w:val="1"/>
              <w:jc w:val="center"/>
              <w:rPr>
                <w:b w:val="1"/>
                <w:color w:val="000000"/>
              </w:rPr>
            </w:pPr>
            <w:r>
              <w:rPr>
                <w:b w:val="1"/>
                <w:color w:val="000000"/>
              </w:rPr>
              <w:t>39 864</w:t>
            </w:r>
          </w:p>
        </w:tc>
        <w:tc>
          <w:tcPr>
            <w:tcW w:type="dxa" w:w="1284"/>
            <w:tcBorders>
              <w:top w:color="000000" w:sz="4" w:val="single"/>
              <w:left w:color="000000" w:sz="4" w:val="single"/>
              <w:bottom w:color="000000" w:sz="4" w:val="single"/>
              <w:right w:color="000000" w:sz="4" w:val="single"/>
            </w:tcBorders>
            <w:shd w:fill="auto" w:val="clear"/>
            <w:vAlign w:val="center"/>
          </w:tcPr>
          <w:p w14:paraId="510B0000">
            <w:pPr>
              <w:widowControl w:val="1"/>
              <w:ind w:firstLine="34"/>
              <w:contextualSpacing w:val="1"/>
              <w:jc w:val="center"/>
              <w:rPr>
                <w:b w:val="1"/>
                <w:color w:val="000000"/>
              </w:rPr>
            </w:pPr>
            <w:r>
              <w:rPr>
                <w:b w:val="1"/>
                <w:color w:val="000000"/>
              </w:rPr>
              <w:t>-14 464</w:t>
            </w:r>
          </w:p>
        </w:tc>
        <w:tc>
          <w:tcPr>
            <w:tcW w:type="dxa" w:w="1030"/>
            <w:tcBorders>
              <w:top w:color="000000" w:sz="4" w:val="single"/>
              <w:left w:color="000000" w:sz="4" w:val="single"/>
              <w:bottom w:color="000000" w:sz="4" w:val="single"/>
              <w:right w:color="000000" w:sz="4" w:val="single"/>
            </w:tcBorders>
            <w:shd w:fill="auto" w:val="clear"/>
            <w:vAlign w:val="center"/>
          </w:tcPr>
          <w:p w14:paraId="520B0000">
            <w:pPr>
              <w:widowControl w:val="1"/>
              <w:ind w:firstLine="34"/>
              <w:contextualSpacing w:val="1"/>
              <w:jc w:val="center"/>
              <w:rPr>
                <w:b w:val="1"/>
                <w:color w:val="000000"/>
              </w:rPr>
            </w:pPr>
            <w:r>
              <w:rPr>
                <w:b w:val="1"/>
                <w:color w:val="000000"/>
              </w:rPr>
              <w:t>70,3</w:t>
            </w:r>
          </w:p>
        </w:tc>
        <w:tc>
          <w:tcPr>
            <w:tcW w:type="dxa" w:w="1276"/>
            <w:tcBorders>
              <w:top w:color="000000" w:sz="4" w:val="single"/>
              <w:left w:color="000000" w:sz="4" w:val="single"/>
              <w:bottom w:color="000000" w:sz="4" w:val="single"/>
              <w:right w:color="000000" w:sz="4" w:val="single"/>
            </w:tcBorders>
            <w:shd w:fill="auto" w:val="clear"/>
            <w:vAlign w:val="center"/>
          </w:tcPr>
          <w:p w14:paraId="530B0000">
            <w:pPr>
              <w:widowControl w:val="1"/>
              <w:ind w:firstLine="34"/>
              <w:contextualSpacing w:val="1"/>
              <w:jc w:val="center"/>
              <w:rPr>
                <w:b w:val="1"/>
                <w:color w:val="000000"/>
              </w:rPr>
            </w:pPr>
            <w:r>
              <w:rPr>
                <w:b w:val="1"/>
                <w:color w:val="000000"/>
              </w:rPr>
              <w:t>12%</w:t>
            </w:r>
          </w:p>
        </w:tc>
      </w:tr>
      <w:tr>
        <w:trPr>
          <w:trHeight w:hRule="atLeast" w:val="330"/>
        </w:trPr>
        <w:tc>
          <w:tcPr>
            <w:tcW w:type="dxa" w:w="2410"/>
            <w:tcBorders>
              <w:top w:color="000000" w:sz="4" w:val="single"/>
              <w:left w:color="000000" w:sz="4" w:val="single"/>
              <w:bottom w:color="000000" w:sz="4" w:val="single"/>
              <w:right w:color="000000" w:sz="4" w:val="single"/>
            </w:tcBorders>
            <w:shd w:fill="auto" w:val="clear"/>
            <w:vAlign w:val="center"/>
          </w:tcPr>
          <w:p w14:paraId="540B0000">
            <w:pPr>
              <w:widowControl w:val="1"/>
              <w:ind w:firstLine="34"/>
              <w:contextualSpacing w:val="1"/>
              <w:jc w:val="center"/>
              <w:rPr>
                <w:color w:val="000000"/>
              </w:rPr>
            </w:pPr>
            <w:r>
              <w:rPr>
                <w:color w:val="000000"/>
              </w:rPr>
              <w:t>- поставщики и подрядчики</w:t>
            </w:r>
          </w:p>
        </w:tc>
        <w:tc>
          <w:tcPr>
            <w:tcW w:type="dxa" w:w="1166"/>
            <w:tcBorders>
              <w:top w:color="000000" w:sz="4" w:val="single"/>
              <w:left w:color="000000" w:sz="4" w:val="single"/>
              <w:bottom w:color="000000" w:sz="4" w:val="single"/>
              <w:right w:color="000000" w:sz="4" w:val="single"/>
            </w:tcBorders>
            <w:shd w:fill="auto" w:val="clear"/>
            <w:vAlign w:val="center"/>
          </w:tcPr>
          <w:p w14:paraId="550B0000">
            <w:pPr>
              <w:widowControl w:val="1"/>
              <w:ind w:firstLine="34"/>
              <w:contextualSpacing w:val="1"/>
              <w:jc w:val="center"/>
              <w:rPr>
                <w:color w:val="000000"/>
              </w:rPr>
            </w:pPr>
            <w:r>
              <w:rPr>
                <w:color w:val="000000"/>
              </w:rPr>
              <w:t>8 412</w:t>
            </w:r>
          </w:p>
        </w:tc>
        <w:tc>
          <w:tcPr>
            <w:tcW w:type="dxa" w:w="1166"/>
            <w:tcBorders>
              <w:top w:color="000000" w:sz="4" w:val="single"/>
              <w:left w:color="000000" w:sz="4" w:val="single"/>
              <w:bottom w:color="000000" w:sz="4" w:val="single"/>
              <w:right w:color="000000" w:sz="4" w:val="single"/>
            </w:tcBorders>
            <w:shd w:fill="auto" w:val="clear"/>
            <w:vAlign w:val="center"/>
          </w:tcPr>
          <w:p w14:paraId="560B0000">
            <w:pPr>
              <w:widowControl w:val="1"/>
              <w:ind w:firstLine="34"/>
              <w:contextualSpacing w:val="1"/>
              <w:jc w:val="center"/>
              <w:rPr>
                <w:color w:val="000000"/>
              </w:rPr>
            </w:pPr>
            <w:r>
              <w:rPr>
                <w:color w:val="000000"/>
              </w:rPr>
              <w:t>7 488</w:t>
            </w:r>
          </w:p>
        </w:tc>
        <w:tc>
          <w:tcPr>
            <w:tcW w:type="dxa" w:w="1166"/>
            <w:tcBorders>
              <w:top w:color="000000" w:sz="4" w:val="single"/>
              <w:left w:color="000000" w:sz="4" w:val="single"/>
              <w:bottom w:color="000000" w:sz="4" w:val="single"/>
              <w:right w:color="000000" w:sz="4" w:val="single"/>
            </w:tcBorders>
            <w:shd w:fill="auto" w:val="clear"/>
            <w:vAlign w:val="center"/>
          </w:tcPr>
          <w:p w14:paraId="570B0000">
            <w:pPr>
              <w:widowControl w:val="1"/>
              <w:ind w:firstLine="34"/>
              <w:contextualSpacing w:val="1"/>
              <w:jc w:val="center"/>
              <w:rPr>
                <w:color w:val="000000"/>
              </w:rPr>
            </w:pPr>
            <w:r>
              <w:rPr>
                <w:color w:val="000000"/>
              </w:rPr>
              <w:t>8 364</w:t>
            </w:r>
          </w:p>
        </w:tc>
        <w:tc>
          <w:tcPr>
            <w:tcW w:type="dxa" w:w="1284"/>
            <w:tcBorders>
              <w:top w:color="000000" w:sz="4" w:val="single"/>
              <w:left w:color="000000" w:sz="4" w:val="single"/>
              <w:bottom w:color="000000" w:sz="4" w:val="single"/>
              <w:right w:color="000000" w:sz="4" w:val="single"/>
            </w:tcBorders>
            <w:shd w:fill="auto" w:val="clear"/>
            <w:vAlign w:val="center"/>
          </w:tcPr>
          <w:p w14:paraId="580B0000">
            <w:pPr>
              <w:widowControl w:val="1"/>
              <w:ind w:firstLine="34"/>
              <w:contextualSpacing w:val="1"/>
              <w:jc w:val="center"/>
              <w:rPr>
                <w:color w:val="000000"/>
              </w:rPr>
            </w:pPr>
            <w:r>
              <w:rPr>
                <w:color w:val="000000"/>
              </w:rPr>
              <w:t>924</w:t>
            </w:r>
          </w:p>
        </w:tc>
        <w:tc>
          <w:tcPr>
            <w:tcW w:type="dxa" w:w="1030"/>
            <w:tcBorders>
              <w:top w:color="000000" w:sz="4" w:val="single"/>
              <w:left w:color="000000" w:sz="4" w:val="single"/>
              <w:bottom w:color="000000" w:sz="4" w:val="single"/>
              <w:right w:color="000000" w:sz="4" w:val="single"/>
            </w:tcBorders>
            <w:shd w:fill="auto" w:val="clear"/>
            <w:vAlign w:val="center"/>
          </w:tcPr>
          <w:p w14:paraId="590B0000">
            <w:pPr>
              <w:widowControl w:val="1"/>
              <w:ind w:firstLine="34"/>
              <w:contextualSpacing w:val="1"/>
              <w:jc w:val="center"/>
              <w:rPr>
                <w:color w:val="000000"/>
              </w:rPr>
            </w:pPr>
            <w:r>
              <w:rPr>
                <w:color w:val="000000"/>
              </w:rPr>
              <w:t>112,3</w:t>
            </w:r>
          </w:p>
        </w:tc>
        <w:tc>
          <w:tcPr>
            <w:tcW w:type="dxa" w:w="1276"/>
            <w:tcBorders>
              <w:top w:color="000000" w:sz="4" w:val="single"/>
              <w:left w:color="000000" w:sz="4" w:val="single"/>
              <w:bottom w:color="000000" w:sz="4" w:val="single"/>
              <w:right w:color="000000" w:sz="4" w:val="single"/>
            </w:tcBorders>
            <w:shd w:fill="auto" w:val="clear"/>
            <w:vAlign w:val="center"/>
          </w:tcPr>
          <w:p w14:paraId="5A0B0000">
            <w:pPr>
              <w:widowControl w:val="1"/>
              <w:ind w:firstLine="34"/>
              <w:contextualSpacing w:val="1"/>
              <w:jc w:val="center"/>
              <w:rPr>
                <w:color w:val="000000"/>
              </w:rPr>
            </w:pPr>
            <w:r>
              <w:rPr>
                <w:color w:val="000000"/>
              </w:rPr>
              <w:t>3%</w:t>
            </w:r>
          </w:p>
        </w:tc>
      </w:tr>
      <w:tr>
        <w:trPr>
          <w:trHeight w:hRule="atLeast" w:val="330"/>
        </w:trPr>
        <w:tc>
          <w:tcPr>
            <w:tcW w:type="dxa" w:w="2410"/>
            <w:tcBorders>
              <w:top w:color="000000" w:sz="4" w:val="single"/>
              <w:left w:color="000000" w:sz="4" w:val="single"/>
              <w:bottom w:color="000000" w:sz="4" w:val="single"/>
              <w:right w:color="000000" w:sz="4" w:val="single"/>
            </w:tcBorders>
            <w:shd w:fill="auto" w:val="clear"/>
            <w:vAlign w:val="center"/>
          </w:tcPr>
          <w:p w14:paraId="5B0B0000">
            <w:pPr>
              <w:widowControl w:val="1"/>
              <w:ind w:firstLine="34"/>
              <w:contextualSpacing w:val="1"/>
              <w:jc w:val="center"/>
              <w:rPr>
                <w:color w:val="000000"/>
              </w:rPr>
            </w:pPr>
            <w:r>
              <w:rPr>
                <w:color w:val="000000"/>
              </w:rPr>
              <w:t>в т.ч. задолженность ОАО "РЖД"</w:t>
            </w:r>
          </w:p>
        </w:tc>
        <w:tc>
          <w:tcPr>
            <w:tcW w:type="dxa" w:w="1166"/>
            <w:tcBorders>
              <w:top w:color="000000" w:sz="4" w:val="single"/>
              <w:left w:color="000000" w:sz="4" w:val="single"/>
              <w:bottom w:color="000000" w:sz="4" w:val="single"/>
              <w:right w:color="000000" w:sz="4" w:val="single"/>
            </w:tcBorders>
            <w:shd w:fill="auto" w:val="clear"/>
            <w:vAlign w:val="center"/>
          </w:tcPr>
          <w:p w14:paraId="5C0B0000">
            <w:pPr>
              <w:widowControl w:val="1"/>
              <w:ind w:firstLine="34"/>
              <w:contextualSpacing w:val="1"/>
              <w:jc w:val="center"/>
              <w:rPr>
                <w:color w:val="000000"/>
              </w:rPr>
            </w:pPr>
            <w:r>
              <w:rPr>
                <w:color w:val="000000"/>
              </w:rPr>
              <w:t>1 284</w:t>
            </w:r>
          </w:p>
        </w:tc>
        <w:tc>
          <w:tcPr>
            <w:tcW w:type="dxa" w:w="1166"/>
            <w:tcBorders>
              <w:top w:color="000000" w:sz="4" w:val="single"/>
              <w:left w:color="000000" w:sz="4" w:val="single"/>
              <w:bottom w:color="000000" w:sz="4" w:val="single"/>
              <w:right w:color="000000" w:sz="4" w:val="single"/>
            </w:tcBorders>
            <w:shd w:fill="auto" w:val="clear"/>
            <w:vAlign w:val="center"/>
          </w:tcPr>
          <w:p w14:paraId="5D0B0000">
            <w:pPr>
              <w:widowControl w:val="1"/>
              <w:ind w:firstLine="34"/>
              <w:contextualSpacing w:val="1"/>
              <w:jc w:val="center"/>
              <w:rPr>
                <w:color w:val="000000"/>
              </w:rPr>
            </w:pPr>
            <w:r>
              <w:rPr>
                <w:color w:val="000000"/>
              </w:rPr>
              <w:t>1 878</w:t>
            </w:r>
          </w:p>
        </w:tc>
        <w:tc>
          <w:tcPr>
            <w:tcW w:type="dxa" w:w="1166"/>
            <w:tcBorders>
              <w:top w:color="000000" w:sz="4" w:val="single"/>
              <w:left w:color="000000" w:sz="4" w:val="single"/>
              <w:bottom w:color="000000" w:sz="4" w:val="single"/>
              <w:right w:color="000000" w:sz="4" w:val="single"/>
            </w:tcBorders>
            <w:shd w:fill="auto" w:val="clear"/>
            <w:vAlign w:val="center"/>
          </w:tcPr>
          <w:p w14:paraId="5E0B0000">
            <w:pPr>
              <w:widowControl w:val="1"/>
              <w:ind w:firstLine="34"/>
              <w:contextualSpacing w:val="1"/>
              <w:jc w:val="center"/>
              <w:rPr>
                <w:color w:val="000000"/>
              </w:rPr>
            </w:pPr>
            <w:r>
              <w:rPr>
                <w:color w:val="000000"/>
              </w:rPr>
              <w:t>3 198</w:t>
            </w:r>
          </w:p>
        </w:tc>
        <w:tc>
          <w:tcPr>
            <w:tcW w:type="dxa" w:w="1284"/>
            <w:tcBorders>
              <w:top w:color="000000" w:sz="4" w:val="single"/>
              <w:left w:color="000000" w:sz="4" w:val="single"/>
              <w:bottom w:color="000000" w:sz="4" w:val="single"/>
              <w:right w:color="000000" w:sz="4" w:val="single"/>
            </w:tcBorders>
            <w:shd w:fill="auto" w:val="clear"/>
            <w:vAlign w:val="center"/>
          </w:tcPr>
          <w:p w14:paraId="5F0B0000">
            <w:pPr>
              <w:widowControl w:val="1"/>
              <w:ind w:firstLine="34"/>
              <w:contextualSpacing w:val="1"/>
              <w:jc w:val="center"/>
              <w:rPr>
                <w:color w:val="000000"/>
              </w:rPr>
            </w:pPr>
            <w:r>
              <w:rPr>
                <w:color w:val="000000"/>
              </w:rPr>
              <w:t>-594</w:t>
            </w:r>
          </w:p>
        </w:tc>
        <w:tc>
          <w:tcPr>
            <w:tcW w:type="dxa" w:w="1030"/>
            <w:tcBorders>
              <w:top w:color="000000" w:sz="4" w:val="single"/>
              <w:left w:color="000000" w:sz="4" w:val="single"/>
              <w:bottom w:color="000000" w:sz="4" w:val="single"/>
              <w:right w:color="000000" w:sz="4" w:val="single"/>
            </w:tcBorders>
            <w:shd w:fill="auto" w:val="clear"/>
            <w:vAlign w:val="center"/>
          </w:tcPr>
          <w:p w14:paraId="600B0000">
            <w:pPr>
              <w:widowControl w:val="1"/>
              <w:ind w:firstLine="34"/>
              <w:contextualSpacing w:val="1"/>
              <w:jc w:val="center"/>
              <w:rPr>
                <w:color w:val="000000"/>
              </w:rPr>
            </w:pPr>
            <w:r>
              <w:rPr>
                <w:color w:val="000000"/>
              </w:rPr>
              <w:t>68,4</w:t>
            </w:r>
          </w:p>
        </w:tc>
        <w:tc>
          <w:tcPr>
            <w:tcW w:type="dxa" w:w="1276"/>
            <w:tcBorders>
              <w:top w:color="000000" w:sz="4" w:val="single"/>
              <w:left w:color="000000" w:sz="4" w:val="single"/>
              <w:bottom w:color="000000" w:sz="4" w:val="single"/>
              <w:right w:color="000000" w:sz="4" w:val="single"/>
            </w:tcBorders>
            <w:shd w:fill="auto" w:val="clear"/>
            <w:vAlign w:val="center"/>
          </w:tcPr>
          <w:p w14:paraId="610B0000">
            <w:pPr>
              <w:widowControl w:val="1"/>
              <w:ind w:firstLine="34"/>
              <w:contextualSpacing w:val="1"/>
              <w:jc w:val="center"/>
              <w:rPr>
                <w:color w:val="000000"/>
              </w:rPr>
            </w:pPr>
            <w:r>
              <w:rPr>
                <w:color w:val="000000"/>
              </w:rPr>
              <w:t>0%</w:t>
            </w:r>
          </w:p>
        </w:tc>
      </w:tr>
      <w:tr>
        <w:trPr>
          <w:trHeight w:hRule="atLeast" w:val="330"/>
        </w:trPr>
        <w:tc>
          <w:tcPr>
            <w:tcW w:type="dxa" w:w="2410"/>
            <w:tcBorders>
              <w:top w:color="000000" w:sz="4" w:val="single"/>
              <w:left w:color="000000" w:sz="4" w:val="single"/>
              <w:bottom w:color="000000" w:sz="4" w:val="single"/>
              <w:right w:color="000000" w:sz="4" w:val="single"/>
            </w:tcBorders>
            <w:shd w:fill="auto" w:val="clear"/>
            <w:vAlign w:val="center"/>
          </w:tcPr>
          <w:p w14:paraId="620B0000">
            <w:pPr>
              <w:widowControl w:val="1"/>
              <w:ind w:firstLine="34"/>
              <w:contextualSpacing w:val="1"/>
              <w:jc w:val="center"/>
              <w:rPr>
                <w:color w:val="000000"/>
              </w:rPr>
            </w:pPr>
            <w:r>
              <w:rPr>
                <w:color w:val="000000"/>
              </w:rPr>
              <w:t>- авансы полученные</w:t>
            </w:r>
          </w:p>
        </w:tc>
        <w:tc>
          <w:tcPr>
            <w:tcW w:type="dxa" w:w="1166"/>
            <w:tcBorders>
              <w:top w:color="000000" w:sz="4" w:val="single"/>
              <w:left w:color="000000" w:sz="4" w:val="single"/>
              <w:bottom w:color="000000" w:sz="4" w:val="single"/>
              <w:right w:color="000000" w:sz="4" w:val="single"/>
            </w:tcBorders>
            <w:shd w:fill="auto" w:val="clear"/>
            <w:vAlign w:val="center"/>
          </w:tcPr>
          <w:p w14:paraId="630B0000">
            <w:pPr>
              <w:widowControl w:val="1"/>
              <w:ind w:firstLine="34"/>
              <w:contextualSpacing w:val="1"/>
              <w:jc w:val="center"/>
              <w:rPr>
                <w:color w:val="000000"/>
              </w:rPr>
            </w:pPr>
            <w:r>
              <w:rPr>
                <w:color w:val="000000"/>
              </w:rPr>
              <w:t>11 311</w:t>
            </w:r>
          </w:p>
        </w:tc>
        <w:tc>
          <w:tcPr>
            <w:tcW w:type="dxa" w:w="1166"/>
            <w:tcBorders>
              <w:top w:color="000000" w:sz="4" w:val="single"/>
              <w:left w:color="000000" w:sz="4" w:val="single"/>
              <w:bottom w:color="000000" w:sz="4" w:val="single"/>
              <w:right w:color="000000" w:sz="4" w:val="single"/>
            </w:tcBorders>
            <w:shd w:fill="auto" w:val="clear"/>
            <w:vAlign w:val="center"/>
          </w:tcPr>
          <w:p w14:paraId="640B0000">
            <w:pPr>
              <w:widowControl w:val="1"/>
              <w:ind w:firstLine="34"/>
              <w:contextualSpacing w:val="1"/>
              <w:jc w:val="center"/>
              <w:rPr>
                <w:color w:val="000000"/>
              </w:rPr>
            </w:pPr>
            <w:r>
              <w:rPr>
                <w:color w:val="000000"/>
              </w:rPr>
              <w:t>20 068</w:t>
            </w:r>
          </w:p>
        </w:tc>
        <w:tc>
          <w:tcPr>
            <w:tcW w:type="dxa" w:w="1166"/>
            <w:tcBorders>
              <w:top w:color="000000" w:sz="4" w:val="single"/>
              <w:left w:color="000000" w:sz="4" w:val="single"/>
              <w:bottom w:color="000000" w:sz="4" w:val="single"/>
              <w:right w:color="000000" w:sz="4" w:val="single"/>
            </w:tcBorders>
            <w:shd w:fill="auto" w:val="clear"/>
            <w:vAlign w:val="center"/>
          </w:tcPr>
          <w:p w14:paraId="650B0000">
            <w:pPr>
              <w:widowControl w:val="1"/>
              <w:ind w:firstLine="34"/>
              <w:contextualSpacing w:val="1"/>
              <w:jc w:val="center"/>
              <w:rPr>
                <w:color w:val="000000"/>
              </w:rPr>
            </w:pPr>
            <w:r>
              <w:rPr>
                <w:color w:val="000000"/>
              </w:rPr>
              <w:t>18 271</w:t>
            </w:r>
          </w:p>
        </w:tc>
        <w:tc>
          <w:tcPr>
            <w:tcW w:type="dxa" w:w="1284"/>
            <w:tcBorders>
              <w:top w:color="000000" w:sz="4" w:val="single"/>
              <w:left w:color="000000" w:sz="4" w:val="single"/>
              <w:bottom w:color="000000" w:sz="4" w:val="single"/>
              <w:right w:color="000000" w:sz="4" w:val="single"/>
            </w:tcBorders>
            <w:shd w:fill="auto" w:val="clear"/>
            <w:vAlign w:val="center"/>
          </w:tcPr>
          <w:p w14:paraId="660B0000">
            <w:pPr>
              <w:widowControl w:val="1"/>
              <w:ind w:firstLine="34"/>
              <w:contextualSpacing w:val="1"/>
              <w:jc w:val="center"/>
              <w:rPr>
                <w:color w:val="000000"/>
              </w:rPr>
            </w:pPr>
            <w:r>
              <w:rPr>
                <w:color w:val="000000"/>
              </w:rPr>
              <w:t>-8 757</w:t>
            </w:r>
          </w:p>
        </w:tc>
        <w:tc>
          <w:tcPr>
            <w:tcW w:type="dxa" w:w="1030"/>
            <w:tcBorders>
              <w:top w:color="000000" w:sz="4" w:val="single"/>
              <w:left w:color="000000" w:sz="4" w:val="single"/>
              <w:bottom w:color="000000" w:sz="4" w:val="single"/>
              <w:right w:color="000000" w:sz="4" w:val="single"/>
            </w:tcBorders>
            <w:shd w:fill="auto" w:val="clear"/>
            <w:vAlign w:val="center"/>
          </w:tcPr>
          <w:p w14:paraId="670B0000">
            <w:pPr>
              <w:widowControl w:val="1"/>
              <w:ind w:firstLine="34"/>
              <w:contextualSpacing w:val="1"/>
              <w:jc w:val="center"/>
              <w:rPr>
                <w:color w:val="000000"/>
              </w:rPr>
            </w:pPr>
            <w:r>
              <w:rPr>
                <w:color w:val="000000"/>
              </w:rPr>
              <w:t>56,4</w:t>
            </w:r>
          </w:p>
        </w:tc>
        <w:tc>
          <w:tcPr>
            <w:tcW w:type="dxa" w:w="1276"/>
            <w:tcBorders>
              <w:top w:color="000000" w:sz="4" w:val="single"/>
              <w:left w:color="000000" w:sz="4" w:val="single"/>
              <w:bottom w:color="000000" w:sz="4" w:val="single"/>
              <w:right w:color="000000" w:sz="4" w:val="single"/>
            </w:tcBorders>
            <w:shd w:fill="auto" w:val="clear"/>
            <w:vAlign w:val="center"/>
          </w:tcPr>
          <w:p w14:paraId="680B0000">
            <w:pPr>
              <w:widowControl w:val="1"/>
              <w:ind w:firstLine="34"/>
              <w:contextualSpacing w:val="1"/>
              <w:jc w:val="center"/>
              <w:rPr>
                <w:color w:val="000000"/>
              </w:rPr>
            </w:pPr>
            <w:r>
              <w:rPr>
                <w:color w:val="000000"/>
              </w:rPr>
              <w:t>4%</w:t>
            </w:r>
          </w:p>
        </w:tc>
      </w:tr>
      <w:tr>
        <w:trPr>
          <w:trHeight w:hRule="atLeast" w:val="330"/>
        </w:trPr>
        <w:tc>
          <w:tcPr>
            <w:tcW w:type="dxa" w:w="2410"/>
            <w:tcBorders>
              <w:top w:color="000000" w:sz="4" w:val="single"/>
              <w:left w:color="000000" w:sz="4" w:val="single"/>
              <w:bottom w:color="000000" w:sz="4" w:val="single"/>
              <w:right w:color="000000" w:sz="4" w:val="single"/>
            </w:tcBorders>
            <w:shd w:fill="auto" w:val="clear"/>
            <w:vAlign w:val="center"/>
          </w:tcPr>
          <w:p w14:paraId="690B0000">
            <w:pPr>
              <w:widowControl w:val="1"/>
              <w:ind w:firstLine="34"/>
              <w:contextualSpacing w:val="1"/>
              <w:jc w:val="center"/>
              <w:rPr>
                <w:color w:val="000000"/>
              </w:rPr>
            </w:pPr>
            <w:r>
              <w:rPr>
                <w:color w:val="000000"/>
              </w:rPr>
              <w:t>- по оплате труда</w:t>
            </w:r>
          </w:p>
        </w:tc>
        <w:tc>
          <w:tcPr>
            <w:tcW w:type="dxa" w:w="1166"/>
            <w:tcBorders>
              <w:top w:color="000000" w:sz="4" w:val="single"/>
              <w:left w:color="000000" w:sz="4" w:val="single"/>
              <w:bottom w:color="000000" w:sz="4" w:val="single"/>
              <w:right w:color="000000" w:sz="4" w:val="single"/>
            </w:tcBorders>
            <w:shd w:fill="auto" w:val="clear"/>
            <w:vAlign w:val="center"/>
          </w:tcPr>
          <w:p w14:paraId="6A0B0000">
            <w:pPr>
              <w:widowControl w:val="1"/>
              <w:ind w:firstLine="34"/>
              <w:contextualSpacing w:val="1"/>
              <w:jc w:val="center"/>
              <w:rPr>
                <w:color w:val="000000"/>
              </w:rPr>
            </w:pPr>
            <w:r>
              <w:rPr>
                <w:color w:val="000000"/>
              </w:rPr>
              <w:t>7 070</w:t>
            </w:r>
          </w:p>
        </w:tc>
        <w:tc>
          <w:tcPr>
            <w:tcW w:type="dxa" w:w="1166"/>
            <w:tcBorders>
              <w:top w:color="000000" w:sz="4" w:val="single"/>
              <w:left w:color="000000" w:sz="4" w:val="single"/>
              <w:bottom w:color="000000" w:sz="4" w:val="single"/>
              <w:right w:color="000000" w:sz="4" w:val="single"/>
            </w:tcBorders>
            <w:shd w:fill="auto" w:val="clear"/>
            <w:vAlign w:val="center"/>
          </w:tcPr>
          <w:p w14:paraId="6B0B0000">
            <w:pPr>
              <w:widowControl w:val="1"/>
              <w:ind w:firstLine="34"/>
              <w:contextualSpacing w:val="1"/>
              <w:jc w:val="center"/>
              <w:rPr>
                <w:color w:val="000000"/>
              </w:rPr>
            </w:pPr>
            <w:r>
              <w:rPr>
                <w:color w:val="000000"/>
              </w:rPr>
              <w:t>8 596</w:t>
            </w:r>
          </w:p>
        </w:tc>
        <w:tc>
          <w:tcPr>
            <w:tcW w:type="dxa" w:w="1166"/>
            <w:tcBorders>
              <w:top w:color="000000" w:sz="4" w:val="single"/>
              <w:left w:color="000000" w:sz="4" w:val="single"/>
              <w:bottom w:color="000000" w:sz="4" w:val="single"/>
              <w:right w:color="000000" w:sz="4" w:val="single"/>
            </w:tcBorders>
            <w:shd w:fill="auto" w:val="clear"/>
            <w:vAlign w:val="center"/>
          </w:tcPr>
          <w:p w14:paraId="6C0B0000">
            <w:pPr>
              <w:widowControl w:val="1"/>
              <w:ind w:firstLine="34"/>
              <w:contextualSpacing w:val="1"/>
              <w:jc w:val="center"/>
              <w:rPr>
                <w:color w:val="000000"/>
              </w:rPr>
            </w:pPr>
            <w:r>
              <w:rPr>
                <w:color w:val="000000"/>
              </w:rPr>
              <w:t>7 747</w:t>
            </w:r>
          </w:p>
        </w:tc>
        <w:tc>
          <w:tcPr>
            <w:tcW w:type="dxa" w:w="1284"/>
            <w:tcBorders>
              <w:top w:color="000000" w:sz="4" w:val="single"/>
              <w:left w:color="000000" w:sz="4" w:val="single"/>
              <w:bottom w:color="000000" w:sz="4" w:val="single"/>
              <w:right w:color="000000" w:sz="4" w:val="single"/>
            </w:tcBorders>
            <w:shd w:fill="auto" w:val="clear"/>
            <w:vAlign w:val="center"/>
          </w:tcPr>
          <w:p w14:paraId="6D0B0000">
            <w:pPr>
              <w:widowControl w:val="1"/>
              <w:ind w:firstLine="34"/>
              <w:contextualSpacing w:val="1"/>
              <w:jc w:val="center"/>
              <w:rPr>
                <w:color w:val="000000"/>
              </w:rPr>
            </w:pPr>
            <w:r>
              <w:rPr>
                <w:color w:val="000000"/>
              </w:rPr>
              <w:t>-1</w:t>
            </w:r>
            <w:r>
              <w:rPr>
                <w:color w:val="000000"/>
              </w:rPr>
              <w:t xml:space="preserve"> </w:t>
            </w:r>
            <w:r>
              <w:rPr>
                <w:color w:val="000000"/>
              </w:rPr>
              <w:t>526</w:t>
            </w:r>
          </w:p>
        </w:tc>
        <w:tc>
          <w:tcPr>
            <w:tcW w:type="dxa" w:w="1030"/>
            <w:tcBorders>
              <w:top w:color="000000" w:sz="4" w:val="single"/>
              <w:left w:color="000000" w:sz="4" w:val="single"/>
              <w:bottom w:color="000000" w:sz="4" w:val="single"/>
              <w:right w:color="000000" w:sz="4" w:val="single"/>
            </w:tcBorders>
            <w:shd w:fill="auto" w:val="clear"/>
            <w:vAlign w:val="center"/>
          </w:tcPr>
          <w:p w14:paraId="6E0B0000">
            <w:pPr>
              <w:widowControl w:val="1"/>
              <w:ind w:firstLine="34"/>
              <w:contextualSpacing w:val="1"/>
              <w:jc w:val="center"/>
              <w:rPr>
                <w:color w:val="000000"/>
              </w:rPr>
            </w:pPr>
            <w:r>
              <w:rPr>
                <w:color w:val="000000"/>
              </w:rPr>
              <w:t>82,2</w:t>
            </w:r>
          </w:p>
        </w:tc>
        <w:tc>
          <w:tcPr>
            <w:tcW w:type="dxa" w:w="1276"/>
            <w:tcBorders>
              <w:top w:color="000000" w:sz="4" w:val="single"/>
              <w:left w:color="000000" w:sz="4" w:val="single"/>
              <w:bottom w:color="000000" w:sz="4" w:val="single"/>
              <w:right w:color="000000" w:sz="4" w:val="single"/>
            </w:tcBorders>
            <w:shd w:fill="auto" w:val="clear"/>
            <w:vAlign w:val="center"/>
          </w:tcPr>
          <w:p w14:paraId="6F0B0000">
            <w:pPr>
              <w:widowControl w:val="1"/>
              <w:ind w:firstLine="34"/>
              <w:contextualSpacing w:val="1"/>
              <w:jc w:val="center"/>
              <w:rPr>
                <w:color w:val="000000"/>
              </w:rPr>
            </w:pPr>
            <w:r>
              <w:rPr>
                <w:color w:val="000000"/>
              </w:rPr>
              <w:t>3%</w:t>
            </w:r>
          </w:p>
        </w:tc>
      </w:tr>
      <w:tr>
        <w:trPr>
          <w:trHeight w:hRule="atLeast" w:val="330"/>
        </w:trPr>
        <w:tc>
          <w:tcPr>
            <w:tcW w:type="dxa" w:w="2410"/>
            <w:tcBorders>
              <w:top w:color="000000" w:sz="4" w:val="single"/>
              <w:left w:color="000000" w:sz="4" w:val="single"/>
              <w:bottom w:color="000000" w:sz="4" w:val="single"/>
              <w:right w:color="000000" w:sz="4" w:val="single"/>
            </w:tcBorders>
            <w:shd w:fill="auto" w:val="clear"/>
            <w:vAlign w:val="center"/>
          </w:tcPr>
          <w:p w14:paraId="700B0000">
            <w:pPr>
              <w:widowControl w:val="1"/>
              <w:ind w:firstLine="34"/>
              <w:contextualSpacing w:val="1"/>
              <w:jc w:val="center"/>
              <w:rPr>
                <w:color w:val="000000"/>
              </w:rPr>
            </w:pPr>
            <w:r>
              <w:rPr>
                <w:color w:val="000000"/>
              </w:rPr>
              <w:t>- по социальному страхованию и обеспечению</w:t>
            </w:r>
          </w:p>
        </w:tc>
        <w:tc>
          <w:tcPr>
            <w:tcW w:type="dxa" w:w="1166"/>
            <w:tcBorders>
              <w:top w:color="000000" w:sz="4" w:val="single"/>
              <w:left w:color="000000" w:sz="4" w:val="single"/>
              <w:bottom w:color="000000" w:sz="4" w:val="single"/>
              <w:right w:color="000000" w:sz="4" w:val="single"/>
            </w:tcBorders>
            <w:shd w:fill="auto" w:val="clear"/>
            <w:vAlign w:val="center"/>
          </w:tcPr>
          <w:p w14:paraId="710B0000">
            <w:pPr>
              <w:widowControl w:val="1"/>
              <w:ind w:firstLine="34"/>
              <w:contextualSpacing w:val="1"/>
              <w:jc w:val="center"/>
              <w:rPr>
                <w:color w:val="000000"/>
              </w:rPr>
            </w:pPr>
            <w:r>
              <w:rPr>
                <w:color w:val="000000"/>
              </w:rPr>
              <w:t>3 608</w:t>
            </w:r>
          </w:p>
        </w:tc>
        <w:tc>
          <w:tcPr>
            <w:tcW w:type="dxa" w:w="1166"/>
            <w:tcBorders>
              <w:top w:color="000000" w:sz="4" w:val="single"/>
              <w:left w:color="000000" w:sz="4" w:val="single"/>
              <w:bottom w:color="000000" w:sz="4" w:val="single"/>
              <w:right w:color="000000" w:sz="4" w:val="single"/>
            </w:tcBorders>
            <w:shd w:fill="auto" w:val="clear"/>
            <w:vAlign w:val="center"/>
          </w:tcPr>
          <w:p w14:paraId="720B0000">
            <w:pPr>
              <w:widowControl w:val="1"/>
              <w:ind w:firstLine="34"/>
              <w:contextualSpacing w:val="1"/>
              <w:jc w:val="center"/>
              <w:rPr>
                <w:color w:val="000000"/>
              </w:rPr>
            </w:pPr>
            <w:r>
              <w:rPr>
                <w:color w:val="000000"/>
              </w:rPr>
              <w:t>3</w:t>
            </w:r>
            <w:r>
              <w:rPr>
                <w:color w:val="000000"/>
              </w:rPr>
              <w:t xml:space="preserve"> 973</w:t>
            </w:r>
          </w:p>
        </w:tc>
        <w:tc>
          <w:tcPr>
            <w:tcW w:type="dxa" w:w="1166"/>
            <w:tcBorders>
              <w:top w:color="000000" w:sz="4" w:val="single"/>
              <w:left w:color="000000" w:sz="4" w:val="single"/>
              <w:bottom w:color="000000" w:sz="4" w:val="single"/>
              <w:right w:color="000000" w:sz="4" w:val="single"/>
            </w:tcBorders>
            <w:shd w:fill="auto" w:val="clear"/>
            <w:vAlign w:val="center"/>
          </w:tcPr>
          <w:p w14:paraId="730B0000">
            <w:pPr>
              <w:widowControl w:val="1"/>
              <w:ind w:firstLine="34"/>
              <w:contextualSpacing w:val="1"/>
              <w:jc w:val="center"/>
              <w:rPr>
                <w:color w:val="000000"/>
              </w:rPr>
            </w:pPr>
            <w:r>
              <w:rPr>
                <w:color w:val="000000"/>
              </w:rPr>
              <w:t>3 659</w:t>
            </w:r>
          </w:p>
        </w:tc>
        <w:tc>
          <w:tcPr>
            <w:tcW w:type="dxa" w:w="1284"/>
            <w:tcBorders>
              <w:top w:color="000000" w:sz="4" w:val="single"/>
              <w:left w:color="000000" w:sz="4" w:val="single"/>
              <w:bottom w:color="000000" w:sz="4" w:val="single"/>
              <w:right w:color="000000" w:sz="4" w:val="single"/>
            </w:tcBorders>
            <w:shd w:fill="auto" w:val="clear"/>
            <w:vAlign w:val="center"/>
          </w:tcPr>
          <w:p w14:paraId="740B0000">
            <w:pPr>
              <w:widowControl w:val="1"/>
              <w:ind w:firstLine="34"/>
              <w:contextualSpacing w:val="1"/>
              <w:jc w:val="center"/>
              <w:rPr>
                <w:color w:val="000000"/>
              </w:rPr>
            </w:pPr>
            <w:r>
              <w:rPr>
                <w:color w:val="000000"/>
              </w:rPr>
              <w:t>-365</w:t>
            </w:r>
          </w:p>
        </w:tc>
        <w:tc>
          <w:tcPr>
            <w:tcW w:type="dxa" w:w="1030"/>
            <w:tcBorders>
              <w:top w:color="000000" w:sz="4" w:val="single"/>
              <w:left w:color="000000" w:sz="4" w:val="single"/>
              <w:bottom w:color="000000" w:sz="4" w:val="single"/>
              <w:right w:color="000000" w:sz="4" w:val="single"/>
            </w:tcBorders>
            <w:shd w:fill="auto" w:val="clear"/>
            <w:vAlign w:val="center"/>
          </w:tcPr>
          <w:p w14:paraId="750B0000">
            <w:pPr>
              <w:widowControl w:val="1"/>
              <w:ind w:firstLine="34"/>
              <w:contextualSpacing w:val="1"/>
              <w:jc w:val="center"/>
              <w:rPr>
                <w:color w:val="000000"/>
              </w:rPr>
            </w:pPr>
            <w:r>
              <w:rPr>
                <w:color w:val="000000"/>
              </w:rPr>
              <w:t>90,8</w:t>
            </w:r>
          </w:p>
        </w:tc>
        <w:tc>
          <w:tcPr>
            <w:tcW w:type="dxa" w:w="1276"/>
            <w:tcBorders>
              <w:top w:color="000000" w:sz="4" w:val="single"/>
              <w:left w:color="000000" w:sz="4" w:val="single"/>
              <w:bottom w:color="000000" w:sz="4" w:val="single"/>
              <w:right w:color="000000" w:sz="4" w:val="single"/>
            </w:tcBorders>
            <w:shd w:fill="auto" w:val="clear"/>
            <w:vAlign w:val="center"/>
          </w:tcPr>
          <w:p w14:paraId="760B0000">
            <w:pPr>
              <w:widowControl w:val="1"/>
              <w:ind w:firstLine="34"/>
              <w:contextualSpacing w:val="1"/>
              <w:jc w:val="center"/>
              <w:rPr>
                <w:color w:val="000000"/>
              </w:rPr>
            </w:pPr>
            <w:r>
              <w:rPr>
                <w:color w:val="000000"/>
              </w:rPr>
              <w:t>1%</w:t>
            </w:r>
          </w:p>
        </w:tc>
      </w:tr>
      <w:tr>
        <w:trPr>
          <w:trHeight w:hRule="atLeast" w:val="330"/>
        </w:trPr>
        <w:tc>
          <w:tcPr>
            <w:tcW w:type="dxa" w:w="2410"/>
            <w:tcBorders>
              <w:top w:color="000000" w:sz="4" w:val="single"/>
              <w:left w:color="000000" w:sz="4" w:val="single"/>
              <w:bottom w:color="000000" w:sz="4" w:val="single"/>
              <w:right w:color="000000" w:sz="4" w:val="single"/>
            </w:tcBorders>
            <w:shd w:fill="auto" w:val="clear"/>
            <w:vAlign w:val="center"/>
          </w:tcPr>
          <w:p w14:paraId="770B0000">
            <w:pPr>
              <w:widowControl w:val="1"/>
              <w:ind w:firstLine="34"/>
              <w:contextualSpacing w:val="1"/>
              <w:jc w:val="center"/>
              <w:rPr>
                <w:color w:val="000000"/>
              </w:rPr>
            </w:pPr>
            <w:r>
              <w:rPr>
                <w:color w:val="000000"/>
              </w:rPr>
              <w:t>- задолженность перед бюджетом</w:t>
            </w:r>
          </w:p>
        </w:tc>
        <w:tc>
          <w:tcPr>
            <w:tcW w:type="dxa" w:w="1166"/>
            <w:tcBorders>
              <w:top w:color="000000" w:sz="4" w:val="single"/>
              <w:left w:color="000000" w:sz="4" w:val="single"/>
              <w:bottom w:color="000000" w:sz="4" w:val="single"/>
              <w:right w:color="000000" w:sz="4" w:val="single"/>
            </w:tcBorders>
            <w:shd w:fill="auto" w:val="clear"/>
            <w:vAlign w:val="center"/>
          </w:tcPr>
          <w:p w14:paraId="780B0000">
            <w:pPr>
              <w:widowControl w:val="1"/>
              <w:ind w:firstLine="34"/>
              <w:contextualSpacing w:val="1"/>
              <w:jc w:val="center"/>
              <w:rPr>
                <w:color w:val="000000"/>
              </w:rPr>
            </w:pPr>
            <w:r>
              <w:rPr>
                <w:color w:val="000000"/>
              </w:rPr>
              <w:t>2 685</w:t>
            </w:r>
          </w:p>
        </w:tc>
        <w:tc>
          <w:tcPr>
            <w:tcW w:type="dxa" w:w="1166"/>
            <w:tcBorders>
              <w:top w:color="000000" w:sz="4" w:val="single"/>
              <w:left w:color="000000" w:sz="4" w:val="single"/>
              <w:bottom w:color="000000" w:sz="4" w:val="single"/>
              <w:right w:color="000000" w:sz="4" w:val="single"/>
            </w:tcBorders>
            <w:shd w:fill="auto" w:val="clear"/>
            <w:vAlign w:val="center"/>
          </w:tcPr>
          <w:p w14:paraId="790B0000">
            <w:pPr>
              <w:widowControl w:val="1"/>
              <w:ind w:firstLine="34"/>
              <w:contextualSpacing w:val="1"/>
              <w:jc w:val="center"/>
              <w:rPr>
                <w:color w:val="000000"/>
              </w:rPr>
            </w:pPr>
            <w:r>
              <w:rPr>
                <w:color w:val="000000"/>
              </w:rPr>
              <w:t>1 828</w:t>
            </w:r>
          </w:p>
        </w:tc>
        <w:tc>
          <w:tcPr>
            <w:tcW w:type="dxa" w:w="1166"/>
            <w:tcBorders>
              <w:top w:color="000000" w:sz="4" w:val="single"/>
              <w:left w:color="000000" w:sz="4" w:val="single"/>
              <w:bottom w:color="000000" w:sz="4" w:val="single"/>
              <w:right w:color="000000" w:sz="4" w:val="single"/>
            </w:tcBorders>
            <w:shd w:fill="auto" w:val="clear"/>
            <w:vAlign w:val="center"/>
          </w:tcPr>
          <w:p w14:paraId="7A0B0000">
            <w:pPr>
              <w:widowControl w:val="1"/>
              <w:ind w:firstLine="34"/>
              <w:contextualSpacing w:val="1"/>
              <w:jc w:val="center"/>
              <w:rPr>
                <w:color w:val="000000"/>
              </w:rPr>
            </w:pPr>
            <w:r>
              <w:rPr>
                <w:color w:val="000000"/>
              </w:rPr>
              <w:t>1 215</w:t>
            </w:r>
          </w:p>
        </w:tc>
        <w:tc>
          <w:tcPr>
            <w:tcW w:type="dxa" w:w="1284"/>
            <w:tcBorders>
              <w:top w:color="000000" w:sz="4" w:val="single"/>
              <w:left w:color="000000" w:sz="4" w:val="single"/>
              <w:bottom w:color="000000" w:sz="4" w:val="single"/>
              <w:right w:color="000000" w:sz="4" w:val="single"/>
            </w:tcBorders>
            <w:shd w:fill="auto" w:val="clear"/>
            <w:vAlign w:val="center"/>
          </w:tcPr>
          <w:p w14:paraId="7B0B0000">
            <w:pPr>
              <w:widowControl w:val="1"/>
              <w:ind w:firstLine="34"/>
              <w:contextualSpacing w:val="1"/>
              <w:jc w:val="center"/>
              <w:rPr>
                <w:color w:val="000000"/>
              </w:rPr>
            </w:pPr>
            <w:r>
              <w:rPr>
                <w:color w:val="000000"/>
              </w:rPr>
              <w:t>857</w:t>
            </w:r>
          </w:p>
        </w:tc>
        <w:tc>
          <w:tcPr>
            <w:tcW w:type="dxa" w:w="1030"/>
            <w:tcBorders>
              <w:top w:color="000000" w:sz="4" w:val="single"/>
              <w:left w:color="000000" w:sz="4" w:val="single"/>
              <w:bottom w:color="000000" w:sz="4" w:val="single"/>
              <w:right w:color="000000" w:sz="4" w:val="single"/>
            </w:tcBorders>
            <w:shd w:fill="auto" w:val="clear"/>
            <w:vAlign w:val="center"/>
          </w:tcPr>
          <w:p w14:paraId="7C0B0000">
            <w:pPr>
              <w:widowControl w:val="1"/>
              <w:ind w:firstLine="34"/>
              <w:contextualSpacing w:val="1"/>
              <w:jc w:val="center"/>
              <w:rPr>
                <w:color w:val="000000"/>
              </w:rPr>
            </w:pPr>
            <w:r>
              <w:rPr>
                <w:color w:val="000000"/>
              </w:rPr>
              <w:t>146,9</w:t>
            </w:r>
          </w:p>
        </w:tc>
        <w:tc>
          <w:tcPr>
            <w:tcW w:type="dxa" w:w="1276"/>
            <w:tcBorders>
              <w:top w:color="000000" w:sz="4" w:val="single"/>
              <w:left w:color="000000" w:sz="4" w:val="single"/>
              <w:bottom w:color="000000" w:sz="4" w:val="single"/>
              <w:right w:color="000000" w:sz="4" w:val="single"/>
            </w:tcBorders>
            <w:shd w:fill="auto" w:val="clear"/>
            <w:vAlign w:val="center"/>
          </w:tcPr>
          <w:p w14:paraId="7D0B0000">
            <w:pPr>
              <w:widowControl w:val="1"/>
              <w:ind w:firstLine="34"/>
              <w:contextualSpacing w:val="1"/>
              <w:jc w:val="center"/>
              <w:rPr>
                <w:color w:val="000000"/>
              </w:rPr>
            </w:pPr>
            <w:r>
              <w:rPr>
                <w:color w:val="000000"/>
              </w:rPr>
              <w:t>1%</w:t>
            </w:r>
          </w:p>
        </w:tc>
      </w:tr>
      <w:tr>
        <w:trPr>
          <w:trHeight w:hRule="atLeast" w:val="330"/>
        </w:trPr>
        <w:tc>
          <w:tcPr>
            <w:tcW w:type="dxa" w:w="2410"/>
            <w:tcBorders>
              <w:top w:color="000000" w:sz="4" w:val="single"/>
              <w:left w:color="000000" w:sz="4" w:val="single"/>
              <w:bottom w:color="000000" w:sz="4" w:val="single"/>
              <w:right w:color="000000" w:sz="4" w:val="single"/>
            </w:tcBorders>
            <w:shd w:fill="auto" w:val="clear"/>
            <w:vAlign w:val="center"/>
          </w:tcPr>
          <w:p w14:paraId="7E0B0000">
            <w:pPr>
              <w:widowControl w:val="1"/>
              <w:ind w:firstLine="34"/>
              <w:contextualSpacing w:val="1"/>
              <w:jc w:val="center"/>
              <w:rPr>
                <w:color w:val="000000"/>
              </w:rPr>
            </w:pPr>
            <w:r>
              <w:rPr>
                <w:color w:val="000000"/>
              </w:rPr>
              <w:t>- прочие кредиторы</w:t>
            </w:r>
          </w:p>
        </w:tc>
        <w:tc>
          <w:tcPr>
            <w:tcW w:type="dxa" w:w="1166"/>
            <w:tcBorders>
              <w:top w:color="000000" w:sz="4" w:val="single"/>
              <w:left w:color="000000" w:sz="4" w:val="single"/>
              <w:bottom w:color="000000" w:sz="4" w:val="single"/>
              <w:right w:color="000000" w:sz="4" w:val="single"/>
            </w:tcBorders>
            <w:shd w:fill="auto" w:val="clear"/>
            <w:vAlign w:val="center"/>
          </w:tcPr>
          <w:p w14:paraId="7F0B0000">
            <w:pPr>
              <w:widowControl w:val="1"/>
              <w:ind w:firstLine="34"/>
              <w:contextualSpacing w:val="1"/>
              <w:jc w:val="center"/>
              <w:rPr>
                <w:color w:val="000000"/>
              </w:rPr>
            </w:pPr>
            <w:r>
              <w:rPr>
                <w:color w:val="000000"/>
              </w:rPr>
              <w:t>1</w:t>
            </w:r>
            <w:r>
              <w:rPr>
                <w:color w:val="000000"/>
              </w:rPr>
              <w:t xml:space="preserve"> </w:t>
            </w:r>
            <w:r>
              <w:rPr>
                <w:color w:val="000000"/>
              </w:rPr>
              <w:t>173</w:t>
            </w:r>
          </w:p>
        </w:tc>
        <w:tc>
          <w:tcPr>
            <w:tcW w:type="dxa" w:w="1166"/>
            <w:tcBorders>
              <w:top w:color="000000" w:sz="4" w:val="single"/>
              <w:left w:color="000000" w:sz="4" w:val="single"/>
              <w:bottom w:color="000000" w:sz="4" w:val="single"/>
              <w:right w:color="000000" w:sz="4" w:val="single"/>
            </w:tcBorders>
            <w:shd w:fill="auto" w:val="clear"/>
            <w:vAlign w:val="center"/>
          </w:tcPr>
          <w:p w14:paraId="800B0000">
            <w:pPr>
              <w:widowControl w:val="1"/>
              <w:ind w:firstLine="34"/>
              <w:contextualSpacing w:val="1"/>
              <w:jc w:val="center"/>
              <w:rPr>
                <w:color w:val="000000"/>
              </w:rPr>
            </w:pPr>
            <w:r>
              <w:rPr>
                <w:color w:val="000000"/>
              </w:rPr>
              <w:t>6</w:t>
            </w:r>
            <w:r>
              <w:rPr>
                <w:color w:val="000000"/>
              </w:rPr>
              <w:t xml:space="preserve"> </w:t>
            </w:r>
            <w:r>
              <w:rPr>
                <w:color w:val="000000"/>
              </w:rPr>
              <w:t>770</w:t>
            </w:r>
          </w:p>
        </w:tc>
        <w:tc>
          <w:tcPr>
            <w:tcW w:type="dxa" w:w="1166"/>
            <w:tcBorders>
              <w:top w:color="000000" w:sz="4" w:val="single"/>
              <w:left w:color="000000" w:sz="4" w:val="single"/>
              <w:bottom w:color="000000" w:sz="4" w:val="single"/>
              <w:right w:color="000000" w:sz="4" w:val="single"/>
            </w:tcBorders>
            <w:shd w:fill="auto" w:val="clear"/>
            <w:vAlign w:val="center"/>
          </w:tcPr>
          <w:p w14:paraId="810B0000">
            <w:pPr>
              <w:widowControl w:val="1"/>
              <w:ind w:firstLine="34"/>
              <w:contextualSpacing w:val="1"/>
              <w:jc w:val="center"/>
              <w:rPr>
                <w:color w:val="000000"/>
              </w:rPr>
            </w:pPr>
            <w:r>
              <w:rPr>
                <w:color w:val="000000"/>
              </w:rPr>
              <w:t>607</w:t>
            </w:r>
          </w:p>
        </w:tc>
        <w:tc>
          <w:tcPr>
            <w:tcW w:type="dxa" w:w="1284"/>
            <w:tcBorders>
              <w:top w:color="000000" w:sz="4" w:val="single"/>
              <w:left w:color="000000" w:sz="4" w:val="single"/>
              <w:bottom w:color="000000" w:sz="4" w:val="single"/>
              <w:right w:color="000000" w:sz="4" w:val="single"/>
            </w:tcBorders>
            <w:shd w:fill="auto" w:val="clear"/>
            <w:vAlign w:val="center"/>
          </w:tcPr>
          <w:p w14:paraId="820B0000">
            <w:pPr>
              <w:widowControl w:val="1"/>
              <w:ind w:firstLine="34"/>
              <w:contextualSpacing w:val="1"/>
              <w:jc w:val="center"/>
              <w:rPr>
                <w:color w:val="000000"/>
              </w:rPr>
            </w:pPr>
            <w:r>
              <w:rPr>
                <w:color w:val="000000"/>
              </w:rPr>
              <w:t>-5</w:t>
            </w:r>
            <w:r>
              <w:rPr>
                <w:color w:val="000000"/>
              </w:rPr>
              <w:t xml:space="preserve"> </w:t>
            </w:r>
            <w:r>
              <w:rPr>
                <w:color w:val="000000"/>
              </w:rPr>
              <w:t>597</w:t>
            </w:r>
          </w:p>
        </w:tc>
        <w:tc>
          <w:tcPr>
            <w:tcW w:type="dxa" w:w="1030"/>
            <w:tcBorders>
              <w:top w:color="000000" w:sz="4" w:val="single"/>
              <w:left w:color="000000" w:sz="4" w:val="single"/>
              <w:bottom w:color="000000" w:sz="4" w:val="single"/>
              <w:right w:color="000000" w:sz="4" w:val="single"/>
            </w:tcBorders>
            <w:shd w:fill="auto" w:val="clear"/>
            <w:vAlign w:val="center"/>
          </w:tcPr>
          <w:p w14:paraId="830B0000">
            <w:pPr>
              <w:widowControl w:val="1"/>
              <w:ind w:firstLine="34"/>
              <w:contextualSpacing w:val="1"/>
              <w:jc w:val="center"/>
              <w:rPr>
                <w:color w:val="000000"/>
              </w:rPr>
            </w:pPr>
            <w:r>
              <w:rPr>
                <w:color w:val="000000"/>
              </w:rPr>
              <w:t>17,3</w:t>
            </w:r>
          </w:p>
        </w:tc>
        <w:tc>
          <w:tcPr>
            <w:tcW w:type="dxa" w:w="1276"/>
            <w:tcBorders>
              <w:top w:color="000000" w:sz="4" w:val="single"/>
              <w:left w:color="000000" w:sz="4" w:val="single"/>
              <w:bottom w:color="000000" w:sz="4" w:val="single"/>
              <w:right w:color="000000" w:sz="4" w:val="single"/>
            </w:tcBorders>
            <w:shd w:fill="auto" w:val="clear"/>
            <w:vAlign w:val="center"/>
          </w:tcPr>
          <w:p w14:paraId="840B0000">
            <w:pPr>
              <w:widowControl w:val="1"/>
              <w:ind w:firstLine="34"/>
              <w:contextualSpacing w:val="1"/>
              <w:jc w:val="center"/>
              <w:rPr>
                <w:color w:val="000000"/>
              </w:rPr>
            </w:pPr>
            <w:r>
              <w:rPr>
                <w:color w:val="000000"/>
              </w:rPr>
              <w:t>0%</w:t>
            </w:r>
          </w:p>
        </w:tc>
      </w:tr>
    </w:tbl>
    <w:p w14:paraId="850B0000">
      <w:pPr>
        <w:pStyle w:val="Style_12"/>
        <w:widowControl w:val="1"/>
        <w:ind w:firstLine="709"/>
        <w:contextualSpacing w:val="1"/>
        <w:rPr>
          <w:rFonts w:ascii="Times New Roman" w:hAnsi="Times New Roman"/>
          <w:sz w:val="24"/>
          <w:highlight w:val="magenta"/>
        </w:rPr>
      </w:pPr>
    </w:p>
    <w:p w14:paraId="860B0000">
      <w:pPr>
        <w:widowControl w:val="1"/>
        <w:spacing w:line="360" w:lineRule="auto"/>
        <w:ind w:firstLine="709"/>
        <w:contextualSpacing w:val="1"/>
        <w:jc w:val="both"/>
        <w:rPr>
          <w:highlight w:val="yellow"/>
        </w:rPr>
      </w:pPr>
      <w:r>
        <w:t>В бухгалтерском балансе на 31.12.2018 г. данные о долгосрочной кредиторской задолженности отражены с учетом изменения графиков погашения реструктуризированной задолженности, согласно Распоряжению ОАО «РЖД» от 29 декабря 2017 года № 2813р. и подписанных дополнительных соглашений, в разделе баланса «Долгосрочные обязательства». По данной задолженности регулярно, раз в квартал, подписываются акты сверки взаимных расчетов. Платежи производятся в соответствие с графиком оплаты и погашения реструктуризированной дебиторской задолженности ОАО «РЖД». Величина показателя «Долгосрочная кредиторская задолженность» на начало отчетного периода составила 242 563 тыс. руб. и на конец отчетного периода – 241 383 тыс. руб.</w:t>
      </w:r>
    </w:p>
    <w:p w14:paraId="870B0000">
      <w:pPr>
        <w:widowControl w:val="1"/>
        <w:tabs>
          <w:tab w:leader="none" w:pos="851" w:val="left"/>
        </w:tabs>
        <w:spacing w:line="360" w:lineRule="auto"/>
        <w:ind w:firstLine="709"/>
        <w:contextualSpacing w:val="1"/>
        <w:jc w:val="both"/>
      </w:pPr>
      <w:r>
        <w:tab/>
      </w:r>
      <w:r>
        <w:t>Задолженность по договорам прошлых лет с ОАО «РЖД» на конец отчетного периода составляет 242 563 тыс. руб., в разрезе структурных подразделений ОАО «РЖД» в т.ч.:</w:t>
      </w:r>
    </w:p>
    <w:p w14:paraId="880B0000">
      <w:pPr>
        <w:widowControl w:val="1"/>
        <w:numPr>
          <w:ilvl w:val="0"/>
          <w:numId w:val="13"/>
        </w:numPr>
        <w:tabs>
          <w:tab w:leader="none" w:pos="851" w:val="left"/>
        </w:tabs>
        <w:spacing w:line="360" w:lineRule="auto"/>
        <w:ind w:firstLine="709" w:left="0"/>
        <w:contextualSpacing w:val="1"/>
        <w:jc w:val="both"/>
      </w:pPr>
      <w:r>
        <w:t>112 056 тыс. руб. перед Красноярской дирекцией инфраструктуры – структурного подразделения Центральной дирекции инфраструктуры – филиала ОАО «РЖД» по договорам об оказании услуг по организации доступа к процессу перевозок пассажиров в пригородном сообщении за 2008 и 2010 годы (№ Д-1839 ДОППр/НЮ от 01.07.2008 г., № Д-2351 Л/НЮ от 18.12.2008 г. и № Д-7 ДОППр/НЮ от 01.02.2010 г.;</w:t>
      </w:r>
    </w:p>
    <w:p w14:paraId="890B0000">
      <w:pPr>
        <w:widowControl w:val="1"/>
        <w:numPr>
          <w:ilvl w:val="0"/>
          <w:numId w:val="13"/>
        </w:numPr>
        <w:tabs>
          <w:tab w:leader="none" w:pos="851" w:val="left"/>
        </w:tabs>
        <w:spacing w:line="360" w:lineRule="auto"/>
        <w:ind w:firstLine="709" w:left="0"/>
        <w:contextualSpacing w:val="1"/>
        <w:jc w:val="both"/>
      </w:pPr>
      <w:r>
        <w:t>93 495 тыс. руб.  перед Красноярской дирекцией моторвагонного подвижного состава – структурного подразделения Центральной дирекции моторвагонного подвижного состава – филиала ОАО «РЖД» по договорам аренды, управления и выполнения работ по ремонтам за 2008 и 2010 годы (№ Д-1884 ДОППр/НЮ от 01.07.2008 г., № Д-1886 ДОППр/НЮ от 01.07.2008 г., № Д-1840 ДОППр/НЮ от 01.07.2008 г., № Д-1918 ДОППр/НЮ от 30.09.2008 г., № Д-1306 ДОППр/НЮ от 01.10.2009 г., № Д-2350 ДОППр/НЮ от 18.12.2008 г., № Д-10 ДОППр/НЮ от 0.02.2010 г.;</w:t>
      </w:r>
    </w:p>
    <w:p w14:paraId="8A0B0000">
      <w:pPr>
        <w:widowControl w:val="1"/>
        <w:numPr>
          <w:ilvl w:val="0"/>
          <w:numId w:val="13"/>
        </w:numPr>
        <w:tabs>
          <w:tab w:leader="none" w:pos="851" w:val="left"/>
        </w:tabs>
        <w:spacing w:line="360" w:lineRule="auto"/>
        <w:ind w:firstLine="709" w:left="0"/>
        <w:contextualSpacing w:val="1"/>
        <w:jc w:val="both"/>
      </w:pPr>
      <w:r>
        <w:t>37 012 тыс. руб. перед Восточно – Сибирской дирекцией моторвагонного подвижного состава – структурного подразделения Центральной дирекции моторвагонного подвижного состава – филиала ОАО «РЖД» по договорам аренды, управления и выполнения работ по ремонтам за 2011 год.</w:t>
      </w:r>
    </w:p>
    <w:p w14:paraId="8B0B0000">
      <w:pPr>
        <w:widowControl w:val="1"/>
        <w:spacing w:line="360" w:lineRule="auto"/>
        <w:ind w:firstLine="709"/>
        <w:contextualSpacing w:val="1"/>
        <w:jc w:val="both"/>
      </w:pPr>
      <w:r>
        <w:t xml:space="preserve">В разделе баланса «Краткосрочные обязательства» сумма кредиторской задолженности на начало отчетного периода составила 48 723 тыс. руб. и на конец отчетного </w:t>
      </w:r>
      <w:r>
        <w:t>периода –</w:t>
      </w:r>
      <w:r>
        <w:t>34 259 тыс. руб.</w:t>
      </w:r>
    </w:p>
    <w:p w14:paraId="8C0B0000">
      <w:pPr>
        <w:widowControl w:val="1"/>
        <w:tabs>
          <w:tab w:leader="none" w:pos="851" w:val="left"/>
        </w:tabs>
        <w:spacing w:line="360" w:lineRule="auto"/>
        <w:ind w:firstLine="709"/>
        <w:contextualSpacing w:val="1"/>
        <w:jc w:val="both"/>
      </w:pPr>
      <w:r>
        <w:tab/>
      </w:r>
      <w:r>
        <w:t xml:space="preserve">На конец отчетного периода снижение кредиторской задолженности наблюдается по всем видам задолженности, кроме показателя «перед поставщиками и подрядчиками» и «перед бюджетом», и в общей стоимости составило 14 464 тыс. руб. или на 29,7%. </w:t>
      </w:r>
    </w:p>
    <w:p w14:paraId="8D0B0000">
      <w:pPr>
        <w:widowControl w:val="1"/>
        <w:tabs>
          <w:tab w:leader="none" w:pos="851" w:val="left"/>
        </w:tabs>
        <w:spacing w:line="360" w:lineRule="auto"/>
        <w:ind w:firstLine="709"/>
        <w:contextualSpacing w:val="1"/>
        <w:jc w:val="both"/>
      </w:pPr>
      <w:r>
        <w:tab/>
      </w:r>
      <w:r>
        <w:t>Рост показателя кредиторской задолженности «перед поставщиками и подрядчиками» объясняется заключением в конце отчетного года договора на выполнение работ по наружной окраске секций и внутренней окраске тамбуров вагонов электропоездов серии ЭД9М с ЗАО «Вагон-Сервис», работы выполнены в полном объеме в 2018 году, оплата будет произведена в следующем отчетном периоде.</w:t>
      </w:r>
    </w:p>
    <w:p w14:paraId="8E0B0000">
      <w:pPr>
        <w:widowControl w:val="1"/>
        <w:tabs>
          <w:tab w:leader="none" w:pos="851" w:val="left"/>
        </w:tabs>
        <w:spacing w:line="360" w:lineRule="auto"/>
        <w:ind w:firstLine="709"/>
        <w:contextualSpacing w:val="1"/>
        <w:jc w:val="both"/>
      </w:pPr>
      <w:r>
        <w:tab/>
      </w:r>
      <w:r>
        <w:t>Текущая кредиторская задолженность перед структурными подразделениями ОАО «РЖД» на конец анализируемого периода снизилась на 31,6 % или на 594 тыс. руб.</w:t>
      </w:r>
    </w:p>
    <w:p w14:paraId="8F0B0000">
      <w:pPr>
        <w:widowControl w:val="1"/>
        <w:tabs>
          <w:tab w:leader="none" w:pos="851" w:val="left"/>
        </w:tabs>
        <w:spacing w:line="360" w:lineRule="auto"/>
        <w:ind w:firstLine="709"/>
        <w:contextualSpacing w:val="1"/>
        <w:jc w:val="both"/>
      </w:pPr>
      <w:r>
        <w:tab/>
      </w:r>
      <w:r>
        <w:t>Задолженность «по авансам полученным» имеет наибольший удельный вес в структуре кредиторской задолженности – 33,0 % и в стоимостном выражении составляет                                          11 311 тыс. руб. В основном данная задолженность состоит из задолженности перед Министерством труда и социальной защиты Российской Федерации по государственным контрактам на оказание услуг по перевозке граждан - получателей социальной услуги железнодорожным транспортом в пригородном сообщении.</w:t>
      </w:r>
    </w:p>
    <w:p w14:paraId="900B0000">
      <w:pPr>
        <w:widowControl w:val="1"/>
        <w:tabs>
          <w:tab w:leader="none" w:pos="851" w:val="left"/>
        </w:tabs>
        <w:spacing w:line="360" w:lineRule="auto"/>
        <w:ind w:firstLine="709"/>
        <w:contextualSpacing w:val="1"/>
        <w:jc w:val="both"/>
      </w:pPr>
      <w:r>
        <w:tab/>
      </w:r>
      <w:r>
        <w:t>В составе кредиторской задолженности по показателю «перед прочими кредиторами» основную долю составляет задолженность перед Министерством транспорта Красноярского края (657 тыс. руб.), которая подлежит возврату по итогам 2018 года, как неиспользованная сумма субсидий, полученная в целях возмещения недополученных доходов, возникающих в результате государственного регулирования тарифов на перевозки пассажиров железнодорожным транспортом в пригородном сообщении.</w:t>
      </w:r>
    </w:p>
    <w:p w14:paraId="910B0000">
      <w:pPr>
        <w:widowControl w:val="1"/>
        <w:tabs>
          <w:tab w:leader="none" w:pos="851" w:val="left"/>
        </w:tabs>
        <w:spacing w:line="360" w:lineRule="auto"/>
        <w:ind w:firstLine="709"/>
        <w:contextualSpacing w:val="1"/>
        <w:jc w:val="both"/>
      </w:pPr>
      <w:r>
        <w:tab/>
      </w:r>
      <w:r>
        <w:t>Рост кредиторской задолженности по показателю «перед бюджетом» обусловлен поправкой, внесенной в Налоговый кодекс Российской Федерации, по зачету прибыли в счет убытков прошлых лет. Законодатель ограничил сумму списания 50 %, в связи с чем возникла задолженность перед бюджетом по налогу на прибыль, которая на конец отчетного периода составила 1 078 тыс. руб.</w:t>
      </w:r>
    </w:p>
    <w:p w14:paraId="920B0000">
      <w:pPr>
        <w:widowControl w:val="1"/>
        <w:tabs>
          <w:tab w:leader="none" w:pos="851" w:val="left"/>
        </w:tabs>
        <w:spacing w:line="360" w:lineRule="auto"/>
        <w:ind w:firstLine="709"/>
        <w:contextualSpacing w:val="1"/>
        <w:jc w:val="both"/>
      </w:pPr>
      <w:r>
        <w:tab/>
      </w:r>
      <w:r>
        <w:t xml:space="preserve">Более подробно кредиторская задолженность в разрезе контрагентов раскрыта в Приложении № </w:t>
      </w:r>
      <w:r>
        <w:t>6</w:t>
      </w:r>
      <w:r>
        <w:t>.</w:t>
      </w:r>
    </w:p>
    <w:p w14:paraId="930B0000">
      <w:pPr>
        <w:widowControl w:val="1"/>
        <w:tabs>
          <w:tab w:leader="none" w:pos="851" w:val="left"/>
        </w:tabs>
        <w:spacing w:line="360" w:lineRule="auto"/>
        <w:ind w:firstLine="709"/>
        <w:contextualSpacing w:val="1"/>
        <w:jc w:val="both"/>
      </w:pPr>
    </w:p>
    <w:p w14:paraId="940B0000">
      <w:pPr>
        <w:pStyle w:val="Style_19"/>
        <w:widowControl w:val="1"/>
        <w:pBdr>
          <w:right w:color="000000" w:space="0" w:val="nil"/>
        </w:pBdr>
        <w:tabs>
          <w:tab w:leader="none" w:pos="851" w:val="left"/>
        </w:tabs>
        <w:spacing w:after="0" w:before="0"/>
        <w:ind w:firstLine="709"/>
        <w:contextualSpacing w:val="1"/>
        <w:rPr>
          <w:rFonts w:ascii="Times New Roman" w:hAnsi="Times New Roman"/>
        </w:rPr>
      </w:pPr>
      <w:r>
        <w:rPr>
          <w:rFonts w:ascii="Times New Roman" w:hAnsi="Times New Roman"/>
        </w:rPr>
        <w:t xml:space="preserve">Раскрытие информации по отложенным налоговым обязательствам (активам) </w:t>
      </w:r>
    </w:p>
    <w:p w14:paraId="950B0000">
      <w:pPr>
        <w:pStyle w:val="Style_19"/>
        <w:widowControl w:val="1"/>
        <w:pBdr>
          <w:right w:color="000000" w:space="0" w:val="nil"/>
        </w:pBdr>
        <w:tabs>
          <w:tab w:leader="none" w:pos="851" w:val="left"/>
        </w:tabs>
        <w:spacing w:after="0" w:before="0"/>
        <w:ind w:firstLine="709"/>
        <w:contextualSpacing w:val="1"/>
        <w:rPr>
          <w:rFonts w:ascii="Times New Roman" w:hAnsi="Times New Roman"/>
        </w:rPr>
      </w:pPr>
      <w:r>
        <w:rPr>
          <w:rFonts w:ascii="Times New Roman" w:hAnsi="Times New Roman"/>
        </w:rPr>
        <w:t xml:space="preserve"> и постоянным налоговым обязательствам.</w:t>
      </w:r>
    </w:p>
    <w:p w14:paraId="960B0000">
      <w:pPr>
        <w:pStyle w:val="Style_19"/>
        <w:widowControl w:val="1"/>
        <w:pBdr>
          <w:right w:color="000000" w:space="0" w:val="nil"/>
        </w:pBdr>
        <w:tabs>
          <w:tab w:leader="none" w:pos="851" w:val="left"/>
        </w:tabs>
        <w:spacing w:after="0" w:before="0"/>
        <w:ind w:firstLine="709"/>
        <w:contextualSpacing w:val="1"/>
        <w:rPr>
          <w:rFonts w:ascii="Times New Roman" w:hAnsi="Times New Roman"/>
          <w:b w:val="0"/>
        </w:rPr>
      </w:pPr>
    </w:p>
    <w:p w14:paraId="970B0000">
      <w:pPr>
        <w:widowControl w:val="1"/>
        <w:tabs>
          <w:tab w:leader="none" w:pos="851" w:val="left"/>
        </w:tabs>
        <w:spacing w:line="360" w:lineRule="auto"/>
        <w:ind w:firstLine="709"/>
        <w:contextualSpacing w:val="1"/>
        <w:jc w:val="both"/>
      </w:pPr>
      <w:r>
        <w:t xml:space="preserve">Отложенные налоговые обязательства и постоянные налоговые обязательства (активы) возникают в случае расхождения между бухгалтерским и налоговым методами признания расходов. Отложенные налоговые обязательства (ОНО) образованы в связи с возникновением временных налогооблагаемых разниц между бухгалтерским и налоговым учетом (ПБУ 18/02).  </w:t>
      </w:r>
    </w:p>
    <w:p w14:paraId="980B0000">
      <w:pPr>
        <w:widowControl w:val="1"/>
        <w:spacing w:line="360" w:lineRule="auto"/>
        <w:ind w:firstLine="709"/>
        <w:contextualSpacing w:val="1"/>
        <w:jc w:val="both"/>
        <w:rPr>
          <w:u w:val="single"/>
        </w:rPr>
      </w:pPr>
      <w:r>
        <w:rPr>
          <w:u w:val="single"/>
        </w:rPr>
        <w:t>За 12 месяцев 2018 года образованы следующие разницы:</w:t>
      </w:r>
    </w:p>
    <w:p w14:paraId="990B0000">
      <w:pPr>
        <w:widowControl w:val="1"/>
        <w:spacing w:line="360" w:lineRule="auto"/>
        <w:ind w:firstLine="709"/>
        <w:contextualSpacing w:val="1"/>
        <w:jc w:val="both"/>
      </w:pPr>
      <w:r>
        <w:t xml:space="preserve">1) - стоимость выданной спец. и форменной одежды – 1 669 504,30 руб. </w:t>
      </w:r>
    </w:p>
    <w:p w14:paraId="9A0B0000">
      <w:pPr>
        <w:widowControl w:val="1"/>
        <w:spacing w:line="360" w:lineRule="auto"/>
        <w:ind w:firstLine="709"/>
        <w:contextualSpacing w:val="1"/>
        <w:jc w:val="both"/>
      </w:pPr>
      <w:r>
        <w:t>Начислено ОНО – 1 669 504,30 * 20%= 333 900,86 руб.</w:t>
      </w:r>
    </w:p>
    <w:p w14:paraId="9B0B0000">
      <w:pPr>
        <w:widowControl w:val="1"/>
        <w:spacing w:line="360" w:lineRule="auto"/>
        <w:ind w:firstLine="709"/>
        <w:contextualSpacing w:val="1"/>
        <w:jc w:val="both"/>
      </w:pPr>
      <w:r>
        <w:t>- погашение отложенного налогового обязательства – сумма затрат, образованная в результате линейного способа отнесения на затраты стоимости форменной одежды – 1 672 647,71 руб.</w:t>
      </w:r>
    </w:p>
    <w:p w14:paraId="9C0B0000">
      <w:pPr>
        <w:widowControl w:val="1"/>
        <w:spacing w:line="360" w:lineRule="auto"/>
        <w:ind w:firstLine="709"/>
        <w:contextualSpacing w:val="1"/>
        <w:jc w:val="both"/>
      </w:pPr>
      <w:r>
        <w:t>Погашение ОНО – 1 672 647,71 * 20%= 334 529,54 руб.</w:t>
      </w:r>
    </w:p>
    <w:p w14:paraId="9D0B0000">
      <w:pPr>
        <w:widowControl w:val="1"/>
        <w:spacing w:line="360" w:lineRule="auto"/>
        <w:ind w:firstLine="709"/>
        <w:contextualSpacing w:val="1"/>
        <w:jc w:val="both"/>
      </w:pPr>
      <w:r>
        <w:t>2) Начислено оценочное обязательство по неиспользованным отпускам – 19 785 662,74 руб.</w:t>
      </w:r>
    </w:p>
    <w:p w14:paraId="9E0B0000">
      <w:pPr>
        <w:widowControl w:val="1"/>
        <w:spacing w:line="360" w:lineRule="auto"/>
        <w:ind w:firstLine="709"/>
        <w:contextualSpacing w:val="1"/>
        <w:jc w:val="both"/>
      </w:pPr>
      <w:r>
        <w:t xml:space="preserve">Начислен ОНА 19 785 662,74 * 20% = 3 957 132,55 руб. </w:t>
      </w:r>
    </w:p>
    <w:p w14:paraId="9F0B0000">
      <w:pPr>
        <w:widowControl w:val="1"/>
        <w:spacing w:line="360" w:lineRule="auto"/>
        <w:ind w:firstLine="709"/>
        <w:contextualSpacing w:val="1"/>
        <w:jc w:val="both"/>
      </w:pPr>
      <w:r>
        <w:t xml:space="preserve">Погашение ОНА 17 581 833,94 руб. (17 827 110,56 + 291 010,07 (отпуска за январь-февраль 2018, начисленные в декабре 2017) – 536 286,69 (отпуска за январь-февраль 2019, начисленные в декабре 2018) </w:t>
      </w:r>
    </w:p>
    <w:p w14:paraId="A00B0000">
      <w:pPr>
        <w:widowControl w:val="1"/>
        <w:spacing w:line="360" w:lineRule="auto"/>
        <w:ind w:firstLine="709"/>
        <w:contextualSpacing w:val="1"/>
        <w:jc w:val="both"/>
      </w:pPr>
      <w:r>
        <w:t>Погашение ОНА 17 581 833,94 * 20% = 3 516 366,79 руб.</w:t>
      </w:r>
    </w:p>
    <w:p w14:paraId="A10B0000">
      <w:pPr>
        <w:widowControl w:val="1"/>
        <w:spacing w:line="360" w:lineRule="auto"/>
        <w:ind w:firstLine="709"/>
        <w:contextualSpacing w:val="1"/>
        <w:jc w:val="both"/>
      </w:pPr>
      <w:r>
        <w:t>3) Разницы в начислении амортизации основных средств</w:t>
      </w:r>
    </w:p>
    <w:p w14:paraId="A20B0000">
      <w:pPr>
        <w:widowControl w:val="1"/>
        <w:spacing w:line="360" w:lineRule="auto"/>
        <w:ind w:firstLine="709"/>
        <w:contextualSpacing w:val="1"/>
        <w:jc w:val="both"/>
      </w:pPr>
      <w:r>
        <w:t>Погашено ОНО 186 262,54 * 20% = 37 252,51 руб.</w:t>
      </w:r>
    </w:p>
    <w:p w14:paraId="A30B0000">
      <w:pPr>
        <w:widowControl w:val="1"/>
        <w:spacing w:line="360" w:lineRule="auto"/>
        <w:ind w:firstLine="709"/>
        <w:contextualSpacing w:val="1"/>
        <w:jc w:val="both"/>
      </w:pPr>
      <w:r>
        <w:t>Основные средства, учитываемые в составе материальных расходов (стоимостью до 100 тыс. руб.)</w:t>
      </w:r>
    </w:p>
    <w:p w14:paraId="A40B0000">
      <w:pPr>
        <w:widowControl w:val="1"/>
        <w:spacing w:line="360" w:lineRule="auto"/>
        <w:ind w:firstLine="709"/>
        <w:contextualSpacing w:val="1"/>
        <w:jc w:val="both"/>
      </w:pPr>
      <w:r>
        <w:t>Начислено ОНО 709 214,84 * 20% = 141 842,97 руб.</w:t>
      </w:r>
    </w:p>
    <w:p w14:paraId="A50B0000">
      <w:pPr>
        <w:widowControl w:val="1"/>
        <w:spacing w:line="360" w:lineRule="auto"/>
        <w:ind w:firstLine="709"/>
        <w:contextualSpacing w:val="1"/>
        <w:jc w:val="both"/>
      </w:pPr>
      <w:r>
        <w:t xml:space="preserve">4) Расходы, не принимаемые в целях налогообложения на счете 20,25,26 </w:t>
      </w:r>
    </w:p>
    <w:p w14:paraId="A60B0000">
      <w:pPr>
        <w:widowControl w:val="1"/>
        <w:spacing w:line="360" w:lineRule="auto"/>
        <w:ind w:firstLine="709"/>
        <w:contextualSpacing w:val="1"/>
        <w:jc w:val="both"/>
      </w:pPr>
      <w:r>
        <w:t>Оплата (компенсация в поездах пригородного сообщения, услуги нотариуса сверх тарифа)</w:t>
      </w:r>
    </w:p>
    <w:p w14:paraId="A70B0000">
      <w:pPr>
        <w:widowControl w:val="1"/>
        <w:spacing w:line="360" w:lineRule="auto"/>
        <w:ind w:firstLine="709"/>
        <w:contextualSpacing w:val="1"/>
        <w:jc w:val="both"/>
      </w:pPr>
      <w:r>
        <w:t>ПНО 440 139,0 * 20% = 88 027,80 руб.</w:t>
      </w:r>
    </w:p>
    <w:p w14:paraId="A80B0000">
      <w:pPr>
        <w:widowControl w:val="1"/>
        <w:spacing w:line="360" w:lineRule="auto"/>
        <w:ind w:firstLine="709"/>
        <w:contextualSpacing w:val="1"/>
        <w:jc w:val="both"/>
      </w:pPr>
      <w:r>
        <w:t>5) Прочие доходы (доходы прошлых лет), не принимаемые в целях налогообло</w:t>
      </w:r>
      <w:r>
        <w:t>жения - П</w:t>
      </w:r>
      <w:r>
        <w:t xml:space="preserve">НА 344 323,44 * 20% = 68 864,69 руб.  </w:t>
      </w:r>
    </w:p>
    <w:p w14:paraId="A90B0000">
      <w:pPr>
        <w:widowControl w:val="1"/>
        <w:spacing w:line="360" w:lineRule="auto"/>
        <w:ind w:firstLine="709"/>
        <w:contextualSpacing w:val="1"/>
        <w:jc w:val="both"/>
      </w:pPr>
      <w:r>
        <w:t xml:space="preserve">6) Разницы в учете субсидий </w:t>
      </w:r>
    </w:p>
    <w:p w14:paraId="AA0B0000">
      <w:pPr>
        <w:widowControl w:val="1"/>
        <w:spacing w:line="360" w:lineRule="auto"/>
        <w:ind w:firstLine="709"/>
        <w:contextualSpacing w:val="1"/>
        <w:jc w:val="both"/>
      </w:pPr>
      <w:r>
        <w:t>Погашено ОНО 28 106,90 * 20% = 5 621,38 руб.</w:t>
      </w:r>
    </w:p>
    <w:p w14:paraId="AB0B0000">
      <w:pPr>
        <w:widowControl w:val="1"/>
        <w:spacing w:line="360" w:lineRule="auto"/>
        <w:ind w:firstLine="709"/>
        <w:contextualSpacing w:val="1"/>
        <w:jc w:val="both"/>
      </w:pPr>
      <w:r>
        <w:t xml:space="preserve">7) Прочие расходы, не принимаемые в целях налогообложения (в том числе по коллективному     договору)  </w:t>
      </w:r>
    </w:p>
    <w:p w14:paraId="AC0B0000">
      <w:pPr>
        <w:widowControl w:val="1"/>
        <w:spacing w:line="360" w:lineRule="auto"/>
        <w:ind w:firstLine="709"/>
        <w:contextualSpacing w:val="1"/>
        <w:jc w:val="both"/>
      </w:pPr>
      <w:r>
        <w:t>ПНО 2 559 542,68 * 20% = 511 908,54 руб.</w:t>
      </w:r>
    </w:p>
    <w:p w14:paraId="AD0B0000">
      <w:pPr>
        <w:widowControl w:val="1"/>
        <w:spacing w:line="360" w:lineRule="auto"/>
        <w:ind w:firstLine="709"/>
        <w:contextualSpacing w:val="1"/>
        <w:jc w:val="both"/>
      </w:pPr>
      <w:r>
        <w:t xml:space="preserve">8) Погашено ОНА (зачтен убыток прошлых лет в размере 50% налогооблагаемой базы текущего года) </w:t>
      </w:r>
    </w:p>
    <w:p w14:paraId="AE0B0000">
      <w:pPr>
        <w:widowControl w:val="1"/>
        <w:spacing w:line="360" w:lineRule="auto"/>
        <w:ind w:firstLine="709"/>
        <w:contextualSpacing w:val="1"/>
        <w:jc w:val="both"/>
      </w:pPr>
      <w:r>
        <w:t>ОНА 5 496 210,10 *50% * 20% = 549 621,01 руб.</w:t>
      </w:r>
    </w:p>
    <w:p w14:paraId="AF0B0000">
      <w:pPr>
        <w:widowControl w:val="1"/>
        <w:spacing w:line="360" w:lineRule="auto"/>
        <w:ind w:firstLine="709"/>
        <w:contextualSpacing w:val="1"/>
        <w:jc w:val="both"/>
      </w:pPr>
    </w:p>
    <w:p w14:paraId="B00B0000">
      <w:pPr>
        <w:widowControl w:val="1"/>
        <w:spacing w:line="360" w:lineRule="auto"/>
        <w:ind w:firstLine="709"/>
        <w:contextualSpacing w:val="1"/>
        <w:jc w:val="both"/>
      </w:pPr>
      <w:r>
        <w:t>Погашено ОНО прошлых лет (по ОС) 5 984,17 руб.</w:t>
      </w:r>
    </w:p>
    <w:p w14:paraId="B10B0000">
      <w:pPr>
        <w:widowControl w:val="1"/>
        <w:spacing w:line="360" w:lineRule="auto"/>
        <w:ind w:firstLine="709"/>
        <w:contextualSpacing w:val="1"/>
        <w:jc w:val="both"/>
      </w:pPr>
      <w:r>
        <w:t xml:space="preserve">Погашено ОНО прошлых лет (субсидии) 6 226 474,40 руб. </w:t>
      </w:r>
    </w:p>
    <w:p w14:paraId="B20B0000">
      <w:pPr>
        <w:widowControl w:val="1"/>
        <w:spacing w:line="360" w:lineRule="auto"/>
        <w:ind w:firstLine="709"/>
        <w:contextualSpacing w:val="1"/>
        <w:jc w:val="both"/>
      </w:pPr>
      <w:r>
        <w:t>ПНО прошлых лет 61 392,77 руб.</w:t>
      </w:r>
    </w:p>
    <w:p w14:paraId="B30B0000">
      <w:pPr>
        <w:widowControl w:val="1"/>
        <w:tabs>
          <w:tab w:leader="none" w:pos="851" w:val="left"/>
        </w:tabs>
        <w:spacing w:line="360" w:lineRule="auto"/>
        <w:ind w:firstLine="709"/>
        <w:contextualSpacing w:val="1"/>
        <w:jc w:val="both"/>
      </w:pPr>
    </w:p>
    <w:p w14:paraId="B40B0000">
      <w:pPr>
        <w:widowControl w:val="1"/>
        <w:spacing w:line="360" w:lineRule="auto"/>
        <w:ind w:firstLine="709"/>
        <w:contextualSpacing w:val="1"/>
        <w:jc w:val="both"/>
        <w:rPr>
          <w:b w:val="1"/>
        </w:rPr>
      </w:pPr>
      <w:r>
        <w:rPr>
          <w:b w:val="1"/>
        </w:rPr>
        <w:t>Оптимизация баланса</w:t>
      </w:r>
    </w:p>
    <w:p w14:paraId="B50B0000">
      <w:pPr>
        <w:widowControl w:val="1"/>
        <w:spacing w:line="360" w:lineRule="auto"/>
        <w:ind w:firstLine="709"/>
        <w:contextualSpacing w:val="1"/>
        <w:jc w:val="both"/>
      </w:pPr>
      <w:r>
        <w:t>В целях оптимизации баланса в 2018 году продолжается работа по взысканию убытков, возникших в результате организации пригородных перевозок по территориям Республики Бурятия  в 2011 году, в размере 36,8 млн.руб. Судебное разбирательство возобновлено апелляционным судом, назначена судебная экспертиза, результаты которой должны быть предоставлены экспертом в суд до 12.01.2019 г. Заседание назначено на 05.03.2019 г.</w:t>
      </w:r>
    </w:p>
    <w:p w14:paraId="B60B0000">
      <w:pPr>
        <w:widowControl w:val="1"/>
        <w:tabs>
          <w:tab w:leader="none" w:pos="851" w:val="left"/>
        </w:tabs>
        <w:spacing w:line="360" w:lineRule="auto"/>
        <w:ind w:firstLine="709"/>
        <w:contextualSpacing w:val="1"/>
        <w:jc w:val="both"/>
      </w:pPr>
    </w:p>
    <w:p w14:paraId="B70B0000">
      <w:pPr>
        <w:pStyle w:val="Style_19"/>
        <w:keepNext w:val="1"/>
        <w:widowControl w:val="1"/>
        <w:pBdr>
          <w:right w:color="000000" w:space="0" w:val="nil"/>
        </w:pBdr>
        <w:tabs>
          <w:tab w:leader="none" w:pos="851" w:val="left"/>
        </w:tabs>
        <w:spacing w:after="0" w:before="0"/>
        <w:ind w:firstLine="709"/>
        <w:contextualSpacing w:val="1"/>
        <w:rPr>
          <w:rFonts w:ascii="Times New Roman" w:hAnsi="Times New Roman"/>
          <w:b w:val="0"/>
        </w:rPr>
      </w:pPr>
    </w:p>
    <w:p w14:paraId="B80B0000">
      <w:bookmarkStart w:id="26" w:name="__RefHeading___23"/>
      <w:bookmarkEnd w:id="26"/>
      <w:pPr>
        <w:pStyle w:val="Style_10"/>
        <w:pageBreakBefore w:val="1"/>
        <w:widowControl w:val="1"/>
        <w:spacing w:after="0" w:before="0"/>
        <w:ind w:firstLine="709"/>
        <w:contextualSpacing w:val="1"/>
        <w:jc w:val="both"/>
        <w:rPr>
          <w:rFonts w:ascii="Times New Roman" w:hAnsi="Times New Roman"/>
          <w:i w:val="0"/>
          <w:sz w:val="24"/>
        </w:rPr>
      </w:pPr>
      <w:r>
        <w:rPr>
          <w:rFonts w:ascii="Times New Roman" w:hAnsi="Times New Roman"/>
          <w:i w:val="0"/>
          <w:sz w:val="24"/>
        </w:rPr>
        <w:t>5.</w:t>
      </w:r>
      <w:r>
        <w:rPr>
          <w:rFonts w:ascii="Times New Roman" w:hAnsi="Times New Roman"/>
          <w:i w:val="0"/>
          <w:sz w:val="24"/>
        </w:rPr>
        <w:t>5</w:t>
      </w:r>
      <w:r>
        <w:rPr>
          <w:rFonts w:ascii="Times New Roman" w:hAnsi="Times New Roman"/>
          <w:i w:val="0"/>
          <w:sz w:val="24"/>
        </w:rPr>
        <w:t xml:space="preserve">. </w:t>
      </w:r>
      <w:r>
        <w:rPr>
          <w:rFonts w:ascii="Times New Roman" w:hAnsi="Times New Roman"/>
          <w:i w:val="0"/>
          <w:sz w:val="24"/>
        </w:rPr>
        <w:t>Отчет о прибылях и убытках</w:t>
      </w:r>
    </w:p>
    <w:p w14:paraId="B90B0000">
      <w:pPr>
        <w:keepLines w:val="1"/>
        <w:widowControl w:val="1"/>
        <w:ind w:firstLine="709"/>
        <w:contextualSpacing w:val="1"/>
        <w:jc w:val="right"/>
        <w:rPr>
          <w:b w:val="1"/>
        </w:rPr>
      </w:pPr>
      <w:r>
        <w:rPr>
          <w:b w:val="1"/>
        </w:rPr>
        <w:t>Таблица 5.1</w:t>
      </w:r>
      <w:r>
        <w:rPr>
          <w:b w:val="1"/>
        </w:rPr>
        <w:t>7.</w:t>
      </w:r>
    </w:p>
    <w:p w14:paraId="BA0B0000">
      <w:pPr>
        <w:keepLines w:val="1"/>
        <w:widowControl w:val="1"/>
        <w:ind w:firstLine="709"/>
        <w:contextualSpacing w:val="1"/>
        <w:jc w:val="right"/>
      </w:pPr>
    </w:p>
    <w:p w14:paraId="BB0B0000">
      <w:pPr>
        <w:keepLines w:val="1"/>
        <w:widowControl w:val="1"/>
        <w:ind w:firstLine="709"/>
        <w:contextualSpacing w:val="1"/>
        <w:jc w:val="right"/>
      </w:pPr>
      <w:r>
        <w:t>тыс. руб.</w:t>
      </w:r>
    </w:p>
    <w:tbl>
      <w:tblPr>
        <w:tblStyle w:val="Style_4"/>
        <w:tblW w:type="auto" w:w="0"/>
        <w:tblInd w:type="dxa" w:w="10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4220"/>
        <w:gridCol w:w="1184"/>
        <w:gridCol w:w="1317"/>
        <w:gridCol w:w="1450"/>
        <w:gridCol w:w="1317"/>
      </w:tblGrid>
      <w:tr>
        <w:trPr>
          <w:trHeight w:hRule="atLeast" w:val="1102"/>
          <w:tblHeader/>
        </w:trPr>
        <w:tc>
          <w:tcPr>
            <w:tcW w:type="dxa" w:w="4220"/>
            <w:tcBorders>
              <w:top w:color="000000" w:sz="4" w:val="single"/>
              <w:left w:color="000000" w:sz="4" w:val="single"/>
              <w:bottom w:color="000000" w:sz="4" w:val="single"/>
              <w:right w:color="000000" w:sz="4" w:val="single"/>
            </w:tcBorders>
            <w:vAlign w:val="center"/>
          </w:tcPr>
          <w:p w14:paraId="BC0B0000">
            <w:pPr>
              <w:widowControl w:val="1"/>
              <w:ind w:firstLine="34"/>
              <w:contextualSpacing w:val="1"/>
              <w:jc w:val="center"/>
            </w:pPr>
            <w:r>
              <w:t>Наименование показателя</w:t>
            </w:r>
          </w:p>
        </w:tc>
        <w:tc>
          <w:tcPr>
            <w:tcW w:type="dxa" w:w="1184"/>
            <w:tcBorders>
              <w:top w:color="000000" w:sz="4" w:val="single"/>
              <w:left w:color="000000" w:sz="4" w:val="single"/>
              <w:bottom w:color="000000" w:sz="4" w:val="single"/>
              <w:right w:color="000000" w:sz="4" w:val="single"/>
            </w:tcBorders>
            <w:vAlign w:val="center"/>
          </w:tcPr>
          <w:p w14:paraId="BD0B0000">
            <w:pPr>
              <w:widowControl w:val="1"/>
              <w:ind w:firstLine="34"/>
              <w:contextualSpacing w:val="1"/>
              <w:jc w:val="center"/>
            </w:pPr>
            <w:r>
              <w:t>Код</w:t>
            </w:r>
          </w:p>
        </w:tc>
        <w:tc>
          <w:tcPr>
            <w:tcW w:type="dxa" w:w="1317"/>
            <w:tcBorders>
              <w:top w:color="000000" w:sz="4" w:val="single"/>
              <w:left w:color="000000" w:sz="4" w:val="single"/>
              <w:bottom w:color="000000" w:sz="4" w:val="single"/>
              <w:right w:color="000000" w:sz="4" w:val="single"/>
            </w:tcBorders>
            <w:vAlign w:val="center"/>
          </w:tcPr>
          <w:p w14:paraId="BE0B0000">
            <w:pPr>
              <w:widowControl w:val="1"/>
              <w:ind w:firstLine="34"/>
              <w:contextualSpacing w:val="1"/>
              <w:jc w:val="center"/>
              <w:rPr>
                <w:color w:val="000000"/>
              </w:rPr>
            </w:pPr>
            <w:r>
              <w:rPr>
                <w:color w:val="000000"/>
              </w:rPr>
              <w:t>За январь-декабрь 2018г.</w:t>
            </w:r>
          </w:p>
        </w:tc>
        <w:tc>
          <w:tcPr>
            <w:tcW w:type="dxa" w:w="1450"/>
            <w:tcBorders>
              <w:top w:color="000000" w:sz="4" w:val="single"/>
              <w:left w:color="000000" w:sz="4" w:val="single"/>
              <w:bottom w:color="000000" w:sz="4" w:val="single"/>
              <w:right w:color="000000" w:sz="4" w:val="single"/>
            </w:tcBorders>
            <w:vAlign w:val="center"/>
          </w:tcPr>
          <w:p w14:paraId="BF0B0000">
            <w:pPr>
              <w:widowControl w:val="1"/>
              <w:ind w:firstLine="34"/>
              <w:contextualSpacing w:val="1"/>
              <w:jc w:val="center"/>
              <w:rPr>
                <w:color w:val="000000"/>
              </w:rPr>
            </w:pPr>
            <w:r>
              <w:rPr>
                <w:color w:val="000000"/>
              </w:rPr>
              <w:t>За январь-декабрь 2017г.</w:t>
            </w:r>
          </w:p>
        </w:tc>
        <w:tc>
          <w:tcPr>
            <w:tcW w:type="dxa" w:w="1317"/>
            <w:tcBorders>
              <w:top w:color="000000" w:sz="4" w:val="single"/>
              <w:left w:color="000000" w:sz="4" w:val="single"/>
              <w:bottom w:color="000000" w:sz="4" w:val="single"/>
              <w:right w:color="000000" w:sz="4" w:val="single"/>
            </w:tcBorders>
            <w:vAlign w:val="center"/>
          </w:tcPr>
          <w:p w14:paraId="C00B0000">
            <w:pPr>
              <w:widowControl w:val="1"/>
              <w:ind w:firstLine="34"/>
              <w:contextualSpacing w:val="1"/>
              <w:jc w:val="center"/>
              <w:rPr>
                <w:color w:val="000000"/>
              </w:rPr>
            </w:pPr>
            <w:r>
              <w:rPr>
                <w:color w:val="000000"/>
              </w:rPr>
              <w:t>За январь-декабрь 2016г.</w:t>
            </w:r>
          </w:p>
        </w:tc>
      </w:tr>
      <w:tr>
        <w:trPr>
          <w:trHeight w:hRule="atLeast" w:val="342"/>
        </w:trPr>
        <w:tc>
          <w:tcPr>
            <w:tcW w:type="dxa" w:w="4220"/>
            <w:tcBorders>
              <w:top w:color="000000" w:sz="4" w:val="single"/>
              <w:left w:color="000000" w:sz="4" w:val="single"/>
              <w:bottom w:color="000000" w:sz="4" w:val="single"/>
              <w:right w:color="000000" w:sz="4" w:val="single"/>
            </w:tcBorders>
            <w:vAlign w:val="center"/>
          </w:tcPr>
          <w:p w14:paraId="C10B0000">
            <w:pPr>
              <w:widowControl w:val="1"/>
              <w:ind w:firstLine="34"/>
              <w:contextualSpacing w:val="1"/>
            </w:pPr>
            <w:r>
              <w:t>Выручка</w:t>
            </w:r>
          </w:p>
        </w:tc>
        <w:tc>
          <w:tcPr>
            <w:tcW w:type="dxa" w:w="1184"/>
            <w:tcBorders>
              <w:top w:color="000000" w:sz="4" w:val="single"/>
              <w:left w:color="000000" w:sz="4" w:val="single"/>
              <w:bottom w:color="000000" w:sz="4" w:val="single"/>
              <w:right w:color="000000" w:sz="4" w:val="single"/>
            </w:tcBorders>
            <w:vAlign w:val="center"/>
          </w:tcPr>
          <w:p w14:paraId="C20B0000">
            <w:pPr>
              <w:widowControl w:val="1"/>
              <w:ind w:firstLine="34"/>
              <w:contextualSpacing w:val="1"/>
              <w:jc w:val="center"/>
            </w:pPr>
            <w:r>
              <w:t>21100</w:t>
            </w:r>
          </w:p>
        </w:tc>
        <w:tc>
          <w:tcPr>
            <w:tcW w:type="dxa" w:w="1317"/>
            <w:tcBorders>
              <w:top w:color="000000" w:sz="4" w:val="single"/>
              <w:left w:color="000000" w:sz="4" w:val="single"/>
              <w:bottom w:color="000000" w:sz="4" w:val="single"/>
              <w:right w:color="000000" w:sz="4" w:val="single"/>
            </w:tcBorders>
            <w:vAlign w:val="center"/>
          </w:tcPr>
          <w:p w14:paraId="C30B0000">
            <w:pPr>
              <w:widowControl w:val="1"/>
              <w:ind w:firstLine="34"/>
              <w:contextualSpacing w:val="1"/>
              <w:jc w:val="center"/>
              <w:rPr>
                <w:color w:val="000000"/>
              </w:rPr>
            </w:pPr>
            <w:r>
              <w:rPr>
                <w:color w:val="000000"/>
              </w:rPr>
              <w:t>335 109</w:t>
            </w:r>
          </w:p>
        </w:tc>
        <w:tc>
          <w:tcPr>
            <w:tcW w:type="dxa" w:w="1450"/>
            <w:tcBorders>
              <w:top w:color="000000" w:sz="4" w:val="single"/>
              <w:left w:color="000000" w:sz="4" w:val="single"/>
              <w:bottom w:color="000000" w:sz="4" w:val="single"/>
              <w:right w:color="000000" w:sz="4" w:val="single"/>
            </w:tcBorders>
            <w:vAlign w:val="center"/>
          </w:tcPr>
          <w:p w14:paraId="C40B0000">
            <w:pPr>
              <w:widowControl w:val="1"/>
              <w:ind w:firstLine="34"/>
              <w:contextualSpacing w:val="1"/>
              <w:jc w:val="center"/>
              <w:rPr>
                <w:color w:val="000000"/>
              </w:rPr>
            </w:pPr>
            <w:r>
              <w:rPr>
                <w:color w:val="000000"/>
              </w:rPr>
              <w:t>326 638</w:t>
            </w:r>
          </w:p>
        </w:tc>
        <w:tc>
          <w:tcPr>
            <w:tcW w:type="dxa" w:w="1317"/>
            <w:tcBorders>
              <w:top w:color="000000" w:sz="4" w:val="single"/>
              <w:left w:color="000000" w:sz="4" w:val="single"/>
              <w:bottom w:color="000000" w:sz="4" w:val="single"/>
              <w:right w:color="000000" w:sz="4" w:val="single"/>
            </w:tcBorders>
            <w:vAlign w:val="center"/>
          </w:tcPr>
          <w:p w14:paraId="C50B0000">
            <w:pPr>
              <w:widowControl w:val="1"/>
              <w:ind w:firstLine="34"/>
              <w:contextualSpacing w:val="1"/>
              <w:jc w:val="center"/>
              <w:rPr>
                <w:color w:val="000000"/>
              </w:rPr>
            </w:pPr>
            <w:r>
              <w:rPr>
                <w:color w:val="000000"/>
              </w:rPr>
              <w:t>318 486</w:t>
            </w:r>
          </w:p>
        </w:tc>
      </w:tr>
      <w:tr>
        <w:trPr>
          <w:trHeight w:hRule="atLeast" w:val="342"/>
        </w:trPr>
        <w:tc>
          <w:tcPr>
            <w:tcW w:type="dxa" w:w="4220"/>
            <w:tcBorders>
              <w:top w:color="000000" w:sz="4" w:val="single"/>
              <w:left w:color="000000" w:sz="4" w:val="single"/>
              <w:bottom w:color="000000" w:sz="4" w:val="single"/>
              <w:right w:color="000000" w:sz="4" w:val="single"/>
            </w:tcBorders>
            <w:vAlign w:val="center"/>
          </w:tcPr>
          <w:p w14:paraId="C60B0000">
            <w:pPr>
              <w:widowControl w:val="1"/>
              <w:ind w:firstLine="34"/>
              <w:contextualSpacing w:val="1"/>
            </w:pPr>
            <w:r>
              <w:t>в том числе: Пригородные перевозки</w:t>
            </w:r>
          </w:p>
        </w:tc>
        <w:tc>
          <w:tcPr>
            <w:tcW w:type="dxa" w:w="1184"/>
            <w:tcBorders>
              <w:top w:color="000000" w:sz="4" w:val="single"/>
              <w:left w:color="000000" w:sz="4" w:val="single"/>
              <w:bottom w:color="000000" w:sz="4" w:val="single"/>
              <w:right w:color="000000" w:sz="4" w:val="single"/>
            </w:tcBorders>
            <w:vAlign w:val="center"/>
          </w:tcPr>
          <w:p w14:paraId="C70B0000">
            <w:pPr>
              <w:widowControl w:val="1"/>
              <w:ind w:firstLine="34"/>
              <w:contextualSpacing w:val="1"/>
              <w:jc w:val="center"/>
            </w:pPr>
            <w:r>
              <w:t>21103</w:t>
            </w:r>
          </w:p>
        </w:tc>
        <w:tc>
          <w:tcPr>
            <w:tcW w:type="dxa" w:w="1317"/>
            <w:tcBorders>
              <w:top w:color="000000" w:sz="4" w:val="single"/>
              <w:left w:color="000000" w:sz="4" w:val="single"/>
              <w:bottom w:color="000000" w:sz="4" w:val="single"/>
              <w:right w:color="000000" w:sz="4" w:val="single"/>
            </w:tcBorders>
            <w:vAlign w:val="center"/>
          </w:tcPr>
          <w:p w14:paraId="C80B0000">
            <w:pPr>
              <w:widowControl w:val="1"/>
              <w:ind w:firstLine="34"/>
              <w:contextualSpacing w:val="1"/>
              <w:jc w:val="center"/>
              <w:rPr>
                <w:color w:val="000000"/>
              </w:rPr>
            </w:pPr>
            <w:r>
              <w:rPr>
                <w:color w:val="000000"/>
              </w:rPr>
              <w:t>329 239</w:t>
            </w:r>
          </w:p>
        </w:tc>
        <w:tc>
          <w:tcPr>
            <w:tcW w:type="dxa" w:w="1450"/>
            <w:tcBorders>
              <w:top w:color="000000" w:sz="4" w:val="single"/>
              <w:left w:color="000000" w:sz="4" w:val="single"/>
              <w:bottom w:color="000000" w:sz="4" w:val="single"/>
              <w:right w:color="000000" w:sz="4" w:val="single"/>
            </w:tcBorders>
            <w:vAlign w:val="center"/>
          </w:tcPr>
          <w:p w14:paraId="C90B0000">
            <w:pPr>
              <w:widowControl w:val="1"/>
              <w:ind w:firstLine="34"/>
              <w:contextualSpacing w:val="1"/>
              <w:jc w:val="center"/>
              <w:rPr>
                <w:color w:val="000000"/>
              </w:rPr>
            </w:pPr>
            <w:r>
              <w:rPr>
                <w:color w:val="000000"/>
              </w:rPr>
              <w:t>322 289</w:t>
            </w:r>
          </w:p>
        </w:tc>
        <w:tc>
          <w:tcPr>
            <w:tcW w:type="dxa" w:w="1317"/>
            <w:tcBorders>
              <w:top w:color="000000" w:sz="4" w:val="single"/>
              <w:left w:color="000000" w:sz="4" w:val="single"/>
              <w:bottom w:color="000000" w:sz="4" w:val="single"/>
              <w:right w:color="000000" w:sz="4" w:val="single"/>
            </w:tcBorders>
            <w:vAlign w:val="center"/>
          </w:tcPr>
          <w:p w14:paraId="CA0B0000">
            <w:pPr>
              <w:widowControl w:val="1"/>
              <w:ind w:firstLine="34"/>
              <w:contextualSpacing w:val="1"/>
              <w:jc w:val="center"/>
              <w:rPr>
                <w:color w:val="000000"/>
              </w:rPr>
            </w:pPr>
            <w:r>
              <w:rPr>
                <w:color w:val="000000"/>
              </w:rPr>
              <w:t>313 954</w:t>
            </w:r>
          </w:p>
        </w:tc>
      </w:tr>
      <w:tr>
        <w:trPr>
          <w:trHeight w:hRule="atLeast" w:val="342"/>
        </w:trPr>
        <w:tc>
          <w:tcPr>
            <w:tcW w:type="dxa" w:w="4220"/>
            <w:tcBorders>
              <w:top w:color="000000" w:sz="4" w:val="single"/>
              <w:left w:color="000000" w:sz="4" w:val="single"/>
              <w:bottom w:color="000000" w:sz="4" w:val="single"/>
              <w:right w:color="000000" w:sz="4" w:val="single"/>
            </w:tcBorders>
            <w:vAlign w:val="center"/>
          </w:tcPr>
          <w:p w14:paraId="CB0B0000">
            <w:pPr>
              <w:widowControl w:val="1"/>
              <w:ind w:firstLine="34"/>
              <w:contextualSpacing w:val="1"/>
            </w:pPr>
            <w:r>
              <w:t>Прочие виды деятельности</w:t>
            </w:r>
          </w:p>
        </w:tc>
        <w:tc>
          <w:tcPr>
            <w:tcW w:type="dxa" w:w="1184"/>
            <w:tcBorders>
              <w:top w:color="000000" w:sz="4" w:val="single"/>
              <w:left w:color="000000" w:sz="4" w:val="single"/>
              <w:bottom w:color="000000" w:sz="4" w:val="single"/>
              <w:right w:color="000000" w:sz="4" w:val="single"/>
            </w:tcBorders>
            <w:vAlign w:val="center"/>
          </w:tcPr>
          <w:p w14:paraId="CC0B0000">
            <w:pPr>
              <w:widowControl w:val="1"/>
              <w:ind w:firstLine="34"/>
              <w:contextualSpacing w:val="1"/>
              <w:jc w:val="center"/>
            </w:pPr>
            <w:r>
              <w:t>21190</w:t>
            </w:r>
          </w:p>
        </w:tc>
        <w:tc>
          <w:tcPr>
            <w:tcW w:type="dxa" w:w="1317"/>
            <w:tcBorders>
              <w:top w:color="000000" w:sz="4" w:val="single"/>
              <w:left w:color="000000" w:sz="4" w:val="single"/>
              <w:bottom w:color="000000" w:sz="4" w:val="single"/>
              <w:right w:color="000000" w:sz="4" w:val="single"/>
            </w:tcBorders>
            <w:vAlign w:val="center"/>
          </w:tcPr>
          <w:p w14:paraId="CD0B0000">
            <w:pPr>
              <w:widowControl w:val="1"/>
              <w:ind w:firstLine="34"/>
              <w:contextualSpacing w:val="1"/>
              <w:jc w:val="center"/>
              <w:rPr>
                <w:color w:val="000000"/>
              </w:rPr>
            </w:pPr>
            <w:r>
              <w:rPr>
                <w:color w:val="000000"/>
              </w:rPr>
              <w:t>5 870</w:t>
            </w:r>
          </w:p>
        </w:tc>
        <w:tc>
          <w:tcPr>
            <w:tcW w:type="dxa" w:w="1450"/>
            <w:tcBorders>
              <w:top w:color="000000" w:sz="4" w:val="single"/>
              <w:left w:color="000000" w:sz="4" w:val="single"/>
              <w:bottom w:color="000000" w:sz="4" w:val="single"/>
              <w:right w:color="000000" w:sz="4" w:val="single"/>
            </w:tcBorders>
            <w:vAlign w:val="center"/>
          </w:tcPr>
          <w:p w14:paraId="CE0B0000">
            <w:pPr>
              <w:widowControl w:val="1"/>
              <w:ind w:firstLine="34"/>
              <w:contextualSpacing w:val="1"/>
              <w:jc w:val="center"/>
              <w:rPr>
                <w:color w:val="000000"/>
              </w:rPr>
            </w:pPr>
            <w:r>
              <w:rPr>
                <w:color w:val="000000"/>
              </w:rPr>
              <w:t>4 349</w:t>
            </w:r>
          </w:p>
        </w:tc>
        <w:tc>
          <w:tcPr>
            <w:tcW w:type="dxa" w:w="1317"/>
            <w:tcBorders>
              <w:top w:color="000000" w:sz="4" w:val="single"/>
              <w:left w:color="000000" w:sz="4" w:val="single"/>
              <w:bottom w:color="000000" w:sz="4" w:val="single"/>
              <w:right w:color="000000" w:sz="4" w:val="single"/>
            </w:tcBorders>
            <w:vAlign w:val="center"/>
          </w:tcPr>
          <w:p w14:paraId="CF0B0000">
            <w:pPr>
              <w:widowControl w:val="1"/>
              <w:ind w:firstLine="34"/>
              <w:contextualSpacing w:val="1"/>
              <w:jc w:val="center"/>
              <w:rPr>
                <w:color w:val="000000"/>
              </w:rPr>
            </w:pPr>
            <w:r>
              <w:rPr>
                <w:color w:val="000000"/>
              </w:rPr>
              <w:t>4 532</w:t>
            </w:r>
          </w:p>
        </w:tc>
      </w:tr>
      <w:tr>
        <w:trPr>
          <w:trHeight w:hRule="atLeast" w:val="181"/>
        </w:trPr>
        <w:tc>
          <w:tcPr>
            <w:tcW w:type="dxa" w:w="4220"/>
            <w:tcBorders>
              <w:top w:color="000000" w:sz="4" w:val="single"/>
              <w:left w:color="000000" w:sz="4" w:val="single"/>
              <w:bottom w:color="000000" w:sz="4" w:val="single"/>
              <w:right w:color="000000" w:sz="4" w:val="single"/>
            </w:tcBorders>
            <w:vAlign w:val="center"/>
          </w:tcPr>
          <w:p w14:paraId="D00B0000">
            <w:pPr>
              <w:widowControl w:val="1"/>
              <w:ind w:firstLine="34"/>
              <w:contextualSpacing w:val="1"/>
            </w:pPr>
            <w:r>
              <w:t>Себестоимость продаж</w:t>
            </w:r>
          </w:p>
        </w:tc>
        <w:tc>
          <w:tcPr>
            <w:tcW w:type="dxa" w:w="1184"/>
            <w:tcBorders>
              <w:top w:color="000000" w:sz="4" w:val="single"/>
              <w:left w:color="000000" w:sz="4" w:val="single"/>
              <w:bottom w:color="000000" w:sz="4" w:val="single"/>
              <w:right w:color="000000" w:sz="4" w:val="single"/>
            </w:tcBorders>
            <w:vAlign w:val="center"/>
          </w:tcPr>
          <w:p w14:paraId="D10B0000">
            <w:pPr>
              <w:widowControl w:val="1"/>
              <w:ind w:firstLine="34"/>
              <w:contextualSpacing w:val="1"/>
              <w:jc w:val="center"/>
            </w:pPr>
            <w:r>
              <w:t>21200</w:t>
            </w:r>
          </w:p>
        </w:tc>
        <w:tc>
          <w:tcPr>
            <w:tcW w:type="dxa" w:w="1317"/>
            <w:tcBorders>
              <w:top w:color="000000" w:sz="4" w:val="single"/>
              <w:left w:color="000000" w:sz="4" w:val="single"/>
              <w:bottom w:color="000000" w:sz="4" w:val="single"/>
              <w:right w:color="000000" w:sz="4" w:val="single"/>
            </w:tcBorders>
            <w:vAlign w:val="center"/>
          </w:tcPr>
          <w:p w14:paraId="D20B0000">
            <w:pPr>
              <w:widowControl w:val="1"/>
              <w:ind w:firstLine="34"/>
              <w:contextualSpacing w:val="1"/>
              <w:jc w:val="center"/>
              <w:rPr>
                <w:color w:val="000000"/>
              </w:rPr>
            </w:pPr>
            <w:r>
              <w:rPr>
                <w:color w:val="000000"/>
              </w:rPr>
              <w:t>-721 468</w:t>
            </w:r>
          </w:p>
        </w:tc>
        <w:tc>
          <w:tcPr>
            <w:tcW w:type="dxa" w:w="1450"/>
            <w:tcBorders>
              <w:top w:color="000000" w:sz="4" w:val="single"/>
              <w:left w:color="000000" w:sz="4" w:val="single"/>
              <w:bottom w:color="000000" w:sz="4" w:val="single"/>
              <w:right w:color="000000" w:sz="4" w:val="single"/>
            </w:tcBorders>
            <w:vAlign w:val="center"/>
          </w:tcPr>
          <w:p w14:paraId="D30B0000">
            <w:pPr>
              <w:widowControl w:val="1"/>
              <w:ind w:firstLine="34"/>
              <w:contextualSpacing w:val="1"/>
              <w:jc w:val="center"/>
              <w:rPr>
                <w:color w:val="000000"/>
              </w:rPr>
            </w:pPr>
            <w:r>
              <w:rPr>
                <w:color w:val="000000"/>
              </w:rPr>
              <w:t>-695 451</w:t>
            </w:r>
          </w:p>
        </w:tc>
        <w:tc>
          <w:tcPr>
            <w:tcW w:type="dxa" w:w="1317"/>
            <w:tcBorders>
              <w:top w:color="000000" w:sz="4" w:val="single"/>
              <w:left w:color="000000" w:sz="4" w:val="single"/>
              <w:bottom w:color="000000" w:sz="4" w:val="single"/>
              <w:right w:color="000000" w:sz="4" w:val="single"/>
            </w:tcBorders>
            <w:vAlign w:val="center"/>
          </w:tcPr>
          <w:p w14:paraId="D40B0000">
            <w:pPr>
              <w:widowControl w:val="1"/>
              <w:ind w:firstLine="34"/>
              <w:contextualSpacing w:val="1"/>
              <w:jc w:val="center"/>
              <w:rPr>
                <w:color w:val="000000"/>
              </w:rPr>
            </w:pPr>
            <w:r>
              <w:rPr>
                <w:color w:val="000000"/>
              </w:rPr>
              <w:t>-672 552</w:t>
            </w:r>
          </w:p>
        </w:tc>
      </w:tr>
      <w:tr>
        <w:trPr>
          <w:trHeight w:hRule="atLeast" w:val="314"/>
        </w:trPr>
        <w:tc>
          <w:tcPr>
            <w:tcW w:type="dxa" w:w="4220"/>
            <w:tcBorders>
              <w:top w:color="000000" w:sz="4" w:val="single"/>
              <w:left w:color="000000" w:sz="4" w:val="single"/>
              <w:bottom w:color="000000" w:sz="4" w:val="single"/>
              <w:right w:color="000000" w:sz="4" w:val="single"/>
            </w:tcBorders>
            <w:vAlign w:val="center"/>
          </w:tcPr>
          <w:p w14:paraId="D50B0000">
            <w:pPr>
              <w:widowControl w:val="1"/>
              <w:ind w:firstLine="34"/>
              <w:contextualSpacing w:val="1"/>
            </w:pPr>
            <w:r>
              <w:t>в том числе: Пригородные перевозки</w:t>
            </w:r>
          </w:p>
        </w:tc>
        <w:tc>
          <w:tcPr>
            <w:tcW w:type="dxa" w:w="1184"/>
            <w:tcBorders>
              <w:top w:color="000000" w:sz="4" w:val="single"/>
              <w:left w:color="000000" w:sz="4" w:val="single"/>
              <w:bottom w:color="000000" w:sz="4" w:val="single"/>
              <w:right w:color="000000" w:sz="4" w:val="single"/>
            </w:tcBorders>
            <w:vAlign w:val="center"/>
          </w:tcPr>
          <w:p w14:paraId="D60B0000">
            <w:pPr>
              <w:widowControl w:val="1"/>
              <w:ind w:firstLine="34"/>
              <w:contextualSpacing w:val="1"/>
              <w:jc w:val="center"/>
            </w:pPr>
            <w:r>
              <w:t>21203</w:t>
            </w:r>
          </w:p>
        </w:tc>
        <w:tc>
          <w:tcPr>
            <w:tcW w:type="dxa" w:w="1317"/>
            <w:tcBorders>
              <w:top w:color="000000" w:sz="4" w:val="single"/>
              <w:left w:color="000000" w:sz="4" w:val="single"/>
              <w:bottom w:color="000000" w:sz="4" w:val="single"/>
              <w:right w:color="000000" w:sz="4" w:val="single"/>
            </w:tcBorders>
            <w:vAlign w:val="center"/>
          </w:tcPr>
          <w:p w14:paraId="D70B0000">
            <w:pPr>
              <w:widowControl w:val="1"/>
              <w:ind w:firstLine="34"/>
              <w:contextualSpacing w:val="1"/>
              <w:jc w:val="center"/>
              <w:rPr>
                <w:color w:val="000000"/>
              </w:rPr>
            </w:pPr>
            <w:r>
              <w:rPr>
                <w:color w:val="000000"/>
              </w:rPr>
              <w:t>-716 071</w:t>
            </w:r>
          </w:p>
        </w:tc>
        <w:tc>
          <w:tcPr>
            <w:tcW w:type="dxa" w:w="1450"/>
            <w:tcBorders>
              <w:top w:color="000000" w:sz="4" w:val="single"/>
              <w:left w:color="000000" w:sz="4" w:val="single"/>
              <w:bottom w:color="000000" w:sz="4" w:val="single"/>
              <w:right w:color="000000" w:sz="4" w:val="single"/>
            </w:tcBorders>
            <w:vAlign w:val="center"/>
          </w:tcPr>
          <w:p w14:paraId="D80B0000">
            <w:pPr>
              <w:widowControl w:val="1"/>
              <w:ind w:firstLine="34"/>
              <w:contextualSpacing w:val="1"/>
              <w:jc w:val="center"/>
              <w:rPr>
                <w:color w:val="000000"/>
              </w:rPr>
            </w:pPr>
            <w:r>
              <w:rPr>
                <w:color w:val="000000"/>
              </w:rPr>
              <w:t>-691 966</w:t>
            </w:r>
          </w:p>
        </w:tc>
        <w:tc>
          <w:tcPr>
            <w:tcW w:type="dxa" w:w="1317"/>
            <w:tcBorders>
              <w:top w:color="000000" w:sz="4" w:val="single"/>
              <w:left w:color="000000" w:sz="4" w:val="single"/>
              <w:bottom w:color="000000" w:sz="4" w:val="single"/>
              <w:right w:color="000000" w:sz="4" w:val="single"/>
            </w:tcBorders>
            <w:vAlign w:val="center"/>
          </w:tcPr>
          <w:p w14:paraId="D90B0000">
            <w:pPr>
              <w:widowControl w:val="1"/>
              <w:ind w:firstLine="34"/>
              <w:contextualSpacing w:val="1"/>
              <w:jc w:val="center"/>
              <w:rPr>
                <w:color w:val="000000"/>
              </w:rPr>
            </w:pPr>
            <w:r>
              <w:rPr>
                <w:color w:val="000000"/>
              </w:rPr>
              <w:t>-669 442</w:t>
            </w:r>
          </w:p>
        </w:tc>
      </w:tr>
      <w:tr>
        <w:trPr>
          <w:trHeight w:hRule="atLeast" w:val="314"/>
        </w:trPr>
        <w:tc>
          <w:tcPr>
            <w:tcW w:type="dxa" w:w="4220"/>
            <w:tcBorders>
              <w:top w:color="000000" w:sz="4" w:val="single"/>
              <w:left w:color="000000" w:sz="4" w:val="single"/>
              <w:bottom w:color="000000" w:sz="4" w:val="single"/>
              <w:right w:color="000000" w:sz="4" w:val="single"/>
            </w:tcBorders>
            <w:vAlign w:val="center"/>
          </w:tcPr>
          <w:p w14:paraId="DA0B0000">
            <w:pPr>
              <w:widowControl w:val="1"/>
              <w:ind w:firstLine="34"/>
              <w:contextualSpacing w:val="1"/>
            </w:pPr>
            <w:r>
              <w:t>Прочие виды деятельности</w:t>
            </w:r>
          </w:p>
        </w:tc>
        <w:tc>
          <w:tcPr>
            <w:tcW w:type="dxa" w:w="1184"/>
            <w:tcBorders>
              <w:top w:color="000000" w:sz="4" w:val="single"/>
              <w:left w:color="000000" w:sz="4" w:val="single"/>
              <w:bottom w:color="000000" w:sz="4" w:val="single"/>
              <w:right w:color="000000" w:sz="4" w:val="single"/>
            </w:tcBorders>
            <w:vAlign w:val="center"/>
          </w:tcPr>
          <w:p w14:paraId="DB0B0000">
            <w:pPr>
              <w:widowControl w:val="1"/>
              <w:ind w:firstLine="34"/>
              <w:contextualSpacing w:val="1"/>
              <w:jc w:val="center"/>
            </w:pPr>
            <w:r>
              <w:t>21290</w:t>
            </w:r>
          </w:p>
        </w:tc>
        <w:tc>
          <w:tcPr>
            <w:tcW w:type="dxa" w:w="1317"/>
            <w:tcBorders>
              <w:top w:color="000000" w:sz="4" w:val="single"/>
              <w:left w:color="000000" w:sz="4" w:val="single"/>
              <w:bottom w:color="000000" w:sz="4" w:val="single"/>
              <w:right w:color="000000" w:sz="4" w:val="single"/>
            </w:tcBorders>
            <w:vAlign w:val="center"/>
          </w:tcPr>
          <w:p w14:paraId="DC0B0000">
            <w:pPr>
              <w:widowControl w:val="1"/>
              <w:ind w:firstLine="34"/>
              <w:contextualSpacing w:val="1"/>
              <w:jc w:val="center"/>
              <w:rPr>
                <w:color w:val="000000"/>
              </w:rPr>
            </w:pPr>
            <w:r>
              <w:rPr>
                <w:color w:val="000000"/>
              </w:rPr>
              <w:t>-5 397</w:t>
            </w:r>
          </w:p>
        </w:tc>
        <w:tc>
          <w:tcPr>
            <w:tcW w:type="dxa" w:w="1450"/>
            <w:tcBorders>
              <w:top w:color="000000" w:sz="4" w:val="single"/>
              <w:left w:color="000000" w:sz="4" w:val="single"/>
              <w:bottom w:color="000000" w:sz="4" w:val="single"/>
              <w:right w:color="000000" w:sz="4" w:val="single"/>
            </w:tcBorders>
            <w:vAlign w:val="center"/>
          </w:tcPr>
          <w:p w14:paraId="DD0B0000">
            <w:pPr>
              <w:widowControl w:val="1"/>
              <w:ind w:firstLine="34"/>
              <w:contextualSpacing w:val="1"/>
              <w:jc w:val="center"/>
              <w:rPr>
                <w:color w:val="000000"/>
              </w:rPr>
            </w:pPr>
            <w:r>
              <w:rPr>
                <w:color w:val="000000"/>
              </w:rPr>
              <w:t>-3 485</w:t>
            </w:r>
          </w:p>
        </w:tc>
        <w:tc>
          <w:tcPr>
            <w:tcW w:type="dxa" w:w="1317"/>
            <w:tcBorders>
              <w:top w:color="000000" w:sz="4" w:val="single"/>
              <w:left w:color="000000" w:sz="4" w:val="single"/>
              <w:bottom w:color="000000" w:sz="4" w:val="single"/>
              <w:right w:color="000000" w:sz="4" w:val="single"/>
            </w:tcBorders>
            <w:vAlign w:val="center"/>
          </w:tcPr>
          <w:p w14:paraId="DE0B0000">
            <w:pPr>
              <w:widowControl w:val="1"/>
              <w:ind w:firstLine="34"/>
              <w:contextualSpacing w:val="1"/>
              <w:jc w:val="center"/>
              <w:rPr>
                <w:color w:val="000000"/>
              </w:rPr>
            </w:pPr>
            <w:r>
              <w:rPr>
                <w:color w:val="000000"/>
              </w:rPr>
              <w:t>-3 110</w:t>
            </w:r>
          </w:p>
        </w:tc>
      </w:tr>
      <w:tr>
        <w:trPr>
          <w:trHeight w:hRule="atLeast" w:val="318"/>
        </w:trPr>
        <w:tc>
          <w:tcPr>
            <w:tcW w:type="dxa" w:w="4220"/>
            <w:tcBorders>
              <w:top w:color="000000" w:sz="4" w:val="single"/>
              <w:left w:color="000000" w:sz="4" w:val="single"/>
              <w:bottom w:color="000000" w:sz="4" w:val="single"/>
              <w:right w:color="000000" w:sz="4" w:val="single"/>
            </w:tcBorders>
            <w:vAlign w:val="center"/>
          </w:tcPr>
          <w:p w14:paraId="DF0B0000">
            <w:pPr>
              <w:widowControl w:val="1"/>
              <w:ind w:firstLine="34"/>
              <w:contextualSpacing w:val="1"/>
            </w:pPr>
            <w:r>
              <w:t>Валовая прибыль (убыток)</w:t>
            </w:r>
          </w:p>
        </w:tc>
        <w:tc>
          <w:tcPr>
            <w:tcW w:type="dxa" w:w="1184"/>
            <w:tcBorders>
              <w:top w:color="000000" w:sz="4" w:val="single"/>
              <w:left w:color="000000" w:sz="4" w:val="single"/>
              <w:bottom w:color="000000" w:sz="4" w:val="single"/>
              <w:right w:color="000000" w:sz="4" w:val="single"/>
            </w:tcBorders>
            <w:vAlign w:val="center"/>
          </w:tcPr>
          <w:p w14:paraId="E00B0000">
            <w:pPr>
              <w:widowControl w:val="1"/>
              <w:ind w:firstLine="34"/>
              <w:contextualSpacing w:val="1"/>
              <w:jc w:val="center"/>
            </w:pPr>
            <w:r>
              <w:t>21000</w:t>
            </w:r>
          </w:p>
        </w:tc>
        <w:tc>
          <w:tcPr>
            <w:tcW w:type="dxa" w:w="1317"/>
            <w:tcBorders>
              <w:top w:color="000000" w:sz="4" w:val="single"/>
              <w:left w:color="000000" w:sz="4" w:val="single"/>
              <w:bottom w:color="000000" w:sz="4" w:val="single"/>
              <w:right w:color="000000" w:sz="4" w:val="single"/>
            </w:tcBorders>
            <w:vAlign w:val="center"/>
          </w:tcPr>
          <w:p w14:paraId="E10B0000">
            <w:pPr>
              <w:widowControl w:val="1"/>
              <w:ind w:firstLine="34"/>
              <w:contextualSpacing w:val="1"/>
              <w:jc w:val="center"/>
              <w:rPr>
                <w:color w:val="000000"/>
              </w:rPr>
            </w:pPr>
            <w:r>
              <w:rPr>
                <w:color w:val="000000"/>
              </w:rPr>
              <w:t>-386 359</w:t>
            </w:r>
          </w:p>
        </w:tc>
        <w:tc>
          <w:tcPr>
            <w:tcW w:type="dxa" w:w="1450"/>
            <w:tcBorders>
              <w:top w:color="000000" w:sz="4" w:val="single"/>
              <w:left w:color="000000" w:sz="4" w:val="single"/>
              <w:bottom w:color="000000" w:sz="4" w:val="single"/>
              <w:right w:color="000000" w:sz="4" w:val="single"/>
            </w:tcBorders>
            <w:vAlign w:val="center"/>
          </w:tcPr>
          <w:p w14:paraId="E20B0000">
            <w:pPr>
              <w:widowControl w:val="1"/>
              <w:ind w:firstLine="34"/>
              <w:contextualSpacing w:val="1"/>
              <w:jc w:val="center"/>
              <w:rPr>
                <w:color w:val="000000"/>
              </w:rPr>
            </w:pPr>
            <w:r>
              <w:rPr>
                <w:color w:val="000000"/>
              </w:rPr>
              <w:t>-368 813</w:t>
            </w:r>
          </w:p>
        </w:tc>
        <w:tc>
          <w:tcPr>
            <w:tcW w:type="dxa" w:w="1317"/>
            <w:tcBorders>
              <w:top w:color="000000" w:sz="4" w:val="single"/>
              <w:left w:color="000000" w:sz="4" w:val="single"/>
              <w:bottom w:color="000000" w:sz="4" w:val="single"/>
              <w:right w:color="000000" w:sz="4" w:val="single"/>
            </w:tcBorders>
            <w:vAlign w:val="center"/>
          </w:tcPr>
          <w:p w14:paraId="E30B0000">
            <w:pPr>
              <w:widowControl w:val="1"/>
              <w:ind w:firstLine="34"/>
              <w:contextualSpacing w:val="1"/>
              <w:jc w:val="center"/>
              <w:rPr>
                <w:color w:val="000000"/>
              </w:rPr>
            </w:pPr>
            <w:r>
              <w:rPr>
                <w:color w:val="000000"/>
              </w:rPr>
              <w:t>(354 066)</w:t>
            </w:r>
          </w:p>
        </w:tc>
      </w:tr>
      <w:tr>
        <w:trPr>
          <w:trHeight w:hRule="atLeast" w:val="309"/>
        </w:trPr>
        <w:tc>
          <w:tcPr>
            <w:tcW w:type="dxa" w:w="4220"/>
            <w:tcBorders>
              <w:top w:color="000000" w:sz="4" w:val="single"/>
              <w:left w:color="000000" w:sz="4" w:val="single"/>
              <w:bottom w:color="000000" w:sz="4" w:val="single"/>
              <w:right w:color="000000" w:sz="4" w:val="single"/>
            </w:tcBorders>
            <w:vAlign w:val="center"/>
          </w:tcPr>
          <w:p w14:paraId="E40B0000">
            <w:pPr>
              <w:widowControl w:val="1"/>
              <w:ind w:firstLine="34"/>
              <w:contextualSpacing w:val="1"/>
            </w:pPr>
            <w:r>
              <w:t>Коммерческие расходы</w:t>
            </w:r>
          </w:p>
        </w:tc>
        <w:tc>
          <w:tcPr>
            <w:tcW w:type="dxa" w:w="1184"/>
            <w:tcBorders>
              <w:top w:color="000000" w:sz="4" w:val="single"/>
              <w:left w:color="000000" w:sz="4" w:val="single"/>
              <w:bottom w:color="000000" w:sz="4" w:val="single"/>
              <w:right w:color="000000" w:sz="4" w:val="single"/>
            </w:tcBorders>
            <w:vAlign w:val="center"/>
          </w:tcPr>
          <w:p w14:paraId="E50B0000">
            <w:pPr>
              <w:widowControl w:val="1"/>
              <w:ind w:firstLine="34"/>
              <w:contextualSpacing w:val="1"/>
              <w:jc w:val="center"/>
            </w:pPr>
            <w:r>
              <w:t>22100</w:t>
            </w:r>
          </w:p>
        </w:tc>
        <w:tc>
          <w:tcPr>
            <w:tcW w:type="dxa" w:w="1317"/>
            <w:tcBorders>
              <w:top w:color="000000" w:sz="4" w:val="single"/>
              <w:left w:color="000000" w:sz="4" w:val="single"/>
              <w:bottom w:color="000000" w:sz="4" w:val="single"/>
              <w:right w:color="000000" w:sz="4" w:val="single"/>
            </w:tcBorders>
            <w:vAlign w:val="center"/>
          </w:tcPr>
          <w:p w14:paraId="E60B0000">
            <w:pPr>
              <w:widowControl w:val="1"/>
              <w:ind w:firstLine="34"/>
              <w:contextualSpacing w:val="1"/>
              <w:jc w:val="center"/>
              <w:rPr>
                <w:color w:val="000000"/>
              </w:rPr>
            </w:pPr>
            <w:r>
              <w:rPr>
                <w:color w:val="000000"/>
              </w:rPr>
              <w:t>-118</w:t>
            </w:r>
          </w:p>
        </w:tc>
        <w:tc>
          <w:tcPr>
            <w:tcW w:type="dxa" w:w="1450"/>
            <w:tcBorders>
              <w:top w:color="000000" w:sz="4" w:val="single"/>
              <w:left w:color="000000" w:sz="4" w:val="single"/>
              <w:bottom w:color="000000" w:sz="4" w:val="single"/>
              <w:right w:color="000000" w:sz="4" w:val="single"/>
            </w:tcBorders>
            <w:vAlign w:val="center"/>
          </w:tcPr>
          <w:p w14:paraId="E70B0000">
            <w:pPr>
              <w:widowControl w:val="1"/>
              <w:ind w:firstLine="34"/>
              <w:contextualSpacing w:val="1"/>
              <w:jc w:val="center"/>
              <w:rPr>
                <w:color w:val="000000"/>
              </w:rPr>
            </w:pPr>
            <w:r>
              <w:rPr>
                <w:color w:val="000000"/>
              </w:rPr>
              <w:t>-118</w:t>
            </w:r>
          </w:p>
        </w:tc>
        <w:tc>
          <w:tcPr>
            <w:tcW w:type="dxa" w:w="1317"/>
            <w:tcBorders>
              <w:top w:color="000000" w:sz="4" w:val="single"/>
              <w:left w:color="000000" w:sz="4" w:val="single"/>
              <w:bottom w:color="000000" w:sz="4" w:val="single"/>
              <w:right w:color="000000" w:sz="4" w:val="single"/>
            </w:tcBorders>
            <w:vAlign w:val="center"/>
          </w:tcPr>
          <w:p w14:paraId="E80B0000">
            <w:pPr>
              <w:widowControl w:val="1"/>
              <w:ind w:firstLine="34"/>
              <w:contextualSpacing w:val="1"/>
              <w:jc w:val="center"/>
              <w:rPr>
                <w:color w:val="000000"/>
              </w:rPr>
            </w:pPr>
            <w:r>
              <w:rPr>
                <w:color w:val="000000"/>
              </w:rPr>
              <w:t>-127</w:t>
            </w:r>
          </w:p>
        </w:tc>
      </w:tr>
      <w:tr>
        <w:trPr>
          <w:trHeight w:hRule="atLeast" w:val="312"/>
        </w:trPr>
        <w:tc>
          <w:tcPr>
            <w:tcW w:type="dxa" w:w="4220"/>
            <w:tcBorders>
              <w:top w:color="000000" w:sz="4" w:val="single"/>
              <w:left w:color="000000" w:sz="4" w:val="single"/>
              <w:bottom w:color="000000" w:sz="4" w:val="single"/>
              <w:right w:color="000000" w:sz="4" w:val="single"/>
            </w:tcBorders>
            <w:vAlign w:val="center"/>
          </w:tcPr>
          <w:p w14:paraId="E90B0000">
            <w:pPr>
              <w:widowControl w:val="1"/>
              <w:ind w:firstLine="34"/>
              <w:contextualSpacing w:val="1"/>
            </w:pPr>
            <w:r>
              <w:t>Управленческие расходы</w:t>
            </w:r>
          </w:p>
        </w:tc>
        <w:tc>
          <w:tcPr>
            <w:tcW w:type="dxa" w:w="1184"/>
            <w:tcBorders>
              <w:top w:color="000000" w:sz="4" w:val="single"/>
              <w:left w:color="000000" w:sz="4" w:val="single"/>
              <w:bottom w:color="000000" w:sz="4" w:val="single"/>
              <w:right w:color="000000" w:sz="4" w:val="single"/>
            </w:tcBorders>
            <w:vAlign w:val="center"/>
          </w:tcPr>
          <w:p w14:paraId="EA0B0000">
            <w:pPr>
              <w:widowControl w:val="1"/>
              <w:ind w:firstLine="34"/>
              <w:contextualSpacing w:val="1"/>
              <w:jc w:val="center"/>
            </w:pPr>
            <w:r>
              <w:t>22200</w:t>
            </w:r>
          </w:p>
        </w:tc>
        <w:tc>
          <w:tcPr>
            <w:tcW w:type="dxa" w:w="1317"/>
            <w:tcBorders>
              <w:top w:color="000000" w:sz="4" w:val="single"/>
              <w:left w:color="000000" w:sz="4" w:val="single"/>
              <w:bottom w:color="000000" w:sz="4" w:val="single"/>
              <w:right w:color="000000" w:sz="4" w:val="single"/>
            </w:tcBorders>
            <w:vAlign w:val="center"/>
          </w:tcPr>
          <w:p w14:paraId="EB0B0000">
            <w:pPr>
              <w:widowControl w:val="1"/>
              <w:ind w:firstLine="34"/>
              <w:contextualSpacing w:val="1"/>
              <w:jc w:val="center"/>
              <w:rPr>
                <w:color w:val="000000"/>
              </w:rPr>
            </w:pPr>
            <w:r>
              <w:rPr>
                <w:color w:val="000000"/>
              </w:rPr>
              <w:t>-</w:t>
            </w:r>
          </w:p>
        </w:tc>
        <w:tc>
          <w:tcPr>
            <w:tcW w:type="dxa" w:w="1450"/>
            <w:tcBorders>
              <w:top w:color="000000" w:sz="4" w:val="single"/>
              <w:left w:color="000000" w:sz="4" w:val="single"/>
              <w:bottom w:color="000000" w:sz="4" w:val="single"/>
              <w:right w:color="000000" w:sz="4" w:val="single"/>
            </w:tcBorders>
            <w:vAlign w:val="center"/>
          </w:tcPr>
          <w:p w14:paraId="EC0B0000">
            <w:pPr>
              <w:widowControl w:val="1"/>
              <w:ind w:firstLine="34"/>
              <w:contextualSpacing w:val="1"/>
              <w:jc w:val="center"/>
              <w:rPr>
                <w:color w:val="000000"/>
              </w:rPr>
            </w:pPr>
            <w:r>
              <w:rPr>
                <w:color w:val="000000"/>
              </w:rPr>
              <w:t>-</w:t>
            </w:r>
          </w:p>
        </w:tc>
        <w:tc>
          <w:tcPr>
            <w:tcW w:type="dxa" w:w="1317"/>
            <w:tcBorders>
              <w:top w:color="000000" w:sz="4" w:val="single"/>
              <w:left w:color="000000" w:sz="4" w:val="single"/>
              <w:bottom w:color="000000" w:sz="4" w:val="single"/>
              <w:right w:color="000000" w:sz="4" w:val="single"/>
            </w:tcBorders>
            <w:vAlign w:val="center"/>
          </w:tcPr>
          <w:p w14:paraId="ED0B0000">
            <w:pPr>
              <w:widowControl w:val="1"/>
              <w:ind w:firstLine="34"/>
              <w:contextualSpacing w:val="1"/>
              <w:jc w:val="center"/>
              <w:rPr>
                <w:color w:val="000000"/>
              </w:rPr>
            </w:pPr>
            <w:r>
              <w:rPr>
                <w:color w:val="000000"/>
              </w:rPr>
              <w:t>-</w:t>
            </w:r>
          </w:p>
        </w:tc>
      </w:tr>
      <w:tr>
        <w:trPr>
          <w:trHeight w:hRule="atLeast" w:val="317"/>
        </w:trPr>
        <w:tc>
          <w:tcPr>
            <w:tcW w:type="dxa" w:w="4220"/>
            <w:tcBorders>
              <w:top w:color="000000" w:sz="4" w:val="single"/>
              <w:left w:color="000000" w:sz="4" w:val="single"/>
              <w:bottom w:color="000000" w:sz="4" w:val="single"/>
              <w:right w:color="000000" w:sz="4" w:val="single"/>
            </w:tcBorders>
            <w:vAlign w:val="center"/>
          </w:tcPr>
          <w:p w14:paraId="EE0B0000">
            <w:pPr>
              <w:widowControl w:val="1"/>
              <w:ind w:firstLine="34"/>
              <w:contextualSpacing w:val="1"/>
              <w:rPr>
                <w:b w:val="1"/>
              </w:rPr>
            </w:pPr>
            <w:r>
              <w:rPr>
                <w:b w:val="1"/>
              </w:rPr>
              <w:t>Прибыль (убыток) от продаж</w:t>
            </w:r>
          </w:p>
        </w:tc>
        <w:tc>
          <w:tcPr>
            <w:tcW w:type="dxa" w:w="1184"/>
            <w:tcBorders>
              <w:top w:color="000000" w:sz="4" w:val="single"/>
              <w:left w:color="000000" w:sz="4" w:val="single"/>
              <w:bottom w:color="000000" w:sz="4" w:val="single"/>
              <w:right w:color="000000" w:sz="4" w:val="single"/>
            </w:tcBorders>
            <w:vAlign w:val="center"/>
          </w:tcPr>
          <w:p w14:paraId="EF0B0000">
            <w:pPr>
              <w:widowControl w:val="1"/>
              <w:ind w:firstLine="34"/>
              <w:contextualSpacing w:val="1"/>
              <w:jc w:val="center"/>
              <w:rPr>
                <w:b w:val="1"/>
              </w:rPr>
            </w:pPr>
            <w:r>
              <w:rPr>
                <w:b w:val="1"/>
              </w:rPr>
              <w:t>2</w:t>
            </w:r>
            <w:r>
              <w:rPr>
                <w:b w:val="1"/>
              </w:rPr>
              <w:t>2000</w:t>
            </w:r>
          </w:p>
        </w:tc>
        <w:tc>
          <w:tcPr>
            <w:tcW w:type="dxa" w:w="1317"/>
            <w:tcBorders>
              <w:top w:color="000000" w:sz="4" w:val="single"/>
              <w:left w:color="000000" w:sz="4" w:val="single"/>
              <w:bottom w:color="000000" w:sz="4" w:val="single"/>
              <w:right w:color="000000" w:sz="4" w:val="single"/>
            </w:tcBorders>
            <w:vAlign w:val="center"/>
          </w:tcPr>
          <w:p w14:paraId="F00B0000">
            <w:pPr>
              <w:widowControl w:val="1"/>
              <w:ind w:firstLine="34"/>
              <w:contextualSpacing w:val="1"/>
              <w:jc w:val="center"/>
              <w:rPr>
                <w:color w:val="000000"/>
              </w:rPr>
            </w:pPr>
            <w:r>
              <w:rPr>
                <w:color w:val="000000"/>
              </w:rPr>
              <w:t>-386 477</w:t>
            </w:r>
          </w:p>
        </w:tc>
        <w:tc>
          <w:tcPr>
            <w:tcW w:type="dxa" w:w="1450"/>
            <w:tcBorders>
              <w:top w:color="000000" w:sz="4" w:val="single"/>
              <w:left w:color="000000" w:sz="4" w:val="single"/>
              <w:bottom w:color="000000" w:sz="4" w:val="single"/>
              <w:right w:color="000000" w:sz="4" w:val="single"/>
            </w:tcBorders>
            <w:vAlign w:val="center"/>
          </w:tcPr>
          <w:p w14:paraId="F10B0000">
            <w:pPr>
              <w:widowControl w:val="1"/>
              <w:ind w:firstLine="34"/>
              <w:contextualSpacing w:val="1"/>
              <w:jc w:val="center"/>
              <w:rPr>
                <w:color w:val="000000"/>
              </w:rPr>
            </w:pPr>
            <w:r>
              <w:rPr>
                <w:color w:val="000000"/>
              </w:rPr>
              <w:t>-368 931</w:t>
            </w:r>
          </w:p>
        </w:tc>
        <w:tc>
          <w:tcPr>
            <w:tcW w:type="dxa" w:w="1317"/>
            <w:tcBorders>
              <w:top w:color="000000" w:sz="4" w:val="single"/>
              <w:left w:color="000000" w:sz="4" w:val="single"/>
              <w:bottom w:color="000000" w:sz="4" w:val="single"/>
              <w:right w:color="000000" w:sz="4" w:val="single"/>
            </w:tcBorders>
            <w:vAlign w:val="center"/>
          </w:tcPr>
          <w:p w14:paraId="F20B0000">
            <w:pPr>
              <w:widowControl w:val="1"/>
              <w:ind w:firstLine="34"/>
              <w:contextualSpacing w:val="1"/>
              <w:jc w:val="center"/>
              <w:rPr>
                <w:color w:val="000000"/>
              </w:rPr>
            </w:pPr>
            <w:r>
              <w:rPr>
                <w:color w:val="000000"/>
              </w:rPr>
              <w:t>-354 193</w:t>
            </w:r>
          </w:p>
        </w:tc>
      </w:tr>
      <w:tr>
        <w:trPr>
          <w:trHeight w:hRule="atLeast" w:val="317"/>
        </w:trPr>
        <w:tc>
          <w:tcPr>
            <w:tcW w:type="dxa" w:w="4220"/>
            <w:tcBorders>
              <w:top w:color="000000" w:sz="4" w:val="single"/>
              <w:left w:color="000000" w:sz="4" w:val="single"/>
              <w:bottom w:color="000000" w:sz="4" w:val="single"/>
              <w:right w:color="000000" w:sz="4" w:val="single"/>
            </w:tcBorders>
            <w:vAlign w:val="center"/>
          </w:tcPr>
          <w:p w14:paraId="F30B0000">
            <w:pPr>
              <w:widowControl w:val="1"/>
              <w:ind w:firstLine="34"/>
              <w:contextualSpacing w:val="1"/>
            </w:pPr>
            <w:r>
              <w:t>в том числе: Пригородные перевозки</w:t>
            </w:r>
          </w:p>
        </w:tc>
        <w:tc>
          <w:tcPr>
            <w:tcW w:type="dxa" w:w="1184"/>
            <w:tcBorders>
              <w:top w:color="000000" w:sz="4" w:val="single"/>
              <w:left w:color="000000" w:sz="4" w:val="single"/>
              <w:bottom w:color="000000" w:sz="4" w:val="single"/>
              <w:right w:color="000000" w:sz="4" w:val="single"/>
            </w:tcBorders>
            <w:vAlign w:val="center"/>
          </w:tcPr>
          <w:p w14:paraId="F40B0000">
            <w:pPr>
              <w:widowControl w:val="1"/>
              <w:ind w:firstLine="34"/>
              <w:contextualSpacing w:val="1"/>
              <w:jc w:val="center"/>
            </w:pPr>
            <w:r>
              <w:t>22003</w:t>
            </w:r>
          </w:p>
        </w:tc>
        <w:tc>
          <w:tcPr>
            <w:tcW w:type="dxa" w:w="1317"/>
            <w:tcBorders>
              <w:top w:color="000000" w:sz="4" w:val="single"/>
              <w:left w:color="000000" w:sz="4" w:val="single"/>
              <w:bottom w:color="000000" w:sz="4" w:val="single"/>
              <w:right w:color="000000" w:sz="4" w:val="single"/>
            </w:tcBorders>
            <w:vAlign w:val="center"/>
          </w:tcPr>
          <w:p w14:paraId="F50B0000">
            <w:pPr>
              <w:widowControl w:val="1"/>
              <w:ind w:firstLine="34"/>
              <w:contextualSpacing w:val="1"/>
              <w:jc w:val="center"/>
              <w:rPr>
                <w:color w:val="000000"/>
              </w:rPr>
            </w:pPr>
            <w:r>
              <w:rPr>
                <w:color w:val="000000"/>
              </w:rPr>
              <w:t>-386 832</w:t>
            </w:r>
          </w:p>
        </w:tc>
        <w:tc>
          <w:tcPr>
            <w:tcW w:type="dxa" w:w="1450"/>
            <w:tcBorders>
              <w:top w:color="000000" w:sz="4" w:val="single"/>
              <w:left w:color="000000" w:sz="4" w:val="single"/>
              <w:bottom w:color="000000" w:sz="4" w:val="single"/>
              <w:right w:color="000000" w:sz="4" w:val="single"/>
            </w:tcBorders>
            <w:vAlign w:val="center"/>
          </w:tcPr>
          <w:p w14:paraId="F60B0000">
            <w:pPr>
              <w:widowControl w:val="1"/>
              <w:ind w:firstLine="34"/>
              <w:contextualSpacing w:val="1"/>
              <w:jc w:val="center"/>
              <w:rPr>
                <w:color w:val="000000"/>
              </w:rPr>
            </w:pPr>
            <w:r>
              <w:rPr>
                <w:color w:val="000000"/>
              </w:rPr>
              <w:t>-369 677</w:t>
            </w:r>
          </w:p>
        </w:tc>
        <w:tc>
          <w:tcPr>
            <w:tcW w:type="dxa" w:w="1317"/>
            <w:tcBorders>
              <w:top w:color="000000" w:sz="4" w:val="single"/>
              <w:left w:color="000000" w:sz="4" w:val="single"/>
              <w:bottom w:color="000000" w:sz="4" w:val="single"/>
              <w:right w:color="000000" w:sz="4" w:val="single"/>
            </w:tcBorders>
            <w:vAlign w:val="center"/>
          </w:tcPr>
          <w:p w14:paraId="F70B0000">
            <w:pPr>
              <w:widowControl w:val="1"/>
              <w:ind w:firstLine="34"/>
              <w:contextualSpacing w:val="1"/>
              <w:jc w:val="center"/>
              <w:rPr>
                <w:color w:val="000000"/>
              </w:rPr>
            </w:pPr>
            <w:r>
              <w:rPr>
                <w:color w:val="000000"/>
              </w:rPr>
              <w:t>-355 488</w:t>
            </w:r>
          </w:p>
        </w:tc>
      </w:tr>
      <w:tr>
        <w:trPr>
          <w:trHeight w:hRule="atLeast" w:val="317"/>
        </w:trPr>
        <w:tc>
          <w:tcPr>
            <w:tcW w:type="dxa" w:w="4220"/>
            <w:tcBorders>
              <w:top w:color="000000" w:sz="4" w:val="single"/>
              <w:left w:color="000000" w:sz="4" w:val="single"/>
              <w:bottom w:color="000000" w:sz="4" w:val="single"/>
              <w:right w:color="000000" w:sz="4" w:val="single"/>
            </w:tcBorders>
            <w:vAlign w:val="center"/>
          </w:tcPr>
          <w:p w14:paraId="F80B0000">
            <w:pPr>
              <w:widowControl w:val="1"/>
              <w:ind w:firstLine="34"/>
              <w:contextualSpacing w:val="1"/>
            </w:pPr>
            <w:r>
              <w:t>Прочие виды деятельности</w:t>
            </w:r>
          </w:p>
        </w:tc>
        <w:tc>
          <w:tcPr>
            <w:tcW w:type="dxa" w:w="1184"/>
            <w:tcBorders>
              <w:top w:color="000000" w:sz="4" w:val="single"/>
              <w:left w:color="000000" w:sz="4" w:val="single"/>
              <w:bottom w:color="000000" w:sz="4" w:val="single"/>
              <w:right w:color="000000" w:sz="4" w:val="single"/>
            </w:tcBorders>
            <w:vAlign w:val="center"/>
          </w:tcPr>
          <w:p w14:paraId="F90B0000">
            <w:pPr>
              <w:widowControl w:val="1"/>
              <w:ind w:firstLine="34"/>
              <w:contextualSpacing w:val="1"/>
              <w:jc w:val="center"/>
            </w:pPr>
            <w:r>
              <w:t>22090</w:t>
            </w:r>
          </w:p>
        </w:tc>
        <w:tc>
          <w:tcPr>
            <w:tcW w:type="dxa" w:w="1317"/>
            <w:tcBorders>
              <w:top w:color="000000" w:sz="4" w:val="single"/>
              <w:left w:color="000000" w:sz="4" w:val="single"/>
              <w:bottom w:color="000000" w:sz="4" w:val="single"/>
              <w:right w:color="000000" w:sz="4" w:val="single"/>
            </w:tcBorders>
            <w:vAlign w:val="center"/>
          </w:tcPr>
          <w:p w14:paraId="FA0B0000">
            <w:pPr>
              <w:widowControl w:val="1"/>
              <w:ind w:firstLine="34"/>
              <w:contextualSpacing w:val="1"/>
              <w:jc w:val="center"/>
              <w:rPr>
                <w:color w:val="000000"/>
              </w:rPr>
            </w:pPr>
            <w:r>
              <w:rPr>
                <w:color w:val="000000"/>
              </w:rPr>
              <w:t>355</w:t>
            </w:r>
          </w:p>
        </w:tc>
        <w:tc>
          <w:tcPr>
            <w:tcW w:type="dxa" w:w="1450"/>
            <w:tcBorders>
              <w:top w:color="000000" w:sz="4" w:val="single"/>
              <w:left w:color="000000" w:sz="4" w:val="single"/>
              <w:bottom w:color="000000" w:sz="4" w:val="single"/>
              <w:right w:color="000000" w:sz="4" w:val="single"/>
            </w:tcBorders>
            <w:vAlign w:val="center"/>
          </w:tcPr>
          <w:p w14:paraId="FB0B0000">
            <w:pPr>
              <w:widowControl w:val="1"/>
              <w:ind w:firstLine="34"/>
              <w:contextualSpacing w:val="1"/>
              <w:jc w:val="center"/>
              <w:rPr>
                <w:color w:val="000000"/>
              </w:rPr>
            </w:pPr>
            <w:r>
              <w:rPr>
                <w:color w:val="000000"/>
              </w:rPr>
              <w:t>746</w:t>
            </w:r>
          </w:p>
        </w:tc>
        <w:tc>
          <w:tcPr>
            <w:tcW w:type="dxa" w:w="1317"/>
            <w:tcBorders>
              <w:top w:color="000000" w:sz="4" w:val="single"/>
              <w:left w:color="000000" w:sz="4" w:val="single"/>
              <w:bottom w:color="000000" w:sz="4" w:val="single"/>
              <w:right w:color="000000" w:sz="4" w:val="single"/>
            </w:tcBorders>
            <w:vAlign w:val="center"/>
          </w:tcPr>
          <w:p w14:paraId="FC0B0000">
            <w:pPr>
              <w:widowControl w:val="1"/>
              <w:ind w:firstLine="34"/>
              <w:contextualSpacing w:val="1"/>
              <w:jc w:val="center"/>
              <w:rPr>
                <w:color w:val="000000"/>
              </w:rPr>
            </w:pPr>
            <w:r>
              <w:rPr>
                <w:color w:val="000000"/>
              </w:rPr>
              <w:t>1 295</w:t>
            </w:r>
          </w:p>
        </w:tc>
      </w:tr>
      <w:tr>
        <w:trPr>
          <w:trHeight w:hRule="atLeast" w:val="395"/>
        </w:trPr>
        <w:tc>
          <w:tcPr>
            <w:tcW w:type="dxa" w:w="4220"/>
            <w:tcBorders>
              <w:top w:color="000000" w:sz="4" w:val="single"/>
              <w:left w:color="000000" w:sz="4" w:val="single"/>
              <w:bottom w:color="000000" w:sz="4" w:val="single"/>
              <w:right w:color="000000" w:sz="4" w:val="single"/>
            </w:tcBorders>
            <w:vAlign w:val="center"/>
          </w:tcPr>
          <w:p w14:paraId="FD0B0000">
            <w:pPr>
              <w:widowControl w:val="1"/>
              <w:ind w:firstLine="34"/>
              <w:contextualSpacing w:val="1"/>
            </w:pPr>
            <w:r>
              <w:t>Доходы от участия в других организациях</w:t>
            </w:r>
          </w:p>
        </w:tc>
        <w:tc>
          <w:tcPr>
            <w:tcW w:type="dxa" w:w="1184"/>
            <w:tcBorders>
              <w:top w:color="000000" w:sz="4" w:val="single"/>
              <w:left w:color="000000" w:sz="4" w:val="single"/>
              <w:bottom w:color="000000" w:sz="4" w:val="single"/>
              <w:right w:color="000000" w:sz="4" w:val="single"/>
            </w:tcBorders>
            <w:vAlign w:val="center"/>
          </w:tcPr>
          <w:p w14:paraId="FE0B0000">
            <w:pPr>
              <w:widowControl w:val="1"/>
              <w:ind w:firstLine="34"/>
              <w:contextualSpacing w:val="1"/>
              <w:jc w:val="center"/>
            </w:pPr>
            <w:r>
              <w:t>23100</w:t>
            </w:r>
          </w:p>
        </w:tc>
        <w:tc>
          <w:tcPr>
            <w:tcW w:type="dxa" w:w="1317"/>
            <w:tcBorders>
              <w:top w:color="000000" w:sz="4" w:val="single"/>
              <w:left w:color="000000" w:sz="4" w:val="single"/>
              <w:bottom w:color="000000" w:sz="4" w:val="single"/>
              <w:right w:color="000000" w:sz="4" w:val="single"/>
            </w:tcBorders>
            <w:vAlign w:val="center"/>
          </w:tcPr>
          <w:p w14:paraId="FF0B0000">
            <w:pPr>
              <w:widowControl w:val="1"/>
              <w:ind w:firstLine="34"/>
              <w:contextualSpacing w:val="1"/>
              <w:jc w:val="center"/>
              <w:rPr>
                <w:color w:val="000000"/>
              </w:rPr>
            </w:pPr>
            <w:r>
              <w:rPr>
                <w:color w:val="000000"/>
              </w:rPr>
              <w:t>-</w:t>
            </w:r>
          </w:p>
        </w:tc>
        <w:tc>
          <w:tcPr>
            <w:tcW w:type="dxa" w:w="1450"/>
            <w:tcBorders>
              <w:top w:color="000000" w:sz="4" w:val="single"/>
              <w:left w:color="000000" w:sz="4" w:val="single"/>
              <w:bottom w:color="000000" w:sz="4" w:val="single"/>
              <w:right w:color="000000" w:sz="4" w:val="single"/>
            </w:tcBorders>
            <w:vAlign w:val="center"/>
          </w:tcPr>
          <w:p w14:paraId="000C0000">
            <w:pPr>
              <w:widowControl w:val="1"/>
              <w:ind w:firstLine="34"/>
              <w:contextualSpacing w:val="1"/>
              <w:jc w:val="center"/>
              <w:rPr>
                <w:color w:val="000000"/>
              </w:rPr>
            </w:pPr>
            <w:r>
              <w:rPr>
                <w:color w:val="000000"/>
              </w:rPr>
              <w:t>-</w:t>
            </w:r>
          </w:p>
        </w:tc>
        <w:tc>
          <w:tcPr>
            <w:tcW w:type="dxa" w:w="1317"/>
            <w:tcBorders>
              <w:top w:color="000000" w:sz="4" w:val="single"/>
              <w:left w:color="000000" w:sz="4" w:val="single"/>
              <w:bottom w:color="000000" w:sz="4" w:val="single"/>
              <w:right w:color="000000" w:sz="4" w:val="single"/>
            </w:tcBorders>
            <w:vAlign w:val="center"/>
          </w:tcPr>
          <w:p w14:paraId="010C0000">
            <w:pPr>
              <w:widowControl w:val="1"/>
              <w:ind w:firstLine="34"/>
              <w:contextualSpacing w:val="1"/>
              <w:jc w:val="center"/>
              <w:rPr>
                <w:color w:val="000000"/>
              </w:rPr>
            </w:pPr>
            <w:r>
              <w:rPr>
                <w:color w:val="000000"/>
              </w:rPr>
              <w:t>-</w:t>
            </w:r>
          </w:p>
        </w:tc>
      </w:tr>
      <w:tr>
        <w:trPr>
          <w:trHeight w:hRule="atLeast" w:val="341"/>
        </w:trPr>
        <w:tc>
          <w:tcPr>
            <w:tcW w:type="dxa" w:w="4220"/>
            <w:tcBorders>
              <w:top w:color="000000" w:sz="4" w:val="single"/>
              <w:left w:color="000000" w:sz="4" w:val="single"/>
              <w:bottom w:color="000000" w:sz="4" w:val="single"/>
              <w:right w:color="000000" w:sz="4" w:val="single"/>
            </w:tcBorders>
            <w:vAlign w:val="center"/>
          </w:tcPr>
          <w:p w14:paraId="020C0000">
            <w:pPr>
              <w:widowControl w:val="1"/>
              <w:ind w:firstLine="34"/>
              <w:contextualSpacing w:val="1"/>
            </w:pPr>
            <w:r>
              <w:t>Проценты к получению</w:t>
            </w:r>
          </w:p>
        </w:tc>
        <w:tc>
          <w:tcPr>
            <w:tcW w:type="dxa" w:w="1184"/>
            <w:tcBorders>
              <w:top w:color="000000" w:sz="4" w:val="single"/>
              <w:left w:color="000000" w:sz="4" w:val="single"/>
              <w:bottom w:color="000000" w:sz="4" w:val="single"/>
              <w:right w:color="000000" w:sz="4" w:val="single"/>
            </w:tcBorders>
            <w:vAlign w:val="center"/>
          </w:tcPr>
          <w:p w14:paraId="030C0000">
            <w:pPr>
              <w:widowControl w:val="1"/>
              <w:ind w:firstLine="34"/>
              <w:contextualSpacing w:val="1"/>
              <w:jc w:val="center"/>
            </w:pPr>
            <w:r>
              <w:t>23200</w:t>
            </w:r>
          </w:p>
        </w:tc>
        <w:tc>
          <w:tcPr>
            <w:tcW w:type="dxa" w:w="1317"/>
            <w:tcBorders>
              <w:top w:color="000000" w:sz="4" w:val="single"/>
              <w:left w:color="000000" w:sz="4" w:val="single"/>
              <w:bottom w:color="000000" w:sz="4" w:val="single"/>
              <w:right w:color="000000" w:sz="4" w:val="single"/>
            </w:tcBorders>
            <w:vAlign w:val="center"/>
          </w:tcPr>
          <w:p w14:paraId="040C0000">
            <w:pPr>
              <w:widowControl w:val="1"/>
              <w:ind w:firstLine="34"/>
              <w:contextualSpacing w:val="1"/>
              <w:jc w:val="center"/>
              <w:rPr>
                <w:color w:val="000000"/>
              </w:rPr>
            </w:pPr>
            <w:r>
              <w:rPr>
                <w:color w:val="000000"/>
              </w:rPr>
              <w:t>2 269</w:t>
            </w:r>
          </w:p>
        </w:tc>
        <w:tc>
          <w:tcPr>
            <w:tcW w:type="dxa" w:w="1450"/>
            <w:tcBorders>
              <w:top w:color="000000" w:sz="4" w:val="single"/>
              <w:left w:color="000000" w:sz="4" w:val="single"/>
              <w:bottom w:color="000000" w:sz="4" w:val="single"/>
              <w:right w:color="000000" w:sz="4" w:val="single"/>
            </w:tcBorders>
            <w:vAlign w:val="center"/>
          </w:tcPr>
          <w:p w14:paraId="050C0000">
            <w:pPr>
              <w:widowControl w:val="1"/>
              <w:ind w:firstLine="34"/>
              <w:contextualSpacing w:val="1"/>
              <w:jc w:val="center"/>
              <w:rPr>
                <w:color w:val="000000"/>
              </w:rPr>
            </w:pPr>
            <w:r>
              <w:rPr>
                <w:color w:val="000000"/>
              </w:rPr>
              <w:t>2 714</w:t>
            </w:r>
          </w:p>
        </w:tc>
        <w:tc>
          <w:tcPr>
            <w:tcW w:type="dxa" w:w="1317"/>
            <w:tcBorders>
              <w:top w:color="000000" w:sz="4" w:val="single"/>
              <w:left w:color="000000" w:sz="4" w:val="single"/>
              <w:bottom w:color="000000" w:sz="4" w:val="single"/>
              <w:right w:color="000000" w:sz="4" w:val="single"/>
            </w:tcBorders>
            <w:vAlign w:val="center"/>
          </w:tcPr>
          <w:p w14:paraId="060C0000">
            <w:pPr>
              <w:widowControl w:val="1"/>
              <w:ind w:firstLine="34"/>
              <w:contextualSpacing w:val="1"/>
              <w:jc w:val="center"/>
              <w:rPr>
                <w:color w:val="000000"/>
              </w:rPr>
            </w:pPr>
            <w:r>
              <w:rPr>
                <w:color w:val="000000"/>
              </w:rPr>
              <w:t>1 955</w:t>
            </w:r>
          </w:p>
        </w:tc>
      </w:tr>
      <w:tr>
        <w:trPr>
          <w:trHeight w:hRule="atLeast" w:val="395"/>
        </w:trPr>
        <w:tc>
          <w:tcPr>
            <w:tcW w:type="dxa" w:w="4220"/>
            <w:tcBorders>
              <w:top w:color="000000" w:sz="4" w:val="single"/>
              <w:left w:color="000000" w:sz="4" w:val="single"/>
              <w:bottom w:color="000000" w:sz="4" w:val="single"/>
              <w:right w:color="000000" w:sz="4" w:val="single"/>
            </w:tcBorders>
            <w:vAlign w:val="center"/>
          </w:tcPr>
          <w:p w14:paraId="070C0000">
            <w:pPr>
              <w:widowControl w:val="1"/>
              <w:ind w:firstLine="34"/>
              <w:contextualSpacing w:val="1"/>
            </w:pPr>
            <w:r>
              <w:t>Проценты к уплате</w:t>
            </w:r>
          </w:p>
        </w:tc>
        <w:tc>
          <w:tcPr>
            <w:tcW w:type="dxa" w:w="1184"/>
            <w:tcBorders>
              <w:top w:color="000000" w:sz="4" w:val="single"/>
              <w:left w:color="000000" w:sz="4" w:val="single"/>
              <w:bottom w:color="000000" w:sz="4" w:val="single"/>
              <w:right w:color="000000" w:sz="4" w:val="single"/>
            </w:tcBorders>
            <w:vAlign w:val="center"/>
          </w:tcPr>
          <w:p w14:paraId="080C0000">
            <w:pPr>
              <w:widowControl w:val="1"/>
              <w:ind w:firstLine="34"/>
              <w:contextualSpacing w:val="1"/>
              <w:jc w:val="center"/>
            </w:pPr>
            <w:r>
              <w:t>23300</w:t>
            </w:r>
          </w:p>
        </w:tc>
        <w:tc>
          <w:tcPr>
            <w:tcW w:type="dxa" w:w="1317"/>
            <w:tcBorders>
              <w:top w:color="000000" w:sz="4" w:val="single"/>
              <w:left w:color="000000" w:sz="4" w:val="single"/>
              <w:bottom w:color="000000" w:sz="4" w:val="single"/>
              <w:right w:color="000000" w:sz="4" w:val="single"/>
            </w:tcBorders>
            <w:vAlign w:val="center"/>
          </w:tcPr>
          <w:p w14:paraId="090C0000">
            <w:pPr>
              <w:widowControl w:val="1"/>
              <w:ind w:firstLine="34"/>
              <w:contextualSpacing w:val="1"/>
              <w:jc w:val="center"/>
              <w:rPr>
                <w:color w:val="000000"/>
              </w:rPr>
            </w:pPr>
            <w:r>
              <w:rPr>
                <w:color w:val="000000"/>
              </w:rPr>
              <w:t>-</w:t>
            </w:r>
          </w:p>
        </w:tc>
        <w:tc>
          <w:tcPr>
            <w:tcW w:type="dxa" w:w="1450"/>
            <w:tcBorders>
              <w:top w:color="000000" w:sz="4" w:val="single"/>
              <w:left w:color="000000" w:sz="4" w:val="single"/>
              <w:bottom w:color="000000" w:sz="4" w:val="single"/>
              <w:right w:color="000000" w:sz="4" w:val="single"/>
            </w:tcBorders>
            <w:vAlign w:val="center"/>
          </w:tcPr>
          <w:p w14:paraId="0A0C0000">
            <w:pPr>
              <w:widowControl w:val="1"/>
              <w:ind w:firstLine="34"/>
              <w:contextualSpacing w:val="1"/>
              <w:jc w:val="center"/>
              <w:rPr>
                <w:color w:val="000000"/>
              </w:rPr>
            </w:pPr>
            <w:r>
              <w:rPr>
                <w:color w:val="000000"/>
              </w:rPr>
              <w:t>-</w:t>
            </w:r>
          </w:p>
        </w:tc>
        <w:tc>
          <w:tcPr>
            <w:tcW w:type="dxa" w:w="1317"/>
            <w:tcBorders>
              <w:top w:color="000000" w:sz="4" w:val="single"/>
              <w:left w:color="000000" w:sz="4" w:val="single"/>
              <w:bottom w:color="000000" w:sz="4" w:val="single"/>
              <w:right w:color="000000" w:sz="4" w:val="single"/>
            </w:tcBorders>
            <w:vAlign w:val="center"/>
          </w:tcPr>
          <w:p w14:paraId="0B0C0000">
            <w:pPr>
              <w:widowControl w:val="1"/>
              <w:ind w:firstLine="34"/>
              <w:contextualSpacing w:val="1"/>
              <w:jc w:val="center"/>
              <w:rPr>
                <w:color w:val="000000"/>
              </w:rPr>
            </w:pPr>
            <w:r>
              <w:rPr>
                <w:color w:val="000000"/>
              </w:rPr>
              <w:t>-</w:t>
            </w:r>
          </w:p>
        </w:tc>
      </w:tr>
      <w:tr>
        <w:trPr>
          <w:trHeight w:hRule="atLeast" w:val="395"/>
        </w:trPr>
        <w:tc>
          <w:tcPr>
            <w:tcW w:type="dxa" w:w="4220"/>
            <w:tcBorders>
              <w:top w:color="000000" w:sz="4" w:val="single"/>
              <w:left w:color="000000" w:sz="4" w:val="single"/>
              <w:bottom w:color="000000" w:sz="4" w:val="single"/>
              <w:right w:color="000000" w:sz="4" w:val="single"/>
            </w:tcBorders>
            <w:vAlign w:val="center"/>
          </w:tcPr>
          <w:p w14:paraId="0C0C0000">
            <w:pPr>
              <w:widowControl w:val="1"/>
              <w:ind w:firstLine="34"/>
              <w:contextualSpacing w:val="1"/>
            </w:pPr>
            <w:r>
              <w:t>Прочие доходы</w:t>
            </w:r>
          </w:p>
        </w:tc>
        <w:tc>
          <w:tcPr>
            <w:tcW w:type="dxa" w:w="1184"/>
            <w:tcBorders>
              <w:top w:color="000000" w:sz="4" w:val="single"/>
              <w:left w:color="000000" w:sz="4" w:val="single"/>
              <w:bottom w:color="000000" w:sz="4" w:val="single"/>
              <w:right w:color="000000" w:sz="4" w:val="single"/>
            </w:tcBorders>
            <w:vAlign w:val="center"/>
          </w:tcPr>
          <w:p w14:paraId="0D0C0000">
            <w:pPr>
              <w:widowControl w:val="1"/>
              <w:ind w:firstLine="34"/>
              <w:contextualSpacing w:val="1"/>
              <w:jc w:val="center"/>
            </w:pPr>
            <w:r>
              <w:t>23400</w:t>
            </w:r>
          </w:p>
        </w:tc>
        <w:tc>
          <w:tcPr>
            <w:tcW w:type="dxa" w:w="1317"/>
            <w:tcBorders>
              <w:top w:color="000000" w:sz="4" w:val="single"/>
              <w:left w:color="000000" w:sz="4" w:val="single"/>
              <w:bottom w:color="000000" w:sz="4" w:val="single"/>
              <w:right w:color="000000" w:sz="4" w:val="single"/>
            </w:tcBorders>
            <w:vAlign w:val="center"/>
          </w:tcPr>
          <w:p w14:paraId="0E0C0000">
            <w:pPr>
              <w:widowControl w:val="1"/>
              <w:ind w:firstLine="34"/>
              <w:contextualSpacing w:val="1"/>
              <w:jc w:val="center"/>
              <w:rPr>
                <w:color w:val="000000"/>
              </w:rPr>
            </w:pPr>
            <w:r>
              <w:rPr>
                <w:color w:val="000000"/>
              </w:rPr>
              <w:t>392 127</w:t>
            </w:r>
          </w:p>
        </w:tc>
        <w:tc>
          <w:tcPr>
            <w:tcW w:type="dxa" w:w="1450"/>
            <w:tcBorders>
              <w:top w:color="000000" w:sz="4" w:val="single"/>
              <w:left w:color="000000" w:sz="4" w:val="single"/>
              <w:bottom w:color="000000" w:sz="4" w:val="single"/>
              <w:right w:color="000000" w:sz="4" w:val="single"/>
            </w:tcBorders>
            <w:vAlign w:val="center"/>
          </w:tcPr>
          <w:p w14:paraId="0F0C0000">
            <w:pPr>
              <w:widowControl w:val="1"/>
              <w:ind w:firstLine="34"/>
              <w:contextualSpacing w:val="1"/>
              <w:jc w:val="center"/>
              <w:rPr>
                <w:color w:val="000000"/>
              </w:rPr>
            </w:pPr>
            <w:r>
              <w:rPr>
                <w:color w:val="000000"/>
              </w:rPr>
              <w:t>393 592</w:t>
            </w:r>
          </w:p>
        </w:tc>
        <w:tc>
          <w:tcPr>
            <w:tcW w:type="dxa" w:w="1317"/>
            <w:tcBorders>
              <w:top w:color="000000" w:sz="4" w:val="single"/>
              <w:left w:color="000000" w:sz="4" w:val="single"/>
              <w:bottom w:color="000000" w:sz="4" w:val="single"/>
              <w:right w:color="000000" w:sz="4" w:val="single"/>
            </w:tcBorders>
            <w:vAlign w:val="center"/>
          </w:tcPr>
          <w:p w14:paraId="100C0000">
            <w:pPr>
              <w:widowControl w:val="1"/>
              <w:ind w:firstLine="34"/>
              <w:contextualSpacing w:val="1"/>
              <w:jc w:val="center"/>
              <w:rPr>
                <w:color w:val="000000"/>
              </w:rPr>
            </w:pPr>
            <w:r>
              <w:rPr>
                <w:color w:val="000000"/>
              </w:rPr>
              <w:t>377 664</w:t>
            </w:r>
          </w:p>
        </w:tc>
      </w:tr>
      <w:tr>
        <w:trPr>
          <w:trHeight w:hRule="atLeast" w:val="395"/>
        </w:trPr>
        <w:tc>
          <w:tcPr>
            <w:tcW w:type="dxa" w:w="4220"/>
            <w:tcBorders>
              <w:top w:color="000000" w:sz="4" w:val="single"/>
              <w:left w:color="000000" w:sz="4" w:val="single"/>
              <w:bottom w:color="000000" w:sz="4" w:val="single"/>
              <w:right w:color="000000" w:sz="4" w:val="single"/>
            </w:tcBorders>
            <w:vAlign w:val="center"/>
          </w:tcPr>
          <w:p w14:paraId="110C0000">
            <w:pPr>
              <w:widowControl w:val="1"/>
              <w:ind w:firstLine="34"/>
              <w:contextualSpacing w:val="1"/>
            </w:pPr>
            <w:r>
              <w:t>Прочие расходы</w:t>
            </w:r>
          </w:p>
        </w:tc>
        <w:tc>
          <w:tcPr>
            <w:tcW w:type="dxa" w:w="1184"/>
            <w:tcBorders>
              <w:top w:color="000000" w:sz="4" w:val="single"/>
              <w:left w:color="000000" w:sz="4" w:val="single"/>
              <w:bottom w:color="000000" w:sz="4" w:val="single"/>
              <w:right w:color="000000" w:sz="4" w:val="single"/>
            </w:tcBorders>
            <w:vAlign w:val="center"/>
          </w:tcPr>
          <w:p w14:paraId="120C0000">
            <w:pPr>
              <w:widowControl w:val="1"/>
              <w:ind w:firstLine="34"/>
              <w:contextualSpacing w:val="1"/>
              <w:jc w:val="center"/>
            </w:pPr>
            <w:r>
              <w:t>23500</w:t>
            </w:r>
          </w:p>
        </w:tc>
        <w:tc>
          <w:tcPr>
            <w:tcW w:type="dxa" w:w="1317"/>
            <w:tcBorders>
              <w:top w:color="000000" w:sz="4" w:val="single"/>
              <w:left w:color="000000" w:sz="4" w:val="single"/>
              <w:bottom w:color="000000" w:sz="4" w:val="single"/>
              <w:right w:color="000000" w:sz="4" w:val="single"/>
            </w:tcBorders>
            <w:vAlign w:val="center"/>
          </w:tcPr>
          <w:p w14:paraId="130C0000">
            <w:pPr>
              <w:widowControl w:val="1"/>
              <w:ind w:firstLine="34"/>
              <w:contextualSpacing w:val="1"/>
              <w:jc w:val="center"/>
              <w:rPr>
                <w:color w:val="000000"/>
              </w:rPr>
            </w:pPr>
            <w:r>
              <w:rPr>
                <w:color w:val="000000"/>
              </w:rPr>
              <w:t>-6 790</w:t>
            </w:r>
          </w:p>
        </w:tc>
        <w:tc>
          <w:tcPr>
            <w:tcW w:type="dxa" w:w="1450"/>
            <w:tcBorders>
              <w:top w:color="000000" w:sz="4" w:val="single"/>
              <w:left w:color="000000" w:sz="4" w:val="single"/>
              <w:bottom w:color="000000" w:sz="4" w:val="single"/>
              <w:right w:color="000000" w:sz="4" w:val="single"/>
            </w:tcBorders>
            <w:vAlign w:val="center"/>
          </w:tcPr>
          <w:p w14:paraId="140C0000">
            <w:pPr>
              <w:widowControl w:val="1"/>
              <w:ind w:firstLine="34"/>
              <w:contextualSpacing w:val="1"/>
              <w:jc w:val="center"/>
              <w:rPr>
                <w:color w:val="000000"/>
              </w:rPr>
            </w:pPr>
            <w:r>
              <w:rPr>
                <w:color w:val="000000"/>
              </w:rPr>
              <w:t>-11 954</w:t>
            </w:r>
          </w:p>
        </w:tc>
        <w:tc>
          <w:tcPr>
            <w:tcW w:type="dxa" w:w="1317"/>
            <w:tcBorders>
              <w:top w:color="000000" w:sz="4" w:val="single"/>
              <w:left w:color="000000" w:sz="4" w:val="single"/>
              <w:bottom w:color="000000" w:sz="4" w:val="single"/>
              <w:right w:color="000000" w:sz="4" w:val="single"/>
            </w:tcBorders>
            <w:vAlign w:val="center"/>
          </w:tcPr>
          <w:p w14:paraId="150C0000">
            <w:pPr>
              <w:widowControl w:val="1"/>
              <w:ind w:firstLine="34"/>
              <w:contextualSpacing w:val="1"/>
              <w:jc w:val="center"/>
              <w:rPr>
                <w:color w:val="000000"/>
              </w:rPr>
            </w:pPr>
            <w:r>
              <w:rPr>
                <w:color w:val="000000"/>
              </w:rPr>
              <w:t>-19 894</w:t>
            </w:r>
          </w:p>
        </w:tc>
      </w:tr>
      <w:tr>
        <w:trPr>
          <w:trHeight w:hRule="atLeast" w:val="395"/>
        </w:trPr>
        <w:tc>
          <w:tcPr>
            <w:tcW w:type="dxa" w:w="4220"/>
            <w:tcBorders>
              <w:top w:color="000000" w:sz="4" w:val="single"/>
              <w:left w:color="000000" w:sz="4" w:val="single"/>
              <w:bottom w:color="000000" w:sz="4" w:val="single"/>
              <w:right w:color="000000" w:sz="4" w:val="single"/>
            </w:tcBorders>
            <w:vAlign w:val="center"/>
          </w:tcPr>
          <w:p w14:paraId="160C0000">
            <w:pPr>
              <w:widowControl w:val="1"/>
              <w:ind w:firstLine="34"/>
              <w:contextualSpacing w:val="1"/>
              <w:rPr>
                <w:b w:val="1"/>
              </w:rPr>
            </w:pPr>
            <w:r>
              <w:rPr>
                <w:b w:val="1"/>
              </w:rPr>
              <w:t>Прибыль (убыток) до налогообложения</w:t>
            </w:r>
          </w:p>
        </w:tc>
        <w:tc>
          <w:tcPr>
            <w:tcW w:type="dxa" w:w="1184"/>
            <w:tcBorders>
              <w:top w:color="000000" w:sz="4" w:val="single"/>
              <w:left w:color="000000" w:sz="4" w:val="single"/>
              <w:bottom w:color="000000" w:sz="4" w:val="single"/>
              <w:right w:color="000000" w:sz="4" w:val="single"/>
            </w:tcBorders>
            <w:vAlign w:val="center"/>
          </w:tcPr>
          <w:p w14:paraId="170C0000">
            <w:pPr>
              <w:widowControl w:val="1"/>
              <w:ind w:firstLine="34"/>
              <w:contextualSpacing w:val="1"/>
              <w:jc w:val="center"/>
            </w:pPr>
            <w:r>
              <w:t>23000</w:t>
            </w:r>
          </w:p>
        </w:tc>
        <w:tc>
          <w:tcPr>
            <w:tcW w:type="dxa" w:w="1317"/>
            <w:tcBorders>
              <w:top w:color="000000" w:sz="4" w:val="single"/>
              <w:left w:color="000000" w:sz="4" w:val="single"/>
              <w:bottom w:color="000000" w:sz="4" w:val="single"/>
              <w:right w:color="000000" w:sz="4" w:val="single"/>
            </w:tcBorders>
            <w:vAlign w:val="center"/>
          </w:tcPr>
          <w:p w14:paraId="180C0000">
            <w:pPr>
              <w:widowControl w:val="1"/>
              <w:ind w:firstLine="34"/>
              <w:contextualSpacing w:val="1"/>
              <w:jc w:val="center"/>
              <w:rPr>
                <w:b w:val="1"/>
                <w:color w:val="000000"/>
              </w:rPr>
            </w:pPr>
            <w:r>
              <w:rPr>
                <w:b w:val="1"/>
                <w:color w:val="000000"/>
              </w:rPr>
              <w:t>1 129</w:t>
            </w:r>
          </w:p>
        </w:tc>
        <w:tc>
          <w:tcPr>
            <w:tcW w:type="dxa" w:w="1450"/>
            <w:tcBorders>
              <w:top w:color="000000" w:sz="4" w:val="single"/>
              <w:left w:color="000000" w:sz="4" w:val="single"/>
              <w:bottom w:color="000000" w:sz="4" w:val="single"/>
              <w:right w:color="000000" w:sz="4" w:val="single"/>
            </w:tcBorders>
            <w:vAlign w:val="center"/>
          </w:tcPr>
          <w:p w14:paraId="190C0000">
            <w:pPr>
              <w:widowControl w:val="1"/>
              <w:ind w:firstLine="34"/>
              <w:contextualSpacing w:val="1"/>
              <w:jc w:val="center"/>
              <w:rPr>
                <w:b w:val="1"/>
                <w:color w:val="000000"/>
              </w:rPr>
            </w:pPr>
            <w:r>
              <w:rPr>
                <w:b w:val="1"/>
                <w:color w:val="000000"/>
              </w:rPr>
              <w:t>15 421</w:t>
            </w:r>
          </w:p>
        </w:tc>
        <w:tc>
          <w:tcPr>
            <w:tcW w:type="dxa" w:w="1317"/>
            <w:tcBorders>
              <w:top w:color="000000" w:sz="4" w:val="single"/>
              <w:left w:color="000000" w:sz="4" w:val="single"/>
              <w:bottom w:color="000000" w:sz="4" w:val="single"/>
              <w:right w:color="000000" w:sz="4" w:val="single"/>
            </w:tcBorders>
            <w:vAlign w:val="center"/>
          </w:tcPr>
          <w:p w14:paraId="1A0C0000">
            <w:pPr>
              <w:widowControl w:val="1"/>
              <w:ind w:firstLine="34"/>
              <w:contextualSpacing w:val="1"/>
              <w:jc w:val="center"/>
              <w:rPr>
                <w:b w:val="1"/>
                <w:color w:val="000000"/>
              </w:rPr>
            </w:pPr>
            <w:r>
              <w:rPr>
                <w:b w:val="1"/>
                <w:color w:val="000000"/>
              </w:rPr>
              <w:t>5 532</w:t>
            </w:r>
          </w:p>
        </w:tc>
      </w:tr>
      <w:tr>
        <w:trPr>
          <w:trHeight w:hRule="atLeast" w:val="395"/>
        </w:trPr>
        <w:tc>
          <w:tcPr>
            <w:tcW w:type="dxa" w:w="4220"/>
            <w:tcBorders>
              <w:top w:color="000000" w:sz="4" w:val="single"/>
              <w:left w:color="000000" w:sz="4" w:val="single"/>
              <w:bottom w:color="000000" w:sz="4" w:val="single"/>
              <w:right w:color="000000" w:sz="4" w:val="single"/>
            </w:tcBorders>
            <w:vAlign w:val="center"/>
          </w:tcPr>
          <w:p w14:paraId="1B0C0000">
            <w:pPr>
              <w:widowControl w:val="1"/>
              <w:ind w:firstLine="34"/>
              <w:contextualSpacing w:val="1"/>
            </w:pPr>
            <w:r>
              <w:t>Текущий налог на прибыль</w:t>
            </w:r>
          </w:p>
        </w:tc>
        <w:tc>
          <w:tcPr>
            <w:tcW w:type="dxa" w:w="1184"/>
            <w:tcBorders>
              <w:top w:color="000000" w:sz="4" w:val="single"/>
              <w:left w:color="000000" w:sz="4" w:val="single"/>
              <w:bottom w:color="000000" w:sz="4" w:val="single"/>
              <w:right w:color="000000" w:sz="4" w:val="single"/>
            </w:tcBorders>
            <w:vAlign w:val="center"/>
          </w:tcPr>
          <w:p w14:paraId="1C0C0000">
            <w:pPr>
              <w:widowControl w:val="1"/>
              <w:ind w:firstLine="34"/>
              <w:contextualSpacing w:val="1"/>
              <w:jc w:val="center"/>
            </w:pPr>
            <w:r>
              <w:t>24100</w:t>
            </w:r>
          </w:p>
        </w:tc>
        <w:tc>
          <w:tcPr>
            <w:tcW w:type="dxa" w:w="1317"/>
            <w:tcBorders>
              <w:top w:color="000000" w:sz="4" w:val="single"/>
              <w:left w:color="000000" w:sz="4" w:val="single"/>
              <w:bottom w:color="000000" w:sz="4" w:val="single"/>
              <w:right w:color="000000" w:sz="4" w:val="single"/>
            </w:tcBorders>
            <w:vAlign w:val="center"/>
          </w:tcPr>
          <w:p w14:paraId="1D0C0000">
            <w:pPr>
              <w:widowControl w:val="1"/>
              <w:ind w:firstLine="34"/>
              <w:contextualSpacing w:val="1"/>
              <w:jc w:val="center"/>
              <w:rPr>
                <w:color w:val="000000"/>
              </w:rPr>
            </w:pPr>
            <w:r>
              <w:rPr>
                <w:color w:val="000000"/>
              </w:rPr>
              <w:t>-2 290</w:t>
            </w:r>
          </w:p>
        </w:tc>
        <w:tc>
          <w:tcPr>
            <w:tcW w:type="dxa" w:w="1450"/>
            <w:tcBorders>
              <w:top w:color="000000" w:sz="4" w:val="single"/>
              <w:left w:color="000000" w:sz="4" w:val="single"/>
              <w:bottom w:color="000000" w:sz="4" w:val="single"/>
              <w:right w:color="000000" w:sz="4" w:val="single"/>
            </w:tcBorders>
            <w:vAlign w:val="center"/>
          </w:tcPr>
          <w:p w14:paraId="1E0C0000">
            <w:pPr>
              <w:widowControl w:val="1"/>
              <w:ind w:firstLine="34"/>
              <w:contextualSpacing w:val="1"/>
              <w:jc w:val="center"/>
              <w:rPr>
                <w:color w:val="000000"/>
              </w:rPr>
            </w:pPr>
            <w:r>
              <w:rPr>
                <w:color w:val="000000"/>
              </w:rPr>
              <w:t>-</w:t>
            </w:r>
          </w:p>
        </w:tc>
        <w:tc>
          <w:tcPr>
            <w:tcW w:type="dxa" w:w="1317"/>
            <w:tcBorders>
              <w:top w:color="000000" w:sz="4" w:val="single"/>
              <w:left w:color="000000" w:sz="4" w:val="single"/>
              <w:bottom w:color="000000" w:sz="4" w:val="single"/>
              <w:right w:color="000000" w:sz="4" w:val="single"/>
            </w:tcBorders>
            <w:vAlign w:val="center"/>
          </w:tcPr>
          <w:p w14:paraId="1F0C0000">
            <w:pPr>
              <w:widowControl w:val="1"/>
              <w:ind w:firstLine="34"/>
              <w:contextualSpacing w:val="1"/>
              <w:jc w:val="center"/>
              <w:rPr>
                <w:color w:val="000000"/>
              </w:rPr>
            </w:pPr>
            <w:r>
              <w:rPr>
                <w:color w:val="000000"/>
              </w:rPr>
              <w:t>-</w:t>
            </w:r>
          </w:p>
        </w:tc>
      </w:tr>
      <w:tr>
        <w:trPr>
          <w:trHeight w:hRule="atLeast" w:val="395"/>
        </w:trPr>
        <w:tc>
          <w:tcPr>
            <w:tcW w:type="dxa" w:w="4220"/>
            <w:tcBorders>
              <w:top w:color="000000" w:sz="4" w:val="single"/>
              <w:left w:color="000000" w:sz="4" w:val="single"/>
              <w:bottom w:color="000000" w:sz="4" w:val="single"/>
              <w:right w:color="000000" w:sz="4" w:val="single"/>
            </w:tcBorders>
            <w:vAlign w:val="center"/>
          </w:tcPr>
          <w:p w14:paraId="200C0000">
            <w:pPr>
              <w:widowControl w:val="1"/>
              <w:ind w:firstLine="34"/>
              <w:contextualSpacing w:val="1"/>
            </w:pPr>
            <w:r>
              <w:t>в т.ч. постоянные налоговые обязательства (активы)</w:t>
            </w:r>
          </w:p>
        </w:tc>
        <w:tc>
          <w:tcPr>
            <w:tcW w:type="dxa" w:w="1184"/>
            <w:tcBorders>
              <w:top w:color="000000" w:sz="4" w:val="single"/>
              <w:left w:color="000000" w:sz="4" w:val="single"/>
              <w:bottom w:color="000000" w:sz="4" w:val="single"/>
              <w:right w:color="000000" w:sz="4" w:val="single"/>
            </w:tcBorders>
            <w:vAlign w:val="center"/>
          </w:tcPr>
          <w:p w14:paraId="210C0000">
            <w:pPr>
              <w:widowControl w:val="1"/>
              <w:ind w:firstLine="34"/>
              <w:contextualSpacing w:val="1"/>
              <w:jc w:val="center"/>
            </w:pPr>
            <w:r>
              <w:t>24210</w:t>
            </w:r>
          </w:p>
        </w:tc>
        <w:tc>
          <w:tcPr>
            <w:tcW w:type="dxa" w:w="1317"/>
            <w:tcBorders>
              <w:top w:color="000000" w:sz="4" w:val="single"/>
              <w:left w:color="000000" w:sz="4" w:val="single"/>
              <w:bottom w:color="000000" w:sz="4" w:val="single"/>
              <w:right w:color="000000" w:sz="4" w:val="single"/>
            </w:tcBorders>
            <w:vAlign w:val="center"/>
          </w:tcPr>
          <w:p w14:paraId="220C0000">
            <w:pPr>
              <w:widowControl w:val="1"/>
              <w:ind w:firstLine="34"/>
              <w:contextualSpacing w:val="1"/>
              <w:jc w:val="center"/>
              <w:rPr>
                <w:color w:val="000000"/>
              </w:rPr>
            </w:pPr>
            <w:r>
              <w:rPr>
                <w:color w:val="000000"/>
              </w:rPr>
              <w:t>-592</w:t>
            </w:r>
          </w:p>
        </w:tc>
        <w:tc>
          <w:tcPr>
            <w:tcW w:type="dxa" w:w="1450"/>
            <w:tcBorders>
              <w:top w:color="000000" w:sz="4" w:val="single"/>
              <w:left w:color="000000" w:sz="4" w:val="single"/>
              <w:bottom w:color="000000" w:sz="4" w:val="single"/>
              <w:right w:color="000000" w:sz="4" w:val="single"/>
            </w:tcBorders>
            <w:vAlign w:val="center"/>
          </w:tcPr>
          <w:p w14:paraId="230C0000">
            <w:pPr>
              <w:widowControl w:val="1"/>
              <w:ind w:firstLine="34"/>
              <w:contextualSpacing w:val="1"/>
              <w:jc w:val="center"/>
              <w:rPr>
                <w:color w:val="000000"/>
              </w:rPr>
            </w:pPr>
            <w:r>
              <w:rPr>
                <w:color w:val="000000"/>
              </w:rPr>
              <w:t>-680</w:t>
            </w:r>
          </w:p>
        </w:tc>
        <w:tc>
          <w:tcPr>
            <w:tcW w:type="dxa" w:w="1317"/>
            <w:tcBorders>
              <w:top w:color="000000" w:sz="4" w:val="single"/>
              <w:left w:color="000000" w:sz="4" w:val="single"/>
              <w:bottom w:color="000000" w:sz="4" w:val="single"/>
              <w:right w:color="000000" w:sz="4" w:val="single"/>
            </w:tcBorders>
            <w:vAlign w:val="center"/>
          </w:tcPr>
          <w:p w14:paraId="240C0000">
            <w:pPr>
              <w:widowControl w:val="1"/>
              <w:ind w:firstLine="34"/>
              <w:contextualSpacing w:val="1"/>
              <w:jc w:val="center"/>
              <w:rPr>
                <w:color w:val="000000"/>
              </w:rPr>
            </w:pPr>
            <w:r>
              <w:rPr>
                <w:color w:val="000000"/>
              </w:rPr>
              <w:t>-2 521</w:t>
            </w:r>
          </w:p>
        </w:tc>
      </w:tr>
      <w:tr>
        <w:trPr>
          <w:trHeight w:hRule="atLeast" w:val="395"/>
        </w:trPr>
        <w:tc>
          <w:tcPr>
            <w:tcW w:type="dxa" w:w="4220"/>
            <w:tcBorders>
              <w:top w:color="000000" w:sz="4" w:val="single"/>
              <w:left w:color="000000" w:sz="4" w:val="single"/>
              <w:bottom w:color="000000" w:sz="4" w:val="single"/>
              <w:right w:color="000000" w:sz="4" w:val="single"/>
            </w:tcBorders>
            <w:vAlign w:val="center"/>
          </w:tcPr>
          <w:p w14:paraId="250C0000">
            <w:pPr>
              <w:widowControl w:val="1"/>
              <w:ind w:firstLine="34"/>
              <w:contextualSpacing w:val="1"/>
            </w:pPr>
            <w:r>
              <w:t>Изменение отложенных налоговых обязательств</w:t>
            </w:r>
          </w:p>
        </w:tc>
        <w:tc>
          <w:tcPr>
            <w:tcW w:type="dxa" w:w="1184"/>
            <w:tcBorders>
              <w:top w:color="000000" w:sz="4" w:val="single"/>
              <w:left w:color="000000" w:sz="4" w:val="single"/>
              <w:bottom w:color="000000" w:sz="4" w:val="single"/>
              <w:right w:color="000000" w:sz="4" w:val="single"/>
            </w:tcBorders>
            <w:vAlign w:val="center"/>
          </w:tcPr>
          <w:p w14:paraId="260C0000">
            <w:pPr>
              <w:widowControl w:val="1"/>
              <w:ind w:firstLine="34"/>
              <w:contextualSpacing w:val="1"/>
              <w:jc w:val="center"/>
            </w:pPr>
            <w:r>
              <w:t>24300</w:t>
            </w:r>
          </w:p>
        </w:tc>
        <w:tc>
          <w:tcPr>
            <w:tcW w:type="dxa" w:w="1317"/>
            <w:tcBorders>
              <w:top w:color="000000" w:sz="4" w:val="single"/>
              <w:left w:color="000000" w:sz="4" w:val="single"/>
              <w:bottom w:color="000000" w:sz="4" w:val="single"/>
              <w:right w:color="000000" w:sz="4" w:val="single"/>
            </w:tcBorders>
            <w:vAlign w:val="center"/>
          </w:tcPr>
          <w:p w14:paraId="270C0000">
            <w:pPr>
              <w:widowControl w:val="1"/>
              <w:ind w:firstLine="34"/>
              <w:contextualSpacing w:val="1"/>
              <w:jc w:val="center"/>
              <w:rPr>
                <w:color w:val="000000"/>
              </w:rPr>
            </w:pPr>
            <w:r>
              <w:rPr>
                <w:color w:val="000000"/>
              </w:rPr>
              <w:t>6 134</w:t>
            </w:r>
          </w:p>
        </w:tc>
        <w:tc>
          <w:tcPr>
            <w:tcW w:type="dxa" w:w="1450"/>
            <w:tcBorders>
              <w:top w:color="000000" w:sz="4" w:val="single"/>
              <w:left w:color="000000" w:sz="4" w:val="single"/>
              <w:bottom w:color="000000" w:sz="4" w:val="single"/>
              <w:right w:color="000000" w:sz="4" w:val="single"/>
            </w:tcBorders>
            <w:vAlign w:val="center"/>
          </w:tcPr>
          <w:p w14:paraId="280C0000">
            <w:pPr>
              <w:widowControl w:val="1"/>
              <w:ind w:firstLine="34"/>
              <w:contextualSpacing w:val="1"/>
              <w:jc w:val="center"/>
              <w:rPr>
                <w:color w:val="000000"/>
              </w:rPr>
            </w:pPr>
            <w:r>
              <w:rPr>
                <w:color w:val="000000"/>
              </w:rPr>
              <w:t>-6 422</w:t>
            </w:r>
          </w:p>
        </w:tc>
        <w:tc>
          <w:tcPr>
            <w:tcW w:type="dxa" w:w="1317"/>
            <w:tcBorders>
              <w:top w:color="000000" w:sz="4" w:val="single"/>
              <w:left w:color="000000" w:sz="4" w:val="single"/>
              <w:bottom w:color="000000" w:sz="4" w:val="single"/>
              <w:right w:color="000000" w:sz="4" w:val="single"/>
            </w:tcBorders>
            <w:vAlign w:val="center"/>
          </w:tcPr>
          <w:p w14:paraId="290C0000">
            <w:pPr>
              <w:widowControl w:val="1"/>
              <w:ind w:firstLine="34"/>
              <w:contextualSpacing w:val="1"/>
              <w:jc w:val="center"/>
              <w:rPr>
                <w:color w:val="000000"/>
              </w:rPr>
            </w:pPr>
            <w:r>
              <w:rPr>
                <w:color w:val="000000"/>
              </w:rPr>
              <w:t>97</w:t>
            </w:r>
          </w:p>
        </w:tc>
      </w:tr>
      <w:tr>
        <w:trPr>
          <w:trHeight w:hRule="atLeast" w:val="395"/>
        </w:trPr>
        <w:tc>
          <w:tcPr>
            <w:tcW w:type="dxa" w:w="4220"/>
            <w:tcBorders>
              <w:top w:color="000000" w:sz="4" w:val="single"/>
              <w:left w:color="000000" w:sz="4" w:val="single"/>
              <w:bottom w:color="000000" w:sz="4" w:val="single"/>
              <w:right w:color="000000" w:sz="4" w:val="single"/>
            </w:tcBorders>
            <w:vAlign w:val="center"/>
          </w:tcPr>
          <w:p w14:paraId="2A0C0000">
            <w:pPr>
              <w:widowControl w:val="1"/>
              <w:ind w:firstLine="34"/>
              <w:contextualSpacing w:val="1"/>
            </w:pPr>
            <w:r>
              <w:t>Изменение отложенных налоговых активов</w:t>
            </w:r>
          </w:p>
        </w:tc>
        <w:tc>
          <w:tcPr>
            <w:tcW w:type="dxa" w:w="1184"/>
            <w:tcBorders>
              <w:top w:color="000000" w:sz="4" w:val="single"/>
              <w:left w:color="000000" w:sz="4" w:val="single"/>
              <w:bottom w:color="000000" w:sz="4" w:val="single"/>
              <w:right w:color="000000" w:sz="4" w:val="single"/>
            </w:tcBorders>
            <w:vAlign w:val="center"/>
          </w:tcPr>
          <w:p w14:paraId="2B0C0000">
            <w:pPr>
              <w:widowControl w:val="1"/>
              <w:ind w:firstLine="34"/>
              <w:contextualSpacing w:val="1"/>
              <w:jc w:val="center"/>
            </w:pPr>
            <w:r>
              <w:t>24500</w:t>
            </w:r>
          </w:p>
        </w:tc>
        <w:tc>
          <w:tcPr>
            <w:tcW w:type="dxa" w:w="1317"/>
            <w:tcBorders>
              <w:top w:color="000000" w:sz="4" w:val="single"/>
              <w:left w:color="000000" w:sz="4" w:val="single"/>
              <w:bottom w:color="000000" w:sz="4" w:val="single"/>
              <w:right w:color="000000" w:sz="4" w:val="single"/>
            </w:tcBorders>
            <w:vAlign w:val="center"/>
          </w:tcPr>
          <w:p w14:paraId="2C0C0000">
            <w:pPr>
              <w:widowControl w:val="1"/>
              <w:ind w:firstLine="34"/>
              <w:contextualSpacing w:val="1"/>
              <w:jc w:val="center"/>
              <w:rPr>
                <w:color w:val="000000"/>
              </w:rPr>
            </w:pPr>
            <w:r>
              <w:rPr>
                <w:color w:val="000000"/>
              </w:rPr>
              <w:t>-4 663</w:t>
            </w:r>
          </w:p>
        </w:tc>
        <w:tc>
          <w:tcPr>
            <w:tcW w:type="dxa" w:w="1450"/>
            <w:tcBorders>
              <w:top w:color="000000" w:sz="4" w:val="single"/>
              <w:left w:color="000000" w:sz="4" w:val="single"/>
              <w:bottom w:color="000000" w:sz="4" w:val="single"/>
              <w:right w:color="000000" w:sz="4" w:val="single"/>
            </w:tcBorders>
            <w:vAlign w:val="center"/>
          </w:tcPr>
          <w:p w14:paraId="2D0C0000">
            <w:pPr>
              <w:widowControl w:val="1"/>
              <w:ind w:firstLine="34"/>
              <w:contextualSpacing w:val="1"/>
              <w:jc w:val="center"/>
              <w:rPr>
                <w:color w:val="000000"/>
              </w:rPr>
            </w:pPr>
            <w:r>
              <w:rPr>
                <w:color w:val="000000"/>
              </w:rPr>
              <w:t>2 657</w:t>
            </w:r>
          </w:p>
        </w:tc>
        <w:tc>
          <w:tcPr>
            <w:tcW w:type="dxa" w:w="1317"/>
            <w:tcBorders>
              <w:top w:color="000000" w:sz="4" w:val="single"/>
              <w:left w:color="000000" w:sz="4" w:val="single"/>
              <w:bottom w:color="000000" w:sz="4" w:val="single"/>
              <w:right w:color="000000" w:sz="4" w:val="single"/>
            </w:tcBorders>
            <w:vAlign w:val="center"/>
          </w:tcPr>
          <w:p w14:paraId="2E0C0000">
            <w:pPr>
              <w:widowControl w:val="1"/>
              <w:ind w:firstLine="34"/>
              <w:contextualSpacing w:val="1"/>
              <w:jc w:val="center"/>
              <w:rPr>
                <w:color w:val="000000"/>
              </w:rPr>
            </w:pPr>
            <w:r>
              <w:rPr>
                <w:color w:val="000000"/>
              </w:rPr>
              <w:t>-3 724</w:t>
            </w:r>
          </w:p>
        </w:tc>
      </w:tr>
      <w:tr>
        <w:trPr>
          <w:trHeight w:hRule="atLeast" w:val="395"/>
        </w:trPr>
        <w:tc>
          <w:tcPr>
            <w:tcW w:type="dxa" w:w="4220"/>
            <w:tcBorders>
              <w:top w:color="000000" w:sz="4" w:val="single"/>
              <w:left w:color="000000" w:sz="4" w:val="single"/>
              <w:bottom w:color="000000" w:sz="4" w:val="single"/>
              <w:right w:color="000000" w:sz="4" w:val="single"/>
            </w:tcBorders>
            <w:vAlign w:val="center"/>
          </w:tcPr>
          <w:p w14:paraId="2F0C0000">
            <w:pPr>
              <w:widowControl w:val="1"/>
              <w:ind w:firstLine="34"/>
              <w:contextualSpacing w:val="1"/>
            </w:pPr>
            <w:r>
              <w:t>Прочее</w:t>
            </w:r>
          </w:p>
        </w:tc>
        <w:tc>
          <w:tcPr>
            <w:tcW w:type="dxa" w:w="1184"/>
            <w:tcBorders>
              <w:top w:color="000000" w:sz="4" w:val="single"/>
              <w:left w:color="000000" w:sz="4" w:val="single"/>
              <w:bottom w:color="000000" w:sz="4" w:val="single"/>
              <w:right w:color="000000" w:sz="4" w:val="single"/>
            </w:tcBorders>
            <w:vAlign w:val="center"/>
          </w:tcPr>
          <w:p w14:paraId="300C0000">
            <w:pPr>
              <w:widowControl w:val="1"/>
              <w:ind w:firstLine="34"/>
              <w:contextualSpacing w:val="1"/>
              <w:jc w:val="center"/>
            </w:pPr>
            <w:r>
              <w:t>24600</w:t>
            </w:r>
          </w:p>
        </w:tc>
        <w:tc>
          <w:tcPr>
            <w:tcW w:type="dxa" w:w="1317"/>
            <w:tcBorders>
              <w:top w:color="000000" w:sz="4" w:val="single"/>
              <w:left w:color="000000" w:sz="4" w:val="single"/>
              <w:bottom w:color="000000" w:sz="4" w:val="single"/>
              <w:right w:color="000000" w:sz="4" w:val="single"/>
            </w:tcBorders>
            <w:vAlign w:val="center"/>
          </w:tcPr>
          <w:p w14:paraId="310C0000">
            <w:pPr>
              <w:widowControl w:val="1"/>
              <w:ind w:firstLine="34"/>
              <w:contextualSpacing w:val="1"/>
              <w:jc w:val="center"/>
              <w:rPr>
                <w:color w:val="000000"/>
              </w:rPr>
            </w:pPr>
            <w:r>
              <w:rPr>
                <w:color w:val="000000"/>
              </w:rPr>
              <w:t>-8</w:t>
            </w:r>
          </w:p>
        </w:tc>
        <w:tc>
          <w:tcPr>
            <w:tcW w:type="dxa" w:w="1450"/>
            <w:tcBorders>
              <w:top w:color="000000" w:sz="4" w:val="single"/>
              <w:left w:color="000000" w:sz="4" w:val="single"/>
              <w:bottom w:color="000000" w:sz="4" w:val="single"/>
              <w:right w:color="000000" w:sz="4" w:val="single"/>
            </w:tcBorders>
            <w:vAlign w:val="center"/>
          </w:tcPr>
          <w:p w14:paraId="320C0000">
            <w:pPr>
              <w:widowControl w:val="1"/>
              <w:ind w:firstLine="34"/>
              <w:contextualSpacing w:val="1"/>
              <w:jc w:val="center"/>
              <w:rPr>
                <w:color w:val="000000"/>
              </w:rPr>
            </w:pPr>
            <w:r>
              <w:rPr>
                <w:color w:val="000000"/>
              </w:rPr>
              <w:t>-4</w:t>
            </w:r>
          </w:p>
        </w:tc>
        <w:tc>
          <w:tcPr>
            <w:tcW w:type="dxa" w:w="1317"/>
            <w:tcBorders>
              <w:top w:color="000000" w:sz="4" w:val="single"/>
              <w:left w:color="000000" w:sz="4" w:val="single"/>
              <w:bottom w:color="000000" w:sz="4" w:val="single"/>
              <w:right w:color="000000" w:sz="4" w:val="single"/>
            </w:tcBorders>
            <w:vAlign w:val="center"/>
          </w:tcPr>
          <w:p w14:paraId="330C0000">
            <w:pPr>
              <w:widowControl w:val="1"/>
              <w:ind w:firstLine="34"/>
              <w:contextualSpacing w:val="1"/>
              <w:jc w:val="center"/>
              <w:rPr>
                <w:color w:val="000000"/>
              </w:rPr>
            </w:pPr>
            <w:r>
              <w:rPr>
                <w:color w:val="000000"/>
              </w:rPr>
              <w:t>-</w:t>
            </w:r>
          </w:p>
        </w:tc>
      </w:tr>
      <w:tr>
        <w:trPr>
          <w:trHeight w:hRule="atLeast" w:val="395"/>
        </w:trPr>
        <w:tc>
          <w:tcPr>
            <w:tcW w:type="dxa" w:w="4220"/>
            <w:tcBorders>
              <w:top w:color="000000" w:sz="4" w:val="single"/>
              <w:left w:color="000000" w:sz="4" w:val="single"/>
              <w:bottom w:color="000000" w:sz="4" w:val="single"/>
              <w:right w:color="000000" w:sz="4" w:val="single"/>
            </w:tcBorders>
            <w:vAlign w:val="center"/>
          </w:tcPr>
          <w:p w14:paraId="340C0000">
            <w:pPr>
              <w:widowControl w:val="1"/>
              <w:ind w:firstLine="34"/>
              <w:contextualSpacing w:val="1"/>
              <w:rPr>
                <w:b w:val="1"/>
              </w:rPr>
            </w:pPr>
            <w:r>
              <w:rPr>
                <w:b w:val="1"/>
              </w:rPr>
              <w:t>Чистая прибыль (убыток) отчетного периода</w:t>
            </w:r>
          </w:p>
        </w:tc>
        <w:tc>
          <w:tcPr>
            <w:tcW w:type="dxa" w:w="1184"/>
            <w:tcBorders>
              <w:top w:color="000000" w:sz="4" w:val="single"/>
              <w:left w:color="000000" w:sz="4" w:val="single"/>
              <w:bottom w:color="000000" w:sz="4" w:val="single"/>
              <w:right w:color="000000" w:sz="4" w:val="single"/>
            </w:tcBorders>
            <w:vAlign w:val="center"/>
          </w:tcPr>
          <w:p w14:paraId="350C0000">
            <w:pPr>
              <w:widowControl w:val="1"/>
              <w:ind w:firstLine="34"/>
              <w:contextualSpacing w:val="1"/>
              <w:jc w:val="center"/>
            </w:pPr>
            <w:r>
              <w:t>24000</w:t>
            </w:r>
          </w:p>
        </w:tc>
        <w:tc>
          <w:tcPr>
            <w:tcW w:type="dxa" w:w="1317"/>
            <w:tcBorders>
              <w:top w:color="000000" w:sz="4" w:val="single"/>
              <w:left w:color="000000" w:sz="4" w:val="single"/>
              <w:bottom w:color="000000" w:sz="4" w:val="single"/>
              <w:right w:color="000000" w:sz="4" w:val="single"/>
            </w:tcBorders>
            <w:vAlign w:val="center"/>
          </w:tcPr>
          <w:p w14:paraId="360C0000">
            <w:pPr>
              <w:widowControl w:val="1"/>
              <w:ind w:firstLine="34"/>
              <w:contextualSpacing w:val="1"/>
              <w:jc w:val="center"/>
              <w:rPr>
                <w:b w:val="1"/>
                <w:color w:val="000000"/>
              </w:rPr>
            </w:pPr>
            <w:r>
              <w:rPr>
                <w:b w:val="1"/>
                <w:color w:val="000000"/>
              </w:rPr>
              <w:t>302</w:t>
            </w:r>
          </w:p>
        </w:tc>
        <w:tc>
          <w:tcPr>
            <w:tcW w:type="dxa" w:w="1450"/>
            <w:tcBorders>
              <w:top w:color="000000" w:sz="4" w:val="single"/>
              <w:left w:color="000000" w:sz="4" w:val="single"/>
              <w:bottom w:color="000000" w:sz="4" w:val="single"/>
              <w:right w:color="000000" w:sz="4" w:val="single"/>
            </w:tcBorders>
            <w:vAlign w:val="center"/>
          </w:tcPr>
          <w:p w14:paraId="370C0000">
            <w:pPr>
              <w:widowControl w:val="1"/>
              <w:ind w:firstLine="34"/>
              <w:contextualSpacing w:val="1"/>
              <w:jc w:val="center"/>
              <w:rPr>
                <w:b w:val="1"/>
                <w:color w:val="000000"/>
              </w:rPr>
            </w:pPr>
            <w:r>
              <w:rPr>
                <w:b w:val="1"/>
                <w:color w:val="000000"/>
              </w:rPr>
              <w:t>11 652</w:t>
            </w:r>
          </w:p>
        </w:tc>
        <w:tc>
          <w:tcPr>
            <w:tcW w:type="dxa" w:w="1317"/>
            <w:tcBorders>
              <w:top w:color="000000" w:sz="4" w:val="single"/>
              <w:left w:color="000000" w:sz="4" w:val="single"/>
              <w:bottom w:color="000000" w:sz="4" w:val="single"/>
              <w:right w:color="000000" w:sz="4" w:val="single"/>
            </w:tcBorders>
            <w:vAlign w:val="center"/>
          </w:tcPr>
          <w:p w14:paraId="380C0000">
            <w:pPr>
              <w:widowControl w:val="1"/>
              <w:ind w:firstLine="34"/>
              <w:contextualSpacing w:val="1"/>
              <w:jc w:val="center"/>
              <w:rPr>
                <w:b w:val="1"/>
                <w:color w:val="000000"/>
              </w:rPr>
            </w:pPr>
            <w:r>
              <w:rPr>
                <w:b w:val="1"/>
                <w:color w:val="000000"/>
              </w:rPr>
              <w:t>1 905</w:t>
            </w:r>
          </w:p>
        </w:tc>
      </w:tr>
    </w:tbl>
    <w:p w14:paraId="390C0000">
      <w:pPr>
        <w:keepNext w:val="1"/>
        <w:widowControl w:val="1"/>
        <w:tabs>
          <w:tab w:leader="none" w:pos="0" w:val="left"/>
        </w:tabs>
        <w:spacing w:line="360" w:lineRule="auto"/>
        <w:ind w:firstLine="709"/>
        <w:contextualSpacing w:val="1"/>
        <w:jc w:val="both"/>
        <w:rPr>
          <w:b w:val="1"/>
        </w:rPr>
      </w:pPr>
    </w:p>
    <w:p w14:paraId="3A0C0000">
      <w:pPr>
        <w:keepNext w:val="1"/>
        <w:widowControl w:val="1"/>
        <w:tabs>
          <w:tab w:leader="none" w:pos="0" w:val="left"/>
        </w:tabs>
        <w:spacing w:line="360" w:lineRule="auto"/>
        <w:ind w:firstLine="709"/>
        <w:contextualSpacing w:val="1"/>
        <w:jc w:val="both"/>
      </w:pPr>
      <w:r>
        <w:rPr>
          <w:b w:val="1"/>
        </w:rPr>
        <w:t>Доходы и расходы по обычным видам деятельности:</w:t>
      </w:r>
    </w:p>
    <w:p w14:paraId="3B0C0000">
      <w:pPr>
        <w:pStyle w:val="Style_9"/>
        <w:keepNext w:val="1"/>
        <w:widowControl w:val="1"/>
        <w:tabs>
          <w:tab w:leader="none" w:pos="0" w:val="left"/>
        </w:tabs>
        <w:ind w:firstLine="709"/>
        <w:contextualSpacing w:val="1"/>
        <w:rPr>
          <w:sz w:val="24"/>
        </w:rPr>
      </w:pPr>
      <w:r>
        <w:rPr>
          <w:sz w:val="24"/>
        </w:rPr>
        <w:t xml:space="preserve">Выручка за отчетный период по бухгалтерскому учету составила 335 109 тыс. руб.,  за  2017 год  - 326 638 тыс.руб. </w:t>
      </w:r>
    </w:p>
    <w:p w14:paraId="3C0C0000">
      <w:pPr>
        <w:pStyle w:val="Style_9"/>
        <w:widowControl w:val="1"/>
        <w:tabs>
          <w:tab w:leader="none" w:pos="0" w:val="left"/>
        </w:tabs>
        <w:ind w:firstLine="709"/>
        <w:contextualSpacing w:val="1"/>
        <w:rPr>
          <w:sz w:val="24"/>
        </w:rPr>
      </w:pPr>
      <w:r>
        <w:rPr>
          <w:sz w:val="24"/>
        </w:rPr>
        <w:t xml:space="preserve">Себестоимость продаж за  2018 год составила </w:t>
      </w:r>
      <w:r>
        <w:rPr>
          <w:color w:val="000000"/>
          <w:sz w:val="24"/>
        </w:rPr>
        <w:t xml:space="preserve">721 468 </w:t>
      </w:r>
      <w:r>
        <w:rPr>
          <w:sz w:val="24"/>
        </w:rPr>
        <w:t xml:space="preserve">тыс. руб., за аналогичный период  2017 года себестоимость составляла </w:t>
      </w:r>
      <w:r>
        <w:rPr>
          <w:color w:val="000000"/>
          <w:sz w:val="24"/>
        </w:rPr>
        <w:t xml:space="preserve">695 451 </w:t>
      </w:r>
      <w:r>
        <w:rPr>
          <w:sz w:val="24"/>
        </w:rPr>
        <w:t>тыс. руб., 103,7% к прошлому году; кроме того коммерческие расходы за  2018 год составили 118 тыс.руб., 100% к прошлому году.</w:t>
      </w:r>
    </w:p>
    <w:p w14:paraId="3D0C0000">
      <w:pPr>
        <w:widowControl w:val="1"/>
        <w:tabs>
          <w:tab w:leader="none" w:pos="0" w:val="left"/>
        </w:tabs>
        <w:spacing w:line="360" w:lineRule="auto"/>
        <w:ind w:firstLine="709"/>
        <w:contextualSpacing w:val="1"/>
        <w:jc w:val="both"/>
      </w:pPr>
      <w:r>
        <w:rPr>
          <w:b w:val="1"/>
        </w:rPr>
        <w:t>Прочие  доходы и расходы:</w:t>
      </w:r>
    </w:p>
    <w:p w14:paraId="3E0C0000">
      <w:pPr>
        <w:pStyle w:val="Style_9"/>
        <w:keepNext w:val="1"/>
        <w:widowControl w:val="1"/>
        <w:tabs>
          <w:tab w:leader="none" w:pos="0" w:val="left"/>
        </w:tabs>
        <w:ind w:firstLine="709"/>
        <w:contextualSpacing w:val="1"/>
        <w:rPr>
          <w:sz w:val="24"/>
        </w:rPr>
      </w:pPr>
      <w:r>
        <w:rPr>
          <w:b w:val="1"/>
          <w:sz w:val="24"/>
        </w:rPr>
        <w:t>Прочие доходы</w:t>
      </w:r>
      <w:r>
        <w:rPr>
          <w:sz w:val="24"/>
        </w:rPr>
        <w:t xml:space="preserve"> за 2018 год по бухгалтерскому учету составили 394 396 тыс.руб., </w:t>
      </w:r>
      <w:r>
        <w:rPr>
          <w:sz w:val="24"/>
        </w:rPr>
        <w:t xml:space="preserve"> в том числе целевые начисления из бюджетов составили 391 398 тыс.руб., </w:t>
      </w:r>
      <w:r>
        <w:rPr>
          <w:sz w:val="24"/>
        </w:rPr>
        <w:t>за  2017 год по бухгалтерскому учету  составили 396 307 тыс.руб.</w:t>
      </w:r>
      <w:r>
        <w:rPr>
          <w:sz w:val="24"/>
        </w:rPr>
        <w:t xml:space="preserve"> </w:t>
      </w:r>
    </w:p>
    <w:p w14:paraId="3F0C0000">
      <w:pPr>
        <w:widowControl w:val="1"/>
        <w:tabs>
          <w:tab w:leader="none" w:pos="0" w:val="left"/>
        </w:tabs>
        <w:spacing w:line="360" w:lineRule="auto"/>
        <w:ind w:firstLine="709"/>
        <w:contextualSpacing w:val="1"/>
        <w:jc w:val="both"/>
      </w:pPr>
      <w:r>
        <w:rPr>
          <w:b w:val="1"/>
        </w:rPr>
        <w:t>Прочие расходы</w:t>
      </w:r>
      <w:r>
        <w:t xml:space="preserve"> – 6 790 тыс. руб., 59% к плану, 56,8% к прошлому году.</w:t>
      </w:r>
      <w:r>
        <w:t xml:space="preserve"> </w:t>
      </w:r>
      <w:r>
        <w:t>Снижение  прочих расходов обусловлено уменьшением стоимости услуг инкассации по результатам конкурентной процедуры закупки.</w:t>
      </w:r>
    </w:p>
    <w:p w14:paraId="400C0000">
      <w:pPr>
        <w:widowControl w:val="1"/>
        <w:tabs>
          <w:tab w:leader="none" w:pos="0" w:val="left"/>
        </w:tabs>
        <w:spacing w:line="360" w:lineRule="auto"/>
        <w:ind w:firstLine="709"/>
        <w:contextualSpacing w:val="1"/>
        <w:jc w:val="both"/>
        <w:rPr>
          <w:b w:val="1"/>
        </w:rPr>
      </w:pPr>
      <w:r>
        <w:rPr>
          <w:b w:val="1"/>
        </w:rPr>
        <w:t xml:space="preserve"> </w:t>
      </w:r>
      <w:r>
        <w:rPr>
          <w:b w:val="1"/>
        </w:rPr>
        <w:t>Чистая прибыль</w:t>
      </w:r>
      <w:r>
        <w:t xml:space="preserve"> отчетного периода составила 302 тыс. руб.</w:t>
      </w:r>
    </w:p>
    <w:p w14:paraId="410C0000">
      <w:pPr>
        <w:widowControl w:val="1"/>
        <w:ind w:firstLine="709"/>
        <w:contextualSpacing w:val="1"/>
        <w:jc w:val="right"/>
        <w:rPr>
          <w:b w:val="1"/>
        </w:rPr>
      </w:pPr>
      <w:r>
        <w:rPr>
          <w:b w:val="1"/>
        </w:rPr>
        <w:t>Т</w:t>
      </w:r>
      <w:r>
        <w:rPr>
          <w:b w:val="1"/>
        </w:rPr>
        <w:t xml:space="preserve">аблица </w:t>
      </w:r>
      <w:r>
        <w:rPr>
          <w:b w:val="1"/>
        </w:rPr>
        <w:t>5.1</w:t>
      </w:r>
      <w:r>
        <w:rPr>
          <w:b w:val="1"/>
        </w:rPr>
        <w:t>8</w:t>
      </w:r>
      <w:r>
        <w:rPr>
          <w:b w:val="1"/>
        </w:rPr>
        <w:t>.</w:t>
      </w:r>
    </w:p>
    <w:p w14:paraId="420C0000">
      <w:pPr>
        <w:pStyle w:val="Style_17"/>
        <w:widowControl w:val="1"/>
        <w:spacing w:after="0"/>
        <w:ind w:firstLine="709"/>
        <w:contextualSpacing w:val="1"/>
        <w:jc w:val="center"/>
        <w:rPr>
          <w:b w:val="1"/>
          <w:sz w:val="24"/>
        </w:rPr>
      </w:pPr>
      <w:r>
        <w:rPr>
          <w:b w:val="1"/>
          <w:sz w:val="24"/>
        </w:rPr>
        <w:t>Сравнительная таблица доходов и расходов Общества.</w:t>
      </w:r>
    </w:p>
    <w:p w14:paraId="430C0000">
      <w:pPr>
        <w:pStyle w:val="Style_17"/>
        <w:widowControl w:val="1"/>
        <w:spacing w:after="0"/>
        <w:ind w:firstLine="709"/>
        <w:contextualSpacing w:val="1"/>
        <w:jc w:val="right"/>
        <w:rPr>
          <w:sz w:val="24"/>
        </w:rPr>
      </w:pPr>
      <w:r>
        <w:rPr>
          <w:sz w:val="24"/>
        </w:rPr>
        <w:t>(</w:t>
      </w:r>
      <w:r>
        <w:rPr>
          <w:sz w:val="24"/>
        </w:rPr>
        <w:t>тыс.руб.)</w:t>
      </w:r>
    </w:p>
    <w:tbl>
      <w:tblPr>
        <w:tblStyle w:val="Style_4"/>
        <w:tblW w:type="auto" w:w="0"/>
        <w:tblInd w:type="dxa" w:w="103"/>
        <w:tblLayout w:type="fixed"/>
      </w:tblPr>
      <w:tblGrid>
        <w:gridCol w:w="576"/>
        <w:gridCol w:w="2406"/>
        <w:gridCol w:w="1134"/>
        <w:gridCol w:w="1276"/>
        <w:gridCol w:w="1134"/>
        <w:gridCol w:w="1134"/>
        <w:gridCol w:w="992"/>
        <w:gridCol w:w="992"/>
      </w:tblGrid>
      <w:tr>
        <w:trPr>
          <w:trHeight w:hRule="atLeast" w:val="201"/>
        </w:trPr>
        <w:tc>
          <w:tcPr>
            <w:tcW w:type="dxa" w:w="576"/>
            <w:vMerge w:val="restart"/>
            <w:tcBorders>
              <w:top w:color="000000" w:sz="4" w:val="single"/>
              <w:left w:color="000000" w:sz="4" w:val="single"/>
              <w:bottom w:color="000000" w:sz="4" w:val="single"/>
              <w:right w:color="000000" w:sz="4" w:val="single"/>
            </w:tcBorders>
            <w:shd w:fill="auto" w:val="clear"/>
            <w:vAlign w:val="center"/>
          </w:tcPr>
          <w:p w14:paraId="440C0000">
            <w:pPr>
              <w:widowControl w:val="1"/>
              <w:ind w:firstLine="709" w:left="-812"/>
              <w:contextualSpacing w:val="1"/>
              <w:jc w:val="center"/>
            </w:pPr>
            <w:r>
              <w:t>№</w:t>
            </w:r>
          </w:p>
        </w:tc>
        <w:tc>
          <w:tcPr>
            <w:tcW w:type="dxa" w:w="2406"/>
            <w:vMerge w:val="restart"/>
            <w:tcBorders>
              <w:top w:color="000000" w:sz="4" w:val="single"/>
              <w:left w:color="000000" w:sz="4" w:val="single"/>
              <w:bottom w:color="000000" w:sz="4" w:val="single"/>
              <w:right w:color="000000" w:sz="4" w:val="single"/>
            </w:tcBorders>
            <w:shd w:fill="auto" w:val="clear"/>
            <w:vAlign w:val="center"/>
          </w:tcPr>
          <w:p w14:paraId="450C0000">
            <w:pPr>
              <w:widowControl w:val="1"/>
              <w:ind w:firstLine="30"/>
              <w:contextualSpacing w:val="1"/>
              <w:jc w:val="center"/>
            </w:pPr>
            <w:r>
              <w:t>Показатель</w:t>
            </w:r>
          </w:p>
        </w:tc>
        <w:tc>
          <w:tcPr>
            <w:tcW w:type="dxa" w:w="1134"/>
            <w:tcBorders>
              <w:top w:color="000000" w:sz="4" w:val="single"/>
              <w:left w:color="000000" w:sz="4" w:val="single"/>
              <w:bottom w:color="000000" w:sz="4" w:val="single"/>
              <w:right w:color="000000" w:sz="4" w:val="single"/>
            </w:tcBorders>
            <w:vAlign w:val="center"/>
          </w:tcPr>
          <w:p w14:paraId="460C0000">
            <w:pPr>
              <w:widowControl w:val="1"/>
              <w:ind w:firstLine="30"/>
              <w:contextualSpacing w:val="1"/>
              <w:jc w:val="center"/>
              <w:rPr>
                <w:color w:val="000000"/>
              </w:rPr>
            </w:pPr>
            <w:r>
              <w:rPr>
                <w:color w:val="000000"/>
              </w:rPr>
              <w:t>2016г.</w:t>
            </w:r>
          </w:p>
        </w:tc>
        <w:tc>
          <w:tcPr>
            <w:tcW w:type="dxa" w:w="1276"/>
            <w:tcBorders>
              <w:top w:color="000000" w:sz="4" w:val="single"/>
              <w:left w:color="000000" w:sz="4" w:val="single"/>
              <w:bottom w:color="000000" w:sz="4" w:val="single"/>
              <w:right w:color="000000" w:sz="4" w:val="single"/>
            </w:tcBorders>
            <w:shd w:fill="auto" w:val="clear"/>
            <w:vAlign w:val="center"/>
          </w:tcPr>
          <w:p w14:paraId="470C0000">
            <w:pPr>
              <w:widowControl w:val="1"/>
              <w:ind w:firstLine="30"/>
              <w:contextualSpacing w:val="1"/>
              <w:jc w:val="center"/>
              <w:rPr>
                <w:color w:val="000000"/>
              </w:rPr>
            </w:pPr>
            <w:r>
              <w:rPr>
                <w:color w:val="000000"/>
              </w:rPr>
              <w:t>2017г.</w:t>
            </w:r>
          </w:p>
        </w:tc>
        <w:tc>
          <w:tcPr>
            <w:tcW w:type="dxa" w:w="2268"/>
            <w:gridSpan w:val="2"/>
            <w:tcBorders>
              <w:top w:color="000000" w:sz="4" w:val="single"/>
              <w:left w:color="000000" w:sz="4" w:val="single"/>
              <w:bottom w:color="000000" w:sz="4" w:val="single"/>
              <w:right w:color="000000" w:sz="4" w:val="single"/>
            </w:tcBorders>
            <w:shd w:fill="auto" w:val="clear"/>
            <w:vAlign w:val="center"/>
          </w:tcPr>
          <w:p w14:paraId="480C0000">
            <w:pPr>
              <w:widowControl w:val="1"/>
              <w:ind w:firstLine="30"/>
              <w:contextualSpacing w:val="1"/>
              <w:jc w:val="center"/>
            </w:pPr>
            <w:r>
              <w:t>2018г.</w:t>
            </w:r>
          </w:p>
        </w:tc>
        <w:tc>
          <w:tcPr>
            <w:tcW w:type="dxa" w:w="1984"/>
            <w:gridSpan w:val="2"/>
            <w:tcBorders>
              <w:top w:color="000000" w:sz="4" w:val="single"/>
              <w:left w:color="000000" w:sz="4" w:val="single"/>
              <w:bottom w:color="000000" w:sz="4" w:val="single"/>
              <w:right w:color="000000" w:sz="4" w:val="single"/>
            </w:tcBorders>
            <w:vAlign w:val="center"/>
          </w:tcPr>
          <w:p w14:paraId="490C0000">
            <w:pPr>
              <w:widowControl w:val="1"/>
              <w:ind w:firstLine="30"/>
              <w:contextualSpacing w:val="1"/>
              <w:jc w:val="center"/>
            </w:pPr>
            <w:r>
              <w:t>%%</w:t>
            </w:r>
          </w:p>
        </w:tc>
      </w:tr>
      <w:tr>
        <w:trPr>
          <w:trHeight w:hRule="atLeast" w:val="868"/>
        </w:trPr>
        <w:tc>
          <w:tcPr>
            <w:tcW w:type="dxa" w:w="576"/>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2406"/>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1134"/>
            <w:tcBorders>
              <w:top w:color="000000" w:sz="4" w:val="single"/>
              <w:left w:color="000000" w:sz="4" w:val="single"/>
              <w:bottom w:color="000000" w:sz="4" w:val="single"/>
              <w:right w:color="000000" w:sz="4" w:val="single"/>
            </w:tcBorders>
            <w:vAlign w:val="center"/>
          </w:tcPr>
          <w:p w14:paraId="4A0C0000">
            <w:pPr>
              <w:widowControl w:val="1"/>
              <w:ind w:firstLine="30"/>
              <w:contextualSpacing w:val="1"/>
              <w:jc w:val="center"/>
              <w:rPr>
                <w:color w:val="000000"/>
              </w:rPr>
            </w:pPr>
            <w:r>
              <w:rPr>
                <w:color w:val="000000"/>
              </w:rPr>
              <w:t>факт</w:t>
            </w:r>
          </w:p>
        </w:tc>
        <w:tc>
          <w:tcPr>
            <w:tcW w:type="dxa" w:w="1276"/>
            <w:tcBorders>
              <w:top w:color="000000" w:sz="4" w:val="single"/>
              <w:left w:color="000000" w:sz="4" w:val="single"/>
              <w:bottom w:color="000000" w:sz="4" w:val="single"/>
              <w:right w:color="000000" w:sz="4" w:val="single"/>
            </w:tcBorders>
            <w:shd w:fill="auto" w:val="clear"/>
            <w:vAlign w:val="center"/>
          </w:tcPr>
          <w:p w14:paraId="4B0C0000">
            <w:pPr>
              <w:widowControl w:val="1"/>
              <w:ind w:firstLine="30"/>
              <w:contextualSpacing w:val="1"/>
              <w:jc w:val="center"/>
              <w:rPr>
                <w:color w:val="000000"/>
              </w:rPr>
            </w:pPr>
            <w:r>
              <w:rPr>
                <w:color w:val="000000"/>
              </w:rPr>
              <w:t>факт</w:t>
            </w:r>
          </w:p>
        </w:tc>
        <w:tc>
          <w:tcPr>
            <w:tcW w:type="dxa" w:w="1134"/>
            <w:tcBorders>
              <w:top w:color="000000" w:sz="4" w:val="single"/>
              <w:left w:color="000000" w:sz="4" w:val="single"/>
              <w:bottom w:color="000000" w:sz="4" w:val="single"/>
              <w:right w:color="000000" w:sz="4" w:val="single"/>
            </w:tcBorders>
            <w:shd w:fill="auto" w:val="clear"/>
            <w:vAlign w:val="center"/>
          </w:tcPr>
          <w:p w14:paraId="4C0C0000">
            <w:pPr>
              <w:widowControl w:val="1"/>
              <w:ind w:firstLine="30"/>
              <w:contextualSpacing w:val="1"/>
              <w:jc w:val="center"/>
              <w:rPr>
                <w:color w:val="000000"/>
              </w:rPr>
            </w:pPr>
            <w:r>
              <w:rPr>
                <w:color w:val="000000"/>
              </w:rPr>
              <w:t>план</w:t>
            </w:r>
          </w:p>
        </w:tc>
        <w:tc>
          <w:tcPr>
            <w:tcW w:type="dxa" w:w="1134"/>
            <w:tcBorders>
              <w:top w:color="000000" w:sz="4" w:val="single"/>
              <w:left w:color="000000" w:sz="4" w:val="single"/>
              <w:bottom w:color="000000" w:sz="4" w:val="single"/>
              <w:right w:color="000000" w:sz="4" w:val="single"/>
            </w:tcBorders>
            <w:shd w:fill="auto" w:val="clear"/>
            <w:vAlign w:val="center"/>
          </w:tcPr>
          <w:p w14:paraId="4D0C0000">
            <w:pPr>
              <w:widowControl w:val="1"/>
              <w:ind w:firstLine="30"/>
              <w:contextualSpacing w:val="1"/>
              <w:jc w:val="center"/>
              <w:rPr>
                <w:color w:val="000000"/>
              </w:rPr>
            </w:pPr>
            <w:r>
              <w:rPr>
                <w:color w:val="000000"/>
              </w:rPr>
              <w:t>факт</w:t>
            </w:r>
          </w:p>
        </w:tc>
        <w:tc>
          <w:tcPr>
            <w:tcW w:type="dxa" w:w="992"/>
            <w:tcBorders>
              <w:top w:color="000000" w:sz="4" w:val="single"/>
              <w:left w:color="000000" w:sz="4" w:val="single"/>
              <w:bottom w:color="000000" w:sz="4" w:val="single"/>
              <w:right w:color="000000" w:sz="4" w:val="single"/>
            </w:tcBorders>
            <w:vAlign w:val="center"/>
          </w:tcPr>
          <w:p w14:paraId="4E0C0000">
            <w:pPr>
              <w:widowControl w:val="1"/>
              <w:ind w:firstLine="30"/>
              <w:contextualSpacing w:val="1"/>
              <w:jc w:val="center"/>
              <w:rPr>
                <w:color w:val="000000"/>
              </w:rPr>
            </w:pPr>
            <w:r>
              <w:rPr>
                <w:color w:val="000000"/>
              </w:rPr>
              <w:t>к 2017г.</w:t>
            </w:r>
          </w:p>
        </w:tc>
        <w:tc>
          <w:tcPr>
            <w:tcW w:type="dxa" w:w="992"/>
            <w:tcBorders>
              <w:top w:color="000000" w:sz="4" w:val="single"/>
              <w:left w:color="000000" w:sz="4" w:val="single"/>
              <w:bottom w:color="000000" w:sz="4" w:val="single"/>
              <w:right w:color="000000" w:sz="4" w:val="single"/>
            </w:tcBorders>
            <w:vAlign w:val="center"/>
          </w:tcPr>
          <w:p w14:paraId="4F0C0000">
            <w:pPr>
              <w:widowControl w:val="1"/>
              <w:ind w:firstLine="30"/>
              <w:contextualSpacing w:val="1"/>
              <w:jc w:val="center"/>
              <w:rPr>
                <w:color w:val="000000"/>
              </w:rPr>
            </w:pPr>
            <w:r>
              <w:rPr>
                <w:color w:val="000000"/>
              </w:rPr>
              <w:t>к плану</w:t>
            </w:r>
          </w:p>
        </w:tc>
      </w:tr>
      <w:tr>
        <w:trPr>
          <w:trHeight w:hRule="atLeast" w:val="116"/>
        </w:trPr>
        <w:tc>
          <w:tcPr>
            <w:tcW w:type="dxa" w:w="576"/>
            <w:tcBorders>
              <w:top w:sz="4" w:val="nil"/>
              <w:left w:color="000000" w:sz="4" w:val="single"/>
              <w:bottom w:color="000000" w:sz="4" w:val="single"/>
              <w:right w:color="000000" w:sz="4" w:val="single"/>
            </w:tcBorders>
            <w:shd w:fill="auto" w:val="clear"/>
            <w:vAlign w:val="center"/>
          </w:tcPr>
          <w:p w14:paraId="500C0000">
            <w:pPr>
              <w:widowControl w:val="1"/>
              <w:ind w:firstLine="709" w:left="-812"/>
              <w:contextualSpacing w:val="1"/>
              <w:jc w:val="center"/>
              <w:rPr>
                <w:i w:val="1"/>
              </w:rPr>
            </w:pPr>
            <w:r>
              <w:rPr>
                <w:i w:val="1"/>
              </w:rPr>
              <w:t>1</w:t>
            </w:r>
          </w:p>
        </w:tc>
        <w:tc>
          <w:tcPr>
            <w:tcW w:type="dxa" w:w="2406"/>
            <w:tcBorders>
              <w:top w:sz="4" w:val="nil"/>
              <w:left w:sz="4" w:val="nil"/>
              <w:bottom w:color="000000" w:sz="4" w:val="single"/>
              <w:right w:color="000000" w:sz="4" w:val="single"/>
            </w:tcBorders>
            <w:shd w:fill="auto" w:val="clear"/>
            <w:vAlign w:val="center"/>
          </w:tcPr>
          <w:p w14:paraId="510C0000">
            <w:pPr>
              <w:widowControl w:val="1"/>
              <w:ind w:firstLine="30"/>
              <w:contextualSpacing w:val="1"/>
              <w:jc w:val="center"/>
              <w:rPr>
                <w:i w:val="1"/>
              </w:rPr>
            </w:pPr>
            <w:r>
              <w:rPr>
                <w:i w:val="1"/>
              </w:rPr>
              <w:t>2</w:t>
            </w:r>
          </w:p>
        </w:tc>
        <w:tc>
          <w:tcPr>
            <w:tcW w:type="dxa" w:w="1134"/>
            <w:tcBorders>
              <w:top w:color="000000" w:sz="4" w:val="single"/>
              <w:left w:color="000000" w:sz="4" w:val="single"/>
              <w:bottom w:color="000000" w:sz="4" w:val="single"/>
              <w:right w:color="000000" w:sz="4" w:val="single"/>
            </w:tcBorders>
            <w:vAlign w:val="center"/>
          </w:tcPr>
          <w:p w14:paraId="520C0000">
            <w:pPr>
              <w:widowControl w:val="1"/>
              <w:ind w:firstLine="30"/>
              <w:contextualSpacing w:val="1"/>
              <w:jc w:val="center"/>
              <w:rPr>
                <w:i w:val="1"/>
                <w:color w:val="000000"/>
              </w:rPr>
            </w:pPr>
            <w:r>
              <w:rPr>
                <w:i w:val="1"/>
                <w:color w:val="000000"/>
              </w:rPr>
              <w:t>4</w:t>
            </w:r>
          </w:p>
        </w:tc>
        <w:tc>
          <w:tcPr>
            <w:tcW w:type="dxa" w:w="1276"/>
            <w:tcBorders>
              <w:top w:color="000000" w:sz="4" w:val="single"/>
              <w:left w:color="000000" w:sz="4" w:val="single"/>
              <w:bottom w:color="000000" w:sz="4" w:val="single"/>
              <w:right w:color="000000" w:sz="4" w:val="single"/>
            </w:tcBorders>
            <w:shd w:fill="auto" w:val="clear"/>
            <w:vAlign w:val="center"/>
          </w:tcPr>
          <w:p w14:paraId="530C0000">
            <w:pPr>
              <w:widowControl w:val="1"/>
              <w:ind w:firstLine="30"/>
              <w:contextualSpacing w:val="1"/>
              <w:jc w:val="center"/>
              <w:rPr>
                <w:i w:val="1"/>
                <w:color w:val="000000"/>
              </w:rPr>
            </w:pPr>
            <w:r>
              <w:rPr>
                <w:i w:val="1"/>
                <w:color w:val="000000"/>
              </w:rPr>
              <w:t>6</w:t>
            </w:r>
          </w:p>
        </w:tc>
        <w:tc>
          <w:tcPr>
            <w:tcW w:type="dxa" w:w="1134"/>
            <w:tcBorders>
              <w:top w:color="000000" w:sz="4" w:val="single"/>
              <w:left w:color="000000" w:sz="4" w:val="single"/>
              <w:bottom w:color="000000" w:sz="4" w:val="single"/>
              <w:right w:color="000000" w:sz="4" w:val="single"/>
            </w:tcBorders>
            <w:shd w:fill="auto" w:val="clear"/>
            <w:vAlign w:val="center"/>
          </w:tcPr>
          <w:p w14:paraId="540C0000">
            <w:pPr>
              <w:widowControl w:val="1"/>
              <w:ind w:firstLine="30"/>
              <w:contextualSpacing w:val="1"/>
              <w:jc w:val="center"/>
              <w:rPr>
                <w:i w:val="1"/>
                <w:color w:val="000000"/>
              </w:rPr>
            </w:pPr>
            <w:r>
              <w:rPr>
                <w:i w:val="1"/>
                <w:color w:val="000000"/>
              </w:rPr>
              <w:t>5</w:t>
            </w:r>
          </w:p>
        </w:tc>
        <w:tc>
          <w:tcPr>
            <w:tcW w:type="dxa" w:w="1134"/>
            <w:tcBorders>
              <w:top w:color="000000" w:sz="4" w:val="single"/>
              <w:left w:color="000000" w:sz="4" w:val="single"/>
              <w:bottom w:color="000000" w:sz="4" w:val="single"/>
              <w:right w:color="000000" w:sz="4" w:val="single"/>
            </w:tcBorders>
            <w:shd w:fill="auto" w:val="clear"/>
            <w:vAlign w:val="center"/>
          </w:tcPr>
          <w:p w14:paraId="550C0000">
            <w:pPr>
              <w:widowControl w:val="1"/>
              <w:ind w:firstLine="30"/>
              <w:contextualSpacing w:val="1"/>
              <w:jc w:val="center"/>
              <w:rPr>
                <w:i w:val="1"/>
                <w:color w:val="000000"/>
              </w:rPr>
            </w:pPr>
            <w:r>
              <w:rPr>
                <w:i w:val="1"/>
                <w:color w:val="000000"/>
              </w:rPr>
              <w:t>6</w:t>
            </w:r>
          </w:p>
        </w:tc>
        <w:tc>
          <w:tcPr>
            <w:tcW w:type="dxa" w:w="992"/>
            <w:tcBorders>
              <w:top w:color="000000" w:sz="4" w:val="single"/>
              <w:left w:color="000000" w:sz="4" w:val="single"/>
              <w:bottom w:color="000000" w:sz="4" w:val="single"/>
              <w:right w:color="000000" w:sz="4" w:val="single"/>
            </w:tcBorders>
            <w:vAlign w:val="center"/>
          </w:tcPr>
          <w:p w14:paraId="560C0000">
            <w:pPr>
              <w:widowControl w:val="1"/>
              <w:ind w:firstLine="30"/>
              <w:contextualSpacing w:val="1"/>
              <w:jc w:val="center"/>
              <w:rPr>
                <w:i w:val="1"/>
                <w:color w:val="000000"/>
              </w:rPr>
            </w:pPr>
            <w:r>
              <w:rPr>
                <w:i w:val="1"/>
                <w:color w:val="000000"/>
              </w:rPr>
              <w:t>7</w:t>
            </w:r>
          </w:p>
        </w:tc>
        <w:tc>
          <w:tcPr>
            <w:tcW w:type="dxa" w:w="992"/>
            <w:tcBorders>
              <w:top w:color="000000" w:sz="4" w:val="single"/>
              <w:left w:color="000000" w:sz="4" w:val="single"/>
              <w:bottom w:color="000000" w:sz="4" w:val="single"/>
              <w:right w:color="000000" w:sz="4" w:val="single"/>
            </w:tcBorders>
            <w:vAlign w:val="center"/>
          </w:tcPr>
          <w:p w14:paraId="570C0000">
            <w:pPr>
              <w:widowControl w:val="1"/>
              <w:ind w:firstLine="30"/>
              <w:contextualSpacing w:val="1"/>
              <w:jc w:val="center"/>
              <w:rPr>
                <w:i w:val="1"/>
                <w:color w:val="000000"/>
              </w:rPr>
            </w:pPr>
            <w:r>
              <w:rPr>
                <w:i w:val="1"/>
                <w:color w:val="000000"/>
              </w:rPr>
              <w:t>8</w:t>
            </w:r>
          </w:p>
        </w:tc>
      </w:tr>
      <w:tr>
        <w:trPr>
          <w:trHeight w:hRule="atLeast" w:val="171"/>
        </w:trPr>
        <w:tc>
          <w:tcPr>
            <w:tcW w:type="dxa" w:w="576"/>
            <w:tcBorders>
              <w:top w:sz="4" w:val="nil"/>
              <w:left w:color="000000" w:sz="4" w:val="single"/>
              <w:bottom w:color="000000" w:sz="4" w:val="single"/>
              <w:right w:color="000000" w:sz="4" w:val="single"/>
            </w:tcBorders>
            <w:shd w:fill="auto" w:val="clear"/>
            <w:vAlign w:val="center"/>
          </w:tcPr>
          <w:p w14:paraId="580C0000">
            <w:pPr>
              <w:widowControl w:val="1"/>
              <w:ind w:firstLine="709" w:left="-812"/>
              <w:contextualSpacing w:val="1"/>
              <w:jc w:val="center"/>
              <w:rPr>
                <w:b w:val="1"/>
              </w:rPr>
            </w:pPr>
            <w:r>
              <w:rPr>
                <w:b w:val="1"/>
              </w:rPr>
              <w:t>1</w:t>
            </w:r>
          </w:p>
        </w:tc>
        <w:tc>
          <w:tcPr>
            <w:tcW w:type="dxa" w:w="2406"/>
            <w:tcBorders>
              <w:top w:sz="4" w:val="nil"/>
              <w:left w:sz="4" w:val="nil"/>
              <w:bottom w:color="000000" w:sz="4" w:val="single"/>
              <w:right w:color="000000" w:sz="4" w:val="single"/>
            </w:tcBorders>
            <w:shd w:fill="auto" w:val="clear"/>
            <w:vAlign w:val="center"/>
          </w:tcPr>
          <w:p w14:paraId="590C0000">
            <w:pPr>
              <w:widowControl w:val="1"/>
              <w:ind w:firstLine="30"/>
              <w:contextualSpacing w:val="1"/>
              <w:rPr>
                <w:b w:val="1"/>
              </w:rPr>
            </w:pPr>
            <w:r>
              <w:rPr>
                <w:b w:val="1"/>
              </w:rPr>
              <w:t>Доходы от реализации</w:t>
            </w:r>
          </w:p>
        </w:tc>
        <w:tc>
          <w:tcPr>
            <w:tcW w:type="dxa" w:w="1134"/>
            <w:tcBorders>
              <w:top w:color="000000" w:sz="4" w:val="single"/>
              <w:left w:color="000000" w:sz="4" w:val="single"/>
              <w:bottom w:color="000000" w:sz="4" w:val="single"/>
              <w:right w:color="000000" w:sz="4" w:val="single"/>
            </w:tcBorders>
            <w:vAlign w:val="center"/>
          </w:tcPr>
          <w:p w14:paraId="5A0C0000">
            <w:pPr>
              <w:widowControl w:val="1"/>
              <w:ind w:firstLine="30"/>
              <w:contextualSpacing w:val="1"/>
              <w:jc w:val="center"/>
              <w:rPr>
                <w:b w:val="1"/>
                <w:color w:val="000000"/>
              </w:rPr>
            </w:pPr>
            <w:r>
              <w:rPr>
                <w:b w:val="1"/>
                <w:color w:val="000000"/>
              </w:rPr>
              <w:t>318 486</w:t>
            </w:r>
          </w:p>
        </w:tc>
        <w:tc>
          <w:tcPr>
            <w:tcW w:type="dxa" w:w="1276"/>
            <w:tcBorders>
              <w:top w:color="000000" w:sz="4" w:val="single"/>
              <w:left w:color="000000" w:sz="4" w:val="single"/>
              <w:bottom w:color="000000" w:sz="4" w:val="single"/>
              <w:right w:color="000000" w:sz="4" w:val="single"/>
            </w:tcBorders>
            <w:shd w:fill="auto" w:val="clear"/>
            <w:vAlign w:val="center"/>
          </w:tcPr>
          <w:p w14:paraId="5B0C0000">
            <w:pPr>
              <w:widowControl w:val="1"/>
              <w:ind w:firstLine="30"/>
              <w:contextualSpacing w:val="1"/>
              <w:jc w:val="center"/>
              <w:rPr>
                <w:b w:val="1"/>
                <w:color w:val="000000"/>
              </w:rPr>
            </w:pPr>
            <w:r>
              <w:rPr>
                <w:b w:val="1"/>
                <w:color w:val="000000"/>
              </w:rPr>
              <w:t>326 638</w:t>
            </w:r>
          </w:p>
        </w:tc>
        <w:tc>
          <w:tcPr>
            <w:tcW w:type="dxa" w:w="1134"/>
            <w:tcBorders>
              <w:top w:color="000000" w:sz="4" w:val="single"/>
              <w:left w:color="000000" w:sz="4" w:val="single"/>
              <w:bottom w:color="000000" w:sz="4" w:val="single"/>
              <w:right w:color="000000" w:sz="4" w:val="single"/>
            </w:tcBorders>
            <w:shd w:fill="auto" w:val="clear"/>
            <w:vAlign w:val="center"/>
          </w:tcPr>
          <w:p w14:paraId="5C0C0000">
            <w:pPr>
              <w:widowControl w:val="1"/>
              <w:ind w:firstLine="30"/>
              <w:contextualSpacing w:val="1"/>
              <w:jc w:val="center"/>
              <w:rPr>
                <w:b w:val="1"/>
                <w:color w:val="000000"/>
              </w:rPr>
            </w:pPr>
            <w:r>
              <w:rPr>
                <w:b w:val="1"/>
                <w:color w:val="000000"/>
              </w:rPr>
              <w:t>335 789</w:t>
            </w:r>
          </w:p>
        </w:tc>
        <w:tc>
          <w:tcPr>
            <w:tcW w:type="dxa" w:w="1134"/>
            <w:tcBorders>
              <w:top w:color="000000" w:sz="4" w:val="single"/>
              <w:left w:color="000000" w:sz="4" w:val="single"/>
              <w:bottom w:color="000000" w:sz="4" w:val="single"/>
              <w:right w:color="000000" w:sz="4" w:val="single"/>
            </w:tcBorders>
            <w:shd w:fill="auto" w:val="clear"/>
            <w:vAlign w:val="center"/>
          </w:tcPr>
          <w:p w14:paraId="5D0C0000">
            <w:pPr>
              <w:widowControl w:val="1"/>
              <w:ind w:firstLine="30"/>
              <w:contextualSpacing w:val="1"/>
              <w:jc w:val="center"/>
              <w:rPr>
                <w:b w:val="1"/>
                <w:color w:val="000000"/>
              </w:rPr>
            </w:pPr>
            <w:r>
              <w:rPr>
                <w:b w:val="1"/>
                <w:color w:val="000000"/>
              </w:rPr>
              <w:t>335 109</w:t>
            </w:r>
          </w:p>
        </w:tc>
        <w:tc>
          <w:tcPr>
            <w:tcW w:type="dxa" w:w="992"/>
            <w:tcBorders>
              <w:top w:color="000000" w:sz="4" w:val="single"/>
              <w:left w:color="000000" w:sz="4" w:val="single"/>
              <w:bottom w:color="000000" w:sz="4" w:val="single"/>
              <w:right w:color="000000" w:sz="4" w:val="single"/>
            </w:tcBorders>
            <w:vAlign w:val="center"/>
          </w:tcPr>
          <w:p w14:paraId="5E0C0000">
            <w:pPr>
              <w:widowControl w:val="1"/>
              <w:ind w:firstLine="30"/>
              <w:contextualSpacing w:val="1"/>
              <w:jc w:val="center"/>
              <w:rPr>
                <w:b w:val="1"/>
                <w:i w:val="1"/>
                <w:color w:val="000000"/>
              </w:rPr>
            </w:pPr>
            <w:r>
              <w:rPr>
                <w:b w:val="1"/>
                <w:i w:val="1"/>
                <w:color w:val="000000"/>
              </w:rPr>
              <w:t>103</w:t>
            </w:r>
          </w:p>
        </w:tc>
        <w:tc>
          <w:tcPr>
            <w:tcW w:type="dxa" w:w="992"/>
            <w:tcBorders>
              <w:top w:color="000000" w:sz="4" w:val="single"/>
              <w:left w:color="000000" w:sz="4" w:val="single"/>
              <w:bottom w:color="000000" w:sz="4" w:val="single"/>
              <w:right w:color="000000" w:sz="4" w:val="single"/>
            </w:tcBorders>
            <w:vAlign w:val="center"/>
          </w:tcPr>
          <w:p w14:paraId="5F0C0000">
            <w:pPr>
              <w:widowControl w:val="1"/>
              <w:ind w:firstLine="30"/>
              <w:contextualSpacing w:val="1"/>
              <w:jc w:val="center"/>
              <w:rPr>
                <w:b w:val="1"/>
                <w:i w:val="1"/>
                <w:color w:val="000000"/>
              </w:rPr>
            </w:pPr>
            <w:r>
              <w:rPr>
                <w:b w:val="1"/>
                <w:i w:val="1"/>
                <w:color w:val="000000"/>
              </w:rPr>
              <w:t>100</w:t>
            </w:r>
          </w:p>
        </w:tc>
      </w:tr>
      <w:tr>
        <w:trPr>
          <w:trHeight w:hRule="atLeast" w:val="256"/>
        </w:trPr>
        <w:tc>
          <w:tcPr>
            <w:tcW w:type="dxa" w:w="576"/>
            <w:tcBorders>
              <w:top w:sz="4" w:val="nil"/>
              <w:left w:color="000000" w:sz="4" w:val="single"/>
              <w:bottom w:color="000000" w:sz="4" w:val="single"/>
              <w:right w:color="000000" w:sz="4" w:val="single"/>
            </w:tcBorders>
            <w:shd w:fill="auto" w:val="clear"/>
            <w:vAlign w:val="center"/>
          </w:tcPr>
          <w:p w14:paraId="600C0000">
            <w:pPr>
              <w:widowControl w:val="1"/>
              <w:ind w:firstLine="709" w:left="-812"/>
              <w:contextualSpacing w:val="1"/>
              <w:jc w:val="center"/>
              <w:rPr>
                <w:i w:val="1"/>
              </w:rPr>
            </w:pPr>
            <w:r>
              <w:rPr>
                <w:i w:val="1"/>
              </w:rPr>
              <w:t>1.1.</w:t>
            </w:r>
          </w:p>
        </w:tc>
        <w:tc>
          <w:tcPr>
            <w:tcW w:type="dxa" w:w="2406"/>
            <w:tcBorders>
              <w:top w:sz="4" w:val="nil"/>
              <w:left w:sz="4" w:val="nil"/>
              <w:bottom w:color="000000" w:sz="4" w:val="single"/>
              <w:right w:color="000000" w:sz="4" w:val="single"/>
            </w:tcBorders>
            <w:shd w:fill="auto" w:val="clear"/>
            <w:vAlign w:val="center"/>
          </w:tcPr>
          <w:p w14:paraId="610C0000">
            <w:pPr>
              <w:widowControl w:val="1"/>
              <w:ind w:firstLine="30"/>
              <w:contextualSpacing w:val="1"/>
              <w:rPr>
                <w:i w:val="1"/>
              </w:rPr>
            </w:pPr>
            <w:r>
              <w:rPr>
                <w:i w:val="1"/>
              </w:rPr>
              <w:t>Доходы по основной деятельности</w:t>
            </w:r>
          </w:p>
        </w:tc>
        <w:tc>
          <w:tcPr>
            <w:tcW w:type="dxa" w:w="1134"/>
            <w:tcBorders>
              <w:top w:color="000000" w:sz="4" w:val="single"/>
              <w:left w:color="000000" w:sz="4" w:val="single"/>
              <w:bottom w:color="000000" w:sz="4" w:val="single"/>
              <w:right w:color="000000" w:sz="4" w:val="single"/>
            </w:tcBorders>
            <w:vAlign w:val="center"/>
          </w:tcPr>
          <w:p w14:paraId="620C0000">
            <w:pPr>
              <w:widowControl w:val="1"/>
              <w:ind w:firstLine="30"/>
              <w:contextualSpacing w:val="1"/>
              <w:jc w:val="center"/>
              <w:rPr>
                <w:color w:val="000000"/>
              </w:rPr>
            </w:pPr>
            <w:r>
              <w:rPr>
                <w:color w:val="000000"/>
              </w:rPr>
              <w:t>313 954</w:t>
            </w:r>
          </w:p>
        </w:tc>
        <w:tc>
          <w:tcPr>
            <w:tcW w:type="dxa" w:w="1276"/>
            <w:tcBorders>
              <w:top w:color="000000" w:sz="4" w:val="single"/>
              <w:left w:color="000000" w:sz="4" w:val="single"/>
              <w:bottom w:color="000000" w:sz="4" w:val="single"/>
              <w:right w:color="000000" w:sz="4" w:val="single"/>
            </w:tcBorders>
            <w:shd w:fill="auto" w:val="clear"/>
            <w:vAlign w:val="center"/>
          </w:tcPr>
          <w:p w14:paraId="630C0000">
            <w:pPr>
              <w:widowControl w:val="1"/>
              <w:ind w:firstLine="30"/>
              <w:contextualSpacing w:val="1"/>
              <w:jc w:val="center"/>
              <w:rPr>
                <w:color w:val="000000"/>
              </w:rPr>
            </w:pPr>
            <w:r>
              <w:rPr>
                <w:color w:val="000000"/>
              </w:rPr>
              <w:t>322 289</w:t>
            </w:r>
          </w:p>
        </w:tc>
        <w:tc>
          <w:tcPr>
            <w:tcW w:type="dxa" w:w="1134"/>
            <w:tcBorders>
              <w:top w:color="000000" w:sz="4" w:val="single"/>
              <w:left w:color="000000" w:sz="4" w:val="single"/>
              <w:bottom w:color="000000" w:sz="4" w:val="single"/>
              <w:right w:color="000000" w:sz="4" w:val="single"/>
            </w:tcBorders>
            <w:shd w:fill="auto" w:val="clear"/>
            <w:vAlign w:val="center"/>
          </w:tcPr>
          <w:p w14:paraId="640C0000">
            <w:pPr>
              <w:widowControl w:val="1"/>
              <w:ind w:firstLine="30"/>
              <w:contextualSpacing w:val="1"/>
              <w:jc w:val="center"/>
              <w:rPr>
                <w:color w:val="000000"/>
              </w:rPr>
            </w:pPr>
            <w:r>
              <w:rPr>
                <w:color w:val="000000"/>
              </w:rPr>
              <w:t>331 663</w:t>
            </w:r>
          </w:p>
        </w:tc>
        <w:tc>
          <w:tcPr>
            <w:tcW w:type="dxa" w:w="1134"/>
            <w:tcBorders>
              <w:top w:color="000000" w:sz="4" w:val="single"/>
              <w:left w:color="000000" w:sz="4" w:val="single"/>
              <w:bottom w:color="000000" w:sz="4" w:val="single"/>
              <w:right w:color="000000" w:sz="4" w:val="single"/>
            </w:tcBorders>
            <w:shd w:fill="auto" w:val="clear"/>
            <w:vAlign w:val="center"/>
          </w:tcPr>
          <w:p w14:paraId="650C0000">
            <w:pPr>
              <w:widowControl w:val="1"/>
              <w:ind w:firstLine="30"/>
              <w:contextualSpacing w:val="1"/>
              <w:jc w:val="center"/>
              <w:rPr>
                <w:color w:val="000000"/>
              </w:rPr>
            </w:pPr>
            <w:r>
              <w:rPr>
                <w:color w:val="000000"/>
              </w:rPr>
              <w:t>329 239</w:t>
            </w:r>
          </w:p>
        </w:tc>
        <w:tc>
          <w:tcPr>
            <w:tcW w:type="dxa" w:w="992"/>
            <w:tcBorders>
              <w:top w:color="000000" w:sz="4" w:val="single"/>
              <w:left w:color="000000" w:sz="4" w:val="single"/>
              <w:bottom w:color="000000" w:sz="4" w:val="single"/>
              <w:right w:color="000000" w:sz="4" w:val="single"/>
            </w:tcBorders>
            <w:vAlign w:val="center"/>
          </w:tcPr>
          <w:p w14:paraId="660C0000">
            <w:pPr>
              <w:widowControl w:val="1"/>
              <w:ind w:firstLine="30"/>
              <w:contextualSpacing w:val="1"/>
              <w:jc w:val="center"/>
              <w:rPr>
                <w:i w:val="1"/>
                <w:color w:val="000000"/>
              </w:rPr>
            </w:pPr>
            <w:r>
              <w:rPr>
                <w:i w:val="1"/>
                <w:color w:val="000000"/>
              </w:rPr>
              <w:t>102</w:t>
            </w:r>
          </w:p>
        </w:tc>
        <w:tc>
          <w:tcPr>
            <w:tcW w:type="dxa" w:w="992"/>
            <w:tcBorders>
              <w:top w:color="000000" w:sz="4" w:val="single"/>
              <w:left w:color="000000" w:sz="4" w:val="single"/>
              <w:bottom w:color="000000" w:sz="4" w:val="single"/>
              <w:right w:color="000000" w:sz="4" w:val="single"/>
            </w:tcBorders>
            <w:vAlign w:val="center"/>
          </w:tcPr>
          <w:p w14:paraId="670C0000">
            <w:pPr>
              <w:widowControl w:val="1"/>
              <w:ind w:firstLine="30"/>
              <w:contextualSpacing w:val="1"/>
              <w:jc w:val="center"/>
              <w:rPr>
                <w:i w:val="1"/>
                <w:color w:val="000000"/>
              </w:rPr>
            </w:pPr>
            <w:r>
              <w:rPr>
                <w:i w:val="1"/>
                <w:color w:val="000000"/>
              </w:rPr>
              <w:t>99</w:t>
            </w:r>
          </w:p>
        </w:tc>
      </w:tr>
      <w:tr>
        <w:trPr>
          <w:trHeight w:hRule="atLeast" w:val="256"/>
        </w:trPr>
        <w:tc>
          <w:tcPr>
            <w:tcW w:type="dxa" w:w="576"/>
            <w:tcBorders>
              <w:top w:sz="4" w:val="nil"/>
              <w:left w:color="000000" w:sz="4" w:val="single"/>
              <w:bottom w:color="000000" w:sz="4" w:val="single"/>
              <w:right w:color="000000" w:sz="4" w:val="single"/>
            </w:tcBorders>
            <w:shd w:fill="auto" w:val="clear"/>
            <w:vAlign w:val="center"/>
          </w:tcPr>
          <w:p w14:paraId="680C0000">
            <w:pPr>
              <w:widowControl w:val="1"/>
              <w:ind w:firstLine="709" w:left="-812"/>
              <w:contextualSpacing w:val="1"/>
              <w:jc w:val="center"/>
              <w:rPr>
                <w:i w:val="1"/>
              </w:rPr>
            </w:pPr>
            <w:r>
              <w:rPr>
                <w:i w:val="1"/>
              </w:rPr>
              <w:t>1.2.</w:t>
            </w:r>
          </w:p>
        </w:tc>
        <w:tc>
          <w:tcPr>
            <w:tcW w:type="dxa" w:w="2406"/>
            <w:tcBorders>
              <w:top w:sz="4" w:val="nil"/>
              <w:left w:sz="4" w:val="nil"/>
              <w:bottom w:color="000000" w:sz="4" w:val="single"/>
              <w:right w:color="000000" w:sz="4" w:val="single"/>
            </w:tcBorders>
            <w:shd w:fill="auto" w:val="clear"/>
            <w:vAlign w:val="center"/>
          </w:tcPr>
          <w:p w14:paraId="690C0000">
            <w:pPr>
              <w:widowControl w:val="1"/>
              <w:ind w:firstLine="30"/>
              <w:contextualSpacing w:val="1"/>
              <w:rPr>
                <w:i w:val="1"/>
              </w:rPr>
            </w:pPr>
            <w:r>
              <w:rPr>
                <w:i w:val="1"/>
              </w:rPr>
              <w:t>Доходы от прочих видов деятельности</w:t>
            </w:r>
          </w:p>
        </w:tc>
        <w:tc>
          <w:tcPr>
            <w:tcW w:type="dxa" w:w="1134"/>
            <w:tcBorders>
              <w:top w:color="000000" w:sz="4" w:val="single"/>
              <w:left w:color="000000" w:sz="4" w:val="single"/>
              <w:bottom w:color="000000" w:sz="4" w:val="single"/>
              <w:right w:color="000000" w:sz="4" w:val="single"/>
            </w:tcBorders>
            <w:vAlign w:val="center"/>
          </w:tcPr>
          <w:p w14:paraId="6A0C0000">
            <w:pPr>
              <w:widowControl w:val="1"/>
              <w:ind w:firstLine="30"/>
              <w:contextualSpacing w:val="1"/>
              <w:jc w:val="center"/>
              <w:rPr>
                <w:i w:val="1"/>
                <w:color w:val="000000"/>
              </w:rPr>
            </w:pPr>
            <w:r>
              <w:rPr>
                <w:i w:val="1"/>
                <w:color w:val="000000"/>
              </w:rPr>
              <w:t>4 532</w:t>
            </w:r>
          </w:p>
        </w:tc>
        <w:tc>
          <w:tcPr>
            <w:tcW w:type="dxa" w:w="1276"/>
            <w:tcBorders>
              <w:top w:color="000000" w:sz="4" w:val="single"/>
              <w:left w:color="000000" w:sz="4" w:val="single"/>
              <w:bottom w:color="000000" w:sz="4" w:val="single"/>
              <w:right w:color="000000" w:sz="4" w:val="single"/>
            </w:tcBorders>
            <w:shd w:fill="auto" w:val="clear"/>
            <w:vAlign w:val="center"/>
          </w:tcPr>
          <w:p w14:paraId="6B0C0000">
            <w:pPr>
              <w:widowControl w:val="1"/>
              <w:ind w:firstLine="30"/>
              <w:contextualSpacing w:val="1"/>
              <w:jc w:val="center"/>
              <w:rPr>
                <w:i w:val="1"/>
                <w:color w:val="000000"/>
              </w:rPr>
            </w:pPr>
            <w:r>
              <w:rPr>
                <w:i w:val="1"/>
                <w:color w:val="000000"/>
              </w:rPr>
              <w:t>4 349</w:t>
            </w:r>
          </w:p>
        </w:tc>
        <w:tc>
          <w:tcPr>
            <w:tcW w:type="dxa" w:w="1134"/>
            <w:tcBorders>
              <w:top w:color="000000" w:sz="4" w:val="single"/>
              <w:left w:color="000000" w:sz="4" w:val="single"/>
              <w:bottom w:color="000000" w:sz="4" w:val="single"/>
              <w:right w:color="000000" w:sz="4" w:val="single"/>
            </w:tcBorders>
            <w:shd w:fill="auto" w:val="clear"/>
            <w:vAlign w:val="center"/>
          </w:tcPr>
          <w:p w14:paraId="6C0C0000">
            <w:pPr>
              <w:widowControl w:val="1"/>
              <w:ind w:firstLine="30"/>
              <w:contextualSpacing w:val="1"/>
              <w:jc w:val="center"/>
              <w:rPr>
                <w:i w:val="1"/>
                <w:color w:val="000000"/>
              </w:rPr>
            </w:pPr>
            <w:r>
              <w:rPr>
                <w:i w:val="1"/>
                <w:color w:val="000000"/>
              </w:rPr>
              <w:t>4</w:t>
            </w:r>
            <w:r>
              <w:rPr>
                <w:i w:val="1"/>
                <w:color w:val="000000"/>
              </w:rPr>
              <w:t xml:space="preserve"> 126</w:t>
            </w:r>
          </w:p>
        </w:tc>
        <w:tc>
          <w:tcPr>
            <w:tcW w:type="dxa" w:w="1134"/>
            <w:tcBorders>
              <w:top w:color="000000" w:sz="4" w:val="single"/>
              <w:left w:color="000000" w:sz="4" w:val="single"/>
              <w:bottom w:color="000000" w:sz="4" w:val="single"/>
              <w:right w:color="000000" w:sz="4" w:val="single"/>
            </w:tcBorders>
            <w:shd w:fill="auto" w:val="clear"/>
            <w:vAlign w:val="center"/>
          </w:tcPr>
          <w:p w14:paraId="6D0C0000">
            <w:pPr>
              <w:widowControl w:val="1"/>
              <w:ind w:firstLine="30"/>
              <w:contextualSpacing w:val="1"/>
              <w:jc w:val="center"/>
              <w:rPr>
                <w:i w:val="1"/>
                <w:color w:val="000000"/>
              </w:rPr>
            </w:pPr>
            <w:r>
              <w:rPr>
                <w:i w:val="1"/>
                <w:color w:val="000000"/>
              </w:rPr>
              <w:t>5 870</w:t>
            </w:r>
          </w:p>
        </w:tc>
        <w:tc>
          <w:tcPr>
            <w:tcW w:type="dxa" w:w="992"/>
            <w:tcBorders>
              <w:top w:color="000000" w:sz="4" w:val="single"/>
              <w:left w:color="000000" w:sz="4" w:val="single"/>
              <w:bottom w:color="000000" w:sz="4" w:val="single"/>
              <w:right w:color="000000" w:sz="4" w:val="single"/>
            </w:tcBorders>
            <w:vAlign w:val="center"/>
          </w:tcPr>
          <w:p w14:paraId="6E0C0000">
            <w:pPr>
              <w:widowControl w:val="1"/>
              <w:ind w:firstLine="30"/>
              <w:contextualSpacing w:val="1"/>
              <w:jc w:val="center"/>
              <w:rPr>
                <w:i w:val="1"/>
                <w:color w:val="000000"/>
              </w:rPr>
            </w:pPr>
            <w:r>
              <w:rPr>
                <w:i w:val="1"/>
                <w:color w:val="000000"/>
              </w:rPr>
              <w:t>135</w:t>
            </w:r>
          </w:p>
        </w:tc>
        <w:tc>
          <w:tcPr>
            <w:tcW w:type="dxa" w:w="992"/>
            <w:tcBorders>
              <w:top w:color="000000" w:sz="4" w:val="single"/>
              <w:left w:color="000000" w:sz="4" w:val="single"/>
              <w:bottom w:color="000000" w:sz="4" w:val="single"/>
              <w:right w:color="000000" w:sz="4" w:val="single"/>
            </w:tcBorders>
            <w:vAlign w:val="center"/>
          </w:tcPr>
          <w:p w14:paraId="6F0C0000">
            <w:pPr>
              <w:widowControl w:val="1"/>
              <w:ind w:firstLine="30"/>
              <w:contextualSpacing w:val="1"/>
              <w:jc w:val="center"/>
              <w:rPr>
                <w:i w:val="1"/>
                <w:color w:val="000000"/>
              </w:rPr>
            </w:pPr>
            <w:r>
              <w:rPr>
                <w:i w:val="1"/>
                <w:color w:val="000000"/>
              </w:rPr>
              <w:t>142</w:t>
            </w:r>
          </w:p>
        </w:tc>
      </w:tr>
      <w:tr>
        <w:trPr>
          <w:trHeight w:hRule="atLeast" w:val="128"/>
        </w:trPr>
        <w:tc>
          <w:tcPr>
            <w:tcW w:type="dxa" w:w="576"/>
            <w:tcBorders>
              <w:top w:sz="4" w:val="nil"/>
              <w:left w:color="000000" w:sz="4" w:val="single"/>
              <w:bottom w:color="000000" w:sz="4" w:val="single"/>
              <w:right w:color="000000" w:sz="4" w:val="single"/>
            </w:tcBorders>
            <w:shd w:fill="auto" w:val="clear"/>
            <w:vAlign w:val="center"/>
          </w:tcPr>
          <w:p w14:paraId="700C0000">
            <w:pPr>
              <w:widowControl w:val="1"/>
              <w:ind w:firstLine="709" w:left="-812"/>
              <w:contextualSpacing w:val="1"/>
              <w:jc w:val="center"/>
              <w:rPr>
                <w:b w:val="1"/>
              </w:rPr>
            </w:pPr>
            <w:r>
              <w:rPr>
                <w:b w:val="1"/>
              </w:rPr>
              <w:t>2.</w:t>
            </w:r>
          </w:p>
        </w:tc>
        <w:tc>
          <w:tcPr>
            <w:tcW w:type="dxa" w:w="2406"/>
            <w:tcBorders>
              <w:top w:sz="4" w:val="nil"/>
              <w:left w:sz="4" w:val="nil"/>
              <w:bottom w:color="000000" w:sz="4" w:val="single"/>
              <w:right w:color="000000" w:sz="4" w:val="single"/>
            </w:tcBorders>
            <w:shd w:fill="auto" w:val="clear"/>
            <w:vAlign w:val="center"/>
          </w:tcPr>
          <w:p w14:paraId="710C0000">
            <w:pPr>
              <w:widowControl w:val="1"/>
              <w:ind w:firstLine="30"/>
              <w:contextualSpacing w:val="1"/>
              <w:rPr>
                <w:b w:val="1"/>
              </w:rPr>
            </w:pPr>
            <w:r>
              <w:rPr>
                <w:b w:val="1"/>
              </w:rPr>
              <w:t>Прочие доходы</w:t>
            </w:r>
          </w:p>
        </w:tc>
        <w:tc>
          <w:tcPr>
            <w:tcW w:type="dxa" w:w="1134"/>
            <w:tcBorders>
              <w:top w:color="000000" w:sz="4" w:val="single"/>
              <w:left w:color="000000" w:sz="4" w:val="single"/>
              <w:bottom w:color="000000" w:sz="4" w:val="single"/>
              <w:right w:color="000000" w:sz="4" w:val="single"/>
            </w:tcBorders>
            <w:vAlign w:val="center"/>
          </w:tcPr>
          <w:p w14:paraId="720C0000">
            <w:pPr>
              <w:widowControl w:val="1"/>
              <w:ind w:firstLine="30"/>
              <w:contextualSpacing w:val="1"/>
              <w:jc w:val="center"/>
              <w:rPr>
                <w:b w:val="1"/>
                <w:color w:val="000000"/>
              </w:rPr>
            </w:pPr>
            <w:r>
              <w:rPr>
                <w:b w:val="1"/>
                <w:color w:val="000000"/>
              </w:rPr>
              <w:t>379 619</w:t>
            </w:r>
          </w:p>
        </w:tc>
        <w:tc>
          <w:tcPr>
            <w:tcW w:type="dxa" w:w="1276"/>
            <w:tcBorders>
              <w:top w:color="000000" w:sz="4" w:val="single"/>
              <w:left w:color="000000" w:sz="4" w:val="single"/>
              <w:bottom w:color="000000" w:sz="4" w:val="single"/>
              <w:right w:color="000000" w:sz="4" w:val="single"/>
            </w:tcBorders>
            <w:shd w:fill="auto" w:val="clear"/>
            <w:vAlign w:val="center"/>
          </w:tcPr>
          <w:p w14:paraId="730C0000">
            <w:pPr>
              <w:widowControl w:val="1"/>
              <w:ind w:firstLine="30"/>
              <w:contextualSpacing w:val="1"/>
              <w:jc w:val="center"/>
              <w:rPr>
                <w:b w:val="1"/>
                <w:color w:val="000000"/>
              </w:rPr>
            </w:pPr>
            <w:r>
              <w:rPr>
                <w:b w:val="1"/>
                <w:color w:val="000000"/>
              </w:rPr>
              <w:t>396 307</w:t>
            </w:r>
          </w:p>
        </w:tc>
        <w:tc>
          <w:tcPr>
            <w:tcW w:type="dxa" w:w="1134"/>
            <w:tcBorders>
              <w:top w:color="000000" w:sz="4" w:val="single"/>
              <w:left w:color="000000" w:sz="4" w:val="single"/>
              <w:bottom w:color="000000" w:sz="4" w:val="single"/>
              <w:right w:color="000000" w:sz="4" w:val="single"/>
            </w:tcBorders>
            <w:shd w:fill="auto" w:val="clear"/>
            <w:vAlign w:val="center"/>
          </w:tcPr>
          <w:p w14:paraId="740C0000">
            <w:pPr>
              <w:widowControl w:val="1"/>
              <w:ind w:firstLine="30"/>
              <w:contextualSpacing w:val="1"/>
              <w:jc w:val="center"/>
              <w:rPr>
                <w:b w:val="1"/>
                <w:color w:val="000000"/>
              </w:rPr>
            </w:pPr>
            <w:r>
              <w:rPr>
                <w:b w:val="1"/>
                <w:color w:val="000000"/>
              </w:rPr>
              <w:t>390 872</w:t>
            </w:r>
          </w:p>
        </w:tc>
        <w:tc>
          <w:tcPr>
            <w:tcW w:type="dxa" w:w="1134"/>
            <w:tcBorders>
              <w:top w:color="000000" w:sz="4" w:val="single"/>
              <w:left w:color="000000" w:sz="4" w:val="single"/>
              <w:bottom w:color="000000" w:sz="4" w:val="single"/>
              <w:right w:color="000000" w:sz="4" w:val="single"/>
            </w:tcBorders>
            <w:shd w:fill="auto" w:val="clear"/>
            <w:vAlign w:val="center"/>
          </w:tcPr>
          <w:p w14:paraId="750C0000">
            <w:pPr>
              <w:widowControl w:val="1"/>
              <w:ind w:firstLine="30"/>
              <w:contextualSpacing w:val="1"/>
              <w:jc w:val="center"/>
              <w:rPr>
                <w:b w:val="1"/>
                <w:color w:val="000000"/>
              </w:rPr>
            </w:pPr>
            <w:r>
              <w:rPr>
                <w:b w:val="1"/>
                <w:color w:val="000000"/>
              </w:rPr>
              <w:t>394 396</w:t>
            </w:r>
          </w:p>
        </w:tc>
        <w:tc>
          <w:tcPr>
            <w:tcW w:type="dxa" w:w="992"/>
            <w:tcBorders>
              <w:top w:color="000000" w:sz="4" w:val="single"/>
              <w:left w:color="000000" w:sz="4" w:val="single"/>
              <w:bottom w:color="000000" w:sz="4" w:val="single"/>
              <w:right w:color="000000" w:sz="4" w:val="single"/>
            </w:tcBorders>
            <w:vAlign w:val="center"/>
          </w:tcPr>
          <w:p w14:paraId="760C0000">
            <w:pPr>
              <w:widowControl w:val="1"/>
              <w:ind w:firstLine="30"/>
              <w:contextualSpacing w:val="1"/>
              <w:jc w:val="center"/>
              <w:rPr>
                <w:b w:val="1"/>
                <w:i w:val="1"/>
                <w:color w:val="000000"/>
              </w:rPr>
            </w:pPr>
            <w:r>
              <w:rPr>
                <w:b w:val="1"/>
                <w:i w:val="1"/>
                <w:color w:val="000000"/>
              </w:rPr>
              <w:t>100</w:t>
            </w:r>
          </w:p>
        </w:tc>
        <w:tc>
          <w:tcPr>
            <w:tcW w:type="dxa" w:w="992"/>
            <w:tcBorders>
              <w:top w:color="000000" w:sz="4" w:val="single"/>
              <w:left w:color="000000" w:sz="4" w:val="single"/>
              <w:bottom w:color="000000" w:sz="4" w:val="single"/>
              <w:right w:color="000000" w:sz="4" w:val="single"/>
            </w:tcBorders>
            <w:vAlign w:val="center"/>
          </w:tcPr>
          <w:p w14:paraId="770C0000">
            <w:pPr>
              <w:widowControl w:val="1"/>
              <w:ind w:firstLine="30"/>
              <w:contextualSpacing w:val="1"/>
              <w:jc w:val="center"/>
              <w:rPr>
                <w:b w:val="1"/>
                <w:i w:val="1"/>
                <w:color w:val="000000"/>
              </w:rPr>
            </w:pPr>
            <w:r>
              <w:rPr>
                <w:b w:val="1"/>
                <w:i w:val="1"/>
                <w:color w:val="000000"/>
              </w:rPr>
              <w:t>101</w:t>
            </w:r>
          </w:p>
        </w:tc>
      </w:tr>
      <w:tr>
        <w:trPr>
          <w:trHeight w:hRule="atLeast" w:val="383"/>
        </w:trPr>
        <w:tc>
          <w:tcPr>
            <w:tcW w:type="dxa" w:w="576"/>
            <w:tcBorders>
              <w:top w:sz="4" w:val="nil"/>
              <w:left w:color="000000" w:sz="4" w:val="single"/>
              <w:bottom w:color="000000" w:sz="4" w:val="single"/>
              <w:right w:color="000000" w:sz="4" w:val="single"/>
            </w:tcBorders>
            <w:shd w:fill="auto" w:val="clear"/>
            <w:vAlign w:val="center"/>
          </w:tcPr>
          <w:p w14:paraId="780C0000">
            <w:pPr>
              <w:widowControl w:val="1"/>
              <w:ind w:firstLine="709" w:left="-812"/>
              <w:contextualSpacing w:val="1"/>
              <w:jc w:val="center"/>
              <w:rPr>
                <w:i w:val="1"/>
              </w:rPr>
            </w:pPr>
            <w:r>
              <w:rPr>
                <w:i w:val="1"/>
              </w:rPr>
              <w:t>2.1.</w:t>
            </w:r>
          </w:p>
        </w:tc>
        <w:tc>
          <w:tcPr>
            <w:tcW w:type="dxa" w:w="2406"/>
            <w:tcBorders>
              <w:top w:sz="4" w:val="nil"/>
              <w:left w:sz="4" w:val="nil"/>
              <w:bottom w:color="000000" w:sz="4" w:val="single"/>
              <w:right w:color="000000" w:sz="4" w:val="single"/>
            </w:tcBorders>
            <w:shd w:fill="auto" w:val="clear"/>
            <w:vAlign w:val="center"/>
          </w:tcPr>
          <w:p w14:paraId="790C0000">
            <w:pPr>
              <w:widowControl w:val="1"/>
              <w:ind w:firstLine="30"/>
              <w:contextualSpacing w:val="1"/>
              <w:rPr>
                <w:i w:val="1"/>
              </w:rPr>
            </w:pPr>
            <w:r>
              <w:rPr>
                <w:i w:val="1"/>
              </w:rPr>
              <w:t>Целевые поступления из бюджетов и внебюджетных фондов</w:t>
            </w:r>
          </w:p>
        </w:tc>
        <w:tc>
          <w:tcPr>
            <w:tcW w:type="dxa" w:w="1134"/>
            <w:tcBorders>
              <w:top w:color="000000" w:sz="4" w:val="single"/>
              <w:left w:color="000000" w:sz="4" w:val="single"/>
              <w:bottom w:color="000000" w:sz="4" w:val="single"/>
              <w:right w:color="000000" w:sz="4" w:val="single"/>
            </w:tcBorders>
            <w:vAlign w:val="center"/>
          </w:tcPr>
          <w:p w14:paraId="7A0C0000">
            <w:pPr>
              <w:widowControl w:val="1"/>
              <w:ind w:firstLine="30"/>
              <w:contextualSpacing w:val="1"/>
              <w:jc w:val="center"/>
              <w:rPr>
                <w:i w:val="1"/>
                <w:color w:val="000000"/>
              </w:rPr>
            </w:pPr>
            <w:r>
              <w:rPr>
                <w:i w:val="1"/>
                <w:color w:val="000000"/>
              </w:rPr>
              <w:t>373 410</w:t>
            </w:r>
          </w:p>
        </w:tc>
        <w:tc>
          <w:tcPr>
            <w:tcW w:type="dxa" w:w="1276"/>
            <w:tcBorders>
              <w:top w:color="000000" w:sz="4" w:val="single"/>
              <w:left w:color="000000" w:sz="4" w:val="single"/>
              <w:bottom w:color="000000" w:sz="4" w:val="single"/>
              <w:right w:color="000000" w:sz="4" w:val="single"/>
            </w:tcBorders>
            <w:shd w:fill="auto" w:val="clear"/>
            <w:vAlign w:val="center"/>
          </w:tcPr>
          <w:p w14:paraId="7B0C0000">
            <w:pPr>
              <w:widowControl w:val="1"/>
              <w:ind w:firstLine="30"/>
              <w:contextualSpacing w:val="1"/>
              <w:jc w:val="center"/>
              <w:rPr>
                <w:i w:val="1"/>
                <w:color w:val="000000"/>
              </w:rPr>
            </w:pPr>
            <w:r>
              <w:rPr>
                <w:i w:val="1"/>
                <w:color w:val="000000"/>
              </w:rPr>
              <w:t>393 321</w:t>
            </w:r>
          </w:p>
        </w:tc>
        <w:tc>
          <w:tcPr>
            <w:tcW w:type="dxa" w:w="1134"/>
            <w:tcBorders>
              <w:top w:color="000000" w:sz="4" w:val="single"/>
              <w:left w:color="000000" w:sz="4" w:val="single"/>
              <w:bottom w:color="000000" w:sz="4" w:val="single"/>
              <w:right w:color="000000" w:sz="4" w:val="single"/>
            </w:tcBorders>
            <w:shd w:fill="auto" w:val="clear"/>
            <w:vAlign w:val="center"/>
          </w:tcPr>
          <w:p w14:paraId="7C0C0000">
            <w:pPr>
              <w:widowControl w:val="1"/>
              <w:ind w:firstLine="30"/>
              <w:contextualSpacing w:val="1"/>
              <w:jc w:val="center"/>
              <w:rPr>
                <w:i w:val="1"/>
                <w:color w:val="000000"/>
              </w:rPr>
            </w:pPr>
            <w:r>
              <w:rPr>
                <w:i w:val="1"/>
                <w:color w:val="000000"/>
              </w:rPr>
              <w:t>388 821</w:t>
            </w:r>
          </w:p>
        </w:tc>
        <w:tc>
          <w:tcPr>
            <w:tcW w:type="dxa" w:w="1134"/>
            <w:tcBorders>
              <w:top w:color="000000" w:sz="4" w:val="single"/>
              <w:left w:color="000000" w:sz="4" w:val="single"/>
              <w:bottom w:color="000000" w:sz="4" w:val="single"/>
              <w:right w:color="000000" w:sz="4" w:val="single"/>
            </w:tcBorders>
            <w:shd w:fill="auto" w:val="clear"/>
            <w:vAlign w:val="center"/>
          </w:tcPr>
          <w:p w14:paraId="7D0C0000">
            <w:pPr>
              <w:widowControl w:val="1"/>
              <w:ind w:firstLine="30"/>
              <w:contextualSpacing w:val="1"/>
              <w:jc w:val="center"/>
              <w:rPr>
                <w:i w:val="1"/>
                <w:color w:val="000000"/>
              </w:rPr>
            </w:pPr>
            <w:r>
              <w:rPr>
                <w:i w:val="1"/>
                <w:color w:val="000000"/>
              </w:rPr>
              <w:t>391 398</w:t>
            </w:r>
          </w:p>
        </w:tc>
        <w:tc>
          <w:tcPr>
            <w:tcW w:type="dxa" w:w="992"/>
            <w:tcBorders>
              <w:top w:color="000000" w:sz="4" w:val="single"/>
              <w:left w:color="000000" w:sz="4" w:val="single"/>
              <w:bottom w:color="000000" w:sz="4" w:val="single"/>
              <w:right w:color="000000" w:sz="4" w:val="single"/>
            </w:tcBorders>
            <w:vAlign w:val="center"/>
          </w:tcPr>
          <w:p w14:paraId="7E0C0000">
            <w:pPr>
              <w:widowControl w:val="1"/>
              <w:ind w:firstLine="30"/>
              <w:contextualSpacing w:val="1"/>
              <w:jc w:val="center"/>
              <w:rPr>
                <w:i w:val="1"/>
                <w:color w:val="000000"/>
              </w:rPr>
            </w:pPr>
            <w:r>
              <w:rPr>
                <w:i w:val="1"/>
                <w:color w:val="000000"/>
              </w:rPr>
              <w:t>100</w:t>
            </w:r>
          </w:p>
        </w:tc>
        <w:tc>
          <w:tcPr>
            <w:tcW w:type="dxa" w:w="992"/>
            <w:tcBorders>
              <w:top w:color="000000" w:sz="4" w:val="single"/>
              <w:left w:color="000000" w:sz="4" w:val="single"/>
              <w:bottom w:color="000000" w:sz="4" w:val="single"/>
              <w:right w:color="000000" w:sz="4" w:val="single"/>
            </w:tcBorders>
            <w:vAlign w:val="center"/>
          </w:tcPr>
          <w:p w14:paraId="7F0C0000">
            <w:pPr>
              <w:widowControl w:val="1"/>
              <w:ind w:firstLine="30"/>
              <w:contextualSpacing w:val="1"/>
              <w:jc w:val="center"/>
              <w:rPr>
                <w:i w:val="1"/>
                <w:color w:val="000000"/>
              </w:rPr>
            </w:pPr>
            <w:r>
              <w:rPr>
                <w:i w:val="1"/>
                <w:color w:val="000000"/>
              </w:rPr>
              <w:t>101</w:t>
            </w:r>
          </w:p>
        </w:tc>
      </w:tr>
      <w:tr>
        <w:trPr>
          <w:trHeight w:hRule="atLeast" w:val="128"/>
        </w:trPr>
        <w:tc>
          <w:tcPr>
            <w:tcW w:type="dxa" w:w="576"/>
            <w:tcBorders>
              <w:top w:sz="4" w:val="nil"/>
              <w:left w:color="000000" w:sz="4" w:val="single"/>
              <w:bottom w:color="000000" w:sz="4" w:val="single"/>
              <w:right w:color="000000" w:sz="4" w:val="single"/>
            </w:tcBorders>
            <w:shd w:fill="auto" w:val="clear"/>
            <w:vAlign w:val="center"/>
          </w:tcPr>
          <w:p w14:paraId="800C0000">
            <w:pPr>
              <w:widowControl w:val="1"/>
              <w:ind w:firstLine="709" w:left="-812"/>
              <w:contextualSpacing w:val="1"/>
              <w:jc w:val="center"/>
              <w:rPr>
                <w:i w:val="1"/>
              </w:rPr>
            </w:pPr>
            <w:r>
              <w:rPr>
                <w:i w:val="1"/>
              </w:rPr>
              <w:t>2.2.</w:t>
            </w:r>
          </w:p>
        </w:tc>
        <w:tc>
          <w:tcPr>
            <w:tcW w:type="dxa" w:w="2406"/>
            <w:tcBorders>
              <w:top w:sz="4" w:val="nil"/>
              <w:left w:sz="4" w:val="nil"/>
              <w:bottom w:color="000000" w:sz="4" w:val="single"/>
              <w:right w:color="000000" w:sz="4" w:val="single"/>
            </w:tcBorders>
            <w:shd w:fill="auto" w:val="clear"/>
            <w:vAlign w:val="center"/>
          </w:tcPr>
          <w:p w14:paraId="810C0000">
            <w:pPr>
              <w:widowControl w:val="1"/>
              <w:ind w:firstLine="30"/>
              <w:contextualSpacing w:val="1"/>
              <w:rPr>
                <w:i w:val="1"/>
              </w:rPr>
            </w:pPr>
            <w:r>
              <w:rPr>
                <w:i w:val="1"/>
              </w:rPr>
              <w:t>Прочие доходы</w:t>
            </w:r>
          </w:p>
        </w:tc>
        <w:tc>
          <w:tcPr>
            <w:tcW w:type="dxa" w:w="1134"/>
            <w:tcBorders>
              <w:top w:color="000000" w:sz="4" w:val="single"/>
              <w:left w:color="000000" w:sz="4" w:val="single"/>
              <w:bottom w:color="000000" w:sz="4" w:val="single"/>
              <w:right w:color="000000" w:sz="4" w:val="single"/>
            </w:tcBorders>
            <w:vAlign w:val="center"/>
          </w:tcPr>
          <w:p w14:paraId="820C0000">
            <w:pPr>
              <w:widowControl w:val="1"/>
              <w:ind w:firstLine="30"/>
              <w:contextualSpacing w:val="1"/>
              <w:jc w:val="center"/>
              <w:rPr>
                <w:i w:val="1"/>
                <w:color w:val="000000"/>
              </w:rPr>
            </w:pPr>
            <w:r>
              <w:rPr>
                <w:i w:val="1"/>
                <w:color w:val="000000"/>
              </w:rPr>
              <w:t>6 210</w:t>
            </w:r>
          </w:p>
        </w:tc>
        <w:tc>
          <w:tcPr>
            <w:tcW w:type="dxa" w:w="1276"/>
            <w:tcBorders>
              <w:top w:color="000000" w:sz="4" w:val="single"/>
              <w:left w:color="000000" w:sz="4" w:val="single"/>
              <w:bottom w:color="000000" w:sz="4" w:val="single"/>
              <w:right w:color="000000" w:sz="4" w:val="single"/>
            </w:tcBorders>
            <w:shd w:fill="auto" w:val="clear"/>
            <w:vAlign w:val="center"/>
          </w:tcPr>
          <w:p w14:paraId="830C0000">
            <w:pPr>
              <w:widowControl w:val="1"/>
              <w:ind w:firstLine="30"/>
              <w:contextualSpacing w:val="1"/>
              <w:jc w:val="center"/>
              <w:rPr>
                <w:i w:val="1"/>
                <w:color w:val="000000"/>
              </w:rPr>
            </w:pPr>
            <w:r>
              <w:rPr>
                <w:i w:val="1"/>
                <w:color w:val="000000"/>
              </w:rPr>
              <w:t>2 985</w:t>
            </w:r>
          </w:p>
        </w:tc>
        <w:tc>
          <w:tcPr>
            <w:tcW w:type="dxa" w:w="1134"/>
            <w:tcBorders>
              <w:top w:color="000000" w:sz="4" w:val="single"/>
              <w:left w:color="000000" w:sz="4" w:val="single"/>
              <w:bottom w:color="000000" w:sz="4" w:val="single"/>
              <w:right w:color="000000" w:sz="4" w:val="single"/>
            </w:tcBorders>
            <w:shd w:fill="auto" w:val="clear"/>
            <w:vAlign w:val="center"/>
          </w:tcPr>
          <w:p w14:paraId="840C0000">
            <w:pPr>
              <w:widowControl w:val="1"/>
              <w:ind w:firstLine="30"/>
              <w:contextualSpacing w:val="1"/>
              <w:jc w:val="center"/>
              <w:rPr>
                <w:i w:val="1"/>
                <w:color w:val="000000"/>
              </w:rPr>
            </w:pPr>
            <w:r>
              <w:rPr>
                <w:i w:val="1"/>
                <w:color w:val="000000"/>
              </w:rPr>
              <w:t>2 051</w:t>
            </w:r>
          </w:p>
        </w:tc>
        <w:tc>
          <w:tcPr>
            <w:tcW w:type="dxa" w:w="1134"/>
            <w:tcBorders>
              <w:top w:color="000000" w:sz="4" w:val="single"/>
              <w:left w:color="000000" w:sz="4" w:val="single"/>
              <w:bottom w:color="000000" w:sz="4" w:val="single"/>
              <w:right w:color="000000" w:sz="4" w:val="single"/>
            </w:tcBorders>
            <w:shd w:fill="auto" w:val="clear"/>
            <w:vAlign w:val="center"/>
          </w:tcPr>
          <w:p w14:paraId="850C0000">
            <w:pPr>
              <w:widowControl w:val="1"/>
              <w:ind w:firstLine="30"/>
              <w:contextualSpacing w:val="1"/>
              <w:jc w:val="center"/>
              <w:rPr>
                <w:i w:val="1"/>
                <w:color w:val="000000"/>
              </w:rPr>
            </w:pPr>
            <w:r>
              <w:rPr>
                <w:i w:val="1"/>
                <w:color w:val="000000"/>
              </w:rPr>
              <w:t>2 998</w:t>
            </w:r>
          </w:p>
        </w:tc>
        <w:tc>
          <w:tcPr>
            <w:tcW w:type="dxa" w:w="992"/>
            <w:tcBorders>
              <w:top w:color="000000" w:sz="4" w:val="single"/>
              <w:left w:color="000000" w:sz="4" w:val="single"/>
              <w:bottom w:color="000000" w:sz="4" w:val="single"/>
              <w:right w:color="000000" w:sz="4" w:val="single"/>
            </w:tcBorders>
            <w:vAlign w:val="center"/>
          </w:tcPr>
          <w:p w14:paraId="860C0000">
            <w:pPr>
              <w:widowControl w:val="1"/>
              <w:ind w:firstLine="30"/>
              <w:contextualSpacing w:val="1"/>
              <w:jc w:val="center"/>
              <w:rPr>
                <w:i w:val="1"/>
                <w:color w:val="000000"/>
              </w:rPr>
            </w:pPr>
            <w:r>
              <w:rPr>
                <w:i w:val="1"/>
                <w:color w:val="000000"/>
              </w:rPr>
              <w:t>100</w:t>
            </w:r>
          </w:p>
        </w:tc>
        <w:tc>
          <w:tcPr>
            <w:tcW w:type="dxa" w:w="992"/>
            <w:tcBorders>
              <w:top w:color="000000" w:sz="4" w:val="single"/>
              <w:left w:color="000000" w:sz="4" w:val="single"/>
              <w:bottom w:color="000000" w:sz="4" w:val="single"/>
              <w:right w:color="000000" w:sz="4" w:val="single"/>
            </w:tcBorders>
            <w:vAlign w:val="center"/>
          </w:tcPr>
          <w:p w14:paraId="870C0000">
            <w:pPr>
              <w:widowControl w:val="1"/>
              <w:ind w:firstLine="30"/>
              <w:contextualSpacing w:val="1"/>
              <w:jc w:val="center"/>
              <w:rPr>
                <w:i w:val="1"/>
                <w:color w:val="000000"/>
              </w:rPr>
            </w:pPr>
            <w:r>
              <w:rPr>
                <w:i w:val="1"/>
                <w:color w:val="000000"/>
              </w:rPr>
              <w:t>146</w:t>
            </w:r>
          </w:p>
        </w:tc>
      </w:tr>
      <w:tr>
        <w:trPr>
          <w:trHeight w:hRule="atLeast" w:val="128"/>
        </w:trPr>
        <w:tc>
          <w:tcPr>
            <w:tcW w:type="dxa" w:w="576"/>
            <w:tcBorders>
              <w:top w:sz="4" w:val="nil"/>
              <w:left w:color="000000" w:sz="4" w:val="single"/>
              <w:bottom w:color="000000" w:sz="4" w:val="single"/>
              <w:right w:color="000000" w:sz="4" w:val="single"/>
            </w:tcBorders>
            <w:shd w:fill="auto" w:val="clear"/>
            <w:vAlign w:val="center"/>
          </w:tcPr>
          <w:p w14:paraId="880C0000">
            <w:pPr>
              <w:widowControl w:val="1"/>
              <w:ind w:firstLine="709" w:left="-812"/>
              <w:contextualSpacing w:val="1"/>
              <w:jc w:val="center"/>
              <w:rPr>
                <w:b w:val="1"/>
              </w:rPr>
            </w:pPr>
            <w:r>
              <w:rPr>
                <w:b w:val="1"/>
              </w:rPr>
              <w:t>3</w:t>
            </w:r>
          </w:p>
        </w:tc>
        <w:tc>
          <w:tcPr>
            <w:tcW w:type="dxa" w:w="2406"/>
            <w:tcBorders>
              <w:top w:sz="4" w:val="nil"/>
              <w:left w:sz="4" w:val="nil"/>
              <w:bottom w:color="000000" w:sz="4" w:val="single"/>
              <w:right w:color="000000" w:sz="4" w:val="single"/>
            </w:tcBorders>
            <w:shd w:fill="auto" w:val="clear"/>
            <w:vAlign w:val="center"/>
          </w:tcPr>
          <w:p w14:paraId="890C0000">
            <w:pPr>
              <w:widowControl w:val="1"/>
              <w:ind w:firstLine="30"/>
              <w:contextualSpacing w:val="1"/>
              <w:rPr>
                <w:b w:val="1"/>
              </w:rPr>
            </w:pPr>
            <w:r>
              <w:rPr>
                <w:b w:val="1"/>
              </w:rPr>
              <w:t>ИТОГО ДОХОДЫ</w:t>
            </w:r>
          </w:p>
        </w:tc>
        <w:tc>
          <w:tcPr>
            <w:tcW w:type="dxa" w:w="1134"/>
            <w:tcBorders>
              <w:top w:color="000000" w:sz="4" w:val="single"/>
              <w:left w:color="000000" w:sz="4" w:val="single"/>
              <w:bottom w:color="000000" w:sz="4" w:val="single"/>
              <w:right w:color="000000" w:sz="4" w:val="single"/>
            </w:tcBorders>
            <w:vAlign w:val="center"/>
          </w:tcPr>
          <w:p w14:paraId="8A0C0000">
            <w:pPr>
              <w:widowControl w:val="1"/>
              <w:ind w:firstLine="30"/>
              <w:contextualSpacing w:val="1"/>
              <w:jc w:val="center"/>
              <w:rPr>
                <w:b w:val="1"/>
                <w:color w:val="000000"/>
              </w:rPr>
            </w:pPr>
            <w:r>
              <w:rPr>
                <w:b w:val="1"/>
                <w:color w:val="000000"/>
              </w:rPr>
              <w:t>698 105</w:t>
            </w:r>
          </w:p>
        </w:tc>
        <w:tc>
          <w:tcPr>
            <w:tcW w:type="dxa" w:w="1276"/>
            <w:tcBorders>
              <w:top w:color="000000" w:sz="4" w:val="single"/>
              <w:left w:color="000000" w:sz="4" w:val="single"/>
              <w:bottom w:color="000000" w:sz="4" w:val="single"/>
              <w:right w:color="000000" w:sz="4" w:val="single"/>
            </w:tcBorders>
            <w:shd w:fill="auto" w:val="clear"/>
            <w:vAlign w:val="center"/>
          </w:tcPr>
          <w:p w14:paraId="8B0C0000">
            <w:pPr>
              <w:widowControl w:val="1"/>
              <w:ind w:firstLine="30"/>
              <w:contextualSpacing w:val="1"/>
              <w:jc w:val="center"/>
              <w:rPr>
                <w:b w:val="1"/>
                <w:color w:val="000000"/>
              </w:rPr>
            </w:pPr>
            <w:r>
              <w:rPr>
                <w:b w:val="1"/>
                <w:color w:val="000000"/>
              </w:rPr>
              <w:t>722</w:t>
            </w:r>
            <w:r>
              <w:rPr>
                <w:b w:val="1"/>
                <w:color w:val="000000"/>
              </w:rPr>
              <w:t xml:space="preserve"> 944</w:t>
            </w:r>
          </w:p>
        </w:tc>
        <w:tc>
          <w:tcPr>
            <w:tcW w:type="dxa" w:w="1134"/>
            <w:tcBorders>
              <w:top w:color="000000" w:sz="4" w:val="single"/>
              <w:left w:color="000000" w:sz="4" w:val="single"/>
              <w:bottom w:color="000000" w:sz="4" w:val="single"/>
              <w:right w:color="000000" w:sz="4" w:val="single"/>
            </w:tcBorders>
            <w:shd w:fill="auto" w:val="clear"/>
            <w:vAlign w:val="center"/>
          </w:tcPr>
          <w:p w14:paraId="8C0C0000">
            <w:pPr>
              <w:widowControl w:val="1"/>
              <w:ind w:firstLine="30"/>
              <w:contextualSpacing w:val="1"/>
              <w:jc w:val="center"/>
              <w:rPr>
                <w:b w:val="1"/>
                <w:color w:val="000000"/>
              </w:rPr>
            </w:pPr>
            <w:r>
              <w:rPr>
                <w:b w:val="1"/>
                <w:color w:val="000000"/>
              </w:rPr>
              <w:t>726 661</w:t>
            </w:r>
          </w:p>
        </w:tc>
        <w:tc>
          <w:tcPr>
            <w:tcW w:type="dxa" w:w="1134"/>
            <w:tcBorders>
              <w:top w:color="000000" w:sz="4" w:val="single"/>
              <w:left w:color="000000" w:sz="4" w:val="single"/>
              <w:bottom w:color="000000" w:sz="4" w:val="single"/>
              <w:right w:color="000000" w:sz="4" w:val="single"/>
            </w:tcBorders>
            <w:shd w:fill="auto" w:val="clear"/>
            <w:vAlign w:val="center"/>
          </w:tcPr>
          <w:p w14:paraId="8D0C0000">
            <w:pPr>
              <w:widowControl w:val="1"/>
              <w:ind w:firstLine="30"/>
              <w:contextualSpacing w:val="1"/>
              <w:jc w:val="center"/>
              <w:rPr>
                <w:b w:val="1"/>
                <w:color w:val="000000"/>
              </w:rPr>
            </w:pPr>
            <w:r>
              <w:rPr>
                <w:b w:val="1"/>
                <w:color w:val="000000"/>
              </w:rPr>
              <w:t>729 505</w:t>
            </w:r>
          </w:p>
        </w:tc>
        <w:tc>
          <w:tcPr>
            <w:tcW w:type="dxa" w:w="992"/>
            <w:tcBorders>
              <w:top w:color="000000" w:sz="4" w:val="single"/>
              <w:left w:color="000000" w:sz="4" w:val="single"/>
              <w:bottom w:color="000000" w:sz="4" w:val="single"/>
              <w:right w:color="000000" w:sz="4" w:val="single"/>
            </w:tcBorders>
            <w:vAlign w:val="center"/>
          </w:tcPr>
          <w:p w14:paraId="8E0C0000">
            <w:pPr>
              <w:widowControl w:val="1"/>
              <w:ind w:firstLine="30"/>
              <w:contextualSpacing w:val="1"/>
              <w:jc w:val="center"/>
              <w:rPr>
                <w:b w:val="1"/>
                <w:i w:val="1"/>
                <w:color w:val="000000"/>
              </w:rPr>
            </w:pPr>
            <w:r>
              <w:rPr>
                <w:b w:val="1"/>
                <w:i w:val="1"/>
                <w:color w:val="000000"/>
              </w:rPr>
              <w:t>101</w:t>
            </w:r>
          </w:p>
        </w:tc>
        <w:tc>
          <w:tcPr>
            <w:tcW w:type="dxa" w:w="992"/>
            <w:tcBorders>
              <w:top w:color="000000" w:sz="4" w:val="single"/>
              <w:left w:color="000000" w:sz="4" w:val="single"/>
              <w:bottom w:color="000000" w:sz="4" w:val="single"/>
              <w:right w:color="000000" w:sz="4" w:val="single"/>
            </w:tcBorders>
            <w:vAlign w:val="center"/>
          </w:tcPr>
          <w:p w14:paraId="8F0C0000">
            <w:pPr>
              <w:widowControl w:val="1"/>
              <w:ind w:firstLine="30"/>
              <w:contextualSpacing w:val="1"/>
              <w:jc w:val="center"/>
              <w:rPr>
                <w:b w:val="1"/>
                <w:i w:val="1"/>
                <w:color w:val="000000"/>
              </w:rPr>
            </w:pPr>
            <w:r>
              <w:rPr>
                <w:b w:val="1"/>
                <w:i w:val="1"/>
                <w:color w:val="000000"/>
              </w:rPr>
              <w:t>100</w:t>
            </w:r>
          </w:p>
        </w:tc>
      </w:tr>
      <w:tr>
        <w:trPr>
          <w:trHeight w:hRule="atLeast" w:val="128"/>
        </w:trPr>
        <w:tc>
          <w:tcPr>
            <w:tcW w:type="dxa" w:w="576"/>
            <w:tcBorders>
              <w:top w:sz="4" w:val="nil"/>
              <w:left w:color="000000" w:sz="4" w:val="single"/>
              <w:bottom w:color="000000" w:sz="4" w:val="single"/>
              <w:right w:color="000000" w:sz="4" w:val="single"/>
            </w:tcBorders>
            <w:shd w:fill="auto" w:val="clear"/>
            <w:vAlign w:val="center"/>
          </w:tcPr>
          <w:p w14:paraId="900C0000">
            <w:pPr>
              <w:widowControl w:val="1"/>
              <w:ind w:firstLine="709" w:left="-812"/>
              <w:contextualSpacing w:val="1"/>
              <w:jc w:val="center"/>
              <w:rPr>
                <w:b w:val="1"/>
              </w:rPr>
            </w:pPr>
            <w:r>
              <w:rPr>
                <w:b w:val="1"/>
              </w:rPr>
              <w:t>4</w:t>
            </w:r>
          </w:p>
        </w:tc>
        <w:tc>
          <w:tcPr>
            <w:tcW w:type="dxa" w:w="2406"/>
            <w:tcBorders>
              <w:top w:sz="4" w:val="nil"/>
              <w:left w:sz="4" w:val="nil"/>
              <w:bottom w:color="000000" w:sz="4" w:val="single"/>
              <w:right w:color="000000" w:sz="4" w:val="single"/>
            </w:tcBorders>
            <w:shd w:fill="auto" w:val="clear"/>
            <w:vAlign w:val="center"/>
          </w:tcPr>
          <w:p w14:paraId="910C0000">
            <w:pPr>
              <w:widowControl w:val="1"/>
              <w:ind w:firstLine="30"/>
              <w:contextualSpacing w:val="1"/>
              <w:rPr>
                <w:b w:val="1"/>
              </w:rPr>
            </w:pPr>
            <w:r>
              <w:rPr>
                <w:b w:val="1"/>
              </w:rPr>
              <w:t>Расходы от реализации</w:t>
            </w:r>
          </w:p>
        </w:tc>
        <w:tc>
          <w:tcPr>
            <w:tcW w:type="dxa" w:w="1134"/>
            <w:tcBorders>
              <w:top w:color="000000" w:sz="4" w:val="single"/>
              <w:left w:color="000000" w:sz="4" w:val="single"/>
              <w:bottom w:color="000000" w:sz="4" w:val="single"/>
              <w:right w:color="000000" w:sz="4" w:val="single"/>
            </w:tcBorders>
            <w:vAlign w:val="center"/>
          </w:tcPr>
          <w:p w14:paraId="920C0000">
            <w:pPr>
              <w:widowControl w:val="1"/>
              <w:ind w:firstLine="30"/>
              <w:contextualSpacing w:val="1"/>
              <w:jc w:val="center"/>
              <w:rPr>
                <w:b w:val="1"/>
                <w:color w:val="000000"/>
              </w:rPr>
            </w:pPr>
            <w:r>
              <w:rPr>
                <w:b w:val="1"/>
                <w:color w:val="000000"/>
              </w:rPr>
              <w:t>672 679</w:t>
            </w:r>
          </w:p>
        </w:tc>
        <w:tc>
          <w:tcPr>
            <w:tcW w:type="dxa" w:w="1276"/>
            <w:tcBorders>
              <w:top w:color="000000" w:sz="4" w:val="single"/>
              <w:left w:color="000000" w:sz="4" w:val="single"/>
              <w:bottom w:color="000000" w:sz="4" w:val="single"/>
              <w:right w:color="000000" w:sz="4" w:val="single"/>
            </w:tcBorders>
            <w:shd w:fill="auto" w:val="clear"/>
            <w:vAlign w:val="center"/>
          </w:tcPr>
          <w:p w14:paraId="930C0000">
            <w:pPr>
              <w:widowControl w:val="1"/>
              <w:ind w:firstLine="30"/>
              <w:contextualSpacing w:val="1"/>
              <w:jc w:val="center"/>
              <w:rPr>
                <w:b w:val="1"/>
                <w:color w:val="000000"/>
              </w:rPr>
            </w:pPr>
            <w:r>
              <w:rPr>
                <w:b w:val="1"/>
                <w:color w:val="000000"/>
              </w:rPr>
              <w:t>695 569</w:t>
            </w:r>
          </w:p>
        </w:tc>
        <w:tc>
          <w:tcPr>
            <w:tcW w:type="dxa" w:w="1134"/>
            <w:tcBorders>
              <w:top w:color="000000" w:sz="4" w:val="single"/>
              <w:left w:color="000000" w:sz="4" w:val="single"/>
              <w:bottom w:color="000000" w:sz="4" w:val="single"/>
              <w:right w:color="000000" w:sz="4" w:val="single"/>
            </w:tcBorders>
            <w:shd w:fill="auto" w:val="clear"/>
            <w:vAlign w:val="center"/>
          </w:tcPr>
          <w:p w14:paraId="940C0000">
            <w:pPr>
              <w:widowControl w:val="1"/>
              <w:ind w:firstLine="30"/>
              <w:contextualSpacing w:val="1"/>
              <w:jc w:val="center"/>
              <w:rPr>
                <w:b w:val="1"/>
                <w:color w:val="000000"/>
              </w:rPr>
            </w:pPr>
            <w:r>
              <w:rPr>
                <w:b w:val="1"/>
                <w:color w:val="000000"/>
              </w:rPr>
              <w:t>714 432</w:t>
            </w:r>
          </w:p>
        </w:tc>
        <w:tc>
          <w:tcPr>
            <w:tcW w:type="dxa" w:w="1134"/>
            <w:tcBorders>
              <w:top w:color="000000" w:sz="4" w:val="single"/>
              <w:left w:color="000000" w:sz="4" w:val="single"/>
              <w:bottom w:color="000000" w:sz="4" w:val="single"/>
              <w:right w:color="000000" w:sz="4" w:val="single"/>
            </w:tcBorders>
            <w:shd w:fill="auto" w:val="clear"/>
            <w:vAlign w:val="center"/>
          </w:tcPr>
          <w:p w14:paraId="950C0000">
            <w:pPr>
              <w:widowControl w:val="1"/>
              <w:ind w:firstLine="30"/>
              <w:contextualSpacing w:val="1"/>
              <w:jc w:val="center"/>
              <w:rPr>
                <w:b w:val="1"/>
                <w:color w:val="000000"/>
              </w:rPr>
            </w:pPr>
            <w:r>
              <w:rPr>
                <w:b w:val="1"/>
                <w:color w:val="000000"/>
              </w:rPr>
              <w:t>721 586</w:t>
            </w:r>
          </w:p>
        </w:tc>
        <w:tc>
          <w:tcPr>
            <w:tcW w:type="dxa" w:w="992"/>
            <w:tcBorders>
              <w:top w:color="000000" w:sz="4" w:val="single"/>
              <w:left w:color="000000" w:sz="4" w:val="single"/>
              <w:bottom w:color="000000" w:sz="4" w:val="single"/>
              <w:right w:color="000000" w:sz="4" w:val="single"/>
            </w:tcBorders>
            <w:vAlign w:val="center"/>
          </w:tcPr>
          <w:p w14:paraId="960C0000">
            <w:pPr>
              <w:widowControl w:val="1"/>
              <w:ind w:firstLine="30"/>
              <w:contextualSpacing w:val="1"/>
              <w:jc w:val="center"/>
              <w:rPr>
                <w:b w:val="1"/>
                <w:i w:val="1"/>
                <w:color w:val="000000"/>
              </w:rPr>
            </w:pPr>
            <w:r>
              <w:rPr>
                <w:b w:val="1"/>
                <w:i w:val="1"/>
                <w:color w:val="000000"/>
              </w:rPr>
              <w:t>104</w:t>
            </w:r>
          </w:p>
        </w:tc>
        <w:tc>
          <w:tcPr>
            <w:tcW w:type="dxa" w:w="992"/>
            <w:tcBorders>
              <w:top w:color="000000" w:sz="4" w:val="single"/>
              <w:left w:color="000000" w:sz="4" w:val="single"/>
              <w:bottom w:color="000000" w:sz="4" w:val="single"/>
              <w:right w:color="000000" w:sz="4" w:val="single"/>
            </w:tcBorders>
            <w:vAlign w:val="center"/>
          </w:tcPr>
          <w:p w14:paraId="970C0000">
            <w:pPr>
              <w:widowControl w:val="1"/>
              <w:ind w:firstLine="30"/>
              <w:contextualSpacing w:val="1"/>
              <w:jc w:val="center"/>
              <w:rPr>
                <w:b w:val="1"/>
                <w:i w:val="1"/>
                <w:color w:val="000000"/>
              </w:rPr>
            </w:pPr>
            <w:r>
              <w:rPr>
                <w:b w:val="1"/>
                <w:i w:val="1"/>
                <w:color w:val="000000"/>
              </w:rPr>
              <w:t>101</w:t>
            </w:r>
          </w:p>
        </w:tc>
      </w:tr>
      <w:tr>
        <w:trPr>
          <w:trHeight w:hRule="atLeast" w:val="383"/>
        </w:trPr>
        <w:tc>
          <w:tcPr>
            <w:tcW w:type="dxa" w:w="576"/>
            <w:tcBorders>
              <w:top w:sz="4" w:val="nil"/>
              <w:left w:color="000000" w:sz="4" w:val="single"/>
              <w:bottom w:color="000000" w:sz="4" w:val="single"/>
              <w:right w:color="000000" w:sz="4" w:val="single"/>
            </w:tcBorders>
            <w:shd w:fill="auto" w:val="clear"/>
            <w:vAlign w:val="center"/>
          </w:tcPr>
          <w:p w14:paraId="980C0000">
            <w:pPr>
              <w:widowControl w:val="1"/>
              <w:ind w:firstLine="709" w:left="-812"/>
              <w:contextualSpacing w:val="1"/>
              <w:jc w:val="center"/>
              <w:rPr>
                <w:i w:val="1"/>
              </w:rPr>
            </w:pPr>
            <w:r>
              <w:rPr>
                <w:i w:val="1"/>
              </w:rPr>
              <w:t>4.1.</w:t>
            </w:r>
          </w:p>
        </w:tc>
        <w:tc>
          <w:tcPr>
            <w:tcW w:type="dxa" w:w="2406"/>
            <w:tcBorders>
              <w:top w:sz="4" w:val="nil"/>
              <w:left w:sz="4" w:val="nil"/>
              <w:bottom w:color="000000" w:sz="4" w:val="single"/>
              <w:right w:color="000000" w:sz="4" w:val="single"/>
            </w:tcBorders>
            <w:shd w:fill="auto" w:val="clear"/>
            <w:vAlign w:val="center"/>
          </w:tcPr>
          <w:p w14:paraId="990C0000">
            <w:pPr>
              <w:widowControl w:val="1"/>
              <w:ind w:firstLine="30"/>
              <w:contextualSpacing w:val="1"/>
              <w:rPr>
                <w:i w:val="1"/>
              </w:rPr>
            </w:pPr>
            <w:r>
              <w:rPr>
                <w:i w:val="1"/>
              </w:rPr>
              <w:t>Расходы по основной деятельности</w:t>
            </w:r>
          </w:p>
        </w:tc>
        <w:tc>
          <w:tcPr>
            <w:tcW w:type="dxa" w:w="1134"/>
            <w:tcBorders>
              <w:top w:color="000000" w:sz="4" w:val="single"/>
              <w:left w:color="000000" w:sz="4" w:val="single"/>
              <w:bottom w:color="000000" w:sz="4" w:val="single"/>
              <w:right w:color="000000" w:sz="4" w:val="single"/>
            </w:tcBorders>
            <w:vAlign w:val="center"/>
          </w:tcPr>
          <w:p w14:paraId="9A0C0000">
            <w:pPr>
              <w:widowControl w:val="1"/>
              <w:ind w:firstLine="30"/>
              <w:contextualSpacing w:val="1"/>
              <w:jc w:val="center"/>
              <w:rPr>
                <w:i w:val="1"/>
                <w:color w:val="000000"/>
              </w:rPr>
            </w:pPr>
            <w:r>
              <w:rPr>
                <w:i w:val="1"/>
                <w:color w:val="000000"/>
              </w:rPr>
              <w:t>669 442</w:t>
            </w:r>
          </w:p>
        </w:tc>
        <w:tc>
          <w:tcPr>
            <w:tcW w:type="dxa" w:w="1276"/>
            <w:tcBorders>
              <w:top w:color="000000" w:sz="4" w:val="single"/>
              <w:left w:color="000000" w:sz="4" w:val="single"/>
              <w:bottom w:color="000000" w:sz="4" w:val="single"/>
              <w:right w:color="000000" w:sz="4" w:val="single"/>
            </w:tcBorders>
            <w:shd w:fill="auto" w:val="clear"/>
            <w:vAlign w:val="center"/>
          </w:tcPr>
          <w:p w14:paraId="9B0C0000">
            <w:pPr>
              <w:widowControl w:val="1"/>
              <w:ind w:firstLine="30"/>
              <w:contextualSpacing w:val="1"/>
              <w:jc w:val="center"/>
              <w:rPr>
                <w:i w:val="1"/>
                <w:color w:val="000000"/>
              </w:rPr>
            </w:pPr>
            <w:r>
              <w:rPr>
                <w:i w:val="1"/>
                <w:color w:val="000000"/>
              </w:rPr>
              <w:t>691 966</w:t>
            </w:r>
          </w:p>
        </w:tc>
        <w:tc>
          <w:tcPr>
            <w:tcW w:type="dxa" w:w="1134"/>
            <w:tcBorders>
              <w:top w:color="000000" w:sz="4" w:val="single"/>
              <w:left w:color="000000" w:sz="4" w:val="single"/>
              <w:bottom w:color="000000" w:sz="4" w:val="single"/>
              <w:right w:color="000000" w:sz="4" w:val="single"/>
            </w:tcBorders>
            <w:shd w:fill="auto" w:val="clear"/>
            <w:vAlign w:val="center"/>
          </w:tcPr>
          <w:p w14:paraId="9C0C0000">
            <w:pPr>
              <w:widowControl w:val="1"/>
              <w:ind w:firstLine="30"/>
              <w:contextualSpacing w:val="1"/>
              <w:jc w:val="center"/>
              <w:rPr>
                <w:i w:val="1"/>
                <w:color w:val="000000"/>
              </w:rPr>
            </w:pPr>
            <w:r>
              <w:rPr>
                <w:i w:val="1"/>
                <w:color w:val="000000"/>
              </w:rPr>
              <w:t>710 746</w:t>
            </w:r>
          </w:p>
        </w:tc>
        <w:tc>
          <w:tcPr>
            <w:tcW w:type="dxa" w:w="1134"/>
            <w:tcBorders>
              <w:top w:color="000000" w:sz="4" w:val="single"/>
              <w:left w:color="000000" w:sz="4" w:val="single"/>
              <w:bottom w:color="000000" w:sz="4" w:val="single"/>
              <w:right w:color="000000" w:sz="4" w:val="single"/>
            </w:tcBorders>
            <w:shd w:fill="auto" w:val="clear"/>
            <w:vAlign w:val="center"/>
          </w:tcPr>
          <w:p w14:paraId="9D0C0000">
            <w:pPr>
              <w:widowControl w:val="1"/>
              <w:ind w:firstLine="30"/>
              <w:contextualSpacing w:val="1"/>
              <w:jc w:val="center"/>
              <w:rPr>
                <w:i w:val="1"/>
                <w:color w:val="000000"/>
              </w:rPr>
            </w:pPr>
            <w:r>
              <w:rPr>
                <w:i w:val="1"/>
                <w:color w:val="000000"/>
              </w:rPr>
              <w:t>716 071</w:t>
            </w:r>
          </w:p>
        </w:tc>
        <w:tc>
          <w:tcPr>
            <w:tcW w:type="dxa" w:w="992"/>
            <w:tcBorders>
              <w:top w:color="000000" w:sz="4" w:val="single"/>
              <w:left w:color="000000" w:sz="4" w:val="single"/>
              <w:bottom w:color="000000" w:sz="4" w:val="single"/>
              <w:right w:color="000000" w:sz="4" w:val="single"/>
            </w:tcBorders>
            <w:vAlign w:val="center"/>
          </w:tcPr>
          <w:p w14:paraId="9E0C0000">
            <w:pPr>
              <w:widowControl w:val="1"/>
              <w:ind w:firstLine="30"/>
              <w:contextualSpacing w:val="1"/>
              <w:jc w:val="center"/>
              <w:rPr>
                <w:i w:val="1"/>
                <w:color w:val="000000"/>
              </w:rPr>
            </w:pPr>
            <w:r>
              <w:rPr>
                <w:i w:val="1"/>
                <w:color w:val="000000"/>
              </w:rPr>
              <w:t>103</w:t>
            </w:r>
          </w:p>
        </w:tc>
        <w:tc>
          <w:tcPr>
            <w:tcW w:type="dxa" w:w="992"/>
            <w:tcBorders>
              <w:top w:color="000000" w:sz="4" w:val="single"/>
              <w:left w:color="000000" w:sz="4" w:val="single"/>
              <w:bottom w:color="000000" w:sz="4" w:val="single"/>
              <w:right w:color="000000" w:sz="4" w:val="single"/>
            </w:tcBorders>
            <w:vAlign w:val="center"/>
          </w:tcPr>
          <w:p w14:paraId="9F0C0000">
            <w:pPr>
              <w:widowControl w:val="1"/>
              <w:ind w:firstLine="30"/>
              <w:contextualSpacing w:val="1"/>
              <w:jc w:val="center"/>
              <w:rPr>
                <w:i w:val="1"/>
                <w:color w:val="000000"/>
              </w:rPr>
            </w:pPr>
            <w:r>
              <w:rPr>
                <w:i w:val="1"/>
                <w:color w:val="000000"/>
              </w:rPr>
              <w:t>101</w:t>
            </w:r>
          </w:p>
        </w:tc>
      </w:tr>
      <w:tr>
        <w:trPr>
          <w:trHeight w:hRule="atLeast" w:val="310"/>
        </w:trPr>
        <w:tc>
          <w:tcPr>
            <w:tcW w:type="dxa" w:w="576"/>
            <w:tcBorders>
              <w:top w:sz="4" w:val="nil"/>
              <w:left w:color="000000" w:sz="4" w:val="single"/>
              <w:bottom w:color="000000" w:sz="4" w:val="single"/>
              <w:right w:color="000000" w:sz="4" w:val="single"/>
            </w:tcBorders>
            <w:shd w:fill="auto" w:val="clear"/>
            <w:vAlign w:val="center"/>
          </w:tcPr>
          <w:p w14:paraId="A00C0000">
            <w:pPr>
              <w:widowControl w:val="1"/>
              <w:ind w:firstLine="709" w:left="-812"/>
              <w:contextualSpacing w:val="1"/>
              <w:jc w:val="center"/>
              <w:rPr>
                <w:i w:val="1"/>
              </w:rPr>
            </w:pPr>
            <w:r>
              <w:rPr>
                <w:i w:val="1"/>
              </w:rPr>
              <w:t>4.2.</w:t>
            </w:r>
          </w:p>
        </w:tc>
        <w:tc>
          <w:tcPr>
            <w:tcW w:type="dxa" w:w="2406"/>
            <w:tcBorders>
              <w:top w:sz="4" w:val="nil"/>
              <w:left w:sz="4" w:val="nil"/>
              <w:bottom w:color="000000" w:sz="4" w:val="single"/>
              <w:right w:color="000000" w:sz="4" w:val="single"/>
            </w:tcBorders>
            <w:shd w:fill="auto" w:val="clear"/>
            <w:vAlign w:val="center"/>
          </w:tcPr>
          <w:p w14:paraId="A10C0000">
            <w:pPr>
              <w:widowControl w:val="1"/>
              <w:ind w:firstLine="30"/>
              <w:contextualSpacing w:val="1"/>
              <w:rPr>
                <w:i w:val="1"/>
              </w:rPr>
            </w:pPr>
            <w:r>
              <w:rPr>
                <w:i w:val="1"/>
              </w:rPr>
              <w:t>Расходы по прочим видам деятельности</w:t>
            </w:r>
          </w:p>
        </w:tc>
        <w:tc>
          <w:tcPr>
            <w:tcW w:type="dxa" w:w="1134"/>
            <w:tcBorders>
              <w:top w:color="000000" w:sz="4" w:val="single"/>
              <w:left w:color="000000" w:sz="4" w:val="single"/>
              <w:bottom w:color="000000" w:sz="4" w:val="single"/>
              <w:right w:color="000000" w:sz="4" w:val="single"/>
            </w:tcBorders>
            <w:vAlign w:val="center"/>
          </w:tcPr>
          <w:p w14:paraId="A20C0000">
            <w:pPr>
              <w:widowControl w:val="1"/>
              <w:ind w:firstLine="30"/>
              <w:contextualSpacing w:val="1"/>
              <w:jc w:val="center"/>
              <w:rPr>
                <w:i w:val="1"/>
                <w:color w:val="000000"/>
              </w:rPr>
            </w:pPr>
            <w:r>
              <w:rPr>
                <w:i w:val="1"/>
                <w:color w:val="000000"/>
              </w:rPr>
              <w:t>3 236</w:t>
            </w:r>
          </w:p>
        </w:tc>
        <w:tc>
          <w:tcPr>
            <w:tcW w:type="dxa" w:w="1276"/>
            <w:tcBorders>
              <w:top w:color="000000" w:sz="4" w:val="single"/>
              <w:left w:color="000000" w:sz="4" w:val="single"/>
              <w:bottom w:color="000000" w:sz="4" w:val="single"/>
              <w:right w:color="000000" w:sz="4" w:val="single"/>
            </w:tcBorders>
            <w:shd w:fill="auto" w:val="clear"/>
            <w:vAlign w:val="center"/>
          </w:tcPr>
          <w:p w14:paraId="A30C0000">
            <w:pPr>
              <w:widowControl w:val="1"/>
              <w:ind w:firstLine="30"/>
              <w:contextualSpacing w:val="1"/>
              <w:jc w:val="center"/>
              <w:rPr>
                <w:i w:val="1"/>
                <w:color w:val="000000"/>
              </w:rPr>
            </w:pPr>
            <w:r>
              <w:rPr>
                <w:i w:val="1"/>
                <w:color w:val="000000"/>
              </w:rPr>
              <w:t>3 603</w:t>
            </w:r>
          </w:p>
        </w:tc>
        <w:tc>
          <w:tcPr>
            <w:tcW w:type="dxa" w:w="1134"/>
            <w:tcBorders>
              <w:top w:color="000000" w:sz="4" w:val="single"/>
              <w:left w:color="000000" w:sz="4" w:val="single"/>
              <w:bottom w:color="000000" w:sz="4" w:val="single"/>
              <w:right w:color="000000" w:sz="4" w:val="single"/>
            </w:tcBorders>
            <w:shd w:fill="auto" w:val="clear"/>
            <w:vAlign w:val="center"/>
          </w:tcPr>
          <w:p w14:paraId="A40C0000">
            <w:pPr>
              <w:widowControl w:val="1"/>
              <w:ind w:firstLine="30"/>
              <w:contextualSpacing w:val="1"/>
              <w:jc w:val="center"/>
              <w:rPr>
                <w:i w:val="1"/>
                <w:color w:val="000000"/>
              </w:rPr>
            </w:pPr>
            <w:r>
              <w:rPr>
                <w:i w:val="1"/>
                <w:color w:val="000000"/>
              </w:rPr>
              <w:t>3 686</w:t>
            </w:r>
          </w:p>
        </w:tc>
        <w:tc>
          <w:tcPr>
            <w:tcW w:type="dxa" w:w="1134"/>
            <w:tcBorders>
              <w:top w:color="000000" w:sz="4" w:val="single"/>
              <w:left w:color="000000" w:sz="4" w:val="single"/>
              <w:bottom w:color="000000" w:sz="4" w:val="single"/>
              <w:right w:color="000000" w:sz="4" w:val="single"/>
            </w:tcBorders>
            <w:shd w:fill="auto" w:val="clear"/>
            <w:vAlign w:val="center"/>
          </w:tcPr>
          <w:p w14:paraId="A50C0000">
            <w:pPr>
              <w:widowControl w:val="1"/>
              <w:ind w:firstLine="30"/>
              <w:contextualSpacing w:val="1"/>
              <w:jc w:val="center"/>
              <w:rPr>
                <w:i w:val="1"/>
                <w:color w:val="000000"/>
              </w:rPr>
            </w:pPr>
            <w:r>
              <w:rPr>
                <w:i w:val="1"/>
                <w:color w:val="000000"/>
              </w:rPr>
              <w:t>5 515</w:t>
            </w:r>
          </w:p>
        </w:tc>
        <w:tc>
          <w:tcPr>
            <w:tcW w:type="dxa" w:w="992"/>
            <w:tcBorders>
              <w:top w:color="000000" w:sz="4" w:val="single"/>
              <w:left w:color="000000" w:sz="4" w:val="single"/>
              <w:bottom w:color="000000" w:sz="4" w:val="single"/>
              <w:right w:color="000000" w:sz="4" w:val="single"/>
            </w:tcBorders>
            <w:vAlign w:val="center"/>
          </w:tcPr>
          <w:p w14:paraId="A60C0000">
            <w:pPr>
              <w:widowControl w:val="1"/>
              <w:ind w:firstLine="30"/>
              <w:contextualSpacing w:val="1"/>
              <w:jc w:val="center"/>
              <w:rPr>
                <w:i w:val="1"/>
                <w:color w:val="000000"/>
              </w:rPr>
            </w:pPr>
            <w:r>
              <w:rPr>
                <w:i w:val="1"/>
                <w:color w:val="000000"/>
              </w:rPr>
              <w:t>153</w:t>
            </w:r>
          </w:p>
        </w:tc>
        <w:tc>
          <w:tcPr>
            <w:tcW w:type="dxa" w:w="992"/>
            <w:tcBorders>
              <w:top w:color="000000" w:sz="4" w:val="single"/>
              <w:left w:color="000000" w:sz="4" w:val="single"/>
              <w:bottom w:color="000000" w:sz="4" w:val="single"/>
              <w:right w:color="000000" w:sz="4" w:val="single"/>
            </w:tcBorders>
            <w:vAlign w:val="center"/>
          </w:tcPr>
          <w:p w14:paraId="A70C0000">
            <w:pPr>
              <w:widowControl w:val="1"/>
              <w:ind w:firstLine="30"/>
              <w:contextualSpacing w:val="1"/>
              <w:jc w:val="center"/>
              <w:rPr>
                <w:i w:val="1"/>
                <w:color w:val="000000"/>
              </w:rPr>
            </w:pPr>
            <w:r>
              <w:rPr>
                <w:i w:val="1"/>
                <w:color w:val="000000"/>
              </w:rPr>
              <w:t>150</w:t>
            </w:r>
          </w:p>
        </w:tc>
      </w:tr>
      <w:tr>
        <w:trPr>
          <w:trHeight w:hRule="atLeast" w:val="128"/>
        </w:trPr>
        <w:tc>
          <w:tcPr>
            <w:tcW w:type="dxa" w:w="576"/>
            <w:tcBorders>
              <w:top w:sz="4" w:val="nil"/>
              <w:left w:color="000000" w:sz="4" w:val="single"/>
              <w:bottom w:color="000000" w:sz="4" w:val="single"/>
              <w:right w:color="000000" w:sz="4" w:val="single"/>
            </w:tcBorders>
            <w:shd w:fill="auto" w:val="clear"/>
            <w:vAlign w:val="center"/>
          </w:tcPr>
          <w:p w14:paraId="A80C0000">
            <w:pPr>
              <w:widowControl w:val="1"/>
              <w:ind w:firstLine="709" w:left="-812"/>
              <w:contextualSpacing w:val="1"/>
              <w:jc w:val="center"/>
              <w:rPr>
                <w:b w:val="1"/>
              </w:rPr>
            </w:pPr>
            <w:r>
              <w:rPr>
                <w:b w:val="1"/>
              </w:rPr>
              <w:t>5</w:t>
            </w:r>
          </w:p>
        </w:tc>
        <w:tc>
          <w:tcPr>
            <w:tcW w:type="dxa" w:w="2406"/>
            <w:tcBorders>
              <w:top w:sz="4" w:val="nil"/>
              <w:left w:sz="4" w:val="nil"/>
              <w:bottom w:color="000000" w:sz="4" w:val="single"/>
              <w:right w:color="000000" w:sz="4" w:val="single"/>
            </w:tcBorders>
            <w:shd w:fill="auto" w:val="clear"/>
            <w:vAlign w:val="center"/>
          </w:tcPr>
          <w:p w14:paraId="A90C0000">
            <w:pPr>
              <w:widowControl w:val="1"/>
              <w:ind w:firstLine="30"/>
              <w:contextualSpacing w:val="1"/>
              <w:rPr>
                <w:b w:val="1"/>
              </w:rPr>
            </w:pPr>
            <w:r>
              <w:rPr>
                <w:b w:val="1"/>
              </w:rPr>
              <w:t>Прочие расходы</w:t>
            </w:r>
          </w:p>
        </w:tc>
        <w:tc>
          <w:tcPr>
            <w:tcW w:type="dxa" w:w="1134"/>
            <w:tcBorders>
              <w:top w:color="000000" w:sz="4" w:val="single"/>
              <w:left w:color="000000" w:sz="4" w:val="single"/>
              <w:bottom w:color="000000" w:sz="4" w:val="single"/>
              <w:right w:color="000000" w:sz="4" w:val="single"/>
            </w:tcBorders>
            <w:vAlign w:val="center"/>
          </w:tcPr>
          <w:p w14:paraId="AA0C0000">
            <w:pPr>
              <w:widowControl w:val="1"/>
              <w:ind w:firstLine="30"/>
              <w:contextualSpacing w:val="1"/>
              <w:jc w:val="center"/>
              <w:rPr>
                <w:b w:val="1"/>
                <w:color w:val="000000"/>
              </w:rPr>
            </w:pPr>
            <w:r>
              <w:rPr>
                <w:b w:val="1"/>
                <w:color w:val="000000"/>
              </w:rPr>
              <w:t>19 894</w:t>
            </w:r>
          </w:p>
        </w:tc>
        <w:tc>
          <w:tcPr>
            <w:tcW w:type="dxa" w:w="1276"/>
            <w:tcBorders>
              <w:top w:color="000000" w:sz="4" w:val="single"/>
              <w:left w:color="000000" w:sz="4" w:val="single"/>
              <w:bottom w:color="000000" w:sz="4" w:val="single"/>
              <w:right w:color="000000" w:sz="4" w:val="single"/>
            </w:tcBorders>
            <w:shd w:fill="auto" w:val="clear"/>
            <w:vAlign w:val="center"/>
          </w:tcPr>
          <w:p w14:paraId="AB0C0000">
            <w:pPr>
              <w:widowControl w:val="1"/>
              <w:ind w:firstLine="30"/>
              <w:contextualSpacing w:val="1"/>
              <w:jc w:val="center"/>
              <w:rPr>
                <w:b w:val="1"/>
                <w:color w:val="000000"/>
              </w:rPr>
            </w:pPr>
            <w:r>
              <w:rPr>
                <w:b w:val="1"/>
                <w:color w:val="000000"/>
              </w:rPr>
              <w:t>11 954</w:t>
            </w:r>
          </w:p>
        </w:tc>
        <w:tc>
          <w:tcPr>
            <w:tcW w:type="dxa" w:w="1134"/>
            <w:tcBorders>
              <w:top w:color="000000" w:sz="4" w:val="single"/>
              <w:left w:color="000000" w:sz="4" w:val="single"/>
              <w:bottom w:color="000000" w:sz="4" w:val="single"/>
              <w:right w:color="000000" w:sz="4" w:val="single"/>
            </w:tcBorders>
            <w:shd w:fill="auto" w:val="clear"/>
            <w:vAlign w:val="center"/>
          </w:tcPr>
          <w:p w14:paraId="AC0C0000">
            <w:pPr>
              <w:widowControl w:val="1"/>
              <w:ind w:firstLine="30"/>
              <w:contextualSpacing w:val="1"/>
              <w:jc w:val="center"/>
              <w:rPr>
                <w:b w:val="1"/>
                <w:color w:val="000000"/>
              </w:rPr>
            </w:pPr>
            <w:r>
              <w:rPr>
                <w:b w:val="1"/>
                <w:color w:val="000000"/>
              </w:rPr>
              <w:t>11 519</w:t>
            </w:r>
          </w:p>
        </w:tc>
        <w:tc>
          <w:tcPr>
            <w:tcW w:type="dxa" w:w="1134"/>
            <w:tcBorders>
              <w:top w:color="000000" w:sz="4" w:val="single"/>
              <w:left w:color="000000" w:sz="4" w:val="single"/>
              <w:bottom w:color="000000" w:sz="4" w:val="single"/>
              <w:right w:color="000000" w:sz="4" w:val="single"/>
            </w:tcBorders>
            <w:shd w:fill="auto" w:val="clear"/>
            <w:vAlign w:val="center"/>
          </w:tcPr>
          <w:p w14:paraId="AD0C0000">
            <w:pPr>
              <w:widowControl w:val="1"/>
              <w:ind w:firstLine="30"/>
              <w:contextualSpacing w:val="1"/>
              <w:jc w:val="center"/>
              <w:rPr>
                <w:b w:val="1"/>
                <w:color w:val="000000"/>
              </w:rPr>
            </w:pPr>
            <w:r>
              <w:rPr>
                <w:b w:val="1"/>
                <w:color w:val="000000"/>
              </w:rPr>
              <w:t>6 790</w:t>
            </w:r>
          </w:p>
        </w:tc>
        <w:tc>
          <w:tcPr>
            <w:tcW w:type="dxa" w:w="992"/>
            <w:tcBorders>
              <w:top w:color="000000" w:sz="4" w:val="single"/>
              <w:left w:color="000000" w:sz="4" w:val="single"/>
              <w:bottom w:color="000000" w:sz="4" w:val="single"/>
              <w:right w:color="000000" w:sz="4" w:val="single"/>
            </w:tcBorders>
            <w:vAlign w:val="center"/>
          </w:tcPr>
          <w:p w14:paraId="AE0C0000">
            <w:pPr>
              <w:widowControl w:val="1"/>
              <w:ind w:firstLine="30"/>
              <w:contextualSpacing w:val="1"/>
              <w:jc w:val="center"/>
              <w:rPr>
                <w:b w:val="1"/>
                <w:i w:val="1"/>
                <w:color w:val="000000"/>
              </w:rPr>
            </w:pPr>
            <w:r>
              <w:rPr>
                <w:b w:val="1"/>
                <w:i w:val="1"/>
                <w:color w:val="000000"/>
              </w:rPr>
              <w:t>57</w:t>
            </w:r>
          </w:p>
        </w:tc>
        <w:tc>
          <w:tcPr>
            <w:tcW w:type="dxa" w:w="992"/>
            <w:tcBorders>
              <w:top w:color="000000" w:sz="4" w:val="single"/>
              <w:left w:color="000000" w:sz="4" w:val="single"/>
              <w:bottom w:color="000000" w:sz="4" w:val="single"/>
              <w:right w:color="000000" w:sz="4" w:val="single"/>
            </w:tcBorders>
            <w:vAlign w:val="center"/>
          </w:tcPr>
          <w:p w14:paraId="AF0C0000">
            <w:pPr>
              <w:widowControl w:val="1"/>
              <w:ind w:firstLine="30"/>
              <w:contextualSpacing w:val="1"/>
              <w:jc w:val="center"/>
              <w:rPr>
                <w:b w:val="1"/>
                <w:i w:val="1"/>
                <w:color w:val="000000"/>
              </w:rPr>
            </w:pPr>
            <w:r>
              <w:rPr>
                <w:b w:val="1"/>
                <w:i w:val="1"/>
                <w:color w:val="000000"/>
              </w:rPr>
              <w:t>59</w:t>
            </w:r>
          </w:p>
        </w:tc>
      </w:tr>
      <w:tr>
        <w:trPr>
          <w:trHeight w:hRule="atLeast" w:val="128"/>
        </w:trPr>
        <w:tc>
          <w:tcPr>
            <w:tcW w:type="dxa" w:w="576"/>
            <w:tcBorders>
              <w:top w:sz="4" w:val="nil"/>
              <w:left w:color="000000" w:sz="4" w:val="single"/>
              <w:bottom w:color="000000" w:sz="4" w:val="single"/>
              <w:right w:color="000000" w:sz="4" w:val="single"/>
            </w:tcBorders>
            <w:shd w:fill="auto" w:val="clear"/>
            <w:vAlign w:val="center"/>
          </w:tcPr>
          <w:p w14:paraId="B00C0000">
            <w:pPr>
              <w:widowControl w:val="1"/>
              <w:ind w:firstLine="709" w:left="-812"/>
              <w:contextualSpacing w:val="1"/>
              <w:jc w:val="center"/>
              <w:rPr>
                <w:b w:val="1"/>
              </w:rPr>
            </w:pPr>
            <w:r>
              <w:rPr>
                <w:b w:val="1"/>
              </w:rPr>
              <w:t>6</w:t>
            </w:r>
          </w:p>
        </w:tc>
        <w:tc>
          <w:tcPr>
            <w:tcW w:type="dxa" w:w="2406"/>
            <w:tcBorders>
              <w:top w:sz="4" w:val="nil"/>
              <w:left w:sz="4" w:val="nil"/>
              <w:bottom w:color="000000" w:sz="4" w:val="single"/>
              <w:right w:color="000000" w:sz="4" w:val="single"/>
            </w:tcBorders>
            <w:shd w:fill="auto" w:val="clear"/>
            <w:vAlign w:val="center"/>
          </w:tcPr>
          <w:p w14:paraId="B10C0000">
            <w:pPr>
              <w:widowControl w:val="1"/>
              <w:ind w:firstLine="30"/>
              <w:contextualSpacing w:val="1"/>
              <w:rPr>
                <w:b w:val="1"/>
              </w:rPr>
            </w:pPr>
            <w:r>
              <w:rPr>
                <w:b w:val="1"/>
              </w:rPr>
              <w:t>ИТОГО РАСХОДЫ</w:t>
            </w:r>
          </w:p>
        </w:tc>
        <w:tc>
          <w:tcPr>
            <w:tcW w:type="dxa" w:w="1134"/>
            <w:tcBorders>
              <w:top w:color="000000" w:sz="4" w:val="single"/>
              <w:left w:color="000000" w:sz="4" w:val="single"/>
              <w:bottom w:color="000000" w:sz="4" w:val="single"/>
              <w:right w:color="000000" w:sz="4" w:val="single"/>
            </w:tcBorders>
            <w:vAlign w:val="center"/>
          </w:tcPr>
          <w:p w14:paraId="B20C0000">
            <w:pPr>
              <w:widowControl w:val="1"/>
              <w:ind w:firstLine="30"/>
              <w:contextualSpacing w:val="1"/>
              <w:jc w:val="center"/>
              <w:rPr>
                <w:b w:val="1"/>
                <w:color w:val="000000"/>
              </w:rPr>
            </w:pPr>
            <w:r>
              <w:rPr>
                <w:b w:val="1"/>
                <w:color w:val="000000"/>
              </w:rPr>
              <w:t>692 573</w:t>
            </w:r>
          </w:p>
        </w:tc>
        <w:tc>
          <w:tcPr>
            <w:tcW w:type="dxa" w:w="1276"/>
            <w:tcBorders>
              <w:top w:color="000000" w:sz="4" w:val="single"/>
              <w:left w:color="000000" w:sz="4" w:val="single"/>
              <w:bottom w:color="000000" w:sz="4" w:val="single"/>
              <w:right w:color="000000" w:sz="4" w:val="single"/>
            </w:tcBorders>
            <w:shd w:fill="auto" w:val="clear"/>
            <w:vAlign w:val="center"/>
          </w:tcPr>
          <w:p w14:paraId="B30C0000">
            <w:pPr>
              <w:widowControl w:val="1"/>
              <w:ind w:firstLine="30"/>
              <w:contextualSpacing w:val="1"/>
              <w:jc w:val="center"/>
              <w:rPr>
                <w:b w:val="1"/>
                <w:color w:val="000000"/>
              </w:rPr>
            </w:pPr>
            <w:r>
              <w:rPr>
                <w:b w:val="1"/>
                <w:color w:val="000000"/>
              </w:rPr>
              <w:t>707 523</w:t>
            </w:r>
          </w:p>
        </w:tc>
        <w:tc>
          <w:tcPr>
            <w:tcW w:type="dxa" w:w="1134"/>
            <w:tcBorders>
              <w:top w:color="000000" w:sz="4" w:val="single"/>
              <w:left w:color="000000" w:sz="4" w:val="single"/>
              <w:bottom w:color="000000" w:sz="4" w:val="single"/>
              <w:right w:color="000000" w:sz="4" w:val="single"/>
            </w:tcBorders>
            <w:shd w:fill="auto" w:val="clear"/>
            <w:vAlign w:val="center"/>
          </w:tcPr>
          <w:p w14:paraId="B40C0000">
            <w:pPr>
              <w:widowControl w:val="1"/>
              <w:ind w:firstLine="30"/>
              <w:contextualSpacing w:val="1"/>
              <w:jc w:val="center"/>
              <w:rPr>
                <w:b w:val="1"/>
                <w:color w:val="000000"/>
              </w:rPr>
            </w:pPr>
            <w:r>
              <w:rPr>
                <w:b w:val="1"/>
                <w:color w:val="000000"/>
              </w:rPr>
              <w:t>725 951</w:t>
            </w:r>
          </w:p>
        </w:tc>
        <w:tc>
          <w:tcPr>
            <w:tcW w:type="dxa" w:w="1134"/>
            <w:tcBorders>
              <w:top w:color="000000" w:sz="4" w:val="single"/>
              <w:left w:color="000000" w:sz="4" w:val="single"/>
              <w:bottom w:color="000000" w:sz="4" w:val="single"/>
              <w:right w:color="000000" w:sz="4" w:val="single"/>
            </w:tcBorders>
            <w:shd w:fill="auto" w:val="clear"/>
            <w:vAlign w:val="center"/>
          </w:tcPr>
          <w:p w14:paraId="B50C0000">
            <w:pPr>
              <w:widowControl w:val="1"/>
              <w:ind w:firstLine="30"/>
              <w:contextualSpacing w:val="1"/>
              <w:jc w:val="center"/>
              <w:rPr>
                <w:b w:val="1"/>
                <w:color w:val="000000"/>
              </w:rPr>
            </w:pPr>
            <w:r>
              <w:rPr>
                <w:b w:val="1"/>
                <w:color w:val="000000"/>
              </w:rPr>
              <w:t>728 376</w:t>
            </w:r>
          </w:p>
        </w:tc>
        <w:tc>
          <w:tcPr>
            <w:tcW w:type="dxa" w:w="992"/>
            <w:tcBorders>
              <w:top w:color="000000" w:sz="4" w:val="single"/>
              <w:left w:color="000000" w:sz="4" w:val="single"/>
              <w:bottom w:color="000000" w:sz="4" w:val="single"/>
              <w:right w:color="000000" w:sz="4" w:val="single"/>
            </w:tcBorders>
            <w:vAlign w:val="center"/>
          </w:tcPr>
          <w:p w14:paraId="B60C0000">
            <w:pPr>
              <w:widowControl w:val="1"/>
              <w:ind w:firstLine="30"/>
              <w:contextualSpacing w:val="1"/>
              <w:jc w:val="center"/>
              <w:rPr>
                <w:b w:val="1"/>
                <w:i w:val="1"/>
                <w:color w:val="000000"/>
              </w:rPr>
            </w:pPr>
            <w:r>
              <w:rPr>
                <w:b w:val="1"/>
                <w:i w:val="1"/>
                <w:color w:val="000000"/>
              </w:rPr>
              <w:t>103</w:t>
            </w:r>
          </w:p>
        </w:tc>
        <w:tc>
          <w:tcPr>
            <w:tcW w:type="dxa" w:w="992"/>
            <w:tcBorders>
              <w:top w:color="000000" w:sz="4" w:val="single"/>
              <w:left w:color="000000" w:sz="4" w:val="single"/>
              <w:bottom w:color="000000" w:sz="4" w:val="single"/>
              <w:right w:color="000000" w:sz="4" w:val="single"/>
            </w:tcBorders>
            <w:vAlign w:val="center"/>
          </w:tcPr>
          <w:p w14:paraId="B70C0000">
            <w:pPr>
              <w:widowControl w:val="1"/>
              <w:ind w:firstLine="30"/>
              <w:contextualSpacing w:val="1"/>
              <w:jc w:val="center"/>
              <w:rPr>
                <w:b w:val="1"/>
                <w:i w:val="1"/>
                <w:color w:val="000000"/>
              </w:rPr>
            </w:pPr>
            <w:r>
              <w:rPr>
                <w:b w:val="1"/>
                <w:i w:val="1"/>
                <w:color w:val="000000"/>
              </w:rPr>
              <w:t>100</w:t>
            </w:r>
          </w:p>
        </w:tc>
      </w:tr>
      <w:tr>
        <w:trPr>
          <w:trHeight w:hRule="atLeast" w:val="256"/>
        </w:trPr>
        <w:tc>
          <w:tcPr>
            <w:tcW w:type="dxa" w:w="576"/>
            <w:tcBorders>
              <w:top w:sz="4" w:val="nil"/>
              <w:left w:color="000000" w:sz="4" w:val="single"/>
              <w:bottom w:color="000000" w:sz="4" w:val="single"/>
              <w:right w:color="000000" w:sz="4" w:val="single"/>
            </w:tcBorders>
            <w:shd w:fill="auto" w:val="clear"/>
            <w:vAlign w:val="center"/>
          </w:tcPr>
          <w:p w14:paraId="B80C0000">
            <w:pPr>
              <w:widowControl w:val="1"/>
              <w:ind w:firstLine="709" w:left="-812"/>
              <w:contextualSpacing w:val="1"/>
              <w:jc w:val="center"/>
              <w:rPr>
                <w:b w:val="1"/>
              </w:rPr>
            </w:pPr>
            <w:r>
              <w:rPr>
                <w:b w:val="1"/>
              </w:rPr>
              <w:t>7</w:t>
            </w:r>
          </w:p>
        </w:tc>
        <w:tc>
          <w:tcPr>
            <w:tcW w:type="dxa" w:w="2406"/>
            <w:tcBorders>
              <w:top w:sz="4" w:val="nil"/>
              <w:left w:sz="4" w:val="nil"/>
              <w:bottom w:color="000000" w:sz="4" w:val="single"/>
              <w:right w:color="000000" w:sz="4" w:val="single"/>
            </w:tcBorders>
            <w:shd w:fill="auto" w:val="clear"/>
            <w:vAlign w:val="center"/>
          </w:tcPr>
          <w:p w14:paraId="B90C0000">
            <w:pPr>
              <w:widowControl w:val="1"/>
              <w:ind w:firstLine="30"/>
              <w:contextualSpacing w:val="1"/>
              <w:rPr>
                <w:b w:val="1"/>
              </w:rPr>
            </w:pPr>
            <w:r>
              <w:rPr>
                <w:b w:val="1"/>
              </w:rPr>
              <w:t>Прибыль до налогообложения</w:t>
            </w:r>
          </w:p>
        </w:tc>
        <w:tc>
          <w:tcPr>
            <w:tcW w:type="dxa" w:w="1134"/>
            <w:tcBorders>
              <w:top w:color="000000" w:sz="4" w:val="single"/>
              <w:left w:color="000000" w:sz="4" w:val="single"/>
              <w:bottom w:color="000000" w:sz="4" w:val="single"/>
              <w:right w:color="000000" w:sz="4" w:val="single"/>
            </w:tcBorders>
            <w:vAlign w:val="center"/>
          </w:tcPr>
          <w:p w14:paraId="BA0C0000">
            <w:pPr>
              <w:widowControl w:val="1"/>
              <w:ind w:firstLine="30"/>
              <w:contextualSpacing w:val="1"/>
              <w:jc w:val="center"/>
              <w:rPr>
                <w:b w:val="1"/>
                <w:color w:val="000000"/>
              </w:rPr>
            </w:pPr>
            <w:r>
              <w:rPr>
                <w:b w:val="1"/>
                <w:color w:val="000000"/>
              </w:rPr>
              <w:t>5 532</w:t>
            </w:r>
          </w:p>
        </w:tc>
        <w:tc>
          <w:tcPr>
            <w:tcW w:type="dxa" w:w="1276"/>
            <w:tcBorders>
              <w:top w:color="000000" w:sz="4" w:val="single"/>
              <w:left w:color="000000" w:sz="4" w:val="single"/>
              <w:bottom w:color="000000" w:sz="4" w:val="single"/>
              <w:right w:color="000000" w:sz="4" w:val="single"/>
            </w:tcBorders>
            <w:shd w:fill="auto" w:val="clear"/>
            <w:vAlign w:val="center"/>
          </w:tcPr>
          <w:p w14:paraId="BB0C0000">
            <w:pPr>
              <w:widowControl w:val="1"/>
              <w:ind w:firstLine="30"/>
              <w:contextualSpacing w:val="1"/>
              <w:jc w:val="center"/>
              <w:rPr>
                <w:b w:val="1"/>
                <w:color w:val="000000"/>
              </w:rPr>
            </w:pPr>
            <w:r>
              <w:rPr>
                <w:b w:val="1"/>
                <w:color w:val="000000"/>
              </w:rPr>
              <w:t>15 421</w:t>
            </w:r>
          </w:p>
        </w:tc>
        <w:tc>
          <w:tcPr>
            <w:tcW w:type="dxa" w:w="1134"/>
            <w:tcBorders>
              <w:top w:color="000000" w:sz="4" w:val="single"/>
              <w:left w:color="000000" w:sz="4" w:val="single"/>
              <w:bottom w:color="000000" w:sz="4" w:val="single"/>
              <w:right w:color="000000" w:sz="4" w:val="single"/>
            </w:tcBorders>
            <w:shd w:fill="auto" w:val="clear"/>
            <w:vAlign w:val="center"/>
          </w:tcPr>
          <w:p w14:paraId="BC0C0000">
            <w:pPr>
              <w:widowControl w:val="1"/>
              <w:ind w:firstLine="30"/>
              <w:contextualSpacing w:val="1"/>
              <w:jc w:val="center"/>
              <w:rPr>
                <w:b w:val="1"/>
                <w:color w:val="000000"/>
              </w:rPr>
            </w:pPr>
            <w:r>
              <w:rPr>
                <w:b w:val="1"/>
                <w:color w:val="000000"/>
              </w:rPr>
              <w:t>711</w:t>
            </w:r>
          </w:p>
        </w:tc>
        <w:tc>
          <w:tcPr>
            <w:tcW w:type="dxa" w:w="1134"/>
            <w:tcBorders>
              <w:top w:color="000000" w:sz="4" w:val="single"/>
              <w:left w:color="000000" w:sz="4" w:val="single"/>
              <w:bottom w:color="000000" w:sz="4" w:val="single"/>
              <w:right w:color="000000" w:sz="4" w:val="single"/>
            </w:tcBorders>
            <w:shd w:fill="auto" w:val="clear"/>
            <w:vAlign w:val="center"/>
          </w:tcPr>
          <w:p w14:paraId="BD0C0000">
            <w:pPr>
              <w:widowControl w:val="1"/>
              <w:ind w:firstLine="30"/>
              <w:contextualSpacing w:val="1"/>
              <w:jc w:val="center"/>
              <w:rPr>
                <w:b w:val="1"/>
                <w:color w:val="000000"/>
              </w:rPr>
            </w:pPr>
            <w:r>
              <w:rPr>
                <w:b w:val="1"/>
                <w:color w:val="000000"/>
              </w:rPr>
              <w:t>1 129</w:t>
            </w:r>
          </w:p>
        </w:tc>
        <w:tc>
          <w:tcPr>
            <w:tcW w:type="dxa" w:w="992"/>
            <w:tcBorders>
              <w:top w:color="000000" w:sz="4" w:val="single"/>
              <w:left w:color="000000" w:sz="4" w:val="single"/>
              <w:bottom w:color="000000" w:sz="4" w:val="single"/>
              <w:right w:color="000000" w:sz="4" w:val="single"/>
            </w:tcBorders>
            <w:vAlign w:val="center"/>
          </w:tcPr>
          <w:p w14:paraId="BE0C0000">
            <w:pPr>
              <w:widowControl w:val="1"/>
              <w:ind w:firstLine="30"/>
              <w:contextualSpacing w:val="1"/>
              <w:jc w:val="center"/>
              <w:rPr>
                <w:b w:val="1"/>
                <w:i w:val="1"/>
                <w:color w:val="000000"/>
              </w:rPr>
            </w:pPr>
            <w:r>
              <w:rPr>
                <w:b w:val="1"/>
                <w:i w:val="1"/>
                <w:color w:val="000000"/>
              </w:rPr>
              <w:t>7</w:t>
            </w:r>
          </w:p>
        </w:tc>
        <w:tc>
          <w:tcPr>
            <w:tcW w:type="dxa" w:w="992"/>
            <w:tcBorders>
              <w:top w:color="000000" w:sz="4" w:val="single"/>
              <w:left w:color="000000" w:sz="4" w:val="single"/>
              <w:bottom w:color="000000" w:sz="4" w:val="single"/>
              <w:right w:color="000000" w:sz="4" w:val="single"/>
            </w:tcBorders>
            <w:vAlign w:val="center"/>
          </w:tcPr>
          <w:p w14:paraId="BF0C0000">
            <w:pPr>
              <w:widowControl w:val="1"/>
              <w:ind w:firstLine="30"/>
              <w:contextualSpacing w:val="1"/>
              <w:jc w:val="center"/>
              <w:rPr>
                <w:b w:val="1"/>
                <w:i w:val="1"/>
                <w:color w:val="000000"/>
              </w:rPr>
            </w:pPr>
            <w:r>
              <w:rPr>
                <w:b w:val="1"/>
                <w:i w:val="1"/>
                <w:color w:val="000000"/>
              </w:rPr>
              <w:t>159</w:t>
            </w:r>
          </w:p>
        </w:tc>
      </w:tr>
      <w:tr>
        <w:trPr>
          <w:trHeight w:hRule="atLeast" w:val="256"/>
        </w:trPr>
        <w:tc>
          <w:tcPr>
            <w:tcW w:type="dxa" w:w="576"/>
            <w:tcBorders>
              <w:top w:sz="4" w:val="nil"/>
              <w:left w:color="000000" w:sz="4" w:val="single"/>
              <w:bottom w:color="000000" w:sz="4" w:val="single"/>
              <w:right w:color="000000" w:sz="4" w:val="single"/>
            </w:tcBorders>
            <w:shd w:fill="auto" w:val="clear"/>
            <w:vAlign w:val="center"/>
          </w:tcPr>
          <w:p w14:paraId="C00C0000">
            <w:pPr>
              <w:widowControl w:val="1"/>
              <w:ind w:firstLine="709" w:left="-812"/>
              <w:contextualSpacing w:val="1"/>
              <w:jc w:val="center"/>
              <w:rPr>
                <w:i w:val="1"/>
              </w:rPr>
            </w:pPr>
            <w:r>
              <w:rPr>
                <w:i w:val="1"/>
              </w:rPr>
              <w:t>8</w:t>
            </w:r>
          </w:p>
        </w:tc>
        <w:tc>
          <w:tcPr>
            <w:tcW w:type="dxa" w:w="2406"/>
            <w:tcBorders>
              <w:top w:sz="4" w:val="nil"/>
              <w:left w:sz="4" w:val="nil"/>
              <w:bottom w:color="000000" w:sz="4" w:val="single"/>
              <w:right w:color="000000" w:sz="4" w:val="single"/>
            </w:tcBorders>
            <w:shd w:fill="auto" w:val="clear"/>
            <w:vAlign w:val="center"/>
          </w:tcPr>
          <w:p w14:paraId="C10C0000">
            <w:pPr>
              <w:widowControl w:val="1"/>
              <w:ind w:firstLine="30"/>
              <w:contextualSpacing w:val="1"/>
              <w:rPr>
                <w:i w:val="1"/>
              </w:rPr>
            </w:pPr>
            <w:r>
              <w:rPr>
                <w:i w:val="1"/>
              </w:rPr>
              <w:t>Отложенные  налоговые активы, обязат.</w:t>
            </w:r>
          </w:p>
        </w:tc>
        <w:tc>
          <w:tcPr>
            <w:tcW w:type="dxa" w:w="1134"/>
            <w:tcBorders>
              <w:top w:color="000000" w:sz="4" w:val="single"/>
              <w:left w:color="000000" w:sz="4" w:val="single"/>
              <w:bottom w:color="000000" w:sz="4" w:val="single"/>
              <w:right w:color="000000" w:sz="4" w:val="single"/>
            </w:tcBorders>
            <w:vAlign w:val="center"/>
          </w:tcPr>
          <w:p w14:paraId="C20C0000">
            <w:pPr>
              <w:widowControl w:val="1"/>
              <w:ind w:firstLine="30"/>
              <w:contextualSpacing w:val="1"/>
              <w:jc w:val="center"/>
              <w:rPr>
                <w:color w:val="000000"/>
              </w:rPr>
            </w:pPr>
            <w:r>
              <w:rPr>
                <w:color w:val="000000"/>
              </w:rPr>
              <w:t>-3 724</w:t>
            </w:r>
          </w:p>
        </w:tc>
        <w:tc>
          <w:tcPr>
            <w:tcW w:type="dxa" w:w="1276"/>
            <w:tcBorders>
              <w:top w:color="000000" w:sz="4" w:val="single"/>
              <w:left w:color="000000" w:sz="4" w:val="single"/>
              <w:bottom w:color="000000" w:sz="4" w:val="single"/>
              <w:right w:color="000000" w:sz="4" w:val="single"/>
            </w:tcBorders>
            <w:shd w:fill="auto" w:val="clear"/>
            <w:vAlign w:val="center"/>
          </w:tcPr>
          <w:p w14:paraId="C30C0000">
            <w:pPr>
              <w:widowControl w:val="1"/>
              <w:ind w:firstLine="30"/>
              <w:contextualSpacing w:val="1"/>
              <w:jc w:val="center"/>
              <w:rPr>
                <w:color w:val="000000"/>
              </w:rPr>
            </w:pPr>
            <w:r>
              <w:rPr>
                <w:color w:val="000000"/>
              </w:rPr>
              <w:t>2 657</w:t>
            </w:r>
          </w:p>
        </w:tc>
        <w:tc>
          <w:tcPr>
            <w:tcW w:type="dxa" w:w="1134"/>
            <w:tcBorders>
              <w:top w:color="000000" w:sz="4" w:val="single"/>
              <w:left w:color="000000" w:sz="4" w:val="single"/>
              <w:bottom w:color="000000" w:sz="4" w:val="single"/>
              <w:right w:color="000000" w:sz="4" w:val="single"/>
            </w:tcBorders>
            <w:shd w:fill="auto" w:val="clear"/>
            <w:vAlign w:val="center"/>
          </w:tcPr>
          <w:p w14:paraId="C40C0000">
            <w:pPr>
              <w:widowControl w:val="1"/>
              <w:ind w:firstLine="30"/>
              <w:contextualSpacing w:val="1"/>
              <w:jc w:val="center"/>
              <w:rPr>
                <w:color w:val="000000"/>
              </w:rPr>
            </w:pPr>
            <w:r>
              <w:rPr>
                <w:color w:val="000000"/>
              </w:rPr>
              <w:t>0</w:t>
            </w:r>
          </w:p>
        </w:tc>
        <w:tc>
          <w:tcPr>
            <w:tcW w:type="dxa" w:w="1134"/>
            <w:tcBorders>
              <w:top w:color="000000" w:sz="4" w:val="single"/>
              <w:left w:color="000000" w:sz="4" w:val="single"/>
              <w:bottom w:color="000000" w:sz="4" w:val="single"/>
              <w:right w:color="000000" w:sz="4" w:val="single"/>
            </w:tcBorders>
            <w:shd w:fill="auto" w:val="clear"/>
            <w:vAlign w:val="center"/>
          </w:tcPr>
          <w:p w14:paraId="C50C0000">
            <w:pPr>
              <w:widowControl w:val="1"/>
              <w:ind w:firstLine="30"/>
              <w:contextualSpacing w:val="1"/>
              <w:jc w:val="center"/>
              <w:rPr>
                <w:color w:val="000000"/>
              </w:rPr>
            </w:pPr>
            <w:r>
              <w:rPr>
                <w:color w:val="000000"/>
              </w:rPr>
              <w:t>-4 663</w:t>
            </w:r>
          </w:p>
        </w:tc>
        <w:tc>
          <w:tcPr>
            <w:tcW w:type="dxa" w:w="992"/>
            <w:tcBorders>
              <w:top w:color="000000" w:sz="4" w:val="single"/>
              <w:left w:color="000000" w:sz="4" w:val="single"/>
              <w:bottom w:color="000000" w:sz="4" w:val="single"/>
              <w:right w:color="000000" w:sz="4" w:val="single"/>
            </w:tcBorders>
            <w:vAlign w:val="center"/>
          </w:tcPr>
          <w:p w14:paraId="C60C0000">
            <w:pPr>
              <w:widowControl w:val="1"/>
              <w:ind w:firstLine="30"/>
              <w:contextualSpacing w:val="1"/>
              <w:jc w:val="center"/>
              <w:rPr>
                <w:b w:val="1"/>
                <w:i w:val="1"/>
                <w:color w:val="000000"/>
              </w:rPr>
            </w:pPr>
            <w:r>
              <w:rPr>
                <w:b w:val="1"/>
                <w:i w:val="1"/>
                <w:color w:val="000000"/>
              </w:rPr>
              <w:t>-175</w:t>
            </w:r>
          </w:p>
        </w:tc>
        <w:tc>
          <w:tcPr>
            <w:tcW w:type="dxa" w:w="992"/>
            <w:tcBorders>
              <w:top w:color="000000" w:sz="4" w:val="single"/>
              <w:left w:color="000000" w:sz="4" w:val="single"/>
              <w:bottom w:color="000000" w:sz="4" w:val="single"/>
              <w:right w:color="000000" w:sz="4" w:val="single"/>
            </w:tcBorders>
            <w:vAlign w:val="center"/>
          </w:tcPr>
          <w:p w14:paraId="C70C0000">
            <w:pPr>
              <w:widowControl w:val="1"/>
              <w:ind w:firstLine="30"/>
              <w:contextualSpacing w:val="1"/>
              <w:jc w:val="center"/>
              <w:rPr>
                <w:b w:val="1"/>
                <w:i w:val="1"/>
                <w:color w:val="000000"/>
              </w:rPr>
            </w:pPr>
          </w:p>
        </w:tc>
      </w:tr>
      <w:tr>
        <w:trPr>
          <w:trHeight w:hRule="atLeast" w:val="128"/>
        </w:trPr>
        <w:tc>
          <w:tcPr>
            <w:tcW w:type="dxa" w:w="576"/>
            <w:tcBorders>
              <w:top w:sz="4" w:val="nil"/>
              <w:left w:color="000000" w:sz="4" w:val="single"/>
              <w:bottom w:color="000000" w:sz="4" w:val="single"/>
              <w:right w:color="000000" w:sz="4" w:val="single"/>
            </w:tcBorders>
            <w:shd w:fill="auto" w:val="clear"/>
            <w:vAlign w:val="center"/>
          </w:tcPr>
          <w:p w14:paraId="C80C0000">
            <w:pPr>
              <w:widowControl w:val="1"/>
              <w:ind w:firstLine="709" w:left="-812"/>
              <w:contextualSpacing w:val="1"/>
              <w:jc w:val="center"/>
              <w:rPr>
                <w:i w:val="1"/>
              </w:rPr>
            </w:pPr>
            <w:r>
              <w:rPr>
                <w:i w:val="1"/>
              </w:rPr>
              <w:t>9</w:t>
            </w:r>
          </w:p>
        </w:tc>
        <w:tc>
          <w:tcPr>
            <w:tcW w:type="dxa" w:w="2406"/>
            <w:tcBorders>
              <w:top w:sz="4" w:val="nil"/>
              <w:left w:sz="4" w:val="nil"/>
              <w:bottom w:color="000000" w:sz="4" w:val="single"/>
              <w:right w:color="000000" w:sz="4" w:val="single"/>
            </w:tcBorders>
            <w:shd w:fill="auto" w:val="clear"/>
            <w:vAlign w:val="center"/>
          </w:tcPr>
          <w:p w14:paraId="C90C0000">
            <w:pPr>
              <w:widowControl w:val="1"/>
              <w:ind w:firstLine="30"/>
              <w:contextualSpacing w:val="1"/>
              <w:rPr>
                <w:i w:val="1"/>
              </w:rPr>
            </w:pPr>
            <w:r>
              <w:rPr>
                <w:i w:val="1"/>
              </w:rPr>
              <w:t>Текущий налог на прибыль</w:t>
            </w:r>
          </w:p>
        </w:tc>
        <w:tc>
          <w:tcPr>
            <w:tcW w:type="dxa" w:w="1134"/>
            <w:tcBorders>
              <w:top w:color="000000" w:sz="4" w:val="single"/>
              <w:left w:color="000000" w:sz="4" w:val="single"/>
              <w:bottom w:color="000000" w:sz="4" w:val="single"/>
              <w:right w:color="000000" w:sz="4" w:val="single"/>
            </w:tcBorders>
            <w:vAlign w:val="center"/>
          </w:tcPr>
          <w:p w14:paraId="CA0C0000">
            <w:pPr>
              <w:widowControl w:val="1"/>
              <w:ind w:firstLine="30"/>
              <w:contextualSpacing w:val="1"/>
              <w:jc w:val="center"/>
              <w:rPr>
                <w:i w:val="1"/>
                <w:color w:val="000000"/>
              </w:rPr>
            </w:pPr>
            <w:r>
              <w:rPr>
                <w:i w:val="1"/>
                <w:color w:val="000000"/>
              </w:rPr>
              <w:t>97</w:t>
            </w:r>
          </w:p>
        </w:tc>
        <w:tc>
          <w:tcPr>
            <w:tcW w:type="dxa" w:w="1276"/>
            <w:tcBorders>
              <w:top w:color="000000" w:sz="4" w:val="single"/>
              <w:left w:color="000000" w:sz="4" w:val="single"/>
              <w:bottom w:color="000000" w:sz="4" w:val="single"/>
              <w:right w:color="000000" w:sz="4" w:val="single"/>
            </w:tcBorders>
            <w:shd w:fill="auto" w:val="clear"/>
            <w:vAlign w:val="center"/>
          </w:tcPr>
          <w:p w14:paraId="CB0C0000">
            <w:pPr>
              <w:widowControl w:val="1"/>
              <w:ind w:firstLine="30"/>
              <w:contextualSpacing w:val="1"/>
              <w:jc w:val="center"/>
              <w:rPr>
                <w:i w:val="1"/>
                <w:color w:val="000000"/>
              </w:rPr>
            </w:pPr>
            <w:r>
              <w:rPr>
                <w:i w:val="1"/>
                <w:color w:val="000000"/>
              </w:rPr>
              <w:t>-6 422</w:t>
            </w:r>
          </w:p>
        </w:tc>
        <w:tc>
          <w:tcPr>
            <w:tcW w:type="dxa" w:w="1134"/>
            <w:tcBorders>
              <w:top w:color="000000" w:sz="4" w:val="single"/>
              <w:left w:color="000000" w:sz="4" w:val="single"/>
              <w:bottom w:color="000000" w:sz="4" w:val="single"/>
              <w:right w:color="000000" w:sz="4" w:val="single"/>
            </w:tcBorders>
            <w:shd w:fill="auto" w:val="clear"/>
            <w:vAlign w:val="center"/>
          </w:tcPr>
          <w:p w14:paraId="CC0C0000">
            <w:pPr>
              <w:widowControl w:val="1"/>
              <w:ind w:firstLine="30"/>
              <w:contextualSpacing w:val="1"/>
              <w:jc w:val="center"/>
              <w:rPr>
                <w:color w:val="000000"/>
              </w:rPr>
            </w:pPr>
            <w:r>
              <w:rPr>
                <w:color w:val="000000"/>
              </w:rPr>
              <w:t>20</w:t>
            </w:r>
          </w:p>
        </w:tc>
        <w:tc>
          <w:tcPr>
            <w:tcW w:type="dxa" w:w="1134"/>
            <w:tcBorders>
              <w:top w:color="000000" w:sz="4" w:val="single"/>
              <w:left w:color="000000" w:sz="4" w:val="single"/>
              <w:bottom w:color="000000" w:sz="4" w:val="single"/>
              <w:right w:color="000000" w:sz="4" w:val="single"/>
            </w:tcBorders>
            <w:shd w:fill="auto" w:val="clear"/>
            <w:vAlign w:val="center"/>
          </w:tcPr>
          <w:p w14:paraId="CD0C0000">
            <w:pPr>
              <w:widowControl w:val="1"/>
              <w:ind w:firstLine="30"/>
              <w:contextualSpacing w:val="1"/>
              <w:jc w:val="center"/>
              <w:rPr>
                <w:i w:val="1"/>
                <w:color w:val="000000"/>
              </w:rPr>
            </w:pPr>
            <w:r>
              <w:rPr>
                <w:i w:val="1"/>
                <w:color w:val="000000"/>
              </w:rPr>
              <w:t>6 134</w:t>
            </w:r>
          </w:p>
        </w:tc>
        <w:tc>
          <w:tcPr>
            <w:tcW w:type="dxa" w:w="992"/>
            <w:tcBorders>
              <w:top w:color="000000" w:sz="4" w:val="single"/>
              <w:left w:color="000000" w:sz="4" w:val="single"/>
              <w:bottom w:color="000000" w:sz="4" w:val="single"/>
              <w:right w:color="000000" w:sz="4" w:val="single"/>
            </w:tcBorders>
            <w:vAlign w:val="center"/>
          </w:tcPr>
          <w:p w14:paraId="CE0C0000">
            <w:pPr>
              <w:widowControl w:val="1"/>
              <w:ind w:firstLine="30"/>
              <w:contextualSpacing w:val="1"/>
              <w:jc w:val="center"/>
              <w:rPr>
                <w:b w:val="1"/>
                <w:i w:val="1"/>
                <w:color w:val="000000"/>
              </w:rPr>
            </w:pPr>
            <w:r>
              <w:rPr>
                <w:b w:val="1"/>
                <w:i w:val="1"/>
                <w:color w:val="000000"/>
              </w:rPr>
              <w:t>-96</w:t>
            </w:r>
          </w:p>
        </w:tc>
        <w:tc>
          <w:tcPr>
            <w:tcW w:type="dxa" w:w="992"/>
            <w:tcBorders>
              <w:top w:color="000000" w:sz="4" w:val="single"/>
              <w:left w:color="000000" w:sz="4" w:val="single"/>
              <w:bottom w:color="000000" w:sz="4" w:val="single"/>
              <w:right w:color="000000" w:sz="4" w:val="single"/>
            </w:tcBorders>
            <w:vAlign w:val="center"/>
          </w:tcPr>
          <w:p w14:paraId="CF0C0000">
            <w:pPr>
              <w:widowControl w:val="1"/>
              <w:ind w:firstLine="30"/>
              <w:contextualSpacing w:val="1"/>
              <w:jc w:val="center"/>
              <w:rPr>
                <w:b w:val="1"/>
                <w:i w:val="1"/>
                <w:color w:val="000000"/>
              </w:rPr>
            </w:pPr>
            <w:r>
              <w:rPr>
                <w:b w:val="1"/>
                <w:i w:val="1"/>
                <w:color w:val="000000"/>
              </w:rPr>
              <w:t>30671</w:t>
            </w:r>
          </w:p>
        </w:tc>
      </w:tr>
      <w:tr>
        <w:trPr>
          <w:trHeight w:hRule="atLeast" w:val="128"/>
        </w:trPr>
        <w:tc>
          <w:tcPr>
            <w:tcW w:type="dxa" w:w="576"/>
            <w:tcBorders>
              <w:top w:sz="4" w:val="nil"/>
              <w:left w:color="000000" w:sz="4" w:val="single"/>
              <w:bottom w:color="000000" w:sz="4" w:val="single"/>
              <w:right w:color="000000" w:sz="4" w:val="single"/>
            </w:tcBorders>
            <w:shd w:fill="auto" w:val="clear"/>
            <w:vAlign w:val="center"/>
          </w:tcPr>
          <w:p w14:paraId="D00C0000">
            <w:pPr>
              <w:widowControl w:val="1"/>
              <w:ind w:firstLine="709" w:left="-812"/>
              <w:contextualSpacing w:val="1"/>
              <w:jc w:val="center"/>
              <w:rPr>
                <w:i w:val="1"/>
              </w:rPr>
            </w:pPr>
            <w:r>
              <w:rPr>
                <w:i w:val="1"/>
              </w:rPr>
              <w:t>10</w:t>
            </w:r>
          </w:p>
        </w:tc>
        <w:tc>
          <w:tcPr>
            <w:tcW w:type="dxa" w:w="2406"/>
            <w:tcBorders>
              <w:top w:sz="4" w:val="nil"/>
              <w:left w:sz="4" w:val="nil"/>
              <w:bottom w:color="000000" w:sz="4" w:val="single"/>
              <w:right w:color="000000" w:sz="4" w:val="single"/>
            </w:tcBorders>
            <w:shd w:fill="auto" w:val="clear"/>
            <w:vAlign w:val="center"/>
          </w:tcPr>
          <w:p w14:paraId="D10C0000">
            <w:pPr>
              <w:widowControl w:val="1"/>
              <w:ind w:firstLine="30"/>
              <w:contextualSpacing w:val="1"/>
              <w:rPr>
                <w:i w:val="1"/>
              </w:rPr>
            </w:pPr>
            <w:r>
              <w:rPr>
                <w:i w:val="1"/>
              </w:rPr>
              <w:t>Налоговые санкции</w:t>
            </w:r>
          </w:p>
        </w:tc>
        <w:tc>
          <w:tcPr>
            <w:tcW w:type="dxa" w:w="1134"/>
            <w:tcBorders>
              <w:top w:color="000000" w:sz="4" w:val="single"/>
              <w:left w:color="000000" w:sz="4" w:val="single"/>
              <w:bottom w:color="000000" w:sz="4" w:val="single"/>
              <w:right w:color="000000" w:sz="4" w:val="single"/>
            </w:tcBorders>
            <w:vAlign w:val="center"/>
          </w:tcPr>
          <w:p w14:paraId="D20C0000">
            <w:pPr>
              <w:widowControl w:val="1"/>
              <w:ind w:firstLine="30"/>
              <w:contextualSpacing w:val="1"/>
              <w:jc w:val="center"/>
              <w:rPr>
                <w:color w:val="000000"/>
              </w:rPr>
            </w:pPr>
          </w:p>
        </w:tc>
        <w:tc>
          <w:tcPr>
            <w:tcW w:type="dxa" w:w="1276"/>
            <w:tcBorders>
              <w:top w:color="000000" w:sz="4" w:val="single"/>
              <w:left w:color="000000" w:sz="4" w:val="single"/>
              <w:bottom w:color="000000" w:sz="4" w:val="single"/>
              <w:right w:color="000000" w:sz="4" w:val="single"/>
            </w:tcBorders>
            <w:shd w:fill="auto" w:val="clear"/>
            <w:vAlign w:val="center"/>
          </w:tcPr>
          <w:p w14:paraId="D30C0000">
            <w:pPr>
              <w:widowControl w:val="1"/>
              <w:ind w:firstLine="30"/>
              <w:contextualSpacing w:val="1"/>
              <w:jc w:val="center"/>
              <w:rPr>
                <w:i w:val="1"/>
                <w:color w:val="000000"/>
              </w:rPr>
            </w:pPr>
          </w:p>
        </w:tc>
        <w:tc>
          <w:tcPr>
            <w:tcW w:type="dxa" w:w="1134"/>
            <w:tcBorders>
              <w:top w:color="000000" w:sz="4" w:val="single"/>
              <w:left w:color="000000" w:sz="4" w:val="single"/>
              <w:bottom w:color="000000" w:sz="4" w:val="single"/>
              <w:right w:color="000000" w:sz="4" w:val="single"/>
            </w:tcBorders>
            <w:shd w:fill="auto" w:val="clear"/>
            <w:vAlign w:val="center"/>
          </w:tcPr>
          <w:p w14:paraId="D40C0000">
            <w:pPr>
              <w:widowControl w:val="1"/>
              <w:ind w:firstLine="30"/>
              <w:contextualSpacing w:val="1"/>
              <w:jc w:val="center"/>
              <w:rPr>
                <w:color w:val="000000"/>
              </w:rPr>
            </w:pPr>
          </w:p>
        </w:tc>
        <w:tc>
          <w:tcPr>
            <w:tcW w:type="dxa" w:w="1134"/>
            <w:tcBorders>
              <w:top w:color="000000" w:sz="4" w:val="single"/>
              <w:left w:color="000000" w:sz="4" w:val="single"/>
              <w:bottom w:color="000000" w:sz="4" w:val="single"/>
              <w:right w:color="000000" w:sz="4" w:val="single"/>
            </w:tcBorders>
            <w:shd w:fill="auto" w:val="clear"/>
            <w:vAlign w:val="center"/>
          </w:tcPr>
          <w:p w14:paraId="D50C0000">
            <w:pPr>
              <w:widowControl w:val="1"/>
              <w:ind w:firstLine="30"/>
              <w:contextualSpacing w:val="1"/>
              <w:jc w:val="center"/>
              <w:rPr>
                <w:i w:val="1"/>
                <w:color w:val="000000"/>
              </w:rPr>
            </w:pPr>
            <w:r>
              <w:rPr>
                <w:i w:val="1"/>
                <w:color w:val="000000"/>
              </w:rPr>
              <w:t>-2 290</w:t>
            </w:r>
          </w:p>
        </w:tc>
        <w:tc>
          <w:tcPr>
            <w:tcW w:type="dxa" w:w="992"/>
            <w:tcBorders>
              <w:top w:color="000000" w:sz="4" w:val="single"/>
              <w:left w:color="000000" w:sz="4" w:val="single"/>
              <w:bottom w:color="000000" w:sz="4" w:val="single"/>
              <w:right w:color="000000" w:sz="4" w:val="single"/>
            </w:tcBorders>
            <w:vAlign w:val="center"/>
          </w:tcPr>
          <w:p w14:paraId="D60C0000">
            <w:pPr>
              <w:widowControl w:val="1"/>
              <w:ind w:firstLine="30"/>
              <w:contextualSpacing w:val="1"/>
              <w:jc w:val="center"/>
              <w:rPr>
                <w:b w:val="1"/>
                <w:i w:val="1"/>
                <w:color w:val="000000"/>
              </w:rPr>
            </w:pPr>
          </w:p>
        </w:tc>
        <w:tc>
          <w:tcPr>
            <w:tcW w:type="dxa" w:w="992"/>
            <w:tcBorders>
              <w:top w:color="000000" w:sz="4" w:val="single"/>
              <w:left w:color="000000" w:sz="4" w:val="single"/>
              <w:bottom w:color="000000" w:sz="4" w:val="single"/>
              <w:right w:color="000000" w:sz="4" w:val="single"/>
            </w:tcBorders>
            <w:vAlign w:val="center"/>
          </w:tcPr>
          <w:p w14:paraId="D70C0000">
            <w:pPr>
              <w:widowControl w:val="1"/>
              <w:ind w:firstLine="30"/>
              <w:contextualSpacing w:val="1"/>
              <w:jc w:val="center"/>
              <w:rPr>
                <w:b w:val="1"/>
                <w:i w:val="1"/>
                <w:color w:val="000000"/>
              </w:rPr>
            </w:pPr>
          </w:p>
        </w:tc>
      </w:tr>
      <w:tr>
        <w:trPr>
          <w:trHeight w:hRule="atLeast" w:val="256"/>
        </w:trPr>
        <w:tc>
          <w:tcPr>
            <w:tcW w:type="dxa" w:w="576"/>
            <w:tcBorders>
              <w:top w:sz="4" w:val="nil"/>
              <w:left w:color="000000" w:sz="4" w:val="single"/>
              <w:bottom w:color="000000" w:sz="4" w:val="single"/>
              <w:right w:color="000000" w:sz="4" w:val="single"/>
            </w:tcBorders>
            <w:shd w:fill="auto" w:val="clear"/>
            <w:vAlign w:val="center"/>
          </w:tcPr>
          <w:p w14:paraId="D80C0000">
            <w:pPr>
              <w:widowControl w:val="1"/>
              <w:ind w:firstLine="709" w:left="-812"/>
              <w:contextualSpacing w:val="1"/>
              <w:jc w:val="center"/>
              <w:rPr>
                <w:i w:val="1"/>
              </w:rPr>
            </w:pPr>
            <w:r>
              <w:rPr>
                <w:i w:val="1"/>
              </w:rPr>
              <w:t>11</w:t>
            </w:r>
          </w:p>
        </w:tc>
        <w:tc>
          <w:tcPr>
            <w:tcW w:type="dxa" w:w="2406"/>
            <w:tcBorders>
              <w:top w:sz="4" w:val="nil"/>
              <w:left w:sz="4" w:val="nil"/>
              <w:bottom w:color="000000" w:sz="4" w:val="single"/>
              <w:right w:color="000000" w:sz="4" w:val="single"/>
            </w:tcBorders>
            <w:shd w:fill="auto" w:val="clear"/>
            <w:vAlign w:val="center"/>
          </w:tcPr>
          <w:p w14:paraId="D90C0000">
            <w:pPr>
              <w:widowControl w:val="1"/>
              <w:ind w:firstLine="30"/>
              <w:contextualSpacing w:val="1"/>
              <w:rPr>
                <w:i w:val="1"/>
              </w:rPr>
            </w:pPr>
            <w:r>
              <w:rPr>
                <w:i w:val="1"/>
              </w:rPr>
              <w:t>Прочее, налог на прибыль прошлых лет</w:t>
            </w:r>
          </w:p>
        </w:tc>
        <w:tc>
          <w:tcPr>
            <w:tcW w:type="dxa" w:w="1134"/>
            <w:tcBorders>
              <w:top w:color="000000" w:sz="4" w:val="single"/>
              <w:left w:color="000000" w:sz="4" w:val="single"/>
              <w:bottom w:color="000000" w:sz="4" w:val="single"/>
              <w:right w:color="000000" w:sz="4" w:val="single"/>
            </w:tcBorders>
            <w:vAlign w:val="center"/>
          </w:tcPr>
          <w:p w14:paraId="DA0C0000">
            <w:pPr>
              <w:widowControl w:val="1"/>
              <w:ind w:firstLine="30"/>
              <w:contextualSpacing w:val="1"/>
              <w:jc w:val="center"/>
              <w:rPr>
                <w:color w:val="000000"/>
              </w:rPr>
            </w:pPr>
          </w:p>
        </w:tc>
        <w:tc>
          <w:tcPr>
            <w:tcW w:type="dxa" w:w="1276"/>
            <w:tcBorders>
              <w:top w:color="000000" w:sz="4" w:val="single"/>
              <w:left w:color="000000" w:sz="4" w:val="single"/>
              <w:bottom w:color="000000" w:sz="4" w:val="single"/>
              <w:right w:color="000000" w:sz="4" w:val="single"/>
            </w:tcBorders>
            <w:shd w:fill="auto" w:val="clear"/>
            <w:vAlign w:val="center"/>
          </w:tcPr>
          <w:p w14:paraId="DB0C0000">
            <w:pPr>
              <w:widowControl w:val="1"/>
              <w:ind w:firstLine="30"/>
              <w:contextualSpacing w:val="1"/>
              <w:jc w:val="center"/>
              <w:rPr>
                <w:i w:val="1"/>
                <w:color w:val="000000"/>
              </w:rPr>
            </w:pPr>
            <w:r>
              <w:rPr>
                <w:i w:val="1"/>
                <w:color w:val="000000"/>
              </w:rPr>
              <w:t>-4</w:t>
            </w:r>
          </w:p>
        </w:tc>
        <w:tc>
          <w:tcPr>
            <w:tcW w:type="dxa" w:w="1134"/>
            <w:tcBorders>
              <w:top w:color="000000" w:sz="4" w:val="single"/>
              <w:left w:color="000000" w:sz="4" w:val="single"/>
              <w:bottom w:color="000000" w:sz="4" w:val="single"/>
              <w:right w:color="000000" w:sz="4" w:val="single"/>
            </w:tcBorders>
            <w:shd w:fill="auto" w:val="clear"/>
            <w:vAlign w:val="center"/>
          </w:tcPr>
          <w:p w14:paraId="DC0C0000">
            <w:pPr>
              <w:widowControl w:val="1"/>
              <w:ind w:firstLine="30"/>
              <w:contextualSpacing w:val="1"/>
              <w:jc w:val="center"/>
              <w:rPr>
                <w:color w:val="000000"/>
              </w:rPr>
            </w:pPr>
          </w:p>
        </w:tc>
        <w:tc>
          <w:tcPr>
            <w:tcW w:type="dxa" w:w="1134"/>
            <w:tcBorders>
              <w:top w:color="000000" w:sz="4" w:val="single"/>
              <w:left w:color="000000" w:sz="4" w:val="single"/>
              <w:bottom w:color="000000" w:sz="4" w:val="single"/>
              <w:right w:color="000000" w:sz="4" w:val="single"/>
            </w:tcBorders>
            <w:shd w:fill="auto" w:val="clear"/>
            <w:vAlign w:val="center"/>
          </w:tcPr>
          <w:p w14:paraId="DD0C0000">
            <w:pPr>
              <w:widowControl w:val="1"/>
              <w:ind w:firstLine="30"/>
              <w:contextualSpacing w:val="1"/>
              <w:jc w:val="center"/>
              <w:rPr>
                <w:i w:val="1"/>
                <w:color w:val="000000"/>
              </w:rPr>
            </w:pPr>
            <w:r>
              <w:rPr>
                <w:i w:val="1"/>
                <w:color w:val="000000"/>
              </w:rPr>
              <w:t>-8</w:t>
            </w:r>
          </w:p>
        </w:tc>
        <w:tc>
          <w:tcPr>
            <w:tcW w:type="dxa" w:w="992"/>
            <w:tcBorders>
              <w:top w:color="000000" w:sz="4" w:val="single"/>
              <w:left w:color="000000" w:sz="4" w:val="single"/>
              <w:bottom w:color="000000" w:sz="4" w:val="single"/>
              <w:right w:color="000000" w:sz="4" w:val="single"/>
            </w:tcBorders>
            <w:vAlign w:val="center"/>
          </w:tcPr>
          <w:p w14:paraId="DE0C0000">
            <w:pPr>
              <w:widowControl w:val="1"/>
              <w:ind w:firstLine="30"/>
              <w:contextualSpacing w:val="1"/>
              <w:jc w:val="center"/>
              <w:rPr>
                <w:b w:val="1"/>
                <w:i w:val="1"/>
                <w:color w:val="000000"/>
              </w:rPr>
            </w:pPr>
            <w:r>
              <w:rPr>
                <w:b w:val="1"/>
                <w:i w:val="1"/>
                <w:color w:val="000000"/>
              </w:rPr>
              <w:t>203</w:t>
            </w:r>
          </w:p>
        </w:tc>
        <w:tc>
          <w:tcPr>
            <w:tcW w:type="dxa" w:w="992"/>
            <w:tcBorders>
              <w:top w:color="000000" w:sz="4" w:val="single"/>
              <w:left w:color="000000" w:sz="4" w:val="single"/>
              <w:bottom w:color="000000" w:sz="4" w:val="single"/>
              <w:right w:color="000000" w:sz="4" w:val="single"/>
            </w:tcBorders>
            <w:vAlign w:val="center"/>
          </w:tcPr>
          <w:p w14:paraId="DF0C0000">
            <w:pPr>
              <w:widowControl w:val="1"/>
              <w:ind w:firstLine="30"/>
              <w:contextualSpacing w:val="1"/>
              <w:jc w:val="center"/>
              <w:rPr>
                <w:b w:val="1"/>
                <w:i w:val="1"/>
                <w:color w:val="000000"/>
              </w:rPr>
            </w:pPr>
          </w:p>
        </w:tc>
      </w:tr>
      <w:tr>
        <w:trPr>
          <w:trHeight w:hRule="atLeast" w:val="256"/>
        </w:trPr>
        <w:tc>
          <w:tcPr>
            <w:tcW w:type="dxa" w:w="576"/>
            <w:tcBorders>
              <w:top w:sz="4" w:val="nil"/>
              <w:left w:color="000000" w:sz="4" w:val="single"/>
              <w:bottom w:color="000000" w:sz="4" w:val="single"/>
              <w:right w:color="000000" w:sz="4" w:val="single"/>
            </w:tcBorders>
            <w:shd w:fill="auto" w:val="clear"/>
            <w:vAlign w:val="center"/>
          </w:tcPr>
          <w:p w14:paraId="E00C0000">
            <w:pPr>
              <w:widowControl w:val="1"/>
              <w:ind w:firstLine="709" w:left="-812"/>
              <w:contextualSpacing w:val="1"/>
              <w:jc w:val="center"/>
              <w:rPr>
                <w:b w:val="1"/>
              </w:rPr>
            </w:pPr>
            <w:r>
              <w:rPr>
                <w:b w:val="1"/>
              </w:rPr>
              <w:t>12</w:t>
            </w:r>
          </w:p>
        </w:tc>
        <w:tc>
          <w:tcPr>
            <w:tcW w:type="dxa" w:w="2406"/>
            <w:tcBorders>
              <w:top w:sz="4" w:val="nil"/>
              <w:left w:sz="4" w:val="nil"/>
              <w:bottom w:color="000000" w:sz="4" w:val="single"/>
              <w:right w:color="000000" w:sz="4" w:val="single"/>
            </w:tcBorders>
            <w:shd w:fill="auto" w:val="clear"/>
            <w:vAlign w:val="center"/>
          </w:tcPr>
          <w:p w14:paraId="E10C0000">
            <w:pPr>
              <w:widowControl w:val="1"/>
              <w:ind w:firstLine="30"/>
              <w:contextualSpacing w:val="1"/>
              <w:rPr>
                <w:b w:val="1"/>
              </w:rPr>
            </w:pPr>
            <w:r>
              <w:rPr>
                <w:b w:val="1"/>
              </w:rPr>
              <w:t>Чистая прибыль (убыток)</w:t>
            </w:r>
          </w:p>
        </w:tc>
        <w:tc>
          <w:tcPr>
            <w:tcW w:type="dxa" w:w="1134"/>
            <w:tcBorders>
              <w:top w:color="000000" w:sz="4" w:val="single"/>
              <w:left w:color="000000" w:sz="4" w:val="single"/>
              <w:bottom w:color="000000" w:sz="4" w:val="single"/>
              <w:right w:color="000000" w:sz="4" w:val="single"/>
            </w:tcBorders>
            <w:vAlign w:val="center"/>
          </w:tcPr>
          <w:p w14:paraId="E20C0000">
            <w:pPr>
              <w:widowControl w:val="1"/>
              <w:ind w:firstLine="30"/>
              <w:contextualSpacing w:val="1"/>
              <w:jc w:val="center"/>
              <w:rPr>
                <w:b w:val="1"/>
                <w:color w:val="000000"/>
              </w:rPr>
            </w:pPr>
            <w:r>
              <w:rPr>
                <w:b w:val="1"/>
                <w:color w:val="000000"/>
              </w:rPr>
              <w:t>1 905</w:t>
            </w:r>
          </w:p>
        </w:tc>
        <w:tc>
          <w:tcPr>
            <w:tcW w:type="dxa" w:w="1276"/>
            <w:tcBorders>
              <w:top w:color="000000" w:sz="4" w:val="single"/>
              <w:left w:color="000000" w:sz="4" w:val="single"/>
              <w:bottom w:color="000000" w:sz="4" w:val="single"/>
              <w:right w:color="000000" w:sz="4" w:val="single"/>
            </w:tcBorders>
            <w:shd w:fill="auto" w:val="clear"/>
            <w:vAlign w:val="center"/>
          </w:tcPr>
          <w:p w14:paraId="E30C0000">
            <w:pPr>
              <w:widowControl w:val="1"/>
              <w:ind w:firstLine="30"/>
              <w:contextualSpacing w:val="1"/>
              <w:jc w:val="center"/>
              <w:rPr>
                <w:b w:val="1"/>
                <w:color w:val="000000"/>
              </w:rPr>
            </w:pPr>
            <w:r>
              <w:rPr>
                <w:b w:val="1"/>
                <w:color w:val="000000"/>
              </w:rPr>
              <w:t>11 652</w:t>
            </w:r>
          </w:p>
        </w:tc>
        <w:tc>
          <w:tcPr>
            <w:tcW w:type="dxa" w:w="1134"/>
            <w:tcBorders>
              <w:top w:color="000000" w:sz="4" w:val="single"/>
              <w:left w:color="000000" w:sz="4" w:val="single"/>
              <w:bottom w:color="000000" w:sz="4" w:val="single"/>
              <w:right w:color="000000" w:sz="4" w:val="single"/>
            </w:tcBorders>
            <w:shd w:fill="auto" w:val="clear"/>
            <w:vAlign w:val="center"/>
          </w:tcPr>
          <w:p w14:paraId="E40C0000">
            <w:pPr>
              <w:widowControl w:val="1"/>
              <w:ind w:firstLine="30"/>
              <w:contextualSpacing w:val="1"/>
              <w:jc w:val="center"/>
              <w:rPr>
                <w:b w:val="1"/>
                <w:color w:val="000000"/>
              </w:rPr>
            </w:pPr>
            <w:r>
              <w:rPr>
                <w:b w:val="1"/>
                <w:color w:val="000000"/>
              </w:rPr>
              <w:t>691</w:t>
            </w:r>
          </w:p>
        </w:tc>
        <w:tc>
          <w:tcPr>
            <w:tcW w:type="dxa" w:w="1134"/>
            <w:tcBorders>
              <w:top w:color="000000" w:sz="4" w:val="single"/>
              <w:left w:color="000000" w:sz="4" w:val="single"/>
              <w:bottom w:color="000000" w:sz="4" w:val="single"/>
              <w:right w:color="000000" w:sz="4" w:val="single"/>
            </w:tcBorders>
            <w:shd w:fill="auto" w:val="clear"/>
            <w:vAlign w:val="center"/>
          </w:tcPr>
          <w:p w14:paraId="E50C0000">
            <w:pPr>
              <w:widowControl w:val="1"/>
              <w:ind w:firstLine="30"/>
              <w:contextualSpacing w:val="1"/>
              <w:jc w:val="center"/>
              <w:rPr>
                <w:b w:val="1"/>
                <w:color w:val="000000"/>
              </w:rPr>
            </w:pPr>
            <w:r>
              <w:rPr>
                <w:b w:val="1"/>
                <w:color w:val="000000"/>
              </w:rPr>
              <w:t>302</w:t>
            </w:r>
          </w:p>
        </w:tc>
        <w:tc>
          <w:tcPr>
            <w:tcW w:type="dxa" w:w="992"/>
            <w:tcBorders>
              <w:top w:color="000000" w:sz="4" w:val="single"/>
              <w:left w:color="000000" w:sz="4" w:val="single"/>
              <w:bottom w:color="000000" w:sz="4" w:val="single"/>
              <w:right w:color="000000" w:sz="4" w:val="single"/>
            </w:tcBorders>
            <w:vAlign w:val="center"/>
          </w:tcPr>
          <w:p w14:paraId="E60C0000">
            <w:pPr>
              <w:widowControl w:val="1"/>
              <w:ind w:firstLine="30"/>
              <w:contextualSpacing w:val="1"/>
              <w:jc w:val="center"/>
              <w:rPr>
                <w:b w:val="1"/>
                <w:i w:val="1"/>
                <w:color w:val="000000"/>
              </w:rPr>
            </w:pPr>
            <w:r>
              <w:rPr>
                <w:b w:val="1"/>
                <w:i w:val="1"/>
                <w:color w:val="000000"/>
              </w:rPr>
              <w:t>3</w:t>
            </w:r>
          </w:p>
        </w:tc>
        <w:tc>
          <w:tcPr>
            <w:tcW w:type="dxa" w:w="992"/>
            <w:tcBorders>
              <w:top w:color="000000" w:sz="4" w:val="single"/>
              <w:left w:color="000000" w:sz="4" w:val="single"/>
              <w:bottom w:color="000000" w:sz="4" w:val="single"/>
              <w:right w:color="000000" w:sz="4" w:val="single"/>
            </w:tcBorders>
            <w:vAlign w:val="center"/>
          </w:tcPr>
          <w:p w14:paraId="E70C0000">
            <w:pPr>
              <w:widowControl w:val="1"/>
              <w:ind w:firstLine="30"/>
              <w:contextualSpacing w:val="1"/>
              <w:jc w:val="center"/>
              <w:rPr>
                <w:b w:val="1"/>
                <w:i w:val="1"/>
                <w:color w:val="000000"/>
              </w:rPr>
            </w:pPr>
            <w:r>
              <w:rPr>
                <w:b w:val="1"/>
                <w:i w:val="1"/>
                <w:color w:val="000000"/>
              </w:rPr>
              <w:t>44</w:t>
            </w:r>
          </w:p>
        </w:tc>
      </w:tr>
    </w:tbl>
    <w:p w14:paraId="E80C0000">
      <w:pPr>
        <w:pStyle w:val="Style_17"/>
        <w:widowControl w:val="1"/>
        <w:spacing w:after="0"/>
        <w:ind w:firstLine="709"/>
        <w:contextualSpacing w:val="1"/>
        <w:jc w:val="center"/>
        <w:rPr>
          <w:b w:val="1"/>
          <w:sz w:val="24"/>
        </w:rPr>
      </w:pPr>
    </w:p>
    <w:p w14:paraId="E90C0000">
      <w:pPr>
        <w:widowControl w:val="1"/>
        <w:spacing w:line="360" w:lineRule="auto"/>
        <w:ind w:firstLine="709"/>
        <w:contextualSpacing w:val="1"/>
        <w:jc w:val="both"/>
      </w:pPr>
      <w:r>
        <w:rPr>
          <w:b w:val="1"/>
        </w:rPr>
        <w:t>Доходы от реализации</w:t>
      </w:r>
      <w:r>
        <w:t xml:space="preserve"> за 2018 год составили  </w:t>
      </w:r>
      <w:r>
        <w:rPr>
          <w:color w:val="000000"/>
        </w:rPr>
        <w:t>335 109</w:t>
      </w:r>
      <w:r>
        <w:rPr>
          <w:b w:val="1"/>
          <w:color w:val="000000"/>
        </w:rPr>
        <w:t xml:space="preserve"> </w:t>
      </w:r>
      <w:r>
        <w:t>тыс. руб.,  99,8% к плану, 102,6% к уровню прошлого года.</w:t>
      </w:r>
    </w:p>
    <w:p w14:paraId="EA0C0000">
      <w:pPr>
        <w:widowControl w:val="1"/>
        <w:tabs>
          <w:tab w:leader="none" w:pos="0" w:val="left"/>
          <w:tab w:leader="none" w:pos="7797" w:val="left"/>
        </w:tabs>
        <w:spacing w:line="360" w:lineRule="auto"/>
        <w:ind w:firstLine="709"/>
        <w:contextualSpacing w:val="1"/>
        <w:jc w:val="both"/>
      </w:pPr>
      <w:r>
        <w:t>- по перевозочной деятельности – 329 239 тыс. руб., 99,3% к плану,  102,2% к уровню прошлого года</w:t>
      </w:r>
      <w:r>
        <w:t xml:space="preserve">; </w:t>
      </w:r>
    </w:p>
    <w:p w14:paraId="EB0C0000">
      <w:pPr>
        <w:widowControl w:val="1"/>
        <w:tabs>
          <w:tab w:leader="none" w:pos="0" w:val="left"/>
          <w:tab w:leader="none" w:pos="7797" w:val="left"/>
        </w:tabs>
        <w:spacing w:line="360" w:lineRule="auto"/>
        <w:ind w:firstLine="709"/>
        <w:contextualSpacing w:val="1"/>
        <w:jc w:val="both"/>
      </w:pPr>
      <w:r>
        <w:t>в том числе: по реализации ОАО "РЖД" 28 672 тыс.руб., по реализации ДЗО                           1 160 тыс.руб., по реализации прочим контрагентам 299 406 тыс.руб.</w:t>
      </w:r>
    </w:p>
    <w:p w14:paraId="EC0C0000">
      <w:pPr>
        <w:widowControl w:val="1"/>
        <w:tabs>
          <w:tab w:leader="none" w:pos="0" w:val="left"/>
          <w:tab w:leader="none" w:pos="7797" w:val="left"/>
        </w:tabs>
        <w:spacing w:line="360" w:lineRule="auto"/>
        <w:ind w:firstLine="709"/>
        <w:contextualSpacing w:val="1"/>
        <w:jc w:val="both"/>
      </w:pPr>
      <w:r>
        <w:t xml:space="preserve">Невыполнение плана по доходам от пригородных перевозок связано с принятыми решениями субъектов о не индексации тарифов на проезд для населения в 2018 году, плановым бюджетом  предусмотрен рост тарифов для населения  на 4% с апреля 2018 г.; </w:t>
      </w:r>
    </w:p>
    <w:p w14:paraId="ED0C0000">
      <w:pPr>
        <w:widowControl w:val="1"/>
        <w:tabs>
          <w:tab w:leader="none" w:pos="0" w:val="left"/>
          <w:tab w:leader="none" w:pos="7797" w:val="left"/>
        </w:tabs>
        <w:spacing w:line="360" w:lineRule="auto"/>
        <w:ind w:firstLine="709"/>
        <w:contextualSpacing w:val="1"/>
        <w:jc w:val="both"/>
      </w:pPr>
      <w:r>
        <w:t xml:space="preserve">- от прочих видов деятельности – 5 870 тыс. руб., 142,3% к плану, 135% к уровню прошлого года, </w:t>
      </w:r>
      <w:r>
        <w:t xml:space="preserve">в том числе: по реализации ОАО "РЖД" 497 тыс.руб., по реализации ДЗО </w:t>
      </w:r>
      <w:r>
        <w:t xml:space="preserve">          </w:t>
      </w:r>
      <w:r>
        <w:t xml:space="preserve"> 3 555 тыс.руб., по реализации прочим контрагентам 1 818 тыс.руб.</w:t>
      </w:r>
      <w:r>
        <w:t xml:space="preserve"> Основной рост доходов обусловлен продажей билетов дальнего следования на вокзале Злобино. </w:t>
      </w:r>
      <w:r>
        <w:t xml:space="preserve"> </w:t>
      </w:r>
      <w:r>
        <w:t>В 2017 году данные продажи осуществляло АО "ФПК".</w:t>
      </w:r>
      <w:r>
        <w:t xml:space="preserve"> </w:t>
      </w:r>
    </w:p>
    <w:p w14:paraId="EE0C0000">
      <w:pPr>
        <w:widowControl w:val="1"/>
        <w:tabs>
          <w:tab w:leader="none" w:pos="0" w:val="left"/>
          <w:tab w:leader="none" w:pos="7797" w:val="left"/>
        </w:tabs>
        <w:spacing w:line="360" w:lineRule="auto"/>
        <w:ind w:firstLine="709"/>
        <w:contextualSpacing w:val="1"/>
        <w:jc w:val="both"/>
      </w:pPr>
      <w:r>
        <w:t xml:space="preserve">  </w:t>
      </w:r>
      <w:r>
        <w:rPr>
          <w:b w:val="1"/>
        </w:rPr>
        <w:t>Прочие доходы</w:t>
      </w:r>
      <w:r>
        <w:t xml:space="preserve"> за 2018 год – 394 396 тыс. руб., 100,9% к плану, в том числе  целевые начисления из бюджетов составили 391 398 тыс. руб., 100,7% к плану, 99,5% к уровню прошлого года.</w:t>
      </w:r>
    </w:p>
    <w:p w14:paraId="EF0C0000">
      <w:pPr>
        <w:widowControl w:val="1"/>
        <w:tabs>
          <w:tab w:leader="none" w:pos="0" w:val="left"/>
          <w:tab w:leader="none" w:pos="6300" w:val="left"/>
          <w:tab w:leader="none" w:pos="7200" w:val="left"/>
        </w:tabs>
        <w:spacing w:line="360" w:lineRule="auto"/>
        <w:ind w:firstLine="709"/>
        <w:contextualSpacing w:val="1"/>
        <w:jc w:val="both"/>
      </w:pPr>
      <w:r>
        <w:rPr>
          <w:b w:val="1"/>
        </w:rPr>
        <w:t>Всего доходы</w:t>
      </w:r>
      <w:r>
        <w:t xml:space="preserve"> за 2018 год составили 729 505 тыс. руб. или 100,4% к плану, 100,9% к уровню прошлого года. </w:t>
      </w:r>
    </w:p>
    <w:p w14:paraId="F00C0000">
      <w:pPr>
        <w:widowControl w:val="1"/>
        <w:tabs>
          <w:tab w:leader="none" w:pos="0" w:val="left"/>
          <w:tab w:leader="none" w:pos="6300" w:val="left"/>
          <w:tab w:leader="none" w:pos="7200" w:val="left"/>
        </w:tabs>
        <w:spacing w:line="360" w:lineRule="auto"/>
        <w:ind w:firstLine="709"/>
        <w:contextualSpacing w:val="1"/>
        <w:jc w:val="both"/>
      </w:pPr>
      <w:r>
        <w:rPr>
          <w:b w:val="1"/>
        </w:rPr>
        <w:t xml:space="preserve">Расходы всего </w:t>
      </w:r>
      <w:r>
        <w:t xml:space="preserve">за 2018 год составили  728 376 тыс. руб. или 100,3% к плану, 102,9% к уровню прошлого года (при стоимости услуг по использованию  инфраструктуры с учетом льготного исключительного тарифа в виде коэффициента 0,01). </w:t>
      </w:r>
    </w:p>
    <w:p w14:paraId="F10C0000">
      <w:pPr>
        <w:widowControl w:val="1"/>
        <w:spacing w:line="360" w:lineRule="auto"/>
        <w:ind w:firstLine="709"/>
        <w:contextualSpacing w:val="1"/>
        <w:jc w:val="both"/>
      </w:pPr>
      <w:r>
        <w:rPr>
          <w:b w:val="1"/>
        </w:rPr>
        <w:t xml:space="preserve">Расходы по перевозкам и прочим видам деятельности </w:t>
      </w:r>
      <w:r>
        <w:t>составили 721 586 тыс. руб., 101% к плану, 103,7% к прошлому году.</w:t>
      </w:r>
    </w:p>
    <w:p w14:paraId="F20C0000">
      <w:pPr>
        <w:widowControl w:val="1"/>
        <w:spacing w:line="360" w:lineRule="auto"/>
        <w:ind w:firstLine="709"/>
        <w:contextualSpacing w:val="1"/>
        <w:jc w:val="both"/>
      </w:pPr>
      <w:r>
        <w:rPr>
          <w:b w:val="1"/>
        </w:rPr>
        <w:t xml:space="preserve">Расходы по перевозкам </w:t>
      </w:r>
      <w:r>
        <w:t>составили 716 071 тыс. руб., 100,7% к плану, 103,5% к прошлому году (в 2017-2018 годах ставка НДС для пригородных перевозок принята равной «0»).</w:t>
      </w:r>
    </w:p>
    <w:p w14:paraId="F30C0000">
      <w:pPr>
        <w:widowControl w:val="1"/>
        <w:spacing w:line="360" w:lineRule="auto"/>
        <w:ind w:firstLine="709"/>
        <w:contextualSpacing w:val="1"/>
        <w:jc w:val="both"/>
      </w:pPr>
      <w:r>
        <w:rPr>
          <w:b w:val="1"/>
        </w:rPr>
        <w:t>Расходы по прочим видам деятельности</w:t>
      </w:r>
      <w:r>
        <w:t xml:space="preserve">  составили  5 515 тыс. руб.,  149,6% к плану, 153%  к прошлому году, рост обусловлен организацией продажи билетов дальнего следования на вокзале Злобино, т.к. договор поручения на данный вид услуг заключен с 01.01.2018. </w:t>
      </w:r>
    </w:p>
    <w:p w14:paraId="F40C0000">
      <w:pPr>
        <w:widowControl w:val="1"/>
        <w:spacing w:line="360" w:lineRule="auto"/>
        <w:ind w:firstLine="709"/>
        <w:contextualSpacing w:val="1"/>
        <w:jc w:val="both"/>
      </w:pPr>
      <w:r>
        <w:rPr>
          <w:b w:val="1"/>
        </w:rPr>
        <w:t>Прочие расходы</w:t>
      </w:r>
      <w:r>
        <w:t xml:space="preserve"> – 6 790 тыс. руб., 59% к плановому уровню, 56,8% к аналогичному периоду прошлого года. Снижение прочих расходов обусловлено уменьшением стоимости услуг инкассации по результатам конкурентной процедуры закупки.</w:t>
      </w:r>
    </w:p>
    <w:p w14:paraId="F50C0000">
      <w:pPr>
        <w:widowControl w:val="1"/>
        <w:tabs>
          <w:tab w:leader="none" w:pos="0" w:val="left"/>
        </w:tabs>
        <w:spacing w:line="360" w:lineRule="auto"/>
        <w:ind w:firstLine="709"/>
        <w:contextualSpacing w:val="1"/>
        <w:jc w:val="both"/>
      </w:pPr>
      <w:r>
        <w:rPr>
          <w:b w:val="1"/>
        </w:rPr>
        <w:t>Прибыль до налогообложения</w:t>
      </w:r>
      <w:r>
        <w:rPr>
          <w:b w:val="1"/>
        </w:rPr>
        <w:t xml:space="preserve"> </w:t>
      </w:r>
      <w:r>
        <w:t xml:space="preserve">за 2018 год составила  -  1 129 тыс. руб., запланирована прибыль до налогообложения за 2018 год  - 711 тыс. руб., за 2017 год прибыль  до налогообложения  составила – 15 421 тыс. руб. </w:t>
      </w:r>
    </w:p>
    <w:p w14:paraId="F60C0000">
      <w:pPr>
        <w:widowControl w:val="1"/>
        <w:tabs>
          <w:tab w:leader="none" w:pos="0" w:val="left"/>
        </w:tabs>
        <w:spacing w:line="360" w:lineRule="auto"/>
        <w:ind w:firstLine="709"/>
        <w:contextualSpacing w:val="1"/>
        <w:jc w:val="both"/>
        <w:rPr>
          <w:b w:val="1"/>
        </w:rPr>
      </w:pPr>
      <w:r>
        <w:rPr>
          <w:b w:val="1"/>
        </w:rPr>
        <w:t>Чистая прибыль</w:t>
      </w:r>
      <w:r>
        <w:t xml:space="preserve"> отчетного периода составила 302 тыс. руб., плановая чистая прибыль за 2018 год  691  тыс. руб., за аналогичный период прошлого года была получена  чистая прибыль 11 652 тыс. руб. </w:t>
      </w:r>
    </w:p>
    <w:p w14:paraId="F70C0000">
      <w:pPr>
        <w:pStyle w:val="Style_17"/>
        <w:widowControl w:val="1"/>
        <w:spacing w:after="0"/>
        <w:ind w:firstLine="709"/>
        <w:contextualSpacing w:val="1"/>
        <w:jc w:val="right"/>
        <w:rPr>
          <w:b w:val="1"/>
          <w:sz w:val="24"/>
        </w:rPr>
      </w:pPr>
    </w:p>
    <w:p w14:paraId="F80C0000">
      <w:pPr>
        <w:pStyle w:val="Style_17"/>
        <w:widowControl w:val="1"/>
        <w:spacing w:after="0"/>
        <w:ind w:firstLine="709"/>
        <w:contextualSpacing w:val="1"/>
        <w:jc w:val="right"/>
        <w:rPr>
          <w:b w:val="1"/>
          <w:sz w:val="24"/>
        </w:rPr>
      </w:pPr>
      <w:r>
        <w:rPr>
          <w:b w:val="1"/>
          <w:sz w:val="24"/>
        </w:rPr>
        <w:t xml:space="preserve">Таблица </w:t>
      </w:r>
      <w:r>
        <w:rPr>
          <w:b w:val="1"/>
          <w:sz w:val="24"/>
        </w:rPr>
        <w:t>5.1</w:t>
      </w:r>
      <w:r>
        <w:rPr>
          <w:b w:val="1"/>
          <w:sz w:val="24"/>
        </w:rPr>
        <w:t>9</w:t>
      </w:r>
      <w:r>
        <w:rPr>
          <w:b w:val="1"/>
          <w:sz w:val="24"/>
        </w:rPr>
        <w:t>.</w:t>
      </w:r>
    </w:p>
    <w:p w14:paraId="F90C0000">
      <w:pPr>
        <w:keepNext w:val="1"/>
        <w:widowControl w:val="1"/>
        <w:ind w:firstLine="709"/>
        <w:contextualSpacing w:val="1"/>
        <w:jc w:val="center"/>
      </w:pPr>
      <w:r>
        <w:rPr>
          <w:b w:val="1"/>
        </w:rPr>
        <w:t>«Сравнительная таблица доходов и расходов по видам деятельности  и по элементам затрат»</w:t>
      </w:r>
    </w:p>
    <w:p w14:paraId="FA0C0000">
      <w:pPr>
        <w:widowControl w:val="1"/>
        <w:ind w:firstLine="709"/>
        <w:contextualSpacing w:val="1"/>
        <w:jc w:val="right"/>
      </w:pPr>
      <w:r>
        <w:t>Тыс.</w:t>
      </w:r>
      <w:r>
        <w:t xml:space="preserve"> </w:t>
      </w:r>
      <w:r>
        <w:t>руб.</w:t>
      </w:r>
    </w:p>
    <w:tbl>
      <w:tblPr>
        <w:tblStyle w:val="Style_4"/>
        <w:tblW w:type="auto" w:w="0"/>
        <w:tblInd w:type="dxa" w:w="103"/>
        <w:tblLayout w:type="fixed"/>
      </w:tblPr>
      <w:tblGrid>
        <w:gridCol w:w="714"/>
        <w:gridCol w:w="1648"/>
        <w:gridCol w:w="1275"/>
        <w:gridCol w:w="1418"/>
        <w:gridCol w:w="1417"/>
        <w:gridCol w:w="1276"/>
        <w:gridCol w:w="1134"/>
        <w:gridCol w:w="992"/>
      </w:tblGrid>
      <w:tr>
        <w:trPr>
          <w:trHeight w:hRule="atLeast" w:val="524"/>
          <w:tblHeader/>
        </w:trPr>
        <w:tc>
          <w:tcPr>
            <w:tcW w:type="dxa" w:w="714"/>
            <w:vMerge w:val="restart"/>
            <w:tcBorders>
              <w:top w:color="000000" w:sz="4" w:val="single"/>
              <w:left w:color="000000" w:sz="4" w:val="single"/>
              <w:bottom w:color="000000" w:sz="4" w:val="single"/>
              <w:right w:color="000000" w:sz="4" w:val="single"/>
            </w:tcBorders>
            <w:vAlign w:val="center"/>
          </w:tcPr>
          <w:p w14:paraId="FB0C0000">
            <w:pPr>
              <w:widowControl w:val="1"/>
              <w:ind w:firstLine="709" w:left="-977" w:right="-196"/>
              <w:contextualSpacing w:val="1"/>
              <w:jc w:val="center"/>
              <w:rPr>
                <w:sz w:val="22"/>
              </w:rPr>
            </w:pPr>
            <w:r>
              <w:rPr>
                <w:sz w:val="22"/>
              </w:rPr>
              <w:t>№ п/п</w:t>
            </w:r>
          </w:p>
        </w:tc>
        <w:tc>
          <w:tcPr>
            <w:tcW w:type="dxa" w:w="1648"/>
            <w:vMerge w:val="restart"/>
            <w:tcBorders>
              <w:top w:color="000000" w:sz="4" w:val="single"/>
              <w:left w:color="000000" w:sz="4" w:val="single"/>
              <w:bottom w:color="000000" w:sz="4" w:val="single"/>
              <w:right w:color="000000" w:sz="4" w:val="single"/>
            </w:tcBorders>
            <w:vAlign w:val="center"/>
          </w:tcPr>
          <w:p w14:paraId="FC0C0000">
            <w:pPr>
              <w:widowControl w:val="1"/>
              <w:ind/>
              <w:contextualSpacing w:val="1"/>
              <w:jc w:val="center"/>
              <w:rPr>
                <w:sz w:val="22"/>
              </w:rPr>
            </w:pPr>
            <w:r>
              <w:rPr>
                <w:sz w:val="22"/>
              </w:rPr>
              <w:t>Показатели</w:t>
            </w:r>
          </w:p>
        </w:tc>
        <w:tc>
          <w:tcPr>
            <w:tcW w:type="dxa" w:w="1275"/>
            <w:tcBorders>
              <w:top w:color="000000" w:sz="4" w:val="single"/>
              <w:left w:sz="4" w:val="nil"/>
              <w:bottom w:color="000000" w:sz="4" w:val="single"/>
              <w:right w:color="000000" w:sz="4" w:val="single"/>
            </w:tcBorders>
            <w:shd w:fill="auto" w:val="clear"/>
            <w:vAlign w:val="center"/>
          </w:tcPr>
          <w:p w14:paraId="FD0C0000">
            <w:pPr>
              <w:widowControl w:val="1"/>
              <w:ind/>
              <w:contextualSpacing w:val="1"/>
              <w:jc w:val="center"/>
              <w:rPr>
                <w:color w:val="000000"/>
                <w:sz w:val="22"/>
              </w:rPr>
            </w:pPr>
            <w:r>
              <w:rPr>
                <w:color w:val="000000"/>
                <w:sz w:val="22"/>
              </w:rPr>
              <w:t>2016г.</w:t>
            </w:r>
          </w:p>
        </w:tc>
        <w:tc>
          <w:tcPr>
            <w:tcW w:type="dxa" w:w="1418"/>
            <w:tcBorders>
              <w:top w:color="000000" w:sz="4" w:val="single"/>
              <w:left w:sz="4" w:val="nil"/>
              <w:bottom w:color="000000" w:sz="4" w:val="single"/>
              <w:right w:color="000000" w:sz="4" w:val="single"/>
            </w:tcBorders>
            <w:vAlign w:val="center"/>
          </w:tcPr>
          <w:p w14:paraId="FE0C0000">
            <w:pPr>
              <w:widowControl w:val="1"/>
              <w:ind/>
              <w:contextualSpacing w:val="1"/>
              <w:jc w:val="center"/>
              <w:rPr>
                <w:color w:val="000000"/>
                <w:sz w:val="22"/>
              </w:rPr>
            </w:pPr>
            <w:r>
              <w:rPr>
                <w:color w:val="000000"/>
                <w:sz w:val="22"/>
              </w:rPr>
              <w:t>2017г.</w:t>
            </w:r>
          </w:p>
        </w:tc>
        <w:tc>
          <w:tcPr>
            <w:tcW w:type="dxa" w:w="2693"/>
            <w:gridSpan w:val="2"/>
            <w:tcBorders>
              <w:top w:color="000000" w:sz="4" w:val="single"/>
              <w:left w:color="000000" w:sz="4" w:val="single"/>
              <w:bottom w:color="000000" w:sz="4" w:val="single"/>
              <w:right w:color="000000" w:sz="4" w:val="single"/>
            </w:tcBorders>
            <w:vAlign w:val="center"/>
          </w:tcPr>
          <w:p w14:paraId="FF0C0000">
            <w:pPr>
              <w:widowControl w:val="1"/>
              <w:ind/>
              <w:contextualSpacing w:val="1"/>
              <w:jc w:val="center"/>
              <w:rPr>
                <w:color w:val="000000"/>
                <w:sz w:val="22"/>
              </w:rPr>
            </w:pPr>
            <w:r>
              <w:rPr>
                <w:color w:val="000000"/>
                <w:sz w:val="22"/>
              </w:rPr>
              <w:t>2018г.</w:t>
            </w:r>
          </w:p>
        </w:tc>
        <w:tc>
          <w:tcPr>
            <w:tcW w:type="dxa" w:w="2126"/>
            <w:gridSpan w:val="2"/>
            <w:tcBorders>
              <w:top w:color="000000" w:sz="4" w:val="single"/>
              <w:left w:color="000000" w:sz="4" w:val="single"/>
              <w:bottom w:color="000000" w:sz="4" w:val="single"/>
              <w:right w:color="000000" w:sz="4" w:val="single"/>
            </w:tcBorders>
            <w:shd w:fill="auto" w:val="clear"/>
            <w:vAlign w:val="center"/>
          </w:tcPr>
          <w:p w14:paraId="000D0000">
            <w:pPr>
              <w:widowControl w:val="1"/>
              <w:ind/>
              <w:contextualSpacing w:val="1"/>
              <w:jc w:val="center"/>
              <w:rPr>
                <w:i w:val="1"/>
                <w:color w:val="000000"/>
                <w:sz w:val="22"/>
              </w:rPr>
            </w:pPr>
            <w:r>
              <w:rPr>
                <w:i w:val="1"/>
                <w:color w:val="000000"/>
                <w:sz w:val="22"/>
              </w:rPr>
              <w:t>% факт 2018/</w:t>
            </w:r>
          </w:p>
        </w:tc>
      </w:tr>
      <w:tr>
        <w:trPr>
          <w:trHeight w:hRule="atLeast" w:val="620"/>
          <w:tblHeader/>
        </w:trPr>
        <w:tc>
          <w:tcPr>
            <w:tcW w:type="dxa" w:w="714"/>
            <w:gridSpan w:val="1"/>
            <w:vMerge w:val="continue"/>
            <w:tcBorders>
              <w:top w:color="000000" w:sz="4" w:val="single"/>
              <w:left w:color="000000" w:sz="4" w:val="single"/>
              <w:bottom w:color="000000" w:sz="4" w:val="single"/>
              <w:right w:color="000000" w:sz="4" w:val="single"/>
            </w:tcBorders>
            <w:vAlign w:val="center"/>
          </w:tcPr>
          <w:p/>
        </w:tc>
        <w:tc>
          <w:tcPr>
            <w:tcW w:type="dxa" w:w="1648"/>
            <w:gridSpan w:val="1"/>
            <w:vMerge w:val="continue"/>
            <w:tcBorders>
              <w:top w:color="000000" w:sz="4" w:val="single"/>
              <w:left w:color="000000" w:sz="4" w:val="single"/>
              <w:bottom w:color="000000" w:sz="4" w:val="single"/>
              <w:right w:color="000000" w:sz="4" w:val="single"/>
            </w:tcBorders>
            <w:vAlign w:val="center"/>
          </w:tcPr>
          <w:p/>
        </w:tc>
        <w:tc>
          <w:tcPr>
            <w:tcW w:type="dxa" w:w="1275"/>
            <w:tcBorders>
              <w:top w:color="000000" w:sz="4" w:val="single"/>
              <w:left w:sz="4" w:val="nil"/>
              <w:bottom w:color="000000" w:sz="4" w:val="single"/>
              <w:right w:color="000000" w:sz="4" w:val="single"/>
            </w:tcBorders>
            <w:shd w:fill="auto" w:val="clear"/>
            <w:vAlign w:val="center"/>
          </w:tcPr>
          <w:p w14:paraId="010D0000">
            <w:pPr>
              <w:widowControl w:val="1"/>
              <w:ind/>
              <w:contextualSpacing w:val="1"/>
              <w:jc w:val="center"/>
              <w:rPr>
                <w:sz w:val="22"/>
              </w:rPr>
            </w:pPr>
            <w:r>
              <w:rPr>
                <w:sz w:val="22"/>
              </w:rPr>
              <w:t>факт</w:t>
            </w:r>
          </w:p>
        </w:tc>
        <w:tc>
          <w:tcPr>
            <w:tcW w:type="dxa" w:w="1418"/>
            <w:tcBorders>
              <w:top w:color="000000" w:sz="4" w:val="single"/>
              <w:left w:color="000000" w:sz="4" w:val="single"/>
              <w:bottom w:color="000000" w:sz="4" w:val="single"/>
              <w:right w:color="000000" w:sz="4" w:val="single"/>
            </w:tcBorders>
            <w:vAlign w:val="center"/>
          </w:tcPr>
          <w:p w14:paraId="020D0000">
            <w:pPr>
              <w:widowControl w:val="1"/>
              <w:ind/>
              <w:contextualSpacing w:val="1"/>
              <w:jc w:val="center"/>
              <w:rPr>
                <w:sz w:val="22"/>
              </w:rPr>
            </w:pPr>
            <w:r>
              <w:rPr>
                <w:sz w:val="22"/>
              </w:rPr>
              <w:t>факт</w:t>
            </w:r>
          </w:p>
        </w:tc>
        <w:tc>
          <w:tcPr>
            <w:tcW w:type="dxa" w:w="1417"/>
            <w:tcBorders>
              <w:top w:color="000000" w:sz="4" w:val="single"/>
              <w:left w:color="000000" w:sz="4" w:val="single"/>
              <w:bottom w:color="000000" w:sz="4" w:val="single"/>
              <w:right w:color="000000" w:sz="4" w:val="single"/>
            </w:tcBorders>
            <w:vAlign w:val="center"/>
          </w:tcPr>
          <w:p w14:paraId="030D0000">
            <w:pPr>
              <w:widowControl w:val="1"/>
              <w:ind/>
              <w:contextualSpacing w:val="1"/>
              <w:jc w:val="center"/>
              <w:rPr>
                <w:sz w:val="22"/>
              </w:rPr>
            </w:pPr>
            <w:r>
              <w:rPr>
                <w:sz w:val="22"/>
              </w:rPr>
              <w:t>план</w:t>
            </w:r>
          </w:p>
        </w:tc>
        <w:tc>
          <w:tcPr>
            <w:tcW w:type="dxa" w:w="1276"/>
            <w:tcBorders>
              <w:top w:color="000000" w:sz="4" w:val="single"/>
              <w:left w:color="000000" w:sz="4" w:val="single"/>
              <w:bottom w:color="000000" w:sz="4" w:val="single"/>
              <w:right w:color="000000" w:sz="4" w:val="single"/>
            </w:tcBorders>
            <w:vAlign w:val="center"/>
          </w:tcPr>
          <w:p w14:paraId="040D0000">
            <w:pPr>
              <w:widowControl w:val="1"/>
              <w:ind/>
              <w:contextualSpacing w:val="1"/>
              <w:jc w:val="center"/>
              <w:rPr>
                <w:sz w:val="22"/>
              </w:rPr>
            </w:pPr>
            <w:r>
              <w:rPr>
                <w:sz w:val="22"/>
              </w:rPr>
              <w:t>факт</w:t>
            </w:r>
          </w:p>
        </w:tc>
        <w:tc>
          <w:tcPr>
            <w:tcW w:type="dxa" w:w="1134"/>
            <w:tcBorders>
              <w:top w:color="000000" w:sz="4" w:val="single"/>
              <w:left w:color="000000" w:sz="4" w:val="single"/>
              <w:bottom w:color="000000" w:sz="4" w:val="single"/>
              <w:right w:color="000000" w:sz="4" w:val="single"/>
            </w:tcBorders>
            <w:shd w:fill="auto" w:val="clear"/>
            <w:vAlign w:val="center"/>
          </w:tcPr>
          <w:p w14:paraId="050D0000">
            <w:pPr>
              <w:widowControl w:val="1"/>
              <w:ind/>
              <w:contextualSpacing w:val="1"/>
              <w:jc w:val="center"/>
              <w:rPr>
                <w:sz w:val="22"/>
              </w:rPr>
            </w:pPr>
            <w:r>
              <w:rPr>
                <w:sz w:val="22"/>
              </w:rPr>
              <w:t>к 201</w:t>
            </w:r>
            <w:r>
              <w:rPr>
                <w:sz w:val="22"/>
              </w:rPr>
              <w:t>7</w:t>
            </w:r>
            <w:r>
              <w:rPr>
                <w:sz w:val="22"/>
              </w:rPr>
              <w:t>г</w:t>
            </w:r>
          </w:p>
        </w:tc>
        <w:tc>
          <w:tcPr>
            <w:tcW w:type="dxa" w:w="992"/>
            <w:tcBorders>
              <w:top w:color="000000" w:sz="4" w:val="single"/>
              <w:left w:color="000000" w:sz="4" w:val="single"/>
              <w:bottom w:color="000000" w:sz="4" w:val="single"/>
              <w:right w:color="000000" w:sz="4" w:val="single"/>
            </w:tcBorders>
            <w:shd w:fill="auto" w:val="clear"/>
            <w:vAlign w:val="center"/>
          </w:tcPr>
          <w:p w14:paraId="060D0000">
            <w:pPr>
              <w:widowControl w:val="1"/>
              <w:ind/>
              <w:contextualSpacing w:val="1"/>
              <w:jc w:val="center"/>
              <w:rPr>
                <w:sz w:val="22"/>
              </w:rPr>
            </w:pPr>
            <w:r>
              <w:rPr>
                <w:sz w:val="22"/>
              </w:rPr>
              <w:t>к плану</w:t>
            </w:r>
          </w:p>
        </w:tc>
      </w:tr>
      <w:tr>
        <w:trPr>
          <w:trHeight w:hRule="atLeast" w:val="129"/>
          <w:tblHeader/>
        </w:trPr>
        <w:tc>
          <w:tcPr>
            <w:tcW w:type="dxa" w:w="714"/>
            <w:tcBorders>
              <w:top w:sz="4" w:val="nil"/>
              <w:left w:color="000000" w:sz="4" w:val="single"/>
              <w:bottom w:color="000000" w:sz="4" w:val="single"/>
              <w:right w:color="000000" w:sz="4" w:val="single"/>
            </w:tcBorders>
            <w:shd w:fill="auto" w:val="clear"/>
            <w:vAlign w:val="center"/>
          </w:tcPr>
          <w:p w14:paraId="070D0000">
            <w:pPr>
              <w:widowControl w:val="1"/>
              <w:ind w:firstLine="709" w:left="-977" w:right="-196"/>
              <w:contextualSpacing w:val="1"/>
              <w:jc w:val="center"/>
              <w:rPr>
                <w:i w:val="1"/>
                <w:sz w:val="22"/>
              </w:rPr>
            </w:pPr>
            <w:r>
              <w:rPr>
                <w:i w:val="1"/>
                <w:sz w:val="22"/>
              </w:rPr>
              <w:t>1</w:t>
            </w:r>
          </w:p>
        </w:tc>
        <w:tc>
          <w:tcPr>
            <w:tcW w:type="dxa" w:w="1648"/>
            <w:tcBorders>
              <w:top w:sz="4" w:val="nil"/>
              <w:left w:sz="4" w:val="nil"/>
              <w:bottom w:color="000000" w:sz="4" w:val="single"/>
              <w:right w:color="000000" w:sz="4" w:val="single"/>
            </w:tcBorders>
            <w:shd w:fill="auto" w:val="clear"/>
            <w:vAlign w:val="center"/>
          </w:tcPr>
          <w:p w14:paraId="080D0000">
            <w:pPr>
              <w:widowControl w:val="1"/>
              <w:ind/>
              <w:contextualSpacing w:val="1"/>
              <w:jc w:val="center"/>
              <w:rPr>
                <w:i w:val="1"/>
                <w:sz w:val="22"/>
              </w:rPr>
            </w:pPr>
            <w:r>
              <w:rPr>
                <w:i w:val="1"/>
                <w:sz w:val="22"/>
              </w:rPr>
              <w:t>2</w:t>
            </w:r>
          </w:p>
        </w:tc>
        <w:tc>
          <w:tcPr>
            <w:tcW w:type="dxa" w:w="1275"/>
            <w:tcBorders>
              <w:top w:sz="4" w:val="nil"/>
              <w:left w:sz="4" w:val="nil"/>
              <w:bottom w:color="000000" w:sz="4" w:val="single"/>
              <w:right w:color="000000" w:sz="4" w:val="single"/>
            </w:tcBorders>
            <w:shd w:fill="auto" w:val="clear"/>
            <w:vAlign w:val="center"/>
          </w:tcPr>
          <w:p w14:paraId="090D0000">
            <w:pPr>
              <w:widowControl w:val="1"/>
              <w:ind/>
              <w:contextualSpacing w:val="1"/>
              <w:jc w:val="center"/>
              <w:rPr>
                <w:i w:val="1"/>
                <w:sz w:val="22"/>
              </w:rPr>
            </w:pPr>
            <w:r>
              <w:rPr>
                <w:i w:val="1"/>
                <w:sz w:val="22"/>
              </w:rPr>
              <w:t>3</w:t>
            </w:r>
          </w:p>
        </w:tc>
        <w:tc>
          <w:tcPr>
            <w:tcW w:type="dxa" w:w="1418"/>
            <w:tcBorders>
              <w:top w:color="000000" w:sz="4" w:val="single"/>
              <w:left w:color="000000" w:sz="4" w:val="single"/>
              <w:bottom w:color="000000" w:sz="4" w:val="single"/>
              <w:right w:color="000000" w:sz="4" w:val="single"/>
            </w:tcBorders>
          </w:tcPr>
          <w:p w14:paraId="0A0D0000">
            <w:pPr>
              <w:widowControl w:val="1"/>
              <w:ind/>
              <w:contextualSpacing w:val="1"/>
              <w:jc w:val="center"/>
              <w:rPr>
                <w:i w:val="1"/>
                <w:sz w:val="22"/>
              </w:rPr>
            </w:pPr>
            <w:r>
              <w:rPr>
                <w:i w:val="1"/>
                <w:sz w:val="22"/>
              </w:rPr>
              <w:t>4</w:t>
            </w:r>
          </w:p>
        </w:tc>
        <w:tc>
          <w:tcPr>
            <w:tcW w:type="dxa" w:w="1417"/>
            <w:tcBorders>
              <w:top w:color="000000" w:sz="4" w:val="single"/>
              <w:left w:color="000000" w:sz="4" w:val="single"/>
              <w:bottom w:color="000000" w:sz="4" w:val="single"/>
              <w:right w:color="000000" w:sz="4" w:val="single"/>
            </w:tcBorders>
          </w:tcPr>
          <w:p w14:paraId="0B0D0000">
            <w:pPr>
              <w:widowControl w:val="1"/>
              <w:ind/>
              <w:contextualSpacing w:val="1"/>
              <w:jc w:val="center"/>
              <w:rPr>
                <w:i w:val="1"/>
                <w:sz w:val="22"/>
              </w:rPr>
            </w:pPr>
            <w:r>
              <w:rPr>
                <w:i w:val="1"/>
                <w:sz w:val="22"/>
              </w:rPr>
              <w:t>5</w:t>
            </w:r>
          </w:p>
        </w:tc>
        <w:tc>
          <w:tcPr>
            <w:tcW w:type="dxa" w:w="1276"/>
            <w:tcBorders>
              <w:top w:color="000000" w:sz="4" w:val="single"/>
              <w:left w:color="000000" w:sz="4" w:val="single"/>
              <w:bottom w:color="000000" w:sz="4" w:val="single"/>
              <w:right w:color="000000" w:sz="4" w:val="single"/>
            </w:tcBorders>
          </w:tcPr>
          <w:p w14:paraId="0C0D0000">
            <w:pPr>
              <w:widowControl w:val="1"/>
              <w:ind/>
              <w:contextualSpacing w:val="1"/>
              <w:jc w:val="center"/>
              <w:rPr>
                <w:i w:val="1"/>
                <w:sz w:val="22"/>
              </w:rPr>
            </w:pPr>
            <w:r>
              <w:rPr>
                <w:i w:val="1"/>
                <w:sz w:val="22"/>
              </w:rPr>
              <w:t>6</w:t>
            </w:r>
          </w:p>
        </w:tc>
        <w:tc>
          <w:tcPr>
            <w:tcW w:type="dxa" w:w="1134"/>
            <w:tcBorders>
              <w:top w:color="000000" w:sz="4" w:val="single"/>
              <w:left w:color="000000" w:sz="4" w:val="single"/>
              <w:bottom w:color="000000" w:sz="4" w:val="single"/>
              <w:right w:color="000000" w:sz="4" w:val="single"/>
            </w:tcBorders>
            <w:shd w:fill="auto" w:val="clear"/>
            <w:vAlign w:val="center"/>
          </w:tcPr>
          <w:p w14:paraId="0D0D0000">
            <w:pPr>
              <w:widowControl w:val="1"/>
              <w:ind/>
              <w:contextualSpacing w:val="1"/>
              <w:jc w:val="center"/>
              <w:rPr>
                <w:i w:val="1"/>
                <w:sz w:val="22"/>
              </w:rPr>
            </w:pPr>
            <w:r>
              <w:rPr>
                <w:i w:val="1"/>
                <w:sz w:val="22"/>
              </w:rPr>
              <w:t>7</w:t>
            </w:r>
          </w:p>
        </w:tc>
        <w:tc>
          <w:tcPr>
            <w:tcW w:type="dxa" w:w="992"/>
            <w:tcBorders>
              <w:top w:color="000000" w:sz="4" w:val="single"/>
              <w:left w:color="000000" w:sz="4" w:val="single"/>
              <w:bottom w:color="000000" w:sz="4" w:val="single"/>
              <w:right w:color="000000" w:sz="4" w:val="single"/>
            </w:tcBorders>
            <w:shd w:fill="auto" w:val="clear"/>
            <w:vAlign w:val="center"/>
          </w:tcPr>
          <w:p w14:paraId="0E0D0000">
            <w:pPr>
              <w:widowControl w:val="1"/>
              <w:ind/>
              <w:contextualSpacing w:val="1"/>
              <w:jc w:val="center"/>
              <w:rPr>
                <w:i w:val="1"/>
                <w:sz w:val="22"/>
              </w:rPr>
            </w:pPr>
            <w:r>
              <w:rPr>
                <w:i w:val="1"/>
                <w:sz w:val="22"/>
              </w:rPr>
              <w:t>8</w:t>
            </w:r>
          </w:p>
        </w:tc>
      </w:tr>
      <w:tr>
        <w:trPr>
          <w:trHeight w:hRule="atLeast" w:val="446"/>
        </w:trPr>
        <w:tc>
          <w:tcPr>
            <w:tcW w:type="dxa" w:w="714"/>
            <w:tcBorders>
              <w:top w:sz="4" w:val="nil"/>
              <w:left w:color="000000" w:sz="4" w:val="single"/>
              <w:bottom w:color="000000" w:sz="4" w:val="single"/>
              <w:right w:color="000000" w:sz="4" w:val="single"/>
            </w:tcBorders>
            <w:shd w:fill="auto" w:val="clear"/>
            <w:vAlign w:val="center"/>
          </w:tcPr>
          <w:p w14:paraId="0F0D0000">
            <w:pPr>
              <w:widowControl w:val="1"/>
              <w:ind w:firstLine="709" w:left="-977" w:right="-196"/>
              <w:contextualSpacing w:val="1"/>
              <w:jc w:val="center"/>
              <w:rPr>
                <w:b w:val="1"/>
                <w:sz w:val="22"/>
              </w:rPr>
            </w:pPr>
            <w:r>
              <w:rPr>
                <w:b w:val="1"/>
                <w:sz w:val="22"/>
              </w:rPr>
              <w:t>1.</w:t>
            </w:r>
          </w:p>
        </w:tc>
        <w:tc>
          <w:tcPr>
            <w:tcW w:type="dxa" w:w="1648"/>
            <w:tcBorders>
              <w:top w:sz="4" w:val="nil"/>
              <w:left w:sz="4" w:val="nil"/>
              <w:bottom w:color="000000" w:sz="4" w:val="single"/>
              <w:right w:color="000000" w:sz="4" w:val="single"/>
            </w:tcBorders>
            <w:shd w:fill="auto" w:val="clear"/>
            <w:vAlign w:val="center"/>
          </w:tcPr>
          <w:p w14:paraId="100D0000">
            <w:pPr>
              <w:widowControl w:val="1"/>
              <w:ind/>
              <w:contextualSpacing w:val="1"/>
              <w:rPr>
                <w:b w:val="1"/>
                <w:sz w:val="22"/>
              </w:rPr>
            </w:pPr>
            <w:r>
              <w:rPr>
                <w:b w:val="1"/>
                <w:sz w:val="22"/>
              </w:rPr>
              <w:t>Доходы от реализации:</w:t>
            </w:r>
          </w:p>
        </w:tc>
        <w:tc>
          <w:tcPr>
            <w:tcW w:type="dxa" w:w="1275"/>
            <w:tcBorders>
              <w:top w:sz="4" w:val="nil"/>
              <w:left w:sz="4" w:val="nil"/>
              <w:bottom w:color="000000" w:sz="4" w:val="single"/>
              <w:right w:color="000000" w:sz="4" w:val="single"/>
            </w:tcBorders>
            <w:shd w:fill="auto" w:val="clear"/>
            <w:vAlign w:val="center"/>
          </w:tcPr>
          <w:p w14:paraId="110D0000">
            <w:pPr>
              <w:widowControl w:val="1"/>
              <w:ind/>
              <w:contextualSpacing w:val="1"/>
              <w:jc w:val="center"/>
              <w:rPr>
                <w:b w:val="1"/>
                <w:color w:val="000000"/>
                <w:sz w:val="22"/>
              </w:rPr>
            </w:pPr>
            <w:r>
              <w:rPr>
                <w:b w:val="1"/>
                <w:color w:val="000000"/>
                <w:sz w:val="22"/>
              </w:rPr>
              <w:t>318 486</w:t>
            </w:r>
          </w:p>
        </w:tc>
        <w:tc>
          <w:tcPr>
            <w:tcW w:type="dxa" w:w="1418"/>
            <w:tcBorders>
              <w:top w:color="000000" w:sz="4" w:val="single"/>
              <w:left w:color="000000" w:sz="4" w:val="single"/>
              <w:bottom w:color="000000" w:sz="4" w:val="single"/>
              <w:right w:color="000000" w:sz="4" w:val="single"/>
            </w:tcBorders>
            <w:vAlign w:val="center"/>
          </w:tcPr>
          <w:p w14:paraId="120D0000">
            <w:pPr>
              <w:widowControl w:val="1"/>
              <w:ind/>
              <w:contextualSpacing w:val="1"/>
              <w:jc w:val="center"/>
              <w:rPr>
                <w:b w:val="1"/>
                <w:color w:val="000000"/>
                <w:sz w:val="22"/>
              </w:rPr>
            </w:pPr>
            <w:r>
              <w:rPr>
                <w:b w:val="1"/>
                <w:color w:val="000000"/>
                <w:sz w:val="22"/>
              </w:rPr>
              <w:t>326 638</w:t>
            </w:r>
          </w:p>
        </w:tc>
        <w:tc>
          <w:tcPr>
            <w:tcW w:type="dxa" w:w="1417"/>
            <w:tcBorders>
              <w:top w:color="000000" w:sz="4" w:val="single"/>
              <w:left w:color="000000" w:sz="4" w:val="single"/>
              <w:bottom w:color="000000" w:sz="4" w:val="single"/>
              <w:right w:color="000000" w:sz="4" w:val="single"/>
            </w:tcBorders>
            <w:vAlign w:val="center"/>
          </w:tcPr>
          <w:p w14:paraId="130D0000">
            <w:pPr>
              <w:widowControl w:val="1"/>
              <w:ind/>
              <w:contextualSpacing w:val="1"/>
              <w:jc w:val="center"/>
              <w:rPr>
                <w:b w:val="1"/>
                <w:color w:val="000000"/>
                <w:sz w:val="22"/>
              </w:rPr>
            </w:pPr>
            <w:r>
              <w:rPr>
                <w:b w:val="1"/>
                <w:color w:val="000000"/>
                <w:sz w:val="22"/>
              </w:rPr>
              <w:t>335 789</w:t>
            </w:r>
          </w:p>
        </w:tc>
        <w:tc>
          <w:tcPr>
            <w:tcW w:type="dxa" w:w="1276"/>
            <w:tcBorders>
              <w:top w:color="000000" w:sz="4" w:val="single"/>
              <w:left w:color="000000" w:sz="4" w:val="single"/>
              <w:bottom w:color="000000" w:sz="4" w:val="single"/>
              <w:right w:color="000000" w:sz="4" w:val="single"/>
            </w:tcBorders>
            <w:vAlign w:val="center"/>
          </w:tcPr>
          <w:p w14:paraId="140D0000">
            <w:pPr>
              <w:widowControl w:val="1"/>
              <w:ind/>
              <w:contextualSpacing w:val="1"/>
              <w:jc w:val="center"/>
              <w:rPr>
                <w:b w:val="1"/>
                <w:color w:val="000000"/>
                <w:sz w:val="22"/>
              </w:rPr>
            </w:pPr>
            <w:r>
              <w:rPr>
                <w:b w:val="1"/>
                <w:color w:val="000000"/>
                <w:sz w:val="22"/>
              </w:rPr>
              <w:t>335 109</w:t>
            </w:r>
          </w:p>
        </w:tc>
        <w:tc>
          <w:tcPr>
            <w:tcW w:type="dxa" w:w="1134"/>
            <w:tcBorders>
              <w:top w:color="000000" w:sz="4" w:val="single"/>
              <w:left w:color="000000" w:sz="4" w:val="single"/>
              <w:bottom w:color="000000" w:sz="4" w:val="single"/>
              <w:right w:color="000000" w:sz="4" w:val="single"/>
            </w:tcBorders>
            <w:shd w:fill="auto" w:val="clear"/>
            <w:vAlign w:val="center"/>
          </w:tcPr>
          <w:p w14:paraId="150D0000">
            <w:pPr>
              <w:widowControl w:val="1"/>
              <w:ind/>
              <w:contextualSpacing w:val="1"/>
              <w:jc w:val="center"/>
              <w:rPr>
                <w:i w:val="1"/>
                <w:color w:val="000000"/>
                <w:sz w:val="22"/>
              </w:rPr>
            </w:pPr>
            <w:r>
              <w:rPr>
                <w:i w:val="1"/>
                <w:color w:val="000000"/>
                <w:sz w:val="22"/>
              </w:rPr>
              <w:t>103</w:t>
            </w:r>
          </w:p>
        </w:tc>
        <w:tc>
          <w:tcPr>
            <w:tcW w:type="dxa" w:w="992"/>
            <w:tcBorders>
              <w:top w:color="000000" w:sz="4" w:val="single"/>
              <w:left w:color="000000" w:sz="4" w:val="single"/>
              <w:bottom w:color="000000" w:sz="4" w:val="single"/>
              <w:right w:color="000000" w:sz="4" w:val="single"/>
            </w:tcBorders>
            <w:shd w:fill="auto" w:val="clear"/>
            <w:vAlign w:val="center"/>
          </w:tcPr>
          <w:p w14:paraId="160D0000">
            <w:pPr>
              <w:widowControl w:val="1"/>
              <w:ind/>
              <w:contextualSpacing w:val="1"/>
              <w:jc w:val="center"/>
              <w:rPr>
                <w:i w:val="1"/>
                <w:color w:val="000000"/>
                <w:sz w:val="22"/>
              </w:rPr>
            </w:pPr>
            <w:r>
              <w:rPr>
                <w:i w:val="1"/>
                <w:color w:val="000000"/>
                <w:sz w:val="22"/>
              </w:rPr>
              <w:t>100</w:t>
            </w:r>
          </w:p>
        </w:tc>
      </w:tr>
      <w:tr>
        <w:trPr>
          <w:trHeight w:hRule="atLeast" w:val="515"/>
        </w:trPr>
        <w:tc>
          <w:tcPr>
            <w:tcW w:type="dxa" w:w="714"/>
            <w:tcBorders>
              <w:top w:sz="4" w:val="nil"/>
              <w:left w:color="000000" w:sz="4" w:val="single"/>
              <w:bottom w:color="000000" w:sz="4" w:val="single"/>
              <w:right w:color="000000" w:sz="4" w:val="single"/>
            </w:tcBorders>
            <w:shd w:fill="auto" w:val="clear"/>
            <w:vAlign w:val="center"/>
          </w:tcPr>
          <w:p w14:paraId="170D0000">
            <w:pPr>
              <w:widowControl w:val="1"/>
              <w:ind w:firstLine="709" w:left="-977" w:right="-196"/>
              <w:contextualSpacing w:val="1"/>
              <w:jc w:val="center"/>
              <w:rPr>
                <w:i w:val="1"/>
                <w:sz w:val="22"/>
              </w:rPr>
            </w:pPr>
            <w:r>
              <w:rPr>
                <w:i w:val="1"/>
                <w:sz w:val="22"/>
              </w:rPr>
              <w:t>1.1.</w:t>
            </w:r>
          </w:p>
        </w:tc>
        <w:tc>
          <w:tcPr>
            <w:tcW w:type="dxa" w:w="1648"/>
            <w:tcBorders>
              <w:top w:sz="4" w:val="nil"/>
              <w:left w:sz="4" w:val="nil"/>
              <w:bottom w:color="000000" w:sz="4" w:val="single"/>
              <w:right w:color="000000" w:sz="4" w:val="single"/>
            </w:tcBorders>
            <w:shd w:fill="auto" w:val="clear"/>
            <w:vAlign w:val="center"/>
          </w:tcPr>
          <w:p w14:paraId="180D0000">
            <w:pPr>
              <w:widowControl w:val="1"/>
              <w:ind w:firstLine="220"/>
              <w:contextualSpacing w:val="1"/>
              <w:rPr>
                <w:i w:val="1"/>
                <w:sz w:val="22"/>
              </w:rPr>
            </w:pPr>
            <w:r>
              <w:rPr>
                <w:i w:val="1"/>
                <w:sz w:val="22"/>
              </w:rPr>
              <w:t>Доходы по основной деятельности</w:t>
            </w:r>
          </w:p>
        </w:tc>
        <w:tc>
          <w:tcPr>
            <w:tcW w:type="dxa" w:w="1275"/>
            <w:tcBorders>
              <w:top w:sz="4" w:val="nil"/>
              <w:left w:sz="4" w:val="nil"/>
              <w:bottom w:color="000000" w:sz="4" w:val="single"/>
              <w:right w:color="000000" w:sz="4" w:val="single"/>
            </w:tcBorders>
            <w:shd w:fill="auto" w:val="clear"/>
            <w:vAlign w:val="center"/>
          </w:tcPr>
          <w:p w14:paraId="190D0000">
            <w:pPr>
              <w:widowControl w:val="1"/>
              <w:ind/>
              <w:contextualSpacing w:val="1"/>
              <w:jc w:val="center"/>
              <w:rPr>
                <w:i w:val="1"/>
                <w:color w:val="000000"/>
                <w:sz w:val="22"/>
              </w:rPr>
            </w:pPr>
            <w:r>
              <w:rPr>
                <w:i w:val="1"/>
                <w:color w:val="000000"/>
                <w:sz w:val="22"/>
              </w:rPr>
              <w:t>313 954</w:t>
            </w:r>
          </w:p>
        </w:tc>
        <w:tc>
          <w:tcPr>
            <w:tcW w:type="dxa" w:w="1418"/>
            <w:tcBorders>
              <w:top w:color="000000" w:sz="4" w:val="single"/>
              <w:left w:color="000000" w:sz="4" w:val="single"/>
              <w:bottom w:color="000000" w:sz="4" w:val="single"/>
              <w:right w:color="000000" w:sz="4" w:val="single"/>
            </w:tcBorders>
            <w:vAlign w:val="center"/>
          </w:tcPr>
          <w:p w14:paraId="1A0D0000">
            <w:pPr>
              <w:widowControl w:val="1"/>
              <w:ind/>
              <w:contextualSpacing w:val="1"/>
              <w:jc w:val="center"/>
              <w:rPr>
                <w:color w:val="000000"/>
                <w:sz w:val="22"/>
              </w:rPr>
            </w:pPr>
            <w:r>
              <w:rPr>
                <w:color w:val="000000"/>
                <w:sz w:val="22"/>
              </w:rPr>
              <w:t>322 289</w:t>
            </w:r>
          </w:p>
        </w:tc>
        <w:tc>
          <w:tcPr>
            <w:tcW w:type="dxa" w:w="1417"/>
            <w:tcBorders>
              <w:top w:color="000000" w:sz="4" w:val="single"/>
              <w:left w:color="000000" w:sz="4" w:val="single"/>
              <w:bottom w:color="000000" w:sz="4" w:val="single"/>
              <w:right w:color="000000" w:sz="4" w:val="single"/>
            </w:tcBorders>
            <w:vAlign w:val="center"/>
          </w:tcPr>
          <w:p w14:paraId="1B0D0000">
            <w:pPr>
              <w:widowControl w:val="1"/>
              <w:ind/>
              <w:contextualSpacing w:val="1"/>
              <w:jc w:val="center"/>
              <w:rPr>
                <w:color w:val="000000"/>
                <w:sz w:val="22"/>
              </w:rPr>
            </w:pPr>
            <w:r>
              <w:rPr>
                <w:color w:val="000000"/>
                <w:sz w:val="22"/>
              </w:rPr>
              <w:t>331 663</w:t>
            </w:r>
          </w:p>
        </w:tc>
        <w:tc>
          <w:tcPr>
            <w:tcW w:type="dxa" w:w="1276"/>
            <w:tcBorders>
              <w:top w:color="000000" w:sz="4" w:val="single"/>
              <w:left w:color="000000" w:sz="4" w:val="single"/>
              <w:bottom w:color="000000" w:sz="4" w:val="single"/>
              <w:right w:color="000000" w:sz="4" w:val="single"/>
            </w:tcBorders>
            <w:vAlign w:val="center"/>
          </w:tcPr>
          <w:p w14:paraId="1C0D0000">
            <w:pPr>
              <w:widowControl w:val="1"/>
              <w:ind/>
              <w:contextualSpacing w:val="1"/>
              <w:jc w:val="center"/>
              <w:rPr>
                <w:color w:val="000000"/>
                <w:sz w:val="22"/>
              </w:rPr>
            </w:pPr>
            <w:r>
              <w:rPr>
                <w:color w:val="000000"/>
                <w:sz w:val="22"/>
              </w:rPr>
              <w:t>329 239</w:t>
            </w:r>
          </w:p>
        </w:tc>
        <w:tc>
          <w:tcPr>
            <w:tcW w:type="dxa" w:w="1134"/>
            <w:tcBorders>
              <w:top w:color="000000" w:sz="4" w:val="single"/>
              <w:left w:color="000000" w:sz="4" w:val="single"/>
              <w:bottom w:color="000000" w:sz="4" w:val="single"/>
              <w:right w:color="000000" w:sz="4" w:val="single"/>
            </w:tcBorders>
            <w:shd w:fill="auto" w:val="clear"/>
            <w:vAlign w:val="center"/>
          </w:tcPr>
          <w:p w14:paraId="1D0D0000">
            <w:pPr>
              <w:widowControl w:val="1"/>
              <w:ind/>
              <w:contextualSpacing w:val="1"/>
              <w:jc w:val="center"/>
              <w:rPr>
                <w:i w:val="1"/>
                <w:color w:val="000000"/>
                <w:sz w:val="22"/>
              </w:rPr>
            </w:pPr>
            <w:r>
              <w:rPr>
                <w:i w:val="1"/>
                <w:color w:val="000000"/>
                <w:sz w:val="22"/>
              </w:rPr>
              <w:t>102</w:t>
            </w:r>
          </w:p>
        </w:tc>
        <w:tc>
          <w:tcPr>
            <w:tcW w:type="dxa" w:w="992"/>
            <w:tcBorders>
              <w:top w:color="000000" w:sz="4" w:val="single"/>
              <w:left w:color="000000" w:sz="4" w:val="single"/>
              <w:bottom w:color="000000" w:sz="4" w:val="single"/>
              <w:right w:color="000000" w:sz="4" w:val="single"/>
            </w:tcBorders>
            <w:shd w:fill="auto" w:val="clear"/>
            <w:vAlign w:val="center"/>
          </w:tcPr>
          <w:p w14:paraId="1E0D0000">
            <w:pPr>
              <w:widowControl w:val="1"/>
              <w:ind/>
              <w:contextualSpacing w:val="1"/>
              <w:jc w:val="center"/>
              <w:rPr>
                <w:i w:val="1"/>
                <w:color w:val="000000"/>
                <w:sz w:val="22"/>
              </w:rPr>
            </w:pPr>
            <w:r>
              <w:rPr>
                <w:i w:val="1"/>
                <w:color w:val="000000"/>
                <w:sz w:val="22"/>
              </w:rPr>
              <w:t>99</w:t>
            </w:r>
          </w:p>
        </w:tc>
      </w:tr>
      <w:tr>
        <w:trPr>
          <w:trHeight w:hRule="atLeast" w:val="710"/>
        </w:trPr>
        <w:tc>
          <w:tcPr>
            <w:tcW w:type="dxa" w:w="714"/>
            <w:tcBorders>
              <w:top w:sz="4" w:val="nil"/>
              <w:left w:color="000000" w:sz="4" w:val="single"/>
              <w:bottom w:color="000000" w:sz="4" w:val="single"/>
              <w:right w:color="000000" w:sz="4" w:val="single"/>
            </w:tcBorders>
            <w:shd w:fill="auto" w:val="clear"/>
            <w:vAlign w:val="center"/>
          </w:tcPr>
          <w:p w14:paraId="1F0D0000">
            <w:pPr>
              <w:widowControl w:val="1"/>
              <w:ind w:firstLine="709" w:left="-977" w:right="-196"/>
              <w:contextualSpacing w:val="1"/>
              <w:jc w:val="center"/>
              <w:rPr>
                <w:i w:val="1"/>
                <w:sz w:val="22"/>
              </w:rPr>
            </w:pPr>
            <w:r>
              <w:rPr>
                <w:i w:val="1"/>
                <w:sz w:val="22"/>
              </w:rPr>
              <w:t>1.2.</w:t>
            </w:r>
          </w:p>
        </w:tc>
        <w:tc>
          <w:tcPr>
            <w:tcW w:type="dxa" w:w="1648"/>
            <w:tcBorders>
              <w:top w:sz="4" w:val="nil"/>
              <w:left w:sz="4" w:val="nil"/>
              <w:bottom w:color="000000" w:sz="4" w:val="single"/>
              <w:right w:color="000000" w:sz="4" w:val="single"/>
            </w:tcBorders>
            <w:shd w:fill="auto" w:val="clear"/>
            <w:vAlign w:val="center"/>
          </w:tcPr>
          <w:p w14:paraId="200D0000">
            <w:pPr>
              <w:widowControl w:val="1"/>
              <w:ind w:firstLine="220"/>
              <w:contextualSpacing w:val="1"/>
              <w:rPr>
                <w:i w:val="1"/>
                <w:sz w:val="22"/>
              </w:rPr>
            </w:pPr>
            <w:r>
              <w:rPr>
                <w:i w:val="1"/>
                <w:sz w:val="22"/>
              </w:rPr>
              <w:t>Доходы от прочих видов деятельности</w:t>
            </w:r>
          </w:p>
        </w:tc>
        <w:tc>
          <w:tcPr>
            <w:tcW w:type="dxa" w:w="1275"/>
            <w:tcBorders>
              <w:top w:sz="4" w:val="nil"/>
              <w:left w:sz="4" w:val="nil"/>
              <w:bottom w:color="000000" w:sz="4" w:val="single"/>
              <w:right w:color="000000" w:sz="4" w:val="single"/>
            </w:tcBorders>
            <w:shd w:fill="auto" w:val="clear"/>
            <w:vAlign w:val="center"/>
          </w:tcPr>
          <w:p w14:paraId="210D0000">
            <w:pPr>
              <w:widowControl w:val="1"/>
              <w:ind/>
              <w:contextualSpacing w:val="1"/>
              <w:jc w:val="center"/>
              <w:rPr>
                <w:i w:val="1"/>
                <w:color w:val="000000"/>
                <w:sz w:val="22"/>
              </w:rPr>
            </w:pPr>
            <w:r>
              <w:rPr>
                <w:i w:val="1"/>
                <w:color w:val="000000"/>
                <w:sz w:val="22"/>
              </w:rPr>
              <w:t>4 532</w:t>
            </w:r>
          </w:p>
        </w:tc>
        <w:tc>
          <w:tcPr>
            <w:tcW w:type="dxa" w:w="1418"/>
            <w:tcBorders>
              <w:top w:color="000000" w:sz="4" w:val="single"/>
              <w:left w:color="000000" w:sz="4" w:val="single"/>
              <w:bottom w:color="000000" w:sz="4" w:val="single"/>
              <w:right w:color="000000" w:sz="4" w:val="single"/>
            </w:tcBorders>
            <w:vAlign w:val="center"/>
          </w:tcPr>
          <w:p w14:paraId="220D0000">
            <w:pPr>
              <w:widowControl w:val="1"/>
              <w:ind/>
              <w:contextualSpacing w:val="1"/>
              <w:jc w:val="center"/>
              <w:rPr>
                <w:i w:val="1"/>
                <w:color w:val="000000"/>
                <w:sz w:val="22"/>
              </w:rPr>
            </w:pPr>
            <w:r>
              <w:rPr>
                <w:i w:val="1"/>
                <w:color w:val="000000"/>
                <w:sz w:val="22"/>
              </w:rPr>
              <w:t>4 349</w:t>
            </w:r>
          </w:p>
        </w:tc>
        <w:tc>
          <w:tcPr>
            <w:tcW w:type="dxa" w:w="1417"/>
            <w:tcBorders>
              <w:top w:color="000000" w:sz="4" w:val="single"/>
              <w:left w:color="000000" w:sz="4" w:val="single"/>
              <w:bottom w:color="000000" w:sz="4" w:val="single"/>
              <w:right w:color="000000" w:sz="4" w:val="single"/>
            </w:tcBorders>
            <w:vAlign w:val="center"/>
          </w:tcPr>
          <w:p w14:paraId="230D0000">
            <w:pPr>
              <w:widowControl w:val="1"/>
              <w:ind/>
              <w:contextualSpacing w:val="1"/>
              <w:jc w:val="center"/>
              <w:rPr>
                <w:i w:val="1"/>
                <w:color w:val="000000"/>
                <w:sz w:val="22"/>
              </w:rPr>
            </w:pPr>
            <w:r>
              <w:rPr>
                <w:i w:val="1"/>
                <w:color w:val="000000"/>
                <w:sz w:val="22"/>
              </w:rPr>
              <w:t>4 126</w:t>
            </w:r>
          </w:p>
        </w:tc>
        <w:tc>
          <w:tcPr>
            <w:tcW w:type="dxa" w:w="1276"/>
            <w:tcBorders>
              <w:top w:color="000000" w:sz="4" w:val="single"/>
              <w:left w:color="000000" w:sz="4" w:val="single"/>
              <w:bottom w:color="000000" w:sz="4" w:val="single"/>
              <w:right w:color="000000" w:sz="4" w:val="single"/>
            </w:tcBorders>
            <w:vAlign w:val="center"/>
          </w:tcPr>
          <w:p w14:paraId="240D0000">
            <w:pPr>
              <w:widowControl w:val="1"/>
              <w:ind/>
              <w:contextualSpacing w:val="1"/>
              <w:jc w:val="center"/>
              <w:rPr>
                <w:i w:val="1"/>
                <w:color w:val="000000"/>
                <w:sz w:val="22"/>
              </w:rPr>
            </w:pPr>
            <w:r>
              <w:rPr>
                <w:i w:val="1"/>
                <w:color w:val="000000"/>
                <w:sz w:val="22"/>
              </w:rPr>
              <w:t>5 870</w:t>
            </w:r>
          </w:p>
        </w:tc>
        <w:tc>
          <w:tcPr>
            <w:tcW w:type="dxa" w:w="1134"/>
            <w:tcBorders>
              <w:top w:color="000000" w:sz="4" w:val="single"/>
              <w:left w:color="000000" w:sz="4" w:val="single"/>
              <w:bottom w:color="000000" w:sz="4" w:val="single"/>
              <w:right w:color="000000" w:sz="4" w:val="single"/>
            </w:tcBorders>
            <w:shd w:fill="auto" w:val="clear"/>
            <w:vAlign w:val="center"/>
          </w:tcPr>
          <w:p w14:paraId="250D0000">
            <w:pPr>
              <w:widowControl w:val="1"/>
              <w:ind/>
              <w:contextualSpacing w:val="1"/>
              <w:jc w:val="center"/>
              <w:rPr>
                <w:i w:val="1"/>
                <w:color w:val="000000"/>
                <w:sz w:val="22"/>
              </w:rPr>
            </w:pPr>
            <w:r>
              <w:rPr>
                <w:i w:val="1"/>
                <w:color w:val="000000"/>
                <w:sz w:val="22"/>
              </w:rPr>
              <w:t>135</w:t>
            </w:r>
          </w:p>
        </w:tc>
        <w:tc>
          <w:tcPr>
            <w:tcW w:type="dxa" w:w="992"/>
            <w:tcBorders>
              <w:top w:color="000000" w:sz="4" w:val="single"/>
              <w:left w:color="000000" w:sz="4" w:val="single"/>
              <w:bottom w:color="000000" w:sz="4" w:val="single"/>
              <w:right w:color="000000" w:sz="4" w:val="single"/>
            </w:tcBorders>
            <w:shd w:fill="auto" w:val="clear"/>
            <w:vAlign w:val="center"/>
          </w:tcPr>
          <w:p w14:paraId="260D0000">
            <w:pPr>
              <w:widowControl w:val="1"/>
              <w:ind/>
              <w:contextualSpacing w:val="1"/>
              <w:jc w:val="center"/>
              <w:rPr>
                <w:i w:val="1"/>
                <w:color w:val="000000"/>
                <w:sz w:val="22"/>
              </w:rPr>
            </w:pPr>
            <w:r>
              <w:rPr>
                <w:i w:val="1"/>
                <w:color w:val="000000"/>
                <w:sz w:val="22"/>
              </w:rPr>
              <w:t>142</w:t>
            </w:r>
          </w:p>
        </w:tc>
      </w:tr>
      <w:tr>
        <w:trPr>
          <w:trHeight w:hRule="atLeast" w:val="320"/>
        </w:trPr>
        <w:tc>
          <w:tcPr>
            <w:tcW w:type="dxa" w:w="714"/>
            <w:tcBorders>
              <w:top w:sz="4" w:val="nil"/>
              <w:left w:color="000000" w:sz="4" w:val="single"/>
              <w:bottom w:color="000000" w:sz="4" w:val="single"/>
              <w:right w:color="000000" w:sz="4" w:val="single"/>
            </w:tcBorders>
            <w:shd w:fill="auto" w:val="clear"/>
            <w:vAlign w:val="center"/>
          </w:tcPr>
          <w:p w14:paraId="270D0000">
            <w:pPr>
              <w:widowControl w:val="1"/>
              <w:ind w:firstLine="709" w:left="-977" w:right="-196"/>
              <w:contextualSpacing w:val="1"/>
              <w:jc w:val="center"/>
              <w:rPr>
                <w:b w:val="1"/>
                <w:sz w:val="22"/>
              </w:rPr>
            </w:pPr>
            <w:r>
              <w:rPr>
                <w:b w:val="1"/>
                <w:sz w:val="22"/>
              </w:rPr>
              <w:t>2.</w:t>
            </w:r>
          </w:p>
        </w:tc>
        <w:tc>
          <w:tcPr>
            <w:tcW w:type="dxa" w:w="1648"/>
            <w:tcBorders>
              <w:top w:sz="4" w:val="nil"/>
              <w:left w:sz="4" w:val="nil"/>
              <w:bottom w:color="000000" w:sz="4" w:val="single"/>
              <w:right w:color="000000" w:sz="4" w:val="single"/>
            </w:tcBorders>
            <w:shd w:fill="auto" w:val="clear"/>
            <w:vAlign w:val="center"/>
          </w:tcPr>
          <w:p w14:paraId="280D0000">
            <w:pPr>
              <w:widowControl w:val="1"/>
              <w:ind/>
              <w:contextualSpacing w:val="1"/>
              <w:rPr>
                <w:b w:val="1"/>
                <w:sz w:val="22"/>
              </w:rPr>
            </w:pPr>
            <w:r>
              <w:rPr>
                <w:b w:val="1"/>
                <w:sz w:val="22"/>
              </w:rPr>
              <w:t>Прочие доходы</w:t>
            </w:r>
          </w:p>
        </w:tc>
        <w:tc>
          <w:tcPr>
            <w:tcW w:type="dxa" w:w="1275"/>
            <w:tcBorders>
              <w:top w:sz="4" w:val="nil"/>
              <w:left w:sz="4" w:val="nil"/>
              <w:bottom w:color="000000" w:sz="4" w:val="single"/>
              <w:right w:color="000000" w:sz="4" w:val="single"/>
            </w:tcBorders>
            <w:shd w:fill="auto" w:val="clear"/>
            <w:vAlign w:val="center"/>
          </w:tcPr>
          <w:p w14:paraId="290D0000">
            <w:pPr>
              <w:widowControl w:val="1"/>
              <w:ind/>
              <w:contextualSpacing w:val="1"/>
              <w:jc w:val="center"/>
              <w:rPr>
                <w:b w:val="1"/>
                <w:color w:val="000000"/>
                <w:sz w:val="22"/>
              </w:rPr>
            </w:pPr>
            <w:r>
              <w:rPr>
                <w:b w:val="1"/>
                <w:color w:val="000000"/>
                <w:sz w:val="22"/>
              </w:rPr>
              <w:t>379 619</w:t>
            </w:r>
          </w:p>
        </w:tc>
        <w:tc>
          <w:tcPr>
            <w:tcW w:type="dxa" w:w="1418"/>
            <w:tcBorders>
              <w:top w:color="000000" w:sz="4" w:val="single"/>
              <w:left w:color="000000" w:sz="4" w:val="single"/>
              <w:bottom w:color="000000" w:sz="4" w:val="single"/>
              <w:right w:color="000000" w:sz="4" w:val="single"/>
            </w:tcBorders>
            <w:vAlign w:val="center"/>
          </w:tcPr>
          <w:p w14:paraId="2A0D0000">
            <w:pPr>
              <w:widowControl w:val="1"/>
              <w:ind/>
              <w:contextualSpacing w:val="1"/>
              <w:jc w:val="center"/>
              <w:rPr>
                <w:b w:val="1"/>
                <w:color w:val="000000"/>
                <w:sz w:val="22"/>
              </w:rPr>
            </w:pPr>
            <w:r>
              <w:rPr>
                <w:b w:val="1"/>
                <w:color w:val="000000"/>
                <w:sz w:val="22"/>
              </w:rPr>
              <w:t>39</w:t>
            </w:r>
            <w:r>
              <w:rPr>
                <w:b w:val="1"/>
                <w:color w:val="000000"/>
                <w:sz w:val="22"/>
              </w:rPr>
              <w:t>6 307</w:t>
            </w:r>
          </w:p>
        </w:tc>
        <w:tc>
          <w:tcPr>
            <w:tcW w:type="dxa" w:w="1417"/>
            <w:tcBorders>
              <w:top w:color="000000" w:sz="4" w:val="single"/>
              <w:left w:color="000000" w:sz="4" w:val="single"/>
              <w:bottom w:color="000000" w:sz="4" w:val="single"/>
              <w:right w:color="000000" w:sz="4" w:val="single"/>
            </w:tcBorders>
            <w:vAlign w:val="center"/>
          </w:tcPr>
          <w:p w14:paraId="2B0D0000">
            <w:pPr>
              <w:widowControl w:val="1"/>
              <w:ind/>
              <w:contextualSpacing w:val="1"/>
              <w:jc w:val="center"/>
              <w:rPr>
                <w:b w:val="1"/>
                <w:color w:val="000000"/>
                <w:sz w:val="22"/>
              </w:rPr>
            </w:pPr>
            <w:r>
              <w:rPr>
                <w:b w:val="1"/>
                <w:color w:val="000000"/>
                <w:sz w:val="22"/>
              </w:rPr>
              <w:t>390 872</w:t>
            </w:r>
          </w:p>
        </w:tc>
        <w:tc>
          <w:tcPr>
            <w:tcW w:type="dxa" w:w="1276"/>
            <w:tcBorders>
              <w:top w:color="000000" w:sz="4" w:val="single"/>
              <w:left w:color="000000" w:sz="4" w:val="single"/>
              <w:bottom w:color="000000" w:sz="4" w:val="single"/>
              <w:right w:color="000000" w:sz="4" w:val="single"/>
            </w:tcBorders>
            <w:vAlign w:val="center"/>
          </w:tcPr>
          <w:p w14:paraId="2C0D0000">
            <w:pPr>
              <w:widowControl w:val="1"/>
              <w:ind/>
              <w:contextualSpacing w:val="1"/>
              <w:jc w:val="center"/>
              <w:rPr>
                <w:b w:val="1"/>
                <w:color w:val="000000"/>
                <w:sz w:val="22"/>
              </w:rPr>
            </w:pPr>
            <w:r>
              <w:rPr>
                <w:b w:val="1"/>
                <w:color w:val="000000"/>
                <w:sz w:val="22"/>
              </w:rPr>
              <w:t>394 396</w:t>
            </w:r>
          </w:p>
        </w:tc>
        <w:tc>
          <w:tcPr>
            <w:tcW w:type="dxa" w:w="1134"/>
            <w:tcBorders>
              <w:top w:color="000000" w:sz="4" w:val="single"/>
              <w:left w:color="000000" w:sz="4" w:val="single"/>
              <w:bottom w:color="000000" w:sz="4" w:val="single"/>
              <w:right w:color="000000" w:sz="4" w:val="single"/>
            </w:tcBorders>
            <w:shd w:fill="auto" w:val="clear"/>
            <w:vAlign w:val="center"/>
          </w:tcPr>
          <w:p w14:paraId="2D0D0000">
            <w:pPr>
              <w:widowControl w:val="1"/>
              <w:ind/>
              <w:contextualSpacing w:val="1"/>
              <w:jc w:val="center"/>
              <w:rPr>
                <w:i w:val="1"/>
                <w:color w:val="000000"/>
                <w:sz w:val="22"/>
              </w:rPr>
            </w:pPr>
            <w:r>
              <w:rPr>
                <w:i w:val="1"/>
                <w:color w:val="000000"/>
                <w:sz w:val="22"/>
              </w:rPr>
              <w:t>100</w:t>
            </w:r>
          </w:p>
        </w:tc>
        <w:tc>
          <w:tcPr>
            <w:tcW w:type="dxa" w:w="992"/>
            <w:tcBorders>
              <w:top w:color="000000" w:sz="4" w:val="single"/>
              <w:left w:color="000000" w:sz="4" w:val="single"/>
              <w:bottom w:color="000000" w:sz="4" w:val="single"/>
              <w:right w:color="000000" w:sz="4" w:val="single"/>
            </w:tcBorders>
            <w:shd w:fill="auto" w:val="clear"/>
            <w:vAlign w:val="center"/>
          </w:tcPr>
          <w:p w14:paraId="2E0D0000">
            <w:pPr>
              <w:widowControl w:val="1"/>
              <w:ind/>
              <w:contextualSpacing w:val="1"/>
              <w:jc w:val="center"/>
              <w:rPr>
                <w:i w:val="1"/>
                <w:color w:val="000000"/>
                <w:sz w:val="22"/>
              </w:rPr>
            </w:pPr>
            <w:r>
              <w:rPr>
                <w:i w:val="1"/>
                <w:color w:val="000000"/>
                <w:sz w:val="22"/>
              </w:rPr>
              <w:t>101</w:t>
            </w:r>
          </w:p>
        </w:tc>
      </w:tr>
      <w:tr>
        <w:trPr>
          <w:trHeight w:hRule="atLeast" w:val="446"/>
        </w:trPr>
        <w:tc>
          <w:tcPr>
            <w:tcW w:type="dxa" w:w="714"/>
            <w:tcBorders>
              <w:top w:sz="4" w:val="nil"/>
              <w:left w:color="000000" w:sz="4" w:val="single"/>
              <w:bottom w:sz="4" w:val="nil"/>
              <w:right w:color="000000" w:sz="4" w:val="single"/>
            </w:tcBorders>
            <w:shd w:fill="auto" w:val="clear"/>
            <w:vAlign w:val="center"/>
          </w:tcPr>
          <w:p w14:paraId="2F0D0000">
            <w:pPr>
              <w:widowControl w:val="1"/>
              <w:ind w:firstLine="709" w:left="-977" w:right="-196"/>
              <w:contextualSpacing w:val="1"/>
              <w:jc w:val="center"/>
              <w:rPr>
                <w:i w:val="1"/>
                <w:sz w:val="22"/>
              </w:rPr>
            </w:pPr>
            <w:r>
              <w:rPr>
                <w:i w:val="1"/>
                <w:sz w:val="22"/>
              </w:rPr>
              <w:t>2.1.</w:t>
            </w:r>
          </w:p>
        </w:tc>
        <w:tc>
          <w:tcPr>
            <w:tcW w:type="dxa" w:w="1648"/>
            <w:tcBorders>
              <w:top w:sz="4" w:val="nil"/>
              <w:left w:sz="4" w:val="nil"/>
              <w:bottom w:color="000000" w:sz="4" w:val="single"/>
              <w:right w:color="000000" w:sz="4" w:val="single"/>
            </w:tcBorders>
            <w:shd w:fill="auto" w:val="clear"/>
            <w:vAlign w:val="center"/>
          </w:tcPr>
          <w:p w14:paraId="300D0000">
            <w:pPr>
              <w:widowControl w:val="1"/>
              <w:ind w:firstLine="220"/>
              <w:contextualSpacing w:val="1"/>
              <w:rPr>
                <w:i w:val="1"/>
                <w:sz w:val="22"/>
              </w:rPr>
            </w:pPr>
            <w:r>
              <w:rPr>
                <w:i w:val="1"/>
                <w:sz w:val="22"/>
              </w:rPr>
              <w:t>по основной деятельности</w:t>
            </w:r>
          </w:p>
        </w:tc>
        <w:tc>
          <w:tcPr>
            <w:tcW w:type="dxa" w:w="1275"/>
            <w:tcBorders>
              <w:top w:sz="4" w:val="nil"/>
              <w:left w:sz="4" w:val="nil"/>
              <w:bottom w:color="000000" w:sz="4" w:val="single"/>
              <w:right w:color="000000" w:sz="4" w:val="single"/>
            </w:tcBorders>
            <w:shd w:fill="auto" w:val="clear"/>
            <w:vAlign w:val="center"/>
          </w:tcPr>
          <w:p w14:paraId="310D0000">
            <w:pPr>
              <w:widowControl w:val="1"/>
              <w:ind/>
              <w:contextualSpacing w:val="1"/>
              <w:jc w:val="center"/>
              <w:rPr>
                <w:i w:val="1"/>
                <w:color w:val="000000"/>
                <w:sz w:val="22"/>
              </w:rPr>
            </w:pPr>
            <w:r>
              <w:rPr>
                <w:i w:val="1"/>
                <w:color w:val="000000"/>
                <w:sz w:val="22"/>
              </w:rPr>
              <w:t>379 587</w:t>
            </w:r>
          </w:p>
        </w:tc>
        <w:tc>
          <w:tcPr>
            <w:tcW w:type="dxa" w:w="1418"/>
            <w:tcBorders>
              <w:top w:color="000000" w:sz="4" w:val="single"/>
              <w:left w:color="000000" w:sz="4" w:val="single"/>
              <w:bottom w:color="000000" w:sz="4" w:val="single"/>
              <w:right w:color="000000" w:sz="4" w:val="single"/>
            </w:tcBorders>
            <w:vAlign w:val="center"/>
          </w:tcPr>
          <w:p w14:paraId="320D0000">
            <w:pPr>
              <w:widowControl w:val="1"/>
              <w:ind/>
              <w:contextualSpacing w:val="1"/>
              <w:jc w:val="center"/>
              <w:rPr>
                <w:i w:val="1"/>
                <w:color w:val="000000"/>
                <w:sz w:val="22"/>
              </w:rPr>
            </w:pPr>
            <w:r>
              <w:rPr>
                <w:i w:val="1"/>
                <w:color w:val="000000"/>
                <w:sz w:val="22"/>
              </w:rPr>
              <w:t>393 927</w:t>
            </w:r>
          </w:p>
        </w:tc>
        <w:tc>
          <w:tcPr>
            <w:tcW w:type="dxa" w:w="1417"/>
            <w:tcBorders>
              <w:top w:color="000000" w:sz="4" w:val="single"/>
              <w:left w:color="000000" w:sz="4" w:val="single"/>
              <w:bottom w:color="000000" w:sz="4" w:val="single"/>
              <w:right w:color="000000" w:sz="4" w:val="single"/>
            </w:tcBorders>
            <w:vAlign w:val="center"/>
          </w:tcPr>
          <w:p w14:paraId="330D0000">
            <w:pPr>
              <w:widowControl w:val="1"/>
              <w:ind/>
              <w:contextualSpacing w:val="1"/>
              <w:jc w:val="center"/>
              <w:rPr>
                <w:i w:val="1"/>
                <w:color w:val="000000"/>
                <w:sz w:val="22"/>
              </w:rPr>
            </w:pPr>
            <w:r>
              <w:rPr>
                <w:i w:val="1"/>
                <w:color w:val="000000"/>
                <w:sz w:val="22"/>
              </w:rPr>
              <w:t>390 384</w:t>
            </w:r>
          </w:p>
        </w:tc>
        <w:tc>
          <w:tcPr>
            <w:tcW w:type="dxa" w:w="1276"/>
            <w:tcBorders>
              <w:top w:color="000000" w:sz="4" w:val="single"/>
              <w:left w:color="000000" w:sz="4" w:val="single"/>
              <w:bottom w:color="000000" w:sz="4" w:val="single"/>
              <w:right w:color="000000" w:sz="4" w:val="single"/>
            </w:tcBorders>
            <w:vAlign w:val="center"/>
          </w:tcPr>
          <w:p w14:paraId="340D0000">
            <w:pPr>
              <w:widowControl w:val="1"/>
              <w:ind/>
              <w:contextualSpacing w:val="1"/>
              <w:jc w:val="center"/>
              <w:rPr>
                <w:i w:val="1"/>
                <w:color w:val="000000"/>
                <w:sz w:val="22"/>
              </w:rPr>
            </w:pPr>
            <w:r>
              <w:rPr>
                <w:i w:val="1"/>
                <w:color w:val="000000"/>
                <w:sz w:val="22"/>
              </w:rPr>
              <w:t>392 115</w:t>
            </w:r>
          </w:p>
        </w:tc>
        <w:tc>
          <w:tcPr>
            <w:tcW w:type="dxa" w:w="1134"/>
            <w:tcBorders>
              <w:top w:color="000000" w:sz="4" w:val="single"/>
              <w:left w:color="000000" w:sz="4" w:val="single"/>
              <w:bottom w:color="000000" w:sz="4" w:val="single"/>
              <w:right w:color="000000" w:sz="4" w:val="single"/>
            </w:tcBorders>
            <w:shd w:fill="auto" w:val="clear"/>
            <w:vAlign w:val="center"/>
          </w:tcPr>
          <w:p w14:paraId="350D0000">
            <w:pPr>
              <w:widowControl w:val="1"/>
              <w:ind/>
              <w:contextualSpacing w:val="1"/>
              <w:jc w:val="center"/>
              <w:rPr>
                <w:i w:val="1"/>
                <w:color w:val="000000"/>
                <w:sz w:val="22"/>
              </w:rPr>
            </w:pPr>
            <w:r>
              <w:rPr>
                <w:i w:val="1"/>
                <w:color w:val="000000"/>
                <w:sz w:val="22"/>
              </w:rPr>
              <w:t>100</w:t>
            </w:r>
          </w:p>
        </w:tc>
        <w:tc>
          <w:tcPr>
            <w:tcW w:type="dxa" w:w="992"/>
            <w:tcBorders>
              <w:top w:color="000000" w:sz="4" w:val="single"/>
              <w:left w:color="000000" w:sz="4" w:val="single"/>
              <w:bottom w:color="000000" w:sz="4" w:val="single"/>
              <w:right w:color="000000" w:sz="4" w:val="single"/>
            </w:tcBorders>
            <w:shd w:fill="auto" w:val="clear"/>
            <w:vAlign w:val="center"/>
          </w:tcPr>
          <w:p w14:paraId="360D0000">
            <w:pPr>
              <w:widowControl w:val="1"/>
              <w:ind/>
              <w:contextualSpacing w:val="1"/>
              <w:jc w:val="center"/>
              <w:rPr>
                <w:i w:val="1"/>
                <w:color w:val="000000"/>
                <w:sz w:val="22"/>
              </w:rPr>
            </w:pPr>
            <w:r>
              <w:rPr>
                <w:i w:val="1"/>
                <w:color w:val="000000"/>
                <w:sz w:val="22"/>
              </w:rPr>
              <w:t>100</w:t>
            </w:r>
          </w:p>
        </w:tc>
      </w:tr>
      <w:tr>
        <w:trPr>
          <w:trHeight w:hRule="atLeast" w:val="446"/>
        </w:trPr>
        <w:tc>
          <w:tcPr>
            <w:tcW w:type="dxa" w:w="714"/>
            <w:tcBorders>
              <w:top w:color="000000" w:sz="4" w:val="single"/>
              <w:left w:color="000000" w:sz="4" w:val="single"/>
              <w:bottom w:sz="4" w:val="nil"/>
              <w:right w:color="000000" w:sz="4" w:val="single"/>
            </w:tcBorders>
            <w:shd w:fill="auto" w:val="clear"/>
            <w:vAlign w:val="center"/>
          </w:tcPr>
          <w:p w14:paraId="370D0000">
            <w:pPr>
              <w:widowControl w:val="1"/>
              <w:ind w:firstLine="709" w:left="-977" w:right="-196"/>
              <w:contextualSpacing w:val="1"/>
              <w:jc w:val="center"/>
              <w:rPr>
                <w:i w:val="1"/>
                <w:sz w:val="22"/>
              </w:rPr>
            </w:pPr>
            <w:r>
              <w:rPr>
                <w:i w:val="1"/>
                <w:sz w:val="22"/>
              </w:rPr>
              <w:t>2.2.</w:t>
            </w:r>
          </w:p>
        </w:tc>
        <w:tc>
          <w:tcPr>
            <w:tcW w:type="dxa" w:w="1648"/>
            <w:tcBorders>
              <w:top w:sz="4" w:val="nil"/>
              <w:left w:sz="4" w:val="nil"/>
              <w:bottom w:color="000000" w:sz="4" w:val="single"/>
              <w:right w:color="000000" w:sz="4" w:val="single"/>
            </w:tcBorders>
            <w:shd w:fill="auto" w:val="clear"/>
            <w:vAlign w:val="center"/>
          </w:tcPr>
          <w:p w14:paraId="380D0000">
            <w:pPr>
              <w:widowControl w:val="1"/>
              <w:ind w:firstLine="220"/>
              <w:contextualSpacing w:val="1"/>
              <w:rPr>
                <w:i w:val="1"/>
                <w:sz w:val="22"/>
              </w:rPr>
            </w:pPr>
            <w:r>
              <w:rPr>
                <w:i w:val="1"/>
                <w:sz w:val="22"/>
              </w:rPr>
              <w:t>по прочим идам деятельности</w:t>
            </w:r>
          </w:p>
        </w:tc>
        <w:tc>
          <w:tcPr>
            <w:tcW w:type="dxa" w:w="1275"/>
            <w:tcBorders>
              <w:top w:sz="4" w:val="nil"/>
              <w:left w:sz="4" w:val="nil"/>
              <w:bottom w:color="000000" w:sz="4" w:val="single"/>
              <w:right w:color="000000" w:sz="4" w:val="single"/>
            </w:tcBorders>
            <w:shd w:fill="auto" w:val="clear"/>
            <w:vAlign w:val="center"/>
          </w:tcPr>
          <w:p w14:paraId="390D0000">
            <w:pPr>
              <w:widowControl w:val="1"/>
              <w:ind/>
              <w:contextualSpacing w:val="1"/>
              <w:jc w:val="center"/>
              <w:rPr>
                <w:i w:val="1"/>
                <w:color w:val="000000"/>
                <w:sz w:val="22"/>
              </w:rPr>
            </w:pPr>
            <w:r>
              <w:rPr>
                <w:i w:val="1"/>
                <w:color w:val="000000"/>
                <w:sz w:val="22"/>
              </w:rPr>
              <w:t>32</w:t>
            </w:r>
          </w:p>
        </w:tc>
        <w:tc>
          <w:tcPr>
            <w:tcW w:type="dxa" w:w="1418"/>
            <w:tcBorders>
              <w:top w:color="000000" w:sz="4" w:val="single"/>
              <w:left w:color="000000" w:sz="4" w:val="single"/>
              <w:bottom w:color="000000" w:sz="4" w:val="single"/>
              <w:right w:color="000000" w:sz="4" w:val="single"/>
            </w:tcBorders>
            <w:vAlign w:val="center"/>
          </w:tcPr>
          <w:p w14:paraId="3A0D0000">
            <w:pPr>
              <w:widowControl w:val="1"/>
              <w:ind/>
              <w:contextualSpacing w:val="1"/>
              <w:jc w:val="center"/>
              <w:rPr>
                <w:i w:val="1"/>
                <w:color w:val="000000"/>
                <w:sz w:val="22"/>
              </w:rPr>
            </w:pPr>
            <w:r>
              <w:rPr>
                <w:i w:val="1"/>
                <w:color w:val="000000"/>
                <w:sz w:val="22"/>
              </w:rPr>
              <w:t>2 380</w:t>
            </w:r>
          </w:p>
        </w:tc>
        <w:tc>
          <w:tcPr>
            <w:tcW w:type="dxa" w:w="1417"/>
            <w:tcBorders>
              <w:top w:color="000000" w:sz="4" w:val="single"/>
              <w:left w:color="000000" w:sz="4" w:val="single"/>
              <w:bottom w:color="000000" w:sz="4" w:val="single"/>
              <w:right w:color="000000" w:sz="4" w:val="single"/>
            </w:tcBorders>
            <w:vAlign w:val="center"/>
          </w:tcPr>
          <w:p w14:paraId="3B0D0000">
            <w:pPr>
              <w:widowControl w:val="1"/>
              <w:ind/>
              <w:contextualSpacing w:val="1"/>
              <w:jc w:val="center"/>
              <w:rPr>
                <w:i w:val="1"/>
                <w:color w:val="000000"/>
                <w:sz w:val="22"/>
              </w:rPr>
            </w:pPr>
            <w:r>
              <w:rPr>
                <w:i w:val="1"/>
                <w:color w:val="000000"/>
                <w:sz w:val="22"/>
              </w:rPr>
              <w:t>488</w:t>
            </w:r>
          </w:p>
        </w:tc>
        <w:tc>
          <w:tcPr>
            <w:tcW w:type="dxa" w:w="1276"/>
            <w:tcBorders>
              <w:top w:color="000000" w:sz="4" w:val="single"/>
              <w:left w:color="000000" w:sz="4" w:val="single"/>
              <w:bottom w:color="000000" w:sz="4" w:val="single"/>
              <w:right w:color="000000" w:sz="4" w:val="single"/>
            </w:tcBorders>
            <w:vAlign w:val="center"/>
          </w:tcPr>
          <w:p w14:paraId="3C0D0000">
            <w:pPr>
              <w:widowControl w:val="1"/>
              <w:ind/>
              <w:contextualSpacing w:val="1"/>
              <w:jc w:val="center"/>
              <w:rPr>
                <w:i w:val="1"/>
                <w:color w:val="000000"/>
                <w:sz w:val="22"/>
              </w:rPr>
            </w:pPr>
            <w:r>
              <w:rPr>
                <w:i w:val="1"/>
                <w:color w:val="000000"/>
                <w:sz w:val="22"/>
              </w:rPr>
              <w:t>2 281</w:t>
            </w:r>
          </w:p>
        </w:tc>
        <w:tc>
          <w:tcPr>
            <w:tcW w:type="dxa" w:w="1134"/>
            <w:tcBorders>
              <w:top w:color="000000" w:sz="4" w:val="single"/>
              <w:left w:color="000000" w:sz="4" w:val="single"/>
              <w:bottom w:color="000000" w:sz="4" w:val="single"/>
              <w:right w:color="000000" w:sz="4" w:val="single"/>
            </w:tcBorders>
            <w:shd w:fill="auto" w:val="clear"/>
            <w:vAlign w:val="center"/>
          </w:tcPr>
          <w:p w14:paraId="3D0D0000">
            <w:pPr>
              <w:widowControl w:val="1"/>
              <w:ind/>
              <w:contextualSpacing w:val="1"/>
              <w:jc w:val="center"/>
              <w:rPr>
                <w:i w:val="1"/>
                <w:color w:val="000000"/>
                <w:sz w:val="22"/>
              </w:rPr>
            </w:pPr>
            <w:r>
              <w:rPr>
                <w:i w:val="1"/>
                <w:color w:val="000000"/>
                <w:sz w:val="22"/>
              </w:rPr>
              <w:t>96</w:t>
            </w:r>
          </w:p>
        </w:tc>
        <w:tc>
          <w:tcPr>
            <w:tcW w:type="dxa" w:w="992"/>
            <w:tcBorders>
              <w:top w:color="000000" w:sz="4" w:val="single"/>
              <w:left w:color="000000" w:sz="4" w:val="single"/>
              <w:bottom w:color="000000" w:sz="4" w:val="single"/>
              <w:right w:color="000000" w:sz="4" w:val="single"/>
            </w:tcBorders>
            <w:shd w:fill="auto" w:val="clear"/>
            <w:vAlign w:val="center"/>
          </w:tcPr>
          <w:p w14:paraId="3E0D0000">
            <w:pPr>
              <w:widowControl w:val="1"/>
              <w:ind/>
              <w:contextualSpacing w:val="1"/>
              <w:jc w:val="center"/>
              <w:rPr>
                <w:i w:val="1"/>
                <w:color w:val="000000"/>
                <w:sz w:val="22"/>
              </w:rPr>
            </w:pPr>
            <w:r>
              <w:rPr>
                <w:i w:val="1"/>
                <w:color w:val="000000"/>
                <w:sz w:val="22"/>
              </w:rPr>
              <w:t>467</w:t>
            </w:r>
          </w:p>
        </w:tc>
      </w:tr>
      <w:tr>
        <w:trPr>
          <w:trHeight w:hRule="atLeast" w:val="237"/>
        </w:trPr>
        <w:tc>
          <w:tcPr>
            <w:tcW w:type="dxa" w:w="714"/>
            <w:tcBorders>
              <w:top w:color="000000" w:sz="4" w:val="single"/>
              <w:left w:color="000000" w:sz="4" w:val="single"/>
              <w:bottom w:color="000000" w:sz="4" w:val="single"/>
              <w:right w:color="000000" w:sz="4" w:val="single"/>
            </w:tcBorders>
            <w:shd w:fill="auto" w:val="clear"/>
            <w:vAlign w:val="center"/>
          </w:tcPr>
          <w:p w14:paraId="3F0D0000">
            <w:pPr>
              <w:widowControl w:val="1"/>
              <w:ind w:firstLine="709" w:left="-977" w:right="-196"/>
              <w:contextualSpacing w:val="1"/>
              <w:jc w:val="center"/>
              <w:rPr>
                <w:b w:val="1"/>
                <w:sz w:val="22"/>
              </w:rPr>
            </w:pPr>
            <w:r>
              <w:rPr>
                <w:b w:val="1"/>
                <w:sz w:val="22"/>
              </w:rPr>
              <w:t>3.</w:t>
            </w:r>
          </w:p>
        </w:tc>
        <w:tc>
          <w:tcPr>
            <w:tcW w:type="dxa" w:w="1648"/>
            <w:tcBorders>
              <w:top w:sz="4" w:val="nil"/>
              <w:left w:sz="4" w:val="nil"/>
              <w:bottom w:color="000000" w:sz="4" w:val="single"/>
              <w:right w:color="000000" w:sz="4" w:val="single"/>
            </w:tcBorders>
            <w:shd w:fill="auto" w:val="clear"/>
            <w:vAlign w:val="center"/>
          </w:tcPr>
          <w:p w14:paraId="400D0000">
            <w:pPr>
              <w:widowControl w:val="1"/>
              <w:ind/>
              <w:contextualSpacing w:val="1"/>
              <w:rPr>
                <w:b w:val="1"/>
                <w:sz w:val="22"/>
              </w:rPr>
            </w:pPr>
            <w:r>
              <w:rPr>
                <w:b w:val="1"/>
                <w:sz w:val="22"/>
              </w:rPr>
              <w:t>ИТОГО ДОХОДЫ</w:t>
            </w:r>
          </w:p>
        </w:tc>
        <w:tc>
          <w:tcPr>
            <w:tcW w:type="dxa" w:w="1275"/>
            <w:tcBorders>
              <w:top w:sz="4" w:val="nil"/>
              <w:left w:sz="4" w:val="nil"/>
              <w:bottom w:color="000000" w:sz="4" w:val="single"/>
              <w:right w:color="000000" w:sz="4" w:val="single"/>
            </w:tcBorders>
            <w:shd w:fill="auto" w:val="clear"/>
            <w:vAlign w:val="center"/>
          </w:tcPr>
          <w:p w14:paraId="410D0000">
            <w:pPr>
              <w:widowControl w:val="1"/>
              <w:ind/>
              <w:contextualSpacing w:val="1"/>
              <w:jc w:val="center"/>
              <w:rPr>
                <w:b w:val="1"/>
                <w:color w:val="000000"/>
                <w:sz w:val="22"/>
              </w:rPr>
            </w:pPr>
            <w:r>
              <w:rPr>
                <w:b w:val="1"/>
                <w:color w:val="000000"/>
                <w:sz w:val="22"/>
              </w:rPr>
              <w:t>698 105</w:t>
            </w:r>
          </w:p>
        </w:tc>
        <w:tc>
          <w:tcPr>
            <w:tcW w:type="dxa" w:w="1418"/>
            <w:tcBorders>
              <w:top w:color="000000" w:sz="4" w:val="single"/>
              <w:left w:color="000000" w:sz="4" w:val="single"/>
              <w:bottom w:color="000000" w:sz="4" w:val="single"/>
              <w:right w:color="000000" w:sz="4" w:val="single"/>
            </w:tcBorders>
            <w:vAlign w:val="center"/>
          </w:tcPr>
          <w:p w14:paraId="420D0000">
            <w:pPr>
              <w:widowControl w:val="1"/>
              <w:ind/>
              <w:contextualSpacing w:val="1"/>
              <w:jc w:val="center"/>
              <w:rPr>
                <w:b w:val="1"/>
                <w:color w:val="000000"/>
                <w:sz w:val="22"/>
              </w:rPr>
            </w:pPr>
            <w:r>
              <w:rPr>
                <w:b w:val="1"/>
                <w:color w:val="000000"/>
                <w:sz w:val="22"/>
              </w:rPr>
              <w:t>722 944</w:t>
            </w:r>
          </w:p>
        </w:tc>
        <w:tc>
          <w:tcPr>
            <w:tcW w:type="dxa" w:w="1417"/>
            <w:tcBorders>
              <w:top w:color="000000" w:sz="4" w:val="single"/>
              <w:left w:color="000000" w:sz="4" w:val="single"/>
              <w:bottom w:color="000000" w:sz="4" w:val="single"/>
              <w:right w:color="000000" w:sz="4" w:val="single"/>
            </w:tcBorders>
            <w:vAlign w:val="center"/>
          </w:tcPr>
          <w:p w14:paraId="430D0000">
            <w:pPr>
              <w:widowControl w:val="1"/>
              <w:ind/>
              <w:contextualSpacing w:val="1"/>
              <w:jc w:val="center"/>
              <w:rPr>
                <w:b w:val="1"/>
                <w:color w:val="000000"/>
                <w:sz w:val="22"/>
              </w:rPr>
            </w:pPr>
            <w:r>
              <w:rPr>
                <w:b w:val="1"/>
                <w:color w:val="000000"/>
                <w:sz w:val="22"/>
              </w:rPr>
              <w:t>726 661</w:t>
            </w:r>
          </w:p>
        </w:tc>
        <w:tc>
          <w:tcPr>
            <w:tcW w:type="dxa" w:w="1276"/>
            <w:tcBorders>
              <w:top w:color="000000" w:sz="4" w:val="single"/>
              <w:left w:color="000000" w:sz="4" w:val="single"/>
              <w:bottom w:color="000000" w:sz="4" w:val="single"/>
              <w:right w:color="000000" w:sz="4" w:val="single"/>
            </w:tcBorders>
            <w:vAlign w:val="center"/>
          </w:tcPr>
          <w:p w14:paraId="440D0000">
            <w:pPr>
              <w:widowControl w:val="1"/>
              <w:ind/>
              <w:contextualSpacing w:val="1"/>
              <w:jc w:val="center"/>
              <w:rPr>
                <w:b w:val="1"/>
                <w:color w:val="000000"/>
                <w:sz w:val="22"/>
              </w:rPr>
            </w:pPr>
            <w:r>
              <w:rPr>
                <w:b w:val="1"/>
                <w:color w:val="000000"/>
                <w:sz w:val="22"/>
              </w:rPr>
              <w:t>729 505</w:t>
            </w:r>
          </w:p>
        </w:tc>
        <w:tc>
          <w:tcPr>
            <w:tcW w:type="dxa" w:w="1134"/>
            <w:tcBorders>
              <w:top w:color="000000" w:sz="4" w:val="single"/>
              <w:left w:color="000000" w:sz="4" w:val="single"/>
              <w:bottom w:color="000000" w:sz="4" w:val="single"/>
              <w:right w:color="000000" w:sz="4" w:val="single"/>
            </w:tcBorders>
            <w:shd w:fill="auto" w:val="clear"/>
            <w:vAlign w:val="center"/>
          </w:tcPr>
          <w:p w14:paraId="450D0000">
            <w:pPr>
              <w:widowControl w:val="1"/>
              <w:ind/>
              <w:contextualSpacing w:val="1"/>
              <w:jc w:val="center"/>
              <w:rPr>
                <w:b w:val="1"/>
                <w:i w:val="1"/>
                <w:color w:val="000000"/>
                <w:sz w:val="22"/>
              </w:rPr>
            </w:pPr>
            <w:r>
              <w:rPr>
                <w:b w:val="1"/>
                <w:i w:val="1"/>
                <w:color w:val="000000"/>
                <w:sz w:val="22"/>
              </w:rPr>
              <w:t>101</w:t>
            </w:r>
          </w:p>
        </w:tc>
        <w:tc>
          <w:tcPr>
            <w:tcW w:type="dxa" w:w="992"/>
            <w:tcBorders>
              <w:top w:color="000000" w:sz="4" w:val="single"/>
              <w:left w:color="000000" w:sz="4" w:val="single"/>
              <w:bottom w:color="000000" w:sz="4" w:val="single"/>
              <w:right w:color="000000" w:sz="4" w:val="single"/>
            </w:tcBorders>
            <w:shd w:fill="auto" w:val="clear"/>
            <w:vAlign w:val="center"/>
          </w:tcPr>
          <w:p w14:paraId="460D0000">
            <w:pPr>
              <w:widowControl w:val="1"/>
              <w:ind/>
              <w:contextualSpacing w:val="1"/>
              <w:jc w:val="center"/>
              <w:rPr>
                <w:b w:val="1"/>
                <w:i w:val="1"/>
                <w:color w:val="000000"/>
                <w:sz w:val="22"/>
              </w:rPr>
            </w:pPr>
            <w:r>
              <w:rPr>
                <w:b w:val="1"/>
                <w:i w:val="1"/>
                <w:color w:val="000000"/>
                <w:sz w:val="22"/>
              </w:rPr>
              <w:t>100</w:t>
            </w:r>
          </w:p>
        </w:tc>
      </w:tr>
      <w:tr>
        <w:trPr>
          <w:trHeight w:hRule="atLeast" w:val="446"/>
        </w:trPr>
        <w:tc>
          <w:tcPr>
            <w:tcW w:type="dxa" w:w="714"/>
            <w:tcBorders>
              <w:top w:sz="4" w:val="nil"/>
              <w:left w:color="000000" w:sz="4" w:val="single"/>
              <w:bottom w:color="000000" w:sz="4" w:val="single"/>
              <w:right w:color="000000" w:sz="4" w:val="single"/>
            </w:tcBorders>
            <w:shd w:fill="auto" w:val="clear"/>
            <w:vAlign w:val="center"/>
          </w:tcPr>
          <w:p w14:paraId="470D0000">
            <w:pPr>
              <w:widowControl w:val="1"/>
              <w:ind w:firstLine="709" w:left="-977" w:right="-196"/>
              <w:contextualSpacing w:val="1"/>
              <w:jc w:val="center"/>
              <w:rPr>
                <w:b w:val="1"/>
                <w:sz w:val="22"/>
              </w:rPr>
            </w:pPr>
            <w:r>
              <w:rPr>
                <w:b w:val="1"/>
                <w:sz w:val="22"/>
              </w:rPr>
              <w:t>4.</w:t>
            </w:r>
          </w:p>
        </w:tc>
        <w:tc>
          <w:tcPr>
            <w:tcW w:type="dxa" w:w="1648"/>
            <w:tcBorders>
              <w:top w:sz="4" w:val="nil"/>
              <w:left w:sz="4" w:val="nil"/>
              <w:bottom w:color="000000" w:sz="4" w:val="single"/>
              <w:right w:color="000000" w:sz="4" w:val="single"/>
            </w:tcBorders>
            <w:shd w:fill="auto" w:val="clear"/>
            <w:vAlign w:val="center"/>
          </w:tcPr>
          <w:p w14:paraId="480D0000">
            <w:pPr>
              <w:widowControl w:val="1"/>
              <w:ind/>
              <w:contextualSpacing w:val="1"/>
              <w:rPr>
                <w:b w:val="1"/>
                <w:sz w:val="22"/>
              </w:rPr>
            </w:pPr>
            <w:r>
              <w:rPr>
                <w:b w:val="1"/>
                <w:sz w:val="22"/>
              </w:rPr>
              <w:t xml:space="preserve">Расходы по основной деятельности </w:t>
            </w:r>
          </w:p>
        </w:tc>
        <w:tc>
          <w:tcPr>
            <w:tcW w:type="dxa" w:w="1275"/>
            <w:tcBorders>
              <w:top w:sz="4" w:val="nil"/>
              <w:left w:sz="4" w:val="nil"/>
              <w:bottom w:color="000000" w:sz="4" w:val="single"/>
              <w:right w:color="000000" w:sz="4" w:val="single"/>
            </w:tcBorders>
            <w:shd w:fill="auto" w:val="clear"/>
            <w:vAlign w:val="center"/>
          </w:tcPr>
          <w:p w14:paraId="490D0000">
            <w:pPr>
              <w:widowControl w:val="1"/>
              <w:ind/>
              <w:contextualSpacing w:val="1"/>
              <w:jc w:val="center"/>
              <w:rPr>
                <w:b w:val="1"/>
                <w:color w:val="000000"/>
                <w:sz w:val="22"/>
              </w:rPr>
            </w:pPr>
            <w:r>
              <w:rPr>
                <w:b w:val="1"/>
                <w:color w:val="000000"/>
                <w:sz w:val="22"/>
              </w:rPr>
              <w:t>669 442</w:t>
            </w:r>
          </w:p>
        </w:tc>
        <w:tc>
          <w:tcPr>
            <w:tcW w:type="dxa" w:w="1418"/>
            <w:tcBorders>
              <w:top w:color="000000" w:sz="4" w:val="single"/>
              <w:left w:color="000000" w:sz="4" w:val="single"/>
              <w:bottom w:color="000000" w:sz="4" w:val="single"/>
              <w:right w:color="000000" w:sz="4" w:val="single"/>
            </w:tcBorders>
            <w:vAlign w:val="center"/>
          </w:tcPr>
          <w:p w14:paraId="4A0D0000">
            <w:pPr>
              <w:widowControl w:val="1"/>
              <w:ind/>
              <w:contextualSpacing w:val="1"/>
              <w:jc w:val="center"/>
              <w:rPr>
                <w:b w:val="1"/>
                <w:color w:val="000000"/>
                <w:sz w:val="22"/>
              </w:rPr>
            </w:pPr>
            <w:r>
              <w:rPr>
                <w:b w:val="1"/>
                <w:color w:val="000000"/>
                <w:sz w:val="22"/>
              </w:rPr>
              <w:t>691 966</w:t>
            </w:r>
          </w:p>
        </w:tc>
        <w:tc>
          <w:tcPr>
            <w:tcW w:type="dxa" w:w="1417"/>
            <w:tcBorders>
              <w:top w:color="000000" w:sz="4" w:val="single"/>
              <w:left w:color="000000" w:sz="4" w:val="single"/>
              <w:bottom w:color="000000" w:sz="4" w:val="single"/>
              <w:right w:color="000000" w:sz="4" w:val="single"/>
            </w:tcBorders>
            <w:vAlign w:val="center"/>
          </w:tcPr>
          <w:p w14:paraId="4B0D0000">
            <w:pPr>
              <w:widowControl w:val="1"/>
              <w:ind/>
              <w:contextualSpacing w:val="1"/>
              <w:jc w:val="center"/>
              <w:rPr>
                <w:b w:val="1"/>
                <w:color w:val="000000"/>
                <w:sz w:val="22"/>
              </w:rPr>
            </w:pPr>
            <w:r>
              <w:rPr>
                <w:b w:val="1"/>
                <w:color w:val="000000"/>
                <w:sz w:val="22"/>
              </w:rPr>
              <w:t>710 746</w:t>
            </w:r>
          </w:p>
        </w:tc>
        <w:tc>
          <w:tcPr>
            <w:tcW w:type="dxa" w:w="1276"/>
            <w:tcBorders>
              <w:top w:color="000000" w:sz="4" w:val="single"/>
              <w:left w:color="000000" w:sz="4" w:val="single"/>
              <w:bottom w:color="000000" w:sz="4" w:val="single"/>
              <w:right w:color="000000" w:sz="4" w:val="single"/>
            </w:tcBorders>
            <w:vAlign w:val="center"/>
          </w:tcPr>
          <w:p w14:paraId="4C0D0000">
            <w:pPr>
              <w:widowControl w:val="1"/>
              <w:ind/>
              <w:contextualSpacing w:val="1"/>
              <w:jc w:val="center"/>
              <w:rPr>
                <w:b w:val="1"/>
                <w:color w:val="000000"/>
                <w:sz w:val="22"/>
              </w:rPr>
            </w:pPr>
            <w:r>
              <w:rPr>
                <w:b w:val="1"/>
                <w:color w:val="000000"/>
                <w:sz w:val="22"/>
              </w:rPr>
              <w:t>716 071</w:t>
            </w:r>
          </w:p>
        </w:tc>
        <w:tc>
          <w:tcPr>
            <w:tcW w:type="dxa" w:w="1134"/>
            <w:tcBorders>
              <w:top w:color="000000" w:sz="4" w:val="single"/>
              <w:left w:color="000000" w:sz="4" w:val="single"/>
              <w:bottom w:color="000000" w:sz="4" w:val="single"/>
              <w:right w:color="000000" w:sz="4" w:val="single"/>
            </w:tcBorders>
            <w:shd w:fill="auto" w:val="clear"/>
            <w:vAlign w:val="center"/>
          </w:tcPr>
          <w:p w14:paraId="4D0D0000">
            <w:pPr>
              <w:widowControl w:val="1"/>
              <w:ind/>
              <w:contextualSpacing w:val="1"/>
              <w:jc w:val="center"/>
              <w:rPr>
                <w:b w:val="1"/>
                <w:i w:val="1"/>
                <w:color w:val="000000"/>
                <w:sz w:val="22"/>
              </w:rPr>
            </w:pPr>
            <w:r>
              <w:rPr>
                <w:b w:val="1"/>
                <w:i w:val="1"/>
                <w:color w:val="000000"/>
                <w:sz w:val="22"/>
              </w:rPr>
              <w:t>103</w:t>
            </w:r>
          </w:p>
        </w:tc>
        <w:tc>
          <w:tcPr>
            <w:tcW w:type="dxa" w:w="992"/>
            <w:tcBorders>
              <w:top w:color="000000" w:sz="4" w:val="single"/>
              <w:left w:color="000000" w:sz="4" w:val="single"/>
              <w:bottom w:color="000000" w:sz="4" w:val="single"/>
              <w:right w:color="000000" w:sz="4" w:val="single"/>
            </w:tcBorders>
            <w:shd w:fill="auto" w:val="clear"/>
            <w:vAlign w:val="center"/>
          </w:tcPr>
          <w:p w14:paraId="4E0D0000">
            <w:pPr>
              <w:widowControl w:val="1"/>
              <w:ind/>
              <w:contextualSpacing w:val="1"/>
              <w:jc w:val="center"/>
              <w:rPr>
                <w:b w:val="1"/>
                <w:i w:val="1"/>
                <w:color w:val="000000"/>
                <w:sz w:val="22"/>
              </w:rPr>
            </w:pPr>
            <w:r>
              <w:rPr>
                <w:b w:val="1"/>
                <w:i w:val="1"/>
                <w:color w:val="000000"/>
                <w:sz w:val="22"/>
              </w:rPr>
              <w:t>101</w:t>
            </w:r>
          </w:p>
        </w:tc>
      </w:tr>
      <w:tr>
        <w:trPr>
          <w:trHeight w:hRule="atLeast" w:val="237"/>
        </w:trPr>
        <w:tc>
          <w:tcPr>
            <w:tcW w:type="dxa" w:w="714"/>
            <w:tcBorders>
              <w:top w:sz="4" w:val="nil"/>
              <w:left w:color="000000" w:sz="4" w:val="single"/>
              <w:bottom w:color="000000" w:sz="4" w:val="single"/>
              <w:right w:color="000000" w:sz="4" w:val="single"/>
            </w:tcBorders>
            <w:shd w:fill="auto" w:val="clear"/>
            <w:vAlign w:val="center"/>
          </w:tcPr>
          <w:p w14:paraId="4F0D0000">
            <w:pPr>
              <w:widowControl w:val="1"/>
              <w:ind w:firstLine="709" w:left="-977" w:right="-196"/>
              <w:contextualSpacing w:val="1"/>
              <w:jc w:val="center"/>
              <w:rPr>
                <w:sz w:val="22"/>
              </w:rPr>
            </w:pPr>
            <w:r>
              <w:rPr>
                <w:sz w:val="22"/>
              </w:rPr>
              <w:t>4.1.</w:t>
            </w:r>
          </w:p>
        </w:tc>
        <w:tc>
          <w:tcPr>
            <w:tcW w:type="dxa" w:w="1648"/>
            <w:tcBorders>
              <w:top w:sz="4" w:val="nil"/>
              <w:left w:sz="4" w:val="nil"/>
              <w:bottom w:color="000000" w:sz="4" w:val="single"/>
              <w:right w:color="000000" w:sz="4" w:val="single"/>
            </w:tcBorders>
            <w:shd w:fill="auto" w:val="clear"/>
            <w:vAlign w:val="center"/>
          </w:tcPr>
          <w:p w14:paraId="500D0000">
            <w:pPr>
              <w:widowControl w:val="1"/>
              <w:ind/>
              <w:contextualSpacing w:val="1"/>
              <w:rPr>
                <w:sz w:val="22"/>
              </w:rPr>
            </w:pPr>
            <w:r>
              <w:rPr>
                <w:sz w:val="22"/>
              </w:rPr>
              <w:t>Фонд оплаты труда</w:t>
            </w:r>
          </w:p>
        </w:tc>
        <w:tc>
          <w:tcPr>
            <w:tcW w:type="dxa" w:w="1275"/>
            <w:tcBorders>
              <w:top w:sz="4" w:val="nil"/>
              <w:left w:sz="4" w:val="nil"/>
              <w:bottom w:color="000000" w:sz="4" w:val="single"/>
              <w:right w:color="000000" w:sz="4" w:val="single"/>
            </w:tcBorders>
            <w:shd w:fill="auto" w:val="clear"/>
            <w:vAlign w:val="center"/>
          </w:tcPr>
          <w:p w14:paraId="510D0000">
            <w:pPr>
              <w:widowControl w:val="1"/>
              <w:ind/>
              <w:contextualSpacing w:val="1"/>
              <w:jc w:val="center"/>
              <w:rPr>
                <w:color w:val="000000"/>
                <w:sz w:val="22"/>
              </w:rPr>
            </w:pPr>
            <w:r>
              <w:rPr>
                <w:color w:val="000000"/>
                <w:sz w:val="22"/>
              </w:rPr>
              <w:t>126 164</w:t>
            </w:r>
          </w:p>
        </w:tc>
        <w:tc>
          <w:tcPr>
            <w:tcW w:type="dxa" w:w="1418"/>
            <w:tcBorders>
              <w:top w:color="000000" w:sz="4" w:val="single"/>
              <w:left w:color="000000" w:sz="4" w:val="single"/>
              <w:bottom w:color="000000" w:sz="4" w:val="single"/>
              <w:right w:color="000000" w:sz="4" w:val="single"/>
            </w:tcBorders>
            <w:vAlign w:val="center"/>
          </w:tcPr>
          <w:p w14:paraId="520D0000">
            <w:pPr>
              <w:widowControl w:val="1"/>
              <w:ind/>
              <w:contextualSpacing w:val="1"/>
              <w:jc w:val="center"/>
              <w:rPr>
                <w:color w:val="000000"/>
                <w:sz w:val="22"/>
              </w:rPr>
            </w:pPr>
            <w:r>
              <w:rPr>
                <w:color w:val="000000"/>
                <w:sz w:val="22"/>
              </w:rPr>
              <w:t>128 850</w:t>
            </w:r>
          </w:p>
        </w:tc>
        <w:tc>
          <w:tcPr>
            <w:tcW w:type="dxa" w:w="1417"/>
            <w:tcBorders>
              <w:top w:color="000000" w:sz="4" w:val="single"/>
              <w:left w:color="000000" w:sz="4" w:val="single"/>
              <w:bottom w:color="000000" w:sz="4" w:val="single"/>
              <w:right w:color="000000" w:sz="4" w:val="single"/>
            </w:tcBorders>
            <w:vAlign w:val="center"/>
          </w:tcPr>
          <w:p w14:paraId="530D0000">
            <w:pPr>
              <w:widowControl w:val="1"/>
              <w:ind/>
              <w:contextualSpacing w:val="1"/>
              <w:jc w:val="center"/>
              <w:rPr>
                <w:color w:val="000000"/>
                <w:sz w:val="22"/>
              </w:rPr>
            </w:pPr>
            <w:r>
              <w:rPr>
                <w:color w:val="000000"/>
                <w:sz w:val="22"/>
              </w:rPr>
              <w:t>137 090</w:t>
            </w:r>
          </w:p>
        </w:tc>
        <w:tc>
          <w:tcPr>
            <w:tcW w:type="dxa" w:w="1276"/>
            <w:tcBorders>
              <w:top w:color="000000" w:sz="4" w:val="single"/>
              <w:left w:color="000000" w:sz="4" w:val="single"/>
              <w:bottom w:color="000000" w:sz="4" w:val="single"/>
              <w:right w:color="000000" w:sz="4" w:val="single"/>
            </w:tcBorders>
            <w:vAlign w:val="center"/>
          </w:tcPr>
          <w:p w14:paraId="540D0000">
            <w:pPr>
              <w:widowControl w:val="1"/>
              <w:ind/>
              <w:contextualSpacing w:val="1"/>
              <w:jc w:val="center"/>
              <w:rPr>
                <w:color w:val="000000"/>
                <w:sz w:val="22"/>
              </w:rPr>
            </w:pPr>
            <w:r>
              <w:rPr>
                <w:color w:val="000000"/>
                <w:sz w:val="22"/>
              </w:rPr>
              <w:t>141 191</w:t>
            </w:r>
          </w:p>
        </w:tc>
        <w:tc>
          <w:tcPr>
            <w:tcW w:type="dxa" w:w="1134"/>
            <w:tcBorders>
              <w:top w:color="000000" w:sz="4" w:val="single"/>
              <w:left w:color="000000" w:sz="4" w:val="single"/>
              <w:bottom w:color="000000" w:sz="4" w:val="single"/>
              <w:right w:color="000000" w:sz="4" w:val="single"/>
            </w:tcBorders>
            <w:shd w:fill="auto" w:val="clear"/>
            <w:vAlign w:val="center"/>
          </w:tcPr>
          <w:p w14:paraId="550D0000">
            <w:pPr>
              <w:widowControl w:val="1"/>
              <w:ind/>
              <w:contextualSpacing w:val="1"/>
              <w:jc w:val="center"/>
              <w:rPr>
                <w:i w:val="1"/>
                <w:color w:val="000000"/>
                <w:sz w:val="22"/>
              </w:rPr>
            </w:pPr>
            <w:r>
              <w:rPr>
                <w:i w:val="1"/>
                <w:color w:val="000000"/>
                <w:sz w:val="22"/>
              </w:rPr>
              <w:t>110</w:t>
            </w:r>
          </w:p>
        </w:tc>
        <w:tc>
          <w:tcPr>
            <w:tcW w:type="dxa" w:w="992"/>
            <w:tcBorders>
              <w:top w:color="000000" w:sz="4" w:val="single"/>
              <w:left w:color="000000" w:sz="4" w:val="single"/>
              <w:bottom w:color="000000" w:sz="4" w:val="single"/>
              <w:right w:color="000000" w:sz="4" w:val="single"/>
            </w:tcBorders>
            <w:shd w:fill="auto" w:val="clear"/>
            <w:vAlign w:val="center"/>
          </w:tcPr>
          <w:p w14:paraId="560D0000">
            <w:pPr>
              <w:widowControl w:val="1"/>
              <w:ind/>
              <w:contextualSpacing w:val="1"/>
              <w:jc w:val="center"/>
              <w:rPr>
                <w:i w:val="1"/>
                <w:color w:val="000000"/>
                <w:sz w:val="22"/>
              </w:rPr>
            </w:pPr>
            <w:r>
              <w:rPr>
                <w:i w:val="1"/>
                <w:color w:val="000000"/>
                <w:sz w:val="22"/>
              </w:rPr>
              <w:t>103</w:t>
            </w:r>
          </w:p>
        </w:tc>
      </w:tr>
      <w:tr>
        <w:trPr>
          <w:trHeight w:hRule="atLeast" w:val="446"/>
        </w:trPr>
        <w:tc>
          <w:tcPr>
            <w:tcW w:type="dxa" w:w="714"/>
            <w:tcBorders>
              <w:top w:sz="4" w:val="nil"/>
              <w:left w:color="000000" w:sz="4" w:val="single"/>
              <w:bottom w:color="000000" w:sz="4" w:val="single"/>
              <w:right w:color="000000" w:sz="4" w:val="single"/>
            </w:tcBorders>
            <w:shd w:fill="auto" w:val="clear"/>
            <w:vAlign w:val="center"/>
          </w:tcPr>
          <w:p w14:paraId="570D0000">
            <w:pPr>
              <w:widowControl w:val="1"/>
              <w:ind w:firstLine="709" w:left="-977" w:right="-196"/>
              <w:contextualSpacing w:val="1"/>
              <w:jc w:val="center"/>
              <w:rPr>
                <w:sz w:val="22"/>
              </w:rPr>
            </w:pPr>
            <w:r>
              <w:rPr>
                <w:sz w:val="22"/>
              </w:rPr>
              <w:t>4.2.</w:t>
            </w:r>
          </w:p>
        </w:tc>
        <w:tc>
          <w:tcPr>
            <w:tcW w:type="dxa" w:w="1648"/>
            <w:tcBorders>
              <w:top w:sz="4" w:val="nil"/>
              <w:left w:sz="4" w:val="nil"/>
              <w:bottom w:color="000000" w:sz="4" w:val="single"/>
              <w:right w:color="000000" w:sz="4" w:val="single"/>
            </w:tcBorders>
            <w:shd w:fill="auto" w:val="clear"/>
            <w:vAlign w:val="center"/>
          </w:tcPr>
          <w:p w14:paraId="580D0000">
            <w:pPr>
              <w:widowControl w:val="1"/>
              <w:ind/>
              <w:contextualSpacing w:val="1"/>
              <w:rPr>
                <w:sz w:val="22"/>
              </w:rPr>
            </w:pPr>
            <w:r>
              <w:rPr>
                <w:sz w:val="22"/>
              </w:rPr>
              <w:t>Страховые взносы</w:t>
            </w:r>
          </w:p>
        </w:tc>
        <w:tc>
          <w:tcPr>
            <w:tcW w:type="dxa" w:w="1275"/>
            <w:tcBorders>
              <w:top w:sz="4" w:val="nil"/>
              <w:left w:sz="4" w:val="nil"/>
              <w:bottom w:color="000000" w:sz="4" w:val="single"/>
              <w:right w:color="000000" w:sz="4" w:val="single"/>
            </w:tcBorders>
            <w:shd w:fill="auto" w:val="clear"/>
            <w:vAlign w:val="center"/>
          </w:tcPr>
          <w:p w14:paraId="590D0000">
            <w:pPr>
              <w:widowControl w:val="1"/>
              <w:ind/>
              <w:contextualSpacing w:val="1"/>
              <w:jc w:val="center"/>
              <w:rPr>
                <w:color w:val="000000"/>
                <w:sz w:val="22"/>
              </w:rPr>
            </w:pPr>
            <w:r>
              <w:rPr>
                <w:color w:val="000000"/>
                <w:sz w:val="22"/>
              </w:rPr>
              <w:t>37 002</w:t>
            </w:r>
          </w:p>
        </w:tc>
        <w:tc>
          <w:tcPr>
            <w:tcW w:type="dxa" w:w="1418"/>
            <w:tcBorders>
              <w:top w:color="000000" w:sz="4" w:val="single"/>
              <w:left w:color="000000" w:sz="4" w:val="single"/>
              <w:bottom w:color="000000" w:sz="4" w:val="single"/>
              <w:right w:color="000000" w:sz="4" w:val="single"/>
            </w:tcBorders>
            <w:vAlign w:val="center"/>
          </w:tcPr>
          <w:p w14:paraId="5A0D0000">
            <w:pPr>
              <w:widowControl w:val="1"/>
              <w:ind/>
              <w:contextualSpacing w:val="1"/>
              <w:jc w:val="center"/>
              <w:rPr>
                <w:color w:val="000000"/>
                <w:sz w:val="22"/>
              </w:rPr>
            </w:pPr>
            <w:r>
              <w:rPr>
                <w:color w:val="000000"/>
                <w:sz w:val="22"/>
              </w:rPr>
              <w:t>38 048</w:t>
            </w:r>
          </w:p>
        </w:tc>
        <w:tc>
          <w:tcPr>
            <w:tcW w:type="dxa" w:w="1417"/>
            <w:tcBorders>
              <w:top w:color="000000" w:sz="4" w:val="single"/>
              <w:left w:color="000000" w:sz="4" w:val="single"/>
              <w:bottom w:color="000000" w:sz="4" w:val="single"/>
              <w:right w:color="000000" w:sz="4" w:val="single"/>
            </w:tcBorders>
            <w:vAlign w:val="center"/>
          </w:tcPr>
          <w:p w14:paraId="5B0D0000">
            <w:pPr>
              <w:widowControl w:val="1"/>
              <w:ind/>
              <w:contextualSpacing w:val="1"/>
              <w:jc w:val="center"/>
              <w:rPr>
                <w:color w:val="000000"/>
                <w:sz w:val="22"/>
              </w:rPr>
            </w:pPr>
            <w:r>
              <w:rPr>
                <w:color w:val="000000"/>
                <w:sz w:val="22"/>
              </w:rPr>
              <w:t>39 591</w:t>
            </w:r>
          </w:p>
        </w:tc>
        <w:tc>
          <w:tcPr>
            <w:tcW w:type="dxa" w:w="1276"/>
            <w:tcBorders>
              <w:top w:color="000000" w:sz="4" w:val="single"/>
              <w:left w:color="000000" w:sz="4" w:val="single"/>
              <w:bottom w:color="000000" w:sz="4" w:val="single"/>
              <w:right w:color="000000" w:sz="4" w:val="single"/>
            </w:tcBorders>
            <w:vAlign w:val="center"/>
          </w:tcPr>
          <w:p w14:paraId="5C0D0000">
            <w:pPr>
              <w:widowControl w:val="1"/>
              <w:ind/>
              <w:contextualSpacing w:val="1"/>
              <w:jc w:val="center"/>
              <w:rPr>
                <w:color w:val="000000"/>
                <w:sz w:val="22"/>
              </w:rPr>
            </w:pPr>
            <w:r>
              <w:rPr>
                <w:color w:val="000000"/>
                <w:sz w:val="22"/>
              </w:rPr>
              <w:t>41 978</w:t>
            </w:r>
          </w:p>
        </w:tc>
        <w:tc>
          <w:tcPr>
            <w:tcW w:type="dxa" w:w="1134"/>
            <w:tcBorders>
              <w:top w:color="000000" w:sz="4" w:val="single"/>
              <w:left w:color="000000" w:sz="4" w:val="single"/>
              <w:bottom w:color="000000" w:sz="4" w:val="single"/>
              <w:right w:color="000000" w:sz="4" w:val="single"/>
            </w:tcBorders>
            <w:shd w:fill="auto" w:val="clear"/>
            <w:vAlign w:val="center"/>
          </w:tcPr>
          <w:p w14:paraId="5D0D0000">
            <w:pPr>
              <w:widowControl w:val="1"/>
              <w:ind/>
              <w:contextualSpacing w:val="1"/>
              <w:jc w:val="center"/>
              <w:rPr>
                <w:i w:val="1"/>
                <w:color w:val="000000"/>
                <w:sz w:val="22"/>
              </w:rPr>
            </w:pPr>
            <w:r>
              <w:rPr>
                <w:i w:val="1"/>
                <w:color w:val="000000"/>
                <w:sz w:val="22"/>
              </w:rPr>
              <w:t>110</w:t>
            </w:r>
          </w:p>
        </w:tc>
        <w:tc>
          <w:tcPr>
            <w:tcW w:type="dxa" w:w="992"/>
            <w:tcBorders>
              <w:top w:color="000000" w:sz="4" w:val="single"/>
              <w:left w:color="000000" w:sz="4" w:val="single"/>
              <w:bottom w:color="000000" w:sz="4" w:val="single"/>
              <w:right w:color="000000" w:sz="4" w:val="single"/>
            </w:tcBorders>
            <w:shd w:fill="auto" w:val="clear"/>
            <w:vAlign w:val="center"/>
          </w:tcPr>
          <w:p w14:paraId="5E0D0000">
            <w:pPr>
              <w:widowControl w:val="1"/>
              <w:ind/>
              <w:contextualSpacing w:val="1"/>
              <w:jc w:val="center"/>
              <w:rPr>
                <w:i w:val="1"/>
                <w:color w:val="000000"/>
                <w:sz w:val="22"/>
              </w:rPr>
            </w:pPr>
            <w:r>
              <w:rPr>
                <w:i w:val="1"/>
                <w:color w:val="000000"/>
                <w:sz w:val="22"/>
              </w:rPr>
              <w:t>106</w:t>
            </w:r>
          </w:p>
        </w:tc>
      </w:tr>
      <w:tr>
        <w:trPr>
          <w:trHeight w:hRule="atLeast" w:val="237"/>
        </w:trPr>
        <w:tc>
          <w:tcPr>
            <w:tcW w:type="dxa" w:w="714"/>
            <w:tcBorders>
              <w:top w:sz="4" w:val="nil"/>
              <w:left w:color="000000" w:sz="4" w:val="single"/>
              <w:bottom w:color="000000" w:sz="4" w:val="single"/>
              <w:right w:color="000000" w:sz="4" w:val="single"/>
            </w:tcBorders>
            <w:shd w:fill="auto" w:val="clear"/>
            <w:vAlign w:val="center"/>
          </w:tcPr>
          <w:p w14:paraId="5F0D0000">
            <w:pPr>
              <w:widowControl w:val="1"/>
              <w:ind w:firstLine="709" w:left="-977" w:right="-196"/>
              <w:contextualSpacing w:val="1"/>
              <w:jc w:val="center"/>
              <w:rPr>
                <w:sz w:val="22"/>
              </w:rPr>
            </w:pPr>
            <w:r>
              <w:rPr>
                <w:sz w:val="22"/>
              </w:rPr>
              <w:t>4.3.</w:t>
            </w:r>
          </w:p>
        </w:tc>
        <w:tc>
          <w:tcPr>
            <w:tcW w:type="dxa" w:w="1648"/>
            <w:tcBorders>
              <w:top w:sz="4" w:val="nil"/>
              <w:left w:sz="4" w:val="nil"/>
              <w:bottom w:color="000000" w:sz="4" w:val="single"/>
              <w:right w:color="000000" w:sz="4" w:val="single"/>
            </w:tcBorders>
            <w:shd w:fill="auto" w:val="clear"/>
            <w:vAlign w:val="center"/>
          </w:tcPr>
          <w:p w14:paraId="600D0000">
            <w:pPr>
              <w:widowControl w:val="1"/>
              <w:ind/>
              <w:contextualSpacing w:val="1"/>
              <w:rPr>
                <w:sz w:val="22"/>
              </w:rPr>
            </w:pPr>
            <w:r>
              <w:rPr>
                <w:sz w:val="22"/>
              </w:rPr>
              <w:t>Материалы</w:t>
            </w:r>
          </w:p>
        </w:tc>
        <w:tc>
          <w:tcPr>
            <w:tcW w:type="dxa" w:w="1275"/>
            <w:tcBorders>
              <w:top w:sz="4" w:val="nil"/>
              <w:left w:sz="4" w:val="nil"/>
              <w:bottom w:color="000000" w:sz="4" w:val="single"/>
              <w:right w:color="000000" w:sz="4" w:val="single"/>
            </w:tcBorders>
            <w:shd w:fill="auto" w:val="clear"/>
            <w:vAlign w:val="center"/>
          </w:tcPr>
          <w:p w14:paraId="610D0000">
            <w:pPr>
              <w:widowControl w:val="1"/>
              <w:ind/>
              <w:contextualSpacing w:val="1"/>
              <w:jc w:val="center"/>
              <w:rPr>
                <w:i w:val="1"/>
                <w:color w:val="000000"/>
                <w:sz w:val="22"/>
              </w:rPr>
            </w:pPr>
            <w:r>
              <w:rPr>
                <w:i w:val="1"/>
                <w:color w:val="000000"/>
                <w:sz w:val="22"/>
              </w:rPr>
              <w:t>4 275</w:t>
            </w:r>
          </w:p>
        </w:tc>
        <w:tc>
          <w:tcPr>
            <w:tcW w:type="dxa" w:w="1418"/>
            <w:tcBorders>
              <w:top w:color="000000" w:sz="4" w:val="single"/>
              <w:left w:color="000000" w:sz="4" w:val="single"/>
              <w:bottom w:color="000000" w:sz="4" w:val="single"/>
              <w:right w:color="000000" w:sz="4" w:val="single"/>
            </w:tcBorders>
            <w:vAlign w:val="center"/>
          </w:tcPr>
          <w:p w14:paraId="620D0000">
            <w:pPr>
              <w:widowControl w:val="1"/>
              <w:ind/>
              <w:contextualSpacing w:val="1"/>
              <w:jc w:val="center"/>
              <w:rPr>
                <w:i w:val="1"/>
                <w:color w:val="000000"/>
                <w:sz w:val="22"/>
              </w:rPr>
            </w:pPr>
            <w:r>
              <w:rPr>
                <w:i w:val="1"/>
                <w:color w:val="000000"/>
                <w:sz w:val="22"/>
              </w:rPr>
              <w:t>7 605</w:t>
            </w:r>
          </w:p>
        </w:tc>
        <w:tc>
          <w:tcPr>
            <w:tcW w:type="dxa" w:w="1417"/>
            <w:tcBorders>
              <w:top w:color="000000" w:sz="4" w:val="single"/>
              <w:left w:color="000000" w:sz="4" w:val="single"/>
              <w:bottom w:color="000000" w:sz="4" w:val="single"/>
              <w:right w:color="000000" w:sz="4" w:val="single"/>
            </w:tcBorders>
            <w:vAlign w:val="center"/>
          </w:tcPr>
          <w:p w14:paraId="630D0000">
            <w:pPr>
              <w:widowControl w:val="1"/>
              <w:ind/>
              <w:contextualSpacing w:val="1"/>
              <w:jc w:val="center"/>
              <w:rPr>
                <w:i w:val="1"/>
                <w:color w:val="000000"/>
                <w:sz w:val="22"/>
              </w:rPr>
            </w:pPr>
            <w:r>
              <w:rPr>
                <w:i w:val="1"/>
                <w:color w:val="000000"/>
                <w:sz w:val="22"/>
              </w:rPr>
              <w:t>6 000</w:t>
            </w:r>
          </w:p>
        </w:tc>
        <w:tc>
          <w:tcPr>
            <w:tcW w:type="dxa" w:w="1276"/>
            <w:tcBorders>
              <w:top w:color="000000" w:sz="4" w:val="single"/>
              <w:left w:color="000000" w:sz="4" w:val="single"/>
              <w:bottom w:color="000000" w:sz="4" w:val="single"/>
              <w:right w:color="000000" w:sz="4" w:val="single"/>
            </w:tcBorders>
            <w:vAlign w:val="center"/>
          </w:tcPr>
          <w:p w14:paraId="640D0000">
            <w:pPr>
              <w:widowControl w:val="1"/>
              <w:ind/>
              <w:jc w:val="center"/>
              <w:rPr>
                <w:i w:val="1"/>
                <w:sz w:val="22"/>
              </w:rPr>
            </w:pPr>
            <w:r>
              <w:rPr>
                <w:i w:val="1"/>
                <w:sz w:val="22"/>
              </w:rPr>
              <w:t>7 313</w:t>
            </w:r>
          </w:p>
        </w:tc>
        <w:tc>
          <w:tcPr>
            <w:tcW w:type="dxa" w:w="1134"/>
            <w:tcBorders>
              <w:top w:color="000000" w:sz="4" w:val="single"/>
              <w:left w:color="000000" w:sz="4" w:val="single"/>
              <w:bottom w:color="000000" w:sz="4" w:val="single"/>
              <w:right w:color="000000" w:sz="4" w:val="single"/>
            </w:tcBorders>
            <w:shd w:fill="auto" w:val="clear"/>
            <w:vAlign w:val="center"/>
          </w:tcPr>
          <w:p w14:paraId="650D0000">
            <w:pPr>
              <w:widowControl w:val="1"/>
              <w:ind/>
              <w:jc w:val="center"/>
              <w:rPr>
                <w:i w:val="1"/>
                <w:sz w:val="22"/>
              </w:rPr>
            </w:pPr>
            <w:r>
              <w:rPr>
                <w:i w:val="1"/>
                <w:sz w:val="22"/>
              </w:rPr>
              <w:t>96</w:t>
            </w:r>
          </w:p>
        </w:tc>
        <w:tc>
          <w:tcPr>
            <w:tcW w:type="dxa" w:w="992"/>
            <w:tcBorders>
              <w:top w:color="000000" w:sz="4" w:val="single"/>
              <w:left w:color="000000" w:sz="4" w:val="single"/>
              <w:bottom w:color="000000" w:sz="4" w:val="single"/>
              <w:right w:color="000000" w:sz="4" w:val="single"/>
            </w:tcBorders>
            <w:shd w:fill="auto" w:val="clear"/>
            <w:vAlign w:val="center"/>
          </w:tcPr>
          <w:p w14:paraId="660D0000">
            <w:pPr>
              <w:widowControl w:val="1"/>
              <w:ind/>
              <w:jc w:val="center"/>
              <w:rPr>
                <w:i w:val="1"/>
                <w:sz w:val="22"/>
              </w:rPr>
            </w:pPr>
            <w:r>
              <w:rPr>
                <w:i w:val="1"/>
                <w:sz w:val="22"/>
              </w:rPr>
              <w:t>122</w:t>
            </w:r>
          </w:p>
        </w:tc>
      </w:tr>
      <w:tr>
        <w:trPr>
          <w:trHeight w:hRule="atLeast" w:val="237"/>
        </w:trPr>
        <w:tc>
          <w:tcPr>
            <w:tcW w:type="dxa" w:w="714"/>
            <w:tcBorders>
              <w:top w:sz="4" w:val="nil"/>
              <w:left w:color="000000" w:sz="4" w:val="single"/>
              <w:bottom w:color="000000" w:sz="4" w:val="single"/>
              <w:right w:color="000000" w:sz="4" w:val="single"/>
            </w:tcBorders>
            <w:shd w:fill="auto" w:val="clear"/>
            <w:vAlign w:val="center"/>
          </w:tcPr>
          <w:p w14:paraId="670D0000">
            <w:pPr>
              <w:widowControl w:val="1"/>
              <w:ind w:firstLine="709" w:left="-977" w:right="-196"/>
              <w:contextualSpacing w:val="1"/>
              <w:jc w:val="center"/>
              <w:rPr>
                <w:sz w:val="22"/>
              </w:rPr>
            </w:pPr>
            <w:r>
              <w:rPr>
                <w:sz w:val="22"/>
              </w:rPr>
              <w:t>4.5.</w:t>
            </w:r>
          </w:p>
        </w:tc>
        <w:tc>
          <w:tcPr>
            <w:tcW w:type="dxa" w:w="1648"/>
            <w:tcBorders>
              <w:top w:sz="4" w:val="nil"/>
              <w:left w:sz="4" w:val="nil"/>
              <w:bottom w:color="000000" w:sz="4" w:val="single"/>
              <w:right w:color="000000" w:sz="4" w:val="single"/>
            </w:tcBorders>
            <w:shd w:fill="auto" w:val="clear"/>
            <w:vAlign w:val="center"/>
          </w:tcPr>
          <w:p w14:paraId="680D0000">
            <w:pPr>
              <w:widowControl w:val="1"/>
              <w:ind/>
              <w:contextualSpacing w:val="1"/>
              <w:rPr>
                <w:sz w:val="22"/>
              </w:rPr>
            </w:pPr>
            <w:r>
              <w:rPr>
                <w:sz w:val="22"/>
              </w:rPr>
              <w:t>Топливо</w:t>
            </w:r>
          </w:p>
        </w:tc>
        <w:tc>
          <w:tcPr>
            <w:tcW w:type="dxa" w:w="1275"/>
            <w:tcBorders>
              <w:top w:sz="4" w:val="nil"/>
              <w:left w:sz="4" w:val="nil"/>
              <w:bottom w:color="000000" w:sz="4" w:val="single"/>
              <w:right w:color="000000" w:sz="4" w:val="single"/>
            </w:tcBorders>
            <w:shd w:fill="auto" w:val="clear"/>
            <w:vAlign w:val="center"/>
          </w:tcPr>
          <w:p w14:paraId="690D0000">
            <w:pPr>
              <w:widowControl w:val="1"/>
              <w:ind/>
              <w:contextualSpacing w:val="1"/>
              <w:jc w:val="center"/>
              <w:rPr>
                <w:i w:val="1"/>
                <w:color w:val="000000"/>
                <w:sz w:val="22"/>
              </w:rPr>
            </w:pPr>
            <w:r>
              <w:rPr>
                <w:i w:val="1"/>
                <w:color w:val="000000"/>
                <w:sz w:val="22"/>
              </w:rPr>
              <w:t>271</w:t>
            </w:r>
          </w:p>
        </w:tc>
        <w:tc>
          <w:tcPr>
            <w:tcW w:type="dxa" w:w="1418"/>
            <w:tcBorders>
              <w:top w:color="000000" w:sz="4" w:val="single"/>
              <w:left w:color="000000" w:sz="4" w:val="single"/>
              <w:bottom w:color="000000" w:sz="4" w:val="single"/>
              <w:right w:color="000000" w:sz="4" w:val="single"/>
            </w:tcBorders>
            <w:vAlign w:val="center"/>
          </w:tcPr>
          <w:p w14:paraId="6A0D0000">
            <w:pPr>
              <w:widowControl w:val="1"/>
              <w:ind/>
              <w:contextualSpacing w:val="1"/>
              <w:jc w:val="center"/>
              <w:rPr>
                <w:i w:val="1"/>
                <w:color w:val="000000"/>
                <w:sz w:val="22"/>
              </w:rPr>
            </w:pPr>
            <w:r>
              <w:rPr>
                <w:i w:val="1"/>
                <w:color w:val="000000"/>
                <w:sz w:val="22"/>
              </w:rPr>
              <w:t>277</w:t>
            </w:r>
          </w:p>
        </w:tc>
        <w:tc>
          <w:tcPr>
            <w:tcW w:type="dxa" w:w="1417"/>
            <w:tcBorders>
              <w:top w:color="000000" w:sz="4" w:val="single"/>
              <w:left w:color="000000" w:sz="4" w:val="single"/>
              <w:bottom w:color="000000" w:sz="4" w:val="single"/>
              <w:right w:color="000000" w:sz="4" w:val="single"/>
            </w:tcBorders>
            <w:vAlign w:val="center"/>
          </w:tcPr>
          <w:p w14:paraId="6B0D0000">
            <w:pPr>
              <w:widowControl w:val="1"/>
              <w:ind/>
              <w:contextualSpacing w:val="1"/>
              <w:jc w:val="center"/>
              <w:rPr>
                <w:i w:val="1"/>
                <w:color w:val="000000"/>
                <w:sz w:val="22"/>
              </w:rPr>
            </w:pPr>
            <w:r>
              <w:rPr>
                <w:i w:val="1"/>
                <w:color w:val="000000"/>
                <w:sz w:val="22"/>
              </w:rPr>
              <w:t>281</w:t>
            </w:r>
          </w:p>
        </w:tc>
        <w:tc>
          <w:tcPr>
            <w:tcW w:type="dxa" w:w="1276"/>
            <w:tcBorders>
              <w:top w:color="000000" w:sz="4" w:val="single"/>
              <w:left w:color="000000" w:sz="4" w:val="single"/>
              <w:bottom w:color="000000" w:sz="4" w:val="single"/>
              <w:right w:color="000000" w:sz="4" w:val="single"/>
            </w:tcBorders>
            <w:vAlign w:val="center"/>
          </w:tcPr>
          <w:p w14:paraId="6C0D0000">
            <w:pPr>
              <w:widowControl w:val="1"/>
              <w:ind/>
              <w:contextualSpacing w:val="1"/>
              <w:jc w:val="center"/>
              <w:rPr>
                <w:i w:val="1"/>
                <w:color w:val="000000"/>
                <w:sz w:val="22"/>
              </w:rPr>
            </w:pPr>
            <w:r>
              <w:rPr>
                <w:i w:val="1"/>
                <w:color w:val="000000"/>
                <w:sz w:val="22"/>
              </w:rPr>
              <w:t>324</w:t>
            </w:r>
          </w:p>
        </w:tc>
        <w:tc>
          <w:tcPr>
            <w:tcW w:type="dxa" w:w="1134"/>
            <w:tcBorders>
              <w:top w:color="000000" w:sz="4" w:val="single"/>
              <w:left w:color="000000" w:sz="4" w:val="single"/>
              <w:bottom w:color="000000" w:sz="4" w:val="single"/>
              <w:right w:color="000000" w:sz="4" w:val="single"/>
            </w:tcBorders>
            <w:shd w:fill="auto" w:val="clear"/>
            <w:vAlign w:val="center"/>
          </w:tcPr>
          <w:p w14:paraId="6D0D0000">
            <w:pPr>
              <w:widowControl w:val="1"/>
              <w:ind/>
              <w:contextualSpacing w:val="1"/>
              <w:jc w:val="center"/>
              <w:rPr>
                <w:i w:val="1"/>
                <w:color w:val="000000"/>
                <w:sz w:val="22"/>
              </w:rPr>
            </w:pPr>
            <w:r>
              <w:rPr>
                <w:i w:val="1"/>
                <w:color w:val="000000"/>
                <w:sz w:val="22"/>
              </w:rPr>
              <w:t>117</w:t>
            </w:r>
          </w:p>
        </w:tc>
        <w:tc>
          <w:tcPr>
            <w:tcW w:type="dxa" w:w="992"/>
            <w:tcBorders>
              <w:top w:color="000000" w:sz="4" w:val="single"/>
              <w:left w:color="000000" w:sz="4" w:val="single"/>
              <w:bottom w:color="000000" w:sz="4" w:val="single"/>
              <w:right w:color="000000" w:sz="4" w:val="single"/>
            </w:tcBorders>
            <w:shd w:fill="auto" w:val="clear"/>
            <w:vAlign w:val="center"/>
          </w:tcPr>
          <w:p w14:paraId="6E0D0000">
            <w:pPr>
              <w:widowControl w:val="1"/>
              <w:ind/>
              <w:contextualSpacing w:val="1"/>
              <w:jc w:val="center"/>
              <w:rPr>
                <w:i w:val="1"/>
                <w:color w:val="000000"/>
                <w:sz w:val="22"/>
              </w:rPr>
            </w:pPr>
            <w:r>
              <w:rPr>
                <w:i w:val="1"/>
                <w:color w:val="000000"/>
                <w:sz w:val="22"/>
              </w:rPr>
              <w:t>115</w:t>
            </w:r>
          </w:p>
        </w:tc>
      </w:tr>
      <w:tr>
        <w:trPr>
          <w:trHeight w:hRule="atLeast" w:val="237"/>
        </w:trPr>
        <w:tc>
          <w:tcPr>
            <w:tcW w:type="dxa" w:w="714"/>
            <w:tcBorders>
              <w:top w:sz="4" w:val="nil"/>
              <w:left w:color="000000" w:sz="4" w:val="single"/>
              <w:bottom w:color="000000" w:sz="4" w:val="single"/>
              <w:right w:color="000000" w:sz="4" w:val="single"/>
            </w:tcBorders>
            <w:shd w:fill="auto" w:val="clear"/>
            <w:vAlign w:val="center"/>
          </w:tcPr>
          <w:p w14:paraId="6F0D0000">
            <w:pPr>
              <w:widowControl w:val="1"/>
              <w:ind w:firstLine="709" w:left="-977" w:right="-196"/>
              <w:contextualSpacing w:val="1"/>
              <w:jc w:val="center"/>
              <w:rPr>
                <w:sz w:val="22"/>
              </w:rPr>
            </w:pPr>
            <w:r>
              <w:rPr>
                <w:sz w:val="22"/>
              </w:rPr>
              <w:t>4.6.</w:t>
            </w:r>
          </w:p>
        </w:tc>
        <w:tc>
          <w:tcPr>
            <w:tcW w:type="dxa" w:w="1648"/>
            <w:tcBorders>
              <w:top w:sz="4" w:val="nil"/>
              <w:left w:sz="4" w:val="nil"/>
              <w:bottom w:color="000000" w:sz="4" w:val="single"/>
              <w:right w:color="000000" w:sz="4" w:val="single"/>
            </w:tcBorders>
            <w:shd w:fill="auto" w:val="clear"/>
            <w:vAlign w:val="center"/>
          </w:tcPr>
          <w:p w14:paraId="700D0000">
            <w:pPr>
              <w:widowControl w:val="1"/>
              <w:ind/>
              <w:contextualSpacing w:val="1"/>
              <w:rPr>
                <w:sz w:val="22"/>
              </w:rPr>
            </w:pPr>
            <w:r>
              <w:rPr>
                <w:sz w:val="22"/>
              </w:rPr>
              <w:t>Электроэнергия</w:t>
            </w:r>
          </w:p>
        </w:tc>
        <w:tc>
          <w:tcPr>
            <w:tcW w:type="dxa" w:w="1275"/>
            <w:tcBorders>
              <w:top w:sz="4" w:val="nil"/>
              <w:left w:sz="4" w:val="nil"/>
              <w:bottom w:color="000000" w:sz="4" w:val="single"/>
              <w:right w:color="000000" w:sz="4" w:val="single"/>
            </w:tcBorders>
            <w:shd w:fill="auto" w:val="clear"/>
            <w:vAlign w:val="center"/>
          </w:tcPr>
          <w:p w14:paraId="710D0000">
            <w:pPr>
              <w:widowControl w:val="1"/>
              <w:ind/>
              <w:contextualSpacing w:val="1"/>
              <w:jc w:val="center"/>
              <w:rPr>
                <w:i w:val="1"/>
                <w:color w:val="000000"/>
                <w:sz w:val="22"/>
              </w:rPr>
            </w:pPr>
            <w:r>
              <w:rPr>
                <w:i w:val="1"/>
                <w:color w:val="000000"/>
                <w:sz w:val="22"/>
              </w:rPr>
              <w:t>26</w:t>
            </w:r>
          </w:p>
        </w:tc>
        <w:tc>
          <w:tcPr>
            <w:tcW w:type="dxa" w:w="1418"/>
            <w:tcBorders>
              <w:top w:color="000000" w:sz="4" w:val="single"/>
              <w:left w:color="000000" w:sz="4" w:val="single"/>
              <w:bottom w:color="000000" w:sz="4" w:val="single"/>
              <w:right w:color="000000" w:sz="4" w:val="single"/>
            </w:tcBorders>
            <w:vAlign w:val="center"/>
          </w:tcPr>
          <w:p w14:paraId="720D0000">
            <w:pPr>
              <w:widowControl w:val="1"/>
              <w:ind/>
              <w:contextualSpacing w:val="1"/>
              <w:jc w:val="center"/>
              <w:rPr>
                <w:i w:val="1"/>
                <w:color w:val="000000"/>
                <w:sz w:val="22"/>
              </w:rPr>
            </w:pPr>
            <w:r>
              <w:rPr>
                <w:i w:val="1"/>
                <w:color w:val="000000"/>
                <w:sz w:val="22"/>
              </w:rPr>
              <w:t>16</w:t>
            </w:r>
          </w:p>
        </w:tc>
        <w:tc>
          <w:tcPr>
            <w:tcW w:type="dxa" w:w="1417"/>
            <w:tcBorders>
              <w:top w:color="000000" w:sz="4" w:val="single"/>
              <w:left w:color="000000" w:sz="4" w:val="single"/>
              <w:bottom w:color="000000" w:sz="4" w:val="single"/>
              <w:right w:color="000000" w:sz="4" w:val="single"/>
            </w:tcBorders>
            <w:vAlign w:val="center"/>
          </w:tcPr>
          <w:p w14:paraId="730D0000">
            <w:pPr>
              <w:widowControl w:val="1"/>
              <w:ind/>
              <w:contextualSpacing w:val="1"/>
              <w:jc w:val="center"/>
              <w:rPr>
                <w:i w:val="1"/>
                <w:color w:val="000000"/>
                <w:sz w:val="22"/>
              </w:rPr>
            </w:pPr>
            <w:r>
              <w:rPr>
                <w:i w:val="1"/>
                <w:color w:val="000000"/>
                <w:sz w:val="22"/>
              </w:rPr>
              <w:t>24</w:t>
            </w:r>
          </w:p>
        </w:tc>
        <w:tc>
          <w:tcPr>
            <w:tcW w:type="dxa" w:w="1276"/>
            <w:tcBorders>
              <w:top w:color="000000" w:sz="4" w:val="single"/>
              <w:left w:color="000000" w:sz="4" w:val="single"/>
              <w:bottom w:color="000000" w:sz="4" w:val="single"/>
              <w:right w:color="000000" w:sz="4" w:val="single"/>
            </w:tcBorders>
            <w:vAlign w:val="center"/>
          </w:tcPr>
          <w:p w14:paraId="740D0000">
            <w:pPr>
              <w:widowControl w:val="1"/>
              <w:ind/>
              <w:contextualSpacing w:val="1"/>
              <w:jc w:val="center"/>
              <w:rPr>
                <w:i w:val="1"/>
                <w:color w:val="000000"/>
                <w:sz w:val="22"/>
              </w:rPr>
            </w:pPr>
            <w:r>
              <w:rPr>
                <w:i w:val="1"/>
                <w:color w:val="000000"/>
                <w:sz w:val="22"/>
              </w:rPr>
              <w:t>16</w:t>
            </w:r>
          </w:p>
        </w:tc>
        <w:tc>
          <w:tcPr>
            <w:tcW w:type="dxa" w:w="1134"/>
            <w:tcBorders>
              <w:top w:color="000000" w:sz="4" w:val="single"/>
              <w:left w:color="000000" w:sz="4" w:val="single"/>
              <w:bottom w:color="000000" w:sz="4" w:val="single"/>
              <w:right w:color="000000" w:sz="4" w:val="single"/>
            </w:tcBorders>
            <w:shd w:fill="auto" w:val="clear"/>
            <w:vAlign w:val="center"/>
          </w:tcPr>
          <w:p w14:paraId="750D0000">
            <w:pPr>
              <w:widowControl w:val="1"/>
              <w:ind/>
              <w:contextualSpacing w:val="1"/>
              <w:jc w:val="center"/>
              <w:rPr>
                <w:i w:val="1"/>
                <w:color w:val="000000"/>
                <w:sz w:val="22"/>
              </w:rPr>
            </w:pPr>
            <w:r>
              <w:rPr>
                <w:i w:val="1"/>
                <w:color w:val="000000"/>
                <w:sz w:val="22"/>
              </w:rPr>
              <w:t>10</w:t>
            </w:r>
            <w:r>
              <w:rPr>
                <w:i w:val="1"/>
                <w:color w:val="000000"/>
                <w:sz w:val="22"/>
              </w:rPr>
              <w:t>1</w:t>
            </w:r>
          </w:p>
        </w:tc>
        <w:tc>
          <w:tcPr>
            <w:tcW w:type="dxa" w:w="992"/>
            <w:tcBorders>
              <w:top w:color="000000" w:sz="4" w:val="single"/>
              <w:left w:color="000000" w:sz="4" w:val="single"/>
              <w:bottom w:color="000000" w:sz="4" w:val="single"/>
              <w:right w:color="000000" w:sz="4" w:val="single"/>
            </w:tcBorders>
            <w:shd w:fill="auto" w:val="clear"/>
            <w:vAlign w:val="center"/>
          </w:tcPr>
          <w:p w14:paraId="760D0000">
            <w:pPr>
              <w:widowControl w:val="1"/>
              <w:ind/>
              <w:contextualSpacing w:val="1"/>
              <w:jc w:val="center"/>
              <w:rPr>
                <w:i w:val="1"/>
                <w:color w:val="000000"/>
                <w:sz w:val="22"/>
              </w:rPr>
            </w:pPr>
            <w:r>
              <w:rPr>
                <w:i w:val="1"/>
                <w:color w:val="000000"/>
                <w:sz w:val="22"/>
              </w:rPr>
              <w:t>68</w:t>
            </w:r>
          </w:p>
        </w:tc>
      </w:tr>
      <w:tr>
        <w:trPr>
          <w:trHeight w:hRule="atLeast" w:val="446"/>
        </w:trPr>
        <w:tc>
          <w:tcPr>
            <w:tcW w:type="dxa" w:w="714"/>
            <w:tcBorders>
              <w:top w:sz="4" w:val="nil"/>
              <w:left w:color="000000" w:sz="4" w:val="single"/>
              <w:bottom w:color="000000" w:sz="4" w:val="single"/>
              <w:right w:color="000000" w:sz="4" w:val="single"/>
            </w:tcBorders>
            <w:shd w:fill="auto" w:val="clear"/>
            <w:vAlign w:val="center"/>
          </w:tcPr>
          <w:p w14:paraId="770D0000">
            <w:pPr>
              <w:widowControl w:val="1"/>
              <w:ind w:firstLine="709" w:left="-977" w:right="-196"/>
              <w:contextualSpacing w:val="1"/>
              <w:jc w:val="center"/>
              <w:rPr>
                <w:sz w:val="22"/>
              </w:rPr>
            </w:pPr>
            <w:r>
              <w:rPr>
                <w:sz w:val="22"/>
              </w:rPr>
              <w:t>4.7.</w:t>
            </w:r>
          </w:p>
        </w:tc>
        <w:tc>
          <w:tcPr>
            <w:tcW w:type="dxa" w:w="1648"/>
            <w:tcBorders>
              <w:top w:sz="4" w:val="nil"/>
              <w:left w:sz="4" w:val="nil"/>
              <w:bottom w:color="000000" w:sz="4" w:val="single"/>
              <w:right w:color="000000" w:sz="4" w:val="single"/>
            </w:tcBorders>
            <w:shd w:fill="auto" w:val="clear"/>
            <w:vAlign w:val="center"/>
          </w:tcPr>
          <w:p w14:paraId="780D0000">
            <w:pPr>
              <w:widowControl w:val="1"/>
              <w:ind/>
              <w:contextualSpacing w:val="1"/>
              <w:rPr>
                <w:sz w:val="22"/>
              </w:rPr>
            </w:pPr>
            <w:r>
              <w:rPr>
                <w:sz w:val="22"/>
              </w:rPr>
              <w:t>Прочие материальные затраты</w:t>
            </w:r>
          </w:p>
        </w:tc>
        <w:tc>
          <w:tcPr>
            <w:tcW w:type="dxa" w:w="1275"/>
            <w:tcBorders>
              <w:top w:sz="4" w:val="nil"/>
              <w:left w:sz="4" w:val="nil"/>
              <w:bottom w:color="000000" w:sz="4" w:val="single"/>
              <w:right w:color="000000" w:sz="4" w:val="single"/>
            </w:tcBorders>
            <w:shd w:fill="auto" w:val="clear"/>
            <w:vAlign w:val="center"/>
          </w:tcPr>
          <w:p w14:paraId="790D0000">
            <w:pPr>
              <w:widowControl w:val="1"/>
              <w:ind/>
              <w:contextualSpacing w:val="1"/>
              <w:jc w:val="center"/>
              <w:rPr>
                <w:i w:val="1"/>
                <w:color w:val="000000"/>
                <w:sz w:val="22"/>
              </w:rPr>
            </w:pPr>
            <w:r>
              <w:rPr>
                <w:i w:val="1"/>
                <w:color w:val="000000"/>
                <w:sz w:val="22"/>
              </w:rPr>
              <w:t>8 222</w:t>
            </w:r>
          </w:p>
        </w:tc>
        <w:tc>
          <w:tcPr>
            <w:tcW w:type="dxa" w:w="1418"/>
            <w:tcBorders>
              <w:top w:color="000000" w:sz="4" w:val="single"/>
              <w:left w:color="000000" w:sz="4" w:val="single"/>
              <w:bottom w:color="000000" w:sz="4" w:val="single"/>
              <w:right w:color="000000" w:sz="4" w:val="single"/>
            </w:tcBorders>
            <w:vAlign w:val="center"/>
          </w:tcPr>
          <w:p w14:paraId="7A0D0000">
            <w:pPr>
              <w:widowControl w:val="1"/>
              <w:ind/>
              <w:contextualSpacing w:val="1"/>
              <w:jc w:val="center"/>
              <w:rPr>
                <w:i w:val="1"/>
                <w:color w:val="000000"/>
                <w:sz w:val="22"/>
              </w:rPr>
            </w:pPr>
            <w:r>
              <w:rPr>
                <w:i w:val="1"/>
                <w:color w:val="000000"/>
                <w:sz w:val="22"/>
              </w:rPr>
              <w:t>12 524</w:t>
            </w:r>
          </w:p>
        </w:tc>
        <w:tc>
          <w:tcPr>
            <w:tcW w:type="dxa" w:w="1417"/>
            <w:tcBorders>
              <w:top w:color="000000" w:sz="4" w:val="single"/>
              <w:left w:color="000000" w:sz="4" w:val="single"/>
              <w:bottom w:color="000000" w:sz="4" w:val="single"/>
              <w:right w:color="000000" w:sz="4" w:val="single"/>
            </w:tcBorders>
            <w:vAlign w:val="center"/>
          </w:tcPr>
          <w:p w14:paraId="7B0D0000">
            <w:pPr>
              <w:widowControl w:val="1"/>
              <w:ind/>
              <w:contextualSpacing w:val="1"/>
              <w:jc w:val="center"/>
              <w:rPr>
                <w:i w:val="1"/>
                <w:color w:val="000000"/>
                <w:sz w:val="22"/>
              </w:rPr>
            </w:pPr>
            <w:r>
              <w:rPr>
                <w:i w:val="1"/>
                <w:color w:val="000000"/>
                <w:sz w:val="22"/>
              </w:rPr>
              <w:t>13 305</w:t>
            </w:r>
          </w:p>
        </w:tc>
        <w:tc>
          <w:tcPr>
            <w:tcW w:type="dxa" w:w="1276"/>
            <w:tcBorders>
              <w:top w:color="000000" w:sz="4" w:val="single"/>
              <w:left w:color="000000" w:sz="4" w:val="single"/>
              <w:bottom w:color="000000" w:sz="4" w:val="single"/>
              <w:right w:color="000000" w:sz="4" w:val="single"/>
            </w:tcBorders>
            <w:vAlign w:val="center"/>
          </w:tcPr>
          <w:p w14:paraId="7C0D0000">
            <w:pPr>
              <w:widowControl w:val="1"/>
              <w:ind/>
              <w:contextualSpacing w:val="1"/>
              <w:jc w:val="center"/>
              <w:rPr>
                <w:i w:val="1"/>
                <w:color w:val="000000"/>
                <w:sz w:val="22"/>
              </w:rPr>
            </w:pPr>
            <w:r>
              <w:rPr>
                <w:i w:val="1"/>
                <w:color w:val="000000"/>
                <w:sz w:val="22"/>
              </w:rPr>
              <w:t>7 781</w:t>
            </w:r>
          </w:p>
        </w:tc>
        <w:tc>
          <w:tcPr>
            <w:tcW w:type="dxa" w:w="1134"/>
            <w:tcBorders>
              <w:top w:color="000000" w:sz="4" w:val="single"/>
              <w:left w:color="000000" w:sz="4" w:val="single"/>
              <w:bottom w:color="000000" w:sz="4" w:val="single"/>
              <w:right w:color="000000" w:sz="4" w:val="single"/>
            </w:tcBorders>
            <w:shd w:fill="auto" w:val="clear"/>
            <w:vAlign w:val="center"/>
          </w:tcPr>
          <w:p w14:paraId="7D0D0000">
            <w:pPr>
              <w:widowControl w:val="1"/>
              <w:ind/>
              <w:contextualSpacing w:val="1"/>
              <w:jc w:val="center"/>
              <w:rPr>
                <w:i w:val="1"/>
                <w:color w:val="000000"/>
                <w:sz w:val="22"/>
              </w:rPr>
            </w:pPr>
            <w:r>
              <w:rPr>
                <w:i w:val="1"/>
                <w:color w:val="000000"/>
                <w:sz w:val="22"/>
              </w:rPr>
              <w:t>62</w:t>
            </w:r>
          </w:p>
        </w:tc>
        <w:tc>
          <w:tcPr>
            <w:tcW w:type="dxa" w:w="992"/>
            <w:tcBorders>
              <w:top w:color="000000" w:sz="4" w:val="single"/>
              <w:left w:color="000000" w:sz="4" w:val="single"/>
              <w:bottom w:color="000000" w:sz="4" w:val="single"/>
              <w:right w:color="000000" w:sz="4" w:val="single"/>
            </w:tcBorders>
            <w:shd w:fill="auto" w:val="clear"/>
            <w:vAlign w:val="center"/>
          </w:tcPr>
          <w:p w14:paraId="7E0D0000">
            <w:pPr>
              <w:widowControl w:val="1"/>
              <w:ind/>
              <w:contextualSpacing w:val="1"/>
              <w:jc w:val="center"/>
              <w:rPr>
                <w:i w:val="1"/>
                <w:color w:val="000000"/>
                <w:sz w:val="22"/>
              </w:rPr>
            </w:pPr>
            <w:r>
              <w:rPr>
                <w:i w:val="1"/>
                <w:color w:val="000000"/>
                <w:sz w:val="22"/>
              </w:rPr>
              <w:t>58</w:t>
            </w:r>
          </w:p>
        </w:tc>
      </w:tr>
      <w:tr>
        <w:trPr>
          <w:trHeight w:hRule="atLeast" w:val="237"/>
        </w:trPr>
        <w:tc>
          <w:tcPr>
            <w:tcW w:type="dxa" w:w="714"/>
            <w:tcBorders>
              <w:top w:sz="4" w:val="nil"/>
              <w:left w:color="000000" w:sz="4" w:val="single"/>
              <w:bottom w:color="000000" w:sz="4" w:val="single"/>
              <w:right w:color="000000" w:sz="4" w:val="single"/>
            </w:tcBorders>
            <w:shd w:fill="auto" w:val="clear"/>
            <w:vAlign w:val="center"/>
          </w:tcPr>
          <w:p w14:paraId="7F0D0000">
            <w:pPr>
              <w:widowControl w:val="1"/>
              <w:ind w:firstLine="709" w:left="-977" w:right="-196"/>
              <w:contextualSpacing w:val="1"/>
              <w:jc w:val="center"/>
              <w:rPr>
                <w:sz w:val="22"/>
              </w:rPr>
            </w:pPr>
            <w:r>
              <w:rPr>
                <w:sz w:val="22"/>
              </w:rPr>
              <w:t>4.8.</w:t>
            </w:r>
          </w:p>
        </w:tc>
        <w:tc>
          <w:tcPr>
            <w:tcW w:type="dxa" w:w="1648"/>
            <w:tcBorders>
              <w:top w:sz="4" w:val="nil"/>
              <w:left w:sz="4" w:val="nil"/>
              <w:bottom w:color="000000" w:sz="4" w:val="single"/>
              <w:right w:color="000000" w:sz="4" w:val="single"/>
            </w:tcBorders>
            <w:shd w:fill="auto" w:val="clear"/>
            <w:vAlign w:val="center"/>
          </w:tcPr>
          <w:p w14:paraId="800D0000">
            <w:pPr>
              <w:widowControl w:val="1"/>
              <w:ind/>
              <w:contextualSpacing w:val="1"/>
              <w:rPr>
                <w:sz w:val="22"/>
              </w:rPr>
            </w:pPr>
            <w:r>
              <w:rPr>
                <w:sz w:val="22"/>
              </w:rPr>
              <w:t>Амортизация</w:t>
            </w:r>
          </w:p>
        </w:tc>
        <w:tc>
          <w:tcPr>
            <w:tcW w:type="dxa" w:w="1275"/>
            <w:tcBorders>
              <w:top w:sz="4" w:val="nil"/>
              <w:left w:sz="4" w:val="nil"/>
              <w:bottom w:color="000000" w:sz="4" w:val="single"/>
              <w:right w:color="000000" w:sz="4" w:val="single"/>
            </w:tcBorders>
            <w:shd w:fill="auto" w:val="clear"/>
            <w:vAlign w:val="center"/>
          </w:tcPr>
          <w:p w14:paraId="810D0000">
            <w:pPr>
              <w:widowControl w:val="1"/>
              <w:ind/>
              <w:contextualSpacing w:val="1"/>
              <w:jc w:val="center"/>
              <w:rPr>
                <w:color w:val="000000"/>
                <w:sz w:val="22"/>
              </w:rPr>
            </w:pPr>
            <w:r>
              <w:rPr>
                <w:color w:val="000000"/>
                <w:sz w:val="22"/>
              </w:rPr>
              <w:t>3 562</w:t>
            </w:r>
          </w:p>
        </w:tc>
        <w:tc>
          <w:tcPr>
            <w:tcW w:type="dxa" w:w="1418"/>
            <w:tcBorders>
              <w:top w:color="000000" w:sz="4" w:val="single"/>
              <w:left w:color="000000" w:sz="4" w:val="single"/>
              <w:bottom w:color="000000" w:sz="4" w:val="single"/>
              <w:right w:color="000000" w:sz="4" w:val="single"/>
            </w:tcBorders>
            <w:vAlign w:val="center"/>
          </w:tcPr>
          <w:p w14:paraId="820D0000">
            <w:pPr>
              <w:widowControl w:val="1"/>
              <w:ind/>
              <w:contextualSpacing w:val="1"/>
              <w:jc w:val="center"/>
              <w:rPr>
                <w:color w:val="000000"/>
                <w:sz w:val="22"/>
              </w:rPr>
            </w:pPr>
            <w:r>
              <w:rPr>
                <w:color w:val="000000"/>
                <w:sz w:val="22"/>
              </w:rPr>
              <w:t>4 658</w:t>
            </w:r>
          </w:p>
        </w:tc>
        <w:tc>
          <w:tcPr>
            <w:tcW w:type="dxa" w:w="1417"/>
            <w:tcBorders>
              <w:top w:color="000000" w:sz="4" w:val="single"/>
              <w:left w:color="000000" w:sz="4" w:val="single"/>
              <w:bottom w:color="000000" w:sz="4" w:val="single"/>
              <w:right w:color="000000" w:sz="4" w:val="single"/>
            </w:tcBorders>
            <w:vAlign w:val="center"/>
          </w:tcPr>
          <w:p w14:paraId="830D0000">
            <w:pPr>
              <w:widowControl w:val="1"/>
              <w:ind/>
              <w:contextualSpacing w:val="1"/>
              <w:jc w:val="center"/>
              <w:rPr>
                <w:color w:val="000000"/>
                <w:sz w:val="22"/>
              </w:rPr>
            </w:pPr>
            <w:r>
              <w:rPr>
                <w:color w:val="000000"/>
                <w:sz w:val="22"/>
              </w:rPr>
              <w:t>5 483</w:t>
            </w:r>
          </w:p>
        </w:tc>
        <w:tc>
          <w:tcPr>
            <w:tcW w:type="dxa" w:w="1276"/>
            <w:tcBorders>
              <w:top w:color="000000" w:sz="4" w:val="single"/>
              <w:left w:color="000000" w:sz="4" w:val="single"/>
              <w:bottom w:color="000000" w:sz="4" w:val="single"/>
              <w:right w:color="000000" w:sz="4" w:val="single"/>
            </w:tcBorders>
            <w:vAlign w:val="center"/>
          </w:tcPr>
          <w:p w14:paraId="840D0000">
            <w:pPr>
              <w:widowControl w:val="1"/>
              <w:ind/>
              <w:contextualSpacing w:val="1"/>
              <w:jc w:val="center"/>
              <w:rPr>
                <w:color w:val="000000"/>
                <w:sz w:val="22"/>
              </w:rPr>
            </w:pPr>
            <w:r>
              <w:rPr>
                <w:color w:val="000000"/>
                <w:sz w:val="22"/>
              </w:rPr>
              <w:t>3 726</w:t>
            </w:r>
          </w:p>
        </w:tc>
        <w:tc>
          <w:tcPr>
            <w:tcW w:type="dxa" w:w="1134"/>
            <w:tcBorders>
              <w:top w:color="000000" w:sz="4" w:val="single"/>
              <w:left w:color="000000" w:sz="4" w:val="single"/>
              <w:bottom w:color="000000" w:sz="4" w:val="single"/>
              <w:right w:color="000000" w:sz="4" w:val="single"/>
            </w:tcBorders>
            <w:shd w:fill="auto" w:val="clear"/>
            <w:vAlign w:val="center"/>
          </w:tcPr>
          <w:p w14:paraId="850D0000">
            <w:pPr>
              <w:widowControl w:val="1"/>
              <w:ind/>
              <w:contextualSpacing w:val="1"/>
              <w:jc w:val="center"/>
              <w:rPr>
                <w:i w:val="1"/>
                <w:color w:val="000000"/>
                <w:sz w:val="22"/>
              </w:rPr>
            </w:pPr>
            <w:r>
              <w:rPr>
                <w:i w:val="1"/>
                <w:color w:val="000000"/>
                <w:sz w:val="22"/>
              </w:rPr>
              <w:t>80</w:t>
            </w:r>
          </w:p>
        </w:tc>
        <w:tc>
          <w:tcPr>
            <w:tcW w:type="dxa" w:w="992"/>
            <w:tcBorders>
              <w:top w:color="000000" w:sz="4" w:val="single"/>
              <w:left w:color="000000" w:sz="4" w:val="single"/>
              <w:bottom w:color="000000" w:sz="4" w:val="single"/>
              <w:right w:color="000000" w:sz="4" w:val="single"/>
            </w:tcBorders>
            <w:shd w:fill="auto" w:val="clear"/>
            <w:vAlign w:val="center"/>
          </w:tcPr>
          <w:p w14:paraId="860D0000">
            <w:pPr>
              <w:widowControl w:val="1"/>
              <w:ind/>
              <w:contextualSpacing w:val="1"/>
              <w:jc w:val="center"/>
              <w:rPr>
                <w:i w:val="1"/>
                <w:color w:val="000000"/>
                <w:sz w:val="22"/>
              </w:rPr>
            </w:pPr>
            <w:r>
              <w:rPr>
                <w:i w:val="1"/>
                <w:color w:val="000000"/>
                <w:sz w:val="22"/>
              </w:rPr>
              <w:t>68</w:t>
            </w:r>
          </w:p>
        </w:tc>
      </w:tr>
      <w:tr>
        <w:trPr>
          <w:trHeight w:hRule="atLeast" w:val="668"/>
        </w:trPr>
        <w:tc>
          <w:tcPr>
            <w:tcW w:type="dxa" w:w="714"/>
            <w:tcBorders>
              <w:top w:sz="4" w:val="nil"/>
              <w:left w:color="000000" w:sz="4" w:val="single"/>
              <w:bottom w:color="000000" w:sz="4" w:val="single"/>
              <w:right w:color="000000" w:sz="4" w:val="single"/>
            </w:tcBorders>
            <w:shd w:fill="auto" w:val="clear"/>
            <w:vAlign w:val="center"/>
          </w:tcPr>
          <w:p w14:paraId="870D0000">
            <w:pPr>
              <w:widowControl w:val="1"/>
              <w:ind w:firstLine="709" w:left="-977" w:right="-196"/>
              <w:contextualSpacing w:val="1"/>
              <w:jc w:val="center"/>
              <w:rPr>
                <w:sz w:val="22"/>
              </w:rPr>
            </w:pPr>
            <w:r>
              <w:rPr>
                <w:sz w:val="22"/>
              </w:rPr>
              <w:t>4.9.</w:t>
            </w:r>
          </w:p>
        </w:tc>
        <w:tc>
          <w:tcPr>
            <w:tcW w:type="dxa" w:w="1648"/>
            <w:tcBorders>
              <w:top w:sz="4" w:val="nil"/>
              <w:left w:sz="4" w:val="nil"/>
              <w:bottom w:color="000000" w:sz="4" w:val="single"/>
              <w:right w:color="000000" w:sz="4" w:val="single"/>
            </w:tcBorders>
            <w:shd w:fill="auto" w:val="clear"/>
            <w:vAlign w:val="center"/>
          </w:tcPr>
          <w:p w14:paraId="880D0000">
            <w:pPr>
              <w:widowControl w:val="1"/>
              <w:ind/>
              <w:contextualSpacing w:val="1"/>
              <w:rPr>
                <w:sz w:val="22"/>
              </w:rPr>
            </w:pPr>
            <w:r>
              <w:rPr>
                <w:sz w:val="22"/>
              </w:rPr>
              <w:t>Прочие производственные затраты</w:t>
            </w:r>
          </w:p>
        </w:tc>
        <w:tc>
          <w:tcPr>
            <w:tcW w:type="dxa" w:w="1275"/>
            <w:tcBorders>
              <w:top w:sz="4" w:val="nil"/>
              <w:left w:sz="4" w:val="nil"/>
              <w:bottom w:color="000000" w:sz="4" w:val="single"/>
              <w:right w:color="000000" w:sz="4" w:val="single"/>
            </w:tcBorders>
            <w:shd w:fill="auto" w:val="clear"/>
            <w:vAlign w:val="center"/>
          </w:tcPr>
          <w:p w14:paraId="890D0000">
            <w:pPr>
              <w:widowControl w:val="1"/>
              <w:ind/>
              <w:contextualSpacing w:val="1"/>
              <w:jc w:val="center"/>
              <w:rPr>
                <w:color w:val="000000"/>
                <w:sz w:val="22"/>
              </w:rPr>
            </w:pPr>
            <w:r>
              <w:rPr>
                <w:color w:val="000000"/>
                <w:sz w:val="22"/>
              </w:rPr>
              <w:t>489 920</w:t>
            </w:r>
          </w:p>
        </w:tc>
        <w:tc>
          <w:tcPr>
            <w:tcW w:type="dxa" w:w="1418"/>
            <w:tcBorders>
              <w:top w:color="000000" w:sz="4" w:val="single"/>
              <w:left w:color="000000" w:sz="4" w:val="single"/>
              <w:bottom w:color="000000" w:sz="4" w:val="single"/>
              <w:right w:color="000000" w:sz="4" w:val="single"/>
            </w:tcBorders>
            <w:vAlign w:val="center"/>
          </w:tcPr>
          <w:p w14:paraId="8A0D0000">
            <w:pPr>
              <w:widowControl w:val="1"/>
              <w:ind/>
              <w:contextualSpacing w:val="1"/>
              <w:jc w:val="center"/>
              <w:rPr>
                <w:color w:val="000000"/>
                <w:sz w:val="22"/>
              </w:rPr>
            </w:pPr>
            <w:r>
              <w:rPr>
                <w:color w:val="000000"/>
                <w:sz w:val="22"/>
              </w:rPr>
              <w:t>499 988</w:t>
            </w:r>
          </w:p>
        </w:tc>
        <w:tc>
          <w:tcPr>
            <w:tcW w:type="dxa" w:w="1417"/>
            <w:tcBorders>
              <w:top w:color="000000" w:sz="4" w:val="single"/>
              <w:left w:color="000000" w:sz="4" w:val="single"/>
              <w:bottom w:color="000000" w:sz="4" w:val="single"/>
              <w:right w:color="000000" w:sz="4" w:val="single"/>
            </w:tcBorders>
            <w:vAlign w:val="center"/>
          </w:tcPr>
          <w:p w14:paraId="8B0D0000">
            <w:pPr>
              <w:widowControl w:val="1"/>
              <w:ind/>
              <w:contextualSpacing w:val="1"/>
              <w:jc w:val="center"/>
              <w:rPr>
                <w:color w:val="000000"/>
                <w:sz w:val="22"/>
              </w:rPr>
            </w:pPr>
            <w:r>
              <w:rPr>
                <w:color w:val="000000"/>
                <w:sz w:val="22"/>
              </w:rPr>
              <w:t>508 971</w:t>
            </w:r>
          </w:p>
        </w:tc>
        <w:tc>
          <w:tcPr>
            <w:tcW w:type="dxa" w:w="1276"/>
            <w:tcBorders>
              <w:top w:color="000000" w:sz="4" w:val="single"/>
              <w:left w:color="000000" w:sz="4" w:val="single"/>
              <w:bottom w:color="000000" w:sz="4" w:val="single"/>
              <w:right w:color="000000" w:sz="4" w:val="single"/>
            </w:tcBorders>
            <w:vAlign w:val="center"/>
          </w:tcPr>
          <w:p w14:paraId="8C0D0000">
            <w:pPr>
              <w:widowControl w:val="1"/>
              <w:ind/>
              <w:jc w:val="center"/>
              <w:rPr>
                <w:sz w:val="20"/>
              </w:rPr>
            </w:pPr>
            <w:r>
              <w:rPr>
                <w:sz w:val="20"/>
              </w:rPr>
              <w:t>513 743</w:t>
            </w:r>
          </w:p>
        </w:tc>
        <w:tc>
          <w:tcPr>
            <w:tcW w:type="dxa" w:w="1134"/>
            <w:tcBorders>
              <w:top w:color="000000" w:sz="4" w:val="single"/>
              <w:left w:color="000000" w:sz="4" w:val="single"/>
              <w:bottom w:color="000000" w:sz="4" w:val="single"/>
              <w:right w:color="000000" w:sz="4" w:val="single"/>
            </w:tcBorders>
            <w:shd w:fill="auto" w:val="clear"/>
            <w:vAlign w:val="center"/>
          </w:tcPr>
          <w:p w14:paraId="8D0D0000">
            <w:pPr>
              <w:widowControl w:val="1"/>
              <w:ind/>
              <w:jc w:val="center"/>
              <w:rPr>
                <w:i w:val="1"/>
                <w:sz w:val="20"/>
              </w:rPr>
            </w:pPr>
            <w:r>
              <w:rPr>
                <w:i w:val="1"/>
                <w:sz w:val="20"/>
              </w:rPr>
              <w:t>103</w:t>
            </w:r>
          </w:p>
        </w:tc>
        <w:tc>
          <w:tcPr>
            <w:tcW w:type="dxa" w:w="992"/>
            <w:tcBorders>
              <w:top w:color="000000" w:sz="4" w:val="single"/>
              <w:left w:color="000000" w:sz="4" w:val="single"/>
              <w:bottom w:color="000000" w:sz="4" w:val="single"/>
              <w:right w:color="000000" w:sz="4" w:val="single"/>
            </w:tcBorders>
            <w:shd w:fill="auto" w:val="clear"/>
            <w:vAlign w:val="center"/>
          </w:tcPr>
          <w:p w14:paraId="8E0D0000">
            <w:pPr>
              <w:widowControl w:val="1"/>
              <w:ind/>
              <w:jc w:val="center"/>
              <w:rPr>
                <w:i w:val="1"/>
                <w:sz w:val="20"/>
              </w:rPr>
            </w:pPr>
            <w:r>
              <w:rPr>
                <w:i w:val="1"/>
                <w:sz w:val="20"/>
              </w:rPr>
              <w:t>101</w:t>
            </w:r>
          </w:p>
        </w:tc>
      </w:tr>
      <w:tr>
        <w:trPr>
          <w:trHeight w:hRule="atLeast" w:val="446"/>
        </w:trPr>
        <w:tc>
          <w:tcPr>
            <w:tcW w:type="dxa" w:w="714"/>
            <w:tcBorders>
              <w:top w:sz="4" w:val="nil"/>
              <w:left w:color="000000" w:sz="4" w:val="single"/>
              <w:bottom w:color="000000" w:sz="4" w:val="single"/>
              <w:right w:color="000000" w:sz="4" w:val="single"/>
            </w:tcBorders>
            <w:shd w:fill="auto" w:val="clear"/>
            <w:vAlign w:val="center"/>
          </w:tcPr>
          <w:p w14:paraId="8F0D0000">
            <w:pPr>
              <w:widowControl w:val="1"/>
              <w:ind w:firstLine="709" w:left="-977" w:right="-196"/>
              <w:contextualSpacing w:val="1"/>
              <w:jc w:val="center"/>
              <w:rPr>
                <w:b w:val="1"/>
                <w:sz w:val="22"/>
              </w:rPr>
            </w:pPr>
            <w:r>
              <w:rPr>
                <w:b w:val="1"/>
                <w:sz w:val="22"/>
              </w:rPr>
              <w:t>5.</w:t>
            </w:r>
          </w:p>
        </w:tc>
        <w:tc>
          <w:tcPr>
            <w:tcW w:type="dxa" w:w="1648"/>
            <w:tcBorders>
              <w:top w:sz="4" w:val="nil"/>
              <w:left w:sz="4" w:val="nil"/>
              <w:bottom w:color="000000" w:sz="4" w:val="single"/>
              <w:right w:color="000000" w:sz="4" w:val="single"/>
            </w:tcBorders>
            <w:shd w:fill="auto" w:val="clear"/>
            <w:vAlign w:val="center"/>
          </w:tcPr>
          <w:p w14:paraId="900D0000">
            <w:pPr>
              <w:widowControl w:val="1"/>
              <w:ind/>
              <w:contextualSpacing w:val="1"/>
              <w:rPr>
                <w:b w:val="1"/>
                <w:sz w:val="22"/>
              </w:rPr>
            </w:pPr>
            <w:r>
              <w:rPr>
                <w:b w:val="1"/>
                <w:sz w:val="22"/>
              </w:rPr>
              <w:t xml:space="preserve">Расходы по прочим видам деятельности </w:t>
            </w:r>
          </w:p>
        </w:tc>
        <w:tc>
          <w:tcPr>
            <w:tcW w:type="dxa" w:w="1275"/>
            <w:tcBorders>
              <w:top w:sz="4" w:val="nil"/>
              <w:left w:sz="4" w:val="nil"/>
              <w:bottom w:color="000000" w:sz="4" w:val="single"/>
              <w:right w:color="000000" w:sz="4" w:val="single"/>
            </w:tcBorders>
            <w:shd w:fill="auto" w:val="clear"/>
            <w:vAlign w:val="center"/>
          </w:tcPr>
          <w:p w14:paraId="910D0000">
            <w:pPr>
              <w:widowControl w:val="1"/>
              <w:ind/>
              <w:contextualSpacing w:val="1"/>
              <w:jc w:val="center"/>
              <w:rPr>
                <w:b w:val="1"/>
                <w:color w:val="000000"/>
                <w:sz w:val="22"/>
              </w:rPr>
            </w:pPr>
            <w:r>
              <w:rPr>
                <w:b w:val="1"/>
                <w:color w:val="000000"/>
                <w:sz w:val="22"/>
              </w:rPr>
              <w:t>3 236</w:t>
            </w:r>
          </w:p>
        </w:tc>
        <w:tc>
          <w:tcPr>
            <w:tcW w:type="dxa" w:w="1418"/>
            <w:tcBorders>
              <w:top w:color="000000" w:sz="4" w:val="single"/>
              <w:left w:color="000000" w:sz="4" w:val="single"/>
              <w:bottom w:color="000000" w:sz="4" w:val="single"/>
              <w:right w:color="000000" w:sz="4" w:val="single"/>
            </w:tcBorders>
            <w:vAlign w:val="center"/>
          </w:tcPr>
          <w:p w14:paraId="920D0000">
            <w:pPr>
              <w:widowControl w:val="1"/>
              <w:ind/>
              <w:contextualSpacing w:val="1"/>
              <w:jc w:val="center"/>
              <w:rPr>
                <w:b w:val="1"/>
                <w:color w:val="000000"/>
                <w:sz w:val="22"/>
              </w:rPr>
            </w:pPr>
            <w:r>
              <w:rPr>
                <w:b w:val="1"/>
                <w:color w:val="000000"/>
                <w:sz w:val="22"/>
              </w:rPr>
              <w:t>3 603</w:t>
            </w:r>
          </w:p>
        </w:tc>
        <w:tc>
          <w:tcPr>
            <w:tcW w:type="dxa" w:w="1417"/>
            <w:tcBorders>
              <w:top w:color="000000" w:sz="4" w:val="single"/>
              <w:left w:color="000000" w:sz="4" w:val="single"/>
              <w:bottom w:color="000000" w:sz="4" w:val="single"/>
              <w:right w:color="000000" w:sz="4" w:val="single"/>
            </w:tcBorders>
            <w:vAlign w:val="center"/>
          </w:tcPr>
          <w:p w14:paraId="930D0000">
            <w:pPr>
              <w:widowControl w:val="1"/>
              <w:ind/>
              <w:contextualSpacing w:val="1"/>
              <w:jc w:val="center"/>
              <w:rPr>
                <w:b w:val="1"/>
                <w:color w:val="000000"/>
                <w:sz w:val="22"/>
              </w:rPr>
            </w:pPr>
            <w:r>
              <w:rPr>
                <w:b w:val="1"/>
                <w:color w:val="000000"/>
                <w:sz w:val="22"/>
              </w:rPr>
              <w:t>3 686</w:t>
            </w:r>
          </w:p>
        </w:tc>
        <w:tc>
          <w:tcPr>
            <w:tcW w:type="dxa" w:w="1276"/>
            <w:tcBorders>
              <w:top w:color="000000" w:sz="4" w:val="single"/>
              <w:left w:color="000000" w:sz="4" w:val="single"/>
              <w:bottom w:color="000000" w:sz="4" w:val="single"/>
              <w:right w:color="000000" w:sz="4" w:val="single"/>
            </w:tcBorders>
            <w:vAlign w:val="center"/>
          </w:tcPr>
          <w:p w14:paraId="940D0000">
            <w:pPr>
              <w:widowControl w:val="1"/>
              <w:ind/>
              <w:contextualSpacing w:val="1"/>
              <w:jc w:val="center"/>
              <w:rPr>
                <w:b w:val="1"/>
                <w:color w:val="000000"/>
                <w:sz w:val="22"/>
              </w:rPr>
            </w:pPr>
            <w:r>
              <w:rPr>
                <w:b w:val="1"/>
                <w:color w:val="000000"/>
                <w:sz w:val="22"/>
              </w:rPr>
              <w:t>5 515</w:t>
            </w:r>
          </w:p>
        </w:tc>
        <w:tc>
          <w:tcPr>
            <w:tcW w:type="dxa" w:w="1134"/>
            <w:tcBorders>
              <w:top w:color="000000" w:sz="4" w:val="single"/>
              <w:left w:color="000000" w:sz="4" w:val="single"/>
              <w:bottom w:color="000000" w:sz="4" w:val="single"/>
              <w:right w:color="000000" w:sz="4" w:val="single"/>
            </w:tcBorders>
            <w:shd w:fill="auto" w:val="clear"/>
            <w:vAlign w:val="center"/>
          </w:tcPr>
          <w:p w14:paraId="950D0000">
            <w:pPr>
              <w:widowControl w:val="1"/>
              <w:ind/>
              <w:contextualSpacing w:val="1"/>
              <w:jc w:val="center"/>
              <w:rPr>
                <w:i w:val="1"/>
                <w:color w:val="000000"/>
                <w:sz w:val="22"/>
              </w:rPr>
            </w:pPr>
            <w:r>
              <w:rPr>
                <w:i w:val="1"/>
                <w:color w:val="000000"/>
                <w:sz w:val="22"/>
              </w:rPr>
              <w:t>153</w:t>
            </w:r>
          </w:p>
        </w:tc>
        <w:tc>
          <w:tcPr>
            <w:tcW w:type="dxa" w:w="992"/>
            <w:tcBorders>
              <w:top w:color="000000" w:sz="4" w:val="single"/>
              <w:left w:color="000000" w:sz="4" w:val="single"/>
              <w:bottom w:color="000000" w:sz="4" w:val="single"/>
              <w:right w:color="000000" w:sz="4" w:val="single"/>
            </w:tcBorders>
            <w:shd w:fill="auto" w:val="clear"/>
            <w:vAlign w:val="center"/>
          </w:tcPr>
          <w:p w14:paraId="960D0000">
            <w:pPr>
              <w:widowControl w:val="1"/>
              <w:ind/>
              <w:contextualSpacing w:val="1"/>
              <w:jc w:val="center"/>
              <w:rPr>
                <w:i w:val="1"/>
                <w:color w:val="000000"/>
                <w:sz w:val="22"/>
              </w:rPr>
            </w:pPr>
            <w:r>
              <w:rPr>
                <w:i w:val="1"/>
                <w:color w:val="000000"/>
                <w:sz w:val="22"/>
              </w:rPr>
              <w:t>150</w:t>
            </w:r>
          </w:p>
        </w:tc>
      </w:tr>
      <w:tr>
        <w:trPr>
          <w:trHeight w:hRule="atLeast" w:val="237"/>
        </w:trPr>
        <w:tc>
          <w:tcPr>
            <w:tcW w:type="dxa" w:w="714"/>
            <w:tcBorders>
              <w:top w:sz="4" w:val="nil"/>
              <w:left w:color="000000" w:sz="4" w:val="single"/>
              <w:bottom w:color="000000" w:sz="4" w:val="single"/>
              <w:right w:color="000000" w:sz="4" w:val="single"/>
            </w:tcBorders>
            <w:shd w:fill="auto" w:val="clear"/>
            <w:vAlign w:val="center"/>
          </w:tcPr>
          <w:p w14:paraId="970D0000">
            <w:pPr>
              <w:widowControl w:val="1"/>
              <w:ind w:firstLine="709" w:left="-977" w:right="-196"/>
              <w:contextualSpacing w:val="1"/>
              <w:jc w:val="center"/>
              <w:rPr>
                <w:sz w:val="22"/>
              </w:rPr>
            </w:pPr>
            <w:r>
              <w:rPr>
                <w:sz w:val="22"/>
              </w:rPr>
              <w:t>5.1.</w:t>
            </w:r>
          </w:p>
        </w:tc>
        <w:tc>
          <w:tcPr>
            <w:tcW w:type="dxa" w:w="1648"/>
            <w:tcBorders>
              <w:top w:sz="4" w:val="nil"/>
              <w:left w:sz="4" w:val="nil"/>
              <w:bottom w:color="000000" w:sz="4" w:val="single"/>
              <w:right w:color="000000" w:sz="4" w:val="single"/>
            </w:tcBorders>
            <w:shd w:fill="auto" w:val="clear"/>
            <w:vAlign w:val="center"/>
          </w:tcPr>
          <w:p w14:paraId="980D0000">
            <w:pPr>
              <w:widowControl w:val="1"/>
              <w:ind/>
              <w:contextualSpacing w:val="1"/>
              <w:rPr>
                <w:sz w:val="22"/>
              </w:rPr>
            </w:pPr>
            <w:r>
              <w:rPr>
                <w:sz w:val="22"/>
              </w:rPr>
              <w:t>Фонд оплаты труда</w:t>
            </w:r>
          </w:p>
        </w:tc>
        <w:tc>
          <w:tcPr>
            <w:tcW w:type="dxa" w:w="1275"/>
            <w:tcBorders>
              <w:top w:sz="4" w:val="nil"/>
              <w:left w:sz="4" w:val="nil"/>
              <w:bottom w:color="000000" w:sz="4" w:val="single"/>
              <w:right w:color="000000" w:sz="4" w:val="single"/>
            </w:tcBorders>
            <w:shd w:fill="auto" w:val="clear"/>
            <w:vAlign w:val="center"/>
          </w:tcPr>
          <w:p w14:paraId="990D0000">
            <w:pPr>
              <w:widowControl w:val="1"/>
              <w:ind/>
              <w:contextualSpacing w:val="1"/>
              <w:jc w:val="center"/>
              <w:rPr>
                <w:color w:val="000000"/>
                <w:sz w:val="22"/>
              </w:rPr>
            </w:pPr>
            <w:r>
              <w:rPr>
                <w:color w:val="000000"/>
                <w:sz w:val="22"/>
              </w:rPr>
              <w:t>2 321</w:t>
            </w:r>
          </w:p>
        </w:tc>
        <w:tc>
          <w:tcPr>
            <w:tcW w:type="dxa" w:w="1418"/>
            <w:tcBorders>
              <w:top w:color="000000" w:sz="4" w:val="single"/>
              <w:left w:color="000000" w:sz="4" w:val="single"/>
              <w:bottom w:color="000000" w:sz="4" w:val="single"/>
              <w:right w:color="000000" w:sz="4" w:val="single"/>
            </w:tcBorders>
            <w:vAlign w:val="center"/>
          </w:tcPr>
          <w:p w14:paraId="9A0D0000">
            <w:pPr>
              <w:widowControl w:val="1"/>
              <w:ind/>
              <w:contextualSpacing w:val="1"/>
              <w:jc w:val="center"/>
              <w:rPr>
                <w:color w:val="000000"/>
                <w:sz w:val="22"/>
              </w:rPr>
            </w:pPr>
            <w:r>
              <w:rPr>
                <w:color w:val="000000"/>
                <w:sz w:val="22"/>
              </w:rPr>
              <w:t>2 128</w:t>
            </w:r>
          </w:p>
        </w:tc>
        <w:tc>
          <w:tcPr>
            <w:tcW w:type="dxa" w:w="1417"/>
            <w:tcBorders>
              <w:top w:color="000000" w:sz="4" w:val="single"/>
              <w:left w:color="000000" w:sz="4" w:val="single"/>
              <w:bottom w:color="000000" w:sz="4" w:val="single"/>
              <w:right w:color="000000" w:sz="4" w:val="single"/>
            </w:tcBorders>
            <w:vAlign w:val="center"/>
          </w:tcPr>
          <w:p w14:paraId="9B0D0000">
            <w:pPr>
              <w:widowControl w:val="1"/>
              <w:ind/>
              <w:contextualSpacing w:val="1"/>
              <w:jc w:val="center"/>
              <w:rPr>
                <w:color w:val="000000"/>
                <w:sz w:val="22"/>
              </w:rPr>
            </w:pPr>
            <w:r>
              <w:rPr>
                <w:color w:val="000000"/>
                <w:sz w:val="22"/>
              </w:rPr>
              <w:t>2 482</w:t>
            </w:r>
          </w:p>
        </w:tc>
        <w:tc>
          <w:tcPr>
            <w:tcW w:type="dxa" w:w="1276"/>
            <w:tcBorders>
              <w:top w:color="000000" w:sz="4" w:val="single"/>
              <w:left w:color="000000" w:sz="4" w:val="single"/>
              <w:bottom w:color="000000" w:sz="4" w:val="single"/>
              <w:right w:color="000000" w:sz="4" w:val="single"/>
            </w:tcBorders>
            <w:vAlign w:val="center"/>
          </w:tcPr>
          <w:p w14:paraId="9C0D0000">
            <w:pPr>
              <w:widowControl w:val="1"/>
              <w:ind/>
              <w:contextualSpacing w:val="1"/>
              <w:jc w:val="center"/>
              <w:rPr>
                <w:color w:val="000000"/>
                <w:sz w:val="22"/>
              </w:rPr>
            </w:pPr>
            <w:r>
              <w:rPr>
                <w:color w:val="000000"/>
                <w:sz w:val="22"/>
              </w:rPr>
              <w:t>3 726</w:t>
            </w:r>
          </w:p>
        </w:tc>
        <w:tc>
          <w:tcPr>
            <w:tcW w:type="dxa" w:w="1134"/>
            <w:tcBorders>
              <w:top w:color="000000" w:sz="4" w:val="single"/>
              <w:left w:color="000000" w:sz="4" w:val="single"/>
              <w:bottom w:color="000000" w:sz="4" w:val="single"/>
              <w:right w:color="000000" w:sz="4" w:val="single"/>
            </w:tcBorders>
            <w:shd w:fill="auto" w:val="clear"/>
            <w:vAlign w:val="center"/>
          </w:tcPr>
          <w:p w14:paraId="9D0D0000">
            <w:pPr>
              <w:widowControl w:val="1"/>
              <w:ind/>
              <w:contextualSpacing w:val="1"/>
              <w:jc w:val="center"/>
              <w:rPr>
                <w:i w:val="1"/>
                <w:color w:val="000000"/>
                <w:sz w:val="22"/>
              </w:rPr>
            </w:pPr>
            <w:r>
              <w:rPr>
                <w:i w:val="1"/>
                <w:color w:val="000000"/>
                <w:sz w:val="22"/>
              </w:rPr>
              <w:t>175</w:t>
            </w:r>
          </w:p>
        </w:tc>
        <w:tc>
          <w:tcPr>
            <w:tcW w:type="dxa" w:w="992"/>
            <w:tcBorders>
              <w:top w:color="000000" w:sz="4" w:val="single"/>
              <w:left w:color="000000" w:sz="4" w:val="single"/>
              <w:bottom w:color="000000" w:sz="4" w:val="single"/>
              <w:right w:color="000000" w:sz="4" w:val="single"/>
            </w:tcBorders>
            <w:shd w:fill="auto" w:val="clear"/>
            <w:vAlign w:val="center"/>
          </w:tcPr>
          <w:p w14:paraId="9E0D0000">
            <w:pPr>
              <w:widowControl w:val="1"/>
              <w:ind/>
              <w:contextualSpacing w:val="1"/>
              <w:jc w:val="center"/>
              <w:rPr>
                <w:i w:val="1"/>
                <w:color w:val="000000"/>
                <w:sz w:val="22"/>
              </w:rPr>
            </w:pPr>
            <w:r>
              <w:rPr>
                <w:i w:val="1"/>
                <w:color w:val="000000"/>
                <w:sz w:val="22"/>
              </w:rPr>
              <w:t>150</w:t>
            </w:r>
          </w:p>
        </w:tc>
      </w:tr>
      <w:tr>
        <w:trPr>
          <w:trHeight w:hRule="atLeast" w:val="446"/>
        </w:trPr>
        <w:tc>
          <w:tcPr>
            <w:tcW w:type="dxa" w:w="714"/>
            <w:tcBorders>
              <w:top w:sz="4" w:val="nil"/>
              <w:left w:color="000000" w:sz="4" w:val="single"/>
              <w:bottom w:color="000000" w:sz="4" w:val="single"/>
              <w:right w:color="000000" w:sz="4" w:val="single"/>
            </w:tcBorders>
            <w:shd w:fill="auto" w:val="clear"/>
            <w:vAlign w:val="center"/>
          </w:tcPr>
          <w:p w14:paraId="9F0D0000">
            <w:pPr>
              <w:widowControl w:val="1"/>
              <w:ind w:firstLine="709" w:left="-977" w:right="-196"/>
              <w:contextualSpacing w:val="1"/>
              <w:jc w:val="center"/>
              <w:rPr>
                <w:sz w:val="22"/>
              </w:rPr>
            </w:pPr>
            <w:r>
              <w:rPr>
                <w:sz w:val="22"/>
              </w:rPr>
              <w:t>5.2.</w:t>
            </w:r>
          </w:p>
        </w:tc>
        <w:tc>
          <w:tcPr>
            <w:tcW w:type="dxa" w:w="1648"/>
            <w:tcBorders>
              <w:top w:sz="4" w:val="nil"/>
              <w:left w:sz="4" w:val="nil"/>
              <w:bottom w:color="000000" w:sz="4" w:val="single"/>
              <w:right w:color="000000" w:sz="4" w:val="single"/>
            </w:tcBorders>
            <w:shd w:fill="auto" w:val="clear"/>
            <w:vAlign w:val="center"/>
          </w:tcPr>
          <w:p w14:paraId="A00D0000">
            <w:pPr>
              <w:widowControl w:val="1"/>
              <w:ind/>
              <w:contextualSpacing w:val="1"/>
              <w:rPr>
                <w:sz w:val="22"/>
              </w:rPr>
            </w:pPr>
            <w:r>
              <w:rPr>
                <w:sz w:val="22"/>
              </w:rPr>
              <w:t>Страховые взносы</w:t>
            </w:r>
          </w:p>
        </w:tc>
        <w:tc>
          <w:tcPr>
            <w:tcW w:type="dxa" w:w="1275"/>
            <w:tcBorders>
              <w:top w:sz="4" w:val="nil"/>
              <w:left w:sz="4" w:val="nil"/>
              <w:bottom w:color="000000" w:sz="4" w:val="single"/>
              <w:right w:color="000000" w:sz="4" w:val="single"/>
            </w:tcBorders>
            <w:shd w:fill="auto" w:val="clear"/>
            <w:vAlign w:val="center"/>
          </w:tcPr>
          <w:p w14:paraId="A10D0000">
            <w:pPr>
              <w:widowControl w:val="1"/>
              <w:ind/>
              <w:contextualSpacing w:val="1"/>
              <w:jc w:val="center"/>
              <w:rPr>
                <w:color w:val="000000"/>
                <w:sz w:val="22"/>
              </w:rPr>
            </w:pPr>
            <w:r>
              <w:rPr>
                <w:color w:val="000000"/>
                <w:sz w:val="22"/>
              </w:rPr>
              <w:t>490</w:t>
            </w:r>
          </w:p>
        </w:tc>
        <w:tc>
          <w:tcPr>
            <w:tcW w:type="dxa" w:w="1418"/>
            <w:tcBorders>
              <w:top w:color="000000" w:sz="4" w:val="single"/>
              <w:left w:color="000000" w:sz="4" w:val="single"/>
              <w:bottom w:color="000000" w:sz="4" w:val="single"/>
              <w:right w:color="000000" w:sz="4" w:val="single"/>
            </w:tcBorders>
            <w:vAlign w:val="center"/>
          </w:tcPr>
          <w:p w14:paraId="A20D0000">
            <w:pPr>
              <w:widowControl w:val="1"/>
              <w:ind/>
              <w:contextualSpacing w:val="1"/>
              <w:jc w:val="center"/>
              <w:rPr>
                <w:color w:val="000000"/>
                <w:sz w:val="22"/>
              </w:rPr>
            </w:pPr>
            <w:r>
              <w:rPr>
                <w:color w:val="000000"/>
                <w:sz w:val="22"/>
              </w:rPr>
              <w:t>517</w:t>
            </w:r>
          </w:p>
        </w:tc>
        <w:tc>
          <w:tcPr>
            <w:tcW w:type="dxa" w:w="1417"/>
            <w:tcBorders>
              <w:top w:color="000000" w:sz="4" w:val="single"/>
              <w:left w:color="000000" w:sz="4" w:val="single"/>
              <w:bottom w:color="000000" w:sz="4" w:val="single"/>
              <w:right w:color="000000" w:sz="4" w:val="single"/>
            </w:tcBorders>
            <w:vAlign w:val="center"/>
          </w:tcPr>
          <w:p w14:paraId="A30D0000">
            <w:pPr>
              <w:widowControl w:val="1"/>
              <w:ind/>
              <w:contextualSpacing w:val="1"/>
              <w:jc w:val="center"/>
              <w:rPr>
                <w:color w:val="000000"/>
                <w:sz w:val="22"/>
              </w:rPr>
            </w:pPr>
            <w:r>
              <w:rPr>
                <w:color w:val="000000"/>
                <w:sz w:val="22"/>
              </w:rPr>
              <w:t>668</w:t>
            </w:r>
          </w:p>
        </w:tc>
        <w:tc>
          <w:tcPr>
            <w:tcW w:type="dxa" w:w="1276"/>
            <w:tcBorders>
              <w:top w:color="000000" w:sz="4" w:val="single"/>
              <w:left w:color="000000" w:sz="4" w:val="single"/>
              <w:bottom w:color="000000" w:sz="4" w:val="single"/>
              <w:right w:color="000000" w:sz="4" w:val="single"/>
            </w:tcBorders>
            <w:vAlign w:val="center"/>
          </w:tcPr>
          <w:p w14:paraId="A40D0000">
            <w:pPr>
              <w:widowControl w:val="1"/>
              <w:ind/>
              <w:contextualSpacing w:val="1"/>
              <w:jc w:val="center"/>
              <w:rPr>
                <w:color w:val="000000"/>
                <w:sz w:val="22"/>
              </w:rPr>
            </w:pPr>
            <w:r>
              <w:rPr>
                <w:color w:val="000000"/>
                <w:sz w:val="22"/>
              </w:rPr>
              <w:t>807</w:t>
            </w:r>
          </w:p>
        </w:tc>
        <w:tc>
          <w:tcPr>
            <w:tcW w:type="dxa" w:w="1134"/>
            <w:tcBorders>
              <w:top w:color="000000" w:sz="4" w:val="single"/>
              <w:left w:color="000000" w:sz="4" w:val="single"/>
              <w:bottom w:color="000000" w:sz="4" w:val="single"/>
              <w:right w:color="000000" w:sz="4" w:val="single"/>
            </w:tcBorders>
            <w:shd w:fill="auto" w:val="clear"/>
            <w:vAlign w:val="center"/>
          </w:tcPr>
          <w:p w14:paraId="A50D0000">
            <w:pPr>
              <w:widowControl w:val="1"/>
              <w:ind/>
              <w:contextualSpacing w:val="1"/>
              <w:jc w:val="center"/>
              <w:rPr>
                <w:i w:val="1"/>
                <w:color w:val="000000"/>
                <w:sz w:val="22"/>
              </w:rPr>
            </w:pPr>
            <w:r>
              <w:rPr>
                <w:i w:val="1"/>
                <w:color w:val="000000"/>
                <w:sz w:val="22"/>
              </w:rPr>
              <w:t>156</w:t>
            </w:r>
          </w:p>
        </w:tc>
        <w:tc>
          <w:tcPr>
            <w:tcW w:type="dxa" w:w="992"/>
            <w:tcBorders>
              <w:top w:color="000000" w:sz="4" w:val="single"/>
              <w:left w:color="000000" w:sz="4" w:val="single"/>
              <w:bottom w:color="000000" w:sz="4" w:val="single"/>
              <w:right w:color="000000" w:sz="4" w:val="single"/>
            </w:tcBorders>
            <w:shd w:fill="auto" w:val="clear"/>
            <w:vAlign w:val="center"/>
          </w:tcPr>
          <w:p w14:paraId="A60D0000">
            <w:pPr>
              <w:widowControl w:val="1"/>
              <w:ind/>
              <w:contextualSpacing w:val="1"/>
              <w:jc w:val="center"/>
              <w:rPr>
                <w:i w:val="1"/>
                <w:color w:val="000000"/>
                <w:sz w:val="22"/>
              </w:rPr>
            </w:pPr>
            <w:r>
              <w:rPr>
                <w:i w:val="1"/>
                <w:color w:val="000000"/>
                <w:sz w:val="22"/>
              </w:rPr>
              <w:t>121</w:t>
            </w:r>
          </w:p>
        </w:tc>
      </w:tr>
      <w:tr>
        <w:trPr>
          <w:trHeight w:hRule="atLeast" w:val="237"/>
        </w:trPr>
        <w:tc>
          <w:tcPr>
            <w:tcW w:type="dxa" w:w="714"/>
            <w:tcBorders>
              <w:top w:sz="4" w:val="nil"/>
              <w:left w:color="000000" w:sz="4" w:val="single"/>
              <w:bottom w:color="000000" w:sz="4" w:val="single"/>
              <w:right w:color="000000" w:sz="4" w:val="single"/>
            </w:tcBorders>
            <w:shd w:fill="auto" w:val="clear"/>
            <w:vAlign w:val="center"/>
          </w:tcPr>
          <w:p w14:paraId="A70D0000">
            <w:pPr>
              <w:widowControl w:val="1"/>
              <w:ind w:firstLine="709" w:left="-977" w:right="-196"/>
              <w:contextualSpacing w:val="1"/>
              <w:jc w:val="center"/>
              <w:rPr>
                <w:sz w:val="22"/>
              </w:rPr>
            </w:pPr>
            <w:r>
              <w:rPr>
                <w:sz w:val="22"/>
              </w:rPr>
              <w:t>5.3.</w:t>
            </w:r>
          </w:p>
        </w:tc>
        <w:tc>
          <w:tcPr>
            <w:tcW w:type="dxa" w:w="1648"/>
            <w:tcBorders>
              <w:top w:sz="4" w:val="nil"/>
              <w:left w:sz="4" w:val="nil"/>
              <w:bottom w:color="000000" w:sz="4" w:val="single"/>
              <w:right w:color="000000" w:sz="4" w:val="single"/>
            </w:tcBorders>
            <w:shd w:fill="auto" w:val="clear"/>
            <w:vAlign w:val="center"/>
          </w:tcPr>
          <w:p w14:paraId="A80D0000">
            <w:pPr>
              <w:widowControl w:val="1"/>
              <w:ind/>
              <w:contextualSpacing w:val="1"/>
              <w:rPr>
                <w:sz w:val="22"/>
              </w:rPr>
            </w:pPr>
            <w:r>
              <w:rPr>
                <w:sz w:val="22"/>
              </w:rPr>
              <w:t>Материалы</w:t>
            </w:r>
          </w:p>
        </w:tc>
        <w:tc>
          <w:tcPr>
            <w:tcW w:type="dxa" w:w="1275"/>
            <w:tcBorders>
              <w:top w:sz="4" w:val="nil"/>
              <w:left w:sz="4" w:val="nil"/>
              <w:bottom w:color="000000" w:sz="4" w:val="single"/>
              <w:right w:color="000000" w:sz="4" w:val="single"/>
            </w:tcBorders>
            <w:shd w:fill="auto" w:val="clear"/>
            <w:vAlign w:val="center"/>
          </w:tcPr>
          <w:p w14:paraId="A90D0000">
            <w:pPr>
              <w:widowControl w:val="1"/>
              <w:ind/>
              <w:contextualSpacing w:val="1"/>
              <w:jc w:val="center"/>
              <w:rPr>
                <w:i w:val="1"/>
                <w:color w:val="000000"/>
                <w:sz w:val="22"/>
              </w:rPr>
            </w:pPr>
            <w:r>
              <w:rPr>
                <w:i w:val="1"/>
                <w:color w:val="000000"/>
                <w:sz w:val="22"/>
              </w:rPr>
              <w:t>152</w:t>
            </w:r>
          </w:p>
        </w:tc>
        <w:tc>
          <w:tcPr>
            <w:tcW w:type="dxa" w:w="1418"/>
            <w:tcBorders>
              <w:top w:color="000000" w:sz="4" w:val="single"/>
              <w:left w:color="000000" w:sz="4" w:val="single"/>
              <w:bottom w:color="000000" w:sz="4" w:val="single"/>
              <w:right w:color="000000" w:sz="4" w:val="single"/>
            </w:tcBorders>
            <w:vAlign w:val="center"/>
          </w:tcPr>
          <w:p w14:paraId="AA0D0000">
            <w:pPr>
              <w:widowControl w:val="1"/>
              <w:ind/>
              <w:contextualSpacing w:val="1"/>
              <w:jc w:val="center"/>
              <w:rPr>
                <w:i w:val="1"/>
                <w:color w:val="000000"/>
                <w:sz w:val="22"/>
              </w:rPr>
            </w:pPr>
            <w:r>
              <w:rPr>
                <w:i w:val="1"/>
                <w:color w:val="000000"/>
                <w:sz w:val="22"/>
              </w:rPr>
              <w:t>184</w:t>
            </w:r>
          </w:p>
        </w:tc>
        <w:tc>
          <w:tcPr>
            <w:tcW w:type="dxa" w:w="1417"/>
            <w:tcBorders>
              <w:top w:color="000000" w:sz="4" w:val="single"/>
              <w:left w:color="000000" w:sz="4" w:val="single"/>
              <w:bottom w:color="000000" w:sz="4" w:val="single"/>
              <w:right w:color="000000" w:sz="4" w:val="single"/>
            </w:tcBorders>
            <w:vAlign w:val="center"/>
          </w:tcPr>
          <w:p w14:paraId="AB0D0000">
            <w:pPr>
              <w:widowControl w:val="1"/>
              <w:ind/>
              <w:contextualSpacing w:val="1"/>
              <w:jc w:val="center"/>
              <w:rPr>
                <w:i w:val="1"/>
                <w:color w:val="000000"/>
                <w:sz w:val="22"/>
              </w:rPr>
            </w:pPr>
            <w:r>
              <w:rPr>
                <w:i w:val="1"/>
                <w:color w:val="000000"/>
                <w:sz w:val="22"/>
              </w:rPr>
              <w:t>162</w:t>
            </w:r>
          </w:p>
        </w:tc>
        <w:tc>
          <w:tcPr>
            <w:tcW w:type="dxa" w:w="1276"/>
            <w:tcBorders>
              <w:top w:color="000000" w:sz="4" w:val="single"/>
              <w:left w:color="000000" w:sz="4" w:val="single"/>
              <w:bottom w:color="000000" w:sz="4" w:val="single"/>
              <w:right w:color="000000" w:sz="4" w:val="single"/>
            </w:tcBorders>
            <w:vAlign w:val="center"/>
          </w:tcPr>
          <w:p w14:paraId="AC0D0000">
            <w:pPr>
              <w:widowControl w:val="1"/>
              <w:ind/>
              <w:contextualSpacing w:val="1"/>
              <w:jc w:val="center"/>
              <w:rPr>
                <w:i w:val="1"/>
                <w:color w:val="000000"/>
                <w:sz w:val="22"/>
              </w:rPr>
            </w:pPr>
            <w:r>
              <w:rPr>
                <w:i w:val="1"/>
                <w:color w:val="000000"/>
                <w:sz w:val="22"/>
              </w:rPr>
              <w:t>177</w:t>
            </w:r>
          </w:p>
        </w:tc>
        <w:tc>
          <w:tcPr>
            <w:tcW w:type="dxa" w:w="1134"/>
            <w:tcBorders>
              <w:top w:color="000000" w:sz="4" w:val="single"/>
              <w:left w:color="000000" w:sz="4" w:val="single"/>
              <w:bottom w:color="000000" w:sz="4" w:val="single"/>
              <w:right w:color="000000" w:sz="4" w:val="single"/>
            </w:tcBorders>
            <w:shd w:fill="auto" w:val="clear"/>
            <w:vAlign w:val="center"/>
          </w:tcPr>
          <w:p w14:paraId="AD0D0000">
            <w:pPr>
              <w:widowControl w:val="1"/>
              <w:ind/>
              <w:contextualSpacing w:val="1"/>
              <w:jc w:val="center"/>
              <w:rPr>
                <w:i w:val="1"/>
                <w:color w:val="000000"/>
                <w:sz w:val="22"/>
              </w:rPr>
            </w:pPr>
            <w:r>
              <w:rPr>
                <w:i w:val="1"/>
                <w:color w:val="000000"/>
                <w:sz w:val="22"/>
              </w:rPr>
              <w:t>96</w:t>
            </w:r>
          </w:p>
        </w:tc>
        <w:tc>
          <w:tcPr>
            <w:tcW w:type="dxa" w:w="992"/>
            <w:tcBorders>
              <w:top w:color="000000" w:sz="4" w:val="single"/>
              <w:left w:color="000000" w:sz="4" w:val="single"/>
              <w:bottom w:color="000000" w:sz="4" w:val="single"/>
              <w:right w:color="000000" w:sz="4" w:val="single"/>
            </w:tcBorders>
            <w:shd w:fill="auto" w:val="clear"/>
            <w:vAlign w:val="center"/>
          </w:tcPr>
          <w:p w14:paraId="AE0D0000">
            <w:pPr>
              <w:widowControl w:val="1"/>
              <w:ind/>
              <w:contextualSpacing w:val="1"/>
              <w:jc w:val="center"/>
              <w:rPr>
                <w:i w:val="1"/>
                <w:color w:val="000000"/>
                <w:sz w:val="22"/>
              </w:rPr>
            </w:pPr>
            <w:r>
              <w:rPr>
                <w:i w:val="1"/>
                <w:color w:val="000000"/>
                <w:sz w:val="22"/>
              </w:rPr>
              <w:t>109</w:t>
            </w:r>
          </w:p>
        </w:tc>
      </w:tr>
      <w:tr>
        <w:trPr>
          <w:trHeight w:hRule="atLeast" w:val="237"/>
        </w:trPr>
        <w:tc>
          <w:tcPr>
            <w:tcW w:type="dxa" w:w="714"/>
            <w:tcBorders>
              <w:top w:sz="4" w:val="nil"/>
              <w:left w:color="000000" w:sz="4" w:val="single"/>
              <w:bottom w:color="000000" w:sz="4" w:val="single"/>
              <w:right w:color="000000" w:sz="4" w:val="single"/>
            </w:tcBorders>
            <w:shd w:fill="auto" w:val="clear"/>
            <w:vAlign w:val="center"/>
          </w:tcPr>
          <w:p w14:paraId="AF0D0000">
            <w:pPr>
              <w:widowControl w:val="1"/>
              <w:ind w:firstLine="709" w:left="-977" w:right="-196"/>
              <w:contextualSpacing w:val="1"/>
              <w:jc w:val="center"/>
              <w:rPr>
                <w:sz w:val="22"/>
              </w:rPr>
            </w:pPr>
            <w:r>
              <w:rPr>
                <w:sz w:val="22"/>
              </w:rPr>
              <w:t>5.4.</w:t>
            </w:r>
          </w:p>
        </w:tc>
        <w:tc>
          <w:tcPr>
            <w:tcW w:type="dxa" w:w="1648"/>
            <w:tcBorders>
              <w:top w:sz="4" w:val="nil"/>
              <w:left w:sz="4" w:val="nil"/>
              <w:bottom w:color="000000" w:sz="4" w:val="single"/>
              <w:right w:color="000000" w:sz="4" w:val="single"/>
            </w:tcBorders>
            <w:shd w:fill="auto" w:val="clear"/>
            <w:vAlign w:val="center"/>
          </w:tcPr>
          <w:p w14:paraId="B00D0000">
            <w:pPr>
              <w:widowControl w:val="1"/>
              <w:ind/>
              <w:contextualSpacing w:val="1"/>
              <w:rPr>
                <w:sz w:val="22"/>
              </w:rPr>
            </w:pPr>
            <w:r>
              <w:rPr>
                <w:sz w:val="22"/>
              </w:rPr>
              <w:t>Топливо</w:t>
            </w:r>
          </w:p>
        </w:tc>
        <w:tc>
          <w:tcPr>
            <w:tcW w:type="dxa" w:w="1275"/>
            <w:tcBorders>
              <w:top w:sz="4" w:val="nil"/>
              <w:left w:sz="4" w:val="nil"/>
              <w:bottom w:color="000000" w:sz="4" w:val="single"/>
              <w:right w:color="000000" w:sz="4" w:val="single"/>
            </w:tcBorders>
            <w:shd w:fill="auto" w:val="clear"/>
            <w:vAlign w:val="center"/>
          </w:tcPr>
          <w:p w14:paraId="B10D0000">
            <w:pPr>
              <w:widowControl w:val="1"/>
              <w:ind/>
              <w:contextualSpacing w:val="1"/>
              <w:jc w:val="center"/>
              <w:rPr>
                <w:i w:val="1"/>
                <w:color w:val="000000"/>
                <w:sz w:val="22"/>
              </w:rPr>
            </w:pPr>
            <w:r>
              <w:rPr>
                <w:i w:val="1"/>
                <w:color w:val="000000"/>
                <w:sz w:val="22"/>
              </w:rPr>
              <w:t>1</w:t>
            </w:r>
          </w:p>
        </w:tc>
        <w:tc>
          <w:tcPr>
            <w:tcW w:type="dxa" w:w="1418"/>
            <w:tcBorders>
              <w:top w:color="000000" w:sz="4" w:val="single"/>
              <w:left w:color="000000" w:sz="4" w:val="single"/>
              <w:bottom w:color="000000" w:sz="4" w:val="single"/>
              <w:right w:color="000000" w:sz="4" w:val="single"/>
            </w:tcBorders>
            <w:vAlign w:val="center"/>
          </w:tcPr>
          <w:p w14:paraId="B20D0000">
            <w:pPr>
              <w:widowControl w:val="1"/>
              <w:ind/>
              <w:contextualSpacing w:val="1"/>
              <w:jc w:val="center"/>
              <w:rPr>
                <w:i w:val="1"/>
                <w:color w:val="000000"/>
                <w:sz w:val="22"/>
              </w:rPr>
            </w:pPr>
            <w:r>
              <w:rPr>
                <w:i w:val="1"/>
                <w:color w:val="000000"/>
                <w:sz w:val="22"/>
              </w:rPr>
              <w:t>1</w:t>
            </w:r>
          </w:p>
        </w:tc>
        <w:tc>
          <w:tcPr>
            <w:tcW w:type="dxa" w:w="1417"/>
            <w:tcBorders>
              <w:top w:color="000000" w:sz="4" w:val="single"/>
              <w:left w:color="000000" w:sz="4" w:val="single"/>
              <w:bottom w:color="000000" w:sz="4" w:val="single"/>
              <w:right w:color="000000" w:sz="4" w:val="single"/>
            </w:tcBorders>
            <w:vAlign w:val="center"/>
          </w:tcPr>
          <w:p w14:paraId="B30D0000">
            <w:pPr>
              <w:widowControl w:val="1"/>
              <w:ind/>
              <w:contextualSpacing w:val="1"/>
              <w:jc w:val="center"/>
              <w:rPr>
                <w:i w:val="1"/>
                <w:color w:val="000000"/>
                <w:sz w:val="22"/>
              </w:rPr>
            </w:pPr>
            <w:r>
              <w:rPr>
                <w:i w:val="1"/>
                <w:color w:val="000000"/>
                <w:sz w:val="22"/>
              </w:rPr>
              <w:t>2</w:t>
            </w:r>
          </w:p>
        </w:tc>
        <w:tc>
          <w:tcPr>
            <w:tcW w:type="dxa" w:w="1276"/>
            <w:tcBorders>
              <w:top w:color="000000" w:sz="4" w:val="single"/>
              <w:left w:color="000000" w:sz="4" w:val="single"/>
              <w:bottom w:color="000000" w:sz="4" w:val="single"/>
              <w:right w:color="000000" w:sz="4" w:val="single"/>
            </w:tcBorders>
            <w:vAlign w:val="center"/>
          </w:tcPr>
          <w:p w14:paraId="B40D0000">
            <w:pPr>
              <w:widowControl w:val="1"/>
              <w:ind/>
              <w:contextualSpacing w:val="1"/>
              <w:jc w:val="center"/>
              <w:rPr>
                <w:i w:val="1"/>
                <w:color w:val="000000"/>
                <w:sz w:val="22"/>
              </w:rPr>
            </w:pPr>
            <w:r>
              <w:rPr>
                <w:i w:val="1"/>
                <w:color w:val="000000"/>
                <w:sz w:val="22"/>
              </w:rPr>
              <w:t>2</w:t>
            </w:r>
          </w:p>
        </w:tc>
        <w:tc>
          <w:tcPr>
            <w:tcW w:type="dxa" w:w="1134"/>
            <w:tcBorders>
              <w:top w:color="000000" w:sz="4" w:val="single"/>
              <w:left w:color="000000" w:sz="4" w:val="single"/>
              <w:bottom w:color="000000" w:sz="4" w:val="single"/>
              <w:right w:color="000000" w:sz="4" w:val="single"/>
            </w:tcBorders>
            <w:shd w:fill="auto" w:val="clear"/>
            <w:vAlign w:val="center"/>
          </w:tcPr>
          <w:p w14:paraId="B50D0000">
            <w:pPr>
              <w:widowControl w:val="1"/>
              <w:ind/>
              <w:contextualSpacing w:val="1"/>
              <w:jc w:val="center"/>
              <w:rPr>
                <w:i w:val="1"/>
                <w:color w:val="000000"/>
                <w:sz w:val="22"/>
              </w:rPr>
            </w:pPr>
            <w:r>
              <w:rPr>
                <w:i w:val="1"/>
                <w:color w:val="000000"/>
                <w:sz w:val="22"/>
              </w:rPr>
              <w:t>173</w:t>
            </w:r>
          </w:p>
        </w:tc>
        <w:tc>
          <w:tcPr>
            <w:tcW w:type="dxa" w:w="992"/>
            <w:tcBorders>
              <w:top w:color="000000" w:sz="4" w:val="single"/>
              <w:left w:color="000000" w:sz="4" w:val="single"/>
              <w:bottom w:color="000000" w:sz="4" w:val="single"/>
              <w:right w:color="000000" w:sz="4" w:val="single"/>
            </w:tcBorders>
            <w:shd w:fill="auto" w:val="clear"/>
            <w:vAlign w:val="center"/>
          </w:tcPr>
          <w:p w14:paraId="B60D0000">
            <w:pPr>
              <w:widowControl w:val="1"/>
              <w:ind/>
              <w:contextualSpacing w:val="1"/>
              <w:jc w:val="center"/>
              <w:rPr>
                <w:i w:val="1"/>
                <w:color w:val="000000"/>
                <w:sz w:val="22"/>
              </w:rPr>
            </w:pPr>
            <w:r>
              <w:rPr>
                <w:i w:val="1"/>
                <w:color w:val="000000"/>
                <w:sz w:val="22"/>
              </w:rPr>
              <w:t>90</w:t>
            </w:r>
          </w:p>
        </w:tc>
      </w:tr>
      <w:tr>
        <w:trPr>
          <w:trHeight w:hRule="atLeast" w:val="237"/>
        </w:trPr>
        <w:tc>
          <w:tcPr>
            <w:tcW w:type="dxa" w:w="714"/>
            <w:tcBorders>
              <w:top w:sz="4" w:val="nil"/>
              <w:left w:color="000000" w:sz="4" w:val="single"/>
              <w:bottom w:color="000000" w:sz="4" w:val="single"/>
              <w:right w:color="000000" w:sz="4" w:val="single"/>
            </w:tcBorders>
            <w:shd w:fill="auto" w:val="clear"/>
            <w:vAlign w:val="center"/>
          </w:tcPr>
          <w:p w14:paraId="B70D0000">
            <w:pPr>
              <w:widowControl w:val="1"/>
              <w:ind w:firstLine="709" w:left="-977" w:right="-196"/>
              <w:contextualSpacing w:val="1"/>
              <w:jc w:val="center"/>
              <w:rPr>
                <w:sz w:val="22"/>
              </w:rPr>
            </w:pPr>
            <w:r>
              <w:rPr>
                <w:sz w:val="22"/>
              </w:rPr>
              <w:t>5.5.</w:t>
            </w:r>
          </w:p>
        </w:tc>
        <w:tc>
          <w:tcPr>
            <w:tcW w:type="dxa" w:w="1648"/>
            <w:tcBorders>
              <w:top w:sz="4" w:val="nil"/>
              <w:left w:sz="4" w:val="nil"/>
              <w:bottom w:color="000000" w:sz="4" w:val="single"/>
              <w:right w:color="000000" w:sz="4" w:val="single"/>
            </w:tcBorders>
            <w:shd w:fill="auto" w:val="clear"/>
            <w:vAlign w:val="center"/>
          </w:tcPr>
          <w:p w14:paraId="B80D0000">
            <w:pPr>
              <w:widowControl w:val="1"/>
              <w:ind/>
              <w:contextualSpacing w:val="1"/>
              <w:rPr>
                <w:sz w:val="22"/>
              </w:rPr>
            </w:pPr>
            <w:r>
              <w:rPr>
                <w:sz w:val="22"/>
              </w:rPr>
              <w:t>Электроэнергия</w:t>
            </w:r>
          </w:p>
        </w:tc>
        <w:tc>
          <w:tcPr>
            <w:tcW w:type="dxa" w:w="1275"/>
            <w:tcBorders>
              <w:top w:sz="4" w:val="nil"/>
              <w:left w:sz="4" w:val="nil"/>
              <w:bottom w:color="000000" w:sz="4" w:val="single"/>
              <w:right w:color="000000" w:sz="4" w:val="single"/>
            </w:tcBorders>
            <w:shd w:fill="auto" w:val="clear"/>
            <w:vAlign w:val="center"/>
          </w:tcPr>
          <w:p w14:paraId="B90D0000">
            <w:pPr>
              <w:widowControl w:val="1"/>
              <w:ind/>
              <w:contextualSpacing w:val="1"/>
              <w:jc w:val="center"/>
              <w:rPr>
                <w:i w:val="1"/>
                <w:color w:val="000000"/>
                <w:sz w:val="22"/>
              </w:rPr>
            </w:pPr>
            <w:r>
              <w:rPr>
                <w:i w:val="1"/>
                <w:color w:val="000000"/>
                <w:sz w:val="22"/>
              </w:rPr>
              <w:t>0</w:t>
            </w:r>
          </w:p>
        </w:tc>
        <w:tc>
          <w:tcPr>
            <w:tcW w:type="dxa" w:w="1418"/>
            <w:tcBorders>
              <w:top w:color="000000" w:sz="4" w:val="single"/>
              <w:left w:color="000000" w:sz="4" w:val="single"/>
              <w:bottom w:color="000000" w:sz="4" w:val="single"/>
              <w:right w:color="000000" w:sz="4" w:val="single"/>
            </w:tcBorders>
            <w:vAlign w:val="center"/>
          </w:tcPr>
          <w:p w14:paraId="BA0D0000">
            <w:pPr>
              <w:widowControl w:val="1"/>
              <w:ind/>
              <w:contextualSpacing w:val="1"/>
              <w:jc w:val="center"/>
              <w:rPr>
                <w:i w:val="1"/>
                <w:color w:val="000000"/>
                <w:sz w:val="22"/>
              </w:rPr>
            </w:pPr>
            <w:r>
              <w:rPr>
                <w:i w:val="1"/>
                <w:color w:val="000000"/>
                <w:sz w:val="22"/>
              </w:rPr>
              <w:t>0</w:t>
            </w:r>
            <w:r>
              <w:rPr>
                <w:i w:val="1"/>
                <w:color w:val="000000"/>
                <w:sz w:val="22"/>
              </w:rPr>
              <w:t>,</w:t>
            </w:r>
            <w:r>
              <w:rPr>
                <w:i w:val="1"/>
                <w:color w:val="000000"/>
                <w:sz w:val="22"/>
              </w:rPr>
              <w:t>09</w:t>
            </w:r>
          </w:p>
        </w:tc>
        <w:tc>
          <w:tcPr>
            <w:tcW w:type="dxa" w:w="1417"/>
            <w:tcBorders>
              <w:top w:color="000000" w:sz="4" w:val="single"/>
              <w:left w:color="000000" w:sz="4" w:val="single"/>
              <w:bottom w:color="000000" w:sz="4" w:val="single"/>
              <w:right w:color="000000" w:sz="4" w:val="single"/>
            </w:tcBorders>
            <w:vAlign w:val="center"/>
          </w:tcPr>
          <w:p w14:paraId="BB0D0000">
            <w:pPr>
              <w:widowControl w:val="1"/>
              <w:ind/>
              <w:contextualSpacing w:val="1"/>
              <w:jc w:val="center"/>
              <w:rPr>
                <w:i w:val="1"/>
                <w:color w:val="000000"/>
                <w:sz w:val="22"/>
              </w:rPr>
            </w:pPr>
            <w:r>
              <w:rPr>
                <w:i w:val="1"/>
                <w:color w:val="000000"/>
                <w:sz w:val="22"/>
              </w:rPr>
              <w:t>0</w:t>
            </w:r>
            <w:r>
              <w:rPr>
                <w:i w:val="1"/>
                <w:color w:val="000000"/>
                <w:sz w:val="22"/>
              </w:rPr>
              <w:t>,</w:t>
            </w:r>
            <w:r>
              <w:rPr>
                <w:i w:val="1"/>
                <w:color w:val="000000"/>
                <w:sz w:val="22"/>
              </w:rPr>
              <w:t>14</w:t>
            </w:r>
          </w:p>
        </w:tc>
        <w:tc>
          <w:tcPr>
            <w:tcW w:type="dxa" w:w="1276"/>
            <w:tcBorders>
              <w:top w:color="000000" w:sz="4" w:val="single"/>
              <w:left w:color="000000" w:sz="4" w:val="single"/>
              <w:bottom w:color="000000" w:sz="4" w:val="single"/>
              <w:right w:color="000000" w:sz="4" w:val="single"/>
            </w:tcBorders>
            <w:vAlign w:val="center"/>
          </w:tcPr>
          <w:p w14:paraId="BC0D0000">
            <w:pPr>
              <w:widowControl w:val="1"/>
              <w:ind/>
              <w:contextualSpacing w:val="1"/>
              <w:jc w:val="center"/>
              <w:rPr>
                <w:i w:val="1"/>
                <w:color w:val="000000"/>
                <w:sz w:val="22"/>
              </w:rPr>
            </w:pPr>
            <w:r>
              <w:rPr>
                <w:i w:val="1"/>
                <w:color w:val="000000"/>
                <w:sz w:val="22"/>
              </w:rPr>
              <w:t>0,</w:t>
            </w:r>
            <w:r>
              <w:rPr>
                <w:i w:val="1"/>
                <w:color w:val="000000"/>
                <w:sz w:val="22"/>
              </w:rPr>
              <w:t>09</w:t>
            </w:r>
          </w:p>
        </w:tc>
        <w:tc>
          <w:tcPr>
            <w:tcW w:type="dxa" w:w="1134"/>
            <w:tcBorders>
              <w:top w:color="000000" w:sz="4" w:val="single"/>
              <w:left w:color="000000" w:sz="4" w:val="single"/>
              <w:bottom w:color="000000" w:sz="4" w:val="single"/>
              <w:right w:color="000000" w:sz="4" w:val="single"/>
            </w:tcBorders>
            <w:shd w:fill="auto" w:val="clear"/>
            <w:vAlign w:val="center"/>
          </w:tcPr>
          <w:p w14:paraId="BD0D0000">
            <w:pPr>
              <w:widowControl w:val="1"/>
              <w:ind/>
              <w:contextualSpacing w:val="1"/>
              <w:jc w:val="center"/>
              <w:rPr>
                <w:i w:val="1"/>
                <w:color w:val="000000"/>
                <w:sz w:val="22"/>
              </w:rPr>
            </w:pPr>
            <w:r>
              <w:rPr>
                <w:i w:val="1"/>
                <w:color w:val="000000"/>
                <w:sz w:val="22"/>
              </w:rPr>
              <w:t>107</w:t>
            </w:r>
          </w:p>
        </w:tc>
        <w:tc>
          <w:tcPr>
            <w:tcW w:type="dxa" w:w="992"/>
            <w:tcBorders>
              <w:top w:color="000000" w:sz="4" w:val="single"/>
              <w:left w:color="000000" w:sz="4" w:val="single"/>
              <w:bottom w:color="000000" w:sz="4" w:val="single"/>
              <w:right w:color="000000" w:sz="4" w:val="single"/>
            </w:tcBorders>
            <w:shd w:fill="auto" w:val="clear"/>
            <w:vAlign w:val="center"/>
          </w:tcPr>
          <w:p w14:paraId="BE0D0000">
            <w:pPr>
              <w:widowControl w:val="1"/>
              <w:ind/>
              <w:contextualSpacing w:val="1"/>
              <w:jc w:val="center"/>
              <w:rPr>
                <w:i w:val="1"/>
                <w:color w:val="000000"/>
                <w:sz w:val="22"/>
              </w:rPr>
            </w:pPr>
            <w:r>
              <w:rPr>
                <w:i w:val="1"/>
                <w:color w:val="000000"/>
                <w:sz w:val="22"/>
              </w:rPr>
              <w:t>6</w:t>
            </w:r>
            <w:r>
              <w:rPr>
                <w:i w:val="1"/>
                <w:color w:val="000000"/>
                <w:sz w:val="22"/>
              </w:rPr>
              <w:t>7</w:t>
            </w:r>
          </w:p>
        </w:tc>
      </w:tr>
      <w:tr>
        <w:trPr>
          <w:trHeight w:hRule="atLeast" w:val="446"/>
        </w:trPr>
        <w:tc>
          <w:tcPr>
            <w:tcW w:type="dxa" w:w="714"/>
            <w:tcBorders>
              <w:top w:sz="4" w:val="nil"/>
              <w:left w:color="000000" w:sz="4" w:val="single"/>
              <w:bottom w:color="000000" w:sz="4" w:val="single"/>
              <w:right w:color="000000" w:sz="4" w:val="single"/>
            </w:tcBorders>
            <w:shd w:fill="auto" w:val="clear"/>
            <w:vAlign w:val="center"/>
          </w:tcPr>
          <w:p w14:paraId="BF0D0000">
            <w:pPr>
              <w:widowControl w:val="1"/>
              <w:ind w:firstLine="709" w:left="-977" w:right="-196"/>
              <w:contextualSpacing w:val="1"/>
              <w:jc w:val="center"/>
              <w:rPr>
                <w:sz w:val="22"/>
              </w:rPr>
            </w:pPr>
            <w:r>
              <w:rPr>
                <w:sz w:val="22"/>
              </w:rPr>
              <w:t>5.6.</w:t>
            </w:r>
          </w:p>
        </w:tc>
        <w:tc>
          <w:tcPr>
            <w:tcW w:type="dxa" w:w="1648"/>
            <w:tcBorders>
              <w:top w:sz="4" w:val="nil"/>
              <w:left w:sz="4" w:val="nil"/>
              <w:bottom w:color="000000" w:sz="4" w:val="single"/>
              <w:right w:color="000000" w:sz="4" w:val="single"/>
            </w:tcBorders>
            <w:shd w:fill="auto" w:val="clear"/>
            <w:vAlign w:val="center"/>
          </w:tcPr>
          <w:p w14:paraId="C00D0000">
            <w:pPr>
              <w:widowControl w:val="1"/>
              <w:ind/>
              <w:contextualSpacing w:val="1"/>
              <w:rPr>
                <w:sz w:val="22"/>
              </w:rPr>
            </w:pPr>
            <w:r>
              <w:rPr>
                <w:sz w:val="22"/>
              </w:rPr>
              <w:t>Прочие материальные затраты</w:t>
            </w:r>
          </w:p>
        </w:tc>
        <w:tc>
          <w:tcPr>
            <w:tcW w:type="dxa" w:w="1275"/>
            <w:tcBorders>
              <w:top w:sz="4" w:val="nil"/>
              <w:left w:sz="4" w:val="nil"/>
              <w:bottom w:color="000000" w:sz="4" w:val="single"/>
              <w:right w:color="000000" w:sz="4" w:val="single"/>
            </w:tcBorders>
            <w:shd w:fill="auto" w:val="clear"/>
            <w:vAlign w:val="center"/>
          </w:tcPr>
          <w:p w14:paraId="C10D0000">
            <w:pPr>
              <w:widowControl w:val="1"/>
              <w:ind/>
              <w:contextualSpacing w:val="1"/>
              <w:jc w:val="center"/>
              <w:rPr>
                <w:i w:val="1"/>
                <w:color w:val="000000"/>
                <w:sz w:val="22"/>
              </w:rPr>
            </w:pPr>
            <w:r>
              <w:rPr>
                <w:i w:val="1"/>
                <w:color w:val="000000"/>
                <w:sz w:val="22"/>
              </w:rPr>
              <w:t>32</w:t>
            </w:r>
          </w:p>
        </w:tc>
        <w:tc>
          <w:tcPr>
            <w:tcW w:type="dxa" w:w="1418"/>
            <w:tcBorders>
              <w:top w:color="000000" w:sz="4" w:val="single"/>
              <w:left w:color="000000" w:sz="4" w:val="single"/>
              <w:bottom w:color="000000" w:sz="4" w:val="single"/>
              <w:right w:color="000000" w:sz="4" w:val="single"/>
            </w:tcBorders>
            <w:vAlign w:val="center"/>
          </w:tcPr>
          <w:p w14:paraId="C20D0000">
            <w:pPr>
              <w:widowControl w:val="1"/>
              <w:ind/>
              <w:contextualSpacing w:val="1"/>
              <w:jc w:val="center"/>
              <w:rPr>
                <w:i w:val="1"/>
                <w:color w:val="000000"/>
                <w:sz w:val="22"/>
              </w:rPr>
            </w:pPr>
            <w:r>
              <w:rPr>
                <w:i w:val="1"/>
                <w:color w:val="000000"/>
                <w:sz w:val="22"/>
              </w:rPr>
              <w:t>7</w:t>
            </w:r>
          </w:p>
        </w:tc>
        <w:tc>
          <w:tcPr>
            <w:tcW w:type="dxa" w:w="1417"/>
            <w:tcBorders>
              <w:top w:color="000000" w:sz="4" w:val="single"/>
              <w:left w:color="000000" w:sz="4" w:val="single"/>
              <w:bottom w:color="000000" w:sz="4" w:val="single"/>
              <w:right w:color="000000" w:sz="4" w:val="single"/>
            </w:tcBorders>
            <w:vAlign w:val="center"/>
          </w:tcPr>
          <w:p w14:paraId="C30D0000">
            <w:pPr>
              <w:widowControl w:val="1"/>
              <w:ind/>
              <w:contextualSpacing w:val="1"/>
              <w:jc w:val="center"/>
              <w:rPr>
                <w:i w:val="1"/>
                <w:color w:val="000000"/>
                <w:sz w:val="22"/>
              </w:rPr>
            </w:pPr>
            <w:r>
              <w:rPr>
                <w:i w:val="1"/>
                <w:color w:val="000000"/>
                <w:sz w:val="22"/>
              </w:rPr>
              <w:t>31</w:t>
            </w:r>
          </w:p>
        </w:tc>
        <w:tc>
          <w:tcPr>
            <w:tcW w:type="dxa" w:w="1276"/>
            <w:tcBorders>
              <w:top w:color="000000" w:sz="4" w:val="single"/>
              <w:left w:color="000000" w:sz="4" w:val="single"/>
              <w:bottom w:color="000000" w:sz="4" w:val="single"/>
              <w:right w:color="000000" w:sz="4" w:val="single"/>
            </w:tcBorders>
            <w:vAlign w:val="center"/>
          </w:tcPr>
          <w:p w14:paraId="C40D0000">
            <w:pPr>
              <w:widowControl w:val="1"/>
              <w:ind/>
              <w:contextualSpacing w:val="1"/>
              <w:jc w:val="center"/>
              <w:rPr>
                <w:i w:val="1"/>
                <w:color w:val="000000"/>
                <w:sz w:val="22"/>
              </w:rPr>
            </w:pPr>
            <w:r>
              <w:rPr>
                <w:i w:val="1"/>
                <w:color w:val="000000"/>
                <w:sz w:val="22"/>
              </w:rPr>
              <w:t>6</w:t>
            </w:r>
          </w:p>
        </w:tc>
        <w:tc>
          <w:tcPr>
            <w:tcW w:type="dxa" w:w="1134"/>
            <w:tcBorders>
              <w:top w:color="000000" w:sz="4" w:val="single"/>
              <w:left w:color="000000" w:sz="4" w:val="single"/>
              <w:bottom w:color="000000" w:sz="4" w:val="single"/>
              <w:right w:color="000000" w:sz="4" w:val="single"/>
            </w:tcBorders>
            <w:shd w:fill="auto" w:val="clear"/>
            <w:vAlign w:val="center"/>
          </w:tcPr>
          <w:p w14:paraId="C50D0000">
            <w:pPr>
              <w:widowControl w:val="1"/>
              <w:ind/>
              <w:contextualSpacing w:val="1"/>
              <w:jc w:val="center"/>
              <w:rPr>
                <w:i w:val="1"/>
                <w:color w:val="000000"/>
                <w:sz w:val="22"/>
              </w:rPr>
            </w:pPr>
            <w:r>
              <w:rPr>
                <w:i w:val="1"/>
                <w:color w:val="000000"/>
                <w:sz w:val="22"/>
              </w:rPr>
              <w:t>87</w:t>
            </w:r>
          </w:p>
        </w:tc>
        <w:tc>
          <w:tcPr>
            <w:tcW w:type="dxa" w:w="992"/>
            <w:tcBorders>
              <w:top w:color="000000" w:sz="4" w:val="single"/>
              <w:left w:color="000000" w:sz="4" w:val="single"/>
              <w:bottom w:color="000000" w:sz="4" w:val="single"/>
              <w:right w:color="000000" w:sz="4" w:val="single"/>
            </w:tcBorders>
            <w:shd w:fill="auto" w:val="clear"/>
            <w:vAlign w:val="center"/>
          </w:tcPr>
          <w:p w14:paraId="C60D0000">
            <w:pPr>
              <w:widowControl w:val="1"/>
              <w:ind/>
              <w:contextualSpacing w:val="1"/>
              <w:jc w:val="center"/>
              <w:rPr>
                <w:i w:val="1"/>
                <w:color w:val="000000"/>
                <w:sz w:val="22"/>
              </w:rPr>
            </w:pPr>
            <w:r>
              <w:rPr>
                <w:i w:val="1"/>
                <w:color w:val="000000"/>
                <w:sz w:val="22"/>
              </w:rPr>
              <w:t>20</w:t>
            </w:r>
          </w:p>
        </w:tc>
      </w:tr>
      <w:tr>
        <w:trPr>
          <w:trHeight w:hRule="atLeast" w:val="237"/>
        </w:trPr>
        <w:tc>
          <w:tcPr>
            <w:tcW w:type="dxa" w:w="714"/>
            <w:tcBorders>
              <w:top w:sz="4" w:val="nil"/>
              <w:left w:color="000000" w:sz="4" w:val="single"/>
              <w:bottom w:color="000000" w:sz="4" w:val="single"/>
              <w:right w:color="000000" w:sz="4" w:val="single"/>
            </w:tcBorders>
            <w:shd w:fill="auto" w:val="clear"/>
            <w:vAlign w:val="center"/>
          </w:tcPr>
          <w:p w14:paraId="C70D0000">
            <w:pPr>
              <w:widowControl w:val="1"/>
              <w:ind w:firstLine="709" w:left="-977" w:right="-196"/>
              <w:contextualSpacing w:val="1"/>
              <w:jc w:val="center"/>
              <w:rPr>
                <w:sz w:val="22"/>
              </w:rPr>
            </w:pPr>
            <w:r>
              <w:rPr>
                <w:sz w:val="22"/>
              </w:rPr>
              <w:t>5.7.</w:t>
            </w:r>
          </w:p>
        </w:tc>
        <w:tc>
          <w:tcPr>
            <w:tcW w:type="dxa" w:w="1648"/>
            <w:tcBorders>
              <w:top w:sz="4" w:val="nil"/>
              <w:left w:sz="4" w:val="nil"/>
              <w:bottom w:color="000000" w:sz="4" w:val="single"/>
              <w:right w:color="000000" w:sz="4" w:val="single"/>
            </w:tcBorders>
            <w:shd w:fill="auto" w:val="clear"/>
            <w:vAlign w:val="center"/>
          </w:tcPr>
          <w:p w14:paraId="C80D0000">
            <w:pPr>
              <w:widowControl w:val="1"/>
              <w:ind/>
              <w:contextualSpacing w:val="1"/>
              <w:rPr>
                <w:sz w:val="22"/>
              </w:rPr>
            </w:pPr>
            <w:r>
              <w:rPr>
                <w:sz w:val="22"/>
              </w:rPr>
              <w:t>Амортизация</w:t>
            </w:r>
          </w:p>
        </w:tc>
        <w:tc>
          <w:tcPr>
            <w:tcW w:type="dxa" w:w="1275"/>
            <w:tcBorders>
              <w:top w:sz="4" w:val="nil"/>
              <w:left w:sz="4" w:val="nil"/>
              <w:bottom w:color="000000" w:sz="4" w:val="single"/>
              <w:right w:color="000000" w:sz="4" w:val="single"/>
            </w:tcBorders>
            <w:shd w:fill="auto" w:val="clear"/>
            <w:vAlign w:val="center"/>
          </w:tcPr>
          <w:p w14:paraId="C90D0000">
            <w:pPr>
              <w:widowControl w:val="1"/>
              <w:ind/>
              <w:contextualSpacing w:val="1"/>
              <w:jc w:val="center"/>
              <w:rPr>
                <w:color w:val="000000"/>
                <w:sz w:val="22"/>
              </w:rPr>
            </w:pPr>
            <w:r>
              <w:rPr>
                <w:color w:val="000000"/>
                <w:sz w:val="22"/>
              </w:rPr>
              <w:t>51</w:t>
            </w:r>
          </w:p>
        </w:tc>
        <w:tc>
          <w:tcPr>
            <w:tcW w:type="dxa" w:w="1418"/>
            <w:tcBorders>
              <w:top w:color="000000" w:sz="4" w:val="single"/>
              <w:left w:color="000000" w:sz="4" w:val="single"/>
              <w:bottom w:color="000000" w:sz="4" w:val="single"/>
              <w:right w:color="000000" w:sz="4" w:val="single"/>
            </w:tcBorders>
            <w:vAlign w:val="center"/>
          </w:tcPr>
          <w:p w14:paraId="CA0D0000">
            <w:pPr>
              <w:widowControl w:val="1"/>
              <w:ind/>
              <w:contextualSpacing w:val="1"/>
              <w:jc w:val="center"/>
              <w:rPr>
                <w:color w:val="000000"/>
                <w:sz w:val="22"/>
              </w:rPr>
            </w:pPr>
            <w:r>
              <w:rPr>
                <w:color w:val="000000"/>
                <w:sz w:val="22"/>
              </w:rPr>
              <w:t>47</w:t>
            </w:r>
          </w:p>
        </w:tc>
        <w:tc>
          <w:tcPr>
            <w:tcW w:type="dxa" w:w="1417"/>
            <w:tcBorders>
              <w:top w:color="000000" w:sz="4" w:val="single"/>
              <w:left w:color="000000" w:sz="4" w:val="single"/>
              <w:bottom w:color="000000" w:sz="4" w:val="single"/>
              <w:right w:color="000000" w:sz="4" w:val="single"/>
            </w:tcBorders>
            <w:vAlign w:val="center"/>
          </w:tcPr>
          <w:p w14:paraId="CB0D0000">
            <w:pPr>
              <w:widowControl w:val="1"/>
              <w:ind/>
              <w:contextualSpacing w:val="1"/>
              <w:jc w:val="center"/>
              <w:rPr>
                <w:color w:val="000000"/>
                <w:sz w:val="22"/>
              </w:rPr>
            </w:pPr>
            <w:r>
              <w:rPr>
                <w:color w:val="000000"/>
                <w:sz w:val="22"/>
              </w:rPr>
              <w:t>47</w:t>
            </w:r>
          </w:p>
        </w:tc>
        <w:tc>
          <w:tcPr>
            <w:tcW w:type="dxa" w:w="1276"/>
            <w:tcBorders>
              <w:top w:color="000000" w:sz="4" w:val="single"/>
              <w:left w:color="000000" w:sz="4" w:val="single"/>
              <w:bottom w:color="000000" w:sz="4" w:val="single"/>
              <w:right w:color="000000" w:sz="4" w:val="single"/>
            </w:tcBorders>
            <w:vAlign w:val="center"/>
          </w:tcPr>
          <w:p w14:paraId="CC0D0000">
            <w:pPr>
              <w:widowControl w:val="1"/>
              <w:ind/>
              <w:contextualSpacing w:val="1"/>
              <w:jc w:val="center"/>
              <w:rPr>
                <w:color w:val="000000"/>
                <w:sz w:val="22"/>
              </w:rPr>
            </w:pPr>
            <w:r>
              <w:rPr>
                <w:color w:val="000000"/>
                <w:sz w:val="22"/>
              </w:rPr>
              <w:t>63</w:t>
            </w:r>
          </w:p>
        </w:tc>
        <w:tc>
          <w:tcPr>
            <w:tcW w:type="dxa" w:w="1134"/>
            <w:tcBorders>
              <w:top w:color="000000" w:sz="4" w:val="single"/>
              <w:left w:color="000000" w:sz="4" w:val="single"/>
              <w:bottom w:color="000000" w:sz="4" w:val="single"/>
              <w:right w:color="000000" w:sz="4" w:val="single"/>
            </w:tcBorders>
            <w:shd w:fill="auto" w:val="clear"/>
            <w:vAlign w:val="center"/>
          </w:tcPr>
          <w:p w14:paraId="CD0D0000">
            <w:pPr>
              <w:widowControl w:val="1"/>
              <w:ind/>
              <w:contextualSpacing w:val="1"/>
              <w:jc w:val="center"/>
              <w:rPr>
                <w:i w:val="1"/>
                <w:color w:val="000000"/>
                <w:sz w:val="22"/>
              </w:rPr>
            </w:pPr>
            <w:r>
              <w:rPr>
                <w:i w:val="1"/>
                <w:color w:val="000000"/>
                <w:sz w:val="22"/>
              </w:rPr>
              <w:t>133</w:t>
            </w:r>
          </w:p>
        </w:tc>
        <w:tc>
          <w:tcPr>
            <w:tcW w:type="dxa" w:w="992"/>
            <w:tcBorders>
              <w:top w:color="000000" w:sz="4" w:val="single"/>
              <w:left w:color="000000" w:sz="4" w:val="single"/>
              <w:bottom w:color="000000" w:sz="4" w:val="single"/>
              <w:right w:color="000000" w:sz="4" w:val="single"/>
            </w:tcBorders>
            <w:shd w:fill="auto" w:val="clear"/>
            <w:vAlign w:val="center"/>
          </w:tcPr>
          <w:p w14:paraId="CE0D0000">
            <w:pPr>
              <w:widowControl w:val="1"/>
              <w:ind/>
              <w:contextualSpacing w:val="1"/>
              <w:jc w:val="center"/>
              <w:rPr>
                <w:i w:val="1"/>
                <w:color w:val="000000"/>
                <w:sz w:val="22"/>
              </w:rPr>
            </w:pPr>
            <w:r>
              <w:rPr>
                <w:i w:val="1"/>
                <w:color w:val="000000"/>
                <w:sz w:val="22"/>
              </w:rPr>
              <w:t>134</w:t>
            </w:r>
          </w:p>
        </w:tc>
      </w:tr>
      <w:tr>
        <w:trPr>
          <w:trHeight w:hRule="atLeast" w:val="668"/>
        </w:trPr>
        <w:tc>
          <w:tcPr>
            <w:tcW w:type="dxa" w:w="714"/>
            <w:tcBorders>
              <w:top w:sz="4" w:val="nil"/>
              <w:left w:color="000000" w:sz="4" w:val="single"/>
              <w:bottom w:color="000000" w:sz="4" w:val="single"/>
              <w:right w:color="000000" w:sz="4" w:val="single"/>
            </w:tcBorders>
            <w:shd w:fill="auto" w:val="clear"/>
            <w:vAlign w:val="center"/>
          </w:tcPr>
          <w:p w14:paraId="CF0D0000">
            <w:pPr>
              <w:widowControl w:val="1"/>
              <w:ind w:firstLine="709" w:left="-977" w:right="-196"/>
              <w:contextualSpacing w:val="1"/>
              <w:jc w:val="center"/>
              <w:rPr>
                <w:sz w:val="22"/>
              </w:rPr>
            </w:pPr>
            <w:r>
              <w:rPr>
                <w:sz w:val="22"/>
              </w:rPr>
              <w:t>5.8.</w:t>
            </w:r>
          </w:p>
        </w:tc>
        <w:tc>
          <w:tcPr>
            <w:tcW w:type="dxa" w:w="1648"/>
            <w:tcBorders>
              <w:top w:sz="4" w:val="nil"/>
              <w:left w:sz="4" w:val="nil"/>
              <w:bottom w:color="000000" w:sz="4" w:val="single"/>
              <w:right w:color="000000" w:sz="4" w:val="single"/>
            </w:tcBorders>
            <w:shd w:fill="auto" w:val="clear"/>
            <w:vAlign w:val="center"/>
          </w:tcPr>
          <w:p w14:paraId="D00D0000">
            <w:pPr>
              <w:widowControl w:val="1"/>
              <w:ind/>
              <w:contextualSpacing w:val="1"/>
              <w:rPr>
                <w:sz w:val="22"/>
              </w:rPr>
            </w:pPr>
            <w:r>
              <w:rPr>
                <w:sz w:val="22"/>
              </w:rPr>
              <w:t>Прочие производственные затраты</w:t>
            </w:r>
          </w:p>
        </w:tc>
        <w:tc>
          <w:tcPr>
            <w:tcW w:type="dxa" w:w="1275"/>
            <w:tcBorders>
              <w:top w:sz="4" w:val="nil"/>
              <w:left w:sz="4" w:val="nil"/>
              <w:bottom w:color="000000" w:sz="4" w:val="single"/>
              <w:right w:color="000000" w:sz="4" w:val="single"/>
            </w:tcBorders>
            <w:shd w:fill="auto" w:val="clear"/>
            <w:vAlign w:val="center"/>
          </w:tcPr>
          <w:p w14:paraId="D10D0000">
            <w:pPr>
              <w:widowControl w:val="1"/>
              <w:ind/>
              <w:contextualSpacing w:val="1"/>
              <w:jc w:val="center"/>
              <w:rPr>
                <w:color w:val="000000"/>
                <w:sz w:val="22"/>
              </w:rPr>
            </w:pPr>
            <w:r>
              <w:rPr>
                <w:color w:val="000000"/>
                <w:sz w:val="22"/>
              </w:rPr>
              <w:t>189</w:t>
            </w:r>
          </w:p>
        </w:tc>
        <w:tc>
          <w:tcPr>
            <w:tcW w:type="dxa" w:w="1418"/>
            <w:tcBorders>
              <w:top w:color="000000" w:sz="4" w:val="single"/>
              <w:left w:color="000000" w:sz="4" w:val="single"/>
              <w:bottom w:color="000000" w:sz="4" w:val="single"/>
              <w:right w:color="000000" w:sz="4" w:val="single"/>
            </w:tcBorders>
            <w:vAlign w:val="center"/>
          </w:tcPr>
          <w:p w14:paraId="D20D0000">
            <w:pPr>
              <w:widowControl w:val="1"/>
              <w:ind/>
              <w:contextualSpacing w:val="1"/>
              <w:jc w:val="center"/>
              <w:rPr>
                <w:color w:val="000000"/>
                <w:sz w:val="22"/>
              </w:rPr>
            </w:pPr>
            <w:r>
              <w:rPr>
                <w:color w:val="000000"/>
                <w:sz w:val="22"/>
              </w:rPr>
              <w:t>719</w:t>
            </w:r>
          </w:p>
        </w:tc>
        <w:tc>
          <w:tcPr>
            <w:tcW w:type="dxa" w:w="1417"/>
            <w:tcBorders>
              <w:top w:color="000000" w:sz="4" w:val="single"/>
              <w:left w:color="000000" w:sz="4" w:val="single"/>
              <w:bottom w:color="000000" w:sz="4" w:val="single"/>
              <w:right w:color="000000" w:sz="4" w:val="single"/>
            </w:tcBorders>
            <w:vAlign w:val="center"/>
          </w:tcPr>
          <w:p w14:paraId="D30D0000">
            <w:pPr>
              <w:widowControl w:val="1"/>
              <w:ind/>
              <w:contextualSpacing w:val="1"/>
              <w:jc w:val="center"/>
              <w:rPr>
                <w:color w:val="000000"/>
                <w:sz w:val="22"/>
              </w:rPr>
            </w:pPr>
            <w:r>
              <w:rPr>
                <w:color w:val="000000"/>
                <w:sz w:val="22"/>
              </w:rPr>
              <w:t>296</w:t>
            </w:r>
          </w:p>
        </w:tc>
        <w:tc>
          <w:tcPr>
            <w:tcW w:type="dxa" w:w="1276"/>
            <w:tcBorders>
              <w:top w:color="000000" w:sz="4" w:val="single"/>
              <w:left w:color="000000" w:sz="4" w:val="single"/>
              <w:bottom w:color="000000" w:sz="4" w:val="single"/>
              <w:right w:color="000000" w:sz="4" w:val="single"/>
            </w:tcBorders>
            <w:vAlign w:val="center"/>
          </w:tcPr>
          <w:p w14:paraId="D40D0000">
            <w:pPr>
              <w:widowControl w:val="1"/>
              <w:ind/>
              <w:contextualSpacing w:val="1"/>
              <w:jc w:val="center"/>
              <w:rPr>
                <w:color w:val="000000"/>
                <w:sz w:val="22"/>
              </w:rPr>
            </w:pPr>
            <w:r>
              <w:rPr>
                <w:color w:val="000000"/>
                <w:sz w:val="22"/>
              </w:rPr>
              <w:t>73</w:t>
            </w:r>
            <w:r>
              <w:rPr>
                <w:color w:val="000000"/>
                <w:sz w:val="22"/>
              </w:rPr>
              <w:t>4</w:t>
            </w:r>
          </w:p>
        </w:tc>
        <w:tc>
          <w:tcPr>
            <w:tcW w:type="dxa" w:w="1134"/>
            <w:tcBorders>
              <w:top w:color="000000" w:sz="4" w:val="single"/>
              <w:left w:color="000000" w:sz="4" w:val="single"/>
              <w:bottom w:color="000000" w:sz="4" w:val="single"/>
              <w:right w:color="000000" w:sz="4" w:val="single"/>
            </w:tcBorders>
            <w:shd w:fill="auto" w:val="clear"/>
            <w:vAlign w:val="center"/>
          </w:tcPr>
          <w:p w14:paraId="D50D0000">
            <w:pPr>
              <w:widowControl w:val="1"/>
              <w:ind/>
              <w:contextualSpacing w:val="1"/>
              <w:jc w:val="center"/>
              <w:rPr>
                <w:i w:val="1"/>
                <w:color w:val="000000"/>
                <w:sz w:val="22"/>
              </w:rPr>
            </w:pPr>
            <w:r>
              <w:rPr>
                <w:i w:val="1"/>
                <w:color w:val="000000"/>
                <w:sz w:val="22"/>
              </w:rPr>
              <w:t>102</w:t>
            </w:r>
          </w:p>
        </w:tc>
        <w:tc>
          <w:tcPr>
            <w:tcW w:type="dxa" w:w="992"/>
            <w:tcBorders>
              <w:top w:color="000000" w:sz="4" w:val="single"/>
              <w:left w:color="000000" w:sz="4" w:val="single"/>
              <w:bottom w:color="000000" w:sz="4" w:val="single"/>
              <w:right w:color="000000" w:sz="4" w:val="single"/>
            </w:tcBorders>
            <w:shd w:fill="auto" w:val="clear"/>
            <w:vAlign w:val="center"/>
          </w:tcPr>
          <w:p w14:paraId="D60D0000">
            <w:pPr>
              <w:widowControl w:val="1"/>
              <w:ind/>
              <w:contextualSpacing w:val="1"/>
              <w:jc w:val="center"/>
              <w:rPr>
                <w:i w:val="1"/>
                <w:color w:val="000000"/>
                <w:sz w:val="22"/>
              </w:rPr>
            </w:pPr>
            <w:r>
              <w:rPr>
                <w:i w:val="1"/>
                <w:color w:val="000000"/>
                <w:sz w:val="22"/>
              </w:rPr>
              <w:t>24</w:t>
            </w:r>
            <w:r>
              <w:rPr>
                <w:i w:val="1"/>
                <w:color w:val="000000"/>
                <w:sz w:val="22"/>
              </w:rPr>
              <w:t>8</w:t>
            </w:r>
          </w:p>
        </w:tc>
      </w:tr>
      <w:tr>
        <w:trPr>
          <w:trHeight w:hRule="atLeast" w:val="478"/>
        </w:trPr>
        <w:tc>
          <w:tcPr>
            <w:tcW w:type="dxa" w:w="714"/>
            <w:tcBorders>
              <w:top w:sz="4" w:val="nil"/>
              <w:left w:color="000000" w:sz="4" w:val="single"/>
              <w:bottom w:color="000000" w:sz="4" w:val="single"/>
              <w:right w:color="000000" w:sz="4" w:val="single"/>
            </w:tcBorders>
            <w:shd w:fill="auto" w:val="clear"/>
            <w:vAlign w:val="center"/>
          </w:tcPr>
          <w:p w14:paraId="D70D0000">
            <w:pPr>
              <w:widowControl w:val="1"/>
              <w:ind w:firstLine="709" w:left="-977" w:right="-196"/>
              <w:contextualSpacing w:val="1"/>
              <w:jc w:val="center"/>
              <w:rPr>
                <w:b w:val="1"/>
                <w:sz w:val="22"/>
              </w:rPr>
            </w:pPr>
            <w:r>
              <w:rPr>
                <w:b w:val="1"/>
                <w:sz w:val="22"/>
              </w:rPr>
              <w:t>6.</w:t>
            </w:r>
          </w:p>
        </w:tc>
        <w:tc>
          <w:tcPr>
            <w:tcW w:type="dxa" w:w="1648"/>
            <w:tcBorders>
              <w:top w:sz="4" w:val="nil"/>
              <w:left w:sz="4" w:val="nil"/>
              <w:bottom w:color="000000" w:sz="4" w:val="single"/>
              <w:right w:color="000000" w:sz="4" w:val="single"/>
            </w:tcBorders>
            <w:shd w:fill="auto" w:val="clear"/>
            <w:vAlign w:val="center"/>
          </w:tcPr>
          <w:p w14:paraId="D80D0000">
            <w:pPr>
              <w:widowControl w:val="1"/>
              <w:ind/>
              <w:contextualSpacing w:val="1"/>
              <w:rPr>
                <w:b w:val="1"/>
                <w:sz w:val="22"/>
              </w:rPr>
            </w:pPr>
            <w:r>
              <w:rPr>
                <w:b w:val="1"/>
                <w:sz w:val="22"/>
              </w:rPr>
              <w:t>Прочие расходы (91 счет), в т.ч.</w:t>
            </w:r>
          </w:p>
        </w:tc>
        <w:tc>
          <w:tcPr>
            <w:tcW w:type="dxa" w:w="1275"/>
            <w:tcBorders>
              <w:top w:sz="4" w:val="nil"/>
              <w:left w:sz="4" w:val="nil"/>
              <w:bottom w:color="000000" w:sz="4" w:val="single"/>
              <w:right w:color="000000" w:sz="4" w:val="single"/>
            </w:tcBorders>
            <w:shd w:fill="auto" w:val="clear"/>
            <w:vAlign w:val="center"/>
          </w:tcPr>
          <w:p w14:paraId="D90D0000">
            <w:pPr>
              <w:widowControl w:val="1"/>
              <w:ind/>
              <w:contextualSpacing w:val="1"/>
              <w:jc w:val="center"/>
              <w:rPr>
                <w:b w:val="1"/>
                <w:color w:val="000000"/>
                <w:sz w:val="22"/>
              </w:rPr>
            </w:pPr>
            <w:r>
              <w:rPr>
                <w:b w:val="1"/>
                <w:color w:val="000000"/>
                <w:sz w:val="22"/>
              </w:rPr>
              <w:t>19 894</w:t>
            </w:r>
          </w:p>
        </w:tc>
        <w:tc>
          <w:tcPr>
            <w:tcW w:type="dxa" w:w="1418"/>
            <w:tcBorders>
              <w:top w:color="000000" w:sz="4" w:val="single"/>
              <w:left w:color="000000" w:sz="4" w:val="single"/>
              <w:bottom w:color="000000" w:sz="4" w:val="single"/>
              <w:right w:color="000000" w:sz="4" w:val="single"/>
            </w:tcBorders>
            <w:vAlign w:val="center"/>
          </w:tcPr>
          <w:p w14:paraId="DA0D0000">
            <w:pPr>
              <w:widowControl w:val="1"/>
              <w:ind/>
              <w:contextualSpacing w:val="1"/>
              <w:jc w:val="center"/>
              <w:rPr>
                <w:b w:val="1"/>
                <w:color w:val="000000"/>
                <w:sz w:val="22"/>
              </w:rPr>
            </w:pPr>
            <w:r>
              <w:rPr>
                <w:b w:val="1"/>
                <w:color w:val="000000"/>
                <w:sz w:val="22"/>
              </w:rPr>
              <w:t>11 954</w:t>
            </w:r>
          </w:p>
        </w:tc>
        <w:tc>
          <w:tcPr>
            <w:tcW w:type="dxa" w:w="1417"/>
            <w:tcBorders>
              <w:top w:color="000000" w:sz="4" w:val="single"/>
              <w:left w:color="000000" w:sz="4" w:val="single"/>
              <w:bottom w:color="000000" w:sz="4" w:val="single"/>
              <w:right w:color="000000" w:sz="4" w:val="single"/>
            </w:tcBorders>
            <w:vAlign w:val="center"/>
          </w:tcPr>
          <w:p w14:paraId="DB0D0000">
            <w:pPr>
              <w:widowControl w:val="1"/>
              <w:ind/>
              <w:contextualSpacing w:val="1"/>
              <w:jc w:val="center"/>
              <w:rPr>
                <w:b w:val="1"/>
                <w:color w:val="000000"/>
                <w:sz w:val="22"/>
              </w:rPr>
            </w:pPr>
            <w:r>
              <w:rPr>
                <w:b w:val="1"/>
                <w:color w:val="000000"/>
                <w:sz w:val="22"/>
              </w:rPr>
              <w:t>11 519</w:t>
            </w:r>
          </w:p>
        </w:tc>
        <w:tc>
          <w:tcPr>
            <w:tcW w:type="dxa" w:w="1276"/>
            <w:tcBorders>
              <w:top w:color="000000" w:sz="4" w:val="single"/>
              <w:left w:color="000000" w:sz="4" w:val="single"/>
              <w:bottom w:color="000000" w:sz="4" w:val="single"/>
              <w:right w:color="000000" w:sz="4" w:val="single"/>
            </w:tcBorders>
            <w:vAlign w:val="center"/>
          </w:tcPr>
          <w:p w14:paraId="DC0D0000">
            <w:pPr>
              <w:widowControl w:val="1"/>
              <w:ind/>
              <w:contextualSpacing w:val="1"/>
              <w:jc w:val="center"/>
              <w:rPr>
                <w:b w:val="1"/>
                <w:color w:val="000000"/>
                <w:sz w:val="22"/>
              </w:rPr>
            </w:pPr>
            <w:r>
              <w:rPr>
                <w:b w:val="1"/>
                <w:color w:val="000000"/>
                <w:sz w:val="22"/>
              </w:rPr>
              <w:t>6 790</w:t>
            </w:r>
          </w:p>
        </w:tc>
        <w:tc>
          <w:tcPr>
            <w:tcW w:type="dxa" w:w="1134"/>
            <w:tcBorders>
              <w:top w:color="000000" w:sz="4" w:val="single"/>
              <w:left w:color="000000" w:sz="4" w:val="single"/>
              <w:bottom w:color="000000" w:sz="4" w:val="single"/>
              <w:right w:color="000000" w:sz="4" w:val="single"/>
            </w:tcBorders>
            <w:shd w:fill="auto" w:val="clear"/>
            <w:vAlign w:val="center"/>
          </w:tcPr>
          <w:p w14:paraId="DD0D0000">
            <w:pPr>
              <w:widowControl w:val="1"/>
              <w:ind/>
              <w:contextualSpacing w:val="1"/>
              <w:jc w:val="center"/>
              <w:rPr>
                <w:i w:val="1"/>
                <w:color w:val="000000"/>
                <w:sz w:val="22"/>
              </w:rPr>
            </w:pPr>
            <w:r>
              <w:rPr>
                <w:i w:val="1"/>
                <w:color w:val="000000"/>
                <w:sz w:val="22"/>
              </w:rPr>
              <w:t>57</w:t>
            </w:r>
          </w:p>
        </w:tc>
        <w:tc>
          <w:tcPr>
            <w:tcW w:type="dxa" w:w="992"/>
            <w:tcBorders>
              <w:top w:color="000000" w:sz="4" w:val="single"/>
              <w:left w:color="000000" w:sz="4" w:val="single"/>
              <w:bottom w:color="000000" w:sz="4" w:val="single"/>
              <w:right w:color="000000" w:sz="4" w:val="single"/>
            </w:tcBorders>
            <w:shd w:fill="auto" w:val="clear"/>
            <w:vAlign w:val="center"/>
          </w:tcPr>
          <w:p w14:paraId="DE0D0000">
            <w:pPr>
              <w:widowControl w:val="1"/>
              <w:ind/>
              <w:contextualSpacing w:val="1"/>
              <w:jc w:val="center"/>
              <w:rPr>
                <w:i w:val="1"/>
                <w:color w:val="000000"/>
                <w:sz w:val="22"/>
              </w:rPr>
            </w:pPr>
            <w:r>
              <w:rPr>
                <w:i w:val="1"/>
                <w:color w:val="000000"/>
                <w:sz w:val="22"/>
              </w:rPr>
              <w:t>59</w:t>
            </w:r>
          </w:p>
        </w:tc>
      </w:tr>
      <w:tr>
        <w:trPr>
          <w:trHeight w:hRule="atLeast" w:val="446"/>
        </w:trPr>
        <w:tc>
          <w:tcPr>
            <w:tcW w:type="dxa" w:w="714"/>
            <w:tcBorders>
              <w:top w:sz="4" w:val="nil"/>
              <w:left w:color="000000" w:sz="4" w:val="single"/>
              <w:bottom w:color="000000" w:sz="4" w:val="single"/>
              <w:right w:color="000000" w:sz="4" w:val="single"/>
            </w:tcBorders>
            <w:shd w:fill="auto" w:val="clear"/>
            <w:vAlign w:val="center"/>
          </w:tcPr>
          <w:p w14:paraId="DF0D0000">
            <w:pPr>
              <w:widowControl w:val="1"/>
              <w:ind w:firstLine="709" w:left="-977" w:right="-196"/>
              <w:contextualSpacing w:val="1"/>
              <w:jc w:val="center"/>
              <w:rPr>
                <w:b w:val="1"/>
                <w:sz w:val="22"/>
              </w:rPr>
            </w:pPr>
            <w:r>
              <w:rPr>
                <w:b w:val="1"/>
                <w:sz w:val="22"/>
              </w:rPr>
              <w:t>6.1.</w:t>
            </w:r>
          </w:p>
        </w:tc>
        <w:tc>
          <w:tcPr>
            <w:tcW w:type="dxa" w:w="1648"/>
            <w:tcBorders>
              <w:top w:sz="4" w:val="nil"/>
              <w:left w:sz="4" w:val="nil"/>
              <w:bottom w:color="000000" w:sz="4" w:val="single"/>
              <w:right w:color="000000" w:sz="4" w:val="single"/>
            </w:tcBorders>
            <w:shd w:fill="auto" w:val="clear"/>
            <w:vAlign w:val="center"/>
          </w:tcPr>
          <w:p w14:paraId="E00D0000">
            <w:pPr>
              <w:widowControl w:val="1"/>
              <w:ind w:firstLine="220"/>
              <w:contextualSpacing w:val="1"/>
              <w:rPr>
                <w:i w:val="1"/>
                <w:sz w:val="22"/>
              </w:rPr>
            </w:pPr>
            <w:r>
              <w:rPr>
                <w:i w:val="1"/>
                <w:sz w:val="22"/>
              </w:rPr>
              <w:t xml:space="preserve"> -по основной деятельности</w:t>
            </w:r>
          </w:p>
        </w:tc>
        <w:tc>
          <w:tcPr>
            <w:tcW w:type="dxa" w:w="1275"/>
            <w:tcBorders>
              <w:top w:sz="4" w:val="nil"/>
              <w:left w:sz="4" w:val="nil"/>
              <w:bottom w:color="000000" w:sz="4" w:val="single"/>
              <w:right w:color="000000" w:sz="4" w:val="single"/>
            </w:tcBorders>
            <w:shd w:fill="auto" w:val="clear"/>
            <w:vAlign w:val="center"/>
          </w:tcPr>
          <w:p w14:paraId="E10D0000">
            <w:pPr>
              <w:widowControl w:val="1"/>
              <w:ind/>
              <w:contextualSpacing w:val="1"/>
              <w:jc w:val="center"/>
              <w:rPr>
                <w:i w:val="1"/>
                <w:color w:val="000000"/>
                <w:sz w:val="22"/>
              </w:rPr>
            </w:pPr>
            <w:r>
              <w:rPr>
                <w:i w:val="1"/>
                <w:color w:val="000000"/>
                <w:sz w:val="22"/>
              </w:rPr>
              <w:t>1</w:t>
            </w:r>
            <w:r>
              <w:rPr>
                <w:i w:val="1"/>
                <w:color w:val="000000"/>
                <w:sz w:val="22"/>
              </w:rPr>
              <w:t>9 808</w:t>
            </w:r>
          </w:p>
        </w:tc>
        <w:tc>
          <w:tcPr>
            <w:tcW w:type="dxa" w:w="1418"/>
            <w:tcBorders>
              <w:top w:color="000000" w:sz="4" w:val="single"/>
              <w:left w:color="000000" w:sz="4" w:val="single"/>
              <w:bottom w:color="000000" w:sz="4" w:val="single"/>
              <w:right w:color="000000" w:sz="4" w:val="single"/>
            </w:tcBorders>
            <w:vAlign w:val="center"/>
          </w:tcPr>
          <w:p w14:paraId="E20D0000">
            <w:pPr>
              <w:widowControl w:val="1"/>
              <w:ind/>
              <w:contextualSpacing w:val="1"/>
              <w:jc w:val="center"/>
              <w:rPr>
                <w:i w:val="1"/>
                <w:color w:val="000000"/>
                <w:sz w:val="22"/>
              </w:rPr>
            </w:pPr>
            <w:r>
              <w:rPr>
                <w:i w:val="1"/>
                <w:color w:val="000000"/>
                <w:sz w:val="22"/>
              </w:rPr>
              <w:t>10 705</w:t>
            </w:r>
          </w:p>
        </w:tc>
        <w:tc>
          <w:tcPr>
            <w:tcW w:type="dxa" w:w="1417"/>
            <w:tcBorders>
              <w:top w:color="000000" w:sz="4" w:val="single"/>
              <w:left w:color="000000" w:sz="4" w:val="single"/>
              <w:bottom w:color="000000" w:sz="4" w:val="single"/>
              <w:right w:color="000000" w:sz="4" w:val="single"/>
            </w:tcBorders>
            <w:vAlign w:val="center"/>
          </w:tcPr>
          <w:p w14:paraId="E30D0000">
            <w:pPr>
              <w:widowControl w:val="1"/>
              <w:ind/>
              <w:contextualSpacing w:val="1"/>
              <w:jc w:val="center"/>
              <w:rPr>
                <w:i w:val="1"/>
                <w:color w:val="000000"/>
                <w:sz w:val="22"/>
              </w:rPr>
            </w:pPr>
            <w:r>
              <w:rPr>
                <w:i w:val="1"/>
                <w:color w:val="000000"/>
                <w:sz w:val="22"/>
              </w:rPr>
              <w:t>11 302</w:t>
            </w:r>
          </w:p>
        </w:tc>
        <w:tc>
          <w:tcPr>
            <w:tcW w:type="dxa" w:w="1276"/>
            <w:tcBorders>
              <w:top w:color="000000" w:sz="4" w:val="single"/>
              <w:left w:color="000000" w:sz="4" w:val="single"/>
              <w:bottom w:color="000000" w:sz="4" w:val="single"/>
              <w:right w:color="000000" w:sz="4" w:val="single"/>
            </w:tcBorders>
            <w:vAlign w:val="center"/>
          </w:tcPr>
          <w:p w14:paraId="E40D0000">
            <w:pPr>
              <w:widowControl w:val="1"/>
              <w:ind/>
              <w:contextualSpacing w:val="1"/>
              <w:jc w:val="center"/>
              <w:rPr>
                <w:i w:val="1"/>
                <w:color w:val="000000"/>
                <w:sz w:val="22"/>
              </w:rPr>
            </w:pPr>
            <w:r>
              <w:rPr>
                <w:i w:val="1"/>
                <w:color w:val="000000"/>
                <w:sz w:val="22"/>
              </w:rPr>
              <w:t>5 282</w:t>
            </w:r>
          </w:p>
        </w:tc>
        <w:tc>
          <w:tcPr>
            <w:tcW w:type="dxa" w:w="1134"/>
            <w:tcBorders>
              <w:top w:color="000000" w:sz="4" w:val="single"/>
              <w:left w:color="000000" w:sz="4" w:val="single"/>
              <w:bottom w:color="000000" w:sz="4" w:val="single"/>
              <w:right w:color="000000" w:sz="4" w:val="single"/>
            </w:tcBorders>
            <w:shd w:fill="auto" w:val="clear"/>
            <w:vAlign w:val="center"/>
          </w:tcPr>
          <w:p w14:paraId="E50D0000">
            <w:pPr>
              <w:widowControl w:val="1"/>
              <w:ind/>
              <w:contextualSpacing w:val="1"/>
              <w:jc w:val="center"/>
              <w:rPr>
                <w:i w:val="1"/>
                <w:color w:val="000000"/>
                <w:sz w:val="22"/>
              </w:rPr>
            </w:pPr>
            <w:r>
              <w:rPr>
                <w:i w:val="1"/>
                <w:color w:val="000000"/>
                <w:sz w:val="22"/>
              </w:rPr>
              <w:t>49</w:t>
            </w:r>
          </w:p>
        </w:tc>
        <w:tc>
          <w:tcPr>
            <w:tcW w:type="dxa" w:w="992"/>
            <w:tcBorders>
              <w:top w:color="000000" w:sz="4" w:val="single"/>
              <w:left w:color="000000" w:sz="4" w:val="single"/>
              <w:bottom w:color="000000" w:sz="4" w:val="single"/>
              <w:right w:color="000000" w:sz="4" w:val="single"/>
            </w:tcBorders>
            <w:shd w:fill="auto" w:val="clear"/>
            <w:vAlign w:val="center"/>
          </w:tcPr>
          <w:p w14:paraId="E60D0000">
            <w:pPr>
              <w:widowControl w:val="1"/>
              <w:ind/>
              <w:contextualSpacing w:val="1"/>
              <w:jc w:val="center"/>
              <w:rPr>
                <w:i w:val="1"/>
                <w:color w:val="000000"/>
                <w:sz w:val="22"/>
              </w:rPr>
            </w:pPr>
            <w:r>
              <w:rPr>
                <w:i w:val="1"/>
                <w:color w:val="000000"/>
                <w:sz w:val="22"/>
              </w:rPr>
              <w:t>47</w:t>
            </w:r>
          </w:p>
        </w:tc>
      </w:tr>
      <w:tr>
        <w:trPr>
          <w:trHeight w:hRule="atLeast" w:val="446"/>
        </w:trPr>
        <w:tc>
          <w:tcPr>
            <w:tcW w:type="dxa" w:w="714"/>
            <w:tcBorders>
              <w:top w:sz="4" w:val="nil"/>
              <w:left w:color="000000" w:sz="4" w:val="single"/>
              <w:bottom w:color="000000" w:sz="4" w:val="single"/>
              <w:right w:color="000000" w:sz="4" w:val="single"/>
            </w:tcBorders>
            <w:shd w:fill="auto" w:val="clear"/>
            <w:vAlign w:val="center"/>
          </w:tcPr>
          <w:p w14:paraId="E70D0000">
            <w:pPr>
              <w:widowControl w:val="1"/>
              <w:ind w:firstLine="709" w:left="-977" w:right="-196"/>
              <w:contextualSpacing w:val="1"/>
              <w:jc w:val="center"/>
              <w:rPr>
                <w:b w:val="1"/>
                <w:sz w:val="22"/>
              </w:rPr>
            </w:pPr>
            <w:r>
              <w:rPr>
                <w:b w:val="1"/>
                <w:sz w:val="22"/>
              </w:rPr>
              <w:t>6.2.</w:t>
            </w:r>
          </w:p>
        </w:tc>
        <w:tc>
          <w:tcPr>
            <w:tcW w:type="dxa" w:w="1648"/>
            <w:tcBorders>
              <w:top w:sz="4" w:val="nil"/>
              <w:left w:sz="4" w:val="nil"/>
              <w:bottom w:color="000000" w:sz="4" w:val="single"/>
              <w:right w:color="000000" w:sz="4" w:val="single"/>
            </w:tcBorders>
            <w:shd w:fill="auto" w:val="clear"/>
            <w:vAlign w:val="center"/>
          </w:tcPr>
          <w:p w14:paraId="E80D0000">
            <w:pPr>
              <w:widowControl w:val="1"/>
              <w:ind w:firstLine="220"/>
              <w:contextualSpacing w:val="1"/>
              <w:rPr>
                <w:i w:val="1"/>
                <w:sz w:val="22"/>
              </w:rPr>
            </w:pPr>
            <w:r>
              <w:rPr>
                <w:i w:val="1"/>
                <w:sz w:val="22"/>
              </w:rPr>
              <w:t xml:space="preserve"> -по прочим видам деятельности</w:t>
            </w:r>
          </w:p>
        </w:tc>
        <w:tc>
          <w:tcPr>
            <w:tcW w:type="dxa" w:w="1275"/>
            <w:tcBorders>
              <w:top w:sz="4" w:val="nil"/>
              <w:left w:sz="4" w:val="nil"/>
              <w:bottom w:color="000000" w:sz="4" w:val="single"/>
              <w:right w:color="000000" w:sz="4" w:val="single"/>
            </w:tcBorders>
            <w:shd w:fill="auto" w:val="clear"/>
            <w:vAlign w:val="center"/>
          </w:tcPr>
          <w:p w14:paraId="E90D0000">
            <w:pPr>
              <w:widowControl w:val="1"/>
              <w:ind/>
              <w:contextualSpacing w:val="1"/>
              <w:jc w:val="center"/>
              <w:rPr>
                <w:i w:val="1"/>
                <w:color w:val="000000"/>
                <w:sz w:val="22"/>
              </w:rPr>
            </w:pPr>
            <w:r>
              <w:rPr>
                <w:i w:val="1"/>
                <w:color w:val="000000"/>
                <w:sz w:val="22"/>
              </w:rPr>
              <w:t>87</w:t>
            </w:r>
          </w:p>
        </w:tc>
        <w:tc>
          <w:tcPr>
            <w:tcW w:type="dxa" w:w="1418"/>
            <w:tcBorders>
              <w:top w:color="000000" w:sz="4" w:val="single"/>
              <w:left w:color="000000" w:sz="4" w:val="single"/>
              <w:bottom w:color="000000" w:sz="4" w:val="single"/>
              <w:right w:color="000000" w:sz="4" w:val="single"/>
            </w:tcBorders>
            <w:vAlign w:val="center"/>
          </w:tcPr>
          <w:p w14:paraId="EA0D0000">
            <w:pPr>
              <w:widowControl w:val="1"/>
              <w:ind/>
              <w:contextualSpacing w:val="1"/>
              <w:jc w:val="center"/>
              <w:rPr>
                <w:i w:val="1"/>
                <w:color w:val="000000"/>
                <w:sz w:val="22"/>
              </w:rPr>
            </w:pPr>
            <w:r>
              <w:rPr>
                <w:i w:val="1"/>
                <w:color w:val="000000"/>
                <w:sz w:val="22"/>
              </w:rPr>
              <w:t>1 250</w:t>
            </w:r>
          </w:p>
        </w:tc>
        <w:tc>
          <w:tcPr>
            <w:tcW w:type="dxa" w:w="1417"/>
            <w:tcBorders>
              <w:top w:color="000000" w:sz="4" w:val="single"/>
              <w:left w:color="000000" w:sz="4" w:val="single"/>
              <w:bottom w:color="000000" w:sz="4" w:val="single"/>
              <w:right w:color="000000" w:sz="4" w:val="single"/>
            </w:tcBorders>
            <w:vAlign w:val="center"/>
          </w:tcPr>
          <w:p w14:paraId="EB0D0000">
            <w:pPr>
              <w:widowControl w:val="1"/>
              <w:ind/>
              <w:contextualSpacing w:val="1"/>
              <w:jc w:val="center"/>
              <w:rPr>
                <w:i w:val="1"/>
                <w:color w:val="000000"/>
                <w:sz w:val="22"/>
              </w:rPr>
            </w:pPr>
            <w:r>
              <w:rPr>
                <w:i w:val="1"/>
                <w:color w:val="000000"/>
                <w:sz w:val="22"/>
              </w:rPr>
              <w:t>217</w:t>
            </w:r>
          </w:p>
        </w:tc>
        <w:tc>
          <w:tcPr>
            <w:tcW w:type="dxa" w:w="1276"/>
            <w:tcBorders>
              <w:top w:color="000000" w:sz="4" w:val="single"/>
              <w:left w:color="000000" w:sz="4" w:val="single"/>
              <w:bottom w:color="000000" w:sz="4" w:val="single"/>
              <w:right w:color="000000" w:sz="4" w:val="single"/>
            </w:tcBorders>
            <w:vAlign w:val="center"/>
          </w:tcPr>
          <w:p w14:paraId="EC0D0000">
            <w:pPr>
              <w:widowControl w:val="1"/>
              <w:ind/>
              <w:contextualSpacing w:val="1"/>
              <w:jc w:val="center"/>
              <w:rPr>
                <w:i w:val="1"/>
                <w:color w:val="000000"/>
                <w:sz w:val="22"/>
              </w:rPr>
            </w:pPr>
            <w:r>
              <w:rPr>
                <w:i w:val="1"/>
                <w:color w:val="000000"/>
                <w:sz w:val="22"/>
              </w:rPr>
              <w:t>1 508</w:t>
            </w:r>
          </w:p>
        </w:tc>
        <w:tc>
          <w:tcPr>
            <w:tcW w:type="dxa" w:w="1134"/>
            <w:tcBorders>
              <w:top w:color="000000" w:sz="4" w:val="single"/>
              <w:left w:color="000000" w:sz="4" w:val="single"/>
              <w:bottom w:color="000000" w:sz="4" w:val="single"/>
              <w:right w:color="000000" w:sz="4" w:val="single"/>
            </w:tcBorders>
            <w:shd w:fill="auto" w:val="clear"/>
            <w:vAlign w:val="center"/>
          </w:tcPr>
          <w:p w14:paraId="ED0D0000">
            <w:pPr>
              <w:widowControl w:val="1"/>
              <w:ind/>
              <w:contextualSpacing w:val="1"/>
              <w:jc w:val="center"/>
              <w:rPr>
                <w:i w:val="1"/>
                <w:color w:val="000000"/>
                <w:sz w:val="22"/>
              </w:rPr>
            </w:pPr>
            <w:r>
              <w:rPr>
                <w:i w:val="1"/>
                <w:color w:val="000000"/>
                <w:sz w:val="22"/>
              </w:rPr>
              <w:t>121</w:t>
            </w:r>
          </w:p>
        </w:tc>
        <w:tc>
          <w:tcPr>
            <w:tcW w:type="dxa" w:w="992"/>
            <w:tcBorders>
              <w:top w:color="000000" w:sz="4" w:val="single"/>
              <w:left w:color="000000" w:sz="4" w:val="single"/>
              <w:bottom w:color="000000" w:sz="4" w:val="single"/>
              <w:right w:color="000000" w:sz="4" w:val="single"/>
            </w:tcBorders>
            <w:shd w:fill="auto" w:val="clear"/>
            <w:vAlign w:val="center"/>
          </w:tcPr>
          <w:p w14:paraId="EE0D0000">
            <w:pPr>
              <w:widowControl w:val="1"/>
              <w:ind/>
              <w:contextualSpacing w:val="1"/>
              <w:jc w:val="center"/>
              <w:rPr>
                <w:i w:val="1"/>
                <w:color w:val="000000"/>
                <w:sz w:val="22"/>
              </w:rPr>
            </w:pPr>
            <w:r>
              <w:rPr>
                <w:i w:val="1"/>
                <w:color w:val="000000"/>
                <w:sz w:val="22"/>
              </w:rPr>
              <w:t>695</w:t>
            </w:r>
          </w:p>
        </w:tc>
      </w:tr>
      <w:tr>
        <w:trPr>
          <w:trHeight w:hRule="atLeast" w:val="334"/>
        </w:trPr>
        <w:tc>
          <w:tcPr>
            <w:tcW w:type="dxa" w:w="714"/>
            <w:tcBorders>
              <w:top w:sz="4" w:val="nil"/>
              <w:left w:color="000000" w:sz="4" w:val="single"/>
              <w:bottom w:color="000000" w:sz="4" w:val="single"/>
              <w:right w:color="000000" w:sz="4" w:val="single"/>
            </w:tcBorders>
            <w:shd w:fill="auto" w:val="clear"/>
            <w:vAlign w:val="center"/>
          </w:tcPr>
          <w:p w14:paraId="EF0D0000">
            <w:pPr>
              <w:widowControl w:val="1"/>
              <w:ind w:firstLine="709" w:left="-977" w:right="-196"/>
              <w:contextualSpacing w:val="1"/>
              <w:jc w:val="center"/>
              <w:rPr>
                <w:b w:val="1"/>
                <w:sz w:val="22"/>
              </w:rPr>
            </w:pPr>
            <w:r>
              <w:rPr>
                <w:b w:val="1"/>
                <w:sz w:val="22"/>
              </w:rPr>
              <w:t>7.</w:t>
            </w:r>
          </w:p>
        </w:tc>
        <w:tc>
          <w:tcPr>
            <w:tcW w:type="dxa" w:w="1648"/>
            <w:tcBorders>
              <w:top w:sz="4" w:val="nil"/>
              <w:left w:sz="4" w:val="nil"/>
              <w:bottom w:color="000000" w:sz="4" w:val="single"/>
              <w:right w:color="000000" w:sz="4" w:val="single"/>
            </w:tcBorders>
            <w:shd w:fill="auto" w:val="clear"/>
            <w:vAlign w:val="center"/>
          </w:tcPr>
          <w:p w14:paraId="F00D0000">
            <w:pPr>
              <w:widowControl w:val="1"/>
              <w:ind/>
              <w:contextualSpacing w:val="1"/>
              <w:rPr>
                <w:b w:val="1"/>
                <w:sz w:val="22"/>
              </w:rPr>
            </w:pPr>
            <w:r>
              <w:rPr>
                <w:b w:val="1"/>
                <w:sz w:val="22"/>
              </w:rPr>
              <w:t>ИТОГО РАСХОДЫ</w:t>
            </w:r>
          </w:p>
        </w:tc>
        <w:tc>
          <w:tcPr>
            <w:tcW w:type="dxa" w:w="1275"/>
            <w:tcBorders>
              <w:top w:sz="4" w:val="nil"/>
              <w:left w:sz="4" w:val="nil"/>
              <w:bottom w:color="000000" w:sz="4" w:val="single"/>
              <w:right w:color="000000" w:sz="4" w:val="single"/>
            </w:tcBorders>
            <w:shd w:fill="auto" w:val="clear"/>
            <w:vAlign w:val="center"/>
          </w:tcPr>
          <w:p w14:paraId="F10D0000">
            <w:pPr>
              <w:widowControl w:val="1"/>
              <w:ind/>
              <w:contextualSpacing w:val="1"/>
              <w:jc w:val="center"/>
              <w:rPr>
                <w:b w:val="1"/>
                <w:color w:val="000000"/>
                <w:sz w:val="22"/>
              </w:rPr>
            </w:pPr>
            <w:r>
              <w:rPr>
                <w:b w:val="1"/>
                <w:color w:val="000000"/>
                <w:sz w:val="22"/>
              </w:rPr>
              <w:t>692 573</w:t>
            </w:r>
          </w:p>
        </w:tc>
        <w:tc>
          <w:tcPr>
            <w:tcW w:type="dxa" w:w="1418"/>
            <w:tcBorders>
              <w:top w:color="000000" w:sz="4" w:val="single"/>
              <w:left w:color="000000" w:sz="4" w:val="single"/>
              <w:bottom w:color="000000" w:sz="4" w:val="single"/>
              <w:right w:color="000000" w:sz="4" w:val="single"/>
            </w:tcBorders>
            <w:vAlign w:val="center"/>
          </w:tcPr>
          <w:p w14:paraId="F20D0000">
            <w:pPr>
              <w:widowControl w:val="1"/>
              <w:ind/>
              <w:contextualSpacing w:val="1"/>
              <w:jc w:val="center"/>
              <w:rPr>
                <w:b w:val="1"/>
                <w:color w:val="000000"/>
                <w:sz w:val="22"/>
              </w:rPr>
            </w:pPr>
            <w:r>
              <w:rPr>
                <w:b w:val="1"/>
                <w:color w:val="000000"/>
                <w:sz w:val="22"/>
              </w:rPr>
              <w:t>707 523</w:t>
            </w:r>
          </w:p>
        </w:tc>
        <w:tc>
          <w:tcPr>
            <w:tcW w:type="dxa" w:w="1417"/>
            <w:tcBorders>
              <w:top w:color="000000" w:sz="4" w:val="single"/>
              <w:left w:color="000000" w:sz="4" w:val="single"/>
              <w:bottom w:color="000000" w:sz="4" w:val="single"/>
              <w:right w:color="000000" w:sz="4" w:val="single"/>
            </w:tcBorders>
            <w:vAlign w:val="center"/>
          </w:tcPr>
          <w:p w14:paraId="F30D0000">
            <w:pPr>
              <w:widowControl w:val="1"/>
              <w:ind/>
              <w:contextualSpacing w:val="1"/>
              <w:jc w:val="center"/>
              <w:rPr>
                <w:b w:val="1"/>
                <w:color w:val="000000"/>
                <w:sz w:val="22"/>
              </w:rPr>
            </w:pPr>
            <w:r>
              <w:rPr>
                <w:b w:val="1"/>
                <w:color w:val="000000"/>
                <w:sz w:val="22"/>
              </w:rPr>
              <w:t>725 951</w:t>
            </w:r>
          </w:p>
        </w:tc>
        <w:tc>
          <w:tcPr>
            <w:tcW w:type="dxa" w:w="1276"/>
            <w:tcBorders>
              <w:top w:color="000000" w:sz="4" w:val="single"/>
              <w:left w:color="000000" w:sz="4" w:val="single"/>
              <w:bottom w:color="000000" w:sz="4" w:val="single"/>
              <w:right w:color="000000" w:sz="4" w:val="single"/>
            </w:tcBorders>
            <w:vAlign w:val="center"/>
          </w:tcPr>
          <w:p w14:paraId="F40D0000">
            <w:pPr>
              <w:widowControl w:val="1"/>
              <w:ind/>
              <w:contextualSpacing w:val="1"/>
              <w:jc w:val="center"/>
              <w:rPr>
                <w:b w:val="1"/>
                <w:color w:val="000000"/>
                <w:sz w:val="22"/>
              </w:rPr>
            </w:pPr>
            <w:r>
              <w:rPr>
                <w:b w:val="1"/>
                <w:color w:val="000000"/>
                <w:sz w:val="22"/>
              </w:rPr>
              <w:t>728 376</w:t>
            </w:r>
          </w:p>
        </w:tc>
        <w:tc>
          <w:tcPr>
            <w:tcW w:type="dxa" w:w="1134"/>
            <w:tcBorders>
              <w:top w:color="000000" w:sz="4" w:val="single"/>
              <w:left w:color="000000" w:sz="4" w:val="single"/>
              <w:bottom w:color="000000" w:sz="4" w:val="single"/>
              <w:right w:color="000000" w:sz="4" w:val="single"/>
            </w:tcBorders>
            <w:shd w:fill="auto" w:val="clear"/>
            <w:vAlign w:val="center"/>
          </w:tcPr>
          <w:p w14:paraId="F50D0000">
            <w:pPr>
              <w:widowControl w:val="1"/>
              <w:ind/>
              <w:contextualSpacing w:val="1"/>
              <w:jc w:val="center"/>
              <w:rPr>
                <w:i w:val="1"/>
                <w:color w:val="000000"/>
                <w:sz w:val="22"/>
              </w:rPr>
            </w:pPr>
            <w:r>
              <w:rPr>
                <w:i w:val="1"/>
                <w:color w:val="000000"/>
                <w:sz w:val="22"/>
              </w:rPr>
              <w:t>103</w:t>
            </w:r>
          </w:p>
        </w:tc>
        <w:tc>
          <w:tcPr>
            <w:tcW w:type="dxa" w:w="992"/>
            <w:tcBorders>
              <w:top w:color="000000" w:sz="4" w:val="single"/>
              <w:left w:color="000000" w:sz="4" w:val="single"/>
              <w:bottom w:color="000000" w:sz="4" w:val="single"/>
              <w:right w:color="000000" w:sz="4" w:val="single"/>
            </w:tcBorders>
            <w:shd w:fill="auto" w:val="clear"/>
            <w:vAlign w:val="center"/>
          </w:tcPr>
          <w:p w14:paraId="F60D0000">
            <w:pPr>
              <w:widowControl w:val="1"/>
              <w:ind/>
              <w:contextualSpacing w:val="1"/>
              <w:jc w:val="center"/>
              <w:rPr>
                <w:i w:val="1"/>
                <w:color w:val="000000"/>
                <w:sz w:val="22"/>
              </w:rPr>
            </w:pPr>
            <w:r>
              <w:rPr>
                <w:i w:val="1"/>
                <w:color w:val="000000"/>
                <w:sz w:val="22"/>
              </w:rPr>
              <w:t>100</w:t>
            </w:r>
          </w:p>
        </w:tc>
      </w:tr>
      <w:tr>
        <w:trPr>
          <w:trHeight w:hRule="atLeast" w:val="446"/>
        </w:trPr>
        <w:tc>
          <w:tcPr>
            <w:tcW w:type="dxa" w:w="714"/>
            <w:tcBorders>
              <w:top w:sz="4" w:val="nil"/>
              <w:left w:color="000000" w:sz="4" w:val="single"/>
              <w:bottom w:color="000000" w:sz="4" w:val="single"/>
              <w:right w:color="000000" w:sz="4" w:val="single"/>
            </w:tcBorders>
            <w:shd w:fill="auto" w:val="clear"/>
            <w:vAlign w:val="center"/>
          </w:tcPr>
          <w:p w14:paraId="F70D0000">
            <w:pPr>
              <w:widowControl w:val="1"/>
              <w:ind w:firstLine="709" w:left="-977" w:right="-196"/>
              <w:contextualSpacing w:val="1"/>
              <w:jc w:val="center"/>
              <w:rPr>
                <w:b w:val="1"/>
                <w:sz w:val="22"/>
              </w:rPr>
            </w:pPr>
            <w:r>
              <w:rPr>
                <w:b w:val="1"/>
                <w:sz w:val="22"/>
              </w:rPr>
              <w:t>8.</w:t>
            </w:r>
          </w:p>
        </w:tc>
        <w:tc>
          <w:tcPr>
            <w:tcW w:type="dxa" w:w="1648"/>
            <w:tcBorders>
              <w:top w:sz="4" w:val="nil"/>
              <w:left w:sz="4" w:val="nil"/>
              <w:bottom w:color="000000" w:sz="4" w:val="single"/>
              <w:right w:color="000000" w:sz="4" w:val="single"/>
            </w:tcBorders>
            <w:shd w:fill="auto" w:val="clear"/>
            <w:vAlign w:val="center"/>
          </w:tcPr>
          <w:p w14:paraId="F80D0000">
            <w:pPr>
              <w:widowControl w:val="1"/>
              <w:ind/>
              <w:contextualSpacing w:val="1"/>
              <w:rPr>
                <w:b w:val="1"/>
                <w:sz w:val="22"/>
              </w:rPr>
            </w:pPr>
            <w:r>
              <w:rPr>
                <w:b w:val="1"/>
                <w:sz w:val="22"/>
              </w:rPr>
              <w:t>Прибыль (убыток) до налогообложения</w:t>
            </w:r>
          </w:p>
        </w:tc>
        <w:tc>
          <w:tcPr>
            <w:tcW w:type="dxa" w:w="1275"/>
            <w:tcBorders>
              <w:top w:sz="4" w:val="nil"/>
              <w:left w:sz="4" w:val="nil"/>
              <w:bottom w:color="000000" w:sz="4" w:val="single"/>
              <w:right w:color="000000" w:sz="4" w:val="single"/>
            </w:tcBorders>
            <w:shd w:fill="auto" w:val="clear"/>
            <w:vAlign w:val="center"/>
          </w:tcPr>
          <w:p w14:paraId="F90D0000">
            <w:pPr>
              <w:widowControl w:val="1"/>
              <w:ind/>
              <w:contextualSpacing w:val="1"/>
              <w:jc w:val="center"/>
              <w:rPr>
                <w:b w:val="1"/>
                <w:color w:val="000000"/>
                <w:sz w:val="22"/>
              </w:rPr>
            </w:pPr>
            <w:r>
              <w:rPr>
                <w:b w:val="1"/>
                <w:color w:val="000000"/>
                <w:sz w:val="22"/>
              </w:rPr>
              <w:t>5 532</w:t>
            </w:r>
          </w:p>
        </w:tc>
        <w:tc>
          <w:tcPr>
            <w:tcW w:type="dxa" w:w="1418"/>
            <w:tcBorders>
              <w:top w:color="000000" w:sz="4" w:val="single"/>
              <w:left w:color="000000" w:sz="4" w:val="single"/>
              <w:bottom w:color="000000" w:sz="4" w:val="single"/>
              <w:right w:color="000000" w:sz="4" w:val="single"/>
            </w:tcBorders>
            <w:vAlign w:val="center"/>
          </w:tcPr>
          <w:p w14:paraId="FA0D0000">
            <w:pPr>
              <w:widowControl w:val="1"/>
              <w:ind/>
              <w:contextualSpacing w:val="1"/>
              <w:jc w:val="center"/>
              <w:rPr>
                <w:b w:val="1"/>
                <w:color w:val="000000"/>
                <w:sz w:val="22"/>
              </w:rPr>
            </w:pPr>
            <w:r>
              <w:rPr>
                <w:b w:val="1"/>
                <w:color w:val="000000"/>
                <w:sz w:val="22"/>
              </w:rPr>
              <w:t>15 421</w:t>
            </w:r>
          </w:p>
        </w:tc>
        <w:tc>
          <w:tcPr>
            <w:tcW w:type="dxa" w:w="1417"/>
            <w:tcBorders>
              <w:top w:color="000000" w:sz="4" w:val="single"/>
              <w:left w:color="000000" w:sz="4" w:val="single"/>
              <w:bottom w:color="000000" w:sz="4" w:val="single"/>
              <w:right w:color="000000" w:sz="4" w:val="single"/>
            </w:tcBorders>
            <w:vAlign w:val="center"/>
          </w:tcPr>
          <w:p w14:paraId="FB0D0000">
            <w:pPr>
              <w:widowControl w:val="1"/>
              <w:ind/>
              <w:contextualSpacing w:val="1"/>
              <w:jc w:val="center"/>
              <w:rPr>
                <w:b w:val="1"/>
                <w:color w:val="000000"/>
                <w:sz w:val="22"/>
              </w:rPr>
            </w:pPr>
            <w:r>
              <w:rPr>
                <w:b w:val="1"/>
                <w:color w:val="000000"/>
                <w:sz w:val="22"/>
              </w:rPr>
              <w:t>711</w:t>
            </w:r>
          </w:p>
        </w:tc>
        <w:tc>
          <w:tcPr>
            <w:tcW w:type="dxa" w:w="1276"/>
            <w:tcBorders>
              <w:top w:color="000000" w:sz="4" w:val="single"/>
              <w:left w:color="000000" w:sz="4" w:val="single"/>
              <w:bottom w:color="000000" w:sz="4" w:val="single"/>
              <w:right w:color="000000" w:sz="4" w:val="single"/>
            </w:tcBorders>
            <w:vAlign w:val="center"/>
          </w:tcPr>
          <w:p w14:paraId="FC0D0000">
            <w:pPr>
              <w:widowControl w:val="1"/>
              <w:ind/>
              <w:contextualSpacing w:val="1"/>
              <w:jc w:val="center"/>
              <w:rPr>
                <w:b w:val="1"/>
                <w:color w:val="000000"/>
                <w:sz w:val="22"/>
              </w:rPr>
            </w:pPr>
            <w:r>
              <w:rPr>
                <w:b w:val="1"/>
                <w:color w:val="000000"/>
                <w:sz w:val="22"/>
              </w:rPr>
              <w:t>1 129</w:t>
            </w:r>
          </w:p>
        </w:tc>
        <w:tc>
          <w:tcPr>
            <w:tcW w:type="dxa" w:w="1134"/>
            <w:tcBorders>
              <w:top w:color="000000" w:sz="4" w:val="single"/>
              <w:left w:color="000000" w:sz="4" w:val="single"/>
              <w:bottom w:color="000000" w:sz="4" w:val="single"/>
              <w:right w:color="000000" w:sz="4" w:val="single"/>
            </w:tcBorders>
            <w:shd w:fill="auto" w:val="clear"/>
            <w:vAlign w:val="center"/>
          </w:tcPr>
          <w:p w14:paraId="FD0D0000">
            <w:pPr>
              <w:widowControl w:val="1"/>
              <w:ind/>
              <w:contextualSpacing w:val="1"/>
              <w:jc w:val="center"/>
              <w:rPr>
                <w:i w:val="1"/>
                <w:color w:val="000000"/>
                <w:sz w:val="22"/>
              </w:rPr>
            </w:pPr>
            <w:r>
              <w:rPr>
                <w:i w:val="1"/>
                <w:color w:val="000000"/>
                <w:sz w:val="22"/>
              </w:rPr>
              <w:t>7</w:t>
            </w:r>
          </w:p>
        </w:tc>
        <w:tc>
          <w:tcPr>
            <w:tcW w:type="dxa" w:w="992"/>
            <w:tcBorders>
              <w:top w:color="000000" w:sz="4" w:val="single"/>
              <w:left w:color="000000" w:sz="4" w:val="single"/>
              <w:bottom w:color="000000" w:sz="4" w:val="single"/>
              <w:right w:color="000000" w:sz="4" w:val="single"/>
            </w:tcBorders>
            <w:shd w:fill="auto" w:val="clear"/>
            <w:vAlign w:val="center"/>
          </w:tcPr>
          <w:p w14:paraId="FE0D0000">
            <w:pPr>
              <w:widowControl w:val="1"/>
              <w:ind/>
              <w:contextualSpacing w:val="1"/>
              <w:jc w:val="center"/>
              <w:rPr>
                <w:i w:val="1"/>
                <w:color w:val="000000"/>
                <w:sz w:val="22"/>
              </w:rPr>
            </w:pPr>
            <w:r>
              <w:rPr>
                <w:i w:val="1"/>
                <w:color w:val="000000"/>
                <w:sz w:val="22"/>
              </w:rPr>
              <w:t>159</w:t>
            </w:r>
          </w:p>
        </w:tc>
      </w:tr>
      <w:tr>
        <w:trPr>
          <w:trHeight w:hRule="atLeast" w:val="1114"/>
        </w:trPr>
        <w:tc>
          <w:tcPr>
            <w:tcW w:type="dxa" w:w="714"/>
            <w:tcBorders>
              <w:top w:sz="4" w:val="nil"/>
              <w:left w:color="000000" w:sz="4" w:val="single"/>
              <w:bottom w:color="000000" w:sz="4" w:val="single"/>
              <w:right w:color="000000" w:sz="4" w:val="single"/>
            </w:tcBorders>
            <w:shd w:fill="auto" w:val="clear"/>
            <w:vAlign w:val="center"/>
          </w:tcPr>
          <w:p w14:paraId="FF0D0000">
            <w:pPr>
              <w:widowControl w:val="1"/>
              <w:ind w:firstLine="709" w:left="-977" w:right="-196"/>
              <w:contextualSpacing w:val="1"/>
              <w:jc w:val="center"/>
              <w:rPr>
                <w:sz w:val="22"/>
              </w:rPr>
            </w:pPr>
            <w:r>
              <w:rPr>
                <w:sz w:val="22"/>
              </w:rPr>
              <w:t>9.</w:t>
            </w:r>
          </w:p>
        </w:tc>
        <w:tc>
          <w:tcPr>
            <w:tcW w:type="dxa" w:w="1648"/>
            <w:tcBorders>
              <w:top w:sz="4" w:val="nil"/>
              <w:left w:sz="4" w:val="nil"/>
              <w:bottom w:color="000000" w:sz="4" w:val="single"/>
              <w:right w:color="000000" w:sz="4" w:val="single"/>
            </w:tcBorders>
            <w:shd w:fill="auto" w:val="clear"/>
            <w:vAlign w:val="center"/>
          </w:tcPr>
          <w:p w14:paraId="000E0000">
            <w:pPr>
              <w:widowControl w:val="1"/>
              <w:ind/>
              <w:contextualSpacing w:val="1"/>
              <w:rPr>
                <w:sz w:val="22"/>
              </w:rPr>
            </w:pPr>
            <w:r>
              <w:rPr>
                <w:sz w:val="22"/>
              </w:rPr>
              <w:t>Финансовый результат по основной деятельности (без учета прочих дох. и расходов)</w:t>
            </w:r>
          </w:p>
        </w:tc>
        <w:tc>
          <w:tcPr>
            <w:tcW w:type="dxa" w:w="1275"/>
            <w:tcBorders>
              <w:top w:sz="4" w:val="nil"/>
              <w:left w:sz="4" w:val="nil"/>
              <w:bottom w:color="000000" w:sz="4" w:val="single"/>
              <w:right w:color="000000" w:sz="4" w:val="single"/>
            </w:tcBorders>
            <w:shd w:fill="auto" w:val="clear"/>
            <w:vAlign w:val="center"/>
          </w:tcPr>
          <w:p w14:paraId="010E0000">
            <w:pPr>
              <w:widowControl w:val="1"/>
              <w:ind/>
              <w:contextualSpacing w:val="1"/>
              <w:jc w:val="center"/>
              <w:rPr>
                <w:color w:val="000000"/>
                <w:sz w:val="22"/>
              </w:rPr>
            </w:pPr>
            <w:r>
              <w:rPr>
                <w:color w:val="000000"/>
                <w:sz w:val="22"/>
              </w:rPr>
              <w:t>-355 489</w:t>
            </w:r>
          </w:p>
        </w:tc>
        <w:tc>
          <w:tcPr>
            <w:tcW w:type="dxa" w:w="1418"/>
            <w:tcBorders>
              <w:top w:color="000000" w:sz="4" w:val="single"/>
              <w:left w:color="000000" w:sz="4" w:val="single"/>
              <w:bottom w:color="000000" w:sz="4" w:val="single"/>
              <w:right w:color="000000" w:sz="4" w:val="single"/>
            </w:tcBorders>
            <w:vAlign w:val="center"/>
          </w:tcPr>
          <w:p w14:paraId="020E0000">
            <w:pPr>
              <w:widowControl w:val="1"/>
              <w:ind/>
              <w:contextualSpacing w:val="1"/>
              <w:jc w:val="center"/>
              <w:rPr>
                <w:color w:val="000000"/>
                <w:sz w:val="22"/>
              </w:rPr>
            </w:pPr>
            <w:r>
              <w:rPr>
                <w:color w:val="000000"/>
                <w:sz w:val="22"/>
              </w:rPr>
              <w:t>-369 677</w:t>
            </w:r>
          </w:p>
        </w:tc>
        <w:tc>
          <w:tcPr>
            <w:tcW w:type="dxa" w:w="1417"/>
            <w:tcBorders>
              <w:top w:color="000000" w:sz="4" w:val="single"/>
              <w:left w:color="000000" w:sz="4" w:val="single"/>
              <w:bottom w:color="000000" w:sz="4" w:val="single"/>
              <w:right w:color="000000" w:sz="4" w:val="single"/>
            </w:tcBorders>
            <w:vAlign w:val="center"/>
          </w:tcPr>
          <w:p w14:paraId="030E0000">
            <w:pPr>
              <w:widowControl w:val="1"/>
              <w:ind/>
              <w:contextualSpacing w:val="1"/>
              <w:jc w:val="center"/>
              <w:rPr>
                <w:color w:val="000000"/>
                <w:sz w:val="22"/>
              </w:rPr>
            </w:pPr>
            <w:r>
              <w:rPr>
                <w:color w:val="000000"/>
                <w:sz w:val="22"/>
              </w:rPr>
              <w:t>-379 082</w:t>
            </w:r>
          </w:p>
        </w:tc>
        <w:tc>
          <w:tcPr>
            <w:tcW w:type="dxa" w:w="1276"/>
            <w:tcBorders>
              <w:top w:color="000000" w:sz="4" w:val="single"/>
              <w:left w:color="000000" w:sz="4" w:val="single"/>
              <w:bottom w:color="000000" w:sz="4" w:val="single"/>
              <w:right w:color="000000" w:sz="4" w:val="single"/>
            </w:tcBorders>
            <w:vAlign w:val="center"/>
          </w:tcPr>
          <w:p w14:paraId="040E0000">
            <w:pPr>
              <w:widowControl w:val="1"/>
              <w:ind/>
              <w:contextualSpacing w:val="1"/>
              <w:jc w:val="center"/>
              <w:rPr>
                <w:color w:val="000000"/>
                <w:sz w:val="22"/>
              </w:rPr>
            </w:pPr>
            <w:r>
              <w:rPr>
                <w:color w:val="000000"/>
                <w:sz w:val="22"/>
              </w:rPr>
              <w:t>-386 832</w:t>
            </w:r>
          </w:p>
        </w:tc>
        <w:tc>
          <w:tcPr>
            <w:tcW w:type="dxa" w:w="1134"/>
            <w:tcBorders>
              <w:top w:color="000000" w:sz="4" w:val="single"/>
              <w:left w:color="000000" w:sz="4" w:val="single"/>
              <w:bottom w:color="000000" w:sz="4" w:val="single"/>
              <w:right w:color="000000" w:sz="4" w:val="single"/>
            </w:tcBorders>
            <w:shd w:fill="auto" w:val="clear"/>
            <w:vAlign w:val="center"/>
          </w:tcPr>
          <w:p w14:paraId="050E0000">
            <w:pPr>
              <w:widowControl w:val="1"/>
              <w:ind/>
              <w:contextualSpacing w:val="1"/>
              <w:jc w:val="center"/>
              <w:rPr>
                <w:i w:val="1"/>
                <w:color w:val="000000"/>
                <w:sz w:val="22"/>
              </w:rPr>
            </w:pPr>
            <w:r>
              <w:rPr>
                <w:i w:val="1"/>
                <w:color w:val="000000"/>
                <w:sz w:val="22"/>
              </w:rPr>
              <w:t>105</w:t>
            </w:r>
          </w:p>
        </w:tc>
        <w:tc>
          <w:tcPr>
            <w:tcW w:type="dxa" w:w="992"/>
            <w:tcBorders>
              <w:top w:color="000000" w:sz="4" w:val="single"/>
              <w:left w:color="000000" w:sz="4" w:val="single"/>
              <w:bottom w:color="000000" w:sz="4" w:val="single"/>
              <w:right w:color="000000" w:sz="4" w:val="single"/>
            </w:tcBorders>
            <w:shd w:fill="auto" w:val="clear"/>
            <w:vAlign w:val="center"/>
          </w:tcPr>
          <w:p w14:paraId="060E0000">
            <w:pPr>
              <w:widowControl w:val="1"/>
              <w:ind/>
              <w:contextualSpacing w:val="1"/>
              <w:jc w:val="center"/>
              <w:rPr>
                <w:i w:val="1"/>
                <w:color w:val="000000"/>
                <w:sz w:val="22"/>
              </w:rPr>
            </w:pPr>
            <w:r>
              <w:rPr>
                <w:i w:val="1"/>
                <w:color w:val="000000"/>
                <w:sz w:val="22"/>
              </w:rPr>
              <w:t>102</w:t>
            </w:r>
          </w:p>
        </w:tc>
      </w:tr>
      <w:tr>
        <w:trPr>
          <w:trHeight w:hRule="atLeast" w:val="329"/>
        </w:trPr>
        <w:tc>
          <w:tcPr>
            <w:tcW w:type="dxa" w:w="714"/>
            <w:tcBorders>
              <w:top w:sz="4" w:val="nil"/>
              <w:left w:color="000000" w:sz="4" w:val="single"/>
              <w:bottom w:color="000000" w:sz="4" w:val="single"/>
              <w:right w:color="000000" w:sz="4" w:val="single"/>
            </w:tcBorders>
            <w:shd w:fill="auto" w:val="clear"/>
            <w:vAlign w:val="center"/>
          </w:tcPr>
          <w:p w14:paraId="070E0000">
            <w:pPr>
              <w:widowControl w:val="1"/>
              <w:ind w:firstLine="709" w:left="-977" w:right="-196"/>
              <w:contextualSpacing w:val="1"/>
              <w:jc w:val="center"/>
              <w:rPr>
                <w:sz w:val="22"/>
              </w:rPr>
            </w:pPr>
            <w:r>
              <w:rPr>
                <w:sz w:val="22"/>
              </w:rPr>
              <w:t>10.</w:t>
            </w:r>
          </w:p>
        </w:tc>
        <w:tc>
          <w:tcPr>
            <w:tcW w:type="dxa" w:w="1648"/>
            <w:tcBorders>
              <w:top w:sz="4" w:val="nil"/>
              <w:left w:sz="4" w:val="nil"/>
              <w:bottom w:color="000000" w:sz="4" w:val="single"/>
              <w:right w:color="000000" w:sz="4" w:val="single"/>
            </w:tcBorders>
            <w:shd w:fill="auto" w:val="clear"/>
            <w:vAlign w:val="center"/>
          </w:tcPr>
          <w:p w14:paraId="080E0000">
            <w:pPr>
              <w:widowControl w:val="1"/>
              <w:ind/>
              <w:contextualSpacing w:val="1"/>
              <w:rPr>
                <w:sz w:val="22"/>
              </w:rPr>
            </w:pPr>
            <w:r>
              <w:rPr>
                <w:sz w:val="22"/>
              </w:rPr>
              <w:t>Финансовый результат по основной деятельности (с учетом прочих дох. и расходов)</w:t>
            </w:r>
          </w:p>
        </w:tc>
        <w:tc>
          <w:tcPr>
            <w:tcW w:type="dxa" w:w="1275"/>
            <w:tcBorders>
              <w:top w:sz="4" w:val="nil"/>
              <w:left w:sz="4" w:val="nil"/>
              <w:bottom w:color="000000" w:sz="4" w:val="single"/>
              <w:right w:color="000000" w:sz="4" w:val="single"/>
            </w:tcBorders>
            <w:shd w:fill="auto" w:val="clear"/>
            <w:vAlign w:val="center"/>
          </w:tcPr>
          <w:p w14:paraId="090E0000">
            <w:pPr>
              <w:widowControl w:val="1"/>
              <w:ind/>
              <w:contextualSpacing w:val="1"/>
              <w:jc w:val="center"/>
              <w:rPr>
                <w:color w:val="000000"/>
                <w:sz w:val="22"/>
              </w:rPr>
            </w:pPr>
            <w:r>
              <w:rPr>
                <w:color w:val="000000"/>
                <w:sz w:val="22"/>
              </w:rPr>
              <w:t>4 291</w:t>
            </w:r>
          </w:p>
        </w:tc>
        <w:tc>
          <w:tcPr>
            <w:tcW w:type="dxa" w:w="1418"/>
            <w:tcBorders>
              <w:top w:color="000000" w:sz="4" w:val="single"/>
              <w:left w:color="000000" w:sz="4" w:val="single"/>
              <w:bottom w:color="000000" w:sz="4" w:val="single"/>
              <w:right w:color="000000" w:sz="4" w:val="single"/>
            </w:tcBorders>
            <w:vAlign w:val="center"/>
          </w:tcPr>
          <w:p w14:paraId="0A0E0000">
            <w:pPr>
              <w:widowControl w:val="1"/>
              <w:ind/>
              <w:contextualSpacing w:val="1"/>
              <w:jc w:val="center"/>
              <w:rPr>
                <w:color w:val="000000"/>
                <w:sz w:val="22"/>
              </w:rPr>
            </w:pPr>
            <w:r>
              <w:rPr>
                <w:color w:val="000000"/>
                <w:sz w:val="22"/>
              </w:rPr>
              <w:t>13 545</w:t>
            </w:r>
          </w:p>
        </w:tc>
        <w:tc>
          <w:tcPr>
            <w:tcW w:type="dxa" w:w="1417"/>
            <w:tcBorders>
              <w:top w:color="000000" w:sz="4" w:val="single"/>
              <w:left w:color="000000" w:sz="4" w:val="single"/>
              <w:bottom w:color="000000" w:sz="4" w:val="single"/>
              <w:right w:color="000000" w:sz="4" w:val="single"/>
            </w:tcBorders>
            <w:vAlign w:val="center"/>
          </w:tcPr>
          <w:p w14:paraId="0B0E0000">
            <w:pPr>
              <w:widowControl w:val="1"/>
              <w:ind/>
              <w:contextualSpacing w:val="1"/>
              <w:jc w:val="center"/>
              <w:rPr>
                <w:color w:val="000000"/>
                <w:sz w:val="22"/>
              </w:rPr>
            </w:pPr>
            <w:r>
              <w:rPr>
                <w:color w:val="000000"/>
                <w:sz w:val="22"/>
              </w:rPr>
              <w:t>0</w:t>
            </w:r>
          </w:p>
        </w:tc>
        <w:tc>
          <w:tcPr>
            <w:tcW w:type="dxa" w:w="1276"/>
            <w:tcBorders>
              <w:top w:color="000000" w:sz="4" w:val="single"/>
              <w:left w:color="000000" w:sz="4" w:val="single"/>
              <w:bottom w:color="000000" w:sz="4" w:val="single"/>
              <w:right w:color="000000" w:sz="4" w:val="single"/>
            </w:tcBorders>
            <w:vAlign w:val="center"/>
          </w:tcPr>
          <w:p w14:paraId="0C0E0000">
            <w:pPr>
              <w:widowControl w:val="1"/>
              <w:ind/>
              <w:contextualSpacing w:val="1"/>
              <w:jc w:val="center"/>
              <w:rPr>
                <w:color w:val="000000"/>
                <w:sz w:val="22"/>
              </w:rPr>
            </w:pPr>
            <w:r>
              <w:rPr>
                <w:color w:val="000000"/>
                <w:sz w:val="22"/>
              </w:rPr>
              <w:t>0</w:t>
            </w:r>
          </w:p>
        </w:tc>
        <w:tc>
          <w:tcPr>
            <w:tcW w:type="dxa" w:w="1134"/>
            <w:tcBorders>
              <w:top w:color="000000" w:sz="4" w:val="single"/>
              <w:left w:color="000000" w:sz="4" w:val="single"/>
              <w:bottom w:color="000000" w:sz="4" w:val="single"/>
              <w:right w:color="000000" w:sz="4" w:val="single"/>
            </w:tcBorders>
            <w:shd w:fill="auto" w:val="clear"/>
            <w:vAlign w:val="center"/>
          </w:tcPr>
          <w:p w14:paraId="0D0E0000">
            <w:pPr>
              <w:widowControl w:val="1"/>
              <w:ind/>
              <w:contextualSpacing w:val="1"/>
              <w:jc w:val="center"/>
              <w:rPr>
                <w:i w:val="1"/>
                <w:color w:val="000000"/>
                <w:sz w:val="22"/>
              </w:rPr>
            </w:pPr>
            <w:r>
              <w:rPr>
                <w:i w:val="1"/>
                <w:color w:val="000000"/>
                <w:sz w:val="22"/>
              </w:rPr>
              <w:t>0</w:t>
            </w:r>
          </w:p>
        </w:tc>
        <w:tc>
          <w:tcPr>
            <w:tcW w:type="dxa" w:w="992"/>
            <w:tcBorders>
              <w:top w:color="000000" w:sz="4" w:val="single"/>
              <w:left w:color="000000" w:sz="4" w:val="single"/>
              <w:bottom w:color="000000" w:sz="4" w:val="single"/>
              <w:right w:color="000000" w:sz="4" w:val="single"/>
            </w:tcBorders>
            <w:shd w:fill="auto" w:val="clear"/>
            <w:vAlign w:val="center"/>
          </w:tcPr>
          <w:p w14:paraId="0E0E0000">
            <w:pPr>
              <w:widowControl w:val="1"/>
              <w:ind/>
              <w:contextualSpacing w:val="1"/>
              <w:jc w:val="center"/>
              <w:rPr>
                <w:i w:val="1"/>
                <w:color w:val="000000"/>
                <w:sz w:val="22"/>
              </w:rPr>
            </w:pPr>
          </w:p>
        </w:tc>
      </w:tr>
      <w:tr>
        <w:trPr>
          <w:trHeight w:hRule="atLeast" w:val="1114"/>
        </w:trPr>
        <w:tc>
          <w:tcPr>
            <w:tcW w:type="dxa" w:w="714"/>
            <w:tcBorders>
              <w:top w:sz="4" w:val="nil"/>
              <w:left w:color="000000" w:sz="4" w:val="single"/>
              <w:bottom w:color="000000" w:sz="4" w:val="single"/>
              <w:right w:color="000000" w:sz="4" w:val="single"/>
            </w:tcBorders>
            <w:shd w:fill="auto" w:val="clear"/>
            <w:vAlign w:val="center"/>
          </w:tcPr>
          <w:p w14:paraId="0F0E0000">
            <w:pPr>
              <w:widowControl w:val="1"/>
              <w:ind w:firstLine="709" w:left="-977" w:right="-196"/>
              <w:contextualSpacing w:val="1"/>
              <w:jc w:val="center"/>
              <w:rPr>
                <w:sz w:val="22"/>
              </w:rPr>
            </w:pPr>
            <w:r>
              <w:rPr>
                <w:sz w:val="22"/>
              </w:rPr>
              <w:t>11.</w:t>
            </w:r>
          </w:p>
        </w:tc>
        <w:tc>
          <w:tcPr>
            <w:tcW w:type="dxa" w:w="1648"/>
            <w:tcBorders>
              <w:top w:sz="4" w:val="nil"/>
              <w:left w:sz="4" w:val="nil"/>
              <w:bottom w:color="000000" w:sz="4" w:val="single"/>
              <w:right w:color="000000" w:sz="4" w:val="single"/>
            </w:tcBorders>
            <w:shd w:fill="auto" w:val="clear"/>
            <w:vAlign w:val="center"/>
          </w:tcPr>
          <w:p w14:paraId="100E0000">
            <w:pPr>
              <w:widowControl w:val="1"/>
              <w:ind/>
              <w:contextualSpacing w:val="1"/>
              <w:rPr>
                <w:sz w:val="22"/>
              </w:rPr>
            </w:pPr>
            <w:r>
              <w:rPr>
                <w:sz w:val="22"/>
              </w:rPr>
              <w:t>Финансовый результат по прочим видам деятельности (без учета прочих дох. и расходов)</w:t>
            </w:r>
          </w:p>
        </w:tc>
        <w:tc>
          <w:tcPr>
            <w:tcW w:type="dxa" w:w="1275"/>
            <w:tcBorders>
              <w:top w:sz="4" w:val="nil"/>
              <w:left w:sz="4" w:val="nil"/>
              <w:bottom w:color="000000" w:sz="4" w:val="single"/>
              <w:right w:color="000000" w:sz="4" w:val="single"/>
            </w:tcBorders>
            <w:shd w:fill="auto" w:val="clear"/>
            <w:vAlign w:val="center"/>
          </w:tcPr>
          <w:p w14:paraId="110E0000">
            <w:pPr>
              <w:widowControl w:val="1"/>
              <w:ind/>
              <w:contextualSpacing w:val="1"/>
              <w:jc w:val="center"/>
              <w:rPr>
                <w:color w:val="000000"/>
                <w:sz w:val="22"/>
              </w:rPr>
            </w:pPr>
            <w:r>
              <w:rPr>
                <w:color w:val="000000"/>
                <w:sz w:val="22"/>
              </w:rPr>
              <w:t>1 295</w:t>
            </w:r>
          </w:p>
        </w:tc>
        <w:tc>
          <w:tcPr>
            <w:tcW w:type="dxa" w:w="1418"/>
            <w:tcBorders>
              <w:top w:color="000000" w:sz="4" w:val="single"/>
              <w:left w:color="000000" w:sz="4" w:val="single"/>
              <w:bottom w:color="000000" w:sz="4" w:val="single"/>
              <w:right w:color="000000" w:sz="4" w:val="single"/>
            </w:tcBorders>
            <w:vAlign w:val="center"/>
          </w:tcPr>
          <w:p w14:paraId="120E0000">
            <w:pPr>
              <w:widowControl w:val="1"/>
              <w:ind/>
              <w:contextualSpacing w:val="1"/>
              <w:jc w:val="center"/>
              <w:rPr>
                <w:color w:val="000000"/>
                <w:sz w:val="22"/>
              </w:rPr>
            </w:pPr>
            <w:r>
              <w:rPr>
                <w:color w:val="000000"/>
                <w:sz w:val="22"/>
              </w:rPr>
              <w:t>746</w:t>
            </w:r>
          </w:p>
        </w:tc>
        <w:tc>
          <w:tcPr>
            <w:tcW w:type="dxa" w:w="1417"/>
            <w:tcBorders>
              <w:top w:color="000000" w:sz="4" w:val="single"/>
              <w:left w:color="000000" w:sz="4" w:val="single"/>
              <w:bottom w:color="000000" w:sz="4" w:val="single"/>
              <w:right w:color="000000" w:sz="4" w:val="single"/>
            </w:tcBorders>
            <w:vAlign w:val="center"/>
          </w:tcPr>
          <w:p w14:paraId="130E0000">
            <w:pPr>
              <w:widowControl w:val="1"/>
              <w:ind/>
              <w:contextualSpacing w:val="1"/>
              <w:jc w:val="center"/>
              <w:rPr>
                <w:color w:val="000000"/>
                <w:sz w:val="22"/>
              </w:rPr>
            </w:pPr>
            <w:r>
              <w:rPr>
                <w:color w:val="000000"/>
                <w:sz w:val="22"/>
              </w:rPr>
              <w:t>440</w:t>
            </w:r>
          </w:p>
        </w:tc>
        <w:tc>
          <w:tcPr>
            <w:tcW w:type="dxa" w:w="1276"/>
            <w:tcBorders>
              <w:top w:color="000000" w:sz="4" w:val="single"/>
              <w:left w:color="000000" w:sz="4" w:val="single"/>
              <w:bottom w:color="000000" w:sz="4" w:val="single"/>
              <w:right w:color="000000" w:sz="4" w:val="single"/>
            </w:tcBorders>
            <w:vAlign w:val="center"/>
          </w:tcPr>
          <w:p w14:paraId="140E0000">
            <w:pPr>
              <w:widowControl w:val="1"/>
              <w:ind/>
              <w:contextualSpacing w:val="1"/>
              <w:jc w:val="center"/>
              <w:rPr>
                <w:color w:val="000000"/>
                <w:sz w:val="22"/>
              </w:rPr>
            </w:pPr>
            <w:r>
              <w:rPr>
                <w:color w:val="000000"/>
                <w:sz w:val="22"/>
              </w:rPr>
              <w:t>355</w:t>
            </w:r>
          </w:p>
        </w:tc>
        <w:tc>
          <w:tcPr>
            <w:tcW w:type="dxa" w:w="1134"/>
            <w:tcBorders>
              <w:top w:color="000000" w:sz="4" w:val="single"/>
              <w:left w:color="000000" w:sz="4" w:val="single"/>
              <w:bottom w:color="000000" w:sz="4" w:val="single"/>
              <w:right w:color="000000" w:sz="4" w:val="single"/>
            </w:tcBorders>
            <w:shd w:fill="auto" w:val="clear"/>
            <w:vAlign w:val="center"/>
          </w:tcPr>
          <w:p w14:paraId="150E0000">
            <w:pPr>
              <w:widowControl w:val="1"/>
              <w:ind/>
              <w:contextualSpacing w:val="1"/>
              <w:jc w:val="center"/>
              <w:rPr>
                <w:i w:val="1"/>
                <w:color w:val="000000"/>
                <w:sz w:val="22"/>
              </w:rPr>
            </w:pPr>
            <w:r>
              <w:rPr>
                <w:i w:val="1"/>
                <w:color w:val="000000"/>
                <w:sz w:val="22"/>
              </w:rPr>
              <w:t>48</w:t>
            </w:r>
          </w:p>
        </w:tc>
        <w:tc>
          <w:tcPr>
            <w:tcW w:type="dxa" w:w="992"/>
            <w:tcBorders>
              <w:top w:color="000000" w:sz="4" w:val="single"/>
              <w:left w:color="000000" w:sz="4" w:val="single"/>
              <w:bottom w:color="000000" w:sz="4" w:val="single"/>
              <w:right w:color="000000" w:sz="4" w:val="single"/>
            </w:tcBorders>
            <w:shd w:fill="auto" w:val="clear"/>
            <w:vAlign w:val="center"/>
          </w:tcPr>
          <w:p w14:paraId="160E0000">
            <w:pPr>
              <w:widowControl w:val="1"/>
              <w:ind/>
              <w:contextualSpacing w:val="1"/>
              <w:jc w:val="center"/>
              <w:rPr>
                <w:i w:val="1"/>
                <w:color w:val="000000"/>
                <w:sz w:val="22"/>
              </w:rPr>
            </w:pPr>
            <w:r>
              <w:rPr>
                <w:i w:val="1"/>
                <w:color w:val="000000"/>
                <w:sz w:val="22"/>
              </w:rPr>
              <w:t>81</w:t>
            </w:r>
          </w:p>
        </w:tc>
      </w:tr>
      <w:tr>
        <w:trPr>
          <w:trHeight w:hRule="atLeast" w:val="1114"/>
        </w:trPr>
        <w:tc>
          <w:tcPr>
            <w:tcW w:type="dxa" w:w="714"/>
            <w:tcBorders>
              <w:top w:sz="4" w:val="nil"/>
              <w:left w:color="000000" w:sz="4" w:val="single"/>
              <w:bottom w:color="000000" w:sz="4" w:val="single"/>
              <w:right w:color="000000" w:sz="4" w:val="single"/>
            </w:tcBorders>
            <w:shd w:fill="auto" w:val="clear"/>
            <w:vAlign w:val="center"/>
          </w:tcPr>
          <w:p w14:paraId="170E0000">
            <w:pPr>
              <w:widowControl w:val="1"/>
              <w:ind w:firstLine="709" w:left="-977" w:right="-196"/>
              <w:contextualSpacing w:val="1"/>
              <w:jc w:val="center"/>
              <w:rPr>
                <w:sz w:val="22"/>
              </w:rPr>
            </w:pPr>
            <w:r>
              <w:rPr>
                <w:sz w:val="22"/>
              </w:rPr>
              <w:t>12.</w:t>
            </w:r>
          </w:p>
        </w:tc>
        <w:tc>
          <w:tcPr>
            <w:tcW w:type="dxa" w:w="1648"/>
            <w:tcBorders>
              <w:top w:sz="4" w:val="nil"/>
              <w:left w:sz="4" w:val="nil"/>
              <w:bottom w:color="000000" w:sz="4" w:val="single"/>
              <w:right w:color="000000" w:sz="4" w:val="single"/>
            </w:tcBorders>
            <w:shd w:fill="auto" w:val="clear"/>
            <w:vAlign w:val="center"/>
          </w:tcPr>
          <w:p w14:paraId="180E0000">
            <w:pPr>
              <w:widowControl w:val="1"/>
              <w:ind/>
              <w:contextualSpacing w:val="1"/>
              <w:rPr>
                <w:sz w:val="22"/>
              </w:rPr>
            </w:pPr>
            <w:r>
              <w:rPr>
                <w:sz w:val="22"/>
              </w:rPr>
              <w:t>Финансовый результат по прочим видам деятельности (с учетом прочих дох.  и расходов)</w:t>
            </w:r>
          </w:p>
        </w:tc>
        <w:tc>
          <w:tcPr>
            <w:tcW w:type="dxa" w:w="1275"/>
            <w:tcBorders>
              <w:top w:sz="4" w:val="nil"/>
              <w:left w:sz="4" w:val="nil"/>
              <w:bottom w:color="000000" w:sz="4" w:val="single"/>
              <w:right w:color="000000" w:sz="4" w:val="single"/>
            </w:tcBorders>
            <w:shd w:fill="auto" w:val="clear"/>
            <w:vAlign w:val="center"/>
          </w:tcPr>
          <w:p w14:paraId="190E0000">
            <w:pPr>
              <w:widowControl w:val="1"/>
              <w:ind/>
              <w:contextualSpacing w:val="1"/>
              <w:jc w:val="center"/>
              <w:rPr>
                <w:color w:val="000000"/>
                <w:sz w:val="22"/>
              </w:rPr>
            </w:pPr>
            <w:r>
              <w:rPr>
                <w:color w:val="000000"/>
                <w:sz w:val="22"/>
              </w:rPr>
              <w:t>1 241</w:t>
            </w:r>
          </w:p>
        </w:tc>
        <w:tc>
          <w:tcPr>
            <w:tcW w:type="dxa" w:w="1418"/>
            <w:tcBorders>
              <w:top w:color="000000" w:sz="4" w:val="single"/>
              <w:left w:color="000000" w:sz="4" w:val="single"/>
              <w:bottom w:color="000000" w:sz="4" w:val="single"/>
              <w:right w:color="000000" w:sz="4" w:val="single"/>
            </w:tcBorders>
            <w:vAlign w:val="center"/>
          </w:tcPr>
          <w:p w14:paraId="1A0E0000">
            <w:pPr>
              <w:widowControl w:val="1"/>
              <w:ind/>
              <w:contextualSpacing w:val="1"/>
              <w:jc w:val="center"/>
              <w:rPr>
                <w:color w:val="000000"/>
                <w:sz w:val="22"/>
              </w:rPr>
            </w:pPr>
            <w:r>
              <w:rPr>
                <w:color w:val="000000"/>
                <w:sz w:val="22"/>
              </w:rPr>
              <w:t>1 876</w:t>
            </w:r>
          </w:p>
        </w:tc>
        <w:tc>
          <w:tcPr>
            <w:tcW w:type="dxa" w:w="1417"/>
            <w:tcBorders>
              <w:top w:color="000000" w:sz="4" w:val="single"/>
              <w:left w:color="000000" w:sz="4" w:val="single"/>
              <w:bottom w:color="000000" w:sz="4" w:val="single"/>
              <w:right w:color="000000" w:sz="4" w:val="single"/>
            </w:tcBorders>
            <w:vAlign w:val="center"/>
          </w:tcPr>
          <w:p w14:paraId="1B0E0000">
            <w:pPr>
              <w:widowControl w:val="1"/>
              <w:ind/>
              <w:contextualSpacing w:val="1"/>
              <w:jc w:val="center"/>
              <w:rPr>
                <w:color w:val="000000"/>
                <w:sz w:val="22"/>
              </w:rPr>
            </w:pPr>
            <w:r>
              <w:rPr>
                <w:color w:val="000000"/>
                <w:sz w:val="22"/>
              </w:rPr>
              <w:t>711</w:t>
            </w:r>
          </w:p>
        </w:tc>
        <w:tc>
          <w:tcPr>
            <w:tcW w:type="dxa" w:w="1276"/>
            <w:tcBorders>
              <w:top w:color="000000" w:sz="4" w:val="single"/>
              <w:left w:color="000000" w:sz="4" w:val="single"/>
              <w:bottom w:color="000000" w:sz="4" w:val="single"/>
              <w:right w:color="000000" w:sz="4" w:val="single"/>
            </w:tcBorders>
            <w:vAlign w:val="center"/>
          </w:tcPr>
          <w:p w14:paraId="1C0E0000">
            <w:pPr>
              <w:widowControl w:val="1"/>
              <w:ind/>
              <w:contextualSpacing w:val="1"/>
              <w:jc w:val="center"/>
              <w:rPr>
                <w:color w:val="000000"/>
                <w:sz w:val="22"/>
              </w:rPr>
            </w:pPr>
            <w:r>
              <w:rPr>
                <w:color w:val="000000"/>
                <w:sz w:val="22"/>
              </w:rPr>
              <w:t>1 129</w:t>
            </w:r>
          </w:p>
        </w:tc>
        <w:tc>
          <w:tcPr>
            <w:tcW w:type="dxa" w:w="1134"/>
            <w:tcBorders>
              <w:top w:color="000000" w:sz="4" w:val="single"/>
              <w:left w:color="000000" w:sz="4" w:val="single"/>
              <w:bottom w:color="000000" w:sz="4" w:val="single"/>
              <w:right w:color="000000" w:sz="4" w:val="single"/>
            </w:tcBorders>
            <w:shd w:fill="auto" w:val="clear"/>
            <w:vAlign w:val="center"/>
          </w:tcPr>
          <w:p w14:paraId="1D0E0000">
            <w:pPr>
              <w:widowControl w:val="1"/>
              <w:ind/>
              <w:contextualSpacing w:val="1"/>
              <w:jc w:val="center"/>
              <w:rPr>
                <w:i w:val="1"/>
                <w:color w:val="000000"/>
                <w:sz w:val="22"/>
              </w:rPr>
            </w:pPr>
            <w:r>
              <w:rPr>
                <w:i w:val="1"/>
                <w:color w:val="000000"/>
                <w:sz w:val="22"/>
              </w:rPr>
              <w:t>60</w:t>
            </w:r>
          </w:p>
        </w:tc>
        <w:tc>
          <w:tcPr>
            <w:tcW w:type="dxa" w:w="992"/>
            <w:tcBorders>
              <w:top w:color="000000" w:sz="4" w:val="single"/>
              <w:left w:color="000000" w:sz="4" w:val="single"/>
              <w:bottom w:color="000000" w:sz="4" w:val="single"/>
              <w:right w:color="000000" w:sz="4" w:val="single"/>
            </w:tcBorders>
            <w:shd w:fill="auto" w:val="clear"/>
            <w:vAlign w:val="center"/>
          </w:tcPr>
          <w:p w14:paraId="1E0E0000">
            <w:pPr>
              <w:widowControl w:val="1"/>
              <w:ind/>
              <w:contextualSpacing w:val="1"/>
              <w:jc w:val="center"/>
              <w:rPr>
                <w:i w:val="1"/>
                <w:color w:val="000000"/>
                <w:sz w:val="22"/>
              </w:rPr>
            </w:pPr>
            <w:r>
              <w:rPr>
                <w:i w:val="1"/>
                <w:color w:val="000000"/>
                <w:sz w:val="22"/>
              </w:rPr>
              <w:t>159</w:t>
            </w:r>
          </w:p>
        </w:tc>
      </w:tr>
      <w:tr>
        <w:trPr>
          <w:trHeight w:hRule="atLeast" w:val="808"/>
        </w:trPr>
        <w:tc>
          <w:tcPr>
            <w:tcW w:type="dxa" w:w="714"/>
            <w:tcBorders>
              <w:top w:sz="4" w:val="nil"/>
              <w:left w:color="000000" w:sz="4" w:val="single"/>
              <w:bottom w:color="000000" w:sz="4" w:val="single"/>
              <w:right w:color="000000" w:sz="4" w:val="single"/>
            </w:tcBorders>
            <w:shd w:fill="auto" w:val="clear"/>
            <w:vAlign w:val="center"/>
          </w:tcPr>
          <w:p w14:paraId="1F0E0000">
            <w:pPr>
              <w:widowControl w:val="1"/>
              <w:ind w:firstLine="709" w:left="-977" w:right="-196"/>
              <w:contextualSpacing w:val="1"/>
              <w:jc w:val="center"/>
              <w:rPr>
                <w:sz w:val="22"/>
              </w:rPr>
            </w:pPr>
            <w:r>
              <w:rPr>
                <w:sz w:val="22"/>
              </w:rPr>
              <w:t>13.</w:t>
            </w:r>
          </w:p>
        </w:tc>
        <w:tc>
          <w:tcPr>
            <w:tcW w:type="dxa" w:w="1648"/>
            <w:tcBorders>
              <w:top w:sz="4" w:val="nil"/>
              <w:left w:sz="4" w:val="nil"/>
              <w:bottom w:color="000000" w:sz="4" w:val="single"/>
              <w:right w:color="000000" w:sz="4" w:val="single"/>
            </w:tcBorders>
            <w:shd w:fill="auto" w:val="clear"/>
            <w:vAlign w:val="center"/>
          </w:tcPr>
          <w:p w14:paraId="200E0000">
            <w:pPr>
              <w:widowControl w:val="1"/>
              <w:ind/>
              <w:contextualSpacing w:val="1"/>
              <w:rPr>
                <w:sz w:val="22"/>
              </w:rPr>
            </w:pPr>
            <w:r>
              <w:rPr>
                <w:sz w:val="22"/>
              </w:rPr>
              <w:t>Финансовый результат по прочим доходам и расходам</w:t>
            </w:r>
          </w:p>
        </w:tc>
        <w:tc>
          <w:tcPr>
            <w:tcW w:type="dxa" w:w="1275"/>
            <w:tcBorders>
              <w:top w:sz="4" w:val="nil"/>
              <w:left w:sz="4" w:val="nil"/>
              <w:bottom w:color="000000" w:sz="4" w:val="single"/>
              <w:right w:color="000000" w:sz="4" w:val="single"/>
            </w:tcBorders>
            <w:shd w:fill="auto" w:val="clear"/>
            <w:vAlign w:val="center"/>
          </w:tcPr>
          <w:p w14:paraId="210E0000">
            <w:pPr>
              <w:widowControl w:val="1"/>
              <w:ind/>
              <w:contextualSpacing w:val="1"/>
              <w:jc w:val="center"/>
              <w:rPr>
                <w:color w:val="000000"/>
                <w:sz w:val="22"/>
              </w:rPr>
            </w:pPr>
            <w:r>
              <w:rPr>
                <w:color w:val="000000"/>
                <w:sz w:val="22"/>
              </w:rPr>
              <w:t>359 725</w:t>
            </w:r>
          </w:p>
        </w:tc>
        <w:tc>
          <w:tcPr>
            <w:tcW w:type="dxa" w:w="1418"/>
            <w:tcBorders>
              <w:top w:color="000000" w:sz="4" w:val="single"/>
              <w:left w:color="000000" w:sz="4" w:val="single"/>
              <w:bottom w:color="000000" w:sz="4" w:val="single"/>
              <w:right w:color="000000" w:sz="4" w:val="single"/>
            </w:tcBorders>
            <w:vAlign w:val="center"/>
          </w:tcPr>
          <w:p w14:paraId="220E0000">
            <w:pPr>
              <w:widowControl w:val="1"/>
              <w:ind/>
              <w:contextualSpacing w:val="1"/>
              <w:jc w:val="center"/>
              <w:rPr>
                <w:color w:val="000000"/>
                <w:sz w:val="22"/>
              </w:rPr>
            </w:pPr>
            <w:r>
              <w:rPr>
                <w:color w:val="000000"/>
                <w:sz w:val="22"/>
              </w:rPr>
              <w:t>384 352</w:t>
            </w:r>
          </w:p>
        </w:tc>
        <w:tc>
          <w:tcPr>
            <w:tcW w:type="dxa" w:w="1417"/>
            <w:tcBorders>
              <w:top w:color="000000" w:sz="4" w:val="single"/>
              <w:left w:color="000000" w:sz="4" w:val="single"/>
              <w:bottom w:color="000000" w:sz="4" w:val="single"/>
              <w:right w:color="000000" w:sz="4" w:val="single"/>
            </w:tcBorders>
            <w:vAlign w:val="center"/>
          </w:tcPr>
          <w:p w14:paraId="230E0000">
            <w:pPr>
              <w:widowControl w:val="1"/>
              <w:ind/>
              <w:contextualSpacing w:val="1"/>
              <w:jc w:val="center"/>
              <w:rPr>
                <w:color w:val="000000"/>
                <w:sz w:val="22"/>
              </w:rPr>
            </w:pPr>
            <w:r>
              <w:rPr>
                <w:color w:val="000000"/>
                <w:sz w:val="22"/>
              </w:rPr>
              <w:t>379 354</w:t>
            </w:r>
          </w:p>
        </w:tc>
        <w:tc>
          <w:tcPr>
            <w:tcW w:type="dxa" w:w="1276"/>
            <w:tcBorders>
              <w:top w:color="000000" w:sz="4" w:val="single"/>
              <w:left w:color="000000" w:sz="4" w:val="single"/>
              <w:bottom w:color="000000" w:sz="4" w:val="single"/>
              <w:right w:color="000000" w:sz="4" w:val="single"/>
            </w:tcBorders>
            <w:vAlign w:val="center"/>
          </w:tcPr>
          <w:p w14:paraId="240E0000">
            <w:pPr>
              <w:widowControl w:val="1"/>
              <w:ind/>
              <w:contextualSpacing w:val="1"/>
              <w:jc w:val="center"/>
              <w:rPr>
                <w:color w:val="000000"/>
                <w:sz w:val="22"/>
              </w:rPr>
            </w:pPr>
            <w:r>
              <w:rPr>
                <w:color w:val="000000"/>
                <w:sz w:val="22"/>
              </w:rPr>
              <w:t>387 606</w:t>
            </w:r>
          </w:p>
        </w:tc>
        <w:tc>
          <w:tcPr>
            <w:tcW w:type="dxa" w:w="1134"/>
            <w:tcBorders>
              <w:top w:color="000000" w:sz="4" w:val="single"/>
              <w:left w:color="000000" w:sz="4" w:val="single"/>
              <w:bottom w:color="000000" w:sz="4" w:val="single"/>
              <w:right w:color="000000" w:sz="4" w:val="single"/>
            </w:tcBorders>
            <w:shd w:fill="auto" w:val="clear"/>
            <w:vAlign w:val="center"/>
          </w:tcPr>
          <w:p w14:paraId="250E0000">
            <w:pPr>
              <w:widowControl w:val="1"/>
              <w:ind/>
              <w:contextualSpacing w:val="1"/>
              <w:jc w:val="center"/>
              <w:rPr>
                <w:i w:val="1"/>
                <w:color w:val="000000"/>
                <w:sz w:val="22"/>
              </w:rPr>
            </w:pPr>
            <w:r>
              <w:rPr>
                <w:i w:val="1"/>
                <w:color w:val="000000"/>
                <w:sz w:val="22"/>
              </w:rPr>
              <w:t>101</w:t>
            </w:r>
          </w:p>
        </w:tc>
        <w:tc>
          <w:tcPr>
            <w:tcW w:type="dxa" w:w="992"/>
            <w:tcBorders>
              <w:top w:color="000000" w:sz="4" w:val="single"/>
              <w:left w:color="000000" w:sz="4" w:val="single"/>
              <w:bottom w:color="000000" w:sz="4" w:val="single"/>
              <w:right w:color="000000" w:sz="4" w:val="single"/>
            </w:tcBorders>
            <w:shd w:fill="auto" w:val="clear"/>
            <w:vAlign w:val="center"/>
          </w:tcPr>
          <w:p w14:paraId="260E0000">
            <w:pPr>
              <w:widowControl w:val="1"/>
              <w:ind/>
              <w:contextualSpacing w:val="1"/>
              <w:jc w:val="center"/>
              <w:rPr>
                <w:i w:val="1"/>
                <w:color w:val="000000"/>
                <w:sz w:val="22"/>
              </w:rPr>
            </w:pPr>
            <w:r>
              <w:rPr>
                <w:i w:val="1"/>
                <w:color w:val="000000"/>
                <w:sz w:val="22"/>
              </w:rPr>
              <w:t>102</w:t>
            </w:r>
          </w:p>
        </w:tc>
      </w:tr>
    </w:tbl>
    <w:p w14:paraId="270E0000">
      <w:pPr>
        <w:widowControl w:val="1"/>
        <w:ind w:firstLine="709"/>
        <w:contextualSpacing w:val="1"/>
        <w:jc w:val="right"/>
        <w:rPr>
          <w:highlight w:val="red"/>
        </w:rPr>
      </w:pPr>
    </w:p>
    <w:p w14:paraId="280E0000">
      <w:pPr>
        <w:widowControl w:val="1"/>
        <w:tabs>
          <w:tab w:leader="none" w:pos="0" w:val="left"/>
          <w:tab w:leader="none" w:pos="142" w:val="left"/>
          <w:tab w:leader="none" w:pos="6300" w:val="left"/>
          <w:tab w:leader="none" w:pos="7200" w:val="left"/>
          <w:tab w:leader="none" w:pos="9072" w:val="left"/>
        </w:tabs>
        <w:spacing w:line="360" w:lineRule="auto"/>
        <w:ind w:firstLine="709"/>
        <w:contextualSpacing w:val="1"/>
        <w:jc w:val="both"/>
      </w:pPr>
      <w:r>
        <w:rPr>
          <w:b w:val="1"/>
        </w:rPr>
        <w:t>Доходы от основной деятельности</w:t>
      </w:r>
      <w:r>
        <w:t xml:space="preserve">, без учета прочих доходов, за 2018 год составили </w:t>
      </w:r>
      <w:r>
        <w:t>329 239</w:t>
      </w:r>
      <w:r>
        <w:t xml:space="preserve"> тыс. руб., </w:t>
      </w:r>
      <w:r>
        <w:t>99</w:t>
      </w:r>
      <w:r>
        <w:t>% к плану, 10</w:t>
      </w:r>
      <w:r>
        <w:t>2</w:t>
      </w:r>
      <w:r>
        <w:t>% к аналогичному периоду прошлого года, в том числе:</w:t>
      </w:r>
    </w:p>
    <w:p w14:paraId="290E0000">
      <w:pPr>
        <w:widowControl w:val="1"/>
        <w:tabs>
          <w:tab w:leader="none" w:pos="0" w:val="left"/>
          <w:tab w:leader="none" w:pos="142" w:val="left"/>
          <w:tab w:leader="none" w:pos="6300" w:val="left"/>
          <w:tab w:leader="none" w:pos="7200" w:val="left"/>
          <w:tab w:leader="none" w:pos="9072" w:val="left"/>
        </w:tabs>
        <w:spacing w:line="360" w:lineRule="auto"/>
        <w:ind w:firstLine="709"/>
        <w:contextualSpacing w:val="1"/>
        <w:jc w:val="both"/>
      </w:pPr>
      <w:r>
        <w:t>-выручка от платной категории граждан получена в сумме 177 993 тыс.руб., 103% к плану;</w:t>
      </w:r>
    </w:p>
    <w:p w14:paraId="2A0E0000">
      <w:pPr>
        <w:widowControl w:val="1"/>
        <w:tabs>
          <w:tab w:leader="none" w:pos="0" w:val="left"/>
          <w:tab w:leader="none" w:pos="142" w:val="left"/>
          <w:tab w:leader="none" w:pos="6300" w:val="left"/>
          <w:tab w:leader="none" w:pos="7200" w:val="left"/>
          <w:tab w:leader="none" w:pos="9072" w:val="left"/>
        </w:tabs>
        <w:spacing w:line="360" w:lineRule="auto"/>
        <w:ind w:firstLine="709"/>
        <w:contextualSpacing w:val="1"/>
        <w:jc w:val="both"/>
      </w:pPr>
      <w:r>
        <w:t>-выручка от перевозки региональных льготников составила 66 125 тыс.руб., 96% к плану;</w:t>
      </w:r>
    </w:p>
    <w:p w14:paraId="2B0E0000">
      <w:pPr>
        <w:widowControl w:val="1"/>
        <w:tabs>
          <w:tab w:leader="none" w:pos="0" w:val="left"/>
          <w:tab w:leader="none" w:pos="142" w:val="left"/>
          <w:tab w:leader="none" w:pos="6300" w:val="left"/>
          <w:tab w:leader="none" w:pos="7200" w:val="left"/>
          <w:tab w:leader="none" w:pos="9072" w:val="left"/>
        </w:tabs>
        <w:spacing w:line="360" w:lineRule="auto"/>
        <w:ind w:firstLine="709"/>
        <w:contextualSpacing w:val="1"/>
        <w:jc w:val="both"/>
      </w:pPr>
      <w:r>
        <w:t xml:space="preserve"> -выручка от перевозки федеральных льготников составила 20 733 тыс.руб., 73% к плану в связи с естественным оттоком числа пассажиров данной категории;</w:t>
      </w:r>
    </w:p>
    <w:p w14:paraId="2C0E0000">
      <w:pPr>
        <w:widowControl w:val="1"/>
        <w:tabs>
          <w:tab w:leader="none" w:pos="0" w:val="left"/>
          <w:tab w:leader="none" w:pos="142" w:val="left"/>
          <w:tab w:leader="none" w:pos="6300" w:val="left"/>
          <w:tab w:leader="none" w:pos="7200" w:val="left"/>
          <w:tab w:leader="none" w:pos="9072" w:val="left"/>
        </w:tabs>
        <w:spacing w:line="360" w:lineRule="auto"/>
        <w:ind w:firstLine="709"/>
        <w:contextualSpacing w:val="1"/>
        <w:jc w:val="both"/>
      </w:pPr>
      <w:r>
        <w:t>-выручка от перевозки работников железнодорожного транспорта составила 35 200 тыс.руб., 103% к плану,</w:t>
      </w:r>
    </w:p>
    <w:p w14:paraId="2D0E0000">
      <w:pPr>
        <w:widowControl w:val="1"/>
        <w:tabs>
          <w:tab w:leader="none" w:pos="0" w:val="left"/>
          <w:tab w:leader="none" w:pos="142" w:val="left"/>
          <w:tab w:leader="none" w:pos="6300" w:val="left"/>
          <w:tab w:leader="none" w:pos="7200" w:val="left"/>
          <w:tab w:leader="none" w:pos="9072" w:val="left"/>
        </w:tabs>
        <w:spacing w:line="360" w:lineRule="auto"/>
        <w:ind w:firstLine="709"/>
        <w:contextualSpacing w:val="1"/>
        <w:jc w:val="both"/>
      </w:pPr>
      <w:r>
        <w:t>-выручка от перевозки студентов и школьников составила  28 846 тыс.руб., 107% к плану;</w:t>
      </w:r>
    </w:p>
    <w:p w14:paraId="2E0E0000">
      <w:pPr>
        <w:widowControl w:val="1"/>
        <w:tabs>
          <w:tab w:leader="none" w:pos="0" w:val="left"/>
          <w:tab w:leader="none" w:pos="142" w:val="left"/>
          <w:tab w:leader="none" w:pos="6300" w:val="left"/>
          <w:tab w:leader="none" w:pos="7200" w:val="left"/>
          <w:tab w:leader="none" w:pos="9072" w:val="left"/>
        </w:tabs>
        <w:spacing w:line="360" w:lineRule="auto"/>
        <w:ind w:firstLine="709"/>
        <w:contextualSpacing w:val="1"/>
        <w:jc w:val="both"/>
      </w:pPr>
      <w:r>
        <w:t>-выручка от перевозки военнослужащих составила 343 тыс.руб., 95% к плану.</w:t>
      </w:r>
    </w:p>
    <w:p w14:paraId="2F0E0000">
      <w:pPr>
        <w:widowControl w:val="1"/>
        <w:tabs>
          <w:tab w:leader="none" w:pos="0" w:val="left"/>
          <w:tab w:leader="none" w:pos="142" w:val="left"/>
          <w:tab w:leader="none" w:pos="6300" w:val="left"/>
          <w:tab w:leader="none" w:pos="7200" w:val="left"/>
          <w:tab w:leader="none" w:pos="9072" w:val="left"/>
        </w:tabs>
        <w:spacing w:line="360" w:lineRule="auto"/>
        <w:ind w:firstLine="709"/>
        <w:contextualSpacing w:val="1"/>
        <w:jc w:val="both"/>
      </w:pPr>
      <w:r>
        <w:rPr>
          <w:b w:val="1"/>
        </w:rPr>
        <w:t xml:space="preserve">Доходы от </w:t>
      </w:r>
      <w:r>
        <w:rPr>
          <w:b w:val="1"/>
        </w:rPr>
        <w:t>подсобно-вспомогательной</w:t>
      </w:r>
      <w:r>
        <w:rPr>
          <w:b w:val="1"/>
        </w:rPr>
        <w:t xml:space="preserve"> деятельности</w:t>
      </w:r>
      <w:r>
        <w:t>, без учета прочих доходов, за 2018 год составили 5 870 тыс.руб., 142% к плану, 135% к аналогичному периоду прошлого года.</w:t>
      </w:r>
    </w:p>
    <w:p w14:paraId="300E0000">
      <w:pPr>
        <w:widowControl w:val="1"/>
        <w:tabs>
          <w:tab w:leader="none" w:pos="0" w:val="left"/>
          <w:tab w:leader="none" w:pos="142" w:val="left"/>
          <w:tab w:leader="none" w:pos="6300" w:val="left"/>
          <w:tab w:leader="none" w:pos="7200" w:val="left"/>
          <w:tab w:leader="none" w:pos="9072" w:val="left"/>
        </w:tabs>
        <w:spacing w:line="360" w:lineRule="auto"/>
        <w:ind w:firstLine="709"/>
        <w:contextualSpacing w:val="1"/>
        <w:jc w:val="both"/>
      </w:pPr>
      <w:r>
        <w:rPr>
          <w:b w:val="1"/>
        </w:rPr>
        <w:t xml:space="preserve">Прочие доходы </w:t>
      </w:r>
      <w:r>
        <w:t xml:space="preserve">(в т. ч. субсидии) за 2018 год составили 394 396 тыс. руб., 101% к плану и 100% к прошлому году. </w:t>
      </w:r>
    </w:p>
    <w:p w14:paraId="310E0000">
      <w:pPr>
        <w:widowControl w:val="1"/>
        <w:tabs>
          <w:tab w:leader="none" w:pos="0" w:val="left"/>
          <w:tab w:leader="none" w:pos="142" w:val="left"/>
          <w:tab w:leader="none" w:pos="6300" w:val="left"/>
          <w:tab w:leader="none" w:pos="7200" w:val="left"/>
          <w:tab w:leader="none" w:pos="9072" w:val="left"/>
        </w:tabs>
        <w:spacing w:line="360" w:lineRule="auto"/>
        <w:ind w:firstLine="709"/>
        <w:contextualSpacing w:val="1"/>
        <w:jc w:val="both"/>
      </w:pPr>
      <w:r>
        <w:rPr>
          <w:b w:val="1"/>
        </w:rPr>
        <w:t xml:space="preserve">Доходы </w:t>
      </w:r>
      <w:r>
        <w:t>с учетом прочих доходов за 2018 год составили  729 505  тыс. руб., 100% к плану, 101% к прошлому году.</w:t>
      </w:r>
    </w:p>
    <w:p w14:paraId="320E0000">
      <w:pPr>
        <w:widowControl w:val="1"/>
        <w:tabs>
          <w:tab w:leader="none" w:pos="0" w:val="left"/>
          <w:tab w:leader="none" w:pos="142" w:val="left"/>
        </w:tabs>
        <w:spacing w:line="360" w:lineRule="auto"/>
        <w:ind w:firstLine="709"/>
        <w:contextualSpacing w:val="1"/>
        <w:jc w:val="both"/>
      </w:pPr>
      <w:r>
        <w:rPr>
          <w:b w:val="1"/>
        </w:rPr>
        <w:t>Расходы от основной деятельности</w:t>
      </w:r>
      <w:r>
        <w:t xml:space="preserve"> без учета  прочих рас</w:t>
      </w:r>
      <w:r>
        <w:t>ходов за 2018 год составили 716 071</w:t>
      </w:r>
      <w:r>
        <w:t xml:space="preserve"> тыс. руб. - 101% к плану (применен льготный (исключительный) тариф на услуги по использованию инфраструктуры железнодорожного транспорта в размере</w:t>
      </w:r>
      <w:r>
        <w:t xml:space="preserve"> 0,01),  103</w:t>
      </w:r>
      <w:r>
        <w:t>% к уровню прошлого года (ставка НДС по пригородным железнодорожным п</w:t>
      </w:r>
      <w:r>
        <w:t>еревозкам применена равной «0»).</w:t>
      </w:r>
    </w:p>
    <w:p w14:paraId="330E0000">
      <w:pPr>
        <w:widowControl w:val="1"/>
        <w:tabs>
          <w:tab w:leader="none" w:pos="0" w:val="left"/>
          <w:tab w:leader="none" w:pos="142" w:val="left"/>
        </w:tabs>
        <w:spacing w:line="360" w:lineRule="auto"/>
        <w:ind w:firstLine="709"/>
        <w:contextualSpacing w:val="1"/>
        <w:jc w:val="both"/>
      </w:pPr>
      <w:r>
        <w:rPr>
          <w:b w:val="1"/>
        </w:rPr>
        <w:t xml:space="preserve">Расходы по </w:t>
      </w:r>
      <w:r>
        <w:rPr>
          <w:b w:val="1"/>
        </w:rPr>
        <w:t>подсобно-вспомогательной</w:t>
      </w:r>
      <w:r>
        <w:rPr>
          <w:b w:val="1"/>
        </w:rPr>
        <w:t xml:space="preserve"> деятельности</w:t>
      </w:r>
      <w:r>
        <w:t xml:space="preserve"> без учета прочих расходов за 2018 год составили 5 515 </w:t>
      </w:r>
      <w:r>
        <w:t>тыс.руб., 150% к плану, 153% к прошлому году.</w:t>
      </w:r>
    </w:p>
    <w:p w14:paraId="340E0000">
      <w:pPr>
        <w:widowControl w:val="1"/>
        <w:tabs>
          <w:tab w:leader="none" w:pos="0" w:val="left"/>
          <w:tab w:leader="none" w:pos="142" w:val="left"/>
          <w:tab w:leader="none" w:pos="6300" w:val="left"/>
          <w:tab w:leader="none" w:pos="7200" w:val="left"/>
        </w:tabs>
        <w:spacing w:line="360" w:lineRule="auto"/>
        <w:ind w:firstLine="709"/>
        <w:contextualSpacing w:val="1"/>
        <w:jc w:val="both"/>
      </w:pPr>
      <w:r>
        <w:rPr>
          <w:b w:val="1"/>
        </w:rPr>
        <w:t>Прочие расходы,</w:t>
      </w:r>
      <w:r>
        <w:t xml:space="preserve"> отнесенные на основную деятельность, составили 5 282 тыс. руб., 47</w:t>
      </w:r>
      <w:r>
        <w:t>% к плану и 49% к прошлому году, отнесенные на прочие виды деятельности  - 1 508 тыс.руб.</w:t>
      </w:r>
    </w:p>
    <w:p w14:paraId="350E0000">
      <w:pPr>
        <w:widowControl w:val="1"/>
        <w:tabs>
          <w:tab w:leader="none" w:pos="0" w:val="left"/>
          <w:tab w:leader="none" w:pos="142" w:val="left"/>
        </w:tabs>
        <w:spacing w:line="360" w:lineRule="auto"/>
        <w:ind w:firstLine="709"/>
        <w:contextualSpacing w:val="1"/>
        <w:jc w:val="both"/>
      </w:pPr>
      <w:r>
        <w:rPr>
          <w:b w:val="1"/>
        </w:rPr>
        <w:t>Всего расходы по всем видам деятельности</w:t>
      </w:r>
      <w:r>
        <w:t xml:space="preserve"> (с учетом  прочих расходов) за 2018 год составили 728 376 тыс. руб. – 100% к плану (применен льготный (исключительный) тариф на услуги по использованию инфраструктуры железнодорожного транспорта с коэффициентом 0,01), 103% к прошлому году (ставка НДС по пригородным железнодорожным перевозкам  установлена «0»).</w:t>
      </w:r>
    </w:p>
    <w:p w14:paraId="360E0000">
      <w:pPr>
        <w:pStyle w:val="Style_9"/>
        <w:widowControl w:val="1"/>
        <w:tabs>
          <w:tab w:leader="none" w:pos="0" w:val="left"/>
          <w:tab w:leader="none" w:pos="142" w:val="left"/>
        </w:tabs>
        <w:ind w:firstLine="709"/>
        <w:contextualSpacing w:val="1"/>
        <w:rPr>
          <w:sz w:val="24"/>
        </w:rPr>
      </w:pPr>
      <w:r>
        <w:rPr>
          <w:b w:val="1"/>
          <w:sz w:val="24"/>
        </w:rPr>
        <w:t>Финансовый результат</w:t>
      </w:r>
      <w:r>
        <w:rPr>
          <w:sz w:val="24"/>
        </w:rPr>
        <w:t xml:space="preserve"> по основной деятельности (с учетом прочих доходов и расходов)  за  2018 года -  0  тыс. руб., при запланированном финансовом результате  0 тыс.руб.</w:t>
      </w:r>
    </w:p>
    <w:p w14:paraId="370E0000">
      <w:pPr>
        <w:pStyle w:val="Style_9"/>
        <w:widowControl w:val="1"/>
        <w:tabs>
          <w:tab w:leader="none" w:pos="0" w:val="left"/>
          <w:tab w:leader="none" w:pos="142" w:val="left"/>
        </w:tabs>
        <w:ind w:firstLine="709"/>
        <w:contextualSpacing w:val="1"/>
        <w:rPr>
          <w:b w:val="1"/>
          <w:sz w:val="24"/>
        </w:rPr>
      </w:pPr>
      <w:r>
        <w:rPr>
          <w:b w:val="1"/>
          <w:sz w:val="24"/>
        </w:rPr>
        <w:t>Финансовый результат</w:t>
      </w:r>
      <w:r>
        <w:rPr>
          <w:sz w:val="24"/>
        </w:rPr>
        <w:t xml:space="preserve"> по подсобно-вспомогательной деятельности (с учетом прочих доходов и расходов) за 2018 год - прибыль 1 129 тыс. руб.</w:t>
      </w:r>
    </w:p>
    <w:p w14:paraId="380E0000">
      <w:pPr>
        <w:widowControl w:val="1"/>
        <w:ind w:firstLine="709"/>
        <w:contextualSpacing w:val="1"/>
        <w:jc w:val="right"/>
      </w:pPr>
    </w:p>
    <w:p w14:paraId="390E0000">
      <w:pPr>
        <w:pStyle w:val="Style_17"/>
        <w:widowControl w:val="1"/>
        <w:ind w:firstLine="709"/>
        <w:contextualSpacing w:val="1"/>
        <w:jc w:val="right"/>
        <w:rPr>
          <w:b w:val="1"/>
          <w:sz w:val="24"/>
        </w:rPr>
      </w:pPr>
      <w:r>
        <w:rPr>
          <w:b w:val="1"/>
          <w:sz w:val="24"/>
        </w:rPr>
        <w:t xml:space="preserve">Таблица </w:t>
      </w:r>
      <w:r>
        <w:rPr>
          <w:b w:val="1"/>
          <w:sz w:val="24"/>
        </w:rPr>
        <w:t>5.</w:t>
      </w:r>
      <w:r>
        <w:rPr>
          <w:b w:val="1"/>
          <w:sz w:val="24"/>
        </w:rPr>
        <w:t>20</w:t>
      </w:r>
      <w:r>
        <w:rPr>
          <w:b w:val="1"/>
          <w:sz w:val="24"/>
        </w:rPr>
        <w:t>.</w:t>
      </w:r>
    </w:p>
    <w:p w14:paraId="3A0E0000">
      <w:pPr>
        <w:pStyle w:val="Style_17"/>
        <w:widowControl w:val="1"/>
        <w:ind w:firstLine="709"/>
        <w:contextualSpacing w:val="1"/>
        <w:jc w:val="center"/>
        <w:rPr>
          <w:b w:val="1"/>
          <w:sz w:val="24"/>
        </w:rPr>
      </w:pPr>
      <w:r>
        <w:rPr>
          <w:b w:val="1"/>
          <w:sz w:val="24"/>
        </w:rPr>
        <w:t>Анализ доходов и расходов Общества в разрезе статей учета</w:t>
      </w:r>
    </w:p>
    <w:p w14:paraId="3B0E0000">
      <w:pPr>
        <w:pStyle w:val="Style_17"/>
        <w:widowControl w:val="1"/>
        <w:ind w:firstLine="709"/>
        <w:contextualSpacing w:val="1"/>
        <w:jc w:val="right"/>
        <w:rPr>
          <w:sz w:val="24"/>
        </w:rPr>
      </w:pPr>
      <w:r>
        <w:rPr>
          <w:sz w:val="24"/>
        </w:rPr>
        <w:t>тыс.</w:t>
      </w:r>
      <w:r>
        <w:rPr>
          <w:sz w:val="24"/>
        </w:rPr>
        <w:t xml:space="preserve"> </w:t>
      </w:r>
      <w:r>
        <w:rPr>
          <w:sz w:val="24"/>
        </w:rPr>
        <w:t>руб.</w:t>
      </w:r>
    </w:p>
    <w:tbl>
      <w:tblPr>
        <w:tblStyle w:val="Style_4"/>
        <w:tblW w:type="auto" w:w="0"/>
        <w:tblInd w:type="dxa" w:w="103"/>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72"/>
        <w:gridCol w:w="1558"/>
        <w:gridCol w:w="1417"/>
        <w:gridCol w:w="1280"/>
        <w:gridCol w:w="1555"/>
        <w:gridCol w:w="1280"/>
        <w:gridCol w:w="1134"/>
        <w:gridCol w:w="988"/>
      </w:tblGrid>
      <w:tr>
        <w:trPr>
          <w:trHeight w:hRule="atLeast" w:val="718"/>
          <w:tblHeader/>
        </w:trPr>
        <w:tc>
          <w:tcPr>
            <w:tcW w:type="dxa" w:w="572"/>
            <w:vMerge w:val="restart"/>
            <w:tcBorders>
              <w:top w:color="000000" w:sz="4" w:val="single"/>
              <w:left w:color="000000" w:sz="4" w:val="single"/>
              <w:bottom w:color="000000" w:sz="4" w:val="single"/>
              <w:right w:color="000000" w:sz="4" w:val="single"/>
            </w:tcBorders>
            <w:vAlign w:val="center"/>
          </w:tcPr>
          <w:p w14:paraId="3C0E0000">
            <w:pPr>
              <w:widowControl w:val="1"/>
              <w:ind w:firstLine="709" w:left="-713"/>
              <w:contextualSpacing w:val="1"/>
              <w:jc w:val="center"/>
              <w:rPr>
                <w:sz w:val="22"/>
              </w:rPr>
            </w:pPr>
            <w:r>
              <w:rPr>
                <w:sz w:val="22"/>
              </w:rPr>
              <w:t>№ п/п</w:t>
            </w:r>
          </w:p>
        </w:tc>
        <w:tc>
          <w:tcPr>
            <w:tcW w:type="dxa" w:w="1558"/>
            <w:vMerge w:val="restart"/>
            <w:tcBorders>
              <w:top w:color="000000" w:sz="4" w:val="single"/>
              <w:left w:color="000000" w:sz="4" w:val="single"/>
              <w:bottom w:color="000000" w:sz="4" w:val="single"/>
              <w:right w:color="000000" w:sz="4" w:val="single"/>
            </w:tcBorders>
            <w:vAlign w:val="center"/>
          </w:tcPr>
          <w:p w14:paraId="3D0E0000">
            <w:pPr>
              <w:widowControl w:val="1"/>
              <w:ind w:firstLine="34"/>
              <w:contextualSpacing w:val="1"/>
              <w:jc w:val="center"/>
              <w:rPr>
                <w:sz w:val="22"/>
              </w:rPr>
            </w:pPr>
            <w:r>
              <w:rPr>
                <w:sz w:val="22"/>
              </w:rPr>
              <w:t>Показатели</w:t>
            </w:r>
          </w:p>
        </w:tc>
        <w:tc>
          <w:tcPr>
            <w:tcW w:type="dxa" w:w="1417"/>
            <w:tcBorders>
              <w:top w:color="000000" w:sz="4" w:val="single"/>
              <w:left w:color="000000" w:sz="4" w:val="single"/>
              <w:bottom w:color="000000" w:sz="4" w:val="single"/>
              <w:right w:color="000000" w:sz="4" w:val="single"/>
            </w:tcBorders>
            <w:shd w:fill="auto" w:val="clear"/>
            <w:vAlign w:val="center"/>
          </w:tcPr>
          <w:p w14:paraId="3E0E0000">
            <w:pPr>
              <w:widowControl w:val="1"/>
              <w:ind w:firstLine="34"/>
              <w:contextualSpacing w:val="1"/>
              <w:jc w:val="center"/>
              <w:rPr>
                <w:color w:val="000000"/>
                <w:sz w:val="22"/>
              </w:rPr>
            </w:pPr>
            <w:r>
              <w:rPr>
                <w:color w:val="000000"/>
                <w:sz w:val="22"/>
              </w:rPr>
              <w:t>2016г.</w:t>
            </w:r>
          </w:p>
        </w:tc>
        <w:tc>
          <w:tcPr>
            <w:tcW w:type="dxa" w:w="1280"/>
            <w:tcBorders>
              <w:top w:color="000000" w:sz="4" w:val="single"/>
              <w:left w:color="000000" w:sz="4" w:val="single"/>
              <w:bottom w:color="000000" w:sz="4" w:val="single"/>
              <w:right w:color="000000" w:sz="4" w:val="single"/>
            </w:tcBorders>
            <w:vAlign w:val="center"/>
          </w:tcPr>
          <w:p w14:paraId="3F0E0000">
            <w:pPr>
              <w:widowControl w:val="1"/>
              <w:ind w:firstLine="34"/>
              <w:contextualSpacing w:val="1"/>
              <w:jc w:val="center"/>
              <w:rPr>
                <w:color w:val="000000"/>
                <w:sz w:val="22"/>
              </w:rPr>
            </w:pPr>
            <w:r>
              <w:rPr>
                <w:color w:val="000000"/>
                <w:sz w:val="22"/>
              </w:rPr>
              <w:t>2017г.</w:t>
            </w:r>
          </w:p>
        </w:tc>
        <w:tc>
          <w:tcPr>
            <w:tcW w:type="dxa" w:w="2835"/>
            <w:gridSpan w:val="2"/>
            <w:tcBorders>
              <w:top w:color="000000" w:sz="4" w:val="single"/>
              <w:left w:color="000000" w:sz="4" w:val="single"/>
              <w:bottom w:color="000000" w:sz="4" w:val="single"/>
              <w:right w:color="000000" w:sz="4" w:val="single"/>
            </w:tcBorders>
            <w:vAlign w:val="center"/>
          </w:tcPr>
          <w:p w14:paraId="400E0000">
            <w:pPr>
              <w:widowControl w:val="1"/>
              <w:ind w:firstLine="34"/>
              <w:contextualSpacing w:val="1"/>
              <w:jc w:val="center"/>
              <w:rPr>
                <w:color w:val="000000"/>
                <w:sz w:val="22"/>
              </w:rPr>
            </w:pPr>
            <w:r>
              <w:rPr>
                <w:color w:val="000000"/>
                <w:sz w:val="22"/>
              </w:rPr>
              <w:t>2018г.</w:t>
            </w:r>
          </w:p>
        </w:tc>
        <w:tc>
          <w:tcPr>
            <w:tcW w:type="dxa" w:w="2122"/>
            <w:gridSpan w:val="2"/>
            <w:tcBorders>
              <w:top w:color="000000" w:sz="4" w:val="single"/>
              <w:left w:color="000000" w:sz="4" w:val="single"/>
              <w:bottom w:color="000000" w:sz="4" w:val="single"/>
              <w:right w:color="000000" w:sz="4" w:val="single"/>
            </w:tcBorders>
            <w:shd w:fill="auto" w:val="clear"/>
            <w:vAlign w:val="center"/>
          </w:tcPr>
          <w:p w14:paraId="410E0000">
            <w:pPr>
              <w:widowControl w:val="1"/>
              <w:ind w:firstLine="34"/>
              <w:contextualSpacing w:val="1"/>
              <w:jc w:val="center"/>
              <w:rPr>
                <w:color w:val="000000"/>
                <w:sz w:val="22"/>
              </w:rPr>
            </w:pPr>
            <w:r>
              <w:rPr>
                <w:color w:val="000000"/>
                <w:sz w:val="22"/>
              </w:rPr>
              <w:t>% факт 2018/</w:t>
            </w:r>
          </w:p>
        </w:tc>
      </w:tr>
      <w:tr>
        <w:trPr>
          <w:trHeight w:hRule="atLeast" w:val="528"/>
          <w:tblHeader/>
        </w:trPr>
        <w:tc>
          <w:tcPr>
            <w:tcW w:type="dxa" w:w="572"/>
            <w:gridSpan w:val="1"/>
            <w:vMerge w:val="continue"/>
            <w:tcBorders>
              <w:top w:color="000000" w:sz="4" w:val="single"/>
              <w:left w:color="000000" w:sz="4" w:val="single"/>
              <w:bottom w:color="000000" w:sz="4" w:val="single"/>
              <w:right w:color="000000" w:sz="4" w:val="single"/>
            </w:tcBorders>
            <w:vAlign w:val="center"/>
          </w:tcPr>
          <w:p/>
        </w:tc>
        <w:tc>
          <w:tcPr>
            <w:tcW w:type="dxa" w:w="1558"/>
            <w:gridSpan w:val="1"/>
            <w:vMerge w:val="continue"/>
            <w:tcBorders>
              <w:top w:color="000000" w:sz="4" w:val="single"/>
              <w:left w:color="000000" w:sz="4" w:val="single"/>
              <w:bottom w:color="000000" w:sz="4" w:val="single"/>
              <w:right w:color="000000" w:sz="4" w:val="single"/>
            </w:tcBorders>
            <w:vAlign w:val="center"/>
          </w:tcPr>
          <w:p/>
        </w:tc>
        <w:tc>
          <w:tcPr>
            <w:tcW w:type="dxa" w:w="1417"/>
            <w:tcBorders>
              <w:top w:color="000000" w:sz="4" w:val="single"/>
              <w:left w:color="000000" w:sz="4" w:val="single"/>
              <w:bottom w:color="000000" w:sz="4" w:val="single"/>
              <w:right w:color="000000" w:sz="4" w:val="single"/>
            </w:tcBorders>
            <w:shd w:fill="auto" w:val="clear"/>
            <w:vAlign w:val="center"/>
          </w:tcPr>
          <w:p w14:paraId="420E0000">
            <w:pPr>
              <w:widowControl w:val="1"/>
              <w:ind w:firstLine="34"/>
              <w:contextualSpacing w:val="1"/>
              <w:jc w:val="center"/>
              <w:rPr>
                <w:color w:val="000000"/>
                <w:sz w:val="22"/>
              </w:rPr>
            </w:pPr>
            <w:r>
              <w:rPr>
                <w:color w:val="000000"/>
                <w:sz w:val="22"/>
              </w:rPr>
              <w:t>Факт</w:t>
            </w:r>
          </w:p>
        </w:tc>
        <w:tc>
          <w:tcPr>
            <w:tcW w:type="dxa" w:w="1280"/>
            <w:tcBorders>
              <w:top w:color="000000" w:sz="4" w:val="single"/>
              <w:left w:color="000000" w:sz="4" w:val="single"/>
              <w:bottom w:color="000000" w:sz="4" w:val="single"/>
              <w:right w:color="000000" w:sz="4" w:val="single"/>
            </w:tcBorders>
            <w:vAlign w:val="center"/>
          </w:tcPr>
          <w:p w14:paraId="430E0000">
            <w:pPr>
              <w:widowControl w:val="1"/>
              <w:ind w:firstLine="34"/>
              <w:contextualSpacing w:val="1"/>
              <w:jc w:val="center"/>
              <w:rPr>
                <w:color w:val="000000"/>
                <w:sz w:val="22"/>
              </w:rPr>
            </w:pPr>
            <w:r>
              <w:rPr>
                <w:color w:val="000000"/>
                <w:sz w:val="22"/>
              </w:rPr>
              <w:t>Факт</w:t>
            </w:r>
          </w:p>
        </w:tc>
        <w:tc>
          <w:tcPr>
            <w:tcW w:type="dxa" w:w="1555"/>
            <w:tcBorders>
              <w:top w:color="000000" w:sz="4" w:val="single"/>
              <w:left w:color="000000" w:sz="4" w:val="single"/>
              <w:bottom w:color="000000" w:sz="4" w:val="single"/>
              <w:right w:color="000000" w:sz="4" w:val="single"/>
            </w:tcBorders>
            <w:vAlign w:val="center"/>
          </w:tcPr>
          <w:p w14:paraId="440E0000">
            <w:pPr>
              <w:widowControl w:val="1"/>
              <w:ind w:firstLine="34"/>
              <w:contextualSpacing w:val="1"/>
              <w:jc w:val="center"/>
              <w:rPr>
                <w:color w:val="000000"/>
                <w:sz w:val="22"/>
              </w:rPr>
            </w:pPr>
            <w:r>
              <w:rPr>
                <w:color w:val="000000"/>
                <w:sz w:val="22"/>
              </w:rPr>
              <w:t>План</w:t>
            </w:r>
          </w:p>
        </w:tc>
        <w:tc>
          <w:tcPr>
            <w:tcW w:type="dxa" w:w="1280"/>
            <w:tcBorders>
              <w:top w:color="000000" w:sz="4" w:val="single"/>
              <w:left w:color="000000" w:sz="4" w:val="single"/>
              <w:bottom w:color="000000" w:sz="4" w:val="single"/>
              <w:right w:color="000000" w:sz="4" w:val="single"/>
            </w:tcBorders>
            <w:vAlign w:val="center"/>
          </w:tcPr>
          <w:p w14:paraId="450E0000">
            <w:pPr>
              <w:widowControl w:val="1"/>
              <w:ind w:firstLine="34"/>
              <w:contextualSpacing w:val="1"/>
              <w:jc w:val="center"/>
              <w:rPr>
                <w:color w:val="000000"/>
                <w:sz w:val="22"/>
              </w:rPr>
            </w:pPr>
            <w:r>
              <w:rPr>
                <w:color w:val="000000"/>
                <w:sz w:val="22"/>
              </w:rPr>
              <w:t>Факт</w:t>
            </w:r>
          </w:p>
        </w:tc>
        <w:tc>
          <w:tcPr>
            <w:tcW w:type="dxa" w:w="1134"/>
            <w:tcBorders>
              <w:top w:color="000000" w:sz="4" w:val="single"/>
              <w:left w:color="000000" w:sz="4" w:val="single"/>
              <w:bottom w:color="000000" w:sz="4" w:val="single"/>
              <w:right w:color="000000" w:sz="4" w:val="single"/>
            </w:tcBorders>
            <w:shd w:fill="auto" w:val="clear"/>
            <w:vAlign w:val="center"/>
          </w:tcPr>
          <w:p w14:paraId="460E0000">
            <w:pPr>
              <w:widowControl w:val="1"/>
              <w:ind w:firstLine="34"/>
              <w:contextualSpacing w:val="1"/>
              <w:jc w:val="center"/>
              <w:rPr>
                <w:color w:val="000000"/>
                <w:sz w:val="22"/>
              </w:rPr>
            </w:pPr>
            <w:r>
              <w:rPr>
                <w:color w:val="000000"/>
                <w:sz w:val="22"/>
              </w:rPr>
              <w:t xml:space="preserve">к </w:t>
            </w:r>
          </w:p>
          <w:p w14:paraId="470E0000">
            <w:pPr>
              <w:widowControl w:val="1"/>
              <w:ind w:firstLine="34"/>
              <w:contextualSpacing w:val="1"/>
              <w:jc w:val="center"/>
              <w:rPr>
                <w:color w:val="000000"/>
                <w:sz w:val="22"/>
              </w:rPr>
            </w:pPr>
            <w:r>
              <w:rPr>
                <w:color w:val="000000"/>
                <w:sz w:val="22"/>
              </w:rPr>
              <w:t>2017 г.</w:t>
            </w:r>
          </w:p>
        </w:tc>
        <w:tc>
          <w:tcPr>
            <w:tcW w:type="dxa" w:w="988"/>
            <w:tcBorders>
              <w:top w:color="000000" w:sz="4" w:val="single"/>
              <w:left w:color="000000" w:sz="4" w:val="single"/>
              <w:bottom w:color="000000" w:sz="4" w:val="single"/>
              <w:right w:color="000000" w:sz="4" w:val="single"/>
            </w:tcBorders>
            <w:shd w:fill="auto" w:val="clear"/>
            <w:vAlign w:val="center"/>
          </w:tcPr>
          <w:p w14:paraId="480E0000">
            <w:pPr>
              <w:widowControl w:val="1"/>
              <w:ind w:firstLine="34"/>
              <w:contextualSpacing w:val="1"/>
              <w:jc w:val="center"/>
              <w:rPr>
                <w:color w:val="000000"/>
                <w:sz w:val="22"/>
              </w:rPr>
            </w:pPr>
            <w:r>
              <w:rPr>
                <w:color w:val="000000"/>
                <w:sz w:val="22"/>
              </w:rPr>
              <w:t>к плану</w:t>
            </w:r>
          </w:p>
        </w:tc>
      </w:tr>
      <w:tr>
        <w:trPr>
          <w:trHeight w:hRule="atLeast" w:val="262"/>
          <w:tblHeader/>
        </w:trPr>
        <w:tc>
          <w:tcPr>
            <w:tcW w:type="dxa" w:w="572"/>
            <w:tcBorders>
              <w:top w:color="000000" w:sz="4" w:val="single"/>
              <w:left w:color="000000" w:sz="4" w:val="single"/>
              <w:bottom w:color="000000" w:sz="4" w:val="single"/>
              <w:right w:color="000000" w:sz="4" w:val="single"/>
            </w:tcBorders>
            <w:shd w:fill="auto" w:val="clear"/>
            <w:vAlign w:val="center"/>
          </w:tcPr>
          <w:p w14:paraId="490E0000">
            <w:pPr>
              <w:widowControl w:val="1"/>
              <w:ind w:firstLine="709" w:left="-713"/>
              <w:contextualSpacing w:val="1"/>
              <w:jc w:val="center"/>
              <w:rPr>
                <w:i w:val="1"/>
                <w:sz w:val="22"/>
              </w:rPr>
            </w:pPr>
            <w:r>
              <w:rPr>
                <w:i w:val="1"/>
                <w:sz w:val="22"/>
              </w:rPr>
              <w:t>1</w:t>
            </w:r>
          </w:p>
        </w:tc>
        <w:tc>
          <w:tcPr>
            <w:tcW w:type="dxa" w:w="1558"/>
            <w:tcBorders>
              <w:top w:color="000000" w:sz="4" w:val="single"/>
              <w:left w:color="000000" w:sz="4" w:val="single"/>
              <w:bottom w:color="000000" w:sz="4" w:val="single"/>
              <w:right w:color="000000" w:sz="4" w:val="single"/>
            </w:tcBorders>
            <w:shd w:fill="auto" w:val="clear"/>
            <w:vAlign w:val="center"/>
          </w:tcPr>
          <w:p w14:paraId="4A0E0000">
            <w:pPr>
              <w:widowControl w:val="1"/>
              <w:ind w:firstLine="34"/>
              <w:contextualSpacing w:val="1"/>
              <w:jc w:val="center"/>
              <w:rPr>
                <w:i w:val="1"/>
                <w:sz w:val="22"/>
              </w:rPr>
            </w:pPr>
            <w:r>
              <w:rPr>
                <w:i w:val="1"/>
                <w:sz w:val="22"/>
              </w:rPr>
              <w:t>2</w:t>
            </w:r>
          </w:p>
        </w:tc>
        <w:tc>
          <w:tcPr>
            <w:tcW w:type="dxa" w:w="1417"/>
            <w:tcBorders>
              <w:top w:color="000000" w:sz="4" w:val="single"/>
              <w:left w:color="000000" w:sz="4" w:val="single"/>
              <w:bottom w:color="000000" w:sz="4" w:val="single"/>
              <w:right w:color="000000" w:sz="4" w:val="single"/>
            </w:tcBorders>
            <w:shd w:fill="auto" w:val="clear"/>
            <w:vAlign w:val="center"/>
          </w:tcPr>
          <w:p w14:paraId="4B0E0000">
            <w:pPr>
              <w:widowControl w:val="1"/>
              <w:ind w:firstLine="34"/>
              <w:contextualSpacing w:val="1"/>
              <w:jc w:val="center"/>
              <w:rPr>
                <w:i w:val="1"/>
                <w:sz w:val="22"/>
              </w:rPr>
            </w:pPr>
            <w:r>
              <w:rPr>
                <w:i w:val="1"/>
                <w:sz w:val="22"/>
              </w:rPr>
              <w:t>3</w:t>
            </w:r>
          </w:p>
        </w:tc>
        <w:tc>
          <w:tcPr>
            <w:tcW w:type="dxa" w:w="1280"/>
            <w:tcBorders>
              <w:top w:color="000000" w:sz="4" w:val="single"/>
              <w:left w:color="000000" w:sz="4" w:val="single"/>
              <w:bottom w:color="000000" w:sz="4" w:val="single"/>
              <w:right w:color="000000" w:sz="4" w:val="single"/>
            </w:tcBorders>
            <w:vAlign w:val="center"/>
          </w:tcPr>
          <w:p w14:paraId="4C0E0000">
            <w:pPr>
              <w:widowControl w:val="1"/>
              <w:ind w:firstLine="34"/>
              <w:contextualSpacing w:val="1"/>
              <w:jc w:val="center"/>
              <w:rPr>
                <w:i w:val="1"/>
                <w:sz w:val="22"/>
              </w:rPr>
            </w:pPr>
            <w:r>
              <w:rPr>
                <w:i w:val="1"/>
                <w:sz w:val="22"/>
              </w:rPr>
              <w:t>4</w:t>
            </w:r>
          </w:p>
        </w:tc>
        <w:tc>
          <w:tcPr>
            <w:tcW w:type="dxa" w:w="1555"/>
            <w:tcBorders>
              <w:top w:color="000000" w:sz="4" w:val="single"/>
              <w:left w:color="000000" w:sz="4" w:val="single"/>
              <w:bottom w:color="000000" w:sz="4" w:val="single"/>
              <w:right w:color="000000" w:sz="4" w:val="single"/>
            </w:tcBorders>
            <w:vAlign w:val="center"/>
          </w:tcPr>
          <w:p w14:paraId="4D0E0000">
            <w:pPr>
              <w:widowControl w:val="1"/>
              <w:ind w:firstLine="34"/>
              <w:contextualSpacing w:val="1"/>
              <w:jc w:val="center"/>
              <w:rPr>
                <w:i w:val="1"/>
                <w:sz w:val="22"/>
              </w:rPr>
            </w:pPr>
            <w:r>
              <w:rPr>
                <w:i w:val="1"/>
                <w:sz w:val="22"/>
              </w:rPr>
              <w:t>5</w:t>
            </w:r>
          </w:p>
        </w:tc>
        <w:tc>
          <w:tcPr>
            <w:tcW w:type="dxa" w:w="1280"/>
            <w:tcBorders>
              <w:top w:color="000000" w:sz="4" w:val="single"/>
              <w:left w:color="000000" w:sz="4" w:val="single"/>
              <w:bottom w:color="000000" w:sz="4" w:val="single"/>
              <w:right w:color="000000" w:sz="4" w:val="single"/>
            </w:tcBorders>
            <w:vAlign w:val="center"/>
          </w:tcPr>
          <w:p w14:paraId="4E0E0000">
            <w:pPr>
              <w:widowControl w:val="1"/>
              <w:ind w:firstLine="34"/>
              <w:contextualSpacing w:val="1"/>
              <w:jc w:val="center"/>
              <w:rPr>
                <w:i w:val="1"/>
                <w:sz w:val="22"/>
              </w:rPr>
            </w:pPr>
            <w:r>
              <w:rPr>
                <w:i w:val="1"/>
                <w:sz w:val="22"/>
              </w:rPr>
              <w:t>6</w:t>
            </w:r>
          </w:p>
        </w:tc>
        <w:tc>
          <w:tcPr>
            <w:tcW w:type="dxa" w:w="1134"/>
            <w:tcBorders>
              <w:top w:color="000000" w:sz="4" w:val="single"/>
              <w:left w:color="000000" w:sz="4" w:val="single"/>
              <w:bottom w:color="000000" w:sz="4" w:val="single"/>
              <w:right w:color="000000" w:sz="4" w:val="single"/>
            </w:tcBorders>
            <w:shd w:fill="auto" w:val="clear"/>
            <w:vAlign w:val="center"/>
          </w:tcPr>
          <w:p w14:paraId="4F0E0000">
            <w:pPr>
              <w:widowControl w:val="1"/>
              <w:ind w:firstLine="34"/>
              <w:contextualSpacing w:val="1"/>
              <w:jc w:val="center"/>
              <w:rPr>
                <w:i w:val="1"/>
                <w:sz w:val="22"/>
              </w:rPr>
            </w:pPr>
            <w:r>
              <w:rPr>
                <w:i w:val="1"/>
                <w:sz w:val="22"/>
              </w:rPr>
              <w:t>7</w:t>
            </w:r>
          </w:p>
        </w:tc>
        <w:tc>
          <w:tcPr>
            <w:tcW w:type="dxa" w:w="988"/>
            <w:tcBorders>
              <w:top w:color="000000" w:sz="4" w:val="single"/>
              <w:left w:color="000000" w:sz="4" w:val="single"/>
              <w:bottom w:color="000000" w:sz="4" w:val="single"/>
              <w:right w:color="000000" w:sz="4" w:val="single"/>
            </w:tcBorders>
            <w:shd w:fill="auto" w:val="clear"/>
            <w:vAlign w:val="center"/>
          </w:tcPr>
          <w:p w14:paraId="500E0000">
            <w:pPr>
              <w:widowControl w:val="1"/>
              <w:ind w:firstLine="34"/>
              <w:contextualSpacing w:val="1"/>
              <w:jc w:val="center"/>
              <w:rPr>
                <w:i w:val="1"/>
                <w:sz w:val="22"/>
              </w:rPr>
            </w:pPr>
            <w:r>
              <w:rPr>
                <w:i w:val="1"/>
                <w:sz w:val="22"/>
              </w:rPr>
              <w:t>8</w:t>
            </w:r>
          </w:p>
        </w:tc>
      </w:tr>
      <w:tr>
        <w:trPr>
          <w:trHeight w:hRule="atLeast" w:val="269"/>
        </w:trPr>
        <w:tc>
          <w:tcPr>
            <w:tcW w:type="dxa" w:w="572"/>
            <w:tcBorders>
              <w:top w:color="000000" w:sz="4" w:val="single"/>
              <w:left w:color="000000" w:sz="4" w:val="single"/>
              <w:bottom w:color="000000" w:sz="4" w:val="single"/>
              <w:right w:color="000000" w:sz="4" w:val="single"/>
            </w:tcBorders>
            <w:shd w:fill="auto" w:val="clear"/>
            <w:vAlign w:val="center"/>
          </w:tcPr>
          <w:p w14:paraId="510E0000">
            <w:pPr>
              <w:widowControl w:val="1"/>
              <w:ind w:firstLine="709" w:left="-713"/>
              <w:contextualSpacing w:val="1"/>
              <w:jc w:val="center"/>
              <w:rPr>
                <w:b w:val="1"/>
                <w:sz w:val="22"/>
              </w:rPr>
            </w:pPr>
          </w:p>
        </w:tc>
        <w:tc>
          <w:tcPr>
            <w:tcW w:type="dxa" w:w="1558"/>
            <w:tcBorders>
              <w:top w:color="000000" w:sz="4" w:val="single"/>
              <w:left w:color="000000" w:sz="4" w:val="single"/>
              <w:bottom w:color="000000" w:sz="4" w:val="single"/>
              <w:right w:color="000000" w:sz="4" w:val="single"/>
            </w:tcBorders>
            <w:shd w:fill="auto" w:val="clear"/>
            <w:vAlign w:val="center"/>
          </w:tcPr>
          <w:p w14:paraId="520E0000">
            <w:pPr>
              <w:widowControl w:val="1"/>
              <w:ind w:firstLine="34"/>
              <w:contextualSpacing w:val="1"/>
              <w:rPr>
                <w:b w:val="1"/>
                <w:sz w:val="22"/>
              </w:rPr>
            </w:pPr>
            <w:r>
              <w:rPr>
                <w:b w:val="1"/>
                <w:sz w:val="22"/>
              </w:rPr>
              <w:t>ДОХОДЫ</w:t>
            </w:r>
          </w:p>
        </w:tc>
        <w:tc>
          <w:tcPr>
            <w:tcW w:type="dxa" w:w="1417"/>
            <w:tcBorders>
              <w:top w:color="000000" w:sz="4" w:val="single"/>
              <w:left w:color="000000" w:sz="4" w:val="single"/>
              <w:bottom w:color="000000" w:sz="4" w:val="single"/>
              <w:right w:color="000000" w:sz="4" w:val="single"/>
            </w:tcBorders>
            <w:shd w:fill="auto" w:val="clear"/>
            <w:vAlign w:val="center"/>
          </w:tcPr>
          <w:p w14:paraId="530E0000">
            <w:pPr>
              <w:widowControl w:val="1"/>
              <w:ind w:firstLine="34"/>
              <w:contextualSpacing w:val="1"/>
              <w:jc w:val="center"/>
              <w:rPr>
                <w:b w:val="1"/>
                <w:sz w:val="22"/>
              </w:rPr>
            </w:pPr>
          </w:p>
        </w:tc>
        <w:tc>
          <w:tcPr>
            <w:tcW w:type="dxa" w:w="1280"/>
            <w:tcBorders>
              <w:top w:color="000000" w:sz="4" w:val="single"/>
              <w:left w:color="000000" w:sz="4" w:val="single"/>
              <w:bottom w:color="000000" w:sz="4" w:val="single"/>
              <w:right w:color="000000" w:sz="4" w:val="single"/>
            </w:tcBorders>
            <w:vAlign w:val="center"/>
          </w:tcPr>
          <w:p w14:paraId="540E0000">
            <w:pPr>
              <w:widowControl w:val="1"/>
              <w:ind w:firstLine="34"/>
              <w:contextualSpacing w:val="1"/>
              <w:jc w:val="center"/>
              <w:rPr>
                <w:b w:val="1"/>
                <w:sz w:val="22"/>
              </w:rPr>
            </w:pPr>
          </w:p>
        </w:tc>
        <w:tc>
          <w:tcPr>
            <w:tcW w:type="dxa" w:w="1555"/>
            <w:tcBorders>
              <w:top w:color="000000" w:sz="4" w:val="single"/>
              <w:left w:color="000000" w:sz="4" w:val="single"/>
              <w:bottom w:color="000000" w:sz="4" w:val="single"/>
              <w:right w:color="000000" w:sz="4" w:val="single"/>
            </w:tcBorders>
            <w:vAlign w:val="center"/>
          </w:tcPr>
          <w:p w14:paraId="550E0000">
            <w:pPr>
              <w:widowControl w:val="1"/>
              <w:ind w:firstLine="34"/>
              <w:contextualSpacing w:val="1"/>
              <w:jc w:val="center"/>
              <w:rPr>
                <w:b w:val="1"/>
                <w:sz w:val="22"/>
              </w:rPr>
            </w:pPr>
          </w:p>
        </w:tc>
        <w:tc>
          <w:tcPr>
            <w:tcW w:type="dxa" w:w="1280"/>
            <w:tcBorders>
              <w:top w:color="000000" w:sz="4" w:val="single"/>
              <w:left w:color="000000" w:sz="4" w:val="single"/>
              <w:bottom w:color="000000" w:sz="4" w:val="single"/>
              <w:right w:color="000000" w:sz="4" w:val="single"/>
            </w:tcBorders>
            <w:vAlign w:val="center"/>
          </w:tcPr>
          <w:p w14:paraId="560E0000">
            <w:pPr>
              <w:widowControl w:val="1"/>
              <w:ind w:firstLine="34"/>
              <w:contextualSpacing w:val="1"/>
              <w:jc w:val="center"/>
              <w:rPr>
                <w:b w:val="1"/>
                <w:sz w:val="22"/>
              </w:rPr>
            </w:pPr>
          </w:p>
        </w:tc>
        <w:tc>
          <w:tcPr>
            <w:tcW w:type="dxa" w:w="1134"/>
            <w:tcBorders>
              <w:top w:color="000000" w:sz="4" w:val="single"/>
              <w:left w:color="000000" w:sz="4" w:val="single"/>
              <w:bottom w:color="000000" w:sz="4" w:val="single"/>
              <w:right w:color="000000" w:sz="4" w:val="single"/>
            </w:tcBorders>
            <w:shd w:fill="auto" w:val="clear"/>
            <w:vAlign w:val="center"/>
          </w:tcPr>
          <w:p w14:paraId="570E0000">
            <w:pPr>
              <w:widowControl w:val="1"/>
              <w:ind w:firstLine="34"/>
              <w:contextualSpacing w:val="1"/>
              <w:jc w:val="center"/>
              <w:rPr>
                <w:b w:val="1"/>
                <w:sz w:val="22"/>
              </w:rPr>
            </w:pPr>
          </w:p>
        </w:tc>
        <w:tc>
          <w:tcPr>
            <w:tcW w:type="dxa" w:w="988"/>
            <w:tcBorders>
              <w:top w:color="000000" w:sz="4" w:val="single"/>
              <w:left w:color="000000" w:sz="4" w:val="single"/>
              <w:bottom w:color="000000" w:sz="4" w:val="single"/>
              <w:right w:color="000000" w:sz="4" w:val="single"/>
            </w:tcBorders>
            <w:shd w:fill="auto" w:val="clear"/>
            <w:vAlign w:val="center"/>
          </w:tcPr>
          <w:p w14:paraId="580E0000">
            <w:pPr>
              <w:widowControl w:val="1"/>
              <w:ind w:firstLine="34"/>
              <w:contextualSpacing w:val="1"/>
              <w:jc w:val="center"/>
              <w:rPr>
                <w:b w:val="1"/>
                <w:sz w:val="22"/>
              </w:rPr>
            </w:pPr>
          </w:p>
        </w:tc>
      </w:tr>
      <w:tr>
        <w:trPr>
          <w:trHeight w:hRule="atLeast" w:val="839"/>
        </w:trPr>
        <w:tc>
          <w:tcPr>
            <w:tcW w:type="dxa" w:w="572"/>
            <w:tcBorders>
              <w:top w:color="000000" w:sz="4" w:val="single"/>
              <w:left w:color="000000" w:sz="4" w:val="single"/>
              <w:bottom w:color="000000" w:sz="4" w:val="single"/>
              <w:right w:color="000000" w:sz="4" w:val="single"/>
            </w:tcBorders>
            <w:shd w:fill="auto" w:val="clear"/>
            <w:vAlign w:val="center"/>
          </w:tcPr>
          <w:p w14:paraId="590E0000">
            <w:pPr>
              <w:widowControl w:val="1"/>
              <w:ind w:firstLine="709" w:left="-713"/>
              <w:contextualSpacing w:val="1"/>
              <w:jc w:val="center"/>
              <w:rPr>
                <w:sz w:val="22"/>
              </w:rPr>
            </w:pPr>
            <w:r>
              <w:rPr>
                <w:sz w:val="22"/>
              </w:rPr>
              <w:t>1.</w:t>
            </w:r>
          </w:p>
        </w:tc>
        <w:tc>
          <w:tcPr>
            <w:tcW w:type="dxa" w:w="1558"/>
            <w:tcBorders>
              <w:top w:color="000000" w:sz="4" w:val="single"/>
              <w:left w:color="000000" w:sz="4" w:val="single"/>
              <w:bottom w:color="000000" w:sz="4" w:val="single"/>
              <w:right w:color="000000" w:sz="4" w:val="single"/>
            </w:tcBorders>
            <w:shd w:fill="auto" w:val="clear"/>
            <w:vAlign w:val="center"/>
          </w:tcPr>
          <w:p w14:paraId="5A0E0000">
            <w:pPr>
              <w:widowControl w:val="1"/>
              <w:ind w:firstLine="34"/>
              <w:contextualSpacing w:val="1"/>
              <w:rPr>
                <w:b w:val="1"/>
                <w:sz w:val="22"/>
              </w:rPr>
            </w:pPr>
            <w:r>
              <w:rPr>
                <w:b w:val="1"/>
                <w:sz w:val="22"/>
              </w:rPr>
              <w:t>Доходы по основной деятельности</w:t>
            </w:r>
          </w:p>
        </w:tc>
        <w:tc>
          <w:tcPr>
            <w:tcW w:type="dxa" w:w="1417"/>
            <w:tcBorders>
              <w:top w:color="000000" w:sz="4" w:val="single"/>
              <w:left w:color="000000" w:sz="4" w:val="single"/>
              <w:bottom w:color="000000" w:sz="4" w:val="single"/>
              <w:right w:color="000000" w:sz="4" w:val="single"/>
            </w:tcBorders>
            <w:shd w:fill="auto" w:val="clear"/>
            <w:vAlign w:val="center"/>
          </w:tcPr>
          <w:p w14:paraId="5B0E0000">
            <w:pPr>
              <w:widowControl w:val="1"/>
              <w:ind w:firstLine="34"/>
              <w:contextualSpacing w:val="1"/>
              <w:jc w:val="center"/>
              <w:rPr>
                <w:color w:val="000000"/>
                <w:sz w:val="22"/>
              </w:rPr>
            </w:pPr>
            <w:r>
              <w:rPr>
                <w:color w:val="000000"/>
                <w:sz w:val="22"/>
              </w:rPr>
              <w:t>313 954</w:t>
            </w:r>
          </w:p>
        </w:tc>
        <w:tc>
          <w:tcPr>
            <w:tcW w:type="dxa" w:w="1280"/>
            <w:tcBorders>
              <w:top w:color="000000" w:sz="4" w:val="single"/>
              <w:left w:color="000000" w:sz="4" w:val="single"/>
              <w:bottom w:color="000000" w:sz="4" w:val="single"/>
              <w:right w:color="000000" w:sz="4" w:val="single"/>
            </w:tcBorders>
            <w:vAlign w:val="center"/>
          </w:tcPr>
          <w:p w14:paraId="5C0E0000">
            <w:pPr>
              <w:widowControl w:val="1"/>
              <w:ind w:firstLine="34"/>
              <w:contextualSpacing w:val="1"/>
              <w:jc w:val="center"/>
              <w:rPr>
                <w:color w:val="000000"/>
                <w:sz w:val="22"/>
              </w:rPr>
            </w:pPr>
            <w:r>
              <w:rPr>
                <w:color w:val="000000"/>
                <w:sz w:val="22"/>
              </w:rPr>
              <w:t>322 289</w:t>
            </w:r>
          </w:p>
        </w:tc>
        <w:tc>
          <w:tcPr>
            <w:tcW w:type="dxa" w:w="1555"/>
            <w:tcBorders>
              <w:top w:color="000000" w:sz="4" w:val="single"/>
              <w:left w:color="000000" w:sz="4" w:val="single"/>
              <w:bottom w:color="000000" w:sz="4" w:val="single"/>
              <w:right w:color="000000" w:sz="4" w:val="single"/>
            </w:tcBorders>
            <w:vAlign w:val="center"/>
          </w:tcPr>
          <w:p w14:paraId="5D0E0000">
            <w:pPr>
              <w:widowControl w:val="1"/>
              <w:ind w:firstLine="34"/>
              <w:contextualSpacing w:val="1"/>
              <w:jc w:val="center"/>
              <w:rPr>
                <w:color w:val="000000"/>
                <w:sz w:val="22"/>
              </w:rPr>
            </w:pPr>
            <w:r>
              <w:rPr>
                <w:color w:val="000000"/>
                <w:sz w:val="22"/>
              </w:rPr>
              <w:t>331 663</w:t>
            </w:r>
          </w:p>
        </w:tc>
        <w:tc>
          <w:tcPr>
            <w:tcW w:type="dxa" w:w="1280"/>
            <w:tcBorders>
              <w:top w:color="000000" w:sz="4" w:val="single"/>
              <w:left w:color="000000" w:sz="4" w:val="single"/>
              <w:bottom w:color="000000" w:sz="4" w:val="single"/>
              <w:right w:color="000000" w:sz="4" w:val="single"/>
            </w:tcBorders>
            <w:vAlign w:val="center"/>
          </w:tcPr>
          <w:p w14:paraId="5E0E0000">
            <w:pPr>
              <w:widowControl w:val="1"/>
              <w:ind w:firstLine="34"/>
              <w:contextualSpacing w:val="1"/>
              <w:jc w:val="center"/>
              <w:rPr>
                <w:color w:val="000000"/>
                <w:sz w:val="22"/>
              </w:rPr>
            </w:pPr>
            <w:r>
              <w:rPr>
                <w:color w:val="000000"/>
                <w:sz w:val="22"/>
              </w:rPr>
              <w:t>329 239</w:t>
            </w:r>
          </w:p>
        </w:tc>
        <w:tc>
          <w:tcPr>
            <w:tcW w:type="dxa" w:w="1134"/>
            <w:tcBorders>
              <w:top w:color="000000" w:sz="4" w:val="single"/>
              <w:left w:color="000000" w:sz="4" w:val="single"/>
              <w:bottom w:color="000000" w:sz="4" w:val="single"/>
              <w:right w:color="000000" w:sz="4" w:val="single"/>
            </w:tcBorders>
            <w:shd w:fill="auto" w:val="clear"/>
            <w:vAlign w:val="center"/>
          </w:tcPr>
          <w:p w14:paraId="5F0E0000">
            <w:pPr>
              <w:widowControl w:val="1"/>
              <w:ind w:firstLine="34"/>
              <w:contextualSpacing w:val="1"/>
              <w:jc w:val="center"/>
              <w:rPr>
                <w:i w:val="1"/>
                <w:color w:val="000000"/>
                <w:sz w:val="22"/>
              </w:rPr>
            </w:pPr>
            <w:r>
              <w:rPr>
                <w:i w:val="1"/>
                <w:color w:val="000000"/>
                <w:sz w:val="22"/>
              </w:rPr>
              <w:t>102</w:t>
            </w:r>
          </w:p>
        </w:tc>
        <w:tc>
          <w:tcPr>
            <w:tcW w:type="dxa" w:w="988"/>
            <w:tcBorders>
              <w:top w:color="000000" w:sz="4" w:val="single"/>
              <w:left w:color="000000" w:sz="4" w:val="single"/>
              <w:bottom w:color="000000" w:sz="4" w:val="single"/>
              <w:right w:color="000000" w:sz="4" w:val="single"/>
            </w:tcBorders>
            <w:shd w:fill="auto" w:val="clear"/>
            <w:vAlign w:val="center"/>
          </w:tcPr>
          <w:p w14:paraId="600E0000">
            <w:pPr>
              <w:widowControl w:val="1"/>
              <w:ind w:firstLine="34"/>
              <w:contextualSpacing w:val="1"/>
              <w:jc w:val="center"/>
              <w:rPr>
                <w:i w:val="1"/>
                <w:color w:val="000000"/>
                <w:sz w:val="22"/>
              </w:rPr>
            </w:pPr>
            <w:r>
              <w:rPr>
                <w:i w:val="1"/>
                <w:color w:val="000000"/>
                <w:sz w:val="22"/>
              </w:rPr>
              <w:t>99</w:t>
            </w:r>
          </w:p>
        </w:tc>
      </w:tr>
      <w:tr>
        <w:trPr>
          <w:trHeight w:hRule="atLeast" w:val="707"/>
        </w:trPr>
        <w:tc>
          <w:tcPr>
            <w:tcW w:type="dxa" w:w="572"/>
            <w:tcBorders>
              <w:top w:color="000000" w:sz="4" w:val="single"/>
              <w:left w:color="000000" w:sz="4" w:val="single"/>
              <w:bottom w:color="000000" w:sz="4" w:val="single"/>
              <w:right w:color="000000" w:sz="4" w:val="single"/>
            </w:tcBorders>
            <w:shd w:fill="auto" w:val="clear"/>
            <w:vAlign w:val="center"/>
          </w:tcPr>
          <w:p w14:paraId="610E0000">
            <w:pPr>
              <w:widowControl w:val="1"/>
              <w:ind w:firstLine="709" w:left="-713"/>
              <w:contextualSpacing w:val="1"/>
              <w:jc w:val="center"/>
              <w:rPr>
                <w:sz w:val="22"/>
              </w:rPr>
            </w:pPr>
            <w:r>
              <w:rPr>
                <w:sz w:val="22"/>
              </w:rPr>
              <w:t>2.</w:t>
            </w:r>
          </w:p>
        </w:tc>
        <w:tc>
          <w:tcPr>
            <w:tcW w:type="dxa" w:w="1558"/>
            <w:tcBorders>
              <w:top w:color="000000" w:sz="4" w:val="single"/>
              <w:left w:color="000000" w:sz="4" w:val="single"/>
              <w:bottom w:color="000000" w:sz="4" w:val="single"/>
              <w:right w:color="000000" w:sz="4" w:val="single"/>
            </w:tcBorders>
            <w:shd w:fill="auto" w:val="clear"/>
            <w:vAlign w:val="center"/>
          </w:tcPr>
          <w:p w14:paraId="620E0000">
            <w:pPr>
              <w:widowControl w:val="1"/>
              <w:ind w:firstLine="34"/>
              <w:contextualSpacing w:val="1"/>
              <w:rPr>
                <w:b w:val="1"/>
                <w:sz w:val="22"/>
              </w:rPr>
            </w:pPr>
            <w:r>
              <w:rPr>
                <w:b w:val="1"/>
                <w:sz w:val="22"/>
              </w:rPr>
              <w:t>Доходы от прочих видов деятельности</w:t>
            </w:r>
          </w:p>
        </w:tc>
        <w:tc>
          <w:tcPr>
            <w:tcW w:type="dxa" w:w="1417"/>
            <w:tcBorders>
              <w:top w:color="000000" w:sz="4" w:val="single"/>
              <w:left w:color="000000" w:sz="4" w:val="single"/>
              <w:bottom w:color="000000" w:sz="4" w:val="single"/>
              <w:right w:color="000000" w:sz="4" w:val="single"/>
            </w:tcBorders>
            <w:shd w:fill="auto" w:val="clear"/>
            <w:vAlign w:val="center"/>
          </w:tcPr>
          <w:p w14:paraId="630E0000">
            <w:pPr>
              <w:widowControl w:val="1"/>
              <w:ind w:firstLine="34"/>
              <w:contextualSpacing w:val="1"/>
              <w:jc w:val="center"/>
              <w:rPr>
                <w:color w:val="000000"/>
                <w:sz w:val="22"/>
              </w:rPr>
            </w:pPr>
            <w:r>
              <w:rPr>
                <w:color w:val="000000"/>
                <w:sz w:val="22"/>
              </w:rPr>
              <w:t>4 532</w:t>
            </w:r>
          </w:p>
        </w:tc>
        <w:tc>
          <w:tcPr>
            <w:tcW w:type="dxa" w:w="1280"/>
            <w:tcBorders>
              <w:top w:color="000000" w:sz="4" w:val="single"/>
              <w:left w:color="000000" w:sz="4" w:val="single"/>
              <w:bottom w:color="000000" w:sz="4" w:val="single"/>
              <w:right w:color="000000" w:sz="4" w:val="single"/>
            </w:tcBorders>
            <w:vAlign w:val="center"/>
          </w:tcPr>
          <w:p w14:paraId="640E0000">
            <w:pPr>
              <w:widowControl w:val="1"/>
              <w:ind w:firstLine="34"/>
              <w:contextualSpacing w:val="1"/>
              <w:jc w:val="center"/>
              <w:rPr>
                <w:color w:val="000000"/>
                <w:sz w:val="22"/>
              </w:rPr>
            </w:pPr>
            <w:r>
              <w:rPr>
                <w:color w:val="000000"/>
                <w:sz w:val="22"/>
              </w:rPr>
              <w:t>4 349</w:t>
            </w:r>
          </w:p>
        </w:tc>
        <w:tc>
          <w:tcPr>
            <w:tcW w:type="dxa" w:w="1555"/>
            <w:tcBorders>
              <w:top w:color="000000" w:sz="4" w:val="single"/>
              <w:left w:color="000000" w:sz="4" w:val="single"/>
              <w:bottom w:color="000000" w:sz="4" w:val="single"/>
              <w:right w:color="000000" w:sz="4" w:val="single"/>
            </w:tcBorders>
            <w:vAlign w:val="center"/>
          </w:tcPr>
          <w:p w14:paraId="650E0000">
            <w:pPr>
              <w:widowControl w:val="1"/>
              <w:ind w:firstLine="34"/>
              <w:contextualSpacing w:val="1"/>
              <w:jc w:val="center"/>
              <w:rPr>
                <w:color w:val="000000"/>
                <w:sz w:val="22"/>
              </w:rPr>
            </w:pPr>
            <w:r>
              <w:rPr>
                <w:color w:val="000000"/>
                <w:sz w:val="22"/>
              </w:rPr>
              <w:t>4 126</w:t>
            </w:r>
          </w:p>
        </w:tc>
        <w:tc>
          <w:tcPr>
            <w:tcW w:type="dxa" w:w="1280"/>
            <w:tcBorders>
              <w:top w:color="000000" w:sz="4" w:val="single"/>
              <w:left w:color="000000" w:sz="4" w:val="single"/>
              <w:bottom w:color="000000" w:sz="4" w:val="single"/>
              <w:right w:color="000000" w:sz="4" w:val="single"/>
            </w:tcBorders>
            <w:vAlign w:val="center"/>
          </w:tcPr>
          <w:p w14:paraId="660E0000">
            <w:pPr>
              <w:widowControl w:val="1"/>
              <w:ind w:firstLine="34"/>
              <w:contextualSpacing w:val="1"/>
              <w:jc w:val="center"/>
              <w:rPr>
                <w:color w:val="000000"/>
                <w:sz w:val="22"/>
              </w:rPr>
            </w:pPr>
            <w:r>
              <w:rPr>
                <w:color w:val="000000"/>
                <w:sz w:val="22"/>
              </w:rPr>
              <w:t>5 870</w:t>
            </w:r>
          </w:p>
        </w:tc>
        <w:tc>
          <w:tcPr>
            <w:tcW w:type="dxa" w:w="1134"/>
            <w:tcBorders>
              <w:top w:color="000000" w:sz="4" w:val="single"/>
              <w:left w:color="000000" w:sz="4" w:val="single"/>
              <w:bottom w:color="000000" w:sz="4" w:val="single"/>
              <w:right w:color="000000" w:sz="4" w:val="single"/>
            </w:tcBorders>
            <w:shd w:fill="auto" w:val="clear"/>
            <w:vAlign w:val="center"/>
          </w:tcPr>
          <w:p w14:paraId="670E0000">
            <w:pPr>
              <w:widowControl w:val="1"/>
              <w:ind w:firstLine="34"/>
              <w:contextualSpacing w:val="1"/>
              <w:jc w:val="center"/>
              <w:rPr>
                <w:i w:val="1"/>
                <w:color w:val="000000"/>
                <w:sz w:val="22"/>
              </w:rPr>
            </w:pPr>
            <w:r>
              <w:rPr>
                <w:i w:val="1"/>
                <w:color w:val="000000"/>
                <w:sz w:val="22"/>
              </w:rPr>
              <w:t>135</w:t>
            </w:r>
          </w:p>
        </w:tc>
        <w:tc>
          <w:tcPr>
            <w:tcW w:type="dxa" w:w="988"/>
            <w:tcBorders>
              <w:top w:color="000000" w:sz="4" w:val="single"/>
              <w:left w:color="000000" w:sz="4" w:val="single"/>
              <w:bottom w:color="000000" w:sz="4" w:val="single"/>
              <w:right w:color="000000" w:sz="4" w:val="single"/>
            </w:tcBorders>
            <w:shd w:fill="auto" w:val="clear"/>
            <w:vAlign w:val="center"/>
          </w:tcPr>
          <w:p w14:paraId="680E0000">
            <w:pPr>
              <w:widowControl w:val="1"/>
              <w:ind w:firstLine="34"/>
              <w:contextualSpacing w:val="1"/>
              <w:jc w:val="center"/>
              <w:rPr>
                <w:i w:val="1"/>
                <w:color w:val="000000"/>
                <w:sz w:val="22"/>
              </w:rPr>
            </w:pPr>
            <w:r>
              <w:rPr>
                <w:i w:val="1"/>
                <w:color w:val="000000"/>
                <w:sz w:val="22"/>
              </w:rPr>
              <w:t>142</w:t>
            </w:r>
          </w:p>
        </w:tc>
      </w:tr>
      <w:tr>
        <w:trPr>
          <w:trHeight w:hRule="atLeast" w:val="441"/>
        </w:trPr>
        <w:tc>
          <w:tcPr>
            <w:tcW w:type="dxa" w:w="572"/>
            <w:tcBorders>
              <w:top w:color="000000" w:sz="4" w:val="single"/>
              <w:left w:color="000000" w:sz="4" w:val="single"/>
              <w:bottom w:color="000000" w:sz="4" w:val="single"/>
              <w:right w:color="000000" w:sz="4" w:val="single"/>
            </w:tcBorders>
            <w:shd w:fill="auto" w:val="clear"/>
            <w:vAlign w:val="center"/>
          </w:tcPr>
          <w:p w14:paraId="690E0000">
            <w:pPr>
              <w:widowControl w:val="1"/>
              <w:ind w:firstLine="709" w:left="-713"/>
              <w:contextualSpacing w:val="1"/>
              <w:jc w:val="center"/>
              <w:rPr>
                <w:b w:val="1"/>
                <w:sz w:val="22"/>
              </w:rPr>
            </w:pPr>
            <w:r>
              <w:rPr>
                <w:b w:val="1"/>
                <w:sz w:val="22"/>
              </w:rPr>
              <w:t>3.</w:t>
            </w:r>
          </w:p>
        </w:tc>
        <w:tc>
          <w:tcPr>
            <w:tcW w:type="dxa" w:w="1558"/>
            <w:tcBorders>
              <w:top w:color="000000" w:sz="4" w:val="single"/>
              <w:left w:color="000000" w:sz="4" w:val="single"/>
              <w:bottom w:color="000000" w:sz="4" w:val="single"/>
              <w:right w:color="000000" w:sz="4" w:val="single"/>
            </w:tcBorders>
            <w:shd w:fill="auto" w:val="clear"/>
            <w:vAlign w:val="center"/>
          </w:tcPr>
          <w:p w14:paraId="6A0E0000">
            <w:pPr>
              <w:widowControl w:val="1"/>
              <w:ind w:firstLine="34"/>
              <w:contextualSpacing w:val="1"/>
              <w:rPr>
                <w:b w:val="1"/>
                <w:sz w:val="22"/>
              </w:rPr>
            </w:pPr>
            <w:r>
              <w:rPr>
                <w:b w:val="1"/>
                <w:sz w:val="22"/>
              </w:rPr>
              <w:t>Прочие доходы</w:t>
            </w:r>
          </w:p>
        </w:tc>
        <w:tc>
          <w:tcPr>
            <w:tcW w:type="dxa" w:w="1417"/>
            <w:tcBorders>
              <w:top w:color="000000" w:sz="4" w:val="single"/>
              <w:left w:color="000000" w:sz="4" w:val="single"/>
              <w:bottom w:color="000000" w:sz="4" w:val="single"/>
              <w:right w:color="000000" w:sz="4" w:val="single"/>
            </w:tcBorders>
            <w:shd w:fill="auto" w:val="clear"/>
            <w:vAlign w:val="center"/>
          </w:tcPr>
          <w:p w14:paraId="6B0E0000">
            <w:pPr>
              <w:widowControl w:val="1"/>
              <w:ind w:firstLine="34"/>
              <w:contextualSpacing w:val="1"/>
              <w:jc w:val="center"/>
              <w:rPr>
                <w:color w:val="000000"/>
                <w:sz w:val="22"/>
              </w:rPr>
            </w:pPr>
            <w:r>
              <w:rPr>
                <w:color w:val="000000"/>
                <w:sz w:val="22"/>
              </w:rPr>
              <w:t>379 619</w:t>
            </w:r>
          </w:p>
        </w:tc>
        <w:tc>
          <w:tcPr>
            <w:tcW w:type="dxa" w:w="1280"/>
            <w:tcBorders>
              <w:top w:color="000000" w:sz="4" w:val="single"/>
              <w:left w:color="000000" w:sz="4" w:val="single"/>
              <w:bottom w:color="000000" w:sz="4" w:val="single"/>
              <w:right w:color="000000" w:sz="4" w:val="single"/>
            </w:tcBorders>
            <w:vAlign w:val="center"/>
          </w:tcPr>
          <w:p w14:paraId="6C0E0000">
            <w:pPr>
              <w:widowControl w:val="1"/>
              <w:ind w:firstLine="34"/>
              <w:contextualSpacing w:val="1"/>
              <w:jc w:val="center"/>
              <w:rPr>
                <w:color w:val="000000"/>
                <w:sz w:val="22"/>
              </w:rPr>
            </w:pPr>
            <w:r>
              <w:rPr>
                <w:color w:val="000000"/>
                <w:sz w:val="22"/>
              </w:rPr>
              <w:t>396 307</w:t>
            </w:r>
          </w:p>
        </w:tc>
        <w:tc>
          <w:tcPr>
            <w:tcW w:type="dxa" w:w="1555"/>
            <w:tcBorders>
              <w:top w:color="000000" w:sz="4" w:val="single"/>
              <w:left w:color="000000" w:sz="4" w:val="single"/>
              <w:bottom w:color="000000" w:sz="4" w:val="single"/>
              <w:right w:color="000000" w:sz="4" w:val="single"/>
            </w:tcBorders>
            <w:vAlign w:val="center"/>
          </w:tcPr>
          <w:p w14:paraId="6D0E0000">
            <w:pPr>
              <w:widowControl w:val="1"/>
              <w:ind w:firstLine="34"/>
              <w:contextualSpacing w:val="1"/>
              <w:jc w:val="center"/>
              <w:rPr>
                <w:color w:val="000000"/>
                <w:sz w:val="22"/>
              </w:rPr>
            </w:pPr>
            <w:r>
              <w:rPr>
                <w:color w:val="000000"/>
                <w:sz w:val="22"/>
              </w:rPr>
              <w:t>390 872</w:t>
            </w:r>
          </w:p>
        </w:tc>
        <w:tc>
          <w:tcPr>
            <w:tcW w:type="dxa" w:w="1280"/>
            <w:tcBorders>
              <w:top w:color="000000" w:sz="4" w:val="single"/>
              <w:left w:color="000000" w:sz="4" w:val="single"/>
              <w:bottom w:color="000000" w:sz="4" w:val="single"/>
              <w:right w:color="000000" w:sz="4" w:val="single"/>
            </w:tcBorders>
            <w:vAlign w:val="center"/>
          </w:tcPr>
          <w:p w14:paraId="6E0E0000">
            <w:pPr>
              <w:widowControl w:val="1"/>
              <w:ind w:firstLine="34"/>
              <w:contextualSpacing w:val="1"/>
              <w:jc w:val="center"/>
              <w:rPr>
                <w:color w:val="000000"/>
                <w:sz w:val="22"/>
              </w:rPr>
            </w:pPr>
            <w:r>
              <w:rPr>
                <w:color w:val="000000"/>
                <w:sz w:val="22"/>
              </w:rPr>
              <w:t>394 396</w:t>
            </w:r>
          </w:p>
        </w:tc>
        <w:tc>
          <w:tcPr>
            <w:tcW w:type="dxa" w:w="1134"/>
            <w:tcBorders>
              <w:top w:color="000000" w:sz="4" w:val="single"/>
              <w:left w:color="000000" w:sz="4" w:val="single"/>
              <w:bottom w:color="000000" w:sz="4" w:val="single"/>
              <w:right w:color="000000" w:sz="4" w:val="single"/>
            </w:tcBorders>
            <w:shd w:fill="auto" w:val="clear"/>
            <w:vAlign w:val="center"/>
          </w:tcPr>
          <w:p w14:paraId="6F0E0000">
            <w:pPr>
              <w:widowControl w:val="1"/>
              <w:ind w:firstLine="34"/>
              <w:contextualSpacing w:val="1"/>
              <w:jc w:val="center"/>
              <w:rPr>
                <w:i w:val="1"/>
                <w:color w:val="000000"/>
                <w:sz w:val="22"/>
              </w:rPr>
            </w:pPr>
            <w:r>
              <w:rPr>
                <w:i w:val="1"/>
                <w:color w:val="000000"/>
                <w:sz w:val="22"/>
              </w:rPr>
              <w:t>100</w:t>
            </w:r>
          </w:p>
        </w:tc>
        <w:tc>
          <w:tcPr>
            <w:tcW w:type="dxa" w:w="988"/>
            <w:tcBorders>
              <w:top w:color="000000" w:sz="4" w:val="single"/>
              <w:left w:color="000000" w:sz="4" w:val="single"/>
              <w:bottom w:color="000000" w:sz="4" w:val="single"/>
              <w:right w:color="000000" w:sz="4" w:val="single"/>
            </w:tcBorders>
            <w:shd w:fill="auto" w:val="clear"/>
            <w:vAlign w:val="center"/>
          </w:tcPr>
          <w:p w14:paraId="700E0000">
            <w:pPr>
              <w:widowControl w:val="1"/>
              <w:ind w:firstLine="34"/>
              <w:contextualSpacing w:val="1"/>
              <w:jc w:val="center"/>
              <w:rPr>
                <w:i w:val="1"/>
                <w:color w:val="000000"/>
                <w:sz w:val="22"/>
              </w:rPr>
            </w:pPr>
            <w:r>
              <w:rPr>
                <w:i w:val="1"/>
                <w:color w:val="000000"/>
                <w:sz w:val="22"/>
              </w:rPr>
              <w:t>101</w:t>
            </w:r>
          </w:p>
        </w:tc>
      </w:tr>
      <w:tr>
        <w:trPr>
          <w:trHeight w:hRule="atLeast" w:val="553"/>
        </w:trPr>
        <w:tc>
          <w:tcPr>
            <w:tcW w:type="dxa" w:w="572"/>
            <w:tcBorders>
              <w:top w:color="000000" w:sz="4" w:val="single"/>
              <w:left w:color="000000" w:sz="4" w:val="single"/>
              <w:bottom w:color="000000" w:sz="4" w:val="single"/>
              <w:right w:color="000000" w:sz="4" w:val="single"/>
            </w:tcBorders>
            <w:shd w:fill="auto" w:val="clear"/>
            <w:vAlign w:val="center"/>
          </w:tcPr>
          <w:p w14:paraId="710E0000">
            <w:pPr>
              <w:widowControl w:val="1"/>
              <w:ind w:firstLine="709" w:left="-713"/>
              <w:contextualSpacing w:val="1"/>
              <w:jc w:val="center"/>
              <w:rPr>
                <w:b w:val="1"/>
                <w:sz w:val="22"/>
              </w:rPr>
            </w:pPr>
            <w:r>
              <w:rPr>
                <w:b w:val="1"/>
                <w:sz w:val="22"/>
              </w:rPr>
              <w:t>4.</w:t>
            </w:r>
          </w:p>
        </w:tc>
        <w:tc>
          <w:tcPr>
            <w:tcW w:type="dxa" w:w="1558"/>
            <w:tcBorders>
              <w:top w:color="000000" w:sz="4" w:val="single"/>
              <w:left w:color="000000" w:sz="4" w:val="single"/>
              <w:bottom w:color="000000" w:sz="4" w:val="single"/>
              <w:right w:color="000000" w:sz="4" w:val="single"/>
            </w:tcBorders>
            <w:shd w:fill="auto" w:val="clear"/>
            <w:vAlign w:val="center"/>
          </w:tcPr>
          <w:p w14:paraId="720E0000">
            <w:pPr>
              <w:widowControl w:val="1"/>
              <w:ind w:firstLine="34"/>
              <w:contextualSpacing w:val="1"/>
              <w:rPr>
                <w:b w:val="1"/>
                <w:sz w:val="22"/>
              </w:rPr>
            </w:pPr>
            <w:r>
              <w:rPr>
                <w:b w:val="1"/>
                <w:sz w:val="22"/>
              </w:rPr>
              <w:t>ИТОГО ДОХОДЫ</w:t>
            </w:r>
          </w:p>
        </w:tc>
        <w:tc>
          <w:tcPr>
            <w:tcW w:type="dxa" w:w="1417"/>
            <w:tcBorders>
              <w:top w:color="000000" w:sz="4" w:val="single"/>
              <w:left w:color="000000" w:sz="4" w:val="single"/>
              <w:bottom w:color="000000" w:sz="4" w:val="single"/>
              <w:right w:color="000000" w:sz="4" w:val="single"/>
            </w:tcBorders>
            <w:shd w:fill="auto" w:val="clear"/>
            <w:vAlign w:val="center"/>
          </w:tcPr>
          <w:p w14:paraId="730E0000">
            <w:pPr>
              <w:widowControl w:val="1"/>
              <w:ind w:firstLine="34"/>
              <w:contextualSpacing w:val="1"/>
              <w:jc w:val="center"/>
              <w:rPr>
                <w:b w:val="1"/>
                <w:color w:val="000000"/>
                <w:sz w:val="22"/>
              </w:rPr>
            </w:pPr>
            <w:r>
              <w:rPr>
                <w:b w:val="1"/>
                <w:color w:val="000000"/>
                <w:sz w:val="22"/>
              </w:rPr>
              <w:t>698 105</w:t>
            </w:r>
          </w:p>
        </w:tc>
        <w:tc>
          <w:tcPr>
            <w:tcW w:type="dxa" w:w="1280"/>
            <w:tcBorders>
              <w:top w:color="000000" w:sz="4" w:val="single"/>
              <w:left w:color="000000" w:sz="4" w:val="single"/>
              <w:bottom w:color="000000" w:sz="4" w:val="single"/>
              <w:right w:color="000000" w:sz="4" w:val="single"/>
            </w:tcBorders>
            <w:vAlign w:val="center"/>
          </w:tcPr>
          <w:p w14:paraId="740E0000">
            <w:pPr>
              <w:widowControl w:val="1"/>
              <w:ind w:firstLine="34"/>
              <w:contextualSpacing w:val="1"/>
              <w:jc w:val="center"/>
              <w:rPr>
                <w:b w:val="1"/>
                <w:color w:val="000000"/>
                <w:sz w:val="22"/>
              </w:rPr>
            </w:pPr>
            <w:r>
              <w:rPr>
                <w:b w:val="1"/>
                <w:color w:val="000000"/>
                <w:sz w:val="22"/>
              </w:rPr>
              <w:t>722 944</w:t>
            </w:r>
          </w:p>
        </w:tc>
        <w:tc>
          <w:tcPr>
            <w:tcW w:type="dxa" w:w="1555"/>
            <w:tcBorders>
              <w:top w:color="000000" w:sz="4" w:val="single"/>
              <w:left w:color="000000" w:sz="4" w:val="single"/>
              <w:bottom w:color="000000" w:sz="4" w:val="single"/>
              <w:right w:color="000000" w:sz="4" w:val="single"/>
            </w:tcBorders>
            <w:vAlign w:val="center"/>
          </w:tcPr>
          <w:p w14:paraId="750E0000">
            <w:pPr>
              <w:widowControl w:val="1"/>
              <w:ind w:firstLine="34"/>
              <w:contextualSpacing w:val="1"/>
              <w:jc w:val="center"/>
              <w:rPr>
                <w:b w:val="1"/>
                <w:color w:val="000000"/>
                <w:sz w:val="22"/>
              </w:rPr>
            </w:pPr>
            <w:r>
              <w:rPr>
                <w:b w:val="1"/>
                <w:color w:val="000000"/>
                <w:sz w:val="22"/>
              </w:rPr>
              <w:t>726 661</w:t>
            </w:r>
          </w:p>
        </w:tc>
        <w:tc>
          <w:tcPr>
            <w:tcW w:type="dxa" w:w="1280"/>
            <w:tcBorders>
              <w:top w:color="000000" w:sz="4" w:val="single"/>
              <w:left w:color="000000" w:sz="4" w:val="single"/>
              <w:bottom w:color="000000" w:sz="4" w:val="single"/>
              <w:right w:color="000000" w:sz="4" w:val="single"/>
            </w:tcBorders>
            <w:vAlign w:val="center"/>
          </w:tcPr>
          <w:p w14:paraId="760E0000">
            <w:pPr>
              <w:widowControl w:val="1"/>
              <w:ind w:firstLine="34"/>
              <w:contextualSpacing w:val="1"/>
              <w:jc w:val="center"/>
              <w:rPr>
                <w:b w:val="1"/>
                <w:color w:val="000000"/>
                <w:sz w:val="22"/>
              </w:rPr>
            </w:pPr>
            <w:r>
              <w:rPr>
                <w:b w:val="1"/>
                <w:color w:val="000000"/>
                <w:sz w:val="22"/>
              </w:rPr>
              <w:t>729 505</w:t>
            </w:r>
          </w:p>
        </w:tc>
        <w:tc>
          <w:tcPr>
            <w:tcW w:type="dxa" w:w="1134"/>
            <w:tcBorders>
              <w:top w:color="000000" w:sz="4" w:val="single"/>
              <w:left w:color="000000" w:sz="4" w:val="single"/>
              <w:bottom w:color="000000" w:sz="4" w:val="single"/>
              <w:right w:color="000000" w:sz="4" w:val="single"/>
            </w:tcBorders>
            <w:shd w:fill="auto" w:val="clear"/>
            <w:vAlign w:val="center"/>
          </w:tcPr>
          <w:p w14:paraId="770E0000">
            <w:pPr>
              <w:widowControl w:val="1"/>
              <w:ind w:firstLine="34"/>
              <w:contextualSpacing w:val="1"/>
              <w:jc w:val="center"/>
              <w:rPr>
                <w:i w:val="1"/>
                <w:color w:val="000000"/>
                <w:sz w:val="22"/>
              </w:rPr>
            </w:pPr>
            <w:r>
              <w:rPr>
                <w:i w:val="1"/>
                <w:color w:val="000000"/>
                <w:sz w:val="22"/>
              </w:rPr>
              <w:t>101</w:t>
            </w:r>
          </w:p>
        </w:tc>
        <w:tc>
          <w:tcPr>
            <w:tcW w:type="dxa" w:w="988"/>
            <w:tcBorders>
              <w:top w:color="000000" w:sz="4" w:val="single"/>
              <w:left w:color="000000" w:sz="4" w:val="single"/>
              <w:bottom w:color="000000" w:sz="4" w:val="single"/>
              <w:right w:color="000000" w:sz="4" w:val="single"/>
            </w:tcBorders>
            <w:shd w:fill="auto" w:val="clear"/>
            <w:vAlign w:val="center"/>
          </w:tcPr>
          <w:p w14:paraId="780E0000">
            <w:pPr>
              <w:widowControl w:val="1"/>
              <w:ind w:firstLine="34"/>
              <w:contextualSpacing w:val="1"/>
              <w:jc w:val="center"/>
              <w:rPr>
                <w:i w:val="1"/>
                <w:color w:val="000000"/>
                <w:sz w:val="22"/>
              </w:rPr>
            </w:pPr>
            <w:r>
              <w:rPr>
                <w:i w:val="1"/>
                <w:color w:val="000000"/>
                <w:sz w:val="22"/>
              </w:rPr>
              <w:t>100</w:t>
            </w:r>
          </w:p>
        </w:tc>
      </w:tr>
      <w:tr>
        <w:trPr>
          <w:trHeight w:hRule="atLeast" w:val="405"/>
        </w:trPr>
        <w:tc>
          <w:tcPr>
            <w:tcW w:type="dxa" w:w="572"/>
            <w:tcBorders>
              <w:top w:color="000000" w:sz="4" w:val="single"/>
              <w:left w:color="000000" w:sz="4" w:val="single"/>
              <w:bottom w:color="000000" w:sz="4" w:val="single"/>
              <w:right w:color="000000" w:sz="4" w:val="single"/>
            </w:tcBorders>
            <w:shd w:fill="auto" w:val="clear"/>
            <w:vAlign w:val="center"/>
          </w:tcPr>
          <w:p w14:paraId="790E0000">
            <w:pPr>
              <w:widowControl w:val="1"/>
              <w:ind w:firstLine="709" w:left="-713"/>
              <w:contextualSpacing w:val="1"/>
              <w:jc w:val="center"/>
              <w:rPr>
                <w:b w:val="1"/>
                <w:sz w:val="22"/>
              </w:rPr>
            </w:pPr>
          </w:p>
        </w:tc>
        <w:tc>
          <w:tcPr>
            <w:tcW w:type="dxa" w:w="1558"/>
            <w:tcBorders>
              <w:top w:color="000000" w:sz="4" w:val="single"/>
              <w:left w:color="000000" w:sz="4" w:val="single"/>
              <w:bottom w:color="000000" w:sz="4" w:val="single"/>
              <w:right w:color="000000" w:sz="4" w:val="single"/>
            </w:tcBorders>
            <w:shd w:fill="auto" w:val="clear"/>
            <w:vAlign w:val="center"/>
          </w:tcPr>
          <w:p w14:paraId="7A0E0000">
            <w:pPr>
              <w:widowControl w:val="1"/>
              <w:ind w:firstLine="34"/>
              <w:contextualSpacing w:val="1"/>
              <w:rPr>
                <w:b w:val="1"/>
                <w:sz w:val="22"/>
              </w:rPr>
            </w:pPr>
            <w:r>
              <w:rPr>
                <w:b w:val="1"/>
                <w:sz w:val="22"/>
              </w:rPr>
              <w:t>РАСХОДЫ</w:t>
            </w:r>
          </w:p>
        </w:tc>
        <w:tc>
          <w:tcPr>
            <w:tcW w:type="dxa" w:w="1417"/>
            <w:tcBorders>
              <w:top w:color="000000" w:sz="4" w:val="single"/>
              <w:left w:color="000000" w:sz="4" w:val="single"/>
              <w:bottom w:color="000000" w:sz="4" w:val="single"/>
              <w:right w:color="000000" w:sz="4" w:val="single"/>
            </w:tcBorders>
            <w:shd w:fill="auto" w:val="clear"/>
            <w:vAlign w:val="center"/>
          </w:tcPr>
          <w:p w14:paraId="7B0E0000">
            <w:pPr>
              <w:widowControl w:val="1"/>
              <w:ind w:firstLine="34"/>
              <w:contextualSpacing w:val="1"/>
              <w:jc w:val="center"/>
              <w:rPr>
                <w:i w:val="1"/>
                <w:color w:val="000000"/>
                <w:sz w:val="22"/>
              </w:rPr>
            </w:pPr>
          </w:p>
        </w:tc>
        <w:tc>
          <w:tcPr>
            <w:tcW w:type="dxa" w:w="1280"/>
            <w:tcBorders>
              <w:top w:color="000000" w:sz="4" w:val="single"/>
              <w:left w:color="000000" w:sz="4" w:val="single"/>
              <w:bottom w:color="000000" w:sz="4" w:val="single"/>
              <w:right w:color="000000" w:sz="4" w:val="single"/>
            </w:tcBorders>
            <w:vAlign w:val="center"/>
          </w:tcPr>
          <w:p w14:paraId="7C0E0000">
            <w:pPr>
              <w:widowControl w:val="1"/>
              <w:ind w:firstLine="34"/>
              <w:contextualSpacing w:val="1"/>
              <w:jc w:val="center"/>
              <w:rPr>
                <w:i w:val="1"/>
                <w:color w:val="000000"/>
                <w:sz w:val="22"/>
              </w:rPr>
            </w:pPr>
          </w:p>
        </w:tc>
        <w:tc>
          <w:tcPr>
            <w:tcW w:type="dxa" w:w="1555"/>
            <w:tcBorders>
              <w:top w:color="000000" w:sz="4" w:val="single"/>
              <w:left w:color="000000" w:sz="4" w:val="single"/>
              <w:bottom w:color="000000" w:sz="4" w:val="single"/>
              <w:right w:color="000000" w:sz="4" w:val="single"/>
            </w:tcBorders>
            <w:vAlign w:val="center"/>
          </w:tcPr>
          <w:p w14:paraId="7D0E0000">
            <w:pPr>
              <w:widowControl w:val="1"/>
              <w:ind w:firstLine="34"/>
              <w:contextualSpacing w:val="1"/>
              <w:jc w:val="center"/>
              <w:rPr>
                <w:i w:val="1"/>
                <w:color w:val="000000"/>
                <w:sz w:val="22"/>
              </w:rPr>
            </w:pPr>
          </w:p>
        </w:tc>
        <w:tc>
          <w:tcPr>
            <w:tcW w:type="dxa" w:w="1280"/>
            <w:tcBorders>
              <w:top w:color="000000" w:sz="4" w:val="single"/>
              <w:left w:color="000000" w:sz="4" w:val="single"/>
              <w:bottom w:color="000000" w:sz="4" w:val="single"/>
              <w:right w:color="000000" w:sz="4" w:val="single"/>
            </w:tcBorders>
            <w:vAlign w:val="center"/>
          </w:tcPr>
          <w:p w14:paraId="7E0E0000">
            <w:pPr>
              <w:widowControl w:val="1"/>
              <w:ind w:firstLine="34"/>
              <w:contextualSpacing w:val="1"/>
              <w:jc w:val="center"/>
              <w:rPr>
                <w:i w:val="1"/>
                <w:color w:val="000000"/>
                <w:sz w:val="22"/>
              </w:rPr>
            </w:pPr>
          </w:p>
        </w:tc>
        <w:tc>
          <w:tcPr>
            <w:tcW w:type="dxa" w:w="1134"/>
            <w:tcBorders>
              <w:top w:color="000000" w:sz="4" w:val="single"/>
              <w:left w:color="000000" w:sz="4" w:val="single"/>
              <w:bottom w:color="000000" w:sz="4" w:val="single"/>
              <w:right w:color="000000" w:sz="4" w:val="single"/>
            </w:tcBorders>
            <w:shd w:fill="auto" w:val="clear"/>
            <w:vAlign w:val="center"/>
          </w:tcPr>
          <w:p w14:paraId="7F0E0000">
            <w:pPr>
              <w:widowControl w:val="1"/>
              <w:ind w:firstLine="34"/>
              <w:contextualSpacing w:val="1"/>
              <w:jc w:val="center"/>
              <w:rPr>
                <w:i w:val="1"/>
                <w:color w:val="000000"/>
                <w:sz w:val="22"/>
              </w:rPr>
            </w:pPr>
          </w:p>
        </w:tc>
        <w:tc>
          <w:tcPr>
            <w:tcW w:type="dxa" w:w="988"/>
            <w:tcBorders>
              <w:top w:color="000000" w:sz="4" w:val="single"/>
              <w:left w:color="000000" w:sz="4" w:val="single"/>
              <w:bottom w:color="000000" w:sz="4" w:val="single"/>
              <w:right w:color="000000" w:sz="4" w:val="single"/>
            </w:tcBorders>
            <w:shd w:fill="auto" w:val="clear"/>
            <w:vAlign w:val="center"/>
          </w:tcPr>
          <w:p w14:paraId="800E0000">
            <w:pPr>
              <w:widowControl w:val="1"/>
              <w:ind w:firstLine="34"/>
              <w:contextualSpacing w:val="1"/>
              <w:jc w:val="center"/>
              <w:rPr>
                <w:i w:val="1"/>
                <w:color w:val="000000"/>
                <w:sz w:val="22"/>
              </w:rPr>
            </w:pPr>
          </w:p>
        </w:tc>
      </w:tr>
      <w:tr>
        <w:trPr>
          <w:trHeight w:hRule="atLeast" w:val="441"/>
        </w:trPr>
        <w:tc>
          <w:tcPr>
            <w:tcW w:type="dxa" w:w="572"/>
            <w:tcBorders>
              <w:top w:color="000000" w:sz="4" w:val="single"/>
              <w:left w:color="000000" w:sz="4" w:val="single"/>
              <w:bottom w:color="000000" w:sz="4" w:val="single"/>
              <w:right w:color="000000" w:sz="4" w:val="single"/>
            </w:tcBorders>
            <w:shd w:fill="auto" w:val="clear"/>
            <w:vAlign w:val="center"/>
          </w:tcPr>
          <w:p w14:paraId="810E0000">
            <w:pPr>
              <w:widowControl w:val="1"/>
              <w:ind w:firstLine="709" w:left="-713"/>
              <w:contextualSpacing w:val="1"/>
              <w:jc w:val="center"/>
              <w:rPr>
                <w:b w:val="1"/>
                <w:sz w:val="22"/>
              </w:rPr>
            </w:pPr>
            <w:r>
              <w:rPr>
                <w:b w:val="1"/>
                <w:sz w:val="22"/>
              </w:rPr>
              <w:t>5.</w:t>
            </w:r>
          </w:p>
        </w:tc>
        <w:tc>
          <w:tcPr>
            <w:tcW w:type="dxa" w:w="1558"/>
            <w:tcBorders>
              <w:top w:color="000000" w:sz="4" w:val="single"/>
              <w:left w:color="000000" w:sz="4" w:val="single"/>
              <w:bottom w:color="000000" w:sz="4" w:val="single"/>
              <w:right w:color="000000" w:sz="4" w:val="single"/>
            </w:tcBorders>
            <w:shd w:fill="auto" w:val="clear"/>
            <w:vAlign w:val="center"/>
          </w:tcPr>
          <w:p w14:paraId="820E0000">
            <w:pPr>
              <w:widowControl w:val="1"/>
              <w:ind w:firstLine="34"/>
              <w:contextualSpacing w:val="1"/>
              <w:rPr>
                <w:b w:val="1"/>
                <w:sz w:val="22"/>
              </w:rPr>
            </w:pPr>
            <w:r>
              <w:rPr>
                <w:b w:val="1"/>
                <w:sz w:val="22"/>
              </w:rPr>
              <w:t>Фонд оплаты труда</w:t>
            </w:r>
          </w:p>
        </w:tc>
        <w:tc>
          <w:tcPr>
            <w:tcW w:type="dxa" w:w="1417"/>
            <w:tcBorders>
              <w:top w:color="000000" w:sz="4" w:val="single"/>
              <w:left w:color="000000" w:sz="4" w:val="single"/>
              <w:bottom w:color="000000" w:sz="4" w:val="single"/>
              <w:right w:color="000000" w:sz="4" w:val="single"/>
            </w:tcBorders>
            <w:shd w:fill="auto" w:val="clear"/>
            <w:vAlign w:val="center"/>
          </w:tcPr>
          <w:p w14:paraId="830E0000">
            <w:pPr>
              <w:widowControl w:val="1"/>
              <w:ind w:firstLine="34"/>
              <w:contextualSpacing w:val="1"/>
              <w:jc w:val="center"/>
              <w:rPr>
                <w:color w:val="000000"/>
                <w:sz w:val="22"/>
              </w:rPr>
            </w:pPr>
            <w:r>
              <w:rPr>
                <w:color w:val="000000"/>
                <w:sz w:val="22"/>
              </w:rPr>
              <w:t>128 485</w:t>
            </w:r>
          </w:p>
        </w:tc>
        <w:tc>
          <w:tcPr>
            <w:tcW w:type="dxa" w:w="1280"/>
            <w:tcBorders>
              <w:top w:color="000000" w:sz="4" w:val="single"/>
              <w:left w:color="000000" w:sz="4" w:val="single"/>
              <w:bottom w:color="000000" w:sz="4" w:val="single"/>
              <w:right w:color="000000" w:sz="4" w:val="single"/>
            </w:tcBorders>
            <w:vAlign w:val="center"/>
          </w:tcPr>
          <w:p w14:paraId="840E0000">
            <w:pPr>
              <w:widowControl w:val="1"/>
              <w:ind w:firstLine="34"/>
              <w:contextualSpacing w:val="1"/>
              <w:jc w:val="center"/>
              <w:rPr>
                <w:color w:val="000000"/>
                <w:sz w:val="22"/>
              </w:rPr>
            </w:pPr>
            <w:r>
              <w:rPr>
                <w:color w:val="000000"/>
                <w:sz w:val="22"/>
              </w:rPr>
              <w:t>130 979</w:t>
            </w:r>
          </w:p>
        </w:tc>
        <w:tc>
          <w:tcPr>
            <w:tcW w:type="dxa" w:w="1555"/>
            <w:tcBorders>
              <w:top w:color="000000" w:sz="4" w:val="single"/>
              <w:left w:color="000000" w:sz="4" w:val="single"/>
              <w:bottom w:color="000000" w:sz="4" w:val="single"/>
              <w:right w:color="000000" w:sz="4" w:val="single"/>
            </w:tcBorders>
            <w:vAlign w:val="center"/>
          </w:tcPr>
          <w:p w14:paraId="850E0000">
            <w:pPr>
              <w:widowControl w:val="1"/>
              <w:ind w:firstLine="34"/>
              <w:contextualSpacing w:val="1"/>
              <w:jc w:val="center"/>
              <w:rPr>
                <w:color w:val="000000"/>
                <w:sz w:val="22"/>
              </w:rPr>
            </w:pPr>
            <w:r>
              <w:rPr>
                <w:color w:val="000000"/>
                <w:sz w:val="22"/>
              </w:rPr>
              <w:t>139 572</w:t>
            </w:r>
          </w:p>
        </w:tc>
        <w:tc>
          <w:tcPr>
            <w:tcW w:type="dxa" w:w="1280"/>
            <w:tcBorders>
              <w:top w:color="000000" w:sz="4" w:val="single"/>
              <w:left w:color="000000" w:sz="4" w:val="single"/>
              <w:bottom w:color="000000" w:sz="4" w:val="single"/>
              <w:right w:color="000000" w:sz="4" w:val="single"/>
            </w:tcBorders>
            <w:vAlign w:val="center"/>
          </w:tcPr>
          <w:p w14:paraId="860E0000">
            <w:pPr>
              <w:widowControl w:val="1"/>
              <w:ind w:firstLine="34"/>
              <w:contextualSpacing w:val="1"/>
              <w:jc w:val="center"/>
              <w:rPr>
                <w:color w:val="000000"/>
                <w:sz w:val="22"/>
              </w:rPr>
            </w:pPr>
            <w:r>
              <w:rPr>
                <w:color w:val="000000"/>
                <w:sz w:val="22"/>
              </w:rPr>
              <w:t>144 917</w:t>
            </w:r>
          </w:p>
        </w:tc>
        <w:tc>
          <w:tcPr>
            <w:tcW w:type="dxa" w:w="1134"/>
            <w:tcBorders>
              <w:top w:color="000000" w:sz="4" w:val="single"/>
              <w:left w:color="000000" w:sz="4" w:val="single"/>
              <w:bottom w:color="000000" w:sz="4" w:val="single"/>
              <w:right w:color="000000" w:sz="4" w:val="single"/>
            </w:tcBorders>
            <w:shd w:fill="auto" w:val="clear"/>
            <w:vAlign w:val="center"/>
          </w:tcPr>
          <w:p w14:paraId="870E0000">
            <w:pPr>
              <w:widowControl w:val="1"/>
              <w:ind w:firstLine="34"/>
              <w:contextualSpacing w:val="1"/>
              <w:jc w:val="center"/>
              <w:rPr>
                <w:i w:val="1"/>
                <w:color w:val="000000"/>
                <w:sz w:val="22"/>
              </w:rPr>
            </w:pPr>
            <w:r>
              <w:rPr>
                <w:i w:val="1"/>
                <w:color w:val="000000"/>
                <w:sz w:val="22"/>
              </w:rPr>
              <w:t>111</w:t>
            </w:r>
          </w:p>
        </w:tc>
        <w:tc>
          <w:tcPr>
            <w:tcW w:type="dxa" w:w="988"/>
            <w:tcBorders>
              <w:top w:color="000000" w:sz="4" w:val="single"/>
              <w:left w:color="000000" w:sz="4" w:val="single"/>
              <w:bottom w:color="000000" w:sz="4" w:val="single"/>
              <w:right w:color="000000" w:sz="4" w:val="single"/>
            </w:tcBorders>
            <w:shd w:fill="auto" w:val="clear"/>
            <w:vAlign w:val="center"/>
          </w:tcPr>
          <w:p w14:paraId="880E0000">
            <w:pPr>
              <w:widowControl w:val="1"/>
              <w:ind w:firstLine="34"/>
              <w:contextualSpacing w:val="1"/>
              <w:jc w:val="center"/>
              <w:rPr>
                <w:i w:val="1"/>
                <w:color w:val="000000"/>
                <w:sz w:val="22"/>
              </w:rPr>
            </w:pPr>
            <w:r>
              <w:rPr>
                <w:i w:val="1"/>
                <w:color w:val="000000"/>
                <w:sz w:val="22"/>
              </w:rPr>
              <w:t>104</w:t>
            </w:r>
          </w:p>
        </w:tc>
      </w:tr>
      <w:tr>
        <w:trPr>
          <w:trHeight w:hRule="atLeast" w:val="537"/>
        </w:trPr>
        <w:tc>
          <w:tcPr>
            <w:tcW w:type="dxa" w:w="572"/>
            <w:tcBorders>
              <w:top w:color="000000" w:sz="4" w:val="single"/>
              <w:left w:color="000000" w:sz="4" w:val="single"/>
              <w:bottom w:color="000000" w:sz="4" w:val="single"/>
              <w:right w:color="000000" w:sz="4" w:val="single"/>
            </w:tcBorders>
            <w:shd w:fill="auto" w:val="clear"/>
            <w:vAlign w:val="center"/>
          </w:tcPr>
          <w:p w14:paraId="890E0000">
            <w:pPr>
              <w:widowControl w:val="1"/>
              <w:ind w:firstLine="709" w:left="-713"/>
              <w:contextualSpacing w:val="1"/>
              <w:jc w:val="center"/>
              <w:rPr>
                <w:b w:val="1"/>
                <w:sz w:val="22"/>
              </w:rPr>
            </w:pPr>
            <w:r>
              <w:rPr>
                <w:b w:val="1"/>
                <w:sz w:val="22"/>
              </w:rPr>
              <w:t>6.</w:t>
            </w:r>
          </w:p>
        </w:tc>
        <w:tc>
          <w:tcPr>
            <w:tcW w:type="dxa" w:w="1558"/>
            <w:tcBorders>
              <w:top w:color="000000" w:sz="4" w:val="single"/>
              <w:left w:color="000000" w:sz="4" w:val="single"/>
              <w:bottom w:color="000000" w:sz="4" w:val="single"/>
              <w:right w:color="000000" w:sz="4" w:val="single"/>
            </w:tcBorders>
            <w:shd w:fill="auto" w:val="clear"/>
            <w:vAlign w:val="center"/>
          </w:tcPr>
          <w:p w14:paraId="8A0E0000">
            <w:pPr>
              <w:widowControl w:val="1"/>
              <w:ind w:firstLine="34"/>
              <w:contextualSpacing w:val="1"/>
              <w:rPr>
                <w:b w:val="1"/>
                <w:sz w:val="22"/>
              </w:rPr>
            </w:pPr>
            <w:r>
              <w:rPr>
                <w:b w:val="1"/>
                <w:sz w:val="22"/>
              </w:rPr>
              <w:t>Страховые взносы</w:t>
            </w:r>
          </w:p>
        </w:tc>
        <w:tc>
          <w:tcPr>
            <w:tcW w:type="dxa" w:w="1417"/>
            <w:tcBorders>
              <w:top w:color="000000" w:sz="4" w:val="single"/>
              <w:left w:color="000000" w:sz="4" w:val="single"/>
              <w:bottom w:color="000000" w:sz="4" w:val="single"/>
              <w:right w:color="000000" w:sz="4" w:val="single"/>
            </w:tcBorders>
            <w:shd w:fill="auto" w:val="clear"/>
            <w:vAlign w:val="center"/>
          </w:tcPr>
          <w:p w14:paraId="8B0E0000">
            <w:pPr>
              <w:widowControl w:val="1"/>
              <w:ind w:firstLine="34"/>
              <w:contextualSpacing w:val="1"/>
              <w:jc w:val="center"/>
              <w:rPr>
                <w:color w:val="000000"/>
                <w:sz w:val="22"/>
              </w:rPr>
            </w:pPr>
            <w:r>
              <w:rPr>
                <w:color w:val="000000"/>
                <w:sz w:val="22"/>
              </w:rPr>
              <w:t>37 492</w:t>
            </w:r>
          </w:p>
        </w:tc>
        <w:tc>
          <w:tcPr>
            <w:tcW w:type="dxa" w:w="1280"/>
            <w:tcBorders>
              <w:top w:color="000000" w:sz="4" w:val="single"/>
              <w:left w:color="000000" w:sz="4" w:val="single"/>
              <w:bottom w:color="000000" w:sz="4" w:val="single"/>
              <w:right w:color="000000" w:sz="4" w:val="single"/>
            </w:tcBorders>
            <w:vAlign w:val="center"/>
          </w:tcPr>
          <w:p w14:paraId="8C0E0000">
            <w:pPr>
              <w:widowControl w:val="1"/>
              <w:ind w:firstLine="34"/>
              <w:contextualSpacing w:val="1"/>
              <w:jc w:val="center"/>
              <w:rPr>
                <w:color w:val="000000"/>
                <w:sz w:val="22"/>
              </w:rPr>
            </w:pPr>
            <w:r>
              <w:rPr>
                <w:color w:val="000000"/>
                <w:sz w:val="22"/>
              </w:rPr>
              <w:t>38 565</w:t>
            </w:r>
          </w:p>
        </w:tc>
        <w:tc>
          <w:tcPr>
            <w:tcW w:type="dxa" w:w="1555"/>
            <w:tcBorders>
              <w:top w:color="000000" w:sz="4" w:val="single"/>
              <w:left w:color="000000" w:sz="4" w:val="single"/>
              <w:bottom w:color="000000" w:sz="4" w:val="single"/>
              <w:right w:color="000000" w:sz="4" w:val="single"/>
            </w:tcBorders>
            <w:vAlign w:val="center"/>
          </w:tcPr>
          <w:p w14:paraId="8D0E0000">
            <w:pPr>
              <w:widowControl w:val="1"/>
              <w:ind w:firstLine="34"/>
              <w:contextualSpacing w:val="1"/>
              <w:jc w:val="center"/>
              <w:rPr>
                <w:color w:val="000000"/>
                <w:sz w:val="22"/>
              </w:rPr>
            </w:pPr>
            <w:r>
              <w:rPr>
                <w:color w:val="000000"/>
                <w:sz w:val="22"/>
              </w:rPr>
              <w:t>40 259</w:t>
            </w:r>
          </w:p>
        </w:tc>
        <w:tc>
          <w:tcPr>
            <w:tcW w:type="dxa" w:w="1280"/>
            <w:tcBorders>
              <w:top w:color="000000" w:sz="4" w:val="single"/>
              <w:left w:color="000000" w:sz="4" w:val="single"/>
              <w:bottom w:color="000000" w:sz="4" w:val="single"/>
              <w:right w:color="000000" w:sz="4" w:val="single"/>
            </w:tcBorders>
            <w:vAlign w:val="center"/>
          </w:tcPr>
          <w:p w14:paraId="8E0E0000">
            <w:pPr>
              <w:widowControl w:val="1"/>
              <w:ind w:firstLine="34"/>
              <w:contextualSpacing w:val="1"/>
              <w:jc w:val="center"/>
              <w:rPr>
                <w:color w:val="000000"/>
                <w:sz w:val="22"/>
              </w:rPr>
            </w:pPr>
            <w:r>
              <w:rPr>
                <w:color w:val="000000"/>
                <w:sz w:val="22"/>
              </w:rPr>
              <w:t>42 785</w:t>
            </w:r>
          </w:p>
        </w:tc>
        <w:tc>
          <w:tcPr>
            <w:tcW w:type="dxa" w:w="1134"/>
            <w:tcBorders>
              <w:top w:color="000000" w:sz="4" w:val="single"/>
              <w:left w:color="000000" w:sz="4" w:val="single"/>
              <w:bottom w:color="000000" w:sz="4" w:val="single"/>
              <w:right w:color="000000" w:sz="4" w:val="single"/>
            </w:tcBorders>
            <w:shd w:fill="auto" w:val="clear"/>
            <w:vAlign w:val="center"/>
          </w:tcPr>
          <w:p w14:paraId="8F0E0000">
            <w:pPr>
              <w:widowControl w:val="1"/>
              <w:ind w:firstLine="34"/>
              <w:contextualSpacing w:val="1"/>
              <w:jc w:val="center"/>
              <w:rPr>
                <w:i w:val="1"/>
                <w:color w:val="000000"/>
                <w:sz w:val="22"/>
              </w:rPr>
            </w:pPr>
            <w:r>
              <w:rPr>
                <w:i w:val="1"/>
                <w:color w:val="000000"/>
                <w:sz w:val="22"/>
              </w:rPr>
              <w:t>111</w:t>
            </w:r>
          </w:p>
        </w:tc>
        <w:tc>
          <w:tcPr>
            <w:tcW w:type="dxa" w:w="988"/>
            <w:tcBorders>
              <w:top w:color="000000" w:sz="4" w:val="single"/>
              <w:left w:color="000000" w:sz="4" w:val="single"/>
              <w:bottom w:color="000000" w:sz="4" w:val="single"/>
              <w:right w:color="000000" w:sz="4" w:val="single"/>
            </w:tcBorders>
            <w:shd w:fill="auto" w:val="clear"/>
            <w:vAlign w:val="center"/>
          </w:tcPr>
          <w:p w14:paraId="900E0000">
            <w:pPr>
              <w:widowControl w:val="1"/>
              <w:ind w:firstLine="34"/>
              <w:contextualSpacing w:val="1"/>
              <w:jc w:val="center"/>
              <w:rPr>
                <w:i w:val="1"/>
                <w:color w:val="000000"/>
                <w:sz w:val="22"/>
              </w:rPr>
            </w:pPr>
            <w:r>
              <w:rPr>
                <w:i w:val="1"/>
                <w:color w:val="000000"/>
                <w:sz w:val="22"/>
              </w:rPr>
              <w:t>106</w:t>
            </w:r>
          </w:p>
        </w:tc>
      </w:tr>
      <w:tr>
        <w:trPr>
          <w:trHeight w:hRule="atLeast" w:val="314"/>
        </w:trPr>
        <w:tc>
          <w:tcPr>
            <w:tcW w:type="dxa" w:w="572"/>
            <w:tcBorders>
              <w:top w:color="000000" w:sz="4" w:val="single"/>
              <w:left w:color="000000" w:sz="4" w:val="single"/>
              <w:bottom w:color="000000" w:sz="4" w:val="single"/>
              <w:right w:color="000000" w:sz="4" w:val="single"/>
            </w:tcBorders>
            <w:shd w:fill="auto" w:val="clear"/>
            <w:vAlign w:val="center"/>
          </w:tcPr>
          <w:p w14:paraId="910E0000">
            <w:pPr>
              <w:widowControl w:val="1"/>
              <w:ind w:firstLine="709" w:left="-713"/>
              <w:contextualSpacing w:val="1"/>
              <w:jc w:val="center"/>
              <w:rPr>
                <w:b w:val="1"/>
                <w:sz w:val="22"/>
              </w:rPr>
            </w:pPr>
            <w:r>
              <w:rPr>
                <w:b w:val="1"/>
                <w:sz w:val="22"/>
              </w:rPr>
              <w:t>7.</w:t>
            </w:r>
          </w:p>
        </w:tc>
        <w:tc>
          <w:tcPr>
            <w:tcW w:type="dxa" w:w="1558"/>
            <w:tcBorders>
              <w:top w:color="000000" w:sz="4" w:val="single"/>
              <w:left w:color="000000" w:sz="4" w:val="single"/>
              <w:bottom w:color="000000" w:sz="4" w:val="single"/>
              <w:right w:color="000000" w:sz="4" w:val="single"/>
            </w:tcBorders>
            <w:shd w:fill="auto" w:val="clear"/>
            <w:vAlign w:val="center"/>
          </w:tcPr>
          <w:p w14:paraId="920E0000">
            <w:pPr>
              <w:widowControl w:val="1"/>
              <w:ind w:firstLine="34"/>
              <w:contextualSpacing w:val="1"/>
              <w:rPr>
                <w:b w:val="1"/>
                <w:sz w:val="22"/>
              </w:rPr>
            </w:pPr>
            <w:r>
              <w:rPr>
                <w:b w:val="1"/>
                <w:sz w:val="22"/>
              </w:rPr>
              <w:t>Материалы</w:t>
            </w:r>
          </w:p>
        </w:tc>
        <w:tc>
          <w:tcPr>
            <w:tcW w:type="dxa" w:w="1417"/>
            <w:tcBorders>
              <w:top w:color="000000" w:sz="4" w:val="single"/>
              <w:left w:color="000000" w:sz="4" w:val="single"/>
              <w:bottom w:color="000000" w:sz="4" w:val="single"/>
              <w:right w:color="000000" w:sz="4" w:val="single"/>
            </w:tcBorders>
            <w:shd w:fill="auto" w:val="clear"/>
            <w:vAlign w:val="center"/>
          </w:tcPr>
          <w:p w14:paraId="930E0000">
            <w:pPr>
              <w:widowControl w:val="1"/>
              <w:ind w:firstLine="34"/>
              <w:contextualSpacing w:val="1"/>
              <w:jc w:val="center"/>
              <w:rPr>
                <w:color w:val="000000"/>
                <w:sz w:val="22"/>
              </w:rPr>
            </w:pPr>
            <w:r>
              <w:rPr>
                <w:color w:val="000000"/>
                <w:sz w:val="22"/>
              </w:rPr>
              <w:t>4 427</w:t>
            </w:r>
          </w:p>
        </w:tc>
        <w:tc>
          <w:tcPr>
            <w:tcW w:type="dxa" w:w="1280"/>
            <w:tcBorders>
              <w:top w:color="000000" w:sz="4" w:val="single"/>
              <w:left w:color="000000" w:sz="4" w:val="single"/>
              <w:bottom w:color="000000" w:sz="4" w:val="single"/>
              <w:right w:color="000000" w:sz="4" w:val="single"/>
            </w:tcBorders>
            <w:vAlign w:val="center"/>
          </w:tcPr>
          <w:p w14:paraId="940E0000">
            <w:pPr>
              <w:widowControl w:val="1"/>
              <w:ind w:firstLine="34"/>
              <w:contextualSpacing w:val="1"/>
              <w:jc w:val="center"/>
              <w:rPr>
                <w:color w:val="000000"/>
                <w:sz w:val="22"/>
              </w:rPr>
            </w:pPr>
            <w:r>
              <w:rPr>
                <w:color w:val="000000"/>
                <w:sz w:val="22"/>
              </w:rPr>
              <w:t>7 788</w:t>
            </w:r>
          </w:p>
        </w:tc>
        <w:tc>
          <w:tcPr>
            <w:tcW w:type="dxa" w:w="1555"/>
            <w:tcBorders>
              <w:top w:color="000000" w:sz="4" w:val="single"/>
              <w:left w:color="000000" w:sz="4" w:val="single"/>
              <w:bottom w:color="000000" w:sz="4" w:val="single"/>
              <w:right w:color="000000" w:sz="4" w:val="single"/>
            </w:tcBorders>
            <w:vAlign w:val="center"/>
          </w:tcPr>
          <w:p w14:paraId="950E0000">
            <w:pPr>
              <w:widowControl w:val="1"/>
              <w:ind w:firstLine="34"/>
              <w:contextualSpacing w:val="1"/>
              <w:jc w:val="center"/>
              <w:rPr>
                <w:color w:val="000000"/>
                <w:sz w:val="22"/>
              </w:rPr>
            </w:pPr>
            <w:r>
              <w:rPr>
                <w:color w:val="000000"/>
                <w:sz w:val="22"/>
              </w:rPr>
              <w:t>6 162</w:t>
            </w:r>
          </w:p>
        </w:tc>
        <w:tc>
          <w:tcPr>
            <w:tcW w:type="dxa" w:w="1280"/>
            <w:tcBorders>
              <w:top w:color="000000" w:sz="4" w:val="single"/>
              <w:left w:color="000000" w:sz="4" w:val="single"/>
              <w:bottom w:color="000000" w:sz="4" w:val="single"/>
              <w:right w:color="000000" w:sz="4" w:val="single"/>
            </w:tcBorders>
            <w:vAlign w:val="center"/>
          </w:tcPr>
          <w:p w14:paraId="960E0000">
            <w:pPr>
              <w:widowControl w:val="1"/>
              <w:ind w:firstLine="34"/>
              <w:contextualSpacing w:val="1"/>
              <w:jc w:val="center"/>
              <w:rPr>
                <w:color w:val="000000"/>
                <w:sz w:val="22"/>
              </w:rPr>
            </w:pPr>
            <w:r>
              <w:rPr>
                <w:color w:val="000000"/>
                <w:sz w:val="22"/>
              </w:rPr>
              <w:t>7 490</w:t>
            </w:r>
          </w:p>
        </w:tc>
        <w:tc>
          <w:tcPr>
            <w:tcW w:type="dxa" w:w="1134"/>
            <w:tcBorders>
              <w:top w:color="000000" w:sz="4" w:val="single"/>
              <w:left w:color="000000" w:sz="4" w:val="single"/>
              <w:bottom w:color="000000" w:sz="4" w:val="single"/>
              <w:right w:color="000000" w:sz="4" w:val="single"/>
            </w:tcBorders>
            <w:shd w:fill="auto" w:val="clear"/>
            <w:vAlign w:val="center"/>
          </w:tcPr>
          <w:p w14:paraId="970E0000">
            <w:pPr>
              <w:widowControl w:val="1"/>
              <w:ind w:firstLine="34"/>
              <w:contextualSpacing w:val="1"/>
              <w:jc w:val="center"/>
              <w:rPr>
                <w:i w:val="1"/>
                <w:color w:val="000000"/>
                <w:sz w:val="22"/>
              </w:rPr>
            </w:pPr>
            <w:r>
              <w:rPr>
                <w:i w:val="1"/>
                <w:color w:val="000000"/>
                <w:sz w:val="22"/>
              </w:rPr>
              <w:t>96</w:t>
            </w:r>
          </w:p>
        </w:tc>
        <w:tc>
          <w:tcPr>
            <w:tcW w:type="dxa" w:w="988"/>
            <w:tcBorders>
              <w:top w:color="000000" w:sz="4" w:val="single"/>
              <w:left w:color="000000" w:sz="4" w:val="single"/>
              <w:bottom w:color="000000" w:sz="4" w:val="single"/>
              <w:right w:color="000000" w:sz="4" w:val="single"/>
            </w:tcBorders>
            <w:shd w:fill="auto" w:val="clear"/>
            <w:vAlign w:val="center"/>
          </w:tcPr>
          <w:p w14:paraId="980E0000">
            <w:pPr>
              <w:widowControl w:val="1"/>
              <w:ind w:firstLine="34"/>
              <w:contextualSpacing w:val="1"/>
              <w:jc w:val="center"/>
              <w:rPr>
                <w:i w:val="1"/>
                <w:color w:val="000000"/>
                <w:sz w:val="22"/>
              </w:rPr>
            </w:pPr>
            <w:r>
              <w:rPr>
                <w:i w:val="1"/>
                <w:color w:val="000000"/>
                <w:sz w:val="22"/>
              </w:rPr>
              <w:t>122</w:t>
            </w:r>
          </w:p>
        </w:tc>
      </w:tr>
      <w:tr>
        <w:trPr>
          <w:trHeight w:hRule="atLeast" w:val="431"/>
        </w:trPr>
        <w:tc>
          <w:tcPr>
            <w:tcW w:type="dxa" w:w="572"/>
            <w:tcBorders>
              <w:top w:color="000000" w:sz="4" w:val="single"/>
              <w:left w:color="000000" w:sz="4" w:val="single"/>
              <w:bottom w:color="000000" w:sz="4" w:val="single"/>
              <w:right w:color="000000" w:sz="4" w:val="single"/>
            </w:tcBorders>
            <w:shd w:fill="auto" w:val="clear"/>
            <w:vAlign w:val="center"/>
          </w:tcPr>
          <w:p w14:paraId="990E0000">
            <w:pPr>
              <w:widowControl w:val="1"/>
              <w:ind w:firstLine="709" w:left="-713"/>
              <w:contextualSpacing w:val="1"/>
              <w:jc w:val="center"/>
              <w:rPr>
                <w:b w:val="1"/>
                <w:sz w:val="22"/>
              </w:rPr>
            </w:pPr>
            <w:r>
              <w:rPr>
                <w:b w:val="1"/>
                <w:sz w:val="22"/>
              </w:rPr>
              <w:t>8.</w:t>
            </w:r>
          </w:p>
        </w:tc>
        <w:tc>
          <w:tcPr>
            <w:tcW w:type="dxa" w:w="1558"/>
            <w:tcBorders>
              <w:top w:color="000000" w:sz="4" w:val="single"/>
              <w:left w:color="000000" w:sz="4" w:val="single"/>
              <w:bottom w:color="000000" w:sz="4" w:val="single"/>
              <w:right w:color="000000" w:sz="4" w:val="single"/>
            </w:tcBorders>
            <w:shd w:fill="auto" w:val="clear"/>
            <w:vAlign w:val="center"/>
          </w:tcPr>
          <w:p w14:paraId="9A0E0000">
            <w:pPr>
              <w:widowControl w:val="1"/>
              <w:ind w:firstLine="34"/>
              <w:contextualSpacing w:val="1"/>
              <w:rPr>
                <w:b w:val="1"/>
                <w:sz w:val="22"/>
              </w:rPr>
            </w:pPr>
            <w:r>
              <w:rPr>
                <w:b w:val="1"/>
                <w:sz w:val="22"/>
              </w:rPr>
              <w:t>Топливо</w:t>
            </w:r>
          </w:p>
        </w:tc>
        <w:tc>
          <w:tcPr>
            <w:tcW w:type="dxa" w:w="1417"/>
            <w:tcBorders>
              <w:top w:color="000000" w:sz="4" w:val="single"/>
              <w:left w:color="000000" w:sz="4" w:val="single"/>
              <w:bottom w:color="000000" w:sz="4" w:val="single"/>
              <w:right w:color="000000" w:sz="4" w:val="single"/>
            </w:tcBorders>
            <w:shd w:fill="auto" w:val="clear"/>
            <w:vAlign w:val="center"/>
          </w:tcPr>
          <w:p w14:paraId="9B0E0000">
            <w:pPr>
              <w:widowControl w:val="1"/>
              <w:ind w:firstLine="34"/>
              <w:contextualSpacing w:val="1"/>
              <w:jc w:val="center"/>
              <w:rPr>
                <w:color w:val="000000"/>
                <w:sz w:val="22"/>
              </w:rPr>
            </w:pPr>
            <w:r>
              <w:rPr>
                <w:color w:val="000000"/>
                <w:sz w:val="22"/>
              </w:rPr>
              <w:t>272</w:t>
            </w:r>
          </w:p>
        </w:tc>
        <w:tc>
          <w:tcPr>
            <w:tcW w:type="dxa" w:w="1280"/>
            <w:tcBorders>
              <w:top w:color="000000" w:sz="4" w:val="single"/>
              <w:left w:color="000000" w:sz="4" w:val="single"/>
              <w:bottom w:color="000000" w:sz="4" w:val="single"/>
              <w:right w:color="000000" w:sz="4" w:val="single"/>
            </w:tcBorders>
            <w:vAlign w:val="center"/>
          </w:tcPr>
          <w:p w14:paraId="9C0E0000">
            <w:pPr>
              <w:widowControl w:val="1"/>
              <w:ind w:firstLine="34"/>
              <w:contextualSpacing w:val="1"/>
              <w:jc w:val="center"/>
              <w:rPr>
                <w:color w:val="000000"/>
                <w:sz w:val="22"/>
              </w:rPr>
            </w:pPr>
            <w:r>
              <w:rPr>
                <w:color w:val="000000"/>
                <w:sz w:val="22"/>
              </w:rPr>
              <w:t>278</w:t>
            </w:r>
          </w:p>
        </w:tc>
        <w:tc>
          <w:tcPr>
            <w:tcW w:type="dxa" w:w="1555"/>
            <w:tcBorders>
              <w:top w:color="000000" w:sz="4" w:val="single"/>
              <w:left w:color="000000" w:sz="4" w:val="single"/>
              <w:bottom w:color="000000" w:sz="4" w:val="single"/>
              <w:right w:color="000000" w:sz="4" w:val="single"/>
            </w:tcBorders>
            <w:vAlign w:val="center"/>
          </w:tcPr>
          <w:p w14:paraId="9D0E0000">
            <w:pPr>
              <w:widowControl w:val="1"/>
              <w:ind w:firstLine="34"/>
              <w:contextualSpacing w:val="1"/>
              <w:jc w:val="center"/>
              <w:rPr>
                <w:color w:val="000000"/>
                <w:sz w:val="22"/>
              </w:rPr>
            </w:pPr>
            <w:r>
              <w:rPr>
                <w:color w:val="000000"/>
                <w:sz w:val="22"/>
              </w:rPr>
              <w:t>283</w:t>
            </w:r>
          </w:p>
        </w:tc>
        <w:tc>
          <w:tcPr>
            <w:tcW w:type="dxa" w:w="1280"/>
            <w:tcBorders>
              <w:top w:color="000000" w:sz="4" w:val="single"/>
              <w:left w:color="000000" w:sz="4" w:val="single"/>
              <w:bottom w:color="000000" w:sz="4" w:val="single"/>
              <w:right w:color="000000" w:sz="4" w:val="single"/>
            </w:tcBorders>
            <w:vAlign w:val="center"/>
          </w:tcPr>
          <w:p w14:paraId="9E0E0000">
            <w:pPr>
              <w:widowControl w:val="1"/>
              <w:ind w:firstLine="34"/>
              <w:contextualSpacing w:val="1"/>
              <w:jc w:val="center"/>
              <w:rPr>
                <w:color w:val="000000"/>
                <w:sz w:val="22"/>
              </w:rPr>
            </w:pPr>
            <w:r>
              <w:rPr>
                <w:color w:val="000000"/>
                <w:sz w:val="22"/>
              </w:rPr>
              <w:t>325</w:t>
            </w:r>
          </w:p>
        </w:tc>
        <w:tc>
          <w:tcPr>
            <w:tcW w:type="dxa" w:w="1134"/>
            <w:tcBorders>
              <w:top w:color="000000" w:sz="4" w:val="single"/>
              <w:left w:color="000000" w:sz="4" w:val="single"/>
              <w:bottom w:color="000000" w:sz="4" w:val="single"/>
              <w:right w:color="000000" w:sz="4" w:val="single"/>
            </w:tcBorders>
            <w:shd w:fill="auto" w:val="clear"/>
            <w:vAlign w:val="center"/>
          </w:tcPr>
          <w:p w14:paraId="9F0E0000">
            <w:pPr>
              <w:widowControl w:val="1"/>
              <w:ind w:firstLine="34"/>
              <w:contextualSpacing w:val="1"/>
              <w:jc w:val="center"/>
              <w:rPr>
                <w:i w:val="1"/>
                <w:color w:val="000000"/>
                <w:sz w:val="22"/>
              </w:rPr>
            </w:pPr>
            <w:r>
              <w:rPr>
                <w:i w:val="1"/>
                <w:color w:val="000000"/>
                <w:sz w:val="22"/>
              </w:rPr>
              <w:t>117</w:t>
            </w:r>
          </w:p>
        </w:tc>
        <w:tc>
          <w:tcPr>
            <w:tcW w:type="dxa" w:w="988"/>
            <w:tcBorders>
              <w:top w:color="000000" w:sz="4" w:val="single"/>
              <w:left w:color="000000" w:sz="4" w:val="single"/>
              <w:bottom w:color="000000" w:sz="4" w:val="single"/>
              <w:right w:color="000000" w:sz="4" w:val="single"/>
            </w:tcBorders>
            <w:shd w:fill="auto" w:val="clear"/>
            <w:vAlign w:val="center"/>
          </w:tcPr>
          <w:p w14:paraId="A00E0000">
            <w:pPr>
              <w:widowControl w:val="1"/>
              <w:ind w:firstLine="34"/>
              <w:contextualSpacing w:val="1"/>
              <w:jc w:val="center"/>
              <w:rPr>
                <w:i w:val="1"/>
                <w:color w:val="000000"/>
                <w:sz w:val="22"/>
              </w:rPr>
            </w:pPr>
            <w:r>
              <w:rPr>
                <w:i w:val="1"/>
                <w:color w:val="000000"/>
                <w:sz w:val="22"/>
              </w:rPr>
              <w:t>115</w:t>
            </w:r>
          </w:p>
        </w:tc>
      </w:tr>
      <w:tr>
        <w:trPr>
          <w:trHeight w:hRule="atLeast" w:val="409"/>
        </w:trPr>
        <w:tc>
          <w:tcPr>
            <w:tcW w:type="dxa" w:w="572"/>
            <w:tcBorders>
              <w:top w:color="000000" w:sz="4" w:val="single"/>
              <w:left w:color="000000" w:sz="4" w:val="single"/>
              <w:bottom w:color="000000" w:sz="4" w:val="single"/>
              <w:right w:color="000000" w:sz="4" w:val="single"/>
            </w:tcBorders>
            <w:shd w:fill="auto" w:val="clear"/>
            <w:vAlign w:val="center"/>
          </w:tcPr>
          <w:p w14:paraId="A10E0000">
            <w:pPr>
              <w:widowControl w:val="1"/>
              <w:ind w:firstLine="709" w:left="-713"/>
              <w:contextualSpacing w:val="1"/>
              <w:jc w:val="center"/>
              <w:rPr>
                <w:b w:val="1"/>
                <w:sz w:val="22"/>
              </w:rPr>
            </w:pPr>
            <w:r>
              <w:rPr>
                <w:b w:val="1"/>
                <w:sz w:val="22"/>
              </w:rPr>
              <w:t>9.</w:t>
            </w:r>
          </w:p>
        </w:tc>
        <w:tc>
          <w:tcPr>
            <w:tcW w:type="dxa" w:w="1558"/>
            <w:tcBorders>
              <w:top w:color="000000" w:sz="4" w:val="single"/>
              <w:left w:color="000000" w:sz="4" w:val="single"/>
              <w:bottom w:color="000000" w:sz="4" w:val="single"/>
              <w:right w:color="000000" w:sz="4" w:val="single"/>
            </w:tcBorders>
            <w:shd w:fill="auto" w:val="clear"/>
            <w:vAlign w:val="center"/>
          </w:tcPr>
          <w:p w14:paraId="A20E0000">
            <w:pPr>
              <w:widowControl w:val="1"/>
              <w:ind w:firstLine="34"/>
              <w:contextualSpacing w:val="1"/>
              <w:rPr>
                <w:b w:val="1"/>
                <w:sz w:val="22"/>
              </w:rPr>
            </w:pPr>
            <w:r>
              <w:rPr>
                <w:b w:val="1"/>
                <w:sz w:val="22"/>
              </w:rPr>
              <w:t>Электроэнергия</w:t>
            </w:r>
          </w:p>
        </w:tc>
        <w:tc>
          <w:tcPr>
            <w:tcW w:type="dxa" w:w="1417"/>
            <w:tcBorders>
              <w:top w:color="000000" w:sz="4" w:val="single"/>
              <w:left w:color="000000" w:sz="4" w:val="single"/>
              <w:bottom w:color="000000" w:sz="4" w:val="single"/>
              <w:right w:color="000000" w:sz="4" w:val="single"/>
            </w:tcBorders>
            <w:shd w:fill="auto" w:val="clear"/>
            <w:vAlign w:val="center"/>
          </w:tcPr>
          <w:p w14:paraId="A30E0000">
            <w:pPr>
              <w:widowControl w:val="1"/>
              <w:ind w:firstLine="34"/>
              <w:contextualSpacing w:val="1"/>
              <w:jc w:val="center"/>
              <w:rPr>
                <w:color w:val="000000"/>
                <w:sz w:val="22"/>
              </w:rPr>
            </w:pPr>
            <w:r>
              <w:rPr>
                <w:color w:val="000000"/>
                <w:sz w:val="22"/>
              </w:rPr>
              <w:t>26</w:t>
            </w:r>
          </w:p>
        </w:tc>
        <w:tc>
          <w:tcPr>
            <w:tcW w:type="dxa" w:w="1280"/>
            <w:tcBorders>
              <w:top w:color="000000" w:sz="4" w:val="single"/>
              <w:left w:color="000000" w:sz="4" w:val="single"/>
              <w:bottom w:color="000000" w:sz="4" w:val="single"/>
              <w:right w:color="000000" w:sz="4" w:val="single"/>
            </w:tcBorders>
            <w:vAlign w:val="center"/>
          </w:tcPr>
          <w:p w14:paraId="A40E0000">
            <w:pPr>
              <w:widowControl w:val="1"/>
              <w:ind w:firstLine="34"/>
              <w:contextualSpacing w:val="1"/>
              <w:jc w:val="center"/>
              <w:rPr>
                <w:color w:val="000000"/>
                <w:sz w:val="22"/>
              </w:rPr>
            </w:pPr>
            <w:r>
              <w:rPr>
                <w:color w:val="000000"/>
                <w:sz w:val="22"/>
              </w:rPr>
              <w:t>16</w:t>
            </w:r>
          </w:p>
        </w:tc>
        <w:tc>
          <w:tcPr>
            <w:tcW w:type="dxa" w:w="1555"/>
            <w:tcBorders>
              <w:top w:color="000000" w:sz="4" w:val="single"/>
              <w:left w:color="000000" w:sz="4" w:val="single"/>
              <w:bottom w:color="000000" w:sz="4" w:val="single"/>
              <w:right w:color="000000" w:sz="4" w:val="single"/>
            </w:tcBorders>
            <w:vAlign w:val="center"/>
          </w:tcPr>
          <w:p w14:paraId="A50E0000">
            <w:pPr>
              <w:widowControl w:val="1"/>
              <w:ind w:firstLine="34"/>
              <w:contextualSpacing w:val="1"/>
              <w:jc w:val="center"/>
              <w:rPr>
                <w:color w:val="000000"/>
                <w:sz w:val="22"/>
              </w:rPr>
            </w:pPr>
            <w:r>
              <w:rPr>
                <w:color w:val="000000"/>
                <w:sz w:val="22"/>
              </w:rPr>
              <w:t>24</w:t>
            </w:r>
          </w:p>
        </w:tc>
        <w:tc>
          <w:tcPr>
            <w:tcW w:type="dxa" w:w="1280"/>
            <w:tcBorders>
              <w:top w:color="000000" w:sz="4" w:val="single"/>
              <w:left w:color="000000" w:sz="4" w:val="single"/>
              <w:bottom w:color="000000" w:sz="4" w:val="single"/>
              <w:right w:color="000000" w:sz="4" w:val="single"/>
            </w:tcBorders>
            <w:vAlign w:val="center"/>
          </w:tcPr>
          <w:p w14:paraId="A60E0000">
            <w:pPr>
              <w:widowControl w:val="1"/>
              <w:ind w:firstLine="34"/>
              <w:contextualSpacing w:val="1"/>
              <w:jc w:val="center"/>
              <w:rPr>
                <w:color w:val="000000"/>
                <w:sz w:val="22"/>
              </w:rPr>
            </w:pPr>
            <w:r>
              <w:rPr>
                <w:color w:val="000000"/>
                <w:sz w:val="22"/>
              </w:rPr>
              <w:t>16</w:t>
            </w:r>
          </w:p>
        </w:tc>
        <w:tc>
          <w:tcPr>
            <w:tcW w:type="dxa" w:w="1134"/>
            <w:tcBorders>
              <w:top w:color="000000" w:sz="4" w:val="single"/>
              <w:left w:color="000000" w:sz="4" w:val="single"/>
              <w:bottom w:color="000000" w:sz="4" w:val="single"/>
              <w:right w:color="000000" w:sz="4" w:val="single"/>
            </w:tcBorders>
            <w:shd w:fill="auto" w:val="clear"/>
            <w:vAlign w:val="center"/>
          </w:tcPr>
          <w:p w14:paraId="A70E0000">
            <w:pPr>
              <w:widowControl w:val="1"/>
              <w:ind w:firstLine="34"/>
              <w:contextualSpacing w:val="1"/>
              <w:jc w:val="center"/>
              <w:rPr>
                <w:i w:val="1"/>
                <w:color w:val="000000"/>
                <w:sz w:val="22"/>
              </w:rPr>
            </w:pPr>
            <w:r>
              <w:rPr>
                <w:i w:val="1"/>
                <w:color w:val="000000"/>
                <w:sz w:val="22"/>
              </w:rPr>
              <w:t>10</w:t>
            </w:r>
            <w:r>
              <w:rPr>
                <w:i w:val="1"/>
                <w:color w:val="000000"/>
                <w:sz w:val="22"/>
              </w:rPr>
              <w:t>1</w:t>
            </w:r>
          </w:p>
        </w:tc>
        <w:tc>
          <w:tcPr>
            <w:tcW w:type="dxa" w:w="988"/>
            <w:tcBorders>
              <w:top w:color="000000" w:sz="4" w:val="single"/>
              <w:left w:color="000000" w:sz="4" w:val="single"/>
              <w:bottom w:color="000000" w:sz="4" w:val="single"/>
              <w:right w:color="000000" w:sz="4" w:val="single"/>
            </w:tcBorders>
            <w:shd w:fill="auto" w:val="clear"/>
            <w:vAlign w:val="center"/>
          </w:tcPr>
          <w:p w14:paraId="A80E0000">
            <w:pPr>
              <w:widowControl w:val="1"/>
              <w:ind w:firstLine="34"/>
              <w:contextualSpacing w:val="1"/>
              <w:jc w:val="center"/>
              <w:rPr>
                <w:i w:val="1"/>
                <w:color w:val="000000"/>
                <w:sz w:val="22"/>
              </w:rPr>
            </w:pPr>
            <w:r>
              <w:rPr>
                <w:i w:val="1"/>
                <w:color w:val="000000"/>
                <w:sz w:val="22"/>
              </w:rPr>
              <w:t>68</w:t>
            </w:r>
          </w:p>
        </w:tc>
      </w:tr>
      <w:tr>
        <w:trPr>
          <w:trHeight w:hRule="atLeast" w:val="661"/>
        </w:trPr>
        <w:tc>
          <w:tcPr>
            <w:tcW w:type="dxa" w:w="572"/>
            <w:tcBorders>
              <w:top w:color="000000" w:sz="4" w:val="single"/>
              <w:left w:color="000000" w:sz="4" w:val="single"/>
              <w:bottom w:color="000000" w:sz="4" w:val="single"/>
              <w:right w:color="000000" w:sz="4" w:val="single"/>
            </w:tcBorders>
            <w:shd w:fill="auto" w:val="clear"/>
            <w:vAlign w:val="center"/>
          </w:tcPr>
          <w:p w14:paraId="A90E0000">
            <w:pPr>
              <w:widowControl w:val="1"/>
              <w:ind w:firstLine="709" w:left="-713"/>
              <w:contextualSpacing w:val="1"/>
              <w:jc w:val="center"/>
              <w:rPr>
                <w:b w:val="1"/>
                <w:sz w:val="22"/>
              </w:rPr>
            </w:pPr>
            <w:r>
              <w:rPr>
                <w:b w:val="1"/>
                <w:sz w:val="22"/>
              </w:rPr>
              <w:t>10.</w:t>
            </w:r>
          </w:p>
        </w:tc>
        <w:tc>
          <w:tcPr>
            <w:tcW w:type="dxa" w:w="1558"/>
            <w:tcBorders>
              <w:top w:color="000000" w:sz="4" w:val="single"/>
              <w:left w:color="000000" w:sz="4" w:val="single"/>
              <w:bottom w:color="000000" w:sz="4" w:val="single"/>
              <w:right w:color="000000" w:sz="4" w:val="single"/>
            </w:tcBorders>
            <w:shd w:fill="auto" w:val="clear"/>
            <w:vAlign w:val="center"/>
          </w:tcPr>
          <w:p w14:paraId="AA0E0000">
            <w:pPr>
              <w:widowControl w:val="1"/>
              <w:ind w:firstLine="34"/>
              <w:contextualSpacing w:val="1"/>
              <w:rPr>
                <w:b w:val="1"/>
                <w:sz w:val="22"/>
              </w:rPr>
            </w:pPr>
            <w:r>
              <w:rPr>
                <w:b w:val="1"/>
                <w:sz w:val="22"/>
              </w:rPr>
              <w:t>Прочие материальные затраты</w:t>
            </w:r>
          </w:p>
        </w:tc>
        <w:tc>
          <w:tcPr>
            <w:tcW w:type="dxa" w:w="1417"/>
            <w:tcBorders>
              <w:top w:color="000000" w:sz="4" w:val="single"/>
              <w:left w:color="000000" w:sz="4" w:val="single"/>
              <w:bottom w:color="000000" w:sz="4" w:val="single"/>
              <w:right w:color="000000" w:sz="4" w:val="single"/>
            </w:tcBorders>
            <w:shd w:fill="auto" w:val="clear"/>
            <w:vAlign w:val="center"/>
          </w:tcPr>
          <w:p w14:paraId="AB0E0000">
            <w:pPr>
              <w:widowControl w:val="1"/>
              <w:ind w:firstLine="34"/>
              <w:contextualSpacing w:val="1"/>
              <w:jc w:val="center"/>
              <w:rPr>
                <w:color w:val="000000"/>
                <w:sz w:val="22"/>
              </w:rPr>
            </w:pPr>
            <w:r>
              <w:rPr>
                <w:color w:val="000000"/>
                <w:sz w:val="22"/>
              </w:rPr>
              <w:t>8 254</w:t>
            </w:r>
          </w:p>
        </w:tc>
        <w:tc>
          <w:tcPr>
            <w:tcW w:type="dxa" w:w="1280"/>
            <w:tcBorders>
              <w:top w:color="000000" w:sz="4" w:val="single"/>
              <w:left w:color="000000" w:sz="4" w:val="single"/>
              <w:bottom w:color="000000" w:sz="4" w:val="single"/>
              <w:right w:color="000000" w:sz="4" w:val="single"/>
            </w:tcBorders>
            <w:vAlign w:val="center"/>
          </w:tcPr>
          <w:p w14:paraId="AC0E0000">
            <w:pPr>
              <w:widowControl w:val="1"/>
              <w:ind w:firstLine="34"/>
              <w:contextualSpacing w:val="1"/>
              <w:jc w:val="center"/>
              <w:rPr>
                <w:color w:val="000000"/>
                <w:sz w:val="22"/>
              </w:rPr>
            </w:pPr>
            <w:r>
              <w:rPr>
                <w:color w:val="000000"/>
                <w:sz w:val="22"/>
              </w:rPr>
              <w:t>12 531</w:t>
            </w:r>
          </w:p>
        </w:tc>
        <w:tc>
          <w:tcPr>
            <w:tcW w:type="dxa" w:w="1555"/>
            <w:tcBorders>
              <w:top w:color="000000" w:sz="4" w:val="single"/>
              <w:left w:color="000000" w:sz="4" w:val="single"/>
              <w:bottom w:color="000000" w:sz="4" w:val="single"/>
              <w:right w:color="000000" w:sz="4" w:val="single"/>
            </w:tcBorders>
            <w:vAlign w:val="center"/>
          </w:tcPr>
          <w:p w14:paraId="AD0E0000">
            <w:pPr>
              <w:widowControl w:val="1"/>
              <w:ind w:firstLine="34"/>
              <w:contextualSpacing w:val="1"/>
              <w:jc w:val="center"/>
              <w:rPr>
                <w:color w:val="000000"/>
                <w:sz w:val="22"/>
              </w:rPr>
            </w:pPr>
            <w:r>
              <w:rPr>
                <w:color w:val="000000"/>
                <w:sz w:val="22"/>
              </w:rPr>
              <w:t>13 336</w:t>
            </w:r>
          </w:p>
        </w:tc>
        <w:tc>
          <w:tcPr>
            <w:tcW w:type="dxa" w:w="1280"/>
            <w:tcBorders>
              <w:top w:color="000000" w:sz="4" w:val="single"/>
              <w:left w:color="000000" w:sz="4" w:val="single"/>
              <w:bottom w:color="000000" w:sz="4" w:val="single"/>
              <w:right w:color="000000" w:sz="4" w:val="single"/>
            </w:tcBorders>
            <w:vAlign w:val="center"/>
          </w:tcPr>
          <w:p w14:paraId="AE0E0000">
            <w:pPr>
              <w:widowControl w:val="1"/>
              <w:ind w:firstLine="34"/>
              <w:contextualSpacing w:val="1"/>
              <w:jc w:val="center"/>
              <w:rPr>
                <w:color w:val="000000"/>
                <w:sz w:val="22"/>
              </w:rPr>
            </w:pPr>
            <w:r>
              <w:rPr>
                <w:color w:val="000000"/>
                <w:sz w:val="22"/>
              </w:rPr>
              <w:t>7 787</w:t>
            </w:r>
          </w:p>
        </w:tc>
        <w:tc>
          <w:tcPr>
            <w:tcW w:type="dxa" w:w="1134"/>
            <w:tcBorders>
              <w:top w:color="000000" w:sz="4" w:val="single"/>
              <w:left w:color="000000" w:sz="4" w:val="single"/>
              <w:bottom w:color="000000" w:sz="4" w:val="single"/>
              <w:right w:color="000000" w:sz="4" w:val="single"/>
            </w:tcBorders>
            <w:shd w:fill="auto" w:val="clear"/>
            <w:vAlign w:val="center"/>
          </w:tcPr>
          <w:p w14:paraId="AF0E0000">
            <w:pPr>
              <w:widowControl w:val="1"/>
              <w:ind w:firstLine="34"/>
              <w:contextualSpacing w:val="1"/>
              <w:jc w:val="center"/>
              <w:rPr>
                <w:i w:val="1"/>
                <w:color w:val="000000"/>
                <w:sz w:val="22"/>
              </w:rPr>
            </w:pPr>
            <w:r>
              <w:rPr>
                <w:i w:val="1"/>
                <w:color w:val="000000"/>
                <w:sz w:val="22"/>
              </w:rPr>
              <w:t>62</w:t>
            </w:r>
          </w:p>
        </w:tc>
        <w:tc>
          <w:tcPr>
            <w:tcW w:type="dxa" w:w="988"/>
            <w:tcBorders>
              <w:top w:color="000000" w:sz="4" w:val="single"/>
              <w:left w:color="000000" w:sz="4" w:val="single"/>
              <w:bottom w:color="000000" w:sz="4" w:val="single"/>
              <w:right w:color="000000" w:sz="4" w:val="single"/>
            </w:tcBorders>
            <w:shd w:fill="auto" w:val="clear"/>
            <w:vAlign w:val="center"/>
          </w:tcPr>
          <w:p w14:paraId="B00E0000">
            <w:pPr>
              <w:widowControl w:val="1"/>
              <w:ind w:firstLine="34"/>
              <w:contextualSpacing w:val="1"/>
              <w:jc w:val="center"/>
              <w:rPr>
                <w:i w:val="1"/>
                <w:color w:val="000000"/>
                <w:sz w:val="22"/>
              </w:rPr>
            </w:pPr>
            <w:r>
              <w:rPr>
                <w:i w:val="1"/>
                <w:color w:val="000000"/>
                <w:sz w:val="22"/>
              </w:rPr>
              <w:t>58</w:t>
            </w:r>
          </w:p>
        </w:tc>
      </w:tr>
      <w:tr>
        <w:trPr>
          <w:trHeight w:hRule="atLeast" w:val="358"/>
        </w:trPr>
        <w:tc>
          <w:tcPr>
            <w:tcW w:type="dxa" w:w="572"/>
            <w:tcBorders>
              <w:top w:color="000000" w:sz="4" w:val="single"/>
              <w:left w:color="000000" w:sz="4" w:val="single"/>
              <w:bottom w:color="000000" w:sz="4" w:val="single"/>
              <w:right w:color="000000" w:sz="4" w:val="single"/>
            </w:tcBorders>
            <w:shd w:fill="auto" w:val="clear"/>
            <w:vAlign w:val="center"/>
          </w:tcPr>
          <w:p w14:paraId="B10E0000">
            <w:pPr>
              <w:widowControl w:val="1"/>
              <w:ind w:firstLine="709" w:left="-713"/>
              <w:contextualSpacing w:val="1"/>
              <w:jc w:val="center"/>
              <w:rPr>
                <w:b w:val="1"/>
                <w:sz w:val="22"/>
              </w:rPr>
            </w:pPr>
            <w:r>
              <w:rPr>
                <w:b w:val="1"/>
                <w:sz w:val="22"/>
              </w:rPr>
              <w:t>11.</w:t>
            </w:r>
          </w:p>
        </w:tc>
        <w:tc>
          <w:tcPr>
            <w:tcW w:type="dxa" w:w="1558"/>
            <w:tcBorders>
              <w:top w:color="000000" w:sz="4" w:val="single"/>
              <w:left w:color="000000" w:sz="4" w:val="single"/>
              <w:bottom w:color="000000" w:sz="4" w:val="single"/>
              <w:right w:color="000000" w:sz="4" w:val="single"/>
            </w:tcBorders>
            <w:shd w:fill="auto" w:val="clear"/>
            <w:vAlign w:val="center"/>
          </w:tcPr>
          <w:p w14:paraId="B20E0000">
            <w:pPr>
              <w:widowControl w:val="1"/>
              <w:ind w:firstLine="34"/>
              <w:contextualSpacing w:val="1"/>
              <w:rPr>
                <w:b w:val="1"/>
                <w:sz w:val="22"/>
              </w:rPr>
            </w:pPr>
            <w:r>
              <w:rPr>
                <w:b w:val="1"/>
                <w:sz w:val="22"/>
              </w:rPr>
              <w:t>Амортизация</w:t>
            </w:r>
          </w:p>
        </w:tc>
        <w:tc>
          <w:tcPr>
            <w:tcW w:type="dxa" w:w="1417"/>
            <w:tcBorders>
              <w:top w:color="000000" w:sz="4" w:val="single"/>
              <w:left w:color="000000" w:sz="4" w:val="single"/>
              <w:bottom w:color="000000" w:sz="4" w:val="single"/>
              <w:right w:color="000000" w:sz="4" w:val="single"/>
            </w:tcBorders>
            <w:shd w:fill="auto" w:val="clear"/>
            <w:vAlign w:val="center"/>
          </w:tcPr>
          <w:p w14:paraId="B30E0000">
            <w:pPr>
              <w:widowControl w:val="1"/>
              <w:ind w:firstLine="34"/>
              <w:contextualSpacing w:val="1"/>
              <w:jc w:val="center"/>
              <w:rPr>
                <w:color w:val="000000"/>
                <w:sz w:val="22"/>
              </w:rPr>
            </w:pPr>
            <w:r>
              <w:rPr>
                <w:color w:val="000000"/>
                <w:sz w:val="22"/>
              </w:rPr>
              <w:t>3 613</w:t>
            </w:r>
          </w:p>
        </w:tc>
        <w:tc>
          <w:tcPr>
            <w:tcW w:type="dxa" w:w="1280"/>
            <w:tcBorders>
              <w:top w:color="000000" w:sz="4" w:val="single"/>
              <w:left w:color="000000" w:sz="4" w:val="single"/>
              <w:bottom w:color="000000" w:sz="4" w:val="single"/>
              <w:right w:color="000000" w:sz="4" w:val="single"/>
            </w:tcBorders>
            <w:vAlign w:val="center"/>
          </w:tcPr>
          <w:p w14:paraId="B40E0000">
            <w:pPr>
              <w:widowControl w:val="1"/>
              <w:ind w:firstLine="34"/>
              <w:contextualSpacing w:val="1"/>
              <w:jc w:val="center"/>
              <w:rPr>
                <w:color w:val="000000"/>
                <w:sz w:val="22"/>
              </w:rPr>
            </w:pPr>
            <w:r>
              <w:rPr>
                <w:color w:val="000000"/>
                <w:sz w:val="22"/>
              </w:rPr>
              <w:t>4 705</w:t>
            </w:r>
          </w:p>
        </w:tc>
        <w:tc>
          <w:tcPr>
            <w:tcW w:type="dxa" w:w="1555"/>
            <w:tcBorders>
              <w:top w:color="000000" w:sz="4" w:val="single"/>
              <w:left w:color="000000" w:sz="4" w:val="single"/>
              <w:bottom w:color="000000" w:sz="4" w:val="single"/>
              <w:right w:color="000000" w:sz="4" w:val="single"/>
            </w:tcBorders>
            <w:vAlign w:val="center"/>
          </w:tcPr>
          <w:p w14:paraId="B50E0000">
            <w:pPr>
              <w:widowControl w:val="1"/>
              <w:ind w:firstLine="34"/>
              <w:contextualSpacing w:val="1"/>
              <w:jc w:val="center"/>
              <w:rPr>
                <w:color w:val="000000"/>
                <w:sz w:val="22"/>
              </w:rPr>
            </w:pPr>
            <w:r>
              <w:rPr>
                <w:color w:val="000000"/>
                <w:sz w:val="22"/>
              </w:rPr>
              <w:t>5 530</w:t>
            </w:r>
          </w:p>
        </w:tc>
        <w:tc>
          <w:tcPr>
            <w:tcW w:type="dxa" w:w="1280"/>
            <w:tcBorders>
              <w:top w:color="000000" w:sz="4" w:val="single"/>
              <w:left w:color="000000" w:sz="4" w:val="single"/>
              <w:bottom w:color="000000" w:sz="4" w:val="single"/>
              <w:right w:color="000000" w:sz="4" w:val="single"/>
            </w:tcBorders>
            <w:vAlign w:val="center"/>
          </w:tcPr>
          <w:p w14:paraId="B60E0000">
            <w:pPr>
              <w:widowControl w:val="1"/>
              <w:ind w:firstLine="34"/>
              <w:contextualSpacing w:val="1"/>
              <w:jc w:val="center"/>
              <w:rPr>
                <w:color w:val="000000"/>
                <w:sz w:val="22"/>
              </w:rPr>
            </w:pPr>
            <w:r>
              <w:rPr>
                <w:color w:val="000000"/>
                <w:sz w:val="22"/>
              </w:rPr>
              <w:t>3 789</w:t>
            </w:r>
          </w:p>
        </w:tc>
        <w:tc>
          <w:tcPr>
            <w:tcW w:type="dxa" w:w="1134"/>
            <w:tcBorders>
              <w:top w:color="000000" w:sz="4" w:val="single"/>
              <w:left w:color="000000" w:sz="4" w:val="single"/>
              <w:bottom w:color="000000" w:sz="4" w:val="single"/>
              <w:right w:color="000000" w:sz="4" w:val="single"/>
            </w:tcBorders>
            <w:shd w:fill="auto" w:val="clear"/>
            <w:vAlign w:val="center"/>
          </w:tcPr>
          <w:p w14:paraId="B70E0000">
            <w:pPr>
              <w:widowControl w:val="1"/>
              <w:ind w:firstLine="34"/>
              <w:contextualSpacing w:val="1"/>
              <w:jc w:val="center"/>
              <w:rPr>
                <w:i w:val="1"/>
                <w:color w:val="000000"/>
                <w:sz w:val="22"/>
              </w:rPr>
            </w:pPr>
            <w:r>
              <w:rPr>
                <w:i w:val="1"/>
                <w:color w:val="000000"/>
                <w:sz w:val="22"/>
              </w:rPr>
              <w:t>8</w:t>
            </w:r>
            <w:r>
              <w:rPr>
                <w:i w:val="1"/>
                <w:color w:val="000000"/>
                <w:sz w:val="22"/>
              </w:rPr>
              <w:t>1</w:t>
            </w:r>
          </w:p>
        </w:tc>
        <w:tc>
          <w:tcPr>
            <w:tcW w:type="dxa" w:w="988"/>
            <w:tcBorders>
              <w:top w:color="000000" w:sz="4" w:val="single"/>
              <w:left w:color="000000" w:sz="4" w:val="single"/>
              <w:bottom w:color="000000" w:sz="4" w:val="single"/>
              <w:right w:color="000000" w:sz="4" w:val="single"/>
            </w:tcBorders>
            <w:shd w:fill="auto" w:val="clear"/>
            <w:vAlign w:val="center"/>
          </w:tcPr>
          <w:p w14:paraId="B80E0000">
            <w:pPr>
              <w:widowControl w:val="1"/>
              <w:ind w:firstLine="34"/>
              <w:contextualSpacing w:val="1"/>
              <w:jc w:val="center"/>
              <w:rPr>
                <w:i w:val="1"/>
                <w:color w:val="000000"/>
                <w:sz w:val="22"/>
              </w:rPr>
            </w:pPr>
            <w:r>
              <w:rPr>
                <w:i w:val="1"/>
                <w:color w:val="000000"/>
                <w:sz w:val="22"/>
              </w:rPr>
              <w:t>69</w:t>
            </w:r>
          </w:p>
        </w:tc>
      </w:tr>
      <w:tr>
        <w:trPr>
          <w:trHeight w:hRule="atLeast" w:val="509"/>
        </w:trPr>
        <w:tc>
          <w:tcPr>
            <w:tcW w:type="dxa" w:w="572"/>
            <w:tcBorders>
              <w:top w:color="000000" w:sz="4" w:val="single"/>
              <w:left w:color="000000" w:sz="4" w:val="single"/>
              <w:bottom w:color="000000" w:sz="4" w:val="single"/>
              <w:right w:color="000000" w:sz="4" w:val="single"/>
            </w:tcBorders>
            <w:shd w:fill="auto" w:val="clear"/>
            <w:vAlign w:val="center"/>
          </w:tcPr>
          <w:p w14:paraId="B90E0000">
            <w:pPr>
              <w:widowControl w:val="1"/>
              <w:ind w:firstLine="709" w:left="-713"/>
              <w:contextualSpacing w:val="1"/>
              <w:jc w:val="center"/>
              <w:rPr>
                <w:b w:val="1"/>
                <w:sz w:val="22"/>
              </w:rPr>
            </w:pPr>
            <w:r>
              <w:rPr>
                <w:b w:val="1"/>
                <w:sz w:val="22"/>
              </w:rPr>
              <w:t>12.</w:t>
            </w:r>
          </w:p>
        </w:tc>
        <w:tc>
          <w:tcPr>
            <w:tcW w:type="dxa" w:w="1558"/>
            <w:tcBorders>
              <w:top w:color="000000" w:sz="4" w:val="single"/>
              <w:left w:color="000000" w:sz="4" w:val="single"/>
              <w:bottom w:color="000000" w:sz="4" w:val="single"/>
              <w:right w:color="000000" w:sz="4" w:val="single"/>
            </w:tcBorders>
            <w:shd w:fill="auto" w:val="clear"/>
            <w:vAlign w:val="center"/>
          </w:tcPr>
          <w:p w14:paraId="BA0E0000">
            <w:pPr>
              <w:widowControl w:val="1"/>
              <w:ind w:firstLine="34"/>
              <w:contextualSpacing w:val="1"/>
              <w:rPr>
                <w:b w:val="1"/>
                <w:sz w:val="22"/>
              </w:rPr>
            </w:pPr>
            <w:r>
              <w:rPr>
                <w:b w:val="1"/>
                <w:sz w:val="22"/>
              </w:rPr>
              <w:t>Прочие затраты, в т.ч.:</w:t>
            </w:r>
          </w:p>
        </w:tc>
        <w:tc>
          <w:tcPr>
            <w:tcW w:type="dxa" w:w="1417"/>
            <w:tcBorders>
              <w:top w:color="000000" w:sz="4" w:val="single"/>
              <w:left w:color="000000" w:sz="4" w:val="single"/>
              <w:bottom w:color="000000" w:sz="4" w:val="single"/>
              <w:right w:color="000000" w:sz="4" w:val="single"/>
            </w:tcBorders>
            <w:shd w:fill="auto" w:val="clear"/>
            <w:vAlign w:val="center"/>
          </w:tcPr>
          <w:p w14:paraId="BB0E0000">
            <w:pPr>
              <w:widowControl w:val="1"/>
              <w:ind w:firstLine="34"/>
              <w:contextualSpacing w:val="1"/>
              <w:jc w:val="center"/>
              <w:rPr>
                <w:color w:val="000000"/>
                <w:sz w:val="22"/>
              </w:rPr>
            </w:pPr>
            <w:r>
              <w:rPr>
                <w:color w:val="000000"/>
                <w:sz w:val="22"/>
              </w:rPr>
              <w:t>510 004</w:t>
            </w:r>
          </w:p>
        </w:tc>
        <w:tc>
          <w:tcPr>
            <w:tcW w:type="dxa" w:w="1280"/>
            <w:tcBorders>
              <w:top w:color="000000" w:sz="4" w:val="single"/>
              <w:left w:color="000000" w:sz="4" w:val="single"/>
              <w:bottom w:color="000000" w:sz="4" w:val="single"/>
              <w:right w:color="000000" w:sz="4" w:val="single"/>
            </w:tcBorders>
            <w:vAlign w:val="center"/>
          </w:tcPr>
          <w:p w14:paraId="BC0E0000">
            <w:pPr>
              <w:widowControl w:val="1"/>
              <w:ind w:firstLine="34"/>
              <w:contextualSpacing w:val="1"/>
              <w:jc w:val="center"/>
              <w:rPr>
                <w:color w:val="000000"/>
                <w:sz w:val="22"/>
              </w:rPr>
            </w:pPr>
            <w:r>
              <w:rPr>
                <w:color w:val="000000"/>
                <w:sz w:val="22"/>
              </w:rPr>
              <w:t>512 662</w:t>
            </w:r>
          </w:p>
        </w:tc>
        <w:tc>
          <w:tcPr>
            <w:tcW w:type="dxa" w:w="1555"/>
            <w:tcBorders>
              <w:top w:color="000000" w:sz="4" w:val="single"/>
              <w:left w:color="000000" w:sz="4" w:val="single"/>
              <w:bottom w:color="000000" w:sz="4" w:val="single"/>
              <w:right w:color="000000" w:sz="4" w:val="single"/>
            </w:tcBorders>
            <w:vAlign w:val="center"/>
          </w:tcPr>
          <w:p w14:paraId="BD0E0000">
            <w:pPr>
              <w:widowControl w:val="1"/>
              <w:ind w:firstLine="34"/>
              <w:contextualSpacing w:val="1"/>
              <w:jc w:val="center"/>
              <w:rPr>
                <w:color w:val="000000"/>
                <w:sz w:val="22"/>
              </w:rPr>
            </w:pPr>
            <w:r>
              <w:rPr>
                <w:color w:val="000000"/>
                <w:sz w:val="22"/>
              </w:rPr>
              <w:t>520 786</w:t>
            </w:r>
          </w:p>
        </w:tc>
        <w:tc>
          <w:tcPr>
            <w:tcW w:type="dxa" w:w="1280"/>
            <w:tcBorders>
              <w:top w:color="000000" w:sz="4" w:val="single"/>
              <w:left w:color="000000" w:sz="4" w:val="single"/>
              <w:bottom w:color="000000" w:sz="4" w:val="single"/>
              <w:right w:color="000000" w:sz="4" w:val="single"/>
            </w:tcBorders>
            <w:vAlign w:val="center"/>
          </w:tcPr>
          <w:p w14:paraId="BE0E0000">
            <w:pPr>
              <w:widowControl w:val="1"/>
              <w:ind w:firstLine="34"/>
              <w:contextualSpacing w:val="1"/>
              <w:jc w:val="center"/>
              <w:rPr>
                <w:color w:val="000000"/>
                <w:sz w:val="22"/>
              </w:rPr>
            </w:pPr>
            <w:r>
              <w:rPr>
                <w:color w:val="000000"/>
                <w:sz w:val="22"/>
              </w:rPr>
              <w:t>521 267</w:t>
            </w:r>
          </w:p>
        </w:tc>
        <w:tc>
          <w:tcPr>
            <w:tcW w:type="dxa" w:w="1134"/>
            <w:tcBorders>
              <w:top w:color="000000" w:sz="4" w:val="single"/>
              <w:left w:color="000000" w:sz="4" w:val="single"/>
              <w:bottom w:color="000000" w:sz="4" w:val="single"/>
              <w:right w:color="000000" w:sz="4" w:val="single"/>
            </w:tcBorders>
            <w:shd w:fill="auto" w:val="clear"/>
            <w:vAlign w:val="center"/>
          </w:tcPr>
          <w:p w14:paraId="BF0E0000">
            <w:pPr>
              <w:widowControl w:val="1"/>
              <w:ind w:firstLine="34"/>
              <w:contextualSpacing w:val="1"/>
              <w:jc w:val="center"/>
              <w:rPr>
                <w:i w:val="1"/>
                <w:color w:val="000000"/>
                <w:sz w:val="22"/>
              </w:rPr>
            </w:pPr>
            <w:r>
              <w:rPr>
                <w:i w:val="1"/>
                <w:color w:val="000000"/>
                <w:sz w:val="22"/>
              </w:rPr>
              <w:t>102</w:t>
            </w:r>
          </w:p>
        </w:tc>
        <w:tc>
          <w:tcPr>
            <w:tcW w:type="dxa" w:w="988"/>
            <w:tcBorders>
              <w:top w:color="000000" w:sz="4" w:val="single"/>
              <w:left w:color="000000" w:sz="4" w:val="single"/>
              <w:bottom w:color="000000" w:sz="4" w:val="single"/>
              <w:right w:color="000000" w:sz="4" w:val="single"/>
            </w:tcBorders>
            <w:shd w:fill="auto" w:val="clear"/>
            <w:vAlign w:val="center"/>
          </w:tcPr>
          <w:p w14:paraId="C00E0000">
            <w:pPr>
              <w:widowControl w:val="1"/>
              <w:ind w:firstLine="34"/>
              <w:contextualSpacing w:val="1"/>
              <w:jc w:val="center"/>
              <w:rPr>
                <w:i w:val="1"/>
                <w:color w:val="000000"/>
                <w:sz w:val="22"/>
              </w:rPr>
            </w:pPr>
            <w:r>
              <w:rPr>
                <w:i w:val="1"/>
                <w:color w:val="000000"/>
                <w:sz w:val="22"/>
              </w:rPr>
              <w:t>100</w:t>
            </w:r>
          </w:p>
        </w:tc>
      </w:tr>
      <w:tr>
        <w:trPr>
          <w:trHeight w:hRule="atLeast" w:val="509"/>
        </w:trPr>
        <w:tc>
          <w:tcPr>
            <w:tcW w:type="dxa" w:w="572"/>
            <w:tcBorders>
              <w:top w:color="000000" w:sz="4" w:val="single"/>
              <w:left w:color="000000" w:sz="4" w:val="single"/>
              <w:bottom w:color="000000" w:sz="4" w:val="single"/>
              <w:right w:color="000000" w:sz="4" w:val="single"/>
            </w:tcBorders>
            <w:shd w:fill="auto" w:val="clear"/>
            <w:vAlign w:val="center"/>
          </w:tcPr>
          <w:p w14:paraId="C10E0000">
            <w:pPr>
              <w:widowControl w:val="1"/>
              <w:ind w:firstLine="709" w:left="-713"/>
              <w:contextualSpacing w:val="1"/>
              <w:jc w:val="center"/>
              <w:rPr>
                <w:b w:val="1"/>
                <w:sz w:val="22"/>
              </w:rPr>
            </w:pPr>
            <w:r>
              <w:rPr>
                <w:b w:val="1"/>
                <w:sz w:val="22"/>
              </w:rPr>
              <w:t>12.1.</w:t>
            </w:r>
          </w:p>
        </w:tc>
        <w:tc>
          <w:tcPr>
            <w:tcW w:type="dxa" w:w="1558"/>
            <w:tcBorders>
              <w:top w:color="000000" w:sz="4" w:val="single"/>
              <w:left w:color="000000" w:sz="4" w:val="single"/>
              <w:bottom w:color="000000" w:sz="4" w:val="single"/>
              <w:right w:color="000000" w:sz="4" w:val="single"/>
            </w:tcBorders>
            <w:shd w:fill="auto" w:val="clear"/>
            <w:vAlign w:val="center"/>
          </w:tcPr>
          <w:p w14:paraId="C20E0000">
            <w:pPr>
              <w:widowControl w:val="1"/>
              <w:ind w:firstLine="34"/>
              <w:contextualSpacing w:val="1"/>
              <w:rPr>
                <w:i w:val="1"/>
                <w:sz w:val="22"/>
              </w:rPr>
            </w:pPr>
            <w:r>
              <w:rPr>
                <w:i w:val="1"/>
                <w:sz w:val="22"/>
              </w:rPr>
              <w:t>Прочие производственные затраты</w:t>
            </w:r>
          </w:p>
        </w:tc>
        <w:tc>
          <w:tcPr>
            <w:tcW w:type="dxa" w:w="1417"/>
            <w:tcBorders>
              <w:top w:color="000000" w:sz="4" w:val="single"/>
              <w:left w:color="000000" w:sz="4" w:val="single"/>
              <w:bottom w:color="000000" w:sz="4" w:val="single"/>
              <w:right w:color="000000" w:sz="4" w:val="single"/>
            </w:tcBorders>
            <w:shd w:fill="auto" w:val="clear"/>
            <w:vAlign w:val="center"/>
          </w:tcPr>
          <w:p w14:paraId="C30E0000">
            <w:pPr>
              <w:widowControl w:val="1"/>
              <w:ind w:firstLine="34"/>
              <w:contextualSpacing w:val="1"/>
              <w:jc w:val="center"/>
              <w:rPr>
                <w:color w:val="000000"/>
                <w:sz w:val="22"/>
              </w:rPr>
            </w:pPr>
            <w:r>
              <w:rPr>
                <w:color w:val="000000"/>
                <w:sz w:val="22"/>
              </w:rPr>
              <w:t>490 109</w:t>
            </w:r>
          </w:p>
        </w:tc>
        <w:tc>
          <w:tcPr>
            <w:tcW w:type="dxa" w:w="1280"/>
            <w:tcBorders>
              <w:top w:color="000000" w:sz="4" w:val="single"/>
              <w:left w:color="000000" w:sz="4" w:val="single"/>
              <w:bottom w:color="000000" w:sz="4" w:val="single"/>
              <w:right w:color="000000" w:sz="4" w:val="single"/>
            </w:tcBorders>
            <w:vAlign w:val="center"/>
          </w:tcPr>
          <w:p w14:paraId="C40E0000">
            <w:pPr>
              <w:widowControl w:val="1"/>
              <w:ind w:firstLine="34"/>
              <w:contextualSpacing w:val="1"/>
              <w:jc w:val="center"/>
              <w:rPr>
                <w:i w:val="1"/>
                <w:color w:val="000000"/>
                <w:sz w:val="22"/>
              </w:rPr>
            </w:pPr>
            <w:r>
              <w:rPr>
                <w:i w:val="1"/>
                <w:color w:val="000000"/>
                <w:sz w:val="22"/>
              </w:rPr>
              <w:t>500 707</w:t>
            </w:r>
          </w:p>
        </w:tc>
        <w:tc>
          <w:tcPr>
            <w:tcW w:type="dxa" w:w="1555"/>
            <w:tcBorders>
              <w:top w:color="000000" w:sz="4" w:val="single"/>
              <w:left w:color="000000" w:sz="4" w:val="single"/>
              <w:bottom w:color="000000" w:sz="4" w:val="single"/>
              <w:right w:color="000000" w:sz="4" w:val="single"/>
            </w:tcBorders>
            <w:vAlign w:val="center"/>
          </w:tcPr>
          <w:p w14:paraId="C50E0000">
            <w:pPr>
              <w:widowControl w:val="1"/>
              <w:ind w:firstLine="34"/>
              <w:contextualSpacing w:val="1"/>
              <w:jc w:val="center"/>
              <w:rPr>
                <w:i w:val="1"/>
                <w:color w:val="000000"/>
                <w:sz w:val="22"/>
              </w:rPr>
            </w:pPr>
            <w:r>
              <w:rPr>
                <w:i w:val="1"/>
                <w:color w:val="000000"/>
                <w:sz w:val="22"/>
              </w:rPr>
              <w:t>509 267</w:t>
            </w:r>
          </w:p>
        </w:tc>
        <w:tc>
          <w:tcPr>
            <w:tcW w:type="dxa" w:w="1280"/>
            <w:tcBorders>
              <w:top w:color="000000" w:sz="4" w:val="single"/>
              <w:left w:color="000000" w:sz="4" w:val="single"/>
              <w:bottom w:color="000000" w:sz="4" w:val="single"/>
              <w:right w:color="000000" w:sz="4" w:val="single"/>
            </w:tcBorders>
            <w:vAlign w:val="center"/>
          </w:tcPr>
          <w:p w14:paraId="C60E0000">
            <w:pPr>
              <w:widowControl w:val="1"/>
              <w:ind w:firstLine="34"/>
              <w:contextualSpacing w:val="1"/>
              <w:jc w:val="center"/>
              <w:rPr>
                <w:i w:val="1"/>
                <w:color w:val="000000"/>
                <w:sz w:val="22"/>
              </w:rPr>
            </w:pPr>
            <w:r>
              <w:rPr>
                <w:i w:val="1"/>
                <w:color w:val="000000"/>
                <w:sz w:val="22"/>
              </w:rPr>
              <w:t>514 477</w:t>
            </w:r>
          </w:p>
        </w:tc>
        <w:tc>
          <w:tcPr>
            <w:tcW w:type="dxa" w:w="1134"/>
            <w:tcBorders>
              <w:top w:color="000000" w:sz="4" w:val="single"/>
              <w:left w:color="000000" w:sz="4" w:val="single"/>
              <w:bottom w:color="000000" w:sz="4" w:val="single"/>
              <w:right w:color="000000" w:sz="4" w:val="single"/>
            </w:tcBorders>
            <w:shd w:fill="auto" w:val="clear"/>
            <w:vAlign w:val="center"/>
          </w:tcPr>
          <w:p w14:paraId="C70E0000">
            <w:pPr>
              <w:widowControl w:val="1"/>
              <w:ind w:firstLine="34"/>
              <w:contextualSpacing w:val="1"/>
              <w:jc w:val="center"/>
              <w:rPr>
                <w:i w:val="1"/>
                <w:color w:val="000000"/>
                <w:sz w:val="22"/>
              </w:rPr>
            </w:pPr>
            <w:r>
              <w:rPr>
                <w:i w:val="1"/>
                <w:color w:val="000000"/>
                <w:sz w:val="22"/>
              </w:rPr>
              <w:t>103</w:t>
            </w:r>
          </w:p>
        </w:tc>
        <w:tc>
          <w:tcPr>
            <w:tcW w:type="dxa" w:w="988"/>
            <w:tcBorders>
              <w:top w:color="000000" w:sz="4" w:val="single"/>
              <w:left w:color="000000" w:sz="4" w:val="single"/>
              <w:bottom w:color="000000" w:sz="4" w:val="single"/>
              <w:right w:color="000000" w:sz="4" w:val="single"/>
            </w:tcBorders>
            <w:shd w:fill="auto" w:val="clear"/>
            <w:vAlign w:val="center"/>
          </w:tcPr>
          <w:p w14:paraId="C80E0000">
            <w:pPr>
              <w:widowControl w:val="1"/>
              <w:ind w:firstLine="34"/>
              <w:contextualSpacing w:val="1"/>
              <w:jc w:val="center"/>
              <w:rPr>
                <w:i w:val="1"/>
                <w:color w:val="000000"/>
                <w:sz w:val="22"/>
              </w:rPr>
            </w:pPr>
            <w:r>
              <w:rPr>
                <w:i w:val="1"/>
                <w:color w:val="000000"/>
                <w:sz w:val="22"/>
              </w:rPr>
              <w:t>101</w:t>
            </w:r>
          </w:p>
        </w:tc>
      </w:tr>
      <w:tr>
        <w:trPr>
          <w:trHeight w:hRule="atLeast" w:val="441"/>
        </w:trPr>
        <w:tc>
          <w:tcPr>
            <w:tcW w:type="dxa" w:w="572"/>
            <w:tcBorders>
              <w:top w:color="000000" w:sz="4" w:val="single"/>
              <w:left w:color="000000" w:sz="4" w:val="single"/>
              <w:bottom w:color="000000" w:sz="4" w:val="single"/>
              <w:right w:color="000000" w:sz="4" w:val="single"/>
            </w:tcBorders>
            <w:shd w:fill="auto" w:val="clear"/>
            <w:vAlign w:val="center"/>
          </w:tcPr>
          <w:p w14:paraId="C90E0000">
            <w:pPr>
              <w:widowControl w:val="1"/>
              <w:ind w:firstLine="709" w:left="-713"/>
              <w:contextualSpacing w:val="1"/>
              <w:jc w:val="center"/>
              <w:rPr>
                <w:b w:val="1"/>
                <w:i w:val="1"/>
                <w:sz w:val="22"/>
              </w:rPr>
            </w:pPr>
            <w:r>
              <w:rPr>
                <w:b w:val="1"/>
                <w:i w:val="1"/>
                <w:sz w:val="22"/>
              </w:rPr>
              <w:t>12.2.</w:t>
            </w:r>
          </w:p>
        </w:tc>
        <w:tc>
          <w:tcPr>
            <w:tcW w:type="dxa" w:w="1558"/>
            <w:tcBorders>
              <w:top w:color="000000" w:sz="4" w:val="single"/>
              <w:left w:color="000000" w:sz="4" w:val="single"/>
              <w:bottom w:color="000000" w:sz="4" w:val="single"/>
              <w:right w:color="000000" w:sz="4" w:val="single"/>
            </w:tcBorders>
            <w:shd w:fill="auto" w:val="clear"/>
            <w:vAlign w:val="center"/>
          </w:tcPr>
          <w:p w14:paraId="CA0E0000">
            <w:pPr>
              <w:widowControl w:val="1"/>
              <w:ind w:firstLine="34"/>
              <w:contextualSpacing w:val="1"/>
              <w:rPr>
                <w:i w:val="1"/>
                <w:sz w:val="22"/>
              </w:rPr>
            </w:pPr>
            <w:r>
              <w:rPr>
                <w:i w:val="1"/>
                <w:sz w:val="22"/>
              </w:rPr>
              <w:t>Прочие расходы (91 счет)</w:t>
            </w:r>
          </w:p>
        </w:tc>
        <w:tc>
          <w:tcPr>
            <w:tcW w:type="dxa" w:w="1417"/>
            <w:tcBorders>
              <w:top w:color="000000" w:sz="4" w:val="single"/>
              <w:left w:color="000000" w:sz="4" w:val="single"/>
              <w:bottom w:color="000000" w:sz="4" w:val="single"/>
              <w:right w:color="000000" w:sz="4" w:val="single"/>
            </w:tcBorders>
            <w:shd w:fill="auto" w:val="clear"/>
            <w:vAlign w:val="center"/>
          </w:tcPr>
          <w:p w14:paraId="CB0E0000">
            <w:pPr>
              <w:widowControl w:val="1"/>
              <w:ind w:firstLine="34"/>
              <w:contextualSpacing w:val="1"/>
              <w:jc w:val="center"/>
              <w:rPr>
                <w:i w:val="1"/>
                <w:color w:val="000000"/>
                <w:sz w:val="22"/>
              </w:rPr>
            </w:pPr>
            <w:r>
              <w:rPr>
                <w:i w:val="1"/>
                <w:color w:val="000000"/>
                <w:sz w:val="22"/>
              </w:rPr>
              <w:t>19 894</w:t>
            </w:r>
          </w:p>
        </w:tc>
        <w:tc>
          <w:tcPr>
            <w:tcW w:type="dxa" w:w="1280"/>
            <w:tcBorders>
              <w:top w:color="000000" w:sz="4" w:val="single"/>
              <w:left w:color="000000" w:sz="4" w:val="single"/>
              <w:bottom w:color="000000" w:sz="4" w:val="single"/>
              <w:right w:color="000000" w:sz="4" w:val="single"/>
            </w:tcBorders>
            <w:vAlign w:val="center"/>
          </w:tcPr>
          <w:p w14:paraId="CC0E0000">
            <w:pPr>
              <w:widowControl w:val="1"/>
              <w:ind w:firstLine="34"/>
              <w:contextualSpacing w:val="1"/>
              <w:jc w:val="center"/>
              <w:rPr>
                <w:i w:val="1"/>
                <w:color w:val="000000"/>
                <w:sz w:val="22"/>
              </w:rPr>
            </w:pPr>
            <w:r>
              <w:rPr>
                <w:i w:val="1"/>
                <w:color w:val="000000"/>
                <w:sz w:val="22"/>
              </w:rPr>
              <w:t>11 954</w:t>
            </w:r>
          </w:p>
        </w:tc>
        <w:tc>
          <w:tcPr>
            <w:tcW w:type="dxa" w:w="1555"/>
            <w:tcBorders>
              <w:top w:color="000000" w:sz="4" w:val="single"/>
              <w:left w:color="000000" w:sz="4" w:val="single"/>
              <w:bottom w:color="000000" w:sz="4" w:val="single"/>
              <w:right w:color="000000" w:sz="4" w:val="single"/>
            </w:tcBorders>
            <w:vAlign w:val="center"/>
          </w:tcPr>
          <w:p w14:paraId="CD0E0000">
            <w:pPr>
              <w:widowControl w:val="1"/>
              <w:ind w:firstLine="34"/>
              <w:contextualSpacing w:val="1"/>
              <w:jc w:val="center"/>
              <w:rPr>
                <w:i w:val="1"/>
                <w:color w:val="000000"/>
                <w:sz w:val="22"/>
              </w:rPr>
            </w:pPr>
            <w:r>
              <w:rPr>
                <w:i w:val="1"/>
                <w:color w:val="000000"/>
                <w:sz w:val="22"/>
              </w:rPr>
              <w:t>11 519</w:t>
            </w:r>
          </w:p>
        </w:tc>
        <w:tc>
          <w:tcPr>
            <w:tcW w:type="dxa" w:w="1280"/>
            <w:tcBorders>
              <w:top w:color="000000" w:sz="4" w:val="single"/>
              <w:left w:color="000000" w:sz="4" w:val="single"/>
              <w:bottom w:color="000000" w:sz="4" w:val="single"/>
              <w:right w:color="000000" w:sz="4" w:val="single"/>
            </w:tcBorders>
            <w:vAlign w:val="center"/>
          </w:tcPr>
          <w:p w14:paraId="CE0E0000">
            <w:pPr>
              <w:widowControl w:val="1"/>
              <w:ind w:firstLine="34"/>
              <w:contextualSpacing w:val="1"/>
              <w:jc w:val="center"/>
              <w:rPr>
                <w:i w:val="1"/>
                <w:color w:val="000000"/>
                <w:sz w:val="22"/>
              </w:rPr>
            </w:pPr>
            <w:r>
              <w:rPr>
                <w:i w:val="1"/>
                <w:color w:val="000000"/>
                <w:sz w:val="22"/>
              </w:rPr>
              <w:t>6 790</w:t>
            </w:r>
          </w:p>
        </w:tc>
        <w:tc>
          <w:tcPr>
            <w:tcW w:type="dxa" w:w="1134"/>
            <w:tcBorders>
              <w:top w:color="000000" w:sz="4" w:val="single"/>
              <w:left w:color="000000" w:sz="4" w:val="single"/>
              <w:bottom w:color="000000" w:sz="4" w:val="single"/>
              <w:right w:color="000000" w:sz="4" w:val="single"/>
            </w:tcBorders>
            <w:shd w:fill="auto" w:val="clear"/>
            <w:vAlign w:val="center"/>
          </w:tcPr>
          <w:p w14:paraId="CF0E0000">
            <w:pPr>
              <w:widowControl w:val="1"/>
              <w:ind w:firstLine="34"/>
              <w:contextualSpacing w:val="1"/>
              <w:jc w:val="center"/>
              <w:rPr>
                <w:i w:val="1"/>
                <w:color w:val="000000"/>
                <w:sz w:val="22"/>
              </w:rPr>
            </w:pPr>
            <w:r>
              <w:rPr>
                <w:i w:val="1"/>
                <w:color w:val="000000"/>
                <w:sz w:val="22"/>
              </w:rPr>
              <w:t>57</w:t>
            </w:r>
          </w:p>
        </w:tc>
        <w:tc>
          <w:tcPr>
            <w:tcW w:type="dxa" w:w="988"/>
            <w:tcBorders>
              <w:top w:color="000000" w:sz="4" w:val="single"/>
              <w:left w:color="000000" w:sz="4" w:val="single"/>
              <w:bottom w:color="000000" w:sz="4" w:val="single"/>
              <w:right w:color="000000" w:sz="4" w:val="single"/>
            </w:tcBorders>
            <w:shd w:fill="auto" w:val="clear"/>
            <w:vAlign w:val="center"/>
          </w:tcPr>
          <w:p w14:paraId="D00E0000">
            <w:pPr>
              <w:widowControl w:val="1"/>
              <w:ind w:firstLine="34"/>
              <w:contextualSpacing w:val="1"/>
              <w:jc w:val="center"/>
              <w:rPr>
                <w:i w:val="1"/>
                <w:color w:val="000000"/>
                <w:sz w:val="22"/>
              </w:rPr>
            </w:pPr>
            <w:r>
              <w:rPr>
                <w:i w:val="1"/>
                <w:color w:val="000000"/>
                <w:sz w:val="22"/>
              </w:rPr>
              <w:t>59</w:t>
            </w:r>
          </w:p>
        </w:tc>
      </w:tr>
      <w:tr>
        <w:trPr>
          <w:trHeight w:hRule="atLeast" w:val="556"/>
        </w:trPr>
        <w:tc>
          <w:tcPr>
            <w:tcW w:type="dxa" w:w="572"/>
            <w:tcBorders>
              <w:top w:color="000000" w:sz="4" w:val="single"/>
              <w:left w:color="000000" w:sz="4" w:val="single"/>
              <w:bottom w:color="000000" w:sz="4" w:val="single"/>
              <w:right w:color="000000" w:sz="4" w:val="single"/>
            </w:tcBorders>
            <w:shd w:fill="auto" w:val="clear"/>
            <w:vAlign w:val="center"/>
          </w:tcPr>
          <w:p w14:paraId="D10E0000">
            <w:pPr>
              <w:widowControl w:val="1"/>
              <w:ind w:firstLine="709" w:left="-713"/>
              <w:contextualSpacing w:val="1"/>
              <w:jc w:val="center"/>
              <w:rPr>
                <w:b w:val="1"/>
                <w:sz w:val="22"/>
              </w:rPr>
            </w:pPr>
            <w:r>
              <w:rPr>
                <w:b w:val="1"/>
                <w:sz w:val="22"/>
              </w:rPr>
              <w:t>13</w:t>
            </w:r>
          </w:p>
        </w:tc>
        <w:tc>
          <w:tcPr>
            <w:tcW w:type="dxa" w:w="1558"/>
            <w:tcBorders>
              <w:top w:color="000000" w:sz="4" w:val="single"/>
              <w:left w:color="000000" w:sz="4" w:val="single"/>
              <w:bottom w:color="000000" w:sz="4" w:val="single"/>
              <w:right w:color="000000" w:sz="4" w:val="single"/>
            </w:tcBorders>
            <w:shd w:fill="auto" w:val="clear"/>
            <w:vAlign w:val="center"/>
          </w:tcPr>
          <w:p w14:paraId="D20E0000">
            <w:pPr>
              <w:widowControl w:val="1"/>
              <w:ind w:firstLine="34"/>
              <w:contextualSpacing w:val="1"/>
              <w:rPr>
                <w:b w:val="1"/>
                <w:sz w:val="22"/>
              </w:rPr>
            </w:pPr>
            <w:r>
              <w:rPr>
                <w:b w:val="1"/>
                <w:sz w:val="22"/>
              </w:rPr>
              <w:t>ИТОГО РАСХОДЫ (без 91счета)</w:t>
            </w:r>
          </w:p>
        </w:tc>
        <w:tc>
          <w:tcPr>
            <w:tcW w:type="dxa" w:w="1417"/>
            <w:tcBorders>
              <w:top w:color="000000" w:sz="4" w:val="single"/>
              <w:left w:color="000000" w:sz="4" w:val="single"/>
              <w:bottom w:color="000000" w:sz="4" w:val="single"/>
              <w:right w:color="000000" w:sz="4" w:val="single"/>
            </w:tcBorders>
            <w:shd w:fill="auto" w:val="clear"/>
            <w:vAlign w:val="center"/>
          </w:tcPr>
          <w:p w14:paraId="D30E0000">
            <w:pPr>
              <w:widowControl w:val="1"/>
              <w:ind w:firstLine="34"/>
              <w:contextualSpacing w:val="1"/>
              <w:jc w:val="center"/>
              <w:rPr>
                <w:b w:val="1"/>
                <w:color w:val="000000"/>
                <w:sz w:val="22"/>
              </w:rPr>
            </w:pPr>
            <w:r>
              <w:rPr>
                <w:b w:val="1"/>
                <w:color w:val="000000"/>
                <w:sz w:val="22"/>
              </w:rPr>
              <w:t>672 67</w:t>
            </w:r>
            <w:r>
              <w:rPr>
                <w:b w:val="1"/>
                <w:color w:val="000000"/>
                <w:sz w:val="22"/>
              </w:rPr>
              <w:t>9</w:t>
            </w:r>
          </w:p>
        </w:tc>
        <w:tc>
          <w:tcPr>
            <w:tcW w:type="dxa" w:w="1280"/>
            <w:tcBorders>
              <w:top w:color="000000" w:sz="4" w:val="single"/>
              <w:left w:color="000000" w:sz="4" w:val="single"/>
              <w:bottom w:color="000000" w:sz="4" w:val="single"/>
              <w:right w:color="000000" w:sz="4" w:val="single"/>
            </w:tcBorders>
            <w:vAlign w:val="center"/>
          </w:tcPr>
          <w:p w14:paraId="D40E0000">
            <w:pPr>
              <w:widowControl w:val="1"/>
              <w:ind w:firstLine="34"/>
              <w:contextualSpacing w:val="1"/>
              <w:jc w:val="center"/>
              <w:rPr>
                <w:b w:val="1"/>
                <w:color w:val="000000"/>
                <w:sz w:val="22"/>
              </w:rPr>
            </w:pPr>
            <w:r>
              <w:rPr>
                <w:b w:val="1"/>
                <w:color w:val="000000"/>
                <w:sz w:val="22"/>
              </w:rPr>
              <w:t>695 569</w:t>
            </w:r>
          </w:p>
        </w:tc>
        <w:tc>
          <w:tcPr>
            <w:tcW w:type="dxa" w:w="1555"/>
            <w:tcBorders>
              <w:top w:color="000000" w:sz="4" w:val="single"/>
              <w:left w:color="000000" w:sz="4" w:val="single"/>
              <w:bottom w:color="000000" w:sz="4" w:val="single"/>
              <w:right w:color="000000" w:sz="4" w:val="single"/>
            </w:tcBorders>
            <w:vAlign w:val="center"/>
          </w:tcPr>
          <w:p w14:paraId="D50E0000">
            <w:pPr>
              <w:widowControl w:val="1"/>
              <w:ind w:firstLine="34"/>
              <w:contextualSpacing w:val="1"/>
              <w:jc w:val="center"/>
              <w:rPr>
                <w:b w:val="1"/>
                <w:color w:val="000000"/>
                <w:sz w:val="22"/>
              </w:rPr>
            </w:pPr>
            <w:r>
              <w:rPr>
                <w:b w:val="1"/>
                <w:color w:val="000000"/>
                <w:sz w:val="22"/>
              </w:rPr>
              <w:t>714 432</w:t>
            </w:r>
          </w:p>
        </w:tc>
        <w:tc>
          <w:tcPr>
            <w:tcW w:type="dxa" w:w="1280"/>
            <w:tcBorders>
              <w:top w:color="000000" w:sz="4" w:val="single"/>
              <w:left w:color="000000" w:sz="4" w:val="single"/>
              <w:bottom w:color="000000" w:sz="4" w:val="single"/>
              <w:right w:color="000000" w:sz="4" w:val="single"/>
            </w:tcBorders>
            <w:vAlign w:val="center"/>
          </w:tcPr>
          <w:p w14:paraId="D60E0000">
            <w:pPr>
              <w:widowControl w:val="1"/>
              <w:ind w:firstLine="34"/>
              <w:contextualSpacing w:val="1"/>
              <w:jc w:val="center"/>
              <w:rPr>
                <w:b w:val="1"/>
                <w:color w:val="000000"/>
                <w:sz w:val="22"/>
              </w:rPr>
            </w:pPr>
            <w:r>
              <w:rPr>
                <w:b w:val="1"/>
                <w:color w:val="000000"/>
                <w:sz w:val="22"/>
              </w:rPr>
              <w:t>721 586</w:t>
            </w:r>
          </w:p>
        </w:tc>
        <w:tc>
          <w:tcPr>
            <w:tcW w:type="dxa" w:w="1134"/>
            <w:tcBorders>
              <w:top w:color="000000" w:sz="4" w:val="single"/>
              <w:left w:color="000000" w:sz="4" w:val="single"/>
              <w:bottom w:color="000000" w:sz="4" w:val="single"/>
              <w:right w:color="000000" w:sz="4" w:val="single"/>
            </w:tcBorders>
            <w:shd w:fill="auto" w:val="clear"/>
            <w:vAlign w:val="center"/>
          </w:tcPr>
          <w:p w14:paraId="D70E0000">
            <w:pPr>
              <w:widowControl w:val="1"/>
              <w:ind w:firstLine="34"/>
              <w:contextualSpacing w:val="1"/>
              <w:jc w:val="center"/>
              <w:rPr>
                <w:i w:val="1"/>
                <w:color w:val="000000"/>
                <w:sz w:val="22"/>
              </w:rPr>
            </w:pPr>
            <w:r>
              <w:rPr>
                <w:i w:val="1"/>
                <w:color w:val="000000"/>
                <w:sz w:val="22"/>
              </w:rPr>
              <w:t>104</w:t>
            </w:r>
          </w:p>
        </w:tc>
        <w:tc>
          <w:tcPr>
            <w:tcW w:type="dxa" w:w="988"/>
            <w:tcBorders>
              <w:top w:color="000000" w:sz="4" w:val="single"/>
              <w:left w:color="000000" w:sz="4" w:val="single"/>
              <w:bottom w:color="000000" w:sz="4" w:val="single"/>
              <w:right w:color="000000" w:sz="4" w:val="single"/>
            </w:tcBorders>
            <w:shd w:fill="auto" w:val="clear"/>
            <w:vAlign w:val="center"/>
          </w:tcPr>
          <w:p w14:paraId="D80E0000">
            <w:pPr>
              <w:widowControl w:val="1"/>
              <w:ind w:firstLine="34"/>
              <w:contextualSpacing w:val="1"/>
              <w:jc w:val="center"/>
              <w:rPr>
                <w:i w:val="1"/>
                <w:color w:val="000000"/>
                <w:sz w:val="22"/>
              </w:rPr>
            </w:pPr>
            <w:r>
              <w:rPr>
                <w:i w:val="1"/>
                <w:color w:val="000000"/>
                <w:sz w:val="22"/>
              </w:rPr>
              <w:t>101</w:t>
            </w:r>
          </w:p>
        </w:tc>
      </w:tr>
      <w:tr>
        <w:trPr>
          <w:trHeight w:hRule="atLeast" w:val="1117"/>
        </w:trPr>
        <w:tc>
          <w:tcPr>
            <w:tcW w:type="dxa" w:w="572"/>
            <w:tcBorders>
              <w:top w:color="000000" w:sz="4" w:val="single"/>
              <w:left w:color="000000" w:sz="4" w:val="single"/>
              <w:bottom w:color="000000" w:sz="4" w:val="single"/>
              <w:right w:color="000000" w:sz="4" w:val="single"/>
            </w:tcBorders>
            <w:shd w:fill="auto" w:val="clear"/>
            <w:vAlign w:val="center"/>
          </w:tcPr>
          <w:p w14:paraId="D90E0000">
            <w:pPr>
              <w:widowControl w:val="1"/>
              <w:ind w:firstLine="709" w:left="-713"/>
              <w:contextualSpacing w:val="1"/>
              <w:jc w:val="center"/>
              <w:rPr>
                <w:b w:val="1"/>
                <w:sz w:val="22"/>
              </w:rPr>
            </w:pPr>
            <w:r>
              <w:rPr>
                <w:b w:val="1"/>
                <w:sz w:val="22"/>
              </w:rPr>
              <w:t>14</w:t>
            </w:r>
          </w:p>
        </w:tc>
        <w:tc>
          <w:tcPr>
            <w:tcW w:type="dxa" w:w="1558"/>
            <w:tcBorders>
              <w:top w:color="000000" w:sz="4" w:val="single"/>
              <w:left w:color="000000" w:sz="4" w:val="single"/>
              <w:bottom w:color="000000" w:sz="4" w:val="single"/>
              <w:right w:color="000000" w:sz="4" w:val="single"/>
            </w:tcBorders>
            <w:shd w:fill="auto" w:val="clear"/>
            <w:vAlign w:val="center"/>
          </w:tcPr>
          <w:p w14:paraId="DA0E0000">
            <w:pPr>
              <w:widowControl w:val="1"/>
              <w:ind w:firstLine="34"/>
              <w:contextualSpacing w:val="1"/>
              <w:rPr>
                <w:b w:val="1"/>
                <w:sz w:val="22"/>
              </w:rPr>
            </w:pPr>
            <w:r>
              <w:rPr>
                <w:b w:val="1"/>
                <w:sz w:val="22"/>
              </w:rPr>
              <w:t>ВСЕГО РАСХОДЫ с прочими расходами ( с 91 счетом)</w:t>
            </w:r>
          </w:p>
        </w:tc>
        <w:tc>
          <w:tcPr>
            <w:tcW w:type="dxa" w:w="1417"/>
            <w:tcBorders>
              <w:top w:color="000000" w:sz="4" w:val="single"/>
              <w:left w:color="000000" w:sz="4" w:val="single"/>
              <w:bottom w:color="000000" w:sz="4" w:val="single"/>
              <w:right w:color="000000" w:sz="4" w:val="single"/>
            </w:tcBorders>
            <w:shd w:fill="auto" w:val="clear"/>
            <w:vAlign w:val="center"/>
          </w:tcPr>
          <w:p w14:paraId="DB0E0000">
            <w:pPr>
              <w:widowControl w:val="1"/>
              <w:ind w:firstLine="34"/>
              <w:contextualSpacing w:val="1"/>
              <w:jc w:val="center"/>
              <w:rPr>
                <w:b w:val="1"/>
                <w:color w:val="000000"/>
                <w:sz w:val="22"/>
              </w:rPr>
            </w:pPr>
            <w:r>
              <w:rPr>
                <w:b w:val="1"/>
                <w:color w:val="000000"/>
                <w:sz w:val="22"/>
              </w:rPr>
              <w:t>692 573</w:t>
            </w:r>
          </w:p>
        </w:tc>
        <w:tc>
          <w:tcPr>
            <w:tcW w:type="dxa" w:w="1280"/>
            <w:tcBorders>
              <w:top w:color="000000" w:sz="4" w:val="single"/>
              <w:left w:color="000000" w:sz="4" w:val="single"/>
              <w:bottom w:color="000000" w:sz="4" w:val="single"/>
              <w:right w:color="000000" w:sz="4" w:val="single"/>
            </w:tcBorders>
            <w:vAlign w:val="center"/>
          </w:tcPr>
          <w:p w14:paraId="DC0E0000">
            <w:pPr>
              <w:widowControl w:val="1"/>
              <w:ind w:firstLine="34"/>
              <w:contextualSpacing w:val="1"/>
              <w:jc w:val="center"/>
              <w:rPr>
                <w:b w:val="1"/>
                <w:color w:val="000000"/>
                <w:sz w:val="22"/>
              </w:rPr>
            </w:pPr>
            <w:r>
              <w:rPr>
                <w:b w:val="1"/>
                <w:color w:val="000000"/>
                <w:sz w:val="22"/>
              </w:rPr>
              <w:t>707 523</w:t>
            </w:r>
          </w:p>
        </w:tc>
        <w:tc>
          <w:tcPr>
            <w:tcW w:type="dxa" w:w="1555"/>
            <w:tcBorders>
              <w:top w:color="000000" w:sz="4" w:val="single"/>
              <w:left w:color="000000" w:sz="4" w:val="single"/>
              <w:bottom w:color="000000" w:sz="4" w:val="single"/>
              <w:right w:color="000000" w:sz="4" w:val="single"/>
            </w:tcBorders>
            <w:vAlign w:val="center"/>
          </w:tcPr>
          <w:p w14:paraId="DD0E0000">
            <w:pPr>
              <w:widowControl w:val="1"/>
              <w:ind w:firstLine="34"/>
              <w:contextualSpacing w:val="1"/>
              <w:jc w:val="center"/>
              <w:rPr>
                <w:b w:val="1"/>
                <w:color w:val="000000"/>
                <w:sz w:val="22"/>
              </w:rPr>
            </w:pPr>
            <w:r>
              <w:rPr>
                <w:b w:val="1"/>
                <w:color w:val="000000"/>
                <w:sz w:val="22"/>
              </w:rPr>
              <w:t>725 951</w:t>
            </w:r>
          </w:p>
        </w:tc>
        <w:tc>
          <w:tcPr>
            <w:tcW w:type="dxa" w:w="1280"/>
            <w:tcBorders>
              <w:top w:color="000000" w:sz="4" w:val="single"/>
              <w:left w:color="000000" w:sz="4" w:val="single"/>
              <w:bottom w:color="000000" w:sz="4" w:val="single"/>
              <w:right w:color="000000" w:sz="4" w:val="single"/>
            </w:tcBorders>
            <w:vAlign w:val="center"/>
          </w:tcPr>
          <w:p w14:paraId="DE0E0000">
            <w:pPr>
              <w:widowControl w:val="1"/>
              <w:ind w:firstLine="34"/>
              <w:contextualSpacing w:val="1"/>
              <w:jc w:val="center"/>
              <w:rPr>
                <w:b w:val="1"/>
                <w:color w:val="000000"/>
                <w:sz w:val="22"/>
              </w:rPr>
            </w:pPr>
            <w:r>
              <w:rPr>
                <w:b w:val="1"/>
                <w:color w:val="000000"/>
                <w:sz w:val="22"/>
              </w:rPr>
              <w:t>728 376</w:t>
            </w:r>
          </w:p>
        </w:tc>
        <w:tc>
          <w:tcPr>
            <w:tcW w:type="dxa" w:w="1134"/>
            <w:tcBorders>
              <w:top w:color="000000" w:sz="4" w:val="single"/>
              <w:left w:color="000000" w:sz="4" w:val="single"/>
              <w:bottom w:color="000000" w:sz="4" w:val="single"/>
              <w:right w:color="000000" w:sz="4" w:val="single"/>
            </w:tcBorders>
            <w:shd w:fill="auto" w:val="clear"/>
            <w:vAlign w:val="center"/>
          </w:tcPr>
          <w:p w14:paraId="DF0E0000">
            <w:pPr>
              <w:widowControl w:val="1"/>
              <w:ind w:firstLine="34"/>
              <w:contextualSpacing w:val="1"/>
              <w:jc w:val="center"/>
              <w:rPr>
                <w:i w:val="1"/>
                <w:color w:val="000000"/>
                <w:sz w:val="22"/>
              </w:rPr>
            </w:pPr>
            <w:r>
              <w:rPr>
                <w:i w:val="1"/>
                <w:color w:val="000000"/>
                <w:sz w:val="22"/>
              </w:rPr>
              <w:t>103</w:t>
            </w:r>
          </w:p>
        </w:tc>
        <w:tc>
          <w:tcPr>
            <w:tcW w:type="dxa" w:w="988"/>
            <w:tcBorders>
              <w:top w:color="000000" w:sz="4" w:val="single"/>
              <w:left w:color="000000" w:sz="4" w:val="single"/>
              <w:bottom w:color="000000" w:sz="4" w:val="single"/>
              <w:right w:color="000000" w:sz="4" w:val="single"/>
            </w:tcBorders>
            <w:shd w:fill="auto" w:val="clear"/>
            <w:vAlign w:val="center"/>
          </w:tcPr>
          <w:p w14:paraId="E00E0000">
            <w:pPr>
              <w:widowControl w:val="1"/>
              <w:ind w:firstLine="34"/>
              <w:contextualSpacing w:val="1"/>
              <w:jc w:val="center"/>
              <w:rPr>
                <w:i w:val="1"/>
                <w:color w:val="000000"/>
                <w:sz w:val="22"/>
              </w:rPr>
            </w:pPr>
            <w:r>
              <w:rPr>
                <w:i w:val="1"/>
                <w:color w:val="000000"/>
                <w:sz w:val="22"/>
              </w:rPr>
              <w:t>100</w:t>
            </w:r>
          </w:p>
        </w:tc>
      </w:tr>
      <w:tr>
        <w:trPr>
          <w:trHeight w:hRule="atLeast" w:val="992"/>
        </w:trPr>
        <w:tc>
          <w:tcPr>
            <w:tcW w:type="dxa" w:w="572"/>
            <w:tcBorders>
              <w:top w:color="000000" w:sz="4" w:val="single"/>
              <w:left w:color="000000" w:sz="4" w:val="single"/>
              <w:bottom w:color="000000" w:sz="4" w:val="single"/>
              <w:right w:color="000000" w:sz="4" w:val="single"/>
            </w:tcBorders>
            <w:shd w:fill="auto" w:val="clear"/>
            <w:vAlign w:val="center"/>
          </w:tcPr>
          <w:p w14:paraId="E10E0000">
            <w:pPr>
              <w:widowControl w:val="1"/>
              <w:ind w:firstLine="709" w:left="-713"/>
              <w:contextualSpacing w:val="1"/>
              <w:jc w:val="center"/>
              <w:rPr>
                <w:b w:val="1"/>
                <w:sz w:val="22"/>
              </w:rPr>
            </w:pPr>
            <w:r>
              <w:rPr>
                <w:b w:val="1"/>
                <w:sz w:val="22"/>
              </w:rPr>
              <w:t>15</w:t>
            </w:r>
          </w:p>
        </w:tc>
        <w:tc>
          <w:tcPr>
            <w:tcW w:type="dxa" w:w="1558"/>
            <w:tcBorders>
              <w:top w:color="000000" w:sz="4" w:val="single"/>
              <w:left w:color="000000" w:sz="4" w:val="single"/>
              <w:bottom w:color="000000" w:sz="4" w:val="single"/>
              <w:right w:color="000000" w:sz="4" w:val="single"/>
            </w:tcBorders>
            <w:shd w:fill="auto" w:val="clear"/>
            <w:vAlign w:val="center"/>
          </w:tcPr>
          <w:p w14:paraId="E20E0000">
            <w:pPr>
              <w:widowControl w:val="1"/>
              <w:ind w:firstLine="34"/>
              <w:contextualSpacing w:val="1"/>
              <w:rPr>
                <w:b w:val="1"/>
                <w:sz w:val="22"/>
              </w:rPr>
            </w:pPr>
            <w:r>
              <w:rPr>
                <w:b w:val="1"/>
                <w:sz w:val="22"/>
              </w:rPr>
              <w:t>Прибыль (убыток) до налогообложения</w:t>
            </w:r>
          </w:p>
        </w:tc>
        <w:tc>
          <w:tcPr>
            <w:tcW w:type="dxa" w:w="1417"/>
            <w:tcBorders>
              <w:top w:color="000000" w:sz="4" w:val="single"/>
              <w:left w:color="000000" w:sz="4" w:val="single"/>
              <w:bottom w:color="000000" w:sz="4" w:val="single"/>
              <w:right w:color="000000" w:sz="4" w:val="single"/>
            </w:tcBorders>
            <w:shd w:fill="auto" w:val="clear"/>
            <w:vAlign w:val="center"/>
          </w:tcPr>
          <w:p w14:paraId="E30E0000">
            <w:pPr>
              <w:widowControl w:val="1"/>
              <w:ind w:firstLine="34"/>
              <w:contextualSpacing w:val="1"/>
              <w:jc w:val="center"/>
              <w:rPr>
                <w:b w:val="1"/>
                <w:color w:val="000000"/>
                <w:sz w:val="22"/>
              </w:rPr>
            </w:pPr>
            <w:r>
              <w:rPr>
                <w:b w:val="1"/>
                <w:color w:val="000000"/>
                <w:sz w:val="22"/>
              </w:rPr>
              <w:t>5 532</w:t>
            </w:r>
          </w:p>
        </w:tc>
        <w:tc>
          <w:tcPr>
            <w:tcW w:type="dxa" w:w="1280"/>
            <w:tcBorders>
              <w:top w:color="000000" w:sz="4" w:val="single"/>
              <w:left w:color="000000" w:sz="4" w:val="single"/>
              <w:bottom w:color="000000" w:sz="4" w:val="single"/>
              <w:right w:color="000000" w:sz="4" w:val="single"/>
            </w:tcBorders>
            <w:vAlign w:val="center"/>
          </w:tcPr>
          <w:p w14:paraId="E40E0000">
            <w:pPr>
              <w:widowControl w:val="1"/>
              <w:ind w:firstLine="34"/>
              <w:contextualSpacing w:val="1"/>
              <w:jc w:val="center"/>
              <w:rPr>
                <w:b w:val="1"/>
                <w:color w:val="000000"/>
                <w:sz w:val="22"/>
              </w:rPr>
            </w:pPr>
            <w:r>
              <w:rPr>
                <w:b w:val="1"/>
                <w:color w:val="000000"/>
                <w:sz w:val="22"/>
              </w:rPr>
              <w:t>15 421</w:t>
            </w:r>
          </w:p>
        </w:tc>
        <w:tc>
          <w:tcPr>
            <w:tcW w:type="dxa" w:w="1555"/>
            <w:tcBorders>
              <w:top w:color="000000" w:sz="4" w:val="single"/>
              <w:left w:color="000000" w:sz="4" w:val="single"/>
              <w:bottom w:color="000000" w:sz="4" w:val="single"/>
              <w:right w:color="000000" w:sz="4" w:val="single"/>
            </w:tcBorders>
            <w:vAlign w:val="center"/>
          </w:tcPr>
          <w:p w14:paraId="E50E0000">
            <w:pPr>
              <w:widowControl w:val="1"/>
              <w:ind w:firstLine="34"/>
              <w:contextualSpacing w:val="1"/>
              <w:jc w:val="center"/>
              <w:rPr>
                <w:b w:val="1"/>
                <w:color w:val="000000"/>
                <w:sz w:val="22"/>
              </w:rPr>
            </w:pPr>
            <w:r>
              <w:rPr>
                <w:b w:val="1"/>
                <w:color w:val="000000"/>
                <w:sz w:val="22"/>
              </w:rPr>
              <w:t>711</w:t>
            </w:r>
          </w:p>
        </w:tc>
        <w:tc>
          <w:tcPr>
            <w:tcW w:type="dxa" w:w="1280"/>
            <w:tcBorders>
              <w:top w:color="000000" w:sz="4" w:val="single"/>
              <w:left w:color="000000" w:sz="4" w:val="single"/>
              <w:bottom w:color="000000" w:sz="4" w:val="single"/>
              <w:right w:color="000000" w:sz="4" w:val="single"/>
            </w:tcBorders>
            <w:vAlign w:val="center"/>
          </w:tcPr>
          <w:p w14:paraId="E60E0000">
            <w:pPr>
              <w:widowControl w:val="1"/>
              <w:ind w:firstLine="34"/>
              <w:contextualSpacing w:val="1"/>
              <w:jc w:val="center"/>
              <w:rPr>
                <w:b w:val="1"/>
                <w:color w:val="000000"/>
                <w:sz w:val="22"/>
              </w:rPr>
            </w:pPr>
            <w:r>
              <w:rPr>
                <w:b w:val="1"/>
                <w:color w:val="000000"/>
                <w:sz w:val="22"/>
              </w:rPr>
              <w:t>1 129</w:t>
            </w:r>
          </w:p>
        </w:tc>
        <w:tc>
          <w:tcPr>
            <w:tcW w:type="dxa" w:w="1134"/>
            <w:tcBorders>
              <w:top w:color="000000" w:sz="4" w:val="single"/>
              <w:left w:color="000000" w:sz="4" w:val="single"/>
              <w:bottom w:color="000000" w:sz="4" w:val="single"/>
              <w:right w:color="000000" w:sz="4" w:val="single"/>
            </w:tcBorders>
            <w:shd w:fill="auto" w:val="clear"/>
            <w:vAlign w:val="center"/>
          </w:tcPr>
          <w:p w14:paraId="E70E0000">
            <w:pPr>
              <w:widowControl w:val="1"/>
              <w:ind w:firstLine="34"/>
              <w:contextualSpacing w:val="1"/>
              <w:jc w:val="center"/>
              <w:rPr>
                <w:i w:val="1"/>
                <w:color w:val="000000"/>
                <w:sz w:val="22"/>
              </w:rPr>
            </w:pPr>
            <w:r>
              <w:rPr>
                <w:i w:val="1"/>
                <w:color w:val="000000"/>
                <w:sz w:val="22"/>
              </w:rPr>
              <w:t>7</w:t>
            </w:r>
          </w:p>
        </w:tc>
        <w:tc>
          <w:tcPr>
            <w:tcW w:type="dxa" w:w="988"/>
            <w:tcBorders>
              <w:top w:color="000000" w:sz="4" w:val="single"/>
              <w:left w:color="000000" w:sz="4" w:val="single"/>
              <w:bottom w:color="000000" w:sz="4" w:val="single"/>
              <w:right w:color="000000" w:sz="4" w:val="single"/>
            </w:tcBorders>
            <w:shd w:fill="auto" w:val="clear"/>
            <w:vAlign w:val="center"/>
          </w:tcPr>
          <w:p w14:paraId="E80E0000">
            <w:pPr>
              <w:widowControl w:val="1"/>
              <w:ind w:firstLine="34"/>
              <w:contextualSpacing w:val="1"/>
              <w:jc w:val="center"/>
              <w:rPr>
                <w:i w:val="1"/>
                <w:color w:val="000000"/>
                <w:sz w:val="22"/>
              </w:rPr>
            </w:pPr>
            <w:r>
              <w:rPr>
                <w:i w:val="1"/>
                <w:color w:val="000000"/>
                <w:sz w:val="22"/>
              </w:rPr>
              <w:t>159</w:t>
            </w:r>
          </w:p>
        </w:tc>
      </w:tr>
    </w:tbl>
    <w:p w14:paraId="E90E0000">
      <w:pPr>
        <w:keepNext w:val="1"/>
        <w:widowControl w:val="1"/>
        <w:tabs>
          <w:tab w:leader="none" w:pos="928" w:val="left"/>
        </w:tabs>
        <w:spacing w:line="360" w:lineRule="auto"/>
        <w:ind w:firstLine="709"/>
        <w:contextualSpacing w:val="1"/>
        <w:jc w:val="both"/>
        <w:rPr>
          <w:b w:val="1"/>
        </w:rPr>
      </w:pPr>
    </w:p>
    <w:p w14:paraId="EA0E0000">
      <w:pPr>
        <w:keepNext w:val="1"/>
        <w:widowControl w:val="1"/>
        <w:tabs>
          <w:tab w:leader="none" w:pos="928" w:val="left"/>
        </w:tabs>
        <w:spacing w:line="360" w:lineRule="auto"/>
        <w:ind w:firstLine="709"/>
        <w:contextualSpacing w:val="1"/>
        <w:jc w:val="both"/>
      </w:pPr>
      <w:r>
        <w:rPr>
          <w:b w:val="1"/>
        </w:rPr>
        <w:t>1. Доходы по основной деятельности (перевозка пассажиров в пригородном сообщении)</w:t>
      </w:r>
      <w:r>
        <w:t xml:space="preserve"> 201</w:t>
      </w:r>
      <w:r>
        <w:t>8</w:t>
      </w:r>
      <w:r>
        <w:t xml:space="preserve"> год составили </w:t>
      </w:r>
      <w:r>
        <w:t>329 239</w:t>
      </w:r>
      <w:r>
        <w:t xml:space="preserve"> тыс. руб., 99% к плану, 10</w:t>
      </w:r>
      <w:r>
        <w:t>2</w:t>
      </w:r>
      <w:r>
        <w:t>% к прошлому году</w:t>
      </w:r>
    </w:p>
    <w:p w14:paraId="EB0E0000">
      <w:pPr>
        <w:widowControl w:val="1"/>
        <w:tabs>
          <w:tab w:leader="none" w:pos="0" w:val="left"/>
          <w:tab w:leader="none" w:pos="7797" w:val="left"/>
        </w:tabs>
        <w:spacing w:line="360" w:lineRule="auto"/>
        <w:ind w:firstLine="709"/>
        <w:contextualSpacing w:val="1"/>
        <w:jc w:val="both"/>
      </w:pPr>
      <w:r>
        <w:t>Невыполнение плана по доходам от пригородных перевозок обусловлено принятием решения всеми обслуживаемыми регионами о не индексации тарифов на проезд для населения в 2018 году, планом предусмотрен рост тарифов на 4% с апреля 2018 года в Красноярском крае и с 1 января 2018 года – в Кемеровской области и Республике Хакасия.</w:t>
      </w:r>
    </w:p>
    <w:p w14:paraId="EC0E0000">
      <w:pPr>
        <w:keepNext w:val="1"/>
        <w:widowControl w:val="1"/>
        <w:spacing w:line="360" w:lineRule="auto"/>
        <w:ind w:firstLine="709"/>
        <w:contextualSpacing w:val="1"/>
        <w:jc w:val="both"/>
      </w:pPr>
      <w:r>
        <w:rPr>
          <w:b w:val="1"/>
        </w:rPr>
        <w:t xml:space="preserve">2. Доходы от прочих видов деятельности  за </w:t>
      </w:r>
      <w:r>
        <w:t>201</w:t>
      </w:r>
      <w:r>
        <w:t>8</w:t>
      </w:r>
      <w:r>
        <w:t xml:space="preserve"> год составили </w:t>
      </w:r>
      <w:r>
        <w:t>5 870</w:t>
      </w:r>
      <w:r>
        <w:t xml:space="preserve"> тыс. руб., </w:t>
      </w:r>
      <w:r>
        <w:t>142</w:t>
      </w:r>
      <w:r>
        <w:t xml:space="preserve"> % к плану</w:t>
      </w:r>
      <w:r>
        <w:t xml:space="preserve">, </w:t>
      </w:r>
      <w:r>
        <w:t>135</w:t>
      </w:r>
      <w:r>
        <w:t>% к уровню прошлого года:</w:t>
      </w:r>
    </w:p>
    <w:p w14:paraId="ED0E0000">
      <w:pPr>
        <w:widowControl w:val="1"/>
        <w:tabs>
          <w:tab w:leader="none" w:pos="0" w:val="left"/>
        </w:tabs>
        <w:spacing w:line="360" w:lineRule="auto"/>
        <w:ind w:firstLine="709"/>
        <w:contextualSpacing w:val="1"/>
        <w:jc w:val="both"/>
      </w:pPr>
      <w:r>
        <w:t xml:space="preserve">Доходы от продажи билетов дальнего следования составили 3 481 тыс. руб. (194% )к плану и 186% к уровню прошлого года, в связи с продажей билетов дальнего следования на вокзале Злобино. До 2018 года данные продажи осуществляло АО "ФПК. </w:t>
      </w:r>
    </w:p>
    <w:p w14:paraId="EE0E0000">
      <w:pPr>
        <w:widowControl w:val="1"/>
        <w:tabs>
          <w:tab w:leader="none" w:pos="0" w:val="left"/>
        </w:tabs>
        <w:spacing w:line="360" w:lineRule="auto"/>
        <w:ind w:firstLine="709"/>
        <w:contextualSpacing w:val="1"/>
        <w:jc w:val="both"/>
      </w:pPr>
      <w:r>
        <w:t>Доходы от предоставления права следования в составе пригородного электропоезда составили 1 075 тыс. руб. (110% к плану и 88,6% к уровню прошлого года).</w:t>
      </w:r>
    </w:p>
    <w:p w14:paraId="EF0E0000">
      <w:pPr>
        <w:widowControl w:val="1"/>
        <w:tabs>
          <w:tab w:leader="none" w:pos="0" w:val="left"/>
        </w:tabs>
        <w:spacing w:line="360" w:lineRule="auto"/>
        <w:ind w:firstLine="709"/>
        <w:contextualSpacing w:val="1"/>
        <w:jc w:val="both"/>
      </w:pPr>
      <w:r>
        <w:rPr>
          <w:b w:val="1"/>
        </w:rPr>
        <w:t xml:space="preserve">3. Прочие доходы всего </w:t>
      </w:r>
      <w:r>
        <w:t>составили</w:t>
      </w:r>
      <w:r>
        <w:rPr>
          <w:b w:val="1"/>
        </w:rPr>
        <w:t xml:space="preserve">  </w:t>
      </w:r>
      <w:r>
        <w:t>394 396</w:t>
      </w:r>
      <w:r>
        <w:t xml:space="preserve"> тыс. руб., </w:t>
      </w:r>
      <w:r>
        <w:t>101</w:t>
      </w:r>
      <w:r>
        <w:t>% к плану, 10</w:t>
      </w:r>
      <w:r>
        <w:t>0</w:t>
      </w:r>
      <w:r>
        <w:t xml:space="preserve">% к прошлому году. </w:t>
      </w:r>
    </w:p>
    <w:p w14:paraId="F00E0000">
      <w:pPr>
        <w:pStyle w:val="Style_15"/>
        <w:keepNext w:val="1"/>
        <w:widowControl w:val="1"/>
        <w:numPr>
          <w:ilvl w:val="0"/>
          <w:numId w:val="14"/>
        </w:numPr>
        <w:tabs>
          <w:tab w:leader="none" w:pos="0" w:val="left"/>
        </w:tabs>
        <w:spacing w:line="360" w:lineRule="auto"/>
        <w:ind w:firstLine="709" w:left="0"/>
        <w:jc w:val="both"/>
        <w:rPr>
          <w:rFonts w:ascii="Times New Roman" w:hAnsi="Times New Roman"/>
          <w:sz w:val="24"/>
        </w:rPr>
      </w:pPr>
      <w:r>
        <w:rPr>
          <w:rFonts w:ascii="Times New Roman" w:hAnsi="Times New Roman"/>
          <w:sz w:val="24"/>
        </w:rPr>
        <w:t xml:space="preserve">Субсидии на компенсацию расходов пассажирских перевозок в пригородном сообщении составляют  </w:t>
      </w:r>
      <w:r>
        <w:rPr>
          <w:rFonts w:ascii="Times New Roman" w:hAnsi="Times New Roman"/>
          <w:sz w:val="24"/>
        </w:rPr>
        <w:t>391 398</w:t>
      </w:r>
      <w:r>
        <w:rPr>
          <w:rFonts w:ascii="Times New Roman" w:hAnsi="Times New Roman"/>
          <w:sz w:val="24"/>
        </w:rPr>
        <w:t xml:space="preserve"> тыс. руб., </w:t>
      </w:r>
      <w:r>
        <w:rPr>
          <w:rFonts w:ascii="Times New Roman" w:hAnsi="Times New Roman"/>
          <w:sz w:val="24"/>
        </w:rPr>
        <w:t>101</w:t>
      </w:r>
      <w:r>
        <w:rPr>
          <w:rFonts w:ascii="Times New Roman" w:hAnsi="Times New Roman"/>
          <w:sz w:val="24"/>
        </w:rPr>
        <w:t>% к плану, 10</w:t>
      </w:r>
      <w:r>
        <w:rPr>
          <w:rFonts w:ascii="Times New Roman" w:hAnsi="Times New Roman"/>
          <w:sz w:val="24"/>
        </w:rPr>
        <w:t>0</w:t>
      </w:r>
      <w:r>
        <w:rPr>
          <w:rFonts w:ascii="Times New Roman" w:hAnsi="Times New Roman"/>
          <w:sz w:val="24"/>
        </w:rPr>
        <w:t>%  к прошлому году:</w:t>
      </w:r>
    </w:p>
    <w:p w14:paraId="F10E0000">
      <w:pPr>
        <w:widowControl w:val="1"/>
        <w:numPr>
          <w:ilvl w:val="0"/>
          <w:numId w:val="15"/>
        </w:numPr>
        <w:tabs>
          <w:tab w:leader="none" w:pos="1134" w:val="left"/>
        </w:tabs>
        <w:spacing w:line="360" w:lineRule="auto"/>
        <w:ind w:firstLine="709" w:left="0"/>
        <w:contextualSpacing w:val="1"/>
        <w:jc w:val="both"/>
        <w:rPr>
          <w:i w:val="1"/>
        </w:rPr>
      </w:pPr>
      <w:r>
        <w:rPr>
          <w:i w:val="1"/>
        </w:rPr>
        <w:t>342 062</w:t>
      </w:r>
      <w:r>
        <w:rPr>
          <w:i w:val="1"/>
        </w:rPr>
        <w:t xml:space="preserve"> тыс. руб. -  начисленные субсидии на компенсацию расходов пассажирских перевозок в пригородном сообщении по Красноярскому краю;  </w:t>
      </w:r>
    </w:p>
    <w:p w14:paraId="F20E0000">
      <w:pPr>
        <w:widowControl w:val="1"/>
        <w:numPr>
          <w:ilvl w:val="0"/>
          <w:numId w:val="16"/>
        </w:numPr>
        <w:tabs>
          <w:tab w:leader="none" w:pos="1134" w:val="left"/>
        </w:tabs>
        <w:spacing w:line="360" w:lineRule="auto"/>
        <w:ind w:firstLine="709" w:left="0"/>
        <w:contextualSpacing w:val="1"/>
        <w:jc w:val="both"/>
        <w:rPr>
          <w:i w:val="1"/>
        </w:rPr>
      </w:pPr>
      <w:r>
        <w:rPr>
          <w:i w:val="1"/>
        </w:rPr>
        <w:t>42 034</w:t>
      </w:r>
      <w:r>
        <w:rPr>
          <w:i w:val="1"/>
        </w:rPr>
        <w:t xml:space="preserve"> тыс. руб. - начисленные субсидии на возмещение недополученных доходов по пассажирским перевозкам в пригородном сообщении по Республике  Хакасия; </w:t>
      </w:r>
    </w:p>
    <w:p w14:paraId="F30E0000">
      <w:pPr>
        <w:widowControl w:val="1"/>
        <w:numPr>
          <w:ilvl w:val="0"/>
          <w:numId w:val="16"/>
        </w:numPr>
        <w:tabs>
          <w:tab w:leader="none" w:pos="1134" w:val="left"/>
        </w:tabs>
        <w:spacing w:line="360" w:lineRule="auto"/>
        <w:ind w:firstLine="709" w:left="0"/>
        <w:contextualSpacing w:val="1"/>
        <w:jc w:val="both"/>
        <w:rPr>
          <w:i w:val="1"/>
        </w:rPr>
      </w:pPr>
      <w:r>
        <w:rPr>
          <w:i w:val="1"/>
        </w:rPr>
        <w:t>7 302</w:t>
      </w:r>
      <w:r>
        <w:rPr>
          <w:i w:val="1"/>
        </w:rPr>
        <w:t xml:space="preserve"> тыс.руб.</w:t>
      </w:r>
      <w:r>
        <w:rPr>
          <w:i w:val="1"/>
        </w:rPr>
        <w:t xml:space="preserve"> – начисленные субсидии на компенсацию расходов пассажирских перевозок в пригородном сообщении по Кемеровской области</w:t>
      </w:r>
      <w:r>
        <w:rPr>
          <w:i w:val="1"/>
        </w:rPr>
        <w:t>.</w:t>
      </w:r>
    </w:p>
    <w:p w14:paraId="F40E0000">
      <w:pPr>
        <w:widowControl w:val="1"/>
        <w:numPr>
          <w:ilvl w:val="0"/>
          <w:numId w:val="17"/>
        </w:numPr>
        <w:spacing w:line="360" w:lineRule="auto"/>
        <w:ind w:firstLine="709" w:left="0"/>
        <w:contextualSpacing w:val="1"/>
        <w:jc w:val="both"/>
      </w:pPr>
      <w:r>
        <w:t xml:space="preserve">прочие доходы составляют  2 </w:t>
      </w:r>
      <w:r>
        <w:t>998</w:t>
      </w:r>
      <w:r>
        <w:t xml:space="preserve"> тыс. руб., в том числе: </w:t>
      </w:r>
    </w:p>
    <w:p w14:paraId="F50E0000">
      <w:pPr>
        <w:widowControl w:val="1"/>
        <w:numPr>
          <w:ilvl w:val="0"/>
          <w:numId w:val="18"/>
        </w:numPr>
        <w:spacing w:line="360" w:lineRule="auto"/>
        <w:ind w:firstLine="709" w:left="0"/>
        <w:contextualSpacing w:val="1"/>
        <w:jc w:val="both"/>
      </w:pPr>
      <w:r>
        <w:t xml:space="preserve">2 268,9 тыс. руб. банковский процент по остаткам на счете; </w:t>
      </w:r>
    </w:p>
    <w:p w14:paraId="F60E0000">
      <w:pPr>
        <w:widowControl w:val="1"/>
        <w:numPr>
          <w:ilvl w:val="0"/>
          <w:numId w:val="18"/>
        </w:numPr>
        <w:spacing w:line="360" w:lineRule="auto"/>
        <w:ind w:firstLine="709" w:left="0"/>
        <w:contextualSpacing w:val="1"/>
        <w:jc w:val="both"/>
      </w:pPr>
      <w:r>
        <w:t>344,3 тыс. руб. доходы прошлых лет;</w:t>
      </w:r>
    </w:p>
    <w:p w14:paraId="F70E0000">
      <w:pPr>
        <w:widowControl w:val="1"/>
        <w:numPr>
          <w:ilvl w:val="0"/>
          <w:numId w:val="18"/>
        </w:numPr>
        <w:spacing w:line="360" w:lineRule="auto"/>
        <w:ind w:firstLine="709" w:left="0"/>
        <w:contextualSpacing w:val="1"/>
        <w:jc w:val="both"/>
      </w:pPr>
      <w:r>
        <w:t>105,7 тыс.руб. возмещение расходов ФСС;</w:t>
      </w:r>
    </w:p>
    <w:p w14:paraId="F80E0000">
      <w:pPr>
        <w:widowControl w:val="1"/>
        <w:numPr>
          <w:ilvl w:val="0"/>
          <w:numId w:val="19"/>
        </w:numPr>
        <w:spacing w:line="360" w:lineRule="auto"/>
        <w:ind w:firstLine="709" w:left="0"/>
        <w:contextualSpacing w:val="1"/>
        <w:jc w:val="both"/>
      </w:pPr>
      <w:r>
        <w:t>279,1 тыс. руб. прочие (возмещение в банк услуг за перечисление исполнительных листов, претензии по безбилетному проезду, реализация трудовых книжек, прочее).</w:t>
      </w:r>
    </w:p>
    <w:p w14:paraId="F90E0000">
      <w:pPr>
        <w:widowControl w:val="1"/>
        <w:spacing w:line="360" w:lineRule="auto"/>
        <w:ind w:firstLine="709"/>
        <w:contextualSpacing w:val="1"/>
        <w:jc w:val="both"/>
      </w:pPr>
      <w:r>
        <w:rPr>
          <w:b w:val="1"/>
        </w:rPr>
        <w:t>Всего доходы по всем видам деятельности</w:t>
      </w:r>
      <w:r>
        <w:t xml:space="preserve"> с учетом прочих доходов составили                  </w:t>
      </w:r>
      <w:r>
        <w:t>729 50</w:t>
      </w:r>
      <w:r>
        <w:t>5</w:t>
      </w:r>
      <w:r>
        <w:t xml:space="preserve"> тыс. руб., </w:t>
      </w:r>
      <w:r>
        <w:t>100</w:t>
      </w:r>
      <w:r>
        <w:t>% к плану, 10</w:t>
      </w:r>
      <w:r>
        <w:t>1</w:t>
      </w:r>
      <w:r>
        <w:t>% к уровню прошлого года.</w:t>
      </w:r>
    </w:p>
    <w:p w14:paraId="FA0E0000">
      <w:pPr>
        <w:widowControl w:val="1"/>
        <w:spacing w:line="360" w:lineRule="auto"/>
        <w:ind w:firstLine="709"/>
        <w:contextualSpacing w:val="1"/>
        <w:jc w:val="both"/>
      </w:pPr>
      <w:r>
        <w:rPr>
          <w:b w:val="1"/>
        </w:rPr>
        <w:t>Расходы общества по всем видам деятельности</w:t>
      </w:r>
      <w:r>
        <w:rPr>
          <w:b w:val="1"/>
        </w:rPr>
        <w:t xml:space="preserve"> </w:t>
      </w:r>
      <w:r>
        <w:t>с учетом прочих расходов,</w:t>
      </w:r>
      <w:r>
        <w:rPr>
          <w:b w:val="1"/>
        </w:rPr>
        <w:t xml:space="preserve"> </w:t>
      </w:r>
      <w:r>
        <w:t>за 2018 год составили  728 376 тыс. руб. или 100 % к плану (применен льготный исключительный тариф на услуги по использованию инфраструктуры железнодорожного транспорта общего пользования в пригородном сообщении с коэффициентом 0,01, установленный Приказом Федеральной Антимонопольной службы от 3 октября 2016 г.  №1401/16; ставка НДС на пригородные железнодорожные перевозки принята равной «0», в соответствии с п.п.9.2. п. 1 ст. 164 Налогового кодекса РФ), и  103% к прошлому году.</w:t>
      </w:r>
    </w:p>
    <w:p w14:paraId="FB0E0000">
      <w:pPr>
        <w:widowControl w:val="1"/>
        <w:spacing w:line="360" w:lineRule="auto"/>
        <w:ind w:firstLine="709"/>
        <w:contextualSpacing w:val="1"/>
        <w:jc w:val="both"/>
      </w:pPr>
      <w:r>
        <w:t>По договорам с ОАО «РЖД» и АО «ФПК» за 2018 год расходы составили 472 160 тыс. руб., 101,3% к плану, 102,3% к уровню прошлого года:</w:t>
      </w:r>
    </w:p>
    <w:p w14:paraId="FC0E0000">
      <w:pPr>
        <w:widowControl w:val="1"/>
        <w:numPr>
          <w:ilvl w:val="0"/>
          <w:numId w:val="20"/>
        </w:numPr>
        <w:tabs>
          <w:tab w:leader="none" w:pos="0" w:val="left"/>
        </w:tabs>
        <w:spacing w:line="360" w:lineRule="auto"/>
        <w:ind w:firstLine="709" w:left="0"/>
        <w:contextualSpacing w:val="1"/>
        <w:jc w:val="both"/>
      </w:pPr>
      <w:r>
        <w:t xml:space="preserve">по перевозкам, осуществляемым по регулируемому тарифу – 471 745 тыс. руб. или 101% к плану,  102,3% к прошлому году; </w:t>
      </w:r>
    </w:p>
    <w:p w14:paraId="FD0E0000">
      <w:pPr>
        <w:pStyle w:val="Style_25"/>
        <w:widowControl w:val="1"/>
        <w:numPr>
          <w:ilvl w:val="0"/>
          <w:numId w:val="21"/>
        </w:numPr>
        <w:spacing w:line="360" w:lineRule="auto"/>
        <w:ind w:firstLine="709" w:left="0"/>
        <w:contextualSpacing w:val="1"/>
        <w:jc w:val="both"/>
        <w:rPr>
          <w:sz w:val="24"/>
        </w:rPr>
      </w:pPr>
      <w:r>
        <w:rPr>
          <w:sz w:val="24"/>
        </w:rPr>
        <w:t>415 тыс. руб. расходы по предоставлению права следования в составе пригородных поездов.</w:t>
      </w:r>
    </w:p>
    <w:p w14:paraId="FE0E0000">
      <w:pPr>
        <w:widowControl w:val="1"/>
        <w:tabs>
          <w:tab w:leader="none" w:pos="1440" w:val="left"/>
          <w:tab w:leader="none" w:pos="1680" w:val="left"/>
        </w:tabs>
        <w:spacing w:line="360" w:lineRule="auto"/>
        <w:ind w:firstLine="709"/>
        <w:contextualSpacing w:val="1"/>
        <w:jc w:val="right"/>
        <w:rPr>
          <w:b w:val="1"/>
        </w:rPr>
      </w:pPr>
    </w:p>
    <w:p w14:paraId="FF0E0000">
      <w:pPr>
        <w:widowControl w:val="1"/>
        <w:tabs>
          <w:tab w:leader="none" w:pos="1440" w:val="left"/>
          <w:tab w:leader="none" w:pos="1680" w:val="left"/>
        </w:tabs>
        <w:spacing w:line="360" w:lineRule="auto"/>
        <w:ind w:firstLine="709"/>
        <w:contextualSpacing w:val="1"/>
        <w:jc w:val="right"/>
        <w:rPr>
          <w:b w:val="1"/>
        </w:rPr>
      </w:pPr>
      <w:r>
        <w:rPr>
          <w:b w:val="1"/>
        </w:rPr>
        <w:t xml:space="preserve">Таблица </w:t>
      </w:r>
      <w:r>
        <w:rPr>
          <w:b w:val="1"/>
        </w:rPr>
        <w:t>5</w:t>
      </w:r>
      <w:r>
        <w:rPr>
          <w:b w:val="1"/>
        </w:rPr>
        <w:t>.</w:t>
      </w:r>
      <w:r>
        <w:rPr>
          <w:b w:val="1"/>
        </w:rPr>
        <w:t>21</w:t>
      </w:r>
      <w:r>
        <w:rPr>
          <w:b w:val="1"/>
        </w:rPr>
        <w:t>.</w:t>
      </w:r>
    </w:p>
    <w:p w14:paraId="000F0000">
      <w:pPr>
        <w:widowControl w:val="1"/>
        <w:tabs>
          <w:tab w:leader="none" w:pos="1440" w:val="left"/>
          <w:tab w:leader="none" w:pos="1680" w:val="left"/>
        </w:tabs>
        <w:spacing w:line="360" w:lineRule="auto"/>
        <w:ind w:firstLine="709"/>
        <w:contextualSpacing w:val="1"/>
        <w:jc w:val="center"/>
        <w:rPr>
          <w:b w:val="1"/>
        </w:rPr>
      </w:pPr>
      <w:r>
        <w:rPr>
          <w:b w:val="1"/>
        </w:rPr>
        <w:t xml:space="preserve">Динамика расходов за услуги, поставляемые со стороны ОАО «РЖД» </w:t>
      </w:r>
      <w:r>
        <w:rPr>
          <w:b w:val="1"/>
        </w:rPr>
        <w:t xml:space="preserve"> и АО «ФПК» </w:t>
      </w:r>
    </w:p>
    <w:p w14:paraId="010F0000">
      <w:pPr>
        <w:widowControl w:val="1"/>
        <w:tabs>
          <w:tab w:leader="none" w:pos="1440" w:val="left"/>
          <w:tab w:leader="none" w:pos="1680" w:val="left"/>
        </w:tabs>
        <w:spacing w:line="360" w:lineRule="auto"/>
        <w:ind w:firstLine="709"/>
        <w:contextualSpacing w:val="1"/>
        <w:jc w:val="right"/>
      </w:pPr>
      <w:r>
        <w:t>(тыс.</w:t>
      </w:r>
      <w:r>
        <w:t xml:space="preserve"> </w:t>
      </w:r>
      <w:r>
        <w:t>руб.</w:t>
      </w:r>
      <w:r>
        <w:t xml:space="preserve"> без НДС</w:t>
      </w:r>
      <w:r>
        <w:t>)</w:t>
      </w:r>
    </w:p>
    <w:tbl>
      <w:tblPr>
        <w:tblStyle w:val="Style_4"/>
        <w:tblW w:type="auto" w:w="0"/>
        <w:tblInd w:type="dxa" w:w="94"/>
        <w:tblLayout w:type="fixed"/>
      </w:tblPr>
      <w:tblGrid>
        <w:gridCol w:w="3235"/>
        <w:gridCol w:w="1090"/>
        <w:gridCol w:w="1069"/>
        <w:gridCol w:w="1071"/>
        <w:gridCol w:w="1069"/>
        <w:gridCol w:w="1073"/>
        <w:gridCol w:w="1073"/>
      </w:tblGrid>
      <w:tr>
        <w:trPr>
          <w:trHeight w:hRule="atLeast" w:val="598"/>
        </w:trPr>
        <w:tc>
          <w:tcPr>
            <w:tcW w:type="dxa" w:w="3235"/>
            <w:vMerge w:val="restart"/>
            <w:tcBorders>
              <w:top w:color="000000" w:sz="8" w:val="single"/>
              <w:left w:color="000000" w:sz="8" w:val="single"/>
              <w:bottom w:color="000000" w:sz="8" w:val="single"/>
              <w:right w:color="000000" w:sz="8" w:val="single"/>
            </w:tcBorders>
            <w:shd w:fill="auto" w:val="clear"/>
            <w:vAlign w:val="center"/>
          </w:tcPr>
          <w:p w14:paraId="020F0000">
            <w:pPr>
              <w:widowControl w:val="1"/>
              <w:ind w:firstLine="48"/>
              <w:contextualSpacing w:val="1"/>
              <w:jc w:val="center"/>
              <w:rPr>
                <w:color w:val="000000"/>
              </w:rPr>
            </w:pPr>
            <w:r>
              <w:rPr>
                <w:color w:val="000000"/>
              </w:rPr>
              <w:t>Услуги ОАО "РЖД" и АО «ФПК»</w:t>
            </w:r>
          </w:p>
        </w:tc>
        <w:tc>
          <w:tcPr>
            <w:tcW w:type="dxa" w:w="1090"/>
            <w:tcBorders>
              <w:top w:color="000000" w:sz="8" w:val="single"/>
              <w:left w:sz="4" w:val="nil"/>
              <w:bottom w:color="000000" w:sz="8" w:val="single"/>
              <w:right w:color="000000" w:sz="8" w:val="single"/>
            </w:tcBorders>
            <w:shd w:fill="auto" w:val="clear"/>
            <w:vAlign w:val="center"/>
          </w:tcPr>
          <w:p w14:paraId="030F0000">
            <w:pPr>
              <w:widowControl w:val="1"/>
              <w:ind w:firstLine="48"/>
              <w:contextualSpacing w:val="1"/>
              <w:jc w:val="center"/>
              <w:rPr>
                <w:color w:val="000000"/>
              </w:rPr>
            </w:pPr>
            <w:r>
              <w:rPr>
                <w:color w:val="000000"/>
              </w:rPr>
              <w:t>2016</w:t>
            </w:r>
          </w:p>
        </w:tc>
        <w:tc>
          <w:tcPr>
            <w:tcW w:type="dxa" w:w="1069"/>
            <w:tcBorders>
              <w:top w:color="000000" w:sz="8" w:val="single"/>
              <w:left w:sz="4" w:val="nil"/>
              <w:bottom w:color="000000" w:sz="8" w:val="single"/>
              <w:right w:color="000000" w:sz="8" w:val="single"/>
            </w:tcBorders>
            <w:shd w:fill="auto" w:val="clear"/>
            <w:vAlign w:val="center"/>
          </w:tcPr>
          <w:p w14:paraId="040F0000">
            <w:pPr>
              <w:widowControl w:val="1"/>
              <w:ind w:firstLine="48"/>
              <w:contextualSpacing w:val="1"/>
              <w:jc w:val="center"/>
              <w:rPr>
                <w:color w:val="000000"/>
              </w:rPr>
            </w:pPr>
            <w:r>
              <w:rPr>
                <w:color w:val="000000"/>
              </w:rPr>
              <w:t>2017</w:t>
            </w:r>
          </w:p>
        </w:tc>
        <w:tc>
          <w:tcPr>
            <w:tcW w:type="dxa" w:w="2140"/>
            <w:gridSpan w:val="2"/>
            <w:tcBorders>
              <w:top w:color="000000" w:sz="8" w:val="single"/>
              <w:left w:sz="4" w:val="nil"/>
              <w:bottom w:color="000000" w:sz="8" w:val="single"/>
              <w:right w:color="000000" w:sz="8" w:val="single"/>
            </w:tcBorders>
            <w:shd w:fill="auto" w:val="clear"/>
            <w:vAlign w:val="center"/>
          </w:tcPr>
          <w:p w14:paraId="050F0000">
            <w:pPr>
              <w:widowControl w:val="1"/>
              <w:ind w:firstLine="48"/>
              <w:contextualSpacing w:val="1"/>
              <w:jc w:val="center"/>
              <w:rPr>
                <w:color w:val="000000"/>
              </w:rPr>
            </w:pPr>
            <w:r>
              <w:rPr>
                <w:color w:val="000000"/>
              </w:rPr>
              <w:t>2018</w:t>
            </w:r>
          </w:p>
        </w:tc>
        <w:tc>
          <w:tcPr>
            <w:tcW w:type="dxa" w:w="2146"/>
            <w:gridSpan w:val="2"/>
            <w:vMerge w:val="restart"/>
            <w:tcBorders>
              <w:top w:color="000000" w:sz="8" w:val="single"/>
              <w:left w:color="000000" w:sz="8" w:val="single"/>
              <w:bottom w:color="000000" w:sz="8" w:val="single"/>
              <w:right w:color="000000" w:sz="8" w:val="single"/>
            </w:tcBorders>
            <w:shd w:fill="auto" w:val="clear"/>
            <w:vAlign w:val="center"/>
          </w:tcPr>
          <w:p w14:paraId="060F0000">
            <w:pPr>
              <w:widowControl w:val="1"/>
              <w:ind w:firstLine="48"/>
              <w:contextualSpacing w:val="1"/>
              <w:jc w:val="center"/>
              <w:rPr>
                <w:color w:val="000000"/>
              </w:rPr>
            </w:pPr>
            <w:r>
              <w:rPr>
                <w:color w:val="000000"/>
              </w:rPr>
              <w:t>%%</w:t>
            </w:r>
          </w:p>
        </w:tc>
      </w:tr>
      <w:tr>
        <w:trPr>
          <w:trHeight w:hRule="atLeast" w:val="276"/>
        </w:trPr>
        <w:tc>
          <w:tcPr>
            <w:tcW w:type="dxa" w:w="3235"/>
            <w:gridSpan w:val="1"/>
            <w:vMerge w:val="continue"/>
            <w:tcBorders>
              <w:top w:color="000000" w:sz="8" w:val="single"/>
              <w:left w:color="000000" w:sz="8" w:val="single"/>
              <w:bottom w:color="000000" w:sz="8" w:val="single"/>
              <w:right w:color="000000" w:sz="8" w:val="single"/>
            </w:tcBorders>
            <w:shd w:fill="auto" w:val="clear"/>
            <w:vAlign w:val="center"/>
          </w:tcPr>
          <w:p/>
        </w:tc>
        <w:tc>
          <w:tcPr>
            <w:tcW w:type="dxa" w:w="1090"/>
            <w:vMerge w:val="restart"/>
            <w:tcBorders>
              <w:top w:sz="4" w:val="nil"/>
              <w:left w:color="000000" w:sz="8" w:val="single"/>
              <w:bottom w:color="000000" w:sz="8" w:val="single"/>
              <w:right w:color="000000" w:sz="8" w:val="single"/>
            </w:tcBorders>
            <w:shd w:fill="auto" w:val="clear"/>
            <w:vAlign w:val="center"/>
          </w:tcPr>
          <w:p w14:paraId="070F0000">
            <w:pPr>
              <w:widowControl w:val="1"/>
              <w:ind w:firstLine="48"/>
              <w:contextualSpacing w:val="1"/>
              <w:jc w:val="center"/>
              <w:rPr>
                <w:color w:val="000000"/>
              </w:rPr>
            </w:pPr>
            <w:r>
              <w:rPr>
                <w:color w:val="000000"/>
              </w:rPr>
              <w:t>Факт</w:t>
            </w:r>
          </w:p>
        </w:tc>
        <w:tc>
          <w:tcPr>
            <w:tcW w:type="dxa" w:w="1069"/>
            <w:vMerge w:val="restart"/>
            <w:tcBorders>
              <w:top w:sz="4" w:val="nil"/>
              <w:left w:color="000000" w:sz="8" w:val="single"/>
              <w:bottom w:color="000000" w:sz="8" w:val="single"/>
              <w:right w:color="000000" w:sz="8" w:val="single"/>
            </w:tcBorders>
            <w:shd w:fill="auto" w:val="clear"/>
            <w:vAlign w:val="center"/>
          </w:tcPr>
          <w:p w14:paraId="080F0000">
            <w:pPr>
              <w:widowControl w:val="1"/>
              <w:ind w:firstLine="48"/>
              <w:contextualSpacing w:val="1"/>
              <w:jc w:val="center"/>
              <w:rPr>
                <w:color w:val="000000"/>
              </w:rPr>
            </w:pPr>
            <w:r>
              <w:rPr>
                <w:color w:val="000000"/>
              </w:rPr>
              <w:t>Факт</w:t>
            </w:r>
          </w:p>
        </w:tc>
        <w:tc>
          <w:tcPr>
            <w:tcW w:type="dxa" w:w="1071"/>
            <w:vMerge w:val="restart"/>
            <w:tcBorders>
              <w:top w:sz="4" w:val="nil"/>
              <w:left w:color="000000" w:sz="8" w:val="single"/>
              <w:bottom w:color="000000" w:sz="8" w:val="single"/>
              <w:right w:color="000000" w:sz="8" w:val="single"/>
            </w:tcBorders>
            <w:shd w:fill="auto" w:val="clear"/>
            <w:vAlign w:val="center"/>
          </w:tcPr>
          <w:p w14:paraId="090F0000">
            <w:pPr>
              <w:widowControl w:val="1"/>
              <w:ind w:firstLine="48"/>
              <w:contextualSpacing w:val="1"/>
              <w:jc w:val="center"/>
              <w:rPr>
                <w:color w:val="000000"/>
              </w:rPr>
            </w:pPr>
            <w:r>
              <w:rPr>
                <w:color w:val="000000"/>
              </w:rPr>
              <w:t>План</w:t>
            </w:r>
          </w:p>
        </w:tc>
        <w:tc>
          <w:tcPr>
            <w:tcW w:type="dxa" w:w="1069"/>
            <w:vMerge w:val="restart"/>
            <w:tcBorders>
              <w:top w:sz="4" w:val="nil"/>
              <w:left w:color="000000" w:sz="8" w:val="single"/>
              <w:bottom w:color="000000" w:sz="8" w:val="single"/>
              <w:right w:color="000000" w:sz="8" w:val="single"/>
            </w:tcBorders>
            <w:shd w:fill="auto" w:val="clear"/>
            <w:vAlign w:val="center"/>
          </w:tcPr>
          <w:p w14:paraId="0A0F0000">
            <w:pPr>
              <w:widowControl w:val="1"/>
              <w:ind w:firstLine="48"/>
              <w:contextualSpacing w:val="1"/>
              <w:jc w:val="center"/>
              <w:rPr>
                <w:color w:val="000000"/>
              </w:rPr>
            </w:pPr>
            <w:r>
              <w:rPr>
                <w:color w:val="000000"/>
              </w:rPr>
              <w:t>Факт</w:t>
            </w:r>
          </w:p>
        </w:tc>
        <w:tc>
          <w:tcPr>
            <w:tcW w:type="dxa" w:w="2146"/>
            <w:gridSpan w:val="2"/>
            <w:vMerge w:val="continue"/>
            <w:tcBorders>
              <w:top w:color="000000" w:sz="8" w:val="single"/>
              <w:left w:color="000000" w:sz="8" w:val="single"/>
              <w:bottom w:color="000000" w:sz="8" w:val="single"/>
              <w:right w:color="000000" w:sz="8" w:val="single"/>
            </w:tcBorders>
            <w:shd w:fill="auto" w:val="clear"/>
            <w:vAlign w:val="center"/>
          </w:tcPr>
          <w:p/>
        </w:tc>
      </w:tr>
      <w:tr>
        <w:trPr>
          <w:trHeight w:hRule="atLeast" w:val="300"/>
        </w:trPr>
        <w:tc>
          <w:tcPr>
            <w:tcW w:type="dxa" w:w="3235"/>
            <w:gridSpan w:val="1"/>
            <w:vMerge w:val="continue"/>
            <w:tcBorders>
              <w:top w:color="000000" w:sz="8" w:val="single"/>
              <w:left w:color="000000" w:sz="8" w:val="single"/>
              <w:bottom w:color="000000" w:sz="8" w:val="single"/>
              <w:right w:color="000000" w:sz="8" w:val="single"/>
            </w:tcBorders>
            <w:shd w:fill="auto" w:val="clear"/>
            <w:vAlign w:val="center"/>
          </w:tcPr>
          <w:p/>
        </w:tc>
        <w:tc>
          <w:tcPr>
            <w:tcW w:type="dxa" w:w="1090"/>
            <w:gridSpan w:val="1"/>
            <w:vMerge w:val="continue"/>
            <w:tcBorders>
              <w:top w:sz="4" w:val="nil"/>
              <w:left w:color="000000" w:sz="8" w:val="single"/>
              <w:bottom w:color="000000" w:sz="8" w:val="single"/>
              <w:right w:color="000000" w:sz="8" w:val="single"/>
            </w:tcBorders>
            <w:shd w:fill="auto" w:val="clear"/>
            <w:vAlign w:val="center"/>
          </w:tcPr>
          <w:p/>
        </w:tc>
        <w:tc>
          <w:tcPr>
            <w:tcW w:type="dxa" w:w="1069"/>
            <w:gridSpan w:val="1"/>
            <w:vMerge w:val="continue"/>
            <w:tcBorders>
              <w:top w:sz="4" w:val="nil"/>
              <w:left w:color="000000" w:sz="8" w:val="single"/>
              <w:bottom w:color="000000" w:sz="8" w:val="single"/>
              <w:right w:color="000000" w:sz="8" w:val="single"/>
            </w:tcBorders>
            <w:shd w:fill="auto" w:val="clear"/>
            <w:vAlign w:val="center"/>
          </w:tcPr>
          <w:p/>
        </w:tc>
        <w:tc>
          <w:tcPr>
            <w:tcW w:type="dxa" w:w="1071"/>
            <w:gridSpan w:val="1"/>
            <w:vMerge w:val="continue"/>
            <w:tcBorders>
              <w:top w:sz="4" w:val="nil"/>
              <w:left w:color="000000" w:sz="8" w:val="single"/>
              <w:bottom w:color="000000" w:sz="8" w:val="single"/>
              <w:right w:color="000000" w:sz="8" w:val="single"/>
            </w:tcBorders>
            <w:shd w:fill="auto" w:val="clear"/>
            <w:vAlign w:val="center"/>
          </w:tcPr>
          <w:p/>
        </w:tc>
        <w:tc>
          <w:tcPr>
            <w:tcW w:type="dxa" w:w="1069"/>
            <w:gridSpan w:val="1"/>
            <w:vMerge w:val="continue"/>
            <w:tcBorders>
              <w:top w:sz="4" w:val="nil"/>
              <w:left w:color="000000" w:sz="8" w:val="single"/>
              <w:bottom w:color="000000" w:sz="8" w:val="single"/>
              <w:right w:color="000000" w:sz="8" w:val="single"/>
            </w:tcBorders>
            <w:shd w:fill="auto" w:val="clear"/>
            <w:vAlign w:val="center"/>
          </w:tcPr>
          <w:p/>
        </w:tc>
        <w:tc>
          <w:tcPr>
            <w:tcW w:type="dxa" w:w="1073"/>
            <w:vMerge w:val="restart"/>
            <w:tcBorders>
              <w:top w:sz="4" w:val="nil"/>
              <w:left w:color="000000" w:sz="8" w:val="single"/>
              <w:bottom w:color="000000" w:sz="8" w:val="single"/>
              <w:right w:color="000000" w:sz="8" w:val="single"/>
            </w:tcBorders>
            <w:shd w:fill="auto" w:val="clear"/>
            <w:vAlign w:val="center"/>
          </w:tcPr>
          <w:p w14:paraId="0B0F0000">
            <w:pPr>
              <w:widowControl w:val="1"/>
              <w:ind w:firstLine="48"/>
              <w:contextualSpacing w:val="1"/>
              <w:jc w:val="center"/>
              <w:rPr>
                <w:color w:val="000000"/>
              </w:rPr>
            </w:pPr>
            <w:r>
              <w:rPr>
                <w:color w:val="000000"/>
              </w:rPr>
              <w:t>2018/ 2017</w:t>
            </w:r>
          </w:p>
        </w:tc>
        <w:tc>
          <w:tcPr>
            <w:tcW w:type="dxa" w:w="1073"/>
            <w:vMerge w:val="restart"/>
            <w:tcBorders>
              <w:top w:sz="4" w:val="nil"/>
              <w:left w:color="000000" w:sz="8" w:val="single"/>
              <w:bottom w:color="000000" w:sz="8" w:val="single"/>
              <w:right w:color="000000" w:sz="8" w:val="single"/>
            </w:tcBorders>
            <w:shd w:fill="auto" w:val="clear"/>
            <w:vAlign w:val="center"/>
          </w:tcPr>
          <w:p w14:paraId="0C0F0000">
            <w:pPr>
              <w:widowControl w:val="1"/>
              <w:ind w:firstLine="48"/>
              <w:contextualSpacing w:val="1"/>
              <w:jc w:val="center"/>
              <w:rPr>
                <w:color w:val="000000"/>
              </w:rPr>
            </w:pPr>
            <w:r>
              <w:rPr>
                <w:color w:val="000000"/>
              </w:rPr>
              <w:t>2018/ план</w:t>
            </w:r>
          </w:p>
        </w:tc>
      </w:tr>
      <w:tr>
        <w:trPr>
          <w:trHeight w:hRule="atLeast" w:val="315"/>
        </w:trPr>
        <w:tc>
          <w:tcPr>
            <w:tcW w:type="dxa" w:w="3235"/>
            <w:gridSpan w:val="1"/>
            <w:vMerge w:val="continue"/>
            <w:tcBorders>
              <w:top w:color="000000" w:sz="8" w:val="single"/>
              <w:left w:color="000000" w:sz="8" w:val="single"/>
              <w:bottom w:color="000000" w:sz="8" w:val="single"/>
              <w:right w:color="000000" w:sz="8" w:val="single"/>
            </w:tcBorders>
            <w:shd w:fill="auto" w:val="clear"/>
            <w:vAlign w:val="center"/>
          </w:tcPr>
          <w:p/>
        </w:tc>
        <w:tc>
          <w:tcPr>
            <w:tcW w:type="dxa" w:w="1090"/>
            <w:gridSpan w:val="1"/>
            <w:vMerge w:val="continue"/>
            <w:tcBorders>
              <w:top w:sz="4" w:val="nil"/>
              <w:left w:color="000000" w:sz="8" w:val="single"/>
              <w:bottom w:color="000000" w:sz="8" w:val="single"/>
              <w:right w:color="000000" w:sz="8" w:val="single"/>
            </w:tcBorders>
            <w:shd w:fill="auto" w:val="clear"/>
            <w:vAlign w:val="center"/>
          </w:tcPr>
          <w:p/>
        </w:tc>
        <w:tc>
          <w:tcPr>
            <w:tcW w:type="dxa" w:w="1069"/>
            <w:gridSpan w:val="1"/>
            <w:vMerge w:val="continue"/>
            <w:tcBorders>
              <w:top w:sz="4" w:val="nil"/>
              <w:left w:color="000000" w:sz="8" w:val="single"/>
              <w:bottom w:color="000000" w:sz="8" w:val="single"/>
              <w:right w:color="000000" w:sz="8" w:val="single"/>
            </w:tcBorders>
            <w:shd w:fill="auto" w:val="clear"/>
            <w:vAlign w:val="center"/>
          </w:tcPr>
          <w:p/>
        </w:tc>
        <w:tc>
          <w:tcPr>
            <w:tcW w:type="dxa" w:w="1071"/>
            <w:gridSpan w:val="1"/>
            <w:vMerge w:val="continue"/>
            <w:tcBorders>
              <w:top w:sz="4" w:val="nil"/>
              <w:left w:color="000000" w:sz="8" w:val="single"/>
              <w:bottom w:color="000000" w:sz="8" w:val="single"/>
              <w:right w:color="000000" w:sz="8" w:val="single"/>
            </w:tcBorders>
            <w:shd w:fill="auto" w:val="clear"/>
            <w:vAlign w:val="center"/>
          </w:tcPr>
          <w:p/>
        </w:tc>
        <w:tc>
          <w:tcPr>
            <w:tcW w:type="dxa" w:w="1069"/>
            <w:gridSpan w:val="1"/>
            <w:vMerge w:val="continue"/>
            <w:tcBorders>
              <w:top w:sz="4" w:val="nil"/>
              <w:left w:color="000000" w:sz="8" w:val="single"/>
              <w:bottom w:color="000000" w:sz="8" w:val="single"/>
              <w:right w:color="000000" w:sz="8" w:val="single"/>
            </w:tcBorders>
            <w:shd w:fill="auto" w:val="clear"/>
            <w:vAlign w:val="center"/>
          </w:tcPr>
          <w:p/>
        </w:tc>
        <w:tc>
          <w:tcPr>
            <w:tcW w:type="dxa" w:w="1073"/>
            <w:gridSpan w:val="1"/>
            <w:vMerge w:val="continue"/>
            <w:tcBorders>
              <w:top w:sz="4" w:val="nil"/>
              <w:left w:color="000000" w:sz="8" w:val="single"/>
              <w:bottom w:color="000000" w:sz="8" w:val="single"/>
              <w:right w:color="000000" w:sz="8" w:val="single"/>
            </w:tcBorders>
            <w:shd w:fill="auto" w:val="clear"/>
            <w:vAlign w:val="center"/>
          </w:tcPr>
          <w:p/>
        </w:tc>
        <w:tc>
          <w:tcPr>
            <w:tcW w:type="dxa" w:w="1073"/>
            <w:gridSpan w:val="1"/>
            <w:vMerge w:val="continue"/>
            <w:tcBorders>
              <w:top w:sz="4" w:val="nil"/>
              <w:left w:color="000000" w:sz="8" w:val="single"/>
              <w:bottom w:color="000000" w:sz="8" w:val="single"/>
              <w:right w:color="000000" w:sz="8" w:val="single"/>
            </w:tcBorders>
            <w:shd w:fill="auto" w:val="clear"/>
            <w:vAlign w:val="center"/>
          </w:tcPr>
          <w:p/>
        </w:tc>
      </w:tr>
      <w:tr>
        <w:trPr>
          <w:trHeight w:hRule="atLeast" w:val="330"/>
        </w:trPr>
        <w:tc>
          <w:tcPr>
            <w:tcW w:type="dxa" w:w="3235"/>
            <w:tcBorders>
              <w:top w:sz="4" w:val="nil"/>
              <w:left w:color="000000" w:sz="8" w:val="single"/>
              <w:bottom w:color="000000" w:sz="8" w:val="single"/>
              <w:right w:color="000000" w:sz="8" w:val="single"/>
            </w:tcBorders>
            <w:shd w:fill="auto" w:val="clear"/>
            <w:vAlign w:val="center"/>
          </w:tcPr>
          <w:p w14:paraId="0D0F0000">
            <w:pPr>
              <w:widowControl w:val="1"/>
              <w:ind w:firstLine="48"/>
              <w:contextualSpacing w:val="1"/>
              <w:jc w:val="center"/>
              <w:rPr>
                <w:i w:val="1"/>
                <w:color w:val="000000"/>
              </w:rPr>
            </w:pPr>
            <w:r>
              <w:rPr>
                <w:i w:val="1"/>
                <w:color w:val="000000"/>
              </w:rPr>
              <w:t>1</w:t>
            </w:r>
          </w:p>
        </w:tc>
        <w:tc>
          <w:tcPr>
            <w:tcW w:type="dxa" w:w="1090"/>
            <w:tcBorders>
              <w:top w:sz="4" w:val="nil"/>
              <w:left w:sz="4" w:val="nil"/>
              <w:bottom w:color="000000" w:sz="8" w:val="single"/>
              <w:right w:color="000000" w:sz="8" w:val="single"/>
            </w:tcBorders>
            <w:shd w:fill="auto" w:val="clear"/>
            <w:vAlign w:val="center"/>
          </w:tcPr>
          <w:p w14:paraId="0E0F0000">
            <w:pPr>
              <w:widowControl w:val="1"/>
              <w:ind w:firstLine="48"/>
              <w:contextualSpacing w:val="1"/>
              <w:jc w:val="center"/>
              <w:rPr>
                <w:i w:val="1"/>
                <w:color w:val="000000"/>
              </w:rPr>
            </w:pPr>
            <w:r>
              <w:rPr>
                <w:i w:val="1"/>
                <w:color w:val="000000"/>
              </w:rPr>
              <w:t>2</w:t>
            </w:r>
          </w:p>
        </w:tc>
        <w:tc>
          <w:tcPr>
            <w:tcW w:type="dxa" w:w="1069"/>
            <w:tcBorders>
              <w:top w:sz="4" w:val="nil"/>
              <w:left w:sz="4" w:val="nil"/>
              <w:bottom w:color="000000" w:sz="8" w:val="single"/>
              <w:right w:color="000000" w:sz="8" w:val="single"/>
            </w:tcBorders>
            <w:shd w:fill="auto" w:val="clear"/>
            <w:vAlign w:val="center"/>
          </w:tcPr>
          <w:p w14:paraId="0F0F0000">
            <w:pPr>
              <w:widowControl w:val="1"/>
              <w:ind w:firstLine="48"/>
              <w:contextualSpacing w:val="1"/>
              <w:jc w:val="center"/>
              <w:rPr>
                <w:i w:val="1"/>
                <w:color w:val="000000"/>
              </w:rPr>
            </w:pPr>
            <w:r>
              <w:rPr>
                <w:i w:val="1"/>
                <w:color w:val="000000"/>
              </w:rPr>
              <w:t>3</w:t>
            </w:r>
          </w:p>
        </w:tc>
        <w:tc>
          <w:tcPr>
            <w:tcW w:type="dxa" w:w="1071"/>
            <w:tcBorders>
              <w:top w:sz="4" w:val="nil"/>
              <w:left w:sz="4" w:val="nil"/>
              <w:bottom w:color="000000" w:sz="8" w:val="single"/>
              <w:right w:color="000000" w:sz="8" w:val="single"/>
            </w:tcBorders>
            <w:shd w:fill="auto" w:val="clear"/>
            <w:vAlign w:val="center"/>
          </w:tcPr>
          <w:p w14:paraId="100F0000">
            <w:pPr>
              <w:widowControl w:val="1"/>
              <w:ind w:firstLine="48"/>
              <w:contextualSpacing w:val="1"/>
              <w:jc w:val="center"/>
              <w:rPr>
                <w:i w:val="1"/>
                <w:color w:val="000000"/>
              </w:rPr>
            </w:pPr>
            <w:r>
              <w:rPr>
                <w:i w:val="1"/>
                <w:color w:val="000000"/>
              </w:rPr>
              <w:t>4</w:t>
            </w:r>
          </w:p>
        </w:tc>
        <w:tc>
          <w:tcPr>
            <w:tcW w:type="dxa" w:w="1069"/>
            <w:tcBorders>
              <w:top w:sz="4" w:val="nil"/>
              <w:left w:sz="4" w:val="nil"/>
              <w:bottom w:color="000000" w:sz="8" w:val="single"/>
              <w:right w:color="000000" w:sz="8" w:val="single"/>
            </w:tcBorders>
            <w:shd w:fill="auto" w:val="clear"/>
            <w:vAlign w:val="center"/>
          </w:tcPr>
          <w:p w14:paraId="110F0000">
            <w:pPr>
              <w:widowControl w:val="1"/>
              <w:ind w:firstLine="48"/>
              <w:contextualSpacing w:val="1"/>
              <w:jc w:val="center"/>
              <w:rPr>
                <w:i w:val="1"/>
                <w:color w:val="000000"/>
              </w:rPr>
            </w:pPr>
            <w:r>
              <w:rPr>
                <w:i w:val="1"/>
                <w:color w:val="000000"/>
              </w:rPr>
              <w:t>5</w:t>
            </w:r>
          </w:p>
        </w:tc>
        <w:tc>
          <w:tcPr>
            <w:tcW w:type="dxa" w:w="1073"/>
            <w:tcBorders>
              <w:top w:sz="4" w:val="nil"/>
              <w:left w:sz="4" w:val="nil"/>
              <w:bottom w:color="000000" w:sz="8" w:val="single"/>
              <w:right w:color="000000" w:sz="8" w:val="single"/>
            </w:tcBorders>
            <w:shd w:fill="auto" w:val="clear"/>
            <w:vAlign w:val="center"/>
          </w:tcPr>
          <w:p w14:paraId="120F0000">
            <w:pPr>
              <w:widowControl w:val="1"/>
              <w:ind w:firstLine="48"/>
              <w:contextualSpacing w:val="1"/>
              <w:jc w:val="center"/>
              <w:rPr>
                <w:i w:val="1"/>
                <w:color w:val="000000"/>
              </w:rPr>
            </w:pPr>
            <w:r>
              <w:rPr>
                <w:i w:val="1"/>
                <w:color w:val="000000"/>
              </w:rPr>
              <w:t>6</w:t>
            </w:r>
          </w:p>
        </w:tc>
        <w:tc>
          <w:tcPr>
            <w:tcW w:type="dxa" w:w="1073"/>
            <w:tcBorders>
              <w:top w:sz="4" w:val="nil"/>
              <w:left w:sz="4" w:val="nil"/>
              <w:bottom w:color="000000" w:sz="8" w:val="single"/>
              <w:right w:color="000000" w:sz="8" w:val="single"/>
            </w:tcBorders>
            <w:shd w:fill="auto" w:val="clear"/>
            <w:vAlign w:val="center"/>
          </w:tcPr>
          <w:p w14:paraId="130F0000">
            <w:pPr>
              <w:widowControl w:val="1"/>
              <w:ind w:firstLine="48"/>
              <w:contextualSpacing w:val="1"/>
              <w:jc w:val="center"/>
              <w:rPr>
                <w:i w:val="1"/>
                <w:color w:val="000000"/>
              </w:rPr>
            </w:pPr>
            <w:r>
              <w:rPr>
                <w:i w:val="1"/>
                <w:color w:val="000000"/>
              </w:rPr>
              <w:t>7</w:t>
            </w:r>
          </w:p>
        </w:tc>
      </w:tr>
      <w:tr>
        <w:trPr>
          <w:trHeight w:hRule="atLeast" w:val="450"/>
        </w:trPr>
        <w:tc>
          <w:tcPr>
            <w:tcW w:type="dxa" w:w="3235"/>
            <w:tcBorders>
              <w:top w:sz="4" w:val="nil"/>
              <w:left w:color="000000" w:sz="8" w:val="single"/>
              <w:bottom w:color="000000" w:sz="8" w:val="single"/>
              <w:right w:color="000000" w:sz="8" w:val="single"/>
            </w:tcBorders>
            <w:shd w:fill="auto" w:val="clear"/>
            <w:vAlign w:val="center"/>
          </w:tcPr>
          <w:p w14:paraId="140F0000">
            <w:pPr>
              <w:widowControl w:val="1"/>
              <w:ind w:firstLine="48"/>
              <w:contextualSpacing w:val="1"/>
              <w:jc w:val="center"/>
              <w:rPr>
                <w:color w:val="000000"/>
              </w:rPr>
            </w:pPr>
            <w:r>
              <w:rPr>
                <w:color w:val="000000"/>
              </w:rPr>
              <w:t>ТО (техническое обслуживание)</w:t>
            </w:r>
          </w:p>
        </w:tc>
        <w:tc>
          <w:tcPr>
            <w:tcW w:type="dxa" w:w="1090"/>
            <w:tcBorders>
              <w:top w:sz="4" w:val="nil"/>
              <w:left w:sz="4" w:val="nil"/>
              <w:bottom w:color="000000" w:sz="8" w:val="single"/>
              <w:right w:color="000000" w:sz="8" w:val="single"/>
            </w:tcBorders>
            <w:shd w:fill="auto" w:val="clear"/>
            <w:vAlign w:val="center"/>
          </w:tcPr>
          <w:p w14:paraId="150F0000">
            <w:pPr>
              <w:widowControl w:val="1"/>
              <w:ind w:firstLine="48"/>
              <w:contextualSpacing w:val="1"/>
              <w:jc w:val="center"/>
              <w:rPr>
                <w:color w:val="000000"/>
              </w:rPr>
            </w:pPr>
            <w:r>
              <w:rPr>
                <w:color w:val="000000"/>
              </w:rPr>
              <w:t>62 450</w:t>
            </w:r>
          </w:p>
        </w:tc>
        <w:tc>
          <w:tcPr>
            <w:tcW w:type="dxa" w:w="1069"/>
            <w:tcBorders>
              <w:top w:sz="4" w:val="nil"/>
              <w:left w:sz="4" w:val="nil"/>
              <w:bottom w:color="000000" w:sz="8" w:val="single"/>
              <w:right w:color="000000" w:sz="8" w:val="single"/>
            </w:tcBorders>
            <w:shd w:fill="auto" w:val="clear"/>
            <w:vAlign w:val="center"/>
          </w:tcPr>
          <w:p w14:paraId="160F0000">
            <w:pPr>
              <w:widowControl w:val="1"/>
              <w:ind w:firstLine="48"/>
              <w:contextualSpacing w:val="1"/>
              <w:jc w:val="center"/>
              <w:rPr>
                <w:color w:val="000000"/>
              </w:rPr>
            </w:pPr>
            <w:r>
              <w:rPr>
                <w:color w:val="000000"/>
              </w:rPr>
              <w:t>64 750</w:t>
            </w:r>
          </w:p>
        </w:tc>
        <w:tc>
          <w:tcPr>
            <w:tcW w:type="dxa" w:w="1071"/>
            <w:tcBorders>
              <w:top w:sz="4" w:val="nil"/>
              <w:left w:sz="4" w:val="nil"/>
              <w:bottom w:color="000000" w:sz="8" w:val="single"/>
              <w:right w:color="000000" w:sz="8" w:val="single"/>
            </w:tcBorders>
            <w:shd w:fill="auto" w:val="clear"/>
            <w:vAlign w:val="center"/>
          </w:tcPr>
          <w:p w14:paraId="170F0000">
            <w:pPr>
              <w:widowControl w:val="1"/>
              <w:ind w:firstLine="48"/>
              <w:contextualSpacing w:val="1"/>
              <w:jc w:val="center"/>
              <w:rPr>
                <w:color w:val="000000"/>
              </w:rPr>
            </w:pPr>
            <w:r>
              <w:rPr>
                <w:color w:val="000000"/>
              </w:rPr>
              <w:t>63 323</w:t>
            </w:r>
          </w:p>
        </w:tc>
        <w:tc>
          <w:tcPr>
            <w:tcW w:type="dxa" w:w="1069"/>
            <w:tcBorders>
              <w:top w:sz="4" w:val="nil"/>
              <w:left w:sz="4" w:val="nil"/>
              <w:bottom w:color="000000" w:sz="8" w:val="single"/>
              <w:right w:color="000000" w:sz="8" w:val="single"/>
            </w:tcBorders>
            <w:shd w:fill="auto" w:val="clear"/>
            <w:vAlign w:val="center"/>
          </w:tcPr>
          <w:p w14:paraId="180F0000">
            <w:pPr>
              <w:widowControl w:val="1"/>
              <w:ind w:firstLine="48"/>
              <w:contextualSpacing w:val="1"/>
              <w:jc w:val="center"/>
              <w:rPr>
                <w:color w:val="000000"/>
              </w:rPr>
            </w:pPr>
            <w:r>
              <w:rPr>
                <w:color w:val="000000"/>
              </w:rPr>
              <w:t>65 627</w:t>
            </w:r>
          </w:p>
        </w:tc>
        <w:tc>
          <w:tcPr>
            <w:tcW w:type="dxa" w:w="1073"/>
            <w:tcBorders>
              <w:top w:sz="4" w:val="nil"/>
              <w:left w:sz="4" w:val="nil"/>
              <w:bottom w:color="000000" w:sz="8" w:val="single"/>
              <w:right w:color="000000" w:sz="8" w:val="single"/>
            </w:tcBorders>
            <w:shd w:fill="auto" w:val="clear"/>
            <w:vAlign w:val="center"/>
          </w:tcPr>
          <w:p w14:paraId="190F0000">
            <w:pPr>
              <w:widowControl w:val="1"/>
              <w:ind w:firstLine="48"/>
              <w:contextualSpacing w:val="1"/>
              <w:jc w:val="center"/>
              <w:rPr>
                <w:color w:val="000000"/>
              </w:rPr>
            </w:pPr>
            <w:r>
              <w:rPr>
                <w:color w:val="000000"/>
              </w:rPr>
              <w:t>101</w:t>
            </w:r>
          </w:p>
        </w:tc>
        <w:tc>
          <w:tcPr>
            <w:tcW w:type="dxa" w:w="1073"/>
            <w:tcBorders>
              <w:top w:sz="4" w:val="nil"/>
              <w:left w:sz="4" w:val="nil"/>
              <w:bottom w:color="000000" w:sz="8" w:val="single"/>
              <w:right w:color="000000" w:sz="8" w:val="single"/>
            </w:tcBorders>
            <w:shd w:fill="auto" w:val="clear"/>
            <w:vAlign w:val="center"/>
          </w:tcPr>
          <w:p w14:paraId="1A0F0000">
            <w:pPr>
              <w:widowControl w:val="1"/>
              <w:ind w:firstLine="48"/>
              <w:contextualSpacing w:val="1"/>
              <w:jc w:val="center"/>
              <w:rPr>
                <w:color w:val="000000"/>
              </w:rPr>
            </w:pPr>
            <w:r>
              <w:rPr>
                <w:color w:val="000000"/>
              </w:rPr>
              <w:t>104</w:t>
            </w:r>
          </w:p>
        </w:tc>
      </w:tr>
      <w:tr>
        <w:trPr>
          <w:trHeight w:hRule="atLeast" w:val="450"/>
        </w:trPr>
        <w:tc>
          <w:tcPr>
            <w:tcW w:type="dxa" w:w="3235"/>
            <w:tcBorders>
              <w:top w:sz="4" w:val="nil"/>
              <w:left w:color="000000" w:sz="8" w:val="single"/>
              <w:bottom w:color="000000" w:sz="8" w:val="single"/>
              <w:right w:color="000000" w:sz="8" w:val="single"/>
            </w:tcBorders>
            <w:shd w:fill="auto" w:val="clear"/>
            <w:vAlign w:val="center"/>
          </w:tcPr>
          <w:p w14:paraId="1B0F0000">
            <w:pPr>
              <w:widowControl w:val="1"/>
              <w:ind w:firstLine="48"/>
              <w:contextualSpacing w:val="1"/>
              <w:jc w:val="center"/>
              <w:rPr>
                <w:color w:val="000000"/>
              </w:rPr>
            </w:pPr>
            <w:r>
              <w:rPr>
                <w:color w:val="000000"/>
              </w:rPr>
              <w:t>ТР (текущий ремонт)</w:t>
            </w:r>
          </w:p>
        </w:tc>
        <w:tc>
          <w:tcPr>
            <w:tcW w:type="dxa" w:w="1090"/>
            <w:tcBorders>
              <w:top w:sz="4" w:val="nil"/>
              <w:left w:sz="4" w:val="nil"/>
              <w:bottom w:color="000000" w:sz="8" w:val="single"/>
              <w:right w:color="000000" w:sz="8" w:val="single"/>
            </w:tcBorders>
            <w:shd w:fill="auto" w:val="clear"/>
            <w:vAlign w:val="center"/>
          </w:tcPr>
          <w:p w14:paraId="1C0F0000">
            <w:pPr>
              <w:widowControl w:val="1"/>
              <w:ind w:firstLine="48"/>
              <w:contextualSpacing w:val="1"/>
              <w:jc w:val="center"/>
              <w:rPr>
                <w:color w:val="000000"/>
              </w:rPr>
            </w:pPr>
            <w:r>
              <w:rPr>
                <w:color w:val="000000"/>
              </w:rPr>
              <w:t>41 054</w:t>
            </w:r>
          </w:p>
        </w:tc>
        <w:tc>
          <w:tcPr>
            <w:tcW w:type="dxa" w:w="1069"/>
            <w:tcBorders>
              <w:top w:sz="4" w:val="nil"/>
              <w:left w:sz="4" w:val="nil"/>
              <w:bottom w:color="000000" w:sz="8" w:val="single"/>
              <w:right w:color="000000" w:sz="8" w:val="single"/>
            </w:tcBorders>
            <w:shd w:fill="auto" w:val="clear"/>
            <w:vAlign w:val="center"/>
          </w:tcPr>
          <w:p w14:paraId="1D0F0000">
            <w:pPr>
              <w:widowControl w:val="1"/>
              <w:ind w:firstLine="48"/>
              <w:contextualSpacing w:val="1"/>
              <w:jc w:val="center"/>
              <w:rPr>
                <w:color w:val="000000"/>
              </w:rPr>
            </w:pPr>
            <w:r>
              <w:rPr>
                <w:color w:val="000000"/>
              </w:rPr>
              <w:t>42 170</w:t>
            </w:r>
          </w:p>
        </w:tc>
        <w:tc>
          <w:tcPr>
            <w:tcW w:type="dxa" w:w="1071"/>
            <w:tcBorders>
              <w:top w:sz="4" w:val="nil"/>
              <w:left w:sz="4" w:val="nil"/>
              <w:bottom w:color="000000" w:sz="8" w:val="single"/>
              <w:right w:color="000000" w:sz="8" w:val="single"/>
            </w:tcBorders>
            <w:shd w:fill="auto" w:val="clear"/>
            <w:vAlign w:val="center"/>
          </w:tcPr>
          <w:p w14:paraId="1E0F0000">
            <w:pPr>
              <w:widowControl w:val="1"/>
              <w:ind w:firstLine="48"/>
              <w:contextualSpacing w:val="1"/>
              <w:jc w:val="center"/>
              <w:rPr>
                <w:color w:val="000000"/>
              </w:rPr>
            </w:pPr>
            <w:r>
              <w:rPr>
                <w:color w:val="000000"/>
              </w:rPr>
              <w:t>41 80</w:t>
            </w:r>
            <w:r>
              <w:rPr>
                <w:color w:val="000000"/>
              </w:rPr>
              <w:t>0</w:t>
            </w:r>
          </w:p>
        </w:tc>
        <w:tc>
          <w:tcPr>
            <w:tcW w:type="dxa" w:w="1069"/>
            <w:tcBorders>
              <w:top w:sz="4" w:val="nil"/>
              <w:left w:sz="4" w:val="nil"/>
              <w:bottom w:color="000000" w:sz="8" w:val="single"/>
              <w:right w:color="000000" w:sz="8" w:val="single"/>
            </w:tcBorders>
            <w:shd w:fill="auto" w:val="clear"/>
            <w:vAlign w:val="center"/>
          </w:tcPr>
          <w:p w14:paraId="1F0F0000">
            <w:pPr>
              <w:widowControl w:val="1"/>
              <w:ind w:firstLine="48"/>
              <w:contextualSpacing w:val="1"/>
              <w:jc w:val="center"/>
              <w:rPr>
                <w:color w:val="000000"/>
              </w:rPr>
            </w:pPr>
            <w:r>
              <w:rPr>
                <w:color w:val="000000"/>
              </w:rPr>
              <w:t>42 988</w:t>
            </w:r>
          </w:p>
        </w:tc>
        <w:tc>
          <w:tcPr>
            <w:tcW w:type="dxa" w:w="1073"/>
            <w:tcBorders>
              <w:top w:sz="4" w:val="nil"/>
              <w:left w:sz="4" w:val="nil"/>
              <w:bottom w:color="000000" w:sz="8" w:val="single"/>
              <w:right w:color="000000" w:sz="8" w:val="single"/>
            </w:tcBorders>
            <w:shd w:fill="auto" w:val="clear"/>
            <w:vAlign w:val="center"/>
          </w:tcPr>
          <w:p w14:paraId="200F0000">
            <w:pPr>
              <w:widowControl w:val="1"/>
              <w:ind w:firstLine="48"/>
              <w:contextualSpacing w:val="1"/>
              <w:jc w:val="center"/>
              <w:rPr>
                <w:color w:val="000000"/>
              </w:rPr>
            </w:pPr>
            <w:r>
              <w:rPr>
                <w:color w:val="000000"/>
              </w:rPr>
              <w:t>102</w:t>
            </w:r>
          </w:p>
        </w:tc>
        <w:tc>
          <w:tcPr>
            <w:tcW w:type="dxa" w:w="1073"/>
            <w:tcBorders>
              <w:top w:sz="4" w:val="nil"/>
              <w:left w:sz="4" w:val="nil"/>
              <w:bottom w:color="000000" w:sz="8" w:val="single"/>
              <w:right w:color="000000" w:sz="8" w:val="single"/>
            </w:tcBorders>
            <w:shd w:fill="auto" w:val="clear"/>
            <w:vAlign w:val="center"/>
          </w:tcPr>
          <w:p w14:paraId="210F0000">
            <w:pPr>
              <w:widowControl w:val="1"/>
              <w:ind w:firstLine="48"/>
              <w:contextualSpacing w:val="1"/>
              <w:jc w:val="center"/>
              <w:rPr>
                <w:color w:val="000000"/>
              </w:rPr>
            </w:pPr>
            <w:r>
              <w:rPr>
                <w:color w:val="000000"/>
              </w:rPr>
              <w:t>103</w:t>
            </w:r>
          </w:p>
        </w:tc>
      </w:tr>
      <w:tr>
        <w:trPr>
          <w:trHeight w:hRule="atLeast" w:val="450"/>
        </w:trPr>
        <w:tc>
          <w:tcPr>
            <w:tcW w:type="dxa" w:w="3235"/>
            <w:tcBorders>
              <w:top w:sz="4" w:val="nil"/>
              <w:left w:color="000000" w:sz="8" w:val="single"/>
              <w:bottom w:color="000000" w:sz="8" w:val="single"/>
              <w:right w:color="000000" w:sz="8" w:val="single"/>
            </w:tcBorders>
            <w:shd w:fill="auto" w:val="clear"/>
            <w:vAlign w:val="center"/>
          </w:tcPr>
          <w:p w14:paraId="220F0000">
            <w:pPr>
              <w:widowControl w:val="1"/>
              <w:ind w:firstLine="48"/>
              <w:contextualSpacing w:val="1"/>
              <w:jc w:val="center"/>
              <w:rPr>
                <w:color w:val="000000"/>
              </w:rPr>
            </w:pPr>
            <w:r>
              <w:rPr>
                <w:color w:val="000000"/>
              </w:rPr>
              <w:t>КР (капитальный ремонт)</w:t>
            </w:r>
          </w:p>
        </w:tc>
        <w:tc>
          <w:tcPr>
            <w:tcW w:type="dxa" w:w="1090"/>
            <w:tcBorders>
              <w:top w:sz="4" w:val="nil"/>
              <w:left w:sz="4" w:val="nil"/>
              <w:bottom w:color="000000" w:sz="8" w:val="single"/>
              <w:right w:color="000000" w:sz="8" w:val="single"/>
            </w:tcBorders>
            <w:shd w:fill="auto" w:val="clear"/>
            <w:vAlign w:val="center"/>
          </w:tcPr>
          <w:p w14:paraId="230F0000">
            <w:pPr>
              <w:widowControl w:val="1"/>
              <w:ind w:firstLine="48"/>
              <w:contextualSpacing w:val="1"/>
              <w:jc w:val="center"/>
              <w:rPr>
                <w:color w:val="000000"/>
              </w:rPr>
            </w:pPr>
            <w:r>
              <w:rPr>
                <w:color w:val="000000"/>
              </w:rPr>
              <w:t>84 555</w:t>
            </w:r>
          </w:p>
        </w:tc>
        <w:tc>
          <w:tcPr>
            <w:tcW w:type="dxa" w:w="1069"/>
            <w:tcBorders>
              <w:top w:sz="4" w:val="nil"/>
              <w:left w:sz="4" w:val="nil"/>
              <w:bottom w:color="000000" w:sz="8" w:val="single"/>
              <w:right w:color="000000" w:sz="8" w:val="single"/>
            </w:tcBorders>
            <w:shd w:fill="auto" w:val="clear"/>
            <w:vAlign w:val="center"/>
          </w:tcPr>
          <w:p w14:paraId="240F0000">
            <w:pPr>
              <w:widowControl w:val="1"/>
              <w:ind w:firstLine="48"/>
              <w:contextualSpacing w:val="1"/>
              <w:jc w:val="center"/>
              <w:rPr>
                <w:color w:val="000000"/>
              </w:rPr>
            </w:pPr>
            <w:r>
              <w:rPr>
                <w:color w:val="000000"/>
              </w:rPr>
              <w:t>82 564</w:t>
            </w:r>
          </w:p>
        </w:tc>
        <w:tc>
          <w:tcPr>
            <w:tcW w:type="dxa" w:w="1071"/>
            <w:tcBorders>
              <w:top w:sz="4" w:val="nil"/>
              <w:left w:sz="4" w:val="nil"/>
              <w:bottom w:color="000000" w:sz="8" w:val="single"/>
              <w:right w:color="000000" w:sz="8" w:val="single"/>
            </w:tcBorders>
            <w:shd w:fill="auto" w:val="clear"/>
            <w:vAlign w:val="center"/>
          </w:tcPr>
          <w:p w14:paraId="250F0000">
            <w:pPr>
              <w:widowControl w:val="1"/>
              <w:ind w:firstLine="48"/>
              <w:contextualSpacing w:val="1"/>
              <w:jc w:val="center"/>
              <w:rPr>
                <w:color w:val="000000"/>
              </w:rPr>
            </w:pPr>
            <w:r>
              <w:rPr>
                <w:color w:val="000000"/>
              </w:rPr>
              <w:t>82 042</w:t>
            </w:r>
          </w:p>
        </w:tc>
        <w:tc>
          <w:tcPr>
            <w:tcW w:type="dxa" w:w="1069"/>
            <w:tcBorders>
              <w:top w:sz="4" w:val="nil"/>
              <w:left w:sz="4" w:val="nil"/>
              <w:bottom w:color="000000" w:sz="8" w:val="single"/>
              <w:right w:color="000000" w:sz="8" w:val="single"/>
            </w:tcBorders>
            <w:shd w:fill="auto" w:val="clear"/>
            <w:vAlign w:val="center"/>
          </w:tcPr>
          <w:p w14:paraId="260F0000">
            <w:pPr>
              <w:widowControl w:val="1"/>
              <w:ind w:firstLine="48"/>
              <w:contextualSpacing w:val="1"/>
              <w:jc w:val="center"/>
              <w:rPr>
                <w:color w:val="000000"/>
              </w:rPr>
            </w:pPr>
            <w:r>
              <w:rPr>
                <w:color w:val="000000"/>
              </w:rPr>
              <w:t>80 732</w:t>
            </w:r>
          </w:p>
        </w:tc>
        <w:tc>
          <w:tcPr>
            <w:tcW w:type="dxa" w:w="1073"/>
            <w:tcBorders>
              <w:top w:sz="4" w:val="nil"/>
              <w:left w:sz="4" w:val="nil"/>
              <w:bottom w:color="000000" w:sz="8" w:val="single"/>
              <w:right w:color="000000" w:sz="8" w:val="single"/>
            </w:tcBorders>
            <w:shd w:fill="auto" w:val="clear"/>
            <w:vAlign w:val="center"/>
          </w:tcPr>
          <w:p w14:paraId="270F0000">
            <w:pPr>
              <w:widowControl w:val="1"/>
              <w:ind w:firstLine="48"/>
              <w:contextualSpacing w:val="1"/>
              <w:jc w:val="center"/>
              <w:rPr>
                <w:color w:val="000000"/>
              </w:rPr>
            </w:pPr>
            <w:r>
              <w:rPr>
                <w:color w:val="000000"/>
              </w:rPr>
              <w:t>98</w:t>
            </w:r>
          </w:p>
        </w:tc>
        <w:tc>
          <w:tcPr>
            <w:tcW w:type="dxa" w:w="1073"/>
            <w:tcBorders>
              <w:top w:sz="4" w:val="nil"/>
              <w:left w:sz="4" w:val="nil"/>
              <w:bottom w:color="000000" w:sz="8" w:val="single"/>
              <w:right w:color="000000" w:sz="8" w:val="single"/>
            </w:tcBorders>
            <w:shd w:fill="auto" w:val="clear"/>
            <w:vAlign w:val="center"/>
          </w:tcPr>
          <w:p w14:paraId="280F0000">
            <w:pPr>
              <w:widowControl w:val="1"/>
              <w:ind w:firstLine="48"/>
              <w:contextualSpacing w:val="1"/>
              <w:jc w:val="center"/>
              <w:rPr>
                <w:color w:val="000000"/>
              </w:rPr>
            </w:pPr>
            <w:r>
              <w:rPr>
                <w:color w:val="000000"/>
              </w:rPr>
              <w:t>98</w:t>
            </w:r>
          </w:p>
        </w:tc>
      </w:tr>
      <w:tr>
        <w:trPr>
          <w:trHeight w:hRule="atLeast" w:val="330"/>
        </w:trPr>
        <w:tc>
          <w:tcPr>
            <w:tcW w:type="dxa" w:w="3235"/>
            <w:tcBorders>
              <w:top w:sz="4" w:val="nil"/>
              <w:left w:color="000000" w:sz="8" w:val="single"/>
              <w:bottom w:color="000000" w:sz="8" w:val="single"/>
              <w:right w:color="000000" w:sz="8" w:val="single"/>
            </w:tcBorders>
            <w:shd w:fill="auto" w:val="clear"/>
            <w:vAlign w:val="center"/>
          </w:tcPr>
          <w:p w14:paraId="290F0000">
            <w:pPr>
              <w:widowControl w:val="1"/>
              <w:ind w:firstLine="48"/>
              <w:contextualSpacing w:val="1"/>
              <w:jc w:val="center"/>
              <w:rPr>
                <w:color w:val="000000"/>
              </w:rPr>
            </w:pPr>
            <w:r>
              <w:rPr>
                <w:color w:val="000000"/>
              </w:rPr>
              <w:t>Услуги  инфраструктуры</w:t>
            </w:r>
          </w:p>
        </w:tc>
        <w:tc>
          <w:tcPr>
            <w:tcW w:type="dxa" w:w="1090"/>
            <w:tcBorders>
              <w:top w:sz="4" w:val="nil"/>
              <w:left w:sz="4" w:val="nil"/>
              <w:bottom w:color="000000" w:sz="8" w:val="single"/>
              <w:right w:color="000000" w:sz="8" w:val="single"/>
            </w:tcBorders>
            <w:shd w:fill="auto" w:val="clear"/>
            <w:vAlign w:val="center"/>
          </w:tcPr>
          <w:p w14:paraId="2A0F0000">
            <w:pPr>
              <w:widowControl w:val="1"/>
              <w:ind w:firstLine="48"/>
              <w:contextualSpacing w:val="1"/>
              <w:jc w:val="center"/>
              <w:rPr>
                <w:color w:val="000000"/>
              </w:rPr>
            </w:pPr>
            <w:r>
              <w:rPr>
                <w:color w:val="000000"/>
              </w:rPr>
              <w:t>4 385</w:t>
            </w:r>
          </w:p>
        </w:tc>
        <w:tc>
          <w:tcPr>
            <w:tcW w:type="dxa" w:w="1069"/>
            <w:tcBorders>
              <w:top w:sz="4" w:val="nil"/>
              <w:left w:sz="4" w:val="nil"/>
              <w:bottom w:color="000000" w:sz="8" w:val="single"/>
              <w:right w:color="000000" w:sz="8" w:val="single"/>
            </w:tcBorders>
            <w:shd w:fill="auto" w:val="clear"/>
            <w:vAlign w:val="center"/>
          </w:tcPr>
          <w:p w14:paraId="2B0F0000">
            <w:pPr>
              <w:widowControl w:val="1"/>
              <w:ind w:firstLine="48"/>
              <w:contextualSpacing w:val="1"/>
              <w:jc w:val="center"/>
              <w:rPr>
                <w:color w:val="000000"/>
              </w:rPr>
            </w:pPr>
            <w:r>
              <w:rPr>
                <w:color w:val="000000"/>
              </w:rPr>
              <w:t>4 810</w:t>
            </w:r>
          </w:p>
        </w:tc>
        <w:tc>
          <w:tcPr>
            <w:tcW w:type="dxa" w:w="1071"/>
            <w:tcBorders>
              <w:top w:sz="4" w:val="nil"/>
              <w:left w:sz="4" w:val="nil"/>
              <w:bottom w:color="000000" w:sz="8" w:val="single"/>
              <w:right w:color="000000" w:sz="8" w:val="single"/>
            </w:tcBorders>
            <w:shd w:fill="auto" w:val="clear"/>
            <w:vAlign w:val="center"/>
          </w:tcPr>
          <w:p w14:paraId="2C0F0000">
            <w:pPr>
              <w:widowControl w:val="1"/>
              <w:ind w:firstLine="48"/>
              <w:contextualSpacing w:val="1"/>
              <w:jc w:val="center"/>
              <w:rPr>
                <w:color w:val="000000"/>
              </w:rPr>
            </w:pPr>
            <w:r>
              <w:rPr>
                <w:color w:val="000000"/>
              </w:rPr>
              <w:t>4 709</w:t>
            </w:r>
          </w:p>
        </w:tc>
        <w:tc>
          <w:tcPr>
            <w:tcW w:type="dxa" w:w="1069"/>
            <w:tcBorders>
              <w:top w:sz="4" w:val="nil"/>
              <w:left w:sz="4" w:val="nil"/>
              <w:bottom w:color="000000" w:sz="8" w:val="single"/>
              <w:right w:color="000000" w:sz="8" w:val="single"/>
            </w:tcBorders>
            <w:shd w:fill="auto" w:val="clear"/>
            <w:vAlign w:val="center"/>
          </w:tcPr>
          <w:p w14:paraId="2D0F0000">
            <w:pPr>
              <w:widowControl w:val="1"/>
              <w:ind w:firstLine="48"/>
              <w:contextualSpacing w:val="1"/>
              <w:jc w:val="center"/>
              <w:rPr>
                <w:color w:val="000000"/>
              </w:rPr>
            </w:pPr>
            <w:r>
              <w:rPr>
                <w:color w:val="000000"/>
              </w:rPr>
              <w:t>4 852</w:t>
            </w:r>
          </w:p>
        </w:tc>
        <w:tc>
          <w:tcPr>
            <w:tcW w:type="dxa" w:w="1073"/>
            <w:tcBorders>
              <w:top w:sz="4" w:val="nil"/>
              <w:left w:sz="4" w:val="nil"/>
              <w:bottom w:color="000000" w:sz="8" w:val="single"/>
              <w:right w:color="000000" w:sz="8" w:val="single"/>
            </w:tcBorders>
            <w:shd w:fill="auto" w:val="clear"/>
            <w:vAlign w:val="center"/>
          </w:tcPr>
          <w:p w14:paraId="2E0F0000">
            <w:pPr>
              <w:widowControl w:val="1"/>
              <w:ind w:firstLine="48"/>
              <w:contextualSpacing w:val="1"/>
              <w:jc w:val="center"/>
              <w:rPr>
                <w:color w:val="000000"/>
              </w:rPr>
            </w:pPr>
            <w:r>
              <w:rPr>
                <w:color w:val="000000"/>
              </w:rPr>
              <w:t>101</w:t>
            </w:r>
          </w:p>
        </w:tc>
        <w:tc>
          <w:tcPr>
            <w:tcW w:type="dxa" w:w="1073"/>
            <w:tcBorders>
              <w:top w:sz="4" w:val="nil"/>
              <w:left w:sz="4" w:val="nil"/>
              <w:bottom w:color="000000" w:sz="8" w:val="single"/>
              <w:right w:color="000000" w:sz="8" w:val="single"/>
            </w:tcBorders>
            <w:shd w:fill="auto" w:val="clear"/>
            <w:vAlign w:val="center"/>
          </w:tcPr>
          <w:p w14:paraId="2F0F0000">
            <w:pPr>
              <w:widowControl w:val="1"/>
              <w:ind w:firstLine="48"/>
              <w:contextualSpacing w:val="1"/>
              <w:jc w:val="center"/>
              <w:rPr>
                <w:color w:val="000000"/>
              </w:rPr>
            </w:pPr>
            <w:r>
              <w:rPr>
                <w:color w:val="000000"/>
              </w:rPr>
              <w:t>103</w:t>
            </w:r>
          </w:p>
        </w:tc>
      </w:tr>
      <w:tr>
        <w:trPr>
          <w:trHeight w:hRule="atLeast" w:val="330"/>
        </w:trPr>
        <w:tc>
          <w:tcPr>
            <w:tcW w:type="dxa" w:w="3235"/>
            <w:tcBorders>
              <w:top w:sz="4" w:val="nil"/>
              <w:left w:color="000000" w:sz="8" w:val="single"/>
              <w:bottom w:color="000000" w:sz="8" w:val="single"/>
              <w:right w:color="000000" w:sz="8" w:val="single"/>
            </w:tcBorders>
            <w:shd w:fill="auto" w:val="clear"/>
            <w:vAlign w:val="center"/>
          </w:tcPr>
          <w:p w14:paraId="300F0000">
            <w:pPr>
              <w:widowControl w:val="1"/>
              <w:ind w:firstLine="48"/>
              <w:contextualSpacing w:val="1"/>
              <w:jc w:val="center"/>
              <w:rPr>
                <w:color w:val="000000"/>
              </w:rPr>
            </w:pPr>
            <w:r>
              <w:rPr>
                <w:color w:val="000000"/>
              </w:rPr>
              <w:t>Аренда подвижного состава</w:t>
            </w:r>
          </w:p>
        </w:tc>
        <w:tc>
          <w:tcPr>
            <w:tcW w:type="dxa" w:w="1090"/>
            <w:tcBorders>
              <w:top w:sz="4" w:val="nil"/>
              <w:left w:sz="4" w:val="nil"/>
              <w:bottom w:color="000000" w:sz="8" w:val="single"/>
              <w:right w:color="000000" w:sz="8" w:val="single"/>
            </w:tcBorders>
            <w:shd w:fill="auto" w:val="clear"/>
            <w:vAlign w:val="center"/>
          </w:tcPr>
          <w:p w14:paraId="310F0000">
            <w:pPr>
              <w:widowControl w:val="1"/>
              <w:ind w:firstLine="48"/>
              <w:contextualSpacing w:val="1"/>
              <w:jc w:val="center"/>
              <w:rPr>
                <w:color w:val="000000"/>
              </w:rPr>
            </w:pPr>
            <w:r>
              <w:rPr>
                <w:color w:val="000000"/>
              </w:rPr>
              <w:t>104 003</w:t>
            </w:r>
          </w:p>
        </w:tc>
        <w:tc>
          <w:tcPr>
            <w:tcW w:type="dxa" w:w="1069"/>
            <w:tcBorders>
              <w:top w:sz="4" w:val="nil"/>
              <w:left w:sz="4" w:val="nil"/>
              <w:bottom w:color="000000" w:sz="8" w:val="single"/>
              <w:right w:color="000000" w:sz="8" w:val="single"/>
            </w:tcBorders>
            <w:shd w:fill="auto" w:val="clear"/>
            <w:vAlign w:val="center"/>
          </w:tcPr>
          <w:p w14:paraId="320F0000">
            <w:pPr>
              <w:widowControl w:val="1"/>
              <w:ind w:firstLine="48"/>
              <w:contextualSpacing w:val="1"/>
              <w:jc w:val="center"/>
              <w:rPr>
                <w:color w:val="000000"/>
              </w:rPr>
            </w:pPr>
            <w:r>
              <w:rPr>
                <w:color w:val="000000"/>
              </w:rPr>
              <w:t>110 375</w:t>
            </w:r>
          </w:p>
        </w:tc>
        <w:tc>
          <w:tcPr>
            <w:tcW w:type="dxa" w:w="1071"/>
            <w:tcBorders>
              <w:top w:sz="4" w:val="nil"/>
              <w:left w:sz="4" w:val="nil"/>
              <w:bottom w:color="000000" w:sz="8" w:val="single"/>
              <w:right w:color="000000" w:sz="8" w:val="single"/>
            </w:tcBorders>
            <w:shd w:fill="auto" w:val="clear"/>
            <w:vAlign w:val="center"/>
          </w:tcPr>
          <w:p w14:paraId="330F0000">
            <w:pPr>
              <w:widowControl w:val="1"/>
              <w:ind w:firstLine="48"/>
              <w:contextualSpacing w:val="1"/>
              <w:jc w:val="center"/>
              <w:rPr>
                <w:color w:val="000000"/>
              </w:rPr>
            </w:pPr>
            <w:r>
              <w:rPr>
                <w:color w:val="000000"/>
              </w:rPr>
              <w:t>115 435</w:t>
            </w:r>
          </w:p>
        </w:tc>
        <w:tc>
          <w:tcPr>
            <w:tcW w:type="dxa" w:w="1069"/>
            <w:tcBorders>
              <w:top w:sz="4" w:val="nil"/>
              <w:left w:sz="4" w:val="nil"/>
              <w:bottom w:color="000000" w:sz="8" w:val="single"/>
              <w:right w:color="000000" w:sz="8" w:val="single"/>
            </w:tcBorders>
            <w:shd w:fill="auto" w:val="clear"/>
            <w:vAlign w:val="center"/>
          </w:tcPr>
          <w:p w14:paraId="340F0000">
            <w:pPr>
              <w:widowControl w:val="1"/>
              <w:ind w:firstLine="48"/>
              <w:contextualSpacing w:val="1"/>
              <w:jc w:val="center"/>
              <w:rPr>
                <w:color w:val="000000"/>
              </w:rPr>
            </w:pPr>
            <w:r>
              <w:rPr>
                <w:color w:val="000000"/>
              </w:rPr>
              <w:t>112 410</w:t>
            </w:r>
          </w:p>
        </w:tc>
        <w:tc>
          <w:tcPr>
            <w:tcW w:type="dxa" w:w="1073"/>
            <w:tcBorders>
              <w:top w:sz="4" w:val="nil"/>
              <w:left w:sz="4" w:val="nil"/>
              <w:bottom w:color="000000" w:sz="8" w:val="single"/>
              <w:right w:color="000000" w:sz="8" w:val="single"/>
            </w:tcBorders>
            <w:shd w:fill="auto" w:val="clear"/>
            <w:vAlign w:val="center"/>
          </w:tcPr>
          <w:p w14:paraId="350F0000">
            <w:pPr>
              <w:widowControl w:val="1"/>
              <w:ind w:firstLine="48"/>
              <w:contextualSpacing w:val="1"/>
              <w:jc w:val="center"/>
              <w:rPr>
                <w:color w:val="000000"/>
              </w:rPr>
            </w:pPr>
            <w:r>
              <w:rPr>
                <w:color w:val="000000"/>
              </w:rPr>
              <w:t>102</w:t>
            </w:r>
          </w:p>
        </w:tc>
        <w:tc>
          <w:tcPr>
            <w:tcW w:type="dxa" w:w="1073"/>
            <w:tcBorders>
              <w:top w:sz="4" w:val="nil"/>
              <w:left w:sz="4" w:val="nil"/>
              <w:bottom w:color="000000" w:sz="8" w:val="single"/>
              <w:right w:color="000000" w:sz="8" w:val="single"/>
            </w:tcBorders>
            <w:shd w:fill="auto" w:val="clear"/>
            <w:vAlign w:val="center"/>
          </w:tcPr>
          <w:p w14:paraId="360F0000">
            <w:pPr>
              <w:widowControl w:val="1"/>
              <w:ind w:firstLine="48"/>
              <w:contextualSpacing w:val="1"/>
              <w:jc w:val="center"/>
              <w:rPr>
                <w:color w:val="000000"/>
              </w:rPr>
            </w:pPr>
            <w:r>
              <w:rPr>
                <w:color w:val="000000"/>
              </w:rPr>
              <w:t>97</w:t>
            </w:r>
          </w:p>
        </w:tc>
      </w:tr>
      <w:tr>
        <w:trPr>
          <w:trHeight w:hRule="atLeast" w:val="330"/>
        </w:trPr>
        <w:tc>
          <w:tcPr>
            <w:tcW w:type="dxa" w:w="3235"/>
            <w:tcBorders>
              <w:top w:sz="4" w:val="nil"/>
              <w:left w:color="000000" w:sz="8" w:val="single"/>
              <w:bottom w:color="000000" w:sz="8" w:val="single"/>
              <w:right w:color="000000" w:sz="8" w:val="single"/>
            </w:tcBorders>
            <w:shd w:fill="auto" w:val="clear"/>
            <w:vAlign w:val="center"/>
          </w:tcPr>
          <w:p w14:paraId="370F0000">
            <w:pPr>
              <w:widowControl w:val="1"/>
              <w:ind w:firstLine="48"/>
              <w:contextualSpacing w:val="1"/>
              <w:jc w:val="center"/>
              <w:rPr>
                <w:color w:val="000000"/>
              </w:rPr>
            </w:pPr>
            <w:r>
              <w:rPr>
                <w:color w:val="000000"/>
              </w:rPr>
              <w:t>Управление подвижным составом</w:t>
            </w:r>
          </w:p>
        </w:tc>
        <w:tc>
          <w:tcPr>
            <w:tcW w:type="dxa" w:w="1090"/>
            <w:tcBorders>
              <w:top w:sz="4" w:val="nil"/>
              <w:left w:sz="4" w:val="nil"/>
              <w:bottom w:color="000000" w:sz="8" w:val="single"/>
              <w:right w:color="000000" w:sz="8" w:val="single"/>
            </w:tcBorders>
            <w:shd w:fill="auto" w:val="clear"/>
            <w:vAlign w:val="center"/>
          </w:tcPr>
          <w:p w14:paraId="380F0000">
            <w:pPr>
              <w:widowControl w:val="1"/>
              <w:ind w:firstLine="48"/>
              <w:contextualSpacing w:val="1"/>
              <w:jc w:val="center"/>
              <w:rPr>
                <w:color w:val="000000"/>
              </w:rPr>
            </w:pPr>
            <w:r>
              <w:rPr>
                <w:color w:val="000000"/>
              </w:rPr>
              <w:t>147 895</w:t>
            </w:r>
          </w:p>
        </w:tc>
        <w:tc>
          <w:tcPr>
            <w:tcW w:type="dxa" w:w="1069"/>
            <w:tcBorders>
              <w:top w:sz="4" w:val="nil"/>
              <w:left w:sz="4" w:val="nil"/>
              <w:bottom w:color="000000" w:sz="8" w:val="single"/>
              <w:right w:color="000000" w:sz="8" w:val="single"/>
            </w:tcBorders>
            <w:shd w:fill="auto" w:val="clear"/>
            <w:vAlign w:val="center"/>
          </w:tcPr>
          <w:p w14:paraId="390F0000">
            <w:pPr>
              <w:widowControl w:val="1"/>
              <w:ind w:firstLine="48"/>
              <w:contextualSpacing w:val="1"/>
              <w:jc w:val="center"/>
              <w:rPr>
                <w:color w:val="000000"/>
              </w:rPr>
            </w:pPr>
            <w:r>
              <w:rPr>
                <w:color w:val="000000"/>
              </w:rPr>
              <w:t>157 096</w:t>
            </w:r>
          </w:p>
        </w:tc>
        <w:tc>
          <w:tcPr>
            <w:tcW w:type="dxa" w:w="1071"/>
            <w:tcBorders>
              <w:top w:sz="4" w:val="nil"/>
              <w:left w:sz="4" w:val="nil"/>
              <w:bottom w:color="000000" w:sz="8" w:val="single"/>
              <w:right w:color="000000" w:sz="8" w:val="single"/>
            </w:tcBorders>
            <w:shd w:fill="auto" w:val="clear"/>
            <w:vAlign w:val="center"/>
          </w:tcPr>
          <w:p w14:paraId="3A0F0000">
            <w:pPr>
              <w:widowControl w:val="1"/>
              <w:ind w:firstLine="48"/>
              <w:contextualSpacing w:val="1"/>
              <w:jc w:val="center"/>
              <w:rPr>
                <w:color w:val="000000"/>
              </w:rPr>
            </w:pPr>
            <w:r>
              <w:rPr>
                <w:color w:val="000000"/>
              </w:rPr>
              <w:t>158 700</w:t>
            </w:r>
          </w:p>
        </w:tc>
        <w:tc>
          <w:tcPr>
            <w:tcW w:type="dxa" w:w="1069"/>
            <w:tcBorders>
              <w:top w:sz="4" w:val="nil"/>
              <w:left w:sz="4" w:val="nil"/>
              <w:bottom w:color="000000" w:sz="8" w:val="single"/>
              <w:right w:color="000000" w:sz="8" w:val="single"/>
            </w:tcBorders>
            <w:shd w:fill="auto" w:val="clear"/>
            <w:vAlign w:val="center"/>
          </w:tcPr>
          <w:p w14:paraId="3B0F0000">
            <w:pPr>
              <w:widowControl w:val="1"/>
              <w:ind w:firstLine="48"/>
              <w:contextualSpacing w:val="1"/>
              <w:jc w:val="center"/>
              <w:rPr>
                <w:color w:val="000000"/>
              </w:rPr>
            </w:pPr>
            <w:r>
              <w:rPr>
                <w:color w:val="000000"/>
              </w:rPr>
              <w:t>165</w:t>
            </w:r>
            <w:r>
              <w:rPr>
                <w:color w:val="000000"/>
              </w:rPr>
              <w:t xml:space="preserve"> 551</w:t>
            </w:r>
          </w:p>
        </w:tc>
        <w:tc>
          <w:tcPr>
            <w:tcW w:type="dxa" w:w="1073"/>
            <w:tcBorders>
              <w:top w:sz="4" w:val="nil"/>
              <w:left w:sz="4" w:val="nil"/>
              <w:bottom w:color="000000" w:sz="8" w:val="single"/>
              <w:right w:color="000000" w:sz="8" w:val="single"/>
            </w:tcBorders>
            <w:shd w:fill="auto" w:val="clear"/>
            <w:vAlign w:val="center"/>
          </w:tcPr>
          <w:p w14:paraId="3C0F0000">
            <w:pPr>
              <w:widowControl w:val="1"/>
              <w:ind w:firstLine="48"/>
              <w:contextualSpacing w:val="1"/>
              <w:jc w:val="center"/>
              <w:rPr>
                <w:color w:val="000000"/>
              </w:rPr>
            </w:pPr>
            <w:r>
              <w:rPr>
                <w:color w:val="000000"/>
              </w:rPr>
              <w:t>105</w:t>
            </w:r>
          </w:p>
        </w:tc>
        <w:tc>
          <w:tcPr>
            <w:tcW w:type="dxa" w:w="1073"/>
            <w:tcBorders>
              <w:top w:sz="4" w:val="nil"/>
              <w:left w:sz="4" w:val="nil"/>
              <w:bottom w:color="000000" w:sz="8" w:val="single"/>
              <w:right w:color="000000" w:sz="8" w:val="single"/>
            </w:tcBorders>
            <w:shd w:fill="auto" w:val="clear"/>
            <w:vAlign w:val="center"/>
          </w:tcPr>
          <w:p w14:paraId="3D0F0000">
            <w:pPr>
              <w:widowControl w:val="1"/>
              <w:ind w:firstLine="48"/>
              <w:contextualSpacing w:val="1"/>
              <w:jc w:val="center"/>
              <w:rPr>
                <w:color w:val="000000"/>
              </w:rPr>
            </w:pPr>
            <w:r>
              <w:rPr>
                <w:color w:val="000000"/>
              </w:rPr>
              <w:t>104</w:t>
            </w:r>
          </w:p>
        </w:tc>
      </w:tr>
      <w:tr>
        <w:trPr>
          <w:trHeight w:hRule="atLeast" w:val="330"/>
        </w:trPr>
        <w:tc>
          <w:tcPr>
            <w:tcW w:type="dxa" w:w="3235"/>
            <w:tcBorders>
              <w:top w:sz="4" w:val="nil"/>
              <w:left w:color="000000" w:sz="8" w:val="single"/>
              <w:bottom w:color="000000" w:sz="8" w:val="single"/>
              <w:right w:color="000000" w:sz="8" w:val="single"/>
            </w:tcBorders>
            <w:shd w:fill="auto" w:val="clear"/>
            <w:vAlign w:val="center"/>
          </w:tcPr>
          <w:p w14:paraId="3E0F0000">
            <w:pPr>
              <w:widowControl w:val="1"/>
              <w:ind w:firstLine="48"/>
              <w:contextualSpacing w:val="1"/>
              <w:jc w:val="center"/>
              <w:rPr>
                <w:b w:val="1"/>
                <w:color w:val="000000"/>
              </w:rPr>
            </w:pPr>
            <w:r>
              <w:rPr>
                <w:b w:val="1"/>
                <w:color w:val="000000"/>
              </w:rPr>
              <w:t>ВСЕГО</w:t>
            </w:r>
          </w:p>
        </w:tc>
        <w:tc>
          <w:tcPr>
            <w:tcW w:type="dxa" w:w="1090"/>
            <w:tcBorders>
              <w:top w:sz="4" w:val="nil"/>
              <w:left w:sz="4" w:val="nil"/>
              <w:bottom w:color="000000" w:sz="8" w:val="single"/>
              <w:right w:color="000000" w:sz="8" w:val="single"/>
            </w:tcBorders>
            <w:shd w:fill="auto" w:val="clear"/>
            <w:vAlign w:val="center"/>
          </w:tcPr>
          <w:p w14:paraId="3F0F0000">
            <w:pPr>
              <w:widowControl w:val="1"/>
              <w:ind w:firstLine="48"/>
              <w:contextualSpacing w:val="1"/>
              <w:jc w:val="center"/>
              <w:rPr>
                <w:b w:val="1"/>
                <w:color w:val="000000"/>
              </w:rPr>
            </w:pPr>
            <w:r>
              <w:rPr>
                <w:b w:val="1"/>
                <w:color w:val="000000"/>
              </w:rPr>
              <w:t>444 342</w:t>
            </w:r>
          </w:p>
        </w:tc>
        <w:tc>
          <w:tcPr>
            <w:tcW w:type="dxa" w:w="1069"/>
            <w:tcBorders>
              <w:top w:sz="4" w:val="nil"/>
              <w:left w:sz="4" w:val="nil"/>
              <w:bottom w:color="000000" w:sz="8" w:val="single"/>
              <w:right w:color="000000" w:sz="8" w:val="single"/>
            </w:tcBorders>
            <w:shd w:fill="auto" w:val="clear"/>
            <w:vAlign w:val="center"/>
          </w:tcPr>
          <w:p w14:paraId="400F0000">
            <w:pPr>
              <w:widowControl w:val="1"/>
              <w:ind w:firstLine="48"/>
              <w:contextualSpacing w:val="1"/>
              <w:jc w:val="center"/>
              <w:rPr>
                <w:b w:val="1"/>
                <w:color w:val="000000"/>
              </w:rPr>
            </w:pPr>
            <w:r>
              <w:rPr>
                <w:b w:val="1"/>
                <w:color w:val="000000"/>
              </w:rPr>
              <w:t>461 766</w:t>
            </w:r>
          </w:p>
        </w:tc>
        <w:tc>
          <w:tcPr>
            <w:tcW w:type="dxa" w:w="1071"/>
            <w:tcBorders>
              <w:top w:sz="4" w:val="nil"/>
              <w:left w:sz="4" w:val="nil"/>
              <w:bottom w:color="000000" w:sz="8" w:val="single"/>
              <w:right w:color="000000" w:sz="8" w:val="single"/>
            </w:tcBorders>
            <w:shd w:fill="auto" w:val="clear"/>
            <w:vAlign w:val="center"/>
          </w:tcPr>
          <w:p w14:paraId="410F0000">
            <w:pPr>
              <w:widowControl w:val="1"/>
              <w:ind w:firstLine="48"/>
              <w:contextualSpacing w:val="1"/>
              <w:jc w:val="center"/>
              <w:rPr>
                <w:b w:val="1"/>
                <w:color w:val="000000"/>
              </w:rPr>
            </w:pPr>
            <w:r>
              <w:rPr>
                <w:b w:val="1"/>
                <w:color w:val="000000"/>
              </w:rPr>
              <w:t>466 010</w:t>
            </w:r>
          </w:p>
        </w:tc>
        <w:tc>
          <w:tcPr>
            <w:tcW w:type="dxa" w:w="1069"/>
            <w:tcBorders>
              <w:top w:sz="4" w:val="nil"/>
              <w:left w:sz="4" w:val="nil"/>
              <w:bottom w:color="000000" w:sz="8" w:val="single"/>
              <w:right w:color="000000" w:sz="8" w:val="single"/>
            </w:tcBorders>
            <w:shd w:fill="auto" w:val="clear"/>
            <w:vAlign w:val="center"/>
          </w:tcPr>
          <w:p w14:paraId="420F0000">
            <w:pPr>
              <w:widowControl w:val="1"/>
              <w:ind w:firstLine="48"/>
              <w:contextualSpacing w:val="1"/>
              <w:jc w:val="center"/>
              <w:rPr>
                <w:b w:val="1"/>
                <w:color w:val="000000"/>
              </w:rPr>
            </w:pPr>
            <w:r>
              <w:rPr>
                <w:b w:val="1"/>
                <w:color w:val="000000"/>
              </w:rPr>
              <w:t>472 160</w:t>
            </w:r>
          </w:p>
        </w:tc>
        <w:tc>
          <w:tcPr>
            <w:tcW w:type="dxa" w:w="1073"/>
            <w:tcBorders>
              <w:top w:sz="4" w:val="nil"/>
              <w:left w:sz="4" w:val="nil"/>
              <w:bottom w:color="000000" w:sz="8" w:val="single"/>
              <w:right w:color="000000" w:sz="8" w:val="single"/>
            </w:tcBorders>
            <w:shd w:fill="auto" w:val="clear"/>
            <w:vAlign w:val="center"/>
          </w:tcPr>
          <w:p w14:paraId="430F0000">
            <w:pPr>
              <w:widowControl w:val="1"/>
              <w:ind w:firstLine="48"/>
              <w:contextualSpacing w:val="1"/>
              <w:jc w:val="center"/>
              <w:rPr>
                <w:b w:val="1"/>
                <w:color w:val="000000"/>
              </w:rPr>
            </w:pPr>
            <w:r>
              <w:rPr>
                <w:b w:val="1"/>
                <w:color w:val="000000"/>
              </w:rPr>
              <w:t>102,3</w:t>
            </w:r>
          </w:p>
        </w:tc>
        <w:tc>
          <w:tcPr>
            <w:tcW w:type="dxa" w:w="1073"/>
            <w:tcBorders>
              <w:top w:sz="4" w:val="nil"/>
              <w:left w:sz="4" w:val="nil"/>
              <w:bottom w:color="000000" w:sz="8" w:val="single"/>
              <w:right w:color="000000" w:sz="8" w:val="single"/>
            </w:tcBorders>
            <w:shd w:fill="auto" w:val="clear"/>
            <w:vAlign w:val="center"/>
          </w:tcPr>
          <w:p w14:paraId="440F0000">
            <w:pPr>
              <w:widowControl w:val="1"/>
              <w:ind w:firstLine="48"/>
              <w:contextualSpacing w:val="1"/>
              <w:jc w:val="center"/>
              <w:rPr>
                <w:b w:val="1"/>
                <w:color w:val="000000"/>
              </w:rPr>
            </w:pPr>
            <w:r>
              <w:rPr>
                <w:b w:val="1"/>
                <w:color w:val="000000"/>
              </w:rPr>
              <w:t>101,3</w:t>
            </w:r>
          </w:p>
        </w:tc>
      </w:tr>
    </w:tbl>
    <w:p w14:paraId="450F0000">
      <w:pPr>
        <w:widowControl w:val="1"/>
        <w:spacing w:line="360" w:lineRule="auto"/>
        <w:ind w:firstLine="709"/>
        <w:contextualSpacing w:val="1"/>
        <w:jc w:val="both"/>
      </w:pPr>
    </w:p>
    <w:p w14:paraId="460F0000">
      <w:pPr>
        <w:widowControl w:val="1"/>
        <w:spacing w:line="360" w:lineRule="auto"/>
        <w:ind w:firstLine="709"/>
        <w:contextualSpacing w:val="1"/>
        <w:jc w:val="both"/>
        <w:rPr>
          <w:b w:val="1"/>
        </w:rPr>
      </w:pPr>
      <w:r>
        <w:rPr>
          <w:b w:val="1"/>
        </w:rPr>
        <w:t>Расходы за 201</w:t>
      </w:r>
      <w:r>
        <w:rPr>
          <w:b w:val="1"/>
        </w:rPr>
        <w:t>8</w:t>
      </w:r>
      <w:r>
        <w:rPr>
          <w:b w:val="1"/>
        </w:rPr>
        <w:t xml:space="preserve"> год по  статьям учета составили:</w:t>
      </w:r>
    </w:p>
    <w:p w14:paraId="470F0000">
      <w:pPr>
        <w:keepNext w:val="1"/>
        <w:widowControl w:val="1"/>
        <w:spacing w:line="360" w:lineRule="auto"/>
        <w:ind w:firstLine="709"/>
        <w:contextualSpacing w:val="1"/>
        <w:jc w:val="both"/>
      </w:pPr>
      <w:bookmarkStart w:id="27" w:name="OLE_LINK1"/>
      <w:r>
        <w:rPr>
          <w:b w:val="1"/>
        </w:rPr>
        <w:t>фонд оплаты труда</w:t>
      </w:r>
      <w:r>
        <w:t xml:space="preserve"> составил </w:t>
      </w:r>
      <w:r>
        <w:t>144 917</w:t>
      </w:r>
      <w:r>
        <w:t xml:space="preserve"> тыс. руб. или </w:t>
      </w:r>
      <w:r>
        <w:t>103,8% к плану</w:t>
      </w:r>
      <w:r>
        <w:t xml:space="preserve">. </w:t>
      </w:r>
      <w:bookmarkEnd w:id="27"/>
    </w:p>
    <w:p w14:paraId="480F0000">
      <w:pPr>
        <w:widowControl w:val="1"/>
        <w:spacing w:line="360" w:lineRule="auto"/>
        <w:ind w:firstLine="709"/>
        <w:contextualSpacing w:val="1"/>
        <w:jc w:val="both"/>
      </w:pPr>
      <w:r>
        <w:t xml:space="preserve">Среднесписочная численность  Общества на 31.12.2018 года составляет – 324,7 человек, что составляет 100% к плану, 99,5 % к уровню прошлого года, в том числе среднесписочная численность производственного персонала 293,85 человек, 100,2% к плану,  среднесписочная численность управленческого персонала 30,85 человек, 98% к плану. </w:t>
      </w:r>
    </w:p>
    <w:p w14:paraId="490F0000">
      <w:pPr>
        <w:pStyle w:val="Style_15"/>
        <w:widowControl w:val="1"/>
        <w:spacing w:line="360" w:lineRule="auto"/>
        <w:ind w:firstLine="709" w:left="0"/>
        <w:jc w:val="both"/>
        <w:rPr>
          <w:rFonts w:ascii="Times New Roman" w:hAnsi="Times New Roman"/>
          <w:sz w:val="24"/>
        </w:rPr>
      </w:pPr>
      <w:r>
        <w:rPr>
          <w:rFonts w:ascii="Times New Roman" w:hAnsi="Times New Roman"/>
          <w:b w:val="1"/>
          <w:sz w:val="24"/>
        </w:rPr>
        <w:t>страховые</w:t>
      </w:r>
      <w:r>
        <w:rPr>
          <w:rFonts w:ascii="Times New Roman" w:hAnsi="Times New Roman"/>
          <w:b w:val="1"/>
          <w:sz w:val="24"/>
        </w:rPr>
        <w:t xml:space="preserve"> взносы </w:t>
      </w:r>
      <w:r>
        <w:rPr>
          <w:rFonts w:ascii="Times New Roman" w:hAnsi="Times New Roman"/>
          <w:sz w:val="24"/>
        </w:rPr>
        <w:t>42 785</w:t>
      </w:r>
      <w:r>
        <w:rPr>
          <w:rFonts w:ascii="Times New Roman" w:hAnsi="Times New Roman"/>
          <w:sz w:val="24"/>
        </w:rPr>
        <w:t xml:space="preserve"> тыс. руб. – 106,2% к плану, 110,9% к уровню прошлого года. Рост расходов пропорционален увеличению расходов на оплату труда</w:t>
      </w:r>
      <w:r>
        <w:rPr>
          <w:rFonts w:ascii="Times New Roman" w:hAnsi="Times New Roman"/>
          <w:sz w:val="24"/>
        </w:rPr>
        <w:t>.</w:t>
      </w:r>
    </w:p>
    <w:p w14:paraId="4A0F0000">
      <w:pPr>
        <w:pStyle w:val="Style_15"/>
        <w:widowControl w:val="1"/>
        <w:spacing w:line="360" w:lineRule="auto"/>
        <w:ind w:firstLine="709" w:left="0"/>
        <w:jc w:val="both"/>
        <w:rPr>
          <w:rFonts w:ascii="Times New Roman" w:hAnsi="Times New Roman"/>
          <w:sz w:val="24"/>
        </w:rPr>
      </w:pPr>
      <w:r>
        <w:rPr>
          <w:rFonts w:ascii="Times New Roman" w:hAnsi="Times New Roman"/>
          <w:b w:val="1"/>
          <w:sz w:val="24"/>
        </w:rPr>
        <w:t>материалы</w:t>
      </w:r>
      <w:r>
        <w:rPr>
          <w:rFonts w:ascii="Times New Roman" w:hAnsi="Times New Roman"/>
          <w:sz w:val="24"/>
        </w:rPr>
        <w:t xml:space="preserve"> –  </w:t>
      </w:r>
      <w:r>
        <w:rPr>
          <w:rFonts w:ascii="Times New Roman" w:hAnsi="Times New Roman"/>
          <w:sz w:val="24"/>
        </w:rPr>
        <w:t xml:space="preserve">7 490 тыс. руб., 121,6% к плану, 96,1 % к уровню прошлого года (в 2017 году была приобретена </w:t>
      </w:r>
      <w:r>
        <w:rPr>
          <w:rFonts w:ascii="Times New Roman" w:hAnsi="Times New Roman"/>
          <w:color w:val="000000"/>
          <w:sz w:val="24"/>
        </w:rPr>
        <w:t>кассовая  техника, в соответствии с федеральным законом № 54-ФЗ)</w:t>
      </w:r>
      <w:r>
        <w:rPr>
          <w:rFonts w:ascii="Times New Roman" w:hAnsi="Times New Roman"/>
          <w:sz w:val="24"/>
        </w:rPr>
        <w:t>.</w:t>
      </w:r>
    </w:p>
    <w:p w14:paraId="4B0F0000">
      <w:pPr>
        <w:pStyle w:val="Style_15"/>
        <w:widowControl w:val="1"/>
        <w:numPr>
          <w:ilvl w:val="0"/>
          <w:numId w:val="21"/>
        </w:numPr>
        <w:tabs>
          <w:tab w:leader="none" w:pos="1134" w:val="left"/>
          <w:tab w:leader="none" w:pos="1429" w:val="clear"/>
        </w:tabs>
        <w:spacing w:line="360" w:lineRule="auto"/>
        <w:ind w:firstLine="709" w:left="0"/>
        <w:jc w:val="both"/>
        <w:rPr>
          <w:rFonts w:ascii="Times New Roman" w:hAnsi="Times New Roman"/>
          <w:sz w:val="24"/>
        </w:rPr>
      </w:pPr>
      <w:r>
        <w:rPr>
          <w:rFonts w:ascii="Times New Roman" w:hAnsi="Times New Roman"/>
          <w:sz w:val="24"/>
        </w:rPr>
        <w:t xml:space="preserve">бланки строгой отчетности, плакаты в электропоезда на самоклеющейся пленке – 329 тыс. </w:t>
      </w:r>
      <w:r>
        <w:rPr>
          <w:rFonts w:ascii="Times New Roman" w:hAnsi="Times New Roman"/>
          <w:sz w:val="24"/>
        </w:rPr>
        <w:t>руб.;</w:t>
      </w:r>
    </w:p>
    <w:p w14:paraId="4C0F0000">
      <w:pPr>
        <w:pStyle w:val="Style_15"/>
        <w:widowControl w:val="1"/>
        <w:numPr>
          <w:ilvl w:val="0"/>
          <w:numId w:val="21"/>
        </w:numPr>
        <w:tabs>
          <w:tab w:leader="none" w:pos="1134" w:val="left"/>
          <w:tab w:leader="none" w:pos="1429" w:val="clear"/>
        </w:tabs>
        <w:spacing w:line="360" w:lineRule="auto"/>
        <w:ind w:firstLine="709" w:left="0"/>
        <w:jc w:val="both"/>
        <w:rPr>
          <w:rFonts w:ascii="Times New Roman" w:hAnsi="Times New Roman"/>
          <w:sz w:val="24"/>
        </w:rPr>
      </w:pPr>
      <w:r>
        <w:rPr>
          <w:rFonts w:ascii="Times New Roman" w:hAnsi="Times New Roman"/>
          <w:sz w:val="24"/>
        </w:rPr>
        <w:t>чековая лента –  496 тыс. руб.;</w:t>
      </w:r>
    </w:p>
    <w:p w14:paraId="4D0F0000">
      <w:pPr>
        <w:pStyle w:val="Style_15"/>
        <w:widowControl w:val="1"/>
        <w:numPr>
          <w:ilvl w:val="0"/>
          <w:numId w:val="21"/>
        </w:numPr>
        <w:tabs>
          <w:tab w:leader="none" w:pos="1134" w:val="left"/>
          <w:tab w:leader="none" w:pos="1429" w:val="clear"/>
        </w:tabs>
        <w:spacing w:line="360" w:lineRule="auto"/>
        <w:ind w:firstLine="709" w:left="0"/>
        <w:jc w:val="both"/>
        <w:rPr>
          <w:rFonts w:ascii="Times New Roman" w:hAnsi="Times New Roman"/>
          <w:sz w:val="24"/>
        </w:rPr>
      </w:pPr>
      <w:r>
        <w:rPr>
          <w:rFonts w:ascii="Times New Roman" w:hAnsi="Times New Roman"/>
          <w:sz w:val="24"/>
        </w:rPr>
        <w:t>форменная одежда, спецодежда –  1 525 тыс. руб.;</w:t>
      </w:r>
    </w:p>
    <w:p w14:paraId="4E0F0000">
      <w:pPr>
        <w:pStyle w:val="Style_15"/>
        <w:widowControl w:val="1"/>
        <w:numPr>
          <w:ilvl w:val="0"/>
          <w:numId w:val="21"/>
        </w:numPr>
        <w:tabs>
          <w:tab w:leader="none" w:pos="1134" w:val="left"/>
          <w:tab w:leader="none" w:pos="1429" w:val="clear"/>
        </w:tabs>
        <w:spacing w:line="360" w:lineRule="auto"/>
        <w:ind w:firstLine="709" w:left="0"/>
        <w:jc w:val="both"/>
        <w:rPr>
          <w:rFonts w:ascii="Times New Roman" w:hAnsi="Times New Roman"/>
          <w:sz w:val="24"/>
        </w:rPr>
      </w:pPr>
      <w:r>
        <w:rPr>
          <w:rFonts w:ascii="Times New Roman" w:hAnsi="Times New Roman"/>
          <w:sz w:val="24"/>
        </w:rPr>
        <w:t>оргтехника, картриджи  и расходные материалы –  1 297  тыс. руб.;</w:t>
      </w:r>
    </w:p>
    <w:p w14:paraId="4F0F0000">
      <w:pPr>
        <w:pStyle w:val="Style_15"/>
        <w:widowControl w:val="1"/>
        <w:numPr>
          <w:ilvl w:val="0"/>
          <w:numId w:val="21"/>
        </w:numPr>
        <w:tabs>
          <w:tab w:leader="none" w:pos="1134" w:val="left"/>
          <w:tab w:leader="none" w:pos="1429" w:val="clear"/>
        </w:tabs>
        <w:spacing w:line="360" w:lineRule="auto"/>
        <w:ind w:firstLine="709" w:left="0"/>
        <w:jc w:val="both"/>
        <w:rPr>
          <w:rFonts w:ascii="Times New Roman" w:hAnsi="Times New Roman"/>
          <w:sz w:val="24"/>
        </w:rPr>
      </w:pPr>
      <w:r>
        <w:rPr>
          <w:rFonts w:ascii="Times New Roman" w:hAnsi="Times New Roman"/>
          <w:sz w:val="24"/>
        </w:rPr>
        <w:t>фискальные регистраторы – 1 081 тыс.руб.;</w:t>
      </w:r>
    </w:p>
    <w:p w14:paraId="500F0000">
      <w:pPr>
        <w:pStyle w:val="Style_15"/>
        <w:widowControl w:val="1"/>
        <w:numPr>
          <w:ilvl w:val="0"/>
          <w:numId w:val="21"/>
        </w:numPr>
        <w:tabs>
          <w:tab w:leader="none" w:pos="1134" w:val="left"/>
          <w:tab w:leader="none" w:pos="1429" w:val="clear"/>
        </w:tabs>
        <w:spacing w:line="360" w:lineRule="auto"/>
        <w:ind w:firstLine="709" w:left="0"/>
        <w:jc w:val="both"/>
        <w:rPr>
          <w:rFonts w:ascii="Times New Roman" w:hAnsi="Times New Roman"/>
          <w:sz w:val="24"/>
        </w:rPr>
      </w:pPr>
      <w:r>
        <w:rPr>
          <w:rFonts w:ascii="Times New Roman" w:hAnsi="Times New Roman"/>
          <w:sz w:val="24"/>
        </w:rPr>
        <w:t xml:space="preserve">материалы для осуществления финансово-хозяйственной деятельности – 916 тыс. руб.; </w:t>
      </w:r>
    </w:p>
    <w:p w14:paraId="510F0000">
      <w:pPr>
        <w:pStyle w:val="Style_15"/>
        <w:widowControl w:val="1"/>
        <w:numPr>
          <w:ilvl w:val="0"/>
          <w:numId w:val="21"/>
        </w:numPr>
        <w:tabs>
          <w:tab w:leader="none" w:pos="1134" w:val="left"/>
          <w:tab w:leader="none" w:pos="1429" w:val="clear"/>
        </w:tabs>
        <w:spacing w:line="360" w:lineRule="auto"/>
        <w:ind w:firstLine="709" w:left="0"/>
        <w:jc w:val="both"/>
        <w:rPr>
          <w:rFonts w:ascii="Times New Roman" w:hAnsi="Times New Roman"/>
          <w:sz w:val="24"/>
        </w:rPr>
      </w:pPr>
      <w:r>
        <w:rPr>
          <w:rFonts w:ascii="Times New Roman" w:hAnsi="Times New Roman"/>
          <w:sz w:val="24"/>
        </w:rPr>
        <w:t>материалы для мойки и экипировки вагонов – 560 тыс. руб.;</w:t>
      </w:r>
    </w:p>
    <w:p w14:paraId="520F0000">
      <w:pPr>
        <w:pStyle w:val="Style_15"/>
        <w:widowControl w:val="1"/>
        <w:numPr>
          <w:ilvl w:val="0"/>
          <w:numId w:val="21"/>
        </w:numPr>
        <w:tabs>
          <w:tab w:leader="none" w:pos="1134" w:val="left"/>
          <w:tab w:leader="none" w:pos="1429" w:val="clear"/>
        </w:tabs>
        <w:spacing w:line="360" w:lineRule="auto"/>
        <w:ind w:firstLine="709" w:left="0"/>
        <w:jc w:val="both"/>
        <w:rPr>
          <w:rFonts w:ascii="Times New Roman" w:hAnsi="Times New Roman"/>
          <w:sz w:val="24"/>
        </w:rPr>
      </w:pPr>
      <w:r>
        <w:rPr>
          <w:rFonts w:ascii="Times New Roman" w:hAnsi="Times New Roman"/>
          <w:sz w:val="24"/>
        </w:rPr>
        <w:t>канцелярские принадлежности – 433 тыс.руб.;</w:t>
      </w:r>
    </w:p>
    <w:p w14:paraId="530F0000">
      <w:pPr>
        <w:pStyle w:val="Style_15"/>
        <w:widowControl w:val="1"/>
        <w:numPr>
          <w:ilvl w:val="0"/>
          <w:numId w:val="21"/>
        </w:numPr>
        <w:tabs>
          <w:tab w:leader="none" w:pos="1134" w:val="left"/>
          <w:tab w:leader="none" w:pos="1429" w:val="clear"/>
        </w:tabs>
        <w:spacing w:line="360" w:lineRule="auto"/>
        <w:ind w:firstLine="709" w:left="0"/>
        <w:jc w:val="both"/>
        <w:rPr>
          <w:rFonts w:ascii="Times New Roman" w:hAnsi="Times New Roman"/>
          <w:sz w:val="24"/>
        </w:rPr>
      </w:pPr>
      <w:r>
        <w:rPr>
          <w:rFonts w:ascii="Times New Roman" w:hAnsi="Times New Roman"/>
          <w:sz w:val="24"/>
        </w:rPr>
        <w:t>мебель на производственные участки (столы, стулья)- 473 тыс.руб.;</w:t>
      </w:r>
    </w:p>
    <w:p w14:paraId="540F0000">
      <w:pPr>
        <w:pStyle w:val="Style_15"/>
        <w:widowControl w:val="1"/>
        <w:numPr>
          <w:ilvl w:val="0"/>
          <w:numId w:val="21"/>
        </w:numPr>
        <w:tabs>
          <w:tab w:leader="none" w:pos="1134" w:val="left"/>
          <w:tab w:leader="none" w:pos="1429" w:val="clear"/>
        </w:tabs>
        <w:spacing w:line="360" w:lineRule="auto"/>
        <w:ind w:firstLine="709" w:left="0"/>
        <w:jc w:val="both"/>
        <w:rPr>
          <w:rFonts w:ascii="Times New Roman" w:hAnsi="Times New Roman"/>
          <w:sz w:val="24"/>
        </w:rPr>
      </w:pPr>
      <w:r>
        <w:rPr>
          <w:rFonts w:ascii="Times New Roman" w:hAnsi="Times New Roman"/>
          <w:sz w:val="24"/>
        </w:rPr>
        <w:t>материалы (производственная санитария и охрана труда) - 380 тыс.руб.</w:t>
      </w:r>
    </w:p>
    <w:p w14:paraId="550F0000">
      <w:pPr>
        <w:widowControl w:val="1"/>
        <w:tabs>
          <w:tab w:leader="none" w:pos="426" w:val="left"/>
          <w:tab w:leader="none" w:pos="709" w:val="left"/>
        </w:tabs>
        <w:spacing w:line="360" w:lineRule="auto"/>
        <w:ind w:firstLine="709"/>
        <w:contextualSpacing w:val="1"/>
        <w:jc w:val="both"/>
      </w:pPr>
      <w:r>
        <w:t xml:space="preserve"> </w:t>
      </w:r>
      <w:r>
        <w:t>Рост расходов по статье материалы  к плану на 1 329 тыс.руб. обусловлен следующими причинами:</w:t>
      </w:r>
    </w:p>
    <w:p w14:paraId="560F0000">
      <w:pPr>
        <w:pStyle w:val="Style_15"/>
        <w:widowControl w:val="1"/>
        <w:numPr>
          <w:ilvl w:val="0"/>
          <w:numId w:val="22"/>
        </w:numPr>
        <w:tabs>
          <w:tab w:leader="none" w:pos="720" w:val="clear"/>
          <w:tab w:leader="none" w:pos="1134" w:val="left"/>
        </w:tabs>
        <w:spacing w:line="360" w:lineRule="auto"/>
        <w:ind w:firstLine="709" w:left="0"/>
        <w:jc w:val="both"/>
        <w:rPr>
          <w:rFonts w:ascii="Times New Roman" w:hAnsi="Times New Roman"/>
          <w:sz w:val="24"/>
        </w:rPr>
      </w:pPr>
      <w:r>
        <w:rPr>
          <w:rFonts w:ascii="Times New Roman" w:hAnsi="Times New Roman"/>
          <w:sz w:val="24"/>
        </w:rPr>
        <w:t xml:space="preserve"> В бухгалтерском учете Общества на счетах 20, 25, 26 по статье «Прочие расходы» учитываются расходы на материалы, списываемые со счета 10 для канцелярских расходов, производственной санитарии и охране труда, расходов на рекламу, а по статье «Прочие материальные расходы» - материалы со счета 10 на прочие мелкие нужды. Фактические расходы за 2017 год сформированы в аналогичном порядке. </w:t>
      </w:r>
    </w:p>
    <w:p w14:paraId="570F0000">
      <w:pPr>
        <w:pStyle w:val="Style_15"/>
        <w:widowControl w:val="1"/>
        <w:numPr>
          <w:ilvl w:val="0"/>
          <w:numId w:val="22"/>
        </w:numPr>
        <w:tabs>
          <w:tab w:leader="none" w:pos="720" w:val="clear"/>
          <w:tab w:leader="none" w:pos="1134" w:val="left"/>
        </w:tabs>
        <w:spacing w:line="360" w:lineRule="auto"/>
        <w:ind w:firstLine="709" w:left="0"/>
        <w:jc w:val="both"/>
        <w:rPr>
          <w:rFonts w:ascii="Times New Roman" w:hAnsi="Times New Roman"/>
          <w:sz w:val="24"/>
        </w:rPr>
      </w:pPr>
      <w:r>
        <w:rPr>
          <w:rFonts w:ascii="Times New Roman" w:hAnsi="Times New Roman"/>
          <w:sz w:val="24"/>
        </w:rPr>
        <w:t xml:space="preserve">В целях приведения в соответствие фактических расходов за 2018 год к порядку формирования по статям, предусмотренному  Альбомом бюджетных  форм Отчета об исполнении бюджета, фактические расходы за 2018 год сформированы следующим образом: </w:t>
      </w:r>
    </w:p>
    <w:p w14:paraId="580F0000">
      <w:pPr>
        <w:pStyle w:val="Style_15"/>
        <w:widowControl w:val="1"/>
        <w:numPr>
          <w:ilvl w:val="0"/>
          <w:numId w:val="22"/>
        </w:numPr>
        <w:tabs>
          <w:tab w:leader="none" w:pos="720" w:val="clear"/>
          <w:tab w:leader="none" w:pos="1134" w:val="left"/>
        </w:tabs>
        <w:spacing w:line="360" w:lineRule="auto"/>
        <w:ind w:firstLine="709" w:left="0"/>
        <w:jc w:val="both"/>
        <w:rPr>
          <w:rFonts w:ascii="Times New Roman" w:hAnsi="Times New Roman"/>
          <w:sz w:val="24"/>
        </w:rPr>
      </w:pPr>
      <w:r>
        <w:rPr>
          <w:rFonts w:ascii="Times New Roman" w:hAnsi="Times New Roman"/>
          <w:sz w:val="24"/>
        </w:rPr>
        <w:t>- по статье «Материалы» - все расходы, списываемые со счета 10 на счета 20, 25, 26, включая материалы для канцелярских расходов, производственной санитарии и охране труда, расходов на рекламу и материалов на прочие мелкие нужды;</w:t>
      </w:r>
    </w:p>
    <w:p w14:paraId="590F0000">
      <w:pPr>
        <w:pStyle w:val="Style_15"/>
        <w:widowControl w:val="1"/>
        <w:numPr>
          <w:ilvl w:val="0"/>
          <w:numId w:val="22"/>
        </w:numPr>
        <w:tabs>
          <w:tab w:leader="none" w:pos="720" w:val="clear"/>
          <w:tab w:leader="none" w:pos="1134" w:val="left"/>
        </w:tabs>
        <w:spacing w:line="360" w:lineRule="auto"/>
        <w:ind w:firstLine="709" w:left="0"/>
        <w:jc w:val="both"/>
        <w:rPr>
          <w:rFonts w:ascii="Times New Roman" w:hAnsi="Times New Roman"/>
          <w:sz w:val="24"/>
        </w:rPr>
      </w:pPr>
      <w:r>
        <w:rPr>
          <w:rFonts w:ascii="Times New Roman" w:hAnsi="Times New Roman"/>
          <w:sz w:val="24"/>
        </w:rPr>
        <w:t>-по статье  «Прочие расходы»  - канцелярские расходы, расходы на производственную санитарию и охрану труда, расходы на рекламу, за исключением  материалов, используемых для данных нужд;</w:t>
      </w:r>
    </w:p>
    <w:p w14:paraId="5A0F0000">
      <w:pPr>
        <w:pStyle w:val="Style_15"/>
        <w:widowControl w:val="1"/>
        <w:numPr>
          <w:ilvl w:val="0"/>
          <w:numId w:val="22"/>
        </w:numPr>
        <w:tabs>
          <w:tab w:leader="none" w:pos="720" w:val="clear"/>
          <w:tab w:leader="none" w:pos="1134" w:val="left"/>
        </w:tabs>
        <w:spacing w:line="360" w:lineRule="auto"/>
        <w:ind w:firstLine="709" w:left="0"/>
        <w:jc w:val="both"/>
        <w:rPr>
          <w:rFonts w:ascii="Times New Roman" w:hAnsi="Times New Roman"/>
          <w:sz w:val="24"/>
        </w:rPr>
      </w:pPr>
      <w:r>
        <w:rPr>
          <w:rFonts w:ascii="Times New Roman" w:hAnsi="Times New Roman"/>
          <w:sz w:val="24"/>
        </w:rPr>
        <w:t>- по статье «Прочие материальные расходы» - за исключением материалов на прочие мелкие нужды.</w:t>
      </w:r>
    </w:p>
    <w:p w14:paraId="5B0F0000">
      <w:pPr>
        <w:widowControl w:val="1"/>
        <w:tabs>
          <w:tab w:leader="none" w:pos="1680" w:val="left"/>
        </w:tabs>
        <w:spacing w:line="360" w:lineRule="auto"/>
        <w:ind w:left="720"/>
        <w:contextualSpacing w:val="1"/>
        <w:jc w:val="right"/>
        <w:rPr>
          <w:b w:val="1"/>
        </w:rPr>
      </w:pPr>
      <w:r>
        <w:rPr>
          <w:b w:val="1"/>
        </w:rPr>
        <w:t>Таблица 5.22</w:t>
      </w:r>
    </w:p>
    <w:p w14:paraId="5C0F0000">
      <w:pPr>
        <w:widowControl w:val="1"/>
        <w:tabs>
          <w:tab w:leader="none" w:pos="1680" w:val="left"/>
        </w:tabs>
        <w:spacing w:line="360" w:lineRule="auto"/>
        <w:ind w:left="720"/>
        <w:contextualSpacing w:val="1"/>
        <w:jc w:val="center"/>
        <w:rPr>
          <w:b w:val="1"/>
        </w:rPr>
      </w:pPr>
      <w:r>
        <w:rPr>
          <w:b w:val="1"/>
        </w:rPr>
        <w:t xml:space="preserve">Перераспределение расходов между статьями </w:t>
      </w:r>
    </w:p>
    <w:tbl>
      <w:tblPr>
        <w:tblStyle w:val="Style_4"/>
        <w:tblW w:type="auto" w:w="0"/>
        <w:tblLayout w:type="fixed"/>
      </w:tblPr>
      <w:tblGrid>
        <w:gridCol w:w="3059"/>
        <w:gridCol w:w="2331"/>
        <w:gridCol w:w="2055"/>
        <w:gridCol w:w="2194"/>
      </w:tblGrid>
      <w:tr>
        <w:trPr>
          <w:trHeight w:hRule="atLeast" w:val="930"/>
        </w:trPr>
        <w:tc>
          <w:tcPr>
            <w:tcW w:type="dxa" w:w="3059"/>
            <w:tcBorders>
              <w:top w:color="000000" w:sz="8" w:val="single"/>
              <w:left w:color="000000" w:sz="8" w:val="single"/>
              <w:bottom w:color="000000" w:sz="8" w:val="single"/>
              <w:right w:color="000000" w:sz="8" w:val="single"/>
            </w:tcBorders>
            <w:shd w:fill="auto" w:val="clear"/>
            <w:vAlign w:val="center"/>
          </w:tcPr>
          <w:p w14:paraId="5D0F0000">
            <w:pPr>
              <w:widowControl w:val="1"/>
              <w:ind/>
              <w:jc w:val="center"/>
              <w:rPr>
                <w:color w:val="000000"/>
              </w:rPr>
            </w:pPr>
            <w:bookmarkStart w:id="28" w:name="RANGE!A1:D17"/>
            <w:r>
              <w:rPr>
                <w:color w:val="000000"/>
              </w:rPr>
              <w:t>Наименование статьи расходов</w:t>
            </w:r>
            <w:bookmarkEnd w:id="28"/>
          </w:p>
        </w:tc>
        <w:tc>
          <w:tcPr>
            <w:tcW w:type="dxa" w:w="2331"/>
            <w:tcBorders>
              <w:top w:color="000000" w:sz="8" w:val="single"/>
              <w:left w:sz="4" w:val="nil"/>
              <w:bottom w:color="000000" w:sz="8" w:val="single"/>
              <w:right w:color="000000" w:sz="8" w:val="single"/>
            </w:tcBorders>
            <w:shd w:fill="auto" w:val="clear"/>
            <w:vAlign w:val="center"/>
          </w:tcPr>
          <w:p w14:paraId="5E0F0000">
            <w:pPr>
              <w:widowControl w:val="1"/>
              <w:ind/>
              <w:jc w:val="center"/>
              <w:rPr>
                <w:color w:val="000000"/>
              </w:rPr>
            </w:pPr>
            <w:r>
              <w:rPr>
                <w:color w:val="000000"/>
              </w:rPr>
              <w:t>Факт 2017 года, тыс.руб.</w:t>
            </w:r>
          </w:p>
        </w:tc>
        <w:tc>
          <w:tcPr>
            <w:tcW w:type="dxa" w:w="2055"/>
            <w:tcBorders>
              <w:top w:color="000000" w:sz="8" w:val="single"/>
              <w:left w:sz="4" w:val="nil"/>
              <w:bottom w:color="000000" w:sz="8" w:val="single"/>
              <w:right w:color="000000" w:sz="8" w:val="single"/>
            </w:tcBorders>
            <w:shd w:fill="auto" w:val="clear"/>
            <w:vAlign w:val="center"/>
          </w:tcPr>
          <w:p w14:paraId="5F0F0000">
            <w:pPr>
              <w:widowControl w:val="1"/>
              <w:ind/>
              <w:jc w:val="center"/>
              <w:rPr>
                <w:color w:val="000000"/>
              </w:rPr>
            </w:pPr>
            <w:r>
              <w:rPr>
                <w:color w:val="000000"/>
              </w:rPr>
              <w:t>Факт 2018, тыс.руб.</w:t>
            </w:r>
          </w:p>
        </w:tc>
        <w:tc>
          <w:tcPr>
            <w:tcW w:type="dxa" w:w="2194"/>
            <w:tcBorders>
              <w:top w:color="000000" w:sz="8" w:val="single"/>
              <w:left w:sz="4" w:val="nil"/>
              <w:bottom w:color="000000" w:sz="8" w:val="single"/>
              <w:right w:color="000000" w:sz="8" w:val="single"/>
            </w:tcBorders>
            <w:shd w:fill="auto" w:val="clear"/>
            <w:vAlign w:val="center"/>
          </w:tcPr>
          <w:p w14:paraId="600F0000">
            <w:pPr>
              <w:widowControl w:val="1"/>
              <w:ind/>
              <w:jc w:val="center"/>
              <w:rPr>
                <w:color w:val="000000"/>
              </w:rPr>
            </w:pPr>
            <w:r>
              <w:rPr>
                <w:color w:val="000000"/>
              </w:rPr>
              <w:t>Отклонение, тыс.руб.</w:t>
            </w:r>
          </w:p>
        </w:tc>
      </w:tr>
      <w:tr>
        <w:trPr>
          <w:trHeight w:hRule="atLeast" w:val="300"/>
        </w:trPr>
        <w:tc>
          <w:tcPr>
            <w:tcW w:type="dxa" w:w="3059"/>
            <w:tcBorders>
              <w:top w:sz="4" w:val="nil"/>
              <w:left w:color="000000" w:sz="8" w:val="single"/>
              <w:bottom w:sz="4" w:val="nil"/>
              <w:right w:color="000000" w:sz="8" w:val="single"/>
            </w:tcBorders>
            <w:shd w:fill="auto" w:val="clear"/>
            <w:vAlign w:val="center"/>
          </w:tcPr>
          <w:p w14:paraId="610F0000">
            <w:pPr>
              <w:rPr>
                <w:b w:val="1"/>
                <w:color w:val="000000"/>
              </w:rPr>
            </w:pPr>
            <w:r>
              <w:rPr>
                <w:b w:val="1"/>
                <w:color w:val="000000"/>
              </w:rPr>
              <w:t>«Материалы»:</w:t>
            </w:r>
          </w:p>
        </w:tc>
        <w:tc>
          <w:tcPr>
            <w:tcW w:type="dxa" w:w="2331"/>
            <w:tcBorders>
              <w:top w:sz="4" w:val="nil"/>
              <w:left w:sz="4" w:val="nil"/>
              <w:bottom w:sz="4" w:val="nil"/>
              <w:right w:color="000000" w:sz="8" w:val="single"/>
            </w:tcBorders>
            <w:shd w:fill="auto" w:val="clear"/>
          </w:tcPr>
          <w:p w14:paraId="620F0000">
            <w:pPr>
              <w:widowControl w:val="1"/>
              <w:ind/>
              <w:jc w:val="center"/>
              <w:rPr>
                <w:b w:val="1"/>
                <w:color w:val="000000"/>
              </w:rPr>
            </w:pPr>
            <w:r>
              <w:rPr>
                <w:b w:val="1"/>
                <w:color w:val="000000"/>
              </w:rPr>
              <w:t>0,0</w:t>
            </w:r>
          </w:p>
        </w:tc>
        <w:tc>
          <w:tcPr>
            <w:tcW w:type="dxa" w:w="2055"/>
            <w:tcBorders>
              <w:top w:sz="4" w:val="nil"/>
              <w:left w:sz="4" w:val="nil"/>
              <w:bottom w:sz="4" w:val="nil"/>
              <w:right w:color="000000" w:sz="8" w:val="single"/>
            </w:tcBorders>
            <w:shd w:fill="auto" w:val="clear"/>
          </w:tcPr>
          <w:p w14:paraId="630F0000">
            <w:pPr>
              <w:widowControl w:val="1"/>
              <w:ind/>
              <w:jc w:val="center"/>
              <w:rPr>
                <w:b w:val="1"/>
                <w:color w:val="000000"/>
              </w:rPr>
            </w:pPr>
            <w:r>
              <w:rPr>
                <w:b w:val="1"/>
                <w:color w:val="000000"/>
              </w:rPr>
              <w:t>1 185,9</w:t>
            </w:r>
          </w:p>
        </w:tc>
        <w:tc>
          <w:tcPr>
            <w:tcW w:type="dxa" w:w="2194"/>
            <w:tcBorders>
              <w:top w:sz="4" w:val="nil"/>
              <w:left w:sz="4" w:val="nil"/>
              <w:bottom w:sz="4" w:val="nil"/>
              <w:right w:color="000000" w:sz="8" w:val="single"/>
            </w:tcBorders>
            <w:shd w:fill="auto" w:val="clear"/>
          </w:tcPr>
          <w:p w14:paraId="640F0000">
            <w:pPr>
              <w:widowControl w:val="1"/>
              <w:ind/>
              <w:jc w:val="center"/>
              <w:rPr>
                <w:b w:val="1"/>
                <w:color w:val="000000"/>
              </w:rPr>
            </w:pPr>
            <w:r>
              <w:rPr>
                <w:b w:val="1"/>
                <w:color w:val="000000"/>
              </w:rPr>
              <w:t>1 185,9</w:t>
            </w:r>
          </w:p>
        </w:tc>
      </w:tr>
      <w:tr>
        <w:trPr>
          <w:trHeight w:hRule="atLeast" w:val="300"/>
        </w:trPr>
        <w:tc>
          <w:tcPr>
            <w:tcW w:type="dxa" w:w="3059"/>
            <w:tcBorders>
              <w:top w:sz="4" w:val="nil"/>
              <w:left w:color="000000" w:sz="8" w:val="single"/>
              <w:bottom w:sz="4" w:val="nil"/>
              <w:right w:color="000000" w:sz="8" w:val="single"/>
            </w:tcBorders>
            <w:shd w:fill="auto" w:val="clear"/>
            <w:vAlign w:val="center"/>
          </w:tcPr>
          <w:p w14:paraId="650F0000">
            <w:pPr>
              <w:rPr>
                <w:color w:val="000000"/>
              </w:rPr>
            </w:pPr>
            <w:r>
              <w:rPr>
                <w:color w:val="000000"/>
              </w:rPr>
              <w:t>- в канцелярских расходах;</w:t>
            </w:r>
          </w:p>
        </w:tc>
        <w:tc>
          <w:tcPr>
            <w:tcW w:type="dxa" w:w="2331"/>
            <w:tcBorders>
              <w:top w:sz="4" w:val="nil"/>
              <w:left w:sz="4" w:val="nil"/>
              <w:bottom w:sz="4" w:val="nil"/>
              <w:right w:color="000000" w:sz="8" w:val="single"/>
            </w:tcBorders>
            <w:shd w:fill="auto" w:val="clear"/>
          </w:tcPr>
          <w:p w14:paraId="660F0000">
            <w:pPr>
              <w:widowControl w:val="1"/>
              <w:ind/>
              <w:jc w:val="center"/>
              <w:rPr>
                <w:color w:val="000000"/>
              </w:rPr>
            </w:pPr>
            <w:r>
              <w:rPr>
                <w:color w:val="000000"/>
              </w:rPr>
              <w:t>0,0</w:t>
            </w:r>
          </w:p>
        </w:tc>
        <w:tc>
          <w:tcPr>
            <w:tcW w:type="dxa" w:w="2055"/>
            <w:tcBorders>
              <w:top w:sz="4" w:val="nil"/>
              <w:left w:sz="4" w:val="nil"/>
              <w:bottom w:sz="4" w:val="nil"/>
              <w:right w:color="000000" w:sz="8" w:val="single"/>
            </w:tcBorders>
            <w:shd w:fill="auto" w:val="clear"/>
          </w:tcPr>
          <w:p w14:paraId="670F0000">
            <w:pPr>
              <w:widowControl w:val="1"/>
              <w:ind/>
              <w:jc w:val="center"/>
              <w:rPr>
                <w:color w:val="000000"/>
              </w:rPr>
            </w:pPr>
            <w:r>
              <w:rPr>
                <w:color w:val="000000"/>
              </w:rPr>
              <w:t>432,9</w:t>
            </w:r>
          </w:p>
        </w:tc>
        <w:tc>
          <w:tcPr>
            <w:tcW w:type="dxa" w:w="2194"/>
            <w:tcBorders>
              <w:top w:sz="4" w:val="nil"/>
              <w:left w:sz="4" w:val="nil"/>
              <w:bottom w:sz="4" w:val="nil"/>
              <w:right w:color="000000" w:sz="8" w:val="single"/>
            </w:tcBorders>
            <w:shd w:fill="auto" w:val="clear"/>
          </w:tcPr>
          <w:p w14:paraId="680F0000">
            <w:pPr>
              <w:widowControl w:val="1"/>
              <w:ind/>
              <w:jc w:val="center"/>
              <w:rPr>
                <w:color w:val="000000"/>
              </w:rPr>
            </w:pPr>
            <w:r>
              <w:rPr>
                <w:color w:val="000000"/>
              </w:rPr>
              <w:t>432,9</w:t>
            </w:r>
          </w:p>
        </w:tc>
      </w:tr>
      <w:tr>
        <w:trPr>
          <w:trHeight w:hRule="atLeast" w:val="465"/>
        </w:trPr>
        <w:tc>
          <w:tcPr>
            <w:tcW w:type="dxa" w:w="3059"/>
            <w:tcBorders>
              <w:top w:sz="4" w:val="nil"/>
              <w:left w:color="000000" w:sz="8" w:val="single"/>
              <w:bottom w:sz="4" w:val="nil"/>
              <w:right w:color="000000" w:sz="8" w:val="single"/>
            </w:tcBorders>
            <w:shd w:fill="auto" w:val="clear"/>
            <w:vAlign w:val="center"/>
          </w:tcPr>
          <w:p w14:paraId="690F0000">
            <w:pPr>
              <w:rPr>
                <w:color w:val="000000"/>
              </w:rPr>
            </w:pPr>
            <w:r>
              <w:rPr>
                <w:color w:val="000000"/>
              </w:rPr>
              <w:t>- в производственной санитарии и охране труда;</w:t>
            </w:r>
          </w:p>
        </w:tc>
        <w:tc>
          <w:tcPr>
            <w:tcW w:type="dxa" w:w="2331"/>
            <w:tcBorders>
              <w:top w:sz="4" w:val="nil"/>
              <w:left w:sz="4" w:val="nil"/>
              <w:bottom w:sz="4" w:val="nil"/>
              <w:right w:color="000000" w:sz="8" w:val="single"/>
            </w:tcBorders>
            <w:shd w:fill="auto" w:val="clear"/>
          </w:tcPr>
          <w:p w14:paraId="6A0F0000">
            <w:pPr>
              <w:widowControl w:val="1"/>
              <w:ind/>
              <w:jc w:val="center"/>
              <w:rPr>
                <w:color w:val="000000"/>
              </w:rPr>
            </w:pPr>
            <w:r>
              <w:rPr>
                <w:color w:val="000000"/>
              </w:rPr>
              <w:t>0,0</w:t>
            </w:r>
          </w:p>
        </w:tc>
        <w:tc>
          <w:tcPr>
            <w:tcW w:type="dxa" w:w="2055"/>
            <w:tcBorders>
              <w:top w:sz="4" w:val="nil"/>
              <w:left w:sz="4" w:val="nil"/>
              <w:bottom w:sz="4" w:val="nil"/>
              <w:right w:color="000000" w:sz="8" w:val="single"/>
            </w:tcBorders>
            <w:shd w:fill="auto" w:val="clear"/>
          </w:tcPr>
          <w:p w14:paraId="6B0F0000">
            <w:pPr>
              <w:widowControl w:val="1"/>
              <w:ind/>
              <w:jc w:val="center"/>
              <w:rPr>
                <w:color w:val="000000"/>
              </w:rPr>
            </w:pPr>
            <w:r>
              <w:rPr>
                <w:color w:val="000000"/>
              </w:rPr>
              <w:t>379,7</w:t>
            </w:r>
          </w:p>
        </w:tc>
        <w:tc>
          <w:tcPr>
            <w:tcW w:type="dxa" w:w="2194"/>
            <w:tcBorders>
              <w:top w:sz="4" w:val="nil"/>
              <w:left w:sz="4" w:val="nil"/>
              <w:bottom w:sz="4" w:val="nil"/>
              <w:right w:color="000000" w:sz="8" w:val="single"/>
            </w:tcBorders>
            <w:shd w:fill="auto" w:val="clear"/>
          </w:tcPr>
          <w:p w14:paraId="6C0F0000">
            <w:pPr>
              <w:widowControl w:val="1"/>
              <w:ind/>
              <w:jc w:val="center"/>
              <w:rPr>
                <w:color w:val="000000"/>
              </w:rPr>
            </w:pPr>
            <w:r>
              <w:rPr>
                <w:color w:val="000000"/>
              </w:rPr>
              <w:t>379,7</w:t>
            </w:r>
          </w:p>
        </w:tc>
      </w:tr>
      <w:tr>
        <w:trPr>
          <w:trHeight w:hRule="atLeast" w:val="300"/>
        </w:trPr>
        <w:tc>
          <w:tcPr>
            <w:tcW w:type="dxa" w:w="3059"/>
            <w:tcBorders>
              <w:top w:sz="4" w:val="nil"/>
              <w:left w:color="000000" w:sz="8" w:val="single"/>
              <w:bottom w:sz="4" w:val="nil"/>
              <w:right w:color="000000" w:sz="8" w:val="single"/>
            </w:tcBorders>
            <w:shd w:fill="auto" w:val="clear"/>
            <w:vAlign w:val="center"/>
          </w:tcPr>
          <w:p w14:paraId="6D0F0000">
            <w:pPr>
              <w:rPr>
                <w:color w:val="000000"/>
              </w:rPr>
            </w:pPr>
            <w:r>
              <w:rPr>
                <w:color w:val="000000"/>
              </w:rPr>
              <w:t>- в расходах на рекламу;</w:t>
            </w:r>
          </w:p>
        </w:tc>
        <w:tc>
          <w:tcPr>
            <w:tcW w:type="dxa" w:w="2331"/>
            <w:tcBorders>
              <w:top w:sz="4" w:val="nil"/>
              <w:left w:sz="4" w:val="nil"/>
              <w:bottom w:sz="4" w:val="nil"/>
              <w:right w:color="000000" w:sz="8" w:val="single"/>
            </w:tcBorders>
            <w:shd w:fill="auto" w:val="clear"/>
          </w:tcPr>
          <w:p w14:paraId="6E0F0000">
            <w:pPr>
              <w:widowControl w:val="1"/>
              <w:ind/>
              <w:jc w:val="center"/>
              <w:rPr>
                <w:color w:val="000000"/>
              </w:rPr>
            </w:pPr>
            <w:r>
              <w:rPr>
                <w:color w:val="000000"/>
              </w:rPr>
              <w:t>0,0</w:t>
            </w:r>
          </w:p>
        </w:tc>
        <w:tc>
          <w:tcPr>
            <w:tcW w:type="dxa" w:w="2055"/>
            <w:tcBorders>
              <w:top w:sz="4" w:val="nil"/>
              <w:left w:sz="4" w:val="nil"/>
              <w:bottom w:sz="4" w:val="nil"/>
              <w:right w:color="000000" w:sz="8" w:val="single"/>
            </w:tcBorders>
            <w:shd w:fill="auto" w:val="clear"/>
          </w:tcPr>
          <w:p w14:paraId="6F0F0000">
            <w:pPr>
              <w:widowControl w:val="1"/>
              <w:ind/>
              <w:jc w:val="center"/>
              <w:rPr>
                <w:color w:val="000000"/>
              </w:rPr>
            </w:pPr>
            <w:r>
              <w:rPr>
                <w:color w:val="000000"/>
              </w:rPr>
              <w:t>173,7</w:t>
            </w:r>
          </w:p>
        </w:tc>
        <w:tc>
          <w:tcPr>
            <w:tcW w:type="dxa" w:w="2194"/>
            <w:tcBorders>
              <w:top w:sz="4" w:val="nil"/>
              <w:left w:sz="4" w:val="nil"/>
              <w:bottom w:sz="4" w:val="nil"/>
              <w:right w:color="000000" w:sz="8" w:val="single"/>
            </w:tcBorders>
            <w:shd w:fill="auto" w:val="clear"/>
          </w:tcPr>
          <w:p w14:paraId="700F0000">
            <w:pPr>
              <w:widowControl w:val="1"/>
              <w:ind/>
              <w:jc w:val="center"/>
              <w:rPr>
                <w:color w:val="000000"/>
              </w:rPr>
            </w:pPr>
            <w:r>
              <w:rPr>
                <w:color w:val="000000"/>
              </w:rPr>
              <w:t>173,7</w:t>
            </w:r>
          </w:p>
        </w:tc>
      </w:tr>
      <w:tr>
        <w:trPr>
          <w:trHeight w:hRule="atLeast" w:val="510"/>
        </w:trPr>
        <w:tc>
          <w:tcPr>
            <w:tcW w:type="dxa" w:w="3059"/>
            <w:tcBorders>
              <w:top w:sz="4" w:val="nil"/>
              <w:left w:color="000000" w:sz="8" w:val="single"/>
              <w:bottom w:sz="4" w:val="nil"/>
              <w:right w:color="000000" w:sz="8" w:val="single"/>
            </w:tcBorders>
            <w:shd w:fill="auto" w:val="clear"/>
            <w:vAlign w:val="center"/>
          </w:tcPr>
          <w:p w14:paraId="710F0000">
            <w:pPr>
              <w:rPr>
                <w:color w:val="000000"/>
              </w:rPr>
            </w:pPr>
            <w:r>
              <w:rPr>
                <w:color w:val="000000"/>
              </w:rPr>
              <w:t>- материалы на прочие нужды</w:t>
            </w:r>
          </w:p>
        </w:tc>
        <w:tc>
          <w:tcPr>
            <w:tcW w:type="dxa" w:w="2331"/>
            <w:tcBorders>
              <w:top w:sz="4" w:val="nil"/>
              <w:left w:sz="4" w:val="nil"/>
              <w:bottom w:sz="4" w:val="nil"/>
              <w:right w:color="000000" w:sz="8" w:val="single"/>
            </w:tcBorders>
            <w:shd w:fill="auto" w:val="clear"/>
          </w:tcPr>
          <w:p w14:paraId="720F0000">
            <w:pPr>
              <w:widowControl w:val="1"/>
              <w:ind/>
              <w:jc w:val="center"/>
              <w:rPr>
                <w:color w:val="000000"/>
              </w:rPr>
            </w:pPr>
            <w:r>
              <w:rPr>
                <w:color w:val="000000"/>
              </w:rPr>
              <w:t>0,0</w:t>
            </w:r>
          </w:p>
        </w:tc>
        <w:tc>
          <w:tcPr>
            <w:tcW w:type="dxa" w:w="2055"/>
            <w:tcBorders>
              <w:top w:sz="4" w:val="nil"/>
              <w:left w:sz="4" w:val="nil"/>
              <w:bottom w:sz="4" w:val="nil"/>
              <w:right w:color="000000" w:sz="8" w:val="single"/>
            </w:tcBorders>
            <w:shd w:fill="auto" w:val="clear"/>
          </w:tcPr>
          <w:p w14:paraId="730F0000">
            <w:pPr>
              <w:widowControl w:val="1"/>
              <w:ind/>
              <w:jc w:val="center"/>
              <w:rPr>
                <w:color w:val="000000"/>
              </w:rPr>
            </w:pPr>
            <w:r>
              <w:rPr>
                <w:color w:val="000000"/>
              </w:rPr>
              <w:t>199,6</w:t>
            </w:r>
          </w:p>
        </w:tc>
        <w:tc>
          <w:tcPr>
            <w:tcW w:type="dxa" w:w="2194"/>
            <w:tcBorders>
              <w:top w:sz="4" w:val="nil"/>
              <w:left w:sz="4" w:val="nil"/>
              <w:bottom w:sz="4" w:val="nil"/>
              <w:right w:color="000000" w:sz="8" w:val="single"/>
            </w:tcBorders>
            <w:shd w:fill="auto" w:val="clear"/>
          </w:tcPr>
          <w:p w14:paraId="740F0000">
            <w:pPr>
              <w:widowControl w:val="1"/>
              <w:ind/>
              <w:jc w:val="center"/>
              <w:rPr>
                <w:color w:val="000000"/>
              </w:rPr>
            </w:pPr>
            <w:r>
              <w:rPr>
                <w:color w:val="000000"/>
              </w:rPr>
              <w:t>199,6</w:t>
            </w:r>
          </w:p>
        </w:tc>
      </w:tr>
      <w:tr>
        <w:trPr>
          <w:trHeight w:hRule="atLeast" w:val="300"/>
        </w:trPr>
        <w:tc>
          <w:tcPr>
            <w:tcW w:type="dxa" w:w="3059"/>
            <w:tcBorders>
              <w:top w:sz="4" w:val="nil"/>
              <w:left w:color="000000" w:sz="8" w:val="single"/>
              <w:bottom w:sz="4" w:val="nil"/>
              <w:right w:color="000000" w:sz="8" w:val="single"/>
            </w:tcBorders>
            <w:shd w:fill="auto" w:val="clear"/>
            <w:vAlign w:val="center"/>
          </w:tcPr>
          <w:p w14:paraId="750F0000">
            <w:pPr>
              <w:rPr>
                <w:color w:val="000000"/>
              </w:rPr>
            </w:pPr>
            <w:r>
              <w:rPr>
                <w:color w:val="000000"/>
              </w:rPr>
              <w:t> </w:t>
            </w:r>
          </w:p>
        </w:tc>
        <w:tc>
          <w:tcPr>
            <w:tcW w:type="dxa" w:w="2331"/>
            <w:tcBorders>
              <w:top w:sz="4" w:val="nil"/>
              <w:left w:sz="4" w:val="nil"/>
              <w:bottom w:sz="4" w:val="nil"/>
              <w:right w:color="000000" w:sz="8" w:val="single"/>
            </w:tcBorders>
            <w:shd w:fill="auto" w:val="clear"/>
          </w:tcPr>
          <w:p w14:paraId="760F0000">
            <w:pPr>
              <w:widowControl w:val="1"/>
              <w:ind/>
              <w:jc w:val="center"/>
              <w:rPr>
                <w:color w:val="000000"/>
              </w:rPr>
            </w:pPr>
            <w:r>
              <w:rPr>
                <w:color w:val="000000"/>
              </w:rPr>
              <w:t> </w:t>
            </w:r>
          </w:p>
        </w:tc>
        <w:tc>
          <w:tcPr>
            <w:tcW w:type="dxa" w:w="2055"/>
            <w:tcBorders>
              <w:top w:sz="4" w:val="nil"/>
              <w:left w:sz="4" w:val="nil"/>
              <w:bottom w:sz="4" w:val="nil"/>
              <w:right w:color="000000" w:sz="8" w:val="single"/>
            </w:tcBorders>
            <w:shd w:fill="auto" w:val="clear"/>
          </w:tcPr>
          <w:p w14:paraId="770F0000">
            <w:pPr>
              <w:widowControl w:val="1"/>
              <w:ind/>
              <w:jc w:val="center"/>
              <w:rPr>
                <w:color w:val="000000"/>
              </w:rPr>
            </w:pPr>
            <w:r>
              <w:rPr>
                <w:color w:val="000000"/>
              </w:rPr>
              <w:t> </w:t>
            </w:r>
          </w:p>
        </w:tc>
        <w:tc>
          <w:tcPr>
            <w:tcW w:type="dxa" w:w="2194"/>
            <w:tcBorders>
              <w:top w:sz="4" w:val="nil"/>
              <w:left w:sz="4" w:val="nil"/>
              <w:bottom w:sz="4" w:val="nil"/>
              <w:right w:color="000000" w:sz="8" w:val="single"/>
            </w:tcBorders>
            <w:shd w:fill="auto" w:val="clear"/>
          </w:tcPr>
          <w:p w14:paraId="780F0000">
            <w:pPr>
              <w:widowControl w:val="1"/>
              <w:ind/>
              <w:jc w:val="center"/>
              <w:rPr>
                <w:color w:val="000000"/>
              </w:rPr>
            </w:pPr>
            <w:r>
              <w:rPr>
                <w:color w:val="000000"/>
              </w:rPr>
              <w:t> </w:t>
            </w:r>
          </w:p>
        </w:tc>
      </w:tr>
      <w:tr>
        <w:trPr>
          <w:trHeight w:hRule="atLeast" w:val="315"/>
        </w:trPr>
        <w:tc>
          <w:tcPr>
            <w:tcW w:type="dxa" w:w="3059"/>
            <w:tcBorders>
              <w:top w:sz="4" w:val="nil"/>
              <w:left w:color="000000" w:sz="8" w:val="single"/>
              <w:bottom w:color="000000" w:sz="8" w:val="single"/>
              <w:right w:color="000000" w:sz="8" w:val="single"/>
            </w:tcBorders>
            <w:shd w:fill="auto" w:val="clear"/>
            <w:vAlign w:val="center"/>
          </w:tcPr>
          <w:p w14:paraId="790F0000">
            <w:pPr>
              <w:rPr>
                <w:color w:val="000000"/>
              </w:rPr>
            </w:pPr>
            <w:r>
              <w:rPr>
                <w:color w:val="000000"/>
              </w:rPr>
              <w:t> </w:t>
            </w:r>
          </w:p>
        </w:tc>
        <w:tc>
          <w:tcPr>
            <w:tcW w:type="dxa" w:w="2331"/>
            <w:tcBorders>
              <w:top w:sz="4" w:val="nil"/>
              <w:left w:sz="4" w:val="nil"/>
              <w:bottom w:color="000000" w:sz="8" w:val="single"/>
              <w:right w:color="000000" w:sz="8" w:val="single"/>
            </w:tcBorders>
            <w:shd w:fill="auto" w:val="clear"/>
          </w:tcPr>
          <w:p w14:paraId="7A0F0000">
            <w:pPr>
              <w:widowControl w:val="1"/>
              <w:ind/>
              <w:jc w:val="center"/>
              <w:rPr>
                <w:color w:val="000000"/>
              </w:rPr>
            </w:pPr>
            <w:r>
              <w:rPr>
                <w:color w:val="000000"/>
              </w:rPr>
              <w:t> </w:t>
            </w:r>
          </w:p>
        </w:tc>
        <w:tc>
          <w:tcPr>
            <w:tcW w:type="dxa" w:w="2055"/>
            <w:tcBorders>
              <w:top w:sz="4" w:val="nil"/>
              <w:left w:sz="4" w:val="nil"/>
              <w:bottom w:color="000000" w:sz="8" w:val="single"/>
              <w:right w:color="000000" w:sz="8" w:val="single"/>
            </w:tcBorders>
            <w:shd w:fill="auto" w:val="clear"/>
          </w:tcPr>
          <w:p w14:paraId="7B0F0000">
            <w:pPr>
              <w:widowControl w:val="1"/>
              <w:ind/>
              <w:jc w:val="center"/>
              <w:rPr>
                <w:color w:val="000000"/>
              </w:rPr>
            </w:pPr>
            <w:r>
              <w:rPr>
                <w:color w:val="000000"/>
              </w:rPr>
              <w:t> </w:t>
            </w:r>
          </w:p>
        </w:tc>
        <w:tc>
          <w:tcPr>
            <w:tcW w:type="dxa" w:w="2194"/>
            <w:tcBorders>
              <w:top w:sz="4" w:val="nil"/>
              <w:left w:sz="4" w:val="nil"/>
              <w:bottom w:color="000000" w:sz="8" w:val="single"/>
              <w:right w:color="000000" w:sz="8" w:val="single"/>
            </w:tcBorders>
            <w:shd w:fill="auto" w:val="clear"/>
          </w:tcPr>
          <w:p w14:paraId="7C0F0000">
            <w:pPr>
              <w:widowControl w:val="1"/>
              <w:ind/>
              <w:jc w:val="center"/>
              <w:rPr>
                <w:color w:val="000000"/>
              </w:rPr>
            </w:pPr>
            <w:r>
              <w:rPr>
                <w:color w:val="000000"/>
              </w:rPr>
              <w:t> </w:t>
            </w:r>
          </w:p>
        </w:tc>
      </w:tr>
      <w:tr>
        <w:trPr>
          <w:trHeight w:hRule="atLeast" w:val="300"/>
        </w:trPr>
        <w:tc>
          <w:tcPr>
            <w:tcW w:type="dxa" w:w="3059"/>
            <w:tcBorders>
              <w:top w:sz="4" w:val="nil"/>
              <w:left w:color="000000" w:sz="8" w:val="single"/>
              <w:bottom w:sz="4" w:val="nil"/>
              <w:right w:sz="4" w:val="nil"/>
            </w:tcBorders>
            <w:shd w:fill="auto" w:val="clear"/>
            <w:vAlign w:val="center"/>
          </w:tcPr>
          <w:p w14:paraId="7D0F0000">
            <w:pPr>
              <w:rPr>
                <w:b w:val="1"/>
                <w:color w:val="000000"/>
              </w:rPr>
            </w:pPr>
            <w:r>
              <w:rPr>
                <w:b w:val="1"/>
                <w:color w:val="000000"/>
              </w:rPr>
              <w:t xml:space="preserve">«Прочие расходы»: </w:t>
            </w:r>
          </w:p>
        </w:tc>
        <w:tc>
          <w:tcPr>
            <w:tcW w:type="dxa" w:w="2331"/>
            <w:tcBorders>
              <w:top w:sz="4" w:val="nil"/>
              <w:left w:color="000000" w:sz="8" w:val="single"/>
              <w:bottom w:sz="4" w:val="nil"/>
              <w:right w:color="000000" w:sz="8" w:val="single"/>
            </w:tcBorders>
            <w:shd w:fill="auto" w:val="clear"/>
          </w:tcPr>
          <w:p w14:paraId="7E0F0000">
            <w:pPr>
              <w:widowControl w:val="1"/>
              <w:ind/>
              <w:jc w:val="center"/>
              <w:rPr>
                <w:b w:val="1"/>
                <w:color w:val="000000"/>
              </w:rPr>
            </w:pPr>
            <w:r>
              <w:rPr>
                <w:b w:val="1"/>
                <w:color w:val="000000"/>
              </w:rPr>
              <w:t>919,1</w:t>
            </w:r>
          </w:p>
        </w:tc>
        <w:tc>
          <w:tcPr>
            <w:tcW w:type="dxa" w:w="2055"/>
            <w:tcBorders>
              <w:top w:sz="4" w:val="nil"/>
              <w:left w:sz="4" w:val="nil"/>
              <w:bottom w:sz="4" w:val="nil"/>
              <w:right w:color="000000" w:sz="8" w:val="single"/>
            </w:tcBorders>
            <w:shd w:fill="auto" w:val="clear"/>
          </w:tcPr>
          <w:p w14:paraId="7F0F0000">
            <w:pPr>
              <w:widowControl w:val="1"/>
              <w:ind/>
              <w:jc w:val="center"/>
              <w:rPr>
                <w:b w:val="1"/>
                <w:color w:val="000000"/>
              </w:rPr>
            </w:pPr>
            <w:r>
              <w:rPr>
                <w:b w:val="1"/>
                <w:color w:val="000000"/>
              </w:rPr>
              <w:t>0,0</w:t>
            </w:r>
          </w:p>
        </w:tc>
        <w:tc>
          <w:tcPr>
            <w:tcW w:type="dxa" w:w="2194"/>
            <w:tcBorders>
              <w:top w:sz="4" w:val="nil"/>
              <w:left w:sz="4" w:val="nil"/>
              <w:bottom w:sz="4" w:val="nil"/>
              <w:right w:color="000000" w:sz="8" w:val="single"/>
            </w:tcBorders>
            <w:shd w:fill="auto" w:val="clear"/>
          </w:tcPr>
          <w:p w14:paraId="800F0000">
            <w:pPr>
              <w:widowControl w:val="1"/>
              <w:ind/>
              <w:jc w:val="center"/>
              <w:rPr>
                <w:b w:val="1"/>
                <w:color w:val="000000"/>
              </w:rPr>
            </w:pPr>
            <w:r>
              <w:rPr>
                <w:b w:val="1"/>
                <w:color w:val="000000"/>
              </w:rPr>
              <w:t>-919,1</w:t>
            </w:r>
          </w:p>
        </w:tc>
      </w:tr>
      <w:tr>
        <w:trPr>
          <w:trHeight w:hRule="atLeast" w:val="300"/>
        </w:trPr>
        <w:tc>
          <w:tcPr>
            <w:tcW w:type="dxa" w:w="3059"/>
            <w:tcBorders>
              <w:top w:sz="4" w:val="nil"/>
              <w:left w:color="000000" w:sz="8" w:val="single"/>
              <w:bottom w:sz="4" w:val="nil"/>
              <w:right w:sz="4" w:val="nil"/>
            </w:tcBorders>
            <w:shd w:fill="auto" w:val="clear"/>
            <w:vAlign w:val="center"/>
          </w:tcPr>
          <w:p w14:paraId="810F0000">
            <w:pPr>
              <w:rPr>
                <w:color w:val="000000"/>
              </w:rPr>
            </w:pPr>
            <w:r>
              <w:rPr>
                <w:color w:val="000000"/>
              </w:rPr>
              <w:t>- в канцелярских расходах;</w:t>
            </w:r>
          </w:p>
        </w:tc>
        <w:tc>
          <w:tcPr>
            <w:tcW w:type="dxa" w:w="2331"/>
            <w:tcBorders>
              <w:top w:sz="4" w:val="nil"/>
              <w:left w:color="000000" w:sz="8" w:val="single"/>
              <w:bottom w:sz="4" w:val="nil"/>
              <w:right w:color="000000" w:sz="8" w:val="single"/>
            </w:tcBorders>
            <w:shd w:fill="auto" w:val="clear"/>
          </w:tcPr>
          <w:p w14:paraId="820F0000">
            <w:pPr>
              <w:widowControl w:val="1"/>
              <w:ind/>
              <w:jc w:val="center"/>
              <w:rPr>
                <w:color w:val="000000"/>
              </w:rPr>
            </w:pPr>
            <w:r>
              <w:rPr>
                <w:color w:val="000000"/>
              </w:rPr>
              <w:t>413,2</w:t>
            </w:r>
          </w:p>
        </w:tc>
        <w:tc>
          <w:tcPr>
            <w:tcW w:type="dxa" w:w="2055"/>
            <w:tcBorders>
              <w:top w:sz="4" w:val="nil"/>
              <w:left w:sz="4" w:val="nil"/>
              <w:bottom w:sz="4" w:val="nil"/>
              <w:right w:color="000000" w:sz="8" w:val="single"/>
            </w:tcBorders>
            <w:shd w:fill="auto" w:val="clear"/>
          </w:tcPr>
          <w:p w14:paraId="830F0000">
            <w:pPr>
              <w:widowControl w:val="1"/>
              <w:ind/>
              <w:jc w:val="center"/>
              <w:rPr>
                <w:color w:val="000000"/>
              </w:rPr>
            </w:pPr>
            <w:r>
              <w:rPr>
                <w:color w:val="000000"/>
              </w:rPr>
              <w:t>0,0</w:t>
            </w:r>
          </w:p>
        </w:tc>
        <w:tc>
          <w:tcPr>
            <w:tcW w:type="dxa" w:w="2194"/>
            <w:tcBorders>
              <w:top w:sz="4" w:val="nil"/>
              <w:left w:sz="4" w:val="nil"/>
              <w:bottom w:sz="4" w:val="nil"/>
              <w:right w:color="000000" w:sz="8" w:val="single"/>
            </w:tcBorders>
            <w:shd w:fill="auto" w:val="clear"/>
          </w:tcPr>
          <w:p w14:paraId="840F0000">
            <w:pPr>
              <w:widowControl w:val="1"/>
              <w:ind/>
              <w:jc w:val="center"/>
              <w:rPr>
                <w:color w:val="000000"/>
              </w:rPr>
            </w:pPr>
            <w:r>
              <w:rPr>
                <w:color w:val="000000"/>
              </w:rPr>
              <w:t>-413,2</w:t>
            </w:r>
          </w:p>
        </w:tc>
      </w:tr>
      <w:tr>
        <w:trPr>
          <w:trHeight w:hRule="atLeast" w:val="390"/>
        </w:trPr>
        <w:tc>
          <w:tcPr>
            <w:tcW w:type="dxa" w:w="3059"/>
            <w:tcBorders>
              <w:top w:sz="4" w:val="nil"/>
              <w:left w:color="000000" w:sz="8" w:val="single"/>
              <w:bottom w:sz="4" w:val="nil"/>
              <w:right w:sz="4" w:val="nil"/>
            </w:tcBorders>
            <w:shd w:fill="auto" w:val="clear"/>
            <w:vAlign w:val="center"/>
          </w:tcPr>
          <w:p w14:paraId="850F0000">
            <w:pPr>
              <w:rPr>
                <w:color w:val="000000"/>
              </w:rPr>
            </w:pPr>
            <w:r>
              <w:rPr>
                <w:color w:val="000000"/>
              </w:rPr>
              <w:t>- в производственной санитарии и охране труда;</w:t>
            </w:r>
          </w:p>
        </w:tc>
        <w:tc>
          <w:tcPr>
            <w:tcW w:type="dxa" w:w="2331"/>
            <w:tcBorders>
              <w:top w:sz="4" w:val="nil"/>
              <w:left w:color="000000" w:sz="8" w:val="single"/>
              <w:bottom w:sz="4" w:val="nil"/>
              <w:right w:color="000000" w:sz="8" w:val="single"/>
            </w:tcBorders>
            <w:shd w:fill="auto" w:val="clear"/>
          </w:tcPr>
          <w:p w14:paraId="860F0000">
            <w:pPr>
              <w:widowControl w:val="1"/>
              <w:ind/>
              <w:jc w:val="center"/>
              <w:rPr>
                <w:color w:val="000000"/>
              </w:rPr>
            </w:pPr>
            <w:r>
              <w:rPr>
                <w:color w:val="000000"/>
              </w:rPr>
              <w:t>323,8</w:t>
            </w:r>
          </w:p>
        </w:tc>
        <w:tc>
          <w:tcPr>
            <w:tcW w:type="dxa" w:w="2055"/>
            <w:tcBorders>
              <w:top w:sz="4" w:val="nil"/>
              <w:left w:sz="4" w:val="nil"/>
              <w:bottom w:sz="4" w:val="nil"/>
              <w:right w:color="000000" w:sz="8" w:val="single"/>
            </w:tcBorders>
            <w:shd w:fill="auto" w:val="clear"/>
          </w:tcPr>
          <w:p w14:paraId="870F0000">
            <w:pPr>
              <w:widowControl w:val="1"/>
              <w:ind/>
              <w:jc w:val="center"/>
              <w:rPr>
                <w:color w:val="000000"/>
              </w:rPr>
            </w:pPr>
            <w:r>
              <w:rPr>
                <w:color w:val="000000"/>
              </w:rPr>
              <w:t>0,0</w:t>
            </w:r>
          </w:p>
        </w:tc>
        <w:tc>
          <w:tcPr>
            <w:tcW w:type="dxa" w:w="2194"/>
            <w:tcBorders>
              <w:top w:sz="4" w:val="nil"/>
              <w:left w:sz="4" w:val="nil"/>
              <w:bottom w:sz="4" w:val="nil"/>
              <w:right w:color="000000" w:sz="8" w:val="single"/>
            </w:tcBorders>
            <w:shd w:fill="auto" w:val="clear"/>
          </w:tcPr>
          <w:p w14:paraId="880F0000">
            <w:pPr>
              <w:widowControl w:val="1"/>
              <w:ind/>
              <w:jc w:val="center"/>
              <w:rPr>
                <w:color w:val="000000"/>
              </w:rPr>
            </w:pPr>
            <w:r>
              <w:rPr>
                <w:color w:val="000000"/>
              </w:rPr>
              <w:t>-323,8</w:t>
            </w:r>
          </w:p>
        </w:tc>
      </w:tr>
      <w:tr>
        <w:trPr>
          <w:trHeight w:hRule="atLeast" w:val="300"/>
        </w:trPr>
        <w:tc>
          <w:tcPr>
            <w:tcW w:type="dxa" w:w="3059"/>
            <w:tcBorders>
              <w:top w:sz="4" w:val="nil"/>
              <w:left w:color="000000" w:sz="8" w:val="single"/>
              <w:bottom w:sz="4" w:val="nil"/>
              <w:right w:sz="4" w:val="nil"/>
            </w:tcBorders>
            <w:shd w:fill="auto" w:val="clear"/>
            <w:vAlign w:val="center"/>
          </w:tcPr>
          <w:p w14:paraId="890F0000">
            <w:pPr>
              <w:rPr>
                <w:color w:val="000000"/>
              </w:rPr>
            </w:pPr>
            <w:r>
              <w:rPr>
                <w:color w:val="000000"/>
              </w:rPr>
              <w:t>- в расходах на рекламу</w:t>
            </w:r>
          </w:p>
        </w:tc>
        <w:tc>
          <w:tcPr>
            <w:tcW w:type="dxa" w:w="2331"/>
            <w:tcBorders>
              <w:top w:sz="4" w:val="nil"/>
              <w:left w:color="000000" w:sz="8" w:val="single"/>
              <w:bottom w:sz="4" w:val="nil"/>
              <w:right w:color="000000" w:sz="8" w:val="single"/>
            </w:tcBorders>
            <w:shd w:fill="auto" w:val="clear"/>
          </w:tcPr>
          <w:p w14:paraId="8A0F0000">
            <w:pPr>
              <w:widowControl w:val="1"/>
              <w:ind/>
              <w:jc w:val="center"/>
              <w:rPr>
                <w:color w:val="000000"/>
              </w:rPr>
            </w:pPr>
            <w:r>
              <w:rPr>
                <w:color w:val="000000"/>
              </w:rPr>
              <w:t>182,1</w:t>
            </w:r>
          </w:p>
        </w:tc>
        <w:tc>
          <w:tcPr>
            <w:tcW w:type="dxa" w:w="2055"/>
            <w:tcBorders>
              <w:top w:sz="4" w:val="nil"/>
              <w:left w:sz="4" w:val="nil"/>
              <w:bottom w:sz="4" w:val="nil"/>
              <w:right w:color="000000" w:sz="8" w:val="single"/>
            </w:tcBorders>
            <w:shd w:fill="auto" w:val="clear"/>
          </w:tcPr>
          <w:p w14:paraId="8B0F0000">
            <w:pPr>
              <w:widowControl w:val="1"/>
              <w:ind/>
              <w:jc w:val="center"/>
              <w:rPr>
                <w:color w:val="000000"/>
              </w:rPr>
            </w:pPr>
            <w:r>
              <w:rPr>
                <w:color w:val="000000"/>
              </w:rPr>
              <w:t>0,0</w:t>
            </w:r>
          </w:p>
        </w:tc>
        <w:tc>
          <w:tcPr>
            <w:tcW w:type="dxa" w:w="2194"/>
            <w:tcBorders>
              <w:top w:sz="4" w:val="nil"/>
              <w:left w:sz="4" w:val="nil"/>
              <w:bottom w:sz="4" w:val="nil"/>
              <w:right w:color="000000" w:sz="8" w:val="single"/>
            </w:tcBorders>
            <w:shd w:fill="auto" w:val="clear"/>
          </w:tcPr>
          <w:p w14:paraId="8C0F0000">
            <w:pPr>
              <w:widowControl w:val="1"/>
              <w:ind/>
              <w:jc w:val="center"/>
              <w:rPr>
                <w:color w:val="000000"/>
              </w:rPr>
            </w:pPr>
            <w:r>
              <w:rPr>
                <w:color w:val="000000"/>
              </w:rPr>
              <w:t>-182,1</w:t>
            </w:r>
          </w:p>
        </w:tc>
      </w:tr>
      <w:tr>
        <w:trPr>
          <w:trHeight w:hRule="atLeast" w:val="315"/>
        </w:trPr>
        <w:tc>
          <w:tcPr>
            <w:tcW w:type="dxa" w:w="3059"/>
            <w:tcBorders>
              <w:top w:sz="4" w:val="nil"/>
              <w:left w:color="000000" w:sz="8" w:val="single"/>
              <w:bottom w:color="000000" w:sz="8" w:val="single"/>
              <w:right w:sz="4" w:val="nil"/>
            </w:tcBorders>
            <w:shd w:fill="auto" w:val="clear"/>
            <w:vAlign w:val="center"/>
          </w:tcPr>
          <w:p w14:paraId="8D0F0000">
            <w:pPr>
              <w:rPr>
                <w:color w:val="000000"/>
              </w:rPr>
            </w:pPr>
            <w:r>
              <w:rPr>
                <w:color w:val="000000"/>
              </w:rPr>
              <w:t> </w:t>
            </w:r>
          </w:p>
        </w:tc>
        <w:tc>
          <w:tcPr>
            <w:tcW w:type="dxa" w:w="2331"/>
            <w:tcBorders>
              <w:top w:sz="4" w:val="nil"/>
              <w:left w:color="000000" w:sz="8" w:val="single"/>
              <w:bottom w:color="000000" w:sz="8" w:val="single"/>
              <w:right w:color="000000" w:sz="8" w:val="single"/>
            </w:tcBorders>
            <w:shd w:fill="auto" w:val="clear"/>
          </w:tcPr>
          <w:p w14:paraId="8E0F0000">
            <w:pPr>
              <w:widowControl w:val="1"/>
              <w:ind/>
              <w:jc w:val="center"/>
              <w:rPr>
                <w:color w:val="000000"/>
              </w:rPr>
            </w:pPr>
            <w:r>
              <w:rPr>
                <w:color w:val="000000"/>
              </w:rPr>
              <w:t> </w:t>
            </w:r>
          </w:p>
        </w:tc>
        <w:tc>
          <w:tcPr>
            <w:tcW w:type="dxa" w:w="2055"/>
            <w:tcBorders>
              <w:top w:sz="4" w:val="nil"/>
              <w:left w:sz="4" w:val="nil"/>
              <w:bottom w:color="000000" w:sz="8" w:val="single"/>
              <w:right w:color="000000" w:sz="8" w:val="single"/>
            </w:tcBorders>
            <w:shd w:fill="auto" w:val="clear"/>
          </w:tcPr>
          <w:p w14:paraId="8F0F0000">
            <w:pPr>
              <w:widowControl w:val="1"/>
              <w:ind/>
              <w:jc w:val="center"/>
              <w:rPr>
                <w:color w:val="000000"/>
              </w:rPr>
            </w:pPr>
            <w:r>
              <w:rPr>
                <w:color w:val="000000"/>
              </w:rPr>
              <w:t> </w:t>
            </w:r>
          </w:p>
        </w:tc>
        <w:tc>
          <w:tcPr>
            <w:tcW w:type="dxa" w:w="2194"/>
            <w:tcBorders>
              <w:top w:sz="4" w:val="nil"/>
              <w:left w:sz="4" w:val="nil"/>
              <w:bottom w:color="000000" w:sz="8" w:val="single"/>
              <w:right w:color="000000" w:sz="8" w:val="single"/>
            </w:tcBorders>
            <w:shd w:fill="auto" w:val="clear"/>
          </w:tcPr>
          <w:p w14:paraId="900F0000">
            <w:pPr>
              <w:widowControl w:val="1"/>
              <w:ind/>
              <w:jc w:val="center"/>
              <w:rPr>
                <w:color w:val="000000"/>
              </w:rPr>
            </w:pPr>
            <w:r>
              <w:rPr>
                <w:color w:val="000000"/>
              </w:rPr>
              <w:t> </w:t>
            </w:r>
          </w:p>
        </w:tc>
      </w:tr>
      <w:tr>
        <w:trPr>
          <w:trHeight w:hRule="atLeast" w:val="510"/>
        </w:trPr>
        <w:tc>
          <w:tcPr>
            <w:tcW w:type="dxa" w:w="3059"/>
            <w:tcBorders>
              <w:top w:sz="4" w:val="nil"/>
              <w:left w:color="000000" w:sz="8" w:val="single"/>
              <w:bottom w:sz="4" w:val="nil"/>
              <w:right w:color="000000" w:sz="8" w:val="single"/>
            </w:tcBorders>
            <w:shd w:fill="auto" w:val="clear"/>
            <w:vAlign w:val="center"/>
          </w:tcPr>
          <w:p w14:paraId="910F0000">
            <w:pPr>
              <w:rPr>
                <w:b w:val="1"/>
                <w:color w:val="000000"/>
              </w:rPr>
            </w:pPr>
            <w:r>
              <w:rPr>
                <w:b w:val="1"/>
                <w:color w:val="000000"/>
              </w:rPr>
              <w:t>«Прочие материальные расходы»:</w:t>
            </w:r>
          </w:p>
        </w:tc>
        <w:tc>
          <w:tcPr>
            <w:tcW w:type="dxa" w:w="2331"/>
            <w:tcBorders>
              <w:top w:sz="4" w:val="nil"/>
              <w:left w:sz="4" w:val="nil"/>
              <w:bottom w:sz="4" w:val="nil"/>
              <w:right w:color="000000" w:sz="8" w:val="single"/>
            </w:tcBorders>
            <w:shd w:fill="auto" w:val="clear"/>
          </w:tcPr>
          <w:p w14:paraId="920F0000">
            <w:pPr>
              <w:widowControl w:val="1"/>
              <w:ind/>
              <w:jc w:val="center"/>
              <w:rPr>
                <w:b w:val="1"/>
                <w:color w:val="000000"/>
              </w:rPr>
            </w:pPr>
            <w:r>
              <w:rPr>
                <w:b w:val="1"/>
                <w:color w:val="000000"/>
              </w:rPr>
              <w:t>316,3</w:t>
            </w:r>
          </w:p>
        </w:tc>
        <w:tc>
          <w:tcPr>
            <w:tcW w:type="dxa" w:w="2055"/>
            <w:tcBorders>
              <w:top w:sz="4" w:val="nil"/>
              <w:left w:sz="4" w:val="nil"/>
              <w:bottom w:sz="4" w:val="nil"/>
              <w:right w:color="000000" w:sz="8" w:val="single"/>
            </w:tcBorders>
            <w:shd w:fill="auto" w:val="clear"/>
          </w:tcPr>
          <w:p w14:paraId="930F0000">
            <w:pPr>
              <w:widowControl w:val="1"/>
              <w:ind/>
              <w:jc w:val="center"/>
              <w:rPr>
                <w:b w:val="1"/>
                <w:color w:val="000000"/>
              </w:rPr>
            </w:pPr>
            <w:r>
              <w:rPr>
                <w:b w:val="1"/>
                <w:color w:val="000000"/>
              </w:rPr>
              <w:t>0,0</w:t>
            </w:r>
          </w:p>
        </w:tc>
        <w:tc>
          <w:tcPr>
            <w:tcW w:type="dxa" w:w="2194"/>
            <w:tcBorders>
              <w:top w:sz="4" w:val="nil"/>
              <w:left w:sz="4" w:val="nil"/>
              <w:bottom w:sz="4" w:val="nil"/>
              <w:right w:color="000000" w:sz="8" w:val="single"/>
            </w:tcBorders>
            <w:shd w:fill="auto" w:val="clear"/>
          </w:tcPr>
          <w:p w14:paraId="940F0000">
            <w:pPr>
              <w:widowControl w:val="1"/>
              <w:ind/>
              <w:jc w:val="center"/>
              <w:rPr>
                <w:b w:val="1"/>
                <w:color w:val="000000"/>
              </w:rPr>
            </w:pPr>
            <w:r>
              <w:rPr>
                <w:b w:val="1"/>
                <w:color w:val="000000"/>
              </w:rPr>
              <w:t>-316,3</w:t>
            </w:r>
          </w:p>
        </w:tc>
      </w:tr>
      <w:tr>
        <w:trPr>
          <w:trHeight w:hRule="atLeast" w:val="510"/>
        </w:trPr>
        <w:tc>
          <w:tcPr>
            <w:tcW w:type="dxa" w:w="3059"/>
            <w:tcBorders>
              <w:top w:sz="4" w:val="nil"/>
              <w:left w:color="000000" w:sz="8" w:val="single"/>
              <w:bottom w:sz="4" w:val="nil"/>
              <w:right w:color="000000" w:sz="8" w:val="single"/>
            </w:tcBorders>
            <w:shd w:fill="auto" w:val="clear"/>
            <w:vAlign w:val="center"/>
          </w:tcPr>
          <w:p w14:paraId="950F0000">
            <w:pPr>
              <w:rPr>
                <w:color w:val="000000"/>
              </w:rPr>
            </w:pPr>
            <w:r>
              <w:rPr>
                <w:color w:val="000000"/>
              </w:rPr>
              <w:t>- материалы на прочие нужды</w:t>
            </w:r>
          </w:p>
        </w:tc>
        <w:tc>
          <w:tcPr>
            <w:tcW w:type="dxa" w:w="2331"/>
            <w:tcBorders>
              <w:top w:sz="4" w:val="nil"/>
              <w:left w:sz="4" w:val="nil"/>
              <w:bottom w:sz="4" w:val="nil"/>
              <w:right w:color="000000" w:sz="8" w:val="single"/>
            </w:tcBorders>
            <w:shd w:fill="auto" w:val="clear"/>
          </w:tcPr>
          <w:p w14:paraId="960F0000">
            <w:pPr>
              <w:widowControl w:val="1"/>
              <w:ind/>
              <w:jc w:val="center"/>
              <w:rPr>
                <w:color w:val="000000"/>
              </w:rPr>
            </w:pPr>
            <w:r>
              <w:rPr>
                <w:color w:val="000000"/>
              </w:rPr>
              <w:t>316,3</w:t>
            </w:r>
          </w:p>
        </w:tc>
        <w:tc>
          <w:tcPr>
            <w:tcW w:type="dxa" w:w="2055"/>
            <w:tcBorders>
              <w:top w:sz="4" w:val="nil"/>
              <w:left w:sz="4" w:val="nil"/>
              <w:bottom w:sz="4" w:val="nil"/>
              <w:right w:color="000000" w:sz="8" w:val="single"/>
            </w:tcBorders>
            <w:shd w:fill="auto" w:val="clear"/>
          </w:tcPr>
          <w:p w14:paraId="970F0000">
            <w:pPr>
              <w:widowControl w:val="1"/>
              <w:ind/>
              <w:jc w:val="center"/>
              <w:rPr>
                <w:color w:val="000000"/>
              </w:rPr>
            </w:pPr>
            <w:r>
              <w:rPr>
                <w:color w:val="000000"/>
              </w:rPr>
              <w:t>0,0</w:t>
            </w:r>
          </w:p>
        </w:tc>
        <w:tc>
          <w:tcPr>
            <w:tcW w:type="dxa" w:w="2194"/>
            <w:tcBorders>
              <w:top w:sz="4" w:val="nil"/>
              <w:left w:sz="4" w:val="nil"/>
              <w:bottom w:sz="4" w:val="nil"/>
              <w:right w:color="000000" w:sz="8" w:val="single"/>
            </w:tcBorders>
            <w:shd w:fill="auto" w:val="clear"/>
          </w:tcPr>
          <w:p w14:paraId="980F0000">
            <w:pPr>
              <w:widowControl w:val="1"/>
              <w:ind/>
              <w:jc w:val="center"/>
              <w:rPr>
                <w:color w:val="000000"/>
              </w:rPr>
            </w:pPr>
            <w:r>
              <w:rPr>
                <w:color w:val="000000"/>
              </w:rPr>
              <w:t>-316,3</w:t>
            </w:r>
          </w:p>
        </w:tc>
      </w:tr>
      <w:tr>
        <w:trPr>
          <w:trHeight w:hRule="atLeast" w:val="315"/>
        </w:trPr>
        <w:tc>
          <w:tcPr>
            <w:tcW w:type="dxa" w:w="3059"/>
            <w:tcBorders>
              <w:top w:sz="4" w:val="nil"/>
              <w:left w:color="000000" w:sz="8" w:val="single"/>
              <w:bottom w:color="000000" w:sz="8" w:val="single"/>
              <w:right w:color="000000" w:sz="8" w:val="single"/>
            </w:tcBorders>
            <w:shd w:fill="auto" w:val="clear"/>
            <w:vAlign w:val="center"/>
          </w:tcPr>
          <w:p w14:paraId="990F0000">
            <w:pPr>
              <w:rPr>
                <w:color w:val="000000"/>
              </w:rPr>
            </w:pPr>
            <w:r>
              <w:rPr>
                <w:color w:val="000000"/>
              </w:rPr>
              <w:t> </w:t>
            </w:r>
          </w:p>
        </w:tc>
        <w:tc>
          <w:tcPr>
            <w:tcW w:type="dxa" w:w="2331"/>
            <w:tcBorders>
              <w:top w:sz="4" w:val="nil"/>
              <w:left w:sz="4" w:val="nil"/>
              <w:bottom w:color="000000" w:sz="8" w:val="single"/>
              <w:right w:color="000000" w:sz="8" w:val="single"/>
            </w:tcBorders>
            <w:shd w:fill="auto" w:val="clear"/>
          </w:tcPr>
          <w:p w14:paraId="9A0F0000">
            <w:pPr>
              <w:widowControl w:val="1"/>
              <w:ind/>
              <w:jc w:val="center"/>
              <w:rPr>
                <w:color w:val="000000"/>
              </w:rPr>
            </w:pPr>
            <w:r>
              <w:rPr>
                <w:color w:val="000000"/>
              </w:rPr>
              <w:t> </w:t>
            </w:r>
          </w:p>
        </w:tc>
        <w:tc>
          <w:tcPr>
            <w:tcW w:type="dxa" w:w="2055"/>
            <w:tcBorders>
              <w:top w:sz="4" w:val="nil"/>
              <w:left w:sz="4" w:val="nil"/>
              <w:bottom w:color="000000" w:sz="8" w:val="single"/>
              <w:right w:color="000000" w:sz="8" w:val="single"/>
            </w:tcBorders>
            <w:shd w:fill="auto" w:val="clear"/>
          </w:tcPr>
          <w:p w14:paraId="9B0F0000">
            <w:pPr>
              <w:rPr>
                <w:color w:val="000000"/>
              </w:rPr>
            </w:pPr>
            <w:r>
              <w:rPr>
                <w:color w:val="000000"/>
              </w:rPr>
              <w:t> </w:t>
            </w:r>
          </w:p>
        </w:tc>
        <w:tc>
          <w:tcPr>
            <w:tcW w:type="dxa" w:w="2194"/>
            <w:tcBorders>
              <w:top w:sz="4" w:val="nil"/>
              <w:left w:sz="4" w:val="nil"/>
              <w:bottom w:color="000000" w:sz="8" w:val="single"/>
              <w:right w:color="000000" w:sz="8" w:val="single"/>
            </w:tcBorders>
            <w:shd w:fill="auto" w:val="clear"/>
          </w:tcPr>
          <w:p w14:paraId="9C0F0000">
            <w:pPr>
              <w:widowControl w:val="1"/>
              <w:ind/>
              <w:jc w:val="center"/>
              <w:rPr>
                <w:color w:val="000000"/>
              </w:rPr>
            </w:pPr>
            <w:r>
              <w:rPr>
                <w:color w:val="000000"/>
              </w:rPr>
              <w:t> </w:t>
            </w:r>
          </w:p>
        </w:tc>
      </w:tr>
      <w:tr>
        <w:trPr>
          <w:trHeight w:hRule="atLeast" w:val="315"/>
        </w:trPr>
        <w:tc>
          <w:tcPr>
            <w:tcW w:type="dxa" w:w="3059"/>
            <w:tcBorders>
              <w:top w:sz="4" w:val="nil"/>
              <w:left w:color="000000" w:sz="8" w:val="single"/>
              <w:bottom w:color="000000" w:sz="8" w:val="single"/>
              <w:right w:color="000000" w:sz="8" w:val="single"/>
            </w:tcBorders>
            <w:shd w:fill="auto" w:val="clear"/>
            <w:vAlign w:val="center"/>
          </w:tcPr>
          <w:p w14:paraId="9D0F0000">
            <w:pPr>
              <w:rPr>
                <w:b w:val="1"/>
                <w:color w:val="000000"/>
              </w:rPr>
            </w:pPr>
            <w:r>
              <w:rPr>
                <w:b w:val="1"/>
                <w:color w:val="000000"/>
              </w:rPr>
              <w:t>Итого:</w:t>
            </w:r>
          </w:p>
        </w:tc>
        <w:tc>
          <w:tcPr>
            <w:tcW w:type="dxa" w:w="2331"/>
            <w:tcBorders>
              <w:top w:sz="4" w:val="nil"/>
              <w:left w:sz="4" w:val="nil"/>
              <w:bottom w:color="000000" w:sz="8" w:val="single"/>
              <w:right w:color="000000" w:sz="8" w:val="single"/>
            </w:tcBorders>
            <w:shd w:fill="auto" w:val="clear"/>
          </w:tcPr>
          <w:p w14:paraId="9E0F0000">
            <w:pPr>
              <w:widowControl w:val="1"/>
              <w:ind/>
              <w:jc w:val="center"/>
              <w:rPr>
                <w:b w:val="1"/>
                <w:color w:val="000000"/>
              </w:rPr>
            </w:pPr>
            <w:r>
              <w:rPr>
                <w:b w:val="1"/>
                <w:color w:val="000000"/>
              </w:rPr>
              <w:t>1 235,4</w:t>
            </w:r>
          </w:p>
        </w:tc>
        <w:tc>
          <w:tcPr>
            <w:tcW w:type="dxa" w:w="2055"/>
            <w:tcBorders>
              <w:top w:sz="4" w:val="nil"/>
              <w:left w:sz="4" w:val="nil"/>
              <w:bottom w:color="000000" w:sz="8" w:val="single"/>
              <w:right w:color="000000" w:sz="8" w:val="single"/>
            </w:tcBorders>
            <w:shd w:fill="auto" w:val="clear"/>
          </w:tcPr>
          <w:p w14:paraId="9F0F0000">
            <w:pPr>
              <w:widowControl w:val="1"/>
              <w:ind/>
              <w:jc w:val="center"/>
              <w:rPr>
                <w:b w:val="1"/>
                <w:color w:val="000000"/>
              </w:rPr>
            </w:pPr>
            <w:r>
              <w:rPr>
                <w:b w:val="1"/>
                <w:color w:val="000000"/>
              </w:rPr>
              <w:t>1 185,9</w:t>
            </w:r>
          </w:p>
        </w:tc>
        <w:tc>
          <w:tcPr>
            <w:tcW w:type="dxa" w:w="2194"/>
            <w:tcBorders>
              <w:top w:sz="4" w:val="nil"/>
              <w:left w:sz="4" w:val="nil"/>
              <w:bottom w:color="000000" w:sz="8" w:val="single"/>
              <w:right w:color="000000" w:sz="8" w:val="single"/>
            </w:tcBorders>
            <w:shd w:fill="auto" w:val="clear"/>
          </w:tcPr>
          <w:p w14:paraId="A00F0000">
            <w:pPr>
              <w:widowControl w:val="1"/>
              <w:ind/>
              <w:jc w:val="center"/>
              <w:rPr>
                <w:b w:val="1"/>
                <w:color w:val="000000"/>
              </w:rPr>
            </w:pPr>
            <w:r>
              <w:rPr>
                <w:b w:val="1"/>
                <w:color w:val="000000"/>
              </w:rPr>
              <w:t>-49,5</w:t>
            </w:r>
          </w:p>
        </w:tc>
      </w:tr>
    </w:tbl>
    <w:p w14:paraId="A10F0000">
      <w:pPr>
        <w:pStyle w:val="Style_15"/>
        <w:widowControl w:val="1"/>
        <w:spacing w:line="360" w:lineRule="auto"/>
        <w:ind w:left="709"/>
        <w:jc w:val="both"/>
        <w:rPr>
          <w:rFonts w:ascii="Times New Roman" w:hAnsi="Times New Roman"/>
          <w:sz w:val="24"/>
        </w:rPr>
      </w:pPr>
    </w:p>
    <w:p w14:paraId="A20F0000">
      <w:pPr>
        <w:pStyle w:val="Style_15"/>
        <w:widowControl w:val="1"/>
        <w:spacing w:line="360" w:lineRule="auto"/>
        <w:ind w:firstLine="709" w:left="0"/>
        <w:jc w:val="both"/>
        <w:rPr>
          <w:rFonts w:ascii="Times New Roman" w:hAnsi="Times New Roman"/>
          <w:sz w:val="24"/>
        </w:rPr>
      </w:pPr>
      <w:r>
        <w:rPr>
          <w:rFonts w:ascii="Times New Roman" w:hAnsi="Times New Roman"/>
          <w:sz w:val="24"/>
        </w:rPr>
        <w:t>Перераспределение указанных расходов между статьями обусловило увеличение расходов по статье «Материалы», но не привело к их увеличению. В сопоставимых условиях расходы на материалы за 2018 год составили  102,3% к плану 2018 года.</w:t>
      </w:r>
    </w:p>
    <w:p w14:paraId="A30F0000">
      <w:pPr>
        <w:pStyle w:val="Style_15"/>
        <w:widowControl w:val="1"/>
        <w:numPr>
          <w:ilvl w:val="0"/>
          <w:numId w:val="23"/>
        </w:numPr>
        <w:tabs>
          <w:tab w:leader="none" w:pos="720" w:val="clear"/>
          <w:tab w:leader="none" w:pos="1134" w:val="left"/>
        </w:tabs>
        <w:spacing w:line="360" w:lineRule="auto"/>
        <w:ind w:firstLine="709" w:left="0"/>
        <w:jc w:val="both"/>
        <w:rPr>
          <w:rFonts w:ascii="Times New Roman" w:hAnsi="Times New Roman"/>
          <w:sz w:val="24"/>
        </w:rPr>
      </w:pPr>
      <w:r>
        <w:rPr>
          <w:rFonts w:ascii="Times New Roman" w:hAnsi="Times New Roman"/>
          <w:b w:val="1"/>
          <w:sz w:val="24"/>
        </w:rPr>
        <w:t>топливо -</w:t>
      </w:r>
      <w:r>
        <w:rPr>
          <w:rFonts w:ascii="Times New Roman" w:hAnsi="Times New Roman"/>
          <w:b w:val="1"/>
          <w:sz w:val="24"/>
        </w:rPr>
        <w:t xml:space="preserve"> </w:t>
      </w:r>
      <w:r>
        <w:rPr>
          <w:rFonts w:ascii="Times New Roman" w:hAnsi="Times New Roman"/>
          <w:sz w:val="24"/>
        </w:rPr>
        <w:t>325 тыс.руб., 115,1% к плану, 116,9%  к прошлому году, увеличение расходов обусловлено темпом роста стоимости топлива, превышающим прогноз социально-экономического развития</w:t>
      </w:r>
      <w:r>
        <w:rPr>
          <w:rFonts w:ascii="Times New Roman" w:hAnsi="Times New Roman"/>
          <w:sz w:val="24"/>
        </w:rPr>
        <w:t>;</w:t>
      </w:r>
    </w:p>
    <w:p w14:paraId="A40F0000">
      <w:pPr>
        <w:pStyle w:val="Style_15"/>
        <w:widowControl w:val="1"/>
        <w:numPr>
          <w:ilvl w:val="0"/>
          <w:numId w:val="23"/>
        </w:numPr>
        <w:tabs>
          <w:tab w:leader="none" w:pos="720" w:val="clear"/>
          <w:tab w:leader="none" w:pos="1134" w:val="left"/>
        </w:tabs>
        <w:spacing w:line="360" w:lineRule="auto"/>
        <w:ind w:firstLine="709" w:left="0"/>
        <w:jc w:val="both"/>
        <w:rPr>
          <w:rFonts w:ascii="Times New Roman" w:hAnsi="Times New Roman"/>
          <w:sz w:val="24"/>
        </w:rPr>
      </w:pPr>
      <w:r>
        <w:rPr>
          <w:rFonts w:ascii="Times New Roman" w:hAnsi="Times New Roman"/>
          <w:b w:val="1"/>
          <w:sz w:val="24"/>
        </w:rPr>
        <w:t>электроэнергия –</w:t>
      </w:r>
      <w:r>
        <w:rPr>
          <w:rFonts w:ascii="Times New Roman" w:hAnsi="Times New Roman"/>
          <w:sz w:val="24"/>
        </w:rPr>
        <w:t xml:space="preserve"> </w:t>
      </w:r>
      <w:r>
        <w:rPr>
          <w:rFonts w:ascii="Times New Roman" w:hAnsi="Times New Roman"/>
          <w:sz w:val="24"/>
        </w:rPr>
        <w:t>16 тыс. руб., 68,1% к плану, 100% к прошлому году.</w:t>
      </w:r>
    </w:p>
    <w:p w14:paraId="A50F0000">
      <w:pPr>
        <w:pStyle w:val="Style_15"/>
        <w:widowControl w:val="1"/>
        <w:numPr>
          <w:ilvl w:val="2"/>
          <w:numId w:val="24"/>
        </w:numPr>
        <w:tabs>
          <w:tab w:leader="none" w:pos="284" w:val="left"/>
          <w:tab w:leader="none" w:pos="426" w:val="left"/>
          <w:tab w:leader="none" w:pos="720" w:val="left"/>
          <w:tab w:leader="none" w:pos="993" w:val="left"/>
          <w:tab w:leader="none" w:pos="1680" w:val="left"/>
          <w:tab w:leader="none" w:pos="2160" w:val="clear"/>
        </w:tabs>
        <w:spacing w:after="0" w:line="360" w:lineRule="auto"/>
        <w:ind w:firstLine="709" w:left="0"/>
        <w:jc w:val="both"/>
        <w:rPr>
          <w:rFonts w:ascii="Times New Roman" w:hAnsi="Times New Roman"/>
          <w:sz w:val="24"/>
        </w:rPr>
      </w:pPr>
      <w:r>
        <w:rPr>
          <w:rFonts w:ascii="Times New Roman" w:hAnsi="Times New Roman"/>
          <w:b w:val="1"/>
          <w:sz w:val="24"/>
        </w:rPr>
        <w:t xml:space="preserve">  прочие материальные расходы</w:t>
      </w:r>
      <w:r>
        <w:rPr>
          <w:rFonts w:ascii="Times New Roman" w:hAnsi="Times New Roman"/>
          <w:sz w:val="24"/>
        </w:rPr>
        <w:t xml:space="preserve"> – </w:t>
      </w:r>
      <w:r>
        <w:rPr>
          <w:rFonts w:ascii="Times New Roman" w:hAnsi="Times New Roman"/>
          <w:sz w:val="24"/>
        </w:rPr>
        <w:t>7 787 тыс. руб., 58,4% к плану, 62,1% к прошлому году</w:t>
      </w:r>
      <w:r>
        <w:rPr>
          <w:rFonts w:ascii="Times New Roman" w:hAnsi="Times New Roman"/>
          <w:sz w:val="24"/>
        </w:rPr>
        <w:t>.</w:t>
      </w:r>
    </w:p>
    <w:p w14:paraId="A60F0000">
      <w:pPr>
        <w:widowControl w:val="1"/>
        <w:spacing w:line="360" w:lineRule="auto"/>
        <w:ind w:firstLine="709"/>
        <w:contextualSpacing w:val="1"/>
        <w:jc w:val="both"/>
      </w:pPr>
      <w:r>
        <w:t xml:space="preserve"> </w:t>
      </w:r>
      <w:r>
        <w:t>Затраты на текущий ремонт и техническое обслуживание подвижного состава, арендованного у ГП ЦТЛ, составили 7 171 тыс. руб., 85,6% к плану. Снижение расходов обусловлено тем, что в 2017 году к прочим материальным расходам отнесены расходы по регламентному обслуживанию и ремонтов для поездов ГП КК «ЦТЛ», выполняемым ОАО «РЖД», а также текущим ремонтам ТР-2 и ремонтам линейного оборудования для поездов ГП КК «ЦТЛ», выполняемым иными сторонними организациями, кроме ОАО «РЖД». В 2018 году к данной статье отнесены только регламентное обслуживание и ремонт для поездов ГП КК «ЦТЛ», которые выполняются ОАО «РЖД», а ремонты, выполняемые иными организациями, отнесены на статью «Прочие расходы».</w:t>
      </w:r>
    </w:p>
    <w:p w14:paraId="A70F0000">
      <w:pPr>
        <w:widowControl w:val="1"/>
        <w:spacing w:line="360" w:lineRule="auto"/>
        <w:ind w:firstLine="709"/>
        <w:contextualSpacing w:val="1"/>
        <w:jc w:val="both"/>
      </w:pPr>
      <w:r>
        <w:t>Затраты по ремонту и обслуживанию кассовой техники составили 258 тыс. руб., затраты по текущему ремонту зданий и сооружений составили 149 тыс.руб., прочие материальные расходы составили 209 тыс. руб.</w:t>
      </w:r>
      <w:r>
        <w:t xml:space="preserve"> </w:t>
      </w:r>
    </w:p>
    <w:p w14:paraId="A80F0000">
      <w:pPr>
        <w:pStyle w:val="Style_15"/>
        <w:widowControl w:val="1"/>
        <w:numPr>
          <w:ilvl w:val="0"/>
          <w:numId w:val="25"/>
        </w:numPr>
        <w:tabs>
          <w:tab w:leader="none" w:pos="426" w:val="left"/>
          <w:tab w:leader="none" w:pos="709" w:val="left"/>
          <w:tab w:leader="none" w:pos="1134" w:val="left"/>
          <w:tab w:leader="none" w:pos="1680" w:val="left"/>
        </w:tabs>
        <w:spacing w:after="0" w:line="360" w:lineRule="auto"/>
        <w:ind w:firstLine="709" w:left="0"/>
        <w:jc w:val="both"/>
        <w:rPr>
          <w:rFonts w:ascii="Times New Roman" w:hAnsi="Times New Roman"/>
          <w:sz w:val="24"/>
        </w:rPr>
      </w:pPr>
      <w:r>
        <w:rPr>
          <w:rFonts w:ascii="Times New Roman" w:hAnsi="Times New Roman"/>
          <w:b w:val="1"/>
          <w:sz w:val="24"/>
        </w:rPr>
        <w:t xml:space="preserve">амортизационные отчисления (накопленные) – </w:t>
      </w:r>
      <w:r>
        <w:rPr>
          <w:rFonts w:ascii="Times New Roman" w:hAnsi="Times New Roman"/>
          <w:sz w:val="24"/>
        </w:rPr>
        <w:t xml:space="preserve">3 789 тыс. руб., 68,5% к плану, 80,5% к прошлому году. Стоимость автомобиля, принятого к учету в качестве основного средства. полностью погашена, в связи с этим произошло снижение  к прошлому году и к плану  по амортизационным начислениям.    </w:t>
      </w:r>
    </w:p>
    <w:p w14:paraId="A90F0000">
      <w:pPr>
        <w:pStyle w:val="Style_15"/>
        <w:widowControl w:val="1"/>
        <w:numPr>
          <w:ilvl w:val="0"/>
          <w:numId w:val="25"/>
        </w:numPr>
        <w:tabs>
          <w:tab w:leader="none" w:pos="426" w:val="left"/>
          <w:tab w:leader="none" w:pos="709" w:val="left"/>
          <w:tab w:leader="none" w:pos="1134" w:val="left"/>
          <w:tab w:leader="none" w:pos="1680" w:val="left"/>
        </w:tabs>
        <w:spacing w:after="0" w:line="360" w:lineRule="auto"/>
        <w:ind w:firstLine="709" w:left="0"/>
        <w:jc w:val="both"/>
        <w:rPr>
          <w:rFonts w:ascii="Times New Roman" w:hAnsi="Times New Roman"/>
          <w:sz w:val="24"/>
        </w:rPr>
      </w:pPr>
      <w:r>
        <w:rPr>
          <w:rFonts w:ascii="Times New Roman" w:hAnsi="Times New Roman"/>
          <w:b w:val="1"/>
          <w:sz w:val="24"/>
        </w:rPr>
        <w:t xml:space="preserve">прочие затраты составили </w:t>
      </w:r>
      <w:r>
        <w:rPr>
          <w:rFonts w:ascii="Times New Roman" w:hAnsi="Times New Roman"/>
          <w:sz w:val="24"/>
        </w:rPr>
        <w:t>521 267 тыс. руб., 100% к плану, 102% к уровню прошлого года, прочие затраты включают в себя прочие производственные расходы и прочие расходы (сч.91).</w:t>
      </w:r>
    </w:p>
    <w:p w14:paraId="AA0F0000">
      <w:pPr>
        <w:widowControl w:val="1"/>
        <w:tabs>
          <w:tab w:leader="none" w:pos="709" w:val="left"/>
        </w:tabs>
        <w:spacing w:line="360" w:lineRule="auto"/>
        <w:ind w:firstLine="709"/>
        <w:contextualSpacing w:val="1"/>
        <w:jc w:val="both"/>
      </w:pPr>
      <w:r>
        <w:rPr>
          <w:b w:val="1"/>
          <w:i w:val="1"/>
        </w:rPr>
        <w:t>прочие производственные расходы</w:t>
      </w:r>
      <w:r>
        <w:t xml:space="preserve"> – </w:t>
      </w:r>
      <w:r>
        <w:t>514 476 тыс. руб., 101% к плану (применен льготный исключительный тариф на услуги по использованию инфраструктуры</w:t>
      </w:r>
      <w:r>
        <w:t xml:space="preserve"> железнодорожного транспорта общего пользования в пригородном сообщении, применена ставка НДС на пригородные железнодорожные перевозки равная «0»), 103% к аналогичному периоду прошлого года;</w:t>
      </w:r>
    </w:p>
    <w:p w14:paraId="AB0F0000">
      <w:pPr>
        <w:widowControl w:val="1"/>
        <w:tabs>
          <w:tab w:leader="none" w:pos="709" w:val="left"/>
        </w:tabs>
        <w:spacing w:line="360" w:lineRule="auto"/>
        <w:ind w:firstLine="709"/>
        <w:contextualSpacing w:val="1"/>
        <w:jc w:val="both"/>
      </w:pPr>
      <w:r>
        <w:t>По договорам с ОАО «РЖД» и АО «ФПК»  за 2018 год  все расходы составили 472 160 тыс. руб. (в том числе, 7 171 тыс.руб. ТО, ТР поездов ГП КК «ЦТЛ», отнесенных к статье «Прочие материальные затраты» и 464 989 тыс.руб к статье "Прочие затраты"),   101,3% к плану,  102,3% к аналогичному периоду прошлого года. Рост расходов к плану и прошлому году обусловлен назначением по региональным заказам дополнительного поезда в Кемеровской области «Междуреченск-Лужба» и в Красноярском крае 5 дополнительных внутригородских поездов с сентября 2018 года.</w:t>
      </w:r>
    </w:p>
    <w:p w14:paraId="AC0F0000">
      <w:pPr>
        <w:widowControl w:val="1"/>
        <w:tabs>
          <w:tab w:leader="none" w:pos="1680" w:val="left"/>
        </w:tabs>
        <w:spacing w:line="360" w:lineRule="auto"/>
        <w:ind w:firstLine="709"/>
        <w:contextualSpacing w:val="1"/>
        <w:jc w:val="both"/>
        <w:rPr>
          <w:b w:val="1"/>
        </w:rPr>
      </w:pPr>
    </w:p>
    <w:p w14:paraId="AD0F0000">
      <w:pPr>
        <w:widowControl w:val="1"/>
        <w:tabs>
          <w:tab w:leader="none" w:pos="1680" w:val="left"/>
        </w:tabs>
        <w:spacing w:line="360" w:lineRule="auto"/>
        <w:ind w:firstLine="709"/>
        <w:contextualSpacing w:val="1"/>
        <w:jc w:val="both"/>
        <w:rPr>
          <w:b w:val="1"/>
        </w:rPr>
      </w:pPr>
      <w:r>
        <w:rPr>
          <w:b w:val="1"/>
        </w:rPr>
        <w:t>Прочие производственные расходы по договорам с ОАО «РЖД» и АО «ФПК»</w:t>
      </w:r>
    </w:p>
    <w:p w14:paraId="AE0F0000">
      <w:pPr>
        <w:widowControl w:val="1"/>
        <w:tabs>
          <w:tab w:leader="none" w:pos="1440" w:val="left"/>
          <w:tab w:leader="none" w:pos="1680" w:val="left"/>
        </w:tabs>
        <w:spacing w:line="360" w:lineRule="auto"/>
        <w:ind w:firstLine="709"/>
        <w:contextualSpacing w:val="1"/>
        <w:jc w:val="right"/>
        <w:rPr>
          <w:b w:val="1"/>
        </w:rPr>
      </w:pPr>
      <w:r>
        <w:rPr>
          <w:b w:val="1"/>
        </w:rPr>
        <w:t>Диаграмма 5.</w:t>
      </w:r>
      <w:r>
        <w:rPr>
          <w:b w:val="1"/>
        </w:rPr>
        <w:t>7</w:t>
      </w:r>
      <w:r>
        <w:rPr>
          <w:b w:val="1"/>
        </w:rPr>
        <w:t>.</w:t>
      </w:r>
    </w:p>
    <w:p w14:paraId="AF0F0000">
      <w:pPr>
        <w:widowControl w:val="1"/>
        <w:tabs>
          <w:tab w:leader="none" w:pos="1440" w:val="left"/>
          <w:tab w:leader="none" w:pos="1680" w:val="left"/>
        </w:tabs>
        <w:spacing w:line="360" w:lineRule="auto"/>
        <w:ind/>
        <w:contextualSpacing w:val="1"/>
        <w:jc w:val="right"/>
        <w:rPr>
          <w:b w:val="1"/>
        </w:rPr>
      </w:pPr>
      <w:r>
        <w:rPr>
          <w:b w:val="1"/>
        </w:rPr>
        <w:drawing>
          <wp:inline>
            <wp:extent cx="6031103" cy="2829560"/>
            <wp:docPr hidden="false" id="30" name="Picture 30"/>
            <a:graphic>
              <a:graphicData uri="http://schemas.openxmlformats.org/drawingml/2006/picture">
                <pic:pic>
                  <pic:nvPicPr>
                    <pic:cNvPr hidden="false" id="31" name="Picture 31"/>
                    <pic:cNvPicPr preferRelativeResize="true"/>
                  </pic:nvPicPr>
                  <pic:blipFill>
                    <a:blip r:embed="rId37"/>
                    <a:srcRect b="0" l="0" r="0" t="0"/>
                    <a:stretch/>
                  </pic:blipFill>
                  <pic:spPr>
                    <a:xfrm flipH="false" flipV="false" rot="0">
                      <a:ext cx="6031103" cy="2829560"/>
                    </a:xfrm>
                    <a:prstGeom prst="rect"/>
                  </pic:spPr>
                </pic:pic>
              </a:graphicData>
            </a:graphic>
          </wp:inline>
        </w:drawing>
      </w:r>
    </w:p>
    <w:p w14:paraId="B00F0000">
      <w:pPr>
        <w:widowControl w:val="1"/>
        <w:tabs>
          <w:tab w:leader="none" w:pos="1134" w:val="left"/>
        </w:tabs>
        <w:spacing w:line="360" w:lineRule="auto"/>
        <w:ind w:firstLine="709"/>
        <w:contextualSpacing w:val="1"/>
        <w:jc w:val="right"/>
        <w:rPr>
          <w:b w:val="1"/>
        </w:rPr>
      </w:pPr>
    </w:p>
    <w:p w14:paraId="B10F0000">
      <w:pPr>
        <w:widowControl w:val="1"/>
        <w:numPr>
          <w:ilvl w:val="0"/>
          <w:numId w:val="26"/>
        </w:numPr>
        <w:tabs>
          <w:tab w:leader="none" w:pos="0" w:val="left"/>
          <w:tab w:leader="none" w:pos="1134" w:val="left"/>
          <w:tab w:leader="none" w:pos="1980" w:val="clear"/>
        </w:tabs>
        <w:spacing w:line="360" w:lineRule="auto"/>
        <w:ind w:firstLine="709" w:left="0"/>
        <w:contextualSpacing w:val="1"/>
        <w:jc w:val="both"/>
      </w:pPr>
      <w:r>
        <w:t xml:space="preserve">Техническое обслуживание арендованного у ОАО «РЖД» и ГПКК ЦТЛ подвижного состава  составляет </w:t>
      </w:r>
      <w:r>
        <w:rPr>
          <w:b w:val="1"/>
        </w:rPr>
        <w:t>65 627 тыс. руб</w:t>
      </w:r>
      <w:r>
        <w:t xml:space="preserve">., 103,6% к плану, 101,4% к уровню прошлого года, в том числе техническое обслуживание подвижного состава, арендованного у  ОАО "РЖД" </w:t>
      </w:r>
      <w:r>
        <w:rPr>
          <w:b w:val="1"/>
        </w:rPr>
        <w:t>60 414</w:t>
      </w:r>
      <w:r>
        <w:t xml:space="preserve"> </w:t>
      </w:r>
      <w:r>
        <w:rPr>
          <w:b w:val="1"/>
        </w:rPr>
        <w:t>тыс.руб.</w:t>
      </w:r>
      <w:r>
        <w:t xml:space="preserve">, 104,3% к плану. </w:t>
      </w:r>
    </w:p>
    <w:p w14:paraId="B20F0000">
      <w:pPr>
        <w:widowControl w:val="1"/>
        <w:numPr>
          <w:ilvl w:val="0"/>
          <w:numId w:val="26"/>
        </w:numPr>
        <w:tabs>
          <w:tab w:leader="none" w:pos="0" w:val="left"/>
          <w:tab w:leader="none" w:pos="1134" w:val="left"/>
          <w:tab w:leader="none" w:pos="1980" w:val="clear"/>
        </w:tabs>
        <w:spacing w:line="360" w:lineRule="auto"/>
        <w:ind w:firstLine="709" w:left="0"/>
        <w:contextualSpacing w:val="1"/>
        <w:jc w:val="both"/>
      </w:pPr>
      <w:r>
        <w:t xml:space="preserve">Текущий ремонт арендованного у ОАО «РЖД» и ГПКК ЦТЛ подвижного состава  составляет </w:t>
      </w:r>
      <w:r>
        <w:rPr>
          <w:b w:val="1"/>
        </w:rPr>
        <w:t>42 988 тыс. руб</w:t>
      </w:r>
      <w:r>
        <w:t xml:space="preserve">., 102,8% к плану, 101,9% к уровню прошлого года,  в том числе текущий ремонт подвижного состава, арендованного у  ОАО "РЖД" </w:t>
      </w:r>
      <w:r>
        <w:rPr>
          <w:b w:val="1"/>
        </w:rPr>
        <w:t>41 030 тыс.руб</w:t>
      </w:r>
      <w:r>
        <w:t xml:space="preserve">., 104,3% к плану. </w:t>
      </w:r>
    </w:p>
    <w:p w14:paraId="B30F0000">
      <w:pPr>
        <w:widowControl w:val="1"/>
        <w:numPr>
          <w:ilvl w:val="0"/>
          <w:numId w:val="26"/>
        </w:numPr>
        <w:tabs>
          <w:tab w:leader="none" w:pos="0" w:val="left"/>
          <w:tab w:leader="none" w:pos="1134" w:val="left"/>
          <w:tab w:leader="none" w:pos="1980" w:val="clear"/>
        </w:tabs>
        <w:spacing w:line="360" w:lineRule="auto"/>
        <w:ind w:firstLine="709" w:left="0"/>
        <w:contextualSpacing w:val="1"/>
        <w:jc w:val="both"/>
      </w:pPr>
      <w:r>
        <w:t xml:space="preserve">Капитальный ремонт арендованного подвижного состава ОАО "РЖД" составляет </w:t>
      </w:r>
      <w:r>
        <w:rPr>
          <w:b w:val="1"/>
        </w:rPr>
        <w:t>80 732 тыс. руб</w:t>
      </w:r>
      <w:r>
        <w:t xml:space="preserve">., 98,4% к плану, 97,8% к уровню прошлого года,  </w:t>
      </w:r>
    </w:p>
    <w:p w14:paraId="B40F0000">
      <w:pPr>
        <w:widowControl w:val="1"/>
        <w:numPr>
          <w:ilvl w:val="0"/>
          <w:numId w:val="26"/>
        </w:numPr>
        <w:tabs>
          <w:tab w:leader="none" w:pos="0" w:val="left"/>
          <w:tab w:leader="none" w:pos="1134" w:val="left"/>
          <w:tab w:leader="none" w:pos="1980" w:val="clear"/>
        </w:tabs>
        <w:spacing w:line="360" w:lineRule="auto"/>
        <w:ind w:firstLine="709" w:left="0"/>
        <w:contextualSpacing w:val="1"/>
        <w:jc w:val="both"/>
      </w:pPr>
      <w:r>
        <w:t xml:space="preserve">Предоставление услуг инфраструктуры составляет </w:t>
      </w:r>
      <w:r>
        <w:rPr>
          <w:b w:val="1"/>
        </w:rPr>
        <w:t xml:space="preserve"> 4 852</w:t>
      </w:r>
      <w:r>
        <w:t xml:space="preserve"> тыс. руб., 103% к плану, 100,9% к уровню прошлого года,  в том числе: </w:t>
      </w:r>
    </w:p>
    <w:p w14:paraId="B50F0000">
      <w:pPr>
        <w:widowControl w:val="1"/>
        <w:tabs>
          <w:tab w:leader="none" w:pos="0" w:val="left"/>
          <w:tab w:leader="none" w:pos="1134" w:val="left"/>
        </w:tabs>
        <w:spacing w:line="360" w:lineRule="auto"/>
        <w:ind w:firstLine="709"/>
        <w:contextualSpacing w:val="1"/>
        <w:jc w:val="both"/>
      </w:pPr>
      <w:r>
        <w:t xml:space="preserve">-по перевозкам – </w:t>
      </w:r>
      <w:r>
        <w:rPr>
          <w:b w:val="1"/>
        </w:rPr>
        <w:t>4 640</w:t>
      </w:r>
      <w:r>
        <w:t xml:space="preserve"> тыс. руб., 101% к плану, 102,1% к прошлому году при 1% стоимости инфраструктуры; </w:t>
      </w:r>
    </w:p>
    <w:p w14:paraId="B60F0000">
      <w:pPr>
        <w:widowControl w:val="1"/>
        <w:tabs>
          <w:tab w:leader="none" w:pos="0" w:val="left"/>
          <w:tab w:leader="none" w:pos="1134" w:val="left"/>
        </w:tabs>
        <w:spacing w:line="360" w:lineRule="auto"/>
        <w:ind w:firstLine="709"/>
        <w:contextualSpacing w:val="1"/>
        <w:jc w:val="both"/>
      </w:pPr>
      <w:r>
        <w:t xml:space="preserve">- по прочим видам деятельности (предоставление права следования в составе пригородного электропоезда, предоставление подвижного состава с экипажем) предоставление услуг инфраструктуры составило </w:t>
      </w:r>
      <w:r>
        <w:rPr>
          <w:b w:val="1"/>
        </w:rPr>
        <w:t>212 тыс. руб.,</w:t>
      </w:r>
      <w:r>
        <w:t xml:space="preserve"> </w:t>
      </w:r>
    </w:p>
    <w:p w14:paraId="B70F0000">
      <w:pPr>
        <w:pStyle w:val="Style_25"/>
        <w:widowControl w:val="1"/>
        <w:numPr>
          <w:ilvl w:val="0"/>
          <w:numId w:val="27"/>
        </w:numPr>
        <w:tabs>
          <w:tab w:leader="none" w:pos="0" w:val="left"/>
          <w:tab w:leader="none" w:pos="1134" w:val="left"/>
        </w:tabs>
        <w:spacing w:line="360" w:lineRule="auto"/>
        <w:ind w:firstLine="709" w:left="0"/>
        <w:contextualSpacing w:val="1"/>
        <w:jc w:val="both"/>
        <w:rPr>
          <w:sz w:val="24"/>
        </w:rPr>
      </w:pPr>
      <w:r>
        <w:rPr>
          <w:sz w:val="24"/>
        </w:rPr>
        <w:t xml:space="preserve">Аренда подвижного состава  (аренда МВПС, локомотивов, пассажирских вагонов, пересылка порожних вагонов)  </w:t>
      </w:r>
      <w:r>
        <w:rPr>
          <w:b w:val="1"/>
          <w:sz w:val="24"/>
        </w:rPr>
        <w:t xml:space="preserve">112 410 </w:t>
      </w:r>
      <w:r>
        <w:rPr>
          <w:sz w:val="24"/>
        </w:rPr>
        <w:t>тыс. руб., 97,4% к плану, 101,8% к уровню прошлого года.</w:t>
      </w:r>
    </w:p>
    <w:p w14:paraId="B80F0000">
      <w:pPr>
        <w:widowControl w:val="1"/>
        <w:numPr>
          <w:ilvl w:val="0"/>
          <w:numId w:val="28"/>
        </w:numPr>
        <w:tabs>
          <w:tab w:leader="none" w:pos="0" w:val="left"/>
          <w:tab w:leader="none" w:pos="360" w:val="left"/>
          <w:tab w:leader="none" w:pos="540" w:val="clear"/>
          <w:tab w:leader="none" w:pos="1134" w:val="left"/>
        </w:tabs>
        <w:spacing w:line="360" w:lineRule="auto"/>
        <w:ind w:firstLine="709" w:left="0"/>
        <w:contextualSpacing w:val="1"/>
        <w:jc w:val="both"/>
      </w:pPr>
      <w:r>
        <w:t xml:space="preserve">Управление  арендованным у ОАО «РЖД» и ГПКК ЦТЛ подвижным составом (в т.ч. обеспечение дизельным топливом локомотивов </w:t>
      </w:r>
      <w:r>
        <w:rPr>
          <w:b w:val="1"/>
        </w:rPr>
        <w:t>16 854,9 тыс.руб</w:t>
      </w:r>
      <w:r>
        <w:t xml:space="preserve">.)– </w:t>
      </w:r>
      <w:r>
        <w:rPr>
          <w:b w:val="1"/>
        </w:rPr>
        <w:t xml:space="preserve">165 551 </w:t>
      </w:r>
      <w:r>
        <w:t>тыс. руб., 104,3% к плану, 105,4% к уровню прошлого года;</w:t>
      </w:r>
    </w:p>
    <w:p w14:paraId="B90F0000">
      <w:pPr>
        <w:widowControl w:val="1"/>
        <w:tabs>
          <w:tab w:leader="none" w:pos="540" w:val="left"/>
          <w:tab w:leader="none" w:pos="1134" w:val="left"/>
        </w:tabs>
        <w:spacing w:line="360" w:lineRule="auto"/>
        <w:ind w:firstLine="709"/>
        <w:contextualSpacing w:val="1"/>
        <w:jc w:val="both"/>
      </w:pPr>
    </w:p>
    <w:p w14:paraId="BA0F0000">
      <w:pPr>
        <w:widowControl w:val="1"/>
        <w:tabs>
          <w:tab w:leader="none" w:pos="0" w:val="left"/>
          <w:tab w:leader="none" w:pos="6300" w:val="left"/>
          <w:tab w:leader="none" w:pos="7200" w:val="left"/>
        </w:tabs>
        <w:spacing w:line="360" w:lineRule="auto"/>
        <w:ind w:firstLine="709"/>
        <w:contextualSpacing w:val="1"/>
        <w:jc w:val="right"/>
        <w:rPr>
          <w:b w:val="1"/>
        </w:rPr>
      </w:pPr>
      <w:r>
        <w:rPr>
          <w:b w:val="1"/>
        </w:rPr>
        <w:t xml:space="preserve">Таблица </w:t>
      </w:r>
      <w:r>
        <w:rPr>
          <w:b w:val="1"/>
        </w:rPr>
        <w:t>5.</w:t>
      </w:r>
      <w:r>
        <w:rPr>
          <w:b w:val="1"/>
        </w:rPr>
        <w:t>2</w:t>
      </w:r>
      <w:r>
        <w:rPr>
          <w:b w:val="1"/>
        </w:rPr>
        <w:t>3</w:t>
      </w:r>
    </w:p>
    <w:p w14:paraId="BB0F0000">
      <w:pPr>
        <w:keepNext w:val="1"/>
        <w:widowControl w:val="1"/>
        <w:tabs>
          <w:tab w:leader="none" w:pos="0" w:val="left"/>
          <w:tab w:leader="none" w:pos="6300" w:val="left"/>
          <w:tab w:leader="none" w:pos="7200" w:val="left"/>
        </w:tabs>
        <w:ind w:firstLine="709"/>
        <w:contextualSpacing w:val="1"/>
        <w:jc w:val="center"/>
        <w:rPr>
          <w:b w:val="1"/>
        </w:rPr>
      </w:pPr>
    </w:p>
    <w:p w14:paraId="BC0F0000">
      <w:pPr>
        <w:keepNext w:val="1"/>
        <w:widowControl w:val="1"/>
        <w:tabs>
          <w:tab w:leader="none" w:pos="0" w:val="left"/>
          <w:tab w:leader="none" w:pos="6300" w:val="left"/>
          <w:tab w:leader="none" w:pos="7200" w:val="left"/>
        </w:tabs>
        <w:ind w:firstLine="709"/>
        <w:contextualSpacing w:val="1"/>
        <w:jc w:val="center"/>
        <w:rPr>
          <w:b w:val="1"/>
        </w:rPr>
      </w:pPr>
      <w:r>
        <w:rPr>
          <w:b w:val="1"/>
        </w:rPr>
        <w:t xml:space="preserve">Динамика объемных показателей по договорам ОАО «РЖД» и АО «ФПК» </w:t>
      </w:r>
    </w:p>
    <w:p w14:paraId="BD0F0000">
      <w:pPr>
        <w:keepNext w:val="1"/>
        <w:widowControl w:val="1"/>
        <w:tabs>
          <w:tab w:leader="none" w:pos="0" w:val="left"/>
          <w:tab w:leader="none" w:pos="6300" w:val="left"/>
          <w:tab w:leader="none" w:pos="7200" w:val="left"/>
        </w:tabs>
        <w:ind w:firstLine="709"/>
        <w:contextualSpacing w:val="1"/>
        <w:jc w:val="center"/>
        <w:rPr>
          <w:b w:val="1"/>
        </w:rPr>
      </w:pPr>
    </w:p>
    <w:tbl>
      <w:tblPr>
        <w:tblStyle w:val="Style_4"/>
        <w:tblW w:type="auto" w:w="0"/>
        <w:tblInd w:type="dxa" w:w="86"/>
        <w:tblLayout w:type="fixed"/>
      </w:tblPr>
      <w:tblGrid>
        <w:gridCol w:w="423"/>
        <w:gridCol w:w="1442"/>
        <w:gridCol w:w="960"/>
        <w:gridCol w:w="1201"/>
        <w:gridCol w:w="1201"/>
        <w:gridCol w:w="1201"/>
        <w:gridCol w:w="1067"/>
        <w:gridCol w:w="1067"/>
        <w:gridCol w:w="668"/>
        <w:gridCol w:w="534"/>
      </w:tblGrid>
      <w:tr>
        <w:trPr>
          <w:trHeight w:hRule="atLeast" w:val="1226"/>
          <w:tblHeader/>
        </w:trPr>
        <w:tc>
          <w:tcPr>
            <w:tcW w:type="dxa" w:w="423"/>
            <w:tcBorders>
              <w:top w:color="000000" w:sz="4" w:val="single"/>
              <w:left w:color="000000" w:sz="4" w:val="single"/>
              <w:bottom w:color="000000" w:sz="4" w:val="single"/>
              <w:right w:color="000000" w:sz="4" w:val="single"/>
            </w:tcBorders>
            <w:shd w:fill="auto" w:val="clear"/>
            <w:vAlign w:val="center"/>
          </w:tcPr>
          <w:p w14:paraId="BE0F0000">
            <w:pPr>
              <w:keepLines w:val="1"/>
              <w:widowControl w:val="1"/>
              <w:ind w:firstLine="709" w:left="-795"/>
              <w:contextualSpacing w:val="1"/>
              <w:rPr>
                <w:sz w:val="20"/>
              </w:rPr>
            </w:pPr>
            <w:r>
              <w:rPr>
                <w:sz w:val="20"/>
              </w:rPr>
              <w:t>№ п/п</w:t>
            </w:r>
          </w:p>
        </w:tc>
        <w:tc>
          <w:tcPr>
            <w:tcW w:type="dxa" w:w="2402"/>
            <w:gridSpan w:val="2"/>
            <w:tcBorders>
              <w:top w:color="000000" w:sz="4" w:val="single"/>
              <w:left w:color="000000" w:sz="4" w:val="single"/>
              <w:bottom w:color="000000" w:sz="4" w:val="single"/>
              <w:right w:color="000000" w:sz="4" w:val="single"/>
            </w:tcBorders>
            <w:shd w:fill="auto" w:val="clear"/>
            <w:vAlign w:val="center"/>
          </w:tcPr>
          <w:p w14:paraId="BF0F0000">
            <w:pPr>
              <w:keepLines w:val="1"/>
              <w:widowControl w:val="1"/>
              <w:ind w:hanging="83"/>
              <w:contextualSpacing w:val="1"/>
              <w:jc w:val="center"/>
              <w:rPr>
                <w:sz w:val="20"/>
              </w:rPr>
            </w:pPr>
            <w:r>
              <w:rPr>
                <w:sz w:val="20"/>
              </w:rPr>
              <w:t>Показатели</w:t>
            </w:r>
          </w:p>
        </w:tc>
        <w:tc>
          <w:tcPr>
            <w:tcW w:type="dxa" w:w="1201"/>
            <w:tcBorders>
              <w:top w:color="000000" w:sz="4" w:val="single"/>
              <w:left w:color="000000" w:sz="4" w:val="single"/>
              <w:bottom w:color="000000" w:sz="4" w:val="single"/>
              <w:right w:color="000000" w:sz="4" w:val="single"/>
            </w:tcBorders>
            <w:vAlign w:val="center"/>
          </w:tcPr>
          <w:p w14:paraId="C00F0000">
            <w:pPr>
              <w:widowControl w:val="1"/>
              <w:ind w:hanging="83"/>
              <w:contextualSpacing w:val="1"/>
              <w:jc w:val="center"/>
              <w:rPr>
                <w:color w:val="000000"/>
                <w:sz w:val="20"/>
              </w:rPr>
            </w:pPr>
            <w:r>
              <w:rPr>
                <w:color w:val="000000"/>
                <w:sz w:val="20"/>
              </w:rPr>
              <w:t>Ед. измер.</w:t>
            </w:r>
          </w:p>
        </w:tc>
        <w:tc>
          <w:tcPr>
            <w:tcW w:type="dxa" w:w="1201"/>
            <w:tcBorders>
              <w:top w:color="000000" w:sz="4" w:val="single"/>
              <w:left w:color="000000" w:sz="4" w:val="single"/>
              <w:bottom w:color="000000" w:sz="4" w:val="single"/>
              <w:right w:color="000000" w:sz="4" w:val="single"/>
            </w:tcBorders>
            <w:shd w:fill="auto" w:val="clear"/>
            <w:vAlign w:val="center"/>
          </w:tcPr>
          <w:p w14:paraId="C10F0000">
            <w:pPr>
              <w:widowControl w:val="1"/>
              <w:ind w:hanging="83"/>
              <w:contextualSpacing w:val="1"/>
              <w:jc w:val="center"/>
              <w:rPr>
                <w:color w:val="000000"/>
                <w:sz w:val="20"/>
              </w:rPr>
            </w:pPr>
            <w:r>
              <w:rPr>
                <w:color w:val="000000"/>
                <w:sz w:val="20"/>
              </w:rPr>
              <w:t>факт 2016</w:t>
            </w:r>
          </w:p>
        </w:tc>
        <w:tc>
          <w:tcPr>
            <w:tcW w:type="dxa" w:w="1201"/>
            <w:tcBorders>
              <w:top w:color="000000" w:sz="4" w:val="single"/>
              <w:left w:sz="4" w:val="nil"/>
              <w:bottom w:color="000000" w:sz="4" w:val="single"/>
              <w:right w:color="000000" w:sz="4" w:val="single"/>
            </w:tcBorders>
            <w:vAlign w:val="center"/>
          </w:tcPr>
          <w:p w14:paraId="C20F0000">
            <w:pPr>
              <w:widowControl w:val="1"/>
              <w:ind w:hanging="83"/>
              <w:contextualSpacing w:val="1"/>
              <w:jc w:val="center"/>
              <w:rPr>
                <w:color w:val="000000"/>
                <w:sz w:val="20"/>
              </w:rPr>
            </w:pPr>
            <w:r>
              <w:rPr>
                <w:color w:val="000000"/>
                <w:sz w:val="20"/>
              </w:rPr>
              <w:t>факт 2017</w:t>
            </w:r>
          </w:p>
        </w:tc>
        <w:tc>
          <w:tcPr>
            <w:tcW w:type="dxa" w:w="1067"/>
            <w:tcBorders>
              <w:top w:color="000000" w:sz="4" w:val="single"/>
              <w:left w:color="000000" w:sz="4" w:val="single"/>
              <w:bottom w:color="000000" w:sz="4" w:val="single"/>
              <w:right w:color="000000" w:sz="4" w:val="single"/>
            </w:tcBorders>
            <w:shd w:fill="auto" w:val="clear"/>
            <w:vAlign w:val="center"/>
          </w:tcPr>
          <w:p w14:paraId="C30F0000">
            <w:pPr>
              <w:widowControl w:val="1"/>
              <w:ind w:hanging="83"/>
              <w:contextualSpacing w:val="1"/>
              <w:jc w:val="center"/>
              <w:rPr>
                <w:color w:val="000000"/>
                <w:sz w:val="20"/>
              </w:rPr>
            </w:pPr>
            <w:r>
              <w:rPr>
                <w:color w:val="000000"/>
                <w:sz w:val="20"/>
              </w:rPr>
              <w:t>план 2018</w:t>
            </w:r>
          </w:p>
        </w:tc>
        <w:tc>
          <w:tcPr>
            <w:tcW w:type="dxa" w:w="1067"/>
            <w:tcBorders>
              <w:top w:color="000000" w:sz="4" w:val="single"/>
              <w:left w:sz="4" w:val="nil"/>
              <w:bottom w:color="000000" w:sz="4" w:val="single"/>
              <w:right w:color="000000" w:sz="4" w:val="single"/>
            </w:tcBorders>
            <w:shd w:fill="auto" w:val="clear"/>
            <w:vAlign w:val="center"/>
          </w:tcPr>
          <w:p w14:paraId="C40F0000">
            <w:pPr>
              <w:widowControl w:val="1"/>
              <w:ind w:hanging="83"/>
              <w:contextualSpacing w:val="1"/>
              <w:jc w:val="center"/>
              <w:rPr>
                <w:color w:val="000000"/>
                <w:sz w:val="20"/>
              </w:rPr>
            </w:pPr>
            <w:r>
              <w:rPr>
                <w:color w:val="000000"/>
                <w:sz w:val="20"/>
              </w:rPr>
              <w:t>факт 2018</w:t>
            </w:r>
          </w:p>
        </w:tc>
        <w:tc>
          <w:tcPr>
            <w:tcW w:type="dxa" w:w="668"/>
            <w:tcBorders>
              <w:top w:color="000000" w:sz="4" w:val="single"/>
              <w:left w:color="000000" w:sz="4" w:val="single"/>
              <w:bottom w:color="000000" w:sz="4" w:val="single"/>
              <w:right w:color="000000" w:sz="4" w:val="single"/>
            </w:tcBorders>
            <w:textDirection w:val="btLr"/>
            <w:vAlign w:val="center"/>
          </w:tcPr>
          <w:p w14:paraId="C50F0000">
            <w:pPr>
              <w:widowControl w:val="1"/>
              <w:ind w:hanging="83"/>
              <w:contextualSpacing w:val="1"/>
              <w:jc w:val="center"/>
              <w:rPr>
                <w:i w:val="1"/>
                <w:color w:val="000000"/>
                <w:sz w:val="20"/>
              </w:rPr>
            </w:pPr>
            <w:r>
              <w:rPr>
                <w:i w:val="1"/>
                <w:color w:val="000000"/>
                <w:sz w:val="20"/>
              </w:rPr>
              <w:t>% факт 2018 к факту 2017</w:t>
            </w:r>
          </w:p>
        </w:tc>
        <w:tc>
          <w:tcPr>
            <w:tcW w:type="dxa" w:w="534"/>
            <w:tcBorders>
              <w:top w:color="000000" w:sz="4" w:val="single"/>
              <w:left w:color="000000" w:sz="4" w:val="single"/>
              <w:bottom w:color="000000" w:sz="4" w:val="single"/>
              <w:right w:color="000000" w:sz="4" w:val="single"/>
            </w:tcBorders>
            <w:shd w:fill="auto" w:val="clear"/>
            <w:textDirection w:val="btLr"/>
            <w:vAlign w:val="center"/>
          </w:tcPr>
          <w:p w14:paraId="C60F0000">
            <w:pPr>
              <w:widowControl w:val="1"/>
              <w:ind w:hanging="83"/>
              <w:contextualSpacing w:val="1"/>
              <w:jc w:val="center"/>
              <w:rPr>
                <w:i w:val="1"/>
                <w:color w:val="000000"/>
                <w:sz w:val="20"/>
              </w:rPr>
            </w:pPr>
            <w:r>
              <w:rPr>
                <w:i w:val="1"/>
                <w:color w:val="000000"/>
                <w:sz w:val="20"/>
              </w:rPr>
              <w:t>% факт 2018 к плану</w:t>
            </w:r>
          </w:p>
        </w:tc>
      </w:tr>
      <w:tr>
        <w:trPr>
          <w:trHeight w:hRule="atLeast" w:val="432"/>
          <w:tblHeader/>
        </w:trPr>
        <w:tc>
          <w:tcPr>
            <w:tcW w:type="dxa" w:w="423"/>
            <w:vMerge w:val="restart"/>
            <w:tcBorders>
              <w:top w:sz="4" w:val="nil"/>
              <w:left w:color="000000" w:sz="4" w:val="single"/>
              <w:bottom w:color="000000" w:sz="4" w:val="single"/>
              <w:right w:color="000000" w:sz="4" w:val="single"/>
            </w:tcBorders>
            <w:shd w:fill="auto" w:val="clear"/>
            <w:vAlign w:val="center"/>
          </w:tcPr>
          <w:p w14:paraId="C70F0000">
            <w:pPr>
              <w:widowControl w:val="1"/>
              <w:ind w:firstLine="709" w:left="-795"/>
              <w:contextualSpacing w:val="1"/>
              <w:jc w:val="center"/>
              <w:rPr>
                <w:sz w:val="20"/>
              </w:rPr>
            </w:pPr>
            <w:r>
              <w:rPr>
                <w:sz w:val="20"/>
              </w:rPr>
              <w:t>1</w:t>
            </w:r>
          </w:p>
        </w:tc>
        <w:tc>
          <w:tcPr>
            <w:tcW w:type="dxa" w:w="1442"/>
            <w:vMerge w:val="restart"/>
            <w:tcBorders>
              <w:top w:sz="4" w:val="nil"/>
              <w:left w:color="000000" w:sz="4" w:val="single"/>
              <w:bottom w:color="000000" w:sz="4" w:val="single"/>
              <w:right w:color="000000" w:sz="4" w:val="single"/>
            </w:tcBorders>
            <w:shd w:fill="auto" w:val="clear"/>
            <w:vAlign w:val="center"/>
          </w:tcPr>
          <w:p w14:paraId="C80F0000">
            <w:pPr>
              <w:widowControl w:val="1"/>
              <w:ind w:hanging="83"/>
              <w:contextualSpacing w:val="1"/>
              <w:jc w:val="center"/>
              <w:rPr>
                <w:sz w:val="20"/>
              </w:rPr>
            </w:pPr>
            <w:r>
              <w:rPr>
                <w:sz w:val="20"/>
              </w:rPr>
              <w:t>Вагонокилометровая работа</w:t>
            </w:r>
          </w:p>
        </w:tc>
        <w:tc>
          <w:tcPr>
            <w:tcW w:type="dxa" w:w="960"/>
            <w:tcBorders>
              <w:top w:sz="4" w:val="nil"/>
              <w:left w:sz="4" w:val="nil"/>
              <w:bottom w:color="000000" w:sz="4" w:val="single"/>
              <w:right w:color="000000" w:sz="4" w:val="single"/>
            </w:tcBorders>
            <w:shd w:fill="auto" w:val="clear"/>
            <w:vAlign w:val="center"/>
          </w:tcPr>
          <w:p w14:paraId="C90F0000">
            <w:pPr>
              <w:widowControl w:val="1"/>
              <w:ind w:hanging="83"/>
              <w:contextualSpacing w:val="1"/>
              <w:jc w:val="center"/>
              <w:rPr>
                <w:sz w:val="20"/>
              </w:rPr>
            </w:pPr>
            <w:r>
              <w:rPr>
                <w:sz w:val="20"/>
              </w:rPr>
              <w:t>ВСЕГО</w:t>
            </w:r>
          </w:p>
        </w:tc>
        <w:tc>
          <w:tcPr>
            <w:tcW w:type="dxa" w:w="1201"/>
            <w:tcBorders>
              <w:top w:color="000000" w:sz="4" w:val="single"/>
              <w:left w:sz="4" w:val="nil"/>
              <w:bottom w:color="000000" w:sz="4" w:val="single"/>
              <w:right w:color="000000" w:sz="4" w:val="single"/>
            </w:tcBorders>
            <w:vAlign w:val="center"/>
          </w:tcPr>
          <w:p w14:paraId="CA0F0000">
            <w:pPr>
              <w:widowControl w:val="1"/>
              <w:ind w:hanging="83"/>
              <w:contextualSpacing w:val="1"/>
              <w:jc w:val="center"/>
              <w:rPr>
                <w:sz w:val="20"/>
              </w:rPr>
            </w:pPr>
            <w:r>
              <w:rPr>
                <w:sz w:val="20"/>
              </w:rPr>
              <w:t>тыс. ваг/км</w:t>
            </w:r>
          </w:p>
        </w:tc>
        <w:tc>
          <w:tcPr>
            <w:tcW w:type="dxa" w:w="1201"/>
            <w:tcBorders>
              <w:top w:color="000000" w:sz="4" w:val="single"/>
              <w:left w:color="000000" w:sz="4" w:val="single"/>
              <w:bottom w:color="000000" w:sz="4" w:val="single"/>
              <w:right w:color="000000" w:sz="4" w:val="single"/>
            </w:tcBorders>
            <w:shd w:fill="auto" w:val="clear"/>
            <w:vAlign w:val="center"/>
          </w:tcPr>
          <w:p w14:paraId="CB0F0000">
            <w:pPr>
              <w:widowControl w:val="1"/>
              <w:ind w:hanging="83"/>
              <w:contextualSpacing w:val="1"/>
              <w:jc w:val="center"/>
              <w:rPr>
                <w:color w:val="000000"/>
                <w:sz w:val="20"/>
              </w:rPr>
            </w:pPr>
            <w:r>
              <w:rPr>
                <w:color w:val="000000"/>
                <w:sz w:val="20"/>
              </w:rPr>
              <w:t>11 484</w:t>
            </w:r>
          </w:p>
        </w:tc>
        <w:tc>
          <w:tcPr>
            <w:tcW w:type="dxa" w:w="1201"/>
            <w:tcBorders>
              <w:top w:color="000000" w:sz="4" w:val="single"/>
              <w:left w:sz="4" w:val="nil"/>
              <w:bottom w:color="000000" w:sz="4" w:val="single"/>
              <w:right w:color="000000" w:sz="4" w:val="single"/>
            </w:tcBorders>
            <w:vAlign w:val="center"/>
          </w:tcPr>
          <w:p w14:paraId="CC0F0000">
            <w:pPr>
              <w:widowControl w:val="1"/>
              <w:ind w:hanging="83"/>
              <w:contextualSpacing w:val="1"/>
              <w:jc w:val="center"/>
              <w:rPr>
                <w:color w:val="000000"/>
                <w:sz w:val="20"/>
              </w:rPr>
            </w:pPr>
            <w:r>
              <w:rPr>
                <w:color w:val="000000"/>
                <w:sz w:val="20"/>
              </w:rPr>
              <w:t>11 433</w:t>
            </w:r>
          </w:p>
        </w:tc>
        <w:tc>
          <w:tcPr>
            <w:tcW w:type="dxa" w:w="1067"/>
            <w:tcBorders>
              <w:top w:sz="4" w:val="nil"/>
              <w:left w:color="000000" w:sz="4" w:val="single"/>
              <w:bottom w:color="000000" w:sz="4" w:val="single"/>
              <w:right w:color="000000" w:sz="4" w:val="single"/>
            </w:tcBorders>
            <w:shd w:fill="auto" w:val="clear"/>
            <w:vAlign w:val="center"/>
          </w:tcPr>
          <w:p w14:paraId="CD0F0000">
            <w:pPr>
              <w:widowControl w:val="1"/>
              <w:ind w:hanging="83"/>
              <w:contextualSpacing w:val="1"/>
              <w:jc w:val="center"/>
              <w:rPr>
                <w:color w:val="000000"/>
                <w:sz w:val="20"/>
              </w:rPr>
            </w:pPr>
            <w:r>
              <w:rPr>
                <w:color w:val="000000"/>
                <w:sz w:val="20"/>
              </w:rPr>
              <w:t>11 438</w:t>
            </w:r>
          </w:p>
        </w:tc>
        <w:tc>
          <w:tcPr>
            <w:tcW w:type="dxa" w:w="1067"/>
            <w:tcBorders>
              <w:top w:sz="4" w:val="nil"/>
              <w:left w:sz="4" w:val="nil"/>
              <w:bottom w:color="000000" w:sz="4" w:val="single"/>
              <w:right w:color="000000" w:sz="4" w:val="single"/>
            </w:tcBorders>
            <w:shd w:fill="auto" w:val="clear"/>
            <w:vAlign w:val="center"/>
          </w:tcPr>
          <w:p w14:paraId="CE0F0000">
            <w:pPr>
              <w:widowControl w:val="1"/>
              <w:ind w:hanging="83"/>
              <w:contextualSpacing w:val="1"/>
              <w:jc w:val="center"/>
              <w:rPr>
                <w:color w:val="000000"/>
                <w:sz w:val="20"/>
              </w:rPr>
            </w:pPr>
            <w:r>
              <w:rPr>
                <w:color w:val="000000"/>
                <w:sz w:val="20"/>
              </w:rPr>
              <w:t>11 674</w:t>
            </w:r>
          </w:p>
        </w:tc>
        <w:tc>
          <w:tcPr>
            <w:tcW w:type="dxa" w:w="668"/>
            <w:tcBorders>
              <w:top w:color="000000" w:sz="4" w:val="single"/>
              <w:left w:color="000000" w:sz="4" w:val="single"/>
              <w:bottom w:color="000000" w:sz="4" w:val="single"/>
              <w:right w:color="000000" w:sz="4" w:val="single"/>
            </w:tcBorders>
            <w:vAlign w:val="center"/>
          </w:tcPr>
          <w:p w14:paraId="CF0F0000">
            <w:pPr>
              <w:widowControl w:val="1"/>
              <w:ind w:hanging="83"/>
              <w:contextualSpacing w:val="1"/>
              <w:jc w:val="center"/>
              <w:rPr>
                <w:i w:val="1"/>
                <w:color w:val="000000"/>
                <w:sz w:val="20"/>
              </w:rPr>
            </w:pPr>
            <w:r>
              <w:rPr>
                <w:i w:val="1"/>
                <w:color w:val="000000"/>
                <w:sz w:val="20"/>
              </w:rPr>
              <w:t>102</w:t>
            </w:r>
          </w:p>
        </w:tc>
        <w:tc>
          <w:tcPr>
            <w:tcW w:type="dxa" w:w="534"/>
            <w:tcBorders>
              <w:top w:color="000000" w:sz="4" w:val="single"/>
              <w:left w:color="000000" w:sz="4" w:val="single"/>
              <w:bottom w:color="000000" w:sz="4" w:val="single"/>
              <w:right w:color="000000" w:sz="4" w:val="single"/>
            </w:tcBorders>
            <w:shd w:fill="auto" w:val="clear"/>
            <w:vAlign w:val="center"/>
          </w:tcPr>
          <w:p w14:paraId="D00F0000">
            <w:pPr>
              <w:widowControl w:val="1"/>
              <w:ind w:hanging="83"/>
              <w:contextualSpacing w:val="1"/>
              <w:jc w:val="center"/>
              <w:rPr>
                <w:i w:val="1"/>
                <w:color w:val="000000"/>
                <w:sz w:val="20"/>
              </w:rPr>
            </w:pPr>
            <w:r>
              <w:rPr>
                <w:i w:val="1"/>
                <w:color w:val="000000"/>
                <w:sz w:val="20"/>
              </w:rPr>
              <w:t>102</w:t>
            </w:r>
          </w:p>
        </w:tc>
      </w:tr>
      <w:tr>
        <w:trPr>
          <w:trHeight w:hRule="atLeast" w:val="316"/>
          <w:tblHeader/>
        </w:trPr>
        <w:tc>
          <w:tcPr>
            <w:tcW w:type="dxa" w:w="423"/>
            <w:gridSpan w:val="1"/>
            <w:vMerge w:val="continue"/>
            <w:tcBorders>
              <w:top w:sz="4" w:val="nil"/>
              <w:left w:color="000000" w:sz="4" w:val="single"/>
              <w:bottom w:color="000000" w:sz="4" w:val="single"/>
              <w:right w:color="000000" w:sz="4" w:val="single"/>
            </w:tcBorders>
            <w:shd w:fill="auto" w:val="clear"/>
            <w:vAlign w:val="center"/>
          </w:tcPr>
          <w:p/>
        </w:tc>
        <w:tc>
          <w:tcPr>
            <w:tcW w:type="dxa" w:w="1442"/>
            <w:gridSpan w:val="1"/>
            <w:vMerge w:val="continue"/>
            <w:tcBorders>
              <w:top w:sz="4" w:val="nil"/>
              <w:left w:color="000000" w:sz="4" w:val="single"/>
              <w:bottom w:color="000000" w:sz="4" w:val="single"/>
              <w:right w:color="000000" w:sz="4" w:val="single"/>
            </w:tcBorders>
            <w:shd w:fill="auto" w:val="clear"/>
            <w:vAlign w:val="center"/>
          </w:tcPr>
          <w:p/>
        </w:tc>
        <w:tc>
          <w:tcPr>
            <w:tcW w:type="dxa" w:w="960"/>
            <w:tcBorders>
              <w:top w:sz="4" w:val="nil"/>
              <w:left w:sz="4" w:val="nil"/>
              <w:bottom w:color="000000" w:sz="4" w:val="single"/>
              <w:right w:color="000000" w:sz="4" w:val="single"/>
            </w:tcBorders>
            <w:shd w:fill="auto" w:val="clear"/>
            <w:vAlign w:val="center"/>
          </w:tcPr>
          <w:p w14:paraId="D10F0000">
            <w:pPr>
              <w:widowControl w:val="1"/>
              <w:ind w:hanging="83"/>
              <w:contextualSpacing w:val="1"/>
              <w:jc w:val="center"/>
              <w:rPr>
                <w:sz w:val="20"/>
              </w:rPr>
            </w:pPr>
            <w:r>
              <w:rPr>
                <w:sz w:val="20"/>
              </w:rPr>
              <w:t>МВПС</w:t>
            </w:r>
          </w:p>
        </w:tc>
        <w:tc>
          <w:tcPr>
            <w:tcW w:type="dxa" w:w="1201"/>
            <w:tcBorders>
              <w:top w:color="000000" w:sz="4" w:val="single"/>
              <w:left w:sz="4" w:val="nil"/>
              <w:bottom w:color="000000" w:sz="4" w:val="single"/>
              <w:right w:color="000000" w:sz="4" w:val="single"/>
            </w:tcBorders>
            <w:vAlign w:val="center"/>
          </w:tcPr>
          <w:p w14:paraId="D20F0000">
            <w:pPr>
              <w:widowControl w:val="1"/>
              <w:ind w:hanging="83"/>
              <w:contextualSpacing w:val="1"/>
              <w:jc w:val="center"/>
              <w:rPr>
                <w:sz w:val="20"/>
              </w:rPr>
            </w:pPr>
            <w:r>
              <w:rPr>
                <w:sz w:val="20"/>
              </w:rPr>
              <w:t>тыс. ваг/км</w:t>
            </w:r>
          </w:p>
        </w:tc>
        <w:tc>
          <w:tcPr>
            <w:tcW w:type="dxa" w:w="1201"/>
            <w:tcBorders>
              <w:top w:color="000000" w:sz="4" w:val="single"/>
              <w:left w:color="000000" w:sz="4" w:val="single"/>
              <w:bottom w:color="000000" w:sz="4" w:val="single"/>
              <w:right w:color="000000" w:sz="4" w:val="single"/>
            </w:tcBorders>
            <w:shd w:fill="auto" w:val="clear"/>
            <w:vAlign w:val="center"/>
          </w:tcPr>
          <w:p w14:paraId="D30F0000">
            <w:pPr>
              <w:widowControl w:val="1"/>
              <w:ind w:hanging="83"/>
              <w:contextualSpacing w:val="1"/>
              <w:jc w:val="center"/>
              <w:rPr>
                <w:color w:val="000000"/>
                <w:sz w:val="20"/>
              </w:rPr>
            </w:pPr>
            <w:r>
              <w:rPr>
                <w:color w:val="000000"/>
                <w:sz w:val="20"/>
              </w:rPr>
              <w:t>10 905</w:t>
            </w:r>
          </w:p>
        </w:tc>
        <w:tc>
          <w:tcPr>
            <w:tcW w:type="dxa" w:w="1201"/>
            <w:tcBorders>
              <w:top w:color="000000" w:sz="4" w:val="single"/>
              <w:left w:sz="4" w:val="nil"/>
              <w:bottom w:color="000000" w:sz="4" w:val="single"/>
              <w:right w:color="000000" w:sz="4" w:val="single"/>
            </w:tcBorders>
            <w:vAlign w:val="center"/>
          </w:tcPr>
          <w:p w14:paraId="D40F0000">
            <w:pPr>
              <w:widowControl w:val="1"/>
              <w:ind w:hanging="83"/>
              <w:contextualSpacing w:val="1"/>
              <w:jc w:val="center"/>
              <w:rPr>
                <w:color w:val="000000"/>
                <w:sz w:val="20"/>
              </w:rPr>
            </w:pPr>
            <w:r>
              <w:rPr>
                <w:color w:val="000000"/>
                <w:sz w:val="20"/>
              </w:rPr>
              <w:t>10 838</w:t>
            </w:r>
          </w:p>
        </w:tc>
        <w:tc>
          <w:tcPr>
            <w:tcW w:type="dxa" w:w="1067"/>
            <w:tcBorders>
              <w:top w:sz="4" w:val="nil"/>
              <w:left w:color="000000" w:sz="4" w:val="single"/>
              <w:bottom w:color="000000" w:sz="4" w:val="single"/>
              <w:right w:color="000000" w:sz="4" w:val="single"/>
            </w:tcBorders>
            <w:shd w:fill="auto" w:val="clear"/>
            <w:vAlign w:val="center"/>
          </w:tcPr>
          <w:p w14:paraId="D50F0000">
            <w:pPr>
              <w:widowControl w:val="1"/>
              <w:ind w:hanging="83"/>
              <w:contextualSpacing w:val="1"/>
              <w:jc w:val="center"/>
              <w:rPr>
                <w:color w:val="000000"/>
                <w:sz w:val="20"/>
              </w:rPr>
            </w:pPr>
            <w:r>
              <w:rPr>
                <w:color w:val="000000"/>
                <w:sz w:val="20"/>
              </w:rPr>
              <w:t>10 827</w:t>
            </w:r>
          </w:p>
        </w:tc>
        <w:tc>
          <w:tcPr>
            <w:tcW w:type="dxa" w:w="1067"/>
            <w:tcBorders>
              <w:top w:sz="4" w:val="nil"/>
              <w:left w:sz="4" w:val="nil"/>
              <w:bottom w:color="000000" w:sz="4" w:val="single"/>
              <w:right w:color="000000" w:sz="4" w:val="single"/>
            </w:tcBorders>
            <w:shd w:fill="auto" w:val="clear"/>
            <w:vAlign w:val="center"/>
          </w:tcPr>
          <w:p w14:paraId="D60F0000">
            <w:pPr>
              <w:widowControl w:val="1"/>
              <w:ind w:hanging="83"/>
              <w:contextualSpacing w:val="1"/>
              <w:jc w:val="center"/>
              <w:rPr>
                <w:color w:val="000000"/>
                <w:sz w:val="20"/>
              </w:rPr>
            </w:pPr>
            <w:r>
              <w:rPr>
                <w:color w:val="000000"/>
                <w:sz w:val="20"/>
              </w:rPr>
              <w:t>11 082</w:t>
            </w:r>
          </w:p>
        </w:tc>
        <w:tc>
          <w:tcPr>
            <w:tcW w:type="dxa" w:w="668"/>
            <w:tcBorders>
              <w:top w:color="000000" w:sz="4" w:val="single"/>
              <w:left w:color="000000" w:sz="4" w:val="single"/>
              <w:bottom w:color="000000" w:sz="4" w:val="single"/>
              <w:right w:color="000000" w:sz="4" w:val="single"/>
            </w:tcBorders>
            <w:vAlign w:val="center"/>
          </w:tcPr>
          <w:p w14:paraId="D70F0000">
            <w:pPr>
              <w:widowControl w:val="1"/>
              <w:ind w:hanging="83"/>
              <w:contextualSpacing w:val="1"/>
              <w:jc w:val="center"/>
              <w:rPr>
                <w:i w:val="1"/>
                <w:color w:val="000000"/>
                <w:sz w:val="20"/>
              </w:rPr>
            </w:pPr>
            <w:r>
              <w:rPr>
                <w:i w:val="1"/>
                <w:color w:val="000000"/>
                <w:sz w:val="20"/>
              </w:rPr>
              <w:t>102</w:t>
            </w:r>
          </w:p>
        </w:tc>
        <w:tc>
          <w:tcPr>
            <w:tcW w:type="dxa" w:w="534"/>
            <w:tcBorders>
              <w:top w:color="000000" w:sz="4" w:val="single"/>
              <w:left w:color="000000" w:sz="4" w:val="single"/>
              <w:bottom w:color="000000" w:sz="4" w:val="single"/>
              <w:right w:color="000000" w:sz="4" w:val="single"/>
            </w:tcBorders>
            <w:shd w:fill="auto" w:val="clear"/>
            <w:vAlign w:val="center"/>
          </w:tcPr>
          <w:p w14:paraId="D80F0000">
            <w:pPr>
              <w:widowControl w:val="1"/>
              <w:ind w:hanging="83"/>
              <w:contextualSpacing w:val="1"/>
              <w:jc w:val="center"/>
              <w:rPr>
                <w:i w:val="1"/>
                <w:color w:val="000000"/>
                <w:sz w:val="20"/>
              </w:rPr>
            </w:pPr>
            <w:r>
              <w:rPr>
                <w:i w:val="1"/>
                <w:color w:val="000000"/>
                <w:sz w:val="20"/>
              </w:rPr>
              <w:t>102</w:t>
            </w:r>
          </w:p>
        </w:tc>
      </w:tr>
      <w:tr>
        <w:trPr>
          <w:trHeight w:hRule="atLeast" w:val="316"/>
          <w:tblHeader/>
        </w:trPr>
        <w:tc>
          <w:tcPr>
            <w:tcW w:type="dxa" w:w="423"/>
            <w:gridSpan w:val="1"/>
            <w:vMerge w:val="continue"/>
            <w:tcBorders>
              <w:top w:sz="4" w:val="nil"/>
              <w:left w:color="000000" w:sz="4" w:val="single"/>
              <w:bottom w:color="000000" w:sz="4" w:val="single"/>
              <w:right w:color="000000" w:sz="4" w:val="single"/>
            </w:tcBorders>
            <w:shd w:fill="auto" w:val="clear"/>
            <w:vAlign w:val="center"/>
          </w:tcPr>
          <w:p/>
        </w:tc>
        <w:tc>
          <w:tcPr>
            <w:tcW w:type="dxa" w:w="1442"/>
            <w:gridSpan w:val="1"/>
            <w:vMerge w:val="continue"/>
            <w:tcBorders>
              <w:top w:sz="4" w:val="nil"/>
              <w:left w:color="000000" w:sz="4" w:val="single"/>
              <w:bottom w:color="000000" w:sz="4" w:val="single"/>
              <w:right w:color="000000" w:sz="4" w:val="single"/>
            </w:tcBorders>
            <w:shd w:fill="auto" w:val="clear"/>
            <w:vAlign w:val="center"/>
          </w:tcPr>
          <w:p/>
        </w:tc>
        <w:tc>
          <w:tcPr>
            <w:tcW w:type="dxa" w:w="960"/>
            <w:tcBorders>
              <w:top w:sz="4" w:val="nil"/>
              <w:left w:sz="4" w:val="nil"/>
              <w:bottom w:color="000000" w:sz="4" w:val="single"/>
              <w:right w:color="000000" w:sz="4" w:val="single"/>
            </w:tcBorders>
            <w:shd w:fill="auto" w:val="clear"/>
            <w:vAlign w:val="center"/>
          </w:tcPr>
          <w:p w14:paraId="D90F0000">
            <w:pPr>
              <w:widowControl w:val="1"/>
              <w:ind w:hanging="83"/>
              <w:contextualSpacing w:val="1"/>
              <w:jc w:val="center"/>
              <w:rPr>
                <w:sz w:val="20"/>
              </w:rPr>
            </w:pPr>
            <w:r>
              <w:rPr>
                <w:sz w:val="20"/>
              </w:rPr>
              <w:t>т. тяга</w:t>
            </w:r>
          </w:p>
        </w:tc>
        <w:tc>
          <w:tcPr>
            <w:tcW w:type="dxa" w:w="1201"/>
            <w:tcBorders>
              <w:top w:color="000000" w:sz="4" w:val="single"/>
              <w:left w:sz="4" w:val="nil"/>
              <w:bottom w:color="000000" w:sz="4" w:val="single"/>
              <w:right w:color="000000" w:sz="4" w:val="single"/>
            </w:tcBorders>
            <w:vAlign w:val="center"/>
          </w:tcPr>
          <w:p w14:paraId="DA0F0000">
            <w:pPr>
              <w:widowControl w:val="1"/>
              <w:ind w:hanging="83"/>
              <w:contextualSpacing w:val="1"/>
              <w:jc w:val="center"/>
              <w:rPr>
                <w:sz w:val="20"/>
              </w:rPr>
            </w:pPr>
            <w:r>
              <w:rPr>
                <w:sz w:val="20"/>
              </w:rPr>
              <w:t>тыс. ваг/км</w:t>
            </w:r>
          </w:p>
        </w:tc>
        <w:tc>
          <w:tcPr>
            <w:tcW w:type="dxa" w:w="1201"/>
            <w:tcBorders>
              <w:top w:color="000000" w:sz="4" w:val="single"/>
              <w:left w:color="000000" w:sz="4" w:val="single"/>
              <w:bottom w:color="000000" w:sz="4" w:val="single"/>
              <w:right w:color="000000" w:sz="4" w:val="single"/>
            </w:tcBorders>
            <w:shd w:fill="auto" w:val="clear"/>
            <w:vAlign w:val="center"/>
          </w:tcPr>
          <w:p w14:paraId="DB0F0000">
            <w:pPr>
              <w:widowControl w:val="1"/>
              <w:ind w:hanging="83"/>
              <w:contextualSpacing w:val="1"/>
              <w:jc w:val="center"/>
              <w:rPr>
                <w:color w:val="000000"/>
                <w:sz w:val="20"/>
              </w:rPr>
            </w:pPr>
            <w:r>
              <w:rPr>
                <w:color w:val="000000"/>
                <w:sz w:val="20"/>
              </w:rPr>
              <w:t>579</w:t>
            </w:r>
          </w:p>
        </w:tc>
        <w:tc>
          <w:tcPr>
            <w:tcW w:type="dxa" w:w="1201"/>
            <w:tcBorders>
              <w:top w:color="000000" w:sz="4" w:val="single"/>
              <w:left w:sz="4" w:val="nil"/>
              <w:bottom w:color="000000" w:sz="4" w:val="single"/>
              <w:right w:color="000000" w:sz="4" w:val="single"/>
            </w:tcBorders>
            <w:vAlign w:val="center"/>
          </w:tcPr>
          <w:p w14:paraId="DC0F0000">
            <w:pPr>
              <w:widowControl w:val="1"/>
              <w:ind w:hanging="83"/>
              <w:contextualSpacing w:val="1"/>
              <w:jc w:val="center"/>
              <w:rPr>
                <w:color w:val="000000"/>
                <w:sz w:val="20"/>
              </w:rPr>
            </w:pPr>
            <w:r>
              <w:rPr>
                <w:color w:val="000000"/>
                <w:sz w:val="20"/>
              </w:rPr>
              <w:t>595</w:t>
            </w:r>
          </w:p>
        </w:tc>
        <w:tc>
          <w:tcPr>
            <w:tcW w:type="dxa" w:w="1067"/>
            <w:tcBorders>
              <w:top w:sz="4" w:val="nil"/>
              <w:left w:color="000000" w:sz="4" w:val="single"/>
              <w:bottom w:color="000000" w:sz="4" w:val="single"/>
              <w:right w:color="000000" w:sz="4" w:val="single"/>
            </w:tcBorders>
            <w:shd w:fill="auto" w:val="clear"/>
            <w:vAlign w:val="center"/>
          </w:tcPr>
          <w:p w14:paraId="DD0F0000">
            <w:pPr>
              <w:widowControl w:val="1"/>
              <w:ind w:hanging="83"/>
              <w:contextualSpacing w:val="1"/>
              <w:jc w:val="center"/>
              <w:rPr>
                <w:color w:val="000000"/>
                <w:sz w:val="20"/>
              </w:rPr>
            </w:pPr>
            <w:r>
              <w:rPr>
                <w:color w:val="000000"/>
                <w:sz w:val="20"/>
              </w:rPr>
              <w:t>611</w:t>
            </w:r>
          </w:p>
        </w:tc>
        <w:tc>
          <w:tcPr>
            <w:tcW w:type="dxa" w:w="1067"/>
            <w:tcBorders>
              <w:top w:sz="4" w:val="nil"/>
              <w:left w:sz="4" w:val="nil"/>
              <w:bottom w:color="000000" w:sz="4" w:val="single"/>
              <w:right w:color="000000" w:sz="4" w:val="single"/>
            </w:tcBorders>
            <w:shd w:fill="auto" w:val="clear"/>
            <w:vAlign w:val="center"/>
          </w:tcPr>
          <w:p w14:paraId="DE0F0000">
            <w:pPr>
              <w:widowControl w:val="1"/>
              <w:ind w:hanging="83"/>
              <w:contextualSpacing w:val="1"/>
              <w:jc w:val="center"/>
              <w:rPr>
                <w:color w:val="000000"/>
                <w:sz w:val="20"/>
              </w:rPr>
            </w:pPr>
            <w:r>
              <w:rPr>
                <w:color w:val="000000"/>
                <w:sz w:val="20"/>
              </w:rPr>
              <w:t>591</w:t>
            </w:r>
          </w:p>
        </w:tc>
        <w:tc>
          <w:tcPr>
            <w:tcW w:type="dxa" w:w="668"/>
            <w:tcBorders>
              <w:top w:color="000000" w:sz="4" w:val="single"/>
              <w:left w:color="000000" w:sz="4" w:val="single"/>
              <w:bottom w:color="000000" w:sz="4" w:val="single"/>
              <w:right w:color="000000" w:sz="4" w:val="single"/>
            </w:tcBorders>
            <w:vAlign w:val="center"/>
          </w:tcPr>
          <w:p w14:paraId="DF0F0000">
            <w:pPr>
              <w:widowControl w:val="1"/>
              <w:ind w:hanging="83"/>
              <w:contextualSpacing w:val="1"/>
              <w:jc w:val="center"/>
              <w:rPr>
                <w:i w:val="1"/>
                <w:color w:val="000000"/>
                <w:sz w:val="20"/>
              </w:rPr>
            </w:pPr>
            <w:r>
              <w:rPr>
                <w:i w:val="1"/>
                <w:color w:val="000000"/>
                <w:sz w:val="20"/>
              </w:rPr>
              <w:t>99</w:t>
            </w:r>
          </w:p>
        </w:tc>
        <w:tc>
          <w:tcPr>
            <w:tcW w:type="dxa" w:w="534"/>
            <w:tcBorders>
              <w:top w:color="000000" w:sz="4" w:val="single"/>
              <w:left w:color="000000" w:sz="4" w:val="single"/>
              <w:bottom w:color="000000" w:sz="4" w:val="single"/>
              <w:right w:color="000000" w:sz="4" w:val="single"/>
            </w:tcBorders>
            <w:shd w:fill="auto" w:val="clear"/>
            <w:vAlign w:val="center"/>
          </w:tcPr>
          <w:p w14:paraId="E00F0000">
            <w:pPr>
              <w:widowControl w:val="1"/>
              <w:ind w:hanging="83"/>
              <w:contextualSpacing w:val="1"/>
              <w:jc w:val="center"/>
              <w:rPr>
                <w:i w:val="1"/>
                <w:color w:val="000000"/>
                <w:sz w:val="20"/>
              </w:rPr>
            </w:pPr>
            <w:r>
              <w:rPr>
                <w:i w:val="1"/>
                <w:color w:val="000000"/>
                <w:sz w:val="20"/>
              </w:rPr>
              <w:t>97</w:t>
            </w:r>
          </w:p>
        </w:tc>
      </w:tr>
      <w:tr>
        <w:trPr>
          <w:trHeight w:hRule="atLeast" w:val="344"/>
          <w:tblHeader/>
        </w:trPr>
        <w:tc>
          <w:tcPr>
            <w:tcW w:type="dxa" w:w="423"/>
            <w:vMerge w:val="restart"/>
            <w:tcBorders>
              <w:top w:sz="4" w:val="nil"/>
              <w:left w:color="000000" w:sz="4" w:val="single"/>
              <w:bottom w:color="000000" w:sz="4" w:val="single"/>
              <w:right w:color="000000" w:sz="4" w:val="single"/>
            </w:tcBorders>
            <w:shd w:fill="auto" w:val="clear"/>
            <w:vAlign w:val="center"/>
          </w:tcPr>
          <w:p w14:paraId="E10F0000">
            <w:pPr>
              <w:widowControl w:val="1"/>
              <w:ind w:firstLine="709" w:left="-795"/>
              <w:contextualSpacing w:val="1"/>
              <w:jc w:val="center"/>
              <w:rPr>
                <w:sz w:val="20"/>
              </w:rPr>
            </w:pPr>
            <w:r>
              <w:rPr>
                <w:sz w:val="20"/>
              </w:rPr>
              <w:t>2</w:t>
            </w:r>
          </w:p>
        </w:tc>
        <w:tc>
          <w:tcPr>
            <w:tcW w:type="dxa" w:w="1442"/>
            <w:vMerge w:val="restart"/>
            <w:tcBorders>
              <w:top w:sz="4" w:val="nil"/>
              <w:left w:color="000000" w:sz="4" w:val="single"/>
              <w:bottom w:color="000000" w:sz="4" w:val="single"/>
              <w:right w:color="000000" w:sz="4" w:val="single"/>
            </w:tcBorders>
            <w:shd w:fill="auto" w:val="clear"/>
            <w:vAlign w:val="center"/>
          </w:tcPr>
          <w:p w14:paraId="E20F0000">
            <w:pPr>
              <w:widowControl w:val="1"/>
              <w:ind w:hanging="83"/>
              <w:contextualSpacing w:val="1"/>
              <w:jc w:val="center"/>
              <w:rPr>
                <w:sz w:val="20"/>
              </w:rPr>
            </w:pPr>
            <w:r>
              <w:rPr>
                <w:sz w:val="20"/>
              </w:rPr>
              <w:t>Поездокилометровая работа</w:t>
            </w:r>
          </w:p>
        </w:tc>
        <w:tc>
          <w:tcPr>
            <w:tcW w:type="dxa" w:w="960"/>
            <w:tcBorders>
              <w:top w:sz="4" w:val="nil"/>
              <w:left w:sz="4" w:val="nil"/>
              <w:bottom w:color="000000" w:sz="4" w:val="single"/>
              <w:right w:color="000000" w:sz="4" w:val="single"/>
            </w:tcBorders>
            <w:shd w:fill="auto" w:val="clear"/>
            <w:vAlign w:val="center"/>
          </w:tcPr>
          <w:p w14:paraId="E30F0000">
            <w:pPr>
              <w:widowControl w:val="1"/>
              <w:ind w:hanging="83"/>
              <w:contextualSpacing w:val="1"/>
              <w:jc w:val="center"/>
              <w:rPr>
                <w:sz w:val="20"/>
              </w:rPr>
            </w:pPr>
            <w:r>
              <w:rPr>
                <w:sz w:val="20"/>
              </w:rPr>
              <w:t>ВСЕГО</w:t>
            </w:r>
          </w:p>
        </w:tc>
        <w:tc>
          <w:tcPr>
            <w:tcW w:type="dxa" w:w="1201"/>
            <w:tcBorders>
              <w:top w:color="000000" w:sz="4" w:val="single"/>
              <w:left w:sz="4" w:val="nil"/>
              <w:bottom w:color="000000" w:sz="4" w:val="single"/>
              <w:right w:color="000000" w:sz="4" w:val="single"/>
            </w:tcBorders>
            <w:vAlign w:val="center"/>
          </w:tcPr>
          <w:p w14:paraId="E40F0000">
            <w:pPr>
              <w:widowControl w:val="1"/>
              <w:ind w:hanging="83"/>
              <w:contextualSpacing w:val="1"/>
              <w:jc w:val="center"/>
              <w:rPr>
                <w:sz w:val="20"/>
              </w:rPr>
            </w:pPr>
            <w:r>
              <w:rPr>
                <w:sz w:val="20"/>
              </w:rPr>
              <w:t>тыс. поездо/км</w:t>
            </w:r>
          </w:p>
        </w:tc>
        <w:tc>
          <w:tcPr>
            <w:tcW w:type="dxa" w:w="1201"/>
            <w:tcBorders>
              <w:top w:color="000000" w:sz="4" w:val="single"/>
              <w:left w:color="000000" w:sz="4" w:val="single"/>
              <w:bottom w:color="000000" w:sz="4" w:val="single"/>
              <w:right w:color="000000" w:sz="4" w:val="single"/>
            </w:tcBorders>
            <w:shd w:fill="auto" w:val="clear"/>
            <w:vAlign w:val="center"/>
          </w:tcPr>
          <w:p w14:paraId="E50F0000">
            <w:pPr>
              <w:widowControl w:val="1"/>
              <w:ind w:hanging="83"/>
              <w:contextualSpacing w:val="1"/>
              <w:jc w:val="center"/>
              <w:rPr>
                <w:color w:val="000000"/>
                <w:sz w:val="20"/>
              </w:rPr>
            </w:pPr>
            <w:r>
              <w:rPr>
                <w:color w:val="000000"/>
                <w:sz w:val="20"/>
              </w:rPr>
              <w:t>2 688</w:t>
            </w:r>
          </w:p>
        </w:tc>
        <w:tc>
          <w:tcPr>
            <w:tcW w:type="dxa" w:w="1201"/>
            <w:tcBorders>
              <w:top w:color="000000" w:sz="4" w:val="single"/>
              <w:left w:sz="4" w:val="nil"/>
              <w:bottom w:color="000000" w:sz="4" w:val="single"/>
              <w:right w:color="000000" w:sz="4" w:val="single"/>
            </w:tcBorders>
            <w:vAlign w:val="center"/>
          </w:tcPr>
          <w:p w14:paraId="E60F0000">
            <w:pPr>
              <w:widowControl w:val="1"/>
              <w:ind w:hanging="83"/>
              <w:contextualSpacing w:val="1"/>
              <w:jc w:val="center"/>
              <w:rPr>
                <w:color w:val="000000"/>
                <w:sz w:val="20"/>
              </w:rPr>
            </w:pPr>
            <w:r>
              <w:rPr>
                <w:color w:val="000000"/>
                <w:sz w:val="20"/>
              </w:rPr>
              <w:t>2 738</w:t>
            </w:r>
          </w:p>
        </w:tc>
        <w:tc>
          <w:tcPr>
            <w:tcW w:type="dxa" w:w="1067"/>
            <w:tcBorders>
              <w:top w:sz="4" w:val="nil"/>
              <w:left w:color="000000" w:sz="4" w:val="single"/>
              <w:bottom w:color="000000" w:sz="4" w:val="single"/>
              <w:right w:color="000000" w:sz="4" w:val="single"/>
            </w:tcBorders>
            <w:shd w:fill="auto" w:val="clear"/>
            <w:vAlign w:val="center"/>
          </w:tcPr>
          <w:p w14:paraId="E70F0000">
            <w:pPr>
              <w:widowControl w:val="1"/>
              <w:ind w:hanging="83"/>
              <w:contextualSpacing w:val="1"/>
              <w:jc w:val="center"/>
              <w:rPr>
                <w:color w:val="000000"/>
                <w:sz w:val="20"/>
              </w:rPr>
            </w:pPr>
            <w:r>
              <w:rPr>
                <w:color w:val="000000"/>
                <w:sz w:val="20"/>
              </w:rPr>
              <w:t>2 767</w:t>
            </w:r>
          </w:p>
        </w:tc>
        <w:tc>
          <w:tcPr>
            <w:tcW w:type="dxa" w:w="1067"/>
            <w:tcBorders>
              <w:top w:sz="4" w:val="nil"/>
              <w:left w:sz="4" w:val="nil"/>
              <w:bottom w:color="000000" w:sz="4" w:val="single"/>
              <w:right w:color="000000" w:sz="4" w:val="single"/>
            </w:tcBorders>
            <w:shd w:fill="auto" w:val="clear"/>
            <w:vAlign w:val="center"/>
          </w:tcPr>
          <w:p w14:paraId="E80F0000">
            <w:pPr>
              <w:widowControl w:val="1"/>
              <w:ind w:hanging="83"/>
              <w:contextualSpacing w:val="1"/>
              <w:jc w:val="center"/>
              <w:rPr>
                <w:color w:val="000000"/>
                <w:sz w:val="20"/>
              </w:rPr>
            </w:pPr>
            <w:r>
              <w:rPr>
                <w:color w:val="000000"/>
                <w:sz w:val="20"/>
              </w:rPr>
              <w:t>2 794</w:t>
            </w:r>
          </w:p>
        </w:tc>
        <w:tc>
          <w:tcPr>
            <w:tcW w:type="dxa" w:w="668"/>
            <w:tcBorders>
              <w:top w:color="000000" w:sz="4" w:val="single"/>
              <w:left w:color="000000" w:sz="4" w:val="single"/>
              <w:bottom w:color="000000" w:sz="4" w:val="single"/>
              <w:right w:color="000000" w:sz="4" w:val="single"/>
            </w:tcBorders>
            <w:vAlign w:val="center"/>
          </w:tcPr>
          <w:p w14:paraId="E90F0000">
            <w:pPr>
              <w:widowControl w:val="1"/>
              <w:ind w:hanging="83"/>
              <w:contextualSpacing w:val="1"/>
              <w:jc w:val="center"/>
              <w:rPr>
                <w:i w:val="1"/>
                <w:color w:val="000000"/>
                <w:sz w:val="20"/>
              </w:rPr>
            </w:pPr>
            <w:r>
              <w:rPr>
                <w:i w:val="1"/>
                <w:color w:val="000000"/>
                <w:sz w:val="20"/>
              </w:rPr>
              <w:t>102</w:t>
            </w:r>
          </w:p>
        </w:tc>
        <w:tc>
          <w:tcPr>
            <w:tcW w:type="dxa" w:w="534"/>
            <w:tcBorders>
              <w:top w:color="000000" w:sz="4" w:val="single"/>
              <w:left w:color="000000" w:sz="4" w:val="single"/>
              <w:bottom w:color="000000" w:sz="4" w:val="single"/>
              <w:right w:color="000000" w:sz="4" w:val="single"/>
            </w:tcBorders>
            <w:shd w:fill="auto" w:val="clear"/>
            <w:vAlign w:val="center"/>
          </w:tcPr>
          <w:p w14:paraId="EA0F0000">
            <w:pPr>
              <w:widowControl w:val="1"/>
              <w:ind w:hanging="83"/>
              <w:contextualSpacing w:val="1"/>
              <w:jc w:val="center"/>
              <w:rPr>
                <w:i w:val="1"/>
                <w:color w:val="000000"/>
                <w:sz w:val="20"/>
              </w:rPr>
            </w:pPr>
            <w:r>
              <w:rPr>
                <w:i w:val="1"/>
                <w:color w:val="000000"/>
                <w:sz w:val="20"/>
              </w:rPr>
              <w:t>101</w:t>
            </w:r>
          </w:p>
        </w:tc>
      </w:tr>
      <w:tr>
        <w:trPr>
          <w:trHeight w:hRule="atLeast" w:val="331"/>
          <w:tblHeader/>
        </w:trPr>
        <w:tc>
          <w:tcPr>
            <w:tcW w:type="dxa" w:w="423"/>
            <w:gridSpan w:val="1"/>
            <w:vMerge w:val="continue"/>
            <w:tcBorders>
              <w:top w:sz="4" w:val="nil"/>
              <w:left w:color="000000" w:sz="4" w:val="single"/>
              <w:bottom w:color="000000" w:sz="4" w:val="single"/>
              <w:right w:color="000000" w:sz="4" w:val="single"/>
            </w:tcBorders>
            <w:shd w:fill="auto" w:val="clear"/>
            <w:vAlign w:val="center"/>
          </w:tcPr>
          <w:p/>
        </w:tc>
        <w:tc>
          <w:tcPr>
            <w:tcW w:type="dxa" w:w="1442"/>
            <w:gridSpan w:val="1"/>
            <w:vMerge w:val="continue"/>
            <w:tcBorders>
              <w:top w:sz="4" w:val="nil"/>
              <w:left w:color="000000" w:sz="4" w:val="single"/>
              <w:bottom w:color="000000" w:sz="4" w:val="single"/>
              <w:right w:color="000000" w:sz="4" w:val="single"/>
            </w:tcBorders>
            <w:shd w:fill="auto" w:val="clear"/>
            <w:vAlign w:val="center"/>
          </w:tcPr>
          <w:p/>
        </w:tc>
        <w:tc>
          <w:tcPr>
            <w:tcW w:type="dxa" w:w="960"/>
            <w:tcBorders>
              <w:top w:sz="4" w:val="nil"/>
              <w:left w:sz="4" w:val="nil"/>
              <w:bottom w:color="000000" w:sz="4" w:val="single"/>
              <w:right w:color="000000" w:sz="4" w:val="single"/>
            </w:tcBorders>
            <w:shd w:fill="auto" w:val="clear"/>
            <w:vAlign w:val="center"/>
          </w:tcPr>
          <w:p w14:paraId="EB0F0000">
            <w:pPr>
              <w:widowControl w:val="1"/>
              <w:ind w:hanging="83"/>
              <w:contextualSpacing w:val="1"/>
              <w:jc w:val="center"/>
              <w:rPr>
                <w:sz w:val="20"/>
              </w:rPr>
            </w:pPr>
            <w:r>
              <w:rPr>
                <w:sz w:val="20"/>
              </w:rPr>
              <w:t>МВПС</w:t>
            </w:r>
          </w:p>
        </w:tc>
        <w:tc>
          <w:tcPr>
            <w:tcW w:type="dxa" w:w="1201"/>
            <w:tcBorders>
              <w:top w:color="000000" w:sz="4" w:val="single"/>
              <w:left w:sz="4" w:val="nil"/>
              <w:bottom w:color="000000" w:sz="4" w:val="single"/>
              <w:right w:color="000000" w:sz="4" w:val="single"/>
            </w:tcBorders>
            <w:vAlign w:val="center"/>
          </w:tcPr>
          <w:p w14:paraId="EC0F0000">
            <w:pPr>
              <w:widowControl w:val="1"/>
              <w:ind w:hanging="83"/>
              <w:contextualSpacing w:val="1"/>
              <w:jc w:val="center"/>
              <w:rPr>
                <w:sz w:val="20"/>
              </w:rPr>
            </w:pPr>
            <w:r>
              <w:rPr>
                <w:sz w:val="20"/>
              </w:rPr>
              <w:t>тыс. поездо/км</w:t>
            </w:r>
          </w:p>
        </w:tc>
        <w:tc>
          <w:tcPr>
            <w:tcW w:type="dxa" w:w="1201"/>
            <w:tcBorders>
              <w:top w:color="000000" w:sz="4" w:val="single"/>
              <w:left w:color="000000" w:sz="4" w:val="single"/>
              <w:bottom w:color="000000" w:sz="4" w:val="single"/>
              <w:right w:color="000000" w:sz="4" w:val="single"/>
            </w:tcBorders>
            <w:shd w:fill="auto" w:val="clear"/>
            <w:vAlign w:val="center"/>
          </w:tcPr>
          <w:p w14:paraId="ED0F0000">
            <w:pPr>
              <w:widowControl w:val="1"/>
              <w:ind w:hanging="83"/>
              <w:contextualSpacing w:val="1"/>
              <w:jc w:val="center"/>
              <w:rPr>
                <w:color w:val="000000"/>
                <w:sz w:val="20"/>
              </w:rPr>
            </w:pPr>
            <w:r>
              <w:rPr>
                <w:color w:val="000000"/>
                <w:sz w:val="20"/>
              </w:rPr>
              <w:t>2 311</w:t>
            </w:r>
          </w:p>
        </w:tc>
        <w:tc>
          <w:tcPr>
            <w:tcW w:type="dxa" w:w="1201"/>
            <w:tcBorders>
              <w:top w:color="000000" w:sz="4" w:val="single"/>
              <w:left w:sz="4" w:val="nil"/>
              <w:bottom w:color="000000" w:sz="4" w:val="single"/>
              <w:right w:color="000000" w:sz="4" w:val="single"/>
            </w:tcBorders>
            <w:vAlign w:val="center"/>
          </w:tcPr>
          <w:p w14:paraId="EE0F0000">
            <w:pPr>
              <w:widowControl w:val="1"/>
              <w:ind w:hanging="83"/>
              <w:contextualSpacing w:val="1"/>
              <w:jc w:val="center"/>
              <w:rPr>
                <w:color w:val="000000"/>
                <w:sz w:val="20"/>
              </w:rPr>
            </w:pPr>
            <w:r>
              <w:rPr>
                <w:color w:val="000000"/>
                <w:sz w:val="20"/>
              </w:rPr>
              <w:t>2 339</w:t>
            </w:r>
          </w:p>
        </w:tc>
        <w:tc>
          <w:tcPr>
            <w:tcW w:type="dxa" w:w="1067"/>
            <w:tcBorders>
              <w:top w:sz="4" w:val="nil"/>
              <w:left w:color="000000" w:sz="4" w:val="single"/>
              <w:bottom w:color="000000" w:sz="4" w:val="single"/>
              <w:right w:color="000000" w:sz="4" w:val="single"/>
            </w:tcBorders>
            <w:shd w:fill="auto" w:val="clear"/>
            <w:vAlign w:val="center"/>
          </w:tcPr>
          <w:p w14:paraId="EF0F0000">
            <w:pPr>
              <w:widowControl w:val="1"/>
              <w:ind w:hanging="83"/>
              <w:contextualSpacing w:val="1"/>
              <w:jc w:val="center"/>
              <w:rPr>
                <w:color w:val="000000"/>
                <w:sz w:val="20"/>
              </w:rPr>
            </w:pPr>
            <w:r>
              <w:rPr>
                <w:color w:val="000000"/>
                <w:sz w:val="20"/>
              </w:rPr>
              <w:t>2 369</w:t>
            </w:r>
          </w:p>
        </w:tc>
        <w:tc>
          <w:tcPr>
            <w:tcW w:type="dxa" w:w="1067"/>
            <w:tcBorders>
              <w:top w:sz="4" w:val="nil"/>
              <w:left w:sz="4" w:val="nil"/>
              <w:bottom w:color="000000" w:sz="4" w:val="single"/>
              <w:right w:color="000000" w:sz="4" w:val="single"/>
            </w:tcBorders>
            <w:shd w:fill="auto" w:val="clear"/>
            <w:vAlign w:val="center"/>
          </w:tcPr>
          <w:p w14:paraId="F00F0000">
            <w:pPr>
              <w:widowControl w:val="1"/>
              <w:ind w:hanging="83"/>
              <w:contextualSpacing w:val="1"/>
              <w:jc w:val="center"/>
              <w:rPr>
                <w:color w:val="000000"/>
                <w:sz w:val="20"/>
              </w:rPr>
            </w:pPr>
            <w:r>
              <w:rPr>
                <w:color w:val="000000"/>
                <w:sz w:val="20"/>
              </w:rPr>
              <w:t>2 396</w:t>
            </w:r>
          </w:p>
        </w:tc>
        <w:tc>
          <w:tcPr>
            <w:tcW w:type="dxa" w:w="668"/>
            <w:tcBorders>
              <w:top w:color="000000" w:sz="4" w:val="single"/>
              <w:left w:color="000000" w:sz="4" w:val="single"/>
              <w:bottom w:color="000000" w:sz="4" w:val="single"/>
              <w:right w:color="000000" w:sz="4" w:val="single"/>
            </w:tcBorders>
            <w:vAlign w:val="center"/>
          </w:tcPr>
          <w:p w14:paraId="F10F0000">
            <w:pPr>
              <w:widowControl w:val="1"/>
              <w:ind w:hanging="83"/>
              <w:contextualSpacing w:val="1"/>
              <w:jc w:val="center"/>
              <w:rPr>
                <w:i w:val="1"/>
                <w:color w:val="000000"/>
                <w:sz w:val="20"/>
              </w:rPr>
            </w:pPr>
            <w:r>
              <w:rPr>
                <w:i w:val="1"/>
                <w:color w:val="000000"/>
                <w:sz w:val="20"/>
              </w:rPr>
              <w:t>102</w:t>
            </w:r>
          </w:p>
        </w:tc>
        <w:tc>
          <w:tcPr>
            <w:tcW w:type="dxa" w:w="534"/>
            <w:tcBorders>
              <w:top w:color="000000" w:sz="4" w:val="single"/>
              <w:left w:color="000000" w:sz="4" w:val="single"/>
              <w:bottom w:color="000000" w:sz="4" w:val="single"/>
              <w:right w:color="000000" w:sz="4" w:val="single"/>
            </w:tcBorders>
            <w:shd w:fill="auto" w:val="clear"/>
            <w:vAlign w:val="center"/>
          </w:tcPr>
          <w:p w14:paraId="F20F0000">
            <w:pPr>
              <w:widowControl w:val="1"/>
              <w:ind w:hanging="83"/>
              <w:contextualSpacing w:val="1"/>
              <w:jc w:val="center"/>
              <w:rPr>
                <w:i w:val="1"/>
                <w:color w:val="000000"/>
                <w:sz w:val="20"/>
              </w:rPr>
            </w:pPr>
            <w:r>
              <w:rPr>
                <w:i w:val="1"/>
                <w:color w:val="000000"/>
                <w:sz w:val="20"/>
              </w:rPr>
              <w:t>101</w:t>
            </w:r>
          </w:p>
        </w:tc>
      </w:tr>
      <w:tr>
        <w:trPr>
          <w:trHeight w:hRule="atLeast" w:val="338"/>
          <w:tblHeader/>
        </w:trPr>
        <w:tc>
          <w:tcPr>
            <w:tcW w:type="dxa" w:w="423"/>
            <w:gridSpan w:val="1"/>
            <w:vMerge w:val="continue"/>
            <w:tcBorders>
              <w:top w:sz="4" w:val="nil"/>
              <w:left w:color="000000" w:sz="4" w:val="single"/>
              <w:bottom w:color="000000" w:sz="4" w:val="single"/>
              <w:right w:color="000000" w:sz="4" w:val="single"/>
            </w:tcBorders>
            <w:shd w:fill="auto" w:val="clear"/>
            <w:vAlign w:val="center"/>
          </w:tcPr>
          <w:p/>
        </w:tc>
        <w:tc>
          <w:tcPr>
            <w:tcW w:type="dxa" w:w="1442"/>
            <w:gridSpan w:val="1"/>
            <w:vMerge w:val="continue"/>
            <w:tcBorders>
              <w:top w:sz="4" w:val="nil"/>
              <w:left w:color="000000" w:sz="4" w:val="single"/>
              <w:bottom w:color="000000" w:sz="4" w:val="single"/>
              <w:right w:color="000000" w:sz="4" w:val="single"/>
            </w:tcBorders>
            <w:shd w:fill="auto" w:val="clear"/>
            <w:vAlign w:val="center"/>
          </w:tcPr>
          <w:p/>
        </w:tc>
        <w:tc>
          <w:tcPr>
            <w:tcW w:type="dxa" w:w="960"/>
            <w:tcBorders>
              <w:top w:sz="4" w:val="nil"/>
              <w:left w:sz="4" w:val="nil"/>
              <w:bottom w:color="000000" w:sz="4" w:val="single"/>
              <w:right w:color="000000" w:sz="4" w:val="single"/>
            </w:tcBorders>
            <w:shd w:fill="auto" w:val="clear"/>
            <w:vAlign w:val="center"/>
          </w:tcPr>
          <w:p w14:paraId="F30F0000">
            <w:pPr>
              <w:widowControl w:val="1"/>
              <w:ind w:hanging="83"/>
              <w:contextualSpacing w:val="1"/>
              <w:jc w:val="center"/>
              <w:rPr>
                <w:sz w:val="20"/>
              </w:rPr>
            </w:pPr>
            <w:r>
              <w:rPr>
                <w:sz w:val="20"/>
              </w:rPr>
              <w:t>т. тяга</w:t>
            </w:r>
          </w:p>
        </w:tc>
        <w:tc>
          <w:tcPr>
            <w:tcW w:type="dxa" w:w="1201"/>
            <w:tcBorders>
              <w:top w:color="000000" w:sz="4" w:val="single"/>
              <w:left w:sz="4" w:val="nil"/>
              <w:bottom w:color="000000" w:sz="4" w:val="single"/>
              <w:right w:color="000000" w:sz="4" w:val="single"/>
            </w:tcBorders>
            <w:vAlign w:val="center"/>
          </w:tcPr>
          <w:p w14:paraId="F40F0000">
            <w:pPr>
              <w:widowControl w:val="1"/>
              <w:ind w:hanging="83"/>
              <w:contextualSpacing w:val="1"/>
              <w:jc w:val="center"/>
              <w:rPr>
                <w:sz w:val="20"/>
              </w:rPr>
            </w:pPr>
            <w:r>
              <w:rPr>
                <w:sz w:val="20"/>
              </w:rPr>
              <w:t>тыс. поездо/км</w:t>
            </w:r>
          </w:p>
        </w:tc>
        <w:tc>
          <w:tcPr>
            <w:tcW w:type="dxa" w:w="1201"/>
            <w:tcBorders>
              <w:top w:color="000000" w:sz="4" w:val="single"/>
              <w:left w:color="000000" w:sz="4" w:val="single"/>
              <w:bottom w:color="000000" w:sz="4" w:val="single"/>
              <w:right w:color="000000" w:sz="4" w:val="single"/>
            </w:tcBorders>
            <w:shd w:fill="auto" w:val="clear"/>
            <w:vAlign w:val="center"/>
          </w:tcPr>
          <w:p w14:paraId="F50F0000">
            <w:pPr>
              <w:widowControl w:val="1"/>
              <w:ind w:hanging="83"/>
              <w:contextualSpacing w:val="1"/>
              <w:jc w:val="center"/>
              <w:rPr>
                <w:color w:val="000000"/>
                <w:sz w:val="20"/>
              </w:rPr>
            </w:pPr>
            <w:r>
              <w:rPr>
                <w:color w:val="000000"/>
                <w:sz w:val="20"/>
              </w:rPr>
              <w:t>377</w:t>
            </w:r>
          </w:p>
        </w:tc>
        <w:tc>
          <w:tcPr>
            <w:tcW w:type="dxa" w:w="1201"/>
            <w:tcBorders>
              <w:top w:color="000000" w:sz="4" w:val="single"/>
              <w:left w:sz="4" w:val="nil"/>
              <w:bottom w:color="000000" w:sz="4" w:val="single"/>
              <w:right w:color="000000" w:sz="4" w:val="single"/>
            </w:tcBorders>
            <w:vAlign w:val="center"/>
          </w:tcPr>
          <w:p w14:paraId="F60F0000">
            <w:pPr>
              <w:widowControl w:val="1"/>
              <w:ind w:hanging="83"/>
              <w:contextualSpacing w:val="1"/>
              <w:jc w:val="center"/>
              <w:rPr>
                <w:color w:val="000000"/>
                <w:sz w:val="20"/>
              </w:rPr>
            </w:pPr>
            <w:r>
              <w:rPr>
                <w:color w:val="000000"/>
                <w:sz w:val="20"/>
              </w:rPr>
              <w:t>398</w:t>
            </w:r>
          </w:p>
        </w:tc>
        <w:tc>
          <w:tcPr>
            <w:tcW w:type="dxa" w:w="1067"/>
            <w:tcBorders>
              <w:top w:sz="4" w:val="nil"/>
              <w:left w:color="000000" w:sz="4" w:val="single"/>
              <w:bottom w:color="000000" w:sz="4" w:val="single"/>
              <w:right w:color="000000" w:sz="4" w:val="single"/>
            </w:tcBorders>
            <w:shd w:fill="auto" w:val="clear"/>
            <w:vAlign w:val="center"/>
          </w:tcPr>
          <w:p w14:paraId="F70F0000">
            <w:pPr>
              <w:widowControl w:val="1"/>
              <w:ind w:hanging="83"/>
              <w:contextualSpacing w:val="1"/>
              <w:jc w:val="center"/>
              <w:rPr>
                <w:color w:val="000000"/>
                <w:sz w:val="20"/>
              </w:rPr>
            </w:pPr>
            <w:r>
              <w:rPr>
                <w:color w:val="000000"/>
                <w:sz w:val="20"/>
              </w:rPr>
              <w:t>398</w:t>
            </w:r>
          </w:p>
        </w:tc>
        <w:tc>
          <w:tcPr>
            <w:tcW w:type="dxa" w:w="1067"/>
            <w:tcBorders>
              <w:top w:sz="4" w:val="nil"/>
              <w:left w:sz="4" w:val="nil"/>
              <w:bottom w:color="000000" w:sz="4" w:val="single"/>
              <w:right w:color="000000" w:sz="4" w:val="single"/>
            </w:tcBorders>
            <w:shd w:fill="auto" w:val="clear"/>
            <w:vAlign w:val="center"/>
          </w:tcPr>
          <w:p w14:paraId="F80F0000">
            <w:pPr>
              <w:widowControl w:val="1"/>
              <w:ind w:hanging="83"/>
              <w:contextualSpacing w:val="1"/>
              <w:jc w:val="center"/>
              <w:rPr>
                <w:color w:val="000000"/>
                <w:sz w:val="20"/>
              </w:rPr>
            </w:pPr>
            <w:r>
              <w:rPr>
                <w:color w:val="000000"/>
                <w:sz w:val="20"/>
              </w:rPr>
              <w:t>398</w:t>
            </w:r>
          </w:p>
        </w:tc>
        <w:tc>
          <w:tcPr>
            <w:tcW w:type="dxa" w:w="668"/>
            <w:tcBorders>
              <w:top w:color="000000" w:sz="4" w:val="single"/>
              <w:left w:color="000000" w:sz="4" w:val="single"/>
              <w:bottom w:color="000000" w:sz="4" w:val="single"/>
              <w:right w:color="000000" w:sz="4" w:val="single"/>
            </w:tcBorders>
            <w:vAlign w:val="center"/>
          </w:tcPr>
          <w:p w14:paraId="F90F0000">
            <w:pPr>
              <w:widowControl w:val="1"/>
              <w:ind w:hanging="83"/>
              <w:contextualSpacing w:val="1"/>
              <w:jc w:val="center"/>
              <w:rPr>
                <w:i w:val="1"/>
                <w:color w:val="000000"/>
                <w:sz w:val="20"/>
              </w:rPr>
            </w:pPr>
            <w:r>
              <w:rPr>
                <w:i w:val="1"/>
                <w:color w:val="000000"/>
                <w:sz w:val="20"/>
              </w:rPr>
              <w:t>100</w:t>
            </w:r>
          </w:p>
        </w:tc>
        <w:tc>
          <w:tcPr>
            <w:tcW w:type="dxa" w:w="534"/>
            <w:tcBorders>
              <w:top w:color="000000" w:sz="4" w:val="single"/>
              <w:left w:color="000000" w:sz="4" w:val="single"/>
              <w:bottom w:color="000000" w:sz="4" w:val="single"/>
              <w:right w:color="000000" w:sz="4" w:val="single"/>
            </w:tcBorders>
            <w:shd w:fill="auto" w:val="clear"/>
            <w:vAlign w:val="center"/>
          </w:tcPr>
          <w:p w14:paraId="FA0F0000">
            <w:pPr>
              <w:widowControl w:val="1"/>
              <w:ind w:hanging="83"/>
              <w:contextualSpacing w:val="1"/>
              <w:jc w:val="center"/>
              <w:rPr>
                <w:i w:val="1"/>
                <w:color w:val="000000"/>
                <w:sz w:val="20"/>
              </w:rPr>
            </w:pPr>
            <w:r>
              <w:rPr>
                <w:i w:val="1"/>
                <w:color w:val="000000"/>
                <w:sz w:val="20"/>
              </w:rPr>
              <w:t>100</w:t>
            </w:r>
          </w:p>
        </w:tc>
      </w:tr>
      <w:tr>
        <w:trPr>
          <w:trHeight w:hRule="atLeast" w:val="341"/>
          <w:tblHeader/>
        </w:trPr>
        <w:tc>
          <w:tcPr>
            <w:tcW w:type="dxa" w:w="423"/>
            <w:vMerge w:val="restart"/>
            <w:tcBorders>
              <w:top w:color="000000" w:sz="4" w:val="single"/>
              <w:left w:color="000000" w:sz="4" w:val="single"/>
              <w:bottom w:color="000000" w:sz="4" w:val="single"/>
              <w:right w:color="000000" w:sz="4" w:val="single"/>
            </w:tcBorders>
            <w:shd w:fill="auto" w:val="clear"/>
            <w:vAlign w:val="center"/>
          </w:tcPr>
          <w:p w14:paraId="FB0F0000">
            <w:pPr>
              <w:widowControl w:val="1"/>
              <w:ind w:firstLine="709" w:left="-795"/>
              <w:contextualSpacing w:val="1"/>
              <w:jc w:val="center"/>
              <w:rPr>
                <w:sz w:val="20"/>
              </w:rPr>
            </w:pPr>
            <w:r>
              <w:rPr>
                <w:sz w:val="20"/>
              </w:rPr>
              <w:t>3</w:t>
            </w:r>
          </w:p>
        </w:tc>
        <w:tc>
          <w:tcPr>
            <w:tcW w:type="dxa" w:w="1442"/>
            <w:vMerge w:val="restart"/>
            <w:tcBorders>
              <w:top w:color="000000" w:sz="4" w:val="single"/>
              <w:left w:color="000000" w:sz="4" w:val="single"/>
              <w:bottom w:color="000000" w:sz="4" w:val="single"/>
              <w:right w:color="000000" w:sz="4" w:val="single"/>
            </w:tcBorders>
            <w:shd w:fill="auto" w:val="clear"/>
            <w:vAlign w:val="center"/>
          </w:tcPr>
          <w:p w14:paraId="FC0F0000">
            <w:pPr>
              <w:widowControl w:val="1"/>
              <w:ind w:hanging="83"/>
              <w:contextualSpacing w:val="1"/>
              <w:jc w:val="center"/>
              <w:rPr>
                <w:sz w:val="20"/>
              </w:rPr>
            </w:pPr>
            <w:r>
              <w:rPr>
                <w:sz w:val="20"/>
              </w:rPr>
              <w:t>Поездо-часы</w:t>
            </w:r>
          </w:p>
        </w:tc>
        <w:tc>
          <w:tcPr>
            <w:tcW w:type="dxa" w:w="960"/>
            <w:tcBorders>
              <w:top w:color="000000" w:sz="4" w:val="single"/>
              <w:left w:sz="4" w:val="nil"/>
              <w:bottom w:color="000000" w:sz="4" w:val="single"/>
              <w:right w:color="000000" w:sz="4" w:val="single"/>
            </w:tcBorders>
            <w:shd w:fill="auto" w:val="clear"/>
            <w:vAlign w:val="center"/>
          </w:tcPr>
          <w:p w14:paraId="FD0F0000">
            <w:pPr>
              <w:widowControl w:val="1"/>
              <w:ind w:hanging="83"/>
              <w:contextualSpacing w:val="1"/>
              <w:jc w:val="center"/>
              <w:rPr>
                <w:sz w:val="20"/>
              </w:rPr>
            </w:pPr>
            <w:r>
              <w:rPr>
                <w:sz w:val="20"/>
              </w:rPr>
              <w:t>ВСЕГО</w:t>
            </w:r>
          </w:p>
        </w:tc>
        <w:tc>
          <w:tcPr>
            <w:tcW w:type="dxa" w:w="1201"/>
            <w:tcBorders>
              <w:top w:color="000000" w:sz="4" w:val="single"/>
              <w:left w:sz="4" w:val="nil"/>
              <w:bottom w:color="000000" w:sz="4" w:val="single"/>
              <w:right w:color="000000" w:sz="4" w:val="single"/>
            </w:tcBorders>
            <w:vAlign w:val="center"/>
          </w:tcPr>
          <w:p w14:paraId="FE0F0000">
            <w:pPr>
              <w:widowControl w:val="1"/>
              <w:ind w:hanging="83"/>
              <w:contextualSpacing w:val="1"/>
              <w:jc w:val="center"/>
              <w:rPr>
                <w:sz w:val="20"/>
              </w:rPr>
            </w:pPr>
            <w:r>
              <w:rPr>
                <w:sz w:val="20"/>
              </w:rPr>
              <w:t>тыс. поездо-час</w:t>
            </w:r>
          </w:p>
        </w:tc>
        <w:tc>
          <w:tcPr>
            <w:tcW w:type="dxa" w:w="1201"/>
            <w:tcBorders>
              <w:top w:color="000000" w:sz="4" w:val="single"/>
              <w:left w:color="000000" w:sz="4" w:val="single"/>
              <w:bottom w:color="000000" w:sz="4" w:val="single"/>
              <w:right w:color="000000" w:sz="4" w:val="single"/>
            </w:tcBorders>
            <w:shd w:fill="auto" w:val="clear"/>
            <w:vAlign w:val="center"/>
          </w:tcPr>
          <w:p w14:paraId="FF0F0000">
            <w:pPr>
              <w:widowControl w:val="1"/>
              <w:ind w:hanging="83"/>
              <w:contextualSpacing w:val="1"/>
              <w:jc w:val="center"/>
              <w:rPr>
                <w:color w:val="000000"/>
                <w:sz w:val="20"/>
              </w:rPr>
            </w:pPr>
            <w:r>
              <w:rPr>
                <w:color w:val="000000"/>
                <w:sz w:val="20"/>
              </w:rPr>
              <w:t>62</w:t>
            </w:r>
          </w:p>
        </w:tc>
        <w:tc>
          <w:tcPr>
            <w:tcW w:type="dxa" w:w="1201"/>
            <w:tcBorders>
              <w:top w:color="000000" w:sz="4" w:val="single"/>
              <w:left w:sz="4" w:val="nil"/>
              <w:bottom w:color="000000" w:sz="4" w:val="single"/>
              <w:right w:color="000000" w:sz="4" w:val="single"/>
            </w:tcBorders>
            <w:vAlign w:val="center"/>
          </w:tcPr>
          <w:p w14:paraId="00100000">
            <w:pPr>
              <w:widowControl w:val="1"/>
              <w:ind w:hanging="83"/>
              <w:contextualSpacing w:val="1"/>
              <w:jc w:val="center"/>
              <w:rPr>
                <w:color w:val="000000"/>
                <w:sz w:val="20"/>
              </w:rPr>
            </w:pPr>
            <w:r>
              <w:rPr>
                <w:color w:val="000000"/>
                <w:sz w:val="20"/>
              </w:rPr>
              <w:t>63</w:t>
            </w:r>
          </w:p>
        </w:tc>
        <w:tc>
          <w:tcPr>
            <w:tcW w:type="dxa" w:w="1067"/>
            <w:tcBorders>
              <w:top w:color="000000" w:sz="4" w:val="single"/>
              <w:left w:color="000000" w:sz="4" w:val="single"/>
              <w:bottom w:color="000000" w:sz="4" w:val="single"/>
              <w:right w:color="000000" w:sz="4" w:val="single"/>
            </w:tcBorders>
            <w:shd w:fill="auto" w:val="clear"/>
            <w:vAlign w:val="center"/>
          </w:tcPr>
          <w:p w14:paraId="01100000">
            <w:pPr>
              <w:widowControl w:val="1"/>
              <w:ind w:hanging="83"/>
              <w:contextualSpacing w:val="1"/>
              <w:jc w:val="center"/>
              <w:rPr>
                <w:color w:val="000000"/>
                <w:sz w:val="20"/>
              </w:rPr>
            </w:pPr>
            <w:r>
              <w:rPr>
                <w:color w:val="000000"/>
                <w:sz w:val="20"/>
              </w:rPr>
              <w:t>63</w:t>
            </w:r>
          </w:p>
        </w:tc>
        <w:tc>
          <w:tcPr>
            <w:tcW w:type="dxa" w:w="1067"/>
            <w:tcBorders>
              <w:top w:color="000000" w:sz="4" w:val="single"/>
              <w:left w:sz="4" w:val="nil"/>
              <w:bottom w:color="000000" w:sz="4" w:val="single"/>
              <w:right w:color="000000" w:sz="4" w:val="single"/>
            </w:tcBorders>
            <w:shd w:fill="auto" w:val="clear"/>
            <w:vAlign w:val="center"/>
          </w:tcPr>
          <w:p w14:paraId="02100000">
            <w:pPr>
              <w:widowControl w:val="1"/>
              <w:ind w:hanging="83"/>
              <w:contextualSpacing w:val="1"/>
              <w:jc w:val="center"/>
              <w:rPr>
                <w:color w:val="000000"/>
                <w:sz w:val="20"/>
              </w:rPr>
            </w:pPr>
            <w:r>
              <w:rPr>
                <w:color w:val="000000"/>
                <w:sz w:val="20"/>
              </w:rPr>
              <w:t>65</w:t>
            </w:r>
          </w:p>
        </w:tc>
        <w:tc>
          <w:tcPr>
            <w:tcW w:type="dxa" w:w="668"/>
            <w:tcBorders>
              <w:top w:color="000000" w:sz="4" w:val="single"/>
              <w:left w:color="000000" w:sz="4" w:val="single"/>
              <w:bottom w:color="000000" w:sz="4" w:val="single"/>
              <w:right w:color="000000" w:sz="4" w:val="single"/>
            </w:tcBorders>
            <w:vAlign w:val="center"/>
          </w:tcPr>
          <w:p w14:paraId="03100000">
            <w:pPr>
              <w:widowControl w:val="1"/>
              <w:ind w:hanging="83"/>
              <w:contextualSpacing w:val="1"/>
              <w:jc w:val="center"/>
              <w:rPr>
                <w:i w:val="1"/>
                <w:color w:val="000000"/>
                <w:sz w:val="20"/>
              </w:rPr>
            </w:pPr>
            <w:r>
              <w:rPr>
                <w:i w:val="1"/>
                <w:color w:val="000000"/>
                <w:sz w:val="20"/>
              </w:rPr>
              <w:t>103</w:t>
            </w:r>
          </w:p>
        </w:tc>
        <w:tc>
          <w:tcPr>
            <w:tcW w:type="dxa" w:w="534"/>
            <w:tcBorders>
              <w:top w:color="000000" w:sz="4" w:val="single"/>
              <w:left w:color="000000" w:sz="4" w:val="single"/>
              <w:bottom w:color="000000" w:sz="4" w:val="single"/>
              <w:right w:color="000000" w:sz="4" w:val="single"/>
            </w:tcBorders>
            <w:shd w:fill="auto" w:val="clear"/>
            <w:vAlign w:val="center"/>
          </w:tcPr>
          <w:p w14:paraId="04100000">
            <w:pPr>
              <w:widowControl w:val="1"/>
              <w:ind w:hanging="83"/>
              <w:contextualSpacing w:val="1"/>
              <w:jc w:val="center"/>
              <w:rPr>
                <w:i w:val="1"/>
                <w:color w:val="000000"/>
                <w:sz w:val="20"/>
              </w:rPr>
            </w:pPr>
            <w:r>
              <w:rPr>
                <w:i w:val="1"/>
                <w:color w:val="000000"/>
                <w:sz w:val="20"/>
              </w:rPr>
              <w:t>102</w:t>
            </w:r>
          </w:p>
        </w:tc>
      </w:tr>
      <w:tr>
        <w:trPr>
          <w:trHeight w:hRule="atLeast" w:val="347"/>
          <w:tblHeader/>
        </w:trPr>
        <w:tc>
          <w:tcPr>
            <w:tcW w:type="dxa" w:w="423"/>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1442"/>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960"/>
            <w:tcBorders>
              <w:top w:color="000000" w:sz="4" w:val="single"/>
              <w:left w:sz="4" w:val="nil"/>
              <w:bottom w:color="000000" w:sz="4" w:val="single"/>
              <w:right w:color="000000" w:sz="4" w:val="single"/>
            </w:tcBorders>
            <w:shd w:fill="auto" w:val="clear"/>
            <w:vAlign w:val="center"/>
          </w:tcPr>
          <w:p w14:paraId="05100000">
            <w:pPr>
              <w:widowControl w:val="1"/>
              <w:ind w:hanging="83"/>
              <w:contextualSpacing w:val="1"/>
              <w:jc w:val="center"/>
              <w:rPr>
                <w:sz w:val="20"/>
              </w:rPr>
            </w:pPr>
            <w:r>
              <w:rPr>
                <w:sz w:val="20"/>
              </w:rPr>
              <w:t>МВПС</w:t>
            </w:r>
          </w:p>
        </w:tc>
        <w:tc>
          <w:tcPr>
            <w:tcW w:type="dxa" w:w="1201"/>
            <w:tcBorders>
              <w:top w:color="000000" w:sz="4" w:val="single"/>
              <w:left w:sz="4" w:val="nil"/>
              <w:bottom w:color="000000" w:sz="4" w:val="single"/>
              <w:right w:color="000000" w:sz="4" w:val="single"/>
            </w:tcBorders>
            <w:vAlign w:val="center"/>
          </w:tcPr>
          <w:p w14:paraId="06100000">
            <w:pPr>
              <w:widowControl w:val="1"/>
              <w:ind w:hanging="83"/>
              <w:contextualSpacing w:val="1"/>
              <w:jc w:val="center"/>
              <w:rPr>
                <w:sz w:val="20"/>
              </w:rPr>
            </w:pPr>
            <w:r>
              <w:rPr>
                <w:sz w:val="20"/>
              </w:rPr>
              <w:t>тыс. поездо-час</w:t>
            </w:r>
          </w:p>
        </w:tc>
        <w:tc>
          <w:tcPr>
            <w:tcW w:type="dxa" w:w="1201"/>
            <w:tcBorders>
              <w:top w:color="000000" w:sz="4" w:val="single"/>
              <w:left w:color="000000" w:sz="4" w:val="single"/>
              <w:bottom w:color="000000" w:sz="4" w:val="single"/>
              <w:right w:color="000000" w:sz="4" w:val="single"/>
            </w:tcBorders>
            <w:shd w:fill="auto" w:val="clear"/>
            <w:vAlign w:val="center"/>
          </w:tcPr>
          <w:p w14:paraId="07100000">
            <w:pPr>
              <w:widowControl w:val="1"/>
              <w:ind w:hanging="83"/>
              <w:contextualSpacing w:val="1"/>
              <w:jc w:val="center"/>
              <w:rPr>
                <w:color w:val="000000"/>
                <w:sz w:val="20"/>
              </w:rPr>
            </w:pPr>
            <w:r>
              <w:rPr>
                <w:color w:val="000000"/>
                <w:sz w:val="20"/>
              </w:rPr>
              <w:t>53</w:t>
            </w:r>
          </w:p>
        </w:tc>
        <w:tc>
          <w:tcPr>
            <w:tcW w:type="dxa" w:w="1201"/>
            <w:tcBorders>
              <w:top w:color="000000" w:sz="4" w:val="single"/>
              <w:left w:sz="4" w:val="nil"/>
              <w:bottom w:color="000000" w:sz="4" w:val="single"/>
              <w:right w:color="000000" w:sz="4" w:val="single"/>
            </w:tcBorders>
            <w:vAlign w:val="center"/>
          </w:tcPr>
          <w:p w14:paraId="08100000">
            <w:pPr>
              <w:widowControl w:val="1"/>
              <w:ind w:hanging="83"/>
              <w:contextualSpacing w:val="1"/>
              <w:jc w:val="center"/>
              <w:rPr>
                <w:color w:val="000000"/>
                <w:sz w:val="20"/>
              </w:rPr>
            </w:pPr>
            <w:r>
              <w:rPr>
                <w:color w:val="000000"/>
                <w:sz w:val="20"/>
              </w:rPr>
              <w:t>54</w:t>
            </w:r>
          </w:p>
        </w:tc>
        <w:tc>
          <w:tcPr>
            <w:tcW w:type="dxa" w:w="1067"/>
            <w:tcBorders>
              <w:top w:color="000000" w:sz="4" w:val="single"/>
              <w:left w:color="000000" w:sz="4" w:val="single"/>
              <w:bottom w:color="000000" w:sz="4" w:val="single"/>
              <w:right w:color="000000" w:sz="4" w:val="single"/>
            </w:tcBorders>
            <w:shd w:fill="auto" w:val="clear"/>
            <w:vAlign w:val="center"/>
          </w:tcPr>
          <w:p w14:paraId="09100000">
            <w:pPr>
              <w:widowControl w:val="1"/>
              <w:ind w:hanging="83"/>
              <w:contextualSpacing w:val="1"/>
              <w:jc w:val="center"/>
              <w:rPr>
                <w:color w:val="000000"/>
                <w:sz w:val="20"/>
              </w:rPr>
            </w:pPr>
            <w:r>
              <w:rPr>
                <w:color w:val="000000"/>
                <w:sz w:val="20"/>
              </w:rPr>
              <w:t>54</w:t>
            </w:r>
          </w:p>
        </w:tc>
        <w:tc>
          <w:tcPr>
            <w:tcW w:type="dxa" w:w="1067"/>
            <w:tcBorders>
              <w:top w:color="000000" w:sz="4" w:val="single"/>
              <w:left w:sz="4" w:val="nil"/>
              <w:bottom w:color="000000" w:sz="4" w:val="single"/>
              <w:right w:color="000000" w:sz="4" w:val="single"/>
            </w:tcBorders>
            <w:shd w:fill="auto" w:val="clear"/>
            <w:vAlign w:val="center"/>
          </w:tcPr>
          <w:p w14:paraId="0A100000">
            <w:pPr>
              <w:widowControl w:val="1"/>
              <w:ind w:hanging="83"/>
              <w:contextualSpacing w:val="1"/>
              <w:jc w:val="center"/>
              <w:rPr>
                <w:color w:val="000000"/>
                <w:sz w:val="20"/>
              </w:rPr>
            </w:pPr>
            <w:r>
              <w:rPr>
                <w:color w:val="000000"/>
                <w:sz w:val="20"/>
              </w:rPr>
              <w:t>56</w:t>
            </w:r>
          </w:p>
        </w:tc>
        <w:tc>
          <w:tcPr>
            <w:tcW w:type="dxa" w:w="668"/>
            <w:tcBorders>
              <w:top w:color="000000" w:sz="4" w:val="single"/>
              <w:left w:color="000000" w:sz="4" w:val="single"/>
              <w:bottom w:color="000000" w:sz="4" w:val="single"/>
              <w:right w:color="000000" w:sz="4" w:val="single"/>
            </w:tcBorders>
            <w:vAlign w:val="center"/>
          </w:tcPr>
          <w:p w14:paraId="0B100000">
            <w:pPr>
              <w:widowControl w:val="1"/>
              <w:ind w:hanging="83"/>
              <w:contextualSpacing w:val="1"/>
              <w:jc w:val="center"/>
              <w:rPr>
                <w:i w:val="1"/>
                <w:color w:val="000000"/>
                <w:sz w:val="20"/>
              </w:rPr>
            </w:pPr>
            <w:r>
              <w:rPr>
                <w:i w:val="1"/>
                <w:color w:val="000000"/>
                <w:sz w:val="20"/>
              </w:rPr>
              <w:t>103</w:t>
            </w:r>
          </w:p>
        </w:tc>
        <w:tc>
          <w:tcPr>
            <w:tcW w:type="dxa" w:w="534"/>
            <w:tcBorders>
              <w:top w:color="000000" w:sz="4" w:val="single"/>
              <w:left w:color="000000" w:sz="4" w:val="single"/>
              <w:bottom w:color="000000" w:sz="4" w:val="single"/>
              <w:right w:color="000000" w:sz="4" w:val="single"/>
            </w:tcBorders>
            <w:shd w:fill="auto" w:val="clear"/>
            <w:vAlign w:val="center"/>
          </w:tcPr>
          <w:p w14:paraId="0C100000">
            <w:pPr>
              <w:widowControl w:val="1"/>
              <w:ind w:hanging="83"/>
              <w:contextualSpacing w:val="1"/>
              <w:jc w:val="center"/>
              <w:rPr>
                <w:i w:val="1"/>
                <w:color w:val="000000"/>
                <w:sz w:val="20"/>
              </w:rPr>
            </w:pPr>
            <w:r>
              <w:rPr>
                <w:i w:val="1"/>
                <w:color w:val="000000"/>
                <w:sz w:val="20"/>
              </w:rPr>
              <w:t>103</w:t>
            </w:r>
          </w:p>
        </w:tc>
      </w:tr>
      <w:tr>
        <w:trPr>
          <w:trHeight w:hRule="atLeast" w:val="336"/>
          <w:tblHeader/>
        </w:trPr>
        <w:tc>
          <w:tcPr>
            <w:tcW w:type="dxa" w:w="423"/>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1442"/>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960"/>
            <w:tcBorders>
              <w:top w:sz="4" w:val="nil"/>
              <w:left w:sz="4" w:val="nil"/>
              <w:bottom w:color="000000" w:sz="4" w:val="single"/>
              <w:right w:color="000000" w:sz="4" w:val="single"/>
            </w:tcBorders>
            <w:shd w:fill="auto" w:val="clear"/>
            <w:vAlign w:val="center"/>
          </w:tcPr>
          <w:p w14:paraId="0D100000">
            <w:pPr>
              <w:widowControl w:val="1"/>
              <w:ind w:hanging="83"/>
              <w:contextualSpacing w:val="1"/>
              <w:jc w:val="center"/>
              <w:rPr>
                <w:sz w:val="20"/>
              </w:rPr>
            </w:pPr>
            <w:r>
              <w:rPr>
                <w:sz w:val="20"/>
              </w:rPr>
              <w:t>т. тяга</w:t>
            </w:r>
          </w:p>
        </w:tc>
        <w:tc>
          <w:tcPr>
            <w:tcW w:type="dxa" w:w="1201"/>
            <w:tcBorders>
              <w:top w:color="000000" w:sz="4" w:val="single"/>
              <w:left w:sz="4" w:val="nil"/>
              <w:bottom w:color="000000" w:sz="4" w:val="single"/>
              <w:right w:color="000000" w:sz="4" w:val="single"/>
            </w:tcBorders>
            <w:vAlign w:val="center"/>
          </w:tcPr>
          <w:p w14:paraId="0E100000">
            <w:pPr>
              <w:widowControl w:val="1"/>
              <w:ind w:hanging="83"/>
              <w:contextualSpacing w:val="1"/>
              <w:jc w:val="center"/>
              <w:rPr>
                <w:sz w:val="20"/>
              </w:rPr>
            </w:pPr>
            <w:r>
              <w:rPr>
                <w:sz w:val="20"/>
              </w:rPr>
              <w:t>тыс. поездо-час</w:t>
            </w:r>
          </w:p>
        </w:tc>
        <w:tc>
          <w:tcPr>
            <w:tcW w:type="dxa" w:w="1201"/>
            <w:tcBorders>
              <w:top w:color="000000" w:sz="4" w:val="single"/>
              <w:left w:color="000000" w:sz="4" w:val="single"/>
              <w:bottom w:color="000000" w:sz="4" w:val="single"/>
              <w:right w:color="000000" w:sz="4" w:val="single"/>
            </w:tcBorders>
            <w:shd w:fill="auto" w:val="clear"/>
            <w:vAlign w:val="center"/>
          </w:tcPr>
          <w:p w14:paraId="0F100000">
            <w:pPr>
              <w:widowControl w:val="1"/>
              <w:ind w:hanging="83"/>
              <w:contextualSpacing w:val="1"/>
              <w:jc w:val="center"/>
              <w:rPr>
                <w:color w:val="000000"/>
                <w:sz w:val="20"/>
              </w:rPr>
            </w:pPr>
            <w:r>
              <w:rPr>
                <w:color w:val="000000"/>
                <w:sz w:val="20"/>
              </w:rPr>
              <w:t>8,6</w:t>
            </w:r>
          </w:p>
        </w:tc>
        <w:tc>
          <w:tcPr>
            <w:tcW w:type="dxa" w:w="1201"/>
            <w:tcBorders>
              <w:top w:color="000000" w:sz="4" w:val="single"/>
              <w:left w:sz="4" w:val="nil"/>
              <w:bottom w:color="000000" w:sz="4" w:val="single"/>
              <w:right w:color="000000" w:sz="4" w:val="single"/>
            </w:tcBorders>
            <w:vAlign w:val="center"/>
          </w:tcPr>
          <w:p w14:paraId="10100000">
            <w:pPr>
              <w:widowControl w:val="1"/>
              <w:ind w:hanging="83"/>
              <w:contextualSpacing w:val="1"/>
              <w:jc w:val="center"/>
              <w:rPr>
                <w:color w:val="000000"/>
                <w:sz w:val="20"/>
              </w:rPr>
            </w:pPr>
            <w:r>
              <w:rPr>
                <w:color w:val="000000"/>
                <w:sz w:val="20"/>
              </w:rPr>
              <w:t>9,0</w:t>
            </w:r>
          </w:p>
        </w:tc>
        <w:tc>
          <w:tcPr>
            <w:tcW w:type="dxa" w:w="1067"/>
            <w:tcBorders>
              <w:top w:sz="4" w:val="nil"/>
              <w:left w:color="000000" w:sz="4" w:val="single"/>
              <w:bottom w:color="000000" w:sz="4" w:val="single"/>
              <w:right w:color="000000" w:sz="4" w:val="single"/>
            </w:tcBorders>
            <w:shd w:fill="auto" w:val="clear"/>
            <w:vAlign w:val="center"/>
          </w:tcPr>
          <w:p w14:paraId="11100000">
            <w:pPr>
              <w:widowControl w:val="1"/>
              <w:ind w:hanging="83"/>
              <w:contextualSpacing w:val="1"/>
              <w:jc w:val="center"/>
              <w:rPr>
                <w:color w:val="000000"/>
                <w:sz w:val="20"/>
              </w:rPr>
            </w:pPr>
            <w:r>
              <w:rPr>
                <w:color w:val="000000"/>
                <w:sz w:val="20"/>
              </w:rPr>
              <w:t>9</w:t>
            </w:r>
          </w:p>
        </w:tc>
        <w:tc>
          <w:tcPr>
            <w:tcW w:type="dxa" w:w="1067"/>
            <w:tcBorders>
              <w:top w:sz="4" w:val="nil"/>
              <w:left w:sz="4" w:val="nil"/>
              <w:bottom w:color="000000" w:sz="4" w:val="single"/>
              <w:right w:color="000000" w:sz="4" w:val="single"/>
            </w:tcBorders>
            <w:shd w:fill="auto" w:val="clear"/>
            <w:vAlign w:val="center"/>
          </w:tcPr>
          <w:p w14:paraId="12100000">
            <w:pPr>
              <w:widowControl w:val="1"/>
              <w:ind w:hanging="83"/>
              <w:contextualSpacing w:val="1"/>
              <w:jc w:val="center"/>
              <w:rPr>
                <w:color w:val="000000"/>
                <w:sz w:val="20"/>
              </w:rPr>
            </w:pPr>
            <w:r>
              <w:rPr>
                <w:color w:val="000000"/>
                <w:sz w:val="20"/>
              </w:rPr>
              <w:t>9</w:t>
            </w:r>
          </w:p>
        </w:tc>
        <w:tc>
          <w:tcPr>
            <w:tcW w:type="dxa" w:w="668"/>
            <w:tcBorders>
              <w:top w:color="000000" w:sz="4" w:val="single"/>
              <w:left w:color="000000" w:sz="4" w:val="single"/>
              <w:bottom w:color="000000" w:sz="4" w:val="single"/>
              <w:right w:color="000000" w:sz="4" w:val="single"/>
            </w:tcBorders>
            <w:vAlign w:val="center"/>
          </w:tcPr>
          <w:p w14:paraId="13100000">
            <w:pPr>
              <w:widowControl w:val="1"/>
              <w:ind w:hanging="83"/>
              <w:contextualSpacing w:val="1"/>
              <w:jc w:val="center"/>
              <w:rPr>
                <w:i w:val="1"/>
                <w:color w:val="000000"/>
                <w:sz w:val="20"/>
              </w:rPr>
            </w:pPr>
            <w:r>
              <w:rPr>
                <w:i w:val="1"/>
                <w:color w:val="000000"/>
                <w:sz w:val="20"/>
              </w:rPr>
              <w:t>100</w:t>
            </w:r>
          </w:p>
        </w:tc>
        <w:tc>
          <w:tcPr>
            <w:tcW w:type="dxa" w:w="534"/>
            <w:tcBorders>
              <w:top w:color="000000" w:sz="4" w:val="single"/>
              <w:left w:color="000000" w:sz="4" w:val="single"/>
              <w:bottom w:color="000000" w:sz="4" w:val="single"/>
              <w:right w:color="000000" w:sz="4" w:val="single"/>
            </w:tcBorders>
            <w:shd w:fill="auto" w:val="clear"/>
            <w:vAlign w:val="center"/>
          </w:tcPr>
          <w:p w14:paraId="14100000">
            <w:pPr>
              <w:widowControl w:val="1"/>
              <w:ind w:hanging="83"/>
              <w:contextualSpacing w:val="1"/>
              <w:jc w:val="center"/>
              <w:rPr>
                <w:i w:val="1"/>
                <w:color w:val="000000"/>
                <w:sz w:val="20"/>
              </w:rPr>
            </w:pPr>
            <w:r>
              <w:rPr>
                <w:i w:val="1"/>
                <w:color w:val="000000"/>
                <w:sz w:val="20"/>
              </w:rPr>
              <w:t>99</w:t>
            </w:r>
          </w:p>
        </w:tc>
      </w:tr>
      <w:tr>
        <w:trPr>
          <w:trHeight w:hRule="atLeast" w:val="340"/>
          <w:tblHeader/>
        </w:trPr>
        <w:tc>
          <w:tcPr>
            <w:tcW w:type="dxa" w:w="423"/>
            <w:vMerge w:val="restart"/>
            <w:tcBorders>
              <w:top w:sz="4" w:val="nil"/>
              <w:left w:color="000000" w:sz="4" w:val="single"/>
              <w:bottom w:color="000000" w:sz="4" w:val="single"/>
              <w:right w:color="000000" w:sz="4" w:val="single"/>
            </w:tcBorders>
            <w:shd w:fill="auto" w:val="clear"/>
            <w:vAlign w:val="center"/>
          </w:tcPr>
          <w:p w14:paraId="15100000">
            <w:pPr>
              <w:widowControl w:val="1"/>
              <w:ind w:firstLine="709" w:left="-795"/>
              <w:contextualSpacing w:val="1"/>
              <w:jc w:val="center"/>
              <w:rPr>
                <w:sz w:val="20"/>
              </w:rPr>
            </w:pPr>
            <w:r>
              <w:rPr>
                <w:sz w:val="20"/>
              </w:rPr>
              <w:t>4</w:t>
            </w:r>
          </w:p>
        </w:tc>
        <w:tc>
          <w:tcPr>
            <w:tcW w:type="dxa" w:w="1442"/>
            <w:vMerge w:val="restart"/>
            <w:tcBorders>
              <w:top w:sz="4" w:val="nil"/>
              <w:left w:color="000000" w:sz="4" w:val="single"/>
              <w:bottom w:color="000000" w:sz="4" w:val="single"/>
              <w:right w:color="000000" w:sz="4" w:val="single"/>
            </w:tcBorders>
            <w:shd w:fill="auto" w:val="clear"/>
            <w:vAlign w:val="center"/>
          </w:tcPr>
          <w:p w14:paraId="16100000">
            <w:pPr>
              <w:widowControl w:val="1"/>
              <w:ind w:hanging="83"/>
              <w:contextualSpacing w:val="1"/>
              <w:jc w:val="center"/>
              <w:rPr>
                <w:sz w:val="20"/>
              </w:rPr>
            </w:pPr>
            <w:r>
              <w:rPr>
                <w:sz w:val="20"/>
              </w:rPr>
              <w:t>Вагоно-часы</w:t>
            </w:r>
          </w:p>
        </w:tc>
        <w:tc>
          <w:tcPr>
            <w:tcW w:type="dxa" w:w="960"/>
            <w:tcBorders>
              <w:top w:sz="4" w:val="nil"/>
              <w:left w:sz="4" w:val="nil"/>
              <w:bottom w:color="000000" w:sz="4" w:val="single"/>
              <w:right w:color="000000" w:sz="4" w:val="single"/>
            </w:tcBorders>
            <w:shd w:fill="auto" w:val="clear"/>
            <w:vAlign w:val="center"/>
          </w:tcPr>
          <w:p w14:paraId="17100000">
            <w:pPr>
              <w:widowControl w:val="1"/>
              <w:ind w:hanging="83"/>
              <w:contextualSpacing w:val="1"/>
              <w:jc w:val="center"/>
              <w:rPr>
                <w:sz w:val="20"/>
              </w:rPr>
            </w:pPr>
            <w:r>
              <w:rPr>
                <w:sz w:val="20"/>
              </w:rPr>
              <w:t>ВСЕГО</w:t>
            </w:r>
          </w:p>
        </w:tc>
        <w:tc>
          <w:tcPr>
            <w:tcW w:type="dxa" w:w="1201"/>
            <w:tcBorders>
              <w:top w:color="000000" w:sz="4" w:val="single"/>
              <w:left w:sz="4" w:val="nil"/>
              <w:bottom w:color="000000" w:sz="4" w:val="single"/>
              <w:right w:color="000000" w:sz="4" w:val="single"/>
            </w:tcBorders>
            <w:vAlign w:val="center"/>
          </w:tcPr>
          <w:p w14:paraId="18100000">
            <w:pPr>
              <w:widowControl w:val="1"/>
              <w:ind w:hanging="83"/>
              <w:contextualSpacing w:val="1"/>
              <w:jc w:val="center"/>
              <w:rPr>
                <w:sz w:val="20"/>
              </w:rPr>
            </w:pPr>
            <w:r>
              <w:rPr>
                <w:sz w:val="20"/>
              </w:rPr>
              <w:t>тыс. ваг-час</w:t>
            </w:r>
          </w:p>
        </w:tc>
        <w:tc>
          <w:tcPr>
            <w:tcW w:type="dxa" w:w="1201"/>
            <w:tcBorders>
              <w:top w:color="000000" w:sz="4" w:val="single"/>
              <w:left w:color="000000" w:sz="4" w:val="single"/>
              <w:bottom w:color="000000" w:sz="4" w:val="single"/>
              <w:right w:color="000000" w:sz="4" w:val="single"/>
            </w:tcBorders>
            <w:shd w:fill="auto" w:val="clear"/>
            <w:vAlign w:val="center"/>
          </w:tcPr>
          <w:p w14:paraId="19100000">
            <w:pPr>
              <w:widowControl w:val="1"/>
              <w:ind w:hanging="83"/>
              <w:contextualSpacing w:val="1"/>
              <w:jc w:val="center"/>
              <w:rPr>
                <w:color w:val="000000"/>
                <w:sz w:val="20"/>
              </w:rPr>
            </w:pPr>
            <w:r>
              <w:rPr>
                <w:color w:val="000000"/>
                <w:sz w:val="20"/>
              </w:rPr>
              <w:t>230</w:t>
            </w:r>
          </w:p>
        </w:tc>
        <w:tc>
          <w:tcPr>
            <w:tcW w:type="dxa" w:w="1201"/>
            <w:tcBorders>
              <w:top w:color="000000" w:sz="4" w:val="single"/>
              <w:left w:sz="4" w:val="nil"/>
              <w:bottom w:color="000000" w:sz="4" w:val="single"/>
              <w:right w:color="000000" w:sz="4" w:val="single"/>
            </w:tcBorders>
            <w:vAlign w:val="center"/>
          </w:tcPr>
          <w:p w14:paraId="1A100000">
            <w:pPr>
              <w:widowControl w:val="1"/>
              <w:ind w:hanging="83"/>
              <w:contextualSpacing w:val="1"/>
              <w:jc w:val="center"/>
              <w:rPr>
                <w:color w:val="000000"/>
                <w:sz w:val="20"/>
              </w:rPr>
            </w:pPr>
            <w:r>
              <w:rPr>
                <w:color w:val="000000"/>
                <w:sz w:val="20"/>
              </w:rPr>
              <w:t>231</w:t>
            </w:r>
          </w:p>
        </w:tc>
        <w:tc>
          <w:tcPr>
            <w:tcW w:type="dxa" w:w="1067"/>
            <w:tcBorders>
              <w:top w:sz="4" w:val="nil"/>
              <w:left w:color="000000" w:sz="4" w:val="single"/>
              <w:bottom w:color="000000" w:sz="4" w:val="single"/>
              <w:right w:color="000000" w:sz="4" w:val="single"/>
            </w:tcBorders>
            <w:shd w:fill="auto" w:val="clear"/>
            <w:vAlign w:val="center"/>
          </w:tcPr>
          <w:p w14:paraId="1B100000">
            <w:pPr>
              <w:widowControl w:val="1"/>
              <w:ind w:hanging="83"/>
              <w:contextualSpacing w:val="1"/>
              <w:jc w:val="center"/>
              <w:rPr>
                <w:color w:val="000000"/>
                <w:sz w:val="20"/>
              </w:rPr>
            </w:pPr>
            <w:r>
              <w:rPr>
                <w:color w:val="000000"/>
                <w:sz w:val="20"/>
              </w:rPr>
              <w:t>225</w:t>
            </w:r>
          </w:p>
        </w:tc>
        <w:tc>
          <w:tcPr>
            <w:tcW w:type="dxa" w:w="1067"/>
            <w:tcBorders>
              <w:top w:sz="4" w:val="nil"/>
              <w:left w:sz="4" w:val="nil"/>
              <w:bottom w:color="000000" w:sz="4" w:val="single"/>
              <w:right w:color="000000" w:sz="4" w:val="single"/>
            </w:tcBorders>
            <w:shd w:fill="auto" w:val="clear"/>
            <w:vAlign w:val="center"/>
          </w:tcPr>
          <w:p w14:paraId="1C100000">
            <w:pPr>
              <w:widowControl w:val="1"/>
              <w:ind w:hanging="83"/>
              <w:contextualSpacing w:val="1"/>
              <w:jc w:val="center"/>
              <w:rPr>
                <w:color w:val="000000"/>
                <w:sz w:val="20"/>
              </w:rPr>
            </w:pPr>
            <w:r>
              <w:rPr>
                <w:color w:val="000000"/>
                <w:sz w:val="20"/>
              </w:rPr>
              <w:t>238</w:t>
            </w:r>
          </w:p>
        </w:tc>
        <w:tc>
          <w:tcPr>
            <w:tcW w:type="dxa" w:w="668"/>
            <w:tcBorders>
              <w:top w:color="000000" w:sz="4" w:val="single"/>
              <w:left w:color="000000" w:sz="4" w:val="single"/>
              <w:bottom w:color="000000" w:sz="4" w:val="single"/>
              <w:right w:color="000000" w:sz="4" w:val="single"/>
            </w:tcBorders>
            <w:vAlign w:val="center"/>
          </w:tcPr>
          <w:p w14:paraId="1D100000">
            <w:pPr>
              <w:widowControl w:val="1"/>
              <w:ind w:hanging="83"/>
              <w:contextualSpacing w:val="1"/>
              <w:jc w:val="center"/>
              <w:rPr>
                <w:i w:val="1"/>
                <w:color w:val="000000"/>
                <w:sz w:val="20"/>
              </w:rPr>
            </w:pPr>
            <w:r>
              <w:rPr>
                <w:i w:val="1"/>
                <w:color w:val="000000"/>
                <w:sz w:val="20"/>
              </w:rPr>
              <w:t>103</w:t>
            </w:r>
          </w:p>
        </w:tc>
        <w:tc>
          <w:tcPr>
            <w:tcW w:type="dxa" w:w="534"/>
            <w:tcBorders>
              <w:top w:color="000000" w:sz="4" w:val="single"/>
              <w:left w:color="000000" w:sz="4" w:val="single"/>
              <w:bottom w:color="000000" w:sz="4" w:val="single"/>
              <w:right w:color="000000" w:sz="4" w:val="single"/>
            </w:tcBorders>
            <w:shd w:fill="auto" w:val="clear"/>
            <w:vAlign w:val="center"/>
          </w:tcPr>
          <w:p w14:paraId="1E100000">
            <w:pPr>
              <w:widowControl w:val="1"/>
              <w:ind w:hanging="83"/>
              <w:contextualSpacing w:val="1"/>
              <w:jc w:val="center"/>
              <w:rPr>
                <w:i w:val="1"/>
                <w:color w:val="000000"/>
                <w:sz w:val="20"/>
              </w:rPr>
            </w:pPr>
            <w:r>
              <w:rPr>
                <w:i w:val="1"/>
                <w:color w:val="000000"/>
                <w:sz w:val="20"/>
              </w:rPr>
              <w:t>106</w:t>
            </w:r>
          </w:p>
        </w:tc>
      </w:tr>
      <w:tr>
        <w:trPr>
          <w:trHeight w:hRule="atLeast" w:val="344"/>
          <w:tblHeader/>
        </w:trPr>
        <w:tc>
          <w:tcPr>
            <w:tcW w:type="dxa" w:w="423"/>
            <w:gridSpan w:val="1"/>
            <w:vMerge w:val="continue"/>
            <w:tcBorders>
              <w:top w:sz="4" w:val="nil"/>
              <w:left w:color="000000" w:sz="4" w:val="single"/>
              <w:bottom w:color="000000" w:sz="4" w:val="single"/>
              <w:right w:color="000000" w:sz="4" w:val="single"/>
            </w:tcBorders>
            <w:shd w:fill="auto" w:val="clear"/>
            <w:vAlign w:val="center"/>
          </w:tcPr>
          <w:p/>
        </w:tc>
        <w:tc>
          <w:tcPr>
            <w:tcW w:type="dxa" w:w="1442"/>
            <w:gridSpan w:val="1"/>
            <w:vMerge w:val="continue"/>
            <w:tcBorders>
              <w:top w:sz="4" w:val="nil"/>
              <w:left w:color="000000" w:sz="4" w:val="single"/>
              <w:bottom w:color="000000" w:sz="4" w:val="single"/>
              <w:right w:color="000000" w:sz="4" w:val="single"/>
            </w:tcBorders>
            <w:shd w:fill="auto" w:val="clear"/>
            <w:vAlign w:val="center"/>
          </w:tcPr>
          <w:p/>
        </w:tc>
        <w:tc>
          <w:tcPr>
            <w:tcW w:type="dxa" w:w="960"/>
            <w:tcBorders>
              <w:top w:sz="4" w:val="nil"/>
              <w:left w:sz="4" w:val="nil"/>
              <w:bottom w:color="000000" w:sz="4" w:val="single"/>
              <w:right w:color="000000" w:sz="4" w:val="single"/>
            </w:tcBorders>
            <w:shd w:fill="auto" w:val="clear"/>
            <w:vAlign w:val="center"/>
          </w:tcPr>
          <w:p w14:paraId="1F100000">
            <w:pPr>
              <w:widowControl w:val="1"/>
              <w:ind w:hanging="83"/>
              <w:contextualSpacing w:val="1"/>
              <w:jc w:val="center"/>
              <w:rPr>
                <w:sz w:val="20"/>
              </w:rPr>
            </w:pPr>
            <w:r>
              <w:rPr>
                <w:sz w:val="20"/>
              </w:rPr>
              <w:t>МВПС</w:t>
            </w:r>
          </w:p>
        </w:tc>
        <w:tc>
          <w:tcPr>
            <w:tcW w:type="dxa" w:w="1201"/>
            <w:tcBorders>
              <w:top w:color="000000" w:sz="4" w:val="single"/>
              <w:left w:sz="4" w:val="nil"/>
              <w:bottom w:color="000000" w:sz="4" w:val="single"/>
              <w:right w:color="000000" w:sz="4" w:val="single"/>
            </w:tcBorders>
            <w:vAlign w:val="center"/>
          </w:tcPr>
          <w:p w14:paraId="20100000">
            <w:pPr>
              <w:widowControl w:val="1"/>
              <w:ind w:hanging="83"/>
              <w:contextualSpacing w:val="1"/>
              <w:jc w:val="center"/>
              <w:rPr>
                <w:sz w:val="20"/>
              </w:rPr>
            </w:pPr>
            <w:r>
              <w:rPr>
                <w:sz w:val="20"/>
              </w:rPr>
              <w:t>тыс. ваг-час</w:t>
            </w:r>
          </w:p>
        </w:tc>
        <w:tc>
          <w:tcPr>
            <w:tcW w:type="dxa" w:w="1201"/>
            <w:tcBorders>
              <w:top w:color="000000" w:sz="4" w:val="single"/>
              <w:left w:color="000000" w:sz="4" w:val="single"/>
              <w:bottom w:color="000000" w:sz="4" w:val="single"/>
              <w:right w:color="000000" w:sz="4" w:val="single"/>
            </w:tcBorders>
            <w:shd w:fill="auto" w:val="clear"/>
            <w:vAlign w:val="center"/>
          </w:tcPr>
          <w:p w14:paraId="21100000">
            <w:pPr>
              <w:widowControl w:val="1"/>
              <w:ind w:hanging="83"/>
              <w:contextualSpacing w:val="1"/>
              <w:jc w:val="center"/>
              <w:rPr>
                <w:color w:val="000000"/>
                <w:sz w:val="20"/>
              </w:rPr>
            </w:pPr>
            <w:r>
              <w:rPr>
                <w:color w:val="000000"/>
                <w:sz w:val="20"/>
              </w:rPr>
              <w:t>222</w:t>
            </w:r>
          </w:p>
        </w:tc>
        <w:tc>
          <w:tcPr>
            <w:tcW w:type="dxa" w:w="1201"/>
            <w:tcBorders>
              <w:top w:color="000000" w:sz="4" w:val="single"/>
              <w:left w:sz="4" w:val="nil"/>
              <w:bottom w:color="000000" w:sz="4" w:val="single"/>
              <w:right w:color="000000" w:sz="4" w:val="single"/>
            </w:tcBorders>
            <w:vAlign w:val="center"/>
          </w:tcPr>
          <w:p w14:paraId="22100000">
            <w:pPr>
              <w:widowControl w:val="1"/>
              <w:ind w:hanging="83"/>
              <w:contextualSpacing w:val="1"/>
              <w:jc w:val="center"/>
              <w:rPr>
                <w:color w:val="000000"/>
                <w:sz w:val="20"/>
              </w:rPr>
            </w:pPr>
            <w:r>
              <w:rPr>
                <w:color w:val="000000"/>
                <w:sz w:val="20"/>
              </w:rPr>
              <w:t>222</w:t>
            </w:r>
          </w:p>
        </w:tc>
        <w:tc>
          <w:tcPr>
            <w:tcW w:type="dxa" w:w="1067"/>
            <w:tcBorders>
              <w:top w:sz="4" w:val="nil"/>
              <w:left w:color="000000" w:sz="4" w:val="single"/>
              <w:bottom w:color="000000" w:sz="4" w:val="single"/>
              <w:right w:color="000000" w:sz="4" w:val="single"/>
            </w:tcBorders>
            <w:shd w:fill="auto" w:val="clear"/>
            <w:vAlign w:val="center"/>
          </w:tcPr>
          <w:p w14:paraId="23100000">
            <w:pPr>
              <w:widowControl w:val="1"/>
              <w:ind w:hanging="83"/>
              <w:contextualSpacing w:val="1"/>
              <w:jc w:val="center"/>
              <w:rPr>
                <w:color w:val="000000"/>
                <w:sz w:val="20"/>
              </w:rPr>
            </w:pPr>
            <w:r>
              <w:rPr>
                <w:color w:val="000000"/>
                <w:sz w:val="20"/>
              </w:rPr>
              <w:t>216</w:t>
            </w:r>
          </w:p>
        </w:tc>
        <w:tc>
          <w:tcPr>
            <w:tcW w:type="dxa" w:w="1067"/>
            <w:tcBorders>
              <w:top w:sz="4" w:val="nil"/>
              <w:left w:sz="4" w:val="nil"/>
              <w:bottom w:color="000000" w:sz="4" w:val="single"/>
              <w:right w:color="000000" w:sz="4" w:val="single"/>
            </w:tcBorders>
            <w:shd w:fill="auto" w:val="clear"/>
            <w:vAlign w:val="center"/>
          </w:tcPr>
          <w:p w14:paraId="24100000">
            <w:pPr>
              <w:widowControl w:val="1"/>
              <w:ind w:hanging="83"/>
              <w:contextualSpacing w:val="1"/>
              <w:jc w:val="center"/>
              <w:rPr>
                <w:color w:val="000000"/>
                <w:sz w:val="20"/>
              </w:rPr>
            </w:pPr>
            <w:r>
              <w:rPr>
                <w:color w:val="000000"/>
                <w:sz w:val="20"/>
              </w:rPr>
              <w:t>229</w:t>
            </w:r>
          </w:p>
        </w:tc>
        <w:tc>
          <w:tcPr>
            <w:tcW w:type="dxa" w:w="668"/>
            <w:tcBorders>
              <w:top w:color="000000" w:sz="4" w:val="single"/>
              <w:left w:color="000000" w:sz="4" w:val="single"/>
              <w:bottom w:color="000000" w:sz="4" w:val="single"/>
              <w:right w:color="000000" w:sz="4" w:val="single"/>
            </w:tcBorders>
            <w:vAlign w:val="center"/>
          </w:tcPr>
          <w:p w14:paraId="25100000">
            <w:pPr>
              <w:widowControl w:val="1"/>
              <w:ind w:hanging="83"/>
              <w:contextualSpacing w:val="1"/>
              <w:jc w:val="center"/>
              <w:rPr>
                <w:i w:val="1"/>
                <w:color w:val="000000"/>
                <w:sz w:val="20"/>
              </w:rPr>
            </w:pPr>
            <w:r>
              <w:rPr>
                <w:i w:val="1"/>
                <w:color w:val="000000"/>
                <w:sz w:val="20"/>
              </w:rPr>
              <w:t>103</w:t>
            </w:r>
          </w:p>
        </w:tc>
        <w:tc>
          <w:tcPr>
            <w:tcW w:type="dxa" w:w="534"/>
            <w:tcBorders>
              <w:top w:color="000000" w:sz="4" w:val="single"/>
              <w:left w:color="000000" w:sz="4" w:val="single"/>
              <w:bottom w:color="000000" w:sz="4" w:val="single"/>
              <w:right w:color="000000" w:sz="4" w:val="single"/>
            </w:tcBorders>
            <w:shd w:fill="auto" w:val="clear"/>
            <w:vAlign w:val="center"/>
          </w:tcPr>
          <w:p w14:paraId="26100000">
            <w:pPr>
              <w:widowControl w:val="1"/>
              <w:ind w:hanging="83"/>
              <w:contextualSpacing w:val="1"/>
              <w:jc w:val="center"/>
              <w:rPr>
                <w:i w:val="1"/>
                <w:color w:val="000000"/>
                <w:sz w:val="20"/>
              </w:rPr>
            </w:pPr>
            <w:r>
              <w:rPr>
                <w:i w:val="1"/>
                <w:color w:val="000000"/>
                <w:sz w:val="20"/>
              </w:rPr>
              <w:t>106</w:t>
            </w:r>
          </w:p>
        </w:tc>
      </w:tr>
      <w:tr>
        <w:trPr>
          <w:trHeight w:hRule="atLeast" w:val="333"/>
          <w:tblHeader/>
        </w:trPr>
        <w:tc>
          <w:tcPr>
            <w:tcW w:type="dxa" w:w="423"/>
            <w:gridSpan w:val="1"/>
            <w:vMerge w:val="continue"/>
            <w:tcBorders>
              <w:top w:sz="4" w:val="nil"/>
              <w:left w:color="000000" w:sz="4" w:val="single"/>
              <w:bottom w:color="000000" w:sz="4" w:val="single"/>
              <w:right w:color="000000" w:sz="4" w:val="single"/>
            </w:tcBorders>
            <w:shd w:fill="auto" w:val="clear"/>
            <w:vAlign w:val="center"/>
          </w:tcPr>
          <w:p/>
        </w:tc>
        <w:tc>
          <w:tcPr>
            <w:tcW w:type="dxa" w:w="1442"/>
            <w:gridSpan w:val="1"/>
            <w:vMerge w:val="continue"/>
            <w:tcBorders>
              <w:top w:sz="4" w:val="nil"/>
              <w:left w:color="000000" w:sz="4" w:val="single"/>
              <w:bottom w:color="000000" w:sz="4" w:val="single"/>
              <w:right w:color="000000" w:sz="4" w:val="single"/>
            </w:tcBorders>
            <w:shd w:fill="auto" w:val="clear"/>
            <w:vAlign w:val="center"/>
          </w:tcPr>
          <w:p/>
        </w:tc>
        <w:tc>
          <w:tcPr>
            <w:tcW w:type="dxa" w:w="960"/>
            <w:tcBorders>
              <w:top w:sz="4" w:val="nil"/>
              <w:left w:sz="4" w:val="nil"/>
              <w:bottom w:color="000000" w:sz="4" w:val="single"/>
              <w:right w:color="000000" w:sz="4" w:val="single"/>
            </w:tcBorders>
            <w:shd w:fill="auto" w:val="clear"/>
            <w:vAlign w:val="center"/>
          </w:tcPr>
          <w:p w14:paraId="27100000">
            <w:pPr>
              <w:widowControl w:val="1"/>
              <w:ind w:hanging="83"/>
              <w:contextualSpacing w:val="1"/>
              <w:jc w:val="center"/>
              <w:rPr>
                <w:sz w:val="20"/>
              </w:rPr>
            </w:pPr>
            <w:r>
              <w:rPr>
                <w:sz w:val="20"/>
              </w:rPr>
              <w:t>т. тяга</w:t>
            </w:r>
          </w:p>
        </w:tc>
        <w:tc>
          <w:tcPr>
            <w:tcW w:type="dxa" w:w="1201"/>
            <w:tcBorders>
              <w:top w:color="000000" w:sz="4" w:val="single"/>
              <w:left w:sz="4" w:val="nil"/>
              <w:bottom w:color="000000" w:sz="4" w:val="single"/>
              <w:right w:color="000000" w:sz="4" w:val="single"/>
            </w:tcBorders>
            <w:vAlign w:val="center"/>
          </w:tcPr>
          <w:p w14:paraId="28100000">
            <w:pPr>
              <w:widowControl w:val="1"/>
              <w:ind w:hanging="83"/>
              <w:contextualSpacing w:val="1"/>
              <w:jc w:val="center"/>
              <w:rPr>
                <w:sz w:val="20"/>
              </w:rPr>
            </w:pPr>
            <w:r>
              <w:rPr>
                <w:sz w:val="20"/>
              </w:rPr>
              <w:t>тыс. ваг-час</w:t>
            </w:r>
          </w:p>
        </w:tc>
        <w:tc>
          <w:tcPr>
            <w:tcW w:type="dxa" w:w="1201"/>
            <w:tcBorders>
              <w:top w:color="000000" w:sz="4" w:val="single"/>
              <w:left w:color="000000" w:sz="4" w:val="single"/>
              <w:bottom w:color="000000" w:sz="4" w:val="single"/>
              <w:right w:color="000000" w:sz="4" w:val="single"/>
            </w:tcBorders>
            <w:shd w:fill="auto" w:val="clear"/>
            <w:vAlign w:val="center"/>
          </w:tcPr>
          <w:p w14:paraId="29100000">
            <w:pPr>
              <w:widowControl w:val="1"/>
              <w:ind w:hanging="83"/>
              <w:contextualSpacing w:val="1"/>
              <w:jc w:val="center"/>
              <w:rPr>
                <w:color w:val="000000"/>
                <w:sz w:val="20"/>
              </w:rPr>
            </w:pPr>
            <w:r>
              <w:rPr>
                <w:color w:val="000000"/>
                <w:sz w:val="20"/>
              </w:rPr>
              <w:t>9</w:t>
            </w:r>
          </w:p>
        </w:tc>
        <w:tc>
          <w:tcPr>
            <w:tcW w:type="dxa" w:w="1201"/>
            <w:tcBorders>
              <w:top w:color="000000" w:sz="4" w:val="single"/>
              <w:left w:sz="4" w:val="nil"/>
              <w:bottom w:color="000000" w:sz="4" w:val="single"/>
              <w:right w:color="000000" w:sz="4" w:val="single"/>
            </w:tcBorders>
            <w:vAlign w:val="center"/>
          </w:tcPr>
          <w:p w14:paraId="2A100000">
            <w:pPr>
              <w:widowControl w:val="1"/>
              <w:ind w:hanging="83"/>
              <w:contextualSpacing w:val="1"/>
              <w:jc w:val="center"/>
              <w:rPr>
                <w:color w:val="000000"/>
                <w:sz w:val="20"/>
              </w:rPr>
            </w:pPr>
            <w:r>
              <w:rPr>
                <w:color w:val="000000"/>
                <w:sz w:val="20"/>
              </w:rPr>
              <w:t>9</w:t>
            </w:r>
          </w:p>
        </w:tc>
        <w:tc>
          <w:tcPr>
            <w:tcW w:type="dxa" w:w="1067"/>
            <w:tcBorders>
              <w:top w:sz="4" w:val="nil"/>
              <w:left w:color="000000" w:sz="4" w:val="single"/>
              <w:bottom w:color="000000" w:sz="4" w:val="single"/>
              <w:right w:color="000000" w:sz="4" w:val="single"/>
            </w:tcBorders>
            <w:shd w:fill="auto" w:val="clear"/>
            <w:vAlign w:val="center"/>
          </w:tcPr>
          <w:p w14:paraId="2B100000">
            <w:pPr>
              <w:widowControl w:val="1"/>
              <w:ind w:hanging="83"/>
              <w:contextualSpacing w:val="1"/>
              <w:jc w:val="center"/>
              <w:rPr>
                <w:color w:val="000000"/>
                <w:sz w:val="20"/>
              </w:rPr>
            </w:pPr>
            <w:r>
              <w:rPr>
                <w:color w:val="000000"/>
                <w:sz w:val="20"/>
              </w:rPr>
              <w:t>9</w:t>
            </w:r>
          </w:p>
        </w:tc>
        <w:tc>
          <w:tcPr>
            <w:tcW w:type="dxa" w:w="1067"/>
            <w:tcBorders>
              <w:top w:sz="4" w:val="nil"/>
              <w:left w:sz="4" w:val="nil"/>
              <w:bottom w:color="000000" w:sz="4" w:val="single"/>
              <w:right w:color="000000" w:sz="4" w:val="single"/>
            </w:tcBorders>
            <w:shd w:fill="auto" w:val="clear"/>
            <w:vAlign w:val="center"/>
          </w:tcPr>
          <w:p w14:paraId="2C100000">
            <w:pPr>
              <w:widowControl w:val="1"/>
              <w:ind w:hanging="83"/>
              <w:contextualSpacing w:val="1"/>
              <w:jc w:val="center"/>
              <w:rPr>
                <w:color w:val="000000"/>
                <w:sz w:val="20"/>
              </w:rPr>
            </w:pPr>
            <w:r>
              <w:rPr>
                <w:color w:val="000000"/>
                <w:sz w:val="20"/>
              </w:rPr>
              <w:t>9</w:t>
            </w:r>
          </w:p>
        </w:tc>
        <w:tc>
          <w:tcPr>
            <w:tcW w:type="dxa" w:w="668"/>
            <w:tcBorders>
              <w:top w:color="000000" w:sz="4" w:val="single"/>
              <w:left w:color="000000" w:sz="4" w:val="single"/>
              <w:bottom w:color="000000" w:sz="4" w:val="single"/>
              <w:right w:color="000000" w:sz="4" w:val="single"/>
            </w:tcBorders>
            <w:vAlign w:val="center"/>
          </w:tcPr>
          <w:p w14:paraId="2D100000">
            <w:pPr>
              <w:widowControl w:val="1"/>
              <w:ind w:hanging="83"/>
              <w:contextualSpacing w:val="1"/>
              <w:jc w:val="center"/>
              <w:rPr>
                <w:i w:val="1"/>
                <w:color w:val="000000"/>
                <w:sz w:val="20"/>
              </w:rPr>
            </w:pPr>
            <w:r>
              <w:rPr>
                <w:i w:val="1"/>
                <w:color w:val="000000"/>
                <w:sz w:val="20"/>
              </w:rPr>
              <w:t>100</w:t>
            </w:r>
          </w:p>
        </w:tc>
        <w:tc>
          <w:tcPr>
            <w:tcW w:type="dxa" w:w="534"/>
            <w:tcBorders>
              <w:top w:color="000000" w:sz="4" w:val="single"/>
              <w:left w:color="000000" w:sz="4" w:val="single"/>
              <w:bottom w:color="000000" w:sz="4" w:val="single"/>
              <w:right w:color="000000" w:sz="4" w:val="single"/>
            </w:tcBorders>
            <w:shd w:fill="auto" w:val="clear"/>
            <w:vAlign w:val="center"/>
          </w:tcPr>
          <w:p w14:paraId="2E100000">
            <w:pPr>
              <w:widowControl w:val="1"/>
              <w:ind w:hanging="83"/>
              <w:contextualSpacing w:val="1"/>
              <w:jc w:val="center"/>
              <w:rPr>
                <w:i w:val="1"/>
                <w:color w:val="000000"/>
                <w:sz w:val="20"/>
              </w:rPr>
            </w:pPr>
            <w:r>
              <w:rPr>
                <w:i w:val="1"/>
                <w:color w:val="000000"/>
                <w:sz w:val="20"/>
              </w:rPr>
              <w:t>99</w:t>
            </w:r>
          </w:p>
        </w:tc>
      </w:tr>
      <w:tr>
        <w:trPr>
          <w:trHeight w:hRule="atLeast" w:val="316"/>
          <w:tblHeader/>
        </w:trPr>
        <w:tc>
          <w:tcPr>
            <w:tcW w:type="dxa" w:w="423"/>
            <w:vMerge w:val="restart"/>
            <w:tcBorders>
              <w:top w:sz="4" w:val="nil"/>
              <w:left w:color="000000" w:sz="4" w:val="single"/>
              <w:bottom w:color="000000" w:sz="4" w:val="single"/>
              <w:right w:color="000000" w:sz="4" w:val="single"/>
            </w:tcBorders>
            <w:shd w:fill="auto" w:val="clear"/>
            <w:vAlign w:val="center"/>
          </w:tcPr>
          <w:p w14:paraId="2F100000">
            <w:pPr>
              <w:widowControl w:val="1"/>
              <w:ind w:firstLine="709" w:left="-795"/>
              <w:contextualSpacing w:val="1"/>
              <w:jc w:val="center"/>
              <w:rPr>
                <w:sz w:val="20"/>
              </w:rPr>
            </w:pPr>
            <w:r>
              <w:rPr>
                <w:sz w:val="20"/>
              </w:rPr>
              <w:t>5</w:t>
            </w:r>
          </w:p>
        </w:tc>
        <w:tc>
          <w:tcPr>
            <w:tcW w:type="dxa" w:w="1442"/>
            <w:vMerge w:val="restart"/>
            <w:tcBorders>
              <w:top w:sz="4" w:val="nil"/>
              <w:left w:color="000000" w:sz="4" w:val="single"/>
              <w:bottom w:color="000000" w:sz="4" w:val="single"/>
              <w:right w:color="000000" w:sz="4" w:val="single"/>
            </w:tcBorders>
            <w:shd w:fill="auto" w:val="clear"/>
            <w:vAlign w:val="center"/>
          </w:tcPr>
          <w:p w14:paraId="30100000">
            <w:pPr>
              <w:widowControl w:val="1"/>
              <w:ind w:hanging="83"/>
              <w:contextualSpacing w:val="1"/>
              <w:jc w:val="center"/>
              <w:rPr>
                <w:sz w:val="20"/>
              </w:rPr>
            </w:pPr>
            <w:r>
              <w:rPr>
                <w:sz w:val="20"/>
              </w:rPr>
              <w:t>Составность</w:t>
            </w:r>
          </w:p>
        </w:tc>
        <w:tc>
          <w:tcPr>
            <w:tcW w:type="dxa" w:w="960"/>
            <w:tcBorders>
              <w:top w:sz="4" w:val="nil"/>
              <w:left w:sz="4" w:val="nil"/>
              <w:bottom w:color="000000" w:sz="4" w:val="single"/>
              <w:right w:color="000000" w:sz="4" w:val="single"/>
            </w:tcBorders>
            <w:shd w:fill="auto" w:val="clear"/>
            <w:vAlign w:val="center"/>
          </w:tcPr>
          <w:p w14:paraId="31100000">
            <w:pPr>
              <w:widowControl w:val="1"/>
              <w:ind w:hanging="83"/>
              <w:contextualSpacing w:val="1"/>
              <w:jc w:val="center"/>
              <w:rPr>
                <w:sz w:val="20"/>
              </w:rPr>
            </w:pPr>
            <w:r>
              <w:rPr>
                <w:sz w:val="20"/>
              </w:rPr>
              <w:t>ВСЕГО</w:t>
            </w:r>
          </w:p>
        </w:tc>
        <w:tc>
          <w:tcPr>
            <w:tcW w:type="dxa" w:w="1201"/>
            <w:tcBorders>
              <w:top w:color="000000" w:sz="4" w:val="single"/>
              <w:left w:sz="4" w:val="nil"/>
              <w:bottom w:color="000000" w:sz="4" w:val="single"/>
              <w:right w:color="000000" w:sz="4" w:val="single"/>
            </w:tcBorders>
            <w:vAlign w:val="center"/>
          </w:tcPr>
          <w:p w14:paraId="32100000">
            <w:pPr>
              <w:widowControl w:val="1"/>
              <w:ind w:hanging="83"/>
              <w:contextualSpacing w:val="1"/>
              <w:jc w:val="center"/>
              <w:rPr>
                <w:sz w:val="20"/>
              </w:rPr>
            </w:pPr>
            <w:r>
              <w:rPr>
                <w:sz w:val="20"/>
              </w:rPr>
              <w:t>ваг.</w:t>
            </w:r>
          </w:p>
        </w:tc>
        <w:tc>
          <w:tcPr>
            <w:tcW w:type="dxa" w:w="1201"/>
            <w:tcBorders>
              <w:top w:color="000000" w:sz="4" w:val="single"/>
              <w:left w:color="000000" w:sz="4" w:val="single"/>
              <w:bottom w:color="000000" w:sz="4" w:val="single"/>
              <w:right w:color="000000" w:sz="4" w:val="single"/>
            </w:tcBorders>
            <w:shd w:fill="auto" w:val="clear"/>
            <w:vAlign w:val="center"/>
          </w:tcPr>
          <w:p w14:paraId="33100000">
            <w:pPr>
              <w:widowControl w:val="1"/>
              <w:ind w:hanging="83"/>
              <w:contextualSpacing w:val="1"/>
              <w:jc w:val="center"/>
              <w:rPr>
                <w:color w:val="000000"/>
                <w:sz w:val="20"/>
              </w:rPr>
            </w:pPr>
            <w:r>
              <w:rPr>
                <w:color w:val="000000"/>
                <w:sz w:val="20"/>
              </w:rPr>
              <w:t>4</w:t>
            </w:r>
          </w:p>
        </w:tc>
        <w:tc>
          <w:tcPr>
            <w:tcW w:type="dxa" w:w="1201"/>
            <w:tcBorders>
              <w:top w:color="000000" w:sz="4" w:val="single"/>
              <w:left w:sz="4" w:val="nil"/>
              <w:bottom w:color="000000" w:sz="4" w:val="single"/>
              <w:right w:color="000000" w:sz="4" w:val="single"/>
            </w:tcBorders>
            <w:vAlign w:val="center"/>
          </w:tcPr>
          <w:p w14:paraId="34100000">
            <w:pPr>
              <w:widowControl w:val="1"/>
              <w:ind w:hanging="83"/>
              <w:contextualSpacing w:val="1"/>
              <w:jc w:val="center"/>
              <w:rPr>
                <w:color w:val="000000"/>
                <w:sz w:val="20"/>
              </w:rPr>
            </w:pPr>
            <w:r>
              <w:rPr>
                <w:color w:val="000000"/>
                <w:sz w:val="20"/>
              </w:rPr>
              <w:t>4</w:t>
            </w:r>
          </w:p>
        </w:tc>
        <w:tc>
          <w:tcPr>
            <w:tcW w:type="dxa" w:w="1067"/>
            <w:tcBorders>
              <w:top w:sz="4" w:val="nil"/>
              <w:left w:color="000000" w:sz="4" w:val="single"/>
              <w:bottom w:color="000000" w:sz="4" w:val="single"/>
              <w:right w:color="000000" w:sz="4" w:val="single"/>
            </w:tcBorders>
            <w:shd w:fill="auto" w:val="clear"/>
            <w:vAlign w:val="center"/>
          </w:tcPr>
          <w:p w14:paraId="35100000">
            <w:pPr>
              <w:widowControl w:val="1"/>
              <w:ind w:hanging="83"/>
              <w:contextualSpacing w:val="1"/>
              <w:jc w:val="center"/>
              <w:rPr>
                <w:color w:val="000000"/>
                <w:sz w:val="20"/>
              </w:rPr>
            </w:pPr>
            <w:r>
              <w:rPr>
                <w:color w:val="000000"/>
                <w:sz w:val="20"/>
              </w:rPr>
              <w:t>4</w:t>
            </w:r>
          </w:p>
        </w:tc>
        <w:tc>
          <w:tcPr>
            <w:tcW w:type="dxa" w:w="1067"/>
            <w:tcBorders>
              <w:top w:sz="4" w:val="nil"/>
              <w:left w:sz="4" w:val="nil"/>
              <w:bottom w:color="000000" w:sz="4" w:val="single"/>
              <w:right w:color="000000" w:sz="4" w:val="single"/>
            </w:tcBorders>
            <w:shd w:fill="auto" w:val="clear"/>
            <w:vAlign w:val="center"/>
          </w:tcPr>
          <w:p w14:paraId="36100000">
            <w:pPr>
              <w:widowControl w:val="1"/>
              <w:ind w:hanging="83"/>
              <w:contextualSpacing w:val="1"/>
              <w:jc w:val="center"/>
              <w:rPr>
                <w:color w:val="000000"/>
                <w:sz w:val="20"/>
              </w:rPr>
            </w:pPr>
            <w:r>
              <w:rPr>
                <w:color w:val="000000"/>
                <w:sz w:val="20"/>
              </w:rPr>
              <w:t>4</w:t>
            </w:r>
          </w:p>
        </w:tc>
        <w:tc>
          <w:tcPr>
            <w:tcW w:type="dxa" w:w="668"/>
            <w:tcBorders>
              <w:top w:color="000000" w:sz="4" w:val="single"/>
              <w:left w:color="000000" w:sz="4" w:val="single"/>
              <w:bottom w:color="000000" w:sz="4" w:val="single"/>
              <w:right w:color="000000" w:sz="4" w:val="single"/>
            </w:tcBorders>
            <w:vAlign w:val="center"/>
          </w:tcPr>
          <w:p w14:paraId="37100000">
            <w:pPr>
              <w:widowControl w:val="1"/>
              <w:ind w:hanging="83"/>
              <w:contextualSpacing w:val="1"/>
              <w:jc w:val="center"/>
              <w:rPr>
                <w:i w:val="1"/>
                <w:color w:val="000000"/>
                <w:sz w:val="20"/>
              </w:rPr>
            </w:pPr>
            <w:r>
              <w:rPr>
                <w:i w:val="1"/>
                <w:color w:val="000000"/>
                <w:sz w:val="20"/>
              </w:rPr>
              <w:t>99</w:t>
            </w:r>
          </w:p>
        </w:tc>
        <w:tc>
          <w:tcPr>
            <w:tcW w:type="dxa" w:w="534"/>
            <w:tcBorders>
              <w:top w:color="000000" w:sz="4" w:val="single"/>
              <w:left w:color="000000" w:sz="4" w:val="single"/>
              <w:bottom w:color="000000" w:sz="4" w:val="single"/>
              <w:right w:color="000000" w:sz="4" w:val="single"/>
            </w:tcBorders>
            <w:shd w:fill="auto" w:val="clear"/>
            <w:vAlign w:val="center"/>
          </w:tcPr>
          <w:p w14:paraId="38100000">
            <w:pPr>
              <w:widowControl w:val="1"/>
              <w:ind w:hanging="83"/>
              <w:contextualSpacing w:val="1"/>
              <w:jc w:val="center"/>
              <w:rPr>
                <w:i w:val="1"/>
                <w:color w:val="000000"/>
                <w:sz w:val="20"/>
              </w:rPr>
            </w:pPr>
            <w:r>
              <w:rPr>
                <w:i w:val="1"/>
                <w:color w:val="000000"/>
                <w:sz w:val="20"/>
              </w:rPr>
              <w:t>101</w:t>
            </w:r>
          </w:p>
        </w:tc>
      </w:tr>
      <w:tr>
        <w:trPr>
          <w:trHeight w:hRule="atLeast" w:val="316"/>
          <w:tblHeader/>
        </w:trPr>
        <w:tc>
          <w:tcPr>
            <w:tcW w:type="dxa" w:w="423"/>
            <w:gridSpan w:val="1"/>
            <w:vMerge w:val="continue"/>
            <w:tcBorders>
              <w:top w:sz="4" w:val="nil"/>
              <w:left w:color="000000" w:sz="4" w:val="single"/>
              <w:bottom w:color="000000" w:sz="4" w:val="single"/>
              <w:right w:color="000000" w:sz="4" w:val="single"/>
            </w:tcBorders>
            <w:shd w:fill="auto" w:val="clear"/>
            <w:vAlign w:val="center"/>
          </w:tcPr>
          <w:p/>
        </w:tc>
        <w:tc>
          <w:tcPr>
            <w:tcW w:type="dxa" w:w="1442"/>
            <w:gridSpan w:val="1"/>
            <w:vMerge w:val="continue"/>
            <w:tcBorders>
              <w:top w:sz="4" w:val="nil"/>
              <w:left w:color="000000" w:sz="4" w:val="single"/>
              <w:bottom w:color="000000" w:sz="4" w:val="single"/>
              <w:right w:color="000000" w:sz="4" w:val="single"/>
            </w:tcBorders>
            <w:shd w:fill="auto" w:val="clear"/>
            <w:vAlign w:val="center"/>
          </w:tcPr>
          <w:p/>
        </w:tc>
        <w:tc>
          <w:tcPr>
            <w:tcW w:type="dxa" w:w="960"/>
            <w:tcBorders>
              <w:top w:sz="4" w:val="nil"/>
              <w:left w:sz="4" w:val="nil"/>
              <w:bottom w:color="000000" w:sz="4" w:val="single"/>
              <w:right w:color="000000" w:sz="4" w:val="single"/>
            </w:tcBorders>
            <w:shd w:fill="auto" w:val="clear"/>
            <w:vAlign w:val="center"/>
          </w:tcPr>
          <w:p w14:paraId="39100000">
            <w:pPr>
              <w:widowControl w:val="1"/>
              <w:ind w:hanging="83"/>
              <w:contextualSpacing w:val="1"/>
              <w:jc w:val="center"/>
              <w:rPr>
                <w:sz w:val="20"/>
              </w:rPr>
            </w:pPr>
            <w:r>
              <w:rPr>
                <w:sz w:val="20"/>
              </w:rPr>
              <w:t>МВПС</w:t>
            </w:r>
          </w:p>
        </w:tc>
        <w:tc>
          <w:tcPr>
            <w:tcW w:type="dxa" w:w="1201"/>
            <w:tcBorders>
              <w:top w:color="000000" w:sz="4" w:val="single"/>
              <w:left w:sz="4" w:val="nil"/>
              <w:bottom w:color="000000" w:sz="4" w:val="single"/>
              <w:right w:color="000000" w:sz="4" w:val="single"/>
            </w:tcBorders>
            <w:vAlign w:val="center"/>
          </w:tcPr>
          <w:p w14:paraId="3A100000">
            <w:pPr>
              <w:widowControl w:val="1"/>
              <w:ind w:hanging="83"/>
              <w:contextualSpacing w:val="1"/>
              <w:jc w:val="center"/>
              <w:rPr>
                <w:sz w:val="20"/>
              </w:rPr>
            </w:pPr>
            <w:r>
              <w:rPr>
                <w:sz w:val="20"/>
              </w:rPr>
              <w:t>ваг.</w:t>
            </w:r>
          </w:p>
        </w:tc>
        <w:tc>
          <w:tcPr>
            <w:tcW w:type="dxa" w:w="1201"/>
            <w:tcBorders>
              <w:top w:color="000000" w:sz="4" w:val="single"/>
              <w:left w:color="000000" w:sz="4" w:val="single"/>
              <w:bottom w:color="000000" w:sz="4" w:val="single"/>
              <w:right w:color="000000" w:sz="4" w:val="single"/>
            </w:tcBorders>
            <w:shd w:fill="auto" w:val="clear"/>
            <w:vAlign w:val="center"/>
          </w:tcPr>
          <w:p w14:paraId="3B100000">
            <w:pPr>
              <w:widowControl w:val="1"/>
              <w:ind w:hanging="83"/>
              <w:contextualSpacing w:val="1"/>
              <w:jc w:val="center"/>
              <w:rPr>
                <w:color w:val="000000"/>
                <w:sz w:val="20"/>
              </w:rPr>
            </w:pPr>
            <w:r>
              <w:rPr>
                <w:color w:val="000000"/>
                <w:sz w:val="20"/>
              </w:rPr>
              <w:t>5</w:t>
            </w:r>
          </w:p>
        </w:tc>
        <w:tc>
          <w:tcPr>
            <w:tcW w:type="dxa" w:w="1201"/>
            <w:tcBorders>
              <w:top w:color="000000" w:sz="4" w:val="single"/>
              <w:left w:sz="4" w:val="nil"/>
              <w:bottom w:color="000000" w:sz="4" w:val="single"/>
              <w:right w:color="000000" w:sz="4" w:val="single"/>
            </w:tcBorders>
            <w:vAlign w:val="center"/>
          </w:tcPr>
          <w:p w14:paraId="3C100000">
            <w:pPr>
              <w:widowControl w:val="1"/>
              <w:ind w:hanging="83"/>
              <w:contextualSpacing w:val="1"/>
              <w:jc w:val="center"/>
              <w:rPr>
                <w:color w:val="000000"/>
                <w:sz w:val="20"/>
              </w:rPr>
            </w:pPr>
            <w:r>
              <w:rPr>
                <w:color w:val="000000"/>
                <w:sz w:val="20"/>
              </w:rPr>
              <w:t>5</w:t>
            </w:r>
          </w:p>
        </w:tc>
        <w:tc>
          <w:tcPr>
            <w:tcW w:type="dxa" w:w="1067"/>
            <w:tcBorders>
              <w:top w:sz="4" w:val="nil"/>
              <w:left w:color="000000" w:sz="4" w:val="single"/>
              <w:bottom w:color="000000" w:sz="4" w:val="single"/>
              <w:right w:color="000000" w:sz="4" w:val="single"/>
            </w:tcBorders>
            <w:shd w:fill="auto" w:val="clear"/>
            <w:vAlign w:val="center"/>
          </w:tcPr>
          <w:p w14:paraId="3D100000">
            <w:pPr>
              <w:widowControl w:val="1"/>
              <w:ind w:hanging="83"/>
              <w:contextualSpacing w:val="1"/>
              <w:jc w:val="center"/>
              <w:rPr>
                <w:color w:val="000000"/>
                <w:sz w:val="20"/>
              </w:rPr>
            </w:pPr>
            <w:r>
              <w:rPr>
                <w:color w:val="000000"/>
                <w:sz w:val="20"/>
              </w:rPr>
              <w:t>5</w:t>
            </w:r>
          </w:p>
        </w:tc>
        <w:tc>
          <w:tcPr>
            <w:tcW w:type="dxa" w:w="1067"/>
            <w:tcBorders>
              <w:top w:sz="4" w:val="nil"/>
              <w:left w:sz="4" w:val="nil"/>
              <w:bottom w:color="000000" w:sz="4" w:val="single"/>
              <w:right w:color="000000" w:sz="4" w:val="single"/>
            </w:tcBorders>
            <w:shd w:fill="auto" w:val="clear"/>
            <w:vAlign w:val="center"/>
          </w:tcPr>
          <w:p w14:paraId="3E100000">
            <w:pPr>
              <w:widowControl w:val="1"/>
              <w:ind w:hanging="83"/>
              <w:contextualSpacing w:val="1"/>
              <w:jc w:val="center"/>
              <w:rPr>
                <w:color w:val="000000"/>
                <w:sz w:val="20"/>
              </w:rPr>
            </w:pPr>
            <w:r>
              <w:rPr>
                <w:color w:val="000000"/>
                <w:sz w:val="20"/>
              </w:rPr>
              <w:t>5</w:t>
            </w:r>
          </w:p>
        </w:tc>
        <w:tc>
          <w:tcPr>
            <w:tcW w:type="dxa" w:w="668"/>
            <w:tcBorders>
              <w:top w:color="000000" w:sz="4" w:val="single"/>
              <w:left w:color="000000" w:sz="4" w:val="single"/>
              <w:bottom w:color="000000" w:sz="4" w:val="single"/>
              <w:right w:color="000000" w:sz="4" w:val="single"/>
            </w:tcBorders>
            <w:vAlign w:val="center"/>
          </w:tcPr>
          <w:p w14:paraId="3F100000">
            <w:pPr>
              <w:widowControl w:val="1"/>
              <w:ind w:hanging="83"/>
              <w:contextualSpacing w:val="1"/>
              <w:jc w:val="center"/>
              <w:rPr>
                <w:i w:val="1"/>
                <w:color w:val="000000"/>
                <w:sz w:val="20"/>
              </w:rPr>
            </w:pPr>
            <w:r>
              <w:rPr>
                <w:i w:val="1"/>
                <w:color w:val="000000"/>
                <w:sz w:val="20"/>
              </w:rPr>
              <w:t>101</w:t>
            </w:r>
          </w:p>
        </w:tc>
        <w:tc>
          <w:tcPr>
            <w:tcW w:type="dxa" w:w="534"/>
            <w:tcBorders>
              <w:top w:color="000000" w:sz="4" w:val="single"/>
              <w:left w:color="000000" w:sz="4" w:val="single"/>
              <w:bottom w:color="000000" w:sz="4" w:val="single"/>
              <w:right w:color="000000" w:sz="4" w:val="single"/>
            </w:tcBorders>
            <w:shd w:fill="auto" w:val="clear"/>
            <w:vAlign w:val="center"/>
          </w:tcPr>
          <w:p w14:paraId="40100000">
            <w:pPr>
              <w:widowControl w:val="1"/>
              <w:ind w:hanging="83"/>
              <w:contextualSpacing w:val="1"/>
              <w:jc w:val="center"/>
              <w:rPr>
                <w:i w:val="1"/>
                <w:color w:val="000000"/>
                <w:sz w:val="20"/>
              </w:rPr>
            </w:pPr>
            <w:r>
              <w:rPr>
                <w:i w:val="1"/>
                <w:color w:val="000000"/>
                <w:sz w:val="20"/>
              </w:rPr>
              <w:t>101</w:t>
            </w:r>
          </w:p>
        </w:tc>
      </w:tr>
      <w:tr>
        <w:trPr>
          <w:trHeight w:hRule="atLeast" w:val="316"/>
          <w:tblHeader/>
        </w:trPr>
        <w:tc>
          <w:tcPr>
            <w:tcW w:type="dxa" w:w="423"/>
            <w:gridSpan w:val="1"/>
            <w:vMerge w:val="continue"/>
            <w:tcBorders>
              <w:top w:sz="4" w:val="nil"/>
              <w:left w:color="000000" w:sz="4" w:val="single"/>
              <w:bottom w:color="000000" w:sz="4" w:val="single"/>
              <w:right w:color="000000" w:sz="4" w:val="single"/>
            </w:tcBorders>
            <w:shd w:fill="auto" w:val="clear"/>
            <w:vAlign w:val="center"/>
          </w:tcPr>
          <w:p/>
        </w:tc>
        <w:tc>
          <w:tcPr>
            <w:tcW w:type="dxa" w:w="1442"/>
            <w:gridSpan w:val="1"/>
            <w:vMerge w:val="continue"/>
            <w:tcBorders>
              <w:top w:sz="4" w:val="nil"/>
              <w:left w:color="000000" w:sz="4" w:val="single"/>
              <w:bottom w:color="000000" w:sz="4" w:val="single"/>
              <w:right w:color="000000" w:sz="4" w:val="single"/>
            </w:tcBorders>
            <w:shd w:fill="auto" w:val="clear"/>
            <w:vAlign w:val="center"/>
          </w:tcPr>
          <w:p/>
        </w:tc>
        <w:tc>
          <w:tcPr>
            <w:tcW w:type="dxa" w:w="960"/>
            <w:tcBorders>
              <w:top w:sz="4" w:val="nil"/>
              <w:left w:sz="4" w:val="nil"/>
              <w:bottom w:color="000000" w:sz="4" w:val="single"/>
              <w:right w:color="000000" w:sz="4" w:val="single"/>
            </w:tcBorders>
            <w:shd w:fill="auto" w:val="clear"/>
            <w:vAlign w:val="center"/>
          </w:tcPr>
          <w:p w14:paraId="41100000">
            <w:pPr>
              <w:widowControl w:val="1"/>
              <w:ind w:hanging="83"/>
              <w:contextualSpacing w:val="1"/>
              <w:jc w:val="center"/>
              <w:rPr>
                <w:sz w:val="20"/>
              </w:rPr>
            </w:pPr>
            <w:r>
              <w:rPr>
                <w:sz w:val="20"/>
              </w:rPr>
              <w:t>т. тяга</w:t>
            </w:r>
          </w:p>
        </w:tc>
        <w:tc>
          <w:tcPr>
            <w:tcW w:type="dxa" w:w="1201"/>
            <w:tcBorders>
              <w:top w:color="000000" w:sz="4" w:val="single"/>
              <w:left w:sz="4" w:val="nil"/>
              <w:bottom w:color="000000" w:sz="4" w:val="single"/>
              <w:right w:color="000000" w:sz="4" w:val="single"/>
            </w:tcBorders>
            <w:vAlign w:val="center"/>
          </w:tcPr>
          <w:p w14:paraId="42100000">
            <w:pPr>
              <w:widowControl w:val="1"/>
              <w:ind w:hanging="83"/>
              <w:contextualSpacing w:val="1"/>
              <w:jc w:val="center"/>
              <w:rPr>
                <w:sz w:val="20"/>
              </w:rPr>
            </w:pPr>
            <w:r>
              <w:rPr>
                <w:sz w:val="20"/>
              </w:rPr>
              <w:t>ваг.</w:t>
            </w:r>
          </w:p>
        </w:tc>
        <w:tc>
          <w:tcPr>
            <w:tcW w:type="dxa" w:w="1201"/>
            <w:tcBorders>
              <w:top w:color="000000" w:sz="4" w:val="single"/>
              <w:left w:color="000000" w:sz="4" w:val="single"/>
              <w:bottom w:color="000000" w:sz="4" w:val="single"/>
              <w:right w:color="000000" w:sz="4" w:val="single"/>
            </w:tcBorders>
            <w:shd w:fill="auto" w:val="clear"/>
            <w:vAlign w:val="center"/>
          </w:tcPr>
          <w:p w14:paraId="43100000">
            <w:pPr>
              <w:widowControl w:val="1"/>
              <w:ind w:hanging="83"/>
              <w:contextualSpacing w:val="1"/>
              <w:jc w:val="center"/>
              <w:rPr>
                <w:color w:val="000000"/>
                <w:sz w:val="20"/>
              </w:rPr>
            </w:pPr>
            <w:r>
              <w:rPr>
                <w:color w:val="000000"/>
                <w:sz w:val="20"/>
              </w:rPr>
              <w:t>2</w:t>
            </w:r>
          </w:p>
        </w:tc>
        <w:tc>
          <w:tcPr>
            <w:tcW w:type="dxa" w:w="1201"/>
            <w:tcBorders>
              <w:top w:color="000000" w:sz="4" w:val="single"/>
              <w:left w:sz="4" w:val="nil"/>
              <w:bottom w:color="000000" w:sz="4" w:val="single"/>
              <w:right w:color="000000" w:sz="4" w:val="single"/>
            </w:tcBorders>
            <w:vAlign w:val="center"/>
          </w:tcPr>
          <w:p w14:paraId="44100000">
            <w:pPr>
              <w:widowControl w:val="1"/>
              <w:ind w:hanging="83"/>
              <w:contextualSpacing w:val="1"/>
              <w:jc w:val="center"/>
              <w:rPr>
                <w:color w:val="000000"/>
                <w:sz w:val="20"/>
              </w:rPr>
            </w:pPr>
            <w:r>
              <w:rPr>
                <w:color w:val="000000"/>
                <w:sz w:val="20"/>
              </w:rPr>
              <w:t>2</w:t>
            </w:r>
          </w:p>
        </w:tc>
        <w:tc>
          <w:tcPr>
            <w:tcW w:type="dxa" w:w="1067"/>
            <w:tcBorders>
              <w:top w:sz="4" w:val="nil"/>
              <w:left w:color="000000" w:sz="4" w:val="single"/>
              <w:bottom w:color="000000" w:sz="4" w:val="single"/>
              <w:right w:color="000000" w:sz="4" w:val="single"/>
            </w:tcBorders>
            <w:shd w:fill="auto" w:val="clear"/>
            <w:vAlign w:val="center"/>
          </w:tcPr>
          <w:p w14:paraId="45100000">
            <w:pPr>
              <w:widowControl w:val="1"/>
              <w:ind w:hanging="83"/>
              <w:contextualSpacing w:val="1"/>
              <w:jc w:val="center"/>
              <w:rPr>
                <w:color w:val="000000"/>
                <w:sz w:val="20"/>
              </w:rPr>
            </w:pPr>
            <w:r>
              <w:rPr>
                <w:color w:val="000000"/>
                <w:sz w:val="20"/>
              </w:rPr>
              <w:t>2</w:t>
            </w:r>
          </w:p>
        </w:tc>
        <w:tc>
          <w:tcPr>
            <w:tcW w:type="dxa" w:w="1067"/>
            <w:tcBorders>
              <w:top w:sz="4" w:val="nil"/>
              <w:left w:sz="4" w:val="nil"/>
              <w:bottom w:color="000000" w:sz="4" w:val="single"/>
              <w:right w:color="000000" w:sz="4" w:val="single"/>
            </w:tcBorders>
            <w:shd w:fill="auto" w:val="clear"/>
            <w:vAlign w:val="center"/>
          </w:tcPr>
          <w:p w14:paraId="46100000">
            <w:pPr>
              <w:widowControl w:val="1"/>
              <w:ind w:hanging="83"/>
              <w:contextualSpacing w:val="1"/>
              <w:jc w:val="center"/>
              <w:rPr>
                <w:color w:val="000000"/>
                <w:sz w:val="20"/>
              </w:rPr>
            </w:pPr>
            <w:r>
              <w:rPr>
                <w:color w:val="000000"/>
                <w:sz w:val="20"/>
              </w:rPr>
              <w:t>1</w:t>
            </w:r>
          </w:p>
        </w:tc>
        <w:tc>
          <w:tcPr>
            <w:tcW w:type="dxa" w:w="668"/>
            <w:tcBorders>
              <w:top w:color="000000" w:sz="4" w:val="single"/>
              <w:left w:color="000000" w:sz="4" w:val="single"/>
              <w:bottom w:color="000000" w:sz="4" w:val="single"/>
              <w:right w:color="000000" w:sz="4" w:val="single"/>
            </w:tcBorders>
            <w:vAlign w:val="center"/>
          </w:tcPr>
          <w:p w14:paraId="47100000">
            <w:pPr>
              <w:widowControl w:val="1"/>
              <w:ind w:hanging="83"/>
              <w:contextualSpacing w:val="1"/>
              <w:jc w:val="center"/>
              <w:rPr>
                <w:i w:val="1"/>
                <w:color w:val="000000"/>
                <w:sz w:val="20"/>
              </w:rPr>
            </w:pPr>
            <w:r>
              <w:rPr>
                <w:i w:val="1"/>
                <w:color w:val="000000"/>
                <w:sz w:val="20"/>
              </w:rPr>
              <w:t>99</w:t>
            </w:r>
          </w:p>
        </w:tc>
        <w:tc>
          <w:tcPr>
            <w:tcW w:type="dxa" w:w="534"/>
            <w:tcBorders>
              <w:top w:color="000000" w:sz="4" w:val="single"/>
              <w:left w:color="000000" w:sz="4" w:val="single"/>
              <w:bottom w:color="000000" w:sz="4" w:val="single"/>
              <w:right w:color="000000" w:sz="4" w:val="single"/>
            </w:tcBorders>
            <w:shd w:fill="auto" w:val="clear"/>
            <w:vAlign w:val="center"/>
          </w:tcPr>
          <w:p w14:paraId="48100000">
            <w:pPr>
              <w:widowControl w:val="1"/>
              <w:ind w:hanging="83"/>
              <w:contextualSpacing w:val="1"/>
              <w:jc w:val="center"/>
              <w:rPr>
                <w:i w:val="1"/>
                <w:color w:val="000000"/>
                <w:sz w:val="20"/>
              </w:rPr>
            </w:pPr>
            <w:r>
              <w:rPr>
                <w:i w:val="1"/>
                <w:color w:val="000000"/>
                <w:sz w:val="20"/>
              </w:rPr>
              <w:t>97</w:t>
            </w:r>
          </w:p>
        </w:tc>
      </w:tr>
    </w:tbl>
    <w:p w14:paraId="49100000">
      <w:pPr>
        <w:widowControl w:val="1"/>
        <w:tabs>
          <w:tab w:leader="none" w:pos="0" w:val="left"/>
          <w:tab w:leader="none" w:pos="6300" w:val="left"/>
          <w:tab w:leader="none" w:pos="7200" w:val="left"/>
        </w:tabs>
        <w:spacing w:line="360" w:lineRule="auto"/>
        <w:ind w:firstLine="709"/>
        <w:contextualSpacing w:val="1"/>
        <w:jc w:val="right"/>
        <w:rPr>
          <w:b w:val="1"/>
        </w:rPr>
      </w:pPr>
    </w:p>
    <w:p w14:paraId="4A100000">
      <w:pPr>
        <w:widowControl w:val="1"/>
        <w:spacing w:line="360" w:lineRule="auto"/>
        <w:ind w:firstLine="709"/>
        <w:contextualSpacing w:val="1"/>
        <w:jc w:val="both"/>
      </w:pPr>
      <w:r>
        <w:t>Прочие производственные расходы, без затрат по договорам с  ОАО «РЖД»и АО "ФПК":</w:t>
      </w:r>
    </w:p>
    <w:p w14:paraId="4B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аренда подвижного состава у ГПКК ЦТЛ – 21 869 тыс. руб., 100% к плану и  100% к прошлому году;</w:t>
      </w:r>
    </w:p>
    <w:p w14:paraId="4C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аудиторские услуги – 126,4 тыс. руб., 97,5% к плану, 108,8% к прошлому году, превышение объясняется проведением открытого конкурса и определением стоимости услуг по результатам конкурса, в соответствии с федеральным законом № 94-ФЗ от 21.07.2005г.;</w:t>
      </w:r>
    </w:p>
    <w:p w14:paraId="4D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налоги и сборы, относимые на себестоимость, транспортный налог, налог на имущество, прочие налоги – 185 тыс. руб.- 222% к плану, 268% к прошлому году, рост обусловлен  изменением законодательства с 01.01.2018 года в части исчисления налога с движимого имущества, введенного в эксплуатацию с 01.01.2013 года. С 01.01.2018 года ставка налога на такое имущество в Красноярском крае составляет  1,1%. До этого времени законодательством была установлена льгота, налогом данное имущество  не облагалось;</w:t>
      </w:r>
    </w:p>
    <w:p w14:paraId="4E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аренда зданий и сооружений, коммунальные услуги – 5 461 тыс. руб., 108,7% к плану , 112,8% к уровню прошлого года, превышение объясняется вынужденной сменой арендуемого Обществом помещения для размещения офиса с более высокой арендной платой, т.к. действующий договор аренды с ООО «Развитие» был расторгнут в четвертом квартале 2018г. по причине начала строительства нового микрорайона.</w:t>
      </w:r>
    </w:p>
    <w:p w14:paraId="4F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ТО  и ТР автотранспорта – 238,8 тыс. руб., 101,6% к плану, 128,8% к уровню прошлого года. Рост к прошлому году за счет проведение ремонта по  замене тормозных дисков, тормозных колодок и  датчиков износа тормозных колодок.</w:t>
      </w:r>
    </w:p>
    <w:p w14:paraId="50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 xml:space="preserve">информационные, консультационные  услуги, с учётом сопровождения информационных систем ОАО «РЖД», составили 1 930 тыс. руб.,  62 % к плану. Экономия к плану  за счет услуг </w:t>
      </w:r>
      <w:r>
        <w:rPr>
          <w:color w:val="000000"/>
        </w:rPr>
        <w:t>по информационно-технологическому обслуживанию системы 1С.8</w:t>
      </w:r>
      <w:r>
        <w:t xml:space="preserve">  и технической  </w:t>
      </w:r>
      <w:r>
        <w:rPr>
          <w:color w:val="000000"/>
        </w:rPr>
        <w:t xml:space="preserve"> поддержки программного комплекса АСУПБ.</w:t>
      </w:r>
      <w:r>
        <w:t xml:space="preserve"> </w:t>
      </w:r>
    </w:p>
    <w:p w14:paraId="51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командировочные расходы  - 841,6 тыс. руб., 94,9% к плану, 116% к прошлому году рост обусловлен возобновлением судебного разбирательства и участием сотрудников компании в рассмотрении апелляционных жалоб по взысканию убытков из бюджета Республики Бурятия в  городе Чита;</w:t>
      </w:r>
    </w:p>
    <w:p w14:paraId="52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медицинское освидетельствование  - 305 тыс. руб., 69%  к плану , 98,5% к прошлому году;</w:t>
      </w:r>
    </w:p>
    <w:p w14:paraId="53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 xml:space="preserve">услуги охраны 3 113 тыс. руб.,  74,4%  к плану , 85,8% к прошлому году; </w:t>
      </w:r>
    </w:p>
    <w:p w14:paraId="54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 xml:space="preserve">подготовка кадров – 388 тыс. руб., 162,9%  к плану , 195% к прошлому году.  Рост за счет обучения </w:t>
      </w:r>
      <w:r>
        <w:t>инженера отдела по пассажирской</w:t>
      </w:r>
      <w:r>
        <w:t xml:space="preserve">  </w:t>
      </w:r>
      <w:r>
        <w:t>по программе «Организация перевозок железнодорожным транспортом пассажиров» и обучения билетных кассиров в Енисейском филиале АО «Федеральная пассажирская компания» (г. Красноярск) по программе «Продажа и оформление проездных, перевозочных документов во внутреннем и межгосударственном сообщении», в связи с открытием продаж билетов дальнего следования на вокзале Злобино, а также обучением билетных кассиров разъездных Красноярского участка по программе повышения клиентоориентированности в рамках подготовки к проведению Зимней универсиады – 2019.</w:t>
      </w:r>
    </w:p>
    <w:p w14:paraId="55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охрана труда – 207 тыс. руб. 21,3%  к плану , 38% к прошлому году. Снижение объясняется тем, что в 2017г. материалы, приобретаемые для производственной санитарии и улучшения условий труда, относились на статью «Прочие расходы». В 2018 г. расходы по приобретению данных материалов отнесены к статье «Материалы»</w:t>
      </w:r>
    </w:p>
    <w:p w14:paraId="56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стр</w:t>
      </w:r>
      <w:r>
        <w:t xml:space="preserve">ахование имущества, пассажиров 543 </w:t>
      </w:r>
      <w:r>
        <w:t xml:space="preserve">тыс. руб., </w:t>
      </w:r>
      <w:r>
        <w:t>79,3% к плану, 84,8% к</w:t>
      </w:r>
      <w:r>
        <w:t xml:space="preserve"> прошлому году. Снижение обусловлено уменьшением стоимости услуг по страхованию средств железнодорожного транспорта (три электропоезда ЭД9М в 10 вагонном исполнении) по результатам запроса котировок.</w:t>
      </w:r>
    </w:p>
    <w:p w14:paraId="57100000">
      <w:pPr>
        <w:widowControl w:val="1"/>
        <w:tabs>
          <w:tab w:leader="none" w:pos="360" w:val="left"/>
        </w:tabs>
        <w:spacing w:line="360" w:lineRule="auto"/>
        <w:ind/>
        <w:jc w:val="both"/>
        <w:rPr>
          <w:color w:val="000000"/>
        </w:rPr>
      </w:pPr>
      <w:r>
        <w:t xml:space="preserve"> услуги связи, почтовые расходы – 1 350 тыс. руб., 116,5% к плану, 115,4% к прошлому году.</w:t>
      </w:r>
      <w:r>
        <w:rPr>
          <w:color w:val="000000"/>
        </w:rPr>
        <w:tab/>
      </w:r>
      <w:r>
        <w:t>В целях улучшения качества обслуживания и расширения спектра предоставляемых услуг в билетных кассах АО «Краспригород», компанией «СибТрансТелеКом» было произведено подключение к сети интернет по высокоскоростной линии офиса АО «Краспригород», вокзала Ачинск, Уяр, ст. Злобино, ст. Енисей, филиала в г. Абакан и организованы виртуальные каналы связи поверх физической линии, т.к. для подключения к сети интернет в данных билетных кассах использовалась сотовая связь, которая  не давала стабильной связи, что создавало риск сбоя данных при передаче информации.</w:t>
      </w:r>
      <w:r>
        <w:rPr>
          <w:color w:val="000000"/>
        </w:rPr>
        <w:t xml:space="preserve"> </w:t>
      </w:r>
    </w:p>
    <w:p w14:paraId="58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аренда оборудования 173,4 тыс. руб. – 61,9% к плану, 64,2% к прошлому году. Снижение объясняется тем, что в 2017г. действовал договор аренды автономных транспортных терминалов с ГПКК «Красноярскавтотранс», для осуществление расчетов за проезд пассажиров в общественном транспорте по Транспортным картам. В 2018г. данный договор аренды оборудования действовал до 28.02.2018г.,  в дальнейшем произведена доработка программного обеспечения, установленного на собственных переносных кассовых терминалах АТОЛЛ-11Ф.</w:t>
      </w:r>
    </w:p>
    <w:p w14:paraId="59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плата за пользование постельным бельем 63 тыс.руб., 112,4% к плану, 102,5% к прошлому году;</w:t>
      </w:r>
    </w:p>
    <w:p w14:paraId="5A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услуги по ликвидации чрезвычайных ситуаций - 398 тыс.руб., 100% к прошлому году и плану;</w:t>
      </w:r>
    </w:p>
    <w:p w14:paraId="5B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расходы на рекламу – 179,1 тыс.руб., 37,3% к плану, 32,6% к прошлому году; Снижение объясняется тем, что в 2017 г. материалы, приобретаемые для изготовления рекламной продукции, относились на статью «Прочие расходы». В 2018 г. расходы по приобретению данных материалов отнесены к статье «Материалы»</w:t>
      </w:r>
    </w:p>
    <w:p w14:paraId="5C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сертификация и лицензирование – 534,9 тыс.руб.;</w:t>
      </w:r>
    </w:p>
    <w:p w14:paraId="5D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уборка зданий и сооружений – 182,5 тыс.руб.;</w:t>
      </w:r>
    </w:p>
    <w:p w14:paraId="5E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 xml:space="preserve">текущий ремонт ТР-2 электропоездов  серии ЭД9М ЦТЛ (КразЭВРЗ) – 2 283 тыс.руб.; </w:t>
      </w:r>
    </w:p>
    <w:p w14:paraId="5F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 xml:space="preserve">окраска вагонов ЦТЛ – 2 789,9 тыс.руб.; </w:t>
      </w:r>
    </w:p>
    <w:p w14:paraId="60100000">
      <w:pPr>
        <w:widowControl w:val="1"/>
        <w:numPr>
          <w:ilvl w:val="0"/>
          <w:numId w:val="28"/>
        </w:numPr>
        <w:tabs>
          <w:tab w:leader="none" w:pos="360" w:val="left"/>
          <w:tab w:leader="none" w:pos="540" w:val="clear"/>
          <w:tab w:leader="none" w:pos="1134" w:val="left"/>
        </w:tabs>
        <w:spacing w:line="360" w:lineRule="auto"/>
        <w:ind w:firstLine="709" w:left="0"/>
        <w:contextualSpacing w:val="1"/>
        <w:jc w:val="both"/>
      </w:pPr>
      <w:r>
        <w:t>ремонт оборудования – 104,1 тыс.руб.</w:t>
      </w:r>
    </w:p>
    <w:p w14:paraId="61100000">
      <w:pPr>
        <w:widowControl w:val="1"/>
        <w:spacing w:line="360" w:lineRule="auto"/>
        <w:ind w:firstLine="709"/>
        <w:contextualSpacing w:val="1"/>
        <w:jc w:val="both"/>
      </w:pPr>
      <w:r>
        <w:rPr>
          <w:b w:val="1"/>
          <w:i w:val="1"/>
        </w:rPr>
        <w:t>прочие расходы</w:t>
      </w:r>
      <w:r>
        <w:t xml:space="preserve"> (91 счет) составили 6 790,3 тыс. руб., </w:t>
      </w:r>
    </w:p>
    <w:p w14:paraId="62100000">
      <w:pPr>
        <w:widowControl w:val="1"/>
        <w:spacing w:line="360" w:lineRule="auto"/>
        <w:ind w:firstLine="709"/>
        <w:contextualSpacing w:val="1"/>
        <w:jc w:val="both"/>
      </w:pPr>
      <w:r>
        <w:t>В таблице 5.</w:t>
      </w:r>
      <w:r>
        <w:t>2</w:t>
      </w:r>
      <w:r>
        <w:t>4</w:t>
      </w:r>
      <w:r>
        <w:t xml:space="preserve"> представлена </w:t>
      </w:r>
      <w:r>
        <w:rPr>
          <w:b w:val="1"/>
        </w:rPr>
        <w:t>информация о страховых компаниях</w:t>
      </w:r>
      <w:r>
        <w:t>, осуществляющих страхование в Обществе.</w:t>
      </w:r>
    </w:p>
    <w:p w14:paraId="63100000">
      <w:pPr>
        <w:widowControl w:val="1"/>
        <w:spacing w:line="360" w:lineRule="auto"/>
        <w:ind w:firstLine="709"/>
        <w:contextualSpacing w:val="1"/>
        <w:jc w:val="right"/>
        <w:rPr>
          <w:b w:val="1"/>
        </w:rPr>
      </w:pPr>
      <w:r>
        <w:rPr>
          <w:b w:val="1"/>
        </w:rPr>
        <w:t xml:space="preserve"> Таблица 5.</w:t>
      </w:r>
      <w:r>
        <w:rPr>
          <w:b w:val="1"/>
        </w:rPr>
        <w:t>2</w:t>
      </w:r>
      <w:r>
        <w:rPr>
          <w:b w:val="1"/>
        </w:rPr>
        <w:t>4</w:t>
      </w:r>
    </w:p>
    <w:tbl>
      <w:tblPr>
        <w:tblStyle w:val="Style_4"/>
        <w:tblW w:type="auto" w:w="0"/>
        <w:tblLayout w:type="fixed"/>
      </w:tblPr>
      <w:tblGrid>
        <w:gridCol w:w="1433"/>
        <w:gridCol w:w="1771"/>
        <w:gridCol w:w="1264"/>
        <w:gridCol w:w="1524"/>
        <w:gridCol w:w="1021"/>
        <w:gridCol w:w="1387"/>
        <w:gridCol w:w="1163"/>
      </w:tblGrid>
      <w:tr>
        <w:trPr>
          <w:trHeight w:hRule="atLeast" w:val="1125"/>
          <w:tblHeader/>
        </w:trPr>
        <w:tc>
          <w:tcPr>
            <w:tcW w:type="dxa" w:w="1433"/>
            <w:tcBorders>
              <w:top w:color="000000" w:sz="4" w:val="single"/>
              <w:left w:color="000000" w:sz="4" w:val="single"/>
              <w:bottom w:color="000000" w:sz="4" w:val="single"/>
              <w:right w:color="000000" w:sz="4" w:val="single"/>
            </w:tcBorders>
            <w:shd w:fill="auto" w:val="clear"/>
            <w:vAlign w:val="center"/>
          </w:tcPr>
          <w:p w14:paraId="64100000">
            <w:pPr>
              <w:widowControl w:val="1"/>
              <w:ind/>
              <w:contextualSpacing w:val="1"/>
              <w:jc w:val="center"/>
              <w:rPr>
                <w:sz w:val="20"/>
              </w:rPr>
            </w:pPr>
            <w:r>
              <w:rPr>
                <w:sz w:val="20"/>
              </w:rPr>
              <w:t>Наименование контрагента по договору</w:t>
            </w:r>
          </w:p>
        </w:tc>
        <w:tc>
          <w:tcPr>
            <w:tcW w:type="dxa" w:w="1771"/>
            <w:tcBorders>
              <w:top w:color="000000" w:sz="4" w:val="single"/>
              <w:left w:sz="4" w:val="nil"/>
              <w:bottom w:color="000000" w:sz="4" w:val="single"/>
              <w:right w:color="000000" w:sz="4" w:val="single"/>
            </w:tcBorders>
            <w:shd w:fill="auto" w:val="clear"/>
            <w:vAlign w:val="center"/>
          </w:tcPr>
          <w:p w14:paraId="65100000">
            <w:pPr>
              <w:widowControl w:val="1"/>
              <w:ind/>
              <w:contextualSpacing w:val="1"/>
              <w:jc w:val="center"/>
              <w:rPr>
                <w:sz w:val="20"/>
              </w:rPr>
            </w:pPr>
            <w:r>
              <w:rPr>
                <w:sz w:val="20"/>
              </w:rPr>
              <w:t>№ договора, дата заключения</w:t>
            </w:r>
          </w:p>
        </w:tc>
        <w:tc>
          <w:tcPr>
            <w:tcW w:type="dxa" w:w="1264"/>
            <w:tcBorders>
              <w:top w:color="000000" w:sz="4" w:val="single"/>
              <w:left w:sz="4" w:val="nil"/>
              <w:bottom w:color="000000" w:sz="4" w:val="single"/>
              <w:right w:color="000000" w:sz="4" w:val="single"/>
            </w:tcBorders>
            <w:shd w:fill="auto" w:val="clear"/>
            <w:vAlign w:val="center"/>
          </w:tcPr>
          <w:p w14:paraId="66100000">
            <w:pPr>
              <w:widowControl w:val="1"/>
              <w:ind/>
              <w:contextualSpacing w:val="1"/>
              <w:jc w:val="center"/>
              <w:rPr>
                <w:sz w:val="20"/>
              </w:rPr>
            </w:pPr>
            <w:r>
              <w:rPr>
                <w:sz w:val="20"/>
              </w:rPr>
              <w:t>Срок действия договора</w:t>
            </w:r>
          </w:p>
        </w:tc>
        <w:tc>
          <w:tcPr>
            <w:tcW w:type="dxa" w:w="1524"/>
            <w:tcBorders>
              <w:top w:color="000000" w:sz="4" w:val="single"/>
              <w:left w:sz="4" w:val="nil"/>
              <w:bottom w:color="000000" w:sz="4" w:val="single"/>
              <w:right w:color="000000" w:sz="4" w:val="single"/>
            </w:tcBorders>
            <w:shd w:fill="auto" w:val="clear"/>
            <w:vAlign w:val="center"/>
          </w:tcPr>
          <w:p w14:paraId="67100000">
            <w:pPr>
              <w:widowControl w:val="1"/>
              <w:ind/>
              <w:contextualSpacing w:val="1"/>
              <w:jc w:val="center"/>
              <w:rPr>
                <w:sz w:val="20"/>
              </w:rPr>
            </w:pPr>
            <w:r>
              <w:rPr>
                <w:sz w:val="20"/>
              </w:rPr>
              <w:t>Предмет договора</w:t>
            </w:r>
          </w:p>
        </w:tc>
        <w:tc>
          <w:tcPr>
            <w:tcW w:type="dxa" w:w="1021"/>
            <w:tcBorders>
              <w:top w:color="000000" w:sz="4" w:val="single"/>
              <w:left w:sz="4" w:val="nil"/>
              <w:bottom w:color="000000" w:sz="4" w:val="single"/>
              <w:right w:color="000000" w:sz="4" w:val="single"/>
            </w:tcBorders>
            <w:shd w:fill="auto" w:val="clear"/>
            <w:vAlign w:val="center"/>
          </w:tcPr>
          <w:p w14:paraId="68100000">
            <w:pPr>
              <w:widowControl w:val="1"/>
              <w:ind/>
              <w:contextualSpacing w:val="1"/>
              <w:jc w:val="center"/>
              <w:rPr>
                <w:sz w:val="20"/>
              </w:rPr>
            </w:pPr>
            <w:r>
              <w:rPr>
                <w:sz w:val="20"/>
              </w:rPr>
              <w:t>Стоимость договора/руб.</w:t>
            </w:r>
          </w:p>
        </w:tc>
        <w:tc>
          <w:tcPr>
            <w:tcW w:type="dxa" w:w="1387"/>
            <w:tcBorders>
              <w:top w:color="000000" w:sz="4" w:val="single"/>
              <w:left w:sz="4" w:val="nil"/>
              <w:bottom w:color="000000" w:sz="4" w:val="single"/>
              <w:right w:color="000000" w:sz="4" w:val="single"/>
            </w:tcBorders>
            <w:shd w:fill="auto" w:val="clear"/>
            <w:vAlign w:val="center"/>
          </w:tcPr>
          <w:p w14:paraId="69100000">
            <w:pPr>
              <w:widowControl w:val="1"/>
              <w:ind/>
              <w:contextualSpacing w:val="1"/>
              <w:jc w:val="center"/>
              <w:rPr>
                <w:color w:val="000000"/>
                <w:sz w:val="20"/>
              </w:rPr>
            </w:pPr>
            <w:r>
              <w:rPr>
                <w:color w:val="000000"/>
                <w:sz w:val="20"/>
              </w:rPr>
              <w:t>Срок, способ уплаты страховой премии</w:t>
            </w:r>
          </w:p>
        </w:tc>
        <w:tc>
          <w:tcPr>
            <w:tcW w:type="dxa" w:w="1163"/>
            <w:tcBorders>
              <w:top w:color="000000" w:sz="4" w:val="single"/>
              <w:left w:sz="4" w:val="nil"/>
              <w:bottom w:color="000000" w:sz="4" w:val="single"/>
              <w:right w:color="000000" w:sz="4" w:val="single"/>
            </w:tcBorders>
            <w:shd w:fill="auto" w:val="clear"/>
            <w:vAlign w:val="center"/>
          </w:tcPr>
          <w:p w14:paraId="6A100000">
            <w:pPr>
              <w:widowControl w:val="1"/>
              <w:ind/>
              <w:contextualSpacing w:val="1"/>
              <w:jc w:val="center"/>
              <w:rPr>
                <w:color w:val="000000"/>
                <w:sz w:val="20"/>
              </w:rPr>
            </w:pPr>
            <w:r>
              <w:rPr>
                <w:color w:val="000000"/>
                <w:sz w:val="20"/>
              </w:rPr>
              <w:t>Информация о страховом возмещении</w:t>
            </w:r>
          </w:p>
        </w:tc>
      </w:tr>
      <w:tr>
        <w:trPr>
          <w:trHeight w:hRule="atLeast" w:val="703"/>
        </w:trPr>
        <w:tc>
          <w:tcPr>
            <w:tcW w:type="dxa" w:w="1433"/>
            <w:tcBorders>
              <w:top w:color="000000" w:sz="4" w:val="single"/>
              <w:left w:color="000000" w:sz="4" w:val="single"/>
              <w:bottom w:color="000000" w:sz="4" w:val="single"/>
              <w:right w:color="000000" w:sz="4" w:val="single"/>
            </w:tcBorders>
            <w:shd w:fill="auto" w:val="clear"/>
            <w:vAlign w:val="center"/>
          </w:tcPr>
          <w:p w14:paraId="6B100000">
            <w:pPr>
              <w:widowControl w:val="1"/>
              <w:ind/>
              <w:contextualSpacing w:val="1"/>
              <w:jc w:val="center"/>
              <w:rPr>
                <w:sz w:val="20"/>
              </w:rPr>
            </w:pPr>
            <w:r>
              <w:rPr>
                <w:sz w:val="20"/>
              </w:rPr>
              <w:t>АО "СОГАЗ"</w:t>
            </w:r>
          </w:p>
        </w:tc>
        <w:tc>
          <w:tcPr>
            <w:tcW w:type="dxa" w:w="1771"/>
            <w:tcBorders>
              <w:top w:color="000000" w:sz="4" w:val="single"/>
              <w:left w:sz="4" w:val="nil"/>
              <w:bottom w:color="000000" w:sz="4" w:val="single"/>
              <w:right w:color="000000" w:sz="4" w:val="single"/>
            </w:tcBorders>
            <w:shd w:fill="auto" w:val="clear"/>
            <w:vAlign w:val="center"/>
          </w:tcPr>
          <w:p w14:paraId="6C100000">
            <w:pPr>
              <w:widowControl w:val="1"/>
              <w:ind/>
              <w:contextualSpacing w:val="1"/>
              <w:jc w:val="center"/>
              <w:rPr>
                <w:sz w:val="20"/>
              </w:rPr>
            </w:pPr>
            <w:r>
              <w:rPr>
                <w:sz w:val="20"/>
              </w:rPr>
              <w:t>договор № 3717</w:t>
            </w:r>
            <w:r>
              <w:rPr>
                <w:sz w:val="20"/>
              </w:rPr>
              <w:t>LM</w:t>
            </w:r>
            <w:r>
              <w:rPr>
                <w:sz w:val="20"/>
              </w:rPr>
              <w:t>0019</w:t>
            </w:r>
            <w:r>
              <w:rPr>
                <w:sz w:val="20"/>
              </w:rPr>
              <w:t>KL</w:t>
            </w:r>
            <w:r>
              <w:rPr>
                <w:sz w:val="20"/>
              </w:rPr>
              <w:t xml:space="preserve"> 28.03.2017г</w:t>
            </w:r>
          </w:p>
        </w:tc>
        <w:tc>
          <w:tcPr>
            <w:tcW w:type="dxa" w:w="1264"/>
            <w:tcBorders>
              <w:top w:color="000000" w:sz="4" w:val="single"/>
              <w:left w:sz="4" w:val="nil"/>
              <w:bottom w:color="000000" w:sz="4" w:val="single"/>
              <w:right w:color="000000" w:sz="4" w:val="single"/>
            </w:tcBorders>
            <w:shd w:fill="auto" w:val="clear"/>
            <w:vAlign w:val="center"/>
          </w:tcPr>
          <w:p w14:paraId="6D100000">
            <w:pPr>
              <w:widowControl w:val="1"/>
              <w:ind/>
              <w:contextualSpacing w:val="1"/>
              <w:jc w:val="center"/>
              <w:rPr>
                <w:sz w:val="20"/>
              </w:rPr>
            </w:pPr>
            <w:r>
              <w:rPr>
                <w:sz w:val="20"/>
              </w:rPr>
              <w:t>01.04.2017-31.03.2018</w:t>
            </w:r>
          </w:p>
        </w:tc>
        <w:tc>
          <w:tcPr>
            <w:tcW w:type="dxa" w:w="1524"/>
            <w:tcBorders>
              <w:top w:color="000000" w:sz="4" w:val="single"/>
              <w:left w:sz="4" w:val="nil"/>
              <w:bottom w:color="000000" w:sz="4" w:val="single"/>
              <w:right w:color="000000" w:sz="4" w:val="single"/>
            </w:tcBorders>
            <w:shd w:fill="auto" w:val="clear"/>
            <w:vAlign w:val="center"/>
          </w:tcPr>
          <w:p w14:paraId="6E100000">
            <w:pPr>
              <w:widowControl w:val="1"/>
              <w:ind/>
              <w:contextualSpacing w:val="1"/>
              <w:jc w:val="center"/>
              <w:rPr>
                <w:sz w:val="20"/>
              </w:rPr>
            </w:pPr>
            <w:r>
              <w:rPr>
                <w:sz w:val="20"/>
              </w:rPr>
              <w:t>Оказание услуг по добровольному  медицинскому страхованию (от клещевого энцефалита) работников</w:t>
            </w:r>
          </w:p>
        </w:tc>
        <w:tc>
          <w:tcPr>
            <w:tcW w:type="dxa" w:w="1021"/>
            <w:tcBorders>
              <w:top w:color="000000" w:sz="4" w:val="single"/>
              <w:left w:sz="4" w:val="nil"/>
              <w:bottom w:color="000000" w:sz="4" w:val="single"/>
              <w:right w:color="000000" w:sz="4" w:val="single"/>
            </w:tcBorders>
            <w:shd w:fill="auto" w:val="clear"/>
            <w:vAlign w:val="center"/>
          </w:tcPr>
          <w:p w14:paraId="6F100000">
            <w:pPr>
              <w:widowControl w:val="1"/>
              <w:ind/>
              <w:contextualSpacing w:val="1"/>
              <w:jc w:val="center"/>
              <w:rPr>
                <w:sz w:val="20"/>
              </w:rPr>
            </w:pPr>
            <w:r>
              <w:rPr>
                <w:sz w:val="20"/>
              </w:rPr>
              <w:t>28 260 руб. без НДС</w:t>
            </w:r>
          </w:p>
        </w:tc>
        <w:tc>
          <w:tcPr>
            <w:tcW w:type="dxa" w:w="1387"/>
            <w:tcBorders>
              <w:top w:color="000000" w:sz="4" w:val="single"/>
              <w:left w:sz="4" w:val="nil"/>
              <w:bottom w:color="000000" w:sz="4" w:val="single"/>
              <w:right w:color="000000" w:sz="4" w:val="single"/>
            </w:tcBorders>
            <w:shd w:fill="FFFFFF" w:val="clear"/>
            <w:vAlign w:val="center"/>
          </w:tcPr>
          <w:p w14:paraId="70100000">
            <w:pPr>
              <w:widowControl w:val="1"/>
              <w:ind/>
              <w:contextualSpacing w:val="1"/>
              <w:jc w:val="center"/>
              <w:rPr>
                <w:color w:val="000000"/>
                <w:sz w:val="20"/>
              </w:rPr>
            </w:pPr>
            <w:r>
              <w:rPr>
                <w:color w:val="000000"/>
                <w:sz w:val="20"/>
              </w:rPr>
              <w:t>премия оплачивается единовременным платежом на расчетный счет страховщика в срок до 07.04.2017г.</w:t>
            </w:r>
          </w:p>
          <w:p w14:paraId="71100000">
            <w:pPr>
              <w:widowControl w:val="1"/>
              <w:ind/>
              <w:contextualSpacing w:val="1"/>
              <w:jc w:val="center"/>
              <w:rPr>
                <w:color w:val="000000"/>
                <w:sz w:val="20"/>
              </w:rPr>
            </w:pPr>
          </w:p>
        </w:tc>
        <w:tc>
          <w:tcPr>
            <w:tcW w:type="dxa" w:w="1163"/>
            <w:tcBorders>
              <w:top w:color="000000" w:sz="4" w:val="single"/>
              <w:left w:sz="4" w:val="nil"/>
              <w:bottom w:color="000000" w:sz="4" w:val="single"/>
              <w:right w:color="000000" w:sz="4" w:val="single"/>
            </w:tcBorders>
            <w:shd w:fill="auto" w:val="clear"/>
            <w:vAlign w:val="center"/>
          </w:tcPr>
          <w:p w14:paraId="72100000">
            <w:pPr>
              <w:widowControl w:val="1"/>
              <w:ind/>
              <w:contextualSpacing w:val="1"/>
              <w:jc w:val="center"/>
              <w:rPr>
                <w:color w:val="000000"/>
                <w:sz w:val="20"/>
              </w:rPr>
            </w:pPr>
            <w:r>
              <w:rPr>
                <w:color w:val="000000"/>
                <w:sz w:val="20"/>
              </w:rPr>
              <w:t>Страховая сумма составляет 47 100 000 руб.</w:t>
            </w:r>
          </w:p>
        </w:tc>
      </w:tr>
      <w:tr>
        <w:trPr>
          <w:trHeight w:hRule="atLeast" w:val="2239"/>
        </w:trPr>
        <w:tc>
          <w:tcPr>
            <w:tcW w:type="dxa" w:w="1433"/>
            <w:tcBorders>
              <w:top w:color="000000" w:sz="4" w:val="single"/>
              <w:left w:color="000000" w:sz="4" w:val="single"/>
              <w:bottom w:color="000000" w:sz="4" w:val="single"/>
              <w:right w:color="000000" w:sz="4" w:val="single"/>
            </w:tcBorders>
            <w:shd w:fill="FFFFFF" w:val="clear"/>
            <w:vAlign w:val="center"/>
          </w:tcPr>
          <w:p w14:paraId="73100000">
            <w:pPr>
              <w:widowControl w:val="1"/>
              <w:ind/>
              <w:contextualSpacing w:val="1"/>
              <w:jc w:val="center"/>
              <w:rPr>
                <w:sz w:val="20"/>
              </w:rPr>
            </w:pPr>
            <w:r>
              <w:rPr>
                <w:sz w:val="20"/>
              </w:rPr>
              <w:t>ОАО "АльфаСтрахование"</w:t>
            </w:r>
          </w:p>
        </w:tc>
        <w:tc>
          <w:tcPr>
            <w:tcW w:type="dxa" w:w="1771"/>
            <w:tcBorders>
              <w:top w:color="000000" w:sz="4" w:val="single"/>
              <w:left w:sz="4" w:val="nil"/>
              <w:bottom w:color="000000" w:sz="4" w:val="single"/>
              <w:right w:color="000000" w:sz="4" w:val="single"/>
            </w:tcBorders>
            <w:shd w:fill="FFFFFF" w:val="clear"/>
            <w:vAlign w:val="center"/>
          </w:tcPr>
          <w:p w14:paraId="74100000">
            <w:pPr>
              <w:widowControl w:val="1"/>
              <w:ind/>
              <w:contextualSpacing w:val="1"/>
              <w:jc w:val="center"/>
              <w:rPr>
                <w:sz w:val="20"/>
              </w:rPr>
            </w:pPr>
            <w:r>
              <w:rPr>
                <w:sz w:val="20"/>
              </w:rPr>
              <w:t>договор № 8793</w:t>
            </w:r>
            <w:r>
              <w:rPr>
                <w:sz w:val="20"/>
              </w:rPr>
              <w:t xml:space="preserve">R/242/00184/7 </w:t>
            </w:r>
            <w:r>
              <w:rPr>
                <w:sz w:val="20"/>
              </w:rPr>
              <w:t>2</w:t>
            </w:r>
            <w:r>
              <w:rPr>
                <w:sz w:val="20"/>
              </w:rPr>
              <w:t>0</w:t>
            </w:r>
            <w:r>
              <w:rPr>
                <w:sz w:val="20"/>
              </w:rPr>
              <w:t xml:space="preserve">.03.2017г. </w:t>
            </w:r>
          </w:p>
        </w:tc>
        <w:tc>
          <w:tcPr>
            <w:tcW w:type="dxa" w:w="1264"/>
            <w:tcBorders>
              <w:top w:color="000000" w:sz="4" w:val="single"/>
              <w:left w:sz="4" w:val="nil"/>
              <w:bottom w:color="000000" w:sz="4" w:val="single"/>
              <w:right w:color="000000" w:sz="4" w:val="single"/>
            </w:tcBorders>
            <w:shd w:fill="FFFFFF" w:val="clear"/>
            <w:vAlign w:val="center"/>
          </w:tcPr>
          <w:p w14:paraId="75100000">
            <w:pPr>
              <w:widowControl w:val="1"/>
              <w:ind/>
              <w:contextualSpacing w:val="1"/>
              <w:jc w:val="center"/>
              <w:rPr>
                <w:sz w:val="20"/>
              </w:rPr>
            </w:pPr>
            <w:r>
              <w:rPr>
                <w:sz w:val="20"/>
              </w:rPr>
              <w:t>23.03.2017-22.03.2018г.</w:t>
            </w:r>
          </w:p>
        </w:tc>
        <w:tc>
          <w:tcPr>
            <w:tcW w:type="dxa" w:w="1524"/>
            <w:tcBorders>
              <w:top w:color="000000" w:sz="4" w:val="single"/>
              <w:left w:sz="4" w:val="nil"/>
              <w:bottom w:color="000000" w:sz="4" w:val="single"/>
              <w:right w:color="000000" w:sz="4" w:val="single"/>
            </w:tcBorders>
            <w:shd w:fill="FFFFFF" w:val="clear"/>
            <w:vAlign w:val="center"/>
          </w:tcPr>
          <w:p w14:paraId="76100000">
            <w:pPr>
              <w:widowControl w:val="1"/>
              <w:ind/>
              <w:contextualSpacing w:val="1"/>
              <w:jc w:val="center"/>
              <w:rPr>
                <w:sz w:val="20"/>
              </w:rPr>
            </w:pPr>
            <w:r>
              <w:rPr>
                <w:sz w:val="20"/>
              </w:rPr>
              <w:t>Страховая защита работников</w:t>
            </w:r>
          </w:p>
        </w:tc>
        <w:tc>
          <w:tcPr>
            <w:tcW w:type="dxa" w:w="1021"/>
            <w:tcBorders>
              <w:top w:color="000000" w:sz="4" w:val="single"/>
              <w:left w:sz="4" w:val="nil"/>
              <w:bottom w:color="000000" w:sz="4" w:val="single"/>
              <w:right w:color="000000" w:sz="4" w:val="single"/>
            </w:tcBorders>
            <w:shd w:fill="FFFFFF" w:val="clear"/>
            <w:vAlign w:val="center"/>
          </w:tcPr>
          <w:p w14:paraId="77100000">
            <w:pPr>
              <w:widowControl w:val="1"/>
              <w:ind/>
              <w:contextualSpacing w:val="1"/>
              <w:jc w:val="center"/>
              <w:rPr>
                <w:sz w:val="20"/>
              </w:rPr>
            </w:pPr>
            <w:r>
              <w:rPr>
                <w:sz w:val="20"/>
              </w:rPr>
              <w:t>11 130 руб. без НДС</w:t>
            </w:r>
          </w:p>
        </w:tc>
        <w:tc>
          <w:tcPr>
            <w:tcW w:type="dxa" w:w="1387"/>
            <w:tcBorders>
              <w:top w:color="000000" w:sz="4" w:val="single"/>
              <w:left w:sz="4" w:val="nil"/>
              <w:bottom w:color="000000" w:sz="4" w:val="single"/>
              <w:right w:color="000000" w:sz="4" w:val="single"/>
            </w:tcBorders>
            <w:shd w:fill="FFFFFF" w:val="clear"/>
            <w:vAlign w:val="center"/>
          </w:tcPr>
          <w:p w14:paraId="78100000">
            <w:pPr>
              <w:widowControl w:val="1"/>
              <w:ind/>
              <w:contextualSpacing w:val="1"/>
              <w:jc w:val="center"/>
              <w:rPr>
                <w:color w:val="000000"/>
                <w:sz w:val="20"/>
              </w:rPr>
            </w:pPr>
            <w:r>
              <w:rPr>
                <w:color w:val="000000"/>
                <w:sz w:val="20"/>
              </w:rPr>
              <w:t>премия оплачивается единовременным платежом на расчетный счет страховщика в срок до 23.03.2017г.</w:t>
            </w:r>
          </w:p>
          <w:p w14:paraId="79100000">
            <w:pPr>
              <w:widowControl w:val="1"/>
              <w:ind/>
              <w:contextualSpacing w:val="1"/>
              <w:jc w:val="center"/>
              <w:rPr>
                <w:color w:val="000000"/>
                <w:sz w:val="20"/>
              </w:rPr>
            </w:pPr>
          </w:p>
        </w:tc>
        <w:tc>
          <w:tcPr>
            <w:tcW w:type="dxa" w:w="1163"/>
            <w:tcBorders>
              <w:top w:color="000000" w:sz="4" w:val="single"/>
              <w:left w:sz="4" w:val="nil"/>
              <w:bottom w:color="000000" w:sz="4" w:val="single"/>
              <w:right w:color="000000" w:sz="4" w:val="single"/>
            </w:tcBorders>
            <w:shd w:fill="FFFFFF" w:val="clear"/>
            <w:vAlign w:val="center"/>
          </w:tcPr>
          <w:p w14:paraId="7A100000">
            <w:pPr>
              <w:widowControl w:val="1"/>
              <w:ind/>
              <w:contextualSpacing w:val="1"/>
              <w:jc w:val="center"/>
              <w:rPr>
                <w:color w:val="000000"/>
                <w:sz w:val="20"/>
              </w:rPr>
            </w:pPr>
            <w:r>
              <w:rPr>
                <w:color w:val="000000"/>
                <w:sz w:val="20"/>
              </w:rPr>
              <w:t>Страховая сумма составляет 7 950  000 руб.</w:t>
            </w:r>
          </w:p>
        </w:tc>
      </w:tr>
      <w:tr>
        <w:trPr>
          <w:trHeight w:hRule="atLeast" w:val="4140"/>
        </w:trPr>
        <w:tc>
          <w:tcPr>
            <w:tcW w:type="dxa" w:w="1433"/>
            <w:tcBorders>
              <w:top w:color="000000" w:sz="4" w:val="single"/>
              <w:left w:color="000000" w:sz="4" w:val="single"/>
              <w:bottom w:color="000000" w:sz="4" w:val="single"/>
              <w:right w:color="000000" w:sz="4" w:val="single"/>
            </w:tcBorders>
            <w:shd w:fill="FFFFFF" w:val="clear"/>
            <w:vAlign w:val="center"/>
          </w:tcPr>
          <w:p w14:paraId="7B100000">
            <w:pPr>
              <w:widowControl w:val="1"/>
              <w:ind/>
              <w:contextualSpacing w:val="1"/>
              <w:jc w:val="center"/>
              <w:rPr>
                <w:sz w:val="20"/>
              </w:rPr>
            </w:pPr>
            <w:r>
              <w:rPr>
                <w:sz w:val="20"/>
              </w:rPr>
              <w:t>Красноярский филиал АО "СОГАЗ"</w:t>
            </w:r>
          </w:p>
        </w:tc>
        <w:tc>
          <w:tcPr>
            <w:tcW w:type="dxa" w:w="1771"/>
            <w:tcBorders>
              <w:top w:color="000000" w:sz="4" w:val="single"/>
              <w:left w:sz="4" w:val="nil"/>
              <w:right w:color="000000" w:sz="4" w:val="single"/>
            </w:tcBorders>
            <w:shd w:fill="FFFFFF" w:val="clear"/>
            <w:vAlign w:val="center"/>
          </w:tcPr>
          <w:p w14:paraId="7C100000">
            <w:pPr>
              <w:widowControl w:val="1"/>
              <w:ind/>
              <w:contextualSpacing w:val="1"/>
              <w:jc w:val="center"/>
              <w:rPr>
                <w:sz w:val="20"/>
              </w:rPr>
            </w:pPr>
            <w:r>
              <w:rPr>
                <w:sz w:val="20"/>
              </w:rPr>
              <w:t>договор №м GAZX21877278532000/3718 GP0011 от 30.03.2018</w:t>
            </w:r>
          </w:p>
        </w:tc>
        <w:tc>
          <w:tcPr>
            <w:tcW w:type="dxa" w:w="1264"/>
            <w:tcBorders>
              <w:top w:color="000000" w:sz="4" w:val="single"/>
              <w:left w:sz="4" w:val="nil"/>
              <w:right w:color="000000" w:sz="4" w:val="single"/>
            </w:tcBorders>
            <w:shd w:fill="FFFFFF" w:val="clear"/>
            <w:vAlign w:val="center"/>
          </w:tcPr>
          <w:p w14:paraId="7D100000">
            <w:pPr>
              <w:widowControl w:val="1"/>
              <w:ind/>
              <w:contextualSpacing w:val="1"/>
              <w:jc w:val="center"/>
              <w:rPr>
                <w:sz w:val="20"/>
              </w:rPr>
            </w:pPr>
            <w:r>
              <w:rPr>
                <w:sz w:val="20"/>
              </w:rPr>
              <w:t>01.04.2018-31.03.2019</w:t>
            </w:r>
          </w:p>
        </w:tc>
        <w:tc>
          <w:tcPr>
            <w:tcW w:type="dxa" w:w="1524"/>
            <w:tcBorders>
              <w:top w:color="000000" w:sz="4" w:val="single"/>
              <w:left w:sz="4" w:val="nil"/>
              <w:bottom w:color="000000" w:sz="4" w:val="single"/>
              <w:right w:color="000000" w:sz="4" w:val="single"/>
            </w:tcBorders>
            <w:shd w:fill="FFFFFF" w:val="clear"/>
            <w:vAlign w:val="center"/>
          </w:tcPr>
          <w:p w14:paraId="7E100000">
            <w:pPr>
              <w:widowControl w:val="1"/>
              <w:ind/>
              <w:contextualSpacing w:val="1"/>
              <w:jc w:val="center"/>
              <w:rPr>
                <w:sz w:val="20"/>
              </w:rPr>
            </w:pPr>
            <w:r>
              <w:rPr>
                <w:sz w:val="20"/>
              </w:rPr>
              <w:t>страхование гражданской ответственности перевозчика за причинение вреда жизни, здоровью, имуществу пассажиров</w:t>
            </w:r>
          </w:p>
        </w:tc>
        <w:tc>
          <w:tcPr>
            <w:tcW w:type="dxa" w:w="1021"/>
            <w:tcBorders>
              <w:top w:color="000000" w:sz="4" w:val="single"/>
              <w:left w:sz="4" w:val="nil"/>
              <w:right w:color="000000" w:sz="4" w:val="single"/>
            </w:tcBorders>
            <w:shd w:fill="FFFFFF" w:val="clear"/>
            <w:vAlign w:val="center"/>
          </w:tcPr>
          <w:p w14:paraId="7F100000">
            <w:pPr>
              <w:widowControl w:val="1"/>
              <w:ind/>
              <w:contextualSpacing w:val="1"/>
              <w:jc w:val="center"/>
              <w:rPr>
                <w:sz w:val="20"/>
              </w:rPr>
            </w:pPr>
            <w:r>
              <w:rPr>
                <w:sz w:val="20"/>
              </w:rPr>
              <w:t>274179,38 руб. без НДС</w:t>
            </w:r>
          </w:p>
        </w:tc>
        <w:tc>
          <w:tcPr>
            <w:tcW w:type="dxa" w:w="1387"/>
            <w:tcBorders>
              <w:top w:color="000000" w:sz="4" w:val="single"/>
              <w:left w:sz="4" w:val="nil"/>
              <w:right w:color="000000" w:sz="4" w:val="single"/>
            </w:tcBorders>
            <w:shd w:fill="FFFFFF" w:val="clear"/>
            <w:vAlign w:val="center"/>
          </w:tcPr>
          <w:p w14:paraId="80100000">
            <w:pPr>
              <w:widowControl w:val="1"/>
              <w:ind/>
              <w:contextualSpacing w:val="1"/>
              <w:jc w:val="center"/>
              <w:rPr>
                <w:sz w:val="20"/>
              </w:rPr>
            </w:pPr>
            <w:r>
              <w:rPr>
                <w:sz w:val="20"/>
              </w:rPr>
              <w:t>Страховая премия уплачивается в рассрочку:</w:t>
            </w:r>
          </w:p>
          <w:p w14:paraId="81100000">
            <w:pPr>
              <w:widowControl w:val="1"/>
              <w:ind/>
              <w:contextualSpacing w:val="1"/>
              <w:jc w:val="center"/>
              <w:rPr>
                <w:sz w:val="20"/>
              </w:rPr>
            </w:pPr>
            <w:r>
              <w:rPr>
                <w:sz w:val="20"/>
              </w:rPr>
              <w:t>первый страховой взнос в размере: 137 089,69</w:t>
            </w:r>
          </w:p>
          <w:p w14:paraId="82100000">
            <w:pPr>
              <w:widowControl w:val="1"/>
              <w:ind/>
              <w:contextualSpacing w:val="1"/>
              <w:jc w:val="center"/>
              <w:rPr>
                <w:sz w:val="20"/>
              </w:rPr>
            </w:pPr>
            <w:r>
              <w:rPr>
                <w:sz w:val="20"/>
              </w:rPr>
              <w:t>рублей подлежит уплате до 31.03.2018г.</w:t>
            </w:r>
          </w:p>
          <w:p w14:paraId="83100000">
            <w:pPr>
              <w:widowControl w:val="1"/>
              <w:ind/>
              <w:contextualSpacing w:val="1"/>
              <w:jc w:val="center"/>
              <w:rPr>
                <w:sz w:val="20"/>
              </w:rPr>
            </w:pPr>
            <w:r>
              <w:rPr>
                <w:sz w:val="20"/>
              </w:rPr>
              <w:t>второй страховой взнос в размере: 137 089,69</w:t>
            </w:r>
          </w:p>
          <w:p w14:paraId="84100000">
            <w:pPr>
              <w:widowControl w:val="1"/>
              <w:ind/>
              <w:contextualSpacing w:val="1"/>
              <w:jc w:val="center"/>
              <w:rPr>
                <w:sz w:val="20"/>
              </w:rPr>
            </w:pPr>
            <w:r>
              <w:rPr>
                <w:sz w:val="20"/>
              </w:rPr>
              <w:t>рублей подлежит уплате до 31.07.2018г.</w:t>
            </w:r>
          </w:p>
          <w:p w14:paraId="85100000">
            <w:pPr>
              <w:widowControl w:val="1"/>
              <w:ind/>
              <w:contextualSpacing w:val="1"/>
              <w:jc w:val="center"/>
              <w:rPr>
                <w:color w:val="000000"/>
                <w:sz w:val="20"/>
              </w:rPr>
            </w:pPr>
          </w:p>
        </w:tc>
        <w:tc>
          <w:tcPr>
            <w:tcW w:type="dxa" w:w="1163"/>
            <w:tcBorders>
              <w:top w:color="000000" w:sz="4" w:val="single"/>
              <w:left w:sz="4" w:val="nil"/>
              <w:bottom w:color="000000" w:sz="4" w:val="single"/>
              <w:right w:color="000000" w:sz="4" w:val="single"/>
            </w:tcBorders>
            <w:shd w:fill="FFFFFF" w:val="clear"/>
            <w:vAlign w:val="center"/>
          </w:tcPr>
          <w:p w14:paraId="86100000">
            <w:pPr>
              <w:widowControl w:val="1"/>
              <w:ind/>
              <w:contextualSpacing w:val="1"/>
              <w:jc w:val="center"/>
              <w:rPr>
                <w:color w:val="000000"/>
                <w:sz w:val="20"/>
              </w:rPr>
            </w:pPr>
            <w:r>
              <w:rPr>
                <w:color w:val="000000"/>
                <w:sz w:val="20"/>
              </w:rPr>
              <w:t>Страх. суммы: по риску гражд. ответственности за причинение вреда жизни потерпевшего  - 2 025 000 руб.на одного  пассажира ; по риску гражд. ответственности за причинение вреда здоровью потерпевшего - 2000000 руб. на одного пассажира; по риску гражд. ответственности за причинение вреда имуществу потерпевшего - 23000 руб. Страховые суммы не могут изменяться в период действия договора</w:t>
            </w:r>
          </w:p>
        </w:tc>
      </w:tr>
      <w:tr>
        <w:trPr>
          <w:trHeight w:hRule="atLeast" w:val="1456"/>
        </w:trPr>
        <w:tc>
          <w:tcPr>
            <w:tcW w:type="dxa" w:w="1433"/>
            <w:tcBorders>
              <w:top w:color="000000" w:sz="4" w:val="single"/>
              <w:left w:color="000000" w:sz="4" w:val="single"/>
              <w:bottom w:color="000000" w:sz="4" w:val="single"/>
              <w:right w:color="000000" w:sz="4" w:val="single"/>
            </w:tcBorders>
            <w:shd w:fill="FFFFFF" w:val="clear"/>
            <w:vAlign w:val="center"/>
          </w:tcPr>
          <w:p w14:paraId="87100000">
            <w:pPr>
              <w:widowControl w:val="1"/>
              <w:ind/>
              <w:contextualSpacing w:val="1"/>
              <w:jc w:val="center"/>
              <w:rPr>
                <w:sz w:val="20"/>
              </w:rPr>
            </w:pPr>
            <w:r>
              <w:rPr>
                <w:sz w:val="20"/>
              </w:rPr>
              <w:t xml:space="preserve">Крас                    </w:t>
            </w:r>
          </w:p>
          <w:p w14:paraId="88100000">
            <w:pPr>
              <w:widowControl w:val="1"/>
              <w:ind/>
              <w:contextualSpacing w:val="1"/>
              <w:jc w:val="center"/>
              <w:rPr>
                <w:sz w:val="20"/>
              </w:rPr>
            </w:pPr>
            <w:r>
              <w:rPr>
                <w:sz w:val="20"/>
              </w:rPr>
              <w:t>ноярский филиал АО "СОГАЗ"</w:t>
            </w:r>
          </w:p>
        </w:tc>
        <w:tc>
          <w:tcPr>
            <w:tcW w:type="dxa" w:w="1771"/>
            <w:tcBorders>
              <w:top w:color="000000" w:sz="4" w:val="single"/>
              <w:left w:sz="4" w:val="nil"/>
              <w:bottom w:color="000000" w:sz="4" w:val="single"/>
              <w:right w:color="000000" w:sz="4" w:val="single"/>
            </w:tcBorders>
            <w:shd w:fill="FFFFFF" w:val="clear"/>
            <w:vAlign w:val="center"/>
          </w:tcPr>
          <w:p w14:paraId="89100000">
            <w:pPr>
              <w:widowControl w:val="1"/>
              <w:ind/>
              <w:contextualSpacing w:val="1"/>
              <w:jc w:val="center"/>
              <w:rPr>
                <w:sz w:val="20"/>
              </w:rPr>
            </w:pPr>
            <w:r>
              <w:rPr>
                <w:sz w:val="20"/>
              </w:rPr>
              <w:t>Договор №</w:t>
            </w:r>
            <w:r>
              <w:rPr>
                <w:sz w:val="20"/>
              </w:rPr>
              <w:t>GAZX21</w:t>
            </w:r>
            <w:r>
              <w:rPr>
                <w:sz w:val="20"/>
              </w:rPr>
              <w:t>781638195000</w:t>
            </w:r>
            <w:r>
              <w:rPr>
                <w:sz w:val="20"/>
              </w:rPr>
              <w:t>(371</w:t>
            </w:r>
            <w:r>
              <w:rPr>
                <w:sz w:val="20"/>
              </w:rPr>
              <w:t>7</w:t>
            </w:r>
            <w:r>
              <w:rPr>
                <w:sz w:val="20"/>
              </w:rPr>
              <w:t xml:space="preserve">GP0001) </w:t>
            </w:r>
            <w:r>
              <w:rPr>
                <w:sz w:val="20"/>
              </w:rPr>
              <w:t>от 02.02.2017</w:t>
            </w:r>
          </w:p>
        </w:tc>
        <w:tc>
          <w:tcPr>
            <w:tcW w:type="dxa" w:w="1264"/>
            <w:tcBorders>
              <w:top w:color="000000" w:sz="4" w:val="single"/>
              <w:left w:sz="4" w:val="nil"/>
              <w:bottom w:color="000000" w:sz="4" w:val="single"/>
              <w:right w:color="000000" w:sz="4" w:val="single"/>
            </w:tcBorders>
            <w:shd w:fill="FFFFFF" w:val="clear"/>
            <w:vAlign w:val="center"/>
          </w:tcPr>
          <w:p w14:paraId="8A100000">
            <w:pPr>
              <w:widowControl w:val="1"/>
              <w:ind/>
              <w:contextualSpacing w:val="1"/>
              <w:jc w:val="center"/>
              <w:rPr>
                <w:sz w:val="20"/>
              </w:rPr>
            </w:pPr>
            <w:r>
              <w:rPr>
                <w:sz w:val="20"/>
              </w:rPr>
              <w:t>01.04.2017-31.03.2018</w:t>
            </w:r>
          </w:p>
        </w:tc>
        <w:tc>
          <w:tcPr>
            <w:tcW w:type="dxa" w:w="1524"/>
            <w:tcBorders>
              <w:top w:color="000000" w:sz="4" w:val="single"/>
              <w:left w:sz="4" w:val="nil"/>
              <w:bottom w:color="000000" w:sz="4" w:val="single"/>
              <w:right w:color="000000" w:sz="4" w:val="single"/>
            </w:tcBorders>
            <w:shd w:fill="FFFFFF" w:val="clear"/>
            <w:vAlign w:val="center"/>
          </w:tcPr>
          <w:p w14:paraId="8B100000">
            <w:pPr>
              <w:widowControl w:val="1"/>
              <w:ind/>
              <w:contextualSpacing w:val="1"/>
              <w:jc w:val="center"/>
              <w:rPr>
                <w:sz w:val="20"/>
              </w:rPr>
            </w:pPr>
            <w:r>
              <w:rPr>
                <w:sz w:val="20"/>
              </w:rPr>
              <w:t>страхование гражданской ответственности перевозчика за причинение вреда жизни, здоровью, имуществу пассажиров</w:t>
            </w:r>
          </w:p>
        </w:tc>
        <w:tc>
          <w:tcPr>
            <w:tcW w:type="dxa" w:w="1021"/>
            <w:tcBorders>
              <w:top w:color="000000" w:sz="4" w:val="single"/>
              <w:left w:sz="4" w:val="nil"/>
              <w:bottom w:color="000000" w:sz="4" w:val="single"/>
              <w:right w:color="000000" w:sz="4" w:val="single"/>
            </w:tcBorders>
            <w:shd w:fill="FFFFFF" w:val="clear"/>
            <w:vAlign w:val="center"/>
          </w:tcPr>
          <w:p w14:paraId="8C100000">
            <w:pPr>
              <w:widowControl w:val="1"/>
              <w:ind/>
              <w:contextualSpacing w:val="1"/>
              <w:jc w:val="center"/>
              <w:rPr>
                <w:sz w:val="20"/>
              </w:rPr>
            </w:pPr>
            <w:r>
              <w:rPr>
                <w:sz w:val="20"/>
              </w:rPr>
              <w:t>228 942,7 руб. без НДС</w:t>
            </w:r>
          </w:p>
        </w:tc>
        <w:tc>
          <w:tcPr>
            <w:tcW w:type="dxa" w:w="1387"/>
            <w:tcBorders>
              <w:top w:color="000000" w:sz="4" w:val="single"/>
              <w:left w:sz="4" w:val="nil"/>
              <w:bottom w:color="000000" w:sz="4" w:val="single"/>
              <w:right w:color="000000" w:sz="4" w:val="single"/>
            </w:tcBorders>
            <w:shd w:fill="FFFFFF" w:val="clear"/>
            <w:vAlign w:val="center"/>
          </w:tcPr>
          <w:p w14:paraId="8D100000">
            <w:pPr>
              <w:widowControl w:val="1"/>
              <w:ind/>
              <w:contextualSpacing w:val="1"/>
              <w:jc w:val="center"/>
              <w:rPr>
                <w:sz w:val="20"/>
              </w:rPr>
            </w:pPr>
            <w:r>
              <w:rPr>
                <w:sz w:val="20"/>
              </w:rPr>
              <w:t>Страховая премия уплачивается в рассрочку:</w:t>
            </w:r>
          </w:p>
          <w:p w14:paraId="8E100000">
            <w:pPr>
              <w:widowControl w:val="1"/>
              <w:ind/>
              <w:contextualSpacing w:val="1"/>
              <w:jc w:val="center"/>
              <w:rPr>
                <w:sz w:val="20"/>
              </w:rPr>
            </w:pPr>
            <w:r>
              <w:rPr>
                <w:sz w:val="20"/>
              </w:rPr>
              <w:t>первый страховой взнос 114471,35</w:t>
            </w:r>
          </w:p>
          <w:p w14:paraId="8F100000">
            <w:pPr>
              <w:widowControl w:val="1"/>
              <w:ind/>
              <w:contextualSpacing w:val="1"/>
              <w:jc w:val="center"/>
              <w:rPr>
                <w:sz w:val="20"/>
              </w:rPr>
            </w:pPr>
            <w:r>
              <w:rPr>
                <w:sz w:val="20"/>
              </w:rPr>
              <w:t>рублей в срок до 10 февраля 2017г;</w:t>
            </w:r>
          </w:p>
          <w:p w14:paraId="90100000">
            <w:pPr>
              <w:widowControl w:val="1"/>
              <w:ind/>
              <w:contextualSpacing w:val="1"/>
              <w:jc w:val="center"/>
              <w:rPr>
                <w:color w:val="000000"/>
                <w:sz w:val="20"/>
              </w:rPr>
            </w:pPr>
            <w:r>
              <w:rPr>
                <w:sz w:val="20"/>
              </w:rPr>
              <w:t>второй страховой взнос в размере: 114471,35  рубля в срок до  30 апреля 2017г.</w:t>
            </w:r>
          </w:p>
        </w:tc>
        <w:tc>
          <w:tcPr>
            <w:tcW w:type="dxa" w:w="1163"/>
            <w:tcBorders>
              <w:top w:color="000000" w:sz="4" w:val="single"/>
              <w:left w:sz="4" w:val="nil"/>
              <w:bottom w:color="000000" w:sz="4" w:val="single"/>
              <w:right w:color="000000" w:sz="4" w:val="single"/>
            </w:tcBorders>
            <w:shd w:fill="FFFFFF" w:val="clear"/>
            <w:vAlign w:val="center"/>
          </w:tcPr>
          <w:p w14:paraId="91100000">
            <w:pPr>
              <w:widowControl w:val="1"/>
              <w:ind/>
              <w:contextualSpacing w:val="1"/>
              <w:jc w:val="center"/>
              <w:rPr>
                <w:color w:val="000000"/>
                <w:sz w:val="20"/>
              </w:rPr>
            </w:pPr>
            <w:r>
              <w:rPr>
                <w:color w:val="000000"/>
                <w:sz w:val="20"/>
              </w:rPr>
              <w:t>Страх. суммы: по риску гражд. ответственности за причинение вреда жизни потерпевшего  - 2 025 000 руб.на одного  пассажира ; по риску гражд. ответственности за причинение вреда здоровью потерпевшего - 2000000 руб. на одного пассажира; по риску гражд. ответственности за причинение вреда имуществу потерпевшего - 23000 руб. Страховые суммы не могут изменяться в период действия договора</w:t>
            </w:r>
          </w:p>
        </w:tc>
      </w:tr>
      <w:tr>
        <w:trPr>
          <w:trHeight w:hRule="atLeast" w:val="1456"/>
        </w:trPr>
        <w:tc>
          <w:tcPr>
            <w:tcW w:type="dxa" w:w="1433"/>
            <w:tcBorders>
              <w:top w:color="000000" w:sz="4" w:val="single"/>
              <w:left w:color="000000" w:sz="4" w:val="single"/>
              <w:bottom w:color="000000" w:sz="4" w:val="single"/>
              <w:right w:color="000000" w:sz="4" w:val="single"/>
            </w:tcBorders>
            <w:shd w:fill="FFFFFF" w:val="clear"/>
            <w:vAlign w:val="center"/>
          </w:tcPr>
          <w:p w14:paraId="92100000">
            <w:pPr>
              <w:widowControl w:val="1"/>
              <w:ind/>
              <w:contextualSpacing w:val="1"/>
              <w:jc w:val="center"/>
              <w:rPr>
                <w:sz w:val="20"/>
              </w:rPr>
            </w:pPr>
            <w:r>
              <w:rPr>
                <w:sz w:val="20"/>
              </w:rPr>
              <w:t>Красноярский филиал АО "АльфаСтрахование"</w:t>
            </w:r>
          </w:p>
          <w:p w14:paraId="93100000">
            <w:pPr>
              <w:widowControl w:val="1"/>
              <w:ind/>
              <w:contextualSpacing w:val="1"/>
              <w:jc w:val="center"/>
              <w:rPr>
                <w:sz w:val="20"/>
              </w:rPr>
            </w:pPr>
          </w:p>
        </w:tc>
        <w:tc>
          <w:tcPr>
            <w:tcW w:type="dxa" w:w="1771"/>
            <w:tcBorders>
              <w:top w:color="000000" w:sz="4" w:val="single"/>
              <w:left w:sz="4" w:val="nil"/>
              <w:bottom w:color="000000" w:sz="4" w:val="single"/>
              <w:right w:color="000000" w:sz="4" w:val="single"/>
            </w:tcBorders>
            <w:shd w:fill="FFFFFF" w:val="clear"/>
            <w:vAlign w:val="center"/>
          </w:tcPr>
          <w:p w14:paraId="94100000">
            <w:pPr>
              <w:widowControl w:val="1"/>
              <w:ind/>
              <w:contextualSpacing w:val="1"/>
              <w:jc w:val="center"/>
              <w:rPr>
                <w:sz w:val="20"/>
              </w:rPr>
            </w:pPr>
            <w:r>
              <w:rPr>
                <w:sz w:val="20"/>
              </w:rPr>
              <w:t>договор № 8791R/085/00129/8 от 06.02.2018</w:t>
            </w:r>
          </w:p>
        </w:tc>
        <w:tc>
          <w:tcPr>
            <w:tcW w:type="dxa" w:w="1264"/>
            <w:tcBorders>
              <w:top w:color="000000" w:sz="4" w:val="single"/>
              <w:left w:sz="4" w:val="nil"/>
              <w:bottom w:color="000000" w:sz="4" w:val="single"/>
              <w:right w:color="000000" w:sz="4" w:val="single"/>
            </w:tcBorders>
            <w:shd w:fill="FFFFFF" w:val="clear"/>
            <w:vAlign w:val="center"/>
          </w:tcPr>
          <w:p w14:paraId="95100000">
            <w:pPr>
              <w:widowControl w:val="1"/>
              <w:ind/>
              <w:contextualSpacing w:val="1"/>
              <w:jc w:val="center"/>
              <w:rPr>
                <w:sz w:val="20"/>
              </w:rPr>
            </w:pPr>
            <w:r>
              <w:rPr>
                <w:sz w:val="20"/>
              </w:rPr>
              <w:t>10.02.2018-09.</w:t>
            </w:r>
            <w:r>
              <w:rPr>
                <w:sz w:val="20"/>
              </w:rPr>
              <w:t>02.2019</w:t>
            </w:r>
          </w:p>
        </w:tc>
        <w:tc>
          <w:tcPr>
            <w:tcW w:type="dxa" w:w="1524"/>
            <w:tcBorders>
              <w:top w:color="000000" w:sz="4" w:val="single"/>
              <w:left w:sz="4" w:val="nil"/>
              <w:bottom w:color="000000" w:sz="4" w:val="single"/>
              <w:right w:color="000000" w:sz="4" w:val="single"/>
            </w:tcBorders>
            <w:shd w:fill="FFFFFF" w:val="clear"/>
            <w:vAlign w:val="center"/>
          </w:tcPr>
          <w:p w14:paraId="96100000">
            <w:pPr>
              <w:widowControl w:val="1"/>
              <w:ind/>
              <w:contextualSpacing w:val="1"/>
              <w:jc w:val="center"/>
              <w:rPr>
                <w:sz w:val="20"/>
              </w:rPr>
            </w:pPr>
            <w:r>
              <w:rPr>
                <w:sz w:val="20"/>
              </w:rPr>
              <w:t>Оказание услуг по страхованию средств железнодорожного транспорта</w:t>
            </w:r>
          </w:p>
        </w:tc>
        <w:tc>
          <w:tcPr>
            <w:tcW w:type="dxa" w:w="1021"/>
            <w:tcBorders>
              <w:top w:color="000000" w:sz="4" w:val="single"/>
              <w:left w:sz="4" w:val="nil"/>
              <w:bottom w:color="000000" w:sz="4" w:val="single"/>
              <w:right w:color="000000" w:sz="4" w:val="single"/>
            </w:tcBorders>
            <w:shd w:fill="FFFFFF" w:val="clear"/>
            <w:vAlign w:val="center"/>
          </w:tcPr>
          <w:p w14:paraId="97100000">
            <w:pPr>
              <w:widowControl w:val="1"/>
              <w:ind/>
              <w:contextualSpacing w:val="1"/>
              <w:jc w:val="center"/>
              <w:rPr>
                <w:sz w:val="20"/>
              </w:rPr>
            </w:pPr>
            <w:r>
              <w:rPr>
                <w:sz w:val="20"/>
              </w:rPr>
              <w:t>117580,76 руб. без НДС</w:t>
            </w:r>
          </w:p>
        </w:tc>
        <w:tc>
          <w:tcPr>
            <w:tcW w:type="dxa" w:w="1387"/>
            <w:tcBorders>
              <w:top w:color="000000" w:sz="4" w:val="single"/>
              <w:left w:sz="4" w:val="nil"/>
              <w:bottom w:color="000000" w:sz="4" w:val="single"/>
              <w:right w:color="000000" w:sz="4" w:val="single"/>
            </w:tcBorders>
            <w:shd w:fill="FFFFFF" w:val="clear"/>
            <w:vAlign w:val="center"/>
          </w:tcPr>
          <w:p w14:paraId="98100000">
            <w:pPr>
              <w:widowControl w:val="1"/>
              <w:ind/>
              <w:contextualSpacing w:val="1"/>
              <w:jc w:val="center"/>
              <w:rPr>
                <w:sz w:val="20"/>
              </w:rPr>
            </w:pPr>
            <w:r>
              <w:rPr>
                <w:sz w:val="20"/>
              </w:rPr>
              <w:t>Страховая премия уплачивается в рассрочку:</w:t>
            </w:r>
          </w:p>
          <w:p w14:paraId="99100000">
            <w:pPr>
              <w:widowControl w:val="1"/>
              <w:ind/>
              <w:contextualSpacing w:val="1"/>
              <w:jc w:val="center"/>
              <w:rPr>
                <w:sz w:val="20"/>
              </w:rPr>
            </w:pPr>
            <w:r>
              <w:rPr>
                <w:sz w:val="20"/>
              </w:rPr>
              <w:t>первый страховой взнос 58 790,38 руб. в срок до 24 часов 00 в течение 5 банковских дней со дня заключения договора;</w:t>
            </w:r>
          </w:p>
          <w:p w14:paraId="9A100000">
            <w:pPr>
              <w:widowControl w:val="1"/>
              <w:ind/>
              <w:contextualSpacing w:val="1"/>
              <w:jc w:val="center"/>
              <w:rPr>
                <w:color w:val="000000"/>
                <w:sz w:val="20"/>
              </w:rPr>
            </w:pPr>
            <w:r>
              <w:rPr>
                <w:sz w:val="20"/>
              </w:rPr>
              <w:t>второй страховой взнос в размере: 58 790,38 руб. в срок до 24 часов 00 минут  не позднее 30 дней со дня первого страхового платежа.</w:t>
            </w:r>
          </w:p>
        </w:tc>
        <w:tc>
          <w:tcPr>
            <w:tcW w:type="dxa" w:w="1163"/>
            <w:tcBorders>
              <w:top w:color="000000" w:sz="4" w:val="single"/>
              <w:left w:sz="4" w:val="nil"/>
              <w:bottom w:color="000000" w:sz="4" w:val="single"/>
              <w:right w:color="000000" w:sz="4" w:val="single"/>
            </w:tcBorders>
            <w:shd w:fill="FFFFFF" w:val="clear"/>
            <w:vAlign w:val="center"/>
          </w:tcPr>
          <w:p w14:paraId="9B100000">
            <w:pPr>
              <w:widowControl w:val="1"/>
              <w:ind/>
              <w:contextualSpacing w:val="1"/>
              <w:jc w:val="center"/>
              <w:rPr>
                <w:color w:val="000000"/>
                <w:sz w:val="20"/>
              </w:rPr>
            </w:pPr>
            <w:r>
              <w:rPr>
                <w:color w:val="000000"/>
                <w:sz w:val="20"/>
              </w:rPr>
              <w:t>Страховое возмещение     326 613 217,74 руб.</w:t>
            </w:r>
          </w:p>
        </w:tc>
      </w:tr>
      <w:tr>
        <w:trPr>
          <w:trHeight w:hRule="atLeast" w:val="552"/>
        </w:trPr>
        <w:tc>
          <w:tcPr>
            <w:tcW w:type="dxa" w:w="1433"/>
            <w:tcBorders>
              <w:top w:color="000000" w:sz="4" w:val="single"/>
              <w:left w:color="000000" w:sz="4" w:val="single"/>
              <w:bottom w:color="000000" w:sz="4" w:val="single"/>
              <w:right w:color="000000" w:sz="4" w:val="single"/>
            </w:tcBorders>
            <w:shd w:fill="FFFFFF" w:val="clear"/>
            <w:vAlign w:val="center"/>
          </w:tcPr>
          <w:p w14:paraId="9C100000">
            <w:pPr>
              <w:widowControl w:val="1"/>
              <w:ind/>
              <w:contextualSpacing w:val="1"/>
              <w:jc w:val="center"/>
              <w:rPr>
                <w:sz w:val="20"/>
              </w:rPr>
            </w:pPr>
            <w:r>
              <w:rPr>
                <w:sz w:val="20"/>
              </w:rPr>
              <w:t xml:space="preserve">Крас                    </w:t>
            </w:r>
          </w:p>
          <w:p w14:paraId="9D100000">
            <w:pPr>
              <w:widowControl w:val="1"/>
              <w:ind/>
              <w:contextualSpacing w:val="1"/>
              <w:jc w:val="center"/>
              <w:rPr>
                <w:sz w:val="20"/>
              </w:rPr>
            </w:pPr>
            <w:r>
              <w:rPr>
                <w:sz w:val="20"/>
              </w:rPr>
              <w:t>ноярский филиал АО "СОГАЗ""</w:t>
            </w:r>
          </w:p>
        </w:tc>
        <w:tc>
          <w:tcPr>
            <w:tcW w:type="dxa" w:w="1771"/>
            <w:tcBorders>
              <w:top w:color="000000" w:sz="4" w:val="single"/>
              <w:left w:sz="4" w:val="nil"/>
              <w:bottom w:color="000000" w:sz="4" w:val="single"/>
              <w:right w:color="000000" w:sz="4" w:val="single"/>
            </w:tcBorders>
            <w:shd w:fill="FFFFFF" w:val="clear"/>
            <w:vAlign w:val="center"/>
          </w:tcPr>
          <w:p w14:paraId="9E100000">
            <w:pPr>
              <w:widowControl w:val="1"/>
              <w:ind/>
              <w:contextualSpacing w:val="1"/>
              <w:jc w:val="center"/>
              <w:rPr>
                <w:sz w:val="20"/>
              </w:rPr>
            </w:pPr>
            <w:r>
              <w:rPr>
                <w:sz w:val="20"/>
              </w:rPr>
              <w:t>Договор №21/кпр от 08.02.</w:t>
            </w:r>
            <w:r>
              <w:rPr>
                <w:sz w:val="20"/>
              </w:rPr>
              <w:t>2017</w:t>
            </w:r>
          </w:p>
        </w:tc>
        <w:tc>
          <w:tcPr>
            <w:tcW w:type="dxa" w:w="1264"/>
            <w:tcBorders>
              <w:top w:color="000000" w:sz="4" w:val="single"/>
              <w:left w:sz="4" w:val="nil"/>
              <w:bottom w:color="000000" w:sz="4" w:val="single"/>
              <w:right w:color="000000" w:sz="4" w:val="single"/>
            </w:tcBorders>
            <w:shd w:fill="FFFFFF" w:val="clear"/>
            <w:vAlign w:val="center"/>
          </w:tcPr>
          <w:p w14:paraId="9F100000">
            <w:pPr>
              <w:widowControl w:val="1"/>
              <w:ind/>
              <w:contextualSpacing w:val="1"/>
              <w:jc w:val="center"/>
              <w:rPr>
                <w:sz w:val="20"/>
              </w:rPr>
            </w:pPr>
            <w:r>
              <w:rPr>
                <w:sz w:val="20"/>
              </w:rPr>
              <w:t>10.02.2017-09.02.2018</w:t>
            </w:r>
          </w:p>
        </w:tc>
        <w:tc>
          <w:tcPr>
            <w:tcW w:type="dxa" w:w="1524"/>
            <w:tcBorders>
              <w:top w:color="000000" w:sz="4" w:val="single"/>
              <w:left w:sz="4" w:val="nil"/>
              <w:bottom w:color="000000" w:sz="4" w:val="single"/>
              <w:right w:color="000000" w:sz="4" w:val="single"/>
            </w:tcBorders>
            <w:shd w:fill="FFFFFF" w:val="clear"/>
            <w:vAlign w:val="center"/>
          </w:tcPr>
          <w:p w14:paraId="A0100000">
            <w:pPr>
              <w:widowControl w:val="1"/>
              <w:ind/>
              <w:contextualSpacing w:val="1"/>
              <w:jc w:val="center"/>
              <w:rPr>
                <w:sz w:val="20"/>
              </w:rPr>
            </w:pPr>
            <w:r>
              <w:rPr>
                <w:sz w:val="20"/>
              </w:rPr>
              <w:t>Оказание услуг по страхованию средств железнодорожного транспорта</w:t>
            </w:r>
          </w:p>
        </w:tc>
        <w:tc>
          <w:tcPr>
            <w:tcW w:type="dxa" w:w="1021"/>
            <w:tcBorders>
              <w:top w:color="000000" w:sz="4" w:val="single"/>
              <w:left w:sz="4" w:val="nil"/>
              <w:bottom w:color="000000" w:sz="4" w:val="single"/>
              <w:right w:color="000000" w:sz="4" w:val="single"/>
            </w:tcBorders>
            <w:shd w:fill="FFFFFF" w:val="clear"/>
            <w:vAlign w:val="center"/>
          </w:tcPr>
          <w:p w14:paraId="A1100000">
            <w:pPr>
              <w:widowControl w:val="1"/>
              <w:ind/>
              <w:contextualSpacing w:val="1"/>
              <w:jc w:val="center"/>
              <w:rPr>
                <w:sz w:val="20"/>
              </w:rPr>
            </w:pPr>
            <w:r>
              <w:rPr>
                <w:sz w:val="20"/>
              </w:rPr>
              <w:t>186 922,6 руб. без НДС</w:t>
            </w:r>
          </w:p>
        </w:tc>
        <w:tc>
          <w:tcPr>
            <w:tcW w:type="dxa" w:w="1387"/>
            <w:tcBorders>
              <w:top w:color="000000" w:sz="4" w:val="single"/>
              <w:left w:sz="4" w:val="nil"/>
              <w:bottom w:color="000000" w:sz="4" w:val="single"/>
              <w:right w:color="000000" w:sz="4" w:val="single"/>
            </w:tcBorders>
            <w:shd w:fill="FFFFFF" w:val="clear"/>
            <w:vAlign w:val="center"/>
          </w:tcPr>
          <w:p w14:paraId="A2100000">
            <w:pPr>
              <w:widowControl w:val="1"/>
              <w:ind/>
              <w:contextualSpacing w:val="1"/>
              <w:jc w:val="center"/>
              <w:rPr>
                <w:sz w:val="20"/>
              </w:rPr>
            </w:pPr>
            <w:r>
              <w:rPr>
                <w:sz w:val="20"/>
              </w:rPr>
              <w:t>Страховая премия уплачивается в рассрочку:</w:t>
            </w:r>
          </w:p>
          <w:p w14:paraId="A3100000">
            <w:pPr>
              <w:widowControl w:val="1"/>
              <w:ind/>
              <w:contextualSpacing w:val="1"/>
              <w:jc w:val="center"/>
              <w:rPr>
                <w:sz w:val="20"/>
              </w:rPr>
            </w:pPr>
            <w:r>
              <w:rPr>
                <w:sz w:val="20"/>
              </w:rPr>
              <w:t>первый страховой взнос 93 461,3 рубля в срок до 24 часов 00 минут 09 февраля 2017г;</w:t>
            </w:r>
          </w:p>
          <w:p w14:paraId="A4100000">
            <w:pPr>
              <w:widowControl w:val="1"/>
              <w:ind/>
              <w:contextualSpacing w:val="1"/>
              <w:jc w:val="center"/>
              <w:rPr>
                <w:color w:val="000000"/>
                <w:sz w:val="20"/>
              </w:rPr>
            </w:pPr>
            <w:r>
              <w:rPr>
                <w:sz w:val="20"/>
              </w:rPr>
              <w:t>второй страховой взнос в размере: 93 461,3  рубля в срок до 24 часов 00 минут  19 марта 2017г.</w:t>
            </w:r>
          </w:p>
        </w:tc>
        <w:tc>
          <w:tcPr>
            <w:tcW w:type="dxa" w:w="1163"/>
            <w:tcBorders>
              <w:top w:color="000000" w:sz="4" w:val="single"/>
              <w:left w:sz="4" w:val="nil"/>
              <w:bottom w:color="000000" w:sz="4" w:val="single"/>
              <w:right w:color="000000" w:sz="4" w:val="single"/>
            </w:tcBorders>
            <w:shd w:fill="FFFFFF" w:val="clear"/>
            <w:vAlign w:val="center"/>
          </w:tcPr>
          <w:p w14:paraId="A5100000">
            <w:pPr>
              <w:widowControl w:val="1"/>
              <w:ind/>
              <w:contextualSpacing w:val="1"/>
              <w:jc w:val="center"/>
              <w:rPr>
                <w:color w:val="000000"/>
                <w:sz w:val="20"/>
              </w:rPr>
            </w:pPr>
            <w:r>
              <w:rPr>
                <w:color w:val="000000"/>
                <w:sz w:val="20"/>
              </w:rPr>
              <w:t>Страховое возмещение     359 466 584,10 руб.</w:t>
            </w:r>
          </w:p>
        </w:tc>
      </w:tr>
      <w:tr>
        <w:trPr>
          <w:trHeight w:hRule="atLeast" w:val="1456"/>
        </w:trPr>
        <w:tc>
          <w:tcPr>
            <w:tcW w:type="dxa" w:w="1433"/>
            <w:tcBorders>
              <w:top w:color="000000" w:sz="4" w:val="single"/>
              <w:left w:color="000000" w:sz="4" w:val="single"/>
              <w:bottom w:color="000000" w:sz="4" w:val="single"/>
              <w:right w:color="000000" w:sz="4" w:val="single"/>
            </w:tcBorders>
            <w:shd w:fill="FFFFFF" w:val="clear"/>
            <w:vAlign w:val="center"/>
          </w:tcPr>
          <w:p w14:paraId="A6100000">
            <w:pPr>
              <w:widowControl w:val="1"/>
              <w:ind/>
              <w:contextualSpacing w:val="1"/>
              <w:jc w:val="center"/>
              <w:rPr>
                <w:sz w:val="20"/>
              </w:rPr>
            </w:pPr>
            <w:r>
              <w:rPr>
                <w:sz w:val="20"/>
              </w:rPr>
              <w:t>САО "Надежда"</w:t>
            </w:r>
          </w:p>
        </w:tc>
        <w:tc>
          <w:tcPr>
            <w:tcW w:type="dxa" w:w="1771"/>
            <w:tcBorders>
              <w:top w:color="000000" w:sz="4" w:val="single"/>
              <w:left w:sz="4" w:val="nil"/>
              <w:bottom w:color="000000" w:sz="4" w:val="single"/>
              <w:right w:color="000000" w:sz="4" w:val="single"/>
            </w:tcBorders>
            <w:shd w:fill="FFFFFF" w:val="clear"/>
            <w:vAlign w:val="center"/>
          </w:tcPr>
          <w:p w14:paraId="A7100000">
            <w:pPr>
              <w:widowControl w:val="1"/>
              <w:ind/>
              <w:contextualSpacing w:val="1"/>
              <w:jc w:val="center"/>
              <w:rPr>
                <w:sz w:val="20"/>
              </w:rPr>
            </w:pPr>
            <w:r>
              <w:rPr>
                <w:sz w:val="20"/>
              </w:rPr>
              <w:t>договор № 184220041 от 12.01.2018</w:t>
            </w:r>
          </w:p>
        </w:tc>
        <w:tc>
          <w:tcPr>
            <w:tcW w:type="dxa" w:w="1264"/>
            <w:tcBorders>
              <w:top w:color="000000" w:sz="4" w:val="single"/>
              <w:left w:sz="4" w:val="nil"/>
              <w:bottom w:color="000000" w:sz="4" w:val="single"/>
              <w:right w:color="000000" w:sz="4" w:val="single"/>
            </w:tcBorders>
            <w:shd w:fill="FFFFFF" w:val="clear"/>
            <w:vAlign w:val="center"/>
          </w:tcPr>
          <w:p w14:paraId="A8100000">
            <w:pPr>
              <w:widowControl w:val="1"/>
              <w:ind/>
              <w:contextualSpacing w:val="1"/>
              <w:jc w:val="center"/>
              <w:rPr>
                <w:sz w:val="20"/>
              </w:rPr>
            </w:pPr>
            <w:r>
              <w:rPr>
                <w:sz w:val="20"/>
              </w:rPr>
              <w:t>16.01.2018-15.01.2019</w:t>
            </w:r>
          </w:p>
        </w:tc>
        <w:tc>
          <w:tcPr>
            <w:tcW w:type="dxa" w:w="1524"/>
            <w:tcBorders>
              <w:top w:color="000000" w:sz="4" w:val="single"/>
              <w:left w:sz="4" w:val="nil"/>
              <w:bottom w:color="000000" w:sz="4" w:val="single"/>
              <w:right w:color="000000" w:sz="4" w:val="single"/>
            </w:tcBorders>
            <w:shd w:fill="FFFFFF" w:val="clear"/>
            <w:vAlign w:val="center"/>
          </w:tcPr>
          <w:p w14:paraId="A9100000">
            <w:pPr>
              <w:widowControl w:val="1"/>
              <w:ind/>
              <w:contextualSpacing w:val="1"/>
              <w:jc w:val="center"/>
              <w:rPr>
                <w:sz w:val="20"/>
              </w:rPr>
            </w:pPr>
            <w:r>
              <w:rPr>
                <w:sz w:val="20"/>
              </w:rPr>
              <w:t>ОСАГО</w:t>
            </w:r>
          </w:p>
          <w:p w14:paraId="AA100000">
            <w:pPr>
              <w:widowControl w:val="1"/>
              <w:ind/>
              <w:contextualSpacing w:val="1"/>
              <w:jc w:val="center"/>
              <w:rPr>
                <w:sz w:val="20"/>
              </w:rPr>
            </w:pPr>
            <w:r>
              <w:rPr>
                <w:sz w:val="20"/>
              </w:rPr>
              <w:t>автомобиля</w:t>
            </w:r>
          </w:p>
        </w:tc>
        <w:tc>
          <w:tcPr>
            <w:tcW w:type="dxa" w:w="1021"/>
            <w:tcBorders>
              <w:top w:color="000000" w:sz="4" w:val="single"/>
              <w:left w:sz="4" w:val="nil"/>
              <w:bottom w:color="000000" w:sz="4" w:val="single"/>
              <w:right w:color="000000" w:sz="4" w:val="single"/>
            </w:tcBorders>
            <w:shd w:fill="FFFFFF" w:val="clear"/>
            <w:vAlign w:val="center"/>
          </w:tcPr>
          <w:p w14:paraId="AB100000">
            <w:pPr>
              <w:widowControl w:val="1"/>
              <w:ind/>
              <w:contextualSpacing w:val="1"/>
              <w:jc w:val="center"/>
              <w:rPr>
                <w:sz w:val="20"/>
              </w:rPr>
            </w:pPr>
            <w:r>
              <w:rPr>
                <w:sz w:val="20"/>
              </w:rPr>
              <w:t>7002,68 руб. без НДС</w:t>
            </w:r>
          </w:p>
        </w:tc>
        <w:tc>
          <w:tcPr>
            <w:tcW w:type="dxa" w:w="1387"/>
            <w:tcBorders>
              <w:top w:color="000000" w:sz="4" w:val="single"/>
              <w:left w:sz="4" w:val="nil"/>
              <w:bottom w:color="000000" w:sz="4" w:val="single"/>
              <w:right w:color="000000" w:sz="4" w:val="single"/>
            </w:tcBorders>
            <w:shd w:fill="FFFFFF" w:val="clear"/>
            <w:vAlign w:val="center"/>
          </w:tcPr>
          <w:p w14:paraId="AC100000">
            <w:pPr>
              <w:widowControl w:val="1"/>
              <w:ind/>
              <w:contextualSpacing w:val="1"/>
              <w:jc w:val="center"/>
              <w:rPr>
                <w:color w:val="000000"/>
                <w:sz w:val="20"/>
              </w:rPr>
            </w:pPr>
            <w:r>
              <w:rPr>
                <w:color w:val="000000"/>
                <w:sz w:val="20"/>
              </w:rPr>
              <w:t>Премия оплачивается единовременно</w:t>
            </w:r>
          </w:p>
        </w:tc>
        <w:tc>
          <w:tcPr>
            <w:tcW w:type="dxa" w:w="1163"/>
            <w:tcBorders>
              <w:top w:color="000000" w:sz="4" w:val="single"/>
              <w:left w:sz="4" w:val="nil"/>
              <w:bottom w:color="000000" w:sz="4" w:val="single"/>
              <w:right w:color="000000" w:sz="4" w:val="single"/>
            </w:tcBorders>
            <w:shd w:fill="FFFFFF" w:val="clear"/>
            <w:vAlign w:val="center"/>
          </w:tcPr>
          <w:p w14:paraId="AD100000">
            <w:pPr>
              <w:widowControl w:val="1"/>
              <w:ind/>
              <w:contextualSpacing w:val="1"/>
              <w:jc w:val="center"/>
              <w:rPr>
                <w:color w:val="000000"/>
                <w:sz w:val="20"/>
              </w:rPr>
            </w:pPr>
            <w:r>
              <w:rPr>
                <w:color w:val="000000"/>
                <w:sz w:val="20"/>
              </w:rPr>
              <w:t>Возмещение вреда здоровью каждого потерпевшего не более 500 тыс. руб., вреда имуществу одного потерпевшего не более 400тыс. руб.</w:t>
            </w:r>
          </w:p>
        </w:tc>
      </w:tr>
      <w:tr>
        <w:trPr>
          <w:trHeight w:hRule="atLeast" w:val="1456"/>
        </w:trPr>
        <w:tc>
          <w:tcPr>
            <w:tcW w:type="dxa" w:w="1433"/>
            <w:tcBorders>
              <w:top w:color="000000" w:sz="4" w:val="single"/>
              <w:left w:color="000000" w:sz="4" w:val="single"/>
              <w:bottom w:color="000000" w:sz="4" w:val="single"/>
              <w:right w:color="000000" w:sz="4" w:val="single"/>
            </w:tcBorders>
            <w:shd w:fill="FFFFFF" w:val="clear"/>
            <w:vAlign w:val="center"/>
          </w:tcPr>
          <w:p w14:paraId="AE100000">
            <w:pPr>
              <w:widowControl w:val="1"/>
              <w:ind/>
              <w:contextualSpacing w:val="1"/>
              <w:jc w:val="center"/>
              <w:rPr>
                <w:sz w:val="20"/>
              </w:rPr>
            </w:pPr>
            <w:r>
              <w:rPr>
                <w:sz w:val="20"/>
              </w:rPr>
              <w:t>САО "Надежда"</w:t>
            </w:r>
          </w:p>
        </w:tc>
        <w:tc>
          <w:tcPr>
            <w:tcW w:type="dxa" w:w="1771"/>
            <w:tcBorders>
              <w:top w:color="000000" w:sz="4" w:val="single"/>
              <w:left w:sz="4" w:val="nil"/>
              <w:bottom w:color="000000" w:sz="4" w:val="single"/>
              <w:right w:color="000000" w:sz="4" w:val="single"/>
            </w:tcBorders>
            <w:shd w:fill="FFFFFF" w:val="clear"/>
            <w:vAlign w:val="center"/>
          </w:tcPr>
          <w:p w14:paraId="AF100000">
            <w:pPr>
              <w:widowControl w:val="1"/>
              <w:ind/>
              <w:contextualSpacing w:val="1"/>
              <w:jc w:val="center"/>
              <w:rPr>
                <w:sz w:val="20"/>
              </w:rPr>
            </w:pPr>
            <w:r>
              <w:rPr>
                <w:sz w:val="20"/>
              </w:rPr>
              <w:t>договор № 182630062 от 16.01.2018</w:t>
            </w:r>
          </w:p>
        </w:tc>
        <w:tc>
          <w:tcPr>
            <w:tcW w:type="dxa" w:w="1264"/>
            <w:tcBorders>
              <w:top w:color="000000" w:sz="4" w:val="single"/>
              <w:left w:sz="4" w:val="nil"/>
              <w:bottom w:color="000000" w:sz="4" w:val="single"/>
              <w:right w:color="000000" w:sz="4" w:val="single"/>
            </w:tcBorders>
            <w:shd w:fill="FFFFFF" w:val="clear"/>
            <w:vAlign w:val="center"/>
          </w:tcPr>
          <w:p w14:paraId="B0100000">
            <w:pPr>
              <w:widowControl w:val="1"/>
              <w:ind/>
              <w:contextualSpacing w:val="1"/>
              <w:jc w:val="center"/>
              <w:rPr>
                <w:sz w:val="20"/>
              </w:rPr>
            </w:pPr>
            <w:r>
              <w:rPr>
                <w:sz w:val="20"/>
              </w:rPr>
              <w:t>17.01.2018-16.01.2019</w:t>
            </w:r>
          </w:p>
        </w:tc>
        <w:tc>
          <w:tcPr>
            <w:tcW w:type="dxa" w:w="1524"/>
            <w:tcBorders>
              <w:top w:color="000000" w:sz="4" w:val="single"/>
              <w:left w:sz="4" w:val="nil"/>
              <w:bottom w:color="000000" w:sz="4" w:val="single"/>
              <w:right w:color="000000" w:sz="4" w:val="single"/>
            </w:tcBorders>
            <w:shd w:fill="FFFFFF" w:val="clear"/>
            <w:vAlign w:val="center"/>
          </w:tcPr>
          <w:p w14:paraId="B1100000">
            <w:pPr>
              <w:widowControl w:val="1"/>
              <w:ind/>
              <w:contextualSpacing w:val="1"/>
              <w:jc w:val="center"/>
              <w:rPr>
                <w:sz w:val="20"/>
              </w:rPr>
            </w:pPr>
            <w:r>
              <w:rPr>
                <w:sz w:val="20"/>
              </w:rPr>
              <w:t>КАСКО автомобиля</w:t>
            </w:r>
          </w:p>
        </w:tc>
        <w:tc>
          <w:tcPr>
            <w:tcW w:type="dxa" w:w="1021"/>
            <w:tcBorders>
              <w:top w:color="000000" w:sz="4" w:val="single"/>
              <w:left w:sz="4" w:val="nil"/>
              <w:bottom w:color="000000" w:sz="4" w:val="single"/>
              <w:right w:color="000000" w:sz="4" w:val="single"/>
            </w:tcBorders>
            <w:shd w:fill="FFFFFF" w:val="clear"/>
            <w:vAlign w:val="center"/>
          </w:tcPr>
          <w:p w14:paraId="B2100000">
            <w:pPr>
              <w:widowControl w:val="1"/>
              <w:ind/>
              <w:contextualSpacing w:val="1"/>
              <w:jc w:val="center"/>
              <w:rPr>
                <w:sz w:val="20"/>
              </w:rPr>
            </w:pPr>
            <w:r>
              <w:rPr>
                <w:sz w:val="20"/>
              </w:rPr>
              <w:t>43506 руб. без НДС</w:t>
            </w:r>
          </w:p>
        </w:tc>
        <w:tc>
          <w:tcPr>
            <w:tcW w:type="dxa" w:w="1387"/>
            <w:tcBorders>
              <w:top w:color="000000" w:sz="4" w:val="single"/>
              <w:left w:sz="4" w:val="nil"/>
              <w:bottom w:color="000000" w:sz="4" w:val="single"/>
              <w:right w:color="000000" w:sz="4" w:val="single"/>
            </w:tcBorders>
            <w:shd w:fill="FFFFFF" w:val="clear"/>
            <w:vAlign w:val="center"/>
          </w:tcPr>
          <w:p w14:paraId="B3100000">
            <w:pPr>
              <w:widowControl w:val="1"/>
              <w:ind/>
              <w:contextualSpacing w:val="1"/>
              <w:jc w:val="center"/>
              <w:rPr>
                <w:color w:val="000000"/>
                <w:sz w:val="20"/>
              </w:rPr>
            </w:pPr>
            <w:r>
              <w:rPr>
                <w:color w:val="000000"/>
                <w:sz w:val="20"/>
              </w:rPr>
              <w:t>Премия оплачивается единовременно</w:t>
            </w:r>
          </w:p>
        </w:tc>
        <w:tc>
          <w:tcPr>
            <w:tcW w:type="dxa" w:w="1163"/>
            <w:tcBorders>
              <w:top w:color="000000" w:sz="4" w:val="single"/>
              <w:left w:sz="4" w:val="nil"/>
              <w:bottom w:color="000000" w:sz="4" w:val="single"/>
              <w:right w:color="000000" w:sz="4" w:val="single"/>
            </w:tcBorders>
            <w:shd w:fill="FFFFFF" w:val="clear"/>
            <w:vAlign w:val="center"/>
          </w:tcPr>
          <w:p w14:paraId="B4100000">
            <w:pPr>
              <w:widowControl w:val="1"/>
              <w:ind/>
              <w:contextualSpacing w:val="1"/>
              <w:jc w:val="center"/>
              <w:rPr>
                <w:color w:val="000000"/>
                <w:sz w:val="20"/>
              </w:rPr>
            </w:pPr>
            <w:r>
              <w:rPr>
                <w:color w:val="000000"/>
                <w:sz w:val="20"/>
              </w:rPr>
              <w:t>Возмещение вреда ТС 382,5 т.р., НС 300 т.р.</w:t>
            </w:r>
          </w:p>
        </w:tc>
      </w:tr>
      <w:tr>
        <w:trPr>
          <w:trHeight w:hRule="atLeast" w:val="1456"/>
        </w:trPr>
        <w:tc>
          <w:tcPr>
            <w:tcW w:type="dxa" w:w="1433"/>
            <w:tcBorders>
              <w:top w:color="000000" w:sz="4" w:val="single"/>
              <w:left w:color="000000" w:sz="4" w:val="single"/>
              <w:bottom w:color="000000" w:sz="4" w:val="single"/>
              <w:right w:color="000000" w:sz="4" w:val="single"/>
            </w:tcBorders>
            <w:shd w:fill="FFFFFF" w:val="clear"/>
            <w:vAlign w:val="center"/>
          </w:tcPr>
          <w:p w14:paraId="B5100000">
            <w:pPr>
              <w:widowControl w:val="1"/>
              <w:ind/>
              <w:contextualSpacing w:val="1"/>
              <w:jc w:val="center"/>
              <w:rPr>
                <w:sz w:val="20"/>
              </w:rPr>
            </w:pPr>
            <w:r>
              <w:rPr>
                <w:sz w:val="20"/>
              </w:rPr>
              <w:t>САО  «Надежда»</w:t>
            </w:r>
          </w:p>
        </w:tc>
        <w:tc>
          <w:tcPr>
            <w:tcW w:type="dxa" w:w="1771"/>
            <w:tcBorders>
              <w:top w:color="000000" w:sz="4" w:val="single"/>
              <w:left w:sz="4" w:val="nil"/>
              <w:bottom w:color="000000" w:sz="4" w:val="single"/>
              <w:right w:color="000000" w:sz="4" w:val="single"/>
            </w:tcBorders>
            <w:shd w:fill="FFFFFF" w:val="clear"/>
            <w:vAlign w:val="center"/>
          </w:tcPr>
          <w:p w14:paraId="B6100000">
            <w:pPr>
              <w:widowControl w:val="1"/>
              <w:ind/>
              <w:contextualSpacing w:val="1"/>
              <w:jc w:val="center"/>
              <w:rPr>
                <w:sz w:val="20"/>
              </w:rPr>
            </w:pPr>
            <w:r>
              <w:rPr>
                <w:sz w:val="20"/>
              </w:rPr>
              <w:t>договор № 174221850 от 03.05.2017</w:t>
            </w:r>
          </w:p>
        </w:tc>
        <w:tc>
          <w:tcPr>
            <w:tcW w:type="dxa" w:w="1264"/>
            <w:tcBorders>
              <w:top w:color="000000" w:sz="4" w:val="single"/>
              <w:left w:sz="4" w:val="nil"/>
              <w:bottom w:color="000000" w:sz="4" w:val="single"/>
              <w:right w:color="000000" w:sz="4" w:val="single"/>
            </w:tcBorders>
            <w:shd w:fill="FFFFFF" w:val="clear"/>
            <w:vAlign w:val="center"/>
          </w:tcPr>
          <w:p w14:paraId="B7100000">
            <w:pPr>
              <w:widowControl w:val="1"/>
              <w:ind/>
              <w:contextualSpacing w:val="1"/>
              <w:jc w:val="center"/>
              <w:rPr>
                <w:sz w:val="20"/>
              </w:rPr>
            </w:pPr>
            <w:r>
              <w:rPr>
                <w:sz w:val="20"/>
              </w:rPr>
              <w:t>04.05.2017-03.05.2018</w:t>
            </w:r>
          </w:p>
        </w:tc>
        <w:tc>
          <w:tcPr>
            <w:tcW w:type="dxa" w:w="1524"/>
            <w:tcBorders>
              <w:top w:color="000000" w:sz="4" w:val="single"/>
              <w:left w:sz="4" w:val="nil"/>
              <w:bottom w:color="000000" w:sz="4" w:val="single"/>
              <w:right w:color="000000" w:sz="4" w:val="single"/>
            </w:tcBorders>
            <w:shd w:fill="FFFFFF" w:val="clear"/>
            <w:vAlign w:val="center"/>
          </w:tcPr>
          <w:p w14:paraId="B8100000">
            <w:pPr>
              <w:widowControl w:val="1"/>
              <w:ind/>
              <w:contextualSpacing w:val="1"/>
              <w:jc w:val="center"/>
              <w:rPr>
                <w:sz w:val="20"/>
              </w:rPr>
            </w:pPr>
            <w:r>
              <w:rPr>
                <w:sz w:val="20"/>
              </w:rPr>
              <w:t>ОСАГО</w:t>
            </w:r>
          </w:p>
          <w:p w14:paraId="B9100000">
            <w:pPr>
              <w:widowControl w:val="1"/>
              <w:ind/>
              <w:contextualSpacing w:val="1"/>
              <w:jc w:val="center"/>
              <w:rPr>
                <w:sz w:val="20"/>
              </w:rPr>
            </w:pPr>
            <w:r>
              <w:rPr>
                <w:sz w:val="20"/>
              </w:rPr>
              <w:t>автомобиля</w:t>
            </w:r>
          </w:p>
        </w:tc>
        <w:tc>
          <w:tcPr>
            <w:tcW w:type="dxa" w:w="1021"/>
            <w:tcBorders>
              <w:top w:color="000000" w:sz="4" w:val="single"/>
              <w:left w:sz="4" w:val="nil"/>
              <w:bottom w:color="000000" w:sz="4" w:val="single"/>
              <w:right w:color="000000" w:sz="4" w:val="single"/>
            </w:tcBorders>
            <w:shd w:fill="FFFFFF" w:val="clear"/>
            <w:vAlign w:val="center"/>
          </w:tcPr>
          <w:p w14:paraId="BA100000">
            <w:pPr>
              <w:widowControl w:val="1"/>
              <w:ind/>
              <w:contextualSpacing w:val="1"/>
              <w:jc w:val="center"/>
              <w:rPr>
                <w:sz w:val="20"/>
              </w:rPr>
            </w:pPr>
            <w:r>
              <w:rPr>
                <w:sz w:val="20"/>
              </w:rPr>
              <w:t>9003.44</w:t>
            </w:r>
          </w:p>
          <w:p w14:paraId="BB100000">
            <w:pPr>
              <w:widowControl w:val="1"/>
              <w:ind/>
              <w:contextualSpacing w:val="1"/>
              <w:jc w:val="center"/>
              <w:rPr>
                <w:sz w:val="20"/>
              </w:rPr>
            </w:pPr>
            <w:r>
              <w:rPr>
                <w:sz w:val="20"/>
              </w:rPr>
              <w:t xml:space="preserve"> руб. без НДС</w:t>
            </w:r>
          </w:p>
        </w:tc>
        <w:tc>
          <w:tcPr>
            <w:tcW w:type="dxa" w:w="1387"/>
            <w:tcBorders>
              <w:top w:color="000000" w:sz="4" w:val="single"/>
              <w:left w:sz="4" w:val="nil"/>
              <w:bottom w:color="000000" w:sz="4" w:val="single"/>
              <w:right w:color="000000" w:sz="4" w:val="single"/>
            </w:tcBorders>
            <w:shd w:fill="FFFFFF" w:val="clear"/>
            <w:vAlign w:val="center"/>
          </w:tcPr>
          <w:p w14:paraId="BC100000">
            <w:pPr>
              <w:widowControl w:val="1"/>
              <w:ind/>
              <w:contextualSpacing w:val="1"/>
              <w:jc w:val="center"/>
              <w:rPr>
                <w:color w:val="000000"/>
                <w:sz w:val="20"/>
              </w:rPr>
            </w:pPr>
            <w:r>
              <w:rPr>
                <w:color w:val="000000"/>
                <w:sz w:val="20"/>
              </w:rPr>
              <w:t>Премия оплачивается единовременно</w:t>
            </w:r>
          </w:p>
        </w:tc>
        <w:tc>
          <w:tcPr>
            <w:tcW w:type="dxa" w:w="1163"/>
            <w:tcBorders>
              <w:top w:color="000000" w:sz="4" w:val="single"/>
              <w:left w:sz="4" w:val="nil"/>
              <w:bottom w:color="000000" w:sz="4" w:val="single"/>
              <w:right w:color="000000" w:sz="4" w:val="single"/>
            </w:tcBorders>
            <w:shd w:fill="FFFFFF" w:val="clear"/>
            <w:vAlign w:val="center"/>
          </w:tcPr>
          <w:p w14:paraId="BD100000">
            <w:pPr>
              <w:widowControl w:val="1"/>
              <w:ind/>
              <w:contextualSpacing w:val="1"/>
              <w:jc w:val="center"/>
              <w:rPr>
                <w:color w:val="000000"/>
                <w:sz w:val="20"/>
              </w:rPr>
            </w:pPr>
            <w:r>
              <w:rPr>
                <w:color w:val="000000"/>
                <w:sz w:val="20"/>
              </w:rPr>
              <w:t>Возмещение вреда здоровью каждого потерпевшего не более 500 тыс. руб., вреда имуществу одного потерпевшего не более 400тыс. руб.</w:t>
            </w:r>
          </w:p>
        </w:tc>
      </w:tr>
      <w:tr>
        <w:trPr>
          <w:trHeight w:hRule="atLeast" w:val="1456"/>
        </w:trPr>
        <w:tc>
          <w:tcPr>
            <w:tcW w:type="dxa" w:w="1433"/>
            <w:tcBorders>
              <w:top w:color="000000" w:sz="4" w:val="single"/>
              <w:left w:color="000000" w:sz="4" w:val="single"/>
              <w:bottom w:color="000000" w:sz="4" w:val="single"/>
              <w:right w:color="000000" w:sz="4" w:val="single"/>
            </w:tcBorders>
            <w:shd w:fill="FFFFFF" w:val="clear"/>
            <w:vAlign w:val="center"/>
          </w:tcPr>
          <w:p w14:paraId="BE100000">
            <w:pPr>
              <w:widowControl w:val="1"/>
              <w:ind/>
              <w:contextualSpacing w:val="1"/>
              <w:jc w:val="center"/>
              <w:rPr>
                <w:sz w:val="20"/>
              </w:rPr>
            </w:pPr>
            <w:r>
              <w:rPr>
                <w:sz w:val="20"/>
              </w:rPr>
              <w:t>САО "Надежда"</w:t>
            </w:r>
          </w:p>
        </w:tc>
        <w:tc>
          <w:tcPr>
            <w:tcW w:type="dxa" w:w="1771"/>
            <w:tcBorders>
              <w:top w:color="000000" w:sz="4" w:val="single"/>
              <w:left w:sz="4" w:val="nil"/>
              <w:bottom w:color="000000" w:sz="4" w:val="single"/>
              <w:right w:color="000000" w:sz="4" w:val="single"/>
            </w:tcBorders>
            <w:shd w:fill="FFFFFF" w:val="clear"/>
            <w:vAlign w:val="center"/>
          </w:tcPr>
          <w:p w14:paraId="BF100000">
            <w:pPr>
              <w:widowControl w:val="1"/>
              <w:ind/>
              <w:contextualSpacing w:val="1"/>
              <w:jc w:val="center"/>
              <w:rPr>
                <w:sz w:val="20"/>
              </w:rPr>
            </w:pPr>
            <w:r>
              <w:rPr>
                <w:sz w:val="20"/>
              </w:rPr>
              <w:t>договор № 174222849 от 07.08.2017</w:t>
            </w:r>
          </w:p>
        </w:tc>
        <w:tc>
          <w:tcPr>
            <w:tcW w:type="dxa" w:w="1264"/>
            <w:tcBorders>
              <w:top w:color="000000" w:sz="4" w:val="single"/>
              <w:left w:sz="4" w:val="nil"/>
              <w:bottom w:color="000000" w:sz="4" w:val="single"/>
              <w:right w:color="000000" w:sz="4" w:val="single"/>
            </w:tcBorders>
            <w:shd w:fill="FFFFFF" w:val="clear"/>
            <w:vAlign w:val="center"/>
          </w:tcPr>
          <w:p w14:paraId="C0100000">
            <w:pPr>
              <w:widowControl w:val="1"/>
              <w:ind/>
              <w:contextualSpacing w:val="1"/>
              <w:jc w:val="center"/>
              <w:rPr>
                <w:sz w:val="20"/>
              </w:rPr>
            </w:pPr>
            <w:r>
              <w:rPr>
                <w:sz w:val="20"/>
              </w:rPr>
              <w:t>23.08.2017-22.08.2018</w:t>
            </w:r>
          </w:p>
        </w:tc>
        <w:tc>
          <w:tcPr>
            <w:tcW w:type="dxa" w:w="1524"/>
            <w:tcBorders>
              <w:top w:color="000000" w:sz="4" w:val="single"/>
              <w:left w:sz="4" w:val="nil"/>
              <w:bottom w:color="000000" w:sz="4" w:val="single"/>
              <w:right w:color="000000" w:sz="4" w:val="single"/>
            </w:tcBorders>
            <w:shd w:fill="FFFFFF" w:val="clear"/>
            <w:vAlign w:val="center"/>
          </w:tcPr>
          <w:p w14:paraId="C1100000">
            <w:pPr>
              <w:widowControl w:val="1"/>
              <w:ind/>
              <w:contextualSpacing w:val="1"/>
              <w:jc w:val="center"/>
              <w:rPr>
                <w:sz w:val="20"/>
              </w:rPr>
            </w:pPr>
            <w:r>
              <w:rPr>
                <w:sz w:val="20"/>
              </w:rPr>
              <w:t>ОСАГО</w:t>
            </w:r>
          </w:p>
          <w:p w14:paraId="C2100000">
            <w:pPr>
              <w:widowControl w:val="1"/>
              <w:ind/>
              <w:contextualSpacing w:val="1"/>
              <w:jc w:val="center"/>
              <w:rPr>
                <w:sz w:val="20"/>
              </w:rPr>
            </w:pPr>
            <w:r>
              <w:rPr>
                <w:sz w:val="20"/>
              </w:rPr>
              <w:t>автомобиля</w:t>
            </w:r>
          </w:p>
        </w:tc>
        <w:tc>
          <w:tcPr>
            <w:tcW w:type="dxa" w:w="1021"/>
            <w:tcBorders>
              <w:top w:color="000000" w:sz="4" w:val="single"/>
              <w:left w:sz="4" w:val="nil"/>
              <w:bottom w:color="000000" w:sz="4" w:val="single"/>
              <w:right w:color="000000" w:sz="4" w:val="single"/>
            </w:tcBorders>
            <w:shd w:fill="FFFFFF" w:val="clear"/>
            <w:vAlign w:val="center"/>
          </w:tcPr>
          <w:p w14:paraId="C3100000">
            <w:pPr>
              <w:widowControl w:val="1"/>
              <w:ind/>
              <w:contextualSpacing w:val="1"/>
              <w:jc w:val="center"/>
              <w:rPr>
                <w:sz w:val="20"/>
              </w:rPr>
            </w:pPr>
            <w:r>
              <w:rPr>
                <w:sz w:val="20"/>
              </w:rPr>
              <w:t>12004,59 руб. без НДС</w:t>
            </w:r>
          </w:p>
        </w:tc>
        <w:tc>
          <w:tcPr>
            <w:tcW w:type="dxa" w:w="1387"/>
            <w:tcBorders>
              <w:top w:color="000000" w:sz="4" w:val="single"/>
              <w:left w:sz="4" w:val="nil"/>
              <w:bottom w:color="000000" w:sz="4" w:val="single"/>
              <w:right w:color="000000" w:sz="4" w:val="single"/>
            </w:tcBorders>
            <w:shd w:fill="FFFFFF" w:val="clear"/>
            <w:vAlign w:val="center"/>
          </w:tcPr>
          <w:p w14:paraId="C4100000">
            <w:pPr>
              <w:widowControl w:val="1"/>
              <w:ind/>
              <w:contextualSpacing w:val="1"/>
              <w:jc w:val="center"/>
              <w:rPr>
                <w:color w:val="000000"/>
                <w:sz w:val="20"/>
              </w:rPr>
            </w:pPr>
            <w:r>
              <w:rPr>
                <w:color w:val="000000"/>
                <w:sz w:val="20"/>
              </w:rPr>
              <w:t>Премия оплачивается единовременно</w:t>
            </w:r>
          </w:p>
        </w:tc>
        <w:tc>
          <w:tcPr>
            <w:tcW w:type="dxa" w:w="1163"/>
            <w:tcBorders>
              <w:top w:color="000000" w:sz="4" w:val="single"/>
              <w:left w:sz="4" w:val="nil"/>
              <w:bottom w:color="000000" w:sz="4" w:val="single"/>
              <w:right w:color="000000" w:sz="4" w:val="single"/>
            </w:tcBorders>
            <w:shd w:fill="FFFFFF" w:val="clear"/>
            <w:vAlign w:val="center"/>
          </w:tcPr>
          <w:p w14:paraId="C5100000">
            <w:pPr>
              <w:widowControl w:val="1"/>
              <w:ind/>
              <w:contextualSpacing w:val="1"/>
              <w:jc w:val="center"/>
              <w:rPr>
                <w:color w:val="000000"/>
                <w:sz w:val="20"/>
              </w:rPr>
            </w:pPr>
            <w:r>
              <w:rPr>
                <w:color w:val="000000"/>
                <w:sz w:val="20"/>
              </w:rPr>
              <w:t>Возмещение вреда здоровью каждого потерпевшего не более 500 тыс. руб., вреда имуществу одного потерпевшего не более 400тыс. руб.</w:t>
            </w:r>
          </w:p>
        </w:tc>
      </w:tr>
      <w:tr>
        <w:trPr>
          <w:trHeight w:hRule="atLeast" w:val="1456"/>
        </w:trPr>
        <w:tc>
          <w:tcPr>
            <w:tcW w:type="dxa" w:w="1433"/>
            <w:tcBorders>
              <w:top w:color="000000" w:sz="4" w:val="single"/>
              <w:left w:color="000000" w:sz="4" w:val="single"/>
              <w:bottom w:color="000000" w:sz="4" w:val="single"/>
              <w:right w:color="000000" w:sz="4" w:val="single"/>
            </w:tcBorders>
            <w:shd w:fill="FFFFFF" w:val="clear"/>
            <w:vAlign w:val="center"/>
          </w:tcPr>
          <w:p w14:paraId="C6100000">
            <w:pPr>
              <w:widowControl w:val="1"/>
              <w:ind/>
              <w:contextualSpacing w:val="1"/>
              <w:jc w:val="center"/>
              <w:rPr>
                <w:sz w:val="20"/>
              </w:rPr>
            </w:pPr>
            <w:r>
              <w:rPr>
                <w:sz w:val="20"/>
              </w:rPr>
              <w:t>САО "Надежда"</w:t>
            </w:r>
          </w:p>
        </w:tc>
        <w:tc>
          <w:tcPr>
            <w:tcW w:type="dxa" w:w="1771"/>
            <w:tcBorders>
              <w:top w:color="000000" w:sz="4" w:val="single"/>
              <w:left w:sz="4" w:val="nil"/>
              <w:bottom w:color="000000" w:sz="4" w:val="single"/>
              <w:right w:color="000000" w:sz="4" w:val="single"/>
            </w:tcBorders>
            <w:shd w:fill="FFFFFF" w:val="clear"/>
            <w:vAlign w:val="center"/>
          </w:tcPr>
          <w:p w14:paraId="C7100000">
            <w:pPr>
              <w:widowControl w:val="1"/>
              <w:ind/>
              <w:contextualSpacing w:val="1"/>
              <w:jc w:val="center"/>
              <w:rPr>
                <w:sz w:val="20"/>
              </w:rPr>
            </w:pPr>
            <w:r>
              <w:rPr>
                <w:sz w:val="20"/>
              </w:rPr>
              <w:t>договор № 172632850 от 14.08.2017</w:t>
            </w:r>
          </w:p>
        </w:tc>
        <w:tc>
          <w:tcPr>
            <w:tcW w:type="dxa" w:w="1264"/>
            <w:tcBorders>
              <w:top w:color="000000" w:sz="4" w:val="single"/>
              <w:left w:sz="4" w:val="nil"/>
              <w:bottom w:color="000000" w:sz="4" w:val="single"/>
              <w:right w:color="000000" w:sz="4" w:val="single"/>
            </w:tcBorders>
            <w:shd w:fill="FFFFFF" w:val="clear"/>
            <w:vAlign w:val="center"/>
          </w:tcPr>
          <w:p w14:paraId="C8100000">
            <w:pPr>
              <w:widowControl w:val="1"/>
              <w:ind/>
              <w:contextualSpacing w:val="1"/>
              <w:jc w:val="center"/>
              <w:rPr>
                <w:sz w:val="20"/>
              </w:rPr>
            </w:pPr>
            <w:r>
              <w:rPr>
                <w:sz w:val="20"/>
              </w:rPr>
              <w:t>23.08.2017-22.08.2018</w:t>
            </w:r>
          </w:p>
        </w:tc>
        <w:tc>
          <w:tcPr>
            <w:tcW w:type="dxa" w:w="1524"/>
            <w:tcBorders>
              <w:top w:color="000000" w:sz="4" w:val="single"/>
              <w:left w:sz="4" w:val="nil"/>
              <w:bottom w:color="000000" w:sz="4" w:val="single"/>
              <w:right w:color="000000" w:sz="4" w:val="single"/>
            </w:tcBorders>
            <w:shd w:fill="FFFFFF" w:val="clear"/>
            <w:vAlign w:val="center"/>
          </w:tcPr>
          <w:p w14:paraId="C9100000">
            <w:pPr>
              <w:widowControl w:val="1"/>
              <w:ind/>
              <w:contextualSpacing w:val="1"/>
              <w:jc w:val="center"/>
              <w:rPr>
                <w:sz w:val="20"/>
              </w:rPr>
            </w:pPr>
            <w:r>
              <w:rPr>
                <w:sz w:val="20"/>
              </w:rPr>
              <w:t>КАСКО автомобиля</w:t>
            </w:r>
          </w:p>
        </w:tc>
        <w:tc>
          <w:tcPr>
            <w:tcW w:type="dxa" w:w="1021"/>
            <w:tcBorders>
              <w:top w:color="000000" w:sz="4" w:val="single"/>
              <w:left w:sz="4" w:val="nil"/>
              <w:bottom w:color="000000" w:sz="4" w:val="single"/>
              <w:right w:color="000000" w:sz="4" w:val="single"/>
            </w:tcBorders>
            <w:shd w:fill="FFFFFF" w:val="clear"/>
            <w:vAlign w:val="center"/>
          </w:tcPr>
          <w:p w14:paraId="CA100000">
            <w:pPr>
              <w:widowControl w:val="1"/>
              <w:ind/>
              <w:contextualSpacing w:val="1"/>
              <w:jc w:val="center"/>
              <w:rPr>
                <w:sz w:val="20"/>
              </w:rPr>
            </w:pPr>
            <w:r>
              <w:rPr>
                <w:sz w:val="20"/>
              </w:rPr>
              <w:t>86753 руб. без НДС</w:t>
            </w:r>
          </w:p>
        </w:tc>
        <w:tc>
          <w:tcPr>
            <w:tcW w:type="dxa" w:w="1387"/>
            <w:tcBorders>
              <w:top w:color="000000" w:sz="4" w:val="single"/>
              <w:left w:sz="4" w:val="nil"/>
              <w:bottom w:color="000000" w:sz="4" w:val="single"/>
              <w:right w:color="000000" w:sz="4" w:val="single"/>
            </w:tcBorders>
            <w:shd w:fill="FFFFFF" w:val="clear"/>
            <w:vAlign w:val="center"/>
          </w:tcPr>
          <w:p w14:paraId="CB100000">
            <w:pPr>
              <w:widowControl w:val="1"/>
              <w:ind/>
              <w:contextualSpacing w:val="1"/>
              <w:jc w:val="center"/>
              <w:rPr>
                <w:color w:val="000000"/>
                <w:sz w:val="20"/>
              </w:rPr>
            </w:pPr>
            <w:r>
              <w:rPr>
                <w:color w:val="000000"/>
                <w:sz w:val="20"/>
              </w:rPr>
              <w:t>Премия оплачивается единовременно</w:t>
            </w:r>
          </w:p>
        </w:tc>
        <w:tc>
          <w:tcPr>
            <w:tcW w:type="dxa" w:w="1163"/>
            <w:tcBorders>
              <w:top w:color="000000" w:sz="4" w:val="single"/>
              <w:left w:sz="4" w:val="nil"/>
              <w:bottom w:color="000000" w:sz="4" w:val="single"/>
              <w:right w:color="000000" w:sz="4" w:val="single"/>
            </w:tcBorders>
            <w:shd w:fill="FFFFFF" w:val="clear"/>
            <w:vAlign w:val="center"/>
          </w:tcPr>
          <w:p w14:paraId="CC100000">
            <w:pPr>
              <w:widowControl w:val="1"/>
              <w:ind/>
              <w:contextualSpacing w:val="1"/>
              <w:jc w:val="center"/>
              <w:rPr>
                <w:color w:val="000000"/>
                <w:sz w:val="20"/>
              </w:rPr>
            </w:pPr>
            <w:r>
              <w:rPr>
                <w:color w:val="000000"/>
                <w:sz w:val="20"/>
              </w:rPr>
              <w:t>Возмещение вреда ТС    1 251т.р., спец.помощь -50 т.р.</w:t>
            </w:r>
          </w:p>
        </w:tc>
      </w:tr>
      <w:tr>
        <w:trPr>
          <w:trHeight w:hRule="atLeast" w:val="1456"/>
        </w:trPr>
        <w:tc>
          <w:tcPr>
            <w:tcW w:type="dxa" w:w="1433"/>
            <w:tcBorders>
              <w:top w:color="000000" w:sz="4" w:val="single"/>
              <w:left w:color="000000" w:sz="4" w:val="single"/>
              <w:bottom w:color="000000" w:sz="4" w:val="single"/>
              <w:right w:color="000000" w:sz="4" w:val="single"/>
            </w:tcBorders>
            <w:shd w:fill="FFFFFF" w:val="clear"/>
            <w:vAlign w:val="center"/>
          </w:tcPr>
          <w:p w14:paraId="CD100000">
            <w:pPr>
              <w:widowControl w:val="1"/>
              <w:ind/>
              <w:contextualSpacing w:val="1"/>
              <w:jc w:val="center"/>
              <w:rPr>
                <w:sz w:val="20"/>
              </w:rPr>
            </w:pPr>
            <w:r>
              <w:rPr>
                <w:sz w:val="20"/>
              </w:rPr>
              <w:t>САО «Надежда»</w:t>
            </w:r>
          </w:p>
        </w:tc>
        <w:tc>
          <w:tcPr>
            <w:tcW w:type="dxa" w:w="1771"/>
            <w:tcBorders>
              <w:top w:color="000000" w:sz="4" w:val="single"/>
              <w:left w:sz="4" w:val="nil"/>
              <w:bottom w:color="000000" w:sz="4" w:val="single"/>
              <w:right w:color="000000" w:sz="4" w:val="single"/>
            </w:tcBorders>
            <w:shd w:fill="FFFFFF" w:val="clear"/>
            <w:vAlign w:val="center"/>
          </w:tcPr>
          <w:p w14:paraId="CE100000">
            <w:pPr>
              <w:widowControl w:val="1"/>
              <w:ind/>
              <w:contextualSpacing w:val="1"/>
              <w:jc w:val="center"/>
              <w:rPr>
                <w:sz w:val="20"/>
              </w:rPr>
            </w:pPr>
            <w:r>
              <w:rPr>
                <w:sz w:val="20"/>
              </w:rPr>
              <w:t>Договор №174220025 от 13.01.2017</w:t>
            </w:r>
          </w:p>
        </w:tc>
        <w:tc>
          <w:tcPr>
            <w:tcW w:type="dxa" w:w="1264"/>
            <w:tcBorders>
              <w:top w:color="000000" w:sz="4" w:val="single"/>
              <w:left w:sz="4" w:val="nil"/>
              <w:bottom w:color="000000" w:sz="4" w:val="single"/>
              <w:right w:color="000000" w:sz="4" w:val="single"/>
            </w:tcBorders>
            <w:shd w:fill="FFFFFF" w:val="clear"/>
            <w:vAlign w:val="center"/>
          </w:tcPr>
          <w:p w14:paraId="CF100000">
            <w:pPr>
              <w:widowControl w:val="1"/>
              <w:ind/>
              <w:contextualSpacing w:val="1"/>
              <w:jc w:val="center"/>
              <w:rPr>
                <w:sz w:val="20"/>
              </w:rPr>
            </w:pPr>
            <w:r>
              <w:rPr>
                <w:sz w:val="20"/>
              </w:rPr>
              <w:t>16.01.2017-15.01.2018</w:t>
            </w:r>
          </w:p>
        </w:tc>
        <w:tc>
          <w:tcPr>
            <w:tcW w:type="dxa" w:w="1524"/>
            <w:tcBorders>
              <w:top w:color="000000" w:sz="4" w:val="single"/>
              <w:left w:sz="4" w:val="nil"/>
              <w:bottom w:color="000000" w:sz="4" w:val="single"/>
              <w:right w:color="000000" w:sz="4" w:val="single"/>
            </w:tcBorders>
            <w:shd w:fill="FFFFFF" w:val="clear"/>
            <w:vAlign w:val="center"/>
          </w:tcPr>
          <w:p w14:paraId="D0100000">
            <w:pPr>
              <w:widowControl w:val="1"/>
              <w:ind/>
              <w:contextualSpacing w:val="1"/>
              <w:jc w:val="center"/>
              <w:rPr>
                <w:sz w:val="20"/>
              </w:rPr>
            </w:pPr>
            <w:r>
              <w:rPr>
                <w:sz w:val="20"/>
              </w:rPr>
              <w:t>ОСАГО</w:t>
            </w:r>
          </w:p>
          <w:p w14:paraId="D1100000">
            <w:pPr>
              <w:widowControl w:val="1"/>
              <w:ind/>
              <w:contextualSpacing w:val="1"/>
              <w:jc w:val="center"/>
              <w:rPr>
                <w:sz w:val="20"/>
              </w:rPr>
            </w:pPr>
            <w:r>
              <w:rPr>
                <w:sz w:val="20"/>
              </w:rPr>
              <w:t>автомобиля</w:t>
            </w:r>
          </w:p>
        </w:tc>
        <w:tc>
          <w:tcPr>
            <w:tcW w:type="dxa" w:w="1021"/>
            <w:tcBorders>
              <w:top w:color="000000" w:sz="4" w:val="single"/>
              <w:left w:sz="4" w:val="nil"/>
              <w:bottom w:color="000000" w:sz="4" w:val="single"/>
              <w:right w:color="000000" w:sz="4" w:val="single"/>
            </w:tcBorders>
            <w:shd w:fill="FFFFFF" w:val="clear"/>
            <w:vAlign w:val="center"/>
          </w:tcPr>
          <w:p w14:paraId="D2100000">
            <w:pPr>
              <w:widowControl w:val="1"/>
              <w:ind/>
              <w:contextualSpacing w:val="1"/>
              <w:jc w:val="center"/>
              <w:rPr>
                <w:sz w:val="20"/>
              </w:rPr>
            </w:pPr>
            <w:r>
              <w:rPr>
                <w:sz w:val="20"/>
              </w:rPr>
              <w:t>7502,87 руб. без НДС</w:t>
            </w:r>
          </w:p>
        </w:tc>
        <w:tc>
          <w:tcPr>
            <w:tcW w:type="dxa" w:w="1387"/>
            <w:tcBorders>
              <w:top w:color="000000" w:sz="4" w:val="single"/>
              <w:left w:sz="4" w:val="nil"/>
              <w:bottom w:color="000000" w:sz="4" w:val="single"/>
              <w:right w:color="000000" w:sz="4" w:val="single"/>
            </w:tcBorders>
            <w:shd w:fill="FFFFFF" w:val="clear"/>
            <w:vAlign w:val="center"/>
          </w:tcPr>
          <w:p w14:paraId="D3100000">
            <w:pPr>
              <w:widowControl w:val="1"/>
              <w:ind/>
              <w:contextualSpacing w:val="1"/>
              <w:jc w:val="center"/>
              <w:rPr>
                <w:color w:val="000000"/>
                <w:sz w:val="20"/>
              </w:rPr>
            </w:pPr>
            <w:r>
              <w:rPr>
                <w:color w:val="000000"/>
                <w:sz w:val="20"/>
              </w:rPr>
              <w:t>Премия оплачивается единовременно</w:t>
            </w:r>
          </w:p>
        </w:tc>
        <w:tc>
          <w:tcPr>
            <w:tcW w:type="dxa" w:w="1163"/>
            <w:tcBorders>
              <w:top w:color="000000" w:sz="4" w:val="single"/>
              <w:left w:sz="4" w:val="nil"/>
              <w:bottom w:color="000000" w:sz="4" w:val="single"/>
              <w:right w:color="000000" w:sz="4" w:val="single"/>
            </w:tcBorders>
            <w:shd w:fill="FFFFFF" w:val="clear"/>
            <w:vAlign w:val="center"/>
          </w:tcPr>
          <w:p w14:paraId="D4100000">
            <w:pPr>
              <w:widowControl w:val="1"/>
              <w:ind/>
              <w:contextualSpacing w:val="1"/>
              <w:jc w:val="center"/>
              <w:rPr>
                <w:color w:val="000000"/>
                <w:sz w:val="20"/>
              </w:rPr>
            </w:pPr>
            <w:r>
              <w:rPr>
                <w:color w:val="000000"/>
                <w:sz w:val="20"/>
              </w:rPr>
              <w:t>Возмещение вреда здоровью каждого потерпевшего не более 500 тыс. руб., вреда имуществу одного потерпевшего не более 400тыс. руб.</w:t>
            </w:r>
          </w:p>
        </w:tc>
      </w:tr>
      <w:tr>
        <w:trPr>
          <w:trHeight w:hRule="atLeast" w:val="1456"/>
        </w:trPr>
        <w:tc>
          <w:tcPr>
            <w:tcW w:type="dxa" w:w="1433"/>
            <w:tcBorders>
              <w:top w:color="000000" w:sz="4" w:val="single"/>
              <w:left w:color="000000" w:sz="4" w:val="single"/>
              <w:bottom w:color="000000" w:sz="4" w:val="single"/>
              <w:right w:color="000000" w:sz="4" w:val="single"/>
            </w:tcBorders>
            <w:shd w:fill="FFFFFF" w:val="clear"/>
            <w:vAlign w:val="center"/>
          </w:tcPr>
          <w:p w14:paraId="D5100000">
            <w:pPr>
              <w:widowControl w:val="1"/>
              <w:ind/>
              <w:contextualSpacing w:val="1"/>
              <w:jc w:val="center"/>
              <w:rPr>
                <w:sz w:val="20"/>
              </w:rPr>
            </w:pPr>
            <w:r>
              <w:rPr>
                <w:sz w:val="20"/>
              </w:rPr>
              <w:t>САО «Надежда»</w:t>
            </w:r>
          </w:p>
        </w:tc>
        <w:tc>
          <w:tcPr>
            <w:tcW w:type="dxa" w:w="1771"/>
            <w:tcBorders>
              <w:top w:color="000000" w:sz="4" w:val="single"/>
              <w:left w:sz="4" w:val="nil"/>
              <w:bottom w:color="000000" w:sz="4" w:val="single"/>
              <w:right w:color="000000" w:sz="4" w:val="single"/>
            </w:tcBorders>
            <w:shd w:fill="FFFFFF" w:val="clear"/>
            <w:vAlign w:val="center"/>
          </w:tcPr>
          <w:p w14:paraId="D6100000">
            <w:pPr>
              <w:widowControl w:val="1"/>
              <w:ind/>
              <w:contextualSpacing w:val="1"/>
              <w:jc w:val="center"/>
              <w:rPr>
                <w:sz w:val="20"/>
              </w:rPr>
            </w:pPr>
            <w:r>
              <w:rPr>
                <w:sz w:val="20"/>
              </w:rPr>
              <w:t>Договор №162632884 от 13.01.2017</w:t>
            </w:r>
          </w:p>
        </w:tc>
        <w:tc>
          <w:tcPr>
            <w:tcW w:type="dxa" w:w="1264"/>
            <w:tcBorders>
              <w:top w:color="000000" w:sz="4" w:val="single"/>
              <w:left w:sz="4" w:val="nil"/>
              <w:bottom w:color="000000" w:sz="4" w:val="single"/>
              <w:right w:color="000000" w:sz="4" w:val="single"/>
            </w:tcBorders>
            <w:shd w:fill="FFFFFF" w:val="clear"/>
            <w:vAlign w:val="center"/>
          </w:tcPr>
          <w:p w14:paraId="D7100000">
            <w:pPr>
              <w:widowControl w:val="1"/>
              <w:ind/>
              <w:contextualSpacing w:val="1"/>
              <w:jc w:val="center"/>
              <w:rPr>
                <w:sz w:val="20"/>
              </w:rPr>
            </w:pPr>
            <w:r>
              <w:rPr>
                <w:sz w:val="20"/>
              </w:rPr>
              <w:t>1</w:t>
            </w:r>
            <w:r>
              <w:rPr>
                <w:sz w:val="20"/>
              </w:rPr>
              <w:t>6</w:t>
            </w:r>
            <w:r>
              <w:rPr>
                <w:sz w:val="20"/>
              </w:rPr>
              <w:t>.</w:t>
            </w:r>
            <w:r>
              <w:rPr>
                <w:sz w:val="20"/>
              </w:rPr>
              <w:t>01</w:t>
            </w:r>
            <w:r>
              <w:rPr>
                <w:sz w:val="20"/>
              </w:rPr>
              <w:t>.2017-15.01.2018</w:t>
            </w:r>
          </w:p>
        </w:tc>
        <w:tc>
          <w:tcPr>
            <w:tcW w:type="dxa" w:w="1524"/>
            <w:tcBorders>
              <w:top w:color="000000" w:sz="4" w:val="single"/>
              <w:left w:sz="4" w:val="nil"/>
              <w:bottom w:color="000000" w:sz="4" w:val="single"/>
              <w:right w:color="000000" w:sz="4" w:val="single"/>
            </w:tcBorders>
            <w:shd w:fill="FFFFFF" w:val="clear"/>
            <w:vAlign w:val="center"/>
          </w:tcPr>
          <w:p w14:paraId="D8100000">
            <w:pPr>
              <w:widowControl w:val="1"/>
              <w:ind/>
              <w:contextualSpacing w:val="1"/>
              <w:jc w:val="center"/>
              <w:rPr>
                <w:sz w:val="20"/>
              </w:rPr>
            </w:pPr>
            <w:r>
              <w:rPr>
                <w:sz w:val="20"/>
              </w:rPr>
              <w:t>КАСКО</w:t>
            </w:r>
          </w:p>
          <w:p w14:paraId="D9100000">
            <w:pPr>
              <w:widowControl w:val="1"/>
              <w:ind/>
              <w:contextualSpacing w:val="1"/>
              <w:jc w:val="center"/>
              <w:rPr>
                <w:sz w:val="20"/>
              </w:rPr>
            </w:pPr>
            <w:r>
              <w:rPr>
                <w:sz w:val="20"/>
              </w:rPr>
              <w:t>автомобиля</w:t>
            </w:r>
          </w:p>
        </w:tc>
        <w:tc>
          <w:tcPr>
            <w:tcW w:type="dxa" w:w="1021"/>
            <w:tcBorders>
              <w:top w:color="000000" w:sz="4" w:val="single"/>
              <w:left w:sz="4" w:val="nil"/>
              <w:bottom w:color="000000" w:sz="4" w:val="single"/>
              <w:right w:color="000000" w:sz="4" w:val="single"/>
            </w:tcBorders>
            <w:shd w:fill="FFFFFF" w:val="clear"/>
            <w:vAlign w:val="center"/>
          </w:tcPr>
          <w:p w14:paraId="DA100000">
            <w:pPr>
              <w:widowControl w:val="1"/>
              <w:ind/>
              <w:contextualSpacing w:val="1"/>
              <w:jc w:val="center"/>
              <w:rPr>
                <w:sz w:val="20"/>
              </w:rPr>
            </w:pPr>
            <w:r>
              <w:rPr>
                <w:sz w:val="20"/>
              </w:rPr>
              <w:t>53 713 руб. без НДС</w:t>
            </w:r>
          </w:p>
        </w:tc>
        <w:tc>
          <w:tcPr>
            <w:tcW w:type="dxa" w:w="1387"/>
            <w:tcBorders>
              <w:top w:color="000000" w:sz="4" w:val="single"/>
              <w:left w:sz="4" w:val="nil"/>
              <w:bottom w:color="000000" w:sz="4" w:val="single"/>
              <w:right w:color="000000" w:sz="4" w:val="single"/>
            </w:tcBorders>
            <w:shd w:fill="FFFFFF" w:val="clear"/>
            <w:vAlign w:val="center"/>
          </w:tcPr>
          <w:p w14:paraId="DB100000">
            <w:pPr>
              <w:widowControl w:val="1"/>
              <w:ind/>
              <w:contextualSpacing w:val="1"/>
              <w:jc w:val="center"/>
              <w:rPr>
                <w:color w:val="000000"/>
                <w:sz w:val="20"/>
              </w:rPr>
            </w:pPr>
            <w:r>
              <w:rPr>
                <w:color w:val="000000"/>
                <w:sz w:val="20"/>
              </w:rPr>
              <w:t>Премия оплачивается единовременно до 16.01.2017г.</w:t>
            </w:r>
          </w:p>
        </w:tc>
        <w:tc>
          <w:tcPr>
            <w:tcW w:type="dxa" w:w="1163"/>
            <w:tcBorders>
              <w:top w:color="000000" w:sz="4" w:val="single"/>
              <w:left w:sz="4" w:val="nil"/>
              <w:bottom w:color="000000" w:sz="4" w:val="single"/>
              <w:right w:color="000000" w:sz="4" w:val="single"/>
            </w:tcBorders>
            <w:shd w:fill="FFFFFF" w:val="clear"/>
            <w:vAlign w:val="center"/>
          </w:tcPr>
          <w:p w14:paraId="DC100000">
            <w:pPr>
              <w:widowControl w:val="1"/>
              <w:ind/>
              <w:contextualSpacing w:val="1"/>
              <w:jc w:val="center"/>
              <w:rPr>
                <w:color w:val="000000"/>
                <w:sz w:val="20"/>
              </w:rPr>
            </w:pPr>
            <w:r>
              <w:rPr>
                <w:color w:val="000000"/>
                <w:sz w:val="20"/>
              </w:rPr>
              <w:t>Возмещение вреда ТС 425т.р., НС 300 т.р., ГО 300 т.р., спец.помощь -50 т.р.</w:t>
            </w:r>
          </w:p>
        </w:tc>
      </w:tr>
      <w:tr>
        <w:trPr>
          <w:trHeight w:hRule="atLeast" w:val="1456"/>
        </w:trPr>
        <w:tc>
          <w:tcPr>
            <w:tcW w:type="dxa" w:w="1433"/>
            <w:tcBorders>
              <w:top w:color="000000" w:sz="4" w:val="single"/>
              <w:left w:color="000000" w:sz="4" w:val="single"/>
              <w:bottom w:color="000000" w:sz="4" w:val="single"/>
              <w:right w:color="000000" w:sz="4" w:val="single"/>
            </w:tcBorders>
            <w:shd w:fill="FFFFFF" w:val="clear"/>
            <w:vAlign w:val="center"/>
          </w:tcPr>
          <w:p w14:paraId="DD100000">
            <w:pPr>
              <w:widowControl w:val="1"/>
              <w:ind/>
              <w:contextualSpacing w:val="1"/>
              <w:jc w:val="center"/>
              <w:rPr>
                <w:sz w:val="20"/>
              </w:rPr>
            </w:pPr>
            <w:r>
              <w:rPr>
                <w:sz w:val="20"/>
              </w:rPr>
              <w:t>Красноярский филиал АО "АльфаСтрахование"</w:t>
            </w:r>
          </w:p>
          <w:p w14:paraId="DE100000">
            <w:pPr>
              <w:widowControl w:val="1"/>
              <w:ind/>
              <w:contextualSpacing w:val="1"/>
              <w:jc w:val="center"/>
              <w:rPr>
                <w:sz w:val="20"/>
              </w:rPr>
            </w:pPr>
          </w:p>
        </w:tc>
        <w:tc>
          <w:tcPr>
            <w:tcW w:type="dxa" w:w="1771"/>
            <w:tcBorders>
              <w:top w:color="000000" w:sz="4" w:val="single"/>
              <w:left w:sz="4" w:val="nil"/>
              <w:bottom w:color="000000" w:sz="4" w:val="single"/>
              <w:right w:color="000000" w:sz="4" w:val="single"/>
            </w:tcBorders>
            <w:shd w:fill="FFFFFF" w:val="clear"/>
            <w:vAlign w:val="center"/>
          </w:tcPr>
          <w:p w14:paraId="DF100000">
            <w:pPr>
              <w:widowControl w:val="1"/>
              <w:ind/>
              <w:contextualSpacing w:val="1"/>
              <w:jc w:val="center"/>
              <w:rPr>
                <w:sz w:val="20"/>
              </w:rPr>
            </w:pPr>
            <w:r>
              <w:rPr>
                <w:sz w:val="20"/>
              </w:rPr>
              <w:t>договор № 8793/045/Р100005/8 от 14.03.2018</w:t>
            </w:r>
          </w:p>
        </w:tc>
        <w:tc>
          <w:tcPr>
            <w:tcW w:type="dxa" w:w="1264"/>
            <w:tcBorders>
              <w:top w:color="000000" w:sz="4" w:val="single"/>
              <w:left w:sz="4" w:val="nil"/>
              <w:bottom w:color="000000" w:sz="4" w:val="single"/>
              <w:right w:color="000000" w:sz="4" w:val="single"/>
            </w:tcBorders>
            <w:shd w:fill="FFFFFF" w:val="clear"/>
            <w:vAlign w:val="center"/>
          </w:tcPr>
          <w:p w14:paraId="E0100000">
            <w:pPr>
              <w:widowControl w:val="1"/>
              <w:ind/>
              <w:contextualSpacing w:val="1"/>
              <w:jc w:val="center"/>
              <w:rPr>
                <w:sz w:val="20"/>
              </w:rPr>
            </w:pPr>
            <w:r>
              <w:rPr>
                <w:sz w:val="20"/>
              </w:rPr>
              <w:t>01.04.2018-31.03.2019</w:t>
            </w:r>
          </w:p>
        </w:tc>
        <w:tc>
          <w:tcPr>
            <w:tcW w:type="dxa" w:w="1524"/>
            <w:tcBorders>
              <w:top w:color="000000" w:sz="4" w:val="single"/>
              <w:left w:sz="4" w:val="nil"/>
              <w:bottom w:color="000000" w:sz="4" w:val="single"/>
              <w:right w:color="000000" w:sz="4" w:val="single"/>
            </w:tcBorders>
            <w:shd w:fill="FFFFFF" w:val="clear"/>
            <w:vAlign w:val="center"/>
          </w:tcPr>
          <w:p w14:paraId="E1100000">
            <w:pPr>
              <w:widowControl w:val="1"/>
              <w:ind/>
              <w:contextualSpacing w:val="1"/>
              <w:jc w:val="center"/>
              <w:rPr>
                <w:sz w:val="20"/>
              </w:rPr>
            </w:pPr>
            <w:r>
              <w:rPr>
                <w:sz w:val="20"/>
              </w:rPr>
              <w:t>добровольное медицинское страхование по программе "Альфа Клещ комбинированный"</w:t>
            </w:r>
          </w:p>
        </w:tc>
        <w:tc>
          <w:tcPr>
            <w:tcW w:type="dxa" w:w="1021"/>
            <w:tcBorders>
              <w:top w:color="000000" w:sz="4" w:val="single"/>
              <w:left w:sz="4" w:val="nil"/>
              <w:bottom w:color="000000" w:sz="4" w:val="single"/>
              <w:right w:color="000000" w:sz="4" w:val="single"/>
            </w:tcBorders>
            <w:shd w:fill="FFFFFF" w:val="clear"/>
            <w:vAlign w:val="center"/>
          </w:tcPr>
          <w:p w14:paraId="E2100000">
            <w:pPr>
              <w:widowControl w:val="1"/>
              <w:ind/>
              <w:contextualSpacing w:val="1"/>
              <w:jc w:val="center"/>
              <w:rPr>
                <w:sz w:val="20"/>
              </w:rPr>
            </w:pPr>
            <w:r>
              <w:rPr>
                <w:sz w:val="20"/>
              </w:rPr>
              <w:t>29 160 руб. без НДС</w:t>
            </w:r>
          </w:p>
        </w:tc>
        <w:tc>
          <w:tcPr>
            <w:tcW w:type="dxa" w:w="1387"/>
            <w:tcBorders>
              <w:top w:color="000000" w:sz="4" w:val="single"/>
              <w:left w:sz="4" w:val="nil"/>
              <w:bottom w:color="000000" w:sz="4" w:val="single"/>
              <w:right w:color="000000" w:sz="4" w:val="single"/>
            </w:tcBorders>
            <w:shd w:fill="FFFFFF" w:val="clear"/>
            <w:vAlign w:val="center"/>
          </w:tcPr>
          <w:p w14:paraId="E3100000">
            <w:pPr>
              <w:widowControl w:val="1"/>
              <w:ind/>
              <w:contextualSpacing w:val="1"/>
              <w:jc w:val="center"/>
              <w:rPr>
                <w:color w:val="000000"/>
                <w:sz w:val="20"/>
              </w:rPr>
            </w:pPr>
            <w:r>
              <w:rPr>
                <w:color w:val="000000"/>
                <w:sz w:val="20"/>
              </w:rPr>
              <w:t>Премия оплачивается единовременно не позднее 01.05.2018г.</w:t>
            </w:r>
          </w:p>
        </w:tc>
        <w:tc>
          <w:tcPr>
            <w:tcW w:type="dxa" w:w="1163"/>
            <w:tcBorders>
              <w:top w:color="000000" w:sz="4" w:val="single"/>
              <w:left w:sz="4" w:val="nil"/>
              <w:bottom w:color="000000" w:sz="4" w:val="single"/>
              <w:right w:color="000000" w:sz="4" w:val="single"/>
            </w:tcBorders>
            <w:shd w:fill="FFFFFF" w:val="clear"/>
            <w:vAlign w:val="center"/>
          </w:tcPr>
          <w:p w14:paraId="E4100000">
            <w:pPr>
              <w:widowControl w:val="1"/>
              <w:ind/>
              <w:contextualSpacing w:val="1"/>
              <w:jc w:val="center"/>
              <w:rPr>
                <w:color w:val="000000"/>
                <w:sz w:val="20"/>
              </w:rPr>
            </w:pPr>
            <w:r>
              <w:rPr>
                <w:color w:val="000000"/>
                <w:sz w:val="20"/>
              </w:rPr>
              <w:t>Страховая сумма составляет 162 000 000 руб.</w:t>
            </w:r>
          </w:p>
          <w:p w14:paraId="E5100000">
            <w:pPr>
              <w:widowControl w:val="1"/>
              <w:ind/>
              <w:contextualSpacing w:val="1"/>
              <w:jc w:val="center"/>
              <w:rPr>
                <w:color w:val="000000"/>
                <w:sz w:val="20"/>
              </w:rPr>
            </w:pPr>
          </w:p>
        </w:tc>
      </w:tr>
      <w:tr>
        <w:trPr>
          <w:trHeight w:hRule="atLeast" w:val="1456"/>
        </w:trPr>
        <w:tc>
          <w:tcPr>
            <w:tcW w:type="dxa" w:w="1433"/>
            <w:tcBorders>
              <w:top w:color="000000" w:sz="4" w:val="single"/>
              <w:left w:color="000000" w:sz="4" w:val="single"/>
              <w:bottom w:color="000000" w:sz="4" w:val="single"/>
              <w:right w:color="000000" w:sz="4" w:val="single"/>
            </w:tcBorders>
            <w:shd w:fill="FFFFFF" w:val="clear"/>
            <w:vAlign w:val="center"/>
          </w:tcPr>
          <w:p w14:paraId="E6100000">
            <w:pPr>
              <w:widowControl w:val="1"/>
              <w:ind/>
              <w:contextualSpacing w:val="1"/>
              <w:jc w:val="center"/>
              <w:rPr>
                <w:sz w:val="20"/>
              </w:rPr>
            </w:pPr>
            <w:r>
              <w:rPr>
                <w:sz w:val="20"/>
              </w:rPr>
              <w:t>САО "Надежда"</w:t>
            </w:r>
          </w:p>
        </w:tc>
        <w:tc>
          <w:tcPr>
            <w:tcW w:type="dxa" w:w="1771"/>
            <w:tcBorders>
              <w:top w:color="000000" w:sz="4" w:val="single"/>
              <w:left w:sz="4" w:val="nil"/>
              <w:bottom w:color="000000" w:sz="4" w:val="single"/>
              <w:right w:color="000000" w:sz="4" w:val="single"/>
            </w:tcBorders>
            <w:shd w:fill="FFFFFF" w:val="clear"/>
            <w:vAlign w:val="center"/>
          </w:tcPr>
          <w:p w14:paraId="E7100000">
            <w:pPr>
              <w:widowControl w:val="1"/>
              <w:ind/>
              <w:contextualSpacing w:val="1"/>
              <w:jc w:val="center"/>
              <w:rPr>
                <w:sz w:val="20"/>
              </w:rPr>
            </w:pPr>
            <w:r>
              <w:rPr>
                <w:sz w:val="20"/>
              </w:rPr>
              <w:t>договор № 182210481 от 12.03.2018</w:t>
            </w:r>
          </w:p>
        </w:tc>
        <w:tc>
          <w:tcPr>
            <w:tcW w:type="dxa" w:w="1264"/>
            <w:tcBorders>
              <w:top w:color="000000" w:sz="4" w:val="single"/>
              <w:left w:sz="4" w:val="nil"/>
              <w:bottom w:color="000000" w:sz="4" w:val="single"/>
              <w:right w:color="000000" w:sz="4" w:val="single"/>
            </w:tcBorders>
            <w:shd w:fill="FFFFFF" w:val="clear"/>
            <w:vAlign w:val="center"/>
          </w:tcPr>
          <w:p w14:paraId="E8100000">
            <w:pPr>
              <w:widowControl w:val="1"/>
              <w:ind/>
              <w:contextualSpacing w:val="1"/>
              <w:jc w:val="center"/>
              <w:rPr>
                <w:sz w:val="20"/>
              </w:rPr>
            </w:pPr>
            <w:r>
              <w:rPr>
                <w:sz w:val="20"/>
              </w:rPr>
              <w:t>23.03.2018-22.03.2019</w:t>
            </w:r>
          </w:p>
        </w:tc>
        <w:tc>
          <w:tcPr>
            <w:tcW w:type="dxa" w:w="1524"/>
            <w:tcBorders>
              <w:top w:color="000000" w:sz="4" w:val="single"/>
              <w:left w:sz="4" w:val="nil"/>
              <w:bottom w:color="000000" w:sz="4" w:val="single"/>
              <w:right w:color="000000" w:sz="4" w:val="single"/>
            </w:tcBorders>
            <w:shd w:fill="FFFFFF" w:val="clear"/>
            <w:vAlign w:val="center"/>
          </w:tcPr>
          <w:p w14:paraId="E9100000">
            <w:pPr>
              <w:widowControl w:val="1"/>
              <w:ind/>
              <w:contextualSpacing w:val="1"/>
              <w:jc w:val="center"/>
              <w:rPr>
                <w:sz w:val="20"/>
              </w:rPr>
            </w:pPr>
            <w:r>
              <w:rPr>
                <w:sz w:val="20"/>
              </w:rPr>
              <w:t>оказание услуг добровольного страхования от несчастного случая и болезни</w:t>
            </w:r>
          </w:p>
        </w:tc>
        <w:tc>
          <w:tcPr>
            <w:tcW w:type="dxa" w:w="1021"/>
            <w:tcBorders>
              <w:top w:color="000000" w:sz="4" w:val="single"/>
              <w:left w:sz="4" w:val="nil"/>
              <w:bottom w:color="000000" w:sz="4" w:val="single"/>
              <w:right w:color="000000" w:sz="4" w:val="single"/>
            </w:tcBorders>
            <w:shd w:fill="FFFFFF" w:val="clear"/>
            <w:vAlign w:val="center"/>
          </w:tcPr>
          <w:p w14:paraId="EA100000">
            <w:pPr>
              <w:widowControl w:val="1"/>
              <w:ind/>
              <w:contextualSpacing w:val="1"/>
              <w:jc w:val="center"/>
              <w:rPr>
                <w:sz w:val="20"/>
              </w:rPr>
            </w:pPr>
            <w:r>
              <w:rPr>
                <w:sz w:val="20"/>
              </w:rPr>
              <w:t>11 152 руб. без НДС</w:t>
            </w:r>
          </w:p>
        </w:tc>
        <w:tc>
          <w:tcPr>
            <w:tcW w:type="dxa" w:w="1387"/>
            <w:tcBorders>
              <w:top w:color="000000" w:sz="4" w:val="single"/>
              <w:left w:sz="4" w:val="nil"/>
              <w:bottom w:color="000000" w:sz="4" w:val="single"/>
              <w:right w:color="000000" w:sz="4" w:val="single"/>
            </w:tcBorders>
            <w:shd w:fill="FFFFFF" w:val="clear"/>
            <w:vAlign w:val="center"/>
          </w:tcPr>
          <w:p w14:paraId="EB100000">
            <w:pPr>
              <w:widowControl w:val="1"/>
              <w:ind/>
              <w:contextualSpacing w:val="1"/>
              <w:jc w:val="center"/>
              <w:rPr>
                <w:color w:val="000000"/>
                <w:sz w:val="20"/>
              </w:rPr>
            </w:pPr>
            <w:r>
              <w:rPr>
                <w:color w:val="000000"/>
                <w:sz w:val="20"/>
              </w:rPr>
              <w:t>премия оплачивается единовременным платежом на расчетный счет страховщика в срок до 22.03.2018г.</w:t>
            </w:r>
          </w:p>
          <w:p w14:paraId="EC100000">
            <w:pPr>
              <w:widowControl w:val="1"/>
              <w:ind/>
              <w:contextualSpacing w:val="1"/>
              <w:jc w:val="center"/>
              <w:rPr>
                <w:color w:val="000000"/>
                <w:sz w:val="20"/>
              </w:rPr>
            </w:pPr>
          </w:p>
        </w:tc>
        <w:tc>
          <w:tcPr>
            <w:tcW w:type="dxa" w:w="1163"/>
            <w:tcBorders>
              <w:top w:color="000000" w:sz="4" w:val="single"/>
              <w:left w:sz="4" w:val="nil"/>
              <w:bottom w:color="000000" w:sz="4" w:val="single"/>
              <w:right w:color="000000" w:sz="4" w:val="single"/>
            </w:tcBorders>
            <w:shd w:fill="FFFFFF" w:val="clear"/>
            <w:vAlign w:val="center"/>
          </w:tcPr>
          <w:p w14:paraId="ED100000">
            <w:pPr>
              <w:widowControl w:val="1"/>
              <w:ind/>
              <w:contextualSpacing w:val="1"/>
              <w:jc w:val="center"/>
              <w:rPr>
                <w:color w:val="000000"/>
                <w:sz w:val="20"/>
              </w:rPr>
            </w:pPr>
            <w:r>
              <w:rPr>
                <w:color w:val="000000"/>
                <w:sz w:val="20"/>
              </w:rPr>
              <w:t>Страховая сумма составляет 8 200 000 руб.</w:t>
            </w:r>
          </w:p>
          <w:p w14:paraId="EE100000">
            <w:pPr>
              <w:widowControl w:val="1"/>
              <w:ind/>
              <w:contextualSpacing w:val="1"/>
              <w:jc w:val="center"/>
              <w:rPr>
                <w:color w:val="000000"/>
                <w:sz w:val="20"/>
              </w:rPr>
            </w:pPr>
          </w:p>
        </w:tc>
      </w:tr>
      <w:tr>
        <w:trPr>
          <w:trHeight w:hRule="atLeast" w:val="1456"/>
        </w:trPr>
        <w:tc>
          <w:tcPr>
            <w:tcW w:type="dxa" w:w="1433"/>
            <w:tcBorders>
              <w:top w:color="000000" w:sz="4" w:val="single"/>
              <w:left w:color="000000" w:sz="4" w:val="single"/>
              <w:bottom w:color="000000" w:sz="4" w:val="single"/>
              <w:right w:color="000000" w:sz="4" w:val="single"/>
            </w:tcBorders>
            <w:shd w:fill="FFFFFF" w:val="clear"/>
            <w:vAlign w:val="center"/>
          </w:tcPr>
          <w:p w14:paraId="EF100000">
            <w:pPr>
              <w:widowControl w:val="1"/>
              <w:ind/>
              <w:contextualSpacing w:val="1"/>
              <w:jc w:val="center"/>
              <w:rPr>
                <w:sz w:val="20"/>
              </w:rPr>
            </w:pPr>
            <w:r>
              <w:rPr>
                <w:sz w:val="20"/>
              </w:rPr>
              <w:t>САО  «Надежда»</w:t>
            </w:r>
          </w:p>
        </w:tc>
        <w:tc>
          <w:tcPr>
            <w:tcW w:type="dxa" w:w="1771"/>
            <w:tcBorders>
              <w:top w:color="000000" w:sz="4" w:val="single"/>
              <w:left w:sz="4" w:val="nil"/>
              <w:bottom w:color="000000" w:sz="4" w:val="single"/>
              <w:right w:color="000000" w:sz="4" w:val="single"/>
            </w:tcBorders>
            <w:shd w:fill="FFFFFF" w:val="clear"/>
            <w:vAlign w:val="center"/>
          </w:tcPr>
          <w:p w14:paraId="F0100000">
            <w:pPr>
              <w:widowControl w:val="1"/>
              <w:ind/>
              <w:contextualSpacing w:val="1"/>
              <w:jc w:val="center"/>
              <w:rPr>
                <w:sz w:val="20"/>
              </w:rPr>
            </w:pPr>
            <w:r>
              <w:rPr>
                <w:sz w:val="20"/>
              </w:rPr>
              <w:t>договор № 184221004 от 26.04.2018</w:t>
            </w:r>
          </w:p>
          <w:p w14:paraId="F1100000">
            <w:pPr>
              <w:widowControl w:val="1"/>
              <w:ind/>
              <w:contextualSpacing w:val="1"/>
              <w:jc w:val="center"/>
              <w:rPr>
                <w:sz w:val="20"/>
              </w:rPr>
            </w:pPr>
          </w:p>
        </w:tc>
        <w:tc>
          <w:tcPr>
            <w:tcW w:type="dxa" w:w="1264"/>
            <w:tcBorders>
              <w:top w:color="000000" w:sz="4" w:val="single"/>
              <w:left w:sz="4" w:val="nil"/>
              <w:bottom w:color="000000" w:sz="4" w:val="single"/>
              <w:right w:color="000000" w:sz="4" w:val="single"/>
            </w:tcBorders>
            <w:shd w:fill="FFFFFF" w:val="clear"/>
            <w:vAlign w:val="center"/>
          </w:tcPr>
          <w:p w14:paraId="F2100000">
            <w:pPr>
              <w:widowControl w:val="1"/>
              <w:ind/>
              <w:contextualSpacing w:val="1"/>
              <w:jc w:val="center"/>
              <w:rPr>
                <w:sz w:val="20"/>
              </w:rPr>
            </w:pPr>
            <w:r>
              <w:rPr>
                <w:sz w:val="20"/>
              </w:rPr>
              <w:t>04.05.2018-03.05.2019</w:t>
            </w:r>
          </w:p>
          <w:p w14:paraId="F3100000">
            <w:pPr>
              <w:widowControl w:val="1"/>
              <w:ind/>
              <w:contextualSpacing w:val="1"/>
              <w:jc w:val="center"/>
              <w:rPr>
                <w:sz w:val="20"/>
              </w:rPr>
            </w:pPr>
          </w:p>
        </w:tc>
        <w:tc>
          <w:tcPr>
            <w:tcW w:type="dxa" w:w="1524"/>
            <w:tcBorders>
              <w:top w:color="000000" w:sz="4" w:val="single"/>
              <w:left w:sz="4" w:val="nil"/>
              <w:bottom w:color="000000" w:sz="4" w:val="single"/>
              <w:right w:color="000000" w:sz="4" w:val="single"/>
            </w:tcBorders>
            <w:shd w:fill="FFFFFF" w:val="clear"/>
            <w:vAlign w:val="center"/>
          </w:tcPr>
          <w:p w14:paraId="F4100000">
            <w:pPr>
              <w:widowControl w:val="1"/>
              <w:ind/>
              <w:contextualSpacing w:val="1"/>
              <w:jc w:val="center"/>
              <w:rPr>
                <w:sz w:val="20"/>
              </w:rPr>
            </w:pPr>
            <w:r>
              <w:rPr>
                <w:sz w:val="20"/>
              </w:rPr>
              <w:t>ОСАГО</w:t>
            </w:r>
          </w:p>
          <w:p w14:paraId="F5100000">
            <w:pPr>
              <w:widowControl w:val="1"/>
              <w:ind/>
              <w:contextualSpacing w:val="1"/>
              <w:jc w:val="center"/>
              <w:rPr>
                <w:sz w:val="20"/>
              </w:rPr>
            </w:pPr>
            <w:r>
              <w:rPr>
                <w:sz w:val="20"/>
              </w:rPr>
              <w:t>автомобиля</w:t>
            </w:r>
          </w:p>
        </w:tc>
        <w:tc>
          <w:tcPr>
            <w:tcW w:type="dxa" w:w="1021"/>
            <w:tcBorders>
              <w:top w:color="000000" w:sz="4" w:val="single"/>
              <w:left w:sz="4" w:val="nil"/>
              <w:bottom w:color="000000" w:sz="4" w:val="single"/>
              <w:right w:color="000000" w:sz="4" w:val="single"/>
            </w:tcBorders>
            <w:shd w:fill="FFFFFF" w:val="clear"/>
            <w:vAlign w:val="center"/>
          </w:tcPr>
          <w:p w14:paraId="F6100000">
            <w:pPr>
              <w:widowControl w:val="1"/>
              <w:ind/>
              <w:contextualSpacing w:val="1"/>
              <w:jc w:val="center"/>
              <w:rPr>
                <w:sz w:val="20"/>
              </w:rPr>
            </w:pPr>
            <w:r>
              <w:rPr>
                <w:sz w:val="20"/>
              </w:rPr>
              <w:t>8503,25</w:t>
            </w:r>
          </w:p>
          <w:p w14:paraId="F7100000">
            <w:pPr>
              <w:widowControl w:val="1"/>
              <w:ind/>
              <w:contextualSpacing w:val="1"/>
              <w:jc w:val="center"/>
              <w:rPr>
                <w:sz w:val="20"/>
              </w:rPr>
            </w:pPr>
            <w:r>
              <w:rPr>
                <w:sz w:val="20"/>
              </w:rPr>
              <w:t xml:space="preserve"> руб. без НДС</w:t>
            </w:r>
          </w:p>
        </w:tc>
        <w:tc>
          <w:tcPr>
            <w:tcW w:type="dxa" w:w="1387"/>
            <w:tcBorders>
              <w:top w:color="000000" w:sz="4" w:val="single"/>
              <w:left w:sz="4" w:val="nil"/>
              <w:bottom w:color="000000" w:sz="4" w:val="single"/>
              <w:right w:color="000000" w:sz="4" w:val="single"/>
            </w:tcBorders>
            <w:shd w:fill="FFFFFF" w:val="clear"/>
            <w:vAlign w:val="center"/>
          </w:tcPr>
          <w:p w14:paraId="F8100000">
            <w:pPr>
              <w:widowControl w:val="1"/>
              <w:ind/>
              <w:contextualSpacing w:val="1"/>
              <w:jc w:val="center"/>
              <w:rPr>
                <w:color w:val="000000"/>
                <w:sz w:val="20"/>
              </w:rPr>
            </w:pPr>
            <w:r>
              <w:rPr>
                <w:color w:val="000000"/>
                <w:sz w:val="20"/>
              </w:rPr>
              <w:t>Премия оплачивается единовременно</w:t>
            </w:r>
          </w:p>
        </w:tc>
        <w:tc>
          <w:tcPr>
            <w:tcW w:type="dxa" w:w="1163"/>
            <w:tcBorders>
              <w:top w:color="000000" w:sz="4" w:val="single"/>
              <w:left w:sz="4" w:val="nil"/>
              <w:bottom w:color="000000" w:sz="4" w:val="single"/>
              <w:right w:color="000000" w:sz="4" w:val="single"/>
            </w:tcBorders>
            <w:shd w:fill="FFFFFF" w:val="clear"/>
            <w:vAlign w:val="center"/>
          </w:tcPr>
          <w:p w14:paraId="F9100000">
            <w:pPr>
              <w:widowControl w:val="1"/>
              <w:ind/>
              <w:contextualSpacing w:val="1"/>
              <w:jc w:val="center"/>
              <w:rPr>
                <w:color w:val="000000"/>
                <w:sz w:val="20"/>
              </w:rPr>
            </w:pPr>
            <w:r>
              <w:rPr>
                <w:color w:val="000000"/>
                <w:sz w:val="20"/>
              </w:rPr>
              <w:t>Возмещение вреда здоровью каждого потерпевшего не более 500 тыс. руб., вреда имуществу одного потерпевшего не более 400тыс. руб.</w:t>
            </w:r>
          </w:p>
        </w:tc>
      </w:tr>
      <w:tr>
        <w:trPr>
          <w:trHeight w:hRule="atLeast" w:val="1456"/>
        </w:trPr>
        <w:tc>
          <w:tcPr>
            <w:tcW w:type="dxa" w:w="1433"/>
            <w:tcBorders>
              <w:top w:color="000000" w:sz="4" w:val="single"/>
              <w:left w:color="000000" w:sz="4" w:val="single"/>
              <w:bottom w:color="000000" w:sz="4" w:val="single"/>
              <w:right w:color="000000" w:sz="4" w:val="single"/>
            </w:tcBorders>
            <w:shd w:fill="FFFFFF" w:val="clear"/>
            <w:vAlign w:val="center"/>
          </w:tcPr>
          <w:p w14:paraId="FA100000">
            <w:pPr>
              <w:widowControl w:val="1"/>
              <w:ind/>
              <w:contextualSpacing w:val="1"/>
              <w:jc w:val="center"/>
              <w:rPr>
                <w:sz w:val="20"/>
              </w:rPr>
            </w:pPr>
            <w:r>
              <w:rPr>
                <w:sz w:val="20"/>
              </w:rPr>
              <w:t xml:space="preserve">Крас                    </w:t>
            </w:r>
          </w:p>
          <w:p w14:paraId="FB100000">
            <w:pPr>
              <w:widowControl w:val="1"/>
              <w:ind/>
              <w:contextualSpacing w:val="1"/>
              <w:jc w:val="center"/>
              <w:rPr>
                <w:sz w:val="20"/>
              </w:rPr>
            </w:pPr>
            <w:r>
              <w:rPr>
                <w:sz w:val="20"/>
              </w:rPr>
              <w:t>ноярский филиал АО "СОГАЗ""</w:t>
            </w:r>
          </w:p>
        </w:tc>
        <w:tc>
          <w:tcPr>
            <w:tcW w:type="dxa" w:w="1771"/>
            <w:tcBorders>
              <w:top w:color="000000" w:sz="4" w:val="single"/>
              <w:left w:sz="4" w:val="nil"/>
              <w:bottom w:color="000000" w:sz="4" w:val="single"/>
              <w:right w:color="000000" w:sz="4" w:val="single"/>
            </w:tcBorders>
            <w:shd w:fill="FFFFFF" w:val="clear"/>
            <w:vAlign w:val="center"/>
          </w:tcPr>
          <w:p w14:paraId="FC100000">
            <w:pPr>
              <w:widowControl w:val="1"/>
              <w:ind/>
              <w:contextualSpacing w:val="1"/>
              <w:jc w:val="center"/>
              <w:rPr>
                <w:sz w:val="20"/>
              </w:rPr>
            </w:pPr>
            <w:r>
              <w:rPr>
                <w:sz w:val="20"/>
              </w:rPr>
              <w:t>договор № 3000000000от 09.08.2018</w:t>
            </w:r>
          </w:p>
        </w:tc>
        <w:tc>
          <w:tcPr>
            <w:tcW w:type="dxa" w:w="1264"/>
            <w:tcBorders>
              <w:top w:color="000000" w:sz="4" w:val="single"/>
              <w:left w:sz="4" w:val="nil"/>
              <w:bottom w:color="000000" w:sz="4" w:val="single"/>
              <w:right w:color="000000" w:sz="4" w:val="single"/>
            </w:tcBorders>
            <w:shd w:fill="FFFFFF" w:val="clear"/>
            <w:vAlign w:val="center"/>
          </w:tcPr>
          <w:p w14:paraId="FD100000">
            <w:pPr>
              <w:widowControl w:val="1"/>
              <w:ind/>
              <w:contextualSpacing w:val="1"/>
              <w:jc w:val="center"/>
              <w:rPr>
                <w:sz w:val="20"/>
              </w:rPr>
            </w:pPr>
            <w:r>
              <w:rPr>
                <w:sz w:val="20"/>
              </w:rPr>
              <w:t>23.08</w:t>
            </w:r>
            <w:r>
              <w:rPr>
                <w:sz w:val="20"/>
              </w:rPr>
              <w:t>.2018-22.08.2019</w:t>
            </w:r>
          </w:p>
        </w:tc>
        <w:tc>
          <w:tcPr>
            <w:tcW w:type="dxa" w:w="1524"/>
            <w:tcBorders>
              <w:top w:color="000000" w:sz="4" w:val="single"/>
              <w:left w:sz="4" w:val="nil"/>
              <w:bottom w:color="000000" w:sz="4" w:val="single"/>
              <w:right w:color="000000" w:sz="4" w:val="single"/>
            </w:tcBorders>
            <w:shd w:fill="FFFFFF" w:val="clear"/>
            <w:vAlign w:val="center"/>
          </w:tcPr>
          <w:p w14:paraId="FE100000">
            <w:pPr>
              <w:widowControl w:val="1"/>
              <w:ind/>
              <w:contextualSpacing w:val="1"/>
              <w:jc w:val="center"/>
              <w:rPr>
                <w:sz w:val="20"/>
              </w:rPr>
            </w:pPr>
            <w:r>
              <w:rPr>
                <w:sz w:val="20"/>
              </w:rPr>
              <w:t>ОСАГО</w:t>
            </w:r>
          </w:p>
          <w:p w14:paraId="FF100000">
            <w:pPr>
              <w:widowControl w:val="1"/>
              <w:ind/>
              <w:contextualSpacing w:val="1"/>
              <w:jc w:val="center"/>
              <w:rPr>
                <w:sz w:val="20"/>
              </w:rPr>
            </w:pPr>
            <w:r>
              <w:rPr>
                <w:sz w:val="20"/>
              </w:rPr>
              <w:t>автомобиля</w:t>
            </w:r>
          </w:p>
        </w:tc>
        <w:tc>
          <w:tcPr>
            <w:tcW w:type="dxa" w:w="1021"/>
            <w:tcBorders>
              <w:top w:color="000000" w:sz="4" w:val="single"/>
              <w:left w:sz="4" w:val="nil"/>
              <w:bottom w:color="000000" w:sz="4" w:val="single"/>
              <w:right w:color="000000" w:sz="4" w:val="single"/>
            </w:tcBorders>
            <w:shd w:fill="FFFFFF" w:val="clear"/>
            <w:vAlign w:val="center"/>
          </w:tcPr>
          <w:p w14:paraId="00110000">
            <w:pPr>
              <w:widowControl w:val="1"/>
              <w:ind/>
              <w:contextualSpacing w:val="1"/>
              <w:jc w:val="center"/>
              <w:rPr>
                <w:sz w:val="20"/>
              </w:rPr>
            </w:pPr>
            <w:r>
              <w:rPr>
                <w:sz w:val="20"/>
              </w:rPr>
              <w:t>11337,67 руб. без НДС</w:t>
            </w:r>
          </w:p>
        </w:tc>
        <w:tc>
          <w:tcPr>
            <w:tcW w:type="dxa" w:w="1387"/>
            <w:tcBorders>
              <w:top w:color="000000" w:sz="4" w:val="single"/>
              <w:left w:sz="4" w:val="nil"/>
              <w:bottom w:color="000000" w:sz="4" w:val="single"/>
              <w:right w:color="000000" w:sz="4" w:val="single"/>
            </w:tcBorders>
            <w:shd w:fill="FFFFFF" w:val="clear"/>
            <w:vAlign w:val="center"/>
          </w:tcPr>
          <w:p w14:paraId="01110000">
            <w:pPr>
              <w:widowControl w:val="1"/>
              <w:ind/>
              <w:contextualSpacing w:val="1"/>
              <w:jc w:val="center"/>
              <w:rPr>
                <w:color w:val="000000"/>
                <w:sz w:val="20"/>
              </w:rPr>
            </w:pPr>
            <w:r>
              <w:rPr>
                <w:color w:val="000000"/>
                <w:sz w:val="20"/>
              </w:rPr>
              <w:t>Премия оплачивается единовременно</w:t>
            </w:r>
          </w:p>
        </w:tc>
        <w:tc>
          <w:tcPr>
            <w:tcW w:type="dxa" w:w="1163"/>
            <w:tcBorders>
              <w:top w:color="000000" w:sz="4" w:val="single"/>
              <w:left w:sz="4" w:val="nil"/>
              <w:bottom w:color="000000" w:sz="4" w:val="single"/>
              <w:right w:color="000000" w:sz="4" w:val="single"/>
            </w:tcBorders>
            <w:shd w:fill="FFFFFF" w:val="clear"/>
            <w:vAlign w:val="center"/>
          </w:tcPr>
          <w:p w14:paraId="02110000">
            <w:pPr>
              <w:widowControl w:val="1"/>
              <w:ind/>
              <w:contextualSpacing w:val="1"/>
              <w:jc w:val="center"/>
              <w:rPr>
                <w:color w:val="000000"/>
                <w:sz w:val="20"/>
              </w:rPr>
            </w:pPr>
            <w:r>
              <w:rPr>
                <w:color w:val="000000"/>
                <w:sz w:val="20"/>
              </w:rPr>
              <w:t>Страховая сумма определяется в соответствии со ст.7 ФЗ "Об обязательном страховании гражданской ответственности владельцев транспортных средств" № 40-ФЗ от 25.04.2002г.</w:t>
            </w:r>
          </w:p>
        </w:tc>
      </w:tr>
      <w:tr>
        <w:trPr>
          <w:trHeight w:hRule="atLeast" w:val="1456"/>
        </w:trPr>
        <w:tc>
          <w:tcPr>
            <w:tcW w:type="dxa" w:w="1433"/>
            <w:tcBorders>
              <w:top w:color="000000" w:sz="4" w:val="single"/>
              <w:left w:color="000000" w:sz="4" w:val="single"/>
              <w:bottom w:color="000000" w:sz="4" w:val="single"/>
              <w:right w:color="000000" w:sz="4" w:val="single"/>
            </w:tcBorders>
            <w:shd w:fill="FFFFFF" w:val="clear"/>
            <w:vAlign w:val="center"/>
          </w:tcPr>
          <w:p w14:paraId="03110000">
            <w:pPr>
              <w:widowControl w:val="1"/>
              <w:ind/>
              <w:contextualSpacing w:val="1"/>
              <w:jc w:val="center"/>
              <w:rPr>
                <w:sz w:val="20"/>
              </w:rPr>
            </w:pPr>
            <w:r>
              <w:rPr>
                <w:sz w:val="20"/>
              </w:rPr>
              <w:t xml:space="preserve">Крас                    </w:t>
            </w:r>
          </w:p>
          <w:p w14:paraId="04110000">
            <w:pPr>
              <w:widowControl w:val="1"/>
              <w:ind/>
              <w:contextualSpacing w:val="1"/>
              <w:jc w:val="center"/>
              <w:rPr>
                <w:sz w:val="20"/>
              </w:rPr>
            </w:pPr>
            <w:r>
              <w:rPr>
                <w:sz w:val="20"/>
              </w:rPr>
              <w:t>ноярский филиал АО "СОГАЗ""</w:t>
            </w:r>
          </w:p>
        </w:tc>
        <w:tc>
          <w:tcPr>
            <w:tcW w:type="dxa" w:w="1771"/>
            <w:tcBorders>
              <w:top w:color="000000" w:sz="4" w:val="single"/>
              <w:left w:sz="4" w:val="nil"/>
              <w:bottom w:color="000000" w:sz="4" w:val="single"/>
              <w:right w:color="000000" w:sz="4" w:val="single"/>
            </w:tcBorders>
            <w:shd w:fill="FFFFFF" w:val="clear"/>
            <w:vAlign w:val="center"/>
          </w:tcPr>
          <w:p w14:paraId="05110000">
            <w:pPr>
              <w:widowControl w:val="1"/>
              <w:ind/>
              <w:contextualSpacing w:val="1"/>
              <w:jc w:val="center"/>
              <w:rPr>
                <w:sz w:val="20"/>
              </w:rPr>
            </w:pPr>
            <w:r>
              <w:rPr>
                <w:sz w:val="20"/>
              </w:rPr>
              <w:t>договор № 3718МТ0115 от 14.08.2018</w:t>
            </w:r>
          </w:p>
        </w:tc>
        <w:tc>
          <w:tcPr>
            <w:tcW w:type="dxa" w:w="1264"/>
            <w:tcBorders>
              <w:top w:color="000000" w:sz="4" w:val="single"/>
              <w:left w:sz="4" w:val="nil"/>
              <w:bottom w:color="000000" w:sz="4" w:val="single"/>
              <w:right w:color="000000" w:sz="4" w:val="single"/>
            </w:tcBorders>
            <w:shd w:fill="FFFFFF" w:val="clear"/>
            <w:vAlign w:val="center"/>
          </w:tcPr>
          <w:p w14:paraId="06110000">
            <w:pPr>
              <w:widowControl w:val="1"/>
              <w:ind/>
              <w:contextualSpacing w:val="1"/>
              <w:jc w:val="center"/>
              <w:rPr>
                <w:sz w:val="20"/>
              </w:rPr>
            </w:pPr>
            <w:r>
              <w:rPr>
                <w:sz w:val="20"/>
              </w:rPr>
              <w:t>22.08.2018-22.08.2019</w:t>
            </w:r>
          </w:p>
        </w:tc>
        <w:tc>
          <w:tcPr>
            <w:tcW w:type="dxa" w:w="1524"/>
            <w:tcBorders>
              <w:top w:color="000000" w:sz="4" w:val="single"/>
              <w:left w:sz="4" w:val="nil"/>
              <w:bottom w:color="000000" w:sz="4" w:val="single"/>
              <w:right w:color="000000" w:sz="4" w:val="single"/>
            </w:tcBorders>
            <w:shd w:fill="FFFFFF" w:val="clear"/>
            <w:vAlign w:val="center"/>
          </w:tcPr>
          <w:p w14:paraId="07110000">
            <w:pPr>
              <w:widowControl w:val="1"/>
              <w:ind/>
              <w:contextualSpacing w:val="1"/>
              <w:jc w:val="center"/>
              <w:rPr>
                <w:sz w:val="20"/>
              </w:rPr>
            </w:pPr>
            <w:r>
              <w:rPr>
                <w:sz w:val="20"/>
              </w:rPr>
              <w:t>КАСКО автомобиля</w:t>
            </w:r>
          </w:p>
        </w:tc>
        <w:tc>
          <w:tcPr>
            <w:tcW w:type="dxa" w:w="1021"/>
            <w:tcBorders>
              <w:top w:color="000000" w:sz="4" w:val="single"/>
              <w:left w:sz="4" w:val="nil"/>
              <w:bottom w:color="000000" w:sz="4" w:val="single"/>
              <w:right w:color="000000" w:sz="4" w:val="single"/>
            </w:tcBorders>
            <w:shd w:fill="FFFFFF" w:val="clear"/>
            <w:vAlign w:val="center"/>
          </w:tcPr>
          <w:p w14:paraId="08110000">
            <w:pPr>
              <w:widowControl w:val="1"/>
              <w:ind/>
              <w:contextualSpacing w:val="1"/>
              <w:jc w:val="center"/>
              <w:rPr>
                <w:sz w:val="20"/>
              </w:rPr>
            </w:pPr>
            <w:r>
              <w:rPr>
                <w:sz w:val="20"/>
              </w:rPr>
              <w:t>74250 руб. без НДС</w:t>
            </w:r>
          </w:p>
        </w:tc>
        <w:tc>
          <w:tcPr>
            <w:tcW w:type="dxa" w:w="1387"/>
            <w:tcBorders>
              <w:top w:color="000000" w:sz="4" w:val="single"/>
              <w:left w:sz="4" w:val="nil"/>
              <w:bottom w:color="000000" w:sz="4" w:val="single"/>
              <w:right w:color="000000" w:sz="4" w:val="single"/>
            </w:tcBorders>
            <w:shd w:fill="FFFFFF" w:val="clear"/>
            <w:vAlign w:val="center"/>
          </w:tcPr>
          <w:p w14:paraId="09110000">
            <w:pPr>
              <w:widowControl w:val="1"/>
              <w:ind/>
              <w:contextualSpacing w:val="1"/>
              <w:jc w:val="center"/>
              <w:rPr>
                <w:color w:val="000000"/>
                <w:sz w:val="20"/>
              </w:rPr>
            </w:pPr>
            <w:r>
              <w:rPr>
                <w:color w:val="000000"/>
                <w:sz w:val="20"/>
              </w:rPr>
              <w:t>Премия оплачивается единовременно</w:t>
            </w:r>
          </w:p>
        </w:tc>
        <w:tc>
          <w:tcPr>
            <w:tcW w:type="dxa" w:w="1163"/>
            <w:tcBorders>
              <w:top w:color="000000" w:sz="4" w:val="single"/>
              <w:left w:sz="4" w:val="nil"/>
              <w:bottom w:color="000000" w:sz="4" w:val="single"/>
              <w:right w:color="000000" w:sz="4" w:val="single"/>
            </w:tcBorders>
            <w:shd w:fill="FFFFFF" w:val="clear"/>
            <w:vAlign w:val="center"/>
          </w:tcPr>
          <w:p w14:paraId="0A110000">
            <w:pPr>
              <w:widowControl w:val="1"/>
              <w:ind/>
              <w:contextualSpacing w:val="1"/>
              <w:jc w:val="center"/>
              <w:rPr>
                <w:color w:val="000000"/>
                <w:sz w:val="20"/>
              </w:rPr>
            </w:pPr>
            <w:r>
              <w:rPr>
                <w:color w:val="000000"/>
                <w:sz w:val="20"/>
              </w:rPr>
              <w:t>Возмещение вреда ТС    1 500т.р.</w:t>
            </w:r>
          </w:p>
        </w:tc>
      </w:tr>
    </w:tbl>
    <w:p w14:paraId="0B110000">
      <w:pPr>
        <w:widowControl w:val="1"/>
        <w:tabs>
          <w:tab w:leader="none" w:pos="1680" w:val="left"/>
        </w:tabs>
        <w:spacing w:line="360" w:lineRule="auto"/>
        <w:ind w:firstLine="709"/>
        <w:contextualSpacing w:val="1"/>
        <w:jc w:val="both"/>
      </w:pPr>
    </w:p>
    <w:p w14:paraId="0C110000">
      <w:pPr>
        <w:widowControl w:val="1"/>
        <w:tabs>
          <w:tab w:leader="none" w:pos="1680" w:val="left"/>
        </w:tabs>
        <w:spacing w:line="360" w:lineRule="auto"/>
        <w:ind w:firstLine="709"/>
        <w:contextualSpacing w:val="1"/>
        <w:jc w:val="both"/>
      </w:pPr>
    </w:p>
    <w:p w14:paraId="0D110000">
      <w:pPr>
        <w:widowControl w:val="1"/>
        <w:tabs>
          <w:tab w:leader="none" w:pos="1680" w:val="left"/>
        </w:tabs>
        <w:spacing w:line="360" w:lineRule="auto"/>
        <w:ind w:firstLine="709"/>
        <w:contextualSpacing w:val="1"/>
        <w:jc w:val="both"/>
      </w:pPr>
    </w:p>
    <w:p w14:paraId="0E110000">
      <w:pPr>
        <w:widowControl w:val="1"/>
        <w:tabs>
          <w:tab w:leader="none" w:pos="1680" w:val="left"/>
        </w:tabs>
        <w:spacing w:line="360" w:lineRule="auto"/>
        <w:ind w:firstLine="709"/>
        <w:contextualSpacing w:val="1"/>
        <w:jc w:val="both"/>
      </w:pPr>
    </w:p>
    <w:p w14:paraId="0F110000">
      <w:bookmarkStart w:id="29" w:name="__RefHeading___24"/>
      <w:bookmarkEnd w:id="29"/>
      <w:pPr>
        <w:pStyle w:val="Style_10"/>
        <w:pageBreakBefore w:val="1"/>
        <w:widowControl w:val="1"/>
        <w:spacing w:after="0" w:before="0"/>
        <w:ind w:firstLine="709"/>
        <w:contextualSpacing w:val="1"/>
        <w:jc w:val="both"/>
        <w:rPr>
          <w:rFonts w:ascii="Times New Roman" w:hAnsi="Times New Roman"/>
          <w:i w:val="0"/>
          <w:sz w:val="24"/>
        </w:rPr>
      </w:pPr>
      <w:r>
        <w:rPr>
          <w:rFonts w:ascii="Times New Roman" w:hAnsi="Times New Roman"/>
          <w:i w:val="0"/>
          <w:sz w:val="24"/>
        </w:rPr>
        <w:t>5.6. Заключение аудитора Общества за 201</w:t>
      </w:r>
      <w:r>
        <w:rPr>
          <w:rFonts w:ascii="Times New Roman" w:hAnsi="Times New Roman"/>
          <w:i w:val="0"/>
          <w:sz w:val="24"/>
        </w:rPr>
        <w:t>8</w:t>
      </w:r>
      <w:r>
        <w:rPr>
          <w:rFonts w:ascii="Times New Roman" w:hAnsi="Times New Roman"/>
          <w:i w:val="0"/>
          <w:sz w:val="24"/>
        </w:rPr>
        <w:t xml:space="preserve"> </w:t>
      </w:r>
      <w:r>
        <w:rPr>
          <w:rFonts w:ascii="Times New Roman" w:hAnsi="Times New Roman"/>
          <w:i w:val="0"/>
          <w:sz w:val="24"/>
        </w:rPr>
        <w:t>год</w:t>
      </w:r>
    </w:p>
    <w:p w14:paraId="10110000">
      <w:pPr>
        <w:widowControl w:val="1"/>
        <w:ind w:firstLine="709"/>
        <w:contextualSpacing w:val="1"/>
      </w:pPr>
    </w:p>
    <w:p w14:paraId="11110000">
      <w:pPr>
        <w:widowControl w:val="1"/>
        <w:ind w:firstLine="709"/>
        <w:contextualSpacing w:val="1"/>
        <w:rPr>
          <w:highlight w:val="yellow"/>
        </w:rPr>
      </w:pPr>
    </w:p>
    <w:p w14:paraId="12110000">
      <w:pPr>
        <w:widowControl w:val="1"/>
        <w:spacing w:before="120"/>
        <w:ind w:firstLine="709"/>
        <w:contextualSpacing w:val="1"/>
        <w:rPr>
          <w:b w:val="1"/>
        </w:rPr>
      </w:pPr>
      <w:r>
        <w:rPr>
          <w:b w:val="1"/>
        </w:rPr>
        <w:t>07.02.2019 № 11-18</w:t>
      </w:r>
    </w:p>
    <w:p w14:paraId="13110000">
      <w:pPr>
        <w:widowControl w:val="1"/>
        <w:ind w:firstLine="709"/>
        <w:contextualSpacing w:val="1"/>
        <w:jc w:val="center"/>
        <w:rPr>
          <w:b w:val="1"/>
        </w:rPr>
      </w:pPr>
      <w:r>
        <w:rPr>
          <w:b w:val="1"/>
        </w:rPr>
        <w:t>АУДИТОРСКОЕ ЗАКЛЮЧЕНИЕ</w:t>
      </w:r>
    </w:p>
    <w:p w14:paraId="14110000">
      <w:pPr>
        <w:widowControl w:val="1"/>
        <w:ind w:firstLine="709"/>
        <w:contextualSpacing w:val="1"/>
        <w:jc w:val="center"/>
        <w:rPr>
          <w:b w:val="1"/>
        </w:rPr>
      </w:pPr>
      <w:r>
        <w:rPr>
          <w:b w:val="1"/>
        </w:rPr>
        <w:t>независимого аудитора</w:t>
      </w:r>
    </w:p>
    <w:p w14:paraId="15110000">
      <w:pPr>
        <w:widowControl w:val="1"/>
        <w:ind w:firstLine="709"/>
        <w:contextualSpacing w:val="1"/>
        <w:jc w:val="right"/>
      </w:pPr>
      <w:r>
        <w:t>Акционерам акционерного общества «Краспригород»</w:t>
      </w:r>
    </w:p>
    <w:p w14:paraId="16110000">
      <w:pPr>
        <w:widowControl w:val="1"/>
        <w:ind w:firstLine="709"/>
        <w:contextualSpacing w:val="1"/>
        <w:jc w:val="both"/>
        <w:rPr>
          <w:b w:val="1"/>
          <w:i w:val="1"/>
        </w:rPr>
      </w:pPr>
      <w:r>
        <w:rPr>
          <w:b w:val="1"/>
          <w:i w:val="1"/>
        </w:rPr>
        <w:t>Мнение</w:t>
      </w:r>
    </w:p>
    <w:p w14:paraId="17110000">
      <w:pPr>
        <w:widowControl w:val="1"/>
        <w:spacing w:after="80"/>
        <w:ind w:firstLine="709"/>
        <w:contextualSpacing w:val="1"/>
        <w:jc w:val="both"/>
      </w:pPr>
      <w:r>
        <w:t>Мы провели аудит прилагаемой годовой бухгалтерской (финансовой) отчетности акционерного общества «Краспригород» (ОГРН 1052460055746, 660021, город Красноярск, улица Горького, дом 3К, помещение 45, 52, 53), состоящей из бухгалтерского баланса по состоянию на 31 декабря 2018 года, отчета о финансовых результатах за 2018 год, приложений к бухгалтерскому балансу и отчету о финансовых результатах, в том числе отчета об изменениях капитала за 2018 год и отчета о движении денежных средств за 2018 год, пояснений к бухгалтерскому балансу и отчету о финансовых результатах за 2018 год.</w:t>
      </w:r>
    </w:p>
    <w:p w14:paraId="18110000">
      <w:pPr>
        <w:widowControl w:val="1"/>
        <w:ind w:firstLine="709"/>
        <w:contextualSpacing w:val="1"/>
        <w:jc w:val="both"/>
      </w:pPr>
      <w:r>
        <w:t>По нашему мнению, прилагаемая годовая бухгалтерская (финансовая) отчетность отражает достоверно во всех существенных аспектах финансовое положение акционерного общества «Краспригород» по состоянию на 31 декабря 2018 года, финансовые результаты его деятельности и движение денежных средств за 2018 год в соответствии с правилами составления бухгалтерской (финансовой) отчетности, установленными в Российской Федерации.</w:t>
      </w:r>
    </w:p>
    <w:p w14:paraId="19110000">
      <w:pPr>
        <w:widowControl w:val="1"/>
        <w:ind w:firstLine="709"/>
        <w:contextualSpacing w:val="1"/>
        <w:jc w:val="both"/>
        <w:rPr>
          <w:b w:val="1"/>
          <w:i w:val="1"/>
        </w:rPr>
      </w:pPr>
      <w:r>
        <w:rPr>
          <w:b w:val="1"/>
          <w:i w:val="1"/>
        </w:rPr>
        <w:t>Основание для выражения мнения</w:t>
      </w:r>
    </w:p>
    <w:p w14:paraId="1A110000">
      <w:pPr>
        <w:widowControl w:val="1"/>
        <w:ind w:firstLine="709"/>
        <w:contextualSpacing w:val="1"/>
        <w:jc w:val="both"/>
      </w:pPr>
      <w:r>
        <w:t>Мы провели аудит в соответствии с Международными стандартами аудита (МСА). Наша ответственность в соответствии с этими стандартами описана в разделе «Ответственность аудитора за аудит годовой бухгалтерской (финансовой) отчетности» настоящего заключения. Мы являемся независимыми по отношению к аудируемому лицу в соответствии с Правилами независимости аудиторов и аудиторских организаций и Кодексом профессиональной этики аудиторов, соответствующими Кодексу этики профессиональных бухгалтеров, разработанному Советом по международным стандартам этики для профессиональных бухгалтеров, и нами выполнены прочие иные обязанности в соответствии с этими требованиями профессиональной этики. Мы полагаем, что полученные нами аудиторские доказательства являются достаточными и надлежащими, чтобы служить основанием для выражения нашего мнения.</w:t>
      </w:r>
    </w:p>
    <w:p w14:paraId="1B110000">
      <w:pPr>
        <w:widowControl w:val="1"/>
        <w:ind w:firstLine="709"/>
        <w:contextualSpacing w:val="1"/>
        <w:jc w:val="both"/>
        <w:rPr>
          <w:b w:val="1"/>
          <w:i w:val="1"/>
        </w:rPr>
      </w:pPr>
      <w:r>
        <w:rPr>
          <w:b w:val="1"/>
          <w:i w:val="1"/>
        </w:rPr>
        <w:t>Существенная неопределенность в отношении непрерывности деятельности</w:t>
      </w:r>
    </w:p>
    <w:p w14:paraId="1C110000">
      <w:pPr>
        <w:widowControl w:val="1"/>
        <w:ind w:firstLine="709"/>
        <w:contextualSpacing w:val="1"/>
        <w:jc w:val="both"/>
      </w:pPr>
      <w:r>
        <w:t>Мы обращаем внимание на пункт 12 пояснений к бухгалтерскому балансу и отчету о финансовых результатах, в котором указано, что в результате полученных убытков акционерным обществом «Краспригород» в период 2008-2011 гг. в течение последних трех лет обязательства акционерного общества «Краспригород» превысили общую сумму ее активов, так превышение составляет на 31.12.2016 г. –155 485 тыс.руб., на 31.12.2017 – 143 833 тыс.руб., на 31.12.2018 –143 531 тыс. руб. Как отмечается в пункте 12 пояснений к бухгалтерскому балансу и отчету о финансовых результатах, данные события указывают на наличие существенной неопределенности, которая может вызвать значительные сомнения в способности акционерного общества «Краспригород» продолжать непрерывно свою деятельность. Мы не выражаем модифицированного мнения в связи с этим вопросом.</w:t>
      </w:r>
    </w:p>
    <w:p w14:paraId="1D110000">
      <w:pPr>
        <w:widowControl w:val="1"/>
        <w:spacing w:after="240" w:before="120"/>
        <w:ind w:firstLine="709"/>
        <w:contextualSpacing w:val="1"/>
        <w:jc w:val="both"/>
        <w:rPr>
          <w:b w:val="1"/>
          <w:i w:val="1"/>
        </w:rPr>
      </w:pPr>
      <w:r>
        <w:rPr>
          <w:b w:val="1"/>
          <w:i w:val="1"/>
        </w:rPr>
        <w:t>Ответственность руководства и членов совета директоров аудируемого лица за годовую бухгалтерскую (финансовую) отчетность</w:t>
      </w:r>
    </w:p>
    <w:p w14:paraId="1E110000">
      <w:pPr>
        <w:widowControl w:val="1"/>
        <w:ind w:firstLine="709"/>
        <w:contextualSpacing w:val="1"/>
        <w:jc w:val="both"/>
      </w:pPr>
      <w:r>
        <w:t>Руководство и члены совета директоров несут ответственность за подготовку и достоверное представление указанной годовой бухгалтерской (финансовой) отчетности в соответствии с правилами составления бухгалтерской (финансовой) отчетности, установленными в Российской Федерации, и за систему внутреннего контроля, которую руководство считает необходимой для подготовки годовой бухгалтерской (финансовой) отчетности, не содержащей существенных искажений вследствие недобросовестных действий или ошибок.</w:t>
      </w:r>
    </w:p>
    <w:p w14:paraId="1F110000">
      <w:pPr>
        <w:widowControl w:val="1"/>
        <w:ind w:firstLine="709"/>
        <w:contextualSpacing w:val="1"/>
        <w:jc w:val="both"/>
      </w:pPr>
      <w:r>
        <w:t>При подготовке годовой бухгалтерской (финансовой) отчетности руководство несет ответственность за оценку способности аудируемого лица продолжать непрерывно свою деятельность, за раскрытие в соответствующих случаях сведений, относящихся к непрерывности деятельности, и за составление отчетности на основе допущения о непрерывности деятельности, за исключением случаев, когда руководство намеревается ликвидировать аудируемое лицо, прекратить его деятельность или когда у него отсутствует какая-либо иная реальная альтернатива, кроме ликвидации или прекращения деятельности.</w:t>
      </w:r>
    </w:p>
    <w:p w14:paraId="20110000">
      <w:pPr>
        <w:widowControl w:val="1"/>
        <w:spacing w:after="240"/>
        <w:ind w:firstLine="709"/>
        <w:contextualSpacing w:val="1"/>
        <w:jc w:val="both"/>
      </w:pPr>
      <w:r>
        <w:t>Члены совета директоров несут ответственность за надзор за подготовкой годовой бухгалтерской отчетности аудируемого лица.</w:t>
      </w:r>
    </w:p>
    <w:p w14:paraId="21110000">
      <w:pPr>
        <w:widowControl w:val="1"/>
        <w:ind w:firstLine="709"/>
        <w:contextualSpacing w:val="1"/>
        <w:jc w:val="both"/>
        <w:rPr>
          <w:b w:val="1"/>
          <w:i w:val="1"/>
        </w:rPr>
      </w:pPr>
      <w:r>
        <w:rPr>
          <w:b w:val="1"/>
          <w:i w:val="1"/>
        </w:rPr>
        <w:t>Ответственность аудитора за аудит годовой бухгалтерской (финансовой) отчетности</w:t>
      </w:r>
    </w:p>
    <w:p w14:paraId="22110000">
      <w:pPr>
        <w:widowControl w:val="1"/>
        <w:ind w:firstLine="709"/>
        <w:contextualSpacing w:val="1"/>
        <w:jc w:val="both"/>
      </w:pPr>
      <w:r>
        <w:t>Наша цель состоит в получении разумной уверенности в том, что годовая бухгалтерская (финансовая) отчетность не содержит существенных искажений вследствие недобросовестных действий или ошибок, и в составлении аудиторского заключения, содержащего наше мнение. Разумная уверенность представляет собой высокую степень уверенности, но не является гарантией того, что аудит, проведенный в соответствии с МСА, всегда выявляет существенные искажения при их наличии. Искажения могут быть результатом недобросовестных действий или ошибок и считаются существенными, если можно обоснованно предположить, что в отдельности или в совокупности они могут повлиять на экономические решения пользователей, принимаемые на основе этой годовой бухгалтерской (финансовой) отчетности.</w:t>
      </w:r>
    </w:p>
    <w:p w14:paraId="23110000">
      <w:pPr>
        <w:widowControl w:val="1"/>
        <w:spacing w:after="80"/>
        <w:ind w:firstLine="709"/>
        <w:contextualSpacing w:val="1"/>
        <w:jc w:val="both"/>
      </w:pPr>
      <w:r>
        <w:t>В рамках аудита, проводимого в соответствии с МСА, мы применяем профессиональное суждение и сохраняем профессиональный скептицизм на протяжении всего аудита. Кроме того, мы:</w:t>
      </w:r>
    </w:p>
    <w:p w14:paraId="24110000">
      <w:pPr>
        <w:pStyle w:val="Style_15"/>
        <w:widowControl w:val="1"/>
        <w:numPr>
          <w:ilvl w:val="0"/>
          <w:numId w:val="29"/>
        </w:numPr>
        <w:spacing w:after="160" w:line="259" w:lineRule="auto"/>
        <w:ind w:firstLine="709" w:left="0"/>
        <w:jc w:val="both"/>
        <w:rPr>
          <w:rFonts w:ascii="Times New Roman" w:hAnsi="Times New Roman"/>
          <w:sz w:val="24"/>
        </w:rPr>
      </w:pPr>
      <w:r>
        <w:rPr>
          <w:rFonts w:ascii="Times New Roman" w:hAnsi="Times New Roman"/>
          <w:sz w:val="24"/>
        </w:rPr>
        <w:t xml:space="preserve">выявляем и оцениваем риски существенного искажения годовой бухгалтерской (финансовой) отчетности вследствие недобросовестных действий или ошибок; разрабатываем и проводим аудиторские процедуры в ответ на эти риски; получаем аудиторские доказательства, являющиеся достаточными и надлежащими, чтобы служить основанием для выражения нашего мнения. Риск необнаружения существенного искажения в результате недобросовестных действий выше, чем риск необнаружения существенного искажения в результате ошибки, так как недобросовестные действия могут включать сговор, подлог, умышленный пропуск, искаженное представление информации или действия в обход системы внутреннего контроля; </w:t>
      </w:r>
    </w:p>
    <w:p w14:paraId="25110000">
      <w:pPr>
        <w:pStyle w:val="Style_15"/>
        <w:widowControl w:val="1"/>
        <w:numPr>
          <w:ilvl w:val="0"/>
          <w:numId w:val="29"/>
        </w:numPr>
        <w:spacing w:after="160" w:line="259" w:lineRule="auto"/>
        <w:ind w:firstLine="709" w:left="0"/>
        <w:jc w:val="both"/>
        <w:rPr>
          <w:rFonts w:ascii="Times New Roman" w:hAnsi="Times New Roman"/>
          <w:sz w:val="24"/>
        </w:rPr>
      </w:pPr>
      <w:r>
        <w:rPr>
          <w:rFonts w:ascii="Times New Roman" w:hAnsi="Times New Roman"/>
          <w:sz w:val="24"/>
        </w:rPr>
        <w:t>получаем понимание системы внутреннего контроля, имеющей значение для аудита, с целью разработки аудиторских процедур, соответствующих обстоятельствам, но не с целью выражения мнения об эффективности системы внутреннего контроля аудируемого лица;</w:t>
      </w:r>
    </w:p>
    <w:p w14:paraId="26110000">
      <w:pPr>
        <w:pStyle w:val="Style_15"/>
        <w:widowControl w:val="1"/>
        <w:numPr>
          <w:ilvl w:val="0"/>
          <w:numId w:val="29"/>
        </w:numPr>
        <w:spacing w:after="160" w:line="259" w:lineRule="auto"/>
        <w:ind w:firstLine="709" w:left="0"/>
        <w:jc w:val="both"/>
        <w:rPr>
          <w:rFonts w:ascii="Times New Roman" w:hAnsi="Times New Roman"/>
          <w:sz w:val="24"/>
        </w:rPr>
      </w:pPr>
      <w:r>
        <w:rPr>
          <w:rFonts w:ascii="Times New Roman" w:hAnsi="Times New Roman"/>
          <w:sz w:val="24"/>
        </w:rPr>
        <w:t xml:space="preserve">оцениваем надлежащий характер применяемой учетной политики, обоснованность бухгалтерских оценок и соответствующего раскрытия информации, подготовленного руководством аудируемого лица; </w:t>
      </w:r>
    </w:p>
    <w:p w14:paraId="27110000">
      <w:pPr>
        <w:pStyle w:val="Style_15"/>
        <w:widowControl w:val="1"/>
        <w:numPr>
          <w:ilvl w:val="0"/>
          <w:numId w:val="29"/>
        </w:numPr>
        <w:spacing w:after="160" w:line="259" w:lineRule="auto"/>
        <w:ind w:firstLine="709" w:left="0"/>
        <w:jc w:val="both"/>
        <w:rPr>
          <w:rFonts w:ascii="Times New Roman" w:hAnsi="Times New Roman"/>
          <w:sz w:val="24"/>
        </w:rPr>
      </w:pPr>
      <w:r>
        <w:rPr>
          <w:rFonts w:ascii="Times New Roman" w:hAnsi="Times New Roman"/>
          <w:sz w:val="24"/>
        </w:rPr>
        <w:t>делаем вывод о правомерности применения руководством аудируемого лица допущения о непрерывности деятельности, а на основании полученных аудиторских доказательств – вывод о том, имеется ли существенная неопределенность в связи с событиями или условиями, в результате которых могут возникнуть значительные сомнения в способности аудируемого лица продолжать непрерывно свою деятельность. Если мы приходим к выводу о наличии существенной неопределенности, мы должны привлечь внимание в нашем аудиторском заключении к соответствующему раскрытию информации в годовой бухгалтерской (финансовой) отчетности или, если такое раскрытие информации является ненадлежащим, модифицировать наше мнение. Наши выводы основаны на аудиторских доказательствах, полученных до даты нашего аудиторского заключения. Однако будущие события или условия могут привести к тому, что аудируемое лицо утратит способность продолжать непрерывно свою деятельность;</w:t>
      </w:r>
    </w:p>
    <w:p w14:paraId="28110000">
      <w:pPr>
        <w:pStyle w:val="Style_15"/>
        <w:widowControl w:val="1"/>
        <w:numPr>
          <w:ilvl w:val="0"/>
          <w:numId w:val="29"/>
        </w:numPr>
        <w:spacing w:after="80" w:line="259" w:lineRule="auto"/>
        <w:ind w:firstLine="709" w:left="0"/>
        <w:jc w:val="both"/>
        <w:rPr>
          <w:rFonts w:ascii="Times New Roman" w:hAnsi="Times New Roman"/>
          <w:sz w:val="24"/>
        </w:rPr>
      </w:pPr>
      <w:r>
        <w:rPr>
          <w:rFonts w:ascii="Times New Roman" w:hAnsi="Times New Roman"/>
          <w:sz w:val="24"/>
        </w:rPr>
        <w:t>проводим оценку представления годовой бухгалтерской (финансовой) отчетности в целом, ее структуры и содержания, включая раскрытие информации, а также того, представляет ли годовая бухгалтерская (финансовая) отчетность лежащие в ее основе операции и события так, чтобы было обеспечено их достоверное представление.</w:t>
      </w:r>
    </w:p>
    <w:p w14:paraId="29110000">
      <w:pPr>
        <w:widowControl w:val="1"/>
        <w:ind w:firstLine="709"/>
        <w:contextualSpacing w:val="1"/>
        <w:jc w:val="both"/>
      </w:pPr>
      <w:r>
        <w:t>Мы осуществляем информационное взаимодействие с членами совета директоров аудируемого лица, доводя до их сведения, помимо прочего, информацию о запланированном объеме и сроках аудита, а также о существенных замечаниях по результатам аудита, в том числе о значительных недостатках системы внутреннего контроля, которые мы выявляем в процессе аудита.</w:t>
      </w:r>
    </w:p>
    <w:p w14:paraId="2A110000">
      <w:pPr>
        <w:widowControl w:val="1"/>
        <w:ind w:firstLine="709"/>
        <w:contextualSpacing w:val="1"/>
        <w:jc w:val="both"/>
      </w:pPr>
      <w:r>
        <w:t>Руководитель аудиторского задания, по результатам которого составлено аудиторское заключение независимого аудитора, Д.Н. Семин (квалификационный аттестат</w:t>
      </w:r>
      <w:r>
        <w:br/>
      </w:r>
      <w:r>
        <w:t>№ А031171 от 20.01.2010, срок действия не ограничен)</w:t>
      </w:r>
    </w:p>
    <w:p w14:paraId="2B110000">
      <w:pPr>
        <w:widowControl w:val="1"/>
        <w:tabs>
          <w:tab w:leader="none" w:pos="6946" w:val="left"/>
        </w:tabs>
        <w:ind w:firstLine="709"/>
        <w:contextualSpacing w:val="1"/>
      </w:pPr>
    </w:p>
    <w:p w14:paraId="2C110000">
      <w:pPr>
        <w:widowControl w:val="1"/>
        <w:tabs>
          <w:tab w:leader="none" w:pos="6946" w:val="left"/>
        </w:tabs>
        <w:ind w:firstLine="709"/>
        <w:contextualSpacing w:val="1"/>
      </w:pPr>
      <w:r>
        <w:t>Генеральный директор</w:t>
      </w:r>
      <w:r>
        <w:tab/>
      </w:r>
      <w:r>
        <w:t>С.К. Аверкина</w:t>
      </w:r>
    </w:p>
    <w:p w14:paraId="2D110000">
      <w:pPr>
        <w:widowControl w:val="1"/>
        <w:tabs>
          <w:tab w:leader="none" w:pos="6946" w:val="left"/>
        </w:tabs>
        <w:ind w:firstLine="709"/>
        <w:contextualSpacing w:val="1"/>
        <w:jc w:val="both"/>
      </w:pPr>
      <w:r>
        <w:tab/>
      </w:r>
    </w:p>
    <w:p w14:paraId="2E110000">
      <w:pPr>
        <w:widowControl w:val="1"/>
        <w:ind w:firstLine="709"/>
        <w:contextualSpacing w:val="1"/>
        <w:jc w:val="both"/>
      </w:pPr>
      <w:r>
        <w:t xml:space="preserve">Аудиторская организация: </w:t>
      </w:r>
    </w:p>
    <w:p w14:paraId="2F110000">
      <w:pPr>
        <w:pStyle w:val="Style_26"/>
        <w:widowControl w:val="1"/>
        <w:ind w:firstLine="709"/>
        <w:contextualSpacing w:val="1"/>
        <w:jc w:val="both"/>
        <w:rPr>
          <w:b w:val="0"/>
          <w:sz w:val="24"/>
        </w:rPr>
      </w:pPr>
      <w:r>
        <w:rPr>
          <w:b w:val="0"/>
          <w:sz w:val="24"/>
        </w:rPr>
        <w:t xml:space="preserve">общество с ограниченной ответственностью Аудиторская компания «Поиск» </w:t>
      </w:r>
    </w:p>
    <w:p w14:paraId="30110000">
      <w:pPr>
        <w:pStyle w:val="Style_26"/>
        <w:widowControl w:val="1"/>
        <w:ind w:firstLine="709"/>
        <w:contextualSpacing w:val="1"/>
        <w:jc w:val="both"/>
        <w:rPr>
          <w:b w:val="0"/>
          <w:sz w:val="24"/>
        </w:rPr>
      </w:pPr>
      <w:r>
        <w:rPr>
          <w:b w:val="0"/>
          <w:sz w:val="24"/>
        </w:rPr>
        <w:t>ОГРН 1022401792478</w:t>
      </w:r>
    </w:p>
    <w:p w14:paraId="31110000">
      <w:pPr>
        <w:pStyle w:val="Style_26"/>
        <w:widowControl w:val="1"/>
        <w:ind w:firstLine="709"/>
        <w:contextualSpacing w:val="1"/>
        <w:jc w:val="both"/>
        <w:rPr>
          <w:b w:val="0"/>
          <w:sz w:val="24"/>
        </w:rPr>
      </w:pPr>
      <w:r>
        <w:rPr>
          <w:b w:val="0"/>
          <w:sz w:val="24"/>
        </w:rPr>
        <w:t>660049, Красноярск, проспект Мира, дом 52А.</w:t>
      </w:r>
    </w:p>
    <w:p w14:paraId="32110000">
      <w:pPr>
        <w:pStyle w:val="Style_26"/>
        <w:widowControl w:val="1"/>
        <w:ind w:firstLine="709"/>
        <w:contextualSpacing w:val="1"/>
        <w:rPr>
          <w:b w:val="0"/>
          <w:sz w:val="24"/>
        </w:rPr>
      </w:pPr>
      <w:r>
        <w:rPr>
          <w:b w:val="0"/>
          <w:sz w:val="24"/>
        </w:rPr>
        <w:t xml:space="preserve">член </w:t>
      </w:r>
      <w:r>
        <w:rPr>
          <w:b w:val="0"/>
          <w:sz w:val="24"/>
        </w:rPr>
        <w:fldChar w:fldCharType="begin"/>
      </w:r>
      <w:r>
        <w:rPr>
          <w:b w:val="0"/>
          <w:sz w:val="24"/>
        </w:rPr>
        <w:instrText>HYPERLINK "http://sroapr.ru/docs/2015/ustav.pdf"</w:instrText>
      </w:r>
      <w:r>
        <w:rPr>
          <w:b w:val="0"/>
          <w:sz w:val="24"/>
        </w:rPr>
        <w:fldChar w:fldCharType="separate"/>
      </w:r>
      <w:r>
        <w:rPr>
          <w:b w:val="0"/>
          <w:sz w:val="24"/>
        </w:rPr>
        <w:t>саморегулируемой организации аудиторов Ассоциация «Содружество»</w:t>
      </w:r>
      <w:r>
        <w:rPr>
          <w:b w:val="0"/>
          <w:sz w:val="24"/>
        </w:rPr>
        <w:fldChar w:fldCharType="end"/>
      </w:r>
    </w:p>
    <w:p w14:paraId="33110000">
      <w:pPr>
        <w:pStyle w:val="Style_27"/>
        <w:widowControl w:val="1"/>
        <w:numPr>
          <w:ilvl w:val="0"/>
          <w:numId w:val="0"/>
        </w:numPr>
        <w:spacing w:after="0"/>
        <w:ind w:firstLine="709"/>
        <w:contextualSpacing w:val="1"/>
        <w:jc w:val="both"/>
        <w:rPr>
          <w:rFonts w:ascii="Times New Roman" w:hAnsi="Times New Roman"/>
        </w:rPr>
      </w:pPr>
      <w:r>
        <w:rPr>
          <w:rFonts w:ascii="Times New Roman" w:hAnsi="Times New Roman"/>
        </w:rPr>
        <w:t>ОРНЗ 11606057267</w:t>
      </w:r>
    </w:p>
    <w:p w14:paraId="34110000">
      <w:pPr>
        <w:pStyle w:val="Style_27"/>
        <w:widowControl w:val="1"/>
        <w:numPr>
          <w:ilvl w:val="0"/>
          <w:numId w:val="0"/>
        </w:numPr>
        <w:spacing w:after="0"/>
        <w:ind w:firstLine="709"/>
        <w:contextualSpacing w:val="1"/>
        <w:jc w:val="both"/>
        <w:rPr>
          <w:rFonts w:ascii="Times New Roman" w:hAnsi="Times New Roman"/>
        </w:rPr>
      </w:pPr>
    </w:p>
    <w:p w14:paraId="35110000">
      <w:pPr>
        <w:widowControl w:val="1"/>
        <w:ind w:firstLine="709"/>
        <w:contextualSpacing w:val="1"/>
        <w:jc w:val="both"/>
      </w:pPr>
      <w:r>
        <w:t>07 февраля 2019 года</w:t>
      </w:r>
    </w:p>
    <w:p w14:paraId="36110000">
      <w:bookmarkStart w:id="30" w:name="__RefHeading___25"/>
      <w:bookmarkEnd w:id="30"/>
      <w:pPr>
        <w:pStyle w:val="Style_7"/>
        <w:pageBreakBefore w:val="1"/>
        <w:widowControl w:val="1"/>
        <w:ind w:firstLine="709"/>
        <w:contextualSpacing w:val="1"/>
        <w:jc w:val="both"/>
        <w:rPr>
          <w:b w:val="1"/>
          <w:color w:val="000000"/>
          <w:sz w:val="24"/>
        </w:rPr>
      </w:pPr>
      <w:r>
        <w:rPr>
          <w:b w:val="1"/>
          <w:color w:val="000000"/>
          <w:sz w:val="24"/>
        </w:rPr>
        <w:t>Раздел 6. Распределение прибыли 201</w:t>
      </w:r>
      <w:r>
        <w:rPr>
          <w:b w:val="1"/>
          <w:color w:val="000000"/>
          <w:sz w:val="24"/>
        </w:rPr>
        <w:t>8</w:t>
      </w:r>
      <w:r>
        <w:rPr>
          <w:b w:val="1"/>
          <w:color w:val="000000"/>
          <w:sz w:val="24"/>
        </w:rPr>
        <w:t xml:space="preserve"> </w:t>
      </w:r>
      <w:r>
        <w:rPr>
          <w:b w:val="1"/>
          <w:color w:val="000000"/>
          <w:sz w:val="24"/>
        </w:rPr>
        <w:t xml:space="preserve">г. </w:t>
      </w:r>
      <w:r>
        <w:rPr>
          <w:b w:val="1"/>
          <w:color w:val="000000"/>
          <w:sz w:val="24"/>
        </w:rPr>
        <w:t>и дивидендная политика.</w:t>
      </w:r>
    </w:p>
    <w:p w14:paraId="37110000">
      <w:pPr>
        <w:pStyle w:val="Style_28"/>
        <w:widowControl w:val="1"/>
        <w:tabs>
          <w:tab w:leader="none" w:pos="851" w:val="left"/>
        </w:tabs>
        <w:ind w:firstLine="709"/>
        <w:contextualSpacing w:val="1"/>
        <w:jc w:val="right"/>
        <w:rPr>
          <w:b w:val="1"/>
          <w:sz w:val="24"/>
        </w:rPr>
      </w:pPr>
      <w:r>
        <w:rPr>
          <w:b w:val="1"/>
          <w:sz w:val="24"/>
        </w:rPr>
        <w:t>Та</w:t>
      </w:r>
      <w:r>
        <w:rPr>
          <w:b w:val="1"/>
          <w:sz w:val="24"/>
        </w:rPr>
        <w:t>б</w:t>
      </w:r>
      <w:r>
        <w:rPr>
          <w:b w:val="1"/>
          <w:sz w:val="24"/>
        </w:rPr>
        <w:t>лица 6.1.</w:t>
      </w:r>
    </w:p>
    <w:tbl>
      <w:tblPr>
        <w:tblStyle w:val="Style_4"/>
        <w:tblW w:type="auto" w:w="0"/>
        <w:tblInd w:type="dxa" w:w="93"/>
        <w:tblLayout w:type="fixed"/>
      </w:tblPr>
      <w:tblGrid>
        <w:gridCol w:w="4551"/>
        <w:gridCol w:w="1418"/>
        <w:gridCol w:w="1559"/>
        <w:gridCol w:w="1276"/>
        <w:gridCol w:w="1134"/>
      </w:tblGrid>
      <w:tr>
        <w:trPr>
          <w:trHeight w:hRule="atLeast" w:val="300"/>
        </w:trPr>
        <w:tc>
          <w:tcPr>
            <w:tcW w:type="dxa" w:w="4551"/>
            <w:tcBorders>
              <w:top w:color="000000" w:sz="4" w:val="single"/>
              <w:left w:color="000000" w:sz="4" w:val="single"/>
              <w:bottom w:color="000000" w:sz="4" w:val="single"/>
              <w:right w:color="000000" w:sz="4" w:val="single"/>
            </w:tcBorders>
            <w:shd w:fill="auto" w:val="clear"/>
            <w:vAlign w:val="center"/>
          </w:tcPr>
          <w:p w14:paraId="38110000">
            <w:pPr>
              <w:widowControl w:val="1"/>
              <w:ind w:firstLine="49"/>
              <w:contextualSpacing w:val="1"/>
              <w:rPr>
                <w:color w:val="000000"/>
              </w:rPr>
            </w:pPr>
            <w:r>
              <w:rPr>
                <w:color w:val="000000"/>
              </w:rPr>
              <w:t>Показатель</w:t>
            </w:r>
          </w:p>
        </w:tc>
        <w:tc>
          <w:tcPr>
            <w:tcW w:type="dxa" w:w="1418"/>
            <w:tcBorders>
              <w:top w:color="000000" w:sz="4" w:val="single"/>
              <w:left w:sz="4" w:val="nil"/>
              <w:bottom w:color="000000" w:sz="4" w:val="single"/>
              <w:right w:color="000000" w:sz="4" w:val="single"/>
            </w:tcBorders>
            <w:shd w:fill="auto" w:val="clear"/>
            <w:vAlign w:val="center"/>
          </w:tcPr>
          <w:p w14:paraId="39110000">
            <w:pPr>
              <w:widowControl w:val="1"/>
              <w:ind w:firstLine="49"/>
              <w:contextualSpacing w:val="1"/>
              <w:jc w:val="center"/>
              <w:rPr>
                <w:color w:val="000000"/>
              </w:rPr>
            </w:pPr>
            <w:r>
              <w:rPr>
                <w:color w:val="000000"/>
              </w:rPr>
              <w:t>Ед.изм.</w:t>
            </w:r>
          </w:p>
        </w:tc>
        <w:tc>
          <w:tcPr>
            <w:tcW w:type="dxa" w:w="1559"/>
            <w:tcBorders>
              <w:top w:color="000000" w:sz="4" w:val="single"/>
              <w:left w:sz="4" w:val="nil"/>
              <w:bottom w:color="000000" w:sz="4" w:val="single"/>
              <w:right w:color="000000" w:sz="4" w:val="single"/>
            </w:tcBorders>
            <w:shd w:fill="auto" w:val="clear"/>
            <w:vAlign w:val="bottom"/>
          </w:tcPr>
          <w:p w14:paraId="3A110000">
            <w:pPr>
              <w:widowControl w:val="1"/>
              <w:ind w:firstLine="49"/>
              <w:contextualSpacing w:val="1"/>
              <w:jc w:val="center"/>
              <w:rPr>
                <w:color w:val="000000"/>
              </w:rPr>
            </w:pPr>
            <w:r>
              <w:rPr>
                <w:color w:val="000000"/>
              </w:rPr>
              <w:t>2016</w:t>
            </w:r>
          </w:p>
        </w:tc>
        <w:tc>
          <w:tcPr>
            <w:tcW w:type="dxa" w:w="1276"/>
            <w:tcBorders>
              <w:top w:color="000000" w:sz="4" w:val="single"/>
              <w:left w:sz="4" w:val="nil"/>
              <w:bottom w:color="000000" w:sz="4" w:val="single"/>
              <w:right w:color="000000" w:sz="4" w:val="single"/>
            </w:tcBorders>
            <w:shd w:fill="auto" w:val="clear"/>
            <w:vAlign w:val="bottom"/>
          </w:tcPr>
          <w:p w14:paraId="3B110000">
            <w:pPr>
              <w:widowControl w:val="1"/>
              <w:ind w:firstLine="49"/>
              <w:contextualSpacing w:val="1"/>
              <w:jc w:val="center"/>
              <w:rPr>
                <w:color w:val="000000"/>
              </w:rPr>
            </w:pPr>
            <w:r>
              <w:rPr>
                <w:color w:val="000000"/>
              </w:rPr>
              <w:t>2017</w:t>
            </w:r>
          </w:p>
        </w:tc>
        <w:tc>
          <w:tcPr>
            <w:tcW w:type="dxa" w:w="1134"/>
            <w:tcBorders>
              <w:top w:color="000000" w:sz="4" w:val="single"/>
              <w:left w:sz="4" w:val="nil"/>
              <w:bottom w:color="000000" w:sz="4" w:val="single"/>
              <w:right w:color="000000" w:sz="4" w:val="single"/>
            </w:tcBorders>
            <w:shd w:fill="auto" w:val="clear"/>
            <w:vAlign w:val="bottom"/>
          </w:tcPr>
          <w:p w14:paraId="3C110000">
            <w:pPr>
              <w:widowControl w:val="1"/>
              <w:ind w:firstLine="49"/>
              <w:contextualSpacing w:val="1"/>
              <w:jc w:val="center"/>
              <w:rPr>
                <w:color w:val="000000"/>
              </w:rPr>
            </w:pPr>
            <w:r>
              <w:rPr>
                <w:color w:val="000000"/>
              </w:rPr>
              <w:t>2018</w:t>
            </w:r>
          </w:p>
        </w:tc>
      </w:tr>
      <w:tr>
        <w:trPr>
          <w:trHeight w:hRule="atLeast" w:val="300"/>
        </w:trPr>
        <w:tc>
          <w:tcPr>
            <w:tcW w:type="dxa" w:w="4551"/>
            <w:tcBorders>
              <w:top w:sz="4" w:val="nil"/>
              <w:left w:color="000000" w:sz="4" w:val="single"/>
              <w:bottom w:color="000000" w:sz="4" w:val="single"/>
              <w:right w:color="000000" w:sz="4" w:val="single"/>
            </w:tcBorders>
            <w:shd w:fill="auto" w:val="clear"/>
            <w:vAlign w:val="bottom"/>
          </w:tcPr>
          <w:p w14:paraId="3D110000">
            <w:pPr>
              <w:widowControl w:val="1"/>
              <w:ind w:firstLine="49"/>
              <w:contextualSpacing w:val="1"/>
              <w:rPr>
                <w:color w:val="000000"/>
              </w:rPr>
            </w:pPr>
            <w:r>
              <w:rPr>
                <w:color w:val="000000"/>
              </w:rPr>
              <w:t>Нераспределенная прибыль</w:t>
            </w:r>
          </w:p>
        </w:tc>
        <w:tc>
          <w:tcPr>
            <w:tcW w:type="dxa" w:w="1418"/>
            <w:tcBorders>
              <w:top w:sz="4" w:val="nil"/>
              <w:left w:sz="4" w:val="nil"/>
              <w:bottom w:color="000000" w:sz="4" w:val="single"/>
              <w:right w:color="000000" w:sz="4" w:val="single"/>
            </w:tcBorders>
            <w:shd w:fill="auto" w:val="clear"/>
            <w:vAlign w:val="bottom"/>
          </w:tcPr>
          <w:p w14:paraId="3E110000">
            <w:pPr>
              <w:widowControl w:val="1"/>
              <w:ind w:firstLine="49"/>
              <w:contextualSpacing w:val="1"/>
              <w:jc w:val="center"/>
              <w:rPr>
                <w:color w:val="000000"/>
              </w:rPr>
            </w:pPr>
            <w:r>
              <w:rPr>
                <w:color w:val="000000"/>
              </w:rPr>
              <w:t>тыс.руб.</w:t>
            </w:r>
          </w:p>
        </w:tc>
        <w:tc>
          <w:tcPr>
            <w:tcW w:type="dxa" w:w="1559"/>
            <w:tcBorders>
              <w:top w:sz="4" w:val="nil"/>
              <w:left w:sz="4" w:val="nil"/>
              <w:bottom w:color="000000" w:sz="4" w:val="single"/>
              <w:right w:color="000000" w:sz="4" w:val="single"/>
            </w:tcBorders>
            <w:shd w:fill="auto" w:val="clear"/>
            <w:vAlign w:val="bottom"/>
          </w:tcPr>
          <w:p w14:paraId="3F110000">
            <w:pPr>
              <w:widowControl w:val="1"/>
              <w:ind w:firstLine="49"/>
              <w:contextualSpacing w:val="1"/>
              <w:jc w:val="center"/>
              <w:rPr>
                <w:color w:val="000000"/>
              </w:rPr>
            </w:pPr>
            <w:r>
              <w:rPr>
                <w:color w:val="000000"/>
              </w:rPr>
              <w:t>0</w:t>
            </w:r>
          </w:p>
        </w:tc>
        <w:tc>
          <w:tcPr>
            <w:tcW w:type="dxa" w:w="1276"/>
            <w:tcBorders>
              <w:top w:sz="4" w:val="nil"/>
              <w:left w:sz="4" w:val="nil"/>
              <w:bottom w:color="000000" w:sz="4" w:val="single"/>
              <w:right w:color="000000" w:sz="4" w:val="single"/>
            </w:tcBorders>
            <w:shd w:fill="auto" w:val="clear"/>
            <w:vAlign w:val="bottom"/>
          </w:tcPr>
          <w:p w14:paraId="40110000">
            <w:pPr>
              <w:widowControl w:val="1"/>
              <w:ind w:firstLine="49"/>
              <w:contextualSpacing w:val="1"/>
              <w:jc w:val="center"/>
              <w:rPr>
                <w:color w:val="000000"/>
              </w:rPr>
            </w:pPr>
            <w:r>
              <w:rPr>
                <w:color w:val="000000"/>
              </w:rPr>
              <w:t>11</w:t>
            </w:r>
            <w:r>
              <w:rPr>
                <w:color w:val="000000"/>
              </w:rPr>
              <w:t xml:space="preserve"> </w:t>
            </w:r>
            <w:r>
              <w:rPr>
                <w:color w:val="000000"/>
              </w:rPr>
              <w:t>652</w:t>
            </w:r>
          </w:p>
        </w:tc>
        <w:tc>
          <w:tcPr>
            <w:tcW w:type="dxa" w:w="1134"/>
            <w:tcBorders>
              <w:top w:sz="4" w:val="nil"/>
              <w:left w:sz="4" w:val="nil"/>
              <w:bottom w:color="000000" w:sz="4" w:val="single"/>
              <w:right w:color="000000" w:sz="4" w:val="single"/>
            </w:tcBorders>
            <w:shd w:fill="auto" w:val="clear"/>
            <w:vAlign w:val="bottom"/>
          </w:tcPr>
          <w:p w14:paraId="41110000">
            <w:pPr>
              <w:widowControl w:val="1"/>
              <w:ind w:firstLine="49"/>
              <w:contextualSpacing w:val="1"/>
              <w:jc w:val="center"/>
              <w:rPr>
                <w:color w:val="000000"/>
              </w:rPr>
            </w:pPr>
            <w:r>
              <w:rPr>
                <w:color w:val="000000"/>
              </w:rPr>
              <w:t>302</w:t>
            </w:r>
          </w:p>
        </w:tc>
      </w:tr>
      <w:tr>
        <w:trPr>
          <w:trHeight w:hRule="atLeast" w:val="300"/>
        </w:trPr>
        <w:tc>
          <w:tcPr>
            <w:tcW w:type="dxa" w:w="4551"/>
            <w:tcBorders>
              <w:top w:sz="4" w:val="nil"/>
              <w:left w:color="000000" w:sz="4" w:val="single"/>
              <w:bottom w:color="000000" w:sz="4" w:val="single"/>
              <w:right w:color="000000" w:sz="4" w:val="single"/>
            </w:tcBorders>
            <w:shd w:fill="auto" w:val="clear"/>
            <w:vAlign w:val="bottom"/>
          </w:tcPr>
          <w:p w14:paraId="42110000">
            <w:pPr>
              <w:widowControl w:val="1"/>
              <w:ind w:firstLine="49"/>
              <w:contextualSpacing w:val="1"/>
              <w:rPr>
                <w:color w:val="000000"/>
              </w:rPr>
            </w:pPr>
            <w:r>
              <w:rPr>
                <w:color w:val="000000"/>
              </w:rPr>
              <w:t>Резервный фонд</w:t>
            </w:r>
          </w:p>
        </w:tc>
        <w:tc>
          <w:tcPr>
            <w:tcW w:type="dxa" w:w="1418"/>
            <w:tcBorders>
              <w:top w:sz="4" w:val="nil"/>
              <w:left w:sz="4" w:val="nil"/>
              <w:bottom w:color="000000" w:sz="4" w:val="single"/>
              <w:right w:color="000000" w:sz="4" w:val="single"/>
            </w:tcBorders>
            <w:shd w:fill="auto" w:val="clear"/>
            <w:vAlign w:val="bottom"/>
          </w:tcPr>
          <w:p w14:paraId="43110000">
            <w:pPr>
              <w:widowControl w:val="1"/>
              <w:ind w:firstLine="49"/>
              <w:contextualSpacing w:val="1"/>
              <w:jc w:val="center"/>
              <w:rPr>
                <w:color w:val="000000"/>
              </w:rPr>
            </w:pPr>
            <w:r>
              <w:rPr>
                <w:color w:val="000000"/>
              </w:rPr>
              <w:t>тыс.руб.</w:t>
            </w:r>
          </w:p>
        </w:tc>
        <w:tc>
          <w:tcPr>
            <w:tcW w:type="dxa" w:w="1559"/>
            <w:tcBorders>
              <w:top w:sz="4" w:val="nil"/>
              <w:left w:sz="4" w:val="nil"/>
              <w:bottom w:color="000000" w:sz="4" w:val="single"/>
              <w:right w:color="000000" w:sz="4" w:val="single"/>
            </w:tcBorders>
            <w:shd w:fill="auto" w:val="clear"/>
            <w:vAlign w:val="bottom"/>
          </w:tcPr>
          <w:p w14:paraId="44110000">
            <w:pPr>
              <w:widowControl w:val="1"/>
              <w:ind w:firstLine="49"/>
              <w:contextualSpacing w:val="1"/>
              <w:jc w:val="center"/>
              <w:rPr>
                <w:color w:val="000000"/>
              </w:rPr>
            </w:pPr>
            <w:r>
              <w:rPr>
                <w:color w:val="000000"/>
              </w:rPr>
              <w:t>0</w:t>
            </w:r>
          </w:p>
        </w:tc>
        <w:tc>
          <w:tcPr>
            <w:tcW w:type="dxa" w:w="1276"/>
            <w:tcBorders>
              <w:top w:sz="4" w:val="nil"/>
              <w:left w:sz="4" w:val="nil"/>
              <w:bottom w:color="000000" w:sz="4" w:val="single"/>
              <w:right w:color="000000" w:sz="4" w:val="single"/>
            </w:tcBorders>
            <w:shd w:fill="auto" w:val="clear"/>
            <w:vAlign w:val="bottom"/>
          </w:tcPr>
          <w:p w14:paraId="45110000">
            <w:pPr>
              <w:widowControl w:val="1"/>
              <w:ind w:firstLine="49"/>
              <w:contextualSpacing w:val="1"/>
              <w:jc w:val="center"/>
              <w:rPr>
                <w:color w:val="000000"/>
              </w:rPr>
            </w:pPr>
            <w:r>
              <w:rPr>
                <w:color w:val="000000"/>
              </w:rPr>
              <w:t> 0</w:t>
            </w:r>
          </w:p>
        </w:tc>
        <w:tc>
          <w:tcPr>
            <w:tcW w:type="dxa" w:w="1134"/>
            <w:tcBorders>
              <w:top w:sz="4" w:val="nil"/>
              <w:left w:sz="4" w:val="nil"/>
              <w:bottom w:color="000000" w:sz="4" w:val="single"/>
              <w:right w:color="000000" w:sz="4" w:val="single"/>
            </w:tcBorders>
            <w:shd w:fill="auto" w:val="clear"/>
            <w:vAlign w:val="bottom"/>
          </w:tcPr>
          <w:p w14:paraId="46110000">
            <w:pPr>
              <w:widowControl w:val="1"/>
              <w:ind w:firstLine="49"/>
              <w:contextualSpacing w:val="1"/>
              <w:jc w:val="center"/>
              <w:rPr>
                <w:color w:val="000000"/>
              </w:rPr>
            </w:pPr>
            <w:r>
              <w:rPr>
                <w:color w:val="000000"/>
              </w:rPr>
              <w:t> 0</w:t>
            </w:r>
          </w:p>
        </w:tc>
      </w:tr>
      <w:tr>
        <w:trPr>
          <w:trHeight w:hRule="atLeast" w:val="300"/>
        </w:trPr>
        <w:tc>
          <w:tcPr>
            <w:tcW w:type="dxa" w:w="4551"/>
            <w:tcBorders>
              <w:top w:sz="4" w:val="nil"/>
              <w:left w:color="000000" w:sz="4" w:val="single"/>
              <w:bottom w:color="000000" w:sz="4" w:val="single"/>
              <w:right w:color="000000" w:sz="4" w:val="single"/>
            </w:tcBorders>
            <w:shd w:fill="auto" w:val="clear"/>
            <w:vAlign w:val="bottom"/>
          </w:tcPr>
          <w:p w14:paraId="47110000">
            <w:pPr>
              <w:widowControl w:val="1"/>
              <w:ind w:firstLine="49"/>
              <w:contextualSpacing w:val="1"/>
              <w:rPr>
                <w:color w:val="000000"/>
              </w:rPr>
            </w:pPr>
            <w:r>
              <w:rPr>
                <w:color w:val="000000"/>
              </w:rPr>
              <w:t>Инвестиционные программы</w:t>
            </w:r>
          </w:p>
        </w:tc>
        <w:tc>
          <w:tcPr>
            <w:tcW w:type="dxa" w:w="1418"/>
            <w:tcBorders>
              <w:top w:sz="4" w:val="nil"/>
              <w:left w:sz="4" w:val="nil"/>
              <w:bottom w:color="000000" w:sz="4" w:val="single"/>
              <w:right w:color="000000" w:sz="4" w:val="single"/>
            </w:tcBorders>
            <w:shd w:fill="auto" w:val="clear"/>
            <w:vAlign w:val="bottom"/>
          </w:tcPr>
          <w:p w14:paraId="48110000">
            <w:pPr>
              <w:widowControl w:val="1"/>
              <w:ind w:firstLine="49"/>
              <w:contextualSpacing w:val="1"/>
              <w:jc w:val="center"/>
              <w:rPr>
                <w:color w:val="000000"/>
              </w:rPr>
            </w:pPr>
            <w:r>
              <w:rPr>
                <w:color w:val="000000"/>
              </w:rPr>
              <w:t>тыс.руб.</w:t>
            </w:r>
          </w:p>
        </w:tc>
        <w:tc>
          <w:tcPr>
            <w:tcW w:type="dxa" w:w="1559"/>
            <w:tcBorders>
              <w:top w:sz="4" w:val="nil"/>
              <w:left w:sz="4" w:val="nil"/>
              <w:bottom w:color="000000" w:sz="4" w:val="single"/>
              <w:right w:color="000000" w:sz="4" w:val="single"/>
            </w:tcBorders>
            <w:shd w:fill="auto" w:val="clear"/>
            <w:vAlign w:val="bottom"/>
          </w:tcPr>
          <w:p w14:paraId="49110000">
            <w:pPr>
              <w:widowControl w:val="1"/>
              <w:ind w:firstLine="49"/>
              <w:contextualSpacing w:val="1"/>
              <w:jc w:val="center"/>
              <w:rPr>
                <w:color w:val="000000"/>
              </w:rPr>
            </w:pPr>
            <w:r>
              <w:rPr>
                <w:color w:val="000000"/>
              </w:rPr>
              <w:t>1</w:t>
            </w:r>
            <w:r>
              <w:rPr>
                <w:color w:val="000000"/>
              </w:rPr>
              <w:t xml:space="preserve"> </w:t>
            </w:r>
            <w:r>
              <w:rPr>
                <w:color w:val="000000"/>
              </w:rPr>
              <w:t>905</w:t>
            </w:r>
          </w:p>
        </w:tc>
        <w:tc>
          <w:tcPr>
            <w:tcW w:type="dxa" w:w="1276"/>
            <w:tcBorders>
              <w:top w:sz="4" w:val="nil"/>
              <w:left w:sz="4" w:val="nil"/>
              <w:bottom w:color="000000" w:sz="4" w:val="single"/>
              <w:right w:color="000000" w:sz="4" w:val="single"/>
            </w:tcBorders>
            <w:shd w:fill="auto" w:val="clear"/>
            <w:vAlign w:val="bottom"/>
          </w:tcPr>
          <w:p w14:paraId="4A110000">
            <w:pPr>
              <w:widowControl w:val="1"/>
              <w:ind w:firstLine="49"/>
              <w:contextualSpacing w:val="1"/>
              <w:jc w:val="center"/>
              <w:rPr>
                <w:color w:val="000000"/>
              </w:rPr>
            </w:pPr>
            <w:r>
              <w:rPr>
                <w:color w:val="000000"/>
              </w:rPr>
              <w:t> 0</w:t>
            </w:r>
          </w:p>
        </w:tc>
        <w:tc>
          <w:tcPr>
            <w:tcW w:type="dxa" w:w="1134"/>
            <w:tcBorders>
              <w:top w:sz="4" w:val="nil"/>
              <w:left w:sz="4" w:val="nil"/>
              <w:bottom w:color="000000" w:sz="4" w:val="single"/>
              <w:right w:color="000000" w:sz="4" w:val="single"/>
            </w:tcBorders>
            <w:shd w:fill="auto" w:val="clear"/>
            <w:vAlign w:val="bottom"/>
          </w:tcPr>
          <w:p w14:paraId="4B110000">
            <w:pPr>
              <w:widowControl w:val="1"/>
              <w:ind w:firstLine="49"/>
              <w:contextualSpacing w:val="1"/>
              <w:jc w:val="center"/>
              <w:rPr>
                <w:color w:val="000000"/>
              </w:rPr>
            </w:pPr>
            <w:r>
              <w:rPr>
                <w:color w:val="000000"/>
              </w:rPr>
              <w:t> 0</w:t>
            </w:r>
          </w:p>
        </w:tc>
      </w:tr>
      <w:tr>
        <w:trPr>
          <w:trHeight w:hRule="atLeast" w:val="300"/>
        </w:trPr>
        <w:tc>
          <w:tcPr>
            <w:tcW w:type="dxa" w:w="4551"/>
            <w:tcBorders>
              <w:top w:sz="4" w:val="nil"/>
              <w:left w:color="000000" w:sz="4" w:val="single"/>
              <w:bottom w:color="000000" w:sz="4" w:val="single"/>
              <w:right w:color="000000" w:sz="4" w:val="single"/>
            </w:tcBorders>
            <w:shd w:fill="auto" w:val="clear"/>
            <w:vAlign w:val="bottom"/>
          </w:tcPr>
          <w:p w14:paraId="4C110000">
            <w:pPr>
              <w:widowControl w:val="1"/>
              <w:ind w:firstLine="49"/>
              <w:contextualSpacing w:val="1"/>
              <w:rPr>
                <w:color w:val="000000"/>
              </w:rPr>
            </w:pPr>
            <w:r>
              <w:rPr>
                <w:color w:val="000000"/>
              </w:rPr>
              <w:t>Социальные программы</w:t>
            </w:r>
          </w:p>
        </w:tc>
        <w:tc>
          <w:tcPr>
            <w:tcW w:type="dxa" w:w="1418"/>
            <w:tcBorders>
              <w:top w:sz="4" w:val="nil"/>
              <w:left w:sz="4" w:val="nil"/>
              <w:bottom w:color="000000" w:sz="4" w:val="single"/>
              <w:right w:color="000000" w:sz="4" w:val="single"/>
            </w:tcBorders>
            <w:shd w:fill="auto" w:val="clear"/>
            <w:vAlign w:val="bottom"/>
          </w:tcPr>
          <w:p w14:paraId="4D110000">
            <w:pPr>
              <w:widowControl w:val="1"/>
              <w:ind w:firstLine="49"/>
              <w:contextualSpacing w:val="1"/>
              <w:jc w:val="center"/>
              <w:rPr>
                <w:color w:val="000000"/>
              </w:rPr>
            </w:pPr>
            <w:r>
              <w:rPr>
                <w:color w:val="000000"/>
              </w:rPr>
              <w:t>тыс.руб.</w:t>
            </w:r>
          </w:p>
        </w:tc>
        <w:tc>
          <w:tcPr>
            <w:tcW w:type="dxa" w:w="1559"/>
            <w:tcBorders>
              <w:top w:sz="4" w:val="nil"/>
              <w:left w:sz="4" w:val="nil"/>
              <w:bottom w:color="000000" w:sz="4" w:val="single"/>
              <w:right w:color="000000" w:sz="4" w:val="single"/>
            </w:tcBorders>
            <w:shd w:fill="auto" w:val="clear"/>
            <w:vAlign w:val="bottom"/>
          </w:tcPr>
          <w:p w14:paraId="4E110000">
            <w:pPr>
              <w:widowControl w:val="1"/>
              <w:ind w:firstLine="49"/>
              <w:contextualSpacing w:val="1"/>
              <w:jc w:val="center"/>
              <w:rPr>
                <w:color w:val="000000"/>
              </w:rPr>
            </w:pPr>
            <w:r>
              <w:rPr>
                <w:color w:val="000000"/>
              </w:rPr>
              <w:t>0</w:t>
            </w:r>
          </w:p>
        </w:tc>
        <w:tc>
          <w:tcPr>
            <w:tcW w:type="dxa" w:w="1276"/>
            <w:tcBorders>
              <w:top w:sz="4" w:val="nil"/>
              <w:left w:sz="4" w:val="nil"/>
              <w:bottom w:color="000000" w:sz="4" w:val="single"/>
              <w:right w:color="000000" w:sz="4" w:val="single"/>
            </w:tcBorders>
            <w:shd w:fill="auto" w:val="clear"/>
            <w:vAlign w:val="bottom"/>
          </w:tcPr>
          <w:p w14:paraId="4F110000">
            <w:pPr>
              <w:widowControl w:val="1"/>
              <w:ind w:firstLine="49"/>
              <w:contextualSpacing w:val="1"/>
              <w:jc w:val="center"/>
              <w:rPr>
                <w:color w:val="000000"/>
              </w:rPr>
            </w:pPr>
            <w:r>
              <w:rPr>
                <w:color w:val="000000"/>
              </w:rPr>
              <w:t> 0</w:t>
            </w:r>
          </w:p>
        </w:tc>
        <w:tc>
          <w:tcPr>
            <w:tcW w:type="dxa" w:w="1134"/>
            <w:tcBorders>
              <w:top w:sz="4" w:val="nil"/>
              <w:left w:sz="4" w:val="nil"/>
              <w:bottom w:color="000000" w:sz="4" w:val="single"/>
              <w:right w:color="000000" w:sz="4" w:val="single"/>
            </w:tcBorders>
            <w:shd w:fill="auto" w:val="clear"/>
            <w:vAlign w:val="bottom"/>
          </w:tcPr>
          <w:p w14:paraId="50110000">
            <w:pPr>
              <w:widowControl w:val="1"/>
              <w:ind w:firstLine="49"/>
              <w:contextualSpacing w:val="1"/>
              <w:jc w:val="center"/>
              <w:rPr>
                <w:color w:val="000000"/>
              </w:rPr>
            </w:pPr>
            <w:r>
              <w:rPr>
                <w:color w:val="000000"/>
              </w:rPr>
              <w:t> 0</w:t>
            </w:r>
          </w:p>
        </w:tc>
      </w:tr>
      <w:tr>
        <w:trPr>
          <w:trHeight w:hRule="atLeast" w:val="300"/>
        </w:trPr>
        <w:tc>
          <w:tcPr>
            <w:tcW w:type="dxa" w:w="4551"/>
            <w:tcBorders>
              <w:top w:sz="4" w:val="nil"/>
              <w:left w:color="000000" w:sz="4" w:val="single"/>
              <w:bottom w:color="000000" w:sz="4" w:val="single"/>
              <w:right w:color="000000" w:sz="4" w:val="single"/>
            </w:tcBorders>
            <w:shd w:fill="auto" w:val="clear"/>
            <w:vAlign w:val="bottom"/>
          </w:tcPr>
          <w:p w14:paraId="51110000">
            <w:pPr>
              <w:widowControl w:val="1"/>
              <w:ind w:firstLine="49"/>
              <w:contextualSpacing w:val="1"/>
              <w:rPr>
                <w:color w:val="000000"/>
              </w:rPr>
            </w:pPr>
            <w:r>
              <w:rPr>
                <w:color w:val="000000"/>
              </w:rPr>
              <w:t>Дивиденды</w:t>
            </w:r>
          </w:p>
        </w:tc>
        <w:tc>
          <w:tcPr>
            <w:tcW w:type="dxa" w:w="1418"/>
            <w:tcBorders>
              <w:top w:sz="4" w:val="nil"/>
              <w:left w:sz="4" w:val="nil"/>
              <w:bottom w:color="000000" w:sz="4" w:val="single"/>
              <w:right w:color="000000" w:sz="4" w:val="single"/>
            </w:tcBorders>
            <w:shd w:fill="auto" w:val="clear"/>
            <w:vAlign w:val="bottom"/>
          </w:tcPr>
          <w:p w14:paraId="52110000">
            <w:pPr>
              <w:widowControl w:val="1"/>
              <w:ind w:firstLine="49"/>
              <w:contextualSpacing w:val="1"/>
              <w:jc w:val="center"/>
              <w:rPr>
                <w:color w:val="000000"/>
              </w:rPr>
            </w:pPr>
            <w:r>
              <w:rPr>
                <w:color w:val="000000"/>
              </w:rPr>
              <w:t>тыс.руб.</w:t>
            </w:r>
          </w:p>
        </w:tc>
        <w:tc>
          <w:tcPr>
            <w:tcW w:type="dxa" w:w="1559"/>
            <w:tcBorders>
              <w:top w:sz="4" w:val="nil"/>
              <w:left w:sz="4" w:val="nil"/>
              <w:bottom w:color="000000" w:sz="4" w:val="single"/>
              <w:right w:color="000000" w:sz="4" w:val="single"/>
            </w:tcBorders>
            <w:shd w:fill="auto" w:val="clear"/>
            <w:vAlign w:val="bottom"/>
          </w:tcPr>
          <w:p w14:paraId="53110000">
            <w:pPr>
              <w:widowControl w:val="1"/>
              <w:ind w:firstLine="49"/>
              <w:contextualSpacing w:val="1"/>
              <w:jc w:val="center"/>
              <w:rPr>
                <w:color w:val="000000"/>
              </w:rPr>
            </w:pPr>
            <w:r>
              <w:rPr>
                <w:color w:val="000000"/>
              </w:rPr>
              <w:t>0</w:t>
            </w:r>
          </w:p>
        </w:tc>
        <w:tc>
          <w:tcPr>
            <w:tcW w:type="dxa" w:w="1276"/>
            <w:tcBorders>
              <w:top w:sz="4" w:val="nil"/>
              <w:left w:sz="4" w:val="nil"/>
              <w:bottom w:color="000000" w:sz="4" w:val="single"/>
              <w:right w:color="000000" w:sz="4" w:val="single"/>
            </w:tcBorders>
            <w:shd w:fill="auto" w:val="clear"/>
            <w:vAlign w:val="bottom"/>
          </w:tcPr>
          <w:p w14:paraId="54110000">
            <w:pPr>
              <w:widowControl w:val="1"/>
              <w:ind w:firstLine="49"/>
              <w:contextualSpacing w:val="1"/>
              <w:jc w:val="center"/>
              <w:rPr>
                <w:color w:val="000000"/>
              </w:rPr>
            </w:pPr>
            <w:r>
              <w:rPr>
                <w:color w:val="000000"/>
              </w:rPr>
              <w:t> 0</w:t>
            </w:r>
          </w:p>
        </w:tc>
        <w:tc>
          <w:tcPr>
            <w:tcW w:type="dxa" w:w="1134"/>
            <w:tcBorders>
              <w:top w:sz="4" w:val="nil"/>
              <w:left w:sz="4" w:val="nil"/>
              <w:bottom w:color="000000" w:sz="4" w:val="single"/>
              <w:right w:color="000000" w:sz="4" w:val="single"/>
            </w:tcBorders>
            <w:shd w:fill="auto" w:val="clear"/>
            <w:vAlign w:val="bottom"/>
          </w:tcPr>
          <w:p w14:paraId="55110000">
            <w:pPr>
              <w:widowControl w:val="1"/>
              <w:ind w:firstLine="49"/>
              <w:contextualSpacing w:val="1"/>
              <w:jc w:val="center"/>
              <w:rPr>
                <w:color w:val="000000"/>
              </w:rPr>
            </w:pPr>
            <w:r>
              <w:rPr>
                <w:color w:val="000000"/>
              </w:rPr>
              <w:t> 0</w:t>
            </w:r>
          </w:p>
        </w:tc>
      </w:tr>
      <w:tr>
        <w:trPr>
          <w:trHeight w:hRule="atLeast" w:val="300"/>
        </w:trPr>
        <w:tc>
          <w:tcPr>
            <w:tcW w:type="dxa" w:w="4551"/>
            <w:tcBorders>
              <w:top w:sz="4" w:val="nil"/>
              <w:left w:color="000000" w:sz="4" w:val="single"/>
              <w:bottom w:color="000000" w:sz="4" w:val="single"/>
              <w:right w:color="000000" w:sz="4" w:val="single"/>
            </w:tcBorders>
            <w:shd w:fill="auto" w:val="clear"/>
            <w:vAlign w:val="bottom"/>
          </w:tcPr>
          <w:p w14:paraId="56110000">
            <w:pPr>
              <w:widowControl w:val="1"/>
              <w:ind w:firstLine="49"/>
              <w:contextualSpacing w:val="1"/>
              <w:rPr>
                <w:color w:val="000000"/>
              </w:rPr>
            </w:pPr>
            <w:r>
              <w:rPr>
                <w:color w:val="000000"/>
              </w:rPr>
              <w:t>Прочие цели</w:t>
            </w:r>
          </w:p>
        </w:tc>
        <w:tc>
          <w:tcPr>
            <w:tcW w:type="dxa" w:w="1418"/>
            <w:tcBorders>
              <w:top w:sz="4" w:val="nil"/>
              <w:left w:sz="4" w:val="nil"/>
              <w:bottom w:color="000000" w:sz="4" w:val="single"/>
              <w:right w:color="000000" w:sz="4" w:val="single"/>
            </w:tcBorders>
            <w:shd w:fill="auto" w:val="clear"/>
            <w:vAlign w:val="bottom"/>
          </w:tcPr>
          <w:p w14:paraId="57110000">
            <w:pPr>
              <w:widowControl w:val="1"/>
              <w:ind w:firstLine="49"/>
              <w:contextualSpacing w:val="1"/>
              <w:jc w:val="center"/>
              <w:rPr>
                <w:color w:val="000000"/>
              </w:rPr>
            </w:pPr>
            <w:r>
              <w:rPr>
                <w:color w:val="000000"/>
              </w:rPr>
              <w:t>тыс.руб.</w:t>
            </w:r>
          </w:p>
        </w:tc>
        <w:tc>
          <w:tcPr>
            <w:tcW w:type="dxa" w:w="1559"/>
            <w:tcBorders>
              <w:top w:sz="4" w:val="nil"/>
              <w:left w:sz="4" w:val="nil"/>
              <w:bottom w:color="000000" w:sz="4" w:val="single"/>
              <w:right w:color="000000" w:sz="4" w:val="single"/>
            </w:tcBorders>
            <w:shd w:fill="auto" w:val="clear"/>
            <w:vAlign w:val="bottom"/>
          </w:tcPr>
          <w:p w14:paraId="58110000">
            <w:pPr>
              <w:widowControl w:val="1"/>
              <w:ind w:firstLine="49"/>
              <w:contextualSpacing w:val="1"/>
              <w:jc w:val="center"/>
              <w:rPr>
                <w:color w:val="000000"/>
              </w:rPr>
            </w:pPr>
            <w:r>
              <w:rPr>
                <w:color w:val="000000"/>
              </w:rPr>
              <w:t>0</w:t>
            </w:r>
          </w:p>
        </w:tc>
        <w:tc>
          <w:tcPr>
            <w:tcW w:type="dxa" w:w="1276"/>
            <w:tcBorders>
              <w:top w:sz="4" w:val="nil"/>
              <w:left w:sz="4" w:val="nil"/>
              <w:bottom w:color="000000" w:sz="4" w:val="single"/>
              <w:right w:color="000000" w:sz="4" w:val="single"/>
            </w:tcBorders>
            <w:shd w:fill="auto" w:val="clear"/>
            <w:vAlign w:val="bottom"/>
          </w:tcPr>
          <w:p w14:paraId="59110000">
            <w:pPr>
              <w:widowControl w:val="1"/>
              <w:ind w:firstLine="49"/>
              <w:contextualSpacing w:val="1"/>
              <w:jc w:val="center"/>
              <w:rPr>
                <w:color w:val="000000"/>
              </w:rPr>
            </w:pPr>
            <w:r>
              <w:rPr>
                <w:color w:val="000000"/>
              </w:rPr>
              <w:t> 0</w:t>
            </w:r>
          </w:p>
        </w:tc>
        <w:tc>
          <w:tcPr>
            <w:tcW w:type="dxa" w:w="1134"/>
            <w:tcBorders>
              <w:top w:sz="4" w:val="nil"/>
              <w:left w:sz="4" w:val="nil"/>
              <w:bottom w:color="000000" w:sz="4" w:val="single"/>
              <w:right w:color="000000" w:sz="4" w:val="single"/>
            </w:tcBorders>
            <w:shd w:fill="auto" w:val="clear"/>
            <w:vAlign w:val="bottom"/>
          </w:tcPr>
          <w:p w14:paraId="5A110000">
            <w:pPr>
              <w:widowControl w:val="1"/>
              <w:ind w:firstLine="49"/>
              <w:contextualSpacing w:val="1"/>
              <w:jc w:val="center"/>
              <w:rPr>
                <w:color w:val="000000"/>
              </w:rPr>
            </w:pPr>
            <w:r>
              <w:rPr>
                <w:color w:val="000000"/>
              </w:rPr>
              <w:t>302</w:t>
            </w:r>
          </w:p>
        </w:tc>
      </w:tr>
    </w:tbl>
    <w:p w14:paraId="5B110000">
      <w:pPr>
        <w:pStyle w:val="Style_28"/>
        <w:widowControl w:val="1"/>
        <w:tabs>
          <w:tab w:leader="none" w:pos="851" w:val="left"/>
        </w:tabs>
        <w:ind w:firstLine="709"/>
        <w:contextualSpacing w:val="1"/>
        <w:jc w:val="both"/>
        <w:rPr>
          <w:b w:val="1"/>
          <w:sz w:val="24"/>
        </w:rPr>
      </w:pPr>
    </w:p>
    <w:p w14:paraId="5C110000">
      <w:pPr>
        <w:pStyle w:val="Style_28"/>
        <w:widowControl w:val="1"/>
        <w:tabs>
          <w:tab w:leader="none" w:pos="851" w:val="left"/>
        </w:tabs>
        <w:spacing w:line="360" w:lineRule="auto"/>
        <w:ind w:firstLine="709"/>
        <w:contextualSpacing w:val="1"/>
        <w:jc w:val="both"/>
        <w:rPr>
          <w:sz w:val="24"/>
        </w:rPr>
      </w:pPr>
      <w:r>
        <w:rPr>
          <w:sz w:val="24"/>
        </w:rPr>
        <w:t>Распределение чистой прибыли, полученной по результатам 201</w:t>
      </w:r>
      <w:r>
        <w:rPr>
          <w:sz w:val="24"/>
        </w:rPr>
        <w:t>8</w:t>
      </w:r>
      <w:r>
        <w:rPr>
          <w:sz w:val="24"/>
        </w:rPr>
        <w:t xml:space="preserve"> года в сумме </w:t>
      </w:r>
      <w:r>
        <w:rPr>
          <w:sz w:val="24"/>
        </w:rPr>
        <w:t xml:space="preserve"> </w:t>
      </w:r>
      <w:r>
        <w:rPr>
          <w:sz w:val="24"/>
        </w:rPr>
        <w:t>302</w:t>
      </w:r>
      <w:r>
        <w:rPr>
          <w:sz w:val="24"/>
        </w:rPr>
        <w:t xml:space="preserve"> </w:t>
      </w:r>
      <w:r>
        <w:rPr>
          <w:sz w:val="24"/>
        </w:rPr>
        <w:t>тыс.</w:t>
      </w:r>
      <w:r>
        <w:rPr>
          <w:sz w:val="24"/>
        </w:rPr>
        <w:t xml:space="preserve"> </w:t>
      </w:r>
      <w:r>
        <w:rPr>
          <w:sz w:val="24"/>
        </w:rPr>
        <w:t>руб.</w:t>
      </w:r>
      <w:r>
        <w:rPr>
          <w:sz w:val="24"/>
        </w:rPr>
        <w:t>,</w:t>
      </w:r>
      <w:r>
        <w:rPr>
          <w:sz w:val="24"/>
        </w:rPr>
        <w:t xml:space="preserve"> будет утверждаться годовым общим собранием акционеров АО </w:t>
      </w:r>
      <w:r>
        <w:rPr>
          <w:sz w:val="24"/>
        </w:rPr>
        <w:t>«Краспригород» в июне 201</w:t>
      </w:r>
      <w:r>
        <w:rPr>
          <w:sz w:val="24"/>
        </w:rPr>
        <w:t>9</w:t>
      </w:r>
      <w:r>
        <w:rPr>
          <w:sz w:val="24"/>
        </w:rPr>
        <w:t xml:space="preserve"> </w:t>
      </w:r>
      <w:r>
        <w:rPr>
          <w:sz w:val="24"/>
        </w:rPr>
        <w:t>года.</w:t>
      </w:r>
      <w:r>
        <w:rPr>
          <w:sz w:val="24"/>
        </w:rPr>
        <w:t xml:space="preserve"> </w:t>
      </w:r>
    </w:p>
    <w:p w14:paraId="5D110000">
      <w:pPr>
        <w:pStyle w:val="Style_28"/>
        <w:widowControl w:val="1"/>
        <w:tabs>
          <w:tab w:leader="none" w:pos="851" w:val="left"/>
        </w:tabs>
        <w:spacing w:line="360" w:lineRule="auto"/>
        <w:ind w:firstLine="709"/>
        <w:contextualSpacing w:val="1"/>
        <w:jc w:val="both"/>
        <w:rPr>
          <w:sz w:val="24"/>
        </w:rPr>
      </w:pPr>
    </w:p>
    <w:p w14:paraId="5E110000">
      <w:bookmarkStart w:id="31" w:name="__RefHeading___26"/>
      <w:bookmarkEnd w:id="31"/>
      <w:pPr>
        <w:pStyle w:val="Style_7"/>
        <w:widowControl w:val="1"/>
        <w:spacing w:line="360" w:lineRule="auto"/>
        <w:ind w:firstLine="709"/>
        <w:contextualSpacing w:val="1"/>
        <w:jc w:val="both"/>
        <w:rPr>
          <w:b w:val="1"/>
          <w:color w:val="000000"/>
          <w:sz w:val="24"/>
        </w:rPr>
      </w:pPr>
      <w:r>
        <w:rPr>
          <w:b w:val="1"/>
          <w:color w:val="000000"/>
          <w:sz w:val="24"/>
        </w:rPr>
        <w:t>Раздел 7. Инвестиционная деятельность</w:t>
      </w:r>
    </w:p>
    <w:p w14:paraId="5F110000">
      <w:pPr>
        <w:widowControl w:val="1"/>
        <w:spacing w:line="360" w:lineRule="auto"/>
        <w:ind w:firstLine="709"/>
        <w:contextualSpacing w:val="1"/>
        <w:jc w:val="right"/>
      </w:pPr>
      <w:r>
        <w:t xml:space="preserve">Таблица </w:t>
      </w:r>
      <w:r>
        <w:t>7.1</w:t>
      </w:r>
      <w:r>
        <w:t>.</w:t>
      </w:r>
    </w:p>
    <w:p w14:paraId="60110000">
      <w:pPr>
        <w:widowControl w:val="1"/>
        <w:ind w:firstLine="709"/>
        <w:contextualSpacing w:val="1"/>
        <w:jc w:val="center"/>
      </w:pPr>
      <w:r>
        <w:t>Выполнение инвестиционной программы 201</w:t>
      </w:r>
      <w:r>
        <w:t>8</w:t>
      </w:r>
      <w:r>
        <w:t xml:space="preserve"> года</w:t>
      </w:r>
    </w:p>
    <w:p w14:paraId="61110000">
      <w:pPr>
        <w:widowControl w:val="1"/>
        <w:ind w:firstLine="709"/>
        <w:contextualSpacing w:val="1"/>
        <w:jc w:val="center"/>
      </w:pPr>
    </w:p>
    <w:tbl>
      <w:tblPr>
        <w:tblStyle w:val="Style_4"/>
        <w:tblW w:type="auto" w:w="0"/>
        <w:tblInd w:type="dxa" w:w="103"/>
        <w:tblLayout w:type="fixed"/>
      </w:tblPr>
      <w:tblGrid>
        <w:gridCol w:w="2132"/>
        <w:gridCol w:w="1134"/>
        <w:gridCol w:w="1275"/>
        <w:gridCol w:w="1276"/>
        <w:gridCol w:w="1449"/>
        <w:gridCol w:w="2662"/>
      </w:tblGrid>
      <w:tr>
        <w:trPr>
          <w:trHeight w:hRule="atLeast" w:val="555"/>
        </w:trPr>
        <w:tc>
          <w:tcPr>
            <w:tcW w:type="dxa" w:w="2132"/>
            <w:vMerge w:val="restart"/>
            <w:tcBorders>
              <w:top w:color="000000" w:sz="4" w:val="single"/>
              <w:left w:color="000000" w:sz="4" w:val="single"/>
              <w:bottom w:color="000000" w:sz="4" w:val="single"/>
              <w:right w:color="000000" w:sz="4" w:val="single"/>
            </w:tcBorders>
            <w:shd w:fill="auto" w:val="clear"/>
            <w:vAlign w:val="center"/>
          </w:tcPr>
          <w:p w14:paraId="62110000">
            <w:pPr>
              <w:widowControl w:val="1"/>
              <w:ind w:firstLine="39"/>
              <w:contextualSpacing w:val="1"/>
              <w:jc w:val="center"/>
              <w:rPr>
                <w:color w:val="000000"/>
              </w:rPr>
            </w:pPr>
            <w:r>
              <w:rPr>
                <w:color w:val="000000"/>
              </w:rPr>
              <w:t>Наименование инвестиционных проектов</w:t>
            </w:r>
          </w:p>
        </w:tc>
        <w:tc>
          <w:tcPr>
            <w:tcW w:type="dxa" w:w="2409"/>
            <w:gridSpan w:val="2"/>
            <w:tcBorders>
              <w:top w:color="000000" w:sz="4" w:val="single"/>
              <w:left w:sz="4" w:val="nil"/>
              <w:bottom w:color="000000" w:sz="4" w:val="single"/>
              <w:right w:color="000000" w:sz="4" w:val="single"/>
            </w:tcBorders>
            <w:shd w:fill="auto" w:val="clear"/>
            <w:vAlign w:val="center"/>
          </w:tcPr>
          <w:p w14:paraId="63110000">
            <w:pPr>
              <w:widowControl w:val="1"/>
              <w:ind w:firstLine="39"/>
              <w:contextualSpacing w:val="1"/>
              <w:jc w:val="center"/>
              <w:rPr>
                <w:color w:val="000000"/>
              </w:rPr>
            </w:pPr>
            <w:r>
              <w:rPr>
                <w:color w:val="000000"/>
              </w:rPr>
              <w:t>План 2018 г.</w:t>
            </w:r>
          </w:p>
        </w:tc>
        <w:tc>
          <w:tcPr>
            <w:tcW w:type="dxa" w:w="1276"/>
            <w:tcBorders>
              <w:top w:color="000000" w:sz="4" w:val="single"/>
              <w:left w:sz="4" w:val="nil"/>
              <w:bottom w:color="000000" w:sz="4" w:val="single"/>
              <w:right w:color="000000" w:sz="4" w:val="single"/>
            </w:tcBorders>
            <w:shd w:fill="auto" w:val="clear"/>
            <w:vAlign w:val="center"/>
          </w:tcPr>
          <w:p w14:paraId="64110000">
            <w:pPr>
              <w:widowControl w:val="1"/>
              <w:ind w:firstLine="39"/>
              <w:contextualSpacing w:val="1"/>
              <w:jc w:val="center"/>
              <w:rPr>
                <w:color w:val="000000"/>
              </w:rPr>
            </w:pPr>
            <w:r>
              <w:rPr>
                <w:color w:val="000000"/>
              </w:rPr>
              <w:t>Факт 2018г.</w:t>
            </w:r>
          </w:p>
        </w:tc>
        <w:tc>
          <w:tcPr>
            <w:tcW w:type="dxa" w:w="1449"/>
            <w:tcBorders>
              <w:top w:color="000000" w:sz="4" w:val="single"/>
              <w:left w:sz="4" w:val="nil"/>
              <w:bottom w:color="000000" w:sz="4" w:val="single"/>
              <w:right w:color="000000" w:sz="4" w:val="single"/>
            </w:tcBorders>
            <w:shd w:fill="auto" w:val="clear"/>
            <w:vAlign w:val="center"/>
          </w:tcPr>
          <w:p w14:paraId="65110000">
            <w:pPr>
              <w:widowControl w:val="1"/>
              <w:ind w:firstLine="39"/>
              <w:contextualSpacing w:val="1"/>
              <w:jc w:val="center"/>
              <w:rPr>
                <w:color w:val="000000"/>
              </w:rPr>
            </w:pPr>
            <w:r>
              <w:rPr>
                <w:color w:val="000000"/>
              </w:rPr>
              <w:t>Отклонение</w:t>
            </w:r>
          </w:p>
        </w:tc>
        <w:tc>
          <w:tcPr>
            <w:tcW w:type="dxa" w:w="2662"/>
            <w:vMerge w:val="restart"/>
            <w:tcBorders>
              <w:top w:color="000000" w:sz="4" w:val="single"/>
              <w:left w:color="000000" w:sz="4" w:val="single"/>
              <w:bottom w:color="000000" w:sz="4" w:val="single"/>
              <w:right w:color="000000" w:sz="4" w:val="single"/>
            </w:tcBorders>
            <w:shd w:fill="auto" w:val="clear"/>
            <w:vAlign w:val="center"/>
          </w:tcPr>
          <w:p w14:paraId="66110000">
            <w:pPr>
              <w:widowControl w:val="1"/>
              <w:ind w:firstLine="39"/>
              <w:contextualSpacing w:val="1"/>
              <w:jc w:val="center"/>
              <w:rPr>
                <w:color w:val="000000"/>
              </w:rPr>
            </w:pPr>
            <w:r>
              <w:rPr>
                <w:color w:val="000000"/>
              </w:rPr>
              <w:t>Примечание</w:t>
            </w:r>
          </w:p>
        </w:tc>
      </w:tr>
      <w:tr>
        <w:trPr>
          <w:trHeight w:hRule="atLeast" w:val="660"/>
        </w:trPr>
        <w:tc>
          <w:tcPr>
            <w:tcW w:type="dxa" w:w="2132"/>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1134"/>
            <w:tcBorders>
              <w:top w:sz="4" w:val="nil"/>
              <w:left w:sz="4" w:val="nil"/>
              <w:bottom w:color="000000" w:sz="4" w:val="single"/>
              <w:right w:color="000000" w:sz="4" w:val="single"/>
            </w:tcBorders>
            <w:shd w:fill="auto" w:val="clear"/>
            <w:vAlign w:val="center"/>
          </w:tcPr>
          <w:p w14:paraId="67110000">
            <w:pPr>
              <w:widowControl w:val="1"/>
              <w:ind w:firstLine="39"/>
              <w:contextualSpacing w:val="1"/>
              <w:jc w:val="center"/>
              <w:rPr>
                <w:color w:val="000000"/>
              </w:rPr>
            </w:pPr>
            <w:r>
              <w:rPr>
                <w:color w:val="000000"/>
              </w:rPr>
              <w:t>количество, шт.</w:t>
            </w:r>
          </w:p>
        </w:tc>
        <w:tc>
          <w:tcPr>
            <w:tcW w:type="dxa" w:w="1275"/>
            <w:tcBorders>
              <w:top w:sz="4" w:val="nil"/>
              <w:left w:sz="4" w:val="nil"/>
              <w:bottom w:color="000000" w:sz="4" w:val="single"/>
              <w:right w:color="000000" w:sz="4" w:val="single"/>
            </w:tcBorders>
            <w:shd w:fill="auto" w:val="clear"/>
            <w:vAlign w:val="center"/>
          </w:tcPr>
          <w:p w14:paraId="68110000">
            <w:pPr>
              <w:widowControl w:val="1"/>
              <w:ind w:firstLine="39"/>
              <w:contextualSpacing w:val="1"/>
              <w:jc w:val="center"/>
              <w:rPr>
                <w:color w:val="000000"/>
              </w:rPr>
            </w:pPr>
            <w:r>
              <w:rPr>
                <w:color w:val="000000"/>
              </w:rPr>
              <w:t>тыс. руб.</w:t>
            </w:r>
          </w:p>
        </w:tc>
        <w:tc>
          <w:tcPr>
            <w:tcW w:type="dxa" w:w="1276"/>
            <w:tcBorders>
              <w:top w:sz="4" w:val="nil"/>
              <w:left w:sz="4" w:val="nil"/>
              <w:bottom w:color="000000" w:sz="4" w:val="single"/>
              <w:right w:color="000000" w:sz="4" w:val="single"/>
            </w:tcBorders>
            <w:shd w:fill="auto" w:val="clear"/>
            <w:vAlign w:val="center"/>
          </w:tcPr>
          <w:p w14:paraId="69110000">
            <w:pPr>
              <w:widowControl w:val="1"/>
              <w:ind w:firstLine="39"/>
              <w:contextualSpacing w:val="1"/>
              <w:jc w:val="center"/>
              <w:rPr>
                <w:color w:val="000000"/>
              </w:rPr>
            </w:pPr>
            <w:r>
              <w:rPr>
                <w:color w:val="000000"/>
              </w:rPr>
              <w:t>тыс. руб.</w:t>
            </w:r>
          </w:p>
        </w:tc>
        <w:tc>
          <w:tcPr>
            <w:tcW w:type="dxa" w:w="1449"/>
            <w:tcBorders>
              <w:top w:sz="4" w:val="nil"/>
              <w:left w:sz="4" w:val="nil"/>
              <w:bottom w:color="000000" w:sz="4" w:val="single"/>
              <w:right w:color="000000" w:sz="4" w:val="single"/>
            </w:tcBorders>
            <w:shd w:fill="auto" w:val="clear"/>
            <w:vAlign w:val="center"/>
          </w:tcPr>
          <w:p w14:paraId="6A110000">
            <w:pPr>
              <w:widowControl w:val="1"/>
              <w:ind w:firstLine="39"/>
              <w:contextualSpacing w:val="1"/>
              <w:jc w:val="center"/>
              <w:rPr>
                <w:color w:val="000000"/>
              </w:rPr>
            </w:pPr>
            <w:r>
              <w:rPr>
                <w:color w:val="000000"/>
              </w:rPr>
              <w:t>тыс. руб.</w:t>
            </w:r>
          </w:p>
        </w:tc>
        <w:tc>
          <w:tcPr>
            <w:tcW w:type="dxa" w:w="2662"/>
            <w:gridSpan w:val="1"/>
            <w:vMerge w:val="continue"/>
            <w:tcBorders>
              <w:top w:color="000000" w:sz="4" w:val="single"/>
              <w:left w:color="000000" w:sz="4" w:val="single"/>
              <w:bottom w:color="000000" w:sz="4" w:val="single"/>
              <w:right w:color="000000" w:sz="4" w:val="single"/>
            </w:tcBorders>
            <w:shd w:fill="auto" w:val="clear"/>
            <w:vAlign w:val="center"/>
          </w:tcPr>
          <w:p/>
        </w:tc>
      </w:tr>
      <w:tr>
        <w:trPr>
          <w:trHeight w:hRule="atLeast" w:val="660"/>
        </w:trPr>
        <w:tc>
          <w:tcPr>
            <w:tcW w:type="dxa" w:w="2132"/>
            <w:tcBorders>
              <w:top w:sz="4" w:val="nil"/>
              <w:left w:color="000000" w:sz="4" w:val="single"/>
              <w:bottom w:color="000000" w:sz="4" w:val="single"/>
              <w:right w:color="000000" w:sz="4" w:val="single"/>
            </w:tcBorders>
            <w:shd w:fill="auto" w:val="clear"/>
            <w:vAlign w:val="center"/>
          </w:tcPr>
          <w:p w14:paraId="6B110000">
            <w:pPr>
              <w:widowControl w:val="1"/>
              <w:ind w:firstLine="39"/>
              <w:contextualSpacing w:val="1"/>
              <w:jc w:val="center"/>
              <w:rPr>
                <w:b w:val="1"/>
                <w:color w:val="000000"/>
              </w:rPr>
            </w:pPr>
            <w:r>
              <w:rPr>
                <w:b w:val="1"/>
                <w:color w:val="000000"/>
              </w:rPr>
              <w:t>Итого освоение средств</w:t>
            </w:r>
          </w:p>
        </w:tc>
        <w:tc>
          <w:tcPr>
            <w:tcW w:type="dxa" w:w="1134"/>
            <w:tcBorders>
              <w:top w:sz="4" w:val="nil"/>
              <w:left w:sz="4" w:val="nil"/>
              <w:bottom w:color="000000" w:sz="4" w:val="single"/>
              <w:right w:color="000000" w:sz="4" w:val="single"/>
            </w:tcBorders>
            <w:shd w:fill="auto" w:val="clear"/>
            <w:vAlign w:val="center"/>
          </w:tcPr>
          <w:p w14:paraId="6C110000">
            <w:pPr>
              <w:widowControl w:val="1"/>
              <w:ind w:firstLine="39"/>
              <w:contextualSpacing w:val="1"/>
              <w:jc w:val="center"/>
              <w:rPr>
                <w:b w:val="1"/>
                <w:color w:val="000000"/>
              </w:rPr>
            </w:pPr>
            <w:r>
              <w:rPr>
                <w:b w:val="1"/>
                <w:color w:val="000000"/>
              </w:rPr>
              <w:t>15</w:t>
            </w:r>
          </w:p>
        </w:tc>
        <w:tc>
          <w:tcPr>
            <w:tcW w:type="dxa" w:w="1275"/>
            <w:tcBorders>
              <w:top w:sz="4" w:val="nil"/>
              <w:left w:sz="4" w:val="nil"/>
              <w:bottom w:color="000000" w:sz="4" w:val="single"/>
              <w:right w:color="000000" w:sz="4" w:val="single"/>
            </w:tcBorders>
            <w:shd w:fill="auto" w:val="clear"/>
            <w:vAlign w:val="center"/>
          </w:tcPr>
          <w:p w14:paraId="6D110000">
            <w:pPr>
              <w:widowControl w:val="1"/>
              <w:ind w:firstLine="39"/>
              <w:contextualSpacing w:val="1"/>
              <w:jc w:val="center"/>
              <w:rPr>
                <w:b w:val="1"/>
                <w:color w:val="000000"/>
              </w:rPr>
            </w:pPr>
            <w:r>
              <w:rPr>
                <w:b w:val="1"/>
                <w:color w:val="000000"/>
              </w:rPr>
              <w:t>916</w:t>
            </w:r>
          </w:p>
        </w:tc>
        <w:tc>
          <w:tcPr>
            <w:tcW w:type="dxa" w:w="1276"/>
            <w:tcBorders>
              <w:top w:sz="4" w:val="nil"/>
              <w:left w:sz="4" w:val="nil"/>
              <w:bottom w:color="000000" w:sz="4" w:val="single"/>
              <w:right w:color="000000" w:sz="4" w:val="single"/>
            </w:tcBorders>
            <w:shd w:fill="auto" w:val="clear"/>
            <w:vAlign w:val="center"/>
          </w:tcPr>
          <w:p w14:paraId="6E110000">
            <w:pPr>
              <w:widowControl w:val="1"/>
              <w:ind w:firstLine="39"/>
              <w:contextualSpacing w:val="1"/>
              <w:jc w:val="center"/>
              <w:rPr>
                <w:b w:val="1"/>
                <w:color w:val="000000"/>
              </w:rPr>
            </w:pPr>
            <w:r>
              <w:rPr>
                <w:b w:val="1"/>
                <w:color w:val="000000"/>
              </w:rPr>
              <w:t>913</w:t>
            </w:r>
          </w:p>
        </w:tc>
        <w:tc>
          <w:tcPr>
            <w:tcW w:type="dxa" w:w="1449"/>
            <w:tcBorders>
              <w:top w:sz="4" w:val="nil"/>
              <w:left w:sz="4" w:val="nil"/>
              <w:bottom w:color="000000" w:sz="4" w:val="single"/>
              <w:right w:color="000000" w:sz="4" w:val="single"/>
            </w:tcBorders>
            <w:shd w:fill="auto" w:val="clear"/>
            <w:vAlign w:val="center"/>
          </w:tcPr>
          <w:p w14:paraId="6F110000">
            <w:pPr>
              <w:widowControl w:val="1"/>
              <w:ind w:firstLine="39"/>
              <w:contextualSpacing w:val="1"/>
              <w:jc w:val="center"/>
              <w:rPr>
                <w:b w:val="1"/>
                <w:color w:val="000000"/>
              </w:rPr>
            </w:pPr>
            <w:r>
              <w:rPr>
                <w:b w:val="1"/>
                <w:color w:val="000000"/>
              </w:rPr>
              <w:t>-3</w:t>
            </w:r>
          </w:p>
        </w:tc>
        <w:tc>
          <w:tcPr>
            <w:tcW w:type="dxa" w:w="2662"/>
            <w:tcBorders>
              <w:top w:sz="4" w:val="nil"/>
              <w:left w:sz="4" w:val="nil"/>
              <w:bottom w:color="000000" w:sz="4" w:val="single"/>
              <w:right w:color="000000" w:sz="4" w:val="single"/>
            </w:tcBorders>
            <w:shd w:fill="auto" w:val="clear"/>
            <w:vAlign w:val="center"/>
          </w:tcPr>
          <w:p w14:paraId="70110000">
            <w:pPr>
              <w:widowControl w:val="1"/>
              <w:ind w:firstLine="39"/>
              <w:contextualSpacing w:val="1"/>
              <w:jc w:val="center"/>
              <w:rPr>
                <w:b w:val="1"/>
                <w:color w:val="000000"/>
              </w:rPr>
            </w:pPr>
          </w:p>
        </w:tc>
      </w:tr>
      <w:tr>
        <w:trPr>
          <w:trHeight w:hRule="atLeast" w:val="825"/>
        </w:trPr>
        <w:tc>
          <w:tcPr>
            <w:tcW w:type="dxa" w:w="2132"/>
            <w:tcBorders>
              <w:top w:sz="4" w:val="nil"/>
              <w:left w:color="000000" w:sz="4" w:val="single"/>
              <w:bottom w:color="000000" w:sz="4" w:val="single"/>
              <w:right w:color="000000" w:sz="4" w:val="single"/>
            </w:tcBorders>
            <w:shd w:fill="auto" w:val="clear"/>
            <w:vAlign w:val="center"/>
          </w:tcPr>
          <w:p w14:paraId="71110000">
            <w:pPr>
              <w:widowControl w:val="1"/>
              <w:ind w:firstLine="39"/>
              <w:contextualSpacing w:val="1"/>
              <w:jc w:val="center"/>
              <w:rPr>
                <w:color w:val="000000"/>
              </w:rPr>
            </w:pPr>
            <w:r>
              <w:rPr>
                <w:color w:val="000000"/>
              </w:rPr>
              <w:t>Закупка МФУ</w:t>
            </w:r>
          </w:p>
        </w:tc>
        <w:tc>
          <w:tcPr>
            <w:tcW w:type="dxa" w:w="1134"/>
            <w:tcBorders>
              <w:top w:sz="4" w:val="nil"/>
              <w:left w:sz="4" w:val="nil"/>
              <w:bottom w:color="000000" w:sz="4" w:val="single"/>
              <w:right w:color="000000" w:sz="4" w:val="single"/>
            </w:tcBorders>
            <w:shd w:fill="auto" w:val="clear"/>
            <w:vAlign w:val="center"/>
          </w:tcPr>
          <w:p w14:paraId="72110000">
            <w:pPr>
              <w:widowControl w:val="1"/>
              <w:ind w:firstLine="39"/>
              <w:contextualSpacing w:val="1"/>
              <w:jc w:val="center"/>
              <w:rPr>
                <w:color w:val="000000"/>
              </w:rPr>
            </w:pPr>
            <w:r>
              <w:rPr>
                <w:color w:val="000000"/>
              </w:rPr>
              <w:t>1</w:t>
            </w:r>
          </w:p>
        </w:tc>
        <w:tc>
          <w:tcPr>
            <w:tcW w:type="dxa" w:w="1275"/>
            <w:tcBorders>
              <w:top w:sz="4" w:val="nil"/>
              <w:left w:sz="4" w:val="nil"/>
              <w:bottom w:color="000000" w:sz="4" w:val="single"/>
              <w:right w:color="000000" w:sz="4" w:val="single"/>
            </w:tcBorders>
            <w:shd w:fill="auto" w:val="clear"/>
            <w:vAlign w:val="center"/>
          </w:tcPr>
          <w:p w14:paraId="73110000">
            <w:pPr>
              <w:widowControl w:val="1"/>
              <w:ind w:firstLine="39"/>
              <w:contextualSpacing w:val="1"/>
              <w:jc w:val="center"/>
              <w:rPr>
                <w:color w:val="000000"/>
              </w:rPr>
            </w:pPr>
            <w:r>
              <w:rPr>
                <w:color w:val="000000"/>
              </w:rPr>
              <w:t>286</w:t>
            </w:r>
          </w:p>
        </w:tc>
        <w:tc>
          <w:tcPr>
            <w:tcW w:type="dxa" w:w="1276"/>
            <w:tcBorders>
              <w:top w:sz="4" w:val="nil"/>
              <w:left w:sz="4" w:val="nil"/>
              <w:bottom w:color="000000" w:sz="4" w:val="single"/>
              <w:right w:color="000000" w:sz="4" w:val="single"/>
            </w:tcBorders>
            <w:shd w:fill="auto" w:val="clear"/>
            <w:vAlign w:val="center"/>
          </w:tcPr>
          <w:p w14:paraId="74110000">
            <w:pPr>
              <w:widowControl w:val="1"/>
              <w:ind w:firstLine="39"/>
              <w:contextualSpacing w:val="1"/>
              <w:jc w:val="center"/>
              <w:rPr>
                <w:color w:val="000000"/>
              </w:rPr>
            </w:pPr>
            <w:r>
              <w:rPr>
                <w:color w:val="000000"/>
              </w:rPr>
              <w:t>286</w:t>
            </w:r>
          </w:p>
        </w:tc>
        <w:tc>
          <w:tcPr>
            <w:tcW w:type="dxa" w:w="1449"/>
            <w:tcBorders>
              <w:top w:sz="4" w:val="nil"/>
              <w:left w:sz="4" w:val="nil"/>
              <w:bottom w:color="000000" w:sz="4" w:val="single"/>
              <w:right w:color="000000" w:sz="4" w:val="single"/>
            </w:tcBorders>
            <w:shd w:fill="auto" w:val="clear"/>
            <w:vAlign w:val="center"/>
          </w:tcPr>
          <w:p w14:paraId="75110000">
            <w:pPr>
              <w:widowControl w:val="1"/>
              <w:ind w:firstLine="39"/>
              <w:contextualSpacing w:val="1"/>
              <w:jc w:val="center"/>
              <w:rPr>
                <w:color w:val="000000"/>
              </w:rPr>
            </w:pPr>
            <w:r>
              <w:rPr>
                <w:color w:val="000000"/>
              </w:rPr>
              <w:t>0</w:t>
            </w:r>
          </w:p>
        </w:tc>
        <w:tc>
          <w:tcPr>
            <w:tcW w:type="dxa" w:w="2662"/>
            <w:tcBorders>
              <w:top w:sz="4" w:val="nil"/>
              <w:left w:sz="4" w:val="nil"/>
              <w:bottom w:color="000000" w:sz="4" w:val="single"/>
              <w:right w:color="000000" w:sz="4" w:val="single"/>
            </w:tcBorders>
            <w:shd w:fill="auto" w:val="clear"/>
            <w:vAlign w:val="center"/>
          </w:tcPr>
          <w:p w14:paraId="76110000">
            <w:pPr>
              <w:widowControl w:val="1"/>
              <w:ind w:firstLine="39"/>
              <w:contextualSpacing w:val="1"/>
              <w:jc w:val="center"/>
              <w:rPr>
                <w:i w:val="1"/>
                <w:color w:val="000000"/>
              </w:rPr>
            </w:pPr>
          </w:p>
        </w:tc>
      </w:tr>
      <w:tr>
        <w:trPr>
          <w:trHeight w:hRule="atLeast" w:val="885"/>
        </w:trPr>
        <w:tc>
          <w:tcPr>
            <w:tcW w:type="dxa" w:w="2132"/>
            <w:tcBorders>
              <w:top w:sz="4" w:val="nil"/>
              <w:left w:color="000000" w:sz="4" w:val="single"/>
              <w:bottom w:color="000000" w:sz="4" w:val="single"/>
              <w:right w:color="000000" w:sz="4" w:val="single"/>
            </w:tcBorders>
            <w:shd w:fill="auto" w:val="clear"/>
            <w:vAlign w:val="center"/>
          </w:tcPr>
          <w:p w14:paraId="77110000">
            <w:pPr>
              <w:widowControl w:val="1"/>
              <w:ind w:firstLine="39"/>
              <w:contextualSpacing w:val="1"/>
              <w:jc w:val="center"/>
              <w:rPr>
                <w:color w:val="000000"/>
              </w:rPr>
            </w:pPr>
            <w:r>
              <w:t>Приобретение компьютерного оборудования</w:t>
            </w:r>
          </w:p>
        </w:tc>
        <w:tc>
          <w:tcPr>
            <w:tcW w:type="dxa" w:w="1134"/>
            <w:tcBorders>
              <w:top w:sz="4" w:val="nil"/>
              <w:left w:sz="4" w:val="nil"/>
              <w:bottom w:color="000000" w:sz="4" w:val="single"/>
              <w:right w:color="000000" w:sz="4" w:val="single"/>
            </w:tcBorders>
            <w:shd w:fill="auto" w:val="clear"/>
            <w:vAlign w:val="center"/>
          </w:tcPr>
          <w:p w14:paraId="78110000">
            <w:pPr>
              <w:widowControl w:val="1"/>
              <w:ind w:firstLine="39"/>
              <w:contextualSpacing w:val="1"/>
              <w:jc w:val="center"/>
              <w:rPr>
                <w:color w:val="000000"/>
              </w:rPr>
            </w:pPr>
            <w:r>
              <w:rPr>
                <w:color w:val="000000"/>
              </w:rPr>
              <w:t>14</w:t>
            </w:r>
          </w:p>
        </w:tc>
        <w:tc>
          <w:tcPr>
            <w:tcW w:type="dxa" w:w="1275"/>
            <w:tcBorders>
              <w:top w:sz="4" w:val="nil"/>
              <w:left w:sz="4" w:val="nil"/>
              <w:bottom w:color="000000" w:sz="4" w:val="single"/>
              <w:right w:color="000000" w:sz="4" w:val="single"/>
            </w:tcBorders>
            <w:shd w:fill="auto" w:val="clear"/>
            <w:vAlign w:val="center"/>
          </w:tcPr>
          <w:p w14:paraId="79110000">
            <w:pPr>
              <w:widowControl w:val="1"/>
              <w:ind w:firstLine="39"/>
              <w:contextualSpacing w:val="1"/>
              <w:jc w:val="center"/>
              <w:rPr>
                <w:color w:val="000000"/>
              </w:rPr>
            </w:pPr>
            <w:r>
              <w:rPr>
                <w:color w:val="000000"/>
              </w:rPr>
              <w:t>630</w:t>
            </w:r>
          </w:p>
        </w:tc>
        <w:tc>
          <w:tcPr>
            <w:tcW w:type="dxa" w:w="1276"/>
            <w:tcBorders>
              <w:top w:sz="4" w:val="nil"/>
              <w:left w:sz="4" w:val="nil"/>
              <w:bottom w:color="000000" w:sz="4" w:val="single"/>
              <w:right w:color="000000" w:sz="4" w:val="single"/>
            </w:tcBorders>
            <w:shd w:fill="auto" w:val="clear"/>
            <w:vAlign w:val="center"/>
          </w:tcPr>
          <w:p w14:paraId="7A110000">
            <w:pPr>
              <w:widowControl w:val="1"/>
              <w:ind w:firstLine="39"/>
              <w:contextualSpacing w:val="1"/>
              <w:jc w:val="center"/>
              <w:rPr>
                <w:color w:val="000000"/>
              </w:rPr>
            </w:pPr>
            <w:r>
              <w:rPr>
                <w:color w:val="000000"/>
              </w:rPr>
              <w:t>627</w:t>
            </w:r>
          </w:p>
        </w:tc>
        <w:tc>
          <w:tcPr>
            <w:tcW w:type="dxa" w:w="1449"/>
            <w:tcBorders>
              <w:top w:sz="4" w:val="nil"/>
              <w:left w:sz="4" w:val="nil"/>
              <w:bottom w:color="000000" w:sz="4" w:val="single"/>
              <w:right w:color="000000" w:sz="4" w:val="single"/>
            </w:tcBorders>
            <w:shd w:fill="auto" w:val="clear"/>
            <w:vAlign w:val="center"/>
          </w:tcPr>
          <w:p w14:paraId="7B110000">
            <w:pPr>
              <w:widowControl w:val="1"/>
              <w:ind w:firstLine="39"/>
              <w:contextualSpacing w:val="1"/>
              <w:jc w:val="center"/>
              <w:rPr>
                <w:color w:val="000000"/>
              </w:rPr>
            </w:pPr>
            <w:r>
              <w:rPr>
                <w:color w:val="000000"/>
              </w:rPr>
              <w:t>-3</w:t>
            </w:r>
          </w:p>
        </w:tc>
        <w:tc>
          <w:tcPr>
            <w:tcW w:type="dxa" w:w="2662"/>
            <w:tcBorders>
              <w:top w:sz="4" w:val="nil"/>
              <w:left w:sz="4" w:val="nil"/>
              <w:bottom w:color="000000" w:sz="4" w:val="single"/>
              <w:right w:color="000000" w:sz="4" w:val="single"/>
            </w:tcBorders>
            <w:shd w:fill="auto" w:val="clear"/>
            <w:vAlign w:val="center"/>
          </w:tcPr>
          <w:p w14:paraId="7C110000">
            <w:pPr>
              <w:widowControl w:val="1"/>
              <w:ind w:firstLine="39"/>
              <w:contextualSpacing w:val="1"/>
              <w:jc w:val="center"/>
              <w:rPr>
                <w:i w:val="1"/>
                <w:color w:val="000000"/>
              </w:rPr>
            </w:pPr>
            <w:r>
              <w:rPr>
                <w:i w:val="1"/>
                <w:color w:val="000000"/>
              </w:rPr>
              <w:t>проведен открытый аукцион в электронной форме на электронной торгово-закупочной площадке ОАО "РЖД</w:t>
            </w:r>
            <w:r>
              <w:rPr>
                <w:i w:val="1"/>
                <w:color w:val="000000"/>
              </w:rPr>
              <w:t>"</w:t>
            </w:r>
          </w:p>
        </w:tc>
      </w:tr>
    </w:tbl>
    <w:p w14:paraId="7D110000">
      <w:pPr>
        <w:widowControl w:val="1"/>
        <w:tabs>
          <w:tab w:leader="none" w:pos="8222" w:val="left"/>
        </w:tabs>
        <w:ind w:firstLine="709"/>
        <w:contextualSpacing w:val="1"/>
        <w:jc w:val="center"/>
      </w:pPr>
    </w:p>
    <w:p w14:paraId="7E110000">
      <w:pPr>
        <w:widowControl w:val="1"/>
        <w:ind w:firstLine="709"/>
        <w:contextualSpacing w:val="1"/>
      </w:pPr>
    </w:p>
    <w:p w14:paraId="7F110000">
      <w:pPr>
        <w:widowControl w:val="1"/>
        <w:spacing w:line="360" w:lineRule="auto"/>
        <w:ind w:firstLine="709"/>
        <w:contextualSpacing w:val="1"/>
        <w:jc w:val="both"/>
      </w:pPr>
      <w:r>
        <w:t>В  течение 2018 года освоение капитальных вложений по инвестиционной деятельности АО «Краспригород»  планировалось в сумме 916 тыс.руб. (покупка 14 персональных компьютеров и одного многофункционального устройства). Фактическое освоение капитальных вложений в отчетном периоде составило 913 тыс. руб., 99,65% к плану:</w:t>
      </w:r>
    </w:p>
    <w:p w14:paraId="80110000">
      <w:pPr>
        <w:widowControl w:val="1"/>
        <w:spacing w:line="360" w:lineRule="auto"/>
        <w:ind w:firstLine="709"/>
        <w:contextualSpacing w:val="1"/>
        <w:jc w:val="both"/>
      </w:pPr>
      <w:r>
        <w:t>- снижение к плану на 3 тыс. руб. по приобретению компьютерного оборудования, объясняется проведением открытого аукциона в электронной форме на электронной торгово-закупочной площадке ОАО "РЖД" на право заключения договора поставки компьютерного оборудования, в результате которого начальная цена торгов была снижена с 630,0 тыс.руб. до 626,9 тыс.руб. без НДС. Заключен договор поставки №107 от 02.10.2018г. с ООО «Техномакс-Красноярск», предложившего самую выгодную цену.</w:t>
      </w:r>
    </w:p>
    <w:p w14:paraId="81110000">
      <w:pPr>
        <w:widowControl w:val="1"/>
        <w:spacing w:line="360" w:lineRule="auto"/>
        <w:ind w:firstLine="709"/>
        <w:contextualSpacing w:val="1"/>
        <w:jc w:val="both"/>
        <w:rPr>
          <w:shd w:fill="EFF0F1" w:val="clear"/>
        </w:rPr>
      </w:pPr>
      <w:r>
        <w:t>- приобретение МФУ в количестве одной единицы вызвано необходимостью замены устаревшего оборудования для печати расписания. Способ данной закупки – размещение заказа у единственного поставщика согласно пп. 29 п. 89  положения утвержденного СД 22.10.2018г. Протокол № 5, в связи с тем, что проведенный открытый аукцион в электронной форме на электронной торгово-закупочной площадке ОАО "РЖД" на право заключения договора поставки оргтехники (МФУ) признан несостоявшимся по причине отсутствия участников. Сумма закупки составила 286 тыс. руб. без учета НДС.</w:t>
      </w:r>
    </w:p>
    <w:p w14:paraId="82110000">
      <w:pPr>
        <w:widowControl w:val="1"/>
        <w:spacing w:line="360" w:lineRule="auto"/>
        <w:ind w:firstLine="709"/>
        <w:contextualSpacing w:val="1"/>
        <w:jc w:val="both"/>
      </w:pPr>
      <w:r>
        <w:t xml:space="preserve">  Общество не имеет в собственности офисных и служебных помещений. Для осуществления деятельности заключены договора аренды нежилых помещений.</w:t>
      </w:r>
    </w:p>
    <w:p w14:paraId="83110000">
      <w:pPr>
        <w:widowControl w:val="1"/>
        <w:ind w:firstLine="709"/>
        <w:contextualSpacing w:val="1"/>
      </w:pPr>
    </w:p>
    <w:p w14:paraId="84110000">
      <w:bookmarkStart w:id="32" w:name="__RefHeading___27"/>
      <w:bookmarkEnd w:id="32"/>
      <w:pPr>
        <w:pStyle w:val="Style_7"/>
        <w:widowControl w:val="1"/>
        <w:spacing w:line="360" w:lineRule="auto"/>
        <w:ind w:firstLine="709"/>
        <w:contextualSpacing w:val="1"/>
        <w:jc w:val="both"/>
        <w:rPr>
          <w:b w:val="1"/>
          <w:color w:val="000000"/>
          <w:sz w:val="24"/>
        </w:rPr>
      </w:pPr>
      <w:r>
        <w:rPr>
          <w:b w:val="1"/>
          <w:color w:val="000000"/>
          <w:sz w:val="24"/>
        </w:rPr>
        <w:t>Раздел 8. Перспектива технического переоснащения и развития Общества.</w:t>
      </w:r>
    </w:p>
    <w:p w14:paraId="85110000">
      <w:pPr>
        <w:widowControl w:val="1"/>
        <w:tabs>
          <w:tab w:leader="none" w:pos="1134" w:val="left"/>
        </w:tabs>
        <w:spacing w:line="360" w:lineRule="auto"/>
        <w:ind w:firstLine="709"/>
        <w:contextualSpacing w:val="1"/>
        <w:jc w:val="both"/>
      </w:pPr>
      <w:r>
        <w:t>Приоритетными направлениями стратегического  развития АО «Краспригород» на 2019 год в области информатизации Общества являются: обеспечение сотрудников услугами информационно – справочных систем, лицензионным программным обеспечением, услугами связи и доступа в интернет, развитие и доработка существующего программного обеспечения  в рамках уже существующих договоров, дополнительная закупка новой вычислительной и периферийной техники, а также сетевого оборудования.</w:t>
      </w:r>
    </w:p>
    <w:p w14:paraId="86110000">
      <w:pPr>
        <w:widowControl w:val="1"/>
        <w:spacing w:line="360" w:lineRule="auto"/>
        <w:ind w:firstLine="709"/>
        <w:contextualSpacing w:val="1"/>
        <w:jc w:val="both"/>
      </w:pPr>
      <w:r>
        <w:t>В связи с тем, что технический  потенциал  используемого оборудования не отвечает современным требованиям, то для  реализации программы по развитию информатизации требуется приобретение  нового современного оборудования (Таблица №8.2).</w:t>
      </w:r>
    </w:p>
    <w:p w14:paraId="87110000">
      <w:pPr>
        <w:widowControl w:val="1"/>
        <w:spacing w:line="360" w:lineRule="auto"/>
        <w:ind w:firstLine="709"/>
        <w:contextualSpacing w:val="1"/>
        <w:jc w:val="right"/>
        <w:rPr>
          <w:highlight w:val="yellow"/>
        </w:rPr>
      </w:pPr>
    </w:p>
    <w:p w14:paraId="88110000">
      <w:pPr>
        <w:widowControl w:val="1"/>
        <w:spacing w:line="360" w:lineRule="auto"/>
        <w:ind w:firstLine="709"/>
        <w:contextualSpacing w:val="1"/>
        <w:jc w:val="right"/>
      </w:pPr>
      <w:r>
        <w:t xml:space="preserve">   Таблица № 8.1.  </w:t>
      </w:r>
    </w:p>
    <w:p w14:paraId="89110000">
      <w:pPr>
        <w:widowControl w:val="1"/>
        <w:spacing w:line="360" w:lineRule="auto"/>
        <w:ind w:firstLine="709"/>
        <w:contextualSpacing w:val="1"/>
        <w:jc w:val="center"/>
      </w:pPr>
      <w:r>
        <w:t>Перспективы технического переоснащения, в единицах</w:t>
      </w:r>
    </w:p>
    <w:tbl>
      <w:tblPr>
        <w:tblStyle w:val="Style_4"/>
        <w:tblW w:type="auto" w:w="0"/>
        <w:jc w:val="center"/>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4568"/>
        <w:gridCol w:w="989"/>
        <w:gridCol w:w="990"/>
        <w:gridCol w:w="1130"/>
        <w:gridCol w:w="1127"/>
        <w:gridCol w:w="1127"/>
      </w:tblGrid>
      <w:tr>
        <w:tc>
          <w:tcPr>
            <w:tcW w:type="dxa" w:w="4568"/>
            <w:tcBorders>
              <w:top w:color="000000" w:sz="4" w:val="single"/>
              <w:left w:color="000000" w:sz="4" w:val="single"/>
              <w:bottom w:color="000000" w:sz="4" w:val="single"/>
              <w:right w:color="000000" w:sz="4" w:val="single"/>
            </w:tcBorders>
            <w:vAlign w:val="center"/>
          </w:tcPr>
          <w:p w14:paraId="8A110000">
            <w:pPr>
              <w:widowControl w:val="1"/>
              <w:spacing w:line="360" w:lineRule="auto"/>
              <w:ind/>
              <w:contextualSpacing w:val="1"/>
              <w:rPr>
                <w:b w:val="1"/>
              </w:rPr>
            </w:pPr>
            <w:r>
              <w:rPr>
                <w:b w:val="1"/>
              </w:rPr>
              <w:t>Оборудование</w:t>
            </w:r>
          </w:p>
        </w:tc>
        <w:tc>
          <w:tcPr>
            <w:tcW w:type="dxa" w:w="989"/>
            <w:tcBorders>
              <w:top w:color="000000" w:sz="4" w:val="single"/>
              <w:left w:color="000000" w:sz="4" w:val="single"/>
              <w:bottom w:color="000000" w:sz="4" w:val="single"/>
              <w:right w:color="000000" w:sz="4" w:val="single"/>
            </w:tcBorders>
            <w:vAlign w:val="center"/>
          </w:tcPr>
          <w:p w14:paraId="8B110000">
            <w:pPr>
              <w:widowControl w:val="1"/>
              <w:spacing w:line="360" w:lineRule="auto"/>
              <w:ind/>
              <w:contextualSpacing w:val="1"/>
              <w:jc w:val="center"/>
              <w:rPr>
                <w:b w:val="1"/>
              </w:rPr>
            </w:pPr>
            <w:r>
              <w:rPr>
                <w:b w:val="1"/>
              </w:rPr>
              <w:t>201</w:t>
            </w:r>
            <w:r>
              <w:rPr>
                <w:b w:val="1"/>
              </w:rPr>
              <w:t>5</w:t>
            </w:r>
          </w:p>
        </w:tc>
        <w:tc>
          <w:tcPr>
            <w:tcW w:type="dxa" w:w="990"/>
            <w:tcBorders>
              <w:top w:color="000000" w:sz="4" w:val="single"/>
              <w:left w:color="000000" w:sz="4" w:val="single"/>
              <w:bottom w:color="000000" w:sz="4" w:val="single"/>
              <w:right w:color="000000" w:sz="4" w:val="single"/>
            </w:tcBorders>
            <w:vAlign w:val="center"/>
          </w:tcPr>
          <w:p w14:paraId="8C110000">
            <w:pPr>
              <w:widowControl w:val="1"/>
              <w:spacing w:line="360" w:lineRule="auto"/>
              <w:ind/>
              <w:contextualSpacing w:val="1"/>
              <w:jc w:val="center"/>
              <w:rPr>
                <w:b w:val="1"/>
              </w:rPr>
            </w:pPr>
            <w:r>
              <w:rPr>
                <w:b w:val="1"/>
              </w:rPr>
              <w:t>201</w:t>
            </w:r>
            <w:r>
              <w:rPr>
                <w:b w:val="1"/>
              </w:rPr>
              <w:t>6</w:t>
            </w:r>
          </w:p>
        </w:tc>
        <w:tc>
          <w:tcPr>
            <w:tcW w:type="dxa" w:w="1130"/>
            <w:tcBorders>
              <w:top w:color="000000" w:sz="4" w:val="single"/>
              <w:left w:color="000000" w:sz="4" w:val="single"/>
              <w:bottom w:color="000000" w:sz="4" w:val="single"/>
              <w:right w:color="000000" w:sz="4" w:val="single"/>
            </w:tcBorders>
          </w:tcPr>
          <w:p w14:paraId="8D110000">
            <w:pPr>
              <w:widowControl w:val="1"/>
              <w:spacing w:line="360" w:lineRule="auto"/>
              <w:ind/>
              <w:contextualSpacing w:val="1"/>
              <w:jc w:val="center"/>
              <w:rPr>
                <w:b w:val="1"/>
              </w:rPr>
            </w:pPr>
            <w:r>
              <w:rPr>
                <w:b w:val="1"/>
              </w:rPr>
              <w:t>201</w:t>
            </w:r>
            <w:r>
              <w:rPr>
                <w:b w:val="1"/>
              </w:rPr>
              <w:t>7</w:t>
            </w:r>
          </w:p>
        </w:tc>
        <w:tc>
          <w:tcPr>
            <w:tcW w:type="dxa" w:w="1127"/>
            <w:tcBorders>
              <w:top w:color="000000" w:sz="4" w:val="single"/>
              <w:left w:color="000000" w:sz="4" w:val="single"/>
              <w:bottom w:color="000000" w:sz="4" w:val="single"/>
              <w:right w:color="000000" w:sz="4" w:val="single"/>
            </w:tcBorders>
          </w:tcPr>
          <w:p w14:paraId="8E110000">
            <w:pPr>
              <w:widowControl w:val="1"/>
              <w:spacing w:line="360" w:lineRule="auto"/>
              <w:ind/>
              <w:contextualSpacing w:val="1"/>
              <w:jc w:val="center"/>
              <w:rPr>
                <w:b w:val="1"/>
              </w:rPr>
            </w:pPr>
            <w:r>
              <w:rPr>
                <w:b w:val="1"/>
              </w:rPr>
              <w:t>201</w:t>
            </w:r>
            <w:r>
              <w:rPr>
                <w:b w:val="1"/>
              </w:rPr>
              <w:t>8</w:t>
            </w:r>
          </w:p>
        </w:tc>
        <w:tc>
          <w:tcPr>
            <w:tcW w:type="dxa" w:w="1127"/>
            <w:tcBorders>
              <w:top w:color="000000" w:sz="4" w:val="single"/>
              <w:left w:color="000000" w:sz="4" w:val="single"/>
              <w:bottom w:color="000000" w:sz="4" w:val="single"/>
              <w:right w:color="000000" w:sz="4" w:val="single"/>
            </w:tcBorders>
          </w:tcPr>
          <w:p w14:paraId="8F110000">
            <w:pPr>
              <w:widowControl w:val="1"/>
              <w:spacing w:line="360" w:lineRule="auto"/>
              <w:ind/>
              <w:contextualSpacing w:val="1"/>
              <w:jc w:val="center"/>
              <w:rPr>
                <w:b w:val="1"/>
              </w:rPr>
            </w:pPr>
            <w:r>
              <w:rPr>
                <w:b w:val="1"/>
              </w:rPr>
              <w:t>201</w:t>
            </w:r>
            <w:r>
              <w:rPr>
                <w:b w:val="1"/>
              </w:rPr>
              <w:t>9</w:t>
            </w:r>
          </w:p>
        </w:tc>
      </w:tr>
      <w:tr>
        <w:tc>
          <w:tcPr>
            <w:tcW w:type="dxa" w:w="4568"/>
            <w:tcBorders>
              <w:top w:color="000000" w:sz="4" w:val="single"/>
              <w:left w:color="000000" w:sz="4" w:val="single"/>
              <w:bottom w:color="000000" w:sz="4" w:val="single"/>
              <w:right w:color="000000" w:sz="4" w:val="single"/>
            </w:tcBorders>
            <w:vAlign w:val="center"/>
          </w:tcPr>
          <w:p w14:paraId="90110000">
            <w:pPr>
              <w:widowControl w:val="1"/>
              <w:spacing w:line="360" w:lineRule="auto"/>
              <w:ind/>
              <w:contextualSpacing w:val="1"/>
            </w:pPr>
            <w:r>
              <w:t xml:space="preserve">Переносные кассовые аппараты </w:t>
            </w:r>
          </w:p>
        </w:tc>
        <w:tc>
          <w:tcPr>
            <w:tcW w:type="dxa" w:w="989"/>
            <w:tcBorders>
              <w:top w:color="000000" w:sz="4" w:val="single"/>
              <w:left w:color="000000" w:sz="4" w:val="single"/>
              <w:bottom w:color="000000" w:sz="4" w:val="single"/>
              <w:right w:color="000000" w:sz="4" w:val="single"/>
            </w:tcBorders>
            <w:vAlign w:val="center"/>
          </w:tcPr>
          <w:p w14:paraId="91110000">
            <w:pPr>
              <w:widowControl w:val="1"/>
              <w:spacing w:line="360" w:lineRule="auto"/>
              <w:ind/>
              <w:contextualSpacing w:val="1"/>
              <w:jc w:val="center"/>
            </w:pPr>
            <w:r>
              <w:t>0</w:t>
            </w:r>
          </w:p>
        </w:tc>
        <w:tc>
          <w:tcPr>
            <w:tcW w:type="dxa" w:w="990"/>
            <w:tcBorders>
              <w:top w:color="000000" w:sz="4" w:val="single"/>
              <w:left w:color="000000" w:sz="4" w:val="single"/>
              <w:bottom w:color="000000" w:sz="4" w:val="single"/>
              <w:right w:color="000000" w:sz="4" w:val="single"/>
            </w:tcBorders>
            <w:vAlign w:val="center"/>
          </w:tcPr>
          <w:p w14:paraId="92110000">
            <w:pPr>
              <w:widowControl w:val="1"/>
              <w:spacing w:line="360" w:lineRule="auto"/>
              <w:ind/>
              <w:contextualSpacing w:val="1"/>
              <w:jc w:val="center"/>
            </w:pPr>
            <w:r>
              <w:t>0</w:t>
            </w:r>
          </w:p>
        </w:tc>
        <w:tc>
          <w:tcPr>
            <w:tcW w:type="dxa" w:w="1130"/>
            <w:tcBorders>
              <w:top w:color="000000" w:sz="4" w:val="single"/>
              <w:left w:color="000000" w:sz="4" w:val="single"/>
              <w:bottom w:color="000000" w:sz="4" w:val="single"/>
              <w:right w:color="000000" w:sz="4" w:val="single"/>
            </w:tcBorders>
          </w:tcPr>
          <w:p w14:paraId="93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94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95110000">
            <w:pPr>
              <w:widowControl w:val="1"/>
              <w:spacing w:line="360" w:lineRule="auto"/>
              <w:ind/>
              <w:contextualSpacing w:val="1"/>
              <w:jc w:val="center"/>
            </w:pPr>
            <w:r>
              <w:t>0</w:t>
            </w:r>
          </w:p>
        </w:tc>
      </w:tr>
      <w:tr>
        <w:tc>
          <w:tcPr>
            <w:tcW w:type="dxa" w:w="4568"/>
            <w:tcBorders>
              <w:top w:color="000000" w:sz="4" w:val="single"/>
              <w:left w:color="000000" w:sz="4" w:val="single"/>
              <w:bottom w:color="000000" w:sz="4" w:val="single"/>
              <w:right w:color="000000" w:sz="4" w:val="single"/>
            </w:tcBorders>
            <w:vAlign w:val="center"/>
          </w:tcPr>
          <w:p w14:paraId="96110000">
            <w:pPr>
              <w:widowControl w:val="1"/>
              <w:spacing w:line="360" w:lineRule="auto"/>
              <w:ind/>
              <w:contextualSpacing w:val="1"/>
            </w:pPr>
            <w:r>
              <w:t>АРМ Билетного кассира</w:t>
            </w:r>
          </w:p>
        </w:tc>
        <w:tc>
          <w:tcPr>
            <w:tcW w:type="dxa" w:w="989"/>
            <w:tcBorders>
              <w:top w:color="000000" w:sz="4" w:val="single"/>
              <w:left w:color="000000" w:sz="4" w:val="single"/>
              <w:bottom w:color="000000" w:sz="4" w:val="single"/>
              <w:right w:color="000000" w:sz="4" w:val="single"/>
            </w:tcBorders>
            <w:vAlign w:val="center"/>
          </w:tcPr>
          <w:p w14:paraId="97110000">
            <w:pPr>
              <w:widowControl w:val="1"/>
              <w:spacing w:line="360" w:lineRule="auto"/>
              <w:ind/>
              <w:contextualSpacing w:val="1"/>
              <w:jc w:val="center"/>
            </w:pPr>
            <w:r>
              <w:t>0</w:t>
            </w:r>
          </w:p>
        </w:tc>
        <w:tc>
          <w:tcPr>
            <w:tcW w:type="dxa" w:w="990"/>
            <w:tcBorders>
              <w:top w:color="000000" w:sz="4" w:val="single"/>
              <w:left w:color="000000" w:sz="4" w:val="single"/>
              <w:bottom w:color="000000" w:sz="4" w:val="single"/>
              <w:right w:color="000000" w:sz="4" w:val="single"/>
            </w:tcBorders>
            <w:vAlign w:val="center"/>
          </w:tcPr>
          <w:p w14:paraId="98110000">
            <w:pPr>
              <w:widowControl w:val="1"/>
              <w:spacing w:line="360" w:lineRule="auto"/>
              <w:ind/>
              <w:contextualSpacing w:val="1"/>
              <w:jc w:val="center"/>
            </w:pPr>
            <w:r>
              <w:t>0</w:t>
            </w:r>
          </w:p>
        </w:tc>
        <w:tc>
          <w:tcPr>
            <w:tcW w:type="dxa" w:w="1130"/>
            <w:tcBorders>
              <w:top w:color="000000" w:sz="4" w:val="single"/>
              <w:left w:color="000000" w:sz="4" w:val="single"/>
              <w:bottom w:color="000000" w:sz="4" w:val="single"/>
              <w:right w:color="000000" w:sz="4" w:val="single"/>
            </w:tcBorders>
          </w:tcPr>
          <w:p w14:paraId="99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9A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9B110000">
            <w:pPr>
              <w:widowControl w:val="1"/>
              <w:spacing w:line="360" w:lineRule="auto"/>
              <w:ind/>
              <w:contextualSpacing w:val="1"/>
              <w:jc w:val="center"/>
            </w:pPr>
            <w:r>
              <w:t>0</w:t>
            </w:r>
          </w:p>
        </w:tc>
      </w:tr>
      <w:tr>
        <w:tc>
          <w:tcPr>
            <w:tcW w:type="dxa" w:w="4568"/>
            <w:tcBorders>
              <w:top w:color="000000" w:sz="4" w:val="single"/>
              <w:left w:color="000000" w:sz="4" w:val="single"/>
              <w:bottom w:color="000000" w:sz="4" w:val="single"/>
              <w:right w:color="000000" w:sz="4" w:val="single"/>
            </w:tcBorders>
            <w:vAlign w:val="center"/>
          </w:tcPr>
          <w:p w14:paraId="9C110000">
            <w:pPr>
              <w:widowControl w:val="1"/>
              <w:spacing w:line="360" w:lineRule="auto"/>
              <w:ind/>
              <w:contextualSpacing w:val="1"/>
            </w:pPr>
            <w:r>
              <w:t>Фискальные регистраторы</w:t>
            </w:r>
          </w:p>
        </w:tc>
        <w:tc>
          <w:tcPr>
            <w:tcW w:type="dxa" w:w="989"/>
            <w:tcBorders>
              <w:top w:color="000000" w:sz="4" w:val="single"/>
              <w:left w:color="000000" w:sz="4" w:val="single"/>
              <w:bottom w:color="000000" w:sz="4" w:val="single"/>
              <w:right w:color="000000" w:sz="4" w:val="single"/>
            </w:tcBorders>
            <w:vAlign w:val="center"/>
          </w:tcPr>
          <w:p w14:paraId="9D110000">
            <w:pPr>
              <w:widowControl w:val="1"/>
              <w:spacing w:line="360" w:lineRule="auto"/>
              <w:ind/>
              <w:contextualSpacing w:val="1"/>
              <w:jc w:val="center"/>
            </w:pPr>
            <w:r>
              <w:t>0</w:t>
            </w:r>
          </w:p>
        </w:tc>
        <w:tc>
          <w:tcPr>
            <w:tcW w:type="dxa" w:w="990"/>
            <w:tcBorders>
              <w:top w:color="000000" w:sz="4" w:val="single"/>
              <w:left w:color="000000" w:sz="4" w:val="single"/>
              <w:bottom w:color="000000" w:sz="4" w:val="single"/>
              <w:right w:color="000000" w:sz="4" w:val="single"/>
            </w:tcBorders>
            <w:vAlign w:val="center"/>
          </w:tcPr>
          <w:p w14:paraId="9E110000">
            <w:pPr>
              <w:widowControl w:val="1"/>
              <w:spacing w:line="360" w:lineRule="auto"/>
              <w:ind/>
              <w:contextualSpacing w:val="1"/>
              <w:jc w:val="center"/>
            </w:pPr>
            <w:r>
              <w:t>0</w:t>
            </w:r>
          </w:p>
        </w:tc>
        <w:tc>
          <w:tcPr>
            <w:tcW w:type="dxa" w:w="1130"/>
            <w:tcBorders>
              <w:top w:color="000000" w:sz="4" w:val="single"/>
              <w:left w:color="000000" w:sz="4" w:val="single"/>
              <w:bottom w:color="000000" w:sz="4" w:val="single"/>
              <w:right w:color="000000" w:sz="4" w:val="single"/>
            </w:tcBorders>
          </w:tcPr>
          <w:p w14:paraId="9F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A0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A1110000">
            <w:pPr>
              <w:widowControl w:val="1"/>
              <w:spacing w:line="360" w:lineRule="auto"/>
              <w:ind/>
              <w:contextualSpacing w:val="1"/>
              <w:jc w:val="center"/>
            </w:pPr>
            <w:r>
              <w:t>0</w:t>
            </w:r>
          </w:p>
        </w:tc>
      </w:tr>
      <w:tr>
        <w:tc>
          <w:tcPr>
            <w:tcW w:type="dxa" w:w="4568"/>
            <w:tcBorders>
              <w:top w:color="000000" w:sz="4" w:val="single"/>
              <w:left w:color="000000" w:sz="4" w:val="single"/>
              <w:bottom w:color="000000" w:sz="4" w:val="single"/>
              <w:right w:color="000000" w:sz="4" w:val="single"/>
            </w:tcBorders>
            <w:vAlign w:val="center"/>
          </w:tcPr>
          <w:p w14:paraId="A2110000">
            <w:pPr>
              <w:widowControl w:val="1"/>
              <w:spacing w:line="360" w:lineRule="auto"/>
              <w:ind/>
              <w:contextualSpacing w:val="1"/>
            </w:pPr>
            <w:r>
              <w:t>Терминалы самообслуживания</w:t>
            </w:r>
          </w:p>
        </w:tc>
        <w:tc>
          <w:tcPr>
            <w:tcW w:type="dxa" w:w="989"/>
            <w:tcBorders>
              <w:top w:color="000000" w:sz="4" w:val="single"/>
              <w:left w:color="000000" w:sz="4" w:val="single"/>
              <w:bottom w:color="000000" w:sz="4" w:val="single"/>
              <w:right w:color="000000" w:sz="4" w:val="single"/>
            </w:tcBorders>
            <w:vAlign w:val="center"/>
          </w:tcPr>
          <w:p w14:paraId="A3110000">
            <w:pPr>
              <w:widowControl w:val="1"/>
              <w:spacing w:line="360" w:lineRule="auto"/>
              <w:ind/>
              <w:contextualSpacing w:val="1"/>
              <w:jc w:val="center"/>
            </w:pPr>
            <w:r>
              <w:t>0</w:t>
            </w:r>
          </w:p>
        </w:tc>
        <w:tc>
          <w:tcPr>
            <w:tcW w:type="dxa" w:w="990"/>
            <w:tcBorders>
              <w:top w:color="000000" w:sz="4" w:val="single"/>
              <w:left w:color="000000" w:sz="4" w:val="single"/>
              <w:bottom w:color="000000" w:sz="4" w:val="single"/>
              <w:right w:color="000000" w:sz="4" w:val="single"/>
            </w:tcBorders>
            <w:vAlign w:val="center"/>
          </w:tcPr>
          <w:p w14:paraId="A4110000">
            <w:pPr>
              <w:widowControl w:val="1"/>
              <w:spacing w:line="360" w:lineRule="auto"/>
              <w:ind/>
              <w:contextualSpacing w:val="1"/>
              <w:jc w:val="center"/>
            </w:pPr>
            <w:r>
              <w:t>0</w:t>
            </w:r>
          </w:p>
        </w:tc>
        <w:tc>
          <w:tcPr>
            <w:tcW w:type="dxa" w:w="1130"/>
            <w:tcBorders>
              <w:top w:color="000000" w:sz="4" w:val="single"/>
              <w:left w:color="000000" w:sz="4" w:val="single"/>
              <w:bottom w:color="000000" w:sz="4" w:val="single"/>
              <w:right w:color="000000" w:sz="4" w:val="single"/>
            </w:tcBorders>
          </w:tcPr>
          <w:p w14:paraId="A5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A6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A7110000">
            <w:pPr>
              <w:widowControl w:val="1"/>
              <w:spacing w:line="360" w:lineRule="auto"/>
              <w:ind/>
              <w:contextualSpacing w:val="1"/>
              <w:jc w:val="center"/>
            </w:pPr>
            <w:r>
              <w:t>0</w:t>
            </w:r>
          </w:p>
        </w:tc>
      </w:tr>
      <w:tr>
        <w:tc>
          <w:tcPr>
            <w:tcW w:type="dxa" w:w="4568"/>
            <w:tcBorders>
              <w:top w:color="000000" w:sz="4" w:val="single"/>
              <w:left w:color="000000" w:sz="4" w:val="single"/>
              <w:bottom w:color="000000" w:sz="4" w:val="single"/>
              <w:right w:color="000000" w:sz="4" w:val="single"/>
            </w:tcBorders>
            <w:vAlign w:val="center"/>
          </w:tcPr>
          <w:p w14:paraId="A8110000">
            <w:pPr>
              <w:widowControl w:val="1"/>
              <w:spacing w:line="360" w:lineRule="auto"/>
              <w:ind/>
              <w:contextualSpacing w:val="1"/>
            </w:pPr>
            <w:r>
              <w:t>Серверное оборудование</w:t>
            </w:r>
          </w:p>
        </w:tc>
        <w:tc>
          <w:tcPr>
            <w:tcW w:type="dxa" w:w="989"/>
            <w:tcBorders>
              <w:top w:color="000000" w:sz="4" w:val="single"/>
              <w:left w:color="000000" w:sz="4" w:val="single"/>
              <w:bottom w:color="000000" w:sz="4" w:val="single"/>
              <w:right w:color="000000" w:sz="4" w:val="single"/>
            </w:tcBorders>
            <w:vAlign w:val="center"/>
          </w:tcPr>
          <w:p w14:paraId="A9110000">
            <w:pPr>
              <w:widowControl w:val="1"/>
              <w:spacing w:line="360" w:lineRule="auto"/>
              <w:ind/>
              <w:contextualSpacing w:val="1"/>
              <w:jc w:val="center"/>
            </w:pPr>
            <w:r>
              <w:t>0</w:t>
            </w:r>
          </w:p>
        </w:tc>
        <w:tc>
          <w:tcPr>
            <w:tcW w:type="dxa" w:w="990"/>
            <w:tcBorders>
              <w:top w:color="000000" w:sz="4" w:val="single"/>
              <w:left w:color="000000" w:sz="4" w:val="single"/>
              <w:bottom w:color="000000" w:sz="4" w:val="single"/>
              <w:right w:color="000000" w:sz="4" w:val="single"/>
            </w:tcBorders>
            <w:vAlign w:val="center"/>
          </w:tcPr>
          <w:p w14:paraId="AA110000">
            <w:pPr>
              <w:widowControl w:val="1"/>
              <w:spacing w:line="360" w:lineRule="auto"/>
              <w:ind/>
              <w:contextualSpacing w:val="1"/>
              <w:jc w:val="center"/>
            </w:pPr>
            <w:r>
              <w:t>2</w:t>
            </w:r>
          </w:p>
        </w:tc>
        <w:tc>
          <w:tcPr>
            <w:tcW w:type="dxa" w:w="1130"/>
            <w:tcBorders>
              <w:top w:color="000000" w:sz="4" w:val="single"/>
              <w:left w:color="000000" w:sz="4" w:val="single"/>
              <w:bottom w:color="000000" w:sz="4" w:val="single"/>
              <w:right w:color="000000" w:sz="4" w:val="single"/>
            </w:tcBorders>
          </w:tcPr>
          <w:p w14:paraId="AB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AC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AD110000">
            <w:pPr>
              <w:widowControl w:val="1"/>
              <w:spacing w:line="360" w:lineRule="auto"/>
              <w:ind/>
              <w:contextualSpacing w:val="1"/>
              <w:jc w:val="center"/>
            </w:pPr>
            <w:r>
              <w:t>0</w:t>
            </w:r>
          </w:p>
        </w:tc>
      </w:tr>
      <w:tr>
        <w:tc>
          <w:tcPr>
            <w:tcW w:type="dxa" w:w="4568"/>
            <w:tcBorders>
              <w:top w:color="000000" w:sz="4" w:val="single"/>
              <w:left w:color="000000" w:sz="4" w:val="single"/>
              <w:bottom w:color="000000" w:sz="4" w:val="single"/>
              <w:right w:color="000000" w:sz="4" w:val="single"/>
            </w:tcBorders>
            <w:vAlign w:val="center"/>
          </w:tcPr>
          <w:p w14:paraId="AE110000">
            <w:pPr>
              <w:widowControl w:val="1"/>
              <w:spacing w:line="360" w:lineRule="auto"/>
              <w:ind/>
              <w:contextualSpacing w:val="1"/>
            </w:pPr>
            <w:r>
              <w:t>Персональные компьютеры</w:t>
            </w:r>
          </w:p>
        </w:tc>
        <w:tc>
          <w:tcPr>
            <w:tcW w:type="dxa" w:w="989"/>
            <w:tcBorders>
              <w:top w:color="000000" w:sz="4" w:val="single"/>
              <w:left w:color="000000" w:sz="4" w:val="single"/>
              <w:bottom w:color="000000" w:sz="4" w:val="single"/>
              <w:right w:color="000000" w:sz="4" w:val="single"/>
            </w:tcBorders>
            <w:vAlign w:val="center"/>
          </w:tcPr>
          <w:p w14:paraId="AF110000">
            <w:pPr>
              <w:widowControl w:val="1"/>
              <w:spacing w:line="360" w:lineRule="auto"/>
              <w:ind/>
              <w:contextualSpacing w:val="1"/>
              <w:jc w:val="center"/>
            </w:pPr>
            <w:r>
              <w:t>10</w:t>
            </w:r>
          </w:p>
        </w:tc>
        <w:tc>
          <w:tcPr>
            <w:tcW w:type="dxa" w:w="990"/>
            <w:tcBorders>
              <w:top w:color="000000" w:sz="4" w:val="single"/>
              <w:left w:color="000000" w:sz="4" w:val="single"/>
              <w:bottom w:color="000000" w:sz="4" w:val="single"/>
              <w:right w:color="000000" w:sz="4" w:val="single"/>
            </w:tcBorders>
            <w:vAlign w:val="center"/>
          </w:tcPr>
          <w:p w14:paraId="B0110000">
            <w:pPr>
              <w:widowControl w:val="1"/>
              <w:spacing w:line="360" w:lineRule="auto"/>
              <w:ind/>
              <w:contextualSpacing w:val="1"/>
              <w:jc w:val="center"/>
            </w:pPr>
            <w:r>
              <w:t>1</w:t>
            </w:r>
            <w:r>
              <w:t>7</w:t>
            </w:r>
          </w:p>
        </w:tc>
        <w:tc>
          <w:tcPr>
            <w:tcW w:type="dxa" w:w="1130"/>
            <w:tcBorders>
              <w:top w:color="000000" w:sz="4" w:val="single"/>
              <w:left w:color="000000" w:sz="4" w:val="single"/>
              <w:bottom w:color="000000" w:sz="4" w:val="single"/>
              <w:right w:color="000000" w:sz="4" w:val="single"/>
            </w:tcBorders>
            <w:vAlign w:val="center"/>
          </w:tcPr>
          <w:p w14:paraId="B1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B2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B3110000">
            <w:pPr>
              <w:widowControl w:val="1"/>
              <w:spacing w:line="360" w:lineRule="auto"/>
              <w:ind/>
              <w:contextualSpacing w:val="1"/>
              <w:jc w:val="center"/>
            </w:pPr>
            <w:r>
              <w:t>0</w:t>
            </w:r>
          </w:p>
        </w:tc>
      </w:tr>
    </w:tbl>
    <w:p w14:paraId="B4110000">
      <w:pPr>
        <w:widowControl w:val="1"/>
        <w:spacing w:line="360" w:lineRule="auto"/>
        <w:ind/>
        <w:contextualSpacing w:val="1"/>
        <w:jc w:val="right"/>
      </w:pPr>
    </w:p>
    <w:p w14:paraId="B5110000">
      <w:pPr>
        <w:widowControl w:val="1"/>
        <w:spacing w:line="360" w:lineRule="auto"/>
        <w:ind/>
        <w:contextualSpacing w:val="1"/>
        <w:jc w:val="right"/>
      </w:pPr>
      <w:r>
        <w:t xml:space="preserve">Таблица №8.2 </w:t>
      </w:r>
    </w:p>
    <w:p w14:paraId="B6110000">
      <w:pPr>
        <w:widowControl w:val="1"/>
        <w:spacing w:line="360" w:lineRule="auto"/>
        <w:ind/>
        <w:contextualSpacing w:val="1"/>
        <w:jc w:val="center"/>
      </w:pPr>
      <w:r>
        <w:t>Перспективы приобретения нового оборудования</w:t>
      </w:r>
    </w:p>
    <w:tbl>
      <w:tblPr>
        <w:tblStyle w:val="Style_4"/>
        <w:tblW w:type="auto" w:w="0"/>
        <w:jc w:val="center"/>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4649"/>
        <w:gridCol w:w="989"/>
        <w:gridCol w:w="990"/>
        <w:gridCol w:w="1130"/>
        <w:gridCol w:w="1127"/>
        <w:gridCol w:w="1127"/>
      </w:tblGrid>
      <w:tr>
        <w:tc>
          <w:tcPr>
            <w:tcW w:type="dxa" w:w="4649"/>
            <w:tcBorders>
              <w:top w:color="000000" w:sz="4" w:val="single"/>
              <w:left w:color="000000" w:sz="4" w:val="single"/>
              <w:bottom w:color="000000" w:sz="4" w:val="single"/>
              <w:right w:color="000000" w:sz="4" w:val="single"/>
            </w:tcBorders>
            <w:vAlign w:val="center"/>
          </w:tcPr>
          <w:p w14:paraId="B7110000">
            <w:pPr>
              <w:widowControl w:val="1"/>
              <w:spacing w:line="360" w:lineRule="auto"/>
              <w:ind/>
              <w:contextualSpacing w:val="1"/>
              <w:rPr>
                <w:b w:val="1"/>
              </w:rPr>
            </w:pPr>
            <w:r>
              <w:rPr>
                <w:b w:val="1"/>
              </w:rPr>
              <w:t>Оборудование</w:t>
            </w:r>
          </w:p>
        </w:tc>
        <w:tc>
          <w:tcPr>
            <w:tcW w:type="dxa" w:w="989"/>
            <w:tcBorders>
              <w:top w:color="000000" w:sz="4" w:val="single"/>
              <w:left w:color="000000" w:sz="4" w:val="single"/>
              <w:bottom w:color="000000" w:sz="4" w:val="single"/>
              <w:right w:color="000000" w:sz="4" w:val="single"/>
            </w:tcBorders>
            <w:vAlign w:val="center"/>
          </w:tcPr>
          <w:p w14:paraId="B8110000">
            <w:pPr>
              <w:widowControl w:val="1"/>
              <w:spacing w:line="360" w:lineRule="auto"/>
              <w:ind/>
              <w:contextualSpacing w:val="1"/>
              <w:jc w:val="center"/>
              <w:rPr>
                <w:b w:val="1"/>
              </w:rPr>
            </w:pPr>
            <w:r>
              <w:rPr>
                <w:b w:val="1"/>
              </w:rPr>
              <w:t>201</w:t>
            </w:r>
            <w:r>
              <w:rPr>
                <w:b w:val="1"/>
              </w:rPr>
              <w:t>5</w:t>
            </w:r>
          </w:p>
        </w:tc>
        <w:tc>
          <w:tcPr>
            <w:tcW w:type="dxa" w:w="990"/>
            <w:tcBorders>
              <w:top w:color="000000" w:sz="4" w:val="single"/>
              <w:left w:color="000000" w:sz="4" w:val="single"/>
              <w:bottom w:color="000000" w:sz="4" w:val="single"/>
              <w:right w:color="000000" w:sz="4" w:val="single"/>
            </w:tcBorders>
            <w:vAlign w:val="center"/>
          </w:tcPr>
          <w:p w14:paraId="B9110000">
            <w:pPr>
              <w:widowControl w:val="1"/>
              <w:spacing w:line="360" w:lineRule="auto"/>
              <w:ind/>
              <w:contextualSpacing w:val="1"/>
              <w:jc w:val="center"/>
              <w:rPr>
                <w:b w:val="1"/>
              </w:rPr>
            </w:pPr>
            <w:r>
              <w:rPr>
                <w:b w:val="1"/>
              </w:rPr>
              <w:t>201</w:t>
            </w:r>
            <w:r>
              <w:rPr>
                <w:b w:val="1"/>
              </w:rPr>
              <w:t>6</w:t>
            </w:r>
          </w:p>
        </w:tc>
        <w:tc>
          <w:tcPr>
            <w:tcW w:type="dxa" w:w="1130"/>
            <w:tcBorders>
              <w:top w:color="000000" w:sz="4" w:val="single"/>
              <w:left w:color="000000" w:sz="4" w:val="single"/>
              <w:bottom w:color="000000" w:sz="4" w:val="single"/>
              <w:right w:color="000000" w:sz="4" w:val="single"/>
            </w:tcBorders>
          </w:tcPr>
          <w:p w14:paraId="BA110000">
            <w:pPr>
              <w:widowControl w:val="1"/>
              <w:spacing w:line="360" w:lineRule="auto"/>
              <w:ind/>
              <w:contextualSpacing w:val="1"/>
              <w:jc w:val="center"/>
              <w:rPr>
                <w:b w:val="1"/>
              </w:rPr>
            </w:pPr>
            <w:r>
              <w:rPr>
                <w:b w:val="1"/>
              </w:rPr>
              <w:t>201</w:t>
            </w:r>
            <w:r>
              <w:rPr>
                <w:b w:val="1"/>
              </w:rPr>
              <w:t>7</w:t>
            </w:r>
          </w:p>
        </w:tc>
        <w:tc>
          <w:tcPr>
            <w:tcW w:type="dxa" w:w="1127"/>
            <w:tcBorders>
              <w:top w:color="000000" w:sz="4" w:val="single"/>
              <w:left w:color="000000" w:sz="4" w:val="single"/>
              <w:bottom w:color="000000" w:sz="4" w:val="single"/>
              <w:right w:color="000000" w:sz="4" w:val="single"/>
            </w:tcBorders>
          </w:tcPr>
          <w:p w14:paraId="BB110000">
            <w:pPr>
              <w:widowControl w:val="1"/>
              <w:spacing w:line="360" w:lineRule="auto"/>
              <w:ind/>
              <w:contextualSpacing w:val="1"/>
              <w:jc w:val="center"/>
              <w:rPr>
                <w:b w:val="1"/>
              </w:rPr>
            </w:pPr>
            <w:r>
              <w:rPr>
                <w:b w:val="1"/>
              </w:rPr>
              <w:t>201</w:t>
            </w:r>
            <w:r>
              <w:rPr>
                <w:b w:val="1"/>
              </w:rPr>
              <w:t>8</w:t>
            </w:r>
          </w:p>
        </w:tc>
        <w:tc>
          <w:tcPr>
            <w:tcW w:type="dxa" w:w="1127"/>
            <w:tcBorders>
              <w:top w:color="000000" w:sz="4" w:val="single"/>
              <w:left w:color="000000" w:sz="4" w:val="single"/>
              <w:bottom w:color="000000" w:sz="4" w:val="single"/>
              <w:right w:color="000000" w:sz="4" w:val="single"/>
            </w:tcBorders>
          </w:tcPr>
          <w:p w14:paraId="BC110000">
            <w:pPr>
              <w:widowControl w:val="1"/>
              <w:spacing w:line="360" w:lineRule="auto"/>
              <w:ind/>
              <w:contextualSpacing w:val="1"/>
              <w:jc w:val="center"/>
              <w:rPr>
                <w:b w:val="1"/>
              </w:rPr>
            </w:pPr>
            <w:r>
              <w:rPr>
                <w:b w:val="1"/>
              </w:rPr>
              <w:t>201</w:t>
            </w:r>
            <w:r>
              <w:rPr>
                <w:b w:val="1"/>
              </w:rPr>
              <w:t>9</w:t>
            </w:r>
          </w:p>
        </w:tc>
      </w:tr>
      <w:tr>
        <w:tc>
          <w:tcPr>
            <w:tcW w:type="dxa" w:w="4649"/>
            <w:tcBorders>
              <w:top w:color="000000" w:sz="4" w:val="single"/>
              <w:left w:color="000000" w:sz="4" w:val="single"/>
              <w:bottom w:color="000000" w:sz="4" w:val="single"/>
              <w:right w:color="000000" w:sz="4" w:val="single"/>
            </w:tcBorders>
            <w:vAlign w:val="center"/>
          </w:tcPr>
          <w:p w14:paraId="BD110000">
            <w:pPr>
              <w:widowControl w:val="1"/>
              <w:spacing w:line="360" w:lineRule="auto"/>
              <w:ind/>
              <w:contextualSpacing w:val="1"/>
            </w:pPr>
            <w:r>
              <w:t>Переносные кассовые аппараты</w:t>
            </w:r>
          </w:p>
        </w:tc>
        <w:tc>
          <w:tcPr>
            <w:tcW w:type="dxa" w:w="989"/>
            <w:tcBorders>
              <w:top w:color="000000" w:sz="4" w:val="single"/>
              <w:left w:color="000000" w:sz="4" w:val="single"/>
              <w:bottom w:color="000000" w:sz="4" w:val="single"/>
              <w:right w:color="000000" w:sz="4" w:val="single"/>
            </w:tcBorders>
            <w:vAlign w:val="center"/>
          </w:tcPr>
          <w:p w14:paraId="BE110000">
            <w:pPr>
              <w:widowControl w:val="1"/>
              <w:spacing w:line="360" w:lineRule="auto"/>
              <w:ind/>
              <w:contextualSpacing w:val="1"/>
              <w:jc w:val="center"/>
            </w:pPr>
            <w:r>
              <w:t>0</w:t>
            </w:r>
          </w:p>
        </w:tc>
        <w:tc>
          <w:tcPr>
            <w:tcW w:type="dxa" w:w="990"/>
            <w:tcBorders>
              <w:top w:color="000000" w:sz="4" w:val="single"/>
              <w:left w:color="000000" w:sz="4" w:val="single"/>
              <w:bottom w:color="000000" w:sz="4" w:val="single"/>
              <w:right w:color="000000" w:sz="4" w:val="single"/>
            </w:tcBorders>
            <w:vAlign w:val="center"/>
          </w:tcPr>
          <w:p w14:paraId="BF110000">
            <w:pPr>
              <w:widowControl w:val="1"/>
              <w:spacing w:line="360" w:lineRule="auto"/>
              <w:ind/>
              <w:contextualSpacing w:val="1"/>
              <w:jc w:val="center"/>
            </w:pPr>
            <w:r>
              <w:t>0</w:t>
            </w:r>
          </w:p>
        </w:tc>
        <w:tc>
          <w:tcPr>
            <w:tcW w:type="dxa" w:w="1130"/>
            <w:tcBorders>
              <w:top w:color="000000" w:sz="4" w:val="single"/>
              <w:left w:color="000000" w:sz="4" w:val="single"/>
              <w:bottom w:color="000000" w:sz="4" w:val="single"/>
              <w:right w:color="000000" w:sz="4" w:val="single"/>
            </w:tcBorders>
            <w:vAlign w:val="center"/>
          </w:tcPr>
          <w:p w14:paraId="C0110000">
            <w:pPr>
              <w:widowControl w:val="1"/>
              <w:spacing w:line="360" w:lineRule="auto"/>
              <w:ind/>
              <w:contextualSpacing w:val="1"/>
              <w:jc w:val="center"/>
            </w:pPr>
            <w:r>
              <w:t>121</w:t>
            </w:r>
          </w:p>
        </w:tc>
        <w:tc>
          <w:tcPr>
            <w:tcW w:type="dxa" w:w="1127"/>
            <w:tcBorders>
              <w:top w:color="000000" w:sz="4" w:val="single"/>
              <w:left w:color="000000" w:sz="4" w:val="single"/>
              <w:bottom w:color="000000" w:sz="4" w:val="single"/>
              <w:right w:color="000000" w:sz="4" w:val="single"/>
            </w:tcBorders>
          </w:tcPr>
          <w:p w14:paraId="C1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C2110000">
            <w:pPr>
              <w:widowControl w:val="1"/>
              <w:spacing w:line="360" w:lineRule="auto"/>
              <w:ind/>
              <w:contextualSpacing w:val="1"/>
              <w:jc w:val="center"/>
            </w:pPr>
            <w:r>
              <w:t>15</w:t>
            </w:r>
          </w:p>
        </w:tc>
      </w:tr>
      <w:tr>
        <w:tc>
          <w:tcPr>
            <w:tcW w:type="dxa" w:w="4649"/>
            <w:tcBorders>
              <w:top w:color="000000" w:sz="4" w:val="single"/>
              <w:left w:color="000000" w:sz="4" w:val="single"/>
              <w:bottom w:color="000000" w:sz="4" w:val="single"/>
              <w:right w:color="000000" w:sz="4" w:val="single"/>
            </w:tcBorders>
            <w:vAlign w:val="center"/>
          </w:tcPr>
          <w:p w14:paraId="C3110000">
            <w:pPr>
              <w:widowControl w:val="1"/>
              <w:spacing w:line="360" w:lineRule="auto"/>
              <w:ind/>
              <w:contextualSpacing w:val="1"/>
            </w:pPr>
            <w:r>
              <w:t>АРМ Билетного кассира</w:t>
            </w:r>
          </w:p>
        </w:tc>
        <w:tc>
          <w:tcPr>
            <w:tcW w:type="dxa" w:w="989"/>
            <w:tcBorders>
              <w:top w:color="000000" w:sz="4" w:val="single"/>
              <w:left w:color="000000" w:sz="4" w:val="single"/>
              <w:bottom w:color="000000" w:sz="4" w:val="single"/>
              <w:right w:color="000000" w:sz="4" w:val="single"/>
            </w:tcBorders>
            <w:vAlign w:val="center"/>
          </w:tcPr>
          <w:p w14:paraId="C4110000">
            <w:pPr>
              <w:widowControl w:val="1"/>
              <w:spacing w:line="360" w:lineRule="auto"/>
              <w:ind/>
              <w:contextualSpacing w:val="1"/>
              <w:jc w:val="center"/>
            </w:pPr>
            <w:r>
              <w:t>7</w:t>
            </w:r>
          </w:p>
        </w:tc>
        <w:tc>
          <w:tcPr>
            <w:tcW w:type="dxa" w:w="990"/>
            <w:tcBorders>
              <w:top w:color="000000" w:sz="4" w:val="single"/>
              <w:left w:color="000000" w:sz="4" w:val="single"/>
              <w:bottom w:color="000000" w:sz="4" w:val="single"/>
              <w:right w:color="000000" w:sz="4" w:val="single"/>
            </w:tcBorders>
            <w:vAlign w:val="center"/>
          </w:tcPr>
          <w:p w14:paraId="C5110000">
            <w:pPr>
              <w:widowControl w:val="1"/>
              <w:spacing w:line="360" w:lineRule="auto"/>
              <w:ind/>
              <w:contextualSpacing w:val="1"/>
              <w:jc w:val="center"/>
            </w:pPr>
            <w:r>
              <w:t>0</w:t>
            </w:r>
          </w:p>
        </w:tc>
        <w:tc>
          <w:tcPr>
            <w:tcW w:type="dxa" w:w="1130"/>
            <w:tcBorders>
              <w:top w:color="000000" w:sz="4" w:val="single"/>
              <w:left w:color="000000" w:sz="4" w:val="single"/>
              <w:bottom w:color="000000" w:sz="4" w:val="single"/>
              <w:right w:color="000000" w:sz="4" w:val="single"/>
            </w:tcBorders>
            <w:vAlign w:val="center"/>
          </w:tcPr>
          <w:p w14:paraId="C6110000">
            <w:pPr>
              <w:widowControl w:val="1"/>
              <w:spacing w:line="360" w:lineRule="auto"/>
              <w:ind/>
              <w:contextualSpacing w:val="1"/>
              <w:jc w:val="center"/>
            </w:pPr>
            <w:r>
              <w:t>20</w:t>
            </w:r>
          </w:p>
        </w:tc>
        <w:tc>
          <w:tcPr>
            <w:tcW w:type="dxa" w:w="1127"/>
            <w:tcBorders>
              <w:top w:color="000000" w:sz="4" w:val="single"/>
              <w:left w:color="000000" w:sz="4" w:val="single"/>
              <w:bottom w:color="000000" w:sz="4" w:val="single"/>
              <w:right w:color="000000" w:sz="4" w:val="single"/>
            </w:tcBorders>
          </w:tcPr>
          <w:p w14:paraId="C7110000">
            <w:pPr>
              <w:widowControl w:val="1"/>
              <w:spacing w:line="360" w:lineRule="auto"/>
              <w:ind/>
              <w:contextualSpacing w:val="1"/>
              <w:jc w:val="center"/>
            </w:pPr>
            <w:r>
              <w:t>14</w:t>
            </w:r>
          </w:p>
        </w:tc>
        <w:tc>
          <w:tcPr>
            <w:tcW w:type="dxa" w:w="1127"/>
            <w:tcBorders>
              <w:top w:color="000000" w:sz="4" w:val="single"/>
              <w:left w:color="000000" w:sz="4" w:val="single"/>
              <w:bottom w:color="000000" w:sz="4" w:val="single"/>
              <w:right w:color="000000" w:sz="4" w:val="single"/>
            </w:tcBorders>
          </w:tcPr>
          <w:p w14:paraId="C8110000">
            <w:pPr>
              <w:widowControl w:val="1"/>
              <w:spacing w:line="360" w:lineRule="auto"/>
              <w:ind/>
              <w:contextualSpacing w:val="1"/>
              <w:jc w:val="center"/>
            </w:pPr>
            <w:r>
              <w:t>15</w:t>
            </w:r>
          </w:p>
        </w:tc>
      </w:tr>
      <w:tr>
        <w:tc>
          <w:tcPr>
            <w:tcW w:type="dxa" w:w="4649"/>
            <w:tcBorders>
              <w:top w:color="000000" w:sz="4" w:val="single"/>
              <w:left w:color="000000" w:sz="4" w:val="single"/>
              <w:bottom w:color="000000" w:sz="4" w:val="single"/>
              <w:right w:color="000000" w:sz="4" w:val="single"/>
            </w:tcBorders>
            <w:vAlign w:val="center"/>
          </w:tcPr>
          <w:p w14:paraId="C9110000">
            <w:pPr>
              <w:widowControl w:val="1"/>
              <w:spacing w:line="360" w:lineRule="auto"/>
              <w:ind/>
              <w:contextualSpacing w:val="1"/>
            </w:pPr>
            <w:r>
              <w:t>Фискальные регистраторы</w:t>
            </w:r>
          </w:p>
        </w:tc>
        <w:tc>
          <w:tcPr>
            <w:tcW w:type="dxa" w:w="989"/>
            <w:tcBorders>
              <w:top w:color="000000" w:sz="4" w:val="single"/>
              <w:left w:color="000000" w:sz="4" w:val="single"/>
              <w:bottom w:color="000000" w:sz="4" w:val="single"/>
              <w:right w:color="000000" w:sz="4" w:val="single"/>
            </w:tcBorders>
            <w:vAlign w:val="center"/>
          </w:tcPr>
          <w:p w14:paraId="CA110000">
            <w:pPr>
              <w:widowControl w:val="1"/>
              <w:spacing w:line="360" w:lineRule="auto"/>
              <w:ind/>
              <w:contextualSpacing w:val="1"/>
              <w:jc w:val="center"/>
            </w:pPr>
            <w:r>
              <w:t>0</w:t>
            </w:r>
          </w:p>
        </w:tc>
        <w:tc>
          <w:tcPr>
            <w:tcW w:type="dxa" w:w="990"/>
            <w:tcBorders>
              <w:top w:color="000000" w:sz="4" w:val="single"/>
              <w:left w:color="000000" w:sz="4" w:val="single"/>
              <w:bottom w:color="000000" w:sz="4" w:val="single"/>
              <w:right w:color="000000" w:sz="4" w:val="single"/>
            </w:tcBorders>
            <w:vAlign w:val="center"/>
          </w:tcPr>
          <w:p w14:paraId="CB110000">
            <w:pPr>
              <w:widowControl w:val="1"/>
              <w:spacing w:line="360" w:lineRule="auto"/>
              <w:ind/>
              <w:contextualSpacing w:val="1"/>
              <w:jc w:val="center"/>
            </w:pPr>
            <w:r>
              <w:t>0</w:t>
            </w:r>
          </w:p>
        </w:tc>
        <w:tc>
          <w:tcPr>
            <w:tcW w:type="dxa" w:w="1130"/>
            <w:tcBorders>
              <w:top w:color="000000" w:sz="4" w:val="single"/>
              <w:left w:color="000000" w:sz="4" w:val="single"/>
              <w:bottom w:color="000000" w:sz="4" w:val="single"/>
              <w:right w:color="000000" w:sz="4" w:val="single"/>
            </w:tcBorders>
            <w:vAlign w:val="center"/>
          </w:tcPr>
          <w:p w14:paraId="CC110000">
            <w:pPr>
              <w:widowControl w:val="1"/>
              <w:spacing w:line="360" w:lineRule="auto"/>
              <w:ind/>
              <w:contextualSpacing w:val="1"/>
              <w:jc w:val="center"/>
            </w:pPr>
            <w:r>
              <w:t>85</w:t>
            </w:r>
          </w:p>
        </w:tc>
        <w:tc>
          <w:tcPr>
            <w:tcW w:type="dxa" w:w="1127"/>
            <w:tcBorders>
              <w:top w:color="000000" w:sz="4" w:val="single"/>
              <w:left w:color="000000" w:sz="4" w:val="single"/>
              <w:bottom w:color="000000" w:sz="4" w:val="single"/>
              <w:right w:color="000000" w:sz="4" w:val="single"/>
            </w:tcBorders>
          </w:tcPr>
          <w:p w14:paraId="CD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CE110000">
            <w:pPr>
              <w:widowControl w:val="1"/>
              <w:spacing w:line="360" w:lineRule="auto"/>
              <w:ind/>
              <w:contextualSpacing w:val="1"/>
              <w:jc w:val="center"/>
            </w:pPr>
            <w:r>
              <w:t>0</w:t>
            </w:r>
          </w:p>
        </w:tc>
      </w:tr>
      <w:tr>
        <w:tc>
          <w:tcPr>
            <w:tcW w:type="dxa" w:w="4649"/>
            <w:tcBorders>
              <w:top w:color="000000" w:sz="4" w:val="single"/>
              <w:left w:color="000000" w:sz="4" w:val="single"/>
              <w:bottom w:color="000000" w:sz="4" w:val="single"/>
              <w:right w:color="000000" w:sz="4" w:val="single"/>
            </w:tcBorders>
            <w:vAlign w:val="center"/>
          </w:tcPr>
          <w:p w14:paraId="CF110000">
            <w:pPr>
              <w:widowControl w:val="1"/>
              <w:spacing w:line="360" w:lineRule="auto"/>
              <w:ind/>
              <w:contextualSpacing w:val="1"/>
            </w:pPr>
            <w:r>
              <w:t>Терминалы самообслуживания</w:t>
            </w:r>
          </w:p>
        </w:tc>
        <w:tc>
          <w:tcPr>
            <w:tcW w:type="dxa" w:w="989"/>
            <w:tcBorders>
              <w:top w:color="000000" w:sz="4" w:val="single"/>
              <w:left w:color="000000" w:sz="4" w:val="single"/>
              <w:bottom w:color="000000" w:sz="4" w:val="single"/>
              <w:right w:color="000000" w:sz="4" w:val="single"/>
            </w:tcBorders>
            <w:vAlign w:val="center"/>
          </w:tcPr>
          <w:p w14:paraId="D0110000">
            <w:pPr>
              <w:widowControl w:val="1"/>
              <w:spacing w:line="360" w:lineRule="auto"/>
              <w:ind/>
              <w:contextualSpacing w:val="1"/>
              <w:jc w:val="center"/>
            </w:pPr>
            <w:r>
              <w:t>0</w:t>
            </w:r>
          </w:p>
        </w:tc>
        <w:tc>
          <w:tcPr>
            <w:tcW w:type="dxa" w:w="990"/>
            <w:tcBorders>
              <w:top w:color="000000" w:sz="4" w:val="single"/>
              <w:left w:color="000000" w:sz="4" w:val="single"/>
              <w:bottom w:color="000000" w:sz="4" w:val="single"/>
              <w:right w:color="000000" w:sz="4" w:val="single"/>
            </w:tcBorders>
            <w:vAlign w:val="center"/>
          </w:tcPr>
          <w:p w14:paraId="D1110000">
            <w:pPr>
              <w:widowControl w:val="1"/>
              <w:spacing w:line="360" w:lineRule="auto"/>
              <w:ind/>
              <w:contextualSpacing w:val="1"/>
              <w:jc w:val="center"/>
            </w:pPr>
            <w:r>
              <w:t>0</w:t>
            </w:r>
          </w:p>
        </w:tc>
        <w:tc>
          <w:tcPr>
            <w:tcW w:type="dxa" w:w="1130"/>
            <w:tcBorders>
              <w:top w:color="000000" w:sz="4" w:val="single"/>
              <w:left w:color="000000" w:sz="4" w:val="single"/>
              <w:bottom w:color="000000" w:sz="4" w:val="single"/>
              <w:right w:color="000000" w:sz="4" w:val="single"/>
            </w:tcBorders>
            <w:vAlign w:val="center"/>
          </w:tcPr>
          <w:p w14:paraId="D2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D3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D4110000">
            <w:pPr>
              <w:widowControl w:val="1"/>
              <w:spacing w:line="360" w:lineRule="auto"/>
              <w:ind/>
              <w:contextualSpacing w:val="1"/>
              <w:jc w:val="center"/>
            </w:pPr>
            <w:r>
              <w:t>0</w:t>
            </w:r>
          </w:p>
        </w:tc>
      </w:tr>
      <w:tr>
        <w:tc>
          <w:tcPr>
            <w:tcW w:type="dxa" w:w="4649"/>
            <w:tcBorders>
              <w:top w:color="000000" w:sz="4" w:val="single"/>
              <w:left w:color="000000" w:sz="4" w:val="single"/>
              <w:bottom w:color="000000" w:sz="4" w:val="single"/>
              <w:right w:color="000000" w:sz="4" w:val="single"/>
            </w:tcBorders>
            <w:vAlign w:val="center"/>
          </w:tcPr>
          <w:p w14:paraId="D5110000">
            <w:pPr>
              <w:widowControl w:val="1"/>
              <w:spacing w:line="360" w:lineRule="auto"/>
              <w:ind/>
              <w:contextualSpacing w:val="1"/>
            </w:pPr>
            <w:r>
              <w:t>Серверное оборудование</w:t>
            </w:r>
          </w:p>
        </w:tc>
        <w:tc>
          <w:tcPr>
            <w:tcW w:type="dxa" w:w="989"/>
            <w:tcBorders>
              <w:top w:color="000000" w:sz="4" w:val="single"/>
              <w:left w:color="000000" w:sz="4" w:val="single"/>
              <w:bottom w:color="000000" w:sz="4" w:val="single"/>
              <w:right w:color="000000" w:sz="4" w:val="single"/>
            </w:tcBorders>
            <w:vAlign w:val="center"/>
          </w:tcPr>
          <w:p w14:paraId="D6110000">
            <w:pPr>
              <w:widowControl w:val="1"/>
              <w:spacing w:line="360" w:lineRule="auto"/>
              <w:ind/>
              <w:contextualSpacing w:val="1"/>
              <w:jc w:val="center"/>
            </w:pPr>
            <w:r>
              <w:t>1</w:t>
            </w:r>
          </w:p>
        </w:tc>
        <w:tc>
          <w:tcPr>
            <w:tcW w:type="dxa" w:w="990"/>
            <w:tcBorders>
              <w:top w:color="000000" w:sz="4" w:val="single"/>
              <w:left w:color="000000" w:sz="4" w:val="single"/>
              <w:bottom w:color="000000" w:sz="4" w:val="single"/>
              <w:right w:color="000000" w:sz="4" w:val="single"/>
            </w:tcBorders>
            <w:vAlign w:val="center"/>
          </w:tcPr>
          <w:p w14:paraId="D7110000">
            <w:pPr>
              <w:widowControl w:val="1"/>
              <w:spacing w:line="360" w:lineRule="auto"/>
              <w:ind/>
              <w:contextualSpacing w:val="1"/>
              <w:jc w:val="center"/>
            </w:pPr>
            <w:r>
              <w:t>3</w:t>
            </w:r>
          </w:p>
        </w:tc>
        <w:tc>
          <w:tcPr>
            <w:tcW w:type="dxa" w:w="1130"/>
            <w:tcBorders>
              <w:top w:color="000000" w:sz="4" w:val="single"/>
              <w:left w:color="000000" w:sz="4" w:val="single"/>
              <w:bottom w:color="000000" w:sz="4" w:val="single"/>
              <w:right w:color="000000" w:sz="4" w:val="single"/>
            </w:tcBorders>
            <w:vAlign w:val="center"/>
          </w:tcPr>
          <w:p w14:paraId="D8110000">
            <w:pPr>
              <w:widowControl w:val="1"/>
              <w:spacing w:line="360" w:lineRule="auto"/>
              <w:ind/>
              <w:contextualSpacing w:val="1"/>
              <w:jc w:val="center"/>
            </w:pPr>
            <w:r>
              <w:t>1</w:t>
            </w:r>
          </w:p>
        </w:tc>
        <w:tc>
          <w:tcPr>
            <w:tcW w:type="dxa" w:w="1127"/>
            <w:tcBorders>
              <w:top w:color="000000" w:sz="4" w:val="single"/>
              <w:left w:color="000000" w:sz="4" w:val="single"/>
              <w:bottom w:color="000000" w:sz="4" w:val="single"/>
              <w:right w:color="000000" w:sz="4" w:val="single"/>
            </w:tcBorders>
          </w:tcPr>
          <w:p w14:paraId="D9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DA110000">
            <w:pPr>
              <w:widowControl w:val="1"/>
              <w:spacing w:line="360" w:lineRule="auto"/>
              <w:ind/>
              <w:contextualSpacing w:val="1"/>
              <w:jc w:val="center"/>
            </w:pPr>
            <w:r>
              <w:t>0</w:t>
            </w:r>
          </w:p>
        </w:tc>
      </w:tr>
      <w:tr>
        <w:tc>
          <w:tcPr>
            <w:tcW w:type="dxa" w:w="4649"/>
            <w:tcBorders>
              <w:top w:color="000000" w:sz="4" w:val="single"/>
              <w:left w:color="000000" w:sz="4" w:val="single"/>
              <w:bottom w:color="000000" w:sz="4" w:val="single"/>
              <w:right w:color="000000" w:sz="4" w:val="single"/>
            </w:tcBorders>
            <w:vAlign w:val="center"/>
          </w:tcPr>
          <w:p w14:paraId="DB110000">
            <w:pPr>
              <w:widowControl w:val="1"/>
              <w:spacing w:line="360" w:lineRule="auto"/>
              <w:ind/>
              <w:contextualSpacing w:val="1"/>
            </w:pPr>
            <w:r>
              <w:t>Персональные компьютеры</w:t>
            </w:r>
          </w:p>
        </w:tc>
        <w:tc>
          <w:tcPr>
            <w:tcW w:type="dxa" w:w="989"/>
            <w:tcBorders>
              <w:top w:color="000000" w:sz="4" w:val="single"/>
              <w:left w:color="000000" w:sz="4" w:val="single"/>
              <w:bottom w:color="000000" w:sz="4" w:val="single"/>
              <w:right w:color="000000" w:sz="4" w:val="single"/>
            </w:tcBorders>
            <w:vAlign w:val="center"/>
          </w:tcPr>
          <w:p w14:paraId="DC110000">
            <w:pPr>
              <w:widowControl w:val="1"/>
              <w:spacing w:line="360" w:lineRule="auto"/>
              <w:ind/>
              <w:contextualSpacing w:val="1"/>
              <w:jc w:val="center"/>
            </w:pPr>
            <w:r>
              <w:t>8</w:t>
            </w:r>
          </w:p>
        </w:tc>
        <w:tc>
          <w:tcPr>
            <w:tcW w:type="dxa" w:w="990"/>
            <w:tcBorders>
              <w:top w:color="000000" w:sz="4" w:val="single"/>
              <w:left w:color="000000" w:sz="4" w:val="single"/>
              <w:bottom w:color="000000" w:sz="4" w:val="single"/>
              <w:right w:color="000000" w:sz="4" w:val="single"/>
            </w:tcBorders>
            <w:vAlign w:val="center"/>
          </w:tcPr>
          <w:p w14:paraId="DD110000">
            <w:pPr>
              <w:widowControl w:val="1"/>
              <w:spacing w:line="360" w:lineRule="auto"/>
              <w:ind/>
              <w:contextualSpacing w:val="1"/>
              <w:jc w:val="center"/>
            </w:pPr>
            <w:r>
              <w:t>0</w:t>
            </w:r>
          </w:p>
        </w:tc>
        <w:tc>
          <w:tcPr>
            <w:tcW w:type="dxa" w:w="1130"/>
            <w:tcBorders>
              <w:top w:color="000000" w:sz="4" w:val="single"/>
              <w:left w:color="000000" w:sz="4" w:val="single"/>
              <w:bottom w:color="000000" w:sz="4" w:val="single"/>
              <w:right w:color="000000" w:sz="4" w:val="single"/>
            </w:tcBorders>
            <w:vAlign w:val="center"/>
          </w:tcPr>
          <w:p w14:paraId="DE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DF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E0110000">
            <w:pPr>
              <w:widowControl w:val="1"/>
              <w:spacing w:line="360" w:lineRule="auto"/>
              <w:ind/>
              <w:contextualSpacing w:val="1"/>
              <w:jc w:val="center"/>
            </w:pPr>
            <w:r>
              <w:t>0</w:t>
            </w:r>
          </w:p>
        </w:tc>
      </w:tr>
      <w:tr>
        <w:tc>
          <w:tcPr>
            <w:tcW w:type="dxa" w:w="4649"/>
            <w:tcBorders>
              <w:top w:color="000000" w:sz="4" w:val="single"/>
              <w:left w:color="000000" w:sz="4" w:val="single"/>
              <w:bottom w:color="000000" w:sz="4" w:val="single"/>
              <w:right w:color="000000" w:sz="4" w:val="single"/>
            </w:tcBorders>
            <w:vAlign w:val="center"/>
          </w:tcPr>
          <w:p w14:paraId="E1110000">
            <w:pPr>
              <w:widowControl w:val="1"/>
              <w:spacing w:line="360" w:lineRule="auto"/>
              <w:ind/>
              <w:contextualSpacing w:val="1"/>
            </w:pPr>
            <w:r>
              <w:t>Мобильные устройства</w:t>
            </w:r>
          </w:p>
        </w:tc>
        <w:tc>
          <w:tcPr>
            <w:tcW w:type="dxa" w:w="989"/>
            <w:tcBorders>
              <w:top w:color="000000" w:sz="4" w:val="single"/>
              <w:left w:color="000000" w:sz="4" w:val="single"/>
              <w:bottom w:color="000000" w:sz="4" w:val="single"/>
              <w:right w:color="000000" w:sz="4" w:val="single"/>
            </w:tcBorders>
            <w:vAlign w:val="center"/>
          </w:tcPr>
          <w:p w14:paraId="E2110000">
            <w:pPr>
              <w:widowControl w:val="1"/>
              <w:spacing w:line="360" w:lineRule="auto"/>
              <w:ind/>
              <w:contextualSpacing w:val="1"/>
              <w:jc w:val="center"/>
            </w:pPr>
            <w:r>
              <w:t>2</w:t>
            </w:r>
          </w:p>
        </w:tc>
        <w:tc>
          <w:tcPr>
            <w:tcW w:type="dxa" w:w="990"/>
            <w:tcBorders>
              <w:top w:color="000000" w:sz="4" w:val="single"/>
              <w:left w:color="000000" w:sz="4" w:val="single"/>
              <w:bottom w:color="000000" w:sz="4" w:val="single"/>
              <w:right w:color="000000" w:sz="4" w:val="single"/>
            </w:tcBorders>
            <w:vAlign w:val="center"/>
          </w:tcPr>
          <w:p w14:paraId="E3110000">
            <w:pPr>
              <w:widowControl w:val="1"/>
              <w:spacing w:line="360" w:lineRule="auto"/>
              <w:ind/>
              <w:contextualSpacing w:val="1"/>
              <w:jc w:val="center"/>
            </w:pPr>
            <w:r>
              <w:t>2</w:t>
            </w:r>
          </w:p>
        </w:tc>
        <w:tc>
          <w:tcPr>
            <w:tcW w:type="dxa" w:w="1130"/>
            <w:tcBorders>
              <w:top w:color="000000" w:sz="4" w:val="single"/>
              <w:left w:color="000000" w:sz="4" w:val="single"/>
              <w:bottom w:color="000000" w:sz="4" w:val="single"/>
              <w:right w:color="000000" w:sz="4" w:val="single"/>
            </w:tcBorders>
            <w:vAlign w:val="center"/>
          </w:tcPr>
          <w:p w14:paraId="E4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E511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E6110000">
            <w:pPr>
              <w:widowControl w:val="1"/>
              <w:spacing w:line="360" w:lineRule="auto"/>
              <w:ind/>
              <w:contextualSpacing w:val="1"/>
              <w:jc w:val="center"/>
            </w:pPr>
            <w:r>
              <w:t>0</w:t>
            </w:r>
          </w:p>
        </w:tc>
      </w:tr>
      <w:tr>
        <w:tc>
          <w:tcPr>
            <w:tcW w:type="dxa" w:w="4649"/>
            <w:tcBorders>
              <w:top w:color="000000" w:sz="4" w:val="single"/>
              <w:left w:color="000000" w:sz="4" w:val="single"/>
              <w:bottom w:color="000000" w:sz="4" w:val="single"/>
              <w:right w:color="000000" w:sz="4" w:val="single"/>
            </w:tcBorders>
            <w:vAlign w:val="center"/>
          </w:tcPr>
          <w:p w14:paraId="E7110000">
            <w:pPr>
              <w:widowControl w:val="1"/>
              <w:spacing w:line="360" w:lineRule="auto"/>
              <w:ind/>
              <w:contextualSpacing w:val="1"/>
            </w:pPr>
            <w:r>
              <w:t>МФУ</w:t>
            </w:r>
          </w:p>
        </w:tc>
        <w:tc>
          <w:tcPr>
            <w:tcW w:type="dxa" w:w="989"/>
            <w:tcBorders>
              <w:top w:color="000000" w:sz="4" w:val="single"/>
              <w:left w:color="000000" w:sz="4" w:val="single"/>
              <w:bottom w:color="000000" w:sz="4" w:val="single"/>
              <w:right w:color="000000" w:sz="4" w:val="single"/>
            </w:tcBorders>
            <w:vAlign w:val="center"/>
          </w:tcPr>
          <w:p w14:paraId="E8110000">
            <w:pPr>
              <w:widowControl w:val="1"/>
              <w:spacing w:line="360" w:lineRule="auto"/>
              <w:ind/>
              <w:contextualSpacing w:val="1"/>
              <w:jc w:val="center"/>
            </w:pPr>
            <w:r>
              <w:t>9</w:t>
            </w:r>
          </w:p>
        </w:tc>
        <w:tc>
          <w:tcPr>
            <w:tcW w:type="dxa" w:w="990"/>
            <w:tcBorders>
              <w:top w:color="000000" w:sz="4" w:val="single"/>
              <w:left w:color="000000" w:sz="4" w:val="single"/>
              <w:bottom w:color="000000" w:sz="4" w:val="single"/>
              <w:right w:color="000000" w:sz="4" w:val="single"/>
            </w:tcBorders>
            <w:vAlign w:val="center"/>
          </w:tcPr>
          <w:p w14:paraId="E9110000">
            <w:pPr>
              <w:widowControl w:val="1"/>
              <w:spacing w:line="360" w:lineRule="auto"/>
              <w:ind/>
              <w:contextualSpacing w:val="1"/>
              <w:jc w:val="center"/>
            </w:pPr>
            <w:r>
              <w:t>0</w:t>
            </w:r>
          </w:p>
        </w:tc>
        <w:tc>
          <w:tcPr>
            <w:tcW w:type="dxa" w:w="1130"/>
            <w:tcBorders>
              <w:top w:color="000000" w:sz="4" w:val="single"/>
              <w:left w:color="000000" w:sz="4" w:val="single"/>
              <w:bottom w:color="000000" w:sz="4" w:val="single"/>
              <w:right w:color="000000" w:sz="4" w:val="single"/>
            </w:tcBorders>
            <w:vAlign w:val="center"/>
          </w:tcPr>
          <w:p w14:paraId="EA110000">
            <w:pPr>
              <w:widowControl w:val="1"/>
              <w:spacing w:line="360" w:lineRule="auto"/>
              <w:ind/>
              <w:contextualSpacing w:val="1"/>
              <w:jc w:val="center"/>
            </w:pPr>
            <w:r>
              <w:t>2</w:t>
            </w:r>
          </w:p>
        </w:tc>
        <w:tc>
          <w:tcPr>
            <w:tcW w:type="dxa" w:w="1127"/>
            <w:tcBorders>
              <w:top w:color="000000" w:sz="4" w:val="single"/>
              <w:left w:color="000000" w:sz="4" w:val="single"/>
              <w:bottom w:color="000000" w:sz="4" w:val="single"/>
              <w:right w:color="000000" w:sz="4" w:val="single"/>
            </w:tcBorders>
          </w:tcPr>
          <w:p w14:paraId="EB110000">
            <w:pPr>
              <w:widowControl w:val="1"/>
              <w:spacing w:line="360" w:lineRule="auto"/>
              <w:ind/>
              <w:contextualSpacing w:val="1"/>
              <w:jc w:val="center"/>
            </w:pPr>
            <w:r>
              <w:t>1</w:t>
            </w:r>
          </w:p>
        </w:tc>
        <w:tc>
          <w:tcPr>
            <w:tcW w:type="dxa" w:w="1127"/>
            <w:tcBorders>
              <w:top w:color="000000" w:sz="4" w:val="single"/>
              <w:left w:color="000000" w:sz="4" w:val="single"/>
              <w:bottom w:color="000000" w:sz="4" w:val="single"/>
              <w:right w:color="000000" w:sz="4" w:val="single"/>
            </w:tcBorders>
          </w:tcPr>
          <w:p w14:paraId="EC110000">
            <w:pPr>
              <w:widowControl w:val="1"/>
              <w:spacing w:line="360" w:lineRule="auto"/>
              <w:ind/>
              <w:contextualSpacing w:val="1"/>
              <w:jc w:val="center"/>
            </w:pPr>
            <w:r>
              <w:t>0</w:t>
            </w:r>
          </w:p>
        </w:tc>
      </w:tr>
    </w:tbl>
    <w:p w14:paraId="ED110000">
      <w:pPr>
        <w:widowControl w:val="1"/>
        <w:spacing w:line="360" w:lineRule="auto"/>
        <w:ind w:firstLine="709"/>
        <w:contextualSpacing w:val="1"/>
        <w:jc w:val="right"/>
      </w:pPr>
    </w:p>
    <w:p w14:paraId="EE110000">
      <w:pPr>
        <w:widowControl w:val="1"/>
        <w:spacing w:line="360" w:lineRule="auto"/>
        <w:ind w:firstLine="709"/>
        <w:contextualSpacing w:val="1"/>
        <w:jc w:val="right"/>
      </w:pPr>
      <w:r>
        <w:t xml:space="preserve">Таблица №8.3 </w:t>
      </w:r>
    </w:p>
    <w:p w14:paraId="EF110000">
      <w:pPr>
        <w:widowControl w:val="1"/>
        <w:spacing w:line="360" w:lineRule="auto"/>
        <w:ind w:firstLine="709"/>
        <w:contextualSpacing w:val="1"/>
        <w:jc w:val="center"/>
      </w:pPr>
      <w:r>
        <w:t>Объемы ремонта оборудования</w:t>
      </w:r>
    </w:p>
    <w:tbl>
      <w:tblPr>
        <w:tblStyle w:val="Style_4"/>
        <w:tblW w:type="auto" w:w="0"/>
        <w:jc w:val="center"/>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4684"/>
        <w:gridCol w:w="1119"/>
        <w:gridCol w:w="860"/>
        <w:gridCol w:w="1130"/>
        <w:gridCol w:w="1127"/>
        <w:gridCol w:w="1127"/>
      </w:tblGrid>
      <w:tr>
        <w:trPr>
          <w:tblHeader/>
        </w:trPr>
        <w:tc>
          <w:tcPr>
            <w:tcW w:type="dxa" w:w="4684"/>
            <w:tcBorders>
              <w:top w:color="000000" w:sz="4" w:val="single"/>
              <w:left w:color="000000" w:sz="4" w:val="single"/>
              <w:bottom w:color="000000" w:sz="4" w:val="single"/>
              <w:right w:color="000000" w:sz="4" w:val="single"/>
            </w:tcBorders>
            <w:vAlign w:val="center"/>
          </w:tcPr>
          <w:p w14:paraId="F0110000">
            <w:pPr>
              <w:widowControl w:val="1"/>
              <w:spacing w:line="360" w:lineRule="auto"/>
              <w:ind/>
              <w:contextualSpacing w:val="1"/>
              <w:rPr>
                <w:b w:val="1"/>
              </w:rPr>
            </w:pPr>
            <w:r>
              <w:rPr>
                <w:b w:val="1"/>
              </w:rPr>
              <w:t>Оборудование</w:t>
            </w:r>
          </w:p>
        </w:tc>
        <w:tc>
          <w:tcPr>
            <w:tcW w:type="dxa" w:w="1119"/>
            <w:tcBorders>
              <w:top w:color="000000" w:sz="4" w:val="single"/>
              <w:left w:color="000000" w:sz="4" w:val="single"/>
              <w:bottom w:color="000000" w:sz="4" w:val="single"/>
              <w:right w:color="000000" w:sz="4" w:val="single"/>
            </w:tcBorders>
            <w:vAlign w:val="center"/>
          </w:tcPr>
          <w:p w14:paraId="F1110000">
            <w:pPr>
              <w:widowControl w:val="1"/>
              <w:spacing w:line="360" w:lineRule="auto"/>
              <w:ind/>
              <w:contextualSpacing w:val="1"/>
              <w:jc w:val="center"/>
              <w:rPr>
                <w:b w:val="1"/>
              </w:rPr>
            </w:pPr>
            <w:r>
              <w:rPr>
                <w:b w:val="1"/>
              </w:rPr>
              <w:t>201</w:t>
            </w:r>
            <w:r>
              <w:rPr>
                <w:b w:val="1"/>
              </w:rPr>
              <w:t>5</w:t>
            </w:r>
          </w:p>
        </w:tc>
        <w:tc>
          <w:tcPr>
            <w:tcW w:type="dxa" w:w="860"/>
            <w:tcBorders>
              <w:top w:color="000000" w:sz="4" w:val="single"/>
              <w:left w:color="000000" w:sz="4" w:val="single"/>
              <w:bottom w:color="000000" w:sz="4" w:val="single"/>
              <w:right w:color="000000" w:sz="4" w:val="single"/>
            </w:tcBorders>
            <w:vAlign w:val="center"/>
          </w:tcPr>
          <w:p w14:paraId="F2110000">
            <w:pPr>
              <w:widowControl w:val="1"/>
              <w:spacing w:line="360" w:lineRule="auto"/>
              <w:ind/>
              <w:contextualSpacing w:val="1"/>
              <w:jc w:val="center"/>
              <w:rPr>
                <w:b w:val="1"/>
              </w:rPr>
            </w:pPr>
            <w:r>
              <w:rPr>
                <w:b w:val="1"/>
              </w:rPr>
              <w:t>201</w:t>
            </w:r>
            <w:r>
              <w:rPr>
                <w:b w:val="1"/>
              </w:rPr>
              <w:t>6</w:t>
            </w:r>
          </w:p>
        </w:tc>
        <w:tc>
          <w:tcPr>
            <w:tcW w:type="dxa" w:w="1130"/>
            <w:tcBorders>
              <w:top w:color="000000" w:sz="4" w:val="single"/>
              <w:left w:color="000000" w:sz="4" w:val="single"/>
              <w:bottom w:color="000000" w:sz="4" w:val="single"/>
              <w:right w:color="000000" w:sz="4" w:val="single"/>
            </w:tcBorders>
          </w:tcPr>
          <w:p w14:paraId="F3110000">
            <w:pPr>
              <w:widowControl w:val="1"/>
              <w:spacing w:line="360" w:lineRule="auto"/>
              <w:ind/>
              <w:contextualSpacing w:val="1"/>
              <w:jc w:val="center"/>
              <w:rPr>
                <w:b w:val="1"/>
              </w:rPr>
            </w:pPr>
            <w:r>
              <w:rPr>
                <w:b w:val="1"/>
              </w:rPr>
              <w:t>201</w:t>
            </w:r>
            <w:r>
              <w:rPr>
                <w:b w:val="1"/>
              </w:rPr>
              <w:t>7</w:t>
            </w:r>
          </w:p>
        </w:tc>
        <w:tc>
          <w:tcPr>
            <w:tcW w:type="dxa" w:w="1127"/>
            <w:tcBorders>
              <w:top w:color="000000" w:sz="4" w:val="single"/>
              <w:left w:color="000000" w:sz="4" w:val="single"/>
              <w:bottom w:color="000000" w:sz="4" w:val="single"/>
              <w:right w:color="000000" w:sz="4" w:val="single"/>
            </w:tcBorders>
          </w:tcPr>
          <w:p w14:paraId="F4110000">
            <w:pPr>
              <w:widowControl w:val="1"/>
              <w:spacing w:line="360" w:lineRule="auto"/>
              <w:ind/>
              <w:contextualSpacing w:val="1"/>
              <w:jc w:val="center"/>
              <w:rPr>
                <w:b w:val="1"/>
              </w:rPr>
            </w:pPr>
            <w:r>
              <w:rPr>
                <w:b w:val="1"/>
              </w:rPr>
              <w:t>201</w:t>
            </w:r>
            <w:r>
              <w:rPr>
                <w:b w:val="1"/>
              </w:rPr>
              <w:t>8</w:t>
            </w:r>
          </w:p>
        </w:tc>
        <w:tc>
          <w:tcPr>
            <w:tcW w:type="dxa" w:w="1127"/>
            <w:tcBorders>
              <w:top w:color="000000" w:sz="4" w:val="single"/>
              <w:left w:color="000000" w:sz="4" w:val="single"/>
              <w:bottom w:color="000000" w:sz="4" w:val="single"/>
              <w:right w:color="000000" w:sz="4" w:val="single"/>
            </w:tcBorders>
          </w:tcPr>
          <w:p w14:paraId="F5110000">
            <w:pPr>
              <w:widowControl w:val="1"/>
              <w:spacing w:line="360" w:lineRule="auto"/>
              <w:ind/>
              <w:contextualSpacing w:val="1"/>
              <w:jc w:val="center"/>
              <w:rPr>
                <w:b w:val="1"/>
              </w:rPr>
            </w:pPr>
            <w:r>
              <w:rPr>
                <w:b w:val="1"/>
              </w:rPr>
              <w:t>201</w:t>
            </w:r>
            <w:r>
              <w:rPr>
                <w:b w:val="1"/>
              </w:rPr>
              <w:t>9</w:t>
            </w:r>
          </w:p>
        </w:tc>
      </w:tr>
      <w:tr>
        <w:tc>
          <w:tcPr>
            <w:tcW w:type="dxa" w:w="4684"/>
            <w:tcBorders>
              <w:top w:color="000000" w:sz="4" w:val="single"/>
              <w:left w:color="000000" w:sz="4" w:val="single"/>
              <w:bottom w:color="000000" w:sz="4" w:val="single"/>
              <w:right w:color="000000" w:sz="4" w:val="single"/>
            </w:tcBorders>
            <w:vAlign w:val="center"/>
          </w:tcPr>
          <w:p w14:paraId="F6110000">
            <w:pPr>
              <w:widowControl w:val="1"/>
              <w:spacing w:line="360" w:lineRule="auto"/>
              <w:ind/>
              <w:contextualSpacing w:val="1"/>
            </w:pPr>
            <w:r>
              <w:t>Переносные кассовые аппараты</w:t>
            </w:r>
          </w:p>
        </w:tc>
        <w:tc>
          <w:tcPr>
            <w:tcW w:type="dxa" w:w="1119"/>
            <w:tcBorders>
              <w:top w:color="000000" w:sz="4" w:val="single"/>
              <w:left w:color="000000" w:sz="4" w:val="single"/>
              <w:bottom w:color="000000" w:sz="4" w:val="single"/>
              <w:right w:color="000000" w:sz="4" w:val="single"/>
            </w:tcBorders>
            <w:vAlign w:val="center"/>
          </w:tcPr>
          <w:p w14:paraId="F7110000">
            <w:pPr>
              <w:widowControl w:val="1"/>
              <w:spacing w:line="360" w:lineRule="auto"/>
              <w:ind/>
              <w:contextualSpacing w:val="1"/>
              <w:jc w:val="center"/>
            </w:pPr>
            <w:r>
              <w:t>30</w:t>
            </w:r>
          </w:p>
        </w:tc>
        <w:tc>
          <w:tcPr>
            <w:tcW w:type="dxa" w:w="860"/>
            <w:tcBorders>
              <w:top w:color="000000" w:sz="4" w:val="single"/>
              <w:left w:color="000000" w:sz="4" w:val="single"/>
              <w:bottom w:color="000000" w:sz="4" w:val="single"/>
              <w:right w:color="000000" w:sz="4" w:val="single"/>
            </w:tcBorders>
            <w:vAlign w:val="center"/>
          </w:tcPr>
          <w:p w14:paraId="F8110000">
            <w:pPr>
              <w:widowControl w:val="1"/>
              <w:spacing w:line="360" w:lineRule="auto"/>
              <w:ind/>
              <w:contextualSpacing w:val="1"/>
              <w:jc w:val="center"/>
            </w:pPr>
            <w:r>
              <w:t>30</w:t>
            </w:r>
          </w:p>
        </w:tc>
        <w:tc>
          <w:tcPr>
            <w:tcW w:type="dxa" w:w="1130"/>
            <w:tcBorders>
              <w:top w:color="000000" w:sz="4" w:val="single"/>
              <w:left w:color="000000" w:sz="4" w:val="single"/>
              <w:bottom w:color="000000" w:sz="4" w:val="single"/>
              <w:right w:color="000000" w:sz="4" w:val="single"/>
            </w:tcBorders>
          </w:tcPr>
          <w:p w14:paraId="F9110000">
            <w:pPr>
              <w:widowControl w:val="1"/>
              <w:spacing w:line="360" w:lineRule="auto"/>
              <w:ind/>
              <w:contextualSpacing w:val="1"/>
              <w:jc w:val="center"/>
            </w:pPr>
            <w:r>
              <w:t>10</w:t>
            </w:r>
          </w:p>
        </w:tc>
        <w:tc>
          <w:tcPr>
            <w:tcW w:type="dxa" w:w="1127"/>
            <w:tcBorders>
              <w:top w:color="000000" w:sz="4" w:val="single"/>
              <w:left w:color="000000" w:sz="4" w:val="single"/>
              <w:bottom w:color="000000" w:sz="4" w:val="single"/>
              <w:right w:color="000000" w:sz="4" w:val="single"/>
            </w:tcBorders>
          </w:tcPr>
          <w:p w14:paraId="FA110000">
            <w:pPr>
              <w:widowControl w:val="1"/>
              <w:spacing w:line="360" w:lineRule="auto"/>
              <w:ind/>
              <w:contextualSpacing w:val="1"/>
              <w:jc w:val="center"/>
            </w:pPr>
            <w:r>
              <w:t>15</w:t>
            </w:r>
          </w:p>
        </w:tc>
        <w:tc>
          <w:tcPr>
            <w:tcW w:type="dxa" w:w="1127"/>
            <w:tcBorders>
              <w:top w:color="000000" w:sz="4" w:val="single"/>
              <w:left w:color="000000" w:sz="4" w:val="single"/>
              <w:bottom w:color="000000" w:sz="4" w:val="single"/>
              <w:right w:color="000000" w:sz="4" w:val="single"/>
            </w:tcBorders>
          </w:tcPr>
          <w:p w14:paraId="FB110000">
            <w:pPr>
              <w:widowControl w:val="1"/>
              <w:spacing w:line="360" w:lineRule="auto"/>
              <w:ind/>
              <w:contextualSpacing w:val="1"/>
              <w:jc w:val="center"/>
            </w:pPr>
            <w:r>
              <w:t>15</w:t>
            </w:r>
          </w:p>
        </w:tc>
      </w:tr>
      <w:tr>
        <w:tc>
          <w:tcPr>
            <w:tcW w:type="dxa" w:w="4684"/>
            <w:tcBorders>
              <w:top w:color="000000" w:sz="4" w:val="single"/>
              <w:left w:color="000000" w:sz="4" w:val="single"/>
              <w:bottom w:color="000000" w:sz="4" w:val="single"/>
              <w:right w:color="000000" w:sz="4" w:val="single"/>
            </w:tcBorders>
            <w:vAlign w:val="center"/>
          </w:tcPr>
          <w:p w14:paraId="FC110000">
            <w:pPr>
              <w:widowControl w:val="1"/>
              <w:spacing w:line="360" w:lineRule="auto"/>
              <w:ind/>
              <w:contextualSpacing w:val="1"/>
            </w:pPr>
            <w:r>
              <w:t>АРМ Билетного кассира</w:t>
            </w:r>
          </w:p>
        </w:tc>
        <w:tc>
          <w:tcPr>
            <w:tcW w:type="dxa" w:w="1119"/>
            <w:tcBorders>
              <w:top w:color="000000" w:sz="4" w:val="single"/>
              <w:left w:color="000000" w:sz="4" w:val="single"/>
              <w:bottom w:color="000000" w:sz="4" w:val="single"/>
              <w:right w:color="000000" w:sz="4" w:val="single"/>
            </w:tcBorders>
            <w:vAlign w:val="center"/>
          </w:tcPr>
          <w:p w14:paraId="FD110000">
            <w:pPr>
              <w:widowControl w:val="1"/>
              <w:spacing w:line="360" w:lineRule="auto"/>
              <w:ind/>
              <w:contextualSpacing w:val="1"/>
              <w:jc w:val="center"/>
            </w:pPr>
            <w:r>
              <w:t>40</w:t>
            </w:r>
          </w:p>
        </w:tc>
        <w:tc>
          <w:tcPr>
            <w:tcW w:type="dxa" w:w="860"/>
            <w:tcBorders>
              <w:top w:color="000000" w:sz="4" w:val="single"/>
              <w:left w:color="000000" w:sz="4" w:val="single"/>
              <w:bottom w:color="000000" w:sz="4" w:val="single"/>
              <w:right w:color="000000" w:sz="4" w:val="single"/>
            </w:tcBorders>
            <w:vAlign w:val="center"/>
          </w:tcPr>
          <w:p w14:paraId="FE110000">
            <w:pPr>
              <w:widowControl w:val="1"/>
              <w:spacing w:line="360" w:lineRule="auto"/>
              <w:ind/>
              <w:contextualSpacing w:val="1"/>
              <w:jc w:val="center"/>
            </w:pPr>
            <w:r>
              <w:t>40</w:t>
            </w:r>
          </w:p>
        </w:tc>
        <w:tc>
          <w:tcPr>
            <w:tcW w:type="dxa" w:w="1130"/>
            <w:tcBorders>
              <w:top w:color="000000" w:sz="4" w:val="single"/>
              <w:left w:color="000000" w:sz="4" w:val="single"/>
              <w:bottom w:color="000000" w:sz="4" w:val="single"/>
              <w:right w:color="000000" w:sz="4" w:val="single"/>
            </w:tcBorders>
          </w:tcPr>
          <w:p w14:paraId="FF110000">
            <w:pPr>
              <w:widowControl w:val="1"/>
              <w:spacing w:line="360" w:lineRule="auto"/>
              <w:ind/>
              <w:contextualSpacing w:val="1"/>
              <w:jc w:val="center"/>
            </w:pPr>
            <w:r>
              <w:t>3</w:t>
            </w:r>
            <w:r>
              <w:t>0</w:t>
            </w:r>
          </w:p>
        </w:tc>
        <w:tc>
          <w:tcPr>
            <w:tcW w:type="dxa" w:w="1127"/>
            <w:tcBorders>
              <w:top w:color="000000" w:sz="4" w:val="single"/>
              <w:left w:color="000000" w:sz="4" w:val="single"/>
              <w:bottom w:color="000000" w:sz="4" w:val="single"/>
              <w:right w:color="000000" w:sz="4" w:val="single"/>
            </w:tcBorders>
          </w:tcPr>
          <w:p w14:paraId="00120000">
            <w:pPr>
              <w:widowControl w:val="1"/>
              <w:spacing w:line="360" w:lineRule="auto"/>
              <w:ind/>
              <w:contextualSpacing w:val="1"/>
              <w:jc w:val="center"/>
            </w:pPr>
            <w:r>
              <w:t>20</w:t>
            </w:r>
          </w:p>
        </w:tc>
        <w:tc>
          <w:tcPr>
            <w:tcW w:type="dxa" w:w="1127"/>
            <w:tcBorders>
              <w:top w:color="000000" w:sz="4" w:val="single"/>
              <w:left w:color="000000" w:sz="4" w:val="single"/>
              <w:bottom w:color="000000" w:sz="4" w:val="single"/>
              <w:right w:color="000000" w:sz="4" w:val="single"/>
            </w:tcBorders>
          </w:tcPr>
          <w:p w14:paraId="01120000">
            <w:pPr>
              <w:widowControl w:val="1"/>
              <w:spacing w:line="360" w:lineRule="auto"/>
              <w:ind/>
              <w:contextualSpacing w:val="1"/>
              <w:jc w:val="center"/>
            </w:pPr>
            <w:r>
              <w:t>20</w:t>
            </w:r>
          </w:p>
        </w:tc>
      </w:tr>
      <w:tr>
        <w:tc>
          <w:tcPr>
            <w:tcW w:type="dxa" w:w="4684"/>
            <w:tcBorders>
              <w:top w:color="000000" w:sz="4" w:val="single"/>
              <w:left w:color="000000" w:sz="4" w:val="single"/>
              <w:bottom w:color="000000" w:sz="4" w:val="single"/>
              <w:right w:color="000000" w:sz="4" w:val="single"/>
            </w:tcBorders>
            <w:vAlign w:val="center"/>
          </w:tcPr>
          <w:p w14:paraId="02120000">
            <w:pPr>
              <w:widowControl w:val="1"/>
              <w:spacing w:line="360" w:lineRule="auto"/>
              <w:ind/>
              <w:contextualSpacing w:val="1"/>
            </w:pPr>
            <w:r>
              <w:t>Фискальные регистраторы</w:t>
            </w:r>
          </w:p>
        </w:tc>
        <w:tc>
          <w:tcPr>
            <w:tcW w:type="dxa" w:w="1119"/>
            <w:tcBorders>
              <w:top w:color="000000" w:sz="4" w:val="single"/>
              <w:left w:color="000000" w:sz="4" w:val="single"/>
              <w:bottom w:color="000000" w:sz="4" w:val="single"/>
              <w:right w:color="000000" w:sz="4" w:val="single"/>
            </w:tcBorders>
            <w:vAlign w:val="center"/>
          </w:tcPr>
          <w:p w14:paraId="03120000">
            <w:pPr>
              <w:widowControl w:val="1"/>
              <w:spacing w:line="360" w:lineRule="auto"/>
              <w:ind/>
              <w:contextualSpacing w:val="1"/>
              <w:jc w:val="center"/>
            </w:pPr>
            <w:r>
              <w:t>10</w:t>
            </w:r>
          </w:p>
        </w:tc>
        <w:tc>
          <w:tcPr>
            <w:tcW w:type="dxa" w:w="860"/>
            <w:tcBorders>
              <w:top w:color="000000" w:sz="4" w:val="single"/>
              <w:left w:color="000000" w:sz="4" w:val="single"/>
              <w:bottom w:color="000000" w:sz="4" w:val="single"/>
              <w:right w:color="000000" w:sz="4" w:val="single"/>
            </w:tcBorders>
            <w:vAlign w:val="center"/>
          </w:tcPr>
          <w:p w14:paraId="04120000">
            <w:pPr>
              <w:widowControl w:val="1"/>
              <w:spacing w:line="360" w:lineRule="auto"/>
              <w:ind/>
              <w:contextualSpacing w:val="1"/>
              <w:jc w:val="center"/>
            </w:pPr>
            <w:r>
              <w:t>5</w:t>
            </w:r>
          </w:p>
        </w:tc>
        <w:tc>
          <w:tcPr>
            <w:tcW w:type="dxa" w:w="1130"/>
            <w:tcBorders>
              <w:top w:color="000000" w:sz="4" w:val="single"/>
              <w:left w:color="000000" w:sz="4" w:val="single"/>
              <w:bottom w:color="000000" w:sz="4" w:val="single"/>
              <w:right w:color="000000" w:sz="4" w:val="single"/>
            </w:tcBorders>
          </w:tcPr>
          <w:p w14:paraId="05120000">
            <w:pPr>
              <w:widowControl w:val="1"/>
              <w:spacing w:line="360" w:lineRule="auto"/>
              <w:ind/>
              <w:contextualSpacing w:val="1"/>
              <w:jc w:val="center"/>
            </w:pPr>
            <w:r>
              <w:t>5</w:t>
            </w:r>
          </w:p>
        </w:tc>
        <w:tc>
          <w:tcPr>
            <w:tcW w:type="dxa" w:w="1127"/>
            <w:tcBorders>
              <w:top w:color="000000" w:sz="4" w:val="single"/>
              <w:left w:color="000000" w:sz="4" w:val="single"/>
              <w:bottom w:color="000000" w:sz="4" w:val="single"/>
              <w:right w:color="000000" w:sz="4" w:val="single"/>
            </w:tcBorders>
          </w:tcPr>
          <w:p w14:paraId="06120000">
            <w:pPr>
              <w:widowControl w:val="1"/>
              <w:spacing w:line="360" w:lineRule="auto"/>
              <w:ind/>
              <w:contextualSpacing w:val="1"/>
              <w:jc w:val="center"/>
            </w:pPr>
            <w:r>
              <w:t>10</w:t>
            </w:r>
          </w:p>
        </w:tc>
        <w:tc>
          <w:tcPr>
            <w:tcW w:type="dxa" w:w="1127"/>
            <w:tcBorders>
              <w:top w:color="000000" w:sz="4" w:val="single"/>
              <w:left w:color="000000" w:sz="4" w:val="single"/>
              <w:bottom w:color="000000" w:sz="4" w:val="single"/>
              <w:right w:color="000000" w:sz="4" w:val="single"/>
            </w:tcBorders>
          </w:tcPr>
          <w:p w14:paraId="07120000">
            <w:pPr>
              <w:widowControl w:val="1"/>
              <w:spacing w:line="360" w:lineRule="auto"/>
              <w:ind/>
              <w:contextualSpacing w:val="1"/>
              <w:jc w:val="center"/>
            </w:pPr>
            <w:r>
              <w:t>10</w:t>
            </w:r>
          </w:p>
        </w:tc>
      </w:tr>
      <w:tr>
        <w:tc>
          <w:tcPr>
            <w:tcW w:type="dxa" w:w="4684"/>
            <w:tcBorders>
              <w:top w:color="000000" w:sz="4" w:val="single"/>
              <w:left w:color="000000" w:sz="4" w:val="single"/>
              <w:bottom w:color="000000" w:sz="4" w:val="single"/>
              <w:right w:color="000000" w:sz="4" w:val="single"/>
            </w:tcBorders>
            <w:vAlign w:val="center"/>
          </w:tcPr>
          <w:p w14:paraId="08120000">
            <w:pPr>
              <w:widowControl w:val="1"/>
              <w:spacing w:line="360" w:lineRule="auto"/>
              <w:ind/>
              <w:contextualSpacing w:val="1"/>
            </w:pPr>
            <w:r>
              <w:t>Терминалы самообслуживания</w:t>
            </w:r>
          </w:p>
        </w:tc>
        <w:tc>
          <w:tcPr>
            <w:tcW w:type="dxa" w:w="1119"/>
            <w:tcBorders>
              <w:top w:color="000000" w:sz="4" w:val="single"/>
              <w:left w:color="000000" w:sz="4" w:val="single"/>
              <w:bottom w:color="000000" w:sz="4" w:val="single"/>
              <w:right w:color="000000" w:sz="4" w:val="single"/>
            </w:tcBorders>
            <w:vAlign w:val="center"/>
          </w:tcPr>
          <w:p w14:paraId="09120000">
            <w:pPr>
              <w:widowControl w:val="1"/>
              <w:spacing w:line="360" w:lineRule="auto"/>
              <w:ind/>
              <w:contextualSpacing w:val="1"/>
              <w:jc w:val="center"/>
            </w:pPr>
            <w:r>
              <w:t>0</w:t>
            </w:r>
          </w:p>
        </w:tc>
        <w:tc>
          <w:tcPr>
            <w:tcW w:type="dxa" w:w="860"/>
            <w:tcBorders>
              <w:top w:color="000000" w:sz="4" w:val="single"/>
              <w:left w:color="000000" w:sz="4" w:val="single"/>
              <w:bottom w:color="000000" w:sz="4" w:val="single"/>
              <w:right w:color="000000" w:sz="4" w:val="single"/>
            </w:tcBorders>
            <w:vAlign w:val="center"/>
          </w:tcPr>
          <w:p w14:paraId="0A120000">
            <w:pPr>
              <w:widowControl w:val="1"/>
              <w:spacing w:line="360" w:lineRule="auto"/>
              <w:ind/>
              <w:contextualSpacing w:val="1"/>
              <w:jc w:val="center"/>
            </w:pPr>
            <w:r>
              <w:t>0</w:t>
            </w:r>
          </w:p>
        </w:tc>
        <w:tc>
          <w:tcPr>
            <w:tcW w:type="dxa" w:w="1130"/>
            <w:tcBorders>
              <w:top w:color="000000" w:sz="4" w:val="single"/>
              <w:left w:color="000000" w:sz="4" w:val="single"/>
              <w:bottom w:color="000000" w:sz="4" w:val="single"/>
              <w:right w:color="000000" w:sz="4" w:val="single"/>
            </w:tcBorders>
          </w:tcPr>
          <w:p w14:paraId="0B12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0C12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0D120000">
            <w:pPr>
              <w:widowControl w:val="1"/>
              <w:spacing w:line="360" w:lineRule="auto"/>
              <w:ind/>
              <w:contextualSpacing w:val="1"/>
              <w:jc w:val="center"/>
            </w:pPr>
            <w:r>
              <w:t>0</w:t>
            </w:r>
          </w:p>
        </w:tc>
      </w:tr>
      <w:tr>
        <w:tc>
          <w:tcPr>
            <w:tcW w:type="dxa" w:w="4684"/>
            <w:tcBorders>
              <w:top w:color="000000" w:sz="4" w:val="single"/>
              <w:left w:color="000000" w:sz="4" w:val="single"/>
              <w:bottom w:color="000000" w:sz="4" w:val="single"/>
              <w:right w:color="000000" w:sz="4" w:val="single"/>
            </w:tcBorders>
            <w:vAlign w:val="center"/>
          </w:tcPr>
          <w:p w14:paraId="0E120000">
            <w:pPr>
              <w:widowControl w:val="1"/>
              <w:spacing w:line="360" w:lineRule="auto"/>
              <w:ind/>
              <w:contextualSpacing w:val="1"/>
            </w:pPr>
            <w:r>
              <w:t>Серверное оборудование</w:t>
            </w:r>
          </w:p>
        </w:tc>
        <w:tc>
          <w:tcPr>
            <w:tcW w:type="dxa" w:w="1119"/>
            <w:tcBorders>
              <w:top w:color="000000" w:sz="4" w:val="single"/>
              <w:left w:color="000000" w:sz="4" w:val="single"/>
              <w:bottom w:color="000000" w:sz="4" w:val="single"/>
              <w:right w:color="000000" w:sz="4" w:val="single"/>
            </w:tcBorders>
            <w:vAlign w:val="center"/>
          </w:tcPr>
          <w:p w14:paraId="0F120000">
            <w:pPr>
              <w:widowControl w:val="1"/>
              <w:spacing w:line="360" w:lineRule="auto"/>
              <w:ind/>
              <w:contextualSpacing w:val="1"/>
              <w:jc w:val="center"/>
            </w:pPr>
            <w:r>
              <w:t>0</w:t>
            </w:r>
          </w:p>
        </w:tc>
        <w:tc>
          <w:tcPr>
            <w:tcW w:type="dxa" w:w="860"/>
            <w:tcBorders>
              <w:top w:color="000000" w:sz="4" w:val="single"/>
              <w:left w:color="000000" w:sz="4" w:val="single"/>
              <w:bottom w:color="000000" w:sz="4" w:val="single"/>
              <w:right w:color="000000" w:sz="4" w:val="single"/>
            </w:tcBorders>
            <w:vAlign w:val="center"/>
          </w:tcPr>
          <w:p w14:paraId="10120000">
            <w:pPr>
              <w:widowControl w:val="1"/>
              <w:spacing w:line="360" w:lineRule="auto"/>
              <w:ind/>
              <w:contextualSpacing w:val="1"/>
              <w:jc w:val="center"/>
            </w:pPr>
            <w:r>
              <w:t>0</w:t>
            </w:r>
          </w:p>
        </w:tc>
        <w:tc>
          <w:tcPr>
            <w:tcW w:type="dxa" w:w="1130"/>
            <w:tcBorders>
              <w:top w:color="000000" w:sz="4" w:val="single"/>
              <w:left w:color="000000" w:sz="4" w:val="single"/>
              <w:bottom w:color="000000" w:sz="4" w:val="single"/>
              <w:right w:color="000000" w:sz="4" w:val="single"/>
            </w:tcBorders>
          </w:tcPr>
          <w:p w14:paraId="1112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12120000">
            <w:pPr>
              <w:widowControl w:val="1"/>
              <w:spacing w:line="360" w:lineRule="auto"/>
              <w:ind/>
              <w:contextualSpacing w:val="1"/>
              <w:jc w:val="center"/>
            </w:pPr>
            <w:r>
              <w:t>0</w:t>
            </w:r>
          </w:p>
        </w:tc>
        <w:tc>
          <w:tcPr>
            <w:tcW w:type="dxa" w:w="1127"/>
            <w:tcBorders>
              <w:top w:color="000000" w:sz="4" w:val="single"/>
              <w:left w:color="000000" w:sz="4" w:val="single"/>
              <w:bottom w:color="000000" w:sz="4" w:val="single"/>
              <w:right w:color="000000" w:sz="4" w:val="single"/>
            </w:tcBorders>
          </w:tcPr>
          <w:p w14:paraId="13120000">
            <w:pPr>
              <w:widowControl w:val="1"/>
              <w:spacing w:line="360" w:lineRule="auto"/>
              <w:ind/>
              <w:contextualSpacing w:val="1"/>
              <w:jc w:val="center"/>
            </w:pPr>
            <w:r>
              <w:t>0</w:t>
            </w:r>
          </w:p>
        </w:tc>
      </w:tr>
      <w:tr>
        <w:tc>
          <w:tcPr>
            <w:tcW w:type="dxa" w:w="4684"/>
            <w:tcBorders>
              <w:top w:color="000000" w:sz="4" w:val="single"/>
              <w:left w:color="000000" w:sz="4" w:val="single"/>
              <w:bottom w:color="000000" w:sz="4" w:val="single"/>
              <w:right w:color="000000" w:sz="4" w:val="single"/>
            </w:tcBorders>
            <w:vAlign w:val="center"/>
          </w:tcPr>
          <w:p w14:paraId="14120000">
            <w:pPr>
              <w:widowControl w:val="1"/>
              <w:spacing w:line="360" w:lineRule="auto"/>
              <w:ind/>
              <w:contextualSpacing w:val="1"/>
            </w:pPr>
            <w:r>
              <w:t>Персональные компьютеры</w:t>
            </w:r>
          </w:p>
        </w:tc>
        <w:tc>
          <w:tcPr>
            <w:tcW w:type="dxa" w:w="1119"/>
            <w:tcBorders>
              <w:top w:color="000000" w:sz="4" w:val="single"/>
              <w:left w:color="000000" w:sz="4" w:val="single"/>
              <w:bottom w:color="000000" w:sz="4" w:val="single"/>
              <w:right w:color="000000" w:sz="4" w:val="single"/>
            </w:tcBorders>
            <w:vAlign w:val="center"/>
          </w:tcPr>
          <w:p w14:paraId="15120000">
            <w:pPr>
              <w:widowControl w:val="1"/>
              <w:spacing w:line="360" w:lineRule="auto"/>
              <w:ind/>
              <w:contextualSpacing w:val="1"/>
              <w:jc w:val="center"/>
            </w:pPr>
            <w:r>
              <w:t>1</w:t>
            </w:r>
            <w:r>
              <w:t>5</w:t>
            </w:r>
          </w:p>
        </w:tc>
        <w:tc>
          <w:tcPr>
            <w:tcW w:type="dxa" w:w="860"/>
            <w:tcBorders>
              <w:top w:color="000000" w:sz="4" w:val="single"/>
              <w:left w:color="000000" w:sz="4" w:val="single"/>
              <w:bottom w:color="000000" w:sz="4" w:val="single"/>
              <w:right w:color="000000" w:sz="4" w:val="single"/>
            </w:tcBorders>
            <w:vAlign w:val="center"/>
          </w:tcPr>
          <w:p w14:paraId="16120000">
            <w:pPr>
              <w:widowControl w:val="1"/>
              <w:spacing w:line="360" w:lineRule="auto"/>
              <w:ind/>
              <w:contextualSpacing w:val="1"/>
              <w:jc w:val="center"/>
            </w:pPr>
            <w:r>
              <w:t>15</w:t>
            </w:r>
          </w:p>
        </w:tc>
        <w:tc>
          <w:tcPr>
            <w:tcW w:type="dxa" w:w="1130"/>
            <w:tcBorders>
              <w:top w:color="000000" w:sz="4" w:val="single"/>
              <w:left w:color="000000" w:sz="4" w:val="single"/>
              <w:bottom w:color="000000" w:sz="4" w:val="single"/>
              <w:right w:color="000000" w:sz="4" w:val="single"/>
            </w:tcBorders>
          </w:tcPr>
          <w:p w14:paraId="17120000">
            <w:pPr>
              <w:widowControl w:val="1"/>
              <w:spacing w:line="360" w:lineRule="auto"/>
              <w:ind/>
              <w:contextualSpacing w:val="1"/>
              <w:jc w:val="center"/>
            </w:pPr>
            <w:r>
              <w:t>15</w:t>
            </w:r>
          </w:p>
        </w:tc>
        <w:tc>
          <w:tcPr>
            <w:tcW w:type="dxa" w:w="1127"/>
            <w:tcBorders>
              <w:top w:color="000000" w:sz="4" w:val="single"/>
              <w:left w:color="000000" w:sz="4" w:val="single"/>
              <w:bottom w:color="000000" w:sz="4" w:val="single"/>
              <w:right w:color="000000" w:sz="4" w:val="single"/>
            </w:tcBorders>
          </w:tcPr>
          <w:p w14:paraId="18120000">
            <w:pPr>
              <w:widowControl w:val="1"/>
              <w:spacing w:line="360" w:lineRule="auto"/>
              <w:ind/>
              <w:contextualSpacing w:val="1"/>
              <w:jc w:val="center"/>
            </w:pPr>
            <w:r>
              <w:t>15</w:t>
            </w:r>
          </w:p>
        </w:tc>
        <w:tc>
          <w:tcPr>
            <w:tcW w:type="dxa" w:w="1127"/>
            <w:tcBorders>
              <w:top w:color="000000" w:sz="4" w:val="single"/>
              <w:left w:color="000000" w:sz="4" w:val="single"/>
              <w:bottom w:color="000000" w:sz="4" w:val="single"/>
              <w:right w:color="000000" w:sz="4" w:val="single"/>
            </w:tcBorders>
          </w:tcPr>
          <w:p w14:paraId="19120000">
            <w:pPr>
              <w:widowControl w:val="1"/>
              <w:spacing w:line="360" w:lineRule="auto"/>
              <w:ind/>
              <w:contextualSpacing w:val="1"/>
              <w:jc w:val="center"/>
            </w:pPr>
            <w:r>
              <w:t>15</w:t>
            </w:r>
          </w:p>
        </w:tc>
      </w:tr>
      <w:tr>
        <w:tc>
          <w:tcPr>
            <w:tcW w:type="dxa" w:w="4684"/>
            <w:tcBorders>
              <w:top w:color="000000" w:sz="4" w:val="single"/>
              <w:left w:color="000000" w:sz="4" w:val="single"/>
              <w:bottom w:color="000000" w:sz="4" w:val="single"/>
              <w:right w:color="000000" w:sz="4" w:val="single"/>
            </w:tcBorders>
            <w:vAlign w:val="center"/>
          </w:tcPr>
          <w:p w14:paraId="1A120000">
            <w:pPr>
              <w:widowControl w:val="1"/>
              <w:spacing w:line="360" w:lineRule="auto"/>
              <w:ind/>
              <w:contextualSpacing w:val="1"/>
            </w:pPr>
            <w:r>
              <w:t>Мобильные устройства</w:t>
            </w:r>
          </w:p>
        </w:tc>
        <w:tc>
          <w:tcPr>
            <w:tcW w:type="dxa" w:w="1119"/>
            <w:tcBorders>
              <w:top w:color="000000" w:sz="4" w:val="single"/>
              <w:left w:color="000000" w:sz="4" w:val="single"/>
              <w:bottom w:color="000000" w:sz="4" w:val="single"/>
              <w:right w:color="000000" w:sz="4" w:val="single"/>
            </w:tcBorders>
            <w:vAlign w:val="center"/>
          </w:tcPr>
          <w:p w14:paraId="1B120000">
            <w:pPr>
              <w:widowControl w:val="1"/>
              <w:spacing w:line="360" w:lineRule="auto"/>
              <w:ind/>
              <w:contextualSpacing w:val="1"/>
              <w:jc w:val="center"/>
            </w:pPr>
            <w:r>
              <w:t>2</w:t>
            </w:r>
          </w:p>
        </w:tc>
        <w:tc>
          <w:tcPr>
            <w:tcW w:type="dxa" w:w="860"/>
            <w:tcBorders>
              <w:top w:color="000000" w:sz="4" w:val="single"/>
              <w:left w:color="000000" w:sz="4" w:val="single"/>
              <w:bottom w:color="000000" w:sz="4" w:val="single"/>
              <w:right w:color="000000" w:sz="4" w:val="single"/>
            </w:tcBorders>
            <w:vAlign w:val="center"/>
          </w:tcPr>
          <w:p w14:paraId="1C120000">
            <w:pPr>
              <w:widowControl w:val="1"/>
              <w:spacing w:line="360" w:lineRule="auto"/>
              <w:ind/>
              <w:contextualSpacing w:val="1"/>
              <w:jc w:val="center"/>
            </w:pPr>
            <w:r>
              <w:t>2</w:t>
            </w:r>
          </w:p>
        </w:tc>
        <w:tc>
          <w:tcPr>
            <w:tcW w:type="dxa" w:w="1130"/>
            <w:tcBorders>
              <w:top w:color="000000" w:sz="4" w:val="single"/>
              <w:left w:color="000000" w:sz="4" w:val="single"/>
              <w:bottom w:color="000000" w:sz="4" w:val="single"/>
              <w:right w:color="000000" w:sz="4" w:val="single"/>
            </w:tcBorders>
            <w:vAlign w:val="center"/>
          </w:tcPr>
          <w:p w14:paraId="1D120000">
            <w:pPr>
              <w:widowControl w:val="1"/>
              <w:spacing w:line="360" w:lineRule="auto"/>
              <w:ind/>
              <w:contextualSpacing w:val="1"/>
              <w:jc w:val="center"/>
            </w:pPr>
            <w:r>
              <w:t>2</w:t>
            </w:r>
          </w:p>
        </w:tc>
        <w:tc>
          <w:tcPr>
            <w:tcW w:type="dxa" w:w="1127"/>
            <w:tcBorders>
              <w:top w:color="000000" w:sz="4" w:val="single"/>
              <w:left w:color="000000" w:sz="4" w:val="single"/>
              <w:bottom w:color="000000" w:sz="4" w:val="single"/>
              <w:right w:color="000000" w:sz="4" w:val="single"/>
            </w:tcBorders>
          </w:tcPr>
          <w:p w14:paraId="1E120000">
            <w:pPr>
              <w:widowControl w:val="1"/>
              <w:spacing w:line="360" w:lineRule="auto"/>
              <w:ind/>
              <w:contextualSpacing w:val="1"/>
              <w:jc w:val="center"/>
            </w:pPr>
            <w:r>
              <w:t>2</w:t>
            </w:r>
          </w:p>
        </w:tc>
        <w:tc>
          <w:tcPr>
            <w:tcW w:type="dxa" w:w="1127"/>
            <w:tcBorders>
              <w:top w:color="000000" w:sz="4" w:val="single"/>
              <w:left w:color="000000" w:sz="4" w:val="single"/>
              <w:bottom w:color="000000" w:sz="4" w:val="single"/>
              <w:right w:color="000000" w:sz="4" w:val="single"/>
            </w:tcBorders>
          </w:tcPr>
          <w:p w14:paraId="1F120000">
            <w:pPr>
              <w:widowControl w:val="1"/>
              <w:spacing w:line="360" w:lineRule="auto"/>
              <w:ind/>
              <w:contextualSpacing w:val="1"/>
              <w:jc w:val="center"/>
            </w:pPr>
            <w:r>
              <w:t>2</w:t>
            </w:r>
          </w:p>
        </w:tc>
      </w:tr>
      <w:tr>
        <w:tc>
          <w:tcPr>
            <w:tcW w:type="dxa" w:w="4684"/>
            <w:tcBorders>
              <w:top w:color="000000" w:sz="4" w:val="single"/>
              <w:left w:color="000000" w:sz="4" w:val="single"/>
              <w:bottom w:color="000000" w:sz="4" w:val="single"/>
              <w:right w:color="000000" w:sz="4" w:val="single"/>
            </w:tcBorders>
            <w:vAlign w:val="center"/>
          </w:tcPr>
          <w:p w14:paraId="20120000">
            <w:pPr>
              <w:widowControl w:val="1"/>
              <w:spacing w:line="360" w:lineRule="auto"/>
              <w:ind/>
              <w:contextualSpacing w:val="1"/>
            </w:pPr>
            <w:r>
              <w:t>МФУ</w:t>
            </w:r>
          </w:p>
        </w:tc>
        <w:tc>
          <w:tcPr>
            <w:tcW w:type="dxa" w:w="1119"/>
            <w:tcBorders>
              <w:top w:color="000000" w:sz="4" w:val="single"/>
              <w:left w:color="000000" w:sz="4" w:val="single"/>
              <w:bottom w:color="000000" w:sz="4" w:val="single"/>
              <w:right w:color="000000" w:sz="4" w:val="single"/>
            </w:tcBorders>
            <w:vAlign w:val="center"/>
          </w:tcPr>
          <w:p w14:paraId="21120000">
            <w:pPr>
              <w:widowControl w:val="1"/>
              <w:spacing w:line="360" w:lineRule="auto"/>
              <w:ind/>
              <w:contextualSpacing w:val="1"/>
              <w:jc w:val="center"/>
            </w:pPr>
            <w:r>
              <w:t>9</w:t>
            </w:r>
          </w:p>
        </w:tc>
        <w:tc>
          <w:tcPr>
            <w:tcW w:type="dxa" w:w="860"/>
            <w:tcBorders>
              <w:top w:color="000000" w:sz="4" w:val="single"/>
              <w:left w:color="000000" w:sz="4" w:val="single"/>
              <w:bottom w:color="000000" w:sz="4" w:val="single"/>
              <w:right w:color="000000" w:sz="4" w:val="single"/>
            </w:tcBorders>
            <w:vAlign w:val="center"/>
          </w:tcPr>
          <w:p w14:paraId="22120000">
            <w:pPr>
              <w:widowControl w:val="1"/>
              <w:spacing w:line="360" w:lineRule="auto"/>
              <w:ind/>
              <w:contextualSpacing w:val="1"/>
              <w:jc w:val="center"/>
            </w:pPr>
            <w:r>
              <w:t>6</w:t>
            </w:r>
          </w:p>
        </w:tc>
        <w:tc>
          <w:tcPr>
            <w:tcW w:type="dxa" w:w="1130"/>
            <w:tcBorders>
              <w:top w:color="000000" w:sz="4" w:val="single"/>
              <w:left w:color="000000" w:sz="4" w:val="single"/>
              <w:bottom w:color="000000" w:sz="4" w:val="single"/>
              <w:right w:color="000000" w:sz="4" w:val="single"/>
            </w:tcBorders>
            <w:vAlign w:val="center"/>
          </w:tcPr>
          <w:p w14:paraId="23120000">
            <w:pPr>
              <w:widowControl w:val="1"/>
              <w:spacing w:line="360" w:lineRule="auto"/>
              <w:ind/>
              <w:contextualSpacing w:val="1"/>
              <w:jc w:val="center"/>
            </w:pPr>
            <w:r>
              <w:t>7</w:t>
            </w:r>
          </w:p>
        </w:tc>
        <w:tc>
          <w:tcPr>
            <w:tcW w:type="dxa" w:w="1127"/>
            <w:tcBorders>
              <w:top w:color="000000" w:sz="4" w:val="single"/>
              <w:left w:color="000000" w:sz="4" w:val="single"/>
              <w:bottom w:color="000000" w:sz="4" w:val="single"/>
              <w:right w:color="000000" w:sz="4" w:val="single"/>
            </w:tcBorders>
          </w:tcPr>
          <w:p w14:paraId="24120000">
            <w:pPr>
              <w:widowControl w:val="1"/>
              <w:spacing w:line="360" w:lineRule="auto"/>
              <w:ind/>
              <w:contextualSpacing w:val="1"/>
              <w:jc w:val="center"/>
            </w:pPr>
            <w:r>
              <w:t>5</w:t>
            </w:r>
          </w:p>
        </w:tc>
        <w:tc>
          <w:tcPr>
            <w:tcW w:type="dxa" w:w="1127"/>
            <w:tcBorders>
              <w:top w:color="000000" w:sz="4" w:val="single"/>
              <w:left w:color="000000" w:sz="4" w:val="single"/>
              <w:bottom w:color="000000" w:sz="4" w:val="single"/>
              <w:right w:color="000000" w:sz="4" w:val="single"/>
            </w:tcBorders>
          </w:tcPr>
          <w:p w14:paraId="25120000">
            <w:pPr>
              <w:widowControl w:val="1"/>
              <w:spacing w:line="360" w:lineRule="auto"/>
              <w:ind/>
              <w:contextualSpacing w:val="1"/>
              <w:jc w:val="center"/>
            </w:pPr>
            <w:r>
              <w:t>5</w:t>
            </w:r>
          </w:p>
        </w:tc>
      </w:tr>
    </w:tbl>
    <w:p w14:paraId="26120000">
      <w:pPr>
        <w:widowControl w:val="1"/>
        <w:spacing w:line="360" w:lineRule="auto"/>
        <w:ind w:firstLine="709"/>
        <w:contextualSpacing w:val="1"/>
        <w:jc w:val="center"/>
        <w:rPr>
          <w:b w:val="1"/>
        </w:rPr>
      </w:pPr>
    </w:p>
    <w:p w14:paraId="27120000">
      <w:pPr>
        <w:widowControl w:val="1"/>
        <w:spacing w:line="360" w:lineRule="auto"/>
        <w:ind w:firstLine="709"/>
        <w:contextualSpacing w:val="1"/>
        <w:jc w:val="center"/>
        <w:rPr>
          <w:b w:val="1"/>
        </w:rPr>
      </w:pPr>
      <w:r>
        <w:rPr>
          <w:b w:val="1"/>
        </w:rPr>
        <w:t>Развитие  услуг по автоматизированной продаже билетов на поезда пригородного назначения.</w:t>
      </w:r>
    </w:p>
    <w:p w14:paraId="28120000">
      <w:pPr>
        <w:widowControl w:val="1"/>
        <w:spacing w:line="360" w:lineRule="auto"/>
        <w:ind w:firstLine="709"/>
        <w:contextualSpacing w:val="1"/>
        <w:jc w:val="center"/>
        <w:rPr>
          <w:b w:val="1"/>
        </w:rPr>
      </w:pPr>
    </w:p>
    <w:p w14:paraId="29120000">
      <w:pPr>
        <w:widowControl w:val="1"/>
        <w:spacing w:line="360" w:lineRule="auto"/>
        <w:ind w:firstLine="709"/>
        <w:contextualSpacing w:val="1"/>
        <w:jc w:val="both"/>
      </w:pPr>
      <w:r>
        <w:t xml:space="preserve">Продолжается реализация проекта   позволяющего  пассажирам приобретать билеты на поезда пригородного назначения в сети из 1500 штук автономных  терминалов самообслуживания  "Платежка" расположенных на всей территории Красноярского края и республики Хакасия. </w:t>
      </w:r>
    </w:p>
    <w:p w14:paraId="2A120000">
      <w:pPr>
        <w:widowControl w:val="1"/>
        <w:spacing w:line="360" w:lineRule="auto"/>
        <w:ind w:firstLine="709"/>
        <w:contextualSpacing w:val="1"/>
        <w:jc w:val="both"/>
      </w:pPr>
      <w:r>
        <w:t xml:space="preserve">Данная технология продажи билетов обеспечивает пассажирам возможность приобретения билетов на пригородные поезда в шаговой доступности,  в результате пассажир может приобрести билет в ближайшем магазине, торговом павильоне, авто заправке, развлекательном центре, поликлинике и т д., без очередей, дополнительных комиссий. </w:t>
      </w:r>
    </w:p>
    <w:p w14:paraId="2B120000">
      <w:pPr>
        <w:widowControl w:val="1"/>
        <w:spacing w:line="360" w:lineRule="auto"/>
        <w:ind w:firstLine="709"/>
        <w:contextualSpacing w:val="1"/>
        <w:jc w:val="both"/>
      </w:pPr>
    </w:p>
    <w:p w14:paraId="2C120000">
      <w:pPr>
        <w:widowControl w:val="1"/>
        <w:spacing w:line="360" w:lineRule="auto"/>
        <w:ind w:firstLine="709"/>
        <w:contextualSpacing w:val="1"/>
        <w:jc w:val="center"/>
        <w:rPr>
          <w:b w:val="1"/>
        </w:rPr>
      </w:pPr>
      <w:r>
        <w:rPr>
          <w:b w:val="1"/>
        </w:rPr>
        <w:t>Развитие информационной автоматизированной систем</w:t>
      </w:r>
      <w:r>
        <w:rPr>
          <w:b w:val="1"/>
        </w:rPr>
        <w:t>ы</w:t>
      </w:r>
      <w:r>
        <w:rPr>
          <w:b w:val="1"/>
        </w:rPr>
        <w:t xml:space="preserve"> управления в пригородном сообщении</w:t>
      </w:r>
    </w:p>
    <w:p w14:paraId="2D120000">
      <w:pPr>
        <w:widowControl w:val="1"/>
        <w:spacing w:line="360" w:lineRule="auto"/>
        <w:ind w:firstLine="709"/>
        <w:contextualSpacing w:val="1"/>
        <w:jc w:val="center"/>
        <w:rPr>
          <w:b w:val="1"/>
          <w:highlight w:val="yellow"/>
        </w:rPr>
      </w:pPr>
    </w:p>
    <w:p w14:paraId="2E120000">
      <w:pPr>
        <w:widowControl w:val="1"/>
        <w:spacing w:line="360" w:lineRule="auto"/>
        <w:ind w:firstLine="709"/>
        <w:contextualSpacing w:val="1"/>
        <w:jc w:val="center"/>
        <w:rPr>
          <w:b w:val="1"/>
        </w:rPr>
      </w:pPr>
    </w:p>
    <w:p w14:paraId="2F120000">
      <w:pPr>
        <w:widowControl w:val="1"/>
        <w:spacing w:line="360" w:lineRule="auto"/>
        <w:ind w:firstLine="709"/>
        <w:contextualSpacing w:val="1"/>
        <w:jc w:val="both"/>
      </w:pPr>
      <w:r>
        <w:t xml:space="preserve">Развитие информационной автоматизированной систем управления в пригородном сообщении,  позволит: </w:t>
      </w:r>
    </w:p>
    <w:p w14:paraId="30120000">
      <w:pPr>
        <w:widowControl w:val="1"/>
        <w:numPr>
          <w:ilvl w:val="0"/>
          <w:numId w:val="30"/>
        </w:numPr>
        <w:tabs>
          <w:tab w:leader="none" w:pos="357" w:val="clear"/>
          <w:tab w:leader="none" w:pos="1134" w:val="left"/>
        </w:tabs>
        <w:spacing w:line="360" w:lineRule="auto"/>
        <w:ind w:firstLine="709" w:left="0"/>
        <w:contextualSpacing w:val="1"/>
        <w:jc w:val="both"/>
      </w:pPr>
      <w:r>
        <w:t>Оптимально планировать пригородное движение</w:t>
      </w:r>
    </w:p>
    <w:p w14:paraId="31120000">
      <w:pPr>
        <w:widowControl w:val="1"/>
        <w:numPr>
          <w:ilvl w:val="0"/>
          <w:numId w:val="30"/>
        </w:numPr>
        <w:tabs>
          <w:tab w:leader="none" w:pos="357" w:val="clear"/>
          <w:tab w:leader="none" w:pos="1134" w:val="left"/>
        </w:tabs>
        <w:spacing w:line="360" w:lineRule="auto"/>
        <w:ind w:firstLine="709" w:left="0"/>
        <w:contextualSpacing w:val="1"/>
        <w:jc w:val="both"/>
      </w:pPr>
      <w:r>
        <w:t>Повысить оперативность учета и анализа финансовых результатов</w:t>
      </w:r>
    </w:p>
    <w:p w14:paraId="32120000">
      <w:pPr>
        <w:widowControl w:val="1"/>
        <w:numPr>
          <w:ilvl w:val="0"/>
          <w:numId w:val="30"/>
        </w:numPr>
        <w:tabs>
          <w:tab w:leader="none" w:pos="357" w:val="clear"/>
          <w:tab w:leader="none" w:pos="1134" w:val="left"/>
        </w:tabs>
        <w:spacing w:line="360" w:lineRule="auto"/>
        <w:ind w:firstLine="709" w:left="0"/>
        <w:contextualSpacing w:val="1"/>
        <w:jc w:val="both"/>
      </w:pPr>
      <w:r>
        <w:t>Контролировать следование пассажиров, пассажирооборот и оборот пригородных проездных документов</w:t>
      </w:r>
    </w:p>
    <w:p w14:paraId="33120000">
      <w:pPr>
        <w:widowControl w:val="1"/>
        <w:numPr>
          <w:ilvl w:val="0"/>
          <w:numId w:val="30"/>
        </w:numPr>
        <w:tabs>
          <w:tab w:leader="none" w:pos="357" w:val="clear"/>
          <w:tab w:leader="none" w:pos="1134" w:val="left"/>
        </w:tabs>
        <w:spacing w:line="360" w:lineRule="auto"/>
        <w:ind w:firstLine="709" w:left="0"/>
        <w:contextualSpacing w:val="1"/>
        <w:jc w:val="both"/>
      </w:pPr>
      <w:r>
        <w:t>Объективно отразить составляющие инфраструктуры пригородного хозяйства.</w:t>
      </w:r>
    </w:p>
    <w:p w14:paraId="34120000">
      <w:pPr>
        <w:widowControl w:val="1"/>
        <w:numPr>
          <w:ilvl w:val="0"/>
          <w:numId w:val="30"/>
        </w:numPr>
        <w:tabs>
          <w:tab w:leader="none" w:pos="357" w:val="clear"/>
          <w:tab w:leader="none" w:pos="1134" w:val="left"/>
        </w:tabs>
        <w:spacing w:line="360" w:lineRule="auto"/>
        <w:ind w:firstLine="709" w:left="0"/>
        <w:contextualSpacing w:val="1"/>
        <w:jc w:val="both"/>
      </w:pPr>
      <w:r>
        <w:t>Рационально использовать производственные ресурсы</w:t>
      </w:r>
    </w:p>
    <w:p w14:paraId="35120000">
      <w:pPr>
        <w:widowControl w:val="1"/>
        <w:numPr>
          <w:ilvl w:val="0"/>
          <w:numId w:val="30"/>
        </w:numPr>
        <w:tabs>
          <w:tab w:leader="none" w:pos="357" w:val="clear"/>
          <w:tab w:leader="none" w:pos="1134" w:val="left"/>
        </w:tabs>
        <w:spacing w:line="360" w:lineRule="auto"/>
        <w:ind w:firstLine="709" w:left="0"/>
        <w:contextualSpacing w:val="1"/>
        <w:jc w:val="both"/>
      </w:pPr>
      <w:r>
        <w:t>Производить нормирование, планирование, координацию и контроль взаимоде</w:t>
      </w:r>
      <w:r>
        <w:t>йствия подразделений и компаний</w:t>
      </w:r>
    </w:p>
    <w:p w14:paraId="36120000">
      <w:pPr>
        <w:widowControl w:val="1"/>
        <w:numPr>
          <w:ilvl w:val="0"/>
          <w:numId w:val="30"/>
        </w:numPr>
        <w:tabs>
          <w:tab w:leader="none" w:pos="357" w:val="clear"/>
          <w:tab w:leader="none" w:pos="1134" w:val="left"/>
        </w:tabs>
        <w:spacing w:line="360" w:lineRule="auto"/>
        <w:ind w:firstLine="709" w:left="0"/>
        <w:contextualSpacing w:val="1"/>
        <w:jc w:val="both"/>
      </w:pPr>
      <w:r>
        <w:t>Более эффективно организовать продажу билетов, сбор платы, контроль и учет проезда пассажиров, а также продажу дополнительных услуг</w:t>
      </w:r>
    </w:p>
    <w:p w14:paraId="37120000">
      <w:pPr>
        <w:widowControl w:val="1"/>
        <w:numPr>
          <w:ilvl w:val="0"/>
          <w:numId w:val="30"/>
        </w:numPr>
        <w:tabs>
          <w:tab w:leader="none" w:pos="357" w:val="clear"/>
          <w:tab w:leader="none" w:pos="1134" w:val="left"/>
        </w:tabs>
        <w:spacing w:line="360" w:lineRule="auto"/>
        <w:ind w:firstLine="709" w:left="0"/>
        <w:contextualSpacing w:val="1"/>
        <w:jc w:val="both"/>
      </w:pPr>
      <w:r>
        <w:t>Организовать детальный финансовый и статистический учет хозяйственной деятельности и отчетность.</w:t>
      </w:r>
      <w:r>
        <w:tab/>
      </w:r>
      <w:r>
        <w:t xml:space="preserve"> </w:t>
      </w:r>
    </w:p>
    <w:p w14:paraId="38120000">
      <w:pPr>
        <w:widowControl w:val="1"/>
        <w:tabs>
          <w:tab w:leader="none" w:pos="540" w:val="left"/>
        </w:tabs>
        <w:spacing w:line="360" w:lineRule="auto"/>
        <w:ind w:firstLine="709"/>
        <w:contextualSpacing w:val="1"/>
        <w:jc w:val="both"/>
        <w:rPr>
          <w:highlight w:val="yellow"/>
        </w:rPr>
      </w:pPr>
    </w:p>
    <w:p w14:paraId="39120000">
      <w:pPr>
        <w:widowControl w:val="1"/>
        <w:tabs>
          <w:tab w:leader="none" w:pos="540" w:val="left"/>
        </w:tabs>
        <w:spacing w:line="360" w:lineRule="auto"/>
        <w:ind w:firstLine="709"/>
        <w:contextualSpacing w:val="1"/>
        <w:jc w:val="both"/>
        <w:rPr>
          <w:b w:val="1"/>
        </w:rPr>
      </w:pPr>
      <w:r>
        <w:rPr>
          <w:b w:val="1"/>
        </w:rPr>
        <w:t>Планы развития системы «АСУПБ»:</w:t>
      </w:r>
    </w:p>
    <w:p w14:paraId="3A120000">
      <w:pPr>
        <w:pStyle w:val="Style_29"/>
        <w:widowControl w:val="1"/>
        <w:numPr>
          <w:ilvl w:val="0"/>
          <w:numId w:val="31"/>
        </w:numPr>
        <w:tabs>
          <w:tab w:leader="none" w:pos="0" w:val="left"/>
          <w:tab w:leader="none" w:pos="1066" w:val="clear"/>
          <w:tab w:leader="none" w:pos="1134" w:val="left"/>
        </w:tabs>
        <w:spacing w:line="360" w:lineRule="auto"/>
        <w:ind w:firstLine="709" w:left="0"/>
        <w:jc w:val="both"/>
      </w:pPr>
      <w:r>
        <w:t>Автоматическая привязка проданных билетов к выбранным электропоездам;</w:t>
      </w:r>
    </w:p>
    <w:p w14:paraId="3B120000">
      <w:pPr>
        <w:pStyle w:val="Style_29"/>
        <w:widowControl w:val="1"/>
        <w:numPr>
          <w:ilvl w:val="0"/>
          <w:numId w:val="31"/>
        </w:numPr>
        <w:tabs>
          <w:tab w:leader="none" w:pos="0" w:val="left"/>
          <w:tab w:leader="none" w:pos="1066" w:val="clear"/>
          <w:tab w:leader="none" w:pos="1134" w:val="left"/>
        </w:tabs>
        <w:spacing w:line="360" w:lineRule="auto"/>
        <w:ind w:firstLine="709" w:left="0"/>
        <w:jc w:val="both"/>
      </w:pPr>
      <w:r>
        <w:t xml:space="preserve">Выгрузки данных из глобальной базы данных «Спринт АСУПБ» в систему бухгалтерского учета 1С версии 8.3 </w:t>
      </w:r>
    </w:p>
    <w:p w14:paraId="3C120000">
      <w:pPr>
        <w:pStyle w:val="Style_29"/>
        <w:widowControl w:val="1"/>
        <w:numPr>
          <w:ilvl w:val="0"/>
          <w:numId w:val="31"/>
        </w:numPr>
        <w:tabs>
          <w:tab w:leader="none" w:pos="0" w:val="left"/>
          <w:tab w:leader="none" w:pos="1066" w:val="clear"/>
          <w:tab w:leader="none" w:pos="1134" w:val="left"/>
        </w:tabs>
        <w:spacing w:line="360" w:lineRule="auto"/>
        <w:ind w:firstLine="709" w:left="0"/>
        <w:jc w:val="both"/>
      </w:pPr>
      <w:r>
        <w:t>Использование «Спринт АСУПБ» для сбора, передачи и обработки оперативных данных о результатах работы пригородных билетных касс и кассиров (билетных), оказывающих услуги пассажирам в поездах пригородного сообщения.</w:t>
      </w:r>
    </w:p>
    <w:p w14:paraId="3D120000">
      <w:pPr>
        <w:pStyle w:val="Style_29"/>
        <w:widowControl w:val="1"/>
        <w:numPr>
          <w:ilvl w:val="0"/>
          <w:numId w:val="31"/>
        </w:numPr>
        <w:tabs>
          <w:tab w:leader="none" w:pos="0" w:val="left"/>
          <w:tab w:leader="none" w:pos="1066" w:val="clear"/>
          <w:tab w:leader="none" w:pos="1134" w:val="left"/>
        </w:tabs>
        <w:spacing w:line="360" w:lineRule="auto"/>
        <w:ind w:firstLine="709" w:left="0"/>
        <w:jc w:val="both"/>
      </w:pPr>
      <w:r>
        <w:t>Оформление всех видов абонементов.</w:t>
      </w:r>
    </w:p>
    <w:p w14:paraId="3E120000">
      <w:pPr>
        <w:pStyle w:val="Style_29"/>
        <w:widowControl w:val="1"/>
        <w:numPr>
          <w:ilvl w:val="0"/>
          <w:numId w:val="31"/>
        </w:numPr>
        <w:tabs>
          <w:tab w:leader="none" w:pos="0" w:val="left"/>
          <w:tab w:leader="none" w:pos="1066" w:val="clear"/>
          <w:tab w:leader="none" w:pos="1134" w:val="left"/>
        </w:tabs>
        <w:spacing w:line="360" w:lineRule="auto"/>
        <w:ind w:firstLine="709" w:left="0"/>
        <w:jc w:val="both"/>
      </w:pPr>
      <w:r>
        <w:t>Создание в билетных кассах АО «Краспригород» пунктов пополнения социальных и транспортных карт Красноярского края.</w:t>
      </w:r>
    </w:p>
    <w:p w14:paraId="3F120000">
      <w:pPr>
        <w:widowControl w:val="1"/>
        <w:spacing w:line="360" w:lineRule="auto"/>
        <w:ind w:firstLine="709"/>
        <w:contextualSpacing w:val="1"/>
        <w:jc w:val="center"/>
        <w:rPr>
          <w:b w:val="1"/>
          <w:highlight w:val="yellow"/>
        </w:rPr>
      </w:pPr>
    </w:p>
    <w:p w14:paraId="40120000">
      <w:pPr>
        <w:widowControl w:val="1"/>
        <w:spacing w:line="360" w:lineRule="auto"/>
        <w:ind w:firstLine="709"/>
        <w:contextualSpacing w:val="1"/>
        <w:jc w:val="center"/>
        <w:rPr>
          <w:b w:val="1"/>
        </w:rPr>
      </w:pPr>
      <w:r>
        <w:rPr>
          <w:b w:val="1"/>
        </w:rPr>
        <w:t xml:space="preserve">Продажа билетов на поезда пригородного назначения через web сайты  </w:t>
      </w:r>
    </w:p>
    <w:p w14:paraId="41120000">
      <w:pPr>
        <w:widowControl w:val="1"/>
        <w:spacing w:line="360" w:lineRule="auto"/>
        <w:ind w:firstLine="709"/>
        <w:contextualSpacing w:val="1"/>
        <w:jc w:val="both"/>
      </w:pPr>
      <w:r>
        <w:t xml:space="preserve">В 2019 году благодаря применению современной мобильной контрольно кассовой технике будет расширен список маршрутов на которые реализована продажа билетов через </w:t>
      </w:r>
      <w:r>
        <w:t>web</w:t>
      </w:r>
      <w:r>
        <w:t xml:space="preserve"> сайт компании. </w:t>
      </w:r>
    </w:p>
    <w:p w14:paraId="42120000">
      <w:pPr>
        <w:widowControl w:val="1"/>
        <w:spacing w:line="360" w:lineRule="auto"/>
        <w:ind w:firstLine="709"/>
        <w:contextualSpacing w:val="1"/>
        <w:jc w:val="both"/>
      </w:pPr>
      <w:r>
        <w:t xml:space="preserve">Уже сейчас данная услугу пользуется популярностью у пассажиров, а в результате, </w:t>
      </w:r>
      <w:r>
        <w:t>online</w:t>
      </w:r>
      <w:r>
        <w:t xml:space="preserve"> технология приобретения интернет билетов займет лидирующие место среди технологий продаж  подобного вида услуг.  </w:t>
      </w:r>
    </w:p>
    <w:p w14:paraId="43120000">
      <w:pPr>
        <w:widowControl w:val="1"/>
        <w:spacing w:line="360" w:lineRule="auto"/>
        <w:ind w:firstLine="709"/>
        <w:contextualSpacing w:val="1"/>
        <w:jc w:val="center"/>
        <w:rPr>
          <w:b w:val="1"/>
        </w:rPr>
      </w:pPr>
      <w:r>
        <w:rPr>
          <w:b w:val="1"/>
        </w:rPr>
        <w:t>Внедрение системы видеонаблюдения в электропоездах</w:t>
      </w:r>
    </w:p>
    <w:p w14:paraId="44120000">
      <w:pPr>
        <w:widowControl w:val="1"/>
        <w:spacing w:line="360" w:lineRule="auto"/>
        <w:ind w:firstLine="709"/>
        <w:contextualSpacing w:val="1"/>
        <w:jc w:val="both"/>
      </w:pPr>
      <w:r>
        <w:t>В соответствии «</w:t>
      </w:r>
      <w:r>
        <w:rPr>
          <w:rStyle w:val="Style_14_ch"/>
          <w:color w:val="000000"/>
        </w:rPr>
        <w:t>Требованиями</w:t>
      </w:r>
      <w:r>
        <w:t xml:space="preserve"> по обеспечению транспортной безопасности, в том числе требований к антитеррористической защищенности объектов (территорий), учитывающих уровни безопасности для различных категорий объектов транспортной инфраструктуры и транспортных средств (далее - ТС) железнодорожного транспорта», утвержденных постановлением Правительства Российской Федерации от 26.04.2017 № 495, Общество как субъект транспортной инфраструктуры в рамках заключенного договора  </w:t>
      </w:r>
      <w:r>
        <w:t xml:space="preserve">от 06.12.2018г. № 28/2018 </w:t>
      </w:r>
      <w:r>
        <w:t xml:space="preserve">с подразделением транспортной безопасности </w:t>
      </w:r>
      <w:r>
        <w:t>ООО «Арес»,</w:t>
      </w:r>
      <w:r>
        <w:t xml:space="preserve"> осуществило оснащение техническими средствами обеспечения транспортной безопасности пункта</w:t>
      </w:r>
      <w:r>
        <w:t xml:space="preserve"> </w:t>
      </w:r>
      <w:r>
        <w:t>управления транспортной безопасностью, а также транспортных средств, позволяющими обеспечить видеонаблюдение, аудио- и видеозапись с целью документирования действий сил обеспечения транспортной безопасности на контрольно-пропускных пунктах и постах транспортных средств, пунктов управления обеспечения транспортной безопасности.</w:t>
      </w:r>
    </w:p>
    <w:p w14:paraId="45120000">
      <w:pPr>
        <w:widowControl w:val="1"/>
        <w:spacing w:line="360" w:lineRule="auto"/>
        <w:ind w:firstLine="709"/>
        <w:contextualSpacing w:val="1"/>
        <w:jc w:val="both"/>
        <w:rPr>
          <w:i w:val="1"/>
        </w:rPr>
      </w:pPr>
      <w:r>
        <w:t>Приобретенные АО «Краспригород» технические средства обеспечения транспортной безопасности сертифицированы в соответствии с Правилами обязательной сертификации технических средств обеспечения транспортной безопасности, определенными Постановлением Правительства РФ от 26 сентября 2016 г. № 969.</w:t>
      </w:r>
    </w:p>
    <w:p w14:paraId="46120000">
      <w:pPr>
        <w:widowControl w:val="1"/>
        <w:tabs>
          <w:tab w:leader="none" w:pos="540" w:val="left"/>
        </w:tabs>
        <w:spacing w:line="360" w:lineRule="auto"/>
        <w:ind w:firstLine="709"/>
        <w:contextualSpacing w:val="1"/>
        <w:jc w:val="both"/>
      </w:pPr>
      <w:r>
        <w:tab/>
      </w:r>
    </w:p>
    <w:p w14:paraId="47120000">
      <w:bookmarkStart w:id="33" w:name="__RefHeading___28"/>
      <w:bookmarkEnd w:id="33"/>
      <w:pPr>
        <w:pStyle w:val="Style_7"/>
        <w:rPr>
          <w:b w:val="1"/>
          <w:color w:val="000000"/>
          <w:sz w:val="24"/>
        </w:rPr>
      </w:pPr>
      <w:r>
        <w:rPr>
          <w:b w:val="1"/>
          <w:color w:val="000000"/>
          <w:sz w:val="24"/>
        </w:rPr>
        <w:t xml:space="preserve">Раздел 9. Развитие сети связи Общества и </w:t>
      </w:r>
      <w:r>
        <w:rPr>
          <w:b w:val="1"/>
          <w:color w:val="000000"/>
          <w:sz w:val="24"/>
        </w:rPr>
        <w:t>Internet</w:t>
      </w:r>
      <w:r>
        <w:rPr>
          <w:b w:val="1"/>
          <w:color w:val="000000"/>
          <w:sz w:val="24"/>
        </w:rPr>
        <w:t>-технологий</w:t>
      </w:r>
    </w:p>
    <w:p w14:paraId="48120000">
      <w:pPr>
        <w:pStyle w:val="Style_29"/>
        <w:widowControl w:val="1"/>
        <w:tabs>
          <w:tab w:leader="none" w:pos="540" w:val="left"/>
        </w:tabs>
        <w:spacing w:line="360" w:lineRule="auto"/>
        <w:ind w:firstLine="709" w:left="0"/>
        <w:jc w:val="both"/>
        <w:rPr>
          <w:highlight w:val="yellow"/>
        </w:rPr>
      </w:pPr>
    </w:p>
    <w:p w14:paraId="49120000">
      <w:pPr>
        <w:pStyle w:val="Style_29"/>
        <w:widowControl w:val="1"/>
        <w:tabs>
          <w:tab w:leader="none" w:pos="540" w:val="left"/>
        </w:tabs>
        <w:spacing w:line="360" w:lineRule="auto"/>
        <w:ind w:firstLine="709" w:left="0"/>
        <w:jc w:val="both"/>
      </w:pPr>
      <w:r>
        <w:t xml:space="preserve">В 2018 году  все участки по обслуживанию пассажиров оснащены тачками  доступа </w:t>
      </w:r>
      <w:r>
        <w:t>Wi</w:t>
      </w:r>
      <w:r>
        <w:t>-</w:t>
      </w:r>
      <w:r>
        <w:t>Fi</w:t>
      </w:r>
      <w:r>
        <w:t xml:space="preserve">, что позволило производить выгрузку данных о проданных билетах с терминалов </w:t>
      </w:r>
      <w:r>
        <w:t>CipherLab</w:t>
      </w:r>
      <w:r>
        <w:t xml:space="preserve"> используемых РБК на глобальный сервер АО «Краспригород». </w:t>
      </w:r>
    </w:p>
    <w:p w14:paraId="4A120000">
      <w:pPr>
        <w:widowControl w:val="1"/>
        <w:spacing w:line="360" w:lineRule="auto"/>
        <w:ind w:firstLine="709"/>
        <w:contextualSpacing w:val="1"/>
        <w:jc w:val="center"/>
        <w:rPr>
          <w:b w:val="1"/>
          <w:highlight w:val="yellow"/>
        </w:rPr>
      </w:pPr>
    </w:p>
    <w:p w14:paraId="4B120000">
      <w:pPr>
        <w:widowControl w:val="1"/>
        <w:spacing w:line="360" w:lineRule="auto"/>
        <w:ind w:firstLine="709"/>
        <w:contextualSpacing w:val="1"/>
        <w:jc w:val="center"/>
        <w:rPr>
          <w:b w:val="1"/>
        </w:rPr>
      </w:pPr>
      <w:r>
        <w:rPr>
          <w:b w:val="1"/>
        </w:rPr>
        <w:t>Разработка мобильного приложения по продаже билетов на пригородные электропоезда</w:t>
      </w:r>
    </w:p>
    <w:p w14:paraId="4C120000">
      <w:pPr>
        <w:widowControl w:val="1"/>
        <w:spacing w:line="360" w:lineRule="auto"/>
        <w:ind w:firstLine="709"/>
        <w:contextualSpacing w:val="1"/>
        <w:jc w:val="both"/>
      </w:pPr>
      <w:r>
        <w:t>В  2019 год</w:t>
      </w:r>
      <w:r>
        <w:t>у</w:t>
      </w:r>
      <w:r>
        <w:t>, в целях клиентоориентированности и расширения сети продаж билетов на электропоезда пригородного назначения через сеть интернет, разработано</w:t>
      </w:r>
      <w:r>
        <w:t xml:space="preserve"> и введено в </w:t>
      </w:r>
      <w:r>
        <w:t xml:space="preserve"> </w:t>
      </w:r>
      <w:r>
        <w:t xml:space="preserve">эксплуатацию </w:t>
      </w:r>
      <w:r>
        <w:t xml:space="preserve">мобильное приложение для автоматизированной системы управления продажей билетов. Мобильное приложение будет функционировать на мобильных устройствах оснащенных  операционными системами </w:t>
      </w:r>
      <w:r>
        <w:t>android</w:t>
      </w:r>
      <w:r>
        <w:t xml:space="preserve"> (начиная с версии 6.0 ) и  </w:t>
      </w:r>
      <w:r>
        <w:t>IOS</w:t>
      </w:r>
      <w:r>
        <w:t xml:space="preserve"> (начиная с версии  10.0).</w:t>
      </w:r>
    </w:p>
    <w:p w14:paraId="4D120000">
      <w:pPr>
        <w:widowControl w:val="1"/>
        <w:spacing w:line="360" w:lineRule="auto"/>
        <w:ind w:firstLine="709"/>
        <w:contextualSpacing w:val="1"/>
        <w:jc w:val="both"/>
      </w:pPr>
      <w:r>
        <w:t xml:space="preserve">   Приложение будет представлять собой оболочку обедняющую в себе  "автоматизированную систему управления продажей билетов", систему безналичной оплаты проезда и фискализации чековых операций, информационный ресурс "Яндекс расписание". Функционал мобильного приложения позволит продавать электронные билеты на все направления движения пригородных поездов на полигоне Красноярской железной дороги. К приобретению будут доступны следующие типы электронных билетов: полный, багаж, живность. </w:t>
      </w:r>
    </w:p>
    <w:p w14:paraId="4E120000">
      <w:pPr>
        <w:widowControl w:val="1"/>
        <w:spacing w:line="360" w:lineRule="auto"/>
        <w:ind w:firstLine="709"/>
        <w:contextualSpacing w:val="1"/>
        <w:jc w:val="both"/>
      </w:pPr>
      <w:r>
        <w:t>Также в течение 2019 года планируется реализовать продажу билетов на пригородные электропоезда через мобильные приложения  «РЖД Пассажирам» и «Яндекс Электрички».</w:t>
      </w:r>
    </w:p>
    <w:p w14:paraId="4F120000">
      <w:pPr>
        <w:pStyle w:val="Style_29"/>
        <w:widowControl w:val="1"/>
        <w:tabs>
          <w:tab w:leader="none" w:pos="540" w:val="left"/>
        </w:tabs>
        <w:spacing w:line="360" w:lineRule="auto"/>
        <w:ind w:firstLine="709" w:left="0"/>
        <w:jc w:val="both"/>
      </w:pPr>
    </w:p>
    <w:p w14:paraId="50120000">
      <w:bookmarkStart w:id="34" w:name="__RefHeading___29"/>
      <w:bookmarkEnd w:id="34"/>
      <w:pPr>
        <w:pStyle w:val="Style_7"/>
        <w:pageBreakBefore w:val="1"/>
        <w:widowControl w:val="1"/>
        <w:spacing w:line="360" w:lineRule="auto"/>
        <w:ind w:firstLine="709"/>
        <w:contextualSpacing w:val="1"/>
        <w:jc w:val="both"/>
        <w:rPr>
          <w:b w:val="1"/>
          <w:color w:val="000000"/>
          <w:sz w:val="24"/>
        </w:rPr>
      </w:pPr>
      <w:r>
        <w:rPr>
          <w:b w:val="1"/>
          <w:color w:val="000000"/>
          <w:sz w:val="24"/>
        </w:rPr>
        <w:t xml:space="preserve">Раздел </w:t>
      </w:r>
      <w:r>
        <w:rPr>
          <w:b w:val="1"/>
          <w:color w:val="000000"/>
          <w:sz w:val="24"/>
        </w:rPr>
        <w:t>10</w:t>
      </w:r>
      <w:r>
        <w:rPr>
          <w:b w:val="1"/>
          <w:color w:val="000000"/>
          <w:sz w:val="24"/>
        </w:rPr>
        <w:t xml:space="preserve">. </w:t>
      </w:r>
      <w:r>
        <w:rPr>
          <w:b w:val="1"/>
          <w:color w:val="000000"/>
          <w:sz w:val="24"/>
        </w:rPr>
        <w:t>Кадровая и социальная политика</w:t>
      </w:r>
    </w:p>
    <w:p w14:paraId="51120000">
      <w:pPr>
        <w:widowControl w:val="1"/>
        <w:tabs>
          <w:tab w:leader="none" w:pos="851" w:val="left"/>
          <w:tab w:leader="none" w:pos="1134" w:val="left"/>
          <w:tab w:leader="none" w:pos="1418" w:val="left"/>
        </w:tabs>
        <w:ind w:firstLine="709"/>
        <w:contextualSpacing w:val="1"/>
        <w:rPr>
          <w:b w:val="1"/>
        </w:rPr>
      </w:pPr>
    </w:p>
    <w:p w14:paraId="52120000">
      <w:pPr>
        <w:widowControl w:val="1"/>
        <w:spacing w:line="360" w:lineRule="auto"/>
        <w:ind w:firstLine="709"/>
        <w:contextualSpacing w:val="1"/>
        <w:jc w:val="both"/>
      </w:pPr>
      <w:r>
        <w:t>Целью кадровой политики АО «</w:t>
      </w:r>
      <w:r>
        <w:t>Краспригород</w:t>
      </w:r>
      <w:r>
        <w:t>» является:</w:t>
      </w:r>
    </w:p>
    <w:p w14:paraId="53120000">
      <w:pPr>
        <w:widowControl w:val="1"/>
        <w:numPr>
          <w:ilvl w:val="0"/>
          <w:numId w:val="7"/>
        </w:numPr>
        <w:tabs>
          <w:tab w:leader="none" w:pos="720" w:val="clear"/>
          <w:tab w:leader="none" w:pos="851" w:val="left"/>
        </w:tabs>
        <w:spacing w:line="360" w:lineRule="auto"/>
        <w:ind w:firstLine="709" w:left="0"/>
        <w:contextualSpacing w:val="1"/>
        <w:jc w:val="both"/>
      </w:pPr>
      <w:r>
        <w:t>формирование высокопрофессиональной команды;</w:t>
      </w:r>
    </w:p>
    <w:p w14:paraId="54120000">
      <w:pPr>
        <w:widowControl w:val="1"/>
        <w:numPr>
          <w:ilvl w:val="0"/>
          <w:numId w:val="7"/>
        </w:numPr>
        <w:tabs>
          <w:tab w:leader="none" w:pos="720" w:val="clear"/>
          <w:tab w:leader="none" w:pos="851" w:val="left"/>
        </w:tabs>
        <w:spacing w:line="360" w:lineRule="auto"/>
        <w:ind w:firstLine="709" w:left="0"/>
        <w:contextualSpacing w:val="1"/>
        <w:jc w:val="both"/>
      </w:pPr>
      <w:r>
        <w:t>выполнение миссии Общества;</w:t>
      </w:r>
    </w:p>
    <w:p w14:paraId="55120000">
      <w:pPr>
        <w:widowControl w:val="1"/>
        <w:tabs>
          <w:tab w:leader="none" w:pos="709" w:val="left"/>
        </w:tabs>
        <w:spacing w:line="360" w:lineRule="auto"/>
        <w:ind w:firstLine="709"/>
        <w:contextualSpacing w:val="1"/>
        <w:jc w:val="both"/>
      </w:pPr>
      <w:r>
        <w:t>Основными принципами реализации кадровой и социальной политики являю</w:t>
      </w:r>
      <w:r>
        <w:t>т</w:t>
      </w:r>
      <w:r>
        <w:t>ся:</w:t>
      </w:r>
    </w:p>
    <w:p w14:paraId="56120000">
      <w:pPr>
        <w:widowControl w:val="1"/>
        <w:numPr>
          <w:ilvl w:val="0"/>
          <w:numId w:val="7"/>
        </w:numPr>
        <w:tabs>
          <w:tab w:leader="none" w:pos="720" w:val="clear"/>
          <w:tab w:leader="none" w:pos="851" w:val="left"/>
        </w:tabs>
        <w:spacing w:line="360" w:lineRule="auto"/>
        <w:ind w:firstLine="709" w:left="0"/>
        <w:contextualSpacing w:val="1"/>
        <w:jc w:val="both"/>
      </w:pPr>
      <w:r>
        <w:t>формирование кадрового потенциала;</w:t>
      </w:r>
    </w:p>
    <w:p w14:paraId="57120000">
      <w:pPr>
        <w:widowControl w:val="1"/>
        <w:numPr>
          <w:ilvl w:val="0"/>
          <w:numId w:val="7"/>
        </w:numPr>
        <w:tabs>
          <w:tab w:leader="none" w:pos="720" w:val="clear"/>
          <w:tab w:leader="none" w:pos="851" w:val="left"/>
        </w:tabs>
        <w:spacing w:line="360" w:lineRule="auto"/>
        <w:ind w:firstLine="709" w:left="0"/>
        <w:contextualSpacing w:val="1"/>
        <w:jc w:val="both"/>
      </w:pPr>
      <w:r>
        <w:t>профессионализм и компетентность работников;</w:t>
      </w:r>
    </w:p>
    <w:p w14:paraId="58120000">
      <w:pPr>
        <w:widowControl w:val="1"/>
        <w:numPr>
          <w:ilvl w:val="0"/>
          <w:numId w:val="7"/>
        </w:numPr>
        <w:tabs>
          <w:tab w:leader="none" w:pos="720" w:val="clear"/>
          <w:tab w:leader="none" w:pos="851" w:val="left"/>
        </w:tabs>
        <w:spacing w:line="360" w:lineRule="auto"/>
        <w:ind w:firstLine="709" w:left="0"/>
        <w:contextualSpacing w:val="1"/>
        <w:jc w:val="both"/>
      </w:pPr>
      <w:r>
        <w:t>создание оптимальной системы мотивации труда работников;</w:t>
      </w:r>
    </w:p>
    <w:p w14:paraId="59120000">
      <w:pPr>
        <w:widowControl w:val="1"/>
        <w:numPr>
          <w:ilvl w:val="0"/>
          <w:numId w:val="7"/>
        </w:numPr>
        <w:tabs>
          <w:tab w:leader="none" w:pos="720" w:val="clear"/>
          <w:tab w:leader="none" w:pos="851" w:val="left"/>
        </w:tabs>
        <w:spacing w:line="360" w:lineRule="auto"/>
        <w:ind w:firstLine="709" w:left="0"/>
        <w:contextualSpacing w:val="1"/>
        <w:jc w:val="both"/>
      </w:pPr>
      <w:r>
        <w:t>социальное партнерство.</w:t>
      </w:r>
    </w:p>
    <w:p w14:paraId="5A120000">
      <w:pPr>
        <w:widowControl w:val="1"/>
        <w:spacing w:line="360" w:lineRule="auto"/>
        <w:ind w:firstLine="709"/>
        <w:contextualSpacing w:val="1"/>
        <w:jc w:val="both"/>
      </w:pPr>
      <w:r>
        <w:t>Подбор кадров в Обществе осуществляется за счет:</w:t>
      </w:r>
    </w:p>
    <w:p w14:paraId="5B120000">
      <w:pPr>
        <w:widowControl w:val="1"/>
        <w:numPr>
          <w:ilvl w:val="0"/>
          <w:numId w:val="32"/>
        </w:numPr>
        <w:tabs>
          <w:tab w:leader="none" w:pos="851" w:val="left"/>
          <w:tab w:leader="none" w:pos="1428" w:val="clear"/>
        </w:tabs>
        <w:spacing w:line="360" w:lineRule="auto"/>
        <w:ind w:firstLine="709" w:left="0"/>
        <w:contextualSpacing w:val="1"/>
        <w:jc w:val="both"/>
      </w:pPr>
      <w:r>
        <w:t>ротации сотрудников внутри Компании, что предусматривает возможность карье</w:t>
      </w:r>
      <w:r>
        <w:t>р</w:t>
      </w:r>
      <w:r>
        <w:t>ного роста наиболее грамотных и компетентных сотрудников, внесенных в список резерва;</w:t>
      </w:r>
    </w:p>
    <w:p w14:paraId="5C120000">
      <w:pPr>
        <w:widowControl w:val="1"/>
        <w:numPr>
          <w:ilvl w:val="0"/>
          <w:numId w:val="32"/>
        </w:numPr>
        <w:tabs>
          <w:tab w:leader="none" w:pos="851" w:val="left"/>
          <w:tab w:leader="none" w:pos="1428" w:val="clear"/>
        </w:tabs>
        <w:spacing w:line="360" w:lineRule="auto"/>
        <w:ind w:firstLine="709" w:left="0"/>
        <w:contextualSpacing w:val="1"/>
        <w:jc w:val="both"/>
      </w:pPr>
      <w:r>
        <w:t>рекомендаций сотрудников;</w:t>
      </w:r>
    </w:p>
    <w:p w14:paraId="5D120000">
      <w:pPr>
        <w:widowControl w:val="1"/>
        <w:numPr>
          <w:ilvl w:val="0"/>
          <w:numId w:val="32"/>
        </w:numPr>
        <w:tabs>
          <w:tab w:leader="none" w:pos="851" w:val="left"/>
          <w:tab w:leader="none" w:pos="1428" w:val="clear"/>
        </w:tabs>
        <w:spacing w:line="360" w:lineRule="auto"/>
        <w:ind w:firstLine="709" w:left="0"/>
        <w:contextualSpacing w:val="1"/>
        <w:jc w:val="both"/>
      </w:pPr>
      <w:r>
        <w:t xml:space="preserve">подбора кандидатов с использованием кадровых агентств, </w:t>
      </w:r>
      <w:r>
        <w:t>Internet</w:t>
      </w:r>
      <w:r>
        <w:t>, городской слу</w:t>
      </w:r>
      <w:r>
        <w:t>ж</w:t>
      </w:r>
      <w:r>
        <w:t>бы занятости, ВУЗов г. Красноярска.</w:t>
      </w:r>
    </w:p>
    <w:p w14:paraId="5E120000">
      <w:pPr>
        <w:widowControl w:val="1"/>
        <w:spacing w:line="360" w:lineRule="auto"/>
        <w:ind w:firstLine="709"/>
        <w:contextualSpacing w:val="1"/>
        <w:jc w:val="both"/>
      </w:pPr>
      <w:r>
        <w:t>Для качественного отбора кандидатов на вакантные должности в Комп</w:t>
      </w:r>
      <w:r>
        <w:t>а</w:t>
      </w:r>
      <w:r>
        <w:t>нии определен следующий порядок:</w:t>
      </w:r>
    </w:p>
    <w:p w14:paraId="5F120000">
      <w:pPr>
        <w:widowControl w:val="1"/>
        <w:numPr>
          <w:ilvl w:val="0"/>
          <w:numId w:val="33"/>
        </w:numPr>
        <w:tabs>
          <w:tab w:leader="none" w:pos="360" w:val="clear"/>
          <w:tab w:leader="none" w:pos="1134" w:val="left"/>
        </w:tabs>
        <w:spacing w:line="360" w:lineRule="auto"/>
        <w:ind w:firstLine="709" w:left="0"/>
        <w:contextualSpacing w:val="1"/>
        <w:jc w:val="both"/>
      </w:pPr>
      <w:r>
        <w:t>заявка подразделений на подбор;</w:t>
      </w:r>
    </w:p>
    <w:p w14:paraId="60120000">
      <w:pPr>
        <w:widowControl w:val="1"/>
        <w:numPr>
          <w:ilvl w:val="0"/>
          <w:numId w:val="33"/>
        </w:numPr>
        <w:tabs>
          <w:tab w:leader="none" w:pos="360" w:val="clear"/>
          <w:tab w:leader="none" w:pos="1134" w:val="left"/>
        </w:tabs>
        <w:spacing w:line="360" w:lineRule="auto"/>
        <w:ind w:firstLine="709" w:left="0"/>
        <w:contextualSpacing w:val="1"/>
        <w:jc w:val="both"/>
      </w:pPr>
      <w:r>
        <w:t>поиск кандидатов;</w:t>
      </w:r>
    </w:p>
    <w:p w14:paraId="61120000">
      <w:pPr>
        <w:widowControl w:val="1"/>
        <w:numPr>
          <w:ilvl w:val="0"/>
          <w:numId w:val="33"/>
        </w:numPr>
        <w:tabs>
          <w:tab w:leader="none" w:pos="360" w:val="clear"/>
          <w:tab w:leader="none" w:pos="1134" w:val="left"/>
        </w:tabs>
        <w:spacing w:line="360" w:lineRule="auto"/>
        <w:ind w:firstLine="709" w:left="0"/>
        <w:contextualSpacing w:val="1"/>
        <w:jc w:val="both"/>
      </w:pPr>
      <w:r>
        <w:t>предоставление резюме и собеседование кандидата со специалистом по персоналу;</w:t>
      </w:r>
    </w:p>
    <w:p w14:paraId="62120000">
      <w:pPr>
        <w:widowControl w:val="1"/>
        <w:numPr>
          <w:ilvl w:val="0"/>
          <w:numId w:val="33"/>
        </w:numPr>
        <w:tabs>
          <w:tab w:leader="none" w:pos="360" w:val="clear"/>
          <w:tab w:leader="none" w:pos="1134" w:val="left"/>
        </w:tabs>
        <w:spacing w:line="360" w:lineRule="auto"/>
        <w:ind w:firstLine="709" w:left="0"/>
        <w:contextualSpacing w:val="1"/>
        <w:jc w:val="both"/>
      </w:pPr>
      <w:r>
        <w:t>анкетирование и собеседование с руководителем направления;</w:t>
      </w:r>
    </w:p>
    <w:p w14:paraId="63120000">
      <w:pPr>
        <w:widowControl w:val="1"/>
        <w:numPr>
          <w:ilvl w:val="0"/>
          <w:numId w:val="33"/>
        </w:numPr>
        <w:tabs>
          <w:tab w:leader="none" w:pos="360" w:val="clear"/>
          <w:tab w:leader="none" w:pos="1134" w:val="left"/>
        </w:tabs>
        <w:spacing w:line="360" w:lineRule="auto"/>
        <w:ind w:firstLine="709" w:left="0"/>
        <w:contextualSpacing w:val="1"/>
        <w:jc w:val="both"/>
      </w:pPr>
      <w:r>
        <w:t>собеседование с генеральным директором.</w:t>
      </w:r>
    </w:p>
    <w:p w14:paraId="64120000">
      <w:pPr>
        <w:widowControl w:val="1"/>
        <w:spacing w:line="360" w:lineRule="auto"/>
        <w:ind w:firstLine="709"/>
        <w:contextualSpacing w:val="1"/>
        <w:jc w:val="both"/>
      </w:pPr>
      <w:r>
        <w:t>При оформлении приема работнику устанавливается испытательный срок, по оконч</w:t>
      </w:r>
      <w:r>
        <w:t>а</w:t>
      </w:r>
      <w:r>
        <w:t>нии которого, генеральный директор, по представлению руководителя соответствующего подразделения, принимает решение о принятии работника на постоянную работу.</w:t>
      </w:r>
    </w:p>
    <w:p w14:paraId="65120000">
      <w:pPr>
        <w:pStyle w:val="Style_30"/>
        <w:widowControl w:val="1"/>
        <w:spacing w:line="360" w:lineRule="auto"/>
        <w:ind w:firstLine="709"/>
        <w:contextualSpacing w:val="1"/>
        <w:jc w:val="both"/>
        <w:rPr>
          <w:rFonts w:ascii="Times New Roman" w:hAnsi="Times New Roman"/>
          <w:sz w:val="24"/>
        </w:rPr>
      </w:pPr>
      <w:r>
        <w:rPr>
          <w:rFonts w:ascii="Times New Roman" w:hAnsi="Times New Roman"/>
          <w:sz w:val="24"/>
        </w:rPr>
        <w:t xml:space="preserve">Положение об оплате труда работников АО «Краспригород» разработано в соответствии со статьей 135 Трудового кодекса Российской Федерации и Концепцией оплаты труда работников предприятий, входящих в холдинг ОАО «РЖД» утвержденной распоряжением №2550р от 09.12.2010г. </w:t>
      </w:r>
    </w:p>
    <w:p w14:paraId="66120000">
      <w:pPr>
        <w:pStyle w:val="Style_30"/>
        <w:widowControl w:val="1"/>
        <w:spacing w:line="360" w:lineRule="auto"/>
        <w:ind w:firstLine="709"/>
        <w:contextualSpacing w:val="1"/>
        <w:jc w:val="both"/>
        <w:rPr>
          <w:rFonts w:ascii="Times New Roman" w:hAnsi="Times New Roman"/>
          <w:sz w:val="24"/>
        </w:rPr>
      </w:pPr>
      <w:r>
        <w:rPr>
          <w:rFonts w:ascii="Times New Roman" w:hAnsi="Times New Roman"/>
          <w:sz w:val="24"/>
        </w:rPr>
        <w:t>Положение направлено на стимулирование вклада каждого работника в повышение результативности работы АО «Краспригород», повышение значимости заработной платы в обеспечении социальной защищенности работников.</w:t>
      </w:r>
    </w:p>
    <w:p w14:paraId="67120000">
      <w:pPr>
        <w:widowControl w:val="1"/>
        <w:spacing w:line="360" w:lineRule="auto"/>
        <w:ind w:firstLine="709"/>
        <w:contextualSpacing w:val="1"/>
        <w:jc w:val="both"/>
      </w:pPr>
      <w:r>
        <w:rPr>
          <w:color w:val="000000"/>
        </w:rPr>
        <w:t xml:space="preserve">Оплата труда работников АО «Краспригород» осуществляется по часовым тарифным ставкам, определяемым на основе тарифной сетки по оплате труда работников АО «Краспригород»»; по месячным тарифным ставкам (окладам); по месячным должностным окладам;  по персональным  месячным окладам. </w:t>
      </w:r>
      <w:r>
        <w:t>Выплаты работникам АО «Краспригород», не предусмотренные Положением об оплате труда работников, осуществляются в порядке, определенном Трудовым Кодексом Российской Федерации и иными нормативными правовыми актами Российской Федерации.</w:t>
      </w:r>
    </w:p>
    <w:p w14:paraId="68120000">
      <w:pPr>
        <w:widowControl w:val="1"/>
        <w:spacing w:line="360" w:lineRule="auto"/>
        <w:ind w:firstLine="709"/>
        <w:contextualSpacing w:val="1"/>
        <w:jc w:val="both"/>
      </w:pPr>
      <w:r>
        <w:t>Сроки выплаты заработной платы в АО «</w:t>
      </w:r>
      <w:r>
        <w:t>Краспригород</w:t>
      </w:r>
      <w:r>
        <w:t>» 2 раза в месяц:</w:t>
      </w:r>
    </w:p>
    <w:p w14:paraId="69120000">
      <w:pPr>
        <w:widowControl w:val="1"/>
        <w:spacing w:line="360" w:lineRule="auto"/>
        <w:ind w:firstLine="709"/>
        <w:contextualSpacing w:val="1"/>
        <w:jc w:val="both"/>
      </w:pPr>
      <w:r>
        <w:t>- за первую половину месяца  2</w:t>
      </w:r>
      <w:r>
        <w:t>6</w:t>
      </w:r>
      <w:r>
        <w:t xml:space="preserve"> числа текущ</w:t>
      </w:r>
      <w:r>
        <w:t>е</w:t>
      </w:r>
      <w:r>
        <w:t>го месяца;</w:t>
      </w:r>
    </w:p>
    <w:p w14:paraId="6A120000">
      <w:pPr>
        <w:widowControl w:val="1"/>
        <w:spacing w:line="360" w:lineRule="auto"/>
        <w:ind w:firstLine="709"/>
        <w:contextualSpacing w:val="1"/>
        <w:jc w:val="both"/>
      </w:pPr>
      <w:r>
        <w:t>- за вторую половину месяца  11 числа следующего месяца.</w:t>
      </w:r>
    </w:p>
    <w:p w14:paraId="6B120000">
      <w:pPr>
        <w:pStyle w:val="Style_11"/>
        <w:widowControl w:val="1"/>
        <w:spacing w:after="0" w:line="360" w:lineRule="auto"/>
        <w:ind w:firstLine="709" w:left="0"/>
        <w:contextualSpacing w:val="1"/>
        <w:jc w:val="both"/>
        <w:rPr>
          <w:sz w:val="24"/>
        </w:rPr>
      </w:pPr>
      <w:r>
        <w:rPr>
          <w:sz w:val="24"/>
        </w:rPr>
        <w:t>На предприятии используются следующие формы стимулирования персонала:</w:t>
      </w:r>
    </w:p>
    <w:p w14:paraId="6C120000">
      <w:pPr>
        <w:pStyle w:val="Style_11"/>
        <w:widowControl w:val="1"/>
        <w:numPr>
          <w:ilvl w:val="0"/>
          <w:numId w:val="34"/>
        </w:numPr>
        <w:tabs>
          <w:tab w:leader="none" w:pos="1134" w:val="left"/>
        </w:tabs>
        <w:spacing w:after="0" w:line="360" w:lineRule="auto"/>
        <w:ind w:firstLine="709" w:left="0"/>
        <w:contextualSpacing w:val="1"/>
        <w:jc w:val="both"/>
        <w:rPr>
          <w:sz w:val="24"/>
        </w:rPr>
      </w:pPr>
      <w:r>
        <w:rPr>
          <w:sz w:val="24"/>
        </w:rPr>
        <w:t>Моральная (горизонтальная и вертикальная ротация кадров)</w:t>
      </w:r>
    </w:p>
    <w:p w14:paraId="6D120000">
      <w:pPr>
        <w:pStyle w:val="Style_11"/>
        <w:widowControl w:val="1"/>
        <w:numPr>
          <w:ilvl w:val="0"/>
          <w:numId w:val="34"/>
        </w:numPr>
        <w:tabs>
          <w:tab w:leader="none" w:pos="1134" w:val="left"/>
        </w:tabs>
        <w:spacing w:after="0" w:line="360" w:lineRule="auto"/>
        <w:ind w:firstLine="709" w:left="0"/>
        <w:contextualSpacing w:val="1"/>
        <w:jc w:val="both"/>
        <w:rPr>
          <w:sz w:val="24"/>
        </w:rPr>
      </w:pPr>
      <w:r>
        <w:rPr>
          <w:sz w:val="24"/>
        </w:rPr>
        <w:t>Материальная (поощрение работников за внесение личного вклада в развитие и стабильное функционир</w:t>
      </w:r>
      <w:r>
        <w:rPr>
          <w:sz w:val="24"/>
        </w:rPr>
        <w:t>о</w:t>
      </w:r>
      <w:r>
        <w:rPr>
          <w:sz w:val="24"/>
        </w:rPr>
        <w:t>вание предприятия)</w:t>
      </w:r>
    </w:p>
    <w:p w14:paraId="6E120000">
      <w:pPr>
        <w:pStyle w:val="Style_11"/>
        <w:widowControl w:val="1"/>
        <w:spacing w:after="0" w:line="360" w:lineRule="auto"/>
        <w:ind w:firstLine="709" w:left="0"/>
        <w:contextualSpacing w:val="1"/>
        <w:jc w:val="both"/>
        <w:rPr>
          <w:sz w:val="24"/>
        </w:rPr>
      </w:pPr>
      <w:r>
        <w:rPr>
          <w:sz w:val="24"/>
        </w:rPr>
        <w:t>Системы материального поощрения (выплаты премий, поощрений, вознаграждений) действует в целях мотивации работников к достижению в интересах общества высоких результатов, повышению эффективности и качества выполняемых работ, росту производительности труда, обеспечению безопасности перевозки пассажиров. Показатели и порядок материального поощрения устанавливаются Положением о премировании работников АО «Краспригород» в пределах фонда заработной платы, предусмотренного в бюджете затрат на эти цели.</w:t>
      </w:r>
    </w:p>
    <w:p w14:paraId="6F120000">
      <w:pPr>
        <w:pStyle w:val="Style_9"/>
        <w:widowControl w:val="1"/>
        <w:tabs>
          <w:tab w:leader="none" w:pos="0" w:val="left"/>
        </w:tabs>
        <w:ind w:firstLine="709"/>
        <w:contextualSpacing w:val="1"/>
        <w:rPr>
          <w:sz w:val="24"/>
        </w:rPr>
      </w:pPr>
      <w:r>
        <w:rPr>
          <w:sz w:val="24"/>
        </w:rPr>
        <w:t>В компании АО «</w:t>
      </w:r>
      <w:r>
        <w:rPr>
          <w:sz w:val="24"/>
        </w:rPr>
        <w:t>Краспригород</w:t>
      </w:r>
      <w:r>
        <w:rPr>
          <w:sz w:val="24"/>
        </w:rPr>
        <w:t>» объем социальных гарантий, социальных выплат и мер социальной поддержки работников, определяется в соответствии с коллективным д</w:t>
      </w:r>
      <w:r>
        <w:rPr>
          <w:sz w:val="24"/>
        </w:rPr>
        <w:t>о</w:t>
      </w:r>
      <w:r>
        <w:rPr>
          <w:sz w:val="24"/>
        </w:rPr>
        <w:t>говором АО «</w:t>
      </w:r>
      <w:r>
        <w:rPr>
          <w:sz w:val="24"/>
        </w:rPr>
        <w:t>Краспригород</w:t>
      </w:r>
      <w:r>
        <w:rPr>
          <w:sz w:val="24"/>
        </w:rPr>
        <w:t>».</w:t>
      </w:r>
    </w:p>
    <w:p w14:paraId="70120000">
      <w:pPr>
        <w:pStyle w:val="Style_9"/>
        <w:widowControl w:val="1"/>
        <w:tabs>
          <w:tab w:leader="none" w:pos="0" w:val="left"/>
        </w:tabs>
        <w:spacing w:line="240" w:lineRule="auto"/>
        <w:ind w:firstLine="709"/>
        <w:contextualSpacing w:val="1"/>
        <w:rPr>
          <w:sz w:val="24"/>
        </w:rPr>
      </w:pPr>
    </w:p>
    <w:p w14:paraId="71120000">
      <w:bookmarkStart w:id="35" w:name="__RefHeading___30"/>
      <w:bookmarkEnd w:id="35"/>
      <w:pPr>
        <w:pStyle w:val="Style_10"/>
        <w:widowControl w:val="1"/>
        <w:spacing w:after="0" w:before="0"/>
        <w:ind w:firstLine="709"/>
        <w:contextualSpacing w:val="1"/>
        <w:jc w:val="both"/>
        <w:rPr>
          <w:rFonts w:ascii="Times New Roman" w:hAnsi="Times New Roman"/>
          <w:i w:val="0"/>
          <w:sz w:val="24"/>
        </w:rPr>
      </w:pPr>
      <w:r>
        <w:rPr>
          <w:rFonts w:ascii="Times New Roman" w:hAnsi="Times New Roman"/>
          <w:i w:val="0"/>
          <w:sz w:val="24"/>
        </w:rPr>
        <w:t>10</w:t>
      </w:r>
      <w:r>
        <w:rPr>
          <w:rFonts w:ascii="Times New Roman" w:hAnsi="Times New Roman"/>
          <w:i w:val="0"/>
          <w:sz w:val="24"/>
        </w:rPr>
        <w:t>.1</w:t>
      </w:r>
      <w:r>
        <w:rPr>
          <w:rFonts w:ascii="Times New Roman" w:hAnsi="Times New Roman"/>
          <w:i w:val="0"/>
          <w:sz w:val="24"/>
        </w:rPr>
        <w:t>.</w:t>
      </w:r>
      <w:r>
        <w:rPr>
          <w:rFonts w:ascii="Times New Roman" w:hAnsi="Times New Roman"/>
          <w:i w:val="0"/>
          <w:sz w:val="24"/>
        </w:rPr>
        <w:t>Структура работающих по категориям</w:t>
      </w:r>
    </w:p>
    <w:p w14:paraId="72120000">
      <w:pPr>
        <w:widowControl w:val="1"/>
        <w:ind w:firstLine="709"/>
        <w:contextualSpacing w:val="1"/>
        <w:jc w:val="both"/>
        <w:rPr>
          <w:b w:val="1"/>
        </w:rPr>
      </w:pPr>
    </w:p>
    <w:p w14:paraId="73120000">
      <w:pPr>
        <w:widowControl w:val="1"/>
        <w:spacing w:line="360" w:lineRule="auto"/>
        <w:ind w:firstLine="709"/>
        <w:contextualSpacing w:val="1"/>
        <w:jc w:val="both"/>
        <w:rPr>
          <w:b w:val="1"/>
        </w:rPr>
      </w:pPr>
      <w:r>
        <w:t>Общая численность персонала, предусмотренная штатным расписанием компании на 31.12 .2018г. составляет 345,29  штатных единиц, из них:</w:t>
      </w:r>
    </w:p>
    <w:p w14:paraId="74120000">
      <w:pPr>
        <w:widowControl w:val="1"/>
        <w:spacing w:line="360" w:lineRule="auto"/>
        <w:ind w:firstLine="709"/>
        <w:contextualSpacing w:val="1"/>
        <w:jc w:val="both"/>
      </w:pPr>
      <w:r>
        <w:t>- руководителей – 28;</w:t>
      </w:r>
    </w:p>
    <w:p w14:paraId="75120000">
      <w:pPr>
        <w:widowControl w:val="1"/>
        <w:spacing w:line="360" w:lineRule="auto"/>
        <w:ind w:firstLine="709"/>
        <w:contextualSpacing w:val="1"/>
        <w:jc w:val="both"/>
      </w:pPr>
      <w:r>
        <w:t>- специалистов – 38,9;</w:t>
      </w:r>
    </w:p>
    <w:p w14:paraId="76120000">
      <w:pPr>
        <w:widowControl w:val="1"/>
        <w:spacing w:line="360" w:lineRule="auto"/>
        <w:ind w:firstLine="709"/>
        <w:contextualSpacing w:val="1"/>
        <w:jc w:val="both"/>
      </w:pPr>
      <w:r>
        <w:t>- служащих – 223,88;</w:t>
      </w:r>
    </w:p>
    <w:p w14:paraId="77120000">
      <w:pPr>
        <w:widowControl w:val="1"/>
        <w:spacing w:line="360" w:lineRule="auto"/>
        <w:ind w:firstLine="709"/>
        <w:contextualSpacing w:val="1"/>
        <w:jc w:val="both"/>
      </w:pPr>
      <w:r>
        <w:t>- рабочих – 54,51.</w:t>
      </w:r>
    </w:p>
    <w:p w14:paraId="78120000">
      <w:pPr>
        <w:widowControl w:val="1"/>
        <w:spacing w:line="360" w:lineRule="auto"/>
        <w:ind w:firstLine="709"/>
        <w:contextualSpacing w:val="1"/>
        <w:jc w:val="both"/>
      </w:pPr>
      <w:r>
        <w:t>Списочная  численность работников на 31.12.2018г. - 353 человека, из них:</w:t>
      </w:r>
    </w:p>
    <w:p w14:paraId="79120000">
      <w:pPr>
        <w:widowControl w:val="1"/>
        <w:spacing w:line="360" w:lineRule="auto"/>
        <w:ind w:firstLine="709"/>
        <w:contextualSpacing w:val="1"/>
        <w:jc w:val="both"/>
      </w:pPr>
      <w:r>
        <w:t>- руководителей – 28 чел.;</w:t>
      </w:r>
    </w:p>
    <w:p w14:paraId="7A120000">
      <w:pPr>
        <w:widowControl w:val="1"/>
        <w:spacing w:line="360" w:lineRule="auto"/>
        <w:ind w:firstLine="709"/>
        <w:contextualSpacing w:val="1"/>
        <w:jc w:val="both"/>
      </w:pPr>
      <w:r>
        <w:t>- специалистов – 36 чел.;</w:t>
      </w:r>
    </w:p>
    <w:p w14:paraId="7B120000">
      <w:pPr>
        <w:widowControl w:val="1"/>
        <w:spacing w:line="360" w:lineRule="auto"/>
        <w:ind w:firstLine="709"/>
        <w:contextualSpacing w:val="1"/>
        <w:jc w:val="both"/>
      </w:pPr>
      <w:r>
        <w:t>- служащих – 228 чел.;</w:t>
      </w:r>
    </w:p>
    <w:p w14:paraId="7C120000">
      <w:pPr>
        <w:widowControl w:val="1"/>
        <w:spacing w:line="360" w:lineRule="auto"/>
        <w:ind w:firstLine="709"/>
        <w:contextualSpacing w:val="1"/>
        <w:jc w:val="both"/>
      </w:pPr>
      <w:r>
        <w:t>- рабочих – 61 чел.</w:t>
      </w:r>
    </w:p>
    <w:p w14:paraId="7D120000">
      <w:pPr>
        <w:widowControl w:val="1"/>
        <w:spacing w:line="360" w:lineRule="auto"/>
        <w:ind w:firstLine="709"/>
        <w:contextualSpacing w:val="1"/>
        <w:jc w:val="both"/>
      </w:pPr>
      <w:r>
        <w:t xml:space="preserve">26 </w:t>
      </w:r>
      <w:r>
        <w:rPr>
          <w:color w:val="FF0000"/>
        </w:rPr>
        <w:t xml:space="preserve"> </w:t>
      </w:r>
      <w:r>
        <w:t>сотрудников находятся  в отпусках по беременности и родам и по уходу за ребенком.</w:t>
      </w:r>
    </w:p>
    <w:p w14:paraId="7E120000">
      <w:pPr>
        <w:widowControl w:val="1"/>
        <w:spacing w:line="360" w:lineRule="auto"/>
        <w:ind w:firstLine="709"/>
        <w:contextualSpacing w:val="1"/>
        <w:jc w:val="both"/>
      </w:pPr>
      <w:r>
        <w:t>Среднесписочная численность за 201</w:t>
      </w:r>
      <w:r>
        <w:t>8</w:t>
      </w:r>
      <w:r>
        <w:t xml:space="preserve"> год составила </w:t>
      </w:r>
      <w:r>
        <w:t>324,7</w:t>
      </w:r>
      <w:r>
        <w:t xml:space="preserve"> человека, что составляет 100% к плану, 99,</w:t>
      </w:r>
      <w:r>
        <w:t>5</w:t>
      </w:r>
      <w:r>
        <w:t xml:space="preserve"> % к аналогичному периоду прошлого года. </w:t>
      </w:r>
    </w:p>
    <w:p w14:paraId="7F120000">
      <w:pPr>
        <w:widowControl w:val="1"/>
        <w:spacing w:line="360" w:lineRule="auto"/>
        <w:ind w:firstLine="709"/>
        <w:contextualSpacing w:val="1"/>
        <w:jc w:val="both"/>
      </w:pPr>
      <w:r>
        <w:t>Среднемесячная заработная плата за  2018 года  составила 37 188,4  рублей или 103,8% к плану, 111% к аналогичному периоду прошлого года, у производственного персонала среднемесячная заработная плата составляет 33 098 рублей или 104,8% к плану</w:t>
      </w:r>
      <w:r>
        <w:t>.</w:t>
      </w:r>
    </w:p>
    <w:p w14:paraId="80120000">
      <w:pPr>
        <w:widowControl w:val="1"/>
        <w:spacing w:line="360" w:lineRule="auto"/>
        <w:ind w:firstLine="709"/>
        <w:contextualSpacing w:val="1"/>
        <w:jc w:val="both"/>
      </w:pPr>
      <w:r>
        <w:t>К категории руководителей относятся:</w:t>
      </w:r>
    </w:p>
    <w:p w14:paraId="81120000">
      <w:pPr>
        <w:widowControl w:val="1"/>
        <w:spacing w:line="360" w:lineRule="auto"/>
        <w:ind w:firstLine="709"/>
        <w:contextualSpacing w:val="1"/>
        <w:jc w:val="both"/>
      </w:pPr>
      <w:r>
        <w:t>генеральный директор, заместители генерального директора, главный инженер, главный бухгалтер, заместитель главного бухгалтера,  начальники отделов, секторов, участков, их заместители,  начальник филиала АО «Краспригород» в г. Абакане, заместитель начальника филиала, мастер участка МВПС.</w:t>
      </w:r>
    </w:p>
    <w:p w14:paraId="82120000">
      <w:pPr>
        <w:widowControl w:val="1"/>
        <w:spacing w:line="360" w:lineRule="auto"/>
        <w:ind w:firstLine="709"/>
        <w:contextualSpacing w:val="1"/>
        <w:jc w:val="both"/>
      </w:pPr>
      <w:r>
        <w:t xml:space="preserve">К категории специалистов относятся:  </w:t>
      </w:r>
    </w:p>
    <w:p w14:paraId="83120000">
      <w:pPr>
        <w:widowControl w:val="1"/>
        <w:spacing w:line="360" w:lineRule="auto"/>
        <w:ind w:firstLine="709"/>
        <w:contextualSpacing w:val="1"/>
        <w:jc w:val="both"/>
      </w:pPr>
      <w:r>
        <w:t>специалист по охране труда, ведущие инженеры-программисты, инженер-технолог, ведущий инженер по организации перевозок, инженеры, ведущий инженер, ведущие бухгалтеры, бухгалтеры, техники,  экономисты,  ведущий экономист, экономист по труду, ведущие специалисты,  специалисты,  приемщики моторвагонного подвижного состава, инструкторы  и нарядчик поездных бригад, старший аудитор.</w:t>
      </w:r>
    </w:p>
    <w:p w14:paraId="84120000">
      <w:pPr>
        <w:widowControl w:val="1"/>
        <w:spacing w:line="360" w:lineRule="auto"/>
        <w:ind w:firstLine="709"/>
        <w:contextualSpacing w:val="1"/>
        <w:jc w:val="both"/>
      </w:pPr>
      <w:r>
        <w:t>Служащие:</w:t>
      </w:r>
    </w:p>
    <w:p w14:paraId="85120000">
      <w:pPr>
        <w:widowControl w:val="1"/>
        <w:spacing w:line="360" w:lineRule="auto"/>
        <w:ind w:firstLine="709"/>
        <w:contextualSpacing w:val="1"/>
        <w:jc w:val="both"/>
      </w:pPr>
      <w:r>
        <w:t>кассиры (билетные), в том числе старшие, операторы, дежурные по выдаче справок,  контролеры-ревизоры пассажирских поездов.</w:t>
      </w:r>
    </w:p>
    <w:p w14:paraId="86120000">
      <w:pPr>
        <w:widowControl w:val="1"/>
        <w:spacing w:line="360" w:lineRule="auto"/>
        <w:ind w:firstLine="709"/>
        <w:contextualSpacing w:val="1"/>
        <w:jc w:val="both"/>
      </w:pPr>
      <w:r>
        <w:t>Рабочие:</w:t>
      </w:r>
    </w:p>
    <w:p w14:paraId="87120000">
      <w:pPr>
        <w:widowControl w:val="1"/>
        <w:spacing w:line="360" w:lineRule="auto"/>
        <w:ind w:firstLine="709"/>
        <w:contextualSpacing w:val="1"/>
        <w:jc w:val="both"/>
      </w:pPr>
      <w:r>
        <w:t>кладовщик, водители автомобиля, слесари-ремонтники, мойщики-уборщики подвижного состава, уборщики производственных и служебных помещений.</w:t>
      </w:r>
    </w:p>
    <w:p w14:paraId="88120000">
      <w:pPr>
        <w:widowControl w:val="1"/>
        <w:spacing w:line="360" w:lineRule="auto"/>
        <w:ind w:firstLine="709"/>
        <w:contextualSpacing w:val="1"/>
        <w:jc w:val="right"/>
        <w:rPr>
          <w:b w:val="1"/>
        </w:rPr>
      </w:pPr>
    </w:p>
    <w:p w14:paraId="89120000">
      <w:pPr>
        <w:widowControl w:val="1"/>
        <w:spacing w:line="360" w:lineRule="auto"/>
        <w:ind w:firstLine="709"/>
        <w:contextualSpacing w:val="1"/>
        <w:jc w:val="right"/>
        <w:rPr>
          <w:b w:val="1"/>
        </w:rPr>
      </w:pPr>
    </w:p>
    <w:p w14:paraId="8A120000">
      <w:pPr>
        <w:widowControl w:val="1"/>
        <w:spacing w:line="360" w:lineRule="auto"/>
        <w:ind w:firstLine="709"/>
        <w:contextualSpacing w:val="1"/>
        <w:jc w:val="right"/>
      </w:pPr>
      <w:r>
        <w:rPr>
          <w:b w:val="1"/>
        </w:rPr>
        <w:t>Диаграмма 10.1</w:t>
      </w:r>
    </w:p>
    <w:p w14:paraId="8B120000">
      <w:pPr>
        <w:widowControl w:val="1"/>
        <w:spacing w:line="360" w:lineRule="auto"/>
        <w:ind/>
        <w:contextualSpacing w:val="1"/>
        <w:jc w:val="right"/>
      </w:pPr>
      <w:r>
        <w:drawing>
          <wp:inline>
            <wp:extent cx="6169660" cy="2719070"/>
            <wp:docPr hidden="false" id="32" name="Picture 32"/>
            <a:graphic>
              <a:graphicData uri="http://schemas.openxmlformats.org/drawingml/2006/picture">
                <pic:pic>
                  <pic:nvPicPr>
                    <pic:cNvPr hidden="false" id="33" name="Picture 33"/>
                    <pic:cNvPicPr preferRelativeResize="true"/>
                  </pic:nvPicPr>
                  <pic:blipFill>
                    <a:blip r:embed="rId38"/>
                    <a:srcRect b="-23" l="0" r="0" t="0"/>
                    <a:stretch/>
                  </pic:blipFill>
                  <pic:spPr>
                    <a:xfrm flipH="false" flipV="false" rot="0">
                      <a:ext cx="6169660" cy="2719070"/>
                    </a:xfrm>
                    <a:prstGeom prst="rect"/>
                  </pic:spPr>
                </pic:pic>
              </a:graphicData>
            </a:graphic>
          </wp:inline>
        </w:drawing>
      </w:r>
    </w:p>
    <w:p w14:paraId="8C120000">
      <w:pPr>
        <w:widowControl w:val="1"/>
        <w:spacing w:line="360" w:lineRule="auto"/>
        <w:ind w:firstLine="709"/>
        <w:contextualSpacing w:val="1"/>
        <w:jc w:val="right"/>
      </w:pPr>
    </w:p>
    <w:p w14:paraId="8D120000">
      <w:pPr>
        <w:pStyle w:val="Style_10"/>
        <w:widowControl w:val="1"/>
        <w:spacing w:after="0" w:before="0" w:line="360" w:lineRule="auto"/>
        <w:ind w:firstLine="709"/>
        <w:contextualSpacing w:val="1"/>
        <w:jc w:val="both"/>
        <w:rPr>
          <w:rFonts w:ascii="Times New Roman" w:hAnsi="Times New Roman"/>
          <w:i w:val="0"/>
          <w:sz w:val="24"/>
        </w:rPr>
      </w:pPr>
    </w:p>
    <w:p w14:paraId="8E120000">
      <w:bookmarkStart w:id="36" w:name="__RefHeading___31"/>
      <w:bookmarkEnd w:id="36"/>
      <w:pPr>
        <w:pStyle w:val="Style_10"/>
        <w:widowControl w:val="1"/>
        <w:spacing w:after="0" w:before="0" w:line="360" w:lineRule="auto"/>
        <w:ind w:firstLine="709"/>
        <w:contextualSpacing w:val="1"/>
        <w:jc w:val="both"/>
        <w:rPr>
          <w:rFonts w:ascii="Times New Roman" w:hAnsi="Times New Roman"/>
          <w:i w:val="0"/>
          <w:sz w:val="24"/>
        </w:rPr>
      </w:pPr>
      <w:r>
        <w:rPr>
          <w:rFonts w:ascii="Times New Roman" w:hAnsi="Times New Roman"/>
          <w:i w:val="0"/>
          <w:sz w:val="24"/>
        </w:rPr>
        <w:t>10</w:t>
      </w:r>
      <w:r>
        <w:rPr>
          <w:rFonts w:ascii="Times New Roman" w:hAnsi="Times New Roman"/>
          <w:i w:val="0"/>
          <w:sz w:val="24"/>
        </w:rPr>
        <w:t xml:space="preserve">.2. </w:t>
      </w:r>
      <w:r>
        <w:rPr>
          <w:rFonts w:ascii="Times New Roman" w:hAnsi="Times New Roman"/>
          <w:i w:val="0"/>
          <w:sz w:val="24"/>
        </w:rPr>
        <w:t>Возрастной состав работников</w:t>
      </w:r>
    </w:p>
    <w:p w14:paraId="8F120000">
      <w:pPr>
        <w:widowControl w:val="1"/>
        <w:spacing w:line="360" w:lineRule="auto"/>
        <w:ind w:firstLine="709"/>
        <w:contextualSpacing w:val="1"/>
        <w:jc w:val="both"/>
      </w:pPr>
      <w:r>
        <w:t xml:space="preserve">Возрастной состав работников Общества: </w:t>
      </w:r>
    </w:p>
    <w:p w14:paraId="90120000">
      <w:pPr>
        <w:widowControl w:val="1"/>
        <w:spacing w:line="360" w:lineRule="auto"/>
        <w:ind w:firstLine="709"/>
        <w:contextualSpacing w:val="1"/>
        <w:jc w:val="both"/>
      </w:pPr>
      <w:r>
        <w:t>- до 30 лет – 3</w:t>
      </w:r>
      <w:r>
        <w:t>4</w:t>
      </w:r>
      <w:r>
        <w:t xml:space="preserve"> работник</w:t>
      </w:r>
      <w:r>
        <w:t>а</w:t>
      </w:r>
      <w:r>
        <w:t xml:space="preserve"> (1</w:t>
      </w:r>
      <w:r>
        <w:t>0</w:t>
      </w:r>
      <w:r>
        <w:t xml:space="preserve">%); </w:t>
      </w:r>
    </w:p>
    <w:p w14:paraId="91120000">
      <w:pPr>
        <w:widowControl w:val="1"/>
        <w:spacing w:line="360" w:lineRule="auto"/>
        <w:ind w:firstLine="709"/>
        <w:contextualSpacing w:val="1"/>
        <w:jc w:val="both"/>
      </w:pPr>
      <w:r>
        <w:t>- от 30 до 40 лет – 11</w:t>
      </w:r>
      <w:r>
        <w:t>3</w:t>
      </w:r>
      <w:r>
        <w:t xml:space="preserve"> работник</w:t>
      </w:r>
      <w:r>
        <w:t>ов</w:t>
      </w:r>
      <w:r>
        <w:t xml:space="preserve"> (32%);</w:t>
      </w:r>
    </w:p>
    <w:p w14:paraId="92120000">
      <w:pPr>
        <w:widowControl w:val="1"/>
        <w:spacing w:line="360" w:lineRule="auto"/>
        <w:ind w:firstLine="709"/>
        <w:contextualSpacing w:val="1"/>
        <w:jc w:val="both"/>
      </w:pPr>
      <w:r>
        <w:t>-от 40 до 50 – 11</w:t>
      </w:r>
      <w:r>
        <w:t>9</w:t>
      </w:r>
      <w:r>
        <w:t xml:space="preserve"> работников (3</w:t>
      </w:r>
      <w:r>
        <w:t>4</w:t>
      </w:r>
      <w:r>
        <w:t>%)</w:t>
      </w:r>
    </w:p>
    <w:p w14:paraId="93120000">
      <w:pPr>
        <w:widowControl w:val="1"/>
        <w:spacing w:line="360" w:lineRule="auto"/>
        <w:ind w:firstLine="709"/>
        <w:contextualSpacing w:val="1"/>
        <w:jc w:val="both"/>
      </w:pPr>
      <w:r>
        <w:t>- от 50 и старше – 8</w:t>
      </w:r>
      <w:r>
        <w:t>7</w:t>
      </w:r>
      <w:r>
        <w:t xml:space="preserve"> работников (24%)</w:t>
      </w:r>
    </w:p>
    <w:p w14:paraId="94120000">
      <w:pPr>
        <w:widowControl w:val="1"/>
        <w:spacing w:line="360" w:lineRule="auto"/>
        <w:ind w:firstLine="709"/>
        <w:contextualSpacing w:val="1"/>
        <w:jc w:val="right"/>
        <w:rPr>
          <w:b w:val="1"/>
        </w:rPr>
      </w:pPr>
    </w:p>
    <w:p w14:paraId="95120000">
      <w:pPr>
        <w:widowControl w:val="1"/>
        <w:spacing w:line="360" w:lineRule="auto"/>
        <w:ind w:firstLine="709"/>
        <w:contextualSpacing w:val="1"/>
        <w:jc w:val="right"/>
        <w:rPr>
          <w:b w:val="1"/>
        </w:rPr>
      </w:pPr>
    </w:p>
    <w:p w14:paraId="96120000">
      <w:pPr>
        <w:widowControl w:val="1"/>
        <w:spacing w:line="360" w:lineRule="auto"/>
        <w:ind w:firstLine="709"/>
        <w:contextualSpacing w:val="1"/>
        <w:jc w:val="right"/>
        <w:rPr>
          <w:b w:val="1"/>
        </w:rPr>
      </w:pPr>
      <w:r>
        <w:rPr>
          <w:b w:val="1"/>
        </w:rPr>
        <w:t>Диаграмма 10.</w:t>
      </w:r>
      <w:r>
        <w:rPr>
          <w:b w:val="1"/>
        </w:rPr>
        <w:t>2</w:t>
      </w:r>
      <w:r>
        <w:rPr>
          <w:b w:val="1"/>
        </w:rPr>
        <w:t>.</w:t>
      </w:r>
    </w:p>
    <w:p w14:paraId="97120000">
      <w:pPr>
        <w:widowControl w:val="1"/>
        <w:spacing w:line="360" w:lineRule="auto"/>
        <w:ind/>
        <w:contextualSpacing w:val="1"/>
        <w:jc w:val="both"/>
      </w:pPr>
      <w:r>
        <w:drawing>
          <wp:inline>
            <wp:extent cx="6169660" cy="3603625"/>
            <wp:docPr hidden="false" id="34" name="Picture 34"/>
            <a:graphic>
              <a:graphicData uri="http://schemas.openxmlformats.org/drawingml/2006/picture">
                <pic:pic>
                  <pic:nvPicPr>
                    <pic:cNvPr hidden="false" id="35" name="Picture 35"/>
                    <pic:cNvPicPr preferRelativeResize="true"/>
                  </pic:nvPicPr>
                  <pic:blipFill>
                    <a:blip r:embed="rId39"/>
                    <a:srcRect b="0" l="0" r="0" t="0"/>
                    <a:stretch/>
                  </pic:blipFill>
                  <pic:spPr>
                    <a:xfrm flipH="false" flipV="false" rot="0">
                      <a:ext cx="6169660" cy="3603625"/>
                    </a:xfrm>
                    <a:prstGeom prst="rect"/>
                  </pic:spPr>
                </pic:pic>
              </a:graphicData>
            </a:graphic>
          </wp:inline>
        </w:drawing>
      </w:r>
    </w:p>
    <w:p w14:paraId="98120000">
      <w:pPr>
        <w:widowControl w:val="1"/>
        <w:spacing w:line="360" w:lineRule="auto"/>
        <w:ind w:firstLine="709"/>
        <w:contextualSpacing w:val="1"/>
        <w:jc w:val="both"/>
      </w:pPr>
    </w:p>
    <w:p w14:paraId="99120000">
      <w:bookmarkStart w:id="37" w:name="__RefHeading___32"/>
      <w:bookmarkEnd w:id="37"/>
      <w:pPr>
        <w:pStyle w:val="Style_10"/>
        <w:widowControl w:val="1"/>
        <w:spacing w:after="0" w:before="0" w:line="360" w:lineRule="auto"/>
        <w:ind w:firstLine="709"/>
        <w:contextualSpacing w:val="1"/>
        <w:jc w:val="both"/>
        <w:rPr>
          <w:rFonts w:ascii="Times New Roman" w:hAnsi="Times New Roman"/>
          <w:i w:val="0"/>
          <w:sz w:val="24"/>
        </w:rPr>
      </w:pPr>
      <w:r>
        <w:rPr>
          <w:rFonts w:ascii="Times New Roman" w:hAnsi="Times New Roman"/>
          <w:i w:val="0"/>
          <w:sz w:val="24"/>
        </w:rPr>
        <w:t>10</w:t>
      </w:r>
      <w:r>
        <w:rPr>
          <w:rFonts w:ascii="Times New Roman" w:hAnsi="Times New Roman"/>
          <w:i w:val="0"/>
          <w:sz w:val="24"/>
        </w:rPr>
        <w:t>.3. Текучесть кадров</w:t>
      </w:r>
    </w:p>
    <w:p w14:paraId="9A120000">
      <w:pPr>
        <w:widowControl w:val="1"/>
        <w:spacing w:line="360" w:lineRule="auto"/>
        <w:ind w:firstLine="709"/>
        <w:contextualSpacing w:val="1"/>
        <w:jc w:val="both"/>
      </w:pPr>
      <w:r>
        <w:t>За 2018 года  принято на работу – 93 чел., из них на дополнительно введенные рабочие места на время летних перевозок,  в связи с увеличением объема оказываемых услуг  – 50 чел.,   уволено –  83  чел.,  в т.ч.:</w:t>
      </w:r>
    </w:p>
    <w:p w14:paraId="9B120000">
      <w:pPr>
        <w:widowControl w:val="1"/>
        <w:spacing w:line="360" w:lineRule="auto"/>
        <w:ind w:firstLine="709"/>
        <w:contextualSpacing w:val="1"/>
        <w:jc w:val="both"/>
      </w:pPr>
      <w:r>
        <w:t>- по инициативе работника (собственному желанию) – 20 человек;</w:t>
      </w:r>
    </w:p>
    <w:p w14:paraId="9C120000">
      <w:pPr>
        <w:widowControl w:val="1"/>
        <w:spacing w:line="360" w:lineRule="auto"/>
        <w:ind w:firstLine="709"/>
        <w:contextualSpacing w:val="1"/>
        <w:jc w:val="both"/>
      </w:pPr>
      <w:r>
        <w:t>- по соглашению сторон – 22 чел.;</w:t>
      </w:r>
    </w:p>
    <w:p w14:paraId="9D120000">
      <w:pPr>
        <w:widowControl w:val="1"/>
        <w:spacing w:line="360" w:lineRule="auto"/>
        <w:ind w:firstLine="709"/>
        <w:contextualSpacing w:val="1"/>
        <w:jc w:val="both"/>
      </w:pPr>
      <w:r>
        <w:t>- за однократное грубое нарушение трудовых обязанностей (прогул)  – 1 чел.</w:t>
      </w:r>
    </w:p>
    <w:p w14:paraId="9E120000">
      <w:pPr>
        <w:widowControl w:val="1"/>
        <w:spacing w:line="360" w:lineRule="auto"/>
        <w:ind w:firstLine="709"/>
        <w:contextualSpacing w:val="1"/>
        <w:jc w:val="both"/>
      </w:pPr>
      <w:r>
        <w:t xml:space="preserve">- по истечению срока трудового договора – 40 чел. </w:t>
      </w:r>
    </w:p>
    <w:p w14:paraId="9F120000">
      <w:pPr>
        <w:widowControl w:val="1"/>
        <w:spacing w:line="360" w:lineRule="auto"/>
        <w:ind w:firstLine="709"/>
        <w:contextualSpacing w:val="1"/>
        <w:jc w:val="both"/>
      </w:pPr>
      <w:r>
        <w:t>коэффи</w:t>
      </w:r>
      <w:r>
        <w:t>циент текучести за 2018 год составляет  - 6,5.</w:t>
      </w:r>
    </w:p>
    <w:p w14:paraId="A0120000">
      <w:bookmarkStart w:id="38" w:name="__RefHeading___33"/>
      <w:bookmarkEnd w:id="38"/>
      <w:pPr>
        <w:pStyle w:val="Style_10"/>
        <w:widowControl w:val="1"/>
        <w:spacing w:after="0" w:before="0" w:line="360" w:lineRule="auto"/>
        <w:ind w:firstLine="709"/>
        <w:contextualSpacing w:val="1"/>
        <w:jc w:val="both"/>
        <w:rPr>
          <w:rFonts w:ascii="Times New Roman" w:hAnsi="Times New Roman"/>
          <w:i w:val="0"/>
          <w:sz w:val="24"/>
        </w:rPr>
      </w:pPr>
      <w:r>
        <w:rPr>
          <w:rFonts w:ascii="Times New Roman" w:hAnsi="Times New Roman"/>
          <w:i w:val="0"/>
          <w:sz w:val="24"/>
        </w:rPr>
        <w:t>10</w:t>
      </w:r>
      <w:r>
        <w:rPr>
          <w:rFonts w:ascii="Times New Roman" w:hAnsi="Times New Roman"/>
          <w:i w:val="0"/>
          <w:sz w:val="24"/>
        </w:rPr>
        <w:t>.4. Качественный состав</w:t>
      </w:r>
    </w:p>
    <w:p w14:paraId="A1120000">
      <w:pPr>
        <w:widowControl w:val="1"/>
        <w:spacing w:line="360" w:lineRule="auto"/>
        <w:ind w:firstLine="709"/>
        <w:contextualSpacing w:val="1"/>
        <w:jc w:val="both"/>
        <w:rPr>
          <w:b w:val="1"/>
        </w:rPr>
      </w:pPr>
      <w:r>
        <w:t>Качественный состав  работников АО «Краспригород» на 31.12.2018г. представлен следующим образом: 113 работников (32%) имеют высшее образование, 86 работников (24%) – среднее профессиональное образование, 55 работников (16%) - начальное профессиональное образование,  99 работников (28%) – среднее общее  образование.</w:t>
      </w:r>
      <w:r>
        <w:rPr>
          <w:color w:val="CCFFCC"/>
        </w:rPr>
        <w:tab/>
      </w:r>
    </w:p>
    <w:p w14:paraId="A2120000">
      <w:pPr>
        <w:widowControl w:val="1"/>
        <w:spacing w:line="360" w:lineRule="auto"/>
        <w:ind w:firstLine="709"/>
        <w:contextualSpacing w:val="1"/>
        <w:jc w:val="right"/>
        <w:rPr>
          <w:b w:val="1"/>
        </w:rPr>
      </w:pPr>
    </w:p>
    <w:p w14:paraId="A3120000">
      <w:pPr>
        <w:widowControl w:val="1"/>
        <w:spacing w:line="360" w:lineRule="auto"/>
        <w:ind w:firstLine="709"/>
        <w:contextualSpacing w:val="1"/>
        <w:jc w:val="right"/>
        <w:rPr>
          <w:b w:val="1"/>
        </w:rPr>
      </w:pPr>
      <w:r>
        <w:rPr>
          <w:b w:val="1"/>
        </w:rPr>
        <w:t>Диаграмма 10.</w:t>
      </w:r>
      <w:r>
        <w:rPr>
          <w:b w:val="1"/>
        </w:rPr>
        <w:t>3</w:t>
      </w:r>
      <w:r>
        <w:rPr>
          <w:b w:val="1"/>
        </w:rPr>
        <w:t>.</w:t>
      </w:r>
    </w:p>
    <w:p w14:paraId="A4120000">
      <w:pPr>
        <w:widowControl w:val="1"/>
        <w:spacing w:line="360" w:lineRule="auto"/>
        <w:ind/>
        <w:contextualSpacing w:val="1"/>
        <w:jc w:val="both"/>
      </w:pPr>
      <w:r>
        <w:drawing>
          <wp:inline>
            <wp:extent cx="6279515" cy="3546983"/>
            <wp:docPr hidden="false" id="36" name="Picture 36"/>
            <a:graphic>
              <a:graphicData uri="http://schemas.openxmlformats.org/drawingml/2006/picture">
                <pic:pic>
                  <pic:nvPicPr>
                    <pic:cNvPr hidden="false" id="37" name="Picture 37"/>
                    <pic:cNvPicPr preferRelativeResize="true"/>
                  </pic:nvPicPr>
                  <pic:blipFill>
                    <a:blip r:embed="rId40"/>
                    <a:srcRect b="0" l="0" r="0" t="0"/>
                    <a:stretch/>
                  </pic:blipFill>
                  <pic:spPr>
                    <a:xfrm flipH="false" flipV="false" rot="0">
                      <a:ext cx="6279515" cy="3546983"/>
                    </a:xfrm>
                    <a:prstGeom prst="rect"/>
                  </pic:spPr>
                </pic:pic>
              </a:graphicData>
            </a:graphic>
          </wp:inline>
        </w:drawing>
      </w:r>
    </w:p>
    <w:p w14:paraId="A5120000">
      <w:pPr>
        <w:widowControl w:val="1"/>
        <w:ind w:firstLine="709"/>
        <w:contextualSpacing w:val="1"/>
        <w:jc w:val="center"/>
        <w:rPr>
          <w:b w:val="1"/>
        </w:rPr>
      </w:pPr>
    </w:p>
    <w:p w14:paraId="A6120000">
      <w:pPr>
        <w:widowControl w:val="1"/>
        <w:ind w:firstLine="709"/>
        <w:contextualSpacing w:val="1"/>
        <w:jc w:val="center"/>
        <w:rPr>
          <w:b w:val="1"/>
        </w:rPr>
      </w:pPr>
      <w:r>
        <w:rPr>
          <w:b w:val="1"/>
        </w:rPr>
        <w:t>Выполнение социальных программ за 201</w:t>
      </w:r>
      <w:r>
        <w:rPr>
          <w:b w:val="1"/>
        </w:rPr>
        <w:t>8</w:t>
      </w:r>
      <w:r>
        <w:rPr>
          <w:b w:val="1"/>
        </w:rPr>
        <w:t xml:space="preserve"> </w:t>
      </w:r>
      <w:r>
        <w:rPr>
          <w:b w:val="1"/>
        </w:rPr>
        <w:t>год.</w:t>
      </w:r>
    </w:p>
    <w:p w14:paraId="A7120000">
      <w:pPr>
        <w:widowControl w:val="1"/>
        <w:ind w:firstLine="709"/>
        <w:contextualSpacing w:val="1"/>
        <w:jc w:val="center"/>
      </w:pPr>
    </w:p>
    <w:p w14:paraId="A8120000">
      <w:pPr>
        <w:widowControl w:val="1"/>
        <w:tabs>
          <w:tab w:leader="none" w:pos="540" w:val="left"/>
        </w:tabs>
        <w:spacing w:line="360" w:lineRule="auto"/>
        <w:ind w:firstLine="709"/>
        <w:contextualSpacing w:val="1"/>
        <w:jc w:val="both"/>
      </w:pPr>
      <w:r>
        <w:t>Работникам АО «Краспригород» предоставлялись все закрепленные коллективным договором социальные гарантии, льготы и компенсации. Расходы  на выполнение обязательств коллективного договора (выплаты социального характера и доплата за выслугу лет) за 2018 год составили  11 024,4  тыс. руб., что составляет 92,8%  к  годовому плану.</w:t>
      </w:r>
    </w:p>
    <w:p w14:paraId="A9120000">
      <w:pPr>
        <w:widowControl w:val="1"/>
        <w:tabs>
          <w:tab w:leader="none" w:pos="540" w:val="left"/>
        </w:tabs>
        <w:spacing w:line="360" w:lineRule="auto"/>
        <w:ind w:firstLine="709"/>
        <w:contextualSpacing w:val="1"/>
        <w:jc w:val="both"/>
      </w:pPr>
      <w:r>
        <w:t>Кроме того затраты на обеспечение форменной одеждой и спецодеждой составили 1 524,7 тыс. руб. – 123,2% к годовому  плану; затраты, направленные на улучшение условий охраны труда,  составили 587 тыс. руб. или 63% от годового плана.</w:t>
      </w:r>
    </w:p>
    <w:p w14:paraId="AA120000">
      <w:pPr>
        <w:widowControl w:val="1"/>
        <w:tabs>
          <w:tab w:leader="none" w:pos="540" w:val="left"/>
        </w:tabs>
        <w:spacing w:line="360" w:lineRule="auto"/>
        <w:ind w:firstLine="709"/>
        <w:contextualSpacing w:val="1"/>
        <w:jc w:val="both"/>
      </w:pPr>
    </w:p>
    <w:p w14:paraId="AB120000">
      <w:bookmarkStart w:id="39" w:name="__RefHeading___34"/>
      <w:bookmarkEnd w:id="39"/>
      <w:pPr>
        <w:pStyle w:val="Style_7"/>
        <w:rPr>
          <w:b w:val="1"/>
          <w:color w:val="000000"/>
        </w:rPr>
      </w:pPr>
      <w:r>
        <w:rPr>
          <w:b w:val="1"/>
          <w:color w:val="000000"/>
        </w:rPr>
        <w:t>Р</w:t>
      </w:r>
      <w:r>
        <w:rPr>
          <w:b w:val="1"/>
          <w:color w:val="000000"/>
        </w:rPr>
        <w:t xml:space="preserve">аздел </w:t>
      </w:r>
      <w:r>
        <w:rPr>
          <w:b w:val="1"/>
          <w:color w:val="000000"/>
        </w:rPr>
        <w:t>11</w:t>
      </w:r>
      <w:r>
        <w:rPr>
          <w:b w:val="1"/>
          <w:color w:val="000000"/>
        </w:rPr>
        <w:t>. Задачи и перспективы Общества на будущий год.</w:t>
      </w:r>
      <w:r>
        <w:rPr>
          <w:b w:val="1"/>
          <w:color w:val="000000"/>
        </w:rPr>
        <w:t xml:space="preserve"> </w:t>
      </w:r>
    </w:p>
    <w:p w14:paraId="AC120000">
      <w:pPr>
        <w:widowControl w:val="1"/>
        <w:ind w:firstLine="709"/>
        <w:contextualSpacing w:val="1"/>
        <w:jc w:val="both"/>
        <w:rPr>
          <w:b w:val="1"/>
        </w:rPr>
      </w:pPr>
    </w:p>
    <w:p w14:paraId="AD120000">
      <w:bookmarkStart w:id="40" w:name="__RefHeading___35"/>
      <w:bookmarkEnd w:id="40"/>
      <w:pPr>
        <w:pStyle w:val="Style_10"/>
        <w:widowControl w:val="1"/>
        <w:spacing w:after="0" w:before="0" w:line="360" w:lineRule="auto"/>
        <w:ind w:firstLine="709"/>
        <w:contextualSpacing w:val="1"/>
        <w:jc w:val="both"/>
        <w:rPr>
          <w:rFonts w:ascii="Times New Roman" w:hAnsi="Times New Roman"/>
          <w:i w:val="0"/>
          <w:sz w:val="24"/>
        </w:rPr>
      </w:pPr>
      <w:r>
        <w:rPr>
          <w:rFonts w:ascii="Times New Roman" w:hAnsi="Times New Roman"/>
          <w:i w:val="0"/>
          <w:sz w:val="24"/>
        </w:rPr>
        <w:t>11</w:t>
      </w:r>
      <w:r>
        <w:rPr>
          <w:rFonts w:ascii="Times New Roman" w:hAnsi="Times New Roman"/>
          <w:i w:val="0"/>
          <w:sz w:val="24"/>
        </w:rPr>
        <w:t xml:space="preserve">.1. Стратегия развития </w:t>
      </w:r>
      <w:r>
        <w:rPr>
          <w:rFonts w:ascii="Times New Roman" w:hAnsi="Times New Roman"/>
          <w:i w:val="0"/>
          <w:sz w:val="24"/>
        </w:rPr>
        <w:t>Общества</w:t>
      </w:r>
    </w:p>
    <w:p w14:paraId="AE120000">
      <w:pPr>
        <w:pStyle w:val="Style_11"/>
        <w:keepNext w:val="1"/>
        <w:widowControl w:val="1"/>
        <w:spacing w:after="0" w:line="360" w:lineRule="auto"/>
        <w:ind w:firstLine="709" w:left="0"/>
        <w:contextualSpacing w:val="1"/>
        <w:jc w:val="both"/>
        <w:rPr>
          <w:sz w:val="24"/>
        </w:rPr>
      </w:pPr>
      <w:bookmarkStart w:id="41" w:name="OLE_LINK6"/>
      <w:bookmarkStart w:id="42" w:name="OLE_LINK7"/>
      <w:r>
        <w:rPr>
          <w:sz w:val="24"/>
        </w:rPr>
        <w:t>В 201</w:t>
      </w:r>
      <w:r>
        <w:rPr>
          <w:sz w:val="24"/>
        </w:rPr>
        <w:t>9</w:t>
      </w:r>
      <w:r>
        <w:rPr>
          <w:sz w:val="24"/>
        </w:rPr>
        <w:t xml:space="preserve"> году Общество планирует продолжать совершенствовать тарифную политику </w:t>
      </w:r>
      <w:r>
        <w:rPr>
          <w:sz w:val="24"/>
        </w:rPr>
        <w:t xml:space="preserve">в пригородном сообщении. </w:t>
      </w:r>
      <w:r>
        <w:rPr>
          <w:sz w:val="24"/>
        </w:rPr>
        <w:t>Во все обслуживаемые субъекты РФ направлены материалы об установлении тарифов на экономически обоснованном уровне</w:t>
      </w:r>
      <w:r>
        <w:rPr>
          <w:sz w:val="24"/>
        </w:rPr>
        <w:t xml:space="preserve">. </w:t>
      </w:r>
      <w:r>
        <w:rPr>
          <w:sz w:val="24"/>
        </w:rPr>
        <w:t xml:space="preserve">Республикой Хакасия и Кемеровской областью установлены тарифы на экономическом уровне. С Красноярским краем </w:t>
      </w:r>
      <w:r>
        <w:rPr>
          <w:sz w:val="24"/>
        </w:rPr>
        <w:t>в</w:t>
      </w:r>
      <w:r>
        <w:rPr>
          <w:sz w:val="24"/>
        </w:rPr>
        <w:t xml:space="preserve"> течение 201</w:t>
      </w:r>
      <w:r>
        <w:rPr>
          <w:sz w:val="24"/>
        </w:rPr>
        <w:t>9</w:t>
      </w:r>
      <w:r>
        <w:rPr>
          <w:sz w:val="24"/>
        </w:rPr>
        <w:t xml:space="preserve"> года планируется </w:t>
      </w:r>
      <w:r>
        <w:rPr>
          <w:sz w:val="24"/>
        </w:rPr>
        <w:t xml:space="preserve">вести </w:t>
      </w:r>
      <w:r>
        <w:rPr>
          <w:sz w:val="24"/>
        </w:rPr>
        <w:t>работу по установлению тарифов на э</w:t>
      </w:r>
      <w:r>
        <w:rPr>
          <w:sz w:val="24"/>
        </w:rPr>
        <w:t>кономически обоснованном уровне и изменению порядка предоставления субсидий из регионального бюджета</w:t>
      </w:r>
      <w:r>
        <w:rPr>
          <w:sz w:val="24"/>
        </w:rPr>
        <w:t xml:space="preserve"> на 2019 год</w:t>
      </w:r>
      <w:r>
        <w:rPr>
          <w:sz w:val="24"/>
        </w:rPr>
        <w:t>.</w:t>
      </w:r>
    </w:p>
    <w:p w14:paraId="AF120000">
      <w:pPr>
        <w:pStyle w:val="Style_11"/>
        <w:widowControl w:val="1"/>
        <w:spacing w:after="0" w:line="360" w:lineRule="auto"/>
        <w:ind w:firstLine="709" w:left="0"/>
        <w:contextualSpacing w:val="1"/>
        <w:jc w:val="both"/>
        <w:rPr>
          <w:sz w:val="24"/>
        </w:rPr>
      </w:pPr>
      <w:r>
        <w:rPr>
          <w:sz w:val="24"/>
        </w:rPr>
        <w:t xml:space="preserve">  </w:t>
      </w:r>
    </w:p>
    <w:p w14:paraId="B0120000">
      <w:pPr>
        <w:widowControl w:val="1"/>
        <w:spacing w:line="360" w:lineRule="auto"/>
        <w:ind w:firstLine="709"/>
        <w:contextualSpacing w:val="1"/>
        <w:jc w:val="right"/>
      </w:pPr>
      <w:r>
        <w:t>Таблица 11.1.</w:t>
      </w:r>
    </w:p>
    <w:p w14:paraId="B1120000">
      <w:pPr>
        <w:widowControl w:val="1"/>
        <w:spacing w:line="360" w:lineRule="auto"/>
        <w:ind w:firstLine="709"/>
        <w:contextualSpacing w:val="1"/>
        <w:jc w:val="center"/>
      </w:pPr>
      <w:r>
        <w:t>Прогноз основных  показателей на 201</w:t>
      </w:r>
      <w:r>
        <w:t>6</w:t>
      </w:r>
      <w:r>
        <w:t>-201</w:t>
      </w:r>
      <w:r>
        <w:t xml:space="preserve">8 </w:t>
      </w:r>
      <w:r>
        <w:t>г.г.</w:t>
      </w:r>
    </w:p>
    <w:tbl>
      <w:tblPr>
        <w:tblStyle w:val="Style_4"/>
        <w:tblW w:type="auto" w:w="0"/>
        <w:tblInd w:type="dxa" w:w="98"/>
        <w:tblLayout w:type="fixed"/>
      </w:tblPr>
      <w:tblGrid>
        <w:gridCol w:w="3488"/>
        <w:gridCol w:w="1950"/>
        <w:gridCol w:w="1532"/>
        <w:gridCol w:w="1393"/>
        <w:gridCol w:w="1394"/>
      </w:tblGrid>
      <w:tr>
        <w:trPr>
          <w:trHeight w:hRule="atLeast" w:val="555"/>
          <w:tblHeader/>
        </w:trPr>
        <w:tc>
          <w:tcPr>
            <w:tcW w:type="dxa" w:w="3488"/>
            <w:tcBorders>
              <w:top w:color="000000" w:sz="8" w:val="single"/>
              <w:left w:color="000000" w:sz="8" w:val="single"/>
              <w:bottom w:sz="4" w:val="nil"/>
              <w:right w:color="000000" w:sz="4" w:val="single"/>
            </w:tcBorders>
            <w:shd w:fill="auto" w:val="clear"/>
            <w:vAlign w:val="center"/>
          </w:tcPr>
          <w:p w14:paraId="B2120000">
            <w:pPr>
              <w:widowControl w:val="1"/>
              <w:ind/>
              <w:contextualSpacing w:val="1"/>
              <w:jc w:val="center"/>
              <w:rPr>
                <w:color w:val="000000"/>
              </w:rPr>
            </w:pPr>
            <w:r>
              <w:rPr>
                <w:color w:val="000000"/>
              </w:rPr>
              <w:t>Показатели</w:t>
            </w:r>
          </w:p>
        </w:tc>
        <w:tc>
          <w:tcPr>
            <w:tcW w:type="dxa" w:w="1950"/>
            <w:tcBorders>
              <w:top w:color="000000" w:sz="8" w:val="single"/>
              <w:left w:sz="4" w:val="nil"/>
              <w:bottom w:sz="4" w:val="nil"/>
              <w:right w:color="000000" w:sz="4" w:val="single"/>
            </w:tcBorders>
            <w:shd w:fill="auto" w:val="clear"/>
            <w:vAlign w:val="center"/>
          </w:tcPr>
          <w:p w14:paraId="B3120000">
            <w:pPr>
              <w:widowControl w:val="1"/>
              <w:ind/>
              <w:contextualSpacing w:val="1"/>
              <w:jc w:val="center"/>
              <w:rPr>
                <w:color w:val="000000"/>
              </w:rPr>
            </w:pPr>
            <w:r>
              <w:rPr>
                <w:color w:val="000000"/>
              </w:rPr>
              <w:t>Ед. измер.</w:t>
            </w:r>
          </w:p>
        </w:tc>
        <w:tc>
          <w:tcPr>
            <w:tcW w:type="dxa" w:w="1532"/>
            <w:tcBorders>
              <w:top w:color="000000" w:sz="8" w:val="single"/>
              <w:left w:sz="4" w:val="nil"/>
              <w:bottom w:sz="4" w:val="nil"/>
              <w:right w:color="000000" w:sz="4" w:val="single"/>
            </w:tcBorders>
            <w:shd w:fill="auto" w:val="clear"/>
            <w:vAlign w:val="center"/>
          </w:tcPr>
          <w:p w14:paraId="B4120000">
            <w:pPr>
              <w:widowControl w:val="1"/>
              <w:ind/>
              <w:contextualSpacing w:val="1"/>
              <w:jc w:val="center"/>
              <w:rPr>
                <w:color w:val="000000"/>
              </w:rPr>
            </w:pPr>
            <w:r>
              <w:rPr>
                <w:color w:val="000000"/>
              </w:rPr>
              <w:t>2016г.</w:t>
            </w:r>
          </w:p>
        </w:tc>
        <w:tc>
          <w:tcPr>
            <w:tcW w:type="dxa" w:w="1393"/>
            <w:tcBorders>
              <w:top w:color="000000" w:sz="8" w:val="single"/>
              <w:left w:sz="4" w:val="nil"/>
              <w:bottom w:sz="4" w:val="nil"/>
              <w:right w:color="000000" w:sz="4" w:val="single"/>
            </w:tcBorders>
            <w:shd w:fill="auto" w:val="clear"/>
            <w:vAlign w:val="center"/>
          </w:tcPr>
          <w:p w14:paraId="B5120000">
            <w:pPr>
              <w:widowControl w:val="1"/>
              <w:ind/>
              <w:contextualSpacing w:val="1"/>
              <w:jc w:val="center"/>
              <w:rPr>
                <w:color w:val="000000"/>
              </w:rPr>
            </w:pPr>
            <w:r>
              <w:rPr>
                <w:color w:val="000000"/>
              </w:rPr>
              <w:t>2017г.</w:t>
            </w:r>
          </w:p>
        </w:tc>
        <w:tc>
          <w:tcPr>
            <w:tcW w:type="dxa" w:w="1394"/>
            <w:tcBorders>
              <w:top w:color="000000" w:sz="8" w:val="single"/>
              <w:left w:sz="4" w:val="nil"/>
              <w:bottom w:sz="4" w:val="nil"/>
              <w:right w:color="000000" w:sz="8" w:val="single"/>
            </w:tcBorders>
            <w:shd w:fill="auto" w:val="clear"/>
            <w:vAlign w:val="center"/>
          </w:tcPr>
          <w:p w14:paraId="B6120000">
            <w:pPr>
              <w:widowControl w:val="1"/>
              <w:ind/>
              <w:contextualSpacing w:val="1"/>
              <w:jc w:val="center"/>
              <w:rPr>
                <w:color w:val="000000"/>
              </w:rPr>
            </w:pPr>
            <w:r>
              <w:rPr>
                <w:color w:val="000000"/>
              </w:rPr>
              <w:t>2018г.</w:t>
            </w:r>
          </w:p>
        </w:tc>
      </w:tr>
      <w:tr>
        <w:trPr>
          <w:trHeight w:hRule="atLeast" w:val="320"/>
        </w:trPr>
        <w:tc>
          <w:tcPr>
            <w:tcW w:type="dxa" w:w="3488"/>
            <w:tcBorders>
              <w:top w:color="000000" w:sz="8" w:val="single"/>
              <w:left w:color="000000" w:sz="8" w:val="single"/>
              <w:bottom w:color="000000" w:sz="4" w:val="single"/>
              <w:right w:color="000000" w:sz="4" w:val="single"/>
            </w:tcBorders>
            <w:shd w:fill="auto" w:val="clear"/>
            <w:vAlign w:val="center"/>
          </w:tcPr>
          <w:p w14:paraId="B7120000">
            <w:pPr>
              <w:widowControl w:val="1"/>
              <w:ind/>
              <w:contextualSpacing w:val="1"/>
              <w:rPr>
                <w:color w:val="000000"/>
              </w:rPr>
            </w:pPr>
            <w:r>
              <w:rPr>
                <w:color w:val="000000"/>
              </w:rPr>
              <w:t>Отправленные пассажиры</w:t>
            </w:r>
          </w:p>
        </w:tc>
        <w:tc>
          <w:tcPr>
            <w:tcW w:type="dxa" w:w="1950"/>
            <w:tcBorders>
              <w:top w:color="000000" w:sz="8" w:val="single"/>
              <w:left w:sz="4" w:val="nil"/>
              <w:bottom w:color="000000" w:sz="4" w:val="single"/>
              <w:right w:color="000000" w:sz="4" w:val="single"/>
            </w:tcBorders>
            <w:shd w:fill="auto" w:val="clear"/>
            <w:vAlign w:val="center"/>
          </w:tcPr>
          <w:p w14:paraId="B8120000">
            <w:pPr>
              <w:widowControl w:val="1"/>
              <w:ind/>
              <w:contextualSpacing w:val="1"/>
              <w:jc w:val="center"/>
              <w:rPr>
                <w:color w:val="000000"/>
              </w:rPr>
            </w:pPr>
            <w:r>
              <w:rPr>
                <w:color w:val="000000"/>
              </w:rPr>
              <w:t>тыс.чел.</w:t>
            </w:r>
          </w:p>
        </w:tc>
        <w:tc>
          <w:tcPr>
            <w:tcW w:type="dxa" w:w="1532"/>
            <w:tcBorders>
              <w:top w:color="000000" w:sz="8" w:val="single"/>
              <w:left w:sz="4" w:val="nil"/>
              <w:bottom w:color="000000" w:sz="4" w:val="single"/>
              <w:right w:color="000000" w:sz="4" w:val="single"/>
            </w:tcBorders>
            <w:shd w:fill="auto" w:val="clear"/>
            <w:vAlign w:val="center"/>
          </w:tcPr>
          <w:p w14:paraId="B9120000">
            <w:pPr>
              <w:widowControl w:val="1"/>
              <w:ind/>
              <w:contextualSpacing w:val="1"/>
              <w:jc w:val="center"/>
              <w:rPr>
                <w:color w:val="000000"/>
              </w:rPr>
            </w:pPr>
            <w:r>
              <w:rPr>
                <w:color w:val="000000"/>
              </w:rPr>
              <w:t>6147,0</w:t>
            </w:r>
          </w:p>
        </w:tc>
        <w:tc>
          <w:tcPr>
            <w:tcW w:type="dxa" w:w="1393"/>
            <w:tcBorders>
              <w:top w:color="000000" w:sz="8" w:val="single"/>
              <w:left w:sz="4" w:val="nil"/>
              <w:bottom w:color="000000" w:sz="4" w:val="single"/>
              <w:right w:color="000000" w:sz="4" w:val="single"/>
            </w:tcBorders>
            <w:shd w:fill="auto" w:val="clear"/>
            <w:vAlign w:val="center"/>
          </w:tcPr>
          <w:p w14:paraId="BA120000">
            <w:pPr>
              <w:widowControl w:val="1"/>
              <w:ind/>
              <w:contextualSpacing w:val="1"/>
              <w:jc w:val="center"/>
              <w:rPr>
                <w:color w:val="000000"/>
              </w:rPr>
            </w:pPr>
            <w:r>
              <w:rPr>
                <w:color w:val="000000"/>
              </w:rPr>
              <w:t>6215,9</w:t>
            </w:r>
          </w:p>
        </w:tc>
        <w:tc>
          <w:tcPr>
            <w:tcW w:type="dxa" w:w="1394"/>
            <w:tcBorders>
              <w:top w:color="000000" w:sz="8" w:val="single"/>
              <w:left w:sz="4" w:val="nil"/>
              <w:bottom w:color="000000" w:sz="4" w:val="single"/>
              <w:right w:color="000000" w:sz="8" w:val="single"/>
            </w:tcBorders>
            <w:shd w:fill="auto" w:val="clear"/>
            <w:vAlign w:val="center"/>
          </w:tcPr>
          <w:p w14:paraId="BB120000">
            <w:pPr>
              <w:widowControl w:val="1"/>
              <w:ind/>
              <w:contextualSpacing w:val="1"/>
              <w:jc w:val="center"/>
              <w:rPr>
                <w:color w:val="000000"/>
              </w:rPr>
            </w:pPr>
            <w:r>
              <w:rPr>
                <w:color w:val="000000"/>
              </w:rPr>
              <w:t>6499,1</w:t>
            </w:r>
          </w:p>
        </w:tc>
      </w:tr>
      <w:tr>
        <w:trPr>
          <w:trHeight w:hRule="atLeast" w:val="320"/>
        </w:trPr>
        <w:tc>
          <w:tcPr>
            <w:tcW w:type="dxa" w:w="3488"/>
            <w:tcBorders>
              <w:top w:sz="4" w:val="nil"/>
              <w:left w:color="000000" w:sz="8" w:val="single"/>
              <w:bottom w:color="000000" w:sz="4" w:val="single"/>
              <w:right w:color="000000" w:sz="4" w:val="single"/>
            </w:tcBorders>
            <w:shd w:fill="auto" w:val="clear"/>
            <w:vAlign w:val="center"/>
          </w:tcPr>
          <w:p w14:paraId="BC120000">
            <w:pPr>
              <w:widowControl w:val="1"/>
              <w:ind/>
              <w:contextualSpacing w:val="1"/>
              <w:rPr>
                <w:color w:val="000000"/>
              </w:rPr>
            </w:pPr>
            <w:r>
              <w:rPr>
                <w:color w:val="000000"/>
              </w:rPr>
              <w:t>Пассажирооборот</w:t>
            </w:r>
          </w:p>
        </w:tc>
        <w:tc>
          <w:tcPr>
            <w:tcW w:type="dxa" w:w="1950"/>
            <w:tcBorders>
              <w:top w:sz="4" w:val="nil"/>
              <w:left w:sz="4" w:val="nil"/>
              <w:bottom w:color="000000" w:sz="4" w:val="single"/>
              <w:right w:color="000000" w:sz="4" w:val="single"/>
            </w:tcBorders>
            <w:shd w:fill="auto" w:val="clear"/>
            <w:vAlign w:val="center"/>
          </w:tcPr>
          <w:p w14:paraId="BD120000">
            <w:pPr>
              <w:widowControl w:val="1"/>
              <w:ind/>
              <w:contextualSpacing w:val="1"/>
              <w:jc w:val="center"/>
              <w:rPr>
                <w:color w:val="000000"/>
              </w:rPr>
            </w:pPr>
            <w:r>
              <w:rPr>
                <w:color w:val="000000"/>
              </w:rPr>
              <w:t>млн. пасс-км</w:t>
            </w:r>
          </w:p>
        </w:tc>
        <w:tc>
          <w:tcPr>
            <w:tcW w:type="dxa" w:w="1532"/>
            <w:tcBorders>
              <w:top w:sz="4" w:val="nil"/>
              <w:left w:sz="4" w:val="nil"/>
              <w:bottom w:color="000000" w:sz="4" w:val="single"/>
              <w:right w:color="000000" w:sz="4" w:val="single"/>
            </w:tcBorders>
            <w:shd w:fill="auto" w:val="clear"/>
            <w:vAlign w:val="center"/>
          </w:tcPr>
          <w:p w14:paraId="BE120000">
            <w:pPr>
              <w:widowControl w:val="1"/>
              <w:ind/>
              <w:contextualSpacing w:val="1"/>
              <w:jc w:val="center"/>
              <w:rPr>
                <w:color w:val="000000"/>
              </w:rPr>
            </w:pPr>
            <w:r>
              <w:rPr>
                <w:color w:val="000000"/>
              </w:rPr>
              <w:t>269,9</w:t>
            </w:r>
          </w:p>
        </w:tc>
        <w:tc>
          <w:tcPr>
            <w:tcW w:type="dxa" w:w="1393"/>
            <w:tcBorders>
              <w:top w:sz="4" w:val="nil"/>
              <w:left w:sz="4" w:val="nil"/>
              <w:bottom w:color="000000" w:sz="4" w:val="single"/>
              <w:right w:color="000000" w:sz="4" w:val="single"/>
            </w:tcBorders>
            <w:shd w:fill="auto" w:val="clear"/>
            <w:vAlign w:val="center"/>
          </w:tcPr>
          <w:p w14:paraId="BF120000">
            <w:pPr>
              <w:widowControl w:val="1"/>
              <w:ind/>
              <w:contextualSpacing w:val="1"/>
              <w:jc w:val="center"/>
              <w:rPr>
                <w:color w:val="000000"/>
              </w:rPr>
            </w:pPr>
            <w:r>
              <w:rPr>
                <w:color w:val="000000"/>
              </w:rPr>
              <w:t>270,5</w:t>
            </w:r>
          </w:p>
        </w:tc>
        <w:tc>
          <w:tcPr>
            <w:tcW w:type="dxa" w:w="1394"/>
            <w:tcBorders>
              <w:top w:sz="4" w:val="nil"/>
              <w:left w:sz="4" w:val="nil"/>
              <w:bottom w:color="000000" w:sz="4" w:val="single"/>
              <w:right w:color="000000" w:sz="8" w:val="single"/>
            </w:tcBorders>
            <w:shd w:fill="auto" w:val="clear"/>
            <w:vAlign w:val="center"/>
          </w:tcPr>
          <w:p w14:paraId="C0120000">
            <w:pPr>
              <w:widowControl w:val="1"/>
              <w:ind/>
              <w:contextualSpacing w:val="1"/>
              <w:jc w:val="center"/>
              <w:rPr>
                <w:color w:val="000000"/>
              </w:rPr>
            </w:pPr>
            <w:r>
              <w:rPr>
                <w:color w:val="000000"/>
              </w:rPr>
              <w:t>277,4</w:t>
            </w:r>
          </w:p>
        </w:tc>
      </w:tr>
      <w:tr>
        <w:trPr>
          <w:trHeight w:hRule="atLeast" w:val="320"/>
        </w:trPr>
        <w:tc>
          <w:tcPr>
            <w:tcW w:type="dxa" w:w="3488"/>
            <w:tcBorders>
              <w:top w:sz="4" w:val="nil"/>
              <w:left w:color="000000" w:sz="8" w:val="single"/>
              <w:bottom w:color="000000" w:sz="4" w:val="single"/>
              <w:right w:color="000000" w:sz="4" w:val="single"/>
            </w:tcBorders>
            <w:shd w:fill="auto" w:val="clear"/>
            <w:vAlign w:val="center"/>
          </w:tcPr>
          <w:p w14:paraId="C1120000">
            <w:pPr>
              <w:widowControl w:val="1"/>
              <w:ind/>
              <w:contextualSpacing w:val="1"/>
              <w:rPr>
                <w:color w:val="000000"/>
              </w:rPr>
            </w:pPr>
            <w:r>
              <w:rPr>
                <w:color w:val="000000"/>
              </w:rPr>
              <w:t>Вагоно-километровая работа</w:t>
            </w:r>
          </w:p>
        </w:tc>
        <w:tc>
          <w:tcPr>
            <w:tcW w:type="dxa" w:w="1950"/>
            <w:tcBorders>
              <w:top w:sz="4" w:val="nil"/>
              <w:left w:sz="4" w:val="nil"/>
              <w:bottom w:color="000000" w:sz="4" w:val="single"/>
              <w:right w:color="000000" w:sz="4" w:val="single"/>
            </w:tcBorders>
            <w:shd w:fill="auto" w:val="clear"/>
            <w:vAlign w:val="center"/>
          </w:tcPr>
          <w:p w14:paraId="C2120000">
            <w:pPr>
              <w:widowControl w:val="1"/>
              <w:ind/>
              <w:contextualSpacing w:val="1"/>
              <w:jc w:val="center"/>
              <w:rPr>
                <w:color w:val="000000"/>
              </w:rPr>
            </w:pPr>
            <w:r>
              <w:rPr>
                <w:color w:val="000000"/>
              </w:rPr>
              <w:t>тыс. ваг-км</w:t>
            </w:r>
          </w:p>
        </w:tc>
        <w:tc>
          <w:tcPr>
            <w:tcW w:type="dxa" w:w="1532"/>
            <w:tcBorders>
              <w:top w:sz="4" w:val="nil"/>
              <w:left w:sz="4" w:val="nil"/>
              <w:bottom w:color="000000" w:sz="4" w:val="single"/>
              <w:right w:color="000000" w:sz="4" w:val="single"/>
            </w:tcBorders>
            <w:shd w:fill="auto" w:val="clear"/>
            <w:vAlign w:val="center"/>
          </w:tcPr>
          <w:p w14:paraId="C3120000">
            <w:pPr>
              <w:widowControl w:val="1"/>
              <w:ind/>
              <w:contextualSpacing w:val="1"/>
              <w:jc w:val="center"/>
              <w:rPr>
                <w:color w:val="000000"/>
              </w:rPr>
            </w:pPr>
            <w:r>
              <w:rPr>
                <w:color w:val="000000"/>
              </w:rPr>
              <w:t>11484,1</w:t>
            </w:r>
          </w:p>
        </w:tc>
        <w:tc>
          <w:tcPr>
            <w:tcW w:type="dxa" w:w="1393"/>
            <w:tcBorders>
              <w:top w:sz="4" w:val="nil"/>
              <w:left w:sz="4" w:val="nil"/>
              <w:bottom w:color="000000" w:sz="4" w:val="single"/>
              <w:right w:color="000000" w:sz="4" w:val="single"/>
            </w:tcBorders>
            <w:shd w:fill="auto" w:val="clear"/>
            <w:vAlign w:val="center"/>
          </w:tcPr>
          <w:p w14:paraId="C4120000">
            <w:pPr>
              <w:widowControl w:val="1"/>
              <w:ind/>
              <w:contextualSpacing w:val="1"/>
              <w:jc w:val="center"/>
              <w:rPr>
                <w:color w:val="000000"/>
              </w:rPr>
            </w:pPr>
            <w:r>
              <w:rPr>
                <w:color w:val="000000"/>
              </w:rPr>
              <w:t>11433,2</w:t>
            </w:r>
          </w:p>
        </w:tc>
        <w:tc>
          <w:tcPr>
            <w:tcW w:type="dxa" w:w="1394"/>
            <w:tcBorders>
              <w:top w:sz="4" w:val="nil"/>
              <w:left w:sz="4" w:val="nil"/>
              <w:bottom w:color="000000" w:sz="4" w:val="single"/>
              <w:right w:color="000000" w:sz="8" w:val="single"/>
            </w:tcBorders>
            <w:shd w:fill="auto" w:val="clear"/>
            <w:vAlign w:val="center"/>
          </w:tcPr>
          <w:p w14:paraId="C5120000">
            <w:pPr>
              <w:widowControl w:val="1"/>
              <w:ind/>
              <w:contextualSpacing w:val="1"/>
              <w:jc w:val="center"/>
              <w:rPr>
                <w:color w:val="000000"/>
              </w:rPr>
            </w:pPr>
            <w:r>
              <w:rPr>
                <w:color w:val="000000"/>
              </w:rPr>
              <w:t>11673,6</w:t>
            </w:r>
          </w:p>
        </w:tc>
      </w:tr>
      <w:tr>
        <w:trPr>
          <w:trHeight w:hRule="atLeast" w:val="320"/>
        </w:trPr>
        <w:tc>
          <w:tcPr>
            <w:tcW w:type="dxa" w:w="3488"/>
            <w:tcBorders>
              <w:top w:sz="4" w:val="nil"/>
              <w:left w:color="000000" w:sz="8" w:val="single"/>
              <w:bottom w:color="000000" w:sz="4" w:val="single"/>
              <w:right w:color="000000" w:sz="4" w:val="single"/>
            </w:tcBorders>
            <w:shd w:fill="auto" w:val="clear"/>
            <w:vAlign w:val="center"/>
          </w:tcPr>
          <w:p w14:paraId="C6120000">
            <w:pPr>
              <w:widowControl w:val="1"/>
              <w:ind/>
              <w:contextualSpacing w:val="1"/>
              <w:rPr>
                <w:color w:val="000000"/>
              </w:rPr>
            </w:pPr>
            <w:r>
              <w:rPr>
                <w:color w:val="000000"/>
              </w:rPr>
              <w:t>Населенность</w:t>
            </w:r>
          </w:p>
        </w:tc>
        <w:tc>
          <w:tcPr>
            <w:tcW w:type="dxa" w:w="1950"/>
            <w:tcBorders>
              <w:top w:sz="4" w:val="nil"/>
              <w:left w:sz="4" w:val="nil"/>
              <w:bottom w:color="000000" w:sz="4" w:val="single"/>
              <w:right w:color="000000" w:sz="4" w:val="single"/>
            </w:tcBorders>
            <w:shd w:fill="auto" w:val="clear"/>
            <w:vAlign w:val="center"/>
          </w:tcPr>
          <w:p w14:paraId="C7120000">
            <w:pPr>
              <w:widowControl w:val="1"/>
              <w:ind/>
              <w:contextualSpacing w:val="1"/>
              <w:jc w:val="center"/>
              <w:rPr>
                <w:color w:val="000000"/>
              </w:rPr>
            </w:pPr>
            <w:r>
              <w:rPr>
                <w:color w:val="000000"/>
              </w:rPr>
              <w:t>чел/ваг.</w:t>
            </w:r>
          </w:p>
        </w:tc>
        <w:tc>
          <w:tcPr>
            <w:tcW w:type="dxa" w:w="1532"/>
            <w:tcBorders>
              <w:top w:sz="4" w:val="nil"/>
              <w:left w:sz="4" w:val="nil"/>
              <w:bottom w:color="000000" w:sz="4" w:val="single"/>
              <w:right w:color="000000" w:sz="4" w:val="single"/>
            </w:tcBorders>
            <w:shd w:fill="auto" w:val="clear"/>
            <w:vAlign w:val="center"/>
          </w:tcPr>
          <w:p w14:paraId="C8120000">
            <w:pPr>
              <w:widowControl w:val="1"/>
              <w:ind/>
              <w:contextualSpacing w:val="1"/>
              <w:jc w:val="center"/>
              <w:rPr>
                <w:color w:val="000000"/>
              </w:rPr>
            </w:pPr>
            <w:r>
              <w:rPr>
                <w:color w:val="000000"/>
              </w:rPr>
              <w:t>23,5</w:t>
            </w:r>
          </w:p>
        </w:tc>
        <w:tc>
          <w:tcPr>
            <w:tcW w:type="dxa" w:w="1393"/>
            <w:tcBorders>
              <w:top w:sz="4" w:val="nil"/>
              <w:left w:sz="4" w:val="nil"/>
              <w:bottom w:color="000000" w:sz="4" w:val="single"/>
              <w:right w:color="000000" w:sz="4" w:val="single"/>
            </w:tcBorders>
            <w:shd w:fill="auto" w:val="clear"/>
            <w:vAlign w:val="center"/>
          </w:tcPr>
          <w:p w14:paraId="C9120000">
            <w:pPr>
              <w:widowControl w:val="1"/>
              <w:ind/>
              <w:contextualSpacing w:val="1"/>
              <w:jc w:val="center"/>
              <w:rPr>
                <w:color w:val="000000"/>
              </w:rPr>
            </w:pPr>
            <w:r>
              <w:rPr>
                <w:color w:val="000000"/>
              </w:rPr>
              <w:t>23,7</w:t>
            </w:r>
          </w:p>
        </w:tc>
        <w:tc>
          <w:tcPr>
            <w:tcW w:type="dxa" w:w="1394"/>
            <w:tcBorders>
              <w:top w:sz="4" w:val="nil"/>
              <w:left w:sz="4" w:val="nil"/>
              <w:bottom w:color="000000" w:sz="4" w:val="single"/>
              <w:right w:color="000000" w:sz="8" w:val="single"/>
            </w:tcBorders>
            <w:shd w:fill="auto" w:val="clear"/>
            <w:vAlign w:val="center"/>
          </w:tcPr>
          <w:p w14:paraId="CA120000">
            <w:pPr>
              <w:widowControl w:val="1"/>
              <w:ind/>
              <w:contextualSpacing w:val="1"/>
              <w:jc w:val="center"/>
              <w:rPr>
                <w:color w:val="000000"/>
              </w:rPr>
            </w:pPr>
            <w:r>
              <w:rPr>
                <w:color w:val="000000"/>
              </w:rPr>
              <w:t>23,8</w:t>
            </w:r>
          </w:p>
        </w:tc>
      </w:tr>
      <w:tr>
        <w:trPr>
          <w:trHeight w:hRule="atLeast" w:val="320"/>
        </w:trPr>
        <w:tc>
          <w:tcPr>
            <w:tcW w:type="dxa" w:w="3488"/>
            <w:tcBorders>
              <w:top w:color="000000" w:sz="4" w:val="single"/>
              <w:left w:color="000000" w:sz="4" w:val="single"/>
              <w:bottom w:color="000000" w:sz="4" w:val="single"/>
              <w:right w:color="000000" w:sz="4" w:val="single"/>
            </w:tcBorders>
            <w:shd w:fill="auto" w:val="clear"/>
            <w:vAlign w:val="center"/>
          </w:tcPr>
          <w:p w14:paraId="CB120000">
            <w:pPr>
              <w:widowControl w:val="1"/>
              <w:ind/>
              <w:contextualSpacing w:val="1"/>
              <w:rPr>
                <w:color w:val="000000"/>
              </w:rPr>
            </w:pPr>
            <w:r>
              <w:rPr>
                <w:color w:val="000000"/>
              </w:rPr>
              <w:t>Выручка</w:t>
            </w:r>
          </w:p>
        </w:tc>
        <w:tc>
          <w:tcPr>
            <w:tcW w:type="dxa" w:w="1950"/>
            <w:tcBorders>
              <w:top w:color="000000" w:sz="4" w:val="single"/>
              <w:left w:sz="4" w:val="nil"/>
              <w:bottom w:color="000000" w:sz="4" w:val="single"/>
              <w:right w:color="000000" w:sz="4" w:val="single"/>
            </w:tcBorders>
            <w:shd w:fill="auto" w:val="clear"/>
            <w:vAlign w:val="center"/>
          </w:tcPr>
          <w:p w14:paraId="CC120000">
            <w:pPr>
              <w:widowControl w:val="1"/>
              <w:ind/>
              <w:contextualSpacing w:val="1"/>
              <w:jc w:val="center"/>
              <w:rPr>
                <w:color w:val="000000"/>
              </w:rPr>
            </w:pPr>
            <w:r>
              <w:rPr>
                <w:color w:val="000000"/>
              </w:rPr>
              <w:t>млн. руб.</w:t>
            </w:r>
          </w:p>
        </w:tc>
        <w:tc>
          <w:tcPr>
            <w:tcW w:type="dxa" w:w="1532"/>
            <w:tcBorders>
              <w:top w:color="000000" w:sz="4" w:val="single"/>
              <w:left w:sz="4" w:val="nil"/>
              <w:bottom w:color="000000" w:sz="4" w:val="single"/>
              <w:right w:color="000000" w:sz="4" w:val="single"/>
            </w:tcBorders>
            <w:shd w:fill="auto" w:val="clear"/>
            <w:vAlign w:val="center"/>
          </w:tcPr>
          <w:p w14:paraId="CD120000">
            <w:pPr>
              <w:widowControl w:val="1"/>
              <w:ind/>
              <w:contextualSpacing w:val="1"/>
              <w:jc w:val="center"/>
              <w:rPr>
                <w:color w:val="000000"/>
              </w:rPr>
            </w:pPr>
            <w:r>
              <w:rPr>
                <w:color w:val="000000"/>
              </w:rPr>
              <w:t>318,5</w:t>
            </w:r>
          </w:p>
        </w:tc>
        <w:tc>
          <w:tcPr>
            <w:tcW w:type="dxa" w:w="1393"/>
            <w:tcBorders>
              <w:top w:color="000000" w:sz="4" w:val="single"/>
              <w:left w:sz="4" w:val="nil"/>
              <w:bottom w:color="000000" w:sz="4" w:val="single"/>
              <w:right w:color="000000" w:sz="4" w:val="single"/>
            </w:tcBorders>
            <w:shd w:fill="auto" w:val="clear"/>
            <w:vAlign w:val="center"/>
          </w:tcPr>
          <w:p w14:paraId="CE120000">
            <w:pPr>
              <w:widowControl w:val="1"/>
              <w:ind/>
              <w:contextualSpacing w:val="1"/>
              <w:jc w:val="center"/>
              <w:rPr>
                <w:color w:val="000000"/>
              </w:rPr>
            </w:pPr>
            <w:r>
              <w:rPr>
                <w:color w:val="000000"/>
              </w:rPr>
              <w:t>326,6</w:t>
            </w:r>
          </w:p>
        </w:tc>
        <w:tc>
          <w:tcPr>
            <w:tcW w:type="dxa" w:w="1394"/>
            <w:tcBorders>
              <w:top w:color="000000" w:sz="4" w:val="single"/>
              <w:left w:sz="4" w:val="nil"/>
              <w:bottom w:color="000000" w:sz="4" w:val="single"/>
              <w:right w:color="000000" w:sz="4" w:val="single"/>
            </w:tcBorders>
            <w:shd w:fill="auto" w:val="clear"/>
            <w:vAlign w:val="center"/>
          </w:tcPr>
          <w:p w14:paraId="CF120000">
            <w:pPr>
              <w:widowControl w:val="1"/>
              <w:ind/>
              <w:contextualSpacing w:val="1"/>
              <w:jc w:val="center"/>
              <w:rPr>
                <w:color w:val="000000"/>
              </w:rPr>
            </w:pPr>
            <w:r>
              <w:rPr>
                <w:color w:val="000000"/>
              </w:rPr>
              <w:t>335,1</w:t>
            </w:r>
          </w:p>
        </w:tc>
      </w:tr>
      <w:tr>
        <w:trPr>
          <w:trHeight w:hRule="atLeast" w:val="320"/>
        </w:trPr>
        <w:tc>
          <w:tcPr>
            <w:tcW w:type="dxa" w:w="3488"/>
            <w:tcBorders>
              <w:top w:color="000000" w:sz="4" w:val="single"/>
              <w:left w:color="000000" w:sz="4" w:val="single"/>
              <w:bottom w:color="000000" w:sz="4" w:val="single"/>
              <w:right w:color="000000" w:sz="4" w:val="single"/>
            </w:tcBorders>
            <w:shd w:fill="auto" w:val="clear"/>
            <w:vAlign w:val="center"/>
          </w:tcPr>
          <w:p w14:paraId="D0120000">
            <w:pPr>
              <w:widowControl w:val="1"/>
              <w:ind/>
              <w:contextualSpacing w:val="1"/>
              <w:rPr>
                <w:color w:val="000000"/>
              </w:rPr>
            </w:pPr>
            <w:r>
              <w:rPr>
                <w:color w:val="000000"/>
              </w:rPr>
              <w:t xml:space="preserve">Себестоимость </w:t>
            </w:r>
          </w:p>
        </w:tc>
        <w:tc>
          <w:tcPr>
            <w:tcW w:type="dxa" w:w="1950"/>
            <w:tcBorders>
              <w:top w:color="000000" w:sz="4" w:val="single"/>
              <w:left w:sz="4" w:val="nil"/>
              <w:bottom w:color="000000" w:sz="4" w:val="single"/>
              <w:right w:color="000000" w:sz="4" w:val="single"/>
            </w:tcBorders>
            <w:shd w:fill="auto" w:val="clear"/>
            <w:vAlign w:val="center"/>
          </w:tcPr>
          <w:p w14:paraId="D1120000">
            <w:pPr>
              <w:widowControl w:val="1"/>
              <w:ind/>
              <w:contextualSpacing w:val="1"/>
              <w:jc w:val="center"/>
              <w:rPr>
                <w:color w:val="000000"/>
              </w:rPr>
            </w:pPr>
            <w:r>
              <w:rPr>
                <w:color w:val="000000"/>
              </w:rPr>
              <w:t>млн. руб.</w:t>
            </w:r>
          </w:p>
        </w:tc>
        <w:tc>
          <w:tcPr>
            <w:tcW w:type="dxa" w:w="1532"/>
            <w:tcBorders>
              <w:top w:color="000000" w:sz="4" w:val="single"/>
              <w:left w:sz="4" w:val="nil"/>
              <w:bottom w:color="000000" w:sz="4" w:val="single"/>
              <w:right w:color="000000" w:sz="4" w:val="single"/>
            </w:tcBorders>
            <w:shd w:fill="auto" w:val="clear"/>
            <w:vAlign w:val="center"/>
          </w:tcPr>
          <w:p w14:paraId="D2120000">
            <w:pPr>
              <w:widowControl w:val="1"/>
              <w:ind/>
              <w:contextualSpacing w:val="1"/>
              <w:jc w:val="center"/>
              <w:rPr>
                <w:color w:val="000000"/>
              </w:rPr>
            </w:pPr>
            <w:r>
              <w:rPr>
                <w:color w:val="000000"/>
              </w:rPr>
              <w:t>672,7</w:t>
            </w:r>
          </w:p>
        </w:tc>
        <w:tc>
          <w:tcPr>
            <w:tcW w:type="dxa" w:w="1393"/>
            <w:tcBorders>
              <w:top w:color="000000" w:sz="4" w:val="single"/>
              <w:left w:sz="4" w:val="nil"/>
              <w:bottom w:color="000000" w:sz="4" w:val="single"/>
              <w:right w:color="000000" w:sz="4" w:val="single"/>
            </w:tcBorders>
            <w:shd w:fill="auto" w:val="clear"/>
            <w:vAlign w:val="center"/>
          </w:tcPr>
          <w:p w14:paraId="D3120000">
            <w:pPr>
              <w:widowControl w:val="1"/>
              <w:ind/>
              <w:contextualSpacing w:val="1"/>
              <w:jc w:val="center"/>
              <w:rPr>
                <w:color w:val="000000"/>
              </w:rPr>
            </w:pPr>
            <w:r>
              <w:rPr>
                <w:color w:val="000000"/>
              </w:rPr>
              <w:t>695,6</w:t>
            </w:r>
          </w:p>
        </w:tc>
        <w:tc>
          <w:tcPr>
            <w:tcW w:type="dxa" w:w="1394"/>
            <w:tcBorders>
              <w:top w:color="000000" w:sz="4" w:val="single"/>
              <w:left w:sz="4" w:val="nil"/>
              <w:bottom w:color="000000" w:sz="4" w:val="single"/>
              <w:right w:color="000000" w:sz="4" w:val="single"/>
            </w:tcBorders>
            <w:shd w:fill="auto" w:val="clear"/>
            <w:vAlign w:val="center"/>
          </w:tcPr>
          <w:p w14:paraId="D4120000">
            <w:pPr>
              <w:widowControl w:val="1"/>
              <w:ind/>
              <w:contextualSpacing w:val="1"/>
              <w:jc w:val="center"/>
              <w:rPr>
                <w:color w:val="000000"/>
              </w:rPr>
            </w:pPr>
            <w:r>
              <w:rPr>
                <w:color w:val="000000"/>
              </w:rPr>
              <w:t>721,6</w:t>
            </w:r>
          </w:p>
        </w:tc>
      </w:tr>
      <w:tr>
        <w:trPr>
          <w:trHeight w:hRule="atLeast" w:val="404"/>
        </w:trPr>
        <w:tc>
          <w:tcPr>
            <w:tcW w:type="dxa" w:w="3488"/>
            <w:tcBorders>
              <w:top w:color="000000" w:sz="4" w:val="single"/>
              <w:left w:color="000000" w:sz="4" w:val="single"/>
              <w:bottom w:color="000000" w:sz="4" w:val="single"/>
              <w:right w:color="000000" w:sz="4" w:val="single"/>
            </w:tcBorders>
            <w:shd w:fill="auto" w:val="clear"/>
            <w:vAlign w:val="center"/>
          </w:tcPr>
          <w:p w14:paraId="D5120000">
            <w:pPr>
              <w:widowControl w:val="1"/>
              <w:ind/>
              <w:contextualSpacing w:val="1"/>
              <w:rPr>
                <w:color w:val="000000"/>
              </w:rPr>
            </w:pPr>
            <w:r>
              <w:rPr>
                <w:color w:val="000000"/>
              </w:rPr>
              <w:t>Прочие доходы</w:t>
            </w:r>
          </w:p>
        </w:tc>
        <w:tc>
          <w:tcPr>
            <w:tcW w:type="dxa" w:w="1950"/>
            <w:tcBorders>
              <w:top w:color="000000" w:sz="4" w:val="single"/>
              <w:left w:sz="4" w:val="nil"/>
              <w:bottom w:color="000000" w:sz="4" w:val="single"/>
              <w:right w:color="000000" w:sz="4" w:val="single"/>
            </w:tcBorders>
            <w:shd w:fill="auto" w:val="clear"/>
            <w:vAlign w:val="center"/>
          </w:tcPr>
          <w:p w14:paraId="D6120000">
            <w:pPr>
              <w:widowControl w:val="1"/>
              <w:ind/>
              <w:contextualSpacing w:val="1"/>
              <w:jc w:val="center"/>
              <w:rPr>
                <w:color w:val="000000"/>
              </w:rPr>
            </w:pPr>
            <w:r>
              <w:rPr>
                <w:color w:val="000000"/>
              </w:rPr>
              <w:t>млн. руб.</w:t>
            </w:r>
          </w:p>
        </w:tc>
        <w:tc>
          <w:tcPr>
            <w:tcW w:type="dxa" w:w="1532"/>
            <w:tcBorders>
              <w:top w:color="000000" w:sz="4" w:val="single"/>
              <w:left w:sz="4" w:val="nil"/>
              <w:bottom w:color="000000" w:sz="4" w:val="single"/>
              <w:right w:color="000000" w:sz="4" w:val="single"/>
            </w:tcBorders>
            <w:shd w:fill="auto" w:val="clear"/>
            <w:vAlign w:val="center"/>
          </w:tcPr>
          <w:p w14:paraId="D7120000">
            <w:pPr>
              <w:widowControl w:val="1"/>
              <w:ind/>
              <w:contextualSpacing w:val="1"/>
              <w:jc w:val="center"/>
              <w:rPr>
                <w:color w:val="000000"/>
              </w:rPr>
            </w:pPr>
            <w:r>
              <w:rPr>
                <w:color w:val="000000"/>
              </w:rPr>
              <w:t>379,6</w:t>
            </w:r>
          </w:p>
        </w:tc>
        <w:tc>
          <w:tcPr>
            <w:tcW w:type="dxa" w:w="1393"/>
            <w:tcBorders>
              <w:top w:color="000000" w:sz="4" w:val="single"/>
              <w:left w:sz="4" w:val="nil"/>
              <w:bottom w:color="000000" w:sz="4" w:val="single"/>
              <w:right w:color="000000" w:sz="4" w:val="single"/>
            </w:tcBorders>
            <w:shd w:fill="auto" w:val="clear"/>
            <w:vAlign w:val="center"/>
          </w:tcPr>
          <w:p w14:paraId="D8120000">
            <w:pPr>
              <w:widowControl w:val="1"/>
              <w:ind/>
              <w:contextualSpacing w:val="1"/>
              <w:jc w:val="center"/>
              <w:rPr>
                <w:color w:val="000000"/>
              </w:rPr>
            </w:pPr>
            <w:r>
              <w:rPr>
                <w:color w:val="000000"/>
              </w:rPr>
              <w:t>396,3</w:t>
            </w:r>
          </w:p>
        </w:tc>
        <w:tc>
          <w:tcPr>
            <w:tcW w:type="dxa" w:w="1394"/>
            <w:tcBorders>
              <w:top w:color="000000" w:sz="4" w:val="single"/>
              <w:left w:sz="4" w:val="nil"/>
              <w:bottom w:color="000000" w:sz="4" w:val="single"/>
              <w:right w:color="000000" w:sz="4" w:val="single"/>
            </w:tcBorders>
            <w:shd w:fill="auto" w:val="clear"/>
            <w:vAlign w:val="center"/>
          </w:tcPr>
          <w:p w14:paraId="D9120000">
            <w:pPr>
              <w:widowControl w:val="1"/>
              <w:ind/>
              <w:contextualSpacing w:val="1"/>
              <w:jc w:val="center"/>
              <w:rPr>
                <w:color w:val="000000"/>
              </w:rPr>
            </w:pPr>
            <w:r>
              <w:rPr>
                <w:color w:val="000000"/>
              </w:rPr>
              <w:t>394,4</w:t>
            </w:r>
          </w:p>
        </w:tc>
      </w:tr>
      <w:tr>
        <w:trPr>
          <w:trHeight w:hRule="atLeast" w:val="320"/>
        </w:trPr>
        <w:tc>
          <w:tcPr>
            <w:tcW w:type="dxa" w:w="3488"/>
            <w:tcBorders>
              <w:top w:color="000000" w:sz="4" w:val="single"/>
              <w:left w:color="000000" w:sz="4" w:val="single"/>
              <w:bottom w:color="000000" w:sz="4" w:val="single"/>
              <w:right w:color="000000" w:sz="4" w:val="single"/>
            </w:tcBorders>
            <w:shd w:fill="auto" w:val="clear"/>
            <w:vAlign w:val="center"/>
          </w:tcPr>
          <w:p w14:paraId="DA120000">
            <w:pPr>
              <w:widowControl w:val="1"/>
              <w:ind/>
              <w:contextualSpacing w:val="1"/>
              <w:rPr>
                <w:color w:val="000000"/>
              </w:rPr>
            </w:pPr>
            <w:r>
              <w:rPr>
                <w:color w:val="000000"/>
              </w:rPr>
              <w:t>Прочие расходы</w:t>
            </w:r>
          </w:p>
        </w:tc>
        <w:tc>
          <w:tcPr>
            <w:tcW w:type="dxa" w:w="1950"/>
            <w:tcBorders>
              <w:top w:color="000000" w:sz="4" w:val="single"/>
              <w:left w:sz="4" w:val="nil"/>
              <w:bottom w:color="000000" w:sz="4" w:val="single"/>
              <w:right w:color="000000" w:sz="4" w:val="single"/>
            </w:tcBorders>
            <w:shd w:fill="auto" w:val="clear"/>
            <w:vAlign w:val="center"/>
          </w:tcPr>
          <w:p w14:paraId="DB120000">
            <w:pPr>
              <w:widowControl w:val="1"/>
              <w:ind/>
              <w:contextualSpacing w:val="1"/>
              <w:jc w:val="center"/>
              <w:rPr>
                <w:color w:val="000000"/>
              </w:rPr>
            </w:pPr>
            <w:r>
              <w:rPr>
                <w:color w:val="000000"/>
              </w:rPr>
              <w:t>млн. руб.</w:t>
            </w:r>
          </w:p>
        </w:tc>
        <w:tc>
          <w:tcPr>
            <w:tcW w:type="dxa" w:w="1532"/>
            <w:tcBorders>
              <w:top w:color="000000" w:sz="4" w:val="single"/>
              <w:left w:sz="4" w:val="nil"/>
              <w:bottom w:color="000000" w:sz="4" w:val="single"/>
              <w:right w:color="000000" w:sz="4" w:val="single"/>
            </w:tcBorders>
            <w:shd w:fill="auto" w:val="clear"/>
            <w:vAlign w:val="center"/>
          </w:tcPr>
          <w:p w14:paraId="DC120000">
            <w:pPr>
              <w:widowControl w:val="1"/>
              <w:ind/>
              <w:contextualSpacing w:val="1"/>
              <w:jc w:val="center"/>
              <w:rPr>
                <w:color w:val="000000"/>
              </w:rPr>
            </w:pPr>
            <w:r>
              <w:rPr>
                <w:color w:val="000000"/>
              </w:rPr>
              <w:t>19,9</w:t>
            </w:r>
          </w:p>
        </w:tc>
        <w:tc>
          <w:tcPr>
            <w:tcW w:type="dxa" w:w="1393"/>
            <w:tcBorders>
              <w:top w:color="000000" w:sz="4" w:val="single"/>
              <w:left w:sz="4" w:val="nil"/>
              <w:bottom w:color="000000" w:sz="4" w:val="single"/>
              <w:right w:color="000000" w:sz="4" w:val="single"/>
            </w:tcBorders>
            <w:shd w:fill="auto" w:val="clear"/>
            <w:vAlign w:val="center"/>
          </w:tcPr>
          <w:p w14:paraId="DD120000">
            <w:pPr>
              <w:widowControl w:val="1"/>
              <w:ind/>
              <w:contextualSpacing w:val="1"/>
              <w:jc w:val="center"/>
              <w:rPr>
                <w:color w:val="000000"/>
              </w:rPr>
            </w:pPr>
            <w:r>
              <w:rPr>
                <w:color w:val="000000"/>
              </w:rPr>
              <w:t>12,0</w:t>
            </w:r>
          </w:p>
        </w:tc>
        <w:tc>
          <w:tcPr>
            <w:tcW w:type="dxa" w:w="1394"/>
            <w:tcBorders>
              <w:top w:color="000000" w:sz="4" w:val="single"/>
              <w:left w:sz="4" w:val="nil"/>
              <w:bottom w:color="000000" w:sz="4" w:val="single"/>
              <w:right w:color="000000" w:sz="4" w:val="single"/>
            </w:tcBorders>
            <w:shd w:fill="auto" w:val="clear"/>
            <w:vAlign w:val="center"/>
          </w:tcPr>
          <w:p w14:paraId="DE120000">
            <w:pPr>
              <w:widowControl w:val="1"/>
              <w:ind/>
              <w:contextualSpacing w:val="1"/>
              <w:jc w:val="center"/>
              <w:rPr>
                <w:color w:val="000000"/>
              </w:rPr>
            </w:pPr>
            <w:r>
              <w:rPr>
                <w:color w:val="000000"/>
              </w:rPr>
              <w:t>6,8</w:t>
            </w:r>
          </w:p>
        </w:tc>
      </w:tr>
      <w:tr>
        <w:trPr>
          <w:trHeight w:hRule="atLeast" w:val="320"/>
        </w:trPr>
        <w:tc>
          <w:tcPr>
            <w:tcW w:type="dxa" w:w="3488"/>
            <w:tcBorders>
              <w:top w:color="000000" w:sz="4" w:val="single"/>
              <w:left w:color="000000" w:sz="4" w:val="single"/>
              <w:bottom w:color="000000" w:sz="4" w:val="single"/>
              <w:right w:color="000000" w:sz="4" w:val="single"/>
            </w:tcBorders>
            <w:shd w:fill="auto" w:val="clear"/>
            <w:vAlign w:val="center"/>
          </w:tcPr>
          <w:p w14:paraId="DF120000">
            <w:pPr>
              <w:widowControl w:val="1"/>
              <w:ind/>
              <w:contextualSpacing w:val="1"/>
              <w:rPr>
                <w:color w:val="000000"/>
              </w:rPr>
            </w:pPr>
            <w:r>
              <w:rPr>
                <w:color w:val="000000"/>
              </w:rPr>
              <w:t>Прибыль до налогообложения</w:t>
            </w:r>
          </w:p>
        </w:tc>
        <w:tc>
          <w:tcPr>
            <w:tcW w:type="dxa" w:w="1950"/>
            <w:tcBorders>
              <w:top w:color="000000" w:sz="4" w:val="single"/>
              <w:left w:sz="4" w:val="nil"/>
              <w:bottom w:color="000000" w:sz="4" w:val="single"/>
              <w:right w:color="000000" w:sz="4" w:val="single"/>
            </w:tcBorders>
            <w:shd w:fill="auto" w:val="clear"/>
            <w:vAlign w:val="center"/>
          </w:tcPr>
          <w:p w14:paraId="E0120000">
            <w:pPr>
              <w:widowControl w:val="1"/>
              <w:ind/>
              <w:contextualSpacing w:val="1"/>
              <w:jc w:val="center"/>
              <w:rPr>
                <w:color w:val="000000"/>
              </w:rPr>
            </w:pPr>
            <w:r>
              <w:rPr>
                <w:color w:val="000000"/>
              </w:rPr>
              <w:t>млн. руб.</w:t>
            </w:r>
          </w:p>
        </w:tc>
        <w:tc>
          <w:tcPr>
            <w:tcW w:type="dxa" w:w="1532"/>
            <w:tcBorders>
              <w:top w:color="000000" w:sz="4" w:val="single"/>
              <w:left w:sz="4" w:val="nil"/>
              <w:bottom w:color="000000" w:sz="4" w:val="single"/>
              <w:right w:color="000000" w:sz="4" w:val="single"/>
            </w:tcBorders>
            <w:shd w:fill="auto" w:val="clear"/>
            <w:vAlign w:val="center"/>
          </w:tcPr>
          <w:p w14:paraId="E1120000">
            <w:pPr>
              <w:widowControl w:val="1"/>
              <w:ind/>
              <w:contextualSpacing w:val="1"/>
              <w:jc w:val="center"/>
              <w:rPr>
                <w:color w:val="000000"/>
              </w:rPr>
            </w:pPr>
            <w:r>
              <w:rPr>
                <w:color w:val="000000"/>
              </w:rPr>
              <w:t>5,5</w:t>
            </w:r>
          </w:p>
        </w:tc>
        <w:tc>
          <w:tcPr>
            <w:tcW w:type="dxa" w:w="1393"/>
            <w:tcBorders>
              <w:top w:color="000000" w:sz="4" w:val="single"/>
              <w:left w:sz="4" w:val="nil"/>
              <w:bottom w:color="000000" w:sz="4" w:val="single"/>
              <w:right w:color="000000" w:sz="4" w:val="single"/>
            </w:tcBorders>
            <w:shd w:fill="auto" w:val="clear"/>
            <w:vAlign w:val="center"/>
          </w:tcPr>
          <w:p w14:paraId="E2120000">
            <w:pPr>
              <w:widowControl w:val="1"/>
              <w:ind/>
              <w:contextualSpacing w:val="1"/>
              <w:jc w:val="center"/>
              <w:rPr>
                <w:color w:val="000000"/>
              </w:rPr>
            </w:pPr>
            <w:r>
              <w:rPr>
                <w:color w:val="000000"/>
              </w:rPr>
              <w:t>15,4</w:t>
            </w:r>
          </w:p>
        </w:tc>
        <w:tc>
          <w:tcPr>
            <w:tcW w:type="dxa" w:w="1394"/>
            <w:tcBorders>
              <w:top w:color="000000" w:sz="4" w:val="single"/>
              <w:left w:sz="4" w:val="nil"/>
              <w:bottom w:color="000000" w:sz="4" w:val="single"/>
              <w:right w:color="000000" w:sz="4" w:val="single"/>
            </w:tcBorders>
            <w:shd w:fill="auto" w:val="clear"/>
            <w:vAlign w:val="center"/>
          </w:tcPr>
          <w:p w14:paraId="E3120000">
            <w:pPr>
              <w:widowControl w:val="1"/>
              <w:ind/>
              <w:contextualSpacing w:val="1"/>
              <w:jc w:val="center"/>
              <w:rPr>
                <w:color w:val="000000"/>
              </w:rPr>
            </w:pPr>
            <w:r>
              <w:rPr>
                <w:color w:val="000000"/>
              </w:rPr>
              <w:t>1,1</w:t>
            </w:r>
          </w:p>
        </w:tc>
      </w:tr>
      <w:tr>
        <w:trPr>
          <w:trHeight w:hRule="atLeast" w:val="336"/>
        </w:trPr>
        <w:tc>
          <w:tcPr>
            <w:tcW w:type="dxa" w:w="3488"/>
            <w:tcBorders>
              <w:top w:color="000000" w:sz="4" w:val="single"/>
              <w:left w:color="000000" w:sz="4" w:val="single"/>
              <w:bottom w:color="000000" w:sz="4" w:val="single"/>
              <w:right w:color="000000" w:sz="4" w:val="single"/>
            </w:tcBorders>
            <w:shd w:fill="auto" w:val="clear"/>
            <w:vAlign w:val="center"/>
          </w:tcPr>
          <w:p w14:paraId="E4120000">
            <w:pPr>
              <w:widowControl w:val="1"/>
              <w:ind/>
              <w:contextualSpacing w:val="1"/>
              <w:rPr>
                <w:color w:val="000000"/>
              </w:rPr>
            </w:pPr>
            <w:r>
              <w:rPr>
                <w:color w:val="000000"/>
              </w:rPr>
              <w:t>Чистая прибыль</w:t>
            </w:r>
          </w:p>
        </w:tc>
        <w:tc>
          <w:tcPr>
            <w:tcW w:type="dxa" w:w="1950"/>
            <w:tcBorders>
              <w:top w:color="000000" w:sz="4" w:val="single"/>
              <w:left w:sz="4" w:val="nil"/>
              <w:bottom w:color="000000" w:sz="4" w:val="single"/>
              <w:right w:color="000000" w:sz="4" w:val="single"/>
            </w:tcBorders>
            <w:shd w:fill="auto" w:val="clear"/>
            <w:vAlign w:val="center"/>
          </w:tcPr>
          <w:p w14:paraId="E5120000">
            <w:pPr>
              <w:widowControl w:val="1"/>
              <w:ind/>
              <w:contextualSpacing w:val="1"/>
              <w:jc w:val="center"/>
              <w:rPr>
                <w:color w:val="000000"/>
              </w:rPr>
            </w:pPr>
            <w:r>
              <w:rPr>
                <w:color w:val="000000"/>
              </w:rPr>
              <w:t>млн. руб.</w:t>
            </w:r>
          </w:p>
        </w:tc>
        <w:tc>
          <w:tcPr>
            <w:tcW w:type="dxa" w:w="1532"/>
            <w:tcBorders>
              <w:top w:color="000000" w:sz="4" w:val="single"/>
              <w:left w:sz="4" w:val="nil"/>
              <w:bottom w:color="000000" w:sz="4" w:val="single"/>
              <w:right w:color="000000" w:sz="4" w:val="single"/>
            </w:tcBorders>
            <w:shd w:fill="auto" w:val="clear"/>
            <w:vAlign w:val="center"/>
          </w:tcPr>
          <w:p w14:paraId="E6120000">
            <w:pPr>
              <w:widowControl w:val="1"/>
              <w:ind/>
              <w:contextualSpacing w:val="1"/>
              <w:jc w:val="center"/>
              <w:rPr>
                <w:color w:val="000000"/>
              </w:rPr>
            </w:pPr>
            <w:r>
              <w:rPr>
                <w:color w:val="000000"/>
              </w:rPr>
              <w:t>1,9</w:t>
            </w:r>
          </w:p>
        </w:tc>
        <w:tc>
          <w:tcPr>
            <w:tcW w:type="dxa" w:w="1393"/>
            <w:tcBorders>
              <w:top w:color="000000" w:sz="4" w:val="single"/>
              <w:left w:sz="4" w:val="nil"/>
              <w:bottom w:color="000000" w:sz="4" w:val="single"/>
              <w:right w:color="000000" w:sz="4" w:val="single"/>
            </w:tcBorders>
            <w:shd w:fill="auto" w:val="clear"/>
            <w:vAlign w:val="center"/>
          </w:tcPr>
          <w:p w14:paraId="E7120000">
            <w:pPr>
              <w:widowControl w:val="1"/>
              <w:ind/>
              <w:contextualSpacing w:val="1"/>
              <w:jc w:val="center"/>
              <w:rPr>
                <w:color w:val="000000"/>
              </w:rPr>
            </w:pPr>
            <w:r>
              <w:rPr>
                <w:color w:val="000000"/>
              </w:rPr>
              <w:t>11,7</w:t>
            </w:r>
          </w:p>
        </w:tc>
        <w:tc>
          <w:tcPr>
            <w:tcW w:type="dxa" w:w="1394"/>
            <w:tcBorders>
              <w:top w:color="000000" w:sz="4" w:val="single"/>
              <w:left w:sz="4" w:val="nil"/>
              <w:bottom w:color="000000" w:sz="4" w:val="single"/>
              <w:right w:color="000000" w:sz="4" w:val="single"/>
            </w:tcBorders>
            <w:shd w:fill="auto" w:val="clear"/>
            <w:vAlign w:val="center"/>
          </w:tcPr>
          <w:p w14:paraId="E8120000">
            <w:pPr>
              <w:widowControl w:val="1"/>
              <w:ind/>
              <w:contextualSpacing w:val="1"/>
              <w:jc w:val="center"/>
              <w:rPr>
                <w:color w:val="000000"/>
              </w:rPr>
            </w:pPr>
            <w:r>
              <w:rPr>
                <w:color w:val="000000"/>
              </w:rPr>
              <w:t>0,3</w:t>
            </w:r>
          </w:p>
        </w:tc>
      </w:tr>
    </w:tbl>
    <w:p w14:paraId="E9120000">
      <w:pPr>
        <w:widowControl w:val="1"/>
        <w:spacing w:line="360" w:lineRule="auto"/>
        <w:ind w:firstLine="709"/>
        <w:contextualSpacing w:val="1"/>
        <w:jc w:val="both"/>
        <w:rPr>
          <w:highlight w:val="red"/>
        </w:rPr>
      </w:pPr>
    </w:p>
    <w:p w14:paraId="EA120000">
      <w:pPr>
        <w:widowControl w:val="1"/>
        <w:spacing w:line="360" w:lineRule="auto"/>
        <w:ind w:firstLine="709"/>
        <w:contextualSpacing w:val="1"/>
        <w:jc w:val="both"/>
      </w:pPr>
      <w:r>
        <w:rPr>
          <w:color w:val="000000"/>
        </w:rPr>
        <w:t>Стратегическими целями Компании в сфере пригородных пассажирских перев</w:t>
      </w:r>
      <w:r>
        <w:rPr>
          <w:color w:val="000000"/>
        </w:rPr>
        <w:t>о</w:t>
      </w:r>
      <w:r>
        <w:rPr>
          <w:color w:val="000000"/>
        </w:rPr>
        <w:t>зок являются:</w:t>
      </w:r>
    </w:p>
    <w:p w14:paraId="EB120000">
      <w:pPr>
        <w:pStyle w:val="Style_11"/>
        <w:widowControl w:val="1"/>
        <w:numPr>
          <w:ilvl w:val="0"/>
          <w:numId w:val="35"/>
        </w:numPr>
        <w:tabs>
          <w:tab w:leader="none" w:pos="357" w:val="clear"/>
          <w:tab w:leader="none" w:pos="1134" w:val="left"/>
        </w:tabs>
        <w:spacing w:line="360" w:lineRule="auto"/>
        <w:ind w:firstLine="567" w:left="142"/>
        <w:contextualSpacing w:val="1"/>
        <w:jc w:val="both"/>
        <w:rPr>
          <w:color w:val="000000"/>
          <w:sz w:val="24"/>
        </w:rPr>
      </w:pPr>
      <w:r>
        <w:rPr>
          <w:color w:val="000000"/>
          <w:sz w:val="24"/>
        </w:rPr>
        <w:t>модернизация тарифной политики;</w:t>
      </w:r>
    </w:p>
    <w:p w14:paraId="EC120000">
      <w:pPr>
        <w:pStyle w:val="Style_11"/>
        <w:widowControl w:val="1"/>
        <w:numPr>
          <w:ilvl w:val="0"/>
          <w:numId w:val="35"/>
        </w:numPr>
        <w:tabs>
          <w:tab w:leader="none" w:pos="357" w:val="clear"/>
          <w:tab w:leader="none" w:pos="1134" w:val="left"/>
        </w:tabs>
        <w:spacing w:line="360" w:lineRule="auto"/>
        <w:ind w:firstLine="567" w:left="142"/>
        <w:contextualSpacing w:val="1"/>
        <w:jc w:val="both"/>
        <w:rPr>
          <w:color w:val="000000"/>
          <w:sz w:val="24"/>
        </w:rPr>
      </w:pPr>
      <w:r>
        <w:rPr>
          <w:color w:val="000000"/>
          <w:sz w:val="24"/>
        </w:rPr>
        <w:t>создание эффективного механизма возмещения убытков от социально значимых пр</w:t>
      </w:r>
      <w:r>
        <w:rPr>
          <w:color w:val="000000"/>
          <w:sz w:val="24"/>
        </w:rPr>
        <w:t>и</w:t>
      </w:r>
      <w:r>
        <w:rPr>
          <w:color w:val="000000"/>
          <w:sz w:val="24"/>
        </w:rPr>
        <w:t>городных перевозок;</w:t>
      </w:r>
    </w:p>
    <w:p w14:paraId="ED120000">
      <w:pPr>
        <w:pStyle w:val="Style_11"/>
        <w:widowControl w:val="1"/>
        <w:numPr>
          <w:ilvl w:val="0"/>
          <w:numId w:val="35"/>
        </w:numPr>
        <w:tabs>
          <w:tab w:leader="none" w:pos="357" w:val="clear"/>
          <w:tab w:leader="none" w:pos="1134" w:val="left"/>
        </w:tabs>
        <w:spacing w:line="360" w:lineRule="auto"/>
        <w:ind w:firstLine="567" w:left="142"/>
        <w:contextualSpacing w:val="1"/>
        <w:jc w:val="both"/>
        <w:rPr>
          <w:color w:val="000000"/>
          <w:sz w:val="24"/>
        </w:rPr>
      </w:pPr>
      <w:r>
        <w:rPr>
          <w:color w:val="000000"/>
          <w:sz w:val="24"/>
        </w:rPr>
        <w:t>обеспечение  полной  безубыточности  деятельности  предприятия;</w:t>
      </w:r>
    </w:p>
    <w:p w14:paraId="EE120000">
      <w:pPr>
        <w:pStyle w:val="Style_11"/>
        <w:widowControl w:val="1"/>
        <w:numPr>
          <w:ilvl w:val="0"/>
          <w:numId w:val="35"/>
        </w:numPr>
        <w:tabs>
          <w:tab w:leader="none" w:pos="357" w:val="clear"/>
          <w:tab w:leader="none" w:pos="1134" w:val="left"/>
        </w:tabs>
        <w:spacing w:line="360" w:lineRule="auto"/>
        <w:ind w:firstLine="567" w:left="142"/>
        <w:contextualSpacing w:val="1"/>
        <w:jc w:val="both"/>
        <w:rPr>
          <w:color w:val="000000"/>
          <w:sz w:val="24"/>
        </w:rPr>
      </w:pPr>
      <w:r>
        <w:rPr>
          <w:sz w:val="24"/>
        </w:rPr>
        <w:t>повышение доходов и уровня покрытия затрат за счет расширения безуб</w:t>
      </w:r>
      <w:r>
        <w:rPr>
          <w:sz w:val="24"/>
        </w:rPr>
        <w:t>ы</w:t>
      </w:r>
      <w:r>
        <w:rPr>
          <w:sz w:val="24"/>
        </w:rPr>
        <w:t>точных сегментов рынка пассажирских перевозок</w:t>
      </w:r>
      <w:r>
        <w:rPr>
          <w:sz w:val="24"/>
        </w:rPr>
        <w:t>;</w:t>
      </w:r>
    </w:p>
    <w:p w14:paraId="EF120000">
      <w:pPr>
        <w:pStyle w:val="Style_11"/>
        <w:widowControl w:val="1"/>
        <w:numPr>
          <w:ilvl w:val="0"/>
          <w:numId w:val="35"/>
        </w:numPr>
        <w:tabs>
          <w:tab w:leader="none" w:pos="357" w:val="clear"/>
          <w:tab w:leader="none" w:pos="1134" w:val="left"/>
        </w:tabs>
        <w:spacing w:line="360" w:lineRule="auto"/>
        <w:ind w:firstLine="567" w:left="142"/>
        <w:contextualSpacing w:val="1"/>
        <w:jc w:val="both"/>
        <w:rPr>
          <w:color w:val="000000"/>
          <w:sz w:val="24"/>
        </w:rPr>
      </w:pPr>
      <w:r>
        <w:rPr>
          <w:color w:val="000000"/>
          <w:sz w:val="24"/>
        </w:rPr>
        <w:t>расширение сферы оказания транспортных услуг (развитие интегрированных перевозок, создание единой транспортной сети);</w:t>
      </w:r>
    </w:p>
    <w:p w14:paraId="F0120000">
      <w:pPr>
        <w:pStyle w:val="Style_11"/>
        <w:widowControl w:val="1"/>
        <w:numPr>
          <w:ilvl w:val="0"/>
          <w:numId w:val="35"/>
        </w:numPr>
        <w:tabs>
          <w:tab w:leader="none" w:pos="357" w:val="clear"/>
          <w:tab w:leader="none" w:pos="1134" w:val="left"/>
        </w:tabs>
        <w:spacing w:line="360" w:lineRule="auto"/>
        <w:ind w:firstLine="567" w:left="142"/>
        <w:contextualSpacing w:val="1"/>
        <w:jc w:val="both"/>
        <w:rPr>
          <w:color w:val="000000"/>
          <w:sz w:val="24"/>
        </w:rPr>
      </w:pPr>
      <w:r>
        <w:rPr>
          <w:color w:val="000000"/>
          <w:sz w:val="24"/>
        </w:rPr>
        <w:t>совершенствование управления и корпоративных процедур</w:t>
      </w:r>
      <w:r>
        <w:rPr>
          <w:color w:val="000000"/>
          <w:sz w:val="24"/>
        </w:rPr>
        <w:t>.</w:t>
      </w:r>
    </w:p>
    <w:p w14:paraId="F1120000">
      <w:pPr>
        <w:widowControl w:val="1"/>
        <w:tabs>
          <w:tab w:leader="none" w:pos="567" w:val="left"/>
        </w:tabs>
        <w:spacing w:line="360" w:lineRule="auto"/>
        <w:ind w:firstLine="709"/>
        <w:contextualSpacing w:val="1"/>
        <w:jc w:val="both"/>
      </w:pPr>
      <w:r>
        <w:t xml:space="preserve">Одним из значимых элементов в обеспечении транспортной доступности населения Красноярской агломерации является проект «Городская электричка», который имеет положительную динамику с ежегодным приростом перевезенных пассажиров от 8 до 19,7 %. </w:t>
      </w:r>
    </w:p>
    <w:p w14:paraId="F2120000">
      <w:pPr>
        <w:pStyle w:val="Style_24"/>
        <w:widowControl w:val="1"/>
        <w:tabs>
          <w:tab w:leader="none" w:pos="567" w:val="left"/>
        </w:tabs>
        <w:spacing w:line="360" w:lineRule="auto"/>
        <w:ind w:firstLine="709"/>
        <w:contextualSpacing w:val="1"/>
        <w:jc w:val="both"/>
        <w:rPr>
          <w:rFonts w:ascii="Times New Roman" w:hAnsi="Times New Roman"/>
          <w:sz w:val="24"/>
        </w:rPr>
      </w:pPr>
      <w:r>
        <w:rPr>
          <w:rFonts w:ascii="Times New Roman" w:hAnsi="Times New Roman"/>
          <w:sz w:val="24"/>
        </w:rPr>
        <w:t xml:space="preserve">За 2018 год  имеет место увеличение пассажиропотока на 19,7%. </w:t>
      </w:r>
    </w:p>
    <w:p w14:paraId="F3120000">
      <w:pPr>
        <w:widowControl w:val="1"/>
        <w:tabs>
          <w:tab w:leader="none" w:pos="567" w:val="left"/>
        </w:tabs>
        <w:spacing w:line="360" w:lineRule="auto"/>
        <w:ind w:firstLine="709"/>
        <w:contextualSpacing w:val="1"/>
        <w:jc w:val="both"/>
      </w:pPr>
      <w:r>
        <w:t xml:space="preserve">В продолжении этой работы, в адрес временно исполняющего обязанности губернатора Красноярского края А.В. Усса направлено предложение  о включении в программу перевозок на 2018 год 6-ти дополнительных поездов на полукольцевом маршруте Красноярск-Северный–Бугач–Красноярск-Базаиха и 3-х дополнительных поездов на маршруте Красноярск-Дивногорск.  Принято положительное решение о назначении 3-х дополнительных поездов на внутригородском маршруте и 2-х поездов на маршруте Красноярск-Дивногорск с 4 квартала 2018 года, выделено дополнительное финансирование на указанные цели в размере 4,3 млн.руб. </w:t>
      </w:r>
    </w:p>
    <w:p w14:paraId="F4120000">
      <w:pPr>
        <w:widowControl w:val="1"/>
        <w:spacing w:line="360" w:lineRule="auto"/>
        <w:ind w:firstLine="709"/>
        <w:contextualSpacing w:val="1"/>
        <w:jc w:val="both"/>
      </w:pPr>
      <w:r>
        <w:t xml:space="preserve">В целях достижения безубыточности, покрытия убытков прошлых лет, улучшения структуры баланса будет продолжена судебно-арбитражная работа с Республикой Бурятия в соответствии с запланированными мероприятиями. В течение года Республикой Хакасия полностью погашена задолженность по субсидиям за 2013 год в соответствии с условиями мирового соглашения, подписанного при судебном разбирательстве в 2017 году. </w:t>
      </w:r>
    </w:p>
    <w:p w14:paraId="F5120000">
      <w:pPr>
        <w:widowControl w:val="1"/>
        <w:spacing w:line="360" w:lineRule="auto"/>
        <w:ind w:firstLine="709"/>
        <w:contextualSpacing w:val="1"/>
        <w:jc w:val="both"/>
      </w:pPr>
      <w:r>
        <w:t xml:space="preserve">В рамках развития клиентоориентированного подхода к обслуживанию пассажиров продолжается работа по развитию каналов продаж проездных документов на пригородные перевозки. </w:t>
      </w:r>
    </w:p>
    <w:p w14:paraId="F6120000">
      <w:pPr>
        <w:widowControl w:val="1"/>
        <w:spacing w:line="360" w:lineRule="auto"/>
        <w:ind w:firstLine="709"/>
        <w:contextualSpacing w:val="1"/>
        <w:jc w:val="both"/>
      </w:pPr>
      <w:r>
        <w:t>Важной задачей на 2019 год для компании является достойное участие в транспортном обслуживании при проведении Зимней универсиады -2019 в г. Красноярске. В этих целях проводится полномасштабная подготовительная работа: разработана программа перевозок, обучаются кассиры, формируются мероприятия по обеспечению транспортной безопасности, проводится работа с органами государственной власти Красноярского края по вопросу использования нового парка подвижного состава и обеспечения бюджетного финансирования.</w:t>
      </w:r>
    </w:p>
    <w:p w14:paraId="F7120000">
      <w:pPr>
        <w:widowControl w:val="0"/>
        <w:spacing w:line="360" w:lineRule="auto"/>
        <w:ind w:firstLine="709"/>
        <w:contextualSpacing w:val="1"/>
        <w:jc w:val="both"/>
      </w:pPr>
      <w:r>
        <w:t xml:space="preserve">В период проведения Универсиады будет задействован 21 электропоезд серий ЭД9Э, ЭД9МК и ЭП3Д,  в т.ч. 4 поезда серии ЭД9Э 2016 года постройки, 3 поезда серии ЭД9МК  2004-2005 годов выпуска, 8 поездов серии ЭД9м 2007-2008 годов постройки из существующего парка Красноярской ДМВ, а также 6 электропоездов серии ЭП3Д, поступивших на дорогу в 2019 году. </w:t>
      </w:r>
    </w:p>
    <w:p w14:paraId="F8120000">
      <w:pPr>
        <w:pStyle w:val="Style_31"/>
        <w:widowControl w:val="1"/>
        <w:spacing w:line="360" w:lineRule="auto"/>
        <w:ind w:firstLine="709"/>
        <w:contextualSpacing w:val="1"/>
        <w:jc w:val="both"/>
        <w:rPr>
          <w:rFonts w:ascii="Times New Roman" w:hAnsi="Times New Roman"/>
          <w:sz w:val="24"/>
        </w:rPr>
      </w:pPr>
      <w:r>
        <w:rPr>
          <w:rFonts w:ascii="Times New Roman" w:hAnsi="Times New Roman"/>
          <w:sz w:val="24"/>
        </w:rPr>
        <w:t>Необходимость общего увеличения программы перевозок на внутригородских и пригородных маршрутах обусловлена потребностью пассажиров и, безусловно, будет способствовать повышению уровня  транспортной доступности жителей края и города и улучшению качества их жизни.</w:t>
      </w:r>
    </w:p>
    <w:p w14:paraId="F9120000">
      <w:pPr>
        <w:pStyle w:val="Style_11"/>
        <w:widowControl w:val="1"/>
        <w:tabs>
          <w:tab w:leader="none" w:pos="0" w:val="left"/>
        </w:tabs>
        <w:spacing w:after="0" w:line="360" w:lineRule="auto"/>
        <w:ind w:firstLine="709" w:left="0"/>
        <w:contextualSpacing w:val="1"/>
        <w:jc w:val="both"/>
        <w:rPr>
          <w:sz w:val="24"/>
        </w:rPr>
      </w:pPr>
      <w:r>
        <w:rPr>
          <w:sz w:val="24"/>
        </w:rPr>
        <w:t>Кроме того, планируется продолжить</w:t>
      </w:r>
      <w:r>
        <w:rPr>
          <w:sz w:val="24"/>
        </w:rPr>
        <w:t xml:space="preserve"> </w:t>
      </w:r>
      <w:r>
        <w:rPr>
          <w:sz w:val="24"/>
        </w:rPr>
        <w:t xml:space="preserve">развитие </w:t>
      </w:r>
      <w:r>
        <w:rPr>
          <w:sz w:val="24"/>
        </w:rPr>
        <w:t>коммерческой деятельности,</w:t>
      </w:r>
      <w:r>
        <w:rPr>
          <w:sz w:val="24"/>
        </w:rPr>
        <w:t xml:space="preserve"> перевозка пассажиров по экскурсионному маршруту и </w:t>
      </w:r>
      <w:r>
        <w:rPr>
          <w:sz w:val="24"/>
        </w:rPr>
        <w:t xml:space="preserve"> оказание пассажирам дополнительных сервисных услуг</w:t>
      </w:r>
      <w:r>
        <w:rPr>
          <w:sz w:val="24"/>
        </w:rPr>
        <w:t>.</w:t>
      </w:r>
      <w:r>
        <w:rPr>
          <w:sz w:val="24"/>
        </w:rPr>
        <w:t xml:space="preserve"> </w:t>
      </w:r>
    </w:p>
    <w:p w14:paraId="FA120000">
      <w:pPr>
        <w:pStyle w:val="Style_10"/>
        <w:widowControl w:val="1"/>
        <w:spacing w:after="0" w:before="0" w:line="360" w:lineRule="auto"/>
        <w:ind w:firstLine="709"/>
        <w:contextualSpacing w:val="1"/>
        <w:jc w:val="both"/>
        <w:rPr>
          <w:rFonts w:ascii="Times New Roman" w:hAnsi="Times New Roman"/>
          <w:i w:val="0"/>
          <w:sz w:val="24"/>
        </w:rPr>
      </w:pPr>
      <w:bookmarkEnd w:id="41"/>
      <w:bookmarkEnd w:id="42"/>
    </w:p>
    <w:p w14:paraId="FB120000">
      <w:bookmarkStart w:id="43" w:name="__RefHeading___36"/>
      <w:bookmarkEnd w:id="43"/>
      <w:pPr>
        <w:pStyle w:val="Style_10"/>
        <w:widowControl w:val="1"/>
        <w:spacing w:after="0" w:before="0" w:line="360" w:lineRule="auto"/>
        <w:ind w:firstLine="709"/>
        <w:contextualSpacing w:val="1"/>
        <w:jc w:val="both"/>
        <w:rPr>
          <w:rFonts w:ascii="Times New Roman" w:hAnsi="Times New Roman"/>
          <w:i w:val="0"/>
          <w:sz w:val="24"/>
        </w:rPr>
      </w:pPr>
      <w:r>
        <w:rPr>
          <w:rFonts w:ascii="Times New Roman" w:hAnsi="Times New Roman"/>
          <w:i w:val="0"/>
          <w:sz w:val="24"/>
        </w:rPr>
        <w:t>11</w:t>
      </w:r>
      <w:r>
        <w:rPr>
          <w:rFonts w:ascii="Times New Roman" w:hAnsi="Times New Roman"/>
          <w:i w:val="0"/>
          <w:sz w:val="24"/>
        </w:rPr>
        <w:t>.2</w:t>
      </w:r>
      <w:r>
        <w:rPr>
          <w:rFonts w:ascii="Times New Roman" w:hAnsi="Times New Roman"/>
          <w:i w:val="0"/>
          <w:sz w:val="24"/>
        </w:rPr>
        <w:t>.</w:t>
      </w:r>
      <w:r>
        <w:rPr>
          <w:rFonts w:ascii="Times New Roman" w:hAnsi="Times New Roman"/>
          <w:i w:val="0"/>
          <w:sz w:val="24"/>
        </w:rPr>
        <w:t xml:space="preserve"> Совершенствование качества обслуживания пассажиров и система стимулиров</w:t>
      </w:r>
      <w:r>
        <w:rPr>
          <w:rFonts w:ascii="Times New Roman" w:hAnsi="Times New Roman"/>
          <w:i w:val="0"/>
          <w:sz w:val="24"/>
        </w:rPr>
        <w:t>а</w:t>
      </w:r>
      <w:r>
        <w:rPr>
          <w:rFonts w:ascii="Times New Roman" w:hAnsi="Times New Roman"/>
          <w:i w:val="0"/>
          <w:sz w:val="24"/>
        </w:rPr>
        <w:t>ния продаж</w:t>
      </w:r>
    </w:p>
    <w:p w14:paraId="FC120000">
      <w:pPr>
        <w:pStyle w:val="Style_11"/>
        <w:widowControl w:val="1"/>
        <w:spacing w:after="0" w:line="360" w:lineRule="auto"/>
        <w:ind w:firstLine="709" w:left="0"/>
        <w:contextualSpacing w:val="1"/>
        <w:jc w:val="both"/>
        <w:rPr>
          <w:sz w:val="24"/>
        </w:rPr>
      </w:pPr>
      <w:r>
        <w:rPr>
          <w:sz w:val="24"/>
        </w:rPr>
        <w:t>Основные мероприятия, направленные на совершенствование качества обслуживания пасс</w:t>
      </w:r>
      <w:r>
        <w:rPr>
          <w:sz w:val="24"/>
        </w:rPr>
        <w:t>а</w:t>
      </w:r>
      <w:r>
        <w:rPr>
          <w:sz w:val="24"/>
        </w:rPr>
        <w:t>жиров:</w:t>
      </w:r>
    </w:p>
    <w:p w14:paraId="FD120000">
      <w:pPr>
        <w:pStyle w:val="Style_11"/>
        <w:widowControl w:val="1"/>
        <w:numPr>
          <w:ilvl w:val="0"/>
          <w:numId w:val="36"/>
        </w:numPr>
        <w:spacing w:after="0" w:line="360" w:lineRule="auto"/>
        <w:ind w:firstLine="709" w:left="0"/>
        <w:contextualSpacing w:val="1"/>
        <w:jc w:val="both"/>
        <w:rPr>
          <w:sz w:val="24"/>
        </w:rPr>
      </w:pPr>
      <w:r>
        <w:rPr>
          <w:sz w:val="24"/>
        </w:rPr>
        <w:t>Осуществление контроля и проведения мероприятий, направленных на без</w:t>
      </w:r>
      <w:r>
        <w:rPr>
          <w:sz w:val="24"/>
        </w:rPr>
        <w:t>о</w:t>
      </w:r>
      <w:r>
        <w:rPr>
          <w:sz w:val="24"/>
        </w:rPr>
        <w:t xml:space="preserve">пасность пассажиров в пути следования, на вокзалах, остановочных пунктах, перронах, пассажирских посадочных платформах. Соблюдение графика движения поездов. </w:t>
      </w:r>
    </w:p>
    <w:p w14:paraId="FE120000">
      <w:pPr>
        <w:pStyle w:val="Style_11"/>
        <w:widowControl w:val="1"/>
        <w:numPr>
          <w:ilvl w:val="0"/>
          <w:numId w:val="36"/>
        </w:numPr>
        <w:spacing w:after="0" w:line="360" w:lineRule="auto"/>
        <w:ind w:firstLine="709" w:left="0"/>
        <w:contextualSpacing w:val="1"/>
        <w:jc w:val="both"/>
        <w:rPr>
          <w:sz w:val="24"/>
        </w:rPr>
      </w:pPr>
      <w:r>
        <w:rPr>
          <w:sz w:val="24"/>
        </w:rPr>
        <w:t>Заключение договоров с</w:t>
      </w:r>
      <w:r>
        <w:rPr>
          <w:sz w:val="24"/>
        </w:rPr>
        <w:t>о структурными подразделениями ОАО РЖД и другими предп</w:t>
      </w:r>
      <w:r>
        <w:rPr>
          <w:sz w:val="24"/>
        </w:rPr>
        <w:t>риятиями на пер</w:t>
      </w:r>
      <w:r>
        <w:rPr>
          <w:sz w:val="24"/>
        </w:rPr>
        <w:t>е</w:t>
      </w:r>
      <w:r>
        <w:rPr>
          <w:sz w:val="24"/>
        </w:rPr>
        <w:t xml:space="preserve">возку работников </w:t>
      </w:r>
      <w:r>
        <w:rPr>
          <w:sz w:val="24"/>
        </w:rPr>
        <w:t>по транспортным требованиям ОАО «РЖД»</w:t>
      </w:r>
      <w:r>
        <w:rPr>
          <w:sz w:val="24"/>
        </w:rPr>
        <w:t>.</w:t>
      </w:r>
    </w:p>
    <w:p w14:paraId="FF120000">
      <w:pPr>
        <w:pStyle w:val="Style_11"/>
        <w:widowControl w:val="1"/>
        <w:spacing w:after="0" w:line="360" w:lineRule="auto"/>
        <w:ind w:firstLine="709" w:left="0"/>
        <w:contextualSpacing w:val="1"/>
        <w:jc w:val="both"/>
        <w:rPr>
          <w:sz w:val="24"/>
        </w:rPr>
      </w:pPr>
      <w:r>
        <w:rPr>
          <w:sz w:val="24"/>
        </w:rPr>
        <w:t xml:space="preserve">Общество планирует развивать </w:t>
      </w:r>
      <w:r>
        <w:rPr>
          <w:sz w:val="24"/>
        </w:rPr>
        <w:t>систему стимулирования пр</w:t>
      </w:r>
      <w:r>
        <w:rPr>
          <w:sz w:val="24"/>
        </w:rPr>
        <w:t>о</w:t>
      </w:r>
      <w:r>
        <w:rPr>
          <w:sz w:val="24"/>
        </w:rPr>
        <w:t>даж</w:t>
      </w:r>
      <w:r>
        <w:rPr>
          <w:sz w:val="24"/>
        </w:rPr>
        <w:t>:</w:t>
      </w:r>
    </w:p>
    <w:p w14:paraId="00130000">
      <w:pPr>
        <w:widowControl w:val="1"/>
        <w:numPr>
          <w:ilvl w:val="0"/>
          <w:numId w:val="37"/>
        </w:numPr>
        <w:tabs>
          <w:tab w:leader="none" w:pos="360" w:val="clear"/>
          <w:tab w:leader="none" w:pos="1134" w:val="left"/>
          <w:tab w:leader="none" w:pos="1440" w:val="left"/>
          <w:tab w:leader="none" w:pos="1500" w:val="left"/>
        </w:tabs>
        <w:spacing w:line="360" w:lineRule="auto"/>
        <w:ind w:firstLine="709" w:left="0"/>
        <w:contextualSpacing w:val="1"/>
        <w:jc w:val="both"/>
      </w:pPr>
      <w:r>
        <w:t>п</w:t>
      </w:r>
      <w:r>
        <w:t>рофессиональная подготовка кадров;</w:t>
      </w:r>
    </w:p>
    <w:p w14:paraId="01130000">
      <w:pPr>
        <w:widowControl w:val="1"/>
        <w:numPr>
          <w:ilvl w:val="0"/>
          <w:numId w:val="37"/>
        </w:numPr>
        <w:tabs>
          <w:tab w:leader="none" w:pos="360" w:val="clear"/>
          <w:tab w:leader="none" w:pos="1134" w:val="left"/>
          <w:tab w:leader="none" w:pos="1440" w:val="left"/>
          <w:tab w:leader="none" w:pos="1500" w:val="left"/>
        </w:tabs>
        <w:spacing w:line="360" w:lineRule="auto"/>
        <w:ind w:firstLine="709" w:left="0"/>
        <w:contextualSpacing w:val="1"/>
        <w:jc w:val="both"/>
      </w:pPr>
      <w:r>
        <w:t>проведение рекламных компаний</w:t>
      </w:r>
      <w:r>
        <w:t xml:space="preserve"> по схеме - удобно, выгодно, безопасно; используя собственные возмо</w:t>
      </w:r>
      <w:r>
        <w:t>ж</w:t>
      </w:r>
      <w:r>
        <w:t>ности и СМИ;</w:t>
      </w:r>
    </w:p>
    <w:p w14:paraId="02130000">
      <w:pPr>
        <w:widowControl w:val="1"/>
        <w:numPr>
          <w:ilvl w:val="0"/>
          <w:numId w:val="37"/>
        </w:numPr>
        <w:tabs>
          <w:tab w:leader="none" w:pos="360" w:val="clear"/>
          <w:tab w:leader="none" w:pos="1134" w:val="left"/>
          <w:tab w:leader="none" w:pos="1440" w:val="left"/>
          <w:tab w:leader="none" w:pos="1500" w:val="left"/>
        </w:tabs>
        <w:spacing w:line="360" w:lineRule="auto"/>
        <w:ind w:firstLine="709" w:left="0"/>
        <w:contextualSpacing w:val="1"/>
        <w:jc w:val="both"/>
      </w:pPr>
      <w:r>
        <w:t>развитие интернет-продаж.</w:t>
      </w:r>
    </w:p>
    <w:p w14:paraId="03130000">
      <w:pPr>
        <w:pStyle w:val="Style_11"/>
        <w:widowControl w:val="1"/>
        <w:spacing w:after="0" w:line="360" w:lineRule="auto"/>
        <w:ind w:firstLine="709" w:left="0"/>
        <w:contextualSpacing w:val="1"/>
        <w:jc w:val="both"/>
        <w:rPr>
          <w:b w:val="1"/>
          <w:sz w:val="24"/>
        </w:rPr>
      </w:pPr>
      <w:r>
        <w:rPr>
          <w:sz w:val="24"/>
        </w:rPr>
        <w:t>Формирование доходной части общества будет осуществляться в основном за счет поступлений от продажи билетов на пригородные поезда. Увеличение доходов в этом н</w:t>
      </w:r>
      <w:r>
        <w:rPr>
          <w:sz w:val="24"/>
        </w:rPr>
        <w:t>а</w:t>
      </w:r>
      <w:r>
        <w:rPr>
          <w:sz w:val="24"/>
        </w:rPr>
        <w:t>правлении имеет несколько аспектов:</w:t>
      </w:r>
      <w:r>
        <w:rPr>
          <w:b w:val="1"/>
          <w:i w:val="1"/>
          <w:sz w:val="24"/>
        </w:rPr>
        <w:t xml:space="preserve"> </w:t>
      </w:r>
    </w:p>
    <w:p w14:paraId="04130000">
      <w:pPr>
        <w:pStyle w:val="Style_11"/>
        <w:widowControl w:val="1"/>
        <w:numPr>
          <w:ilvl w:val="0"/>
          <w:numId w:val="38"/>
        </w:numPr>
        <w:tabs>
          <w:tab w:leader="none" w:pos="1134" w:val="left"/>
          <w:tab w:leader="none" w:pos="1440" w:val="left"/>
          <w:tab w:leader="none" w:pos="1571" w:val="clear"/>
        </w:tabs>
        <w:spacing w:after="0" w:line="360" w:lineRule="auto"/>
        <w:ind w:firstLine="709" w:left="0"/>
        <w:contextualSpacing w:val="1"/>
        <w:jc w:val="both"/>
        <w:rPr>
          <w:sz w:val="24"/>
        </w:rPr>
      </w:pPr>
      <w:r>
        <w:rPr>
          <w:sz w:val="24"/>
        </w:rPr>
        <w:t>повышение объемов перевозок, путем улучшения качества обслуживания па</w:t>
      </w:r>
      <w:r>
        <w:rPr>
          <w:sz w:val="24"/>
        </w:rPr>
        <w:t>с</w:t>
      </w:r>
      <w:r>
        <w:rPr>
          <w:sz w:val="24"/>
        </w:rPr>
        <w:t>сажиров</w:t>
      </w:r>
      <w:r>
        <w:rPr>
          <w:sz w:val="24"/>
        </w:rPr>
        <w:t>;</w:t>
      </w:r>
    </w:p>
    <w:p w14:paraId="05130000">
      <w:pPr>
        <w:pStyle w:val="Style_11"/>
        <w:widowControl w:val="1"/>
        <w:numPr>
          <w:ilvl w:val="0"/>
          <w:numId w:val="38"/>
        </w:numPr>
        <w:tabs>
          <w:tab w:leader="none" w:pos="1134" w:val="left"/>
          <w:tab w:leader="none" w:pos="1571" w:val="clear"/>
        </w:tabs>
        <w:spacing w:after="0" w:line="360" w:lineRule="auto"/>
        <w:ind w:firstLine="709" w:left="0"/>
        <w:contextualSpacing w:val="1"/>
        <w:jc w:val="both"/>
        <w:rPr>
          <w:sz w:val="24"/>
        </w:rPr>
      </w:pPr>
      <w:r>
        <w:rPr>
          <w:sz w:val="24"/>
        </w:rPr>
        <w:t>совершенствование гибкой системы тарифов на пригородные перевозки по с</w:t>
      </w:r>
      <w:r>
        <w:rPr>
          <w:sz w:val="24"/>
        </w:rPr>
        <w:t>о</w:t>
      </w:r>
      <w:r>
        <w:rPr>
          <w:sz w:val="24"/>
        </w:rPr>
        <w:t xml:space="preserve">гласованию с </w:t>
      </w:r>
      <w:r>
        <w:rPr>
          <w:sz w:val="24"/>
        </w:rPr>
        <w:t>субъектами</w:t>
      </w:r>
      <w:r>
        <w:rPr>
          <w:sz w:val="24"/>
        </w:rPr>
        <w:t>.</w:t>
      </w:r>
    </w:p>
    <w:p w14:paraId="06130000">
      <w:bookmarkStart w:id="44" w:name="__RefHeading___37"/>
      <w:bookmarkEnd w:id="44"/>
      <w:pPr>
        <w:pStyle w:val="Style_7"/>
        <w:pageBreakBefore w:val="1"/>
        <w:widowControl w:val="1"/>
        <w:spacing w:line="360" w:lineRule="auto"/>
        <w:ind w:firstLine="709"/>
        <w:contextualSpacing w:val="1"/>
        <w:jc w:val="both"/>
        <w:rPr>
          <w:b w:val="1"/>
          <w:color w:val="000000"/>
          <w:sz w:val="24"/>
        </w:rPr>
      </w:pPr>
      <w:r>
        <w:rPr>
          <w:b w:val="1"/>
          <w:color w:val="000000"/>
          <w:sz w:val="24"/>
        </w:rPr>
        <w:t xml:space="preserve">Раздел </w:t>
      </w:r>
      <w:r>
        <w:rPr>
          <w:b w:val="1"/>
          <w:color w:val="000000"/>
          <w:sz w:val="24"/>
        </w:rPr>
        <w:t>12</w:t>
      </w:r>
      <w:r>
        <w:rPr>
          <w:b w:val="1"/>
          <w:color w:val="000000"/>
          <w:sz w:val="24"/>
        </w:rPr>
        <w:t xml:space="preserve">. </w:t>
      </w:r>
      <w:r>
        <w:rPr>
          <w:b w:val="1"/>
          <w:color w:val="000000"/>
          <w:sz w:val="24"/>
        </w:rPr>
        <w:t>Справочная информация</w:t>
      </w:r>
    </w:p>
    <w:p w14:paraId="07130000">
      <w:pPr>
        <w:pStyle w:val="Style_32"/>
        <w:widowControl w:val="1"/>
        <w:spacing w:line="360" w:lineRule="auto"/>
        <w:ind w:firstLine="709"/>
        <w:contextualSpacing w:val="1"/>
        <w:jc w:val="both"/>
        <w:rPr>
          <w:rFonts w:ascii="Times New Roman" w:hAnsi="Times New Roman"/>
        </w:rPr>
      </w:pPr>
      <w:r>
        <w:rPr>
          <w:rFonts w:ascii="Times New Roman" w:hAnsi="Times New Roman"/>
        </w:rPr>
        <w:t>АО «</w:t>
      </w:r>
      <w:r>
        <w:rPr>
          <w:rFonts w:ascii="Times New Roman" w:hAnsi="Times New Roman"/>
        </w:rPr>
        <w:t>Краспригород</w:t>
      </w:r>
      <w:r>
        <w:rPr>
          <w:rFonts w:ascii="Times New Roman" w:hAnsi="Times New Roman"/>
        </w:rPr>
        <w:t>»</w:t>
      </w:r>
    </w:p>
    <w:p w14:paraId="08130000">
      <w:pPr>
        <w:widowControl w:val="1"/>
        <w:spacing w:line="360" w:lineRule="auto"/>
        <w:ind w:firstLine="709"/>
        <w:contextualSpacing w:val="1"/>
        <w:jc w:val="both"/>
      </w:pPr>
      <w:r>
        <w:t>ИНН 2460069630, КПП 246001001,</w:t>
      </w:r>
    </w:p>
    <w:p w14:paraId="09130000">
      <w:pPr>
        <w:widowControl w:val="1"/>
        <w:spacing w:line="360" w:lineRule="auto"/>
        <w:ind w:firstLine="709"/>
        <w:contextualSpacing w:val="1"/>
        <w:jc w:val="both"/>
      </w:pPr>
      <w:r>
        <w:t>Юридический адрес: 660021, г. Красноярск, ул. Горького д. 3К, пом.45,52,53</w:t>
      </w:r>
    </w:p>
    <w:p w14:paraId="0A130000">
      <w:pPr>
        <w:widowControl w:val="1"/>
        <w:spacing w:line="360" w:lineRule="auto"/>
        <w:ind w:firstLine="709"/>
        <w:contextualSpacing w:val="1"/>
        <w:jc w:val="both"/>
      </w:pPr>
      <w:r>
        <w:t>Почтовый адрес: 660021, г. Красноярск, ул. Горького д. 3К, пом.45,52,53</w:t>
      </w:r>
    </w:p>
    <w:p w14:paraId="0B130000">
      <w:pPr>
        <w:widowControl w:val="1"/>
        <w:spacing w:line="360" w:lineRule="auto"/>
        <w:ind w:firstLine="709"/>
        <w:contextualSpacing w:val="1"/>
        <w:jc w:val="both"/>
      </w:pPr>
      <w:r>
        <w:t>Телефон / факс; (391) 256-80-42 / 256-80-47,</w:t>
      </w:r>
    </w:p>
    <w:p w14:paraId="0C130000">
      <w:pPr>
        <w:widowControl w:val="1"/>
        <w:spacing w:line="360" w:lineRule="auto"/>
        <w:ind w:firstLine="709"/>
        <w:contextualSpacing w:val="1"/>
        <w:jc w:val="both"/>
      </w:pPr>
      <w:r>
        <w:t>Email</w:t>
      </w:r>
      <w:r>
        <w:t xml:space="preserve">: </w:t>
      </w:r>
      <w:r>
        <w:t>priemnaya</w:t>
      </w:r>
      <w:r>
        <w:t>@</w:t>
      </w:r>
      <w:r>
        <w:t>kraspg</w:t>
      </w:r>
      <w:r>
        <w:t>.</w:t>
      </w:r>
      <w:r>
        <w:t>ru</w:t>
      </w:r>
      <w:r>
        <w:t xml:space="preserve"> </w:t>
      </w:r>
    </w:p>
    <w:p w14:paraId="0D130000">
      <w:pPr>
        <w:widowControl w:val="1"/>
        <w:spacing w:line="360" w:lineRule="auto"/>
        <w:ind w:firstLine="709"/>
        <w:contextualSpacing w:val="1"/>
        <w:jc w:val="both"/>
      </w:pPr>
      <w:r>
        <w:t>Наименование банка: Филиал Банк ВТБ (ПАО) в г. Красноярске,</w:t>
      </w:r>
    </w:p>
    <w:p w14:paraId="0E130000">
      <w:pPr>
        <w:widowControl w:val="1"/>
        <w:spacing w:line="360" w:lineRule="auto"/>
        <w:ind w:firstLine="709"/>
        <w:contextualSpacing w:val="1"/>
        <w:jc w:val="both"/>
      </w:pPr>
      <w:r>
        <w:t>Расчетный счет 40 702 810 9000 3000 3233</w:t>
      </w:r>
    </w:p>
    <w:p w14:paraId="0F130000">
      <w:pPr>
        <w:widowControl w:val="1"/>
        <w:spacing w:line="360" w:lineRule="auto"/>
        <w:ind w:firstLine="709"/>
        <w:contextualSpacing w:val="1"/>
        <w:jc w:val="both"/>
      </w:pPr>
      <w:r>
        <w:t>Кор.счет 30 10 18 102 0000 0000 777</w:t>
      </w:r>
    </w:p>
    <w:p w14:paraId="10130000">
      <w:pPr>
        <w:widowControl w:val="1"/>
        <w:spacing w:line="360" w:lineRule="auto"/>
        <w:ind w:firstLine="709"/>
        <w:contextualSpacing w:val="1"/>
        <w:jc w:val="both"/>
      </w:pPr>
      <w:r>
        <w:t>БИК 040407777;</w:t>
      </w:r>
    </w:p>
    <w:p w14:paraId="11130000">
      <w:pPr>
        <w:widowControl w:val="1"/>
        <w:spacing w:line="360" w:lineRule="auto"/>
        <w:ind w:firstLine="709"/>
        <w:contextualSpacing w:val="1"/>
        <w:jc w:val="both"/>
      </w:pPr>
      <w:r>
        <w:t>ОГРН 1052460055746,ОКАТО 04401363000, ОКЭВД 49.31.1, ОКПО 76741532, ОКФС 43, ОКОПФ 12247</w:t>
      </w:r>
    </w:p>
    <w:p w14:paraId="12130000">
      <w:pPr>
        <w:pStyle w:val="Style_21"/>
        <w:widowControl w:val="1"/>
        <w:spacing w:after="120" w:before="120"/>
        <w:ind w:firstLine="709"/>
        <w:contextualSpacing w:val="1"/>
      </w:pPr>
    </w:p>
    <w:p w14:paraId="13130000">
      <w:pPr>
        <w:pStyle w:val="Style_21"/>
        <w:widowControl w:val="1"/>
        <w:spacing w:after="120" w:before="120"/>
        <w:ind w:firstLine="709"/>
        <w:contextualSpacing w:val="1"/>
      </w:pPr>
    </w:p>
    <w:p w14:paraId="14130000">
      <w:pPr>
        <w:pStyle w:val="Style_21"/>
        <w:widowControl w:val="1"/>
        <w:spacing w:after="120" w:before="120"/>
        <w:ind w:firstLine="709"/>
        <w:contextualSpacing w:val="1"/>
      </w:pPr>
    </w:p>
    <w:p w14:paraId="15130000">
      <w:pPr>
        <w:pStyle w:val="Style_21"/>
        <w:widowControl w:val="1"/>
        <w:spacing w:after="120" w:before="120"/>
        <w:ind w:firstLine="709"/>
        <w:contextualSpacing w:val="1"/>
      </w:pPr>
    </w:p>
    <w:p w14:paraId="16130000">
      <w:pPr>
        <w:pStyle w:val="Style_21"/>
        <w:widowControl w:val="1"/>
        <w:spacing w:after="120" w:before="120"/>
        <w:ind w:firstLine="709"/>
        <w:contextualSpacing w:val="1"/>
      </w:pPr>
    </w:p>
    <w:p w14:paraId="17130000">
      <w:pPr>
        <w:pStyle w:val="Style_21"/>
        <w:widowControl w:val="1"/>
        <w:spacing w:after="120" w:before="120"/>
        <w:ind w:firstLine="709"/>
        <w:contextualSpacing w:val="1"/>
      </w:pPr>
    </w:p>
    <w:p w14:paraId="18130000">
      <w:pPr>
        <w:pStyle w:val="Style_21"/>
        <w:widowControl w:val="1"/>
        <w:spacing w:after="120" w:before="120"/>
        <w:ind w:firstLine="709"/>
        <w:contextualSpacing w:val="1"/>
      </w:pPr>
    </w:p>
    <w:p w14:paraId="19130000">
      <w:pPr>
        <w:pStyle w:val="Style_21"/>
        <w:widowControl w:val="1"/>
        <w:spacing w:after="120" w:before="120"/>
        <w:ind w:firstLine="709"/>
        <w:contextualSpacing w:val="1"/>
      </w:pPr>
    </w:p>
    <w:p w14:paraId="1A130000">
      <w:pPr>
        <w:pStyle w:val="Style_21"/>
        <w:widowControl w:val="1"/>
        <w:spacing w:after="120" w:before="120"/>
        <w:ind w:firstLine="709"/>
        <w:contextualSpacing w:val="1"/>
      </w:pPr>
    </w:p>
    <w:p w14:paraId="1B130000">
      <w:pPr>
        <w:pStyle w:val="Style_21"/>
        <w:widowControl w:val="1"/>
        <w:spacing w:after="120" w:before="120"/>
        <w:ind w:firstLine="709"/>
        <w:contextualSpacing w:val="1"/>
      </w:pPr>
    </w:p>
    <w:p w14:paraId="1C130000">
      <w:pPr>
        <w:pStyle w:val="Style_21"/>
        <w:widowControl w:val="1"/>
        <w:spacing w:after="120" w:before="120"/>
        <w:ind w:firstLine="709"/>
        <w:contextualSpacing w:val="1"/>
      </w:pPr>
    </w:p>
    <w:p w14:paraId="1D130000">
      <w:pPr>
        <w:pStyle w:val="Style_21"/>
        <w:widowControl w:val="1"/>
        <w:spacing w:after="120" w:before="120"/>
        <w:ind w:firstLine="709"/>
        <w:contextualSpacing w:val="1"/>
      </w:pPr>
    </w:p>
    <w:p w14:paraId="1E130000">
      <w:pPr>
        <w:pStyle w:val="Style_21"/>
        <w:widowControl w:val="1"/>
        <w:spacing w:after="120" w:before="120"/>
        <w:ind w:firstLine="709"/>
        <w:contextualSpacing w:val="1"/>
      </w:pPr>
    </w:p>
    <w:p w14:paraId="1F130000">
      <w:pPr>
        <w:sectPr>
          <w:headerReference r:id="rId11" w:type="default"/>
          <w:footerReference r:id="rId12" w:type="default"/>
          <w:footerReference r:id="rId4" w:type="even"/>
          <w:pgSz w:h="16840" w:orient="portrait" w:w="11907"/>
          <w:pgMar w:bottom="539" w:footer="567" w:gutter="0" w:header="720" w:left="1418" w:right="850" w:top="720"/>
          <w:titlePg/>
        </w:sectPr>
      </w:pPr>
    </w:p>
    <w:p w14:paraId="20130000">
      <w:bookmarkStart w:id="45" w:name="__RefHeading___38"/>
      <w:bookmarkEnd w:id="45"/>
      <w:pPr>
        <w:pStyle w:val="Style_7"/>
        <w:pageBreakBefore w:val="1"/>
        <w:widowControl w:val="1"/>
        <w:spacing w:line="360" w:lineRule="auto"/>
        <w:ind w:firstLine="709"/>
        <w:contextualSpacing w:val="1"/>
        <w:jc w:val="both"/>
        <w:rPr>
          <w:b w:val="1"/>
          <w:color w:val="000000"/>
          <w:sz w:val="24"/>
        </w:rPr>
      </w:pPr>
      <w:r>
        <w:rPr>
          <w:b w:val="1"/>
          <w:color w:val="000000"/>
          <w:sz w:val="24"/>
        </w:rPr>
        <w:t>Приложения</w:t>
      </w:r>
    </w:p>
    <w:p w14:paraId="21130000">
      <w:bookmarkStart w:id="46" w:name="__RefHeading___39"/>
      <w:bookmarkEnd w:id="46"/>
      <w:pPr>
        <w:pStyle w:val="Style_10"/>
        <w:widowControl w:val="1"/>
        <w:spacing w:after="0" w:before="0" w:line="360" w:lineRule="auto"/>
        <w:ind w:firstLine="709"/>
        <w:contextualSpacing w:val="1"/>
        <w:jc w:val="both"/>
        <w:rPr>
          <w:rFonts w:ascii="Times New Roman" w:hAnsi="Times New Roman"/>
          <w:i w:val="0"/>
          <w:sz w:val="24"/>
        </w:rPr>
      </w:pPr>
      <w:r>
        <w:rPr>
          <w:rFonts w:ascii="Times New Roman" w:hAnsi="Times New Roman"/>
          <w:i w:val="0"/>
          <w:sz w:val="24"/>
        </w:rPr>
        <w:t xml:space="preserve">Приложение 1. </w:t>
      </w:r>
      <w:r>
        <w:rPr>
          <w:rFonts w:ascii="Times New Roman" w:hAnsi="Times New Roman"/>
          <w:i w:val="0"/>
          <w:sz w:val="24"/>
        </w:rPr>
        <w:t>Отчет о решении Совета директоров Общества за 201</w:t>
      </w:r>
      <w:r>
        <w:rPr>
          <w:rFonts w:ascii="Times New Roman" w:hAnsi="Times New Roman"/>
          <w:i w:val="0"/>
          <w:sz w:val="24"/>
        </w:rPr>
        <w:t>8</w:t>
      </w:r>
      <w:r>
        <w:rPr>
          <w:rFonts w:ascii="Times New Roman" w:hAnsi="Times New Roman"/>
          <w:i w:val="0"/>
          <w:sz w:val="24"/>
        </w:rPr>
        <w:t xml:space="preserve"> </w:t>
      </w:r>
      <w:r>
        <w:rPr>
          <w:rFonts w:ascii="Times New Roman" w:hAnsi="Times New Roman"/>
          <w:i w:val="0"/>
          <w:sz w:val="24"/>
        </w:rPr>
        <w:t>г.</w:t>
      </w:r>
    </w:p>
    <w:p w14:paraId="22130000">
      <w:pPr>
        <w:widowControl w:val="1"/>
        <w:ind w:firstLine="709"/>
        <w:contextualSpacing w:val="1"/>
      </w:pPr>
    </w:p>
    <w:tbl>
      <w:tblPr>
        <w:tblStyle w:val="Style_4"/>
        <w:tblpPr w:bottomFromText="0" w:horzAnchor="margin" w:leftFromText="180" w:rightFromText="180" w:tblpXSpec="left" w:tblpY="35" w:topFromText="0" w:vertAnchor="text"/>
        <w:tblW w:type="auto" w:w="0"/>
        <w:tblLayout w:type="fixed"/>
        <w:tblCellMar>
          <w:left w:type="dxa" w:w="0"/>
          <w:right w:type="dxa" w:w="0"/>
        </w:tblCellMar>
      </w:tblPr>
      <w:tblGrid>
        <w:gridCol w:w="442"/>
        <w:gridCol w:w="2043"/>
        <w:gridCol w:w="5404"/>
        <w:gridCol w:w="1605"/>
      </w:tblGrid>
      <w:tr>
        <w:trPr>
          <w:trHeight w:hRule="atLeast" w:val="435"/>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23130000">
            <w:pPr>
              <w:widowControl w:val="1"/>
              <w:ind w:firstLine="709" w:left="-758"/>
              <w:contextualSpacing w:val="1"/>
              <w:jc w:val="center"/>
              <w:rPr>
                <w:sz w:val="22"/>
              </w:rPr>
            </w:pPr>
            <w:r>
              <w:rPr>
                <w:sz w:val="22"/>
              </w:rPr>
              <w:t>№ п/п</w:t>
            </w:r>
          </w:p>
        </w:tc>
        <w:tc>
          <w:tcPr>
            <w:tcW w:type="dxa" w:w="2043"/>
            <w:tcBorders>
              <w:top w:color="000000" w:sz="4" w:val="single"/>
              <w:left w:color="000000" w:sz="4" w:val="single"/>
              <w:bottom w:color="000000" w:sz="4" w:val="single"/>
              <w:right w:color="000000" w:sz="4" w:val="single"/>
            </w:tcBorders>
            <w:tcMar>
              <w:left w:type="dxa" w:w="0"/>
              <w:right w:type="dxa" w:w="0"/>
            </w:tcMar>
            <w:vAlign w:val="center"/>
          </w:tcPr>
          <w:p w14:paraId="24130000">
            <w:pPr>
              <w:widowControl w:val="1"/>
              <w:tabs>
                <w:tab w:leader="none" w:pos="284" w:val="left"/>
              </w:tabs>
              <w:ind w:right="64"/>
              <w:contextualSpacing w:val="1"/>
              <w:jc w:val="center"/>
              <w:rPr>
                <w:sz w:val="22"/>
              </w:rPr>
            </w:pPr>
            <w:r>
              <w:rPr>
                <w:b w:val="1"/>
                <w:sz w:val="22"/>
              </w:rPr>
              <w:t>Повестка дня</w:t>
            </w:r>
          </w:p>
        </w:tc>
        <w:tc>
          <w:tcPr>
            <w:tcW w:type="dxa" w:w="5404"/>
            <w:tcBorders>
              <w:top w:color="000000" w:sz="4" w:val="single"/>
              <w:left w:sz="4" w:val="nil"/>
              <w:bottom w:color="000000" w:sz="4" w:val="single"/>
              <w:right w:color="000000" w:sz="4" w:val="single"/>
            </w:tcBorders>
            <w:tcMar>
              <w:left w:type="dxa" w:w="0"/>
              <w:right w:type="dxa" w:w="0"/>
            </w:tcMar>
            <w:vAlign w:val="center"/>
          </w:tcPr>
          <w:p w14:paraId="25130000">
            <w:pPr>
              <w:widowControl w:val="1"/>
              <w:ind w:right="64"/>
              <w:contextualSpacing w:val="1"/>
              <w:jc w:val="center"/>
              <w:rPr>
                <w:color w:val="000000"/>
                <w:sz w:val="22"/>
              </w:rPr>
            </w:pPr>
            <w:r>
              <w:rPr>
                <w:b w:val="1"/>
                <w:sz w:val="22"/>
              </w:rPr>
              <w:t>Решение</w:t>
            </w:r>
          </w:p>
        </w:tc>
        <w:tc>
          <w:tcPr>
            <w:tcW w:type="dxa" w:w="1605"/>
            <w:tcBorders>
              <w:top w:color="000000" w:sz="4" w:val="single"/>
              <w:left w:sz="4" w:val="nil"/>
              <w:bottom w:color="000000" w:sz="4" w:val="single"/>
              <w:right w:color="000000" w:sz="4" w:val="single"/>
            </w:tcBorders>
            <w:tcMar>
              <w:left w:type="dxa" w:w="0"/>
              <w:right w:type="dxa" w:w="0"/>
            </w:tcMar>
            <w:vAlign w:val="center"/>
          </w:tcPr>
          <w:p w14:paraId="26130000">
            <w:pPr>
              <w:widowControl w:val="1"/>
              <w:ind w:right="64"/>
              <w:contextualSpacing w:val="1"/>
              <w:jc w:val="center"/>
              <w:rPr>
                <w:b w:val="1"/>
                <w:i w:val="1"/>
                <w:sz w:val="22"/>
              </w:rPr>
            </w:pPr>
            <w:r>
              <w:rPr>
                <w:b w:val="1"/>
                <w:sz w:val="22"/>
              </w:rPr>
              <w:t>Отметка об исполнении</w:t>
            </w:r>
          </w:p>
        </w:tc>
      </w:tr>
      <w:tr>
        <w:trPr>
          <w:trHeight w:hRule="atLeast" w:val="435"/>
        </w:trPr>
        <w:tc>
          <w:tcPr>
            <w:tcW w:type="dxa" w:w="9494"/>
            <w:gridSpan w:val="4"/>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27130000">
            <w:pPr>
              <w:widowControl w:val="1"/>
              <w:ind w:left="-758" w:right="64"/>
              <w:contextualSpacing w:val="1"/>
              <w:jc w:val="center"/>
              <w:rPr>
                <w:b w:val="1"/>
                <w:i w:val="1"/>
                <w:sz w:val="22"/>
              </w:rPr>
            </w:pPr>
            <w:r>
              <w:rPr>
                <w:b w:val="1"/>
                <w:sz w:val="22"/>
              </w:rPr>
              <w:t>Отчет о выполнении решений Совета директоров</w:t>
            </w:r>
          </w:p>
        </w:tc>
      </w:tr>
      <w:tr>
        <w:trPr>
          <w:trHeight w:hRule="atLeast" w:val="435"/>
        </w:trPr>
        <w:tc>
          <w:tcPr>
            <w:tcW w:type="dxa" w:w="9494"/>
            <w:gridSpan w:val="4"/>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28130000">
            <w:pPr>
              <w:widowControl w:val="1"/>
              <w:ind w:left="-758" w:right="64"/>
              <w:contextualSpacing w:val="1"/>
              <w:jc w:val="center"/>
              <w:rPr>
                <w:b w:val="1"/>
                <w:sz w:val="22"/>
              </w:rPr>
            </w:pPr>
            <w:r>
              <w:rPr>
                <w:b w:val="1"/>
                <w:sz w:val="22"/>
              </w:rPr>
              <w:t>Совет директоров</w:t>
            </w:r>
          </w:p>
          <w:p w14:paraId="29130000">
            <w:pPr>
              <w:widowControl w:val="1"/>
              <w:ind w:left="-758" w:right="64"/>
              <w:contextualSpacing w:val="1"/>
              <w:jc w:val="center"/>
              <w:rPr>
                <w:b w:val="1"/>
                <w:sz w:val="22"/>
              </w:rPr>
            </w:pPr>
            <w:r>
              <w:rPr>
                <w:b w:val="1"/>
                <w:sz w:val="22"/>
              </w:rPr>
              <w:t>«12» февраля 2018 г.</w:t>
            </w:r>
          </w:p>
          <w:p w14:paraId="2A130000">
            <w:pPr>
              <w:widowControl w:val="1"/>
              <w:ind w:left="-758" w:right="64"/>
              <w:contextualSpacing w:val="1"/>
              <w:jc w:val="center"/>
              <w:rPr>
                <w:b w:val="1"/>
                <w:i w:val="1"/>
                <w:sz w:val="22"/>
              </w:rPr>
            </w:pPr>
            <w:r>
              <w:rPr>
                <w:b w:val="1"/>
                <w:sz w:val="22"/>
              </w:rPr>
              <w:t>ПРОТОКОЛ  № 8</w:t>
            </w:r>
          </w:p>
        </w:tc>
      </w:tr>
      <w:tr>
        <w:trPr>
          <w:trHeight w:hRule="atLeast" w:val="435"/>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2B130000">
            <w:pPr>
              <w:widowControl w:val="1"/>
              <w:ind w:firstLine="709" w:left="-758"/>
              <w:contextualSpacing w:val="1"/>
              <w:jc w:val="center"/>
              <w:rPr>
                <w:sz w:val="22"/>
              </w:rPr>
            </w:pPr>
            <w:r>
              <w:rPr>
                <w:sz w:val="22"/>
              </w:rPr>
              <w:t>1</w:t>
            </w:r>
          </w:p>
        </w:tc>
        <w:tc>
          <w:tcPr>
            <w:tcW w:type="dxa" w:w="2043"/>
            <w:tcBorders>
              <w:top w:color="000000" w:sz="4" w:val="single"/>
              <w:left w:color="000000" w:sz="4" w:val="single"/>
              <w:bottom w:color="000000" w:sz="4" w:val="single"/>
              <w:right w:color="000000" w:sz="4" w:val="single"/>
            </w:tcBorders>
            <w:tcMar>
              <w:left w:type="dxa" w:w="0"/>
              <w:right w:type="dxa" w:w="0"/>
            </w:tcMar>
          </w:tcPr>
          <w:p w14:paraId="2C130000">
            <w:pPr>
              <w:widowControl w:val="1"/>
              <w:tabs>
                <w:tab w:leader="none" w:pos="284" w:val="left"/>
              </w:tabs>
              <w:ind w:right="64"/>
              <w:contextualSpacing w:val="1"/>
              <w:rPr>
                <w:sz w:val="22"/>
              </w:rPr>
            </w:pPr>
            <w:r>
              <w:rPr>
                <w:sz w:val="22"/>
              </w:rPr>
              <w:t>Об утверждении программы информатизации АО "Краспригород" на 2018 год.</w:t>
            </w:r>
          </w:p>
        </w:tc>
        <w:tc>
          <w:tcPr>
            <w:tcW w:type="dxa" w:w="5404"/>
            <w:tcBorders>
              <w:top w:color="000000" w:sz="4" w:val="single"/>
              <w:left w:sz="4" w:val="nil"/>
              <w:bottom w:color="000000" w:sz="4" w:val="single"/>
              <w:right w:color="000000" w:sz="4" w:val="single"/>
            </w:tcBorders>
            <w:tcMar>
              <w:left w:type="dxa" w:w="0"/>
              <w:right w:type="dxa" w:w="0"/>
            </w:tcMar>
          </w:tcPr>
          <w:p w14:paraId="2D130000">
            <w:pPr>
              <w:widowControl w:val="1"/>
              <w:tabs>
                <w:tab w:leader="none" w:pos="3210" w:val="left"/>
              </w:tabs>
              <w:ind w:right="64"/>
              <w:contextualSpacing w:val="1"/>
              <w:rPr>
                <w:sz w:val="22"/>
              </w:rPr>
            </w:pPr>
            <w:r>
              <w:rPr>
                <w:color w:val="000000"/>
                <w:sz w:val="22"/>
              </w:rPr>
              <w:t xml:space="preserve">1.1. </w:t>
            </w:r>
            <w:r>
              <w:rPr>
                <w:sz w:val="22"/>
              </w:rPr>
              <w:t>Утвердить программу информатизации АО "Краспригород" на 2018 год, согласно Приложению №1</w:t>
            </w:r>
            <w:r>
              <w:rPr>
                <w:color w:val="000000"/>
                <w:sz w:val="22"/>
              </w:rPr>
              <w:t xml:space="preserve"> к протоколу заседания Совета директоров</w:t>
            </w:r>
            <w:r>
              <w:rPr>
                <w:sz w:val="22"/>
              </w:rPr>
              <w:t>.</w:t>
            </w:r>
          </w:p>
          <w:p w14:paraId="2E130000">
            <w:pPr>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2F130000">
            <w:pPr>
              <w:widowControl w:val="1"/>
              <w:ind w:right="64"/>
              <w:contextualSpacing w:val="1"/>
              <w:rPr>
                <w:b w:val="1"/>
                <w:i w:val="1"/>
                <w:sz w:val="22"/>
              </w:rPr>
            </w:pPr>
            <w:r>
              <w:rPr>
                <w:b w:val="1"/>
                <w:i w:val="1"/>
                <w:sz w:val="22"/>
              </w:rPr>
              <w:t>Выполнено в полном объеме</w:t>
            </w:r>
          </w:p>
          <w:p w14:paraId="30130000">
            <w:pPr>
              <w:widowControl w:val="1"/>
              <w:ind w:right="64"/>
              <w:contextualSpacing w:val="1"/>
              <w:rPr>
                <w:b w:val="1"/>
                <w:i w:val="1"/>
                <w:sz w:val="22"/>
              </w:rPr>
            </w:pPr>
          </w:p>
          <w:p w14:paraId="31130000">
            <w:pPr>
              <w:widowControl w:val="1"/>
              <w:ind w:right="64"/>
              <w:contextualSpacing w:val="1"/>
              <w:rPr>
                <w:b w:val="1"/>
                <w:i w:val="1"/>
                <w:sz w:val="22"/>
              </w:rPr>
            </w:pPr>
          </w:p>
          <w:p w14:paraId="32130000">
            <w:pPr>
              <w:widowControl w:val="1"/>
              <w:ind w:right="64"/>
              <w:contextualSpacing w:val="1"/>
              <w:rPr>
                <w:b w:val="1"/>
                <w:i w:val="1"/>
                <w:sz w:val="22"/>
              </w:rPr>
            </w:pPr>
          </w:p>
        </w:tc>
      </w:tr>
      <w:tr>
        <w:trPr>
          <w:trHeight w:hRule="atLeast" w:val="78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33130000">
            <w:pPr>
              <w:widowControl w:val="1"/>
              <w:ind w:firstLine="709" w:left="-758"/>
              <w:contextualSpacing w:val="1"/>
              <w:jc w:val="center"/>
              <w:rPr>
                <w:sz w:val="22"/>
              </w:rPr>
            </w:pPr>
            <w:r>
              <w:rPr>
                <w:sz w:val="22"/>
              </w:rPr>
              <w:t>2</w:t>
            </w:r>
          </w:p>
        </w:tc>
        <w:tc>
          <w:tcPr>
            <w:tcW w:type="dxa" w:w="2043"/>
            <w:tcBorders>
              <w:top w:color="000000" w:sz="4" w:val="single"/>
              <w:left w:color="000000" w:sz="4" w:val="single"/>
              <w:bottom w:color="000000" w:sz="4" w:val="single"/>
              <w:right w:color="000000" w:sz="4" w:val="single"/>
            </w:tcBorders>
            <w:tcMar>
              <w:left w:type="dxa" w:w="0"/>
              <w:right w:type="dxa" w:w="0"/>
            </w:tcMar>
          </w:tcPr>
          <w:p w14:paraId="34130000">
            <w:pPr>
              <w:widowControl w:val="1"/>
              <w:ind w:right="64"/>
              <w:contextualSpacing w:val="1"/>
              <w:rPr>
                <w:sz w:val="22"/>
              </w:rPr>
            </w:pPr>
            <w:r>
              <w:rPr>
                <w:color w:val="000000"/>
                <w:sz w:val="22"/>
              </w:rPr>
              <w:t>О рассмотрении отчета генерального директора Общества об итогах закупочной деятельности за 2017г.</w:t>
            </w:r>
          </w:p>
        </w:tc>
        <w:tc>
          <w:tcPr>
            <w:tcW w:type="dxa" w:w="5404"/>
            <w:tcBorders>
              <w:top w:color="000000" w:sz="4" w:val="single"/>
              <w:left w:sz="4" w:val="nil"/>
              <w:bottom w:color="000000" w:sz="4" w:val="single"/>
              <w:right w:color="000000" w:sz="4" w:val="single"/>
            </w:tcBorders>
            <w:tcMar>
              <w:left w:type="dxa" w:w="0"/>
              <w:right w:type="dxa" w:w="0"/>
            </w:tcMar>
          </w:tcPr>
          <w:p w14:paraId="35130000">
            <w:pPr>
              <w:widowControl w:val="1"/>
              <w:tabs>
                <w:tab w:leader="none" w:pos="142" w:val="left"/>
                <w:tab w:leader="none" w:pos="284" w:val="left"/>
              </w:tabs>
              <w:ind w:right="64"/>
              <w:contextualSpacing w:val="1"/>
              <w:rPr>
                <w:color w:val="000000"/>
                <w:sz w:val="22"/>
              </w:rPr>
            </w:pPr>
            <w:r>
              <w:rPr>
                <w:sz w:val="22"/>
              </w:rPr>
              <w:t xml:space="preserve">2.1. </w:t>
            </w:r>
            <w:r>
              <w:rPr>
                <w:color w:val="000000"/>
                <w:sz w:val="22"/>
              </w:rPr>
              <w:t>Принять к сведению отчет</w:t>
            </w:r>
            <w:r>
              <w:rPr>
                <w:b w:val="1"/>
                <w:color w:val="000000"/>
                <w:sz w:val="22"/>
              </w:rPr>
              <w:t xml:space="preserve"> </w:t>
            </w:r>
            <w:r>
              <w:rPr>
                <w:color w:val="000000"/>
                <w:sz w:val="22"/>
              </w:rPr>
              <w:t>генерального директора Общества об итогах закупочной деятельности за 2017г. (Приложение №2 к протоколу заседания Совета директоров).</w:t>
            </w:r>
          </w:p>
          <w:p w14:paraId="36130000">
            <w:pPr>
              <w:pStyle w:val="Style_11"/>
              <w:widowControl w:val="1"/>
              <w:spacing w:after="0"/>
              <w:ind w:left="0" w:right="64"/>
              <w:contextualSpacing w:val="1"/>
              <w:rPr>
                <w:b w:val="1"/>
                <w:sz w:val="22"/>
                <w:u w:val="single"/>
              </w:rPr>
            </w:pPr>
            <w:r>
              <w:rPr>
                <w:b w:val="1"/>
                <w:sz w:val="22"/>
              </w:rPr>
              <w:t>Члены Совета директоров, присутствующие на заседании, единогласно постановили дать генеральному директору АО "Краспригород" следующее поручение:</w:t>
            </w:r>
          </w:p>
          <w:p w14:paraId="37130000">
            <w:pPr>
              <w:pStyle w:val="Style_11"/>
              <w:widowControl w:val="1"/>
              <w:spacing w:after="0"/>
              <w:ind w:left="0" w:right="64"/>
              <w:contextualSpacing w:val="1"/>
              <w:rPr>
                <w:b w:val="1"/>
                <w:sz w:val="22"/>
                <w:u w:val="single"/>
              </w:rPr>
            </w:pPr>
            <w:r>
              <w:rPr>
                <w:sz w:val="22"/>
              </w:rPr>
              <w:t>В целях выявления наиболее эффективного способа закупки, с точки зрения ее результативности, обеспечения конкуренции и экономии бюджетных средств, достигаемой в результате ее проведения, поручить генеральному директору АО "Краспригород" провести анализ применения конкурентных процедур в 2017г. При необходимости, доработать реестр закупок товаров (работ, услуг) на 2018г. с учетом проведенного анализа.</w:t>
            </w:r>
          </w:p>
          <w:p w14:paraId="38130000">
            <w:pPr>
              <w:pStyle w:val="Style_11"/>
              <w:widowControl w:val="0"/>
              <w:spacing w:after="0"/>
              <w:ind w:left="0"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39130000">
            <w:pPr>
              <w:widowControl w:val="1"/>
              <w:ind w:right="64"/>
              <w:contextualSpacing w:val="1"/>
              <w:rPr>
                <w:b w:val="1"/>
                <w:i w:val="1"/>
                <w:sz w:val="22"/>
              </w:rPr>
            </w:pPr>
            <w:r>
              <w:rPr>
                <w:b w:val="1"/>
                <w:i w:val="1"/>
                <w:sz w:val="22"/>
              </w:rPr>
              <w:t>Выполнено в полном объеме</w:t>
            </w:r>
          </w:p>
          <w:p w14:paraId="3A130000">
            <w:pPr>
              <w:widowControl w:val="1"/>
              <w:ind w:right="64"/>
              <w:contextualSpacing w:val="1"/>
              <w:rPr>
                <w:sz w:val="22"/>
              </w:rPr>
            </w:pPr>
          </w:p>
          <w:p w14:paraId="3B130000">
            <w:pPr>
              <w:widowControl w:val="1"/>
              <w:ind w:right="64"/>
              <w:contextualSpacing w:val="1"/>
              <w:rPr>
                <w:sz w:val="22"/>
              </w:rPr>
            </w:pPr>
          </w:p>
          <w:p w14:paraId="3C130000">
            <w:pPr>
              <w:widowControl w:val="1"/>
              <w:ind w:right="64"/>
              <w:contextualSpacing w:val="1"/>
              <w:rPr>
                <w:sz w:val="22"/>
              </w:rPr>
            </w:pPr>
            <w:r>
              <w:rPr>
                <w:b w:val="1"/>
                <w:i w:val="1"/>
                <w:sz w:val="22"/>
              </w:rPr>
              <w:t>Выполнено в полном объеме</w:t>
            </w:r>
          </w:p>
        </w:tc>
      </w:tr>
      <w:tr>
        <w:trPr>
          <w:trHeight w:hRule="atLeast" w:val="21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3D130000">
            <w:pPr>
              <w:widowControl w:val="1"/>
              <w:ind w:firstLine="709" w:left="-758"/>
              <w:contextualSpacing w:val="1"/>
              <w:jc w:val="center"/>
              <w:rPr>
                <w:sz w:val="22"/>
              </w:rPr>
            </w:pPr>
            <w:r>
              <w:rPr>
                <w:sz w:val="22"/>
              </w:rPr>
              <w:t>3</w:t>
            </w:r>
          </w:p>
        </w:tc>
        <w:tc>
          <w:tcPr>
            <w:tcW w:type="dxa" w:w="2043"/>
            <w:tcBorders>
              <w:top w:color="000000" w:sz="4" w:val="single"/>
              <w:left w:color="000000" w:sz="4" w:val="single"/>
              <w:bottom w:color="000000" w:sz="4" w:val="single"/>
              <w:right w:color="000000" w:sz="4" w:val="single"/>
            </w:tcBorders>
            <w:tcMar>
              <w:left w:type="dxa" w:w="0"/>
              <w:right w:type="dxa" w:w="0"/>
            </w:tcMar>
          </w:tcPr>
          <w:p w14:paraId="3E130000">
            <w:pPr>
              <w:widowControl w:val="1"/>
              <w:ind w:right="64"/>
              <w:contextualSpacing w:val="1"/>
              <w:rPr>
                <w:sz w:val="22"/>
              </w:rPr>
            </w:pPr>
            <w:r>
              <w:rPr>
                <w:sz w:val="22"/>
              </w:rPr>
              <w:t>О рассмотрении отчета о ходе реализации Плана мероприятий по внедрению ключевых положений Кодекса корпоративного управления в АО "Краспригород"</w:t>
            </w:r>
          </w:p>
        </w:tc>
        <w:tc>
          <w:tcPr>
            <w:tcW w:type="dxa" w:w="5404"/>
            <w:tcBorders>
              <w:top w:color="000000" w:sz="4" w:val="single"/>
              <w:left w:sz="4" w:val="nil"/>
              <w:bottom w:color="000000" w:sz="4" w:val="single"/>
              <w:right w:color="000000" w:sz="4" w:val="single"/>
            </w:tcBorders>
            <w:tcMar>
              <w:left w:type="dxa" w:w="0"/>
              <w:right w:type="dxa" w:w="0"/>
            </w:tcMar>
          </w:tcPr>
          <w:p w14:paraId="3F130000">
            <w:pPr>
              <w:widowControl w:val="1"/>
              <w:ind w:right="64"/>
              <w:contextualSpacing w:val="1"/>
              <w:rPr>
                <w:color w:val="000000"/>
                <w:sz w:val="22"/>
              </w:rPr>
            </w:pPr>
            <w:r>
              <w:rPr>
                <w:sz w:val="22"/>
              </w:rPr>
              <w:t xml:space="preserve">3.1. </w:t>
            </w:r>
            <w:r>
              <w:rPr>
                <w:sz w:val="22"/>
              </w:rPr>
              <w:t>Принять к сведению отчет о ходе реализации Плана мероприятий по внедрению ключевых положений Кодекса корпоративного управления в АО "Краспригород". (Приложение №3</w:t>
            </w:r>
            <w:r>
              <w:rPr>
                <w:color w:val="000000"/>
                <w:sz w:val="22"/>
              </w:rPr>
              <w:t xml:space="preserve"> к протоколу заседания Совета директоров).</w:t>
            </w:r>
          </w:p>
          <w:p w14:paraId="40130000">
            <w:pPr>
              <w:widowControl w:val="1"/>
              <w:ind w:right="64"/>
              <w:contextualSpacing w:val="1"/>
              <w:rPr>
                <w:color w:val="000000"/>
                <w:sz w:val="22"/>
              </w:rPr>
            </w:pPr>
          </w:p>
        </w:tc>
        <w:tc>
          <w:tcPr>
            <w:tcW w:type="dxa" w:w="1605"/>
            <w:tcBorders>
              <w:top w:color="000000" w:sz="4" w:val="single"/>
              <w:left w:sz="4" w:val="nil"/>
              <w:bottom w:color="000000" w:sz="4" w:val="single"/>
              <w:right w:color="000000" w:sz="4" w:val="single"/>
            </w:tcBorders>
            <w:tcMar>
              <w:left w:type="dxa" w:w="0"/>
              <w:right w:type="dxa" w:w="0"/>
            </w:tcMar>
          </w:tcPr>
          <w:p w14:paraId="41130000">
            <w:pPr>
              <w:widowControl w:val="1"/>
              <w:ind w:right="64"/>
              <w:contextualSpacing w:val="1"/>
              <w:rPr>
                <w:b w:val="1"/>
                <w:i w:val="1"/>
                <w:sz w:val="22"/>
              </w:rPr>
            </w:pPr>
            <w:r>
              <w:rPr>
                <w:b w:val="1"/>
                <w:i w:val="1"/>
                <w:sz w:val="22"/>
              </w:rPr>
              <w:t>Выполнено в полном объеме</w:t>
            </w:r>
          </w:p>
          <w:p w14:paraId="42130000">
            <w:pPr>
              <w:widowControl w:val="1"/>
              <w:ind w:right="64"/>
              <w:contextualSpacing w:val="1"/>
              <w:rPr>
                <w:b w:val="1"/>
                <w:i w:val="1"/>
                <w:sz w:val="22"/>
              </w:rPr>
            </w:pPr>
          </w:p>
          <w:p w14:paraId="43130000">
            <w:pPr>
              <w:widowControl w:val="1"/>
              <w:ind w:right="64"/>
              <w:contextualSpacing w:val="1"/>
              <w:rPr>
                <w:b w:val="1"/>
                <w:i w:val="1"/>
                <w:sz w:val="22"/>
              </w:rPr>
            </w:pPr>
          </w:p>
          <w:p w14:paraId="44130000">
            <w:pPr>
              <w:widowControl w:val="1"/>
              <w:ind w:right="64"/>
              <w:contextualSpacing w:val="1"/>
              <w:rPr>
                <w:b w:val="1"/>
                <w:i w:val="1"/>
                <w:sz w:val="22"/>
              </w:rPr>
            </w:pPr>
          </w:p>
          <w:p w14:paraId="45130000">
            <w:pPr>
              <w:widowControl w:val="1"/>
              <w:ind w:right="64"/>
              <w:contextualSpacing w:val="1"/>
              <w:rPr>
                <w:b w:val="1"/>
                <w:i w:val="1"/>
                <w:sz w:val="22"/>
              </w:rPr>
            </w:pPr>
          </w:p>
          <w:p w14:paraId="46130000">
            <w:pPr>
              <w:widowControl w:val="1"/>
              <w:ind w:right="64"/>
              <w:contextualSpacing w:val="1"/>
              <w:rPr>
                <w:b w:val="1"/>
                <w:i w:val="1"/>
                <w:sz w:val="22"/>
              </w:rPr>
            </w:pPr>
          </w:p>
        </w:tc>
      </w:tr>
      <w:tr>
        <w:trPr>
          <w:trHeight w:hRule="atLeast" w:val="300"/>
        </w:trPr>
        <w:tc>
          <w:tcPr>
            <w:tcW w:type="dxa" w:w="9494"/>
            <w:gridSpan w:val="4"/>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47130000">
            <w:pPr>
              <w:widowControl w:val="1"/>
              <w:ind w:left="-758" w:right="64"/>
              <w:contextualSpacing w:val="1"/>
              <w:jc w:val="center"/>
              <w:rPr>
                <w:b w:val="1"/>
                <w:sz w:val="22"/>
              </w:rPr>
            </w:pPr>
            <w:r>
              <w:rPr>
                <w:b w:val="1"/>
                <w:sz w:val="22"/>
              </w:rPr>
              <w:t>Совет директоров</w:t>
            </w:r>
          </w:p>
          <w:p w14:paraId="48130000">
            <w:pPr>
              <w:widowControl w:val="1"/>
              <w:ind w:left="-758" w:right="64"/>
              <w:contextualSpacing w:val="1"/>
              <w:jc w:val="center"/>
              <w:rPr>
                <w:b w:val="1"/>
                <w:sz w:val="22"/>
              </w:rPr>
            </w:pPr>
            <w:r>
              <w:rPr>
                <w:b w:val="1"/>
                <w:sz w:val="22"/>
              </w:rPr>
              <w:t>«05» марта 2018 г.</w:t>
            </w:r>
          </w:p>
          <w:p w14:paraId="49130000">
            <w:pPr>
              <w:widowControl w:val="1"/>
              <w:ind w:left="-758" w:right="64"/>
              <w:contextualSpacing w:val="1"/>
              <w:jc w:val="center"/>
              <w:rPr>
                <w:b w:val="1"/>
                <w:i w:val="1"/>
                <w:sz w:val="22"/>
              </w:rPr>
            </w:pPr>
            <w:r>
              <w:rPr>
                <w:b w:val="1"/>
                <w:sz w:val="22"/>
              </w:rPr>
              <w:t>ПРОТОКОЛ  № 9</w:t>
            </w:r>
          </w:p>
        </w:tc>
      </w:tr>
      <w:tr>
        <w:trPr>
          <w:trHeight w:hRule="atLeast" w:val="33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4A130000">
            <w:pPr>
              <w:widowControl w:val="1"/>
              <w:ind w:firstLine="709" w:left="-758"/>
              <w:contextualSpacing w:val="1"/>
              <w:jc w:val="center"/>
              <w:rPr>
                <w:sz w:val="22"/>
              </w:rPr>
            </w:pPr>
            <w:r>
              <w:rPr>
                <w:sz w:val="22"/>
              </w:rPr>
              <w:t>1</w:t>
            </w:r>
          </w:p>
        </w:tc>
        <w:tc>
          <w:tcPr>
            <w:tcW w:type="dxa" w:w="2043"/>
            <w:tcBorders>
              <w:top w:color="000000" w:sz="4" w:val="single"/>
              <w:left w:color="000000" w:sz="4" w:val="single"/>
              <w:bottom w:color="000000" w:sz="4" w:val="single"/>
              <w:right w:color="000000" w:sz="4" w:val="single"/>
            </w:tcBorders>
            <w:tcMar>
              <w:left w:type="dxa" w:w="0"/>
              <w:right w:type="dxa" w:w="0"/>
            </w:tcMar>
          </w:tcPr>
          <w:p w14:paraId="4B130000">
            <w:pPr>
              <w:widowControl w:val="1"/>
              <w:ind w:right="64"/>
              <w:contextualSpacing w:val="1"/>
              <w:rPr>
                <w:sz w:val="22"/>
              </w:rPr>
            </w:pPr>
            <w:r>
              <w:rPr>
                <w:sz w:val="22"/>
              </w:rPr>
              <w:t>О включении предложений акционеров в повестку дня годового общего собрания акционеров.</w:t>
            </w:r>
          </w:p>
        </w:tc>
        <w:tc>
          <w:tcPr>
            <w:tcW w:type="dxa" w:w="5404"/>
            <w:tcBorders>
              <w:top w:color="000000" w:sz="4" w:val="single"/>
              <w:left w:sz="4" w:val="nil"/>
              <w:bottom w:color="000000" w:sz="4" w:val="single"/>
              <w:right w:color="000000" w:sz="4" w:val="single"/>
            </w:tcBorders>
            <w:tcMar>
              <w:left w:type="dxa" w:w="0"/>
              <w:right w:type="dxa" w:w="0"/>
            </w:tcMar>
          </w:tcPr>
          <w:p w14:paraId="4C130000">
            <w:pPr>
              <w:widowControl w:val="1"/>
              <w:numPr>
                <w:ilvl w:val="1"/>
                <w:numId w:val="39"/>
              </w:numPr>
              <w:ind w:firstLine="0" w:left="0" w:right="64"/>
              <w:contextualSpacing w:val="1"/>
              <w:rPr>
                <w:sz w:val="22"/>
              </w:rPr>
            </w:pPr>
            <w:r>
              <w:rPr>
                <w:sz w:val="22"/>
              </w:rPr>
              <w:t>Включить в повестку дня годового общего собрания акционеров следующие вопросы:</w:t>
            </w:r>
          </w:p>
          <w:p w14:paraId="4D130000">
            <w:pPr>
              <w:widowControl w:val="1"/>
              <w:ind w:right="64"/>
              <w:contextualSpacing w:val="1"/>
              <w:rPr>
                <w:sz w:val="22"/>
              </w:rPr>
            </w:pPr>
          </w:p>
          <w:tbl>
            <w:tblPr>
              <w:tblStyle w:val="Style_4"/>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1822"/>
              <w:gridCol w:w="1822"/>
              <w:gridCol w:w="2108"/>
            </w:tblGrid>
            <w:tr>
              <w:trPr>
                <w:trHeight w:hRule="atLeast" w:val="144"/>
              </w:trPr>
              <w:tc>
                <w:tcPr>
                  <w:tcW w:type="dxa" w:w="1822"/>
                  <w:tcBorders>
                    <w:top w:color="000000" w:sz="4" w:val="single"/>
                    <w:left w:color="000000" w:sz="4" w:val="single"/>
                    <w:bottom w:color="000000" w:sz="4" w:val="single"/>
                    <w:right w:color="000000" w:sz="4" w:val="single"/>
                  </w:tcBorders>
                  <w:vAlign w:val="center"/>
                </w:tcPr>
                <w:p w14:paraId="4E130000">
                  <w:pPr>
                    <w:widowControl w:val="1"/>
                    <w:ind w:right="64"/>
                    <w:contextualSpacing w:val="1"/>
                    <w:rPr>
                      <w:sz w:val="22"/>
                    </w:rPr>
                  </w:pPr>
                  <w:r>
                    <w:rPr>
                      <w:sz w:val="22"/>
                    </w:rPr>
                    <w:t>Формулировка вопроса</w:t>
                  </w:r>
                </w:p>
              </w:tc>
              <w:tc>
                <w:tcPr>
                  <w:tcW w:type="dxa" w:w="1822"/>
                  <w:tcBorders>
                    <w:top w:color="000000" w:sz="4" w:val="single"/>
                    <w:left w:color="000000" w:sz="4" w:val="single"/>
                    <w:bottom w:color="000000" w:sz="4" w:val="single"/>
                    <w:right w:color="000000" w:sz="4" w:val="single"/>
                  </w:tcBorders>
                </w:tcPr>
                <w:p w14:paraId="4F130000">
                  <w:pPr>
                    <w:widowControl w:val="1"/>
                    <w:ind w:right="64"/>
                    <w:contextualSpacing w:val="1"/>
                    <w:rPr>
                      <w:sz w:val="22"/>
                    </w:rPr>
                  </w:pPr>
                  <w:r>
                    <w:rPr>
                      <w:sz w:val="22"/>
                    </w:rPr>
                    <w:t>Наименования (ФИО) акционера, предложившего вопрос к рассмотрению на годовом общем собрании акционеров</w:t>
                  </w:r>
                </w:p>
              </w:tc>
              <w:tc>
                <w:tcPr>
                  <w:tcW w:type="dxa" w:w="2108"/>
                  <w:tcBorders>
                    <w:top w:color="000000" w:sz="4" w:val="single"/>
                    <w:left w:color="000000" w:sz="4" w:val="single"/>
                    <w:bottom w:color="000000" w:sz="4" w:val="single"/>
                    <w:right w:color="000000" w:sz="4" w:val="single"/>
                  </w:tcBorders>
                </w:tcPr>
                <w:p w14:paraId="50130000">
                  <w:pPr>
                    <w:widowControl w:val="1"/>
                    <w:ind w:right="64"/>
                    <w:contextualSpacing w:val="1"/>
                    <w:rPr>
                      <w:sz w:val="22"/>
                    </w:rPr>
                  </w:pPr>
                  <w:r>
                    <w:rPr>
                      <w:sz w:val="22"/>
                    </w:rPr>
                    <w:t>Количество голосующих акций общества, принадлежащих акционерам (акционеру), и процент от общего числа голосующих акций общества.</w:t>
                  </w:r>
                </w:p>
              </w:tc>
            </w:tr>
            <w:tr>
              <w:trPr>
                <w:trHeight w:hRule="atLeast" w:val="687"/>
              </w:trPr>
              <w:tc>
                <w:tcPr>
                  <w:tcW w:type="dxa" w:w="1822"/>
                  <w:tcBorders>
                    <w:top w:color="000000" w:sz="4" w:val="single"/>
                    <w:left w:color="000000" w:sz="4" w:val="single"/>
                    <w:bottom w:color="000000" w:sz="4" w:val="single"/>
                    <w:right w:color="000000" w:sz="4" w:val="single"/>
                  </w:tcBorders>
                </w:tcPr>
                <w:p w14:paraId="51130000">
                  <w:pPr>
                    <w:pStyle w:val="Style_1"/>
                    <w:keepNext w:val="1"/>
                    <w:keepLines w:val="1"/>
                    <w:widowControl w:val="1"/>
                    <w:tabs>
                      <w:tab w:leader="none" w:pos="7110" w:val="left"/>
                    </w:tabs>
                    <w:ind w:right="64"/>
                    <w:contextualSpacing w:val="1"/>
                    <w:rPr>
                      <w:sz w:val="22"/>
                    </w:rPr>
                  </w:pPr>
                </w:p>
                <w:p w14:paraId="52130000">
                  <w:pPr>
                    <w:pStyle w:val="Style_1"/>
                    <w:keepNext w:val="1"/>
                    <w:keepLines w:val="1"/>
                    <w:widowControl w:val="1"/>
                    <w:tabs>
                      <w:tab w:leader="none" w:pos="7110" w:val="left"/>
                    </w:tabs>
                    <w:ind w:right="64"/>
                    <w:contextualSpacing w:val="1"/>
                    <w:rPr>
                      <w:sz w:val="22"/>
                    </w:rPr>
                  </w:pPr>
                  <w:r>
                    <w:rPr>
                      <w:sz w:val="22"/>
                    </w:rPr>
                    <w:t>1. Утверждение годового отчета</w:t>
                  </w:r>
                </w:p>
              </w:tc>
              <w:tc>
                <w:tcPr>
                  <w:tcW w:type="dxa" w:w="1822"/>
                  <w:tcBorders>
                    <w:top w:color="000000" w:sz="4" w:val="single"/>
                    <w:left w:color="000000" w:sz="4" w:val="single"/>
                    <w:bottom w:color="000000" w:sz="4" w:val="single"/>
                    <w:right w:color="000000" w:sz="4" w:val="single"/>
                  </w:tcBorders>
                </w:tcPr>
                <w:p w14:paraId="53130000">
                  <w:pPr>
                    <w:widowControl w:val="1"/>
                    <w:ind w:right="64"/>
                    <w:contextualSpacing w:val="1"/>
                    <w:rPr>
                      <w:sz w:val="22"/>
                    </w:rPr>
                  </w:pPr>
                </w:p>
                <w:p w14:paraId="54130000">
                  <w:pPr>
                    <w:widowControl w:val="1"/>
                    <w:ind w:right="64"/>
                    <w:contextualSpacing w:val="1"/>
                    <w:rPr>
                      <w:sz w:val="22"/>
                    </w:rPr>
                  </w:pPr>
                  <w:r>
                    <w:rPr>
                      <w:sz w:val="22"/>
                    </w:rPr>
                    <w:t>ОАО «РЖД»</w:t>
                  </w:r>
                </w:p>
              </w:tc>
              <w:tc>
                <w:tcPr>
                  <w:tcW w:type="dxa" w:w="2108"/>
                  <w:tcBorders>
                    <w:top w:color="000000" w:sz="4" w:val="single"/>
                    <w:left w:color="000000" w:sz="4" w:val="single"/>
                    <w:bottom w:color="000000" w:sz="4" w:val="single"/>
                    <w:right w:color="000000" w:sz="4" w:val="single"/>
                  </w:tcBorders>
                </w:tcPr>
                <w:p w14:paraId="55130000">
                  <w:pPr>
                    <w:widowControl w:val="1"/>
                    <w:ind w:right="64"/>
                    <w:contextualSpacing w:val="1"/>
                    <w:rPr>
                      <w:sz w:val="22"/>
                    </w:rPr>
                  </w:pPr>
                </w:p>
                <w:p w14:paraId="56130000">
                  <w:pPr>
                    <w:widowControl w:val="1"/>
                    <w:ind w:right="64"/>
                    <w:contextualSpacing w:val="1"/>
                    <w:rPr>
                      <w:sz w:val="22"/>
                    </w:rPr>
                  </w:pPr>
                  <w:r>
                    <w:rPr>
                      <w:sz w:val="22"/>
                    </w:rPr>
                    <w:t>51%</w:t>
                  </w:r>
                </w:p>
              </w:tc>
            </w:tr>
            <w:tr>
              <w:trPr>
                <w:trHeight w:hRule="atLeast" w:val="1373"/>
              </w:trPr>
              <w:tc>
                <w:tcPr>
                  <w:tcW w:type="dxa" w:w="1822"/>
                  <w:tcBorders>
                    <w:top w:color="000000" w:sz="4" w:val="single"/>
                    <w:left w:color="000000" w:sz="4" w:val="single"/>
                    <w:bottom w:color="000000" w:sz="4" w:val="single"/>
                    <w:right w:color="000000" w:sz="4" w:val="single"/>
                  </w:tcBorders>
                </w:tcPr>
                <w:p w14:paraId="57130000">
                  <w:pPr>
                    <w:pStyle w:val="Style_1"/>
                    <w:keepNext w:val="1"/>
                    <w:keepLines w:val="1"/>
                    <w:widowControl w:val="1"/>
                    <w:tabs>
                      <w:tab w:leader="none" w:pos="7110" w:val="left"/>
                    </w:tabs>
                    <w:ind w:right="64"/>
                    <w:contextualSpacing w:val="1"/>
                    <w:rPr>
                      <w:sz w:val="22"/>
                    </w:rPr>
                  </w:pPr>
                  <w:r>
                    <w:rPr>
                      <w:sz w:val="22"/>
                    </w:rPr>
                    <w:t>2.</w:t>
                  </w:r>
                  <w:r>
                    <w:rPr>
                      <w:sz w:val="22"/>
                    </w:rPr>
                    <w:t> </w:t>
                  </w:r>
                  <w:r>
                    <w:rPr>
                      <w:sz w:val="22"/>
                    </w:rPr>
                    <w:t>Утверждение годовой бухгалтерской (финансовой)отчетности Общества</w:t>
                  </w:r>
                </w:p>
              </w:tc>
              <w:tc>
                <w:tcPr>
                  <w:tcW w:type="dxa" w:w="1822"/>
                  <w:tcBorders>
                    <w:top w:color="000000" w:sz="4" w:val="single"/>
                    <w:left w:color="000000" w:sz="4" w:val="single"/>
                    <w:bottom w:color="000000" w:sz="4" w:val="single"/>
                    <w:right w:color="000000" w:sz="4" w:val="single"/>
                  </w:tcBorders>
                </w:tcPr>
                <w:p w14:paraId="58130000">
                  <w:pPr>
                    <w:widowControl w:val="1"/>
                    <w:ind w:right="64"/>
                    <w:contextualSpacing w:val="1"/>
                    <w:rPr>
                      <w:sz w:val="22"/>
                    </w:rPr>
                  </w:pPr>
                  <w:r>
                    <w:rPr>
                      <w:sz w:val="22"/>
                    </w:rPr>
                    <w:t>ОАО «РЖД»</w:t>
                  </w:r>
                </w:p>
              </w:tc>
              <w:tc>
                <w:tcPr>
                  <w:tcW w:type="dxa" w:w="2108"/>
                  <w:tcBorders>
                    <w:top w:color="000000" w:sz="4" w:val="single"/>
                    <w:left w:color="000000" w:sz="4" w:val="single"/>
                    <w:bottom w:color="000000" w:sz="4" w:val="single"/>
                    <w:right w:color="000000" w:sz="4" w:val="single"/>
                  </w:tcBorders>
                </w:tcPr>
                <w:p w14:paraId="59130000">
                  <w:pPr>
                    <w:widowControl w:val="1"/>
                    <w:ind w:right="64"/>
                    <w:contextualSpacing w:val="1"/>
                    <w:rPr>
                      <w:sz w:val="22"/>
                    </w:rPr>
                  </w:pPr>
                  <w:r>
                    <w:rPr>
                      <w:sz w:val="22"/>
                    </w:rPr>
                    <w:t>51%</w:t>
                  </w:r>
                </w:p>
              </w:tc>
            </w:tr>
            <w:tr>
              <w:trPr>
                <w:trHeight w:hRule="atLeast" w:val="1926"/>
              </w:trPr>
              <w:tc>
                <w:tcPr>
                  <w:tcW w:type="dxa" w:w="1822"/>
                  <w:tcBorders>
                    <w:top w:color="000000" w:sz="4" w:val="single"/>
                    <w:left w:color="000000" w:sz="4" w:val="single"/>
                    <w:bottom w:color="000000" w:sz="4" w:val="single"/>
                    <w:right w:color="000000" w:sz="4" w:val="single"/>
                  </w:tcBorders>
                </w:tcPr>
                <w:p w14:paraId="5A130000">
                  <w:pPr>
                    <w:widowControl w:val="1"/>
                    <w:ind w:right="64"/>
                    <w:contextualSpacing w:val="1"/>
                    <w:rPr>
                      <w:sz w:val="22"/>
                    </w:rPr>
                  </w:pPr>
                  <w:r>
                    <w:rPr>
                      <w:sz w:val="22"/>
                    </w:rPr>
                    <w:t>3. Распределение прибыли и убытков Общества по результатам отчетного года</w:t>
                  </w:r>
                </w:p>
              </w:tc>
              <w:tc>
                <w:tcPr>
                  <w:tcW w:type="dxa" w:w="1822"/>
                  <w:tcBorders>
                    <w:top w:color="000000" w:sz="4" w:val="single"/>
                    <w:left w:color="000000" w:sz="4" w:val="single"/>
                    <w:bottom w:color="000000" w:sz="4" w:val="single"/>
                    <w:right w:color="000000" w:sz="4" w:val="single"/>
                  </w:tcBorders>
                </w:tcPr>
                <w:p w14:paraId="5B130000">
                  <w:pPr>
                    <w:widowControl w:val="1"/>
                    <w:ind w:right="64"/>
                    <w:contextualSpacing w:val="1"/>
                    <w:rPr>
                      <w:sz w:val="22"/>
                    </w:rPr>
                  </w:pPr>
                  <w:r>
                    <w:rPr>
                      <w:sz w:val="22"/>
                    </w:rPr>
                    <w:t>ОАО «РЖД»</w:t>
                  </w:r>
                </w:p>
              </w:tc>
              <w:tc>
                <w:tcPr>
                  <w:tcW w:type="dxa" w:w="2108"/>
                  <w:tcBorders>
                    <w:top w:color="000000" w:sz="4" w:val="single"/>
                    <w:left w:color="000000" w:sz="4" w:val="single"/>
                    <w:bottom w:color="000000" w:sz="4" w:val="single"/>
                    <w:right w:color="000000" w:sz="4" w:val="single"/>
                  </w:tcBorders>
                </w:tcPr>
                <w:p w14:paraId="5C130000">
                  <w:pPr>
                    <w:widowControl w:val="1"/>
                    <w:ind w:right="64"/>
                    <w:contextualSpacing w:val="1"/>
                    <w:rPr>
                      <w:sz w:val="22"/>
                    </w:rPr>
                  </w:pPr>
                  <w:r>
                    <w:rPr>
                      <w:sz w:val="22"/>
                    </w:rPr>
                    <w:t>51%</w:t>
                  </w:r>
                </w:p>
              </w:tc>
            </w:tr>
            <w:tr>
              <w:trPr>
                <w:trHeight w:hRule="atLeast" w:val="1926"/>
              </w:trPr>
              <w:tc>
                <w:tcPr>
                  <w:tcW w:type="dxa" w:w="1822"/>
                  <w:tcBorders>
                    <w:top w:color="000000" w:sz="4" w:val="single"/>
                    <w:left w:color="000000" w:sz="4" w:val="single"/>
                    <w:bottom w:color="000000" w:sz="4" w:val="single"/>
                    <w:right w:color="000000" w:sz="4" w:val="single"/>
                  </w:tcBorders>
                </w:tcPr>
                <w:p w14:paraId="5D130000">
                  <w:pPr>
                    <w:widowControl w:val="1"/>
                    <w:ind w:right="64"/>
                    <w:contextualSpacing w:val="1"/>
                    <w:rPr>
                      <w:sz w:val="22"/>
                    </w:rPr>
                  </w:pPr>
                  <w:r>
                    <w:rPr>
                      <w:sz w:val="22"/>
                    </w:rPr>
                    <w:t>4. Выплата (объявление) дивидендов по результатам отчетного года</w:t>
                  </w:r>
                </w:p>
              </w:tc>
              <w:tc>
                <w:tcPr>
                  <w:tcW w:type="dxa" w:w="1822"/>
                  <w:tcBorders>
                    <w:top w:color="000000" w:sz="4" w:val="single"/>
                    <w:left w:color="000000" w:sz="4" w:val="single"/>
                    <w:bottom w:color="000000" w:sz="4" w:val="single"/>
                    <w:right w:color="000000" w:sz="4" w:val="single"/>
                  </w:tcBorders>
                </w:tcPr>
                <w:p w14:paraId="5E130000">
                  <w:pPr>
                    <w:widowControl w:val="1"/>
                    <w:ind w:right="64"/>
                    <w:contextualSpacing w:val="1"/>
                    <w:rPr>
                      <w:sz w:val="22"/>
                    </w:rPr>
                  </w:pPr>
                  <w:r>
                    <w:rPr>
                      <w:sz w:val="22"/>
                    </w:rPr>
                    <w:t>ОАО «РЖД»</w:t>
                  </w:r>
                </w:p>
              </w:tc>
              <w:tc>
                <w:tcPr>
                  <w:tcW w:type="dxa" w:w="2108"/>
                  <w:tcBorders>
                    <w:top w:color="000000" w:sz="4" w:val="single"/>
                    <w:left w:color="000000" w:sz="4" w:val="single"/>
                    <w:bottom w:color="000000" w:sz="4" w:val="single"/>
                    <w:right w:color="000000" w:sz="4" w:val="single"/>
                  </w:tcBorders>
                </w:tcPr>
                <w:p w14:paraId="5F130000">
                  <w:pPr>
                    <w:widowControl w:val="1"/>
                    <w:ind w:right="64"/>
                    <w:contextualSpacing w:val="1"/>
                    <w:rPr>
                      <w:sz w:val="22"/>
                    </w:rPr>
                  </w:pPr>
                  <w:r>
                    <w:rPr>
                      <w:sz w:val="22"/>
                    </w:rPr>
                    <w:t>51%</w:t>
                  </w:r>
                </w:p>
              </w:tc>
            </w:tr>
            <w:tr>
              <w:trPr>
                <w:trHeight w:hRule="atLeast" w:val="1926"/>
              </w:trPr>
              <w:tc>
                <w:tcPr>
                  <w:tcW w:type="dxa" w:w="1822"/>
                  <w:tcBorders>
                    <w:top w:color="000000" w:sz="4" w:val="single"/>
                    <w:left w:color="000000" w:sz="4" w:val="single"/>
                    <w:bottom w:color="000000" w:sz="4" w:val="single"/>
                    <w:right w:color="000000" w:sz="4" w:val="single"/>
                  </w:tcBorders>
                </w:tcPr>
                <w:p w14:paraId="60130000">
                  <w:pPr>
                    <w:widowControl w:val="1"/>
                    <w:ind w:right="64"/>
                    <w:contextualSpacing w:val="1"/>
                    <w:rPr>
                      <w:sz w:val="22"/>
                    </w:rPr>
                  </w:pPr>
                  <w:r>
                    <w:rPr>
                      <w:sz w:val="22"/>
                    </w:rPr>
                    <w:t>5 Выплата членам совета директоров Общества вознаграждений и  компенсаций</w:t>
                  </w:r>
                </w:p>
              </w:tc>
              <w:tc>
                <w:tcPr>
                  <w:tcW w:type="dxa" w:w="1822"/>
                  <w:tcBorders>
                    <w:top w:color="000000" w:sz="4" w:val="single"/>
                    <w:left w:color="000000" w:sz="4" w:val="single"/>
                    <w:bottom w:color="000000" w:sz="4" w:val="single"/>
                    <w:right w:color="000000" w:sz="4" w:val="single"/>
                  </w:tcBorders>
                </w:tcPr>
                <w:p w14:paraId="61130000">
                  <w:pPr>
                    <w:widowControl w:val="1"/>
                    <w:ind w:right="64"/>
                    <w:contextualSpacing w:val="1"/>
                    <w:rPr>
                      <w:sz w:val="22"/>
                    </w:rPr>
                  </w:pPr>
                  <w:r>
                    <w:rPr>
                      <w:sz w:val="22"/>
                    </w:rPr>
                    <w:t>ОАО «РЖД»</w:t>
                  </w:r>
                </w:p>
              </w:tc>
              <w:tc>
                <w:tcPr>
                  <w:tcW w:type="dxa" w:w="2108"/>
                  <w:tcBorders>
                    <w:top w:color="000000" w:sz="4" w:val="single"/>
                    <w:left w:color="000000" w:sz="4" w:val="single"/>
                    <w:bottom w:color="000000" w:sz="4" w:val="single"/>
                    <w:right w:color="000000" w:sz="4" w:val="single"/>
                  </w:tcBorders>
                </w:tcPr>
                <w:p w14:paraId="62130000">
                  <w:pPr>
                    <w:widowControl w:val="1"/>
                    <w:ind w:right="64"/>
                    <w:contextualSpacing w:val="1"/>
                    <w:rPr>
                      <w:sz w:val="22"/>
                    </w:rPr>
                  </w:pPr>
                  <w:r>
                    <w:rPr>
                      <w:sz w:val="22"/>
                    </w:rPr>
                    <w:t>51%</w:t>
                  </w:r>
                </w:p>
              </w:tc>
            </w:tr>
            <w:tr>
              <w:trPr>
                <w:trHeight w:hRule="atLeast" w:val="2193"/>
              </w:trPr>
              <w:tc>
                <w:tcPr>
                  <w:tcW w:type="dxa" w:w="1822"/>
                  <w:tcBorders>
                    <w:top w:color="000000" w:sz="4" w:val="single"/>
                    <w:left w:color="000000" w:sz="4" w:val="single"/>
                    <w:bottom w:color="000000" w:sz="4" w:val="single"/>
                    <w:right w:color="000000" w:sz="4" w:val="single"/>
                  </w:tcBorders>
                </w:tcPr>
                <w:p w14:paraId="63130000">
                  <w:pPr>
                    <w:widowControl w:val="1"/>
                    <w:ind w:right="64"/>
                    <w:contextualSpacing w:val="1"/>
                    <w:rPr>
                      <w:sz w:val="22"/>
                    </w:rPr>
                  </w:pPr>
                  <w:r>
                    <w:rPr>
                      <w:sz w:val="22"/>
                    </w:rPr>
                    <w:t>6. Выплата членам  ревизионной комиссии Общества вознаграждений и  компенсаций</w:t>
                  </w:r>
                </w:p>
              </w:tc>
              <w:tc>
                <w:tcPr>
                  <w:tcW w:type="dxa" w:w="1822"/>
                  <w:tcBorders>
                    <w:top w:color="000000" w:sz="4" w:val="single"/>
                    <w:left w:color="000000" w:sz="4" w:val="single"/>
                    <w:bottom w:color="000000" w:sz="4" w:val="single"/>
                    <w:right w:color="000000" w:sz="4" w:val="single"/>
                  </w:tcBorders>
                </w:tcPr>
                <w:p w14:paraId="64130000">
                  <w:pPr>
                    <w:widowControl w:val="1"/>
                    <w:ind w:right="64"/>
                    <w:contextualSpacing w:val="1"/>
                    <w:rPr>
                      <w:sz w:val="22"/>
                    </w:rPr>
                  </w:pPr>
                  <w:r>
                    <w:rPr>
                      <w:sz w:val="22"/>
                    </w:rPr>
                    <w:t>ОАО «РЖД»</w:t>
                  </w:r>
                </w:p>
              </w:tc>
              <w:tc>
                <w:tcPr>
                  <w:tcW w:type="dxa" w:w="2108"/>
                  <w:tcBorders>
                    <w:top w:color="000000" w:sz="4" w:val="single"/>
                    <w:left w:color="000000" w:sz="4" w:val="single"/>
                    <w:bottom w:color="000000" w:sz="4" w:val="single"/>
                    <w:right w:color="000000" w:sz="4" w:val="single"/>
                  </w:tcBorders>
                </w:tcPr>
                <w:p w14:paraId="65130000">
                  <w:pPr>
                    <w:widowControl w:val="1"/>
                    <w:ind w:right="64"/>
                    <w:contextualSpacing w:val="1"/>
                    <w:rPr>
                      <w:sz w:val="22"/>
                    </w:rPr>
                  </w:pPr>
                  <w:r>
                    <w:rPr>
                      <w:sz w:val="22"/>
                    </w:rPr>
                    <w:t>51%</w:t>
                  </w:r>
                </w:p>
              </w:tc>
            </w:tr>
            <w:tr>
              <w:trPr>
                <w:trHeight w:hRule="atLeast" w:val="195"/>
              </w:trPr>
              <w:tc>
                <w:tcPr>
                  <w:tcW w:type="dxa" w:w="1822"/>
                  <w:tcBorders>
                    <w:top w:color="000000" w:sz="4" w:val="single"/>
                    <w:left w:color="000000" w:sz="4" w:val="single"/>
                    <w:bottom w:color="000000" w:sz="4" w:val="single"/>
                    <w:right w:color="000000" w:sz="4" w:val="single"/>
                  </w:tcBorders>
                </w:tcPr>
                <w:p w14:paraId="66130000">
                  <w:pPr>
                    <w:widowControl w:val="1"/>
                    <w:ind w:right="64"/>
                    <w:contextualSpacing w:val="1"/>
                    <w:rPr>
                      <w:sz w:val="22"/>
                    </w:rPr>
                  </w:pPr>
                  <w:r>
                    <w:rPr>
                      <w:sz w:val="22"/>
                    </w:rPr>
                    <w:t xml:space="preserve">7. Утверждение аудитора Общества </w:t>
                  </w:r>
                </w:p>
              </w:tc>
              <w:tc>
                <w:tcPr>
                  <w:tcW w:type="dxa" w:w="1822"/>
                  <w:tcBorders>
                    <w:top w:color="000000" w:sz="4" w:val="single"/>
                    <w:left w:color="000000" w:sz="4" w:val="single"/>
                    <w:bottom w:color="000000" w:sz="4" w:val="single"/>
                    <w:right w:color="000000" w:sz="4" w:val="single"/>
                  </w:tcBorders>
                </w:tcPr>
                <w:p w14:paraId="67130000">
                  <w:pPr>
                    <w:widowControl w:val="1"/>
                    <w:ind w:right="64"/>
                    <w:contextualSpacing w:val="1"/>
                    <w:rPr>
                      <w:sz w:val="22"/>
                    </w:rPr>
                  </w:pPr>
                  <w:r>
                    <w:rPr>
                      <w:sz w:val="22"/>
                    </w:rPr>
                    <w:t>ОАО «РЖД»</w:t>
                  </w:r>
                </w:p>
              </w:tc>
              <w:tc>
                <w:tcPr>
                  <w:tcW w:type="dxa" w:w="2108"/>
                  <w:tcBorders>
                    <w:top w:color="000000" w:sz="4" w:val="single"/>
                    <w:left w:color="000000" w:sz="4" w:val="single"/>
                    <w:bottom w:color="000000" w:sz="4" w:val="single"/>
                    <w:right w:color="000000" w:sz="4" w:val="single"/>
                  </w:tcBorders>
                </w:tcPr>
                <w:p w14:paraId="68130000">
                  <w:pPr>
                    <w:widowControl w:val="1"/>
                    <w:ind w:right="64"/>
                    <w:contextualSpacing w:val="1"/>
                    <w:rPr>
                      <w:sz w:val="22"/>
                    </w:rPr>
                  </w:pPr>
                  <w:r>
                    <w:rPr>
                      <w:sz w:val="22"/>
                    </w:rPr>
                    <w:t>51%</w:t>
                  </w:r>
                </w:p>
              </w:tc>
            </w:tr>
            <w:tr>
              <w:trPr>
                <w:trHeight w:hRule="atLeast" w:val="270"/>
              </w:trPr>
              <w:tc>
                <w:tcPr>
                  <w:tcW w:type="dxa" w:w="1822"/>
                  <w:tcBorders>
                    <w:top w:color="000000" w:sz="4" w:val="single"/>
                    <w:left w:color="000000" w:sz="4" w:val="single"/>
                    <w:bottom w:color="000000" w:sz="4" w:val="single"/>
                    <w:right w:color="000000" w:sz="4" w:val="single"/>
                  </w:tcBorders>
                </w:tcPr>
                <w:p w14:paraId="69130000">
                  <w:pPr>
                    <w:widowControl w:val="1"/>
                    <w:ind w:right="64"/>
                    <w:contextualSpacing w:val="1"/>
                    <w:rPr>
                      <w:sz w:val="22"/>
                    </w:rPr>
                  </w:pPr>
                  <w:r>
                    <w:rPr>
                      <w:sz w:val="22"/>
                    </w:rPr>
                    <w:t>8. Избрание членов совета директоров Общества</w:t>
                  </w:r>
                </w:p>
              </w:tc>
              <w:tc>
                <w:tcPr>
                  <w:tcW w:type="dxa" w:w="1822"/>
                  <w:tcBorders>
                    <w:top w:color="000000" w:sz="4" w:val="single"/>
                    <w:left w:color="000000" w:sz="4" w:val="single"/>
                    <w:bottom w:color="000000" w:sz="4" w:val="single"/>
                    <w:right w:color="000000" w:sz="4" w:val="single"/>
                  </w:tcBorders>
                </w:tcPr>
                <w:p w14:paraId="6A130000">
                  <w:pPr>
                    <w:widowControl w:val="1"/>
                    <w:ind w:right="64"/>
                    <w:contextualSpacing w:val="1"/>
                    <w:rPr>
                      <w:sz w:val="22"/>
                    </w:rPr>
                  </w:pPr>
                  <w:r>
                    <w:rPr>
                      <w:sz w:val="22"/>
                    </w:rPr>
                    <w:t>ОАО «РЖД»</w:t>
                  </w:r>
                </w:p>
              </w:tc>
              <w:tc>
                <w:tcPr>
                  <w:tcW w:type="dxa" w:w="2108"/>
                  <w:tcBorders>
                    <w:top w:color="000000" w:sz="4" w:val="single"/>
                    <w:left w:color="000000" w:sz="4" w:val="single"/>
                    <w:bottom w:color="000000" w:sz="4" w:val="single"/>
                    <w:right w:color="000000" w:sz="4" w:val="single"/>
                  </w:tcBorders>
                </w:tcPr>
                <w:p w14:paraId="6B130000">
                  <w:pPr>
                    <w:widowControl w:val="1"/>
                    <w:ind w:right="64"/>
                    <w:contextualSpacing w:val="1"/>
                    <w:rPr>
                      <w:sz w:val="22"/>
                    </w:rPr>
                  </w:pPr>
                  <w:r>
                    <w:rPr>
                      <w:sz w:val="22"/>
                    </w:rPr>
                    <w:t>51%</w:t>
                  </w:r>
                </w:p>
              </w:tc>
            </w:tr>
            <w:tr>
              <w:trPr>
                <w:trHeight w:hRule="atLeast" w:val="510"/>
              </w:trPr>
              <w:tc>
                <w:tcPr>
                  <w:tcW w:type="dxa" w:w="1822"/>
                  <w:tcBorders>
                    <w:top w:color="000000" w:sz="4" w:val="single"/>
                    <w:left w:color="000000" w:sz="4" w:val="single"/>
                    <w:bottom w:color="000000" w:sz="4" w:val="single"/>
                    <w:right w:color="000000" w:sz="4" w:val="single"/>
                  </w:tcBorders>
                </w:tcPr>
                <w:p w14:paraId="6C130000">
                  <w:pPr>
                    <w:widowControl w:val="1"/>
                    <w:ind w:right="64"/>
                    <w:contextualSpacing w:val="1"/>
                    <w:rPr>
                      <w:sz w:val="22"/>
                    </w:rPr>
                  </w:pPr>
                  <w:r>
                    <w:rPr>
                      <w:sz w:val="22"/>
                    </w:rPr>
                    <w:t>9.  Избрание членов ревизионной комиссии Общества</w:t>
                  </w:r>
                </w:p>
              </w:tc>
              <w:tc>
                <w:tcPr>
                  <w:tcW w:type="dxa" w:w="1822"/>
                  <w:tcBorders>
                    <w:top w:color="000000" w:sz="4" w:val="single"/>
                    <w:left w:color="000000" w:sz="4" w:val="single"/>
                    <w:bottom w:color="000000" w:sz="4" w:val="single"/>
                    <w:right w:color="000000" w:sz="4" w:val="single"/>
                  </w:tcBorders>
                </w:tcPr>
                <w:p w14:paraId="6D130000">
                  <w:pPr>
                    <w:widowControl w:val="1"/>
                    <w:ind w:right="64"/>
                    <w:contextualSpacing w:val="1"/>
                    <w:rPr>
                      <w:sz w:val="22"/>
                    </w:rPr>
                  </w:pPr>
                  <w:r>
                    <w:rPr>
                      <w:sz w:val="22"/>
                    </w:rPr>
                    <w:t>ОАО «РЖД»</w:t>
                  </w:r>
                </w:p>
              </w:tc>
              <w:tc>
                <w:tcPr>
                  <w:tcW w:type="dxa" w:w="2108"/>
                  <w:tcBorders>
                    <w:top w:color="000000" w:sz="4" w:val="single"/>
                    <w:left w:color="000000" w:sz="4" w:val="single"/>
                    <w:bottom w:color="000000" w:sz="4" w:val="single"/>
                    <w:right w:color="000000" w:sz="4" w:val="single"/>
                  </w:tcBorders>
                </w:tcPr>
                <w:p w14:paraId="6E130000">
                  <w:pPr>
                    <w:widowControl w:val="1"/>
                    <w:ind w:right="64"/>
                    <w:contextualSpacing w:val="1"/>
                    <w:rPr>
                      <w:sz w:val="22"/>
                    </w:rPr>
                  </w:pPr>
                  <w:r>
                    <w:rPr>
                      <w:sz w:val="22"/>
                    </w:rPr>
                    <w:t>51%</w:t>
                  </w:r>
                </w:p>
              </w:tc>
            </w:tr>
          </w:tbl>
          <w:p w14:paraId="6F130000">
            <w:pPr>
              <w:widowControl w:val="1"/>
              <w:ind w:right="64"/>
              <w:contextualSpacing w:val="1"/>
              <w:rPr>
                <w:color w:val="000000"/>
                <w:sz w:val="22"/>
              </w:rPr>
            </w:pPr>
          </w:p>
        </w:tc>
        <w:tc>
          <w:tcPr>
            <w:tcW w:type="dxa" w:w="1605"/>
            <w:tcBorders>
              <w:top w:color="000000" w:sz="4" w:val="single"/>
              <w:left w:sz="4" w:val="nil"/>
              <w:bottom w:color="000000" w:sz="4" w:val="single"/>
              <w:right w:color="000000" w:sz="4" w:val="single"/>
            </w:tcBorders>
            <w:tcMar>
              <w:left w:type="dxa" w:w="0"/>
              <w:right w:type="dxa" w:w="0"/>
            </w:tcMar>
          </w:tcPr>
          <w:p w14:paraId="70130000">
            <w:pPr>
              <w:widowControl w:val="1"/>
              <w:ind w:right="64"/>
              <w:contextualSpacing w:val="1"/>
              <w:rPr>
                <w:b w:val="1"/>
                <w:i w:val="1"/>
                <w:sz w:val="22"/>
              </w:rPr>
            </w:pPr>
            <w:r>
              <w:rPr>
                <w:b w:val="1"/>
                <w:i w:val="1"/>
                <w:sz w:val="22"/>
              </w:rPr>
              <w:t xml:space="preserve">Выполнено в полном объеме </w:t>
            </w:r>
          </w:p>
        </w:tc>
      </w:tr>
      <w:tr>
        <w:trPr>
          <w:trHeight w:hRule="atLeast" w:val="10591"/>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71130000">
            <w:pPr>
              <w:widowControl w:val="1"/>
              <w:ind w:firstLine="709" w:left="-758"/>
              <w:contextualSpacing w:val="1"/>
              <w:jc w:val="center"/>
              <w:rPr>
                <w:sz w:val="22"/>
              </w:rPr>
            </w:pPr>
            <w:r>
              <w:rPr>
                <w:sz w:val="22"/>
              </w:rPr>
              <w:t>2</w:t>
            </w:r>
          </w:p>
        </w:tc>
        <w:tc>
          <w:tcPr>
            <w:tcW w:type="dxa" w:w="2043"/>
            <w:tcBorders>
              <w:top w:color="000000" w:sz="4" w:val="single"/>
              <w:left w:color="000000" w:sz="4" w:val="single"/>
              <w:bottom w:color="000000" w:sz="4" w:val="single"/>
              <w:right w:color="000000" w:sz="4" w:val="single"/>
            </w:tcBorders>
            <w:tcMar>
              <w:left w:type="dxa" w:w="0"/>
              <w:right w:type="dxa" w:w="0"/>
            </w:tcMar>
          </w:tcPr>
          <w:p w14:paraId="72130000">
            <w:pPr>
              <w:widowControl w:val="1"/>
              <w:ind w:right="64"/>
              <w:contextualSpacing w:val="1"/>
              <w:rPr>
                <w:sz w:val="22"/>
              </w:rPr>
            </w:pPr>
            <w:r>
              <w:rPr>
                <w:sz w:val="22"/>
              </w:rPr>
              <w:t>О включении кандидатур, выдвинутых акционерами, в список для голосования по вопросу повестки дня годового общего собрания акционеров «Избрание членов совета директоров Общества</w:t>
            </w:r>
            <w:r>
              <w:rPr>
                <w:color w:val="000000"/>
                <w:sz w:val="22"/>
              </w:rPr>
              <w:t>»</w:t>
            </w:r>
            <w:r>
              <w:rPr>
                <w:sz w:val="22"/>
              </w:rPr>
              <w:t>.</w:t>
            </w:r>
          </w:p>
          <w:p w14:paraId="73130000">
            <w:pPr>
              <w:widowControl w:val="1"/>
              <w:ind w:right="64"/>
              <w:contextualSpacing w:val="1"/>
              <w:rPr>
                <w:sz w:val="22"/>
              </w:rPr>
            </w:pPr>
          </w:p>
          <w:p w14:paraId="74130000">
            <w:pPr>
              <w:widowControl w:val="1"/>
              <w:ind w:right="64"/>
              <w:contextualSpacing w:val="1"/>
              <w:rPr>
                <w:sz w:val="22"/>
              </w:rPr>
            </w:pPr>
          </w:p>
          <w:p w14:paraId="75130000">
            <w:pPr>
              <w:widowControl w:val="1"/>
              <w:ind w:right="64"/>
              <w:contextualSpacing w:val="1"/>
              <w:rPr>
                <w:sz w:val="22"/>
              </w:rPr>
            </w:pPr>
          </w:p>
          <w:p w14:paraId="76130000">
            <w:pPr>
              <w:widowControl w:val="1"/>
              <w:ind w:right="64"/>
              <w:contextualSpacing w:val="1"/>
              <w:rPr>
                <w:sz w:val="22"/>
              </w:rPr>
            </w:pPr>
          </w:p>
          <w:p w14:paraId="77130000">
            <w:pPr>
              <w:widowControl w:val="1"/>
              <w:ind w:right="64"/>
              <w:contextualSpacing w:val="1"/>
              <w:rPr>
                <w:sz w:val="22"/>
              </w:rPr>
            </w:pPr>
          </w:p>
          <w:p w14:paraId="78130000">
            <w:pPr>
              <w:widowControl w:val="1"/>
              <w:ind w:right="64"/>
              <w:contextualSpacing w:val="1"/>
              <w:rPr>
                <w:sz w:val="22"/>
              </w:rPr>
            </w:pPr>
          </w:p>
          <w:p w14:paraId="79130000">
            <w:pPr>
              <w:widowControl w:val="1"/>
              <w:ind w:right="64"/>
              <w:contextualSpacing w:val="1"/>
              <w:rPr>
                <w:sz w:val="22"/>
              </w:rPr>
            </w:pPr>
          </w:p>
          <w:p w14:paraId="7A130000">
            <w:pPr>
              <w:widowControl w:val="1"/>
              <w:ind w:right="64"/>
              <w:contextualSpacing w:val="1"/>
              <w:rPr>
                <w:sz w:val="22"/>
              </w:rPr>
            </w:pPr>
          </w:p>
          <w:p w14:paraId="7B130000">
            <w:pPr>
              <w:widowControl w:val="1"/>
              <w:ind w:right="64"/>
              <w:contextualSpacing w:val="1"/>
              <w:rPr>
                <w:sz w:val="22"/>
              </w:rPr>
            </w:pPr>
          </w:p>
          <w:p w14:paraId="7C130000">
            <w:pPr>
              <w:widowControl w:val="1"/>
              <w:ind w:right="64"/>
              <w:contextualSpacing w:val="1"/>
              <w:rPr>
                <w:sz w:val="22"/>
              </w:rPr>
            </w:pPr>
          </w:p>
          <w:p w14:paraId="7D130000">
            <w:pPr>
              <w:widowControl w:val="1"/>
              <w:ind w:right="64"/>
              <w:contextualSpacing w:val="1"/>
              <w:rPr>
                <w:sz w:val="22"/>
              </w:rPr>
            </w:pPr>
          </w:p>
          <w:p w14:paraId="7E130000">
            <w:pPr>
              <w:widowControl w:val="1"/>
              <w:ind w:right="64"/>
              <w:contextualSpacing w:val="1"/>
              <w:rPr>
                <w:sz w:val="22"/>
              </w:rPr>
            </w:pPr>
          </w:p>
          <w:p w14:paraId="7F130000">
            <w:pPr>
              <w:widowControl w:val="1"/>
              <w:ind w:right="64"/>
              <w:contextualSpacing w:val="1"/>
              <w:rPr>
                <w:sz w:val="22"/>
              </w:rPr>
            </w:pPr>
          </w:p>
          <w:p w14:paraId="80130000">
            <w:pPr>
              <w:widowControl w:val="1"/>
              <w:ind w:right="64"/>
              <w:contextualSpacing w:val="1"/>
              <w:rPr>
                <w:sz w:val="22"/>
              </w:rPr>
            </w:pPr>
          </w:p>
          <w:p w14:paraId="81130000">
            <w:pPr>
              <w:widowControl w:val="1"/>
              <w:ind w:right="64"/>
              <w:contextualSpacing w:val="1"/>
              <w:rPr>
                <w:sz w:val="22"/>
              </w:rPr>
            </w:pPr>
          </w:p>
          <w:p w14:paraId="82130000">
            <w:pPr>
              <w:widowControl w:val="1"/>
              <w:ind w:right="64"/>
              <w:contextualSpacing w:val="1"/>
              <w:rPr>
                <w:sz w:val="22"/>
              </w:rPr>
            </w:pPr>
          </w:p>
          <w:p w14:paraId="83130000">
            <w:pPr>
              <w:widowControl w:val="1"/>
              <w:ind w:right="64"/>
              <w:contextualSpacing w:val="1"/>
              <w:rPr>
                <w:sz w:val="22"/>
              </w:rPr>
            </w:pPr>
          </w:p>
          <w:p w14:paraId="84130000">
            <w:pPr>
              <w:widowControl w:val="1"/>
              <w:ind w:right="64"/>
              <w:contextualSpacing w:val="1"/>
              <w:rPr>
                <w:sz w:val="22"/>
              </w:rPr>
            </w:pPr>
          </w:p>
          <w:p w14:paraId="85130000">
            <w:pPr>
              <w:widowControl w:val="1"/>
              <w:ind w:right="64"/>
              <w:contextualSpacing w:val="1"/>
              <w:rPr>
                <w:sz w:val="22"/>
              </w:rPr>
            </w:pPr>
          </w:p>
          <w:p w14:paraId="86130000">
            <w:pPr>
              <w:widowControl w:val="1"/>
              <w:ind w:right="64"/>
              <w:contextualSpacing w:val="1"/>
              <w:rPr>
                <w:sz w:val="22"/>
              </w:rPr>
            </w:pPr>
          </w:p>
          <w:p w14:paraId="87130000">
            <w:pPr>
              <w:widowControl w:val="1"/>
              <w:ind w:right="64"/>
              <w:contextualSpacing w:val="1"/>
              <w:rPr>
                <w:sz w:val="22"/>
              </w:rPr>
            </w:pPr>
          </w:p>
          <w:p w14:paraId="88130000">
            <w:pPr>
              <w:widowControl w:val="1"/>
              <w:ind w:right="64"/>
              <w:contextualSpacing w:val="1"/>
              <w:rPr>
                <w:sz w:val="22"/>
              </w:rPr>
            </w:pPr>
          </w:p>
          <w:p w14:paraId="89130000">
            <w:pPr>
              <w:widowControl w:val="1"/>
              <w:ind w:right="64"/>
              <w:contextualSpacing w:val="1"/>
              <w:rPr>
                <w:sz w:val="22"/>
              </w:rPr>
            </w:pPr>
          </w:p>
          <w:p w14:paraId="8A130000">
            <w:pPr>
              <w:widowControl w:val="1"/>
              <w:ind w:right="64"/>
              <w:contextualSpacing w:val="1"/>
              <w:rPr>
                <w:sz w:val="22"/>
              </w:rPr>
            </w:pPr>
          </w:p>
          <w:p w14:paraId="8B130000">
            <w:pPr>
              <w:widowControl w:val="1"/>
              <w:ind w:right="64"/>
              <w:contextualSpacing w:val="1"/>
              <w:rPr>
                <w:sz w:val="22"/>
              </w:rPr>
            </w:pPr>
          </w:p>
          <w:p w14:paraId="8C130000">
            <w:pPr>
              <w:widowControl w:val="1"/>
              <w:ind w:right="64"/>
              <w:contextualSpacing w:val="1"/>
              <w:rPr>
                <w:color w:val="000000"/>
                <w:sz w:val="22"/>
              </w:rPr>
            </w:pPr>
          </w:p>
        </w:tc>
        <w:tc>
          <w:tcPr>
            <w:tcW w:type="dxa" w:w="5404"/>
            <w:tcBorders>
              <w:top w:color="000000" w:sz="4" w:val="single"/>
              <w:left w:sz="4" w:val="nil"/>
              <w:bottom w:color="000000" w:sz="4" w:val="single"/>
              <w:right w:color="000000" w:sz="4" w:val="single"/>
            </w:tcBorders>
            <w:tcMar>
              <w:left w:type="dxa" w:w="0"/>
              <w:right w:type="dxa" w:w="0"/>
            </w:tcMar>
          </w:tcPr>
          <w:p w14:paraId="8D130000">
            <w:pPr>
              <w:pStyle w:val="Style_11"/>
              <w:widowControl w:val="0"/>
              <w:spacing w:after="0"/>
              <w:ind w:left="0" w:right="64"/>
              <w:contextualSpacing w:val="1"/>
              <w:rPr>
                <w:sz w:val="22"/>
              </w:rPr>
            </w:pPr>
            <w:r>
              <w:rPr>
                <w:b w:val="1"/>
                <w:color w:val="000000"/>
                <w:sz w:val="22"/>
              </w:rPr>
              <w:t>2.1.</w:t>
            </w:r>
            <w:r>
              <w:rPr>
                <w:color w:val="000000"/>
                <w:sz w:val="22"/>
              </w:rPr>
              <w:t xml:space="preserve"> </w:t>
            </w:r>
            <w:r>
              <w:rPr>
                <w:sz w:val="22"/>
              </w:rPr>
              <w:t xml:space="preserve">Включить в список кандидатур для голосования по вопросу повестки дня годового общего собрания акционеров </w:t>
            </w:r>
            <w:r>
              <w:rPr>
                <w:color w:val="000000"/>
                <w:sz w:val="22"/>
              </w:rPr>
              <w:t xml:space="preserve">Акционерного общества «Краспригород» </w:t>
            </w:r>
            <w:r>
              <w:rPr>
                <w:sz w:val="22"/>
              </w:rPr>
              <w:t>«Избрание членов совета директоров Общества:</w:t>
            </w:r>
          </w:p>
          <w:tbl>
            <w:tblPr>
              <w:tblStyle w:val="Style_4"/>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2015"/>
              <w:gridCol w:w="1735"/>
              <w:gridCol w:w="2007"/>
            </w:tblGrid>
            <w:tr>
              <w:trPr>
                <w:trHeight w:hRule="atLeast" w:val="182"/>
              </w:trPr>
              <w:tc>
                <w:tcPr>
                  <w:tcW w:type="dxa" w:w="2015"/>
                  <w:tcBorders>
                    <w:top w:color="000000" w:sz="4" w:val="single"/>
                    <w:left w:color="000000" w:sz="4" w:val="single"/>
                    <w:bottom w:color="000000" w:sz="4" w:val="single"/>
                    <w:right w:color="000000" w:sz="4" w:val="single"/>
                  </w:tcBorders>
                </w:tcPr>
                <w:p w14:paraId="8E130000">
                  <w:pPr>
                    <w:widowControl w:val="1"/>
                    <w:ind w:right="64"/>
                    <w:contextualSpacing w:val="1"/>
                    <w:rPr>
                      <w:sz w:val="22"/>
                    </w:rPr>
                  </w:pPr>
                  <w:r>
                    <w:rPr>
                      <w:sz w:val="22"/>
                    </w:rPr>
                    <w:t>Ф.И.О. кандидата в члены совета директоров</w:t>
                  </w:r>
                </w:p>
              </w:tc>
              <w:tc>
                <w:tcPr>
                  <w:tcW w:type="dxa" w:w="1735"/>
                  <w:tcBorders>
                    <w:top w:color="000000" w:sz="4" w:val="single"/>
                    <w:left w:color="000000" w:sz="4" w:val="single"/>
                    <w:bottom w:color="000000" w:sz="4" w:val="single"/>
                    <w:right w:color="000000" w:sz="4" w:val="single"/>
                  </w:tcBorders>
                </w:tcPr>
                <w:p w14:paraId="8F130000">
                  <w:pPr>
                    <w:widowControl w:val="1"/>
                    <w:ind w:right="64"/>
                    <w:contextualSpacing w:val="1"/>
                    <w:rPr>
                      <w:sz w:val="22"/>
                    </w:rPr>
                  </w:pPr>
                  <w:r>
                    <w:rPr>
                      <w:sz w:val="22"/>
                    </w:rPr>
                    <w:t>Наименования (ФИО) акционера, предложившего кандидата</w:t>
                  </w:r>
                </w:p>
              </w:tc>
              <w:tc>
                <w:tcPr>
                  <w:tcW w:type="dxa" w:w="2007"/>
                  <w:tcBorders>
                    <w:top w:color="000000" w:sz="4" w:val="single"/>
                    <w:left w:color="000000" w:sz="4" w:val="single"/>
                    <w:bottom w:color="000000" w:sz="4" w:val="single"/>
                    <w:right w:color="000000" w:sz="4" w:val="single"/>
                  </w:tcBorders>
                </w:tcPr>
                <w:p w14:paraId="90130000">
                  <w:pPr>
                    <w:widowControl w:val="1"/>
                    <w:ind w:right="64"/>
                    <w:contextualSpacing w:val="1"/>
                    <w:rPr>
                      <w:sz w:val="22"/>
                    </w:rPr>
                  </w:pPr>
                  <w:r>
                    <w:rPr>
                      <w:sz w:val="22"/>
                    </w:rPr>
                    <w:t>Количество голосующих акций общества, принадлежащих акционерам (акционеру), и процент от общего числа голосующих акций общества.</w:t>
                  </w:r>
                </w:p>
              </w:tc>
            </w:tr>
            <w:tr>
              <w:trPr>
                <w:trHeight w:hRule="atLeast" w:val="91"/>
              </w:trPr>
              <w:tc>
                <w:tcPr>
                  <w:tcW w:type="dxa" w:w="2015"/>
                  <w:tcBorders>
                    <w:top w:color="000000" w:sz="4" w:val="single"/>
                    <w:left w:color="000000" w:sz="4" w:val="single"/>
                    <w:bottom w:color="000000" w:sz="4" w:val="single"/>
                    <w:right w:color="000000" w:sz="4" w:val="single"/>
                  </w:tcBorders>
                </w:tcPr>
                <w:p w14:paraId="91130000">
                  <w:pPr>
                    <w:widowControl w:val="1"/>
                    <w:ind w:right="64"/>
                    <w:contextualSpacing w:val="1"/>
                    <w:rPr>
                      <w:sz w:val="22"/>
                    </w:rPr>
                  </w:pPr>
                  <w:r>
                    <w:rPr>
                      <w:sz w:val="22"/>
                    </w:rPr>
                    <w:t>Ткачев Лев Викторович</w:t>
                  </w:r>
                </w:p>
              </w:tc>
              <w:tc>
                <w:tcPr>
                  <w:tcW w:type="dxa" w:w="1735"/>
                  <w:tcBorders>
                    <w:top w:color="000000" w:sz="4" w:val="single"/>
                    <w:left w:color="000000" w:sz="4" w:val="single"/>
                    <w:bottom w:color="000000" w:sz="4" w:val="single"/>
                    <w:right w:color="000000" w:sz="4" w:val="single"/>
                  </w:tcBorders>
                </w:tcPr>
                <w:p w14:paraId="92130000">
                  <w:pPr>
                    <w:widowControl w:val="1"/>
                    <w:ind w:right="64"/>
                    <w:contextualSpacing w:val="1"/>
                    <w:rPr>
                      <w:sz w:val="22"/>
                    </w:rPr>
                  </w:pPr>
                  <w:r>
                    <w:rPr>
                      <w:sz w:val="22"/>
                    </w:rPr>
                    <w:t>ОАО «РЖД»</w:t>
                  </w:r>
                </w:p>
              </w:tc>
              <w:tc>
                <w:tcPr>
                  <w:tcW w:type="dxa" w:w="2007"/>
                  <w:tcBorders>
                    <w:top w:color="000000" w:sz="4" w:val="single"/>
                    <w:left w:color="000000" w:sz="4" w:val="single"/>
                    <w:bottom w:color="000000" w:sz="4" w:val="single"/>
                    <w:right w:color="000000" w:sz="4" w:val="single"/>
                  </w:tcBorders>
                </w:tcPr>
                <w:p w14:paraId="93130000">
                  <w:pPr>
                    <w:widowControl w:val="1"/>
                    <w:ind w:right="64"/>
                    <w:contextualSpacing w:val="1"/>
                    <w:rPr>
                      <w:sz w:val="22"/>
                    </w:rPr>
                  </w:pPr>
                  <w:r>
                    <w:rPr>
                      <w:sz w:val="22"/>
                    </w:rPr>
                    <w:t>51%</w:t>
                  </w:r>
                </w:p>
              </w:tc>
            </w:tr>
            <w:tr>
              <w:trPr>
                <w:trHeight w:hRule="atLeast" w:val="829"/>
              </w:trPr>
              <w:tc>
                <w:tcPr>
                  <w:tcW w:type="dxa" w:w="2015"/>
                  <w:tcBorders>
                    <w:top w:color="000000" w:sz="4" w:val="single"/>
                    <w:left w:color="000000" w:sz="4" w:val="single"/>
                    <w:bottom w:color="000000" w:sz="4" w:val="single"/>
                    <w:right w:color="000000" w:sz="4" w:val="single"/>
                  </w:tcBorders>
                </w:tcPr>
                <w:p w14:paraId="94130000">
                  <w:pPr>
                    <w:widowControl w:val="1"/>
                    <w:ind w:right="64"/>
                    <w:contextualSpacing w:val="1"/>
                    <w:rPr>
                      <w:sz w:val="22"/>
                    </w:rPr>
                  </w:pPr>
                  <w:r>
                    <w:rPr>
                      <w:sz w:val="22"/>
                    </w:rPr>
                    <w:t xml:space="preserve">Михайлова Ольга Александровна </w:t>
                  </w:r>
                </w:p>
              </w:tc>
              <w:tc>
                <w:tcPr>
                  <w:tcW w:type="dxa" w:w="1735"/>
                  <w:tcBorders>
                    <w:top w:color="000000" w:sz="4" w:val="single"/>
                    <w:left w:color="000000" w:sz="4" w:val="single"/>
                    <w:bottom w:color="000000" w:sz="4" w:val="single"/>
                    <w:right w:color="000000" w:sz="4" w:val="single"/>
                  </w:tcBorders>
                </w:tcPr>
                <w:p w14:paraId="95130000">
                  <w:pPr>
                    <w:widowControl w:val="1"/>
                    <w:ind w:right="64"/>
                    <w:contextualSpacing w:val="1"/>
                    <w:rPr>
                      <w:sz w:val="22"/>
                    </w:rPr>
                  </w:pPr>
                  <w:r>
                    <w:rPr>
                      <w:sz w:val="22"/>
                    </w:rPr>
                    <w:t>ОАО «РЖД»</w:t>
                  </w:r>
                </w:p>
              </w:tc>
              <w:tc>
                <w:tcPr>
                  <w:tcW w:type="dxa" w:w="2007"/>
                  <w:tcBorders>
                    <w:top w:color="000000" w:sz="4" w:val="single"/>
                    <w:left w:color="000000" w:sz="4" w:val="single"/>
                    <w:bottom w:color="000000" w:sz="4" w:val="single"/>
                    <w:right w:color="000000" w:sz="4" w:val="single"/>
                  </w:tcBorders>
                </w:tcPr>
                <w:p w14:paraId="96130000">
                  <w:pPr>
                    <w:widowControl w:val="1"/>
                    <w:ind w:right="64"/>
                    <w:contextualSpacing w:val="1"/>
                    <w:rPr>
                      <w:sz w:val="22"/>
                    </w:rPr>
                  </w:pPr>
                  <w:r>
                    <w:rPr>
                      <w:sz w:val="22"/>
                    </w:rPr>
                    <w:t>51%</w:t>
                  </w:r>
                </w:p>
              </w:tc>
            </w:tr>
            <w:tr>
              <w:trPr>
                <w:trHeight w:hRule="atLeast" w:val="559"/>
              </w:trPr>
              <w:tc>
                <w:tcPr>
                  <w:tcW w:type="dxa" w:w="2015"/>
                  <w:tcBorders>
                    <w:top w:color="000000" w:sz="4" w:val="single"/>
                    <w:left w:color="000000" w:sz="4" w:val="single"/>
                    <w:bottom w:color="000000" w:sz="4" w:val="single"/>
                    <w:right w:color="000000" w:sz="4" w:val="single"/>
                  </w:tcBorders>
                </w:tcPr>
                <w:p w14:paraId="97130000">
                  <w:pPr>
                    <w:widowControl w:val="1"/>
                    <w:ind w:right="64"/>
                    <w:contextualSpacing w:val="1"/>
                    <w:rPr>
                      <w:sz w:val="22"/>
                    </w:rPr>
                  </w:pPr>
                  <w:r>
                    <w:rPr>
                      <w:sz w:val="22"/>
                    </w:rPr>
                    <w:t>Овсянников Петр Алексеевич</w:t>
                  </w:r>
                </w:p>
              </w:tc>
              <w:tc>
                <w:tcPr>
                  <w:tcW w:type="dxa" w:w="1735"/>
                  <w:tcBorders>
                    <w:top w:color="000000" w:sz="4" w:val="single"/>
                    <w:left w:color="000000" w:sz="4" w:val="single"/>
                    <w:bottom w:color="000000" w:sz="4" w:val="single"/>
                    <w:right w:color="000000" w:sz="4" w:val="single"/>
                  </w:tcBorders>
                </w:tcPr>
                <w:p w14:paraId="98130000">
                  <w:pPr>
                    <w:widowControl w:val="1"/>
                    <w:ind w:right="64"/>
                    <w:contextualSpacing w:val="1"/>
                    <w:rPr>
                      <w:sz w:val="22"/>
                    </w:rPr>
                  </w:pPr>
                  <w:r>
                    <w:rPr>
                      <w:sz w:val="22"/>
                    </w:rPr>
                    <w:t>ОАО «РЖД»</w:t>
                  </w:r>
                </w:p>
              </w:tc>
              <w:tc>
                <w:tcPr>
                  <w:tcW w:type="dxa" w:w="2007"/>
                  <w:tcBorders>
                    <w:top w:color="000000" w:sz="4" w:val="single"/>
                    <w:left w:color="000000" w:sz="4" w:val="single"/>
                    <w:bottom w:color="000000" w:sz="4" w:val="single"/>
                    <w:right w:color="000000" w:sz="4" w:val="single"/>
                  </w:tcBorders>
                </w:tcPr>
                <w:p w14:paraId="99130000">
                  <w:pPr>
                    <w:widowControl w:val="1"/>
                    <w:ind w:right="64"/>
                    <w:contextualSpacing w:val="1"/>
                    <w:rPr>
                      <w:sz w:val="22"/>
                    </w:rPr>
                  </w:pPr>
                  <w:r>
                    <w:rPr>
                      <w:sz w:val="22"/>
                    </w:rPr>
                    <w:t>51%</w:t>
                  </w:r>
                </w:p>
              </w:tc>
            </w:tr>
            <w:tr>
              <w:trPr>
                <w:trHeight w:hRule="atLeast" w:val="829"/>
              </w:trPr>
              <w:tc>
                <w:tcPr>
                  <w:tcW w:type="dxa" w:w="2015"/>
                  <w:tcBorders>
                    <w:top w:color="000000" w:sz="4" w:val="single"/>
                    <w:left w:color="000000" w:sz="4" w:val="single"/>
                    <w:bottom w:color="000000" w:sz="4" w:val="single"/>
                    <w:right w:color="000000" w:sz="4" w:val="single"/>
                  </w:tcBorders>
                </w:tcPr>
                <w:p w14:paraId="9A130000">
                  <w:pPr>
                    <w:widowControl w:val="1"/>
                    <w:ind w:right="64"/>
                    <w:contextualSpacing w:val="1"/>
                    <w:rPr>
                      <w:sz w:val="22"/>
                    </w:rPr>
                  </w:pPr>
                  <w:r>
                    <w:rPr>
                      <w:sz w:val="22"/>
                    </w:rPr>
                    <w:t>Кривошеева Екатерина Геннадьевна</w:t>
                  </w:r>
                </w:p>
              </w:tc>
              <w:tc>
                <w:tcPr>
                  <w:tcW w:type="dxa" w:w="1735"/>
                  <w:tcBorders>
                    <w:top w:color="000000" w:sz="4" w:val="single"/>
                    <w:left w:color="000000" w:sz="4" w:val="single"/>
                    <w:bottom w:color="000000" w:sz="4" w:val="single"/>
                    <w:right w:color="000000" w:sz="4" w:val="single"/>
                  </w:tcBorders>
                </w:tcPr>
                <w:p w14:paraId="9B130000">
                  <w:pPr>
                    <w:widowControl w:val="1"/>
                    <w:ind w:right="64"/>
                    <w:contextualSpacing w:val="1"/>
                    <w:rPr>
                      <w:sz w:val="22"/>
                    </w:rPr>
                  </w:pPr>
                  <w:r>
                    <w:rPr>
                      <w:sz w:val="22"/>
                    </w:rPr>
                    <w:t>ОАО «РЖД»</w:t>
                  </w:r>
                </w:p>
              </w:tc>
              <w:tc>
                <w:tcPr>
                  <w:tcW w:type="dxa" w:w="2007"/>
                  <w:tcBorders>
                    <w:top w:color="000000" w:sz="4" w:val="single"/>
                    <w:left w:color="000000" w:sz="4" w:val="single"/>
                    <w:bottom w:color="000000" w:sz="4" w:val="single"/>
                    <w:right w:color="000000" w:sz="4" w:val="single"/>
                  </w:tcBorders>
                </w:tcPr>
                <w:p w14:paraId="9C130000">
                  <w:pPr>
                    <w:widowControl w:val="1"/>
                    <w:ind w:right="64"/>
                    <w:contextualSpacing w:val="1"/>
                    <w:rPr>
                      <w:sz w:val="22"/>
                    </w:rPr>
                  </w:pPr>
                  <w:r>
                    <w:rPr>
                      <w:sz w:val="22"/>
                    </w:rPr>
                    <w:t>51%</w:t>
                  </w:r>
                </w:p>
              </w:tc>
            </w:tr>
            <w:tr>
              <w:trPr>
                <w:trHeight w:hRule="atLeast" w:val="829"/>
              </w:trPr>
              <w:tc>
                <w:tcPr>
                  <w:tcW w:type="dxa" w:w="2015"/>
                  <w:tcBorders>
                    <w:top w:color="000000" w:sz="4" w:val="single"/>
                    <w:left w:color="000000" w:sz="4" w:val="single"/>
                    <w:bottom w:color="000000" w:sz="4" w:val="single"/>
                    <w:right w:color="000000" w:sz="4" w:val="single"/>
                  </w:tcBorders>
                </w:tcPr>
                <w:p w14:paraId="9D130000">
                  <w:pPr>
                    <w:widowControl w:val="1"/>
                    <w:ind w:right="64"/>
                    <w:contextualSpacing w:val="1"/>
                    <w:rPr>
                      <w:sz w:val="22"/>
                    </w:rPr>
                  </w:pPr>
                  <w:r>
                    <w:rPr>
                      <w:sz w:val="22"/>
                    </w:rPr>
                    <w:t xml:space="preserve">Курьякова Лариса Валерьевна </w:t>
                  </w:r>
                </w:p>
              </w:tc>
              <w:tc>
                <w:tcPr>
                  <w:tcW w:type="dxa" w:w="1735"/>
                  <w:tcBorders>
                    <w:top w:color="000000" w:sz="4" w:val="single"/>
                    <w:left w:color="000000" w:sz="4" w:val="single"/>
                    <w:bottom w:color="000000" w:sz="4" w:val="single"/>
                    <w:right w:color="000000" w:sz="4" w:val="single"/>
                  </w:tcBorders>
                </w:tcPr>
                <w:p w14:paraId="9E130000">
                  <w:pPr>
                    <w:widowControl w:val="1"/>
                    <w:ind w:right="64"/>
                    <w:contextualSpacing w:val="1"/>
                    <w:rPr>
                      <w:sz w:val="22"/>
                    </w:rPr>
                  </w:pPr>
                  <w:r>
                    <w:rPr>
                      <w:sz w:val="22"/>
                    </w:rPr>
                    <w:t>ГПКК «Центр транспортной логистики».</w:t>
                  </w:r>
                </w:p>
              </w:tc>
              <w:tc>
                <w:tcPr>
                  <w:tcW w:type="dxa" w:w="2007"/>
                  <w:tcBorders>
                    <w:top w:color="000000" w:sz="4" w:val="single"/>
                    <w:left w:color="000000" w:sz="4" w:val="single"/>
                    <w:bottom w:color="000000" w:sz="4" w:val="single"/>
                    <w:right w:color="000000" w:sz="4" w:val="single"/>
                  </w:tcBorders>
                </w:tcPr>
                <w:p w14:paraId="9F130000">
                  <w:pPr>
                    <w:widowControl w:val="1"/>
                    <w:ind w:right="64"/>
                    <w:contextualSpacing w:val="1"/>
                    <w:rPr>
                      <w:sz w:val="22"/>
                    </w:rPr>
                  </w:pPr>
                  <w:r>
                    <w:rPr>
                      <w:sz w:val="22"/>
                    </w:rPr>
                    <w:t>49%</w:t>
                  </w:r>
                </w:p>
              </w:tc>
            </w:tr>
            <w:tr>
              <w:trPr>
                <w:trHeight w:hRule="atLeast" w:val="829"/>
              </w:trPr>
              <w:tc>
                <w:tcPr>
                  <w:tcW w:type="dxa" w:w="2015"/>
                  <w:tcBorders>
                    <w:top w:color="000000" w:sz="4" w:val="single"/>
                    <w:left w:color="000000" w:sz="4" w:val="single"/>
                    <w:bottom w:color="000000" w:sz="4" w:val="single"/>
                    <w:right w:color="000000" w:sz="4" w:val="single"/>
                  </w:tcBorders>
                </w:tcPr>
                <w:p w14:paraId="A0130000">
                  <w:pPr>
                    <w:widowControl w:val="1"/>
                    <w:ind w:right="64"/>
                    <w:contextualSpacing w:val="1"/>
                    <w:rPr>
                      <w:sz w:val="22"/>
                    </w:rPr>
                  </w:pPr>
                  <w:r>
                    <w:rPr>
                      <w:sz w:val="22"/>
                    </w:rPr>
                    <w:t>Августинович Андрей Михайлович</w:t>
                  </w:r>
                </w:p>
              </w:tc>
              <w:tc>
                <w:tcPr>
                  <w:tcW w:type="dxa" w:w="1735"/>
                  <w:tcBorders>
                    <w:top w:color="000000" w:sz="4" w:val="single"/>
                    <w:left w:color="000000" w:sz="4" w:val="single"/>
                    <w:bottom w:color="000000" w:sz="4" w:val="single"/>
                    <w:right w:color="000000" w:sz="4" w:val="single"/>
                  </w:tcBorders>
                </w:tcPr>
                <w:p w14:paraId="A1130000">
                  <w:pPr>
                    <w:widowControl w:val="1"/>
                    <w:ind w:right="64"/>
                    <w:contextualSpacing w:val="1"/>
                    <w:rPr>
                      <w:sz w:val="22"/>
                    </w:rPr>
                  </w:pPr>
                  <w:r>
                    <w:rPr>
                      <w:sz w:val="22"/>
                    </w:rPr>
                    <w:t>ГПКК «Центр транспортной логистики».</w:t>
                  </w:r>
                </w:p>
              </w:tc>
              <w:tc>
                <w:tcPr>
                  <w:tcW w:type="dxa" w:w="2007"/>
                  <w:tcBorders>
                    <w:top w:color="000000" w:sz="4" w:val="single"/>
                    <w:left w:color="000000" w:sz="4" w:val="single"/>
                    <w:bottom w:color="000000" w:sz="4" w:val="single"/>
                    <w:right w:color="000000" w:sz="4" w:val="single"/>
                  </w:tcBorders>
                </w:tcPr>
                <w:p w14:paraId="A2130000">
                  <w:pPr>
                    <w:widowControl w:val="1"/>
                    <w:ind w:right="64"/>
                    <w:contextualSpacing w:val="1"/>
                    <w:rPr>
                      <w:sz w:val="22"/>
                    </w:rPr>
                  </w:pPr>
                  <w:r>
                    <w:rPr>
                      <w:sz w:val="22"/>
                    </w:rPr>
                    <w:t>49%</w:t>
                  </w:r>
                </w:p>
              </w:tc>
            </w:tr>
            <w:tr>
              <w:trPr>
                <w:trHeight w:hRule="atLeast" w:val="829"/>
              </w:trPr>
              <w:tc>
                <w:tcPr>
                  <w:tcW w:type="dxa" w:w="2015"/>
                  <w:tcBorders>
                    <w:top w:color="000000" w:sz="4" w:val="single"/>
                    <w:left w:color="000000" w:sz="4" w:val="single"/>
                    <w:bottom w:color="000000" w:sz="4" w:val="single"/>
                    <w:right w:color="000000" w:sz="4" w:val="single"/>
                  </w:tcBorders>
                </w:tcPr>
                <w:p w14:paraId="A3130000">
                  <w:pPr>
                    <w:widowControl w:val="1"/>
                    <w:ind w:right="64"/>
                    <w:contextualSpacing w:val="1"/>
                    <w:rPr>
                      <w:sz w:val="22"/>
                    </w:rPr>
                  </w:pPr>
                  <w:r>
                    <w:rPr>
                      <w:sz w:val="22"/>
                    </w:rPr>
                    <w:t>Нестерова Ольга Геннадьевна</w:t>
                  </w:r>
                </w:p>
              </w:tc>
              <w:tc>
                <w:tcPr>
                  <w:tcW w:type="dxa" w:w="1735"/>
                  <w:tcBorders>
                    <w:top w:color="000000" w:sz="4" w:val="single"/>
                    <w:left w:color="000000" w:sz="4" w:val="single"/>
                    <w:bottom w:color="000000" w:sz="4" w:val="single"/>
                    <w:right w:color="000000" w:sz="4" w:val="single"/>
                  </w:tcBorders>
                </w:tcPr>
                <w:p w14:paraId="A4130000">
                  <w:pPr>
                    <w:widowControl w:val="1"/>
                    <w:ind w:right="64"/>
                    <w:contextualSpacing w:val="1"/>
                    <w:rPr>
                      <w:sz w:val="22"/>
                    </w:rPr>
                  </w:pPr>
                  <w:r>
                    <w:rPr>
                      <w:sz w:val="22"/>
                    </w:rPr>
                    <w:t>ГПКК «Центр транспортной логистики».</w:t>
                  </w:r>
                </w:p>
              </w:tc>
              <w:tc>
                <w:tcPr>
                  <w:tcW w:type="dxa" w:w="2007"/>
                  <w:tcBorders>
                    <w:top w:color="000000" w:sz="4" w:val="single"/>
                    <w:left w:color="000000" w:sz="4" w:val="single"/>
                    <w:bottom w:color="000000" w:sz="4" w:val="single"/>
                    <w:right w:color="000000" w:sz="4" w:val="single"/>
                  </w:tcBorders>
                </w:tcPr>
                <w:p w14:paraId="A5130000">
                  <w:pPr>
                    <w:widowControl w:val="1"/>
                    <w:ind w:right="64"/>
                    <w:contextualSpacing w:val="1"/>
                    <w:rPr>
                      <w:sz w:val="22"/>
                    </w:rPr>
                  </w:pPr>
                  <w:r>
                    <w:rPr>
                      <w:sz w:val="22"/>
                    </w:rPr>
                    <w:t>49%</w:t>
                  </w:r>
                </w:p>
              </w:tc>
            </w:tr>
            <w:tr>
              <w:trPr>
                <w:trHeight w:hRule="atLeast" w:val="846"/>
              </w:trPr>
              <w:tc>
                <w:tcPr>
                  <w:tcW w:type="dxa" w:w="2015"/>
                  <w:tcBorders>
                    <w:top w:color="000000" w:sz="4" w:val="single"/>
                    <w:left w:color="000000" w:sz="4" w:val="single"/>
                    <w:bottom w:color="000000" w:sz="4" w:val="single"/>
                    <w:right w:color="000000" w:sz="4" w:val="single"/>
                  </w:tcBorders>
                </w:tcPr>
                <w:p w14:paraId="A6130000">
                  <w:pPr>
                    <w:widowControl w:val="1"/>
                    <w:ind w:right="64"/>
                    <w:contextualSpacing w:val="1"/>
                    <w:rPr>
                      <w:sz w:val="22"/>
                    </w:rPr>
                  </w:pPr>
                  <w:r>
                    <w:rPr>
                      <w:sz w:val="22"/>
                    </w:rPr>
                    <w:t xml:space="preserve">Бельская Яна Владимировна </w:t>
                  </w:r>
                </w:p>
              </w:tc>
              <w:tc>
                <w:tcPr>
                  <w:tcW w:type="dxa" w:w="1735"/>
                  <w:tcBorders>
                    <w:top w:color="000000" w:sz="4" w:val="single"/>
                    <w:left w:color="000000" w:sz="4" w:val="single"/>
                    <w:bottom w:color="000000" w:sz="4" w:val="single"/>
                    <w:right w:color="000000" w:sz="4" w:val="single"/>
                  </w:tcBorders>
                </w:tcPr>
                <w:p w14:paraId="A7130000">
                  <w:pPr>
                    <w:widowControl w:val="1"/>
                    <w:ind w:right="64"/>
                    <w:contextualSpacing w:val="1"/>
                    <w:rPr>
                      <w:sz w:val="22"/>
                    </w:rPr>
                  </w:pPr>
                  <w:r>
                    <w:rPr>
                      <w:sz w:val="22"/>
                    </w:rPr>
                    <w:t>ГПКК «Центр транспортной логистики».</w:t>
                  </w:r>
                </w:p>
              </w:tc>
              <w:tc>
                <w:tcPr>
                  <w:tcW w:type="dxa" w:w="2007"/>
                  <w:tcBorders>
                    <w:top w:color="000000" w:sz="4" w:val="single"/>
                    <w:left w:color="000000" w:sz="4" w:val="single"/>
                    <w:bottom w:color="000000" w:sz="4" w:val="single"/>
                    <w:right w:color="000000" w:sz="4" w:val="single"/>
                  </w:tcBorders>
                </w:tcPr>
                <w:p w14:paraId="A8130000">
                  <w:pPr>
                    <w:widowControl w:val="1"/>
                    <w:ind w:right="64"/>
                    <w:contextualSpacing w:val="1"/>
                    <w:rPr>
                      <w:sz w:val="22"/>
                    </w:rPr>
                  </w:pPr>
                  <w:r>
                    <w:rPr>
                      <w:sz w:val="22"/>
                    </w:rPr>
                    <w:t>49%</w:t>
                  </w:r>
                </w:p>
              </w:tc>
            </w:tr>
          </w:tbl>
          <w:p w14:paraId="A9130000">
            <w:pPr>
              <w:pStyle w:val="Style_11"/>
              <w:widowControl w:val="1"/>
              <w:tabs>
                <w:tab w:leader="none" w:pos="0" w:val="left"/>
              </w:tabs>
              <w:spacing w:after="0"/>
              <w:ind w:left="0"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AA130000">
            <w:pPr>
              <w:widowControl w:val="1"/>
              <w:ind w:right="64"/>
              <w:contextualSpacing w:val="1"/>
              <w:rPr>
                <w:b w:val="1"/>
                <w:i w:val="1"/>
                <w:sz w:val="22"/>
              </w:rPr>
            </w:pPr>
            <w:r>
              <w:rPr>
                <w:b w:val="1"/>
                <w:i w:val="1"/>
                <w:sz w:val="22"/>
              </w:rPr>
              <w:t>Выполнено в полном объеме</w:t>
            </w:r>
          </w:p>
        </w:tc>
      </w:tr>
      <w:tr>
        <w:trPr>
          <w:trHeight w:hRule="atLeast" w:val="195"/>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AB130000">
            <w:pPr>
              <w:widowControl w:val="1"/>
              <w:ind w:firstLine="709" w:left="-758"/>
              <w:contextualSpacing w:val="1"/>
              <w:jc w:val="center"/>
              <w:rPr>
                <w:sz w:val="22"/>
              </w:rPr>
            </w:pPr>
            <w:r>
              <w:rPr>
                <w:sz w:val="22"/>
              </w:rPr>
              <w:t>3</w:t>
            </w:r>
          </w:p>
        </w:tc>
        <w:tc>
          <w:tcPr>
            <w:tcW w:type="dxa" w:w="2043"/>
            <w:tcBorders>
              <w:top w:color="000000" w:sz="4" w:val="single"/>
              <w:left w:color="000000" w:sz="4" w:val="single"/>
              <w:bottom w:color="000000" w:sz="4" w:val="single"/>
              <w:right w:color="000000" w:sz="4" w:val="single"/>
            </w:tcBorders>
            <w:tcMar>
              <w:left w:type="dxa" w:w="0"/>
              <w:right w:type="dxa" w:w="0"/>
            </w:tcMar>
          </w:tcPr>
          <w:p w14:paraId="AC130000">
            <w:pPr>
              <w:widowControl w:val="1"/>
              <w:ind w:right="64"/>
              <w:contextualSpacing w:val="1"/>
              <w:rPr>
                <w:color w:val="000000"/>
                <w:sz w:val="22"/>
              </w:rPr>
            </w:pPr>
            <w:r>
              <w:rPr>
                <w:sz w:val="22"/>
              </w:rPr>
              <w:t>О включении кандидатур, выдвинутых акционерами, в список для голосования по вопросу повестки дня годового общего собрания акционеров «Избрание членов ревизионной комиссии Общества».</w:t>
            </w:r>
          </w:p>
        </w:tc>
        <w:tc>
          <w:tcPr>
            <w:tcW w:type="dxa" w:w="5404"/>
            <w:tcBorders>
              <w:top w:color="000000" w:sz="4" w:val="single"/>
              <w:left w:sz="4" w:val="nil"/>
              <w:bottom w:color="000000" w:sz="4" w:val="single"/>
              <w:right w:color="000000" w:sz="4" w:val="single"/>
            </w:tcBorders>
            <w:tcMar>
              <w:left w:type="dxa" w:w="0"/>
              <w:right w:type="dxa" w:w="0"/>
            </w:tcMar>
          </w:tcPr>
          <w:p w14:paraId="AD130000">
            <w:pPr>
              <w:widowControl w:val="1"/>
              <w:ind w:right="64"/>
              <w:contextualSpacing w:val="1"/>
              <w:rPr>
                <w:color w:val="000000"/>
                <w:sz w:val="22"/>
              </w:rPr>
            </w:pPr>
            <w:r>
              <w:rPr>
                <w:b w:val="1"/>
                <w:color w:val="000000"/>
                <w:sz w:val="22"/>
              </w:rPr>
              <w:t>3.1.</w:t>
            </w:r>
            <w:r>
              <w:rPr>
                <w:color w:val="000000"/>
                <w:sz w:val="22"/>
              </w:rPr>
              <w:t xml:space="preserve"> </w:t>
            </w:r>
            <w:r>
              <w:rPr>
                <w:sz w:val="22"/>
              </w:rPr>
              <w:t xml:space="preserve">Включить в список кандидатур для голосования по вопросу повестки дня годового общего собрания акционеров </w:t>
            </w:r>
            <w:r>
              <w:rPr>
                <w:color w:val="000000"/>
                <w:sz w:val="22"/>
              </w:rPr>
              <w:t xml:space="preserve">Акционерного общества «Краспригород» </w:t>
            </w:r>
            <w:r>
              <w:rPr>
                <w:sz w:val="22"/>
              </w:rPr>
              <w:t>«Избрание членов ревизионной комиссии Общества»:</w:t>
            </w:r>
          </w:p>
          <w:tbl>
            <w:tblPr>
              <w:tblStyle w:val="Style_4"/>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1983"/>
              <w:gridCol w:w="1983"/>
              <w:gridCol w:w="1800"/>
            </w:tblGrid>
            <w:tr>
              <w:trPr>
                <w:trHeight w:hRule="atLeast" w:val="147"/>
              </w:trPr>
              <w:tc>
                <w:tcPr>
                  <w:tcW w:type="dxa" w:w="1983"/>
                  <w:tcBorders>
                    <w:top w:color="000000" w:sz="4" w:val="single"/>
                    <w:left w:color="000000" w:sz="4" w:val="single"/>
                    <w:bottom w:color="000000" w:sz="4" w:val="single"/>
                    <w:right w:color="000000" w:sz="4" w:val="single"/>
                  </w:tcBorders>
                  <w:vAlign w:val="center"/>
                </w:tcPr>
                <w:p w14:paraId="AE130000">
                  <w:pPr>
                    <w:widowControl w:val="1"/>
                    <w:ind w:right="64"/>
                    <w:contextualSpacing w:val="1"/>
                    <w:rPr>
                      <w:sz w:val="22"/>
                    </w:rPr>
                  </w:pPr>
                  <w:r>
                    <w:rPr>
                      <w:sz w:val="22"/>
                    </w:rPr>
                    <w:t>Ф.И.О. кандидата в члены ревизионной комиссии</w:t>
                  </w:r>
                </w:p>
              </w:tc>
              <w:tc>
                <w:tcPr>
                  <w:tcW w:type="dxa" w:w="1983"/>
                  <w:tcBorders>
                    <w:top w:color="000000" w:sz="4" w:val="single"/>
                    <w:left w:color="000000" w:sz="4" w:val="single"/>
                    <w:bottom w:color="000000" w:sz="4" w:val="single"/>
                    <w:right w:color="000000" w:sz="4" w:val="single"/>
                  </w:tcBorders>
                  <w:vAlign w:val="center"/>
                </w:tcPr>
                <w:p w14:paraId="AF130000">
                  <w:pPr>
                    <w:widowControl w:val="1"/>
                    <w:ind w:right="64"/>
                    <w:contextualSpacing w:val="1"/>
                    <w:rPr>
                      <w:sz w:val="22"/>
                    </w:rPr>
                  </w:pPr>
                  <w:r>
                    <w:rPr>
                      <w:sz w:val="22"/>
                    </w:rPr>
                    <w:t>Наименования (ФИО) акционера, предложившего кандидата</w:t>
                  </w:r>
                </w:p>
              </w:tc>
              <w:tc>
                <w:tcPr>
                  <w:tcW w:type="dxa" w:w="1800"/>
                  <w:tcBorders>
                    <w:top w:color="000000" w:sz="4" w:val="single"/>
                    <w:left w:color="000000" w:sz="4" w:val="single"/>
                    <w:bottom w:color="000000" w:sz="4" w:val="single"/>
                    <w:right w:color="000000" w:sz="4" w:val="single"/>
                  </w:tcBorders>
                </w:tcPr>
                <w:p w14:paraId="B0130000">
                  <w:pPr>
                    <w:widowControl w:val="1"/>
                    <w:ind w:right="64"/>
                    <w:contextualSpacing w:val="1"/>
                    <w:rPr>
                      <w:sz w:val="22"/>
                    </w:rPr>
                  </w:pPr>
                  <w:r>
                    <w:rPr>
                      <w:sz w:val="22"/>
                    </w:rPr>
                    <w:t>Количество голосующих акций общества, принадлежащих акционерам (акционеру), и процент от общего числа голосующих акций общества.</w:t>
                  </w:r>
                </w:p>
              </w:tc>
            </w:tr>
            <w:tr>
              <w:trPr>
                <w:trHeight w:hRule="atLeast" w:val="836"/>
              </w:trPr>
              <w:tc>
                <w:tcPr>
                  <w:tcW w:type="dxa" w:w="1983"/>
                  <w:tcBorders>
                    <w:top w:color="000000" w:sz="4" w:val="single"/>
                    <w:left w:color="000000" w:sz="4" w:val="single"/>
                    <w:bottom w:color="000000" w:sz="4" w:val="single"/>
                    <w:right w:color="000000" w:sz="4" w:val="single"/>
                  </w:tcBorders>
                </w:tcPr>
                <w:p w14:paraId="B1130000">
                  <w:pPr>
                    <w:widowControl w:val="1"/>
                    <w:ind w:right="64"/>
                    <w:contextualSpacing w:val="1"/>
                    <w:rPr>
                      <w:sz w:val="22"/>
                    </w:rPr>
                  </w:pPr>
                  <w:r>
                    <w:rPr>
                      <w:sz w:val="22"/>
                    </w:rPr>
                    <w:t>Вялых Надежда Юрьевна</w:t>
                  </w:r>
                </w:p>
              </w:tc>
              <w:tc>
                <w:tcPr>
                  <w:tcW w:type="dxa" w:w="1983"/>
                  <w:tcBorders>
                    <w:top w:color="000000" w:sz="4" w:val="single"/>
                    <w:left w:color="000000" w:sz="4" w:val="single"/>
                    <w:bottom w:color="000000" w:sz="4" w:val="single"/>
                    <w:right w:color="000000" w:sz="4" w:val="single"/>
                  </w:tcBorders>
                </w:tcPr>
                <w:p w14:paraId="B2130000">
                  <w:pPr>
                    <w:widowControl w:val="1"/>
                    <w:ind w:right="64"/>
                    <w:contextualSpacing w:val="1"/>
                    <w:rPr>
                      <w:sz w:val="22"/>
                    </w:rPr>
                  </w:pPr>
                  <w:r>
                    <w:rPr>
                      <w:sz w:val="22"/>
                    </w:rPr>
                    <w:t>ОАО «РЖД»</w:t>
                  </w:r>
                </w:p>
              </w:tc>
              <w:tc>
                <w:tcPr>
                  <w:tcW w:type="dxa" w:w="1800"/>
                  <w:tcBorders>
                    <w:top w:color="000000" w:sz="4" w:val="single"/>
                    <w:left w:color="000000" w:sz="4" w:val="single"/>
                    <w:bottom w:color="000000" w:sz="4" w:val="single"/>
                    <w:right w:color="000000" w:sz="4" w:val="single"/>
                  </w:tcBorders>
                </w:tcPr>
                <w:p w14:paraId="B3130000">
                  <w:pPr>
                    <w:widowControl w:val="1"/>
                    <w:ind w:right="64"/>
                    <w:contextualSpacing w:val="1"/>
                    <w:rPr>
                      <w:sz w:val="22"/>
                    </w:rPr>
                  </w:pPr>
                  <w:r>
                    <w:rPr>
                      <w:sz w:val="22"/>
                    </w:rPr>
                    <w:t>51%</w:t>
                  </w:r>
                </w:p>
              </w:tc>
            </w:tr>
            <w:tr>
              <w:trPr>
                <w:trHeight w:hRule="atLeast" w:val="854"/>
              </w:trPr>
              <w:tc>
                <w:tcPr>
                  <w:tcW w:type="dxa" w:w="1983"/>
                  <w:tcBorders>
                    <w:top w:color="000000" w:sz="4" w:val="single"/>
                    <w:left w:color="000000" w:sz="4" w:val="single"/>
                    <w:bottom w:color="000000" w:sz="4" w:val="single"/>
                    <w:right w:color="000000" w:sz="4" w:val="single"/>
                  </w:tcBorders>
                </w:tcPr>
                <w:p w14:paraId="B4130000">
                  <w:pPr>
                    <w:widowControl w:val="1"/>
                    <w:ind w:right="64"/>
                    <w:contextualSpacing w:val="1"/>
                    <w:rPr>
                      <w:sz w:val="22"/>
                    </w:rPr>
                  </w:pPr>
                  <w:r>
                    <w:rPr>
                      <w:sz w:val="22"/>
                    </w:rPr>
                    <w:t>Портнягина Елена Петровна</w:t>
                  </w:r>
                </w:p>
              </w:tc>
              <w:tc>
                <w:tcPr>
                  <w:tcW w:type="dxa" w:w="1983"/>
                  <w:tcBorders>
                    <w:top w:color="000000" w:sz="4" w:val="single"/>
                    <w:left w:color="000000" w:sz="4" w:val="single"/>
                    <w:bottom w:color="000000" w:sz="4" w:val="single"/>
                    <w:right w:color="000000" w:sz="4" w:val="single"/>
                  </w:tcBorders>
                </w:tcPr>
                <w:p w14:paraId="B5130000">
                  <w:pPr>
                    <w:widowControl w:val="1"/>
                    <w:ind w:right="64"/>
                    <w:contextualSpacing w:val="1"/>
                    <w:rPr>
                      <w:sz w:val="22"/>
                    </w:rPr>
                  </w:pPr>
                  <w:r>
                    <w:rPr>
                      <w:sz w:val="22"/>
                    </w:rPr>
                    <w:t>ОАО «РЖД»</w:t>
                  </w:r>
                </w:p>
              </w:tc>
              <w:tc>
                <w:tcPr>
                  <w:tcW w:type="dxa" w:w="1800"/>
                  <w:tcBorders>
                    <w:top w:color="000000" w:sz="4" w:val="single"/>
                    <w:left w:color="000000" w:sz="4" w:val="single"/>
                    <w:bottom w:color="000000" w:sz="4" w:val="single"/>
                    <w:right w:color="000000" w:sz="4" w:val="single"/>
                  </w:tcBorders>
                </w:tcPr>
                <w:p w14:paraId="B6130000">
                  <w:pPr>
                    <w:widowControl w:val="1"/>
                    <w:ind w:right="64"/>
                    <w:contextualSpacing w:val="1"/>
                    <w:rPr>
                      <w:sz w:val="22"/>
                    </w:rPr>
                  </w:pPr>
                  <w:r>
                    <w:rPr>
                      <w:sz w:val="22"/>
                    </w:rPr>
                    <w:t>51%</w:t>
                  </w:r>
                </w:p>
                <w:p w14:paraId="B7130000">
                  <w:pPr>
                    <w:widowControl w:val="1"/>
                    <w:ind w:right="64"/>
                    <w:contextualSpacing w:val="1"/>
                    <w:rPr>
                      <w:sz w:val="22"/>
                    </w:rPr>
                  </w:pPr>
                </w:p>
              </w:tc>
            </w:tr>
            <w:tr>
              <w:trPr>
                <w:trHeight w:hRule="atLeast" w:val="854"/>
              </w:trPr>
              <w:tc>
                <w:tcPr>
                  <w:tcW w:type="dxa" w:w="1983"/>
                  <w:tcBorders>
                    <w:top w:color="000000" w:sz="4" w:val="single"/>
                    <w:left w:color="000000" w:sz="4" w:val="single"/>
                    <w:bottom w:color="000000" w:sz="4" w:val="single"/>
                    <w:right w:color="000000" w:sz="4" w:val="single"/>
                  </w:tcBorders>
                </w:tcPr>
                <w:p w14:paraId="B8130000">
                  <w:pPr>
                    <w:widowControl w:val="1"/>
                    <w:ind w:right="64"/>
                    <w:contextualSpacing w:val="1"/>
                    <w:rPr>
                      <w:sz w:val="22"/>
                    </w:rPr>
                  </w:pPr>
                  <w:r>
                    <w:rPr>
                      <w:sz w:val="22"/>
                    </w:rPr>
                    <w:t xml:space="preserve">Бобылева Екатерина Сергеевна </w:t>
                  </w:r>
                </w:p>
              </w:tc>
              <w:tc>
                <w:tcPr>
                  <w:tcW w:type="dxa" w:w="1983"/>
                  <w:tcBorders>
                    <w:top w:color="000000" w:sz="4" w:val="single"/>
                    <w:left w:color="000000" w:sz="4" w:val="single"/>
                    <w:bottom w:color="000000" w:sz="4" w:val="single"/>
                    <w:right w:color="000000" w:sz="4" w:val="single"/>
                  </w:tcBorders>
                </w:tcPr>
                <w:p w14:paraId="B9130000">
                  <w:pPr>
                    <w:widowControl w:val="1"/>
                    <w:ind w:right="64"/>
                    <w:contextualSpacing w:val="1"/>
                    <w:rPr>
                      <w:sz w:val="22"/>
                    </w:rPr>
                  </w:pPr>
                  <w:r>
                    <w:rPr>
                      <w:sz w:val="22"/>
                    </w:rPr>
                    <w:t>ГПКК «Центр транспортной логистики».</w:t>
                  </w:r>
                </w:p>
              </w:tc>
              <w:tc>
                <w:tcPr>
                  <w:tcW w:type="dxa" w:w="1800"/>
                  <w:tcBorders>
                    <w:top w:color="000000" w:sz="4" w:val="single"/>
                    <w:left w:color="000000" w:sz="4" w:val="single"/>
                    <w:bottom w:color="000000" w:sz="4" w:val="single"/>
                    <w:right w:color="000000" w:sz="4" w:val="single"/>
                  </w:tcBorders>
                </w:tcPr>
                <w:p w14:paraId="BA130000">
                  <w:pPr>
                    <w:widowControl w:val="1"/>
                    <w:ind w:right="64"/>
                    <w:contextualSpacing w:val="1"/>
                    <w:rPr>
                      <w:sz w:val="22"/>
                    </w:rPr>
                  </w:pPr>
                  <w:r>
                    <w:rPr>
                      <w:sz w:val="22"/>
                    </w:rPr>
                    <w:t>49%</w:t>
                  </w:r>
                </w:p>
              </w:tc>
            </w:tr>
          </w:tbl>
          <w:p w14:paraId="BB130000">
            <w:pPr>
              <w:widowControl w:val="1"/>
              <w:ind w:right="64"/>
              <w:contextualSpacing w:val="1"/>
              <w:rPr>
                <w:color w:val="000000"/>
                <w:sz w:val="22"/>
              </w:rPr>
            </w:pPr>
          </w:p>
        </w:tc>
        <w:tc>
          <w:tcPr>
            <w:tcW w:type="dxa" w:w="1605"/>
            <w:tcBorders>
              <w:top w:color="000000" w:sz="4" w:val="single"/>
              <w:left w:sz="4" w:val="nil"/>
              <w:bottom w:color="000000" w:sz="4" w:val="single"/>
              <w:right w:color="000000" w:sz="4" w:val="single"/>
            </w:tcBorders>
            <w:tcMar>
              <w:left w:type="dxa" w:w="0"/>
              <w:right w:type="dxa" w:w="0"/>
            </w:tcMar>
          </w:tcPr>
          <w:p w14:paraId="BC130000">
            <w:pPr>
              <w:widowControl w:val="1"/>
              <w:ind w:right="64"/>
              <w:contextualSpacing w:val="1"/>
              <w:rPr>
                <w:b w:val="1"/>
                <w:i w:val="1"/>
                <w:sz w:val="22"/>
              </w:rPr>
            </w:pPr>
            <w:r>
              <w:rPr>
                <w:b w:val="1"/>
                <w:i w:val="1"/>
                <w:sz w:val="22"/>
              </w:rPr>
              <w:t>Выполнено в полном объеме</w:t>
            </w:r>
          </w:p>
        </w:tc>
      </w:tr>
      <w:tr>
        <w:trPr>
          <w:trHeight w:hRule="atLeast" w:val="255"/>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BD130000">
            <w:pPr>
              <w:widowControl w:val="1"/>
              <w:ind w:firstLine="709" w:left="-758"/>
              <w:contextualSpacing w:val="1"/>
              <w:jc w:val="center"/>
              <w:rPr>
                <w:sz w:val="22"/>
              </w:rPr>
            </w:pPr>
            <w:r>
              <w:rPr>
                <w:sz w:val="22"/>
              </w:rPr>
              <w:t>4</w:t>
            </w:r>
          </w:p>
        </w:tc>
        <w:tc>
          <w:tcPr>
            <w:tcW w:type="dxa" w:w="2043"/>
            <w:tcBorders>
              <w:top w:color="000000" w:sz="4" w:val="single"/>
              <w:left w:color="000000" w:sz="4" w:val="single"/>
              <w:bottom w:color="000000" w:sz="4" w:val="single"/>
              <w:right w:color="000000" w:sz="4" w:val="single"/>
            </w:tcBorders>
            <w:tcMar>
              <w:left w:type="dxa" w:w="0"/>
              <w:right w:type="dxa" w:w="0"/>
            </w:tcMar>
          </w:tcPr>
          <w:p w14:paraId="BE130000">
            <w:pPr>
              <w:widowControl w:val="1"/>
              <w:ind w:right="64"/>
              <w:contextualSpacing w:val="1"/>
              <w:rPr>
                <w:color w:val="000000"/>
                <w:sz w:val="22"/>
              </w:rPr>
            </w:pPr>
            <w:r>
              <w:rPr>
                <w:sz w:val="22"/>
              </w:rPr>
              <w:t>О мероприятиях по подготовке к проведению годового общего собрания  акционеров Общества.</w:t>
            </w:r>
          </w:p>
        </w:tc>
        <w:tc>
          <w:tcPr>
            <w:tcW w:type="dxa" w:w="5404"/>
            <w:tcBorders>
              <w:top w:color="000000" w:sz="4" w:val="single"/>
              <w:left w:sz="4" w:val="nil"/>
              <w:bottom w:color="000000" w:sz="4" w:val="single"/>
              <w:right w:color="000000" w:sz="4" w:val="single"/>
            </w:tcBorders>
            <w:tcMar>
              <w:left w:type="dxa" w:w="0"/>
              <w:right w:type="dxa" w:w="0"/>
            </w:tcMar>
          </w:tcPr>
          <w:p w14:paraId="BF130000">
            <w:pPr>
              <w:pStyle w:val="Style_12"/>
              <w:widowControl w:val="1"/>
              <w:tabs>
                <w:tab w:leader="none" w:pos="284" w:val="left"/>
              </w:tabs>
              <w:ind w:right="64"/>
              <w:contextualSpacing w:val="1"/>
              <w:jc w:val="both"/>
              <w:rPr>
                <w:rFonts w:ascii="Times New Roman" w:hAnsi="Times New Roman"/>
                <w:color w:val="000000"/>
                <w:sz w:val="22"/>
              </w:rPr>
            </w:pPr>
          </w:p>
          <w:p w14:paraId="C0130000">
            <w:pPr>
              <w:pStyle w:val="Style_12"/>
              <w:widowControl w:val="1"/>
              <w:numPr>
                <w:ilvl w:val="0"/>
                <w:numId w:val="40"/>
              </w:numPr>
              <w:tabs>
                <w:tab w:leader="none" w:pos="37" w:val="left"/>
                <w:tab w:leader="none" w:pos="720" w:val="clear"/>
              </w:tabs>
              <w:ind w:firstLine="0" w:left="0" w:right="64"/>
              <w:contextualSpacing w:val="1"/>
              <w:jc w:val="both"/>
              <w:rPr>
                <w:rFonts w:ascii="Times New Roman" w:hAnsi="Times New Roman"/>
                <w:color w:val="000000"/>
                <w:sz w:val="22"/>
              </w:rPr>
            </w:pPr>
            <w:r>
              <w:rPr>
                <w:rFonts w:ascii="Times New Roman" w:hAnsi="Times New Roman"/>
                <w:color w:val="000000"/>
                <w:sz w:val="22"/>
              </w:rPr>
              <w:t>Определить датой представления отчета генерального директора Общества за 12 месяцев 2017 года в Центр по корпоративному управлению пригородным комплексом ОАО "РЖД"  30 марта 2018 года.</w:t>
            </w:r>
          </w:p>
          <w:p w14:paraId="C1130000">
            <w:pPr>
              <w:pStyle w:val="Style_12"/>
              <w:widowControl w:val="1"/>
              <w:numPr>
                <w:ilvl w:val="0"/>
                <w:numId w:val="40"/>
              </w:numPr>
              <w:tabs>
                <w:tab w:leader="none" w:pos="179" w:val="left"/>
                <w:tab w:leader="none" w:pos="720" w:val="clear"/>
              </w:tabs>
              <w:ind w:firstLine="0" w:left="0" w:right="64"/>
              <w:contextualSpacing w:val="1"/>
              <w:jc w:val="both"/>
              <w:rPr>
                <w:rFonts w:ascii="Times New Roman" w:hAnsi="Times New Roman"/>
                <w:color w:val="000000"/>
                <w:sz w:val="22"/>
              </w:rPr>
            </w:pPr>
            <w:r>
              <w:rPr>
                <w:rFonts w:ascii="Times New Roman" w:hAnsi="Times New Roman"/>
                <w:color w:val="000000"/>
                <w:sz w:val="22"/>
              </w:rPr>
              <w:t>Определить датой предварительного представления акционерам годового отчета Общества  03 апреля 2018 года.</w:t>
            </w:r>
          </w:p>
          <w:p w14:paraId="C2130000">
            <w:pPr>
              <w:pStyle w:val="Style_12"/>
              <w:widowControl w:val="1"/>
              <w:numPr>
                <w:ilvl w:val="0"/>
                <w:numId w:val="40"/>
              </w:numPr>
              <w:tabs>
                <w:tab w:leader="none" w:pos="179" w:val="left"/>
                <w:tab w:leader="none" w:pos="720" w:val="clear"/>
              </w:tabs>
              <w:ind w:firstLine="0" w:left="0" w:right="64"/>
              <w:contextualSpacing w:val="1"/>
              <w:jc w:val="both"/>
              <w:rPr>
                <w:rFonts w:ascii="Times New Roman" w:hAnsi="Times New Roman"/>
                <w:color w:val="000000"/>
                <w:sz w:val="22"/>
              </w:rPr>
            </w:pPr>
            <w:r>
              <w:rPr>
                <w:rFonts w:ascii="Times New Roman" w:hAnsi="Times New Roman"/>
                <w:color w:val="000000"/>
                <w:sz w:val="22"/>
              </w:rPr>
              <w:t>Определить датой начала проведения годовой ревизионной проверки Общества   19 марта 2018 года.</w:t>
            </w:r>
          </w:p>
          <w:p w14:paraId="C3130000">
            <w:pPr>
              <w:pStyle w:val="Style_12"/>
              <w:widowControl w:val="1"/>
              <w:numPr>
                <w:ilvl w:val="0"/>
                <w:numId w:val="40"/>
              </w:numPr>
              <w:tabs>
                <w:tab w:leader="none" w:pos="179" w:val="left"/>
                <w:tab w:leader="none" w:pos="720" w:val="clear"/>
              </w:tabs>
              <w:ind w:firstLine="0" w:left="0" w:right="64"/>
              <w:contextualSpacing w:val="1"/>
              <w:jc w:val="both"/>
              <w:rPr>
                <w:rFonts w:ascii="Times New Roman" w:hAnsi="Times New Roman"/>
                <w:color w:val="000000"/>
                <w:sz w:val="22"/>
              </w:rPr>
            </w:pPr>
            <w:r>
              <w:rPr>
                <w:rFonts w:ascii="Times New Roman" w:hAnsi="Times New Roman"/>
                <w:color w:val="000000"/>
                <w:sz w:val="22"/>
              </w:rPr>
              <w:t>Определить датой представления отчета о проведении ревизионной проверки 11 апреля 2018 года.</w:t>
            </w:r>
          </w:p>
          <w:p w14:paraId="C4130000">
            <w:pPr>
              <w:pStyle w:val="Style_12"/>
              <w:widowControl w:val="1"/>
              <w:numPr>
                <w:ilvl w:val="0"/>
                <w:numId w:val="40"/>
              </w:numPr>
              <w:tabs>
                <w:tab w:leader="none" w:pos="179" w:val="left"/>
                <w:tab w:leader="none" w:pos="720" w:val="clear"/>
              </w:tabs>
              <w:ind w:firstLine="0" w:left="0" w:right="64"/>
              <w:contextualSpacing w:val="1"/>
              <w:jc w:val="both"/>
              <w:rPr>
                <w:rFonts w:ascii="Times New Roman" w:hAnsi="Times New Roman"/>
                <w:color w:val="000000"/>
                <w:sz w:val="22"/>
              </w:rPr>
            </w:pPr>
            <w:r>
              <w:rPr>
                <w:rFonts w:ascii="Times New Roman" w:hAnsi="Times New Roman"/>
                <w:color w:val="000000"/>
                <w:sz w:val="22"/>
              </w:rPr>
              <w:t>Определить датой проведения заседания совета директоров, связанного с созывом годового общего собрания акционеров Общества 23 мая 2018 года.</w:t>
            </w:r>
          </w:p>
          <w:p w14:paraId="C5130000">
            <w:pPr>
              <w:pStyle w:val="Style_12"/>
              <w:widowControl w:val="1"/>
              <w:numPr>
                <w:ilvl w:val="0"/>
                <w:numId w:val="40"/>
              </w:numPr>
              <w:tabs>
                <w:tab w:leader="none" w:pos="179" w:val="left"/>
                <w:tab w:leader="none" w:pos="720" w:val="clear"/>
              </w:tabs>
              <w:ind w:firstLine="0" w:left="0" w:right="64"/>
              <w:contextualSpacing w:val="1"/>
              <w:jc w:val="both"/>
              <w:rPr>
                <w:rFonts w:ascii="Times New Roman" w:hAnsi="Times New Roman"/>
                <w:color w:val="000000"/>
                <w:sz w:val="22"/>
              </w:rPr>
            </w:pPr>
            <w:r>
              <w:rPr>
                <w:rFonts w:ascii="Times New Roman" w:hAnsi="Times New Roman"/>
                <w:color w:val="000000"/>
                <w:sz w:val="22"/>
              </w:rPr>
              <w:t>Определить датой проведения годового общего собрания акционеров Общества 25 июня 2018 года</w:t>
            </w:r>
          </w:p>
        </w:tc>
        <w:tc>
          <w:tcPr>
            <w:tcW w:type="dxa" w:w="1605"/>
            <w:tcBorders>
              <w:top w:color="000000" w:sz="4" w:val="single"/>
              <w:left w:sz="4" w:val="nil"/>
              <w:bottom w:color="000000" w:sz="4" w:val="single"/>
              <w:right w:color="000000" w:sz="4" w:val="single"/>
            </w:tcBorders>
            <w:tcMar>
              <w:left w:type="dxa" w:w="0"/>
              <w:right w:type="dxa" w:w="0"/>
            </w:tcMar>
          </w:tcPr>
          <w:p w14:paraId="C6130000">
            <w:pPr>
              <w:widowControl w:val="1"/>
              <w:ind w:right="64"/>
              <w:contextualSpacing w:val="1"/>
              <w:rPr>
                <w:b w:val="1"/>
                <w:i w:val="1"/>
                <w:sz w:val="22"/>
              </w:rPr>
            </w:pPr>
            <w:r>
              <w:rPr>
                <w:b w:val="1"/>
                <w:i w:val="1"/>
                <w:sz w:val="22"/>
              </w:rPr>
              <w:t>Выполнено в полном объеме</w:t>
            </w:r>
          </w:p>
        </w:tc>
      </w:tr>
      <w:tr>
        <w:trPr>
          <w:trHeight w:hRule="atLeast" w:val="255"/>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C7130000">
            <w:pPr>
              <w:widowControl w:val="1"/>
              <w:ind w:firstLine="709" w:left="-758"/>
              <w:contextualSpacing w:val="1"/>
              <w:jc w:val="center"/>
              <w:rPr>
                <w:sz w:val="22"/>
              </w:rPr>
            </w:pPr>
            <w:r>
              <w:rPr>
                <w:sz w:val="22"/>
              </w:rPr>
              <w:t>5</w:t>
            </w:r>
          </w:p>
        </w:tc>
        <w:tc>
          <w:tcPr>
            <w:tcW w:type="dxa" w:w="2043"/>
            <w:tcBorders>
              <w:top w:color="000000" w:sz="4" w:val="single"/>
              <w:left w:color="000000" w:sz="4" w:val="single"/>
              <w:bottom w:color="000000" w:sz="4" w:val="single"/>
              <w:right w:color="000000" w:sz="4" w:val="single"/>
            </w:tcBorders>
            <w:tcMar>
              <w:left w:type="dxa" w:w="0"/>
              <w:right w:type="dxa" w:w="0"/>
            </w:tcMar>
          </w:tcPr>
          <w:p w14:paraId="C8130000">
            <w:pPr>
              <w:pStyle w:val="Style_12"/>
              <w:widowControl w:val="1"/>
              <w:ind w:right="64"/>
              <w:contextualSpacing w:val="1"/>
              <w:rPr>
                <w:rFonts w:ascii="Times New Roman" w:hAnsi="Times New Roman"/>
                <w:i w:val="1"/>
                <w:color w:val="000000"/>
                <w:sz w:val="22"/>
              </w:rPr>
            </w:pPr>
            <w:r>
              <w:rPr>
                <w:rFonts w:ascii="Times New Roman" w:hAnsi="Times New Roman"/>
                <w:sz w:val="22"/>
              </w:rPr>
              <w:t>Об утверждении реестра рисков и карты рисков АО "Краспригород" на 2018 год.</w:t>
            </w:r>
          </w:p>
          <w:p w14:paraId="C913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CA130000">
            <w:pPr>
              <w:pStyle w:val="Style_12"/>
              <w:widowControl w:val="1"/>
              <w:ind w:right="64"/>
              <w:contextualSpacing w:val="1"/>
              <w:jc w:val="both"/>
              <w:rPr>
                <w:rFonts w:ascii="Times New Roman" w:hAnsi="Times New Roman"/>
                <w:i w:val="1"/>
                <w:color w:val="000000"/>
                <w:sz w:val="22"/>
              </w:rPr>
            </w:pPr>
            <w:r>
              <w:rPr>
                <w:rFonts w:ascii="Times New Roman" w:hAnsi="Times New Roman"/>
                <w:sz w:val="22"/>
              </w:rPr>
              <w:t>5.1. Утвердить реестр рисков АО "Краспригород" на 2018 год, в соответствии с Приложением №1 к протоколу заседания Совета директоров.</w:t>
            </w:r>
          </w:p>
          <w:p w14:paraId="CB130000">
            <w:pPr>
              <w:pStyle w:val="Style_12"/>
              <w:widowControl w:val="1"/>
              <w:ind w:right="64"/>
              <w:contextualSpacing w:val="1"/>
              <w:jc w:val="both"/>
              <w:rPr>
                <w:rFonts w:ascii="Times New Roman" w:hAnsi="Times New Roman"/>
                <w:sz w:val="22"/>
              </w:rPr>
            </w:pPr>
          </w:p>
          <w:p w14:paraId="CC130000">
            <w:pPr>
              <w:pStyle w:val="Style_12"/>
              <w:widowControl w:val="1"/>
              <w:ind w:right="64"/>
              <w:contextualSpacing w:val="1"/>
              <w:jc w:val="both"/>
              <w:rPr>
                <w:rFonts w:ascii="Times New Roman" w:hAnsi="Times New Roman"/>
                <w:i w:val="1"/>
                <w:color w:val="000000"/>
                <w:sz w:val="22"/>
              </w:rPr>
            </w:pPr>
            <w:r>
              <w:rPr>
                <w:rFonts w:ascii="Times New Roman" w:hAnsi="Times New Roman"/>
                <w:sz w:val="22"/>
              </w:rPr>
              <w:t>5.2. Утвердить карту рисков АО "Краспригород" на 2018 год, в соответствии с Приложением №2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CD130000">
            <w:pPr>
              <w:widowControl w:val="1"/>
              <w:ind w:right="64"/>
              <w:contextualSpacing w:val="1"/>
              <w:rPr>
                <w:b w:val="1"/>
                <w:i w:val="1"/>
                <w:sz w:val="22"/>
              </w:rPr>
            </w:pPr>
            <w:r>
              <w:rPr>
                <w:b w:val="1"/>
                <w:i w:val="1"/>
                <w:sz w:val="22"/>
              </w:rPr>
              <w:t>Выполнено в полном объеме</w:t>
            </w:r>
          </w:p>
          <w:p w14:paraId="CE130000">
            <w:pPr>
              <w:widowControl w:val="1"/>
              <w:ind w:right="64"/>
              <w:contextualSpacing w:val="1"/>
              <w:rPr>
                <w:b w:val="1"/>
                <w:i w:val="1"/>
                <w:sz w:val="22"/>
              </w:rPr>
            </w:pPr>
          </w:p>
          <w:p w14:paraId="CF130000">
            <w:pPr>
              <w:widowControl w:val="1"/>
              <w:ind w:right="64"/>
              <w:contextualSpacing w:val="1"/>
              <w:rPr>
                <w:b w:val="1"/>
                <w:i w:val="1"/>
                <w:sz w:val="22"/>
              </w:rPr>
            </w:pPr>
          </w:p>
          <w:p w14:paraId="D0130000">
            <w:pPr>
              <w:widowControl w:val="1"/>
              <w:ind w:right="64"/>
              <w:contextualSpacing w:val="1"/>
              <w:rPr>
                <w:b w:val="1"/>
                <w:i w:val="1"/>
                <w:sz w:val="22"/>
              </w:rPr>
            </w:pPr>
            <w:r>
              <w:rPr>
                <w:b w:val="1"/>
                <w:i w:val="1"/>
                <w:sz w:val="22"/>
              </w:rPr>
              <w:t>Выполнено в полном объеме</w:t>
            </w:r>
          </w:p>
        </w:tc>
      </w:tr>
      <w:tr>
        <w:trPr>
          <w:trHeight w:hRule="atLeast" w:val="210"/>
        </w:trPr>
        <w:tc>
          <w:tcPr>
            <w:tcW w:type="dxa" w:w="9494"/>
            <w:gridSpan w:val="4"/>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D1130000">
            <w:pPr>
              <w:widowControl w:val="1"/>
              <w:ind w:left="-758" w:right="64"/>
              <w:contextualSpacing w:val="1"/>
              <w:jc w:val="center"/>
              <w:rPr>
                <w:b w:val="1"/>
                <w:sz w:val="22"/>
              </w:rPr>
            </w:pPr>
            <w:r>
              <w:rPr>
                <w:b w:val="1"/>
                <w:sz w:val="22"/>
              </w:rPr>
              <w:t>Совет директоров</w:t>
            </w:r>
          </w:p>
          <w:p w14:paraId="D2130000">
            <w:pPr>
              <w:widowControl w:val="1"/>
              <w:ind w:left="-758" w:right="64"/>
              <w:contextualSpacing w:val="1"/>
              <w:jc w:val="center"/>
              <w:rPr>
                <w:b w:val="1"/>
                <w:sz w:val="22"/>
              </w:rPr>
            </w:pPr>
            <w:r>
              <w:rPr>
                <w:b w:val="1"/>
                <w:sz w:val="22"/>
              </w:rPr>
              <w:t>«30» марта 2018 г.</w:t>
            </w:r>
          </w:p>
          <w:p w14:paraId="D3130000">
            <w:pPr>
              <w:widowControl w:val="1"/>
              <w:ind w:left="-758" w:right="64"/>
              <w:contextualSpacing w:val="1"/>
              <w:jc w:val="center"/>
              <w:rPr>
                <w:b w:val="1"/>
                <w:i w:val="1"/>
                <w:sz w:val="22"/>
              </w:rPr>
            </w:pPr>
            <w:r>
              <w:rPr>
                <w:b w:val="1"/>
                <w:sz w:val="22"/>
              </w:rPr>
              <w:t>ПРОТОКОЛ  № 10</w:t>
            </w:r>
          </w:p>
        </w:tc>
      </w:tr>
      <w:tr>
        <w:trPr>
          <w:trHeight w:hRule="atLeast" w:val="27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D4130000">
            <w:pPr>
              <w:widowControl w:val="1"/>
              <w:ind w:firstLine="709" w:left="-758"/>
              <w:contextualSpacing w:val="1"/>
              <w:jc w:val="center"/>
              <w:rPr>
                <w:sz w:val="22"/>
              </w:rPr>
            </w:pPr>
            <w:r>
              <w:rPr>
                <w:sz w:val="22"/>
              </w:rPr>
              <w:t>1</w:t>
            </w:r>
          </w:p>
        </w:tc>
        <w:tc>
          <w:tcPr>
            <w:tcW w:type="dxa" w:w="2043"/>
            <w:tcBorders>
              <w:top w:color="000000" w:sz="4" w:val="single"/>
              <w:left w:color="000000" w:sz="4" w:val="single"/>
              <w:bottom w:color="000000" w:sz="4" w:val="single"/>
              <w:right w:color="000000" w:sz="4" w:val="single"/>
            </w:tcBorders>
            <w:tcMar>
              <w:left w:type="dxa" w:w="0"/>
              <w:right w:type="dxa" w:w="0"/>
            </w:tcMar>
          </w:tcPr>
          <w:p w14:paraId="D5130000">
            <w:pPr>
              <w:widowControl w:val="1"/>
              <w:ind w:right="64"/>
              <w:contextualSpacing w:val="1"/>
              <w:rPr>
                <w:sz w:val="22"/>
              </w:rPr>
            </w:pPr>
            <w:r>
              <w:rPr>
                <w:sz w:val="22"/>
              </w:rPr>
              <w:t xml:space="preserve">Об индексации фиксированного размера оплаты труда генерального директора </w:t>
            </w:r>
          </w:p>
          <w:p w14:paraId="D6130000">
            <w:pPr>
              <w:widowControl w:val="1"/>
              <w:ind w:right="64"/>
              <w:contextualSpacing w:val="1"/>
              <w:rPr>
                <w:sz w:val="22"/>
              </w:rPr>
            </w:pPr>
            <w:r>
              <w:rPr>
                <w:sz w:val="22"/>
              </w:rPr>
              <w:t>АО «Краспригород»</w:t>
            </w:r>
          </w:p>
          <w:p w14:paraId="D713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D8130000">
            <w:pPr>
              <w:pStyle w:val="Style_17"/>
              <w:widowControl w:val="1"/>
              <w:spacing w:after="0"/>
              <w:ind w:right="64"/>
              <w:contextualSpacing w:val="1"/>
              <w:rPr>
                <w:sz w:val="22"/>
              </w:rPr>
            </w:pPr>
            <w:r>
              <w:rPr>
                <w:sz w:val="22"/>
              </w:rPr>
              <w:t xml:space="preserve">1.1. </w:t>
            </w:r>
            <w:r>
              <w:rPr>
                <w:color w:val="000000"/>
                <w:sz w:val="22"/>
              </w:rPr>
              <w:t xml:space="preserve">Осуществить индексацию фиксированного размера оплаты труда генерального директора АО «Краспригород» Быкова Эдуарда Владимировича </w:t>
            </w:r>
            <w:r>
              <w:rPr>
                <w:sz w:val="22"/>
              </w:rPr>
              <w:t>(Приложение №1 к протоколу заседания Совета директоров).</w:t>
            </w:r>
          </w:p>
          <w:p w14:paraId="D9130000">
            <w:pPr>
              <w:widowControl w:val="1"/>
              <w:ind w:right="64"/>
              <w:contextualSpacing w:val="1"/>
              <w:rPr>
                <w:sz w:val="22"/>
              </w:rPr>
            </w:pPr>
            <w:r>
              <w:rPr>
                <w:color w:val="000000"/>
                <w:sz w:val="22"/>
              </w:rPr>
              <w:t xml:space="preserve">1.2. </w:t>
            </w:r>
            <w:r>
              <w:rPr>
                <w:sz w:val="22"/>
              </w:rPr>
              <w:t xml:space="preserve">Поручить председателю совета директоров </w:t>
            </w:r>
            <w:r>
              <w:rPr>
                <w:color w:val="000000"/>
                <w:sz w:val="22"/>
              </w:rPr>
              <w:t xml:space="preserve">АО </w:t>
            </w:r>
            <w:r>
              <w:rPr>
                <w:sz w:val="22"/>
              </w:rPr>
              <w:t>«</w:t>
            </w:r>
            <w:r>
              <w:rPr>
                <w:color w:val="000000"/>
                <w:sz w:val="22"/>
              </w:rPr>
              <w:t>Краспригород</w:t>
            </w:r>
            <w:r>
              <w:rPr>
                <w:sz w:val="22"/>
              </w:rPr>
              <w:t>»</w:t>
            </w:r>
            <w:r>
              <w:rPr>
                <w:color w:val="000000"/>
                <w:sz w:val="22"/>
              </w:rPr>
              <w:t xml:space="preserve"> Ткачеву Льву Викторовичу</w:t>
            </w:r>
            <w:r>
              <w:rPr>
                <w:color w:val="000000"/>
                <w:sz w:val="22"/>
              </w:rPr>
              <w:t xml:space="preserve"> </w:t>
            </w:r>
            <w:r>
              <w:rPr>
                <w:sz w:val="22"/>
              </w:rPr>
              <w:t xml:space="preserve">подписать от имени Общества Дополнительное соглашение №3 к Трудовому договору от 03.08.2017г. </w:t>
            </w:r>
            <w:r>
              <w:rPr>
                <w:color w:val="000000"/>
                <w:sz w:val="22"/>
              </w:rPr>
              <w:t>с Быковым Эдуардом Владимировичем</w:t>
            </w:r>
            <w:r>
              <w:rPr>
                <w:sz w:val="22"/>
              </w:rPr>
              <w:t xml:space="preserve"> (Приложение №2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DA130000">
            <w:pPr>
              <w:widowControl w:val="1"/>
              <w:ind w:right="64"/>
              <w:contextualSpacing w:val="1"/>
              <w:rPr>
                <w:b w:val="1"/>
                <w:i w:val="1"/>
                <w:sz w:val="22"/>
              </w:rPr>
            </w:pPr>
            <w:r>
              <w:rPr>
                <w:b w:val="1"/>
                <w:i w:val="1"/>
                <w:sz w:val="22"/>
              </w:rPr>
              <w:t>Выполнено в полном объеме</w:t>
            </w:r>
          </w:p>
          <w:p w14:paraId="DB130000">
            <w:pPr>
              <w:widowControl w:val="1"/>
              <w:ind w:right="64"/>
              <w:contextualSpacing w:val="1"/>
              <w:rPr>
                <w:b w:val="1"/>
                <w:i w:val="1"/>
                <w:sz w:val="22"/>
              </w:rPr>
            </w:pPr>
          </w:p>
          <w:p w14:paraId="DC130000">
            <w:pPr>
              <w:widowControl w:val="1"/>
              <w:ind w:right="64"/>
              <w:contextualSpacing w:val="1"/>
              <w:rPr>
                <w:b w:val="1"/>
                <w:i w:val="1"/>
                <w:sz w:val="22"/>
              </w:rPr>
            </w:pPr>
          </w:p>
          <w:p w14:paraId="DD130000">
            <w:pPr>
              <w:widowControl w:val="1"/>
              <w:ind w:right="64"/>
              <w:contextualSpacing w:val="1"/>
              <w:rPr>
                <w:b w:val="1"/>
                <w:i w:val="1"/>
                <w:sz w:val="22"/>
              </w:rPr>
            </w:pPr>
          </w:p>
          <w:p w14:paraId="DE130000">
            <w:pPr>
              <w:widowControl w:val="1"/>
              <w:ind w:right="64"/>
              <w:contextualSpacing w:val="1"/>
              <w:rPr>
                <w:sz w:val="22"/>
              </w:rPr>
            </w:pPr>
            <w:r>
              <w:rPr>
                <w:b w:val="1"/>
                <w:i w:val="1"/>
                <w:sz w:val="22"/>
              </w:rPr>
              <w:t>Выполнено в полном объеме</w:t>
            </w:r>
          </w:p>
        </w:tc>
      </w:tr>
      <w:tr>
        <w:trPr>
          <w:trHeight w:hRule="atLeast" w:val="255"/>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DF130000">
            <w:pPr>
              <w:widowControl w:val="1"/>
              <w:ind w:firstLine="709" w:left="-758"/>
              <w:contextualSpacing w:val="1"/>
              <w:jc w:val="center"/>
              <w:rPr>
                <w:sz w:val="22"/>
              </w:rPr>
            </w:pPr>
            <w:r>
              <w:rPr>
                <w:sz w:val="22"/>
              </w:rPr>
              <w:t>2</w:t>
            </w:r>
          </w:p>
        </w:tc>
        <w:tc>
          <w:tcPr>
            <w:tcW w:type="dxa" w:w="2043"/>
            <w:tcBorders>
              <w:top w:color="000000" w:sz="4" w:val="single"/>
              <w:left w:color="000000" w:sz="4" w:val="single"/>
              <w:bottom w:color="000000" w:sz="4" w:val="single"/>
              <w:right w:color="000000" w:sz="4" w:val="single"/>
            </w:tcBorders>
            <w:tcMar>
              <w:left w:type="dxa" w:w="0"/>
              <w:right w:type="dxa" w:w="0"/>
            </w:tcMar>
          </w:tcPr>
          <w:p w14:paraId="E0130000">
            <w:pPr>
              <w:widowControl w:val="1"/>
              <w:ind w:right="64"/>
              <w:contextualSpacing w:val="1"/>
              <w:rPr>
                <w:sz w:val="22"/>
              </w:rPr>
            </w:pPr>
            <w:r>
              <w:rPr>
                <w:sz w:val="22"/>
              </w:rPr>
              <w:t xml:space="preserve">Об утверждении </w:t>
            </w:r>
            <w:r>
              <w:rPr>
                <w:sz w:val="22"/>
              </w:rPr>
              <w:t>Регламента согласования депозитных сделок с ОАО «РЖД» и предоставления отчетов по портфелю депозитов и остаткам по счетам</w:t>
            </w:r>
          </w:p>
          <w:p w14:paraId="E113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E2130000">
            <w:pPr>
              <w:widowControl w:val="1"/>
              <w:ind w:right="64"/>
              <w:contextualSpacing w:val="1"/>
              <w:rPr>
                <w:sz w:val="22"/>
              </w:rPr>
            </w:pPr>
            <w:r>
              <w:rPr>
                <w:color w:val="000000"/>
                <w:sz w:val="22"/>
              </w:rPr>
              <w:t xml:space="preserve">2.1. </w:t>
            </w:r>
            <w:r>
              <w:rPr>
                <w:sz w:val="22"/>
              </w:rPr>
              <w:t xml:space="preserve">Утвердить Регламент согласования </w:t>
            </w:r>
            <w:r>
              <w:rPr>
                <w:sz w:val="22"/>
              </w:rPr>
              <w:t>депозитных сделок с ОАО «РЖД» и предоставления отчетов по портфелю депозитов и остаткам по счетам</w:t>
            </w:r>
            <w:r>
              <w:rPr>
                <w:sz w:val="22"/>
              </w:rPr>
              <w:t>, разработанный в соответствии с Регламентом, утвержденным распоряжением ОАО «РЖД» от 30.01.2018 № 170р  (Приложение №3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E3130000">
            <w:pPr>
              <w:widowControl w:val="1"/>
              <w:ind w:right="64"/>
              <w:contextualSpacing w:val="1"/>
              <w:rPr>
                <w:b w:val="1"/>
                <w:i w:val="1"/>
                <w:sz w:val="22"/>
              </w:rPr>
            </w:pPr>
            <w:r>
              <w:rPr>
                <w:b w:val="1"/>
                <w:i w:val="1"/>
                <w:sz w:val="22"/>
              </w:rPr>
              <w:t>Выполнено в полном объеме</w:t>
            </w:r>
          </w:p>
          <w:p w14:paraId="E4130000">
            <w:pPr>
              <w:widowControl w:val="1"/>
              <w:ind w:right="64"/>
              <w:contextualSpacing w:val="1"/>
              <w:rPr>
                <w:sz w:val="22"/>
              </w:rPr>
            </w:pPr>
          </w:p>
        </w:tc>
      </w:tr>
      <w:tr>
        <w:trPr>
          <w:trHeight w:hRule="atLeast" w:val="456"/>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E5130000">
            <w:pPr>
              <w:widowControl w:val="1"/>
              <w:ind w:firstLine="709" w:left="-758"/>
              <w:contextualSpacing w:val="1"/>
              <w:jc w:val="center"/>
              <w:rPr>
                <w:sz w:val="22"/>
              </w:rPr>
            </w:pPr>
            <w:r>
              <w:rPr>
                <w:sz w:val="22"/>
              </w:rPr>
              <w:t>3</w:t>
            </w:r>
          </w:p>
        </w:tc>
        <w:tc>
          <w:tcPr>
            <w:tcW w:type="dxa" w:w="2043"/>
            <w:tcBorders>
              <w:top w:color="000000" w:sz="4" w:val="single"/>
              <w:left w:color="000000" w:sz="4" w:val="single"/>
              <w:bottom w:color="000000" w:sz="4" w:val="single"/>
              <w:right w:color="000000" w:sz="4" w:val="single"/>
            </w:tcBorders>
            <w:tcMar>
              <w:left w:type="dxa" w:w="0"/>
              <w:right w:type="dxa" w:w="0"/>
            </w:tcMar>
          </w:tcPr>
          <w:p w14:paraId="E6130000">
            <w:pPr>
              <w:widowControl w:val="1"/>
              <w:ind w:right="64"/>
              <w:contextualSpacing w:val="1"/>
              <w:rPr>
                <w:sz w:val="22"/>
              </w:rPr>
            </w:pPr>
            <w:r>
              <w:rPr>
                <w:sz w:val="22"/>
              </w:rPr>
              <w:t>О принятии к руководству единой методики оценки уровня удовлетворенности пассажиров качеством услуг железнодорожного транспорта</w:t>
            </w:r>
          </w:p>
          <w:p w14:paraId="E713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E8130000">
            <w:pPr>
              <w:widowControl w:val="1"/>
              <w:ind w:right="64"/>
              <w:contextualSpacing w:val="1"/>
              <w:rPr>
                <w:sz w:val="22"/>
              </w:rPr>
            </w:pPr>
            <w:r>
              <w:rPr>
                <w:color w:val="000000"/>
                <w:sz w:val="22"/>
              </w:rPr>
              <w:t>3.1.</w:t>
            </w:r>
            <w:r>
              <w:rPr>
                <w:sz w:val="22"/>
              </w:rPr>
              <w:tab/>
            </w:r>
            <w:r>
              <w:rPr>
                <w:sz w:val="22"/>
              </w:rPr>
              <w:t>Принять к руководству единую методику оценки уровня удовлетворенности пассажиров качеством услуг железнодорожного транспорта, утвержденную распоряжением ОАО «РЖД» от 07.02.2018г. № 227р (Приложение №4 к протоколу заседания совета директоров).</w:t>
            </w:r>
          </w:p>
          <w:p w14:paraId="E9130000">
            <w:pPr>
              <w:pStyle w:val="Style_12"/>
              <w:widowControl w:val="1"/>
              <w:ind w:right="64"/>
              <w:contextualSpacing w:val="1"/>
              <w:rPr>
                <w:rFonts w:ascii="Times New Roman" w:hAnsi="Times New Roman"/>
                <w:sz w:val="22"/>
              </w:rPr>
            </w:pPr>
            <w:r>
              <w:rPr>
                <w:rFonts w:ascii="Times New Roman" w:hAnsi="Times New Roman"/>
                <w:sz w:val="22"/>
              </w:rPr>
              <w:t>3.2.</w:t>
            </w:r>
            <w:r>
              <w:rPr>
                <w:rFonts w:ascii="Times New Roman" w:hAnsi="Times New Roman"/>
                <w:sz w:val="22"/>
              </w:rPr>
              <w:tab/>
            </w:r>
            <w:r>
              <w:rPr>
                <w:rFonts w:ascii="Times New Roman" w:hAnsi="Times New Roman"/>
                <w:sz w:val="22"/>
              </w:rPr>
              <w:t>Поручить генеральному директору АО "Краспригород" ежеквартальное информирование членов совета директоров с результатами оценки уровня удовлетворенности.</w:t>
            </w:r>
          </w:p>
        </w:tc>
        <w:tc>
          <w:tcPr>
            <w:tcW w:type="dxa" w:w="1605"/>
            <w:tcBorders>
              <w:top w:color="000000" w:sz="4" w:val="single"/>
              <w:left w:sz="4" w:val="nil"/>
              <w:bottom w:color="000000" w:sz="4" w:val="single"/>
              <w:right w:color="000000" w:sz="4" w:val="single"/>
            </w:tcBorders>
            <w:tcMar>
              <w:left w:type="dxa" w:w="0"/>
              <w:right w:type="dxa" w:w="0"/>
            </w:tcMar>
          </w:tcPr>
          <w:p w14:paraId="EA130000">
            <w:pPr>
              <w:widowControl w:val="1"/>
              <w:ind w:right="64"/>
              <w:contextualSpacing w:val="1"/>
              <w:rPr>
                <w:b w:val="1"/>
                <w:i w:val="1"/>
                <w:sz w:val="22"/>
              </w:rPr>
            </w:pPr>
            <w:r>
              <w:rPr>
                <w:b w:val="1"/>
                <w:i w:val="1"/>
                <w:sz w:val="22"/>
              </w:rPr>
              <w:t>Выполнено в полном объеме</w:t>
            </w:r>
          </w:p>
          <w:p w14:paraId="EB130000">
            <w:pPr>
              <w:widowControl w:val="1"/>
              <w:ind w:right="64"/>
              <w:contextualSpacing w:val="1"/>
              <w:rPr>
                <w:b w:val="1"/>
                <w:i w:val="1"/>
                <w:sz w:val="22"/>
              </w:rPr>
            </w:pPr>
          </w:p>
          <w:p w14:paraId="EC130000">
            <w:pPr>
              <w:widowControl w:val="1"/>
              <w:ind w:right="64"/>
              <w:contextualSpacing w:val="1"/>
              <w:rPr>
                <w:b w:val="1"/>
                <w:i w:val="1"/>
                <w:sz w:val="22"/>
              </w:rPr>
            </w:pPr>
          </w:p>
          <w:p w14:paraId="ED130000">
            <w:pPr>
              <w:widowControl w:val="1"/>
              <w:ind w:right="64"/>
              <w:contextualSpacing w:val="1"/>
              <w:rPr>
                <w:sz w:val="22"/>
              </w:rPr>
            </w:pPr>
          </w:p>
          <w:p w14:paraId="EE130000">
            <w:pPr>
              <w:widowControl w:val="1"/>
              <w:ind w:right="64"/>
              <w:contextualSpacing w:val="1"/>
              <w:rPr>
                <w:b w:val="1"/>
                <w:i w:val="1"/>
                <w:sz w:val="22"/>
              </w:rPr>
            </w:pPr>
          </w:p>
          <w:p w14:paraId="EF130000">
            <w:pPr>
              <w:widowControl w:val="1"/>
              <w:ind w:right="64"/>
              <w:contextualSpacing w:val="1"/>
              <w:rPr>
                <w:b w:val="1"/>
                <w:i w:val="1"/>
                <w:sz w:val="22"/>
              </w:rPr>
            </w:pPr>
          </w:p>
          <w:p w14:paraId="F0130000">
            <w:pPr>
              <w:widowControl w:val="1"/>
              <w:ind w:right="64"/>
              <w:contextualSpacing w:val="1"/>
              <w:rPr>
                <w:sz w:val="22"/>
              </w:rPr>
            </w:pPr>
            <w:r>
              <w:rPr>
                <w:b w:val="1"/>
                <w:i w:val="1"/>
                <w:sz w:val="22"/>
              </w:rPr>
              <w:t>В стадии исполнения</w:t>
            </w:r>
          </w:p>
        </w:tc>
      </w:tr>
      <w:tr>
        <w:trPr>
          <w:trHeight w:hRule="atLeast" w:val="21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F1130000">
            <w:pPr>
              <w:widowControl w:val="1"/>
              <w:ind w:firstLine="709" w:left="-758"/>
              <w:contextualSpacing w:val="1"/>
              <w:jc w:val="center"/>
              <w:rPr>
                <w:sz w:val="22"/>
              </w:rPr>
            </w:pPr>
            <w:r>
              <w:rPr>
                <w:sz w:val="22"/>
              </w:rPr>
              <w:t>4</w:t>
            </w:r>
          </w:p>
        </w:tc>
        <w:tc>
          <w:tcPr>
            <w:tcW w:type="dxa" w:w="2043"/>
            <w:tcBorders>
              <w:top w:color="000000" w:sz="4" w:val="single"/>
              <w:left w:color="000000" w:sz="4" w:val="single"/>
              <w:bottom w:color="000000" w:sz="4" w:val="single"/>
              <w:right w:color="000000" w:sz="4" w:val="single"/>
            </w:tcBorders>
            <w:tcMar>
              <w:left w:type="dxa" w:w="0"/>
              <w:right w:type="dxa" w:w="0"/>
            </w:tcMar>
          </w:tcPr>
          <w:p w14:paraId="F2130000">
            <w:pPr>
              <w:pStyle w:val="Style_12"/>
              <w:widowControl w:val="1"/>
              <w:ind w:right="64"/>
              <w:contextualSpacing w:val="1"/>
              <w:rPr>
                <w:rFonts w:ascii="Times New Roman" w:hAnsi="Times New Roman"/>
                <w:color w:val="000000"/>
                <w:sz w:val="22"/>
              </w:rPr>
            </w:pPr>
            <w:r>
              <w:rPr>
                <w:rFonts w:ascii="Times New Roman" w:hAnsi="Times New Roman"/>
                <w:sz w:val="22"/>
              </w:rPr>
              <w:t>О рассмотрении отчета генерального директора по выполнению мероприятий, направленных на повышение качества транспортного обслуживания пассажиров в 2017г.</w:t>
            </w:r>
          </w:p>
          <w:p w14:paraId="F313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F4130000">
            <w:pPr>
              <w:widowControl w:val="1"/>
              <w:ind w:right="64"/>
              <w:contextualSpacing w:val="1"/>
              <w:rPr>
                <w:sz w:val="22"/>
              </w:rPr>
            </w:pPr>
            <w:r>
              <w:rPr>
                <w:color w:val="000000"/>
                <w:sz w:val="22"/>
              </w:rPr>
              <w:t xml:space="preserve">4.1. </w:t>
            </w:r>
            <w:r>
              <w:rPr>
                <w:sz w:val="22"/>
              </w:rPr>
              <w:t>Принять к сведению отчет генерального директора по выполнению мероприятий, направленных на повышение качества транспортного обслуживания пассажиров в 2017г. (Приложение №5 к протоколу заседания совета директоров).</w:t>
            </w:r>
          </w:p>
          <w:p w14:paraId="F5130000">
            <w:pPr>
              <w:widowControl w:val="1"/>
              <w:ind w:right="64"/>
              <w:contextualSpacing w:val="1"/>
              <w:rPr>
                <w:sz w:val="22"/>
              </w:rPr>
            </w:pPr>
            <w:r>
              <w:rPr>
                <w:b w:val="1"/>
                <w:sz w:val="22"/>
              </w:rPr>
              <w:t>Члены Совета директоров, присутствующие на заседании, единогласно постановили дать генеральному директору АО "Краспригород" следующее поручение:</w:t>
            </w:r>
          </w:p>
          <w:p w14:paraId="F6130000">
            <w:pPr>
              <w:widowControl w:val="1"/>
              <w:ind w:right="64"/>
              <w:contextualSpacing w:val="1"/>
              <w:rPr>
                <w:sz w:val="22"/>
              </w:rPr>
            </w:pPr>
            <w:r>
              <w:rPr>
                <w:sz w:val="22"/>
              </w:rPr>
              <w:t xml:space="preserve">Проработать вопрос по внедрению </w:t>
            </w:r>
            <w:r>
              <w:rPr>
                <w:sz w:val="22"/>
              </w:rPr>
              <w:t>QR</w:t>
            </w:r>
            <w:r>
              <w:rPr>
                <w:sz w:val="22"/>
              </w:rPr>
              <w:t xml:space="preserve"> кода для обеспечения защиты от фальсификации проездных документов (билетов), а также обеспечения внедрения электронных билетов на все направления пригородных поездов с применением </w:t>
            </w:r>
            <w:r>
              <w:rPr>
                <w:sz w:val="22"/>
              </w:rPr>
              <w:t>QR</w:t>
            </w:r>
            <w:r>
              <w:rPr>
                <w:sz w:val="22"/>
              </w:rPr>
              <w:tab/>
            </w:r>
            <w:r>
              <w:rPr>
                <w:sz w:val="22"/>
              </w:rPr>
              <w:t xml:space="preserve"> кодов.</w:t>
            </w:r>
          </w:p>
          <w:p w14:paraId="F7130000">
            <w:pPr>
              <w:widowControl w:val="1"/>
              <w:ind w:right="64"/>
              <w:contextualSpacing w:val="1"/>
              <w:rPr>
                <w:b w:val="1"/>
                <w:sz w:val="22"/>
                <w:u w:val="single"/>
              </w:rPr>
            </w:pPr>
            <w:r>
              <w:rPr>
                <w:b w:val="1"/>
                <w:sz w:val="22"/>
              </w:rPr>
              <w:t>Члены Совета директоров, присутствующие на заседании, единогласно постановили дать генеральному директору АО "Краспригород" следующее поручение:</w:t>
            </w:r>
          </w:p>
          <w:p w14:paraId="F8130000">
            <w:pPr>
              <w:widowControl w:val="1"/>
              <w:ind w:right="64"/>
              <w:contextualSpacing w:val="1"/>
              <w:rPr>
                <w:sz w:val="22"/>
              </w:rPr>
            </w:pPr>
            <w:r>
              <w:rPr>
                <w:sz w:val="22"/>
              </w:rPr>
              <w:t xml:space="preserve">Продолжить положительную практику по реализации проездных документов на пригородные и междугородние автобусы на все межмуниципальные маршруты, предлагаемые Красноярским автовокзалом, в билетных кассах АО "Краспригород". </w:t>
            </w:r>
          </w:p>
        </w:tc>
        <w:tc>
          <w:tcPr>
            <w:tcW w:type="dxa" w:w="1605"/>
            <w:tcBorders>
              <w:top w:color="000000" w:sz="4" w:val="single"/>
              <w:left w:sz="4" w:val="nil"/>
              <w:bottom w:color="000000" w:sz="4" w:val="single"/>
              <w:right w:color="000000" w:sz="4" w:val="single"/>
            </w:tcBorders>
            <w:tcMar>
              <w:left w:type="dxa" w:w="0"/>
              <w:right w:type="dxa" w:w="0"/>
            </w:tcMar>
          </w:tcPr>
          <w:p w14:paraId="F9130000">
            <w:pPr>
              <w:widowControl w:val="1"/>
              <w:ind w:right="64"/>
              <w:contextualSpacing w:val="1"/>
              <w:rPr>
                <w:sz w:val="22"/>
              </w:rPr>
            </w:pPr>
            <w:r>
              <w:rPr>
                <w:b w:val="1"/>
                <w:i w:val="1"/>
                <w:sz w:val="22"/>
              </w:rPr>
              <w:t>Выполнено в полном объеме</w:t>
            </w:r>
          </w:p>
          <w:p w14:paraId="FA130000">
            <w:pPr>
              <w:widowControl w:val="1"/>
              <w:ind w:right="64"/>
              <w:contextualSpacing w:val="1"/>
              <w:rPr>
                <w:sz w:val="22"/>
              </w:rPr>
            </w:pPr>
          </w:p>
          <w:p w14:paraId="FB130000">
            <w:pPr>
              <w:widowControl w:val="1"/>
              <w:ind w:right="64"/>
              <w:contextualSpacing w:val="1"/>
              <w:rPr>
                <w:sz w:val="22"/>
              </w:rPr>
            </w:pPr>
          </w:p>
          <w:p w14:paraId="FC130000">
            <w:pPr>
              <w:widowControl w:val="1"/>
              <w:ind w:right="64"/>
              <w:contextualSpacing w:val="1"/>
              <w:rPr>
                <w:sz w:val="22"/>
              </w:rPr>
            </w:pPr>
          </w:p>
          <w:p w14:paraId="FD130000">
            <w:pPr>
              <w:widowControl w:val="1"/>
              <w:ind w:right="64"/>
              <w:contextualSpacing w:val="1"/>
              <w:rPr>
                <w:b w:val="1"/>
                <w:i w:val="1"/>
                <w:sz w:val="22"/>
              </w:rPr>
            </w:pPr>
          </w:p>
          <w:p w14:paraId="FE130000">
            <w:pPr>
              <w:widowControl w:val="1"/>
              <w:ind w:right="64"/>
              <w:contextualSpacing w:val="1"/>
              <w:rPr>
                <w:b w:val="1"/>
                <w:i w:val="1"/>
                <w:sz w:val="22"/>
              </w:rPr>
            </w:pPr>
            <w:r>
              <w:rPr>
                <w:b w:val="1"/>
                <w:i w:val="1"/>
                <w:sz w:val="22"/>
              </w:rPr>
              <w:t>Выполнено в полном объеме</w:t>
            </w:r>
          </w:p>
          <w:p w14:paraId="FF130000">
            <w:pPr>
              <w:widowControl w:val="1"/>
              <w:ind w:right="64"/>
              <w:contextualSpacing w:val="1"/>
              <w:rPr>
                <w:b w:val="1"/>
                <w:i w:val="1"/>
                <w:sz w:val="22"/>
              </w:rPr>
            </w:pPr>
          </w:p>
          <w:p w14:paraId="00140000">
            <w:pPr>
              <w:widowControl w:val="1"/>
              <w:ind w:right="64"/>
              <w:contextualSpacing w:val="1"/>
              <w:rPr>
                <w:b w:val="1"/>
                <w:i w:val="1"/>
                <w:sz w:val="22"/>
              </w:rPr>
            </w:pPr>
          </w:p>
          <w:p w14:paraId="01140000">
            <w:pPr>
              <w:widowControl w:val="1"/>
              <w:ind w:right="64"/>
              <w:contextualSpacing w:val="1"/>
              <w:rPr>
                <w:b w:val="1"/>
                <w:i w:val="1"/>
                <w:sz w:val="22"/>
              </w:rPr>
            </w:pPr>
          </w:p>
          <w:p w14:paraId="02140000">
            <w:pPr>
              <w:widowControl w:val="1"/>
              <w:ind w:right="64"/>
              <w:contextualSpacing w:val="1"/>
              <w:rPr>
                <w:b w:val="1"/>
                <w:i w:val="1"/>
                <w:sz w:val="22"/>
              </w:rPr>
            </w:pPr>
          </w:p>
          <w:p w14:paraId="03140000">
            <w:pPr>
              <w:widowControl w:val="1"/>
              <w:ind w:right="64"/>
              <w:contextualSpacing w:val="1"/>
              <w:rPr>
                <w:b w:val="1"/>
                <w:i w:val="1"/>
                <w:sz w:val="22"/>
              </w:rPr>
            </w:pPr>
          </w:p>
          <w:p w14:paraId="04140000">
            <w:pPr>
              <w:widowControl w:val="1"/>
              <w:ind w:right="64"/>
              <w:contextualSpacing w:val="1"/>
              <w:rPr>
                <w:b w:val="1"/>
                <w:i w:val="1"/>
                <w:sz w:val="22"/>
              </w:rPr>
            </w:pPr>
          </w:p>
          <w:p w14:paraId="05140000">
            <w:pPr>
              <w:widowControl w:val="1"/>
              <w:ind w:right="64"/>
              <w:contextualSpacing w:val="1"/>
              <w:rPr>
                <w:b w:val="1"/>
                <w:i w:val="1"/>
                <w:sz w:val="22"/>
              </w:rPr>
            </w:pPr>
          </w:p>
          <w:p w14:paraId="06140000">
            <w:pPr>
              <w:widowControl w:val="1"/>
              <w:ind w:right="64"/>
              <w:contextualSpacing w:val="1"/>
              <w:rPr>
                <w:b w:val="1"/>
                <w:i w:val="1"/>
                <w:sz w:val="22"/>
              </w:rPr>
            </w:pPr>
          </w:p>
          <w:p w14:paraId="07140000">
            <w:pPr>
              <w:widowControl w:val="1"/>
              <w:ind w:right="64"/>
              <w:contextualSpacing w:val="1"/>
              <w:rPr>
                <w:b w:val="1"/>
                <w:i w:val="1"/>
                <w:sz w:val="22"/>
              </w:rPr>
            </w:pPr>
            <w:r>
              <w:rPr>
                <w:b w:val="1"/>
                <w:i w:val="1"/>
                <w:sz w:val="22"/>
              </w:rPr>
              <w:t>Выполнено в полном объеме</w:t>
            </w:r>
          </w:p>
          <w:p w14:paraId="08140000">
            <w:pPr>
              <w:widowControl w:val="1"/>
              <w:ind w:right="64"/>
              <w:contextualSpacing w:val="1"/>
              <w:rPr>
                <w:sz w:val="22"/>
              </w:rPr>
            </w:pPr>
          </w:p>
        </w:tc>
      </w:tr>
      <w:tr>
        <w:trPr>
          <w:trHeight w:hRule="atLeast" w:val="39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09140000">
            <w:pPr>
              <w:widowControl w:val="1"/>
              <w:ind w:firstLine="709" w:left="-758"/>
              <w:contextualSpacing w:val="1"/>
              <w:jc w:val="center"/>
              <w:rPr>
                <w:sz w:val="22"/>
              </w:rPr>
            </w:pPr>
            <w:r>
              <w:rPr>
                <w:sz w:val="22"/>
              </w:rPr>
              <w:t>5</w:t>
            </w:r>
          </w:p>
        </w:tc>
        <w:tc>
          <w:tcPr>
            <w:tcW w:type="dxa" w:w="2043"/>
            <w:tcBorders>
              <w:top w:color="000000" w:sz="4" w:val="single"/>
              <w:left w:color="000000" w:sz="4" w:val="single"/>
              <w:bottom w:color="000000" w:sz="4" w:val="single"/>
              <w:right w:color="000000" w:sz="4" w:val="single"/>
            </w:tcBorders>
            <w:tcMar>
              <w:left w:type="dxa" w:w="0"/>
              <w:right w:type="dxa" w:w="0"/>
            </w:tcMar>
          </w:tcPr>
          <w:p w14:paraId="0A140000">
            <w:pPr>
              <w:widowControl w:val="1"/>
              <w:ind w:right="64"/>
              <w:contextualSpacing w:val="1"/>
              <w:rPr>
                <w:sz w:val="22"/>
              </w:rPr>
            </w:pPr>
            <w:r>
              <w:rPr>
                <w:sz w:val="22"/>
              </w:rPr>
              <w:t xml:space="preserve">Об утверждении </w:t>
            </w:r>
            <w:r>
              <w:rPr>
                <w:sz w:val="22"/>
              </w:rPr>
              <w:t>годового отчета о выполнении программы информатизации за 2017 год</w:t>
            </w:r>
          </w:p>
        </w:tc>
        <w:tc>
          <w:tcPr>
            <w:tcW w:type="dxa" w:w="5404"/>
            <w:tcBorders>
              <w:top w:color="000000" w:sz="4" w:val="single"/>
              <w:left w:sz="4" w:val="nil"/>
              <w:bottom w:color="000000" w:sz="4" w:val="single"/>
              <w:right w:color="000000" w:sz="4" w:val="single"/>
            </w:tcBorders>
            <w:tcMar>
              <w:left w:type="dxa" w:w="0"/>
              <w:right w:type="dxa" w:w="0"/>
            </w:tcMar>
          </w:tcPr>
          <w:p w14:paraId="0B140000">
            <w:pPr>
              <w:widowControl w:val="1"/>
              <w:ind w:right="64"/>
              <w:contextualSpacing w:val="1"/>
              <w:rPr>
                <w:sz w:val="22"/>
              </w:rPr>
            </w:pPr>
            <w:r>
              <w:rPr>
                <w:color w:val="000000"/>
                <w:sz w:val="22"/>
              </w:rPr>
              <w:t xml:space="preserve">5.1. Утвердить годовой отчет </w:t>
            </w:r>
            <w:r>
              <w:rPr>
                <w:sz w:val="22"/>
              </w:rPr>
              <w:t>о выполнении программы информатизации за 2017 год (Приложение № 6 к протоколу заседания совета директоров).</w:t>
            </w:r>
          </w:p>
          <w:p w14:paraId="0C140000">
            <w:pPr>
              <w:widowControl w:val="1"/>
              <w:ind w:right="64"/>
              <w:contextualSpacing w:val="1"/>
              <w:rPr>
                <w:color w:val="000000"/>
                <w:sz w:val="22"/>
              </w:rPr>
            </w:pPr>
          </w:p>
        </w:tc>
        <w:tc>
          <w:tcPr>
            <w:tcW w:type="dxa" w:w="1605"/>
            <w:tcBorders>
              <w:top w:color="000000" w:sz="4" w:val="single"/>
              <w:left w:sz="4" w:val="nil"/>
              <w:bottom w:color="000000" w:sz="4" w:val="single"/>
              <w:right w:color="000000" w:sz="4" w:val="single"/>
            </w:tcBorders>
            <w:tcMar>
              <w:left w:type="dxa" w:w="0"/>
              <w:right w:type="dxa" w:w="0"/>
            </w:tcMar>
          </w:tcPr>
          <w:p w14:paraId="0D140000">
            <w:pPr>
              <w:widowControl w:val="1"/>
              <w:ind w:right="64"/>
              <w:contextualSpacing w:val="1"/>
              <w:rPr>
                <w:sz w:val="22"/>
              </w:rPr>
            </w:pPr>
            <w:r>
              <w:rPr>
                <w:b w:val="1"/>
                <w:i w:val="1"/>
                <w:sz w:val="22"/>
              </w:rPr>
              <w:t>Выполнено в полном объеме</w:t>
            </w:r>
          </w:p>
        </w:tc>
      </w:tr>
      <w:tr>
        <w:trPr>
          <w:trHeight w:hRule="atLeast" w:val="1787"/>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0E140000">
            <w:pPr>
              <w:widowControl w:val="1"/>
              <w:ind w:firstLine="709" w:left="-758"/>
              <w:contextualSpacing w:val="1"/>
              <w:jc w:val="center"/>
              <w:rPr>
                <w:sz w:val="22"/>
              </w:rPr>
            </w:pPr>
            <w:r>
              <w:rPr>
                <w:sz w:val="22"/>
              </w:rPr>
              <w:t>6</w:t>
            </w:r>
          </w:p>
        </w:tc>
        <w:tc>
          <w:tcPr>
            <w:tcW w:type="dxa" w:w="2043"/>
            <w:tcBorders>
              <w:top w:color="000000" w:sz="4" w:val="single"/>
              <w:left w:color="000000" w:sz="4" w:val="single"/>
              <w:bottom w:color="000000" w:sz="4" w:val="single"/>
              <w:right w:color="000000" w:sz="4" w:val="single"/>
            </w:tcBorders>
            <w:tcMar>
              <w:left w:type="dxa" w:w="0"/>
              <w:right w:type="dxa" w:w="0"/>
            </w:tcMar>
          </w:tcPr>
          <w:p w14:paraId="0F140000">
            <w:pPr>
              <w:widowControl w:val="1"/>
              <w:ind w:right="64"/>
              <w:contextualSpacing w:val="1"/>
              <w:rPr>
                <w:sz w:val="22"/>
              </w:rPr>
            </w:pPr>
            <w:r>
              <w:rPr>
                <w:sz w:val="22"/>
              </w:rPr>
              <w:t>О</w:t>
            </w:r>
            <w:r>
              <w:rPr>
                <w:sz w:val="22"/>
              </w:rPr>
              <w:t xml:space="preserve"> формировании системы внутреннего аудита Общества</w:t>
            </w:r>
          </w:p>
        </w:tc>
        <w:tc>
          <w:tcPr>
            <w:tcW w:type="dxa" w:w="5404"/>
            <w:tcBorders>
              <w:top w:color="000000" w:sz="4" w:val="single"/>
              <w:left w:sz="4" w:val="nil"/>
              <w:bottom w:color="000000" w:sz="4" w:val="single"/>
              <w:right w:color="000000" w:sz="4" w:val="single"/>
            </w:tcBorders>
            <w:tcMar>
              <w:left w:type="dxa" w:w="0"/>
              <w:right w:type="dxa" w:w="0"/>
            </w:tcMar>
          </w:tcPr>
          <w:p w14:paraId="10140000">
            <w:pPr>
              <w:widowControl w:val="1"/>
              <w:ind w:right="64"/>
              <w:contextualSpacing w:val="1"/>
              <w:rPr>
                <w:sz w:val="22"/>
              </w:rPr>
            </w:pPr>
            <w:r>
              <w:rPr>
                <w:sz w:val="22"/>
              </w:rPr>
              <w:t>6.1. Принять к сведению доклад генерального директора Общества, подготовленный с учетом принятых к руководству/утвержденных распоряжений о формировании системы внутреннего аудита Общества (Приложение №7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11140000">
            <w:pPr>
              <w:widowControl w:val="1"/>
              <w:ind w:right="64"/>
              <w:contextualSpacing w:val="1"/>
              <w:rPr>
                <w:sz w:val="22"/>
              </w:rPr>
            </w:pPr>
            <w:r>
              <w:rPr>
                <w:b w:val="1"/>
                <w:i w:val="1"/>
                <w:sz w:val="22"/>
              </w:rPr>
              <w:t>Выполнено в полном объеме</w:t>
            </w:r>
          </w:p>
        </w:tc>
      </w:tr>
      <w:tr>
        <w:trPr>
          <w:trHeight w:hRule="atLeast" w:val="2225"/>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12140000">
            <w:pPr>
              <w:widowControl w:val="1"/>
              <w:ind w:firstLine="709" w:left="-758"/>
              <w:contextualSpacing w:val="1"/>
              <w:jc w:val="center"/>
              <w:rPr>
                <w:sz w:val="22"/>
              </w:rPr>
            </w:pPr>
            <w:r>
              <w:rPr>
                <w:sz w:val="22"/>
              </w:rPr>
              <w:t>7</w:t>
            </w:r>
          </w:p>
        </w:tc>
        <w:tc>
          <w:tcPr>
            <w:tcW w:type="dxa" w:w="2043"/>
            <w:tcBorders>
              <w:top w:color="000000" w:sz="4" w:val="single"/>
              <w:left w:color="000000" w:sz="4" w:val="single"/>
              <w:bottom w:color="000000" w:sz="4" w:val="single"/>
              <w:right w:color="000000" w:sz="4" w:val="single"/>
            </w:tcBorders>
            <w:tcMar>
              <w:left w:type="dxa" w:w="0"/>
              <w:right w:type="dxa" w:w="0"/>
            </w:tcMar>
          </w:tcPr>
          <w:p w14:paraId="13140000">
            <w:pPr>
              <w:widowControl w:val="1"/>
              <w:ind w:right="64"/>
              <w:contextualSpacing w:val="1"/>
              <w:rPr>
                <w:sz w:val="22"/>
              </w:rPr>
            </w:pPr>
            <w:r>
              <w:rPr>
                <w:sz w:val="22"/>
              </w:rPr>
              <w:t>Об утверждении Положения об организации внутреннего аудита Общества</w:t>
            </w:r>
          </w:p>
          <w:p w14:paraId="1414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15140000">
            <w:pPr>
              <w:widowControl w:val="1"/>
              <w:ind w:right="64"/>
              <w:contextualSpacing w:val="1"/>
              <w:rPr>
                <w:sz w:val="22"/>
              </w:rPr>
            </w:pPr>
            <w:r>
              <w:rPr>
                <w:sz w:val="22"/>
              </w:rPr>
              <w:t>7.1. Поручить Генеральному директору АО "Краспригород" привести представленную редакцию Положения об организации внутреннего аудита в АО "Краспригород" в соответствие с Положением об организации внутреннего аудита в холдинге «РЖД», (распоряжение ОАО «РЖД» от 19.01.2016 № 91р) и принятым к руководству решением совета директоров Общества от 12.05.2016, протокол №12 (Приложение №8 к протоколу заседания совета директоров).</w:t>
            </w:r>
          </w:p>
          <w:p w14:paraId="16140000">
            <w:pPr>
              <w:pStyle w:val="Style_12"/>
              <w:widowControl w:val="1"/>
              <w:ind w:right="64"/>
              <w:contextualSpacing w:val="1"/>
              <w:rPr>
                <w:rFonts w:ascii="Times New Roman" w:hAnsi="Times New Roman"/>
                <w:color w:val="000000"/>
                <w:sz w:val="22"/>
              </w:rPr>
            </w:pPr>
            <w:r>
              <w:rPr>
                <w:rFonts w:ascii="Times New Roman" w:hAnsi="Times New Roman"/>
                <w:color w:val="000000"/>
                <w:sz w:val="22"/>
              </w:rPr>
              <w:t xml:space="preserve">7.2.  Вынести доработанное Положение об организации внутреннего аудита в АО "Краспригород" на ближайшее заседание совета директоров Общества. </w:t>
            </w:r>
          </w:p>
        </w:tc>
        <w:tc>
          <w:tcPr>
            <w:tcW w:type="dxa" w:w="1605"/>
            <w:tcBorders>
              <w:top w:color="000000" w:sz="4" w:val="single"/>
              <w:left w:sz="4" w:val="nil"/>
              <w:bottom w:color="000000" w:sz="4" w:val="single"/>
              <w:right w:color="000000" w:sz="4" w:val="single"/>
            </w:tcBorders>
            <w:tcMar>
              <w:left w:type="dxa" w:w="0"/>
              <w:right w:type="dxa" w:w="0"/>
            </w:tcMar>
          </w:tcPr>
          <w:p w14:paraId="17140000">
            <w:pPr>
              <w:widowControl w:val="1"/>
              <w:ind w:right="64"/>
              <w:contextualSpacing w:val="1"/>
              <w:rPr>
                <w:b w:val="1"/>
                <w:i w:val="1"/>
                <w:sz w:val="22"/>
              </w:rPr>
            </w:pPr>
            <w:r>
              <w:rPr>
                <w:b w:val="1"/>
                <w:i w:val="1"/>
                <w:sz w:val="22"/>
              </w:rPr>
              <w:t>Выполнено в полном объеме</w:t>
            </w:r>
          </w:p>
          <w:p w14:paraId="18140000">
            <w:pPr>
              <w:widowControl w:val="1"/>
              <w:ind w:right="64"/>
              <w:contextualSpacing w:val="1"/>
              <w:rPr>
                <w:b w:val="1"/>
                <w:i w:val="1"/>
                <w:sz w:val="22"/>
              </w:rPr>
            </w:pPr>
          </w:p>
          <w:p w14:paraId="19140000">
            <w:pPr>
              <w:widowControl w:val="1"/>
              <w:ind w:right="64"/>
              <w:contextualSpacing w:val="1"/>
              <w:rPr>
                <w:b w:val="1"/>
                <w:i w:val="1"/>
                <w:sz w:val="22"/>
              </w:rPr>
            </w:pPr>
          </w:p>
          <w:p w14:paraId="1A140000">
            <w:pPr>
              <w:widowControl w:val="1"/>
              <w:ind w:right="64"/>
              <w:contextualSpacing w:val="1"/>
              <w:rPr>
                <w:b w:val="1"/>
                <w:i w:val="1"/>
                <w:sz w:val="22"/>
              </w:rPr>
            </w:pPr>
          </w:p>
          <w:p w14:paraId="1B140000">
            <w:pPr>
              <w:widowControl w:val="1"/>
              <w:ind w:right="64"/>
              <w:contextualSpacing w:val="1"/>
              <w:rPr>
                <w:b w:val="1"/>
                <w:i w:val="1"/>
                <w:sz w:val="22"/>
              </w:rPr>
            </w:pPr>
          </w:p>
          <w:p w14:paraId="1C140000">
            <w:pPr>
              <w:widowControl w:val="1"/>
              <w:ind w:right="64"/>
              <w:contextualSpacing w:val="1"/>
              <w:rPr>
                <w:b w:val="1"/>
                <w:i w:val="1"/>
                <w:sz w:val="22"/>
              </w:rPr>
            </w:pPr>
          </w:p>
          <w:p w14:paraId="1D140000">
            <w:pPr>
              <w:widowControl w:val="1"/>
              <w:ind w:right="64"/>
              <w:contextualSpacing w:val="1"/>
              <w:rPr>
                <w:b w:val="1"/>
                <w:i w:val="1"/>
                <w:sz w:val="22"/>
              </w:rPr>
            </w:pPr>
          </w:p>
          <w:p w14:paraId="1E140000">
            <w:pPr>
              <w:widowControl w:val="1"/>
              <w:ind w:right="64"/>
              <w:contextualSpacing w:val="1"/>
              <w:rPr>
                <w:b w:val="1"/>
                <w:i w:val="1"/>
                <w:sz w:val="22"/>
              </w:rPr>
            </w:pPr>
          </w:p>
          <w:p w14:paraId="1F140000">
            <w:pPr>
              <w:widowControl w:val="1"/>
              <w:ind w:right="64"/>
              <w:contextualSpacing w:val="1"/>
              <w:rPr>
                <w:b w:val="1"/>
                <w:i w:val="1"/>
                <w:sz w:val="22"/>
              </w:rPr>
            </w:pPr>
          </w:p>
          <w:p w14:paraId="20140000">
            <w:pPr>
              <w:widowControl w:val="1"/>
              <w:ind w:right="64"/>
              <w:contextualSpacing w:val="1"/>
              <w:rPr>
                <w:b w:val="1"/>
                <w:i w:val="1"/>
                <w:sz w:val="22"/>
              </w:rPr>
            </w:pPr>
            <w:r>
              <w:rPr>
                <w:b w:val="1"/>
                <w:i w:val="1"/>
                <w:sz w:val="22"/>
              </w:rPr>
              <w:t>Выполнено в полном объеме</w:t>
            </w:r>
          </w:p>
        </w:tc>
      </w:tr>
      <w:tr>
        <w:trPr>
          <w:trHeight w:hRule="atLeast" w:val="1033"/>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21140000">
            <w:pPr>
              <w:widowControl w:val="1"/>
              <w:ind w:firstLine="709" w:left="-758"/>
              <w:contextualSpacing w:val="1"/>
              <w:jc w:val="center"/>
              <w:rPr>
                <w:sz w:val="22"/>
              </w:rPr>
            </w:pPr>
            <w:r>
              <w:rPr>
                <w:sz w:val="22"/>
              </w:rPr>
              <w:t>8</w:t>
            </w:r>
          </w:p>
        </w:tc>
        <w:tc>
          <w:tcPr>
            <w:tcW w:type="dxa" w:w="2043"/>
            <w:tcBorders>
              <w:top w:color="000000" w:sz="4" w:val="single"/>
              <w:left w:color="000000" w:sz="4" w:val="single"/>
              <w:bottom w:color="000000" w:sz="4" w:val="single"/>
              <w:right w:color="000000" w:sz="4" w:val="single"/>
            </w:tcBorders>
            <w:tcMar>
              <w:left w:type="dxa" w:w="0"/>
              <w:right w:type="dxa" w:w="0"/>
            </w:tcMar>
          </w:tcPr>
          <w:p w14:paraId="22140000">
            <w:pPr>
              <w:widowControl w:val="1"/>
              <w:ind w:right="64"/>
              <w:contextualSpacing w:val="1"/>
              <w:rPr>
                <w:sz w:val="22"/>
              </w:rPr>
            </w:pPr>
            <w:r>
              <w:rPr>
                <w:sz w:val="22"/>
              </w:rPr>
              <w:t>Об утверждении Плана проведения внутреннего аудита Общества</w:t>
            </w:r>
          </w:p>
        </w:tc>
        <w:tc>
          <w:tcPr>
            <w:tcW w:type="dxa" w:w="5404"/>
            <w:tcBorders>
              <w:top w:color="000000" w:sz="4" w:val="single"/>
              <w:left w:sz="4" w:val="nil"/>
              <w:bottom w:color="000000" w:sz="4" w:val="single"/>
              <w:right w:color="000000" w:sz="4" w:val="single"/>
            </w:tcBorders>
            <w:tcMar>
              <w:left w:type="dxa" w:w="0"/>
              <w:right w:type="dxa" w:w="0"/>
            </w:tcMar>
          </w:tcPr>
          <w:p w14:paraId="23140000">
            <w:pPr>
              <w:widowControl w:val="1"/>
              <w:ind w:right="64"/>
              <w:contextualSpacing w:val="1"/>
              <w:rPr>
                <w:sz w:val="22"/>
              </w:rPr>
            </w:pPr>
            <w:r>
              <w:rPr>
                <w:color w:val="000000"/>
                <w:sz w:val="22"/>
              </w:rPr>
              <w:t xml:space="preserve">8.1. </w:t>
            </w:r>
            <w:r>
              <w:rPr>
                <w:sz w:val="22"/>
              </w:rPr>
              <w:t>Утвердить План проведения внутреннего аудита Общества (Приложение №9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24140000">
            <w:pPr>
              <w:widowControl w:val="1"/>
              <w:ind w:right="64"/>
              <w:contextualSpacing w:val="1"/>
              <w:rPr>
                <w:b w:val="1"/>
                <w:i w:val="1"/>
                <w:sz w:val="22"/>
              </w:rPr>
            </w:pPr>
            <w:r>
              <w:rPr>
                <w:b w:val="1"/>
                <w:i w:val="1"/>
                <w:sz w:val="22"/>
              </w:rPr>
              <w:t>Выполнено в полном объеме</w:t>
            </w:r>
          </w:p>
        </w:tc>
      </w:tr>
      <w:tr>
        <w:trPr>
          <w:trHeight w:hRule="atLeast" w:val="1033"/>
        </w:trPr>
        <w:tc>
          <w:tcPr>
            <w:tcW w:type="dxa" w:w="9494"/>
            <w:gridSpan w:val="4"/>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25140000">
            <w:pPr>
              <w:widowControl w:val="1"/>
              <w:ind w:left="-758" w:right="64"/>
              <w:contextualSpacing w:val="1"/>
              <w:jc w:val="center"/>
              <w:rPr>
                <w:b w:val="1"/>
                <w:sz w:val="22"/>
              </w:rPr>
            </w:pPr>
            <w:r>
              <w:rPr>
                <w:b w:val="1"/>
                <w:sz w:val="22"/>
              </w:rPr>
              <w:t>Совет директоров</w:t>
            </w:r>
          </w:p>
          <w:p w14:paraId="26140000">
            <w:pPr>
              <w:widowControl w:val="1"/>
              <w:ind w:left="-758" w:right="64"/>
              <w:contextualSpacing w:val="1"/>
              <w:jc w:val="center"/>
              <w:rPr>
                <w:b w:val="1"/>
                <w:sz w:val="22"/>
              </w:rPr>
            </w:pPr>
            <w:r>
              <w:rPr>
                <w:b w:val="1"/>
                <w:sz w:val="22"/>
              </w:rPr>
              <w:t>«23» апреля 2018 г.</w:t>
            </w:r>
          </w:p>
          <w:p w14:paraId="27140000">
            <w:pPr>
              <w:widowControl w:val="1"/>
              <w:ind w:left="-758" w:right="64"/>
              <w:contextualSpacing w:val="1"/>
              <w:jc w:val="center"/>
              <w:rPr>
                <w:b w:val="1"/>
                <w:i w:val="1"/>
                <w:sz w:val="22"/>
              </w:rPr>
            </w:pPr>
            <w:r>
              <w:rPr>
                <w:b w:val="1"/>
                <w:sz w:val="22"/>
              </w:rPr>
              <w:t>ПРОТОКОЛ  № 11</w:t>
            </w:r>
          </w:p>
        </w:tc>
      </w:tr>
      <w:tr>
        <w:trPr>
          <w:trHeight w:hRule="atLeast" w:val="27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28140000">
            <w:pPr>
              <w:widowControl w:val="1"/>
              <w:ind w:firstLine="709" w:left="-758"/>
              <w:contextualSpacing w:val="1"/>
              <w:jc w:val="center"/>
              <w:rPr>
                <w:sz w:val="22"/>
              </w:rPr>
            </w:pPr>
            <w:r>
              <w:rPr>
                <w:sz w:val="22"/>
              </w:rPr>
              <w:t>1</w:t>
            </w:r>
          </w:p>
        </w:tc>
        <w:tc>
          <w:tcPr>
            <w:tcW w:type="dxa" w:w="2043"/>
            <w:tcBorders>
              <w:top w:color="000000" w:sz="4" w:val="single"/>
              <w:left w:color="000000" w:sz="4" w:val="single"/>
              <w:bottom w:color="000000" w:sz="4" w:val="single"/>
              <w:right w:color="000000" w:sz="4" w:val="single"/>
            </w:tcBorders>
            <w:tcMar>
              <w:left w:type="dxa" w:w="0"/>
              <w:right w:type="dxa" w:w="0"/>
            </w:tcMar>
          </w:tcPr>
          <w:p w14:paraId="29140000">
            <w:pPr>
              <w:widowControl w:val="1"/>
              <w:ind w:right="64"/>
              <w:contextualSpacing w:val="1"/>
              <w:rPr>
                <w:sz w:val="22"/>
              </w:rPr>
            </w:pPr>
            <w:r>
              <w:rPr>
                <w:sz w:val="22"/>
              </w:rPr>
              <w:t>Об актуализации нормативной базы по договорным условиям расчетов АО "Краспригород"и совершенствования политики управления оборотным капиталом.</w:t>
            </w:r>
          </w:p>
          <w:p w14:paraId="2A14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2B140000">
            <w:pPr>
              <w:pStyle w:val="Style_17"/>
              <w:widowControl w:val="1"/>
              <w:ind w:right="64"/>
              <w:contextualSpacing w:val="1"/>
              <w:rPr>
                <w:sz w:val="22"/>
              </w:rPr>
            </w:pPr>
            <w:r>
              <w:rPr>
                <w:sz w:val="22"/>
              </w:rPr>
              <w:t>1.1. Утвердить внесение изменений в типовые условия расчетов по договорам Общества, утвержденные решением совета директоров от 04.03.2010г. протокол № 10, от 07.09.2016г. протокол № 4, выполненные в соответствии с распоряжением ОАО «РЖД» от 30.01.2018 г. № 160р «О внесении изменений в распоряжение ОАО «РЖД» от 1 августа 2006 г. № 1594р и распоряжение ОАО «РЖД» от 21 февраля 2009 г. № 356р» (Приложение № 1, № 2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2C140000">
            <w:pPr>
              <w:widowControl w:val="1"/>
              <w:ind w:right="64"/>
              <w:contextualSpacing w:val="1"/>
              <w:rPr>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2D140000">
            <w:pPr>
              <w:widowControl w:val="1"/>
              <w:ind w:firstLine="709" w:left="-758"/>
              <w:contextualSpacing w:val="1"/>
              <w:jc w:val="center"/>
              <w:rPr>
                <w:sz w:val="22"/>
              </w:rPr>
            </w:pPr>
            <w:r>
              <w:rPr>
                <w:sz w:val="22"/>
              </w:rPr>
              <w:t>2</w:t>
            </w:r>
          </w:p>
        </w:tc>
        <w:tc>
          <w:tcPr>
            <w:tcW w:type="dxa" w:w="2043"/>
            <w:tcBorders>
              <w:top w:color="000000" w:sz="4" w:val="single"/>
              <w:left w:color="000000" w:sz="4" w:val="single"/>
              <w:bottom w:color="000000" w:sz="4" w:val="single"/>
              <w:right w:color="000000" w:sz="4" w:val="single"/>
            </w:tcBorders>
            <w:tcMar>
              <w:left w:type="dxa" w:w="0"/>
              <w:right w:type="dxa" w:w="0"/>
            </w:tcMar>
          </w:tcPr>
          <w:p w14:paraId="2E140000">
            <w:pPr>
              <w:widowControl w:val="1"/>
              <w:ind w:right="64"/>
              <w:contextualSpacing w:val="1"/>
              <w:rPr>
                <w:sz w:val="22"/>
              </w:rPr>
            </w:pPr>
            <w:r>
              <w:rPr>
                <w:sz w:val="22"/>
              </w:rPr>
              <w:t>Об утверждении Положения об организации внутреннего аудита Общества.</w:t>
            </w:r>
          </w:p>
          <w:p w14:paraId="2F14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30140000">
            <w:pPr>
              <w:widowControl w:val="1"/>
              <w:ind w:right="64"/>
              <w:contextualSpacing w:val="1"/>
              <w:rPr>
                <w:sz w:val="22"/>
              </w:rPr>
            </w:pPr>
            <w:r>
              <w:rPr>
                <w:sz w:val="22"/>
              </w:rPr>
              <w:t>2.1. Утвердить Положение об организации внутреннего аудита Общества, разработанное в соответствии с Положением об организации внутреннего аудита в холдинге «РЖД», утвержденным распоряжением ОАО «РЖД» от 19.01.2016 № 91р (Приложение №3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31140000">
            <w:pPr>
              <w:widowControl w:val="1"/>
              <w:ind w:right="64"/>
              <w:contextualSpacing w:val="1"/>
              <w:rPr>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32140000">
            <w:pPr>
              <w:widowControl w:val="1"/>
              <w:ind w:firstLine="709" w:left="-758"/>
              <w:contextualSpacing w:val="1"/>
              <w:jc w:val="center"/>
              <w:rPr>
                <w:sz w:val="22"/>
              </w:rPr>
            </w:pPr>
            <w:r>
              <w:rPr>
                <w:sz w:val="22"/>
              </w:rPr>
              <w:t>3</w:t>
            </w:r>
          </w:p>
        </w:tc>
        <w:tc>
          <w:tcPr>
            <w:tcW w:type="dxa" w:w="2043"/>
            <w:tcBorders>
              <w:top w:color="000000" w:sz="4" w:val="single"/>
              <w:left w:color="000000" w:sz="4" w:val="single"/>
              <w:bottom w:color="000000" w:sz="4" w:val="single"/>
              <w:right w:color="000000" w:sz="4" w:val="single"/>
            </w:tcBorders>
            <w:tcMar>
              <w:left w:type="dxa" w:w="0"/>
              <w:right w:type="dxa" w:w="0"/>
            </w:tcMar>
          </w:tcPr>
          <w:p w14:paraId="33140000">
            <w:pPr>
              <w:widowControl w:val="1"/>
              <w:ind w:right="64"/>
              <w:contextualSpacing w:val="1"/>
              <w:rPr>
                <w:b w:val="1"/>
                <w:sz w:val="22"/>
                <w:u w:val="single"/>
              </w:rPr>
            </w:pPr>
            <w:r>
              <w:rPr>
                <w:sz w:val="22"/>
              </w:rPr>
              <w:t>Об утверждении отчета генерального директора о результатах деятельности Общества за 12 месяцев 2017 г. (о выполнении бюджета, о выполнении договоров, о кадровой политике, о кредитной политике, о социальных программах, о страховой защите, об исполнении решений совета директоров).</w:t>
            </w:r>
          </w:p>
        </w:tc>
        <w:tc>
          <w:tcPr>
            <w:tcW w:type="dxa" w:w="5404"/>
            <w:tcBorders>
              <w:top w:color="000000" w:sz="4" w:val="single"/>
              <w:left w:sz="4" w:val="nil"/>
              <w:bottom w:color="000000" w:sz="4" w:val="single"/>
              <w:right w:color="000000" w:sz="4" w:val="single"/>
            </w:tcBorders>
            <w:tcMar>
              <w:left w:type="dxa" w:w="0"/>
              <w:right w:type="dxa" w:w="0"/>
            </w:tcMar>
          </w:tcPr>
          <w:p w14:paraId="34140000">
            <w:pPr>
              <w:pStyle w:val="Style_17"/>
              <w:widowControl w:val="1"/>
              <w:spacing w:after="0"/>
              <w:ind w:right="64"/>
              <w:contextualSpacing w:val="1"/>
              <w:rPr>
                <w:sz w:val="22"/>
              </w:rPr>
            </w:pPr>
            <w:r>
              <w:rPr>
                <w:sz w:val="22"/>
              </w:rPr>
              <w:t xml:space="preserve">3.1. Утвердить отчет </w:t>
            </w:r>
            <w:r>
              <w:rPr>
                <w:sz w:val="22"/>
              </w:rPr>
              <w:t xml:space="preserve">генерального директора о результатах деятельности </w:t>
            </w:r>
            <w:r>
              <w:rPr>
                <w:sz w:val="22"/>
              </w:rPr>
              <w:t>Общества</w:t>
            </w:r>
            <w:r>
              <w:rPr>
                <w:sz w:val="22"/>
              </w:rPr>
              <w:t xml:space="preserve"> за 12 месяцев 2017г. согласно</w:t>
            </w:r>
            <w:r>
              <w:rPr>
                <w:sz w:val="22"/>
              </w:rPr>
              <w:t xml:space="preserve"> Приложению № 4</w:t>
            </w:r>
            <w:r>
              <w:rPr>
                <w:sz w:val="22"/>
              </w:rPr>
              <w:t xml:space="preserve"> к протоколу заседания Совета директоров</w:t>
            </w:r>
            <w:r>
              <w:rPr>
                <w:color w:val="000000"/>
                <w:sz w:val="22"/>
              </w:rPr>
              <w:t>.</w:t>
            </w:r>
          </w:p>
          <w:p w14:paraId="35140000">
            <w:pPr>
              <w:widowControl w:val="1"/>
              <w:tabs>
                <w:tab w:leader="none" w:pos="284" w:val="left"/>
                <w:tab w:leader="none" w:pos="851" w:val="left"/>
              </w:tabs>
              <w:ind w:right="64"/>
              <w:contextualSpacing w:val="1"/>
              <w:rPr>
                <w:b w:val="1"/>
                <w:sz w:val="22"/>
              </w:rPr>
            </w:pPr>
            <w:r>
              <w:rPr>
                <w:b w:val="1"/>
                <w:sz w:val="22"/>
              </w:rPr>
              <w:t xml:space="preserve">Члены Совета директоров, присутствующие на заседании, единогласно постановили дать генеральному директору АО "Краспригород" следующее поручение: </w:t>
            </w:r>
            <w:r>
              <w:rPr>
                <w:sz w:val="22"/>
              </w:rPr>
              <w:t xml:space="preserve">В рамках проекта "Городская электричка", проработать вопрос с Министерством транспорта Красноярского края, об увеличении курсирования дополнительных поездов на участке Енисей-Дивногорск, на котором в 2018г. планируется открытие двух новых платформ "Тихие зори", "Бобровый лог", и внесении изменений в программу пассажирских перевозок железнодорожным транспортом в пригородном сообщении, субсидируемых из краевого бюджета в 2018г. </w:t>
            </w:r>
          </w:p>
          <w:p w14:paraId="36140000">
            <w:pPr>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3714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38140000">
            <w:pPr>
              <w:widowControl w:val="1"/>
              <w:ind w:firstLine="709" w:left="-758"/>
              <w:contextualSpacing w:val="1"/>
              <w:jc w:val="center"/>
              <w:rPr>
                <w:sz w:val="22"/>
              </w:rPr>
            </w:pPr>
            <w:r>
              <w:rPr>
                <w:sz w:val="22"/>
              </w:rPr>
              <w:t>4</w:t>
            </w:r>
          </w:p>
        </w:tc>
        <w:tc>
          <w:tcPr>
            <w:tcW w:type="dxa" w:w="2043"/>
            <w:tcBorders>
              <w:top w:color="000000" w:sz="4" w:val="single"/>
              <w:left w:color="000000" w:sz="4" w:val="single"/>
              <w:bottom w:color="000000" w:sz="4" w:val="single"/>
              <w:right w:color="000000" w:sz="4" w:val="single"/>
            </w:tcBorders>
            <w:tcMar>
              <w:left w:type="dxa" w:w="0"/>
              <w:right w:type="dxa" w:w="0"/>
            </w:tcMar>
          </w:tcPr>
          <w:p w14:paraId="39140000">
            <w:pPr>
              <w:widowControl w:val="1"/>
              <w:ind w:right="64"/>
              <w:contextualSpacing w:val="1"/>
              <w:rPr>
                <w:sz w:val="22"/>
              </w:rPr>
            </w:pPr>
            <w:r>
              <w:rPr>
                <w:sz w:val="22"/>
              </w:rPr>
              <w:t>О премировании лица, осуществляющего функции исполнительного органа АО «Краспригород», по итогам работы за 4 квартал 2017 года.</w:t>
            </w:r>
          </w:p>
        </w:tc>
        <w:tc>
          <w:tcPr>
            <w:tcW w:type="dxa" w:w="5404"/>
            <w:tcBorders>
              <w:top w:color="000000" w:sz="4" w:val="single"/>
              <w:left w:sz="4" w:val="nil"/>
              <w:bottom w:color="000000" w:sz="4" w:val="single"/>
              <w:right w:color="000000" w:sz="4" w:val="single"/>
            </w:tcBorders>
            <w:tcMar>
              <w:left w:type="dxa" w:w="0"/>
              <w:right w:type="dxa" w:w="0"/>
            </w:tcMar>
          </w:tcPr>
          <w:p w14:paraId="3A140000">
            <w:pPr>
              <w:widowControl w:val="1"/>
              <w:ind w:right="64"/>
              <w:contextualSpacing w:val="1"/>
              <w:rPr>
                <w:color w:val="000000"/>
                <w:sz w:val="22"/>
              </w:rPr>
            </w:pPr>
            <w:r>
              <w:rPr>
                <w:sz w:val="22"/>
              </w:rPr>
              <w:t>4.1. Выплатить генеральному директору АО "Краспригород"</w:t>
            </w:r>
            <w:r>
              <w:rPr>
                <w:color w:val="000000"/>
                <w:sz w:val="22"/>
              </w:rPr>
              <w:t xml:space="preserve"> Быкову Эдуарду Владимировичу </w:t>
            </w:r>
            <w:r>
              <w:rPr>
                <w:sz w:val="22"/>
              </w:rPr>
              <w:t xml:space="preserve">премиальное вознаграждение </w:t>
            </w:r>
            <w:r>
              <w:rPr>
                <w:color w:val="000000"/>
                <w:sz w:val="22"/>
              </w:rPr>
              <w:t>по итогам работы за 4 квартал 2017 года</w:t>
            </w:r>
            <w:r>
              <w:rPr>
                <w:sz w:val="22"/>
              </w:rPr>
              <w:t xml:space="preserve"> в размере, согласно Приложению №5</w:t>
            </w:r>
            <w:r>
              <w:rPr>
                <w:color w:val="000000"/>
                <w:sz w:val="22"/>
              </w:rPr>
              <w:t xml:space="preserve">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3B14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3C140000">
            <w:pPr>
              <w:widowControl w:val="1"/>
              <w:ind w:firstLine="709" w:left="-758"/>
              <w:contextualSpacing w:val="1"/>
              <w:jc w:val="center"/>
              <w:rPr>
                <w:sz w:val="22"/>
              </w:rPr>
            </w:pPr>
            <w:r>
              <w:rPr>
                <w:sz w:val="22"/>
              </w:rPr>
              <w:t>5</w:t>
            </w:r>
          </w:p>
        </w:tc>
        <w:tc>
          <w:tcPr>
            <w:tcW w:type="dxa" w:w="2043"/>
            <w:tcBorders>
              <w:top w:color="000000" w:sz="4" w:val="single"/>
              <w:left w:color="000000" w:sz="4" w:val="single"/>
              <w:bottom w:color="000000" w:sz="4" w:val="single"/>
              <w:right w:color="000000" w:sz="4" w:val="single"/>
            </w:tcBorders>
            <w:tcMar>
              <w:left w:type="dxa" w:w="0"/>
              <w:right w:type="dxa" w:w="0"/>
            </w:tcMar>
          </w:tcPr>
          <w:p w14:paraId="3D140000">
            <w:pPr>
              <w:widowControl w:val="1"/>
              <w:ind w:right="64"/>
              <w:contextualSpacing w:val="1"/>
              <w:rPr>
                <w:sz w:val="22"/>
              </w:rPr>
            </w:pPr>
            <w:r>
              <w:rPr>
                <w:sz w:val="22"/>
              </w:rPr>
              <w:t>О согласовании сроков ежегодного оплачиваемого отпуска генерального директора АО «Краспригород».</w:t>
            </w:r>
          </w:p>
        </w:tc>
        <w:tc>
          <w:tcPr>
            <w:tcW w:type="dxa" w:w="5404"/>
            <w:tcBorders>
              <w:top w:color="000000" w:sz="4" w:val="single"/>
              <w:left w:sz="4" w:val="nil"/>
              <w:bottom w:color="000000" w:sz="4" w:val="single"/>
              <w:right w:color="000000" w:sz="4" w:val="single"/>
            </w:tcBorders>
            <w:tcMar>
              <w:left w:type="dxa" w:w="0"/>
              <w:right w:type="dxa" w:w="0"/>
            </w:tcMar>
          </w:tcPr>
          <w:p w14:paraId="3E140000">
            <w:pPr>
              <w:widowControl w:val="1"/>
              <w:ind w:right="64"/>
              <w:contextualSpacing w:val="1"/>
              <w:rPr>
                <w:sz w:val="22"/>
              </w:rPr>
            </w:pPr>
            <w:r>
              <w:rPr>
                <w:sz w:val="22"/>
              </w:rPr>
              <w:t>5.1. Согласовать предоставление ежегодного оплачиваемого отпуска генеральному директору АО «Краспригород» Быкову Эдуарду Владимировичу в период с 10.05.2018г. по 20.05.2018г. включительно (11 календарных дней) (Приложение №6 к протоколу заседания совета директоров).</w:t>
            </w:r>
          </w:p>
          <w:p w14:paraId="3F140000">
            <w:pPr>
              <w:widowControl w:val="1"/>
              <w:ind w:right="64"/>
              <w:contextualSpacing w:val="1"/>
              <w:rPr>
                <w:sz w:val="22"/>
              </w:rPr>
            </w:pPr>
            <w:r>
              <w:rPr>
                <w:color w:val="000000"/>
                <w:sz w:val="22"/>
              </w:rPr>
              <w:t xml:space="preserve">5.2. </w:t>
            </w:r>
            <w:r>
              <w:rPr>
                <w:sz w:val="22"/>
              </w:rPr>
              <w:t>Назначить исполняющей обязанности генерального директора АО «Краспригород» на время отпуска Быкова Эдуарда Владимировича с 10.05.2018г. по 20.05.2018г. включительно (11 календарных дней)  заместителя генерального директора по экономике и финансам АО «Краспригород» Байкалову Ларису Петровну</w:t>
            </w:r>
          </w:p>
        </w:tc>
        <w:tc>
          <w:tcPr>
            <w:tcW w:type="dxa" w:w="1605"/>
            <w:tcBorders>
              <w:top w:color="000000" w:sz="4" w:val="single"/>
              <w:left w:sz="4" w:val="nil"/>
              <w:bottom w:color="000000" w:sz="4" w:val="single"/>
              <w:right w:color="000000" w:sz="4" w:val="single"/>
            </w:tcBorders>
            <w:tcMar>
              <w:left w:type="dxa" w:w="0"/>
              <w:right w:type="dxa" w:w="0"/>
            </w:tcMar>
          </w:tcPr>
          <w:p w14:paraId="4014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41140000">
            <w:pPr>
              <w:widowControl w:val="1"/>
              <w:ind w:firstLine="709" w:left="-758"/>
              <w:contextualSpacing w:val="1"/>
              <w:jc w:val="center"/>
              <w:rPr>
                <w:sz w:val="22"/>
              </w:rPr>
            </w:pPr>
            <w:r>
              <w:rPr>
                <w:sz w:val="22"/>
              </w:rPr>
              <w:t>6</w:t>
            </w:r>
          </w:p>
        </w:tc>
        <w:tc>
          <w:tcPr>
            <w:tcW w:type="dxa" w:w="2043"/>
            <w:tcBorders>
              <w:top w:color="000000" w:sz="4" w:val="single"/>
              <w:left w:color="000000" w:sz="4" w:val="single"/>
              <w:bottom w:color="000000" w:sz="4" w:val="single"/>
              <w:right w:color="000000" w:sz="4" w:val="single"/>
            </w:tcBorders>
            <w:tcMar>
              <w:left w:type="dxa" w:w="0"/>
              <w:right w:type="dxa" w:w="0"/>
            </w:tcMar>
          </w:tcPr>
          <w:p w14:paraId="42140000">
            <w:pPr>
              <w:widowControl w:val="1"/>
              <w:ind w:right="64"/>
              <w:contextualSpacing w:val="1"/>
              <w:rPr>
                <w:b w:val="1"/>
                <w:sz w:val="22"/>
                <w:u w:val="single"/>
              </w:rPr>
            </w:pPr>
            <w:r>
              <w:rPr>
                <w:sz w:val="22"/>
              </w:rPr>
              <w:t>О внесении изменений в методику формирования отчетов о выполнении бюджетов АО "Краспригород".</w:t>
            </w:r>
          </w:p>
          <w:p w14:paraId="4314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44140000">
            <w:pPr>
              <w:widowControl w:val="1"/>
              <w:ind w:right="64"/>
              <w:contextualSpacing w:val="1"/>
              <w:rPr>
                <w:sz w:val="22"/>
              </w:rPr>
            </w:pPr>
            <w:r>
              <w:rPr>
                <w:sz w:val="22"/>
              </w:rPr>
              <w:t xml:space="preserve">6.1. Утвердить изменения в распоряжение ОАО "РЖД" от 04.03.2015г. № 563р (в ред. распоряжений ОАО "РЖД" от 05.04.2016г. № 601р, от 29.06.2016г. № 1281р, от 02.08.2016г. № 1528р, от 19.01.2017г. № 106р), утвержденные ранее решением совета директоров Общества 07.09.2016г. протокол № 4. </w:t>
            </w:r>
            <w:r>
              <w:rPr>
                <w:sz w:val="22"/>
              </w:rPr>
              <w:t>(Приложение №7 к протоколу заседания совета директоров).</w:t>
            </w:r>
          </w:p>
          <w:p w14:paraId="45140000">
            <w:pPr>
              <w:widowControl w:val="1"/>
              <w:ind w:right="64"/>
              <w:contextualSpacing w:val="1"/>
              <w:rPr>
                <w:sz w:val="22"/>
              </w:rPr>
            </w:pPr>
            <w:r>
              <w:rPr>
                <w:sz w:val="22"/>
              </w:rPr>
              <w:t xml:space="preserve">6.2. Поручить генеральному директору Общества обеспечить применение утвержденных изменений начиная с формирования отчетов о выполнении бюджетов за </w:t>
            </w:r>
            <w:r>
              <w:rPr>
                <w:sz w:val="22"/>
              </w:rPr>
              <w:t>I</w:t>
            </w:r>
            <w:r>
              <w:rPr>
                <w:sz w:val="22"/>
              </w:rPr>
              <w:t xml:space="preserve"> квартал 2018 года. </w:t>
            </w:r>
          </w:p>
        </w:tc>
        <w:tc>
          <w:tcPr>
            <w:tcW w:type="dxa" w:w="1605"/>
            <w:tcBorders>
              <w:top w:color="000000" w:sz="4" w:val="single"/>
              <w:left w:sz="4" w:val="nil"/>
              <w:bottom w:color="000000" w:sz="4" w:val="single"/>
              <w:right w:color="000000" w:sz="4" w:val="single"/>
            </w:tcBorders>
            <w:tcMar>
              <w:left w:type="dxa" w:w="0"/>
              <w:right w:type="dxa" w:w="0"/>
            </w:tcMar>
          </w:tcPr>
          <w:p w14:paraId="46140000">
            <w:pPr>
              <w:widowControl w:val="1"/>
              <w:ind w:right="64"/>
              <w:contextualSpacing w:val="1"/>
              <w:rPr>
                <w:b w:val="1"/>
                <w:i w:val="1"/>
                <w:sz w:val="22"/>
              </w:rPr>
            </w:pPr>
            <w:r>
              <w:rPr>
                <w:b w:val="1"/>
                <w:i w:val="1"/>
                <w:sz w:val="22"/>
              </w:rPr>
              <w:t>Выполнено в полном объеме</w:t>
            </w:r>
          </w:p>
          <w:p w14:paraId="47140000">
            <w:pPr>
              <w:widowControl w:val="1"/>
              <w:ind w:right="64"/>
              <w:contextualSpacing w:val="1"/>
              <w:rPr>
                <w:sz w:val="22"/>
              </w:rPr>
            </w:pPr>
          </w:p>
          <w:p w14:paraId="48140000">
            <w:pPr>
              <w:widowControl w:val="1"/>
              <w:ind w:right="64"/>
              <w:contextualSpacing w:val="1"/>
              <w:rPr>
                <w:sz w:val="22"/>
              </w:rPr>
            </w:pPr>
          </w:p>
          <w:p w14:paraId="49140000">
            <w:pPr>
              <w:widowControl w:val="1"/>
              <w:ind w:right="64"/>
              <w:contextualSpacing w:val="1"/>
              <w:rPr>
                <w:sz w:val="22"/>
              </w:rPr>
            </w:pPr>
          </w:p>
          <w:p w14:paraId="4A140000">
            <w:pPr>
              <w:widowControl w:val="1"/>
              <w:ind w:right="64"/>
              <w:contextualSpacing w:val="1"/>
              <w:rPr>
                <w:sz w:val="22"/>
              </w:rPr>
            </w:pPr>
          </w:p>
          <w:p w14:paraId="4B140000">
            <w:pPr>
              <w:widowControl w:val="1"/>
              <w:ind w:right="64"/>
              <w:contextualSpacing w:val="1"/>
              <w:rPr>
                <w:b w:val="1"/>
                <w:i w:val="1"/>
                <w:sz w:val="22"/>
              </w:rPr>
            </w:pPr>
          </w:p>
          <w:p w14:paraId="4C140000">
            <w:pPr>
              <w:widowControl w:val="1"/>
              <w:ind w:right="64"/>
              <w:contextualSpacing w:val="1"/>
              <w:rPr>
                <w:b w:val="1"/>
                <w:i w:val="1"/>
                <w:sz w:val="22"/>
              </w:rPr>
            </w:pPr>
          </w:p>
          <w:p w14:paraId="4D140000">
            <w:pPr>
              <w:widowControl w:val="1"/>
              <w:ind w:right="64"/>
              <w:contextualSpacing w:val="1"/>
              <w:rPr>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4E140000">
            <w:pPr>
              <w:widowControl w:val="1"/>
              <w:ind w:firstLine="709" w:left="-758"/>
              <w:contextualSpacing w:val="1"/>
              <w:jc w:val="center"/>
              <w:rPr>
                <w:sz w:val="22"/>
              </w:rPr>
            </w:pPr>
            <w:r>
              <w:rPr>
                <w:sz w:val="22"/>
              </w:rPr>
              <w:t>7</w:t>
            </w:r>
          </w:p>
        </w:tc>
        <w:tc>
          <w:tcPr>
            <w:tcW w:type="dxa" w:w="2043"/>
            <w:tcBorders>
              <w:top w:color="000000" w:sz="4" w:val="single"/>
              <w:left w:color="000000" w:sz="4" w:val="single"/>
              <w:bottom w:color="000000" w:sz="4" w:val="single"/>
              <w:right w:color="000000" w:sz="4" w:val="single"/>
            </w:tcBorders>
            <w:tcMar>
              <w:left w:type="dxa" w:w="0"/>
              <w:right w:type="dxa" w:w="0"/>
            </w:tcMar>
          </w:tcPr>
          <w:p w14:paraId="4F140000">
            <w:pPr>
              <w:widowControl w:val="1"/>
              <w:ind w:right="64"/>
              <w:contextualSpacing w:val="1"/>
              <w:rPr>
                <w:b w:val="1"/>
                <w:sz w:val="22"/>
                <w:u w:val="single"/>
              </w:rPr>
            </w:pPr>
            <w:r>
              <w:rPr>
                <w:sz w:val="22"/>
              </w:rPr>
              <w:t>О принятии к руководству Регламента взаимодействия Центра внутреннего аудита «Желдораудит» с подразделениями внутреннего аудита дочерних обществ ОАО «РЖД» по вопросам организации и проведения внутреннего аудита.</w:t>
            </w:r>
          </w:p>
        </w:tc>
        <w:tc>
          <w:tcPr>
            <w:tcW w:type="dxa" w:w="5404"/>
            <w:tcBorders>
              <w:top w:color="000000" w:sz="4" w:val="single"/>
              <w:left w:sz="4" w:val="nil"/>
              <w:bottom w:color="000000" w:sz="4" w:val="single"/>
              <w:right w:color="000000" w:sz="4" w:val="single"/>
            </w:tcBorders>
            <w:tcMar>
              <w:left w:type="dxa" w:w="0"/>
              <w:right w:type="dxa" w:w="0"/>
            </w:tcMar>
          </w:tcPr>
          <w:p w14:paraId="50140000">
            <w:pPr>
              <w:widowControl w:val="1"/>
              <w:ind w:right="64"/>
              <w:contextualSpacing w:val="1"/>
              <w:rPr>
                <w:sz w:val="22"/>
              </w:rPr>
            </w:pPr>
            <w:r>
              <w:rPr>
                <w:sz w:val="22"/>
              </w:rPr>
              <w:t>7.1. Принять к руководству Регламент взаимодействия Центра внутреннего аудита «Желдораудит» с подразделениями внутреннего аудита дочерних обществ ОАО «РЖД» по вопросам организации и проведения внутреннего аудита, утвержденный распоряжением ОАО «РЖД» от 22.03.2018 № 560р (Приложение №8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5114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52140000">
            <w:pPr>
              <w:widowControl w:val="1"/>
              <w:ind w:firstLine="709" w:left="-758"/>
              <w:contextualSpacing w:val="1"/>
              <w:jc w:val="center"/>
              <w:rPr>
                <w:sz w:val="22"/>
              </w:rPr>
            </w:pPr>
            <w:r>
              <w:rPr>
                <w:sz w:val="22"/>
              </w:rPr>
              <w:t>8</w:t>
            </w:r>
          </w:p>
        </w:tc>
        <w:tc>
          <w:tcPr>
            <w:tcW w:type="dxa" w:w="2043"/>
            <w:tcBorders>
              <w:top w:color="000000" w:sz="4" w:val="single"/>
              <w:left w:color="000000" w:sz="4" w:val="single"/>
              <w:bottom w:color="000000" w:sz="4" w:val="single"/>
              <w:right w:color="000000" w:sz="4" w:val="single"/>
            </w:tcBorders>
            <w:tcMar>
              <w:left w:type="dxa" w:w="0"/>
              <w:right w:type="dxa" w:w="0"/>
            </w:tcMar>
          </w:tcPr>
          <w:p w14:paraId="53140000">
            <w:pPr>
              <w:widowControl w:val="1"/>
              <w:ind w:right="64"/>
              <w:contextualSpacing w:val="1"/>
              <w:rPr>
                <w:sz w:val="22"/>
              </w:rPr>
            </w:pPr>
            <w:r>
              <w:rPr>
                <w:sz w:val="22"/>
              </w:rPr>
              <w:t>Об утверждении Плана деятельности внутреннего аудита Общества</w:t>
            </w:r>
          </w:p>
        </w:tc>
        <w:tc>
          <w:tcPr>
            <w:tcW w:type="dxa" w:w="5404"/>
            <w:tcBorders>
              <w:top w:color="000000" w:sz="4" w:val="single"/>
              <w:left w:sz="4" w:val="nil"/>
              <w:bottom w:color="000000" w:sz="4" w:val="single"/>
              <w:right w:color="000000" w:sz="4" w:val="single"/>
            </w:tcBorders>
            <w:tcMar>
              <w:left w:type="dxa" w:w="0"/>
              <w:right w:type="dxa" w:w="0"/>
            </w:tcMar>
          </w:tcPr>
          <w:p w14:paraId="54140000">
            <w:pPr>
              <w:widowControl w:val="1"/>
              <w:ind w:right="64"/>
              <w:contextualSpacing w:val="1"/>
              <w:rPr>
                <w:sz w:val="22"/>
              </w:rPr>
            </w:pPr>
            <w:r>
              <w:rPr>
                <w:sz w:val="22"/>
              </w:rPr>
              <w:t>8.1. Утвердить План деятельности внутреннего аудита Общества (Приложение № 9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55140000">
            <w:pPr>
              <w:widowControl w:val="1"/>
              <w:ind w:right="64"/>
              <w:contextualSpacing w:val="1"/>
              <w:rPr>
                <w:b w:val="1"/>
                <w:i w:val="1"/>
                <w:sz w:val="22"/>
              </w:rPr>
            </w:pPr>
            <w:r>
              <w:rPr>
                <w:b w:val="1"/>
                <w:i w:val="1"/>
                <w:sz w:val="22"/>
              </w:rPr>
              <w:t>Выполнено в полном объеме</w:t>
            </w:r>
          </w:p>
        </w:tc>
      </w:tr>
      <w:tr>
        <w:trPr>
          <w:trHeight w:hRule="atLeast" w:val="968"/>
        </w:trPr>
        <w:tc>
          <w:tcPr>
            <w:tcW w:type="dxa" w:w="9494"/>
            <w:gridSpan w:val="4"/>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56140000">
            <w:pPr>
              <w:widowControl w:val="1"/>
              <w:ind w:left="-758" w:right="64"/>
              <w:contextualSpacing w:val="1"/>
              <w:jc w:val="center"/>
              <w:rPr>
                <w:b w:val="1"/>
                <w:sz w:val="22"/>
              </w:rPr>
            </w:pPr>
            <w:r>
              <w:rPr>
                <w:b w:val="1"/>
                <w:sz w:val="22"/>
              </w:rPr>
              <w:t>Совет директоров</w:t>
            </w:r>
          </w:p>
          <w:p w14:paraId="57140000">
            <w:pPr>
              <w:widowControl w:val="1"/>
              <w:ind w:left="-758" w:right="64"/>
              <w:contextualSpacing w:val="1"/>
              <w:jc w:val="center"/>
              <w:rPr>
                <w:b w:val="1"/>
                <w:sz w:val="22"/>
              </w:rPr>
            </w:pPr>
            <w:r>
              <w:rPr>
                <w:b w:val="1"/>
                <w:sz w:val="22"/>
              </w:rPr>
              <w:t>«23» мая 2018 г.</w:t>
            </w:r>
          </w:p>
          <w:p w14:paraId="58140000">
            <w:pPr>
              <w:widowControl w:val="1"/>
              <w:ind w:left="-758" w:right="64"/>
              <w:contextualSpacing w:val="1"/>
              <w:jc w:val="center"/>
              <w:rPr>
                <w:b w:val="1"/>
                <w:i w:val="1"/>
                <w:sz w:val="22"/>
              </w:rPr>
            </w:pPr>
            <w:r>
              <w:rPr>
                <w:b w:val="1"/>
                <w:sz w:val="22"/>
              </w:rPr>
              <w:t>ПРОТОКОЛ  № 12</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59140000">
            <w:pPr>
              <w:widowControl w:val="1"/>
              <w:ind w:firstLine="709" w:left="-758"/>
              <w:contextualSpacing w:val="1"/>
              <w:jc w:val="center"/>
              <w:rPr>
                <w:sz w:val="22"/>
              </w:rPr>
            </w:pPr>
            <w:r>
              <w:rPr>
                <w:sz w:val="22"/>
              </w:rPr>
              <w:t>1</w:t>
            </w:r>
          </w:p>
        </w:tc>
        <w:tc>
          <w:tcPr>
            <w:tcW w:type="dxa" w:w="2043"/>
            <w:tcBorders>
              <w:top w:color="000000" w:sz="4" w:val="single"/>
              <w:left w:color="000000" w:sz="4" w:val="single"/>
              <w:bottom w:color="000000" w:sz="4" w:val="single"/>
              <w:right w:color="000000" w:sz="4" w:val="single"/>
            </w:tcBorders>
            <w:tcMar>
              <w:left w:type="dxa" w:w="0"/>
              <w:right w:type="dxa" w:w="0"/>
            </w:tcMar>
          </w:tcPr>
          <w:p w14:paraId="5A140000">
            <w:pPr>
              <w:pStyle w:val="Style_1"/>
              <w:widowControl w:val="1"/>
              <w:tabs>
                <w:tab w:leader="none" w:pos="4677" w:val="clear"/>
                <w:tab w:leader="none" w:pos="9355" w:val="clear"/>
              </w:tabs>
              <w:ind w:right="64"/>
              <w:contextualSpacing w:val="1"/>
              <w:rPr>
                <w:sz w:val="22"/>
              </w:rPr>
            </w:pPr>
            <w:r>
              <w:rPr>
                <w:sz w:val="22"/>
              </w:rPr>
              <w:t>О подготовке к проведению годового Общего собрания акционеров Общества.</w:t>
            </w:r>
          </w:p>
          <w:p w14:paraId="5B14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5C140000">
            <w:pPr>
              <w:pStyle w:val="Style_21"/>
              <w:widowControl w:val="1"/>
              <w:ind w:firstLine="0" w:right="64"/>
              <w:contextualSpacing w:val="1"/>
              <w:jc w:val="both"/>
              <w:outlineLvl w:val="0"/>
              <w:rPr>
                <w:sz w:val="22"/>
              </w:rPr>
            </w:pPr>
            <w:r>
              <w:rPr>
                <w:sz w:val="22"/>
              </w:rPr>
              <w:t>1.1. Созвать годовое общее собрание акционеров АО «Краспригород».</w:t>
            </w:r>
          </w:p>
          <w:p w14:paraId="5D140000">
            <w:pPr>
              <w:widowControl w:val="1"/>
              <w:ind w:right="64"/>
              <w:contextualSpacing w:val="1"/>
              <w:rPr>
                <w:sz w:val="22"/>
              </w:rPr>
            </w:pPr>
            <w:r>
              <w:rPr>
                <w:sz w:val="22"/>
              </w:rPr>
              <w:t xml:space="preserve">1.2. Определить формой проведения годового общего собрания акционеров совместное присутствие.  </w:t>
            </w:r>
          </w:p>
          <w:p w14:paraId="5E140000">
            <w:pPr>
              <w:widowControl w:val="1"/>
              <w:ind w:right="64"/>
              <w:contextualSpacing w:val="1"/>
              <w:rPr>
                <w:sz w:val="22"/>
              </w:rPr>
            </w:pPr>
            <w:r>
              <w:rPr>
                <w:sz w:val="22"/>
              </w:rPr>
              <w:t xml:space="preserve">1.3. </w:t>
            </w:r>
          </w:p>
          <w:p w14:paraId="5F140000">
            <w:pPr>
              <w:widowControl w:val="1"/>
              <w:ind w:right="64"/>
              <w:contextualSpacing w:val="1"/>
              <w:rPr>
                <w:sz w:val="22"/>
              </w:rPr>
            </w:pPr>
            <w:r>
              <w:rPr>
                <w:sz w:val="22"/>
              </w:rPr>
              <w:t>1.3.1. Определить дату проведения годового общего собрания акционеров Общества по итогам 2017г. -  «25»  июня  2018 г.</w:t>
            </w:r>
          </w:p>
          <w:p w14:paraId="60140000">
            <w:pPr>
              <w:widowControl w:val="1"/>
              <w:ind w:right="64"/>
              <w:contextualSpacing w:val="1"/>
              <w:rPr>
                <w:sz w:val="22"/>
              </w:rPr>
            </w:pPr>
            <w:r>
              <w:rPr>
                <w:sz w:val="22"/>
              </w:rPr>
              <w:t>1.3.2. Определить место проведения годового общего собрания акционеров общества: г. Красноярск, ул. Горького, д.6.</w:t>
            </w:r>
          </w:p>
          <w:p w14:paraId="61140000">
            <w:pPr>
              <w:widowControl w:val="1"/>
              <w:ind w:right="64"/>
              <w:contextualSpacing w:val="1"/>
              <w:rPr>
                <w:sz w:val="22"/>
              </w:rPr>
            </w:pPr>
            <w:r>
              <w:rPr>
                <w:sz w:val="22"/>
              </w:rPr>
              <w:t xml:space="preserve">1.3.3. Определить время проведения годового общего собрания акционеров общества: 10 часов 00 минут по московскому времени (14 часов 00 минут по местному времени)  </w:t>
            </w:r>
          </w:p>
          <w:p w14:paraId="62140000">
            <w:pPr>
              <w:widowControl w:val="1"/>
              <w:ind w:right="64"/>
              <w:contextualSpacing w:val="1"/>
              <w:rPr>
                <w:sz w:val="22"/>
              </w:rPr>
            </w:pPr>
            <w:r>
              <w:rPr>
                <w:sz w:val="22"/>
              </w:rPr>
              <w:t xml:space="preserve">1.3.4. Определить место и время начала регистрации акционеров (представителей акционеров): г. Красноярск, ул. Горького, д. 6, в  09 часов 30 минут по московскому времени (13 часов 30 минут по местному времени)  «25» июня 2018 г. </w:t>
            </w:r>
          </w:p>
          <w:p w14:paraId="63140000">
            <w:pPr>
              <w:widowControl w:val="1"/>
              <w:ind w:right="64"/>
              <w:contextualSpacing w:val="1"/>
              <w:rPr>
                <w:sz w:val="22"/>
              </w:rPr>
            </w:pPr>
            <w:r>
              <w:rPr>
                <w:sz w:val="22"/>
              </w:rPr>
              <w:t>1.3.5. Определить почтовый адрес для направления заполненных бюллетеней: 660021, г. Красноярск, ул. Профсоюзов, д.3, стр. 2, АО «Краспригород».</w:t>
            </w:r>
          </w:p>
          <w:p w14:paraId="64140000">
            <w:pPr>
              <w:widowControl w:val="1"/>
              <w:ind w:right="64"/>
              <w:contextualSpacing w:val="1"/>
              <w:rPr>
                <w:sz w:val="22"/>
              </w:rPr>
            </w:pPr>
            <w:r>
              <w:rPr>
                <w:sz w:val="22"/>
              </w:rPr>
              <w:t>1.4. Определить дату составления списка лиц, имеющих право на участие в годовом общем собрании акционеров: 04 июня 2018 года.</w:t>
            </w:r>
          </w:p>
          <w:p w14:paraId="65140000">
            <w:pPr>
              <w:pStyle w:val="Style_21"/>
              <w:widowControl w:val="1"/>
              <w:ind w:firstLine="0" w:right="64"/>
              <w:contextualSpacing w:val="1"/>
              <w:jc w:val="both"/>
              <w:outlineLvl w:val="0"/>
              <w:rPr>
                <w:sz w:val="22"/>
              </w:rPr>
            </w:pPr>
            <w:r>
              <w:rPr>
                <w:sz w:val="22"/>
              </w:rPr>
              <w:t>1.5. Избрать секретарем годового общего собрания акционеров Свиридову Ольгу Сергеевну.</w:t>
            </w:r>
          </w:p>
          <w:p w14:paraId="66140000">
            <w:pPr>
              <w:widowControl w:val="1"/>
              <w:ind w:right="64"/>
              <w:contextualSpacing w:val="1"/>
              <w:rPr>
                <w:sz w:val="22"/>
              </w:rPr>
            </w:pPr>
            <w:r>
              <w:rPr>
                <w:sz w:val="22"/>
              </w:rPr>
              <w:t>1.6. Определить  лицом,  осуществляющим  функции  счетной  комиссии  общества,   АО «ВТБ Регистратор», осуществляющий ведение реестра акционеров общества.</w:t>
            </w:r>
          </w:p>
          <w:p w14:paraId="67140000">
            <w:pPr>
              <w:widowControl w:val="1"/>
              <w:ind w:right="64"/>
              <w:contextualSpacing w:val="1"/>
              <w:rPr>
                <w:sz w:val="22"/>
              </w:rPr>
            </w:pPr>
            <w:r>
              <w:rPr>
                <w:sz w:val="22"/>
              </w:rPr>
              <w:t>1.7. Утвердить следующую повестку дня годового общего собрания акционеров:</w:t>
            </w:r>
          </w:p>
          <w:p w14:paraId="68140000">
            <w:pPr>
              <w:pStyle w:val="Style_1"/>
              <w:keepNext w:val="1"/>
              <w:keepLines w:val="1"/>
              <w:widowControl w:val="1"/>
              <w:numPr>
                <w:ilvl w:val="0"/>
                <w:numId w:val="41"/>
              </w:numPr>
              <w:tabs>
                <w:tab w:leader="none" w:pos="4677" w:val="clear"/>
                <w:tab w:leader="none" w:pos="9355" w:val="clear"/>
              </w:tabs>
              <w:ind w:firstLine="0" w:left="0" w:right="64"/>
              <w:contextualSpacing w:val="1"/>
              <w:rPr>
                <w:sz w:val="22"/>
              </w:rPr>
            </w:pPr>
            <w:r>
              <w:rPr>
                <w:sz w:val="22"/>
              </w:rPr>
              <w:t>Утверждение годового отчета.</w:t>
            </w:r>
          </w:p>
          <w:p w14:paraId="69140000">
            <w:pPr>
              <w:pStyle w:val="Style_1"/>
              <w:keepNext w:val="1"/>
              <w:keepLines w:val="1"/>
              <w:widowControl w:val="1"/>
              <w:numPr>
                <w:ilvl w:val="0"/>
                <w:numId w:val="41"/>
              </w:numPr>
              <w:ind w:firstLine="0" w:left="0" w:right="64"/>
              <w:contextualSpacing w:val="1"/>
              <w:rPr>
                <w:sz w:val="22"/>
              </w:rPr>
            </w:pPr>
            <w:r>
              <w:rPr>
                <w:rStyle w:val="Style_33_ch"/>
                <w:sz w:val="22"/>
              </w:rPr>
              <w:t>Утверждение годовой бухгалтерской (финансовой) отчетности Общества</w:t>
            </w:r>
            <w:r>
              <w:rPr>
                <w:sz w:val="22"/>
              </w:rPr>
              <w:t>.</w:t>
            </w:r>
          </w:p>
          <w:p w14:paraId="6A140000">
            <w:pPr>
              <w:pStyle w:val="Style_1"/>
              <w:keepNext w:val="1"/>
              <w:keepLines w:val="1"/>
              <w:widowControl w:val="1"/>
              <w:numPr>
                <w:ilvl w:val="0"/>
                <w:numId w:val="41"/>
              </w:numPr>
              <w:tabs>
                <w:tab w:leader="none" w:pos="4677" w:val="clear"/>
                <w:tab w:leader="none" w:pos="9355" w:val="clear"/>
              </w:tabs>
              <w:ind w:firstLine="0" w:left="0" w:right="64"/>
              <w:contextualSpacing w:val="1"/>
              <w:rPr>
                <w:sz w:val="22"/>
              </w:rPr>
            </w:pPr>
            <w:r>
              <w:rPr>
                <w:sz w:val="22"/>
              </w:rPr>
              <w:t>Распределение прибыли и убытков Общества по результатам отчетного года.</w:t>
            </w:r>
          </w:p>
          <w:p w14:paraId="6B140000">
            <w:pPr>
              <w:pStyle w:val="Style_1"/>
              <w:keepNext w:val="1"/>
              <w:keepLines w:val="1"/>
              <w:widowControl w:val="1"/>
              <w:numPr>
                <w:ilvl w:val="0"/>
                <w:numId w:val="41"/>
              </w:numPr>
              <w:tabs>
                <w:tab w:leader="none" w:pos="4677" w:val="clear"/>
                <w:tab w:leader="none" w:pos="9355" w:val="clear"/>
              </w:tabs>
              <w:ind w:firstLine="0" w:left="0" w:right="64"/>
              <w:contextualSpacing w:val="1"/>
              <w:rPr>
                <w:sz w:val="22"/>
              </w:rPr>
            </w:pPr>
            <w:r>
              <w:rPr>
                <w:sz w:val="22"/>
              </w:rPr>
              <w:t>Выплата (объявление) дивидендов по результатам отчетного года.</w:t>
            </w:r>
          </w:p>
          <w:p w14:paraId="6C140000">
            <w:pPr>
              <w:pStyle w:val="Style_1"/>
              <w:keepNext w:val="1"/>
              <w:keepLines w:val="1"/>
              <w:widowControl w:val="1"/>
              <w:numPr>
                <w:ilvl w:val="0"/>
                <w:numId w:val="41"/>
              </w:numPr>
              <w:tabs>
                <w:tab w:leader="none" w:pos="4677" w:val="clear"/>
                <w:tab w:leader="none" w:pos="9355" w:val="clear"/>
              </w:tabs>
              <w:ind w:firstLine="0" w:left="0" w:right="64"/>
              <w:contextualSpacing w:val="1"/>
              <w:rPr>
                <w:sz w:val="22"/>
              </w:rPr>
            </w:pPr>
            <w:r>
              <w:rPr>
                <w:sz w:val="22"/>
              </w:rPr>
              <w:t>Выплата членам совета директоров Общества вознаграждений и компенсаций.</w:t>
            </w:r>
          </w:p>
          <w:p w14:paraId="6D140000">
            <w:pPr>
              <w:pStyle w:val="Style_1"/>
              <w:keepNext w:val="1"/>
              <w:keepLines w:val="1"/>
              <w:widowControl w:val="1"/>
              <w:numPr>
                <w:ilvl w:val="0"/>
                <w:numId w:val="41"/>
              </w:numPr>
              <w:tabs>
                <w:tab w:leader="none" w:pos="4677" w:val="clear"/>
                <w:tab w:leader="none" w:pos="9355" w:val="clear"/>
              </w:tabs>
              <w:ind w:firstLine="0" w:left="0" w:right="64"/>
              <w:contextualSpacing w:val="1"/>
              <w:rPr>
                <w:sz w:val="22"/>
              </w:rPr>
            </w:pPr>
            <w:r>
              <w:rPr>
                <w:sz w:val="22"/>
              </w:rPr>
              <w:t>Выплата членам ревизионной комиссии Общества вознаграждений и компенсаций.</w:t>
            </w:r>
          </w:p>
          <w:p w14:paraId="6E140000">
            <w:pPr>
              <w:pStyle w:val="Style_1"/>
              <w:keepNext w:val="1"/>
              <w:keepLines w:val="1"/>
              <w:widowControl w:val="1"/>
              <w:numPr>
                <w:ilvl w:val="0"/>
                <w:numId w:val="41"/>
              </w:numPr>
              <w:tabs>
                <w:tab w:leader="none" w:pos="4677" w:val="clear"/>
                <w:tab w:leader="none" w:pos="9355" w:val="clear"/>
              </w:tabs>
              <w:ind w:firstLine="0" w:left="0" w:right="64"/>
              <w:contextualSpacing w:val="1"/>
              <w:rPr>
                <w:sz w:val="22"/>
              </w:rPr>
            </w:pPr>
            <w:r>
              <w:rPr>
                <w:sz w:val="22"/>
              </w:rPr>
              <w:t>Утверждение аудитора Общества.</w:t>
            </w:r>
          </w:p>
          <w:p w14:paraId="6F140000">
            <w:pPr>
              <w:pStyle w:val="Style_1"/>
              <w:keepNext w:val="1"/>
              <w:keepLines w:val="1"/>
              <w:widowControl w:val="1"/>
              <w:numPr>
                <w:ilvl w:val="0"/>
                <w:numId w:val="41"/>
              </w:numPr>
              <w:tabs>
                <w:tab w:leader="none" w:pos="4677" w:val="clear"/>
                <w:tab w:leader="none" w:pos="9355" w:val="clear"/>
              </w:tabs>
              <w:ind w:firstLine="0" w:left="0" w:right="64"/>
              <w:contextualSpacing w:val="1"/>
              <w:rPr>
                <w:sz w:val="22"/>
              </w:rPr>
            </w:pPr>
            <w:r>
              <w:rPr>
                <w:sz w:val="22"/>
              </w:rPr>
              <w:t>Избрание членов совета директоров Общества.</w:t>
            </w:r>
          </w:p>
          <w:p w14:paraId="70140000">
            <w:pPr>
              <w:pStyle w:val="Style_1"/>
              <w:keepNext w:val="1"/>
              <w:keepLines w:val="1"/>
              <w:widowControl w:val="1"/>
              <w:numPr>
                <w:ilvl w:val="0"/>
                <w:numId w:val="41"/>
              </w:numPr>
              <w:tabs>
                <w:tab w:leader="none" w:pos="4677" w:val="clear"/>
                <w:tab w:leader="none" w:pos="9355" w:val="clear"/>
              </w:tabs>
              <w:ind w:firstLine="0" w:left="0" w:right="64"/>
              <w:contextualSpacing w:val="1"/>
              <w:rPr>
                <w:sz w:val="22"/>
              </w:rPr>
            </w:pPr>
            <w:r>
              <w:rPr>
                <w:sz w:val="22"/>
              </w:rPr>
              <w:t>Избрание членов ревизионной комиссии Общества.</w:t>
            </w:r>
          </w:p>
          <w:p w14:paraId="71140000">
            <w:pPr>
              <w:widowControl w:val="1"/>
              <w:ind w:right="64"/>
              <w:contextualSpacing w:val="1"/>
              <w:rPr>
                <w:sz w:val="22"/>
              </w:rPr>
            </w:pPr>
            <w:r>
              <w:rPr>
                <w:sz w:val="22"/>
              </w:rPr>
              <w:t>1.8.</w:t>
            </w:r>
          </w:p>
          <w:p w14:paraId="72140000">
            <w:pPr>
              <w:widowControl w:val="1"/>
              <w:ind w:right="64"/>
              <w:contextualSpacing w:val="1"/>
              <w:rPr>
                <w:sz w:val="22"/>
              </w:rPr>
            </w:pPr>
            <w:r>
              <w:rPr>
                <w:sz w:val="22"/>
              </w:rPr>
              <w:t>1.8.1. Утвердить форму и текст сообщения о проведении годового общего собрания акционеров (Приложение №1</w:t>
            </w:r>
            <w:r>
              <w:rPr>
                <w:color w:val="000000"/>
                <w:sz w:val="22"/>
              </w:rPr>
              <w:t xml:space="preserve"> к протоколу заседания Совета директоров</w:t>
            </w:r>
            <w:r>
              <w:rPr>
                <w:sz w:val="22"/>
              </w:rPr>
              <w:t xml:space="preserve">)   </w:t>
            </w:r>
          </w:p>
          <w:p w14:paraId="73140000">
            <w:pPr>
              <w:widowControl w:val="1"/>
              <w:ind w:right="64"/>
              <w:contextualSpacing w:val="1"/>
              <w:rPr>
                <w:sz w:val="22"/>
              </w:rPr>
            </w:pPr>
            <w:r>
              <w:rPr>
                <w:sz w:val="22"/>
              </w:rPr>
              <w:t>1.8.2.   Направить не позднее 05 июня 2018г.  лицам,  имеющим  право  на  участие  в  годовом  общем  собрании акционеров,  сообщение  о  проведении  годового  общего  собрания  акционеров.</w:t>
            </w:r>
          </w:p>
          <w:p w14:paraId="74140000">
            <w:pPr>
              <w:widowControl w:val="1"/>
              <w:ind w:right="64"/>
              <w:contextualSpacing w:val="1"/>
              <w:outlineLvl w:val="0"/>
              <w:rPr>
                <w:sz w:val="22"/>
              </w:rPr>
            </w:pPr>
            <w:r>
              <w:rPr>
                <w:sz w:val="22"/>
              </w:rPr>
              <w:t>1.9.</w:t>
            </w:r>
            <w:r>
              <w:rPr>
                <w:sz w:val="22"/>
              </w:rPr>
              <w:t xml:space="preserve"> </w:t>
            </w:r>
          </w:p>
          <w:p w14:paraId="75140000">
            <w:pPr>
              <w:widowControl w:val="1"/>
              <w:ind w:right="64"/>
              <w:contextualSpacing w:val="1"/>
              <w:outlineLvl w:val="0"/>
              <w:rPr>
                <w:sz w:val="22"/>
              </w:rPr>
            </w:pPr>
            <w:r>
              <w:rPr>
                <w:sz w:val="22"/>
              </w:rPr>
              <w:t>1.9.1. Определить следующий перечень информации  (материалов), предоставляемой лицам, имеющим право на участие в годовом общем собрании акционеров:</w:t>
            </w:r>
          </w:p>
          <w:p w14:paraId="76140000">
            <w:pPr>
              <w:widowControl w:val="1"/>
              <w:ind w:right="64"/>
              <w:contextualSpacing w:val="1"/>
              <w:outlineLvl w:val="0"/>
              <w:rPr>
                <w:sz w:val="22"/>
              </w:rPr>
            </w:pPr>
            <w:r>
              <w:rPr>
                <w:sz w:val="22"/>
              </w:rPr>
              <w:t>1.годовой отчет Общества;</w:t>
            </w:r>
          </w:p>
          <w:p w14:paraId="77140000">
            <w:pPr>
              <w:widowControl w:val="1"/>
              <w:ind w:right="64"/>
              <w:contextualSpacing w:val="1"/>
              <w:outlineLvl w:val="0"/>
              <w:rPr>
                <w:sz w:val="22"/>
              </w:rPr>
            </w:pPr>
            <w:r>
              <w:rPr>
                <w:sz w:val="22"/>
              </w:rPr>
              <w:t>2. годовая бухгалтерская отчетность;</w:t>
            </w:r>
          </w:p>
          <w:p w14:paraId="78140000">
            <w:pPr>
              <w:widowControl w:val="1"/>
              <w:ind w:right="64"/>
              <w:contextualSpacing w:val="1"/>
              <w:outlineLvl w:val="0"/>
              <w:rPr>
                <w:sz w:val="22"/>
              </w:rPr>
            </w:pPr>
            <w:r>
              <w:rPr>
                <w:sz w:val="22"/>
              </w:rPr>
              <w:t>3. заключение ревизионной комиссии по результатам проверки финансово-хозяйственной деятельности Общества за 2017 год;</w:t>
            </w:r>
          </w:p>
          <w:p w14:paraId="79140000">
            <w:pPr>
              <w:widowControl w:val="1"/>
              <w:ind w:right="64"/>
              <w:contextualSpacing w:val="1"/>
              <w:outlineLvl w:val="0"/>
              <w:rPr>
                <w:sz w:val="22"/>
              </w:rPr>
            </w:pPr>
            <w:r>
              <w:rPr>
                <w:sz w:val="22"/>
              </w:rPr>
              <w:t>4. мероприятия по устранению замечаний ревизионной комиссии по результатам проверки финансово-хозяйственной деятельности Общества за 2017 год;</w:t>
            </w:r>
          </w:p>
          <w:p w14:paraId="7A140000">
            <w:pPr>
              <w:widowControl w:val="1"/>
              <w:ind w:right="64"/>
              <w:contextualSpacing w:val="1"/>
              <w:outlineLvl w:val="0"/>
              <w:rPr>
                <w:sz w:val="22"/>
              </w:rPr>
            </w:pPr>
            <w:r>
              <w:rPr>
                <w:sz w:val="22"/>
              </w:rPr>
              <w:t>5. сведения о кандидатах на должность члена совета директоров общества (Ф.И.О. (полностью), должность кандидата, иные сведения, предусмотренные внутренними документами общества);</w:t>
            </w:r>
          </w:p>
          <w:p w14:paraId="7B140000">
            <w:pPr>
              <w:widowControl w:val="1"/>
              <w:ind w:right="64"/>
              <w:contextualSpacing w:val="1"/>
              <w:outlineLvl w:val="0"/>
              <w:rPr>
                <w:sz w:val="22"/>
              </w:rPr>
            </w:pPr>
            <w:r>
              <w:rPr>
                <w:sz w:val="22"/>
              </w:rPr>
              <w:t>6. сведения о кандидатах на должность члена ревизионной комиссии (Ф.И.О. (полностью), должность кандидата, иные сведения, предусмотренные внутренними документами общества);</w:t>
            </w:r>
          </w:p>
          <w:p w14:paraId="7C140000">
            <w:pPr>
              <w:widowControl w:val="1"/>
              <w:ind w:right="64"/>
              <w:contextualSpacing w:val="1"/>
              <w:outlineLvl w:val="0"/>
              <w:rPr>
                <w:sz w:val="22"/>
              </w:rPr>
            </w:pPr>
            <w:r>
              <w:rPr>
                <w:sz w:val="22"/>
              </w:rPr>
              <w:t>7. сведения об аудиторе;</w:t>
            </w:r>
          </w:p>
          <w:p w14:paraId="7D140000">
            <w:pPr>
              <w:widowControl w:val="1"/>
              <w:ind w:right="64"/>
              <w:contextualSpacing w:val="1"/>
              <w:outlineLvl w:val="0"/>
              <w:rPr>
                <w:sz w:val="22"/>
              </w:rPr>
            </w:pPr>
            <w:r>
              <w:rPr>
                <w:sz w:val="22"/>
              </w:rPr>
              <w:t>8. список лиц, имеющих право на участие в  годовом  общем  собрании акционеров;</w:t>
            </w:r>
            <w:r>
              <w:rPr>
                <w:sz w:val="22"/>
              </w:rPr>
              <w:t xml:space="preserve"> </w:t>
            </w:r>
          </w:p>
          <w:p w14:paraId="7E140000">
            <w:pPr>
              <w:widowControl w:val="1"/>
              <w:ind w:right="64"/>
              <w:contextualSpacing w:val="1"/>
              <w:outlineLvl w:val="0"/>
              <w:rPr>
                <w:sz w:val="22"/>
              </w:rPr>
            </w:pPr>
            <w:r>
              <w:rPr>
                <w:sz w:val="22"/>
              </w:rPr>
              <w:t xml:space="preserve">9. </w:t>
            </w:r>
            <w:r>
              <w:rPr>
                <w:sz w:val="22"/>
              </w:rPr>
              <w:t>предложения Совета директоров Общества по распределению прибыли и убытков  Общества по результатам  2017 финансового года</w:t>
            </w:r>
            <w:r>
              <w:rPr>
                <w:sz w:val="22"/>
              </w:rPr>
              <w:t>;</w:t>
            </w:r>
            <w:r>
              <w:rPr>
                <w:sz w:val="22"/>
              </w:rPr>
              <w:t xml:space="preserve"> </w:t>
            </w:r>
            <w:r>
              <w:rPr>
                <w:sz w:val="22"/>
              </w:rPr>
              <w:t xml:space="preserve">  </w:t>
            </w:r>
          </w:p>
          <w:p w14:paraId="7F140000">
            <w:pPr>
              <w:widowControl w:val="1"/>
              <w:ind w:right="64"/>
              <w:contextualSpacing w:val="1"/>
              <w:outlineLvl w:val="0"/>
              <w:rPr>
                <w:sz w:val="22"/>
              </w:rPr>
            </w:pPr>
            <w:r>
              <w:rPr>
                <w:sz w:val="22"/>
              </w:rPr>
              <w:t>10. рекомендации Совета директоров Общества по размеру дивиденда по акциям Общества и порядку его выплаты;</w:t>
            </w:r>
          </w:p>
          <w:p w14:paraId="80140000">
            <w:pPr>
              <w:widowControl w:val="1"/>
              <w:ind w:right="64"/>
              <w:contextualSpacing w:val="1"/>
              <w:outlineLvl w:val="0"/>
              <w:rPr>
                <w:sz w:val="22"/>
              </w:rPr>
            </w:pPr>
            <w:r>
              <w:rPr>
                <w:sz w:val="22"/>
              </w:rPr>
              <w:t>11. рекомендации Совета директоров Общества по размеру вознаграждения членам Ревизионной комиссии Общества.</w:t>
            </w:r>
          </w:p>
          <w:p w14:paraId="81140000">
            <w:pPr>
              <w:widowControl w:val="1"/>
              <w:ind w:right="64"/>
              <w:contextualSpacing w:val="1"/>
              <w:outlineLvl w:val="0"/>
              <w:rPr>
                <w:sz w:val="22"/>
              </w:rPr>
            </w:pPr>
            <w:r>
              <w:rPr>
                <w:sz w:val="22"/>
              </w:rPr>
              <w:t>1.9.2. Определить, что данная информация направляется лицам, имеющим право на участие в годовом общем собрании акционеров, вместе с сообщением о проведении годового общего собрания акционеров;</w:t>
            </w:r>
            <w:r>
              <w:rPr>
                <w:i w:val="1"/>
                <w:sz w:val="22"/>
              </w:rPr>
              <w:t xml:space="preserve"> </w:t>
            </w:r>
            <w:r>
              <w:rPr>
                <w:sz w:val="22"/>
              </w:rPr>
              <w:t>кроме того, указанные лица могут ознакомиться с данной информацией в помещении исполнительного органа по адресу: г. Красноярск, ул. Профсоюзов, д.3, стр. 2, АО «Краспригород», в период с «04» июня 2018 г. по «24» июня 2018 г. с 8-00 до 17-00 часов в рабочие дни недели</w:t>
            </w:r>
          </w:p>
          <w:p w14:paraId="82140000">
            <w:pPr>
              <w:pStyle w:val="Style_12"/>
              <w:widowControl w:val="1"/>
              <w:ind w:right="64"/>
              <w:contextualSpacing w:val="1"/>
              <w:jc w:val="both"/>
              <w:rPr>
                <w:rFonts w:ascii="Times New Roman" w:hAnsi="Times New Roman"/>
                <w:sz w:val="22"/>
              </w:rPr>
            </w:pPr>
            <w:r>
              <w:rPr>
                <w:rFonts w:ascii="Times New Roman" w:hAnsi="Times New Roman"/>
                <w:sz w:val="22"/>
              </w:rPr>
              <w:t>1.10.  Утвердить  следующую  форму  и  текст  бюллетеня  для  голосования  на годовом общем собрании акционеров Общества (Приложение №2</w:t>
            </w:r>
            <w:r>
              <w:rPr>
                <w:rFonts w:ascii="Times New Roman" w:hAnsi="Times New Roman"/>
                <w:color w:val="000000"/>
                <w:sz w:val="22"/>
              </w:rPr>
              <w:t xml:space="preserve"> к протоколу заседания Совета директоров</w:t>
            </w:r>
            <w:r>
              <w:rPr>
                <w:rFonts w:ascii="Times New Roman" w:hAnsi="Times New Roman"/>
                <w:sz w:val="22"/>
              </w:rPr>
              <w:t>).</w:t>
            </w:r>
          </w:p>
          <w:p w14:paraId="83140000">
            <w:pPr>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8414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85140000">
            <w:pPr>
              <w:widowControl w:val="1"/>
              <w:ind w:firstLine="709" w:left="-758"/>
              <w:contextualSpacing w:val="1"/>
              <w:jc w:val="center"/>
              <w:rPr>
                <w:sz w:val="22"/>
              </w:rPr>
            </w:pPr>
            <w:r>
              <w:rPr>
                <w:sz w:val="22"/>
              </w:rPr>
              <w:t>2</w:t>
            </w:r>
          </w:p>
        </w:tc>
        <w:tc>
          <w:tcPr>
            <w:tcW w:type="dxa" w:w="2043"/>
            <w:tcBorders>
              <w:top w:color="000000" w:sz="4" w:val="single"/>
              <w:left w:color="000000" w:sz="4" w:val="single"/>
              <w:bottom w:color="000000" w:sz="4" w:val="single"/>
              <w:right w:color="000000" w:sz="4" w:val="single"/>
            </w:tcBorders>
            <w:tcMar>
              <w:left w:type="dxa" w:w="0"/>
              <w:right w:type="dxa" w:w="0"/>
            </w:tcMar>
          </w:tcPr>
          <w:p w14:paraId="86140000">
            <w:pPr>
              <w:widowControl w:val="1"/>
              <w:ind w:right="64"/>
              <w:contextualSpacing w:val="1"/>
              <w:rPr>
                <w:sz w:val="22"/>
              </w:rPr>
            </w:pPr>
            <w:r>
              <w:rPr>
                <w:sz w:val="22"/>
              </w:rPr>
              <w:t>О предварительном утверждении и вынесении на утверждение годового общего собрания акционеров годового отчета Общества за 2017 г.</w:t>
            </w:r>
          </w:p>
        </w:tc>
        <w:tc>
          <w:tcPr>
            <w:tcW w:type="dxa" w:w="5404"/>
            <w:tcBorders>
              <w:top w:color="000000" w:sz="4" w:val="single"/>
              <w:left w:sz="4" w:val="nil"/>
              <w:bottom w:color="000000" w:sz="4" w:val="single"/>
              <w:right w:color="000000" w:sz="4" w:val="single"/>
            </w:tcBorders>
            <w:tcMar>
              <w:left w:type="dxa" w:w="0"/>
              <w:right w:type="dxa" w:w="0"/>
            </w:tcMar>
          </w:tcPr>
          <w:p w14:paraId="87140000">
            <w:pPr>
              <w:widowControl w:val="1"/>
              <w:ind w:right="64"/>
              <w:contextualSpacing w:val="1"/>
              <w:rPr>
                <w:sz w:val="22"/>
              </w:rPr>
            </w:pPr>
            <w:r>
              <w:rPr>
                <w:sz w:val="22"/>
              </w:rPr>
              <w:t>2.1. Предварительно утвердить годовой отчет Общества за 2017 г. (Приложение №3</w:t>
            </w:r>
            <w:r>
              <w:rPr>
                <w:color w:val="000000"/>
                <w:sz w:val="22"/>
              </w:rPr>
              <w:t xml:space="preserve"> к протоколу заседания Совета директоров</w:t>
            </w:r>
            <w:r>
              <w:rPr>
                <w:sz w:val="22"/>
              </w:rPr>
              <w:t>).</w:t>
            </w:r>
          </w:p>
          <w:p w14:paraId="88140000">
            <w:pPr>
              <w:widowControl w:val="1"/>
              <w:ind w:right="64"/>
              <w:contextualSpacing w:val="1"/>
              <w:outlineLvl w:val="0"/>
              <w:rPr>
                <w:sz w:val="22"/>
              </w:rPr>
            </w:pPr>
            <w:r>
              <w:rPr>
                <w:sz w:val="22"/>
              </w:rPr>
              <w:t>2.2.  Вынести на  утверждение  годового общего собрания акционеров годовой отчет Общества за 2017 г. (Приложение №3</w:t>
            </w:r>
            <w:r>
              <w:rPr>
                <w:color w:val="000000"/>
                <w:sz w:val="22"/>
              </w:rPr>
              <w:t xml:space="preserve"> к протоколу заседания Совета директоров</w:t>
            </w:r>
            <w:r>
              <w:rPr>
                <w:sz w:val="22"/>
              </w:rPr>
              <w:t>).</w:t>
            </w:r>
          </w:p>
          <w:p w14:paraId="89140000">
            <w:pPr>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8A14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8B140000">
            <w:pPr>
              <w:widowControl w:val="1"/>
              <w:ind w:firstLine="709" w:left="-758"/>
              <w:contextualSpacing w:val="1"/>
              <w:jc w:val="center"/>
              <w:rPr>
                <w:sz w:val="22"/>
              </w:rPr>
            </w:pPr>
            <w:r>
              <w:rPr>
                <w:sz w:val="22"/>
              </w:rPr>
              <w:t>3</w:t>
            </w:r>
          </w:p>
        </w:tc>
        <w:tc>
          <w:tcPr>
            <w:tcW w:type="dxa" w:w="2043"/>
            <w:tcBorders>
              <w:top w:color="000000" w:sz="4" w:val="single"/>
              <w:left w:color="000000" w:sz="4" w:val="single"/>
              <w:bottom w:color="000000" w:sz="4" w:val="single"/>
              <w:right w:color="000000" w:sz="4" w:val="single"/>
            </w:tcBorders>
            <w:tcMar>
              <w:left w:type="dxa" w:w="0"/>
              <w:right w:type="dxa" w:w="0"/>
            </w:tcMar>
          </w:tcPr>
          <w:p w14:paraId="8C140000">
            <w:pPr>
              <w:widowControl w:val="1"/>
              <w:ind w:right="64"/>
              <w:contextualSpacing w:val="1"/>
              <w:rPr>
                <w:sz w:val="22"/>
              </w:rPr>
            </w:pPr>
            <w:r>
              <w:rPr>
                <w:sz w:val="22"/>
              </w:rPr>
              <w:t xml:space="preserve"> О рассмотрении годовой бухгалтерской (финансовой) отчетности Общества за 2017г.</w:t>
            </w:r>
          </w:p>
        </w:tc>
        <w:tc>
          <w:tcPr>
            <w:tcW w:type="dxa" w:w="5404"/>
            <w:tcBorders>
              <w:top w:color="000000" w:sz="4" w:val="single"/>
              <w:left w:sz="4" w:val="nil"/>
              <w:bottom w:color="000000" w:sz="4" w:val="single"/>
              <w:right w:color="000000" w:sz="4" w:val="single"/>
            </w:tcBorders>
            <w:tcMar>
              <w:left w:type="dxa" w:w="0"/>
              <w:right w:type="dxa" w:w="0"/>
            </w:tcMar>
          </w:tcPr>
          <w:p w14:paraId="8D140000">
            <w:pPr>
              <w:widowControl w:val="1"/>
              <w:ind w:right="64"/>
              <w:contextualSpacing w:val="1"/>
              <w:rPr>
                <w:sz w:val="22"/>
              </w:rPr>
            </w:pPr>
            <w:r>
              <w:rPr>
                <w:sz w:val="22"/>
              </w:rPr>
              <w:t>3.1. Вынести на утверждение годового общего собрания акционеров акционерного общества «Краспригород» бухгалтерскую отчетность Общества за 2017 год, отметив неудовлетворительное финансовое положение Общества, выражающееся в отрицательном значении чистых активов на 31.12.2017г. (143 833 тыс. руб.) (Приложение №4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8E14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8F140000">
            <w:pPr>
              <w:widowControl w:val="1"/>
              <w:ind w:firstLine="709" w:left="-758"/>
              <w:contextualSpacing w:val="1"/>
              <w:jc w:val="center"/>
              <w:rPr>
                <w:sz w:val="22"/>
              </w:rPr>
            </w:pPr>
            <w:r>
              <w:rPr>
                <w:sz w:val="22"/>
              </w:rPr>
              <w:t>4</w:t>
            </w:r>
          </w:p>
        </w:tc>
        <w:tc>
          <w:tcPr>
            <w:tcW w:type="dxa" w:w="2043"/>
            <w:tcBorders>
              <w:top w:color="000000" w:sz="4" w:val="single"/>
              <w:left w:color="000000" w:sz="4" w:val="single"/>
              <w:bottom w:color="000000" w:sz="4" w:val="single"/>
              <w:right w:color="000000" w:sz="4" w:val="single"/>
            </w:tcBorders>
            <w:tcMar>
              <w:left w:type="dxa" w:w="0"/>
              <w:right w:type="dxa" w:w="0"/>
            </w:tcMar>
          </w:tcPr>
          <w:p w14:paraId="90140000">
            <w:pPr>
              <w:widowControl w:val="1"/>
              <w:ind w:right="64"/>
              <w:contextualSpacing w:val="1"/>
              <w:rPr>
                <w:b w:val="1"/>
                <w:sz w:val="22"/>
                <w:u w:val="single"/>
              </w:rPr>
            </w:pPr>
            <w:r>
              <w:rPr>
                <w:sz w:val="22"/>
              </w:rPr>
              <w:t>О рассмотрении итогов ревизионной проверки деятельности Общества за 2017 год.</w:t>
            </w:r>
          </w:p>
          <w:p w14:paraId="9114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92140000">
            <w:pPr>
              <w:widowControl w:val="1"/>
              <w:ind w:right="64"/>
              <w:contextualSpacing w:val="1"/>
              <w:rPr>
                <w:sz w:val="22"/>
              </w:rPr>
            </w:pPr>
            <w:r>
              <w:rPr>
                <w:sz w:val="22"/>
              </w:rPr>
              <w:t>4.1. Принять к сведению заключение Ревизионной комиссии Общества по</w:t>
            </w:r>
            <w:r>
              <w:rPr>
                <w:sz w:val="22"/>
              </w:rPr>
              <w:br/>
            </w:r>
            <w:r>
              <w:rPr>
                <w:sz w:val="22"/>
              </w:rPr>
              <w:t>результатам проверки финансово-хозяйственной деятельности Общества за 2017 год (Приложение №5</w:t>
            </w:r>
            <w:r>
              <w:rPr>
                <w:color w:val="000000"/>
                <w:sz w:val="22"/>
              </w:rPr>
              <w:t xml:space="preserve"> к протоколу заседания Совета директоров</w:t>
            </w:r>
            <w:r>
              <w:rPr>
                <w:sz w:val="22"/>
              </w:rPr>
              <w:t>)</w:t>
            </w:r>
          </w:p>
        </w:tc>
        <w:tc>
          <w:tcPr>
            <w:tcW w:type="dxa" w:w="1605"/>
            <w:tcBorders>
              <w:top w:color="000000" w:sz="4" w:val="single"/>
              <w:left w:sz="4" w:val="nil"/>
              <w:bottom w:color="000000" w:sz="4" w:val="single"/>
              <w:right w:color="000000" w:sz="4" w:val="single"/>
            </w:tcBorders>
            <w:tcMar>
              <w:left w:type="dxa" w:w="0"/>
              <w:right w:type="dxa" w:w="0"/>
            </w:tcMar>
          </w:tcPr>
          <w:p w14:paraId="9314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94140000">
            <w:pPr>
              <w:widowControl w:val="1"/>
              <w:ind w:firstLine="709" w:left="-758"/>
              <w:contextualSpacing w:val="1"/>
              <w:jc w:val="center"/>
              <w:rPr>
                <w:sz w:val="22"/>
              </w:rPr>
            </w:pPr>
            <w:r>
              <w:rPr>
                <w:sz w:val="22"/>
              </w:rPr>
              <w:t>5</w:t>
            </w:r>
          </w:p>
        </w:tc>
        <w:tc>
          <w:tcPr>
            <w:tcW w:type="dxa" w:w="2043"/>
            <w:tcBorders>
              <w:top w:color="000000" w:sz="4" w:val="single"/>
              <w:left w:color="000000" w:sz="4" w:val="single"/>
              <w:bottom w:color="000000" w:sz="4" w:val="single"/>
              <w:right w:color="000000" w:sz="4" w:val="single"/>
            </w:tcBorders>
            <w:tcMar>
              <w:left w:type="dxa" w:w="0"/>
              <w:right w:type="dxa" w:w="0"/>
            </w:tcMar>
          </w:tcPr>
          <w:p w14:paraId="95140000">
            <w:pPr>
              <w:widowControl w:val="1"/>
              <w:ind w:right="64"/>
              <w:contextualSpacing w:val="1"/>
              <w:rPr>
                <w:b w:val="1"/>
                <w:sz w:val="22"/>
                <w:u w:val="single"/>
              </w:rPr>
            </w:pPr>
            <w:r>
              <w:rPr>
                <w:sz w:val="22"/>
              </w:rPr>
              <w:t>О рассмотрении мероприятий по устранению замечаний ревизионной комиссии по результатам проверки финансово-хозяйственной деятельности Общества за 2017 год.</w:t>
            </w:r>
          </w:p>
          <w:p w14:paraId="9614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97140000">
            <w:pPr>
              <w:widowControl w:val="1"/>
              <w:ind w:right="64"/>
              <w:contextualSpacing w:val="1"/>
              <w:rPr>
                <w:sz w:val="22"/>
              </w:rPr>
            </w:pPr>
            <w:r>
              <w:rPr>
                <w:sz w:val="22"/>
              </w:rPr>
              <w:t>5.1. Принять к сведению мероприятия по устранению замечаний ревизионной комиссии по результатам проверки финансово-хозяйственной деятельности Общества за 2017 год (Приложение №6</w:t>
            </w:r>
            <w:r>
              <w:rPr>
                <w:color w:val="000000"/>
                <w:sz w:val="22"/>
              </w:rPr>
              <w:t xml:space="preserve"> к протоколу заседания Совета директоров</w:t>
            </w:r>
            <w:r>
              <w:rPr>
                <w:sz w:val="22"/>
              </w:rPr>
              <w:t xml:space="preserve">). </w:t>
            </w:r>
          </w:p>
          <w:p w14:paraId="98140000">
            <w:pPr>
              <w:widowControl w:val="1"/>
              <w:ind w:right="64"/>
              <w:contextualSpacing w:val="1"/>
              <w:rPr>
                <w:sz w:val="22"/>
              </w:rPr>
            </w:pPr>
            <w:r>
              <w:rPr>
                <w:sz w:val="22"/>
              </w:rPr>
              <w:t xml:space="preserve">5.2. Принять к сведению отчет об устранении замечаний ревизионной комиссии по результатам проверки финансово-хозяйственной деятельности Общества за 2017 год. </w:t>
            </w:r>
            <w:r>
              <w:rPr>
                <w:sz w:val="22"/>
              </w:rPr>
              <w:t xml:space="preserve">(Приложение № 7 к протоколу заседания Совета директоров). </w:t>
            </w:r>
          </w:p>
          <w:p w14:paraId="99140000">
            <w:pPr>
              <w:pStyle w:val="Style_12"/>
              <w:widowControl w:val="1"/>
              <w:ind w:right="64"/>
              <w:contextualSpacing w:val="1"/>
              <w:jc w:val="both"/>
              <w:rPr>
                <w:rFonts w:ascii="Times New Roman" w:hAnsi="Times New Roman"/>
                <w:sz w:val="22"/>
              </w:rPr>
            </w:pPr>
            <w:r>
              <w:rPr>
                <w:rFonts w:ascii="Times New Roman" w:hAnsi="Times New Roman"/>
                <w:sz w:val="22"/>
              </w:rPr>
              <w:t>5.3. Поручить генеральному директору АО «</w:t>
            </w:r>
            <w:r>
              <w:rPr>
                <w:rFonts w:ascii="Times New Roman" w:hAnsi="Times New Roman"/>
                <w:color w:val="000000"/>
                <w:sz w:val="22"/>
              </w:rPr>
              <w:t>Краспригород</w:t>
            </w:r>
            <w:r>
              <w:rPr>
                <w:rFonts w:ascii="Times New Roman" w:hAnsi="Times New Roman"/>
                <w:sz w:val="22"/>
              </w:rPr>
              <w:t xml:space="preserve">» повторно предоставить для рассмотрения на заседании совета директоров Общества отчет о принятых мерах по устранению выявленных нарушений и недостатков по результатам проверки ревизионной комиссии финансово-хозяйственной деятельности Общества за 2017 год по факту устранения всех замечаний, но не позднее </w:t>
            </w:r>
            <w:r>
              <w:rPr>
                <w:rFonts w:ascii="Times New Roman" w:hAnsi="Times New Roman"/>
                <w:sz w:val="22"/>
              </w:rPr>
              <w:t>IV</w:t>
            </w:r>
            <w:r>
              <w:rPr>
                <w:rFonts w:ascii="Times New Roman" w:hAnsi="Times New Roman"/>
                <w:sz w:val="22"/>
              </w:rPr>
              <w:t xml:space="preserve"> квартала 2018 года»</w:t>
            </w:r>
          </w:p>
          <w:p w14:paraId="9A140000">
            <w:pPr>
              <w:widowControl w:val="1"/>
              <w:tabs>
                <w:tab w:leader="none" w:pos="284" w:val="left"/>
                <w:tab w:leader="none" w:pos="851" w:val="left"/>
              </w:tabs>
              <w:ind w:right="64"/>
              <w:contextualSpacing w:val="1"/>
              <w:rPr>
                <w:b w:val="1"/>
                <w:sz w:val="22"/>
              </w:rPr>
            </w:pPr>
            <w:r>
              <w:rPr>
                <w:b w:val="1"/>
                <w:sz w:val="22"/>
              </w:rPr>
              <w:t>Члены Совета директоров, присутствующие на заседании, единогласно постановили дать генеральному директору АО "Краспригород" следующее поручение:</w:t>
            </w:r>
          </w:p>
          <w:p w14:paraId="9B140000">
            <w:pPr>
              <w:widowControl w:val="1"/>
              <w:ind w:right="64"/>
              <w:contextualSpacing w:val="1"/>
              <w:rPr>
                <w:sz w:val="22"/>
              </w:rPr>
            </w:pPr>
            <w:r>
              <w:rPr>
                <w:b w:val="1"/>
                <w:sz w:val="22"/>
              </w:rPr>
              <w:t>1.</w:t>
            </w:r>
            <w:r>
              <w:rPr>
                <w:sz w:val="22"/>
              </w:rPr>
              <w:t xml:space="preserve"> Обеспечить представление материалов, подтверждающих устранение нарушений, недостатков и рисков, выявленных ревизионной проверкой финансово-хозяйственной деятельности АО "Краспригород" за 2017 год (Отчет от 06.04.2018г.) в адрес председателя Ревизионной комиссии Общества и председателя Совета директоров Общества не позднее 01.12.2018г., с последующим выступлением по данному вопросу на заседании Совета директоров Общества в декабре 2018г.  </w:t>
            </w:r>
          </w:p>
          <w:p w14:paraId="9C140000">
            <w:pPr>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9D140000">
            <w:pPr>
              <w:widowControl w:val="1"/>
              <w:ind w:right="64"/>
              <w:contextualSpacing w:val="1"/>
              <w:rPr>
                <w:b w:val="1"/>
                <w:i w:val="1"/>
                <w:sz w:val="22"/>
              </w:rPr>
            </w:pPr>
            <w:r>
              <w:rPr>
                <w:b w:val="1"/>
                <w:i w:val="1"/>
                <w:sz w:val="22"/>
              </w:rPr>
              <w:t>Выполнено в полном объеме</w:t>
            </w:r>
          </w:p>
          <w:p w14:paraId="9E140000">
            <w:pPr>
              <w:widowControl w:val="1"/>
              <w:ind w:right="64"/>
              <w:contextualSpacing w:val="1"/>
              <w:rPr>
                <w:sz w:val="22"/>
              </w:rPr>
            </w:pPr>
          </w:p>
          <w:p w14:paraId="9F140000">
            <w:pPr>
              <w:widowControl w:val="1"/>
              <w:ind w:right="64"/>
              <w:contextualSpacing w:val="1"/>
              <w:rPr>
                <w:sz w:val="22"/>
              </w:rPr>
            </w:pPr>
          </w:p>
          <w:p w14:paraId="A0140000">
            <w:pPr>
              <w:widowControl w:val="1"/>
              <w:ind w:right="64"/>
              <w:contextualSpacing w:val="1"/>
              <w:rPr>
                <w:sz w:val="22"/>
              </w:rPr>
            </w:pPr>
          </w:p>
          <w:p w14:paraId="A1140000">
            <w:pPr>
              <w:widowControl w:val="1"/>
              <w:ind w:right="64"/>
              <w:contextualSpacing w:val="1"/>
              <w:rPr>
                <w:sz w:val="22"/>
              </w:rPr>
            </w:pPr>
          </w:p>
          <w:p w14:paraId="A2140000">
            <w:pPr>
              <w:widowControl w:val="1"/>
              <w:ind w:right="64"/>
              <w:contextualSpacing w:val="1"/>
              <w:rPr>
                <w:sz w:val="22"/>
              </w:rPr>
            </w:pPr>
          </w:p>
          <w:p w14:paraId="A3140000">
            <w:pPr>
              <w:widowControl w:val="1"/>
              <w:ind w:right="64"/>
              <w:contextualSpacing w:val="1"/>
              <w:rPr>
                <w:b w:val="1"/>
                <w:i w:val="1"/>
                <w:sz w:val="22"/>
              </w:rPr>
            </w:pPr>
            <w:r>
              <w:rPr>
                <w:b w:val="1"/>
                <w:i w:val="1"/>
                <w:sz w:val="22"/>
              </w:rPr>
              <w:t>Выполнено в полном объеме</w:t>
            </w:r>
          </w:p>
          <w:p w14:paraId="A4140000">
            <w:pPr>
              <w:widowControl w:val="1"/>
              <w:ind w:right="64"/>
              <w:contextualSpacing w:val="1"/>
              <w:rPr>
                <w:b w:val="1"/>
                <w:i w:val="1"/>
                <w:sz w:val="22"/>
              </w:rPr>
            </w:pP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A5140000">
            <w:pPr>
              <w:widowControl w:val="1"/>
              <w:ind w:firstLine="709" w:left="-758"/>
              <w:contextualSpacing w:val="1"/>
              <w:jc w:val="center"/>
              <w:rPr>
                <w:sz w:val="22"/>
              </w:rPr>
            </w:pPr>
            <w:r>
              <w:rPr>
                <w:sz w:val="22"/>
              </w:rPr>
              <w:t>6</w:t>
            </w:r>
          </w:p>
        </w:tc>
        <w:tc>
          <w:tcPr>
            <w:tcW w:type="dxa" w:w="2043"/>
            <w:tcBorders>
              <w:top w:color="000000" w:sz="4" w:val="single"/>
              <w:left w:color="000000" w:sz="4" w:val="single"/>
              <w:bottom w:color="000000" w:sz="4" w:val="single"/>
              <w:right w:color="000000" w:sz="4" w:val="single"/>
            </w:tcBorders>
            <w:tcMar>
              <w:left w:type="dxa" w:w="0"/>
              <w:right w:type="dxa" w:w="0"/>
            </w:tcMar>
          </w:tcPr>
          <w:p w14:paraId="A6140000">
            <w:pPr>
              <w:widowControl w:val="1"/>
              <w:ind w:right="64"/>
              <w:contextualSpacing w:val="1"/>
              <w:rPr>
                <w:sz w:val="22"/>
              </w:rPr>
            </w:pPr>
            <w:r>
              <w:rPr>
                <w:sz w:val="22"/>
              </w:rPr>
              <w:t>О порядке распределения прибыли и убытков Общества по результатам отчетного года.</w:t>
            </w:r>
          </w:p>
          <w:p w14:paraId="A714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A8140000">
            <w:pPr>
              <w:pStyle w:val="Style_12"/>
              <w:widowControl w:val="1"/>
              <w:ind w:right="64"/>
              <w:contextualSpacing w:val="1"/>
              <w:jc w:val="both"/>
              <w:rPr>
                <w:rFonts w:ascii="Times New Roman" w:hAnsi="Times New Roman"/>
                <w:sz w:val="22"/>
              </w:rPr>
            </w:pPr>
            <w:r>
              <w:rPr>
                <w:rFonts w:ascii="Times New Roman" w:hAnsi="Times New Roman"/>
                <w:sz w:val="22"/>
              </w:rPr>
              <w:t xml:space="preserve">6.1. Рекомендовать годовому общему собранию акционеров </w:t>
            </w:r>
            <w:r>
              <w:rPr>
                <w:rFonts w:ascii="Times New Roman" w:hAnsi="Times New Roman"/>
                <w:color w:val="000000"/>
                <w:sz w:val="22"/>
              </w:rPr>
              <w:t xml:space="preserve">Акционерного общества </w:t>
            </w:r>
            <w:r>
              <w:rPr>
                <w:rFonts w:ascii="Times New Roman" w:hAnsi="Times New Roman"/>
                <w:sz w:val="22"/>
              </w:rPr>
              <w:t>«Краспригород» принять следующее решение о распределении прибыли Общества по результатам 2017 года:</w:t>
            </w:r>
          </w:p>
          <w:tbl>
            <w:tblPr>
              <w:tblStyle w:val="Style_4"/>
              <w:tblW w:type="auto" w:w="0"/>
              <w:tblInd w:type="dxa" w:w="108"/>
              <w:tblLayout w:type="fixed"/>
              <w:tblCellMar>
                <w:left w:type="dxa" w:w="0"/>
                <w:right w:type="dxa" w:w="0"/>
              </w:tblCellMar>
            </w:tblPr>
            <w:tblGrid>
              <w:gridCol w:w="536"/>
              <w:gridCol w:w="3406"/>
              <w:gridCol w:w="1566"/>
            </w:tblGrid>
            <w:tr>
              <w:trPr>
                <w:trHeight w:hRule="atLeast" w:val="493"/>
              </w:trPr>
              <w:tc>
                <w:tcPr>
                  <w:tcW w:type="dxa" w:w="536"/>
                  <w:tcBorders>
                    <w:top w:color="000000" w:sz="8" w:val="single"/>
                    <w:left w:color="000000" w:sz="8" w:val="single"/>
                    <w:bottom w:color="000000" w:sz="8" w:val="single"/>
                    <w:right w:color="000000" w:sz="8" w:val="single"/>
                  </w:tcBorders>
                  <w:tcMar>
                    <w:top w:type="dxa" w:w="0"/>
                    <w:left w:type="dxa" w:w="108"/>
                    <w:bottom w:type="dxa" w:w="0"/>
                    <w:right w:type="dxa" w:w="108"/>
                  </w:tcMar>
                  <w:vAlign w:val="center"/>
                </w:tcPr>
                <w:p w14:paraId="A9140000">
                  <w:pPr>
                    <w:widowControl w:val="1"/>
                    <w:ind w:right="64"/>
                    <w:contextualSpacing w:val="1"/>
                    <w:jc w:val="center"/>
                    <w:rPr>
                      <w:sz w:val="22"/>
                    </w:rPr>
                  </w:pPr>
                </w:p>
              </w:tc>
              <w:tc>
                <w:tcPr>
                  <w:tcW w:type="dxa" w:w="3406"/>
                  <w:tcBorders>
                    <w:top w:color="000000" w:sz="8" w:val="single"/>
                    <w:left w:sz="4" w:val="nil"/>
                    <w:bottom w:color="000000" w:sz="8" w:val="single"/>
                    <w:right w:color="000000" w:sz="8" w:val="single"/>
                  </w:tcBorders>
                  <w:tcMar>
                    <w:top w:type="dxa" w:w="0"/>
                    <w:left w:type="dxa" w:w="108"/>
                    <w:bottom w:type="dxa" w:w="0"/>
                    <w:right w:type="dxa" w:w="108"/>
                  </w:tcMar>
                  <w:vAlign w:val="center"/>
                </w:tcPr>
                <w:p w14:paraId="AA140000">
                  <w:pPr>
                    <w:pStyle w:val="Style_18"/>
                    <w:widowControl w:val="1"/>
                    <w:ind w:right="64"/>
                    <w:contextualSpacing w:val="1"/>
                    <w:rPr>
                      <w:b w:val="0"/>
                      <w:sz w:val="22"/>
                    </w:rPr>
                  </w:pPr>
                  <w:r>
                    <w:rPr>
                      <w:b w:val="0"/>
                      <w:sz w:val="22"/>
                    </w:rPr>
                    <w:t>Наименование</w:t>
                  </w:r>
                </w:p>
                <w:p w14:paraId="AB140000">
                  <w:pPr>
                    <w:pStyle w:val="Style_18"/>
                    <w:widowControl w:val="1"/>
                    <w:ind w:right="64"/>
                    <w:contextualSpacing w:val="1"/>
                    <w:rPr>
                      <w:b w:val="0"/>
                      <w:sz w:val="22"/>
                    </w:rPr>
                  </w:pPr>
                  <w:r>
                    <w:rPr>
                      <w:b w:val="0"/>
                      <w:sz w:val="22"/>
                    </w:rPr>
                    <w:t xml:space="preserve"> показателя</w:t>
                  </w:r>
                </w:p>
              </w:tc>
              <w:tc>
                <w:tcPr>
                  <w:tcW w:type="dxa" w:w="1566"/>
                  <w:tcBorders>
                    <w:top w:color="000000" w:sz="8" w:val="single"/>
                    <w:left w:sz="4" w:val="nil"/>
                    <w:bottom w:color="000000" w:sz="8" w:val="single"/>
                    <w:right w:color="000000" w:sz="8" w:val="single"/>
                  </w:tcBorders>
                  <w:tcMar>
                    <w:top w:type="dxa" w:w="0"/>
                    <w:left w:type="dxa" w:w="108"/>
                    <w:bottom w:type="dxa" w:w="0"/>
                    <w:right w:type="dxa" w:w="108"/>
                  </w:tcMar>
                  <w:vAlign w:val="center"/>
                </w:tcPr>
                <w:p w14:paraId="AC140000">
                  <w:pPr>
                    <w:widowControl w:val="1"/>
                    <w:ind w:right="64"/>
                    <w:contextualSpacing w:val="1"/>
                    <w:jc w:val="center"/>
                    <w:rPr>
                      <w:sz w:val="22"/>
                    </w:rPr>
                  </w:pPr>
                  <w:r>
                    <w:rPr>
                      <w:sz w:val="22"/>
                    </w:rPr>
                    <w:t>Сумма, рублей</w:t>
                  </w:r>
                </w:p>
              </w:tc>
            </w:tr>
            <w:tr>
              <w:trPr>
                <w:trHeight w:hRule="atLeast" w:val="493"/>
              </w:trPr>
              <w:tc>
                <w:tcPr>
                  <w:tcW w:type="dxa" w:w="536"/>
                  <w:tcBorders>
                    <w:top w:sz="4" w:val="nil"/>
                    <w:left w:color="000000" w:sz="8" w:val="single"/>
                    <w:bottom w:color="000000" w:sz="8" w:val="single"/>
                    <w:right w:color="000000" w:sz="8" w:val="single"/>
                  </w:tcBorders>
                  <w:tcMar>
                    <w:top w:type="dxa" w:w="0"/>
                    <w:left w:type="dxa" w:w="108"/>
                    <w:bottom w:type="dxa" w:w="0"/>
                    <w:right w:type="dxa" w:w="108"/>
                  </w:tcMar>
                  <w:vAlign w:val="center"/>
                </w:tcPr>
                <w:p w14:paraId="AD140000">
                  <w:pPr>
                    <w:widowControl w:val="1"/>
                    <w:ind w:right="64"/>
                    <w:contextualSpacing w:val="1"/>
                    <w:jc w:val="center"/>
                    <w:rPr>
                      <w:sz w:val="22"/>
                    </w:rPr>
                  </w:pPr>
                </w:p>
              </w:tc>
              <w:tc>
                <w:tcPr>
                  <w:tcW w:type="dxa" w:w="3406"/>
                  <w:tcBorders>
                    <w:top w:sz="4" w:val="nil"/>
                    <w:left w:sz="4" w:val="nil"/>
                    <w:bottom w:color="000000" w:sz="8" w:val="single"/>
                    <w:right w:color="000000" w:sz="8" w:val="single"/>
                  </w:tcBorders>
                  <w:tcMar>
                    <w:top w:type="dxa" w:w="0"/>
                    <w:left w:type="dxa" w:w="108"/>
                    <w:bottom w:type="dxa" w:w="0"/>
                    <w:right w:type="dxa" w:w="108"/>
                  </w:tcMar>
                  <w:vAlign w:val="center"/>
                </w:tcPr>
                <w:p w14:paraId="AE140000">
                  <w:pPr>
                    <w:widowControl w:val="1"/>
                    <w:ind w:right="64"/>
                    <w:contextualSpacing w:val="1"/>
                    <w:rPr>
                      <w:sz w:val="22"/>
                    </w:rPr>
                  </w:pPr>
                  <w:r>
                    <w:rPr>
                      <w:sz w:val="22"/>
                    </w:rPr>
                    <w:t>Чистую прибыль 2017 г. в сумме</w:t>
                  </w:r>
                </w:p>
              </w:tc>
              <w:tc>
                <w:tcPr>
                  <w:tcW w:type="dxa" w:w="1566"/>
                  <w:tcBorders>
                    <w:top w:sz="4" w:val="nil"/>
                    <w:left w:sz="4" w:val="nil"/>
                    <w:bottom w:color="000000" w:sz="8" w:val="single"/>
                    <w:right w:color="000000" w:sz="8" w:val="single"/>
                  </w:tcBorders>
                  <w:tcMar>
                    <w:top w:type="dxa" w:w="0"/>
                    <w:left w:type="dxa" w:w="108"/>
                    <w:bottom w:type="dxa" w:w="0"/>
                    <w:right w:type="dxa" w:w="108"/>
                  </w:tcMar>
                  <w:vAlign w:val="center"/>
                </w:tcPr>
                <w:p w14:paraId="AF140000">
                  <w:pPr>
                    <w:widowControl w:val="1"/>
                    <w:ind w:right="64"/>
                    <w:contextualSpacing w:val="1"/>
                    <w:rPr>
                      <w:sz w:val="22"/>
                    </w:rPr>
                  </w:pPr>
                  <w:r>
                    <w:rPr>
                      <w:sz w:val="22"/>
                    </w:rPr>
                    <w:t xml:space="preserve">     11 652 422,16</w:t>
                  </w:r>
                </w:p>
              </w:tc>
            </w:tr>
            <w:tr>
              <w:trPr>
                <w:trHeight w:hRule="atLeast" w:val="336"/>
              </w:trPr>
              <w:tc>
                <w:tcPr>
                  <w:tcW w:type="dxa" w:w="536"/>
                  <w:tcBorders>
                    <w:top w:sz="4" w:val="nil"/>
                    <w:left w:color="000000" w:sz="8" w:val="single"/>
                    <w:bottom w:color="000000" w:sz="8" w:val="single"/>
                    <w:right w:color="000000" w:sz="8" w:val="single"/>
                  </w:tcBorders>
                  <w:tcMar>
                    <w:top w:type="dxa" w:w="0"/>
                    <w:left w:type="dxa" w:w="108"/>
                    <w:bottom w:type="dxa" w:w="0"/>
                    <w:right w:type="dxa" w:w="108"/>
                  </w:tcMar>
                  <w:vAlign w:val="center"/>
                </w:tcPr>
                <w:p w14:paraId="B0140000">
                  <w:pPr>
                    <w:widowControl w:val="1"/>
                    <w:ind w:right="64"/>
                    <w:contextualSpacing w:val="1"/>
                    <w:jc w:val="center"/>
                    <w:rPr>
                      <w:sz w:val="22"/>
                    </w:rPr>
                  </w:pPr>
                  <w:r>
                    <w:rPr>
                      <w:sz w:val="22"/>
                    </w:rPr>
                    <w:t>1.</w:t>
                  </w:r>
                </w:p>
              </w:tc>
              <w:tc>
                <w:tcPr>
                  <w:tcW w:type="dxa" w:w="4972"/>
                  <w:gridSpan w:val="2"/>
                  <w:tcBorders>
                    <w:top w:sz="4" w:val="nil"/>
                    <w:left w:sz="4" w:val="nil"/>
                    <w:bottom w:color="000000" w:sz="8" w:val="single"/>
                    <w:right w:color="000000" w:sz="8" w:val="single"/>
                  </w:tcBorders>
                  <w:tcMar>
                    <w:top w:type="dxa" w:w="0"/>
                    <w:left w:type="dxa" w:w="108"/>
                    <w:bottom w:type="dxa" w:w="0"/>
                    <w:right w:type="dxa" w:w="108"/>
                  </w:tcMar>
                  <w:vAlign w:val="center"/>
                </w:tcPr>
                <w:p w14:paraId="B1140000">
                  <w:pPr>
                    <w:widowControl w:val="1"/>
                    <w:ind w:right="64"/>
                    <w:contextualSpacing w:val="1"/>
                    <w:rPr>
                      <w:sz w:val="22"/>
                    </w:rPr>
                  </w:pPr>
                  <w:r>
                    <w:rPr>
                      <w:sz w:val="22"/>
                    </w:rPr>
                    <w:t>Распределить следующим образом:</w:t>
                  </w:r>
                </w:p>
              </w:tc>
            </w:tr>
            <w:tr>
              <w:trPr>
                <w:trHeight w:hRule="atLeast" w:val="493"/>
              </w:trPr>
              <w:tc>
                <w:tcPr>
                  <w:tcW w:type="dxa" w:w="536"/>
                  <w:tcBorders>
                    <w:top w:sz="4" w:val="nil"/>
                    <w:left w:color="000000" w:sz="8" w:val="single"/>
                    <w:bottom w:color="000000" w:sz="8" w:val="single"/>
                    <w:right w:color="000000" w:sz="8" w:val="single"/>
                  </w:tcBorders>
                  <w:tcMar>
                    <w:top w:type="dxa" w:w="0"/>
                    <w:left w:type="dxa" w:w="108"/>
                    <w:bottom w:type="dxa" w:w="0"/>
                    <w:right w:type="dxa" w:w="108"/>
                  </w:tcMar>
                  <w:vAlign w:val="center"/>
                </w:tcPr>
                <w:p w14:paraId="B2140000">
                  <w:pPr>
                    <w:widowControl w:val="1"/>
                    <w:ind w:right="64"/>
                    <w:contextualSpacing w:val="1"/>
                    <w:jc w:val="center"/>
                    <w:rPr>
                      <w:sz w:val="22"/>
                    </w:rPr>
                  </w:pPr>
                  <w:r>
                    <w:rPr>
                      <w:sz w:val="22"/>
                    </w:rPr>
                    <w:t>1.1</w:t>
                  </w:r>
                </w:p>
              </w:tc>
              <w:tc>
                <w:tcPr>
                  <w:tcW w:type="dxa" w:w="3406"/>
                  <w:tcBorders>
                    <w:top w:sz="4" w:val="nil"/>
                    <w:left w:sz="4" w:val="nil"/>
                    <w:bottom w:color="000000" w:sz="8" w:val="single"/>
                    <w:right w:color="000000" w:sz="8" w:val="single"/>
                  </w:tcBorders>
                  <w:tcMar>
                    <w:top w:type="dxa" w:w="0"/>
                    <w:left w:type="dxa" w:w="108"/>
                    <w:bottom w:type="dxa" w:w="0"/>
                    <w:right w:type="dxa" w:w="108"/>
                  </w:tcMar>
                  <w:vAlign w:val="center"/>
                </w:tcPr>
                <w:p w14:paraId="B3140000">
                  <w:pPr>
                    <w:widowControl w:val="1"/>
                    <w:ind w:right="64"/>
                    <w:contextualSpacing w:val="1"/>
                    <w:rPr>
                      <w:sz w:val="22"/>
                    </w:rPr>
                  </w:pPr>
                  <w:r>
                    <w:rPr>
                      <w:sz w:val="22"/>
                    </w:rPr>
                    <w:t>Инвестиционная программа 2017 г.</w:t>
                  </w:r>
                </w:p>
              </w:tc>
              <w:tc>
                <w:tcPr>
                  <w:tcW w:type="dxa" w:w="1566"/>
                  <w:tcBorders>
                    <w:top w:sz="4" w:val="nil"/>
                    <w:left w:sz="4" w:val="nil"/>
                    <w:bottom w:color="000000" w:sz="8" w:val="single"/>
                    <w:right w:color="000000" w:sz="8" w:val="single"/>
                  </w:tcBorders>
                  <w:tcMar>
                    <w:top w:type="dxa" w:w="0"/>
                    <w:left w:type="dxa" w:w="108"/>
                    <w:bottom w:type="dxa" w:w="0"/>
                    <w:right w:type="dxa" w:w="108"/>
                  </w:tcMar>
                  <w:vAlign w:val="center"/>
                </w:tcPr>
                <w:p w14:paraId="B4140000">
                  <w:pPr>
                    <w:widowControl w:val="1"/>
                    <w:ind w:right="64"/>
                    <w:contextualSpacing w:val="1"/>
                    <w:jc w:val="center"/>
                    <w:rPr>
                      <w:sz w:val="22"/>
                    </w:rPr>
                  </w:pPr>
                  <w:r>
                    <w:rPr>
                      <w:sz w:val="22"/>
                    </w:rPr>
                    <w:t>11 087 972,94</w:t>
                  </w:r>
                </w:p>
              </w:tc>
            </w:tr>
            <w:tr>
              <w:trPr>
                <w:trHeight w:hRule="atLeast" w:val="493"/>
              </w:trPr>
              <w:tc>
                <w:tcPr>
                  <w:tcW w:type="dxa" w:w="536"/>
                  <w:tcBorders>
                    <w:top w:sz="4" w:val="nil"/>
                    <w:left w:color="000000" w:sz="8" w:val="single"/>
                    <w:bottom w:color="000000" w:sz="8" w:val="single"/>
                    <w:right w:color="000000" w:sz="8" w:val="single"/>
                  </w:tcBorders>
                  <w:tcMar>
                    <w:top w:type="dxa" w:w="0"/>
                    <w:left w:type="dxa" w:w="108"/>
                    <w:bottom w:type="dxa" w:w="0"/>
                    <w:right w:type="dxa" w:w="108"/>
                  </w:tcMar>
                  <w:vAlign w:val="center"/>
                </w:tcPr>
                <w:p w14:paraId="B5140000">
                  <w:pPr>
                    <w:widowControl w:val="1"/>
                    <w:ind w:right="64"/>
                    <w:contextualSpacing w:val="1"/>
                    <w:jc w:val="center"/>
                    <w:rPr>
                      <w:sz w:val="22"/>
                    </w:rPr>
                  </w:pPr>
                  <w:r>
                    <w:rPr>
                      <w:sz w:val="22"/>
                    </w:rPr>
                    <w:t>1.2</w:t>
                  </w:r>
                </w:p>
              </w:tc>
              <w:tc>
                <w:tcPr>
                  <w:tcW w:type="dxa" w:w="3406"/>
                  <w:tcBorders>
                    <w:top w:sz="4" w:val="nil"/>
                    <w:left w:sz="4" w:val="nil"/>
                    <w:bottom w:color="000000" w:sz="8" w:val="single"/>
                    <w:right w:color="000000" w:sz="8" w:val="single"/>
                  </w:tcBorders>
                  <w:tcMar>
                    <w:top w:type="dxa" w:w="0"/>
                    <w:left w:type="dxa" w:w="108"/>
                    <w:bottom w:type="dxa" w:w="0"/>
                    <w:right w:type="dxa" w:w="108"/>
                  </w:tcMar>
                  <w:vAlign w:val="center"/>
                </w:tcPr>
                <w:p w14:paraId="B6140000">
                  <w:pPr>
                    <w:widowControl w:val="1"/>
                    <w:ind w:right="64"/>
                    <w:contextualSpacing w:val="1"/>
                    <w:rPr>
                      <w:sz w:val="22"/>
                    </w:rPr>
                  </w:pPr>
                  <w:r>
                    <w:rPr>
                      <w:sz w:val="22"/>
                    </w:rPr>
                    <w:t>Инвестиционная программа 2018 г.</w:t>
                  </w:r>
                </w:p>
              </w:tc>
              <w:tc>
                <w:tcPr>
                  <w:tcW w:type="dxa" w:w="1566"/>
                  <w:tcBorders>
                    <w:top w:sz="4" w:val="nil"/>
                    <w:left w:sz="4" w:val="nil"/>
                    <w:bottom w:color="000000" w:sz="8" w:val="single"/>
                    <w:right w:color="000000" w:sz="8" w:val="single"/>
                  </w:tcBorders>
                  <w:tcMar>
                    <w:top w:type="dxa" w:w="0"/>
                    <w:left w:type="dxa" w:w="108"/>
                    <w:bottom w:type="dxa" w:w="0"/>
                    <w:right w:type="dxa" w:w="108"/>
                  </w:tcMar>
                  <w:vAlign w:val="center"/>
                </w:tcPr>
                <w:p w14:paraId="B7140000">
                  <w:pPr>
                    <w:widowControl w:val="1"/>
                    <w:ind w:right="64"/>
                    <w:contextualSpacing w:val="1"/>
                    <w:jc w:val="center"/>
                    <w:rPr>
                      <w:sz w:val="22"/>
                    </w:rPr>
                  </w:pPr>
                  <w:r>
                    <w:rPr>
                      <w:sz w:val="22"/>
                    </w:rPr>
                    <w:t>564 449,22</w:t>
                  </w:r>
                </w:p>
              </w:tc>
            </w:tr>
          </w:tbl>
          <w:p w14:paraId="B8140000">
            <w:pPr>
              <w:pStyle w:val="Style_12"/>
              <w:widowControl w:val="1"/>
              <w:ind w:right="64"/>
              <w:contextualSpacing w:val="1"/>
              <w:rPr>
                <w:rFonts w:ascii="Times New Roman" w:hAnsi="Times New Roman"/>
                <w:sz w:val="22"/>
              </w:rPr>
            </w:pPr>
            <w:r>
              <w:rPr>
                <w:rFonts w:ascii="Times New Roman" w:hAnsi="Times New Roman"/>
                <w:sz w:val="22"/>
              </w:rPr>
              <w:t xml:space="preserve">    </w:t>
            </w:r>
          </w:p>
        </w:tc>
        <w:tc>
          <w:tcPr>
            <w:tcW w:type="dxa" w:w="1605"/>
            <w:tcBorders>
              <w:top w:color="000000" w:sz="4" w:val="single"/>
              <w:left w:sz="4" w:val="nil"/>
              <w:bottom w:color="000000" w:sz="4" w:val="single"/>
              <w:right w:color="000000" w:sz="4" w:val="single"/>
            </w:tcBorders>
            <w:tcMar>
              <w:left w:type="dxa" w:w="0"/>
              <w:right w:type="dxa" w:w="0"/>
            </w:tcMar>
          </w:tcPr>
          <w:p w14:paraId="B914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BA140000">
            <w:pPr>
              <w:widowControl w:val="1"/>
              <w:ind w:firstLine="709" w:left="-758"/>
              <w:contextualSpacing w:val="1"/>
              <w:jc w:val="center"/>
              <w:rPr>
                <w:sz w:val="22"/>
              </w:rPr>
            </w:pPr>
            <w:r>
              <w:rPr>
                <w:sz w:val="22"/>
              </w:rPr>
              <w:t>7</w:t>
            </w:r>
          </w:p>
        </w:tc>
        <w:tc>
          <w:tcPr>
            <w:tcW w:type="dxa" w:w="2043"/>
            <w:tcBorders>
              <w:top w:color="000000" w:sz="4" w:val="single"/>
              <w:left w:color="000000" w:sz="4" w:val="single"/>
              <w:bottom w:color="000000" w:sz="4" w:val="single"/>
              <w:right w:color="000000" w:sz="4" w:val="single"/>
            </w:tcBorders>
            <w:tcMar>
              <w:left w:type="dxa" w:w="0"/>
              <w:right w:type="dxa" w:w="0"/>
            </w:tcMar>
          </w:tcPr>
          <w:p w14:paraId="BB140000">
            <w:pPr>
              <w:widowControl w:val="1"/>
              <w:ind w:right="64"/>
              <w:contextualSpacing w:val="1"/>
              <w:rPr>
                <w:sz w:val="22"/>
              </w:rPr>
            </w:pPr>
            <w:r>
              <w:rPr>
                <w:sz w:val="22"/>
              </w:rPr>
              <w:t>О выплате (объявлении) дивидендов по результатам отчетного года.</w:t>
            </w:r>
          </w:p>
        </w:tc>
        <w:tc>
          <w:tcPr>
            <w:tcW w:type="dxa" w:w="5404"/>
            <w:tcBorders>
              <w:top w:color="000000" w:sz="4" w:val="single"/>
              <w:left w:sz="4" w:val="nil"/>
              <w:bottom w:color="000000" w:sz="4" w:val="single"/>
              <w:right w:color="000000" w:sz="4" w:val="single"/>
            </w:tcBorders>
            <w:tcMar>
              <w:left w:type="dxa" w:w="0"/>
              <w:right w:type="dxa" w:w="0"/>
            </w:tcMar>
          </w:tcPr>
          <w:p w14:paraId="BC140000">
            <w:pPr>
              <w:widowControl w:val="1"/>
              <w:ind w:right="64"/>
              <w:contextualSpacing w:val="1"/>
              <w:rPr>
                <w:sz w:val="22"/>
              </w:rPr>
            </w:pPr>
            <w:r>
              <w:rPr>
                <w:sz w:val="22"/>
              </w:rPr>
              <w:t xml:space="preserve">7.1. Рекомендовать годовому общему собранию акционеров </w:t>
            </w:r>
            <w:r>
              <w:rPr>
                <w:color w:val="000000"/>
                <w:sz w:val="22"/>
              </w:rPr>
              <w:t xml:space="preserve">Акционерного общества </w:t>
            </w:r>
            <w:r>
              <w:rPr>
                <w:sz w:val="22"/>
              </w:rPr>
              <w:t>«Краспригород» не выплачивать дивиденды по результатам 2017 г. по обыкновенным акциям Общества.</w:t>
            </w:r>
          </w:p>
        </w:tc>
        <w:tc>
          <w:tcPr>
            <w:tcW w:type="dxa" w:w="1605"/>
            <w:tcBorders>
              <w:top w:color="000000" w:sz="4" w:val="single"/>
              <w:left w:sz="4" w:val="nil"/>
              <w:bottom w:color="000000" w:sz="4" w:val="single"/>
              <w:right w:color="000000" w:sz="4" w:val="single"/>
            </w:tcBorders>
            <w:tcMar>
              <w:left w:type="dxa" w:w="0"/>
              <w:right w:type="dxa" w:w="0"/>
            </w:tcMar>
          </w:tcPr>
          <w:p w14:paraId="BD140000">
            <w:pPr>
              <w:widowControl w:val="1"/>
              <w:ind w:right="64"/>
              <w:contextualSpacing w:val="1"/>
              <w:rPr>
                <w:b w:val="1"/>
                <w:i w:val="1"/>
                <w:sz w:val="22"/>
              </w:rPr>
            </w:pPr>
            <w:r>
              <w:rPr>
                <w:b w:val="1"/>
                <w:i w:val="1"/>
                <w:sz w:val="22"/>
              </w:rPr>
              <w:t>Выполнено в полном объеме</w:t>
            </w:r>
          </w:p>
        </w:tc>
      </w:tr>
      <w:tr>
        <w:trPr>
          <w:trHeight w:hRule="atLeast" w:val="5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BE140000">
            <w:pPr>
              <w:widowControl w:val="1"/>
              <w:ind w:firstLine="709" w:left="-758"/>
              <w:contextualSpacing w:val="1"/>
              <w:jc w:val="center"/>
              <w:rPr>
                <w:sz w:val="22"/>
              </w:rPr>
            </w:pPr>
            <w:r>
              <w:rPr>
                <w:sz w:val="22"/>
              </w:rPr>
              <w:t>8</w:t>
            </w:r>
          </w:p>
        </w:tc>
        <w:tc>
          <w:tcPr>
            <w:tcW w:type="dxa" w:w="2043"/>
            <w:tcBorders>
              <w:top w:color="000000" w:sz="4" w:val="single"/>
              <w:left w:color="000000" w:sz="4" w:val="single"/>
              <w:bottom w:color="000000" w:sz="4" w:val="single"/>
              <w:right w:color="000000" w:sz="4" w:val="single"/>
            </w:tcBorders>
            <w:tcMar>
              <w:left w:type="dxa" w:w="0"/>
              <w:right w:type="dxa" w:w="0"/>
            </w:tcMar>
          </w:tcPr>
          <w:p w14:paraId="BF140000">
            <w:pPr>
              <w:widowControl w:val="1"/>
              <w:tabs>
                <w:tab w:leader="none" w:pos="426" w:val="left"/>
              </w:tabs>
              <w:ind w:right="64"/>
              <w:contextualSpacing w:val="1"/>
              <w:rPr>
                <w:sz w:val="22"/>
              </w:rPr>
            </w:pPr>
            <w:r>
              <w:rPr>
                <w:sz w:val="22"/>
              </w:rPr>
              <w:t>О рассмотрении отчета о ходе реализации Плана мероприятий по внедрению ключевых положений Кодекса корпоративного управления в АО "Краспригород".</w:t>
            </w:r>
          </w:p>
        </w:tc>
        <w:tc>
          <w:tcPr>
            <w:tcW w:type="dxa" w:w="5404"/>
            <w:tcBorders>
              <w:top w:color="000000" w:sz="4" w:val="single"/>
              <w:left w:sz="4" w:val="nil"/>
              <w:bottom w:color="000000" w:sz="4" w:val="single"/>
              <w:right w:color="000000" w:sz="4" w:val="single"/>
            </w:tcBorders>
            <w:tcMar>
              <w:left w:type="dxa" w:w="0"/>
              <w:right w:type="dxa" w:w="0"/>
            </w:tcMar>
          </w:tcPr>
          <w:p w14:paraId="C0140000">
            <w:pPr>
              <w:widowControl w:val="1"/>
              <w:ind w:right="64"/>
              <w:contextualSpacing w:val="1"/>
              <w:rPr>
                <w:sz w:val="22"/>
              </w:rPr>
            </w:pPr>
            <w:r>
              <w:rPr>
                <w:sz w:val="22"/>
              </w:rPr>
              <w:t xml:space="preserve">8.1. Принять к сведению отчет о ходе реализации Плана мероприятий по внедрению ключевых положений Кодекса корпоративного управления в АО "Краспригород" </w:t>
            </w:r>
            <w:r>
              <w:rPr>
                <w:color w:val="000000"/>
                <w:sz w:val="22"/>
              </w:rPr>
              <w:t>(Приложение №14</w:t>
            </w:r>
            <w:r>
              <w:rPr>
                <w:sz w:val="22"/>
              </w:rPr>
              <w:t xml:space="preserve"> к протоколу заседания Совета директоров</w:t>
            </w:r>
            <w:r>
              <w:rPr>
                <w:color w:val="000000"/>
                <w:sz w:val="22"/>
              </w:rPr>
              <w:t>)</w:t>
            </w:r>
            <w:r>
              <w:rPr>
                <w:sz w:val="22"/>
              </w:rPr>
              <w:t>.</w:t>
            </w:r>
          </w:p>
          <w:p w14:paraId="C1140000">
            <w:pPr>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C214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C3140000">
            <w:pPr>
              <w:widowControl w:val="1"/>
              <w:ind w:firstLine="709" w:left="-758"/>
              <w:contextualSpacing w:val="1"/>
              <w:jc w:val="center"/>
              <w:rPr>
                <w:sz w:val="22"/>
              </w:rPr>
            </w:pPr>
            <w:r>
              <w:rPr>
                <w:sz w:val="22"/>
              </w:rPr>
              <w:t>9</w:t>
            </w:r>
          </w:p>
        </w:tc>
        <w:tc>
          <w:tcPr>
            <w:tcW w:type="dxa" w:w="2043"/>
            <w:tcBorders>
              <w:top w:color="000000" w:sz="4" w:val="single"/>
              <w:left w:color="000000" w:sz="4" w:val="single"/>
              <w:bottom w:color="000000" w:sz="4" w:val="single"/>
              <w:right w:color="000000" w:sz="4" w:val="single"/>
            </w:tcBorders>
            <w:tcMar>
              <w:left w:type="dxa" w:w="0"/>
              <w:right w:type="dxa" w:w="0"/>
            </w:tcMar>
          </w:tcPr>
          <w:p w14:paraId="C4140000">
            <w:pPr>
              <w:widowControl w:val="1"/>
              <w:ind w:right="64"/>
              <w:contextualSpacing w:val="1"/>
              <w:rPr>
                <w:sz w:val="22"/>
              </w:rPr>
            </w:pPr>
            <w:r>
              <w:rPr>
                <w:sz w:val="22"/>
              </w:rPr>
              <w:t>О выплате членам Ревизионной комиссии Общества вознаграждений и компенсаций.</w:t>
            </w:r>
          </w:p>
        </w:tc>
        <w:tc>
          <w:tcPr>
            <w:tcW w:type="dxa" w:w="5404"/>
            <w:tcBorders>
              <w:top w:color="000000" w:sz="4" w:val="single"/>
              <w:left w:sz="4" w:val="nil"/>
              <w:bottom w:color="000000" w:sz="4" w:val="single"/>
              <w:right w:color="000000" w:sz="4" w:val="single"/>
            </w:tcBorders>
            <w:tcMar>
              <w:left w:type="dxa" w:w="0"/>
              <w:right w:type="dxa" w:w="0"/>
            </w:tcMar>
          </w:tcPr>
          <w:p w14:paraId="C5140000">
            <w:pPr>
              <w:pStyle w:val="Style_13"/>
              <w:widowControl w:val="1"/>
              <w:ind w:right="64"/>
              <w:contextualSpacing w:val="1"/>
              <w:rPr>
                <w:sz w:val="22"/>
              </w:rPr>
            </w:pPr>
            <w:r>
              <w:rPr>
                <w:sz w:val="22"/>
              </w:rPr>
              <w:t>9.1. Рекомендовать годовому общему собранию акционеров Акционерного общества «Краспригород» не выплачивать членам Ревизионной комиссии Общества дополнительное вознаграждение по результатам 2017 года.</w:t>
            </w:r>
          </w:p>
        </w:tc>
        <w:tc>
          <w:tcPr>
            <w:tcW w:type="dxa" w:w="1605"/>
            <w:tcBorders>
              <w:top w:color="000000" w:sz="4" w:val="single"/>
              <w:left w:sz="4" w:val="nil"/>
              <w:bottom w:color="000000" w:sz="4" w:val="single"/>
              <w:right w:color="000000" w:sz="4" w:val="single"/>
            </w:tcBorders>
            <w:tcMar>
              <w:left w:type="dxa" w:w="0"/>
              <w:right w:type="dxa" w:w="0"/>
            </w:tcMar>
          </w:tcPr>
          <w:p w14:paraId="C614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C7140000">
            <w:pPr>
              <w:widowControl w:val="1"/>
              <w:ind w:firstLine="709" w:left="-758"/>
              <w:contextualSpacing w:val="1"/>
              <w:jc w:val="center"/>
              <w:rPr>
                <w:sz w:val="22"/>
              </w:rPr>
            </w:pPr>
            <w:r>
              <w:rPr>
                <w:sz w:val="22"/>
              </w:rPr>
              <w:t>10.</w:t>
            </w:r>
          </w:p>
        </w:tc>
        <w:tc>
          <w:tcPr>
            <w:tcW w:type="dxa" w:w="2043"/>
            <w:tcBorders>
              <w:top w:color="000000" w:sz="4" w:val="single"/>
              <w:left w:color="000000" w:sz="4" w:val="single"/>
              <w:bottom w:color="000000" w:sz="4" w:val="single"/>
              <w:right w:color="000000" w:sz="4" w:val="single"/>
            </w:tcBorders>
            <w:tcMar>
              <w:left w:type="dxa" w:w="0"/>
              <w:right w:type="dxa" w:w="0"/>
            </w:tcMar>
          </w:tcPr>
          <w:p w14:paraId="C8140000">
            <w:pPr>
              <w:widowControl w:val="1"/>
              <w:ind w:right="64"/>
              <w:contextualSpacing w:val="1"/>
              <w:rPr>
                <w:sz w:val="22"/>
              </w:rPr>
            </w:pPr>
            <w:r>
              <w:rPr>
                <w:sz w:val="22"/>
              </w:rPr>
              <w:t>О включении кандидатов в список кандидатур для голосования по вопросу повестки дня годового общего собрания акционеров «Об утверждении аудитора Общества».</w:t>
            </w:r>
          </w:p>
          <w:p w14:paraId="C914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CA140000">
            <w:pPr>
              <w:pStyle w:val="Style_7"/>
              <w:widowControl w:val="1"/>
              <w:tabs>
                <w:tab w:leader="none" w:pos="9355" w:val="left"/>
              </w:tabs>
              <w:ind w:right="64"/>
              <w:contextualSpacing w:val="1"/>
              <w:rPr>
                <w:color w:val="000000"/>
                <w:sz w:val="22"/>
              </w:rPr>
            </w:pPr>
            <w:r>
              <w:rPr>
                <w:color w:val="000000"/>
                <w:sz w:val="22"/>
              </w:rPr>
              <w:t>10.1. Включить в список кандидатов для голосования по вопросу повестки дня годового общего собрания акционеров «Об утверждении аудитора общества на 2018 год» аудиторскую организацию ООО Аудиторская компания "Поиск" - единственного участника конкурса по отбору аудиторской организации, с которым принято решение заключить договор, в соответствии с порядком, определенным Федеральным законом РФ от 5 апреля 2013</w:t>
            </w:r>
            <w:r>
              <w:rPr>
                <w:color w:val="000000"/>
                <w:sz w:val="22"/>
              </w:rPr>
              <w:t> </w:t>
            </w:r>
            <w:r>
              <w:rPr>
                <w:color w:val="000000"/>
                <w:sz w:val="22"/>
              </w:rPr>
              <w:t xml:space="preserve">г. </w:t>
            </w:r>
            <w:r>
              <w:rPr>
                <w:color w:val="000000"/>
                <w:sz w:val="22"/>
              </w:rPr>
              <w:t>N </w:t>
            </w:r>
            <w:r>
              <w:rPr>
                <w:color w:val="000000"/>
                <w:sz w:val="22"/>
              </w:rPr>
              <w:t>44-ФЗ "О контрактной системе в сфере закупок товаров, работ, услуг для обеспечения государственных и муниципальных нужд" (Приложение №8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CB14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CC140000">
            <w:pPr>
              <w:widowControl w:val="1"/>
              <w:ind w:firstLine="709" w:left="-758"/>
              <w:contextualSpacing w:val="1"/>
              <w:jc w:val="center"/>
              <w:rPr>
                <w:sz w:val="22"/>
              </w:rPr>
            </w:pPr>
            <w:r>
              <w:rPr>
                <w:sz w:val="22"/>
              </w:rPr>
              <w:t>11</w:t>
            </w:r>
          </w:p>
        </w:tc>
        <w:tc>
          <w:tcPr>
            <w:tcW w:type="dxa" w:w="2043"/>
            <w:tcBorders>
              <w:top w:color="000000" w:sz="4" w:val="single"/>
              <w:left w:color="000000" w:sz="4" w:val="single"/>
              <w:bottom w:color="000000" w:sz="4" w:val="single"/>
              <w:right w:color="000000" w:sz="4" w:val="single"/>
            </w:tcBorders>
            <w:tcMar>
              <w:left w:type="dxa" w:w="0"/>
              <w:right w:type="dxa" w:w="0"/>
            </w:tcMar>
          </w:tcPr>
          <w:p w14:paraId="CD140000">
            <w:pPr>
              <w:pStyle w:val="Style_12"/>
              <w:widowControl w:val="1"/>
              <w:ind w:right="64"/>
              <w:contextualSpacing w:val="1"/>
              <w:jc w:val="both"/>
              <w:rPr>
                <w:rFonts w:ascii="Times New Roman" w:hAnsi="Times New Roman"/>
                <w:sz w:val="22"/>
              </w:rPr>
            </w:pPr>
            <w:r>
              <w:rPr>
                <w:rFonts w:ascii="Times New Roman" w:hAnsi="Times New Roman"/>
                <w:sz w:val="22"/>
              </w:rPr>
              <w:t>О рассмотрении Отчета об оценке деятельности Совета директоров и членов Совета директоров Общества.</w:t>
            </w:r>
          </w:p>
        </w:tc>
        <w:tc>
          <w:tcPr>
            <w:tcW w:type="dxa" w:w="5404"/>
            <w:tcBorders>
              <w:top w:color="000000" w:sz="4" w:val="single"/>
              <w:left w:sz="4" w:val="nil"/>
              <w:bottom w:color="000000" w:sz="4" w:val="single"/>
              <w:right w:color="000000" w:sz="4" w:val="single"/>
            </w:tcBorders>
            <w:tcMar>
              <w:left w:type="dxa" w:w="0"/>
              <w:right w:type="dxa" w:w="0"/>
            </w:tcMar>
          </w:tcPr>
          <w:p w14:paraId="CE140000">
            <w:pPr>
              <w:pStyle w:val="Style_13"/>
              <w:widowControl w:val="1"/>
              <w:ind w:right="64"/>
              <w:contextualSpacing w:val="1"/>
              <w:rPr>
                <w:sz w:val="22"/>
              </w:rPr>
            </w:pPr>
            <w:r>
              <w:rPr>
                <w:sz w:val="22"/>
              </w:rPr>
              <w:t xml:space="preserve">11.1. Принять к сведению Отчет об оценке деятельности Совета директоров и членов Совета директоров Общества (Приложение 9 к протоколу заседания Совета директоров). </w:t>
            </w:r>
          </w:p>
          <w:p w14:paraId="CF140000">
            <w:pPr>
              <w:pStyle w:val="Style_13"/>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D014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D1140000">
            <w:pPr>
              <w:widowControl w:val="1"/>
              <w:ind w:firstLine="709" w:left="-758"/>
              <w:contextualSpacing w:val="1"/>
              <w:jc w:val="center"/>
              <w:rPr>
                <w:sz w:val="22"/>
              </w:rPr>
            </w:pPr>
            <w:r>
              <w:rPr>
                <w:sz w:val="22"/>
              </w:rPr>
              <w:t>12</w:t>
            </w:r>
          </w:p>
        </w:tc>
        <w:tc>
          <w:tcPr>
            <w:tcW w:type="dxa" w:w="2043"/>
            <w:tcBorders>
              <w:top w:color="000000" w:sz="4" w:val="single"/>
              <w:left w:color="000000" w:sz="4" w:val="single"/>
              <w:bottom w:color="000000" w:sz="4" w:val="single"/>
              <w:right w:color="000000" w:sz="4" w:val="single"/>
            </w:tcBorders>
            <w:tcMar>
              <w:left w:type="dxa" w:w="0"/>
              <w:right w:type="dxa" w:w="0"/>
            </w:tcMar>
          </w:tcPr>
          <w:p w14:paraId="D2140000">
            <w:pPr>
              <w:pStyle w:val="Style_12"/>
              <w:widowControl w:val="1"/>
              <w:ind w:right="64"/>
              <w:contextualSpacing w:val="1"/>
              <w:jc w:val="both"/>
              <w:rPr>
                <w:rFonts w:ascii="Times New Roman" w:hAnsi="Times New Roman"/>
                <w:sz w:val="22"/>
              </w:rPr>
            </w:pPr>
            <w:r>
              <w:rPr>
                <w:rFonts w:ascii="Times New Roman" w:hAnsi="Times New Roman"/>
                <w:sz w:val="22"/>
              </w:rPr>
              <w:t>О рассмотрении Отчета об оценке работы Комитета по стратегическому планированию Совета директоров Общества.</w:t>
            </w:r>
          </w:p>
        </w:tc>
        <w:tc>
          <w:tcPr>
            <w:tcW w:type="dxa" w:w="5404"/>
            <w:tcBorders>
              <w:top w:color="000000" w:sz="4" w:val="single"/>
              <w:left w:sz="4" w:val="nil"/>
              <w:bottom w:color="000000" w:sz="4" w:val="single"/>
              <w:right w:color="000000" w:sz="4" w:val="single"/>
            </w:tcBorders>
            <w:tcMar>
              <w:left w:type="dxa" w:w="0"/>
              <w:right w:type="dxa" w:w="0"/>
            </w:tcMar>
          </w:tcPr>
          <w:p w14:paraId="D3140000">
            <w:pPr>
              <w:widowControl w:val="1"/>
              <w:ind w:right="64"/>
              <w:contextualSpacing w:val="1"/>
              <w:rPr>
                <w:sz w:val="22"/>
              </w:rPr>
            </w:pPr>
            <w:r>
              <w:rPr>
                <w:sz w:val="22"/>
              </w:rPr>
              <w:t>12.1. Принять к сведению Отчет об оценке работы Комитета по стратегическому планированию Совета директоров Общества</w:t>
            </w:r>
            <w:r>
              <w:rPr>
                <w:color w:val="000000"/>
                <w:sz w:val="22"/>
              </w:rPr>
              <w:t xml:space="preserve"> (Приложение №10</w:t>
            </w:r>
            <w:r>
              <w:rPr>
                <w:sz w:val="22"/>
              </w:rPr>
              <w:t xml:space="preserve"> к протоколу заседания Совета директоров</w:t>
            </w:r>
            <w:r>
              <w:rPr>
                <w:color w:val="000000"/>
                <w:sz w:val="22"/>
              </w:rPr>
              <w:t>)</w:t>
            </w:r>
            <w:r>
              <w:rPr>
                <w:sz w:val="22"/>
              </w:rPr>
              <w:t>.</w:t>
            </w:r>
          </w:p>
        </w:tc>
        <w:tc>
          <w:tcPr>
            <w:tcW w:type="dxa" w:w="1605"/>
            <w:tcBorders>
              <w:top w:color="000000" w:sz="4" w:val="single"/>
              <w:left w:sz="4" w:val="nil"/>
              <w:bottom w:color="000000" w:sz="4" w:val="single"/>
              <w:right w:color="000000" w:sz="4" w:val="single"/>
            </w:tcBorders>
            <w:tcMar>
              <w:left w:type="dxa" w:w="0"/>
              <w:right w:type="dxa" w:w="0"/>
            </w:tcMar>
          </w:tcPr>
          <w:p w14:paraId="D4140000">
            <w:pPr>
              <w:widowControl w:val="1"/>
              <w:ind w:right="64"/>
              <w:contextualSpacing w:val="1"/>
              <w:rPr>
                <w:b w:val="1"/>
                <w:i w:val="1"/>
                <w:sz w:val="22"/>
              </w:rPr>
            </w:pPr>
            <w:r>
              <w:rPr>
                <w:b w:val="1"/>
                <w:i w:val="1"/>
                <w:sz w:val="22"/>
              </w:rPr>
              <w:t>Выполнено в полном объеме</w:t>
            </w:r>
          </w:p>
        </w:tc>
      </w:tr>
      <w:tr>
        <w:trPr>
          <w:trHeight w:hRule="atLeast" w:val="401"/>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D5140000">
            <w:pPr>
              <w:widowControl w:val="1"/>
              <w:ind w:firstLine="709" w:left="-758"/>
              <w:contextualSpacing w:val="1"/>
              <w:jc w:val="center"/>
              <w:rPr>
                <w:sz w:val="22"/>
              </w:rPr>
            </w:pPr>
            <w:r>
              <w:rPr>
                <w:sz w:val="22"/>
              </w:rPr>
              <w:t>13</w:t>
            </w:r>
          </w:p>
        </w:tc>
        <w:tc>
          <w:tcPr>
            <w:tcW w:type="dxa" w:w="2043"/>
            <w:tcBorders>
              <w:top w:color="000000" w:sz="4" w:val="single"/>
              <w:left w:color="000000" w:sz="4" w:val="single"/>
              <w:bottom w:color="000000" w:sz="4" w:val="single"/>
              <w:right w:color="000000" w:sz="4" w:val="single"/>
            </w:tcBorders>
            <w:tcMar>
              <w:left w:type="dxa" w:w="0"/>
              <w:right w:type="dxa" w:w="0"/>
            </w:tcMar>
          </w:tcPr>
          <w:p w14:paraId="D6140000">
            <w:pPr>
              <w:pStyle w:val="Style_12"/>
              <w:widowControl w:val="1"/>
              <w:ind w:right="64"/>
              <w:contextualSpacing w:val="1"/>
              <w:rPr>
                <w:rFonts w:ascii="Times New Roman" w:hAnsi="Times New Roman"/>
                <w:sz w:val="22"/>
              </w:rPr>
            </w:pPr>
            <w:r>
              <w:rPr>
                <w:rFonts w:ascii="Times New Roman" w:hAnsi="Times New Roman"/>
                <w:sz w:val="22"/>
              </w:rPr>
              <w:t>Об утверждении Порядка использования уступки права требования (факторинга) при исполнении договоров на поставку товаров (выполнение работ, оказание услуг).</w:t>
            </w:r>
          </w:p>
          <w:p w14:paraId="D7140000">
            <w:pPr>
              <w:pStyle w:val="Style_12"/>
              <w:widowControl w:val="1"/>
              <w:ind w:right="64"/>
              <w:contextualSpacing w:val="1"/>
              <w:jc w:val="both"/>
              <w:rPr>
                <w:rFonts w:ascii="Times New Roman" w:hAnsi="Times New Roman"/>
                <w:sz w:val="22"/>
              </w:rPr>
            </w:pPr>
          </w:p>
        </w:tc>
        <w:tc>
          <w:tcPr>
            <w:tcW w:type="dxa" w:w="5404"/>
            <w:tcBorders>
              <w:top w:color="000000" w:sz="4" w:val="single"/>
              <w:left w:sz="4" w:val="nil"/>
              <w:bottom w:color="000000" w:sz="4" w:val="single"/>
              <w:right w:color="000000" w:sz="4" w:val="single"/>
            </w:tcBorders>
            <w:tcMar>
              <w:left w:type="dxa" w:w="0"/>
              <w:right w:type="dxa" w:w="0"/>
            </w:tcMar>
          </w:tcPr>
          <w:p w14:paraId="D8140000">
            <w:pPr>
              <w:widowControl w:val="1"/>
              <w:ind w:right="64"/>
              <w:contextualSpacing w:val="1"/>
              <w:rPr>
                <w:sz w:val="22"/>
              </w:rPr>
            </w:pPr>
            <w:r>
              <w:rPr>
                <w:sz w:val="22"/>
              </w:rPr>
              <w:t xml:space="preserve">13.1. Утвердить Порядок использования уступки права требования (факторинга) при исполнении договоров на поставку товаров (выполнение работ, оказание услуг), разработанный в соответствии с Порядком использования уступки права требования (факторинга) при исполнении договоров на поставку товаров (выполнение работ, оказание услуг), утвержденным распоряжением ОАО "РЖД" от 25.10.2017 г. № 2182р </w:t>
            </w:r>
            <w:r>
              <w:rPr>
                <w:color w:val="000000"/>
                <w:sz w:val="22"/>
              </w:rPr>
              <w:t>(Приложение №11</w:t>
            </w:r>
            <w:r>
              <w:rPr>
                <w:sz w:val="22"/>
              </w:rPr>
              <w:t xml:space="preserve"> к протоколу заседания Совета директоров</w:t>
            </w:r>
            <w:r>
              <w:rPr>
                <w:color w:val="000000"/>
                <w:sz w:val="22"/>
              </w:rPr>
              <w:t>)</w:t>
            </w:r>
            <w:r>
              <w:rPr>
                <w:sz w:val="22"/>
              </w:rPr>
              <w:t>.</w:t>
            </w:r>
          </w:p>
        </w:tc>
        <w:tc>
          <w:tcPr>
            <w:tcW w:type="dxa" w:w="1605"/>
            <w:tcBorders>
              <w:top w:color="000000" w:sz="4" w:val="single"/>
              <w:left w:sz="4" w:val="nil"/>
              <w:bottom w:color="000000" w:sz="4" w:val="single"/>
              <w:right w:color="000000" w:sz="4" w:val="single"/>
            </w:tcBorders>
            <w:tcMar>
              <w:left w:type="dxa" w:w="0"/>
              <w:right w:type="dxa" w:w="0"/>
            </w:tcMar>
          </w:tcPr>
          <w:p w14:paraId="D914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DA140000">
            <w:pPr>
              <w:widowControl w:val="1"/>
              <w:ind w:firstLine="709" w:left="-758"/>
              <w:contextualSpacing w:val="1"/>
              <w:jc w:val="center"/>
              <w:rPr>
                <w:sz w:val="22"/>
              </w:rPr>
            </w:pPr>
            <w:r>
              <w:rPr>
                <w:sz w:val="22"/>
              </w:rPr>
              <w:t>14</w:t>
            </w:r>
          </w:p>
        </w:tc>
        <w:tc>
          <w:tcPr>
            <w:tcW w:type="dxa" w:w="2043"/>
            <w:tcBorders>
              <w:top w:color="000000" w:sz="4" w:val="single"/>
              <w:left w:color="000000" w:sz="4" w:val="single"/>
              <w:bottom w:color="000000" w:sz="4" w:val="single"/>
              <w:right w:color="000000" w:sz="4" w:val="single"/>
            </w:tcBorders>
            <w:tcMar>
              <w:left w:type="dxa" w:w="0"/>
              <w:right w:type="dxa" w:w="0"/>
            </w:tcMar>
          </w:tcPr>
          <w:p w14:paraId="DB140000">
            <w:pPr>
              <w:pStyle w:val="Style_12"/>
              <w:widowControl w:val="1"/>
              <w:ind w:right="64"/>
              <w:contextualSpacing w:val="1"/>
              <w:jc w:val="both"/>
              <w:rPr>
                <w:rFonts w:ascii="Times New Roman" w:hAnsi="Times New Roman"/>
                <w:sz w:val="22"/>
              </w:rPr>
            </w:pPr>
            <w:r>
              <w:rPr>
                <w:rFonts w:ascii="Times New Roman" w:hAnsi="Times New Roman"/>
                <w:sz w:val="22"/>
              </w:rPr>
              <w:t>О премировании лица, осуществляющего функции исполнительного органа АО «Краспригород», по итогам работы за 2017 год.</w:t>
            </w:r>
          </w:p>
          <w:p w14:paraId="DC140000">
            <w:pPr>
              <w:pStyle w:val="Style_12"/>
              <w:widowControl w:val="1"/>
              <w:ind w:right="64"/>
              <w:contextualSpacing w:val="1"/>
              <w:rPr>
                <w:rFonts w:ascii="Times New Roman" w:hAnsi="Times New Roman"/>
                <w:sz w:val="22"/>
              </w:rPr>
            </w:pPr>
          </w:p>
        </w:tc>
        <w:tc>
          <w:tcPr>
            <w:tcW w:type="dxa" w:w="5404"/>
            <w:tcBorders>
              <w:top w:color="000000" w:sz="4" w:val="single"/>
              <w:left w:sz="4" w:val="nil"/>
              <w:bottom w:color="000000" w:sz="4" w:val="single"/>
              <w:right w:color="000000" w:sz="4" w:val="single"/>
            </w:tcBorders>
            <w:tcMar>
              <w:left w:type="dxa" w:w="0"/>
              <w:right w:type="dxa" w:w="0"/>
            </w:tcMar>
          </w:tcPr>
          <w:p w14:paraId="DD140000">
            <w:pPr>
              <w:pStyle w:val="Style_12"/>
              <w:widowControl w:val="1"/>
              <w:ind w:right="64"/>
              <w:contextualSpacing w:val="1"/>
              <w:jc w:val="both"/>
              <w:rPr>
                <w:rFonts w:ascii="Times New Roman" w:hAnsi="Times New Roman"/>
                <w:color w:val="000000"/>
                <w:sz w:val="22"/>
              </w:rPr>
            </w:pPr>
            <w:r>
              <w:rPr>
                <w:rFonts w:ascii="Times New Roman" w:hAnsi="Times New Roman"/>
                <w:sz w:val="22"/>
              </w:rPr>
              <w:t xml:space="preserve">14.1. Выплатить генеральному директору АО "Краспригород" </w:t>
            </w:r>
            <w:r>
              <w:rPr>
                <w:rFonts w:ascii="Times New Roman" w:hAnsi="Times New Roman"/>
                <w:color w:val="000000"/>
                <w:sz w:val="22"/>
              </w:rPr>
              <w:t xml:space="preserve">Федотову Олегу Эдуардовичу </w:t>
            </w:r>
            <w:r>
              <w:rPr>
                <w:rFonts w:ascii="Times New Roman" w:hAnsi="Times New Roman"/>
                <w:sz w:val="22"/>
              </w:rPr>
              <w:t xml:space="preserve">премиальное вознаграждение </w:t>
            </w:r>
            <w:r>
              <w:rPr>
                <w:rFonts w:ascii="Times New Roman" w:hAnsi="Times New Roman"/>
                <w:color w:val="000000"/>
                <w:sz w:val="22"/>
              </w:rPr>
              <w:t>по итогам работы за 2017 год</w:t>
            </w:r>
            <w:r>
              <w:rPr>
                <w:rFonts w:ascii="Times New Roman" w:hAnsi="Times New Roman"/>
                <w:sz w:val="22"/>
              </w:rPr>
              <w:t xml:space="preserve"> в размере, согласно Приложению №12</w:t>
            </w:r>
            <w:r>
              <w:rPr>
                <w:rFonts w:ascii="Times New Roman" w:hAnsi="Times New Roman"/>
                <w:color w:val="000000"/>
                <w:sz w:val="22"/>
              </w:rPr>
              <w:t xml:space="preserve"> к протоколу заседания Совета директоров.</w:t>
            </w:r>
          </w:p>
          <w:p w14:paraId="DE140000">
            <w:pPr>
              <w:pStyle w:val="Style_12"/>
              <w:widowControl w:val="1"/>
              <w:ind w:right="64"/>
              <w:contextualSpacing w:val="1"/>
              <w:jc w:val="both"/>
              <w:rPr>
                <w:rFonts w:ascii="Times New Roman" w:hAnsi="Times New Roman"/>
                <w:color w:val="000000"/>
                <w:sz w:val="22"/>
              </w:rPr>
            </w:pPr>
            <w:r>
              <w:rPr>
                <w:rFonts w:ascii="Times New Roman" w:hAnsi="Times New Roman"/>
                <w:sz w:val="22"/>
              </w:rPr>
              <w:t xml:space="preserve">14.2. Выплатить генеральному директору АО "Краспригород" </w:t>
            </w:r>
            <w:r>
              <w:rPr>
                <w:rFonts w:ascii="Times New Roman" w:hAnsi="Times New Roman"/>
                <w:color w:val="000000"/>
                <w:sz w:val="22"/>
              </w:rPr>
              <w:t xml:space="preserve">Быкову Эдуарду Владимировичу </w:t>
            </w:r>
            <w:r>
              <w:rPr>
                <w:rFonts w:ascii="Times New Roman" w:hAnsi="Times New Roman"/>
                <w:sz w:val="22"/>
              </w:rPr>
              <w:t xml:space="preserve">премиальное вознаграждение </w:t>
            </w:r>
            <w:r>
              <w:rPr>
                <w:rFonts w:ascii="Times New Roman" w:hAnsi="Times New Roman"/>
                <w:color w:val="000000"/>
                <w:sz w:val="22"/>
              </w:rPr>
              <w:t>по итогам работы за 2017 год</w:t>
            </w:r>
            <w:r>
              <w:rPr>
                <w:rFonts w:ascii="Times New Roman" w:hAnsi="Times New Roman"/>
                <w:sz w:val="22"/>
              </w:rPr>
              <w:t xml:space="preserve"> в размере, согласно Приложению №13</w:t>
            </w:r>
            <w:r>
              <w:rPr>
                <w:rFonts w:ascii="Times New Roman" w:hAnsi="Times New Roman"/>
                <w:color w:val="000000"/>
                <w:sz w:val="22"/>
              </w:rPr>
              <w:t xml:space="preserve">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DF140000">
            <w:pPr>
              <w:widowControl w:val="1"/>
              <w:ind w:right="64"/>
              <w:contextualSpacing w:val="1"/>
              <w:rPr>
                <w:b w:val="1"/>
                <w:i w:val="1"/>
                <w:sz w:val="22"/>
              </w:rPr>
            </w:pPr>
            <w:r>
              <w:rPr>
                <w:b w:val="1"/>
                <w:i w:val="1"/>
                <w:sz w:val="22"/>
              </w:rPr>
              <w:t>Выполнено в полном объеме</w:t>
            </w:r>
          </w:p>
        </w:tc>
      </w:tr>
      <w:tr>
        <w:trPr>
          <w:trHeight w:hRule="atLeast" w:val="943"/>
        </w:trPr>
        <w:tc>
          <w:tcPr>
            <w:tcW w:type="dxa" w:w="9494"/>
            <w:gridSpan w:val="4"/>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E0140000">
            <w:pPr>
              <w:widowControl w:val="1"/>
              <w:ind w:left="-758" w:right="64"/>
              <w:contextualSpacing w:val="1"/>
              <w:jc w:val="center"/>
              <w:rPr>
                <w:b w:val="1"/>
                <w:sz w:val="22"/>
              </w:rPr>
            </w:pPr>
            <w:r>
              <w:rPr>
                <w:b w:val="1"/>
                <w:sz w:val="22"/>
              </w:rPr>
              <w:t>Совет директоров</w:t>
            </w:r>
          </w:p>
          <w:p w14:paraId="E1140000">
            <w:pPr>
              <w:widowControl w:val="1"/>
              <w:ind w:left="-758" w:right="64"/>
              <w:contextualSpacing w:val="1"/>
              <w:jc w:val="center"/>
              <w:rPr>
                <w:b w:val="1"/>
                <w:sz w:val="22"/>
              </w:rPr>
            </w:pPr>
            <w:r>
              <w:rPr>
                <w:b w:val="1"/>
                <w:sz w:val="22"/>
              </w:rPr>
              <w:t>«06» июня 2018 г.</w:t>
            </w:r>
          </w:p>
          <w:p w14:paraId="E2140000">
            <w:pPr>
              <w:widowControl w:val="1"/>
              <w:ind w:left="-758" w:right="64"/>
              <w:contextualSpacing w:val="1"/>
              <w:jc w:val="center"/>
              <w:rPr>
                <w:b w:val="1"/>
                <w:i w:val="1"/>
                <w:sz w:val="22"/>
              </w:rPr>
            </w:pPr>
            <w:r>
              <w:rPr>
                <w:b w:val="1"/>
                <w:sz w:val="22"/>
              </w:rPr>
              <w:t>ПРОТОКОЛ  № 13</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E3140000">
            <w:pPr>
              <w:widowControl w:val="1"/>
              <w:ind w:firstLine="709" w:left="-758"/>
              <w:contextualSpacing w:val="1"/>
              <w:jc w:val="center"/>
              <w:rPr>
                <w:sz w:val="22"/>
              </w:rPr>
            </w:pPr>
            <w:r>
              <w:rPr>
                <w:sz w:val="22"/>
              </w:rPr>
              <w:t>1</w:t>
            </w:r>
          </w:p>
        </w:tc>
        <w:tc>
          <w:tcPr>
            <w:tcW w:type="dxa" w:w="2043"/>
            <w:tcBorders>
              <w:top w:color="000000" w:sz="4" w:val="single"/>
              <w:left w:color="000000" w:sz="4" w:val="single"/>
              <w:bottom w:color="000000" w:sz="4" w:val="single"/>
              <w:right w:color="000000" w:sz="4" w:val="single"/>
            </w:tcBorders>
            <w:tcMar>
              <w:left w:type="dxa" w:w="0"/>
              <w:right w:type="dxa" w:w="0"/>
            </w:tcMar>
          </w:tcPr>
          <w:p w14:paraId="E4140000">
            <w:pPr>
              <w:pStyle w:val="Style_12"/>
              <w:widowControl w:val="1"/>
              <w:ind w:right="64"/>
              <w:contextualSpacing w:val="1"/>
              <w:jc w:val="both"/>
              <w:rPr>
                <w:rFonts w:ascii="Times New Roman" w:hAnsi="Times New Roman"/>
                <w:color w:val="000000"/>
                <w:sz w:val="22"/>
              </w:rPr>
            </w:pPr>
            <w:r>
              <w:rPr>
                <w:rFonts w:ascii="Times New Roman" w:hAnsi="Times New Roman"/>
                <w:sz w:val="22"/>
              </w:rPr>
              <w:t>Об утверждении отчета генерального директора о результатах деятельности Общества за 1 квартал 2018 г. (о выполнении бюджета, о выполнении договоров, о кадровой политике, о кредитной политике, о социальных программах, о страховой защите, об исполнении решений совета директоров).</w:t>
            </w:r>
          </w:p>
        </w:tc>
        <w:tc>
          <w:tcPr>
            <w:tcW w:type="dxa" w:w="5404"/>
            <w:tcBorders>
              <w:top w:color="000000" w:sz="4" w:val="single"/>
              <w:left w:sz="4" w:val="nil"/>
              <w:bottom w:color="000000" w:sz="4" w:val="single"/>
              <w:right w:color="000000" w:sz="4" w:val="single"/>
            </w:tcBorders>
            <w:tcMar>
              <w:left w:type="dxa" w:w="0"/>
              <w:right w:type="dxa" w:w="0"/>
            </w:tcMar>
          </w:tcPr>
          <w:p w14:paraId="E5140000">
            <w:pPr>
              <w:widowControl w:val="1"/>
              <w:ind w:right="64"/>
              <w:contextualSpacing w:val="1"/>
              <w:rPr>
                <w:color w:val="000000"/>
                <w:sz w:val="22"/>
              </w:rPr>
            </w:pPr>
            <w:r>
              <w:rPr>
                <w:sz w:val="22"/>
              </w:rPr>
              <w:t>1.1. Утвердить отчет генерального директора о результатах деятельности Общества за 1 квартал 2018 г. (о выполнении бюджета, о выполнении договоров, о кадровой политике, о кредитной политике, о социальных программах, о страховой защите, об исполнении решений совета директоров), согласно Приложению № 1 к протоколу заседания Совета директоров</w:t>
            </w:r>
            <w:r>
              <w:rPr>
                <w:color w:val="000000"/>
                <w:sz w:val="22"/>
              </w:rPr>
              <w:t>.</w:t>
            </w:r>
          </w:p>
          <w:p w14:paraId="E6140000">
            <w:pPr>
              <w:widowControl w:val="1"/>
              <w:ind w:right="64"/>
              <w:contextualSpacing w:val="1"/>
              <w:rPr>
                <w:sz w:val="22"/>
              </w:rPr>
            </w:pPr>
            <w:r>
              <w:rPr>
                <w:sz w:val="22"/>
              </w:rPr>
              <w:t>1.2. Поручить генеральному директору разработать план мероприятий, направленных на обеспечение безубыточной деятельности общества по итогам года.</w:t>
            </w:r>
          </w:p>
          <w:p w14:paraId="E7140000">
            <w:pPr>
              <w:pStyle w:val="Style_12"/>
              <w:widowControl w:val="1"/>
              <w:ind w:right="64"/>
              <w:contextualSpacing w:val="1"/>
              <w:jc w:val="both"/>
              <w:rPr>
                <w:rFonts w:ascii="Times New Roman" w:hAnsi="Times New Roman"/>
                <w:color w:val="000000"/>
                <w:sz w:val="22"/>
              </w:rPr>
            </w:pPr>
          </w:p>
        </w:tc>
        <w:tc>
          <w:tcPr>
            <w:tcW w:type="dxa" w:w="1605"/>
            <w:tcBorders>
              <w:top w:color="000000" w:sz="4" w:val="single"/>
              <w:left w:sz="4" w:val="nil"/>
              <w:bottom w:color="000000" w:sz="4" w:val="single"/>
              <w:right w:color="000000" w:sz="4" w:val="single"/>
            </w:tcBorders>
            <w:tcMar>
              <w:left w:type="dxa" w:w="0"/>
              <w:right w:type="dxa" w:w="0"/>
            </w:tcMar>
          </w:tcPr>
          <w:p w14:paraId="E8140000">
            <w:pPr>
              <w:widowControl w:val="1"/>
              <w:ind w:right="64"/>
              <w:contextualSpacing w:val="1"/>
              <w:rPr>
                <w:b w:val="1"/>
                <w:i w:val="1"/>
                <w:sz w:val="22"/>
              </w:rPr>
            </w:pPr>
            <w:r>
              <w:rPr>
                <w:b w:val="1"/>
                <w:i w:val="1"/>
                <w:sz w:val="22"/>
              </w:rPr>
              <w:t>Выполнено в полном объеме</w:t>
            </w:r>
          </w:p>
          <w:p w14:paraId="E9140000">
            <w:pPr>
              <w:widowControl w:val="1"/>
              <w:ind w:right="64"/>
              <w:contextualSpacing w:val="1"/>
              <w:rPr>
                <w:sz w:val="22"/>
              </w:rPr>
            </w:pPr>
          </w:p>
          <w:p w14:paraId="EA140000">
            <w:pPr>
              <w:widowControl w:val="1"/>
              <w:ind w:right="64"/>
              <w:contextualSpacing w:val="1"/>
              <w:rPr>
                <w:sz w:val="22"/>
              </w:rPr>
            </w:pPr>
          </w:p>
          <w:p w14:paraId="EB140000">
            <w:pPr>
              <w:widowControl w:val="1"/>
              <w:ind w:right="64"/>
              <w:contextualSpacing w:val="1"/>
              <w:rPr>
                <w:sz w:val="22"/>
              </w:rPr>
            </w:pPr>
          </w:p>
          <w:p w14:paraId="EC140000">
            <w:pPr>
              <w:widowControl w:val="1"/>
              <w:ind w:right="64"/>
              <w:contextualSpacing w:val="1"/>
              <w:rPr>
                <w:sz w:val="22"/>
              </w:rPr>
            </w:pPr>
          </w:p>
          <w:p w14:paraId="ED140000">
            <w:pPr>
              <w:widowControl w:val="1"/>
              <w:ind w:right="64"/>
              <w:contextualSpacing w:val="1"/>
              <w:rPr>
                <w:b w:val="1"/>
                <w:i w:val="1"/>
                <w:sz w:val="22"/>
              </w:rPr>
            </w:pPr>
          </w:p>
          <w:p w14:paraId="EE140000">
            <w:pPr>
              <w:widowControl w:val="1"/>
              <w:ind w:right="64"/>
              <w:contextualSpacing w:val="1"/>
              <w:rPr>
                <w:b w:val="1"/>
                <w:i w:val="1"/>
                <w:sz w:val="22"/>
              </w:rPr>
            </w:pPr>
          </w:p>
          <w:p w14:paraId="EF140000">
            <w:pPr>
              <w:widowControl w:val="1"/>
              <w:ind w:right="64"/>
              <w:contextualSpacing w:val="1"/>
              <w:rPr>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F0140000">
            <w:pPr>
              <w:widowControl w:val="1"/>
              <w:ind w:firstLine="709" w:left="-758"/>
              <w:contextualSpacing w:val="1"/>
              <w:jc w:val="center"/>
              <w:rPr>
                <w:sz w:val="22"/>
              </w:rPr>
            </w:pPr>
            <w:r>
              <w:rPr>
                <w:sz w:val="22"/>
              </w:rPr>
              <w:t>2</w:t>
            </w:r>
          </w:p>
        </w:tc>
        <w:tc>
          <w:tcPr>
            <w:tcW w:type="dxa" w:w="2043"/>
            <w:tcBorders>
              <w:top w:color="000000" w:sz="4" w:val="single"/>
              <w:left w:color="000000" w:sz="4" w:val="single"/>
              <w:bottom w:color="000000" w:sz="4" w:val="single"/>
              <w:right w:color="000000" w:sz="4" w:val="single"/>
            </w:tcBorders>
            <w:tcMar>
              <w:left w:type="dxa" w:w="0"/>
              <w:right w:type="dxa" w:w="0"/>
            </w:tcMar>
          </w:tcPr>
          <w:p w14:paraId="F1140000">
            <w:pPr>
              <w:widowControl w:val="1"/>
              <w:ind w:right="64"/>
              <w:contextualSpacing w:val="1"/>
              <w:rPr>
                <w:sz w:val="22"/>
              </w:rPr>
            </w:pPr>
            <w:r>
              <w:rPr>
                <w:sz w:val="22"/>
              </w:rPr>
              <w:t>О премировании лица, осуществляющего функции исполнительного органа АО «Краспригород», по итогам работы за 1 квартал 2018 года.</w:t>
            </w:r>
          </w:p>
        </w:tc>
        <w:tc>
          <w:tcPr>
            <w:tcW w:type="dxa" w:w="5404"/>
            <w:tcBorders>
              <w:top w:color="000000" w:sz="4" w:val="single"/>
              <w:left w:sz="4" w:val="nil"/>
              <w:bottom w:color="000000" w:sz="4" w:val="single"/>
              <w:right w:color="000000" w:sz="4" w:val="single"/>
            </w:tcBorders>
            <w:tcMar>
              <w:left w:type="dxa" w:w="0"/>
              <w:right w:type="dxa" w:w="0"/>
            </w:tcMar>
          </w:tcPr>
          <w:p w14:paraId="F2140000">
            <w:pPr>
              <w:widowControl w:val="1"/>
              <w:ind w:right="64"/>
              <w:contextualSpacing w:val="1"/>
              <w:rPr>
                <w:color w:val="000000"/>
                <w:sz w:val="22"/>
              </w:rPr>
            </w:pPr>
            <w:r>
              <w:rPr>
                <w:sz w:val="22"/>
              </w:rPr>
              <w:t>2.1. Выплатить генеральному директору АО "Краспригород"</w:t>
            </w:r>
            <w:r>
              <w:rPr>
                <w:color w:val="000000"/>
                <w:sz w:val="22"/>
              </w:rPr>
              <w:t xml:space="preserve"> Быкову Эдуарду Владимировичу </w:t>
            </w:r>
            <w:r>
              <w:rPr>
                <w:sz w:val="22"/>
              </w:rPr>
              <w:t xml:space="preserve">премиальное вознаграждение </w:t>
            </w:r>
            <w:r>
              <w:rPr>
                <w:color w:val="000000"/>
                <w:sz w:val="22"/>
              </w:rPr>
              <w:t>по итогам работы за 1 квартал 2018 года</w:t>
            </w:r>
            <w:r>
              <w:rPr>
                <w:sz w:val="22"/>
              </w:rPr>
              <w:t xml:space="preserve"> в размере, согласно Приложению №2</w:t>
            </w:r>
            <w:r>
              <w:rPr>
                <w:color w:val="000000"/>
                <w:sz w:val="22"/>
              </w:rPr>
              <w:t xml:space="preserve"> к протоколу заседания Совета директоров.</w:t>
            </w:r>
          </w:p>
          <w:p w14:paraId="F3140000">
            <w:pPr>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F414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F5140000">
            <w:pPr>
              <w:widowControl w:val="1"/>
              <w:ind w:firstLine="709" w:left="-758"/>
              <w:contextualSpacing w:val="1"/>
              <w:jc w:val="center"/>
              <w:rPr>
                <w:sz w:val="22"/>
              </w:rPr>
            </w:pPr>
            <w:r>
              <w:rPr>
                <w:sz w:val="22"/>
              </w:rPr>
              <w:t>3</w:t>
            </w:r>
          </w:p>
        </w:tc>
        <w:tc>
          <w:tcPr>
            <w:tcW w:type="dxa" w:w="2043"/>
            <w:tcBorders>
              <w:top w:color="000000" w:sz="4" w:val="single"/>
              <w:left w:color="000000" w:sz="4" w:val="single"/>
              <w:bottom w:color="000000" w:sz="4" w:val="single"/>
              <w:right w:color="000000" w:sz="4" w:val="single"/>
            </w:tcBorders>
            <w:tcMar>
              <w:left w:type="dxa" w:w="0"/>
              <w:right w:type="dxa" w:w="0"/>
            </w:tcMar>
          </w:tcPr>
          <w:p w14:paraId="F6140000">
            <w:pPr>
              <w:widowControl w:val="1"/>
              <w:ind w:right="64"/>
              <w:contextualSpacing w:val="1"/>
              <w:rPr>
                <w:sz w:val="22"/>
              </w:rPr>
            </w:pPr>
            <w:r>
              <w:rPr>
                <w:sz w:val="22"/>
              </w:rPr>
              <w:t>О рассмотрении аналитического отчета о действующей в Обществе системе мотивации исполнительного органа и иных ключевых работников.</w:t>
            </w:r>
          </w:p>
        </w:tc>
        <w:tc>
          <w:tcPr>
            <w:tcW w:type="dxa" w:w="5404"/>
            <w:tcBorders>
              <w:top w:color="000000" w:sz="4" w:val="single"/>
              <w:left w:sz="4" w:val="nil"/>
              <w:bottom w:color="000000" w:sz="4" w:val="single"/>
              <w:right w:color="000000" w:sz="4" w:val="single"/>
            </w:tcBorders>
            <w:tcMar>
              <w:left w:type="dxa" w:w="0"/>
              <w:right w:type="dxa" w:w="0"/>
            </w:tcMar>
          </w:tcPr>
          <w:p w14:paraId="F7140000">
            <w:pPr>
              <w:pStyle w:val="Style_12"/>
              <w:widowControl w:val="1"/>
              <w:ind w:right="64"/>
              <w:contextualSpacing w:val="1"/>
              <w:jc w:val="both"/>
              <w:rPr>
                <w:rFonts w:ascii="Times New Roman" w:hAnsi="Times New Roman"/>
                <w:color w:val="000000"/>
                <w:sz w:val="22"/>
              </w:rPr>
            </w:pPr>
            <w:r>
              <w:rPr>
                <w:rFonts w:ascii="Times New Roman" w:hAnsi="Times New Roman"/>
                <w:sz w:val="22"/>
              </w:rPr>
              <w:t>3.1. Принять к сведению аналитический отчет о действующей в Обществе системе мотивации исполнительного органа и иных ключевых работников, согласно</w:t>
            </w:r>
            <w:r>
              <w:rPr>
                <w:rFonts w:ascii="Times New Roman" w:hAnsi="Times New Roman"/>
                <w:sz w:val="22"/>
              </w:rPr>
              <w:t xml:space="preserve"> Приложению № 3</w:t>
            </w:r>
            <w:r>
              <w:rPr>
                <w:rFonts w:ascii="Times New Roman" w:hAnsi="Times New Roman"/>
                <w:sz w:val="22"/>
              </w:rPr>
              <w:t xml:space="preserve"> к протоколу заседания Совета директоров</w:t>
            </w:r>
            <w:r>
              <w:rPr>
                <w:rFonts w:ascii="Times New Roman" w:hAnsi="Times New Roman"/>
                <w:color w:val="000000"/>
                <w:sz w:val="22"/>
              </w:rPr>
              <w:t>.</w:t>
            </w:r>
          </w:p>
          <w:p w14:paraId="F8140000">
            <w:pPr>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F9140000">
            <w:pPr>
              <w:widowControl w:val="1"/>
              <w:ind w:right="64"/>
              <w:contextualSpacing w:val="1"/>
              <w:rPr>
                <w:b w:val="1"/>
                <w:i w:val="1"/>
                <w:sz w:val="22"/>
              </w:rPr>
            </w:pPr>
            <w:r>
              <w:rPr>
                <w:b w:val="1"/>
                <w:i w:val="1"/>
                <w:sz w:val="22"/>
              </w:rPr>
              <w:t>Выполнено в полном объеме</w:t>
            </w:r>
          </w:p>
        </w:tc>
      </w:tr>
      <w:tr>
        <w:trPr>
          <w:trHeight w:hRule="atLeast" w:val="401"/>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FA140000">
            <w:pPr>
              <w:widowControl w:val="1"/>
              <w:ind w:firstLine="709" w:left="-758"/>
              <w:contextualSpacing w:val="1"/>
              <w:jc w:val="center"/>
              <w:rPr>
                <w:sz w:val="22"/>
              </w:rPr>
            </w:pPr>
            <w:r>
              <w:rPr>
                <w:sz w:val="22"/>
              </w:rPr>
              <w:t>4.</w:t>
            </w:r>
          </w:p>
        </w:tc>
        <w:tc>
          <w:tcPr>
            <w:tcW w:type="dxa" w:w="2043"/>
            <w:tcBorders>
              <w:top w:color="000000" w:sz="4" w:val="single"/>
              <w:left w:color="000000" w:sz="4" w:val="single"/>
              <w:bottom w:color="000000" w:sz="4" w:val="single"/>
              <w:right w:color="000000" w:sz="4" w:val="single"/>
            </w:tcBorders>
            <w:tcMar>
              <w:left w:type="dxa" w:w="0"/>
              <w:right w:type="dxa" w:w="0"/>
            </w:tcMar>
          </w:tcPr>
          <w:p w14:paraId="FB140000">
            <w:pPr>
              <w:widowControl w:val="1"/>
              <w:ind w:right="64"/>
              <w:contextualSpacing w:val="1"/>
              <w:rPr>
                <w:sz w:val="22"/>
              </w:rPr>
            </w:pPr>
            <w:r>
              <w:rPr>
                <w:sz w:val="22"/>
              </w:rPr>
              <w:t xml:space="preserve">О рассмотрении результатов </w:t>
            </w:r>
            <w:r>
              <w:rPr>
                <w:sz w:val="22"/>
              </w:rPr>
              <w:t>оценки уровня удовлетворенности пассажиров качеством услуг пригородного железнодорожного транспорта</w:t>
            </w:r>
          </w:p>
        </w:tc>
        <w:tc>
          <w:tcPr>
            <w:tcW w:type="dxa" w:w="5404"/>
            <w:tcBorders>
              <w:top w:color="000000" w:sz="4" w:val="single"/>
              <w:left w:sz="4" w:val="nil"/>
              <w:bottom w:color="000000" w:sz="4" w:val="single"/>
              <w:right w:color="000000" w:sz="4" w:val="single"/>
            </w:tcBorders>
            <w:tcMar>
              <w:left w:type="dxa" w:w="0"/>
              <w:right w:type="dxa" w:w="0"/>
            </w:tcMar>
          </w:tcPr>
          <w:p w14:paraId="FC140000">
            <w:pPr>
              <w:pStyle w:val="Style_12"/>
              <w:widowControl w:val="1"/>
              <w:ind w:right="64"/>
              <w:contextualSpacing w:val="1"/>
              <w:jc w:val="both"/>
              <w:rPr>
                <w:rFonts w:ascii="Times New Roman" w:hAnsi="Times New Roman"/>
                <w:color w:val="000000"/>
                <w:sz w:val="22"/>
              </w:rPr>
            </w:pPr>
            <w:r>
              <w:rPr>
                <w:rFonts w:ascii="Times New Roman" w:hAnsi="Times New Roman"/>
                <w:sz w:val="22"/>
              </w:rPr>
              <w:t xml:space="preserve">4.1. Принять к сведению результаты </w:t>
            </w:r>
            <w:r>
              <w:rPr>
                <w:rFonts w:ascii="Times New Roman" w:hAnsi="Times New Roman"/>
                <w:sz w:val="22"/>
              </w:rPr>
              <w:t>оценки уровня удовлетворенности пассажиров качеством услуг пригородного железнодорожного транспорта, согласно</w:t>
            </w:r>
            <w:r>
              <w:rPr>
                <w:rFonts w:ascii="Times New Roman" w:hAnsi="Times New Roman"/>
                <w:sz w:val="22"/>
              </w:rPr>
              <w:t xml:space="preserve"> Приложению № 4</w:t>
            </w:r>
            <w:r>
              <w:rPr>
                <w:rFonts w:ascii="Times New Roman" w:hAnsi="Times New Roman"/>
                <w:sz w:val="22"/>
              </w:rPr>
              <w:t xml:space="preserve"> к протоколу заседания Совета директоров</w:t>
            </w:r>
            <w:r>
              <w:rPr>
                <w:rFonts w:ascii="Times New Roman" w:hAnsi="Times New Roman"/>
                <w:color w:val="000000"/>
                <w:sz w:val="22"/>
              </w:rPr>
              <w:t>.</w:t>
            </w:r>
          </w:p>
          <w:p w14:paraId="FD140000">
            <w:pPr>
              <w:pStyle w:val="Style_12"/>
              <w:widowControl w:val="1"/>
              <w:ind w:right="64"/>
              <w:contextualSpacing w:val="1"/>
              <w:jc w:val="both"/>
              <w:rPr>
                <w:rFonts w:ascii="Times New Roman" w:hAnsi="Times New Roman"/>
                <w:sz w:val="22"/>
              </w:rPr>
            </w:pPr>
          </w:p>
        </w:tc>
        <w:tc>
          <w:tcPr>
            <w:tcW w:type="dxa" w:w="1605"/>
            <w:tcBorders>
              <w:top w:color="000000" w:sz="4" w:val="single"/>
              <w:left w:sz="4" w:val="nil"/>
              <w:bottom w:color="000000" w:sz="4" w:val="single"/>
              <w:right w:color="000000" w:sz="4" w:val="single"/>
            </w:tcBorders>
            <w:tcMar>
              <w:left w:type="dxa" w:w="0"/>
              <w:right w:type="dxa" w:w="0"/>
            </w:tcMar>
          </w:tcPr>
          <w:p w14:paraId="FE140000">
            <w:pPr>
              <w:widowControl w:val="1"/>
              <w:ind w:right="64"/>
              <w:contextualSpacing w:val="1"/>
              <w:rPr>
                <w:b w:val="1"/>
                <w:i w:val="1"/>
                <w:sz w:val="22"/>
              </w:rPr>
            </w:pPr>
            <w:r>
              <w:rPr>
                <w:b w:val="1"/>
                <w:i w:val="1"/>
                <w:sz w:val="22"/>
              </w:rPr>
              <w:t>Выполнено в полном объеме</w:t>
            </w:r>
          </w:p>
        </w:tc>
      </w:tr>
      <w:tr>
        <w:trPr>
          <w:trHeight w:hRule="atLeast" w:val="401"/>
        </w:trPr>
        <w:tc>
          <w:tcPr>
            <w:tcW w:type="dxa" w:w="9494"/>
            <w:gridSpan w:val="4"/>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FF140000">
            <w:pPr>
              <w:widowControl w:val="1"/>
              <w:ind w:left="-758" w:right="64"/>
              <w:contextualSpacing w:val="1"/>
              <w:jc w:val="center"/>
              <w:rPr>
                <w:b w:val="1"/>
                <w:sz w:val="22"/>
              </w:rPr>
            </w:pPr>
            <w:r>
              <w:rPr>
                <w:b w:val="1"/>
                <w:sz w:val="22"/>
              </w:rPr>
              <w:t>Совет директоров</w:t>
            </w:r>
          </w:p>
          <w:p w14:paraId="00150000">
            <w:pPr>
              <w:widowControl w:val="1"/>
              <w:ind w:left="-758" w:right="64"/>
              <w:contextualSpacing w:val="1"/>
              <w:jc w:val="center"/>
              <w:rPr>
                <w:b w:val="1"/>
                <w:sz w:val="22"/>
              </w:rPr>
            </w:pPr>
            <w:r>
              <w:rPr>
                <w:b w:val="1"/>
                <w:sz w:val="22"/>
              </w:rPr>
              <w:t>«24» июля 2018 г.</w:t>
            </w:r>
          </w:p>
          <w:p w14:paraId="01150000">
            <w:pPr>
              <w:widowControl w:val="1"/>
              <w:ind w:left="-758" w:right="64"/>
              <w:contextualSpacing w:val="1"/>
              <w:jc w:val="center"/>
              <w:rPr>
                <w:b w:val="1"/>
                <w:i w:val="1"/>
                <w:sz w:val="22"/>
              </w:rPr>
            </w:pPr>
            <w:r>
              <w:rPr>
                <w:b w:val="1"/>
                <w:sz w:val="22"/>
              </w:rPr>
              <w:t>ПРОТОКОЛ  № 1</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02150000">
            <w:pPr>
              <w:widowControl w:val="1"/>
              <w:ind w:firstLine="709" w:left="-758"/>
              <w:contextualSpacing w:val="1"/>
              <w:jc w:val="center"/>
              <w:rPr>
                <w:sz w:val="22"/>
              </w:rPr>
            </w:pPr>
            <w:r>
              <w:rPr>
                <w:sz w:val="22"/>
              </w:rPr>
              <w:t>1</w:t>
            </w:r>
          </w:p>
        </w:tc>
        <w:tc>
          <w:tcPr>
            <w:tcW w:type="dxa" w:w="2043"/>
            <w:tcBorders>
              <w:top w:color="000000" w:sz="4" w:val="single"/>
              <w:left w:color="000000" w:sz="4" w:val="single"/>
              <w:bottom w:color="000000" w:sz="4" w:val="single"/>
              <w:right w:color="000000" w:sz="4" w:val="single"/>
            </w:tcBorders>
            <w:tcMar>
              <w:left w:type="dxa" w:w="0"/>
              <w:right w:type="dxa" w:w="0"/>
            </w:tcMar>
          </w:tcPr>
          <w:p w14:paraId="03150000">
            <w:pPr>
              <w:pStyle w:val="Style_12"/>
              <w:widowControl w:val="1"/>
              <w:ind w:right="64"/>
              <w:contextualSpacing w:val="1"/>
              <w:jc w:val="both"/>
              <w:rPr>
                <w:rFonts w:ascii="Times New Roman" w:hAnsi="Times New Roman"/>
                <w:color w:val="000000"/>
                <w:sz w:val="22"/>
              </w:rPr>
            </w:pPr>
            <w:r>
              <w:rPr>
                <w:rFonts w:ascii="Times New Roman" w:hAnsi="Times New Roman"/>
                <w:sz w:val="22"/>
              </w:rPr>
              <w:t>Об избрании Председателя Совета директоров Общества</w:t>
            </w:r>
          </w:p>
        </w:tc>
        <w:tc>
          <w:tcPr>
            <w:tcW w:type="dxa" w:w="5404"/>
            <w:tcBorders>
              <w:top w:color="000000" w:sz="4" w:val="single"/>
              <w:left w:sz="4" w:val="nil"/>
              <w:bottom w:color="000000" w:sz="4" w:val="single"/>
              <w:right w:color="000000" w:sz="4" w:val="single"/>
            </w:tcBorders>
            <w:tcMar>
              <w:left w:type="dxa" w:w="0"/>
              <w:right w:type="dxa" w:w="0"/>
            </w:tcMar>
          </w:tcPr>
          <w:p w14:paraId="04150000">
            <w:pPr>
              <w:widowControl w:val="1"/>
              <w:ind w:right="64"/>
              <w:contextualSpacing w:val="1"/>
              <w:rPr>
                <w:sz w:val="22"/>
              </w:rPr>
            </w:pPr>
            <w:r>
              <w:rPr>
                <w:b w:val="1"/>
                <w:sz w:val="22"/>
              </w:rPr>
              <w:t>1.1.</w:t>
            </w:r>
            <w:r>
              <w:rPr>
                <w:sz w:val="22"/>
              </w:rPr>
              <w:t xml:space="preserve"> Избрать Председателем </w:t>
            </w:r>
            <w:r>
              <w:rPr>
                <w:color w:val="000000"/>
                <w:sz w:val="22"/>
              </w:rPr>
              <w:t>Совета директоров Общества Ткачева Льва Викторовича</w:t>
            </w:r>
            <w:r>
              <w:rPr>
                <w:sz w:val="22"/>
              </w:rPr>
              <w:t>.</w:t>
            </w:r>
          </w:p>
        </w:tc>
        <w:tc>
          <w:tcPr>
            <w:tcW w:type="dxa" w:w="1605"/>
            <w:tcBorders>
              <w:top w:color="000000" w:sz="4" w:val="single"/>
              <w:left w:sz="4" w:val="nil"/>
              <w:bottom w:color="000000" w:sz="4" w:val="single"/>
              <w:right w:color="000000" w:sz="4" w:val="single"/>
            </w:tcBorders>
            <w:tcMar>
              <w:left w:type="dxa" w:w="0"/>
              <w:right w:type="dxa" w:w="0"/>
            </w:tcMar>
          </w:tcPr>
          <w:p w14:paraId="05150000">
            <w:pPr>
              <w:widowControl w:val="1"/>
              <w:ind w:right="64"/>
              <w:contextualSpacing w:val="1"/>
              <w:rPr>
                <w:b w:val="1"/>
                <w:i w:val="1"/>
                <w:sz w:val="22"/>
              </w:rPr>
            </w:pPr>
            <w:r>
              <w:rPr>
                <w:b w:val="1"/>
                <w:i w:val="1"/>
                <w:sz w:val="22"/>
              </w:rPr>
              <w:t>Выполнено в полном объеме</w:t>
            </w: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06150000">
            <w:pPr>
              <w:widowControl w:val="1"/>
              <w:ind w:firstLine="709" w:left="-758"/>
              <w:contextualSpacing w:val="1"/>
              <w:jc w:val="center"/>
              <w:rPr>
                <w:sz w:val="22"/>
              </w:rPr>
            </w:pPr>
            <w:r>
              <w:rPr>
                <w:sz w:val="22"/>
              </w:rPr>
              <w:t>2</w:t>
            </w:r>
          </w:p>
        </w:tc>
        <w:tc>
          <w:tcPr>
            <w:tcW w:type="dxa" w:w="2043"/>
            <w:tcBorders>
              <w:top w:color="000000" w:sz="4" w:val="single"/>
              <w:left w:color="000000" w:sz="4" w:val="single"/>
              <w:bottom w:color="000000" w:sz="4" w:val="single"/>
              <w:right w:color="000000" w:sz="4" w:val="single"/>
            </w:tcBorders>
            <w:tcMar>
              <w:left w:type="dxa" w:w="0"/>
              <w:right w:type="dxa" w:w="0"/>
            </w:tcMar>
          </w:tcPr>
          <w:p w14:paraId="07150000">
            <w:pPr>
              <w:pStyle w:val="Style_12"/>
              <w:widowControl w:val="1"/>
              <w:ind w:right="64"/>
              <w:contextualSpacing w:val="1"/>
              <w:jc w:val="both"/>
              <w:rPr>
                <w:rFonts w:ascii="Times New Roman" w:hAnsi="Times New Roman"/>
                <w:sz w:val="22"/>
              </w:rPr>
            </w:pPr>
            <w:r>
              <w:rPr>
                <w:rFonts w:ascii="Times New Roman" w:hAnsi="Times New Roman"/>
                <w:sz w:val="22"/>
              </w:rPr>
              <w:t>Об избрании заместителя Председателя Совета директоров Общества</w:t>
            </w:r>
          </w:p>
        </w:tc>
        <w:tc>
          <w:tcPr>
            <w:tcW w:type="dxa" w:w="5404"/>
            <w:tcBorders>
              <w:top w:color="000000" w:sz="4" w:val="single"/>
              <w:left w:sz="4" w:val="nil"/>
              <w:bottom w:color="000000" w:sz="4" w:val="single"/>
              <w:right w:color="000000" w:sz="4" w:val="single"/>
            </w:tcBorders>
            <w:tcMar>
              <w:left w:type="dxa" w:w="0"/>
              <w:right w:type="dxa" w:w="0"/>
            </w:tcMar>
          </w:tcPr>
          <w:p w14:paraId="08150000">
            <w:pPr>
              <w:widowControl w:val="1"/>
              <w:ind w:right="64"/>
              <w:contextualSpacing w:val="1"/>
              <w:rPr>
                <w:sz w:val="22"/>
              </w:rPr>
            </w:pPr>
            <w:r>
              <w:rPr>
                <w:b w:val="1"/>
                <w:sz w:val="22"/>
              </w:rPr>
              <w:t>2.1.</w:t>
            </w:r>
            <w:r>
              <w:rPr>
                <w:sz w:val="22"/>
              </w:rPr>
              <w:t xml:space="preserve"> Избрать Заместителем Председателя </w:t>
            </w:r>
            <w:r>
              <w:rPr>
                <w:color w:val="000000"/>
                <w:sz w:val="22"/>
              </w:rPr>
              <w:t>Совета директоров Общества Августиновича Андрея Михайловича</w:t>
            </w:r>
            <w:r>
              <w:rPr>
                <w:sz w:val="22"/>
              </w:rPr>
              <w:t>.</w:t>
            </w:r>
          </w:p>
          <w:p w14:paraId="09150000">
            <w:pPr>
              <w:widowControl w:val="1"/>
              <w:ind w:right="64"/>
              <w:contextualSpacing w:val="1"/>
              <w:rPr>
                <w:b w:val="1"/>
                <w:sz w:val="22"/>
              </w:rPr>
            </w:pPr>
          </w:p>
        </w:tc>
        <w:tc>
          <w:tcPr>
            <w:tcW w:type="dxa" w:w="1605"/>
            <w:tcBorders>
              <w:top w:color="000000" w:sz="4" w:val="single"/>
              <w:left w:sz="4" w:val="nil"/>
              <w:bottom w:color="000000" w:sz="4" w:val="single"/>
              <w:right w:color="000000" w:sz="4" w:val="single"/>
            </w:tcBorders>
            <w:tcMar>
              <w:left w:type="dxa" w:w="0"/>
              <w:right w:type="dxa" w:w="0"/>
            </w:tcMar>
          </w:tcPr>
          <w:p w14:paraId="0A150000">
            <w:pPr>
              <w:widowControl w:val="1"/>
              <w:ind w:right="64"/>
              <w:contextualSpacing w:val="1"/>
              <w:rPr>
                <w:b w:val="1"/>
                <w:i w:val="1"/>
                <w:sz w:val="22"/>
              </w:rPr>
            </w:pPr>
            <w:r>
              <w:rPr>
                <w:b w:val="1"/>
                <w:i w:val="1"/>
                <w:sz w:val="22"/>
              </w:rPr>
              <w:t>Выполнено в полном объеме</w:t>
            </w:r>
          </w:p>
          <w:p w14:paraId="0B150000">
            <w:pPr>
              <w:widowControl w:val="1"/>
              <w:ind w:right="64"/>
              <w:contextualSpacing w:val="1"/>
              <w:rPr>
                <w:b w:val="1"/>
                <w:i w:val="1"/>
                <w:sz w:val="22"/>
              </w:rPr>
            </w:pP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0C150000">
            <w:pPr>
              <w:widowControl w:val="1"/>
              <w:ind w:firstLine="709" w:left="-758"/>
              <w:contextualSpacing w:val="1"/>
              <w:jc w:val="center"/>
              <w:rPr>
                <w:sz w:val="22"/>
              </w:rPr>
            </w:pPr>
            <w:r>
              <w:rPr>
                <w:sz w:val="22"/>
              </w:rPr>
              <w:t>3</w:t>
            </w:r>
          </w:p>
        </w:tc>
        <w:tc>
          <w:tcPr>
            <w:tcW w:type="dxa" w:w="2043"/>
            <w:tcBorders>
              <w:top w:color="000000" w:sz="4" w:val="single"/>
              <w:left w:color="000000" w:sz="4" w:val="single"/>
              <w:bottom w:color="000000" w:sz="4" w:val="single"/>
              <w:right w:color="000000" w:sz="4" w:val="single"/>
            </w:tcBorders>
            <w:tcMar>
              <w:left w:type="dxa" w:w="0"/>
              <w:right w:type="dxa" w:w="0"/>
            </w:tcMar>
          </w:tcPr>
          <w:p w14:paraId="0D150000">
            <w:pPr>
              <w:widowControl w:val="1"/>
              <w:ind w:right="64"/>
              <w:contextualSpacing w:val="1"/>
              <w:rPr>
                <w:sz w:val="22"/>
              </w:rPr>
            </w:pPr>
            <w:r>
              <w:rPr>
                <w:sz w:val="22"/>
              </w:rPr>
              <w:t>Об избрании Корпоративного секретаря Общества.</w:t>
            </w:r>
          </w:p>
          <w:p w14:paraId="0E150000">
            <w:pPr>
              <w:pStyle w:val="Style_12"/>
              <w:widowControl w:val="1"/>
              <w:ind w:right="64"/>
              <w:contextualSpacing w:val="1"/>
              <w:jc w:val="both"/>
              <w:rPr>
                <w:rFonts w:ascii="Times New Roman" w:hAnsi="Times New Roman"/>
                <w:sz w:val="22"/>
              </w:rPr>
            </w:pPr>
          </w:p>
        </w:tc>
        <w:tc>
          <w:tcPr>
            <w:tcW w:type="dxa" w:w="5404"/>
            <w:tcBorders>
              <w:top w:color="000000" w:sz="4" w:val="single"/>
              <w:left w:sz="4" w:val="nil"/>
              <w:bottom w:color="000000" w:sz="4" w:val="single"/>
              <w:right w:color="000000" w:sz="4" w:val="single"/>
            </w:tcBorders>
            <w:tcMar>
              <w:left w:type="dxa" w:w="0"/>
              <w:right w:type="dxa" w:w="0"/>
            </w:tcMar>
          </w:tcPr>
          <w:p w14:paraId="0F150000">
            <w:pPr>
              <w:widowControl w:val="1"/>
              <w:ind w:right="64"/>
              <w:contextualSpacing w:val="1"/>
              <w:rPr>
                <w:sz w:val="22"/>
              </w:rPr>
            </w:pPr>
            <w:r>
              <w:rPr>
                <w:b w:val="1"/>
                <w:sz w:val="22"/>
              </w:rPr>
              <w:t>3.1.</w:t>
            </w:r>
            <w:r>
              <w:rPr>
                <w:sz w:val="22"/>
              </w:rPr>
              <w:t xml:space="preserve"> Избрать Корпоративным секретарем </w:t>
            </w:r>
            <w:r>
              <w:rPr>
                <w:color w:val="000000"/>
                <w:sz w:val="22"/>
              </w:rPr>
              <w:t>Общества Свиридову Ольгу Сергеевну</w:t>
            </w:r>
            <w:r>
              <w:rPr>
                <w:sz w:val="22"/>
              </w:rPr>
              <w:t>.</w:t>
            </w:r>
          </w:p>
          <w:p w14:paraId="10150000">
            <w:pPr>
              <w:widowControl w:val="1"/>
              <w:ind w:right="64"/>
              <w:contextualSpacing w:val="1"/>
              <w:rPr>
                <w:b w:val="1"/>
                <w:sz w:val="22"/>
              </w:rPr>
            </w:pPr>
          </w:p>
        </w:tc>
        <w:tc>
          <w:tcPr>
            <w:tcW w:type="dxa" w:w="1605"/>
            <w:tcBorders>
              <w:top w:color="000000" w:sz="4" w:val="single"/>
              <w:left w:sz="4" w:val="nil"/>
              <w:bottom w:color="000000" w:sz="4" w:val="single"/>
              <w:right w:color="000000" w:sz="4" w:val="single"/>
            </w:tcBorders>
            <w:tcMar>
              <w:left w:type="dxa" w:w="0"/>
              <w:right w:type="dxa" w:w="0"/>
            </w:tcMar>
          </w:tcPr>
          <w:p w14:paraId="11150000">
            <w:pPr>
              <w:widowControl w:val="1"/>
              <w:ind w:right="64"/>
              <w:contextualSpacing w:val="1"/>
              <w:rPr>
                <w:b w:val="1"/>
                <w:i w:val="1"/>
                <w:sz w:val="22"/>
              </w:rPr>
            </w:pPr>
            <w:r>
              <w:rPr>
                <w:b w:val="1"/>
                <w:i w:val="1"/>
                <w:sz w:val="22"/>
              </w:rPr>
              <w:t>Выполнено в полном объеме</w:t>
            </w:r>
          </w:p>
          <w:p w14:paraId="12150000">
            <w:pPr>
              <w:widowControl w:val="1"/>
              <w:ind w:right="64"/>
              <w:contextualSpacing w:val="1"/>
              <w:rPr>
                <w:b w:val="1"/>
                <w:i w:val="1"/>
                <w:sz w:val="22"/>
              </w:rPr>
            </w:pP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13150000">
            <w:pPr>
              <w:widowControl w:val="1"/>
              <w:ind w:firstLine="709" w:left="-758"/>
              <w:contextualSpacing w:val="1"/>
              <w:jc w:val="center"/>
              <w:rPr>
                <w:sz w:val="22"/>
              </w:rPr>
            </w:pPr>
            <w:r>
              <w:rPr>
                <w:sz w:val="22"/>
              </w:rPr>
              <w:t>4</w:t>
            </w:r>
          </w:p>
        </w:tc>
        <w:tc>
          <w:tcPr>
            <w:tcW w:type="dxa" w:w="2043"/>
            <w:tcBorders>
              <w:top w:color="000000" w:sz="4" w:val="single"/>
              <w:left w:color="000000" w:sz="4" w:val="single"/>
              <w:bottom w:color="000000" w:sz="4" w:val="single"/>
              <w:right w:color="000000" w:sz="4" w:val="single"/>
            </w:tcBorders>
            <w:tcMar>
              <w:left w:type="dxa" w:w="0"/>
              <w:right w:type="dxa" w:w="0"/>
            </w:tcMar>
          </w:tcPr>
          <w:p w14:paraId="14150000">
            <w:pPr>
              <w:pStyle w:val="Style_12"/>
              <w:widowControl w:val="1"/>
              <w:ind w:right="64"/>
              <w:contextualSpacing w:val="1"/>
              <w:jc w:val="both"/>
              <w:rPr>
                <w:rFonts w:ascii="Times New Roman" w:hAnsi="Times New Roman"/>
                <w:sz w:val="22"/>
              </w:rPr>
            </w:pPr>
            <w:r>
              <w:rPr>
                <w:rFonts w:ascii="Times New Roman" w:hAnsi="Times New Roman"/>
                <w:sz w:val="22"/>
              </w:rPr>
              <w:t>Об утверждении Плана работы Совета директоров Общества на 2018-2019 год.</w:t>
            </w:r>
          </w:p>
        </w:tc>
        <w:tc>
          <w:tcPr>
            <w:tcW w:type="dxa" w:w="5404"/>
            <w:tcBorders>
              <w:top w:color="000000" w:sz="4" w:val="single"/>
              <w:left w:sz="4" w:val="nil"/>
              <w:bottom w:color="000000" w:sz="4" w:val="single"/>
              <w:right w:color="000000" w:sz="4" w:val="single"/>
            </w:tcBorders>
            <w:tcMar>
              <w:left w:type="dxa" w:w="0"/>
              <w:right w:type="dxa" w:w="0"/>
            </w:tcMar>
          </w:tcPr>
          <w:p w14:paraId="15150000">
            <w:pPr>
              <w:widowControl w:val="1"/>
              <w:ind w:right="64"/>
              <w:contextualSpacing w:val="1"/>
              <w:rPr>
                <w:sz w:val="22"/>
              </w:rPr>
            </w:pPr>
            <w:r>
              <w:rPr>
                <w:b w:val="1"/>
                <w:sz w:val="22"/>
              </w:rPr>
              <w:t>4.1.</w:t>
            </w:r>
            <w:r>
              <w:rPr>
                <w:sz w:val="22"/>
              </w:rPr>
              <w:t xml:space="preserve"> Утвердить План работы Совета директоров Общества на 2018-2019 год согласно Приложению №1 </w:t>
            </w:r>
            <w:r>
              <w:rPr>
                <w:color w:val="000000"/>
                <w:sz w:val="22"/>
              </w:rPr>
              <w:t>к протоколу заседания Совета директоров</w:t>
            </w:r>
            <w:r>
              <w:rPr>
                <w:sz w:val="22"/>
              </w:rPr>
              <w:t>.</w:t>
            </w:r>
          </w:p>
          <w:p w14:paraId="16150000">
            <w:pPr>
              <w:widowControl w:val="1"/>
              <w:ind w:right="64"/>
              <w:contextualSpacing w:val="1"/>
              <w:rPr>
                <w:b w:val="1"/>
                <w:sz w:val="22"/>
              </w:rPr>
            </w:pPr>
          </w:p>
        </w:tc>
        <w:tc>
          <w:tcPr>
            <w:tcW w:type="dxa" w:w="1605"/>
            <w:tcBorders>
              <w:top w:color="000000" w:sz="4" w:val="single"/>
              <w:left w:sz="4" w:val="nil"/>
              <w:bottom w:color="000000" w:sz="4" w:val="single"/>
              <w:right w:color="000000" w:sz="4" w:val="single"/>
            </w:tcBorders>
            <w:tcMar>
              <w:left w:type="dxa" w:w="0"/>
              <w:right w:type="dxa" w:w="0"/>
            </w:tcMar>
          </w:tcPr>
          <w:p w14:paraId="17150000">
            <w:pPr>
              <w:widowControl w:val="1"/>
              <w:ind w:right="64"/>
              <w:contextualSpacing w:val="1"/>
              <w:rPr>
                <w:b w:val="1"/>
                <w:i w:val="1"/>
                <w:sz w:val="22"/>
              </w:rPr>
            </w:pPr>
            <w:r>
              <w:rPr>
                <w:b w:val="1"/>
                <w:i w:val="1"/>
                <w:sz w:val="22"/>
              </w:rPr>
              <w:t>Выполнено в полном объеме</w:t>
            </w:r>
          </w:p>
          <w:p w14:paraId="18150000">
            <w:pPr>
              <w:widowControl w:val="1"/>
              <w:ind w:right="64"/>
              <w:contextualSpacing w:val="1"/>
              <w:rPr>
                <w:b w:val="1"/>
                <w:i w:val="1"/>
                <w:sz w:val="22"/>
              </w:rPr>
            </w:pP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19150000">
            <w:pPr>
              <w:widowControl w:val="1"/>
              <w:ind w:firstLine="709" w:left="-758"/>
              <w:contextualSpacing w:val="1"/>
              <w:jc w:val="center"/>
              <w:rPr>
                <w:sz w:val="22"/>
              </w:rPr>
            </w:pPr>
            <w:r>
              <w:rPr>
                <w:sz w:val="22"/>
              </w:rPr>
              <w:t>5</w:t>
            </w:r>
          </w:p>
        </w:tc>
        <w:tc>
          <w:tcPr>
            <w:tcW w:type="dxa" w:w="2043"/>
            <w:tcBorders>
              <w:top w:color="000000" w:sz="4" w:val="single"/>
              <w:left w:color="000000" w:sz="4" w:val="single"/>
              <w:bottom w:color="000000" w:sz="4" w:val="single"/>
              <w:right w:color="000000" w:sz="4" w:val="single"/>
            </w:tcBorders>
            <w:tcMar>
              <w:left w:type="dxa" w:w="0"/>
              <w:right w:type="dxa" w:w="0"/>
            </w:tcMar>
          </w:tcPr>
          <w:p w14:paraId="1A150000">
            <w:pPr>
              <w:pStyle w:val="Style_12"/>
              <w:widowControl w:val="1"/>
              <w:ind w:right="64"/>
              <w:contextualSpacing w:val="1"/>
              <w:jc w:val="both"/>
              <w:rPr>
                <w:rFonts w:ascii="Times New Roman" w:hAnsi="Times New Roman"/>
                <w:sz w:val="22"/>
              </w:rPr>
            </w:pPr>
            <w:r>
              <w:rPr>
                <w:rFonts w:ascii="Times New Roman" w:hAnsi="Times New Roman"/>
                <w:sz w:val="22"/>
              </w:rPr>
              <w:t>Об определении размера оплаты услуг аудитора</w:t>
            </w:r>
          </w:p>
        </w:tc>
        <w:tc>
          <w:tcPr>
            <w:tcW w:type="dxa" w:w="5404"/>
            <w:tcBorders>
              <w:top w:color="000000" w:sz="4" w:val="single"/>
              <w:left w:sz="4" w:val="nil"/>
              <w:bottom w:color="000000" w:sz="4" w:val="single"/>
              <w:right w:color="000000" w:sz="4" w:val="single"/>
            </w:tcBorders>
            <w:tcMar>
              <w:left w:type="dxa" w:w="0"/>
              <w:right w:type="dxa" w:w="0"/>
            </w:tcMar>
          </w:tcPr>
          <w:p w14:paraId="1B150000">
            <w:pPr>
              <w:pStyle w:val="Style_12"/>
              <w:widowControl w:val="1"/>
              <w:ind w:right="64"/>
              <w:contextualSpacing w:val="1"/>
              <w:jc w:val="both"/>
              <w:rPr>
                <w:rFonts w:ascii="Times New Roman" w:hAnsi="Times New Roman"/>
                <w:sz w:val="22"/>
              </w:rPr>
            </w:pPr>
            <w:r>
              <w:rPr>
                <w:rFonts w:ascii="Times New Roman" w:hAnsi="Times New Roman"/>
                <w:b w:val="1"/>
                <w:sz w:val="22"/>
              </w:rPr>
              <w:t>5.1.</w:t>
            </w:r>
            <w:r>
              <w:rPr>
                <w:rFonts w:ascii="Times New Roman" w:hAnsi="Times New Roman"/>
                <w:sz w:val="22"/>
              </w:rPr>
              <w:t xml:space="preserve"> Утвердить размер оплаты услуг аудитора ООО Аудиторская компания «Поиск» за проведение аудиторской проверки </w:t>
            </w:r>
            <w:r>
              <w:rPr>
                <w:rFonts w:ascii="Times New Roman" w:hAnsi="Times New Roman"/>
                <w:color w:val="000000"/>
                <w:spacing w:val="-4"/>
                <w:sz w:val="22"/>
              </w:rPr>
              <w:t xml:space="preserve">финансовой (бухгалтерской) отчетности </w:t>
            </w:r>
            <w:r>
              <w:rPr>
                <w:rFonts w:ascii="Times New Roman" w:hAnsi="Times New Roman"/>
                <w:sz w:val="22"/>
              </w:rPr>
              <w:t xml:space="preserve">АО «Краспригород» за 2018 год в размере 129 500,00 (Сто двадцать девять тысяч пятьсот) руб. 00 коп., НДС не облагается (Приложение №2 </w:t>
            </w:r>
            <w:r>
              <w:rPr>
                <w:rFonts w:ascii="Times New Roman" w:hAnsi="Times New Roman"/>
                <w:color w:val="000000"/>
                <w:sz w:val="22"/>
              </w:rPr>
              <w:t>к протоколу заседания Совета директоров</w:t>
            </w:r>
            <w:r>
              <w:rPr>
                <w:rFonts w:ascii="Times New Roman" w:hAnsi="Times New Roman"/>
                <w:sz w:val="22"/>
              </w:rPr>
              <w:t>).</w:t>
            </w:r>
          </w:p>
          <w:p w14:paraId="1C150000">
            <w:pPr>
              <w:pStyle w:val="Style_11"/>
              <w:widowControl w:val="1"/>
              <w:tabs>
                <w:tab w:leader="none" w:pos="0" w:val="left"/>
              </w:tabs>
              <w:spacing w:after="0"/>
              <w:ind w:left="0" w:right="64"/>
              <w:contextualSpacing w:val="1"/>
              <w:jc w:val="center"/>
              <w:rPr>
                <w:sz w:val="22"/>
              </w:rPr>
            </w:pPr>
          </w:p>
          <w:p w14:paraId="1D150000">
            <w:pPr>
              <w:widowControl w:val="1"/>
              <w:ind w:right="64"/>
              <w:contextualSpacing w:val="1"/>
              <w:rPr>
                <w:b w:val="1"/>
                <w:sz w:val="22"/>
              </w:rPr>
            </w:pPr>
          </w:p>
        </w:tc>
        <w:tc>
          <w:tcPr>
            <w:tcW w:type="dxa" w:w="1605"/>
            <w:tcBorders>
              <w:top w:color="000000" w:sz="4" w:val="single"/>
              <w:left w:sz="4" w:val="nil"/>
              <w:bottom w:color="000000" w:sz="4" w:val="single"/>
              <w:right w:color="000000" w:sz="4" w:val="single"/>
            </w:tcBorders>
            <w:tcMar>
              <w:left w:type="dxa" w:w="0"/>
              <w:right w:type="dxa" w:w="0"/>
            </w:tcMar>
          </w:tcPr>
          <w:p w14:paraId="1E150000">
            <w:pPr>
              <w:widowControl w:val="1"/>
              <w:ind w:right="64"/>
              <w:contextualSpacing w:val="1"/>
              <w:rPr>
                <w:b w:val="1"/>
                <w:i w:val="1"/>
                <w:sz w:val="22"/>
              </w:rPr>
            </w:pPr>
            <w:r>
              <w:rPr>
                <w:b w:val="1"/>
                <w:i w:val="1"/>
                <w:sz w:val="22"/>
              </w:rPr>
              <w:t>Выполнено в полном объеме</w:t>
            </w:r>
          </w:p>
          <w:p w14:paraId="1F150000">
            <w:pPr>
              <w:widowControl w:val="1"/>
              <w:ind w:right="64"/>
              <w:contextualSpacing w:val="1"/>
              <w:rPr>
                <w:b w:val="1"/>
                <w:i w:val="1"/>
                <w:sz w:val="22"/>
              </w:rPr>
            </w:pP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20150000">
            <w:pPr>
              <w:widowControl w:val="1"/>
              <w:ind w:firstLine="709" w:left="-758"/>
              <w:contextualSpacing w:val="1"/>
              <w:jc w:val="center"/>
              <w:rPr>
                <w:sz w:val="22"/>
              </w:rPr>
            </w:pPr>
            <w:r>
              <w:rPr>
                <w:sz w:val="22"/>
              </w:rPr>
              <w:t>6</w:t>
            </w:r>
          </w:p>
        </w:tc>
        <w:tc>
          <w:tcPr>
            <w:tcW w:type="dxa" w:w="2043"/>
            <w:tcBorders>
              <w:top w:color="000000" w:sz="4" w:val="single"/>
              <w:left w:color="000000" w:sz="4" w:val="single"/>
              <w:bottom w:color="000000" w:sz="4" w:val="single"/>
              <w:right w:color="000000" w:sz="4" w:val="single"/>
            </w:tcBorders>
            <w:tcMar>
              <w:left w:type="dxa" w:w="0"/>
              <w:right w:type="dxa" w:w="0"/>
            </w:tcMar>
          </w:tcPr>
          <w:p w14:paraId="21150000">
            <w:pPr>
              <w:pStyle w:val="Style_12"/>
              <w:widowControl w:val="1"/>
              <w:ind w:right="64"/>
              <w:contextualSpacing w:val="1"/>
              <w:jc w:val="both"/>
              <w:rPr>
                <w:rFonts w:ascii="Times New Roman" w:hAnsi="Times New Roman"/>
                <w:sz w:val="22"/>
              </w:rPr>
            </w:pPr>
            <w:r>
              <w:rPr>
                <w:rFonts w:ascii="Times New Roman" w:hAnsi="Times New Roman"/>
                <w:sz w:val="22"/>
              </w:rPr>
              <w:t>Об утверждении состава Комитета по стратегическому планированию Совета директоров АО «Краспригород».</w:t>
            </w:r>
          </w:p>
        </w:tc>
        <w:tc>
          <w:tcPr>
            <w:tcW w:type="dxa" w:w="5404"/>
            <w:tcBorders>
              <w:top w:color="000000" w:sz="4" w:val="single"/>
              <w:left w:sz="4" w:val="nil"/>
              <w:bottom w:color="000000" w:sz="4" w:val="single"/>
              <w:right w:color="000000" w:sz="4" w:val="single"/>
            </w:tcBorders>
            <w:tcMar>
              <w:left w:type="dxa" w:w="0"/>
              <w:right w:type="dxa" w:w="0"/>
            </w:tcMar>
          </w:tcPr>
          <w:p w14:paraId="22150000">
            <w:pPr>
              <w:widowControl w:val="1"/>
              <w:ind w:right="64"/>
              <w:contextualSpacing w:val="1"/>
              <w:rPr>
                <w:b w:val="1"/>
                <w:color w:val="000000"/>
                <w:sz w:val="22"/>
                <w:u w:val="single"/>
              </w:rPr>
            </w:pPr>
            <w:r>
              <w:rPr>
                <w:b w:val="1"/>
                <w:sz w:val="22"/>
              </w:rPr>
              <w:t>6.1.</w:t>
            </w:r>
            <w:r>
              <w:rPr>
                <w:sz w:val="22"/>
              </w:rPr>
              <w:t xml:space="preserve"> Утвердить состав Комитета по стратегическому планированию совета директоров АО «Краспригород», в соответствии с приложением №3 к протоколу заседания совета директоров Общества.</w:t>
            </w:r>
          </w:p>
          <w:p w14:paraId="23150000">
            <w:pPr>
              <w:widowControl w:val="1"/>
              <w:ind w:right="64"/>
              <w:contextualSpacing w:val="1"/>
              <w:rPr>
                <w:sz w:val="22"/>
              </w:rPr>
            </w:pPr>
            <w:r>
              <w:rPr>
                <w:b w:val="1"/>
                <w:sz w:val="22"/>
              </w:rPr>
              <w:t>6.2.</w:t>
            </w:r>
            <w:r>
              <w:rPr>
                <w:sz w:val="22"/>
              </w:rPr>
              <w:t xml:space="preserve"> Избрать председателем Комитета по стратегическому планированию совета директоров АО «Краспригород» Овсянникова П.А.</w:t>
            </w:r>
          </w:p>
          <w:p w14:paraId="24150000">
            <w:pPr>
              <w:pStyle w:val="Style_12"/>
              <w:widowControl w:val="1"/>
              <w:ind w:right="64"/>
              <w:contextualSpacing w:val="1"/>
              <w:jc w:val="both"/>
              <w:rPr>
                <w:rFonts w:ascii="Times New Roman" w:hAnsi="Times New Roman"/>
                <w:b w:val="1"/>
                <w:sz w:val="22"/>
              </w:rPr>
            </w:pPr>
          </w:p>
        </w:tc>
        <w:tc>
          <w:tcPr>
            <w:tcW w:type="dxa" w:w="1605"/>
            <w:tcBorders>
              <w:top w:color="000000" w:sz="4" w:val="single"/>
              <w:left w:sz="4" w:val="nil"/>
              <w:bottom w:color="000000" w:sz="4" w:val="single"/>
              <w:right w:color="000000" w:sz="4" w:val="single"/>
            </w:tcBorders>
            <w:tcMar>
              <w:left w:type="dxa" w:w="0"/>
              <w:right w:type="dxa" w:w="0"/>
            </w:tcMar>
          </w:tcPr>
          <w:p w14:paraId="25150000">
            <w:pPr>
              <w:widowControl w:val="1"/>
              <w:ind w:right="64"/>
              <w:contextualSpacing w:val="1"/>
              <w:rPr>
                <w:b w:val="1"/>
                <w:i w:val="1"/>
                <w:sz w:val="22"/>
              </w:rPr>
            </w:pPr>
            <w:r>
              <w:rPr>
                <w:b w:val="1"/>
                <w:i w:val="1"/>
                <w:sz w:val="22"/>
              </w:rPr>
              <w:t>Выполнено в полном объеме</w:t>
            </w:r>
          </w:p>
          <w:p w14:paraId="26150000">
            <w:pPr>
              <w:widowControl w:val="1"/>
              <w:ind w:right="64"/>
              <w:contextualSpacing w:val="1"/>
              <w:rPr>
                <w:b w:val="1"/>
                <w:i w:val="1"/>
                <w:sz w:val="22"/>
              </w:rPr>
            </w:pPr>
          </w:p>
        </w:tc>
      </w:tr>
      <w:tr>
        <w:trPr>
          <w:trHeight w:hRule="atLeast" w:val="159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27150000">
            <w:pPr>
              <w:widowControl w:val="1"/>
              <w:ind w:firstLine="709" w:left="-758"/>
              <w:contextualSpacing w:val="1"/>
              <w:jc w:val="center"/>
              <w:rPr>
                <w:sz w:val="22"/>
              </w:rPr>
            </w:pPr>
            <w:r>
              <w:rPr>
                <w:sz w:val="22"/>
              </w:rPr>
              <w:t>7</w:t>
            </w:r>
          </w:p>
        </w:tc>
        <w:tc>
          <w:tcPr>
            <w:tcW w:type="dxa" w:w="2043"/>
            <w:tcBorders>
              <w:top w:color="000000" w:sz="4" w:val="single"/>
              <w:left w:color="000000" w:sz="4" w:val="single"/>
              <w:bottom w:color="000000" w:sz="4" w:val="single"/>
              <w:right w:color="000000" w:sz="4" w:val="single"/>
            </w:tcBorders>
            <w:tcMar>
              <w:left w:type="dxa" w:w="0"/>
              <w:right w:type="dxa" w:w="0"/>
            </w:tcMar>
          </w:tcPr>
          <w:p w14:paraId="28150000">
            <w:pPr>
              <w:pStyle w:val="Style_12"/>
              <w:widowControl w:val="1"/>
              <w:ind w:right="64"/>
              <w:contextualSpacing w:val="1"/>
              <w:jc w:val="both"/>
              <w:rPr>
                <w:rFonts w:ascii="Times New Roman" w:hAnsi="Times New Roman"/>
                <w:sz w:val="22"/>
              </w:rPr>
            </w:pPr>
            <w:r>
              <w:rPr>
                <w:rFonts w:ascii="Times New Roman" w:hAnsi="Times New Roman"/>
                <w:sz w:val="22"/>
              </w:rPr>
              <w:t>О принятии к руководству Корпоративного порядка обеспечения условий доступности для маломобильных пассажиров и пассажиров из числа инвалидов объектов пассажирской инфраструктуры, пассажирских поездов и предоставляемых услуг  по перевозке пассажиров железнодорожным транспортом.</w:t>
            </w:r>
          </w:p>
        </w:tc>
        <w:tc>
          <w:tcPr>
            <w:tcW w:type="dxa" w:w="5404"/>
            <w:tcBorders>
              <w:top w:color="000000" w:sz="4" w:val="single"/>
              <w:left w:sz="4" w:val="nil"/>
              <w:bottom w:color="000000" w:sz="4" w:val="single"/>
              <w:right w:color="000000" w:sz="4" w:val="single"/>
            </w:tcBorders>
            <w:tcMar>
              <w:left w:type="dxa" w:w="0"/>
              <w:right w:type="dxa" w:w="0"/>
            </w:tcMar>
          </w:tcPr>
          <w:p w14:paraId="29150000">
            <w:pPr>
              <w:widowControl w:val="1"/>
              <w:ind w:right="64"/>
              <w:contextualSpacing w:val="1"/>
              <w:rPr>
                <w:b w:val="1"/>
                <w:color w:val="000000"/>
                <w:sz w:val="22"/>
                <w:u w:val="single"/>
              </w:rPr>
            </w:pPr>
            <w:r>
              <w:rPr>
                <w:b w:val="1"/>
                <w:sz w:val="22"/>
              </w:rPr>
              <w:t>7.1.</w:t>
            </w:r>
            <w:r>
              <w:rPr>
                <w:sz w:val="22"/>
              </w:rPr>
              <w:t xml:space="preserve"> Принять к руководству Корпоративный порядок обеспечения условий доступности для маломобильных пассажиров и пассажиров из числа инвалидов объектов пассажирской инфраструктуры, пассажирских поездов и предоставляемых услуг по перевозке пассажиров железнодорожным транспортом, утвержденный распоряжением ОАО «РЖД» от 10.04.2018 № 721/р, в соответствии с приложением №4 к протоколу заседания совета директоров Общества.</w:t>
            </w:r>
          </w:p>
          <w:p w14:paraId="2A150000">
            <w:pPr>
              <w:pStyle w:val="Style_12"/>
              <w:widowControl w:val="1"/>
              <w:ind w:right="64"/>
              <w:contextualSpacing w:val="1"/>
              <w:jc w:val="both"/>
              <w:rPr>
                <w:rFonts w:ascii="Times New Roman" w:hAnsi="Times New Roman"/>
                <w:b w:val="1"/>
                <w:sz w:val="22"/>
              </w:rPr>
            </w:pPr>
          </w:p>
        </w:tc>
        <w:tc>
          <w:tcPr>
            <w:tcW w:type="dxa" w:w="1605"/>
            <w:tcBorders>
              <w:top w:color="000000" w:sz="4" w:val="single"/>
              <w:left w:sz="4" w:val="nil"/>
              <w:bottom w:color="000000" w:sz="4" w:val="single"/>
              <w:right w:color="000000" w:sz="4" w:val="single"/>
            </w:tcBorders>
            <w:tcMar>
              <w:left w:type="dxa" w:w="0"/>
              <w:right w:type="dxa" w:w="0"/>
            </w:tcMar>
          </w:tcPr>
          <w:p w14:paraId="2B150000">
            <w:pPr>
              <w:widowControl w:val="1"/>
              <w:ind w:right="64"/>
              <w:contextualSpacing w:val="1"/>
              <w:rPr>
                <w:b w:val="1"/>
                <w:i w:val="1"/>
                <w:sz w:val="22"/>
              </w:rPr>
            </w:pPr>
            <w:r>
              <w:rPr>
                <w:b w:val="1"/>
                <w:i w:val="1"/>
                <w:sz w:val="22"/>
              </w:rPr>
              <w:t>Выполнено в полном объеме</w:t>
            </w:r>
          </w:p>
          <w:p w14:paraId="2C150000">
            <w:pPr>
              <w:widowControl w:val="1"/>
              <w:ind w:right="64"/>
              <w:contextualSpacing w:val="1"/>
              <w:rPr>
                <w:b w:val="1"/>
                <w:i w:val="1"/>
                <w:sz w:val="22"/>
              </w:rPr>
            </w:pPr>
          </w:p>
        </w:tc>
      </w:tr>
      <w:tr>
        <w:trPr>
          <w:trHeight w:hRule="atLeast" w:val="1192"/>
        </w:trPr>
        <w:tc>
          <w:tcPr>
            <w:tcW w:type="dxa" w:w="9494"/>
            <w:gridSpan w:val="4"/>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2D150000">
            <w:pPr>
              <w:widowControl w:val="1"/>
              <w:ind w:left="-758" w:right="64"/>
              <w:contextualSpacing w:val="1"/>
              <w:jc w:val="center"/>
              <w:rPr>
                <w:b w:val="1"/>
                <w:sz w:val="22"/>
              </w:rPr>
            </w:pPr>
            <w:r>
              <w:rPr>
                <w:b w:val="1"/>
                <w:sz w:val="22"/>
              </w:rPr>
              <w:t>Совет директоров</w:t>
            </w:r>
          </w:p>
          <w:p w14:paraId="2E150000">
            <w:pPr>
              <w:widowControl w:val="1"/>
              <w:ind w:left="-758" w:right="64"/>
              <w:contextualSpacing w:val="1"/>
              <w:jc w:val="center"/>
              <w:rPr>
                <w:b w:val="1"/>
                <w:sz w:val="22"/>
              </w:rPr>
            </w:pPr>
            <w:r>
              <w:rPr>
                <w:b w:val="1"/>
                <w:sz w:val="22"/>
              </w:rPr>
              <w:t>«14» августа 2018 г.</w:t>
            </w:r>
          </w:p>
          <w:p w14:paraId="2F150000">
            <w:pPr>
              <w:widowControl w:val="1"/>
              <w:ind w:left="-758" w:right="64"/>
              <w:contextualSpacing w:val="1"/>
              <w:jc w:val="center"/>
              <w:rPr>
                <w:b w:val="1"/>
                <w:i w:val="1"/>
                <w:sz w:val="22"/>
              </w:rPr>
            </w:pPr>
            <w:r>
              <w:rPr>
                <w:b w:val="1"/>
                <w:sz w:val="22"/>
              </w:rPr>
              <w:t>ПРОТОКОЛ  № 2</w:t>
            </w: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30150000">
            <w:pPr>
              <w:widowControl w:val="1"/>
              <w:ind w:firstLine="709" w:left="-758"/>
              <w:contextualSpacing w:val="1"/>
              <w:jc w:val="center"/>
              <w:rPr>
                <w:sz w:val="22"/>
              </w:rPr>
            </w:pPr>
            <w:r>
              <w:rPr>
                <w:sz w:val="22"/>
              </w:rPr>
              <w:t>1</w:t>
            </w:r>
          </w:p>
        </w:tc>
        <w:tc>
          <w:tcPr>
            <w:tcW w:type="dxa" w:w="2043"/>
            <w:tcBorders>
              <w:top w:color="000000" w:sz="4" w:val="single"/>
              <w:left w:color="000000" w:sz="4" w:val="single"/>
              <w:bottom w:color="000000" w:sz="4" w:val="single"/>
              <w:right w:color="000000" w:sz="4" w:val="single"/>
            </w:tcBorders>
            <w:tcMar>
              <w:left w:type="dxa" w:w="0"/>
              <w:right w:type="dxa" w:w="0"/>
            </w:tcMar>
          </w:tcPr>
          <w:p w14:paraId="31150000">
            <w:pPr>
              <w:widowControl w:val="1"/>
              <w:ind w:right="64"/>
              <w:contextualSpacing w:val="1"/>
              <w:outlineLvl w:val="0"/>
              <w:rPr>
                <w:sz w:val="22"/>
              </w:rPr>
            </w:pPr>
            <w:r>
              <w:rPr>
                <w:sz w:val="22"/>
              </w:rPr>
              <w:t>Об утверждении плана работы Комитета по стратегическому планированию совета директоров АО «Краспригород».</w:t>
            </w:r>
          </w:p>
        </w:tc>
        <w:tc>
          <w:tcPr>
            <w:tcW w:type="dxa" w:w="5404"/>
            <w:tcBorders>
              <w:top w:color="000000" w:sz="4" w:val="single"/>
              <w:left w:sz="4" w:val="nil"/>
              <w:bottom w:color="000000" w:sz="4" w:val="single"/>
              <w:right w:color="000000" w:sz="4" w:val="single"/>
            </w:tcBorders>
            <w:tcMar>
              <w:left w:type="dxa" w:w="0"/>
              <w:right w:type="dxa" w:w="0"/>
            </w:tcMar>
          </w:tcPr>
          <w:p w14:paraId="32150000">
            <w:pPr>
              <w:widowControl w:val="1"/>
              <w:ind w:right="64"/>
              <w:contextualSpacing w:val="1"/>
              <w:rPr>
                <w:sz w:val="22"/>
              </w:rPr>
            </w:pPr>
            <w:r>
              <w:rPr>
                <w:b w:val="1"/>
                <w:sz w:val="22"/>
              </w:rPr>
              <w:t>1.1.</w:t>
            </w:r>
            <w:r>
              <w:rPr>
                <w:sz w:val="22"/>
              </w:rPr>
              <w:t xml:space="preserve"> Утвердить План работы Комитета по стратегическому планированию совета директоров АО «Краспригород», в соответствии с Приложением №1 </w:t>
            </w:r>
            <w:r>
              <w:rPr>
                <w:color w:val="000000"/>
                <w:sz w:val="22"/>
              </w:rPr>
              <w:t>к протоколу заседания Совета директоров</w:t>
            </w:r>
            <w:r>
              <w:rPr>
                <w:sz w:val="22"/>
              </w:rPr>
              <w:t>.</w:t>
            </w:r>
          </w:p>
        </w:tc>
        <w:tc>
          <w:tcPr>
            <w:tcW w:type="dxa" w:w="1605"/>
            <w:tcBorders>
              <w:top w:color="000000" w:sz="4" w:val="single"/>
              <w:left w:sz="4" w:val="nil"/>
              <w:bottom w:color="000000" w:sz="4" w:val="single"/>
              <w:right w:color="000000" w:sz="4" w:val="single"/>
            </w:tcBorders>
            <w:tcMar>
              <w:left w:type="dxa" w:w="0"/>
              <w:right w:type="dxa" w:w="0"/>
            </w:tcMar>
          </w:tcPr>
          <w:p w14:paraId="33150000">
            <w:pPr>
              <w:widowControl w:val="1"/>
              <w:ind w:right="64"/>
              <w:contextualSpacing w:val="1"/>
              <w:rPr>
                <w:b w:val="1"/>
                <w:i w:val="1"/>
                <w:sz w:val="22"/>
              </w:rPr>
            </w:pPr>
            <w:r>
              <w:rPr>
                <w:b w:val="1"/>
                <w:i w:val="1"/>
                <w:sz w:val="22"/>
              </w:rPr>
              <w:t>Выполнено в полном объеме</w:t>
            </w: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34150000">
            <w:pPr>
              <w:widowControl w:val="1"/>
              <w:ind w:firstLine="709" w:left="-758"/>
              <w:contextualSpacing w:val="1"/>
              <w:jc w:val="center"/>
              <w:rPr>
                <w:sz w:val="22"/>
              </w:rPr>
            </w:pPr>
            <w:r>
              <w:rPr>
                <w:sz w:val="22"/>
              </w:rPr>
              <w:t>2</w:t>
            </w:r>
          </w:p>
        </w:tc>
        <w:tc>
          <w:tcPr>
            <w:tcW w:type="dxa" w:w="2043"/>
            <w:tcBorders>
              <w:top w:color="000000" w:sz="4" w:val="single"/>
              <w:left w:color="000000" w:sz="4" w:val="single"/>
              <w:bottom w:color="000000" w:sz="4" w:val="single"/>
              <w:right w:color="000000" w:sz="4" w:val="single"/>
            </w:tcBorders>
            <w:tcMar>
              <w:left w:type="dxa" w:w="0"/>
              <w:right w:type="dxa" w:w="0"/>
            </w:tcMar>
          </w:tcPr>
          <w:p w14:paraId="35150000">
            <w:pPr>
              <w:widowControl w:val="1"/>
              <w:ind w:right="64"/>
              <w:contextualSpacing w:val="1"/>
              <w:outlineLvl w:val="0"/>
              <w:rPr>
                <w:sz w:val="22"/>
              </w:rPr>
            </w:pPr>
            <w:r>
              <w:rPr>
                <w:sz w:val="22"/>
              </w:rPr>
              <w:t>Об одобрении проекта стратегии развития общества на период до 2025 года.</w:t>
            </w:r>
            <w:r>
              <w:rPr>
                <w:sz w:val="22"/>
              </w:rPr>
              <w:t xml:space="preserve"> </w:t>
            </w:r>
          </w:p>
          <w:p w14:paraId="36150000">
            <w:pPr>
              <w:pStyle w:val="Style_12"/>
              <w:widowControl w:val="1"/>
              <w:ind w:right="64"/>
              <w:contextualSpacing w:val="1"/>
              <w:jc w:val="both"/>
              <w:rPr>
                <w:rFonts w:ascii="Times New Roman" w:hAnsi="Times New Roman"/>
                <w:color w:val="000000"/>
                <w:sz w:val="22"/>
              </w:rPr>
            </w:pPr>
          </w:p>
        </w:tc>
        <w:tc>
          <w:tcPr>
            <w:tcW w:type="dxa" w:w="5404"/>
            <w:tcBorders>
              <w:top w:color="000000" w:sz="4" w:val="single"/>
              <w:left w:sz="4" w:val="nil"/>
              <w:bottom w:color="000000" w:sz="4" w:val="single"/>
              <w:right w:color="000000" w:sz="4" w:val="single"/>
            </w:tcBorders>
            <w:tcMar>
              <w:left w:type="dxa" w:w="0"/>
              <w:right w:type="dxa" w:w="0"/>
            </w:tcMar>
          </w:tcPr>
          <w:p w14:paraId="37150000">
            <w:pPr>
              <w:widowControl w:val="1"/>
              <w:ind w:right="64"/>
              <w:contextualSpacing w:val="1"/>
              <w:rPr>
                <w:sz w:val="22"/>
              </w:rPr>
            </w:pPr>
            <w:r>
              <w:rPr>
                <w:b w:val="1"/>
                <w:sz w:val="22"/>
              </w:rPr>
              <w:t>2.1.</w:t>
            </w:r>
            <w:r>
              <w:rPr>
                <w:sz w:val="22"/>
              </w:rPr>
              <w:t xml:space="preserve"> Одобрить проект стратегии развития общества на период до 2025 года, в соответствии с Приложением №2 </w:t>
            </w:r>
            <w:r>
              <w:rPr>
                <w:color w:val="000000"/>
                <w:sz w:val="22"/>
              </w:rPr>
              <w:t>к протоколу заседания Совета директоров</w:t>
            </w:r>
            <w:r>
              <w:rPr>
                <w:sz w:val="22"/>
              </w:rPr>
              <w:t>.</w:t>
            </w:r>
          </w:p>
          <w:p w14:paraId="38150000">
            <w:pPr>
              <w:widowControl w:val="1"/>
              <w:ind w:right="64"/>
              <w:contextualSpacing w:val="1"/>
              <w:rPr>
                <w:sz w:val="22"/>
              </w:rPr>
            </w:pPr>
            <w:r>
              <w:rPr>
                <w:b w:val="1"/>
                <w:sz w:val="22"/>
              </w:rPr>
              <w:t>2.2.</w:t>
            </w:r>
            <w:r>
              <w:rPr>
                <w:sz w:val="22"/>
              </w:rPr>
              <w:t xml:space="preserve"> Поручить генеральному директору АО "Краспригород" внести следующие изменения в проект Стратегии развития акционерного общества «Краспригород» на период до 2025 года:</w:t>
            </w:r>
          </w:p>
          <w:p w14:paraId="39150000">
            <w:pPr>
              <w:widowControl w:val="1"/>
              <w:ind w:right="64"/>
              <w:contextualSpacing w:val="1"/>
              <w:rPr>
                <w:sz w:val="22"/>
              </w:rPr>
            </w:pPr>
            <w:r>
              <w:rPr>
                <w:sz w:val="22"/>
              </w:rPr>
              <w:t>1. В разделе Стратегии  5.2. «Анализ альтернативных вариантов развития» описать два сценария развития ситуации: консервативный и базовый, который соответствует параметрам инновационного варианта развития в проекте Стратегии. Развитие Общества по пессимистическому варианту в Стратегии не предусматривать.</w:t>
            </w:r>
          </w:p>
          <w:p w14:paraId="3A150000">
            <w:pPr>
              <w:widowControl w:val="1"/>
              <w:ind w:right="64"/>
              <w:contextualSpacing w:val="1"/>
              <w:rPr>
                <w:sz w:val="22"/>
              </w:rPr>
            </w:pPr>
            <w:r>
              <w:rPr>
                <w:sz w:val="22"/>
              </w:rPr>
              <w:t>2. Выбор основного сценария развития в разделе 5.3. Стратегии определить с учетом выполнения поручения Первого заместителя генерального директора ОАО «РЖД» Краснощека А.А. от 06.06.2018 № П-АК-84.</w:t>
            </w:r>
          </w:p>
        </w:tc>
        <w:tc>
          <w:tcPr>
            <w:tcW w:type="dxa" w:w="1605"/>
            <w:tcBorders>
              <w:top w:color="000000" w:sz="4" w:val="single"/>
              <w:left w:sz="4" w:val="nil"/>
              <w:bottom w:color="000000" w:sz="4" w:val="single"/>
              <w:right w:color="000000" w:sz="4" w:val="single"/>
            </w:tcBorders>
            <w:tcMar>
              <w:left w:type="dxa" w:w="0"/>
              <w:right w:type="dxa" w:w="0"/>
            </w:tcMar>
          </w:tcPr>
          <w:p w14:paraId="3B150000">
            <w:pPr>
              <w:widowControl w:val="1"/>
              <w:ind w:right="64"/>
              <w:contextualSpacing w:val="1"/>
              <w:rPr>
                <w:b w:val="1"/>
                <w:i w:val="1"/>
                <w:sz w:val="22"/>
              </w:rPr>
            </w:pPr>
            <w:r>
              <w:rPr>
                <w:b w:val="1"/>
                <w:i w:val="1"/>
                <w:sz w:val="22"/>
              </w:rPr>
              <w:t>Выполнено в полном объеме</w:t>
            </w:r>
          </w:p>
          <w:p w14:paraId="3C150000">
            <w:pPr>
              <w:widowControl w:val="1"/>
              <w:ind w:right="64"/>
              <w:contextualSpacing w:val="1"/>
              <w:rPr>
                <w:b w:val="1"/>
                <w:i w:val="1"/>
                <w:sz w:val="22"/>
              </w:rPr>
            </w:pPr>
          </w:p>
          <w:p w14:paraId="3D150000">
            <w:pPr>
              <w:widowControl w:val="1"/>
              <w:ind w:right="64"/>
              <w:contextualSpacing w:val="1"/>
              <w:rPr>
                <w:b w:val="1"/>
                <w:i w:val="1"/>
                <w:sz w:val="22"/>
              </w:rPr>
            </w:pPr>
            <w:r>
              <w:rPr>
                <w:b w:val="1"/>
                <w:i w:val="1"/>
                <w:sz w:val="22"/>
              </w:rPr>
              <w:t>Выполнено в полном объеме</w:t>
            </w:r>
          </w:p>
          <w:p w14:paraId="3E150000">
            <w:pPr>
              <w:widowControl w:val="1"/>
              <w:ind w:right="64"/>
              <w:contextualSpacing w:val="1"/>
              <w:rPr>
                <w:b w:val="1"/>
                <w:i w:val="1"/>
                <w:sz w:val="22"/>
              </w:rPr>
            </w:pP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3F150000">
            <w:pPr>
              <w:widowControl w:val="1"/>
              <w:ind w:firstLine="709" w:left="-758"/>
              <w:contextualSpacing w:val="1"/>
              <w:jc w:val="center"/>
              <w:rPr>
                <w:sz w:val="22"/>
              </w:rPr>
            </w:pPr>
            <w:r>
              <w:rPr>
                <w:sz w:val="22"/>
              </w:rPr>
              <w:t>3</w:t>
            </w:r>
          </w:p>
        </w:tc>
        <w:tc>
          <w:tcPr>
            <w:tcW w:type="dxa" w:w="2043"/>
            <w:tcBorders>
              <w:top w:color="000000" w:sz="4" w:val="single"/>
              <w:left w:color="000000" w:sz="4" w:val="single"/>
              <w:bottom w:color="000000" w:sz="4" w:val="single"/>
              <w:right w:color="000000" w:sz="4" w:val="single"/>
            </w:tcBorders>
            <w:tcMar>
              <w:left w:type="dxa" w:w="0"/>
              <w:right w:type="dxa" w:w="0"/>
            </w:tcMar>
          </w:tcPr>
          <w:p w14:paraId="40150000">
            <w:pPr>
              <w:widowControl w:val="1"/>
              <w:ind w:right="64"/>
              <w:contextualSpacing w:val="1"/>
              <w:outlineLvl w:val="0"/>
              <w:rPr>
                <w:sz w:val="22"/>
              </w:rPr>
            </w:pPr>
            <w:r>
              <w:rPr>
                <w:color w:val="000000"/>
                <w:sz w:val="22"/>
              </w:rPr>
              <w:t>О рассмотрении отчета генерального директора Общества об итогах закупочной деятельности за 1 полугодие 2018г.</w:t>
            </w:r>
            <w:r>
              <w:rPr>
                <w:color w:val="000000"/>
                <w:sz w:val="22"/>
              </w:rPr>
              <w:t xml:space="preserve"> </w:t>
            </w:r>
          </w:p>
          <w:p w14:paraId="41150000">
            <w:pPr>
              <w:pStyle w:val="Style_12"/>
              <w:widowControl w:val="1"/>
              <w:ind w:right="64"/>
              <w:contextualSpacing w:val="1"/>
              <w:jc w:val="both"/>
              <w:rPr>
                <w:rFonts w:ascii="Times New Roman" w:hAnsi="Times New Roman"/>
                <w:color w:val="000000"/>
                <w:sz w:val="22"/>
              </w:rPr>
            </w:pPr>
          </w:p>
        </w:tc>
        <w:tc>
          <w:tcPr>
            <w:tcW w:type="dxa" w:w="5404"/>
            <w:tcBorders>
              <w:top w:color="000000" w:sz="4" w:val="single"/>
              <w:left w:sz="4" w:val="nil"/>
              <w:bottom w:color="000000" w:sz="4" w:val="single"/>
              <w:right w:color="000000" w:sz="4" w:val="single"/>
            </w:tcBorders>
            <w:tcMar>
              <w:left w:type="dxa" w:w="0"/>
              <w:right w:type="dxa" w:w="0"/>
            </w:tcMar>
          </w:tcPr>
          <w:p w14:paraId="42150000">
            <w:pPr>
              <w:widowControl w:val="1"/>
              <w:ind w:right="64"/>
              <w:contextualSpacing w:val="1"/>
              <w:rPr>
                <w:sz w:val="22"/>
              </w:rPr>
            </w:pPr>
            <w:r>
              <w:rPr>
                <w:b w:val="1"/>
                <w:sz w:val="22"/>
              </w:rPr>
              <w:t>3.1.</w:t>
            </w:r>
            <w:r>
              <w:rPr>
                <w:sz w:val="22"/>
              </w:rPr>
              <w:t xml:space="preserve"> </w:t>
            </w:r>
            <w:r>
              <w:rPr>
                <w:color w:val="000000"/>
                <w:sz w:val="22"/>
              </w:rPr>
              <w:t>Принять к сведению отчет</w:t>
            </w:r>
            <w:r>
              <w:rPr>
                <w:b w:val="1"/>
                <w:color w:val="000000"/>
                <w:sz w:val="22"/>
              </w:rPr>
              <w:t xml:space="preserve"> </w:t>
            </w:r>
            <w:r>
              <w:rPr>
                <w:color w:val="000000"/>
                <w:sz w:val="22"/>
              </w:rPr>
              <w:t>генерального директора Общества об итогах закупочной деятельности за 1 полугодие 2018г.</w:t>
            </w:r>
            <w:r>
              <w:rPr>
                <w:sz w:val="22"/>
              </w:rPr>
              <w:t xml:space="preserve"> в соответствии с Приложением №3 </w:t>
            </w:r>
            <w:r>
              <w:rPr>
                <w:color w:val="000000"/>
                <w:sz w:val="22"/>
              </w:rPr>
              <w:t>к протоколу заседания Совета директоров</w:t>
            </w:r>
            <w:r>
              <w:rPr>
                <w:sz w:val="22"/>
              </w:rPr>
              <w:t>.</w:t>
            </w:r>
          </w:p>
          <w:p w14:paraId="43150000">
            <w:pPr>
              <w:widowControl w:val="1"/>
              <w:ind w:right="64"/>
              <w:contextualSpacing w:val="1"/>
              <w:rPr>
                <w:color w:val="000000"/>
                <w:sz w:val="22"/>
              </w:rPr>
            </w:pPr>
          </w:p>
        </w:tc>
        <w:tc>
          <w:tcPr>
            <w:tcW w:type="dxa" w:w="1605"/>
            <w:tcBorders>
              <w:top w:color="000000" w:sz="4" w:val="single"/>
              <w:left w:sz="4" w:val="nil"/>
              <w:bottom w:color="000000" w:sz="4" w:val="single"/>
              <w:right w:color="000000" w:sz="4" w:val="single"/>
            </w:tcBorders>
            <w:tcMar>
              <w:left w:type="dxa" w:w="0"/>
              <w:right w:type="dxa" w:w="0"/>
            </w:tcMar>
          </w:tcPr>
          <w:p w14:paraId="44150000">
            <w:pPr>
              <w:widowControl w:val="1"/>
              <w:ind w:right="64"/>
              <w:contextualSpacing w:val="1"/>
              <w:rPr>
                <w:b w:val="1"/>
                <w:i w:val="1"/>
                <w:sz w:val="22"/>
              </w:rPr>
            </w:pPr>
            <w:r>
              <w:rPr>
                <w:b w:val="1"/>
                <w:i w:val="1"/>
                <w:sz w:val="22"/>
              </w:rPr>
              <w:t>Выполнено в полном объеме</w:t>
            </w:r>
          </w:p>
          <w:p w14:paraId="45150000">
            <w:pPr>
              <w:widowControl w:val="1"/>
              <w:ind w:right="64"/>
              <w:contextualSpacing w:val="1"/>
              <w:rPr>
                <w:b w:val="1"/>
                <w:i w:val="1"/>
                <w:sz w:val="22"/>
              </w:rPr>
            </w:pPr>
          </w:p>
        </w:tc>
      </w:tr>
      <w:tr>
        <w:trPr>
          <w:trHeight w:hRule="atLeast" w:val="1342"/>
        </w:trPr>
        <w:tc>
          <w:tcPr>
            <w:tcW w:type="dxa" w:w="9494"/>
            <w:gridSpan w:val="4"/>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46150000">
            <w:pPr>
              <w:widowControl w:val="1"/>
              <w:ind w:left="-758" w:right="64"/>
              <w:contextualSpacing w:val="1"/>
              <w:jc w:val="center"/>
              <w:rPr>
                <w:b w:val="1"/>
                <w:sz w:val="22"/>
              </w:rPr>
            </w:pPr>
            <w:r>
              <w:rPr>
                <w:b w:val="1"/>
                <w:sz w:val="22"/>
              </w:rPr>
              <w:t>Совет директоров</w:t>
            </w:r>
          </w:p>
          <w:p w14:paraId="47150000">
            <w:pPr>
              <w:widowControl w:val="1"/>
              <w:ind w:left="-758" w:right="64"/>
              <w:contextualSpacing w:val="1"/>
              <w:jc w:val="center"/>
              <w:rPr>
                <w:b w:val="1"/>
                <w:sz w:val="22"/>
              </w:rPr>
            </w:pPr>
            <w:r>
              <w:rPr>
                <w:b w:val="1"/>
                <w:sz w:val="22"/>
              </w:rPr>
              <w:t>«07» сентября 2018 г.</w:t>
            </w:r>
          </w:p>
          <w:p w14:paraId="48150000">
            <w:pPr>
              <w:widowControl w:val="1"/>
              <w:ind w:left="-758" w:right="64"/>
              <w:contextualSpacing w:val="1"/>
              <w:jc w:val="center"/>
              <w:rPr>
                <w:b w:val="1"/>
                <w:i w:val="1"/>
                <w:sz w:val="22"/>
              </w:rPr>
            </w:pPr>
            <w:r>
              <w:rPr>
                <w:b w:val="1"/>
                <w:sz w:val="22"/>
              </w:rPr>
              <w:t>ПРОТОКОЛ  № 3</w:t>
            </w: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49150000">
            <w:pPr>
              <w:widowControl w:val="1"/>
              <w:ind w:firstLine="709" w:left="-758"/>
              <w:contextualSpacing w:val="1"/>
              <w:jc w:val="center"/>
              <w:rPr>
                <w:sz w:val="22"/>
              </w:rPr>
            </w:pPr>
            <w:r>
              <w:rPr>
                <w:sz w:val="22"/>
              </w:rPr>
              <w:t>1</w:t>
            </w:r>
          </w:p>
        </w:tc>
        <w:tc>
          <w:tcPr>
            <w:tcW w:type="dxa" w:w="2043"/>
            <w:tcBorders>
              <w:top w:color="000000" w:sz="4" w:val="single"/>
              <w:left w:color="000000" w:sz="4" w:val="single"/>
              <w:bottom w:color="000000" w:sz="4" w:val="single"/>
              <w:right w:color="000000" w:sz="4" w:val="single"/>
            </w:tcBorders>
            <w:tcMar>
              <w:left w:type="dxa" w:w="0"/>
              <w:right w:type="dxa" w:w="0"/>
            </w:tcMar>
          </w:tcPr>
          <w:p w14:paraId="4A150000">
            <w:pPr>
              <w:pStyle w:val="Style_12"/>
              <w:widowControl w:val="1"/>
              <w:ind w:right="64"/>
              <w:contextualSpacing w:val="1"/>
              <w:jc w:val="both"/>
              <w:rPr>
                <w:rFonts w:ascii="Times New Roman" w:hAnsi="Times New Roman"/>
                <w:sz w:val="22"/>
              </w:rPr>
            </w:pPr>
            <w:r>
              <w:rPr>
                <w:rFonts w:ascii="Times New Roman" w:hAnsi="Times New Roman"/>
                <w:sz w:val="22"/>
              </w:rPr>
              <w:t>Об утверждении отчета генерального директора о результатах деятельности Общества за 1 полугодие 2018 г. (о выполнении бюджета, о выполнении договоров, о кадровой политике, о кредитной политике, о социальных программах, о страховой защите, об исполнении решений совета директоров).</w:t>
            </w:r>
          </w:p>
          <w:p w14:paraId="4B150000">
            <w:pPr>
              <w:widowControl w:val="1"/>
              <w:ind w:right="64"/>
              <w:contextualSpacing w:val="1"/>
              <w:outlineLvl w:val="0"/>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4C150000">
            <w:pPr>
              <w:widowControl w:val="1"/>
              <w:ind w:right="64"/>
              <w:contextualSpacing w:val="1"/>
              <w:rPr>
                <w:sz w:val="22"/>
              </w:rPr>
            </w:pPr>
            <w:r>
              <w:rPr>
                <w:b w:val="1"/>
                <w:sz w:val="22"/>
              </w:rPr>
              <w:t>1.1.</w:t>
            </w:r>
            <w:r>
              <w:rPr>
                <w:sz w:val="22"/>
              </w:rPr>
              <w:t xml:space="preserve"> </w:t>
            </w:r>
            <w:r>
              <w:rPr>
                <w:sz w:val="22"/>
              </w:rPr>
              <w:t xml:space="preserve">Утвердить отчет генерального директора о результатах деятельности Общества за 1 полугодие 2018 г. (о выполнении бюджета, о выполнении договоров, о кадровой политике, о кредитной политике, о социальных программах, о страховой защите, об исполнении решений совета директоров), </w:t>
            </w:r>
            <w:r>
              <w:rPr>
                <w:sz w:val="22"/>
              </w:rPr>
              <w:t>согласно</w:t>
            </w:r>
            <w:r>
              <w:rPr>
                <w:sz w:val="22"/>
              </w:rPr>
              <w:t xml:space="preserve"> Приложению № 1</w:t>
            </w:r>
            <w:r>
              <w:rPr>
                <w:sz w:val="22"/>
              </w:rPr>
              <w:t xml:space="preserve"> к протоколу заседания Совета директоров</w:t>
            </w:r>
            <w:r>
              <w:rPr>
                <w:color w:val="000000"/>
                <w:sz w:val="22"/>
              </w:rPr>
              <w:t>.</w:t>
            </w:r>
          </w:p>
          <w:p w14:paraId="4D150000">
            <w:pPr>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4E150000">
            <w:pPr>
              <w:widowControl w:val="1"/>
              <w:ind w:right="64"/>
              <w:contextualSpacing w:val="1"/>
              <w:rPr>
                <w:b w:val="1"/>
                <w:i w:val="1"/>
                <w:sz w:val="22"/>
              </w:rPr>
            </w:pPr>
            <w:r>
              <w:rPr>
                <w:b w:val="1"/>
                <w:i w:val="1"/>
                <w:sz w:val="22"/>
              </w:rPr>
              <w:t>Выполнено в полном объеме</w:t>
            </w: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4F150000">
            <w:pPr>
              <w:widowControl w:val="1"/>
              <w:ind w:firstLine="709" w:left="-758"/>
              <w:contextualSpacing w:val="1"/>
              <w:jc w:val="center"/>
              <w:rPr>
                <w:sz w:val="22"/>
              </w:rPr>
            </w:pPr>
            <w:r>
              <w:rPr>
                <w:sz w:val="22"/>
              </w:rPr>
              <w:t>2</w:t>
            </w:r>
          </w:p>
        </w:tc>
        <w:tc>
          <w:tcPr>
            <w:tcW w:type="dxa" w:w="2043"/>
            <w:tcBorders>
              <w:top w:color="000000" w:sz="4" w:val="single"/>
              <w:left w:color="000000" w:sz="4" w:val="single"/>
              <w:bottom w:color="000000" w:sz="4" w:val="single"/>
              <w:right w:color="000000" w:sz="4" w:val="single"/>
            </w:tcBorders>
            <w:tcMar>
              <w:left w:type="dxa" w:w="0"/>
              <w:right w:type="dxa" w:w="0"/>
            </w:tcMar>
          </w:tcPr>
          <w:p w14:paraId="50150000">
            <w:pPr>
              <w:widowControl w:val="1"/>
              <w:ind w:right="64"/>
              <w:contextualSpacing w:val="1"/>
              <w:rPr>
                <w:color w:val="000000"/>
                <w:sz w:val="22"/>
              </w:rPr>
            </w:pPr>
            <w:r>
              <w:rPr>
                <w:sz w:val="22"/>
              </w:rPr>
              <w:t xml:space="preserve">О премировании лица, осуществляющего функции исполнительного органа АО «Краспригород», по итогам работы </w:t>
            </w:r>
            <w:r>
              <w:rPr>
                <w:color w:val="000000"/>
                <w:sz w:val="22"/>
              </w:rPr>
              <w:t>за 2 квартал 2018 года.</w:t>
            </w:r>
          </w:p>
          <w:p w14:paraId="51150000">
            <w:pPr>
              <w:widowControl w:val="1"/>
              <w:ind w:right="64"/>
              <w:contextualSpacing w:val="1"/>
              <w:outlineLvl w:val="0"/>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52150000">
            <w:pPr>
              <w:widowControl w:val="1"/>
              <w:ind w:right="64"/>
              <w:contextualSpacing w:val="1"/>
              <w:rPr>
                <w:color w:val="000000"/>
                <w:sz w:val="22"/>
              </w:rPr>
            </w:pPr>
            <w:r>
              <w:rPr>
                <w:b w:val="1"/>
                <w:sz w:val="22"/>
              </w:rPr>
              <w:t>2.1.</w:t>
            </w:r>
            <w:r>
              <w:rPr>
                <w:sz w:val="22"/>
              </w:rPr>
              <w:t xml:space="preserve"> Выплатить генеральному директору АО "Краспригород"</w:t>
            </w:r>
            <w:r>
              <w:rPr>
                <w:color w:val="000000"/>
                <w:sz w:val="22"/>
              </w:rPr>
              <w:t xml:space="preserve"> Быкову Эдуарду Владимировичу </w:t>
            </w:r>
            <w:r>
              <w:rPr>
                <w:sz w:val="22"/>
              </w:rPr>
              <w:t xml:space="preserve">премиальное вознаграждение </w:t>
            </w:r>
            <w:r>
              <w:rPr>
                <w:color w:val="000000"/>
                <w:sz w:val="22"/>
              </w:rPr>
              <w:t>по итогам работы за 2 квартал 2018 года</w:t>
            </w:r>
            <w:r>
              <w:rPr>
                <w:sz w:val="22"/>
              </w:rPr>
              <w:t xml:space="preserve"> в размере, согласно Приложению №2</w:t>
            </w:r>
            <w:r>
              <w:rPr>
                <w:color w:val="000000"/>
                <w:sz w:val="22"/>
              </w:rPr>
              <w:t xml:space="preserve"> к протоколу заседания Совета директоров.</w:t>
            </w:r>
          </w:p>
          <w:p w14:paraId="53150000">
            <w:pPr>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54150000">
            <w:pPr>
              <w:widowControl w:val="1"/>
              <w:ind w:right="64"/>
              <w:contextualSpacing w:val="1"/>
              <w:rPr>
                <w:b w:val="1"/>
                <w:i w:val="1"/>
                <w:sz w:val="22"/>
              </w:rPr>
            </w:pPr>
            <w:r>
              <w:rPr>
                <w:b w:val="1"/>
                <w:i w:val="1"/>
                <w:sz w:val="22"/>
              </w:rPr>
              <w:t>Выполнено в полном объеме</w:t>
            </w: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55150000">
            <w:pPr>
              <w:widowControl w:val="1"/>
              <w:ind w:firstLine="709" w:left="-758"/>
              <w:contextualSpacing w:val="1"/>
              <w:jc w:val="center"/>
              <w:rPr>
                <w:sz w:val="22"/>
              </w:rPr>
            </w:pPr>
            <w:r>
              <w:rPr>
                <w:sz w:val="22"/>
              </w:rPr>
              <w:t>3</w:t>
            </w:r>
          </w:p>
        </w:tc>
        <w:tc>
          <w:tcPr>
            <w:tcW w:type="dxa" w:w="2043"/>
            <w:tcBorders>
              <w:top w:color="000000" w:sz="4" w:val="single"/>
              <w:left w:color="000000" w:sz="4" w:val="single"/>
              <w:bottom w:color="000000" w:sz="4" w:val="single"/>
              <w:right w:color="000000" w:sz="4" w:val="single"/>
            </w:tcBorders>
            <w:tcMar>
              <w:left w:type="dxa" w:w="0"/>
              <w:right w:type="dxa" w:w="0"/>
            </w:tcMar>
          </w:tcPr>
          <w:p w14:paraId="56150000">
            <w:pPr>
              <w:widowControl w:val="1"/>
              <w:ind w:right="64"/>
              <w:contextualSpacing w:val="1"/>
              <w:rPr>
                <w:sz w:val="22"/>
              </w:rPr>
            </w:pPr>
            <w:r>
              <w:rPr>
                <w:sz w:val="22"/>
              </w:rPr>
              <w:t xml:space="preserve"> О</w:t>
            </w:r>
            <w:r>
              <w:rPr>
                <w:sz w:val="22"/>
              </w:rPr>
              <w:tab/>
            </w:r>
            <w:r>
              <w:rPr>
                <w:sz w:val="22"/>
              </w:rPr>
              <w:t xml:space="preserve"> внесении изменений в План работы совета директоров АО "Краспригород" на 2018-2019 год.</w:t>
            </w:r>
          </w:p>
          <w:p w14:paraId="5715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58150000">
            <w:pPr>
              <w:widowControl w:val="1"/>
              <w:ind w:right="64"/>
              <w:contextualSpacing w:val="1"/>
              <w:rPr>
                <w:b w:val="1"/>
                <w:color w:val="000000"/>
                <w:sz w:val="22"/>
                <w:u w:val="single"/>
              </w:rPr>
            </w:pPr>
            <w:r>
              <w:rPr>
                <w:b w:val="1"/>
                <w:sz w:val="22"/>
              </w:rPr>
              <w:t>3.1.</w:t>
            </w:r>
            <w:r>
              <w:rPr>
                <w:sz w:val="22"/>
              </w:rPr>
              <w:t xml:space="preserve"> Внести изменения в План работы совета директоров АО "Краспригород" на 2018-2019 год, изложив его в новой редакции, согласно Приложению №3 к протоколу заседания Совета директоров.</w:t>
            </w:r>
          </w:p>
          <w:p w14:paraId="59150000">
            <w:pPr>
              <w:widowControl w:val="1"/>
              <w:ind w:right="64"/>
              <w:contextualSpacing w:val="1"/>
              <w:rPr>
                <w:b w:val="1"/>
                <w:sz w:val="22"/>
              </w:rPr>
            </w:pPr>
          </w:p>
        </w:tc>
        <w:tc>
          <w:tcPr>
            <w:tcW w:type="dxa" w:w="1605"/>
            <w:tcBorders>
              <w:top w:color="000000" w:sz="4" w:val="single"/>
              <w:left w:sz="4" w:val="nil"/>
              <w:bottom w:color="000000" w:sz="4" w:val="single"/>
              <w:right w:color="000000" w:sz="4" w:val="single"/>
            </w:tcBorders>
            <w:tcMar>
              <w:left w:type="dxa" w:w="0"/>
              <w:right w:type="dxa" w:w="0"/>
            </w:tcMar>
          </w:tcPr>
          <w:p w14:paraId="5A150000">
            <w:pPr>
              <w:widowControl w:val="1"/>
              <w:ind w:right="64"/>
              <w:contextualSpacing w:val="1"/>
              <w:rPr>
                <w:b w:val="1"/>
                <w:i w:val="1"/>
                <w:sz w:val="22"/>
              </w:rPr>
            </w:pPr>
            <w:r>
              <w:rPr>
                <w:b w:val="1"/>
                <w:i w:val="1"/>
                <w:sz w:val="22"/>
              </w:rPr>
              <w:t>Выполнено в полном объеме</w:t>
            </w: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5B150000">
            <w:pPr>
              <w:widowControl w:val="1"/>
              <w:ind w:firstLine="709" w:left="-758"/>
              <w:contextualSpacing w:val="1"/>
              <w:jc w:val="center"/>
              <w:rPr>
                <w:sz w:val="22"/>
              </w:rPr>
            </w:pPr>
            <w:r>
              <w:rPr>
                <w:sz w:val="22"/>
              </w:rPr>
              <w:t>4</w:t>
            </w:r>
          </w:p>
        </w:tc>
        <w:tc>
          <w:tcPr>
            <w:tcW w:type="dxa" w:w="2043"/>
            <w:tcBorders>
              <w:top w:color="000000" w:sz="4" w:val="single"/>
              <w:left w:color="000000" w:sz="4" w:val="single"/>
              <w:bottom w:color="000000" w:sz="4" w:val="single"/>
              <w:right w:color="000000" w:sz="4" w:val="single"/>
            </w:tcBorders>
            <w:tcMar>
              <w:left w:type="dxa" w:w="0"/>
              <w:right w:type="dxa" w:w="0"/>
            </w:tcMar>
          </w:tcPr>
          <w:p w14:paraId="5C150000">
            <w:pPr>
              <w:widowControl w:val="1"/>
              <w:ind w:right="64"/>
              <w:contextualSpacing w:val="1"/>
              <w:rPr>
                <w:sz w:val="22"/>
              </w:rPr>
            </w:pPr>
            <w:r>
              <w:rPr>
                <w:sz w:val="22"/>
              </w:rPr>
              <w:t>Об утверждении Положения об организации контроля за соблюдением требований нормативных документов Общества в сфере предупреждения противодействия коррупции.</w:t>
            </w:r>
          </w:p>
        </w:tc>
        <w:tc>
          <w:tcPr>
            <w:tcW w:type="dxa" w:w="5404"/>
            <w:tcBorders>
              <w:top w:color="000000" w:sz="4" w:val="single"/>
              <w:left w:sz="4" w:val="nil"/>
              <w:bottom w:color="000000" w:sz="4" w:val="single"/>
              <w:right w:color="000000" w:sz="4" w:val="single"/>
            </w:tcBorders>
            <w:tcMar>
              <w:left w:type="dxa" w:w="0"/>
              <w:right w:type="dxa" w:w="0"/>
            </w:tcMar>
          </w:tcPr>
          <w:p w14:paraId="5D150000">
            <w:pPr>
              <w:widowControl w:val="1"/>
              <w:ind w:right="64"/>
              <w:contextualSpacing w:val="1"/>
              <w:rPr>
                <w:b w:val="1"/>
                <w:color w:val="000000"/>
                <w:sz w:val="22"/>
                <w:u w:val="single"/>
              </w:rPr>
            </w:pPr>
            <w:r>
              <w:rPr>
                <w:b w:val="1"/>
                <w:sz w:val="22"/>
              </w:rPr>
              <w:t>4.1.</w:t>
            </w:r>
            <w:r>
              <w:rPr>
                <w:sz w:val="22"/>
              </w:rPr>
              <w:t xml:space="preserve"> Утвердить Положение об организации контроля за соблюдением требований нормативных документов Общества в сфере предупреждения противодействия коррупции, разработанное на основании распоряжения ОАО «РЖД» от 01.08.2018 № 1710/р, согласно Приложению №4 к протоколу заседания Совета директоров.</w:t>
            </w:r>
          </w:p>
          <w:p w14:paraId="5E150000">
            <w:pPr>
              <w:widowControl w:val="1"/>
              <w:ind w:right="64"/>
              <w:contextualSpacing w:val="1"/>
              <w:rPr>
                <w:b w:val="1"/>
                <w:sz w:val="22"/>
              </w:rPr>
            </w:pPr>
          </w:p>
        </w:tc>
        <w:tc>
          <w:tcPr>
            <w:tcW w:type="dxa" w:w="1605"/>
            <w:tcBorders>
              <w:top w:color="000000" w:sz="4" w:val="single"/>
              <w:left w:sz="4" w:val="nil"/>
              <w:bottom w:color="000000" w:sz="4" w:val="single"/>
              <w:right w:color="000000" w:sz="4" w:val="single"/>
            </w:tcBorders>
            <w:tcMar>
              <w:left w:type="dxa" w:w="0"/>
              <w:right w:type="dxa" w:w="0"/>
            </w:tcMar>
          </w:tcPr>
          <w:p w14:paraId="5F150000">
            <w:pPr>
              <w:widowControl w:val="1"/>
              <w:ind w:right="64"/>
              <w:contextualSpacing w:val="1"/>
              <w:rPr>
                <w:b w:val="1"/>
                <w:i w:val="1"/>
                <w:sz w:val="22"/>
              </w:rPr>
            </w:pPr>
            <w:r>
              <w:rPr>
                <w:b w:val="1"/>
                <w:i w:val="1"/>
                <w:sz w:val="22"/>
              </w:rPr>
              <w:t>Выполнено в полном объеме</w:t>
            </w: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60150000">
            <w:pPr>
              <w:widowControl w:val="1"/>
              <w:ind w:firstLine="709" w:left="-758"/>
              <w:contextualSpacing w:val="1"/>
              <w:jc w:val="center"/>
              <w:rPr>
                <w:sz w:val="22"/>
              </w:rPr>
            </w:pPr>
            <w:r>
              <w:rPr>
                <w:sz w:val="22"/>
              </w:rPr>
              <w:t>5</w:t>
            </w:r>
          </w:p>
        </w:tc>
        <w:tc>
          <w:tcPr>
            <w:tcW w:type="dxa" w:w="2043"/>
            <w:tcBorders>
              <w:top w:color="000000" w:sz="4" w:val="single"/>
              <w:left w:color="000000" w:sz="4" w:val="single"/>
              <w:bottom w:color="000000" w:sz="4" w:val="single"/>
              <w:right w:color="000000" w:sz="4" w:val="single"/>
            </w:tcBorders>
            <w:tcMar>
              <w:left w:type="dxa" w:w="0"/>
              <w:right w:type="dxa" w:w="0"/>
            </w:tcMar>
          </w:tcPr>
          <w:p w14:paraId="61150000">
            <w:pPr>
              <w:pStyle w:val="Style_12"/>
              <w:widowControl w:val="1"/>
              <w:ind w:right="64"/>
              <w:contextualSpacing w:val="1"/>
              <w:jc w:val="both"/>
              <w:rPr>
                <w:rFonts w:ascii="Times New Roman" w:hAnsi="Times New Roman"/>
                <w:sz w:val="22"/>
              </w:rPr>
            </w:pPr>
            <w:r>
              <w:rPr>
                <w:rFonts w:ascii="Times New Roman" w:hAnsi="Times New Roman"/>
                <w:sz w:val="22"/>
              </w:rPr>
              <w:t>Об утверждении перечня контрагентов, при заключении договоров с которыми в 2018 году допускаются условия расчетов, отличные от типовых.</w:t>
            </w:r>
          </w:p>
          <w:p w14:paraId="6215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63150000">
            <w:pPr>
              <w:widowControl w:val="1"/>
              <w:ind w:right="64"/>
              <w:contextualSpacing w:val="1"/>
              <w:rPr>
                <w:sz w:val="22"/>
              </w:rPr>
            </w:pPr>
            <w:r>
              <w:rPr>
                <w:b w:val="1"/>
                <w:sz w:val="22"/>
              </w:rPr>
              <w:t>5.1.</w:t>
            </w:r>
            <w:r>
              <w:rPr>
                <w:sz w:val="22"/>
              </w:rPr>
              <w:t xml:space="preserve"> Утвердить перечень контрагентов, при заключении договоров с которыми в 2018 году допускаются условия расчетов, отличные от типовых, в редакции Приложения № 5 к протоколу заседания Совета директоров</w:t>
            </w:r>
          </w:p>
          <w:p w14:paraId="64150000">
            <w:pPr>
              <w:widowControl w:val="1"/>
              <w:ind w:right="64"/>
              <w:contextualSpacing w:val="1"/>
              <w:rPr>
                <w:b w:val="1"/>
                <w:sz w:val="22"/>
              </w:rPr>
            </w:pPr>
          </w:p>
        </w:tc>
        <w:tc>
          <w:tcPr>
            <w:tcW w:type="dxa" w:w="1605"/>
            <w:tcBorders>
              <w:top w:color="000000" w:sz="4" w:val="single"/>
              <w:left w:sz="4" w:val="nil"/>
              <w:bottom w:color="000000" w:sz="4" w:val="single"/>
              <w:right w:color="000000" w:sz="4" w:val="single"/>
            </w:tcBorders>
            <w:tcMar>
              <w:left w:type="dxa" w:w="0"/>
              <w:right w:type="dxa" w:w="0"/>
            </w:tcMar>
          </w:tcPr>
          <w:p w14:paraId="65150000">
            <w:pPr>
              <w:widowControl w:val="1"/>
              <w:ind w:right="64"/>
              <w:contextualSpacing w:val="1"/>
              <w:rPr>
                <w:b w:val="1"/>
                <w:i w:val="1"/>
                <w:sz w:val="22"/>
              </w:rPr>
            </w:pPr>
            <w:r>
              <w:rPr>
                <w:b w:val="1"/>
                <w:i w:val="1"/>
                <w:sz w:val="22"/>
              </w:rPr>
              <w:t>Выполнено в полном объеме</w:t>
            </w:r>
          </w:p>
        </w:tc>
      </w:tr>
      <w:tr>
        <w:trPr>
          <w:trHeight w:hRule="atLeast" w:val="3435"/>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66150000">
            <w:pPr>
              <w:widowControl w:val="1"/>
              <w:ind w:firstLine="709" w:left="-758"/>
              <w:contextualSpacing w:val="1"/>
              <w:jc w:val="center"/>
              <w:rPr>
                <w:sz w:val="22"/>
              </w:rPr>
            </w:pPr>
            <w:r>
              <w:rPr>
                <w:sz w:val="22"/>
              </w:rPr>
              <w:t>6</w:t>
            </w:r>
          </w:p>
        </w:tc>
        <w:tc>
          <w:tcPr>
            <w:tcW w:type="dxa" w:w="2043"/>
            <w:tcBorders>
              <w:top w:color="000000" w:sz="4" w:val="single"/>
              <w:left w:color="000000" w:sz="4" w:val="single"/>
              <w:bottom w:color="000000" w:sz="4" w:val="single"/>
              <w:right w:color="000000" w:sz="4" w:val="single"/>
            </w:tcBorders>
            <w:tcMar>
              <w:left w:type="dxa" w:w="0"/>
              <w:right w:type="dxa" w:w="0"/>
            </w:tcMar>
          </w:tcPr>
          <w:p w14:paraId="67150000">
            <w:pPr>
              <w:pStyle w:val="Style_12"/>
              <w:widowControl w:val="1"/>
              <w:ind w:right="64"/>
              <w:contextualSpacing w:val="1"/>
              <w:jc w:val="both"/>
              <w:rPr>
                <w:rFonts w:ascii="Times New Roman" w:hAnsi="Times New Roman"/>
                <w:sz w:val="22"/>
              </w:rPr>
            </w:pPr>
            <w:r>
              <w:rPr>
                <w:rFonts w:ascii="Times New Roman" w:hAnsi="Times New Roman"/>
                <w:sz w:val="22"/>
              </w:rPr>
              <w:t>О рассмотрении отчета генерального директора по выполнению мероприятий, направленных на повышение качества транспортного обслуживания пассажиров в 1 полугодии 2018г.</w:t>
            </w:r>
          </w:p>
        </w:tc>
        <w:tc>
          <w:tcPr>
            <w:tcW w:type="dxa" w:w="5404"/>
            <w:tcBorders>
              <w:top w:color="000000" w:sz="4" w:val="single"/>
              <w:left w:sz="4" w:val="nil"/>
              <w:bottom w:color="000000" w:sz="4" w:val="single"/>
              <w:right w:color="000000" w:sz="4" w:val="single"/>
            </w:tcBorders>
            <w:tcMar>
              <w:left w:type="dxa" w:w="0"/>
              <w:right w:type="dxa" w:w="0"/>
            </w:tcMar>
          </w:tcPr>
          <w:p w14:paraId="68150000">
            <w:pPr>
              <w:widowControl w:val="1"/>
              <w:ind w:right="64"/>
              <w:contextualSpacing w:val="1"/>
              <w:rPr>
                <w:sz w:val="22"/>
              </w:rPr>
            </w:pPr>
            <w:r>
              <w:rPr>
                <w:b w:val="1"/>
                <w:sz w:val="22"/>
              </w:rPr>
              <w:t>6.1.</w:t>
            </w:r>
            <w:r>
              <w:rPr>
                <w:sz w:val="22"/>
              </w:rPr>
              <w:t xml:space="preserve"> Принять к сведению отчет генерального директора по выполнению мероприятий, направленных на повышение качества транспортного обслуживания пассажиров в 1 полугодии 2018г. (Приложение №6 к протоколу заседания совета директоров).</w:t>
            </w:r>
          </w:p>
          <w:p w14:paraId="69150000">
            <w:pPr>
              <w:widowControl w:val="1"/>
              <w:ind w:right="64"/>
              <w:contextualSpacing w:val="1"/>
              <w:rPr>
                <w:sz w:val="22"/>
              </w:rPr>
            </w:pPr>
            <w:r>
              <w:rPr>
                <w:b w:val="1"/>
                <w:sz w:val="22"/>
              </w:rPr>
              <w:t>6.2.</w:t>
            </w:r>
            <w:r>
              <w:rPr>
                <w:sz w:val="22"/>
              </w:rPr>
              <w:t xml:space="preserve"> Поручить генеральному директору АО "Краспригород"  проработать вопрос запуска в тестовом режиме голосового автоинформатора МКУ "Красноярскгортранс", который позволит узнать местонахождение электропоезда на участке Уяр-Красноярск-Чернореченская.</w:t>
            </w:r>
          </w:p>
        </w:tc>
        <w:tc>
          <w:tcPr>
            <w:tcW w:type="dxa" w:w="1605"/>
            <w:tcBorders>
              <w:top w:color="000000" w:sz="4" w:val="single"/>
              <w:left w:sz="4" w:val="nil"/>
              <w:bottom w:color="000000" w:sz="4" w:val="single"/>
              <w:right w:color="000000" w:sz="4" w:val="single"/>
            </w:tcBorders>
            <w:tcMar>
              <w:left w:type="dxa" w:w="0"/>
              <w:right w:type="dxa" w:w="0"/>
            </w:tcMar>
          </w:tcPr>
          <w:p w14:paraId="6A150000">
            <w:pPr>
              <w:widowControl w:val="1"/>
              <w:ind w:right="64"/>
              <w:contextualSpacing w:val="1"/>
              <w:rPr>
                <w:b w:val="1"/>
                <w:i w:val="1"/>
                <w:sz w:val="22"/>
              </w:rPr>
            </w:pPr>
            <w:r>
              <w:rPr>
                <w:b w:val="1"/>
                <w:i w:val="1"/>
                <w:sz w:val="22"/>
              </w:rPr>
              <w:t>Выполнено в полном объеме</w:t>
            </w:r>
          </w:p>
          <w:p w14:paraId="6B150000">
            <w:pPr>
              <w:widowControl w:val="1"/>
              <w:ind w:right="64"/>
              <w:contextualSpacing w:val="1"/>
              <w:rPr>
                <w:b w:val="1"/>
                <w:i w:val="1"/>
                <w:sz w:val="22"/>
              </w:rPr>
            </w:pPr>
          </w:p>
          <w:p w14:paraId="6C150000">
            <w:pPr>
              <w:widowControl w:val="1"/>
              <w:ind w:right="64"/>
              <w:contextualSpacing w:val="1"/>
              <w:rPr>
                <w:b w:val="1"/>
                <w:i w:val="1"/>
                <w:sz w:val="22"/>
              </w:rPr>
            </w:pPr>
          </w:p>
          <w:p w14:paraId="6D150000">
            <w:pPr>
              <w:widowControl w:val="1"/>
              <w:ind w:right="64"/>
              <w:contextualSpacing w:val="1"/>
              <w:rPr>
                <w:b w:val="1"/>
                <w:i w:val="1"/>
                <w:sz w:val="22"/>
              </w:rPr>
            </w:pPr>
          </w:p>
          <w:p w14:paraId="6E150000">
            <w:pPr>
              <w:widowControl w:val="1"/>
              <w:ind w:right="64"/>
              <w:contextualSpacing w:val="1"/>
              <w:rPr>
                <w:b w:val="1"/>
                <w:i w:val="1"/>
                <w:sz w:val="22"/>
              </w:rPr>
            </w:pPr>
            <w:r>
              <w:rPr>
                <w:b w:val="1"/>
                <w:i w:val="1"/>
                <w:sz w:val="22"/>
              </w:rPr>
              <w:t>Выполнено в полном объеме</w:t>
            </w:r>
          </w:p>
          <w:p w14:paraId="6F150000">
            <w:pPr>
              <w:widowControl w:val="1"/>
              <w:ind w:right="64"/>
              <w:contextualSpacing w:val="1"/>
              <w:rPr>
                <w:sz w:val="22"/>
              </w:rPr>
            </w:pPr>
          </w:p>
          <w:p w14:paraId="70150000">
            <w:pPr>
              <w:widowControl w:val="1"/>
              <w:ind w:right="64"/>
              <w:contextualSpacing w:val="1"/>
              <w:rPr>
                <w:sz w:val="22"/>
              </w:rPr>
            </w:pPr>
          </w:p>
        </w:tc>
      </w:tr>
      <w:tr>
        <w:trPr>
          <w:trHeight w:hRule="atLeast" w:val="996"/>
        </w:trPr>
        <w:tc>
          <w:tcPr>
            <w:tcW w:type="dxa" w:w="9494"/>
            <w:gridSpan w:val="4"/>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71150000">
            <w:pPr>
              <w:widowControl w:val="1"/>
              <w:ind w:left="-758" w:right="64"/>
              <w:contextualSpacing w:val="1"/>
              <w:jc w:val="center"/>
              <w:rPr>
                <w:b w:val="1"/>
                <w:sz w:val="22"/>
              </w:rPr>
            </w:pPr>
            <w:r>
              <w:rPr>
                <w:b w:val="1"/>
                <w:sz w:val="22"/>
              </w:rPr>
              <w:t>Совет директоров</w:t>
            </w:r>
          </w:p>
          <w:p w14:paraId="72150000">
            <w:pPr>
              <w:widowControl w:val="1"/>
              <w:ind w:left="-758" w:right="64"/>
              <w:contextualSpacing w:val="1"/>
              <w:jc w:val="center"/>
              <w:rPr>
                <w:b w:val="1"/>
                <w:sz w:val="22"/>
              </w:rPr>
            </w:pPr>
            <w:r>
              <w:rPr>
                <w:b w:val="1"/>
                <w:sz w:val="22"/>
              </w:rPr>
              <w:t>«28» сентября 2018 г.</w:t>
            </w:r>
          </w:p>
          <w:p w14:paraId="73150000">
            <w:pPr>
              <w:widowControl w:val="1"/>
              <w:ind w:left="-758" w:right="64"/>
              <w:contextualSpacing w:val="1"/>
              <w:jc w:val="center"/>
              <w:rPr>
                <w:b w:val="1"/>
                <w:i w:val="1"/>
                <w:sz w:val="22"/>
              </w:rPr>
            </w:pPr>
            <w:r>
              <w:rPr>
                <w:b w:val="1"/>
                <w:sz w:val="22"/>
              </w:rPr>
              <w:t>ПРОТОКОЛ  № 4</w:t>
            </w: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74150000">
            <w:pPr>
              <w:widowControl w:val="1"/>
              <w:ind w:firstLine="709" w:left="-758"/>
              <w:contextualSpacing w:val="1"/>
              <w:jc w:val="center"/>
              <w:rPr>
                <w:sz w:val="22"/>
              </w:rPr>
            </w:pPr>
            <w:r>
              <w:rPr>
                <w:sz w:val="22"/>
              </w:rPr>
              <w:t>1</w:t>
            </w:r>
          </w:p>
        </w:tc>
        <w:tc>
          <w:tcPr>
            <w:tcW w:type="dxa" w:w="2043"/>
            <w:tcBorders>
              <w:top w:color="000000" w:sz="4" w:val="single"/>
              <w:left w:color="000000" w:sz="4" w:val="single"/>
              <w:bottom w:color="000000" w:sz="4" w:val="single"/>
              <w:right w:color="000000" w:sz="4" w:val="single"/>
            </w:tcBorders>
            <w:tcMar>
              <w:left w:type="dxa" w:w="0"/>
              <w:right w:type="dxa" w:w="0"/>
            </w:tcMar>
          </w:tcPr>
          <w:p w14:paraId="75150000">
            <w:pPr>
              <w:pStyle w:val="Style_12"/>
              <w:widowControl w:val="1"/>
              <w:ind w:right="64"/>
              <w:contextualSpacing w:val="1"/>
              <w:jc w:val="both"/>
              <w:rPr>
                <w:rFonts w:ascii="Times New Roman" w:hAnsi="Times New Roman"/>
                <w:sz w:val="22"/>
              </w:rPr>
            </w:pPr>
            <w:r>
              <w:rPr>
                <w:rFonts w:ascii="Times New Roman" w:hAnsi="Times New Roman"/>
                <w:sz w:val="22"/>
              </w:rPr>
              <w:t>Об утверждении Положения о мотивации труда старшего внутреннего аудитора АО «Краспригород».</w:t>
            </w:r>
          </w:p>
        </w:tc>
        <w:tc>
          <w:tcPr>
            <w:tcW w:type="dxa" w:w="5404"/>
            <w:tcBorders>
              <w:top w:color="000000" w:sz="4" w:val="single"/>
              <w:left w:sz="4" w:val="nil"/>
              <w:bottom w:color="000000" w:sz="4" w:val="single"/>
              <w:right w:color="000000" w:sz="4" w:val="single"/>
            </w:tcBorders>
            <w:tcMar>
              <w:left w:type="dxa" w:w="0"/>
              <w:right w:type="dxa" w:w="0"/>
            </w:tcMar>
          </w:tcPr>
          <w:p w14:paraId="76150000">
            <w:pPr>
              <w:widowControl w:val="1"/>
              <w:ind w:right="64"/>
              <w:contextualSpacing w:val="1"/>
              <w:rPr>
                <w:color w:val="000000"/>
                <w:sz w:val="22"/>
              </w:rPr>
            </w:pPr>
            <w:r>
              <w:rPr>
                <w:b w:val="1"/>
                <w:sz w:val="22"/>
              </w:rPr>
              <w:t>1.1.</w:t>
            </w:r>
            <w:r>
              <w:rPr>
                <w:sz w:val="22"/>
              </w:rPr>
              <w:t xml:space="preserve"> Утвердить Положение о мотивации труда старшего внутреннего аудитора АО «Краспригород» в редакции</w:t>
            </w:r>
            <w:r>
              <w:rPr>
                <w:sz w:val="22"/>
              </w:rPr>
              <w:t xml:space="preserve"> Приложения № 1</w:t>
            </w:r>
            <w:r>
              <w:rPr>
                <w:sz w:val="22"/>
              </w:rPr>
              <w:t xml:space="preserve"> к протоколу заседания Совета директоров</w:t>
            </w:r>
            <w:r>
              <w:rPr>
                <w:color w:val="000000"/>
                <w:sz w:val="22"/>
              </w:rPr>
              <w:t>.</w:t>
            </w:r>
          </w:p>
          <w:p w14:paraId="77150000">
            <w:pPr>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78150000">
            <w:pPr>
              <w:widowControl w:val="1"/>
              <w:ind w:right="64"/>
              <w:contextualSpacing w:val="1"/>
              <w:rPr>
                <w:b w:val="1"/>
                <w:i w:val="1"/>
                <w:sz w:val="22"/>
              </w:rPr>
            </w:pPr>
            <w:r>
              <w:rPr>
                <w:b w:val="1"/>
                <w:i w:val="1"/>
                <w:sz w:val="22"/>
              </w:rPr>
              <w:t>Выполнено в полном объеме</w:t>
            </w: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79150000">
            <w:pPr>
              <w:widowControl w:val="1"/>
              <w:ind w:firstLine="709" w:left="-758"/>
              <w:contextualSpacing w:val="1"/>
              <w:jc w:val="center"/>
              <w:rPr>
                <w:sz w:val="22"/>
              </w:rPr>
            </w:pPr>
            <w:r>
              <w:rPr>
                <w:sz w:val="22"/>
              </w:rPr>
              <w:t>2</w:t>
            </w:r>
          </w:p>
          <w:p w14:paraId="7A150000">
            <w:pPr>
              <w:widowControl w:val="1"/>
              <w:ind w:firstLine="709" w:left="-758"/>
              <w:contextualSpacing w:val="1"/>
              <w:jc w:val="center"/>
              <w:rPr>
                <w:sz w:val="22"/>
              </w:rPr>
            </w:pPr>
          </w:p>
        </w:tc>
        <w:tc>
          <w:tcPr>
            <w:tcW w:type="dxa" w:w="2043"/>
            <w:tcBorders>
              <w:top w:color="000000" w:sz="4" w:val="single"/>
              <w:left w:color="000000" w:sz="4" w:val="single"/>
              <w:bottom w:color="000000" w:sz="4" w:val="single"/>
              <w:right w:color="000000" w:sz="4" w:val="single"/>
            </w:tcBorders>
            <w:tcMar>
              <w:left w:type="dxa" w:w="0"/>
              <w:right w:type="dxa" w:w="0"/>
            </w:tcMar>
          </w:tcPr>
          <w:p w14:paraId="7B150000">
            <w:pPr>
              <w:pStyle w:val="Style_12"/>
              <w:widowControl w:val="1"/>
              <w:ind w:right="64"/>
              <w:contextualSpacing w:val="1"/>
              <w:jc w:val="both"/>
              <w:rPr>
                <w:rFonts w:ascii="Times New Roman" w:hAnsi="Times New Roman"/>
                <w:sz w:val="22"/>
              </w:rPr>
            </w:pPr>
            <w:r>
              <w:rPr>
                <w:rFonts w:ascii="Times New Roman" w:hAnsi="Times New Roman"/>
                <w:sz w:val="22"/>
              </w:rPr>
              <w:t>О согласовании кандидатуры на должность старшего внутреннего аудитора АО "Краспригород".</w:t>
            </w:r>
          </w:p>
          <w:p w14:paraId="7C150000">
            <w:pPr>
              <w:pStyle w:val="Style_12"/>
              <w:widowControl w:val="1"/>
              <w:ind w:right="64"/>
              <w:contextualSpacing w:val="1"/>
              <w:jc w:val="both"/>
              <w:rPr>
                <w:rFonts w:ascii="Times New Roman" w:hAnsi="Times New Roman"/>
                <w:sz w:val="22"/>
              </w:rPr>
            </w:pPr>
          </w:p>
        </w:tc>
        <w:tc>
          <w:tcPr>
            <w:tcW w:type="dxa" w:w="5404"/>
            <w:tcBorders>
              <w:top w:color="000000" w:sz="4" w:val="single"/>
              <w:left w:sz="4" w:val="nil"/>
              <w:bottom w:color="000000" w:sz="4" w:val="single"/>
              <w:right w:color="000000" w:sz="4" w:val="single"/>
            </w:tcBorders>
            <w:tcMar>
              <w:left w:type="dxa" w:w="0"/>
              <w:right w:type="dxa" w:w="0"/>
            </w:tcMar>
          </w:tcPr>
          <w:p w14:paraId="7D150000">
            <w:pPr>
              <w:widowControl w:val="1"/>
              <w:ind w:right="64"/>
              <w:contextualSpacing w:val="1"/>
              <w:rPr>
                <w:color w:val="000000"/>
                <w:sz w:val="22"/>
              </w:rPr>
            </w:pPr>
            <w:r>
              <w:rPr>
                <w:b w:val="1"/>
                <w:sz w:val="22"/>
              </w:rPr>
              <w:t xml:space="preserve">2.1. </w:t>
            </w:r>
            <w:r>
              <w:rPr>
                <w:sz w:val="22"/>
              </w:rPr>
              <w:t>Согласовать назначение на должность старшего внутреннего аудитора АО "Краспригород" Чернобаевой Юлии Вячеславовны (</w:t>
            </w:r>
            <w:r>
              <w:rPr>
                <w:sz w:val="22"/>
              </w:rPr>
              <w:t>Приложение № 2</w:t>
            </w:r>
            <w:r>
              <w:rPr>
                <w:sz w:val="22"/>
              </w:rPr>
              <w:t xml:space="preserve"> к протоколу заседания Совета директоров</w:t>
            </w:r>
            <w:r>
              <w:rPr>
                <w:color w:val="000000"/>
                <w:sz w:val="22"/>
              </w:rPr>
              <w:t>).</w:t>
            </w:r>
          </w:p>
          <w:p w14:paraId="7E150000">
            <w:pPr>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7F150000">
            <w:pPr>
              <w:widowControl w:val="1"/>
              <w:ind w:right="64"/>
              <w:contextualSpacing w:val="1"/>
              <w:rPr>
                <w:b w:val="1"/>
                <w:i w:val="1"/>
                <w:sz w:val="22"/>
              </w:rPr>
            </w:pPr>
            <w:r>
              <w:rPr>
                <w:b w:val="1"/>
                <w:i w:val="1"/>
                <w:sz w:val="22"/>
              </w:rPr>
              <w:t>Выполнено в полном объеме</w:t>
            </w: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80150000">
            <w:pPr>
              <w:widowControl w:val="1"/>
              <w:ind w:firstLine="709" w:left="-758"/>
              <w:contextualSpacing w:val="1"/>
              <w:jc w:val="center"/>
              <w:rPr>
                <w:sz w:val="22"/>
              </w:rPr>
            </w:pPr>
            <w:r>
              <w:rPr>
                <w:sz w:val="22"/>
              </w:rPr>
              <w:t>3</w:t>
            </w:r>
          </w:p>
        </w:tc>
        <w:tc>
          <w:tcPr>
            <w:tcW w:type="dxa" w:w="2043"/>
            <w:tcBorders>
              <w:top w:color="000000" w:sz="4" w:val="single"/>
              <w:left w:color="000000" w:sz="4" w:val="single"/>
              <w:bottom w:color="000000" w:sz="4" w:val="single"/>
              <w:right w:color="000000" w:sz="4" w:val="single"/>
            </w:tcBorders>
            <w:tcMar>
              <w:left w:type="dxa" w:w="0"/>
              <w:right w:type="dxa" w:w="0"/>
            </w:tcMar>
          </w:tcPr>
          <w:p w14:paraId="81150000">
            <w:pPr>
              <w:pStyle w:val="Style_12"/>
              <w:widowControl w:val="1"/>
              <w:ind w:right="64"/>
              <w:contextualSpacing w:val="1"/>
              <w:jc w:val="both"/>
              <w:rPr>
                <w:rFonts w:ascii="Times New Roman" w:hAnsi="Times New Roman"/>
                <w:sz w:val="22"/>
              </w:rPr>
            </w:pPr>
            <w:r>
              <w:rPr>
                <w:rFonts w:ascii="Times New Roman" w:hAnsi="Times New Roman"/>
                <w:sz w:val="22"/>
              </w:rPr>
              <w:t>О согласовании кандидатуры на должность заместителя генерального директора по пассажирской работе АО "Краспригород"</w:t>
            </w:r>
          </w:p>
        </w:tc>
        <w:tc>
          <w:tcPr>
            <w:tcW w:type="dxa" w:w="5404"/>
            <w:tcBorders>
              <w:top w:color="000000" w:sz="4" w:val="single"/>
              <w:left w:sz="4" w:val="nil"/>
              <w:bottom w:color="000000" w:sz="4" w:val="single"/>
              <w:right w:color="000000" w:sz="4" w:val="single"/>
            </w:tcBorders>
            <w:tcMar>
              <w:left w:type="dxa" w:w="0"/>
              <w:right w:type="dxa" w:w="0"/>
            </w:tcMar>
          </w:tcPr>
          <w:p w14:paraId="82150000">
            <w:pPr>
              <w:widowControl w:val="1"/>
              <w:ind w:right="64"/>
              <w:contextualSpacing w:val="1"/>
              <w:rPr>
                <w:sz w:val="22"/>
              </w:rPr>
            </w:pPr>
            <w:r>
              <w:rPr>
                <w:b w:val="1"/>
                <w:sz w:val="22"/>
              </w:rPr>
              <w:t xml:space="preserve">3.1. </w:t>
            </w:r>
            <w:r>
              <w:rPr>
                <w:sz w:val="22"/>
              </w:rPr>
              <w:t>Снять вопрос с рассмотрения</w:t>
            </w:r>
          </w:p>
          <w:p w14:paraId="83150000">
            <w:pPr>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84150000">
            <w:pPr>
              <w:widowControl w:val="1"/>
              <w:ind w:right="64"/>
              <w:contextualSpacing w:val="1"/>
              <w:rPr>
                <w:b w:val="1"/>
                <w:i w:val="1"/>
                <w:sz w:val="22"/>
              </w:rPr>
            </w:pPr>
            <w:r>
              <w:rPr>
                <w:b w:val="1"/>
                <w:i w:val="1"/>
                <w:sz w:val="22"/>
              </w:rPr>
              <w:t>Выполнено в полном объеме</w:t>
            </w: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85150000">
            <w:pPr>
              <w:widowControl w:val="1"/>
              <w:ind w:firstLine="709" w:left="-758"/>
              <w:contextualSpacing w:val="1"/>
              <w:jc w:val="center"/>
              <w:rPr>
                <w:sz w:val="22"/>
              </w:rPr>
            </w:pPr>
            <w:r>
              <w:rPr>
                <w:sz w:val="22"/>
              </w:rPr>
              <w:t>4</w:t>
            </w:r>
          </w:p>
        </w:tc>
        <w:tc>
          <w:tcPr>
            <w:tcW w:type="dxa" w:w="2043"/>
            <w:tcBorders>
              <w:top w:color="000000" w:sz="4" w:val="single"/>
              <w:left w:color="000000" w:sz="4" w:val="single"/>
              <w:bottom w:color="000000" w:sz="4" w:val="single"/>
              <w:right w:color="000000" w:sz="4" w:val="single"/>
            </w:tcBorders>
            <w:tcMar>
              <w:left w:type="dxa" w:w="0"/>
              <w:right w:type="dxa" w:w="0"/>
            </w:tcMar>
          </w:tcPr>
          <w:p w14:paraId="86150000">
            <w:pPr>
              <w:widowControl w:val="1"/>
              <w:ind w:right="64"/>
              <w:contextualSpacing w:val="1"/>
              <w:rPr>
                <w:sz w:val="22"/>
              </w:rPr>
            </w:pPr>
            <w:r>
              <w:rPr>
                <w:sz w:val="22"/>
              </w:rPr>
              <w:t>Об утверждении Плана Общества по противодействию коррупции на 2018 – 2020 годы.</w:t>
            </w:r>
          </w:p>
          <w:p w14:paraId="87150000">
            <w:pPr>
              <w:pStyle w:val="Style_12"/>
              <w:widowControl w:val="1"/>
              <w:ind w:right="64"/>
              <w:contextualSpacing w:val="1"/>
              <w:jc w:val="both"/>
              <w:rPr>
                <w:rFonts w:ascii="Times New Roman" w:hAnsi="Times New Roman"/>
                <w:sz w:val="22"/>
              </w:rPr>
            </w:pPr>
          </w:p>
        </w:tc>
        <w:tc>
          <w:tcPr>
            <w:tcW w:type="dxa" w:w="5404"/>
            <w:tcBorders>
              <w:top w:color="000000" w:sz="4" w:val="single"/>
              <w:left w:sz="4" w:val="nil"/>
              <w:bottom w:color="000000" w:sz="4" w:val="single"/>
              <w:right w:color="000000" w:sz="4" w:val="single"/>
            </w:tcBorders>
            <w:tcMar>
              <w:left w:type="dxa" w:w="0"/>
              <w:right w:type="dxa" w:w="0"/>
            </w:tcMar>
          </w:tcPr>
          <w:p w14:paraId="88150000">
            <w:pPr>
              <w:pStyle w:val="Style_12"/>
              <w:widowControl w:val="1"/>
              <w:ind w:right="64"/>
              <w:contextualSpacing w:val="1"/>
              <w:jc w:val="both"/>
              <w:rPr>
                <w:rFonts w:ascii="Times New Roman" w:hAnsi="Times New Roman"/>
                <w:sz w:val="22"/>
              </w:rPr>
            </w:pPr>
            <w:r>
              <w:rPr>
                <w:rFonts w:ascii="Times New Roman" w:hAnsi="Times New Roman"/>
                <w:b w:val="1"/>
                <w:sz w:val="22"/>
              </w:rPr>
              <w:t>4.1.</w:t>
            </w:r>
            <w:r>
              <w:rPr>
                <w:rFonts w:ascii="Times New Roman" w:hAnsi="Times New Roman"/>
                <w:sz w:val="22"/>
              </w:rPr>
              <w:t xml:space="preserve"> Поручить генеральному директору Общества утвердить план АО "Краспригород" по противодействию коррупции на 2018 – 2020 годы, разработанный на основе плана  ОАО «РЖД» по противодействию коррупции на 2018-2020 годы. </w:t>
            </w:r>
          </w:p>
        </w:tc>
        <w:tc>
          <w:tcPr>
            <w:tcW w:type="dxa" w:w="1605"/>
            <w:tcBorders>
              <w:top w:color="000000" w:sz="4" w:val="single"/>
              <w:left w:sz="4" w:val="nil"/>
              <w:bottom w:color="000000" w:sz="4" w:val="single"/>
              <w:right w:color="000000" w:sz="4" w:val="single"/>
            </w:tcBorders>
            <w:tcMar>
              <w:left w:type="dxa" w:w="0"/>
              <w:right w:type="dxa" w:w="0"/>
            </w:tcMar>
          </w:tcPr>
          <w:p w14:paraId="89150000">
            <w:pPr>
              <w:widowControl w:val="1"/>
              <w:ind w:right="64"/>
              <w:contextualSpacing w:val="1"/>
              <w:rPr>
                <w:b w:val="1"/>
                <w:i w:val="1"/>
                <w:sz w:val="22"/>
              </w:rPr>
            </w:pPr>
            <w:r>
              <w:rPr>
                <w:b w:val="1"/>
                <w:i w:val="1"/>
                <w:sz w:val="22"/>
              </w:rPr>
              <w:t>Выполнено в полном объеме</w:t>
            </w: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8A150000">
            <w:pPr>
              <w:widowControl w:val="1"/>
              <w:ind w:firstLine="709" w:left="-758"/>
              <w:contextualSpacing w:val="1"/>
              <w:jc w:val="center"/>
              <w:rPr>
                <w:sz w:val="22"/>
              </w:rPr>
            </w:pPr>
            <w:r>
              <w:rPr>
                <w:sz w:val="22"/>
              </w:rPr>
              <w:t>5</w:t>
            </w:r>
          </w:p>
        </w:tc>
        <w:tc>
          <w:tcPr>
            <w:tcW w:type="dxa" w:w="2043"/>
            <w:tcBorders>
              <w:top w:color="000000" w:sz="4" w:val="single"/>
              <w:left w:color="000000" w:sz="4" w:val="single"/>
              <w:bottom w:color="000000" w:sz="4" w:val="single"/>
              <w:right w:color="000000" w:sz="4" w:val="single"/>
            </w:tcBorders>
            <w:tcMar>
              <w:left w:type="dxa" w:w="0"/>
              <w:right w:type="dxa" w:w="0"/>
            </w:tcMar>
          </w:tcPr>
          <w:p w14:paraId="8B150000">
            <w:pPr>
              <w:widowControl w:val="1"/>
              <w:ind w:right="64"/>
              <w:contextualSpacing w:val="1"/>
              <w:rPr>
                <w:sz w:val="22"/>
              </w:rPr>
            </w:pPr>
            <w:r>
              <w:rPr>
                <w:sz w:val="22"/>
              </w:rPr>
              <w:t>Об утверждении Регламента формирования и контроля исполнения бюджета Общества с учетом изменений.</w:t>
            </w:r>
          </w:p>
        </w:tc>
        <w:tc>
          <w:tcPr>
            <w:tcW w:type="dxa" w:w="5404"/>
            <w:tcBorders>
              <w:top w:color="000000" w:sz="4" w:val="single"/>
              <w:left w:sz="4" w:val="nil"/>
              <w:bottom w:color="000000" w:sz="4" w:val="single"/>
              <w:right w:color="000000" w:sz="4" w:val="single"/>
            </w:tcBorders>
            <w:tcMar>
              <w:left w:type="dxa" w:w="0"/>
              <w:right w:type="dxa" w:w="0"/>
            </w:tcMar>
          </w:tcPr>
          <w:p w14:paraId="8C150000">
            <w:pPr>
              <w:widowControl w:val="1"/>
              <w:ind w:right="64"/>
              <w:contextualSpacing w:val="1"/>
              <w:rPr>
                <w:b w:val="1"/>
                <w:sz w:val="22"/>
              </w:rPr>
            </w:pPr>
            <w:r>
              <w:rPr>
                <w:b w:val="1"/>
                <w:sz w:val="22"/>
              </w:rPr>
              <w:t>5.1.</w:t>
            </w:r>
            <w:r>
              <w:rPr>
                <w:sz w:val="22"/>
              </w:rPr>
              <w:t xml:space="preserve"> Утвердить Регламент формирования и контроля исполнения бюджета Общества, разработанный с учетом внесенных изменений в распоряжение </w:t>
            </w:r>
            <w:r>
              <w:rPr>
                <w:sz w:val="22"/>
              </w:rPr>
              <w:br/>
            </w:r>
            <w:r>
              <w:rPr>
                <w:sz w:val="22"/>
              </w:rPr>
              <w:t xml:space="preserve">ОАО «РЖД» </w:t>
            </w:r>
            <w:r>
              <w:rPr>
                <w:sz w:val="22"/>
              </w:rPr>
              <w:t xml:space="preserve">от 2 декабря 2013 г. № 2684р </w:t>
            </w:r>
            <w:r>
              <w:rPr>
                <w:sz w:val="22"/>
              </w:rPr>
              <w:t>(</w:t>
            </w:r>
            <w:r>
              <w:rPr>
                <w:sz w:val="22"/>
              </w:rPr>
              <w:t>Приложение № 4</w:t>
            </w:r>
            <w:r>
              <w:rPr>
                <w:sz w:val="22"/>
              </w:rPr>
              <w:t xml:space="preserve"> к протоколу заседания Совета директоров</w:t>
            </w:r>
            <w:r>
              <w:rPr>
                <w:color w:val="000000"/>
                <w:sz w:val="22"/>
              </w:rPr>
              <w:t>).</w:t>
            </w:r>
            <w:r>
              <w:rPr>
                <w:b w:val="1"/>
                <w:sz w:val="22"/>
              </w:rPr>
              <w:t xml:space="preserve"> </w:t>
            </w:r>
          </w:p>
          <w:p w14:paraId="8D150000">
            <w:pPr>
              <w:pStyle w:val="Style_12"/>
              <w:widowControl w:val="1"/>
              <w:ind w:right="64"/>
              <w:contextualSpacing w:val="1"/>
              <w:jc w:val="both"/>
              <w:rPr>
                <w:rFonts w:ascii="Times New Roman" w:hAnsi="Times New Roman"/>
                <w:b w:val="1"/>
                <w:sz w:val="22"/>
                <w:u w:val="single"/>
              </w:rPr>
            </w:pPr>
            <w:r>
              <w:rPr>
                <w:rFonts w:ascii="Times New Roman" w:hAnsi="Times New Roman"/>
                <w:b w:val="1"/>
                <w:sz w:val="22"/>
              </w:rPr>
              <w:t>5.2.</w:t>
            </w:r>
            <w:r>
              <w:rPr>
                <w:rFonts w:ascii="Times New Roman" w:hAnsi="Times New Roman"/>
                <w:sz w:val="22"/>
              </w:rPr>
              <w:t xml:space="preserve"> Признать утратившим силу Регламент формирования и контроля исполнения бюджета Общества, разработанный с учетом изменений в Регламент формирования и контроля исполнения консолидированных бюджетов холдинга «Российские железные дороги», утвержденных распоряжением ОАО «РЖД» от 04.10.2017 №2019р, утвержденный ранее решением совета директоров Общества (17.11.2017г. протокол № 6).</w:t>
            </w:r>
          </w:p>
        </w:tc>
        <w:tc>
          <w:tcPr>
            <w:tcW w:type="dxa" w:w="1605"/>
            <w:tcBorders>
              <w:top w:color="000000" w:sz="4" w:val="single"/>
              <w:left w:sz="4" w:val="nil"/>
              <w:bottom w:color="000000" w:sz="4" w:val="single"/>
              <w:right w:color="000000" w:sz="4" w:val="single"/>
            </w:tcBorders>
            <w:tcMar>
              <w:left w:type="dxa" w:w="0"/>
              <w:right w:type="dxa" w:w="0"/>
            </w:tcMar>
          </w:tcPr>
          <w:p w14:paraId="8E150000">
            <w:pPr>
              <w:widowControl w:val="1"/>
              <w:ind w:right="64"/>
              <w:contextualSpacing w:val="1"/>
              <w:rPr>
                <w:b w:val="1"/>
                <w:i w:val="1"/>
                <w:sz w:val="22"/>
              </w:rPr>
            </w:pPr>
            <w:r>
              <w:rPr>
                <w:b w:val="1"/>
                <w:i w:val="1"/>
                <w:sz w:val="22"/>
              </w:rPr>
              <w:t>Выполнено в полном объеме</w:t>
            </w:r>
          </w:p>
          <w:p w14:paraId="8F150000">
            <w:pPr>
              <w:widowControl w:val="1"/>
              <w:ind w:right="64"/>
              <w:contextualSpacing w:val="1"/>
              <w:rPr>
                <w:sz w:val="22"/>
              </w:rPr>
            </w:pPr>
          </w:p>
          <w:p w14:paraId="90150000">
            <w:pPr>
              <w:widowControl w:val="1"/>
              <w:ind w:right="64"/>
              <w:contextualSpacing w:val="1"/>
              <w:rPr>
                <w:sz w:val="22"/>
              </w:rPr>
            </w:pPr>
          </w:p>
          <w:p w14:paraId="91150000">
            <w:pPr>
              <w:widowControl w:val="1"/>
              <w:ind w:right="64"/>
              <w:contextualSpacing w:val="1"/>
              <w:rPr>
                <w:sz w:val="22"/>
              </w:rPr>
            </w:pPr>
          </w:p>
          <w:p w14:paraId="92150000">
            <w:pPr>
              <w:widowControl w:val="1"/>
              <w:ind w:right="64"/>
              <w:contextualSpacing w:val="1"/>
              <w:rPr>
                <w:b w:val="1"/>
                <w:i w:val="1"/>
                <w:sz w:val="22"/>
              </w:rPr>
            </w:pPr>
          </w:p>
          <w:p w14:paraId="93150000">
            <w:pPr>
              <w:widowControl w:val="1"/>
              <w:ind w:right="64"/>
              <w:contextualSpacing w:val="1"/>
              <w:rPr>
                <w:sz w:val="22"/>
              </w:rPr>
            </w:pPr>
            <w:r>
              <w:rPr>
                <w:b w:val="1"/>
                <w:i w:val="1"/>
                <w:sz w:val="22"/>
              </w:rPr>
              <w:t>Выполнено в полном объеме</w:t>
            </w: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94150000">
            <w:pPr>
              <w:widowControl w:val="1"/>
              <w:ind w:firstLine="709" w:left="-758"/>
              <w:contextualSpacing w:val="1"/>
              <w:jc w:val="center"/>
              <w:rPr>
                <w:sz w:val="22"/>
              </w:rPr>
            </w:pPr>
            <w:r>
              <w:rPr>
                <w:sz w:val="22"/>
              </w:rPr>
              <w:t>6</w:t>
            </w:r>
          </w:p>
        </w:tc>
        <w:tc>
          <w:tcPr>
            <w:tcW w:type="dxa" w:w="2043"/>
            <w:tcBorders>
              <w:top w:color="000000" w:sz="4" w:val="single"/>
              <w:left w:color="000000" w:sz="4" w:val="single"/>
              <w:bottom w:color="000000" w:sz="4" w:val="single"/>
              <w:right w:color="000000" w:sz="4" w:val="single"/>
            </w:tcBorders>
            <w:tcMar>
              <w:left w:type="dxa" w:w="0"/>
              <w:right w:type="dxa" w:w="0"/>
            </w:tcMar>
          </w:tcPr>
          <w:p w14:paraId="95150000">
            <w:pPr>
              <w:widowControl w:val="1"/>
              <w:ind w:right="64"/>
              <w:contextualSpacing w:val="1"/>
              <w:rPr>
                <w:sz w:val="22"/>
              </w:rPr>
            </w:pPr>
            <w:r>
              <w:rPr>
                <w:sz w:val="22"/>
              </w:rPr>
              <w:t>О принятии к руководству Регламента взаимодействия Центра по организации противодействия коррупции с дочерними обществами</w:t>
            </w:r>
            <w:r>
              <w:rPr>
                <w:sz w:val="22"/>
              </w:rPr>
              <w:br/>
            </w:r>
            <w:r>
              <w:rPr>
                <w:sz w:val="22"/>
              </w:rPr>
              <w:t>ОАО «РЖД» по вопросам организации и проведения работы по предупреждению и противодействию коррупции</w:t>
            </w:r>
          </w:p>
        </w:tc>
        <w:tc>
          <w:tcPr>
            <w:tcW w:type="dxa" w:w="5404"/>
            <w:tcBorders>
              <w:top w:color="000000" w:sz="4" w:val="single"/>
              <w:left w:sz="4" w:val="nil"/>
              <w:bottom w:color="000000" w:sz="4" w:val="single"/>
              <w:right w:color="000000" w:sz="4" w:val="single"/>
            </w:tcBorders>
            <w:tcMar>
              <w:left w:type="dxa" w:w="0"/>
              <w:right w:type="dxa" w:w="0"/>
            </w:tcMar>
          </w:tcPr>
          <w:p w14:paraId="96150000">
            <w:pPr>
              <w:widowControl w:val="1"/>
              <w:ind w:right="64"/>
              <w:contextualSpacing w:val="1"/>
              <w:rPr>
                <w:b w:val="1"/>
                <w:sz w:val="22"/>
              </w:rPr>
            </w:pPr>
            <w:r>
              <w:rPr>
                <w:b w:val="1"/>
                <w:sz w:val="22"/>
              </w:rPr>
              <w:t>6.1.</w:t>
            </w:r>
            <w:r>
              <w:rPr>
                <w:sz w:val="22"/>
              </w:rPr>
              <w:t xml:space="preserve"> Принять к руководству Регламент взаимодействия Центра по организации противодействия коррупции с дочерними обществами ОАО «РЖД» по вопросам организации и проведения работы по предупреждению и противодействию коррупции (</w:t>
            </w:r>
            <w:r>
              <w:rPr>
                <w:sz w:val="22"/>
              </w:rPr>
              <w:t>Приложение № 5</w:t>
            </w:r>
            <w:r>
              <w:rPr>
                <w:sz w:val="22"/>
              </w:rPr>
              <w:t xml:space="preserve"> к протоколу заседания Совета директоров</w:t>
            </w:r>
            <w:r>
              <w:rPr>
                <w:color w:val="000000"/>
                <w:sz w:val="22"/>
              </w:rPr>
              <w:t>).</w:t>
            </w:r>
            <w:r>
              <w:rPr>
                <w:b w:val="1"/>
                <w:sz w:val="22"/>
              </w:rPr>
              <w:t xml:space="preserve"> </w:t>
            </w:r>
          </w:p>
          <w:p w14:paraId="97150000">
            <w:pPr>
              <w:widowControl w:val="1"/>
              <w:ind w:right="64"/>
              <w:contextualSpacing w:val="1"/>
              <w:rPr>
                <w:b w:val="1"/>
                <w:sz w:val="22"/>
              </w:rPr>
            </w:pPr>
          </w:p>
        </w:tc>
        <w:tc>
          <w:tcPr>
            <w:tcW w:type="dxa" w:w="1605"/>
            <w:tcBorders>
              <w:top w:color="000000" w:sz="4" w:val="single"/>
              <w:left w:sz="4" w:val="nil"/>
              <w:bottom w:color="000000" w:sz="4" w:val="single"/>
              <w:right w:color="000000" w:sz="4" w:val="single"/>
            </w:tcBorders>
            <w:tcMar>
              <w:left w:type="dxa" w:w="0"/>
              <w:right w:type="dxa" w:w="0"/>
            </w:tcMar>
          </w:tcPr>
          <w:p w14:paraId="98150000">
            <w:pPr>
              <w:widowControl w:val="1"/>
              <w:ind w:right="64"/>
              <w:contextualSpacing w:val="1"/>
              <w:rPr>
                <w:b w:val="1"/>
                <w:i w:val="1"/>
                <w:sz w:val="22"/>
              </w:rPr>
            </w:pPr>
            <w:r>
              <w:rPr>
                <w:b w:val="1"/>
                <w:i w:val="1"/>
                <w:sz w:val="22"/>
              </w:rPr>
              <w:t>Выполнено в полном объеме</w:t>
            </w:r>
          </w:p>
        </w:tc>
      </w:tr>
      <w:tr>
        <w:trPr>
          <w:trHeight w:hRule="atLeast" w:val="983"/>
        </w:trPr>
        <w:tc>
          <w:tcPr>
            <w:tcW w:type="dxa" w:w="9494"/>
            <w:gridSpan w:val="4"/>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99150000">
            <w:pPr>
              <w:widowControl w:val="1"/>
              <w:ind w:left="-758" w:right="64"/>
              <w:contextualSpacing w:val="1"/>
              <w:jc w:val="center"/>
              <w:rPr>
                <w:b w:val="1"/>
                <w:sz w:val="22"/>
              </w:rPr>
            </w:pPr>
            <w:r>
              <w:rPr>
                <w:b w:val="1"/>
                <w:sz w:val="22"/>
              </w:rPr>
              <w:t>Совет директоров</w:t>
            </w:r>
          </w:p>
          <w:p w14:paraId="9A150000">
            <w:pPr>
              <w:widowControl w:val="1"/>
              <w:ind w:left="-758" w:right="64"/>
              <w:contextualSpacing w:val="1"/>
              <w:jc w:val="center"/>
              <w:rPr>
                <w:b w:val="1"/>
                <w:sz w:val="22"/>
              </w:rPr>
            </w:pPr>
            <w:r>
              <w:rPr>
                <w:b w:val="1"/>
                <w:sz w:val="22"/>
              </w:rPr>
              <w:t>«22» октября 2018 г.</w:t>
            </w:r>
          </w:p>
          <w:p w14:paraId="9B150000">
            <w:pPr>
              <w:widowControl w:val="1"/>
              <w:ind w:left="-758" w:right="64"/>
              <w:contextualSpacing w:val="1"/>
              <w:jc w:val="center"/>
              <w:rPr>
                <w:b w:val="1"/>
                <w:i w:val="1"/>
                <w:sz w:val="22"/>
              </w:rPr>
            </w:pPr>
            <w:r>
              <w:rPr>
                <w:b w:val="1"/>
                <w:sz w:val="22"/>
              </w:rPr>
              <w:t>ПРОТОКОЛ  № 5</w:t>
            </w: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9C150000">
            <w:pPr>
              <w:widowControl w:val="1"/>
              <w:ind w:firstLine="709" w:left="-758"/>
              <w:contextualSpacing w:val="1"/>
              <w:jc w:val="center"/>
              <w:rPr>
                <w:sz w:val="22"/>
              </w:rPr>
            </w:pPr>
            <w:r>
              <w:rPr>
                <w:sz w:val="22"/>
              </w:rPr>
              <w:t>1</w:t>
            </w:r>
          </w:p>
        </w:tc>
        <w:tc>
          <w:tcPr>
            <w:tcW w:type="dxa" w:w="2043"/>
            <w:tcBorders>
              <w:top w:color="000000" w:sz="4" w:val="single"/>
              <w:left w:color="000000" w:sz="4" w:val="single"/>
              <w:bottom w:color="000000" w:sz="4" w:val="single"/>
              <w:right w:color="000000" w:sz="4" w:val="single"/>
            </w:tcBorders>
            <w:tcMar>
              <w:left w:type="dxa" w:w="0"/>
              <w:right w:type="dxa" w:w="0"/>
            </w:tcMar>
          </w:tcPr>
          <w:p w14:paraId="9D150000">
            <w:pPr>
              <w:pStyle w:val="Style_12"/>
              <w:widowControl w:val="1"/>
              <w:ind w:right="64"/>
              <w:contextualSpacing w:val="1"/>
              <w:jc w:val="both"/>
              <w:rPr>
                <w:rFonts w:ascii="Times New Roman" w:hAnsi="Times New Roman"/>
                <w:sz w:val="22"/>
              </w:rPr>
            </w:pPr>
            <w:r>
              <w:rPr>
                <w:rFonts w:ascii="Times New Roman" w:hAnsi="Times New Roman"/>
                <w:sz w:val="22"/>
              </w:rPr>
              <w:t>О принятии решения о получении Обществом банковской гарантии и одобрении условий ее выдачи.</w:t>
            </w:r>
          </w:p>
        </w:tc>
        <w:tc>
          <w:tcPr>
            <w:tcW w:type="dxa" w:w="5404"/>
            <w:tcBorders>
              <w:top w:color="000000" w:sz="4" w:val="single"/>
              <w:left w:sz="4" w:val="nil"/>
              <w:bottom w:color="000000" w:sz="4" w:val="single"/>
              <w:right w:color="000000" w:sz="4" w:val="single"/>
            </w:tcBorders>
            <w:tcMar>
              <w:left w:type="dxa" w:w="0"/>
              <w:right w:type="dxa" w:w="0"/>
            </w:tcMar>
          </w:tcPr>
          <w:p w14:paraId="9E150000">
            <w:pPr>
              <w:widowControl w:val="1"/>
              <w:ind w:right="64"/>
              <w:contextualSpacing w:val="1"/>
              <w:rPr>
                <w:sz w:val="22"/>
              </w:rPr>
            </w:pPr>
            <w:r>
              <w:rPr>
                <w:b w:val="1"/>
                <w:color w:val="000000"/>
                <w:sz w:val="22"/>
              </w:rPr>
              <w:t>1.1.</w:t>
            </w:r>
            <w:r>
              <w:rPr>
                <w:color w:val="000000"/>
                <w:sz w:val="22"/>
              </w:rPr>
              <w:t xml:space="preserve"> </w:t>
            </w:r>
            <w:r>
              <w:rPr>
                <w:sz w:val="22"/>
              </w:rPr>
              <w:t>Принять решение о получении Обществом банковской гарантии и одобрить Договор о предоставлении банковской гарантии (Приложение №1 к протоколу заседания Совета директоров) с Межрегиональным коммерческим банком развития связи и информатики (публичное акционерное общество) на следующих условиях:</w:t>
            </w:r>
          </w:p>
          <w:p w14:paraId="9F150000">
            <w:pPr>
              <w:widowControl w:val="1"/>
              <w:ind w:right="64"/>
              <w:contextualSpacing w:val="1"/>
              <w:rPr>
                <w:sz w:val="22"/>
              </w:rPr>
            </w:pPr>
            <w:r>
              <w:rPr>
                <w:b w:val="1"/>
                <w:sz w:val="22"/>
              </w:rPr>
              <w:t>- стороны сделки:</w:t>
            </w:r>
            <w:r>
              <w:rPr>
                <w:sz w:val="22"/>
              </w:rPr>
              <w:t xml:space="preserve"> Акционерное общество "Краспригород", именуемое в дальнейшем ПРИНЦИПАЛ и Межрегиональный коммерческий банк развития связи и информатики (публичное акционерное общество), именуемый в дальнейшем ГАРАНТ.</w:t>
            </w:r>
          </w:p>
          <w:p w14:paraId="A0150000">
            <w:pPr>
              <w:widowControl w:val="1"/>
              <w:numPr>
                <w:ilvl w:val="0"/>
                <w:numId w:val="0"/>
              </w:numPr>
              <w:tabs>
                <w:tab w:leader="none" w:pos="1134" w:val="left"/>
              </w:tabs>
              <w:ind w:right="64"/>
              <w:contextualSpacing w:val="1"/>
              <w:rPr>
                <w:sz w:val="22"/>
              </w:rPr>
            </w:pPr>
            <w:r>
              <w:rPr>
                <w:b w:val="1"/>
                <w:sz w:val="22"/>
              </w:rPr>
              <w:t>- предмет сделки:</w:t>
            </w:r>
            <w:r>
              <w:rPr>
                <w:sz w:val="22"/>
              </w:rPr>
              <w:t xml:space="preserve"> В обеспечение исполнения ПРИНЦИПАЛОМ своих обязательств по уплате в бюджет суммы налога (НДС), излишне полученного им (зачтенного ему) в результате возмещения налога в заявительном порядке, если решение о возмещении суммы налога, заявленной к возмещению в заявительном порядке, будет отменено полностью или частично в случаях, предусмотренных ст.176.1 НК РФ,  ГАРАНТ обязуется предоставить </w:t>
            </w:r>
            <w:r>
              <w:rPr>
                <w:i w:val="1"/>
                <w:sz w:val="22"/>
              </w:rPr>
              <w:t>Инспекции Федеральной налоговой службы по Железнодорожному району г. Красноярска</w:t>
            </w:r>
            <w:r>
              <w:rPr>
                <w:sz w:val="22"/>
              </w:rPr>
              <w:t>, в дальнейшем именуемой БЕНЕФИЦИАР, банковскую гарантию (далее – Гарантия).</w:t>
            </w:r>
          </w:p>
          <w:p w14:paraId="A1150000">
            <w:pPr>
              <w:widowControl w:val="1"/>
              <w:numPr>
                <w:ilvl w:val="0"/>
                <w:numId w:val="0"/>
              </w:numPr>
              <w:tabs>
                <w:tab w:leader="none" w:pos="1134" w:val="left"/>
              </w:tabs>
              <w:ind w:right="64"/>
              <w:contextualSpacing w:val="1"/>
              <w:rPr>
                <w:sz w:val="22"/>
              </w:rPr>
            </w:pPr>
            <w:r>
              <w:rPr>
                <w:b w:val="1"/>
                <w:sz w:val="22"/>
              </w:rPr>
              <w:t>- срок действия Гарантии:</w:t>
            </w:r>
            <w:r>
              <w:rPr>
                <w:sz w:val="22"/>
              </w:rPr>
              <w:t xml:space="preserve"> с «23» октября 2018 года по «22» августа 2019 года (включительно). Действие настоящей Гарантии прекращается по истечении указанного срока Гарантии, а также по основаниям, указанным в статье 378 Гражданского кодекса Российской Федерации.</w:t>
            </w:r>
          </w:p>
          <w:p w14:paraId="A2150000">
            <w:pPr>
              <w:widowControl w:val="1"/>
              <w:ind w:right="64"/>
              <w:contextualSpacing w:val="1"/>
              <w:rPr>
                <w:sz w:val="22"/>
              </w:rPr>
            </w:pPr>
            <w:r>
              <w:rPr>
                <w:b w:val="1"/>
                <w:sz w:val="22"/>
              </w:rPr>
              <w:t>- сумма банковской гарантии:</w:t>
            </w:r>
            <w:r>
              <w:rPr>
                <w:sz w:val="22"/>
              </w:rPr>
              <w:t xml:space="preserve"> </w:t>
            </w:r>
            <w:r>
              <w:rPr>
                <w:b w:val="1"/>
                <w:i w:val="1"/>
                <w:sz w:val="22"/>
              </w:rPr>
              <w:t>27 000 000</w:t>
            </w:r>
            <w:r>
              <w:rPr>
                <w:sz w:val="22"/>
              </w:rPr>
              <w:t>(Двадцать семь миллионов) рублей–</w:t>
            </w:r>
            <w:r>
              <w:rPr>
                <w:b w:val="1"/>
                <w:sz w:val="22"/>
              </w:rPr>
              <w:t xml:space="preserve"> </w:t>
            </w:r>
            <w:r>
              <w:rPr>
                <w:sz w:val="22"/>
              </w:rPr>
              <w:t xml:space="preserve">сумма налога на добавленную стоимость к возмещению по налоговой декларации по налогу на добавленную стоимость за 3 квартал 2018 года. Сумма Гарантии </w:t>
            </w:r>
            <w:r>
              <w:rPr>
                <w:sz w:val="22"/>
              </w:rPr>
              <w:t xml:space="preserve">будет уменьшаться на суммы произведенных </w:t>
            </w:r>
            <w:r>
              <w:rPr>
                <w:caps w:val="1"/>
                <w:sz w:val="22"/>
              </w:rPr>
              <w:t>Гарантом</w:t>
            </w:r>
            <w:r>
              <w:rPr>
                <w:sz w:val="22"/>
              </w:rPr>
              <w:t xml:space="preserve"> БЕНЕФИЦИАРУ выплат по Гарантии.</w:t>
            </w:r>
          </w:p>
          <w:p w14:paraId="A3150000">
            <w:pPr>
              <w:widowControl w:val="1"/>
              <w:ind w:right="64"/>
              <w:contextualSpacing w:val="1"/>
              <w:rPr>
                <w:sz w:val="22"/>
              </w:rPr>
            </w:pPr>
            <w:r>
              <w:rPr>
                <w:b w:val="1"/>
                <w:sz w:val="22"/>
              </w:rPr>
              <w:t>- размер вознаграждения Гаранта (комиссия):</w:t>
            </w:r>
            <w:r>
              <w:rPr>
                <w:sz w:val="22"/>
              </w:rPr>
              <w:t xml:space="preserve"> 0,9 </w:t>
            </w:r>
            <w:r>
              <w:rPr>
                <w:sz w:val="22"/>
                <w:u w:val="single"/>
              </w:rPr>
              <w:t xml:space="preserve">(Ноль целых девять десятых) </w:t>
            </w:r>
            <w:r>
              <w:rPr>
                <w:sz w:val="22"/>
              </w:rPr>
              <w:t xml:space="preserve">процента годовых от суммы Гарантии. </w:t>
            </w:r>
          </w:p>
          <w:p w14:paraId="A4150000">
            <w:pPr>
              <w:widowControl w:val="1"/>
              <w:ind w:right="64"/>
              <w:contextualSpacing w:val="1"/>
              <w:rPr>
                <w:sz w:val="22"/>
              </w:rPr>
            </w:pPr>
          </w:p>
          <w:p w14:paraId="A5150000">
            <w:pPr>
              <w:pStyle w:val="Style_11"/>
              <w:widowControl w:val="1"/>
              <w:spacing w:after="0"/>
              <w:ind w:left="0" w:right="64"/>
              <w:contextualSpacing w:val="1"/>
              <w:rPr>
                <w:sz w:val="22"/>
              </w:rPr>
            </w:pPr>
            <w:r>
              <w:rPr>
                <w:b w:val="1"/>
                <w:sz w:val="22"/>
              </w:rPr>
              <w:t>1.2</w:t>
            </w:r>
            <w:r>
              <w:rPr>
                <w:sz w:val="22"/>
              </w:rPr>
              <w:t xml:space="preserve"> поручить генеральному директору АО "Краспригород" в течение 3-х рабочих дней после поступления денежных средств от Инспекции федеральной налоговой службы по Железнодорожному району г. Красноярска N2460 (Бенефициар) на расчетный счет АО "Краспригород", обеспечить перечисление указанных средств на погашение задолженности по договору аренды подвижного состава с экипажем с Центральной дирекцией моторвагонного подвижного состава - филиала ОАО "РЖД".</w:t>
            </w:r>
          </w:p>
        </w:tc>
        <w:tc>
          <w:tcPr>
            <w:tcW w:type="dxa" w:w="1605"/>
            <w:tcBorders>
              <w:top w:color="000000" w:sz="4" w:val="single"/>
              <w:left w:sz="4" w:val="nil"/>
              <w:bottom w:color="000000" w:sz="4" w:val="single"/>
              <w:right w:color="000000" w:sz="4" w:val="single"/>
            </w:tcBorders>
            <w:tcMar>
              <w:left w:type="dxa" w:w="0"/>
              <w:right w:type="dxa" w:w="0"/>
            </w:tcMar>
          </w:tcPr>
          <w:p w14:paraId="A6150000">
            <w:pPr>
              <w:widowControl w:val="1"/>
              <w:ind w:right="64"/>
              <w:contextualSpacing w:val="1"/>
              <w:rPr>
                <w:b w:val="1"/>
                <w:i w:val="1"/>
                <w:sz w:val="22"/>
              </w:rPr>
            </w:pPr>
            <w:r>
              <w:rPr>
                <w:b w:val="1"/>
                <w:i w:val="1"/>
                <w:sz w:val="22"/>
              </w:rPr>
              <w:t>Выполнено в полном объеме</w:t>
            </w:r>
          </w:p>
          <w:p w14:paraId="A7150000">
            <w:pPr>
              <w:widowControl w:val="1"/>
              <w:ind w:right="64"/>
              <w:contextualSpacing w:val="1"/>
              <w:rPr>
                <w:b w:val="1"/>
                <w:i w:val="1"/>
                <w:sz w:val="22"/>
              </w:rPr>
            </w:pPr>
          </w:p>
          <w:p w14:paraId="A8150000">
            <w:pPr>
              <w:widowControl w:val="1"/>
              <w:ind w:right="64"/>
              <w:contextualSpacing w:val="1"/>
              <w:rPr>
                <w:b w:val="1"/>
                <w:i w:val="1"/>
                <w:sz w:val="22"/>
              </w:rPr>
            </w:pPr>
          </w:p>
          <w:p w14:paraId="A9150000">
            <w:pPr>
              <w:widowControl w:val="1"/>
              <w:ind w:right="64"/>
              <w:contextualSpacing w:val="1"/>
              <w:rPr>
                <w:b w:val="1"/>
                <w:i w:val="1"/>
                <w:sz w:val="22"/>
              </w:rPr>
            </w:pPr>
          </w:p>
          <w:p w14:paraId="AA150000">
            <w:pPr>
              <w:widowControl w:val="1"/>
              <w:ind w:right="64"/>
              <w:contextualSpacing w:val="1"/>
              <w:rPr>
                <w:b w:val="1"/>
                <w:i w:val="1"/>
                <w:sz w:val="22"/>
              </w:rPr>
            </w:pPr>
          </w:p>
          <w:p w14:paraId="AB150000">
            <w:pPr>
              <w:widowControl w:val="1"/>
              <w:ind w:right="64"/>
              <w:contextualSpacing w:val="1"/>
              <w:rPr>
                <w:b w:val="1"/>
                <w:i w:val="1"/>
                <w:sz w:val="22"/>
              </w:rPr>
            </w:pPr>
          </w:p>
          <w:p w14:paraId="AC150000">
            <w:pPr>
              <w:widowControl w:val="1"/>
              <w:ind w:right="64"/>
              <w:contextualSpacing w:val="1"/>
              <w:rPr>
                <w:b w:val="1"/>
                <w:i w:val="1"/>
                <w:sz w:val="22"/>
              </w:rPr>
            </w:pPr>
          </w:p>
          <w:p w14:paraId="AD150000">
            <w:pPr>
              <w:widowControl w:val="1"/>
              <w:ind w:right="64"/>
              <w:contextualSpacing w:val="1"/>
              <w:rPr>
                <w:b w:val="1"/>
                <w:i w:val="1"/>
                <w:sz w:val="22"/>
              </w:rPr>
            </w:pPr>
          </w:p>
          <w:p w14:paraId="AE150000">
            <w:pPr>
              <w:widowControl w:val="1"/>
              <w:ind w:right="64"/>
              <w:contextualSpacing w:val="1"/>
              <w:rPr>
                <w:b w:val="1"/>
                <w:i w:val="1"/>
                <w:sz w:val="22"/>
              </w:rPr>
            </w:pPr>
          </w:p>
          <w:p w14:paraId="AF150000">
            <w:pPr>
              <w:widowControl w:val="1"/>
              <w:ind w:right="64"/>
              <w:contextualSpacing w:val="1"/>
              <w:rPr>
                <w:b w:val="1"/>
                <w:i w:val="1"/>
                <w:sz w:val="22"/>
              </w:rPr>
            </w:pPr>
          </w:p>
          <w:p w14:paraId="B0150000">
            <w:pPr>
              <w:widowControl w:val="1"/>
              <w:ind w:right="64"/>
              <w:contextualSpacing w:val="1"/>
              <w:rPr>
                <w:b w:val="1"/>
                <w:i w:val="1"/>
                <w:sz w:val="22"/>
              </w:rPr>
            </w:pPr>
          </w:p>
          <w:p w14:paraId="B1150000">
            <w:pPr>
              <w:widowControl w:val="1"/>
              <w:ind w:right="64"/>
              <w:contextualSpacing w:val="1"/>
              <w:rPr>
                <w:b w:val="1"/>
                <w:i w:val="1"/>
                <w:sz w:val="22"/>
              </w:rPr>
            </w:pPr>
          </w:p>
          <w:p w14:paraId="B2150000">
            <w:pPr>
              <w:widowControl w:val="1"/>
              <w:ind w:right="64"/>
              <w:contextualSpacing w:val="1"/>
              <w:rPr>
                <w:b w:val="1"/>
                <w:i w:val="1"/>
                <w:sz w:val="22"/>
              </w:rPr>
            </w:pPr>
          </w:p>
          <w:p w14:paraId="B3150000">
            <w:pPr>
              <w:widowControl w:val="1"/>
              <w:ind w:right="64"/>
              <w:contextualSpacing w:val="1"/>
              <w:rPr>
                <w:b w:val="1"/>
                <w:i w:val="1"/>
                <w:sz w:val="22"/>
              </w:rPr>
            </w:pPr>
          </w:p>
          <w:p w14:paraId="B4150000">
            <w:pPr>
              <w:widowControl w:val="1"/>
              <w:ind w:right="64"/>
              <w:contextualSpacing w:val="1"/>
              <w:rPr>
                <w:b w:val="1"/>
                <w:i w:val="1"/>
                <w:sz w:val="22"/>
              </w:rPr>
            </w:pPr>
          </w:p>
          <w:p w14:paraId="B5150000">
            <w:pPr>
              <w:widowControl w:val="1"/>
              <w:ind w:right="64"/>
              <w:contextualSpacing w:val="1"/>
              <w:rPr>
                <w:b w:val="1"/>
                <w:i w:val="1"/>
                <w:sz w:val="22"/>
              </w:rPr>
            </w:pPr>
          </w:p>
          <w:p w14:paraId="B6150000">
            <w:pPr>
              <w:widowControl w:val="1"/>
              <w:ind w:right="64"/>
              <w:contextualSpacing w:val="1"/>
              <w:rPr>
                <w:b w:val="1"/>
                <w:i w:val="1"/>
                <w:sz w:val="22"/>
              </w:rPr>
            </w:pPr>
          </w:p>
          <w:p w14:paraId="B7150000">
            <w:pPr>
              <w:widowControl w:val="1"/>
              <w:ind w:right="64"/>
              <w:contextualSpacing w:val="1"/>
              <w:rPr>
                <w:b w:val="1"/>
                <w:i w:val="1"/>
                <w:sz w:val="22"/>
              </w:rPr>
            </w:pPr>
          </w:p>
          <w:p w14:paraId="B8150000">
            <w:pPr>
              <w:widowControl w:val="1"/>
              <w:ind w:right="64"/>
              <w:contextualSpacing w:val="1"/>
              <w:rPr>
                <w:b w:val="1"/>
                <w:i w:val="1"/>
                <w:sz w:val="22"/>
              </w:rPr>
            </w:pPr>
          </w:p>
          <w:p w14:paraId="B9150000">
            <w:pPr>
              <w:widowControl w:val="1"/>
              <w:ind w:right="64"/>
              <w:contextualSpacing w:val="1"/>
              <w:rPr>
                <w:b w:val="1"/>
                <w:i w:val="1"/>
                <w:sz w:val="22"/>
              </w:rPr>
            </w:pPr>
          </w:p>
          <w:p w14:paraId="BA150000">
            <w:pPr>
              <w:widowControl w:val="1"/>
              <w:ind w:right="64"/>
              <w:contextualSpacing w:val="1"/>
              <w:rPr>
                <w:b w:val="1"/>
                <w:i w:val="1"/>
                <w:sz w:val="22"/>
              </w:rPr>
            </w:pPr>
          </w:p>
          <w:p w14:paraId="BB150000">
            <w:pPr>
              <w:widowControl w:val="1"/>
              <w:ind w:right="64"/>
              <w:contextualSpacing w:val="1"/>
              <w:rPr>
                <w:b w:val="1"/>
                <w:i w:val="1"/>
                <w:sz w:val="22"/>
              </w:rPr>
            </w:pPr>
          </w:p>
          <w:p w14:paraId="BC150000">
            <w:pPr>
              <w:widowControl w:val="1"/>
              <w:ind w:right="64"/>
              <w:contextualSpacing w:val="1"/>
              <w:rPr>
                <w:b w:val="1"/>
                <w:i w:val="1"/>
                <w:sz w:val="22"/>
              </w:rPr>
            </w:pPr>
          </w:p>
          <w:p w14:paraId="BD150000">
            <w:pPr>
              <w:widowControl w:val="1"/>
              <w:ind w:right="64"/>
              <w:contextualSpacing w:val="1"/>
              <w:rPr>
                <w:b w:val="1"/>
                <w:i w:val="1"/>
                <w:sz w:val="22"/>
              </w:rPr>
            </w:pPr>
          </w:p>
          <w:p w14:paraId="BE150000">
            <w:pPr>
              <w:widowControl w:val="1"/>
              <w:ind w:right="64"/>
              <w:contextualSpacing w:val="1"/>
              <w:rPr>
                <w:b w:val="1"/>
                <w:i w:val="1"/>
                <w:sz w:val="22"/>
              </w:rPr>
            </w:pPr>
          </w:p>
          <w:p w14:paraId="BF150000">
            <w:pPr>
              <w:widowControl w:val="1"/>
              <w:ind w:right="64"/>
              <w:contextualSpacing w:val="1"/>
              <w:rPr>
                <w:b w:val="1"/>
                <w:i w:val="1"/>
                <w:sz w:val="22"/>
              </w:rPr>
            </w:pPr>
          </w:p>
          <w:p w14:paraId="C0150000">
            <w:pPr>
              <w:widowControl w:val="1"/>
              <w:ind w:right="64"/>
              <w:contextualSpacing w:val="1"/>
              <w:rPr>
                <w:b w:val="1"/>
                <w:i w:val="1"/>
                <w:sz w:val="22"/>
              </w:rPr>
            </w:pPr>
          </w:p>
          <w:p w14:paraId="C1150000">
            <w:pPr>
              <w:widowControl w:val="1"/>
              <w:ind w:right="64"/>
              <w:contextualSpacing w:val="1"/>
              <w:rPr>
                <w:b w:val="1"/>
                <w:i w:val="1"/>
                <w:sz w:val="22"/>
              </w:rPr>
            </w:pPr>
          </w:p>
          <w:p w14:paraId="C2150000">
            <w:pPr>
              <w:widowControl w:val="1"/>
              <w:ind w:right="64"/>
              <w:contextualSpacing w:val="1"/>
              <w:rPr>
                <w:b w:val="1"/>
                <w:i w:val="1"/>
                <w:sz w:val="22"/>
              </w:rPr>
            </w:pPr>
          </w:p>
          <w:p w14:paraId="C3150000">
            <w:pPr>
              <w:widowControl w:val="1"/>
              <w:ind w:right="64"/>
              <w:contextualSpacing w:val="1"/>
              <w:rPr>
                <w:b w:val="1"/>
                <w:i w:val="1"/>
                <w:sz w:val="22"/>
              </w:rPr>
            </w:pPr>
          </w:p>
          <w:p w14:paraId="C4150000">
            <w:pPr>
              <w:widowControl w:val="1"/>
              <w:ind w:right="64"/>
              <w:contextualSpacing w:val="1"/>
              <w:rPr>
                <w:b w:val="1"/>
                <w:i w:val="1"/>
                <w:sz w:val="22"/>
              </w:rPr>
            </w:pPr>
          </w:p>
          <w:p w14:paraId="C5150000">
            <w:pPr>
              <w:widowControl w:val="1"/>
              <w:ind w:right="64"/>
              <w:contextualSpacing w:val="1"/>
              <w:rPr>
                <w:b w:val="1"/>
                <w:i w:val="1"/>
                <w:sz w:val="22"/>
              </w:rPr>
            </w:pPr>
          </w:p>
          <w:p w14:paraId="C6150000">
            <w:pPr>
              <w:widowControl w:val="1"/>
              <w:ind w:right="64"/>
              <w:contextualSpacing w:val="1"/>
              <w:rPr>
                <w:b w:val="1"/>
                <w:i w:val="1"/>
                <w:sz w:val="22"/>
              </w:rPr>
            </w:pPr>
          </w:p>
          <w:p w14:paraId="C7150000">
            <w:pPr>
              <w:widowControl w:val="1"/>
              <w:ind w:right="64"/>
              <w:contextualSpacing w:val="1"/>
              <w:rPr>
                <w:b w:val="1"/>
                <w:i w:val="1"/>
                <w:sz w:val="22"/>
              </w:rPr>
            </w:pPr>
          </w:p>
          <w:p w14:paraId="C8150000">
            <w:pPr>
              <w:widowControl w:val="1"/>
              <w:ind w:right="64"/>
              <w:contextualSpacing w:val="1"/>
              <w:rPr>
                <w:b w:val="1"/>
                <w:i w:val="1"/>
                <w:sz w:val="22"/>
              </w:rPr>
            </w:pPr>
          </w:p>
          <w:p w14:paraId="C9150000">
            <w:pPr>
              <w:widowControl w:val="1"/>
              <w:ind w:right="64"/>
              <w:contextualSpacing w:val="1"/>
              <w:rPr>
                <w:b w:val="1"/>
                <w:i w:val="1"/>
                <w:sz w:val="22"/>
              </w:rPr>
            </w:pPr>
          </w:p>
          <w:p w14:paraId="CA150000">
            <w:pPr>
              <w:widowControl w:val="1"/>
              <w:ind w:right="64"/>
              <w:contextualSpacing w:val="1"/>
              <w:rPr>
                <w:b w:val="1"/>
                <w:i w:val="1"/>
                <w:sz w:val="22"/>
              </w:rPr>
            </w:pPr>
          </w:p>
          <w:p w14:paraId="CB150000">
            <w:pPr>
              <w:widowControl w:val="1"/>
              <w:ind w:right="64"/>
              <w:contextualSpacing w:val="1"/>
              <w:rPr>
                <w:b w:val="1"/>
                <w:i w:val="1"/>
                <w:sz w:val="22"/>
              </w:rPr>
            </w:pPr>
          </w:p>
          <w:p w14:paraId="CC150000">
            <w:pPr>
              <w:widowControl w:val="1"/>
              <w:ind w:right="64"/>
              <w:contextualSpacing w:val="1"/>
              <w:rPr>
                <w:b w:val="1"/>
                <w:i w:val="1"/>
                <w:sz w:val="22"/>
              </w:rPr>
            </w:pPr>
          </w:p>
          <w:p w14:paraId="CD150000">
            <w:pPr>
              <w:widowControl w:val="1"/>
              <w:ind w:right="64"/>
              <w:contextualSpacing w:val="1"/>
              <w:rPr>
                <w:b w:val="1"/>
                <w:i w:val="1"/>
                <w:sz w:val="22"/>
              </w:rPr>
            </w:pPr>
          </w:p>
          <w:p w14:paraId="CE150000">
            <w:pPr>
              <w:widowControl w:val="1"/>
              <w:ind w:right="64"/>
              <w:contextualSpacing w:val="1"/>
              <w:rPr>
                <w:b w:val="1"/>
                <w:i w:val="1"/>
                <w:sz w:val="22"/>
              </w:rPr>
            </w:pPr>
          </w:p>
          <w:p w14:paraId="CF150000">
            <w:pPr>
              <w:widowControl w:val="1"/>
              <w:ind w:right="64"/>
              <w:contextualSpacing w:val="1"/>
              <w:rPr>
                <w:b w:val="1"/>
                <w:i w:val="1"/>
                <w:sz w:val="22"/>
              </w:rPr>
            </w:pPr>
          </w:p>
          <w:p w14:paraId="D0150000">
            <w:pPr>
              <w:widowControl w:val="1"/>
              <w:ind w:right="64"/>
              <w:contextualSpacing w:val="1"/>
              <w:rPr>
                <w:b w:val="1"/>
                <w:i w:val="1"/>
                <w:sz w:val="22"/>
              </w:rPr>
            </w:pPr>
            <w:r>
              <w:rPr>
                <w:b w:val="1"/>
                <w:i w:val="1"/>
                <w:sz w:val="22"/>
              </w:rPr>
              <w:t>Выполнено в полном объеме</w:t>
            </w: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D1150000">
            <w:pPr>
              <w:widowControl w:val="1"/>
              <w:ind w:firstLine="709" w:left="-758"/>
              <w:contextualSpacing w:val="1"/>
              <w:jc w:val="center"/>
              <w:rPr>
                <w:sz w:val="22"/>
              </w:rPr>
            </w:pPr>
            <w:r>
              <w:rPr>
                <w:sz w:val="22"/>
              </w:rPr>
              <w:t>2</w:t>
            </w:r>
          </w:p>
        </w:tc>
        <w:tc>
          <w:tcPr>
            <w:tcW w:type="dxa" w:w="2043"/>
            <w:tcBorders>
              <w:top w:color="000000" w:sz="4" w:val="single"/>
              <w:left w:color="000000" w:sz="4" w:val="single"/>
              <w:bottom w:color="000000" w:sz="4" w:val="single"/>
              <w:right w:color="000000" w:sz="4" w:val="single"/>
            </w:tcBorders>
            <w:tcMar>
              <w:left w:type="dxa" w:w="0"/>
              <w:right w:type="dxa" w:w="0"/>
            </w:tcMar>
          </w:tcPr>
          <w:p w14:paraId="D2150000">
            <w:pPr>
              <w:pStyle w:val="Style_12"/>
              <w:widowControl w:val="1"/>
              <w:ind w:right="64"/>
              <w:contextualSpacing w:val="1"/>
              <w:jc w:val="both"/>
              <w:rPr>
                <w:rFonts w:ascii="Times New Roman" w:hAnsi="Times New Roman"/>
                <w:sz w:val="22"/>
              </w:rPr>
            </w:pPr>
            <w:r>
              <w:rPr>
                <w:rFonts w:ascii="Times New Roman" w:hAnsi="Times New Roman"/>
                <w:sz w:val="22"/>
              </w:rPr>
              <w:t>Об утверждении Положения о казначейском контроле Общества</w:t>
            </w:r>
          </w:p>
        </w:tc>
        <w:tc>
          <w:tcPr>
            <w:tcW w:type="dxa" w:w="5404"/>
            <w:tcBorders>
              <w:top w:color="000000" w:sz="4" w:val="single"/>
              <w:left w:sz="4" w:val="nil"/>
              <w:bottom w:color="000000" w:sz="4" w:val="single"/>
              <w:right w:color="000000" w:sz="4" w:val="single"/>
            </w:tcBorders>
            <w:tcMar>
              <w:left w:type="dxa" w:w="0"/>
              <w:right w:type="dxa" w:w="0"/>
            </w:tcMar>
          </w:tcPr>
          <w:p w14:paraId="D3150000">
            <w:pPr>
              <w:widowControl w:val="1"/>
              <w:ind w:right="64"/>
              <w:contextualSpacing w:val="1"/>
              <w:rPr>
                <w:sz w:val="22"/>
              </w:rPr>
            </w:pPr>
            <w:r>
              <w:rPr>
                <w:b w:val="1"/>
                <w:color w:val="000000"/>
                <w:sz w:val="22"/>
              </w:rPr>
              <w:t xml:space="preserve">2.1. </w:t>
            </w:r>
            <w:r>
              <w:rPr>
                <w:sz w:val="22"/>
              </w:rPr>
              <w:t>Утвердить Положение о казначейском контроле Общества, разработанное в соответствии с распоряжением ОАО «РЖД» от 29.08.2018 № 1909/р (Приложение № 2 к протоколу заседания Совета директоров).</w:t>
            </w:r>
          </w:p>
          <w:p w14:paraId="D4150000">
            <w:pPr>
              <w:pStyle w:val="Style_12"/>
              <w:widowControl w:val="1"/>
              <w:ind w:right="64"/>
              <w:contextualSpacing w:val="1"/>
              <w:jc w:val="both"/>
              <w:rPr>
                <w:rFonts w:ascii="Times New Roman" w:hAnsi="Times New Roman"/>
                <w:sz w:val="22"/>
              </w:rPr>
            </w:pPr>
            <w:r>
              <w:rPr>
                <w:rFonts w:ascii="Times New Roman" w:hAnsi="Times New Roman"/>
                <w:b w:val="1"/>
                <w:sz w:val="22"/>
              </w:rPr>
              <w:t>2.2.</w:t>
            </w:r>
            <w:r>
              <w:rPr>
                <w:rFonts w:ascii="Times New Roman" w:hAnsi="Times New Roman"/>
                <w:sz w:val="22"/>
              </w:rPr>
              <w:t xml:space="preserve"> Признать утратившим силу Положение о казначейском контроле Общества, утвержденное решением совета директоров Общества (протокол от 30.04.2015г. протокол № 13).</w:t>
            </w:r>
          </w:p>
          <w:p w14:paraId="D5150000">
            <w:pPr>
              <w:pStyle w:val="Style_12"/>
              <w:widowControl w:val="1"/>
              <w:ind w:right="64"/>
              <w:contextualSpacing w:val="1"/>
              <w:jc w:val="both"/>
              <w:rPr>
                <w:rFonts w:ascii="Times New Roman" w:hAnsi="Times New Roman"/>
                <w:b w:val="1"/>
                <w:sz w:val="22"/>
              </w:rPr>
            </w:pPr>
          </w:p>
          <w:p w14:paraId="D6150000">
            <w:pPr>
              <w:pStyle w:val="Style_12"/>
              <w:widowControl w:val="1"/>
              <w:ind w:right="64"/>
              <w:contextualSpacing w:val="1"/>
              <w:jc w:val="both"/>
              <w:rPr>
                <w:rFonts w:ascii="Times New Roman" w:hAnsi="Times New Roman"/>
                <w:sz w:val="22"/>
              </w:rPr>
            </w:pPr>
            <w:r>
              <w:rPr>
                <w:rFonts w:ascii="Times New Roman" w:hAnsi="Times New Roman"/>
                <w:b w:val="1"/>
                <w:sz w:val="22"/>
              </w:rPr>
              <w:t>2.3.</w:t>
            </w:r>
            <w:r>
              <w:rPr>
                <w:rFonts w:ascii="Times New Roman" w:hAnsi="Times New Roman"/>
                <w:sz w:val="22"/>
              </w:rPr>
              <w:t xml:space="preserve"> Поручить генеральному директору Общества заключить в возможно короткие сроки договор казначейского контроля с учетом типовой формы договора, утвержденной распоряжением ОАО «РЖД» от 29.08.2018 № 1909/р.</w:t>
            </w:r>
          </w:p>
        </w:tc>
        <w:tc>
          <w:tcPr>
            <w:tcW w:type="dxa" w:w="1605"/>
            <w:tcBorders>
              <w:top w:color="000000" w:sz="4" w:val="single"/>
              <w:left w:sz="4" w:val="nil"/>
              <w:bottom w:color="000000" w:sz="4" w:val="single"/>
              <w:right w:color="000000" w:sz="4" w:val="single"/>
            </w:tcBorders>
            <w:tcMar>
              <w:left w:type="dxa" w:w="0"/>
              <w:right w:type="dxa" w:w="0"/>
            </w:tcMar>
          </w:tcPr>
          <w:p w14:paraId="D7150000">
            <w:pPr>
              <w:widowControl w:val="1"/>
              <w:ind w:right="64"/>
              <w:contextualSpacing w:val="1"/>
              <w:rPr>
                <w:b w:val="1"/>
                <w:i w:val="1"/>
                <w:sz w:val="22"/>
              </w:rPr>
            </w:pPr>
            <w:r>
              <w:rPr>
                <w:b w:val="1"/>
                <w:i w:val="1"/>
                <w:sz w:val="22"/>
              </w:rPr>
              <w:t>Выполнено в полном объеме</w:t>
            </w:r>
          </w:p>
          <w:p w14:paraId="D8150000">
            <w:pPr>
              <w:widowControl w:val="1"/>
              <w:ind w:right="64"/>
              <w:contextualSpacing w:val="1"/>
              <w:rPr>
                <w:b w:val="1"/>
                <w:i w:val="1"/>
                <w:sz w:val="22"/>
              </w:rPr>
            </w:pPr>
          </w:p>
          <w:p w14:paraId="D9150000">
            <w:pPr>
              <w:widowControl w:val="1"/>
              <w:ind w:right="64"/>
              <w:contextualSpacing w:val="1"/>
              <w:rPr>
                <w:b w:val="1"/>
                <w:i w:val="1"/>
                <w:sz w:val="22"/>
              </w:rPr>
            </w:pPr>
          </w:p>
          <w:p w14:paraId="DA150000">
            <w:pPr>
              <w:widowControl w:val="1"/>
              <w:ind w:right="64"/>
              <w:contextualSpacing w:val="1"/>
              <w:rPr>
                <w:b w:val="1"/>
                <w:i w:val="1"/>
                <w:sz w:val="22"/>
              </w:rPr>
            </w:pPr>
          </w:p>
          <w:p w14:paraId="DB150000">
            <w:pPr>
              <w:widowControl w:val="1"/>
              <w:ind w:right="64"/>
              <w:contextualSpacing w:val="1"/>
              <w:rPr>
                <w:b w:val="1"/>
                <w:i w:val="1"/>
                <w:sz w:val="22"/>
              </w:rPr>
            </w:pPr>
            <w:r>
              <w:rPr>
                <w:b w:val="1"/>
                <w:i w:val="1"/>
                <w:sz w:val="22"/>
              </w:rPr>
              <w:t>Выполнено в полном объеме</w:t>
            </w:r>
          </w:p>
          <w:p w14:paraId="DC150000">
            <w:pPr>
              <w:widowControl w:val="1"/>
              <w:ind w:right="64"/>
              <w:contextualSpacing w:val="1"/>
              <w:rPr>
                <w:b w:val="1"/>
                <w:i w:val="1"/>
                <w:sz w:val="22"/>
              </w:rPr>
            </w:pPr>
          </w:p>
          <w:p w14:paraId="DD150000">
            <w:pPr>
              <w:widowControl w:val="1"/>
              <w:ind w:right="64"/>
              <w:contextualSpacing w:val="1"/>
              <w:rPr>
                <w:b w:val="1"/>
                <w:i w:val="1"/>
                <w:sz w:val="22"/>
              </w:rPr>
            </w:pPr>
          </w:p>
          <w:p w14:paraId="DE150000">
            <w:pPr>
              <w:widowControl w:val="1"/>
              <w:ind w:right="64"/>
              <w:contextualSpacing w:val="1"/>
              <w:rPr>
                <w:b w:val="1"/>
                <w:i w:val="1"/>
                <w:sz w:val="22"/>
              </w:rPr>
            </w:pPr>
          </w:p>
          <w:p w14:paraId="DF150000">
            <w:pPr>
              <w:widowControl w:val="1"/>
              <w:ind w:right="64"/>
              <w:contextualSpacing w:val="1"/>
              <w:rPr>
                <w:b w:val="1"/>
                <w:i w:val="1"/>
                <w:sz w:val="22"/>
              </w:rPr>
            </w:pPr>
            <w:r>
              <w:rPr>
                <w:b w:val="1"/>
                <w:i w:val="1"/>
                <w:sz w:val="22"/>
              </w:rPr>
              <w:t>Выполнено в полном объеме</w:t>
            </w:r>
          </w:p>
        </w:tc>
      </w:tr>
      <w:tr>
        <w:trPr>
          <w:trHeight w:hRule="atLeast" w:val="4277"/>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E0150000">
            <w:pPr>
              <w:widowControl w:val="1"/>
              <w:ind w:firstLine="709" w:left="-758"/>
              <w:contextualSpacing w:val="1"/>
              <w:jc w:val="center"/>
              <w:rPr>
                <w:sz w:val="22"/>
              </w:rPr>
            </w:pPr>
            <w:r>
              <w:rPr>
                <w:sz w:val="22"/>
              </w:rPr>
              <w:t>3</w:t>
            </w:r>
          </w:p>
        </w:tc>
        <w:tc>
          <w:tcPr>
            <w:tcW w:type="dxa" w:w="2043"/>
            <w:tcBorders>
              <w:top w:color="000000" w:sz="4" w:val="single"/>
              <w:left w:color="000000" w:sz="4" w:val="single"/>
              <w:bottom w:color="000000" w:sz="4" w:val="single"/>
              <w:right w:color="000000" w:sz="4" w:val="single"/>
            </w:tcBorders>
            <w:tcMar>
              <w:left w:type="dxa" w:w="0"/>
              <w:right w:type="dxa" w:w="0"/>
            </w:tcMar>
          </w:tcPr>
          <w:p w14:paraId="E1150000">
            <w:pPr>
              <w:widowControl w:val="1"/>
              <w:ind w:right="64"/>
              <w:contextualSpacing w:val="1"/>
              <w:rPr>
                <w:sz w:val="22"/>
              </w:rPr>
            </w:pPr>
            <w:r>
              <w:rPr>
                <w:sz w:val="22"/>
              </w:rPr>
              <w:t>Об утверждении Положения о премировании генерального директора АО "Краспригород" в новой редакции.</w:t>
            </w:r>
          </w:p>
          <w:p w14:paraId="E2150000">
            <w:pPr>
              <w:pStyle w:val="Style_12"/>
              <w:widowControl w:val="1"/>
              <w:ind w:right="64"/>
              <w:contextualSpacing w:val="1"/>
              <w:jc w:val="both"/>
              <w:rPr>
                <w:rFonts w:ascii="Times New Roman" w:hAnsi="Times New Roman"/>
                <w:sz w:val="22"/>
              </w:rPr>
            </w:pPr>
          </w:p>
        </w:tc>
        <w:tc>
          <w:tcPr>
            <w:tcW w:type="dxa" w:w="5404"/>
            <w:tcBorders>
              <w:top w:color="000000" w:sz="4" w:val="single"/>
              <w:left w:sz="4" w:val="nil"/>
              <w:bottom w:color="000000" w:sz="4" w:val="single"/>
              <w:right w:color="000000" w:sz="4" w:val="single"/>
            </w:tcBorders>
            <w:tcMar>
              <w:left w:type="dxa" w:w="0"/>
              <w:right w:type="dxa" w:w="0"/>
            </w:tcMar>
          </w:tcPr>
          <w:p w14:paraId="E3150000">
            <w:pPr>
              <w:pStyle w:val="Style_12"/>
              <w:widowControl w:val="1"/>
              <w:ind w:right="64"/>
              <w:contextualSpacing w:val="1"/>
              <w:jc w:val="both"/>
              <w:rPr>
                <w:rFonts w:ascii="Times New Roman" w:hAnsi="Times New Roman"/>
                <w:sz w:val="22"/>
              </w:rPr>
            </w:pPr>
            <w:r>
              <w:rPr>
                <w:rFonts w:ascii="Times New Roman" w:hAnsi="Times New Roman"/>
                <w:b w:val="1"/>
                <w:sz w:val="22"/>
              </w:rPr>
              <w:t>3.1.</w:t>
            </w:r>
            <w:r>
              <w:rPr>
                <w:rFonts w:ascii="Times New Roman" w:hAnsi="Times New Roman"/>
                <w:sz w:val="22"/>
              </w:rPr>
              <w:t xml:space="preserve"> Утвердить Положение о премировании генерального директора АО "Краспригород" в соответствии с приложением № 3 к протоколу заседания совета директоров Общества и распространить его действие, начиная с расчета премиального вознаграждения генерального директора Общества за 1 квартал 2019 года. </w:t>
            </w:r>
          </w:p>
          <w:p w14:paraId="E4150000">
            <w:pPr>
              <w:pStyle w:val="Style_12"/>
              <w:widowControl w:val="1"/>
              <w:ind w:right="64"/>
              <w:contextualSpacing w:val="1"/>
              <w:jc w:val="both"/>
              <w:rPr>
                <w:rFonts w:ascii="Times New Roman" w:hAnsi="Times New Roman"/>
                <w:b w:val="1"/>
                <w:color w:val="000000"/>
                <w:sz w:val="22"/>
              </w:rPr>
            </w:pPr>
          </w:p>
          <w:p w14:paraId="E5150000">
            <w:pPr>
              <w:pStyle w:val="Style_12"/>
              <w:widowControl w:val="1"/>
              <w:ind w:right="64"/>
              <w:contextualSpacing w:val="1"/>
              <w:jc w:val="both"/>
              <w:rPr>
                <w:rFonts w:ascii="Times New Roman" w:hAnsi="Times New Roman"/>
                <w:color w:val="000000"/>
                <w:sz w:val="22"/>
              </w:rPr>
            </w:pPr>
            <w:r>
              <w:rPr>
                <w:rFonts w:ascii="Times New Roman" w:hAnsi="Times New Roman"/>
                <w:b w:val="1"/>
                <w:color w:val="000000"/>
                <w:sz w:val="22"/>
              </w:rPr>
              <w:t xml:space="preserve">3.2. </w:t>
            </w:r>
            <w:r>
              <w:rPr>
                <w:rFonts w:ascii="Times New Roman" w:hAnsi="Times New Roman"/>
                <w:color w:val="000000"/>
                <w:sz w:val="22"/>
              </w:rPr>
              <w:t xml:space="preserve">Признать утратившим силу Положение о мотивации труда генерального директора АО "Краспригород", утвержденное решением Совета директоров 15.02.2017г. (протокол № 9), начиная с расчета премиального вознаграждения генерального директора Общества за 1 квартал 2019 года.  </w:t>
            </w:r>
          </w:p>
        </w:tc>
        <w:tc>
          <w:tcPr>
            <w:tcW w:type="dxa" w:w="1605"/>
            <w:tcBorders>
              <w:top w:color="000000" w:sz="4" w:val="single"/>
              <w:left w:sz="4" w:val="nil"/>
              <w:bottom w:color="000000" w:sz="4" w:val="single"/>
              <w:right w:color="000000" w:sz="4" w:val="single"/>
            </w:tcBorders>
            <w:tcMar>
              <w:left w:type="dxa" w:w="0"/>
              <w:right w:type="dxa" w:w="0"/>
            </w:tcMar>
          </w:tcPr>
          <w:p w14:paraId="E6150000">
            <w:pPr>
              <w:widowControl w:val="1"/>
              <w:ind w:right="64"/>
              <w:contextualSpacing w:val="1"/>
              <w:rPr>
                <w:b w:val="1"/>
                <w:i w:val="1"/>
                <w:sz w:val="22"/>
              </w:rPr>
            </w:pPr>
            <w:r>
              <w:rPr>
                <w:b w:val="1"/>
                <w:i w:val="1"/>
                <w:sz w:val="22"/>
              </w:rPr>
              <w:t>Выполнено в полном объеме</w:t>
            </w:r>
          </w:p>
          <w:p w14:paraId="E7150000">
            <w:pPr>
              <w:widowControl w:val="1"/>
              <w:ind w:right="64"/>
              <w:contextualSpacing w:val="1"/>
              <w:rPr>
                <w:b w:val="1"/>
                <w:i w:val="1"/>
                <w:sz w:val="22"/>
              </w:rPr>
            </w:pPr>
          </w:p>
          <w:p w14:paraId="E8150000">
            <w:pPr>
              <w:widowControl w:val="1"/>
              <w:ind w:right="64"/>
              <w:contextualSpacing w:val="1"/>
              <w:rPr>
                <w:b w:val="1"/>
                <w:i w:val="1"/>
                <w:sz w:val="22"/>
              </w:rPr>
            </w:pPr>
          </w:p>
          <w:p w14:paraId="E9150000">
            <w:pPr>
              <w:widowControl w:val="1"/>
              <w:ind w:right="64"/>
              <w:contextualSpacing w:val="1"/>
              <w:rPr>
                <w:b w:val="1"/>
                <w:i w:val="1"/>
                <w:sz w:val="22"/>
              </w:rPr>
            </w:pPr>
          </w:p>
          <w:p w14:paraId="EA150000">
            <w:pPr>
              <w:widowControl w:val="1"/>
              <w:ind w:right="64"/>
              <w:contextualSpacing w:val="1"/>
              <w:rPr>
                <w:b w:val="1"/>
                <w:i w:val="1"/>
                <w:sz w:val="22"/>
              </w:rPr>
            </w:pPr>
          </w:p>
          <w:p w14:paraId="EB150000">
            <w:pPr>
              <w:widowControl w:val="1"/>
              <w:ind w:right="64"/>
              <w:contextualSpacing w:val="1"/>
              <w:rPr>
                <w:b w:val="1"/>
                <w:i w:val="1"/>
                <w:sz w:val="22"/>
              </w:rPr>
            </w:pPr>
          </w:p>
          <w:p w14:paraId="EC150000">
            <w:pPr>
              <w:widowControl w:val="1"/>
              <w:ind w:right="64"/>
              <w:contextualSpacing w:val="1"/>
              <w:rPr>
                <w:b w:val="1"/>
                <w:i w:val="1"/>
                <w:sz w:val="22"/>
              </w:rPr>
            </w:pPr>
          </w:p>
          <w:p w14:paraId="ED150000">
            <w:pPr>
              <w:widowControl w:val="1"/>
              <w:ind w:right="64"/>
              <w:contextualSpacing w:val="1"/>
              <w:rPr>
                <w:b w:val="1"/>
                <w:i w:val="1"/>
                <w:sz w:val="22"/>
              </w:rPr>
            </w:pPr>
            <w:r>
              <w:rPr>
                <w:b w:val="1"/>
                <w:i w:val="1"/>
                <w:sz w:val="22"/>
              </w:rPr>
              <w:t>Выполнено в полном объеме</w:t>
            </w:r>
          </w:p>
          <w:p w14:paraId="EE150000">
            <w:pPr>
              <w:widowControl w:val="1"/>
              <w:ind w:right="64"/>
              <w:contextualSpacing w:val="1"/>
              <w:rPr>
                <w:b w:val="1"/>
                <w:i w:val="1"/>
                <w:sz w:val="22"/>
              </w:rPr>
            </w:pPr>
          </w:p>
          <w:p w14:paraId="EF150000">
            <w:pPr>
              <w:widowControl w:val="1"/>
              <w:ind w:right="64"/>
              <w:contextualSpacing w:val="1"/>
              <w:rPr>
                <w:b w:val="1"/>
                <w:i w:val="1"/>
                <w:sz w:val="22"/>
              </w:rPr>
            </w:pPr>
          </w:p>
          <w:p w14:paraId="F0150000">
            <w:pPr>
              <w:widowControl w:val="1"/>
              <w:ind w:right="64"/>
              <w:contextualSpacing w:val="1"/>
              <w:rPr>
                <w:b w:val="1"/>
                <w:i w:val="1"/>
                <w:sz w:val="22"/>
              </w:rPr>
            </w:pPr>
          </w:p>
          <w:p w14:paraId="F1150000">
            <w:pPr>
              <w:widowControl w:val="1"/>
              <w:ind w:right="64"/>
              <w:contextualSpacing w:val="1"/>
              <w:rPr>
                <w:b w:val="1"/>
                <w:i w:val="1"/>
                <w:sz w:val="22"/>
              </w:rPr>
            </w:pPr>
          </w:p>
          <w:p w14:paraId="F2150000">
            <w:pPr>
              <w:widowControl w:val="1"/>
              <w:ind w:right="64"/>
              <w:contextualSpacing w:val="1"/>
              <w:rPr>
                <w:b w:val="1"/>
                <w:i w:val="1"/>
                <w:sz w:val="22"/>
              </w:rPr>
            </w:pP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F3150000">
            <w:pPr>
              <w:widowControl w:val="1"/>
              <w:ind w:firstLine="709" w:left="-758"/>
              <w:contextualSpacing w:val="1"/>
              <w:jc w:val="center"/>
              <w:rPr>
                <w:sz w:val="22"/>
              </w:rPr>
            </w:pPr>
            <w:r>
              <w:rPr>
                <w:sz w:val="22"/>
              </w:rPr>
              <w:t>4</w:t>
            </w:r>
          </w:p>
        </w:tc>
        <w:tc>
          <w:tcPr>
            <w:tcW w:type="dxa" w:w="2043"/>
            <w:tcBorders>
              <w:top w:color="000000" w:sz="4" w:val="single"/>
              <w:left w:color="000000" w:sz="4" w:val="single"/>
              <w:bottom w:color="000000" w:sz="4" w:val="single"/>
              <w:right w:color="000000" w:sz="4" w:val="single"/>
            </w:tcBorders>
            <w:tcMar>
              <w:left w:type="dxa" w:w="0"/>
              <w:right w:type="dxa" w:w="0"/>
            </w:tcMar>
          </w:tcPr>
          <w:p w14:paraId="F4150000">
            <w:pPr>
              <w:pStyle w:val="Style_12"/>
              <w:widowControl w:val="1"/>
              <w:ind w:right="64"/>
              <w:contextualSpacing w:val="1"/>
              <w:jc w:val="both"/>
              <w:rPr>
                <w:rFonts w:ascii="Times New Roman" w:hAnsi="Times New Roman"/>
                <w:sz w:val="22"/>
              </w:rPr>
            </w:pPr>
            <w:r>
              <w:rPr>
                <w:rFonts w:ascii="Times New Roman" w:hAnsi="Times New Roman"/>
                <w:sz w:val="22"/>
              </w:rPr>
              <w:t xml:space="preserve">Об определении предельной стоимости услуг аудиторской организации </w:t>
            </w:r>
            <w:r>
              <w:rPr>
                <w:rFonts w:ascii="Times New Roman" w:hAnsi="Times New Roman"/>
                <w:color w:val="000000"/>
                <w:spacing w:val="-5"/>
                <w:sz w:val="22"/>
              </w:rPr>
              <w:t xml:space="preserve">по проведению обязательной </w:t>
            </w:r>
            <w:r>
              <w:rPr>
                <w:rFonts w:ascii="Times New Roman" w:hAnsi="Times New Roman"/>
                <w:color w:val="000000"/>
                <w:spacing w:val="-6"/>
                <w:sz w:val="22"/>
              </w:rPr>
              <w:t xml:space="preserve">аудиторской проверки </w:t>
            </w:r>
            <w:r>
              <w:rPr>
                <w:rFonts w:ascii="Times New Roman" w:hAnsi="Times New Roman"/>
                <w:sz w:val="22"/>
              </w:rPr>
              <w:t xml:space="preserve">финансовой (бухгалтерской) отчетности </w:t>
            </w:r>
            <w:r>
              <w:rPr>
                <w:rFonts w:ascii="Times New Roman" w:hAnsi="Times New Roman"/>
                <w:color w:val="000000"/>
                <w:spacing w:val="-6"/>
                <w:sz w:val="22"/>
              </w:rPr>
              <w:t xml:space="preserve">АО «Краспригород» за </w:t>
            </w:r>
            <w:r>
              <w:rPr>
                <w:rFonts w:ascii="Times New Roman" w:hAnsi="Times New Roman"/>
                <w:sz w:val="22"/>
              </w:rPr>
              <w:t>2019 год.</w:t>
            </w:r>
          </w:p>
        </w:tc>
        <w:tc>
          <w:tcPr>
            <w:tcW w:type="dxa" w:w="5404"/>
            <w:tcBorders>
              <w:top w:color="000000" w:sz="4" w:val="single"/>
              <w:left w:sz="4" w:val="nil"/>
              <w:bottom w:color="000000" w:sz="4" w:val="single"/>
              <w:right w:color="000000" w:sz="4" w:val="single"/>
            </w:tcBorders>
            <w:tcMar>
              <w:left w:type="dxa" w:w="0"/>
              <w:right w:type="dxa" w:w="0"/>
            </w:tcMar>
          </w:tcPr>
          <w:p w14:paraId="F5150000">
            <w:pPr>
              <w:pStyle w:val="Style_11"/>
              <w:widowControl w:val="0"/>
              <w:spacing w:after="0"/>
              <w:ind w:left="0" w:right="64"/>
              <w:contextualSpacing w:val="1"/>
              <w:rPr>
                <w:sz w:val="22"/>
              </w:rPr>
            </w:pPr>
            <w:r>
              <w:rPr>
                <w:b w:val="1"/>
                <w:sz w:val="22"/>
              </w:rPr>
              <w:t>4.1.</w:t>
            </w:r>
            <w:r>
              <w:rPr>
                <w:sz w:val="22"/>
              </w:rPr>
              <w:t xml:space="preserve"> В целях определения максимальной цены договора на оказание услуг аудиторской организации </w:t>
            </w:r>
            <w:r>
              <w:rPr>
                <w:color w:val="000000"/>
                <w:spacing w:val="-5"/>
                <w:sz w:val="22"/>
              </w:rPr>
              <w:t xml:space="preserve">по проведению обязательной </w:t>
            </w:r>
            <w:r>
              <w:rPr>
                <w:color w:val="000000"/>
                <w:spacing w:val="-6"/>
                <w:sz w:val="22"/>
              </w:rPr>
              <w:t xml:space="preserve">аудиторской проверки </w:t>
            </w:r>
            <w:r>
              <w:rPr>
                <w:sz w:val="22"/>
              </w:rPr>
              <w:t xml:space="preserve">финансовой (бухгалтерской) отчетности </w:t>
            </w:r>
            <w:r>
              <w:rPr>
                <w:color w:val="000000"/>
                <w:spacing w:val="-6"/>
                <w:sz w:val="22"/>
              </w:rPr>
              <w:t xml:space="preserve">АО «Краспригород» за </w:t>
            </w:r>
            <w:r>
              <w:rPr>
                <w:sz w:val="22"/>
              </w:rPr>
              <w:t xml:space="preserve">2019 год, определить предельную стоимость услуг аудиторской организации по проведению обязательной аудиторской проверки финансовой (бухгалтерской) отчетности АО «Краспригород» за 2019 год в размере 134 680 (сто тридцать четыре тысячи шестьсот восемьдесят) руб. </w:t>
            </w:r>
          </w:p>
          <w:p w14:paraId="F6150000">
            <w:pPr>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F7150000">
            <w:pPr>
              <w:widowControl w:val="1"/>
              <w:ind w:right="64"/>
              <w:contextualSpacing w:val="1"/>
              <w:rPr>
                <w:b w:val="1"/>
                <w:i w:val="1"/>
                <w:sz w:val="22"/>
              </w:rPr>
            </w:pPr>
            <w:r>
              <w:rPr>
                <w:b w:val="1"/>
                <w:i w:val="1"/>
                <w:sz w:val="22"/>
              </w:rPr>
              <w:t>Выполнено в полном объеме</w:t>
            </w:r>
          </w:p>
          <w:p w14:paraId="F8150000">
            <w:pPr>
              <w:widowControl w:val="1"/>
              <w:ind w:right="64"/>
              <w:contextualSpacing w:val="1"/>
              <w:rPr>
                <w:b w:val="1"/>
                <w:i w:val="1"/>
                <w:sz w:val="22"/>
              </w:rPr>
            </w:pPr>
          </w:p>
        </w:tc>
      </w:tr>
      <w:tr>
        <w:trPr>
          <w:trHeight w:hRule="atLeast" w:val="397"/>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F9150000">
            <w:pPr>
              <w:widowControl w:val="1"/>
              <w:ind w:firstLine="709" w:left="-758"/>
              <w:contextualSpacing w:val="1"/>
              <w:jc w:val="center"/>
              <w:rPr>
                <w:sz w:val="22"/>
              </w:rPr>
            </w:pPr>
            <w:r>
              <w:rPr>
                <w:sz w:val="22"/>
              </w:rPr>
              <w:t>5</w:t>
            </w:r>
          </w:p>
        </w:tc>
        <w:tc>
          <w:tcPr>
            <w:tcW w:type="dxa" w:w="2043"/>
            <w:tcBorders>
              <w:top w:color="000000" w:sz="4" w:val="single"/>
              <w:left w:color="000000" w:sz="4" w:val="single"/>
              <w:bottom w:color="000000" w:sz="4" w:val="single"/>
              <w:right w:color="000000" w:sz="4" w:val="single"/>
            </w:tcBorders>
            <w:tcMar>
              <w:left w:type="dxa" w:w="0"/>
              <w:right w:type="dxa" w:w="0"/>
            </w:tcMar>
          </w:tcPr>
          <w:p w14:paraId="FA150000">
            <w:pPr>
              <w:widowControl w:val="1"/>
              <w:ind w:right="64"/>
              <w:contextualSpacing w:val="1"/>
              <w:rPr>
                <w:sz w:val="22"/>
              </w:rPr>
            </w:pPr>
            <w:r>
              <w:rPr>
                <w:sz w:val="22"/>
              </w:rPr>
              <w:t xml:space="preserve">              О согласовании сроков ежегодного оплачиваемого отпуска генерального директора АО «Краспригород»</w:t>
            </w:r>
          </w:p>
          <w:p w14:paraId="FB150000">
            <w:pPr>
              <w:pStyle w:val="Style_12"/>
              <w:widowControl w:val="1"/>
              <w:ind w:right="64"/>
              <w:contextualSpacing w:val="1"/>
              <w:jc w:val="both"/>
              <w:rPr>
                <w:rFonts w:ascii="Times New Roman" w:hAnsi="Times New Roman"/>
                <w:sz w:val="22"/>
              </w:rPr>
            </w:pPr>
          </w:p>
        </w:tc>
        <w:tc>
          <w:tcPr>
            <w:tcW w:type="dxa" w:w="5404"/>
            <w:tcBorders>
              <w:top w:color="000000" w:sz="4" w:val="single"/>
              <w:left w:sz="4" w:val="nil"/>
              <w:bottom w:color="000000" w:sz="4" w:val="single"/>
              <w:right w:color="000000" w:sz="4" w:val="single"/>
            </w:tcBorders>
            <w:tcMar>
              <w:left w:type="dxa" w:w="0"/>
              <w:right w:type="dxa" w:w="0"/>
            </w:tcMar>
          </w:tcPr>
          <w:p w14:paraId="FC150000">
            <w:pPr>
              <w:widowControl w:val="1"/>
              <w:ind w:right="64"/>
              <w:contextualSpacing w:val="1"/>
              <w:rPr>
                <w:b w:val="1"/>
                <w:sz w:val="22"/>
                <w:u w:val="single"/>
              </w:rPr>
            </w:pPr>
            <w:r>
              <w:rPr>
                <w:b w:val="1"/>
                <w:sz w:val="22"/>
              </w:rPr>
              <w:t>5.1.</w:t>
            </w:r>
            <w:r>
              <w:rPr>
                <w:sz w:val="22"/>
              </w:rPr>
              <w:t xml:space="preserve"> Согласовать предоставление ежегодного оплачиваемого отпуска генеральному директору АО «Краспригород» Быкову Эдуарду Владимировичу в период с 03.11.2018г. по 18.11.2018г. включительно (15 календарных дней) (Приложение №4 к протоколу заседания совета директоров).</w:t>
            </w:r>
          </w:p>
          <w:p w14:paraId="FD150000">
            <w:pPr>
              <w:widowControl w:val="1"/>
              <w:ind w:right="64"/>
              <w:contextualSpacing w:val="1"/>
              <w:rPr>
                <w:sz w:val="22"/>
              </w:rPr>
            </w:pPr>
            <w:r>
              <w:rPr>
                <w:b w:val="1"/>
                <w:color w:val="000000"/>
                <w:sz w:val="22"/>
              </w:rPr>
              <w:t>5.2.</w:t>
            </w:r>
            <w:r>
              <w:rPr>
                <w:color w:val="000000"/>
                <w:sz w:val="22"/>
              </w:rPr>
              <w:t xml:space="preserve"> </w:t>
            </w:r>
            <w:r>
              <w:rPr>
                <w:sz w:val="22"/>
              </w:rPr>
              <w:t>Назначить исполняющей обязанности генерального директора АО «Краспригород» на время отпуска Быкова Эдуарда Владимировича с 03.11.2018г. по 18.11.2018г. включительно (15 календарных дней)  заместителя генерального директора по экономике и финансам АО «Краспригород» Байкалову Ларису Петровну.</w:t>
            </w:r>
          </w:p>
        </w:tc>
        <w:tc>
          <w:tcPr>
            <w:tcW w:type="dxa" w:w="1605"/>
            <w:tcBorders>
              <w:top w:color="000000" w:sz="4" w:val="single"/>
              <w:left w:sz="4" w:val="nil"/>
              <w:bottom w:color="000000" w:sz="4" w:val="single"/>
              <w:right w:color="000000" w:sz="4" w:val="single"/>
            </w:tcBorders>
            <w:tcMar>
              <w:left w:type="dxa" w:w="0"/>
              <w:right w:type="dxa" w:w="0"/>
            </w:tcMar>
          </w:tcPr>
          <w:p w14:paraId="FE150000">
            <w:pPr>
              <w:widowControl w:val="1"/>
              <w:ind w:right="64"/>
              <w:contextualSpacing w:val="1"/>
              <w:rPr>
                <w:b w:val="1"/>
                <w:i w:val="1"/>
                <w:sz w:val="22"/>
              </w:rPr>
            </w:pPr>
            <w:r>
              <w:rPr>
                <w:b w:val="1"/>
                <w:i w:val="1"/>
                <w:sz w:val="22"/>
              </w:rPr>
              <w:t>Выполнено в полном объеме</w:t>
            </w:r>
          </w:p>
          <w:p w14:paraId="FF150000">
            <w:pPr>
              <w:widowControl w:val="1"/>
              <w:ind w:right="64"/>
              <w:contextualSpacing w:val="1"/>
              <w:rPr>
                <w:b w:val="1"/>
                <w:i w:val="1"/>
                <w:sz w:val="22"/>
              </w:rPr>
            </w:pPr>
          </w:p>
          <w:p w14:paraId="00160000">
            <w:pPr>
              <w:widowControl w:val="1"/>
              <w:ind w:right="64"/>
              <w:contextualSpacing w:val="1"/>
              <w:rPr>
                <w:b w:val="1"/>
                <w:i w:val="1"/>
                <w:sz w:val="22"/>
              </w:rPr>
            </w:pPr>
          </w:p>
          <w:p w14:paraId="01160000">
            <w:pPr>
              <w:widowControl w:val="1"/>
              <w:ind w:right="64"/>
              <w:contextualSpacing w:val="1"/>
              <w:rPr>
                <w:b w:val="1"/>
                <w:i w:val="1"/>
                <w:sz w:val="22"/>
              </w:rPr>
            </w:pPr>
          </w:p>
          <w:p w14:paraId="02160000">
            <w:pPr>
              <w:widowControl w:val="1"/>
              <w:ind w:right="64"/>
              <w:contextualSpacing w:val="1"/>
              <w:rPr>
                <w:b w:val="1"/>
                <w:i w:val="1"/>
                <w:sz w:val="22"/>
              </w:rPr>
            </w:pPr>
          </w:p>
          <w:p w14:paraId="03160000">
            <w:pPr>
              <w:widowControl w:val="1"/>
              <w:ind w:right="64"/>
              <w:contextualSpacing w:val="1"/>
              <w:rPr>
                <w:b w:val="1"/>
                <w:i w:val="1"/>
                <w:sz w:val="22"/>
              </w:rPr>
            </w:pPr>
            <w:r>
              <w:rPr>
                <w:b w:val="1"/>
                <w:i w:val="1"/>
                <w:sz w:val="22"/>
              </w:rPr>
              <w:t>Выполнено в полном объеме</w:t>
            </w:r>
          </w:p>
          <w:p w14:paraId="04160000">
            <w:pPr>
              <w:widowControl w:val="1"/>
              <w:ind w:right="64"/>
              <w:contextualSpacing w:val="1"/>
              <w:rPr>
                <w:b w:val="1"/>
                <w:i w:val="1"/>
                <w:sz w:val="22"/>
              </w:rPr>
            </w:pP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05160000">
            <w:pPr>
              <w:widowControl w:val="1"/>
              <w:ind w:firstLine="709" w:left="-758"/>
              <w:contextualSpacing w:val="1"/>
              <w:jc w:val="center"/>
              <w:rPr>
                <w:sz w:val="22"/>
              </w:rPr>
            </w:pPr>
            <w:r>
              <w:rPr>
                <w:sz w:val="22"/>
              </w:rPr>
              <w:t>6</w:t>
            </w:r>
          </w:p>
        </w:tc>
        <w:tc>
          <w:tcPr>
            <w:tcW w:type="dxa" w:w="2043"/>
            <w:tcBorders>
              <w:top w:color="000000" w:sz="4" w:val="single"/>
              <w:left w:color="000000" w:sz="4" w:val="single"/>
              <w:bottom w:color="000000" w:sz="4" w:val="single"/>
              <w:right w:color="000000" w:sz="4" w:val="single"/>
            </w:tcBorders>
            <w:tcMar>
              <w:left w:type="dxa" w:w="0"/>
              <w:right w:type="dxa" w:w="0"/>
            </w:tcMar>
          </w:tcPr>
          <w:p w14:paraId="06160000">
            <w:pPr>
              <w:widowControl w:val="1"/>
              <w:ind w:right="64"/>
              <w:contextualSpacing w:val="1"/>
              <w:rPr>
                <w:sz w:val="22"/>
              </w:rPr>
            </w:pPr>
            <w:r>
              <w:rPr>
                <w:sz w:val="22"/>
              </w:rPr>
              <w:t>Об индексации фиксированного размера оплаты труда генерального директора АО «Краспригород».</w:t>
            </w:r>
          </w:p>
          <w:p w14:paraId="07160000">
            <w:pPr>
              <w:pStyle w:val="Style_12"/>
              <w:widowControl w:val="1"/>
              <w:ind w:right="64"/>
              <w:contextualSpacing w:val="1"/>
              <w:jc w:val="both"/>
              <w:rPr>
                <w:rFonts w:ascii="Times New Roman" w:hAnsi="Times New Roman"/>
                <w:sz w:val="22"/>
              </w:rPr>
            </w:pPr>
          </w:p>
        </w:tc>
        <w:tc>
          <w:tcPr>
            <w:tcW w:type="dxa" w:w="5404"/>
            <w:tcBorders>
              <w:top w:color="000000" w:sz="4" w:val="single"/>
              <w:left w:sz="4" w:val="nil"/>
              <w:bottom w:color="000000" w:sz="4" w:val="single"/>
              <w:right w:color="000000" w:sz="4" w:val="single"/>
            </w:tcBorders>
            <w:tcMar>
              <w:left w:type="dxa" w:w="0"/>
              <w:right w:type="dxa" w:w="0"/>
            </w:tcMar>
          </w:tcPr>
          <w:p w14:paraId="08160000">
            <w:pPr>
              <w:pStyle w:val="Style_17"/>
              <w:widowControl w:val="1"/>
              <w:spacing w:after="0"/>
              <w:ind w:right="64"/>
              <w:contextualSpacing w:val="1"/>
              <w:rPr>
                <w:sz w:val="22"/>
              </w:rPr>
            </w:pPr>
            <w:r>
              <w:rPr>
                <w:b w:val="1"/>
                <w:color w:val="000000"/>
                <w:sz w:val="22"/>
              </w:rPr>
              <w:t>6.1</w:t>
            </w:r>
            <w:r>
              <w:rPr>
                <w:color w:val="000000"/>
                <w:sz w:val="22"/>
              </w:rPr>
              <w:t xml:space="preserve">. Осуществить индексацию фиксированного размера оплаты труда генерального директора АО «Краспригород» Быкова Эдуарда Владимировича </w:t>
            </w:r>
            <w:r>
              <w:rPr>
                <w:sz w:val="22"/>
              </w:rPr>
              <w:t>(Приложение №5 к протоколу заседания Совета директоров).</w:t>
            </w:r>
          </w:p>
          <w:p w14:paraId="09160000">
            <w:pPr>
              <w:pStyle w:val="Style_17"/>
              <w:widowControl w:val="1"/>
              <w:spacing w:after="0"/>
              <w:ind w:right="64"/>
              <w:contextualSpacing w:val="1"/>
              <w:rPr>
                <w:sz w:val="22"/>
              </w:rPr>
            </w:pPr>
          </w:p>
          <w:p w14:paraId="0A160000">
            <w:pPr>
              <w:widowControl w:val="1"/>
              <w:ind w:right="64"/>
              <w:contextualSpacing w:val="1"/>
              <w:rPr>
                <w:sz w:val="22"/>
              </w:rPr>
            </w:pPr>
            <w:r>
              <w:rPr>
                <w:b w:val="1"/>
                <w:color w:val="000000"/>
                <w:sz w:val="22"/>
              </w:rPr>
              <w:t>6.2.</w:t>
            </w:r>
            <w:r>
              <w:rPr>
                <w:color w:val="000000"/>
                <w:sz w:val="22"/>
              </w:rPr>
              <w:t xml:space="preserve"> </w:t>
            </w:r>
            <w:r>
              <w:rPr>
                <w:sz w:val="22"/>
              </w:rPr>
              <w:t xml:space="preserve">Поручить председателю совета директоров </w:t>
            </w:r>
            <w:r>
              <w:rPr>
                <w:color w:val="000000"/>
                <w:sz w:val="22"/>
              </w:rPr>
              <w:t xml:space="preserve">АО </w:t>
            </w:r>
            <w:r>
              <w:rPr>
                <w:sz w:val="22"/>
              </w:rPr>
              <w:t>«</w:t>
            </w:r>
            <w:r>
              <w:rPr>
                <w:color w:val="000000"/>
                <w:sz w:val="22"/>
              </w:rPr>
              <w:t>Краспригород</w:t>
            </w:r>
            <w:r>
              <w:rPr>
                <w:sz w:val="22"/>
              </w:rPr>
              <w:t>»</w:t>
            </w:r>
            <w:r>
              <w:rPr>
                <w:color w:val="000000"/>
                <w:sz w:val="22"/>
              </w:rPr>
              <w:t xml:space="preserve"> Ткачеву Льву Викторовичу </w:t>
            </w:r>
            <w:r>
              <w:rPr>
                <w:sz w:val="22"/>
              </w:rPr>
              <w:t xml:space="preserve">подписать от имени Общества Дополнительное соглашение №4 к Трудовому договору от 03.08.2017г. </w:t>
            </w:r>
            <w:r>
              <w:rPr>
                <w:color w:val="000000"/>
                <w:sz w:val="22"/>
              </w:rPr>
              <w:t>с Быковым Эдуардом Владимировичем</w:t>
            </w:r>
            <w:r>
              <w:rPr>
                <w:sz w:val="22"/>
              </w:rPr>
              <w:t xml:space="preserve"> (Приложение №6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0B160000">
            <w:pPr>
              <w:widowControl w:val="1"/>
              <w:ind w:right="64"/>
              <w:contextualSpacing w:val="1"/>
              <w:rPr>
                <w:b w:val="1"/>
                <w:i w:val="1"/>
                <w:sz w:val="22"/>
              </w:rPr>
            </w:pPr>
            <w:r>
              <w:rPr>
                <w:b w:val="1"/>
                <w:i w:val="1"/>
                <w:sz w:val="22"/>
              </w:rPr>
              <w:t>Выполнено в полном объеме</w:t>
            </w:r>
          </w:p>
          <w:p w14:paraId="0C160000">
            <w:pPr>
              <w:widowControl w:val="1"/>
              <w:ind w:right="64"/>
              <w:contextualSpacing w:val="1"/>
              <w:rPr>
                <w:b w:val="1"/>
                <w:i w:val="1"/>
                <w:sz w:val="22"/>
              </w:rPr>
            </w:pPr>
          </w:p>
          <w:p w14:paraId="0D160000">
            <w:pPr>
              <w:widowControl w:val="1"/>
              <w:ind w:right="64"/>
              <w:contextualSpacing w:val="1"/>
              <w:rPr>
                <w:b w:val="1"/>
                <w:i w:val="1"/>
                <w:sz w:val="22"/>
              </w:rPr>
            </w:pPr>
          </w:p>
          <w:p w14:paraId="0E160000">
            <w:pPr>
              <w:widowControl w:val="1"/>
              <w:ind w:right="64"/>
              <w:contextualSpacing w:val="1"/>
              <w:rPr>
                <w:b w:val="1"/>
                <w:i w:val="1"/>
                <w:sz w:val="22"/>
              </w:rPr>
            </w:pPr>
          </w:p>
          <w:p w14:paraId="0F160000">
            <w:pPr>
              <w:widowControl w:val="1"/>
              <w:ind w:right="64"/>
              <w:contextualSpacing w:val="1"/>
              <w:rPr>
                <w:b w:val="1"/>
                <w:i w:val="1"/>
                <w:sz w:val="22"/>
              </w:rPr>
            </w:pPr>
          </w:p>
          <w:p w14:paraId="10160000">
            <w:pPr>
              <w:widowControl w:val="1"/>
              <w:ind w:right="64"/>
              <w:contextualSpacing w:val="1"/>
              <w:rPr>
                <w:b w:val="1"/>
                <w:i w:val="1"/>
                <w:sz w:val="22"/>
              </w:rPr>
            </w:pPr>
            <w:r>
              <w:rPr>
                <w:b w:val="1"/>
                <w:i w:val="1"/>
                <w:sz w:val="22"/>
              </w:rPr>
              <w:t>Выполнено в полном объеме</w:t>
            </w:r>
          </w:p>
          <w:p w14:paraId="11160000">
            <w:pPr>
              <w:widowControl w:val="1"/>
              <w:ind w:right="64"/>
              <w:contextualSpacing w:val="1"/>
              <w:rPr>
                <w:b w:val="1"/>
                <w:i w:val="1"/>
                <w:sz w:val="22"/>
              </w:rPr>
            </w:pPr>
          </w:p>
        </w:tc>
      </w:tr>
      <w:tr>
        <w:trPr>
          <w:trHeight w:hRule="atLeast" w:val="1342"/>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12160000">
            <w:pPr>
              <w:widowControl w:val="1"/>
              <w:ind w:firstLine="709" w:left="-758"/>
              <w:contextualSpacing w:val="1"/>
              <w:jc w:val="center"/>
              <w:rPr>
                <w:sz w:val="22"/>
              </w:rPr>
            </w:pPr>
            <w:r>
              <w:rPr>
                <w:sz w:val="22"/>
              </w:rPr>
              <w:t>7</w:t>
            </w:r>
          </w:p>
        </w:tc>
        <w:tc>
          <w:tcPr>
            <w:tcW w:type="dxa" w:w="2043"/>
            <w:tcBorders>
              <w:top w:color="000000" w:sz="4" w:val="single"/>
              <w:left w:color="000000" w:sz="4" w:val="single"/>
              <w:bottom w:color="000000" w:sz="4" w:val="single"/>
              <w:right w:color="000000" w:sz="4" w:val="single"/>
            </w:tcBorders>
            <w:tcMar>
              <w:left w:type="dxa" w:w="0"/>
              <w:right w:type="dxa" w:w="0"/>
            </w:tcMar>
          </w:tcPr>
          <w:p w14:paraId="13160000">
            <w:pPr>
              <w:widowControl w:val="1"/>
              <w:ind w:right="64"/>
              <w:contextualSpacing w:val="1"/>
              <w:rPr>
                <w:sz w:val="22"/>
              </w:rPr>
            </w:pPr>
            <w:r>
              <w:rPr>
                <w:sz w:val="22"/>
              </w:rPr>
              <w:t>Об утверждении Положения о закупке товаров, работ, услуг для нужд Общества.</w:t>
            </w:r>
          </w:p>
          <w:p w14:paraId="14160000">
            <w:pPr>
              <w:pStyle w:val="Style_12"/>
              <w:widowControl w:val="1"/>
              <w:ind w:right="64"/>
              <w:contextualSpacing w:val="1"/>
              <w:jc w:val="both"/>
              <w:rPr>
                <w:rFonts w:ascii="Times New Roman" w:hAnsi="Times New Roman"/>
                <w:sz w:val="22"/>
              </w:rPr>
            </w:pPr>
          </w:p>
        </w:tc>
        <w:tc>
          <w:tcPr>
            <w:tcW w:type="dxa" w:w="5404"/>
            <w:tcBorders>
              <w:top w:color="000000" w:sz="4" w:val="single"/>
              <w:left w:sz="4" w:val="nil"/>
              <w:bottom w:color="000000" w:sz="4" w:val="single"/>
              <w:right w:color="000000" w:sz="4" w:val="single"/>
            </w:tcBorders>
            <w:tcMar>
              <w:left w:type="dxa" w:w="0"/>
              <w:right w:type="dxa" w:w="0"/>
            </w:tcMar>
          </w:tcPr>
          <w:p w14:paraId="15160000">
            <w:pPr>
              <w:widowControl w:val="1"/>
              <w:ind w:right="64"/>
              <w:contextualSpacing w:val="1"/>
              <w:rPr>
                <w:sz w:val="22"/>
              </w:rPr>
            </w:pPr>
            <w:r>
              <w:rPr>
                <w:b w:val="1"/>
                <w:sz w:val="22"/>
              </w:rPr>
              <w:t>7.1.</w:t>
            </w:r>
            <w:r>
              <w:rPr>
                <w:sz w:val="22"/>
              </w:rPr>
              <w:t xml:space="preserve"> Утвердить Положение о закупке товаров, работ, услуг для нужд Общества в связи с внесений изменений в типовое положение для дочерних обществ ОАО «РЖД» (Приложение №7 к протоколу заседания совета директоров).</w:t>
            </w:r>
          </w:p>
          <w:p w14:paraId="16160000">
            <w:pPr>
              <w:widowControl w:val="1"/>
              <w:ind w:right="64"/>
              <w:contextualSpacing w:val="1"/>
              <w:rPr>
                <w:sz w:val="22"/>
              </w:rPr>
            </w:pPr>
          </w:p>
          <w:p w14:paraId="17160000">
            <w:pPr>
              <w:pStyle w:val="Style_12"/>
              <w:widowControl w:val="1"/>
              <w:ind w:right="64"/>
              <w:contextualSpacing w:val="1"/>
              <w:jc w:val="both"/>
              <w:rPr>
                <w:rFonts w:ascii="Times New Roman" w:hAnsi="Times New Roman"/>
                <w:sz w:val="22"/>
              </w:rPr>
            </w:pPr>
            <w:r>
              <w:rPr>
                <w:rFonts w:ascii="Times New Roman" w:hAnsi="Times New Roman"/>
                <w:b w:val="1"/>
                <w:sz w:val="22"/>
              </w:rPr>
              <w:t>7.2.</w:t>
            </w:r>
            <w:r>
              <w:rPr>
                <w:rFonts w:ascii="Times New Roman" w:hAnsi="Times New Roman"/>
                <w:sz w:val="22"/>
              </w:rPr>
              <w:t xml:space="preserve"> Признать утратившим силу Положение о закупке товаров, работ, услуг для нужд Общества (протокол от 30.04.2015г. № 13).</w:t>
            </w:r>
          </w:p>
          <w:p w14:paraId="18160000">
            <w:pPr>
              <w:pStyle w:val="Style_12"/>
              <w:widowControl w:val="1"/>
              <w:ind w:right="64"/>
              <w:contextualSpacing w:val="1"/>
              <w:jc w:val="both"/>
              <w:rPr>
                <w:rFonts w:ascii="Times New Roman" w:hAnsi="Times New Roman"/>
                <w:i w:val="1"/>
                <w:sz w:val="22"/>
              </w:rPr>
            </w:pPr>
          </w:p>
          <w:p w14:paraId="19160000">
            <w:pPr>
              <w:pStyle w:val="Style_12"/>
              <w:widowControl w:val="1"/>
              <w:ind w:right="64"/>
              <w:contextualSpacing w:val="1"/>
              <w:jc w:val="both"/>
              <w:rPr>
                <w:rFonts w:ascii="Times New Roman" w:hAnsi="Times New Roman"/>
                <w:sz w:val="22"/>
              </w:rPr>
            </w:pPr>
            <w:r>
              <w:rPr>
                <w:rFonts w:ascii="Times New Roman" w:hAnsi="Times New Roman"/>
                <w:b w:val="1"/>
                <w:sz w:val="22"/>
              </w:rPr>
              <w:t>7.3.</w:t>
            </w:r>
            <w:r>
              <w:rPr>
                <w:rFonts w:ascii="Times New Roman" w:hAnsi="Times New Roman"/>
                <w:sz w:val="22"/>
              </w:rPr>
              <w:t xml:space="preserve"> Поручить генеральному директору Общества сформировать и включить в Положение о закупке товаров, работ, услуг для нужд Общества перечень взаимозависимых с ними лиц согласно приложению к Типовому Положению и актуализировать его в соответствии с законодательством Российской Федерации.</w:t>
            </w:r>
          </w:p>
          <w:p w14:paraId="1A160000">
            <w:pPr>
              <w:widowControl w:val="1"/>
              <w:ind w:right="64"/>
              <w:contextualSpacing w:val="1"/>
              <w:rPr>
                <w:sz w:val="22"/>
              </w:rPr>
            </w:pPr>
          </w:p>
        </w:tc>
        <w:tc>
          <w:tcPr>
            <w:tcW w:type="dxa" w:w="1605"/>
            <w:tcBorders>
              <w:top w:color="000000" w:sz="4" w:val="single"/>
              <w:left w:sz="4" w:val="nil"/>
              <w:bottom w:color="000000" w:sz="4" w:val="single"/>
              <w:right w:color="000000" w:sz="4" w:val="single"/>
            </w:tcBorders>
            <w:tcMar>
              <w:left w:type="dxa" w:w="0"/>
              <w:right w:type="dxa" w:w="0"/>
            </w:tcMar>
          </w:tcPr>
          <w:p w14:paraId="1B160000">
            <w:pPr>
              <w:widowControl w:val="1"/>
              <w:ind w:right="64"/>
              <w:contextualSpacing w:val="1"/>
              <w:rPr>
                <w:b w:val="1"/>
                <w:i w:val="1"/>
                <w:sz w:val="22"/>
              </w:rPr>
            </w:pPr>
            <w:r>
              <w:rPr>
                <w:b w:val="1"/>
                <w:i w:val="1"/>
                <w:sz w:val="22"/>
              </w:rPr>
              <w:t>Выполнено в полном объеме</w:t>
            </w:r>
          </w:p>
          <w:p w14:paraId="1C160000">
            <w:pPr>
              <w:widowControl w:val="1"/>
              <w:ind w:right="64"/>
              <w:contextualSpacing w:val="1"/>
              <w:rPr>
                <w:b w:val="1"/>
                <w:i w:val="1"/>
                <w:sz w:val="22"/>
              </w:rPr>
            </w:pPr>
          </w:p>
          <w:p w14:paraId="1D160000">
            <w:pPr>
              <w:widowControl w:val="1"/>
              <w:ind w:right="64"/>
              <w:contextualSpacing w:val="1"/>
              <w:rPr>
                <w:b w:val="1"/>
                <w:i w:val="1"/>
                <w:sz w:val="22"/>
              </w:rPr>
            </w:pPr>
          </w:p>
          <w:p w14:paraId="1E160000">
            <w:pPr>
              <w:widowControl w:val="1"/>
              <w:ind w:right="64"/>
              <w:contextualSpacing w:val="1"/>
              <w:rPr>
                <w:b w:val="1"/>
                <w:i w:val="1"/>
                <w:sz w:val="22"/>
              </w:rPr>
            </w:pPr>
          </w:p>
          <w:p w14:paraId="1F160000">
            <w:pPr>
              <w:widowControl w:val="1"/>
              <w:ind w:right="64"/>
              <w:contextualSpacing w:val="1"/>
              <w:rPr>
                <w:b w:val="1"/>
                <w:i w:val="1"/>
                <w:sz w:val="22"/>
              </w:rPr>
            </w:pPr>
          </w:p>
          <w:p w14:paraId="20160000">
            <w:pPr>
              <w:widowControl w:val="1"/>
              <w:ind w:right="64"/>
              <w:contextualSpacing w:val="1"/>
              <w:rPr>
                <w:b w:val="1"/>
                <w:i w:val="1"/>
                <w:sz w:val="22"/>
              </w:rPr>
            </w:pPr>
            <w:r>
              <w:rPr>
                <w:b w:val="1"/>
                <w:i w:val="1"/>
                <w:sz w:val="22"/>
              </w:rPr>
              <w:t>Выполнено в полном объеме</w:t>
            </w:r>
          </w:p>
          <w:p w14:paraId="21160000">
            <w:pPr>
              <w:widowControl w:val="1"/>
              <w:ind w:right="64"/>
              <w:contextualSpacing w:val="1"/>
              <w:rPr>
                <w:b w:val="1"/>
                <w:i w:val="1"/>
                <w:sz w:val="22"/>
              </w:rPr>
            </w:pPr>
          </w:p>
          <w:p w14:paraId="22160000">
            <w:pPr>
              <w:widowControl w:val="1"/>
              <w:ind w:right="64"/>
              <w:contextualSpacing w:val="1"/>
              <w:rPr>
                <w:b w:val="1"/>
                <w:i w:val="1"/>
                <w:sz w:val="22"/>
              </w:rPr>
            </w:pPr>
          </w:p>
          <w:p w14:paraId="23160000">
            <w:pPr>
              <w:widowControl w:val="1"/>
              <w:ind w:right="64"/>
              <w:contextualSpacing w:val="1"/>
              <w:rPr>
                <w:b w:val="1"/>
                <w:i w:val="1"/>
                <w:sz w:val="22"/>
              </w:rPr>
            </w:pPr>
            <w:r>
              <w:rPr>
                <w:b w:val="1"/>
                <w:i w:val="1"/>
                <w:sz w:val="22"/>
              </w:rPr>
              <w:t>Выполнено в полном объеме</w:t>
            </w:r>
          </w:p>
          <w:p w14:paraId="24160000">
            <w:pPr>
              <w:widowControl w:val="1"/>
              <w:ind w:right="64"/>
              <w:contextualSpacing w:val="1"/>
              <w:rPr>
                <w:b w:val="1"/>
                <w:i w:val="1"/>
                <w:sz w:val="22"/>
              </w:rPr>
            </w:pPr>
          </w:p>
        </w:tc>
      </w:tr>
      <w:tr>
        <w:trPr>
          <w:trHeight w:hRule="atLeast" w:val="857"/>
        </w:trPr>
        <w:tc>
          <w:tcPr>
            <w:tcW w:type="dxa" w:w="9494"/>
            <w:gridSpan w:val="4"/>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25160000">
            <w:pPr>
              <w:widowControl w:val="1"/>
              <w:ind w:left="-758" w:right="64"/>
              <w:contextualSpacing w:val="1"/>
              <w:jc w:val="center"/>
              <w:rPr>
                <w:b w:val="1"/>
                <w:sz w:val="22"/>
              </w:rPr>
            </w:pPr>
            <w:r>
              <w:rPr>
                <w:b w:val="1"/>
                <w:sz w:val="22"/>
              </w:rPr>
              <w:t>Совет директоров</w:t>
            </w:r>
          </w:p>
          <w:p w14:paraId="26160000">
            <w:pPr>
              <w:widowControl w:val="1"/>
              <w:ind w:left="-758" w:right="64"/>
              <w:contextualSpacing w:val="1"/>
              <w:jc w:val="center"/>
              <w:rPr>
                <w:b w:val="1"/>
                <w:sz w:val="22"/>
              </w:rPr>
            </w:pPr>
            <w:r>
              <w:rPr>
                <w:b w:val="1"/>
                <w:sz w:val="22"/>
              </w:rPr>
              <w:t>«19» ноября 2018 г.</w:t>
            </w:r>
          </w:p>
          <w:p w14:paraId="27160000">
            <w:pPr>
              <w:widowControl w:val="1"/>
              <w:ind w:left="-758" w:right="64"/>
              <w:contextualSpacing w:val="1"/>
              <w:jc w:val="center"/>
              <w:rPr>
                <w:b w:val="1"/>
                <w:i w:val="1"/>
                <w:sz w:val="22"/>
              </w:rPr>
            </w:pPr>
            <w:r>
              <w:rPr>
                <w:b w:val="1"/>
                <w:sz w:val="22"/>
              </w:rPr>
              <w:t>ПРОТОКОЛ  № 6</w:t>
            </w:r>
          </w:p>
        </w:tc>
      </w:tr>
      <w:tr>
        <w:trPr>
          <w:trHeight w:hRule="atLeast" w:val="68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28160000">
            <w:pPr>
              <w:widowControl w:val="1"/>
              <w:ind w:firstLine="709" w:left="-758"/>
              <w:contextualSpacing w:val="1"/>
              <w:jc w:val="center"/>
              <w:rPr>
                <w:sz w:val="22"/>
              </w:rPr>
            </w:pPr>
            <w:r>
              <w:rPr>
                <w:sz w:val="22"/>
              </w:rPr>
              <w:t>1</w:t>
            </w:r>
          </w:p>
        </w:tc>
        <w:tc>
          <w:tcPr>
            <w:tcW w:type="dxa" w:w="2043"/>
            <w:tcBorders>
              <w:top w:color="000000" w:sz="4" w:val="single"/>
              <w:left w:color="000000" w:sz="4" w:val="single"/>
              <w:bottom w:color="000000" w:sz="4" w:val="single"/>
              <w:right w:color="000000" w:sz="4" w:val="single"/>
            </w:tcBorders>
            <w:tcMar>
              <w:left w:type="dxa" w:w="0"/>
              <w:right w:type="dxa" w:w="0"/>
            </w:tcMar>
          </w:tcPr>
          <w:p w14:paraId="29160000">
            <w:pPr>
              <w:pStyle w:val="Style_12"/>
              <w:widowControl w:val="1"/>
              <w:ind w:right="64"/>
              <w:contextualSpacing w:val="1"/>
              <w:jc w:val="both"/>
              <w:rPr>
                <w:rFonts w:ascii="Times New Roman" w:hAnsi="Times New Roman"/>
                <w:sz w:val="22"/>
              </w:rPr>
            </w:pPr>
            <w:r>
              <w:rPr>
                <w:rFonts w:ascii="Times New Roman" w:hAnsi="Times New Roman"/>
                <w:sz w:val="22"/>
              </w:rPr>
              <w:t>О нецелесообразности разработки на 2019 год Программы отчуждения непрофильных активов и Реестра непрофильных активов Общества</w:t>
            </w:r>
            <w:r>
              <w:rPr>
                <w:rFonts w:ascii="Times New Roman" w:hAnsi="Times New Roman"/>
                <w:sz w:val="22"/>
              </w:rPr>
              <w:t>.</w:t>
            </w:r>
          </w:p>
          <w:p w14:paraId="2A160000">
            <w:pPr>
              <w:widowControl w:val="1"/>
              <w:ind w:right="64"/>
              <w:contextualSpacing w:val="1"/>
              <w:rPr>
                <w:sz w:val="22"/>
              </w:rPr>
            </w:pPr>
          </w:p>
          <w:p w14:paraId="2B160000">
            <w:pPr>
              <w:pStyle w:val="Style_12"/>
              <w:widowControl w:val="1"/>
              <w:ind w:right="64"/>
              <w:contextualSpacing w:val="1"/>
              <w:jc w:val="both"/>
              <w:rPr>
                <w:rFonts w:ascii="Times New Roman" w:hAnsi="Times New Roman"/>
                <w:sz w:val="22"/>
              </w:rPr>
            </w:pPr>
          </w:p>
        </w:tc>
        <w:tc>
          <w:tcPr>
            <w:tcW w:type="dxa" w:w="5404"/>
            <w:tcBorders>
              <w:top w:color="000000" w:sz="4" w:val="single"/>
              <w:left w:sz="4" w:val="nil"/>
              <w:bottom w:color="000000" w:sz="4" w:val="single"/>
              <w:right w:color="000000" w:sz="4" w:val="single"/>
            </w:tcBorders>
            <w:tcMar>
              <w:left w:type="dxa" w:w="0"/>
              <w:right w:type="dxa" w:w="0"/>
            </w:tcMar>
          </w:tcPr>
          <w:p w14:paraId="2C160000">
            <w:pPr>
              <w:widowControl w:val="1"/>
              <w:ind w:right="64"/>
              <w:contextualSpacing w:val="1"/>
              <w:rPr>
                <w:sz w:val="22"/>
              </w:rPr>
            </w:pPr>
            <w:r>
              <w:rPr>
                <w:b w:val="1"/>
                <w:color w:val="000000"/>
                <w:sz w:val="22"/>
              </w:rPr>
              <w:t>1.1.</w:t>
            </w:r>
            <w:r>
              <w:rPr>
                <w:color w:val="000000"/>
                <w:sz w:val="22"/>
              </w:rPr>
              <w:t xml:space="preserve"> </w:t>
            </w:r>
            <w:r>
              <w:rPr>
                <w:sz w:val="22"/>
              </w:rPr>
              <w:t>Принять к сведению проведенный Обществом анализ активов на предмет определения их профильности/непрофильности и признать, что на дату проведения настоящего Совета директоров Общества непрофильные активы, подлежащие отчуждению, отсутствуют (Приложение № 1 к протоколу заседания совета директоров Общества).</w:t>
            </w:r>
          </w:p>
          <w:p w14:paraId="2D160000">
            <w:pPr>
              <w:widowControl w:val="1"/>
              <w:ind w:right="64"/>
              <w:contextualSpacing w:val="1"/>
              <w:rPr>
                <w:sz w:val="22"/>
              </w:rPr>
            </w:pPr>
          </w:p>
          <w:p w14:paraId="2E160000">
            <w:pPr>
              <w:widowControl w:val="1"/>
              <w:ind w:right="64"/>
              <w:contextualSpacing w:val="1"/>
              <w:rPr>
                <w:sz w:val="22"/>
              </w:rPr>
            </w:pPr>
            <w:r>
              <w:rPr>
                <w:b w:val="1"/>
                <w:sz w:val="22"/>
              </w:rPr>
              <w:t>1.2.</w:t>
            </w:r>
            <w:r>
              <w:rPr>
                <w:sz w:val="22"/>
              </w:rPr>
              <w:t xml:space="preserve"> Признать нецелесообразным разработку на 2019 год Программы отчуждения непрофильных активов и Реестра непрофильных активов Общества.</w:t>
            </w:r>
          </w:p>
        </w:tc>
        <w:tc>
          <w:tcPr>
            <w:tcW w:type="dxa" w:w="1605"/>
            <w:tcBorders>
              <w:top w:color="000000" w:sz="4" w:val="single"/>
              <w:left w:sz="4" w:val="nil"/>
              <w:bottom w:color="000000" w:sz="4" w:val="single"/>
              <w:right w:color="000000" w:sz="4" w:val="single"/>
            </w:tcBorders>
            <w:tcMar>
              <w:left w:type="dxa" w:w="0"/>
              <w:right w:type="dxa" w:w="0"/>
            </w:tcMar>
          </w:tcPr>
          <w:p w14:paraId="2F160000">
            <w:pPr>
              <w:widowControl w:val="1"/>
              <w:ind w:right="64"/>
              <w:contextualSpacing w:val="1"/>
              <w:rPr>
                <w:b w:val="1"/>
                <w:i w:val="1"/>
                <w:sz w:val="22"/>
              </w:rPr>
            </w:pPr>
            <w:r>
              <w:rPr>
                <w:b w:val="1"/>
                <w:i w:val="1"/>
                <w:sz w:val="22"/>
              </w:rPr>
              <w:t>Выполнено в полном объеме</w:t>
            </w:r>
          </w:p>
          <w:p w14:paraId="30160000">
            <w:pPr>
              <w:widowControl w:val="1"/>
              <w:ind w:right="64"/>
              <w:contextualSpacing w:val="1"/>
              <w:rPr>
                <w:b w:val="1"/>
                <w:i w:val="1"/>
                <w:sz w:val="22"/>
              </w:rPr>
            </w:pPr>
          </w:p>
          <w:p w14:paraId="31160000">
            <w:pPr>
              <w:widowControl w:val="1"/>
              <w:ind w:right="64"/>
              <w:contextualSpacing w:val="1"/>
              <w:rPr>
                <w:b w:val="1"/>
                <w:i w:val="1"/>
                <w:sz w:val="22"/>
              </w:rPr>
            </w:pPr>
          </w:p>
          <w:p w14:paraId="32160000">
            <w:pPr>
              <w:widowControl w:val="1"/>
              <w:ind w:right="64"/>
              <w:contextualSpacing w:val="1"/>
              <w:rPr>
                <w:b w:val="1"/>
                <w:i w:val="1"/>
                <w:sz w:val="22"/>
              </w:rPr>
            </w:pPr>
          </w:p>
          <w:p w14:paraId="33160000">
            <w:pPr>
              <w:widowControl w:val="1"/>
              <w:ind w:right="64"/>
              <w:contextualSpacing w:val="1"/>
              <w:rPr>
                <w:b w:val="1"/>
                <w:i w:val="1"/>
                <w:sz w:val="22"/>
              </w:rPr>
            </w:pPr>
          </w:p>
          <w:p w14:paraId="34160000">
            <w:pPr>
              <w:widowControl w:val="1"/>
              <w:ind w:right="64"/>
              <w:contextualSpacing w:val="1"/>
              <w:rPr>
                <w:b w:val="1"/>
                <w:i w:val="1"/>
                <w:sz w:val="22"/>
              </w:rPr>
            </w:pPr>
          </w:p>
          <w:p w14:paraId="35160000">
            <w:pPr>
              <w:widowControl w:val="1"/>
              <w:ind w:right="64"/>
              <w:contextualSpacing w:val="1"/>
              <w:rPr>
                <w:b w:val="1"/>
                <w:i w:val="1"/>
                <w:sz w:val="22"/>
              </w:rPr>
            </w:pPr>
          </w:p>
          <w:p w14:paraId="36160000">
            <w:pPr>
              <w:widowControl w:val="1"/>
              <w:ind w:right="64"/>
              <w:contextualSpacing w:val="1"/>
              <w:rPr>
                <w:b w:val="1"/>
                <w:i w:val="1"/>
                <w:sz w:val="22"/>
              </w:rPr>
            </w:pPr>
          </w:p>
          <w:p w14:paraId="37160000">
            <w:pPr>
              <w:widowControl w:val="1"/>
              <w:ind w:right="64"/>
              <w:contextualSpacing w:val="1"/>
              <w:rPr>
                <w:b w:val="1"/>
                <w:i w:val="1"/>
                <w:sz w:val="22"/>
              </w:rPr>
            </w:pPr>
            <w:r>
              <w:rPr>
                <w:b w:val="1"/>
                <w:i w:val="1"/>
                <w:sz w:val="22"/>
              </w:rPr>
              <w:t>Выполнено в полном объеме</w:t>
            </w:r>
          </w:p>
          <w:p w14:paraId="38160000">
            <w:pPr>
              <w:widowControl w:val="1"/>
              <w:ind w:right="64"/>
              <w:contextualSpacing w:val="1"/>
              <w:rPr>
                <w:b w:val="1"/>
                <w:i w:val="1"/>
                <w:sz w:val="22"/>
              </w:rPr>
            </w:pPr>
          </w:p>
        </w:tc>
      </w:tr>
      <w:tr>
        <w:trPr>
          <w:trHeight w:hRule="atLeast" w:val="680"/>
        </w:trPr>
        <w:tc>
          <w:tcPr>
            <w:tcW w:type="dxa" w:w="9494"/>
            <w:gridSpan w:val="4"/>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39160000">
            <w:pPr>
              <w:widowControl w:val="1"/>
              <w:ind w:left="-758" w:right="64"/>
              <w:contextualSpacing w:val="1"/>
              <w:jc w:val="center"/>
              <w:rPr>
                <w:b w:val="1"/>
                <w:sz w:val="22"/>
              </w:rPr>
            </w:pPr>
            <w:r>
              <w:rPr>
                <w:b w:val="1"/>
                <w:sz w:val="22"/>
              </w:rPr>
              <w:t>Совет директоров</w:t>
            </w:r>
          </w:p>
          <w:p w14:paraId="3A160000">
            <w:pPr>
              <w:widowControl w:val="1"/>
              <w:ind w:left="-758" w:right="64"/>
              <w:contextualSpacing w:val="1"/>
              <w:jc w:val="center"/>
              <w:rPr>
                <w:b w:val="1"/>
                <w:sz w:val="22"/>
              </w:rPr>
            </w:pPr>
            <w:r>
              <w:rPr>
                <w:b w:val="1"/>
                <w:sz w:val="22"/>
              </w:rPr>
              <w:t>«29» декабря 2018 г.</w:t>
            </w:r>
          </w:p>
          <w:p w14:paraId="3B160000">
            <w:pPr>
              <w:widowControl w:val="1"/>
              <w:ind w:left="-758" w:right="64"/>
              <w:contextualSpacing w:val="1"/>
              <w:jc w:val="center"/>
              <w:rPr>
                <w:b w:val="1"/>
                <w:i w:val="1"/>
                <w:sz w:val="22"/>
              </w:rPr>
            </w:pPr>
            <w:r>
              <w:rPr>
                <w:b w:val="1"/>
                <w:sz w:val="22"/>
              </w:rPr>
              <w:t>ПРОТОКОЛ  № 7</w:t>
            </w:r>
          </w:p>
        </w:tc>
      </w:tr>
      <w:tr>
        <w:trPr>
          <w:trHeight w:hRule="atLeast" w:val="324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3C160000">
            <w:pPr>
              <w:widowControl w:val="1"/>
              <w:ind w:firstLine="709" w:left="-758"/>
              <w:contextualSpacing w:val="1"/>
              <w:jc w:val="center"/>
              <w:rPr>
                <w:sz w:val="22"/>
              </w:rPr>
            </w:pPr>
            <w:r>
              <w:rPr>
                <w:sz w:val="22"/>
              </w:rPr>
              <w:t>1</w:t>
            </w:r>
          </w:p>
        </w:tc>
        <w:tc>
          <w:tcPr>
            <w:tcW w:type="dxa" w:w="2043"/>
            <w:tcBorders>
              <w:top w:color="000000" w:sz="4" w:val="single"/>
              <w:left w:color="000000" w:sz="4" w:val="single"/>
              <w:bottom w:color="000000" w:sz="4" w:val="single"/>
              <w:right w:color="000000" w:sz="4" w:val="single"/>
            </w:tcBorders>
            <w:tcMar>
              <w:left w:type="dxa" w:w="0"/>
              <w:right w:type="dxa" w:w="0"/>
            </w:tcMar>
          </w:tcPr>
          <w:p w14:paraId="3D160000">
            <w:pPr>
              <w:pStyle w:val="Style_12"/>
              <w:widowControl w:val="1"/>
              <w:ind w:right="64"/>
              <w:contextualSpacing w:val="1"/>
              <w:jc w:val="both"/>
              <w:rPr>
                <w:rFonts w:ascii="Times New Roman" w:hAnsi="Times New Roman"/>
                <w:sz w:val="22"/>
              </w:rPr>
            </w:pPr>
            <w:r>
              <w:rPr>
                <w:rFonts w:ascii="Times New Roman" w:hAnsi="Times New Roman"/>
                <w:sz w:val="22"/>
              </w:rPr>
              <w:t>Об индексации фиксированного размера оплаты труда генерального директора АО «Краспригород».</w:t>
            </w:r>
          </w:p>
          <w:p w14:paraId="3E16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3F160000">
            <w:pPr>
              <w:pStyle w:val="Style_17"/>
              <w:widowControl w:val="1"/>
              <w:spacing w:after="0"/>
              <w:ind w:right="64"/>
              <w:contextualSpacing w:val="1"/>
              <w:rPr>
                <w:sz w:val="22"/>
              </w:rPr>
            </w:pPr>
            <w:r>
              <w:rPr>
                <w:b w:val="1"/>
                <w:color w:val="000000"/>
                <w:sz w:val="22"/>
              </w:rPr>
              <w:t>1.1.</w:t>
            </w:r>
            <w:r>
              <w:rPr>
                <w:color w:val="000000"/>
                <w:sz w:val="22"/>
              </w:rPr>
              <w:t xml:space="preserve"> Осуществить индексацию фиксированного размера оплаты труда генерального директора АО «Краспригород» Быкова Эдуарда Владимировича </w:t>
            </w:r>
            <w:r>
              <w:rPr>
                <w:sz w:val="22"/>
              </w:rPr>
              <w:t>(Приложение №1 к протоколу заседания Совета директоров).</w:t>
            </w:r>
          </w:p>
          <w:p w14:paraId="40160000">
            <w:pPr>
              <w:widowControl w:val="1"/>
              <w:ind w:right="64"/>
              <w:contextualSpacing w:val="1"/>
              <w:rPr>
                <w:sz w:val="22"/>
              </w:rPr>
            </w:pPr>
          </w:p>
          <w:p w14:paraId="41160000">
            <w:pPr>
              <w:widowControl w:val="1"/>
              <w:ind w:right="64"/>
              <w:contextualSpacing w:val="1"/>
              <w:rPr>
                <w:sz w:val="22"/>
              </w:rPr>
            </w:pPr>
            <w:r>
              <w:rPr>
                <w:b w:val="1"/>
                <w:sz w:val="22"/>
              </w:rPr>
              <w:t>1.2.</w:t>
            </w:r>
            <w:r>
              <w:rPr>
                <w:sz w:val="22"/>
              </w:rPr>
              <w:t xml:space="preserve"> Поручить председателю совета директоров </w:t>
            </w:r>
            <w:r>
              <w:rPr>
                <w:color w:val="000000"/>
                <w:sz w:val="22"/>
              </w:rPr>
              <w:t xml:space="preserve">АО </w:t>
            </w:r>
            <w:r>
              <w:rPr>
                <w:sz w:val="22"/>
              </w:rPr>
              <w:t>«</w:t>
            </w:r>
            <w:r>
              <w:rPr>
                <w:color w:val="000000"/>
                <w:sz w:val="22"/>
              </w:rPr>
              <w:t>Краспригород</w:t>
            </w:r>
            <w:r>
              <w:rPr>
                <w:sz w:val="22"/>
              </w:rPr>
              <w:t>»</w:t>
            </w:r>
            <w:r>
              <w:rPr>
                <w:color w:val="000000"/>
                <w:sz w:val="22"/>
              </w:rPr>
              <w:t xml:space="preserve"> Ткачеву Льву Викторовичу </w:t>
            </w:r>
            <w:r>
              <w:rPr>
                <w:sz w:val="22"/>
              </w:rPr>
              <w:t xml:space="preserve">подписать от имени Общества Дополнительное соглашение №5 к Трудовому договору от 03.08.2017г. </w:t>
            </w:r>
            <w:r>
              <w:rPr>
                <w:color w:val="000000"/>
                <w:sz w:val="22"/>
              </w:rPr>
              <w:t>с Быковым Эдуардом Владимировичем</w:t>
            </w:r>
            <w:r>
              <w:rPr>
                <w:sz w:val="22"/>
              </w:rPr>
              <w:t xml:space="preserve"> (Приложение №2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42160000">
            <w:pPr>
              <w:widowControl w:val="1"/>
              <w:ind w:right="64"/>
              <w:contextualSpacing w:val="1"/>
              <w:rPr>
                <w:b w:val="1"/>
                <w:i w:val="1"/>
                <w:sz w:val="22"/>
              </w:rPr>
            </w:pPr>
            <w:r>
              <w:rPr>
                <w:b w:val="1"/>
                <w:i w:val="1"/>
                <w:sz w:val="22"/>
              </w:rPr>
              <w:t>Выполнено в полном объеме</w:t>
            </w:r>
          </w:p>
          <w:p w14:paraId="43160000">
            <w:pPr>
              <w:widowControl w:val="1"/>
              <w:ind w:right="64"/>
              <w:contextualSpacing w:val="1"/>
              <w:rPr>
                <w:b w:val="1"/>
                <w:i w:val="1"/>
                <w:sz w:val="22"/>
              </w:rPr>
            </w:pPr>
          </w:p>
          <w:p w14:paraId="44160000">
            <w:pPr>
              <w:widowControl w:val="1"/>
              <w:ind w:right="64"/>
              <w:contextualSpacing w:val="1"/>
              <w:rPr>
                <w:b w:val="1"/>
                <w:i w:val="1"/>
                <w:sz w:val="22"/>
              </w:rPr>
            </w:pPr>
          </w:p>
          <w:p w14:paraId="45160000">
            <w:pPr>
              <w:widowControl w:val="1"/>
              <w:ind w:right="64"/>
              <w:contextualSpacing w:val="1"/>
              <w:rPr>
                <w:b w:val="1"/>
                <w:i w:val="1"/>
                <w:sz w:val="22"/>
              </w:rPr>
            </w:pPr>
          </w:p>
          <w:p w14:paraId="46160000">
            <w:pPr>
              <w:widowControl w:val="1"/>
              <w:ind w:right="64"/>
              <w:contextualSpacing w:val="1"/>
              <w:rPr>
                <w:b w:val="1"/>
                <w:i w:val="1"/>
                <w:sz w:val="22"/>
              </w:rPr>
            </w:pPr>
          </w:p>
          <w:p w14:paraId="47160000">
            <w:pPr>
              <w:widowControl w:val="1"/>
              <w:ind w:right="64"/>
              <w:contextualSpacing w:val="1"/>
              <w:rPr>
                <w:b w:val="1"/>
                <w:i w:val="1"/>
                <w:sz w:val="22"/>
              </w:rPr>
            </w:pPr>
            <w:r>
              <w:rPr>
                <w:b w:val="1"/>
                <w:i w:val="1"/>
                <w:sz w:val="22"/>
              </w:rPr>
              <w:t>Выполнено в полном объеме</w:t>
            </w:r>
          </w:p>
          <w:p w14:paraId="48160000">
            <w:pPr>
              <w:widowControl w:val="1"/>
              <w:ind w:right="64"/>
              <w:contextualSpacing w:val="1"/>
              <w:rPr>
                <w:b w:val="1"/>
                <w:i w:val="1"/>
                <w:sz w:val="22"/>
              </w:rPr>
            </w:pPr>
          </w:p>
        </w:tc>
      </w:tr>
      <w:tr>
        <w:trPr>
          <w:trHeight w:hRule="atLeast" w:val="2879"/>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49160000">
            <w:pPr>
              <w:widowControl w:val="1"/>
              <w:ind w:firstLine="709" w:left="-758"/>
              <w:contextualSpacing w:val="1"/>
              <w:jc w:val="center"/>
              <w:rPr>
                <w:sz w:val="22"/>
              </w:rPr>
            </w:pPr>
            <w:r>
              <w:rPr>
                <w:sz w:val="22"/>
              </w:rPr>
              <w:t>2</w:t>
            </w:r>
          </w:p>
        </w:tc>
        <w:tc>
          <w:tcPr>
            <w:tcW w:type="dxa" w:w="2043"/>
            <w:tcBorders>
              <w:top w:color="000000" w:sz="4" w:val="single"/>
              <w:left w:color="000000" w:sz="4" w:val="single"/>
              <w:bottom w:color="000000" w:sz="4" w:val="single"/>
              <w:right w:color="000000" w:sz="4" w:val="single"/>
            </w:tcBorders>
            <w:tcMar>
              <w:left w:type="dxa" w:w="0"/>
              <w:right w:type="dxa" w:w="0"/>
            </w:tcMar>
          </w:tcPr>
          <w:p w14:paraId="4A160000">
            <w:pPr>
              <w:pStyle w:val="Style_12"/>
              <w:widowControl w:val="1"/>
              <w:ind w:right="64"/>
              <w:contextualSpacing w:val="1"/>
              <w:jc w:val="both"/>
              <w:rPr>
                <w:rFonts w:ascii="Times New Roman" w:hAnsi="Times New Roman"/>
                <w:sz w:val="22"/>
              </w:rPr>
            </w:pPr>
            <w:r>
              <w:rPr>
                <w:rFonts w:ascii="Times New Roman" w:hAnsi="Times New Roman"/>
                <w:sz w:val="22"/>
              </w:rPr>
              <w:t>О рассмотрении отчета генерального директора Общества об устранении замечаний выявленных в ходе ревизионной проверки финансово-хозяйственной деятельности по итогам 2017 года.</w:t>
            </w:r>
          </w:p>
        </w:tc>
        <w:tc>
          <w:tcPr>
            <w:tcW w:type="dxa" w:w="5404"/>
            <w:tcBorders>
              <w:top w:color="000000" w:sz="4" w:val="single"/>
              <w:left w:sz="4" w:val="nil"/>
              <w:bottom w:color="000000" w:sz="4" w:val="single"/>
              <w:right w:color="000000" w:sz="4" w:val="single"/>
            </w:tcBorders>
            <w:tcMar>
              <w:left w:type="dxa" w:w="0"/>
              <w:right w:type="dxa" w:w="0"/>
            </w:tcMar>
          </w:tcPr>
          <w:p w14:paraId="4B160000">
            <w:pPr>
              <w:widowControl w:val="1"/>
              <w:ind w:right="64"/>
              <w:contextualSpacing w:val="1"/>
              <w:rPr>
                <w:sz w:val="22"/>
              </w:rPr>
            </w:pPr>
            <w:r>
              <w:rPr>
                <w:b w:val="1"/>
                <w:sz w:val="22"/>
              </w:rPr>
              <w:t>2.1.</w:t>
            </w:r>
            <w:r>
              <w:rPr>
                <w:sz w:val="22"/>
              </w:rPr>
              <w:t xml:space="preserve"> </w:t>
            </w:r>
            <w:r>
              <w:rPr>
                <w:sz w:val="22"/>
              </w:rPr>
              <w:t>Принять к сведению</w:t>
            </w:r>
            <w:r>
              <w:rPr>
                <w:sz w:val="22"/>
              </w:rPr>
              <w:t xml:space="preserve"> отчет генерального директора Общества об устранении замечаний выявленных в ходе ревизионной проверки финансово-хозяйственной деятельности по итогам 2017 года (Приложение №3 к протоколу заседания совета директоров).</w:t>
            </w:r>
          </w:p>
          <w:p w14:paraId="4C160000">
            <w:pPr>
              <w:pStyle w:val="Style_17"/>
              <w:widowControl w:val="1"/>
              <w:spacing w:after="0"/>
              <w:ind w:right="64"/>
              <w:contextualSpacing w:val="1"/>
              <w:rPr>
                <w:b w:val="1"/>
                <w:color w:val="000000"/>
                <w:sz w:val="22"/>
              </w:rPr>
            </w:pPr>
          </w:p>
        </w:tc>
        <w:tc>
          <w:tcPr>
            <w:tcW w:type="dxa" w:w="1605"/>
            <w:tcBorders>
              <w:top w:color="000000" w:sz="4" w:val="single"/>
              <w:left w:sz="4" w:val="nil"/>
              <w:bottom w:color="000000" w:sz="4" w:val="single"/>
              <w:right w:color="000000" w:sz="4" w:val="single"/>
            </w:tcBorders>
            <w:tcMar>
              <w:left w:type="dxa" w:w="0"/>
              <w:right w:type="dxa" w:w="0"/>
            </w:tcMar>
          </w:tcPr>
          <w:p w14:paraId="4D160000">
            <w:pPr>
              <w:widowControl w:val="1"/>
              <w:ind w:right="64"/>
              <w:contextualSpacing w:val="1"/>
              <w:rPr>
                <w:b w:val="1"/>
                <w:i w:val="1"/>
                <w:sz w:val="22"/>
              </w:rPr>
            </w:pPr>
            <w:r>
              <w:rPr>
                <w:b w:val="1"/>
                <w:i w:val="1"/>
                <w:sz w:val="22"/>
              </w:rPr>
              <w:t>Выполнено в полном объеме</w:t>
            </w:r>
          </w:p>
          <w:p w14:paraId="4E160000">
            <w:pPr>
              <w:widowControl w:val="1"/>
              <w:ind w:right="64"/>
              <w:contextualSpacing w:val="1"/>
              <w:rPr>
                <w:b w:val="1"/>
                <w:i w:val="1"/>
                <w:sz w:val="22"/>
              </w:rPr>
            </w:pPr>
          </w:p>
        </w:tc>
      </w:tr>
      <w:tr>
        <w:trPr>
          <w:trHeight w:hRule="atLeast" w:val="2879"/>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4F160000">
            <w:pPr>
              <w:widowControl w:val="1"/>
              <w:ind w:firstLine="709" w:left="-758"/>
              <w:contextualSpacing w:val="1"/>
              <w:jc w:val="center"/>
              <w:rPr>
                <w:sz w:val="22"/>
              </w:rPr>
            </w:pPr>
            <w:r>
              <w:rPr>
                <w:sz w:val="22"/>
              </w:rPr>
              <w:t>3</w:t>
            </w:r>
          </w:p>
        </w:tc>
        <w:tc>
          <w:tcPr>
            <w:tcW w:type="dxa" w:w="2043"/>
            <w:tcBorders>
              <w:top w:color="000000" w:sz="4" w:val="single"/>
              <w:left w:color="000000" w:sz="4" w:val="single"/>
              <w:bottom w:color="000000" w:sz="4" w:val="single"/>
              <w:right w:color="000000" w:sz="4" w:val="single"/>
            </w:tcBorders>
            <w:tcMar>
              <w:left w:type="dxa" w:w="0"/>
              <w:right w:type="dxa" w:w="0"/>
            </w:tcMar>
          </w:tcPr>
          <w:p w14:paraId="50160000">
            <w:pPr>
              <w:pStyle w:val="Style_12"/>
              <w:widowControl w:val="1"/>
              <w:ind w:right="64"/>
              <w:contextualSpacing w:val="1"/>
              <w:jc w:val="both"/>
              <w:rPr>
                <w:rFonts w:ascii="Times New Roman" w:hAnsi="Times New Roman"/>
                <w:sz w:val="22"/>
              </w:rPr>
            </w:pPr>
            <w:r>
              <w:rPr>
                <w:rFonts w:ascii="Times New Roman" w:hAnsi="Times New Roman"/>
                <w:sz w:val="22"/>
              </w:rPr>
              <w:t>Об утверждении отчета генерального директора о результатах деятельности Общества за 9 месяцев 2018 г. (о выполнении бюджета, о выполнении договоров, о кадровой политике, о кредитной политике, о социальных программах, о страховой защите, об исполнении решений совета директоров).</w:t>
            </w:r>
          </w:p>
        </w:tc>
        <w:tc>
          <w:tcPr>
            <w:tcW w:type="dxa" w:w="5404"/>
            <w:tcBorders>
              <w:top w:color="000000" w:sz="4" w:val="single"/>
              <w:left w:sz="4" w:val="nil"/>
              <w:bottom w:color="000000" w:sz="4" w:val="single"/>
              <w:right w:color="000000" w:sz="4" w:val="single"/>
            </w:tcBorders>
            <w:tcMar>
              <w:left w:type="dxa" w:w="0"/>
              <w:right w:type="dxa" w:w="0"/>
            </w:tcMar>
          </w:tcPr>
          <w:p w14:paraId="51160000">
            <w:pPr>
              <w:pStyle w:val="Style_17"/>
              <w:widowControl w:val="1"/>
              <w:spacing w:after="0"/>
              <w:ind w:right="64"/>
              <w:contextualSpacing w:val="1"/>
              <w:rPr>
                <w:color w:val="000000"/>
                <w:sz w:val="22"/>
              </w:rPr>
            </w:pPr>
            <w:r>
              <w:rPr>
                <w:b w:val="1"/>
                <w:sz w:val="22"/>
              </w:rPr>
              <w:t>3.1</w:t>
            </w:r>
            <w:r>
              <w:rPr>
                <w:sz w:val="22"/>
              </w:rPr>
              <w:t xml:space="preserve">. Принять к сведению отчет </w:t>
            </w:r>
            <w:r>
              <w:rPr>
                <w:sz w:val="22"/>
              </w:rPr>
              <w:t xml:space="preserve">генерального директора о результатах деятельности </w:t>
            </w:r>
            <w:r>
              <w:rPr>
                <w:sz w:val="22"/>
              </w:rPr>
              <w:t>Общества</w:t>
            </w:r>
            <w:r>
              <w:rPr>
                <w:sz w:val="22"/>
              </w:rPr>
              <w:t xml:space="preserve"> за 9 месяцев 2018г. согласно</w:t>
            </w:r>
            <w:r>
              <w:rPr>
                <w:sz w:val="22"/>
              </w:rPr>
              <w:t xml:space="preserve"> Приложению № 4</w:t>
            </w:r>
            <w:r>
              <w:rPr>
                <w:sz w:val="22"/>
              </w:rPr>
              <w:t xml:space="preserve"> к протоколу заседания Совета директоров</w:t>
            </w:r>
            <w:r>
              <w:rPr>
                <w:color w:val="000000"/>
                <w:sz w:val="22"/>
              </w:rPr>
              <w:t>.</w:t>
            </w:r>
          </w:p>
          <w:p w14:paraId="52160000">
            <w:pPr>
              <w:widowControl w:val="1"/>
              <w:ind w:right="64"/>
              <w:contextualSpacing w:val="1"/>
              <w:rPr>
                <w:b w:val="1"/>
                <w:sz w:val="22"/>
              </w:rPr>
            </w:pPr>
          </w:p>
          <w:p w14:paraId="53160000">
            <w:pPr>
              <w:pStyle w:val="Style_12"/>
              <w:widowControl w:val="1"/>
              <w:ind w:right="64"/>
              <w:contextualSpacing w:val="1"/>
              <w:jc w:val="both"/>
              <w:rPr>
                <w:rFonts w:ascii="Times New Roman" w:hAnsi="Times New Roman"/>
                <w:sz w:val="22"/>
              </w:rPr>
            </w:pPr>
            <w:r>
              <w:rPr>
                <w:rFonts w:ascii="Times New Roman" w:hAnsi="Times New Roman"/>
                <w:b w:val="1"/>
                <w:sz w:val="22"/>
              </w:rPr>
              <w:t>3.2.</w:t>
            </w:r>
            <w:r>
              <w:rPr>
                <w:rFonts w:ascii="Times New Roman" w:hAnsi="Times New Roman"/>
                <w:sz w:val="22"/>
              </w:rPr>
              <w:t xml:space="preserve"> Отметить перерасход фонда оплаты труда и невыполнение инвестиционной программы.</w:t>
            </w:r>
          </w:p>
          <w:p w14:paraId="54160000">
            <w:pPr>
              <w:widowControl w:val="1"/>
              <w:ind w:right="64"/>
              <w:contextualSpacing w:val="1"/>
              <w:rPr>
                <w:b w:val="1"/>
                <w:sz w:val="22"/>
              </w:rPr>
            </w:pPr>
          </w:p>
        </w:tc>
        <w:tc>
          <w:tcPr>
            <w:tcW w:type="dxa" w:w="1605"/>
            <w:tcBorders>
              <w:top w:color="000000" w:sz="4" w:val="single"/>
              <w:left w:sz="4" w:val="nil"/>
              <w:bottom w:color="000000" w:sz="4" w:val="single"/>
              <w:right w:color="000000" w:sz="4" w:val="single"/>
            </w:tcBorders>
            <w:tcMar>
              <w:left w:type="dxa" w:w="0"/>
              <w:right w:type="dxa" w:w="0"/>
            </w:tcMar>
          </w:tcPr>
          <w:p w14:paraId="55160000">
            <w:pPr>
              <w:widowControl w:val="1"/>
              <w:ind w:right="64"/>
              <w:contextualSpacing w:val="1"/>
              <w:rPr>
                <w:b w:val="1"/>
                <w:i w:val="1"/>
                <w:sz w:val="22"/>
              </w:rPr>
            </w:pPr>
            <w:r>
              <w:rPr>
                <w:b w:val="1"/>
                <w:i w:val="1"/>
                <w:sz w:val="22"/>
              </w:rPr>
              <w:t>Выполнено в полном объеме</w:t>
            </w:r>
          </w:p>
          <w:p w14:paraId="56160000">
            <w:pPr>
              <w:widowControl w:val="1"/>
              <w:ind w:right="64"/>
              <w:contextualSpacing w:val="1"/>
              <w:rPr>
                <w:b w:val="1"/>
                <w:i w:val="1"/>
                <w:sz w:val="22"/>
              </w:rPr>
            </w:pPr>
          </w:p>
        </w:tc>
      </w:tr>
      <w:tr>
        <w:trPr>
          <w:trHeight w:hRule="atLeast" w:val="1956"/>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57160000">
            <w:pPr>
              <w:widowControl w:val="1"/>
              <w:ind w:firstLine="709" w:left="-758"/>
              <w:contextualSpacing w:val="1"/>
              <w:jc w:val="center"/>
              <w:rPr>
                <w:sz w:val="22"/>
              </w:rPr>
            </w:pPr>
            <w:r>
              <w:rPr>
                <w:sz w:val="22"/>
              </w:rPr>
              <w:t>4</w:t>
            </w:r>
          </w:p>
        </w:tc>
        <w:tc>
          <w:tcPr>
            <w:tcW w:type="dxa" w:w="2043"/>
            <w:tcBorders>
              <w:top w:color="000000" w:sz="4" w:val="single"/>
              <w:left w:color="000000" w:sz="4" w:val="single"/>
              <w:bottom w:color="000000" w:sz="4" w:val="single"/>
              <w:right w:color="000000" w:sz="4" w:val="single"/>
            </w:tcBorders>
            <w:tcMar>
              <w:left w:type="dxa" w:w="0"/>
              <w:right w:type="dxa" w:w="0"/>
            </w:tcMar>
          </w:tcPr>
          <w:p w14:paraId="58160000">
            <w:pPr>
              <w:pStyle w:val="Style_12"/>
              <w:widowControl w:val="1"/>
              <w:ind w:right="64"/>
              <w:contextualSpacing w:val="1"/>
              <w:jc w:val="both"/>
              <w:rPr>
                <w:rFonts w:ascii="Times New Roman" w:hAnsi="Times New Roman"/>
                <w:sz w:val="22"/>
              </w:rPr>
            </w:pPr>
            <w:r>
              <w:rPr>
                <w:rFonts w:ascii="Times New Roman" w:hAnsi="Times New Roman"/>
                <w:sz w:val="22"/>
              </w:rPr>
              <w:t xml:space="preserve">         О премировании лица, осуществляющего функции исполнительного органа АО «Краспригород», по итогам работы за 3 квартал 2018 года.</w:t>
            </w:r>
          </w:p>
        </w:tc>
        <w:tc>
          <w:tcPr>
            <w:tcW w:type="dxa" w:w="5404"/>
            <w:tcBorders>
              <w:top w:color="000000" w:sz="4" w:val="single"/>
              <w:left w:sz="4" w:val="nil"/>
              <w:bottom w:color="000000" w:sz="4" w:val="single"/>
              <w:right w:color="000000" w:sz="4" w:val="single"/>
            </w:tcBorders>
            <w:tcMar>
              <w:left w:type="dxa" w:w="0"/>
              <w:right w:type="dxa" w:w="0"/>
            </w:tcMar>
          </w:tcPr>
          <w:p w14:paraId="59160000">
            <w:pPr>
              <w:widowControl w:val="1"/>
              <w:ind w:right="64"/>
              <w:contextualSpacing w:val="1"/>
              <w:rPr>
                <w:sz w:val="22"/>
              </w:rPr>
            </w:pPr>
            <w:r>
              <w:rPr>
                <w:b w:val="1"/>
                <w:sz w:val="22"/>
              </w:rPr>
              <w:t>4.1.</w:t>
            </w:r>
            <w:r>
              <w:rPr>
                <w:sz w:val="22"/>
              </w:rPr>
              <w:t xml:space="preserve"> Выплатить генеральному директору АО "Краспригород"</w:t>
            </w:r>
            <w:r>
              <w:rPr>
                <w:color w:val="000000"/>
                <w:sz w:val="22"/>
              </w:rPr>
              <w:t xml:space="preserve"> Быкову Эдуарду Владимировичу </w:t>
            </w:r>
            <w:r>
              <w:rPr>
                <w:sz w:val="22"/>
              </w:rPr>
              <w:t xml:space="preserve">премиальное вознаграждение </w:t>
            </w:r>
            <w:r>
              <w:rPr>
                <w:color w:val="000000"/>
                <w:sz w:val="22"/>
              </w:rPr>
              <w:t>по итогам работы за 3 квартал 2018 года</w:t>
            </w:r>
            <w:r>
              <w:rPr>
                <w:sz w:val="22"/>
              </w:rPr>
              <w:t xml:space="preserve"> в размере, согласно Приложению №5</w:t>
            </w:r>
            <w:r>
              <w:rPr>
                <w:color w:val="000000"/>
                <w:sz w:val="22"/>
              </w:rPr>
              <w:t xml:space="preserve">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5A160000">
            <w:pPr>
              <w:widowControl w:val="1"/>
              <w:ind w:right="64"/>
              <w:contextualSpacing w:val="1"/>
              <w:rPr>
                <w:b w:val="1"/>
                <w:i w:val="1"/>
                <w:sz w:val="22"/>
              </w:rPr>
            </w:pPr>
            <w:r>
              <w:rPr>
                <w:b w:val="1"/>
                <w:i w:val="1"/>
                <w:sz w:val="22"/>
              </w:rPr>
              <w:t>Выполнено в полном объеме</w:t>
            </w:r>
          </w:p>
          <w:p w14:paraId="5B160000">
            <w:pPr>
              <w:widowControl w:val="1"/>
              <w:ind w:right="64"/>
              <w:contextualSpacing w:val="1"/>
              <w:rPr>
                <w:b w:val="1"/>
                <w:i w:val="1"/>
                <w:sz w:val="22"/>
              </w:rPr>
            </w:pPr>
          </w:p>
        </w:tc>
      </w:tr>
      <w:tr>
        <w:trPr>
          <w:trHeight w:hRule="atLeast" w:val="139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5C160000">
            <w:pPr>
              <w:widowControl w:val="1"/>
              <w:ind w:firstLine="709" w:left="-758"/>
              <w:contextualSpacing w:val="1"/>
              <w:jc w:val="center"/>
              <w:rPr>
                <w:sz w:val="22"/>
              </w:rPr>
            </w:pPr>
            <w:r>
              <w:rPr>
                <w:sz w:val="22"/>
              </w:rPr>
              <w:t>5</w:t>
            </w:r>
          </w:p>
        </w:tc>
        <w:tc>
          <w:tcPr>
            <w:tcW w:type="dxa" w:w="2043"/>
            <w:tcBorders>
              <w:top w:color="000000" w:sz="4" w:val="single"/>
              <w:left w:color="000000" w:sz="4" w:val="single"/>
              <w:bottom w:color="000000" w:sz="4" w:val="single"/>
              <w:right w:color="000000" w:sz="4" w:val="single"/>
            </w:tcBorders>
            <w:tcMar>
              <w:left w:type="dxa" w:w="0"/>
              <w:right w:type="dxa" w:w="0"/>
            </w:tcMar>
          </w:tcPr>
          <w:p w14:paraId="5D160000">
            <w:pPr>
              <w:pStyle w:val="Style_11"/>
              <w:widowControl w:val="1"/>
              <w:tabs>
                <w:tab w:leader="none" w:pos="0" w:val="left"/>
              </w:tabs>
              <w:spacing w:after="0"/>
              <w:ind w:left="0" w:right="64"/>
              <w:contextualSpacing w:val="1"/>
              <w:rPr>
                <w:sz w:val="22"/>
              </w:rPr>
            </w:pPr>
            <w:r>
              <w:rPr>
                <w:sz w:val="22"/>
              </w:rPr>
              <w:t>О внесении изменений в План деятельности внутреннего аудитора Общества.</w:t>
            </w:r>
          </w:p>
          <w:p w14:paraId="5E160000">
            <w:pPr>
              <w:pStyle w:val="Style_12"/>
              <w:widowControl w:val="1"/>
              <w:ind w:right="64"/>
              <w:contextualSpacing w:val="1"/>
              <w:jc w:val="both"/>
              <w:rPr>
                <w:rFonts w:ascii="Times New Roman" w:hAnsi="Times New Roman"/>
                <w:sz w:val="22"/>
              </w:rPr>
            </w:pPr>
          </w:p>
        </w:tc>
        <w:tc>
          <w:tcPr>
            <w:tcW w:type="dxa" w:w="5404"/>
            <w:tcBorders>
              <w:top w:color="000000" w:sz="4" w:val="single"/>
              <w:left w:sz="4" w:val="nil"/>
              <w:bottom w:color="000000" w:sz="4" w:val="single"/>
              <w:right w:color="000000" w:sz="4" w:val="single"/>
            </w:tcBorders>
            <w:tcMar>
              <w:left w:type="dxa" w:w="0"/>
              <w:right w:type="dxa" w:w="0"/>
            </w:tcMar>
          </w:tcPr>
          <w:p w14:paraId="5F160000">
            <w:pPr>
              <w:widowControl w:val="1"/>
              <w:ind w:right="64"/>
              <w:contextualSpacing w:val="1"/>
              <w:rPr>
                <w:sz w:val="22"/>
              </w:rPr>
            </w:pPr>
            <w:r>
              <w:rPr>
                <w:b w:val="1"/>
                <w:color w:val="000000"/>
                <w:sz w:val="22"/>
              </w:rPr>
              <w:t>5.1.</w:t>
            </w:r>
            <w:r>
              <w:rPr>
                <w:color w:val="000000"/>
                <w:sz w:val="22"/>
              </w:rPr>
              <w:t xml:space="preserve"> </w:t>
            </w:r>
            <w:r>
              <w:rPr>
                <w:sz w:val="22"/>
              </w:rPr>
              <w:t>Внести изменения  в План деятельности внутреннего аудитора Общества, изложив его в новой редакции, согласно Приложению № 6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60160000">
            <w:pPr>
              <w:widowControl w:val="1"/>
              <w:ind w:right="64"/>
              <w:contextualSpacing w:val="1"/>
              <w:rPr>
                <w:b w:val="1"/>
                <w:i w:val="1"/>
                <w:sz w:val="22"/>
              </w:rPr>
            </w:pPr>
            <w:r>
              <w:rPr>
                <w:b w:val="1"/>
                <w:i w:val="1"/>
                <w:sz w:val="22"/>
              </w:rPr>
              <w:t>Выполнено в полном объеме</w:t>
            </w:r>
          </w:p>
          <w:p w14:paraId="61160000">
            <w:pPr>
              <w:widowControl w:val="1"/>
              <w:ind w:right="64"/>
              <w:contextualSpacing w:val="1"/>
              <w:rPr>
                <w:b w:val="1"/>
                <w:i w:val="1"/>
                <w:sz w:val="22"/>
              </w:rPr>
            </w:pPr>
          </w:p>
        </w:tc>
      </w:tr>
      <w:tr>
        <w:trPr>
          <w:trHeight w:hRule="atLeast" w:val="139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62160000">
            <w:pPr>
              <w:widowControl w:val="1"/>
              <w:ind w:firstLine="709" w:left="-758"/>
              <w:contextualSpacing w:val="1"/>
              <w:jc w:val="center"/>
              <w:rPr>
                <w:sz w:val="22"/>
              </w:rPr>
            </w:pPr>
            <w:r>
              <w:rPr>
                <w:sz w:val="22"/>
              </w:rPr>
              <w:t>6</w:t>
            </w:r>
          </w:p>
        </w:tc>
        <w:tc>
          <w:tcPr>
            <w:tcW w:type="dxa" w:w="2043"/>
            <w:tcBorders>
              <w:top w:color="000000" w:sz="4" w:val="single"/>
              <w:left w:color="000000" w:sz="4" w:val="single"/>
              <w:bottom w:color="000000" w:sz="4" w:val="single"/>
              <w:right w:color="000000" w:sz="4" w:val="single"/>
            </w:tcBorders>
            <w:tcMar>
              <w:left w:type="dxa" w:w="0"/>
              <w:right w:type="dxa" w:w="0"/>
            </w:tcMar>
          </w:tcPr>
          <w:p w14:paraId="63160000">
            <w:pPr>
              <w:widowControl w:val="1"/>
              <w:ind w:right="64"/>
              <w:contextualSpacing w:val="1"/>
              <w:rPr>
                <w:sz w:val="22"/>
              </w:rPr>
            </w:pPr>
            <w:r>
              <w:rPr>
                <w:sz w:val="22"/>
              </w:rPr>
              <w:t>О внесении изменений в План проведения внутреннего аудита Общества.</w:t>
            </w:r>
          </w:p>
          <w:p w14:paraId="64160000">
            <w:pPr>
              <w:pStyle w:val="Style_11"/>
              <w:widowControl w:val="1"/>
              <w:tabs>
                <w:tab w:leader="none" w:pos="0" w:val="left"/>
              </w:tabs>
              <w:spacing w:after="0"/>
              <w:ind w:left="0"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65160000">
            <w:pPr>
              <w:widowControl w:val="1"/>
              <w:ind w:right="64"/>
              <w:contextualSpacing w:val="1"/>
              <w:rPr>
                <w:sz w:val="22"/>
              </w:rPr>
            </w:pPr>
            <w:r>
              <w:rPr>
                <w:b w:val="1"/>
                <w:sz w:val="22"/>
              </w:rPr>
              <w:t>6.1.</w:t>
            </w:r>
            <w:r>
              <w:rPr>
                <w:sz w:val="22"/>
              </w:rPr>
              <w:t xml:space="preserve"> Внести изменения  в План проведения внутреннего аудита Общества, изложив его в новой редакции, согласно Приложению № 7 к протоколу заседания Совета директоров.</w:t>
            </w:r>
          </w:p>
          <w:p w14:paraId="66160000">
            <w:pPr>
              <w:widowControl w:val="1"/>
              <w:ind w:right="64"/>
              <w:contextualSpacing w:val="1"/>
              <w:rPr>
                <w:b w:val="1"/>
                <w:color w:val="000000"/>
                <w:sz w:val="22"/>
              </w:rPr>
            </w:pPr>
          </w:p>
        </w:tc>
        <w:tc>
          <w:tcPr>
            <w:tcW w:type="dxa" w:w="1605"/>
            <w:tcBorders>
              <w:top w:color="000000" w:sz="4" w:val="single"/>
              <w:left w:sz="4" w:val="nil"/>
              <w:bottom w:color="000000" w:sz="4" w:val="single"/>
              <w:right w:color="000000" w:sz="4" w:val="single"/>
            </w:tcBorders>
            <w:tcMar>
              <w:left w:type="dxa" w:w="0"/>
              <w:right w:type="dxa" w:w="0"/>
            </w:tcMar>
          </w:tcPr>
          <w:p w14:paraId="67160000">
            <w:pPr>
              <w:widowControl w:val="1"/>
              <w:ind w:right="64"/>
              <w:contextualSpacing w:val="1"/>
              <w:rPr>
                <w:b w:val="1"/>
                <w:i w:val="1"/>
                <w:sz w:val="22"/>
              </w:rPr>
            </w:pPr>
            <w:r>
              <w:rPr>
                <w:b w:val="1"/>
                <w:i w:val="1"/>
                <w:sz w:val="22"/>
              </w:rPr>
              <w:t>Выполнено в полном объеме</w:t>
            </w:r>
          </w:p>
          <w:p w14:paraId="68160000">
            <w:pPr>
              <w:widowControl w:val="1"/>
              <w:ind w:right="64"/>
              <w:contextualSpacing w:val="1"/>
              <w:rPr>
                <w:b w:val="1"/>
                <w:i w:val="1"/>
                <w:sz w:val="22"/>
              </w:rPr>
            </w:pPr>
          </w:p>
        </w:tc>
      </w:tr>
      <w:tr>
        <w:trPr>
          <w:trHeight w:hRule="atLeast" w:val="139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69160000">
            <w:pPr>
              <w:widowControl w:val="1"/>
              <w:ind w:firstLine="709" w:left="-758"/>
              <w:contextualSpacing w:val="1"/>
              <w:jc w:val="center"/>
              <w:rPr>
                <w:sz w:val="22"/>
              </w:rPr>
            </w:pPr>
            <w:r>
              <w:rPr>
                <w:sz w:val="22"/>
              </w:rPr>
              <w:t>7</w:t>
            </w:r>
          </w:p>
        </w:tc>
        <w:tc>
          <w:tcPr>
            <w:tcW w:type="dxa" w:w="2043"/>
            <w:tcBorders>
              <w:top w:color="000000" w:sz="4" w:val="single"/>
              <w:left w:color="000000" w:sz="4" w:val="single"/>
              <w:bottom w:color="000000" w:sz="4" w:val="single"/>
              <w:right w:color="000000" w:sz="4" w:val="single"/>
            </w:tcBorders>
            <w:tcMar>
              <w:left w:type="dxa" w:w="0"/>
              <w:right w:type="dxa" w:w="0"/>
            </w:tcMar>
          </w:tcPr>
          <w:p w14:paraId="6A160000">
            <w:pPr>
              <w:pStyle w:val="Style_11"/>
              <w:widowControl w:val="1"/>
              <w:tabs>
                <w:tab w:leader="none" w:pos="0" w:val="left"/>
              </w:tabs>
              <w:spacing w:after="0"/>
              <w:ind w:left="0" w:right="64"/>
              <w:contextualSpacing w:val="1"/>
              <w:rPr>
                <w:sz w:val="22"/>
              </w:rPr>
            </w:pPr>
            <w:r>
              <w:rPr>
                <w:sz w:val="22"/>
              </w:rPr>
              <w:t>Об утверждении Методики формирования бюджетов Общества</w:t>
            </w:r>
          </w:p>
          <w:p w14:paraId="6B16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6C160000">
            <w:pPr>
              <w:widowControl w:val="1"/>
              <w:ind w:right="64"/>
              <w:contextualSpacing w:val="1"/>
              <w:rPr>
                <w:sz w:val="22"/>
              </w:rPr>
            </w:pPr>
            <w:r>
              <w:rPr>
                <w:b w:val="1"/>
                <w:sz w:val="22"/>
              </w:rPr>
              <w:t>7.1.</w:t>
            </w:r>
            <w:r>
              <w:rPr>
                <w:sz w:val="22"/>
              </w:rPr>
              <w:t xml:space="preserve"> Утвердить Методику формирования бюджетов Общества, разработанную в соответствии с распоряжением ОАО «РЖД» от 20 ноября 2018 г. № 2441/р, в редакции Приложения № 8 к протоколу заседания Совета директоров.</w:t>
            </w:r>
          </w:p>
          <w:p w14:paraId="6D160000">
            <w:pPr>
              <w:widowControl w:val="1"/>
              <w:ind w:right="64"/>
              <w:contextualSpacing w:val="1"/>
              <w:rPr>
                <w:sz w:val="22"/>
              </w:rPr>
            </w:pPr>
          </w:p>
          <w:p w14:paraId="6E160000">
            <w:pPr>
              <w:pStyle w:val="Style_12"/>
              <w:widowControl w:val="1"/>
              <w:ind w:right="64"/>
              <w:contextualSpacing w:val="1"/>
              <w:jc w:val="both"/>
              <w:rPr>
                <w:rFonts w:ascii="Times New Roman" w:hAnsi="Times New Roman"/>
                <w:i w:val="1"/>
                <w:sz w:val="22"/>
              </w:rPr>
            </w:pPr>
            <w:r>
              <w:rPr>
                <w:rFonts w:ascii="Times New Roman" w:hAnsi="Times New Roman"/>
                <w:b w:val="1"/>
                <w:sz w:val="22"/>
              </w:rPr>
              <w:t>7.2.</w:t>
            </w:r>
            <w:r>
              <w:rPr>
                <w:rFonts w:ascii="Times New Roman" w:hAnsi="Times New Roman"/>
                <w:i w:val="1"/>
                <w:sz w:val="22"/>
              </w:rPr>
              <w:t xml:space="preserve"> </w:t>
            </w:r>
            <w:r>
              <w:rPr>
                <w:rFonts w:ascii="Times New Roman" w:hAnsi="Times New Roman"/>
                <w:sz w:val="22"/>
              </w:rPr>
              <w:t>Признать утратившей силу Методику формирования бюджетов Общества, утвержденную решением совета директоров Общества (протокол от 22.09.2017 №4).</w:t>
            </w:r>
          </w:p>
          <w:p w14:paraId="6F160000">
            <w:pPr>
              <w:widowControl w:val="1"/>
              <w:ind w:right="64"/>
              <w:contextualSpacing w:val="1"/>
              <w:rPr>
                <w:b w:val="1"/>
                <w:sz w:val="22"/>
              </w:rPr>
            </w:pPr>
          </w:p>
        </w:tc>
        <w:tc>
          <w:tcPr>
            <w:tcW w:type="dxa" w:w="1605"/>
            <w:tcBorders>
              <w:top w:color="000000" w:sz="4" w:val="single"/>
              <w:left w:sz="4" w:val="nil"/>
              <w:bottom w:color="000000" w:sz="4" w:val="single"/>
              <w:right w:color="000000" w:sz="4" w:val="single"/>
            </w:tcBorders>
            <w:tcMar>
              <w:left w:type="dxa" w:w="0"/>
              <w:right w:type="dxa" w:w="0"/>
            </w:tcMar>
          </w:tcPr>
          <w:p w14:paraId="70160000">
            <w:pPr>
              <w:widowControl w:val="1"/>
              <w:ind w:right="64"/>
              <w:contextualSpacing w:val="1"/>
              <w:rPr>
                <w:b w:val="1"/>
                <w:i w:val="1"/>
                <w:sz w:val="22"/>
              </w:rPr>
            </w:pPr>
            <w:r>
              <w:rPr>
                <w:b w:val="1"/>
                <w:i w:val="1"/>
                <w:sz w:val="22"/>
              </w:rPr>
              <w:t>Выполнено в полном объеме</w:t>
            </w:r>
          </w:p>
          <w:p w14:paraId="71160000">
            <w:pPr>
              <w:widowControl w:val="1"/>
              <w:ind w:right="64"/>
              <w:contextualSpacing w:val="1"/>
              <w:rPr>
                <w:b w:val="1"/>
                <w:i w:val="1"/>
                <w:sz w:val="22"/>
              </w:rPr>
            </w:pPr>
          </w:p>
          <w:p w14:paraId="72160000">
            <w:pPr>
              <w:widowControl w:val="1"/>
              <w:ind w:right="64"/>
              <w:contextualSpacing w:val="1"/>
              <w:rPr>
                <w:b w:val="1"/>
                <w:i w:val="1"/>
                <w:sz w:val="22"/>
              </w:rPr>
            </w:pPr>
          </w:p>
          <w:p w14:paraId="73160000">
            <w:pPr>
              <w:widowControl w:val="1"/>
              <w:ind w:right="64"/>
              <w:contextualSpacing w:val="1"/>
              <w:rPr>
                <w:b w:val="1"/>
                <w:i w:val="1"/>
                <w:sz w:val="22"/>
              </w:rPr>
            </w:pPr>
          </w:p>
          <w:p w14:paraId="74160000">
            <w:pPr>
              <w:widowControl w:val="1"/>
              <w:ind w:right="64"/>
              <w:contextualSpacing w:val="1"/>
              <w:rPr>
                <w:b w:val="1"/>
                <w:i w:val="1"/>
                <w:sz w:val="22"/>
              </w:rPr>
            </w:pPr>
          </w:p>
          <w:p w14:paraId="75160000">
            <w:pPr>
              <w:widowControl w:val="1"/>
              <w:ind w:right="64"/>
              <w:contextualSpacing w:val="1"/>
              <w:rPr>
                <w:b w:val="1"/>
                <w:i w:val="1"/>
                <w:sz w:val="22"/>
              </w:rPr>
            </w:pPr>
            <w:r>
              <w:rPr>
                <w:b w:val="1"/>
                <w:i w:val="1"/>
                <w:sz w:val="22"/>
              </w:rPr>
              <w:t>Выполнено в полном объеме</w:t>
            </w:r>
          </w:p>
          <w:p w14:paraId="76160000">
            <w:pPr>
              <w:widowControl w:val="1"/>
              <w:ind w:right="64"/>
              <w:contextualSpacing w:val="1"/>
              <w:rPr>
                <w:b w:val="1"/>
                <w:i w:val="1"/>
                <w:sz w:val="22"/>
              </w:rPr>
            </w:pPr>
          </w:p>
        </w:tc>
      </w:tr>
      <w:tr>
        <w:trPr>
          <w:trHeight w:hRule="atLeast" w:val="139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77160000">
            <w:pPr>
              <w:widowControl w:val="1"/>
              <w:ind w:firstLine="709" w:left="-758"/>
              <w:contextualSpacing w:val="1"/>
              <w:jc w:val="center"/>
              <w:rPr>
                <w:sz w:val="22"/>
              </w:rPr>
            </w:pPr>
            <w:r>
              <w:rPr>
                <w:sz w:val="22"/>
              </w:rPr>
              <w:t>8</w:t>
            </w:r>
          </w:p>
        </w:tc>
        <w:tc>
          <w:tcPr>
            <w:tcW w:type="dxa" w:w="2043"/>
            <w:tcBorders>
              <w:top w:color="000000" w:sz="4" w:val="single"/>
              <w:left w:color="000000" w:sz="4" w:val="single"/>
              <w:bottom w:color="000000" w:sz="4" w:val="single"/>
              <w:right w:color="000000" w:sz="4" w:val="single"/>
            </w:tcBorders>
            <w:tcMar>
              <w:left w:type="dxa" w:w="0"/>
              <w:right w:type="dxa" w:w="0"/>
            </w:tcMar>
          </w:tcPr>
          <w:p w14:paraId="78160000">
            <w:pPr>
              <w:pStyle w:val="Style_12"/>
              <w:widowControl w:val="1"/>
              <w:ind w:right="64"/>
              <w:contextualSpacing w:val="1"/>
              <w:jc w:val="both"/>
              <w:rPr>
                <w:rFonts w:ascii="Times New Roman" w:hAnsi="Times New Roman"/>
                <w:b w:val="1"/>
                <w:sz w:val="22"/>
                <w:u w:val="single"/>
              </w:rPr>
            </w:pPr>
            <w:r>
              <w:rPr>
                <w:rFonts w:ascii="Times New Roman" w:hAnsi="Times New Roman"/>
                <w:sz w:val="22"/>
              </w:rPr>
              <w:t>О внесении изменений в Методику формирования отчетов о выполнении бюджетов Общества</w:t>
            </w:r>
          </w:p>
          <w:p w14:paraId="79160000">
            <w:pPr>
              <w:pStyle w:val="Style_11"/>
              <w:widowControl w:val="1"/>
              <w:tabs>
                <w:tab w:leader="none" w:pos="0" w:val="left"/>
              </w:tabs>
              <w:spacing w:after="0"/>
              <w:ind w:left="0"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7A160000">
            <w:pPr>
              <w:widowControl w:val="1"/>
              <w:ind w:right="64"/>
              <w:contextualSpacing w:val="1"/>
              <w:rPr>
                <w:sz w:val="22"/>
              </w:rPr>
            </w:pPr>
            <w:r>
              <w:rPr>
                <w:b w:val="1"/>
                <w:sz w:val="22"/>
              </w:rPr>
              <w:t>8.1.</w:t>
            </w:r>
            <w:r>
              <w:rPr>
                <w:sz w:val="22"/>
              </w:rPr>
              <w:t xml:space="preserve"> Внести изменения в Методику формирования отчетов о выполнении бюджетов Общества, утвержденную решением совета директоров Общества (протокол от 07.09.2016г. протокол № 4), в соответствии с распоряжением ОАО «РЖД» от 20 ноября 2018 г. № 2439/р, согласно Приложению № 9 к протоколу заседания Совета директоров.</w:t>
            </w:r>
          </w:p>
          <w:p w14:paraId="7B160000">
            <w:pPr>
              <w:widowControl w:val="1"/>
              <w:ind w:right="64"/>
              <w:contextualSpacing w:val="1"/>
              <w:rPr>
                <w:sz w:val="22"/>
              </w:rPr>
            </w:pPr>
          </w:p>
          <w:p w14:paraId="7C160000">
            <w:pPr>
              <w:widowControl w:val="1"/>
              <w:ind w:right="64"/>
              <w:contextualSpacing w:val="1"/>
              <w:rPr>
                <w:sz w:val="22"/>
              </w:rPr>
            </w:pPr>
            <w:r>
              <w:rPr>
                <w:b w:val="1"/>
                <w:sz w:val="22"/>
              </w:rPr>
              <w:t>8.2.</w:t>
            </w:r>
            <w:r>
              <w:rPr>
                <w:sz w:val="22"/>
              </w:rPr>
              <w:t xml:space="preserve"> Обеспечить применение Методики в новой редакции начиная с формирования отчетов о выполнении бюджетов за </w:t>
            </w:r>
            <w:r>
              <w:rPr>
                <w:sz w:val="22"/>
              </w:rPr>
              <w:t>I</w:t>
            </w:r>
            <w:r>
              <w:rPr>
                <w:sz w:val="22"/>
              </w:rPr>
              <w:t xml:space="preserve"> квартал 2019 года.</w:t>
            </w:r>
          </w:p>
          <w:p w14:paraId="7D160000">
            <w:pPr>
              <w:widowControl w:val="1"/>
              <w:ind w:right="64"/>
              <w:contextualSpacing w:val="1"/>
              <w:rPr>
                <w:b w:val="1"/>
                <w:sz w:val="22"/>
              </w:rPr>
            </w:pPr>
          </w:p>
        </w:tc>
        <w:tc>
          <w:tcPr>
            <w:tcW w:type="dxa" w:w="1605"/>
            <w:tcBorders>
              <w:top w:color="000000" w:sz="4" w:val="single"/>
              <w:left w:sz="4" w:val="nil"/>
              <w:bottom w:color="000000" w:sz="4" w:val="single"/>
              <w:right w:color="000000" w:sz="4" w:val="single"/>
            </w:tcBorders>
            <w:tcMar>
              <w:left w:type="dxa" w:w="0"/>
              <w:right w:type="dxa" w:w="0"/>
            </w:tcMar>
          </w:tcPr>
          <w:p w14:paraId="7E160000">
            <w:pPr>
              <w:widowControl w:val="1"/>
              <w:ind w:right="64"/>
              <w:contextualSpacing w:val="1"/>
              <w:rPr>
                <w:b w:val="1"/>
                <w:i w:val="1"/>
                <w:sz w:val="22"/>
              </w:rPr>
            </w:pPr>
            <w:r>
              <w:rPr>
                <w:b w:val="1"/>
                <w:i w:val="1"/>
                <w:sz w:val="22"/>
              </w:rPr>
              <w:t>Выполнено в полном объеме</w:t>
            </w:r>
          </w:p>
          <w:p w14:paraId="7F160000">
            <w:pPr>
              <w:widowControl w:val="1"/>
              <w:ind w:right="64"/>
              <w:contextualSpacing w:val="1"/>
              <w:rPr>
                <w:b w:val="1"/>
                <w:i w:val="1"/>
                <w:sz w:val="22"/>
              </w:rPr>
            </w:pPr>
          </w:p>
        </w:tc>
      </w:tr>
      <w:tr>
        <w:trPr>
          <w:trHeight w:hRule="atLeast" w:val="139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80160000">
            <w:pPr>
              <w:widowControl w:val="1"/>
              <w:ind w:firstLine="709" w:left="-758"/>
              <w:contextualSpacing w:val="1"/>
              <w:jc w:val="center"/>
              <w:rPr>
                <w:sz w:val="22"/>
              </w:rPr>
            </w:pPr>
            <w:r>
              <w:rPr>
                <w:sz w:val="22"/>
              </w:rPr>
              <w:t>9</w:t>
            </w:r>
          </w:p>
        </w:tc>
        <w:tc>
          <w:tcPr>
            <w:tcW w:type="dxa" w:w="2043"/>
            <w:tcBorders>
              <w:top w:color="000000" w:sz="4" w:val="single"/>
              <w:left w:color="000000" w:sz="4" w:val="single"/>
              <w:bottom w:color="000000" w:sz="4" w:val="single"/>
              <w:right w:color="000000" w:sz="4" w:val="single"/>
            </w:tcBorders>
            <w:tcMar>
              <w:left w:type="dxa" w:w="0"/>
              <w:right w:type="dxa" w:w="0"/>
            </w:tcMar>
          </w:tcPr>
          <w:p w14:paraId="81160000">
            <w:pPr>
              <w:widowControl w:val="1"/>
              <w:ind w:right="64"/>
              <w:contextualSpacing w:val="1"/>
              <w:jc w:val="center"/>
              <w:rPr>
                <w:sz w:val="22"/>
              </w:rPr>
            </w:pPr>
            <w:r>
              <w:rPr>
                <w:sz w:val="22"/>
              </w:rPr>
              <w:t>Об утверждении Классификатора платежей Общества</w:t>
            </w:r>
          </w:p>
          <w:p w14:paraId="82160000">
            <w:pPr>
              <w:pStyle w:val="Style_12"/>
              <w:widowControl w:val="1"/>
              <w:ind w:right="64"/>
              <w:contextualSpacing w:val="1"/>
              <w:jc w:val="both"/>
              <w:rPr>
                <w:rFonts w:ascii="Times New Roman" w:hAnsi="Times New Roman"/>
                <w:sz w:val="22"/>
              </w:rPr>
            </w:pPr>
          </w:p>
        </w:tc>
        <w:tc>
          <w:tcPr>
            <w:tcW w:type="dxa" w:w="5404"/>
            <w:tcBorders>
              <w:top w:color="000000" w:sz="4" w:val="single"/>
              <w:left w:sz="4" w:val="nil"/>
              <w:bottom w:color="000000" w:sz="4" w:val="single"/>
              <w:right w:color="000000" w:sz="4" w:val="single"/>
            </w:tcBorders>
            <w:tcMar>
              <w:left w:type="dxa" w:w="0"/>
              <w:right w:type="dxa" w:w="0"/>
            </w:tcMar>
          </w:tcPr>
          <w:p w14:paraId="83160000">
            <w:pPr>
              <w:widowControl w:val="1"/>
              <w:ind w:right="64"/>
              <w:contextualSpacing w:val="1"/>
              <w:rPr>
                <w:sz w:val="22"/>
              </w:rPr>
            </w:pPr>
            <w:r>
              <w:rPr>
                <w:b w:val="1"/>
                <w:sz w:val="22"/>
              </w:rPr>
              <w:t>9.1.</w:t>
            </w:r>
            <w:r>
              <w:rPr>
                <w:sz w:val="22"/>
              </w:rPr>
              <w:t xml:space="preserve"> Утвердить Классификатор платежей Общества, разработанный на основании распоряжения ОАО «РЖД от 26.11.2018 №2488/р, в редакции Приложения № 10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84160000">
            <w:pPr>
              <w:widowControl w:val="1"/>
              <w:ind w:right="64"/>
              <w:contextualSpacing w:val="1"/>
              <w:rPr>
                <w:b w:val="1"/>
                <w:i w:val="1"/>
                <w:sz w:val="22"/>
              </w:rPr>
            </w:pPr>
            <w:r>
              <w:rPr>
                <w:b w:val="1"/>
                <w:i w:val="1"/>
                <w:sz w:val="22"/>
              </w:rPr>
              <w:t>Выполнено в полном объеме</w:t>
            </w:r>
          </w:p>
          <w:p w14:paraId="85160000">
            <w:pPr>
              <w:widowControl w:val="1"/>
              <w:ind w:right="64"/>
              <w:contextualSpacing w:val="1"/>
              <w:rPr>
                <w:b w:val="1"/>
                <w:i w:val="1"/>
                <w:sz w:val="22"/>
              </w:rPr>
            </w:pPr>
          </w:p>
        </w:tc>
      </w:tr>
      <w:tr>
        <w:trPr>
          <w:trHeight w:hRule="atLeast" w:val="139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86160000">
            <w:pPr>
              <w:widowControl w:val="1"/>
              <w:ind w:firstLine="709" w:left="-758"/>
              <w:contextualSpacing w:val="1"/>
              <w:jc w:val="center"/>
              <w:rPr>
                <w:sz w:val="22"/>
              </w:rPr>
            </w:pPr>
            <w:r>
              <w:rPr>
                <w:sz w:val="22"/>
              </w:rPr>
              <w:t>10</w:t>
            </w:r>
          </w:p>
        </w:tc>
        <w:tc>
          <w:tcPr>
            <w:tcW w:type="dxa" w:w="2043"/>
            <w:tcBorders>
              <w:top w:color="000000" w:sz="4" w:val="single"/>
              <w:left w:color="000000" w:sz="4" w:val="single"/>
              <w:bottom w:color="000000" w:sz="4" w:val="single"/>
              <w:right w:color="000000" w:sz="4" w:val="single"/>
            </w:tcBorders>
            <w:tcMar>
              <w:left w:type="dxa" w:w="0"/>
              <w:right w:type="dxa" w:w="0"/>
            </w:tcMar>
          </w:tcPr>
          <w:p w14:paraId="87160000">
            <w:pPr>
              <w:widowControl w:val="1"/>
              <w:ind w:right="64"/>
              <w:contextualSpacing w:val="1"/>
              <w:rPr>
                <w:sz w:val="22"/>
              </w:rPr>
            </w:pPr>
            <w:r>
              <w:rPr>
                <w:sz w:val="22"/>
              </w:rPr>
              <w:t>Об утверждении бюджета АО «Краспригород» на 2019 год и плановый период 2020-2021 гг.</w:t>
            </w:r>
          </w:p>
          <w:p w14:paraId="88160000">
            <w:pPr>
              <w:widowControl w:val="1"/>
              <w:ind w:right="64"/>
              <w:contextualSpacing w:val="1"/>
              <w:jc w:val="center"/>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89160000">
            <w:pPr>
              <w:widowControl w:val="1"/>
              <w:ind w:right="64"/>
              <w:contextualSpacing w:val="1"/>
              <w:rPr>
                <w:sz w:val="22"/>
              </w:rPr>
            </w:pPr>
            <w:r>
              <w:rPr>
                <w:b w:val="1"/>
                <w:sz w:val="22"/>
              </w:rPr>
              <w:t>10.1.</w:t>
            </w:r>
            <w:r>
              <w:rPr>
                <w:sz w:val="22"/>
              </w:rPr>
              <w:t xml:space="preserve"> Утвердить бюджет АО «Краспригород» на 2019 год и плановый период 2020-2021 гг., в редакции Приложения № 11 к протоколу заседания Совета директоров.</w:t>
            </w:r>
          </w:p>
          <w:p w14:paraId="8A160000">
            <w:pPr>
              <w:widowControl w:val="1"/>
              <w:ind w:right="64"/>
              <w:contextualSpacing w:val="1"/>
              <w:rPr>
                <w:sz w:val="22"/>
              </w:rPr>
            </w:pPr>
          </w:p>
          <w:p w14:paraId="8B160000">
            <w:pPr>
              <w:pStyle w:val="Style_11"/>
              <w:widowControl w:val="1"/>
              <w:spacing w:after="0"/>
              <w:ind w:left="0" w:right="64"/>
              <w:contextualSpacing w:val="1"/>
              <w:rPr>
                <w:sz w:val="22"/>
              </w:rPr>
            </w:pPr>
            <w:r>
              <w:rPr>
                <w:b w:val="1"/>
                <w:sz w:val="22"/>
              </w:rPr>
              <w:t>10.2.</w:t>
            </w:r>
            <w:r>
              <w:rPr>
                <w:sz w:val="22"/>
              </w:rPr>
              <w:t xml:space="preserve"> Поручить генеральному директору </w:t>
            </w:r>
            <w:r>
              <w:rPr>
                <w:sz w:val="22"/>
              </w:rPr>
              <w:t>проработать вопрос с Министерством транспорта Красноярского края, об увеличении курсирования дополнительных поездов на участке Красноярск-Иланская, и внесении изменений в программу пассажирских перевозок железнодорожным транспортом в пригородном сообщении, субсидируем</w:t>
            </w:r>
            <w:r>
              <w:rPr>
                <w:sz w:val="22"/>
              </w:rPr>
              <w:t>ых из краевого бюджета в 2019г.</w:t>
            </w:r>
          </w:p>
        </w:tc>
        <w:tc>
          <w:tcPr>
            <w:tcW w:type="dxa" w:w="1605"/>
            <w:tcBorders>
              <w:top w:color="000000" w:sz="4" w:val="single"/>
              <w:left w:sz="4" w:val="nil"/>
              <w:bottom w:color="000000" w:sz="4" w:val="single"/>
              <w:right w:color="000000" w:sz="4" w:val="single"/>
            </w:tcBorders>
            <w:tcMar>
              <w:left w:type="dxa" w:w="0"/>
              <w:right w:type="dxa" w:w="0"/>
            </w:tcMar>
          </w:tcPr>
          <w:p w14:paraId="8C160000">
            <w:pPr>
              <w:widowControl w:val="1"/>
              <w:ind w:right="64"/>
              <w:contextualSpacing w:val="1"/>
              <w:rPr>
                <w:b w:val="1"/>
                <w:i w:val="1"/>
                <w:sz w:val="22"/>
              </w:rPr>
            </w:pPr>
            <w:r>
              <w:rPr>
                <w:b w:val="1"/>
                <w:i w:val="1"/>
                <w:sz w:val="22"/>
              </w:rPr>
              <w:t>Выполнено в полном объеме</w:t>
            </w:r>
          </w:p>
          <w:p w14:paraId="8D160000">
            <w:pPr>
              <w:widowControl w:val="1"/>
              <w:ind w:right="64"/>
              <w:contextualSpacing w:val="1"/>
              <w:rPr>
                <w:b w:val="1"/>
                <w:i w:val="1"/>
                <w:sz w:val="22"/>
              </w:rPr>
            </w:pPr>
          </w:p>
          <w:p w14:paraId="8E160000">
            <w:pPr>
              <w:widowControl w:val="1"/>
              <w:ind w:right="64"/>
              <w:contextualSpacing w:val="1"/>
              <w:rPr>
                <w:b w:val="1"/>
                <w:i w:val="1"/>
                <w:sz w:val="22"/>
              </w:rPr>
            </w:pPr>
          </w:p>
          <w:p w14:paraId="8F160000">
            <w:pPr>
              <w:widowControl w:val="1"/>
              <w:ind w:right="64"/>
              <w:contextualSpacing w:val="1"/>
              <w:rPr>
                <w:b w:val="1"/>
                <w:i w:val="1"/>
                <w:sz w:val="22"/>
              </w:rPr>
            </w:pPr>
          </w:p>
          <w:p w14:paraId="90160000">
            <w:pPr>
              <w:widowControl w:val="1"/>
              <w:ind w:right="64"/>
              <w:contextualSpacing w:val="1"/>
              <w:rPr>
                <w:b w:val="1"/>
                <w:i w:val="1"/>
                <w:sz w:val="22"/>
              </w:rPr>
            </w:pPr>
            <w:r>
              <w:rPr>
                <w:b w:val="1"/>
                <w:i w:val="1"/>
                <w:sz w:val="22"/>
              </w:rPr>
              <w:t>В стадии исполнения</w:t>
            </w:r>
          </w:p>
        </w:tc>
      </w:tr>
      <w:tr>
        <w:trPr>
          <w:trHeight w:hRule="atLeast" w:val="139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91160000">
            <w:pPr>
              <w:widowControl w:val="1"/>
              <w:ind w:firstLine="709" w:left="-758"/>
              <w:contextualSpacing w:val="1"/>
              <w:jc w:val="center"/>
              <w:rPr>
                <w:sz w:val="22"/>
              </w:rPr>
            </w:pPr>
            <w:r>
              <w:rPr>
                <w:sz w:val="22"/>
              </w:rPr>
              <w:t>11</w:t>
            </w:r>
          </w:p>
        </w:tc>
        <w:tc>
          <w:tcPr>
            <w:tcW w:type="dxa" w:w="2043"/>
            <w:tcBorders>
              <w:top w:color="000000" w:sz="4" w:val="single"/>
              <w:left w:color="000000" w:sz="4" w:val="single"/>
              <w:bottom w:color="000000" w:sz="4" w:val="single"/>
              <w:right w:color="000000" w:sz="4" w:val="single"/>
            </w:tcBorders>
            <w:tcMar>
              <w:left w:type="dxa" w:w="0"/>
              <w:right w:type="dxa" w:w="0"/>
            </w:tcMar>
          </w:tcPr>
          <w:p w14:paraId="92160000">
            <w:pPr>
              <w:widowControl w:val="1"/>
              <w:tabs>
                <w:tab w:leader="none" w:pos="684" w:val="left"/>
              </w:tabs>
              <w:ind w:right="64"/>
              <w:contextualSpacing w:val="1"/>
              <w:rPr>
                <w:sz w:val="22"/>
              </w:rPr>
            </w:pPr>
            <w:r>
              <w:rPr>
                <w:sz w:val="22"/>
              </w:rPr>
              <w:t>Об утверждении планов старшего внутреннего аудитора на 2019 г (план проведения внутреннего аудита, план деятельности).</w:t>
            </w:r>
          </w:p>
          <w:p w14:paraId="93160000">
            <w:pPr>
              <w:widowControl w:val="1"/>
              <w:ind w:right="64"/>
              <w:contextualSpacing w:val="1"/>
              <w:rPr>
                <w:sz w:val="22"/>
              </w:rPr>
            </w:pPr>
          </w:p>
        </w:tc>
        <w:tc>
          <w:tcPr>
            <w:tcW w:type="dxa" w:w="5404"/>
            <w:tcBorders>
              <w:top w:color="000000" w:sz="4" w:val="single"/>
              <w:left w:sz="4" w:val="nil"/>
              <w:bottom w:color="000000" w:sz="4" w:val="single"/>
              <w:right w:color="000000" w:sz="4" w:val="single"/>
            </w:tcBorders>
            <w:tcMar>
              <w:left w:type="dxa" w:w="0"/>
              <w:right w:type="dxa" w:w="0"/>
            </w:tcMar>
          </w:tcPr>
          <w:p w14:paraId="94160000">
            <w:pPr>
              <w:widowControl w:val="1"/>
              <w:ind w:right="64"/>
              <w:contextualSpacing w:val="1"/>
              <w:rPr>
                <w:sz w:val="22"/>
              </w:rPr>
            </w:pPr>
            <w:r>
              <w:rPr>
                <w:b w:val="1"/>
                <w:color w:val="000000"/>
                <w:sz w:val="22"/>
              </w:rPr>
              <w:t>11.1.</w:t>
            </w:r>
            <w:r>
              <w:rPr>
                <w:color w:val="000000"/>
                <w:sz w:val="22"/>
              </w:rPr>
              <w:t xml:space="preserve"> </w:t>
            </w:r>
            <w:r>
              <w:rPr>
                <w:sz w:val="22"/>
              </w:rPr>
              <w:t>Утвердить План проведения внутреннего аудита Общества на 2019г., согласно Приложению № 12 к протоколу заседания Совета директоров.</w:t>
            </w:r>
          </w:p>
          <w:p w14:paraId="95160000">
            <w:pPr>
              <w:widowControl w:val="1"/>
              <w:ind w:right="64"/>
              <w:contextualSpacing w:val="1"/>
              <w:rPr>
                <w:sz w:val="22"/>
              </w:rPr>
            </w:pPr>
          </w:p>
          <w:p w14:paraId="96160000">
            <w:pPr>
              <w:widowControl w:val="1"/>
              <w:ind w:right="64"/>
              <w:contextualSpacing w:val="1"/>
              <w:rPr>
                <w:sz w:val="22"/>
              </w:rPr>
            </w:pPr>
            <w:r>
              <w:rPr>
                <w:b w:val="1"/>
                <w:color w:val="000000"/>
                <w:sz w:val="22"/>
              </w:rPr>
              <w:t>11.2.</w:t>
            </w:r>
            <w:r>
              <w:rPr>
                <w:color w:val="000000"/>
                <w:sz w:val="22"/>
              </w:rPr>
              <w:t xml:space="preserve"> </w:t>
            </w:r>
            <w:r>
              <w:rPr>
                <w:sz w:val="22"/>
              </w:rPr>
              <w:t>Утвердить План деятельности внутреннего аудитора Общества на 2019г., согласно Приложению № 13 к протоколу заседания Совета директоров.</w:t>
            </w:r>
          </w:p>
        </w:tc>
        <w:tc>
          <w:tcPr>
            <w:tcW w:type="dxa" w:w="1605"/>
            <w:tcBorders>
              <w:top w:color="000000" w:sz="4" w:val="single"/>
              <w:left w:sz="4" w:val="nil"/>
              <w:bottom w:color="000000" w:sz="4" w:val="single"/>
              <w:right w:color="000000" w:sz="4" w:val="single"/>
            </w:tcBorders>
            <w:tcMar>
              <w:left w:type="dxa" w:w="0"/>
              <w:right w:type="dxa" w:w="0"/>
            </w:tcMar>
          </w:tcPr>
          <w:p w14:paraId="97160000">
            <w:pPr>
              <w:widowControl w:val="1"/>
              <w:ind w:right="64"/>
              <w:contextualSpacing w:val="1"/>
              <w:rPr>
                <w:b w:val="1"/>
                <w:i w:val="1"/>
                <w:sz w:val="22"/>
              </w:rPr>
            </w:pPr>
            <w:r>
              <w:rPr>
                <w:b w:val="1"/>
                <w:i w:val="1"/>
                <w:sz w:val="22"/>
              </w:rPr>
              <w:t>Выполнено в полном объеме</w:t>
            </w:r>
          </w:p>
          <w:p w14:paraId="98160000">
            <w:pPr>
              <w:widowControl w:val="1"/>
              <w:ind w:right="64"/>
              <w:contextualSpacing w:val="1"/>
              <w:rPr>
                <w:b w:val="1"/>
                <w:i w:val="1"/>
                <w:sz w:val="22"/>
              </w:rPr>
            </w:pPr>
          </w:p>
          <w:p w14:paraId="99160000">
            <w:pPr>
              <w:widowControl w:val="1"/>
              <w:ind w:right="64"/>
              <w:contextualSpacing w:val="1"/>
              <w:rPr>
                <w:b w:val="1"/>
                <w:i w:val="1"/>
                <w:sz w:val="22"/>
              </w:rPr>
            </w:pPr>
          </w:p>
          <w:p w14:paraId="9A160000">
            <w:pPr>
              <w:widowControl w:val="1"/>
              <w:ind w:right="64"/>
              <w:contextualSpacing w:val="1"/>
              <w:rPr>
                <w:b w:val="1"/>
                <w:i w:val="1"/>
                <w:sz w:val="22"/>
              </w:rPr>
            </w:pPr>
            <w:r>
              <w:rPr>
                <w:b w:val="1"/>
                <w:i w:val="1"/>
                <w:sz w:val="22"/>
              </w:rPr>
              <w:t>Выполнено в полном объеме</w:t>
            </w:r>
          </w:p>
          <w:p w14:paraId="9B160000">
            <w:pPr>
              <w:widowControl w:val="1"/>
              <w:ind w:right="64"/>
              <w:contextualSpacing w:val="1"/>
              <w:rPr>
                <w:b w:val="1"/>
                <w:i w:val="1"/>
                <w:sz w:val="22"/>
              </w:rPr>
            </w:pPr>
          </w:p>
        </w:tc>
      </w:tr>
      <w:tr>
        <w:trPr>
          <w:trHeight w:hRule="atLeast" w:val="139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9C160000">
            <w:pPr>
              <w:widowControl w:val="1"/>
              <w:ind w:firstLine="709" w:left="-758"/>
              <w:contextualSpacing w:val="1"/>
              <w:jc w:val="center"/>
              <w:rPr>
                <w:sz w:val="22"/>
              </w:rPr>
            </w:pPr>
            <w:r>
              <w:rPr>
                <w:sz w:val="22"/>
              </w:rPr>
              <w:t>12</w:t>
            </w:r>
          </w:p>
        </w:tc>
        <w:tc>
          <w:tcPr>
            <w:tcW w:type="dxa" w:w="2043"/>
            <w:tcBorders>
              <w:top w:color="000000" w:sz="4" w:val="single"/>
              <w:left w:color="000000" w:sz="4" w:val="single"/>
              <w:bottom w:color="000000" w:sz="4" w:val="single"/>
              <w:right w:color="000000" w:sz="4" w:val="single"/>
            </w:tcBorders>
            <w:tcMar>
              <w:left w:type="dxa" w:w="0"/>
              <w:right w:type="dxa" w:w="0"/>
            </w:tcMar>
          </w:tcPr>
          <w:p w14:paraId="9D160000">
            <w:pPr>
              <w:widowControl w:val="1"/>
              <w:ind w:right="64"/>
              <w:contextualSpacing w:val="1"/>
              <w:rPr>
                <w:sz w:val="22"/>
              </w:rPr>
            </w:pPr>
            <w:r>
              <w:rPr>
                <w:sz w:val="22"/>
              </w:rPr>
              <w:t xml:space="preserve">О рассмотрении результатов </w:t>
            </w:r>
            <w:r>
              <w:rPr>
                <w:sz w:val="22"/>
              </w:rPr>
              <w:t>оценки уровня удовлетворенности пассажиров качеством услуг пригородного железнодорожного транспорта.</w:t>
            </w:r>
          </w:p>
        </w:tc>
        <w:tc>
          <w:tcPr>
            <w:tcW w:type="dxa" w:w="5404"/>
            <w:tcBorders>
              <w:top w:color="000000" w:sz="4" w:val="single"/>
              <w:left w:sz="4" w:val="nil"/>
              <w:bottom w:color="000000" w:sz="4" w:val="single"/>
              <w:right w:color="000000" w:sz="4" w:val="single"/>
            </w:tcBorders>
            <w:tcMar>
              <w:left w:type="dxa" w:w="0"/>
              <w:right w:type="dxa" w:w="0"/>
            </w:tcMar>
          </w:tcPr>
          <w:p w14:paraId="9E160000">
            <w:pPr>
              <w:pStyle w:val="Style_12"/>
              <w:widowControl w:val="1"/>
              <w:ind w:right="64"/>
              <w:contextualSpacing w:val="1"/>
              <w:jc w:val="both"/>
              <w:rPr>
                <w:rFonts w:ascii="Times New Roman" w:hAnsi="Times New Roman"/>
                <w:color w:val="000000"/>
                <w:sz w:val="22"/>
              </w:rPr>
            </w:pPr>
            <w:r>
              <w:rPr>
                <w:rFonts w:ascii="Times New Roman" w:hAnsi="Times New Roman"/>
                <w:b w:val="1"/>
                <w:sz w:val="22"/>
              </w:rPr>
              <w:t xml:space="preserve">12.1. </w:t>
            </w:r>
            <w:r>
              <w:rPr>
                <w:rFonts w:ascii="Times New Roman" w:hAnsi="Times New Roman"/>
                <w:sz w:val="22"/>
              </w:rPr>
              <w:t xml:space="preserve">Принять к сведению результаты </w:t>
            </w:r>
            <w:r>
              <w:rPr>
                <w:rFonts w:ascii="Times New Roman" w:hAnsi="Times New Roman"/>
                <w:sz w:val="22"/>
              </w:rPr>
              <w:t>оценки уровня удовлетворенности пассажиров качеством услуг пригородного железнодорожного транспорта, согласно</w:t>
            </w:r>
            <w:r>
              <w:rPr>
                <w:rFonts w:ascii="Times New Roman" w:hAnsi="Times New Roman"/>
                <w:sz w:val="22"/>
              </w:rPr>
              <w:t xml:space="preserve"> Приложению № 14</w:t>
            </w:r>
            <w:r>
              <w:rPr>
                <w:rFonts w:ascii="Times New Roman" w:hAnsi="Times New Roman"/>
                <w:sz w:val="22"/>
              </w:rPr>
              <w:t xml:space="preserve"> к протоколу заседания Совета директоров</w:t>
            </w:r>
            <w:r>
              <w:rPr>
                <w:rFonts w:ascii="Times New Roman" w:hAnsi="Times New Roman"/>
                <w:color w:val="000000"/>
                <w:sz w:val="22"/>
              </w:rPr>
              <w:t>.</w:t>
            </w:r>
          </w:p>
          <w:p w14:paraId="9F160000">
            <w:pPr>
              <w:widowControl w:val="1"/>
              <w:ind w:right="64"/>
              <w:contextualSpacing w:val="1"/>
              <w:rPr>
                <w:b w:val="1"/>
                <w:color w:val="000000"/>
                <w:sz w:val="22"/>
              </w:rPr>
            </w:pPr>
          </w:p>
        </w:tc>
        <w:tc>
          <w:tcPr>
            <w:tcW w:type="dxa" w:w="1605"/>
            <w:tcBorders>
              <w:top w:color="000000" w:sz="4" w:val="single"/>
              <w:left w:sz="4" w:val="nil"/>
              <w:bottom w:color="000000" w:sz="4" w:val="single"/>
              <w:right w:color="000000" w:sz="4" w:val="single"/>
            </w:tcBorders>
            <w:tcMar>
              <w:left w:type="dxa" w:w="0"/>
              <w:right w:type="dxa" w:w="0"/>
            </w:tcMar>
          </w:tcPr>
          <w:p w14:paraId="A0160000">
            <w:pPr>
              <w:widowControl w:val="1"/>
              <w:ind w:right="64"/>
              <w:contextualSpacing w:val="1"/>
              <w:rPr>
                <w:b w:val="1"/>
                <w:i w:val="1"/>
                <w:sz w:val="22"/>
              </w:rPr>
            </w:pPr>
            <w:r>
              <w:rPr>
                <w:b w:val="1"/>
                <w:i w:val="1"/>
                <w:sz w:val="22"/>
              </w:rPr>
              <w:t>Выполнено в полном объеме</w:t>
            </w:r>
          </w:p>
          <w:p w14:paraId="A1160000">
            <w:pPr>
              <w:widowControl w:val="1"/>
              <w:ind w:right="64"/>
              <w:contextualSpacing w:val="1"/>
              <w:rPr>
                <w:b w:val="1"/>
                <w:i w:val="1"/>
                <w:sz w:val="22"/>
              </w:rPr>
            </w:pPr>
          </w:p>
        </w:tc>
      </w:tr>
      <w:tr>
        <w:trPr>
          <w:trHeight w:hRule="atLeast" w:val="1390"/>
        </w:trPr>
        <w:tc>
          <w:tcPr>
            <w:tcW w:type="dxa" w:w="442"/>
            <w:tcBorders>
              <w:top w:color="000000" w:sz="4" w:val="single"/>
              <w:left w:color="000000" w:sz="4" w:val="single"/>
              <w:bottom w:color="000000" w:sz="4" w:val="single"/>
              <w:right w:color="000000" w:sz="4" w:val="single"/>
            </w:tcBorders>
            <w:tcMar>
              <w:top w:type="dxa" w:w="17"/>
              <w:left w:type="dxa" w:w="17"/>
              <w:bottom w:type="dxa" w:w="0"/>
              <w:right w:type="dxa" w:w="17"/>
            </w:tcMar>
            <w:vAlign w:val="center"/>
          </w:tcPr>
          <w:p w14:paraId="A2160000">
            <w:pPr>
              <w:widowControl w:val="1"/>
              <w:ind w:firstLine="709" w:left="-758"/>
              <w:contextualSpacing w:val="1"/>
              <w:jc w:val="center"/>
              <w:rPr>
                <w:sz w:val="22"/>
              </w:rPr>
            </w:pPr>
            <w:r>
              <w:rPr>
                <w:sz w:val="22"/>
              </w:rPr>
              <w:t>13</w:t>
            </w:r>
          </w:p>
        </w:tc>
        <w:tc>
          <w:tcPr>
            <w:tcW w:type="dxa" w:w="2043"/>
            <w:tcBorders>
              <w:top w:color="000000" w:sz="4" w:val="single"/>
              <w:left w:color="000000" w:sz="4" w:val="single"/>
              <w:bottom w:color="000000" w:sz="4" w:val="single"/>
              <w:right w:color="000000" w:sz="4" w:val="single"/>
            </w:tcBorders>
            <w:tcMar>
              <w:left w:type="dxa" w:w="0"/>
              <w:right w:type="dxa" w:w="0"/>
            </w:tcMar>
          </w:tcPr>
          <w:p w14:paraId="A3160000">
            <w:pPr>
              <w:widowControl w:val="1"/>
              <w:ind w:right="64"/>
              <w:contextualSpacing w:val="1"/>
              <w:rPr>
                <w:sz w:val="22"/>
              </w:rPr>
            </w:pPr>
            <w:r>
              <w:rPr>
                <w:color w:val="000000"/>
                <w:sz w:val="22"/>
              </w:rPr>
              <w:t>О подготовке к проведению внеочередного Общего собрания акционеров Общества</w:t>
            </w:r>
          </w:p>
        </w:tc>
        <w:tc>
          <w:tcPr>
            <w:tcW w:type="dxa" w:w="5404"/>
            <w:tcBorders>
              <w:top w:color="000000" w:sz="4" w:val="single"/>
              <w:left w:sz="4" w:val="nil"/>
              <w:bottom w:color="000000" w:sz="4" w:val="single"/>
              <w:right w:color="000000" w:sz="4" w:val="single"/>
            </w:tcBorders>
            <w:tcMar>
              <w:left w:type="dxa" w:w="0"/>
              <w:right w:type="dxa" w:w="0"/>
            </w:tcMar>
          </w:tcPr>
          <w:p w14:paraId="A4160000">
            <w:pPr>
              <w:widowControl w:val="1"/>
              <w:ind w:right="64"/>
              <w:contextualSpacing w:val="1"/>
              <w:rPr>
                <w:sz w:val="22"/>
              </w:rPr>
            </w:pPr>
            <w:r>
              <w:rPr>
                <w:b w:val="1"/>
                <w:sz w:val="22"/>
              </w:rPr>
              <w:t>13.1.</w:t>
            </w:r>
            <w:r>
              <w:rPr>
                <w:sz w:val="22"/>
              </w:rPr>
              <w:t xml:space="preserve"> Включить в повестку дня внеочередного общего собрания акционеров Общества вопрос "Прекращение полномочий члена ревизионной комиссии</w:t>
            </w:r>
            <w:r>
              <w:rPr>
                <w:sz w:val="22"/>
              </w:rPr>
              <w:br/>
            </w:r>
            <w:r>
              <w:rPr>
                <w:sz w:val="22"/>
              </w:rPr>
              <w:t>АО «Краспригород» Вялых Надежды Юрьевны".</w:t>
            </w:r>
          </w:p>
          <w:p w14:paraId="A5160000">
            <w:pPr>
              <w:pStyle w:val="Style_1"/>
              <w:keepNext w:val="1"/>
              <w:keepLines w:val="1"/>
              <w:widowControl w:val="1"/>
              <w:tabs>
                <w:tab w:leader="none" w:pos="567" w:val="left"/>
                <w:tab w:leader="none" w:pos="4677" w:val="clear"/>
                <w:tab w:leader="none" w:pos="7110" w:val="left"/>
              </w:tabs>
              <w:ind w:right="64"/>
              <w:contextualSpacing w:val="1"/>
              <w:rPr>
                <w:sz w:val="22"/>
              </w:rPr>
            </w:pPr>
            <w:r>
              <w:rPr>
                <w:b w:val="1"/>
                <w:color w:val="000000"/>
                <w:sz w:val="22"/>
              </w:rPr>
              <w:t xml:space="preserve">13.2. </w:t>
            </w:r>
            <w:r>
              <w:rPr>
                <w:sz w:val="22"/>
              </w:rPr>
              <w:t>Включить в повестку дня внеочередного общего собрания акционеров Общества вопрос "</w:t>
            </w:r>
            <w:r>
              <w:rPr>
                <w:sz w:val="22"/>
              </w:rPr>
              <w:t xml:space="preserve"> Избрание в состав </w:t>
            </w:r>
            <w:r>
              <w:rPr>
                <w:sz w:val="22"/>
              </w:rPr>
              <w:t>ревизионной комиссии АО «Краспригород» Третьяковой Альбины Евгеньевны".</w:t>
            </w:r>
          </w:p>
          <w:p w14:paraId="A6160000">
            <w:pPr>
              <w:widowControl w:val="1"/>
              <w:ind w:right="64"/>
              <w:contextualSpacing w:val="1"/>
              <w:rPr>
                <w:color w:val="000000"/>
                <w:sz w:val="22"/>
              </w:rPr>
            </w:pPr>
            <w:r>
              <w:rPr>
                <w:b w:val="1"/>
                <w:color w:val="000000"/>
                <w:sz w:val="22"/>
              </w:rPr>
              <w:t>13.3.</w:t>
            </w:r>
            <w:r>
              <w:rPr>
                <w:color w:val="000000"/>
                <w:sz w:val="22"/>
              </w:rPr>
              <w:t xml:space="preserve"> Созвать внеочередное общее собрание акционеров Общества в форме совместного присутствия акционеров.</w:t>
            </w:r>
          </w:p>
          <w:p w14:paraId="A7160000">
            <w:pPr>
              <w:widowControl w:val="1"/>
              <w:ind w:right="64"/>
              <w:contextualSpacing w:val="1"/>
              <w:rPr>
                <w:color w:val="000000"/>
                <w:sz w:val="22"/>
              </w:rPr>
            </w:pPr>
            <w:r>
              <w:rPr>
                <w:b w:val="1"/>
                <w:color w:val="000000"/>
                <w:sz w:val="22"/>
              </w:rPr>
              <w:t>13.4.</w:t>
            </w:r>
            <w:r>
              <w:rPr>
                <w:color w:val="000000"/>
                <w:sz w:val="22"/>
              </w:rPr>
              <w:t xml:space="preserve"> </w:t>
            </w:r>
            <w:r>
              <w:rPr>
                <w:b w:val="1"/>
                <w:sz w:val="22"/>
              </w:rPr>
              <w:tab/>
            </w:r>
            <w:r>
              <w:rPr>
                <w:sz w:val="22"/>
              </w:rPr>
              <w:t>Об определении даты, места и времени проведения внеочередного Общего собрания акционеров, а также почтового адреса, по которому могут быть направлены заполненные бюллетени:</w:t>
            </w:r>
          </w:p>
          <w:p w14:paraId="A8160000">
            <w:pPr>
              <w:widowControl w:val="1"/>
              <w:ind w:right="64"/>
              <w:contextualSpacing w:val="1"/>
              <w:rPr>
                <w:color w:val="000000"/>
                <w:sz w:val="22"/>
              </w:rPr>
            </w:pPr>
            <w:r>
              <w:rPr>
                <w:b w:val="1"/>
                <w:sz w:val="22"/>
              </w:rPr>
              <w:t>13.4.1.</w:t>
            </w:r>
            <w:r>
              <w:rPr>
                <w:sz w:val="22"/>
              </w:rPr>
              <w:t xml:space="preserve"> </w:t>
            </w:r>
            <w:r>
              <w:rPr>
                <w:color w:val="000000"/>
                <w:sz w:val="22"/>
              </w:rPr>
              <w:t xml:space="preserve">Определить дату проведения </w:t>
            </w:r>
            <w:r>
              <w:rPr>
                <w:sz w:val="22"/>
              </w:rPr>
              <w:t>внеочередного Общего собрания акционеров</w:t>
            </w:r>
            <w:r>
              <w:rPr>
                <w:color w:val="000000"/>
                <w:sz w:val="22"/>
              </w:rPr>
              <w:t>: 04 февраля 2019г.</w:t>
            </w:r>
          </w:p>
          <w:p w14:paraId="A9160000">
            <w:pPr>
              <w:widowControl w:val="1"/>
              <w:ind w:right="64"/>
              <w:contextualSpacing w:val="1"/>
              <w:rPr>
                <w:sz w:val="22"/>
              </w:rPr>
            </w:pPr>
            <w:r>
              <w:rPr>
                <w:b w:val="1"/>
                <w:sz w:val="22"/>
              </w:rPr>
              <w:t>13.4.2.</w:t>
            </w:r>
            <w:r>
              <w:rPr>
                <w:sz w:val="22"/>
              </w:rPr>
              <w:t xml:space="preserve"> Определить место проведения внеочередного Общего собрания акционеров: г. Красноярск, ул. Горького, д.6.</w:t>
            </w:r>
            <w:r>
              <w:rPr>
                <w:b w:val="1"/>
                <w:sz w:val="22"/>
              </w:rPr>
              <w:t xml:space="preserve">       </w:t>
            </w:r>
          </w:p>
          <w:p w14:paraId="AA160000">
            <w:pPr>
              <w:widowControl w:val="1"/>
              <w:ind w:right="64"/>
              <w:contextualSpacing w:val="1"/>
              <w:rPr>
                <w:sz w:val="22"/>
              </w:rPr>
            </w:pPr>
            <w:r>
              <w:rPr>
                <w:b w:val="1"/>
                <w:sz w:val="22"/>
              </w:rPr>
              <w:t>13.4.3.</w:t>
            </w:r>
            <w:r>
              <w:rPr>
                <w:sz w:val="22"/>
              </w:rPr>
              <w:t xml:space="preserve"> Определить время проведения внеочередного Общего собрания акционеров: 10 часов 00 минут по московскому времени (14 часов 00 минут по местному времени) </w:t>
            </w:r>
          </w:p>
          <w:p w14:paraId="AB160000">
            <w:pPr>
              <w:widowControl w:val="1"/>
              <w:ind w:right="64"/>
              <w:contextualSpacing w:val="1"/>
              <w:rPr>
                <w:sz w:val="22"/>
              </w:rPr>
            </w:pPr>
            <w:r>
              <w:rPr>
                <w:b w:val="1"/>
                <w:sz w:val="22"/>
              </w:rPr>
              <w:t>13.4.4.</w:t>
            </w:r>
            <w:r>
              <w:rPr>
                <w:sz w:val="22"/>
              </w:rPr>
              <w:t xml:space="preserve"> Определить место и время начала регистрации акционеров (представителей акционеров): г. Красноярск, ул. Горького, д. 6, в  09 часов 30 минут по московскому времени (13 часов 30 минут по местному времени)  04.02.2019г.</w:t>
            </w:r>
          </w:p>
          <w:p w14:paraId="AC160000">
            <w:pPr>
              <w:widowControl w:val="1"/>
              <w:ind w:right="64"/>
              <w:contextualSpacing w:val="1"/>
              <w:rPr>
                <w:sz w:val="22"/>
              </w:rPr>
            </w:pPr>
            <w:r>
              <w:rPr>
                <w:b w:val="1"/>
                <w:sz w:val="22"/>
              </w:rPr>
              <w:t>13.4.5.</w:t>
            </w:r>
            <w:r>
              <w:rPr>
                <w:sz w:val="22"/>
              </w:rPr>
              <w:t xml:space="preserve"> Определить почтовый адрес для направления заполненных бюллетеней: 660021, г. Красноярск, ул. Горького, 3 к, пом. 45, 52, 53, АО «Краспригород».</w:t>
            </w:r>
          </w:p>
          <w:p w14:paraId="AD160000">
            <w:pPr>
              <w:widowControl w:val="1"/>
              <w:ind w:right="64"/>
              <w:contextualSpacing w:val="1"/>
              <w:rPr>
                <w:color w:val="000000"/>
                <w:sz w:val="22"/>
              </w:rPr>
            </w:pPr>
            <w:r>
              <w:rPr>
                <w:b w:val="1"/>
                <w:color w:val="000000"/>
                <w:sz w:val="22"/>
              </w:rPr>
              <w:t>13.5.</w:t>
            </w:r>
            <w:r>
              <w:rPr>
                <w:color w:val="000000"/>
                <w:sz w:val="22"/>
              </w:rPr>
              <w:t xml:space="preserve"> Определить дату составления списка лиц, имеющих право на участие во внеочередном общем собрании акционеров: 14 января 2019г.</w:t>
            </w:r>
          </w:p>
          <w:p w14:paraId="AE160000">
            <w:pPr>
              <w:widowControl w:val="1"/>
              <w:ind w:right="64"/>
              <w:contextualSpacing w:val="1"/>
              <w:rPr>
                <w:color w:val="000000"/>
                <w:sz w:val="22"/>
              </w:rPr>
            </w:pPr>
            <w:r>
              <w:rPr>
                <w:b w:val="1"/>
                <w:color w:val="000000"/>
                <w:sz w:val="22"/>
              </w:rPr>
              <w:t>13.6.</w:t>
            </w:r>
            <w:r>
              <w:rPr>
                <w:color w:val="000000"/>
                <w:sz w:val="22"/>
              </w:rPr>
              <w:t xml:space="preserve"> Избрать секретарем внеочередного общего собрания акционеров АО «Краспригород» Свиридову Ольгу Сергеевну.</w:t>
            </w:r>
          </w:p>
          <w:p w14:paraId="AF160000">
            <w:pPr>
              <w:widowControl w:val="1"/>
              <w:ind w:right="64"/>
              <w:contextualSpacing w:val="1"/>
              <w:rPr>
                <w:color w:val="000000"/>
                <w:sz w:val="22"/>
              </w:rPr>
            </w:pPr>
            <w:r>
              <w:rPr>
                <w:b w:val="1"/>
                <w:color w:val="000000"/>
                <w:sz w:val="22"/>
              </w:rPr>
              <w:t>13.7.</w:t>
            </w:r>
            <w:r>
              <w:rPr>
                <w:color w:val="000000"/>
                <w:sz w:val="22"/>
              </w:rPr>
              <w:t xml:space="preserve"> </w:t>
            </w:r>
            <w:r>
              <w:rPr>
                <w:sz w:val="22"/>
              </w:rPr>
              <w:t>Определить  лицом,  осуществляющим  функции  счетной  комиссии  Общества,   АО «ВТБ Регистратор», осуществляющий ведение реестра акционеров общества</w:t>
            </w:r>
            <w:r>
              <w:rPr>
                <w:color w:val="000000"/>
                <w:sz w:val="22"/>
              </w:rPr>
              <w:t>.</w:t>
            </w:r>
          </w:p>
          <w:p w14:paraId="B0160000">
            <w:pPr>
              <w:widowControl w:val="1"/>
              <w:ind w:right="64"/>
              <w:contextualSpacing w:val="1"/>
              <w:rPr>
                <w:color w:val="000000"/>
                <w:sz w:val="22"/>
              </w:rPr>
            </w:pPr>
            <w:r>
              <w:rPr>
                <w:b w:val="1"/>
                <w:color w:val="000000"/>
                <w:sz w:val="22"/>
              </w:rPr>
              <w:t>13.8.</w:t>
            </w:r>
            <w:r>
              <w:rPr>
                <w:color w:val="000000"/>
                <w:sz w:val="22"/>
              </w:rPr>
              <w:t xml:space="preserve"> Утвердить следующую повестку дня внеочередного общего собрания акционеров:</w:t>
            </w:r>
          </w:p>
          <w:p w14:paraId="B1160000">
            <w:pPr>
              <w:pStyle w:val="Style_1"/>
              <w:keepNext w:val="1"/>
              <w:keepLines w:val="1"/>
              <w:widowControl w:val="1"/>
              <w:tabs>
                <w:tab w:leader="none" w:pos="567" w:val="left"/>
                <w:tab w:leader="none" w:pos="4677" w:val="clear"/>
                <w:tab w:leader="none" w:pos="7110" w:val="left"/>
              </w:tabs>
              <w:ind w:right="64"/>
              <w:contextualSpacing w:val="1"/>
              <w:rPr>
                <w:sz w:val="22"/>
              </w:rPr>
            </w:pPr>
            <w:r>
              <w:rPr>
                <w:color w:val="000000"/>
                <w:sz w:val="22"/>
              </w:rPr>
              <w:t>1.</w:t>
            </w:r>
            <w:r>
              <w:rPr>
                <w:b w:val="1"/>
                <w:color w:val="000000"/>
                <w:sz w:val="22"/>
              </w:rPr>
              <w:t xml:space="preserve"> </w:t>
            </w:r>
            <w:r>
              <w:rPr>
                <w:sz w:val="22"/>
              </w:rPr>
              <w:t>Прекращение полномочий члена ревизионной комиссии</w:t>
            </w:r>
            <w:r>
              <w:rPr>
                <w:sz w:val="22"/>
              </w:rPr>
              <w:br/>
            </w:r>
            <w:r>
              <w:rPr>
                <w:sz w:val="22"/>
              </w:rPr>
              <w:t>АО «Краспригород» Вялых Надежды Юрьевны;</w:t>
            </w:r>
          </w:p>
          <w:p w14:paraId="B2160000">
            <w:pPr>
              <w:pStyle w:val="Style_1"/>
              <w:keepNext w:val="1"/>
              <w:keepLines w:val="1"/>
              <w:widowControl w:val="1"/>
              <w:tabs>
                <w:tab w:leader="none" w:pos="567" w:val="left"/>
                <w:tab w:leader="none" w:pos="4677" w:val="clear"/>
                <w:tab w:leader="none" w:pos="7110" w:val="left"/>
              </w:tabs>
              <w:ind w:right="64"/>
              <w:contextualSpacing w:val="1"/>
              <w:rPr>
                <w:sz w:val="22"/>
              </w:rPr>
            </w:pPr>
            <w:r>
              <w:rPr>
                <w:sz w:val="22"/>
              </w:rPr>
              <w:t>2.</w:t>
            </w:r>
            <w:r>
              <w:rPr>
                <w:sz w:val="22"/>
              </w:rPr>
              <w:tab/>
            </w:r>
            <w:r>
              <w:rPr>
                <w:sz w:val="22"/>
              </w:rPr>
              <w:t xml:space="preserve">Избрание в состав </w:t>
            </w:r>
            <w:r>
              <w:rPr>
                <w:sz w:val="22"/>
              </w:rPr>
              <w:t>ревизионной комиссии АО «Краспригород» Третьяковой Альбины Евгеньевны</w:t>
            </w:r>
          </w:p>
          <w:p w14:paraId="B3160000">
            <w:pPr>
              <w:pStyle w:val="Style_12"/>
              <w:widowControl w:val="1"/>
              <w:ind w:right="64"/>
              <w:contextualSpacing w:val="1"/>
              <w:rPr>
                <w:rFonts w:ascii="Times New Roman" w:hAnsi="Times New Roman"/>
                <w:color w:val="000000"/>
                <w:sz w:val="22"/>
              </w:rPr>
            </w:pPr>
            <w:r>
              <w:rPr>
                <w:rFonts w:ascii="Times New Roman" w:hAnsi="Times New Roman"/>
                <w:b w:val="1"/>
                <w:color w:val="000000"/>
                <w:sz w:val="22"/>
              </w:rPr>
              <w:t xml:space="preserve"> 13.9.</w:t>
            </w:r>
            <w:r>
              <w:rPr>
                <w:rFonts w:ascii="Times New Roman" w:hAnsi="Times New Roman"/>
                <w:color w:val="000000"/>
                <w:sz w:val="22"/>
              </w:rPr>
              <w:t xml:space="preserve"> Направить не позднее 15 января 2019г. лицам, имеющим право на участие во внеочередном общем собрании акционеров, заказным письмом сообщение о проведении внеочередного общего собрания акционеров.</w:t>
            </w:r>
          </w:p>
          <w:p w14:paraId="B4160000">
            <w:pPr>
              <w:widowControl w:val="1"/>
              <w:ind w:right="64"/>
              <w:contextualSpacing w:val="1"/>
              <w:rPr>
                <w:color w:val="000000"/>
                <w:sz w:val="22"/>
              </w:rPr>
            </w:pPr>
            <w:r>
              <w:rPr>
                <w:color w:val="000000"/>
                <w:sz w:val="22"/>
              </w:rPr>
              <w:t xml:space="preserve">Утвердить форму и текст сообщения о проведении внеочередного Общего собрания акционеров (Приложение №15 </w:t>
            </w:r>
            <w:r>
              <w:rPr>
                <w:sz w:val="22"/>
              </w:rPr>
              <w:t xml:space="preserve"> к протоколу заседания Совета директоров</w:t>
            </w:r>
            <w:r>
              <w:rPr>
                <w:color w:val="000000"/>
                <w:sz w:val="22"/>
              </w:rPr>
              <w:t>).</w:t>
            </w:r>
          </w:p>
          <w:p w14:paraId="B5160000">
            <w:pPr>
              <w:widowControl w:val="1"/>
              <w:ind w:right="64"/>
              <w:contextualSpacing w:val="1"/>
              <w:rPr>
                <w:color w:val="000000"/>
                <w:sz w:val="22"/>
              </w:rPr>
            </w:pPr>
            <w:r>
              <w:rPr>
                <w:b w:val="1"/>
                <w:color w:val="000000"/>
                <w:sz w:val="22"/>
              </w:rPr>
              <w:t>13.10.</w:t>
            </w:r>
            <w:r>
              <w:rPr>
                <w:color w:val="000000"/>
                <w:sz w:val="22"/>
              </w:rPr>
              <w:t xml:space="preserve"> Определить следующий перечень информации  (материалов), предоставляемой лицам, имеющим право на участие во внеочередном общем собрании акционеров, при подготовке к проведению общего собрания акционеров:</w:t>
            </w:r>
          </w:p>
          <w:p w14:paraId="B6160000">
            <w:pPr>
              <w:widowControl w:val="1"/>
              <w:ind w:right="64"/>
              <w:contextualSpacing w:val="1"/>
              <w:rPr>
                <w:color w:val="000000"/>
                <w:sz w:val="22"/>
              </w:rPr>
            </w:pPr>
            <w:r>
              <w:rPr>
                <w:color w:val="000000"/>
                <w:sz w:val="22"/>
              </w:rPr>
              <w:t>1) сообщение о проведении внеочередного общего собрания акционеров общества;</w:t>
            </w:r>
          </w:p>
          <w:p w14:paraId="B7160000">
            <w:pPr>
              <w:widowControl w:val="1"/>
              <w:tabs>
                <w:tab w:leader="none" w:pos="709" w:val="left"/>
              </w:tabs>
              <w:ind w:right="64"/>
              <w:contextualSpacing w:val="1"/>
              <w:rPr>
                <w:color w:val="000000"/>
                <w:sz w:val="22"/>
              </w:rPr>
            </w:pPr>
            <w:r>
              <w:rPr>
                <w:color w:val="000000"/>
                <w:sz w:val="22"/>
              </w:rPr>
              <w:t>2) бюллетень для голосования на внеочередном общем собрании акционеров общества;</w:t>
            </w:r>
          </w:p>
          <w:p w14:paraId="B8160000">
            <w:pPr>
              <w:widowControl w:val="1"/>
              <w:ind w:right="64"/>
              <w:contextualSpacing w:val="1"/>
              <w:rPr>
                <w:color w:val="000000"/>
                <w:sz w:val="22"/>
              </w:rPr>
            </w:pPr>
            <w:r>
              <w:rPr>
                <w:color w:val="000000"/>
                <w:sz w:val="22"/>
              </w:rPr>
              <w:t xml:space="preserve">          Определить, что данная информация направляется лицам, имеющим право на участие во внеочередном общем собрании акционеров, кроме того, указанные лица могут с 08:00 до 17:00 местного времени </w:t>
            </w:r>
            <w:r>
              <w:rPr>
                <w:sz w:val="22"/>
              </w:rPr>
              <w:t>в рабочие дни недели</w:t>
            </w:r>
            <w:r>
              <w:rPr>
                <w:color w:val="000000"/>
                <w:sz w:val="22"/>
              </w:rPr>
              <w:t xml:space="preserve"> ознакомиться с данной информацией по адресу: г. Красноярск, ул. Горького, 3 к, в период с 15 января 2019г. по 01 февраля 2019г. </w:t>
            </w:r>
          </w:p>
          <w:p w14:paraId="B9160000">
            <w:pPr>
              <w:widowControl w:val="1"/>
              <w:ind w:right="64"/>
              <w:contextualSpacing w:val="1"/>
              <w:rPr>
                <w:b w:val="1"/>
                <w:color w:val="000000"/>
                <w:sz w:val="22"/>
              </w:rPr>
            </w:pPr>
            <w:r>
              <w:rPr>
                <w:b w:val="1"/>
                <w:color w:val="000000"/>
                <w:sz w:val="22"/>
              </w:rPr>
              <w:t>13.11.</w:t>
            </w:r>
            <w:r>
              <w:rPr>
                <w:color w:val="000000"/>
                <w:sz w:val="22"/>
              </w:rPr>
              <w:t xml:space="preserve"> Утвердить следующую форму и текст бюллетеня для голосования на внеочередном Общем собрании акционеров Общества (Приложение №16 </w:t>
            </w:r>
            <w:r>
              <w:rPr>
                <w:sz w:val="22"/>
              </w:rPr>
              <w:t xml:space="preserve"> к протоколу заседания Совета директоров</w:t>
            </w:r>
            <w:r>
              <w:rPr>
                <w:color w:val="000000"/>
                <w:sz w:val="22"/>
              </w:rPr>
              <w:t>).</w:t>
            </w:r>
            <w:r>
              <w:rPr>
                <w:b w:val="1"/>
                <w:color w:val="000000"/>
                <w:sz w:val="22"/>
              </w:rPr>
              <w:t xml:space="preserve">   </w:t>
            </w:r>
          </w:p>
          <w:p w14:paraId="BA160000">
            <w:pPr>
              <w:pStyle w:val="Style_12"/>
              <w:widowControl w:val="1"/>
              <w:ind w:right="64"/>
              <w:contextualSpacing w:val="1"/>
              <w:jc w:val="both"/>
              <w:rPr>
                <w:rFonts w:ascii="Times New Roman" w:hAnsi="Times New Roman"/>
                <w:b w:val="1"/>
                <w:sz w:val="22"/>
              </w:rPr>
            </w:pPr>
          </w:p>
        </w:tc>
        <w:tc>
          <w:tcPr>
            <w:tcW w:type="dxa" w:w="1605"/>
            <w:tcBorders>
              <w:top w:color="000000" w:sz="4" w:val="single"/>
              <w:left w:sz="4" w:val="nil"/>
              <w:bottom w:color="000000" w:sz="4" w:val="single"/>
              <w:right w:color="000000" w:sz="4" w:val="single"/>
            </w:tcBorders>
            <w:tcMar>
              <w:left w:type="dxa" w:w="0"/>
              <w:right w:type="dxa" w:w="0"/>
            </w:tcMar>
          </w:tcPr>
          <w:p w14:paraId="BB160000">
            <w:pPr>
              <w:widowControl w:val="1"/>
              <w:ind w:right="64"/>
              <w:contextualSpacing w:val="1"/>
              <w:rPr>
                <w:b w:val="1"/>
                <w:i w:val="1"/>
                <w:sz w:val="22"/>
              </w:rPr>
            </w:pPr>
            <w:r>
              <w:rPr>
                <w:b w:val="1"/>
                <w:i w:val="1"/>
                <w:sz w:val="22"/>
              </w:rPr>
              <w:t>Выполнено в полном объеме</w:t>
            </w:r>
          </w:p>
          <w:p w14:paraId="BC160000">
            <w:pPr>
              <w:widowControl w:val="1"/>
              <w:ind w:right="64"/>
              <w:contextualSpacing w:val="1"/>
              <w:rPr>
                <w:b w:val="1"/>
                <w:i w:val="1"/>
                <w:sz w:val="22"/>
              </w:rPr>
            </w:pPr>
          </w:p>
          <w:p w14:paraId="BD160000">
            <w:pPr>
              <w:widowControl w:val="1"/>
              <w:ind w:right="64"/>
              <w:contextualSpacing w:val="1"/>
              <w:rPr>
                <w:sz w:val="22"/>
              </w:rPr>
            </w:pPr>
          </w:p>
          <w:p w14:paraId="BE160000">
            <w:pPr>
              <w:widowControl w:val="1"/>
              <w:ind w:right="64"/>
              <w:contextualSpacing w:val="1"/>
              <w:rPr>
                <w:b w:val="1"/>
                <w:i w:val="1"/>
                <w:sz w:val="22"/>
              </w:rPr>
            </w:pPr>
            <w:r>
              <w:rPr>
                <w:b w:val="1"/>
                <w:i w:val="1"/>
                <w:sz w:val="22"/>
              </w:rPr>
              <w:t>Выполнено в полном объеме</w:t>
            </w:r>
          </w:p>
          <w:p w14:paraId="BF160000">
            <w:pPr>
              <w:widowControl w:val="1"/>
              <w:ind w:right="64"/>
              <w:contextualSpacing w:val="1"/>
              <w:rPr>
                <w:sz w:val="22"/>
              </w:rPr>
            </w:pPr>
          </w:p>
          <w:p w14:paraId="C0160000">
            <w:pPr>
              <w:widowControl w:val="1"/>
              <w:ind w:right="64"/>
              <w:contextualSpacing w:val="1"/>
              <w:rPr>
                <w:sz w:val="22"/>
              </w:rPr>
            </w:pPr>
          </w:p>
          <w:p w14:paraId="C1160000">
            <w:pPr>
              <w:widowControl w:val="1"/>
              <w:ind w:right="64"/>
              <w:contextualSpacing w:val="1"/>
              <w:rPr>
                <w:b w:val="1"/>
                <w:i w:val="1"/>
                <w:sz w:val="22"/>
              </w:rPr>
            </w:pPr>
            <w:r>
              <w:rPr>
                <w:b w:val="1"/>
                <w:i w:val="1"/>
                <w:sz w:val="22"/>
              </w:rPr>
              <w:t>Выполнено в полном объеме</w:t>
            </w:r>
          </w:p>
          <w:p w14:paraId="C2160000">
            <w:pPr>
              <w:widowControl w:val="1"/>
              <w:ind w:right="64"/>
              <w:contextualSpacing w:val="1"/>
              <w:rPr>
                <w:b w:val="1"/>
                <w:i w:val="1"/>
                <w:sz w:val="22"/>
              </w:rPr>
            </w:pPr>
          </w:p>
          <w:p w14:paraId="C3160000">
            <w:pPr>
              <w:widowControl w:val="1"/>
              <w:ind w:right="64"/>
              <w:contextualSpacing w:val="1"/>
              <w:rPr>
                <w:b w:val="1"/>
                <w:i w:val="1"/>
                <w:sz w:val="22"/>
              </w:rPr>
            </w:pPr>
            <w:r>
              <w:rPr>
                <w:b w:val="1"/>
                <w:i w:val="1"/>
                <w:sz w:val="22"/>
              </w:rPr>
              <w:t>Выполнено в полном объеме</w:t>
            </w:r>
          </w:p>
          <w:p w14:paraId="C4160000">
            <w:pPr>
              <w:widowControl w:val="1"/>
              <w:ind w:right="64"/>
              <w:contextualSpacing w:val="1"/>
              <w:rPr>
                <w:b w:val="1"/>
                <w:i w:val="1"/>
                <w:sz w:val="22"/>
              </w:rPr>
            </w:pPr>
          </w:p>
          <w:p w14:paraId="C5160000">
            <w:pPr>
              <w:widowControl w:val="1"/>
              <w:ind w:right="64"/>
              <w:contextualSpacing w:val="1"/>
              <w:rPr>
                <w:b w:val="1"/>
                <w:i w:val="1"/>
                <w:sz w:val="22"/>
              </w:rPr>
            </w:pPr>
          </w:p>
          <w:p w14:paraId="C6160000">
            <w:pPr>
              <w:widowControl w:val="1"/>
              <w:ind w:right="64"/>
              <w:contextualSpacing w:val="1"/>
              <w:rPr>
                <w:b w:val="1"/>
                <w:i w:val="1"/>
                <w:sz w:val="22"/>
              </w:rPr>
            </w:pPr>
          </w:p>
          <w:p w14:paraId="C7160000">
            <w:pPr>
              <w:widowControl w:val="1"/>
              <w:ind w:right="64"/>
              <w:contextualSpacing w:val="1"/>
              <w:rPr>
                <w:b w:val="1"/>
                <w:i w:val="1"/>
                <w:sz w:val="22"/>
              </w:rPr>
            </w:pPr>
          </w:p>
          <w:p w14:paraId="C8160000">
            <w:pPr>
              <w:widowControl w:val="1"/>
              <w:ind w:right="64"/>
              <w:contextualSpacing w:val="1"/>
              <w:rPr>
                <w:b w:val="1"/>
                <w:i w:val="1"/>
                <w:sz w:val="22"/>
              </w:rPr>
            </w:pPr>
          </w:p>
          <w:p w14:paraId="C9160000">
            <w:pPr>
              <w:widowControl w:val="1"/>
              <w:ind w:right="64"/>
              <w:contextualSpacing w:val="1"/>
              <w:rPr>
                <w:b w:val="1"/>
                <w:i w:val="1"/>
                <w:sz w:val="22"/>
              </w:rPr>
            </w:pPr>
          </w:p>
          <w:p w14:paraId="CA160000">
            <w:pPr>
              <w:widowControl w:val="1"/>
              <w:ind w:right="64"/>
              <w:contextualSpacing w:val="1"/>
              <w:rPr>
                <w:b w:val="1"/>
                <w:i w:val="1"/>
                <w:sz w:val="22"/>
              </w:rPr>
            </w:pPr>
          </w:p>
          <w:p w14:paraId="CB160000">
            <w:pPr>
              <w:widowControl w:val="1"/>
              <w:ind w:right="64"/>
              <w:contextualSpacing w:val="1"/>
              <w:rPr>
                <w:b w:val="1"/>
                <w:i w:val="1"/>
                <w:sz w:val="22"/>
              </w:rPr>
            </w:pPr>
          </w:p>
          <w:p w14:paraId="CC160000">
            <w:pPr>
              <w:widowControl w:val="1"/>
              <w:ind w:right="64"/>
              <w:contextualSpacing w:val="1"/>
              <w:rPr>
                <w:b w:val="1"/>
                <w:i w:val="1"/>
                <w:sz w:val="22"/>
              </w:rPr>
            </w:pPr>
          </w:p>
          <w:p w14:paraId="CD160000">
            <w:pPr>
              <w:widowControl w:val="1"/>
              <w:ind w:right="64"/>
              <w:contextualSpacing w:val="1"/>
              <w:rPr>
                <w:b w:val="1"/>
                <w:i w:val="1"/>
                <w:sz w:val="22"/>
              </w:rPr>
            </w:pPr>
          </w:p>
          <w:p w14:paraId="CE160000">
            <w:pPr>
              <w:widowControl w:val="1"/>
              <w:ind w:right="64"/>
              <w:contextualSpacing w:val="1"/>
              <w:rPr>
                <w:b w:val="1"/>
                <w:i w:val="1"/>
                <w:sz w:val="22"/>
              </w:rPr>
            </w:pPr>
          </w:p>
          <w:p w14:paraId="CF160000">
            <w:pPr>
              <w:widowControl w:val="1"/>
              <w:ind w:right="64"/>
              <w:contextualSpacing w:val="1"/>
              <w:rPr>
                <w:b w:val="1"/>
                <w:i w:val="1"/>
                <w:sz w:val="22"/>
              </w:rPr>
            </w:pPr>
          </w:p>
          <w:p w14:paraId="D0160000">
            <w:pPr>
              <w:widowControl w:val="1"/>
              <w:ind w:right="64"/>
              <w:contextualSpacing w:val="1"/>
              <w:rPr>
                <w:b w:val="1"/>
                <w:i w:val="1"/>
                <w:sz w:val="22"/>
              </w:rPr>
            </w:pPr>
          </w:p>
          <w:p w14:paraId="D1160000">
            <w:pPr>
              <w:widowControl w:val="1"/>
              <w:ind w:right="64"/>
              <w:contextualSpacing w:val="1"/>
              <w:rPr>
                <w:b w:val="1"/>
                <w:i w:val="1"/>
                <w:sz w:val="22"/>
              </w:rPr>
            </w:pPr>
          </w:p>
          <w:p w14:paraId="D2160000">
            <w:pPr>
              <w:widowControl w:val="1"/>
              <w:ind w:right="64"/>
              <w:contextualSpacing w:val="1"/>
              <w:rPr>
                <w:b w:val="1"/>
                <w:i w:val="1"/>
                <w:sz w:val="22"/>
              </w:rPr>
            </w:pPr>
          </w:p>
          <w:p w14:paraId="D3160000">
            <w:pPr>
              <w:widowControl w:val="1"/>
              <w:ind w:right="64"/>
              <w:contextualSpacing w:val="1"/>
              <w:rPr>
                <w:b w:val="1"/>
                <w:i w:val="1"/>
                <w:sz w:val="22"/>
              </w:rPr>
            </w:pPr>
          </w:p>
          <w:p w14:paraId="D4160000">
            <w:pPr>
              <w:widowControl w:val="1"/>
              <w:ind w:right="64"/>
              <w:contextualSpacing w:val="1"/>
              <w:rPr>
                <w:b w:val="1"/>
                <w:i w:val="1"/>
                <w:sz w:val="22"/>
              </w:rPr>
            </w:pPr>
          </w:p>
          <w:p w14:paraId="D5160000">
            <w:pPr>
              <w:widowControl w:val="1"/>
              <w:ind w:right="64"/>
              <w:contextualSpacing w:val="1"/>
              <w:rPr>
                <w:b w:val="1"/>
                <w:i w:val="1"/>
                <w:sz w:val="22"/>
              </w:rPr>
            </w:pPr>
          </w:p>
          <w:p w14:paraId="D6160000">
            <w:pPr>
              <w:widowControl w:val="1"/>
              <w:ind w:right="64"/>
              <w:contextualSpacing w:val="1"/>
              <w:rPr>
                <w:b w:val="1"/>
                <w:i w:val="1"/>
                <w:sz w:val="22"/>
              </w:rPr>
            </w:pPr>
            <w:r>
              <w:rPr>
                <w:b w:val="1"/>
                <w:i w:val="1"/>
                <w:sz w:val="22"/>
              </w:rPr>
              <w:t>Выполнено в полном объеме</w:t>
            </w:r>
          </w:p>
          <w:p w14:paraId="D7160000">
            <w:pPr>
              <w:widowControl w:val="1"/>
              <w:ind w:right="64"/>
              <w:contextualSpacing w:val="1"/>
              <w:rPr>
                <w:b w:val="1"/>
                <w:i w:val="1"/>
                <w:sz w:val="22"/>
              </w:rPr>
            </w:pPr>
          </w:p>
          <w:p w14:paraId="D8160000">
            <w:pPr>
              <w:widowControl w:val="1"/>
              <w:ind w:right="64"/>
              <w:contextualSpacing w:val="1"/>
              <w:rPr>
                <w:b w:val="1"/>
                <w:i w:val="1"/>
                <w:sz w:val="22"/>
              </w:rPr>
            </w:pPr>
            <w:r>
              <w:rPr>
                <w:b w:val="1"/>
                <w:i w:val="1"/>
                <w:sz w:val="22"/>
              </w:rPr>
              <w:t>Выполнено в полном объеме</w:t>
            </w:r>
          </w:p>
          <w:p w14:paraId="D9160000">
            <w:pPr>
              <w:widowControl w:val="1"/>
              <w:ind w:right="64"/>
              <w:contextualSpacing w:val="1"/>
              <w:rPr>
                <w:b w:val="1"/>
                <w:i w:val="1"/>
                <w:sz w:val="22"/>
              </w:rPr>
            </w:pPr>
          </w:p>
          <w:p w14:paraId="DA160000">
            <w:pPr>
              <w:widowControl w:val="1"/>
              <w:ind w:right="64"/>
              <w:contextualSpacing w:val="1"/>
              <w:rPr>
                <w:b w:val="1"/>
                <w:i w:val="1"/>
                <w:sz w:val="22"/>
              </w:rPr>
            </w:pPr>
            <w:r>
              <w:rPr>
                <w:b w:val="1"/>
                <w:i w:val="1"/>
                <w:sz w:val="22"/>
              </w:rPr>
              <w:t>Выполнено в полном объеме</w:t>
            </w:r>
          </w:p>
          <w:p w14:paraId="DB160000">
            <w:pPr>
              <w:widowControl w:val="1"/>
              <w:ind w:right="64"/>
              <w:contextualSpacing w:val="1"/>
              <w:rPr>
                <w:b w:val="1"/>
                <w:i w:val="1"/>
                <w:sz w:val="22"/>
              </w:rPr>
            </w:pPr>
          </w:p>
          <w:p w14:paraId="DC160000">
            <w:pPr>
              <w:widowControl w:val="1"/>
              <w:ind w:right="64"/>
              <w:contextualSpacing w:val="1"/>
              <w:rPr>
                <w:b w:val="1"/>
                <w:i w:val="1"/>
                <w:sz w:val="22"/>
              </w:rPr>
            </w:pPr>
          </w:p>
          <w:p w14:paraId="DD160000">
            <w:pPr>
              <w:widowControl w:val="1"/>
              <w:ind w:right="64"/>
              <w:contextualSpacing w:val="1"/>
              <w:rPr>
                <w:b w:val="1"/>
                <w:i w:val="1"/>
                <w:sz w:val="22"/>
              </w:rPr>
            </w:pPr>
            <w:r>
              <w:rPr>
                <w:b w:val="1"/>
                <w:i w:val="1"/>
                <w:sz w:val="22"/>
              </w:rPr>
              <w:t>Выполнено в полном объеме</w:t>
            </w:r>
          </w:p>
          <w:p w14:paraId="DE160000">
            <w:pPr>
              <w:widowControl w:val="1"/>
              <w:ind w:right="64"/>
              <w:contextualSpacing w:val="1"/>
              <w:rPr>
                <w:b w:val="1"/>
                <w:i w:val="1"/>
                <w:sz w:val="22"/>
              </w:rPr>
            </w:pPr>
          </w:p>
          <w:p w14:paraId="DF160000">
            <w:pPr>
              <w:widowControl w:val="1"/>
              <w:ind w:right="64"/>
              <w:contextualSpacing w:val="1"/>
              <w:rPr>
                <w:b w:val="1"/>
                <w:i w:val="1"/>
                <w:sz w:val="22"/>
              </w:rPr>
            </w:pPr>
          </w:p>
          <w:p w14:paraId="E0160000">
            <w:pPr>
              <w:widowControl w:val="1"/>
              <w:ind w:right="64"/>
              <w:contextualSpacing w:val="1"/>
              <w:rPr>
                <w:b w:val="1"/>
                <w:i w:val="1"/>
                <w:sz w:val="22"/>
              </w:rPr>
            </w:pPr>
          </w:p>
          <w:p w14:paraId="E1160000">
            <w:pPr>
              <w:widowControl w:val="1"/>
              <w:ind w:right="64"/>
              <w:contextualSpacing w:val="1"/>
              <w:rPr>
                <w:b w:val="1"/>
                <w:i w:val="1"/>
                <w:sz w:val="22"/>
              </w:rPr>
            </w:pPr>
          </w:p>
          <w:p w14:paraId="E2160000">
            <w:pPr>
              <w:widowControl w:val="1"/>
              <w:ind w:right="64"/>
              <w:contextualSpacing w:val="1"/>
              <w:rPr>
                <w:b w:val="1"/>
                <w:i w:val="1"/>
                <w:sz w:val="22"/>
              </w:rPr>
            </w:pPr>
            <w:r>
              <w:rPr>
                <w:b w:val="1"/>
                <w:i w:val="1"/>
                <w:sz w:val="22"/>
              </w:rPr>
              <w:t>Выполнено в полном объеме</w:t>
            </w:r>
          </w:p>
          <w:p w14:paraId="E3160000">
            <w:pPr>
              <w:widowControl w:val="1"/>
              <w:ind w:right="64"/>
              <w:contextualSpacing w:val="1"/>
              <w:rPr>
                <w:b w:val="1"/>
                <w:i w:val="1"/>
                <w:sz w:val="22"/>
              </w:rPr>
            </w:pPr>
          </w:p>
          <w:p w14:paraId="E4160000">
            <w:pPr>
              <w:widowControl w:val="1"/>
              <w:ind w:right="64"/>
              <w:contextualSpacing w:val="1"/>
              <w:rPr>
                <w:b w:val="1"/>
                <w:i w:val="1"/>
                <w:sz w:val="22"/>
              </w:rPr>
            </w:pPr>
          </w:p>
          <w:p w14:paraId="E5160000">
            <w:pPr>
              <w:widowControl w:val="1"/>
              <w:ind w:right="64"/>
              <w:contextualSpacing w:val="1"/>
              <w:rPr>
                <w:b w:val="1"/>
                <w:i w:val="1"/>
                <w:sz w:val="22"/>
              </w:rPr>
            </w:pPr>
          </w:p>
          <w:p w14:paraId="E6160000">
            <w:pPr>
              <w:widowControl w:val="1"/>
              <w:ind w:right="64"/>
              <w:contextualSpacing w:val="1"/>
              <w:rPr>
                <w:b w:val="1"/>
                <w:i w:val="1"/>
                <w:sz w:val="22"/>
              </w:rPr>
            </w:pPr>
          </w:p>
          <w:p w14:paraId="E7160000">
            <w:pPr>
              <w:widowControl w:val="1"/>
              <w:ind w:right="64"/>
              <w:contextualSpacing w:val="1"/>
              <w:rPr>
                <w:b w:val="1"/>
                <w:i w:val="1"/>
                <w:sz w:val="22"/>
              </w:rPr>
            </w:pPr>
          </w:p>
          <w:p w14:paraId="E8160000">
            <w:pPr>
              <w:widowControl w:val="1"/>
              <w:ind w:right="64"/>
              <w:contextualSpacing w:val="1"/>
              <w:rPr>
                <w:b w:val="1"/>
                <w:i w:val="1"/>
                <w:sz w:val="22"/>
              </w:rPr>
            </w:pPr>
          </w:p>
          <w:p w14:paraId="E9160000">
            <w:pPr>
              <w:widowControl w:val="1"/>
              <w:ind w:right="64"/>
              <w:contextualSpacing w:val="1"/>
              <w:rPr>
                <w:b w:val="1"/>
                <w:i w:val="1"/>
                <w:sz w:val="22"/>
              </w:rPr>
            </w:pPr>
          </w:p>
          <w:p w14:paraId="EA160000">
            <w:pPr>
              <w:widowControl w:val="1"/>
              <w:ind w:right="64"/>
              <w:contextualSpacing w:val="1"/>
              <w:rPr>
                <w:b w:val="1"/>
                <w:i w:val="1"/>
                <w:sz w:val="22"/>
              </w:rPr>
            </w:pPr>
            <w:r>
              <w:rPr>
                <w:b w:val="1"/>
                <w:i w:val="1"/>
                <w:sz w:val="22"/>
              </w:rPr>
              <w:t>Выполнено в полном объеме</w:t>
            </w:r>
          </w:p>
          <w:p w14:paraId="EB160000">
            <w:pPr>
              <w:widowControl w:val="1"/>
              <w:ind w:right="64"/>
              <w:contextualSpacing w:val="1"/>
              <w:rPr>
                <w:b w:val="1"/>
                <w:i w:val="1"/>
                <w:sz w:val="22"/>
              </w:rPr>
            </w:pPr>
          </w:p>
          <w:p w14:paraId="EC160000">
            <w:pPr>
              <w:widowControl w:val="1"/>
              <w:ind w:right="64"/>
              <w:contextualSpacing w:val="1"/>
              <w:rPr>
                <w:b w:val="1"/>
                <w:i w:val="1"/>
                <w:sz w:val="22"/>
              </w:rPr>
            </w:pPr>
          </w:p>
          <w:p w14:paraId="ED160000">
            <w:pPr>
              <w:widowControl w:val="1"/>
              <w:ind w:right="64"/>
              <w:contextualSpacing w:val="1"/>
              <w:rPr>
                <w:b w:val="1"/>
                <w:i w:val="1"/>
                <w:sz w:val="22"/>
              </w:rPr>
            </w:pPr>
          </w:p>
          <w:p w14:paraId="EE160000">
            <w:pPr>
              <w:widowControl w:val="1"/>
              <w:ind w:right="64"/>
              <w:contextualSpacing w:val="1"/>
              <w:rPr>
                <w:b w:val="1"/>
                <w:i w:val="1"/>
                <w:sz w:val="22"/>
              </w:rPr>
            </w:pPr>
          </w:p>
          <w:p w14:paraId="EF160000">
            <w:pPr>
              <w:widowControl w:val="1"/>
              <w:ind w:right="64"/>
              <w:contextualSpacing w:val="1"/>
              <w:rPr>
                <w:b w:val="1"/>
                <w:i w:val="1"/>
                <w:sz w:val="22"/>
              </w:rPr>
            </w:pPr>
          </w:p>
          <w:p w14:paraId="F0160000">
            <w:pPr>
              <w:widowControl w:val="1"/>
              <w:ind w:right="64"/>
              <w:contextualSpacing w:val="1"/>
              <w:rPr>
                <w:b w:val="1"/>
                <w:i w:val="1"/>
                <w:sz w:val="22"/>
              </w:rPr>
            </w:pPr>
          </w:p>
          <w:p w14:paraId="F1160000">
            <w:pPr>
              <w:widowControl w:val="1"/>
              <w:ind w:right="64"/>
              <w:contextualSpacing w:val="1"/>
              <w:rPr>
                <w:b w:val="1"/>
                <w:i w:val="1"/>
                <w:sz w:val="22"/>
              </w:rPr>
            </w:pPr>
          </w:p>
          <w:p w14:paraId="F2160000">
            <w:pPr>
              <w:widowControl w:val="1"/>
              <w:ind w:right="64"/>
              <w:contextualSpacing w:val="1"/>
              <w:rPr>
                <w:b w:val="1"/>
                <w:i w:val="1"/>
                <w:sz w:val="22"/>
              </w:rPr>
            </w:pPr>
          </w:p>
          <w:p w14:paraId="F3160000">
            <w:pPr>
              <w:widowControl w:val="1"/>
              <w:ind w:right="64"/>
              <w:contextualSpacing w:val="1"/>
              <w:rPr>
                <w:b w:val="1"/>
                <w:i w:val="1"/>
                <w:sz w:val="22"/>
              </w:rPr>
            </w:pPr>
          </w:p>
          <w:p w14:paraId="F4160000">
            <w:pPr>
              <w:widowControl w:val="1"/>
              <w:ind w:right="64"/>
              <w:contextualSpacing w:val="1"/>
              <w:rPr>
                <w:b w:val="1"/>
                <w:i w:val="1"/>
                <w:sz w:val="22"/>
              </w:rPr>
            </w:pPr>
          </w:p>
          <w:p w14:paraId="F5160000">
            <w:pPr>
              <w:widowControl w:val="1"/>
              <w:ind w:right="64"/>
              <w:contextualSpacing w:val="1"/>
              <w:rPr>
                <w:b w:val="1"/>
                <w:i w:val="1"/>
                <w:sz w:val="22"/>
              </w:rPr>
            </w:pPr>
          </w:p>
          <w:p w14:paraId="F6160000">
            <w:pPr>
              <w:widowControl w:val="1"/>
              <w:ind w:right="64"/>
              <w:contextualSpacing w:val="1"/>
              <w:rPr>
                <w:b w:val="1"/>
                <w:i w:val="1"/>
                <w:sz w:val="22"/>
              </w:rPr>
            </w:pPr>
          </w:p>
          <w:p w14:paraId="F7160000">
            <w:pPr>
              <w:widowControl w:val="1"/>
              <w:ind w:right="64"/>
              <w:contextualSpacing w:val="1"/>
              <w:rPr>
                <w:b w:val="1"/>
                <w:i w:val="1"/>
                <w:sz w:val="22"/>
              </w:rPr>
            </w:pPr>
          </w:p>
          <w:p w14:paraId="F8160000">
            <w:pPr>
              <w:widowControl w:val="1"/>
              <w:ind w:right="64"/>
              <w:contextualSpacing w:val="1"/>
              <w:rPr>
                <w:b w:val="1"/>
                <w:i w:val="1"/>
                <w:sz w:val="22"/>
              </w:rPr>
            </w:pPr>
          </w:p>
          <w:p w14:paraId="F9160000">
            <w:pPr>
              <w:widowControl w:val="1"/>
              <w:ind w:right="64"/>
              <w:contextualSpacing w:val="1"/>
              <w:rPr>
                <w:b w:val="1"/>
                <w:i w:val="1"/>
                <w:sz w:val="22"/>
              </w:rPr>
            </w:pPr>
            <w:r>
              <w:rPr>
                <w:b w:val="1"/>
                <w:i w:val="1"/>
                <w:sz w:val="22"/>
              </w:rPr>
              <w:t>Выполнено в полном объеме</w:t>
            </w:r>
          </w:p>
          <w:p w14:paraId="FA160000">
            <w:pPr>
              <w:widowControl w:val="1"/>
              <w:ind w:right="64"/>
              <w:contextualSpacing w:val="1"/>
              <w:rPr>
                <w:b w:val="1"/>
                <w:i w:val="1"/>
                <w:sz w:val="22"/>
              </w:rPr>
            </w:pPr>
          </w:p>
          <w:p w14:paraId="FB160000">
            <w:pPr>
              <w:widowControl w:val="1"/>
              <w:ind w:right="64"/>
              <w:contextualSpacing w:val="1"/>
              <w:rPr>
                <w:sz w:val="22"/>
              </w:rPr>
            </w:pPr>
          </w:p>
        </w:tc>
      </w:tr>
    </w:tbl>
    <w:p w14:paraId="FC160000">
      <w:pPr>
        <w:widowControl w:val="1"/>
        <w:ind w:firstLine="709"/>
        <w:contextualSpacing w:val="1"/>
        <w:jc w:val="both"/>
      </w:pPr>
    </w:p>
    <w:p w14:paraId="FD160000">
      <w:pPr>
        <w:pStyle w:val="Style_21"/>
        <w:widowControl w:val="1"/>
        <w:spacing w:after="120" w:before="120"/>
        <w:ind w:firstLine="709"/>
        <w:contextualSpacing w:val="1"/>
      </w:pPr>
    </w:p>
    <w:p w14:paraId="FE160000">
      <w:pPr>
        <w:sectPr>
          <w:headerReference r:id="rId17" w:type="default"/>
          <w:footerReference r:id="rId18" w:type="default"/>
          <w:footerReference r:id="rId19" w:type="even"/>
          <w:pgSz w:h="16840" w:orient="portrait" w:w="11907"/>
          <w:pgMar w:bottom="539" w:footer="567" w:gutter="0" w:header="720" w:left="1418" w:right="850" w:top="720"/>
          <w:titlePg/>
        </w:sectPr>
      </w:pPr>
    </w:p>
    <w:p w14:paraId="FF160000">
      <w:bookmarkStart w:id="47" w:name="__RefHeading___40"/>
      <w:bookmarkEnd w:id="47"/>
      <w:pPr>
        <w:pStyle w:val="Style_10"/>
        <w:rPr>
          <w:rFonts w:ascii="Times New Roman" w:hAnsi="Times New Roman"/>
          <w:i w:val="0"/>
        </w:rPr>
      </w:pPr>
      <w:r>
        <w:rPr>
          <w:rFonts w:ascii="Times New Roman" w:hAnsi="Times New Roman"/>
          <w:i w:val="0"/>
        </w:rPr>
        <w:t xml:space="preserve">Приложение 2. </w:t>
      </w:r>
      <w:r>
        <w:rPr>
          <w:rFonts w:ascii="Times New Roman" w:hAnsi="Times New Roman"/>
          <w:i w:val="0"/>
        </w:rPr>
        <w:t>Отчет о договорной работе за 201</w:t>
      </w:r>
      <w:r>
        <w:rPr>
          <w:rFonts w:ascii="Times New Roman" w:hAnsi="Times New Roman"/>
          <w:i w:val="0"/>
        </w:rPr>
        <w:t>8</w:t>
      </w:r>
      <w:r>
        <w:rPr>
          <w:rFonts w:ascii="Times New Roman" w:hAnsi="Times New Roman"/>
          <w:i w:val="0"/>
        </w:rPr>
        <w:t>г.</w:t>
      </w:r>
    </w:p>
    <w:p w14:paraId="00170000">
      <w:pPr>
        <w:widowControl w:val="1"/>
        <w:ind w:firstLine="709"/>
        <w:contextualSpacing w:val="1"/>
      </w:pPr>
      <w:r>
        <w:t>Отчет по доходным договорам за 201</w:t>
      </w:r>
      <w:r>
        <w:t>8</w:t>
      </w:r>
      <w:r>
        <w:t xml:space="preserve"> год.</w:t>
      </w:r>
    </w:p>
    <w:p w14:paraId="01170000">
      <w:pPr>
        <w:widowControl w:val="1"/>
        <w:ind w:firstLine="709"/>
        <w:contextualSpacing w:val="1"/>
      </w:pPr>
    </w:p>
    <w:tbl>
      <w:tblPr>
        <w:tblStyle w:val="Style_4"/>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40"/>
        <w:gridCol w:w="325"/>
        <w:gridCol w:w="1028"/>
        <w:gridCol w:w="436"/>
        <w:gridCol w:w="977"/>
        <w:gridCol w:w="956"/>
        <w:gridCol w:w="447"/>
        <w:gridCol w:w="593"/>
        <w:gridCol w:w="885"/>
        <w:gridCol w:w="612"/>
        <w:gridCol w:w="433"/>
        <w:gridCol w:w="752"/>
        <w:gridCol w:w="457"/>
        <w:gridCol w:w="728"/>
        <w:gridCol w:w="399"/>
        <w:gridCol w:w="693"/>
        <w:gridCol w:w="420"/>
        <w:gridCol w:w="590"/>
        <w:gridCol w:w="521"/>
        <w:gridCol w:w="502"/>
        <w:gridCol w:w="785"/>
        <w:gridCol w:w="490"/>
        <w:gridCol w:w="1219"/>
      </w:tblGrid>
      <w:tr>
        <w:trPr>
          <w:trHeight w:hRule="atLeast" w:val="208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02170000">
            <w:pPr>
              <w:widowControl w:val="1"/>
              <w:ind/>
              <w:contextualSpacing w:val="1"/>
              <w:jc w:val="center"/>
              <w:rPr>
                <w:b w:val="1"/>
                <w:color w:val="000000"/>
                <w:sz w:val="22"/>
              </w:rPr>
            </w:pPr>
            <w:r>
              <w:rPr>
                <w:b w:val="1"/>
                <w:color w:val="000000"/>
                <w:sz w:val="22"/>
              </w:rPr>
              <w:t>№ п/п</w:t>
            </w:r>
            <w:r>
              <w:rPr>
                <w:b w:val="1"/>
                <w:color w:val="000000"/>
                <w:sz w:val="22"/>
              </w:rPr>
              <w:t>/</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03170000">
            <w:pPr>
              <w:widowControl w:val="1"/>
              <w:ind/>
              <w:contextualSpacing w:val="1"/>
              <w:jc w:val="center"/>
              <w:rPr>
                <w:b w:val="1"/>
                <w:sz w:val="22"/>
              </w:rPr>
            </w:pPr>
            <w:r>
              <w:rPr>
                <w:b w:val="1"/>
                <w:sz w:val="22"/>
              </w:rPr>
              <w:t>Наименование контрагента по договору</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04170000">
            <w:pPr>
              <w:widowControl w:val="1"/>
              <w:ind/>
              <w:contextualSpacing w:val="1"/>
              <w:jc w:val="center"/>
              <w:rPr>
                <w:b w:val="1"/>
                <w:sz w:val="22"/>
              </w:rPr>
            </w:pPr>
            <w:r>
              <w:rPr>
                <w:b w:val="1"/>
                <w:sz w:val="22"/>
              </w:rPr>
              <w:t>№ договора, дата заключения</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05170000">
            <w:pPr>
              <w:widowControl w:val="1"/>
              <w:ind/>
              <w:contextualSpacing w:val="1"/>
              <w:jc w:val="center"/>
              <w:rPr>
                <w:b w:val="1"/>
                <w:sz w:val="22"/>
              </w:rPr>
            </w:pPr>
            <w:r>
              <w:rPr>
                <w:b w:val="1"/>
                <w:sz w:val="22"/>
              </w:rPr>
              <w:t>Срок действия договора</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06170000">
            <w:pPr>
              <w:widowControl w:val="1"/>
              <w:ind/>
              <w:contextualSpacing w:val="1"/>
              <w:jc w:val="center"/>
              <w:rPr>
                <w:b w:val="1"/>
                <w:sz w:val="22"/>
              </w:rPr>
            </w:pPr>
            <w:r>
              <w:rPr>
                <w:b w:val="1"/>
                <w:sz w:val="22"/>
              </w:rPr>
              <w:t>Предмет договора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07170000">
            <w:pPr>
              <w:widowControl w:val="1"/>
              <w:ind/>
              <w:contextualSpacing w:val="1"/>
              <w:jc w:val="center"/>
              <w:rPr>
                <w:b w:val="1"/>
                <w:sz w:val="22"/>
              </w:rPr>
            </w:pPr>
            <w:r>
              <w:rPr>
                <w:b w:val="1"/>
                <w:sz w:val="22"/>
              </w:rPr>
              <w:t>Стоимость договора/руб.</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08170000">
            <w:pPr>
              <w:widowControl w:val="1"/>
              <w:ind/>
              <w:contextualSpacing w:val="1"/>
              <w:jc w:val="center"/>
              <w:rPr>
                <w:b w:val="1"/>
                <w:sz w:val="22"/>
              </w:rPr>
            </w:pPr>
            <w:r>
              <w:rPr>
                <w:b w:val="1"/>
                <w:sz w:val="22"/>
              </w:rPr>
              <w:t>Информация о наличии организации соисполнителя по договору (субподрядчика). Наименование, договорная цена</w:t>
            </w:r>
          </w:p>
        </w:tc>
        <w:tc>
          <w:tcPr>
            <w:tcW w:type="dxa" w:w="1092"/>
            <w:gridSpan w:val="2"/>
            <w:tcBorders>
              <w:top w:color="000000" w:sz="4" w:val="single"/>
              <w:left w:color="000000" w:sz="4" w:val="single"/>
              <w:bottom w:color="000000" w:sz="4" w:val="single"/>
              <w:right w:color="000000" w:sz="4" w:val="single"/>
            </w:tcBorders>
            <w:shd w:fill="auto" w:val="clear"/>
            <w:vAlign w:val="center"/>
          </w:tcPr>
          <w:p w14:paraId="09170000">
            <w:pPr>
              <w:widowControl w:val="1"/>
              <w:ind/>
              <w:contextualSpacing w:val="1"/>
              <w:jc w:val="center"/>
              <w:rPr>
                <w:b w:val="1"/>
                <w:sz w:val="22"/>
              </w:rPr>
            </w:pPr>
            <w:r>
              <w:rPr>
                <w:b w:val="1"/>
                <w:sz w:val="22"/>
              </w:rPr>
              <w:t>Наименование кредитной организации, сумма, процентная ставка,срок кредитного договора</w:t>
            </w:r>
          </w:p>
        </w:tc>
        <w:tc>
          <w:tcPr>
            <w:tcW w:type="dxa" w:w="1010"/>
            <w:gridSpan w:val="2"/>
            <w:tcBorders>
              <w:top w:color="000000" w:sz="4" w:val="single"/>
              <w:left w:color="000000" w:sz="4" w:val="single"/>
              <w:bottom w:color="000000" w:sz="4" w:val="single"/>
              <w:right w:color="000000" w:sz="4" w:val="single"/>
            </w:tcBorders>
            <w:shd w:fill="auto" w:val="clear"/>
            <w:vAlign w:val="center"/>
          </w:tcPr>
          <w:p w14:paraId="0A170000">
            <w:pPr>
              <w:widowControl w:val="1"/>
              <w:ind/>
              <w:contextualSpacing w:val="1"/>
              <w:jc w:val="center"/>
              <w:rPr>
                <w:b w:val="1"/>
                <w:sz w:val="22"/>
              </w:rPr>
            </w:pPr>
            <w:r>
              <w:rPr>
                <w:b w:val="1"/>
                <w:sz w:val="22"/>
              </w:rPr>
              <w:t>Залоговое обеспечение</w:t>
            </w:r>
          </w:p>
        </w:tc>
        <w:tc>
          <w:tcPr>
            <w:tcW w:type="dxa" w:w="1023"/>
            <w:gridSpan w:val="2"/>
            <w:tcBorders>
              <w:top w:color="000000" w:sz="4" w:val="single"/>
              <w:left w:color="000000" w:sz="4" w:val="single"/>
              <w:bottom w:color="000000" w:sz="4" w:val="single"/>
              <w:right w:color="000000" w:sz="4" w:val="single"/>
            </w:tcBorders>
            <w:shd w:fill="auto" w:val="clear"/>
            <w:vAlign w:val="center"/>
          </w:tcPr>
          <w:p w14:paraId="0B170000">
            <w:pPr>
              <w:widowControl w:val="1"/>
              <w:ind/>
              <w:contextualSpacing w:val="1"/>
              <w:jc w:val="center"/>
              <w:rPr>
                <w:b w:val="1"/>
                <w:sz w:val="22"/>
              </w:rPr>
            </w:pPr>
            <w:r>
              <w:rPr>
                <w:b w:val="1"/>
                <w:sz w:val="22"/>
              </w:rPr>
              <w:t>Состояние выполнения договора на отчетную дату</w:t>
            </w:r>
          </w:p>
        </w:tc>
        <w:tc>
          <w:tcPr>
            <w:tcW w:type="dxa" w:w="1275"/>
            <w:gridSpan w:val="2"/>
            <w:tcBorders>
              <w:top w:color="000000" w:sz="4" w:val="single"/>
              <w:left w:color="000000" w:sz="4" w:val="single"/>
              <w:bottom w:color="000000" w:sz="4" w:val="single"/>
              <w:right w:color="000000" w:sz="4" w:val="single"/>
            </w:tcBorders>
            <w:shd w:fill="auto" w:val="clear"/>
            <w:vAlign w:val="center"/>
          </w:tcPr>
          <w:p w14:paraId="0C170000">
            <w:pPr>
              <w:widowControl w:val="1"/>
              <w:ind/>
              <w:contextualSpacing w:val="1"/>
              <w:jc w:val="center"/>
              <w:rPr>
                <w:b w:val="1"/>
                <w:sz w:val="22"/>
              </w:rPr>
            </w:pPr>
            <w:r>
              <w:rPr>
                <w:b w:val="1"/>
                <w:sz w:val="22"/>
              </w:rPr>
              <w:t>Решение компетентного органа управления Обществом об одобрении сделки (дата принятия решения, № протокола)</w:t>
            </w:r>
          </w:p>
        </w:tc>
        <w:tc>
          <w:tcPr>
            <w:tcW w:type="dxa" w:w="1219"/>
            <w:tcBorders>
              <w:top w:color="000000" w:sz="4" w:val="single"/>
              <w:left w:color="000000" w:sz="4" w:val="single"/>
              <w:bottom w:color="000000" w:sz="4" w:val="single"/>
              <w:right w:color="000000" w:sz="4" w:val="single"/>
            </w:tcBorders>
            <w:shd w:fill="auto" w:val="clear"/>
            <w:vAlign w:val="center"/>
          </w:tcPr>
          <w:p w14:paraId="0D170000">
            <w:pPr>
              <w:widowControl w:val="1"/>
              <w:ind/>
              <w:contextualSpacing w:val="1"/>
              <w:jc w:val="center"/>
              <w:rPr>
                <w:b w:val="1"/>
                <w:sz w:val="22"/>
              </w:rPr>
            </w:pPr>
            <w:r>
              <w:rPr>
                <w:b w:val="1"/>
                <w:sz w:val="22"/>
              </w:rPr>
              <w:t>Информация о проведении конкурсных процедур по сделке, о централизованных закупках/поставках через "Росжелснаб"-филиал РЖД</w:t>
            </w:r>
          </w:p>
        </w:tc>
      </w:tr>
      <w:tr>
        <w:trPr>
          <w:trHeight w:hRule="atLeast" w:val="21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0E170000">
            <w:pPr>
              <w:widowControl w:val="1"/>
              <w:ind/>
              <w:contextualSpacing w:val="1"/>
              <w:jc w:val="center"/>
              <w:rPr>
                <w:color w:val="000000"/>
                <w:sz w:val="22"/>
              </w:rPr>
            </w:pPr>
            <w:r>
              <w:rPr>
                <w:color w:val="000000"/>
                <w:sz w:val="22"/>
              </w:rPr>
              <w:t>1</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0F170000">
            <w:pPr>
              <w:widowControl w:val="1"/>
              <w:ind/>
              <w:contextualSpacing w:val="1"/>
              <w:jc w:val="center"/>
              <w:rPr>
                <w:sz w:val="22"/>
              </w:rPr>
            </w:pPr>
            <w:r>
              <w:rPr>
                <w:sz w:val="22"/>
              </w:rPr>
              <w:t>Департамент социальной защиты населения Кемеровской области</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10170000">
            <w:pPr>
              <w:widowControl w:val="1"/>
              <w:ind/>
              <w:contextualSpacing w:val="1"/>
              <w:jc w:val="center"/>
              <w:rPr>
                <w:sz w:val="22"/>
              </w:rPr>
            </w:pPr>
            <w:r>
              <w:rPr>
                <w:sz w:val="22"/>
              </w:rPr>
              <w:t>соглашение № 34/09 от 18.01.2018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11170000">
            <w:pPr>
              <w:widowControl w:val="1"/>
              <w:ind/>
              <w:contextualSpacing w:val="1"/>
              <w:jc w:val="center"/>
              <w:rPr>
                <w:sz w:val="22"/>
              </w:rPr>
            </w:pPr>
            <w:r>
              <w:rPr>
                <w:sz w:val="22"/>
              </w:rPr>
              <w:t>01.01.2018-30.06.2018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12170000">
            <w:pPr>
              <w:widowControl w:val="1"/>
              <w:ind/>
              <w:contextualSpacing w:val="1"/>
              <w:jc w:val="center"/>
              <w:rPr>
                <w:sz w:val="22"/>
              </w:rPr>
            </w:pPr>
            <w:r>
              <w:rPr>
                <w:sz w:val="22"/>
              </w:rPr>
              <w:t>предоставление субсидии на возмещение затрат, возникающих при перевозке отдельных категорий лиц, имеющих право на меры социальной поддержки по оплате проезда отделыми видами транспорта</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13170000">
            <w:pPr>
              <w:widowControl w:val="1"/>
              <w:ind/>
              <w:contextualSpacing w:val="1"/>
              <w:jc w:val="center"/>
              <w:rPr>
                <w:sz w:val="22"/>
              </w:rPr>
            </w:pPr>
            <w:r>
              <w:rPr>
                <w:sz w:val="22"/>
              </w:rPr>
              <w:t>133282</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14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15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16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1717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181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19170000">
            <w:pPr>
              <w:widowControl w:val="1"/>
              <w:ind/>
              <w:contextualSpacing w:val="1"/>
              <w:jc w:val="center"/>
              <w:rPr>
                <w:sz w:val="22"/>
              </w:rPr>
            </w:pPr>
            <w:r>
              <w:rPr>
                <w:sz w:val="22"/>
              </w:rPr>
              <w:t>не требуется</w:t>
            </w:r>
          </w:p>
        </w:tc>
      </w:tr>
      <w:tr>
        <w:trPr>
          <w:trHeight w:hRule="atLeast" w:val="21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1A170000">
            <w:pPr>
              <w:widowControl w:val="1"/>
              <w:ind/>
              <w:contextualSpacing w:val="1"/>
              <w:jc w:val="center"/>
              <w:rPr>
                <w:color w:val="000000"/>
                <w:sz w:val="22"/>
              </w:rPr>
            </w:pPr>
            <w:r>
              <w:rPr>
                <w:color w:val="000000"/>
                <w:sz w:val="22"/>
              </w:rPr>
              <w:t>2</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1B170000">
            <w:pPr>
              <w:widowControl w:val="1"/>
              <w:ind/>
              <w:contextualSpacing w:val="1"/>
              <w:jc w:val="center"/>
              <w:rPr>
                <w:sz w:val="22"/>
              </w:rPr>
            </w:pPr>
            <w:r>
              <w:rPr>
                <w:sz w:val="22"/>
              </w:rPr>
              <w:t>Департамент социальной защиты населения Кемеровской области</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1C170000">
            <w:pPr>
              <w:widowControl w:val="1"/>
              <w:ind/>
              <w:contextualSpacing w:val="1"/>
              <w:jc w:val="center"/>
              <w:rPr>
                <w:sz w:val="22"/>
              </w:rPr>
            </w:pPr>
            <w:r>
              <w:rPr>
                <w:sz w:val="22"/>
              </w:rPr>
              <w:t>дополнительное соглашение № 56/09 к соглашению № 09/122 от 01.07.2017 от 29.01.2018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1D170000">
            <w:pPr>
              <w:widowControl w:val="1"/>
              <w:ind/>
              <w:contextualSpacing w:val="1"/>
              <w:jc w:val="center"/>
              <w:rPr>
                <w:sz w:val="22"/>
              </w:rPr>
            </w:pPr>
            <w:r>
              <w:rPr>
                <w:sz w:val="22"/>
              </w:rPr>
              <w:t>01.01.2017-31.12.2017</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1E170000">
            <w:pPr>
              <w:widowControl w:val="1"/>
              <w:ind/>
              <w:contextualSpacing w:val="1"/>
              <w:jc w:val="center"/>
              <w:rPr>
                <w:sz w:val="22"/>
              </w:rPr>
            </w:pPr>
            <w:r>
              <w:rPr>
                <w:sz w:val="22"/>
              </w:rPr>
              <w:t>увеличение размера субсидии на возмещение затрат, связанных с предлоставлением мер социальной поддержки по оплате проезда отдельными видами транспорта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1F170000">
            <w:pPr>
              <w:widowControl w:val="1"/>
              <w:ind/>
              <w:contextualSpacing w:val="1"/>
              <w:jc w:val="center"/>
              <w:rPr>
                <w:sz w:val="22"/>
              </w:rPr>
            </w:pPr>
            <w:r>
              <w:rPr>
                <w:sz w:val="22"/>
              </w:rPr>
              <w:t>234039,4</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20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21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22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2317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241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25170000">
            <w:pPr>
              <w:widowControl w:val="1"/>
              <w:ind/>
              <w:contextualSpacing w:val="1"/>
              <w:jc w:val="center"/>
              <w:rPr>
                <w:sz w:val="22"/>
              </w:rPr>
            </w:pPr>
            <w:r>
              <w:rPr>
                <w:sz w:val="22"/>
              </w:rPr>
              <w:t>не требуется</w:t>
            </w:r>
          </w:p>
        </w:tc>
      </w:tr>
      <w:tr>
        <w:trPr>
          <w:trHeight w:hRule="atLeast" w:val="178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26170000">
            <w:pPr>
              <w:widowControl w:val="1"/>
              <w:ind/>
              <w:contextualSpacing w:val="1"/>
              <w:jc w:val="center"/>
              <w:rPr>
                <w:color w:val="000000"/>
                <w:sz w:val="22"/>
              </w:rPr>
            </w:pPr>
            <w:r>
              <w:rPr>
                <w:color w:val="000000"/>
                <w:sz w:val="22"/>
              </w:rPr>
              <w:t>3</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27170000">
            <w:pPr>
              <w:widowControl w:val="1"/>
              <w:ind/>
              <w:contextualSpacing w:val="1"/>
              <w:jc w:val="center"/>
              <w:rPr>
                <w:sz w:val="22"/>
              </w:rPr>
            </w:pPr>
            <w:r>
              <w:rPr>
                <w:sz w:val="22"/>
              </w:rPr>
              <w:t>Департамент социальной защиты населения Кемеровской области</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28170000">
            <w:pPr>
              <w:widowControl w:val="1"/>
              <w:ind/>
              <w:contextualSpacing w:val="1"/>
              <w:jc w:val="center"/>
              <w:rPr>
                <w:sz w:val="22"/>
              </w:rPr>
            </w:pPr>
            <w:r>
              <w:rPr>
                <w:sz w:val="22"/>
              </w:rPr>
              <w:t>соглашение № 142/09 от 03.07.2018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29170000">
            <w:pPr>
              <w:widowControl w:val="1"/>
              <w:ind/>
              <w:contextualSpacing w:val="1"/>
              <w:jc w:val="center"/>
              <w:rPr>
                <w:sz w:val="22"/>
              </w:rPr>
            </w:pPr>
            <w:r>
              <w:rPr>
                <w:sz w:val="22"/>
              </w:rPr>
              <w:t>01.07.2018-31.12.2018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2A170000">
            <w:pPr>
              <w:widowControl w:val="1"/>
              <w:ind/>
              <w:contextualSpacing w:val="1"/>
              <w:jc w:val="center"/>
              <w:rPr>
                <w:sz w:val="22"/>
              </w:rPr>
            </w:pPr>
            <w:r>
              <w:rPr>
                <w:sz w:val="22"/>
              </w:rPr>
              <w:t>предоставление субсидии на возмещение затрат, возникающих при перевозке отдельных категорий лиц, имеющих право на меры социальной поддержки по оплате проезда отделыми видами транспорта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2B170000">
            <w:pPr>
              <w:widowControl w:val="1"/>
              <w:ind/>
              <w:contextualSpacing w:val="1"/>
              <w:jc w:val="center"/>
              <w:rPr>
                <w:sz w:val="22"/>
              </w:rPr>
            </w:pPr>
            <w:r>
              <w:rPr>
                <w:sz w:val="22"/>
              </w:rPr>
              <w:t>254903,5</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2C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2D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2E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2F17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301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31170000">
            <w:pPr>
              <w:widowControl w:val="1"/>
              <w:ind/>
              <w:contextualSpacing w:val="1"/>
              <w:jc w:val="center"/>
              <w:rPr>
                <w:sz w:val="22"/>
              </w:rPr>
            </w:pPr>
            <w:r>
              <w:rPr>
                <w:sz w:val="22"/>
              </w:rPr>
              <w:t>не требуется</w:t>
            </w:r>
          </w:p>
        </w:tc>
      </w:tr>
      <w:tr>
        <w:trPr>
          <w:trHeight w:hRule="atLeast" w:val="510"/>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32170000">
            <w:pPr>
              <w:widowControl w:val="1"/>
              <w:ind/>
              <w:contextualSpacing w:val="1"/>
              <w:jc w:val="center"/>
              <w:rPr>
                <w:color w:val="000000"/>
                <w:sz w:val="22"/>
              </w:rPr>
            </w:pPr>
            <w:r>
              <w:rPr>
                <w:color w:val="000000"/>
                <w:sz w:val="22"/>
              </w:rPr>
              <w:t>Итого по контрагенту Департамент социальной защиты населения Кемеровской области 622224,9 руб.</w:t>
            </w:r>
          </w:p>
          <w:p w14:paraId="33170000">
            <w:pPr>
              <w:widowControl w:val="1"/>
              <w:ind/>
              <w:contextualSpacing w:val="1"/>
              <w:jc w:val="center"/>
              <w:rPr>
                <w:color w:val="000000"/>
                <w:sz w:val="22"/>
              </w:rPr>
            </w:pPr>
          </w:p>
        </w:tc>
      </w:tr>
      <w:tr>
        <w:trPr>
          <w:trHeight w:hRule="atLeast" w:val="21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34170000">
            <w:pPr>
              <w:widowControl w:val="1"/>
              <w:ind/>
              <w:contextualSpacing w:val="1"/>
              <w:jc w:val="center"/>
              <w:rPr>
                <w:color w:val="000000"/>
                <w:sz w:val="22"/>
              </w:rPr>
            </w:pPr>
            <w:r>
              <w:rPr>
                <w:color w:val="000000"/>
                <w:sz w:val="22"/>
              </w:rPr>
              <w:t>4</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35170000">
            <w:pPr>
              <w:widowControl w:val="1"/>
              <w:ind/>
              <w:contextualSpacing w:val="1"/>
              <w:jc w:val="center"/>
              <w:rPr>
                <w:sz w:val="22"/>
              </w:rPr>
            </w:pPr>
            <w:r>
              <w:rPr>
                <w:sz w:val="22"/>
              </w:rPr>
              <w:t>Департамент транспорта и связи Кемеровской области</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36170000">
            <w:pPr>
              <w:widowControl w:val="1"/>
              <w:ind/>
              <w:contextualSpacing w:val="1"/>
              <w:jc w:val="center"/>
              <w:rPr>
                <w:sz w:val="22"/>
              </w:rPr>
            </w:pPr>
            <w:r>
              <w:rPr>
                <w:sz w:val="22"/>
              </w:rPr>
              <w:t>дополнительное соглашение № 2 к государственному контракту № 2 от 05.01.2017 от 23.01.2018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37170000">
            <w:pPr>
              <w:widowControl w:val="1"/>
              <w:ind/>
              <w:contextualSpacing w:val="1"/>
              <w:jc w:val="center"/>
              <w:rPr>
                <w:sz w:val="22"/>
              </w:rPr>
            </w:pPr>
            <w:r>
              <w:rPr>
                <w:sz w:val="22"/>
              </w:rPr>
              <w:t>01.01.2017-31.12.2017</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38170000">
            <w:pPr>
              <w:widowControl w:val="1"/>
              <w:ind/>
              <w:contextualSpacing w:val="1"/>
              <w:jc w:val="center"/>
              <w:rPr>
                <w:sz w:val="22"/>
              </w:rPr>
            </w:pPr>
            <w:r>
              <w:rPr>
                <w:sz w:val="22"/>
              </w:rPr>
              <w:t>определение цены контракта на перевозку пассажиров жд транпсолртом в электропоездах пригородного сообщения на территории Кемеровской области на участке Междуреченск-Турбаза Восход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39170000">
            <w:pPr>
              <w:widowControl w:val="1"/>
              <w:ind/>
              <w:contextualSpacing w:val="1"/>
              <w:jc w:val="center"/>
              <w:rPr>
                <w:sz w:val="22"/>
              </w:rPr>
            </w:pPr>
            <w:r>
              <w:rPr>
                <w:sz w:val="22"/>
              </w:rPr>
              <w:t>7848923,6</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3A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3B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3C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3D17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3E1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3F170000">
            <w:pPr>
              <w:widowControl w:val="1"/>
              <w:ind/>
              <w:contextualSpacing w:val="1"/>
              <w:jc w:val="center"/>
              <w:rPr>
                <w:sz w:val="22"/>
              </w:rPr>
            </w:pPr>
            <w:r>
              <w:rPr>
                <w:sz w:val="22"/>
              </w:rPr>
              <w:t>не требуется</w:t>
            </w:r>
          </w:p>
        </w:tc>
      </w:tr>
      <w:tr>
        <w:trPr>
          <w:trHeight w:hRule="atLeast" w:val="21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40170000">
            <w:pPr>
              <w:widowControl w:val="1"/>
              <w:ind/>
              <w:contextualSpacing w:val="1"/>
              <w:jc w:val="center"/>
              <w:rPr>
                <w:color w:val="000000"/>
                <w:sz w:val="22"/>
              </w:rPr>
            </w:pPr>
            <w:r>
              <w:rPr>
                <w:color w:val="000000"/>
                <w:sz w:val="22"/>
              </w:rPr>
              <w:t>5</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41170000">
            <w:pPr>
              <w:widowControl w:val="1"/>
              <w:ind/>
              <w:contextualSpacing w:val="1"/>
              <w:jc w:val="center"/>
              <w:rPr>
                <w:sz w:val="22"/>
              </w:rPr>
            </w:pPr>
            <w:r>
              <w:rPr>
                <w:sz w:val="22"/>
              </w:rPr>
              <w:t>Департамент транспорта и связи Кемеровской области</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42170000">
            <w:pPr>
              <w:widowControl w:val="1"/>
              <w:ind/>
              <w:contextualSpacing w:val="1"/>
              <w:jc w:val="center"/>
              <w:rPr>
                <w:sz w:val="22"/>
              </w:rPr>
            </w:pPr>
            <w:r>
              <w:rPr>
                <w:sz w:val="22"/>
              </w:rPr>
              <w:t xml:space="preserve">дополнительное соглашение № 1 к договору № 4 от 28.12.2017 от </w:t>
            </w:r>
            <w:r>
              <w:rPr>
                <w:sz w:val="22"/>
              </w:rPr>
              <w:t>01.08.2018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4317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44170000">
            <w:pPr>
              <w:widowControl w:val="1"/>
              <w:ind/>
              <w:contextualSpacing w:val="1"/>
              <w:jc w:val="center"/>
              <w:rPr>
                <w:sz w:val="22"/>
              </w:rPr>
            </w:pPr>
            <w:r>
              <w:rPr>
                <w:sz w:val="22"/>
              </w:rPr>
              <w:t>внесение изменений в маршруты пригородных электропоездов на территории Кемеровской области в границах Красноярской жд на 2018г.</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45170000">
            <w:pPr>
              <w:widowControl w:val="1"/>
              <w:ind/>
              <w:contextualSpacing w:val="1"/>
              <w:jc w:val="center"/>
              <w:rPr>
                <w:sz w:val="22"/>
              </w:rPr>
            </w:pPr>
            <w:r>
              <w:rPr>
                <w:sz w:val="22"/>
              </w:rPr>
              <w:t>выплата средств осуществляется в соответствии с заключенным соглашением на возмещение недополученных доходов</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46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47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48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4917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4A1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4B170000">
            <w:pPr>
              <w:widowControl w:val="1"/>
              <w:ind/>
              <w:contextualSpacing w:val="1"/>
              <w:jc w:val="center"/>
              <w:rPr>
                <w:sz w:val="22"/>
              </w:rPr>
            </w:pPr>
            <w:r>
              <w:rPr>
                <w:sz w:val="22"/>
              </w:rPr>
              <w:t>не требуется</w:t>
            </w:r>
          </w:p>
        </w:tc>
      </w:tr>
      <w:tr>
        <w:trPr>
          <w:trHeight w:hRule="atLeast" w:val="21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4C170000">
            <w:pPr>
              <w:widowControl w:val="1"/>
              <w:ind/>
              <w:contextualSpacing w:val="1"/>
              <w:jc w:val="center"/>
              <w:rPr>
                <w:color w:val="000000"/>
                <w:sz w:val="22"/>
              </w:rPr>
            </w:pPr>
            <w:r>
              <w:rPr>
                <w:color w:val="000000"/>
                <w:sz w:val="22"/>
              </w:rPr>
              <w:t>6</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4D170000">
            <w:pPr>
              <w:widowControl w:val="1"/>
              <w:ind/>
              <w:contextualSpacing w:val="1"/>
              <w:jc w:val="center"/>
              <w:rPr>
                <w:sz w:val="22"/>
              </w:rPr>
            </w:pPr>
            <w:r>
              <w:rPr>
                <w:sz w:val="22"/>
              </w:rPr>
              <w:t>Департамент транспорта и связи Кемеровской области</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4E170000">
            <w:pPr>
              <w:widowControl w:val="1"/>
              <w:ind/>
              <w:contextualSpacing w:val="1"/>
              <w:jc w:val="center"/>
              <w:rPr>
                <w:sz w:val="22"/>
              </w:rPr>
            </w:pPr>
            <w:r>
              <w:rPr>
                <w:sz w:val="22"/>
              </w:rPr>
              <w:t>договор № 54 от 27.1</w:t>
            </w:r>
            <w:r>
              <w:rPr>
                <w:sz w:val="22"/>
              </w:rPr>
              <w:t>2.2018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4F170000">
            <w:pPr>
              <w:widowControl w:val="1"/>
              <w:ind/>
              <w:contextualSpacing w:val="1"/>
              <w:jc w:val="center"/>
              <w:rPr>
                <w:sz w:val="22"/>
              </w:rPr>
            </w:pPr>
            <w:r>
              <w:rPr>
                <w:sz w:val="22"/>
              </w:rPr>
              <w:t>01.01.2019-31.12.2019</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50170000">
            <w:pPr>
              <w:widowControl w:val="1"/>
              <w:ind/>
              <w:contextualSpacing w:val="1"/>
              <w:jc w:val="center"/>
              <w:rPr>
                <w:sz w:val="22"/>
              </w:rPr>
            </w:pPr>
            <w:r>
              <w:rPr>
                <w:sz w:val="22"/>
              </w:rPr>
              <w:t>организация транспортного обслуживания населения железнодорожным транспортом в пригородном сообщении на территории Кемеровской области в границах Красноярской железной дороги</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51170000">
            <w:pPr>
              <w:widowControl w:val="1"/>
              <w:ind/>
              <w:contextualSpacing w:val="1"/>
              <w:jc w:val="center"/>
              <w:rPr>
                <w:sz w:val="22"/>
              </w:rPr>
            </w:pPr>
            <w:r>
              <w:rPr>
                <w:sz w:val="22"/>
              </w:rPr>
              <w:t>выплата средств осуществляется в соответствии с заключенным соглашением на возмещение недополученных доходов</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52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53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54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5517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561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57170000">
            <w:pPr>
              <w:widowControl w:val="1"/>
              <w:ind/>
              <w:contextualSpacing w:val="1"/>
              <w:jc w:val="center"/>
              <w:rPr>
                <w:sz w:val="22"/>
              </w:rPr>
            </w:pPr>
            <w:r>
              <w:rPr>
                <w:sz w:val="22"/>
              </w:rPr>
              <w:t>не требуется</w:t>
            </w:r>
          </w:p>
        </w:tc>
      </w:tr>
      <w:tr>
        <w:trPr>
          <w:trHeight w:hRule="atLeast" w:val="21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58170000">
            <w:pPr>
              <w:widowControl w:val="1"/>
              <w:ind/>
              <w:contextualSpacing w:val="1"/>
              <w:jc w:val="center"/>
              <w:rPr>
                <w:color w:val="000000"/>
                <w:sz w:val="22"/>
              </w:rPr>
            </w:pPr>
            <w:r>
              <w:rPr>
                <w:color w:val="000000"/>
                <w:sz w:val="22"/>
              </w:rPr>
              <w:t>7</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59170000">
            <w:pPr>
              <w:widowControl w:val="1"/>
              <w:ind/>
              <w:contextualSpacing w:val="1"/>
              <w:jc w:val="center"/>
              <w:rPr>
                <w:sz w:val="22"/>
              </w:rPr>
            </w:pPr>
            <w:r>
              <w:rPr>
                <w:sz w:val="22"/>
              </w:rPr>
              <w:t>Департамент транспорта и связи Кемеровской области</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5A170000">
            <w:pPr>
              <w:widowControl w:val="1"/>
              <w:ind/>
              <w:contextualSpacing w:val="1"/>
              <w:jc w:val="center"/>
              <w:rPr>
                <w:sz w:val="22"/>
              </w:rPr>
            </w:pPr>
            <w:r>
              <w:rPr>
                <w:sz w:val="22"/>
              </w:rPr>
              <w:t>соглашение № 11 от 27.12.2018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5B170000">
            <w:pPr>
              <w:widowControl w:val="1"/>
              <w:ind/>
              <w:contextualSpacing w:val="1"/>
              <w:jc w:val="center"/>
              <w:rPr>
                <w:sz w:val="22"/>
              </w:rPr>
            </w:pPr>
            <w:r>
              <w:rPr>
                <w:sz w:val="22"/>
              </w:rPr>
              <w:t>01.01.2019-31.12.2019</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5C170000">
            <w:pPr>
              <w:widowControl w:val="1"/>
              <w:ind/>
              <w:contextualSpacing w:val="1"/>
              <w:jc w:val="center"/>
              <w:rPr>
                <w:sz w:val="22"/>
              </w:rPr>
            </w:pPr>
            <w:r>
              <w:rPr>
                <w:sz w:val="22"/>
              </w:rPr>
              <w:t>возмещение недополученных в 2018г. Доходов в связи с организацией транспортного обслуживания населения железнодорожным транспортом в пригородном сообщении по территории Кемеровской области в границах Красноярской железной дороги</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5D170000">
            <w:pPr>
              <w:widowControl w:val="1"/>
              <w:ind/>
              <w:contextualSpacing w:val="1"/>
              <w:jc w:val="center"/>
              <w:rPr>
                <w:sz w:val="22"/>
              </w:rPr>
            </w:pPr>
            <w:r>
              <w:rPr>
                <w:sz w:val="22"/>
              </w:rPr>
              <w:t>11000000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5E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5F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60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6117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621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63170000">
            <w:pPr>
              <w:widowControl w:val="1"/>
              <w:ind/>
              <w:contextualSpacing w:val="1"/>
              <w:jc w:val="center"/>
              <w:rPr>
                <w:sz w:val="22"/>
              </w:rPr>
            </w:pPr>
            <w:r>
              <w:rPr>
                <w:sz w:val="22"/>
              </w:rPr>
              <w:t>не требуется</w:t>
            </w:r>
          </w:p>
        </w:tc>
      </w:tr>
      <w:tr>
        <w:trPr>
          <w:trHeight w:hRule="atLeast" w:val="570"/>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64170000">
            <w:pPr>
              <w:widowControl w:val="1"/>
              <w:ind/>
              <w:contextualSpacing w:val="1"/>
              <w:jc w:val="center"/>
              <w:rPr>
                <w:color w:val="000000"/>
                <w:sz w:val="22"/>
              </w:rPr>
            </w:pPr>
            <w:r>
              <w:rPr>
                <w:color w:val="000000"/>
                <w:sz w:val="22"/>
              </w:rPr>
              <w:t>итого по контрагенту Департамент транспорта и связи Кемеровской области 18848923,6 руб.</w:t>
            </w:r>
          </w:p>
          <w:p w14:paraId="65170000">
            <w:pPr>
              <w:widowControl w:val="1"/>
              <w:ind/>
              <w:contextualSpacing w:val="1"/>
              <w:jc w:val="center"/>
              <w:rPr>
                <w:color w:val="000000"/>
                <w:sz w:val="22"/>
              </w:rPr>
            </w:pPr>
          </w:p>
        </w:tc>
      </w:tr>
      <w:tr>
        <w:trPr>
          <w:trHeight w:hRule="atLeast" w:val="295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66170000">
            <w:pPr>
              <w:widowControl w:val="1"/>
              <w:ind/>
              <w:contextualSpacing w:val="1"/>
              <w:jc w:val="center"/>
              <w:rPr>
                <w:color w:val="000000"/>
                <w:sz w:val="22"/>
              </w:rPr>
            </w:pPr>
            <w:r>
              <w:rPr>
                <w:color w:val="000000"/>
                <w:sz w:val="22"/>
              </w:rPr>
              <w:t>6</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67170000">
            <w:pPr>
              <w:widowControl w:val="1"/>
              <w:ind/>
              <w:contextualSpacing w:val="1"/>
              <w:jc w:val="center"/>
              <w:rPr>
                <w:sz w:val="22"/>
              </w:rPr>
            </w:pPr>
            <w:r>
              <w:rPr>
                <w:sz w:val="22"/>
              </w:rPr>
              <w:t>Министерство социальной защиты Республики Хакасия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68170000">
            <w:pPr>
              <w:widowControl w:val="1"/>
              <w:ind/>
              <w:contextualSpacing w:val="1"/>
              <w:jc w:val="center"/>
              <w:rPr>
                <w:sz w:val="22"/>
              </w:rPr>
            </w:pPr>
            <w:r>
              <w:rPr>
                <w:sz w:val="22"/>
              </w:rPr>
              <w:t>договор № 26 от 08.02.2018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6917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6A170000">
            <w:pPr>
              <w:widowControl w:val="1"/>
              <w:ind/>
              <w:contextualSpacing w:val="1"/>
              <w:jc w:val="center"/>
              <w:rPr>
                <w:sz w:val="22"/>
              </w:rPr>
            </w:pPr>
            <w:r>
              <w:rPr>
                <w:sz w:val="22"/>
              </w:rPr>
              <w:t>возмещение расходов, связанных с предоставлением льгот по перевозке реабилитированных лиц и лиц, признанных пострадавшими от политических репрессий на жд транспорте в пригородном сообщении, за счет средств республиканского бюджета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6B170000">
            <w:pPr>
              <w:widowControl w:val="1"/>
              <w:ind/>
              <w:contextualSpacing w:val="1"/>
              <w:jc w:val="center"/>
              <w:rPr>
                <w:sz w:val="22"/>
              </w:rPr>
            </w:pPr>
            <w:r>
              <w:rPr>
                <w:sz w:val="22"/>
              </w:rPr>
              <w:t>возмещение расходов в пределах выделенных лимитов за счет средств республиканского бюджета</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6C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6D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6E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6F17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701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71170000">
            <w:pPr>
              <w:widowControl w:val="1"/>
              <w:ind/>
              <w:contextualSpacing w:val="1"/>
              <w:jc w:val="center"/>
              <w:rPr>
                <w:sz w:val="22"/>
              </w:rPr>
            </w:pPr>
            <w:r>
              <w:rPr>
                <w:sz w:val="22"/>
              </w:rPr>
              <w:t>не требуется</w:t>
            </w:r>
          </w:p>
        </w:tc>
      </w:tr>
      <w:tr>
        <w:trPr>
          <w:trHeight w:hRule="atLeast" w:val="145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72170000">
            <w:pPr>
              <w:widowControl w:val="1"/>
              <w:ind/>
              <w:contextualSpacing w:val="1"/>
              <w:jc w:val="center"/>
              <w:rPr>
                <w:color w:val="000000"/>
                <w:sz w:val="22"/>
              </w:rPr>
            </w:pPr>
            <w:r>
              <w:rPr>
                <w:color w:val="000000"/>
                <w:sz w:val="22"/>
              </w:rPr>
              <w:t>7</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73170000">
            <w:pPr>
              <w:widowControl w:val="1"/>
              <w:ind/>
              <w:contextualSpacing w:val="1"/>
              <w:jc w:val="center"/>
              <w:rPr>
                <w:sz w:val="22"/>
              </w:rPr>
            </w:pPr>
            <w:r>
              <w:rPr>
                <w:sz w:val="22"/>
              </w:rPr>
              <w:t>Министерство социальной защиты Республики Хакасия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74170000">
            <w:pPr>
              <w:widowControl w:val="1"/>
              <w:ind/>
              <w:contextualSpacing w:val="1"/>
              <w:jc w:val="center"/>
              <w:rPr>
                <w:sz w:val="22"/>
              </w:rPr>
            </w:pPr>
            <w:r>
              <w:rPr>
                <w:sz w:val="22"/>
              </w:rPr>
              <w:t>договор № 27 от 08.02.2018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7517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76170000">
            <w:pPr>
              <w:widowControl w:val="1"/>
              <w:ind/>
              <w:contextualSpacing w:val="1"/>
              <w:jc w:val="center"/>
              <w:rPr>
                <w:sz w:val="22"/>
              </w:rPr>
            </w:pPr>
            <w:r>
              <w:rPr>
                <w:sz w:val="22"/>
              </w:rPr>
              <w:t>возмещение расходов, связанных с предоставлением льгот по перевозке ветеранов труда и труженников тыла  на жд транспорте в пригородном сообщении, за счет средств республиканского бюджета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77170000">
            <w:pPr>
              <w:widowControl w:val="1"/>
              <w:ind/>
              <w:contextualSpacing w:val="1"/>
              <w:jc w:val="center"/>
              <w:rPr>
                <w:sz w:val="22"/>
              </w:rPr>
            </w:pPr>
            <w:r>
              <w:rPr>
                <w:sz w:val="22"/>
              </w:rPr>
              <w:t>возмещение расходов в пределах выделенных лимитов за счет средств республиканского бюджета</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78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79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7A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7B17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7C1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7D170000">
            <w:pPr>
              <w:widowControl w:val="1"/>
              <w:ind/>
              <w:contextualSpacing w:val="1"/>
              <w:jc w:val="center"/>
              <w:rPr>
                <w:sz w:val="22"/>
              </w:rPr>
            </w:pPr>
            <w:r>
              <w:rPr>
                <w:sz w:val="22"/>
              </w:rPr>
              <w:t>не требуется</w:t>
            </w:r>
          </w:p>
        </w:tc>
      </w:tr>
      <w:tr>
        <w:trPr>
          <w:trHeight w:hRule="atLeast" w:val="510"/>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7E170000">
            <w:pPr>
              <w:widowControl w:val="1"/>
              <w:ind/>
              <w:contextualSpacing w:val="1"/>
              <w:jc w:val="center"/>
              <w:rPr>
                <w:color w:val="000000"/>
                <w:sz w:val="22"/>
              </w:rPr>
            </w:pPr>
            <w:r>
              <w:rPr>
                <w:color w:val="000000"/>
                <w:sz w:val="22"/>
              </w:rPr>
              <w:t>Итого по контрагенту Министерство социальной защиты Республики Хакасия</w:t>
            </w:r>
          </w:p>
        </w:tc>
      </w:tr>
      <w:tr>
        <w:trPr>
          <w:trHeight w:hRule="atLeast" w:val="21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7F170000">
            <w:pPr>
              <w:widowControl w:val="1"/>
              <w:ind/>
              <w:contextualSpacing w:val="1"/>
              <w:jc w:val="center"/>
              <w:rPr>
                <w:color w:val="000000"/>
                <w:sz w:val="22"/>
              </w:rPr>
            </w:pPr>
            <w:r>
              <w:rPr>
                <w:color w:val="000000"/>
                <w:sz w:val="22"/>
              </w:rPr>
              <w:t>10</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80170000">
            <w:pPr>
              <w:widowControl w:val="1"/>
              <w:ind/>
              <w:contextualSpacing w:val="1"/>
              <w:jc w:val="center"/>
              <w:rPr>
                <w:sz w:val="22"/>
              </w:rPr>
            </w:pPr>
            <w:r>
              <w:rPr>
                <w:sz w:val="22"/>
              </w:rPr>
              <w:t>Енисейский филиал АО "ФПК"</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81170000">
            <w:pPr>
              <w:widowControl w:val="1"/>
              <w:ind/>
              <w:contextualSpacing w:val="1"/>
              <w:jc w:val="center"/>
              <w:rPr>
                <w:sz w:val="22"/>
              </w:rPr>
            </w:pPr>
            <w:r>
              <w:rPr>
                <w:sz w:val="22"/>
              </w:rPr>
              <w:t>дополнительное соглашение № 6/330-13(6)/Ф(Енис) к договору № 62 от 24.04.2013г. От 20.02.2018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82170000">
            <w:pPr>
              <w:widowControl w:val="1"/>
              <w:ind/>
              <w:contextualSpacing w:val="1"/>
              <w:jc w:val="center"/>
              <w:rPr>
                <w:sz w:val="22"/>
              </w:rPr>
            </w:pPr>
            <w:r>
              <w:rPr>
                <w:sz w:val="22"/>
              </w:rPr>
              <w:t>01.02.2018-31.12.2018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83170000">
            <w:pPr>
              <w:widowControl w:val="1"/>
              <w:ind/>
              <w:contextualSpacing w:val="1"/>
              <w:jc w:val="center"/>
              <w:rPr>
                <w:sz w:val="22"/>
              </w:rPr>
            </w:pPr>
            <w:r>
              <w:rPr>
                <w:sz w:val="22"/>
              </w:rPr>
              <w:t>внесение изменений в калькуляцию стоимости оформления проездного документа без изменения предельной цены договора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84170000">
            <w:pPr>
              <w:widowControl w:val="1"/>
              <w:ind/>
              <w:contextualSpacing w:val="1"/>
              <w:jc w:val="center"/>
              <w:rPr>
                <w:sz w:val="22"/>
              </w:rPr>
            </w:pPr>
            <w:r>
              <w:rPr>
                <w:sz w:val="22"/>
              </w:rPr>
              <w:t>15000000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85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86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87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8817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89170000">
            <w:pPr>
              <w:widowControl w:val="1"/>
              <w:ind/>
              <w:contextualSpacing w:val="1"/>
              <w:jc w:val="center"/>
              <w:rPr>
                <w:sz w:val="22"/>
              </w:rPr>
            </w:pPr>
            <w:r>
              <w:rPr>
                <w:sz w:val="22"/>
              </w:rPr>
              <w:t>цена соглашения не превышает 0,1% балансовой стоимости активов (пп12 п1 ст81 ФЗ об АО</w:t>
            </w:r>
          </w:p>
        </w:tc>
        <w:tc>
          <w:tcPr>
            <w:tcW w:type="dxa" w:w="1219"/>
            <w:tcBorders>
              <w:top w:color="000000" w:sz="4" w:val="single"/>
              <w:left w:color="000000" w:sz="4" w:val="single"/>
              <w:bottom w:color="000000" w:sz="4" w:val="single"/>
              <w:right w:color="000000" w:sz="4" w:val="single"/>
            </w:tcBorders>
            <w:shd w:fill="auto" w:val="clear"/>
            <w:vAlign w:val="center"/>
          </w:tcPr>
          <w:p w14:paraId="8A170000">
            <w:pPr>
              <w:widowControl w:val="1"/>
              <w:ind/>
              <w:contextualSpacing w:val="1"/>
              <w:jc w:val="center"/>
              <w:rPr>
                <w:sz w:val="22"/>
              </w:rPr>
            </w:pPr>
            <w:r>
              <w:rPr>
                <w:sz w:val="22"/>
              </w:rPr>
              <w:t>не требуется</w:t>
            </w:r>
          </w:p>
        </w:tc>
      </w:tr>
      <w:tr>
        <w:trPr>
          <w:trHeight w:hRule="atLeast" w:val="258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8B170000">
            <w:pPr>
              <w:widowControl w:val="1"/>
              <w:ind/>
              <w:contextualSpacing w:val="1"/>
              <w:jc w:val="center"/>
              <w:rPr>
                <w:color w:val="000000"/>
                <w:sz w:val="22"/>
              </w:rPr>
            </w:pPr>
            <w:r>
              <w:rPr>
                <w:color w:val="000000"/>
                <w:sz w:val="22"/>
              </w:rPr>
              <w:t>11</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8C170000">
            <w:pPr>
              <w:widowControl w:val="1"/>
              <w:ind/>
              <w:contextualSpacing w:val="1"/>
              <w:jc w:val="center"/>
              <w:rPr>
                <w:sz w:val="22"/>
              </w:rPr>
            </w:pPr>
            <w:r>
              <w:rPr>
                <w:sz w:val="22"/>
              </w:rPr>
              <w:t>Енисейский филиал АО "ФПК"</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8D170000">
            <w:pPr>
              <w:widowControl w:val="1"/>
              <w:ind/>
              <w:contextualSpacing w:val="1"/>
              <w:jc w:val="center"/>
              <w:rPr>
                <w:sz w:val="22"/>
              </w:rPr>
            </w:pPr>
            <w:r>
              <w:rPr>
                <w:sz w:val="22"/>
              </w:rPr>
              <w:t>договор № 173-18/Ф/ЕНИС от 29.06.2018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8E170000">
            <w:pPr>
              <w:widowControl w:val="1"/>
              <w:ind/>
              <w:contextualSpacing w:val="1"/>
              <w:jc w:val="center"/>
              <w:rPr>
                <w:sz w:val="22"/>
              </w:rPr>
            </w:pPr>
            <w:r>
              <w:rPr>
                <w:sz w:val="22"/>
              </w:rPr>
              <w:t>01.04.2018-28.02.2019</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8F170000">
            <w:pPr>
              <w:widowControl w:val="1"/>
              <w:ind/>
              <w:contextualSpacing w:val="1"/>
              <w:jc w:val="center"/>
              <w:rPr>
                <w:sz w:val="22"/>
              </w:rPr>
            </w:pPr>
            <w:r>
              <w:rPr>
                <w:sz w:val="22"/>
              </w:rPr>
              <w:t>перевозка военнослужащих Минобороны России и членов их семей, прицепка в составы пригородных поездов АО "Краспригород", организация расчетов, связанных с перевозкой военнослужащих (вознаграждение АО ФПК 262,55 руб. с НДС)</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90170000">
            <w:pPr>
              <w:widowControl w:val="1"/>
              <w:ind/>
              <w:contextualSpacing w:val="1"/>
              <w:jc w:val="center"/>
              <w:rPr>
                <w:sz w:val="22"/>
              </w:rPr>
            </w:pPr>
            <w:r>
              <w:rPr>
                <w:sz w:val="22"/>
              </w:rPr>
              <w:t>138184</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91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92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93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9417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9517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c>
          <w:tcPr>
            <w:tcW w:type="dxa" w:w="1219"/>
            <w:tcBorders>
              <w:top w:color="000000" w:sz="4" w:val="single"/>
              <w:left w:color="000000" w:sz="4" w:val="single"/>
              <w:bottom w:color="000000" w:sz="4" w:val="single"/>
              <w:right w:color="000000" w:sz="4" w:val="single"/>
            </w:tcBorders>
            <w:shd w:fill="auto" w:val="clear"/>
            <w:vAlign w:val="center"/>
          </w:tcPr>
          <w:p w14:paraId="96170000">
            <w:pPr>
              <w:widowControl w:val="1"/>
              <w:ind/>
              <w:contextualSpacing w:val="1"/>
              <w:jc w:val="center"/>
              <w:rPr>
                <w:sz w:val="22"/>
              </w:rPr>
            </w:pPr>
            <w:r>
              <w:rPr>
                <w:sz w:val="22"/>
              </w:rPr>
              <w:t>не требуется</w:t>
            </w:r>
          </w:p>
        </w:tc>
      </w:tr>
      <w:tr>
        <w:trPr>
          <w:trHeight w:hRule="atLeast" w:val="157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97170000">
            <w:pPr>
              <w:widowControl w:val="1"/>
              <w:ind/>
              <w:contextualSpacing w:val="1"/>
              <w:jc w:val="center"/>
              <w:rPr>
                <w:color w:val="000000"/>
                <w:sz w:val="22"/>
              </w:rPr>
            </w:pPr>
            <w:r>
              <w:rPr>
                <w:color w:val="000000"/>
                <w:sz w:val="22"/>
              </w:rPr>
              <w:t>12</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98170000">
            <w:pPr>
              <w:widowControl w:val="1"/>
              <w:ind/>
              <w:contextualSpacing w:val="1"/>
              <w:jc w:val="center"/>
              <w:rPr>
                <w:sz w:val="22"/>
              </w:rPr>
            </w:pPr>
            <w:r>
              <w:rPr>
                <w:sz w:val="22"/>
              </w:rPr>
              <w:t>Енисейский филиал АО "ФПК"</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99170000">
            <w:pPr>
              <w:widowControl w:val="1"/>
              <w:ind/>
              <w:contextualSpacing w:val="1"/>
              <w:jc w:val="center"/>
              <w:rPr>
                <w:sz w:val="22"/>
              </w:rPr>
            </w:pPr>
            <w:r>
              <w:rPr>
                <w:sz w:val="22"/>
              </w:rPr>
              <w:t>дополнительное соглашение № 1/173-18(1)/Ф(Енис)  к договору № 173-18/Ф(Енис) от 29.06.2018 от 27.07.2018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9A170000">
            <w:pPr>
              <w:widowControl w:val="1"/>
              <w:ind/>
              <w:contextualSpacing w:val="1"/>
              <w:jc w:val="center"/>
              <w:rPr>
                <w:sz w:val="22"/>
              </w:rPr>
            </w:pPr>
            <w:r>
              <w:rPr>
                <w:sz w:val="22"/>
              </w:rPr>
              <w:t>04.07.2018-28.02.2019</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9B170000">
            <w:pPr>
              <w:widowControl w:val="1"/>
              <w:ind/>
              <w:contextualSpacing w:val="1"/>
              <w:jc w:val="center"/>
              <w:rPr>
                <w:sz w:val="22"/>
              </w:rPr>
            </w:pPr>
            <w:r>
              <w:rPr>
                <w:sz w:val="22"/>
              </w:rPr>
              <w:t>внесение изменений относительно порядка оплаты по договору на перевозку военнослужащих МО РФ</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9C170000">
            <w:pPr>
              <w:widowControl w:val="1"/>
              <w:ind/>
              <w:contextualSpacing w:val="1"/>
              <w:jc w:val="center"/>
              <w:rPr>
                <w:sz w:val="22"/>
              </w:rPr>
            </w:pPr>
            <w:r>
              <w:rPr>
                <w:sz w:val="22"/>
              </w:rPr>
              <w:t>138184</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9D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9E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9F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A017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A117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c>
          <w:tcPr>
            <w:tcW w:type="dxa" w:w="1219"/>
            <w:tcBorders>
              <w:top w:color="000000" w:sz="4" w:val="single"/>
              <w:left w:color="000000" w:sz="4" w:val="single"/>
              <w:bottom w:color="000000" w:sz="4" w:val="single"/>
              <w:right w:color="000000" w:sz="4" w:val="single"/>
            </w:tcBorders>
            <w:shd w:fill="auto" w:val="clear"/>
            <w:vAlign w:val="center"/>
          </w:tcPr>
          <w:p w14:paraId="A2170000">
            <w:pPr>
              <w:widowControl w:val="1"/>
              <w:ind/>
              <w:contextualSpacing w:val="1"/>
              <w:jc w:val="center"/>
              <w:rPr>
                <w:sz w:val="22"/>
              </w:rPr>
            </w:pPr>
            <w:r>
              <w:rPr>
                <w:sz w:val="22"/>
              </w:rPr>
              <w:t>не требуется</w:t>
            </w:r>
          </w:p>
        </w:tc>
      </w:tr>
      <w:tr>
        <w:trPr>
          <w:trHeight w:hRule="atLeast" w:val="136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A3170000">
            <w:pPr>
              <w:widowControl w:val="1"/>
              <w:ind/>
              <w:contextualSpacing w:val="1"/>
              <w:jc w:val="center"/>
              <w:rPr>
                <w:color w:val="000000"/>
                <w:sz w:val="22"/>
              </w:rPr>
            </w:pPr>
            <w:r>
              <w:rPr>
                <w:color w:val="000000"/>
                <w:sz w:val="22"/>
              </w:rPr>
              <w:t>13</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A4170000">
            <w:pPr>
              <w:widowControl w:val="1"/>
              <w:ind/>
              <w:contextualSpacing w:val="1"/>
              <w:jc w:val="center"/>
              <w:rPr>
                <w:sz w:val="22"/>
              </w:rPr>
            </w:pPr>
            <w:r>
              <w:rPr>
                <w:sz w:val="22"/>
              </w:rPr>
              <w:t>Енисейский филиал АО "ФПК"</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A5170000">
            <w:pPr>
              <w:widowControl w:val="1"/>
              <w:ind/>
              <w:contextualSpacing w:val="1"/>
              <w:jc w:val="center"/>
              <w:rPr>
                <w:sz w:val="22"/>
              </w:rPr>
            </w:pPr>
            <w:r>
              <w:rPr>
                <w:sz w:val="22"/>
              </w:rPr>
              <w:t>дополнительное соглашение №2  к договору № 173-18/Ф(Енис) от 29.06.2018 от 14.09.2018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A6170000">
            <w:pPr>
              <w:widowControl w:val="1"/>
              <w:ind/>
              <w:contextualSpacing w:val="1"/>
              <w:jc w:val="center"/>
              <w:rPr>
                <w:sz w:val="22"/>
              </w:rPr>
            </w:pPr>
            <w:r>
              <w:rPr>
                <w:sz w:val="22"/>
              </w:rPr>
              <w:t>04.07.2018-28.02.2019</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A7170000">
            <w:pPr>
              <w:widowControl w:val="1"/>
              <w:ind/>
              <w:contextualSpacing w:val="1"/>
              <w:jc w:val="center"/>
              <w:rPr>
                <w:sz w:val="22"/>
              </w:rPr>
            </w:pPr>
            <w:r>
              <w:rPr>
                <w:sz w:val="22"/>
              </w:rPr>
              <w:t>увеличение предельной цены договора на оказание услуг по перевозке военнослужащих МО</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A8170000">
            <w:pPr>
              <w:widowControl w:val="1"/>
              <w:ind/>
              <w:contextualSpacing w:val="1"/>
              <w:jc w:val="center"/>
              <w:rPr>
                <w:sz w:val="22"/>
              </w:rPr>
            </w:pPr>
            <w:r>
              <w:rPr>
                <w:sz w:val="22"/>
              </w:rPr>
              <w:t>294302</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A9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AA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AB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AC17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AD170000">
            <w:pPr>
              <w:widowControl w:val="1"/>
              <w:ind/>
              <w:contextualSpacing w:val="1"/>
              <w:jc w:val="center"/>
              <w:rPr>
                <w:sz w:val="22"/>
              </w:rPr>
            </w:pPr>
            <w:r>
              <w:rPr>
                <w:sz w:val="22"/>
              </w:rPr>
              <w:t>извещение о сделке направлено 29.08.2018г.,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AE170000">
            <w:pPr>
              <w:widowControl w:val="1"/>
              <w:ind/>
              <w:contextualSpacing w:val="1"/>
              <w:jc w:val="center"/>
              <w:rPr>
                <w:sz w:val="22"/>
              </w:rPr>
            </w:pPr>
            <w:r>
              <w:rPr>
                <w:sz w:val="22"/>
              </w:rPr>
              <w:t>не требуется</w:t>
            </w:r>
          </w:p>
        </w:tc>
      </w:tr>
      <w:tr>
        <w:trPr>
          <w:trHeight w:hRule="atLeast" w:val="136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AF170000">
            <w:pPr>
              <w:widowControl w:val="1"/>
              <w:ind/>
              <w:contextualSpacing w:val="1"/>
              <w:jc w:val="center"/>
              <w:rPr>
                <w:color w:val="000000"/>
                <w:sz w:val="22"/>
              </w:rPr>
            </w:pPr>
            <w:r>
              <w:rPr>
                <w:color w:val="000000"/>
                <w:sz w:val="22"/>
              </w:rPr>
              <w:t>14</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B0170000">
            <w:pPr>
              <w:widowControl w:val="1"/>
              <w:ind/>
              <w:contextualSpacing w:val="1"/>
              <w:jc w:val="center"/>
              <w:rPr>
                <w:sz w:val="22"/>
              </w:rPr>
            </w:pPr>
            <w:r>
              <w:rPr>
                <w:sz w:val="22"/>
              </w:rPr>
              <w:t>Енисейский филиал АО "ФПК"</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B1170000">
            <w:pPr>
              <w:widowControl w:val="1"/>
              <w:ind/>
              <w:contextualSpacing w:val="1"/>
              <w:jc w:val="center"/>
              <w:rPr>
                <w:sz w:val="22"/>
              </w:rPr>
            </w:pPr>
            <w:r>
              <w:rPr>
                <w:sz w:val="22"/>
              </w:rPr>
              <w:t>дополнительное соглашение № 7/330-13/7/Ф(ЕНИС) к договру № 62 от 24.04.2013 от 06.11.2018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B2170000">
            <w:pPr>
              <w:widowControl w:val="1"/>
              <w:ind/>
              <w:contextualSpacing w:val="1"/>
              <w:jc w:val="center"/>
              <w:rPr>
                <w:sz w:val="22"/>
              </w:rPr>
            </w:pPr>
            <w:r>
              <w:rPr>
                <w:sz w:val="22"/>
              </w:rPr>
              <w:t>01.11.2018-31.12.2018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B3170000">
            <w:pPr>
              <w:widowControl w:val="1"/>
              <w:ind/>
              <w:contextualSpacing w:val="1"/>
              <w:jc w:val="center"/>
              <w:rPr>
                <w:sz w:val="22"/>
              </w:rPr>
            </w:pPr>
            <w:r>
              <w:rPr>
                <w:sz w:val="22"/>
              </w:rPr>
              <w:t>внесение изменений в перечень пунктов продажи проездных перевозочных документов</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B4170000">
            <w:pPr>
              <w:widowControl w:val="1"/>
              <w:ind/>
              <w:contextualSpacing w:val="1"/>
              <w:jc w:val="center"/>
              <w:rPr>
                <w:sz w:val="22"/>
              </w:rPr>
            </w:pPr>
            <w:r>
              <w:rPr>
                <w:sz w:val="22"/>
              </w:rPr>
              <w:t>15000000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B5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B6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B7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B817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B9170000">
            <w:pPr>
              <w:widowControl w:val="1"/>
              <w:ind/>
              <w:contextualSpacing w:val="1"/>
              <w:jc w:val="center"/>
              <w:rPr>
                <w:sz w:val="22"/>
              </w:rPr>
            </w:pPr>
            <w:r>
              <w:rPr>
                <w:sz w:val="22"/>
              </w:rPr>
              <w:t>цена соглашения не превышает 0,1% балансовой стоимости активов (пп12 п1 ст81 ФЗ об АО</w:t>
            </w:r>
          </w:p>
        </w:tc>
        <w:tc>
          <w:tcPr>
            <w:tcW w:type="dxa" w:w="1219"/>
            <w:tcBorders>
              <w:top w:color="000000" w:sz="4" w:val="single"/>
              <w:left w:color="000000" w:sz="4" w:val="single"/>
              <w:bottom w:color="000000" w:sz="4" w:val="single"/>
              <w:right w:color="000000" w:sz="4" w:val="single"/>
            </w:tcBorders>
            <w:shd w:fill="auto" w:val="clear"/>
            <w:vAlign w:val="center"/>
          </w:tcPr>
          <w:p w14:paraId="BA170000">
            <w:pPr>
              <w:widowControl w:val="1"/>
              <w:ind/>
              <w:contextualSpacing w:val="1"/>
              <w:jc w:val="center"/>
              <w:rPr>
                <w:sz w:val="22"/>
              </w:rPr>
            </w:pPr>
            <w:r>
              <w:rPr>
                <w:sz w:val="22"/>
              </w:rPr>
              <w:t>не требуется</w:t>
            </w:r>
          </w:p>
        </w:tc>
      </w:tr>
      <w:tr>
        <w:trPr>
          <w:trHeight w:hRule="atLeast" w:val="435"/>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BB170000">
            <w:pPr>
              <w:widowControl w:val="1"/>
              <w:ind/>
              <w:contextualSpacing w:val="1"/>
              <w:jc w:val="center"/>
              <w:rPr>
                <w:color w:val="000000"/>
                <w:sz w:val="22"/>
              </w:rPr>
            </w:pPr>
            <w:r>
              <w:rPr>
                <w:color w:val="000000"/>
                <w:sz w:val="22"/>
              </w:rPr>
              <w:t>Итого по контрагенту Енисейский филиал АО "ФПК"  294302 руб.</w:t>
            </w:r>
          </w:p>
          <w:p w14:paraId="BC170000">
            <w:pPr>
              <w:widowControl w:val="1"/>
              <w:ind/>
              <w:contextualSpacing w:val="1"/>
              <w:jc w:val="center"/>
              <w:rPr>
                <w:color w:val="000000"/>
                <w:sz w:val="22"/>
              </w:rPr>
            </w:pPr>
          </w:p>
        </w:tc>
      </w:tr>
      <w:tr>
        <w:trPr>
          <w:trHeight w:hRule="atLeast" w:val="264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BD170000">
            <w:pPr>
              <w:widowControl w:val="1"/>
              <w:ind/>
              <w:contextualSpacing w:val="1"/>
              <w:jc w:val="center"/>
              <w:rPr>
                <w:color w:val="000000"/>
                <w:sz w:val="22"/>
              </w:rPr>
            </w:pPr>
            <w:r>
              <w:rPr>
                <w:color w:val="000000"/>
                <w:sz w:val="22"/>
              </w:rPr>
              <w:t>15</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BE170000">
            <w:pPr>
              <w:widowControl w:val="1"/>
              <w:ind/>
              <w:contextualSpacing w:val="1"/>
              <w:jc w:val="center"/>
              <w:rPr>
                <w:sz w:val="22"/>
              </w:rPr>
            </w:pPr>
            <w:r>
              <w:rPr>
                <w:sz w:val="22"/>
              </w:rPr>
              <w:t>Министерство транспорта и дорожного хозяйства Республики Хакасия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BF170000">
            <w:pPr>
              <w:widowControl w:val="1"/>
              <w:ind/>
              <w:contextualSpacing w:val="1"/>
              <w:jc w:val="center"/>
              <w:rPr>
                <w:sz w:val="22"/>
              </w:rPr>
            </w:pPr>
            <w:r>
              <w:rPr>
                <w:sz w:val="22"/>
              </w:rPr>
              <w:t>договор 30-18 от 22.01.2018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C0170000">
            <w:pPr>
              <w:widowControl w:val="1"/>
              <w:ind/>
              <w:contextualSpacing w:val="1"/>
              <w:jc w:val="center"/>
              <w:rPr>
                <w:sz w:val="22"/>
              </w:rPr>
            </w:pPr>
            <w:r>
              <w:rPr>
                <w:sz w:val="22"/>
              </w:rPr>
              <w:t>01.01.2018-30.04.2018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C1170000">
            <w:pPr>
              <w:widowControl w:val="1"/>
              <w:ind/>
              <w:contextualSpacing w:val="1"/>
              <w:jc w:val="center"/>
              <w:rPr>
                <w:sz w:val="22"/>
              </w:rPr>
            </w:pPr>
            <w:r>
              <w:rPr>
                <w:sz w:val="22"/>
              </w:rPr>
              <w:t>организация транспортного обслуживания населения железнодорожным транспортом общего пользования в пригородном сообщении на территории Республики Хакасия и предоставление субсидии из республиканского бюджета Республики Хакасия</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C2170000">
            <w:pPr>
              <w:widowControl w:val="1"/>
              <w:ind/>
              <w:contextualSpacing w:val="1"/>
              <w:jc w:val="center"/>
              <w:rPr>
                <w:sz w:val="22"/>
              </w:rPr>
            </w:pPr>
            <w:r>
              <w:rPr>
                <w:sz w:val="22"/>
              </w:rPr>
              <w:t>12633628</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C3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C4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C5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C617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C71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C8170000">
            <w:pPr>
              <w:widowControl w:val="1"/>
              <w:ind/>
              <w:contextualSpacing w:val="1"/>
              <w:jc w:val="center"/>
              <w:rPr>
                <w:sz w:val="22"/>
              </w:rPr>
            </w:pPr>
            <w:r>
              <w:rPr>
                <w:sz w:val="22"/>
              </w:rPr>
              <w:t>не требуется</w:t>
            </w:r>
          </w:p>
        </w:tc>
      </w:tr>
      <w:tr>
        <w:trPr>
          <w:trHeight w:hRule="atLeast" w:val="312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C9170000">
            <w:pPr>
              <w:widowControl w:val="1"/>
              <w:ind/>
              <w:contextualSpacing w:val="1"/>
              <w:jc w:val="center"/>
              <w:rPr>
                <w:color w:val="000000"/>
                <w:sz w:val="22"/>
              </w:rPr>
            </w:pPr>
            <w:r>
              <w:rPr>
                <w:color w:val="000000"/>
                <w:sz w:val="22"/>
              </w:rPr>
              <w:t>16</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CA170000">
            <w:pPr>
              <w:widowControl w:val="1"/>
              <w:ind/>
              <w:contextualSpacing w:val="1"/>
              <w:jc w:val="center"/>
              <w:rPr>
                <w:sz w:val="22"/>
              </w:rPr>
            </w:pPr>
            <w:r>
              <w:rPr>
                <w:sz w:val="22"/>
              </w:rPr>
              <w:t>Министерство транспорта и дорожного хозяйства Республики Хакасия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CB170000">
            <w:pPr>
              <w:widowControl w:val="1"/>
              <w:ind/>
              <w:contextualSpacing w:val="1"/>
              <w:jc w:val="center"/>
              <w:rPr>
                <w:sz w:val="22"/>
              </w:rPr>
            </w:pPr>
            <w:r>
              <w:rPr>
                <w:sz w:val="22"/>
              </w:rPr>
              <w:t>договор 31-18 от 22.01.2018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CC17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CD170000">
            <w:pPr>
              <w:widowControl w:val="1"/>
              <w:ind/>
              <w:contextualSpacing w:val="1"/>
              <w:jc w:val="center"/>
              <w:rPr>
                <w:sz w:val="22"/>
              </w:rPr>
            </w:pPr>
            <w:r>
              <w:rPr>
                <w:sz w:val="22"/>
              </w:rPr>
              <w:t>о предоставлении субсидии из республиканского бюджета Республики Хакасия на компенсацию недополученных доходов в связи с предоставлением меры социальной поддержки при проезде железнодорожным транспортом пригородного сообщения по территории Республики Хакасия</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CE170000">
            <w:pPr>
              <w:widowControl w:val="1"/>
              <w:ind/>
              <w:contextualSpacing w:val="1"/>
              <w:jc w:val="center"/>
              <w:rPr>
                <w:sz w:val="22"/>
              </w:rPr>
            </w:pPr>
            <w:r>
              <w:rPr>
                <w:sz w:val="22"/>
              </w:rPr>
              <w:t>815864</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CF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D0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D1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D217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D31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D4170000">
            <w:pPr>
              <w:widowControl w:val="1"/>
              <w:ind/>
              <w:contextualSpacing w:val="1"/>
              <w:jc w:val="center"/>
              <w:rPr>
                <w:sz w:val="22"/>
              </w:rPr>
            </w:pPr>
            <w:r>
              <w:rPr>
                <w:sz w:val="22"/>
              </w:rPr>
              <w:t>не требуется</w:t>
            </w:r>
          </w:p>
        </w:tc>
      </w:tr>
      <w:tr>
        <w:trPr>
          <w:trHeight w:hRule="atLeast" w:val="27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D5170000">
            <w:pPr>
              <w:widowControl w:val="1"/>
              <w:ind/>
              <w:contextualSpacing w:val="1"/>
              <w:jc w:val="center"/>
              <w:rPr>
                <w:color w:val="000000"/>
                <w:sz w:val="22"/>
              </w:rPr>
            </w:pPr>
            <w:r>
              <w:rPr>
                <w:color w:val="000000"/>
                <w:sz w:val="22"/>
              </w:rPr>
              <w:t>17</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D6170000">
            <w:pPr>
              <w:widowControl w:val="1"/>
              <w:ind/>
              <w:contextualSpacing w:val="1"/>
              <w:jc w:val="center"/>
              <w:rPr>
                <w:sz w:val="22"/>
              </w:rPr>
            </w:pPr>
            <w:r>
              <w:rPr>
                <w:sz w:val="22"/>
              </w:rPr>
              <w:t>Министерство транспорта и дорожного хозяйства Республики Хакасия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D7170000">
            <w:pPr>
              <w:widowControl w:val="1"/>
              <w:ind/>
              <w:contextualSpacing w:val="1"/>
              <w:jc w:val="center"/>
              <w:rPr>
                <w:sz w:val="22"/>
              </w:rPr>
            </w:pPr>
            <w:r>
              <w:rPr>
                <w:sz w:val="22"/>
              </w:rPr>
              <w:t>дополнительное соглашение к договору № 9-17 от 24.01.2017г. От 12.01.2018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D8170000">
            <w:pPr>
              <w:widowControl w:val="1"/>
              <w:ind/>
              <w:contextualSpacing w:val="1"/>
              <w:jc w:val="center"/>
              <w:rPr>
                <w:sz w:val="22"/>
              </w:rPr>
            </w:pPr>
            <w:r>
              <w:rPr>
                <w:sz w:val="22"/>
              </w:rPr>
              <w:t>01.01.2017-31.12.2017</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D9170000">
            <w:pPr>
              <w:widowControl w:val="1"/>
              <w:ind/>
              <w:contextualSpacing w:val="1"/>
              <w:jc w:val="center"/>
              <w:rPr>
                <w:sz w:val="22"/>
              </w:rPr>
            </w:pPr>
            <w:r>
              <w:rPr>
                <w:sz w:val="22"/>
              </w:rPr>
              <w:t>определение субсидии из республиканского бюджета на компенсацию недополученных доходов в связи с предоставлением меры социалной поддержки при проезде жд транспортом в пригородном сообщении по территории республики Хакасия (школьники,студенты)</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DA170000">
            <w:pPr>
              <w:widowControl w:val="1"/>
              <w:ind/>
              <w:contextualSpacing w:val="1"/>
              <w:jc w:val="center"/>
              <w:rPr>
                <w:sz w:val="22"/>
              </w:rPr>
            </w:pPr>
            <w:r>
              <w:rPr>
                <w:sz w:val="22"/>
              </w:rPr>
              <w:t>724012</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DB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DC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DD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DE17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DF1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E0170000">
            <w:pPr>
              <w:widowControl w:val="1"/>
              <w:ind/>
              <w:contextualSpacing w:val="1"/>
              <w:jc w:val="center"/>
              <w:rPr>
                <w:sz w:val="22"/>
              </w:rPr>
            </w:pPr>
            <w:r>
              <w:rPr>
                <w:sz w:val="22"/>
              </w:rPr>
              <w:t>не требуется</w:t>
            </w:r>
          </w:p>
        </w:tc>
      </w:tr>
      <w:tr>
        <w:trPr>
          <w:trHeight w:hRule="atLeast" w:val="343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E1170000">
            <w:pPr>
              <w:widowControl w:val="1"/>
              <w:ind/>
              <w:contextualSpacing w:val="1"/>
              <w:jc w:val="center"/>
              <w:rPr>
                <w:color w:val="000000"/>
                <w:sz w:val="22"/>
              </w:rPr>
            </w:pPr>
            <w:r>
              <w:rPr>
                <w:color w:val="000000"/>
                <w:sz w:val="22"/>
              </w:rPr>
              <w:t>18</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E2170000">
            <w:pPr>
              <w:widowControl w:val="1"/>
              <w:ind/>
              <w:contextualSpacing w:val="1"/>
              <w:jc w:val="center"/>
              <w:rPr>
                <w:sz w:val="22"/>
              </w:rPr>
            </w:pPr>
            <w:r>
              <w:rPr>
                <w:sz w:val="22"/>
              </w:rPr>
              <w:t>Министерство транспорта и дорожного хозяйства Республики Хакасия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E3170000">
            <w:pPr>
              <w:widowControl w:val="1"/>
              <w:ind/>
              <w:contextualSpacing w:val="1"/>
              <w:jc w:val="center"/>
              <w:rPr>
                <w:sz w:val="22"/>
              </w:rPr>
            </w:pPr>
            <w:r>
              <w:rPr>
                <w:sz w:val="22"/>
              </w:rPr>
              <w:t>дополнительное соглашение № 1 к договору № 30-18 от 22.01.2018г. От 16.03.2018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E4170000">
            <w:pPr>
              <w:widowControl w:val="1"/>
              <w:ind/>
              <w:contextualSpacing w:val="1"/>
              <w:jc w:val="center"/>
              <w:rPr>
                <w:sz w:val="22"/>
              </w:rPr>
            </w:pPr>
            <w:r>
              <w:rPr>
                <w:sz w:val="22"/>
              </w:rPr>
              <w:t>01.01.2018-30.04.2018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E5170000">
            <w:pPr>
              <w:widowControl w:val="1"/>
              <w:ind/>
              <w:contextualSpacing w:val="1"/>
              <w:jc w:val="center"/>
              <w:rPr>
                <w:sz w:val="22"/>
              </w:rPr>
            </w:pPr>
            <w:r>
              <w:rPr>
                <w:sz w:val="22"/>
              </w:rPr>
              <w:t>увеличение предельной цены договора на организацию транспортного обслуживания населения железнодорожным транспортом общего пользования в пригородном сообщении на территории Республики Хакасия и предоставление субсидии из республиканского бюджета Республики Хакасия</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E6170000">
            <w:pPr>
              <w:widowControl w:val="1"/>
              <w:ind/>
              <w:contextualSpacing w:val="1"/>
              <w:jc w:val="center"/>
              <w:rPr>
                <w:sz w:val="22"/>
              </w:rPr>
            </w:pPr>
            <w:r>
              <w:rPr>
                <w:sz w:val="22"/>
              </w:rPr>
              <w:t>21033628</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E7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E8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E9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EA17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EB1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EC170000">
            <w:pPr>
              <w:widowControl w:val="1"/>
              <w:ind/>
              <w:contextualSpacing w:val="1"/>
              <w:jc w:val="center"/>
              <w:rPr>
                <w:sz w:val="22"/>
              </w:rPr>
            </w:pPr>
            <w:r>
              <w:rPr>
                <w:sz w:val="22"/>
              </w:rPr>
              <w:t>не требуется</w:t>
            </w:r>
          </w:p>
        </w:tc>
      </w:tr>
      <w:tr>
        <w:trPr>
          <w:trHeight w:hRule="atLeast" w:val="343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ED170000">
            <w:pPr>
              <w:widowControl w:val="1"/>
              <w:ind/>
              <w:contextualSpacing w:val="1"/>
              <w:jc w:val="center"/>
              <w:rPr>
                <w:color w:val="000000"/>
                <w:sz w:val="22"/>
              </w:rPr>
            </w:pPr>
            <w:r>
              <w:rPr>
                <w:color w:val="000000"/>
                <w:sz w:val="22"/>
              </w:rPr>
              <w:t>19</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EE170000">
            <w:pPr>
              <w:widowControl w:val="1"/>
              <w:ind/>
              <w:contextualSpacing w:val="1"/>
              <w:jc w:val="center"/>
              <w:rPr>
                <w:sz w:val="22"/>
              </w:rPr>
            </w:pPr>
            <w:r>
              <w:rPr>
                <w:sz w:val="22"/>
              </w:rPr>
              <w:t>Министерство транспорта и дорожного хозяйства Республики Хакасия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EF170000">
            <w:pPr>
              <w:widowControl w:val="1"/>
              <w:ind/>
              <w:contextualSpacing w:val="1"/>
              <w:jc w:val="center"/>
              <w:rPr>
                <w:sz w:val="22"/>
              </w:rPr>
            </w:pPr>
            <w:r>
              <w:rPr>
                <w:sz w:val="22"/>
              </w:rPr>
              <w:t>дополнительное соглашение б/н к договору № 30-18 от 22.01.2018г. От 05.06.2018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F017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F1170000">
            <w:pPr>
              <w:widowControl w:val="1"/>
              <w:ind/>
              <w:contextualSpacing w:val="1"/>
              <w:jc w:val="center"/>
              <w:rPr>
                <w:sz w:val="22"/>
              </w:rPr>
            </w:pPr>
            <w:r>
              <w:rPr>
                <w:sz w:val="22"/>
              </w:rPr>
              <w:t>пролонгация договора на организацию транспортного обслуживания населения железнодорожным транспортом общего пользования в пригородном сообщении на территории Республики Хакасия и предоставление субсидии из республиканского бюджета Республики Хакасия, увеличение предельной цены договора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F2170000">
            <w:pPr>
              <w:widowControl w:val="1"/>
              <w:ind/>
              <w:contextualSpacing w:val="1"/>
              <w:jc w:val="center"/>
              <w:rPr>
                <w:sz w:val="22"/>
              </w:rPr>
            </w:pPr>
            <w:r>
              <w:rPr>
                <w:sz w:val="22"/>
              </w:rPr>
              <w:t>42033628</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F317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F417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F517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F617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F71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F8170000">
            <w:pPr>
              <w:widowControl w:val="1"/>
              <w:ind/>
              <w:contextualSpacing w:val="1"/>
              <w:jc w:val="center"/>
              <w:rPr>
                <w:sz w:val="22"/>
              </w:rPr>
            </w:pPr>
            <w:r>
              <w:rPr>
                <w:sz w:val="22"/>
              </w:rPr>
              <w:t>не требуется</w:t>
            </w:r>
          </w:p>
        </w:tc>
      </w:tr>
      <w:tr>
        <w:trPr>
          <w:trHeight w:hRule="atLeast" w:val="480"/>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F9170000">
            <w:pPr>
              <w:widowControl w:val="1"/>
              <w:ind/>
              <w:contextualSpacing w:val="1"/>
              <w:jc w:val="center"/>
              <w:rPr>
                <w:color w:val="000000"/>
                <w:sz w:val="22"/>
              </w:rPr>
            </w:pPr>
            <w:r>
              <w:rPr>
                <w:color w:val="000000"/>
                <w:sz w:val="22"/>
              </w:rPr>
              <w:t>Итого по контрагенту Министерство транспорта и дорожного хозяйства Республики Хакасия 43573504 руб.</w:t>
            </w:r>
          </w:p>
          <w:p w14:paraId="FA170000">
            <w:pPr>
              <w:widowControl w:val="1"/>
              <w:ind/>
              <w:contextualSpacing w:val="1"/>
              <w:jc w:val="center"/>
              <w:rPr>
                <w:color w:val="000000"/>
                <w:sz w:val="22"/>
              </w:rPr>
            </w:pPr>
          </w:p>
        </w:tc>
      </w:tr>
      <w:tr>
        <w:trPr>
          <w:trHeight w:hRule="atLeast" w:val="225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FB170000">
            <w:pPr>
              <w:widowControl w:val="1"/>
              <w:ind/>
              <w:contextualSpacing w:val="1"/>
              <w:jc w:val="center"/>
              <w:rPr>
                <w:color w:val="000000"/>
                <w:sz w:val="22"/>
              </w:rPr>
            </w:pPr>
            <w:r>
              <w:rPr>
                <w:color w:val="000000"/>
                <w:sz w:val="22"/>
              </w:rPr>
              <w:t>20</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FC170000">
            <w:pPr>
              <w:widowControl w:val="1"/>
              <w:ind/>
              <w:contextualSpacing w:val="1"/>
              <w:jc w:val="center"/>
              <w:rPr>
                <w:sz w:val="22"/>
              </w:rPr>
            </w:pPr>
            <w:r>
              <w:rPr>
                <w:sz w:val="22"/>
              </w:rPr>
              <w:t>Министерство транспорта Красноярского края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FD170000">
            <w:pPr>
              <w:widowControl w:val="1"/>
              <w:ind/>
              <w:contextualSpacing w:val="1"/>
              <w:jc w:val="center"/>
              <w:rPr>
                <w:sz w:val="22"/>
              </w:rPr>
            </w:pPr>
            <w:r>
              <w:rPr>
                <w:sz w:val="22"/>
              </w:rPr>
              <w:t>соглашение № 1жд от 27.02.2018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FE17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FF170000">
            <w:pPr>
              <w:widowControl w:val="1"/>
              <w:ind/>
              <w:contextualSpacing w:val="1"/>
              <w:jc w:val="center"/>
              <w:rPr>
                <w:sz w:val="22"/>
              </w:rPr>
            </w:pPr>
            <w:r>
              <w:rPr>
                <w:sz w:val="22"/>
              </w:rPr>
              <w:t>предоставление в 2018 году субсидии в целях возмещения недополученных доходов, возникающих в связи с гос.регулированием тарифов на перевозки пассажиров жд транспортом общего пользования в пригородном сообщении</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00180000">
            <w:pPr>
              <w:widowControl w:val="1"/>
              <w:ind/>
              <w:contextualSpacing w:val="1"/>
              <w:jc w:val="center"/>
              <w:rPr>
                <w:sz w:val="22"/>
              </w:rPr>
            </w:pPr>
            <w:r>
              <w:rPr>
                <w:sz w:val="22"/>
              </w:rPr>
              <w:t>субсидия предоставляется в соответствии со сводной бюджетной росписью краевого бюджета в пределах лимитов бюджетных обязательств, доведенных Главному распорядителю</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01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02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03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04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051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06180000">
            <w:pPr>
              <w:widowControl w:val="1"/>
              <w:ind/>
              <w:contextualSpacing w:val="1"/>
              <w:jc w:val="center"/>
              <w:rPr>
                <w:sz w:val="22"/>
              </w:rPr>
            </w:pPr>
            <w:r>
              <w:rPr>
                <w:sz w:val="22"/>
              </w:rPr>
              <w:t>не требуется</w:t>
            </w:r>
          </w:p>
        </w:tc>
      </w:tr>
      <w:tr>
        <w:trPr>
          <w:trHeight w:hRule="atLeast" w:val="21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07180000">
            <w:pPr>
              <w:widowControl w:val="1"/>
              <w:ind/>
              <w:contextualSpacing w:val="1"/>
              <w:jc w:val="center"/>
              <w:rPr>
                <w:color w:val="000000"/>
                <w:sz w:val="22"/>
              </w:rPr>
            </w:pPr>
            <w:r>
              <w:rPr>
                <w:color w:val="000000"/>
                <w:sz w:val="22"/>
              </w:rPr>
              <w:t>21</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08180000">
            <w:pPr>
              <w:widowControl w:val="1"/>
              <w:ind/>
              <w:contextualSpacing w:val="1"/>
              <w:jc w:val="center"/>
              <w:rPr>
                <w:sz w:val="22"/>
              </w:rPr>
            </w:pPr>
            <w:r>
              <w:rPr>
                <w:sz w:val="22"/>
              </w:rPr>
              <w:t>Министерство транспорта Красноярского края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09180000">
            <w:pPr>
              <w:widowControl w:val="1"/>
              <w:ind/>
              <w:contextualSpacing w:val="1"/>
              <w:jc w:val="center"/>
              <w:rPr>
                <w:sz w:val="22"/>
              </w:rPr>
            </w:pPr>
            <w:r>
              <w:rPr>
                <w:sz w:val="22"/>
              </w:rPr>
              <w:t>соглашение № 2/жд от 14.03.2018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0A18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0B180000">
            <w:pPr>
              <w:widowControl w:val="1"/>
              <w:ind/>
              <w:contextualSpacing w:val="1"/>
              <w:jc w:val="center"/>
              <w:rPr>
                <w:sz w:val="22"/>
              </w:rPr>
            </w:pPr>
            <w:r>
              <w:rPr>
                <w:sz w:val="22"/>
              </w:rPr>
              <w:t>предоставление в 2018 году субсидии в целях возмещения недополученных доходов, возникающих в связи с перевозкой граждан, которым в соответствии с нормативными правовыми актами Красноярского края предоставлены меры социальной поддержки по оплате проезда на железнодорожном транспорте общего пользования в пригородном сообщении</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0C180000">
            <w:pPr>
              <w:widowControl w:val="1"/>
              <w:ind/>
              <w:contextualSpacing w:val="1"/>
              <w:jc w:val="center"/>
              <w:rPr>
                <w:sz w:val="22"/>
              </w:rPr>
            </w:pPr>
            <w:r>
              <w:rPr>
                <w:sz w:val="22"/>
              </w:rPr>
              <w:t>субсидия предоставляется в соответствии со сводной бюджетной росписью краевого бюджета в пределах лимитов бюджетных обязательств, доведенных Главному распорядителю</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0D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0E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0F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10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111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12180000">
            <w:pPr>
              <w:widowControl w:val="1"/>
              <w:ind/>
              <w:contextualSpacing w:val="1"/>
              <w:jc w:val="center"/>
              <w:rPr>
                <w:sz w:val="22"/>
              </w:rPr>
            </w:pPr>
            <w:r>
              <w:rPr>
                <w:sz w:val="22"/>
              </w:rPr>
              <w:t>не требуется</w:t>
            </w:r>
          </w:p>
        </w:tc>
      </w:tr>
      <w:tr>
        <w:trPr>
          <w:trHeight w:hRule="atLeast" w:val="1425"/>
        </w:trPr>
        <w:tc>
          <w:tcPr>
            <w:tcW w:type="dxa" w:w="865"/>
            <w:gridSpan w:val="2"/>
            <w:tcBorders>
              <w:top w:color="000000" w:sz="4" w:val="single"/>
              <w:left w:color="000000" w:sz="4" w:val="single"/>
              <w:bottom w:color="000000" w:sz="4" w:val="single"/>
              <w:right w:color="000000" w:sz="4" w:val="single"/>
            </w:tcBorders>
            <w:shd w:fill="FFFFFF" w:val="clear"/>
            <w:vAlign w:val="center"/>
          </w:tcPr>
          <w:p w14:paraId="13180000">
            <w:pPr>
              <w:widowControl w:val="1"/>
              <w:ind/>
              <w:contextualSpacing w:val="1"/>
              <w:jc w:val="center"/>
              <w:rPr>
                <w:color w:val="000000"/>
                <w:sz w:val="22"/>
              </w:rPr>
            </w:pPr>
            <w:r>
              <w:rPr>
                <w:color w:val="000000"/>
                <w:sz w:val="22"/>
              </w:rPr>
              <w:t>22</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14180000">
            <w:pPr>
              <w:widowControl w:val="1"/>
              <w:ind/>
              <w:contextualSpacing w:val="1"/>
              <w:jc w:val="center"/>
              <w:rPr>
                <w:sz w:val="22"/>
              </w:rPr>
            </w:pPr>
            <w:r>
              <w:rPr>
                <w:sz w:val="22"/>
              </w:rPr>
              <w:t>Министерство транспорта Красноярского края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15180000">
            <w:pPr>
              <w:widowControl w:val="1"/>
              <w:ind/>
              <w:contextualSpacing w:val="1"/>
              <w:jc w:val="center"/>
              <w:rPr>
                <w:sz w:val="22"/>
              </w:rPr>
            </w:pPr>
            <w:r>
              <w:rPr>
                <w:sz w:val="22"/>
              </w:rPr>
              <w:t>дополнительное соглашение № 1/жд/1 к соглашению № 1жд от 27.02.2018 от 16.03.2018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1618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17180000">
            <w:pPr>
              <w:widowControl w:val="1"/>
              <w:ind/>
              <w:contextualSpacing w:val="1"/>
              <w:jc w:val="center"/>
              <w:rPr>
                <w:sz w:val="22"/>
              </w:rPr>
            </w:pPr>
            <w:r>
              <w:rPr>
                <w:sz w:val="22"/>
              </w:rPr>
              <w:t>внесение изменений в программу пассажирских перевозок железнодорожным транспортом в пригородном сообщении, субсидируемых из краевого бюджета в 2018 году</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18180000">
            <w:pPr>
              <w:widowControl w:val="1"/>
              <w:ind/>
              <w:contextualSpacing w:val="1"/>
              <w:jc w:val="center"/>
              <w:rPr>
                <w:sz w:val="22"/>
              </w:rPr>
            </w:pPr>
            <w:r>
              <w:rPr>
                <w:sz w:val="22"/>
              </w:rPr>
              <w:t>субсидия предоставляется в соответствии со сводной бюджетной росписью краевого бюджета в пределах лимитов бюджетных обязательств, доведенных Главному распорядителю</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19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1A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1B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1C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1D1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1E180000">
            <w:pPr>
              <w:widowControl w:val="1"/>
              <w:ind/>
              <w:contextualSpacing w:val="1"/>
              <w:jc w:val="center"/>
              <w:rPr>
                <w:sz w:val="22"/>
              </w:rPr>
            </w:pPr>
            <w:r>
              <w:rPr>
                <w:sz w:val="22"/>
              </w:rPr>
              <w:t>не требуется</w:t>
            </w:r>
          </w:p>
        </w:tc>
      </w:tr>
      <w:tr>
        <w:trPr>
          <w:trHeight w:hRule="atLeast" w:val="1425"/>
        </w:trPr>
        <w:tc>
          <w:tcPr>
            <w:tcW w:type="dxa" w:w="865"/>
            <w:gridSpan w:val="2"/>
            <w:tcBorders>
              <w:top w:color="000000" w:sz="4" w:val="single"/>
              <w:left w:color="000000" w:sz="4" w:val="single"/>
              <w:bottom w:color="000000" w:sz="4" w:val="single"/>
              <w:right w:color="000000" w:sz="4" w:val="single"/>
            </w:tcBorders>
            <w:shd w:fill="FFFFFF" w:val="clear"/>
            <w:vAlign w:val="center"/>
          </w:tcPr>
          <w:p w14:paraId="1F180000">
            <w:pPr>
              <w:widowControl w:val="1"/>
              <w:ind/>
              <w:contextualSpacing w:val="1"/>
              <w:jc w:val="center"/>
              <w:rPr>
                <w:color w:val="000000"/>
                <w:sz w:val="22"/>
              </w:rPr>
            </w:pPr>
            <w:r>
              <w:rPr>
                <w:color w:val="000000"/>
                <w:sz w:val="22"/>
              </w:rPr>
              <w:t>23</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20180000">
            <w:pPr>
              <w:widowControl w:val="1"/>
              <w:ind/>
              <w:contextualSpacing w:val="1"/>
              <w:jc w:val="center"/>
              <w:rPr>
                <w:sz w:val="22"/>
              </w:rPr>
            </w:pPr>
            <w:r>
              <w:rPr>
                <w:sz w:val="22"/>
              </w:rPr>
              <w:t>Министерство транспорта Красноярского края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21180000">
            <w:pPr>
              <w:widowControl w:val="1"/>
              <w:ind/>
              <w:contextualSpacing w:val="1"/>
              <w:jc w:val="center"/>
              <w:rPr>
                <w:sz w:val="22"/>
              </w:rPr>
            </w:pPr>
            <w:r>
              <w:rPr>
                <w:sz w:val="22"/>
              </w:rPr>
              <w:t>дополнительное соглашение № 1/жд/2 к соглашению № 1жд от 27.02.2018 от 17.04.2018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2218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23180000">
            <w:pPr>
              <w:widowControl w:val="1"/>
              <w:ind/>
              <w:contextualSpacing w:val="1"/>
              <w:jc w:val="center"/>
              <w:rPr>
                <w:sz w:val="22"/>
              </w:rPr>
            </w:pPr>
            <w:r>
              <w:rPr>
                <w:sz w:val="22"/>
              </w:rPr>
              <w:t>внесение изменений в программу пассажирских перевозок железнодорожным транспортом в пригородном сообщении, субсидируемых из краевого бюджета в 2018 году</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24180000">
            <w:pPr>
              <w:widowControl w:val="1"/>
              <w:ind/>
              <w:contextualSpacing w:val="1"/>
              <w:jc w:val="center"/>
              <w:rPr>
                <w:sz w:val="22"/>
              </w:rPr>
            </w:pPr>
            <w:r>
              <w:rPr>
                <w:sz w:val="22"/>
              </w:rPr>
              <w:t>субсидия предоставляется в соответствии со сводной бюджетной росписью краевого бюджета в пределах лимитов бюджетных обязательств, доведенных Главному распорядителю</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25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26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27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28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291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2A180000">
            <w:pPr>
              <w:widowControl w:val="1"/>
              <w:ind/>
              <w:contextualSpacing w:val="1"/>
              <w:jc w:val="center"/>
              <w:rPr>
                <w:sz w:val="22"/>
              </w:rPr>
            </w:pPr>
            <w:r>
              <w:rPr>
                <w:sz w:val="22"/>
              </w:rPr>
              <w:t>не требуется</w:t>
            </w:r>
          </w:p>
        </w:tc>
      </w:tr>
      <w:tr>
        <w:trPr>
          <w:trHeight w:hRule="atLeast" w:val="1425"/>
        </w:trPr>
        <w:tc>
          <w:tcPr>
            <w:tcW w:type="dxa" w:w="865"/>
            <w:gridSpan w:val="2"/>
            <w:tcBorders>
              <w:top w:color="000000" w:sz="4" w:val="single"/>
              <w:left w:color="000000" w:sz="4" w:val="single"/>
              <w:bottom w:color="000000" w:sz="4" w:val="single"/>
              <w:right w:color="000000" w:sz="4" w:val="single"/>
            </w:tcBorders>
            <w:shd w:fill="FFFFFF" w:val="clear"/>
            <w:vAlign w:val="center"/>
          </w:tcPr>
          <w:p w14:paraId="2B180000">
            <w:pPr>
              <w:widowControl w:val="1"/>
              <w:ind/>
              <w:contextualSpacing w:val="1"/>
              <w:jc w:val="center"/>
              <w:rPr>
                <w:color w:val="000000"/>
                <w:sz w:val="22"/>
              </w:rPr>
            </w:pPr>
            <w:r>
              <w:rPr>
                <w:color w:val="000000"/>
                <w:sz w:val="22"/>
              </w:rPr>
              <w:t>24</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2C180000">
            <w:pPr>
              <w:widowControl w:val="1"/>
              <w:ind/>
              <w:contextualSpacing w:val="1"/>
              <w:jc w:val="center"/>
              <w:rPr>
                <w:sz w:val="22"/>
              </w:rPr>
            </w:pPr>
            <w:r>
              <w:rPr>
                <w:sz w:val="22"/>
              </w:rPr>
              <w:t>Министерство транспорта Красноярского края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2D180000">
            <w:pPr>
              <w:widowControl w:val="1"/>
              <w:ind/>
              <w:contextualSpacing w:val="1"/>
              <w:jc w:val="center"/>
              <w:rPr>
                <w:sz w:val="22"/>
              </w:rPr>
            </w:pPr>
            <w:r>
              <w:rPr>
                <w:sz w:val="22"/>
              </w:rPr>
              <w:t>дополнительное соглашение № 1/жд/3 к соглашению от 27.02.2018г. От 1/жд от 18.05.2018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2E18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2F180000">
            <w:pPr>
              <w:widowControl w:val="1"/>
              <w:ind/>
              <w:contextualSpacing w:val="1"/>
              <w:jc w:val="center"/>
              <w:rPr>
                <w:sz w:val="22"/>
              </w:rPr>
            </w:pPr>
            <w:r>
              <w:rPr>
                <w:sz w:val="22"/>
              </w:rPr>
              <w:t>внесение изменений в программу пассажирских перевозок железнодорожным транспортом в пригородном сообщении, субсидируемых из краевого бюджета в 2018 году</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30180000">
            <w:pPr>
              <w:widowControl w:val="1"/>
              <w:ind/>
              <w:contextualSpacing w:val="1"/>
              <w:jc w:val="center"/>
              <w:rPr>
                <w:sz w:val="22"/>
              </w:rPr>
            </w:pPr>
            <w:r>
              <w:rPr>
                <w:sz w:val="22"/>
              </w:rPr>
              <w:t>субсидия предоставляется в соответствии со сводной бюджетной росписью краевого бюджета в пределах лимитов бюджетных обязательств, доведенных Главному распорядителю</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31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32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33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34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351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36180000">
            <w:pPr>
              <w:widowControl w:val="1"/>
              <w:ind/>
              <w:contextualSpacing w:val="1"/>
              <w:jc w:val="center"/>
              <w:rPr>
                <w:sz w:val="22"/>
              </w:rPr>
            </w:pPr>
            <w:r>
              <w:rPr>
                <w:sz w:val="22"/>
              </w:rPr>
              <w:t>не требуется</w:t>
            </w:r>
          </w:p>
        </w:tc>
      </w:tr>
      <w:tr>
        <w:trPr>
          <w:trHeight w:hRule="atLeast" w:val="1425"/>
        </w:trPr>
        <w:tc>
          <w:tcPr>
            <w:tcW w:type="dxa" w:w="865"/>
            <w:gridSpan w:val="2"/>
            <w:tcBorders>
              <w:top w:color="000000" w:sz="4" w:val="single"/>
              <w:left w:color="000000" w:sz="4" w:val="single"/>
              <w:bottom w:color="000000" w:sz="4" w:val="single"/>
              <w:right w:color="000000" w:sz="4" w:val="single"/>
            </w:tcBorders>
            <w:shd w:fill="FFFFFF" w:val="clear"/>
            <w:vAlign w:val="center"/>
          </w:tcPr>
          <w:p w14:paraId="37180000">
            <w:pPr>
              <w:widowControl w:val="1"/>
              <w:ind/>
              <w:contextualSpacing w:val="1"/>
              <w:jc w:val="center"/>
              <w:rPr>
                <w:color w:val="000000"/>
                <w:sz w:val="22"/>
              </w:rPr>
            </w:pPr>
            <w:r>
              <w:rPr>
                <w:color w:val="000000"/>
                <w:sz w:val="22"/>
              </w:rPr>
              <w:t>25</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38180000">
            <w:pPr>
              <w:widowControl w:val="1"/>
              <w:ind/>
              <w:contextualSpacing w:val="1"/>
              <w:jc w:val="center"/>
              <w:rPr>
                <w:sz w:val="22"/>
              </w:rPr>
            </w:pPr>
            <w:r>
              <w:rPr>
                <w:sz w:val="22"/>
              </w:rPr>
              <w:t>Министерство транспорта Красноярского края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39180000">
            <w:pPr>
              <w:widowControl w:val="1"/>
              <w:ind/>
              <w:contextualSpacing w:val="1"/>
              <w:jc w:val="center"/>
              <w:rPr>
                <w:sz w:val="22"/>
              </w:rPr>
            </w:pPr>
            <w:r>
              <w:rPr>
                <w:sz w:val="22"/>
              </w:rPr>
              <w:t>дополнительное соглашение № 1/жд/4 к соглашению от 27.02.2018 № 1/жд от 13.06.2018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3A18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3B180000">
            <w:pPr>
              <w:widowControl w:val="1"/>
              <w:ind/>
              <w:contextualSpacing w:val="1"/>
              <w:jc w:val="center"/>
              <w:rPr>
                <w:sz w:val="22"/>
              </w:rPr>
            </w:pPr>
            <w:r>
              <w:rPr>
                <w:sz w:val="22"/>
              </w:rPr>
              <w:t>внесение изменений в программу пассажирских перевозок железнодорожным транспортом в пригородном сообщении, субсидируемых из краевого бюджета в 2018 году</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3C180000">
            <w:pPr>
              <w:widowControl w:val="1"/>
              <w:ind/>
              <w:contextualSpacing w:val="1"/>
              <w:jc w:val="center"/>
              <w:rPr>
                <w:sz w:val="22"/>
              </w:rPr>
            </w:pPr>
            <w:r>
              <w:rPr>
                <w:sz w:val="22"/>
              </w:rPr>
              <w:t>субсидия предоставляется в соответствии со сводной бюджетной росписью краевого бюджета в пределах лимитов бюджетных обязательств, доведенных Главному распорядителю</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3D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3E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3F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40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411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42180000">
            <w:pPr>
              <w:widowControl w:val="1"/>
              <w:ind/>
              <w:contextualSpacing w:val="1"/>
              <w:jc w:val="center"/>
              <w:rPr>
                <w:sz w:val="22"/>
              </w:rPr>
            </w:pPr>
            <w:r>
              <w:rPr>
                <w:sz w:val="22"/>
              </w:rPr>
              <w:t>не требуется</w:t>
            </w:r>
          </w:p>
        </w:tc>
      </w:tr>
      <w:tr>
        <w:trPr>
          <w:trHeight w:hRule="atLeast" w:val="1425"/>
        </w:trPr>
        <w:tc>
          <w:tcPr>
            <w:tcW w:type="dxa" w:w="865"/>
            <w:gridSpan w:val="2"/>
            <w:tcBorders>
              <w:top w:color="000000" w:sz="4" w:val="single"/>
              <w:left w:color="000000" w:sz="4" w:val="single"/>
              <w:bottom w:color="000000" w:sz="4" w:val="single"/>
              <w:right w:color="000000" w:sz="4" w:val="single"/>
            </w:tcBorders>
            <w:shd w:fill="FFFFFF" w:val="clear"/>
            <w:vAlign w:val="center"/>
          </w:tcPr>
          <w:p w14:paraId="43180000">
            <w:pPr>
              <w:widowControl w:val="1"/>
              <w:ind/>
              <w:contextualSpacing w:val="1"/>
              <w:jc w:val="center"/>
              <w:rPr>
                <w:color w:val="000000"/>
                <w:sz w:val="22"/>
              </w:rPr>
            </w:pPr>
            <w:r>
              <w:rPr>
                <w:color w:val="000000"/>
                <w:sz w:val="22"/>
              </w:rPr>
              <w:t>26</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44180000">
            <w:pPr>
              <w:widowControl w:val="1"/>
              <w:ind/>
              <w:contextualSpacing w:val="1"/>
              <w:jc w:val="center"/>
              <w:rPr>
                <w:sz w:val="22"/>
              </w:rPr>
            </w:pPr>
            <w:r>
              <w:rPr>
                <w:sz w:val="22"/>
              </w:rPr>
              <w:t>Министерство транспорта Красноярского края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45180000">
            <w:pPr>
              <w:widowControl w:val="1"/>
              <w:ind/>
              <w:contextualSpacing w:val="1"/>
              <w:jc w:val="center"/>
              <w:rPr>
                <w:sz w:val="22"/>
              </w:rPr>
            </w:pPr>
            <w:r>
              <w:rPr>
                <w:sz w:val="22"/>
              </w:rPr>
              <w:t>дополнительное соглашение № 1/жд/5 к соглашению № 1жд от 27.02.2018 от 17.07.2018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4618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47180000">
            <w:pPr>
              <w:widowControl w:val="1"/>
              <w:ind/>
              <w:contextualSpacing w:val="1"/>
              <w:jc w:val="center"/>
              <w:rPr>
                <w:sz w:val="22"/>
              </w:rPr>
            </w:pPr>
            <w:r>
              <w:rPr>
                <w:sz w:val="22"/>
              </w:rPr>
              <w:t>внесение изменений в программу пассажирских перевозок железнодорожным транспортом в пригородном сообщении, субсидируемых из краевого бюджета в 2018 году</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48180000">
            <w:pPr>
              <w:widowControl w:val="1"/>
              <w:ind/>
              <w:contextualSpacing w:val="1"/>
              <w:jc w:val="center"/>
              <w:rPr>
                <w:sz w:val="22"/>
              </w:rPr>
            </w:pPr>
            <w:r>
              <w:rPr>
                <w:sz w:val="22"/>
              </w:rPr>
              <w:t>субсидия предоставляется в соответствии со сводной бюджетной росписью краевого бюджета в пределах лимитов бюджетных обязательств, доведенных Главному распорядителю</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49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4A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4B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4C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4D1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4E180000">
            <w:pPr>
              <w:widowControl w:val="1"/>
              <w:ind/>
              <w:contextualSpacing w:val="1"/>
              <w:jc w:val="center"/>
              <w:rPr>
                <w:sz w:val="22"/>
              </w:rPr>
            </w:pPr>
            <w:r>
              <w:rPr>
                <w:sz w:val="22"/>
              </w:rPr>
              <w:t>не требуется</w:t>
            </w:r>
          </w:p>
        </w:tc>
      </w:tr>
      <w:tr>
        <w:trPr>
          <w:trHeight w:hRule="atLeast" w:val="1425"/>
        </w:trPr>
        <w:tc>
          <w:tcPr>
            <w:tcW w:type="dxa" w:w="865"/>
            <w:gridSpan w:val="2"/>
            <w:tcBorders>
              <w:top w:color="000000" w:sz="4" w:val="single"/>
              <w:left w:color="000000" w:sz="4" w:val="single"/>
              <w:bottom w:color="000000" w:sz="4" w:val="single"/>
              <w:right w:color="000000" w:sz="4" w:val="single"/>
            </w:tcBorders>
            <w:shd w:fill="FFFFFF" w:val="clear"/>
            <w:vAlign w:val="center"/>
          </w:tcPr>
          <w:p w14:paraId="4F180000">
            <w:pPr>
              <w:widowControl w:val="1"/>
              <w:ind/>
              <w:contextualSpacing w:val="1"/>
              <w:jc w:val="center"/>
              <w:rPr>
                <w:color w:val="000000"/>
                <w:sz w:val="22"/>
              </w:rPr>
            </w:pPr>
            <w:r>
              <w:rPr>
                <w:color w:val="000000"/>
                <w:sz w:val="22"/>
              </w:rPr>
              <w:t>27</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50180000">
            <w:pPr>
              <w:widowControl w:val="1"/>
              <w:ind/>
              <w:contextualSpacing w:val="1"/>
              <w:jc w:val="center"/>
              <w:rPr>
                <w:sz w:val="22"/>
              </w:rPr>
            </w:pPr>
            <w:r>
              <w:rPr>
                <w:sz w:val="22"/>
              </w:rPr>
              <w:t>Министерство транспорта Красноярского края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51180000">
            <w:pPr>
              <w:widowControl w:val="1"/>
              <w:ind/>
              <w:contextualSpacing w:val="1"/>
              <w:jc w:val="center"/>
              <w:rPr>
                <w:sz w:val="22"/>
              </w:rPr>
            </w:pPr>
            <w:r>
              <w:rPr>
                <w:sz w:val="22"/>
              </w:rPr>
              <w:t>дополнительное соглашение № 1/жд/6 к соглашению № 1жд от 27.02.2018 от 16.08.2018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5218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53180000">
            <w:pPr>
              <w:widowControl w:val="1"/>
              <w:ind/>
              <w:contextualSpacing w:val="1"/>
              <w:jc w:val="center"/>
              <w:rPr>
                <w:sz w:val="22"/>
              </w:rPr>
            </w:pPr>
            <w:r>
              <w:rPr>
                <w:sz w:val="22"/>
              </w:rPr>
              <w:t>внесение изменений в программу пассажирских перевозок железнодорожным транспортом в пригородном сообщении, субсидируемых из краевого бюджета в 2018 году</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54180000">
            <w:pPr>
              <w:widowControl w:val="1"/>
              <w:ind/>
              <w:contextualSpacing w:val="1"/>
              <w:jc w:val="center"/>
              <w:rPr>
                <w:sz w:val="22"/>
              </w:rPr>
            </w:pPr>
            <w:r>
              <w:rPr>
                <w:sz w:val="22"/>
              </w:rPr>
              <w:t>субсидия предоставляется в соответствии со сводной бюджетной росписью краевого бюджета в пределах лимитов бюджетных обязательств, доведенных Главному распорядителю</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55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56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57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58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591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5A180000">
            <w:pPr>
              <w:widowControl w:val="1"/>
              <w:ind/>
              <w:contextualSpacing w:val="1"/>
              <w:jc w:val="center"/>
              <w:rPr>
                <w:sz w:val="22"/>
              </w:rPr>
            </w:pPr>
            <w:r>
              <w:rPr>
                <w:sz w:val="22"/>
              </w:rPr>
              <w:t>не требуется</w:t>
            </w:r>
          </w:p>
        </w:tc>
      </w:tr>
      <w:tr>
        <w:trPr>
          <w:trHeight w:hRule="atLeast" w:val="1425"/>
        </w:trPr>
        <w:tc>
          <w:tcPr>
            <w:tcW w:type="dxa" w:w="865"/>
            <w:gridSpan w:val="2"/>
            <w:tcBorders>
              <w:top w:color="000000" w:sz="4" w:val="single"/>
              <w:left w:color="000000" w:sz="4" w:val="single"/>
              <w:bottom w:color="000000" w:sz="4" w:val="single"/>
              <w:right w:color="000000" w:sz="4" w:val="single"/>
            </w:tcBorders>
            <w:shd w:fill="FFFFFF" w:val="clear"/>
            <w:vAlign w:val="center"/>
          </w:tcPr>
          <w:p w14:paraId="5B180000">
            <w:pPr>
              <w:widowControl w:val="1"/>
              <w:ind/>
              <w:contextualSpacing w:val="1"/>
              <w:jc w:val="center"/>
              <w:rPr>
                <w:color w:val="000000"/>
                <w:sz w:val="22"/>
              </w:rPr>
            </w:pPr>
            <w:r>
              <w:rPr>
                <w:color w:val="000000"/>
                <w:sz w:val="22"/>
              </w:rPr>
              <w:t>28</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5C180000">
            <w:pPr>
              <w:widowControl w:val="1"/>
              <w:ind/>
              <w:contextualSpacing w:val="1"/>
              <w:jc w:val="center"/>
              <w:rPr>
                <w:sz w:val="22"/>
              </w:rPr>
            </w:pPr>
            <w:r>
              <w:rPr>
                <w:sz w:val="22"/>
              </w:rPr>
              <w:t>Министерство транспорта Красноярского края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5D180000">
            <w:pPr>
              <w:widowControl w:val="1"/>
              <w:ind/>
              <w:contextualSpacing w:val="1"/>
              <w:jc w:val="center"/>
              <w:rPr>
                <w:sz w:val="22"/>
              </w:rPr>
            </w:pPr>
            <w:r>
              <w:rPr>
                <w:sz w:val="22"/>
              </w:rPr>
              <w:t>дополнительное соглашение № 1/жд/8 к соглашению № 1жд от 27.02.2018 от 16.10.2018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5E18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5F180000">
            <w:pPr>
              <w:widowControl w:val="1"/>
              <w:ind/>
              <w:contextualSpacing w:val="1"/>
              <w:jc w:val="center"/>
              <w:rPr>
                <w:sz w:val="22"/>
              </w:rPr>
            </w:pPr>
            <w:r>
              <w:rPr>
                <w:sz w:val="22"/>
              </w:rPr>
              <w:t>внесение изменений в программу пассажирских перевозок железнодорожным транспортом в пригородном сообщении, субсидируемых из краевого бюджета в 2018 году</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60180000">
            <w:pPr>
              <w:widowControl w:val="1"/>
              <w:ind/>
              <w:contextualSpacing w:val="1"/>
              <w:jc w:val="center"/>
              <w:rPr>
                <w:sz w:val="22"/>
              </w:rPr>
            </w:pPr>
            <w:r>
              <w:rPr>
                <w:sz w:val="22"/>
              </w:rPr>
              <w:t>субсидия предоставляется в соответствии со сводной бюджетной росписью краевого бюджета в пределах лимитов бюджетных обязательств, доведенных Главному распорядителю</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61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62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63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64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651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66180000">
            <w:pPr>
              <w:widowControl w:val="1"/>
              <w:ind/>
              <w:contextualSpacing w:val="1"/>
              <w:jc w:val="center"/>
              <w:rPr>
                <w:sz w:val="22"/>
              </w:rPr>
            </w:pPr>
            <w:r>
              <w:rPr>
                <w:sz w:val="22"/>
              </w:rPr>
              <w:t>не требуется</w:t>
            </w:r>
          </w:p>
        </w:tc>
      </w:tr>
      <w:tr>
        <w:trPr>
          <w:trHeight w:hRule="atLeast" w:val="1425"/>
        </w:trPr>
        <w:tc>
          <w:tcPr>
            <w:tcW w:type="dxa" w:w="865"/>
            <w:gridSpan w:val="2"/>
            <w:tcBorders>
              <w:top w:color="000000" w:sz="4" w:val="single"/>
              <w:left w:color="000000" w:sz="4" w:val="single"/>
              <w:bottom w:color="000000" w:sz="4" w:val="single"/>
              <w:right w:color="000000" w:sz="4" w:val="single"/>
            </w:tcBorders>
            <w:shd w:fill="FFFFFF" w:val="clear"/>
            <w:vAlign w:val="center"/>
          </w:tcPr>
          <w:p w14:paraId="67180000">
            <w:pPr>
              <w:widowControl w:val="1"/>
              <w:ind/>
              <w:contextualSpacing w:val="1"/>
              <w:jc w:val="center"/>
              <w:rPr>
                <w:color w:val="000000"/>
                <w:sz w:val="22"/>
              </w:rPr>
            </w:pPr>
            <w:r>
              <w:rPr>
                <w:color w:val="000000"/>
                <w:sz w:val="22"/>
              </w:rPr>
              <w:t>29</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68180000">
            <w:pPr>
              <w:widowControl w:val="1"/>
              <w:ind/>
              <w:contextualSpacing w:val="1"/>
              <w:jc w:val="center"/>
              <w:rPr>
                <w:sz w:val="22"/>
              </w:rPr>
            </w:pPr>
            <w:r>
              <w:rPr>
                <w:sz w:val="22"/>
              </w:rPr>
              <w:t>Министерство транспорта Красноярского края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69180000">
            <w:pPr>
              <w:widowControl w:val="1"/>
              <w:ind/>
              <w:contextualSpacing w:val="1"/>
              <w:jc w:val="center"/>
              <w:rPr>
                <w:sz w:val="22"/>
              </w:rPr>
            </w:pPr>
            <w:r>
              <w:rPr>
                <w:sz w:val="22"/>
              </w:rPr>
              <w:t>дополнительное соглашение № 1/жд/9 к соглашению № 1жд от 27.02.2018 от 16.11.2018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6A18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6B180000">
            <w:pPr>
              <w:widowControl w:val="1"/>
              <w:ind/>
              <w:contextualSpacing w:val="1"/>
              <w:jc w:val="center"/>
              <w:rPr>
                <w:sz w:val="22"/>
              </w:rPr>
            </w:pPr>
            <w:r>
              <w:rPr>
                <w:sz w:val="22"/>
              </w:rPr>
              <w:t>внесение изменений в программу пассажирских перевозок железнодорожным транспортом в пригородном сообщении, субсидируемых из краевого бюджета в 2018 году</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6C180000">
            <w:pPr>
              <w:widowControl w:val="1"/>
              <w:ind/>
              <w:contextualSpacing w:val="1"/>
              <w:jc w:val="center"/>
              <w:rPr>
                <w:sz w:val="22"/>
              </w:rPr>
            </w:pPr>
            <w:r>
              <w:rPr>
                <w:sz w:val="22"/>
              </w:rPr>
              <w:t>субсидия предоставляется в соответствии со сводной бюджетной росписью краевого бюджета в пределах лимитов бюджетных обязательств, доведенных Главному распорядителю</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6D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6E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6F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70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711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72180000">
            <w:pPr>
              <w:widowControl w:val="1"/>
              <w:ind/>
              <w:contextualSpacing w:val="1"/>
              <w:jc w:val="center"/>
              <w:rPr>
                <w:sz w:val="22"/>
              </w:rPr>
            </w:pPr>
            <w:r>
              <w:rPr>
                <w:sz w:val="22"/>
              </w:rPr>
              <w:t>не требуется</w:t>
            </w:r>
          </w:p>
        </w:tc>
      </w:tr>
      <w:tr>
        <w:trPr>
          <w:trHeight w:hRule="atLeast" w:val="1425"/>
        </w:trPr>
        <w:tc>
          <w:tcPr>
            <w:tcW w:type="dxa" w:w="865"/>
            <w:gridSpan w:val="2"/>
            <w:tcBorders>
              <w:top w:color="000000" w:sz="4" w:val="single"/>
              <w:left w:color="000000" w:sz="4" w:val="single"/>
              <w:bottom w:color="000000" w:sz="4" w:val="single"/>
              <w:right w:color="000000" w:sz="4" w:val="single"/>
            </w:tcBorders>
            <w:shd w:fill="FFFFFF" w:val="clear"/>
            <w:vAlign w:val="center"/>
          </w:tcPr>
          <w:p w14:paraId="73180000">
            <w:pPr>
              <w:widowControl w:val="1"/>
              <w:ind/>
              <w:contextualSpacing w:val="1"/>
              <w:jc w:val="center"/>
              <w:rPr>
                <w:color w:val="000000"/>
                <w:sz w:val="22"/>
              </w:rPr>
            </w:pPr>
            <w:r>
              <w:rPr>
                <w:color w:val="000000"/>
                <w:sz w:val="22"/>
              </w:rPr>
              <w:t>30</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74180000">
            <w:pPr>
              <w:widowControl w:val="1"/>
              <w:ind/>
              <w:contextualSpacing w:val="1"/>
              <w:jc w:val="center"/>
              <w:rPr>
                <w:sz w:val="22"/>
              </w:rPr>
            </w:pPr>
            <w:r>
              <w:rPr>
                <w:sz w:val="22"/>
              </w:rPr>
              <w:t>Министерство транспорта Красноярского края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75180000">
            <w:pPr>
              <w:widowControl w:val="1"/>
              <w:ind/>
              <w:contextualSpacing w:val="1"/>
              <w:jc w:val="center"/>
              <w:rPr>
                <w:sz w:val="22"/>
              </w:rPr>
            </w:pPr>
            <w:r>
              <w:rPr>
                <w:sz w:val="22"/>
              </w:rPr>
              <w:t>дополнительное соглашение № 1/жд/10 к соглашению № 1жд от 27.02.2018 от 13.12.2018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7618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77180000">
            <w:pPr>
              <w:widowControl w:val="1"/>
              <w:ind/>
              <w:contextualSpacing w:val="1"/>
              <w:jc w:val="center"/>
              <w:rPr>
                <w:sz w:val="22"/>
              </w:rPr>
            </w:pPr>
            <w:r>
              <w:rPr>
                <w:sz w:val="22"/>
              </w:rPr>
              <w:t>внесение изменений в программу пассажирских перевозок железнодорожным транспортом в пригородном сообщении, субсидируемых из краевого бюджета в 2018 году</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78180000">
            <w:pPr>
              <w:widowControl w:val="1"/>
              <w:ind/>
              <w:contextualSpacing w:val="1"/>
              <w:jc w:val="center"/>
              <w:rPr>
                <w:sz w:val="22"/>
              </w:rPr>
            </w:pPr>
            <w:r>
              <w:rPr>
                <w:sz w:val="22"/>
              </w:rPr>
              <w:t>субсидия предоставляется в соответствии со сводной бюджетной росписью краевого бюджета в пределах лимитов бюджетных обязательств, доведенных Главному распорядителю</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79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7A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7B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7C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7D1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7E180000">
            <w:pPr>
              <w:widowControl w:val="1"/>
              <w:ind/>
              <w:contextualSpacing w:val="1"/>
              <w:jc w:val="center"/>
              <w:rPr>
                <w:sz w:val="22"/>
              </w:rPr>
            </w:pPr>
            <w:r>
              <w:rPr>
                <w:sz w:val="22"/>
              </w:rPr>
              <w:t>не требуется</w:t>
            </w:r>
          </w:p>
        </w:tc>
      </w:tr>
      <w:tr>
        <w:trPr>
          <w:trHeight w:hRule="atLeast" w:val="480"/>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7F180000">
            <w:pPr>
              <w:widowControl w:val="1"/>
              <w:ind/>
              <w:contextualSpacing w:val="1"/>
              <w:jc w:val="center"/>
              <w:rPr>
                <w:color w:val="000000"/>
                <w:sz w:val="22"/>
              </w:rPr>
            </w:pPr>
            <w:r>
              <w:rPr>
                <w:color w:val="000000"/>
                <w:sz w:val="22"/>
              </w:rPr>
              <w:t>Итого по контрагенту Министерство транспорта Красноярского края субсидия предоставляется в соответствии со сводной бюджетной росписью краевого бюджета в пределах лимитов бюджетных обязательств, доведенных Главному распорядителю</w:t>
            </w:r>
          </w:p>
          <w:p w14:paraId="80180000">
            <w:pPr>
              <w:widowControl w:val="1"/>
              <w:ind/>
              <w:contextualSpacing w:val="1"/>
              <w:jc w:val="center"/>
              <w:rPr>
                <w:color w:val="000000"/>
                <w:sz w:val="22"/>
              </w:rPr>
            </w:pPr>
          </w:p>
        </w:tc>
      </w:tr>
      <w:tr>
        <w:trPr>
          <w:trHeight w:hRule="atLeast" w:val="111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81180000">
            <w:pPr>
              <w:widowControl w:val="1"/>
              <w:ind/>
              <w:contextualSpacing w:val="1"/>
              <w:jc w:val="center"/>
              <w:rPr>
                <w:color w:val="000000"/>
                <w:sz w:val="22"/>
              </w:rPr>
            </w:pPr>
            <w:r>
              <w:rPr>
                <w:color w:val="000000"/>
                <w:sz w:val="22"/>
              </w:rPr>
              <w:t>31</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82180000">
            <w:pPr>
              <w:widowControl w:val="1"/>
              <w:ind/>
              <w:contextualSpacing w:val="1"/>
              <w:jc w:val="center"/>
              <w:rPr>
                <w:sz w:val="22"/>
              </w:rPr>
            </w:pPr>
            <w:r>
              <w:rPr>
                <w:sz w:val="22"/>
              </w:rPr>
              <w:t>НУЗ "Отделенческая поликлиника на ст. Ачинск ОАО "РЖД"</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83180000">
            <w:pPr>
              <w:widowControl w:val="1"/>
              <w:ind/>
              <w:contextualSpacing w:val="1"/>
              <w:jc w:val="center"/>
              <w:rPr>
                <w:sz w:val="22"/>
              </w:rPr>
            </w:pPr>
            <w:r>
              <w:rPr>
                <w:sz w:val="22"/>
              </w:rPr>
              <w:t>дополнительное соглашение № 4 к договору № 31/8 от 23.03.2012 от 01.01.2018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8418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85180000">
            <w:pPr>
              <w:widowControl w:val="1"/>
              <w:ind/>
              <w:contextualSpacing w:val="1"/>
              <w:jc w:val="center"/>
              <w:rPr>
                <w:sz w:val="22"/>
              </w:rPr>
            </w:pPr>
            <w:r>
              <w:rPr>
                <w:sz w:val="22"/>
              </w:rPr>
              <w:t>внесение изменений относительно реквизитов Заказчика без изменения цены договора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86180000">
            <w:pPr>
              <w:widowControl w:val="1"/>
              <w:ind/>
              <w:contextualSpacing w:val="1"/>
              <w:jc w:val="center"/>
              <w:rPr>
                <w:sz w:val="22"/>
              </w:rPr>
            </w:pPr>
            <w:r>
              <w:rPr>
                <w:sz w:val="22"/>
              </w:rPr>
              <w:t>807500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87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88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89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8A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8B1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8C180000">
            <w:pPr>
              <w:widowControl w:val="1"/>
              <w:ind/>
              <w:contextualSpacing w:val="1"/>
              <w:jc w:val="center"/>
              <w:rPr>
                <w:sz w:val="22"/>
              </w:rPr>
            </w:pPr>
            <w:r>
              <w:rPr>
                <w:sz w:val="22"/>
              </w:rPr>
              <w:t>не требуется</w:t>
            </w:r>
          </w:p>
        </w:tc>
      </w:tr>
      <w:tr>
        <w:trPr>
          <w:trHeight w:hRule="atLeast" w:val="111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8D180000">
            <w:pPr>
              <w:widowControl w:val="1"/>
              <w:ind/>
              <w:contextualSpacing w:val="1"/>
              <w:jc w:val="center"/>
              <w:rPr>
                <w:color w:val="000000"/>
                <w:sz w:val="22"/>
              </w:rPr>
            </w:pPr>
            <w:r>
              <w:rPr>
                <w:color w:val="000000"/>
                <w:sz w:val="22"/>
              </w:rPr>
              <w:t>32</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8E180000">
            <w:pPr>
              <w:widowControl w:val="1"/>
              <w:ind/>
              <w:contextualSpacing w:val="1"/>
              <w:jc w:val="center"/>
              <w:rPr>
                <w:sz w:val="22"/>
              </w:rPr>
            </w:pPr>
            <w:r>
              <w:rPr>
                <w:sz w:val="22"/>
              </w:rPr>
              <w:t>НУЗ "Отделенческая поликлиника на ст. Ачинск ОАО "РЖД"</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8F180000">
            <w:pPr>
              <w:widowControl w:val="1"/>
              <w:ind/>
              <w:contextualSpacing w:val="1"/>
              <w:jc w:val="center"/>
              <w:rPr>
                <w:sz w:val="22"/>
              </w:rPr>
            </w:pPr>
            <w:r>
              <w:rPr>
                <w:sz w:val="22"/>
              </w:rPr>
              <w:t>дополнительное соглашение № 5 к договору № 31/8 от 23.03.2012 от 03.10.2018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90180000">
            <w:pPr>
              <w:widowControl w:val="1"/>
              <w:ind/>
              <w:contextualSpacing w:val="1"/>
              <w:jc w:val="center"/>
              <w:rPr>
                <w:sz w:val="22"/>
              </w:rPr>
            </w:pPr>
            <w:r>
              <w:rPr>
                <w:sz w:val="22"/>
              </w:rPr>
              <w:t>01.10.2018-31.12.2018 пролонгация</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91180000">
            <w:pPr>
              <w:widowControl w:val="1"/>
              <w:ind/>
              <w:contextualSpacing w:val="1"/>
              <w:jc w:val="center"/>
              <w:rPr>
                <w:sz w:val="22"/>
              </w:rPr>
            </w:pPr>
            <w:r>
              <w:rPr>
                <w:sz w:val="22"/>
              </w:rPr>
              <w:t>увеличение предельной цены договора на оказание услуг по перевозке работников по абонементным билетам</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92180000">
            <w:pPr>
              <w:widowControl w:val="1"/>
              <w:ind/>
              <w:contextualSpacing w:val="1"/>
              <w:jc w:val="center"/>
              <w:rPr>
                <w:sz w:val="22"/>
              </w:rPr>
            </w:pPr>
            <w:r>
              <w:rPr>
                <w:sz w:val="22"/>
              </w:rPr>
              <w:t>1029243</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93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94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95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9618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971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98180000">
            <w:pPr>
              <w:widowControl w:val="1"/>
              <w:ind/>
              <w:contextualSpacing w:val="1"/>
              <w:jc w:val="center"/>
              <w:rPr>
                <w:sz w:val="22"/>
              </w:rPr>
            </w:pPr>
            <w:r>
              <w:rPr>
                <w:sz w:val="22"/>
              </w:rPr>
              <w:t>не требуется</w:t>
            </w:r>
          </w:p>
        </w:tc>
      </w:tr>
      <w:tr>
        <w:trPr>
          <w:trHeight w:hRule="atLeast" w:val="501"/>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99180000">
            <w:pPr>
              <w:widowControl w:val="1"/>
              <w:ind/>
              <w:contextualSpacing w:val="1"/>
              <w:jc w:val="center"/>
              <w:rPr>
                <w:color w:val="000000"/>
                <w:sz w:val="22"/>
              </w:rPr>
            </w:pPr>
            <w:r>
              <w:rPr>
                <w:color w:val="000000"/>
                <w:sz w:val="22"/>
              </w:rPr>
              <w:t>Итого по контрагенту НУЗ "Отделенческая поликлиника на ст. Ачинск ОАО "РЖД" 1029243 руб.</w:t>
            </w:r>
          </w:p>
          <w:p w14:paraId="9A180000">
            <w:pPr>
              <w:widowControl w:val="1"/>
              <w:ind/>
              <w:contextualSpacing w:val="1"/>
              <w:jc w:val="center"/>
              <w:rPr>
                <w:sz w:val="22"/>
              </w:rPr>
            </w:pP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9B180000">
            <w:pPr>
              <w:widowControl w:val="1"/>
              <w:ind/>
              <w:contextualSpacing w:val="1"/>
              <w:jc w:val="center"/>
              <w:rPr>
                <w:color w:val="000000"/>
                <w:sz w:val="22"/>
              </w:rPr>
            </w:pPr>
            <w:r>
              <w:rPr>
                <w:color w:val="000000"/>
                <w:sz w:val="22"/>
              </w:rPr>
              <w:t>33</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9C180000">
            <w:pPr>
              <w:widowControl w:val="1"/>
              <w:ind/>
              <w:contextualSpacing w:val="1"/>
              <w:jc w:val="center"/>
              <w:rPr>
                <w:sz w:val="22"/>
              </w:rPr>
            </w:pPr>
            <w:r>
              <w:rPr>
                <w:sz w:val="22"/>
              </w:rPr>
              <w:t>НУЗ "Отделенческая поликлиника на ст. Абакан ОАО "РЖД"</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9D180000">
            <w:pPr>
              <w:widowControl w:val="1"/>
              <w:ind/>
              <w:contextualSpacing w:val="1"/>
              <w:jc w:val="center"/>
              <w:rPr>
                <w:sz w:val="22"/>
              </w:rPr>
            </w:pPr>
            <w:r>
              <w:rPr>
                <w:sz w:val="22"/>
              </w:rPr>
              <w:t>дополнительное соглашение № 2 к договору № 31/7/45 от 23.03.2012 от 25.01.2018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9E180000">
            <w:pPr>
              <w:widowControl w:val="1"/>
              <w:ind/>
              <w:contextualSpacing w:val="1"/>
              <w:jc w:val="center"/>
              <w:rPr>
                <w:sz w:val="22"/>
              </w:rPr>
            </w:pPr>
            <w:r>
              <w:rPr>
                <w:sz w:val="22"/>
              </w:rPr>
              <w:t>25.01.2012-31.12.2018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9F180000">
            <w:pPr>
              <w:widowControl w:val="1"/>
              <w:ind/>
              <w:contextualSpacing w:val="1"/>
              <w:jc w:val="center"/>
              <w:rPr>
                <w:sz w:val="22"/>
              </w:rPr>
            </w:pPr>
            <w:r>
              <w:rPr>
                <w:sz w:val="22"/>
              </w:rPr>
              <w:t>определение предельной цены договора на оказание услуг по перевозке работников по абонементным билетам в поездах пригородного сообщения</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A0180000">
            <w:pPr>
              <w:widowControl w:val="1"/>
              <w:ind/>
              <w:contextualSpacing w:val="1"/>
              <w:jc w:val="center"/>
              <w:rPr>
                <w:sz w:val="22"/>
              </w:rPr>
            </w:pPr>
            <w:r>
              <w:rPr>
                <w:sz w:val="22"/>
              </w:rPr>
              <w:t>154719</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A1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A2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A3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A4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A51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A6180000">
            <w:pPr>
              <w:widowControl w:val="1"/>
              <w:ind/>
              <w:contextualSpacing w:val="1"/>
              <w:jc w:val="center"/>
              <w:rPr>
                <w:sz w:val="22"/>
              </w:rPr>
            </w:pPr>
            <w:r>
              <w:rPr>
                <w:sz w:val="22"/>
              </w:rPr>
              <w:t>не требуется</w:t>
            </w: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A7180000">
            <w:pPr>
              <w:widowControl w:val="1"/>
              <w:ind/>
              <w:contextualSpacing w:val="1"/>
              <w:jc w:val="center"/>
              <w:rPr>
                <w:color w:val="000000"/>
                <w:sz w:val="22"/>
              </w:rPr>
            </w:pPr>
            <w:r>
              <w:rPr>
                <w:color w:val="000000"/>
                <w:sz w:val="22"/>
              </w:rPr>
              <w:t>34</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A8180000">
            <w:pPr>
              <w:widowControl w:val="1"/>
              <w:ind/>
              <w:contextualSpacing w:val="1"/>
              <w:jc w:val="center"/>
              <w:rPr>
                <w:sz w:val="22"/>
              </w:rPr>
            </w:pPr>
            <w:r>
              <w:rPr>
                <w:sz w:val="22"/>
              </w:rPr>
              <w:t>Министерство труда и социальной защиты РФ</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A9180000">
            <w:pPr>
              <w:widowControl w:val="1"/>
              <w:ind/>
              <w:contextualSpacing w:val="1"/>
              <w:jc w:val="center"/>
              <w:rPr>
                <w:sz w:val="22"/>
              </w:rPr>
            </w:pPr>
            <w:r>
              <w:rPr>
                <w:sz w:val="22"/>
              </w:rPr>
              <w:t>государственный контракт № 18-к-12-028 от 26.02.2018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AA18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AB180000">
            <w:pPr>
              <w:widowControl w:val="1"/>
              <w:ind/>
              <w:contextualSpacing w:val="1"/>
              <w:jc w:val="center"/>
              <w:rPr>
                <w:sz w:val="22"/>
              </w:rPr>
            </w:pPr>
            <w:r>
              <w:rPr>
                <w:sz w:val="22"/>
              </w:rPr>
              <w:t>оказание услуги по перевозке граждан-получателей социальной услуги железнодорожным транспортом пригородного сообщения</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AC180000">
            <w:pPr>
              <w:widowControl w:val="1"/>
              <w:ind/>
              <w:contextualSpacing w:val="1"/>
              <w:jc w:val="center"/>
              <w:rPr>
                <w:sz w:val="22"/>
              </w:rPr>
            </w:pPr>
            <w:r>
              <w:rPr>
                <w:sz w:val="22"/>
              </w:rPr>
              <w:t>22959992,5</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AD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AE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AF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B0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B11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B2180000">
            <w:pPr>
              <w:widowControl w:val="1"/>
              <w:ind/>
              <w:contextualSpacing w:val="1"/>
              <w:jc w:val="center"/>
              <w:rPr>
                <w:sz w:val="22"/>
              </w:rPr>
            </w:pPr>
            <w:r>
              <w:rPr>
                <w:sz w:val="22"/>
              </w:rPr>
              <w:t>не требуется</w:t>
            </w: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B3180000">
            <w:pPr>
              <w:widowControl w:val="1"/>
              <w:ind/>
              <w:contextualSpacing w:val="1"/>
              <w:jc w:val="center"/>
              <w:rPr>
                <w:color w:val="000000"/>
                <w:sz w:val="22"/>
              </w:rPr>
            </w:pPr>
            <w:r>
              <w:rPr>
                <w:color w:val="000000"/>
                <w:sz w:val="22"/>
              </w:rPr>
              <w:t>35</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B4180000">
            <w:pPr>
              <w:widowControl w:val="1"/>
              <w:ind/>
              <w:contextualSpacing w:val="1"/>
              <w:jc w:val="center"/>
              <w:rPr>
                <w:sz w:val="22"/>
              </w:rPr>
            </w:pPr>
            <w:r>
              <w:rPr>
                <w:sz w:val="22"/>
              </w:rPr>
              <w:t>ОАО "РЖД"</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B5180000">
            <w:pPr>
              <w:widowControl w:val="1"/>
              <w:ind/>
              <w:contextualSpacing w:val="1"/>
              <w:jc w:val="center"/>
              <w:rPr>
                <w:sz w:val="22"/>
              </w:rPr>
            </w:pPr>
            <w:r>
              <w:rPr>
                <w:sz w:val="22"/>
              </w:rPr>
              <w:t>дополнительное соглашение № 10 к соглашению об электронном обмене данными № 12 от 26.01.2012г. От 29.03.2018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B6180000">
            <w:pPr>
              <w:widowControl w:val="1"/>
              <w:ind/>
              <w:contextualSpacing w:val="1"/>
              <w:jc w:val="center"/>
              <w:rPr>
                <w:sz w:val="22"/>
              </w:rPr>
            </w:pPr>
            <w:r>
              <w:rPr>
                <w:sz w:val="22"/>
              </w:rPr>
              <w:t>29.03.2018-31.12.2018 пролонгация</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B7180000">
            <w:pPr>
              <w:widowControl w:val="1"/>
              <w:ind/>
              <w:contextualSpacing w:val="1"/>
              <w:jc w:val="center"/>
              <w:rPr>
                <w:sz w:val="22"/>
              </w:rPr>
            </w:pPr>
            <w:r>
              <w:rPr>
                <w:sz w:val="22"/>
              </w:rPr>
              <w:t>внесение изменений в перечень информационных систем ОАО "РЖД", которые используются АО "Краспригород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B8180000">
            <w:pPr>
              <w:widowControl w:val="1"/>
              <w:ind/>
              <w:contextualSpacing w:val="1"/>
              <w:jc w:val="center"/>
              <w:rPr>
                <w:sz w:val="22"/>
              </w:rPr>
            </w:pPr>
            <w:r>
              <w:rPr>
                <w:sz w:val="22"/>
              </w:rPr>
              <w:t>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B9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BA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BB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BC18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BD18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BE180000">
            <w:pPr>
              <w:widowControl w:val="1"/>
              <w:ind/>
              <w:contextualSpacing w:val="1"/>
              <w:jc w:val="center"/>
              <w:rPr>
                <w:sz w:val="22"/>
              </w:rPr>
            </w:pPr>
            <w:r>
              <w:rPr>
                <w:sz w:val="22"/>
              </w:rPr>
              <w:t>не требуется</w:t>
            </w: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BF180000">
            <w:pPr>
              <w:widowControl w:val="1"/>
              <w:ind/>
              <w:contextualSpacing w:val="1"/>
              <w:jc w:val="center"/>
              <w:rPr>
                <w:color w:val="000000"/>
                <w:sz w:val="22"/>
              </w:rPr>
            </w:pPr>
            <w:r>
              <w:rPr>
                <w:color w:val="000000"/>
                <w:sz w:val="22"/>
              </w:rPr>
              <w:t>36</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C0180000">
            <w:pPr>
              <w:widowControl w:val="1"/>
              <w:ind/>
              <w:contextualSpacing w:val="1"/>
              <w:jc w:val="center"/>
              <w:rPr>
                <w:sz w:val="22"/>
              </w:rPr>
            </w:pPr>
            <w:r>
              <w:rPr>
                <w:sz w:val="22"/>
              </w:rPr>
              <w:t>ОАО "РЖД"</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C1180000">
            <w:pPr>
              <w:widowControl w:val="1"/>
              <w:ind/>
              <w:contextualSpacing w:val="1"/>
              <w:jc w:val="center"/>
              <w:rPr>
                <w:sz w:val="22"/>
              </w:rPr>
            </w:pPr>
            <w:r>
              <w:rPr>
                <w:sz w:val="22"/>
              </w:rPr>
              <w:t>дополнительное соглашение № 11 к соглашению № 12 от 26.01.2012 от 29.12.2018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C2180000">
            <w:pPr>
              <w:widowControl w:val="1"/>
              <w:ind/>
              <w:contextualSpacing w:val="1"/>
              <w:jc w:val="center"/>
              <w:rPr>
                <w:sz w:val="22"/>
              </w:rPr>
            </w:pPr>
            <w:r>
              <w:rPr>
                <w:sz w:val="22"/>
              </w:rPr>
              <w:t>29.03.2018-31.12.2018 пролонгация</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C3180000">
            <w:pPr>
              <w:widowControl w:val="1"/>
              <w:ind/>
              <w:contextualSpacing w:val="1"/>
              <w:jc w:val="center"/>
              <w:rPr>
                <w:sz w:val="22"/>
              </w:rPr>
            </w:pPr>
            <w:r>
              <w:rPr>
                <w:sz w:val="22"/>
              </w:rPr>
              <w:t>внесение изменений в перечень информационных систем ОАО "РЖД", которые используются АО "Краспригород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C4180000">
            <w:pPr>
              <w:widowControl w:val="1"/>
              <w:ind/>
              <w:contextualSpacing w:val="1"/>
              <w:jc w:val="center"/>
              <w:rPr>
                <w:sz w:val="22"/>
              </w:rPr>
            </w:pPr>
            <w:r>
              <w:rPr>
                <w:sz w:val="22"/>
              </w:rPr>
              <w:t>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C5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C6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C7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C818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C918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CA180000">
            <w:pPr>
              <w:widowControl w:val="1"/>
              <w:ind/>
              <w:contextualSpacing w:val="1"/>
              <w:jc w:val="center"/>
              <w:rPr>
                <w:sz w:val="22"/>
              </w:rPr>
            </w:pPr>
            <w:r>
              <w:rPr>
                <w:sz w:val="22"/>
              </w:rPr>
              <w:t>не требуется</w:t>
            </w: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CB180000">
            <w:pPr>
              <w:widowControl w:val="1"/>
              <w:ind/>
              <w:contextualSpacing w:val="1"/>
              <w:jc w:val="center"/>
              <w:rPr>
                <w:color w:val="000000"/>
                <w:sz w:val="22"/>
              </w:rPr>
            </w:pPr>
            <w:r>
              <w:rPr>
                <w:color w:val="000000"/>
                <w:sz w:val="22"/>
              </w:rPr>
              <w:t>37</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CC180000">
            <w:pPr>
              <w:widowControl w:val="1"/>
              <w:ind/>
              <w:contextualSpacing w:val="1"/>
              <w:jc w:val="center"/>
              <w:rPr>
                <w:sz w:val="22"/>
              </w:rPr>
            </w:pPr>
            <w:r>
              <w:rPr>
                <w:sz w:val="22"/>
              </w:rPr>
              <w:t>ОАО "РЖД" Административно-хозяйственный центр</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CD180000">
            <w:pPr>
              <w:widowControl w:val="1"/>
              <w:ind/>
              <w:contextualSpacing w:val="1"/>
              <w:jc w:val="center"/>
              <w:rPr>
                <w:sz w:val="22"/>
              </w:rPr>
            </w:pPr>
            <w:r>
              <w:rPr>
                <w:sz w:val="22"/>
              </w:rPr>
              <w:t>договор № 2856538 от 30.03.2018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CE180000">
            <w:pPr>
              <w:widowControl w:val="1"/>
              <w:ind/>
              <w:contextualSpacing w:val="1"/>
              <w:jc w:val="center"/>
              <w:rPr>
                <w:sz w:val="22"/>
              </w:rPr>
            </w:pPr>
            <w:r>
              <w:rPr>
                <w:sz w:val="22"/>
              </w:rPr>
              <w:t>30.03.2018-21.02.2019</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CF180000">
            <w:pPr>
              <w:widowControl w:val="1"/>
              <w:ind/>
              <w:contextualSpacing w:val="1"/>
              <w:jc w:val="center"/>
              <w:rPr>
                <w:sz w:val="22"/>
              </w:rPr>
            </w:pPr>
            <w:r>
              <w:rPr>
                <w:sz w:val="22"/>
              </w:rPr>
              <w:t>выполнение работ по осуществлению внутренней (влажной) и наружной санитарно-гигиенической уборки подвижного состава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D0180000">
            <w:pPr>
              <w:widowControl w:val="1"/>
              <w:ind/>
              <w:contextualSpacing w:val="1"/>
              <w:jc w:val="center"/>
              <w:rPr>
                <w:sz w:val="22"/>
              </w:rPr>
            </w:pPr>
            <w:r>
              <w:rPr>
                <w:sz w:val="22"/>
              </w:rPr>
              <w:t>75531,56</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D1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D2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D3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D418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D518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D6180000">
            <w:pPr>
              <w:widowControl w:val="1"/>
              <w:ind/>
              <w:contextualSpacing w:val="1"/>
              <w:jc w:val="center"/>
              <w:rPr>
                <w:sz w:val="22"/>
              </w:rPr>
            </w:pPr>
            <w:r>
              <w:rPr>
                <w:sz w:val="22"/>
              </w:rPr>
              <w:t>не требуется</w:t>
            </w:r>
          </w:p>
        </w:tc>
      </w:tr>
      <w:tr>
        <w:trPr>
          <w:trHeight w:hRule="atLeast" w:val="108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D7180000">
            <w:pPr>
              <w:widowControl w:val="1"/>
              <w:ind/>
              <w:contextualSpacing w:val="1"/>
              <w:jc w:val="center"/>
              <w:rPr>
                <w:color w:val="000000"/>
                <w:sz w:val="22"/>
              </w:rPr>
            </w:pPr>
            <w:r>
              <w:rPr>
                <w:color w:val="000000"/>
                <w:sz w:val="22"/>
              </w:rPr>
              <w:t>38</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D8180000">
            <w:pPr>
              <w:widowControl w:val="1"/>
              <w:ind/>
              <w:contextualSpacing w:val="1"/>
              <w:jc w:val="center"/>
              <w:rPr>
                <w:sz w:val="22"/>
              </w:rPr>
            </w:pPr>
            <w:r>
              <w:rPr>
                <w:sz w:val="22"/>
              </w:rPr>
              <w:t>ОАО "РЖД" Административно-хозяйственное управление</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D9180000">
            <w:pPr>
              <w:widowControl w:val="1"/>
              <w:ind/>
              <w:contextualSpacing w:val="1"/>
              <w:jc w:val="center"/>
              <w:rPr>
                <w:sz w:val="22"/>
              </w:rPr>
            </w:pPr>
            <w:r>
              <w:rPr>
                <w:sz w:val="22"/>
              </w:rPr>
              <w:t>дополнительное соглашение № 9 к договору № 6762 от 22.12.2012г. От 18.05.2018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DA180000">
            <w:pPr>
              <w:widowControl w:val="1"/>
              <w:ind/>
              <w:contextualSpacing w:val="1"/>
              <w:jc w:val="center"/>
              <w:rPr>
                <w:color w:val="000000"/>
                <w:sz w:val="22"/>
              </w:rPr>
            </w:pPr>
            <w:r>
              <w:rPr>
                <w:color w:val="000000"/>
                <w:sz w:val="22"/>
              </w:rPr>
              <w:t>18.05.2018-31.12.2018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DB180000">
            <w:pPr>
              <w:widowControl w:val="1"/>
              <w:ind/>
              <w:contextualSpacing w:val="1"/>
              <w:jc w:val="center"/>
              <w:rPr>
                <w:sz w:val="22"/>
              </w:rPr>
            </w:pPr>
            <w:r>
              <w:rPr>
                <w:sz w:val="22"/>
              </w:rPr>
              <w:t>внесение изменений относительно порядка разрешения споров, без изменения цены договора</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DC180000">
            <w:pPr>
              <w:widowControl w:val="1"/>
              <w:ind/>
              <w:contextualSpacing w:val="1"/>
              <w:jc w:val="center"/>
              <w:rPr>
                <w:sz w:val="22"/>
              </w:rPr>
            </w:pPr>
            <w:r>
              <w:rPr>
                <w:sz w:val="22"/>
              </w:rPr>
              <w:t>264821,4</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DD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DE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DF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E0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E118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E2180000">
            <w:pPr>
              <w:widowControl w:val="1"/>
              <w:ind/>
              <w:contextualSpacing w:val="1"/>
              <w:jc w:val="center"/>
              <w:rPr>
                <w:sz w:val="22"/>
              </w:rPr>
            </w:pPr>
            <w:r>
              <w:rPr>
                <w:sz w:val="22"/>
              </w:rPr>
              <w:t>не требуется</w:t>
            </w:r>
          </w:p>
        </w:tc>
      </w:tr>
      <w:tr>
        <w:trPr>
          <w:trHeight w:hRule="atLeast" w:val="108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E3180000">
            <w:pPr>
              <w:widowControl w:val="1"/>
              <w:ind/>
              <w:contextualSpacing w:val="1"/>
              <w:jc w:val="center"/>
              <w:rPr>
                <w:color w:val="000000"/>
                <w:sz w:val="22"/>
              </w:rPr>
            </w:pPr>
            <w:r>
              <w:rPr>
                <w:color w:val="000000"/>
                <w:sz w:val="22"/>
              </w:rPr>
              <w:t>39</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E4180000">
            <w:pPr>
              <w:widowControl w:val="1"/>
              <w:ind/>
              <w:contextualSpacing w:val="1"/>
              <w:jc w:val="center"/>
              <w:rPr>
                <w:sz w:val="22"/>
              </w:rPr>
            </w:pPr>
            <w:r>
              <w:rPr>
                <w:sz w:val="22"/>
              </w:rPr>
              <w:t>ОАО "РЖД" Красноярская дирекция по энергообеспечению</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E5180000">
            <w:pPr>
              <w:widowControl w:val="1"/>
              <w:ind/>
              <w:contextualSpacing w:val="1"/>
              <w:jc w:val="center"/>
              <w:rPr>
                <w:sz w:val="22"/>
              </w:rPr>
            </w:pPr>
            <w:r>
              <w:rPr>
                <w:sz w:val="22"/>
              </w:rPr>
              <w:t>договор № 2731881 от 17.01.2018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E618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E718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E8180000">
            <w:pPr>
              <w:widowControl w:val="1"/>
              <w:ind/>
              <w:contextualSpacing w:val="1"/>
              <w:jc w:val="center"/>
              <w:rPr>
                <w:sz w:val="22"/>
              </w:rPr>
            </w:pPr>
            <w:r>
              <w:rPr>
                <w:sz w:val="22"/>
              </w:rPr>
              <w:t>2148640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E9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EA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EB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EC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ED180000">
            <w:pPr>
              <w:widowControl w:val="1"/>
              <w:ind/>
              <w:contextualSpacing w:val="1"/>
              <w:jc w:val="center"/>
              <w:rPr>
                <w:sz w:val="22"/>
              </w:rPr>
            </w:pPr>
            <w:r>
              <w:rPr>
                <w:sz w:val="22"/>
              </w:rPr>
              <w:t>извещение о сделке направлено 21.11.2017,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EE180000">
            <w:pPr>
              <w:widowControl w:val="1"/>
              <w:ind/>
              <w:contextualSpacing w:val="1"/>
              <w:jc w:val="center"/>
              <w:rPr>
                <w:sz w:val="22"/>
              </w:rPr>
            </w:pPr>
            <w:r>
              <w:rPr>
                <w:sz w:val="22"/>
              </w:rPr>
              <w:t>не требуется</w:t>
            </w:r>
          </w:p>
        </w:tc>
      </w:tr>
      <w:tr>
        <w:trPr>
          <w:trHeight w:hRule="atLeast" w:val="108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EF180000">
            <w:pPr>
              <w:widowControl w:val="1"/>
              <w:ind/>
              <w:contextualSpacing w:val="1"/>
              <w:jc w:val="center"/>
              <w:rPr>
                <w:color w:val="000000"/>
                <w:sz w:val="22"/>
              </w:rPr>
            </w:pPr>
            <w:r>
              <w:rPr>
                <w:color w:val="000000"/>
                <w:sz w:val="22"/>
              </w:rPr>
              <w:t>40</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F0180000">
            <w:pPr>
              <w:widowControl w:val="1"/>
              <w:ind/>
              <w:contextualSpacing w:val="1"/>
              <w:jc w:val="center"/>
              <w:rPr>
                <w:sz w:val="22"/>
              </w:rPr>
            </w:pPr>
            <w:r>
              <w:rPr>
                <w:sz w:val="22"/>
              </w:rPr>
              <w:t>ОАО "РЖД" Красноярская дирекция по энергообеспечению</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F1180000">
            <w:pPr>
              <w:widowControl w:val="1"/>
              <w:ind/>
              <w:contextualSpacing w:val="1"/>
              <w:jc w:val="center"/>
              <w:rPr>
                <w:sz w:val="22"/>
              </w:rPr>
            </w:pPr>
            <w:r>
              <w:rPr>
                <w:sz w:val="22"/>
              </w:rPr>
              <w:t>дополнительное соглашение № 1 к договору № 2731881 от 17.01.2018 от 30.08.2018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F2180000">
            <w:pPr>
              <w:widowControl w:val="1"/>
              <w:ind/>
              <w:contextualSpacing w:val="1"/>
              <w:jc w:val="center"/>
              <w:rPr>
                <w:sz w:val="22"/>
              </w:rPr>
            </w:pPr>
            <w:r>
              <w:rPr>
                <w:sz w:val="22"/>
              </w:rPr>
              <w:t>30.08.2018-31.12.2018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F318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F4180000">
            <w:pPr>
              <w:widowControl w:val="1"/>
              <w:ind/>
              <w:contextualSpacing w:val="1"/>
              <w:jc w:val="center"/>
              <w:rPr>
                <w:sz w:val="22"/>
              </w:rPr>
            </w:pPr>
            <w:r>
              <w:rPr>
                <w:sz w:val="22"/>
              </w:rPr>
              <w:t>2148640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F518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F618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F718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F818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F918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FA180000">
            <w:pPr>
              <w:widowControl w:val="1"/>
              <w:ind/>
              <w:contextualSpacing w:val="1"/>
              <w:jc w:val="center"/>
              <w:rPr>
                <w:sz w:val="22"/>
              </w:rPr>
            </w:pPr>
            <w:r>
              <w:rPr>
                <w:sz w:val="22"/>
              </w:rPr>
              <w:t>не требуется</w:t>
            </w:r>
          </w:p>
        </w:tc>
      </w:tr>
      <w:tr>
        <w:trPr>
          <w:trHeight w:hRule="atLeast" w:val="108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FB180000">
            <w:pPr>
              <w:widowControl w:val="1"/>
              <w:ind/>
              <w:contextualSpacing w:val="1"/>
              <w:jc w:val="center"/>
              <w:rPr>
                <w:color w:val="000000"/>
                <w:sz w:val="22"/>
              </w:rPr>
            </w:pPr>
            <w:r>
              <w:rPr>
                <w:color w:val="000000"/>
                <w:sz w:val="22"/>
              </w:rPr>
              <w:t>41</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FC180000">
            <w:pPr>
              <w:widowControl w:val="1"/>
              <w:ind/>
              <w:contextualSpacing w:val="1"/>
              <w:jc w:val="center"/>
              <w:rPr>
                <w:sz w:val="22"/>
              </w:rPr>
            </w:pPr>
            <w:r>
              <w:rPr>
                <w:sz w:val="22"/>
              </w:rPr>
              <w:t>ОАО "РЖД" Красноярская дирекция по энергообеспечению</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FD180000">
            <w:pPr>
              <w:widowControl w:val="1"/>
              <w:ind/>
              <w:contextualSpacing w:val="1"/>
              <w:jc w:val="center"/>
              <w:rPr>
                <w:sz w:val="22"/>
              </w:rPr>
            </w:pPr>
            <w:r>
              <w:rPr>
                <w:sz w:val="22"/>
              </w:rPr>
              <w:t>дополнительное соглашение № 2 к договору № 2731881 от 17.01.2018 от 30.11.2018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FE18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FF180000">
            <w:pPr>
              <w:widowControl w:val="1"/>
              <w:ind/>
              <w:contextualSpacing w:val="1"/>
              <w:jc w:val="center"/>
              <w:rPr>
                <w:sz w:val="22"/>
              </w:rPr>
            </w:pPr>
            <w:r>
              <w:rPr>
                <w:sz w:val="22"/>
              </w:rPr>
              <w:t>увеличение предельной цены договора на 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00190000">
            <w:pPr>
              <w:widowControl w:val="1"/>
              <w:ind/>
              <w:contextualSpacing w:val="1"/>
              <w:jc w:val="center"/>
              <w:rPr>
                <w:sz w:val="22"/>
              </w:rPr>
            </w:pPr>
            <w:r>
              <w:rPr>
                <w:sz w:val="22"/>
              </w:rPr>
              <w:t>2348640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01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02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03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0419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05190000">
            <w:pPr>
              <w:widowControl w:val="1"/>
              <w:ind/>
              <w:contextualSpacing w:val="1"/>
              <w:jc w:val="center"/>
              <w:rPr>
                <w:sz w:val="22"/>
              </w:rPr>
            </w:pPr>
            <w:r>
              <w:rPr>
                <w:sz w:val="22"/>
              </w:rPr>
              <w:t>извещение о сделке направлено 15.11.2018г,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06190000">
            <w:pPr>
              <w:widowControl w:val="1"/>
              <w:ind/>
              <w:contextualSpacing w:val="1"/>
              <w:jc w:val="center"/>
              <w:rPr>
                <w:sz w:val="22"/>
              </w:rPr>
            </w:pPr>
            <w:r>
              <w:rPr>
                <w:sz w:val="22"/>
              </w:rPr>
              <w:t>не требуется</w:t>
            </w:r>
          </w:p>
        </w:tc>
      </w:tr>
      <w:tr>
        <w:trPr>
          <w:trHeight w:hRule="atLeast" w:val="108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07190000">
            <w:pPr>
              <w:widowControl w:val="1"/>
              <w:ind/>
              <w:contextualSpacing w:val="1"/>
              <w:jc w:val="center"/>
              <w:rPr>
                <w:color w:val="000000"/>
                <w:sz w:val="22"/>
              </w:rPr>
            </w:pPr>
            <w:r>
              <w:rPr>
                <w:color w:val="000000"/>
                <w:sz w:val="22"/>
              </w:rPr>
              <w:t>42</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08190000">
            <w:pPr>
              <w:widowControl w:val="1"/>
              <w:ind/>
              <w:contextualSpacing w:val="1"/>
              <w:jc w:val="center"/>
              <w:rPr>
                <w:sz w:val="22"/>
              </w:rPr>
            </w:pPr>
            <w:r>
              <w:rPr>
                <w:sz w:val="22"/>
              </w:rPr>
              <w:t>ОАО "РЖД" Красноярская дирекция по энергообеспечению</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09190000">
            <w:pPr>
              <w:widowControl w:val="1"/>
              <w:ind/>
              <w:contextualSpacing w:val="1"/>
              <w:jc w:val="center"/>
              <w:rPr>
                <w:sz w:val="22"/>
              </w:rPr>
            </w:pPr>
            <w:r>
              <w:rPr>
                <w:sz w:val="22"/>
              </w:rPr>
              <w:t>договор № 3170634 от 30.11.2018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0A190000">
            <w:pPr>
              <w:widowControl w:val="1"/>
              <w:ind/>
              <w:contextualSpacing w:val="1"/>
              <w:jc w:val="center"/>
              <w:rPr>
                <w:sz w:val="22"/>
              </w:rPr>
            </w:pPr>
            <w:r>
              <w:rPr>
                <w:sz w:val="22"/>
              </w:rPr>
              <w:t>01.01.2019-31.12.2019</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0B19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0C190000">
            <w:pPr>
              <w:widowControl w:val="1"/>
              <w:ind/>
              <w:contextualSpacing w:val="1"/>
              <w:jc w:val="center"/>
              <w:rPr>
                <w:sz w:val="22"/>
              </w:rPr>
            </w:pPr>
            <w:r>
              <w:rPr>
                <w:sz w:val="22"/>
              </w:rPr>
              <w:t>2304000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0D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0E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0F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1019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11190000">
            <w:pPr>
              <w:widowControl w:val="1"/>
              <w:ind/>
              <w:contextualSpacing w:val="1"/>
              <w:jc w:val="center"/>
              <w:rPr>
                <w:sz w:val="22"/>
              </w:rPr>
            </w:pPr>
            <w:r>
              <w:rPr>
                <w:sz w:val="22"/>
              </w:rPr>
              <w:t>извещение о сделке направлено 15.11.2018г,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12190000">
            <w:pPr>
              <w:widowControl w:val="1"/>
              <w:ind/>
              <w:contextualSpacing w:val="1"/>
              <w:jc w:val="center"/>
              <w:rPr>
                <w:sz w:val="22"/>
              </w:rPr>
            </w:pPr>
            <w:r>
              <w:rPr>
                <w:sz w:val="22"/>
              </w:rPr>
              <w:t>не требуется</w:t>
            </w:r>
          </w:p>
        </w:tc>
      </w:tr>
      <w:tr>
        <w:trPr>
          <w:trHeight w:hRule="atLeast" w:val="465"/>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13190000">
            <w:pPr>
              <w:widowControl w:val="1"/>
              <w:ind/>
              <w:contextualSpacing w:val="1"/>
              <w:jc w:val="center"/>
              <w:rPr>
                <w:color w:val="000000"/>
                <w:sz w:val="22"/>
              </w:rPr>
            </w:pPr>
            <w:r>
              <w:rPr>
                <w:color w:val="000000"/>
                <w:sz w:val="22"/>
              </w:rPr>
              <w:t>Итого по контрагенту ОАО "РЖД" Красноярская дирекция по энергообеспечению 4652640 руб.</w:t>
            </w:r>
          </w:p>
          <w:p w14:paraId="14190000">
            <w:pPr>
              <w:widowControl w:val="1"/>
              <w:ind/>
              <w:contextualSpacing w:val="1"/>
              <w:jc w:val="center"/>
              <w:rPr>
                <w:color w:val="000000"/>
                <w:sz w:val="22"/>
              </w:rPr>
            </w:pPr>
          </w:p>
        </w:tc>
      </w:tr>
      <w:tr>
        <w:trPr>
          <w:trHeight w:hRule="atLeast" w:val="135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15190000">
            <w:pPr>
              <w:widowControl w:val="1"/>
              <w:ind/>
              <w:contextualSpacing w:val="1"/>
              <w:jc w:val="center"/>
              <w:rPr>
                <w:color w:val="000000"/>
                <w:sz w:val="22"/>
              </w:rPr>
            </w:pPr>
            <w:r>
              <w:rPr>
                <w:color w:val="000000"/>
                <w:sz w:val="22"/>
              </w:rPr>
              <w:t>43</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16190000">
            <w:pPr>
              <w:widowControl w:val="1"/>
              <w:ind/>
              <w:contextualSpacing w:val="1"/>
              <w:jc w:val="center"/>
              <w:rPr>
                <w:sz w:val="22"/>
              </w:rPr>
            </w:pPr>
            <w:r>
              <w:rPr>
                <w:sz w:val="22"/>
              </w:rPr>
              <w:t>ОАО "РЖД" Красноярская дирекция железнодорожных вокзалов</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17190000">
            <w:pPr>
              <w:widowControl w:val="1"/>
              <w:ind/>
              <w:contextualSpacing w:val="1"/>
              <w:jc w:val="center"/>
              <w:rPr>
                <w:sz w:val="22"/>
              </w:rPr>
            </w:pPr>
            <w:r>
              <w:rPr>
                <w:sz w:val="22"/>
              </w:rPr>
              <w:t>договор № 2738039 от 19.01.2018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1819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1919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1A190000">
            <w:pPr>
              <w:widowControl w:val="1"/>
              <w:ind/>
              <w:contextualSpacing w:val="1"/>
              <w:jc w:val="center"/>
              <w:rPr>
                <w:sz w:val="22"/>
              </w:rPr>
            </w:pPr>
            <w:r>
              <w:rPr>
                <w:sz w:val="22"/>
              </w:rPr>
              <w:t>450000,00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1B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1C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1D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1E19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1F190000">
            <w:pPr>
              <w:widowControl w:val="1"/>
              <w:ind/>
              <w:contextualSpacing w:val="1"/>
              <w:jc w:val="center"/>
              <w:rPr>
                <w:sz w:val="22"/>
              </w:rPr>
            </w:pPr>
            <w:r>
              <w:rPr>
                <w:sz w:val="22"/>
              </w:rPr>
              <w:t>извещение о сделке направлено 21.11.2017,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20190000">
            <w:pPr>
              <w:widowControl w:val="1"/>
              <w:ind/>
              <w:contextualSpacing w:val="1"/>
              <w:jc w:val="center"/>
              <w:rPr>
                <w:sz w:val="22"/>
              </w:rPr>
            </w:pPr>
            <w:r>
              <w:rPr>
                <w:sz w:val="22"/>
              </w:rPr>
              <w:t>не требуется</w:t>
            </w: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21190000">
            <w:pPr>
              <w:widowControl w:val="1"/>
              <w:ind/>
              <w:contextualSpacing w:val="1"/>
              <w:jc w:val="center"/>
              <w:rPr>
                <w:color w:val="000000"/>
                <w:sz w:val="22"/>
              </w:rPr>
            </w:pPr>
            <w:r>
              <w:rPr>
                <w:color w:val="000000"/>
                <w:sz w:val="22"/>
              </w:rPr>
              <w:t>44</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22190000">
            <w:pPr>
              <w:widowControl w:val="1"/>
              <w:ind/>
              <w:contextualSpacing w:val="1"/>
              <w:jc w:val="center"/>
              <w:rPr>
                <w:sz w:val="22"/>
              </w:rPr>
            </w:pPr>
            <w:r>
              <w:rPr>
                <w:sz w:val="22"/>
              </w:rPr>
              <w:t>ОАО "РЖД" Красноярская дирекция железнодорожных вокзалов</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23190000">
            <w:pPr>
              <w:widowControl w:val="1"/>
              <w:ind/>
              <w:contextualSpacing w:val="1"/>
              <w:jc w:val="center"/>
              <w:rPr>
                <w:sz w:val="22"/>
              </w:rPr>
            </w:pPr>
            <w:r>
              <w:rPr>
                <w:sz w:val="22"/>
              </w:rPr>
              <w:t>дополнительное соглашение № 1 к договору № 2738039 от 19.01.2018 от 11.04.2018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2419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25190000">
            <w:pPr>
              <w:widowControl w:val="1"/>
              <w:ind/>
              <w:contextualSpacing w:val="1"/>
              <w:jc w:val="center"/>
              <w:rPr>
                <w:sz w:val="22"/>
              </w:rPr>
            </w:pPr>
            <w:r>
              <w:rPr>
                <w:sz w:val="22"/>
              </w:rPr>
              <w:t>внесение изменений в договор на оказание услуг по перевозке работников и иных лиц по транспортным требованиям ОАО "РЖД" относительно порядка разрешения споров, без изменения цены договора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26190000">
            <w:pPr>
              <w:widowControl w:val="1"/>
              <w:ind/>
              <w:contextualSpacing w:val="1"/>
              <w:jc w:val="center"/>
              <w:rPr>
                <w:sz w:val="22"/>
              </w:rPr>
            </w:pPr>
            <w:r>
              <w:rPr>
                <w:sz w:val="22"/>
              </w:rPr>
              <w:t>450000,00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27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28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29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2A19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2B190000">
            <w:pPr>
              <w:widowControl w:val="1"/>
              <w:ind/>
              <w:contextualSpacing w:val="1"/>
              <w:jc w:val="center"/>
              <w:rPr>
                <w:sz w:val="22"/>
              </w:rPr>
            </w:pPr>
            <w:r>
              <w:rPr>
                <w:sz w:val="22"/>
              </w:rPr>
              <w:t>извещение о сделке направлено 21.11.2017,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2C190000">
            <w:pPr>
              <w:widowControl w:val="1"/>
              <w:ind/>
              <w:contextualSpacing w:val="1"/>
              <w:jc w:val="center"/>
              <w:rPr>
                <w:sz w:val="22"/>
              </w:rPr>
            </w:pPr>
            <w:r>
              <w:rPr>
                <w:sz w:val="22"/>
              </w:rPr>
              <w:t>не требуется</w:t>
            </w: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2D190000">
            <w:pPr>
              <w:widowControl w:val="1"/>
              <w:ind/>
              <w:contextualSpacing w:val="1"/>
              <w:jc w:val="center"/>
              <w:rPr>
                <w:color w:val="000000"/>
                <w:sz w:val="22"/>
              </w:rPr>
            </w:pPr>
            <w:r>
              <w:rPr>
                <w:color w:val="000000"/>
                <w:sz w:val="22"/>
              </w:rPr>
              <w:t>45</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2E190000">
            <w:pPr>
              <w:widowControl w:val="1"/>
              <w:ind/>
              <w:contextualSpacing w:val="1"/>
              <w:jc w:val="center"/>
              <w:rPr>
                <w:sz w:val="22"/>
              </w:rPr>
            </w:pPr>
            <w:r>
              <w:rPr>
                <w:sz w:val="22"/>
              </w:rPr>
              <w:t>ОАО "РЖД" Красноярская дирекция железнодорожных вокзалов</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2F190000">
            <w:pPr>
              <w:widowControl w:val="1"/>
              <w:ind/>
              <w:contextualSpacing w:val="1"/>
              <w:jc w:val="center"/>
              <w:rPr>
                <w:sz w:val="22"/>
              </w:rPr>
            </w:pPr>
            <w:r>
              <w:rPr>
                <w:sz w:val="22"/>
              </w:rPr>
              <w:t>дополнительное соглашение № 2 к договору № 2738039 от 19.01.2018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3019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3119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32190000">
            <w:pPr>
              <w:widowControl w:val="1"/>
              <w:ind/>
              <w:contextualSpacing w:val="1"/>
              <w:jc w:val="center"/>
              <w:rPr>
                <w:sz w:val="22"/>
              </w:rPr>
            </w:pPr>
            <w:r>
              <w:rPr>
                <w:sz w:val="22"/>
              </w:rPr>
              <w:t>450000,00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33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34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35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3619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3719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38190000">
            <w:pPr>
              <w:widowControl w:val="1"/>
              <w:ind/>
              <w:contextualSpacing w:val="1"/>
              <w:jc w:val="center"/>
              <w:rPr>
                <w:sz w:val="22"/>
              </w:rPr>
            </w:pPr>
            <w:r>
              <w:rPr>
                <w:sz w:val="22"/>
              </w:rPr>
              <w:t>не требуется</w:t>
            </w: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39190000">
            <w:pPr>
              <w:widowControl w:val="1"/>
              <w:ind/>
              <w:contextualSpacing w:val="1"/>
              <w:jc w:val="center"/>
              <w:rPr>
                <w:color w:val="000000"/>
                <w:sz w:val="22"/>
              </w:rPr>
            </w:pPr>
            <w:r>
              <w:rPr>
                <w:color w:val="000000"/>
                <w:sz w:val="22"/>
              </w:rPr>
              <w:t>46</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3A190000">
            <w:pPr>
              <w:widowControl w:val="1"/>
              <w:ind/>
              <w:contextualSpacing w:val="1"/>
              <w:jc w:val="center"/>
              <w:rPr>
                <w:sz w:val="22"/>
              </w:rPr>
            </w:pPr>
            <w:r>
              <w:rPr>
                <w:sz w:val="22"/>
              </w:rPr>
              <w:t>ОАО "РЖД" Красноярская дирекция железнодорожных вокзалов</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3B190000">
            <w:pPr>
              <w:widowControl w:val="1"/>
              <w:ind/>
              <w:contextualSpacing w:val="1"/>
              <w:jc w:val="center"/>
              <w:rPr>
                <w:sz w:val="22"/>
              </w:rPr>
            </w:pPr>
            <w:r>
              <w:rPr>
                <w:sz w:val="22"/>
              </w:rPr>
              <w:t>договор № 3231725 от 28.12.2018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3C190000">
            <w:pPr>
              <w:widowControl w:val="1"/>
              <w:ind/>
              <w:contextualSpacing w:val="1"/>
              <w:jc w:val="center"/>
              <w:rPr>
                <w:sz w:val="22"/>
              </w:rPr>
            </w:pPr>
            <w:r>
              <w:rPr>
                <w:sz w:val="22"/>
              </w:rPr>
              <w:t>01.01.2019-28.02.2020</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3D19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3E190000">
            <w:pPr>
              <w:widowControl w:val="1"/>
              <w:ind/>
              <w:contextualSpacing w:val="1"/>
              <w:jc w:val="center"/>
              <w:rPr>
                <w:sz w:val="22"/>
              </w:rPr>
            </w:pPr>
            <w:r>
              <w:rPr>
                <w:sz w:val="22"/>
              </w:rPr>
              <w:t>450000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3F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40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41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4219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43190000">
            <w:pPr>
              <w:widowControl w:val="1"/>
              <w:ind/>
              <w:contextualSpacing w:val="1"/>
              <w:jc w:val="center"/>
              <w:rPr>
                <w:sz w:val="22"/>
              </w:rPr>
            </w:pPr>
            <w:r>
              <w:rPr>
                <w:sz w:val="22"/>
              </w:rPr>
              <w:t>извещение о сделке направлено 13.12.2018г,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44190000">
            <w:pPr>
              <w:widowControl w:val="1"/>
              <w:ind/>
              <w:contextualSpacing w:val="1"/>
              <w:jc w:val="center"/>
              <w:rPr>
                <w:sz w:val="22"/>
              </w:rPr>
            </w:pPr>
            <w:r>
              <w:rPr>
                <w:sz w:val="22"/>
              </w:rPr>
              <w:t>не требуется</w:t>
            </w:r>
          </w:p>
        </w:tc>
      </w:tr>
      <w:tr>
        <w:trPr>
          <w:trHeight w:hRule="atLeast" w:val="225"/>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45190000">
            <w:pPr>
              <w:widowControl w:val="1"/>
              <w:ind/>
              <w:contextualSpacing w:val="1"/>
              <w:jc w:val="center"/>
              <w:rPr>
                <w:color w:val="000000"/>
                <w:sz w:val="22"/>
              </w:rPr>
            </w:pPr>
            <w:r>
              <w:rPr>
                <w:color w:val="000000"/>
                <w:sz w:val="22"/>
              </w:rPr>
              <w:t>итого по контрагенту ОАО "РЖД" Красноярская дирекция железнодорожных вокзалов 900000 руб.</w:t>
            </w:r>
          </w:p>
          <w:p w14:paraId="46190000">
            <w:pPr>
              <w:widowControl w:val="1"/>
              <w:ind/>
              <w:contextualSpacing w:val="1"/>
              <w:jc w:val="center"/>
              <w:rPr>
                <w:color w:val="000000"/>
                <w:sz w:val="22"/>
              </w:rPr>
            </w:pPr>
          </w:p>
        </w:tc>
      </w:tr>
      <w:tr>
        <w:trPr>
          <w:trHeight w:hRule="atLeast" w:val="135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47190000">
            <w:pPr>
              <w:widowControl w:val="1"/>
              <w:ind/>
              <w:contextualSpacing w:val="1"/>
              <w:jc w:val="center"/>
              <w:rPr>
                <w:color w:val="000000"/>
                <w:sz w:val="22"/>
              </w:rPr>
            </w:pPr>
            <w:r>
              <w:rPr>
                <w:color w:val="000000"/>
                <w:sz w:val="22"/>
              </w:rPr>
              <w:t>47</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48190000">
            <w:pPr>
              <w:widowControl w:val="1"/>
              <w:ind/>
              <w:contextualSpacing w:val="1"/>
              <w:jc w:val="center"/>
              <w:rPr>
                <w:sz w:val="22"/>
              </w:rPr>
            </w:pPr>
            <w:r>
              <w:rPr>
                <w:sz w:val="22"/>
              </w:rPr>
              <w:t>ОАО "РЖД" Красноярская дирекция инфраструктуры</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49190000">
            <w:pPr>
              <w:widowControl w:val="1"/>
              <w:ind/>
              <w:contextualSpacing w:val="1"/>
              <w:jc w:val="center"/>
              <w:rPr>
                <w:sz w:val="22"/>
              </w:rPr>
            </w:pPr>
            <w:r>
              <w:rPr>
                <w:sz w:val="22"/>
              </w:rPr>
              <w:t>дополнительное соглашение № 3 к договору № 1773517 от 26.01.2016 от 19.01.2018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4A190000">
            <w:pPr>
              <w:widowControl w:val="1"/>
              <w:ind/>
              <w:contextualSpacing w:val="1"/>
              <w:jc w:val="center"/>
              <w:rPr>
                <w:sz w:val="22"/>
              </w:rPr>
            </w:pPr>
            <w:r>
              <w:rPr>
                <w:sz w:val="22"/>
              </w:rPr>
              <w:t>01.01.2016-31.12.2018 пролонгация</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4B190000">
            <w:pPr>
              <w:widowControl w:val="1"/>
              <w:ind/>
              <w:contextualSpacing w:val="1"/>
              <w:jc w:val="center"/>
              <w:rPr>
                <w:sz w:val="22"/>
              </w:rPr>
            </w:pPr>
            <w:r>
              <w:rPr>
                <w:sz w:val="22"/>
              </w:rPr>
              <w:t>определение цены договора на перевозку работников до 31.12.2018</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4C190000">
            <w:pPr>
              <w:widowControl w:val="1"/>
              <w:ind/>
              <w:contextualSpacing w:val="1"/>
              <w:jc w:val="center"/>
              <w:rPr>
                <w:sz w:val="22"/>
              </w:rPr>
            </w:pPr>
            <w:r>
              <w:rPr>
                <w:sz w:val="22"/>
              </w:rPr>
              <w:t>4099300,00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4D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4E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4F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5019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51190000">
            <w:pPr>
              <w:widowControl w:val="1"/>
              <w:ind/>
              <w:contextualSpacing w:val="1"/>
              <w:jc w:val="center"/>
              <w:rPr>
                <w:sz w:val="22"/>
              </w:rPr>
            </w:pPr>
            <w:r>
              <w:rPr>
                <w:sz w:val="22"/>
              </w:rPr>
              <w:t>извещение о сделке направлено 21.11.2017,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52190000">
            <w:pPr>
              <w:widowControl w:val="1"/>
              <w:ind/>
              <w:contextualSpacing w:val="1"/>
              <w:jc w:val="center"/>
              <w:rPr>
                <w:sz w:val="22"/>
              </w:rPr>
            </w:pPr>
            <w:r>
              <w:rPr>
                <w:sz w:val="22"/>
              </w:rPr>
              <w:t>не требуется</w:t>
            </w:r>
          </w:p>
        </w:tc>
      </w:tr>
      <w:tr>
        <w:trPr>
          <w:trHeight w:hRule="atLeast" w:val="135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53190000">
            <w:pPr>
              <w:widowControl w:val="1"/>
              <w:ind/>
              <w:contextualSpacing w:val="1"/>
              <w:jc w:val="center"/>
              <w:rPr>
                <w:color w:val="000000"/>
                <w:sz w:val="22"/>
              </w:rPr>
            </w:pPr>
            <w:r>
              <w:rPr>
                <w:color w:val="000000"/>
                <w:sz w:val="22"/>
              </w:rPr>
              <w:t>48</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54190000">
            <w:pPr>
              <w:widowControl w:val="1"/>
              <w:ind/>
              <w:contextualSpacing w:val="1"/>
              <w:jc w:val="center"/>
              <w:rPr>
                <w:sz w:val="22"/>
              </w:rPr>
            </w:pPr>
            <w:r>
              <w:rPr>
                <w:sz w:val="22"/>
              </w:rPr>
              <w:t>ОАО "РЖД" Красноярская дирекция инфраструктуры</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55190000">
            <w:pPr>
              <w:widowControl w:val="1"/>
              <w:ind/>
              <w:contextualSpacing w:val="1"/>
              <w:jc w:val="center"/>
              <w:rPr>
                <w:sz w:val="22"/>
              </w:rPr>
            </w:pPr>
            <w:r>
              <w:rPr>
                <w:sz w:val="22"/>
              </w:rPr>
              <w:t>дополнительное соглашение № 4 к договору № 1773517 от 26.01.2016 от 29.05.2018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56190000">
            <w:pPr>
              <w:widowControl w:val="1"/>
              <w:ind/>
              <w:contextualSpacing w:val="1"/>
              <w:jc w:val="center"/>
              <w:rPr>
                <w:sz w:val="22"/>
              </w:rPr>
            </w:pPr>
            <w:r>
              <w:rPr>
                <w:sz w:val="22"/>
              </w:rPr>
              <w:t>01.01.2016-31.12.2018 пролонгация</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57190000">
            <w:pPr>
              <w:widowControl w:val="1"/>
              <w:ind/>
              <w:contextualSpacing w:val="1"/>
              <w:jc w:val="center"/>
              <w:rPr>
                <w:sz w:val="22"/>
              </w:rPr>
            </w:pPr>
            <w:r>
              <w:rPr>
                <w:sz w:val="22"/>
              </w:rPr>
              <w:t>увеличение цены договора, внесение изменений относительно порядка разрешения споров</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58190000">
            <w:pPr>
              <w:widowControl w:val="1"/>
              <w:ind/>
              <w:contextualSpacing w:val="1"/>
              <w:jc w:val="center"/>
              <w:rPr>
                <w:sz w:val="22"/>
              </w:rPr>
            </w:pPr>
            <w:r>
              <w:rPr>
                <w:sz w:val="22"/>
              </w:rPr>
              <w:t>41320970,04</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59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5A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5B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5C19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5D190000">
            <w:pPr>
              <w:widowControl w:val="1"/>
              <w:ind/>
              <w:contextualSpacing w:val="1"/>
              <w:jc w:val="center"/>
              <w:rPr>
                <w:sz w:val="22"/>
              </w:rPr>
            </w:pPr>
            <w:r>
              <w:rPr>
                <w:sz w:val="22"/>
              </w:rPr>
              <w:t>извещение о сделке направлено 01.06.2018,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5E190000">
            <w:pPr>
              <w:widowControl w:val="1"/>
              <w:ind/>
              <w:contextualSpacing w:val="1"/>
              <w:jc w:val="center"/>
              <w:rPr>
                <w:sz w:val="22"/>
              </w:rPr>
            </w:pPr>
            <w:r>
              <w:rPr>
                <w:sz w:val="22"/>
              </w:rPr>
              <w:t>не требуется</w:t>
            </w: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5F190000">
            <w:pPr>
              <w:widowControl w:val="1"/>
              <w:ind/>
              <w:contextualSpacing w:val="1"/>
              <w:jc w:val="center"/>
              <w:rPr>
                <w:color w:val="000000"/>
                <w:sz w:val="22"/>
              </w:rPr>
            </w:pPr>
            <w:r>
              <w:rPr>
                <w:color w:val="000000"/>
                <w:sz w:val="22"/>
              </w:rPr>
              <w:t>49</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60190000">
            <w:pPr>
              <w:widowControl w:val="1"/>
              <w:ind/>
              <w:contextualSpacing w:val="1"/>
              <w:jc w:val="center"/>
              <w:rPr>
                <w:sz w:val="22"/>
              </w:rPr>
            </w:pPr>
            <w:r>
              <w:rPr>
                <w:sz w:val="22"/>
              </w:rPr>
              <w:t>ОАО "РЖД" Красноярская дирекция инфраструктуры</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61190000">
            <w:pPr>
              <w:widowControl w:val="1"/>
              <w:ind/>
              <w:contextualSpacing w:val="1"/>
              <w:jc w:val="center"/>
              <w:rPr>
                <w:sz w:val="22"/>
              </w:rPr>
            </w:pPr>
            <w:r>
              <w:rPr>
                <w:sz w:val="22"/>
              </w:rPr>
              <w:t>дополнительное соглашение № 5 к договору № 1773517 от 26.01.2016 от 31.07.2018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62190000">
            <w:pPr>
              <w:widowControl w:val="1"/>
              <w:ind/>
              <w:contextualSpacing w:val="1"/>
              <w:jc w:val="center"/>
              <w:rPr>
                <w:sz w:val="22"/>
              </w:rPr>
            </w:pPr>
            <w:r>
              <w:rPr>
                <w:sz w:val="22"/>
              </w:rPr>
              <w:t>31.07.2018-31.12.2018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6319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64190000">
            <w:pPr>
              <w:widowControl w:val="1"/>
              <w:ind/>
              <w:contextualSpacing w:val="1"/>
              <w:jc w:val="center"/>
              <w:rPr>
                <w:sz w:val="22"/>
              </w:rPr>
            </w:pPr>
            <w:r>
              <w:rPr>
                <w:sz w:val="22"/>
              </w:rPr>
              <w:t>41473524,01</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65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66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67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6819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6919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6A190000">
            <w:pPr>
              <w:widowControl w:val="1"/>
              <w:ind/>
              <w:contextualSpacing w:val="1"/>
              <w:jc w:val="center"/>
              <w:rPr>
                <w:sz w:val="22"/>
              </w:rPr>
            </w:pPr>
            <w:r>
              <w:rPr>
                <w:sz w:val="22"/>
              </w:rPr>
              <w:t>не требуется</w:t>
            </w: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6B190000">
            <w:pPr>
              <w:widowControl w:val="1"/>
              <w:ind/>
              <w:contextualSpacing w:val="1"/>
              <w:jc w:val="center"/>
              <w:rPr>
                <w:color w:val="000000"/>
                <w:sz w:val="22"/>
              </w:rPr>
            </w:pPr>
            <w:r>
              <w:rPr>
                <w:color w:val="000000"/>
                <w:sz w:val="22"/>
              </w:rPr>
              <w:t>50</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6C190000">
            <w:pPr>
              <w:widowControl w:val="1"/>
              <w:ind/>
              <w:contextualSpacing w:val="1"/>
              <w:jc w:val="center"/>
              <w:rPr>
                <w:sz w:val="22"/>
              </w:rPr>
            </w:pPr>
            <w:r>
              <w:rPr>
                <w:sz w:val="22"/>
              </w:rPr>
              <w:t>ОАО "РЖД" Красноярская дирекция инфраструктуры</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6D190000">
            <w:pPr>
              <w:widowControl w:val="1"/>
              <w:ind/>
              <w:contextualSpacing w:val="1"/>
              <w:jc w:val="center"/>
              <w:rPr>
                <w:sz w:val="22"/>
              </w:rPr>
            </w:pPr>
            <w:r>
              <w:rPr>
                <w:sz w:val="22"/>
              </w:rPr>
              <w:t>договор № 3231534 от 28.12.2018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6E190000">
            <w:pPr>
              <w:widowControl w:val="1"/>
              <w:ind/>
              <w:contextualSpacing w:val="1"/>
              <w:jc w:val="center"/>
              <w:rPr>
                <w:sz w:val="22"/>
              </w:rPr>
            </w:pPr>
            <w:r>
              <w:rPr>
                <w:sz w:val="22"/>
              </w:rPr>
              <w:t>01.01.2019-28.02.2020</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6F19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70190000">
            <w:pPr>
              <w:widowControl w:val="1"/>
              <w:ind/>
              <w:contextualSpacing w:val="1"/>
              <w:jc w:val="center"/>
              <w:rPr>
                <w:sz w:val="22"/>
              </w:rPr>
            </w:pPr>
            <w:r>
              <w:rPr>
                <w:sz w:val="22"/>
              </w:rPr>
              <w:t>13795000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71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72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73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7419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75190000">
            <w:pPr>
              <w:widowControl w:val="1"/>
              <w:ind/>
              <w:contextualSpacing w:val="1"/>
              <w:jc w:val="center"/>
              <w:rPr>
                <w:sz w:val="22"/>
              </w:rPr>
            </w:pPr>
            <w:r>
              <w:rPr>
                <w:sz w:val="22"/>
              </w:rPr>
              <w:t>извещение о сделке направлено 13.12.2018г,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76190000">
            <w:pPr>
              <w:widowControl w:val="1"/>
              <w:ind/>
              <w:contextualSpacing w:val="1"/>
              <w:jc w:val="center"/>
              <w:rPr>
                <w:sz w:val="22"/>
              </w:rPr>
            </w:pPr>
            <w:r>
              <w:rPr>
                <w:sz w:val="22"/>
              </w:rPr>
              <w:t>не требуется</w:t>
            </w:r>
          </w:p>
        </w:tc>
      </w:tr>
      <w:tr>
        <w:trPr>
          <w:trHeight w:hRule="atLeast" w:val="225"/>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77190000">
            <w:pPr>
              <w:widowControl w:val="1"/>
              <w:ind/>
              <w:contextualSpacing w:val="1"/>
              <w:jc w:val="center"/>
              <w:rPr>
                <w:color w:val="000000"/>
                <w:sz w:val="22"/>
              </w:rPr>
            </w:pPr>
            <w:r>
              <w:rPr>
                <w:color w:val="000000"/>
                <w:sz w:val="22"/>
              </w:rPr>
              <w:t>итого по контрагенту ОАО "РЖД" Красноярская дирекция инфраструктуры 55115970,04 руб.</w:t>
            </w:r>
          </w:p>
          <w:p w14:paraId="78190000">
            <w:pPr>
              <w:widowControl w:val="1"/>
              <w:ind/>
              <w:contextualSpacing w:val="1"/>
              <w:jc w:val="center"/>
              <w:rPr>
                <w:color w:val="000000"/>
                <w:sz w:val="22"/>
              </w:rPr>
            </w:pPr>
          </w:p>
        </w:tc>
      </w:tr>
      <w:tr>
        <w:trPr>
          <w:trHeight w:hRule="atLeast" w:val="93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79190000">
            <w:pPr>
              <w:widowControl w:val="1"/>
              <w:ind/>
              <w:contextualSpacing w:val="1"/>
              <w:jc w:val="center"/>
              <w:rPr>
                <w:color w:val="000000"/>
                <w:sz w:val="22"/>
              </w:rPr>
            </w:pPr>
            <w:r>
              <w:rPr>
                <w:color w:val="000000"/>
                <w:sz w:val="22"/>
              </w:rPr>
              <w:t>51</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7A190000">
            <w:pPr>
              <w:widowControl w:val="1"/>
              <w:ind/>
              <w:contextualSpacing w:val="1"/>
              <w:jc w:val="center"/>
              <w:rPr>
                <w:sz w:val="22"/>
              </w:rPr>
            </w:pPr>
            <w:r>
              <w:rPr>
                <w:sz w:val="22"/>
              </w:rPr>
              <w:t>ОАО "РЖД" Красноярская дирекция здравоохранения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7B190000">
            <w:pPr>
              <w:widowControl w:val="1"/>
              <w:ind/>
              <w:contextualSpacing w:val="1"/>
              <w:jc w:val="center"/>
              <w:rPr>
                <w:sz w:val="22"/>
              </w:rPr>
            </w:pPr>
            <w:r>
              <w:rPr>
                <w:sz w:val="22"/>
              </w:rPr>
              <w:t>договор № 2743888 от 24.01.2018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7C19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7D19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7E190000">
            <w:pPr>
              <w:widowControl w:val="1"/>
              <w:ind/>
              <w:contextualSpacing w:val="1"/>
              <w:jc w:val="center"/>
              <w:rPr>
                <w:sz w:val="22"/>
              </w:rPr>
            </w:pPr>
            <w:r>
              <w:rPr>
                <w:sz w:val="22"/>
              </w:rPr>
              <w:t>24000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7F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80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81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8219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83190000">
            <w:pPr>
              <w:widowControl w:val="1"/>
              <w:ind/>
              <w:contextualSpacing w:val="1"/>
              <w:jc w:val="center"/>
              <w:rPr>
                <w:sz w:val="22"/>
              </w:rPr>
            </w:pPr>
            <w:r>
              <w:rPr>
                <w:sz w:val="22"/>
              </w:rPr>
              <w:t>цена дополнительного соглашения не превышает 0,1% балансовой стоимости активов (пп12 п1 ст81 ФЗ об АО</w:t>
            </w:r>
          </w:p>
        </w:tc>
        <w:tc>
          <w:tcPr>
            <w:tcW w:type="dxa" w:w="1219"/>
            <w:tcBorders>
              <w:top w:color="000000" w:sz="4" w:val="single"/>
              <w:left w:color="000000" w:sz="4" w:val="single"/>
              <w:bottom w:color="000000" w:sz="4" w:val="single"/>
              <w:right w:color="000000" w:sz="4" w:val="single"/>
            </w:tcBorders>
            <w:shd w:fill="auto" w:val="clear"/>
            <w:vAlign w:val="center"/>
          </w:tcPr>
          <w:p w14:paraId="84190000">
            <w:pPr>
              <w:widowControl w:val="1"/>
              <w:ind/>
              <w:contextualSpacing w:val="1"/>
              <w:jc w:val="center"/>
              <w:rPr>
                <w:sz w:val="22"/>
              </w:rPr>
            </w:pPr>
            <w:r>
              <w:rPr>
                <w:sz w:val="22"/>
              </w:rPr>
              <w:t>не требуется</w:t>
            </w:r>
          </w:p>
        </w:tc>
      </w:tr>
      <w:tr>
        <w:trPr>
          <w:trHeight w:hRule="atLeast" w:val="135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85190000">
            <w:pPr>
              <w:widowControl w:val="1"/>
              <w:ind/>
              <w:contextualSpacing w:val="1"/>
              <w:jc w:val="center"/>
              <w:rPr>
                <w:color w:val="000000"/>
                <w:sz w:val="22"/>
              </w:rPr>
            </w:pPr>
            <w:r>
              <w:rPr>
                <w:color w:val="000000"/>
                <w:sz w:val="22"/>
              </w:rPr>
              <w:t>52</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86190000">
            <w:pPr>
              <w:widowControl w:val="1"/>
              <w:ind/>
              <w:contextualSpacing w:val="1"/>
              <w:jc w:val="center"/>
              <w:rPr>
                <w:sz w:val="22"/>
              </w:rPr>
            </w:pPr>
            <w:r>
              <w:rPr>
                <w:sz w:val="22"/>
              </w:rPr>
              <w:t>ОАО "РЖД" Красноярская дирекция по ремонту пути</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87190000">
            <w:pPr>
              <w:widowControl w:val="1"/>
              <w:ind/>
              <w:contextualSpacing w:val="1"/>
              <w:jc w:val="center"/>
              <w:rPr>
                <w:sz w:val="22"/>
              </w:rPr>
            </w:pPr>
            <w:r>
              <w:rPr>
                <w:sz w:val="22"/>
              </w:rPr>
              <w:t>договор № 2743223 от 24.01.2018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8819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8919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8A190000">
            <w:pPr>
              <w:widowControl w:val="1"/>
              <w:ind/>
              <w:contextualSpacing w:val="1"/>
              <w:jc w:val="center"/>
              <w:rPr>
                <w:sz w:val="22"/>
              </w:rPr>
            </w:pPr>
            <w:r>
              <w:rPr>
                <w:sz w:val="22"/>
              </w:rPr>
              <w:t>1300000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8B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8C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8D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8E19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8F190000">
            <w:pPr>
              <w:widowControl w:val="1"/>
              <w:ind/>
              <w:contextualSpacing w:val="1"/>
              <w:jc w:val="center"/>
              <w:rPr>
                <w:sz w:val="22"/>
              </w:rPr>
            </w:pPr>
            <w:r>
              <w:rPr>
                <w:sz w:val="22"/>
              </w:rPr>
              <w:t>извещение о сделке направлено 21.11.2017,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90190000">
            <w:pPr>
              <w:widowControl w:val="1"/>
              <w:ind/>
              <w:contextualSpacing w:val="1"/>
              <w:jc w:val="center"/>
              <w:rPr>
                <w:sz w:val="22"/>
              </w:rPr>
            </w:pPr>
            <w:r>
              <w:rPr>
                <w:sz w:val="22"/>
              </w:rPr>
              <w:t>не требуется</w:t>
            </w:r>
          </w:p>
        </w:tc>
      </w:tr>
      <w:tr>
        <w:trPr>
          <w:trHeight w:hRule="atLeast" w:val="147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91190000">
            <w:pPr>
              <w:widowControl w:val="1"/>
              <w:ind/>
              <w:contextualSpacing w:val="1"/>
              <w:jc w:val="center"/>
              <w:rPr>
                <w:color w:val="000000"/>
                <w:sz w:val="22"/>
              </w:rPr>
            </w:pPr>
            <w:r>
              <w:rPr>
                <w:color w:val="000000"/>
                <w:sz w:val="22"/>
              </w:rPr>
              <w:t>53</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92190000">
            <w:pPr>
              <w:widowControl w:val="1"/>
              <w:ind/>
              <w:contextualSpacing w:val="1"/>
              <w:jc w:val="center"/>
              <w:rPr>
                <w:color w:val="000000"/>
                <w:sz w:val="22"/>
              </w:rPr>
            </w:pPr>
            <w:r>
              <w:rPr>
                <w:color w:val="000000"/>
                <w:sz w:val="22"/>
              </w:rPr>
              <w:t>ОАО "РЖД" Красноярская  дирекция по управлению терминально- складским комплексом</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93190000">
            <w:pPr>
              <w:widowControl w:val="1"/>
              <w:ind/>
              <w:contextualSpacing w:val="1"/>
              <w:jc w:val="center"/>
              <w:rPr>
                <w:sz w:val="22"/>
              </w:rPr>
            </w:pPr>
            <w:r>
              <w:rPr>
                <w:sz w:val="22"/>
              </w:rPr>
              <w:t>договор № 2783549 от 14.02.2018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9419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9519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96190000">
            <w:pPr>
              <w:widowControl w:val="1"/>
              <w:ind/>
              <w:contextualSpacing w:val="1"/>
              <w:jc w:val="center"/>
              <w:rPr>
                <w:sz w:val="22"/>
              </w:rPr>
            </w:pPr>
            <w:r>
              <w:rPr>
                <w:sz w:val="22"/>
              </w:rPr>
              <w:t>100000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97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98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99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9A19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9B19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9C190000">
            <w:pPr>
              <w:widowControl w:val="1"/>
              <w:ind/>
              <w:contextualSpacing w:val="1"/>
              <w:jc w:val="center"/>
              <w:rPr>
                <w:sz w:val="22"/>
              </w:rPr>
            </w:pPr>
            <w:r>
              <w:rPr>
                <w:sz w:val="22"/>
              </w:rPr>
              <w:t>не требуется</w:t>
            </w:r>
          </w:p>
        </w:tc>
      </w:tr>
      <w:tr>
        <w:trPr>
          <w:trHeight w:hRule="atLeast" w:val="147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9D190000">
            <w:pPr>
              <w:widowControl w:val="1"/>
              <w:ind/>
              <w:contextualSpacing w:val="1"/>
              <w:jc w:val="center"/>
              <w:rPr>
                <w:color w:val="000000"/>
                <w:sz w:val="22"/>
              </w:rPr>
            </w:pPr>
            <w:r>
              <w:rPr>
                <w:color w:val="000000"/>
                <w:sz w:val="22"/>
              </w:rPr>
              <w:t>54</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9E190000">
            <w:pPr>
              <w:widowControl w:val="1"/>
              <w:ind/>
              <w:contextualSpacing w:val="1"/>
              <w:jc w:val="center"/>
              <w:rPr>
                <w:sz w:val="22"/>
              </w:rPr>
            </w:pPr>
            <w:r>
              <w:rPr>
                <w:sz w:val="22"/>
              </w:rPr>
              <w:t>ОАО "РЖД" Красноярская железная дорога</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9F190000">
            <w:pPr>
              <w:widowControl w:val="1"/>
              <w:ind/>
              <w:contextualSpacing w:val="1"/>
              <w:jc w:val="center"/>
              <w:rPr>
                <w:sz w:val="22"/>
              </w:rPr>
            </w:pPr>
            <w:r>
              <w:rPr>
                <w:sz w:val="22"/>
              </w:rPr>
              <w:t>договор № 2740461 от 23.01.2018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A019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A119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A2190000">
            <w:pPr>
              <w:widowControl w:val="1"/>
              <w:ind/>
              <w:contextualSpacing w:val="1"/>
              <w:jc w:val="center"/>
              <w:rPr>
                <w:sz w:val="22"/>
              </w:rPr>
            </w:pPr>
            <w:r>
              <w:rPr>
                <w:sz w:val="22"/>
              </w:rPr>
              <w:t>2190000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A3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A4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A5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A619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A7190000">
            <w:pPr>
              <w:widowControl w:val="1"/>
              <w:ind/>
              <w:contextualSpacing w:val="1"/>
              <w:jc w:val="center"/>
              <w:rPr>
                <w:sz w:val="22"/>
              </w:rPr>
            </w:pPr>
            <w:r>
              <w:rPr>
                <w:sz w:val="22"/>
              </w:rPr>
              <w:t>извещение о сделке направлено 21.11.2017,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A8190000">
            <w:pPr>
              <w:widowControl w:val="1"/>
              <w:ind/>
              <w:contextualSpacing w:val="1"/>
              <w:jc w:val="center"/>
              <w:rPr>
                <w:sz w:val="22"/>
              </w:rPr>
            </w:pPr>
            <w:r>
              <w:rPr>
                <w:sz w:val="22"/>
              </w:rPr>
              <w:t>не требуется</w:t>
            </w:r>
          </w:p>
        </w:tc>
      </w:tr>
      <w:tr>
        <w:trPr>
          <w:trHeight w:hRule="atLeast" w:val="243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A9190000">
            <w:pPr>
              <w:widowControl w:val="1"/>
              <w:ind/>
              <w:contextualSpacing w:val="1"/>
              <w:jc w:val="center"/>
              <w:rPr>
                <w:color w:val="000000"/>
                <w:sz w:val="22"/>
              </w:rPr>
            </w:pPr>
            <w:r>
              <w:rPr>
                <w:color w:val="000000"/>
                <w:sz w:val="22"/>
              </w:rPr>
              <w:t>55</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AA190000">
            <w:pPr>
              <w:widowControl w:val="1"/>
              <w:ind/>
              <w:contextualSpacing w:val="1"/>
              <w:jc w:val="center"/>
              <w:rPr>
                <w:sz w:val="22"/>
              </w:rPr>
            </w:pPr>
            <w:r>
              <w:rPr>
                <w:sz w:val="22"/>
              </w:rPr>
              <w:t>ОАО "РЖД" Красноярская железная дорога</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AB190000">
            <w:pPr>
              <w:widowControl w:val="1"/>
              <w:ind/>
              <w:contextualSpacing w:val="1"/>
              <w:jc w:val="center"/>
              <w:rPr>
                <w:sz w:val="22"/>
              </w:rPr>
            </w:pPr>
            <w:r>
              <w:rPr>
                <w:sz w:val="22"/>
              </w:rPr>
              <w:t>дополнительное соглашение № 1 к договору № 2308911 от 28.02.2017 от 25.01.2018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AC190000">
            <w:pPr>
              <w:widowControl w:val="1"/>
              <w:ind/>
              <w:contextualSpacing w:val="1"/>
              <w:jc w:val="center"/>
              <w:rPr>
                <w:sz w:val="22"/>
              </w:rPr>
            </w:pPr>
            <w:r>
              <w:rPr>
                <w:sz w:val="22"/>
              </w:rPr>
              <w:t>01.01.2017-31.12.2017</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AD190000">
            <w:pPr>
              <w:widowControl w:val="1"/>
              <w:ind/>
              <w:contextualSpacing w:val="1"/>
              <w:jc w:val="center"/>
              <w:rPr>
                <w:sz w:val="22"/>
              </w:rPr>
            </w:pPr>
            <w:r>
              <w:rPr>
                <w:sz w:val="22"/>
              </w:rPr>
              <w:t>внесение изменений в текст договора на оказание услуг по перевозке работников и иных лиц по транспортным требованиям ОАО "РЖД", относительно акта приемки исполненных обязательств без изменения предельной цены договора</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AE190000">
            <w:pPr>
              <w:widowControl w:val="1"/>
              <w:ind/>
              <w:contextualSpacing w:val="1"/>
              <w:jc w:val="center"/>
              <w:rPr>
                <w:sz w:val="22"/>
              </w:rPr>
            </w:pPr>
            <w:r>
              <w:rPr>
                <w:sz w:val="22"/>
              </w:rPr>
              <w:t>2190000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AF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B0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B1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B219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B3190000">
            <w:pPr>
              <w:widowControl w:val="1"/>
              <w:ind/>
              <w:contextualSpacing w:val="1"/>
              <w:jc w:val="center"/>
              <w:rPr>
                <w:sz w:val="22"/>
              </w:rPr>
            </w:pPr>
            <w:r>
              <w:rPr>
                <w:sz w:val="22"/>
              </w:rPr>
              <w:t>цена дополнительного соглашения не превышает 0,1% балансовой стоимости активов (пп12 п1 ст81 ФЗ об АО</w:t>
            </w:r>
          </w:p>
        </w:tc>
        <w:tc>
          <w:tcPr>
            <w:tcW w:type="dxa" w:w="1219"/>
            <w:tcBorders>
              <w:top w:color="000000" w:sz="4" w:val="single"/>
              <w:left w:color="000000" w:sz="4" w:val="single"/>
              <w:bottom w:color="000000" w:sz="4" w:val="single"/>
              <w:right w:color="000000" w:sz="4" w:val="single"/>
            </w:tcBorders>
            <w:shd w:fill="auto" w:val="clear"/>
            <w:vAlign w:val="center"/>
          </w:tcPr>
          <w:p w14:paraId="B4190000">
            <w:pPr>
              <w:widowControl w:val="1"/>
              <w:ind/>
              <w:contextualSpacing w:val="1"/>
              <w:jc w:val="center"/>
              <w:rPr>
                <w:sz w:val="22"/>
              </w:rPr>
            </w:pPr>
            <w:r>
              <w:rPr>
                <w:sz w:val="22"/>
              </w:rPr>
              <w:t>не требуется</w:t>
            </w:r>
          </w:p>
        </w:tc>
      </w:tr>
      <w:tr>
        <w:trPr>
          <w:trHeight w:hRule="atLeast" w:val="405"/>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B5190000">
            <w:pPr>
              <w:widowControl w:val="1"/>
              <w:ind/>
              <w:contextualSpacing w:val="1"/>
              <w:jc w:val="center"/>
              <w:rPr>
                <w:color w:val="000000"/>
                <w:sz w:val="22"/>
              </w:rPr>
            </w:pPr>
            <w:r>
              <w:rPr>
                <w:color w:val="000000"/>
                <w:sz w:val="22"/>
              </w:rPr>
              <w:t>Итого по контрагенту ОАО "РЖД" Красноярская железная дорога 2190000 руб.</w:t>
            </w:r>
          </w:p>
          <w:p w14:paraId="B6190000">
            <w:pPr>
              <w:widowControl w:val="1"/>
              <w:ind/>
              <w:contextualSpacing w:val="1"/>
              <w:jc w:val="center"/>
              <w:rPr>
                <w:color w:val="000000"/>
                <w:sz w:val="22"/>
              </w:rPr>
            </w:pP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B7190000">
            <w:pPr>
              <w:widowControl w:val="1"/>
              <w:ind/>
              <w:contextualSpacing w:val="1"/>
              <w:jc w:val="center"/>
              <w:rPr>
                <w:color w:val="000000"/>
                <w:sz w:val="22"/>
              </w:rPr>
            </w:pPr>
            <w:r>
              <w:rPr>
                <w:color w:val="000000"/>
                <w:sz w:val="22"/>
              </w:rPr>
              <w:t>56</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B8190000">
            <w:pPr>
              <w:widowControl w:val="1"/>
              <w:ind/>
              <w:contextualSpacing w:val="1"/>
              <w:jc w:val="center"/>
              <w:rPr>
                <w:sz w:val="22"/>
              </w:rPr>
            </w:pPr>
            <w:r>
              <w:rPr>
                <w:sz w:val="22"/>
              </w:rPr>
              <w:t>РОСПРОФЖЕЛ на Красноярской железной дороге</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B9190000">
            <w:pPr>
              <w:widowControl w:val="1"/>
              <w:ind/>
              <w:contextualSpacing w:val="1"/>
              <w:jc w:val="center"/>
              <w:rPr>
                <w:sz w:val="22"/>
              </w:rPr>
            </w:pPr>
            <w:r>
              <w:rPr>
                <w:sz w:val="22"/>
              </w:rPr>
              <w:t>договор № 1 ДПЖ от 01.01.2018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BA19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BB19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BC190000">
            <w:pPr>
              <w:widowControl w:val="1"/>
              <w:ind/>
              <w:contextualSpacing w:val="1"/>
              <w:jc w:val="center"/>
              <w:rPr>
                <w:sz w:val="22"/>
              </w:rPr>
            </w:pPr>
            <w:r>
              <w:rPr>
                <w:sz w:val="22"/>
              </w:rPr>
              <w:t>25000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BD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BE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BF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C019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C11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C2190000">
            <w:pPr>
              <w:widowControl w:val="1"/>
              <w:ind/>
              <w:contextualSpacing w:val="1"/>
              <w:jc w:val="center"/>
              <w:rPr>
                <w:sz w:val="22"/>
              </w:rPr>
            </w:pPr>
            <w:r>
              <w:rPr>
                <w:sz w:val="22"/>
              </w:rPr>
              <w:t>не требуется</w:t>
            </w: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C3190000">
            <w:pPr>
              <w:widowControl w:val="1"/>
              <w:ind/>
              <w:contextualSpacing w:val="1"/>
              <w:jc w:val="center"/>
              <w:rPr>
                <w:color w:val="000000"/>
                <w:sz w:val="22"/>
              </w:rPr>
            </w:pPr>
            <w:r>
              <w:rPr>
                <w:color w:val="000000"/>
                <w:sz w:val="22"/>
              </w:rPr>
              <w:t>57</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C4190000">
            <w:pPr>
              <w:widowControl w:val="1"/>
              <w:ind/>
              <w:contextualSpacing w:val="1"/>
              <w:jc w:val="center"/>
              <w:rPr>
                <w:sz w:val="22"/>
              </w:rPr>
            </w:pPr>
            <w:r>
              <w:rPr>
                <w:sz w:val="22"/>
              </w:rPr>
              <w:t>ЧД ОУ "Детский сад № 199 ОАО "РЖД"</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C5190000">
            <w:pPr>
              <w:widowControl w:val="1"/>
              <w:ind/>
              <w:contextualSpacing w:val="1"/>
              <w:jc w:val="center"/>
              <w:rPr>
                <w:sz w:val="22"/>
              </w:rPr>
            </w:pPr>
            <w:r>
              <w:rPr>
                <w:sz w:val="22"/>
              </w:rPr>
              <w:t>дополнительное соглашение № 3 к договору № 31/10 от 23.03.2012 от 30.01.2018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C6190000">
            <w:pPr>
              <w:widowControl w:val="1"/>
              <w:ind/>
              <w:contextualSpacing w:val="1"/>
              <w:jc w:val="center"/>
              <w:rPr>
                <w:sz w:val="22"/>
              </w:rPr>
            </w:pPr>
            <w:r>
              <w:rPr>
                <w:sz w:val="22"/>
              </w:rPr>
              <w:t>01.01.2018-31.12.2018 пролонгация</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C7190000">
            <w:pPr>
              <w:widowControl w:val="1"/>
              <w:ind/>
              <w:contextualSpacing w:val="1"/>
              <w:jc w:val="center"/>
              <w:rPr>
                <w:sz w:val="22"/>
              </w:rPr>
            </w:pPr>
            <w:r>
              <w:rPr>
                <w:sz w:val="22"/>
              </w:rPr>
              <w:t>определение прельной цены договора на оказание услуг перевозки работников и иных лиц по транспортным требованиям ОАО "РЖД" за период действия с 25.01.2012 по 31.12.2019</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C8190000">
            <w:pPr>
              <w:widowControl w:val="1"/>
              <w:ind/>
              <w:contextualSpacing w:val="1"/>
              <w:jc w:val="center"/>
              <w:rPr>
                <w:sz w:val="22"/>
              </w:rPr>
            </w:pPr>
            <w:r>
              <w:rPr>
                <w:sz w:val="22"/>
              </w:rPr>
              <w:t>209229</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C9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CA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CB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CC19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CD1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CE190000">
            <w:pPr>
              <w:widowControl w:val="1"/>
              <w:ind/>
              <w:contextualSpacing w:val="1"/>
              <w:jc w:val="center"/>
              <w:rPr>
                <w:sz w:val="22"/>
              </w:rPr>
            </w:pPr>
            <w:r>
              <w:rPr>
                <w:sz w:val="22"/>
              </w:rPr>
              <w:t>не требуется</w:t>
            </w:r>
          </w:p>
        </w:tc>
      </w:tr>
      <w:tr>
        <w:trPr>
          <w:trHeight w:hRule="atLeast" w:val="243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CF190000">
            <w:pPr>
              <w:widowControl w:val="1"/>
              <w:ind/>
              <w:contextualSpacing w:val="1"/>
              <w:jc w:val="center"/>
              <w:rPr>
                <w:color w:val="000000"/>
                <w:sz w:val="22"/>
              </w:rPr>
            </w:pPr>
            <w:r>
              <w:rPr>
                <w:color w:val="000000"/>
                <w:sz w:val="22"/>
              </w:rPr>
              <w:t>58</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D0190000">
            <w:pPr>
              <w:widowControl w:val="1"/>
              <w:ind/>
              <w:contextualSpacing w:val="1"/>
              <w:jc w:val="center"/>
              <w:rPr>
                <w:sz w:val="22"/>
              </w:rPr>
            </w:pPr>
            <w:r>
              <w:rPr>
                <w:sz w:val="22"/>
              </w:rPr>
              <w:t>ООО "СибВторРесурс"</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D1190000">
            <w:pPr>
              <w:widowControl w:val="1"/>
              <w:ind/>
              <w:contextualSpacing w:val="1"/>
              <w:jc w:val="center"/>
              <w:rPr>
                <w:sz w:val="22"/>
              </w:rPr>
            </w:pPr>
            <w:r>
              <w:rPr>
                <w:sz w:val="22"/>
              </w:rPr>
              <w:t>договор № 024/01/18Кр от 15.02.2018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D2190000">
            <w:pPr>
              <w:widowControl w:val="1"/>
              <w:ind/>
              <w:contextualSpacing w:val="1"/>
              <w:jc w:val="center"/>
              <w:rPr>
                <w:sz w:val="22"/>
              </w:rPr>
            </w:pPr>
            <w:r>
              <w:rPr>
                <w:sz w:val="22"/>
              </w:rPr>
              <w:t>15.02.2018-31.12.2018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D3190000">
            <w:pPr>
              <w:widowControl w:val="1"/>
              <w:ind/>
              <w:contextualSpacing w:val="1"/>
              <w:jc w:val="center"/>
              <w:rPr>
                <w:sz w:val="22"/>
              </w:rPr>
            </w:pPr>
            <w:r>
              <w:rPr>
                <w:sz w:val="22"/>
              </w:rPr>
              <w:t>купли-продажа никель-кадмиевых аккумуляторов модели НК 55П</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D4190000">
            <w:pPr>
              <w:widowControl w:val="1"/>
              <w:ind/>
              <w:contextualSpacing w:val="1"/>
              <w:jc w:val="center"/>
              <w:rPr>
                <w:sz w:val="22"/>
              </w:rPr>
            </w:pPr>
            <w:r>
              <w:rPr>
                <w:sz w:val="22"/>
              </w:rPr>
              <w:t>12538,6</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D5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D6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D7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D819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D91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DA190000">
            <w:pPr>
              <w:widowControl w:val="1"/>
              <w:ind/>
              <w:contextualSpacing w:val="1"/>
              <w:jc w:val="center"/>
              <w:rPr>
                <w:sz w:val="22"/>
              </w:rPr>
            </w:pPr>
            <w:r>
              <w:rPr>
                <w:sz w:val="22"/>
              </w:rPr>
              <w:t>не требуется</w:t>
            </w:r>
          </w:p>
        </w:tc>
      </w:tr>
      <w:tr>
        <w:trPr>
          <w:trHeight w:hRule="atLeast" w:val="135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DB190000">
            <w:pPr>
              <w:widowControl w:val="1"/>
              <w:ind/>
              <w:contextualSpacing w:val="1"/>
              <w:jc w:val="center"/>
              <w:rPr>
                <w:color w:val="000000"/>
                <w:sz w:val="22"/>
              </w:rPr>
            </w:pPr>
            <w:r>
              <w:rPr>
                <w:color w:val="000000"/>
                <w:sz w:val="22"/>
              </w:rPr>
              <w:t>59</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DC190000">
            <w:pPr>
              <w:widowControl w:val="1"/>
              <w:ind/>
              <w:contextualSpacing w:val="1"/>
              <w:jc w:val="center"/>
              <w:rPr>
                <w:sz w:val="22"/>
              </w:rPr>
            </w:pPr>
            <w:r>
              <w:rPr>
                <w:sz w:val="22"/>
              </w:rPr>
              <w:t>ОАО "РЖД" Красноярский региональный общий центр обслуживания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DD190000">
            <w:pPr>
              <w:widowControl w:val="1"/>
              <w:ind/>
              <w:contextualSpacing w:val="1"/>
              <w:jc w:val="center"/>
              <w:rPr>
                <w:sz w:val="22"/>
              </w:rPr>
            </w:pPr>
            <w:r>
              <w:rPr>
                <w:sz w:val="22"/>
              </w:rPr>
              <w:t>договор № 2801152 от 27.02.2018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DE19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DF19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E0190000">
            <w:pPr>
              <w:widowControl w:val="1"/>
              <w:ind/>
              <w:contextualSpacing w:val="1"/>
              <w:jc w:val="center"/>
              <w:rPr>
                <w:sz w:val="22"/>
              </w:rPr>
            </w:pPr>
            <w:r>
              <w:rPr>
                <w:sz w:val="22"/>
              </w:rPr>
              <w:t>317000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E1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E2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E3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E419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E5190000">
            <w:pPr>
              <w:widowControl w:val="1"/>
              <w:ind/>
              <w:contextualSpacing w:val="1"/>
              <w:jc w:val="center"/>
              <w:rPr>
                <w:sz w:val="22"/>
              </w:rPr>
            </w:pPr>
            <w:r>
              <w:rPr>
                <w:sz w:val="22"/>
              </w:rPr>
              <w:t>извещение о сделке направлено 21.11.2017,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E6190000">
            <w:pPr>
              <w:widowControl w:val="1"/>
              <w:ind/>
              <w:contextualSpacing w:val="1"/>
              <w:jc w:val="center"/>
              <w:rPr>
                <w:sz w:val="22"/>
              </w:rPr>
            </w:pPr>
            <w:r>
              <w:rPr>
                <w:sz w:val="22"/>
              </w:rPr>
              <w:t>не требуется</w:t>
            </w: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E7190000">
            <w:pPr>
              <w:widowControl w:val="1"/>
              <w:ind/>
              <w:contextualSpacing w:val="1"/>
              <w:jc w:val="center"/>
              <w:rPr>
                <w:color w:val="000000"/>
                <w:sz w:val="22"/>
              </w:rPr>
            </w:pPr>
            <w:r>
              <w:rPr>
                <w:color w:val="000000"/>
                <w:sz w:val="22"/>
              </w:rPr>
              <w:t>60</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E8190000">
            <w:pPr>
              <w:widowControl w:val="1"/>
              <w:ind/>
              <w:contextualSpacing w:val="1"/>
              <w:jc w:val="center"/>
              <w:rPr>
                <w:sz w:val="22"/>
              </w:rPr>
            </w:pPr>
            <w:r>
              <w:rPr>
                <w:sz w:val="22"/>
              </w:rPr>
              <w:t>ОАО "РЖД" Красноярский региональный общий центр обслуживания</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E9190000">
            <w:pPr>
              <w:widowControl w:val="1"/>
              <w:ind/>
              <w:contextualSpacing w:val="1"/>
              <w:jc w:val="center"/>
              <w:rPr>
                <w:sz w:val="22"/>
              </w:rPr>
            </w:pPr>
            <w:r>
              <w:rPr>
                <w:sz w:val="22"/>
              </w:rPr>
              <w:t>дополнительное соглашение № 1 к договору № 2801152 от 27.02.2018 от 06.08.2018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EA190000">
            <w:pPr>
              <w:widowControl w:val="1"/>
              <w:ind/>
              <w:contextualSpacing w:val="1"/>
              <w:jc w:val="center"/>
              <w:rPr>
                <w:sz w:val="22"/>
              </w:rPr>
            </w:pPr>
            <w:r>
              <w:rPr>
                <w:sz w:val="22"/>
              </w:rPr>
              <w:t>06.08.2018-28.02.2019</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EB19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EC190000">
            <w:pPr>
              <w:widowControl w:val="1"/>
              <w:ind/>
              <w:contextualSpacing w:val="1"/>
              <w:jc w:val="center"/>
              <w:rPr>
                <w:sz w:val="22"/>
              </w:rPr>
            </w:pPr>
            <w:r>
              <w:rPr>
                <w:sz w:val="22"/>
              </w:rPr>
              <w:t>317000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ED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EE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EF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F019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F119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F2190000">
            <w:pPr>
              <w:widowControl w:val="1"/>
              <w:ind/>
              <w:contextualSpacing w:val="1"/>
              <w:jc w:val="center"/>
              <w:rPr>
                <w:sz w:val="22"/>
              </w:rPr>
            </w:pPr>
            <w:r>
              <w:rPr>
                <w:sz w:val="22"/>
              </w:rPr>
              <w:t>не требуется</w:t>
            </w: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F3190000">
            <w:pPr>
              <w:widowControl w:val="1"/>
              <w:ind/>
              <w:contextualSpacing w:val="1"/>
              <w:jc w:val="center"/>
              <w:rPr>
                <w:color w:val="000000"/>
                <w:sz w:val="22"/>
              </w:rPr>
            </w:pPr>
            <w:r>
              <w:rPr>
                <w:color w:val="000000"/>
                <w:sz w:val="22"/>
              </w:rPr>
              <w:t>61</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F4190000">
            <w:pPr>
              <w:widowControl w:val="1"/>
              <w:ind/>
              <w:contextualSpacing w:val="1"/>
              <w:jc w:val="center"/>
              <w:rPr>
                <w:sz w:val="22"/>
              </w:rPr>
            </w:pPr>
            <w:r>
              <w:rPr>
                <w:sz w:val="22"/>
              </w:rPr>
              <w:t>ОАО "РЖД" Красноярский региональный общий центр обслуживания</w:t>
            </w:r>
          </w:p>
        </w:tc>
        <w:tc>
          <w:tcPr>
            <w:tcW w:type="dxa" w:w="1933"/>
            <w:gridSpan w:val="2"/>
            <w:tcBorders>
              <w:top w:color="000000" w:sz="4" w:val="single"/>
              <w:left w:color="000000" w:sz="4" w:val="single"/>
              <w:bottom w:color="000000" w:sz="4" w:val="single"/>
              <w:right w:color="000000" w:sz="4" w:val="single"/>
            </w:tcBorders>
            <w:shd w:fill="FFFFFF" w:val="clear"/>
            <w:vAlign w:val="center"/>
          </w:tcPr>
          <w:p w14:paraId="F5190000">
            <w:pPr>
              <w:widowControl w:val="1"/>
              <w:ind/>
              <w:contextualSpacing w:val="1"/>
              <w:jc w:val="center"/>
              <w:rPr>
                <w:sz w:val="22"/>
              </w:rPr>
            </w:pPr>
            <w:r>
              <w:rPr>
                <w:sz w:val="22"/>
              </w:rPr>
              <w:t>дополнительное соглашение № 2 к договору № 2801152 от 27.02.2018г. От 03.12.2018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F6190000">
            <w:pPr>
              <w:widowControl w:val="1"/>
              <w:ind/>
              <w:contextualSpacing w:val="1"/>
              <w:jc w:val="center"/>
              <w:rPr>
                <w:sz w:val="22"/>
              </w:rPr>
            </w:pPr>
            <w:r>
              <w:rPr>
                <w:sz w:val="22"/>
              </w:rPr>
              <w:t>01.11.2018-28.02.2019</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F7190000">
            <w:pPr>
              <w:widowControl w:val="1"/>
              <w:ind/>
              <w:contextualSpacing w:val="1"/>
              <w:jc w:val="center"/>
              <w:rPr>
                <w:sz w:val="22"/>
              </w:rPr>
            </w:pPr>
            <w:r>
              <w:rPr>
                <w:sz w:val="22"/>
              </w:rPr>
              <w:t>внесение изменений относительно документов на оказание услуг по перевозке работников, без изменения цены договора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F8190000">
            <w:pPr>
              <w:widowControl w:val="1"/>
              <w:ind/>
              <w:contextualSpacing w:val="1"/>
              <w:jc w:val="center"/>
              <w:rPr>
                <w:sz w:val="22"/>
              </w:rPr>
            </w:pPr>
            <w:r>
              <w:rPr>
                <w:sz w:val="22"/>
              </w:rPr>
              <w:t>317000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F919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FA19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FB19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FC19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FD19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FE190000">
            <w:pPr>
              <w:widowControl w:val="1"/>
              <w:ind/>
              <w:contextualSpacing w:val="1"/>
              <w:jc w:val="center"/>
              <w:rPr>
                <w:sz w:val="22"/>
              </w:rPr>
            </w:pPr>
            <w:r>
              <w:rPr>
                <w:sz w:val="22"/>
              </w:rPr>
              <w:t>не требуется</w:t>
            </w:r>
          </w:p>
        </w:tc>
      </w:tr>
      <w:tr>
        <w:trPr>
          <w:trHeight w:hRule="atLeast" w:val="300"/>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FF190000">
            <w:pPr>
              <w:widowControl w:val="1"/>
              <w:ind/>
              <w:contextualSpacing w:val="1"/>
              <w:jc w:val="center"/>
              <w:rPr>
                <w:color w:val="000000"/>
                <w:sz w:val="22"/>
              </w:rPr>
            </w:pPr>
            <w:r>
              <w:rPr>
                <w:color w:val="000000"/>
                <w:sz w:val="22"/>
              </w:rPr>
              <w:t>итого по контрагенту ОАО "РЖД" Красноярский региональный общий центр обслуживания 317000 руб.</w:t>
            </w:r>
          </w:p>
          <w:p w14:paraId="001A0000">
            <w:pPr>
              <w:widowControl w:val="1"/>
              <w:ind/>
              <w:contextualSpacing w:val="1"/>
              <w:jc w:val="center"/>
              <w:rPr>
                <w:color w:val="000000"/>
                <w:sz w:val="22"/>
              </w:rPr>
            </w:pP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011A0000">
            <w:pPr>
              <w:widowControl w:val="1"/>
              <w:ind/>
              <w:contextualSpacing w:val="1"/>
              <w:jc w:val="center"/>
              <w:rPr>
                <w:color w:val="000000"/>
                <w:sz w:val="22"/>
              </w:rPr>
            </w:pPr>
            <w:r>
              <w:rPr>
                <w:color w:val="000000"/>
                <w:sz w:val="22"/>
              </w:rPr>
              <w:t>62</w:t>
            </w:r>
          </w:p>
        </w:tc>
        <w:tc>
          <w:tcPr>
            <w:tcW w:type="dxa" w:w="1464"/>
            <w:gridSpan w:val="2"/>
            <w:tcBorders>
              <w:top w:color="000000" w:sz="4" w:val="single"/>
              <w:left w:color="000000" w:sz="4" w:val="single"/>
              <w:bottom w:color="000000" w:sz="4" w:val="single"/>
              <w:right w:color="000000" w:sz="4" w:val="single"/>
            </w:tcBorders>
            <w:shd w:fill="FFFFFF" w:val="clear"/>
            <w:vAlign w:val="center"/>
          </w:tcPr>
          <w:p w14:paraId="021A0000">
            <w:pPr>
              <w:widowControl w:val="1"/>
              <w:ind/>
              <w:contextualSpacing w:val="1"/>
              <w:jc w:val="center"/>
              <w:rPr>
                <w:sz w:val="22"/>
              </w:rPr>
            </w:pPr>
            <w:r>
              <w:rPr>
                <w:sz w:val="22"/>
              </w:rPr>
              <w:t>Министерство социальной политики Красноярского края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031A0000">
            <w:pPr>
              <w:widowControl w:val="1"/>
              <w:ind/>
              <w:contextualSpacing w:val="1"/>
              <w:jc w:val="center"/>
              <w:rPr>
                <w:sz w:val="22"/>
              </w:rPr>
            </w:pPr>
            <w:r>
              <w:rPr>
                <w:sz w:val="22"/>
              </w:rPr>
              <w:t>договор № 115 от 13.04.2018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041A0000">
            <w:pPr>
              <w:widowControl w:val="1"/>
              <w:ind/>
              <w:contextualSpacing w:val="1"/>
              <w:jc w:val="center"/>
              <w:rPr>
                <w:sz w:val="22"/>
              </w:rPr>
            </w:pPr>
            <w:r>
              <w:rPr>
                <w:sz w:val="22"/>
              </w:rPr>
              <w:t>13.04.2018-31.12.2018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051A0000">
            <w:pPr>
              <w:widowControl w:val="1"/>
              <w:ind/>
              <w:contextualSpacing w:val="1"/>
              <w:jc w:val="center"/>
              <w:rPr>
                <w:sz w:val="22"/>
              </w:rPr>
            </w:pPr>
            <w:r>
              <w:rPr>
                <w:sz w:val="22"/>
              </w:rPr>
              <w:t>предоставление мер социальной поддержки по перевозке ветеранов труда и пенсионеров железнодорожным транспортом пригородного сообщения и возмещениие расходов за счет средств краевого бюджета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061A0000">
            <w:pPr>
              <w:widowControl w:val="1"/>
              <w:ind/>
              <w:contextualSpacing w:val="1"/>
              <w:jc w:val="center"/>
              <w:rPr>
                <w:sz w:val="22"/>
              </w:rPr>
            </w:pPr>
            <w:r>
              <w:rPr>
                <w:sz w:val="22"/>
              </w:rPr>
              <w:t>возмещение расходов в пределах средств краевого бюджета</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07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08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09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0A1A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0B1A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0C1A0000">
            <w:pPr>
              <w:widowControl w:val="1"/>
              <w:ind/>
              <w:contextualSpacing w:val="1"/>
              <w:jc w:val="center"/>
              <w:rPr>
                <w:sz w:val="22"/>
              </w:rPr>
            </w:pPr>
            <w:r>
              <w:rPr>
                <w:sz w:val="22"/>
              </w:rPr>
              <w:t>не требуется</w:t>
            </w: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0D1A0000">
            <w:pPr>
              <w:widowControl w:val="1"/>
              <w:ind/>
              <w:contextualSpacing w:val="1"/>
              <w:jc w:val="center"/>
              <w:rPr>
                <w:color w:val="000000"/>
                <w:sz w:val="22"/>
              </w:rPr>
            </w:pPr>
            <w:r>
              <w:rPr>
                <w:color w:val="000000"/>
                <w:sz w:val="22"/>
              </w:rPr>
              <w:t>63</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0E1A0000">
            <w:pPr>
              <w:widowControl w:val="1"/>
              <w:ind/>
              <w:contextualSpacing w:val="1"/>
              <w:jc w:val="center"/>
              <w:rPr>
                <w:sz w:val="22"/>
              </w:rPr>
            </w:pPr>
            <w:r>
              <w:rPr>
                <w:sz w:val="22"/>
              </w:rPr>
              <w:t>ОАО "РЖД" Красноярская дирекция связи</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0F1A0000">
            <w:pPr>
              <w:widowControl w:val="1"/>
              <w:ind/>
              <w:contextualSpacing w:val="1"/>
              <w:jc w:val="center"/>
              <w:rPr>
                <w:sz w:val="22"/>
              </w:rPr>
            </w:pPr>
            <w:r>
              <w:rPr>
                <w:sz w:val="22"/>
              </w:rPr>
              <w:t>дополнительное соглашение № 1 к договору № 2713102 от 28.12.2017г. От 18.04.2018г.</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101A0000">
            <w:pPr>
              <w:widowControl w:val="1"/>
              <w:ind/>
              <w:contextualSpacing w:val="1"/>
              <w:jc w:val="center"/>
              <w:rPr>
                <w:sz w:val="22"/>
              </w:rPr>
            </w:pPr>
            <w:r>
              <w:rPr>
                <w:sz w:val="22"/>
              </w:rPr>
              <w:t>18.04.2018-28.02.2019</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111A0000">
            <w:pPr>
              <w:widowControl w:val="1"/>
              <w:ind/>
              <w:contextualSpacing w:val="1"/>
              <w:jc w:val="center"/>
              <w:rPr>
                <w:sz w:val="22"/>
              </w:rPr>
            </w:pPr>
            <w:r>
              <w:rPr>
                <w:sz w:val="22"/>
              </w:rPr>
              <w:t>внесение изменений в договор в части определения подведомственности споров, без изменения цены договора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121A0000">
            <w:pPr>
              <w:widowControl w:val="1"/>
              <w:ind/>
              <w:contextualSpacing w:val="1"/>
              <w:jc w:val="center"/>
              <w:rPr>
                <w:sz w:val="22"/>
              </w:rPr>
            </w:pPr>
            <w:r>
              <w:rPr>
                <w:sz w:val="22"/>
              </w:rPr>
              <w:t>833000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13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14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15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161A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171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181A0000">
            <w:pPr>
              <w:widowControl w:val="1"/>
              <w:ind/>
              <w:contextualSpacing w:val="1"/>
              <w:jc w:val="center"/>
              <w:rPr>
                <w:sz w:val="22"/>
              </w:rPr>
            </w:pPr>
            <w:r>
              <w:rPr>
                <w:sz w:val="22"/>
              </w:rPr>
              <w:t>не требуется</w:t>
            </w: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191A0000">
            <w:pPr>
              <w:widowControl w:val="1"/>
              <w:ind/>
              <w:contextualSpacing w:val="1"/>
              <w:jc w:val="center"/>
              <w:rPr>
                <w:color w:val="000000"/>
                <w:sz w:val="22"/>
              </w:rPr>
            </w:pPr>
            <w:r>
              <w:rPr>
                <w:color w:val="000000"/>
                <w:sz w:val="22"/>
              </w:rPr>
              <w:t>64</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1A1A0000">
            <w:pPr>
              <w:widowControl w:val="1"/>
              <w:ind/>
              <w:contextualSpacing w:val="1"/>
              <w:jc w:val="center"/>
              <w:rPr>
                <w:sz w:val="22"/>
              </w:rPr>
            </w:pPr>
            <w:r>
              <w:rPr>
                <w:sz w:val="22"/>
              </w:rPr>
              <w:t>ОАО "РЖД" Красноярская дирекция связи</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1B1A0000">
            <w:pPr>
              <w:widowControl w:val="1"/>
              <w:ind/>
              <w:contextualSpacing w:val="1"/>
              <w:jc w:val="center"/>
              <w:rPr>
                <w:sz w:val="22"/>
              </w:rPr>
            </w:pPr>
            <w:r>
              <w:rPr>
                <w:sz w:val="22"/>
              </w:rPr>
              <w:t>дополнительное соглашение № 2 к договору № 2713102 от 28.12.2017г. От 30.10.2018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1C1A0000">
            <w:pPr>
              <w:widowControl w:val="1"/>
              <w:ind/>
              <w:contextualSpacing w:val="1"/>
              <w:jc w:val="center"/>
              <w:rPr>
                <w:sz w:val="22"/>
              </w:rPr>
            </w:pPr>
            <w:r>
              <w:rPr>
                <w:sz w:val="22"/>
              </w:rPr>
              <w:t>18.04.2018-28.02.2019</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1D1A0000">
            <w:pPr>
              <w:widowControl w:val="1"/>
              <w:ind/>
              <w:contextualSpacing w:val="1"/>
              <w:jc w:val="center"/>
              <w:rPr>
                <w:sz w:val="22"/>
              </w:rPr>
            </w:pPr>
            <w:r>
              <w:rPr>
                <w:sz w:val="22"/>
              </w:rPr>
              <w:t>увеличение предельной цены договора на перевозку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1E1A0000">
            <w:pPr>
              <w:widowControl w:val="1"/>
              <w:ind/>
              <w:contextualSpacing w:val="1"/>
              <w:jc w:val="center"/>
              <w:rPr>
                <w:sz w:val="22"/>
              </w:rPr>
            </w:pPr>
            <w:r>
              <w:rPr>
                <w:sz w:val="22"/>
              </w:rPr>
              <w:t>877000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1F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20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21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221A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231A0000">
            <w:pPr>
              <w:widowControl w:val="1"/>
              <w:ind/>
              <w:contextualSpacing w:val="1"/>
              <w:jc w:val="center"/>
              <w:rPr>
                <w:sz w:val="22"/>
              </w:rPr>
            </w:pPr>
            <w:r>
              <w:rPr>
                <w:sz w:val="22"/>
              </w:rPr>
              <w:t>извещение о сделке направлено 16.10.2018г,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241A0000">
            <w:pPr>
              <w:widowControl w:val="1"/>
              <w:ind/>
              <w:contextualSpacing w:val="1"/>
              <w:jc w:val="center"/>
              <w:rPr>
                <w:sz w:val="22"/>
              </w:rPr>
            </w:pPr>
            <w:r>
              <w:rPr>
                <w:sz w:val="22"/>
              </w:rPr>
              <w:t>не требуется</w:t>
            </w:r>
          </w:p>
        </w:tc>
      </w:tr>
      <w:tr>
        <w:trPr>
          <w:trHeight w:hRule="atLeast" w:val="651"/>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251A0000">
            <w:pPr>
              <w:widowControl w:val="1"/>
              <w:ind/>
              <w:contextualSpacing w:val="1"/>
              <w:jc w:val="center"/>
              <w:rPr>
                <w:color w:val="000000"/>
                <w:sz w:val="22"/>
              </w:rPr>
            </w:pPr>
            <w:r>
              <w:rPr>
                <w:color w:val="000000"/>
                <w:sz w:val="22"/>
              </w:rPr>
              <w:t>Итого по контрагенту ОАО "РЖД" Красноярская дирекция связи 877000 руб.</w:t>
            </w:r>
          </w:p>
          <w:p w14:paraId="261A0000">
            <w:pPr>
              <w:widowControl w:val="1"/>
              <w:ind/>
              <w:contextualSpacing w:val="1"/>
              <w:jc w:val="center"/>
              <w:rPr>
                <w:sz w:val="22"/>
              </w:rPr>
            </w:pP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271A0000">
            <w:pPr>
              <w:widowControl w:val="1"/>
              <w:ind/>
              <w:contextualSpacing w:val="1"/>
              <w:jc w:val="center"/>
              <w:rPr>
                <w:color w:val="000000"/>
                <w:sz w:val="22"/>
              </w:rPr>
            </w:pPr>
            <w:r>
              <w:rPr>
                <w:color w:val="000000"/>
                <w:sz w:val="22"/>
              </w:rPr>
              <w:t>65</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281A0000">
            <w:pPr>
              <w:widowControl w:val="1"/>
              <w:ind/>
              <w:contextualSpacing w:val="1"/>
              <w:jc w:val="center"/>
              <w:rPr>
                <w:sz w:val="22"/>
              </w:rPr>
            </w:pPr>
            <w:r>
              <w:rPr>
                <w:sz w:val="22"/>
              </w:rPr>
              <w:t>ОАО "РЖД" Красноярская дирекция управления движением</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291A0000">
            <w:pPr>
              <w:widowControl w:val="1"/>
              <w:ind/>
              <w:contextualSpacing w:val="1"/>
              <w:jc w:val="center"/>
              <w:rPr>
                <w:sz w:val="22"/>
              </w:rPr>
            </w:pPr>
            <w:r>
              <w:rPr>
                <w:sz w:val="22"/>
              </w:rPr>
              <w:t>дополнительное соглашение № 1 к договору № 2710860 от 29.12.2017 от 12.04.2018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2A1A0000">
            <w:pPr>
              <w:widowControl w:val="1"/>
              <w:ind/>
              <w:contextualSpacing w:val="1"/>
              <w:jc w:val="center"/>
              <w:rPr>
                <w:sz w:val="22"/>
              </w:rPr>
            </w:pPr>
            <w:r>
              <w:rPr>
                <w:sz w:val="22"/>
              </w:rPr>
              <w:t>01.01.2018-31.13.2019</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2B1A0000">
            <w:pPr>
              <w:widowControl w:val="1"/>
              <w:ind/>
              <w:contextualSpacing w:val="1"/>
              <w:jc w:val="center"/>
              <w:rPr>
                <w:sz w:val="22"/>
              </w:rPr>
            </w:pPr>
            <w:r>
              <w:rPr>
                <w:sz w:val="22"/>
              </w:rPr>
              <w:t>внесение изменений в договор на оказание услуг по перевозке работников и иных лиц по транспортным требованиям ОАО "РЖД" относительно порядка разрешения споров, без изменения цены договора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2C1A0000">
            <w:pPr>
              <w:widowControl w:val="1"/>
              <w:ind/>
              <w:contextualSpacing w:val="1"/>
              <w:jc w:val="center"/>
              <w:rPr>
                <w:sz w:val="22"/>
              </w:rPr>
            </w:pPr>
            <w:r>
              <w:rPr>
                <w:sz w:val="22"/>
              </w:rPr>
              <w:t>3642461,78</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2D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2E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2F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301A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311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FFFFFF" w:val="clear"/>
            <w:vAlign w:val="center"/>
          </w:tcPr>
          <w:p w14:paraId="321A0000">
            <w:pPr>
              <w:widowControl w:val="1"/>
              <w:ind/>
              <w:contextualSpacing w:val="1"/>
              <w:jc w:val="center"/>
              <w:rPr>
                <w:sz w:val="22"/>
              </w:rPr>
            </w:pPr>
            <w:r>
              <w:rPr>
                <w:sz w:val="22"/>
              </w:rPr>
              <w:t>не требуется</w:t>
            </w: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331A0000">
            <w:pPr>
              <w:widowControl w:val="1"/>
              <w:ind/>
              <w:contextualSpacing w:val="1"/>
              <w:jc w:val="center"/>
              <w:rPr>
                <w:color w:val="000000"/>
                <w:sz w:val="22"/>
              </w:rPr>
            </w:pPr>
            <w:r>
              <w:rPr>
                <w:color w:val="000000"/>
                <w:sz w:val="22"/>
              </w:rPr>
              <w:t>66</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341A0000">
            <w:pPr>
              <w:widowControl w:val="1"/>
              <w:ind/>
              <w:contextualSpacing w:val="1"/>
              <w:jc w:val="center"/>
              <w:rPr>
                <w:sz w:val="22"/>
              </w:rPr>
            </w:pPr>
            <w:r>
              <w:rPr>
                <w:sz w:val="22"/>
              </w:rPr>
              <w:t>ОАО "РЖД" Красноярская дирекция управления движением</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351A0000">
            <w:pPr>
              <w:widowControl w:val="1"/>
              <w:ind/>
              <w:contextualSpacing w:val="1"/>
              <w:jc w:val="center"/>
              <w:rPr>
                <w:sz w:val="22"/>
              </w:rPr>
            </w:pPr>
            <w:r>
              <w:rPr>
                <w:sz w:val="22"/>
              </w:rPr>
              <w:t>дополнительное соглашение № 2 к договору № 2710860 от 29.12.2017 от 24.08.2018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361A0000">
            <w:pPr>
              <w:widowControl w:val="1"/>
              <w:ind/>
              <w:contextualSpacing w:val="1"/>
              <w:jc w:val="center"/>
              <w:rPr>
                <w:sz w:val="22"/>
              </w:rPr>
            </w:pPr>
            <w:r>
              <w:rPr>
                <w:sz w:val="22"/>
              </w:rPr>
              <w:t>24.08.2018-31.12.2018</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371A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381A0000">
            <w:pPr>
              <w:widowControl w:val="1"/>
              <w:ind/>
              <w:contextualSpacing w:val="1"/>
              <w:jc w:val="center"/>
              <w:rPr>
                <w:sz w:val="22"/>
              </w:rPr>
            </w:pPr>
            <w:r>
              <w:rPr>
                <w:sz w:val="22"/>
              </w:rPr>
              <w:t>3642461,78</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39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3A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3B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3C1A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3D1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FFFFFF" w:val="clear"/>
            <w:vAlign w:val="center"/>
          </w:tcPr>
          <w:p w14:paraId="3E1A0000">
            <w:pPr>
              <w:widowControl w:val="1"/>
              <w:ind/>
              <w:contextualSpacing w:val="1"/>
              <w:jc w:val="center"/>
              <w:rPr>
                <w:sz w:val="22"/>
              </w:rPr>
            </w:pPr>
            <w:r>
              <w:rPr>
                <w:sz w:val="22"/>
              </w:rPr>
              <w:t>не требуется</w:t>
            </w: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3F1A0000">
            <w:pPr>
              <w:widowControl w:val="1"/>
              <w:ind/>
              <w:contextualSpacing w:val="1"/>
              <w:jc w:val="center"/>
              <w:rPr>
                <w:color w:val="000000"/>
                <w:sz w:val="22"/>
              </w:rPr>
            </w:pPr>
            <w:r>
              <w:rPr>
                <w:color w:val="000000"/>
                <w:sz w:val="22"/>
              </w:rPr>
              <w:t>67</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401A0000">
            <w:pPr>
              <w:widowControl w:val="1"/>
              <w:ind/>
              <w:contextualSpacing w:val="1"/>
              <w:jc w:val="center"/>
              <w:rPr>
                <w:sz w:val="22"/>
              </w:rPr>
            </w:pPr>
            <w:r>
              <w:rPr>
                <w:sz w:val="22"/>
              </w:rPr>
              <w:t>ОАО "РЖД" Красноярская дирекция управления движением</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411A0000">
            <w:pPr>
              <w:widowControl w:val="1"/>
              <w:ind/>
              <w:contextualSpacing w:val="1"/>
              <w:jc w:val="center"/>
              <w:rPr>
                <w:sz w:val="22"/>
              </w:rPr>
            </w:pPr>
            <w:r>
              <w:rPr>
                <w:sz w:val="22"/>
              </w:rPr>
              <w:t>договор № 3225817 от 28.12.2018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421A0000">
            <w:pPr>
              <w:widowControl w:val="1"/>
              <w:ind/>
              <w:contextualSpacing w:val="1"/>
              <w:jc w:val="center"/>
              <w:rPr>
                <w:sz w:val="22"/>
              </w:rPr>
            </w:pPr>
            <w:r>
              <w:rPr>
                <w:sz w:val="22"/>
              </w:rPr>
              <w:t>01.01.2019-30.03.2020</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431A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441A0000">
            <w:pPr>
              <w:widowControl w:val="1"/>
              <w:ind/>
              <w:contextualSpacing w:val="1"/>
              <w:jc w:val="center"/>
              <w:rPr>
                <w:sz w:val="22"/>
              </w:rPr>
            </w:pPr>
            <w:r>
              <w:rPr>
                <w:sz w:val="22"/>
              </w:rPr>
              <w:t>3797828,04</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45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46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47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481A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491A0000">
            <w:pPr>
              <w:widowControl w:val="1"/>
              <w:ind/>
              <w:contextualSpacing w:val="1"/>
              <w:jc w:val="center"/>
              <w:rPr>
                <w:sz w:val="22"/>
              </w:rPr>
            </w:pPr>
            <w:r>
              <w:rPr>
                <w:sz w:val="22"/>
              </w:rPr>
              <w:t>извещение о сделке направлено 13.12.2018г,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FFFFFF" w:val="clear"/>
            <w:vAlign w:val="center"/>
          </w:tcPr>
          <w:p w14:paraId="4A1A0000">
            <w:pPr>
              <w:widowControl w:val="1"/>
              <w:ind/>
              <w:contextualSpacing w:val="1"/>
              <w:jc w:val="center"/>
              <w:rPr>
                <w:sz w:val="22"/>
              </w:rPr>
            </w:pPr>
            <w:r>
              <w:rPr>
                <w:sz w:val="22"/>
              </w:rPr>
              <w:t>не требуется</w:t>
            </w:r>
          </w:p>
        </w:tc>
      </w:tr>
      <w:tr>
        <w:trPr>
          <w:trHeight w:hRule="atLeast" w:val="300"/>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4B1A0000">
            <w:pPr>
              <w:widowControl w:val="1"/>
              <w:ind/>
              <w:contextualSpacing w:val="1"/>
              <w:jc w:val="center"/>
              <w:rPr>
                <w:color w:val="000000"/>
                <w:sz w:val="22"/>
              </w:rPr>
            </w:pPr>
            <w:r>
              <w:rPr>
                <w:color w:val="000000"/>
                <w:sz w:val="22"/>
              </w:rPr>
              <w:t>итого по контрагенту ОАО "РЖД" Красноярская дирекция управления движением 7440289,82 руб.</w:t>
            </w:r>
          </w:p>
          <w:p w14:paraId="4C1A0000">
            <w:pPr>
              <w:widowControl w:val="1"/>
              <w:ind/>
              <w:contextualSpacing w:val="1"/>
              <w:jc w:val="center"/>
              <w:rPr>
                <w:color w:val="000000"/>
                <w:sz w:val="22"/>
              </w:rPr>
            </w:pP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4D1A0000">
            <w:pPr>
              <w:widowControl w:val="1"/>
              <w:ind/>
              <w:contextualSpacing w:val="1"/>
              <w:jc w:val="center"/>
              <w:rPr>
                <w:color w:val="000000"/>
                <w:sz w:val="22"/>
              </w:rPr>
            </w:pPr>
            <w:r>
              <w:rPr>
                <w:color w:val="000000"/>
                <w:sz w:val="22"/>
              </w:rPr>
              <w:t>68</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4E1A0000">
            <w:pPr>
              <w:widowControl w:val="1"/>
              <w:ind/>
              <w:contextualSpacing w:val="1"/>
              <w:jc w:val="center"/>
              <w:rPr>
                <w:sz w:val="22"/>
              </w:rPr>
            </w:pPr>
            <w:r>
              <w:rPr>
                <w:sz w:val="22"/>
              </w:rPr>
              <w:t>ОАО "РЖД" Красноярский территориальный центр фирменного транспортного обслуживания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4F1A0000">
            <w:pPr>
              <w:widowControl w:val="1"/>
              <w:ind/>
              <w:contextualSpacing w:val="1"/>
              <w:jc w:val="center"/>
              <w:rPr>
                <w:sz w:val="22"/>
              </w:rPr>
            </w:pPr>
            <w:r>
              <w:rPr>
                <w:sz w:val="22"/>
              </w:rPr>
              <w:t>соглашение об организации расчетов № ЕЛС-529 от 25.04.2018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501A0000">
            <w:pPr>
              <w:widowControl w:val="1"/>
              <w:ind/>
              <w:contextualSpacing w:val="1"/>
              <w:jc w:val="center"/>
              <w:rPr>
                <w:sz w:val="22"/>
              </w:rPr>
            </w:pPr>
            <w:r>
              <w:rPr>
                <w:sz w:val="22"/>
              </w:rPr>
              <w:t>25.04.2018-31.12.2018 пролонгация</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511A0000">
            <w:pPr>
              <w:widowControl w:val="1"/>
              <w:ind/>
              <w:contextualSpacing w:val="1"/>
              <w:jc w:val="center"/>
              <w:rPr>
                <w:sz w:val="22"/>
              </w:rPr>
            </w:pPr>
            <w:r>
              <w:rPr>
                <w:sz w:val="22"/>
              </w:rPr>
              <w:t>организация расчетов и оплата Клиентом провозных платежей, сборов, штрафов, иных причитающихся ОАО "РЖД" платежей с использованием Единого лицевого счетта при перевозках грузов и / или порожних вагонов</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521A0000">
            <w:pPr>
              <w:widowControl w:val="1"/>
              <w:ind/>
              <w:contextualSpacing w:val="1"/>
              <w:jc w:val="center"/>
              <w:rPr>
                <w:sz w:val="22"/>
              </w:rPr>
            </w:pPr>
            <w:r>
              <w:rPr>
                <w:sz w:val="22"/>
              </w:rPr>
              <w:t>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53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54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55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561A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571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581A0000">
            <w:pPr>
              <w:widowControl w:val="1"/>
              <w:ind/>
              <w:contextualSpacing w:val="1"/>
              <w:jc w:val="center"/>
              <w:rPr>
                <w:sz w:val="22"/>
              </w:rPr>
            </w:pPr>
            <w:r>
              <w:rPr>
                <w:sz w:val="22"/>
              </w:rPr>
              <w:t>не требуется</w:t>
            </w: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591A0000">
            <w:pPr>
              <w:widowControl w:val="1"/>
              <w:ind/>
              <w:contextualSpacing w:val="1"/>
              <w:jc w:val="center"/>
              <w:rPr>
                <w:color w:val="000000"/>
                <w:sz w:val="22"/>
              </w:rPr>
            </w:pPr>
            <w:r>
              <w:rPr>
                <w:color w:val="000000"/>
                <w:sz w:val="22"/>
              </w:rPr>
              <w:t>69</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5A1A0000">
            <w:pPr>
              <w:widowControl w:val="1"/>
              <w:ind/>
              <w:contextualSpacing w:val="1"/>
              <w:jc w:val="center"/>
              <w:rPr>
                <w:sz w:val="22"/>
              </w:rPr>
            </w:pPr>
            <w:r>
              <w:rPr>
                <w:sz w:val="22"/>
              </w:rPr>
              <w:t>ОАО "РЖД" Красноярский территориальный центр фирменного транспортного обслуживания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5B1A0000">
            <w:pPr>
              <w:widowControl w:val="1"/>
              <w:ind/>
              <w:contextualSpacing w:val="1"/>
              <w:jc w:val="center"/>
              <w:rPr>
                <w:sz w:val="22"/>
              </w:rPr>
            </w:pPr>
            <w:r>
              <w:rPr>
                <w:sz w:val="22"/>
              </w:rPr>
              <w:t>дополнительное соглашение № 3098533 к договору № 2688850 от 21.12.2017 от 16.10.2018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5C1A0000">
            <w:pPr>
              <w:widowControl w:val="1"/>
              <w:ind/>
              <w:contextualSpacing w:val="1"/>
              <w:jc w:val="center"/>
              <w:rPr>
                <w:sz w:val="22"/>
              </w:rPr>
            </w:pPr>
            <w:r>
              <w:rPr>
                <w:sz w:val="22"/>
              </w:rPr>
              <w:t>16.10.2018-15.02.2019</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5D1A0000">
            <w:pPr>
              <w:widowControl w:val="1"/>
              <w:ind/>
              <w:contextualSpacing w:val="1"/>
              <w:jc w:val="center"/>
              <w:rPr>
                <w:sz w:val="22"/>
              </w:rPr>
            </w:pPr>
            <w:r>
              <w:rPr>
                <w:sz w:val="22"/>
              </w:rPr>
              <w:t>увеличение предельной цены договор ана оказание услуг по перевозке рпассажиров</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5E1A0000">
            <w:pPr>
              <w:widowControl w:val="1"/>
              <w:ind/>
              <w:contextualSpacing w:val="1"/>
              <w:jc w:val="center"/>
              <w:rPr>
                <w:sz w:val="22"/>
              </w:rPr>
            </w:pPr>
            <w:r>
              <w:rPr>
                <w:sz w:val="22"/>
              </w:rPr>
              <w:t>185000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5F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60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61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621A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631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641A0000">
            <w:pPr>
              <w:widowControl w:val="1"/>
              <w:ind/>
              <w:contextualSpacing w:val="1"/>
              <w:jc w:val="center"/>
              <w:rPr>
                <w:sz w:val="22"/>
              </w:rPr>
            </w:pPr>
            <w:r>
              <w:rPr>
                <w:sz w:val="22"/>
              </w:rPr>
              <w:t>не требуется</w:t>
            </w:r>
          </w:p>
        </w:tc>
      </w:tr>
      <w:tr>
        <w:trPr>
          <w:trHeight w:hRule="atLeast" w:val="2025"/>
        </w:trPr>
        <w:tc>
          <w:tcPr>
            <w:tcW w:type="dxa" w:w="865"/>
            <w:gridSpan w:val="2"/>
            <w:tcBorders>
              <w:top w:color="000000" w:sz="4" w:val="single"/>
              <w:left w:color="000000" w:sz="4" w:val="single"/>
              <w:bottom w:color="000000" w:sz="4" w:val="single"/>
              <w:right w:color="000000" w:sz="4" w:val="single"/>
            </w:tcBorders>
            <w:shd w:fill="auto" w:val="clear"/>
            <w:vAlign w:val="center"/>
          </w:tcPr>
          <w:p w14:paraId="651A0000">
            <w:pPr>
              <w:widowControl w:val="1"/>
              <w:ind/>
              <w:contextualSpacing w:val="1"/>
              <w:jc w:val="center"/>
              <w:rPr>
                <w:color w:val="000000"/>
                <w:sz w:val="22"/>
              </w:rPr>
            </w:pPr>
            <w:r>
              <w:rPr>
                <w:color w:val="000000"/>
                <w:sz w:val="22"/>
              </w:rPr>
              <w:t>70</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661A0000">
            <w:pPr>
              <w:widowControl w:val="1"/>
              <w:ind/>
              <w:contextualSpacing w:val="1"/>
              <w:jc w:val="center"/>
              <w:rPr>
                <w:sz w:val="22"/>
              </w:rPr>
            </w:pPr>
            <w:r>
              <w:rPr>
                <w:sz w:val="22"/>
              </w:rPr>
              <w:t>ОАО "РЖД" Красноярский территориальный центр фирменного транспортного обслуживания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671A0000">
            <w:pPr>
              <w:widowControl w:val="1"/>
              <w:ind/>
              <w:contextualSpacing w:val="1"/>
              <w:jc w:val="center"/>
              <w:rPr>
                <w:sz w:val="22"/>
              </w:rPr>
            </w:pPr>
            <w:r>
              <w:rPr>
                <w:sz w:val="22"/>
              </w:rPr>
              <w:t>договор № 3183120 от 18.12.2018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681A0000">
            <w:pPr>
              <w:widowControl w:val="1"/>
              <w:ind/>
              <w:contextualSpacing w:val="1"/>
              <w:jc w:val="center"/>
              <w:rPr>
                <w:sz w:val="22"/>
              </w:rPr>
            </w:pPr>
            <w:r>
              <w:rPr>
                <w:sz w:val="22"/>
              </w:rPr>
              <w:t>01.01.2019-31.12.2019</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691A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6A1A0000">
            <w:pPr>
              <w:widowControl w:val="1"/>
              <w:ind/>
              <w:contextualSpacing w:val="1"/>
              <w:jc w:val="center"/>
              <w:rPr>
                <w:sz w:val="22"/>
              </w:rPr>
            </w:pPr>
            <w:r>
              <w:rPr>
                <w:sz w:val="22"/>
              </w:rPr>
              <w:t>185000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6B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6C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6D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6E1A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6F1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701A0000">
            <w:pPr>
              <w:widowControl w:val="1"/>
              <w:ind/>
              <w:contextualSpacing w:val="1"/>
              <w:jc w:val="center"/>
              <w:rPr>
                <w:sz w:val="22"/>
              </w:rPr>
            </w:pPr>
            <w:r>
              <w:rPr>
                <w:sz w:val="22"/>
              </w:rPr>
              <w:t>не требуется</w:t>
            </w:r>
          </w:p>
        </w:tc>
      </w:tr>
      <w:tr>
        <w:trPr>
          <w:trHeight w:hRule="atLeast" w:val="681"/>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711A0000">
            <w:pPr>
              <w:widowControl w:val="1"/>
              <w:ind/>
              <w:contextualSpacing w:val="1"/>
              <w:jc w:val="center"/>
              <w:rPr>
                <w:color w:val="000000"/>
                <w:sz w:val="22"/>
              </w:rPr>
            </w:pPr>
            <w:r>
              <w:rPr>
                <w:color w:val="000000"/>
                <w:sz w:val="22"/>
              </w:rPr>
              <w:t>Итого по контрагенту ОАО "РЖД" Красноярский территориальный центр фирменного транспортного обслуживания 370000 руб.</w:t>
            </w:r>
          </w:p>
          <w:p w14:paraId="721A0000">
            <w:pPr>
              <w:widowControl w:val="1"/>
              <w:ind/>
              <w:contextualSpacing w:val="1"/>
              <w:jc w:val="center"/>
              <w:rPr>
                <w:sz w:val="22"/>
              </w:rPr>
            </w:pP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731A0000">
            <w:pPr>
              <w:widowControl w:val="1"/>
              <w:ind/>
              <w:contextualSpacing w:val="1"/>
              <w:jc w:val="center"/>
              <w:rPr>
                <w:color w:val="000000"/>
                <w:sz w:val="22"/>
              </w:rPr>
            </w:pPr>
            <w:r>
              <w:rPr>
                <w:color w:val="000000"/>
                <w:sz w:val="22"/>
              </w:rPr>
              <w:t>71</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741A0000">
            <w:pPr>
              <w:widowControl w:val="1"/>
              <w:ind/>
              <w:contextualSpacing w:val="1"/>
              <w:jc w:val="center"/>
              <w:rPr>
                <w:sz w:val="22"/>
              </w:rPr>
            </w:pPr>
            <w:r>
              <w:rPr>
                <w:sz w:val="22"/>
              </w:rPr>
              <w:t>ФГП "ВО ЖДТ РФ"</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751A0000">
            <w:pPr>
              <w:widowControl w:val="1"/>
              <w:ind/>
              <w:contextualSpacing w:val="1"/>
              <w:jc w:val="center"/>
              <w:rPr>
                <w:sz w:val="22"/>
              </w:rPr>
            </w:pPr>
            <w:r>
              <w:rPr>
                <w:sz w:val="22"/>
              </w:rPr>
              <w:t>контракт № 0500400000518002435/НО13/1519 от 29.05.2018</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761A0000">
            <w:pPr>
              <w:widowControl w:val="1"/>
              <w:ind/>
              <w:contextualSpacing w:val="1"/>
              <w:jc w:val="center"/>
              <w:rPr>
                <w:sz w:val="22"/>
              </w:rPr>
            </w:pPr>
            <w:r>
              <w:rPr>
                <w:sz w:val="22"/>
              </w:rPr>
              <w:t>29.05.2018-30.06.2019</w:t>
            </w:r>
          </w:p>
        </w:tc>
        <w:tc>
          <w:tcPr>
            <w:tcW w:type="dxa" w:w="1497"/>
            <w:gridSpan w:val="2"/>
            <w:tcBorders>
              <w:top w:color="000000" w:sz="4" w:val="single"/>
              <w:left w:color="000000" w:sz="4" w:val="single"/>
              <w:bottom w:color="000000" w:sz="4" w:val="single"/>
              <w:right w:color="000000" w:sz="4" w:val="single"/>
            </w:tcBorders>
            <w:shd w:fill="FFFFFF" w:val="clear"/>
            <w:vAlign w:val="center"/>
          </w:tcPr>
          <w:p w14:paraId="771A0000">
            <w:pPr>
              <w:widowControl w:val="1"/>
              <w:ind/>
              <w:contextualSpacing w:val="1"/>
              <w:jc w:val="center"/>
              <w:rPr>
                <w:sz w:val="22"/>
              </w:rPr>
            </w:pPr>
            <w:r>
              <w:rPr>
                <w:sz w:val="22"/>
              </w:rPr>
              <w:t>оказание услуг по перевозке работников по транспортным требованиям форма ВО-10 в поездах пригородного сообщения</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781A0000">
            <w:pPr>
              <w:widowControl w:val="1"/>
              <w:ind/>
              <w:contextualSpacing w:val="1"/>
              <w:jc w:val="center"/>
              <w:rPr>
                <w:sz w:val="22"/>
              </w:rPr>
            </w:pPr>
            <w:r>
              <w:rPr>
                <w:sz w:val="22"/>
              </w:rPr>
              <w:t>250000,00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79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7A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7B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7C1A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7D1A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FFFFFF" w:val="clear"/>
            <w:vAlign w:val="center"/>
          </w:tcPr>
          <w:p w14:paraId="7E1A0000">
            <w:pPr>
              <w:widowControl w:val="1"/>
              <w:ind/>
              <w:contextualSpacing w:val="1"/>
              <w:jc w:val="center"/>
              <w:rPr>
                <w:sz w:val="22"/>
              </w:rPr>
            </w:pPr>
            <w:r>
              <w:rPr>
                <w:sz w:val="22"/>
              </w:rPr>
              <w:t>не требуется</w:t>
            </w: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7F1A0000">
            <w:pPr>
              <w:widowControl w:val="1"/>
              <w:ind/>
              <w:contextualSpacing w:val="1"/>
              <w:jc w:val="center"/>
              <w:rPr>
                <w:color w:val="000000"/>
                <w:sz w:val="22"/>
              </w:rPr>
            </w:pPr>
            <w:r>
              <w:rPr>
                <w:color w:val="000000"/>
                <w:sz w:val="22"/>
              </w:rPr>
              <w:t>72</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801A0000">
            <w:pPr>
              <w:widowControl w:val="1"/>
              <w:ind/>
              <w:contextualSpacing w:val="1"/>
              <w:jc w:val="center"/>
              <w:rPr>
                <w:sz w:val="22"/>
              </w:rPr>
            </w:pPr>
            <w:r>
              <w:rPr>
                <w:sz w:val="22"/>
              </w:rPr>
              <w:t>ООО "Азимут"</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811A0000">
            <w:pPr>
              <w:widowControl w:val="1"/>
              <w:ind/>
              <w:contextualSpacing w:val="1"/>
              <w:jc w:val="center"/>
              <w:rPr>
                <w:sz w:val="22"/>
              </w:rPr>
            </w:pPr>
            <w:r>
              <w:rPr>
                <w:sz w:val="22"/>
              </w:rPr>
              <w:t>дополнительное соглашение № 1 к договору № 132 от 28.12.2017г. От 18.06.201</w:t>
            </w:r>
          </w:p>
        </w:tc>
        <w:tc>
          <w:tcPr>
            <w:tcW w:type="dxa" w:w="1040"/>
            <w:gridSpan w:val="2"/>
            <w:tcBorders>
              <w:top w:color="000000" w:sz="4" w:val="single"/>
              <w:left w:color="000000" w:sz="4" w:val="single"/>
              <w:bottom w:color="000000" w:sz="4" w:val="single"/>
              <w:right w:color="000000" w:sz="4" w:val="single"/>
            </w:tcBorders>
            <w:shd w:fill="FFFFFF" w:val="clear"/>
            <w:vAlign w:val="center"/>
          </w:tcPr>
          <w:p w14:paraId="821A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831A0000">
            <w:pPr>
              <w:widowControl w:val="1"/>
              <w:ind/>
              <w:contextualSpacing w:val="1"/>
              <w:jc w:val="center"/>
              <w:rPr>
                <w:sz w:val="22"/>
              </w:rPr>
            </w:pPr>
            <w:r>
              <w:rPr>
                <w:sz w:val="22"/>
              </w:rPr>
              <w:t>увеличение предельной цены договора фрахтования электропоезда переменного тока с экипажем для перевозки пассажиров и багажа в связи с увеличением количества рейсов</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841A0000">
            <w:pPr>
              <w:widowControl w:val="1"/>
              <w:ind/>
              <w:contextualSpacing w:val="1"/>
              <w:jc w:val="center"/>
              <w:rPr>
                <w:sz w:val="22"/>
              </w:rPr>
            </w:pPr>
            <w:r>
              <w:rPr>
                <w:sz w:val="22"/>
              </w:rPr>
              <w:t>1198837,52</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85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86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87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881A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891A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8A1A0000">
            <w:pPr>
              <w:widowControl w:val="1"/>
              <w:ind/>
              <w:contextualSpacing w:val="1"/>
              <w:jc w:val="center"/>
              <w:rPr>
                <w:sz w:val="22"/>
              </w:rPr>
            </w:pPr>
            <w:r>
              <w:rPr>
                <w:sz w:val="22"/>
              </w:rPr>
              <w:t>не требуется</w:t>
            </w: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8B1A0000">
            <w:pPr>
              <w:widowControl w:val="1"/>
              <w:ind/>
              <w:contextualSpacing w:val="1"/>
              <w:jc w:val="center"/>
              <w:rPr>
                <w:color w:val="000000"/>
                <w:sz w:val="22"/>
              </w:rPr>
            </w:pPr>
            <w:r>
              <w:rPr>
                <w:color w:val="000000"/>
                <w:sz w:val="22"/>
              </w:rPr>
              <w:t>73</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8C1A0000">
            <w:pPr>
              <w:widowControl w:val="1"/>
              <w:ind/>
              <w:contextualSpacing w:val="1"/>
              <w:jc w:val="center"/>
              <w:rPr>
                <w:sz w:val="22"/>
              </w:rPr>
            </w:pPr>
            <w:r>
              <w:rPr>
                <w:sz w:val="22"/>
              </w:rPr>
              <w:t>ООО "Азимут"</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8D1A0000">
            <w:pPr>
              <w:widowControl w:val="1"/>
              <w:ind/>
              <w:contextualSpacing w:val="1"/>
              <w:jc w:val="center"/>
              <w:rPr>
                <w:sz w:val="22"/>
              </w:rPr>
            </w:pPr>
            <w:r>
              <w:rPr>
                <w:sz w:val="22"/>
              </w:rPr>
              <w:t>дополнительное соглашение № 2 к договору № 132 от 28.12.2017 от 25.07.2018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8E1A0000">
            <w:pPr>
              <w:widowControl w:val="1"/>
              <w:ind/>
              <w:contextualSpacing w:val="1"/>
              <w:jc w:val="center"/>
              <w:rPr>
                <w:sz w:val="22"/>
              </w:rPr>
            </w:pPr>
            <w:r>
              <w:rPr>
                <w:sz w:val="22"/>
              </w:rPr>
              <w:t>25.07.2018-31.12.2018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8F1A0000">
            <w:pPr>
              <w:widowControl w:val="1"/>
              <w:ind/>
              <w:contextualSpacing w:val="1"/>
              <w:jc w:val="center"/>
              <w:rPr>
                <w:sz w:val="22"/>
              </w:rPr>
            </w:pPr>
            <w:r>
              <w:rPr>
                <w:sz w:val="22"/>
              </w:rPr>
              <w:t>уменьшение предельной цены договора фрахтования электропоезда переменного тока с экипажем для перевозки пассажиров и багажа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901A0000">
            <w:pPr>
              <w:widowControl w:val="1"/>
              <w:ind/>
              <w:contextualSpacing w:val="1"/>
              <w:jc w:val="center"/>
              <w:rPr>
                <w:sz w:val="22"/>
              </w:rPr>
            </w:pPr>
            <w:r>
              <w:rPr>
                <w:sz w:val="22"/>
              </w:rPr>
              <w:t>993961,2</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91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92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93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941A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951A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961A0000">
            <w:pPr>
              <w:widowControl w:val="1"/>
              <w:ind/>
              <w:contextualSpacing w:val="1"/>
              <w:jc w:val="center"/>
              <w:rPr>
                <w:sz w:val="22"/>
              </w:rPr>
            </w:pPr>
            <w:r>
              <w:rPr>
                <w:sz w:val="22"/>
              </w:rPr>
              <w:t>не требуется</w:t>
            </w: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971A0000">
            <w:pPr>
              <w:widowControl w:val="1"/>
              <w:ind/>
              <w:contextualSpacing w:val="1"/>
              <w:jc w:val="center"/>
              <w:rPr>
                <w:color w:val="000000"/>
                <w:sz w:val="22"/>
              </w:rPr>
            </w:pPr>
            <w:r>
              <w:rPr>
                <w:color w:val="000000"/>
                <w:sz w:val="22"/>
              </w:rPr>
              <w:t>74</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981A0000">
            <w:pPr>
              <w:widowControl w:val="1"/>
              <w:ind/>
              <w:contextualSpacing w:val="1"/>
              <w:jc w:val="center"/>
              <w:rPr>
                <w:sz w:val="22"/>
              </w:rPr>
            </w:pPr>
            <w:r>
              <w:rPr>
                <w:sz w:val="22"/>
              </w:rPr>
              <w:t>ООО "Азимут"</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991A0000">
            <w:pPr>
              <w:widowControl w:val="1"/>
              <w:ind/>
              <w:contextualSpacing w:val="1"/>
              <w:jc w:val="center"/>
              <w:rPr>
                <w:sz w:val="22"/>
              </w:rPr>
            </w:pPr>
            <w:r>
              <w:rPr>
                <w:sz w:val="22"/>
              </w:rPr>
              <w:t>договр № 148 от 28.12.2018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9A1A0000">
            <w:pPr>
              <w:widowControl w:val="1"/>
              <w:ind/>
              <w:contextualSpacing w:val="1"/>
              <w:jc w:val="center"/>
              <w:rPr>
                <w:sz w:val="22"/>
              </w:rPr>
            </w:pPr>
            <w:r>
              <w:rPr>
                <w:sz w:val="22"/>
              </w:rPr>
              <w:t>01.01.2019-31.12.2019</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9B1A0000">
            <w:pPr>
              <w:widowControl w:val="1"/>
              <w:ind/>
              <w:contextualSpacing w:val="1"/>
              <w:jc w:val="center"/>
              <w:rPr>
                <w:sz w:val="22"/>
              </w:rPr>
            </w:pPr>
            <w:r>
              <w:rPr>
                <w:sz w:val="22"/>
              </w:rPr>
              <w:t>фрахтование электропоезда переменного тока с экипажем для перевозки пассажиров и багажа в связи с увеличением количества рейсов</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9C1A0000">
            <w:pPr>
              <w:widowControl w:val="1"/>
              <w:ind/>
              <w:contextualSpacing w:val="1"/>
              <w:jc w:val="center"/>
              <w:rPr>
                <w:sz w:val="22"/>
              </w:rPr>
            </w:pPr>
            <w:r>
              <w:rPr>
                <w:sz w:val="22"/>
              </w:rPr>
              <w:t>1423331,7</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9D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9E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9F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A01A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A11A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A21A0000">
            <w:pPr>
              <w:widowControl w:val="1"/>
              <w:ind/>
              <w:contextualSpacing w:val="1"/>
              <w:jc w:val="center"/>
              <w:rPr>
                <w:sz w:val="22"/>
              </w:rPr>
            </w:pPr>
            <w:r>
              <w:rPr>
                <w:sz w:val="22"/>
              </w:rPr>
              <w:t>не требуется</w:t>
            </w:r>
          </w:p>
        </w:tc>
      </w:tr>
      <w:tr>
        <w:trPr>
          <w:trHeight w:hRule="atLeast" w:val="489"/>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A31A0000">
            <w:pPr>
              <w:widowControl w:val="1"/>
              <w:ind/>
              <w:contextualSpacing w:val="1"/>
              <w:jc w:val="center"/>
              <w:rPr>
                <w:color w:val="000000"/>
                <w:sz w:val="22"/>
              </w:rPr>
            </w:pPr>
            <w:r>
              <w:rPr>
                <w:color w:val="000000"/>
                <w:sz w:val="22"/>
              </w:rPr>
              <w:t>итого по контрагенту ООО "Азимут"2417292,9 руб.</w:t>
            </w:r>
          </w:p>
          <w:p w14:paraId="A41A0000">
            <w:pPr>
              <w:widowControl w:val="1"/>
              <w:ind/>
              <w:contextualSpacing w:val="1"/>
              <w:jc w:val="center"/>
              <w:rPr>
                <w:sz w:val="22"/>
              </w:rPr>
            </w:pP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A51A0000">
            <w:pPr>
              <w:widowControl w:val="1"/>
              <w:ind/>
              <w:contextualSpacing w:val="1"/>
              <w:jc w:val="center"/>
              <w:rPr>
                <w:color w:val="000000"/>
                <w:sz w:val="22"/>
              </w:rPr>
            </w:pPr>
            <w:r>
              <w:rPr>
                <w:color w:val="000000"/>
                <w:sz w:val="22"/>
              </w:rPr>
              <w:t>75</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A61A0000">
            <w:pPr>
              <w:widowControl w:val="1"/>
              <w:ind/>
              <w:contextualSpacing w:val="1"/>
              <w:jc w:val="center"/>
              <w:rPr>
                <w:sz w:val="22"/>
              </w:rPr>
            </w:pPr>
            <w:r>
              <w:rPr>
                <w:sz w:val="22"/>
              </w:rPr>
              <w:t>ОАО "РЖД" Западно-Сибирская дирекция капитального ремонта и реконструкции объектов электрификации и электроснабжения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A71A0000">
            <w:pPr>
              <w:widowControl w:val="1"/>
              <w:ind/>
              <w:contextualSpacing w:val="1"/>
              <w:jc w:val="center"/>
              <w:rPr>
                <w:sz w:val="22"/>
              </w:rPr>
            </w:pPr>
            <w:r>
              <w:rPr>
                <w:sz w:val="22"/>
              </w:rPr>
              <w:t>дополнительное соглвшение № 1 к договору № 2713271 от 06.02.2018г. От 09.10.2018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A81A0000">
            <w:pPr>
              <w:widowControl w:val="1"/>
              <w:ind/>
              <w:contextualSpacing w:val="1"/>
              <w:jc w:val="center"/>
              <w:rPr>
                <w:sz w:val="22"/>
              </w:rPr>
            </w:pPr>
            <w:r>
              <w:rPr>
                <w:sz w:val="22"/>
              </w:rPr>
              <w:t>01.08.2018-31.12.2018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A91A0000">
            <w:pPr>
              <w:widowControl w:val="1"/>
              <w:ind/>
              <w:contextualSpacing w:val="1"/>
              <w:jc w:val="center"/>
              <w:rPr>
                <w:sz w:val="22"/>
              </w:rPr>
            </w:pPr>
            <w:r>
              <w:rPr>
                <w:sz w:val="22"/>
              </w:rPr>
              <w:t>увеличение предельной цены договора на перевозку работников</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AA1A0000">
            <w:pPr>
              <w:widowControl w:val="1"/>
              <w:ind/>
              <w:contextualSpacing w:val="1"/>
              <w:jc w:val="center"/>
              <w:rPr>
                <w:sz w:val="22"/>
              </w:rPr>
            </w:pPr>
            <w:r>
              <w:rPr>
                <w:sz w:val="22"/>
              </w:rPr>
              <w:t>260000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AB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AC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AD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AE1A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AF1A0000">
            <w:pPr>
              <w:widowControl w:val="1"/>
              <w:ind/>
              <w:contextualSpacing w:val="1"/>
              <w:jc w:val="center"/>
              <w:rPr>
                <w:sz w:val="22"/>
              </w:rPr>
            </w:pPr>
            <w:r>
              <w:rPr>
                <w:sz w:val="22"/>
              </w:rPr>
              <w:t>извещение о сделке направлено 29.08.2018г.,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B01A0000">
            <w:pPr>
              <w:widowControl w:val="1"/>
              <w:ind/>
              <w:contextualSpacing w:val="1"/>
              <w:jc w:val="center"/>
              <w:rPr>
                <w:sz w:val="22"/>
              </w:rPr>
            </w:pPr>
            <w:r>
              <w:rPr>
                <w:sz w:val="22"/>
              </w:rPr>
              <w:t>не требуется</w:t>
            </w: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B11A0000">
            <w:pPr>
              <w:widowControl w:val="1"/>
              <w:ind/>
              <w:contextualSpacing w:val="1"/>
              <w:jc w:val="center"/>
              <w:rPr>
                <w:color w:val="000000"/>
                <w:sz w:val="22"/>
              </w:rPr>
            </w:pPr>
            <w:r>
              <w:rPr>
                <w:color w:val="000000"/>
                <w:sz w:val="22"/>
              </w:rPr>
              <w:t>76</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B21A0000">
            <w:pPr>
              <w:widowControl w:val="1"/>
              <w:ind/>
              <w:contextualSpacing w:val="1"/>
              <w:jc w:val="center"/>
              <w:rPr>
                <w:sz w:val="22"/>
              </w:rPr>
            </w:pPr>
            <w:r>
              <w:rPr>
                <w:sz w:val="22"/>
              </w:rPr>
              <w:t>ОАО "РЖД" Западно-Сибирская дирекция капитального ремонта и реконструкции объектов электрификации и электроснабжения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B31A0000">
            <w:pPr>
              <w:widowControl w:val="1"/>
              <w:ind/>
              <w:contextualSpacing w:val="1"/>
              <w:jc w:val="center"/>
              <w:rPr>
                <w:sz w:val="22"/>
              </w:rPr>
            </w:pPr>
            <w:r>
              <w:rPr>
                <w:sz w:val="22"/>
              </w:rPr>
              <w:t>Договор № 3149395 от 30.11.2018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B41A0000">
            <w:pPr>
              <w:widowControl w:val="1"/>
              <w:ind/>
              <w:contextualSpacing w:val="1"/>
              <w:jc w:val="center"/>
              <w:rPr>
                <w:sz w:val="22"/>
              </w:rPr>
            </w:pPr>
            <w:r>
              <w:rPr>
                <w:sz w:val="22"/>
              </w:rPr>
              <w:t>01.01.2019-31.12.2019</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B51A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B61A0000">
            <w:pPr>
              <w:widowControl w:val="1"/>
              <w:ind/>
              <w:contextualSpacing w:val="1"/>
              <w:jc w:val="center"/>
              <w:rPr>
                <w:sz w:val="22"/>
              </w:rPr>
            </w:pPr>
            <w:r>
              <w:rPr>
                <w:sz w:val="22"/>
              </w:rPr>
              <w:t>130000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B7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B8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B9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BA1A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BB1A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c>
          <w:tcPr>
            <w:tcW w:type="dxa" w:w="1219"/>
            <w:tcBorders>
              <w:top w:color="000000" w:sz="4" w:val="single"/>
              <w:left w:color="000000" w:sz="4" w:val="single"/>
              <w:bottom w:color="000000" w:sz="4" w:val="single"/>
              <w:right w:color="000000" w:sz="4" w:val="single"/>
            </w:tcBorders>
            <w:shd w:fill="auto" w:val="clear"/>
            <w:vAlign w:val="center"/>
          </w:tcPr>
          <w:p w14:paraId="BC1A0000">
            <w:pPr>
              <w:widowControl w:val="1"/>
              <w:ind/>
              <w:contextualSpacing w:val="1"/>
              <w:jc w:val="center"/>
              <w:rPr>
                <w:sz w:val="22"/>
              </w:rPr>
            </w:pPr>
            <w:r>
              <w:rPr>
                <w:sz w:val="22"/>
              </w:rPr>
              <w:t>не требуется</w:t>
            </w:r>
          </w:p>
        </w:tc>
      </w:tr>
      <w:tr>
        <w:trPr>
          <w:trHeight w:hRule="atLeast" w:val="645"/>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BD1A0000">
            <w:pPr>
              <w:widowControl w:val="1"/>
              <w:ind/>
              <w:contextualSpacing w:val="1"/>
              <w:jc w:val="center"/>
              <w:rPr>
                <w:color w:val="000000"/>
                <w:sz w:val="22"/>
              </w:rPr>
            </w:pPr>
            <w:r>
              <w:rPr>
                <w:color w:val="000000"/>
                <w:sz w:val="22"/>
              </w:rPr>
              <w:t>Итого по контрагенту ОАО "РЖД" Западно-Сибирская дирекция капитального ремонта и реконструкции объектов электрификации и электроснабжения 390000 руб.</w:t>
            </w:r>
          </w:p>
          <w:p w14:paraId="BE1A0000">
            <w:pPr>
              <w:widowControl w:val="1"/>
              <w:ind/>
              <w:contextualSpacing w:val="1"/>
              <w:jc w:val="center"/>
              <w:rPr>
                <w:sz w:val="22"/>
              </w:rPr>
            </w:pP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BF1A0000">
            <w:pPr>
              <w:widowControl w:val="1"/>
              <w:ind/>
              <w:contextualSpacing w:val="1"/>
              <w:jc w:val="center"/>
              <w:rPr>
                <w:color w:val="000000"/>
                <w:sz w:val="22"/>
              </w:rPr>
            </w:pPr>
            <w:r>
              <w:rPr>
                <w:color w:val="000000"/>
                <w:sz w:val="22"/>
              </w:rPr>
              <w:t>77</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C01A0000">
            <w:pPr>
              <w:widowControl w:val="1"/>
              <w:ind/>
              <w:contextualSpacing w:val="1"/>
              <w:jc w:val="center"/>
              <w:rPr>
                <w:sz w:val="22"/>
              </w:rPr>
            </w:pPr>
            <w:r>
              <w:rPr>
                <w:sz w:val="22"/>
              </w:rPr>
              <w:t>ОАО "РЖД" Красноярская дирекция тяги</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C11A0000">
            <w:pPr>
              <w:widowControl w:val="1"/>
              <w:ind/>
              <w:contextualSpacing w:val="1"/>
              <w:jc w:val="center"/>
              <w:rPr>
                <w:sz w:val="22"/>
              </w:rPr>
            </w:pPr>
            <w:r>
              <w:rPr>
                <w:sz w:val="22"/>
              </w:rPr>
              <w:t>дополнительное соглашение № 1 к договору № 2671703 от 12.12.2017 от 12.10.2018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C21A0000">
            <w:pPr>
              <w:widowControl w:val="1"/>
              <w:ind/>
              <w:contextualSpacing w:val="1"/>
              <w:jc w:val="center"/>
              <w:rPr>
                <w:sz w:val="22"/>
              </w:rPr>
            </w:pPr>
            <w:r>
              <w:rPr>
                <w:sz w:val="22"/>
              </w:rPr>
              <w:t>12.10.2018-31.12.2018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C31A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C41A0000">
            <w:pPr>
              <w:widowControl w:val="1"/>
              <w:ind/>
              <w:contextualSpacing w:val="1"/>
              <w:jc w:val="center"/>
              <w:rPr>
                <w:sz w:val="22"/>
              </w:rPr>
            </w:pPr>
            <w:r>
              <w:rPr>
                <w:sz w:val="22"/>
              </w:rPr>
              <w:t>2400000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C5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C6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C7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C81A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C91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CA1A0000">
            <w:pPr>
              <w:widowControl w:val="1"/>
              <w:ind/>
              <w:contextualSpacing w:val="1"/>
              <w:jc w:val="center"/>
              <w:rPr>
                <w:sz w:val="22"/>
              </w:rPr>
            </w:pPr>
            <w:r>
              <w:rPr>
                <w:sz w:val="22"/>
              </w:rPr>
              <w:t>не требуется</w:t>
            </w: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CB1A0000">
            <w:pPr>
              <w:widowControl w:val="1"/>
              <w:ind/>
              <w:contextualSpacing w:val="1"/>
              <w:jc w:val="center"/>
              <w:rPr>
                <w:color w:val="000000"/>
                <w:sz w:val="22"/>
              </w:rPr>
            </w:pPr>
            <w:r>
              <w:rPr>
                <w:color w:val="000000"/>
                <w:sz w:val="22"/>
              </w:rPr>
              <w:t>78</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CC1A0000">
            <w:pPr>
              <w:widowControl w:val="1"/>
              <w:ind/>
              <w:contextualSpacing w:val="1"/>
              <w:jc w:val="center"/>
              <w:rPr>
                <w:sz w:val="22"/>
              </w:rPr>
            </w:pPr>
            <w:r>
              <w:rPr>
                <w:sz w:val="22"/>
              </w:rPr>
              <w:t>ОАО "РЖД" Красноярская дирекция тяги</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CD1A0000">
            <w:pPr>
              <w:widowControl w:val="1"/>
              <w:ind/>
              <w:contextualSpacing w:val="1"/>
              <w:jc w:val="center"/>
              <w:rPr>
                <w:sz w:val="22"/>
              </w:rPr>
            </w:pPr>
            <w:r>
              <w:rPr>
                <w:sz w:val="22"/>
              </w:rPr>
              <w:t>дополнительное соглашение № 2 к договору № 2671703 от 12.12.2017 от 12.11.2018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CE1A0000">
            <w:pPr>
              <w:widowControl w:val="1"/>
              <w:ind/>
              <w:contextualSpacing w:val="1"/>
              <w:jc w:val="center"/>
              <w:rPr>
                <w:sz w:val="22"/>
              </w:rPr>
            </w:pPr>
            <w:r>
              <w:rPr>
                <w:sz w:val="22"/>
              </w:rPr>
              <w:t>12.10.2018-31.12.2018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CF1A0000">
            <w:pPr>
              <w:widowControl w:val="1"/>
              <w:ind/>
              <w:contextualSpacing w:val="1"/>
              <w:jc w:val="center"/>
              <w:rPr>
                <w:sz w:val="22"/>
              </w:rPr>
            </w:pPr>
            <w:r>
              <w:rPr>
                <w:sz w:val="22"/>
              </w:rPr>
              <w:t>увеличение предельной цены договора</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D01A0000">
            <w:pPr>
              <w:widowControl w:val="1"/>
              <w:ind/>
              <w:contextualSpacing w:val="1"/>
              <w:jc w:val="center"/>
              <w:rPr>
                <w:sz w:val="22"/>
              </w:rPr>
            </w:pPr>
            <w:r>
              <w:rPr>
                <w:sz w:val="22"/>
              </w:rPr>
              <w:t>2635000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D1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D2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D3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D41A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D51A0000">
            <w:pPr>
              <w:widowControl w:val="1"/>
              <w:ind/>
              <w:contextualSpacing w:val="1"/>
              <w:jc w:val="center"/>
              <w:rPr>
                <w:sz w:val="22"/>
              </w:rPr>
            </w:pPr>
            <w:r>
              <w:rPr>
                <w:sz w:val="22"/>
              </w:rPr>
              <w:t>извещение о сделке направлено 16.10.2018г, требование об одобрении сделки не поступило</w:t>
            </w:r>
          </w:p>
        </w:tc>
        <w:tc>
          <w:tcPr>
            <w:tcW w:type="dxa" w:w="1219"/>
            <w:tcBorders>
              <w:top w:color="000000" w:sz="4" w:val="single"/>
              <w:left w:color="000000" w:sz="4" w:val="single"/>
              <w:bottom w:color="000000" w:sz="4" w:val="single"/>
              <w:right w:color="000000" w:sz="4" w:val="single"/>
            </w:tcBorders>
            <w:shd w:fill="auto" w:val="clear"/>
            <w:vAlign w:val="center"/>
          </w:tcPr>
          <w:p w14:paraId="D61A0000">
            <w:pPr>
              <w:widowControl w:val="1"/>
              <w:ind/>
              <w:contextualSpacing w:val="1"/>
              <w:jc w:val="center"/>
              <w:rPr>
                <w:sz w:val="22"/>
              </w:rPr>
            </w:pPr>
            <w:r>
              <w:rPr>
                <w:sz w:val="22"/>
              </w:rPr>
              <w:t>не требуется</w:t>
            </w:r>
          </w:p>
        </w:tc>
      </w:tr>
      <w:tr>
        <w:trPr>
          <w:trHeight w:hRule="atLeast" w:val="692"/>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D71A0000">
            <w:pPr>
              <w:widowControl w:val="1"/>
              <w:ind/>
              <w:contextualSpacing w:val="1"/>
              <w:jc w:val="center"/>
              <w:rPr>
                <w:color w:val="000000"/>
                <w:sz w:val="22"/>
              </w:rPr>
            </w:pPr>
            <w:r>
              <w:rPr>
                <w:color w:val="000000"/>
                <w:sz w:val="22"/>
              </w:rPr>
              <w:t>Итого по контрагенту ОАО "РЖД" Красноярская дирекция тяги 2635000 руб.</w:t>
            </w:r>
          </w:p>
          <w:p w14:paraId="D81A0000">
            <w:pPr>
              <w:widowControl w:val="1"/>
              <w:ind/>
              <w:contextualSpacing w:val="1"/>
              <w:jc w:val="center"/>
              <w:rPr>
                <w:sz w:val="22"/>
              </w:rPr>
            </w:pP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D91A0000">
            <w:pPr>
              <w:widowControl w:val="1"/>
              <w:ind/>
              <w:contextualSpacing w:val="1"/>
              <w:jc w:val="center"/>
              <w:rPr>
                <w:color w:val="000000"/>
                <w:sz w:val="22"/>
              </w:rPr>
            </w:pPr>
            <w:r>
              <w:rPr>
                <w:color w:val="000000"/>
                <w:sz w:val="22"/>
              </w:rPr>
              <w:t>79</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DA1A0000">
            <w:pPr>
              <w:widowControl w:val="1"/>
              <w:ind/>
              <w:contextualSpacing w:val="1"/>
              <w:jc w:val="center"/>
              <w:rPr>
                <w:sz w:val="22"/>
              </w:rPr>
            </w:pPr>
            <w:r>
              <w:rPr>
                <w:sz w:val="22"/>
              </w:rPr>
              <w:t>ОАО "РЖД" Красноярский территориальный центр фирменного транспортного обслуживания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DB1A0000">
            <w:pPr>
              <w:widowControl w:val="1"/>
              <w:ind/>
              <w:contextualSpacing w:val="1"/>
              <w:jc w:val="center"/>
              <w:rPr>
                <w:sz w:val="22"/>
              </w:rPr>
            </w:pPr>
            <w:r>
              <w:rPr>
                <w:sz w:val="22"/>
              </w:rPr>
              <w:t>дополнительное соглашение № 3098533 к договору № 2688850 от 21.12.2017 от 16.10.2018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DC1A0000">
            <w:pPr>
              <w:widowControl w:val="1"/>
              <w:ind/>
              <w:contextualSpacing w:val="1"/>
              <w:jc w:val="center"/>
              <w:rPr>
                <w:sz w:val="22"/>
              </w:rPr>
            </w:pPr>
            <w:r>
              <w:rPr>
                <w:sz w:val="22"/>
              </w:rPr>
              <w:t>16.10.2018-15.02.2019</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DD1A0000">
            <w:pPr>
              <w:widowControl w:val="1"/>
              <w:ind/>
              <w:contextualSpacing w:val="1"/>
              <w:jc w:val="center"/>
              <w:rPr>
                <w:sz w:val="22"/>
              </w:rPr>
            </w:pPr>
            <w:r>
              <w:rPr>
                <w:sz w:val="22"/>
              </w:rPr>
              <w:t>увеличение предельной цены договор на оказание услуг по перевозке пассажиров</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DE1A0000">
            <w:pPr>
              <w:widowControl w:val="1"/>
              <w:ind/>
              <w:contextualSpacing w:val="1"/>
              <w:jc w:val="center"/>
              <w:rPr>
                <w:sz w:val="22"/>
              </w:rPr>
            </w:pPr>
            <w:r>
              <w:rPr>
                <w:sz w:val="22"/>
              </w:rPr>
              <w:t>185000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DF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E0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E1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E21A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E31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E41A0000">
            <w:pPr>
              <w:widowControl w:val="1"/>
              <w:ind/>
              <w:contextualSpacing w:val="1"/>
              <w:jc w:val="center"/>
              <w:rPr>
                <w:sz w:val="22"/>
              </w:rPr>
            </w:pPr>
            <w:r>
              <w:rPr>
                <w:sz w:val="22"/>
              </w:rPr>
              <w:t>не требуется</w:t>
            </w: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E51A0000">
            <w:pPr>
              <w:widowControl w:val="1"/>
              <w:ind/>
              <w:contextualSpacing w:val="1"/>
              <w:jc w:val="center"/>
              <w:rPr>
                <w:color w:val="000000"/>
                <w:sz w:val="22"/>
              </w:rPr>
            </w:pPr>
            <w:r>
              <w:rPr>
                <w:color w:val="000000"/>
                <w:sz w:val="22"/>
              </w:rPr>
              <w:t>80</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E61A0000">
            <w:pPr>
              <w:widowControl w:val="1"/>
              <w:ind/>
              <w:contextualSpacing w:val="1"/>
              <w:jc w:val="center"/>
              <w:rPr>
                <w:sz w:val="22"/>
              </w:rPr>
            </w:pPr>
            <w:r>
              <w:rPr>
                <w:sz w:val="22"/>
              </w:rPr>
              <w:t>ГП КК "Красноярскавтотранс"</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E71A0000">
            <w:pPr>
              <w:widowControl w:val="1"/>
              <w:ind/>
              <w:contextualSpacing w:val="1"/>
              <w:jc w:val="center"/>
              <w:rPr>
                <w:sz w:val="22"/>
              </w:rPr>
            </w:pPr>
            <w:r>
              <w:rPr>
                <w:sz w:val="22"/>
              </w:rPr>
              <w:t>агентский договор № 3 от 03.12.2018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E81A0000">
            <w:pPr>
              <w:widowControl w:val="1"/>
              <w:ind/>
              <w:contextualSpacing w:val="1"/>
              <w:jc w:val="center"/>
              <w:rPr>
                <w:sz w:val="22"/>
              </w:rPr>
            </w:pPr>
            <w:r>
              <w:rPr>
                <w:sz w:val="22"/>
              </w:rPr>
              <w:t>01.01.2019-31.12.2019</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E91A0000">
            <w:pPr>
              <w:widowControl w:val="1"/>
              <w:ind/>
              <w:contextualSpacing w:val="1"/>
              <w:jc w:val="center"/>
              <w:rPr>
                <w:sz w:val="22"/>
              </w:rPr>
            </w:pPr>
            <w:r>
              <w:rPr>
                <w:sz w:val="22"/>
              </w:rPr>
              <w:t>реализация транспортных карт для осуществления проезда в городском наземном и пригородном жд общественном транспорте</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EA1A0000">
            <w:pPr>
              <w:widowControl w:val="1"/>
              <w:ind/>
              <w:contextualSpacing w:val="1"/>
              <w:jc w:val="center"/>
              <w:rPr>
                <w:sz w:val="22"/>
              </w:rPr>
            </w:pPr>
            <w:r>
              <w:rPr>
                <w:sz w:val="22"/>
              </w:rPr>
              <w:t>21600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EB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EC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ED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EE1A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EF1A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F01A0000">
            <w:pPr>
              <w:widowControl w:val="1"/>
              <w:ind/>
              <w:contextualSpacing w:val="1"/>
              <w:jc w:val="center"/>
              <w:rPr>
                <w:sz w:val="22"/>
              </w:rPr>
            </w:pPr>
            <w:r>
              <w:rPr>
                <w:sz w:val="22"/>
              </w:rPr>
              <w:t>не требуется</w:t>
            </w: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F11A0000">
            <w:pPr>
              <w:widowControl w:val="1"/>
              <w:ind/>
              <w:contextualSpacing w:val="1"/>
              <w:jc w:val="center"/>
              <w:rPr>
                <w:color w:val="000000"/>
                <w:sz w:val="22"/>
              </w:rPr>
            </w:pPr>
            <w:r>
              <w:rPr>
                <w:color w:val="000000"/>
                <w:sz w:val="22"/>
              </w:rPr>
              <w:t>81</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F21A0000">
            <w:pPr>
              <w:widowControl w:val="1"/>
              <w:ind/>
              <w:contextualSpacing w:val="1"/>
              <w:jc w:val="center"/>
              <w:rPr>
                <w:sz w:val="22"/>
              </w:rPr>
            </w:pPr>
            <w:r>
              <w:rPr>
                <w:sz w:val="22"/>
              </w:rPr>
              <w:t>ЗАО "Автоэкспресс"</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F31A0000">
            <w:pPr>
              <w:widowControl w:val="1"/>
              <w:ind/>
              <w:contextualSpacing w:val="1"/>
              <w:jc w:val="center"/>
              <w:rPr>
                <w:sz w:val="22"/>
              </w:rPr>
            </w:pPr>
            <w:r>
              <w:rPr>
                <w:sz w:val="22"/>
              </w:rPr>
              <w:t>Дополнительное соглашение № 1 к договору № 116/1 от 22.08.2016г. От 30.11.2018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F41A0000">
            <w:pPr>
              <w:widowControl w:val="1"/>
              <w:ind/>
              <w:contextualSpacing w:val="1"/>
              <w:jc w:val="center"/>
              <w:rPr>
                <w:sz w:val="22"/>
              </w:rPr>
            </w:pPr>
            <w:r>
              <w:rPr>
                <w:sz w:val="22"/>
              </w:rPr>
              <w:t>01.01.2019-31.12.2019</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F51A0000">
            <w:pPr>
              <w:widowControl w:val="1"/>
              <w:ind/>
              <w:contextualSpacing w:val="1"/>
              <w:jc w:val="center"/>
              <w:rPr>
                <w:sz w:val="22"/>
              </w:rPr>
            </w:pPr>
            <w:r>
              <w:rPr>
                <w:sz w:val="22"/>
              </w:rPr>
              <w:t>определение цены договора в связи с увеличением ставки НДС</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F61A0000">
            <w:pPr>
              <w:widowControl w:val="1"/>
              <w:ind/>
              <w:contextualSpacing w:val="1"/>
              <w:jc w:val="center"/>
              <w:rPr>
                <w:sz w:val="22"/>
              </w:rPr>
            </w:pPr>
            <w:r>
              <w:rPr>
                <w:sz w:val="22"/>
              </w:rPr>
              <w:t>180000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F71A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F81A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F91A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FA1A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FB1A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219"/>
            <w:tcBorders>
              <w:top w:color="000000" w:sz="4" w:val="single"/>
              <w:left w:color="000000" w:sz="4" w:val="single"/>
              <w:bottom w:color="000000" w:sz="4" w:val="single"/>
              <w:right w:color="000000" w:sz="4" w:val="single"/>
            </w:tcBorders>
            <w:shd w:fill="auto" w:val="clear"/>
            <w:vAlign w:val="center"/>
          </w:tcPr>
          <w:p w14:paraId="FC1A0000">
            <w:pPr>
              <w:widowControl w:val="1"/>
              <w:ind/>
              <w:contextualSpacing w:val="1"/>
              <w:jc w:val="center"/>
              <w:rPr>
                <w:sz w:val="22"/>
              </w:rPr>
            </w:pPr>
            <w:r>
              <w:rPr>
                <w:sz w:val="22"/>
              </w:rPr>
              <w:t>не требуется</w:t>
            </w: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FD1A0000">
            <w:pPr>
              <w:widowControl w:val="1"/>
              <w:ind/>
              <w:contextualSpacing w:val="1"/>
              <w:jc w:val="center"/>
              <w:rPr>
                <w:color w:val="000000"/>
                <w:sz w:val="22"/>
              </w:rPr>
            </w:pPr>
            <w:r>
              <w:rPr>
                <w:color w:val="000000"/>
                <w:sz w:val="22"/>
              </w:rPr>
              <w:t>82</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FE1A0000">
            <w:pPr>
              <w:widowControl w:val="1"/>
              <w:ind/>
              <w:contextualSpacing w:val="1"/>
              <w:jc w:val="center"/>
              <w:rPr>
                <w:sz w:val="22"/>
              </w:rPr>
            </w:pPr>
            <w:r>
              <w:rPr>
                <w:sz w:val="22"/>
              </w:rPr>
              <w:t>ОАО "РЖД" Красноярская дирекция материально-технического обеспечения</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FF1A0000">
            <w:pPr>
              <w:widowControl w:val="1"/>
              <w:ind/>
              <w:contextualSpacing w:val="1"/>
              <w:jc w:val="center"/>
              <w:rPr>
                <w:sz w:val="22"/>
              </w:rPr>
            </w:pPr>
            <w:r>
              <w:rPr>
                <w:sz w:val="22"/>
              </w:rPr>
              <w:t>договор № 3229815 от 28.12.2018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001B0000">
            <w:pPr>
              <w:widowControl w:val="1"/>
              <w:ind/>
              <w:contextualSpacing w:val="1"/>
              <w:jc w:val="center"/>
              <w:rPr>
                <w:sz w:val="22"/>
              </w:rPr>
            </w:pPr>
            <w:r>
              <w:rPr>
                <w:sz w:val="22"/>
              </w:rPr>
              <w:t>01.01.2019-28.02.2020</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011B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021B0000">
            <w:pPr>
              <w:widowControl w:val="1"/>
              <w:ind/>
              <w:contextualSpacing w:val="1"/>
              <w:jc w:val="center"/>
              <w:rPr>
                <w:sz w:val="22"/>
              </w:rPr>
            </w:pPr>
            <w:r>
              <w:rPr>
                <w:sz w:val="22"/>
              </w:rPr>
              <w:t>98000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031B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041B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051B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061B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071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081B0000">
            <w:pPr>
              <w:widowControl w:val="1"/>
              <w:ind/>
              <w:contextualSpacing w:val="1"/>
              <w:jc w:val="center"/>
              <w:rPr>
                <w:sz w:val="22"/>
              </w:rPr>
            </w:pPr>
            <w:r>
              <w:rPr>
                <w:sz w:val="22"/>
              </w:rPr>
              <w:t>не требуется</w:t>
            </w: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091B0000">
            <w:pPr>
              <w:widowControl w:val="1"/>
              <w:ind/>
              <w:contextualSpacing w:val="1"/>
              <w:jc w:val="center"/>
              <w:rPr>
                <w:color w:val="000000"/>
                <w:sz w:val="22"/>
              </w:rPr>
            </w:pPr>
            <w:r>
              <w:rPr>
                <w:color w:val="000000"/>
                <w:sz w:val="22"/>
              </w:rPr>
              <w:t>83</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0A1B0000">
            <w:pPr>
              <w:widowControl w:val="1"/>
              <w:ind/>
              <w:contextualSpacing w:val="1"/>
              <w:jc w:val="center"/>
              <w:rPr>
                <w:sz w:val="22"/>
              </w:rPr>
            </w:pPr>
            <w:r>
              <w:rPr>
                <w:sz w:val="22"/>
              </w:rPr>
              <w:t>ОАО "РЖД" Красноярская дирекция моторвагонного подвижного состава</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0B1B0000">
            <w:pPr>
              <w:widowControl w:val="1"/>
              <w:ind/>
              <w:contextualSpacing w:val="1"/>
              <w:jc w:val="center"/>
              <w:rPr>
                <w:sz w:val="22"/>
              </w:rPr>
            </w:pPr>
            <w:r>
              <w:rPr>
                <w:sz w:val="22"/>
              </w:rPr>
              <w:t>договор № 3210620 от 20.12.2018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0C1B0000">
            <w:pPr>
              <w:widowControl w:val="1"/>
              <w:ind/>
              <w:contextualSpacing w:val="1"/>
              <w:jc w:val="center"/>
              <w:rPr>
                <w:sz w:val="22"/>
              </w:rPr>
            </w:pPr>
            <w:r>
              <w:rPr>
                <w:sz w:val="22"/>
              </w:rPr>
              <w:t>01.01.2019-31.12.2019</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0D1B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0E1B0000">
            <w:pPr>
              <w:widowControl w:val="1"/>
              <w:ind/>
              <w:contextualSpacing w:val="1"/>
              <w:jc w:val="center"/>
              <w:rPr>
                <w:sz w:val="22"/>
              </w:rPr>
            </w:pPr>
            <w:r>
              <w:rPr>
                <w:sz w:val="22"/>
              </w:rPr>
              <w:t>135000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0F1B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101B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111B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121B0000">
            <w:pPr>
              <w:widowControl w:val="1"/>
              <w:ind/>
              <w:contextualSpacing w:val="1"/>
              <w:jc w:val="center"/>
              <w:rPr>
                <w:color w:val="000000"/>
                <w:sz w:val="22"/>
              </w:rPr>
            </w:pPr>
            <w:r>
              <w:rPr>
                <w:color w:val="000000"/>
                <w:sz w:val="22"/>
              </w:rPr>
              <w:t>выполняется</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131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141B0000">
            <w:pPr>
              <w:widowControl w:val="1"/>
              <w:ind/>
              <w:contextualSpacing w:val="1"/>
              <w:jc w:val="center"/>
              <w:rPr>
                <w:sz w:val="22"/>
              </w:rPr>
            </w:pPr>
            <w:r>
              <w:rPr>
                <w:sz w:val="22"/>
              </w:rPr>
              <w:t>не требуется</w:t>
            </w:r>
          </w:p>
        </w:tc>
      </w:tr>
      <w:tr>
        <w:trPr>
          <w:trHeight w:hRule="atLeast" w:val="1800"/>
        </w:trPr>
        <w:tc>
          <w:tcPr>
            <w:tcW w:type="dxa" w:w="865"/>
            <w:gridSpan w:val="2"/>
            <w:tcBorders>
              <w:top w:color="000000" w:sz="4" w:val="single"/>
              <w:left w:color="000000" w:sz="4" w:val="single"/>
              <w:bottom w:color="000000" w:sz="4" w:val="single"/>
              <w:right w:color="000000" w:sz="4" w:val="single"/>
            </w:tcBorders>
            <w:shd w:fill="auto" w:val="clear"/>
            <w:vAlign w:val="center"/>
          </w:tcPr>
          <w:p w14:paraId="151B0000">
            <w:pPr>
              <w:widowControl w:val="1"/>
              <w:ind/>
              <w:contextualSpacing w:val="1"/>
              <w:jc w:val="center"/>
              <w:rPr>
                <w:color w:val="000000"/>
                <w:sz w:val="22"/>
              </w:rPr>
            </w:pPr>
            <w:r>
              <w:rPr>
                <w:color w:val="000000"/>
                <w:sz w:val="22"/>
              </w:rPr>
              <w:t>84</w:t>
            </w:r>
          </w:p>
        </w:tc>
        <w:tc>
          <w:tcPr>
            <w:tcW w:type="dxa" w:w="1464"/>
            <w:gridSpan w:val="2"/>
            <w:tcBorders>
              <w:top w:color="000000" w:sz="4" w:val="single"/>
              <w:left w:color="000000" w:sz="4" w:val="single"/>
              <w:bottom w:color="000000" w:sz="4" w:val="single"/>
              <w:right w:color="000000" w:sz="4" w:val="single"/>
            </w:tcBorders>
            <w:shd w:fill="auto" w:val="clear"/>
            <w:vAlign w:val="center"/>
          </w:tcPr>
          <w:p w14:paraId="161B0000">
            <w:pPr>
              <w:widowControl w:val="1"/>
              <w:ind/>
              <w:contextualSpacing w:val="1"/>
              <w:jc w:val="center"/>
              <w:rPr>
                <w:sz w:val="22"/>
              </w:rPr>
            </w:pPr>
            <w:r>
              <w:rPr>
                <w:sz w:val="22"/>
              </w:rPr>
              <w:t>ОАО "РЖД" Красноярская дирекция моторвагонного подвижного состава</w:t>
            </w:r>
          </w:p>
        </w:tc>
        <w:tc>
          <w:tcPr>
            <w:tcW w:type="dxa" w:w="1933"/>
            <w:gridSpan w:val="2"/>
            <w:tcBorders>
              <w:top w:color="000000" w:sz="4" w:val="single"/>
              <w:left w:color="000000" w:sz="4" w:val="single"/>
              <w:bottom w:color="000000" w:sz="4" w:val="single"/>
              <w:right w:color="000000" w:sz="4" w:val="single"/>
            </w:tcBorders>
            <w:shd w:fill="auto" w:val="clear"/>
            <w:vAlign w:val="center"/>
          </w:tcPr>
          <w:p w14:paraId="171B0000">
            <w:pPr>
              <w:widowControl w:val="1"/>
              <w:ind/>
              <w:contextualSpacing w:val="1"/>
              <w:jc w:val="center"/>
              <w:rPr>
                <w:sz w:val="22"/>
              </w:rPr>
            </w:pPr>
            <w:r>
              <w:rPr>
                <w:sz w:val="22"/>
              </w:rPr>
              <w:t>дополнительное соглашение № 1 к договору № 2706744 от 28.12.2017 от 26.12.2018</w:t>
            </w:r>
          </w:p>
        </w:tc>
        <w:tc>
          <w:tcPr>
            <w:tcW w:type="dxa" w:w="1040"/>
            <w:gridSpan w:val="2"/>
            <w:tcBorders>
              <w:top w:color="000000" w:sz="4" w:val="single"/>
              <w:left w:color="000000" w:sz="4" w:val="single"/>
              <w:bottom w:color="000000" w:sz="4" w:val="single"/>
              <w:right w:color="000000" w:sz="4" w:val="single"/>
            </w:tcBorders>
            <w:shd w:fill="auto" w:val="clear"/>
            <w:vAlign w:val="center"/>
          </w:tcPr>
          <w:p w14:paraId="181B0000">
            <w:pPr>
              <w:widowControl w:val="1"/>
              <w:ind/>
              <w:contextualSpacing w:val="1"/>
              <w:jc w:val="center"/>
              <w:rPr>
                <w:sz w:val="22"/>
              </w:rPr>
            </w:pPr>
            <w:r>
              <w:rPr>
                <w:sz w:val="22"/>
              </w:rPr>
              <w:t>01.01.2018-31.12.2018</w:t>
            </w:r>
          </w:p>
        </w:tc>
        <w:tc>
          <w:tcPr>
            <w:tcW w:type="dxa" w:w="1497"/>
            <w:gridSpan w:val="2"/>
            <w:tcBorders>
              <w:top w:color="000000" w:sz="4" w:val="single"/>
              <w:left w:color="000000" w:sz="4" w:val="single"/>
              <w:bottom w:color="000000" w:sz="4" w:val="single"/>
              <w:right w:color="000000" w:sz="4" w:val="single"/>
            </w:tcBorders>
            <w:shd w:fill="auto" w:val="clear"/>
            <w:vAlign w:val="center"/>
          </w:tcPr>
          <w:p w14:paraId="191B0000">
            <w:pPr>
              <w:widowControl w:val="1"/>
              <w:ind/>
              <w:contextualSpacing w:val="1"/>
              <w:jc w:val="center"/>
              <w:rPr>
                <w:sz w:val="22"/>
              </w:rPr>
            </w:pPr>
            <w:r>
              <w:rPr>
                <w:sz w:val="22"/>
              </w:rPr>
              <w:t>увеличение предельной цены договора на перевозку работников и иных лиц по транспортным требованиям ОАО "РЖД"</w:t>
            </w:r>
          </w:p>
        </w:tc>
        <w:tc>
          <w:tcPr>
            <w:tcW w:type="dxa" w:w="1185"/>
            <w:gridSpan w:val="2"/>
            <w:tcBorders>
              <w:top w:color="000000" w:sz="4" w:val="single"/>
              <w:left w:color="000000" w:sz="4" w:val="single"/>
              <w:bottom w:color="000000" w:sz="4" w:val="single"/>
              <w:right w:color="000000" w:sz="4" w:val="single"/>
            </w:tcBorders>
            <w:shd w:fill="auto" w:val="clear"/>
            <w:vAlign w:val="center"/>
          </w:tcPr>
          <w:p w14:paraId="1A1B0000">
            <w:pPr>
              <w:widowControl w:val="1"/>
              <w:ind/>
              <w:contextualSpacing w:val="1"/>
              <w:jc w:val="center"/>
              <w:rPr>
                <w:sz w:val="22"/>
              </w:rPr>
            </w:pPr>
            <w:r>
              <w:rPr>
                <w:sz w:val="22"/>
              </w:rPr>
              <w:t>182000</w:t>
            </w:r>
          </w:p>
        </w:tc>
        <w:tc>
          <w:tcPr>
            <w:tcW w:type="dxa" w:w="1185"/>
            <w:gridSpan w:val="2"/>
            <w:tcBorders>
              <w:top w:color="000000" w:sz="4" w:val="single"/>
              <w:left w:color="000000" w:sz="4" w:val="single"/>
              <w:bottom w:color="000000" w:sz="4" w:val="single"/>
              <w:right w:color="000000" w:sz="4" w:val="single"/>
            </w:tcBorders>
            <w:shd w:fill="FFFFFF" w:val="clear"/>
            <w:vAlign w:val="center"/>
          </w:tcPr>
          <w:p w14:paraId="1B1B0000">
            <w:pPr>
              <w:widowControl w:val="1"/>
              <w:ind/>
              <w:contextualSpacing w:val="1"/>
              <w:jc w:val="center"/>
              <w:rPr>
                <w:color w:val="000000"/>
                <w:sz w:val="22"/>
              </w:rPr>
            </w:pPr>
            <w:r>
              <w:rPr>
                <w:color w:val="000000"/>
                <w:sz w:val="22"/>
              </w:rPr>
              <w:t>Отсутствует</w:t>
            </w:r>
          </w:p>
        </w:tc>
        <w:tc>
          <w:tcPr>
            <w:tcW w:type="dxa" w:w="1092"/>
            <w:gridSpan w:val="2"/>
            <w:tcBorders>
              <w:top w:color="000000" w:sz="4" w:val="single"/>
              <w:left w:color="000000" w:sz="4" w:val="single"/>
              <w:bottom w:color="000000" w:sz="4" w:val="single"/>
              <w:right w:color="000000" w:sz="4" w:val="single"/>
            </w:tcBorders>
            <w:shd w:fill="FFFFFF" w:val="clear"/>
            <w:vAlign w:val="center"/>
          </w:tcPr>
          <w:p w14:paraId="1C1B0000">
            <w:pPr>
              <w:widowControl w:val="1"/>
              <w:ind/>
              <w:contextualSpacing w:val="1"/>
              <w:jc w:val="center"/>
              <w:rPr>
                <w:color w:val="000000"/>
                <w:sz w:val="22"/>
              </w:rPr>
            </w:pPr>
            <w:r>
              <w:rPr>
                <w:color w:val="000000"/>
                <w:sz w:val="22"/>
              </w:rPr>
              <w:t>Отсутствует</w:t>
            </w:r>
          </w:p>
        </w:tc>
        <w:tc>
          <w:tcPr>
            <w:tcW w:type="dxa" w:w="1010"/>
            <w:gridSpan w:val="2"/>
            <w:tcBorders>
              <w:top w:color="000000" w:sz="4" w:val="single"/>
              <w:left w:color="000000" w:sz="4" w:val="single"/>
              <w:bottom w:color="000000" w:sz="4" w:val="single"/>
              <w:right w:color="000000" w:sz="4" w:val="single"/>
            </w:tcBorders>
            <w:shd w:fill="FFFFFF" w:val="clear"/>
            <w:vAlign w:val="center"/>
          </w:tcPr>
          <w:p w14:paraId="1D1B0000">
            <w:pPr>
              <w:widowControl w:val="1"/>
              <w:ind/>
              <w:contextualSpacing w:val="1"/>
              <w:jc w:val="center"/>
              <w:rPr>
                <w:color w:val="000000"/>
                <w:sz w:val="22"/>
              </w:rPr>
            </w:pPr>
            <w:r>
              <w:rPr>
                <w:color w:val="000000"/>
                <w:sz w:val="22"/>
              </w:rPr>
              <w:t>Отсутствует</w:t>
            </w:r>
          </w:p>
        </w:tc>
        <w:tc>
          <w:tcPr>
            <w:tcW w:type="dxa" w:w="1023"/>
            <w:gridSpan w:val="2"/>
            <w:tcBorders>
              <w:top w:color="000000" w:sz="4" w:val="single"/>
              <w:left w:color="000000" w:sz="4" w:val="single"/>
              <w:bottom w:color="000000" w:sz="4" w:val="single"/>
              <w:right w:color="000000" w:sz="4" w:val="single"/>
            </w:tcBorders>
            <w:shd w:fill="FFFFFF" w:val="clear"/>
            <w:vAlign w:val="center"/>
          </w:tcPr>
          <w:p w14:paraId="1E1B0000">
            <w:pPr>
              <w:widowControl w:val="1"/>
              <w:ind/>
              <w:contextualSpacing w:val="1"/>
              <w:jc w:val="center"/>
              <w:rPr>
                <w:color w:val="000000"/>
                <w:sz w:val="22"/>
              </w:rPr>
            </w:pPr>
            <w:r>
              <w:rPr>
                <w:color w:val="000000"/>
                <w:sz w:val="22"/>
              </w:rPr>
              <w:t>выполнено</w:t>
            </w:r>
          </w:p>
        </w:tc>
        <w:tc>
          <w:tcPr>
            <w:tcW w:type="dxa" w:w="1275"/>
            <w:gridSpan w:val="2"/>
            <w:tcBorders>
              <w:top w:color="000000" w:sz="4" w:val="single"/>
              <w:left w:color="000000" w:sz="4" w:val="single"/>
              <w:bottom w:color="000000" w:sz="4" w:val="single"/>
              <w:right w:color="000000" w:sz="4" w:val="single"/>
            </w:tcBorders>
            <w:shd w:fill="FFFFFF" w:val="clear"/>
            <w:vAlign w:val="center"/>
          </w:tcPr>
          <w:p w14:paraId="1F1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219"/>
            <w:tcBorders>
              <w:top w:color="000000" w:sz="4" w:val="single"/>
              <w:left w:color="000000" w:sz="4" w:val="single"/>
              <w:bottom w:color="000000" w:sz="4" w:val="single"/>
              <w:right w:color="000000" w:sz="4" w:val="single"/>
            </w:tcBorders>
            <w:shd w:fill="auto" w:val="clear"/>
            <w:vAlign w:val="center"/>
          </w:tcPr>
          <w:p w14:paraId="201B0000">
            <w:pPr>
              <w:widowControl w:val="1"/>
              <w:ind/>
              <w:contextualSpacing w:val="1"/>
              <w:jc w:val="center"/>
              <w:rPr>
                <w:sz w:val="22"/>
              </w:rPr>
            </w:pPr>
            <w:r>
              <w:rPr>
                <w:sz w:val="22"/>
              </w:rPr>
              <w:t>не требуется</w:t>
            </w:r>
          </w:p>
        </w:tc>
      </w:tr>
      <w:tr>
        <w:trPr>
          <w:trHeight w:hRule="atLeast" w:val="695"/>
        </w:trPr>
        <w:tc>
          <w:tcPr>
            <w:tcW w:type="dxa" w:w="14788"/>
            <w:gridSpan w:val="23"/>
            <w:tcBorders>
              <w:top w:color="000000" w:sz="4" w:val="single"/>
              <w:left w:color="000000" w:sz="4" w:val="single"/>
              <w:bottom w:color="000000" w:sz="4" w:val="single"/>
              <w:right w:color="000000" w:sz="4" w:val="single"/>
            </w:tcBorders>
            <w:shd w:fill="auto" w:val="clear"/>
            <w:vAlign w:val="center"/>
          </w:tcPr>
          <w:p w14:paraId="211B0000">
            <w:pPr>
              <w:widowControl w:val="1"/>
              <w:ind/>
              <w:contextualSpacing w:val="1"/>
              <w:jc w:val="center"/>
              <w:rPr>
                <w:color w:val="000000"/>
                <w:sz w:val="22"/>
              </w:rPr>
            </w:pPr>
            <w:r>
              <w:rPr>
                <w:color w:val="000000"/>
                <w:sz w:val="22"/>
              </w:rPr>
              <w:t>Итого по контрагенту ОАО "РЖД" Красноярская дирекция моторвагонного подвижного состава 317000 руб.</w:t>
            </w:r>
          </w:p>
          <w:p w14:paraId="221B0000">
            <w:pPr>
              <w:widowControl w:val="1"/>
              <w:ind/>
              <w:contextualSpacing w:val="1"/>
              <w:jc w:val="center"/>
              <w:rPr>
                <w:sz w:val="22"/>
              </w:rPr>
            </w:pPr>
          </w:p>
        </w:tc>
      </w:tr>
      <w:tr>
        <w:trPr>
          <w:trHeight w:hRule="atLeast" w:val="1800"/>
        </w:trPr>
        <w:tc>
          <w:tcPr>
            <w:tcW w:type="dxa" w:w="540"/>
            <w:tcBorders>
              <w:top w:color="000000" w:sz="4" w:val="single"/>
              <w:left w:color="000000" w:sz="4" w:val="single"/>
              <w:bottom w:color="000000" w:sz="4" w:val="single"/>
              <w:right w:color="000000" w:sz="4" w:val="single"/>
            </w:tcBorders>
            <w:shd w:fill="auto" w:val="clear"/>
            <w:vAlign w:val="center"/>
          </w:tcPr>
          <w:p w14:paraId="231B0000">
            <w:pPr>
              <w:widowControl w:val="1"/>
              <w:ind/>
              <w:contextualSpacing w:val="1"/>
              <w:jc w:val="center"/>
              <w:rPr>
                <w:color w:val="000000"/>
                <w:sz w:val="22"/>
              </w:rPr>
            </w:pPr>
            <w:r>
              <w:rPr>
                <w:color w:val="000000"/>
                <w:sz w:val="22"/>
              </w:rPr>
              <w:t>85</w:t>
            </w:r>
          </w:p>
        </w:tc>
        <w:tc>
          <w:tcPr>
            <w:tcW w:type="dxa" w:w="1353"/>
            <w:gridSpan w:val="2"/>
            <w:tcBorders>
              <w:top w:color="000000" w:sz="4" w:val="single"/>
              <w:left w:color="000000" w:sz="4" w:val="single"/>
              <w:bottom w:color="000000" w:sz="4" w:val="single"/>
              <w:right w:color="000000" w:sz="4" w:val="single"/>
            </w:tcBorders>
            <w:shd w:fill="auto" w:val="clear"/>
            <w:vAlign w:val="center"/>
          </w:tcPr>
          <w:p w14:paraId="241B0000">
            <w:pPr>
              <w:widowControl w:val="1"/>
              <w:ind/>
              <w:contextualSpacing w:val="1"/>
              <w:jc w:val="center"/>
              <w:rPr>
                <w:sz w:val="22"/>
              </w:rPr>
            </w:pPr>
            <w:r>
              <w:rPr>
                <w:sz w:val="22"/>
              </w:rPr>
              <w:t>ОАО "РЖД" Красноярская дирекция по тепловодоснабжению</w:t>
            </w:r>
          </w:p>
        </w:tc>
        <w:tc>
          <w:tcPr>
            <w:tcW w:type="dxa" w:w="1413"/>
            <w:gridSpan w:val="2"/>
            <w:tcBorders>
              <w:top w:color="000000" w:sz="4" w:val="single"/>
              <w:left w:color="000000" w:sz="4" w:val="single"/>
              <w:bottom w:color="000000" w:sz="4" w:val="single"/>
              <w:right w:color="000000" w:sz="4" w:val="single"/>
            </w:tcBorders>
            <w:shd w:fill="auto" w:val="clear"/>
            <w:vAlign w:val="center"/>
          </w:tcPr>
          <w:p w14:paraId="251B0000">
            <w:pPr>
              <w:widowControl w:val="1"/>
              <w:ind/>
              <w:contextualSpacing w:val="1"/>
              <w:jc w:val="center"/>
              <w:rPr>
                <w:sz w:val="22"/>
              </w:rPr>
            </w:pPr>
            <w:r>
              <w:rPr>
                <w:sz w:val="22"/>
              </w:rPr>
              <w:t>договор № 3201261 от 17.12.2018</w:t>
            </w:r>
          </w:p>
        </w:tc>
        <w:tc>
          <w:tcPr>
            <w:tcW w:type="dxa" w:w="1403"/>
            <w:gridSpan w:val="2"/>
            <w:tcBorders>
              <w:top w:color="000000" w:sz="4" w:val="single"/>
              <w:left w:color="000000" w:sz="4" w:val="single"/>
              <w:bottom w:color="000000" w:sz="4" w:val="single"/>
              <w:right w:color="000000" w:sz="4" w:val="single"/>
            </w:tcBorders>
            <w:shd w:fill="auto" w:val="clear"/>
            <w:vAlign w:val="center"/>
          </w:tcPr>
          <w:p w14:paraId="261B0000">
            <w:pPr>
              <w:widowControl w:val="1"/>
              <w:ind/>
              <w:contextualSpacing w:val="1"/>
              <w:jc w:val="center"/>
              <w:rPr>
                <w:sz w:val="22"/>
              </w:rPr>
            </w:pPr>
            <w:r>
              <w:rPr>
                <w:sz w:val="22"/>
              </w:rPr>
              <w:t>01.01.2019-31.12.2019</w:t>
            </w:r>
          </w:p>
        </w:tc>
        <w:tc>
          <w:tcPr>
            <w:tcW w:type="dxa" w:w="1478"/>
            <w:gridSpan w:val="2"/>
            <w:tcBorders>
              <w:top w:color="000000" w:sz="4" w:val="single"/>
              <w:left w:color="000000" w:sz="4" w:val="single"/>
              <w:bottom w:color="000000" w:sz="4" w:val="single"/>
              <w:right w:color="000000" w:sz="4" w:val="single"/>
            </w:tcBorders>
            <w:shd w:fill="auto" w:val="clear"/>
            <w:vAlign w:val="center"/>
          </w:tcPr>
          <w:p w14:paraId="271B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045"/>
            <w:gridSpan w:val="2"/>
            <w:tcBorders>
              <w:top w:color="000000" w:sz="4" w:val="single"/>
              <w:left w:color="000000" w:sz="4" w:val="single"/>
              <w:bottom w:color="000000" w:sz="4" w:val="single"/>
              <w:right w:color="000000" w:sz="4" w:val="single"/>
            </w:tcBorders>
            <w:shd w:fill="auto" w:val="clear"/>
            <w:vAlign w:val="center"/>
          </w:tcPr>
          <w:p w14:paraId="281B0000">
            <w:pPr>
              <w:widowControl w:val="1"/>
              <w:ind/>
              <w:contextualSpacing w:val="1"/>
              <w:jc w:val="center"/>
              <w:rPr>
                <w:sz w:val="22"/>
              </w:rPr>
            </w:pPr>
            <w:r>
              <w:rPr>
                <w:sz w:val="22"/>
              </w:rPr>
              <w:t>602000</w:t>
            </w:r>
          </w:p>
        </w:tc>
        <w:tc>
          <w:tcPr>
            <w:tcW w:type="dxa" w:w="1209"/>
            <w:gridSpan w:val="2"/>
            <w:tcBorders>
              <w:top w:color="000000" w:sz="4" w:val="single"/>
              <w:left w:color="000000" w:sz="4" w:val="single"/>
              <w:bottom w:color="000000" w:sz="4" w:val="single"/>
              <w:right w:color="000000" w:sz="4" w:val="single"/>
            </w:tcBorders>
            <w:shd w:fill="FFFFFF" w:val="clear"/>
            <w:vAlign w:val="center"/>
          </w:tcPr>
          <w:p w14:paraId="291B0000">
            <w:pPr>
              <w:widowControl w:val="1"/>
              <w:ind/>
              <w:contextualSpacing w:val="1"/>
              <w:jc w:val="center"/>
              <w:rPr>
                <w:color w:val="000000"/>
                <w:sz w:val="22"/>
              </w:rPr>
            </w:pPr>
            <w:r>
              <w:rPr>
                <w:color w:val="000000"/>
                <w:sz w:val="22"/>
              </w:rPr>
              <w:t>Отсутствует</w:t>
            </w:r>
          </w:p>
        </w:tc>
        <w:tc>
          <w:tcPr>
            <w:tcW w:type="dxa" w:w="1127"/>
            <w:gridSpan w:val="2"/>
            <w:tcBorders>
              <w:top w:color="000000" w:sz="4" w:val="single"/>
              <w:left w:color="000000" w:sz="4" w:val="single"/>
              <w:bottom w:color="000000" w:sz="4" w:val="single"/>
              <w:right w:color="000000" w:sz="4" w:val="single"/>
            </w:tcBorders>
            <w:shd w:fill="FFFFFF" w:val="clear"/>
            <w:vAlign w:val="center"/>
          </w:tcPr>
          <w:p w14:paraId="2A1B0000">
            <w:pPr>
              <w:widowControl w:val="1"/>
              <w:ind/>
              <w:contextualSpacing w:val="1"/>
              <w:jc w:val="center"/>
              <w:rPr>
                <w:color w:val="000000"/>
                <w:sz w:val="22"/>
              </w:rPr>
            </w:pPr>
            <w:r>
              <w:rPr>
                <w:color w:val="000000"/>
                <w:sz w:val="22"/>
              </w:rPr>
              <w:t>Отсутствует</w:t>
            </w:r>
          </w:p>
        </w:tc>
        <w:tc>
          <w:tcPr>
            <w:tcW w:type="dxa" w:w="1113"/>
            <w:gridSpan w:val="2"/>
            <w:tcBorders>
              <w:top w:color="000000" w:sz="4" w:val="single"/>
              <w:left w:color="000000" w:sz="4" w:val="single"/>
              <w:bottom w:color="000000" w:sz="4" w:val="single"/>
              <w:right w:color="000000" w:sz="4" w:val="single"/>
            </w:tcBorders>
            <w:shd w:fill="FFFFFF" w:val="clear"/>
            <w:vAlign w:val="center"/>
          </w:tcPr>
          <w:p w14:paraId="2B1B0000">
            <w:pPr>
              <w:widowControl w:val="1"/>
              <w:ind/>
              <w:contextualSpacing w:val="1"/>
              <w:jc w:val="center"/>
              <w:rPr>
                <w:color w:val="000000"/>
                <w:sz w:val="22"/>
              </w:rPr>
            </w:pPr>
            <w:r>
              <w:rPr>
                <w:color w:val="000000"/>
                <w:sz w:val="22"/>
              </w:rPr>
              <w:t>Отсутствует</w:t>
            </w:r>
          </w:p>
        </w:tc>
        <w:tc>
          <w:tcPr>
            <w:tcW w:type="dxa" w:w="1111"/>
            <w:gridSpan w:val="2"/>
            <w:tcBorders>
              <w:top w:color="000000" w:sz="4" w:val="single"/>
              <w:left w:color="000000" w:sz="4" w:val="single"/>
              <w:bottom w:color="000000" w:sz="4" w:val="single"/>
              <w:right w:color="000000" w:sz="4" w:val="single"/>
            </w:tcBorders>
            <w:shd w:fill="FFFFFF" w:val="clear"/>
            <w:vAlign w:val="center"/>
          </w:tcPr>
          <w:p w14:paraId="2C1B0000">
            <w:pPr>
              <w:widowControl w:val="1"/>
              <w:ind/>
              <w:contextualSpacing w:val="1"/>
              <w:jc w:val="center"/>
              <w:rPr>
                <w:color w:val="000000"/>
                <w:sz w:val="22"/>
              </w:rPr>
            </w:pPr>
            <w:r>
              <w:rPr>
                <w:color w:val="000000"/>
                <w:sz w:val="22"/>
              </w:rPr>
              <w:t>выполняется</w:t>
            </w:r>
          </w:p>
        </w:tc>
        <w:tc>
          <w:tcPr>
            <w:tcW w:type="dxa" w:w="1287"/>
            <w:gridSpan w:val="2"/>
            <w:tcBorders>
              <w:top w:color="000000" w:sz="4" w:val="single"/>
              <w:left w:color="000000" w:sz="4" w:val="single"/>
              <w:bottom w:color="000000" w:sz="4" w:val="single"/>
              <w:right w:color="000000" w:sz="4" w:val="single"/>
            </w:tcBorders>
            <w:shd w:fill="FFFFFF" w:val="clear"/>
            <w:vAlign w:val="center"/>
          </w:tcPr>
          <w:p w14:paraId="2D1B0000">
            <w:pPr>
              <w:widowControl w:val="1"/>
              <w:ind/>
              <w:contextualSpacing w:val="1"/>
              <w:jc w:val="center"/>
              <w:rPr>
                <w:sz w:val="22"/>
              </w:rPr>
            </w:pPr>
            <w:r>
              <w:rPr>
                <w:sz w:val="22"/>
              </w:rPr>
              <w:t>извещение о сделке направлено 15.11.2018г, требование об одобрении сделки не поступило</w:t>
            </w:r>
          </w:p>
        </w:tc>
        <w:tc>
          <w:tcPr>
            <w:tcW w:type="dxa" w:w="1709"/>
            <w:gridSpan w:val="2"/>
            <w:tcBorders>
              <w:top w:color="000000" w:sz="4" w:val="single"/>
              <w:left w:color="000000" w:sz="4" w:val="single"/>
              <w:bottom w:color="000000" w:sz="4" w:val="single"/>
              <w:right w:color="000000" w:sz="4" w:val="single"/>
            </w:tcBorders>
            <w:shd w:fill="auto" w:val="clear"/>
            <w:vAlign w:val="center"/>
          </w:tcPr>
          <w:p w14:paraId="2E1B0000">
            <w:pPr>
              <w:widowControl w:val="1"/>
              <w:ind/>
              <w:contextualSpacing w:val="1"/>
              <w:jc w:val="center"/>
              <w:rPr>
                <w:sz w:val="22"/>
              </w:rPr>
            </w:pPr>
            <w:r>
              <w:rPr>
                <w:sz w:val="22"/>
              </w:rPr>
              <w:t>не требуется</w:t>
            </w:r>
          </w:p>
        </w:tc>
      </w:tr>
      <w:tr>
        <w:trPr>
          <w:trHeight w:hRule="atLeast" w:val="1800"/>
        </w:trPr>
        <w:tc>
          <w:tcPr>
            <w:tcW w:type="dxa" w:w="540"/>
            <w:tcBorders>
              <w:top w:color="000000" w:sz="4" w:val="single"/>
              <w:left w:color="000000" w:sz="4" w:val="single"/>
              <w:bottom w:color="000000" w:sz="4" w:val="single"/>
              <w:right w:color="000000" w:sz="4" w:val="single"/>
            </w:tcBorders>
            <w:shd w:fill="auto" w:val="clear"/>
            <w:vAlign w:val="center"/>
          </w:tcPr>
          <w:p w14:paraId="2F1B0000">
            <w:pPr>
              <w:widowControl w:val="1"/>
              <w:spacing w:line="360" w:lineRule="auto"/>
              <w:ind/>
              <w:contextualSpacing w:val="1"/>
              <w:jc w:val="center"/>
              <w:rPr>
                <w:color w:val="000000"/>
                <w:sz w:val="22"/>
              </w:rPr>
            </w:pPr>
            <w:r>
              <w:rPr>
                <w:color w:val="000000"/>
                <w:sz w:val="22"/>
              </w:rPr>
              <w:t>86</w:t>
            </w:r>
          </w:p>
        </w:tc>
        <w:tc>
          <w:tcPr>
            <w:tcW w:type="dxa" w:w="1353"/>
            <w:gridSpan w:val="2"/>
            <w:tcBorders>
              <w:top w:color="000000" w:sz="4" w:val="single"/>
              <w:left w:color="000000" w:sz="4" w:val="single"/>
              <w:bottom w:color="000000" w:sz="4" w:val="single"/>
              <w:right w:color="000000" w:sz="4" w:val="single"/>
            </w:tcBorders>
            <w:shd w:fill="auto" w:val="clear"/>
            <w:vAlign w:val="center"/>
          </w:tcPr>
          <w:p w14:paraId="301B0000">
            <w:pPr>
              <w:widowControl w:val="1"/>
              <w:spacing w:line="360" w:lineRule="auto"/>
              <w:ind/>
              <w:contextualSpacing w:val="1"/>
              <w:jc w:val="center"/>
              <w:rPr>
                <w:sz w:val="22"/>
              </w:rPr>
            </w:pPr>
            <w:r>
              <w:rPr>
                <w:sz w:val="22"/>
              </w:rPr>
              <w:t>ФКУ "Объединенное стратегическое командование Центрального военного округа"</w:t>
            </w:r>
          </w:p>
        </w:tc>
        <w:tc>
          <w:tcPr>
            <w:tcW w:type="dxa" w:w="1413"/>
            <w:gridSpan w:val="2"/>
            <w:tcBorders>
              <w:top w:color="000000" w:sz="4" w:val="single"/>
              <w:left w:color="000000" w:sz="4" w:val="single"/>
              <w:bottom w:color="000000" w:sz="4" w:val="single"/>
              <w:right w:color="000000" w:sz="4" w:val="single"/>
            </w:tcBorders>
            <w:shd w:fill="auto" w:val="clear"/>
            <w:vAlign w:val="center"/>
          </w:tcPr>
          <w:p w14:paraId="311B0000">
            <w:pPr>
              <w:widowControl w:val="1"/>
              <w:spacing w:line="360" w:lineRule="auto"/>
              <w:ind/>
              <w:contextualSpacing w:val="1"/>
              <w:jc w:val="center"/>
              <w:rPr>
                <w:sz w:val="22"/>
              </w:rPr>
            </w:pPr>
            <w:r>
              <w:rPr>
                <w:sz w:val="22"/>
              </w:rPr>
              <w:t>соглашение № 5/ВОСО от 26.10.2018</w:t>
            </w:r>
          </w:p>
        </w:tc>
        <w:tc>
          <w:tcPr>
            <w:tcW w:type="dxa" w:w="1403"/>
            <w:gridSpan w:val="2"/>
            <w:tcBorders>
              <w:top w:color="000000" w:sz="4" w:val="single"/>
              <w:left w:color="000000" w:sz="4" w:val="single"/>
              <w:bottom w:color="000000" w:sz="4" w:val="single"/>
              <w:right w:color="000000" w:sz="4" w:val="single"/>
            </w:tcBorders>
            <w:shd w:fill="auto" w:val="clear"/>
            <w:vAlign w:val="center"/>
          </w:tcPr>
          <w:p w14:paraId="321B0000">
            <w:pPr>
              <w:widowControl w:val="1"/>
              <w:spacing w:line="360" w:lineRule="auto"/>
              <w:ind/>
              <w:contextualSpacing w:val="1"/>
              <w:jc w:val="center"/>
              <w:rPr>
                <w:sz w:val="22"/>
              </w:rPr>
            </w:pPr>
            <w:r>
              <w:rPr>
                <w:sz w:val="22"/>
              </w:rPr>
              <w:t>26.10.2018-20.02.2020</w:t>
            </w:r>
          </w:p>
        </w:tc>
        <w:tc>
          <w:tcPr>
            <w:tcW w:type="dxa" w:w="1478"/>
            <w:gridSpan w:val="2"/>
            <w:tcBorders>
              <w:top w:color="000000" w:sz="4" w:val="single"/>
              <w:left w:color="000000" w:sz="4" w:val="single"/>
              <w:bottom w:color="000000" w:sz="4" w:val="single"/>
              <w:right w:color="000000" w:sz="4" w:val="single"/>
            </w:tcBorders>
            <w:shd w:fill="auto" w:val="clear"/>
            <w:vAlign w:val="center"/>
          </w:tcPr>
          <w:p w14:paraId="331B0000">
            <w:pPr>
              <w:widowControl w:val="1"/>
              <w:spacing w:line="360" w:lineRule="auto"/>
              <w:ind/>
              <w:contextualSpacing w:val="1"/>
              <w:jc w:val="center"/>
              <w:rPr>
                <w:sz w:val="22"/>
              </w:rPr>
            </w:pPr>
            <w:r>
              <w:rPr>
                <w:sz w:val="22"/>
              </w:rPr>
              <w:t>определение порядка оформления и осуществления воинских железнодорожных перевозок пассажиров в пригородном сообщении</w:t>
            </w:r>
          </w:p>
        </w:tc>
        <w:tc>
          <w:tcPr>
            <w:tcW w:type="dxa" w:w="1045"/>
            <w:gridSpan w:val="2"/>
            <w:tcBorders>
              <w:top w:color="000000" w:sz="4" w:val="single"/>
              <w:left w:color="000000" w:sz="4" w:val="single"/>
              <w:bottom w:color="000000" w:sz="4" w:val="single"/>
              <w:right w:color="000000" w:sz="4" w:val="single"/>
            </w:tcBorders>
            <w:shd w:fill="auto" w:val="clear"/>
            <w:vAlign w:val="center"/>
          </w:tcPr>
          <w:p w14:paraId="341B0000">
            <w:pPr>
              <w:widowControl w:val="1"/>
              <w:spacing w:line="360" w:lineRule="auto"/>
              <w:ind/>
              <w:contextualSpacing w:val="1"/>
              <w:jc w:val="center"/>
              <w:rPr>
                <w:sz w:val="22"/>
              </w:rPr>
            </w:pPr>
            <w:r>
              <w:rPr>
                <w:sz w:val="22"/>
              </w:rPr>
              <w:t>191368,76</w:t>
            </w:r>
          </w:p>
        </w:tc>
        <w:tc>
          <w:tcPr>
            <w:tcW w:type="dxa" w:w="1209"/>
            <w:gridSpan w:val="2"/>
            <w:tcBorders>
              <w:top w:color="000000" w:sz="4" w:val="single"/>
              <w:left w:color="000000" w:sz="4" w:val="single"/>
              <w:bottom w:color="000000" w:sz="4" w:val="single"/>
              <w:right w:color="000000" w:sz="4" w:val="single"/>
            </w:tcBorders>
            <w:shd w:fill="FFFFFF" w:val="clear"/>
            <w:vAlign w:val="center"/>
          </w:tcPr>
          <w:p w14:paraId="351B0000">
            <w:pPr>
              <w:widowControl w:val="1"/>
              <w:spacing w:line="360" w:lineRule="auto"/>
              <w:ind/>
              <w:contextualSpacing w:val="1"/>
              <w:jc w:val="center"/>
              <w:rPr>
                <w:color w:val="000000"/>
                <w:sz w:val="22"/>
              </w:rPr>
            </w:pPr>
            <w:r>
              <w:rPr>
                <w:color w:val="000000"/>
                <w:sz w:val="22"/>
              </w:rPr>
              <w:t>Отсутствует</w:t>
            </w:r>
          </w:p>
        </w:tc>
        <w:tc>
          <w:tcPr>
            <w:tcW w:type="dxa" w:w="1127"/>
            <w:gridSpan w:val="2"/>
            <w:tcBorders>
              <w:top w:color="000000" w:sz="4" w:val="single"/>
              <w:left w:color="000000" w:sz="4" w:val="single"/>
              <w:bottom w:color="000000" w:sz="4" w:val="single"/>
              <w:right w:color="000000" w:sz="4" w:val="single"/>
            </w:tcBorders>
            <w:shd w:fill="FFFFFF" w:val="clear"/>
            <w:vAlign w:val="center"/>
          </w:tcPr>
          <w:p w14:paraId="361B0000">
            <w:pPr>
              <w:widowControl w:val="1"/>
              <w:spacing w:line="360" w:lineRule="auto"/>
              <w:ind/>
              <w:contextualSpacing w:val="1"/>
              <w:jc w:val="center"/>
              <w:rPr>
                <w:color w:val="000000"/>
                <w:sz w:val="22"/>
              </w:rPr>
            </w:pPr>
            <w:r>
              <w:rPr>
                <w:color w:val="000000"/>
                <w:sz w:val="22"/>
              </w:rPr>
              <w:t>Отсутствует</w:t>
            </w:r>
          </w:p>
        </w:tc>
        <w:tc>
          <w:tcPr>
            <w:tcW w:type="dxa" w:w="1113"/>
            <w:gridSpan w:val="2"/>
            <w:tcBorders>
              <w:top w:color="000000" w:sz="4" w:val="single"/>
              <w:left w:color="000000" w:sz="4" w:val="single"/>
              <w:bottom w:color="000000" w:sz="4" w:val="single"/>
              <w:right w:color="000000" w:sz="4" w:val="single"/>
            </w:tcBorders>
            <w:shd w:fill="FFFFFF" w:val="clear"/>
            <w:vAlign w:val="center"/>
          </w:tcPr>
          <w:p w14:paraId="371B0000">
            <w:pPr>
              <w:widowControl w:val="1"/>
              <w:spacing w:line="360" w:lineRule="auto"/>
              <w:ind/>
              <w:contextualSpacing w:val="1"/>
              <w:jc w:val="center"/>
              <w:rPr>
                <w:color w:val="000000"/>
                <w:sz w:val="22"/>
              </w:rPr>
            </w:pPr>
            <w:r>
              <w:rPr>
                <w:color w:val="000000"/>
                <w:sz w:val="22"/>
              </w:rPr>
              <w:t>Отсутствует</w:t>
            </w:r>
          </w:p>
        </w:tc>
        <w:tc>
          <w:tcPr>
            <w:tcW w:type="dxa" w:w="1111"/>
            <w:gridSpan w:val="2"/>
            <w:tcBorders>
              <w:top w:color="000000" w:sz="4" w:val="single"/>
              <w:left w:color="000000" w:sz="4" w:val="single"/>
              <w:bottom w:color="000000" w:sz="4" w:val="single"/>
              <w:right w:color="000000" w:sz="4" w:val="single"/>
            </w:tcBorders>
            <w:shd w:fill="FFFFFF" w:val="clear"/>
            <w:vAlign w:val="center"/>
          </w:tcPr>
          <w:p w14:paraId="381B0000">
            <w:pPr>
              <w:widowControl w:val="1"/>
              <w:spacing w:line="360" w:lineRule="auto"/>
              <w:ind/>
              <w:contextualSpacing w:val="1"/>
              <w:jc w:val="center"/>
              <w:rPr>
                <w:color w:val="000000"/>
                <w:sz w:val="22"/>
              </w:rPr>
            </w:pPr>
            <w:r>
              <w:rPr>
                <w:color w:val="000000"/>
                <w:sz w:val="22"/>
              </w:rPr>
              <w:t>выполняется</w:t>
            </w:r>
          </w:p>
        </w:tc>
        <w:tc>
          <w:tcPr>
            <w:tcW w:type="dxa" w:w="1287"/>
            <w:gridSpan w:val="2"/>
            <w:tcBorders>
              <w:top w:color="000000" w:sz="4" w:val="single"/>
              <w:left w:color="000000" w:sz="4" w:val="single"/>
              <w:bottom w:color="000000" w:sz="4" w:val="single"/>
              <w:right w:color="000000" w:sz="4" w:val="single"/>
            </w:tcBorders>
            <w:shd w:fill="FFFFFF" w:val="clear"/>
            <w:vAlign w:val="center"/>
          </w:tcPr>
          <w:p w14:paraId="391B0000">
            <w:pPr>
              <w:widowControl w:val="1"/>
              <w:spacing w:line="360" w:lineRule="auto"/>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09"/>
            <w:gridSpan w:val="2"/>
            <w:tcBorders>
              <w:top w:color="000000" w:sz="4" w:val="single"/>
              <w:left w:color="000000" w:sz="4" w:val="single"/>
              <w:bottom w:color="000000" w:sz="4" w:val="single"/>
              <w:right w:color="000000" w:sz="4" w:val="single"/>
            </w:tcBorders>
            <w:shd w:fill="auto" w:val="clear"/>
            <w:vAlign w:val="center"/>
          </w:tcPr>
          <w:p w14:paraId="3A1B0000">
            <w:pPr>
              <w:widowControl w:val="1"/>
              <w:spacing w:line="360" w:lineRule="auto"/>
              <w:ind/>
              <w:contextualSpacing w:val="1"/>
              <w:jc w:val="center"/>
              <w:rPr>
                <w:sz w:val="22"/>
              </w:rPr>
            </w:pPr>
            <w:r>
              <w:rPr>
                <w:sz w:val="22"/>
              </w:rPr>
              <w:t>не требуется</w:t>
            </w:r>
          </w:p>
        </w:tc>
      </w:tr>
    </w:tbl>
    <w:p w14:paraId="3B1B0000">
      <w:pPr>
        <w:widowControl w:val="1"/>
        <w:ind/>
        <w:contextualSpacing w:val="1"/>
      </w:pPr>
    </w:p>
    <w:p w14:paraId="3C1B0000">
      <w:pPr>
        <w:widowControl w:val="1"/>
        <w:ind/>
        <w:contextualSpacing w:val="1"/>
      </w:pPr>
    </w:p>
    <w:p w14:paraId="3D1B0000">
      <w:pPr>
        <w:widowControl w:val="1"/>
        <w:tabs>
          <w:tab w:leader="none" w:pos="7200" w:val="left"/>
        </w:tabs>
        <w:ind/>
        <w:contextualSpacing w:val="1"/>
      </w:pPr>
    </w:p>
    <w:p w14:paraId="3E1B0000">
      <w:pPr>
        <w:widowControl w:val="1"/>
        <w:tabs>
          <w:tab w:leader="none" w:pos="7200" w:val="left"/>
        </w:tabs>
        <w:ind/>
        <w:contextualSpacing w:val="1"/>
      </w:pPr>
      <w:r>
        <w:t>Отчет по расходным договорам 201</w:t>
      </w:r>
      <w:r>
        <w:t>8</w:t>
      </w:r>
      <w:r>
        <w:t>:</w:t>
      </w:r>
    </w:p>
    <w:p w14:paraId="3F1B0000">
      <w:pPr>
        <w:widowControl w:val="1"/>
        <w:ind/>
        <w:contextualSpacing w:val="1"/>
      </w:pPr>
    </w:p>
    <w:p w14:paraId="401B0000">
      <w:pPr>
        <w:widowControl w:val="1"/>
        <w:ind/>
        <w:contextualSpacing w:val="1"/>
        <w:rPr>
          <w:b w:val="1"/>
          <w:color w:val="000000"/>
        </w:rPr>
      </w:pPr>
    </w:p>
    <w:tbl>
      <w:tblPr>
        <w:tblStyle w:val="Style_4"/>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28"/>
        <w:gridCol w:w="1408"/>
        <w:gridCol w:w="1408"/>
        <w:gridCol w:w="1274"/>
        <w:gridCol w:w="1556"/>
        <w:gridCol w:w="1194"/>
        <w:gridCol w:w="1221"/>
        <w:gridCol w:w="1087"/>
        <w:gridCol w:w="936"/>
        <w:gridCol w:w="1117"/>
        <w:gridCol w:w="1345"/>
        <w:gridCol w:w="122"/>
        <w:gridCol w:w="1654"/>
      </w:tblGrid>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411B0000">
            <w:pPr>
              <w:widowControl w:val="1"/>
              <w:spacing w:line="360" w:lineRule="auto"/>
              <w:ind/>
              <w:contextualSpacing w:val="1"/>
              <w:rPr>
                <w:color w:val="000000"/>
                <w:sz w:val="22"/>
              </w:rPr>
            </w:pPr>
            <w:r>
              <w:rPr>
                <w:color w:val="000000"/>
                <w:sz w:val="22"/>
              </w:rPr>
              <w:t>1</w:t>
            </w:r>
          </w:p>
        </w:tc>
        <w:tc>
          <w:tcPr>
            <w:tcW w:type="dxa" w:w="1408"/>
            <w:tcBorders>
              <w:top w:color="000000" w:sz="4" w:val="single"/>
              <w:left w:color="000000" w:sz="4" w:val="single"/>
              <w:bottom w:color="000000" w:sz="4" w:val="single"/>
              <w:right w:color="000000" w:sz="4" w:val="single"/>
            </w:tcBorders>
            <w:shd w:fill="FFFFFF" w:val="clear"/>
            <w:vAlign w:val="center"/>
          </w:tcPr>
          <w:p w14:paraId="421B0000">
            <w:pPr>
              <w:widowControl w:val="1"/>
              <w:spacing w:line="360" w:lineRule="auto"/>
              <w:ind/>
              <w:contextualSpacing w:val="1"/>
              <w:jc w:val="center"/>
              <w:rPr>
                <w:sz w:val="22"/>
              </w:rPr>
            </w:pPr>
            <w:r>
              <w:rPr>
                <w:sz w:val="22"/>
              </w:rPr>
              <w:t>АО "Издательский дом "Гудок"</w:t>
            </w:r>
          </w:p>
        </w:tc>
        <w:tc>
          <w:tcPr>
            <w:tcW w:type="dxa" w:w="1408"/>
            <w:tcBorders>
              <w:top w:color="000000" w:sz="4" w:val="single"/>
              <w:left w:color="000000" w:sz="4" w:val="single"/>
              <w:bottom w:color="000000" w:sz="4" w:val="single"/>
              <w:right w:color="000000" w:sz="4" w:val="single"/>
            </w:tcBorders>
            <w:shd w:fill="FFFFFF" w:val="clear"/>
            <w:vAlign w:val="center"/>
          </w:tcPr>
          <w:p w14:paraId="431B0000">
            <w:pPr>
              <w:widowControl w:val="1"/>
              <w:spacing w:line="360" w:lineRule="auto"/>
              <w:ind/>
              <w:contextualSpacing w:val="1"/>
              <w:jc w:val="center"/>
              <w:rPr>
                <w:sz w:val="22"/>
              </w:rPr>
            </w:pPr>
            <w:r>
              <w:rPr>
                <w:sz w:val="22"/>
              </w:rPr>
              <w:t>договор № ГФ(Д)-80/18 от 12.02.108</w:t>
            </w:r>
          </w:p>
        </w:tc>
        <w:tc>
          <w:tcPr>
            <w:tcW w:type="dxa" w:w="1274"/>
            <w:tcBorders>
              <w:top w:color="000000" w:sz="4" w:val="single"/>
              <w:left w:color="000000" w:sz="4" w:val="single"/>
              <w:bottom w:color="000000" w:sz="4" w:val="single"/>
              <w:right w:color="000000" w:sz="4" w:val="single"/>
            </w:tcBorders>
            <w:shd w:fill="FFFFFF" w:val="clear"/>
            <w:vAlign w:val="center"/>
          </w:tcPr>
          <w:p w14:paraId="441B0000">
            <w:pPr>
              <w:widowControl w:val="1"/>
              <w:spacing w:line="360" w:lineRule="auto"/>
              <w:ind/>
              <w:contextualSpacing w:val="1"/>
              <w:jc w:val="center"/>
              <w:rPr>
                <w:sz w:val="22"/>
              </w:rPr>
            </w:pPr>
            <w:r>
              <w:rPr>
                <w:sz w:val="22"/>
              </w:rPr>
              <w:t>12.02.2018-31.12.2018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451B0000">
            <w:pPr>
              <w:widowControl w:val="1"/>
              <w:spacing w:line="360" w:lineRule="auto"/>
              <w:ind/>
              <w:contextualSpacing w:val="1"/>
              <w:jc w:val="center"/>
              <w:rPr>
                <w:sz w:val="22"/>
              </w:rPr>
            </w:pPr>
            <w:r>
              <w:rPr>
                <w:sz w:val="22"/>
              </w:rPr>
              <w:t>поставка тиражей (номеров) периодического печатного издания - газеты «Уважаемые пассажиры»</w:t>
            </w:r>
          </w:p>
        </w:tc>
        <w:tc>
          <w:tcPr>
            <w:tcW w:type="dxa" w:w="1194"/>
            <w:tcBorders>
              <w:top w:color="000000" w:sz="4" w:val="single"/>
              <w:left w:color="000000" w:sz="4" w:val="single"/>
              <w:bottom w:color="000000" w:sz="4" w:val="single"/>
              <w:right w:color="000000" w:sz="4" w:val="single"/>
            </w:tcBorders>
            <w:shd w:fill="FFFFFF" w:val="clear"/>
            <w:vAlign w:val="center"/>
          </w:tcPr>
          <w:p w14:paraId="461B0000">
            <w:pPr>
              <w:widowControl w:val="1"/>
              <w:spacing w:line="360" w:lineRule="auto"/>
              <w:ind/>
              <w:contextualSpacing w:val="1"/>
              <w:jc w:val="center"/>
              <w:rPr>
                <w:sz w:val="22"/>
              </w:rPr>
            </w:pPr>
            <w:r>
              <w:rPr>
                <w:sz w:val="22"/>
              </w:rPr>
              <w:t>185 000,00</w:t>
            </w:r>
          </w:p>
        </w:tc>
        <w:tc>
          <w:tcPr>
            <w:tcW w:type="dxa" w:w="1221"/>
            <w:tcBorders>
              <w:top w:color="000000" w:sz="4" w:val="single"/>
              <w:left w:color="000000" w:sz="4" w:val="single"/>
              <w:bottom w:color="000000" w:sz="4" w:val="single"/>
              <w:right w:color="000000" w:sz="4" w:val="single"/>
            </w:tcBorders>
            <w:shd w:fill="FFFFFF" w:val="clear"/>
            <w:vAlign w:val="center"/>
          </w:tcPr>
          <w:p w14:paraId="471B0000">
            <w:pPr>
              <w:widowControl w:val="1"/>
              <w:spacing w:line="360" w:lineRule="auto"/>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81B0000">
            <w:pPr>
              <w:widowControl w:val="1"/>
              <w:spacing w:line="360" w:lineRule="auto"/>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91B0000">
            <w:pPr>
              <w:widowControl w:val="1"/>
              <w:spacing w:line="360" w:lineRule="auto"/>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A1B0000">
            <w:pPr>
              <w:widowControl w:val="1"/>
              <w:spacing w:line="360" w:lineRule="auto"/>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4B1B0000">
            <w:pPr>
              <w:widowControl w:val="1"/>
              <w:spacing w:line="360" w:lineRule="auto"/>
              <w:ind/>
              <w:contextualSpacing w:val="1"/>
              <w:jc w:val="center"/>
              <w:rPr>
                <w:sz w:val="22"/>
              </w:rPr>
            </w:pPr>
            <w:r>
              <w:rPr>
                <w:sz w:val="22"/>
              </w:rPr>
              <w:t>цена договора не превышает 0,1% балансовой стоимости активов (пп12 п1 ст81 ФЗ об АО</w:t>
            </w:r>
          </w:p>
        </w:tc>
        <w:tc>
          <w:tcPr>
            <w:tcW w:type="dxa" w:w="1654"/>
            <w:tcBorders>
              <w:top w:color="000000" w:sz="4" w:val="single"/>
              <w:left w:color="000000" w:sz="4" w:val="single"/>
              <w:bottom w:color="000000" w:sz="4" w:val="single"/>
              <w:right w:color="000000" w:sz="4" w:val="single"/>
            </w:tcBorders>
            <w:shd w:fill="FFFFFF" w:val="clear"/>
            <w:vAlign w:val="center"/>
          </w:tcPr>
          <w:p w14:paraId="4C1B0000">
            <w:pPr>
              <w:widowControl w:val="1"/>
              <w:spacing w:line="360" w:lineRule="auto"/>
              <w:ind/>
              <w:contextualSpacing w:val="1"/>
              <w:jc w:val="center"/>
              <w:rPr>
                <w:sz w:val="22"/>
              </w:rPr>
            </w:pPr>
            <w:r>
              <w:rPr>
                <w:sz w:val="22"/>
              </w:rPr>
              <w:t>Размещение заказа у единственного поставщика, согласно пп. 11 п. 81  положения утвержденного СД 30.04.2015г. Протокол № 13</w:t>
            </w:r>
          </w:p>
        </w:tc>
      </w:tr>
      <w:tr>
        <w:trPr>
          <w:trHeight w:hRule="atLeast" w:val="1575"/>
        </w:trPr>
        <w:tc>
          <w:tcPr>
            <w:tcW w:type="dxa" w:w="528"/>
            <w:tcBorders>
              <w:top w:color="000000" w:sz="4" w:val="single"/>
              <w:left w:color="000000" w:sz="4" w:val="single"/>
              <w:bottom w:color="000000" w:sz="4" w:val="single"/>
              <w:right w:color="000000" w:sz="4" w:val="single"/>
            </w:tcBorders>
            <w:shd w:fill="FFFFFF" w:val="clear"/>
            <w:vAlign w:val="center"/>
          </w:tcPr>
          <w:p w14:paraId="4D1B0000">
            <w:pPr>
              <w:widowControl w:val="1"/>
              <w:ind/>
              <w:contextualSpacing w:val="1"/>
              <w:rPr>
                <w:color w:val="000000"/>
                <w:sz w:val="22"/>
              </w:rPr>
            </w:pPr>
            <w:r>
              <w:rPr>
                <w:color w:val="000000"/>
                <w:sz w:val="22"/>
              </w:rPr>
              <w:t>2</w:t>
            </w:r>
          </w:p>
        </w:tc>
        <w:tc>
          <w:tcPr>
            <w:tcW w:type="dxa" w:w="1408"/>
            <w:tcBorders>
              <w:top w:color="000000" w:sz="4" w:val="single"/>
              <w:left w:color="000000" w:sz="4" w:val="single"/>
              <w:bottom w:color="000000" w:sz="4" w:val="single"/>
              <w:right w:color="000000" w:sz="4" w:val="single"/>
            </w:tcBorders>
            <w:shd w:fill="FFFFFF" w:val="clear"/>
            <w:vAlign w:val="center"/>
          </w:tcPr>
          <w:p w14:paraId="4E1B0000">
            <w:pPr>
              <w:widowControl w:val="1"/>
              <w:ind/>
              <w:contextualSpacing w:val="1"/>
              <w:jc w:val="center"/>
              <w:rPr>
                <w:sz w:val="22"/>
              </w:rPr>
            </w:pPr>
            <w:r>
              <w:rPr>
                <w:sz w:val="22"/>
              </w:rPr>
              <w:t>АО "Издательский дом "Гудок"</w:t>
            </w:r>
          </w:p>
        </w:tc>
        <w:tc>
          <w:tcPr>
            <w:tcW w:type="dxa" w:w="1408"/>
            <w:tcBorders>
              <w:top w:color="000000" w:sz="4" w:val="single"/>
              <w:left w:color="000000" w:sz="4" w:val="single"/>
              <w:bottom w:color="000000" w:sz="4" w:val="single"/>
              <w:right w:color="000000" w:sz="4" w:val="single"/>
            </w:tcBorders>
            <w:shd w:fill="FFFFFF" w:val="clear"/>
            <w:vAlign w:val="center"/>
          </w:tcPr>
          <w:p w14:paraId="4F1B0000">
            <w:pPr>
              <w:widowControl w:val="1"/>
              <w:ind/>
              <w:contextualSpacing w:val="1"/>
              <w:jc w:val="center"/>
              <w:rPr>
                <w:sz w:val="22"/>
              </w:rPr>
            </w:pPr>
            <w:r>
              <w:rPr>
                <w:sz w:val="22"/>
              </w:rPr>
              <w:t>дополнительное соглашение № 1 к договору № ГФ(Д)-80/18 от 12.02.2018 от 20.02.2018</w:t>
            </w:r>
          </w:p>
        </w:tc>
        <w:tc>
          <w:tcPr>
            <w:tcW w:type="dxa" w:w="1274"/>
            <w:tcBorders>
              <w:top w:color="000000" w:sz="4" w:val="single"/>
              <w:left w:color="000000" w:sz="4" w:val="single"/>
              <w:bottom w:color="000000" w:sz="4" w:val="single"/>
              <w:right w:color="000000" w:sz="4" w:val="single"/>
            </w:tcBorders>
            <w:shd w:fill="FFFFFF" w:val="clear"/>
            <w:vAlign w:val="center"/>
          </w:tcPr>
          <w:p w14:paraId="501B0000">
            <w:pPr>
              <w:widowControl w:val="1"/>
              <w:ind/>
              <w:contextualSpacing w:val="1"/>
              <w:jc w:val="center"/>
              <w:rPr>
                <w:sz w:val="22"/>
              </w:rPr>
            </w:pPr>
            <w:r>
              <w:rPr>
                <w:sz w:val="22"/>
              </w:rPr>
              <w:t>12.02.2018-31.12.2018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511B0000">
            <w:pPr>
              <w:widowControl w:val="1"/>
              <w:ind/>
              <w:contextualSpacing w:val="1"/>
              <w:jc w:val="center"/>
              <w:rPr>
                <w:sz w:val="22"/>
              </w:rPr>
            </w:pPr>
            <w:r>
              <w:rPr>
                <w:sz w:val="22"/>
              </w:rPr>
              <w:t>изменение объема поставки тиражей (номеров) периодического печатного издания - газеты «Уважаемые пассажиры», уменьшение предельной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521B0000">
            <w:pPr>
              <w:widowControl w:val="1"/>
              <w:ind/>
              <w:contextualSpacing w:val="1"/>
              <w:jc w:val="center"/>
              <w:rPr>
                <w:sz w:val="22"/>
              </w:rPr>
            </w:pPr>
            <w:r>
              <w:rPr>
                <w:sz w:val="22"/>
              </w:rPr>
              <w:t>184800</w:t>
            </w:r>
          </w:p>
        </w:tc>
        <w:tc>
          <w:tcPr>
            <w:tcW w:type="dxa" w:w="1221"/>
            <w:tcBorders>
              <w:top w:color="000000" w:sz="4" w:val="single"/>
              <w:left w:color="000000" w:sz="4" w:val="single"/>
              <w:bottom w:color="000000" w:sz="4" w:val="single"/>
              <w:right w:color="000000" w:sz="4" w:val="single"/>
            </w:tcBorders>
            <w:shd w:fill="FFFFFF" w:val="clear"/>
            <w:vAlign w:val="center"/>
          </w:tcPr>
          <w:p w14:paraId="531B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41B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51B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61B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571B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c>
          <w:tcPr>
            <w:tcW w:type="dxa" w:w="1654"/>
            <w:tcBorders>
              <w:top w:color="000000" w:sz="4" w:val="single"/>
              <w:left w:color="000000" w:sz="4" w:val="single"/>
              <w:bottom w:color="000000" w:sz="4" w:val="single"/>
              <w:right w:color="000000" w:sz="4" w:val="single"/>
            </w:tcBorders>
            <w:shd w:fill="FFFFFF" w:val="clear"/>
            <w:vAlign w:val="center"/>
          </w:tcPr>
          <w:p w14:paraId="581B0000">
            <w:pPr>
              <w:widowControl w:val="1"/>
              <w:ind/>
              <w:contextualSpacing w:val="1"/>
              <w:jc w:val="center"/>
              <w:rPr>
                <w:sz w:val="22"/>
              </w:rPr>
            </w:pPr>
            <w:r>
              <w:rPr>
                <w:sz w:val="22"/>
              </w:rPr>
              <w:t>Размещение заказа у единственного поставщика, согласно пп. 11 п. 81  положения утвержденного СД 30.04.2015г. Протокол № 13</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591B0000">
            <w:pPr>
              <w:widowControl w:val="1"/>
              <w:ind/>
              <w:contextualSpacing w:val="1"/>
              <w:rPr>
                <w:color w:val="000000"/>
                <w:sz w:val="22"/>
              </w:rPr>
            </w:pPr>
            <w:r>
              <w:rPr>
                <w:color w:val="000000"/>
                <w:sz w:val="22"/>
              </w:rPr>
              <w:t>3</w:t>
            </w:r>
          </w:p>
        </w:tc>
        <w:tc>
          <w:tcPr>
            <w:tcW w:type="dxa" w:w="1408"/>
            <w:tcBorders>
              <w:top w:color="000000" w:sz="4" w:val="single"/>
              <w:left w:color="000000" w:sz="4" w:val="single"/>
              <w:bottom w:color="000000" w:sz="4" w:val="single"/>
              <w:right w:color="000000" w:sz="4" w:val="single"/>
            </w:tcBorders>
            <w:shd w:fill="FFFFFF" w:val="clear"/>
            <w:vAlign w:val="center"/>
          </w:tcPr>
          <w:p w14:paraId="5A1B0000">
            <w:pPr>
              <w:widowControl w:val="1"/>
              <w:ind/>
              <w:contextualSpacing w:val="1"/>
              <w:jc w:val="center"/>
              <w:rPr>
                <w:sz w:val="22"/>
              </w:rPr>
            </w:pPr>
            <w:r>
              <w:rPr>
                <w:sz w:val="22"/>
              </w:rPr>
              <w:t>АО "Издательский дом "Гудок"</w:t>
            </w:r>
          </w:p>
        </w:tc>
        <w:tc>
          <w:tcPr>
            <w:tcW w:type="dxa" w:w="1408"/>
            <w:tcBorders>
              <w:top w:color="000000" w:sz="4" w:val="single"/>
              <w:left w:color="000000" w:sz="4" w:val="single"/>
              <w:bottom w:color="000000" w:sz="4" w:val="single"/>
              <w:right w:color="000000" w:sz="4" w:val="single"/>
            </w:tcBorders>
            <w:shd w:fill="FFFFFF" w:val="clear"/>
            <w:vAlign w:val="center"/>
          </w:tcPr>
          <w:p w14:paraId="5B1B0000">
            <w:pPr>
              <w:widowControl w:val="1"/>
              <w:ind/>
              <w:contextualSpacing w:val="1"/>
              <w:jc w:val="center"/>
              <w:rPr>
                <w:sz w:val="22"/>
              </w:rPr>
            </w:pPr>
            <w:r>
              <w:rPr>
                <w:sz w:val="22"/>
              </w:rPr>
              <w:t>дополнительное соглашение № 2 к договору № ГФ(Д)-80/18 от 12.02.2018 от 27.07.2018</w:t>
            </w:r>
          </w:p>
        </w:tc>
        <w:tc>
          <w:tcPr>
            <w:tcW w:type="dxa" w:w="1274"/>
            <w:tcBorders>
              <w:top w:color="000000" w:sz="4" w:val="single"/>
              <w:left w:color="000000" w:sz="4" w:val="single"/>
              <w:bottom w:color="000000" w:sz="4" w:val="single"/>
              <w:right w:color="000000" w:sz="4" w:val="single"/>
            </w:tcBorders>
            <w:shd w:fill="FFFFFF" w:val="clear"/>
            <w:vAlign w:val="center"/>
          </w:tcPr>
          <w:p w14:paraId="5C1B0000">
            <w:pPr>
              <w:widowControl w:val="1"/>
              <w:ind/>
              <w:contextualSpacing w:val="1"/>
              <w:jc w:val="center"/>
              <w:rPr>
                <w:sz w:val="22"/>
              </w:rPr>
            </w:pPr>
            <w:r>
              <w:rPr>
                <w:sz w:val="22"/>
              </w:rPr>
              <w:t>27.07.2018-31.12.2018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5D1B0000">
            <w:pPr>
              <w:widowControl w:val="1"/>
              <w:ind/>
              <w:contextualSpacing w:val="1"/>
              <w:jc w:val="center"/>
              <w:rPr>
                <w:sz w:val="22"/>
              </w:rPr>
            </w:pPr>
            <w:r>
              <w:rPr>
                <w:sz w:val="22"/>
              </w:rPr>
              <w:t>перенос срока выхода тиражей периодического печатного издания, без изменения предельной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5E1B0000">
            <w:pPr>
              <w:widowControl w:val="1"/>
              <w:ind/>
              <w:contextualSpacing w:val="1"/>
              <w:jc w:val="center"/>
              <w:rPr>
                <w:sz w:val="22"/>
              </w:rPr>
            </w:pPr>
            <w:r>
              <w:rPr>
                <w:sz w:val="22"/>
              </w:rPr>
              <w:t>184800</w:t>
            </w:r>
          </w:p>
        </w:tc>
        <w:tc>
          <w:tcPr>
            <w:tcW w:type="dxa" w:w="1221"/>
            <w:tcBorders>
              <w:top w:color="000000" w:sz="4" w:val="single"/>
              <w:left w:color="000000" w:sz="4" w:val="single"/>
              <w:bottom w:color="000000" w:sz="4" w:val="single"/>
              <w:right w:color="000000" w:sz="4" w:val="single"/>
            </w:tcBorders>
            <w:shd w:fill="FFFFFF" w:val="clear"/>
            <w:vAlign w:val="center"/>
          </w:tcPr>
          <w:p w14:paraId="5F1B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01B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11B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21B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631B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c>
          <w:tcPr>
            <w:tcW w:type="dxa" w:w="1654"/>
            <w:tcBorders>
              <w:top w:color="000000" w:sz="4" w:val="single"/>
              <w:left w:color="000000" w:sz="4" w:val="single"/>
              <w:bottom w:color="000000" w:sz="4" w:val="single"/>
              <w:right w:color="000000" w:sz="4" w:val="single"/>
            </w:tcBorders>
            <w:shd w:fill="FFFFFF" w:val="clear"/>
            <w:vAlign w:val="center"/>
          </w:tcPr>
          <w:p w14:paraId="641B0000">
            <w:pPr>
              <w:widowControl w:val="1"/>
              <w:ind/>
              <w:contextualSpacing w:val="1"/>
              <w:jc w:val="center"/>
              <w:rPr>
                <w:sz w:val="22"/>
              </w:rPr>
            </w:pPr>
            <w:r>
              <w:rPr>
                <w:sz w:val="22"/>
              </w:rPr>
              <w:t>Размещение заказа у единственного поставщика, согласно пп. 11 п. 81  положения утвержденного СД 30.04.2015г. Протокол № 13</w:t>
            </w:r>
          </w:p>
        </w:tc>
      </w:tr>
      <w:tr>
        <w:trPr>
          <w:trHeight w:hRule="atLeast" w:val="300"/>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651B0000">
            <w:pPr>
              <w:widowControl w:val="1"/>
              <w:ind/>
              <w:contextualSpacing w:val="1"/>
              <w:jc w:val="center"/>
              <w:rPr>
                <w:color w:val="000000"/>
                <w:sz w:val="22"/>
              </w:rPr>
            </w:pPr>
            <w:r>
              <w:rPr>
                <w:color w:val="000000"/>
                <w:sz w:val="22"/>
              </w:rPr>
              <w:t>Итого по контрагенту АО "Издательский дом "Гудок" 184800 руб.</w:t>
            </w:r>
          </w:p>
          <w:p w14:paraId="661B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671B0000">
            <w:pPr>
              <w:widowControl w:val="1"/>
              <w:ind/>
              <w:contextualSpacing w:val="1"/>
              <w:rPr>
                <w:color w:val="000000"/>
                <w:sz w:val="22"/>
              </w:rPr>
            </w:pPr>
            <w:r>
              <w:rPr>
                <w:color w:val="000000"/>
                <w:sz w:val="22"/>
              </w:rPr>
              <w:t>4</w:t>
            </w:r>
          </w:p>
        </w:tc>
        <w:tc>
          <w:tcPr>
            <w:tcW w:type="dxa" w:w="1408"/>
            <w:tcBorders>
              <w:top w:color="000000" w:sz="4" w:val="single"/>
              <w:left w:color="000000" w:sz="4" w:val="single"/>
              <w:bottom w:color="000000" w:sz="4" w:val="single"/>
              <w:right w:color="000000" w:sz="4" w:val="single"/>
            </w:tcBorders>
            <w:shd w:fill="FFFFFF" w:val="clear"/>
            <w:vAlign w:val="center"/>
          </w:tcPr>
          <w:p w14:paraId="681B0000">
            <w:pPr>
              <w:widowControl w:val="1"/>
              <w:ind/>
              <w:contextualSpacing w:val="1"/>
              <w:jc w:val="center"/>
              <w:rPr>
                <w:sz w:val="22"/>
              </w:rPr>
            </w:pPr>
            <w:r>
              <w:rPr>
                <w:sz w:val="22"/>
              </w:rPr>
              <w:t>АО "Издательский дом "Комсомольская правда"</w:t>
            </w:r>
          </w:p>
        </w:tc>
        <w:tc>
          <w:tcPr>
            <w:tcW w:type="dxa" w:w="1408"/>
            <w:tcBorders>
              <w:top w:color="000000" w:sz="4" w:val="single"/>
              <w:left w:color="000000" w:sz="4" w:val="single"/>
              <w:bottom w:color="000000" w:sz="4" w:val="single"/>
              <w:right w:color="000000" w:sz="4" w:val="single"/>
            </w:tcBorders>
            <w:shd w:fill="FFFFFF" w:val="clear"/>
            <w:vAlign w:val="center"/>
          </w:tcPr>
          <w:p w14:paraId="691B0000">
            <w:pPr>
              <w:widowControl w:val="1"/>
              <w:ind/>
              <w:contextualSpacing w:val="1"/>
              <w:jc w:val="center"/>
              <w:rPr>
                <w:sz w:val="22"/>
              </w:rPr>
            </w:pPr>
            <w:r>
              <w:rPr>
                <w:sz w:val="22"/>
              </w:rPr>
              <w:t>договор № 1 от 09.01.2018</w:t>
            </w:r>
          </w:p>
        </w:tc>
        <w:tc>
          <w:tcPr>
            <w:tcW w:type="dxa" w:w="1274"/>
            <w:tcBorders>
              <w:top w:color="000000" w:sz="4" w:val="single"/>
              <w:left w:color="000000" w:sz="4" w:val="single"/>
              <w:bottom w:color="000000" w:sz="4" w:val="single"/>
              <w:right w:color="000000" w:sz="4" w:val="single"/>
            </w:tcBorders>
            <w:shd w:fill="FFFFFF" w:val="clear"/>
            <w:vAlign w:val="center"/>
          </w:tcPr>
          <w:p w14:paraId="6A1B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6B1B0000">
            <w:pPr>
              <w:widowControl w:val="1"/>
              <w:ind/>
              <w:contextualSpacing w:val="1"/>
              <w:jc w:val="center"/>
              <w:rPr>
                <w:sz w:val="22"/>
              </w:rPr>
            </w:pPr>
            <w:r>
              <w:rPr>
                <w:sz w:val="22"/>
              </w:rPr>
              <w:t>Поставка печатной продукции (газета "Комсомольская правда)</w:t>
            </w:r>
          </w:p>
        </w:tc>
        <w:tc>
          <w:tcPr>
            <w:tcW w:type="dxa" w:w="1194"/>
            <w:tcBorders>
              <w:top w:color="000000" w:sz="4" w:val="single"/>
              <w:left w:color="000000" w:sz="4" w:val="single"/>
              <w:bottom w:color="000000" w:sz="4" w:val="single"/>
              <w:right w:color="000000" w:sz="4" w:val="single"/>
            </w:tcBorders>
            <w:shd w:fill="FFFFFF" w:val="clear"/>
            <w:vAlign w:val="center"/>
          </w:tcPr>
          <w:p w14:paraId="6C1B0000">
            <w:pPr>
              <w:widowControl w:val="1"/>
              <w:ind/>
              <w:contextualSpacing w:val="1"/>
              <w:jc w:val="center"/>
              <w:rPr>
                <w:sz w:val="22"/>
              </w:rPr>
            </w:pPr>
            <w:r>
              <w:rPr>
                <w:sz w:val="22"/>
              </w:rPr>
              <w:t>231660</w:t>
            </w:r>
          </w:p>
        </w:tc>
        <w:tc>
          <w:tcPr>
            <w:tcW w:type="dxa" w:w="1221"/>
            <w:tcBorders>
              <w:top w:color="000000" w:sz="4" w:val="single"/>
              <w:left w:color="000000" w:sz="4" w:val="single"/>
              <w:bottom w:color="000000" w:sz="4" w:val="single"/>
              <w:right w:color="000000" w:sz="4" w:val="single"/>
            </w:tcBorders>
            <w:shd w:fill="FFFFFF" w:val="clear"/>
            <w:vAlign w:val="center"/>
          </w:tcPr>
          <w:p w14:paraId="6D1B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E1B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F1B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01B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711B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721B0000">
            <w:pPr>
              <w:widowControl w:val="1"/>
              <w:ind/>
              <w:contextualSpacing w:val="1"/>
              <w:jc w:val="center"/>
              <w:rPr>
                <w:sz w:val="22"/>
              </w:rPr>
            </w:pPr>
            <w:r>
              <w:rPr>
                <w:sz w:val="22"/>
              </w:rPr>
              <w:t>Размещение заказа у единственного поставщика, согласно пп. 11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731B0000">
            <w:pPr>
              <w:widowControl w:val="1"/>
              <w:ind/>
              <w:contextualSpacing w:val="1"/>
              <w:rPr>
                <w:color w:val="000000"/>
                <w:sz w:val="22"/>
              </w:rPr>
            </w:pPr>
            <w:r>
              <w:rPr>
                <w:color w:val="000000"/>
                <w:sz w:val="22"/>
              </w:rPr>
              <w:t>5</w:t>
            </w:r>
          </w:p>
        </w:tc>
        <w:tc>
          <w:tcPr>
            <w:tcW w:type="dxa" w:w="1408"/>
            <w:tcBorders>
              <w:top w:color="000000" w:sz="4" w:val="single"/>
              <w:left w:color="000000" w:sz="4" w:val="single"/>
              <w:bottom w:color="000000" w:sz="4" w:val="single"/>
              <w:right w:color="000000" w:sz="4" w:val="single"/>
            </w:tcBorders>
            <w:shd w:fill="FFFFFF" w:val="clear"/>
            <w:vAlign w:val="center"/>
          </w:tcPr>
          <w:p w14:paraId="741B0000">
            <w:pPr>
              <w:widowControl w:val="1"/>
              <w:ind/>
              <w:contextualSpacing w:val="1"/>
              <w:jc w:val="center"/>
              <w:rPr>
                <w:sz w:val="22"/>
              </w:rPr>
            </w:pPr>
            <w:r>
              <w:rPr>
                <w:sz w:val="22"/>
              </w:rPr>
              <w:t>АО "Издательский дом "Комсомольская правда"</w:t>
            </w:r>
          </w:p>
        </w:tc>
        <w:tc>
          <w:tcPr>
            <w:tcW w:type="dxa" w:w="1408"/>
            <w:tcBorders>
              <w:top w:color="000000" w:sz="4" w:val="single"/>
              <w:left w:color="000000" w:sz="4" w:val="single"/>
              <w:bottom w:color="000000" w:sz="4" w:val="single"/>
              <w:right w:color="000000" w:sz="4" w:val="single"/>
            </w:tcBorders>
            <w:shd w:fill="FFFFFF" w:val="clear"/>
            <w:vAlign w:val="center"/>
          </w:tcPr>
          <w:p w14:paraId="751B0000">
            <w:pPr>
              <w:widowControl w:val="1"/>
              <w:ind/>
              <w:contextualSpacing w:val="1"/>
              <w:jc w:val="center"/>
              <w:rPr>
                <w:sz w:val="22"/>
              </w:rPr>
            </w:pPr>
            <w:r>
              <w:rPr>
                <w:sz w:val="22"/>
              </w:rPr>
              <w:t>соглашение о расторжении договора № 91 от 04.07.2014 от 19.03.2018</w:t>
            </w:r>
          </w:p>
        </w:tc>
        <w:tc>
          <w:tcPr>
            <w:tcW w:type="dxa" w:w="1274"/>
            <w:tcBorders>
              <w:top w:color="000000" w:sz="4" w:val="single"/>
              <w:left w:color="000000" w:sz="4" w:val="single"/>
              <w:bottom w:color="000000" w:sz="4" w:val="single"/>
              <w:right w:color="000000" w:sz="4" w:val="single"/>
            </w:tcBorders>
            <w:shd w:fill="FFFFFF" w:val="clear"/>
            <w:vAlign w:val="center"/>
          </w:tcPr>
          <w:p w14:paraId="761B0000">
            <w:pPr>
              <w:widowControl w:val="1"/>
              <w:ind/>
              <w:contextualSpacing w:val="1"/>
              <w:jc w:val="center"/>
              <w:rPr>
                <w:sz w:val="22"/>
              </w:rPr>
            </w:pPr>
            <w:r>
              <w:rPr>
                <w:sz w:val="22"/>
              </w:rPr>
              <w:t>19.03.2018</w:t>
            </w:r>
          </w:p>
        </w:tc>
        <w:tc>
          <w:tcPr>
            <w:tcW w:type="dxa" w:w="1556"/>
            <w:tcBorders>
              <w:top w:color="000000" w:sz="4" w:val="single"/>
              <w:left w:color="000000" w:sz="4" w:val="single"/>
              <w:bottom w:color="000000" w:sz="4" w:val="single"/>
              <w:right w:color="000000" w:sz="4" w:val="single"/>
            </w:tcBorders>
            <w:shd w:fill="FFFFFF" w:val="clear"/>
            <w:vAlign w:val="center"/>
          </w:tcPr>
          <w:p w14:paraId="771B0000">
            <w:pPr>
              <w:widowControl w:val="1"/>
              <w:ind/>
              <w:contextualSpacing w:val="1"/>
              <w:jc w:val="center"/>
              <w:rPr>
                <w:sz w:val="22"/>
              </w:rPr>
            </w:pPr>
            <w:r>
              <w:rPr>
                <w:sz w:val="22"/>
              </w:rPr>
              <w:t>расторжение договора на оказание услуг по подготовке и/или размещению информационных материалов с 19.03.2018г.</w:t>
            </w:r>
          </w:p>
        </w:tc>
        <w:tc>
          <w:tcPr>
            <w:tcW w:type="dxa" w:w="1194"/>
            <w:tcBorders>
              <w:top w:color="000000" w:sz="4" w:val="single"/>
              <w:left w:color="000000" w:sz="4" w:val="single"/>
              <w:bottom w:color="000000" w:sz="4" w:val="single"/>
              <w:right w:color="000000" w:sz="4" w:val="single"/>
            </w:tcBorders>
            <w:shd w:fill="FFFFFF" w:val="clear"/>
            <w:vAlign w:val="center"/>
          </w:tcPr>
          <w:p w14:paraId="781B0000">
            <w:pPr>
              <w:widowControl w:val="1"/>
              <w:ind/>
              <w:contextualSpacing w:val="1"/>
              <w:jc w:val="center"/>
              <w:rPr>
                <w:sz w:val="22"/>
              </w:rPr>
            </w:pPr>
            <w:r>
              <w:rPr>
                <w:sz w:val="22"/>
              </w:rPr>
              <w:t>385050</w:t>
            </w:r>
          </w:p>
        </w:tc>
        <w:tc>
          <w:tcPr>
            <w:tcW w:type="dxa" w:w="1221"/>
            <w:tcBorders>
              <w:top w:color="000000" w:sz="4" w:val="single"/>
              <w:left w:color="000000" w:sz="4" w:val="single"/>
              <w:bottom w:color="000000" w:sz="4" w:val="single"/>
              <w:right w:color="000000" w:sz="4" w:val="single"/>
            </w:tcBorders>
            <w:shd w:fill="FFFFFF" w:val="clear"/>
            <w:vAlign w:val="center"/>
          </w:tcPr>
          <w:p w14:paraId="791B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A1B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B1B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C1B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7D1B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7E1B0000">
            <w:pPr>
              <w:widowControl w:val="1"/>
              <w:ind/>
              <w:contextualSpacing w:val="1"/>
              <w:jc w:val="center"/>
              <w:rPr>
                <w:sz w:val="22"/>
              </w:rPr>
            </w:pPr>
            <w:r>
              <w:rPr>
                <w:sz w:val="22"/>
              </w:rPr>
              <w:t>Размещение заказа у единственного поставщика, согласно пп.28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7F1B0000">
            <w:pPr>
              <w:widowControl w:val="1"/>
              <w:ind/>
              <w:contextualSpacing w:val="1"/>
              <w:rPr>
                <w:color w:val="000000"/>
                <w:sz w:val="22"/>
              </w:rPr>
            </w:pPr>
            <w:r>
              <w:rPr>
                <w:color w:val="000000"/>
                <w:sz w:val="22"/>
              </w:rPr>
              <w:t>6</w:t>
            </w:r>
          </w:p>
        </w:tc>
        <w:tc>
          <w:tcPr>
            <w:tcW w:type="dxa" w:w="1408"/>
            <w:tcBorders>
              <w:top w:color="000000" w:sz="4" w:val="single"/>
              <w:left w:color="000000" w:sz="4" w:val="single"/>
              <w:bottom w:color="000000" w:sz="4" w:val="single"/>
              <w:right w:color="000000" w:sz="4" w:val="single"/>
            </w:tcBorders>
            <w:shd w:fill="FFFFFF" w:val="clear"/>
            <w:vAlign w:val="center"/>
          </w:tcPr>
          <w:p w14:paraId="801B0000">
            <w:pPr>
              <w:widowControl w:val="1"/>
              <w:ind/>
              <w:contextualSpacing w:val="1"/>
              <w:jc w:val="center"/>
              <w:rPr>
                <w:sz w:val="22"/>
              </w:rPr>
            </w:pPr>
            <w:r>
              <w:rPr>
                <w:sz w:val="22"/>
              </w:rPr>
              <w:t>АО "Издательский дом "Комсомольская правда"</w:t>
            </w:r>
          </w:p>
        </w:tc>
        <w:tc>
          <w:tcPr>
            <w:tcW w:type="dxa" w:w="1408"/>
            <w:tcBorders>
              <w:top w:color="000000" w:sz="4" w:val="single"/>
              <w:left w:color="000000" w:sz="4" w:val="single"/>
              <w:bottom w:color="000000" w:sz="4" w:val="single"/>
              <w:right w:color="000000" w:sz="4" w:val="single"/>
            </w:tcBorders>
            <w:shd w:fill="FFFFFF" w:val="clear"/>
            <w:vAlign w:val="center"/>
          </w:tcPr>
          <w:p w14:paraId="811B0000">
            <w:pPr>
              <w:widowControl w:val="1"/>
              <w:ind/>
              <w:contextualSpacing w:val="1"/>
              <w:jc w:val="center"/>
              <w:rPr>
                <w:sz w:val="22"/>
              </w:rPr>
            </w:pPr>
            <w:r>
              <w:rPr>
                <w:sz w:val="22"/>
              </w:rPr>
              <w:t>договор № 51 от 26.03.2018</w:t>
            </w:r>
          </w:p>
        </w:tc>
        <w:tc>
          <w:tcPr>
            <w:tcW w:type="dxa" w:w="1274"/>
            <w:tcBorders>
              <w:top w:color="000000" w:sz="4" w:val="single"/>
              <w:left w:color="000000" w:sz="4" w:val="single"/>
              <w:bottom w:color="000000" w:sz="4" w:val="single"/>
              <w:right w:color="000000" w:sz="4" w:val="single"/>
            </w:tcBorders>
            <w:shd w:fill="FFFFFF" w:val="clear"/>
            <w:vAlign w:val="center"/>
          </w:tcPr>
          <w:p w14:paraId="821B0000">
            <w:pPr>
              <w:widowControl w:val="1"/>
              <w:ind/>
              <w:contextualSpacing w:val="1"/>
              <w:jc w:val="center"/>
              <w:rPr>
                <w:sz w:val="22"/>
              </w:rPr>
            </w:pPr>
            <w:r>
              <w:rPr>
                <w:sz w:val="22"/>
              </w:rPr>
              <w:t>01.03.2018-31.12.2018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831B0000">
            <w:pPr>
              <w:widowControl w:val="1"/>
              <w:ind/>
              <w:contextualSpacing w:val="1"/>
              <w:jc w:val="center"/>
              <w:rPr>
                <w:sz w:val="22"/>
              </w:rPr>
            </w:pPr>
            <w:r>
              <w:rPr>
                <w:sz w:val="22"/>
              </w:rPr>
              <w:t>оказание услуг по подготовке и/или размещению информационных материалов</w:t>
            </w:r>
          </w:p>
        </w:tc>
        <w:tc>
          <w:tcPr>
            <w:tcW w:type="dxa" w:w="1194"/>
            <w:tcBorders>
              <w:top w:color="000000" w:sz="4" w:val="single"/>
              <w:left w:color="000000" w:sz="4" w:val="single"/>
              <w:bottom w:color="000000" w:sz="4" w:val="single"/>
              <w:right w:color="000000" w:sz="4" w:val="single"/>
            </w:tcBorders>
            <w:shd w:fill="FFFFFF" w:val="clear"/>
            <w:vAlign w:val="center"/>
          </w:tcPr>
          <w:p w14:paraId="841B0000">
            <w:pPr>
              <w:widowControl w:val="1"/>
              <w:ind/>
              <w:contextualSpacing w:val="1"/>
              <w:jc w:val="center"/>
              <w:rPr>
                <w:sz w:val="22"/>
              </w:rPr>
            </w:pPr>
            <w:r>
              <w:rPr>
                <w:sz w:val="22"/>
              </w:rPr>
              <w:t>148180</w:t>
            </w:r>
          </w:p>
        </w:tc>
        <w:tc>
          <w:tcPr>
            <w:tcW w:type="dxa" w:w="1221"/>
            <w:tcBorders>
              <w:top w:color="000000" w:sz="4" w:val="single"/>
              <w:left w:color="000000" w:sz="4" w:val="single"/>
              <w:bottom w:color="000000" w:sz="4" w:val="single"/>
              <w:right w:color="000000" w:sz="4" w:val="single"/>
            </w:tcBorders>
            <w:shd w:fill="FFFFFF" w:val="clear"/>
            <w:vAlign w:val="center"/>
          </w:tcPr>
          <w:p w14:paraId="851B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61B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71B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81B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891B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8A1B0000">
            <w:pPr>
              <w:widowControl w:val="1"/>
              <w:ind/>
              <w:contextualSpacing w:val="1"/>
              <w:jc w:val="center"/>
              <w:rPr>
                <w:sz w:val="22"/>
              </w:rPr>
            </w:pPr>
            <w:r>
              <w:rPr>
                <w:sz w:val="22"/>
              </w:rPr>
              <w:t>Размещение заказа у единственного поставщика, согласно пп.28п. 81  положения утвержденного СД 30.04.2015г. Протокол № 13</w:t>
            </w:r>
          </w:p>
        </w:tc>
      </w:tr>
      <w:tr>
        <w:trPr>
          <w:trHeight w:hRule="atLeast" w:val="40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8B1B0000">
            <w:pPr>
              <w:widowControl w:val="1"/>
              <w:ind/>
              <w:contextualSpacing w:val="1"/>
              <w:jc w:val="center"/>
              <w:rPr>
                <w:color w:val="000000"/>
                <w:sz w:val="22"/>
              </w:rPr>
            </w:pPr>
            <w:r>
              <w:rPr>
                <w:color w:val="000000"/>
                <w:sz w:val="22"/>
              </w:rPr>
              <w:t>Итого по контрагенту АО "Издательский дом "Комсомольская правда" 379840 руб.</w:t>
            </w:r>
          </w:p>
          <w:p w14:paraId="8C1B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8D1B0000">
            <w:pPr>
              <w:widowControl w:val="1"/>
              <w:ind/>
              <w:contextualSpacing w:val="1"/>
              <w:rPr>
                <w:color w:val="000000"/>
                <w:sz w:val="22"/>
              </w:rPr>
            </w:pPr>
            <w:r>
              <w:rPr>
                <w:color w:val="000000"/>
                <w:sz w:val="22"/>
              </w:rPr>
              <w:t>7</w:t>
            </w:r>
          </w:p>
        </w:tc>
        <w:tc>
          <w:tcPr>
            <w:tcW w:type="dxa" w:w="1408"/>
            <w:tcBorders>
              <w:top w:color="000000" w:sz="4" w:val="single"/>
              <w:left w:color="000000" w:sz="4" w:val="single"/>
              <w:bottom w:color="000000" w:sz="4" w:val="single"/>
              <w:right w:color="000000" w:sz="4" w:val="single"/>
            </w:tcBorders>
            <w:shd w:fill="FFFFFF" w:val="clear"/>
            <w:vAlign w:val="center"/>
          </w:tcPr>
          <w:p w14:paraId="8E1B0000">
            <w:pPr>
              <w:widowControl w:val="1"/>
              <w:ind/>
              <w:contextualSpacing w:val="1"/>
              <w:jc w:val="center"/>
              <w:rPr>
                <w:sz w:val="22"/>
              </w:rPr>
            </w:pPr>
            <w:r>
              <w:rPr>
                <w:sz w:val="22"/>
              </w:rPr>
              <w:t>АО "Красинформ"</w:t>
            </w:r>
          </w:p>
        </w:tc>
        <w:tc>
          <w:tcPr>
            <w:tcW w:type="dxa" w:w="1408"/>
            <w:tcBorders>
              <w:top w:color="000000" w:sz="4" w:val="single"/>
              <w:left w:color="000000" w:sz="4" w:val="single"/>
              <w:bottom w:color="000000" w:sz="4" w:val="single"/>
              <w:right w:color="000000" w:sz="4" w:val="single"/>
            </w:tcBorders>
            <w:shd w:fill="FFFFFF" w:val="clear"/>
            <w:vAlign w:val="center"/>
          </w:tcPr>
          <w:p w14:paraId="8F1B0000">
            <w:pPr>
              <w:widowControl w:val="1"/>
              <w:ind/>
              <w:contextualSpacing w:val="1"/>
              <w:jc w:val="center"/>
              <w:rPr>
                <w:sz w:val="22"/>
              </w:rPr>
            </w:pPr>
            <w:r>
              <w:rPr>
                <w:sz w:val="22"/>
              </w:rPr>
              <w:t>договор № 05/Д-11/18/у от 24.01.2018</w:t>
            </w:r>
          </w:p>
        </w:tc>
        <w:tc>
          <w:tcPr>
            <w:tcW w:type="dxa" w:w="1274"/>
            <w:tcBorders>
              <w:top w:color="000000" w:sz="4" w:val="single"/>
              <w:left w:color="000000" w:sz="4" w:val="single"/>
              <w:bottom w:color="000000" w:sz="4" w:val="single"/>
              <w:right w:color="000000" w:sz="4" w:val="single"/>
            </w:tcBorders>
            <w:shd w:fill="FFFFFF" w:val="clear"/>
            <w:vAlign w:val="center"/>
          </w:tcPr>
          <w:p w14:paraId="901B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911B0000">
            <w:pPr>
              <w:widowControl w:val="1"/>
              <w:ind/>
              <w:contextualSpacing w:val="1"/>
              <w:jc w:val="center"/>
              <w:rPr>
                <w:sz w:val="22"/>
              </w:rPr>
            </w:pPr>
            <w:r>
              <w:rPr>
                <w:sz w:val="22"/>
              </w:rPr>
              <w:t>оказание услуг процессингового центра</w:t>
            </w:r>
          </w:p>
        </w:tc>
        <w:tc>
          <w:tcPr>
            <w:tcW w:type="dxa" w:w="1194"/>
            <w:tcBorders>
              <w:top w:color="000000" w:sz="4" w:val="single"/>
              <w:left w:color="000000" w:sz="4" w:val="single"/>
              <w:bottom w:color="000000" w:sz="4" w:val="single"/>
              <w:right w:color="000000" w:sz="4" w:val="single"/>
            </w:tcBorders>
            <w:shd w:fill="FFFFFF" w:val="clear"/>
            <w:vAlign w:val="center"/>
          </w:tcPr>
          <w:p w14:paraId="921B0000">
            <w:pPr>
              <w:widowControl w:val="1"/>
              <w:ind/>
              <w:contextualSpacing w:val="1"/>
              <w:jc w:val="center"/>
              <w:rPr>
                <w:sz w:val="22"/>
              </w:rPr>
            </w:pPr>
            <w:r>
              <w:rPr>
                <w:sz w:val="22"/>
              </w:rPr>
              <w:t>88800</w:t>
            </w:r>
          </w:p>
        </w:tc>
        <w:tc>
          <w:tcPr>
            <w:tcW w:type="dxa" w:w="1221"/>
            <w:tcBorders>
              <w:top w:color="000000" w:sz="4" w:val="single"/>
              <w:left w:color="000000" w:sz="4" w:val="single"/>
              <w:bottom w:color="000000" w:sz="4" w:val="single"/>
              <w:right w:color="000000" w:sz="4" w:val="single"/>
            </w:tcBorders>
            <w:shd w:fill="FFFFFF" w:val="clear"/>
            <w:vAlign w:val="center"/>
          </w:tcPr>
          <w:p w14:paraId="931B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41B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51B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61B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971B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981B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91B0000">
            <w:pPr>
              <w:widowControl w:val="1"/>
              <w:ind/>
              <w:contextualSpacing w:val="1"/>
              <w:rPr>
                <w:color w:val="000000"/>
                <w:sz w:val="22"/>
              </w:rPr>
            </w:pPr>
            <w:r>
              <w:rPr>
                <w:color w:val="000000"/>
                <w:sz w:val="22"/>
              </w:rPr>
              <w:t>8</w:t>
            </w:r>
          </w:p>
        </w:tc>
        <w:tc>
          <w:tcPr>
            <w:tcW w:type="dxa" w:w="1408"/>
            <w:tcBorders>
              <w:top w:color="000000" w:sz="4" w:val="single"/>
              <w:left w:color="000000" w:sz="4" w:val="single"/>
              <w:bottom w:color="000000" w:sz="4" w:val="single"/>
              <w:right w:color="000000" w:sz="4" w:val="single"/>
            </w:tcBorders>
            <w:shd w:fill="FFFFFF" w:val="clear"/>
            <w:vAlign w:val="center"/>
          </w:tcPr>
          <w:p w14:paraId="9A1B0000">
            <w:pPr>
              <w:widowControl w:val="1"/>
              <w:ind/>
              <w:contextualSpacing w:val="1"/>
              <w:jc w:val="center"/>
              <w:rPr>
                <w:sz w:val="22"/>
              </w:rPr>
            </w:pPr>
            <w:r>
              <w:rPr>
                <w:sz w:val="22"/>
              </w:rPr>
              <w:t>АО "Красинформ"</w:t>
            </w:r>
          </w:p>
        </w:tc>
        <w:tc>
          <w:tcPr>
            <w:tcW w:type="dxa" w:w="1408"/>
            <w:tcBorders>
              <w:top w:color="000000" w:sz="4" w:val="single"/>
              <w:left w:color="000000" w:sz="4" w:val="single"/>
              <w:bottom w:color="000000" w:sz="4" w:val="single"/>
              <w:right w:color="000000" w:sz="4" w:val="single"/>
            </w:tcBorders>
            <w:shd w:fill="FFFFFF" w:val="clear"/>
            <w:vAlign w:val="center"/>
          </w:tcPr>
          <w:p w14:paraId="9B1B0000">
            <w:pPr>
              <w:widowControl w:val="1"/>
              <w:ind/>
              <w:contextualSpacing w:val="1"/>
              <w:jc w:val="center"/>
              <w:rPr>
                <w:sz w:val="22"/>
              </w:rPr>
            </w:pPr>
            <w:r>
              <w:rPr>
                <w:sz w:val="22"/>
              </w:rPr>
              <w:t>договор № 05/Д-63/18/У от 28.02.2018</w:t>
            </w:r>
          </w:p>
        </w:tc>
        <w:tc>
          <w:tcPr>
            <w:tcW w:type="dxa" w:w="1274"/>
            <w:tcBorders>
              <w:top w:color="000000" w:sz="4" w:val="single"/>
              <w:left w:color="000000" w:sz="4" w:val="single"/>
              <w:bottom w:color="000000" w:sz="4" w:val="single"/>
              <w:right w:color="000000" w:sz="4" w:val="single"/>
            </w:tcBorders>
            <w:shd w:fill="FFFFFF" w:val="clear"/>
            <w:vAlign w:val="center"/>
          </w:tcPr>
          <w:p w14:paraId="9C1B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9D1B0000">
            <w:pPr>
              <w:widowControl w:val="1"/>
              <w:ind/>
              <w:contextualSpacing w:val="1"/>
              <w:jc w:val="center"/>
              <w:rPr>
                <w:sz w:val="22"/>
              </w:rPr>
            </w:pPr>
            <w:r>
              <w:rPr>
                <w:sz w:val="22"/>
              </w:rPr>
              <w:t>оказание услуг технической поддержки программного комплекса Спринт АСУПБ</w:t>
            </w:r>
          </w:p>
        </w:tc>
        <w:tc>
          <w:tcPr>
            <w:tcW w:type="dxa" w:w="1194"/>
            <w:tcBorders>
              <w:top w:color="000000" w:sz="4" w:val="single"/>
              <w:left w:color="000000" w:sz="4" w:val="single"/>
              <w:bottom w:color="000000" w:sz="4" w:val="single"/>
              <w:right w:color="000000" w:sz="4" w:val="single"/>
            </w:tcBorders>
            <w:shd w:fill="FFFFFF" w:val="clear"/>
            <w:vAlign w:val="center"/>
          </w:tcPr>
          <w:p w14:paraId="9E1B0000">
            <w:pPr>
              <w:widowControl w:val="1"/>
              <w:ind/>
              <w:contextualSpacing w:val="1"/>
              <w:jc w:val="center"/>
              <w:rPr>
                <w:sz w:val="22"/>
              </w:rPr>
            </w:pPr>
            <w:r>
              <w:rPr>
                <w:sz w:val="22"/>
              </w:rPr>
              <w:t>629904</w:t>
            </w:r>
          </w:p>
        </w:tc>
        <w:tc>
          <w:tcPr>
            <w:tcW w:type="dxa" w:w="1221"/>
            <w:tcBorders>
              <w:top w:color="000000" w:sz="4" w:val="single"/>
              <w:left w:color="000000" w:sz="4" w:val="single"/>
              <w:bottom w:color="000000" w:sz="4" w:val="single"/>
              <w:right w:color="000000" w:sz="4" w:val="single"/>
            </w:tcBorders>
            <w:shd w:fill="FFFFFF" w:val="clear"/>
            <w:vAlign w:val="center"/>
          </w:tcPr>
          <w:p w14:paraId="9F1B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01B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11B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21B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A31B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A41B0000">
            <w:pPr>
              <w:widowControl w:val="1"/>
              <w:ind/>
              <w:contextualSpacing w:val="1"/>
              <w:jc w:val="center"/>
              <w:rPr>
                <w:sz w:val="22"/>
              </w:rPr>
            </w:pPr>
            <w:r>
              <w:rPr>
                <w:sz w:val="22"/>
              </w:rPr>
              <w:t>Размещение заказа у единственного поставщика, согласно пп. 31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51B0000">
            <w:pPr>
              <w:widowControl w:val="1"/>
              <w:ind/>
              <w:contextualSpacing w:val="1"/>
              <w:rPr>
                <w:color w:val="000000"/>
                <w:sz w:val="22"/>
              </w:rPr>
            </w:pPr>
            <w:r>
              <w:rPr>
                <w:color w:val="000000"/>
                <w:sz w:val="22"/>
              </w:rPr>
              <w:t>9</w:t>
            </w:r>
          </w:p>
        </w:tc>
        <w:tc>
          <w:tcPr>
            <w:tcW w:type="dxa" w:w="1408"/>
            <w:tcBorders>
              <w:top w:color="000000" w:sz="4" w:val="single"/>
              <w:left w:color="000000" w:sz="4" w:val="single"/>
              <w:bottom w:color="000000" w:sz="4" w:val="single"/>
              <w:right w:color="000000" w:sz="4" w:val="single"/>
            </w:tcBorders>
            <w:shd w:fill="FFFFFF" w:val="clear"/>
            <w:vAlign w:val="center"/>
          </w:tcPr>
          <w:p w14:paraId="A61B0000">
            <w:pPr>
              <w:widowControl w:val="1"/>
              <w:ind/>
              <w:contextualSpacing w:val="1"/>
              <w:jc w:val="center"/>
              <w:rPr>
                <w:sz w:val="22"/>
              </w:rPr>
            </w:pPr>
            <w:r>
              <w:rPr>
                <w:sz w:val="22"/>
              </w:rPr>
              <w:t>АО "Красинформ"</w:t>
            </w:r>
          </w:p>
        </w:tc>
        <w:tc>
          <w:tcPr>
            <w:tcW w:type="dxa" w:w="1408"/>
            <w:tcBorders>
              <w:top w:color="000000" w:sz="4" w:val="single"/>
              <w:left w:color="000000" w:sz="4" w:val="single"/>
              <w:bottom w:color="000000" w:sz="4" w:val="single"/>
              <w:right w:color="000000" w:sz="4" w:val="single"/>
            </w:tcBorders>
            <w:shd w:fill="FFFFFF" w:val="clear"/>
            <w:vAlign w:val="center"/>
          </w:tcPr>
          <w:p w14:paraId="A71B0000">
            <w:pPr>
              <w:widowControl w:val="1"/>
              <w:ind/>
              <w:contextualSpacing w:val="1"/>
              <w:jc w:val="center"/>
              <w:rPr>
                <w:sz w:val="22"/>
              </w:rPr>
            </w:pPr>
            <w:r>
              <w:rPr>
                <w:sz w:val="22"/>
              </w:rPr>
              <w:t>дополнительное соглашение № 1 к договору № 05/Д-63/18/У от 28.02.2018 от 10.04.2018</w:t>
            </w:r>
          </w:p>
        </w:tc>
        <w:tc>
          <w:tcPr>
            <w:tcW w:type="dxa" w:w="1274"/>
            <w:tcBorders>
              <w:top w:color="000000" w:sz="4" w:val="single"/>
              <w:left w:color="000000" w:sz="4" w:val="single"/>
              <w:bottom w:color="000000" w:sz="4" w:val="single"/>
              <w:right w:color="000000" w:sz="4" w:val="single"/>
            </w:tcBorders>
            <w:shd w:fill="FFFFFF" w:val="clear"/>
            <w:vAlign w:val="center"/>
          </w:tcPr>
          <w:p w14:paraId="A81B0000">
            <w:pPr>
              <w:widowControl w:val="1"/>
              <w:ind/>
              <w:contextualSpacing w:val="1"/>
              <w:jc w:val="center"/>
              <w:rPr>
                <w:sz w:val="22"/>
              </w:rPr>
            </w:pPr>
            <w:r>
              <w:rPr>
                <w:sz w:val="22"/>
              </w:rPr>
              <w:t>10.04.2018-31.12.2018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A91B0000">
            <w:pPr>
              <w:widowControl w:val="1"/>
              <w:ind/>
              <w:contextualSpacing w:val="1"/>
              <w:jc w:val="center"/>
              <w:rPr>
                <w:sz w:val="22"/>
              </w:rPr>
            </w:pPr>
            <w:r>
              <w:rPr>
                <w:sz w:val="22"/>
              </w:rPr>
              <w:t>внесение изменений в порядок оплаты по договору на оказание услуг технической поддержки программного комплекса Спринт АСУПБ</w:t>
            </w:r>
          </w:p>
        </w:tc>
        <w:tc>
          <w:tcPr>
            <w:tcW w:type="dxa" w:w="1194"/>
            <w:tcBorders>
              <w:top w:color="000000" w:sz="4" w:val="single"/>
              <w:left w:color="000000" w:sz="4" w:val="single"/>
              <w:bottom w:color="000000" w:sz="4" w:val="single"/>
              <w:right w:color="000000" w:sz="4" w:val="single"/>
            </w:tcBorders>
            <w:shd w:fill="FFFFFF" w:val="clear"/>
            <w:vAlign w:val="center"/>
          </w:tcPr>
          <w:p w14:paraId="AA1B0000">
            <w:pPr>
              <w:widowControl w:val="1"/>
              <w:ind/>
              <w:contextualSpacing w:val="1"/>
              <w:jc w:val="center"/>
              <w:rPr>
                <w:sz w:val="22"/>
              </w:rPr>
            </w:pPr>
            <w:r>
              <w:rPr>
                <w:sz w:val="22"/>
              </w:rPr>
              <w:t>629904</w:t>
            </w:r>
          </w:p>
        </w:tc>
        <w:tc>
          <w:tcPr>
            <w:tcW w:type="dxa" w:w="1221"/>
            <w:tcBorders>
              <w:top w:color="000000" w:sz="4" w:val="single"/>
              <w:left w:color="000000" w:sz="4" w:val="single"/>
              <w:bottom w:color="000000" w:sz="4" w:val="single"/>
              <w:right w:color="000000" w:sz="4" w:val="single"/>
            </w:tcBorders>
            <w:shd w:fill="FFFFFF" w:val="clear"/>
            <w:vAlign w:val="center"/>
          </w:tcPr>
          <w:p w14:paraId="AB1B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C1B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D1B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E1B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AF1B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B01B0000">
            <w:pPr>
              <w:widowControl w:val="1"/>
              <w:ind/>
              <w:contextualSpacing w:val="1"/>
              <w:jc w:val="center"/>
              <w:rPr>
                <w:sz w:val="22"/>
              </w:rPr>
            </w:pPr>
            <w:r>
              <w:rPr>
                <w:sz w:val="22"/>
              </w:rPr>
              <w:t>Размещение заказа у единственного поставщика, согласно пп. 31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B11B0000">
            <w:pPr>
              <w:widowControl w:val="1"/>
              <w:ind/>
              <w:contextualSpacing w:val="1"/>
              <w:rPr>
                <w:color w:val="000000"/>
                <w:sz w:val="22"/>
              </w:rPr>
            </w:pPr>
            <w:r>
              <w:rPr>
                <w:color w:val="000000"/>
                <w:sz w:val="22"/>
              </w:rPr>
              <w:t>10</w:t>
            </w:r>
          </w:p>
        </w:tc>
        <w:tc>
          <w:tcPr>
            <w:tcW w:type="dxa" w:w="1408"/>
            <w:tcBorders>
              <w:top w:color="000000" w:sz="4" w:val="single"/>
              <w:left w:color="000000" w:sz="4" w:val="single"/>
              <w:bottom w:color="000000" w:sz="4" w:val="single"/>
              <w:right w:color="000000" w:sz="4" w:val="single"/>
            </w:tcBorders>
            <w:shd w:fill="FFFFFF" w:val="clear"/>
            <w:vAlign w:val="center"/>
          </w:tcPr>
          <w:p w14:paraId="B21B0000">
            <w:pPr>
              <w:widowControl w:val="1"/>
              <w:ind/>
              <w:contextualSpacing w:val="1"/>
              <w:jc w:val="center"/>
              <w:rPr>
                <w:sz w:val="22"/>
              </w:rPr>
            </w:pPr>
            <w:r>
              <w:rPr>
                <w:sz w:val="22"/>
              </w:rPr>
              <w:t>АО "Красинформ"</w:t>
            </w:r>
          </w:p>
        </w:tc>
        <w:tc>
          <w:tcPr>
            <w:tcW w:type="dxa" w:w="1408"/>
            <w:tcBorders>
              <w:top w:color="000000" w:sz="4" w:val="single"/>
              <w:left w:color="000000" w:sz="4" w:val="single"/>
              <w:bottom w:color="000000" w:sz="4" w:val="single"/>
              <w:right w:color="000000" w:sz="4" w:val="single"/>
            </w:tcBorders>
            <w:shd w:fill="FFFFFF" w:val="clear"/>
            <w:vAlign w:val="center"/>
          </w:tcPr>
          <w:p w14:paraId="B31B0000">
            <w:pPr>
              <w:widowControl w:val="1"/>
              <w:ind/>
              <w:contextualSpacing w:val="1"/>
              <w:jc w:val="center"/>
              <w:rPr>
                <w:sz w:val="22"/>
              </w:rPr>
            </w:pPr>
            <w:r>
              <w:rPr>
                <w:sz w:val="22"/>
              </w:rPr>
              <w:t>дополнительное соглашение № 1 к договору № 05/д-11/18/у от 24.01.2018 от 28.04.2018</w:t>
            </w:r>
          </w:p>
        </w:tc>
        <w:tc>
          <w:tcPr>
            <w:tcW w:type="dxa" w:w="1274"/>
            <w:tcBorders>
              <w:top w:color="000000" w:sz="4" w:val="single"/>
              <w:left w:color="000000" w:sz="4" w:val="single"/>
              <w:bottom w:color="000000" w:sz="4" w:val="single"/>
              <w:right w:color="000000" w:sz="4" w:val="single"/>
            </w:tcBorders>
            <w:shd w:fill="FFFFFF" w:val="clear"/>
            <w:vAlign w:val="center"/>
          </w:tcPr>
          <w:p w14:paraId="B41B0000">
            <w:pPr>
              <w:widowControl w:val="1"/>
              <w:ind/>
              <w:contextualSpacing w:val="1"/>
              <w:jc w:val="center"/>
              <w:rPr>
                <w:sz w:val="22"/>
              </w:rPr>
            </w:pPr>
            <w:r>
              <w:rPr>
                <w:sz w:val="22"/>
              </w:rPr>
              <w:t>01.05.2018-31.12.2018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B51B0000">
            <w:pPr>
              <w:widowControl w:val="1"/>
              <w:ind/>
              <w:contextualSpacing w:val="1"/>
              <w:jc w:val="center"/>
              <w:rPr>
                <w:sz w:val="22"/>
              </w:rPr>
            </w:pPr>
            <w:r>
              <w:rPr>
                <w:sz w:val="22"/>
              </w:rPr>
              <w:t>уменьшение цены договора на оказание услуг процессингового центра</w:t>
            </w:r>
          </w:p>
        </w:tc>
        <w:tc>
          <w:tcPr>
            <w:tcW w:type="dxa" w:w="1194"/>
            <w:tcBorders>
              <w:top w:color="000000" w:sz="4" w:val="single"/>
              <w:left w:color="000000" w:sz="4" w:val="single"/>
              <w:bottom w:color="000000" w:sz="4" w:val="single"/>
              <w:right w:color="000000" w:sz="4" w:val="single"/>
            </w:tcBorders>
            <w:shd w:fill="FFFFFF" w:val="clear"/>
            <w:vAlign w:val="center"/>
          </w:tcPr>
          <w:p w14:paraId="B61B0000">
            <w:pPr>
              <w:widowControl w:val="1"/>
              <w:ind/>
              <w:contextualSpacing w:val="1"/>
              <w:jc w:val="center"/>
              <w:rPr>
                <w:sz w:val="22"/>
              </w:rPr>
            </w:pPr>
            <w:r>
              <w:rPr>
                <w:sz w:val="22"/>
              </w:rPr>
              <w:t>52800</w:t>
            </w:r>
          </w:p>
        </w:tc>
        <w:tc>
          <w:tcPr>
            <w:tcW w:type="dxa" w:w="1221"/>
            <w:tcBorders>
              <w:top w:color="000000" w:sz="4" w:val="single"/>
              <w:left w:color="000000" w:sz="4" w:val="single"/>
              <w:bottom w:color="000000" w:sz="4" w:val="single"/>
              <w:right w:color="000000" w:sz="4" w:val="single"/>
            </w:tcBorders>
            <w:shd w:fill="FFFFFF" w:val="clear"/>
            <w:vAlign w:val="center"/>
          </w:tcPr>
          <w:p w14:paraId="B71B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81B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91B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A1B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BB1B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BC1B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BD1B0000">
            <w:pPr>
              <w:widowControl w:val="1"/>
              <w:ind/>
              <w:contextualSpacing w:val="1"/>
              <w:rPr>
                <w:color w:val="000000"/>
                <w:sz w:val="22"/>
              </w:rPr>
            </w:pPr>
            <w:r>
              <w:rPr>
                <w:color w:val="000000"/>
                <w:sz w:val="22"/>
              </w:rPr>
              <w:t>11</w:t>
            </w:r>
          </w:p>
        </w:tc>
        <w:tc>
          <w:tcPr>
            <w:tcW w:type="dxa" w:w="1408"/>
            <w:tcBorders>
              <w:top w:color="000000" w:sz="4" w:val="single"/>
              <w:left w:color="000000" w:sz="4" w:val="single"/>
              <w:bottom w:color="000000" w:sz="4" w:val="single"/>
              <w:right w:color="000000" w:sz="4" w:val="single"/>
            </w:tcBorders>
            <w:shd w:fill="FFFFFF" w:val="clear"/>
            <w:vAlign w:val="center"/>
          </w:tcPr>
          <w:p w14:paraId="BE1B0000">
            <w:pPr>
              <w:widowControl w:val="1"/>
              <w:ind/>
              <w:contextualSpacing w:val="1"/>
              <w:jc w:val="center"/>
              <w:rPr>
                <w:sz w:val="22"/>
              </w:rPr>
            </w:pPr>
            <w:r>
              <w:rPr>
                <w:sz w:val="22"/>
              </w:rPr>
              <w:t>АО "Красинформ"</w:t>
            </w:r>
          </w:p>
        </w:tc>
        <w:tc>
          <w:tcPr>
            <w:tcW w:type="dxa" w:w="1408"/>
            <w:tcBorders>
              <w:top w:color="000000" w:sz="4" w:val="single"/>
              <w:left w:color="000000" w:sz="4" w:val="single"/>
              <w:bottom w:color="000000" w:sz="4" w:val="single"/>
              <w:right w:color="000000" w:sz="4" w:val="single"/>
            </w:tcBorders>
            <w:shd w:fill="FFFFFF" w:val="clear"/>
            <w:vAlign w:val="center"/>
          </w:tcPr>
          <w:p w14:paraId="BF1B0000">
            <w:pPr>
              <w:widowControl w:val="1"/>
              <w:ind/>
              <w:contextualSpacing w:val="1"/>
              <w:jc w:val="center"/>
              <w:rPr>
                <w:sz w:val="22"/>
              </w:rPr>
            </w:pPr>
            <w:r>
              <w:rPr>
                <w:sz w:val="22"/>
              </w:rPr>
              <w:t>договор № 05/д-162/18/у от 31.10.2018</w:t>
            </w:r>
          </w:p>
        </w:tc>
        <w:tc>
          <w:tcPr>
            <w:tcW w:type="dxa" w:w="1274"/>
            <w:tcBorders>
              <w:top w:color="000000" w:sz="4" w:val="single"/>
              <w:left w:color="000000" w:sz="4" w:val="single"/>
              <w:bottom w:color="000000" w:sz="4" w:val="single"/>
              <w:right w:color="000000" w:sz="4" w:val="single"/>
            </w:tcBorders>
            <w:shd w:fill="FFFFFF" w:val="clear"/>
            <w:vAlign w:val="center"/>
          </w:tcPr>
          <w:p w14:paraId="C01B0000">
            <w:pPr>
              <w:widowControl w:val="1"/>
              <w:ind/>
              <w:contextualSpacing w:val="1"/>
              <w:jc w:val="center"/>
              <w:rPr>
                <w:sz w:val="22"/>
              </w:rPr>
            </w:pPr>
            <w:r>
              <w:rPr>
                <w:sz w:val="22"/>
              </w:rPr>
              <w:t>01.09.2018-31.08.2019</w:t>
            </w:r>
          </w:p>
        </w:tc>
        <w:tc>
          <w:tcPr>
            <w:tcW w:type="dxa" w:w="1556"/>
            <w:tcBorders>
              <w:top w:color="000000" w:sz="4" w:val="single"/>
              <w:left w:color="000000" w:sz="4" w:val="single"/>
              <w:bottom w:color="000000" w:sz="4" w:val="single"/>
              <w:right w:color="000000" w:sz="4" w:val="single"/>
            </w:tcBorders>
            <w:shd w:fill="FFFFFF" w:val="clear"/>
            <w:vAlign w:val="center"/>
          </w:tcPr>
          <w:p w14:paraId="C11B0000">
            <w:pPr>
              <w:widowControl w:val="1"/>
              <w:ind/>
              <w:contextualSpacing w:val="1"/>
              <w:jc w:val="center"/>
              <w:rPr>
                <w:sz w:val="22"/>
              </w:rPr>
            </w:pPr>
            <w:r>
              <w:rPr>
                <w:sz w:val="22"/>
              </w:rPr>
              <w:t>Оказание услуг технической поддержки подсистемы "сервис для интеграции с системами по продаже билетов для АСУПБ"</w:t>
            </w:r>
          </w:p>
        </w:tc>
        <w:tc>
          <w:tcPr>
            <w:tcW w:type="dxa" w:w="1194"/>
            <w:tcBorders>
              <w:top w:color="000000" w:sz="4" w:val="single"/>
              <w:left w:color="000000" w:sz="4" w:val="single"/>
              <w:bottom w:color="000000" w:sz="4" w:val="single"/>
              <w:right w:color="000000" w:sz="4" w:val="single"/>
            </w:tcBorders>
            <w:shd w:fill="FFFFFF" w:val="clear"/>
            <w:vAlign w:val="center"/>
          </w:tcPr>
          <w:p w14:paraId="C21B0000">
            <w:pPr>
              <w:widowControl w:val="1"/>
              <w:ind/>
              <w:contextualSpacing w:val="1"/>
              <w:jc w:val="center"/>
              <w:rPr>
                <w:sz w:val="22"/>
              </w:rPr>
            </w:pPr>
            <w:r>
              <w:rPr>
                <w:sz w:val="22"/>
              </w:rPr>
              <w:t>120000</w:t>
            </w:r>
          </w:p>
        </w:tc>
        <w:tc>
          <w:tcPr>
            <w:tcW w:type="dxa" w:w="1221"/>
            <w:tcBorders>
              <w:top w:color="000000" w:sz="4" w:val="single"/>
              <w:left w:color="000000" w:sz="4" w:val="single"/>
              <w:bottom w:color="000000" w:sz="4" w:val="single"/>
              <w:right w:color="000000" w:sz="4" w:val="single"/>
            </w:tcBorders>
            <w:shd w:fill="FFFFFF" w:val="clear"/>
            <w:vAlign w:val="center"/>
          </w:tcPr>
          <w:p w14:paraId="C31B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41B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51B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61B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C71B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C81B0000">
            <w:pPr>
              <w:widowControl w:val="1"/>
              <w:ind/>
              <w:contextualSpacing w:val="1"/>
              <w:jc w:val="center"/>
              <w:rPr>
                <w:sz w:val="22"/>
              </w:rPr>
            </w:pPr>
            <w:r>
              <w:rPr>
                <w:sz w:val="22"/>
              </w:rPr>
              <w:t>Размещение заказа у единственного поставщика, согласно пп. 32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91B0000">
            <w:pPr>
              <w:widowControl w:val="1"/>
              <w:ind/>
              <w:contextualSpacing w:val="1"/>
              <w:rPr>
                <w:color w:val="000000"/>
                <w:sz w:val="22"/>
              </w:rPr>
            </w:pPr>
            <w:r>
              <w:rPr>
                <w:color w:val="000000"/>
                <w:sz w:val="22"/>
              </w:rPr>
              <w:t>12</w:t>
            </w:r>
          </w:p>
        </w:tc>
        <w:tc>
          <w:tcPr>
            <w:tcW w:type="dxa" w:w="1408"/>
            <w:tcBorders>
              <w:top w:color="000000" w:sz="4" w:val="single"/>
              <w:left w:color="000000" w:sz="4" w:val="single"/>
              <w:bottom w:color="000000" w:sz="4" w:val="single"/>
              <w:right w:color="000000" w:sz="4" w:val="single"/>
            </w:tcBorders>
            <w:shd w:fill="FFFFFF" w:val="clear"/>
            <w:vAlign w:val="center"/>
          </w:tcPr>
          <w:p w14:paraId="CA1B0000">
            <w:pPr>
              <w:widowControl w:val="1"/>
              <w:ind/>
              <w:contextualSpacing w:val="1"/>
              <w:jc w:val="center"/>
              <w:rPr>
                <w:sz w:val="22"/>
              </w:rPr>
            </w:pPr>
            <w:r>
              <w:rPr>
                <w:sz w:val="22"/>
              </w:rPr>
              <w:t>АО "Красинформ"</w:t>
            </w:r>
          </w:p>
        </w:tc>
        <w:tc>
          <w:tcPr>
            <w:tcW w:type="dxa" w:w="1408"/>
            <w:tcBorders>
              <w:top w:color="000000" w:sz="4" w:val="single"/>
              <w:left w:color="000000" w:sz="4" w:val="single"/>
              <w:bottom w:color="000000" w:sz="4" w:val="single"/>
              <w:right w:color="000000" w:sz="4" w:val="single"/>
            </w:tcBorders>
            <w:shd w:fill="FFFFFF" w:val="clear"/>
            <w:vAlign w:val="center"/>
          </w:tcPr>
          <w:p w14:paraId="CB1B0000">
            <w:pPr>
              <w:widowControl w:val="1"/>
              <w:ind/>
              <w:contextualSpacing w:val="1"/>
              <w:jc w:val="center"/>
              <w:rPr>
                <w:sz w:val="22"/>
              </w:rPr>
            </w:pPr>
            <w:r>
              <w:rPr>
                <w:sz w:val="22"/>
              </w:rPr>
              <w:t>договор № 05/д-163/18/у от 31.10.2018</w:t>
            </w:r>
          </w:p>
        </w:tc>
        <w:tc>
          <w:tcPr>
            <w:tcW w:type="dxa" w:w="1274"/>
            <w:tcBorders>
              <w:top w:color="000000" w:sz="4" w:val="single"/>
              <w:left w:color="000000" w:sz="4" w:val="single"/>
              <w:bottom w:color="000000" w:sz="4" w:val="single"/>
              <w:right w:color="000000" w:sz="4" w:val="single"/>
            </w:tcBorders>
            <w:shd w:fill="FFFFFF" w:val="clear"/>
            <w:vAlign w:val="center"/>
          </w:tcPr>
          <w:p w14:paraId="CC1B0000">
            <w:pPr>
              <w:widowControl w:val="1"/>
              <w:ind/>
              <w:contextualSpacing w:val="1"/>
              <w:jc w:val="center"/>
              <w:rPr>
                <w:sz w:val="22"/>
              </w:rPr>
            </w:pPr>
            <w:r>
              <w:rPr>
                <w:sz w:val="22"/>
              </w:rPr>
              <w:t>31.10.2018-31.12.2018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CD1B0000">
            <w:pPr>
              <w:widowControl w:val="1"/>
              <w:ind/>
              <w:contextualSpacing w:val="1"/>
              <w:jc w:val="center"/>
              <w:rPr>
                <w:sz w:val="22"/>
              </w:rPr>
            </w:pPr>
            <w:r>
              <w:rPr>
                <w:sz w:val="22"/>
              </w:rPr>
              <w:t>Выполнение работ по доработке программного обеспечения АСУПБ</w:t>
            </w:r>
          </w:p>
        </w:tc>
        <w:tc>
          <w:tcPr>
            <w:tcW w:type="dxa" w:w="1194"/>
            <w:tcBorders>
              <w:top w:color="000000" w:sz="4" w:val="single"/>
              <w:left w:color="000000" w:sz="4" w:val="single"/>
              <w:bottom w:color="000000" w:sz="4" w:val="single"/>
              <w:right w:color="000000" w:sz="4" w:val="single"/>
            </w:tcBorders>
            <w:shd w:fill="FFFFFF" w:val="clear"/>
            <w:vAlign w:val="center"/>
          </w:tcPr>
          <w:p w14:paraId="CE1B0000">
            <w:pPr>
              <w:widowControl w:val="1"/>
              <w:ind/>
              <w:contextualSpacing w:val="1"/>
              <w:jc w:val="center"/>
              <w:rPr>
                <w:sz w:val="22"/>
              </w:rPr>
            </w:pPr>
            <w:r>
              <w:rPr>
                <w:sz w:val="22"/>
              </w:rPr>
              <w:t>454275</w:t>
            </w:r>
          </w:p>
        </w:tc>
        <w:tc>
          <w:tcPr>
            <w:tcW w:type="dxa" w:w="1221"/>
            <w:tcBorders>
              <w:top w:color="000000" w:sz="4" w:val="single"/>
              <w:left w:color="000000" w:sz="4" w:val="single"/>
              <w:bottom w:color="000000" w:sz="4" w:val="single"/>
              <w:right w:color="000000" w:sz="4" w:val="single"/>
            </w:tcBorders>
            <w:shd w:fill="FFFFFF" w:val="clear"/>
            <w:vAlign w:val="center"/>
          </w:tcPr>
          <w:p w14:paraId="CF1B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01B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11B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21B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D31B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D41B0000">
            <w:pPr>
              <w:widowControl w:val="1"/>
              <w:ind/>
              <w:contextualSpacing w:val="1"/>
              <w:jc w:val="center"/>
              <w:rPr>
                <w:sz w:val="22"/>
              </w:rPr>
            </w:pPr>
            <w:r>
              <w:rPr>
                <w:sz w:val="22"/>
              </w:rPr>
              <w:t>Размещение заказа у единственного поставщика, согласно пп. 32 п. 89  положения утвержденного СД 22.10.2018г. Протокол № 5</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D51B0000">
            <w:pPr>
              <w:widowControl w:val="1"/>
              <w:ind/>
              <w:contextualSpacing w:val="1"/>
              <w:jc w:val="center"/>
              <w:rPr>
                <w:color w:val="000000"/>
                <w:sz w:val="22"/>
              </w:rPr>
            </w:pPr>
            <w:r>
              <w:rPr>
                <w:color w:val="000000"/>
                <w:sz w:val="22"/>
              </w:rPr>
              <w:t>Итого по контрагенту АО "Красинформ"1975683 руб.</w:t>
            </w:r>
          </w:p>
          <w:p w14:paraId="D61B0000">
            <w:pPr>
              <w:widowControl w:val="1"/>
              <w:ind/>
              <w:contextualSpacing w:val="1"/>
              <w:jc w:val="center"/>
              <w:rPr>
                <w:color w:val="000000"/>
                <w:sz w:val="22"/>
              </w:rPr>
            </w:pPr>
          </w:p>
        </w:tc>
      </w:tr>
      <w:tr>
        <w:trPr>
          <w:trHeight w:hRule="atLeast" w:val="1845"/>
        </w:trPr>
        <w:tc>
          <w:tcPr>
            <w:tcW w:type="dxa" w:w="528"/>
            <w:tcBorders>
              <w:top w:color="000000" w:sz="4" w:val="single"/>
              <w:left w:color="000000" w:sz="4" w:val="single"/>
              <w:bottom w:color="000000" w:sz="4" w:val="single"/>
              <w:right w:color="000000" w:sz="4" w:val="single"/>
            </w:tcBorders>
            <w:shd w:fill="FFFFFF" w:val="clear"/>
            <w:vAlign w:val="center"/>
          </w:tcPr>
          <w:p w14:paraId="D71B0000">
            <w:pPr>
              <w:widowControl w:val="1"/>
              <w:ind/>
              <w:contextualSpacing w:val="1"/>
              <w:jc w:val="center"/>
              <w:rPr>
                <w:color w:val="000000"/>
                <w:sz w:val="22"/>
              </w:rPr>
            </w:pPr>
            <w:r>
              <w:rPr>
                <w:color w:val="000000"/>
                <w:sz w:val="22"/>
              </w:rPr>
              <w:t>13</w:t>
            </w:r>
          </w:p>
          <w:p w14:paraId="D81B0000">
            <w:pPr>
              <w:widowControl w:val="1"/>
              <w:ind/>
              <w:contextualSpacing w:val="1"/>
              <w:jc w:val="center"/>
              <w:rPr>
                <w:color w:val="000000"/>
                <w:sz w:val="22"/>
              </w:rPr>
            </w:pPr>
          </w:p>
        </w:tc>
        <w:tc>
          <w:tcPr>
            <w:tcW w:type="dxa" w:w="1408"/>
            <w:tcBorders>
              <w:top w:color="000000" w:sz="4" w:val="single"/>
              <w:left w:color="000000" w:sz="4" w:val="single"/>
              <w:bottom w:color="000000" w:sz="4" w:val="single"/>
              <w:right w:color="000000" w:sz="4" w:val="single"/>
            </w:tcBorders>
            <w:shd w:fill="FFFFFF" w:val="clear"/>
            <w:vAlign w:val="center"/>
          </w:tcPr>
          <w:p w14:paraId="D91B0000">
            <w:pPr>
              <w:widowControl w:val="1"/>
              <w:ind/>
              <w:contextualSpacing w:val="1"/>
              <w:jc w:val="center"/>
              <w:rPr>
                <w:sz w:val="22"/>
              </w:rPr>
            </w:pPr>
            <w:r>
              <w:rPr>
                <w:sz w:val="22"/>
              </w:rPr>
              <w:t>АО "Кузбасс-пригород"</w:t>
            </w:r>
          </w:p>
        </w:tc>
        <w:tc>
          <w:tcPr>
            <w:tcW w:type="dxa" w:w="1408"/>
            <w:tcBorders>
              <w:top w:color="000000" w:sz="4" w:val="single"/>
              <w:left w:color="000000" w:sz="4" w:val="single"/>
              <w:bottom w:color="000000" w:sz="4" w:val="single"/>
              <w:right w:color="000000" w:sz="4" w:val="single"/>
            </w:tcBorders>
            <w:shd w:fill="FFFFFF" w:val="clear"/>
            <w:vAlign w:val="center"/>
          </w:tcPr>
          <w:p w14:paraId="DA1B0000">
            <w:pPr>
              <w:widowControl w:val="1"/>
              <w:ind/>
              <w:contextualSpacing w:val="1"/>
              <w:jc w:val="center"/>
              <w:rPr>
                <w:sz w:val="22"/>
              </w:rPr>
            </w:pPr>
            <w:r>
              <w:rPr>
                <w:sz w:val="22"/>
              </w:rPr>
              <w:t>агентский договор № 12 от 30.01.2018</w:t>
            </w:r>
          </w:p>
        </w:tc>
        <w:tc>
          <w:tcPr>
            <w:tcW w:type="dxa" w:w="1274"/>
            <w:tcBorders>
              <w:top w:color="000000" w:sz="4" w:val="single"/>
              <w:left w:color="000000" w:sz="4" w:val="single"/>
              <w:bottom w:color="000000" w:sz="4" w:val="single"/>
              <w:right w:color="000000" w:sz="4" w:val="single"/>
            </w:tcBorders>
            <w:shd w:fill="FFFFFF" w:val="clear"/>
            <w:vAlign w:val="center"/>
          </w:tcPr>
          <w:p w14:paraId="DB1B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DC1B0000">
            <w:pPr>
              <w:widowControl w:val="1"/>
              <w:ind/>
              <w:contextualSpacing w:val="1"/>
              <w:jc w:val="center"/>
              <w:rPr>
                <w:sz w:val="22"/>
              </w:rPr>
            </w:pPr>
            <w:r>
              <w:rPr>
                <w:sz w:val="22"/>
              </w:rPr>
              <w:t>Оказание услуг по оформлению железнодорожных проездных документов на поезда принадлежности пригородной пассажирской компании</w:t>
            </w:r>
          </w:p>
        </w:tc>
        <w:tc>
          <w:tcPr>
            <w:tcW w:type="dxa" w:w="1194"/>
            <w:tcBorders>
              <w:top w:color="000000" w:sz="4" w:val="single"/>
              <w:left w:color="000000" w:sz="4" w:val="single"/>
              <w:bottom w:color="000000" w:sz="4" w:val="single"/>
              <w:right w:color="000000" w:sz="4" w:val="single"/>
            </w:tcBorders>
            <w:shd w:fill="FFFFFF" w:val="clear"/>
            <w:vAlign w:val="center"/>
          </w:tcPr>
          <w:p w14:paraId="DD1B0000">
            <w:pPr>
              <w:widowControl w:val="1"/>
              <w:ind/>
              <w:contextualSpacing w:val="1"/>
              <w:jc w:val="center"/>
              <w:rPr>
                <w:sz w:val="22"/>
              </w:rPr>
            </w:pPr>
            <w:r>
              <w:rPr>
                <w:sz w:val="22"/>
              </w:rPr>
              <w:t>439472</w:t>
            </w:r>
          </w:p>
        </w:tc>
        <w:tc>
          <w:tcPr>
            <w:tcW w:type="dxa" w:w="1221"/>
            <w:tcBorders>
              <w:top w:color="000000" w:sz="4" w:val="single"/>
              <w:left w:color="000000" w:sz="4" w:val="single"/>
              <w:bottom w:color="000000" w:sz="4" w:val="single"/>
              <w:right w:color="000000" w:sz="4" w:val="single"/>
            </w:tcBorders>
            <w:shd w:fill="FFFFFF" w:val="clear"/>
            <w:vAlign w:val="center"/>
          </w:tcPr>
          <w:p w14:paraId="DE1B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F1B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01B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11B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E21B0000">
            <w:pPr>
              <w:widowControl w:val="1"/>
              <w:ind/>
              <w:contextualSpacing w:val="1"/>
              <w:jc w:val="center"/>
              <w:rPr>
                <w:sz w:val="22"/>
              </w:rPr>
            </w:pPr>
            <w:r>
              <w:rPr>
                <w:sz w:val="22"/>
              </w:rPr>
              <w:t>извещение о сделке направлено 15.01.2018, требование об одобрении сделки не поступило</w:t>
            </w:r>
          </w:p>
        </w:tc>
        <w:tc>
          <w:tcPr>
            <w:tcW w:type="dxa" w:w="1654"/>
            <w:tcBorders>
              <w:top w:color="000000" w:sz="4" w:val="single"/>
              <w:left w:color="000000" w:sz="4" w:val="single"/>
              <w:bottom w:color="000000" w:sz="4" w:val="single"/>
              <w:right w:color="000000" w:sz="4" w:val="single"/>
            </w:tcBorders>
            <w:shd w:fill="FFFFFF" w:val="clear"/>
            <w:vAlign w:val="center"/>
          </w:tcPr>
          <w:p w14:paraId="E31B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960"/>
        </w:trPr>
        <w:tc>
          <w:tcPr>
            <w:tcW w:type="dxa" w:w="528"/>
            <w:tcBorders>
              <w:top w:color="000000" w:sz="4" w:val="single"/>
              <w:left w:color="000000" w:sz="4" w:val="single"/>
              <w:bottom w:color="000000" w:sz="4" w:val="single"/>
              <w:right w:color="000000" w:sz="4" w:val="single"/>
            </w:tcBorders>
            <w:shd w:fill="FFFFFF" w:val="clear"/>
            <w:vAlign w:val="center"/>
          </w:tcPr>
          <w:p w14:paraId="E41B0000">
            <w:pPr>
              <w:widowControl w:val="1"/>
              <w:ind/>
              <w:contextualSpacing w:val="1"/>
              <w:rPr>
                <w:color w:val="000000"/>
                <w:sz w:val="22"/>
              </w:rPr>
            </w:pPr>
            <w:r>
              <w:rPr>
                <w:color w:val="000000"/>
                <w:sz w:val="22"/>
              </w:rPr>
              <w:t>14</w:t>
            </w:r>
          </w:p>
        </w:tc>
        <w:tc>
          <w:tcPr>
            <w:tcW w:type="dxa" w:w="1408"/>
            <w:tcBorders>
              <w:top w:color="000000" w:sz="4" w:val="single"/>
              <w:left w:color="000000" w:sz="4" w:val="single"/>
              <w:bottom w:color="000000" w:sz="4" w:val="single"/>
              <w:right w:color="000000" w:sz="4" w:val="single"/>
            </w:tcBorders>
            <w:shd w:fill="FFFFFF" w:val="clear"/>
            <w:vAlign w:val="center"/>
          </w:tcPr>
          <w:p w14:paraId="E51B0000">
            <w:pPr>
              <w:widowControl w:val="1"/>
              <w:ind/>
              <w:contextualSpacing w:val="1"/>
              <w:jc w:val="center"/>
              <w:rPr>
                <w:sz w:val="22"/>
              </w:rPr>
            </w:pPr>
            <w:r>
              <w:rPr>
                <w:sz w:val="22"/>
              </w:rPr>
              <w:t>АО "Производственная фирма "СКБ Контур"</w:t>
            </w:r>
          </w:p>
        </w:tc>
        <w:tc>
          <w:tcPr>
            <w:tcW w:type="dxa" w:w="1408"/>
            <w:tcBorders>
              <w:top w:color="000000" w:sz="4" w:val="single"/>
              <w:left w:color="000000" w:sz="4" w:val="single"/>
              <w:bottom w:color="000000" w:sz="4" w:val="single"/>
              <w:right w:color="000000" w:sz="4" w:val="single"/>
            </w:tcBorders>
            <w:shd w:fill="FFFFFF" w:val="clear"/>
            <w:vAlign w:val="center"/>
          </w:tcPr>
          <w:p w14:paraId="E61B0000">
            <w:pPr>
              <w:widowControl w:val="1"/>
              <w:ind/>
              <w:contextualSpacing w:val="1"/>
              <w:jc w:val="center"/>
              <w:rPr>
                <w:sz w:val="22"/>
              </w:rPr>
            </w:pPr>
            <w:r>
              <w:rPr>
                <w:sz w:val="22"/>
              </w:rPr>
              <w:t>договор № 14790321/18 от 27.02.2018</w:t>
            </w:r>
          </w:p>
        </w:tc>
        <w:tc>
          <w:tcPr>
            <w:tcW w:type="dxa" w:w="1274"/>
            <w:tcBorders>
              <w:top w:color="000000" w:sz="4" w:val="single"/>
              <w:left w:color="000000" w:sz="4" w:val="single"/>
              <w:bottom w:color="000000" w:sz="4" w:val="single"/>
              <w:right w:color="000000" w:sz="4" w:val="single"/>
            </w:tcBorders>
            <w:shd w:fill="FFFFFF" w:val="clear"/>
            <w:vAlign w:val="center"/>
          </w:tcPr>
          <w:p w14:paraId="E71B0000">
            <w:pPr>
              <w:widowControl w:val="1"/>
              <w:ind/>
              <w:contextualSpacing w:val="1"/>
              <w:jc w:val="center"/>
              <w:rPr>
                <w:sz w:val="22"/>
              </w:rPr>
            </w:pPr>
            <w:r>
              <w:rPr>
                <w:sz w:val="22"/>
              </w:rPr>
              <w:t>27.02.2018-28.02.2019</w:t>
            </w:r>
          </w:p>
        </w:tc>
        <w:tc>
          <w:tcPr>
            <w:tcW w:type="dxa" w:w="1556"/>
            <w:tcBorders>
              <w:top w:color="000000" w:sz="4" w:val="single"/>
              <w:left w:color="000000" w:sz="4" w:val="single"/>
              <w:bottom w:color="000000" w:sz="4" w:val="single"/>
              <w:right w:color="000000" w:sz="4" w:val="single"/>
            </w:tcBorders>
            <w:shd w:fill="FFFFFF" w:val="clear"/>
            <w:vAlign w:val="center"/>
          </w:tcPr>
          <w:p w14:paraId="E81B0000">
            <w:pPr>
              <w:widowControl w:val="1"/>
              <w:ind/>
              <w:contextualSpacing w:val="1"/>
              <w:jc w:val="center"/>
              <w:rPr>
                <w:sz w:val="22"/>
              </w:rPr>
            </w:pPr>
            <w:r>
              <w:rPr>
                <w:sz w:val="22"/>
              </w:rPr>
              <w:t>Оказание услуг оператора электронного документооборота</w:t>
            </w:r>
          </w:p>
        </w:tc>
        <w:tc>
          <w:tcPr>
            <w:tcW w:type="dxa" w:w="1194"/>
            <w:tcBorders>
              <w:top w:color="000000" w:sz="4" w:val="single"/>
              <w:left w:color="000000" w:sz="4" w:val="single"/>
              <w:bottom w:color="000000" w:sz="4" w:val="single"/>
              <w:right w:color="000000" w:sz="4" w:val="single"/>
            </w:tcBorders>
            <w:shd w:fill="FFFFFF" w:val="clear"/>
            <w:vAlign w:val="center"/>
          </w:tcPr>
          <w:p w14:paraId="E91B0000">
            <w:pPr>
              <w:widowControl w:val="1"/>
              <w:ind/>
              <w:contextualSpacing w:val="1"/>
              <w:jc w:val="center"/>
              <w:rPr>
                <w:sz w:val="22"/>
              </w:rPr>
            </w:pPr>
            <w:r>
              <w:rPr>
                <w:sz w:val="22"/>
              </w:rPr>
              <w:t>12400</w:t>
            </w:r>
          </w:p>
        </w:tc>
        <w:tc>
          <w:tcPr>
            <w:tcW w:type="dxa" w:w="1221"/>
            <w:tcBorders>
              <w:top w:color="000000" w:sz="4" w:val="single"/>
              <w:left w:color="000000" w:sz="4" w:val="single"/>
              <w:bottom w:color="000000" w:sz="4" w:val="single"/>
              <w:right w:color="000000" w:sz="4" w:val="single"/>
            </w:tcBorders>
            <w:shd w:fill="FFFFFF" w:val="clear"/>
            <w:vAlign w:val="center"/>
          </w:tcPr>
          <w:p w14:paraId="EA1B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B1B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C1B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D1B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EE1B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EF1B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2160"/>
        </w:trPr>
        <w:tc>
          <w:tcPr>
            <w:tcW w:type="dxa" w:w="528"/>
            <w:tcBorders>
              <w:top w:color="000000" w:sz="4" w:val="single"/>
              <w:left w:color="000000" w:sz="4" w:val="single"/>
              <w:bottom w:color="000000" w:sz="4" w:val="single"/>
              <w:right w:color="000000" w:sz="4" w:val="single"/>
            </w:tcBorders>
            <w:shd w:fill="FFFFFF" w:val="clear"/>
            <w:vAlign w:val="center"/>
          </w:tcPr>
          <w:p w14:paraId="F01B0000">
            <w:pPr>
              <w:widowControl w:val="1"/>
              <w:ind/>
              <w:contextualSpacing w:val="1"/>
              <w:rPr>
                <w:color w:val="000000"/>
                <w:sz w:val="22"/>
              </w:rPr>
            </w:pPr>
            <w:r>
              <w:rPr>
                <w:color w:val="000000"/>
                <w:sz w:val="22"/>
              </w:rPr>
              <w:t>15</w:t>
            </w:r>
          </w:p>
        </w:tc>
        <w:tc>
          <w:tcPr>
            <w:tcW w:type="dxa" w:w="1408"/>
            <w:tcBorders>
              <w:top w:color="000000" w:sz="4" w:val="single"/>
              <w:left w:color="000000" w:sz="4" w:val="single"/>
              <w:bottom w:color="000000" w:sz="4" w:val="single"/>
              <w:right w:color="000000" w:sz="4" w:val="single"/>
            </w:tcBorders>
            <w:shd w:fill="FFFFFF" w:val="clear"/>
            <w:vAlign w:val="center"/>
          </w:tcPr>
          <w:p w14:paraId="F11B0000">
            <w:pPr>
              <w:widowControl w:val="1"/>
              <w:ind/>
              <w:contextualSpacing w:val="1"/>
              <w:jc w:val="center"/>
              <w:rPr>
                <w:sz w:val="22"/>
              </w:rPr>
            </w:pPr>
            <w:r>
              <w:rPr>
                <w:sz w:val="22"/>
              </w:rPr>
              <w:t>АО "Производственная фирма "СКБ Контур"</w:t>
            </w:r>
          </w:p>
        </w:tc>
        <w:tc>
          <w:tcPr>
            <w:tcW w:type="dxa" w:w="1408"/>
            <w:tcBorders>
              <w:top w:color="000000" w:sz="4" w:val="single"/>
              <w:left w:color="000000" w:sz="4" w:val="single"/>
              <w:bottom w:color="000000" w:sz="4" w:val="single"/>
              <w:right w:color="000000" w:sz="4" w:val="single"/>
            </w:tcBorders>
            <w:shd w:fill="FFFFFF" w:val="clear"/>
            <w:vAlign w:val="center"/>
          </w:tcPr>
          <w:p w14:paraId="F21B0000">
            <w:pPr>
              <w:widowControl w:val="1"/>
              <w:ind/>
              <w:contextualSpacing w:val="1"/>
              <w:jc w:val="center"/>
              <w:rPr>
                <w:sz w:val="22"/>
              </w:rPr>
            </w:pPr>
            <w:r>
              <w:rPr>
                <w:sz w:val="22"/>
              </w:rPr>
              <w:t>дополнительное соглашение № 1 к договору № 14790321/18 от 27.02.2018 19.06.2018</w:t>
            </w:r>
          </w:p>
        </w:tc>
        <w:tc>
          <w:tcPr>
            <w:tcW w:type="dxa" w:w="1274"/>
            <w:tcBorders>
              <w:top w:color="000000" w:sz="4" w:val="single"/>
              <w:left w:color="000000" w:sz="4" w:val="single"/>
              <w:bottom w:color="000000" w:sz="4" w:val="single"/>
              <w:right w:color="000000" w:sz="4" w:val="single"/>
            </w:tcBorders>
            <w:shd w:fill="FFFFFF" w:val="clear"/>
            <w:vAlign w:val="center"/>
          </w:tcPr>
          <w:p w14:paraId="F31B0000">
            <w:pPr>
              <w:widowControl w:val="1"/>
              <w:ind/>
              <w:contextualSpacing w:val="1"/>
              <w:jc w:val="center"/>
              <w:rPr>
                <w:sz w:val="22"/>
              </w:rPr>
            </w:pPr>
            <w:r>
              <w:rPr>
                <w:sz w:val="22"/>
              </w:rPr>
              <w:t>19.06.2018-28.02.2019</w:t>
            </w:r>
          </w:p>
        </w:tc>
        <w:tc>
          <w:tcPr>
            <w:tcW w:type="dxa" w:w="1556"/>
            <w:tcBorders>
              <w:top w:color="000000" w:sz="4" w:val="single"/>
              <w:left w:color="000000" w:sz="4" w:val="single"/>
              <w:bottom w:color="000000" w:sz="4" w:val="single"/>
              <w:right w:color="000000" w:sz="4" w:val="single"/>
            </w:tcBorders>
            <w:shd w:fill="FFFFFF" w:val="clear"/>
            <w:vAlign w:val="center"/>
          </w:tcPr>
          <w:p w14:paraId="F41B0000">
            <w:pPr>
              <w:widowControl w:val="1"/>
              <w:ind/>
              <w:contextualSpacing w:val="1"/>
              <w:jc w:val="center"/>
              <w:rPr>
                <w:sz w:val="22"/>
              </w:rPr>
            </w:pPr>
            <w:r>
              <w:rPr>
                <w:sz w:val="22"/>
              </w:rPr>
              <w:t>предоставление права использования программы для ЭВМ "Контур-Экстерн", сервис "Электронный документооборот с контрагентами, 600 документов, увеличение договора на 3360 руб.</w:t>
            </w:r>
          </w:p>
        </w:tc>
        <w:tc>
          <w:tcPr>
            <w:tcW w:type="dxa" w:w="1194"/>
            <w:tcBorders>
              <w:top w:color="000000" w:sz="4" w:val="single"/>
              <w:left w:color="000000" w:sz="4" w:val="single"/>
              <w:bottom w:color="000000" w:sz="4" w:val="single"/>
              <w:right w:color="000000" w:sz="4" w:val="single"/>
            </w:tcBorders>
            <w:shd w:fill="FFFFFF" w:val="clear"/>
            <w:vAlign w:val="center"/>
          </w:tcPr>
          <w:p w14:paraId="F51B0000">
            <w:pPr>
              <w:widowControl w:val="1"/>
              <w:ind/>
              <w:contextualSpacing w:val="1"/>
              <w:jc w:val="center"/>
              <w:rPr>
                <w:sz w:val="22"/>
              </w:rPr>
            </w:pPr>
            <w:r>
              <w:rPr>
                <w:sz w:val="22"/>
              </w:rPr>
              <w:t>15760</w:t>
            </w:r>
          </w:p>
        </w:tc>
        <w:tc>
          <w:tcPr>
            <w:tcW w:type="dxa" w:w="1221"/>
            <w:tcBorders>
              <w:top w:color="000000" w:sz="4" w:val="single"/>
              <w:left w:color="000000" w:sz="4" w:val="single"/>
              <w:bottom w:color="000000" w:sz="4" w:val="single"/>
              <w:right w:color="000000" w:sz="4" w:val="single"/>
            </w:tcBorders>
            <w:shd w:fill="FFFFFF" w:val="clear"/>
            <w:vAlign w:val="center"/>
          </w:tcPr>
          <w:p w14:paraId="F61B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71B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81B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91B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FA1B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FB1B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620"/>
        </w:trPr>
        <w:tc>
          <w:tcPr>
            <w:tcW w:type="dxa" w:w="528"/>
            <w:tcBorders>
              <w:top w:color="000000" w:sz="4" w:val="single"/>
              <w:left w:color="000000" w:sz="4" w:val="single"/>
              <w:bottom w:color="000000" w:sz="4" w:val="single"/>
              <w:right w:color="000000" w:sz="4" w:val="single"/>
            </w:tcBorders>
            <w:shd w:fill="FFFFFF" w:val="clear"/>
            <w:vAlign w:val="center"/>
          </w:tcPr>
          <w:p w14:paraId="FC1B0000">
            <w:pPr>
              <w:widowControl w:val="1"/>
              <w:ind/>
              <w:contextualSpacing w:val="1"/>
              <w:rPr>
                <w:color w:val="000000"/>
                <w:sz w:val="22"/>
              </w:rPr>
            </w:pPr>
            <w:r>
              <w:rPr>
                <w:color w:val="000000"/>
                <w:sz w:val="22"/>
              </w:rPr>
              <w:t>16</w:t>
            </w:r>
          </w:p>
        </w:tc>
        <w:tc>
          <w:tcPr>
            <w:tcW w:type="dxa" w:w="1408"/>
            <w:tcBorders>
              <w:top w:color="000000" w:sz="4" w:val="single"/>
              <w:left w:color="000000" w:sz="4" w:val="single"/>
              <w:bottom w:color="000000" w:sz="4" w:val="single"/>
              <w:right w:color="000000" w:sz="4" w:val="single"/>
            </w:tcBorders>
            <w:shd w:fill="FFFFFF" w:val="clear"/>
            <w:vAlign w:val="center"/>
          </w:tcPr>
          <w:p w14:paraId="FD1B0000">
            <w:pPr>
              <w:widowControl w:val="1"/>
              <w:ind/>
              <w:contextualSpacing w:val="1"/>
              <w:jc w:val="center"/>
              <w:rPr>
                <w:sz w:val="22"/>
              </w:rPr>
            </w:pPr>
            <w:r>
              <w:rPr>
                <w:sz w:val="22"/>
              </w:rPr>
              <w:t>АО ПФ СКБ Контур</w:t>
            </w:r>
          </w:p>
        </w:tc>
        <w:tc>
          <w:tcPr>
            <w:tcW w:type="dxa" w:w="1408"/>
            <w:tcBorders>
              <w:top w:color="000000" w:sz="4" w:val="single"/>
              <w:left w:color="000000" w:sz="4" w:val="single"/>
              <w:bottom w:color="000000" w:sz="4" w:val="single"/>
              <w:right w:color="000000" w:sz="4" w:val="single"/>
            </w:tcBorders>
            <w:shd w:fill="FFFFFF" w:val="clear"/>
            <w:vAlign w:val="center"/>
          </w:tcPr>
          <w:p w14:paraId="FE1B0000">
            <w:pPr>
              <w:widowControl w:val="1"/>
              <w:ind/>
              <w:contextualSpacing w:val="1"/>
              <w:jc w:val="center"/>
              <w:rPr>
                <w:sz w:val="22"/>
              </w:rPr>
            </w:pPr>
            <w:r>
              <w:rPr>
                <w:sz w:val="22"/>
              </w:rPr>
              <w:t>счет № 1893928294</w:t>
            </w:r>
          </w:p>
        </w:tc>
        <w:tc>
          <w:tcPr>
            <w:tcW w:type="dxa" w:w="1274"/>
            <w:tcBorders>
              <w:top w:color="000000" w:sz="4" w:val="single"/>
              <w:left w:color="000000" w:sz="4" w:val="single"/>
              <w:bottom w:color="000000" w:sz="4" w:val="single"/>
              <w:right w:color="000000" w:sz="4" w:val="single"/>
            </w:tcBorders>
            <w:shd w:fill="FFFFFF" w:val="clear"/>
            <w:vAlign w:val="center"/>
          </w:tcPr>
          <w:p w14:paraId="FF1B0000">
            <w:pPr>
              <w:widowControl w:val="1"/>
              <w:ind/>
              <w:contextualSpacing w:val="1"/>
              <w:jc w:val="center"/>
              <w:rPr>
                <w:sz w:val="22"/>
              </w:rPr>
            </w:pPr>
            <w:r>
              <w:rPr>
                <w:sz w:val="22"/>
              </w:rPr>
              <w:t>25.06.2018-30.06.2018</w:t>
            </w:r>
          </w:p>
        </w:tc>
        <w:tc>
          <w:tcPr>
            <w:tcW w:type="dxa" w:w="1556"/>
            <w:tcBorders>
              <w:top w:color="000000" w:sz="4" w:val="single"/>
              <w:left w:color="000000" w:sz="4" w:val="single"/>
              <w:bottom w:color="000000" w:sz="4" w:val="single"/>
              <w:right w:color="000000" w:sz="4" w:val="single"/>
            </w:tcBorders>
            <w:shd w:fill="FFFFFF" w:val="clear"/>
            <w:vAlign w:val="center"/>
          </w:tcPr>
          <w:p w14:paraId="001C0000">
            <w:pPr>
              <w:widowControl w:val="1"/>
              <w:ind/>
              <w:contextualSpacing w:val="1"/>
              <w:jc w:val="center"/>
              <w:rPr>
                <w:sz w:val="22"/>
              </w:rPr>
            </w:pPr>
            <w:r>
              <w:rPr>
                <w:sz w:val="22"/>
              </w:rPr>
              <w:t>оказание услуг оператора ЭДО, типовой модуль "Интеграция"</w:t>
            </w:r>
          </w:p>
        </w:tc>
        <w:tc>
          <w:tcPr>
            <w:tcW w:type="dxa" w:w="1194"/>
            <w:tcBorders>
              <w:top w:color="000000" w:sz="4" w:val="single"/>
              <w:left w:color="000000" w:sz="4" w:val="single"/>
              <w:bottom w:color="000000" w:sz="4" w:val="single"/>
              <w:right w:color="000000" w:sz="4" w:val="single"/>
            </w:tcBorders>
            <w:shd w:fill="FFFFFF" w:val="clear"/>
            <w:vAlign w:val="center"/>
          </w:tcPr>
          <w:p w14:paraId="011C0000">
            <w:pPr>
              <w:widowControl w:val="1"/>
              <w:ind/>
              <w:contextualSpacing w:val="1"/>
              <w:jc w:val="center"/>
              <w:rPr>
                <w:sz w:val="22"/>
              </w:rPr>
            </w:pPr>
            <w:r>
              <w:rPr>
                <w:sz w:val="22"/>
              </w:rPr>
              <w:t>11 800,00</w:t>
            </w:r>
          </w:p>
        </w:tc>
        <w:tc>
          <w:tcPr>
            <w:tcW w:type="dxa" w:w="1221"/>
            <w:tcBorders>
              <w:top w:color="000000" w:sz="4" w:val="single"/>
              <w:left w:color="000000" w:sz="4" w:val="single"/>
              <w:bottom w:color="000000" w:sz="4" w:val="single"/>
              <w:right w:color="000000" w:sz="4" w:val="single"/>
            </w:tcBorders>
            <w:shd w:fill="FFFFFF" w:val="clear"/>
            <w:vAlign w:val="center"/>
          </w:tcPr>
          <w:p w14:paraId="02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3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4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05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06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071C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480"/>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081C0000">
            <w:pPr>
              <w:widowControl w:val="1"/>
              <w:ind/>
              <w:contextualSpacing w:val="1"/>
              <w:jc w:val="center"/>
              <w:rPr>
                <w:color w:val="000000"/>
                <w:sz w:val="22"/>
              </w:rPr>
            </w:pPr>
            <w:r>
              <w:rPr>
                <w:color w:val="000000"/>
                <w:sz w:val="22"/>
              </w:rPr>
              <w:t>итого по контрагенту АО "Производственная фирма "СКБ Контур"27560 руб.</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091C0000">
            <w:pPr>
              <w:widowControl w:val="1"/>
              <w:ind/>
              <w:contextualSpacing w:val="1"/>
              <w:jc w:val="center"/>
              <w:rPr>
                <w:color w:val="000000"/>
                <w:sz w:val="22"/>
              </w:rPr>
            </w:pPr>
            <w:r>
              <w:rPr>
                <w:color w:val="000000"/>
                <w:sz w:val="22"/>
              </w:rPr>
              <w:t>17</w:t>
            </w:r>
          </w:p>
          <w:p w14:paraId="0A1C0000">
            <w:pPr>
              <w:widowControl w:val="1"/>
              <w:ind/>
              <w:contextualSpacing w:val="1"/>
              <w:jc w:val="center"/>
              <w:rPr>
                <w:color w:val="000000"/>
                <w:sz w:val="22"/>
              </w:rPr>
            </w:pPr>
          </w:p>
        </w:tc>
        <w:tc>
          <w:tcPr>
            <w:tcW w:type="dxa" w:w="1408"/>
            <w:tcBorders>
              <w:top w:color="000000" w:sz="4" w:val="single"/>
              <w:left w:color="000000" w:sz="4" w:val="single"/>
              <w:bottom w:color="000000" w:sz="4" w:val="single"/>
              <w:right w:color="000000" w:sz="4" w:val="single"/>
            </w:tcBorders>
            <w:shd w:fill="FFFFFF" w:val="clear"/>
            <w:vAlign w:val="center"/>
          </w:tcPr>
          <w:p w14:paraId="0B1C0000">
            <w:pPr>
              <w:widowControl w:val="1"/>
              <w:ind/>
              <w:contextualSpacing w:val="1"/>
              <w:jc w:val="center"/>
              <w:rPr>
                <w:sz w:val="22"/>
              </w:rPr>
            </w:pPr>
            <w:r>
              <w:rPr>
                <w:sz w:val="22"/>
              </w:rPr>
              <w:t>АО "СОГАЗ"</w:t>
            </w:r>
          </w:p>
        </w:tc>
        <w:tc>
          <w:tcPr>
            <w:tcW w:type="dxa" w:w="1408"/>
            <w:tcBorders>
              <w:top w:color="000000" w:sz="4" w:val="single"/>
              <w:left w:color="000000" w:sz="4" w:val="single"/>
              <w:bottom w:color="000000" w:sz="4" w:val="single"/>
              <w:right w:color="000000" w:sz="4" w:val="single"/>
            </w:tcBorders>
            <w:shd w:fill="FFFFFF" w:val="clear"/>
            <w:vAlign w:val="center"/>
          </w:tcPr>
          <w:p w14:paraId="0C1C0000">
            <w:pPr>
              <w:widowControl w:val="1"/>
              <w:ind/>
              <w:contextualSpacing w:val="1"/>
              <w:jc w:val="center"/>
              <w:rPr>
                <w:sz w:val="22"/>
              </w:rPr>
            </w:pPr>
            <w:r>
              <w:rPr>
                <w:sz w:val="22"/>
              </w:rPr>
              <w:t>соглашение № GAZX21781638195747 (3717 GP 0001/1) к договору № GAZX21781638195000 (3717 GP 0001) от 02.02.2017 от 29.01.2018</w:t>
            </w:r>
          </w:p>
        </w:tc>
        <w:tc>
          <w:tcPr>
            <w:tcW w:type="dxa" w:w="1274"/>
            <w:tcBorders>
              <w:top w:color="000000" w:sz="4" w:val="single"/>
              <w:left w:color="000000" w:sz="4" w:val="single"/>
              <w:bottom w:color="000000" w:sz="4" w:val="single"/>
              <w:right w:color="000000" w:sz="4" w:val="single"/>
            </w:tcBorders>
            <w:shd w:fill="FFFFFF" w:val="clear"/>
            <w:vAlign w:val="center"/>
          </w:tcPr>
          <w:p w14:paraId="0D1C0000">
            <w:pPr>
              <w:widowControl w:val="1"/>
              <w:ind/>
              <w:contextualSpacing w:val="1"/>
              <w:jc w:val="center"/>
              <w:rPr>
                <w:sz w:val="22"/>
              </w:rPr>
            </w:pPr>
            <w:r>
              <w:rPr>
                <w:sz w:val="22"/>
              </w:rPr>
              <w:t>01.04.2017-31.03.2018</w:t>
            </w:r>
          </w:p>
        </w:tc>
        <w:tc>
          <w:tcPr>
            <w:tcW w:type="dxa" w:w="1556"/>
            <w:tcBorders>
              <w:top w:color="000000" w:sz="4" w:val="single"/>
              <w:left w:color="000000" w:sz="4" w:val="single"/>
              <w:bottom w:color="000000" w:sz="4" w:val="single"/>
              <w:right w:color="000000" w:sz="4" w:val="single"/>
            </w:tcBorders>
            <w:shd w:fill="FFFFFF" w:val="clear"/>
            <w:vAlign w:val="center"/>
          </w:tcPr>
          <w:p w14:paraId="0E1C0000">
            <w:pPr>
              <w:widowControl w:val="1"/>
              <w:ind/>
              <w:contextualSpacing w:val="1"/>
              <w:jc w:val="center"/>
              <w:rPr>
                <w:sz w:val="22"/>
              </w:rPr>
            </w:pPr>
            <w:r>
              <w:rPr>
                <w:sz w:val="22"/>
              </w:rPr>
              <w:t>изменение размера страховой премии в связи с изменением количества перевезенных пассажиров</w:t>
            </w:r>
          </w:p>
        </w:tc>
        <w:tc>
          <w:tcPr>
            <w:tcW w:type="dxa" w:w="1194"/>
            <w:tcBorders>
              <w:top w:color="000000" w:sz="4" w:val="single"/>
              <w:left w:color="000000" w:sz="4" w:val="single"/>
              <w:bottom w:color="000000" w:sz="4" w:val="single"/>
              <w:right w:color="000000" w:sz="4" w:val="single"/>
            </w:tcBorders>
            <w:shd w:fill="FFFFFF" w:val="clear"/>
            <w:vAlign w:val="center"/>
          </w:tcPr>
          <w:p w14:paraId="0F1C0000">
            <w:pPr>
              <w:widowControl w:val="1"/>
              <w:ind/>
              <w:contextualSpacing w:val="1"/>
              <w:jc w:val="center"/>
              <w:rPr>
                <w:sz w:val="22"/>
              </w:rPr>
            </w:pPr>
            <w:r>
              <w:rPr>
                <w:sz w:val="22"/>
              </w:rPr>
              <w:t>231195,29</w:t>
            </w:r>
          </w:p>
        </w:tc>
        <w:tc>
          <w:tcPr>
            <w:tcW w:type="dxa" w:w="1221"/>
            <w:tcBorders>
              <w:top w:color="000000" w:sz="4" w:val="single"/>
              <w:left w:color="000000" w:sz="4" w:val="single"/>
              <w:bottom w:color="000000" w:sz="4" w:val="single"/>
              <w:right w:color="000000" w:sz="4" w:val="single"/>
            </w:tcBorders>
            <w:shd w:fill="FFFFFF" w:val="clear"/>
            <w:vAlign w:val="center"/>
          </w:tcPr>
          <w:p w14:paraId="10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1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2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31C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14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151C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161C0000">
            <w:pPr>
              <w:widowControl w:val="1"/>
              <w:ind/>
              <w:contextualSpacing w:val="1"/>
              <w:rPr>
                <w:color w:val="000000"/>
                <w:sz w:val="22"/>
              </w:rPr>
            </w:pPr>
            <w:r>
              <w:rPr>
                <w:color w:val="000000"/>
                <w:sz w:val="22"/>
              </w:rPr>
              <w:t>18</w:t>
            </w:r>
          </w:p>
        </w:tc>
        <w:tc>
          <w:tcPr>
            <w:tcW w:type="dxa" w:w="1408"/>
            <w:tcBorders>
              <w:top w:color="000000" w:sz="4" w:val="single"/>
              <w:left w:color="000000" w:sz="4" w:val="single"/>
              <w:bottom w:color="000000" w:sz="4" w:val="single"/>
              <w:right w:color="000000" w:sz="4" w:val="single"/>
            </w:tcBorders>
            <w:shd w:fill="FFFFFF" w:val="clear"/>
            <w:vAlign w:val="center"/>
          </w:tcPr>
          <w:p w14:paraId="171C0000">
            <w:pPr>
              <w:widowControl w:val="1"/>
              <w:ind/>
              <w:contextualSpacing w:val="1"/>
              <w:jc w:val="center"/>
              <w:rPr>
                <w:sz w:val="22"/>
              </w:rPr>
            </w:pPr>
            <w:r>
              <w:rPr>
                <w:sz w:val="22"/>
              </w:rPr>
              <w:t>АО "СОГАЗ"</w:t>
            </w:r>
          </w:p>
        </w:tc>
        <w:tc>
          <w:tcPr>
            <w:tcW w:type="dxa" w:w="1408"/>
            <w:tcBorders>
              <w:top w:color="000000" w:sz="4" w:val="single"/>
              <w:left w:color="000000" w:sz="4" w:val="single"/>
              <w:bottom w:color="000000" w:sz="4" w:val="single"/>
              <w:right w:color="000000" w:sz="4" w:val="single"/>
            </w:tcBorders>
            <w:shd w:fill="FFFFFF" w:val="clear"/>
            <w:vAlign w:val="center"/>
          </w:tcPr>
          <w:p w14:paraId="181C0000">
            <w:pPr>
              <w:widowControl w:val="1"/>
              <w:ind/>
              <w:contextualSpacing w:val="1"/>
              <w:jc w:val="center"/>
              <w:rPr>
                <w:sz w:val="22"/>
              </w:rPr>
            </w:pPr>
            <w:r>
              <w:rPr>
                <w:sz w:val="22"/>
              </w:rPr>
              <w:t>договор №м GAZX21877278532000/3718 GP0011 от 30.03.2018</w:t>
            </w:r>
          </w:p>
        </w:tc>
        <w:tc>
          <w:tcPr>
            <w:tcW w:type="dxa" w:w="1274"/>
            <w:tcBorders>
              <w:top w:color="000000" w:sz="4" w:val="single"/>
              <w:left w:color="000000" w:sz="4" w:val="single"/>
              <w:bottom w:color="000000" w:sz="4" w:val="single"/>
              <w:right w:color="000000" w:sz="4" w:val="single"/>
            </w:tcBorders>
            <w:shd w:fill="FFFFFF" w:val="clear"/>
            <w:vAlign w:val="center"/>
          </w:tcPr>
          <w:p w14:paraId="191C0000">
            <w:pPr>
              <w:widowControl w:val="1"/>
              <w:ind/>
              <w:contextualSpacing w:val="1"/>
              <w:jc w:val="center"/>
              <w:rPr>
                <w:sz w:val="22"/>
              </w:rPr>
            </w:pPr>
            <w:r>
              <w:rPr>
                <w:sz w:val="22"/>
              </w:rPr>
              <w:t>01.04.2018-31.03.2019</w:t>
            </w:r>
          </w:p>
        </w:tc>
        <w:tc>
          <w:tcPr>
            <w:tcW w:type="dxa" w:w="1556"/>
            <w:tcBorders>
              <w:top w:color="000000" w:sz="4" w:val="single"/>
              <w:left w:color="000000" w:sz="4" w:val="single"/>
              <w:bottom w:color="000000" w:sz="4" w:val="single"/>
              <w:right w:color="000000" w:sz="4" w:val="single"/>
            </w:tcBorders>
            <w:shd w:fill="FFFFFF" w:val="clear"/>
            <w:vAlign w:val="center"/>
          </w:tcPr>
          <w:p w14:paraId="1A1C0000">
            <w:pPr>
              <w:widowControl w:val="1"/>
              <w:ind/>
              <w:contextualSpacing w:val="1"/>
              <w:jc w:val="center"/>
              <w:rPr>
                <w:sz w:val="22"/>
              </w:rPr>
            </w:pPr>
            <w:r>
              <w:rPr>
                <w:sz w:val="22"/>
              </w:rPr>
              <w:t>обязательное страхование граждданской ответственности перевозчика за причинение вреда жизни, здоровью, имуществу пассажиров</w:t>
            </w:r>
          </w:p>
        </w:tc>
        <w:tc>
          <w:tcPr>
            <w:tcW w:type="dxa" w:w="1194"/>
            <w:tcBorders>
              <w:top w:color="000000" w:sz="4" w:val="single"/>
              <w:left w:color="000000" w:sz="4" w:val="single"/>
              <w:bottom w:color="000000" w:sz="4" w:val="single"/>
              <w:right w:color="000000" w:sz="4" w:val="single"/>
            </w:tcBorders>
            <w:shd w:fill="FFFFFF" w:val="clear"/>
            <w:vAlign w:val="center"/>
          </w:tcPr>
          <w:p w14:paraId="1B1C0000">
            <w:pPr>
              <w:widowControl w:val="1"/>
              <w:ind/>
              <w:contextualSpacing w:val="1"/>
              <w:jc w:val="center"/>
              <w:rPr>
                <w:sz w:val="22"/>
              </w:rPr>
            </w:pPr>
            <w:r>
              <w:rPr>
                <w:sz w:val="22"/>
              </w:rPr>
              <w:t>274179,38</w:t>
            </w:r>
          </w:p>
        </w:tc>
        <w:tc>
          <w:tcPr>
            <w:tcW w:type="dxa" w:w="1221"/>
            <w:tcBorders>
              <w:top w:color="000000" w:sz="4" w:val="single"/>
              <w:left w:color="000000" w:sz="4" w:val="single"/>
              <w:bottom w:color="000000" w:sz="4" w:val="single"/>
              <w:right w:color="000000" w:sz="4" w:val="single"/>
            </w:tcBorders>
            <w:shd w:fill="FFFFFF" w:val="clear"/>
            <w:vAlign w:val="center"/>
          </w:tcPr>
          <w:p w14:paraId="1C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D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E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F1C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20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211C0000">
            <w:pPr>
              <w:widowControl w:val="1"/>
              <w:ind/>
              <w:contextualSpacing w:val="1"/>
              <w:jc w:val="center"/>
              <w:rPr>
                <w:sz w:val="22"/>
              </w:rPr>
            </w:pPr>
            <w:r>
              <w:rPr>
                <w:sz w:val="22"/>
              </w:rPr>
              <w:t>Размещение заказа у единственного поставщика, согласно пп.28п.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21C0000">
            <w:pPr>
              <w:widowControl w:val="1"/>
              <w:ind/>
              <w:contextualSpacing w:val="1"/>
              <w:rPr>
                <w:color w:val="000000"/>
                <w:sz w:val="22"/>
              </w:rPr>
            </w:pPr>
            <w:r>
              <w:rPr>
                <w:color w:val="000000"/>
                <w:sz w:val="22"/>
              </w:rPr>
              <w:t>19</w:t>
            </w:r>
          </w:p>
        </w:tc>
        <w:tc>
          <w:tcPr>
            <w:tcW w:type="dxa" w:w="1408"/>
            <w:tcBorders>
              <w:top w:color="000000" w:sz="4" w:val="single"/>
              <w:left w:color="000000" w:sz="4" w:val="single"/>
              <w:bottom w:color="000000" w:sz="4" w:val="single"/>
              <w:right w:color="000000" w:sz="4" w:val="single"/>
            </w:tcBorders>
            <w:shd w:fill="FFFFFF" w:val="clear"/>
            <w:vAlign w:val="center"/>
          </w:tcPr>
          <w:p w14:paraId="231C0000">
            <w:pPr>
              <w:widowControl w:val="1"/>
              <w:ind/>
              <w:contextualSpacing w:val="1"/>
              <w:jc w:val="center"/>
              <w:rPr>
                <w:sz w:val="22"/>
              </w:rPr>
            </w:pPr>
            <w:r>
              <w:rPr>
                <w:sz w:val="22"/>
              </w:rPr>
              <w:t>АО "СОГАЗ"</w:t>
            </w:r>
          </w:p>
        </w:tc>
        <w:tc>
          <w:tcPr>
            <w:tcW w:type="dxa" w:w="1408"/>
            <w:tcBorders>
              <w:top w:color="000000" w:sz="4" w:val="single"/>
              <w:left w:color="000000" w:sz="4" w:val="single"/>
              <w:bottom w:color="000000" w:sz="4" w:val="single"/>
              <w:right w:color="000000" w:sz="4" w:val="single"/>
            </w:tcBorders>
            <w:shd w:fill="FFFFFF" w:val="clear"/>
            <w:vAlign w:val="center"/>
          </w:tcPr>
          <w:p w14:paraId="241C0000">
            <w:pPr>
              <w:widowControl w:val="1"/>
              <w:ind/>
              <w:contextualSpacing w:val="1"/>
              <w:jc w:val="center"/>
              <w:rPr>
                <w:sz w:val="22"/>
              </w:rPr>
            </w:pPr>
            <w:r>
              <w:rPr>
                <w:sz w:val="22"/>
              </w:rPr>
              <w:t>договор № 3000000000 от 09.08.2018</w:t>
            </w:r>
          </w:p>
        </w:tc>
        <w:tc>
          <w:tcPr>
            <w:tcW w:type="dxa" w:w="1274"/>
            <w:tcBorders>
              <w:top w:color="000000" w:sz="4" w:val="single"/>
              <w:left w:color="000000" w:sz="4" w:val="single"/>
              <w:bottom w:color="000000" w:sz="4" w:val="single"/>
              <w:right w:color="000000" w:sz="4" w:val="single"/>
            </w:tcBorders>
            <w:shd w:fill="FFFFFF" w:val="clear"/>
            <w:vAlign w:val="center"/>
          </w:tcPr>
          <w:p w14:paraId="251C0000">
            <w:pPr>
              <w:widowControl w:val="1"/>
              <w:ind/>
              <w:contextualSpacing w:val="1"/>
              <w:jc w:val="center"/>
              <w:rPr>
                <w:sz w:val="22"/>
              </w:rPr>
            </w:pPr>
            <w:r>
              <w:rPr>
                <w:sz w:val="22"/>
              </w:rPr>
              <w:t>23.08.2018-22.08.2019</w:t>
            </w:r>
          </w:p>
        </w:tc>
        <w:tc>
          <w:tcPr>
            <w:tcW w:type="dxa" w:w="1556"/>
            <w:tcBorders>
              <w:top w:color="000000" w:sz="4" w:val="single"/>
              <w:left w:color="000000" w:sz="4" w:val="single"/>
              <w:bottom w:color="000000" w:sz="4" w:val="single"/>
              <w:right w:color="000000" w:sz="4" w:val="single"/>
            </w:tcBorders>
            <w:shd w:fill="FFFFFF" w:val="clear"/>
            <w:vAlign w:val="center"/>
          </w:tcPr>
          <w:p w14:paraId="261C0000">
            <w:pPr>
              <w:widowControl w:val="1"/>
              <w:ind/>
              <w:contextualSpacing w:val="1"/>
              <w:jc w:val="center"/>
              <w:rPr>
                <w:sz w:val="22"/>
              </w:rPr>
            </w:pPr>
            <w:r>
              <w:rPr>
                <w:sz w:val="22"/>
              </w:rPr>
              <w:t>ОСАГО АУДИ</w:t>
            </w:r>
          </w:p>
        </w:tc>
        <w:tc>
          <w:tcPr>
            <w:tcW w:type="dxa" w:w="1194"/>
            <w:tcBorders>
              <w:top w:color="000000" w:sz="4" w:val="single"/>
              <w:left w:color="000000" w:sz="4" w:val="single"/>
              <w:bottom w:color="000000" w:sz="4" w:val="single"/>
              <w:right w:color="000000" w:sz="4" w:val="single"/>
            </w:tcBorders>
            <w:shd w:fill="FFFFFF" w:val="clear"/>
            <w:vAlign w:val="center"/>
          </w:tcPr>
          <w:p w14:paraId="271C0000">
            <w:pPr>
              <w:widowControl w:val="1"/>
              <w:ind/>
              <w:contextualSpacing w:val="1"/>
              <w:jc w:val="center"/>
              <w:rPr>
                <w:sz w:val="22"/>
              </w:rPr>
            </w:pPr>
            <w:r>
              <w:rPr>
                <w:sz w:val="22"/>
              </w:rPr>
              <w:t>11337,67</w:t>
            </w:r>
          </w:p>
        </w:tc>
        <w:tc>
          <w:tcPr>
            <w:tcW w:type="dxa" w:w="1221"/>
            <w:tcBorders>
              <w:top w:color="000000" w:sz="4" w:val="single"/>
              <w:left w:color="000000" w:sz="4" w:val="single"/>
              <w:bottom w:color="000000" w:sz="4" w:val="single"/>
              <w:right w:color="000000" w:sz="4" w:val="single"/>
            </w:tcBorders>
            <w:shd w:fill="FFFFFF" w:val="clear"/>
            <w:vAlign w:val="center"/>
          </w:tcPr>
          <w:p w14:paraId="28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9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A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B1C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2C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2D1C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E1C0000">
            <w:pPr>
              <w:widowControl w:val="1"/>
              <w:ind/>
              <w:contextualSpacing w:val="1"/>
              <w:rPr>
                <w:color w:val="000000"/>
                <w:sz w:val="22"/>
              </w:rPr>
            </w:pPr>
            <w:r>
              <w:rPr>
                <w:color w:val="000000"/>
                <w:sz w:val="22"/>
              </w:rPr>
              <w:t>20</w:t>
            </w:r>
          </w:p>
        </w:tc>
        <w:tc>
          <w:tcPr>
            <w:tcW w:type="dxa" w:w="1408"/>
            <w:tcBorders>
              <w:top w:color="000000" w:sz="4" w:val="single"/>
              <w:left w:color="000000" w:sz="4" w:val="single"/>
              <w:bottom w:color="000000" w:sz="4" w:val="single"/>
              <w:right w:color="000000" w:sz="4" w:val="single"/>
            </w:tcBorders>
            <w:shd w:fill="FFFFFF" w:val="clear"/>
            <w:vAlign w:val="center"/>
          </w:tcPr>
          <w:p w14:paraId="2F1C0000">
            <w:pPr>
              <w:widowControl w:val="1"/>
              <w:ind/>
              <w:contextualSpacing w:val="1"/>
              <w:jc w:val="center"/>
              <w:rPr>
                <w:sz w:val="22"/>
              </w:rPr>
            </w:pPr>
            <w:r>
              <w:rPr>
                <w:sz w:val="22"/>
              </w:rPr>
              <w:t>АО "СОГАЗ"</w:t>
            </w:r>
          </w:p>
        </w:tc>
        <w:tc>
          <w:tcPr>
            <w:tcW w:type="dxa" w:w="1408"/>
            <w:tcBorders>
              <w:top w:color="000000" w:sz="4" w:val="single"/>
              <w:left w:color="000000" w:sz="4" w:val="single"/>
              <w:bottom w:color="000000" w:sz="4" w:val="single"/>
              <w:right w:color="000000" w:sz="4" w:val="single"/>
            </w:tcBorders>
            <w:shd w:fill="FFFFFF" w:val="clear"/>
            <w:vAlign w:val="center"/>
          </w:tcPr>
          <w:p w14:paraId="301C0000">
            <w:pPr>
              <w:widowControl w:val="1"/>
              <w:ind/>
              <w:contextualSpacing w:val="1"/>
              <w:jc w:val="center"/>
              <w:rPr>
                <w:sz w:val="22"/>
              </w:rPr>
            </w:pPr>
            <w:r>
              <w:rPr>
                <w:sz w:val="22"/>
              </w:rPr>
              <w:t>договор № 3718МТ0115 от 14.08.2018</w:t>
            </w:r>
          </w:p>
        </w:tc>
        <w:tc>
          <w:tcPr>
            <w:tcW w:type="dxa" w:w="1274"/>
            <w:tcBorders>
              <w:top w:color="000000" w:sz="4" w:val="single"/>
              <w:left w:color="000000" w:sz="4" w:val="single"/>
              <w:bottom w:color="000000" w:sz="4" w:val="single"/>
              <w:right w:color="000000" w:sz="4" w:val="single"/>
            </w:tcBorders>
            <w:shd w:fill="FFFFFF" w:val="clear"/>
            <w:vAlign w:val="center"/>
          </w:tcPr>
          <w:p w14:paraId="311C0000">
            <w:pPr>
              <w:widowControl w:val="1"/>
              <w:ind/>
              <w:contextualSpacing w:val="1"/>
              <w:jc w:val="center"/>
              <w:rPr>
                <w:sz w:val="22"/>
              </w:rPr>
            </w:pPr>
            <w:r>
              <w:rPr>
                <w:sz w:val="22"/>
              </w:rPr>
              <w:t>22.08.2018-22.08.2019</w:t>
            </w:r>
          </w:p>
        </w:tc>
        <w:tc>
          <w:tcPr>
            <w:tcW w:type="dxa" w:w="1556"/>
            <w:tcBorders>
              <w:top w:color="000000" w:sz="4" w:val="single"/>
              <w:left w:color="000000" w:sz="4" w:val="single"/>
              <w:bottom w:color="000000" w:sz="4" w:val="single"/>
              <w:right w:color="000000" w:sz="4" w:val="single"/>
            </w:tcBorders>
            <w:shd w:fill="FFFFFF" w:val="clear"/>
            <w:vAlign w:val="center"/>
          </w:tcPr>
          <w:p w14:paraId="321C0000">
            <w:pPr>
              <w:widowControl w:val="1"/>
              <w:ind/>
              <w:contextualSpacing w:val="1"/>
              <w:jc w:val="center"/>
              <w:rPr>
                <w:sz w:val="22"/>
              </w:rPr>
            </w:pPr>
            <w:r>
              <w:rPr>
                <w:sz w:val="22"/>
              </w:rPr>
              <w:t>КАСКО АУДИ</w:t>
            </w:r>
          </w:p>
        </w:tc>
        <w:tc>
          <w:tcPr>
            <w:tcW w:type="dxa" w:w="1194"/>
            <w:tcBorders>
              <w:top w:color="000000" w:sz="4" w:val="single"/>
              <w:left w:color="000000" w:sz="4" w:val="single"/>
              <w:bottom w:color="000000" w:sz="4" w:val="single"/>
              <w:right w:color="000000" w:sz="4" w:val="single"/>
            </w:tcBorders>
            <w:shd w:fill="FFFFFF" w:val="clear"/>
            <w:vAlign w:val="center"/>
          </w:tcPr>
          <w:p w14:paraId="331C0000">
            <w:pPr>
              <w:widowControl w:val="1"/>
              <w:ind/>
              <w:contextualSpacing w:val="1"/>
              <w:jc w:val="center"/>
              <w:rPr>
                <w:sz w:val="22"/>
              </w:rPr>
            </w:pPr>
            <w:r>
              <w:rPr>
                <w:sz w:val="22"/>
              </w:rPr>
              <w:t>74250</w:t>
            </w:r>
          </w:p>
        </w:tc>
        <w:tc>
          <w:tcPr>
            <w:tcW w:type="dxa" w:w="1221"/>
            <w:tcBorders>
              <w:top w:color="000000" w:sz="4" w:val="single"/>
              <w:left w:color="000000" w:sz="4" w:val="single"/>
              <w:bottom w:color="000000" w:sz="4" w:val="single"/>
              <w:right w:color="000000" w:sz="4" w:val="single"/>
            </w:tcBorders>
            <w:shd w:fill="FFFFFF" w:val="clear"/>
            <w:vAlign w:val="center"/>
          </w:tcPr>
          <w:p w14:paraId="34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35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36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71C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38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391C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3A1C0000">
            <w:pPr>
              <w:widowControl w:val="1"/>
              <w:ind/>
              <w:contextualSpacing w:val="1"/>
              <w:jc w:val="center"/>
              <w:rPr>
                <w:color w:val="000000"/>
                <w:sz w:val="22"/>
              </w:rPr>
            </w:pPr>
            <w:r>
              <w:rPr>
                <w:color w:val="000000"/>
                <w:sz w:val="22"/>
              </w:rPr>
              <w:t>Итого по контрагенту АО "СОГАЗ" 590 962,34 руб.</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3B1C0000">
            <w:pPr>
              <w:widowControl w:val="1"/>
              <w:ind/>
              <w:contextualSpacing w:val="1"/>
              <w:rPr>
                <w:color w:val="000000"/>
                <w:sz w:val="22"/>
              </w:rPr>
            </w:pPr>
            <w:r>
              <w:rPr>
                <w:color w:val="000000"/>
                <w:sz w:val="22"/>
              </w:rPr>
              <w:t>21</w:t>
            </w:r>
          </w:p>
        </w:tc>
        <w:tc>
          <w:tcPr>
            <w:tcW w:type="dxa" w:w="1408"/>
            <w:tcBorders>
              <w:top w:color="000000" w:sz="4" w:val="single"/>
              <w:left w:color="000000" w:sz="4" w:val="single"/>
              <w:bottom w:color="000000" w:sz="4" w:val="single"/>
              <w:right w:color="000000" w:sz="4" w:val="single"/>
            </w:tcBorders>
            <w:shd w:fill="FFFFFF" w:val="clear"/>
            <w:vAlign w:val="center"/>
          </w:tcPr>
          <w:p w14:paraId="3C1C0000">
            <w:pPr>
              <w:widowControl w:val="1"/>
              <w:ind/>
              <w:contextualSpacing w:val="1"/>
              <w:jc w:val="center"/>
              <w:rPr>
                <w:sz w:val="22"/>
              </w:rPr>
            </w:pPr>
            <w:r>
              <w:rPr>
                <w:sz w:val="22"/>
              </w:rPr>
              <w:t>Енисейский филиал АО "ФПК"</w:t>
            </w:r>
          </w:p>
        </w:tc>
        <w:tc>
          <w:tcPr>
            <w:tcW w:type="dxa" w:w="1408"/>
            <w:tcBorders>
              <w:top w:color="000000" w:sz="4" w:val="single"/>
              <w:left w:color="000000" w:sz="4" w:val="single"/>
              <w:bottom w:color="000000" w:sz="4" w:val="single"/>
              <w:right w:color="000000" w:sz="4" w:val="single"/>
            </w:tcBorders>
            <w:shd w:fill="FFFFFF" w:val="clear"/>
            <w:vAlign w:val="center"/>
          </w:tcPr>
          <w:p w14:paraId="3D1C0000">
            <w:pPr>
              <w:widowControl w:val="1"/>
              <w:ind/>
              <w:contextualSpacing w:val="1"/>
              <w:jc w:val="center"/>
              <w:rPr>
                <w:sz w:val="22"/>
              </w:rPr>
            </w:pPr>
            <w:r>
              <w:rPr>
                <w:sz w:val="22"/>
              </w:rPr>
              <w:t>договор № 28-18/Ф(Енис) от 20.02.2018</w:t>
            </w:r>
          </w:p>
        </w:tc>
        <w:tc>
          <w:tcPr>
            <w:tcW w:type="dxa" w:w="1274"/>
            <w:tcBorders>
              <w:top w:color="000000" w:sz="4" w:val="single"/>
              <w:left w:color="000000" w:sz="4" w:val="single"/>
              <w:bottom w:color="000000" w:sz="4" w:val="single"/>
              <w:right w:color="000000" w:sz="4" w:val="single"/>
            </w:tcBorders>
            <w:shd w:fill="FFFFFF" w:val="clear"/>
            <w:vAlign w:val="center"/>
          </w:tcPr>
          <w:p w14:paraId="3E1C0000">
            <w:pPr>
              <w:widowControl w:val="1"/>
              <w:ind/>
              <w:contextualSpacing w:val="1"/>
              <w:jc w:val="center"/>
              <w:rPr>
                <w:sz w:val="22"/>
              </w:rPr>
            </w:pPr>
            <w:r>
              <w:rPr>
                <w:sz w:val="22"/>
              </w:rPr>
              <w:t>01.02.2018-31.12.2020</w:t>
            </w:r>
          </w:p>
        </w:tc>
        <w:tc>
          <w:tcPr>
            <w:tcW w:type="dxa" w:w="1556"/>
            <w:tcBorders>
              <w:top w:color="000000" w:sz="4" w:val="single"/>
              <w:left w:color="000000" w:sz="4" w:val="single"/>
              <w:bottom w:color="000000" w:sz="4" w:val="single"/>
              <w:right w:color="000000" w:sz="4" w:val="single"/>
            </w:tcBorders>
            <w:shd w:fill="FFFFFF" w:val="clear"/>
            <w:vAlign w:val="center"/>
          </w:tcPr>
          <w:p w14:paraId="3F1C0000">
            <w:pPr>
              <w:widowControl w:val="1"/>
              <w:ind/>
              <w:contextualSpacing w:val="1"/>
              <w:jc w:val="center"/>
              <w:rPr>
                <w:sz w:val="22"/>
              </w:rPr>
            </w:pPr>
            <w:r>
              <w:rPr>
                <w:sz w:val="22"/>
              </w:rPr>
              <w:t>аренда движимого имущества</w:t>
            </w:r>
          </w:p>
        </w:tc>
        <w:tc>
          <w:tcPr>
            <w:tcW w:type="dxa" w:w="1194"/>
            <w:tcBorders>
              <w:top w:color="000000" w:sz="4" w:val="single"/>
              <w:left w:color="000000" w:sz="4" w:val="single"/>
              <w:bottom w:color="000000" w:sz="4" w:val="single"/>
              <w:right w:color="000000" w:sz="4" w:val="single"/>
            </w:tcBorders>
            <w:shd w:fill="FFFFFF" w:val="clear"/>
            <w:vAlign w:val="center"/>
          </w:tcPr>
          <w:p w14:paraId="401C0000">
            <w:pPr>
              <w:widowControl w:val="1"/>
              <w:ind/>
              <w:contextualSpacing w:val="1"/>
              <w:jc w:val="center"/>
              <w:rPr>
                <w:sz w:val="22"/>
              </w:rPr>
            </w:pPr>
            <w:r>
              <w:rPr>
                <w:sz w:val="22"/>
              </w:rPr>
              <w:t>267968,17</w:t>
            </w:r>
          </w:p>
        </w:tc>
        <w:tc>
          <w:tcPr>
            <w:tcW w:type="dxa" w:w="1221"/>
            <w:tcBorders>
              <w:top w:color="000000" w:sz="4" w:val="single"/>
              <w:left w:color="000000" w:sz="4" w:val="single"/>
              <w:bottom w:color="000000" w:sz="4" w:val="single"/>
              <w:right w:color="000000" w:sz="4" w:val="single"/>
            </w:tcBorders>
            <w:shd w:fill="FFFFFF" w:val="clear"/>
            <w:vAlign w:val="center"/>
          </w:tcPr>
          <w:p w14:paraId="41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2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3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41C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451C0000">
            <w:pPr>
              <w:widowControl w:val="1"/>
              <w:ind/>
              <w:contextualSpacing w:val="1"/>
              <w:jc w:val="center"/>
              <w:rPr>
                <w:sz w:val="22"/>
              </w:rPr>
            </w:pPr>
            <w:r>
              <w:rPr>
                <w:sz w:val="22"/>
              </w:rPr>
              <w:t>извещение о сделке направлено 19.01.2018, требование об одобрении сделки не поступило</w:t>
            </w:r>
          </w:p>
        </w:tc>
        <w:tc>
          <w:tcPr>
            <w:tcW w:type="dxa" w:w="1654"/>
            <w:tcBorders>
              <w:top w:color="000000" w:sz="4" w:val="single"/>
              <w:left w:color="000000" w:sz="4" w:val="single"/>
              <w:bottom w:color="000000" w:sz="4" w:val="single"/>
              <w:right w:color="000000" w:sz="4" w:val="single"/>
            </w:tcBorders>
            <w:shd w:fill="FFFFFF" w:val="clear"/>
            <w:vAlign w:val="center"/>
          </w:tcPr>
          <w:p w14:paraId="461C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497"/>
        </w:trPr>
        <w:tc>
          <w:tcPr>
            <w:tcW w:type="dxa" w:w="528"/>
            <w:tcBorders>
              <w:top w:color="000000" w:sz="4" w:val="single"/>
              <w:left w:color="000000" w:sz="4" w:val="single"/>
              <w:bottom w:color="000000" w:sz="4" w:val="single"/>
              <w:right w:color="000000" w:sz="4" w:val="single"/>
            </w:tcBorders>
            <w:shd w:fill="FFFFFF" w:val="clear"/>
            <w:vAlign w:val="center"/>
          </w:tcPr>
          <w:p w14:paraId="471C0000">
            <w:pPr>
              <w:widowControl w:val="1"/>
              <w:ind/>
              <w:contextualSpacing w:val="1"/>
              <w:rPr>
                <w:color w:val="000000"/>
                <w:sz w:val="22"/>
              </w:rPr>
            </w:pPr>
            <w:r>
              <w:rPr>
                <w:color w:val="000000"/>
                <w:sz w:val="22"/>
              </w:rPr>
              <w:t>22</w:t>
            </w:r>
          </w:p>
        </w:tc>
        <w:tc>
          <w:tcPr>
            <w:tcW w:type="dxa" w:w="1408"/>
            <w:tcBorders>
              <w:top w:color="000000" w:sz="4" w:val="single"/>
              <w:left w:color="000000" w:sz="4" w:val="single"/>
              <w:bottom w:color="000000" w:sz="4" w:val="single"/>
              <w:right w:color="000000" w:sz="4" w:val="single"/>
            </w:tcBorders>
            <w:shd w:fill="FFFFFF" w:val="clear"/>
            <w:vAlign w:val="center"/>
          </w:tcPr>
          <w:p w14:paraId="481C0000">
            <w:pPr>
              <w:widowControl w:val="1"/>
              <w:ind/>
              <w:contextualSpacing w:val="1"/>
              <w:jc w:val="center"/>
              <w:rPr>
                <w:sz w:val="22"/>
              </w:rPr>
            </w:pPr>
            <w:r>
              <w:rPr>
                <w:sz w:val="22"/>
              </w:rPr>
              <w:t>Енисейский филиал АО "ФПК"</w:t>
            </w:r>
          </w:p>
        </w:tc>
        <w:tc>
          <w:tcPr>
            <w:tcW w:type="dxa" w:w="1408"/>
            <w:tcBorders>
              <w:top w:color="000000" w:sz="4" w:val="single"/>
              <w:left w:color="000000" w:sz="4" w:val="single"/>
              <w:bottom w:color="000000" w:sz="4" w:val="single"/>
              <w:right w:color="000000" w:sz="4" w:val="single"/>
            </w:tcBorders>
            <w:shd w:fill="FFFFFF" w:val="clear"/>
            <w:vAlign w:val="center"/>
          </w:tcPr>
          <w:p w14:paraId="491C0000">
            <w:pPr>
              <w:widowControl w:val="1"/>
              <w:ind/>
              <w:contextualSpacing w:val="1"/>
              <w:jc w:val="center"/>
              <w:rPr>
                <w:sz w:val="22"/>
              </w:rPr>
            </w:pPr>
            <w:r>
              <w:rPr>
                <w:sz w:val="22"/>
              </w:rPr>
              <w:t>договор № 38-18/Ф(ЕНИС)  от 26.02.2018</w:t>
            </w:r>
          </w:p>
        </w:tc>
        <w:tc>
          <w:tcPr>
            <w:tcW w:type="dxa" w:w="1274"/>
            <w:tcBorders>
              <w:top w:color="000000" w:sz="4" w:val="single"/>
              <w:left w:color="000000" w:sz="4" w:val="single"/>
              <w:bottom w:color="000000" w:sz="4" w:val="single"/>
              <w:right w:color="000000" w:sz="4" w:val="single"/>
            </w:tcBorders>
            <w:shd w:fill="FFFFFF" w:val="clear"/>
            <w:vAlign w:val="center"/>
          </w:tcPr>
          <w:p w14:paraId="4A1C0000">
            <w:pPr>
              <w:widowControl w:val="1"/>
              <w:ind/>
              <w:contextualSpacing w:val="1"/>
              <w:jc w:val="center"/>
              <w:rPr>
                <w:sz w:val="22"/>
              </w:rPr>
            </w:pPr>
            <w:r>
              <w:rPr>
                <w:sz w:val="22"/>
              </w:rPr>
              <w:t>26.02.2018-31.12.2018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4B1C0000">
            <w:pPr>
              <w:widowControl w:val="1"/>
              <w:ind/>
              <w:contextualSpacing w:val="1"/>
              <w:jc w:val="center"/>
              <w:rPr>
                <w:sz w:val="22"/>
              </w:rPr>
            </w:pPr>
            <w:r>
              <w:rPr>
                <w:sz w:val="22"/>
              </w:rPr>
              <w:t>Оказание услуг по обучению персонала</w:t>
            </w:r>
          </w:p>
        </w:tc>
        <w:tc>
          <w:tcPr>
            <w:tcW w:type="dxa" w:w="1194"/>
            <w:tcBorders>
              <w:top w:color="000000" w:sz="4" w:val="single"/>
              <w:left w:color="000000" w:sz="4" w:val="single"/>
              <w:bottom w:color="000000" w:sz="4" w:val="single"/>
              <w:right w:color="000000" w:sz="4" w:val="single"/>
            </w:tcBorders>
            <w:shd w:fill="FFFFFF" w:val="clear"/>
            <w:vAlign w:val="center"/>
          </w:tcPr>
          <w:p w14:paraId="4C1C0000">
            <w:pPr>
              <w:widowControl w:val="1"/>
              <w:ind/>
              <w:contextualSpacing w:val="1"/>
              <w:jc w:val="center"/>
              <w:rPr>
                <w:sz w:val="22"/>
              </w:rPr>
            </w:pPr>
            <w:r>
              <w:rPr>
                <w:sz w:val="22"/>
              </w:rPr>
              <w:t>81414,2</w:t>
            </w:r>
          </w:p>
        </w:tc>
        <w:tc>
          <w:tcPr>
            <w:tcW w:type="dxa" w:w="1221"/>
            <w:tcBorders>
              <w:top w:color="000000" w:sz="4" w:val="single"/>
              <w:left w:color="000000" w:sz="4" w:val="single"/>
              <w:bottom w:color="000000" w:sz="4" w:val="single"/>
              <w:right w:color="000000" w:sz="4" w:val="single"/>
            </w:tcBorders>
            <w:shd w:fill="FFFFFF" w:val="clear"/>
            <w:vAlign w:val="center"/>
          </w:tcPr>
          <w:p w14:paraId="4D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E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F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0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511C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c>
          <w:tcPr>
            <w:tcW w:type="dxa" w:w="1654"/>
            <w:tcBorders>
              <w:top w:color="000000" w:sz="4" w:val="single"/>
              <w:left w:color="000000" w:sz="4" w:val="single"/>
              <w:bottom w:color="000000" w:sz="4" w:val="single"/>
              <w:right w:color="000000" w:sz="4" w:val="single"/>
            </w:tcBorders>
            <w:shd w:fill="FFFFFF" w:val="clear"/>
            <w:vAlign w:val="center"/>
          </w:tcPr>
          <w:p w14:paraId="521C0000">
            <w:pPr>
              <w:widowControl w:val="1"/>
              <w:ind/>
              <w:contextualSpacing w:val="1"/>
              <w:jc w:val="center"/>
              <w:rPr>
                <w:sz w:val="22"/>
              </w:rPr>
            </w:pPr>
            <w:r>
              <w:rPr>
                <w:sz w:val="22"/>
              </w:rPr>
              <w:t>Размещение заказа у единственного поставщика, согласно пп. 8 п. 81  положения утвержденного СД 30.04.2015г. Протокол № 13</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531C0000">
            <w:pPr>
              <w:widowControl w:val="1"/>
              <w:ind/>
              <w:contextualSpacing w:val="1"/>
              <w:rPr>
                <w:color w:val="000000"/>
                <w:sz w:val="22"/>
              </w:rPr>
            </w:pPr>
            <w:r>
              <w:rPr>
                <w:color w:val="000000"/>
                <w:sz w:val="22"/>
              </w:rPr>
              <w:t>23</w:t>
            </w:r>
          </w:p>
        </w:tc>
        <w:tc>
          <w:tcPr>
            <w:tcW w:type="dxa" w:w="1408"/>
            <w:tcBorders>
              <w:top w:color="000000" w:sz="4" w:val="single"/>
              <w:left w:color="000000" w:sz="4" w:val="single"/>
              <w:bottom w:color="000000" w:sz="4" w:val="single"/>
              <w:right w:color="000000" w:sz="4" w:val="single"/>
            </w:tcBorders>
            <w:shd w:fill="FFFFFF" w:val="clear"/>
            <w:vAlign w:val="center"/>
          </w:tcPr>
          <w:p w14:paraId="541C0000">
            <w:pPr>
              <w:widowControl w:val="1"/>
              <w:ind/>
              <w:contextualSpacing w:val="1"/>
              <w:jc w:val="center"/>
              <w:rPr>
                <w:sz w:val="22"/>
              </w:rPr>
            </w:pPr>
            <w:r>
              <w:rPr>
                <w:sz w:val="22"/>
              </w:rPr>
              <w:t>Енисейский филиал АО "ФПК"</w:t>
            </w:r>
          </w:p>
        </w:tc>
        <w:tc>
          <w:tcPr>
            <w:tcW w:type="dxa" w:w="1408"/>
            <w:tcBorders>
              <w:top w:color="000000" w:sz="4" w:val="single"/>
              <w:left w:color="000000" w:sz="4" w:val="single"/>
              <w:bottom w:color="000000" w:sz="4" w:val="single"/>
              <w:right w:color="000000" w:sz="4" w:val="single"/>
            </w:tcBorders>
            <w:shd w:fill="FFFFFF" w:val="clear"/>
            <w:vAlign w:val="center"/>
          </w:tcPr>
          <w:p w14:paraId="551C0000">
            <w:pPr>
              <w:widowControl w:val="1"/>
              <w:ind/>
              <w:contextualSpacing w:val="1"/>
              <w:jc w:val="center"/>
              <w:rPr>
                <w:sz w:val="22"/>
              </w:rPr>
            </w:pPr>
            <w:r>
              <w:rPr>
                <w:sz w:val="22"/>
              </w:rPr>
              <w:t>договор № 52-18/Ф(ЕНИС) от 15.03.2018</w:t>
            </w:r>
          </w:p>
        </w:tc>
        <w:tc>
          <w:tcPr>
            <w:tcW w:type="dxa" w:w="1274"/>
            <w:tcBorders>
              <w:top w:color="000000" w:sz="4" w:val="single"/>
              <w:left w:color="000000" w:sz="4" w:val="single"/>
              <w:bottom w:color="000000" w:sz="4" w:val="single"/>
              <w:right w:color="000000" w:sz="4" w:val="single"/>
            </w:tcBorders>
            <w:shd w:fill="FFFFFF" w:val="clear"/>
            <w:vAlign w:val="center"/>
          </w:tcPr>
          <w:p w14:paraId="561C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571C0000">
            <w:pPr>
              <w:widowControl w:val="1"/>
              <w:ind/>
              <w:contextualSpacing w:val="1"/>
              <w:jc w:val="center"/>
              <w:rPr>
                <w:sz w:val="22"/>
              </w:rPr>
            </w:pPr>
            <w:r>
              <w:rPr>
                <w:sz w:val="22"/>
              </w:rPr>
              <w:t>оказание услуг аренды пассажирских вагонов</w:t>
            </w:r>
          </w:p>
        </w:tc>
        <w:tc>
          <w:tcPr>
            <w:tcW w:type="dxa" w:w="1194"/>
            <w:tcBorders>
              <w:top w:color="000000" w:sz="4" w:val="single"/>
              <w:left w:color="000000" w:sz="4" w:val="single"/>
              <w:bottom w:color="000000" w:sz="4" w:val="single"/>
              <w:right w:color="000000" w:sz="4" w:val="single"/>
            </w:tcBorders>
            <w:shd w:fill="FFFFFF" w:val="clear"/>
            <w:vAlign w:val="center"/>
          </w:tcPr>
          <w:p w14:paraId="581C0000">
            <w:pPr>
              <w:widowControl w:val="1"/>
              <w:ind/>
              <w:contextualSpacing w:val="1"/>
              <w:jc w:val="center"/>
              <w:rPr>
                <w:sz w:val="22"/>
              </w:rPr>
            </w:pPr>
            <w:r>
              <w:rPr>
                <w:sz w:val="22"/>
              </w:rPr>
              <w:t>76424088,2</w:t>
            </w:r>
          </w:p>
        </w:tc>
        <w:tc>
          <w:tcPr>
            <w:tcW w:type="dxa" w:w="1221"/>
            <w:tcBorders>
              <w:top w:color="000000" w:sz="4" w:val="single"/>
              <w:left w:color="000000" w:sz="4" w:val="single"/>
              <w:bottom w:color="000000" w:sz="4" w:val="single"/>
              <w:right w:color="000000" w:sz="4" w:val="single"/>
            </w:tcBorders>
            <w:shd w:fill="FFFFFF" w:val="clear"/>
            <w:vAlign w:val="center"/>
          </w:tcPr>
          <w:p w14:paraId="59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A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B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C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5D1C0000">
            <w:pPr>
              <w:widowControl w:val="1"/>
              <w:ind/>
              <w:contextualSpacing w:val="1"/>
              <w:jc w:val="center"/>
              <w:rPr>
                <w:sz w:val="22"/>
              </w:rPr>
            </w:pPr>
            <w:r>
              <w:rPr>
                <w:sz w:val="22"/>
              </w:rPr>
              <w:t>извещение о сделке направлено 28.02.2018, требование об одобрении сделки не поступило</w:t>
            </w:r>
          </w:p>
        </w:tc>
        <w:tc>
          <w:tcPr>
            <w:tcW w:type="dxa" w:w="1654"/>
            <w:tcBorders>
              <w:top w:color="000000" w:sz="4" w:val="single"/>
              <w:left w:color="000000" w:sz="4" w:val="single"/>
              <w:bottom w:color="000000" w:sz="4" w:val="single"/>
              <w:right w:color="000000" w:sz="4" w:val="single"/>
            </w:tcBorders>
            <w:shd w:fill="FFFFFF" w:val="clear"/>
            <w:vAlign w:val="center"/>
          </w:tcPr>
          <w:p w14:paraId="5E1C0000">
            <w:pPr>
              <w:widowControl w:val="1"/>
              <w:ind/>
              <w:contextualSpacing w:val="1"/>
              <w:jc w:val="center"/>
              <w:rPr>
                <w:sz w:val="22"/>
              </w:rPr>
            </w:pPr>
            <w:r>
              <w:rPr>
                <w:sz w:val="22"/>
              </w:rPr>
              <w:t>Размещение заказа у единственного поставщика, согласно пп. 1 п. 81  положения утвержденного СД 30.04.2015г. Протокол № 13</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5F1C0000">
            <w:pPr>
              <w:widowControl w:val="1"/>
              <w:ind/>
              <w:contextualSpacing w:val="1"/>
              <w:rPr>
                <w:color w:val="000000"/>
                <w:sz w:val="22"/>
              </w:rPr>
            </w:pPr>
            <w:r>
              <w:rPr>
                <w:color w:val="000000"/>
                <w:sz w:val="22"/>
              </w:rPr>
              <w:t>24</w:t>
            </w:r>
          </w:p>
        </w:tc>
        <w:tc>
          <w:tcPr>
            <w:tcW w:type="dxa" w:w="1408"/>
            <w:tcBorders>
              <w:top w:color="000000" w:sz="4" w:val="single"/>
              <w:left w:color="000000" w:sz="4" w:val="single"/>
              <w:bottom w:color="000000" w:sz="4" w:val="single"/>
              <w:right w:color="000000" w:sz="4" w:val="single"/>
            </w:tcBorders>
            <w:shd w:fill="FFFFFF" w:val="clear"/>
            <w:vAlign w:val="center"/>
          </w:tcPr>
          <w:p w14:paraId="601C0000">
            <w:pPr>
              <w:widowControl w:val="1"/>
              <w:ind/>
              <w:contextualSpacing w:val="1"/>
              <w:jc w:val="center"/>
              <w:rPr>
                <w:sz w:val="22"/>
              </w:rPr>
            </w:pPr>
            <w:r>
              <w:rPr>
                <w:sz w:val="22"/>
              </w:rPr>
              <w:t>Енисейский филиал АО "ФПК"</w:t>
            </w:r>
          </w:p>
        </w:tc>
        <w:tc>
          <w:tcPr>
            <w:tcW w:type="dxa" w:w="1408"/>
            <w:tcBorders>
              <w:top w:color="000000" w:sz="4" w:val="single"/>
              <w:left w:color="000000" w:sz="4" w:val="single"/>
              <w:bottom w:color="000000" w:sz="4" w:val="single"/>
              <w:right w:color="000000" w:sz="4" w:val="single"/>
            </w:tcBorders>
            <w:shd w:fill="FFFFFF" w:val="clear"/>
            <w:vAlign w:val="center"/>
          </w:tcPr>
          <w:p w14:paraId="611C0000">
            <w:pPr>
              <w:widowControl w:val="1"/>
              <w:ind/>
              <w:contextualSpacing w:val="1"/>
              <w:jc w:val="center"/>
              <w:rPr>
                <w:sz w:val="22"/>
              </w:rPr>
            </w:pPr>
            <w:r>
              <w:rPr>
                <w:sz w:val="22"/>
              </w:rPr>
              <w:t>дополнительное соглашение № 1/28-18(1)/Ф(ЕНИС) к договору № 28-18/Ф(ЕНИС) от 20.02.2018г. От 06.11.2018</w:t>
            </w:r>
          </w:p>
        </w:tc>
        <w:tc>
          <w:tcPr>
            <w:tcW w:type="dxa" w:w="1274"/>
            <w:tcBorders>
              <w:top w:color="000000" w:sz="4" w:val="single"/>
              <w:left w:color="000000" w:sz="4" w:val="single"/>
              <w:bottom w:color="000000" w:sz="4" w:val="single"/>
              <w:right w:color="000000" w:sz="4" w:val="single"/>
            </w:tcBorders>
            <w:shd w:fill="FFFFFF" w:val="clear"/>
            <w:vAlign w:val="center"/>
          </w:tcPr>
          <w:p w14:paraId="621C0000">
            <w:pPr>
              <w:widowControl w:val="1"/>
              <w:ind/>
              <w:contextualSpacing w:val="1"/>
              <w:jc w:val="center"/>
              <w:rPr>
                <w:sz w:val="22"/>
              </w:rPr>
            </w:pPr>
            <w:r>
              <w:rPr>
                <w:sz w:val="22"/>
              </w:rPr>
              <w:t>01.11.2018-31.12.2018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631C0000">
            <w:pPr>
              <w:widowControl w:val="1"/>
              <w:ind/>
              <w:contextualSpacing w:val="1"/>
              <w:jc w:val="center"/>
              <w:rPr>
                <w:sz w:val="22"/>
              </w:rPr>
            </w:pPr>
            <w:r>
              <w:rPr>
                <w:sz w:val="22"/>
              </w:rPr>
              <w:t>внесение изменений в перечень движимого имущества передаваемого в аренду, уменьшение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641C0000">
            <w:pPr>
              <w:widowControl w:val="1"/>
              <w:ind/>
              <w:contextualSpacing w:val="1"/>
              <w:jc w:val="center"/>
              <w:rPr>
                <w:sz w:val="22"/>
              </w:rPr>
            </w:pPr>
            <w:r>
              <w:rPr>
                <w:sz w:val="22"/>
              </w:rPr>
              <w:t>215478,36</w:t>
            </w:r>
          </w:p>
        </w:tc>
        <w:tc>
          <w:tcPr>
            <w:tcW w:type="dxa" w:w="1221"/>
            <w:tcBorders>
              <w:top w:color="000000" w:sz="4" w:val="single"/>
              <w:left w:color="000000" w:sz="4" w:val="single"/>
              <w:bottom w:color="000000" w:sz="4" w:val="single"/>
              <w:right w:color="000000" w:sz="4" w:val="single"/>
            </w:tcBorders>
            <w:shd w:fill="FFFFFF" w:val="clear"/>
            <w:vAlign w:val="center"/>
          </w:tcPr>
          <w:p w14:paraId="65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6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7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8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691C0000">
            <w:pPr>
              <w:widowControl w:val="1"/>
              <w:ind/>
              <w:contextualSpacing w:val="1"/>
              <w:jc w:val="center"/>
              <w:rPr>
                <w:sz w:val="22"/>
              </w:rPr>
            </w:pPr>
            <w:r>
              <w:rPr>
                <w:sz w:val="22"/>
              </w:rPr>
              <w:t>извещение о сделке направлено 16.10.2018г, требование об одобрении сделки не поступило</w:t>
            </w:r>
          </w:p>
        </w:tc>
        <w:tc>
          <w:tcPr>
            <w:tcW w:type="dxa" w:w="1654"/>
            <w:tcBorders>
              <w:top w:color="000000" w:sz="4" w:val="single"/>
              <w:left w:color="000000" w:sz="4" w:val="single"/>
              <w:bottom w:color="000000" w:sz="4" w:val="single"/>
              <w:right w:color="000000" w:sz="4" w:val="single"/>
            </w:tcBorders>
            <w:shd w:fill="FFFFFF" w:val="clear"/>
            <w:vAlign w:val="center"/>
          </w:tcPr>
          <w:p w14:paraId="6A1C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43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6B1C0000">
            <w:pPr>
              <w:widowControl w:val="1"/>
              <w:ind/>
              <w:contextualSpacing w:val="1"/>
              <w:jc w:val="center"/>
              <w:rPr>
                <w:color w:val="000000"/>
                <w:sz w:val="22"/>
              </w:rPr>
            </w:pPr>
            <w:r>
              <w:rPr>
                <w:color w:val="000000"/>
                <w:sz w:val="22"/>
              </w:rPr>
              <w:t>Итого по контрагенту Енисейский филиал АО "ФПК" 76720980,76 руб.</w:t>
            </w:r>
          </w:p>
          <w:p w14:paraId="6C1C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6D1C0000">
            <w:pPr>
              <w:widowControl w:val="1"/>
              <w:ind/>
              <w:contextualSpacing w:val="1"/>
              <w:rPr>
                <w:color w:val="000000"/>
                <w:sz w:val="22"/>
              </w:rPr>
            </w:pPr>
            <w:r>
              <w:rPr>
                <w:color w:val="000000"/>
                <w:sz w:val="22"/>
              </w:rPr>
              <w:t>25</w:t>
            </w:r>
          </w:p>
        </w:tc>
        <w:tc>
          <w:tcPr>
            <w:tcW w:type="dxa" w:w="1408"/>
            <w:tcBorders>
              <w:top w:color="000000" w:sz="4" w:val="single"/>
              <w:left w:color="000000" w:sz="4" w:val="single"/>
              <w:bottom w:color="000000" w:sz="4" w:val="single"/>
              <w:right w:color="000000" w:sz="4" w:val="single"/>
            </w:tcBorders>
            <w:shd w:fill="FFFFFF" w:val="clear"/>
            <w:vAlign w:val="center"/>
          </w:tcPr>
          <w:p w14:paraId="6E1C0000">
            <w:pPr>
              <w:widowControl w:val="1"/>
              <w:ind/>
              <w:contextualSpacing w:val="1"/>
              <w:jc w:val="center"/>
              <w:rPr>
                <w:sz w:val="22"/>
              </w:rPr>
            </w:pPr>
            <w:r>
              <w:rPr>
                <w:sz w:val="22"/>
              </w:rPr>
              <w:t>ЗАО "СибТрансТелеКом"</w:t>
            </w:r>
          </w:p>
        </w:tc>
        <w:tc>
          <w:tcPr>
            <w:tcW w:type="dxa" w:w="1408"/>
            <w:tcBorders>
              <w:top w:color="000000" w:sz="4" w:val="single"/>
              <w:left w:color="000000" w:sz="4" w:val="single"/>
              <w:bottom w:color="000000" w:sz="4" w:val="single"/>
              <w:right w:color="000000" w:sz="4" w:val="single"/>
            </w:tcBorders>
            <w:shd w:fill="FFFFFF" w:val="clear"/>
            <w:vAlign w:val="center"/>
          </w:tcPr>
          <w:p w14:paraId="6F1C0000">
            <w:pPr>
              <w:widowControl w:val="1"/>
              <w:ind/>
              <w:contextualSpacing w:val="1"/>
              <w:jc w:val="center"/>
              <w:rPr>
                <w:sz w:val="22"/>
              </w:rPr>
            </w:pPr>
            <w:r>
              <w:rPr>
                <w:sz w:val="22"/>
              </w:rPr>
              <w:t>договор № 241920193/1 от 26.02.2018</w:t>
            </w:r>
          </w:p>
        </w:tc>
        <w:tc>
          <w:tcPr>
            <w:tcW w:type="dxa" w:w="1274"/>
            <w:tcBorders>
              <w:top w:color="000000" w:sz="4" w:val="single"/>
              <w:left w:color="000000" w:sz="4" w:val="single"/>
              <w:bottom w:color="000000" w:sz="4" w:val="single"/>
              <w:right w:color="000000" w:sz="4" w:val="single"/>
            </w:tcBorders>
            <w:shd w:fill="FFFFFF" w:val="clear"/>
            <w:vAlign w:val="center"/>
          </w:tcPr>
          <w:p w14:paraId="701C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711C0000">
            <w:pPr>
              <w:widowControl w:val="1"/>
              <w:ind/>
              <w:contextualSpacing w:val="1"/>
              <w:jc w:val="center"/>
              <w:rPr>
                <w:sz w:val="22"/>
              </w:rPr>
            </w:pPr>
            <w:r>
              <w:rPr>
                <w:sz w:val="22"/>
              </w:rPr>
              <w:t>оказание услуг связи</w:t>
            </w:r>
          </w:p>
        </w:tc>
        <w:tc>
          <w:tcPr>
            <w:tcW w:type="dxa" w:w="1194"/>
            <w:tcBorders>
              <w:top w:color="000000" w:sz="4" w:val="single"/>
              <w:left w:color="000000" w:sz="4" w:val="single"/>
              <w:bottom w:color="000000" w:sz="4" w:val="single"/>
              <w:right w:color="000000" w:sz="4" w:val="single"/>
            </w:tcBorders>
            <w:shd w:fill="FFFFFF" w:val="clear"/>
            <w:vAlign w:val="center"/>
          </w:tcPr>
          <w:p w14:paraId="721C0000">
            <w:pPr>
              <w:widowControl w:val="1"/>
              <w:ind/>
              <w:contextualSpacing w:val="1"/>
              <w:jc w:val="center"/>
              <w:rPr>
                <w:sz w:val="22"/>
              </w:rPr>
            </w:pPr>
            <w:r>
              <w:rPr>
                <w:sz w:val="22"/>
              </w:rPr>
              <w:t>212400</w:t>
            </w:r>
          </w:p>
        </w:tc>
        <w:tc>
          <w:tcPr>
            <w:tcW w:type="dxa" w:w="1221"/>
            <w:tcBorders>
              <w:top w:color="000000" w:sz="4" w:val="single"/>
              <w:left w:color="000000" w:sz="4" w:val="single"/>
              <w:bottom w:color="000000" w:sz="4" w:val="single"/>
              <w:right w:color="000000" w:sz="4" w:val="single"/>
            </w:tcBorders>
            <w:shd w:fill="FFFFFF" w:val="clear"/>
            <w:vAlign w:val="center"/>
          </w:tcPr>
          <w:p w14:paraId="73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4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5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6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77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781C0000">
            <w:pPr>
              <w:widowControl w:val="1"/>
              <w:ind/>
              <w:contextualSpacing w:val="1"/>
              <w:jc w:val="center"/>
              <w:rPr>
                <w:sz w:val="22"/>
              </w:rPr>
            </w:pPr>
            <w:r>
              <w:rPr>
                <w:sz w:val="22"/>
              </w:rPr>
              <w:t>Размещение заказа у единственного поставщика, согласно пп. 7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791C0000">
            <w:pPr>
              <w:widowControl w:val="1"/>
              <w:ind/>
              <w:contextualSpacing w:val="1"/>
              <w:rPr>
                <w:color w:val="000000"/>
                <w:sz w:val="22"/>
              </w:rPr>
            </w:pPr>
            <w:r>
              <w:rPr>
                <w:color w:val="000000"/>
                <w:sz w:val="22"/>
              </w:rPr>
              <w:t>26</w:t>
            </w:r>
          </w:p>
        </w:tc>
        <w:tc>
          <w:tcPr>
            <w:tcW w:type="dxa" w:w="1408"/>
            <w:tcBorders>
              <w:top w:color="000000" w:sz="4" w:val="single"/>
              <w:left w:color="000000" w:sz="4" w:val="single"/>
              <w:bottom w:color="000000" w:sz="4" w:val="single"/>
              <w:right w:color="000000" w:sz="4" w:val="single"/>
            </w:tcBorders>
            <w:shd w:fill="FFFFFF" w:val="clear"/>
            <w:vAlign w:val="center"/>
          </w:tcPr>
          <w:p w14:paraId="7A1C0000">
            <w:pPr>
              <w:widowControl w:val="1"/>
              <w:ind/>
              <w:contextualSpacing w:val="1"/>
              <w:jc w:val="center"/>
              <w:rPr>
                <w:sz w:val="22"/>
              </w:rPr>
            </w:pPr>
            <w:r>
              <w:rPr>
                <w:sz w:val="22"/>
              </w:rPr>
              <w:t>Карпухин К.В.</w:t>
            </w:r>
          </w:p>
        </w:tc>
        <w:tc>
          <w:tcPr>
            <w:tcW w:type="dxa" w:w="1408"/>
            <w:tcBorders>
              <w:top w:color="000000" w:sz="4" w:val="single"/>
              <w:left w:color="000000" w:sz="4" w:val="single"/>
              <w:bottom w:color="000000" w:sz="4" w:val="single"/>
              <w:right w:color="000000" w:sz="4" w:val="single"/>
            </w:tcBorders>
            <w:shd w:fill="FFFFFF" w:val="clear"/>
            <w:vAlign w:val="center"/>
          </w:tcPr>
          <w:p w14:paraId="7B1C0000">
            <w:pPr>
              <w:widowControl w:val="1"/>
              <w:ind/>
              <w:contextualSpacing w:val="1"/>
              <w:jc w:val="center"/>
              <w:rPr>
                <w:sz w:val="22"/>
              </w:rPr>
            </w:pPr>
            <w:r>
              <w:rPr>
                <w:sz w:val="22"/>
              </w:rPr>
              <w:t>договор № 35 от 27.02.2018</w:t>
            </w:r>
          </w:p>
        </w:tc>
        <w:tc>
          <w:tcPr>
            <w:tcW w:type="dxa" w:w="1274"/>
            <w:tcBorders>
              <w:top w:color="000000" w:sz="4" w:val="single"/>
              <w:left w:color="000000" w:sz="4" w:val="single"/>
              <w:bottom w:color="000000" w:sz="4" w:val="single"/>
              <w:right w:color="000000" w:sz="4" w:val="single"/>
            </w:tcBorders>
            <w:shd w:fill="FFFFFF" w:val="clear"/>
            <w:vAlign w:val="center"/>
          </w:tcPr>
          <w:p w14:paraId="7C1C0000">
            <w:pPr>
              <w:widowControl w:val="1"/>
              <w:ind/>
              <w:contextualSpacing w:val="1"/>
              <w:jc w:val="center"/>
              <w:rPr>
                <w:sz w:val="22"/>
              </w:rPr>
            </w:pPr>
            <w:r>
              <w:rPr>
                <w:sz w:val="22"/>
              </w:rPr>
              <w:t>01.01.2018-31.03.2018</w:t>
            </w:r>
          </w:p>
        </w:tc>
        <w:tc>
          <w:tcPr>
            <w:tcW w:type="dxa" w:w="1556"/>
            <w:tcBorders>
              <w:top w:color="000000" w:sz="4" w:val="single"/>
              <w:left w:color="000000" w:sz="4" w:val="single"/>
              <w:bottom w:color="000000" w:sz="4" w:val="single"/>
              <w:right w:color="000000" w:sz="4" w:val="single"/>
            </w:tcBorders>
            <w:shd w:fill="FFFFFF" w:val="clear"/>
            <w:vAlign w:val="center"/>
          </w:tcPr>
          <w:p w14:paraId="7D1C0000">
            <w:pPr>
              <w:widowControl w:val="1"/>
              <w:ind/>
              <w:contextualSpacing w:val="1"/>
              <w:jc w:val="center"/>
              <w:rPr>
                <w:sz w:val="22"/>
              </w:rPr>
            </w:pPr>
            <w:r>
              <w:rPr>
                <w:sz w:val="22"/>
              </w:rPr>
              <w:t>Оказание услуг по изготовлению информационного аудиогида по марщруту движения "Городской  электрички"</w:t>
            </w:r>
          </w:p>
        </w:tc>
        <w:tc>
          <w:tcPr>
            <w:tcW w:type="dxa" w:w="1194"/>
            <w:tcBorders>
              <w:top w:color="000000" w:sz="4" w:val="single"/>
              <w:left w:color="000000" w:sz="4" w:val="single"/>
              <w:bottom w:color="000000" w:sz="4" w:val="single"/>
              <w:right w:color="000000" w:sz="4" w:val="single"/>
            </w:tcBorders>
            <w:shd w:fill="FFFFFF" w:val="clear"/>
            <w:vAlign w:val="center"/>
          </w:tcPr>
          <w:p w14:paraId="7E1C0000">
            <w:pPr>
              <w:widowControl w:val="1"/>
              <w:ind/>
              <w:contextualSpacing w:val="1"/>
              <w:jc w:val="center"/>
              <w:rPr>
                <w:sz w:val="22"/>
              </w:rPr>
            </w:pPr>
            <w:r>
              <w:rPr>
                <w:sz w:val="22"/>
              </w:rPr>
              <w:t>58000</w:t>
            </w:r>
          </w:p>
        </w:tc>
        <w:tc>
          <w:tcPr>
            <w:tcW w:type="dxa" w:w="1221"/>
            <w:tcBorders>
              <w:top w:color="000000" w:sz="4" w:val="single"/>
              <w:left w:color="000000" w:sz="4" w:val="single"/>
              <w:bottom w:color="000000" w:sz="4" w:val="single"/>
              <w:right w:color="000000" w:sz="4" w:val="single"/>
            </w:tcBorders>
            <w:shd w:fill="FFFFFF" w:val="clear"/>
            <w:vAlign w:val="center"/>
          </w:tcPr>
          <w:p w14:paraId="7F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0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1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2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83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841C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851C0000">
            <w:pPr>
              <w:widowControl w:val="1"/>
              <w:ind/>
              <w:contextualSpacing w:val="1"/>
              <w:rPr>
                <w:color w:val="000000"/>
                <w:sz w:val="22"/>
              </w:rPr>
            </w:pPr>
            <w:r>
              <w:rPr>
                <w:color w:val="000000"/>
                <w:sz w:val="22"/>
              </w:rPr>
              <w:t>27</w:t>
            </w:r>
          </w:p>
        </w:tc>
        <w:tc>
          <w:tcPr>
            <w:tcW w:type="dxa" w:w="1408"/>
            <w:tcBorders>
              <w:top w:color="000000" w:sz="4" w:val="single"/>
              <w:left w:color="000000" w:sz="4" w:val="single"/>
              <w:bottom w:color="000000" w:sz="4" w:val="single"/>
              <w:right w:color="000000" w:sz="4" w:val="single"/>
            </w:tcBorders>
            <w:shd w:fill="FFFFFF" w:val="clear"/>
            <w:vAlign w:val="center"/>
          </w:tcPr>
          <w:p w14:paraId="861C0000">
            <w:pPr>
              <w:widowControl w:val="1"/>
              <w:ind/>
              <w:contextualSpacing w:val="1"/>
              <w:jc w:val="center"/>
              <w:rPr>
                <w:sz w:val="22"/>
              </w:rPr>
            </w:pPr>
            <w:r>
              <w:rPr>
                <w:sz w:val="22"/>
              </w:rPr>
              <w:t>ИП Лахтычкин А.С.</w:t>
            </w:r>
          </w:p>
        </w:tc>
        <w:tc>
          <w:tcPr>
            <w:tcW w:type="dxa" w:w="1408"/>
            <w:tcBorders>
              <w:top w:color="000000" w:sz="4" w:val="single"/>
              <w:left w:color="000000" w:sz="4" w:val="single"/>
              <w:bottom w:color="000000" w:sz="4" w:val="single"/>
              <w:right w:color="000000" w:sz="4" w:val="single"/>
            </w:tcBorders>
            <w:shd w:fill="FFFFFF" w:val="clear"/>
            <w:vAlign w:val="center"/>
          </w:tcPr>
          <w:p w14:paraId="871C0000">
            <w:pPr>
              <w:widowControl w:val="1"/>
              <w:ind/>
              <w:contextualSpacing w:val="1"/>
              <w:jc w:val="center"/>
              <w:rPr>
                <w:sz w:val="22"/>
              </w:rPr>
            </w:pPr>
            <w:r>
              <w:rPr>
                <w:sz w:val="22"/>
              </w:rPr>
              <w:t>договор № 54 от 26.03.2018</w:t>
            </w:r>
          </w:p>
        </w:tc>
        <w:tc>
          <w:tcPr>
            <w:tcW w:type="dxa" w:w="1274"/>
            <w:tcBorders>
              <w:top w:color="000000" w:sz="4" w:val="single"/>
              <w:left w:color="000000" w:sz="4" w:val="single"/>
              <w:bottom w:color="000000" w:sz="4" w:val="single"/>
              <w:right w:color="000000" w:sz="4" w:val="single"/>
            </w:tcBorders>
            <w:shd w:fill="FFFFFF" w:val="clear"/>
            <w:vAlign w:val="center"/>
          </w:tcPr>
          <w:p w14:paraId="881C0000">
            <w:pPr>
              <w:widowControl w:val="1"/>
              <w:ind/>
              <w:contextualSpacing w:val="1"/>
              <w:jc w:val="center"/>
              <w:rPr>
                <w:sz w:val="22"/>
              </w:rPr>
            </w:pPr>
            <w:r>
              <w:rPr>
                <w:sz w:val="22"/>
              </w:rPr>
              <w:t>26.03.2018-31.12.2018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891C0000">
            <w:pPr>
              <w:widowControl w:val="1"/>
              <w:ind/>
              <w:contextualSpacing w:val="1"/>
              <w:jc w:val="center"/>
              <w:rPr>
                <w:color w:val="000000"/>
                <w:sz w:val="22"/>
              </w:rPr>
            </w:pPr>
            <w:r>
              <w:rPr>
                <w:color w:val="000000"/>
                <w:sz w:val="22"/>
              </w:rPr>
              <w:t>Оказание услуг по сервисно-техническому  обслуживанию систем кондиционирования</w:t>
            </w:r>
          </w:p>
        </w:tc>
        <w:tc>
          <w:tcPr>
            <w:tcW w:type="dxa" w:w="1194"/>
            <w:tcBorders>
              <w:top w:color="000000" w:sz="4" w:val="single"/>
              <w:left w:color="000000" w:sz="4" w:val="single"/>
              <w:bottom w:color="000000" w:sz="4" w:val="single"/>
              <w:right w:color="000000" w:sz="4" w:val="single"/>
            </w:tcBorders>
            <w:shd w:fill="FFFFFF" w:val="clear"/>
            <w:vAlign w:val="center"/>
          </w:tcPr>
          <w:p w14:paraId="8A1C0000">
            <w:pPr>
              <w:widowControl w:val="1"/>
              <w:ind/>
              <w:contextualSpacing w:val="1"/>
              <w:jc w:val="center"/>
              <w:rPr>
                <w:sz w:val="22"/>
              </w:rPr>
            </w:pPr>
            <w:r>
              <w:rPr>
                <w:sz w:val="22"/>
              </w:rPr>
              <w:t>115060</w:t>
            </w:r>
          </w:p>
        </w:tc>
        <w:tc>
          <w:tcPr>
            <w:tcW w:type="dxa" w:w="1221"/>
            <w:tcBorders>
              <w:top w:color="000000" w:sz="4" w:val="single"/>
              <w:left w:color="000000" w:sz="4" w:val="single"/>
              <w:bottom w:color="000000" w:sz="4" w:val="single"/>
              <w:right w:color="000000" w:sz="4" w:val="single"/>
            </w:tcBorders>
            <w:shd w:fill="FFFFFF" w:val="clear"/>
            <w:vAlign w:val="center"/>
          </w:tcPr>
          <w:p w14:paraId="8B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C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D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E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8F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901C0000">
            <w:pPr>
              <w:widowControl w:val="1"/>
              <w:ind/>
              <w:contextualSpacing w:val="1"/>
              <w:jc w:val="center"/>
              <w:rPr>
                <w:sz w:val="22"/>
              </w:rPr>
            </w:pPr>
            <w:r>
              <w:rPr>
                <w:sz w:val="22"/>
              </w:rPr>
              <w:t>Размещение заказа у единственного поставщика, согласно пп.28п.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11C0000">
            <w:pPr>
              <w:widowControl w:val="1"/>
              <w:ind/>
              <w:contextualSpacing w:val="1"/>
              <w:rPr>
                <w:color w:val="000000"/>
                <w:sz w:val="22"/>
              </w:rPr>
            </w:pPr>
            <w:r>
              <w:rPr>
                <w:color w:val="000000"/>
                <w:sz w:val="22"/>
              </w:rPr>
              <w:t>28</w:t>
            </w:r>
          </w:p>
        </w:tc>
        <w:tc>
          <w:tcPr>
            <w:tcW w:type="dxa" w:w="1408"/>
            <w:tcBorders>
              <w:top w:color="000000" w:sz="4" w:val="single"/>
              <w:left w:color="000000" w:sz="4" w:val="single"/>
              <w:bottom w:color="000000" w:sz="4" w:val="single"/>
              <w:right w:color="000000" w:sz="4" w:val="single"/>
            </w:tcBorders>
            <w:shd w:fill="FFFFFF" w:val="clear"/>
            <w:vAlign w:val="center"/>
          </w:tcPr>
          <w:p w14:paraId="921C0000">
            <w:pPr>
              <w:widowControl w:val="1"/>
              <w:ind/>
              <w:contextualSpacing w:val="1"/>
              <w:jc w:val="center"/>
              <w:rPr>
                <w:sz w:val="22"/>
              </w:rPr>
            </w:pPr>
            <w:r>
              <w:rPr>
                <w:sz w:val="22"/>
              </w:rPr>
              <w:t>ИП Лахтычкин</w:t>
            </w:r>
          </w:p>
        </w:tc>
        <w:tc>
          <w:tcPr>
            <w:tcW w:type="dxa" w:w="1408"/>
            <w:tcBorders>
              <w:top w:color="000000" w:sz="4" w:val="single"/>
              <w:left w:color="000000" w:sz="4" w:val="single"/>
              <w:bottom w:color="000000" w:sz="4" w:val="single"/>
              <w:right w:color="000000" w:sz="4" w:val="single"/>
            </w:tcBorders>
            <w:shd w:fill="FFFFFF" w:val="clear"/>
            <w:vAlign w:val="center"/>
          </w:tcPr>
          <w:p w14:paraId="931C0000">
            <w:pPr>
              <w:widowControl w:val="1"/>
              <w:ind/>
              <w:contextualSpacing w:val="1"/>
              <w:jc w:val="center"/>
              <w:rPr>
                <w:sz w:val="22"/>
              </w:rPr>
            </w:pPr>
            <w:r>
              <w:rPr>
                <w:sz w:val="22"/>
              </w:rPr>
              <w:t>СЧЕТ № 49 от 18.06.2018</w:t>
            </w:r>
          </w:p>
        </w:tc>
        <w:tc>
          <w:tcPr>
            <w:tcW w:type="dxa" w:w="1274"/>
            <w:tcBorders>
              <w:top w:color="000000" w:sz="4" w:val="single"/>
              <w:left w:color="000000" w:sz="4" w:val="single"/>
              <w:bottom w:color="000000" w:sz="4" w:val="single"/>
              <w:right w:color="000000" w:sz="4" w:val="single"/>
            </w:tcBorders>
            <w:shd w:fill="FFFFFF" w:val="clear"/>
            <w:vAlign w:val="center"/>
          </w:tcPr>
          <w:p w14:paraId="941C0000">
            <w:pPr>
              <w:widowControl w:val="1"/>
              <w:ind/>
              <w:contextualSpacing w:val="1"/>
              <w:jc w:val="center"/>
              <w:rPr>
                <w:sz w:val="22"/>
              </w:rPr>
            </w:pPr>
            <w:r>
              <w:rPr>
                <w:sz w:val="22"/>
              </w:rPr>
              <w:t>18.06.2018-30.06.2018</w:t>
            </w:r>
          </w:p>
        </w:tc>
        <w:tc>
          <w:tcPr>
            <w:tcW w:type="dxa" w:w="1556"/>
            <w:tcBorders>
              <w:top w:color="000000" w:sz="4" w:val="single"/>
              <w:left w:color="000000" w:sz="4" w:val="single"/>
              <w:bottom w:color="000000" w:sz="4" w:val="single"/>
              <w:right w:color="000000" w:sz="4" w:val="single"/>
            </w:tcBorders>
            <w:shd w:fill="FFFFFF" w:val="clear"/>
            <w:vAlign w:val="center"/>
          </w:tcPr>
          <w:p w14:paraId="951C0000">
            <w:pPr>
              <w:widowControl w:val="1"/>
              <w:ind/>
              <w:contextualSpacing w:val="1"/>
              <w:jc w:val="center"/>
              <w:rPr>
                <w:color w:val="000000"/>
                <w:sz w:val="22"/>
              </w:rPr>
            </w:pPr>
            <w:r>
              <w:rPr>
                <w:color w:val="000000"/>
                <w:sz w:val="22"/>
              </w:rPr>
              <w:t>Выполнение работ по демонтажу и монтажу кондиционера</w:t>
            </w:r>
          </w:p>
        </w:tc>
        <w:tc>
          <w:tcPr>
            <w:tcW w:type="dxa" w:w="1194"/>
            <w:tcBorders>
              <w:top w:color="000000" w:sz="4" w:val="single"/>
              <w:left w:color="000000" w:sz="4" w:val="single"/>
              <w:bottom w:color="000000" w:sz="4" w:val="single"/>
              <w:right w:color="000000" w:sz="4" w:val="single"/>
            </w:tcBorders>
            <w:shd w:fill="FFFFFF" w:val="clear"/>
            <w:vAlign w:val="center"/>
          </w:tcPr>
          <w:p w14:paraId="961C0000">
            <w:pPr>
              <w:widowControl w:val="1"/>
              <w:ind/>
              <w:contextualSpacing w:val="1"/>
              <w:jc w:val="center"/>
              <w:rPr>
                <w:color w:val="000000"/>
                <w:sz w:val="22"/>
              </w:rPr>
            </w:pPr>
            <w:r>
              <w:rPr>
                <w:color w:val="000000"/>
                <w:sz w:val="22"/>
              </w:rPr>
              <w:t>10 900,00</w:t>
            </w:r>
          </w:p>
        </w:tc>
        <w:tc>
          <w:tcPr>
            <w:tcW w:type="dxa" w:w="1221"/>
            <w:tcBorders>
              <w:top w:color="000000" w:sz="4" w:val="single"/>
              <w:left w:color="000000" w:sz="4" w:val="single"/>
              <w:bottom w:color="000000" w:sz="4" w:val="single"/>
              <w:right w:color="000000" w:sz="4" w:val="single"/>
            </w:tcBorders>
            <w:shd w:fill="FFFFFF" w:val="clear"/>
            <w:vAlign w:val="center"/>
          </w:tcPr>
          <w:p w14:paraId="97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8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9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A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9B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9C1C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D1C0000">
            <w:pPr>
              <w:widowControl w:val="1"/>
              <w:ind/>
              <w:contextualSpacing w:val="1"/>
              <w:rPr>
                <w:color w:val="000000"/>
                <w:sz w:val="22"/>
              </w:rPr>
            </w:pPr>
            <w:r>
              <w:rPr>
                <w:color w:val="000000"/>
                <w:sz w:val="22"/>
              </w:rPr>
              <w:t>29</w:t>
            </w:r>
          </w:p>
        </w:tc>
        <w:tc>
          <w:tcPr>
            <w:tcW w:type="dxa" w:w="1408"/>
            <w:tcBorders>
              <w:top w:color="000000" w:sz="4" w:val="single"/>
              <w:left w:color="000000" w:sz="4" w:val="single"/>
              <w:bottom w:color="000000" w:sz="4" w:val="single"/>
              <w:right w:color="000000" w:sz="4" w:val="single"/>
            </w:tcBorders>
            <w:shd w:fill="FFFFFF" w:val="clear"/>
            <w:vAlign w:val="center"/>
          </w:tcPr>
          <w:p w14:paraId="9E1C0000">
            <w:pPr>
              <w:widowControl w:val="1"/>
              <w:ind/>
              <w:contextualSpacing w:val="1"/>
              <w:jc w:val="center"/>
              <w:rPr>
                <w:sz w:val="22"/>
              </w:rPr>
            </w:pPr>
            <w:r>
              <w:rPr>
                <w:sz w:val="22"/>
              </w:rPr>
              <w:t>ИП Лахтычкин</w:t>
            </w:r>
          </w:p>
        </w:tc>
        <w:tc>
          <w:tcPr>
            <w:tcW w:type="dxa" w:w="1408"/>
            <w:tcBorders>
              <w:top w:color="000000" w:sz="4" w:val="single"/>
              <w:left w:color="000000" w:sz="4" w:val="single"/>
              <w:bottom w:color="000000" w:sz="4" w:val="single"/>
              <w:right w:color="000000" w:sz="4" w:val="single"/>
            </w:tcBorders>
            <w:shd w:fill="FFFFFF" w:val="clear"/>
            <w:vAlign w:val="center"/>
          </w:tcPr>
          <w:p w14:paraId="9F1C0000">
            <w:pPr>
              <w:widowControl w:val="1"/>
              <w:ind/>
              <w:contextualSpacing w:val="1"/>
              <w:jc w:val="center"/>
              <w:rPr>
                <w:sz w:val="22"/>
              </w:rPr>
            </w:pPr>
            <w:r>
              <w:rPr>
                <w:sz w:val="22"/>
              </w:rPr>
              <w:t>счет № 44 от 04.06.2018</w:t>
            </w:r>
          </w:p>
        </w:tc>
        <w:tc>
          <w:tcPr>
            <w:tcW w:type="dxa" w:w="1274"/>
            <w:tcBorders>
              <w:top w:color="000000" w:sz="4" w:val="single"/>
              <w:left w:color="000000" w:sz="4" w:val="single"/>
              <w:bottom w:color="000000" w:sz="4" w:val="single"/>
              <w:right w:color="000000" w:sz="4" w:val="single"/>
            </w:tcBorders>
            <w:shd w:fill="FFFFFF" w:val="clear"/>
            <w:vAlign w:val="center"/>
          </w:tcPr>
          <w:p w14:paraId="A01C0000">
            <w:pPr>
              <w:widowControl w:val="1"/>
              <w:ind/>
              <w:contextualSpacing w:val="1"/>
              <w:jc w:val="center"/>
              <w:rPr>
                <w:sz w:val="22"/>
              </w:rPr>
            </w:pPr>
            <w:r>
              <w:rPr>
                <w:sz w:val="22"/>
              </w:rPr>
              <w:t>04.06.2018-30.06.2018</w:t>
            </w:r>
          </w:p>
        </w:tc>
        <w:tc>
          <w:tcPr>
            <w:tcW w:type="dxa" w:w="1556"/>
            <w:tcBorders>
              <w:top w:color="000000" w:sz="4" w:val="single"/>
              <w:left w:color="000000" w:sz="4" w:val="single"/>
              <w:bottom w:color="000000" w:sz="4" w:val="single"/>
              <w:right w:color="000000" w:sz="4" w:val="single"/>
            </w:tcBorders>
            <w:shd w:fill="FFFFFF" w:val="clear"/>
            <w:vAlign w:val="center"/>
          </w:tcPr>
          <w:p w14:paraId="A11C0000">
            <w:pPr>
              <w:widowControl w:val="1"/>
              <w:ind/>
              <w:contextualSpacing w:val="1"/>
              <w:jc w:val="center"/>
              <w:rPr>
                <w:color w:val="000000"/>
                <w:sz w:val="22"/>
              </w:rPr>
            </w:pPr>
            <w:r>
              <w:rPr>
                <w:color w:val="000000"/>
                <w:sz w:val="22"/>
              </w:rPr>
              <w:t>Выполнение работ по демонтажу и монтажу кондиционера</w:t>
            </w:r>
          </w:p>
        </w:tc>
        <w:tc>
          <w:tcPr>
            <w:tcW w:type="dxa" w:w="1194"/>
            <w:tcBorders>
              <w:top w:color="000000" w:sz="4" w:val="single"/>
              <w:left w:color="000000" w:sz="4" w:val="single"/>
              <w:bottom w:color="000000" w:sz="4" w:val="single"/>
              <w:right w:color="000000" w:sz="4" w:val="single"/>
            </w:tcBorders>
            <w:shd w:fill="FFFFFF" w:val="clear"/>
            <w:vAlign w:val="center"/>
          </w:tcPr>
          <w:p w14:paraId="A21C0000">
            <w:pPr>
              <w:widowControl w:val="1"/>
              <w:ind/>
              <w:contextualSpacing w:val="1"/>
              <w:jc w:val="center"/>
              <w:rPr>
                <w:color w:val="000000"/>
                <w:sz w:val="22"/>
              </w:rPr>
            </w:pPr>
            <w:r>
              <w:rPr>
                <w:color w:val="000000"/>
                <w:sz w:val="22"/>
              </w:rPr>
              <w:t>10 900,00</w:t>
            </w:r>
          </w:p>
        </w:tc>
        <w:tc>
          <w:tcPr>
            <w:tcW w:type="dxa" w:w="1221"/>
            <w:tcBorders>
              <w:top w:color="000000" w:sz="4" w:val="single"/>
              <w:left w:color="000000" w:sz="4" w:val="single"/>
              <w:bottom w:color="000000" w:sz="4" w:val="single"/>
              <w:right w:color="000000" w:sz="4" w:val="single"/>
            </w:tcBorders>
            <w:shd w:fill="FFFFFF" w:val="clear"/>
            <w:vAlign w:val="center"/>
          </w:tcPr>
          <w:p w14:paraId="A3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4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5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6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A7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A81C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965"/>
        </w:trPr>
        <w:tc>
          <w:tcPr>
            <w:tcW w:type="dxa" w:w="528"/>
            <w:tcBorders>
              <w:top w:color="000000" w:sz="4" w:val="single"/>
              <w:left w:color="000000" w:sz="4" w:val="single"/>
              <w:bottom w:color="000000" w:sz="4" w:val="single"/>
              <w:right w:color="000000" w:sz="4" w:val="single"/>
            </w:tcBorders>
            <w:shd w:fill="FFFFFF" w:val="clear"/>
            <w:vAlign w:val="center"/>
          </w:tcPr>
          <w:p w14:paraId="A91C0000">
            <w:pPr>
              <w:widowControl w:val="1"/>
              <w:ind/>
              <w:contextualSpacing w:val="1"/>
              <w:rPr>
                <w:color w:val="000000"/>
                <w:sz w:val="22"/>
              </w:rPr>
            </w:pPr>
            <w:r>
              <w:rPr>
                <w:color w:val="000000"/>
                <w:sz w:val="22"/>
              </w:rPr>
              <w:t>30</w:t>
            </w:r>
          </w:p>
        </w:tc>
        <w:tc>
          <w:tcPr>
            <w:tcW w:type="dxa" w:w="1408"/>
            <w:tcBorders>
              <w:top w:color="000000" w:sz="4" w:val="single"/>
              <w:left w:color="000000" w:sz="4" w:val="single"/>
              <w:bottom w:color="000000" w:sz="4" w:val="single"/>
              <w:right w:color="000000" w:sz="4" w:val="single"/>
            </w:tcBorders>
            <w:shd w:fill="FFFFFF" w:val="clear"/>
            <w:vAlign w:val="center"/>
          </w:tcPr>
          <w:p w14:paraId="AA1C0000">
            <w:pPr>
              <w:widowControl w:val="1"/>
              <w:ind/>
              <w:contextualSpacing w:val="1"/>
              <w:jc w:val="center"/>
              <w:rPr>
                <w:sz w:val="22"/>
              </w:rPr>
            </w:pPr>
            <w:r>
              <w:rPr>
                <w:sz w:val="22"/>
              </w:rPr>
              <w:t>ИП Лахтычкин А.С.</w:t>
            </w:r>
          </w:p>
        </w:tc>
        <w:tc>
          <w:tcPr>
            <w:tcW w:type="dxa" w:w="1408"/>
            <w:tcBorders>
              <w:top w:color="000000" w:sz="4" w:val="single"/>
              <w:left w:color="000000" w:sz="4" w:val="single"/>
              <w:bottom w:color="000000" w:sz="4" w:val="single"/>
              <w:right w:color="000000" w:sz="4" w:val="single"/>
            </w:tcBorders>
            <w:shd w:fill="FFFFFF" w:val="clear"/>
            <w:vAlign w:val="center"/>
          </w:tcPr>
          <w:p w14:paraId="AB1C0000">
            <w:pPr>
              <w:widowControl w:val="1"/>
              <w:ind/>
              <w:contextualSpacing w:val="1"/>
              <w:jc w:val="center"/>
              <w:rPr>
                <w:sz w:val="22"/>
              </w:rPr>
            </w:pPr>
            <w:r>
              <w:rPr>
                <w:sz w:val="22"/>
              </w:rPr>
              <w:t>счет № 81 от 10.08.2018</w:t>
            </w:r>
          </w:p>
        </w:tc>
        <w:tc>
          <w:tcPr>
            <w:tcW w:type="dxa" w:w="1274"/>
            <w:tcBorders>
              <w:top w:color="000000" w:sz="4" w:val="single"/>
              <w:left w:color="000000" w:sz="4" w:val="single"/>
              <w:bottom w:color="000000" w:sz="4" w:val="single"/>
              <w:right w:color="000000" w:sz="4" w:val="single"/>
            </w:tcBorders>
            <w:shd w:fill="FFFFFF" w:val="clear"/>
            <w:vAlign w:val="center"/>
          </w:tcPr>
          <w:p w14:paraId="AC1C0000">
            <w:pPr>
              <w:widowControl w:val="1"/>
              <w:ind/>
              <w:contextualSpacing w:val="1"/>
              <w:jc w:val="center"/>
              <w:rPr>
                <w:sz w:val="22"/>
              </w:rPr>
            </w:pPr>
            <w:r>
              <w:rPr>
                <w:sz w:val="22"/>
              </w:rPr>
              <w:t>10.08.2018-20.08.2018</w:t>
            </w:r>
          </w:p>
        </w:tc>
        <w:tc>
          <w:tcPr>
            <w:tcW w:type="dxa" w:w="1556"/>
            <w:tcBorders>
              <w:top w:color="000000" w:sz="4" w:val="single"/>
              <w:left w:color="000000" w:sz="4" w:val="single"/>
              <w:bottom w:color="000000" w:sz="4" w:val="single"/>
              <w:right w:color="000000" w:sz="4" w:val="single"/>
            </w:tcBorders>
            <w:shd w:fill="FFFFFF" w:val="clear"/>
            <w:vAlign w:val="center"/>
          </w:tcPr>
          <w:p w14:paraId="AD1C0000">
            <w:pPr>
              <w:widowControl w:val="1"/>
              <w:ind/>
              <w:contextualSpacing w:val="1"/>
              <w:jc w:val="center"/>
              <w:rPr>
                <w:color w:val="000000"/>
                <w:sz w:val="22"/>
              </w:rPr>
            </w:pPr>
            <w:r>
              <w:rPr>
                <w:color w:val="000000"/>
                <w:sz w:val="22"/>
              </w:rPr>
              <w:t>Выполнение работ по демонтажу и монтажу кондиционера</w:t>
            </w:r>
          </w:p>
        </w:tc>
        <w:tc>
          <w:tcPr>
            <w:tcW w:type="dxa" w:w="1194"/>
            <w:tcBorders>
              <w:top w:color="000000" w:sz="4" w:val="single"/>
              <w:left w:color="000000" w:sz="4" w:val="single"/>
              <w:bottom w:color="000000" w:sz="4" w:val="single"/>
              <w:right w:color="000000" w:sz="4" w:val="single"/>
            </w:tcBorders>
            <w:shd w:fill="FFFFFF" w:val="clear"/>
            <w:vAlign w:val="center"/>
          </w:tcPr>
          <w:p w14:paraId="AE1C0000">
            <w:pPr>
              <w:widowControl w:val="1"/>
              <w:ind/>
              <w:contextualSpacing w:val="1"/>
              <w:jc w:val="center"/>
              <w:rPr>
                <w:color w:val="000000"/>
                <w:sz w:val="22"/>
              </w:rPr>
            </w:pPr>
            <w:r>
              <w:rPr>
                <w:color w:val="000000"/>
                <w:sz w:val="22"/>
              </w:rPr>
              <w:t>21800,00</w:t>
            </w:r>
          </w:p>
        </w:tc>
        <w:tc>
          <w:tcPr>
            <w:tcW w:type="dxa" w:w="1221"/>
            <w:tcBorders>
              <w:top w:color="000000" w:sz="4" w:val="single"/>
              <w:left w:color="000000" w:sz="4" w:val="single"/>
              <w:bottom w:color="000000" w:sz="4" w:val="single"/>
              <w:right w:color="000000" w:sz="4" w:val="single"/>
            </w:tcBorders>
            <w:shd w:fill="FFFFFF" w:val="clear"/>
            <w:vAlign w:val="center"/>
          </w:tcPr>
          <w:p w14:paraId="AF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0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1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2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B3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B41C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065"/>
        </w:trPr>
        <w:tc>
          <w:tcPr>
            <w:tcW w:type="dxa" w:w="528"/>
            <w:tcBorders>
              <w:top w:color="000000" w:sz="4" w:val="single"/>
              <w:left w:color="000000" w:sz="4" w:val="single"/>
              <w:bottom w:color="000000" w:sz="4" w:val="single"/>
              <w:right w:color="000000" w:sz="4" w:val="single"/>
            </w:tcBorders>
            <w:shd w:fill="FFFFFF" w:val="clear"/>
            <w:vAlign w:val="center"/>
          </w:tcPr>
          <w:p w14:paraId="B51C0000">
            <w:pPr>
              <w:widowControl w:val="1"/>
              <w:ind/>
              <w:contextualSpacing w:val="1"/>
              <w:rPr>
                <w:color w:val="000000"/>
                <w:sz w:val="22"/>
              </w:rPr>
            </w:pPr>
            <w:r>
              <w:rPr>
                <w:color w:val="000000"/>
                <w:sz w:val="22"/>
              </w:rPr>
              <w:t>31</w:t>
            </w:r>
          </w:p>
        </w:tc>
        <w:tc>
          <w:tcPr>
            <w:tcW w:type="dxa" w:w="1408"/>
            <w:tcBorders>
              <w:top w:color="000000" w:sz="4" w:val="single"/>
              <w:left w:color="000000" w:sz="4" w:val="single"/>
              <w:bottom w:color="000000" w:sz="4" w:val="single"/>
              <w:right w:color="000000" w:sz="4" w:val="single"/>
            </w:tcBorders>
            <w:shd w:fill="FFFFFF" w:val="clear"/>
            <w:vAlign w:val="center"/>
          </w:tcPr>
          <w:p w14:paraId="B61C0000">
            <w:pPr>
              <w:widowControl w:val="1"/>
              <w:ind/>
              <w:contextualSpacing w:val="1"/>
              <w:jc w:val="center"/>
              <w:rPr>
                <w:sz w:val="22"/>
              </w:rPr>
            </w:pPr>
            <w:r>
              <w:rPr>
                <w:sz w:val="22"/>
              </w:rPr>
              <w:t>ИП Лахтычкин А.С.</w:t>
            </w:r>
          </w:p>
        </w:tc>
        <w:tc>
          <w:tcPr>
            <w:tcW w:type="dxa" w:w="1408"/>
            <w:tcBorders>
              <w:top w:color="000000" w:sz="4" w:val="single"/>
              <w:left w:color="000000" w:sz="4" w:val="single"/>
              <w:bottom w:color="000000" w:sz="4" w:val="single"/>
              <w:right w:color="000000" w:sz="4" w:val="single"/>
            </w:tcBorders>
            <w:shd w:fill="FFFFFF" w:val="clear"/>
            <w:vAlign w:val="center"/>
          </w:tcPr>
          <w:p w14:paraId="B71C0000">
            <w:pPr>
              <w:widowControl w:val="1"/>
              <w:ind/>
              <w:contextualSpacing w:val="1"/>
              <w:jc w:val="center"/>
              <w:rPr>
                <w:sz w:val="22"/>
              </w:rPr>
            </w:pPr>
            <w:r>
              <w:rPr>
                <w:sz w:val="22"/>
              </w:rPr>
              <w:t>счет № 90 от 10.09.2018</w:t>
            </w:r>
          </w:p>
        </w:tc>
        <w:tc>
          <w:tcPr>
            <w:tcW w:type="dxa" w:w="1274"/>
            <w:tcBorders>
              <w:top w:color="000000" w:sz="4" w:val="single"/>
              <w:left w:color="000000" w:sz="4" w:val="single"/>
              <w:bottom w:color="000000" w:sz="4" w:val="single"/>
              <w:right w:color="000000" w:sz="4" w:val="single"/>
            </w:tcBorders>
            <w:shd w:fill="FFFFFF" w:val="clear"/>
            <w:vAlign w:val="center"/>
          </w:tcPr>
          <w:p w14:paraId="B81C0000">
            <w:pPr>
              <w:widowControl w:val="1"/>
              <w:ind/>
              <w:contextualSpacing w:val="1"/>
              <w:jc w:val="center"/>
              <w:rPr>
                <w:sz w:val="22"/>
              </w:rPr>
            </w:pPr>
            <w:r>
              <w:rPr>
                <w:sz w:val="22"/>
              </w:rPr>
              <w:t>10.09.2018-15.09.2018</w:t>
            </w:r>
          </w:p>
        </w:tc>
        <w:tc>
          <w:tcPr>
            <w:tcW w:type="dxa" w:w="1556"/>
            <w:tcBorders>
              <w:top w:color="000000" w:sz="4" w:val="single"/>
              <w:left w:color="000000" w:sz="4" w:val="single"/>
              <w:bottom w:color="000000" w:sz="4" w:val="single"/>
              <w:right w:color="000000" w:sz="4" w:val="single"/>
            </w:tcBorders>
            <w:shd w:fill="FFFFFF" w:val="clear"/>
            <w:vAlign w:val="center"/>
          </w:tcPr>
          <w:p w14:paraId="B91C0000">
            <w:pPr>
              <w:widowControl w:val="1"/>
              <w:ind/>
              <w:contextualSpacing w:val="1"/>
              <w:jc w:val="center"/>
              <w:rPr>
                <w:color w:val="000000"/>
                <w:sz w:val="22"/>
              </w:rPr>
            </w:pPr>
            <w:r>
              <w:rPr>
                <w:color w:val="000000"/>
                <w:sz w:val="22"/>
              </w:rPr>
              <w:t>Выполнение работ по демонтажу и монтажу кондиционера</w:t>
            </w:r>
          </w:p>
        </w:tc>
        <w:tc>
          <w:tcPr>
            <w:tcW w:type="dxa" w:w="1194"/>
            <w:tcBorders>
              <w:top w:color="000000" w:sz="4" w:val="single"/>
              <w:left w:color="000000" w:sz="4" w:val="single"/>
              <w:bottom w:color="000000" w:sz="4" w:val="single"/>
              <w:right w:color="000000" w:sz="4" w:val="single"/>
            </w:tcBorders>
            <w:shd w:fill="FFFFFF" w:val="clear"/>
            <w:vAlign w:val="center"/>
          </w:tcPr>
          <w:p w14:paraId="BA1C0000">
            <w:pPr>
              <w:widowControl w:val="1"/>
              <w:ind/>
              <w:contextualSpacing w:val="1"/>
              <w:jc w:val="center"/>
              <w:rPr>
                <w:color w:val="000000"/>
                <w:sz w:val="22"/>
              </w:rPr>
            </w:pPr>
            <w:r>
              <w:rPr>
                <w:color w:val="000000"/>
                <w:sz w:val="22"/>
              </w:rPr>
              <w:t>10900,00</w:t>
            </w:r>
          </w:p>
        </w:tc>
        <w:tc>
          <w:tcPr>
            <w:tcW w:type="dxa" w:w="1221"/>
            <w:tcBorders>
              <w:top w:color="000000" w:sz="4" w:val="single"/>
              <w:left w:color="000000" w:sz="4" w:val="single"/>
              <w:bottom w:color="000000" w:sz="4" w:val="single"/>
              <w:right w:color="000000" w:sz="4" w:val="single"/>
            </w:tcBorders>
            <w:shd w:fill="FFFFFF" w:val="clear"/>
            <w:vAlign w:val="center"/>
          </w:tcPr>
          <w:p w14:paraId="BB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C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D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E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BF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C01C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11C0000">
            <w:pPr>
              <w:widowControl w:val="1"/>
              <w:ind/>
              <w:contextualSpacing w:val="1"/>
              <w:rPr>
                <w:color w:val="000000"/>
                <w:sz w:val="22"/>
              </w:rPr>
            </w:pPr>
            <w:r>
              <w:rPr>
                <w:color w:val="000000"/>
                <w:sz w:val="22"/>
              </w:rPr>
              <w:t>32</w:t>
            </w:r>
          </w:p>
        </w:tc>
        <w:tc>
          <w:tcPr>
            <w:tcW w:type="dxa" w:w="1408"/>
            <w:tcBorders>
              <w:top w:color="000000" w:sz="4" w:val="single"/>
              <w:left w:color="000000" w:sz="4" w:val="single"/>
              <w:bottom w:color="000000" w:sz="4" w:val="single"/>
              <w:right w:color="000000" w:sz="4" w:val="single"/>
            </w:tcBorders>
            <w:shd w:fill="FFFFFF" w:val="clear"/>
            <w:vAlign w:val="center"/>
          </w:tcPr>
          <w:p w14:paraId="C21C0000">
            <w:pPr>
              <w:widowControl w:val="1"/>
              <w:ind/>
              <w:contextualSpacing w:val="1"/>
              <w:jc w:val="center"/>
              <w:rPr>
                <w:sz w:val="22"/>
              </w:rPr>
            </w:pPr>
            <w:r>
              <w:rPr>
                <w:sz w:val="22"/>
              </w:rPr>
              <w:t>ИП Лахтычкин А.С.</w:t>
            </w:r>
          </w:p>
        </w:tc>
        <w:tc>
          <w:tcPr>
            <w:tcW w:type="dxa" w:w="1408"/>
            <w:tcBorders>
              <w:top w:color="000000" w:sz="4" w:val="single"/>
              <w:left w:color="000000" w:sz="4" w:val="single"/>
              <w:bottom w:color="000000" w:sz="4" w:val="single"/>
              <w:right w:color="000000" w:sz="4" w:val="single"/>
            </w:tcBorders>
            <w:shd w:fill="FFFFFF" w:val="clear"/>
            <w:vAlign w:val="center"/>
          </w:tcPr>
          <w:p w14:paraId="C31C0000">
            <w:pPr>
              <w:widowControl w:val="1"/>
              <w:ind/>
              <w:contextualSpacing w:val="1"/>
              <w:jc w:val="center"/>
              <w:rPr>
                <w:sz w:val="22"/>
              </w:rPr>
            </w:pPr>
            <w:r>
              <w:rPr>
                <w:sz w:val="22"/>
              </w:rPr>
              <w:t>счет № 97 от 18.09.2018</w:t>
            </w:r>
          </w:p>
        </w:tc>
        <w:tc>
          <w:tcPr>
            <w:tcW w:type="dxa" w:w="1274"/>
            <w:tcBorders>
              <w:top w:color="000000" w:sz="4" w:val="single"/>
              <w:left w:color="000000" w:sz="4" w:val="single"/>
              <w:bottom w:color="000000" w:sz="4" w:val="single"/>
              <w:right w:color="000000" w:sz="4" w:val="single"/>
            </w:tcBorders>
            <w:shd w:fill="FFFFFF" w:val="clear"/>
            <w:vAlign w:val="center"/>
          </w:tcPr>
          <w:p w14:paraId="C41C0000">
            <w:pPr>
              <w:widowControl w:val="1"/>
              <w:ind/>
              <w:contextualSpacing w:val="1"/>
              <w:jc w:val="center"/>
              <w:rPr>
                <w:sz w:val="22"/>
              </w:rPr>
            </w:pPr>
            <w:r>
              <w:rPr>
                <w:sz w:val="22"/>
              </w:rPr>
              <w:t>18.09.2018-28.09.2018</w:t>
            </w:r>
          </w:p>
        </w:tc>
        <w:tc>
          <w:tcPr>
            <w:tcW w:type="dxa" w:w="1556"/>
            <w:tcBorders>
              <w:top w:color="000000" w:sz="4" w:val="single"/>
              <w:left w:color="000000" w:sz="4" w:val="single"/>
              <w:bottom w:color="000000" w:sz="4" w:val="single"/>
              <w:right w:color="000000" w:sz="4" w:val="single"/>
            </w:tcBorders>
            <w:shd w:fill="FFFFFF" w:val="clear"/>
            <w:vAlign w:val="center"/>
          </w:tcPr>
          <w:p w14:paraId="C51C0000">
            <w:pPr>
              <w:widowControl w:val="1"/>
              <w:ind/>
              <w:contextualSpacing w:val="1"/>
              <w:jc w:val="center"/>
              <w:rPr>
                <w:sz w:val="22"/>
              </w:rPr>
            </w:pPr>
            <w:r>
              <w:rPr>
                <w:sz w:val="22"/>
              </w:rPr>
              <w:t>выполнение работ по монтажу перегородки из ПВХ профиля</w:t>
            </w:r>
          </w:p>
        </w:tc>
        <w:tc>
          <w:tcPr>
            <w:tcW w:type="dxa" w:w="1194"/>
            <w:tcBorders>
              <w:top w:color="000000" w:sz="4" w:val="single"/>
              <w:left w:color="000000" w:sz="4" w:val="single"/>
              <w:bottom w:color="000000" w:sz="4" w:val="single"/>
              <w:right w:color="000000" w:sz="4" w:val="single"/>
            </w:tcBorders>
            <w:shd w:fill="FFFFFF" w:val="clear"/>
            <w:vAlign w:val="center"/>
          </w:tcPr>
          <w:p w14:paraId="C61C0000">
            <w:pPr>
              <w:widowControl w:val="1"/>
              <w:ind/>
              <w:contextualSpacing w:val="1"/>
              <w:jc w:val="center"/>
              <w:rPr>
                <w:sz w:val="22"/>
              </w:rPr>
            </w:pPr>
            <w:r>
              <w:rPr>
                <w:sz w:val="22"/>
              </w:rPr>
              <w:t>17000,00</w:t>
            </w:r>
          </w:p>
        </w:tc>
        <w:tc>
          <w:tcPr>
            <w:tcW w:type="dxa" w:w="1221"/>
            <w:tcBorders>
              <w:top w:color="000000" w:sz="4" w:val="single"/>
              <w:left w:color="000000" w:sz="4" w:val="single"/>
              <w:bottom w:color="000000" w:sz="4" w:val="single"/>
              <w:right w:color="000000" w:sz="4" w:val="single"/>
            </w:tcBorders>
            <w:shd w:fill="FFFFFF" w:val="clear"/>
            <w:vAlign w:val="center"/>
          </w:tcPr>
          <w:p w14:paraId="C7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8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9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A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CB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CC1C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D1C0000">
            <w:pPr>
              <w:widowControl w:val="1"/>
              <w:ind/>
              <w:contextualSpacing w:val="1"/>
              <w:rPr>
                <w:color w:val="000000"/>
                <w:sz w:val="22"/>
              </w:rPr>
            </w:pPr>
            <w:r>
              <w:rPr>
                <w:color w:val="000000"/>
                <w:sz w:val="22"/>
              </w:rPr>
              <w:t>33</w:t>
            </w:r>
          </w:p>
        </w:tc>
        <w:tc>
          <w:tcPr>
            <w:tcW w:type="dxa" w:w="1408"/>
            <w:tcBorders>
              <w:top w:color="000000" w:sz="4" w:val="single"/>
              <w:left w:color="000000" w:sz="4" w:val="single"/>
              <w:bottom w:color="000000" w:sz="4" w:val="single"/>
              <w:right w:color="000000" w:sz="4" w:val="single"/>
            </w:tcBorders>
            <w:shd w:fill="FFFFFF" w:val="clear"/>
            <w:vAlign w:val="center"/>
          </w:tcPr>
          <w:p w14:paraId="CE1C0000">
            <w:pPr>
              <w:widowControl w:val="1"/>
              <w:ind/>
              <w:contextualSpacing w:val="1"/>
              <w:jc w:val="center"/>
              <w:rPr>
                <w:sz w:val="22"/>
              </w:rPr>
            </w:pPr>
            <w:r>
              <w:rPr>
                <w:sz w:val="22"/>
              </w:rPr>
              <w:t>ИП Лахтычкин А.С.</w:t>
            </w:r>
          </w:p>
        </w:tc>
        <w:tc>
          <w:tcPr>
            <w:tcW w:type="dxa" w:w="1408"/>
            <w:tcBorders>
              <w:top w:color="000000" w:sz="4" w:val="single"/>
              <w:left w:color="000000" w:sz="4" w:val="single"/>
              <w:bottom w:color="000000" w:sz="4" w:val="single"/>
              <w:right w:color="000000" w:sz="4" w:val="single"/>
            </w:tcBorders>
            <w:shd w:fill="FFFFFF" w:val="clear"/>
            <w:vAlign w:val="center"/>
          </w:tcPr>
          <w:p w14:paraId="CF1C0000">
            <w:pPr>
              <w:widowControl w:val="1"/>
              <w:ind/>
              <w:contextualSpacing w:val="1"/>
              <w:jc w:val="center"/>
              <w:rPr>
                <w:sz w:val="22"/>
              </w:rPr>
            </w:pPr>
            <w:r>
              <w:rPr>
                <w:sz w:val="22"/>
              </w:rPr>
              <w:t>счет № 114 от 15.10.2018</w:t>
            </w:r>
          </w:p>
        </w:tc>
        <w:tc>
          <w:tcPr>
            <w:tcW w:type="dxa" w:w="1274"/>
            <w:tcBorders>
              <w:top w:color="000000" w:sz="4" w:val="single"/>
              <w:left w:color="000000" w:sz="4" w:val="single"/>
              <w:bottom w:color="000000" w:sz="4" w:val="single"/>
              <w:right w:color="000000" w:sz="4" w:val="single"/>
            </w:tcBorders>
            <w:shd w:fill="FFFFFF" w:val="clear"/>
            <w:vAlign w:val="center"/>
          </w:tcPr>
          <w:p w14:paraId="D01C0000">
            <w:pPr>
              <w:widowControl w:val="1"/>
              <w:ind/>
              <w:contextualSpacing w:val="1"/>
              <w:jc w:val="center"/>
              <w:rPr>
                <w:sz w:val="22"/>
              </w:rPr>
            </w:pPr>
            <w:r>
              <w:rPr>
                <w:sz w:val="22"/>
              </w:rPr>
              <w:t>15.10.2018-31.10.2018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D11C0000">
            <w:pPr>
              <w:widowControl w:val="1"/>
              <w:ind/>
              <w:contextualSpacing w:val="1"/>
              <w:jc w:val="center"/>
              <w:rPr>
                <w:color w:val="000000"/>
                <w:sz w:val="22"/>
              </w:rPr>
            </w:pPr>
            <w:r>
              <w:rPr>
                <w:color w:val="000000"/>
                <w:sz w:val="22"/>
              </w:rPr>
              <w:t>Выполнение работ по демонтажу и монтажу кондиционера</w:t>
            </w:r>
          </w:p>
        </w:tc>
        <w:tc>
          <w:tcPr>
            <w:tcW w:type="dxa" w:w="1194"/>
            <w:tcBorders>
              <w:top w:color="000000" w:sz="4" w:val="single"/>
              <w:left w:color="000000" w:sz="4" w:val="single"/>
              <w:bottom w:color="000000" w:sz="4" w:val="single"/>
              <w:right w:color="000000" w:sz="4" w:val="single"/>
            </w:tcBorders>
            <w:shd w:fill="FFFFFF" w:val="clear"/>
            <w:vAlign w:val="center"/>
          </w:tcPr>
          <w:p w14:paraId="D21C0000">
            <w:pPr>
              <w:widowControl w:val="1"/>
              <w:ind/>
              <w:contextualSpacing w:val="1"/>
              <w:jc w:val="center"/>
              <w:rPr>
                <w:color w:val="000000"/>
                <w:sz w:val="22"/>
              </w:rPr>
            </w:pPr>
            <w:r>
              <w:rPr>
                <w:color w:val="000000"/>
                <w:sz w:val="22"/>
              </w:rPr>
              <w:t>24400,00</w:t>
            </w:r>
          </w:p>
        </w:tc>
        <w:tc>
          <w:tcPr>
            <w:tcW w:type="dxa" w:w="1221"/>
            <w:tcBorders>
              <w:top w:color="000000" w:sz="4" w:val="single"/>
              <w:left w:color="000000" w:sz="4" w:val="single"/>
              <w:bottom w:color="000000" w:sz="4" w:val="single"/>
              <w:right w:color="000000" w:sz="4" w:val="single"/>
            </w:tcBorders>
            <w:shd w:fill="FFFFFF" w:val="clear"/>
            <w:vAlign w:val="center"/>
          </w:tcPr>
          <w:p w14:paraId="D3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4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5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6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D7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D81C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D91C0000">
            <w:pPr>
              <w:widowControl w:val="1"/>
              <w:ind/>
              <w:contextualSpacing w:val="1"/>
              <w:rPr>
                <w:color w:val="000000"/>
                <w:sz w:val="22"/>
              </w:rPr>
            </w:pPr>
            <w:r>
              <w:rPr>
                <w:color w:val="000000"/>
                <w:sz w:val="22"/>
              </w:rPr>
              <w:t>34</w:t>
            </w:r>
          </w:p>
        </w:tc>
        <w:tc>
          <w:tcPr>
            <w:tcW w:type="dxa" w:w="1408"/>
            <w:tcBorders>
              <w:top w:color="000000" w:sz="4" w:val="single"/>
              <w:left w:color="000000" w:sz="4" w:val="single"/>
              <w:bottom w:color="000000" w:sz="4" w:val="single"/>
              <w:right w:color="000000" w:sz="4" w:val="single"/>
            </w:tcBorders>
            <w:shd w:fill="FFFFFF" w:val="clear"/>
            <w:vAlign w:val="center"/>
          </w:tcPr>
          <w:p w14:paraId="DA1C0000">
            <w:pPr>
              <w:widowControl w:val="1"/>
              <w:ind/>
              <w:contextualSpacing w:val="1"/>
              <w:jc w:val="center"/>
              <w:rPr>
                <w:sz w:val="22"/>
              </w:rPr>
            </w:pPr>
            <w:r>
              <w:rPr>
                <w:sz w:val="22"/>
              </w:rPr>
              <w:t>ИП Лахтычкин А.С.</w:t>
            </w:r>
          </w:p>
        </w:tc>
        <w:tc>
          <w:tcPr>
            <w:tcW w:type="dxa" w:w="1408"/>
            <w:tcBorders>
              <w:top w:color="000000" w:sz="4" w:val="single"/>
              <w:left w:color="000000" w:sz="4" w:val="single"/>
              <w:bottom w:color="000000" w:sz="4" w:val="single"/>
              <w:right w:color="000000" w:sz="4" w:val="single"/>
            </w:tcBorders>
            <w:shd w:fill="FFFFFF" w:val="clear"/>
            <w:vAlign w:val="center"/>
          </w:tcPr>
          <w:p w14:paraId="DB1C0000">
            <w:pPr>
              <w:widowControl w:val="1"/>
              <w:ind/>
              <w:contextualSpacing w:val="1"/>
              <w:jc w:val="center"/>
              <w:rPr>
                <w:sz w:val="22"/>
              </w:rPr>
            </w:pPr>
            <w:r>
              <w:rPr>
                <w:sz w:val="22"/>
              </w:rPr>
              <w:t>счет № 120 от 06.11.2018</w:t>
            </w:r>
          </w:p>
        </w:tc>
        <w:tc>
          <w:tcPr>
            <w:tcW w:type="dxa" w:w="1274"/>
            <w:tcBorders>
              <w:top w:color="000000" w:sz="4" w:val="single"/>
              <w:left w:color="000000" w:sz="4" w:val="single"/>
              <w:bottom w:color="000000" w:sz="4" w:val="single"/>
              <w:right w:color="000000" w:sz="4" w:val="single"/>
            </w:tcBorders>
            <w:shd w:fill="FFFFFF" w:val="clear"/>
            <w:vAlign w:val="center"/>
          </w:tcPr>
          <w:p w14:paraId="DC1C0000">
            <w:pPr>
              <w:widowControl w:val="1"/>
              <w:ind/>
              <w:contextualSpacing w:val="1"/>
              <w:jc w:val="center"/>
              <w:rPr>
                <w:sz w:val="22"/>
              </w:rPr>
            </w:pPr>
            <w:r>
              <w:rPr>
                <w:sz w:val="22"/>
              </w:rPr>
              <w:t>06.11.2018-30.11.2018</w:t>
            </w:r>
          </w:p>
        </w:tc>
        <w:tc>
          <w:tcPr>
            <w:tcW w:type="dxa" w:w="1556"/>
            <w:tcBorders>
              <w:top w:color="000000" w:sz="4" w:val="single"/>
              <w:left w:color="000000" w:sz="4" w:val="single"/>
              <w:bottom w:color="000000" w:sz="4" w:val="single"/>
              <w:right w:color="000000" w:sz="4" w:val="single"/>
            </w:tcBorders>
            <w:shd w:fill="FFFFFF" w:val="clear"/>
            <w:vAlign w:val="center"/>
          </w:tcPr>
          <w:p w14:paraId="DD1C0000">
            <w:pPr>
              <w:widowControl w:val="1"/>
              <w:ind/>
              <w:contextualSpacing w:val="1"/>
              <w:jc w:val="center"/>
              <w:rPr>
                <w:color w:val="000000"/>
                <w:sz w:val="22"/>
              </w:rPr>
            </w:pPr>
            <w:r>
              <w:rPr>
                <w:color w:val="000000"/>
                <w:sz w:val="22"/>
              </w:rPr>
              <w:t>Выполнение работ по демонтажу и монтажу кондиционера</w:t>
            </w:r>
          </w:p>
        </w:tc>
        <w:tc>
          <w:tcPr>
            <w:tcW w:type="dxa" w:w="1194"/>
            <w:tcBorders>
              <w:top w:color="000000" w:sz="4" w:val="single"/>
              <w:left w:color="000000" w:sz="4" w:val="single"/>
              <w:bottom w:color="000000" w:sz="4" w:val="single"/>
              <w:right w:color="000000" w:sz="4" w:val="single"/>
            </w:tcBorders>
            <w:shd w:fill="FFFFFF" w:val="clear"/>
            <w:vAlign w:val="center"/>
          </w:tcPr>
          <w:p w14:paraId="DE1C0000">
            <w:pPr>
              <w:widowControl w:val="1"/>
              <w:ind/>
              <w:contextualSpacing w:val="1"/>
              <w:jc w:val="center"/>
              <w:rPr>
                <w:color w:val="000000"/>
                <w:sz w:val="22"/>
              </w:rPr>
            </w:pPr>
            <w:r>
              <w:rPr>
                <w:color w:val="000000"/>
                <w:sz w:val="22"/>
              </w:rPr>
              <w:t>49000,00</w:t>
            </w:r>
          </w:p>
        </w:tc>
        <w:tc>
          <w:tcPr>
            <w:tcW w:type="dxa" w:w="1221"/>
            <w:tcBorders>
              <w:top w:color="000000" w:sz="4" w:val="single"/>
              <w:left w:color="000000" w:sz="4" w:val="single"/>
              <w:bottom w:color="000000" w:sz="4" w:val="single"/>
              <w:right w:color="000000" w:sz="4" w:val="single"/>
            </w:tcBorders>
            <w:shd w:fill="FFFFFF" w:val="clear"/>
            <w:vAlign w:val="center"/>
          </w:tcPr>
          <w:p w14:paraId="DF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0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1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2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E3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E41C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E51C0000">
            <w:pPr>
              <w:widowControl w:val="1"/>
              <w:ind/>
              <w:contextualSpacing w:val="1"/>
              <w:jc w:val="center"/>
              <w:rPr>
                <w:color w:val="000000"/>
                <w:sz w:val="22"/>
              </w:rPr>
            </w:pPr>
            <w:r>
              <w:rPr>
                <w:color w:val="000000"/>
                <w:sz w:val="22"/>
              </w:rPr>
              <w:t>итого по контрагенту ИП Лахтычкин 259960 руб.</w:t>
            </w:r>
          </w:p>
          <w:p w14:paraId="E61C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E71C0000">
            <w:pPr>
              <w:widowControl w:val="1"/>
              <w:ind/>
              <w:contextualSpacing w:val="1"/>
              <w:rPr>
                <w:color w:val="000000"/>
                <w:sz w:val="22"/>
              </w:rPr>
            </w:pPr>
            <w:r>
              <w:rPr>
                <w:color w:val="000000"/>
                <w:sz w:val="22"/>
              </w:rPr>
              <w:t>35</w:t>
            </w:r>
          </w:p>
        </w:tc>
        <w:tc>
          <w:tcPr>
            <w:tcW w:type="dxa" w:w="1408"/>
            <w:tcBorders>
              <w:top w:color="000000" w:sz="4" w:val="single"/>
              <w:left w:color="000000" w:sz="4" w:val="single"/>
              <w:bottom w:color="000000" w:sz="4" w:val="single"/>
              <w:right w:color="000000" w:sz="4" w:val="single"/>
            </w:tcBorders>
            <w:shd w:fill="FFFFFF" w:val="clear"/>
            <w:vAlign w:val="center"/>
          </w:tcPr>
          <w:p w14:paraId="E81C0000">
            <w:pPr>
              <w:widowControl w:val="1"/>
              <w:ind/>
              <w:contextualSpacing w:val="1"/>
              <w:jc w:val="center"/>
              <w:rPr>
                <w:sz w:val="22"/>
              </w:rPr>
            </w:pPr>
            <w:r>
              <w:rPr>
                <w:sz w:val="22"/>
              </w:rPr>
              <w:t>ИП Филаткин А.Н.</w:t>
            </w:r>
          </w:p>
        </w:tc>
        <w:tc>
          <w:tcPr>
            <w:tcW w:type="dxa" w:w="1408"/>
            <w:tcBorders>
              <w:top w:color="000000" w:sz="4" w:val="single"/>
              <w:left w:color="000000" w:sz="4" w:val="single"/>
              <w:bottom w:color="000000" w:sz="4" w:val="single"/>
              <w:right w:color="000000" w:sz="4" w:val="single"/>
            </w:tcBorders>
            <w:shd w:fill="FFFFFF" w:val="clear"/>
            <w:vAlign w:val="center"/>
          </w:tcPr>
          <w:p w14:paraId="E91C0000">
            <w:pPr>
              <w:widowControl w:val="1"/>
              <w:ind/>
              <w:contextualSpacing w:val="1"/>
              <w:jc w:val="center"/>
              <w:rPr>
                <w:sz w:val="22"/>
              </w:rPr>
            </w:pPr>
            <w:r>
              <w:rPr>
                <w:sz w:val="22"/>
              </w:rPr>
              <w:t>договор № 59 от 30.03.2018</w:t>
            </w:r>
          </w:p>
        </w:tc>
        <w:tc>
          <w:tcPr>
            <w:tcW w:type="dxa" w:w="1274"/>
            <w:tcBorders>
              <w:top w:color="000000" w:sz="4" w:val="single"/>
              <w:left w:color="000000" w:sz="4" w:val="single"/>
              <w:bottom w:color="000000" w:sz="4" w:val="single"/>
              <w:right w:color="000000" w:sz="4" w:val="single"/>
            </w:tcBorders>
            <w:shd w:fill="FFFFFF" w:val="clear"/>
            <w:vAlign w:val="center"/>
          </w:tcPr>
          <w:p w14:paraId="EA1C0000">
            <w:pPr>
              <w:widowControl w:val="1"/>
              <w:ind/>
              <w:contextualSpacing w:val="1"/>
              <w:jc w:val="center"/>
              <w:rPr>
                <w:sz w:val="22"/>
              </w:rPr>
            </w:pPr>
            <w:r>
              <w:rPr>
                <w:sz w:val="22"/>
              </w:rPr>
              <w:t>30.03.2018-28.04.2018</w:t>
            </w:r>
          </w:p>
        </w:tc>
        <w:tc>
          <w:tcPr>
            <w:tcW w:type="dxa" w:w="1556"/>
            <w:tcBorders>
              <w:top w:color="000000" w:sz="4" w:val="single"/>
              <w:left w:color="000000" w:sz="4" w:val="single"/>
              <w:bottom w:color="000000" w:sz="4" w:val="single"/>
              <w:right w:color="000000" w:sz="4" w:val="single"/>
            </w:tcBorders>
            <w:shd w:fill="FFFFFF" w:val="clear"/>
            <w:vAlign w:val="center"/>
          </w:tcPr>
          <w:p w14:paraId="EB1C0000">
            <w:pPr>
              <w:widowControl w:val="1"/>
              <w:ind/>
              <w:contextualSpacing w:val="1"/>
              <w:jc w:val="center"/>
              <w:rPr>
                <w:sz w:val="22"/>
              </w:rPr>
            </w:pPr>
            <w:r>
              <w:rPr>
                <w:sz w:val="22"/>
              </w:rPr>
              <w:t>выполнение работ по изготовлению полиграфической продукции</w:t>
            </w:r>
          </w:p>
        </w:tc>
        <w:tc>
          <w:tcPr>
            <w:tcW w:type="dxa" w:w="1194"/>
            <w:tcBorders>
              <w:top w:color="000000" w:sz="4" w:val="single"/>
              <w:left w:color="000000" w:sz="4" w:val="single"/>
              <w:bottom w:color="000000" w:sz="4" w:val="single"/>
              <w:right w:color="000000" w:sz="4" w:val="single"/>
            </w:tcBorders>
            <w:shd w:fill="FFFFFF" w:val="clear"/>
            <w:vAlign w:val="center"/>
          </w:tcPr>
          <w:p w14:paraId="EC1C0000">
            <w:pPr>
              <w:widowControl w:val="1"/>
              <w:ind/>
              <w:contextualSpacing w:val="1"/>
              <w:jc w:val="center"/>
              <w:rPr>
                <w:sz w:val="22"/>
              </w:rPr>
            </w:pPr>
            <w:r>
              <w:rPr>
                <w:sz w:val="22"/>
              </w:rPr>
              <w:t>73130</w:t>
            </w:r>
          </w:p>
        </w:tc>
        <w:tc>
          <w:tcPr>
            <w:tcW w:type="dxa" w:w="1221"/>
            <w:tcBorders>
              <w:top w:color="000000" w:sz="4" w:val="single"/>
              <w:left w:color="000000" w:sz="4" w:val="single"/>
              <w:bottom w:color="000000" w:sz="4" w:val="single"/>
              <w:right w:color="000000" w:sz="4" w:val="single"/>
            </w:tcBorders>
            <w:shd w:fill="FFFFFF" w:val="clear"/>
            <w:vAlign w:val="center"/>
          </w:tcPr>
          <w:p w14:paraId="ED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E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F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0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F1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F21C0000">
            <w:pPr>
              <w:widowControl w:val="1"/>
              <w:ind/>
              <w:contextualSpacing w:val="1"/>
              <w:jc w:val="center"/>
              <w:rPr>
                <w:sz w:val="22"/>
              </w:rPr>
            </w:pPr>
            <w:r>
              <w:rPr>
                <w:sz w:val="22"/>
              </w:rPr>
              <w:t>Размещение заказа у единственного поставщика, согласно пп.28п. 81  положения утвержденного СД 30.04.2015г. Протокол № 13</w:t>
            </w:r>
          </w:p>
        </w:tc>
      </w:tr>
      <w:tr>
        <w:trPr>
          <w:trHeight w:hRule="atLeast" w:val="1920"/>
        </w:trPr>
        <w:tc>
          <w:tcPr>
            <w:tcW w:type="dxa" w:w="528"/>
            <w:tcBorders>
              <w:top w:color="000000" w:sz="4" w:val="single"/>
              <w:left w:color="000000" w:sz="4" w:val="single"/>
              <w:bottom w:color="000000" w:sz="4" w:val="single"/>
              <w:right w:color="000000" w:sz="4" w:val="single"/>
            </w:tcBorders>
            <w:shd w:fill="FFFFFF" w:val="clear"/>
            <w:vAlign w:val="center"/>
          </w:tcPr>
          <w:p w14:paraId="F31C0000">
            <w:pPr>
              <w:widowControl w:val="1"/>
              <w:ind/>
              <w:contextualSpacing w:val="1"/>
              <w:rPr>
                <w:color w:val="000000"/>
                <w:sz w:val="22"/>
              </w:rPr>
            </w:pPr>
            <w:r>
              <w:rPr>
                <w:color w:val="000000"/>
                <w:sz w:val="22"/>
              </w:rPr>
              <w:t>36</w:t>
            </w:r>
          </w:p>
        </w:tc>
        <w:tc>
          <w:tcPr>
            <w:tcW w:type="dxa" w:w="1408"/>
            <w:tcBorders>
              <w:top w:color="000000" w:sz="4" w:val="single"/>
              <w:left w:color="000000" w:sz="4" w:val="single"/>
              <w:bottom w:color="000000" w:sz="4" w:val="single"/>
              <w:right w:color="000000" w:sz="4" w:val="single"/>
            </w:tcBorders>
            <w:shd w:fill="FFFFFF" w:val="clear"/>
            <w:vAlign w:val="center"/>
          </w:tcPr>
          <w:p w14:paraId="F41C0000">
            <w:pPr>
              <w:widowControl w:val="1"/>
              <w:ind/>
              <w:contextualSpacing w:val="1"/>
              <w:jc w:val="center"/>
              <w:rPr>
                <w:sz w:val="22"/>
              </w:rPr>
            </w:pPr>
            <w:r>
              <w:rPr>
                <w:sz w:val="22"/>
              </w:rPr>
              <w:t>Красноярский РФ АО "Россельхозбанк"</w:t>
            </w:r>
          </w:p>
        </w:tc>
        <w:tc>
          <w:tcPr>
            <w:tcW w:type="dxa" w:w="1408"/>
            <w:tcBorders>
              <w:top w:color="000000" w:sz="4" w:val="single"/>
              <w:left w:color="000000" w:sz="4" w:val="single"/>
              <w:bottom w:color="000000" w:sz="4" w:val="single"/>
              <w:right w:color="000000" w:sz="4" w:val="single"/>
            </w:tcBorders>
            <w:shd w:fill="FFFFFF" w:val="clear"/>
            <w:vAlign w:val="center"/>
          </w:tcPr>
          <w:p w14:paraId="F51C0000">
            <w:pPr>
              <w:widowControl w:val="1"/>
              <w:ind/>
              <w:contextualSpacing w:val="1"/>
              <w:jc w:val="center"/>
              <w:rPr>
                <w:sz w:val="22"/>
              </w:rPr>
            </w:pPr>
            <w:r>
              <w:rPr>
                <w:sz w:val="22"/>
              </w:rPr>
              <w:t>дополнительное соглашение № 2 к договору № РСХБ-049-26-37-2016 от 30.05.2016 от 31.01.2018</w:t>
            </w:r>
          </w:p>
        </w:tc>
        <w:tc>
          <w:tcPr>
            <w:tcW w:type="dxa" w:w="1274"/>
            <w:tcBorders>
              <w:top w:color="000000" w:sz="4" w:val="single"/>
              <w:left w:color="000000" w:sz="4" w:val="single"/>
              <w:bottom w:color="000000" w:sz="4" w:val="single"/>
              <w:right w:color="000000" w:sz="4" w:val="single"/>
            </w:tcBorders>
            <w:shd w:fill="FFFFFF" w:val="clear"/>
            <w:vAlign w:val="center"/>
          </w:tcPr>
          <w:p w14:paraId="F61C0000">
            <w:pPr>
              <w:widowControl w:val="1"/>
              <w:ind/>
              <w:contextualSpacing w:val="1"/>
              <w:jc w:val="center"/>
              <w:rPr>
                <w:sz w:val="22"/>
              </w:rPr>
            </w:pPr>
            <w:r>
              <w:rPr>
                <w:sz w:val="22"/>
              </w:rPr>
              <w:t>01.06.2016-31.01.2018</w:t>
            </w:r>
          </w:p>
        </w:tc>
        <w:tc>
          <w:tcPr>
            <w:tcW w:type="dxa" w:w="1556"/>
            <w:tcBorders>
              <w:top w:color="000000" w:sz="4" w:val="single"/>
              <w:left w:color="000000" w:sz="4" w:val="single"/>
              <w:bottom w:color="000000" w:sz="4" w:val="single"/>
              <w:right w:color="000000" w:sz="4" w:val="single"/>
            </w:tcBorders>
            <w:shd w:fill="FFFFFF" w:val="clear"/>
            <w:vAlign w:val="center"/>
          </w:tcPr>
          <w:p w14:paraId="F71C0000">
            <w:pPr>
              <w:widowControl w:val="1"/>
              <w:ind/>
              <w:contextualSpacing w:val="1"/>
              <w:jc w:val="center"/>
              <w:rPr>
                <w:sz w:val="22"/>
              </w:rPr>
            </w:pPr>
            <w:r>
              <w:rPr>
                <w:sz w:val="22"/>
              </w:rPr>
              <w:t>увеличение предельной цены договора на 103 308,80 руб.  в связи с изменением объемов</w:t>
            </w:r>
          </w:p>
        </w:tc>
        <w:tc>
          <w:tcPr>
            <w:tcW w:type="dxa" w:w="1194"/>
            <w:tcBorders>
              <w:top w:color="000000" w:sz="4" w:val="single"/>
              <w:left w:color="000000" w:sz="4" w:val="single"/>
              <w:bottom w:color="000000" w:sz="4" w:val="single"/>
              <w:right w:color="000000" w:sz="4" w:val="single"/>
            </w:tcBorders>
            <w:shd w:fill="FFFFFF" w:val="clear"/>
            <w:vAlign w:val="center"/>
          </w:tcPr>
          <w:p w14:paraId="F81C0000">
            <w:pPr>
              <w:widowControl w:val="1"/>
              <w:ind/>
              <w:contextualSpacing w:val="1"/>
              <w:jc w:val="center"/>
              <w:rPr>
                <w:sz w:val="22"/>
              </w:rPr>
            </w:pPr>
            <w:r>
              <w:rPr>
                <w:sz w:val="22"/>
              </w:rPr>
              <w:t>10434189,18</w:t>
            </w:r>
          </w:p>
        </w:tc>
        <w:tc>
          <w:tcPr>
            <w:tcW w:type="dxa" w:w="1221"/>
            <w:tcBorders>
              <w:top w:color="000000" w:sz="4" w:val="single"/>
              <w:left w:color="000000" w:sz="4" w:val="single"/>
              <w:bottom w:color="000000" w:sz="4" w:val="single"/>
              <w:right w:color="000000" w:sz="4" w:val="single"/>
            </w:tcBorders>
            <w:shd w:fill="FFFFFF" w:val="clear"/>
            <w:vAlign w:val="center"/>
          </w:tcPr>
          <w:p w14:paraId="F91C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A1C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B1C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C1C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FD1C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FE1C0000">
            <w:pPr>
              <w:widowControl w:val="1"/>
              <w:ind/>
              <w:contextualSpacing w:val="1"/>
              <w:jc w:val="center"/>
              <w:rPr>
                <w:sz w:val="22"/>
              </w:rPr>
            </w:pPr>
            <w:r>
              <w:rPr>
                <w:sz w:val="22"/>
              </w:rPr>
              <w:t>Размещение заказа у единственного поставщика, согласно пп. 1 п. 81  положения утвержденного СД 30.04.2015г. Протокол № 13</w:t>
            </w:r>
          </w:p>
        </w:tc>
      </w:tr>
      <w:tr>
        <w:trPr>
          <w:trHeight w:hRule="atLeast" w:val="1425"/>
        </w:trPr>
        <w:tc>
          <w:tcPr>
            <w:tcW w:type="dxa" w:w="528"/>
            <w:tcBorders>
              <w:top w:color="000000" w:sz="4" w:val="single"/>
              <w:left w:color="000000" w:sz="4" w:val="single"/>
              <w:bottom w:color="000000" w:sz="4" w:val="single"/>
              <w:right w:color="000000" w:sz="4" w:val="single"/>
            </w:tcBorders>
            <w:shd w:fill="FFFFFF" w:val="clear"/>
            <w:vAlign w:val="center"/>
          </w:tcPr>
          <w:p w14:paraId="FF1C0000">
            <w:pPr>
              <w:widowControl w:val="1"/>
              <w:ind/>
              <w:contextualSpacing w:val="1"/>
              <w:rPr>
                <w:color w:val="000000"/>
                <w:sz w:val="22"/>
              </w:rPr>
            </w:pPr>
            <w:r>
              <w:rPr>
                <w:color w:val="000000"/>
                <w:sz w:val="22"/>
              </w:rPr>
              <w:t>37</w:t>
            </w:r>
          </w:p>
        </w:tc>
        <w:tc>
          <w:tcPr>
            <w:tcW w:type="dxa" w:w="1408"/>
            <w:tcBorders>
              <w:top w:color="000000" w:sz="4" w:val="single"/>
              <w:left w:color="000000" w:sz="4" w:val="single"/>
              <w:bottom w:color="000000" w:sz="4" w:val="single"/>
              <w:right w:color="000000" w:sz="4" w:val="single"/>
            </w:tcBorders>
            <w:shd w:fill="FFFFFF" w:val="clear"/>
            <w:vAlign w:val="center"/>
          </w:tcPr>
          <w:p w14:paraId="001D0000">
            <w:pPr>
              <w:widowControl w:val="1"/>
              <w:ind/>
              <w:contextualSpacing w:val="1"/>
              <w:jc w:val="center"/>
              <w:rPr>
                <w:sz w:val="22"/>
              </w:rPr>
            </w:pPr>
            <w:r>
              <w:rPr>
                <w:sz w:val="22"/>
              </w:rPr>
              <w:t>Красноярский РФ АО "Россельхозбанк"</w:t>
            </w:r>
          </w:p>
        </w:tc>
        <w:tc>
          <w:tcPr>
            <w:tcW w:type="dxa" w:w="1408"/>
            <w:tcBorders>
              <w:top w:color="000000" w:sz="4" w:val="single"/>
              <w:left w:color="000000" w:sz="4" w:val="single"/>
              <w:bottom w:color="000000" w:sz="4" w:val="single"/>
              <w:right w:color="000000" w:sz="4" w:val="single"/>
            </w:tcBorders>
            <w:shd w:fill="FFFFFF" w:val="clear"/>
            <w:vAlign w:val="center"/>
          </w:tcPr>
          <w:p w14:paraId="011D0000">
            <w:pPr>
              <w:widowControl w:val="1"/>
              <w:ind/>
              <w:contextualSpacing w:val="1"/>
              <w:jc w:val="center"/>
              <w:rPr>
                <w:sz w:val="22"/>
              </w:rPr>
            </w:pPr>
            <w:r>
              <w:rPr>
                <w:sz w:val="22"/>
              </w:rPr>
              <w:t>договор № РСХБ-049-20-94-2018 от 02.02.2018</w:t>
            </w:r>
          </w:p>
        </w:tc>
        <w:tc>
          <w:tcPr>
            <w:tcW w:type="dxa" w:w="1274"/>
            <w:tcBorders>
              <w:top w:color="000000" w:sz="4" w:val="single"/>
              <w:left w:color="000000" w:sz="4" w:val="single"/>
              <w:bottom w:color="000000" w:sz="4" w:val="single"/>
              <w:right w:color="000000" w:sz="4" w:val="single"/>
            </w:tcBorders>
            <w:shd w:fill="FFFFFF" w:val="clear"/>
            <w:vAlign w:val="center"/>
          </w:tcPr>
          <w:p w14:paraId="021D0000">
            <w:pPr>
              <w:widowControl w:val="1"/>
              <w:ind/>
              <w:contextualSpacing w:val="1"/>
              <w:jc w:val="center"/>
              <w:rPr>
                <w:sz w:val="22"/>
              </w:rPr>
            </w:pPr>
            <w:r>
              <w:rPr>
                <w:sz w:val="22"/>
              </w:rPr>
              <w:t>02.02.2018-31.12.2021</w:t>
            </w:r>
          </w:p>
        </w:tc>
        <w:tc>
          <w:tcPr>
            <w:tcW w:type="dxa" w:w="1556"/>
            <w:tcBorders>
              <w:top w:color="000000" w:sz="4" w:val="single"/>
              <w:left w:color="000000" w:sz="4" w:val="single"/>
              <w:bottom w:color="000000" w:sz="4" w:val="single"/>
              <w:right w:color="000000" w:sz="4" w:val="single"/>
            </w:tcBorders>
            <w:shd w:fill="FFFFFF" w:val="clear"/>
            <w:vAlign w:val="center"/>
          </w:tcPr>
          <w:p w14:paraId="031D0000">
            <w:pPr>
              <w:widowControl w:val="1"/>
              <w:ind/>
              <w:contextualSpacing w:val="1"/>
              <w:jc w:val="center"/>
              <w:rPr>
                <w:sz w:val="22"/>
              </w:rPr>
            </w:pPr>
            <w:r>
              <w:rPr>
                <w:sz w:val="22"/>
              </w:rPr>
              <w:t>оказание услуг инкассации, пересчета и зачисления на счет наличных денег</w:t>
            </w:r>
          </w:p>
        </w:tc>
        <w:tc>
          <w:tcPr>
            <w:tcW w:type="dxa" w:w="1194"/>
            <w:tcBorders>
              <w:top w:color="000000" w:sz="4" w:val="single"/>
              <w:left w:color="000000" w:sz="4" w:val="single"/>
              <w:bottom w:color="000000" w:sz="4" w:val="single"/>
              <w:right w:color="000000" w:sz="4" w:val="single"/>
            </w:tcBorders>
            <w:shd w:fill="FFFFFF" w:val="clear"/>
            <w:vAlign w:val="center"/>
          </w:tcPr>
          <w:p w14:paraId="041D0000">
            <w:pPr>
              <w:widowControl w:val="1"/>
              <w:ind/>
              <w:contextualSpacing w:val="1"/>
              <w:jc w:val="center"/>
              <w:rPr>
                <w:sz w:val="22"/>
              </w:rPr>
            </w:pPr>
            <w:r>
              <w:rPr>
                <w:sz w:val="22"/>
              </w:rPr>
              <w:t>12493672,39</w:t>
            </w:r>
          </w:p>
        </w:tc>
        <w:tc>
          <w:tcPr>
            <w:tcW w:type="dxa" w:w="1221"/>
            <w:tcBorders>
              <w:top w:color="000000" w:sz="4" w:val="single"/>
              <w:left w:color="000000" w:sz="4" w:val="single"/>
              <w:bottom w:color="000000" w:sz="4" w:val="single"/>
              <w:right w:color="000000" w:sz="4" w:val="single"/>
            </w:tcBorders>
            <w:shd w:fill="FFFFFF" w:val="clear"/>
            <w:vAlign w:val="center"/>
          </w:tcPr>
          <w:p w14:paraId="05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6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7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081D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091D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0A1D0000">
            <w:pPr>
              <w:widowControl w:val="1"/>
              <w:ind/>
              <w:contextualSpacing w:val="1"/>
              <w:jc w:val="center"/>
              <w:rPr>
                <w:sz w:val="22"/>
              </w:rPr>
            </w:pPr>
            <w:r>
              <w:rPr>
                <w:sz w:val="22"/>
              </w:rPr>
              <w:t>протокол КК № 1 от 22.01.2018</w:t>
            </w:r>
          </w:p>
        </w:tc>
      </w:tr>
      <w:tr>
        <w:trPr>
          <w:trHeight w:hRule="atLeast" w:val="1425"/>
        </w:trPr>
        <w:tc>
          <w:tcPr>
            <w:tcW w:type="dxa" w:w="528"/>
            <w:tcBorders>
              <w:top w:color="000000" w:sz="4" w:val="single"/>
              <w:left w:color="000000" w:sz="4" w:val="single"/>
              <w:bottom w:color="000000" w:sz="4" w:val="single"/>
              <w:right w:color="000000" w:sz="4" w:val="single"/>
            </w:tcBorders>
            <w:shd w:fill="FFFFFF" w:val="clear"/>
            <w:vAlign w:val="center"/>
          </w:tcPr>
          <w:p w14:paraId="0B1D0000">
            <w:pPr>
              <w:widowControl w:val="1"/>
              <w:ind/>
              <w:contextualSpacing w:val="1"/>
              <w:rPr>
                <w:color w:val="000000"/>
                <w:sz w:val="22"/>
              </w:rPr>
            </w:pPr>
            <w:r>
              <w:rPr>
                <w:color w:val="000000"/>
                <w:sz w:val="22"/>
              </w:rPr>
              <w:t>38</w:t>
            </w:r>
          </w:p>
        </w:tc>
        <w:tc>
          <w:tcPr>
            <w:tcW w:type="dxa" w:w="1408"/>
            <w:tcBorders>
              <w:top w:color="000000" w:sz="4" w:val="single"/>
              <w:left w:color="000000" w:sz="4" w:val="single"/>
              <w:bottom w:color="000000" w:sz="4" w:val="single"/>
              <w:right w:color="000000" w:sz="4" w:val="single"/>
            </w:tcBorders>
            <w:shd w:fill="FFFFFF" w:val="clear"/>
            <w:vAlign w:val="center"/>
          </w:tcPr>
          <w:p w14:paraId="0C1D0000">
            <w:pPr>
              <w:widowControl w:val="1"/>
              <w:ind/>
              <w:contextualSpacing w:val="1"/>
              <w:jc w:val="center"/>
              <w:rPr>
                <w:sz w:val="22"/>
              </w:rPr>
            </w:pPr>
            <w:r>
              <w:rPr>
                <w:sz w:val="22"/>
              </w:rPr>
              <w:t>Красноярский РФ АО "Россельхозбанк"</w:t>
            </w:r>
          </w:p>
        </w:tc>
        <w:tc>
          <w:tcPr>
            <w:tcW w:type="dxa" w:w="1408"/>
            <w:tcBorders>
              <w:top w:color="000000" w:sz="4" w:val="single"/>
              <w:left w:color="000000" w:sz="4" w:val="single"/>
              <w:bottom w:color="000000" w:sz="4" w:val="single"/>
              <w:right w:color="000000" w:sz="4" w:val="single"/>
            </w:tcBorders>
            <w:shd w:fill="FFFFFF" w:val="clear"/>
            <w:vAlign w:val="center"/>
          </w:tcPr>
          <w:p w14:paraId="0D1D0000">
            <w:pPr>
              <w:widowControl w:val="1"/>
              <w:ind/>
              <w:contextualSpacing w:val="1"/>
              <w:jc w:val="center"/>
              <w:rPr>
                <w:sz w:val="22"/>
              </w:rPr>
            </w:pPr>
            <w:r>
              <w:rPr>
                <w:sz w:val="22"/>
              </w:rPr>
              <w:t>дополнительное соглашение № 1 к договору № РСХ-049-20-94-2018 ОТ 02.02.2018 ОТ 03.12.2018</w:t>
            </w:r>
          </w:p>
        </w:tc>
        <w:tc>
          <w:tcPr>
            <w:tcW w:type="dxa" w:w="1274"/>
            <w:tcBorders>
              <w:top w:color="000000" w:sz="4" w:val="single"/>
              <w:left w:color="000000" w:sz="4" w:val="single"/>
              <w:bottom w:color="000000" w:sz="4" w:val="single"/>
              <w:right w:color="000000" w:sz="4" w:val="single"/>
            </w:tcBorders>
            <w:shd w:fill="FFFFFF" w:val="clear"/>
            <w:vAlign w:val="center"/>
          </w:tcPr>
          <w:p w14:paraId="0E1D0000">
            <w:pPr>
              <w:widowControl w:val="1"/>
              <w:ind/>
              <w:contextualSpacing w:val="1"/>
              <w:jc w:val="center"/>
              <w:rPr>
                <w:sz w:val="22"/>
              </w:rPr>
            </w:pPr>
            <w:r>
              <w:rPr>
                <w:sz w:val="22"/>
              </w:rPr>
              <w:t>01.01.2019-31.01.2021</w:t>
            </w:r>
          </w:p>
        </w:tc>
        <w:tc>
          <w:tcPr>
            <w:tcW w:type="dxa" w:w="1556"/>
            <w:tcBorders>
              <w:top w:color="000000" w:sz="4" w:val="single"/>
              <w:left w:color="000000" w:sz="4" w:val="single"/>
              <w:bottom w:color="000000" w:sz="4" w:val="single"/>
              <w:right w:color="000000" w:sz="4" w:val="single"/>
            </w:tcBorders>
            <w:shd w:fill="FFFFFF" w:val="clear"/>
            <w:vAlign w:val="center"/>
          </w:tcPr>
          <w:p w14:paraId="0F1D0000">
            <w:pPr>
              <w:widowControl w:val="1"/>
              <w:ind/>
              <w:contextualSpacing w:val="1"/>
              <w:jc w:val="center"/>
              <w:rPr>
                <w:sz w:val="22"/>
              </w:rPr>
            </w:pPr>
            <w:r>
              <w:rPr>
                <w:sz w:val="22"/>
              </w:rPr>
              <w:t>увеличение предельной цены договора в связи с увеличением ставки НДС</w:t>
            </w:r>
          </w:p>
        </w:tc>
        <w:tc>
          <w:tcPr>
            <w:tcW w:type="dxa" w:w="1194"/>
            <w:tcBorders>
              <w:top w:color="000000" w:sz="4" w:val="single"/>
              <w:left w:color="000000" w:sz="4" w:val="single"/>
              <w:bottom w:color="000000" w:sz="4" w:val="single"/>
              <w:right w:color="000000" w:sz="4" w:val="single"/>
            </w:tcBorders>
            <w:shd w:fill="FFFFFF" w:val="clear"/>
            <w:vAlign w:val="center"/>
          </w:tcPr>
          <w:p w14:paraId="101D0000">
            <w:pPr>
              <w:widowControl w:val="1"/>
              <w:ind/>
              <w:contextualSpacing w:val="1"/>
              <w:jc w:val="center"/>
              <w:rPr>
                <w:sz w:val="22"/>
              </w:rPr>
            </w:pPr>
            <w:r>
              <w:rPr>
                <w:sz w:val="22"/>
              </w:rPr>
              <w:t>12627494,3</w:t>
            </w:r>
          </w:p>
        </w:tc>
        <w:tc>
          <w:tcPr>
            <w:tcW w:type="dxa" w:w="1221"/>
            <w:tcBorders>
              <w:top w:color="000000" w:sz="4" w:val="single"/>
              <w:left w:color="000000" w:sz="4" w:val="single"/>
              <w:bottom w:color="000000" w:sz="4" w:val="single"/>
              <w:right w:color="000000" w:sz="4" w:val="single"/>
            </w:tcBorders>
            <w:shd w:fill="FFFFFF" w:val="clear"/>
            <w:vAlign w:val="center"/>
          </w:tcPr>
          <w:p w14:paraId="11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2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3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41D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151D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161D0000">
            <w:pPr>
              <w:widowControl w:val="1"/>
              <w:ind/>
              <w:contextualSpacing w:val="1"/>
              <w:jc w:val="center"/>
              <w:rPr>
                <w:sz w:val="22"/>
              </w:rPr>
            </w:pPr>
            <w:r>
              <w:rPr>
                <w:sz w:val="22"/>
              </w:rPr>
              <w:t>протокол КК № 12 ОТ 03.12.2018</w:t>
            </w:r>
          </w:p>
        </w:tc>
      </w:tr>
      <w:tr>
        <w:trPr>
          <w:trHeight w:hRule="atLeast" w:val="420"/>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171D0000">
            <w:pPr>
              <w:widowControl w:val="1"/>
              <w:ind/>
              <w:contextualSpacing w:val="1"/>
              <w:jc w:val="center"/>
              <w:rPr>
                <w:color w:val="000000"/>
                <w:sz w:val="22"/>
              </w:rPr>
            </w:pPr>
            <w:r>
              <w:rPr>
                <w:color w:val="000000"/>
                <w:sz w:val="22"/>
              </w:rPr>
              <w:t>Итого по контрагенту Красноярский РФ АО "Россельхозбанк" 12730803,1 руб.</w:t>
            </w:r>
          </w:p>
          <w:p w14:paraId="181D0000">
            <w:pPr>
              <w:widowControl w:val="1"/>
              <w:ind/>
              <w:contextualSpacing w:val="1"/>
              <w:jc w:val="center"/>
              <w:rPr>
                <w:color w:val="000000"/>
                <w:sz w:val="22"/>
              </w:rPr>
            </w:pPr>
          </w:p>
        </w:tc>
      </w:tr>
      <w:tr>
        <w:trPr>
          <w:trHeight w:hRule="atLeast" w:val="1275"/>
        </w:trPr>
        <w:tc>
          <w:tcPr>
            <w:tcW w:type="dxa" w:w="528"/>
            <w:tcBorders>
              <w:top w:color="000000" w:sz="4" w:val="single"/>
              <w:left w:color="000000" w:sz="4" w:val="single"/>
              <w:bottom w:color="000000" w:sz="4" w:val="single"/>
              <w:right w:color="000000" w:sz="4" w:val="single"/>
            </w:tcBorders>
            <w:shd w:fill="FFFFFF" w:val="clear"/>
            <w:vAlign w:val="center"/>
          </w:tcPr>
          <w:p w14:paraId="191D0000">
            <w:pPr>
              <w:widowControl w:val="1"/>
              <w:ind/>
              <w:contextualSpacing w:val="1"/>
              <w:rPr>
                <w:color w:val="000000"/>
                <w:sz w:val="22"/>
              </w:rPr>
            </w:pPr>
            <w:r>
              <w:rPr>
                <w:color w:val="000000"/>
                <w:sz w:val="22"/>
              </w:rPr>
              <w:t>39</w:t>
            </w:r>
          </w:p>
        </w:tc>
        <w:tc>
          <w:tcPr>
            <w:tcW w:type="dxa" w:w="1408"/>
            <w:tcBorders>
              <w:top w:color="000000" w:sz="4" w:val="single"/>
              <w:left w:color="000000" w:sz="4" w:val="single"/>
              <w:bottom w:color="000000" w:sz="4" w:val="single"/>
              <w:right w:color="000000" w:sz="4" w:val="single"/>
            </w:tcBorders>
            <w:shd w:fill="FFFFFF" w:val="clear"/>
            <w:vAlign w:val="center"/>
          </w:tcPr>
          <w:p w14:paraId="1A1D0000">
            <w:pPr>
              <w:widowControl w:val="1"/>
              <w:ind/>
              <w:contextualSpacing w:val="1"/>
              <w:jc w:val="center"/>
              <w:rPr>
                <w:sz w:val="22"/>
              </w:rPr>
            </w:pPr>
            <w:r>
              <w:rPr>
                <w:sz w:val="22"/>
              </w:rPr>
              <w:t>ОАО "АльфаСтрахование"</w:t>
            </w:r>
          </w:p>
        </w:tc>
        <w:tc>
          <w:tcPr>
            <w:tcW w:type="dxa" w:w="1408"/>
            <w:tcBorders>
              <w:top w:color="000000" w:sz="4" w:val="single"/>
              <w:left w:color="000000" w:sz="4" w:val="single"/>
              <w:bottom w:color="000000" w:sz="4" w:val="single"/>
              <w:right w:color="000000" w:sz="4" w:val="single"/>
            </w:tcBorders>
            <w:shd w:fill="FFFFFF" w:val="clear"/>
            <w:vAlign w:val="center"/>
          </w:tcPr>
          <w:p w14:paraId="1B1D0000">
            <w:pPr>
              <w:widowControl w:val="1"/>
              <w:ind/>
              <w:contextualSpacing w:val="1"/>
              <w:jc w:val="center"/>
              <w:rPr>
                <w:sz w:val="22"/>
              </w:rPr>
            </w:pPr>
            <w:r>
              <w:rPr>
                <w:sz w:val="22"/>
              </w:rPr>
              <w:t>договор № 8791R/085/00129/8 от 06.02.2018</w:t>
            </w:r>
          </w:p>
        </w:tc>
        <w:tc>
          <w:tcPr>
            <w:tcW w:type="dxa" w:w="1274"/>
            <w:tcBorders>
              <w:top w:color="000000" w:sz="4" w:val="single"/>
              <w:left w:color="000000" w:sz="4" w:val="single"/>
              <w:bottom w:color="000000" w:sz="4" w:val="single"/>
              <w:right w:color="000000" w:sz="4" w:val="single"/>
            </w:tcBorders>
            <w:shd w:fill="FFFFFF" w:val="clear"/>
            <w:vAlign w:val="center"/>
          </w:tcPr>
          <w:p w14:paraId="1C1D0000">
            <w:pPr>
              <w:widowControl w:val="1"/>
              <w:ind/>
              <w:contextualSpacing w:val="1"/>
              <w:jc w:val="center"/>
              <w:rPr>
                <w:sz w:val="22"/>
              </w:rPr>
            </w:pPr>
            <w:r>
              <w:rPr>
                <w:sz w:val="22"/>
              </w:rPr>
              <w:t>10.02.2018-09.02.2019</w:t>
            </w:r>
          </w:p>
        </w:tc>
        <w:tc>
          <w:tcPr>
            <w:tcW w:type="dxa" w:w="1556"/>
            <w:tcBorders>
              <w:top w:color="000000" w:sz="4" w:val="single"/>
              <w:left w:color="000000" w:sz="4" w:val="single"/>
              <w:bottom w:color="000000" w:sz="4" w:val="single"/>
              <w:right w:color="000000" w:sz="4" w:val="single"/>
            </w:tcBorders>
            <w:shd w:fill="FFFFFF" w:val="clear"/>
            <w:vAlign w:val="center"/>
          </w:tcPr>
          <w:p w14:paraId="1D1D0000">
            <w:pPr>
              <w:widowControl w:val="1"/>
              <w:ind/>
              <w:contextualSpacing w:val="1"/>
              <w:jc w:val="center"/>
              <w:rPr>
                <w:sz w:val="22"/>
              </w:rPr>
            </w:pPr>
            <w:r>
              <w:rPr>
                <w:sz w:val="22"/>
              </w:rPr>
              <w:t>оказание услуг по страхованию средств железнодорожного транспорта</w:t>
            </w:r>
          </w:p>
        </w:tc>
        <w:tc>
          <w:tcPr>
            <w:tcW w:type="dxa" w:w="1194"/>
            <w:tcBorders>
              <w:top w:color="000000" w:sz="4" w:val="single"/>
              <w:left w:color="000000" w:sz="4" w:val="single"/>
              <w:bottom w:color="000000" w:sz="4" w:val="single"/>
              <w:right w:color="000000" w:sz="4" w:val="single"/>
            </w:tcBorders>
            <w:shd w:fill="FFFFFF" w:val="clear"/>
            <w:vAlign w:val="center"/>
          </w:tcPr>
          <w:p w14:paraId="1E1D0000">
            <w:pPr>
              <w:widowControl w:val="1"/>
              <w:ind/>
              <w:contextualSpacing w:val="1"/>
              <w:jc w:val="center"/>
              <w:rPr>
                <w:sz w:val="22"/>
              </w:rPr>
            </w:pPr>
            <w:r>
              <w:rPr>
                <w:sz w:val="22"/>
              </w:rPr>
              <w:t>117580,76</w:t>
            </w:r>
          </w:p>
        </w:tc>
        <w:tc>
          <w:tcPr>
            <w:tcW w:type="dxa" w:w="1221"/>
            <w:tcBorders>
              <w:top w:color="000000" w:sz="4" w:val="single"/>
              <w:left w:color="000000" w:sz="4" w:val="single"/>
              <w:bottom w:color="000000" w:sz="4" w:val="single"/>
              <w:right w:color="000000" w:sz="4" w:val="single"/>
            </w:tcBorders>
            <w:shd w:fill="FFFFFF" w:val="clear"/>
            <w:vAlign w:val="center"/>
          </w:tcPr>
          <w:p w14:paraId="1F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0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1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21D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231D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241D0000">
            <w:pPr>
              <w:widowControl w:val="1"/>
              <w:ind/>
              <w:contextualSpacing w:val="1"/>
              <w:jc w:val="center"/>
              <w:rPr>
                <w:sz w:val="22"/>
              </w:rPr>
            </w:pPr>
            <w:r>
              <w:rPr>
                <w:sz w:val="22"/>
              </w:rPr>
              <w:t>протокол КК № 9 от 27.12.2017</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51D0000">
            <w:pPr>
              <w:widowControl w:val="1"/>
              <w:ind/>
              <w:contextualSpacing w:val="1"/>
              <w:rPr>
                <w:color w:val="000000"/>
                <w:sz w:val="22"/>
              </w:rPr>
            </w:pPr>
            <w:r>
              <w:rPr>
                <w:color w:val="000000"/>
                <w:sz w:val="22"/>
              </w:rPr>
              <w:t>40</w:t>
            </w:r>
          </w:p>
        </w:tc>
        <w:tc>
          <w:tcPr>
            <w:tcW w:type="dxa" w:w="1408"/>
            <w:tcBorders>
              <w:top w:color="000000" w:sz="4" w:val="single"/>
              <w:left w:color="000000" w:sz="4" w:val="single"/>
              <w:bottom w:color="000000" w:sz="4" w:val="single"/>
              <w:right w:color="000000" w:sz="4" w:val="single"/>
            </w:tcBorders>
            <w:shd w:fill="FFFFFF" w:val="clear"/>
            <w:vAlign w:val="center"/>
          </w:tcPr>
          <w:p w14:paraId="261D0000">
            <w:pPr>
              <w:widowControl w:val="1"/>
              <w:ind/>
              <w:contextualSpacing w:val="1"/>
              <w:jc w:val="center"/>
              <w:rPr>
                <w:sz w:val="22"/>
              </w:rPr>
            </w:pPr>
            <w:r>
              <w:rPr>
                <w:sz w:val="22"/>
              </w:rPr>
              <w:t>ОАО "АльфаСтрахование"</w:t>
            </w:r>
          </w:p>
        </w:tc>
        <w:tc>
          <w:tcPr>
            <w:tcW w:type="dxa" w:w="1408"/>
            <w:tcBorders>
              <w:top w:color="000000" w:sz="4" w:val="single"/>
              <w:left w:color="000000" w:sz="4" w:val="single"/>
              <w:bottom w:color="000000" w:sz="4" w:val="single"/>
              <w:right w:color="000000" w:sz="4" w:val="single"/>
            </w:tcBorders>
            <w:shd w:fill="FFFFFF" w:val="clear"/>
            <w:vAlign w:val="center"/>
          </w:tcPr>
          <w:p w14:paraId="271D0000">
            <w:pPr>
              <w:widowControl w:val="1"/>
              <w:ind/>
              <w:contextualSpacing w:val="1"/>
              <w:jc w:val="center"/>
              <w:rPr>
                <w:sz w:val="22"/>
              </w:rPr>
            </w:pPr>
            <w:r>
              <w:rPr>
                <w:sz w:val="22"/>
              </w:rPr>
              <w:t>договор № 8793/045/Р100005/8 от 14.03.2018</w:t>
            </w:r>
          </w:p>
        </w:tc>
        <w:tc>
          <w:tcPr>
            <w:tcW w:type="dxa" w:w="1274"/>
            <w:tcBorders>
              <w:top w:color="000000" w:sz="4" w:val="single"/>
              <w:left w:color="000000" w:sz="4" w:val="single"/>
              <w:bottom w:color="000000" w:sz="4" w:val="single"/>
              <w:right w:color="000000" w:sz="4" w:val="single"/>
            </w:tcBorders>
            <w:shd w:fill="FFFFFF" w:val="clear"/>
            <w:vAlign w:val="center"/>
          </w:tcPr>
          <w:p w14:paraId="281D0000">
            <w:pPr>
              <w:widowControl w:val="1"/>
              <w:ind/>
              <w:contextualSpacing w:val="1"/>
              <w:jc w:val="center"/>
              <w:rPr>
                <w:sz w:val="22"/>
              </w:rPr>
            </w:pPr>
            <w:r>
              <w:rPr>
                <w:sz w:val="22"/>
              </w:rPr>
              <w:t>01.04.2018-31.03.2019</w:t>
            </w:r>
          </w:p>
        </w:tc>
        <w:tc>
          <w:tcPr>
            <w:tcW w:type="dxa" w:w="1556"/>
            <w:tcBorders>
              <w:top w:color="000000" w:sz="4" w:val="single"/>
              <w:left w:color="000000" w:sz="4" w:val="single"/>
              <w:bottom w:color="000000" w:sz="4" w:val="single"/>
              <w:right w:color="000000" w:sz="4" w:val="single"/>
            </w:tcBorders>
            <w:shd w:fill="FFFFFF" w:val="clear"/>
            <w:vAlign w:val="center"/>
          </w:tcPr>
          <w:p w14:paraId="291D0000">
            <w:pPr>
              <w:widowControl w:val="1"/>
              <w:ind/>
              <w:contextualSpacing w:val="1"/>
              <w:jc w:val="center"/>
              <w:rPr>
                <w:sz w:val="22"/>
              </w:rPr>
            </w:pPr>
            <w:r>
              <w:rPr>
                <w:sz w:val="22"/>
              </w:rPr>
              <w:t>добровольное медицинское страхование по программе "Альфа Клещ комбинированный"</w:t>
            </w:r>
          </w:p>
        </w:tc>
        <w:tc>
          <w:tcPr>
            <w:tcW w:type="dxa" w:w="1194"/>
            <w:tcBorders>
              <w:top w:color="000000" w:sz="4" w:val="single"/>
              <w:left w:color="000000" w:sz="4" w:val="single"/>
              <w:bottom w:color="000000" w:sz="4" w:val="single"/>
              <w:right w:color="000000" w:sz="4" w:val="single"/>
            </w:tcBorders>
            <w:shd w:fill="FFFFFF" w:val="clear"/>
            <w:vAlign w:val="center"/>
          </w:tcPr>
          <w:p w14:paraId="2A1D0000">
            <w:pPr>
              <w:widowControl w:val="1"/>
              <w:ind/>
              <w:contextualSpacing w:val="1"/>
              <w:jc w:val="center"/>
              <w:rPr>
                <w:sz w:val="22"/>
              </w:rPr>
            </w:pPr>
            <w:r>
              <w:rPr>
                <w:sz w:val="22"/>
              </w:rPr>
              <w:t>29160</w:t>
            </w:r>
          </w:p>
        </w:tc>
        <w:tc>
          <w:tcPr>
            <w:tcW w:type="dxa" w:w="1221"/>
            <w:tcBorders>
              <w:top w:color="000000" w:sz="4" w:val="single"/>
              <w:left w:color="000000" w:sz="4" w:val="single"/>
              <w:bottom w:color="000000" w:sz="4" w:val="single"/>
              <w:right w:color="000000" w:sz="4" w:val="single"/>
            </w:tcBorders>
            <w:shd w:fill="FFFFFF" w:val="clear"/>
            <w:vAlign w:val="center"/>
          </w:tcPr>
          <w:p w14:paraId="2B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C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D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E1D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2F1D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301D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11D0000">
            <w:pPr>
              <w:widowControl w:val="1"/>
              <w:ind/>
              <w:contextualSpacing w:val="1"/>
              <w:rPr>
                <w:color w:val="000000"/>
                <w:sz w:val="22"/>
              </w:rPr>
            </w:pPr>
            <w:r>
              <w:rPr>
                <w:color w:val="000000"/>
                <w:sz w:val="22"/>
              </w:rPr>
              <w:t>41</w:t>
            </w:r>
          </w:p>
        </w:tc>
        <w:tc>
          <w:tcPr>
            <w:tcW w:type="dxa" w:w="1408"/>
            <w:tcBorders>
              <w:top w:color="000000" w:sz="4" w:val="single"/>
              <w:left w:color="000000" w:sz="4" w:val="single"/>
              <w:bottom w:color="000000" w:sz="4" w:val="single"/>
              <w:right w:color="000000" w:sz="4" w:val="single"/>
            </w:tcBorders>
            <w:shd w:fill="FFFFFF" w:val="clear"/>
            <w:vAlign w:val="center"/>
          </w:tcPr>
          <w:p w14:paraId="321D0000">
            <w:pPr>
              <w:widowControl w:val="1"/>
              <w:ind/>
              <w:contextualSpacing w:val="1"/>
              <w:jc w:val="center"/>
              <w:rPr>
                <w:sz w:val="22"/>
              </w:rPr>
            </w:pPr>
            <w:r>
              <w:rPr>
                <w:sz w:val="22"/>
              </w:rPr>
              <w:t>ОАО "АльфаСтрахование"</w:t>
            </w:r>
          </w:p>
        </w:tc>
        <w:tc>
          <w:tcPr>
            <w:tcW w:type="dxa" w:w="1408"/>
            <w:tcBorders>
              <w:top w:color="000000" w:sz="4" w:val="single"/>
              <w:left w:color="000000" w:sz="4" w:val="single"/>
              <w:bottom w:color="000000" w:sz="4" w:val="single"/>
              <w:right w:color="000000" w:sz="4" w:val="single"/>
            </w:tcBorders>
            <w:shd w:fill="FFFFFF" w:val="clear"/>
            <w:vAlign w:val="center"/>
          </w:tcPr>
          <w:p w14:paraId="331D0000">
            <w:pPr>
              <w:widowControl w:val="1"/>
              <w:ind/>
              <w:contextualSpacing w:val="1"/>
              <w:jc w:val="center"/>
              <w:rPr>
                <w:sz w:val="22"/>
              </w:rPr>
            </w:pPr>
            <w:r>
              <w:rPr>
                <w:sz w:val="22"/>
              </w:rPr>
              <w:t>дополнительное соглашение № 1 к договору № 8793/045/Р100005/8 от 14.03.2018 от 16.04.2018</w:t>
            </w:r>
          </w:p>
        </w:tc>
        <w:tc>
          <w:tcPr>
            <w:tcW w:type="dxa" w:w="1274"/>
            <w:tcBorders>
              <w:top w:color="000000" w:sz="4" w:val="single"/>
              <w:left w:color="000000" w:sz="4" w:val="single"/>
              <w:bottom w:color="000000" w:sz="4" w:val="single"/>
              <w:right w:color="000000" w:sz="4" w:val="single"/>
            </w:tcBorders>
            <w:shd w:fill="FFFFFF" w:val="clear"/>
            <w:vAlign w:val="center"/>
          </w:tcPr>
          <w:p w14:paraId="341D0000">
            <w:pPr>
              <w:widowControl w:val="1"/>
              <w:ind/>
              <w:contextualSpacing w:val="1"/>
              <w:jc w:val="center"/>
              <w:rPr>
                <w:sz w:val="22"/>
              </w:rPr>
            </w:pPr>
            <w:r>
              <w:rPr>
                <w:sz w:val="22"/>
              </w:rPr>
              <w:t>01.04.2018-31.03.2019</w:t>
            </w:r>
          </w:p>
        </w:tc>
        <w:tc>
          <w:tcPr>
            <w:tcW w:type="dxa" w:w="1556"/>
            <w:tcBorders>
              <w:top w:color="000000" w:sz="4" w:val="single"/>
              <w:left w:color="000000" w:sz="4" w:val="single"/>
              <w:bottom w:color="000000" w:sz="4" w:val="single"/>
              <w:right w:color="000000" w:sz="4" w:val="single"/>
            </w:tcBorders>
            <w:shd w:fill="FFFFFF" w:val="clear"/>
            <w:vAlign w:val="center"/>
          </w:tcPr>
          <w:p w14:paraId="351D0000">
            <w:pPr>
              <w:widowControl w:val="1"/>
              <w:ind/>
              <w:contextualSpacing w:val="1"/>
              <w:jc w:val="center"/>
              <w:rPr>
                <w:sz w:val="22"/>
              </w:rPr>
            </w:pPr>
            <w:r>
              <w:rPr>
                <w:sz w:val="22"/>
              </w:rPr>
              <w:t>внесение изменений относительно уменьшения общего количества застрахованных лиц, общего размера страховой суммы и размера страховой премии</w:t>
            </w:r>
          </w:p>
        </w:tc>
        <w:tc>
          <w:tcPr>
            <w:tcW w:type="dxa" w:w="1194"/>
            <w:tcBorders>
              <w:top w:color="000000" w:sz="4" w:val="single"/>
              <w:left w:color="000000" w:sz="4" w:val="single"/>
              <w:bottom w:color="000000" w:sz="4" w:val="single"/>
              <w:right w:color="000000" w:sz="4" w:val="single"/>
            </w:tcBorders>
            <w:shd w:fill="FFFFFF" w:val="clear"/>
            <w:vAlign w:val="center"/>
          </w:tcPr>
          <w:p w14:paraId="361D0000">
            <w:pPr>
              <w:widowControl w:val="1"/>
              <w:ind/>
              <w:contextualSpacing w:val="1"/>
              <w:jc w:val="center"/>
              <w:rPr>
                <w:sz w:val="22"/>
              </w:rPr>
            </w:pPr>
            <w:r>
              <w:rPr>
                <w:sz w:val="22"/>
              </w:rPr>
              <w:t>28814,8</w:t>
            </w:r>
          </w:p>
        </w:tc>
        <w:tc>
          <w:tcPr>
            <w:tcW w:type="dxa" w:w="1221"/>
            <w:tcBorders>
              <w:top w:color="000000" w:sz="4" w:val="single"/>
              <w:left w:color="000000" w:sz="4" w:val="single"/>
              <w:bottom w:color="000000" w:sz="4" w:val="single"/>
              <w:right w:color="000000" w:sz="4" w:val="single"/>
            </w:tcBorders>
            <w:shd w:fill="FFFFFF" w:val="clear"/>
            <w:vAlign w:val="center"/>
          </w:tcPr>
          <w:p w14:paraId="37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38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39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A1D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3B1D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3C1D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3D1D0000">
            <w:pPr>
              <w:widowControl w:val="1"/>
              <w:ind/>
              <w:contextualSpacing w:val="1"/>
              <w:jc w:val="center"/>
              <w:rPr>
                <w:color w:val="000000"/>
                <w:sz w:val="22"/>
              </w:rPr>
            </w:pPr>
            <w:r>
              <w:rPr>
                <w:color w:val="000000"/>
                <w:sz w:val="22"/>
              </w:rPr>
              <w:t>Итого по контрагенту ОАО "АльфаСтрахование" 146395,56 руб.</w:t>
            </w:r>
          </w:p>
          <w:p w14:paraId="3E1D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F1D0000">
            <w:pPr>
              <w:widowControl w:val="1"/>
              <w:ind/>
              <w:contextualSpacing w:val="1"/>
              <w:rPr>
                <w:color w:val="000000"/>
                <w:sz w:val="22"/>
              </w:rPr>
            </w:pPr>
            <w:r>
              <w:rPr>
                <w:color w:val="000000"/>
                <w:sz w:val="22"/>
              </w:rPr>
              <w:t>42</w:t>
            </w:r>
          </w:p>
        </w:tc>
        <w:tc>
          <w:tcPr>
            <w:tcW w:type="dxa" w:w="1408"/>
            <w:tcBorders>
              <w:top w:color="000000" w:sz="4" w:val="single"/>
              <w:left w:color="000000" w:sz="4" w:val="single"/>
              <w:bottom w:color="000000" w:sz="4" w:val="single"/>
              <w:right w:color="000000" w:sz="4" w:val="single"/>
            </w:tcBorders>
            <w:shd w:fill="FFFFFF" w:val="clear"/>
            <w:vAlign w:val="center"/>
          </w:tcPr>
          <w:p w14:paraId="401D0000">
            <w:pPr>
              <w:widowControl w:val="1"/>
              <w:ind/>
              <w:contextualSpacing w:val="1"/>
              <w:jc w:val="center"/>
              <w:rPr>
                <w:sz w:val="22"/>
              </w:rPr>
            </w:pPr>
            <w:r>
              <w:rPr>
                <w:sz w:val="22"/>
              </w:rPr>
              <w:t>Муниципальное унитарное предприятие города Абакана "Водоканал"</w:t>
            </w:r>
          </w:p>
        </w:tc>
        <w:tc>
          <w:tcPr>
            <w:tcW w:type="dxa" w:w="1408"/>
            <w:tcBorders>
              <w:top w:color="000000" w:sz="4" w:val="single"/>
              <w:left w:color="000000" w:sz="4" w:val="single"/>
              <w:bottom w:color="000000" w:sz="4" w:val="single"/>
              <w:right w:color="000000" w:sz="4" w:val="single"/>
            </w:tcBorders>
            <w:shd w:fill="FFFFFF" w:val="clear"/>
            <w:vAlign w:val="center"/>
          </w:tcPr>
          <w:p w14:paraId="411D0000">
            <w:pPr>
              <w:widowControl w:val="1"/>
              <w:ind/>
              <w:contextualSpacing w:val="1"/>
              <w:jc w:val="center"/>
              <w:rPr>
                <w:sz w:val="22"/>
              </w:rPr>
            </w:pPr>
            <w:r>
              <w:rPr>
                <w:sz w:val="22"/>
              </w:rPr>
              <w:t>договор № 2368-МКД/н от 16.03.2018</w:t>
            </w:r>
          </w:p>
        </w:tc>
        <w:tc>
          <w:tcPr>
            <w:tcW w:type="dxa" w:w="1274"/>
            <w:tcBorders>
              <w:top w:color="000000" w:sz="4" w:val="single"/>
              <w:left w:color="000000" w:sz="4" w:val="single"/>
              <w:bottom w:color="000000" w:sz="4" w:val="single"/>
              <w:right w:color="000000" w:sz="4" w:val="single"/>
            </w:tcBorders>
            <w:shd w:fill="FFFFFF" w:val="clear"/>
            <w:vAlign w:val="center"/>
          </w:tcPr>
          <w:p w14:paraId="421D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431D0000">
            <w:pPr>
              <w:widowControl w:val="1"/>
              <w:ind/>
              <w:contextualSpacing w:val="1"/>
              <w:jc w:val="center"/>
              <w:rPr>
                <w:sz w:val="22"/>
              </w:rPr>
            </w:pPr>
            <w:r>
              <w:rPr>
                <w:sz w:val="22"/>
              </w:rPr>
              <w:t>оказание коммунальных услуг по холодному водоснабжению и водоотведению</w:t>
            </w:r>
          </w:p>
        </w:tc>
        <w:tc>
          <w:tcPr>
            <w:tcW w:type="dxa" w:w="1194"/>
            <w:tcBorders>
              <w:top w:color="000000" w:sz="4" w:val="single"/>
              <w:left w:color="000000" w:sz="4" w:val="single"/>
              <w:bottom w:color="000000" w:sz="4" w:val="single"/>
              <w:right w:color="000000" w:sz="4" w:val="single"/>
            </w:tcBorders>
            <w:shd w:fill="FFFFFF" w:val="clear"/>
            <w:vAlign w:val="center"/>
          </w:tcPr>
          <w:p w14:paraId="441D0000">
            <w:pPr>
              <w:widowControl w:val="1"/>
              <w:ind/>
              <w:contextualSpacing w:val="1"/>
              <w:jc w:val="center"/>
              <w:rPr>
                <w:sz w:val="22"/>
              </w:rPr>
            </w:pPr>
            <w:r>
              <w:rPr>
                <w:sz w:val="22"/>
              </w:rPr>
              <w:t>1333,94</w:t>
            </w:r>
          </w:p>
        </w:tc>
        <w:tc>
          <w:tcPr>
            <w:tcW w:type="dxa" w:w="1221"/>
            <w:tcBorders>
              <w:top w:color="000000" w:sz="4" w:val="single"/>
              <w:left w:color="000000" w:sz="4" w:val="single"/>
              <w:bottom w:color="000000" w:sz="4" w:val="single"/>
              <w:right w:color="000000" w:sz="4" w:val="single"/>
            </w:tcBorders>
            <w:shd w:fill="FFFFFF" w:val="clear"/>
            <w:vAlign w:val="center"/>
          </w:tcPr>
          <w:p w14:paraId="45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6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7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81D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491D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4A1D0000">
            <w:pPr>
              <w:widowControl w:val="1"/>
              <w:ind/>
              <w:contextualSpacing w:val="1"/>
              <w:jc w:val="center"/>
              <w:rPr>
                <w:sz w:val="22"/>
              </w:rPr>
            </w:pPr>
            <w:r>
              <w:rPr>
                <w:sz w:val="22"/>
              </w:rPr>
              <w:t>Размещение заказа у единственного поставщика, согласно пп. 6 п. 81  положения утвержденного СД 30.04.2015г. Протокол № 13</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4B1D0000">
            <w:pPr>
              <w:widowControl w:val="1"/>
              <w:ind/>
              <w:contextualSpacing w:val="1"/>
              <w:rPr>
                <w:color w:val="000000"/>
                <w:sz w:val="22"/>
              </w:rPr>
            </w:pPr>
            <w:r>
              <w:rPr>
                <w:color w:val="000000"/>
                <w:sz w:val="22"/>
              </w:rPr>
              <w:t>43</w:t>
            </w:r>
          </w:p>
        </w:tc>
        <w:tc>
          <w:tcPr>
            <w:tcW w:type="dxa" w:w="1408"/>
            <w:tcBorders>
              <w:top w:color="000000" w:sz="4" w:val="single"/>
              <w:left w:color="000000" w:sz="4" w:val="single"/>
              <w:bottom w:color="000000" w:sz="4" w:val="single"/>
              <w:right w:color="000000" w:sz="4" w:val="single"/>
            </w:tcBorders>
            <w:shd w:fill="FFFFFF" w:val="clear"/>
            <w:vAlign w:val="center"/>
          </w:tcPr>
          <w:p w14:paraId="4C1D0000">
            <w:pPr>
              <w:widowControl w:val="1"/>
              <w:ind/>
              <w:contextualSpacing w:val="1"/>
              <w:jc w:val="center"/>
              <w:rPr>
                <w:sz w:val="22"/>
              </w:rPr>
            </w:pPr>
            <w:r>
              <w:rPr>
                <w:sz w:val="22"/>
              </w:rPr>
              <w:t>ОАО "РЖД"</w:t>
            </w:r>
          </w:p>
        </w:tc>
        <w:tc>
          <w:tcPr>
            <w:tcW w:type="dxa" w:w="1408"/>
            <w:tcBorders>
              <w:top w:color="000000" w:sz="4" w:val="single"/>
              <w:left w:color="000000" w:sz="4" w:val="single"/>
              <w:bottom w:color="000000" w:sz="4" w:val="single"/>
              <w:right w:color="000000" w:sz="4" w:val="single"/>
            </w:tcBorders>
            <w:shd w:fill="FFFFFF" w:val="clear"/>
            <w:vAlign w:val="center"/>
          </w:tcPr>
          <w:p w14:paraId="4D1D0000">
            <w:pPr>
              <w:widowControl w:val="1"/>
              <w:ind/>
              <w:contextualSpacing w:val="1"/>
              <w:jc w:val="center"/>
              <w:rPr>
                <w:sz w:val="22"/>
              </w:rPr>
            </w:pPr>
            <w:r>
              <w:rPr>
                <w:sz w:val="22"/>
              </w:rPr>
              <w:t>лицензионный договор № 2773602 от 06.02.2018</w:t>
            </w:r>
          </w:p>
        </w:tc>
        <w:tc>
          <w:tcPr>
            <w:tcW w:type="dxa" w:w="1274"/>
            <w:tcBorders>
              <w:top w:color="000000" w:sz="4" w:val="single"/>
              <w:left w:color="000000" w:sz="4" w:val="single"/>
              <w:bottom w:color="000000" w:sz="4" w:val="single"/>
              <w:right w:color="000000" w:sz="4" w:val="single"/>
            </w:tcBorders>
            <w:shd w:fill="FFFFFF" w:val="clear"/>
            <w:vAlign w:val="center"/>
          </w:tcPr>
          <w:p w14:paraId="4E1D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4F1D0000">
            <w:pPr>
              <w:widowControl w:val="1"/>
              <w:ind/>
              <w:contextualSpacing w:val="1"/>
              <w:jc w:val="center"/>
              <w:rPr>
                <w:sz w:val="22"/>
              </w:rPr>
            </w:pPr>
            <w:r>
              <w:rPr>
                <w:sz w:val="22"/>
              </w:rPr>
              <w:t>предоставление права пользования товарным знаком РЖД</w:t>
            </w:r>
          </w:p>
        </w:tc>
        <w:tc>
          <w:tcPr>
            <w:tcW w:type="dxa" w:w="1194"/>
            <w:tcBorders>
              <w:top w:color="000000" w:sz="4" w:val="single"/>
              <w:left w:color="000000" w:sz="4" w:val="single"/>
              <w:bottom w:color="000000" w:sz="4" w:val="single"/>
              <w:right w:color="000000" w:sz="4" w:val="single"/>
            </w:tcBorders>
            <w:shd w:fill="FFFFFF" w:val="clear"/>
            <w:vAlign w:val="center"/>
          </w:tcPr>
          <w:p w14:paraId="501D0000">
            <w:pPr>
              <w:widowControl w:val="1"/>
              <w:ind/>
              <w:contextualSpacing w:val="1"/>
              <w:jc w:val="center"/>
              <w:rPr>
                <w:sz w:val="22"/>
              </w:rPr>
            </w:pPr>
            <w:r>
              <w:rPr>
                <w:sz w:val="22"/>
              </w:rPr>
              <w:t>400000</w:t>
            </w:r>
          </w:p>
        </w:tc>
        <w:tc>
          <w:tcPr>
            <w:tcW w:type="dxa" w:w="1221"/>
            <w:tcBorders>
              <w:top w:color="000000" w:sz="4" w:val="single"/>
              <w:left w:color="000000" w:sz="4" w:val="single"/>
              <w:bottom w:color="000000" w:sz="4" w:val="single"/>
              <w:right w:color="000000" w:sz="4" w:val="single"/>
            </w:tcBorders>
            <w:shd w:fill="FFFFFF" w:val="clear"/>
            <w:vAlign w:val="center"/>
          </w:tcPr>
          <w:p w14:paraId="51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2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3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41D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551D0000">
            <w:pPr>
              <w:widowControl w:val="1"/>
              <w:ind/>
              <w:contextualSpacing w:val="1"/>
              <w:jc w:val="center"/>
              <w:rPr>
                <w:sz w:val="22"/>
              </w:rPr>
            </w:pPr>
            <w:r>
              <w:rPr>
                <w:sz w:val="22"/>
              </w:rPr>
              <w:t>извещение о сделке направлено 15.01.2018, требование об одобрении сделки не поступило</w:t>
            </w:r>
          </w:p>
        </w:tc>
        <w:tc>
          <w:tcPr>
            <w:tcW w:type="dxa" w:w="1654"/>
            <w:tcBorders>
              <w:top w:color="000000" w:sz="4" w:val="single"/>
              <w:left w:color="000000" w:sz="4" w:val="single"/>
              <w:bottom w:color="000000" w:sz="4" w:val="single"/>
              <w:right w:color="000000" w:sz="4" w:val="single"/>
            </w:tcBorders>
            <w:shd w:fill="FFFFFF" w:val="clear"/>
            <w:vAlign w:val="center"/>
          </w:tcPr>
          <w:p w14:paraId="561D0000">
            <w:pPr>
              <w:widowControl w:val="1"/>
              <w:ind/>
              <w:contextualSpacing w:val="1"/>
              <w:jc w:val="center"/>
              <w:rPr>
                <w:sz w:val="22"/>
              </w:rPr>
            </w:pPr>
            <w:r>
              <w:rPr>
                <w:sz w:val="22"/>
              </w:rPr>
              <w:t>Размещение заказа у единственного поставщика, согласно пп. 35 п. 81  положения утвержденного СД 30.04.2015г. Протокол № 13</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571D0000">
            <w:pPr>
              <w:widowControl w:val="1"/>
              <w:ind/>
              <w:contextualSpacing w:val="1"/>
              <w:rPr>
                <w:color w:val="000000"/>
                <w:sz w:val="22"/>
              </w:rPr>
            </w:pPr>
            <w:r>
              <w:rPr>
                <w:color w:val="000000"/>
                <w:sz w:val="22"/>
              </w:rPr>
              <w:t>44</w:t>
            </w:r>
          </w:p>
        </w:tc>
        <w:tc>
          <w:tcPr>
            <w:tcW w:type="dxa" w:w="1408"/>
            <w:tcBorders>
              <w:top w:color="000000" w:sz="4" w:val="single"/>
              <w:left w:color="000000" w:sz="4" w:val="single"/>
              <w:bottom w:color="000000" w:sz="4" w:val="single"/>
              <w:right w:color="000000" w:sz="4" w:val="single"/>
            </w:tcBorders>
            <w:shd w:fill="FFFFFF" w:val="clear"/>
            <w:vAlign w:val="center"/>
          </w:tcPr>
          <w:p w14:paraId="581D0000">
            <w:pPr>
              <w:widowControl w:val="1"/>
              <w:ind/>
              <w:contextualSpacing w:val="1"/>
              <w:jc w:val="center"/>
              <w:rPr>
                <w:sz w:val="22"/>
              </w:rPr>
            </w:pPr>
            <w:r>
              <w:rPr>
                <w:sz w:val="22"/>
              </w:rPr>
              <w:t>ОАО "РЖД"</w:t>
            </w:r>
          </w:p>
        </w:tc>
        <w:tc>
          <w:tcPr>
            <w:tcW w:type="dxa" w:w="1408"/>
            <w:tcBorders>
              <w:top w:color="000000" w:sz="4" w:val="single"/>
              <w:left w:color="000000" w:sz="4" w:val="single"/>
              <w:bottom w:color="000000" w:sz="4" w:val="single"/>
              <w:right w:color="000000" w:sz="4" w:val="single"/>
            </w:tcBorders>
            <w:shd w:fill="FFFFFF" w:val="clear"/>
            <w:vAlign w:val="center"/>
          </w:tcPr>
          <w:p w14:paraId="591D0000">
            <w:pPr>
              <w:widowControl w:val="1"/>
              <w:ind/>
              <w:contextualSpacing w:val="1"/>
              <w:jc w:val="center"/>
              <w:rPr>
                <w:sz w:val="22"/>
              </w:rPr>
            </w:pPr>
            <w:r>
              <w:rPr>
                <w:sz w:val="22"/>
              </w:rPr>
              <w:t>лицензионный договор № 3174260 от 03.12.2018</w:t>
            </w:r>
          </w:p>
        </w:tc>
        <w:tc>
          <w:tcPr>
            <w:tcW w:type="dxa" w:w="1274"/>
            <w:tcBorders>
              <w:top w:color="000000" w:sz="4" w:val="single"/>
              <w:left w:color="000000" w:sz="4" w:val="single"/>
              <w:bottom w:color="000000" w:sz="4" w:val="single"/>
              <w:right w:color="000000" w:sz="4" w:val="single"/>
            </w:tcBorders>
            <w:shd w:fill="FFFFFF" w:val="clear"/>
            <w:vAlign w:val="center"/>
          </w:tcPr>
          <w:p w14:paraId="5A1D0000">
            <w:pPr>
              <w:widowControl w:val="1"/>
              <w:ind/>
              <w:contextualSpacing w:val="1"/>
              <w:jc w:val="center"/>
              <w:rPr>
                <w:sz w:val="22"/>
              </w:rPr>
            </w:pPr>
            <w:r>
              <w:rPr>
                <w:sz w:val="22"/>
              </w:rPr>
              <w:t>03.12.2018-31.12.2021</w:t>
            </w:r>
          </w:p>
        </w:tc>
        <w:tc>
          <w:tcPr>
            <w:tcW w:type="dxa" w:w="1556"/>
            <w:tcBorders>
              <w:top w:color="000000" w:sz="4" w:val="single"/>
              <w:left w:color="000000" w:sz="4" w:val="single"/>
              <w:bottom w:color="000000" w:sz="4" w:val="single"/>
              <w:right w:color="000000" w:sz="4" w:val="single"/>
            </w:tcBorders>
            <w:shd w:fill="FFFFFF" w:val="clear"/>
            <w:vAlign w:val="center"/>
          </w:tcPr>
          <w:p w14:paraId="5B1D0000">
            <w:pPr>
              <w:widowControl w:val="1"/>
              <w:ind/>
              <w:contextualSpacing w:val="1"/>
              <w:jc w:val="center"/>
              <w:rPr>
                <w:sz w:val="22"/>
              </w:rPr>
            </w:pPr>
            <w:r>
              <w:rPr>
                <w:sz w:val="22"/>
              </w:rPr>
              <w:t>Предоставление права использования товарного знака "РЖД"</w:t>
            </w:r>
          </w:p>
        </w:tc>
        <w:tc>
          <w:tcPr>
            <w:tcW w:type="dxa" w:w="1194"/>
            <w:tcBorders>
              <w:top w:color="000000" w:sz="4" w:val="single"/>
              <w:left w:color="000000" w:sz="4" w:val="single"/>
              <w:bottom w:color="000000" w:sz="4" w:val="single"/>
              <w:right w:color="000000" w:sz="4" w:val="single"/>
            </w:tcBorders>
            <w:shd w:fill="FFFFFF" w:val="clear"/>
            <w:vAlign w:val="center"/>
          </w:tcPr>
          <w:p w14:paraId="5C1D0000">
            <w:pPr>
              <w:widowControl w:val="1"/>
              <w:ind/>
              <w:contextualSpacing w:val="1"/>
              <w:jc w:val="center"/>
              <w:rPr>
                <w:sz w:val="22"/>
              </w:rPr>
            </w:pPr>
            <w:r>
              <w:rPr>
                <w:sz w:val="22"/>
              </w:rPr>
              <w:t>31200</w:t>
            </w:r>
          </w:p>
        </w:tc>
        <w:tc>
          <w:tcPr>
            <w:tcW w:type="dxa" w:w="1221"/>
            <w:tcBorders>
              <w:top w:color="000000" w:sz="4" w:val="single"/>
              <w:left w:color="000000" w:sz="4" w:val="single"/>
              <w:bottom w:color="000000" w:sz="4" w:val="single"/>
              <w:right w:color="000000" w:sz="4" w:val="single"/>
            </w:tcBorders>
            <w:shd w:fill="FFFFFF" w:val="clear"/>
            <w:vAlign w:val="center"/>
          </w:tcPr>
          <w:p w14:paraId="5D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E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F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01D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611D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654"/>
            <w:tcBorders>
              <w:top w:color="000000" w:sz="4" w:val="single"/>
              <w:left w:color="000000" w:sz="4" w:val="single"/>
              <w:bottom w:color="000000" w:sz="4" w:val="single"/>
              <w:right w:color="000000" w:sz="4" w:val="single"/>
            </w:tcBorders>
            <w:shd w:fill="FFFFFF" w:val="clear"/>
            <w:vAlign w:val="center"/>
          </w:tcPr>
          <w:p w14:paraId="621D0000">
            <w:pPr>
              <w:widowControl w:val="1"/>
              <w:ind/>
              <w:contextualSpacing w:val="1"/>
              <w:jc w:val="center"/>
              <w:rPr>
                <w:sz w:val="22"/>
              </w:rPr>
            </w:pPr>
            <w:r>
              <w:rPr>
                <w:sz w:val="22"/>
              </w:rPr>
              <w:t>Закупка у взаимозависимого лица (пп1 п2 ст. 105.1 НК РФ)</w:t>
            </w:r>
          </w:p>
        </w:tc>
      </w:tr>
      <w:tr>
        <w:trPr>
          <w:trHeight w:hRule="atLeast" w:val="664"/>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631D0000">
            <w:pPr>
              <w:widowControl w:val="1"/>
              <w:ind/>
              <w:contextualSpacing w:val="1"/>
              <w:jc w:val="center"/>
              <w:rPr>
                <w:color w:val="000000"/>
                <w:sz w:val="22"/>
              </w:rPr>
            </w:pPr>
            <w:r>
              <w:rPr>
                <w:color w:val="000000"/>
                <w:sz w:val="22"/>
              </w:rPr>
              <w:t>Итого по контрагенту ОАО "РЖД" 431200 руб.</w:t>
            </w:r>
          </w:p>
          <w:p w14:paraId="641D0000">
            <w:pPr>
              <w:widowControl w:val="1"/>
              <w:ind/>
              <w:contextualSpacing w:val="1"/>
              <w:jc w:val="center"/>
              <w:rPr>
                <w:sz w:val="22"/>
              </w:rPr>
            </w:pPr>
          </w:p>
        </w:tc>
      </w:tr>
      <w:tr>
        <w:trPr>
          <w:trHeight w:hRule="atLeast" w:val="1155"/>
        </w:trPr>
        <w:tc>
          <w:tcPr>
            <w:tcW w:type="dxa" w:w="528"/>
            <w:tcBorders>
              <w:top w:color="000000" w:sz="4" w:val="single"/>
              <w:left w:color="000000" w:sz="4" w:val="single"/>
              <w:bottom w:color="000000" w:sz="4" w:val="single"/>
              <w:right w:color="000000" w:sz="4" w:val="single"/>
            </w:tcBorders>
            <w:shd w:fill="FFFFFF" w:val="clear"/>
            <w:vAlign w:val="center"/>
          </w:tcPr>
          <w:p w14:paraId="651D0000">
            <w:pPr>
              <w:widowControl w:val="1"/>
              <w:ind/>
              <w:contextualSpacing w:val="1"/>
              <w:rPr>
                <w:color w:val="000000"/>
                <w:sz w:val="22"/>
              </w:rPr>
            </w:pPr>
            <w:r>
              <w:rPr>
                <w:color w:val="000000"/>
                <w:sz w:val="22"/>
              </w:rPr>
              <w:t>45</w:t>
            </w:r>
          </w:p>
        </w:tc>
        <w:tc>
          <w:tcPr>
            <w:tcW w:type="dxa" w:w="1408"/>
            <w:tcBorders>
              <w:top w:color="000000" w:sz="4" w:val="single"/>
              <w:left w:color="000000" w:sz="4" w:val="single"/>
              <w:bottom w:color="000000" w:sz="4" w:val="single"/>
              <w:right w:color="000000" w:sz="4" w:val="single"/>
            </w:tcBorders>
            <w:shd w:fill="FFFFFF" w:val="clear"/>
            <w:vAlign w:val="center"/>
          </w:tcPr>
          <w:p w14:paraId="661D0000">
            <w:pPr>
              <w:widowControl w:val="1"/>
              <w:ind/>
              <w:contextualSpacing w:val="1"/>
              <w:jc w:val="center"/>
              <w:rPr>
                <w:sz w:val="22"/>
              </w:rPr>
            </w:pPr>
            <w:r>
              <w:rPr>
                <w:sz w:val="22"/>
              </w:rPr>
              <w:t>ОАО "РЖД" Красноярская дирекция моторвагонного подвижного состава</w:t>
            </w:r>
          </w:p>
        </w:tc>
        <w:tc>
          <w:tcPr>
            <w:tcW w:type="dxa" w:w="1408"/>
            <w:tcBorders>
              <w:top w:color="000000" w:sz="4" w:val="single"/>
              <w:left w:color="000000" w:sz="4" w:val="single"/>
              <w:bottom w:color="000000" w:sz="4" w:val="single"/>
              <w:right w:color="000000" w:sz="4" w:val="single"/>
            </w:tcBorders>
            <w:shd w:fill="FFFFFF" w:val="clear"/>
            <w:vAlign w:val="center"/>
          </w:tcPr>
          <w:p w14:paraId="671D0000">
            <w:pPr>
              <w:widowControl w:val="1"/>
              <w:ind/>
              <w:contextualSpacing w:val="1"/>
              <w:jc w:val="center"/>
              <w:rPr>
                <w:sz w:val="22"/>
              </w:rPr>
            </w:pPr>
            <w:r>
              <w:rPr>
                <w:sz w:val="22"/>
              </w:rPr>
              <w:t>договор № 2781185 от 21.02.2018</w:t>
            </w:r>
          </w:p>
        </w:tc>
        <w:tc>
          <w:tcPr>
            <w:tcW w:type="dxa" w:w="1274"/>
            <w:tcBorders>
              <w:top w:color="000000" w:sz="4" w:val="single"/>
              <w:left w:color="000000" w:sz="4" w:val="single"/>
              <w:bottom w:color="000000" w:sz="4" w:val="single"/>
              <w:right w:color="000000" w:sz="4" w:val="single"/>
            </w:tcBorders>
            <w:shd w:fill="FFFFFF" w:val="clear"/>
            <w:vAlign w:val="center"/>
          </w:tcPr>
          <w:p w14:paraId="681D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691D0000">
            <w:pPr>
              <w:widowControl w:val="1"/>
              <w:ind/>
              <w:contextualSpacing w:val="1"/>
              <w:jc w:val="center"/>
              <w:rPr>
                <w:sz w:val="22"/>
              </w:rPr>
            </w:pPr>
            <w:r>
              <w:rPr>
                <w:sz w:val="22"/>
              </w:rPr>
              <w:t>оказание услуг по управлению и эксплуатации электропоездов ЭД9М №№ 0217, 0218, 0219</w:t>
            </w:r>
          </w:p>
        </w:tc>
        <w:tc>
          <w:tcPr>
            <w:tcW w:type="dxa" w:w="1194"/>
            <w:tcBorders>
              <w:top w:color="000000" w:sz="4" w:val="single"/>
              <w:left w:color="000000" w:sz="4" w:val="single"/>
              <w:bottom w:color="000000" w:sz="4" w:val="single"/>
              <w:right w:color="000000" w:sz="4" w:val="single"/>
            </w:tcBorders>
            <w:shd w:fill="FFFFFF" w:val="clear"/>
            <w:vAlign w:val="center"/>
          </w:tcPr>
          <w:p w14:paraId="6A1D0000">
            <w:pPr>
              <w:widowControl w:val="1"/>
              <w:ind/>
              <w:contextualSpacing w:val="1"/>
              <w:jc w:val="center"/>
              <w:rPr>
                <w:sz w:val="22"/>
              </w:rPr>
            </w:pPr>
            <w:r>
              <w:rPr>
                <w:sz w:val="22"/>
              </w:rPr>
              <w:t>17890417,45</w:t>
            </w:r>
          </w:p>
        </w:tc>
        <w:tc>
          <w:tcPr>
            <w:tcW w:type="dxa" w:w="1221"/>
            <w:tcBorders>
              <w:top w:color="000000" w:sz="4" w:val="single"/>
              <w:left w:color="000000" w:sz="4" w:val="single"/>
              <w:bottom w:color="000000" w:sz="4" w:val="single"/>
              <w:right w:color="000000" w:sz="4" w:val="single"/>
            </w:tcBorders>
            <w:shd w:fill="FFFFFF" w:val="clear"/>
            <w:vAlign w:val="center"/>
          </w:tcPr>
          <w:p w14:paraId="6B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C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D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E1D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6F1D0000">
            <w:pPr>
              <w:widowControl w:val="1"/>
              <w:ind/>
              <w:contextualSpacing w:val="1"/>
              <w:jc w:val="center"/>
              <w:rPr>
                <w:sz w:val="22"/>
              </w:rPr>
            </w:pPr>
            <w:r>
              <w:rPr>
                <w:sz w:val="22"/>
              </w:rPr>
              <w:t>извещение о сделке направлено 19.01.2018, требование об одобрении сделки не поступило</w:t>
            </w:r>
          </w:p>
        </w:tc>
        <w:tc>
          <w:tcPr>
            <w:tcW w:type="dxa" w:w="1654"/>
            <w:tcBorders>
              <w:top w:color="000000" w:sz="4" w:val="single"/>
              <w:left w:color="000000" w:sz="4" w:val="single"/>
              <w:bottom w:color="000000" w:sz="4" w:val="single"/>
              <w:right w:color="000000" w:sz="4" w:val="single"/>
            </w:tcBorders>
            <w:shd w:fill="FFFFFF" w:val="clear"/>
            <w:vAlign w:val="center"/>
          </w:tcPr>
          <w:p w14:paraId="701D0000">
            <w:pPr>
              <w:widowControl w:val="1"/>
              <w:ind/>
              <w:contextualSpacing w:val="1"/>
              <w:jc w:val="center"/>
              <w:rPr>
                <w:sz w:val="22"/>
              </w:rPr>
            </w:pPr>
            <w:r>
              <w:rPr>
                <w:sz w:val="22"/>
              </w:rPr>
              <w:t>Размещение заказа у единственного поставщика, согласно пп. 35 п. 81  положения утвержденного СД 30.04.2015г. Протокол № 13</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711D0000">
            <w:pPr>
              <w:widowControl w:val="1"/>
              <w:ind/>
              <w:contextualSpacing w:val="1"/>
              <w:rPr>
                <w:color w:val="000000"/>
                <w:sz w:val="22"/>
              </w:rPr>
            </w:pPr>
            <w:r>
              <w:rPr>
                <w:color w:val="000000"/>
                <w:sz w:val="22"/>
              </w:rPr>
              <w:t>46</w:t>
            </w:r>
          </w:p>
        </w:tc>
        <w:tc>
          <w:tcPr>
            <w:tcW w:type="dxa" w:w="1408"/>
            <w:tcBorders>
              <w:top w:color="000000" w:sz="4" w:val="single"/>
              <w:left w:color="000000" w:sz="4" w:val="single"/>
              <w:bottom w:color="000000" w:sz="4" w:val="single"/>
              <w:right w:color="000000" w:sz="4" w:val="single"/>
            </w:tcBorders>
            <w:shd w:fill="FFFFFF" w:val="clear"/>
            <w:vAlign w:val="center"/>
          </w:tcPr>
          <w:p w14:paraId="721D0000">
            <w:pPr>
              <w:widowControl w:val="1"/>
              <w:ind/>
              <w:contextualSpacing w:val="1"/>
              <w:jc w:val="center"/>
              <w:rPr>
                <w:sz w:val="22"/>
              </w:rPr>
            </w:pPr>
            <w:r>
              <w:rPr>
                <w:sz w:val="22"/>
              </w:rPr>
              <w:t>ОАО "РЖД" Красноярская дирекция моторвагонного подвижного состава</w:t>
            </w:r>
          </w:p>
        </w:tc>
        <w:tc>
          <w:tcPr>
            <w:tcW w:type="dxa" w:w="1408"/>
            <w:tcBorders>
              <w:top w:color="000000" w:sz="4" w:val="single"/>
              <w:left w:color="000000" w:sz="4" w:val="single"/>
              <w:bottom w:color="000000" w:sz="4" w:val="single"/>
              <w:right w:color="000000" w:sz="4" w:val="single"/>
            </w:tcBorders>
            <w:shd w:fill="FFFFFF" w:val="clear"/>
            <w:vAlign w:val="center"/>
          </w:tcPr>
          <w:p w14:paraId="731D0000">
            <w:pPr>
              <w:widowControl w:val="1"/>
              <w:ind/>
              <w:contextualSpacing w:val="1"/>
              <w:jc w:val="center"/>
              <w:rPr>
                <w:sz w:val="22"/>
              </w:rPr>
            </w:pPr>
            <w:r>
              <w:rPr>
                <w:sz w:val="22"/>
              </w:rPr>
              <w:t>договор № 2781098 от 26.02.2018</w:t>
            </w:r>
          </w:p>
        </w:tc>
        <w:tc>
          <w:tcPr>
            <w:tcW w:type="dxa" w:w="1274"/>
            <w:tcBorders>
              <w:top w:color="000000" w:sz="4" w:val="single"/>
              <w:left w:color="000000" w:sz="4" w:val="single"/>
              <w:bottom w:color="000000" w:sz="4" w:val="single"/>
              <w:right w:color="000000" w:sz="4" w:val="single"/>
            </w:tcBorders>
            <w:shd w:fill="FFFFFF" w:val="clear"/>
            <w:vAlign w:val="center"/>
          </w:tcPr>
          <w:p w14:paraId="741D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751D0000">
            <w:pPr>
              <w:widowControl w:val="1"/>
              <w:ind/>
              <w:contextualSpacing w:val="1"/>
              <w:jc w:val="center"/>
              <w:rPr>
                <w:sz w:val="22"/>
              </w:rPr>
            </w:pPr>
            <w:r>
              <w:rPr>
                <w:sz w:val="22"/>
              </w:rPr>
              <w:t>выполнение работ по ремонту и техническому обслуживанию электропоездов переменного тока ЭД9М №№ 0217, 0218, 0219</w:t>
            </w:r>
          </w:p>
        </w:tc>
        <w:tc>
          <w:tcPr>
            <w:tcW w:type="dxa" w:w="1194"/>
            <w:tcBorders>
              <w:top w:color="000000" w:sz="4" w:val="single"/>
              <w:left w:color="000000" w:sz="4" w:val="single"/>
              <w:bottom w:color="000000" w:sz="4" w:val="single"/>
              <w:right w:color="000000" w:sz="4" w:val="single"/>
            </w:tcBorders>
            <w:shd w:fill="FFFFFF" w:val="clear"/>
            <w:vAlign w:val="center"/>
          </w:tcPr>
          <w:p w14:paraId="761D0000">
            <w:pPr>
              <w:widowControl w:val="1"/>
              <w:ind/>
              <w:contextualSpacing w:val="1"/>
              <w:jc w:val="center"/>
              <w:rPr>
                <w:sz w:val="22"/>
              </w:rPr>
            </w:pPr>
            <w:r>
              <w:rPr>
                <w:sz w:val="22"/>
              </w:rPr>
              <w:t>9387186,85</w:t>
            </w:r>
          </w:p>
        </w:tc>
        <w:tc>
          <w:tcPr>
            <w:tcW w:type="dxa" w:w="1221"/>
            <w:tcBorders>
              <w:top w:color="000000" w:sz="4" w:val="single"/>
              <w:left w:color="000000" w:sz="4" w:val="single"/>
              <w:bottom w:color="000000" w:sz="4" w:val="single"/>
              <w:right w:color="000000" w:sz="4" w:val="single"/>
            </w:tcBorders>
            <w:shd w:fill="FFFFFF" w:val="clear"/>
            <w:vAlign w:val="center"/>
          </w:tcPr>
          <w:p w14:paraId="77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8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9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A1D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7B1D0000">
            <w:pPr>
              <w:widowControl w:val="1"/>
              <w:ind/>
              <w:contextualSpacing w:val="1"/>
              <w:jc w:val="center"/>
              <w:rPr>
                <w:sz w:val="22"/>
              </w:rPr>
            </w:pPr>
            <w:r>
              <w:rPr>
                <w:sz w:val="22"/>
              </w:rPr>
              <w:t>извещение о сделке направлено 19.01.2018, требование об одобрении сделки не поступило</w:t>
            </w:r>
          </w:p>
        </w:tc>
        <w:tc>
          <w:tcPr>
            <w:tcW w:type="dxa" w:w="1654"/>
            <w:tcBorders>
              <w:top w:color="000000" w:sz="4" w:val="single"/>
              <w:left w:color="000000" w:sz="4" w:val="single"/>
              <w:bottom w:color="000000" w:sz="4" w:val="single"/>
              <w:right w:color="000000" w:sz="4" w:val="single"/>
            </w:tcBorders>
            <w:shd w:fill="FFFFFF" w:val="clear"/>
            <w:vAlign w:val="center"/>
          </w:tcPr>
          <w:p w14:paraId="7C1D0000">
            <w:pPr>
              <w:widowControl w:val="1"/>
              <w:ind/>
              <w:contextualSpacing w:val="1"/>
              <w:jc w:val="center"/>
              <w:rPr>
                <w:sz w:val="22"/>
              </w:rPr>
            </w:pPr>
            <w:r>
              <w:rPr>
                <w:sz w:val="22"/>
              </w:rPr>
              <w:t>Размещение заказа у единственного поставщика, согласно пп. 35 п. 81  положения утвержденного СД 30.04.2015г. Протокол № 13</w:t>
            </w:r>
          </w:p>
        </w:tc>
      </w:tr>
      <w:tr>
        <w:trPr>
          <w:trHeight w:hRule="atLeast" w:val="2025"/>
        </w:trPr>
        <w:tc>
          <w:tcPr>
            <w:tcW w:type="dxa" w:w="528"/>
            <w:tcBorders>
              <w:top w:color="000000" w:sz="4" w:val="single"/>
              <w:left w:color="000000" w:sz="4" w:val="single"/>
              <w:bottom w:color="000000" w:sz="4" w:val="single"/>
              <w:right w:color="000000" w:sz="4" w:val="single"/>
            </w:tcBorders>
            <w:shd w:fill="FFFFFF" w:val="clear"/>
            <w:vAlign w:val="center"/>
          </w:tcPr>
          <w:p w14:paraId="7D1D0000">
            <w:pPr>
              <w:widowControl w:val="1"/>
              <w:ind/>
              <w:contextualSpacing w:val="1"/>
              <w:rPr>
                <w:color w:val="000000"/>
                <w:sz w:val="22"/>
              </w:rPr>
            </w:pPr>
            <w:r>
              <w:rPr>
                <w:color w:val="000000"/>
                <w:sz w:val="22"/>
              </w:rPr>
              <w:t>47</w:t>
            </w:r>
          </w:p>
        </w:tc>
        <w:tc>
          <w:tcPr>
            <w:tcW w:type="dxa" w:w="1408"/>
            <w:tcBorders>
              <w:top w:color="000000" w:sz="4" w:val="single"/>
              <w:left w:color="000000" w:sz="4" w:val="single"/>
              <w:bottom w:color="000000" w:sz="4" w:val="single"/>
              <w:right w:color="000000" w:sz="4" w:val="single"/>
            </w:tcBorders>
            <w:shd w:fill="FFFFFF" w:val="clear"/>
            <w:vAlign w:val="center"/>
          </w:tcPr>
          <w:p w14:paraId="7E1D0000">
            <w:pPr>
              <w:widowControl w:val="1"/>
              <w:ind/>
              <w:contextualSpacing w:val="1"/>
              <w:jc w:val="center"/>
              <w:rPr>
                <w:sz w:val="22"/>
              </w:rPr>
            </w:pPr>
            <w:r>
              <w:rPr>
                <w:sz w:val="22"/>
              </w:rPr>
              <w:t>ОАО "РЖД" Красноярская дирекция моторвагонного подвижного состава</w:t>
            </w:r>
          </w:p>
        </w:tc>
        <w:tc>
          <w:tcPr>
            <w:tcW w:type="dxa" w:w="1408"/>
            <w:tcBorders>
              <w:top w:color="000000" w:sz="4" w:val="single"/>
              <w:left w:color="000000" w:sz="4" w:val="single"/>
              <w:bottom w:color="000000" w:sz="4" w:val="single"/>
              <w:right w:color="000000" w:sz="4" w:val="single"/>
            </w:tcBorders>
            <w:shd w:fill="FFFFFF" w:val="clear"/>
            <w:vAlign w:val="center"/>
          </w:tcPr>
          <w:p w14:paraId="7F1D0000">
            <w:pPr>
              <w:widowControl w:val="1"/>
              <w:ind/>
              <w:contextualSpacing w:val="1"/>
              <w:jc w:val="center"/>
              <w:rPr>
                <w:sz w:val="22"/>
              </w:rPr>
            </w:pPr>
            <w:r>
              <w:rPr>
                <w:sz w:val="22"/>
              </w:rPr>
              <w:t>дополнительное соглашение № 1 к договору № 2781185 от 21.02.2018г. От 10.09.2018</w:t>
            </w:r>
          </w:p>
        </w:tc>
        <w:tc>
          <w:tcPr>
            <w:tcW w:type="dxa" w:w="1274"/>
            <w:tcBorders>
              <w:top w:color="000000" w:sz="4" w:val="single"/>
              <w:left w:color="000000" w:sz="4" w:val="single"/>
              <w:bottom w:color="000000" w:sz="4" w:val="single"/>
              <w:right w:color="000000" w:sz="4" w:val="single"/>
            </w:tcBorders>
            <w:shd w:fill="FFFFFF" w:val="clear"/>
            <w:vAlign w:val="center"/>
          </w:tcPr>
          <w:p w14:paraId="801D0000">
            <w:pPr>
              <w:widowControl w:val="1"/>
              <w:ind/>
              <w:contextualSpacing w:val="1"/>
              <w:jc w:val="center"/>
              <w:rPr>
                <w:sz w:val="22"/>
              </w:rPr>
            </w:pPr>
            <w:r>
              <w:rPr>
                <w:sz w:val="22"/>
              </w:rPr>
              <w:t>10.09.2018-31.03.2019</w:t>
            </w:r>
          </w:p>
        </w:tc>
        <w:tc>
          <w:tcPr>
            <w:tcW w:type="dxa" w:w="1556"/>
            <w:tcBorders>
              <w:top w:color="000000" w:sz="4" w:val="single"/>
              <w:left w:color="000000" w:sz="4" w:val="single"/>
              <w:bottom w:color="000000" w:sz="4" w:val="single"/>
              <w:right w:color="000000" w:sz="4" w:val="single"/>
            </w:tcBorders>
            <w:shd w:fill="FFFFFF" w:val="clear"/>
            <w:vAlign w:val="center"/>
          </w:tcPr>
          <w:p w14:paraId="811D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821D0000">
            <w:pPr>
              <w:widowControl w:val="1"/>
              <w:ind/>
              <w:contextualSpacing w:val="1"/>
              <w:jc w:val="center"/>
              <w:rPr>
                <w:sz w:val="22"/>
              </w:rPr>
            </w:pPr>
            <w:r>
              <w:rPr>
                <w:sz w:val="22"/>
              </w:rPr>
              <w:t>17890417,45</w:t>
            </w:r>
          </w:p>
        </w:tc>
        <w:tc>
          <w:tcPr>
            <w:tcW w:type="dxa" w:w="1221"/>
            <w:tcBorders>
              <w:top w:color="000000" w:sz="4" w:val="single"/>
              <w:left w:color="000000" w:sz="4" w:val="single"/>
              <w:bottom w:color="000000" w:sz="4" w:val="single"/>
              <w:right w:color="000000" w:sz="4" w:val="single"/>
            </w:tcBorders>
            <w:shd w:fill="FFFFFF" w:val="clear"/>
            <w:vAlign w:val="center"/>
          </w:tcPr>
          <w:p w14:paraId="83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4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5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61D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871D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654"/>
            <w:tcBorders>
              <w:top w:color="000000" w:sz="4" w:val="single"/>
              <w:left w:color="000000" w:sz="4" w:val="single"/>
              <w:bottom w:color="000000" w:sz="4" w:val="single"/>
              <w:right w:color="000000" w:sz="4" w:val="single"/>
            </w:tcBorders>
            <w:shd w:fill="FFFFFF" w:val="clear"/>
            <w:vAlign w:val="center"/>
          </w:tcPr>
          <w:p w14:paraId="881D0000">
            <w:pPr>
              <w:widowControl w:val="1"/>
              <w:ind/>
              <w:contextualSpacing w:val="1"/>
              <w:jc w:val="center"/>
              <w:rPr>
                <w:sz w:val="22"/>
              </w:rPr>
            </w:pPr>
            <w:r>
              <w:rPr>
                <w:sz w:val="22"/>
              </w:rPr>
              <w:t>не требуется</w:t>
            </w:r>
          </w:p>
        </w:tc>
      </w:tr>
      <w:tr>
        <w:trPr>
          <w:trHeight w:hRule="atLeast" w:val="2025"/>
        </w:trPr>
        <w:tc>
          <w:tcPr>
            <w:tcW w:type="dxa" w:w="528"/>
            <w:tcBorders>
              <w:top w:color="000000" w:sz="4" w:val="single"/>
              <w:left w:color="000000" w:sz="4" w:val="single"/>
              <w:bottom w:color="000000" w:sz="4" w:val="single"/>
              <w:right w:color="000000" w:sz="4" w:val="single"/>
            </w:tcBorders>
            <w:shd w:fill="FFFFFF" w:val="clear"/>
            <w:vAlign w:val="center"/>
          </w:tcPr>
          <w:p w14:paraId="891D0000">
            <w:pPr>
              <w:widowControl w:val="1"/>
              <w:ind/>
              <w:contextualSpacing w:val="1"/>
              <w:rPr>
                <w:color w:val="000000"/>
                <w:sz w:val="22"/>
              </w:rPr>
            </w:pPr>
            <w:r>
              <w:rPr>
                <w:color w:val="000000"/>
                <w:sz w:val="22"/>
              </w:rPr>
              <w:t>48</w:t>
            </w:r>
          </w:p>
        </w:tc>
        <w:tc>
          <w:tcPr>
            <w:tcW w:type="dxa" w:w="1408"/>
            <w:tcBorders>
              <w:top w:color="000000" w:sz="4" w:val="single"/>
              <w:left w:color="000000" w:sz="4" w:val="single"/>
              <w:bottom w:color="000000" w:sz="4" w:val="single"/>
              <w:right w:color="000000" w:sz="4" w:val="single"/>
            </w:tcBorders>
            <w:shd w:fill="FFFFFF" w:val="clear"/>
            <w:vAlign w:val="center"/>
          </w:tcPr>
          <w:p w14:paraId="8A1D0000">
            <w:pPr>
              <w:widowControl w:val="1"/>
              <w:ind/>
              <w:contextualSpacing w:val="1"/>
              <w:jc w:val="center"/>
              <w:rPr>
                <w:sz w:val="22"/>
              </w:rPr>
            </w:pPr>
            <w:r>
              <w:rPr>
                <w:sz w:val="22"/>
              </w:rPr>
              <w:t>ОАО "РЖД" Красноярская дирекция моторвагонного подвижного состава</w:t>
            </w:r>
          </w:p>
        </w:tc>
        <w:tc>
          <w:tcPr>
            <w:tcW w:type="dxa" w:w="1408"/>
            <w:tcBorders>
              <w:top w:color="000000" w:sz="4" w:val="single"/>
              <w:left w:color="000000" w:sz="4" w:val="single"/>
              <w:bottom w:color="000000" w:sz="4" w:val="single"/>
              <w:right w:color="000000" w:sz="4" w:val="single"/>
            </w:tcBorders>
            <w:shd w:fill="FFFFFF" w:val="clear"/>
            <w:vAlign w:val="center"/>
          </w:tcPr>
          <w:p w14:paraId="8B1D0000">
            <w:pPr>
              <w:widowControl w:val="1"/>
              <w:ind/>
              <w:contextualSpacing w:val="1"/>
              <w:jc w:val="center"/>
              <w:rPr>
                <w:sz w:val="22"/>
              </w:rPr>
            </w:pPr>
            <w:r>
              <w:rPr>
                <w:sz w:val="22"/>
              </w:rPr>
              <w:t>дополнительное соглашение № 1 к договору № 2781098 от 26.02.2018 от 10.09.2018</w:t>
            </w:r>
          </w:p>
        </w:tc>
        <w:tc>
          <w:tcPr>
            <w:tcW w:type="dxa" w:w="1274"/>
            <w:tcBorders>
              <w:top w:color="000000" w:sz="4" w:val="single"/>
              <w:left w:color="000000" w:sz="4" w:val="single"/>
              <w:bottom w:color="000000" w:sz="4" w:val="single"/>
              <w:right w:color="000000" w:sz="4" w:val="single"/>
            </w:tcBorders>
            <w:shd w:fill="FFFFFF" w:val="clear"/>
            <w:vAlign w:val="center"/>
          </w:tcPr>
          <w:p w14:paraId="8C1D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8D1D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8E1D0000">
            <w:pPr>
              <w:widowControl w:val="1"/>
              <w:ind/>
              <w:contextualSpacing w:val="1"/>
              <w:jc w:val="center"/>
              <w:rPr>
                <w:sz w:val="22"/>
              </w:rPr>
            </w:pPr>
            <w:r>
              <w:rPr>
                <w:sz w:val="22"/>
              </w:rPr>
              <w:t>9387186,85</w:t>
            </w:r>
          </w:p>
        </w:tc>
        <w:tc>
          <w:tcPr>
            <w:tcW w:type="dxa" w:w="1221"/>
            <w:tcBorders>
              <w:top w:color="000000" w:sz="4" w:val="single"/>
              <w:left w:color="000000" w:sz="4" w:val="single"/>
              <w:bottom w:color="000000" w:sz="4" w:val="single"/>
              <w:right w:color="000000" w:sz="4" w:val="single"/>
            </w:tcBorders>
            <w:shd w:fill="FFFFFF" w:val="clear"/>
            <w:vAlign w:val="center"/>
          </w:tcPr>
          <w:p w14:paraId="8F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0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1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21D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931D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654"/>
            <w:tcBorders>
              <w:top w:color="000000" w:sz="4" w:val="single"/>
              <w:left w:color="000000" w:sz="4" w:val="single"/>
              <w:bottom w:color="000000" w:sz="4" w:val="single"/>
              <w:right w:color="000000" w:sz="4" w:val="single"/>
            </w:tcBorders>
            <w:shd w:fill="FFFFFF" w:val="clear"/>
            <w:vAlign w:val="center"/>
          </w:tcPr>
          <w:p w14:paraId="941D0000">
            <w:pPr>
              <w:widowControl w:val="1"/>
              <w:ind/>
              <w:contextualSpacing w:val="1"/>
              <w:jc w:val="center"/>
              <w:rPr>
                <w:sz w:val="22"/>
              </w:rPr>
            </w:pPr>
            <w:r>
              <w:rPr>
                <w:sz w:val="22"/>
              </w:rPr>
              <w:t>не требуется</w:t>
            </w:r>
          </w:p>
        </w:tc>
      </w:tr>
      <w:tr>
        <w:trPr>
          <w:trHeight w:hRule="atLeast" w:val="480"/>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951D0000">
            <w:pPr>
              <w:widowControl w:val="1"/>
              <w:ind/>
              <w:contextualSpacing w:val="1"/>
              <w:jc w:val="center"/>
              <w:rPr>
                <w:color w:val="000000"/>
                <w:sz w:val="22"/>
              </w:rPr>
            </w:pPr>
            <w:r>
              <w:rPr>
                <w:color w:val="000000"/>
                <w:sz w:val="22"/>
              </w:rPr>
              <w:t>Итого по контрагенту ОАО "РЖД" Красноярская дирекция моторвагонного подвижного состава 27277604,3 руб.</w:t>
            </w:r>
          </w:p>
          <w:p w14:paraId="961D0000">
            <w:pPr>
              <w:widowControl w:val="1"/>
              <w:ind/>
              <w:contextualSpacing w:val="1"/>
              <w:jc w:val="center"/>
              <w:rPr>
                <w:color w:val="000000"/>
                <w:sz w:val="22"/>
              </w:rPr>
            </w:pP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971D0000">
            <w:pPr>
              <w:widowControl w:val="1"/>
              <w:ind/>
              <w:contextualSpacing w:val="1"/>
              <w:rPr>
                <w:color w:val="000000"/>
                <w:sz w:val="22"/>
              </w:rPr>
            </w:pPr>
            <w:r>
              <w:rPr>
                <w:color w:val="000000"/>
                <w:sz w:val="22"/>
              </w:rPr>
              <w:t>49</w:t>
            </w:r>
          </w:p>
        </w:tc>
        <w:tc>
          <w:tcPr>
            <w:tcW w:type="dxa" w:w="1408"/>
            <w:tcBorders>
              <w:top w:color="000000" w:sz="4" w:val="single"/>
              <w:left w:color="000000" w:sz="4" w:val="single"/>
              <w:bottom w:color="000000" w:sz="4" w:val="single"/>
              <w:right w:color="000000" w:sz="4" w:val="single"/>
            </w:tcBorders>
            <w:shd w:fill="FFFFFF" w:val="clear"/>
            <w:vAlign w:val="center"/>
          </w:tcPr>
          <w:p w14:paraId="981D0000">
            <w:pPr>
              <w:widowControl w:val="1"/>
              <w:ind/>
              <w:contextualSpacing w:val="1"/>
              <w:jc w:val="center"/>
              <w:rPr>
                <w:sz w:val="22"/>
              </w:rPr>
            </w:pPr>
            <w:r>
              <w:rPr>
                <w:sz w:val="22"/>
              </w:rPr>
              <w:t>ОАО "РЖД" Красноярская дирекция тяги</w:t>
            </w:r>
          </w:p>
        </w:tc>
        <w:tc>
          <w:tcPr>
            <w:tcW w:type="dxa" w:w="1408"/>
            <w:tcBorders>
              <w:top w:color="000000" w:sz="4" w:val="single"/>
              <w:left w:color="000000" w:sz="4" w:val="single"/>
              <w:bottom w:color="000000" w:sz="4" w:val="single"/>
              <w:right w:color="000000" w:sz="4" w:val="single"/>
            </w:tcBorders>
            <w:shd w:fill="FFFFFF" w:val="clear"/>
            <w:vAlign w:val="center"/>
          </w:tcPr>
          <w:p w14:paraId="991D0000">
            <w:pPr>
              <w:widowControl w:val="1"/>
              <w:ind/>
              <w:contextualSpacing w:val="1"/>
              <w:jc w:val="center"/>
              <w:rPr>
                <w:sz w:val="22"/>
              </w:rPr>
            </w:pPr>
            <w:r>
              <w:rPr>
                <w:sz w:val="22"/>
              </w:rPr>
              <w:t>договор № 2797198 от 26.02.2018</w:t>
            </w:r>
          </w:p>
        </w:tc>
        <w:tc>
          <w:tcPr>
            <w:tcW w:type="dxa" w:w="1274"/>
            <w:tcBorders>
              <w:top w:color="000000" w:sz="4" w:val="single"/>
              <w:left w:color="000000" w:sz="4" w:val="single"/>
              <w:bottom w:color="000000" w:sz="4" w:val="single"/>
              <w:right w:color="000000" w:sz="4" w:val="single"/>
            </w:tcBorders>
            <w:shd w:fill="FFFFFF" w:val="clear"/>
            <w:vAlign w:val="center"/>
          </w:tcPr>
          <w:p w14:paraId="9A1D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9B1D0000">
            <w:pPr>
              <w:widowControl w:val="1"/>
              <w:ind/>
              <w:contextualSpacing w:val="1"/>
              <w:jc w:val="center"/>
              <w:rPr>
                <w:sz w:val="22"/>
              </w:rPr>
            </w:pPr>
            <w:r>
              <w:rPr>
                <w:sz w:val="22"/>
              </w:rPr>
              <w:t>оказание услуг по обеспечению дизельным топливом локомотивов</w:t>
            </w:r>
          </w:p>
        </w:tc>
        <w:tc>
          <w:tcPr>
            <w:tcW w:type="dxa" w:w="1194"/>
            <w:tcBorders>
              <w:top w:color="000000" w:sz="4" w:val="single"/>
              <w:left w:color="000000" w:sz="4" w:val="single"/>
              <w:bottom w:color="000000" w:sz="4" w:val="single"/>
              <w:right w:color="000000" w:sz="4" w:val="single"/>
            </w:tcBorders>
            <w:shd w:fill="FFFFFF" w:val="clear"/>
            <w:vAlign w:val="center"/>
          </w:tcPr>
          <w:p w14:paraId="9C1D0000">
            <w:pPr>
              <w:widowControl w:val="1"/>
              <w:ind/>
              <w:contextualSpacing w:val="1"/>
              <w:jc w:val="center"/>
              <w:rPr>
                <w:sz w:val="22"/>
              </w:rPr>
            </w:pPr>
            <w:r>
              <w:rPr>
                <w:sz w:val="22"/>
              </w:rPr>
              <w:t>17826762,54</w:t>
            </w:r>
          </w:p>
        </w:tc>
        <w:tc>
          <w:tcPr>
            <w:tcW w:type="dxa" w:w="1221"/>
            <w:tcBorders>
              <w:top w:color="000000" w:sz="4" w:val="single"/>
              <w:left w:color="000000" w:sz="4" w:val="single"/>
              <w:bottom w:color="000000" w:sz="4" w:val="single"/>
              <w:right w:color="000000" w:sz="4" w:val="single"/>
            </w:tcBorders>
            <w:shd w:fill="FFFFFF" w:val="clear"/>
            <w:vAlign w:val="center"/>
          </w:tcPr>
          <w:p w14:paraId="9D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E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F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01D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A11D0000">
            <w:pPr>
              <w:widowControl w:val="1"/>
              <w:ind/>
              <w:contextualSpacing w:val="1"/>
              <w:jc w:val="center"/>
              <w:rPr>
                <w:sz w:val="22"/>
              </w:rPr>
            </w:pPr>
            <w:r>
              <w:rPr>
                <w:sz w:val="22"/>
              </w:rPr>
              <w:t>извещение о сделке направлено 01.02.2018, требование об одобрении сделки не поступило</w:t>
            </w:r>
          </w:p>
        </w:tc>
        <w:tc>
          <w:tcPr>
            <w:tcW w:type="dxa" w:w="1654"/>
            <w:tcBorders>
              <w:top w:color="000000" w:sz="4" w:val="single"/>
              <w:left w:color="000000" w:sz="4" w:val="single"/>
              <w:bottom w:color="000000" w:sz="4" w:val="single"/>
              <w:right w:color="000000" w:sz="4" w:val="single"/>
            </w:tcBorders>
            <w:shd w:fill="FFFFFF" w:val="clear"/>
            <w:vAlign w:val="center"/>
          </w:tcPr>
          <w:p w14:paraId="A21D0000">
            <w:pPr>
              <w:widowControl w:val="1"/>
              <w:ind/>
              <w:contextualSpacing w:val="1"/>
              <w:jc w:val="center"/>
              <w:rPr>
                <w:sz w:val="22"/>
              </w:rPr>
            </w:pPr>
            <w:r>
              <w:rPr>
                <w:sz w:val="22"/>
              </w:rPr>
              <w:t>Размещение заказа у единственного поставщика, согласно пп. 35 п. 81  положения утвержденного СД 30.04.2015г. Протокол № 13</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A31D0000">
            <w:pPr>
              <w:widowControl w:val="1"/>
              <w:ind/>
              <w:contextualSpacing w:val="1"/>
              <w:rPr>
                <w:color w:val="000000"/>
                <w:sz w:val="22"/>
              </w:rPr>
            </w:pPr>
            <w:r>
              <w:rPr>
                <w:color w:val="000000"/>
                <w:sz w:val="22"/>
              </w:rPr>
              <w:t>50</w:t>
            </w:r>
          </w:p>
        </w:tc>
        <w:tc>
          <w:tcPr>
            <w:tcW w:type="dxa" w:w="1408"/>
            <w:tcBorders>
              <w:top w:color="000000" w:sz="4" w:val="single"/>
              <w:left w:color="000000" w:sz="4" w:val="single"/>
              <w:bottom w:color="000000" w:sz="4" w:val="single"/>
              <w:right w:color="000000" w:sz="4" w:val="single"/>
            </w:tcBorders>
            <w:shd w:fill="FFFFFF" w:val="clear"/>
            <w:vAlign w:val="center"/>
          </w:tcPr>
          <w:p w14:paraId="A41D0000">
            <w:pPr>
              <w:widowControl w:val="1"/>
              <w:ind/>
              <w:contextualSpacing w:val="1"/>
              <w:jc w:val="center"/>
              <w:rPr>
                <w:sz w:val="22"/>
              </w:rPr>
            </w:pPr>
            <w:r>
              <w:rPr>
                <w:sz w:val="22"/>
              </w:rPr>
              <w:t>ОАО "РЖД" Красноярская дирекция тяги</w:t>
            </w:r>
          </w:p>
        </w:tc>
        <w:tc>
          <w:tcPr>
            <w:tcW w:type="dxa" w:w="1408"/>
            <w:tcBorders>
              <w:top w:color="000000" w:sz="4" w:val="single"/>
              <w:left w:color="000000" w:sz="4" w:val="single"/>
              <w:bottom w:color="000000" w:sz="4" w:val="single"/>
              <w:right w:color="000000" w:sz="4" w:val="single"/>
            </w:tcBorders>
            <w:shd w:fill="FFFFFF" w:val="clear"/>
            <w:vAlign w:val="center"/>
          </w:tcPr>
          <w:p w14:paraId="A51D0000">
            <w:pPr>
              <w:widowControl w:val="1"/>
              <w:ind/>
              <w:contextualSpacing w:val="1"/>
              <w:jc w:val="center"/>
              <w:rPr>
                <w:sz w:val="22"/>
              </w:rPr>
            </w:pPr>
            <w:r>
              <w:rPr>
                <w:sz w:val="22"/>
              </w:rPr>
              <w:t>договор № 2797155 от 26.02.2018</w:t>
            </w:r>
          </w:p>
        </w:tc>
        <w:tc>
          <w:tcPr>
            <w:tcW w:type="dxa" w:w="1274"/>
            <w:tcBorders>
              <w:top w:color="000000" w:sz="4" w:val="single"/>
              <w:left w:color="000000" w:sz="4" w:val="single"/>
              <w:bottom w:color="000000" w:sz="4" w:val="single"/>
              <w:right w:color="000000" w:sz="4" w:val="single"/>
            </w:tcBorders>
            <w:shd w:fill="FFFFFF" w:val="clear"/>
            <w:vAlign w:val="center"/>
          </w:tcPr>
          <w:p w14:paraId="A61D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A71D0000">
            <w:pPr>
              <w:widowControl w:val="1"/>
              <w:ind/>
              <w:contextualSpacing w:val="1"/>
              <w:jc w:val="center"/>
              <w:rPr>
                <w:sz w:val="22"/>
              </w:rPr>
            </w:pPr>
            <w:r>
              <w:rPr>
                <w:sz w:val="22"/>
              </w:rPr>
              <w:t>аренда локомотивов с экипажем</w:t>
            </w:r>
          </w:p>
        </w:tc>
        <w:tc>
          <w:tcPr>
            <w:tcW w:type="dxa" w:w="1194"/>
            <w:tcBorders>
              <w:top w:color="000000" w:sz="4" w:val="single"/>
              <w:left w:color="000000" w:sz="4" w:val="single"/>
              <w:bottom w:color="000000" w:sz="4" w:val="single"/>
              <w:right w:color="000000" w:sz="4" w:val="single"/>
            </w:tcBorders>
            <w:shd w:fill="FFFFFF" w:val="clear"/>
            <w:vAlign w:val="center"/>
          </w:tcPr>
          <w:p w14:paraId="A81D0000">
            <w:pPr>
              <w:widowControl w:val="1"/>
              <w:ind/>
              <w:contextualSpacing w:val="1"/>
              <w:jc w:val="center"/>
              <w:rPr>
                <w:sz w:val="22"/>
              </w:rPr>
            </w:pPr>
            <w:r>
              <w:rPr>
                <w:sz w:val="22"/>
              </w:rPr>
              <w:t>35612238,15</w:t>
            </w:r>
          </w:p>
        </w:tc>
        <w:tc>
          <w:tcPr>
            <w:tcW w:type="dxa" w:w="1221"/>
            <w:tcBorders>
              <w:top w:color="000000" w:sz="4" w:val="single"/>
              <w:left w:color="000000" w:sz="4" w:val="single"/>
              <w:bottom w:color="000000" w:sz="4" w:val="single"/>
              <w:right w:color="000000" w:sz="4" w:val="single"/>
            </w:tcBorders>
            <w:shd w:fill="FFFFFF" w:val="clear"/>
            <w:vAlign w:val="center"/>
          </w:tcPr>
          <w:p w14:paraId="A9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A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B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C1D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AD1D0000">
            <w:pPr>
              <w:widowControl w:val="1"/>
              <w:ind/>
              <w:contextualSpacing w:val="1"/>
              <w:jc w:val="center"/>
              <w:rPr>
                <w:sz w:val="22"/>
              </w:rPr>
            </w:pPr>
            <w:r>
              <w:rPr>
                <w:sz w:val="22"/>
              </w:rPr>
              <w:t>извещение о сделке направлено 01.02.2018, требование об одобрении сделки не поступило</w:t>
            </w:r>
          </w:p>
        </w:tc>
        <w:tc>
          <w:tcPr>
            <w:tcW w:type="dxa" w:w="1654"/>
            <w:tcBorders>
              <w:top w:color="000000" w:sz="4" w:val="single"/>
              <w:left w:color="000000" w:sz="4" w:val="single"/>
              <w:bottom w:color="000000" w:sz="4" w:val="single"/>
              <w:right w:color="000000" w:sz="4" w:val="single"/>
            </w:tcBorders>
            <w:shd w:fill="FFFFFF" w:val="clear"/>
            <w:vAlign w:val="center"/>
          </w:tcPr>
          <w:p w14:paraId="AE1D0000">
            <w:pPr>
              <w:widowControl w:val="1"/>
              <w:ind/>
              <w:contextualSpacing w:val="1"/>
              <w:jc w:val="center"/>
              <w:rPr>
                <w:sz w:val="22"/>
              </w:rPr>
            </w:pPr>
            <w:r>
              <w:rPr>
                <w:sz w:val="22"/>
              </w:rPr>
              <w:t>Размещение заказа у единственного поставщика, согласно пп. 35 п. 81  положения утвержденного СД 30.04.2015г. Протокол № 13</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AF1D0000">
            <w:pPr>
              <w:widowControl w:val="1"/>
              <w:ind/>
              <w:contextualSpacing w:val="1"/>
              <w:rPr>
                <w:color w:val="000000"/>
                <w:sz w:val="22"/>
              </w:rPr>
            </w:pPr>
            <w:r>
              <w:rPr>
                <w:color w:val="000000"/>
                <w:sz w:val="22"/>
              </w:rPr>
              <w:t>51</w:t>
            </w:r>
          </w:p>
        </w:tc>
        <w:tc>
          <w:tcPr>
            <w:tcW w:type="dxa" w:w="1408"/>
            <w:tcBorders>
              <w:top w:color="000000" w:sz="4" w:val="single"/>
              <w:left w:color="000000" w:sz="4" w:val="single"/>
              <w:bottom w:color="000000" w:sz="4" w:val="single"/>
              <w:right w:color="000000" w:sz="4" w:val="single"/>
            </w:tcBorders>
            <w:shd w:fill="FFFFFF" w:val="clear"/>
            <w:vAlign w:val="center"/>
          </w:tcPr>
          <w:p w14:paraId="B01D0000">
            <w:pPr>
              <w:widowControl w:val="1"/>
              <w:ind/>
              <w:contextualSpacing w:val="1"/>
              <w:jc w:val="center"/>
              <w:rPr>
                <w:sz w:val="22"/>
              </w:rPr>
            </w:pPr>
            <w:r>
              <w:rPr>
                <w:sz w:val="22"/>
              </w:rPr>
              <w:t>ОАО "РЖД" Красноярская дирекция тяги</w:t>
            </w:r>
          </w:p>
        </w:tc>
        <w:tc>
          <w:tcPr>
            <w:tcW w:type="dxa" w:w="1408"/>
            <w:tcBorders>
              <w:top w:color="000000" w:sz="4" w:val="single"/>
              <w:left w:color="000000" w:sz="4" w:val="single"/>
              <w:bottom w:color="000000" w:sz="4" w:val="single"/>
              <w:right w:color="000000" w:sz="4" w:val="single"/>
            </w:tcBorders>
            <w:shd w:fill="FFFFFF" w:val="clear"/>
            <w:vAlign w:val="center"/>
          </w:tcPr>
          <w:p w14:paraId="B11D0000">
            <w:pPr>
              <w:widowControl w:val="1"/>
              <w:ind/>
              <w:contextualSpacing w:val="1"/>
              <w:jc w:val="center"/>
              <w:rPr>
                <w:sz w:val="22"/>
              </w:rPr>
            </w:pPr>
            <w:r>
              <w:rPr>
                <w:sz w:val="22"/>
              </w:rPr>
              <w:t>дополнительное соглашение № 1 к договору № 2797198 от 26.02.2018 от 28.12.2018</w:t>
            </w:r>
          </w:p>
        </w:tc>
        <w:tc>
          <w:tcPr>
            <w:tcW w:type="dxa" w:w="1274"/>
            <w:tcBorders>
              <w:top w:color="000000" w:sz="4" w:val="single"/>
              <w:left w:color="000000" w:sz="4" w:val="single"/>
              <w:bottom w:color="000000" w:sz="4" w:val="single"/>
              <w:right w:color="000000" w:sz="4" w:val="single"/>
            </w:tcBorders>
            <w:shd w:fill="FFFFFF" w:val="clear"/>
            <w:vAlign w:val="center"/>
          </w:tcPr>
          <w:p w14:paraId="B21D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B31D0000">
            <w:pPr>
              <w:widowControl w:val="1"/>
              <w:ind/>
              <w:contextualSpacing w:val="1"/>
              <w:jc w:val="center"/>
              <w:rPr>
                <w:sz w:val="22"/>
              </w:rPr>
            </w:pPr>
            <w:r>
              <w:rPr>
                <w:sz w:val="22"/>
              </w:rPr>
              <w:t>увеличение предельной цены договора на оказание услуг по обеспечению дизельным топливом локомотивов</w:t>
            </w:r>
          </w:p>
        </w:tc>
        <w:tc>
          <w:tcPr>
            <w:tcW w:type="dxa" w:w="1194"/>
            <w:tcBorders>
              <w:top w:color="000000" w:sz="4" w:val="single"/>
              <w:left w:color="000000" w:sz="4" w:val="single"/>
              <w:bottom w:color="000000" w:sz="4" w:val="single"/>
              <w:right w:color="000000" w:sz="4" w:val="single"/>
            </w:tcBorders>
            <w:shd w:fill="FFFFFF" w:val="clear"/>
            <w:vAlign w:val="center"/>
          </w:tcPr>
          <w:p w14:paraId="B41D0000">
            <w:pPr>
              <w:widowControl w:val="1"/>
              <w:ind/>
              <w:contextualSpacing w:val="1"/>
              <w:jc w:val="center"/>
              <w:rPr>
                <w:sz w:val="22"/>
              </w:rPr>
            </w:pPr>
            <w:r>
              <w:rPr>
                <w:sz w:val="22"/>
              </w:rPr>
              <w:t>19747965,15</w:t>
            </w:r>
          </w:p>
        </w:tc>
        <w:tc>
          <w:tcPr>
            <w:tcW w:type="dxa" w:w="1221"/>
            <w:tcBorders>
              <w:top w:color="000000" w:sz="4" w:val="single"/>
              <w:left w:color="000000" w:sz="4" w:val="single"/>
              <w:bottom w:color="000000" w:sz="4" w:val="single"/>
              <w:right w:color="000000" w:sz="4" w:val="single"/>
            </w:tcBorders>
            <w:shd w:fill="FFFFFF" w:val="clear"/>
            <w:vAlign w:val="center"/>
          </w:tcPr>
          <w:p w14:paraId="B5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6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7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81D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B91D0000">
            <w:pPr>
              <w:widowControl w:val="1"/>
              <w:ind/>
              <w:contextualSpacing w:val="1"/>
              <w:jc w:val="center"/>
              <w:rPr>
                <w:sz w:val="22"/>
              </w:rPr>
            </w:pPr>
            <w:r>
              <w:rPr>
                <w:sz w:val="22"/>
              </w:rPr>
              <w:t>извещение о сделке направлено 13.12.2018г, требование об одобрении сделки не поступило</w:t>
            </w:r>
          </w:p>
        </w:tc>
        <w:tc>
          <w:tcPr>
            <w:tcW w:type="dxa" w:w="1654"/>
            <w:tcBorders>
              <w:top w:color="000000" w:sz="4" w:val="single"/>
              <w:left w:color="000000" w:sz="4" w:val="single"/>
              <w:bottom w:color="000000" w:sz="4" w:val="single"/>
              <w:right w:color="000000" w:sz="4" w:val="single"/>
            </w:tcBorders>
            <w:shd w:fill="FFFFFF" w:val="clear"/>
            <w:vAlign w:val="center"/>
          </w:tcPr>
          <w:p w14:paraId="BA1D0000">
            <w:pPr>
              <w:widowControl w:val="1"/>
              <w:ind/>
              <w:contextualSpacing w:val="1"/>
              <w:jc w:val="center"/>
              <w:rPr>
                <w:sz w:val="22"/>
              </w:rPr>
            </w:pPr>
            <w:r>
              <w:rPr>
                <w:sz w:val="22"/>
              </w:rPr>
              <w:t>Закупка у взаимозависимого лица (пп1 п2 ст. 105.1 НК РФ)</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BB1D0000">
            <w:pPr>
              <w:widowControl w:val="1"/>
              <w:ind/>
              <w:contextualSpacing w:val="1"/>
              <w:jc w:val="center"/>
              <w:rPr>
                <w:color w:val="000000"/>
                <w:sz w:val="22"/>
              </w:rPr>
            </w:pPr>
            <w:r>
              <w:rPr>
                <w:color w:val="000000"/>
                <w:sz w:val="22"/>
              </w:rPr>
              <w:t>Итого по контрагенту ОАО "РЖД" Красноярская дирекция тяги 55360203,3 руб.</w:t>
            </w:r>
          </w:p>
          <w:p w14:paraId="BC1D0000">
            <w:pPr>
              <w:widowControl w:val="1"/>
              <w:ind/>
              <w:contextualSpacing w:val="1"/>
              <w:jc w:val="center"/>
              <w:rPr>
                <w:color w:val="000000"/>
                <w:sz w:val="22"/>
              </w:rPr>
            </w:pPr>
          </w:p>
        </w:tc>
      </w:tr>
      <w:tr>
        <w:trPr>
          <w:trHeight w:hRule="atLeast" w:val="1815"/>
        </w:trPr>
        <w:tc>
          <w:tcPr>
            <w:tcW w:type="dxa" w:w="528"/>
            <w:tcBorders>
              <w:top w:color="000000" w:sz="4" w:val="single"/>
              <w:left w:color="000000" w:sz="4" w:val="single"/>
              <w:bottom w:color="000000" w:sz="4" w:val="single"/>
              <w:right w:color="000000" w:sz="4" w:val="single"/>
            </w:tcBorders>
            <w:shd w:fill="FFFFFF" w:val="clear"/>
            <w:vAlign w:val="center"/>
          </w:tcPr>
          <w:p w14:paraId="BD1D0000">
            <w:pPr>
              <w:widowControl w:val="1"/>
              <w:ind/>
              <w:contextualSpacing w:val="1"/>
              <w:rPr>
                <w:color w:val="000000"/>
                <w:sz w:val="22"/>
              </w:rPr>
            </w:pPr>
            <w:r>
              <w:rPr>
                <w:color w:val="000000"/>
                <w:sz w:val="22"/>
              </w:rPr>
              <w:t>52</w:t>
            </w:r>
          </w:p>
        </w:tc>
        <w:tc>
          <w:tcPr>
            <w:tcW w:type="dxa" w:w="1408"/>
            <w:tcBorders>
              <w:top w:color="000000" w:sz="4" w:val="single"/>
              <w:left w:color="000000" w:sz="4" w:val="single"/>
              <w:bottom w:color="000000" w:sz="4" w:val="single"/>
              <w:right w:color="000000" w:sz="4" w:val="single"/>
            </w:tcBorders>
            <w:shd w:fill="FFFFFF" w:val="clear"/>
            <w:vAlign w:val="center"/>
          </w:tcPr>
          <w:p w14:paraId="BE1D0000">
            <w:pPr>
              <w:widowControl w:val="1"/>
              <w:ind/>
              <w:contextualSpacing w:val="1"/>
              <w:jc w:val="center"/>
              <w:rPr>
                <w:sz w:val="22"/>
              </w:rPr>
            </w:pPr>
            <w:r>
              <w:rPr>
                <w:sz w:val="22"/>
              </w:rPr>
              <w:t>ОАО "РЖД" Центральная дирекция моторвагонного подвижного состава</w:t>
            </w:r>
          </w:p>
        </w:tc>
        <w:tc>
          <w:tcPr>
            <w:tcW w:type="dxa" w:w="1408"/>
            <w:tcBorders>
              <w:top w:color="000000" w:sz="4" w:val="single"/>
              <w:left w:color="000000" w:sz="4" w:val="single"/>
              <w:bottom w:color="000000" w:sz="4" w:val="single"/>
              <w:right w:color="000000" w:sz="4" w:val="single"/>
            </w:tcBorders>
            <w:shd w:fill="FFFFFF" w:val="clear"/>
            <w:vAlign w:val="center"/>
          </w:tcPr>
          <w:p w14:paraId="BF1D0000">
            <w:pPr>
              <w:widowControl w:val="1"/>
              <w:ind/>
              <w:contextualSpacing w:val="1"/>
              <w:jc w:val="center"/>
              <w:rPr>
                <w:sz w:val="22"/>
              </w:rPr>
            </w:pPr>
            <w:r>
              <w:rPr>
                <w:sz w:val="22"/>
              </w:rPr>
              <w:t>дополнительное соглашение № 7 к договору № 47/23/15/ЦДМВ от 31.03.2015 от 19.01.2018</w:t>
            </w:r>
          </w:p>
        </w:tc>
        <w:tc>
          <w:tcPr>
            <w:tcW w:type="dxa" w:w="1274"/>
            <w:tcBorders>
              <w:top w:color="000000" w:sz="4" w:val="single"/>
              <w:left w:color="000000" w:sz="4" w:val="single"/>
              <w:bottom w:color="000000" w:sz="4" w:val="single"/>
              <w:right w:color="000000" w:sz="4" w:val="single"/>
            </w:tcBorders>
            <w:shd w:fill="FFFFFF" w:val="clear"/>
            <w:vAlign w:val="center"/>
          </w:tcPr>
          <w:p w14:paraId="C01D0000">
            <w:pPr>
              <w:widowControl w:val="1"/>
              <w:ind/>
              <w:contextualSpacing w:val="1"/>
              <w:jc w:val="center"/>
              <w:rPr>
                <w:sz w:val="22"/>
              </w:rPr>
            </w:pPr>
            <w:r>
              <w:rPr>
                <w:sz w:val="22"/>
              </w:rPr>
              <w:t>01.01.2015-31.03.2018</w:t>
            </w:r>
          </w:p>
        </w:tc>
        <w:tc>
          <w:tcPr>
            <w:tcW w:type="dxa" w:w="1556"/>
            <w:tcBorders>
              <w:top w:color="000000" w:sz="4" w:val="single"/>
              <w:left w:color="000000" w:sz="4" w:val="single"/>
              <w:bottom w:color="000000" w:sz="4" w:val="single"/>
              <w:right w:color="000000" w:sz="4" w:val="single"/>
            </w:tcBorders>
            <w:shd w:fill="FFFFFF" w:val="clear"/>
            <w:vAlign w:val="center"/>
          </w:tcPr>
          <w:p w14:paraId="C11D0000">
            <w:pPr>
              <w:widowControl w:val="1"/>
              <w:ind/>
              <w:contextualSpacing w:val="1"/>
              <w:jc w:val="center"/>
              <w:rPr>
                <w:sz w:val="22"/>
              </w:rPr>
            </w:pPr>
            <w:r>
              <w:rPr>
                <w:sz w:val="22"/>
              </w:rPr>
              <w:t>увеличение цены договора аренды железнодорожного подвижного состава с экипажем на 9 229 951,87 руб. в связи с изменением объемов услуг</w:t>
            </w:r>
          </w:p>
        </w:tc>
        <w:tc>
          <w:tcPr>
            <w:tcW w:type="dxa" w:w="1194"/>
            <w:tcBorders>
              <w:top w:color="000000" w:sz="4" w:val="single"/>
              <w:left w:color="000000" w:sz="4" w:val="single"/>
              <w:bottom w:color="000000" w:sz="4" w:val="single"/>
              <w:right w:color="000000" w:sz="4" w:val="single"/>
            </w:tcBorders>
            <w:shd w:fill="FFFFFF" w:val="clear"/>
            <w:vAlign w:val="center"/>
          </w:tcPr>
          <w:p w14:paraId="C21D0000">
            <w:pPr>
              <w:widowControl w:val="1"/>
              <w:ind/>
              <w:contextualSpacing w:val="1"/>
              <w:jc w:val="center"/>
              <w:rPr>
                <w:sz w:val="22"/>
              </w:rPr>
            </w:pPr>
            <w:r>
              <w:rPr>
                <w:sz w:val="22"/>
              </w:rPr>
              <w:t>1155139842,65</w:t>
            </w:r>
          </w:p>
        </w:tc>
        <w:tc>
          <w:tcPr>
            <w:tcW w:type="dxa" w:w="1221"/>
            <w:tcBorders>
              <w:top w:color="000000" w:sz="4" w:val="single"/>
              <w:left w:color="000000" w:sz="4" w:val="single"/>
              <w:bottom w:color="000000" w:sz="4" w:val="single"/>
              <w:right w:color="000000" w:sz="4" w:val="single"/>
            </w:tcBorders>
            <w:shd w:fill="FFFFFF" w:val="clear"/>
            <w:vAlign w:val="center"/>
          </w:tcPr>
          <w:p w14:paraId="C3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4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5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61D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C71D0000">
            <w:pPr>
              <w:widowControl w:val="1"/>
              <w:ind/>
              <w:contextualSpacing w:val="1"/>
              <w:jc w:val="center"/>
              <w:rPr>
                <w:sz w:val="22"/>
              </w:rPr>
            </w:pPr>
            <w:r>
              <w:rPr>
                <w:sz w:val="22"/>
              </w:rPr>
              <w:t>извещение о сделке направлено 09.11.2017, требование об одобрении сделки не поступило</w:t>
            </w:r>
          </w:p>
        </w:tc>
        <w:tc>
          <w:tcPr>
            <w:tcW w:type="dxa" w:w="1654"/>
            <w:tcBorders>
              <w:top w:color="000000" w:sz="4" w:val="single"/>
              <w:left w:color="000000" w:sz="4" w:val="single"/>
              <w:bottom w:color="000000" w:sz="4" w:val="single"/>
              <w:right w:color="000000" w:sz="4" w:val="single"/>
            </w:tcBorders>
            <w:shd w:fill="FFFFFF" w:val="clear"/>
            <w:vAlign w:val="center"/>
          </w:tcPr>
          <w:p w14:paraId="C81D0000">
            <w:pPr>
              <w:widowControl w:val="1"/>
              <w:ind/>
              <w:contextualSpacing w:val="1"/>
              <w:jc w:val="center"/>
              <w:rPr>
                <w:sz w:val="22"/>
              </w:rPr>
            </w:pPr>
            <w:r>
              <w:rPr>
                <w:sz w:val="22"/>
              </w:rPr>
              <w:t>Размещение заказа у единственного поставщика, согласно пп.35 п. 81  положения утвержденного СД 30.04.2015г. Протокол № 13</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C91D0000">
            <w:pPr>
              <w:widowControl w:val="1"/>
              <w:ind/>
              <w:contextualSpacing w:val="1"/>
              <w:rPr>
                <w:color w:val="000000"/>
                <w:sz w:val="22"/>
              </w:rPr>
            </w:pPr>
            <w:r>
              <w:rPr>
                <w:color w:val="000000"/>
                <w:sz w:val="22"/>
              </w:rPr>
              <w:t>53</w:t>
            </w:r>
          </w:p>
        </w:tc>
        <w:tc>
          <w:tcPr>
            <w:tcW w:type="dxa" w:w="1408"/>
            <w:tcBorders>
              <w:top w:color="000000" w:sz="4" w:val="single"/>
              <w:left w:color="000000" w:sz="4" w:val="single"/>
              <w:bottom w:color="000000" w:sz="4" w:val="single"/>
              <w:right w:color="000000" w:sz="4" w:val="single"/>
            </w:tcBorders>
            <w:shd w:fill="FFFFFF" w:val="clear"/>
            <w:vAlign w:val="center"/>
          </w:tcPr>
          <w:p w14:paraId="CA1D0000">
            <w:pPr>
              <w:widowControl w:val="1"/>
              <w:ind/>
              <w:contextualSpacing w:val="1"/>
              <w:jc w:val="center"/>
              <w:rPr>
                <w:sz w:val="22"/>
              </w:rPr>
            </w:pPr>
            <w:r>
              <w:rPr>
                <w:sz w:val="22"/>
              </w:rPr>
              <w:t>ОАО "РЖД" Центральная дирекция моторвагонного подвижного состава</w:t>
            </w:r>
          </w:p>
        </w:tc>
        <w:tc>
          <w:tcPr>
            <w:tcW w:type="dxa" w:w="1408"/>
            <w:tcBorders>
              <w:top w:color="000000" w:sz="4" w:val="single"/>
              <w:left w:color="000000" w:sz="4" w:val="single"/>
              <w:bottom w:color="000000" w:sz="4" w:val="single"/>
              <w:right w:color="000000" w:sz="4" w:val="single"/>
            </w:tcBorders>
            <w:shd w:fill="FFFFFF" w:val="clear"/>
            <w:vAlign w:val="center"/>
          </w:tcPr>
          <w:p w14:paraId="CB1D0000">
            <w:pPr>
              <w:widowControl w:val="1"/>
              <w:ind/>
              <w:contextualSpacing w:val="1"/>
              <w:jc w:val="center"/>
              <w:rPr>
                <w:sz w:val="22"/>
              </w:rPr>
            </w:pPr>
            <w:r>
              <w:rPr>
                <w:sz w:val="22"/>
              </w:rPr>
              <w:t>договор № 31/18/ЦДМВ от 07.03.2018</w:t>
            </w:r>
          </w:p>
        </w:tc>
        <w:tc>
          <w:tcPr>
            <w:tcW w:type="dxa" w:w="1274"/>
            <w:tcBorders>
              <w:top w:color="000000" w:sz="4" w:val="single"/>
              <w:left w:color="000000" w:sz="4" w:val="single"/>
              <w:bottom w:color="000000" w:sz="4" w:val="single"/>
              <w:right w:color="000000" w:sz="4" w:val="single"/>
            </w:tcBorders>
            <w:shd w:fill="FFFFFF" w:val="clear"/>
            <w:vAlign w:val="center"/>
          </w:tcPr>
          <w:p w14:paraId="CC1D0000">
            <w:pPr>
              <w:widowControl w:val="1"/>
              <w:ind/>
              <w:contextualSpacing w:val="1"/>
              <w:jc w:val="center"/>
              <w:rPr>
                <w:sz w:val="22"/>
              </w:rPr>
            </w:pPr>
            <w:r>
              <w:rPr>
                <w:sz w:val="22"/>
              </w:rPr>
              <w:t>01.01.2018-31.03.2019</w:t>
            </w:r>
          </w:p>
        </w:tc>
        <w:tc>
          <w:tcPr>
            <w:tcW w:type="dxa" w:w="1556"/>
            <w:tcBorders>
              <w:top w:color="000000" w:sz="4" w:val="single"/>
              <w:left w:color="000000" w:sz="4" w:val="single"/>
              <w:bottom w:color="000000" w:sz="4" w:val="single"/>
              <w:right w:color="000000" w:sz="4" w:val="single"/>
            </w:tcBorders>
            <w:shd w:fill="FFFFFF" w:val="clear"/>
            <w:vAlign w:val="center"/>
          </w:tcPr>
          <w:p w14:paraId="CD1D0000">
            <w:pPr>
              <w:widowControl w:val="1"/>
              <w:ind/>
              <w:contextualSpacing w:val="1"/>
              <w:jc w:val="center"/>
              <w:rPr>
                <w:sz w:val="22"/>
              </w:rPr>
            </w:pPr>
            <w:r>
              <w:rPr>
                <w:sz w:val="22"/>
              </w:rPr>
              <w:t>аренда железнодорожного подвижного состава с экипажем</w:t>
            </w:r>
          </w:p>
        </w:tc>
        <w:tc>
          <w:tcPr>
            <w:tcW w:type="dxa" w:w="1194"/>
            <w:tcBorders>
              <w:top w:color="000000" w:sz="4" w:val="single"/>
              <w:left w:color="000000" w:sz="4" w:val="single"/>
              <w:bottom w:color="000000" w:sz="4" w:val="single"/>
              <w:right w:color="000000" w:sz="4" w:val="single"/>
            </w:tcBorders>
            <w:shd w:fill="FFFFFF" w:val="clear"/>
            <w:vAlign w:val="center"/>
          </w:tcPr>
          <w:p w14:paraId="CE1D0000">
            <w:pPr>
              <w:widowControl w:val="1"/>
              <w:ind/>
              <w:contextualSpacing w:val="1"/>
              <w:jc w:val="center"/>
              <w:rPr>
                <w:sz w:val="22"/>
              </w:rPr>
            </w:pPr>
            <w:r>
              <w:rPr>
                <w:sz w:val="22"/>
              </w:rPr>
              <w:t>388083895,6</w:t>
            </w:r>
          </w:p>
        </w:tc>
        <w:tc>
          <w:tcPr>
            <w:tcW w:type="dxa" w:w="1221"/>
            <w:tcBorders>
              <w:top w:color="000000" w:sz="4" w:val="single"/>
              <w:left w:color="000000" w:sz="4" w:val="single"/>
              <w:bottom w:color="000000" w:sz="4" w:val="single"/>
              <w:right w:color="000000" w:sz="4" w:val="single"/>
            </w:tcBorders>
            <w:shd w:fill="FFFFFF" w:val="clear"/>
            <w:vAlign w:val="center"/>
          </w:tcPr>
          <w:p w14:paraId="CF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0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1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21D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D31D0000">
            <w:pPr>
              <w:widowControl w:val="1"/>
              <w:ind/>
              <w:contextualSpacing w:val="1"/>
              <w:jc w:val="center"/>
              <w:rPr>
                <w:sz w:val="22"/>
              </w:rPr>
            </w:pPr>
            <w:r>
              <w:rPr>
                <w:sz w:val="22"/>
              </w:rPr>
              <w:t>извещение о сделке направлено 28.02.2018г., требование об одобрении сделки не поступило</w:t>
            </w:r>
          </w:p>
        </w:tc>
        <w:tc>
          <w:tcPr>
            <w:tcW w:type="dxa" w:w="1654"/>
            <w:tcBorders>
              <w:top w:color="000000" w:sz="4" w:val="single"/>
              <w:left w:color="000000" w:sz="4" w:val="single"/>
              <w:bottom w:color="000000" w:sz="4" w:val="single"/>
              <w:right w:color="000000" w:sz="4" w:val="single"/>
            </w:tcBorders>
            <w:shd w:fill="FFFFFF" w:val="clear"/>
            <w:vAlign w:val="center"/>
          </w:tcPr>
          <w:p w14:paraId="D41D0000">
            <w:pPr>
              <w:widowControl w:val="1"/>
              <w:ind/>
              <w:contextualSpacing w:val="1"/>
              <w:jc w:val="center"/>
              <w:rPr>
                <w:sz w:val="22"/>
              </w:rPr>
            </w:pPr>
            <w:r>
              <w:rPr>
                <w:sz w:val="22"/>
              </w:rPr>
              <w:t>Размещение заказа у единственного поставщика, согласно пп. 35 п. 81  положения утвержденного СД 30.04.2015г. Протокол № 13</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D51D0000">
            <w:pPr>
              <w:widowControl w:val="1"/>
              <w:ind/>
              <w:contextualSpacing w:val="1"/>
              <w:rPr>
                <w:color w:val="000000"/>
                <w:sz w:val="22"/>
              </w:rPr>
            </w:pPr>
            <w:r>
              <w:rPr>
                <w:color w:val="000000"/>
                <w:sz w:val="22"/>
              </w:rPr>
              <w:t>54</w:t>
            </w:r>
          </w:p>
        </w:tc>
        <w:tc>
          <w:tcPr>
            <w:tcW w:type="dxa" w:w="1408"/>
            <w:tcBorders>
              <w:top w:color="000000" w:sz="4" w:val="single"/>
              <w:left w:color="000000" w:sz="4" w:val="single"/>
              <w:bottom w:color="000000" w:sz="4" w:val="single"/>
              <w:right w:color="000000" w:sz="4" w:val="single"/>
            </w:tcBorders>
            <w:shd w:fill="FFFFFF" w:val="clear"/>
            <w:vAlign w:val="center"/>
          </w:tcPr>
          <w:p w14:paraId="D61D0000">
            <w:pPr>
              <w:widowControl w:val="1"/>
              <w:ind/>
              <w:contextualSpacing w:val="1"/>
              <w:jc w:val="center"/>
              <w:rPr>
                <w:sz w:val="22"/>
              </w:rPr>
            </w:pPr>
            <w:r>
              <w:rPr>
                <w:sz w:val="22"/>
              </w:rPr>
              <w:t>ОАО "РЖД" Центральная дирекция моторвагонного подвижного состава</w:t>
            </w:r>
          </w:p>
        </w:tc>
        <w:tc>
          <w:tcPr>
            <w:tcW w:type="dxa" w:w="1408"/>
            <w:tcBorders>
              <w:top w:color="000000" w:sz="4" w:val="single"/>
              <w:left w:color="000000" w:sz="4" w:val="single"/>
              <w:bottom w:color="000000" w:sz="4" w:val="single"/>
              <w:right w:color="000000" w:sz="4" w:val="single"/>
            </w:tcBorders>
            <w:shd w:fill="FFFFFF" w:val="clear"/>
            <w:vAlign w:val="center"/>
          </w:tcPr>
          <w:p w14:paraId="D71D0000">
            <w:pPr>
              <w:widowControl w:val="1"/>
              <w:ind/>
              <w:contextualSpacing w:val="1"/>
              <w:jc w:val="center"/>
              <w:rPr>
                <w:sz w:val="22"/>
              </w:rPr>
            </w:pPr>
            <w:r>
              <w:rPr>
                <w:sz w:val="22"/>
              </w:rPr>
              <w:t>дополнительное соглашение № 8 к договору № 47/23/15 ЦДМВ от 31.03.2015г. От 29.03.2018</w:t>
            </w:r>
          </w:p>
        </w:tc>
        <w:tc>
          <w:tcPr>
            <w:tcW w:type="dxa" w:w="1274"/>
            <w:tcBorders>
              <w:top w:color="000000" w:sz="4" w:val="single"/>
              <w:left w:color="000000" w:sz="4" w:val="single"/>
              <w:bottom w:color="000000" w:sz="4" w:val="single"/>
              <w:right w:color="000000" w:sz="4" w:val="single"/>
            </w:tcBorders>
            <w:shd w:fill="FFFFFF" w:val="clear"/>
            <w:vAlign w:val="center"/>
          </w:tcPr>
          <w:p w14:paraId="D81D0000">
            <w:pPr>
              <w:widowControl w:val="1"/>
              <w:ind/>
              <w:contextualSpacing w:val="1"/>
              <w:jc w:val="center"/>
              <w:rPr>
                <w:sz w:val="22"/>
              </w:rPr>
            </w:pPr>
            <w:r>
              <w:rPr>
                <w:sz w:val="22"/>
              </w:rPr>
              <w:t>01.01.2015-31.03.2018</w:t>
            </w:r>
          </w:p>
        </w:tc>
        <w:tc>
          <w:tcPr>
            <w:tcW w:type="dxa" w:w="1556"/>
            <w:tcBorders>
              <w:top w:color="000000" w:sz="4" w:val="single"/>
              <w:left w:color="000000" w:sz="4" w:val="single"/>
              <w:bottom w:color="000000" w:sz="4" w:val="single"/>
              <w:right w:color="000000" w:sz="4" w:val="single"/>
            </w:tcBorders>
            <w:shd w:fill="FFFFFF" w:val="clear"/>
            <w:vAlign w:val="center"/>
          </w:tcPr>
          <w:p w14:paraId="D91D0000">
            <w:pPr>
              <w:widowControl w:val="1"/>
              <w:ind/>
              <w:contextualSpacing w:val="1"/>
              <w:jc w:val="center"/>
              <w:rPr>
                <w:sz w:val="22"/>
              </w:rPr>
            </w:pPr>
            <w:r>
              <w:rPr>
                <w:sz w:val="22"/>
              </w:rPr>
              <w:t>увеличение цены договора на 1 366 504,93 руб. в связи с изменением объемов услуг</w:t>
            </w:r>
          </w:p>
        </w:tc>
        <w:tc>
          <w:tcPr>
            <w:tcW w:type="dxa" w:w="1194"/>
            <w:tcBorders>
              <w:top w:color="000000" w:sz="4" w:val="single"/>
              <w:left w:color="000000" w:sz="4" w:val="single"/>
              <w:bottom w:color="000000" w:sz="4" w:val="single"/>
              <w:right w:color="000000" w:sz="4" w:val="single"/>
            </w:tcBorders>
            <w:shd w:fill="FFFFFF" w:val="clear"/>
            <w:vAlign w:val="center"/>
          </w:tcPr>
          <w:p w14:paraId="DA1D0000">
            <w:pPr>
              <w:widowControl w:val="1"/>
              <w:ind/>
              <w:contextualSpacing w:val="1"/>
              <w:jc w:val="center"/>
              <w:rPr>
                <w:sz w:val="22"/>
              </w:rPr>
            </w:pPr>
            <w:r>
              <w:rPr>
                <w:sz w:val="22"/>
              </w:rPr>
              <w:t>1156506348</w:t>
            </w:r>
          </w:p>
        </w:tc>
        <w:tc>
          <w:tcPr>
            <w:tcW w:type="dxa" w:w="1221"/>
            <w:tcBorders>
              <w:top w:color="000000" w:sz="4" w:val="single"/>
              <w:left w:color="000000" w:sz="4" w:val="single"/>
              <w:bottom w:color="000000" w:sz="4" w:val="single"/>
              <w:right w:color="000000" w:sz="4" w:val="single"/>
            </w:tcBorders>
            <w:shd w:fill="FFFFFF" w:val="clear"/>
            <w:vAlign w:val="center"/>
          </w:tcPr>
          <w:p w14:paraId="DB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C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D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E1D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DF1D0000">
            <w:pPr>
              <w:widowControl w:val="1"/>
              <w:ind/>
              <w:contextualSpacing w:val="1"/>
              <w:jc w:val="center"/>
              <w:rPr>
                <w:sz w:val="22"/>
              </w:rPr>
            </w:pPr>
            <w:r>
              <w:rPr>
                <w:sz w:val="22"/>
              </w:rPr>
              <w:t>извещение о сделке направлено 01.02.2018г., требование об одобрении сделки не поступило</w:t>
            </w:r>
          </w:p>
        </w:tc>
        <w:tc>
          <w:tcPr>
            <w:tcW w:type="dxa" w:w="1654"/>
            <w:tcBorders>
              <w:top w:color="000000" w:sz="4" w:val="single"/>
              <w:left w:color="000000" w:sz="4" w:val="single"/>
              <w:bottom w:color="000000" w:sz="4" w:val="single"/>
              <w:right w:color="000000" w:sz="4" w:val="single"/>
            </w:tcBorders>
            <w:shd w:fill="FFFFFF" w:val="clear"/>
            <w:vAlign w:val="center"/>
          </w:tcPr>
          <w:p w14:paraId="E01D0000">
            <w:pPr>
              <w:widowControl w:val="1"/>
              <w:ind/>
              <w:contextualSpacing w:val="1"/>
              <w:jc w:val="center"/>
              <w:rPr>
                <w:sz w:val="22"/>
              </w:rPr>
            </w:pPr>
            <w:r>
              <w:rPr>
                <w:sz w:val="22"/>
              </w:rPr>
              <w:t>Размещение заказа у единственного поставщика, согласно пп.35п. 81  положения утвержденного СД 30.04.2015г. Протокол № 13</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E11D0000">
            <w:pPr>
              <w:widowControl w:val="1"/>
              <w:ind/>
              <w:contextualSpacing w:val="1"/>
              <w:rPr>
                <w:color w:val="000000"/>
                <w:sz w:val="22"/>
              </w:rPr>
            </w:pPr>
            <w:r>
              <w:rPr>
                <w:color w:val="000000"/>
                <w:sz w:val="22"/>
              </w:rPr>
              <w:t>55</w:t>
            </w:r>
          </w:p>
        </w:tc>
        <w:tc>
          <w:tcPr>
            <w:tcW w:type="dxa" w:w="1408"/>
            <w:tcBorders>
              <w:top w:color="000000" w:sz="4" w:val="single"/>
              <w:left w:color="000000" w:sz="4" w:val="single"/>
              <w:bottom w:color="000000" w:sz="4" w:val="single"/>
              <w:right w:color="000000" w:sz="4" w:val="single"/>
            </w:tcBorders>
            <w:shd w:fill="FFFFFF" w:val="clear"/>
            <w:vAlign w:val="center"/>
          </w:tcPr>
          <w:p w14:paraId="E21D0000">
            <w:pPr>
              <w:widowControl w:val="1"/>
              <w:ind/>
              <w:contextualSpacing w:val="1"/>
              <w:jc w:val="center"/>
              <w:rPr>
                <w:sz w:val="22"/>
              </w:rPr>
            </w:pPr>
            <w:r>
              <w:rPr>
                <w:sz w:val="22"/>
              </w:rPr>
              <w:t>ОАО "РЖД" Центральная дирекция моторвагонного подвижного состава</w:t>
            </w:r>
          </w:p>
        </w:tc>
        <w:tc>
          <w:tcPr>
            <w:tcW w:type="dxa" w:w="1408"/>
            <w:tcBorders>
              <w:top w:color="000000" w:sz="4" w:val="single"/>
              <w:left w:color="000000" w:sz="4" w:val="single"/>
              <w:bottom w:color="000000" w:sz="4" w:val="single"/>
              <w:right w:color="000000" w:sz="4" w:val="single"/>
            </w:tcBorders>
            <w:shd w:fill="FFFFFF" w:val="clear"/>
            <w:vAlign w:val="center"/>
          </w:tcPr>
          <w:p w14:paraId="E31D0000">
            <w:pPr>
              <w:widowControl w:val="1"/>
              <w:ind/>
              <w:contextualSpacing w:val="1"/>
              <w:jc w:val="center"/>
              <w:rPr>
                <w:sz w:val="22"/>
              </w:rPr>
            </w:pPr>
            <w:r>
              <w:rPr>
                <w:sz w:val="22"/>
              </w:rPr>
              <w:t>дополнительное соглашение № 1 к договору № 31/18/ЦДМВ от 07.03.2018 от 01.06.2018</w:t>
            </w:r>
          </w:p>
        </w:tc>
        <w:tc>
          <w:tcPr>
            <w:tcW w:type="dxa" w:w="1274"/>
            <w:tcBorders>
              <w:top w:color="000000" w:sz="4" w:val="single"/>
              <w:left w:color="000000" w:sz="4" w:val="single"/>
              <w:bottom w:color="000000" w:sz="4" w:val="single"/>
              <w:right w:color="000000" w:sz="4" w:val="single"/>
            </w:tcBorders>
            <w:shd w:fill="FFFFFF" w:val="clear"/>
            <w:vAlign w:val="center"/>
          </w:tcPr>
          <w:p w14:paraId="E41D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E51D0000">
            <w:pPr>
              <w:widowControl w:val="1"/>
              <w:ind/>
              <w:contextualSpacing w:val="1"/>
              <w:jc w:val="center"/>
              <w:rPr>
                <w:sz w:val="22"/>
              </w:rPr>
            </w:pPr>
            <w:r>
              <w:rPr>
                <w:sz w:val="22"/>
              </w:rPr>
              <w:t>уменьшение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E61D0000">
            <w:pPr>
              <w:widowControl w:val="1"/>
              <w:ind/>
              <w:contextualSpacing w:val="1"/>
              <w:jc w:val="center"/>
              <w:rPr>
                <w:sz w:val="22"/>
              </w:rPr>
            </w:pPr>
            <w:r>
              <w:rPr>
                <w:sz w:val="22"/>
              </w:rPr>
              <w:t>384968656,9</w:t>
            </w:r>
          </w:p>
        </w:tc>
        <w:tc>
          <w:tcPr>
            <w:tcW w:type="dxa" w:w="1221"/>
            <w:tcBorders>
              <w:top w:color="000000" w:sz="4" w:val="single"/>
              <w:left w:color="000000" w:sz="4" w:val="single"/>
              <w:bottom w:color="000000" w:sz="4" w:val="single"/>
              <w:right w:color="000000" w:sz="4" w:val="single"/>
            </w:tcBorders>
            <w:shd w:fill="FFFFFF" w:val="clear"/>
            <w:vAlign w:val="center"/>
          </w:tcPr>
          <w:p w14:paraId="E7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8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9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A1D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EB1D0000">
            <w:pPr>
              <w:widowControl w:val="1"/>
              <w:ind/>
              <w:contextualSpacing w:val="1"/>
              <w:jc w:val="center"/>
              <w:rPr>
                <w:sz w:val="22"/>
              </w:rPr>
            </w:pPr>
            <w:r>
              <w:rPr>
                <w:sz w:val="22"/>
              </w:rPr>
              <w:t>извещение о сделке направлено 28.02.2018г., требование об одобрении сделки не поступило</w:t>
            </w:r>
          </w:p>
        </w:tc>
        <w:tc>
          <w:tcPr>
            <w:tcW w:type="dxa" w:w="1654"/>
            <w:tcBorders>
              <w:top w:color="000000" w:sz="4" w:val="single"/>
              <w:left w:color="000000" w:sz="4" w:val="single"/>
              <w:bottom w:color="000000" w:sz="4" w:val="single"/>
              <w:right w:color="000000" w:sz="4" w:val="single"/>
            </w:tcBorders>
            <w:shd w:fill="FFFFFF" w:val="clear"/>
            <w:vAlign w:val="center"/>
          </w:tcPr>
          <w:p w14:paraId="EC1D0000">
            <w:pPr>
              <w:widowControl w:val="1"/>
              <w:ind/>
              <w:contextualSpacing w:val="1"/>
              <w:jc w:val="center"/>
              <w:rPr>
                <w:sz w:val="22"/>
              </w:rPr>
            </w:pPr>
            <w:r>
              <w:rPr>
                <w:sz w:val="22"/>
              </w:rPr>
              <w:t>Размещение заказа у единственного поставщика, согласно пп. 35 п. 81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ED1D0000">
            <w:pPr>
              <w:widowControl w:val="1"/>
              <w:ind/>
              <w:contextualSpacing w:val="1"/>
              <w:jc w:val="center"/>
              <w:rPr>
                <w:color w:val="000000"/>
                <w:sz w:val="22"/>
              </w:rPr>
            </w:pPr>
            <w:r>
              <w:rPr>
                <w:color w:val="000000"/>
                <w:sz w:val="22"/>
              </w:rPr>
              <w:t>итого по контрагенту ОАО "РЖД" Центральная дирекция моторвагонного подвижного состава 395565113,7 руб.</w:t>
            </w:r>
          </w:p>
          <w:p w14:paraId="EE1D0000">
            <w:pPr>
              <w:widowControl w:val="1"/>
              <w:ind/>
              <w:contextualSpacing w:val="1"/>
              <w:jc w:val="center"/>
              <w:rPr>
                <w:color w:val="000000"/>
                <w:sz w:val="22"/>
              </w:rPr>
            </w:pP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EF1D0000">
            <w:pPr>
              <w:widowControl w:val="1"/>
              <w:ind/>
              <w:contextualSpacing w:val="1"/>
              <w:rPr>
                <w:color w:val="000000"/>
                <w:sz w:val="22"/>
              </w:rPr>
            </w:pPr>
            <w:r>
              <w:rPr>
                <w:color w:val="000000"/>
                <w:sz w:val="22"/>
              </w:rPr>
              <w:t>56</w:t>
            </w:r>
          </w:p>
        </w:tc>
        <w:tc>
          <w:tcPr>
            <w:tcW w:type="dxa" w:w="1408"/>
            <w:tcBorders>
              <w:top w:color="000000" w:sz="4" w:val="single"/>
              <w:left w:color="000000" w:sz="4" w:val="single"/>
              <w:bottom w:color="000000" w:sz="4" w:val="single"/>
              <w:right w:color="000000" w:sz="4" w:val="single"/>
            </w:tcBorders>
            <w:shd w:fill="FFFFFF" w:val="clear"/>
            <w:vAlign w:val="center"/>
          </w:tcPr>
          <w:p w14:paraId="F01D0000">
            <w:pPr>
              <w:widowControl w:val="1"/>
              <w:ind/>
              <w:contextualSpacing w:val="1"/>
              <w:jc w:val="center"/>
              <w:rPr>
                <w:sz w:val="22"/>
              </w:rPr>
            </w:pPr>
            <w:r>
              <w:rPr>
                <w:sz w:val="22"/>
              </w:rPr>
              <w:t>ОАО "РЖД" Красноярский информационно-вычислительный центр</w:t>
            </w:r>
          </w:p>
        </w:tc>
        <w:tc>
          <w:tcPr>
            <w:tcW w:type="dxa" w:w="1408"/>
            <w:tcBorders>
              <w:top w:color="000000" w:sz="4" w:val="single"/>
              <w:left w:color="000000" w:sz="4" w:val="single"/>
              <w:bottom w:color="000000" w:sz="4" w:val="single"/>
              <w:right w:color="000000" w:sz="4" w:val="single"/>
            </w:tcBorders>
            <w:shd w:fill="FFFFFF" w:val="clear"/>
            <w:vAlign w:val="center"/>
          </w:tcPr>
          <w:p w14:paraId="F11D0000">
            <w:pPr>
              <w:widowControl w:val="1"/>
              <w:ind/>
              <w:contextualSpacing w:val="1"/>
              <w:jc w:val="center"/>
              <w:rPr>
                <w:sz w:val="22"/>
              </w:rPr>
            </w:pPr>
            <w:r>
              <w:rPr>
                <w:sz w:val="22"/>
              </w:rPr>
              <w:t>договор № 2752195 от 29.01.2018</w:t>
            </w:r>
          </w:p>
        </w:tc>
        <w:tc>
          <w:tcPr>
            <w:tcW w:type="dxa" w:w="1274"/>
            <w:tcBorders>
              <w:top w:color="000000" w:sz="4" w:val="single"/>
              <w:left w:color="000000" w:sz="4" w:val="single"/>
              <w:bottom w:color="000000" w:sz="4" w:val="single"/>
              <w:right w:color="000000" w:sz="4" w:val="single"/>
            </w:tcBorders>
            <w:shd w:fill="FFFFFF" w:val="clear"/>
            <w:vAlign w:val="center"/>
          </w:tcPr>
          <w:p w14:paraId="F21D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F31D0000">
            <w:pPr>
              <w:widowControl w:val="1"/>
              <w:ind/>
              <w:contextualSpacing w:val="1"/>
              <w:jc w:val="center"/>
              <w:rPr>
                <w:sz w:val="22"/>
              </w:rPr>
            </w:pPr>
            <w:r>
              <w:rPr>
                <w:sz w:val="22"/>
              </w:rPr>
              <w:t>оказание услуг по комплексному информационному обслуживанию</w:t>
            </w:r>
          </w:p>
        </w:tc>
        <w:tc>
          <w:tcPr>
            <w:tcW w:type="dxa" w:w="1194"/>
            <w:tcBorders>
              <w:top w:color="000000" w:sz="4" w:val="single"/>
              <w:left w:color="000000" w:sz="4" w:val="single"/>
              <w:bottom w:color="000000" w:sz="4" w:val="single"/>
              <w:right w:color="000000" w:sz="4" w:val="single"/>
            </w:tcBorders>
            <w:shd w:fill="FFFFFF" w:val="clear"/>
            <w:vAlign w:val="center"/>
          </w:tcPr>
          <w:p w14:paraId="F41D0000">
            <w:pPr>
              <w:widowControl w:val="1"/>
              <w:ind/>
              <w:contextualSpacing w:val="1"/>
              <w:jc w:val="center"/>
              <w:rPr>
                <w:sz w:val="22"/>
              </w:rPr>
            </w:pPr>
            <w:r>
              <w:rPr>
                <w:sz w:val="22"/>
              </w:rPr>
              <w:t>227154,72</w:t>
            </w:r>
          </w:p>
        </w:tc>
        <w:tc>
          <w:tcPr>
            <w:tcW w:type="dxa" w:w="1221"/>
            <w:tcBorders>
              <w:top w:color="000000" w:sz="4" w:val="single"/>
              <w:left w:color="000000" w:sz="4" w:val="single"/>
              <w:bottom w:color="000000" w:sz="4" w:val="single"/>
              <w:right w:color="000000" w:sz="4" w:val="single"/>
            </w:tcBorders>
            <w:shd w:fill="FFFFFF" w:val="clear"/>
            <w:vAlign w:val="center"/>
          </w:tcPr>
          <w:p w14:paraId="F51D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61D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71D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81D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F91D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c>
          <w:tcPr>
            <w:tcW w:type="dxa" w:w="1654"/>
            <w:tcBorders>
              <w:top w:color="000000" w:sz="4" w:val="single"/>
              <w:left w:color="000000" w:sz="4" w:val="single"/>
              <w:bottom w:color="000000" w:sz="4" w:val="single"/>
              <w:right w:color="000000" w:sz="4" w:val="single"/>
            </w:tcBorders>
            <w:shd w:fill="FFFFFF" w:val="clear"/>
            <w:vAlign w:val="center"/>
          </w:tcPr>
          <w:p w14:paraId="FA1D0000">
            <w:pPr>
              <w:widowControl w:val="1"/>
              <w:ind/>
              <w:contextualSpacing w:val="1"/>
              <w:jc w:val="center"/>
              <w:rPr>
                <w:sz w:val="22"/>
              </w:rPr>
            </w:pPr>
            <w:r>
              <w:rPr>
                <w:sz w:val="22"/>
              </w:rPr>
              <w:t>Размещение заказа у единственного поставщика, согласно пп. 35 п. 81  положения утвержденного СД 30.04.2015г. Протокол № 13</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FB1D0000">
            <w:pPr>
              <w:widowControl w:val="1"/>
              <w:ind/>
              <w:contextualSpacing w:val="1"/>
              <w:rPr>
                <w:color w:val="000000"/>
                <w:sz w:val="22"/>
              </w:rPr>
            </w:pPr>
            <w:r>
              <w:rPr>
                <w:color w:val="000000"/>
                <w:sz w:val="22"/>
              </w:rPr>
              <w:t>57</w:t>
            </w:r>
          </w:p>
        </w:tc>
        <w:tc>
          <w:tcPr>
            <w:tcW w:type="dxa" w:w="1408"/>
            <w:tcBorders>
              <w:top w:color="000000" w:sz="4" w:val="single"/>
              <w:left w:color="000000" w:sz="4" w:val="single"/>
              <w:bottom w:color="000000" w:sz="4" w:val="single"/>
              <w:right w:color="000000" w:sz="4" w:val="single"/>
            </w:tcBorders>
            <w:shd w:fill="FFFFFF" w:val="clear"/>
            <w:vAlign w:val="center"/>
          </w:tcPr>
          <w:p w14:paraId="FC1D0000">
            <w:pPr>
              <w:widowControl w:val="1"/>
              <w:ind/>
              <w:contextualSpacing w:val="1"/>
              <w:jc w:val="center"/>
              <w:rPr>
                <w:sz w:val="22"/>
              </w:rPr>
            </w:pPr>
            <w:r>
              <w:rPr>
                <w:sz w:val="22"/>
              </w:rPr>
              <w:t>ОАО "РЖД" Красноярский информационно-вычислительный центр</w:t>
            </w:r>
          </w:p>
        </w:tc>
        <w:tc>
          <w:tcPr>
            <w:tcW w:type="dxa" w:w="1408"/>
            <w:tcBorders>
              <w:top w:color="000000" w:sz="4" w:val="single"/>
              <w:left w:color="000000" w:sz="4" w:val="single"/>
              <w:bottom w:color="000000" w:sz="4" w:val="single"/>
              <w:right w:color="000000" w:sz="4" w:val="single"/>
            </w:tcBorders>
            <w:shd w:fill="FFFFFF" w:val="clear"/>
            <w:vAlign w:val="center"/>
          </w:tcPr>
          <w:p w14:paraId="FD1D0000">
            <w:pPr>
              <w:widowControl w:val="1"/>
              <w:ind/>
              <w:contextualSpacing w:val="1"/>
              <w:jc w:val="center"/>
              <w:rPr>
                <w:sz w:val="22"/>
              </w:rPr>
            </w:pPr>
            <w:r>
              <w:rPr>
                <w:sz w:val="22"/>
              </w:rPr>
              <w:t>дополнительное соглашение № 2752195-1 к договору № 2752195 от 29.01.2018 от 04.04.2018</w:t>
            </w:r>
          </w:p>
        </w:tc>
        <w:tc>
          <w:tcPr>
            <w:tcW w:type="dxa" w:w="1274"/>
            <w:tcBorders>
              <w:top w:color="000000" w:sz="4" w:val="single"/>
              <w:left w:color="000000" w:sz="4" w:val="single"/>
              <w:bottom w:color="000000" w:sz="4" w:val="single"/>
              <w:right w:color="000000" w:sz="4" w:val="single"/>
            </w:tcBorders>
            <w:shd w:fill="FFFFFF" w:val="clear"/>
            <w:vAlign w:val="center"/>
          </w:tcPr>
          <w:p w14:paraId="FE1D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FF1D0000">
            <w:pPr>
              <w:widowControl w:val="1"/>
              <w:ind/>
              <w:contextualSpacing w:val="1"/>
              <w:jc w:val="center"/>
              <w:rPr>
                <w:sz w:val="22"/>
              </w:rPr>
            </w:pPr>
            <w:r>
              <w:rPr>
                <w:sz w:val="22"/>
              </w:rPr>
              <w:t>внесение изменений в договор в части определения подведомственности споров, без изменения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001E0000">
            <w:pPr>
              <w:widowControl w:val="1"/>
              <w:ind/>
              <w:contextualSpacing w:val="1"/>
              <w:jc w:val="center"/>
              <w:rPr>
                <w:sz w:val="22"/>
              </w:rPr>
            </w:pPr>
            <w:r>
              <w:rPr>
                <w:sz w:val="22"/>
              </w:rPr>
              <w:t>227154,72</w:t>
            </w:r>
          </w:p>
        </w:tc>
        <w:tc>
          <w:tcPr>
            <w:tcW w:type="dxa" w:w="1221"/>
            <w:tcBorders>
              <w:top w:color="000000" w:sz="4" w:val="single"/>
              <w:left w:color="000000" w:sz="4" w:val="single"/>
              <w:bottom w:color="000000" w:sz="4" w:val="single"/>
              <w:right w:color="000000" w:sz="4" w:val="single"/>
            </w:tcBorders>
            <w:shd w:fill="FFFFFF" w:val="clear"/>
            <w:vAlign w:val="center"/>
          </w:tcPr>
          <w:p w14:paraId="01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2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3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041E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051E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c>
          <w:tcPr>
            <w:tcW w:type="dxa" w:w="1654"/>
            <w:tcBorders>
              <w:top w:color="000000" w:sz="4" w:val="single"/>
              <w:left w:color="000000" w:sz="4" w:val="single"/>
              <w:bottom w:color="000000" w:sz="4" w:val="single"/>
              <w:right w:color="000000" w:sz="4" w:val="single"/>
            </w:tcBorders>
            <w:shd w:fill="FFFFFF" w:val="clear"/>
            <w:vAlign w:val="center"/>
          </w:tcPr>
          <w:p w14:paraId="061E0000">
            <w:pPr>
              <w:widowControl w:val="1"/>
              <w:ind/>
              <w:contextualSpacing w:val="1"/>
              <w:jc w:val="center"/>
              <w:rPr>
                <w:sz w:val="22"/>
              </w:rPr>
            </w:pPr>
            <w:r>
              <w:rPr>
                <w:sz w:val="22"/>
              </w:rPr>
              <w:t>Размещение заказа у единственного поставщика, согласно пп. 35 п. 81  положения утвержденного СД 30.04.2015г. Протокол № 13</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071E0000">
            <w:pPr>
              <w:widowControl w:val="1"/>
              <w:ind/>
              <w:contextualSpacing w:val="1"/>
              <w:rPr>
                <w:color w:val="000000"/>
                <w:sz w:val="22"/>
              </w:rPr>
            </w:pPr>
            <w:r>
              <w:rPr>
                <w:color w:val="000000"/>
                <w:sz w:val="22"/>
              </w:rPr>
              <w:t>58</w:t>
            </w:r>
          </w:p>
        </w:tc>
        <w:tc>
          <w:tcPr>
            <w:tcW w:type="dxa" w:w="1408"/>
            <w:tcBorders>
              <w:top w:color="000000" w:sz="4" w:val="single"/>
              <w:left w:color="000000" w:sz="4" w:val="single"/>
              <w:bottom w:color="000000" w:sz="4" w:val="single"/>
              <w:right w:color="000000" w:sz="4" w:val="single"/>
            </w:tcBorders>
            <w:shd w:fill="FFFFFF" w:val="clear"/>
            <w:vAlign w:val="center"/>
          </w:tcPr>
          <w:p w14:paraId="081E0000">
            <w:pPr>
              <w:widowControl w:val="1"/>
              <w:ind/>
              <w:contextualSpacing w:val="1"/>
              <w:jc w:val="center"/>
              <w:rPr>
                <w:sz w:val="22"/>
              </w:rPr>
            </w:pPr>
            <w:r>
              <w:rPr>
                <w:sz w:val="22"/>
              </w:rPr>
              <w:t>ОАО "РЖД" Красноярский информационно-вычислительный центр</w:t>
            </w:r>
          </w:p>
        </w:tc>
        <w:tc>
          <w:tcPr>
            <w:tcW w:type="dxa" w:w="1408"/>
            <w:tcBorders>
              <w:top w:color="000000" w:sz="4" w:val="single"/>
              <w:left w:color="000000" w:sz="4" w:val="single"/>
              <w:bottom w:color="000000" w:sz="4" w:val="single"/>
              <w:right w:color="000000" w:sz="4" w:val="single"/>
            </w:tcBorders>
            <w:shd w:fill="FFFFFF" w:val="clear"/>
            <w:vAlign w:val="center"/>
          </w:tcPr>
          <w:p w14:paraId="091E0000">
            <w:pPr>
              <w:widowControl w:val="1"/>
              <w:ind/>
              <w:contextualSpacing w:val="1"/>
              <w:jc w:val="center"/>
              <w:rPr>
                <w:sz w:val="22"/>
              </w:rPr>
            </w:pPr>
            <w:r>
              <w:rPr>
                <w:sz w:val="22"/>
              </w:rPr>
              <w:t>соглашение № 2752195/ЮЗЭДО к договору № 2752195 от 29.01.2018г. От 19.07.2018</w:t>
            </w:r>
          </w:p>
        </w:tc>
        <w:tc>
          <w:tcPr>
            <w:tcW w:type="dxa" w:w="1274"/>
            <w:tcBorders>
              <w:top w:color="000000" w:sz="4" w:val="single"/>
              <w:left w:color="000000" w:sz="4" w:val="single"/>
              <w:bottom w:color="000000" w:sz="4" w:val="single"/>
              <w:right w:color="000000" w:sz="4" w:val="single"/>
            </w:tcBorders>
            <w:shd w:fill="FFFFFF" w:val="clear"/>
            <w:vAlign w:val="center"/>
          </w:tcPr>
          <w:p w14:paraId="0A1E0000">
            <w:pPr>
              <w:widowControl w:val="1"/>
              <w:ind/>
              <w:contextualSpacing w:val="1"/>
              <w:jc w:val="center"/>
              <w:rPr>
                <w:sz w:val="22"/>
              </w:rPr>
            </w:pPr>
            <w:r>
              <w:rPr>
                <w:sz w:val="22"/>
              </w:rPr>
              <w:t>19.07.2018-31.12.2018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0B1E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0C1E0000">
            <w:pPr>
              <w:widowControl w:val="1"/>
              <w:ind/>
              <w:contextualSpacing w:val="1"/>
              <w:jc w:val="center"/>
              <w:rPr>
                <w:sz w:val="22"/>
              </w:rPr>
            </w:pPr>
            <w:r>
              <w:rPr>
                <w:sz w:val="22"/>
              </w:rPr>
              <w:t>227154,72</w:t>
            </w:r>
          </w:p>
        </w:tc>
        <w:tc>
          <w:tcPr>
            <w:tcW w:type="dxa" w:w="1221"/>
            <w:tcBorders>
              <w:top w:color="000000" w:sz="4" w:val="single"/>
              <w:left w:color="000000" w:sz="4" w:val="single"/>
              <w:bottom w:color="000000" w:sz="4" w:val="single"/>
              <w:right w:color="000000" w:sz="4" w:val="single"/>
            </w:tcBorders>
            <w:shd w:fill="FFFFFF" w:val="clear"/>
            <w:vAlign w:val="center"/>
          </w:tcPr>
          <w:p w14:paraId="0D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E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F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01E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111E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c>
          <w:tcPr>
            <w:tcW w:type="dxa" w:w="1654"/>
            <w:tcBorders>
              <w:top w:color="000000" w:sz="4" w:val="single"/>
              <w:left w:color="000000" w:sz="4" w:val="single"/>
              <w:bottom w:color="000000" w:sz="4" w:val="single"/>
              <w:right w:color="000000" w:sz="4" w:val="single"/>
            </w:tcBorders>
            <w:shd w:fill="FFFFFF" w:val="clear"/>
            <w:vAlign w:val="center"/>
          </w:tcPr>
          <w:p w14:paraId="121E0000">
            <w:pPr>
              <w:widowControl w:val="1"/>
              <w:ind/>
              <w:contextualSpacing w:val="1"/>
              <w:jc w:val="center"/>
              <w:rPr>
                <w:sz w:val="22"/>
              </w:rPr>
            </w:pPr>
            <w:r>
              <w:rPr>
                <w:sz w:val="22"/>
              </w:rPr>
              <w:t>Размещение заказа у единственного поставщика, согласно пп. 35 п. 81  положения утвержденного СД 30.04.2015г. Протокол № 13</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131E0000">
            <w:pPr>
              <w:widowControl w:val="1"/>
              <w:ind/>
              <w:contextualSpacing w:val="1"/>
              <w:rPr>
                <w:color w:val="000000"/>
                <w:sz w:val="22"/>
              </w:rPr>
            </w:pPr>
            <w:r>
              <w:rPr>
                <w:color w:val="000000"/>
                <w:sz w:val="22"/>
              </w:rPr>
              <w:t>59</w:t>
            </w:r>
          </w:p>
        </w:tc>
        <w:tc>
          <w:tcPr>
            <w:tcW w:type="dxa" w:w="1408"/>
            <w:tcBorders>
              <w:top w:color="000000" w:sz="4" w:val="single"/>
              <w:left w:color="000000" w:sz="4" w:val="single"/>
              <w:bottom w:color="000000" w:sz="4" w:val="single"/>
              <w:right w:color="000000" w:sz="4" w:val="single"/>
            </w:tcBorders>
            <w:shd w:fill="FFFFFF" w:val="clear"/>
            <w:vAlign w:val="center"/>
          </w:tcPr>
          <w:p w14:paraId="141E0000">
            <w:pPr>
              <w:widowControl w:val="1"/>
              <w:ind/>
              <w:contextualSpacing w:val="1"/>
              <w:jc w:val="center"/>
              <w:rPr>
                <w:sz w:val="22"/>
              </w:rPr>
            </w:pPr>
            <w:r>
              <w:rPr>
                <w:sz w:val="22"/>
              </w:rPr>
              <w:t>ОАО "РЖД" Красноярский информационно-вычислительный центр</w:t>
            </w:r>
          </w:p>
        </w:tc>
        <w:tc>
          <w:tcPr>
            <w:tcW w:type="dxa" w:w="1408"/>
            <w:tcBorders>
              <w:top w:color="000000" w:sz="4" w:val="single"/>
              <w:left w:color="000000" w:sz="4" w:val="single"/>
              <w:bottom w:color="000000" w:sz="4" w:val="single"/>
              <w:right w:color="000000" w:sz="4" w:val="single"/>
            </w:tcBorders>
            <w:shd w:fill="FFFFFF" w:val="clear"/>
            <w:vAlign w:val="center"/>
          </w:tcPr>
          <w:p w14:paraId="151E0000">
            <w:pPr>
              <w:widowControl w:val="1"/>
              <w:ind/>
              <w:contextualSpacing w:val="1"/>
              <w:jc w:val="center"/>
              <w:rPr>
                <w:sz w:val="22"/>
              </w:rPr>
            </w:pPr>
            <w:r>
              <w:rPr>
                <w:sz w:val="22"/>
              </w:rPr>
              <w:t>дополнительное соглашение № 2752195-1 к договору № 2752195 от 29.01.2018 от 19.09.2018</w:t>
            </w:r>
          </w:p>
        </w:tc>
        <w:tc>
          <w:tcPr>
            <w:tcW w:type="dxa" w:w="1274"/>
            <w:tcBorders>
              <w:top w:color="000000" w:sz="4" w:val="single"/>
              <w:left w:color="000000" w:sz="4" w:val="single"/>
              <w:bottom w:color="000000" w:sz="4" w:val="single"/>
              <w:right w:color="000000" w:sz="4" w:val="single"/>
            </w:tcBorders>
            <w:shd w:fill="FFFFFF" w:val="clear"/>
            <w:vAlign w:val="center"/>
          </w:tcPr>
          <w:p w14:paraId="161E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171E0000">
            <w:pPr>
              <w:widowControl w:val="1"/>
              <w:ind/>
              <w:contextualSpacing w:val="1"/>
              <w:jc w:val="center"/>
              <w:rPr>
                <w:sz w:val="22"/>
              </w:rPr>
            </w:pPr>
            <w:r>
              <w:rPr>
                <w:sz w:val="22"/>
              </w:rPr>
              <w:t>внесение изменений в части подключения информационной состемы ГИД Урал Вниижт</w:t>
            </w:r>
          </w:p>
        </w:tc>
        <w:tc>
          <w:tcPr>
            <w:tcW w:type="dxa" w:w="1194"/>
            <w:tcBorders>
              <w:top w:color="000000" w:sz="4" w:val="single"/>
              <w:left w:color="000000" w:sz="4" w:val="single"/>
              <w:bottom w:color="000000" w:sz="4" w:val="single"/>
              <w:right w:color="000000" w:sz="4" w:val="single"/>
            </w:tcBorders>
            <w:shd w:fill="FFFFFF" w:val="clear"/>
            <w:vAlign w:val="center"/>
          </w:tcPr>
          <w:p w14:paraId="181E0000">
            <w:pPr>
              <w:widowControl w:val="1"/>
              <w:ind/>
              <w:contextualSpacing w:val="1"/>
              <w:jc w:val="center"/>
              <w:rPr>
                <w:sz w:val="22"/>
              </w:rPr>
            </w:pPr>
            <w:r>
              <w:rPr>
                <w:sz w:val="22"/>
              </w:rPr>
              <w:t>256473</w:t>
            </w:r>
          </w:p>
        </w:tc>
        <w:tc>
          <w:tcPr>
            <w:tcW w:type="dxa" w:w="1221"/>
            <w:tcBorders>
              <w:top w:color="000000" w:sz="4" w:val="single"/>
              <w:left w:color="000000" w:sz="4" w:val="single"/>
              <w:bottom w:color="000000" w:sz="4" w:val="single"/>
              <w:right w:color="000000" w:sz="4" w:val="single"/>
            </w:tcBorders>
            <w:shd w:fill="FFFFFF" w:val="clear"/>
            <w:vAlign w:val="center"/>
          </w:tcPr>
          <w:p w14:paraId="19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A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B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C1E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1D1E0000">
            <w:pPr>
              <w:widowControl w:val="1"/>
              <w:ind/>
              <w:contextualSpacing w:val="1"/>
              <w:jc w:val="center"/>
              <w:rPr>
                <w:sz w:val="22"/>
              </w:rPr>
            </w:pPr>
            <w:r>
              <w:rPr>
                <w:sz w:val="22"/>
              </w:rPr>
              <w:t>извещение о сделке направлено 29.08.2018г., требование об одобрении сделки не поступило</w:t>
            </w:r>
          </w:p>
        </w:tc>
        <w:tc>
          <w:tcPr>
            <w:tcW w:type="dxa" w:w="1654"/>
            <w:tcBorders>
              <w:top w:color="000000" w:sz="4" w:val="single"/>
              <w:left w:color="000000" w:sz="4" w:val="single"/>
              <w:bottom w:color="000000" w:sz="4" w:val="single"/>
              <w:right w:color="000000" w:sz="4" w:val="single"/>
            </w:tcBorders>
            <w:shd w:fill="FFFFFF" w:val="clear"/>
            <w:vAlign w:val="center"/>
          </w:tcPr>
          <w:p w14:paraId="1E1E0000">
            <w:pPr>
              <w:widowControl w:val="1"/>
              <w:ind/>
              <w:contextualSpacing w:val="1"/>
              <w:jc w:val="center"/>
              <w:rPr>
                <w:sz w:val="22"/>
              </w:rPr>
            </w:pPr>
            <w:r>
              <w:rPr>
                <w:sz w:val="22"/>
              </w:rPr>
              <w:t>Размещение заказа у единственного поставщика, согласно пп. 35 п. 81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1F1E0000">
            <w:pPr>
              <w:widowControl w:val="1"/>
              <w:ind/>
              <w:contextualSpacing w:val="1"/>
              <w:jc w:val="center"/>
              <w:rPr>
                <w:color w:val="000000"/>
                <w:sz w:val="22"/>
              </w:rPr>
            </w:pPr>
            <w:r>
              <w:rPr>
                <w:color w:val="000000"/>
                <w:sz w:val="22"/>
              </w:rPr>
              <w:t>итого по контрагенту ОАО "РЖД" Красноярский информационно-вычислительный центр 227154,72 руб.</w:t>
            </w:r>
          </w:p>
          <w:p w14:paraId="201E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11E0000">
            <w:pPr>
              <w:widowControl w:val="1"/>
              <w:ind/>
              <w:contextualSpacing w:val="1"/>
              <w:rPr>
                <w:color w:val="000000"/>
                <w:sz w:val="22"/>
              </w:rPr>
            </w:pPr>
            <w:r>
              <w:rPr>
                <w:color w:val="000000"/>
                <w:sz w:val="22"/>
              </w:rPr>
              <w:t>60</w:t>
            </w:r>
          </w:p>
        </w:tc>
        <w:tc>
          <w:tcPr>
            <w:tcW w:type="dxa" w:w="1408"/>
            <w:tcBorders>
              <w:top w:color="000000" w:sz="4" w:val="single"/>
              <w:left w:color="000000" w:sz="4" w:val="single"/>
              <w:bottom w:color="000000" w:sz="4" w:val="single"/>
              <w:right w:color="000000" w:sz="4" w:val="single"/>
            </w:tcBorders>
            <w:shd w:fill="FFFFFF" w:val="clear"/>
            <w:vAlign w:val="center"/>
          </w:tcPr>
          <w:p w14:paraId="221E0000">
            <w:pPr>
              <w:widowControl w:val="1"/>
              <w:ind/>
              <w:contextualSpacing w:val="1"/>
              <w:jc w:val="center"/>
              <w:rPr>
                <w:sz w:val="22"/>
              </w:rPr>
            </w:pPr>
            <w:r>
              <w:rPr>
                <w:sz w:val="22"/>
              </w:rPr>
              <w:t>ООО "АВАНГАРД СИБИРЬ"</w:t>
            </w:r>
          </w:p>
        </w:tc>
        <w:tc>
          <w:tcPr>
            <w:tcW w:type="dxa" w:w="1408"/>
            <w:tcBorders>
              <w:top w:color="000000" w:sz="4" w:val="single"/>
              <w:left w:color="000000" w:sz="4" w:val="single"/>
              <w:bottom w:color="000000" w:sz="4" w:val="single"/>
              <w:right w:color="000000" w:sz="4" w:val="single"/>
            </w:tcBorders>
            <w:shd w:fill="FFFFFF" w:val="clear"/>
            <w:vAlign w:val="center"/>
          </w:tcPr>
          <w:p w14:paraId="231E0000">
            <w:pPr>
              <w:widowControl w:val="1"/>
              <w:ind/>
              <w:contextualSpacing w:val="1"/>
              <w:jc w:val="center"/>
              <w:rPr>
                <w:sz w:val="22"/>
              </w:rPr>
            </w:pPr>
            <w:r>
              <w:rPr>
                <w:sz w:val="22"/>
              </w:rPr>
              <w:t>договор № 33 от 26.02.2018</w:t>
            </w:r>
          </w:p>
        </w:tc>
        <w:tc>
          <w:tcPr>
            <w:tcW w:type="dxa" w:w="1274"/>
            <w:tcBorders>
              <w:top w:color="000000" w:sz="4" w:val="single"/>
              <w:left w:color="000000" w:sz="4" w:val="single"/>
              <w:bottom w:color="000000" w:sz="4" w:val="single"/>
              <w:right w:color="000000" w:sz="4" w:val="single"/>
            </w:tcBorders>
            <w:shd w:fill="FFFFFF" w:val="clear"/>
            <w:vAlign w:val="center"/>
          </w:tcPr>
          <w:p w14:paraId="241E0000">
            <w:pPr>
              <w:widowControl w:val="1"/>
              <w:ind/>
              <w:contextualSpacing w:val="1"/>
              <w:jc w:val="center"/>
              <w:rPr>
                <w:sz w:val="22"/>
              </w:rPr>
            </w:pPr>
            <w:r>
              <w:rPr>
                <w:sz w:val="22"/>
              </w:rPr>
              <w:t>26.02.2018-31.12.2018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251E0000">
            <w:pPr>
              <w:widowControl w:val="1"/>
              <w:ind/>
              <w:contextualSpacing w:val="1"/>
              <w:jc w:val="center"/>
              <w:rPr>
                <w:sz w:val="22"/>
              </w:rPr>
            </w:pPr>
            <w:r>
              <w:rPr>
                <w:sz w:val="22"/>
              </w:rPr>
              <w:t>Поставка специальной одежды</w:t>
            </w:r>
          </w:p>
        </w:tc>
        <w:tc>
          <w:tcPr>
            <w:tcW w:type="dxa" w:w="1194"/>
            <w:tcBorders>
              <w:top w:color="000000" w:sz="4" w:val="single"/>
              <w:left w:color="000000" w:sz="4" w:val="single"/>
              <w:bottom w:color="000000" w:sz="4" w:val="single"/>
              <w:right w:color="000000" w:sz="4" w:val="single"/>
            </w:tcBorders>
            <w:shd w:fill="FFFFFF" w:val="clear"/>
            <w:vAlign w:val="center"/>
          </w:tcPr>
          <w:p w14:paraId="261E0000">
            <w:pPr>
              <w:widowControl w:val="1"/>
              <w:ind/>
              <w:contextualSpacing w:val="1"/>
              <w:jc w:val="center"/>
              <w:rPr>
                <w:sz w:val="22"/>
              </w:rPr>
            </w:pPr>
            <w:r>
              <w:rPr>
                <w:sz w:val="22"/>
              </w:rPr>
              <w:t>293190,2</w:t>
            </w:r>
          </w:p>
        </w:tc>
        <w:tc>
          <w:tcPr>
            <w:tcW w:type="dxa" w:w="1221"/>
            <w:tcBorders>
              <w:top w:color="000000" w:sz="4" w:val="single"/>
              <w:left w:color="000000" w:sz="4" w:val="single"/>
              <w:bottom w:color="000000" w:sz="4" w:val="single"/>
              <w:right w:color="000000" w:sz="4" w:val="single"/>
            </w:tcBorders>
            <w:shd w:fill="FFFFFF" w:val="clear"/>
            <w:vAlign w:val="center"/>
          </w:tcPr>
          <w:p w14:paraId="27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8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9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A1E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2B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2C1E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D1E0000">
            <w:pPr>
              <w:widowControl w:val="1"/>
              <w:ind/>
              <w:contextualSpacing w:val="1"/>
              <w:rPr>
                <w:color w:val="000000"/>
                <w:sz w:val="22"/>
              </w:rPr>
            </w:pPr>
            <w:r>
              <w:rPr>
                <w:color w:val="000000"/>
                <w:sz w:val="22"/>
              </w:rPr>
              <w:t>61</w:t>
            </w:r>
          </w:p>
        </w:tc>
        <w:tc>
          <w:tcPr>
            <w:tcW w:type="dxa" w:w="1408"/>
            <w:tcBorders>
              <w:top w:color="000000" w:sz="4" w:val="single"/>
              <w:left w:color="000000" w:sz="4" w:val="single"/>
              <w:bottom w:color="000000" w:sz="4" w:val="single"/>
              <w:right w:color="000000" w:sz="4" w:val="single"/>
            </w:tcBorders>
            <w:shd w:fill="FFFFFF" w:val="clear"/>
            <w:vAlign w:val="center"/>
          </w:tcPr>
          <w:p w14:paraId="2E1E0000">
            <w:pPr>
              <w:widowControl w:val="1"/>
              <w:ind/>
              <w:contextualSpacing w:val="1"/>
              <w:jc w:val="center"/>
              <w:rPr>
                <w:sz w:val="22"/>
              </w:rPr>
            </w:pPr>
            <w:r>
              <w:rPr>
                <w:sz w:val="22"/>
              </w:rPr>
              <w:t>ООО "АВАНГАРД СИБИРЬ"</w:t>
            </w:r>
          </w:p>
        </w:tc>
        <w:tc>
          <w:tcPr>
            <w:tcW w:type="dxa" w:w="1408"/>
            <w:tcBorders>
              <w:top w:color="000000" w:sz="4" w:val="single"/>
              <w:left w:color="000000" w:sz="4" w:val="single"/>
              <w:bottom w:color="000000" w:sz="4" w:val="single"/>
              <w:right w:color="000000" w:sz="4" w:val="single"/>
            </w:tcBorders>
            <w:shd w:fill="FFFFFF" w:val="clear"/>
            <w:vAlign w:val="center"/>
          </w:tcPr>
          <w:p w14:paraId="2F1E0000">
            <w:pPr>
              <w:widowControl w:val="1"/>
              <w:ind/>
              <w:contextualSpacing w:val="1"/>
              <w:jc w:val="center"/>
              <w:rPr>
                <w:sz w:val="22"/>
              </w:rPr>
            </w:pPr>
            <w:r>
              <w:rPr>
                <w:sz w:val="22"/>
              </w:rPr>
              <w:t>договор № 33/1 от 26.02.2018</w:t>
            </w:r>
          </w:p>
        </w:tc>
        <w:tc>
          <w:tcPr>
            <w:tcW w:type="dxa" w:w="1274"/>
            <w:tcBorders>
              <w:top w:color="000000" w:sz="4" w:val="single"/>
              <w:left w:color="000000" w:sz="4" w:val="single"/>
              <w:bottom w:color="000000" w:sz="4" w:val="single"/>
              <w:right w:color="000000" w:sz="4" w:val="single"/>
            </w:tcBorders>
            <w:shd w:fill="FFFFFF" w:val="clear"/>
            <w:vAlign w:val="center"/>
          </w:tcPr>
          <w:p w14:paraId="301E0000">
            <w:pPr>
              <w:widowControl w:val="1"/>
              <w:ind/>
              <w:contextualSpacing w:val="1"/>
              <w:jc w:val="center"/>
              <w:rPr>
                <w:sz w:val="22"/>
              </w:rPr>
            </w:pPr>
            <w:r>
              <w:rPr>
                <w:sz w:val="22"/>
              </w:rPr>
              <w:t>26.02.2018-31.12.2018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311E0000">
            <w:pPr>
              <w:widowControl w:val="1"/>
              <w:ind/>
              <w:contextualSpacing w:val="1"/>
              <w:jc w:val="center"/>
              <w:rPr>
                <w:sz w:val="22"/>
              </w:rPr>
            </w:pPr>
            <w:r>
              <w:rPr>
                <w:sz w:val="22"/>
              </w:rPr>
              <w:t>поставка специальной обуви</w:t>
            </w:r>
          </w:p>
        </w:tc>
        <w:tc>
          <w:tcPr>
            <w:tcW w:type="dxa" w:w="1194"/>
            <w:tcBorders>
              <w:top w:color="000000" w:sz="4" w:val="single"/>
              <w:left w:color="000000" w:sz="4" w:val="single"/>
              <w:bottom w:color="000000" w:sz="4" w:val="single"/>
              <w:right w:color="000000" w:sz="4" w:val="single"/>
            </w:tcBorders>
            <w:shd w:fill="FFFFFF" w:val="clear"/>
            <w:vAlign w:val="center"/>
          </w:tcPr>
          <w:p w14:paraId="321E0000">
            <w:pPr>
              <w:widowControl w:val="1"/>
              <w:ind/>
              <w:contextualSpacing w:val="1"/>
              <w:jc w:val="center"/>
              <w:rPr>
                <w:sz w:val="22"/>
              </w:rPr>
            </w:pPr>
            <w:r>
              <w:rPr>
                <w:sz w:val="22"/>
              </w:rPr>
              <w:t>244523</w:t>
            </w:r>
          </w:p>
        </w:tc>
        <w:tc>
          <w:tcPr>
            <w:tcW w:type="dxa" w:w="1221"/>
            <w:tcBorders>
              <w:top w:color="000000" w:sz="4" w:val="single"/>
              <w:left w:color="000000" w:sz="4" w:val="single"/>
              <w:bottom w:color="000000" w:sz="4" w:val="single"/>
              <w:right w:color="000000" w:sz="4" w:val="single"/>
            </w:tcBorders>
            <w:shd w:fill="FFFFFF" w:val="clear"/>
            <w:vAlign w:val="center"/>
          </w:tcPr>
          <w:p w14:paraId="33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34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35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61E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37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381E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91E0000">
            <w:pPr>
              <w:widowControl w:val="1"/>
              <w:ind/>
              <w:contextualSpacing w:val="1"/>
              <w:rPr>
                <w:color w:val="000000"/>
                <w:sz w:val="22"/>
              </w:rPr>
            </w:pPr>
            <w:r>
              <w:rPr>
                <w:color w:val="000000"/>
                <w:sz w:val="22"/>
              </w:rPr>
              <w:t>62</w:t>
            </w:r>
          </w:p>
        </w:tc>
        <w:tc>
          <w:tcPr>
            <w:tcW w:type="dxa" w:w="1408"/>
            <w:tcBorders>
              <w:top w:color="000000" w:sz="4" w:val="single"/>
              <w:left w:color="000000" w:sz="4" w:val="single"/>
              <w:bottom w:color="000000" w:sz="4" w:val="single"/>
              <w:right w:color="000000" w:sz="4" w:val="single"/>
            </w:tcBorders>
            <w:shd w:fill="FFFFFF" w:val="clear"/>
            <w:vAlign w:val="center"/>
          </w:tcPr>
          <w:p w14:paraId="3A1E0000">
            <w:pPr>
              <w:widowControl w:val="1"/>
              <w:ind/>
              <w:contextualSpacing w:val="1"/>
              <w:jc w:val="center"/>
              <w:rPr>
                <w:sz w:val="22"/>
              </w:rPr>
            </w:pPr>
            <w:r>
              <w:rPr>
                <w:sz w:val="22"/>
              </w:rPr>
              <w:t>ООО "АВАНГАРД СИБИРЬ"</w:t>
            </w:r>
          </w:p>
        </w:tc>
        <w:tc>
          <w:tcPr>
            <w:tcW w:type="dxa" w:w="1408"/>
            <w:tcBorders>
              <w:top w:color="000000" w:sz="4" w:val="single"/>
              <w:left w:color="000000" w:sz="4" w:val="single"/>
              <w:bottom w:color="000000" w:sz="4" w:val="single"/>
              <w:right w:color="000000" w:sz="4" w:val="single"/>
            </w:tcBorders>
            <w:shd w:fill="FFFFFF" w:val="clear"/>
            <w:vAlign w:val="center"/>
          </w:tcPr>
          <w:p w14:paraId="3B1E0000">
            <w:pPr>
              <w:widowControl w:val="1"/>
              <w:ind/>
              <w:contextualSpacing w:val="1"/>
              <w:jc w:val="center"/>
              <w:rPr>
                <w:sz w:val="22"/>
              </w:rPr>
            </w:pPr>
            <w:r>
              <w:rPr>
                <w:sz w:val="22"/>
              </w:rPr>
              <w:t>дополнительное соглашение № 1 к договору № 33 от 26.02.2017г. От 14.11.2018</w:t>
            </w:r>
          </w:p>
        </w:tc>
        <w:tc>
          <w:tcPr>
            <w:tcW w:type="dxa" w:w="1274"/>
            <w:tcBorders>
              <w:top w:color="000000" w:sz="4" w:val="single"/>
              <w:left w:color="000000" w:sz="4" w:val="single"/>
              <w:bottom w:color="000000" w:sz="4" w:val="single"/>
              <w:right w:color="000000" w:sz="4" w:val="single"/>
            </w:tcBorders>
            <w:shd w:fill="FFFFFF" w:val="clear"/>
            <w:vAlign w:val="center"/>
          </w:tcPr>
          <w:p w14:paraId="3C1E0000">
            <w:pPr>
              <w:widowControl w:val="1"/>
              <w:ind/>
              <w:contextualSpacing w:val="1"/>
              <w:jc w:val="center"/>
              <w:rPr>
                <w:sz w:val="22"/>
              </w:rPr>
            </w:pPr>
            <w:r>
              <w:rPr>
                <w:sz w:val="22"/>
              </w:rPr>
              <w:t>10.10.2018-31.12.2018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3D1E0000">
            <w:pPr>
              <w:widowControl w:val="1"/>
              <w:ind/>
              <w:contextualSpacing w:val="1"/>
              <w:jc w:val="center"/>
              <w:rPr>
                <w:sz w:val="22"/>
              </w:rPr>
            </w:pPr>
            <w:r>
              <w:rPr>
                <w:sz w:val="22"/>
              </w:rPr>
              <w:t>изменение объема Поставки специальной одежды, увеличение предельной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3E1E0000">
            <w:pPr>
              <w:widowControl w:val="1"/>
              <w:ind/>
              <w:contextualSpacing w:val="1"/>
              <w:jc w:val="center"/>
              <w:rPr>
                <w:sz w:val="22"/>
              </w:rPr>
            </w:pPr>
            <w:r>
              <w:rPr>
                <w:sz w:val="22"/>
              </w:rPr>
              <w:t>380548</w:t>
            </w:r>
          </w:p>
        </w:tc>
        <w:tc>
          <w:tcPr>
            <w:tcW w:type="dxa" w:w="1221"/>
            <w:tcBorders>
              <w:top w:color="000000" w:sz="4" w:val="single"/>
              <w:left w:color="000000" w:sz="4" w:val="single"/>
              <w:bottom w:color="000000" w:sz="4" w:val="single"/>
              <w:right w:color="000000" w:sz="4" w:val="single"/>
            </w:tcBorders>
            <w:shd w:fill="FFFFFF" w:val="clear"/>
            <w:vAlign w:val="center"/>
          </w:tcPr>
          <w:p w14:paraId="3F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0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1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21E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43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441E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451E0000">
            <w:pPr>
              <w:widowControl w:val="1"/>
              <w:ind/>
              <w:contextualSpacing w:val="1"/>
              <w:rPr>
                <w:color w:val="000000"/>
                <w:sz w:val="22"/>
              </w:rPr>
            </w:pPr>
            <w:r>
              <w:rPr>
                <w:color w:val="000000"/>
                <w:sz w:val="22"/>
              </w:rPr>
              <w:t>63</w:t>
            </w:r>
          </w:p>
        </w:tc>
        <w:tc>
          <w:tcPr>
            <w:tcW w:type="dxa" w:w="1408"/>
            <w:tcBorders>
              <w:top w:color="000000" w:sz="4" w:val="single"/>
              <w:left w:color="000000" w:sz="4" w:val="single"/>
              <w:bottom w:color="000000" w:sz="4" w:val="single"/>
              <w:right w:color="000000" w:sz="4" w:val="single"/>
            </w:tcBorders>
            <w:shd w:fill="FFFFFF" w:val="clear"/>
            <w:vAlign w:val="center"/>
          </w:tcPr>
          <w:p w14:paraId="461E0000">
            <w:pPr>
              <w:widowControl w:val="1"/>
              <w:ind/>
              <w:contextualSpacing w:val="1"/>
              <w:jc w:val="center"/>
              <w:rPr>
                <w:sz w:val="22"/>
              </w:rPr>
            </w:pPr>
            <w:r>
              <w:rPr>
                <w:sz w:val="22"/>
              </w:rPr>
              <w:t>ООО "АВАНГАРД СИБИРЬ"</w:t>
            </w:r>
          </w:p>
        </w:tc>
        <w:tc>
          <w:tcPr>
            <w:tcW w:type="dxa" w:w="1408"/>
            <w:tcBorders>
              <w:top w:color="000000" w:sz="4" w:val="single"/>
              <w:left w:color="000000" w:sz="4" w:val="single"/>
              <w:bottom w:color="000000" w:sz="4" w:val="single"/>
              <w:right w:color="000000" w:sz="4" w:val="single"/>
            </w:tcBorders>
            <w:shd w:fill="FFFFFF" w:val="clear"/>
            <w:vAlign w:val="center"/>
          </w:tcPr>
          <w:p w14:paraId="471E0000">
            <w:pPr>
              <w:widowControl w:val="1"/>
              <w:ind/>
              <w:contextualSpacing w:val="1"/>
              <w:jc w:val="center"/>
              <w:rPr>
                <w:sz w:val="22"/>
              </w:rPr>
            </w:pPr>
            <w:r>
              <w:rPr>
                <w:sz w:val="22"/>
              </w:rPr>
              <w:t>дополнительное соглашение № 1 к договору № 33/1 от 26.02.2017г. От 14.11.2018</w:t>
            </w:r>
          </w:p>
        </w:tc>
        <w:tc>
          <w:tcPr>
            <w:tcW w:type="dxa" w:w="1274"/>
            <w:tcBorders>
              <w:top w:color="000000" w:sz="4" w:val="single"/>
              <w:left w:color="000000" w:sz="4" w:val="single"/>
              <w:bottom w:color="000000" w:sz="4" w:val="single"/>
              <w:right w:color="000000" w:sz="4" w:val="single"/>
            </w:tcBorders>
            <w:shd w:fill="FFFFFF" w:val="clear"/>
            <w:vAlign w:val="center"/>
          </w:tcPr>
          <w:p w14:paraId="481E0000">
            <w:pPr>
              <w:widowControl w:val="1"/>
              <w:ind/>
              <w:contextualSpacing w:val="1"/>
              <w:jc w:val="center"/>
              <w:rPr>
                <w:sz w:val="22"/>
              </w:rPr>
            </w:pPr>
            <w:r>
              <w:rPr>
                <w:sz w:val="22"/>
              </w:rPr>
              <w:t>10.10.2018-31.12.2018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491E0000">
            <w:pPr>
              <w:widowControl w:val="1"/>
              <w:ind/>
              <w:contextualSpacing w:val="1"/>
              <w:jc w:val="center"/>
              <w:rPr>
                <w:sz w:val="22"/>
              </w:rPr>
            </w:pPr>
            <w:r>
              <w:rPr>
                <w:sz w:val="22"/>
              </w:rPr>
              <w:t>изменение объема Поставки специальной обуви, увеличение предельной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4A1E0000">
            <w:pPr>
              <w:widowControl w:val="1"/>
              <w:ind/>
              <w:contextualSpacing w:val="1"/>
              <w:jc w:val="center"/>
              <w:rPr>
                <w:sz w:val="22"/>
              </w:rPr>
            </w:pPr>
            <w:r>
              <w:rPr>
                <w:sz w:val="22"/>
              </w:rPr>
              <w:t>315454</w:t>
            </w:r>
          </w:p>
        </w:tc>
        <w:tc>
          <w:tcPr>
            <w:tcW w:type="dxa" w:w="1221"/>
            <w:tcBorders>
              <w:top w:color="000000" w:sz="4" w:val="single"/>
              <w:left w:color="000000" w:sz="4" w:val="single"/>
              <w:bottom w:color="000000" w:sz="4" w:val="single"/>
              <w:right w:color="000000" w:sz="4" w:val="single"/>
            </w:tcBorders>
            <w:shd w:fill="FFFFFF" w:val="clear"/>
            <w:vAlign w:val="center"/>
          </w:tcPr>
          <w:p w14:paraId="4B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C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D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E1E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4F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501E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511E0000">
            <w:pPr>
              <w:widowControl w:val="1"/>
              <w:ind/>
              <w:contextualSpacing w:val="1"/>
              <w:rPr>
                <w:color w:val="000000"/>
                <w:sz w:val="22"/>
              </w:rPr>
            </w:pPr>
            <w:r>
              <w:rPr>
                <w:color w:val="000000"/>
                <w:sz w:val="22"/>
              </w:rPr>
              <w:t>64</w:t>
            </w:r>
          </w:p>
        </w:tc>
        <w:tc>
          <w:tcPr>
            <w:tcW w:type="dxa" w:w="1408"/>
            <w:tcBorders>
              <w:top w:color="000000" w:sz="4" w:val="single"/>
              <w:left w:color="000000" w:sz="4" w:val="single"/>
              <w:bottom w:color="000000" w:sz="4" w:val="single"/>
              <w:right w:color="000000" w:sz="4" w:val="single"/>
            </w:tcBorders>
            <w:shd w:fill="FFFFFF" w:val="clear"/>
            <w:vAlign w:val="center"/>
          </w:tcPr>
          <w:p w14:paraId="521E0000">
            <w:pPr>
              <w:widowControl w:val="1"/>
              <w:ind/>
              <w:contextualSpacing w:val="1"/>
              <w:jc w:val="center"/>
              <w:rPr>
                <w:sz w:val="22"/>
              </w:rPr>
            </w:pPr>
            <w:r>
              <w:rPr>
                <w:sz w:val="22"/>
              </w:rPr>
              <w:t>ООО "АВАНГАРД СИБИРЬ"</w:t>
            </w:r>
          </w:p>
        </w:tc>
        <w:tc>
          <w:tcPr>
            <w:tcW w:type="dxa" w:w="1408"/>
            <w:tcBorders>
              <w:top w:color="000000" w:sz="4" w:val="single"/>
              <w:left w:color="000000" w:sz="4" w:val="single"/>
              <w:bottom w:color="000000" w:sz="4" w:val="single"/>
              <w:right w:color="000000" w:sz="4" w:val="single"/>
            </w:tcBorders>
            <w:shd w:fill="FFFFFF" w:val="clear"/>
            <w:vAlign w:val="center"/>
          </w:tcPr>
          <w:p w14:paraId="531E0000">
            <w:pPr>
              <w:widowControl w:val="1"/>
              <w:ind/>
              <w:contextualSpacing w:val="1"/>
              <w:jc w:val="center"/>
              <w:rPr>
                <w:sz w:val="22"/>
              </w:rPr>
            </w:pPr>
            <w:r>
              <w:rPr>
                <w:sz w:val="22"/>
              </w:rPr>
              <w:t>дополнительное соглашение № 2 к договору № 33 от 26.02.2017г. От 14.11.2018</w:t>
            </w:r>
          </w:p>
        </w:tc>
        <w:tc>
          <w:tcPr>
            <w:tcW w:type="dxa" w:w="1274"/>
            <w:tcBorders>
              <w:top w:color="000000" w:sz="4" w:val="single"/>
              <w:left w:color="000000" w:sz="4" w:val="single"/>
              <w:bottom w:color="000000" w:sz="4" w:val="single"/>
              <w:right w:color="000000" w:sz="4" w:val="single"/>
            </w:tcBorders>
            <w:shd w:fill="FFFFFF" w:val="clear"/>
            <w:vAlign w:val="center"/>
          </w:tcPr>
          <w:p w14:paraId="541E0000">
            <w:pPr>
              <w:widowControl w:val="1"/>
              <w:ind/>
              <w:contextualSpacing w:val="1"/>
              <w:jc w:val="center"/>
              <w:rPr>
                <w:sz w:val="22"/>
              </w:rPr>
            </w:pPr>
            <w:r>
              <w:rPr>
                <w:sz w:val="22"/>
              </w:rPr>
              <w:t>10.10.2018-31.12.2018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551E0000">
            <w:pPr>
              <w:widowControl w:val="1"/>
              <w:ind/>
              <w:contextualSpacing w:val="1"/>
              <w:jc w:val="center"/>
              <w:rPr>
                <w:sz w:val="22"/>
              </w:rPr>
            </w:pPr>
            <w:r>
              <w:rPr>
                <w:sz w:val="22"/>
              </w:rPr>
              <w:t>внесение изменений в порядок оплаты по договору поставки специальной одежды, без изменения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561E0000">
            <w:pPr>
              <w:widowControl w:val="1"/>
              <w:ind/>
              <w:contextualSpacing w:val="1"/>
              <w:jc w:val="center"/>
              <w:rPr>
                <w:sz w:val="22"/>
              </w:rPr>
            </w:pPr>
            <w:r>
              <w:rPr>
                <w:sz w:val="22"/>
              </w:rPr>
              <w:t>380548</w:t>
            </w:r>
          </w:p>
        </w:tc>
        <w:tc>
          <w:tcPr>
            <w:tcW w:type="dxa" w:w="1221"/>
            <w:tcBorders>
              <w:top w:color="000000" w:sz="4" w:val="single"/>
              <w:left w:color="000000" w:sz="4" w:val="single"/>
              <w:bottom w:color="000000" w:sz="4" w:val="single"/>
              <w:right w:color="000000" w:sz="4" w:val="single"/>
            </w:tcBorders>
            <w:shd w:fill="FFFFFF" w:val="clear"/>
            <w:vAlign w:val="center"/>
          </w:tcPr>
          <w:p w14:paraId="57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8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9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A1E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5B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5C1E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5D1E0000">
            <w:pPr>
              <w:widowControl w:val="1"/>
              <w:ind/>
              <w:contextualSpacing w:val="1"/>
              <w:jc w:val="center"/>
              <w:rPr>
                <w:color w:val="000000"/>
                <w:sz w:val="22"/>
              </w:rPr>
            </w:pPr>
            <w:r>
              <w:rPr>
                <w:color w:val="000000"/>
                <w:sz w:val="22"/>
              </w:rPr>
              <w:t>Итого по контрагенту ООО "АВАНГАРД СИБИРЬ" 696002 руб.</w:t>
            </w:r>
          </w:p>
          <w:p w14:paraId="5E1E0000">
            <w:pPr>
              <w:widowControl w:val="1"/>
              <w:ind/>
              <w:contextualSpacing w:val="1"/>
              <w:jc w:val="center"/>
              <w:rPr>
                <w:color w:val="000000"/>
                <w:sz w:val="22"/>
              </w:rPr>
            </w:pPr>
          </w:p>
        </w:tc>
      </w:tr>
      <w:tr>
        <w:trPr>
          <w:trHeight w:hRule="atLeast" w:val="2280"/>
        </w:trPr>
        <w:tc>
          <w:tcPr>
            <w:tcW w:type="dxa" w:w="528"/>
            <w:tcBorders>
              <w:top w:color="000000" w:sz="4" w:val="single"/>
              <w:left w:color="000000" w:sz="4" w:val="single"/>
              <w:bottom w:color="000000" w:sz="4" w:val="single"/>
              <w:right w:color="000000" w:sz="4" w:val="single"/>
            </w:tcBorders>
            <w:shd w:fill="FFFFFF" w:val="clear"/>
            <w:vAlign w:val="center"/>
          </w:tcPr>
          <w:p w14:paraId="5F1E0000">
            <w:pPr>
              <w:widowControl w:val="1"/>
              <w:ind/>
              <w:contextualSpacing w:val="1"/>
              <w:rPr>
                <w:color w:val="000000"/>
                <w:sz w:val="22"/>
              </w:rPr>
            </w:pPr>
            <w:r>
              <w:rPr>
                <w:color w:val="000000"/>
                <w:sz w:val="22"/>
              </w:rPr>
              <w:t>65</w:t>
            </w:r>
          </w:p>
        </w:tc>
        <w:tc>
          <w:tcPr>
            <w:tcW w:type="dxa" w:w="1408"/>
            <w:tcBorders>
              <w:top w:color="000000" w:sz="4" w:val="single"/>
              <w:left w:color="000000" w:sz="4" w:val="single"/>
              <w:bottom w:color="000000" w:sz="4" w:val="single"/>
              <w:right w:color="000000" w:sz="4" w:val="single"/>
            </w:tcBorders>
            <w:shd w:fill="FFFFFF" w:val="clear"/>
            <w:vAlign w:val="center"/>
          </w:tcPr>
          <w:p w14:paraId="601E0000">
            <w:pPr>
              <w:widowControl w:val="1"/>
              <w:ind/>
              <w:contextualSpacing w:val="1"/>
              <w:jc w:val="center"/>
              <w:rPr>
                <w:sz w:val="22"/>
              </w:rPr>
            </w:pPr>
            <w:r>
              <w:rPr>
                <w:sz w:val="22"/>
              </w:rPr>
              <w:t>ООО "Абакан-Аква"</w:t>
            </w:r>
          </w:p>
        </w:tc>
        <w:tc>
          <w:tcPr>
            <w:tcW w:type="dxa" w:w="1408"/>
            <w:tcBorders>
              <w:top w:color="000000" w:sz="4" w:val="single"/>
              <w:left w:color="000000" w:sz="4" w:val="single"/>
              <w:bottom w:color="000000" w:sz="4" w:val="single"/>
              <w:right w:color="000000" w:sz="4" w:val="single"/>
            </w:tcBorders>
            <w:shd w:fill="FFFFFF" w:val="clear"/>
            <w:vAlign w:val="center"/>
          </w:tcPr>
          <w:p w14:paraId="611E0000">
            <w:pPr>
              <w:widowControl w:val="1"/>
              <w:ind/>
              <w:contextualSpacing w:val="1"/>
              <w:jc w:val="center"/>
              <w:rPr>
                <w:sz w:val="22"/>
              </w:rPr>
            </w:pPr>
            <w:r>
              <w:rPr>
                <w:sz w:val="22"/>
              </w:rPr>
              <w:t>договор № 59 от 01.03.2018</w:t>
            </w:r>
          </w:p>
        </w:tc>
        <w:tc>
          <w:tcPr>
            <w:tcW w:type="dxa" w:w="1274"/>
            <w:tcBorders>
              <w:top w:color="000000" w:sz="4" w:val="single"/>
              <w:left w:color="000000" w:sz="4" w:val="single"/>
              <w:bottom w:color="000000" w:sz="4" w:val="single"/>
              <w:right w:color="000000" w:sz="4" w:val="single"/>
            </w:tcBorders>
            <w:shd w:fill="FFFFFF" w:val="clear"/>
            <w:vAlign w:val="center"/>
          </w:tcPr>
          <w:p w14:paraId="621E0000">
            <w:pPr>
              <w:widowControl w:val="1"/>
              <w:ind/>
              <w:contextualSpacing w:val="1"/>
              <w:jc w:val="center"/>
              <w:rPr>
                <w:sz w:val="22"/>
              </w:rPr>
            </w:pPr>
            <w:r>
              <w:rPr>
                <w:sz w:val="22"/>
              </w:rPr>
              <w:t>01.03.2018-01.03.2020</w:t>
            </w:r>
          </w:p>
        </w:tc>
        <w:tc>
          <w:tcPr>
            <w:tcW w:type="dxa" w:w="1556"/>
            <w:tcBorders>
              <w:top w:color="000000" w:sz="4" w:val="single"/>
              <w:left w:color="000000" w:sz="4" w:val="single"/>
              <w:bottom w:color="000000" w:sz="4" w:val="single"/>
              <w:right w:color="000000" w:sz="4" w:val="single"/>
            </w:tcBorders>
            <w:shd w:fill="FFFFFF" w:val="clear"/>
            <w:vAlign w:val="center"/>
          </w:tcPr>
          <w:p w14:paraId="631E0000">
            <w:pPr>
              <w:widowControl w:val="1"/>
              <w:ind/>
              <w:contextualSpacing w:val="1"/>
              <w:jc w:val="center"/>
              <w:rPr>
                <w:sz w:val="22"/>
              </w:rPr>
            </w:pPr>
            <w:r>
              <w:rPr>
                <w:sz w:val="22"/>
              </w:rPr>
              <w:t>Поставка питьевой воды г. Абакан</w:t>
            </w:r>
          </w:p>
        </w:tc>
        <w:tc>
          <w:tcPr>
            <w:tcW w:type="dxa" w:w="1194"/>
            <w:tcBorders>
              <w:top w:color="000000" w:sz="4" w:val="single"/>
              <w:left w:color="000000" w:sz="4" w:val="single"/>
              <w:bottom w:color="000000" w:sz="4" w:val="single"/>
              <w:right w:color="000000" w:sz="4" w:val="single"/>
            </w:tcBorders>
            <w:shd w:fill="FFFFFF" w:val="clear"/>
            <w:vAlign w:val="center"/>
          </w:tcPr>
          <w:p w14:paraId="641E0000">
            <w:pPr>
              <w:widowControl w:val="1"/>
              <w:ind/>
              <w:contextualSpacing w:val="1"/>
              <w:jc w:val="center"/>
              <w:rPr>
                <w:sz w:val="22"/>
              </w:rPr>
            </w:pPr>
            <w:r>
              <w:rPr>
                <w:sz w:val="22"/>
              </w:rPr>
              <w:t>6720</w:t>
            </w:r>
          </w:p>
        </w:tc>
        <w:tc>
          <w:tcPr>
            <w:tcW w:type="dxa" w:w="1221"/>
            <w:tcBorders>
              <w:top w:color="000000" w:sz="4" w:val="single"/>
              <w:left w:color="000000" w:sz="4" w:val="single"/>
              <w:bottom w:color="000000" w:sz="4" w:val="single"/>
              <w:right w:color="000000" w:sz="4" w:val="single"/>
            </w:tcBorders>
            <w:shd w:fill="FFFFFF" w:val="clear"/>
            <w:vAlign w:val="center"/>
          </w:tcPr>
          <w:p w14:paraId="65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6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7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81E0000">
            <w:pPr>
              <w:widowControl w:val="1"/>
              <w:ind/>
              <w:contextualSpacing w:val="1"/>
              <w:jc w:val="center"/>
              <w:rPr>
                <w:color w:val="000000"/>
                <w:sz w:val="22"/>
              </w:rPr>
            </w:pPr>
            <w:r>
              <w:rPr>
                <w:color w:val="000000"/>
                <w:sz w:val="22"/>
              </w:rPr>
              <w:t>выполняется</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69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6A1E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170"/>
        </w:trPr>
        <w:tc>
          <w:tcPr>
            <w:tcW w:type="dxa" w:w="528"/>
            <w:tcBorders>
              <w:top w:color="000000" w:sz="4" w:val="single"/>
              <w:left w:color="000000" w:sz="4" w:val="single"/>
              <w:bottom w:color="000000" w:sz="4" w:val="single"/>
              <w:right w:color="000000" w:sz="4" w:val="single"/>
            </w:tcBorders>
            <w:shd w:fill="FFFFFF" w:val="clear"/>
            <w:vAlign w:val="center"/>
          </w:tcPr>
          <w:p w14:paraId="6B1E0000">
            <w:pPr>
              <w:widowControl w:val="1"/>
              <w:ind/>
              <w:contextualSpacing w:val="1"/>
              <w:rPr>
                <w:color w:val="000000"/>
                <w:sz w:val="22"/>
              </w:rPr>
            </w:pPr>
            <w:r>
              <w:rPr>
                <w:color w:val="000000"/>
                <w:sz w:val="22"/>
              </w:rPr>
              <w:t>66</w:t>
            </w:r>
          </w:p>
        </w:tc>
        <w:tc>
          <w:tcPr>
            <w:tcW w:type="dxa" w:w="1408"/>
            <w:tcBorders>
              <w:top w:color="000000" w:sz="4" w:val="single"/>
              <w:left w:color="000000" w:sz="4" w:val="single"/>
              <w:bottom w:color="000000" w:sz="4" w:val="single"/>
              <w:right w:color="000000" w:sz="4" w:val="single"/>
            </w:tcBorders>
            <w:shd w:fill="FFFFFF" w:val="clear"/>
            <w:vAlign w:val="center"/>
          </w:tcPr>
          <w:p w14:paraId="6C1E0000">
            <w:pPr>
              <w:widowControl w:val="1"/>
              <w:ind/>
              <w:contextualSpacing w:val="1"/>
              <w:jc w:val="center"/>
              <w:rPr>
                <w:sz w:val="22"/>
              </w:rPr>
            </w:pPr>
            <w:r>
              <w:rPr>
                <w:sz w:val="22"/>
              </w:rPr>
              <w:t>ООО "АЗИМУТ НТ"</w:t>
            </w:r>
          </w:p>
        </w:tc>
        <w:tc>
          <w:tcPr>
            <w:tcW w:type="dxa" w:w="1408"/>
            <w:tcBorders>
              <w:top w:color="000000" w:sz="4" w:val="single"/>
              <w:left w:color="000000" w:sz="4" w:val="single"/>
              <w:bottom w:color="000000" w:sz="4" w:val="single"/>
              <w:right w:color="000000" w:sz="4" w:val="single"/>
            </w:tcBorders>
            <w:shd w:fill="FFFFFF" w:val="clear"/>
            <w:vAlign w:val="center"/>
          </w:tcPr>
          <w:p w14:paraId="6D1E0000">
            <w:pPr>
              <w:widowControl w:val="1"/>
              <w:ind/>
              <w:contextualSpacing w:val="1"/>
              <w:jc w:val="center"/>
              <w:rPr>
                <w:sz w:val="22"/>
              </w:rPr>
            </w:pPr>
            <w:r>
              <w:rPr>
                <w:sz w:val="22"/>
              </w:rPr>
              <w:t>договор № 30 от 20.02.2018</w:t>
            </w:r>
          </w:p>
        </w:tc>
        <w:tc>
          <w:tcPr>
            <w:tcW w:type="dxa" w:w="1274"/>
            <w:tcBorders>
              <w:top w:color="000000" w:sz="4" w:val="single"/>
              <w:left w:color="000000" w:sz="4" w:val="single"/>
              <w:bottom w:color="000000" w:sz="4" w:val="single"/>
              <w:right w:color="000000" w:sz="4" w:val="single"/>
            </w:tcBorders>
            <w:shd w:fill="FFFFFF" w:val="clear"/>
            <w:vAlign w:val="center"/>
          </w:tcPr>
          <w:p w14:paraId="6E1E0000">
            <w:pPr>
              <w:widowControl w:val="1"/>
              <w:ind/>
              <w:contextualSpacing w:val="1"/>
              <w:jc w:val="center"/>
              <w:rPr>
                <w:sz w:val="22"/>
              </w:rPr>
            </w:pPr>
            <w:r>
              <w:rPr>
                <w:sz w:val="22"/>
              </w:rPr>
              <w:t>20.02.2018-31.12.2018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6F1E0000">
            <w:pPr>
              <w:widowControl w:val="1"/>
              <w:ind/>
              <w:contextualSpacing w:val="1"/>
              <w:jc w:val="center"/>
              <w:rPr>
                <w:sz w:val="22"/>
              </w:rPr>
            </w:pPr>
            <w:r>
              <w:rPr>
                <w:sz w:val="22"/>
              </w:rPr>
              <w:t>поставка канцелярских бумажных принадлежностей</w:t>
            </w:r>
          </w:p>
        </w:tc>
        <w:tc>
          <w:tcPr>
            <w:tcW w:type="dxa" w:w="1194"/>
            <w:tcBorders>
              <w:top w:color="000000" w:sz="4" w:val="single"/>
              <w:left w:color="000000" w:sz="4" w:val="single"/>
              <w:bottom w:color="000000" w:sz="4" w:val="single"/>
              <w:right w:color="000000" w:sz="4" w:val="single"/>
            </w:tcBorders>
            <w:shd w:fill="FFFFFF" w:val="clear"/>
            <w:vAlign w:val="center"/>
          </w:tcPr>
          <w:p w14:paraId="701E0000">
            <w:pPr>
              <w:widowControl w:val="1"/>
              <w:ind/>
              <w:contextualSpacing w:val="1"/>
              <w:jc w:val="center"/>
              <w:rPr>
                <w:sz w:val="22"/>
              </w:rPr>
            </w:pPr>
            <w:r>
              <w:rPr>
                <w:sz w:val="22"/>
              </w:rPr>
              <w:t>311484,62</w:t>
            </w:r>
          </w:p>
        </w:tc>
        <w:tc>
          <w:tcPr>
            <w:tcW w:type="dxa" w:w="1221"/>
            <w:tcBorders>
              <w:top w:color="000000" w:sz="4" w:val="single"/>
              <w:left w:color="000000" w:sz="4" w:val="single"/>
              <w:bottom w:color="000000" w:sz="4" w:val="single"/>
              <w:right w:color="000000" w:sz="4" w:val="single"/>
            </w:tcBorders>
            <w:shd w:fill="FFFFFF" w:val="clear"/>
            <w:vAlign w:val="center"/>
          </w:tcPr>
          <w:p w14:paraId="71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2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3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41E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75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761E0000">
            <w:pPr>
              <w:widowControl w:val="1"/>
              <w:ind/>
              <w:contextualSpacing w:val="1"/>
              <w:jc w:val="center"/>
              <w:rPr>
                <w:sz w:val="22"/>
              </w:rPr>
            </w:pPr>
            <w:r>
              <w:rPr>
                <w:sz w:val="22"/>
              </w:rPr>
              <w:t>протокол КК № 2 от 13.02.2018</w:t>
            </w:r>
          </w:p>
        </w:tc>
      </w:tr>
      <w:tr>
        <w:trPr>
          <w:trHeight w:hRule="atLeast" w:val="1170"/>
        </w:trPr>
        <w:tc>
          <w:tcPr>
            <w:tcW w:type="dxa" w:w="528"/>
            <w:tcBorders>
              <w:top w:color="000000" w:sz="4" w:val="single"/>
              <w:left w:color="000000" w:sz="4" w:val="single"/>
              <w:bottom w:color="000000" w:sz="4" w:val="single"/>
              <w:right w:color="000000" w:sz="4" w:val="single"/>
            </w:tcBorders>
            <w:shd w:fill="FFFFFF" w:val="clear"/>
            <w:vAlign w:val="center"/>
          </w:tcPr>
          <w:p w14:paraId="771E0000">
            <w:pPr>
              <w:widowControl w:val="1"/>
              <w:ind/>
              <w:contextualSpacing w:val="1"/>
              <w:rPr>
                <w:color w:val="000000"/>
                <w:sz w:val="22"/>
              </w:rPr>
            </w:pPr>
            <w:r>
              <w:rPr>
                <w:color w:val="000000"/>
                <w:sz w:val="22"/>
              </w:rPr>
              <w:t>67</w:t>
            </w:r>
          </w:p>
        </w:tc>
        <w:tc>
          <w:tcPr>
            <w:tcW w:type="dxa" w:w="1408"/>
            <w:tcBorders>
              <w:top w:color="000000" w:sz="4" w:val="single"/>
              <w:left w:color="000000" w:sz="4" w:val="single"/>
              <w:bottom w:color="000000" w:sz="4" w:val="single"/>
              <w:right w:color="000000" w:sz="4" w:val="single"/>
            </w:tcBorders>
            <w:shd w:fill="FFFFFF" w:val="clear"/>
            <w:vAlign w:val="center"/>
          </w:tcPr>
          <w:p w14:paraId="781E0000">
            <w:pPr>
              <w:widowControl w:val="1"/>
              <w:ind/>
              <w:contextualSpacing w:val="1"/>
              <w:jc w:val="center"/>
              <w:rPr>
                <w:sz w:val="22"/>
              </w:rPr>
            </w:pPr>
            <w:r>
              <w:rPr>
                <w:sz w:val="22"/>
              </w:rPr>
              <w:t>ООО "АЗИМУТ НТ"</w:t>
            </w:r>
          </w:p>
        </w:tc>
        <w:tc>
          <w:tcPr>
            <w:tcW w:type="dxa" w:w="1408"/>
            <w:tcBorders>
              <w:top w:color="000000" w:sz="4" w:val="single"/>
              <w:left w:color="000000" w:sz="4" w:val="single"/>
              <w:bottom w:color="000000" w:sz="4" w:val="single"/>
              <w:right w:color="000000" w:sz="4" w:val="single"/>
            </w:tcBorders>
            <w:shd w:fill="FFFFFF" w:val="clear"/>
            <w:vAlign w:val="center"/>
          </w:tcPr>
          <w:p w14:paraId="791E0000">
            <w:pPr>
              <w:widowControl w:val="1"/>
              <w:ind/>
              <w:contextualSpacing w:val="1"/>
              <w:jc w:val="center"/>
              <w:rPr>
                <w:sz w:val="22"/>
              </w:rPr>
            </w:pPr>
            <w:r>
              <w:rPr>
                <w:sz w:val="22"/>
              </w:rPr>
              <w:t>договор № 111 от 16.10.2018</w:t>
            </w:r>
          </w:p>
        </w:tc>
        <w:tc>
          <w:tcPr>
            <w:tcW w:type="dxa" w:w="1274"/>
            <w:tcBorders>
              <w:top w:color="000000" w:sz="4" w:val="single"/>
              <w:left w:color="000000" w:sz="4" w:val="single"/>
              <w:bottom w:color="000000" w:sz="4" w:val="single"/>
              <w:right w:color="000000" w:sz="4" w:val="single"/>
            </w:tcBorders>
            <w:shd w:fill="FFFFFF" w:val="clear"/>
            <w:vAlign w:val="center"/>
          </w:tcPr>
          <w:p w14:paraId="7A1E0000">
            <w:pPr>
              <w:widowControl w:val="1"/>
              <w:ind/>
              <w:contextualSpacing w:val="1"/>
              <w:jc w:val="center"/>
              <w:rPr>
                <w:sz w:val="22"/>
              </w:rPr>
            </w:pPr>
            <w:r>
              <w:rPr>
                <w:sz w:val="22"/>
              </w:rPr>
              <w:t>16.10.2018-31.12.2018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7B1E0000">
            <w:pPr>
              <w:widowControl w:val="1"/>
              <w:ind/>
              <w:contextualSpacing w:val="1"/>
              <w:jc w:val="center"/>
              <w:rPr>
                <w:sz w:val="22"/>
              </w:rPr>
            </w:pPr>
            <w:r>
              <w:rPr>
                <w:sz w:val="22"/>
              </w:rPr>
              <w:t>поставка комплектующих и принадлежностей для компьютерного оборудования</w:t>
            </w:r>
          </w:p>
        </w:tc>
        <w:tc>
          <w:tcPr>
            <w:tcW w:type="dxa" w:w="1194"/>
            <w:tcBorders>
              <w:top w:color="000000" w:sz="4" w:val="single"/>
              <w:left w:color="000000" w:sz="4" w:val="single"/>
              <w:bottom w:color="000000" w:sz="4" w:val="single"/>
              <w:right w:color="000000" w:sz="4" w:val="single"/>
            </w:tcBorders>
            <w:shd w:fill="FFFFFF" w:val="clear"/>
            <w:vAlign w:val="center"/>
          </w:tcPr>
          <w:p w14:paraId="7C1E0000">
            <w:pPr>
              <w:widowControl w:val="1"/>
              <w:ind/>
              <w:contextualSpacing w:val="1"/>
              <w:jc w:val="center"/>
              <w:rPr>
                <w:sz w:val="22"/>
              </w:rPr>
            </w:pPr>
            <w:r>
              <w:rPr>
                <w:sz w:val="22"/>
              </w:rPr>
              <w:t>619133,33</w:t>
            </w:r>
          </w:p>
        </w:tc>
        <w:tc>
          <w:tcPr>
            <w:tcW w:type="dxa" w:w="1221"/>
            <w:tcBorders>
              <w:top w:color="000000" w:sz="4" w:val="single"/>
              <w:left w:color="000000" w:sz="4" w:val="single"/>
              <w:bottom w:color="000000" w:sz="4" w:val="single"/>
              <w:right w:color="000000" w:sz="4" w:val="single"/>
            </w:tcBorders>
            <w:shd w:fill="FFFFFF" w:val="clear"/>
            <w:vAlign w:val="center"/>
          </w:tcPr>
          <w:p w14:paraId="7D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E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F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01E0000">
            <w:pPr>
              <w:widowControl w:val="1"/>
              <w:ind/>
              <w:contextualSpacing w:val="1"/>
              <w:jc w:val="center"/>
              <w:rPr>
                <w:color w:val="000000"/>
                <w:sz w:val="22"/>
              </w:rPr>
            </w:pPr>
            <w:r>
              <w:rPr>
                <w:color w:val="000000"/>
                <w:sz w:val="22"/>
              </w:rPr>
              <w:t>выполнено</w:t>
            </w:r>
          </w:p>
        </w:tc>
        <w:tc>
          <w:tcPr>
            <w:tcW w:type="dxa" w:w="1467"/>
            <w:gridSpan w:val="2"/>
            <w:tcBorders>
              <w:top w:color="000000" w:sz="4" w:val="single"/>
              <w:left w:color="000000" w:sz="4" w:val="single"/>
              <w:bottom w:color="000000" w:sz="4" w:val="single"/>
              <w:right w:color="000000" w:sz="4" w:val="single"/>
            </w:tcBorders>
            <w:shd w:fill="FFFFFF" w:val="clear"/>
            <w:vAlign w:val="center"/>
          </w:tcPr>
          <w:p w14:paraId="81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654"/>
            <w:tcBorders>
              <w:top w:color="000000" w:sz="4" w:val="single"/>
              <w:left w:color="000000" w:sz="4" w:val="single"/>
              <w:bottom w:color="000000" w:sz="4" w:val="single"/>
              <w:right w:color="000000" w:sz="4" w:val="single"/>
            </w:tcBorders>
            <w:shd w:fill="FFFFFF" w:val="clear"/>
            <w:vAlign w:val="center"/>
          </w:tcPr>
          <w:p w14:paraId="821E0000">
            <w:pPr>
              <w:widowControl w:val="1"/>
              <w:ind/>
              <w:contextualSpacing w:val="1"/>
              <w:jc w:val="center"/>
              <w:rPr>
                <w:sz w:val="22"/>
              </w:rPr>
            </w:pPr>
            <w:r>
              <w:rPr>
                <w:sz w:val="22"/>
              </w:rPr>
              <w:t>Протокол проведения открытого аукциона в электронной форме № 27251/ОАЭ-АО «Краспригород»/2018/КРА/2 от 05.10.2018</w:t>
            </w:r>
          </w:p>
        </w:tc>
      </w:tr>
      <w:tr>
        <w:trPr>
          <w:trHeight w:hRule="atLeast" w:val="572"/>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831E0000">
            <w:pPr>
              <w:widowControl w:val="1"/>
              <w:ind/>
              <w:contextualSpacing w:val="1"/>
              <w:jc w:val="center"/>
              <w:rPr>
                <w:color w:val="000000"/>
                <w:sz w:val="22"/>
              </w:rPr>
            </w:pPr>
            <w:r>
              <w:rPr>
                <w:color w:val="000000"/>
                <w:sz w:val="22"/>
              </w:rPr>
              <w:t>итого по контрагенту ООО "АЗИМУТ НТ" 930617,95 руб.</w:t>
            </w:r>
          </w:p>
          <w:p w14:paraId="841E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851E0000">
            <w:pPr>
              <w:widowControl w:val="1"/>
              <w:ind/>
              <w:contextualSpacing w:val="1"/>
              <w:rPr>
                <w:color w:val="000000"/>
                <w:sz w:val="22"/>
              </w:rPr>
            </w:pPr>
            <w:r>
              <w:rPr>
                <w:color w:val="000000"/>
                <w:sz w:val="22"/>
              </w:rPr>
              <w:t>68</w:t>
            </w:r>
          </w:p>
        </w:tc>
        <w:tc>
          <w:tcPr>
            <w:tcW w:type="dxa" w:w="1408"/>
            <w:tcBorders>
              <w:top w:color="000000" w:sz="4" w:val="single"/>
              <w:left w:color="000000" w:sz="4" w:val="single"/>
              <w:bottom w:color="000000" w:sz="4" w:val="single"/>
              <w:right w:color="000000" w:sz="4" w:val="single"/>
            </w:tcBorders>
            <w:shd w:fill="FFFFFF" w:val="clear"/>
            <w:vAlign w:val="center"/>
          </w:tcPr>
          <w:p w14:paraId="861E0000">
            <w:pPr>
              <w:widowControl w:val="1"/>
              <w:ind/>
              <w:contextualSpacing w:val="1"/>
              <w:jc w:val="center"/>
              <w:rPr>
                <w:sz w:val="22"/>
              </w:rPr>
            </w:pPr>
            <w:r>
              <w:rPr>
                <w:sz w:val="22"/>
              </w:rPr>
              <w:t>ООО "Гарант Ц"</w:t>
            </w:r>
          </w:p>
        </w:tc>
        <w:tc>
          <w:tcPr>
            <w:tcW w:type="dxa" w:w="1408"/>
            <w:tcBorders>
              <w:top w:color="000000" w:sz="4" w:val="single"/>
              <w:left w:color="000000" w:sz="4" w:val="single"/>
              <w:bottom w:color="000000" w:sz="4" w:val="single"/>
              <w:right w:color="000000" w:sz="4" w:val="single"/>
            </w:tcBorders>
            <w:shd w:fill="FFFFFF" w:val="clear"/>
            <w:vAlign w:val="center"/>
          </w:tcPr>
          <w:p w14:paraId="871E0000">
            <w:pPr>
              <w:widowControl w:val="1"/>
              <w:ind/>
              <w:contextualSpacing w:val="1"/>
              <w:jc w:val="center"/>
              <w:rPr>
                <w:sz w:val="22"/>
              </w:rPr>
            </w:pPr>
            <w:r>
              <w:rPr>
                <w:sz w:val="22"/>
              </w:rPr>
              <w:t>договор № 40/579 от 28.02.2018</w:t>
            </w:r>
          </w:p>
        </w:tc>
        <w:tc>
          <w:tcPr>
            <w:tcW w:type="dxa" w:w="1274"/>
            <w:tcBorders>
              <w:top w:color="000000" w:sz="4" w:val="single"/>
              <w:left w:color="000000" w:sz="4" w:val="single"/>
              <w:bottom w:color="000000" w:sz="4" w:val="single"/>
              <w:right w:color="000000" w:sz="4" w:val="single"/>
            </w:tcBorders>
            <w:shd w:fill="FFFFFF" w:val="clear"/>
            <w:vAlign w:val="center"/>
          </w:tcPr>
          <w:p w14:paraId="881E0000">
            <w:pPr>
              <w:widowControl w:val="1"/>
              <w:ind/>
              <w:contextualSpacing w:val="1"/>
              <w:jc w:val="center"/>
              <w:rPr>
                <w:sz w:val="22"/>
              </w:rPr>
            </w:pPr>
            <w:r>
              <w:rPr>
                <w:sz w:val="22"/>
              </w:rPr>
              <w:t>28.02.2018-31.12.2018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891E0000">
            <w:pPr>
              <w:widowControl w:val="1"/>
              <w:ind/>
              <w:contextualSpacing w:val="1"/>
              <w:jc w:val="center"/>
              <w:rPr>
                <w:sz w:val="22"/>
              </w:rPr>
            </w:pPr>
            <w:r>
              <w:rPr>
                <w:sz w:val="22"/>
              </w:rPr>
              <w:t>оказание услуг курьерской службы по доставке грузов</w:t>
            </w:r>
          </w:p>
        </w:tc>
        <w:tc>
          <w:tcPr>
            <w:tcW w:type="dxa" w:w="1194"/>
            <w:tcBorders>
              <w:top w:color="000000" w:sz="4" w:val="single"/>
              <w:left w:color="000000" w:sz="4" w:val="single"/>
              <w:bottom w:color="000000" w:sz="4" w:val="single"/>
              <w:right w:color="000000" w:sz="4" w:val="single"/>
            </w:tcBorders>
            <w:shd w:fill="FFFFFF" w:val="clear"/>
            <w:vAlign w:val="center"/>
          </w:tcPr>
          <w:p w14:paraId="8A1E0000">
            <w:pPr>
              <w:widowControl w:val="1"/>
              <w:ind/>
              <w:contextualSpacing w:val="1"/>
              <w:jc w:val="center"/>
              <w:rPr>
                <w:sz w:val="22"/>
              </w:rPr>
            </w:pPr>
            <w:r>
              <w:rPr>
                <w:sz w:val="22"/>
              </w:rPr>
              <w:t>99000</w:t>
            </w:r>
          </w:p>
        </w:tc>
        <w:tc>
          <w:tcPr>
            <w:tcW w:type="dxa" w:w="1221"/>
            <w:tcBorders>
              <w:top w:color="000000" w:sz="4" w:val="single"/>
              <w:left w:color="000000" w:sz="4" w:val="single"/>
              <w:bottom w:color="000000" w:sz="4" w:val="single"/>
              <w:right w:color="000000" w:sz="4" w:val="single"/>
            </w:tcBorders>
            <w:shd w:fill="FFFFFF" w:val="clear"/>
            <w:vAlign w:val="center"/>
          </w:tcPr>
          <w:p w14:paraId="8B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C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D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E1E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8F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01E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11E0000">
            <w:pPr>
              <w:widowControl w:val="1"/>
              <w:ind/>
              <w:contextualSpacing w:val="1"/>
              <w:rPr>
                <w:color w:val="000000"/>
                <w:sz w:val="22"/>
              </w:rPr>
            </w:pPr>
            <w:r>
              <w:rPr>
                <w:color w:val="000000"/>
                <w:sz w:val="22"/>
              </w:rPr>
              <w:t>69</w:t>
            </w:r>
          </w:p>
        </w:tc>
        <w:tc>
          <w:tcPr>
            <w:tcW w:type="dxa" w:w="1408"/>
            <w:tcBorders>
              <w:top w:color="000000" w:sz="4" w:val="single"/>
              <w:left w:color="000000" w:sz="4" w:val="single"/>
              <w:bottom w:color="000000" w:sz="4" w:val="single"/>
              <w:right w:color="000000" w:sz="4" w:val="single"/>
            </w:tcBorders>
            <w:shd w:fill="FFFFFF" w:val="clear"/>
            <w:vAlign w:val="center"/>
          </w:tcPr>
          <w:p w14:paraId="921E0000">
            <w:pPr>
              <w:widowControl w:val="1"/>
              <w:ind/>
              <w:contextualSpacing w:val="1"/>
              <w:jc w:val="center"/>
              <w:rPr>
                <w:sz w:val="22"/>
              </w:rPr>
            </w:pPr>
            <w:r>
              <w:rPr>
                <w:sz w:val="22"/>
              </w:rPr>
              <w:t>ООО "Гарант Ц"</w:t>
            </w:r>
          </w:p>
        </w:tc>
        <w:tc>
          <w:tcPr>
            <w:tcW w:type="dxa" w:w="1408"/>
            <w:tcBorders>
              <w:top w:color="000000" w:sz="4" w:val="single"/>
              <w:left w:color="000000" w:sz="4" w:val="single"/>
              <w:bottom w:color="000000" w:sz="4" w:val="single"/>
              <w:right w:color="000000" w:sz="4" w:val="single"/>
            </w:tcBorders>
            <w:shd w:fill="FFFFFF" w:val="clear"/>
            <w:vAlign w:val="center"/>
          </w:tcPr>
          <w:p w14:paraId="931E0000">
            <w:pPr>
              <w:widowControl w:val="1"/>
              <w:ind/>
              <w:contextualSpacing w:val="1"/>
              <w:jc w:val="center"/>
              <w:rPr>
                <w:sz w:val="22"/>
              </w:rPr>
            </w:pPr>
            <w:r>
              <w:rPr>
                <w:sz w:val="22"/>
              </w:rPr>
              <w:t>дополнительное соглашение № 1 к договору № 40 от 28.02.2018г.</w:t>
            </w:r>
          </w:p>
        </w:tc>
        <w:tc>
          <w:tcPr>
            <w:tcW w:type="dxa" w:w="1274"/>
            <w:tcBorders>
              <w:top w:color="000000" w:sz="4" w:val="single"/>
              <w:left w:color="000000" w:sz="4" w:val="single"/>
              <w:bottom w:color="000000" w:sz="4" w:val="single"/>
              <w:right w:color="000000" w:sz="4" w:val="single"/>
            </w:tcBorders>
            <w:shd w:fill="FFFFFF" w:val="clear"/>
            <w:vAlign w:val="center"/>
          </w:tcPr>
          <w:p w14:paraId="941E0000">
            <w:pPr>
              <w:widowControl w:val="1"/>
              <w:ind/>
              <w:contextualSpacing w:val="1"/>
              <w:jc w:val="center"/>
              <w:rPr>
                <w:sz w:val="22"/>
              </w:rPr>
            </w:pPr>
            <w:r>
              <w:rPr>
                <w:sz w:val="22"/>
              </w:rPr>
              <w:t>28.02.2018-31.12.2019</w:t>
            </w:r>
          </w:p>
        </w:tc>
        <w:tc>
          <w:tcPr>
            <w:tcW w:type="dxa" w:w="1556"/>
            <w:tcBorders>
              <w:top w:color="000000" w:sz="4" w:val="single"/>
              <w:left w:color="000000" w:sz="4" w:val="single"/>
              <w:bottom w:color="000000" w:sz="4" w:val="single"/>
              <w:right w:color="000000" w:sz="4" w:val="single"/>
            </w:tcBorders>
            <w:shd w:fill="FFFFFF" w:val="clear"/>
            <w:vAlign w:val="center"/>
          </w:tcPr>
          <w:p w14:paraId="951E0000">
            <w:pPr>
              <w:widowControl w:val="1"/>
              <w:ind/>
              <w:contextualSpacing w:val="1"/>
              <w:jc w:val="center"/>
              <w:rPr>
                <w:sz w:val="22"/>
              </w:rPr>
            </w:pPr>
            <w:r>
              <w:rPr>
                <w:sz w:val="22"/>
              </w:rPr>
              <w:t>продление срока действия договора на оказание услуг курьерской службы по доставке грузов, без изменения предельной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961E0000">
            <w:pPr>
              <w:widowControl w:val="1"/>
              <w:ind/>
              <w:contextualSpacing w:val="1"/>
              <w:jc w:val="center"/>
              <w:rPr>
                <w:sz w:val="22"/>
              </w:rPr>
            </w:pPr>
            <w:r>
              <w:rPr>
                <w:sz w:val="22"/>
              </w:rPr>
              <w:t>99000</w:t>
            </w:r>
          </w:p>
        </w:tc>
        <w:tc>
          <w:tcPr>
            <w:tcW w:type="dxa" w:w="1221"/>
            <w:tcBorders>
              <w:top w:color="000000" w:sz="4" w:val="single"/>
              <w:left w:color="000000" w:sz="4" w:val="single"/>
              <w:bottom w:color="000000" w:sz="4" w:val="single"/>
              <w:right w:color="000000" w:sz="4" w:val="single"/>
            </w:tcBorders>
            <w:shd w:fill="FFFFFF" w:val="clear"/>
            <w:vAlign w:val="center"/>
          </w:tcPr>
          <w:p w14:paraId="97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8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9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A1E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9B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C1E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691"/>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9D1E0000">
            <w:pPr>
              <w:widowControl w:val="1"/>
              <w:ind/>
              <w:contextualSpacing w:val="1"/>
              <w:jc w:val="center"/>
              <w:rPr>
                <w:color w:val="000000"/>
                <w:sz w:val="22"/>
              </w:rPr>
            </w:pPr>
            <w:r>
              <w:rPr>
                <w:color w:val="000000"/>
                <w:sz w:val="22"/>
              </w:rPr>
              <w:t>итого по контрагенту ООО "Гарант Ц" 99000 руб.</w:t>
            </w:r>
          </w:p>
          <w:p w14:paraId="9E1E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F1E0000">
            <w:pPr>
              <w:widowControl w:val="1"/>
              <w:ind/>
              <w:contextualSpacing w:val="1"/>
              <w:rPr>
                <w:color w:val="000000"/>
                <w:sz w:val="22"/>
              </w:rPr>
            </w:pPr>
            <w:r>
              <w:rPr>
                <w:color w:val="000000"/>
                <w:sz w:val="22"/>
              </w:rPr>
              <w:t>70</w:t>
            </w:r>
          </w:p>
        </w:tc>
        <w:tc>
          <w:tcPr>
            <w:tcW w:type="dxa" w:w="1408"/>
            <w:tcBorders>
              <w:top w:color="000000" w:sz="4" w:val="single"/>
              <w:left w:color="000000" w:sz="4" w:val="single"/>
              <w:bottom w:color="000000" w:sz="4" w:val="single"/>
              <w:right w:color="000000" w:sz="4" w:val="single"/>
            </w:tcBorders>
            <w:shd w:fill="FFFFFF" w:val="clear"/>
            <w:vAlign w:val="center"/>
          </w:tcPr>
          <w:p w14:paraId="A01E0000">
            <w:pPr>
              <w:widowControl w:val="1"/>
              <w:ind/>
              <w:contextualSpacing w:val="1"/>
              <w:jc w:val="center"/>
              <w:rPr>
                <w:sz w:val="22"/>
              </w:rPr>
            </w:pPr>
            <w:r>
              <w:rPr>
                <w:sz w:val="22"/>
              </w:rPr>
              <w:t>ООО "БОСгруп"</w:t>
            </w:r>
          </w:p>
        </w:tc>
        <w:tc>
          <w:tcPr>
            <w:tcW w:type="dxa" w:w="1408"/>
            <w:tcBorders>
              <w:top w:color="000000" w:sz="4" w:val="single"/>
              <w:left w:color="000000" w:sz="4" w:val="single"/>
              <w:bottom w:color="000000" w:sz="4" w:val="single"/>
              <w:right w:color="000000" w:sz="4" w:val="single"/>
            </w:tcBorders>
            <w:shd w:fill="FFFFFF" w:val="clear"/>
            <w:vAlign w:val="center"/>
          </w:tcPr>
          <w:p w14:paraId="A11E0000">
            <w:pPr>
              <w:widowControl w:val="1"/>
              <w:ind/>
              <w:contextualSpacing w:val="1"/>
              <w:jc w:val="center"/>
              <w:rPr>
                <w:sz w:val="22"/>
              </w:rPr>
            </w:pPr>
            <w:r>
              <w:rPr>
                <w:sz w:val="22"/>
              </w:rPr>
              <w:t>договор № МИ-ТП 400 от 19.03.2018</w:t>
            </w:r>
          </w:p>
        </w:tc>
        <w:tc>
          <w:tcPr>
            <w:tcW w:type="dxa" w:w="1274"/>
            <w:tcBorders>
              <w:top w:color="000000" w:sz="4" w:val="single"/>
              <w:left w:color="000000" w:sz="4" w:val="single"/>
              <w:bottom w:color="000000" w:sz="4" w:val="single"/>
              <w:right w:color="000000" w:sz="4" w:val="single"/>
            </w:tcBorders>
            <w:shd w:fill="FFFFFF" w:val="clear"/>
            <w:vAlign w:val="center"/>
          </w:tcPr>
          <w:p w14:paraId="A21E0000">
            <w:pPr>
              <w:widowControl w:val="1"/>
              <w:ind/>
              <w:contextualSpacing w:val="1"/>
              <w:jc w:val="center"/>
              <w:rPr>
                <w:sz w:val="22"/>
              </w:rPr>
            </w:pPr>
            <w:r>
              <w:rPr>
                <w:sz w:val="22"/>
              </w:rPr>
              <w:t>19.03.2018-28.02.2019</w:t>
            </w:r>
          </w:p>
        </w:tc>
        <w:tc>
          <w:tcPr>
            <w:tcW w:type="dxa" w:w="1556"/>
            <w:tcBorders>
              <w:top w:color="000000" w:sz="4" w:val="single"/>
              <w:left w:color="000000" w:sz="4" w:val="single"/>
              <w:bottom w:color="000000" w:sz="4" w:val="single"/>
              <w:right w:color="000000" w:sz="4" w:val="single"/>
            </w:tcBorders>
            <w:shd w:fill="FFFFFF" w:val="clear"/>
            <w:vAlign w:val="center"/>
          </w:tcPr>
          <w:p w14:paraId="A31E0000">
            <w:pPr>
              <w:widowControl w:val="1"/>
              <w:ind/>
              <w:contextualSpacing w:val="1"/>
              <w:jc w:val="center"/>
              <w:rPr>
                <w:sz w:val="22"/>
              </w:rPr>
            </w:pPr>
            <w:r>
              <w:rPr>
                <w:sz w:val="22"/>
              </w:rPr>
              <w:t>Оказание услуг маркетингового исследования методом  "тайный покупатель"</w:t>
            </w:r>
          </w:p>
        </w:tc>
        <w:tc>
          <w:tcPr>
            <w:tcW w:type="dxa" w:w="1194"/>
            <w:tcBorders>
              <w:top w:color="000000" w:sz="4" w:val="single"/>
              <w:left w:color="000000" w:sz="4" w:val="single"/>
              <w:bottom w:color="000000" w:sz="4" w:val="single"/>
              <w:right w:color="000000" w:sz="4" w:val="single"/>
            </w:tcBorders>
            <w:shd w:fill="FFFFFF" w:val="clear"/>
            <w:vAlign w:val="center"/>
          </w:tcPr>
          <w:p w14:paraId="A41E0000">
            <w:pPr>
              <w:widowControl w:val="1"/>
              <w:ind/>
              <w:contextualSpacing w:val="1"/>
              <w:jc w:val="center"/>
              <w:rPr>
                <w:sz w:val="22"/>
              </w:rPr>
            </w:pPr>
            <w:r>
              <w:rPr>
                <w:sz w:val="22"/>
              </w:rPr>
              <w:t>144546</w:t>
            </w:r>
          </w:p>
        </w:tc>
        <w:tc>
          <w:tcPr>
            <w:tcW w:type="dxa" w:w="1221"/>
            <w:tcBorders>
              <w:top w:color="000000" w:sz="4" w:val="single"/>
              <w:left w:color="000000" w:sz="4" w:val="single"/>
              <w:bottom w:color="000000" w:sz="4" w:val="single"/>
              <w:right w:color="000000" w:sz="4" w:val="single"/>
            </w:tcBorders>
            <w:shd w:fill="FFFFFF" w:val="clear"/>
            <w:vAlign w:val="center"/>
          </w:tcPr>
          <w:p w14:paraId="A5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6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7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81E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A9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A1E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B1E0000">
            <w:pPr>
              <w:widowControl w:val="1"/>
              <w:ind/>
              <w:contextualSpacing w:val="1"/>
              <w:rPr>
                <w:color w:val="000000"/>
                <w:sz w:val="22"/>
              </w:rPr>
            </w:pPr>
            <w:r>
              <w:rPr>
                <w:color w:val="000000"/>
                <w:sz w:val="22"/>
              </w:rPr>
              <w:t>71</w:t>
            </w:r>
          </w:p>
        </w:tc>
        <w:tc>
          <w:tcPr>
            <w:tcW w:type="dxa" w:w="1408"/>
            <w:tcBorders>
              <w:top w:color="000000" w:sz="4" w:val="single"/>
              <w:left w:color="000000" w:sz="4" w:val="single"/>
              <w:bottom w:color="000000" w:sz="4" w:val="single"/>
              <w:right w:color="000000" w:sz="4" w:val="single"/>
            </w:tcBorders>
            <w:shd w:fill="FFFFFF" w:val="clear"/>
            <w:vAlign w:val="center"/>
          </w:tcPr>
          <w:p w14:paraId="AC1E0000">
            <w:pPr>
              <w:widowControl w:val="1"/>
              <w:ind/>
              <w:contextualSpacing w:val="1"/>
              <w:jc w:val="center"/>
              <w:rPr>
                <w:sz w:val="22"/>
              </w:rPr>
            </w:pPr>
            <w:r>
              <w:rPr>
                <w:sz w:val="22"/>
              </w:rPr>
              <w:t>ООО "Башкирская транспортная компания"</w:t>
            </w:r>
          </w:p>
        </w:tc>
        <w:tc>
          <w:tcPr>
            <w:tcW w:type="dxa" w:w="1408"/>
            <w:tcBorders>
              <w:top w:color="000000" w:sz="4" w:val="single"/>
              <w:left w:color="000000" w:sz="4" w:val="single"/>
              <w:bottom w:color="000000" w:sz="4" w:val="single"/>
              <w:right w:color="000000" w:sz="4" w:val="single"/>
            </w:tcBorders>
            <w:shd w:fill="FFFFFF" w:val="clear"/>
            <w:vAlign w:val="center"/>
          </w:tcPr>
          <w:p w14:paraId="AD1E0000">
            <w:pPr>
              <w:widowControl w:val="1"/>
              <w:ind/>
              <w:contextualSpacing w:val="1"/>
              <w:jc w:val="center"/>
              <w:rPr>
                <w:sz w:val="22"/>
              </w:rPr>
            </w:pPr>
            <w:r>
              <w:rPr>
                <w:sz w:val="22"/>
              </w:rPr>
              <w:t>дополнительное соглашение № 1 к договору № 107 от 28.11.2017 от 26.03.2018</w:t>
            </w:r>
          </w:p>
        </w:tc>
        <w:tc>
          <w:tcPr>
            <w:tcW w:type="dxa" w:w="1274"/>
            <w:tcBorders>
              <w:top w:color="000000" w:sz="4" w:val="single"/>
              <w:left w:color="000000" w:sz="4" w:val="single"/>
              <w:bottom w:color="000000" w:sz="4" w:val="single"/>
              <w:right w:color="000000" w:sz="4" w:val="single"/>
            </w:tcBorders>
            <w:shd w:fill="FFFFFF" w:val="clear"/>
            <w:vAlign w:val="center"/>
          </w:tcPr>
          <w:p w14:paraId="AE1E0000">
            <w:pPr>
              <w:widowControl w:val="1"/>
              <w:ind/>
              <w:contextualSpacing w:val="1"/>
              <w:jc w:val="center"/>
              <w:rPr>
                <w:sz w:val="22"/>
              </w:rPr>
            </w:pPr>
            <w:r>
              <w:rPr>
                <w:sz w:val="22"/>
              </w:rPr>
              <w:t>28.11.2017-31.10.2018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AF1E0000">
            <w:pPr>
              <w:widowControl w:val="1"/>
              <w:ind/>
              <w:contextualSpacing w:val="1"/>
              <w:jc w:val="center"/>
              <w:rPr>
                <w:sz w:val="22"/>
              </w:rPr>
            </w:pPr>
            <w:r>
              <w:rPr>
                <w:sz w:val="22"/>
              </w:rPr>
              <w:t>изменение срока действия договора на оказание услуг по изменению (дополнению)планов обеспечения транспортной безопасности транспортных средств</w:t>
            </w:r>
          </w:p>
        </w:tc>
        <w:tc>
          <w:tcPr>
            <w:tcW w:type="dxa" w:w="1194"/>
            <w:tcBorders>
              <w:top w:color="000000" w:sz="4" w:val="single"/>
              <w:left w:color="000000" w:sz="4" w:val="single"/>
              <w:bottom w:color="000000" w:sz="4" w:val="single"/>
              <w:right w:color="000000" w:sz="4" w:val="single"/>
            </w:tcBorders>
            <w:shd w:fill="FFFFFF" w:val="clear"/>
            <w:vAlign w:val="center"/>
          </w:tcPr>
          <w:p w14:paraId="B01E0000">
            <w:pPr>
              <w:widowControl w:val="1"/>
              <w:ind/>
              <w:contextualSpacing w:val="1"/>
              <w:jc w:val="center"/>
              <w:rPr>
                <w:sz w:val="22"/>
              </w:rPr>
            </w:pPr>
            <w:r>
              <w:rPr>
                <w:sz w:val="22"/>
              </w:rPr>
              <w:t>214200</w:t>
            </w:r>
          </w:p>
        </w:tc>
        <w:tc>
          <w:tcPr>
            <w:tcW w:type="dxa" w:w="1221"/>
            <w:tcBorders>
              <w:top w:color="000000" w:sz="4" w:val="single"/>
              <w:left w:color="000000" w:sz="4" w:val="single"/>
              <w:bottom w:color="000000" w:sz="4" w:val="single"/>
              <w:right w:color="000000" w:sz="4" w:val="single"/>
            </w:tcBorders>
            <w:shd w:fill="FFFFFF" w:val="clear"/>
            <w:vAlign w:val="center"/>
          </w:tcPr>
          <w:p w14:paraId="B1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2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3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41E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B5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B61E0000">
            <w:pPr>
              <w:widowControl w:val="1"/>
              <w:ind/>
              <w:contextualSpacing w:val="1"/>
              <w:jc w:val="center"/>
              <w:rPr>
                <w:sz w:val="22"/>
              </w:rPr>
            </w:pPr>
            <w:r>
              <w:rPr>
                <w:sz w:val="22"/>
              </w:rPr>
              <w:t>Размещение заказа у единственного поставщика, согласно пп.28п.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B71E0000">
            <w:pPr>
              <w:widowControl w:val="1"/>
              <w:ind/>
              <w:contextualSpacing w:val="1"/>
              <w:rPr>
                <w:color w:val="000000"/>
                <w:sz w:val="22"/>
              </w:rPr>
            </w:pPr>
            <w:r>
              <w:rPr>
                <w:color w:val="000000"/>
                <w:sz w:val="22"/>
              </w:rPr>
              <w:t>72</w:t>
            </w:r>
          </w:p>
        </w:tc>
        <w:tc>
          <w:tcPr>
            <w:tcW w:type="dxa" w:w="1408"/>
            <w:tcBorders>
              <w:top w:color="000000" w:sz="4" w:val="single"/>
              <w:left w:color="000000" w:sz="4" w:val="single"/>
              <w:bottom w:color="000000" w:sz="4" w:val="single"/>
              <w:right w:color="000000" w:sz="4" w:val="single"/>
            </w:tcBorders>
            <w:shd w:fill="FFFFFF" w:val="clear"/>
            <w:vAlign w:val="center"/>
          </w:tcPr>
          <w:p w14:paraId="B81E0000">
            <w:pPr>
              <w:widowControl w:val="1"/>
              <w:ind/>
              <w:contextualSpacing w:val="1"/>
              <w:jc w:val="center"/>
              <w:rPr>
                <w:sz w:val="22"/>
              </w:rPr>
            </w:pPr>
            <w:r>
              <w:rPr>
                <w:sz w:val="22"/>
              </w:rPr>
              <w:t>ООО "Башкирская транспортная компания"</w:t>
            </w:r>
          </w:p>
        </w:tc>
        <w:tc>
          <w:tcPr>
            <w:tcW w:type="dxa" w:w="1408"/>
            <w:tcBorders>
              <w:top w:color="000000" w:sz="4" w:val="single"/>
              <w:left w:color="000000" w:sz="4" w:val="single"/>
              <w:bottom w:color="000000" w:sz="4" w:val="single"/>
              <w:right w:color="000000" w:sz="4" w:val="single"/>
            </w:tcBorders>
            <w:shd w:fill="FFFFFF" w:val="clear"/>
            <w:vAlign w:val="center"/>
          </w:tcPr>
          <w:p w14:paraId="B91E0000">
            <w:pPr>
              <w:widowControl w:val="1"/>
              <w:ind/>
              <w:contextualSpacing w:val="1"/>
              <w:jc w:val="center"/>
              <w:rPr>
                <w:sz w:val="22"/>
              </w:rPr>
            </w:pPr>
            <w:r>
              <w:rPr>
                <w:sz w:val="22"/>
              </w:rPr>
              <w:t>дополнительное соглашение № 2 к договору № 107 от 28.11.2017 от 22.10.2018</w:t>
            </w:r>
          </w:p>
        </w:tc>
        <w:tc>
          <w:tcPr>
            <w:tcW w:type="dxa" w:w="1274"/>
            <w:tcBorders>
              <w:top w:color="000000" w:sz="4" w:val="single"/>
              <w:left w:color="000000" w:sz="4" w:val="single"/>
              <w:bottom w:color="000000" w:sz="4" w:val="single"/>
              <w:right w:color="000000" w:sz="4" w:val="single"/>
            </w:tcBorders>
            <w:shd w:fill="FFFFFF" w:val="clear"/>
            <w:vAlign w:val="center"/>
          </w:tcPr>
          <w:p w14:paraId="BA1E0000">
            <w:pPr>
              <w:widowControl w:val="1"/>
              <w:ind/>
              <w:contextualSpacing w:val="1"/>
              <w:jc w:val="center"/>
              <w:rPr>
                <w:sz w:val="22"/>
              </w:rPr>
            </w:pPr>
            <w:r>
              <w:rPr>
                <w:sz w:val="22"/>
              </w:rPr>
              <w:t>28.11.2017-27.11.2018</w:t>
            </w:r>
          </w:p>
        </w:tc>
        <w:tc>
          <w:tcPr>
            <w:tcW w:type="dxa" w:w="1556"/>
            <w:tcBorders>
              <w:top w:color="000000" w:sz="4" w:val="single"/>
              <w:left w:color="000000" w:sz="4" w:val="single"/>
              <w:bottom w:color="000000" w:sz="4" w:val="single"/>
              <w:right w:color="000000" w:sz="4" w:val="single"/>
            </w:tcBorders>
            <w:shd w:fill="FFFFFF" w:val="clear"/>
            <w:vAlign w:val="center"/>
          </w:tcPr>
          <w:p w14:paraId="BB1E0000">
            <w:pPr>
              <w:widowControl w:val="1"/>
              <w:ind/>
              <w:contextualSpacing w:val="1"/>
              <w:jc w:val="center"/>
              <w:rPr>
                <w:sz w:val="22"/>
              </w:rPr>
            </w:pPr>
            <w:r>
              <w:rPr>
                <w:sz w:val="22"/>
              </w:rPr>
              <w:t>изменение срока действия договора на оказание услуг по изменению (дополнению)планов обеспечения транспортной безопасности транспортных средств, без изменения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BC1E0000">
            <w:pPr>
              <w:widowControl w:val="1"/>
              <w:ind/>
              <w:contextualSpacing w:val="1"/>
              <w:jc w:val="center"/>
              <w:rPr>
                <w:sz w:val="22"/>
              </w:rPr>
            </w:pPr>
            <w:r>
              <w:rPr>
                <w:sz w:val="22"/>
              </w:rPr>
              <w:t>214200</w:t>
            </w:r>
          </w:p>
        </w:tc>
        <w:tc>
          <w:tcPr>
            <w:tcW w:type="dxa" w:w="1221"/>
            <w:tcBorders>
              <w:top w:color="000000" w:sz="4" w:val="single"/>
              <w:left w:color="000000" w:sz="4" w:val="single"/>
              <w:bottom w:color="000000" w:sz="4" w:val="single"/>
              <w:right w:color="000000" w:sz="4" w:val="single"/>
            </w:tcBorders>
            <w:shd w:fill="FFFFFF" w:val="clear"/>
            <w:vAlign w:val="center"/>
          </w:tcPr>
          <w:p w14:paraId="BD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E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F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01E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C1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21E0000">
            <w:pPr>
              <w:widowControl w:val="1"/>
              <w:ind/>
              <w:contextualSpacing w:val="1"/>
              <w:jc w:val="center"/>
              <w:rPr>
                <w:sz w:val="22"/>
              </w:rPr>
            </w:pPr>
            <w:r>
              <w:rPr>
                <w:sz w:val="22"/>
              </w:rPr>
              <w:t>Размещение заказа у единственного поставщика, согласно пп.28п.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31E0000">
            <w:pPr>
              <w:widowControl w:val="1"/>
              <w:ind/>
              <w:contextualSpacing w:val="1"/>
              <w:rPr>
                <w:color w:val="000000"/>
                <w:sz w:val="22"/>
              </w:rPr>
            </w:pPr>
            <w:r>
              <w:rPr>
                <w:color w:val="000000"/>
                <w:sz w:val="22"/>
              </w:rPr>
              <w:t>73</w:t>
            </w:r>
          </w:p>
        </w:tc>
        <w:tc>
          <w:tcPr>
            <w:tcW w:type="dxa" w:w="1408"/>
            <w:tcBorders>
              <w:top w:color="000000" w:sz="4" w:val="single"/>
              <w:left w:color="000000" w:sz="4" w:val="single"/>
              <w:bottom w:color="000000" w:sz="4" w:val="single"/>
              <w:right w:color="000000" w:sz="4" w:val="single"/>
            </w:tcBorders>
            <w:shd w:fill="FFFFFF" w:val="clear"/>
            <w:vAlign w:val="center"/>
          </w:tcPr>
          <w:p w14:paraId="C41E0000">
            <w:pPr>
              <w:widowControl w:val="1"/>
              <w:ind/>
              <w:contextualSpacing w:val="1"/>
              <w:jc w:val="center"/>
              <w:rPr>
                <w:sz w:val="22"/>
              </w:rPr>
            </w:pPr>
            <w:r>
              <w:rPr>
                <w:sz w:val="22"/>
              </w:rPr>
              <w:t>ООО "Башкирская транспортная компания"</w:t>
            </w:r>
          </w:p>
        </w:tc>
        <w:tc>
          <w:tcPr>
            <w:tcW w:type="dxa" w:w="1408"/>
            <w:tcBorders>
              <w:top w:color="000000" w:sz="4" w:val="single"/>
              <w:left w:color="000000" w:sz="4" w:val="single"/>
              <w:bottom w:color="000000" w:sz="4" w:val="single"/>
              <w:right w:color="000000" w:sz="4" w:val="single"/>
            </w:tcBorders>
            <w:shd w:fill="FFFFFF" w:val="clear"/>
            <w:vAlign w:val="center"/>
          </w:tcPr>
          <w:p w14:paraId="C51E0000">
            <w:pPr>
              <w:widowControl w:val="1"/>
              <w:ind/>
              <w:contextualSpacing w:val="1"/>
              <w:jc w:val="center"/>
              <w:rPr>
                <w:sz w:val="22"/>
              </w:rPr>
            </w:pPr>
            <w:r>
              <w:rPr>
                <w:sz w:val="22"/>
              </w:rPr>
              <w:t>дополнительное соглашение № 3 к договору № 107 от 28.11.2017 от 27.11.2018</w:t>
            </w:r>
          </w:p>
        </w:tc>
        <w:tc>
          <w:tcPr>
            <w:tcW w:type="dxa" w:w="1274"/>
            <w:tcBorders>
              <w:top w:color="000000" w:sz="4" w:val="single"/>
              <w:left w:color="000000" w:sz="4" w:val="single"/>
              <w:bottom w:color="000000" w:sz="4" w:val="single"/>
              <w:right w:color="000000" w:sz="4" w:val="single"/>
            </w:tcBorders>
            <w:shd w:fill="FFFFFF" w:val="clear"/>
            <w:vAlign w:val="center"/>
          </w:tcPr>
          <w:p w14:paraId="C61E0000">
            <w:pPr>
              <w:widowControl w:val="1"/>
              <w:ind/>
              <w:contextualSpacing w:val="1"/>
              <w:jc w:val="center"/>
              <w:rPr>
                <w:sz w:val="22"/>
              </w:rPr>
            </w:pPr>
            <w:r>
              <w:rPr>
                <w:sz w:val="22"/>
              </w:rPr>
              <w:t>28.11.2017-30.06.2019</w:t>
            </w:r>
          </w:p>
        </w:tc>
        <w:tc>
          <w:tcPr>
            <w:tcW w:type="dxa" w:w="1556"/>
            <w:tcBorders>
              <w:top w:color="000000" w:sz="4" w:val="single"/>
              <w:left w:color="000000" w:sz="4" w:val="single"/>
              <w:bottom w:color="000000" w:sz="4" w:val="single"/>
              <w:right w:color="000000" w:sz="4" w:val="single"/>
            </w:tcBorders>
            <w:shd w:fill="FFFFFF" w:val="clear"/>
            <w:vAlign w:val="center"/>
          </w:tcPr>
          <w:p w14:paraId="C71E0000">
            <w:pPr>
              <w:widowControl w:val="1"/>
              <w:ind/>
              <w:contextualSpacing w:val="1"/>
              <w:jc w:val="center"/>
              <w:rPr>
                <w:sz w:val="22"/>
              </w:rPr>
            </w:pPr>
            <w:r>
              <w:rPr>
                <w:sz w:val="22"/>
              </w:rPr>
              <w:t>изменение срока действия договора на оказание услуг по изменению (дополнению)планов обеспечения транспортной безопасности транспортных средств, без изменения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C81E0000">
            <w:pPr>
              <w:widowControl w:val="1"/>
              <w:ind/>
              <w:contextualSpacing w:val="1"/>
              <w:jc w:val="center"/>
              <w:rPr>
                <w:sz w:val="22"/>
              </w:rPr>
            </w:pPr>
            <w:r>
              <w:rPr>
                <w:sz w:val="22"/>
              </w:rPr>
              <w:t>214200</w:t>
            </w:r>
          </w:p>
        </w:tc>
        <w:tc>
          <w:tcPr>
            <w:tcW w:type="dxa" w:w="1221"/>
            <w:tcBorders>
              <w:top w:color="000000" w:sz="4" w:val="single"/>
              <w:left w:color="000000" w:sz="4" w:val="single"/>
              <w:bottom w:color="000000" w:sz="4" w:val="single"/>
              <w:right w:color="000000" w:sz="4" w:val="single"/>
            </w:tcBorders>
            <w:shd w:fill="FFFFFF" w:val="clear"/>
            <w:vAlign w:val="center"/>
          </w:tcPr>
          <w:p w14:paraId="C9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A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B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C1E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CD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E1E0000">
            <w:pPr>
              <w:widowControl w:val="1"/>
              <w:ind/>
              <w:contextualSpacing w:val="1"/>
              <w:jc w:val="center"/>
              <w:rPr>
                <w:sz w:val="22"/>
              </w:rPr>
            </w:pPr>
            <w:r>
              <w:rPr>
                <w:sz w:val="22"/>
              </w:rPr>
              <w:t>Размещение заказа у единственного поставщика, согласно пп.28п. 81  положения утвержденного СД 30.04.2015г. Протокол № 13</w:t>
            </w:r>
          </w:p>
        </w:tc>
      </w:tr>
      <w:tr>
        <w:trPr>
          <w:trHeight w:hRule="atLeast" w:val="773"/>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CF1E0000">
            <w:pPr>
              <w:widowControl w:val="1"/>
              <w:ind/>
              <w:contextualSpacing w:val="1"/>
              <w:jc w:val="center"/>
              <w:rPr>
                <w:color w:val="000000"/>
                <w:sz w:val="22"/>
              </w:rPr>
            </w:pPr>
            <w:r>
              <w:rPr>
                <w:color w:val="000000"/>
                <w:sz w:val="22"/>
              </w:rPr>
              <w:t>того по контрагенту ООО "Башкирская транспортная компания" 214200 руб.</w:t>
            </w:r>
          </w:p>
          <w:p w14:paraId="D01E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D11E0000">
            <w:pPr>
              <w:widowControl w:val="1"/>
              <w:ind/>
              <w:contextualSpacing w:val="1"/>
              <w:rPr>
                <w:color w:val="000000"/>
                <w:sz w:val="22"/>
              </w:rPr>
            </w:pPr>
            <w:r>
              <w:rPr>
                <w:color w:val="000000"/>
                <w:sz w:val="22"/>
              </w:rPr>
              <w:t>74</w:t>
            </w:r>
          </w:p>
        </w:tc>
        <w:tc>
          <w:tcPr>
            <w:tcW w:type="dxa" w:w="1408"/>
            <w:tcBorders>
              <w:top w:color="000000" w:sz="4" w:val="single"/>
              <w:left w:color="000000" w:sz="4" w:val="single"/>
              <w:bottom w:color="000000" w:sz="4" w:val="single"/>
              <w:right w:color="000000" w:sz="4" w:val="single"/>
            </w:tcBorders>
            <w:shd w:fill="FFFFFF" w:val="clear"/>
            <w:vAlign w:val="center"/>
          </w:tcPr>
          <w:p w14:paraId="D21E0000">
            <w:pPr>
              <w:widowControl w:val="1"/>
              <w:ind/>
              <w:contextualSpacing w:val="1"/>
              <w:jc w:val="center"/>
              <w:rPr>
                <w:sz w:val="22"/>
              </w:rPr>
            </w:pPr>
            <w:r>
              <w:rPr>
                <w:sz w:val="22"/>
              </w:rPr>
              <w:t>ООО "Автодорожно-транспортная газета"</w:t>
            </w:r>
          </w:p>
        </w:tc>
        <w:tc>
          <w:tcPr>
            <w:tcW w:type="dxa" w:w="1408"/>
            <w:tcBorders>
              <w:top w:color="000000" w:sz="4" w:val="single"/>
              <w:left w:color="000000" w:sz="4" w:val="single"/>
              <w:bottom w:color="000000" w:sz="4" w:val="single"/>
              <w:right w:color="000000" w:sz="4" w:val="single"/>
            </w:tcBorders>
            <w:shd w:fill="FFFFFF" w:val="clear"/>
            <w:vAlign w:val="center"/>
          </w:tcPr>
          <w:p w14:paraId="D31E0000">
            <w:pPr>
              <w:widowControl w:val="1"/>
              <w:ind/>
              <w:contextualSpacing w:val="1"/>
              <w:jc w:val="center"/>
              <w:rPr>
                <w:sz w:val="22"/>
              </w:rPr>
            </w:pPr>
            <w:r>
              <w:rPr>
                <w:sz w:val="22"/>
              </w:rPr>
              <w:t>договор № 30 от 29.03.2018</w:t>
            </w:r>
          </w:p>
        </w:tc>
        <w:tc>
          <w:tcPr>
            <w:tcW w:type="dxa" w:w="1274"/>
            <w:tcBorders>
              <w:top w:color="000000" w:sz="4" w:val="single"/>
              <w:left w:color="000000" w:sz="4" w:val="single"/>
              <w:bottom w:color="000000" w:sz="4" w:val="single"/>
              <w:right w:color="000000" w:sz="4" w:val="single"/>
            </w:tcBorders>
            <w:shd w:fill="FFFFFF" w:val="clear"/>
            <w:vAlign w:val="center"/>
          </w:tcPr>
          <w:p w14:paraId="D41E0000">
            <w:pPr>
              <w:widowControl w:val="1"/>
              <w:ind/>
              <w:contextualSpacing w:val="1"/>
              <w:jc w:val="center"/>
              <w:rPr>
                <w:sz w:val="22"/>
              </w:rPr>
            </w:pPr>
            <w:r>
              <w:rPr>
                <w:sz w:val="22"/>
              </w:rPr>
              <w:t>01.02.2018-31.12.2018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D51E0000">
            <w:pPr>
              <w:widowControl w:val="1"/>
              <w:ind/>
              <w:contextualSpacing w:val="1"/>
              <w:jc w:val="center"/>
              <w:rPr>
                <w:sz w:val="22"/>
              </w:rPr>
            </w:pPr>
            <w:r>
              <w:rPr>
                <w:sz w:val="22"/>
              </w:rPr>
              <w:t>оказание услуг по оформлению подписки и доставке периодического издания</w:t>
            </w:r>
          </w:p>
        </w:tc>
        <w:tc>
          <w:tcPr>
            <w:tcW w:type="dxa" w:w="1194"/>
            <w:tcBorders>
              <w:top w:color="000000" w:sz="4" w:val="single"/>
              <w:left w:color="000000" w:sz="4" w:val="single"/>
              <w:bottom w:color="000000" w:sz="4" w:val="single"/>
              <w:right w:color="000000" w:sz="4" w:val="single"/>
            </w:tcBorders>
            <w:shd w:fill="FFFFFF" w:val="clear"/>
            <w:vAlign w:val="center"/>
          </w:tcPr>
          <w:p w14:paraId="D61E0000">
            <w:pPr>
              <w:widowControl w:val="1"/>
              <w:ind/>
              <w:contextualSpacing w:val="1"/>
              <w:jc w:val="center"/>
              <w:rPr>
                <w:sz w:val="22"/>
              </w:rPr>
            </w:pPr>
            <w:r>
              <w:rPr>
                <w:sz w:val="22"/>
              </w:rPr>
              <w:t>6600</w:t>
            </w:r>
          </w:p>
        </w:tc>
        <w:tc>
          <w:tcPr>
            <w:tcW w:type="dxa" w:w="1221"/>
            <w:tcBorders>
              <w:top w:color="000000" w:sz="4" w:val="single"/>
              <w:left w:color="000000" w:sz="4" w:val="single"/>
              <w:bottom w:color="000000" w:sz="4" w:val="single"/>
              <w:right w:color="000000" w:sz="4" w:val="single"/>
            </w:tcBorders>
            <w:shd w:fill="FFFFFF" w:val="clear"/>
            <w:vAlign w:val="center"/>
          </w:tcPr>
          <w:p w14:paraId="D7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8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9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A1E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DB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DC1E0000">
            <w:pPr>
              <w:widowControl w:val="1"/>
              <w:ind/>
              <w:contextualSpacing w:val="1"/>
              <w:jc w:val="center"/>
              <w:rPr>
                <w:sz w:val="22"/>
              </w:rPr>
            </w:pPr>
            <w:r>
              <w:rPr>
                <w:sz w:val="22"/>
              </w:rPr>
              <w:t>Размещение заказа у единственного поставщика, согласно пп. 11 п. 81  положения утвержденного СД 30.04.2015г. Протокол № 13</w:t>
            </w:r>
          </w:p>
        </w:tc>
      </w:tr>
      <w:tr>
        <w:trPr>
          <w:trHeight w:hRule="atLeast" w:val="1995"/>
        </w:trPr>
        <w:tc>
          <w:tcPr>
            <w:tcW w:type="dxa" w:w="528"/>
            <w:tcBorders>
              <w:top w:color="000000" w:sz="4" w:val="single"/>
              <w:left w:color="000000" w:sz="4" w:val="single"/>
              <w:bottom w:color="000000" w:sz="4" w:val="single"/>
              <w:right w:color="000000" w:sz="4" w:val="single"/>
            </w:tcBorders>
            <w:shd w:fill="FFFFFF" w:val="clear"/>
            <w:vAlign w:val="center"/>
          </w:tcPr>
          <w:p w14:paraId="DD1E0000">
            <w:pPr>
              <w:widowControl w:val="1"/>
              <w:ind/>
              <w:contextualSpacing w:val="1"/>
              <w:rPr>
                <w:color w:val="000000"/>
                <w:sz w:val="22"/>
              </w:rPr>
            </w:pPr>
            <w:r>
              <w:rPr>
                <w:color w:val="000000"/>
                <w:sz w:val="22"/>
              </w:rPr>
              <w:t>75</w:t>
            </w:r>
          </w:p>
        </w:tc>
        <w:tc>
          <w:tcPr>
            <w:tcW w:type="dxa" w:w="1408"/>
            <w:tcBorders>
              <w:top w:color="000000" w:sz="4" w:val="single"/>
              <w:left w:color="000000" w:sz="4" w:val="single"/>
              <w:bottom w:color="000000" w:sz="4" w:val="single"/>
              <w:right w:color="000000" w:sz="4" w:val="single"/>
            </w:tcBorders>
            <w:shd w:fill="FFFFFF" w:val="clear"/>
            <w:vAlign w:val="center"/>
          </w:tcPr>
          <w:p w14:paraId="DE1E0000">
            <w:pPr>
              <w:widowControl w:val="1"/>
              <w:ind/>
              <w:contextualSpacing w:val="1"/>
              <w:jc w:val="center"/>
              <w:rPr>
                <w:sz w:val="22"/>
              </w:rPr>
            </w:pPr>
            <w:r>
              <w:rPr>
                <w:sz w:val="22"/>
              </w:rPr>
              <w:t>ООО "Заповедная вода"</w:t>
            </w:r>
          </w:p>
        </w:tc>
        <w:tc>
          <w:tcPr>
            <w:tcW w:type="dxa" w:w="1408"/>
            <w:tcBorders>
              <w:top w:color="000000" w:sz="4" w:val="single"/>
              <w:left w:color="000000" w:sz="4" w:val="single"/>
              <w:bottom w:color="000000" w:sz="4" w:val="single"/>
              <w:right w:color="000000" w:sz="4" w:val="single"/>
            </w:tcBorders>
            <w:shd w:fill="FFFFFF" w:val="clear"/>
            <w:vAlign w:val="center"/>
          </w:tcPr>
          <w:p w14:paraId="DF1E0000">
            <w:pPr>
              <w:widowControl w:val="1"/>
              <w:ind/>
              <w:contextualSpacing w:val="1"/>
              <w:jc w:val="center"/>
              <w:rPr>
                <w:sz w:val="22"/>
              </w:rPr>
            </w:pPr>
            <w:r>
              <w:rPr>
                <w:sz w:val="22"/>
              </w:rPr>
              <w:t>договор № 8 от 23.01.2018</w:t>
            </w:r>
          </w:p>
        </w:tc>
        <w:tc>
          <w:tcPr>
            <w:tcW w:type="dxa" w:w="1274"/>
            <w:tcBorders>
              <w:top w:color="000000" w:sz="4" w:val="single"/>
              <w:left w:color="000000" w:sz="4" w:val="single"/>
              <w:bottom w:color="000000" w:sz="4" w:val="single"/>
              <w:right w:color="000000" w:sz="4" w:val="single"/>
            </w:tcBorders>
            <w:shd w:fill="FFFFFF" w:val="clear"/>
            <w:vAlign w:val="center"/>
          </w:tcPr>
          <w:p w14:paraId="E01E0000">
            <w:pPr>
              <w:widowControl w:val="1"/>
              <w:ind/>
              <w:contextualSpacing w:val="1"/>
              <w:jc w:val="center"/>
              <w:rPr>
                <w:sz w:val="22"/>
              </w:rPr>
            </w:pPr>
            <w:r>
              <w:rPr>
                <w:sz w:val="22"/>
              </w:rPr>
              <w:t>01.01.2018-31.12.2019</w:t>
            </w:r>
          </w:p>
        </w:tc>
        <w:tc>
          <w:tcPr>
            <w:tcW w:type="dxa" w:w="1556"/>
            <w:tcBorders>
              <w:top w:color="000000" w:sz="4" w:val="single"/>
              <w:left w:color="000000" w:sz="4" w:val="single"/>
              <w:bottom w:color="000000" w:sz="4" w:val="single"/>
              <w:right w:color="000000" w:sz="4" w:val="single"/>
            </w:tcBorders>
            <w:shd w:fill="FFFFFF" w:val="clear"/>
            <w:vAlign w:val="center"/>
          </w:tcPr>
          <w:p w14:paraId="E11E0000">
            <w:pPr>
              <w:widowControl w:val="1"/>
              <w:ind/>
              <w:contextualSpacing w:val="1"/>
              <w:jc w:val="center"/>
              <w:rPr>
                <w:sz w:val="22"/>
              </w:rPr>
            </w:pPr>
            <w:r>
              <w:rPr>
                <w:sz w:val="22"/>
              </w:rPr>
              <w:t>поставка питьевой воды</w:t>
            </w:r>
          </w:p>
        </w:tc>
        <w:tc>
          <w:tcPr>
            <w:tcW w:type="dxa" w:w="1194"/>
            <w:tcBorders>
              <w:top w:color="000000" w:sz="4" w:val="single"/>
              <w:left w:color="000000" w:sz="4" w:val="single"/>
              <w:bottom w:color="000000" w:sz="4" w:val="single"/>
              <w:right w:color="000000" w:sz="4" w:val="single"/>
            </w:tcBorders>
            <w:shd w:fill="FFFFFF" w:val="clear"/>
            <w:vAlign w:val="center"/>
          </w:tcPr>
          <w:p w14:paraId="E21E0000">
            <w:pPr>
              <w:widowControl w:val="1"/>
              <w:ind/>
              <w:contextualSpacing w:val="1"/>
              <w:jc w:val="center"/>
              <w:rPr>
                <w:sz w:val="22"/>
              </w:rPr>
            </w:pPr>
            <w:r>
              <w:rPr>
                <w:sz w:val="22"/>
              </w:rPr>
              <w:t>135150</w:t>
            </w:r>
          </w:p>
        </w:tc>
        <w:tc>
          <w:tcPr>
            <w:tcW w:type="dxa" w:w="1221"/>
            <w:tcBorders>
              <w:top w:color="000000" w:sz="4" w:val="single"/>
              <w:left w:color="000000" w:sz="4" w:val="single"/>
              <w:bottom w:color="000000" w:sz="4" w:val="single"/>
              <w:right w:color="000000" w:sz="4" w:val="single"/>
            </w:tcBorders>
            <w:shd w:fill="FFFFFF" w:val="clear"/>
            <w:vAlign w:val="center"/>
          </w:tcPr>
          <w:p w14:paraId="E3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4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5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61E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E7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E81E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995"/>
        </w:trPr>
        <w:tc>
          <w:tcPr>
            <w:tcW w:type="dxa" w:w="528"/>
            <w:tcBorders>
              <w:top w:color="000000" w:sz="4" w:val="single"/>
              <w:left w:color="000000" w:sz="4" w:val="single"/>
              <w:bottom w:color="000000" w:sz="4" w:val="single"/>
              <w:right w:color="000000" w:sz="4" w:val="single"/>
            </w:tcBorders>
            <w:shd w:fill="FFFFFF" w:val="clear"/>
            <w:vAlign w:val="center"/>
          </w:tcPr>
          <w:p w14:paraId="E91E0000">
            <w:pPr>
              <w:widowControl w:val="1"/>
              <w:ind/>
              <w:contextualSpacing w:val="1"/>
              <w:rPr>
                <w:color w:val="000000"/>
                <w:sz w:val="22"/>
              </w:rPr>
            </w:pPr>
            <w:r>
              <w:rPr>
                <w:color w:val="000000"/>
                <w:sz w:val="22"/>
              </w:rPr>
              <w:t>76</w:t>
            </w:r>
          </w:p>
        </w:tc>
        <w:tc>
          <w:tcPr>
            <w:tcW w:type="dxa" w:w="1408"/>
            <w:tcBorders>
              <w:top w:color="000000" w:sz="4" w:val="single"/>
              <w:left w:color="000000" w:sz="4" w:val="single"/>
              <w:bottom w:color="000000" w:sz="4" w:val="single"/>
              <w:right w:color="000000" w:sz="4" w:val="single"/>
            </w:tcBorders>
            <w:shd w:fill="FFFFFF" w:val="clear"/>
            <w:vAlign w:val="center"/>
          </w:tcPr>
          <w:p w14:paraId="EA1E0000">
            <w:pPr>
              <w:widowControl w:val="1"/>
              <w:ind/>
              <w:contextualSpacing w:val="1"/>
              <w:jc w:val="center"/>
              <w:rPr>
                <w:sz w:val="22"/>
              </w:rPr>
            </w:pPr>
            <w:r>
              <w:rPr>
                <w:sz w:val="22"/>
              </w:rPr>
              <w:t>ООО "Заповедная вода"</w:t>
            </w:r>
          </w:p>
        </w:tc>
        <w:tc>
          <w:tcPr>
            <w:tcW w:type="dxa" w:w="1408"/>
            <w:tcBorders>
              <w:top w:color="000000" w:sz="4" w:val="single"/>
              <w:left w:color="000000" w:sz="4" w:val="single"/>
              <w:bottom w:color="000000" w:sz="4" w:val="single"/>
              <w:right w:color="000000" w:sz="4" w:val="single"/>
            </w:tcBorders>
            <w:shd w:fill="FFFFFF" w:val="clear"/>
            <w:vAlign w:val="center"/>
          </w:tcPr>
          <w:p w14:paraId="EB1E0000">
            <w:pPr>
              <w:widowControl w:val="1"/>
              <w:ind/>
              <w:contextualSpacing w:val="1"/>
              <w:jc w:val="center"/>
              <w:rPr>
                <w:sz w:val="22"/>
              </w:rPr>
            </w:pPr>
            <w:r>
              <w:rPr>
                <w:sz w:val="22"/>
              </w:rPr>
              <w:t>дополнительное соглашение № 1 к договору № 8 от 23.01.2018 от 20.12.2018</w:t>
            </w:r>
          </w:p>
        </w:tc>
        <w:tc>
          <w:tcPr>
            <w:tcW w:type="dxa" w:w="1274"/>
            <w:tcBorders>
              <w:top w:color="000000" w:sz="4" w:val="single"/>
              <w:left w:color="000000" w:sz="4" w:val="single"/>
              <w:bottom w:color="000000" w:sz="4" w:val="single"/>
              <w:right w:color="000000" w:sz="4" w:val="single"/>
            </w:tcBorders>
            <w:shd w:fill="FFFFFF" w:val="clear"/>
            <w:vAlign w:val="center"/>
          </w:tcPr>
          <w:p w14:paraId="EC1E0000">
            <w:pPr>
              <w:widowControl w:val="1"/>
              <w:ind/>
              <w:contextualSpacing w:val="1"/>
              <w:jc w:val="center"/>
              <w:rPr>
                <w:sz w:val="22"/>
              </w:rPr>
            </w:pPr>
            <w:r>
              <w:rPr>
                <w:sz w:val="22"/>
              </w:rPr>
              <w:t>01.01.2018-31.12.2019</w:t>
            </w:r>
          </w:p>
        </w:tc>
        <w:tc>
          <w:tcPr>
            <w:tcW w:type="dxa" w:w="1556"/>
            <w:tcBorders>
              <w:top w:color="000000" w:sz="4" w:val="single"/>
              <w:left w:color="000000" w:sz="4" w:val="single"/>
              <w:bottom w:color="000000" w:sz="4" w:val="single"/>
              <w:right w:color="000000" w:sz="4" w:val="single"/>
            </w:tcBorders>
            <w:shd w:fill="FFFFFF" w:val="clear"/>
            <w:vAlign w:val="center"/>
          </w:tcPr>
          <w:p w14:paraId="ED1E0000">
            <w:pPr>
              <w:widowControl w:val="1"/>
              <w:ind/>
              <w:contextualSpacing w:val="1"/>
              <w:jc w:val="center"/>
              <w:rPr>
                <w:sz w:val="22"/>
              </w:rPr>
            </w:pPr>
            <w:r>
              <w:rPr>
                <w:sz w:val="22"/>
              </w:rPr>
              <w:t>увеличение предельной цены договора в связи с увеличением ставки НДС</w:t>
            </w:r>
          </w:p>
        </w:tc>
        <w:tc>
          <w:tcPr>
            <w:tcW w:type="dxa" w:w="1194"/>
            <w:tcBorders>
              <w:top w:color="000000" w:sz="4" w:val="single"/>
              <w:left w:color="000000" w:sz="4" w:val="single"/>
              <w:bottom w:color="000000" w:sz="4" w:val="single"/>
              <w:right w:color="000000" w:sz="4" w:val="single"/>
            </w:tcBorders>
            <w:shd w:fill="FFFFFF" w:val="clear"/>
            <w:vAlign w:val="center"/>
          </w:tcPr>
          <w:p w14:paraId="EE1E0000">
            <w:pPr>
              <w:widowControl w:val="1"/>
              <w:ind/>
              <w:contextualSpacing w:val="1"/>
              <w:jc w:val="center"/>
              <w:rPr>
                <w:sz w:val="22"/>
              </w:rPr>
            </w:pPr>
            <w:r>
              <w:rPr>
                <w:sz w:val="22"/>
              </w:rPr>
              <w:t>136610,92</w:t>
            </w:r>
          </w:p>
        </w:tc>
        <w:tc>
          <w:tcPr>
            <w:tcW w:type="dxa" w:w="1221"/>
            <w:tcBorders>
              <w:top w:color="000000" w:sz="4" w:val="single"/>
              <w:left w:color="000000" w:sz="4" w:val="single"/>
              <w:bottom w:color="000000" w:sz="4" w:val="single"/>
              <w:right w:color="000000" w:sz="4" w:val="single"/>
            </w:tcBorders>
            <w:shd w:fill="FFFFFF" w:val="clear"/>
            <w:vAlign w:val="center"/>
          </w:tcPr>
          <w:p w14:paraId="EF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0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1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21E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F31E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F41E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66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F51E0000">
            <w:pPr>
              <w:widowControl w:val="1"/>
              <w:ind/>
              <w:contextualSpacing w:val="1"/>
              <w:jc w:val="center"/>
              <w:rPr>
                <w:color w:val="000000"/>
                <w:sz w:val="22"/>
              </w:rPr>
            </w:pPr>
            <w:r>
              <w:rPr>
                <w:color w:val="000000"/>
                <w:sz w:val="22"/>
              </w:rPr>
              <w:t>итого по контрагенту ООО "Заповедная вода"  136610,92 руб.</w:t>
            </w:r>
          </w:p>
          <w:p w14:paraId="F61E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F71E0000">
            <w:pPr>
              <w:widowControl w:val="1"/>
              <w:ind/>
              <w:contextualSpacing w:val="1"/>
              <w:rPr>
                <w:color w:val="000000"/>
                <w:sz w:val="22"/>
              </w:rPr>
            </w:pPr>
            <w:r>
              <w:rPr>
                <w:color w:val="000000"/>
                <w:sz w:val="22"/>
              </w:rPr>
              <w:t>77</w:t>
            </w:r>
          </w:p>
        </w:tc>
        <w:tc>
          <w:tcPr>
            <w:tcW w:type="dxa" w:w="1408"/>
            <w:tcBorders>
              <w:top w:color="000000" w:sz="4" w:val="single"/>
              <w:left w:color="000000" w:sz="4" w:val="single"/>
              <w:bottom w:color="000000" w:sz="4" w:val="single"/>
              <w:right w:color="000000" w:sz="4" w:val="single"/>
            </w:tcBorders>
            <w:shd w:fill="FFFFFF" w:val="clear"/>
            <w:vAlign w:val="center"/>
          </w:tcPr>
          <w:p w14:paraId="F81E0000">
            <w:pPr>
              <w:widowControl w:val="1"/>
              <w:ind/>
              <w:contextualSpacing w:val="1"/>
              <w:jc w:val="center"/>
              <w:rPr>
                <w:sz w:val="22"/>
              </w:rPr>
            </w:pPr>
            <w:r>
              <w:rPr>
                <w:sz w:val="22"/>
              </w:rPr>
              <w:t>ООО "ДНС-Трейд"</w:t>
            </w:r>
          </w:p>
        </w:tc>
        <w:tc>
          <w:tcPr>
            <w:tcW w:type="dxa" w:w="1408"/>
            <w:tcBorders>
              <w:top w:color="000000" w:sz="4" w:val="single"/>
              <w:left w:color="000000" w:sz="4" w:val="single"/>
              <w:bottom w:color="000000" w:sz="4" w:val="single"/>
              <w:right w:color="000000" w:sz="4" w:val="single"/>
            </w:tcBorders>
            <w:shd w:fill="FFFFFF" w:val="clear"/>
            <w:vAlign w:val="center"/>
          </w:tcPr>
          <w:p w14:paraId="F91E0000">
            <w:pPr>
              <w:widowControl w:val="1"/>
              <w:ind/>
              <w:contextualSpacing w:val="1"/>
              <w:jc w:val="center"/>
              <w:rPr>
                <w:sz w:val="22"/>
              </w:rPr>
            </w:pPr>
            <w:r>
              <w:rPr>
                <w:sz w:val="22"/>
              </w:rPr>
              <w:t>договор № 22 от 19.02.2018</w:t>
            </w:r>
          </w:p>
        </w:tc>
        <w:tc>
          <w:tcPr>
            <w:tcW w:type="dxa" w:w="1274"/>
            <w:tcBorders>
              <w:top w:color="000000" w:sz="4" w:val="single"/>
              <w:left w:color="000000" w:sz="4" w:val="single"/>
              <w:bottom w:color="000000" w:sz="4" w:val="single"/>
              <w:right w:color="000000" w:sz="4" w:val="single"/>
            </w:tcBorders>
            <w:shd w:fill="FFFFFF" w:val="clear"/>
            <w:vAlign w:val="center"/>
          </w:tcPr>
          <w:p w14:paraId="FA1E0000">
            <w:pPr>
              <w:widowControl w:val="1"/>
              <w:ind/>
              <w:contextualSpacing w:val="1"/>
              <w:jc w:val="center"/>
              <w:rPr>
                <w:sz w:val="22"/>
              </w:rPr>
            </w:pPr>
            <w:r>
              <w:rPr>
                <w:sz w:val="22"/>
              </w:rPr>
              <w:t>19.02.2018-31.12.2018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FB1E0000">
            <w:pPr>
              <w:widowControl w:val="1"/>
              <w:ind/>
              <w:contextualSpacing w:val="1"/>
              <w:jc w:val="center"/>
              <w:rPr>
                <w:sz w:val="22"/>
              </w:rPr>
            </w:pPr>
            <w:r>
              <w:rPr>
                <w:sz w:val="22"/>
              </w:rPr>
              <w:t>поставка бытовой техники</w:t>
            </w:r>
          </w:p>
        </w:tc>
        <w:tc>
          <w:tcPr>
            <w:tcW w:type="dxa" w:w="1194"/>
            <w:tcBorders>
              <w:top w:color="000000" w:sz="4" w:val="single"/>
              <w:left w:color="000000" w:sz="4" w:val="single"/>
              <w:bottom w:color="000000" w:sz="4" w:val="single"/>
              <w:right w:color="000000" w:sz="4" w:val="single"/>
            </w:tcBorders>
            <w:shd w:fill="FFFFFF" w:val="clear"/>
            <w:vAlign w:val="center"/>
          </w:tcPr>
          <w:p w14:paraId="FC1E0000">
            <w:pPr>
              <w:widowControl w:val="1"/>
              <w:ind/>
              <w:contextualSpacing w:val="1"/>
              <w:jc w:val="center"/>
              <w:rPr>
                <w:sz w:val="22"/>
              </w:rPr>
            </w:pPr>
            <w:r>
              <w:rPr>
                <w:sz w:val="22"/>
              </w:rPr>
              <w:t>96090</w:t>
            </w:r>
          </w:p>
        </w:tc>
        <w:tc>
          <w:tcPr>
            <w:tcW w:type="dxa" w:w="1221"/>
            <w:tcBorders>
              <w:top w:color="000000" w:sz="4" w:val="single"/>
              <w:left w:color="000000" w:sz="4" w:val="single"/>
              <w:bottom w:color="000000" w:sz="4" w:val="single"/>
              <w:right w:color="000000" w:sz="4" w:val="single"/>
            </w:tcBorders>
            <w:shd w:fill="FFFFFF" w:val="clear"/>
            <w:vAlign w:val="center"/>
          </w:tcPr>
          <w:p w14:paraId="FD1E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E1E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F1E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00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01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21F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031F0000">
            <w:pPr>
              <w:widowControl w:val="1"/>
              <w:ind/>
              <w:contextualSpacing w:val="1"/>
              <w:rPr>
                <w:color w:val="000000"/>
                <w:sz w:val="22"/>
              </w:rPr>
            </w:pPr>
            <w:r>
              <w:rPr>
                <w:color w:val="000000"/>
                <w:sz w:val="22"/>
              </w:rPr>
              <w:t>78</w:t>
            </w:r>
          </w:p>
        </w:tc>
        <w:tc>
          <w:tcPr>
            <w:tcW w:type="dxa" w:w="1408"/>
            <w:tcBorders>
              <w:top w:color="000000" w:sz="4" w:val="single"/>
              <w:left w:color="000000" w:sz="4" w:val="single"/>
              <w:bottom w:color="000000" w:sz="4" w:val="single"/>
              <w:right w:color="000000" w:sz="4" w:val="single"/>
            </w:tcBorders>
            <w:shd w:fill="FFFFFF" w:val="clear"/>
            <w:vAlign w:val="center"/>
          </w:tcPr>
          <w:p w14:paraId="041F0000">
            <w:pPr>
              <w:widowControl w:val="1"/>
              <w:ind/>
              <w:contextualSpacing w:val="1"/>
              <w:jc w:val="center"/>
              <w:rPr>
                <w:sz w:val="22"/>
              </w:rPr>
            </w:pPr>
            <w:r>
              <w:rPr>
                <w:sz w:val="22"/>
              </w:rPr>
              <w:t>ООО "ДНС Трейд"</w:t>
            </w:r>
          </w:p>
        </w:tc>
        <w:tc>
          <w:tcPr>
            <w:tcW w:type="dxa" w:w="1408"/>
            <w:tcBorders>
              <w:top w:color="000000" w:sz="4" w:val="single"/>
              <w:left w:color="000000" w:sz="4" w:val="single"/>
              <w:bottom w:color="000000" w:sz="4" w:val="single"/>
              <w:right w:color="000000" w:sz="4" w:val="single"/>
            </w:tcBorders>
            <w:shd w:fill="FFFFFF" w:val="clear"/>
            <w:vAlign w:val="center"/>
          </w:tcPr>
          <w:p w14:paraId="051F0000">
            <w:pPr>
              <w:widowControl w:val="1"/>
              <w:ind/>
              <w:contextualSpacing w:val="1"/>
              <w:jc w:val="center"/>
              <w:rPr>
                <w:sz w:val="22"/>
              </w:rPr>
            </w:pPr>
            <w:r>
              <w:rPr>
                <w:sz w:val="22"/>
              </w:rPr>
              <w:t>счет № рд1-000442 от 31.01.2018</w:t>
            </w:r>
          </w:p>
        </w:tc>
        <w:tc>
          <w:tcPr>
            <w:tcW w:type="dxa" w:w="1274"/>
            <w:tcBorders>
              <w:top w:color="000000" w:sz="4" w:val="single"/>
              <w:left w:color="000000" w:sz="4" w:val="single"/>
              <w:bottom w:color="000000" w:sz="4" w:val="single"/>
              <w:right w:color="000000" w:sz="4" w:val="single"/>
            </w:tcBorders>
            <w:shd w:fill="FFFFFF" w:val="clear"/>
            <w:vAlign w:val="center"/>
          </w:tcPr>
          <w:p w14:paraId="061F0000">
            <w:pPr>
              <w:widowControl w:val="1"/>
              <w:ind/>
              <w:contextualSpacing w:val="1"/>
              <w:jc w:val="center"/>
              <w:rPr>
                <w:sz w:val="22"/>
              </w:rPr>
            </w:pPr>
            <w:r>
              <w:rPr>
                <w:sz w:val="22"/>
              </w:rPr>
              <w:t>06.02.2018-28.02.2018</w:t>
            </w:r>
          </w:p>
        </w:tc>
        <w:tc>
          <w:tcPr>
            <w:tcW w:type="dxa" w:w="1556"/>
            <w:tcBorders>
              <w:top w:color="000000" w:sz="4" w:val="single"/>
              <w:left w:color="000000" w:sz="4" w:val="single"/>
              <w:bottom w:color="000000" w:sz="4" w:val="single"/>
              <w:right w:color="000000" w:sz="4" w:val="single"/>
            </w:tcBorders>
            <w:shd w:fill="FFFFFF" w:val="clear"/>
            <w:vAlign w:val="center"/>
          </w:tcPr>
          <w:p w14:paraId="071F0000">
            <w:pPr>
              <w:widowControl w:val="1"/>
              <w:ind/>
              <w:contextualSpacing w:val="1"/>
              <w:jc w:val="center"/>
              <w:rPr>
                <w:sz w:val="22"/>
              </w:rPr>
            </w:pPr>
            <w:r>
              <w:rPr>
                <w:sz w:val="22"/>
              </w:rPr>
              <w:t>поставка термометров</w:t>
            </w:r>
          </w:p>
        </w:tc>
        <w:tc>
          <w:tcPr>
            <w:tcW w:type="dxa" w:w="1194"/>
            <w:tcBorders>
              <w:top w:color="000000" w:sz="4" w:val="single"/>
              <w:left w:color="000000" w:sz="4" w:val="single"/>
              <w:bottom w:color="000000" w:sz="4" w:val="single"/>
              <w:right w:color="000000" w:sz="4" w:val="single"/>
            </w:tcBorders>
            <w:shd w:fill="FFFFFF" w:val="clear"/>
            <w:vAlign w:val="center"/>
          </w:tcPr>
          <w:p w14:paraId="081F0000">
            <w:pPr>
              <w:widowControl w:val="1"/>
              <w:ind/>
              <w:contextualSpacing w:val="1"/>
              <w:jc w:val="center"/>
              <w:rPr>
                <w:sz w:val="22"/>
              </w:rPr>
            </w:pPr>
            <w:r>
              <w:rPr>
                <w:sz w:val="22"/>
              </w:rPr>
              <w:t>2 800,00</w:t>
            </w:r>
          </w:p>
        </w:tc>
        <w:tc>
          <w:tcPr>
            <w:tcW w:type="dxa" w:w="1221"/>
            <w:tcBorders>
              <w:top w:color="000000" w:sz="4" w:val="single"/>
              <w:left w:color="000000" w:sz="4" w:val="single"/>
              <w:bottom w:color="000000" w:sz="4" w:val="single"/>
              <w:right w:color="000000" w:sz="4" w:val="single"/>
            </w:tcBorders>
            <w:shd w:fill="FFFFFF" w:val="clear"/>
            <w:vAlign w:val="center"/>
          </w:tcPr>
          <w:p w14:paraId="09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A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B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0C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0D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E1F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185"/>
        </w:trPr>
        <w:tc>
          <w:tcPr>
            <w:tcW w:type="dxa" w:w="528"/>
            <w:tcBorders>
              <w:top w:color="000000" w:sz="4" w:val="single"/>
              <w:left w:color="000000" w:sz="4" w:val="single"/>
              <w:bottom w:color="000000" w:sz="4" w:val="single"/>
              <w:right w:color="000000" w:sz="4" w:val="single"/>
            </w:tcBorders>
            <w:shd w:fill="FFFFFF" w:val="clear"/>
            <w:vAlign w:val="center"/>
          </w:tcPr>
          <w:p w14:paraId="0F1F0000">
            <w:pPr>
              <w:widowControl w:val="1"/>
              <w:ind/>
              <w:contextualSpacing w:val="1"/>
              <w:rPr>
                <w:color w:val="000000"/>
                <w:sz w:val="22"/>
              </w:rPr>
            </w:pPr>
            <w:r>
              <w:rPr>
                <w:color w:val="000000"/>
                <w:sz w:val="22"/>
              </w:rPr>
              <w:t>79</w:t>
            </w:r>
          </w:p>
        </w:tc>
        <w:tc>
          <w:tcPr>
            <w:tcW w:type="dxa" w:w="1408"/>
            <w:tcBorders>
              <w:top w:color="000000" w:sz="4" w:val="single"/>
              <w:left w:color="000000" w:sz="4" w:val="single"/>
              <w:bottom w:color="000000" w:sz="4" w:val="single"/>
              <w:right w:color="000000" w:sz="4" w:val="single"/>
            </w:tcBorders>
            <w:shd w:fill="FFFFFF" w:val="clear"/>
            <w:vAlign w:val="center"/>
          </w:tcPr>
          <w:p w14:paraId="101F0000">
            <w:pPr>
              <w:widowControl w:val="1"/>
              <w:ind/>
              <w:contextualSpacing w:val="1"/>
              <w:jc w:val="center"/>
              <w:rPr>
                <w:sz w:val="22"/>
              </w:rPr>
            </w:pPr>
            <w:r>
              <w:rPr>
                <w:sz w:val="22"/>
              </w:rPr>
              <w:t>ООО "ДНС Ритейл"</w:t>
            </w:r>
          </w:p>
        </w:tc>
        <w:tc>
          <w:tcPr>
            <w:tcW w:type="dxa" w:w="1408"/>
            <w:tcBorders>
              <w:top w:color="000000" w:sz="4" w:val="single"/>
              <w:left w:color="000000" w:sz="4" w:val="single"/>
              <w:bottom w:color="000000" w:sz="4" w:val="single"/>
              <w:right w:color="000000" w:sz="4" w:val="single"/>
            </w:tcBorders>
            <w:shd w:fill="FFFFFF" w:val="clear"/>
            <w:vAlign w:val="center"/>
          </w:tcPr>
          <w:p w14:paraId="111F0000">
            <w:pPr>
              <w:widowControl w:val="1"/>
              <w:ind/>
              <w:contextualSpacing w:val="1"/>
              <w:jc w:val="center"/>
              <w:rPr>
                <w:sz w:val="22"/>
              </w:rPr>
            </w:pPr>
            <w:r>
              <w:rPr>
                <w:sz w:val="22"/>
              </w:rPr>
              <w:t>дополнительное соглашение № 1 к договору № 22 от 19.02.2018г. От 04.05.2018</w:t>
            </w:r>
          </w:p>
        </w:tc>
        <w:tc>
          <w:tcPr>
            <w:tcW w:type="dxa" w:w="1274"/>
            <w:tcBorders>
              <w:top w:color="000000" w:sz="4" w:val="single"/>
              <w:left w:color="000000" w:sz="4" w:val="single"/>
              <w:bottom w:color="000000" w:sz="4" w:val="single"/>
              <w:right w:color="000000" w:sz="4" w:val="single"/>
            </w:tcBorders>
            <w:shd w:fill="FFFFFF" w:val="clear"/>
            <w:vAlign w:val="center"/>
          </w:tcPr>
          <w:p w14:paraId="121F0000">
            <w:pPr>
              <w:widowControl w:val="1"/>
              <w:ind/>
              <w:contextualSpacing w:val="1"/>
              <w:jc w:val="center"/>
              <w:rPr>
                <w:sz w:val="22"/>
              </w:rPr>
            </w:pPr>
            <w:r>
              <w:rPr>
                <w:sz w:val="22"/>
              </w:rPr>
              <w:t>04.05.2018-31.12.2018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131F0000">
            <w:pPr>
              <w:widowControl w:val="1"/>
              <w:ind/>
              <w:contextualSpacing w:val="1"/>
              <w:jc w:val="center"/>
              <w:rPr>
                <w:sz w:val="22"/>
              </w:rPr>
            </w:pPr>
            <w:r>
              <w:rPr>
                <w:sz w:val="22"/>
              </w:rPr>
              <w:t>передача прав и обязанностей ООО "ДНС Трейд"по договору ООО "ДНС Ритейл" без изменения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141F0000">
            <w:pPr>
              <w:widowControl w:val="1"/>
              <w:ind/>
              <w:contextualSpacing w:val="1"/>
              <w:jc w:val="center"/>
              <w:rPr>
                <w:sz w:val="22"/>
              </w:rPr>
            </w:pPr>
            <w:r>
              <w:rPr>
                <w:sz w:val="22"/>
              </w:rPr>
              <w:t>96090</w:t>
            </w:r>
          </w:p>
        </w:tc>
        <w:tc>
          <w:tcPr>
            <w:tcW w:type="dxa" w:w="1221"/>
            <w:tcBorders>
              <w:top w:color="000000" w:sz="4" w:val="single"/>
              <w:left w:color="000000" w:sz="4" w:val="single"/>
              <w:bottom w:color="000000" w:sz="4" w:val="single"/>
              <w:right w:color="000000" w:sz="4" w:val="single"/>
            </w:tcBorders>
            <w:shd w:fill="FFFFFF" w:val="clear"/>
            <w:vAlign w:val="center"/>
          </w:tcPr>
          <w:p w14:paraId="15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6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7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8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19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1A1F0000">
            <w:pPr>
              <w:widowControl w:val="1"/>
              <w:ind/>
              <w:contextualSpacing w:val="1"/>
              <w:jc w:val="center"/>
              <w:rPr>
                <w:sz w:val="22"/>
              </w:rPr>
            </w:pPr>
            <w:r>
              <w:rPr>
                <w:sz w:val="22"/>
              </w:rPr>
              <w:t>Размещение заказа у единственного поставщика, согласно пп.28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1B1F0000">
            <w:pPr>
              <w:widowControl w:val="1"/>
              <w:ind/>
              <w:contextualSpacing w:val="1"/>
              <w:rPr>
                <w:color w:val="000000"/>
                <w:sz w:val="22"/>
              </w:rPr>
            </w:pPr>
            <w:r>
              <w:rPr>
                <w:color w:val="000000"/>
                <w:sz w:val="22"/>
              </w:rPr>
              <w:t>80</w:t>
            </w:r>
          </w:p>
        </w:tc>
        <w:tc>
          <w:tcPr>
            <w:tcW w:type="dxa" w:w="1408"/>
            <w:tcBorders>
              <w:top w:color="000000" w:sz="4" w:val="single"/>
              <w:left w:color="000000" w:sz="4" w:val="single"/>
              <w:bottom w:color="000000" w:sz="4" w:val="single"/>
              <w:right w:color="000000" w:sz="4" w:val="single"/>
            </w:tcBorders>
            <w:shd w:fill="FFFFFF" w:val="clear"/>
            <w:vAlign w:val="center"/>
          </w:tcPr>
          <w:p w14:paraId="1C1F0000">
            <w:pPr>
              <w:widowControl w:val="1"/>
              <w:ind/>
              <w:contextualSpacing w:val="1"/>
              <w:jc w:val="center"/>
              <w:rPr>
                <w:sz w:val="22"/>
              </w:rPr>
            </w:pPr>
            <w:r>
              <w:rPr>
                <w:sz w:val="22"/>
              </w:rPr>
              <w:t>ООО "ДНС Ритейл"</w:t>
            </w:r>
          </w:p>
        </w:tc>
        <w:tc>
          <w:tcPr>
            <w:tcW w:type="dxa" w:w="1408"/>
            <w:tcBorders>
              <w:top w:color="000000" w:sz="4" w:val="single"/>
              <w:left w:color="000000" w:sz="4" w:val="single"/>
              <w:bottom w:color="000000" w:sz="4" w:val="single"/>
              <w:right w:color="000000" w:sz="4" w:val="single"/>
            </w:tcBorders>
            <w:shd w:fill="FFFFFF" w:val="clear"/>
            <w:vAlign w:val="center"/>
          </w:tcPr>
          <w:p w14:paraId="1D1F0000">
            <w:pPr>
              <w:widowControl w:val="1"/>
              <w:ind/>
              <w:contextualSpacing w:val="1"/>
              <w:jc w:val="center"/>
              <w:rPr>
                <w:sz w:val="22"/>
              </w:rPr>
            </w:pPr>
            <w:r>
              <w:rPr>
                <w:sz w:val="22"/>
              </w:rPr>
              <w:t>счет № РД1-003210 от 02.08.2018</w:t>
            </w:r>
          </w:p>
        </w:tc>
        <w:tc>
          <w:tcPr>
            <w:tcW w:type="dxa" w:w="1274"/>
            <w:tcBorders>
              <w:top w:color="000000" w:sz="4" w:val="single"/>
              <w:left w:color="000000" w:sz="4" w:val="single"/>
              <w:bottom w:color="000000" w:sz="4" w:val="single"/>
              <w:right w:color="000000" w:sz="4" w:val="single"/>
            </w:tcBorders>
            <w:shd w:fill="FFFFFF" w:val="clear"/>
            <w:vAlign w:val="center"/>
          </w:tcPr>
          <w:p w14:paraId="1E1F0000">
            <w:pPr>
              <w:widowControl w:val="1"/>
              <w:ind/>
              <w:contextualSpacing w:val="1"/>
              <w:jc w:val="center"/>
              <w:rPr>
                <w:sz w:val="22"/>
              </w:rPr>
            </w:pPr>
            <w:r>
              <w:rPr>
                <w:sz w:val="22"/>
              </w:rPr>
              <w:t>02.08.2018-20.08.2018</w:t>
            </w:r>
          </w:p>
        </w:tc>
        <w:tc>
          <w:tcPr>
            <w:tcW w:type="dxa" w:w="1556"/>
            <w:tcBorders>
              <w:top w:color="000000" w:sz="4" w:val="single"/>
              <w:left w:color="000000" w:sz="4" w:val="single"/>
              <w:bottom w:color="000000" w:sz="4" w:val="single"/>
              <w:right w:color="000000" w:sz="4" w:val="single"/>
            </w:tcBorders>
            <w:shd w:fill="FFFFFF" w:val="clear"/>
            <w:vAlign w:val="center"/>
          </w:tcPr>
          <w:p w14:paraId="1F1F0000">
            <w:pPr>
              <w:widowControl w:val="1"/>
              <w:ind/>
              <w:contextualSpacing w:val="1"/>
              <w:jc w:val="center"/>
              <w:rPr>
                <w:sz w:val="22"/>
              </w:rPr>
            </w:pPr>
            <w:r>
              <w:rPr>
                <w:sz w:val="22"/>
              </w:rPr>
              <w:t>поставка холодильника</w:t>
            </w:r>
          </w:p>
        </w:tc>
        <w:tc>
          <w:tcPr>
            <w:tcW w:type="dxa" w:w="1194"/>
            <w:tcBorders>
              <w:top w:color="000000" w:sz="4" w:val="single"/>
              <w:left w:color="000000" w:sz="4" w:val="single"/>
              <w:bottom w:color="000000" w:sz="4" w:val="single"/>
              <w:right w:color="000000" w:sz="4" w:val="single"/>
            </w:tcBorders>
            <w:shd w:fill="FFFFFF" w:val="clear"/>
            <w:vAlign w:val="center"/>
          </w:tcPr>
          <w:p w14:paraId="201F0000">
            <w:pPr>
              <w:widowControl w:val="1"/>
              <w:ind/>
              <w:contextualSpacing w:val="1"/>
              <w:jc w:val="center"/>
              <w:rPr>
                <w:sz w:val="22"/>
              </w:rPr>
            </w:pPr>
            <w:r>
              <w:rPr>
                <w:sz w:val="22"/>
              </w:rPr>
              <w:t>9990,00</w:t>
            </w:r>
          </w:p>
        </w:tc>
        <w:tc>
          <w:tcPr>
            <w:tcW w:type="dxa" w:w="1221"/>
            <w:tcBorders>
              <w:top w:color="000000" w:sz="4" w:val="single"/>
              <w:left w:color="000000" w:sz="4" w:val="single"/>
              <w:bottom w:color="000000" w:sz="4" w:val="single"/>
              <w:right w:color="000000" w:sz="4" w:val="single"/>
            </w:tcBorders>
            <w:shd w:fill="FFFFFF" w:val="clear"/>
            <w:vAlign w:val="center"/>
          </w:tcPr>
          <w:p w14:paraId="21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2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3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4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25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261F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71F0000">
            <w:pPr>
              <w:widowControl w:val="1"/>
              <w:ind/>
              <w:contextualSpacing w:val="1"/>
              <w:rPr>
                <w:color w:val="000000"/>
                <w:sz w:val="22"/>
              </w:rPr>
            </w:pPr>
            <w:r>
              <w:rPr>
                <w:color w:val="000000"/>
                <w:sz w:val="22"/>
              </w:rPr>
              <w:t>81</w:t>
            </w:r>
          </w:p>
        </w:tc>
        <w:tc>
          <w:tcPr>
            <w:tcW w:type="dxa" w:w="1408"/>
            <w:tcBorders>
              <w:top w:color="000000" w:sz="4" w:val="single"/>
              <w:left w:color="000000" w:sz="4" w:val="single"/>
              <w:bottom w:color="000000" w:sz="4" w:val="single"/>
              <w:right w:color="000000" w:sz="4" w:val="single"/>
            </w:tcBorders>
            <w:shd w:fill="FFFFFF" w:val="clear"/>
            <w:vAlign w:val="center"/>
          </w:tcPr>
          <w:p w14:paraId="281F0000">
            <w:pPr>
              <w:widowControl w:val="1"/>
              <w:ind/>
              <w:contextualSpacing w:val="1"/>
              <w:jc w:val="center"/>
              <w:rPr>
                <w:sz w:val="22"/>
              </w:rPr>
            </w:pPr>
            <w:r>
              <w:rPr>
                <w:sz w:val="22"/>
              </w:rPr>
              <w:t>ООО "ДНС Ритейл"</w:t>
            </w:r>
          </w:p>
        </w:tc>
        <w:tc>
          <w:tcPr>
            <w:tcW w:type="dxa" w:w="1408"/>
            <w:tcBorders>
              <w:top w:color="000000" w:sz="4" w:val="single"/>
              <w:left w:color="000000" w:sz="4" w:val="single"/>
              <w:bottom w:color="000000" w:sz="4" w:val="single"/>
              <w:right w:color="000000" w:sz="4" w:val="single"/>
            </w:tcBorders>
            <w:shd w:fill="FFFFFF" w:val="clear"/>
            <w:vAlign w:val="center"/>
          </w:tcPr>
          <w:p w14:paraId="291F0000">
            <w:pPr>
              <w:widowControl w:val="1"/>
              <w:ind/>
              <w:contextualSpacing w:val="1"/>
              <w:jc w:val="center"/>
              <w:rPr>
                <w:sz w:val="22"/>
              </w:rPr>
            </w:pPr>
            <w:r>
              <w:rPr>
                <w:sz w:val="22"/>
              </w:rPr>
              <w:t>счет № РД1-004335 от 16.10.2018</w:t>
            </w:r>
          </w:p>
        </w:tc>
        <w:tc>
          <w:tcPr>
            <w:tcW w:type="dxa" w:w="1274"/>
            <w:tcBorders>
              <w:top w:color="000000" w:sz="4" w:val="single"/>
              <w:left w:color="000000" w:sz="4" w:val="single"/>
              <w:bottom w:color="000000" w:sz="4" w:val="single"/>
              <w:right w:color="000000" w:sz="4" w:val="single"/>
            </w:tcBorders>
            <w:shd w:fill="FFFFFF" w:val="clear"/>
            <w:vAlign w:val="center"/>
          </w:tcPr>
          <w:p w14:paraId="2A1F0000">
            <w:pPr>
              <w:widowControl w:val="1"/>
              <w:ind/>
              <w:contextualSpacing w:val="1"/>
              <w:jc w:val="center"/>
              <w:rPr>
                <w:sz w:val="22"/>
              </w:rPr>
            </w:pPr>
            <w:r>
              <w:rPr>
                <w:sz w:val="22"/>
              </w:rPr>
              <w:t>16.10.2018-31.10.2018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2B1F0000">
            <w:pPr>
              <w:widowControl w:val="1"/>
              <w:ind/>
              <w:contextualSpacing w:val="1"/>
              <w:jc w:val="center"/>
              <w:rPr>
                <w:sz w:val="22"/>
              </w:rPr>
            </w:pPr>
            <w:r>
              <w:rPr>
                <w:sz w:val="22"/>
              </w:rPr>
              <w:t>поставка микроволновой печи</w:t>
            </w:r>
          </w:p>
        </w:tc>
        <w:tc>
          <w:tcPr>
            <w:tcW w:type="dxa" w:w="1194"/>
            <w:tcBorders>
              <w:top w:color="000000" w:sz="4" w:val="single"/>
              <w:left w:color="000000" w:sz="4" w:val="single"/>
              <w:bottom w:color="000000" w:sz="4" w:val="single"/>
              <w:right w:color="000000" w:sz="4" w:val="single"/>
            </w:tcBorders>
            <w:shd w:fill="FFFFFF" w:val="clear"/>
            <w:vAlign w:val="center"/>
          </w:tcPr>
          <w:p w14:paraId="2C1F0000">
            <w:pPr>
              <w:widowControl w:val="1"/>
              <w:ind/>
              <w:contextualSpacing w:val="1"/>
              <w:jc w:val="center"/>
              <w:rPr>
                <w:sz w:val="22"/>
              </w:rPr>
            </w:pPr>
            <w:r>
              <w:rPr>
                <w:sz w:val="22"/>
              </w:rPr>
              <w:t>10098,00</w:t>
            </w:r>
          </w:p>
        </w:tc>
        <w:tc>
          <w:tcPr>
            <w:tcW w:type="dxa" w:w="1221"/>
            <w:tcBorders>
              <w:top w:color="000000" w:sz="4" w:val="single"/>
              <w:left w:color="000000" w:sz="4" w:val="single"/>
              <w:bottom w:color="000000" w:sz="4" w:val="single"/>
              <w:right w:color="000000" w:sz="4" w:val="single"/>
            </w:tcBorders>
            <w:shd w:fill="FFFFFF" w:val="clear"/>
            <w:vAlign w:val="center"/>
          </w:tcPr>
          <w:p w14:paraId="2D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E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F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0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31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21F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31F0000">
            <w:pPr>
              <w:widowControl w:val="1"/>
              <w:ind/>
              <w:contextualSpacing w:val="1"/>
              <w:rPr>
                <w:color w:val="000000"/>
                <w:sz w:val="22"/>
              </w:rPr>
            </w:pPr>
            <w:r>
              <w:rPr>
                <w:color w:val="000000"/>
                <w:sz w:val="22"/>
              </w:rPr>
              <w:t>82</w:t>
            </w:r>
          </w:p>
        </w:tc>
        <w:tc>
          <w:tcPr>
            <w:tcW w:type="dxa" w:w="1408"/>
            <w:tcBorders>
              <w:top w:color="000000" w:sz="4" w:val="single"/>
              <w:left w:color="000000" w:sz="4" w:val="single"/>
              <w:bottom w:color="000000" w:sz="4" w:val="single"/>
              <w:right w:color="000000" w:sz="4" w:val="single"/>
            </w:tcBorders>
            <w:shd w:fill="FFFFFF" w:val="clear"/>
            <w:vAlign w:val="center"/>
          </w:tcPr>
          <w:p w14:paraId="341F0000">
            <w:pPr>
              <w:widowControl w:val="1"/>
              <w:ind/>
              <w:contextualSpacing w:val="1"/>
              <w:jc w:val="center"/>
              <w:rPr>
                <w:sz w:val="22"/>
              </w:rPr>
            </w:pPr>
            <w:r>
              <w:rPr>
                <w:sz w:val="22"/>
              </w:rPr>
              <w:t>ООО "ДНС Ритейл"</w:t>
            </w:r>
          </w:p>
        </w:tc>
        <w:tc>
          <w:tcPr>
            <w:tcW w:type="dxa" w:w="1408"/>
            <w:tcBorders>
              <w:top w:color="000000" w:sz="4" w:val="single"/>
              <w:left w:color="000000" w:sz="4" w:val="single"/>
              <w:bottom w:color="000000" w:sz="4" w:val="single"/>
              <w:right w:color="000000" w:sz="4" w:val="single"/>
            </w:tcBorders>
            <w:shd w:fill="FFFFFF" w:val="clear"/>
            <w:vAlign w:val="center"/>
          </w:tcPr>
          <w:p w14:paraId="351F0000">
            <w:pPr>
              <w:widowControl w:val="1"/>
              <w:ind/>
              <w:contextualSpacing w:val="1"/>
              <w:jc w:val="center"/>
              <w:rPr>
                <w:sz w:val="22"/>
              </w:rPr>
            </w:pPr>
            <w:r>
              <w:rPr>
                <w:sz w:val="22"/>
              </w:rPr>
              <w:t>счет № рд1-005056 от 29.11.2018</w:t>
            </w:r>
          </w:p>
        </w:tc>
        <w:tc>
          <w:tcPr>
            <w:tcW w:type="dxa" w:w="1274"/>
            <w:tcBorders>
              <w:top w:color="000000" w:sz="4" w:val="single"/>
              <w:left w:color="000000" w:sz="4" w:val="single"/>
              <w:bottom w:color="000000" w:sz="4" w:val="single"/>
              <w:right w:color="000000" w:sz="4" w:val="single"/>
            </w:tcBorders>
            <w:shd w:fill="FFFFFF" w:val="clear"/>
            <w:vAlign w:val="center"/>
          </w:tcPr>
          <w:p w14:paraId="361F0000">
            <w:pPr>
              <w:widowControl w:val="1"/>
              <w:ind/>
              <w:contextualSpacing w:val="1"/>
              <w:jc w:val="center"/>
              <w:rPr>
                <w:sz w:val="22"/>
              </w:rPr>
            </w:pPr>
            <w:r>
              <w:rPr>
                <w:sz w:val="22"/>
              </w:rPr>
              <w:t>29.11.2018-30.11.2018</w:t>
            </w:r>
          </w:p>
        </w:tc>
        <w:tc>
          <w:tcPr>
            <w:tcW w:type="dxa" w:w="1556"/>
            <w:tcBorders>
              <w:top w:color="000000" w:sz="4" w:val="single"/>
              <w:left w:color="000000" w:sz="4" w:val="single"/>
              <w:bottom w:color="000000" w:sz="4" w:val="single"/>
              <w:right w:color="000000" w:sz="4" w:val="single"/>
            </w:tcBorders>
            <w:shd w:fill="FFFFFF" w:val="clear"/>
            <w:vAlign w:val="center"/>
          </w:tcPr>
          <w:p w14:paraId="371F0000">
            <w:pPr>
              <w:widowControl w:val="1"/>
              <w:ind/>
              <w:contextualSpacing w:val="1"/>
              <w:jc w:val="center"/>
              <w:rPr>
                <w:sz w:val="22"/>
              </w:rPr>
            </w:pPr>
            <w:r>
              <w:rPr>
                <w:sz w:val="22"/>
              </w:rPr>
              <w:t>поставка кофеварки</w:t>
            </w:r>
          </w:p>
        </w:tc>
        <w:tc>
          <w:tcPr>
            <w:tcW w:type="dxa" w:w="1194"/>
            <w:tcBorders>
              <w:top w:color="000000" w:sz="4" w:val="single"/>
              <w:left w:color="000000" w:sz="4" w:val="single"/>
              <w:bottom w:color="000000" w:sz="4" w:val="single"/>
              <w:right w:color="000000" w:sz="4" w:val="single"/>
            </w:tcBorders>
            <w:shd w:fill="FFFFFF" w:val="clear"/>
            <w:vAlign w:val="center"/>
          </w:tcPr>
          <w:p w14:paraId="381F0000">
            <w:pPr>
              <w:widowControl w:val="1"/>
              <w:ind/>
              <w:contextualSpacing w:val="1"/>
              <w:jc w:val="center"/>
              <w:rPr>
                <w:sz w:val="22"/>
              </w:rPr>
            </w:pPr>
            <w:r>
              <w:rPr>
                <w:sz w:val="22"/>
              </w:rPr>
              <w:t>3399,00</w:t>
            </w:r>
          </w:p>
        </w:tc>
        <w:tc>
          <w:tcPr>
            <w:tcW w:type="dxa" w:w="1221"/>
            <w:tcBorders>
              <w:top w:color="000000" w:sz="4" w:val="single"/>
              <w:left w:color="000000" w:sz="4" w:val="single"/>
              <w:bottom w:color="000000" w:sz="4" w:val="single"/>
              <w:right w:color="000000" w:sz="4" w:val="single"/>
            </w:tcBorders>
            <w:shd w:fill="FFFFFF" w:val="clear"/>
            <w:vAlign w:val="center"/>
          </w:tcPr>
          <w:p w14:paraId="39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3A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3B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C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3D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E1F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360"/>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3F1F0000">
            <w:pPr>
              <w:widowControl w:val="1"/>
              <w:ind/>
              <w:contextualSpacing w:val="1"/>
              <w:jc w:val="center"/>
              <w:rPr>
                <w:color w:val="000000"/>
                <w:sz w:val="22"/>
              </w:rPr>
            </w:pPr>
            <w:r>
              <w:rPr>
                <w:color w:val="000000"/>
                <w:sz w:val="22"/>
              </w:rPr>
              <w:t>итого по контрагенту ООО "ДНС Ритейл"218467 руб.</w:t>
            </w:r>
          </w:p>
          <w:p w14:paraId="401F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411F0000">
            <w:pPr>
              <w:widowControl w:val="1"/>
              <w:ind/>
              <w:contextualSpacing w:val="1"/>
              <w:rPr>
                <w:color w:val="000000"/>
                <w:sz w:val="22"/>
              </w:rPr>
            </w:pPr>
            <w:r>
              <w:rPr>
                <w:color w:val="000000"/>
                <w:sz w:val="22"/>
              </w:rPr>
              <w:t>83</w:t>
            </w:r>
          </w:p>
        </w:tc>
        <w:tc>
          <w:tcPr>
            <w:tcW w:type="dxa" w:w="1408"/>
            <w:tcBorders>
              <w:top w:color="000000" w:sz="4" w:val="single"/>
              <w:left w:color="000000" w:sz="4" w:val="single"/>
              <w:bottom w:color="000000" w:sz="4" w:val="single"/>
              <w:right w:color="000000" w:sz="4" w:val="single"/>
            </w:tcBorders>
            <w:shd w:fill="FFFFFF" w:val="clear"/>
            <w:vAlign w:val="center"/>
          </w:tcPr>
          <w:p w14:paraId="421F0000">
            <w:pPr>
              <w:widowControl w:val="1"/>
              <w:ind/>
              <w:contextualSpacing w:val="1"/>
              <w:jc w:val="center"/>
              <w:rPr>
                <w:sz w:val="22"/>
              </w:rPr>
            </w:pPr>
            <w:r>
              <w:rPr>
                <w:sz w:val="22"/>
              </w:rPr>
              <w:t>ООО "Грань"</w:t>
            </w:r>
          </w:p>
        </w:tc>
        <w:tc>
          <w:tcPr>
            <w:tcW w:type="dxa" w:w="1408"/>
            <w:tcBorders>
              <w:top w:color="000000" w:sz="4" w:val="single"/>
              <w:left w:color="000000" w:sz="4" w:val="single"/>
              <w:bottom w:color="000000" w:sz="4" w:val="single"/>
              <w:right w:color="000000" w:sz="4" w:val="single"/>
            </w:tcBorders>
            <w:shd w:fill="FFFFFF" w:val="clear"/>
            <w:vAlign w:val="center"/>
          </w:tcPr>
          <w:p w14:paraId="431F0000">
            <w:pPr>
              <w:widowControl w:val="1"/>
              <w:ind/>
              <w:contextualSpacing w:val="1"/>
              <w:jc w:val="center"/>
              <w:rPr>
                <w:sz w:val="22"/>
              </w:rPr>
            </w:pPr>
            <w:r>
              <w:rPr>
                <w:sz w:val="22"/>
              </w:rPr>
              <w:t>договор № 23 от 19.02.2018</w:t>
            </w:r>
          </w:p>
        </w:tc>
        <w:tc>
          <w:tcPr>
            <w:tcW w:type="dxa" w:w="1274"/>
            <w:tcBorders>
              <w:top w:color="000000" w:sz="4" w:val="single"/>
              <w:left w:color="000000" w:sz="4" w:val="single"/>
              <w:bottom w:color="000000" w:sz="4" w:val="single"/>
              <w:right w:color="000000" w:sz="4" w:val="single"/>
            </w:tcBorders>
            <w:shd w:fill="FFFFFF" w:val="clear"/>
            <w:vAlign w:val="center"/>
          </w:tcPr>
          <w:p w14:paraId="441F0000">
            <w:pPr>
              <w:widowControl w:val="1"/>
              <w:ind/>
              <w:contextualSpacing w:val="1"/>
              <w:jc w:val="center"/>
              <w:rPr>
                <w:sz w:val="22"/>
              </w:rPr>
            </w:pPr>
            <w:r>
              <w:rPr>
                <w:sz w:val="22"/>
              </w:rPr>
              <w:t>19.02.2018-31.12.2018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451F0000">
            <w:pPr>
              <w:widowControl w:val="1"/>
              <w:ind/>
              <w:contextualSpacing w:val="1"/>
              <w:jc w:val="center"/>
              <w:rPr>
                <w:sz w:val="22"/>
              </w:rPr>
            </w:pPr>
            <w:r>
              <w:rPr>
                <w:sz w:val="22"/>
              </w:rPr>
              <w:t>Оказание услуг по осведетельствованию, перезарядке и ремонту огнетушителей</w:t>
            </w:r>
          </w:p>
        </w:tc>
        <w:tc>
          <w:tcPr>
            <w:tcW w:type="dxa" w:w="1194"/>
            <w:tcBorders>
              <w:top w:color="000000" w:sz="4" w:val="single"/>
              <w:left w:color="000000" w:sz="4" w:val="single"/>
              <w:bottom w:color="000000" w:sz="4" w:val="single"/>
              <w:right w:color="000000" w:sz="4" w:val="single"/>
            </w:tcBorders>
            <w:shd w:fill="FFFFFF" w:val="clear"/>
            <w:vAlign w:val="center"/>
          </w:tcPr>
          <w:p w14:paraId="461F0000">
            <w:pPr>
              <w:widowControl w:val="1"/>
              <w:ind/>
              <w:contextualSpacing w:val="1"/>
              <w:jc w:val="center"/>
              <w:rPr>
                <w:sz w:val="22"/>
              </w:rPr>
            </w:pPr>
            <w:r>
              <w:rPr>
                <w:sz w:val="22"/>
              </w:rPr>
              <w:t>7950</w:t>
            </w:r>
          </w:p>
        </w:tc>
        <w:tc>
          <w:tcPr>
            <w:tcW w:type="dxa" w:w="1221"/>
            <w:tcBorders>
              <w:top w:color="000000" w:sz="4" w:val="single"/>
              <w:left w:color="000000" w:sz="4" w:val="single"/>
              <w:bottom w:color="000000" w:sz="4" w:val="single"/>
              <w:right w:color="000000" w:sz="4" w:val="single"/>
            </w:tcBorders>
            <w:shd w:fill="FFFFFF" w:val="clear"/>
            <w:vAlign w:val="center"/>
          </w:tcPr>
          <w:p w14:paraId="47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8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9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A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4B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4C1F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365"/>
        </w:trPr>
        <w:tc>
          <w:tcPr>
            <w:tcW w:type="dxa" w:w="528"/>
            <w:tcBorders>
              <w:top w:color="000000" w:sz="4" w:val="single"/>
              <w:left w:color="000000" w:sz="4" w:val="single"/>
              <w:bottom w:color="000000" w:sz="4" w:val="single"/>
              <w:right w:color="000000" w:sz="4" w:val="single"/>
            </w:tcBorders>
            <w:shd w:fill="FFFFFF" w:val="clear"/>
            <w:vAlign w:val="center"/>
          </w:tcPr>
          <w:p w14:paraId="4D1F0000">
            <w:pPr>
              <w:widowControl w:val="1"/>
              <w:ind/>
              <w:contextualSpacing w:val="1"/>
              <w:rPr>
                <w:color w:val="000000"/>
                <w:sz w:val="22"/>
              </w:rPr>
            </w:pPr>
            <w:r>
              <w:rPr>
                <w:color w:val="000000"/>
                <w:sz w:val="22"/>
              </w:rPr>
              <w:t>84</w:t>
            </w:r>
          </w:p>
        </w:tc>
        <w:tc>
          <w:tcPr>
            <w:tcW w:type="dxa" w:w="1408"/>
            <w:tcBorders>
              <w:top w:color="000000" w:sz="4" w:val="single"/>
              <w:left w:color="000000" w:sz="4" w:val="single"/>
              <w:bottom w:color="000000" w:sz="4" w:val="single"/>
              <w:right w:color="000000" w:sz="4" w:val="single"/>
            </w:tcBorders>
            <w:shd w:fill="FFFFFF" w:val="clear"/>
            <w:vAlign w:val="center"/>
          </w:tcPr>
          <w:p w14:paraId="4E1F0000">
            <w:pPr>
              <w:widowControl w:val="1"/>
              <w:ind/>
              <w:contextualSpacing w:val="1"/>
              <w:jc w:val="center"/>
              <w:rPr>
                <w:sz w:val="22"/>
              </w:rPr>
            </w:pPr>
            <w:r>
              <w:rPr>
                <w:sz w:val="22"/>
              </w:rPr>
              <w:t>ООО "Илим"</w:t>
            </w:r>
          </w:p>
        </w:tc>
        <w:tc>
          <w:tcPr>
            <w:tcW w:type="dxa" w:w="1408"/>
            <w:tcBorders>
              <w:top w:color="000000" w:sz="4" w:val="single"/>
              <w:left w:color="000000" w:sz="4" w:val="single"/>
              <w:bottom w:color="000000" w:sz="4" w:val="single"/>
              <w:right w:color="000000" w:sz="4" w:val="single"/>
            </w:tcBorders>
            <w:shd w:fill="FFFFFF" w:val="clear"/>
            <w:vAlign w:val="center"/>
          </w:tcPr>
          <w:p w14:paraId="4F1F0000">
            <w:pPr>
              <w:widowControl w:val="1"/>
              <w:ind/>
              <w:contextualSpacing w:val="1"/>
              <w:jc w:val="center"/>
              <w:rPr>
                <w:sz w:val="22"/>
              </w:rPr>
            </w:pPr>
            <w:r>
              <w:rPr>
                <w:sz w:val="22"/>
              </w:rPr>
              <w:t>договор № 24 от 20.02.2018</w:t>
            </w:r>
          </w:p>
        </w:tc>
        <w:tc>
          <w:tcPr>
            <w:tcW w:type="dxa" w:w="1274"/>
            <w:tcBorders>
              <w:top w:color="000000" w:sz="4" w:val="single"/>
              <w:left w:color="000000" w:sz="4" w:val="single"/>
              <w:bottom w:color="000000" w:sz="4" w:val="single"/>
              <w:right w:color="000000" w:sz="4" w:val="single"/>
            </w:tcBorders>
            <w:shd w:fill="FFFFFF" w:val="clear"/>
            <w:vAlign w:val="center"/>
          </w:tcPr>
          <w:p w14:paraId="501F0000">
            <w:pPr>
              <w:widowControl w:val="1"/>
              <w:ind/>
              <w:contextualSpacing w:val="1"/>
              <w:jc w:val="center"/>
              <w:rPr>
                <w:sz w:val="22"/>
              </w:rPr>
            </w:pPr>
            <w:r>
              <w:rPr>
                <w:sz w:val="22"/>
              </w:rPr>
              <w:t>20.02.2018-31.12.2018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511F0000">
            <w:pPr>
              <w:widowControl w:val="1"/>
              <w:ind/>
              <w:contextualSpacing w:val="1"/>
              <w:jc w:val="center"/>
              <w:rPr>
                <w:sz w:val="22"/>
              </w:rPr>
            </w:pPr>
            <w:r>
              <w:rPr>
                <w:sz w:val="22"/>
              </w:rPr>
              <w:t>поставка бытовой химии</w:t>
            </w:r>
          </w:p>
        </w:tc>
        <w:tc>
          <w:tcPr>
            <w:tcW w:type="dxa" w:w="1194"/>
            <w:tcBorders>
              <w:top w:color="000000" w:sz="4" w:val="single"/>
              <w:left w:color="000000" w:sz="4" w:val="single"/>
              <w:bottom w:color="000000" w:sz="4" w:val="single"/>
              <w:right w:color="000000" w:sz="4" w:val="single"/>
            </w:tcBorders>
            <w:shd w:fill="FFFFFF" w:val="clear"/>
            <w:vAlign w:val="center"/>
          </w:tcPr>
          <w:p w14:paraId="521F0000">
            <w:pPr>
              <w:widowControl w:val="1"/>
              <w:ind/>
              <w:contextualSpacing w:val="1"/>
              <w:jc w:val="center"/>
              <w:rPr>
                <w:sz w:val="22"/>
              </w:rPr>
            </w:pPr>
            <w:r>
              <w:rPr>
                <w:sz w:val="22"/>
              </w:rPr>
              <w:t>186635,85</w:t>
            </w:r>
          </w:p>
        </w:tc>
        <w:tc>
          <w:tcPr>
            <w:tcW w:type="dxa" w:w="1221"/>
            <w:tcBorders>
              <w:top w:color="000000" w:sz="4" w:val="single"/>
              <w:left w:color="000000" w:sz="4" w:val="single"/>
              <w:bottom w:color="000000" w:sz="4" w:val="single"/>
              <w:right w:color="000000" w:sz="4" w:val="single"/>
            </w:tcBorders>
            <w:shd w:fill="FFFFFF" w:val="clear"/>
            <w:vAlign w:val="center"/>
          </w:tcPr>
          <w:p w14:paraId="53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4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5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6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57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581F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2010"/>
        </w:trPr>
        <w:tc>
          <w:tcPr>
            <w:tcW w:type="dxa" w:w="528"/>
            <w:tcBorders>
              <w:top w:color="000000" w:sz="4" w:val="single"/>
              <w:left w:color="000000" w:sz="4" w:val="single"/>
              <w:bottom w:color="000000" w:sz="4" w:val="single"/>
              <w:right w:color="000000" w:sz="4" w:val="single"/>
            </w:tcBorders>
            <w:shd w:fill="FFFFFF" w:val="clear"/>
            <w:vAlign w:val="center"/>
          </w:tcPr>
          <w:p w14:paraId="591F0000">
            <w:pPr>
              <w:widowControl w:val="1"/>
              <w:ind/>
              <w:contextualSpacing w:val="1"/>
              <w:rPr>
                <w:color w:val="000000"/>
                <w:sz w:val="22"/>
              </w:rPr>
            </w:pPr>
            <w:r>
              <w:rPr>
                <w:color w:val="000000"/>
                <w:sz w:val="22"/>
              </w:rPr>
              <w:t>85</w:t>
            </w:r>
          </w:p>
        </w:tc>
        <w:tc>
          <w:tcPr>
            <w:tcW w:type="dxa" w:w="1408"/>
            <w:tcBorders>
              <w:top w:color="000000" w:sz="4" w:val="single"/>
              <w:left w:color="000000" w:sz="4" w:val="single"/>
              <w:bottom w:color="000000" w:sz="4" w:val="single"/>
              <w:right w:color="000000" w:sz="4" w:val="single"/>
            </w:tcBorders>
            <w:shd w:fill="FFFFFF" w:val="clear"/>
            <w:vAlign w:val="center"/>
          </w:tcPr>
          <w:p w14:paraId="5A1F0000">
            <w:pPr>
              <w:widowControl w:val="1"/>
              <w:ind/>
              <w:contextualSpacing w:val="1"/>
              <w:jc w:val="center"/>
              <w:rPr>
                <w:sz w:val="22"/>
              </w:rPr>
            </w:pPr>
            <w:r>
              <w:rPr>
                <w:sz w:val="22"/>
              </w:rPr>
              <w:t>ООО "Илим"</w:t>
            </w:r>
          </w:p>
        </w:tc>
        <w:tc>
          <w:tcPr>
            <w:tcW w:type="dxa" w:w="1408"/>
            <w:tcBorders>
              <w:top w:color="000000" w:sz="4" w:val="single"/>
              <w:left w:color="000000" w:sz="4" w:val="single"/>
              <w:bottom w:color="000000" w:sz="4" w:val="single"/>
              <w:right w:color="000000" w:sz="4" w:val="single"/>
            </w:tcBorders>
            <w:shd w:fill="FFFFFF" w:val="clear"/>
            <w:vAlign w:val="center"/>
          </w:tcPr>
          <w:p w14:paraId="5B1F0000">
            <w:pPr>
              <w:widowControl w:val="1"/>
              <w:ind/>
              <w:contextualSpacing w:val="1"/>
              <w:jc w:val="center"/>
              <w:rPr>
                <w:sz w:val="22"/>
              </w:rPr>
            </w:pPr>
            <w:r>
              <w:rPr>
                <w:sz w:val="22"/>
              </w:rPr>
              <w:t>договор № 25 от 20.02.2018</w:t>
            </w:r>
          </w:p>
        </w:tc>
        <w:tc>
          <w:tcPr>
            <w:tcW w:type="dxa" w:w="1274"/>
            <w:tcBorders>
              <w:top w:color="000000" w:sz="4" w:val="single"/>
              <w:left w:color="000000" w:sz="4" w:val="single"/>
              <w:bottom w:color="000000" w:sz="4" w:val="single"/>
              <w:right w:color="000000" w:sz="4" w:val="single"/>
            </w:tcBorders>
            <w:shd w:fill="FFFFFF" w:val="clear"/>
            <w:vAlign w:val="center"/>
          </w:tcPr>
          <w:p w14:paraId="5C1F0000">
            <w:pPr>
              <w:widowControl w:val="1"/>
              <w:ind/>
              <w:contextualSpacing w:val="1"/>
              <w:jc w:val="center"/>
              <w:rPr>
                <w:sz w:val="22"/>
              </w:rPr>
            </w:pPr>
            <w:r>
              <w:rPr>
                <w:sz w:val="22"/>
              </w:rPr>
              <w:t>20.02.2018-31.12.2018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5D1F0000">
            <w:pPr>
              <w:widowControl w:val="1"/>
              <w:ind/>
              <w:contextualSpacing w:val="1"/>
              <w:jc w:val="center"/>
              <w:rPr>
                <w:sz w:val="22"/>
              </w:rPr>
            </w:pPr>
            <w:r>
              <w:rPr>
                <w:sz w:val="22"/>
              </w:rPr>
              <w:t>поставка веников</w:t>
            </w:r>
          </w:p>
        </w:tc>
        <w:tc>
          <w:tcPr>
            <w:tcW w:type="dxa" w:w="1194"/>
            <w:tcBorders>
              <w:top w:color="000000" w:sz="4" w:val="single"/>
              <w:left w:color="000000" w:sz="4" w:val="single"/>
              <w:bottom w:color="000000" w:sz="4" w:val="single"/>
              <w:right w:color="000000" w:sz="4" w:val="single"/>
            </w:tcBorders>
            <w:shd w:fill="FFFFFF" w:val="clear"/>
            <w:vAlign w:val="center"/>
          </w:tcPr>
          <w:p w14:paraId="5E1F0000">
            <w:pPr>
              <w:widowControl w:val="1"/>
              <w:ind/>
              <w:contextualSpacing w:val="1"/>
              <w:jc w:val="center"/>
              <w:rPr>
                <w:sz w:val="22"/>
              </w:rPr>
            </w:pPr>
            <w:r>
              <w:rPr>
                <w:sz w:val="22"/>
              </w:rPr>
              <w:t>67600</w:t>
            </w:r>
          </w:p>
        </w:tc>
        <w:tc>
          <w:tcPr>
            <w:tcW w:type="dxa" w:w="1221"/>
            <w:tcBorders>
              <w:top w:color="000000" w:sz="4" w:val="single"/>
              <w:left w:color="000000" w:sz="4" w:val="single"/>
              <w:bottom w:color="000000" w:sz="4" w:val="single"/>
              <w:right w:color="000000" w:sz="4" w:val="single"/>
            </w:tcBorders>
            <w:shd w:fill="FFFFFF" w:val="clear"/>
            <w:vAlign w:val="center"/>
          </w:tcPr>
          <w:p w14:paraId="5F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0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1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2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63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641F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2115"/>
        </w:trPr>
        <w:tc>
          <w:tcPr>
            <w:tcW w:type="dxa" w:w="528"/>
            <w:tcBorders>
              <w:top w:color="000000" w:sz="4" w:val="single"/>
              <w:left w:color="000000" w:sz="4" w:val="single"/>
              <w:bottom w:color="000000" w:sz="4" w:val="single"/>
              <w:right w:color="000000" w:sz="4" w:val="single"/>
            </w:tcBorders>
            <w:shd w:fill="FFFFFF" w:val="clear"/>
            <w:vAlign w:val="center"/>
          </w:tcPr>
          <w:p w14:paraId="651F0000">
            <w:pPr>
              <w:widowControl w:val="1"/>
              <w:ind/>
              <w:contextualSpacing w:val="1"/>
              <w:rPr>
                <w:color w:val="000000"/>
                <w:sz w:val="22"/>
              </w:rPr>
            </w:pPr>
            <w:r>
              <w:rPr>
                <w:color w:val="000000"/>
                <w:sz w:val="22"/>
              </w:rPr>
              <w:t>86</w:t>
            </w:r>
          </w:p>
        </w:tc>
        <w:tc>
          <w:tcPr>
            <w:tcW w:type="dxa" w:w="1408"/>
            <w:tcBorders>
              <w:top w:color="000000" w:sz="4" w:val="single"/>
              <w:left w:color="000000" w:sz="4" w:val="single"/>
              <w:bottom w:color="000000" w:sz="4" w:val="single"/>
              <w:right w:color="000000" w:sz="4" w:val="single"/>
            </w:tcBorders>
            <w:shd w:fill="FFFFFF" w:val="clear"/>
            <w:vAlign w:val="center"/>
          </w:tcPr>
          <w:p w14:paraId="661F0000">
            <w:pPr>
              <w:widowControl w:val="1"/>
              <w:ind/>
              <w:contextualSpacing w:val="1"/>
              <w:jc w:val="center"/>
              <w:rPr>
                <w:sz w:val="22"/>
              </w:rPr>
            </w:pPr>
            <w:r>
              <w:rPr>
                <w:sz w:val="22"/>
              </w:rPr>
              <w:t>ООО "Илим"</w:t>
            </w:r>
          </w:p>
        </w:tc>
        <w:tc>
          <w:tcPr>
            <w:tcW w:type="dxa" w:w="1408"/>
            <w:tcBorders>
              <w:top w:color="000000" w:sz="4" w:val="single"/>
              <w:left w:color="000000" w:sz="4" w:val="single"/>
              <w:bottom w:color="000000" w:sz="4" w:val="single"/>
              <w:right w:color="000000" w:sz="4" w:val="single"/>
            </w:tcBorders>
            <w:shd w:fill="FFFFFF" w:val="clear"/>
            <w:vAlign w:val="center"/>
          </w:tcPr>
          <w:p w14:paraId="671F0000">
            <w:pPr>
              <w:widowControl w:val="1"/>
              <w:ind/>
              <w:contextualSpacing w:val="1"/>
              <w:jc w:val="center"/>
              <w:rPr>
                <w:sz w:val="22"/>
              </w:rPr>
            </w:pPr>
            <w:r>
              <w:rPr>
                <w:sz w:val="22"/>
              </w:rPr>
              <w:t>договор № 26 от 20.02.2018</w:t>
            </w:r>
          </w:p>
        </w:tc>
        <w:tc>
          <w:tcPr>
            <w:tcW w:type="dxa" w:w="1274"/>
            <w:tcBorders>
              <w:top w:color="000000" w:sz="4" w:val="single"/>
              <w:left w:color="000000" w:sz="4" w:val="single"/>
              <w:bottom w:color="000000" w:sz="4" w:val="single"/>
              <w:right w:color="000000" w:sz="4" w:val="single"/>
            </w:tcBorders>
            <w:shd w:fill="FFFFFF" w:val="clear"/>
            <w:vAlign w:val="center"/>
          </w:tcPr>
          <w:p w14:paraId="681F0000">
            <w:pPr>
              <w:widowControl w:val="1"/>
              <w:ind/>
              <w:contextualSpacing w:val="1"/>
              <w:jc w:val="center"/>
              <w:rPr>
                <w:sz w:val="22"/>
              </w:rPr>
            </w:pPr>
            <w:r>
              <w:rPr>
                <w:sz w:val="22"/>
              </w:rPr>
              <w:t>20.02.2018-31.12.2018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691F0000">
            <w:pPr>
              <w:widowControl w:val="1"/>
              <w:ind/>
              <w:contextualSpacing w:val="1"/>
              <w:jc w:val="center"/>
              <w:rPr>
                <w:sz w:val="22"/>
              </w:rPr>
            </w:pPr>
            <w:r>
              <w:rPr>
                <w:sz w:val="22"/>
              </w:rPr>
              <w:t>поставка кремов</w:t>
            </w:r>
          </w:p>
        </w:tc>
        <w:tc>
          <w:tcPr>
            <w:tcW w:type="dxa" w:w="1194"/>
            <w:tcBorders>
              <w:top w:color="000000" w:sz="4" w:val="single"/>
              <w:left w:color="000000" w:sz="4" w:val="single"/>
              <w:bottom w:color="000000" w:sz="4" w:val="single"/>
              <w:right w:color="000000" w:sz="4" w:val="single"/>
            </w:tcBorders>
            <w:shd w:fill="FFFFFF" w:val="clear"/>
            <w:vAlign w:val="center"/>
          </w:tcPr>
          <w:p w14:paraId="6A1F0000">
            <w:pPr>
              <w:widowControl w:val="1"/>
              <w:ind/>
              <w:contextualSpacing w:val="1"/>
              <w:jc w:val="center"/>
              <w:rPr>
                <w:sz w:val="22"/>
              </w:rPr>
            </w:pPr>
            <w:r>
              <w:rPr>
                <w:sz w:val="22"/>
              </w:rPr>
              <w:t>42900</w:t>
            </w:r>
          </w:p>
        </w:tc>
        <w:tc>
          <w:tcPr>
            <w:tcW w:type="dxa" w:w="1221"/>
            <w:tcBorders>
              <w:top w:color="000000" w:sz="4" w:val="single"/>
              <w:left w:color="000000" w:sz="4" w:val="single"/>
              <w:bottom w:color="000000" w:sz="4" w:val="single"/>
              <w:right w:color="000000" w:sz="4" w:val="single"/>
            </w:tcBorders>
            <w:shd w:fill="FFFFFF" w:val="clear"/>
            <w:vAlign w:val="center"/>
          </w:tcPr>
          <w:p w14:paraId="6B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C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D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E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6F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01F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711F0000">
            <w:pPr>
              <w:widowControl w:val="1"/>
              <w:ind/>
              <w:contextualSpacing w:val="1"/>
              <w:rPr>
                <w:color w:val="000000"/>
                <w:sz w:val="22"/>
              </w:rPr>
            </w:pPr>
            <w:r>
              <w:rPr>
                <w:color w:val="000000"/>
                <w:sz w:val="22"/>
              </w:rPr>
              <w:t>87</w:t>
            </w:r>
          </w:p>
        </w:tc>
        <w:tc>
          <w:tcPr>
            <w:tcW w:type="dxa" w:w="1408"/>
            <w:tcBorders>
              <w:top w:color="000000" w:sz="4" w:val="single"/>
              <w:left w:color="000000" w:sz="4" w:val="single"/>
              <w:bottom w:color="000000" w:sz="4" w:val="single"/>
              <w:right w:color="000000" w:sz="4" w:val="single"/>
            </w:tcBorders>
            <w:shd w:fill="FFFFFF" w:val="clear"/>
            <w:vAlign w:val="center"/>
          </w:tcPr>
          <w:p w14:paraId="721F0000">
            <w:pPr>
              <w:widowControl w:val="1"/>
              <w:ind/>
              <w:contextualSpacing w:val="1"/>
              <w:jc w:val="center"/>
              <w:rPr>
                <w:sz w:val="22"/>
              </w:rPr>
            </w:pPr>
            <w:r>
              <w:rPr>
                <w:sz w:val="22"/>
              </w:rPr>
              <w:t>ООО "Илим"</w:t>
            </w:r>
          </w:p>
        </w:tc>
        <w:tc>
          <w:tcPr>
            <w:tcW w:type="dxa" w:w="1408"/>
            <w:tcBorders>
              <w:top w:color="000000" w:sz="4" w:val="single"/>
              <w:left w:color="000000" w:sz="4" w:val="single"/>
              <w:bottom w:color="000000" w:sz="4" w:val="single"/>
              <w:right w:color="000000" w:sz="4" w:val="single"/>
            </w:tcBorders>
            <w:shd w:fill="FFFFFF" w:val="clear"/>
            <w:vAlign w:val="center"/>
          </w:tcPr>
          <w:p w14:paraId="731F0000">
            <w:pPr>
              <w:widowControl w:val="1"/>
              <w:ind/>
              <w:contextualSpacing w:val="1"/>
              <w:jc w:val="center"/>
              <w:rPr>
                <w:sz w:val="22"/>
              </w:rPr>
            </w:pPr>
            <w:r>
              <w:rPr>
                <w:sz w:val="22"/>
              </w:rPr>
              <w:t>договор № 27 от 20.02.2018</w:t>
            </w:r>
          </w:p>
        </w:tc>
        <w:tc>
          <w:tcPr>
            <w:tcW w:type="dxa" w:w="1274"/>
            <w:tcBorders>
              <w:top w:color="000000" w:sz="4" w:val="single"/>
              <w:left w:color="000000" w:sz="4" w:val="single"/>
              <w:bottom w:color="000000" w:sz="4" w:val="single"/>
              <w:right w:color="000000" w:sz="4" w:val="single"/>
            </w:tcBorders>
            <w:shd w:fill="FFFFFF" w:val="clear"/>
            <w:vAlign w:val="center"/>
          </w:tcPr>
          <w:p w14:paraId="741F0000">
            <w:pPr>
              <w:widowControl w:val="1"/>
              <w:ind/>
              <w:contextualSpacing w:val="1"/>
              <w:jc w:val="center"/>
              <w:rPr>
                <w:sz w:val="22"/>
              </w:rPr>
            </w:pPr>
            <w:r>
              <w:rPr>
                <w:sz w:val="22"/>
              </w:rPr>
              <w:t>20.02.2018-31.12.2018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751F0000">
            <w:pPr>
              <w:widowControl w:val="1"/>
              <w:ind/>
              <w:contextualSpacing w:val="1"/>
              <w:jc w:val="center"/>
              <w:rPr>
                <w:sz w:val="22"/>
              </w:rPr>
            </w:pPr>
            <w:r>
              <w:rPr>
                <w:sz w:val="22"/>
              </w:rPr>
              <w:t>поставка изделий из бумаги</w:t>
            </w:r>
          </w:p>
        </w:tc>
        <w:tc>
          <w:tcPr>
            <w:tcW w:type="dxa" w:w="1194"/>
            <w:tcBorders>
              <w:top w:color="000000" w:sz="4" w:val="single"/>
              <w:left w:color="000000" w:sz="4" w:val="single"/>
              <w:bottom w:color="000000" w:sz="4" w:val="single"/>
              <w:right w:color="000000" w:sz="4" w:val="single"/>
            </w:tcBorders>
            <w:shd w:fill="FFFFFF" w:val="clear"/>
            <w:vAlign w:val="center"/>
          </w:tcPr>
          <w:p w14:paraId="761F0000">
            <w:pPr>
              <w:widowControl w:val="1"/>
              <w:ind/>
              <w:contextualSpacing w:val="1"/>
              <w:jc w:val="center"/>
              <w:rPr>
                <w:sz w:val="22"/>
              </w:rPr>
            </w:pPr>
            <w:r>
              <w:rPr>
                <w:sz w:val="22"/>
              </w:rPr>
              <w:t>96341,92</w:t>
            </w:r>
          </w:p>
        </w:tc>
        <w:tc>
          <w:tcPr>
            <w:tcW w:type="dxa" w:w="1221"/>
            <w:tcBorders>
              <w:top w:color="000000" w:sz="4" w:val="single"/>
              <w:left w:color="000000" w:sz="4" w:val="single"/>
              <w:bottom w:color="000000" w:sz="4" w:val="single"/>
              <w:right w:color="000000" w:sz="4" w:val="single"/>
            </w:tcBorders>
            <w:shd w:fill="FFFFFF" w:val="clear"/>
            <w:vAlign w:val="center"/>
          </w:tcPr>
          <w:p w14:paraId="77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8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9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A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7B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C1F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665"/>
        </w:trPr>
        <w:tc>
          <w:tcPr>
            <w:tcW w:type="dxa" w:w="528"/>
            <w:tcBorders>
              <w:top w:color="000000" w:sz="4" w:val="single"/>
              <w:left w:color="000000" w:sz="4" w:val="single"/>
              <w:bottom w:color="000000" w:sz="4" w:val="single"/>
              <w:right w:color="000000" w:sz="4" w:val="single"/>
            </w:tcBorders>
            <w:shd w:fill="FFFFFF" w:val="clear"/>
            <w:vAlign w:val="center"/>
          </w:tcPr>
          <w:p w14:paraId="7D1F0000">
            <w:pPr>
              <w:widowControl w:val="1"/>
              <w:ind/>
              <w:contextualSpacing w:val="1"/>
              <w:rPr>
                <w:color w:val="000000"/>
                <w:sz w:val="22"/>
              </w:rPr>
            </w:pPr>
            <w:r>
              <w:rPr>
                <w:color w:val="000000"/>
                <w:sz w:val="22"/>
              </w:rPr>
              <w:t>88</w:t>
            </w:r>
          </w:p>
        </w:tc>
        <w:tc>
          <w:tcPr>
            <w:tcW w:type="dxa" w:w="1408"/>
            <w:tcBorders>
              <w:top w:color="000000" w:sz="4" w:val="single"/>
              <w:left w:color="000000" w:sz="4" w:val="single"/>
              <w:bottom w:color="000000" w:sz="4" w:val="single"/>
              <w:right w:color="000000" w:sz="4" w:val="single"/>
            </w:tcBorders>
            <w:shd w:fill="FFFFFF" w:val="clear"/>
            <w:vAlign w:val="center"/>
          </w:tcPr>
          <w:p w14:paraId="7E1F0000">
            <w:pPr>
              <w:widowControl w:val="1"/>
              <w:ind/>
              <w:contextualSpacing w:val="1"/>
              <w:jc w:val="center"/>
              <w:rPr>
                <w:sz w:val="22"/>
              </w:rPr>
            </w:pPr>
            <w:r>
              <w:rPr>
                <w:sz w:val="22"/>
              </w:rPr>
              <w:t>ООО "Илим"</w:t>
            </w:r>
          </w:p>
        </w:tc>
        <w:tc>
          <w:tcPr>
            <w:tcW w:type="dxa" w:w="1408"/>
            <w:tcBorders>
              <w:top w:color="000000" w:sz="4" w:val="single"/>
              <w:left w:color="000000" w:sz="4" w:val="single"/>
              <w:bottom w:color="000000" w:sz="4" w:val="single"/>
              <w:right w:color="000000" w:sz="4" w:val="single"/>
            </w:tcBorders>
            <w:shd w:fill="FFFFFF" w:val="clear"/>
            <w:vAlign w:val="center"/>
          </w:tcPr>
          <w:p w14:paraId="7F1F0000">
            <w:pPr>
              <w:widowControl w:val="1"/>
              <w:ind/>
              <w:contextualSpacing w:val="1"/>
              <w:jc w:val="center"/>
              <w:rPr>
                <w:sz w:val="22"/>
              </w:rPr>
            </w:pPr>
            <w:r>
              <w:rPr>
                <w:sz w:val="22"/>
              </w:rPr>
              <w:t>договор № 29 от 20.02.2018</w:t>
            </w:r>
          </w:p>
        </w:tc>
        <w:tc>
          <w:tcPr>
            <w:tcW w:type="dxa" w:w="1274"/>
            <w:tcBorders>
              <w:top w:color="000000" w:sz="4" w:val="single"/>
              <w:left w:color="000000" w:sz="4" w:val="single"/>
              <w:bottom w:color="000000" w:sz="4" w:val="single"/>
              <w:right w:color="000000" w:sz="4" w:val="single"/>
            </w:tcBorders>
            <w:shd w:fill="FFFFFF" w:val="clear"/>
            <w:vAlign w:val="center"/>
          </w:tcPr>
          <w:p w14:paraId="801F0000">
            <w:pPr>
              <w:widowControl w:val="1"/>
              <w:ind/>
              <w:contextualSpacing w:val="1"/>
              <w:jc w:val="center"/>
              <w:rPr>
                <w:sz w:val="22"/>
              </w:rPr>
            </w:pPr>
            <w:r>
              <w:rPr>
                <w:sz w:val="22"/>
              </w:rPr>
              <w:t>20.02.2018-31.12.2018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811F0000">
            <w:pPr>
              <w:widowControl w:val="1"/>
              <w:ind/>
              <w:contextualSpacing w:val="1"/>
              <w:jc w:val="center"/>
              <w:rPr>
                <w:sz w:val="22"/>
              </w:rPr>
            </w:pPr>
            <w:r>
              <w:rPr>
                <w:sz w:val="22"/>
              </w:rPr>
              <w:t>поставка мешков для мусора</w:t>
            </w:r>
          </w:p>
        </w:tc>
        <w:tc>
          <w:tcPr>
            <w:tcW w:type="dxa" w:w="1194"/>
            <w:tcBorders>
              <w:top w:color="000000" w:sz="4" w:val="single"/>
              <w:left w:color="000000" w:sz="4" w:val="single"/>
              <w:bottom w:color="000000" w:sz="4" w:val="single"/>
              <w:right w:color="000000" w:sz="4" w:val="single"/>
            </w:tcBorders>
            <w:shd w:fill="FFFFFF" w:val="clear"/>
            <w:vAlign w:val="center"/>
          </w:tcPr>
          <w:p w14:paraId="821F0000">
            <w:pPr>
              <w:widowControl w:val="1"/>
              <w:ind/>
              <w:contextualSpacing w:val="1"/>
              <w:jc w:val="center"/>
              <w:rPr>
                <w:sz w:val="22"/>
              </w:rPr>
            </w:pPr>
            <w:r>
              <w:rPr>
                <w:sz w:val="22"/>
              </w:rPr>
              <w:t>96718,5</w:t>
            </w:r>
          </w:p>
        </w:tc>
        <w:tc>
          <w:tcPr>
            <w:tcW w:type="dxa" w:w="1221"/>
            <w:tcBorders>
              <w:top w:color="000000" w:sz="4" w:val="single"/>
              <w:left w:color="000000" w:sz="4" w:val="single"/>
              <w:bottom w:color="000000" w:sz="4" w:val="single"/>
              <w:right w:color="000000" w:sz="4" w:val="single"/>
            </w:tcBorders>
            <w:shd w:fill="FFFFFF" w:val="clear"/>
            <w:vAlign w:val="center"/>
          </w:tcPr>
          <w:p w14:paraId="83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4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5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6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87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881F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665"/>
        </w:trPr>
        <w:tc>
          <w:tcPr>
            <w:tcW w:type="dxa" w:w="528"/>
            <w:tcBorders>
              <w:top w:color="000000" w:sz="4" w:val="single"/>
              <w:left w:color="000000" w:sz="4" w:val="single"/>
              <w:bottom w:color="000000" w:sz="4" w:val="single"/>
              <w:right w:color="000000" w:sz="4" w:val="single"/>
            </w:tcBorders>
            <w:shd w:fill="FFFFFF" w:val="clear"/>
            <w:vAlign w:val="center"/>
          </w:tcPr>
          <w:p w14:paraId="891F0000">
            <w:pPr>
              <w:widowControl w:val="1"/>
              <w:ind/>
              <w:contextualSpacing w:val="1"/>
              <w:rPr>
                <w:color w:val="000000"/>
                <w:sz w:val="22"/>
              </w:rPr>
            </w:pPr>
            <w:r>
              <w:rPr>
                <w:color w:val="000000"/>
                <w:sz w:val="22"/>
              </w:rPr>
              <w:t>89</w:t>
            </w:r>
          </w:p>
        </w:tc>
        <w:tc>
          <w:tcPr>
            <w:tcW w:type="dxa" w:w="1408"/>
            <w:tcBorders>
              <w:top w:color="000000" w:sz="4" w:val="single"/>
              <w:left w:color="000000" w:sz="4" w:val="single"/>
              <w:bottom w:color="000000" w:sz="4" w:val="single"/>
              <w:right w:color="000000" w:sz="4" w:val="single"/>
            </w:tcBorders>
            <w:shd w:fill="FFFFFF" w:val="clear"/>
            <w:vAlign w:val="center"/>
          </w:tcPr>
          <w:p w14:paraId="8A1F0000">
            <w:pPr>
              <w:widowControl w:val="1"/>
              <w:ind/>
              <w:contextualSpacing w:val="1"/>
              <w:jc w:val="center"/>
              <w:rPr>
                <w:sz w:val="22"/>
              </w:rPr>
            </w:pPr>
            <w:r>
              <w:rPr>
                <w:sz w:val="22"/>
              </w:rPr>
              <w:t>ООО "Илим"</w:t>
            </w:r>
          </w:p>
        </w:tc>
        <w:tc>
          <w:tcPr>
            <w:tcW w:type="dxa" w:w="1408"/>
            <w:tcBorders>
              <w:top w:color="000000" w:sz="4" w:val="single"/>
              <w:left w:color="000000" w:sz="4" w:val="single"/>
              <w:bottom w:color="000000" w:sz="4" w:val="single"/>
              <w:right w:color="000000" w:sz="4" w:val="single"/>
            </w:tcBorders>
            <w:shd w:fill="FFFFFF" w:val="clear"/>
            <w:vAlign w:val="center"/>
          </w:tcPr>
          <w:p w14:paraId="8B1F0000">
            <w:pPr>
              <w:widowControl w:val="1"/>
              <w:ind/>
              <w:contextualSpacing w:val="1"/>
              <w:jc w:val="center"/>
              <w:rPr>
                <w:sz w:val="22"/>
              </w:rPr>
            </w:pPr>
            <w:r>
              <w:rPr>
                <w:sz w:val="22"/>
              </w:rPr>
              <w:t>дополнительное соглашение № 1 к договору № 29 от 20.02.2018 от 17.12.2018</w:t>
            </w:r>
          </w:p>
        </w:tc>
        <w:tc>
          <w:tcPr>
            <w:tcW w:type="dxa" w:w="1274"/>
            <w:tcBorders>
              <w:top w:color="000000" w:sz="4" w:val="single"/>
              <w:left w:color="000000" w:sz="4" w:val="single"/>
              <w:bottom w:color="000000" w:sz="4" w:val="single"/>
              <w:right w:color="000000" w:sz="4" w:val="single"/>
            </w:tcBorders>
            <w:shd w:fill="FFFFFF" w:val="clear"/>
            <w:vAlign w:val="center"/>
          </w:tcPr>
          <w:p w14:paraId="8C1F0000">
            <w:pPr>
              <w:widowControl w:val="1"/>
              <w:ind/>
              <w:contextualSpacing w:val="1"/>
              <w:jc w:val="center"/>
              <w:rPr>
                <w:sz w:val="22"/>
              </w:rPr>
            </w:pPr>
            <w:r>
              <w:rPr>
                <w:sz w:val="22"/>
              </w:rPr>
              <w:t>20.02.2018-31.05.2019</w:t>
            </w:r>
          </w:p>
        </w:tc>
        <w:tc>
          <w:tcPr>
            <w:tcW w:type="dxa" w:w="1556"/>
            <w:tcBorders>
              <w:top w:color="000000" w:sz="4" w:val="single"/>
              <w:left w:color="000000" w:sz="4" w:val="single"/>
              <w:bottom w:color="000000" w:sz="4" w:val="single"/>
              <w:right w:color="000000" w:sz="4" w:val="single"/>
            </w:tcBorders>
            <w:shd w:fill="FFFFFF" w:val="clear"/>
            <w:vAlign w:val="center"/>
          </w:tcPr>
          <w:p w14:paraId="8D1F0000">
            <w:pPr>
              <w:widowControl w:val="1"/>
              <w:ind/>
              <w:contextualSpacing w:val="1"/>
              <w:jc w:val="center"/>
              <w:rPr>
                <w:sz w:val="22"/>
              </w:rPr>
            </w:pPr>
            <w:r>
              <w:rPr>
                <w:sz w:val="22"/>
              </w:rPr>
              <w:t>пролонгация договора, увеличение предельной цены договора в связи с увеличением ставки НДС</w:t>
            </w:r>
          </w:p>
        </w:tc>
        <w:tc>
          <w:tcPr>
            <w:tcW w:type="dxa" w:w="1194"/>
            <w:tcBorders>
              <w:top w:color="000000" w:sz="4" w:val="single"/>
              <w:left w:color="000000" w:sz="4" w:val="single"/>
              <w:bottom w:color="000000" w:sz="4" w:val="single"/>
              <w:right w:color="000000" w:sz="4" w:val="single"/>
            </w:tcBorders>
            <w:shd w:fill="FFFFFF" w:val="clear"/>
            <w:vAlign w:val="center"/>
          </w:tcPr>
          <w:p w14:paraId="8E1F0000">
            <w:pPr>
              <w:widowControl w:val="1"/>
              <w:ind/>
              <w:contextualSpacing w:val="1"/>
              <w:jc w:val="center"/>
              <w:rPr>
                <w:sz w:val="22"/>
              </w:rPr>
            </w:pPr>
            <w:r>
              <w:rPr>
                <w:sz w:val="22"/>
              </w:rPr>
              <w:t>97762,02</w:t>
            </w:r>
          </w:p>
        </w:tc>
        <w:tc>
          <w:tcPr>
            <w:tcW w:type="dxa" w:w="1221"/>
            <w:tcBorders>
              <w:top w:color="000000" w:sz="4" w:val="single"/>
              <w:left w:color="000000" w:sz="4" w:val="single"/>
              <w:bottom w:color="000000" w:sz="4" w:val="single"/>
              <w:right w:color="000000" w:sz="4" w:val="single"/>
            </w:tcBorders>
            <w:shd w:fill="FFFFFF" w:val="clear"/>
            <w:vAlign w:val="center"/>
          </w:tcPr>
          <w:p w14:paraId="8F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0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1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21F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93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41F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570"/>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951F0000">
            <w:pPr>
              <w:widowControl w:val="1"/>
              <w:ind/>
              <w:contextualSpacing w:val="1"/>
              <w:jc w:val="center"/>
              <w:rPr>
                <w:color w:val="000000"/>
                <w:sz w:val="22"/>
              </w:rPr>
            </w:pPr>
            <w:r>
              <w:rPr>
                <w:color w:val="000000"/>
                <w:sz w:val="22"/>
              </w:rPr>
              <w:t>Итого по контрагенту ООО "Илим" 491239,79 руб.</w:t>
            </w:r>
          </w:p>
          <w:p w14:paraId="961F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71F0000">
            <w:pPr>
              <w:widowControl w:val="1"/>
              <w:ind/>
              <w:contextualSpacing w:val="1"/>
              <w:rPr>
                <w:color w:val="000000"/>
                <w:sz w:val="22"/>
              </w:rPr>
            </w:pPr>
            <w:r>
              <w:rPr>
                <w:color w:val="000000"/>
                <w:sz w:val="22"/>
              </w:rPr>
              <w:t>90</w:t>
            </w:r>
          </w:p>
        </w:tc>
        <w:tc>
          <w:tcPr>
            <w:tcW w:type="dxa" w:w="1408"/>
            <w:tcBorders>
              <w:top w:color="000000" w:sz="4" w:val="single"/>
              <w:left w:color="000000" w:sz="4" w:val="single"/>
              <w:bottom w:color="000000" w:sz="4" w:val="single"/>
              <w:right w:color="000000" w:sz="4" w:val="single"/>
            </w:tcBorders>
            <w:shd w:fill="FFFFFF" w:val="clear"/>
            <w:vAlign w:val="center"/>
          </w:tcPr>
          <w:p w14:paraId="981F0000">
            <w:pPr>
              <w:widowControl w:val="1"/>
              <w:ind/>
              <w:contextualSpacing w:val="1"/>
              <w:jc w:val="center"/>
              <w:rPr>
                <w:sz w:val="22"/>
              </w:rPr>
            </w:pPr>
            <w:r>
              <w:rPr>
                <w:sz w:val="22"/>
              </w:rPr>
              <w:t>ООО "ДЭФО-Красноярск"</w:t>
            </w:r>
          </w:p>
        </w:tc>
        <w:tc>
          <w:tcPr>
            <w:tcW w:type="dxa" w:w="1408"/>
            <w:tcBorders>
              <w:top w:color="000000" w:sz="4" w:val="single"/>
              <w:left w:color="000000" w:sz="4" w:val="single"/>
              <w:bottom w:color="000000" w:sz="4" w:val="single"/>
              <w:right w:color="000000" w:sz="4" w:val="single"/>
            </w:tcBorders>
            <w:shd w:fill="FFFFFF" w:val="clear"/>
            <w:vAlign w:val="center"/>
          </w:tcPr>
          <w:p w14:paraId="991F0000">
            <w:pPr>
              <w:widowControl w:val="1"/>
              <w:ind/>
              <w:contextualSpacing w:val="1"/>
              <w:jc w:val="center"/>
              <w:rPr>
                <w:sz w:val="22"/>
              </w:rPr>
            </w:pPr>
            <w:r>
              <w:rPr>
                <w:sz w:val="22"/>
              </w:rPr>
              <w:t>договор № 28 от 20.02.2018</w:t>
            </w:r>
          </w:p>
        </w:tc>
        <w:tc>
          <w:tcPr>
            <w:tcW w:type="dxa" w:w="1274"/>
            <w:tcBorders>
              <w:top w:color="000000" w:sz="4" w:val="single"/>
              <w:left w:color="000000" w:sz="4" w:val="single"/>
              <w:bottom w:color="000000" w:sz="4" w:val="single"/>
              <w:right w:color="000000" w:sz="4" w:val="single"/>
            </w:tcBorders>
            <w:shd w:fill="FFFFFF" w:val="clear"/>
            <w:vAlign w:val="center"/>
          </w:tcPr>
          <w:p w14:paraId="9A1F0000">
            <w:pPr>
              <w:widowControl w:val="1"/>
              <w:ind/>
              <w:contextualSpacing w:val="1"/>
              <w:jc w:val="center"/>
              <w:rPr>
                <w:sz w:val="22"/>
              </w:rPr>
            </w:pPr>
            <w:r>
              <w:rPr>
                <w:sz w:val="22"/>
              </w:rPr>
              <w:t>20.02.2018-31.12.2018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9B1F0000">
            <w:pPr>
              <w:widowControl w:val="1"/>
              <w:ind/>
              <w:contextualSpacing w:val="1"/>
              <w:jc w:val="center"/>
              <w:rPr>
                <w:sz w:val="22"/>
              </w:rPr>
            </w:pPr>
            <w:r>
              <w:rPr>
                <w:sz w:val="22"/>
              </w:rPr>
              <w:t>поставка офисных кресел</w:t>
            </w:r>
          </w:p>
        </w:tc>
        <w:tc>
          <w:tcPr>
            <w:tcW w:type="dxa" w:w="1194"/>
            <w:tcBorders>
              <w:top w:color="000000" w:sz="4" w:val="single"/>
              <w:left w:color="000000" w:sz="4" w:val="single"/>
              <w:bottom w:color="000000" w:sz="4" w:val="single"/>
              <w:right w:color="000000" w:sz="4" w:val="single"/>
            </w:tcBorders>
            <w:shd w:fill="FFFFFF" w:val="clear"/>
            <w:vAlign w:val="center"/>
          </w:tcPr>
          <w:p w14:paraId="9C1F0000">
            <w:pPr>
              <w:widowControl w:val="1"/>
              <w:ind/>
              <w:contextualSpacing w:val="1"/>
              <w:jc w:val="center"/>
              <w:rPr>
                <w:sz w:val="22"/>
              </w:rPr>
            </w:pPr>
            <w:r>
              <w:rPr>
                <w:sz w:val="22"/>
              </w:rPr>
              <w:t>98160</w:t>
            </w:r>
          </w:p>
        </w:tc>
        <w:tc>
          <w:tcPr>
            <w:tcW w:type="dxa" w:w="1221"/>
            <w:tcBorders>
              <w:top w:color="000000" w:sz="4" w:val="single"/>
              <w:left w:color="000000" w:sz="4" w:val="single"/>
              <w:bottom w:color="000000" w:sz="4" w:val="single"/>
              <w:right w:color="000000" w:sz="4" w:val="single"/>
            </w:tcBorders>
            <w:shd w:fill="FFFFFF" w:val="clear"/>
            <w:vAlign w:val="center"/>
          </w:tcPr>
          <w:p w14:paraId="9D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E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F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0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A1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21F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31F0000">
            <w:pPr>
              <w:widowControl w:val="1"/>
              <w:ind/>
              <w:contextualSpacing w:val="1"/>
              <w:rPr>
                <w:color w:val="000000"/>
                <w:sz w:val="22"/>
              </w:rPr>
            </w:pPr>
            <w:r>
              <w:rPr>
                <w:color w:val="000000"/>
                <w:sz w:val="22"/>
              </w:rPr>
              <w:t>91</w:t>
            </w:r>
          </w:p>
        </w:tc>
        <w:tc>
          <w:tcPr>
            <w:tcW w:type="dxa" w:w="1408"/>
            <w:tcBorders>
              <w:top w:color="000000" w:sz="4" w:val="single"/>
              <w:left w:color="000000" w:sz="4" w:val="single"/>
              <w:bottom w:color="000000" w:sz="4" w:val="single"/>
              <w:right w:color="000000" w:sz="4" w:val="single"/>
            </w:tcBorders>
            <w:shd w:fill="FFFFFF" w:val="clear"/>
            <w:vAlign w:val="center"/>
          </w:tcPr>
          <w:p w14:paraId="A41F0000">
            <w:pPr>
              <w:widowControl w:val="1"/>
              <w:ind/>
              <w:contextualSpacing w:val="1"/>
              <w:jc w:val="center"/>
              <w:rPr>
                <w:sz w:val="22"/>
              </w:rPr>
            </w:pPr>
            <w:r>
              <w:rPr>
                <w:sz w:val="22"/>
              </w:rPr>
              <w:t>ООО "ДЭФО-Красноярск"</w:t>
            </w:r>
          </w:p>
        </w:tc>
        <w:tc>
          <w:tcPr>
            <w:tcW w:type="dxa" w:w="1408"/>
            <w:tcBorders>
              <w:top w:color="000000" w:sz="4" w:val="single"/>
              <w:left w:color="000000" w:sz="4" w:val="single"/>
              <w:bottom w:color="000000" w:sz="4" w:val="single"/>
              <w:right w:color="000000" w:sz="4" w:val="single"/>
            </w:tcBorders>
            <w:shd w:fill="FFFFFF" w:val="clear"/>
            <w:vAlign w:val="center"/>
          </w:tcPr>
          <w:p w14:paraId="A51F0000">
            <w:pPr>
              <w:widowControl w:val="1"/>
              <w:ind/>
              <w:contextualSpacing w:val="1"/>
              <w:jc w:val="center"/>
              <w:rPr>
                <w:sz w:val="22"/>
              </w:rPr>
            </w:pPr>
            <w:r>
              <w:rPr>
                <w:sz w:val="22"/>
              </w:rPr>
              <w:t>счет № ДЭСКШ-9514 от 23.07.2018</w:t>
            </w:r>
          </w:p>
        </w:tc>
        <w:tc>
          <w:tcPr>
            <w:tcW w:type="dxa" w:w="1274"/>
            <w:tcBorders>
              <w:top w:color="000000" w:sz="4" w:val="single"/>
              <w:left w:color="000000" w:sz="4" w:val="single"/>
              <w:bottom w:color="000000" w:sz="4" w:val="single"/>
              <w:right w:color="000000" w:sz="4" w:val="single"/>
            </w:tcBorders>
            <w:shd w:fill="FFFFFF" w:val="clear"/>
            <w:vAlign w:val="center"/>
          </w:tcPr>
          <w:p w14:paraId="A61F0000">
            <w:pPr>
              <w:widowControl w:val="1"/>
              <w:ind/>
              <w:contextualSpacing w:val="1"/>
              <w:jc w:val="center"/>
              <w:rPr>
                <w:color w:val="000000"/>
                <w:sz w:val="22"/>
              </w:rPr>
            </w:pPr>
            <w:r>
              <w:rPr>
                <w:color w:val="000000"/>
                <w:sz w:val="22"/>
              </w:rPr>
              <w:t>23.07.2018-30.07.2018</w:t>
            </w:r>
          </w:p>
        </w:tc>
        <w:tc>
          <w:tcPr>
            <w:tcW w:type="dxa" w:w="1556"/>
            <w:tcBorders>
              <w:top w:color="000000" w:sz="4" w:val="single"/>
              <w:left w:color="000000" w:sz="4" w:val="single"/>
              <w:bottom w:color="000000" w:sz="4" w:val="single"/>
              <w:right w:color="000000" w:sz="4" w:val="single"/>
            </w:tcBorders>
            <w:shd w:fill="FFFFFF" w:val="clear"/>
            <w:vAlign w:val="center"/>
          </w:tcPr>
          <w:p w14:paraId="A71F0000">
            <w:pPr>
              <w:widowControl w:val="1"/>
              <w:ind/>
              <w:contextualSpacing w:val="1"/>
              <w:jc w:val="center"/>
              <w:rPr>
                <w:color w:val="000000"/>
                <w:sz w:val="22"/>
              </w:rPr>
            </w:pPr>
            <w:r>
              <w:rPr>
                <w:color w:val="000000"/>
                <w:sz w:val="22"/>
              </w:rPr>
              <w:t>Поставка офисных кресел</w:t>
            </w:r>
          </w:p>
        </w:tc>
        <w:tc>
          <w:tcPr>
            <w:tcW w:type="dxa" w:w="1194"/>
            <w:tcBorders>
              <w:top w:color="000000" w:sz="4" w:val="single"/>
              <w:left w:color="000000" w:sz="4" w:val="single"/>
              <w:bottom w:color="000000" w:sz="4" w:val="single"/>
              <w:right w:color="000000" w:sz="4" w:val="single"/>
            </w:tcBorders>
            <w:shd w:fill="FFFFFF" w:val="clear"/>
            <w:vAlign w:val="center"/>
          </w:tcPr>
          <w:p w14:paraId="A81F0000">
            <w:pPr>
              <w:widowControl w:val="1"/>
              <w:ind/>
              <w:contextualSpacing w:val="1"/>
              <w:jc w:val="center"/>
              <w:rPr>
                <w:color w:val="000000"/>
                <w:sz w:val="22"/>
              </w:rPr>
            </w:pPr>
            <w:r>
              <w:rPr>
                <w:color w:val="000000"/>
                <w:sz w:val="22"/>
              </w:rPr>
              <w:t>35832,00</w:t>
            </w:r>
          </w:p>
        </w:tc>
        <w:tc>
          <w:tcPr>
            <w:tcW w:type="dxa" w:w="1221"/>
            <w:tcBorders>
              <w:top w:color="000000" w:sz="4" w:val="single"/>
              <w:left w:color="000000" w:sz="4" w:val="single"/>
              <w:bottom w:color="000000" w:sz="4" w:val="single"/>
              <w:right w:color="000000" w:sz="4" w:val="single"/>
            </w:tcBorders>
            <w:shd w:fill="FFFFFF" w:val="clear"/>
            <w:vAlign w:val="center"/>
          </w:tcPr>
          <w:p w14:paraId="A9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A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B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C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AD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E1F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AF1F0000">
            <w:pPr>
              <w:widowControl w:val="1"/>
              <w:ind/>
              <w:contextualSpacing w:val="1"/>
              <w:jc w:val="center"/>
              <w:rPr>
                <w:color w:val="000000"/>
                <w:sz w:val="22"/>
              </w:rPr>
            </w:pPr>
            <w:r>
              <w:rPr>
                <w:color w:val="000000"/>
                <w:sz w:val="22"/>
              </w:rPr>
              <w:t>итого по контрагенту ООО "ДЭФО-Красноярск" 133992 руб.</w:t>
            </w:r>
          </w:p>
          <w:p w14:paraId="B01F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B11F0000">
            <w:pPr>
              <w:widowControl w:val="1"/>
              <w:ind/>
              <w:contextualSpacing w:val="1"/>
              <w:rPr>
                <w:color w:val="000000"/>
                <w:sz w:val="22"/>
              </w:rPr>
            </w:pPr>
            <w:r>
              <w:rPr>
                <w:color w:val="000000"/>
                <w:sz w:val="22"/>
              </w:rPr>
              <w:t>92</w:t>
            </w:r>
          </w:p>
        </w:tc>
        <w:tc>
          <w:tcPr>
            <w:tcW w:type="dxa" w:w="1408"/>
            <w:tcBorders>
              <w:top w:color="000000" w:sz="4" w:val="single"/>
              <w:left w:color="000000" w:sz="4" w:val="single"/>
              <w:bottom w:color="000000" w:sz="4" w:val="single"/>
              <w:right w:color="000000" w:sz="4" w:val="single"/>
            </w:tcBorders>
            <w:shd w:fill="FFFFFF" w:val="clear"/>
            <w:vAlign w:val="center"/>
          </w:tcPr>
          <w:p w14:paraId="B21F0000">
            <w:pPr>
              <w:widowControl w:val="1"/>
              <w:ind/>
              <w:contextualSpacing w:val="1"/>
              <w:jc w:val="center"/>
              <w:rPr>
                <w:sz w:val="22"/>
              </w:rPr>
            </w:pPr>
            <w:r>
              <w:rPr>
                <w:sz w:val="22"/>
              </w:rPr>
              <w:t>ООО "ИнтраЛайн"</w:t>
            </w:r>
          </w:p>
        </w:tc>
        <w:tc>
          <w:tcPr>
            <w:tcW w:type="dxa" w:w="1408"/>
            <w:tcBorders>
              <w:top w:color="000000" w:sz="4" w:val="single"/>
              <w:left w:color="000000" w:sz="4" w:val="single"/>
              <w:bottom w:color="000000" w:sz="4" w:val="single"/>
              <w:right w:color="000000" w:sz="4" w:val="single"/>
            </w:tcBorders>
            <w:shd w:fill="FFFFFF" w:val="clear"/>
            <w:vAlign w:val="center"/>
          </w:tcPr>
          <w:p w14:paraId="B31F0000">
            <w:pPr>
              <w:widowControl w:val="1"/>
              <w:ind/>
              <w:contextualSpacing w:val="1"/>
              <w:jc w:val="center"/>
              <w:rPr>
                <w:sz w:val="22"/>
              </w:rPr>
            </w:pPr>
            <w:r>
              <w:rPr>
                <w:sz w:val="22"/>
              </w:rPr>
              <w:t>договор № 12/744 от 17.01.2018</w:t>
            </w:r>
          </w:p>
        </w:tc>
        <w:tc>
          <w:tcPr>
            <w:tcW w:type="dxa" w:w="1274"/>
            <w:tcBorders>
              <w:top w:color="000000" w:sz="4" w:val="single"/>
              <w:left w:color="000000" w:sz="4" w:val="single"/>
              <w:bottom w:color="000000" w:sz="4" w:val="single"/>
              <w:right w:color="000000" w:sz="4" w:val="single"/>
            </w:tcBorders>
            <w:shd w:fill="FFFFFF" w:val="clear"/>
            <w:vAlign w:val="center"/>
          </w:tcPr>
          <w:p w14:paraId="B41F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B51F0000">
            <w:pPr>
              <w:widowControl w:val="1"/>
              <w:ind/>
              <w:contextualSpacing w:val="1"/>
              <w:jc w:val="center"/>
              <w:rPr>
                <w:sz w:val="22"/>
              </w:rPr>
            </w:pPr>
            <w:r>
              <w:rPr>
                <w:sz w:val="22"/>
              </w:rPr>
              <w:t>оказание услуг электросвязи</w:t>
            </w:r>
          </w:p>
        </w:tc>
        <w:tc>
          <w:tcPr>
            <w:tcW w:type="dxa" w:w="1194"/>
            <w:tcBorders>
              <w:top w:color="000000" w:sz="4" w:val="single"/>
              <w:left w:color="000000" w:sz="4" w:val="single"/>
              <w:bottom w:color="000000" w:sz="4" w:val="single"/>
              <w:right w:color="000000" w:sz="4" w:val="single"/>
            </w:tcBorders>
            <w:shd w:fill="FFFFFF" w:val="clear"/>
            <w:vAlign w:val="center"/>
          </w:tcPr>
          <w:p w14:paraId="B61F0000">
            <w:pPr>
              <w:widowControl w:val="1"/>
              <w:ind/>
              <w:contextualSpacing w:val="1"/>
              <w:jc w:val="center"/>
              <w:rPr>
                <w:sz w:val="22"/>
              </w:rPr>
            </w:pPr>
            <w:r>
              <w:rPr>
                <w:sz w:val="22"/>
              </w:rPr>
              <w:t>246384</w:t>
            </w:r>
          </w:p>
        </w:tc>
        <w:tc>
          <w:tcPr>
            <w:tcW w:type="dxa" w:w="1221"/>
            <w:tcBorders>
              <w:top w:color="000000" w:sz="4" w:val="single"/>
              <w:left w:color="000000" w:sz="4" w:val="single"/>
              <w:bottom w:color="000000" w:sz="4" w:val="single"/>
              <w:right w:color="000000" w:sz="4" w:val="single"/>
            </w:tcBorders>
            <w:shd w:fill="FFFFFF" w:val="clear"/>
            <w:vAlign w:val="center"/>
          </w:tcPr>
          <w:p w14:paraId="B7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8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9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A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BB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BC1F0000">
            <w:pPr>
              <w:widowControl w:val="1"/>
              <w:ind/>
              <w:contextualSpacing w:val="1"/>
              <w:jc w:val="center"/>
              <w:rPr>
                <w:sz w:val="22"/>
              </w:rPr>
            </w:pPr>
            <w:r>
              <w:rPr>
                <w:sz w:val="22"/>
              </w:rPr>
              <w:t>Размещение заказа у единственного поставщика, согласно пп. 7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BD1F0000">
            <w:pPr>
              <w:widowControl w:val="1"/>
              <w:ind/>
              <w:contextualSpacing w:val="1"/>
              <w:rPr>
                <w:color w:val="000000"/>
                <w:sz w:val="22"/>
              </w:rPr>
            </w:pPr>
            <w:r>
              <w:rPr>
                <w:color w:val="000000"/>
                <w:sz w:val="22"/>
              </w:rPr>
              <w:t>93</w:t>
            </w:r>
          </w:p>
        </w:tc>
        <w:tc>
          <w:tcPr>
            <w:tcW w:type="dxa" w:w="1408"/>
            <w:tcBorders>
              <w:top w:color="000000" w:sz="4" w:val="single"/>
              <w:left w:color="000000" w:sz="4" w:val="single"/>
              <w:bottom w:color="000000" w:sz="4" w:val="single"/>
              <w:right w:color="000000" w:sz="4" w:val="single"/>
            </w:tcBorders>
            <w:shd w:fill="FFFFFF" w:val="clear"/>
            <w:vAlign w:val="center"/>
          </w:tcPr>
          <w:p w14:paraId="BE1F0000">
            <w:pPr>
              <w:widowControl w:val="1"/>
              <w:ind/>
              <w:contextualSpacing w:val="1"/>
              <w:jc w:val="center"/>
              <w:rPr>
                <w:sz w:val="22"/>
              </w:rPr>
            </w:pPr>
            <w:r>
              <w:rPr>
                <w:sz w:val="22"/>
              </w:rPr>
              <w:t>ООО "Клад"</w:t>
            </w:r>
          </w:p>
        </w:tc>
        <w:tc>
          <w:tcPr>
            <w:tcW w:type="dxa" w:w="1408"/>
            <w:tcBorders>
              <w:top w:color="000000" w:sz="4" w:val="single"/>
              <w:left w:color="000000" w:sz="4" w:val="single"/>
              <w:bottom w:color="000000" w:sz="4" w:val="single"/>
              <w:right w:color="000000" w:sz="4" w:val="single"/>
            </w:tcBorders>
            <w:shd w:fill="FFFFFF" w:val="clear"/>
            <w:vAlign w:val="center"/>
          </w:tcPr>
          <w:p w14:paraId="BF1F0000">
            <w:pPr>
              <w:widowControl w:val="1"/>
              <w:ind/>
              <w:contextualSpacing w:val="1"/>
              <w:jc w:val="center"/>
              <w:rPr>
                <w:sz w:val="22"/>
              </w:rPr>
            </w:pPr>
            <w:r>
              <w:rPr>
                <w:sz w:val="22"/>
              </w:rPr>
              <w:t>договор № 31 от 21.02.2018</w:t>
            </w:r>
          </w:p>
        </w:tc>
        <w:tc>
          <w:tcPr>
            <w:tcW w:type="dxa" w:w="1274"/>
            <w:tcBorders>
              <w:top w:color="000000" w:sz="4" w:val="single"/>
              <w:left w:color="000000" w:sz="4" w:val="single"/>
              <w:bottom w:color="000000" w:sz="4" w:val="single"/>
              <w:right w:color="000000" w:sz="4" w:val="single"/>
            </w:tcBorders>
            <w:shd w:fill="FFFFFF" w:val="clear"/>
            <w:vAlign w:val="center"/>
          </w:tcPr>
          <w:p w14:paraId="C01F0000">
            <w:pPr>
              <w:widowControl w:val="1"/>
              <w:ind/>
              <w:contextualSpacing w:val="1"/>
              <w:jc w:val="center"/>
              <w:rPr>
                <w:sz w:val="22"/>
              </w:rPr>
            </w:pPr>
            <w:r>
              <w:rPr>
                <w:sz w:val="22"/>
              </w:rPr>
              <w:t>21.02.2018-31.12.2018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C11F0000">
            <w:pPr>
              <w:widowControl w:val="1"/>
              <w:ind/>
              <w:contextualSpacing w:val="1"/>
              <w:jc w:val="center"/>
              <w:rPr>
                <w:sz w:val="22"/>
              </w:rPr>
            </w:pPr>
            <w:r>
              <w:rPr>
                <w:sz w:val="22"/>
              </w:rPr>
              <w:t>поставка офисной канцелярии</w:t>
            </w:r>
          </w:p>
        </w:tc>
        <w:tc>
          <w:tcPr>
            <w:tcW w:type="dxa" w:w="1194"/>
            <w:tcBorders>
              <w:top w:color="000000" w:sz="4" w:val="single"/>
              <w:left w:color="000000" w:sz="4" w:val="single"/>
              <w:bottom w:color="000000" w:sz="4" w:val="single"/>
              <w:right w:color="000000" w:sz="4" w:val="single"/>
            </w:tcBorders>
            <w:shd w:fill="FFFFFF" w:val="clear"/>
            <w:vAlign w:val="center"/>
          </w:tcPr>
          <w:p w14:paraId="C21F0000">
            <w:pPr>
              <w:widowControl w:val="1"/>
              <w:ind/>
              <w:contextualSpacing w:val="1"/>
              <w:jc w:val="center"/>
              <w:rPr>
                <w:sz w:val="22"/>
              </w:rPr>
            </w:pPr>
            <w:r>
              <w:rPr>
                <w:sz w:val="22"/>
              </w:rPr>
              <w:t>181045,9</w:t>
            </w:r>
          </w:p>
        </w:tc>
        <w:tc>
          <w:tcPr>
            <w:tcW w:type="dxa" w:w="1221"/>
            <w:tcBorders>
              <w:top w:color="000000" w:sz="4" w:val="single"/>
              <w:left w:color="000000" w:sz="4" w:val="single"/>
              <w:bottom w:color="000000" w:sz="4" w:val="single"/>
              <w:right w:color="000000" w:sz="4" w:val="single"/>
            </w:tcBorders>
            <w:shd w:fill="FFFFFF" w:val="clear"/>
            <w:vAlign w:val="center"/>
          </w:tcPr>
          <w:p w14:paraId="C3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4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5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6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C7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81F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91F0000">
            <w:pPr>
              <w:widowControl w:val="1"/>
              <w:ind/>
              <w:contextualSpacing w:val="1"/>
              <w:rPr>
                <w:color w:val="000000"/>
                <w:sz w:val="22"/>
              </w:rPr>
            </w:pPr>
            <w:r>
              <w:rPr>
                <w:color w:val="000000"/>
                <w:sz w:val="22"/>
              </w:rPr>
              <w:t>94</w:t>
            </w:r>
          </w:p>
        </w:tc>
        <w:tc>
          <w:tcPr>
            <w:tcW w:type="dxa" w:w="1408"/>
            <w:tcBorders>
              <w:top w:color="000000" w:sz="4" w:val="single"/>
              <w:left w:color="000000" w:sz="4" w:val="single"/>
              <w:bottom w:color="000000" w:sz="4" w:val="single"/>
              <w:right w:color="000000" w:sz="4" w:val="single"/>
            </w:tcBorders>
            <w:shd w:fill="FFFFFF" w:val="clear"/>
            <w:vAlign w:val="center"/>
          </w:tcPr>
          <w:p w14:paraId="CA1F0000">
            <w:pPr>
              <w:widowControl w:val="1"/>
              <w:ind/>
              <w:contextualSpacing w:val="1"/>
              <w:jc w:val="center"/>
              <w:rPr>
                <w:sz w:val="22"/>
              </w:rPr>
            </w:pPr>
            <w:r>
              <w:rPr>
                <w:sz w:val="22"/>
              </w:rPr>
              <w:t>ООО "Клад"</w:t>
            </w:r>
          </w:p>
        </w:tc>
        <w:tc>
          <w:tcPr>
            <w:tcW w:type="dxa" w:w="1408"/>
            <w:tcBorders>
              <w:top w:color="000000" w:sz="4" w:val="single"/>
              <w:left w:color="000000" w:sz="4" w:val="single"/>
              <w:bottom w:color="000000" w:sz="4" w:val="single"/>
              <w:right w:color="000000" w:sz="4" w:val="single"/>
            </w:tcBorders>
            <w:shd w:fill="FFFFFF" w:val="clear"/>
            <w:vAlign w:val="center"/>
          </w:tcPr>
          <w:p w14:paraId="CB1F0000">
            <w:pPr>
              <w:widowControl w:val="1"/>
              <w:ind/>
              <w:contextualSpacing w:val="1"/>
              <w:jc w:val="center"/>
              <w:rPr>
                <w:sz w:val="22"/>
              </w:rPr>
            </w:pPr>
            <w:r>
              <w:rPr>
                <w:sz w:val="22"/>
              </w:rPr>
              <w:t>счет № 1349 от 23.07.2018</w:t>
            </w:r>
          </w:p>
        </w:tc>
        <w:tc>
          <w:tcPr>
            <w:tcW w:type="dxa" w:w="1274"/>
            <w:tcBorders>
              <w:top w:color="000000" w:sz="4" w:val="single"/>
              <w:left w:color="000000" w:sz="4" w:val="single"/>
              <w:bottom w:color="000000" w:sz="4" w:val="single"/>
              <w:right w:color="000000" w:sz="4" w:val="single"/>
            </w:tcBorders>
            <w:shd w:fill="FFFFFF" w:val="clear"/>
            <w:vAlign w:val="center"/>
          </w:tcPr>
          <w:p w14:paraId="CC1F0000">
            <w:pPr>
              <w:widowControl w:val="1"/>
              <w:ind/>
              <w:contextualSpacing w:val="1"/>
              <w:jc w:val="center"/>
              <w:rPr>
                <w:sz w:val="22"/>
              </w:rPr>
            </w:pPr>
            <w:r>
              <w:rPr>
                <w:sz w:val="22"/>
              </w:rPr>
              <w:t>23.07.2018-25.07.2018</w:t>
            </w:r>
          </w:p>
        </w:tc>
        <w:tc>
          <w:tcPr>
            <w:tcW w:type="dxa" w:w="1556"/>
            <w:tcBorders>
              <w:top w:color="000000" w:sz="4" w:val="single"/>
              <w:left w:color="000000" w:sz="4" w:val="single"/>
              <w:bottom w:color="000000" w:sz="4" w:val="single"/>
              <w:right w:color="000000" w:sz="4" w:val="single"/>
            </w:tcBorders>
            <w:shd w:fill="FFFFFF" w:val="clear"/>
            <w:vAlign w:val="center"/>
          </w:tcPr>
          <w:p w14:paraId="CD1F0000">
            <w:pPr>
              <w:widowControl w:val="1"/>
              <w:ind/>
              <w:contextualSpacing w:val="1"/>
              <w:jc w:val="center"/>
              <w:rPr>
                <w:sz w:val="22"/>
              </w:rPr>
            </w:pPr>
            <w:r>
              <w:rPr>
                <w:sz w:val="22"/>
              </w:rPr>
              <w:t>Поставка демо-систем</w:t>
            </w:r>
          </w:p>
        </w:tc>
        <w:tc>
          <w:tcPr>
            <w:tcW w:type="dxa" w:w="1194"/>
            <w:tcBorders>
              <w:top w:color="000000" w:sz="4" w:val="single"/>
              <w:left w:color="000000" w:sz="4" w:val="single"/>
              <w:bottom w:color="000000" w:sz="4" w:val="single"/>
              <w:right w:color="000000" w:sz="4" w:val="single"/>
            </w:tcBorders>
            <w:shd w:fill="FFFFFF" w:val="clear"/>
            <w:vAlign w:val="center"/>
          </w:tcPr>
          <w:p w14:paraId="CE1F0000">
            <w:pPr>
              <w:widowControl w:val="1"/>
              <w:ind/>
              <w:contextualSpacing w:val="1"/>
              <w:jc w:val="center"/>
              <w:rPr>
                <w:sz w:val="22"/>
              </w:rPr>
            </w:pPr>
            <w:r>
              <w:rPr>
                <w:sz w:val="22"/>
              </w:rPr>
              <w:t>7346,00</w:t>
            </w:r>
          </w:p>
        </w:tc>
        <w:tc>
          <w:tcPr>
            <w:tcW w:type="dxa" w:w="1221"/>
            <w:tcBorders>
              <w:top w:color="000000" w:sz="4" w:val="single"/>
              <w:left w:color="000000" w:sz="4" w:val="single"/>
              <w:bottom w:color="000000" w:sz="4" w:val="single"/>
              <w:right w:color="000000" w:sz="4" w:val="single"/>
            </w:tcBorders>
            <w:shd w:fill="FFFFFF" w:val="clear"/>
            <w:vAlign w:val="center"/>
          </w:tcPr>
          <w:p w14:paraId="CF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0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1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2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D3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D41F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020"/>
        </w:trPr>
        <w:tc>
          <w:tcPr>
            <w:tcW w:type="dxa" w:w="528"/>
            <w:tcBorders>
              <w:top w:color="000000" w:sz="4" w:val="single"/>
              <w:left w:color="000000" w:sz="4" w:val="single"/>
              <w:bottom w:color="000000" w:sz="4" w:val="single"/>
              <w:right w:color="000000" w:sz="4" w:val="single"/>
            </w:tcBorders>
            <w:shd w:fill="FFFFFF" w:val="clear"/>
            <w:vAlign w:val="center"/>
          </w:tcPr>
          <w:p w14:paraId="D51F0000">
            <w:pPr>
              <w:widowControl w:val="1"/>
              <w:ind/>
              <w:contextualSpacing w:val="1"/>
              <w:rPr>
                <w:color w:val="000000"/>
                <w:sz w:val="22"/>
              </w:rPr>
            </w:pPr>
            <w:r>
              <w:rPr>
                <w:color w:val="000000"/>
                <w:sz w:val="22"/>
              </w:rPr>
              <w:t>95</w:t>
            </w:r>
          </w:p>
        </w:tc>
        <w:tc>
          <w:tcPr>
            <w:tcW w:type="dxa" w:w="1408"/>
            <w:tcBorders>
              <w:top w:color="000000" w:sz="4" w:val="single"/>
              <w:left w:color="000000" w:sz="4" w:val="single"/>
              <w:bottom w:color="000000" w:sz="4" w:val="single"/>
              <w:right w:color="000000" w:sz="4" w:val="single"/>
            </w:tcBorders>
            <w:shd w:fill="FFFFFF" w:val="clear"/>
            <w:vAlign w:val="center"/>
          </w:tcPr>
          <w:p w14:paraId="D61F0000">
            <w:pPr>
              <w:widowControl w:val="1"/>
              <w:ind/>
              <w:contextualSpacing w:val="1"/>
              <w:jc w:val="center"/>
              <w:rPr>
                <w:sz w:val="22"/>
              </w:rPr>
            </w:pPr>
            <w:r>
              <w:rPr>
                <w:sz w:val="22"/>
              </w:rPr>
              <w:t>ООО "Клад"</w:t>
            </w:r>
          </w:p>
        </w:tc>
        <w:tc>
          <w:tcPr>
            <w:tcW w:type="dxa" w:w="1408"/>
            <w:tcBorders>
              <w:top w:color="000000" w:sz="4" w:val="single"/>
              <w:left w:color="000000" w:sz="4" w:val="single"/>
              <w:bottom w:color="000000" w:sz="4" w:val="single"/>
              <w:right w:color="000000" w:sz="4" w:val="single"/>
            </w:tcBorders>
            <w:shd w:fill="FFFFFF" w:val="clear"/>
            <w:vAlign w:val="center"/>
          </w:tcPr>
          <w:p w14:paraId="D71F0000">
            <w:pPr>
              <w:widowControl w:val="1"/>
              <w:ind/>
              <w:contextualSpacing w:val="1"/>
              <w:jc w:val="center"/>
              <w:rPr>
                <w:sz w:val="22"/>
              </w:rPr>
            </w:pPr>
            <w:r>
              <w:rPr>
                <w:sz w:val="22"/>
              </w:rPr>
              <w:t>счет № 1352 от 20.08.2018</w:t>
            </w:r>
          </w:p>
        </w:tc>
        <w:tc>
          <w:tcPr>
            <w:tcW w:type="dxa" w:w="1274"/>
            <w:tcBorders>
              <w:top w:color="000000" w:sz="4" w:val="single"/>
              <w:left w:color="000000" w:sz="4" w:val="single"/>
              <w:bottom w:color="000000" w:sz="4" w:val="single"/>
              <w:right w:color="000000" w:sz="4" w:val="single"/>
            </w:tcBorders>
            <w:shd w:fill="FFFFFF" w:val="clear"/>
            <w:vAlign w:val="center"/>
          </w:tcPr>
          <w:p w14:paraId="D81F0000">
            <w:pPr>
              <w:widowControl w:val="1"/>
              <w:ind/>
              <w:contextualSpacing w:val="1"/>
              <w:jc w:val="center"/>
              <w:rPr>
                <w:sz w:val="22"/>
              </w:rPr>
            </w:pPr>
            <w:r>
              <w:rPr>
                <w:sz w:val="22"/>
              </w:rPr>
              <w:t>20.08.2018-30.08.2018</w:t>
            </w:r>
          </w:p>
        </w:tc>
        <w:tc>
          <w:tcPr>
            <w:tcW w:type="dxa" w:w="1556"/>
            <w:tcBorders>
              <w:top w:color="000000" w:sz="4" w:val="single"/>
              <w:left w:color="000000" w:sz="4" w:val="single"/>
              <w:bottom w:color="000000" w:sz="4" w:val="single"/>
              <w:right w:color="000000" w:sz="4" w:val="single"/>
            </w:tcBorders>
            <w:shd w:fill="FFFFFF" w:val="clear"/>
            <w:vAlign w:val="center"/>
          </w:tcPr>
          <w:p w14:paraId="D91F0000">
            <w:pPr>
              <w:widowControl w:val="1"/>
              <w:ind/>
              <w:contextualSpacing w:val="1"/>
              <w:jc w:val="center"/>
              <w:rPr>
                <w:sz w:val="22"/>
              </w:rPr>
            </w:pPr>
            <w:r>
              <w:rPr>
                <w:sz w:val="22"/>
              </w:rPr>
              <w:t>поставка доски флипчарт</w:t>
            </w:r>
          </w:p>
        </w:tc>
        <w:tc>
          <w:tcPr>
            <w:tcW w:type="dxa" w:w="1194"/>
            <w:tcBorders>
              <w:top w:color="000000" w:sz="4" w:val="single"/>
              <w:left w:color="000000" w:sz="4" w:val="single"/>
              <w:bottom w:color="000000" w:sz="4" w:val="single"/>
              <w:right w:color="000000" w:sz="4" w:val="single"/>
            </w:tcBorders>
            <w:shd w:fill="FFFFFF" w:val="clear"/>
            <w:vAlign w:val="center"/>
          </w:tcPr>
          <w:p w14:paraId="DA1F0000">
            <w:pPr>
              <w:widowControl w:val="1"/>
              <w:ind/>
              <w:contextualSpacing w:val="1"/>
              <w:jc w:val="center"/>
              <w:rPr>
                <w:sz w:val="22"/>
              </w:rPr>
            </w:pPr>
            <w:r>
              <w:rPr>
                <w:sz w:val="22"/>
              </w:rPr>
              <w:t>7825,00</w:t>
            </w:r>
          </w:p>
        </w:tc>
        <w:tc>
          <w:tcPr>
            <w:tcW w:type="dxa" w:w="1221"/>
            <w:tcBorders>
              <w:top w:color="000000" w:sz="4" w:val="single"/>
              <w:left w:color="000000" w:sz="4" w:val="single"/>
              <w:bottom w:color="000000" w:sz="4" w:val="single"/>
              <w:right w:color="000000" w:sz="4" w:val="single"/>
            </w:tcBorders>
            <w:shd w:fill="FFFFFF" w:val="clear"/>
            <w:vAlign w:val="center"/>
          </w:tcPr>
          <w:p w14:paraId="DB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C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D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E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DF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E01F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E11F0000">
            <w:pPr>
              <w:widowControl w:val="1"/>
              <w:ind/>
              <w:contextualSpacing w:val="1"/>
              <w:jc w:val="center"/>
              <w:rPr>
                <w:color w:val="000000"/>
                <w:sz w:val="22"/>
              </w:rPr>
            </w:pPr>
            <w:r>
              <w:rPr>
                <w:color w:val="000000"/>
                <w:sz w:val="22"/>
              </w:rPr>
              <w:t>итого по контрагенту ООО "Клад" 196216,9</w:t>
            </w:r>
          </w:p>
          <w:p w14:paraId="E21F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E31F0000">
            <w:pPr>
              <w:widowControl w:val="1"/>
              <w:ind/>
              <w:contextualSpacing w:val="1"/>
              <w:rPr>
                <w:color w:val="000000"/>
                <w:sz w:val="22"/>
              </w:rPr>
            </w:pPr>
            <w:r>
              <w:rPr>
                <w:color w:val="000000"/>
                <w:sz w:val="22"/>
              </w:rPr>
              <w:t>96</w:t>
            </w:r>
          </w:p>
        </w:tc>
        <w:tc>
          <w:tcPr>
            <w:tcW w:type="dxa" w:w="1408"/>
            <w:tcBorders>
              <w:top w:color="000000" w:sz="4" w:val="single"/>
              <w:left w:color="000000" w:sz="4" w:val="single"/>
              <w:bottom w:color="000000" w:sz="4" w:val="single"/>
              <w:right w:color="000000" w:sz="4" w:val="single"/>
            </w:tcBorders>
            <w:shd w:fill="FFFFFF" w:val="clear"/>
            <w:vAlign w:val="center"/>
          </w:tcPr>
          <w:p w14:paraId="E41F0000">
            <w:pPr>
              <w:widowControl w:val="1"/>
              <w:ind/>
              <w:contextualSpacing w:val="1"/>
              <w:jc w:val="center"/>
              <w:rPr>
                <w:sz w:val="22"/>
              </w:rPr>
            </w:pPr>
            <w:r>
              <w:rPr>
                <w:sz w:val="22"/>
              </w:rPr>
              <w:t>ООО "Курс"</w:t>
            </w:r>
          </w:p>
        </w:tc>
        <w:tc>
          <w:tcPr>
            <w:tcW w:type="dxa" w:w="1408"/>
            <w:tcBorders>
              <w:top w:color="000000" w:sz="4" w:val="single"/>
              <w:left w:color="000000" w:sz="4" w:val="single"/>
              <w:bottom w:color="000000" w:sz="4" w:val="single"/>
              <w:right w:color="000000" w:sz="4" w:val="single"/>
            </w:tcBorders>
            <w:shd w:fill="FFFFFF" w:val="clear"/>
            <w:vAlign w:val="center"/>
          </w:tcPr>
          <w:p w14:paraId="E51F0000">
            <w:pPr>
              <w:widowControl w:val="1"/>
              <w:ind/>
              <w:contextualSpacing w:val="1"/>
              <w:jc w:val="center"/>
              <w:rPr>
                <w:sz w:val="22"/>
              </w:rPr>
            </w:pPr>
            <w:r>
              <w:rPr>
                <w:sz w:val="22"/>
              </w:rPr>
              <w:t>договор № 36 от 27.02.2018</w:t>
            </w:r>
          </w:p>
        </w:tc>
        <w:tc>
          <w:tcPr>
            <w:tcW w:type="dxa" w:w="1274"/>
            <w:tcBorders>
              <w:top w:color="000000" w:sz="4" w:val="single"/>
              <w:left w:color="000000" w:sz="4" w:val="single"/>
              <w:bottom w:color="000000" w:sz="4" w:val="single"/>
              <w:right w:color="000000" w:sz="4" w:val="single"/>
            </w:tcBorders>
            <w:shd w:fill="FFFFFF" w:val="clear"/>
            <w:vAlign w:val="center"/>
          </w:tcPr>
          <w:p w14:paraId="E61F0000">
            <w:pPr>
              <w:widowControl w:val="1"/>
              <w:ind/>
              <w:contextualSpacing w:val="1"/>
              <w:jc w:val="center"/>
              <w:rPr>
                <w:sz w:val="22"/>
              </w:rPr>
            </w:pPr>
            <w:r>
              <w:rPr>
                <w:sz w:val="22"/>
              </w:rPr>
              <w:t>27.02.2018-31.12.2018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E71F0000">
            <w:pPr>
              <w:widowControl w:val="1"/>
              <w:ind/>
              <w:contextualSpacing w:val="1"/>
              <w:jc w:val="center"/>
              <w:rPr>
                <w:sz w:val="22"/>
              </w:rPr>
            </w:pPr>
            <w:r>
              <w:rPr>
                <w:sz w:val="22"/>
              </w:rPr>
              <w:t>Поставка никель-кадмиевых аккумуляторов НК 55П для электропоездов ЭД9М 217, 218, 219</w:t>
            </w:r>
          </w:p>
        </w:tc>
        <w:tc>
          <w:tcPr>
            <w:tcW w:type="dxa" w:w="1194"/>
            <w:tcBorders>
              <w:top w:color="000000" w:sz="4" w:val="single"/>
              <w:left w:color="000000" w:sz="4" w:val="single"/>
              <w:bottom w:color="000000" w:sz="4" w:val="single"/>
              <w:right w:color="000000" w:sz="4" w:val="single"/>
            </w:tcBorders>
            <w:shd w:fill="FFFFFF" w:val="clear"/>
            <w:vAlign w:val="center"/>
          </w:tcPr>
          <w:p w14:paraId="E81F0000">
            <w:pPr>
              <w:widowControl w:val="1"/>
              <w:ind/>
              <w:contextualSpacing w:val="1"/>
              <w:jc w:val="center"/>
              <w:rPr>
                <w:sz w:val="22"/>
              </w:rPr>
            </w:pPr>
            <w:r>
              <w:rPr>
                <w:sz w:val="22"/>
              </w:rPr>
              <w:t>493240</w:t>
            </w:r>
          </w:p>
        </w:tc>
        <w:tc>
          <w:tcPr>
            <w:tcW w:type="dxa" w:w="1221"/>
            <w:tcBorders>
              <w:top w:color="000000" w:sz="4" w:val="single"/>
              <w:left w:color="000000" w:sz="4" w:val="single"/>
              <w:bottom w:color="000000" w:sz="4" w:val="single"/>
              <w:right w:color="000000" w:sz="4" w:val="single"/>
            </w:tcBorders>
            <w:shd w:fill="FFFFFF" w:val="clear"/>
            <w:vAlign w:val="center"/>
          </w:tcPr>
          <w:p w14:paraId="E9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A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B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C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ED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EE1F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EF1F0000">
            <w:pPr>
              <w:widowControl w:val="1"/>
              <w:ind/>
              <w:contextualSpacing w:val="1"/>
              <w:rPr>
                <w:color w:val="000000"/>
                <w:sz w:val="22"/>
              </w:rPr>
            </w:pPr>
            <w:r>
              <w:rPr>
                <w:color w:val="000000"/>
                <w:sz w:val="22"/>
              </w:rPr>
              <w:t>97</w:t>
            </w:r>
          </w:p>
        </w:tc>
        <w:tc>
          <w:tcPr>
            <w:tcW w:type="dxa" w:w="1408"/>
            <w:tcBorders>
              <w:top w:color="000000" w:sz="4" w:val="single"/>
              <w:left w:color="000000" w:sz="4" w:val="single"/>
              <w:bottom w:color="000000" w:sz="4" w:val="single"/>
              <w:right w:color="000000" w:sz="4" w:val="single"/>
            </w:tcBorders>
            <w:shd w:fill="FFFFFF" w:val="clear"/>
            <w:vAlign w:val="center"/>
          </w:tcPr>
          <w:p w14:paraId="F01F0000">
            <w:pPr>
              <w:widowControl w:val="1"/>
              <w:ind/>
              <w:contextualSpacing w:val="1"/>
              <w:jc w:val="center"/>
              <w:rPr>
                <w:sz w:val="22"/>
              </w:rPr>
            </w:pPr>
            <w:r>
              <w:rPr>
                <w:sz w:val="22"/>
              </w:rPr>
              <w:t>ООО "Курс"</w:t>
            </w:r>
          </w:p>
        </w:tc>
        <w:tc>
          <w:tcPr>
            <w:tcW w:type="dxa" w:w="1408"/>
            <w:tcBorders>
              <w:top w:color="000000" w:sz="4" w:val="single"/>
              <w:left w:color="000000" w:sz="4" w:val="single"/>
              <w:bottom w:color="000000" w:sz="4" w:val="single"/>
              <w:right w:color="000000" w:sz="4" w:val="single"/>
            </w:tcBorders>
            <w:shd w:fill="FFFFFF" w:val="clear"/>
            <w:vAlign w:val="center"/>
          </w:tcPr>
          <w:p w14:paraId="F11F0000">
            <w:pPr>
              <w:widowControl w:val="1"/>
              <w:ind/>
              <w:contextualSpacing w:val="1"/>
              <w:jc w:val="center"/>
              <w:rPr>
                <w:sz w:val="22"/>
              </w:rPr>
            </w:pPr>
            <w:r>
              <w:rPr>
                <w:sz w:val="22"/>
              </w:rPr>
              <w:t>дополнительное соглашение № 1 к договору № 36 от 27.02.2018 от 10.04.2018</w:t>
            </w:r>
          </w:p>
        </w:tc>
        <w:tc>
          <w:tcPr>
            <w:tcW w:type="dxa" w:w="1274"/>
            <w:tcBorders>
              <w:top w:color="000000" w:sz="4" w:val="single"/>
              <w:left w:color="000000" w:sz="4" w:val="single"/>
              <w:bottom w:color="000000" w:sz="4" w:val="single"/>
              <w:right w:color="000000" w:sz="4" w:val="single"/>
            </w:tcBorders>
            <w:shd w:fill="FFFFFF" w:val="clear"/>
            <w:vAlign w:val="center"/>
          </w:tcPr>
          <w:p w14:paraId="F21F0000">
            <w:pPr>
              <w:widowControl w:val="1"/>
              <w:ind/>
              <w:contextualSpacing w:val="1"/>
              <w:jc w:val="center"/>
              <w:rPr>
                <w:sz w:val="22"/>
              </w:rPr>
            </w:pPr>
            <w:r>
              <w:rPr>
                <w:sz w:val="22"/>
              </w:rPr>
              <w:t>27.02.2018-31.12.2018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F31F0000">
            <w:pPr>
              <w:widowControl w:val="1"/>
              <w:ind/>
              <w:contextualSpacing w:val="1"/>
              <w:jc w:val="center"/>
              <w:rPr>
                <w:sz w:val="22"/>
              </w:rPr>
            </w:pPr>
            <w:r>
              <w:rPr>
                <w:sz w:val="22"/>
              </w:rPr>
              <w:t>уменьшение объема Поставки никель-кадмиевых аккумуляторов НК 55П для электропоездов ЭД9М 217, 218, 219, уменьшение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F41F0000">
            <w:pPr>
              <w:widowControl w:val="1"/>
              <w:ind/>
              <w:contextualSpacing w:val="1"/>
              <w:jc w:val="center"/>
              <w:rPr>
                <w:sz w:val="22"/>
              </w:rPr>
            </w:pPr>
            <w:r>
              <w:rPr>
                <w:sz w:val="22"/>
              </w:rPr>
              <w:t>467280</w:t>
            </w:r>
          </w:p>
        </w:tc>
        <w:tc>
          <w:tcPr>
            <w:tcW w:type="dxa" w:w="1221"/>
            <w:tcBorders>
              <w:top w:color="000000" w:sz="4" w:val="single"/>
              <w:left w:color="000000" w:sz="4" w:val="single"/>
              <w:bottom w:color="000000" w:sz="4" w:val="single"/>
              <w:right w:color="000000" w:sz="4" w:val="single"/>
            </w:tcBorders>
            <w:shd w:fill="FFFFFF" w:val="clear"/>
            <w:vAlign w:val="center"/>
          </w:tcPr>
          <w:p w14:paraId="F51F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61F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71F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81F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F91F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FA1F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FB1F0000">
            <w:pPr>
              <w:widowControl w:val="1"/>
              <w:ind/>
              <w:contextualSpacing w:val="1"/>
              <w:jc w:val="center"/>
              <w:rPr>
                <w:color w:val="000000"/>
                <w:sz w:val="22"/>
              </w:rPr>
            </w:pPr>
            <w:r>
              <w:rPr>
                <w:color w:val="000000"/>
                <w:sz w:val="22"/>
              </w:rPr>
              <w:t>итого по контрагенту ООО "Курс"467280 руб.</w:t>
            </w:r>
          </w:p>
          <w:p w14:paraId="FC1F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FD1F0000">
            <w:pPr>
              <w:widowControl w:val="1"/>
              <w:ind/>
              <w:contextualSpacing w:val="1"/>
              <w:rPr>
                <w:color w:val="000000"/>
                <w:sz w:val="22"/>
              </w:rPr>
            </w:pPr>
            <w:r>
              <w:rPr>
                <w:color w:val="000000"/>
                <w:sz w:val="22"/>
              </w:rPr>
              <w:t>98</w:t>
            </w:r>
          </w:p>
        </w:tc>
        <w:tc>
          <w:tcPr>
            <w:tcW w:type="dxa" w:w="1408"/>
            <w:tcBorders>
              <w:top w:color="000000" w:sz="4" w:val="single"/>
              <w:left w:color="000000" w:sz="4" w:val="single"/>
              <w:bottom w:color="000000" w:sz="4" w:val="single"/>
              <w:right w:color="000000" w:sz="4" w:val="single"/>
            </w:tcBorders>
            <w:shd w:fill="FFFFFF" w:val="clear"/>
            <w:vAlign w:val="center"/>
          </w:tcPr>
          <w:p w14:paraId="FE1F0000">
            <w:pPr>
              <w:widowControl w:val="1"/>
              <w:ind/>
              <w:contextualSpacing w:val="1"/>
              <w:jc w:val="center"/>
              <w:rPr>
                <w:sz w:val="22"/>
              </w:rPr>
            </w:pPr>
            <w:r>
              <w:rPr>
                <w:sz w:val="22"/>
              </w:rPr>
              <w:t>ООО "Итео"</w:t>
            </w:r>
          </w:p>
        </w:tc>
        <w:tc>
          <w:tcPr>
            <w:tcW w:type="dxa" w:w="1408"/>
            <w:tcBorders>
              <w:top w:color="000000" w:sz="4" w:val="single"/>
              <w:left w:color="000000" w:sz="4" w:val="single"/>
              <w:bottom w:color="000000" w:sz="4" w:val="single"/>
              <w:right w:color="000000" w:sz="4" w:val="single"/>
            </w:tcBorders>
            <w:shd w:fill="FFFFFF" w:val="clear"/>
            <w:vAlign w:val="center"/>
          </w:tcPr>
          <w:p w14:paraId="FF1F0000">
            <w:pPr>
              <w:widowControl w:val="1"/>
              <w:ind/>
              <w:contextualSpacing w:val="1"/>
              <w:jc w:val="center"/>
              <w:rPr>
                <w:sz w:val="22"/>
              </w:rPr>
            </w:pPr>
            <w:r>
              <w:rPr>
                <w:sz w:val="22"/>
              </w:rPr>
              <w:t>договор № 45 от 15.03.2018</w:t>
            </w:r>
          </w:p>
        </w:tc>
        <w:tc>
          <w:tcPr>
            <w:tcW w:type="dxa" w:w="1274"/>
            <w:tcBorders>
              <w:top w:color="000000" w:sz="4" w:val="single"/>
              <w:left w:color="000000" w:sz="4" w:val="single"/>
              <w:bottom w:color="000000" w:sz="4" w:val="single"/>
              <w:right w:color="000000" w:sz="4" w:val="single"/>
            </w:tcBorders>
            <w:shd w:fill="FFFFFF" w:val="clear"/>
            <w:vAlign w:val="center"/>
          </w:tcPr>
          <w:p w14:paraId="00200000">
            <w:pPr>
              <w:widowControl w:val="1"/>
              <w:ind/>
              <w:contextualSpacing w:val="1"/>
              <w:jc w:val="center"/>
              <w:rPr>
                <w:sz w:val="22"/>
              </w:rPr>
            </w:pPr>
            <w:r>
              <w:rPr>
                <w:sz w:val="22"/>
              </w:rPr>
              <w:t>15.03.2018-11.04.2018</w:t>
            </w:r>
          </w:p>
        </w:tc>
        <w:tc>
          <w:tcPr>
            <w:tcW w:type="dxa" w:w="1556"/>
            <w:tcBorders>
              <w:top w:color="000000" w:sz="4" w:val="single"/>
              <w:left w:color="000000" w:sz="4" w:val="single"/>
              <w:bottom w:color="000000" w:sz="4" w:val="single"/>
              <w:right w:color="000000" w:sz="4" w:val="single"/>
            </w:tcBorders>
            <w:shd w:fill="FFFFFF" w:val="clear"/>
            <w:vAlign w:val="center"/>
          </w:tcPr>
          <w:p w14:paraId="01200000">
            <w:pPr>
              <w:widowControl w:val="1"/>
              <w:ind/>
              <w:contextualSpacing w:val="1"/>
              <w:jc w:val="center"/>
              <w:rPr>
                <w:sz w:val="22"/>
              </w:rPr>
            </w:pPr>
            <w:r>
              <w:rPr>
                <w:sz w:val="22"/>
              </w:rPr>
              <w:t>оказание услуг  по изготовлению рекламно-информационного ролика о развитии пассажирских перевозок</w:t>
            </w:r>
          </w:p>
        </w:tc>
        <w:tc>
          <w:tcPr>
            <w:tcW w:type="dxa" w:w="1194"/>
            <w:tcBorders>
              <w:top w:color="000000" w:sz="4" w:val="single"/>
              <w:left w:color="000000" w:sz="4" w:val="single"/>
              <w:bottom w:color="000000" w:sz="4" w:val="single"/>
              <w:right w:color="000000" w:sz="4" w:val="single"/>
            </w:tcBorders>
            <w:shd w:fill="FFFFFF" w:val="clear"/>
            <w:vAlign w:val="center"/>
          </w:tcPr>
          <w:p w14:paraId="02200000">
            <w:pPr>
              <w:widowControl w:val="1"/>
              <w:ind/>
              <w:contextualSpacing w:val="1"/>
              <w:jc w:val="center"/>
              <w:rPr>
                <w:sz w:val="22"/>
              </w:rPr>
            </w:pPr>
            <w:r>
              <w:rPr>
                <w:sz w:val="22"/>
              </w:rPr>
              <w:t>290000</w:t>
            </w:r>
          </w:p>
        </w:tc>
        <w:tc>
          <w:tcPr>
            <w:tcW w:type="dxa" w:w="1221"/>
            <w:tcBorders>
              <w:top w:color="000000" w:sz="4" w:val="single"/>
              <w:left w:color="000000" w:sz="4" w:val="single"/>
              <w:bottom w:color="000000" w:sz="4" w:val="single"/>
              <w:right w:color="000000" w:sz="4" w:val="single"/>
            </w:tcBorders>
            <w:shd w:fill="FFFFFF" w:val="clear"/>
            <w:vAlign w:val="center"/>
          </w:tcPr>
          <w:p w14:paraId="03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4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5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0620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07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820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2400"/>
        </w:trPr>
        <w:tc>
          <w:tcPr>
            <w:tcW w:type="dxa" w:w="528"/>
            <w:tcBorders>
              <w:top w:color="000000" w:sz="4" w:val="single"/>
              <w:left w:color="000000" w:sz="4" w:val="single"/>
              <w:bottom w:color="000000" w:sz="4" w:val="single"/>
              <w:right w:color="000000" w:sz="4" w:val="single"/>
            </w:tcBorders>
            <w:shd w:fill="FFFFFF" w:val="clear"/>
            <w:vAlign w:val="center"/>
          </w:tcPr>
          <w:p w14:paraId="09200000">
            <w:pPr>
              <w:widowControl w:val="1"/>
              <w:ind/>
              <w:contextualSpacing w:val="1"/>
              <w:rPr>
                <w:color w:val="000000"/>
                <w:sz w:val="22"/>
              </w:rPr>
            </w:pPr>
            <w:r>
              <w:rPr>
                <w:color w:val="000000"/>
                <w:sz w:val="22"/>
              </w:rPr>
              <w:t>99</w:t>
            </w:r>
          </w:p>
        </w:tc>
        <w:tc>
          <w:tcPr>
            <w:tcW w:type="dxa" w:w="1408"/>
            <w:tcBorders>
              <w:top w:color="000000" w:sz="4" w:val="single"/>
              <w:left w:color="000000" w:sz="4" w:val="single"/>
              <w:bottom w:color="000000" w:sz="4" w:val="single"/>
              <w:right w:color="000000" w:sz="4" w:val="single"/>
            </w:tcBorders>
            <w:shd w:fill="FFFFFF" w:val="clear"/>
            <w:vAlign w:val="center"/>
          </w:tcPr>
          <w:p w14:paraId="0A200000">
            <w:pPr>
              <w:widowControl w:val="1"/>
              <w:ind/>
              <w:contextualSpacing w:val="1"/>
              <w:jc w:val="center"/>
              <w:rPr>
                <w:sz w:val="22"/>
              </w:rPr>
            </w:pPr>
            <w:r>
              <w:rPr>
                <w:sz w:val="22"/>
              </w:rPr>
              <w:t>ООО "Коммуникационная Группа Событие"</w:t>
            </w:r>
          </w:p>
        </w:tc>
        <w:tc>
          <w:tcPr>
            <w:tcW w:type="dxa" w:w="1408"/>
            <w:tcBorders>
              <w:top w:color="000000" w:sz="4" w:val="single"/>
              <w:left w:color="000000" w:sz="4" w:val="single"/>
              <w:bottom w:color="000000" w:sz="4" w:val="single"/>
              <w:right w:color="000000" w:sz="4" w:val="single"/>
            </w:tcBorders>
            <w:shd w:fill="FFFFFF" w:val="clear"/>
            <w:vAlign w:val="center"/>
          </w:tcPr>
          <w:p w14:paraId="0B200000">
            <w:pPr>
              <w:widowControl w:val="1"/>
              <w:ind/>
              <w:contextualSpacing w:val="1"/>
              <w:jc w:val="center"/>
              <w:rPr>
                <w:sz w:val="22"/>
              </w:rPr>
            </w:pPr>
            <w:r>
              <w:rPr>
                <w:sz w:val="22"/>
              </w:rPr>
              <w:t>договор № 46 от 16.03.2018</w:t>
            </w:r>
          </w:p>
        </w:tc>
        <w:tc>
          <w:tcPr>
            <w:tcW w:type="dxa" w:w="1274"/>
            <w:tcBorders>
              <w:top w:color="000000" w:sz="4" w:val="single"/>
              <w:left w:color="000000" w:sz="4" w:val="single"/>
              <w:bottom w:color="000000" w:sz="4" w:val="single"/>
              <w:right w:color="000000" w:sz="4" w:val="single"/>
            </w:tcBorders>
            <w:shd w:fill="FFFFFF" w:val="clear"/>
            <w:vAlign w:val="center"/>
          </w:tcPr>
          <w:p w14:paraId="0C200000">
            <w:pPr>
              <w:widowControl w:val="1"/>
              <w:ind/>
              <w:contextualSpacing w:val="1"/>
              <w:jc w:val="center"/>
              <w:rPr>
                <w:sz w:val="22"/>
              </w:rPr>
            </w:pPr>
            <w:r>
              <w:rPr>
                <w:sz w:val="22"/>
              </w:rPr>
              <w:t>16.03.2018-11.04.2018</w:t>
            </w:r>
          </w:p>
        </w:tc>
        <w:tc>
          <w:tcPr>
            <w:tcW w:type="dxa" w:w="1556"/>
            <w:tcBorders>
              <w:top w:color="000000" w:sz="4" w:val="single"/>
              <w:left w:color="000000" w:sz="4" w:val="single"/>
              <w:bottom w:color="000000" w:sz="4" w:val="single"/>
              <w:right w:color="000000" w:sz="4" w:val="single"/>
            </w:tcBorders>
            <w:shd w:fill="FFFFFF" w:val="clear"/>
            <w:vAlign w:val="center"/>
          </w:tcPr>
          <w:p w14:paraId="0D200000">
            <w:pPr>
              <w:widowControl w:val="1"/>
              <w:ind/>
              <w:contextualSpacing w:val="1"/>
              <w:jc w:val="center"/>
              <w:rPr>
                <w:sz w:val="22"/>
              </w:rPr>
            </w:pPr>
            <w:r>
              <w:rPr>
                <w:sz w:val="22"/>
              </w:rPr>
              <w:t>Оказание услуг по организации, проведению и обеспечению участия одного представителя АО "Краспригород" (билетного кассира) в Общероссийском смотр-конкурсе "Лучший билетный кассир"</w:t>
            </w:r>
          </w:p>
        </w:tc>
        <w:tc>
          <w:tcPr>
            <w:tcW w:type="dxa" w:w="1194"/>
            <w:tcBorders>
              <w:top w:color="000000" w:sz="4" w:val="single"/>
              <w:left w:color="000000" w:sz="4" w:val="single"/>
              <w:bottom w:color="000000" w:sz="4" w:val="single"/>
              <w:right w:color="000000" w:sz="4" w:val="single"/>
            </w:tcBorders>
            <w:shd w:fill="FFFFFF" w:val="clear"/>
            <w:vAlign w:val="center"/>
          </w:tcPr>
          <w:p w14:paraId="0E200000">
            <w:pPr>
              <w:widowControl w:val="1"/>
              <w:ind/>
              <w:contextualSpacing w:val="1"/>
              <w:jc w:val="center"/>
              <w:rPr>
                <w:sz w:val="22"/>
              </w:rPr>
            </w:pPr>
            <w:r>
              <w:rPr>
                <w:sz w:val="22"/>
              </w:rPr>
              <w:t>215000</w:t>
            </w:r>
          </w:p>
        </w:tc>
        <w:tc>
          <w:tcPr>
            <w:tcW w:type="dxa" w:w="1221"/>
            <w:tcBorders>
              <w:top w:color="000000" w:sz="4" w:val="single"/>
              <w:left w:color="000000" w:sz="4" w:val="single"/>
              <w:bottom w:color="000000" w:sz="4" w:val="single"/>
              <w:right w:color="000000" w:sz="4" w:val="single"/>
            </w:tcBorders>
            <w:shd w:fill="FFFFFF" w:val="clear"/>
            <w:vAlign w:val="center"/>
          </w:tcPr>
          <w:p w14:paraId="0F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0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1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220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13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1420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15200000">
            <w:pPr>
              <w:widowControl w:val="1"/>
              <w:ind/>
              <w:contextualSpacing w:val="1"/>
              <w:rPr>
                <w:color w:val="000000"/>
                <w:sz w:val="22"/>
              </w:rPr>
            </w:pPr>
            <w:r>
              <w:rPr>
                <w:color w:val="000000"/>
                <w:sz w:val="22"/>
              </w:rPr>
              <w:t>100</w:t>
            </w:r>
          </w:p>
        </w:tc>
        <w:tc>
          <w:tcPr>
            <w:tcW w:type="dxa" w:w="1408"/>
            <w:tcBorders>
              <w:top w:color="000000" w:sz="4" w:val="single"/>
              <w:left w:color="000000" w:sz="4" w:val="single"/>
              <w:bottom w:color="000000" w:sz="4" w:val="single"/>
              <w:right w:color="000000" w:sz="4" w:val="single"/>
            </w:tcBorders>
            <w:shd w:fill="FFFFFF" w:val="clear"/>
            <w:vAlign w:val="center"/>
          </w:tcPr>
          <w:p w14:paraId="16200000">
            <w:pPr>
              <w:widowControl w:val="1"/>
              <w:ind/>
              <w:contextualSpacing w:val="1"/>
              <w:jc w:val="center"/>
              <w:rPr>
                <w:sz w:val="22"/>
              </w:rPr>
            </w:pPr>
            <w:r>
              <w:rPr>
                <w:sz w:val="22"/>
              </w:rPr>
              <w:t>ООО "Орион телеком"</w:t>
            </w:r>
          </w:p>
        </w:tc>
        <w:tc>
          <w:tcPr>
            <w:tcW w:type="dxa" w:w="1408"/>
            <w:tcBorders>
              <w:top w:color="000000" w:sz="4" w:val="single"/>
              <w:left w:color="000000" w:sz="4" w:val="single"/>
              <w:bottom w:color="000000" w:sz="4" w:val="single"/>
              <w:right w:color="000000" w:sz="4" w:val="single"/>
            </w:tcBorders>
            <w:shd w:fill="FFFFFF" w:val="clear"/>
            <w:vAlign w:val="center"/>
          </w:tcPr>
          <w:p w14:paraId="17200000">
            <w:pPr>
              <w:widowControl w:val="1"/>
              <w:ind/>
              <w:contextualSpacing w:val="1"/>
              <w:jc w:val="center"/>
              <w:rPr>
                <w:sz w:val="22"/>
              </w:rPr>
            </w:pPr>
            <w:r>
              <w:rPr>
                <w:sz w:val="22"/>
              </w:rPr>
              <w:t>договор № 9 от 29.01.2018</w:t>
            </w:r>
          </w:p>
        </w:tc>
        <w:tc>
          <w:tcPr>
            <w:tcW w:type="dxa" w:w="1274"/>
            <w:tcBorders>
              <w:top w:color="000000" w:sz="4" w:val="single"/>
              <w:left w:color="000000" w:sz="4" w:val="single"/>
              <w:bottom w:color="000000" w:sz="4" w:val="single"/>
              <w:right w:color="000000" w:sz="4" w:val="single"/>
            </w:tcBorders>
            <w:shd w:fill="FFFFFF" w:val="clear"/>
            <w:vAlign w:val="center"/>
          </w:tcPr>
          <w:p w14:paraId="1820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19200000">
            <w:pPr>
              <w:widowControl w:val="1"/>
              <w:ind/>
              <w:contextualSpacing w:val="1"/>
              <w:jc w:val="center"/>
              <w:rPr>
                <w:sz w:val="22"/>
              </w:rPr>
            </w:pPr>
            <w:r>
              <w:rPr>
                <w:sz w:val="22"/>
              </w:rPr>
              <w:t>оказание услуг связи</w:t>
            </w:r>
          </w:p>
        </w:tc>
        <w:tc>
          <w:tcPr>
            <w:tcW w:type="dxa" w:w="1194"/>
            <w:tcBorders>
              <w:top w:color="000000" w:sz="4" w:val="single"/>
              <w:left w:color="000000" w:sz="4" w:val="single"/>
              <w:bottom w:color="000000" w:sz="4" w:val="single"/>
              <w:right w:color="000000" w:sz="4" w:val="single"/>
            </w:tcBorders>
            <w:shd w:fill="FFFFFF" w:val="clear"/>
            <w:vAlign w:val="center"/>
          </w:tcPr>
          <w:p w14:paraId="1A200000">
            <w:pPr>
              <w:widowControl w:val="1"/>
              <w:ind/>
              <w:contextualSpacing w:val="1"/>
              <w:jc w:val="center"/>
              <w:rPr>
                <w:sz w:val="22"/>
              </w:rPr>
            </w:pPr>
            <w:r>
              <w:rPr>
                <w:sz w:val="22"/>
              </w:rPr>
              <w:t>86280</w:t>
            </w:r>
          </w:p>
        </w:tc>
        <w:tc>
          <w:tcPr>
            <w:tcW w:type="dxa" w:w="1221"/>
            <w:tcBorders>
              <w:top w:color="000000" w:sz="4" w:val="single"/>
              <w:left w:color="000000" w:sz="4" w:val="single"/>
              <w:bottom w:color="000000" w:sz="4" w:val="single"/>
              <w:right w:color="000000" w:sz="4" w:val="single"/>
            </w:tcBorders>
            <w:shd w:fill="FFFFFF" w:val="clear"/>
            <w:vAlign w:val="center"/>
          </w:tcPr>
          <w:p w14:paraId="1B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C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D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E20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1F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20200000">
            <w:pPr>
              <w:widowControl w:val="1"/>
              <w:ind/>
              <w:contextualSpacing w:val="1"/>
              <w:jc w:val="center"/>
              <w:rPr>
                <w:sz w:val="22"/>
              </w:rPr>
            </w:pPr>
            <w:r>
              <w:rPr>
                <w:sz w:val="22"/>
              </w:rPr>
              <w:t>Размещение заказа у единственного поставщика, согласно пп. 7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1200000">
            <w:pPr>
              <w:widowControl w:val="1"/>
              <w:ind/>
              <w:contextualSpacing w:val="1"/>
              <w:rPr>
                <w:color w:val="000000"/>
                <w:sz w:val="22"/>
              </w:rPr>
            </w:pPr>
            <w:r>
              <w:rPr>
                <w:color w:val="000000"/>
                <w:sz w:val="22"/>
              </w:rPr>
              <w:t>101</w:t>
            </w:r>
          </w:p>
        </w:tc>
        <w:tc>
          <w:tcPr>
            <w:tcW w:type="dxa" w:w="1408"/>
            <w:tcBorders>
              <w:top w:color="000000" w:sz="4" w:val="single"/>
              <w:left w:color="000000" w:sz="4" w:val="single"/>
              <w:bottom w:color="000000" w:sz="4" w:val="single"/>
              <w:right w:color="000000" w:sz="4" w:val="single"/>
            </w:tcBorders>
            <w:shd w:fill="FFFFFF" w:val="clear"/>
            <w:vAlign w:val="center"/>
          </w:tcPr>
          <w:p w14:paraId="22200000">
            <w:pPr>
              <w:widowControl w:val="1"/>
              <w:ind/>
              <w:contextualSpacing w:val="1"/>
              <w:jc w:val="center"/>
              <w:rPr>
                <w:sz w:val="22"/>
              </w:rPr>
            </w:pPr>
            <w:r>
              <w:rPr>
                <w:sz w:val="22"/>
              </w:rPr>
              <w:t>ООО "Орион телеком"</w:t>
            </w:r>
          </w:p>
        </w:tc>
        <w:tc>
          <w:tcPr>
            <w:tcW w:type="dxa" w:w="1408"/>
            <w:tcBorders>
              <w:top w:color="000000" w:sz="4" w:val="single"/>
              <w:left w:color="000000" w:sz="4" w:val="single"/>
              <w:bottom w:color="000000" w:sz="4" w:val="single"/>
              <w:right w:color="000000" w:sz="4" w:val="single"/>
            </w:tcBorders>
            <w:shd w:fill="FFFFFF" w:val="clear"/>
            <w:vAlign w:val="center"/>
          </w:tcPr>
          <w:p w14:paraId="23200000">
            <w:pPr>
              <w:widowControl w:val="1"/>
              <w:ind/>
              <w:contextualSpacing w:val="1"/>
              <w:jc w:val="center"/>
              <w:rPr>
                <w:sz w:val="22"/>
              </w:rPr>
            </w:pPr>
            <w:r>
              <w:rPr>
                <w:sz w:val="22"/>
              </w:rPr>
              <w:t>договор № 10 от 29.01.2018</w:t>
            </w:r>
          </w:p>
        </w:tc>
        <w:tc>
          <w:tcPr>
            <w:tcW w:type="dxa" w:w="1274"/>
            <w:tcBorders>
              <w:top w:color="000000" w:sz="4" w:val="single"/>
              <w:left w:color="000000" w:sz="4" w:val="single"/>
              <w:bottom w:color="000000" w:sz="4" w:val="single"/>
              <w:right w:color="000000" w:sz="4" w:val="single"/>
            </w:tcBorders>
            <w:shd w:fill="FFFFFF" w:val="clear"/>
            <w:vAlign w:val="center"/>
          </w:tcPr>
          <w:p w14:paraId="2420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25200000">
            <w:pPr>
              <w:widowControl w:val="1"/>
              <w:ind/>
              <w:contextualSpacing w:val="1"/>
              <w:jc w:val="center"/>
              <w:rPr>
                <w:sz w:val="22"/>
              </w:rPr>
            </w:pPr>
            <w:r>
              <w:rPr>
                <w:sz w:val="22"/>
              </w:rPr>
              <w:t>оказание услуг связи VLAN</w:t>
            </w:r>
          </w:p>
        </w:tc>
        <w:tc>
          <w:tcPr>
            <w:tcW w:type="dxa" w:w="1194"/>
            <w:tcBorders>
              <w:top w:color="000000" w:sz="4" w:val="single"/>
              <w:left w:color="000000" w:sz="4" w:val="single"/>
              <w:bottom w:color="000000" w:sz="4" w:val="single"/>
              <w:right w:color="000000" w:sz="4" w:val="single"/>
            </w:tcBorders>
            <w:shd w:fill="FFFFFF" w:val="clear"/>
            <w:vAlign w:val="center"/>
          </w:tcPr>
          <w:p w14:paraId="26200000">
            <w:pPr>
              <w:widowControl w:val="1"/>
              <w:ind/>
              <w:contextualSpacing w:val="1"/>
              <w:jc w:val="center"/>
              <w:rPr>
                <w:sz w:val="22"/>
              </w:rPr>
            </w:pPr>
            <w:r>
              <w:rPr>
                <w:sz w:val="22"/>
              </w:rPr>
              <w:t>62400</w:t>
            </w:r>
          </w:p>
        </w:tc>
        <w:tc>
          <w:tcPr>
            <w:tcW w:type="dxa" w:w="1221"/>
            <w:tcBorders>
              <w:top w:color="000000" w:sz="4" w:val="single"/>
              <w:left w:color="000000" w:sz="4" w:val="single"/>
              <w:bottom w:color="000000" w:sz="4" w:val="single"/>
              <w:right w:color="000000" w:sz="4" w:val="single"/>
            </w:tcBorders>
            <w:shd w:fill="FFFFFF" w:val="clear"/>
            <w:vAlign w:val="center"/>
          </w:tcPr>
          <w:p w14:paraId="27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8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9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A20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2B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2C200000">
            <w:pPr>
              <w:widowControl w:val="1"/>
              <w:ind/>
              <w:contextualSpacing w:val="1"/>
              <w:jc w:val="center"/>
              <w:rPr>
                <w:sz w:val="22"/>
              </w:rPr>
            </w:pPr>
            <w:r>
              <w:rPr>
                <w:sz w:val="22"/>
              </w:rPr>
              <w:t>Размещение заказа у единственного поставщика, согласно пп. 7 п. 81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2D200000">
            <w:pPr>
              <w:widowControl w:val="1"/>
              <w:ind/>
              <w:contextualSpacing w:val="1"/>
              <w:jc w:val="center"/>
              <w:rPr>
                <w:color w:val="000000"/>
                <w:sz w:val="22"/>
              </w:rPr>
            </w:pPr>
            <w:r>
              <w:rPr>
                <w:color w:val="000000"/>
                <w:sz w:val="22"/>
              </w:rPr>
              <w:t>итого по контрагенту ООО "Орион телеком" 148680 руб.</w:t>
            </w:r>
          </w:p>
          <w:p w14:paraId="2E20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F200000">
            <w:pPr>
              <w:widowControl w:val="1"/>
              <w:ind/>
              <w:contextualSpacing w:val="1"/>
              <w:rPr>
                <w:color w:val="000000"/>
                <w:sz w:val="22"/>
              </w:rPr>
            </w:pPr>
            <w:r>
              <w:rPr>
                <w:color w:val="000000"/>
                <w:sz w:val="22"/>
              </w:rPr>
              <w:t>102</w:t>
            </w:r>
          </w:p>
        </w:tc>
        <w:tc>
          <w:tcPr>
            <w:tcW w:type="dxa" w:w="1408"/>
            <w:tcBorders>
              <w:top w:color="000000" w:sz="4" w:val="single"/>
              <w:left w:color="000000" w:sz="4" w:val="single"/>
              <w:bottom w:color="000000" w:sz="4" w:val="single"/>
              <w:right w:color="000000" w:sz="4" w:val="single"/>
            </w:tcBorders>
            <w:shd w:fill="FFFFFF" w:val="clear"/>
            <w:vAlign w:val="center"/>
          </w:tcPr>
          <w:p w14:paraId="30200000">
            <w:pPr>
              <w:widowControl w:val="1"/>
              <w:ind/>
              <w:contextualSpacing w:val="1"/>
              <w:jc w:val="center"/>
              <w:rPr>
                <w:sz w:val="22"/>
              </w:rPr>
            </w:pPr>
            <w:r>
              <w:rPr>
                <w:sz w:val="22"/>
              </w:rPr>
              <w:t>ООО "НБК Трейд"</w:t>
            </w:r>
          </w:p>
        </w:tc>
        <w:tc>
          <w:tcPr>
            <w:tcW w:type="dxa" w:w="1408"/>
            <w:tcBorders>
              <w:top w:color="000000" w:sz="4" w:val="single"/>
              <w:left w:color="000000" w:sz="4" w:val="single"/>
              <w:bottom w:color="000000" w:sz="4" w:val="single"/>
              <w:right w:color="000000" w:sz="4" w:val="single"/>
            </w:tcBorders>
            <w:shd w:fill="FFFFFF" w:val="clear"/>
            <w:vAlign w:val="center"/>
          </w:tcPr>
          <w:p w14:paraId="31200000">
            <w:pPr>
              <w:widowControl w:val="1"/>
              <w:ind/>
              <w:contextualSpacing w:val="1"/>
              <w:jc w:val="center"/>
              <w:rPr>
                <w:sz w:val="22"/>
              </w:rPr>
            </w:pPr>
            <w:r>
              <w:rPr>
                <w:sz w:val="22"/>
              </w:rPr>
              <w:t>договор № 41 от 28.02.2018</w:t>
            </w:r>
          </w:p>
        </w:tc>
        <w:tc>
          <w:tcPr>
            <w:tcW w:type="dxa" w:w="1274"/>
            <w:tcBorders>
              <w:top w:color="000000" w:sz="4" w:val="single"/>
              <w:left w:color="000000" w:sz="4" w:val="single"/>
              <w:bottom w:color="000000" w:sz="4" w:val="single"/>
              <w:right w:color="000000" w:sz="4" w:val="single"/>
            </w:tcBorders>
            <w:shd w:fill="FFFFFF" w:val="clear"/>
            <w:vAlign w:val="center"/>
          </w:tcPr>
          <w:p w14:paraId="32200000">
            <w:pPr>
              <w:widowControl w:val="1"/>
              <w:ind/>
              <w:contextualSpacing w:val="1"/>
              <w:jc w:val="center"/>
              <w:rPr>
                <w:sz w:val="22"/>
              </w:rPr>
            </w:pPr>
            <w:r>
              <w:rPr>
                <w:sz w:val="22"/>
              </w:rPr>
              <w:t>28.02.2018-31.12.2018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33200000">
            <w:pPr>
              <w:widowControl w:val="1"/>
              <w:ind/>
              <w:contextualSpacing w:val="1"/>
              <w:jc w:val="center"/>
              <w:rPr>
                <w:sz w:val="22"/>
              </w:rPr>
            </w:pPr>
            <w:r>
              <w:rPr>
                <w:sz w:val="22"/>
              </w:rPr>
              <w:t>поставка чековой ленты</w:t>
            </w:r>
          </w:p>
        </w:tc>
        <w:tc>
          <w:tcPr>
            <w:tcW w:type="dxa" w:w="1194"/>
            <w:tcBorders>
              <w:top w:color="000000" w:sz="4" w:val="single"/>
              <w:left w:color="000000" w:sz="4" w:val="single"/>
              <w:bottom w:color="000000" w:sz="4" w:val="single"/>
              <w:right w:color="000000" w:sz="4" w:val="single"/>
            </w:tcBorders>
            <w:shd w:fill="FFFFFF" w:val="clear"/>
            <w:vAlign w:val="center"/>
          </w:tcPr>
          <w:p w14:paraId="34200000">
            <w:pPr>
              <w:widowControl w:val="1"/>
              <w:ind/>
              <w:contextualSpacing w:val="1"/>
              <w:jc w:val="center"/>
              <w:rPr>
                <w:sz w:val="22"/>
              </w:rPr>
            </w:pPr>
            <w:r>
              <w:rPr>
                <w:sz w:val="22"/>
              </w:rPr>
              <w:t>501582</w:t>
            </w:r>
          </w:p>
        </w:tc>
        <w:tc>
          <w:tcPr>
            <w:tcW w:type="dxa" w:w="1221"/>
            <w:tcBorders>
              <w:top w:color="000000" w:sz="4" w:val="single"/>
              <w:left w:color="000000" w:sz="4" w:val="single"/>
              <w:bottom w:color="000000" w:sz="4" w:val="single"/>
              <w:right w:color="000000" w:sz="4" w:val="single"/>
            </w:tcBorders>
            <w:shd w:fill="FFFFFF" w:val="clear"/>
            <w:vAlign w:val="center"/>
          </w:tcPr>
          <w:p w14:paraId="35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36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37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820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39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A200000">
            <w:pPr>
              <w:widowControl w:val="1"/>
              <w:ind/>
              <w:contextualSpacing w:val="1"/>
              <w:jc w:val="center"/>
              <w:rPr>
                <w:sz w:val="22"/>
              </w:rPr>
            </w:pPr>
            <w:r>
              <w:rPr>
                <w:sz w:val="22"/>
              </w:rPr>
              <w:t>Протокол КК № 3 от 19.02.2018</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B200000">
            <w:pPr>
              <w:widowControl w:val="1"/>
              <w:ind/>
              <w:contextualSpacing w:val="1"/>
              <w:rPr>
                <w:color w:val="000000"/>
                <w:sz w:val="22"/>
              </w:rPr>
            </w:pPr>
            <w:r>
              <w:rPr>
                <w:color w:val="000000"/>
                <w:sz w:val="22"/>
              </w:rPr>
              <w:t>103</w:t>
            </w:r>
          </w:p>
        </w:tc>
        <w:tc>
          <w:tcPr>
            <w:tcW w:type="dxa" w:w="1408"/>
            <w:tcBorders>
              <w:top w:color="000000" w:sz="4" w:val="single"/>
              <w:left w:color="000000" w:sz="4" w:val="single"/>
              <w:bottom w:color="000000" w:sz="4" w:val="single"/>
              <w:right w:color="000000" w:sz="4" w:val="single"/>
            </w:tcBorders>
            <w:shd w:fill="FFFFFF" w:val="clear"/>
            <w:vAlign w:val="center"/>
          </w:tcPr>
          <w:p w14:paraId="3C200000">
            <w:pPr>
              <w:widowControl w:val="1"/>
              <w:ind/>
              <w:contextualSpacing w:val="1"/>
              <w:jc w:val="center"/>
              <w:rPr>
                <w:sz w:val="22"/>
              </w:rPr>
            </w:pPr>
            <w:r>
              <w:rPr>
                <w:sz w:val="22"/>
              </w:rPr>
              <w:t>ООО "Развитие"</w:t>
            </w:r>
          </w:p>
        </w:tc>
        <w:tc>
          <w:tcPr>
            <w:tcW w:type="dxa" w:w="1408"/>
            <w:tcBorders>
              <w:top w:color="000000" w:sz="4" w:val="single"/>
              <w:left w:color="000000" w:sz="4" w:val="single"/>
              <w:bottom w:color="000000" w:sz="4" w:val="single"/>
              <w:right w:color="000000" w:sz="4" w:val="single"/>
            </w:tcBorders>
            <w:shd w:fill="FFFFFF" w:val="clear"/>
            <w:vAlign w:val="center"/>
          </w:tcPr>
          <w:p w14:paraId="3D200000">
            <w:pPr>
              <w:widowControl w:val="1"/>
              <w:ind/>
              <w:contextualSpacing w:val="1"/>
              <w:jc w:val="center"/>
              <w:rPr>
                <w:sz w:val="22"/>
              </w:rPr>
            </w:pPr>
            <w:r>
              <w:rPr>
                <w:sz w:val="22"/>
              </w:rPr>
              <w:t>договор № 48 от 20.02.2018</w:t>
            </w:r>
          </w:p>
        </w:tc>
        <w:tc>
          <w:tcPr>
            <w:tcW w:type="dxa" w:w="1274"/>
            <w:tcBorders>
              <w:top w:color="000000" w:sz="4" w:val="single"/>
              <w:left w:color="000000" w:sz="4" w:val="single"/>
              <w:bottom w:color="000000" w:sz="4" w:val="single"/>
              <w:right w:color="000000" w:sz="4" w:val="single"/>
            </w:tcBorders>
            <w:shd w:fill="FFFFFF" w:val="clear"/>
            <w:vAlign w:val="center"/>
          </w:tcPr>
          <w:p w14:paraId="3E200000">
            <w:pPr>
              <w:widowControl w:val="1"/>
              <w:ind/>
              <w:contextualSpacing w:val="1"/>
              <w:jc w:val="center"/>
              <w:rPr>
                <w:sz w:val="22"/>
              </w:rPr>
            </w:pPr>
            <w:r>
              <w:rPr>
                <w:sz w:val="22"/>
              </w:rPr>
              <w:t>01.03.2018-31.01.2019</w:t>
            </w:r>
          </w:p>
        </w:tc>
        <w:tc>
          <w:tcPr>
            <w:tcW w:type="dxa" w:w="1556"/>
            <w:tcBorders>
              <w:top w:color="000000" w:sz="4" w:val="single"/>
              <w:left w:color="000000" w:sz="4" w:val="single"/>
              <w:bottom w:color="000000" w:sz="4" w:val="single"/>
              <w:right w:color="000000" w:sz="4" w:val="single"/>
            </w:tcBorders>
            <w:shd w:fill="FFFFFF" w:val="clear"/>
            <w:vAlign w:val="center"/>
          </w:tcPr>
          <w:p w14:paraId="3F200000">
            <w:pPr>
              <w:widowControl w:val="1"/>
              <w:ind/>
              <w:contextualSpacing w:val="1"/>
              <w:jc w:val="center"/>
              <w:rPr>
                <w:sz w:val="22"/>
              </w:rPr>
            </w:pPr>
            <w:r>
              <w:rPr>
                <w:sz w:val="22"/>
              </w:rPr>
              <w:t>субаренда нежилых помещений для размещения офиса компании</w:t>
            </w:r>
          </w:p>
        </w:tc>
        <w:tc>
          <w:tcPr>
            <w:tcW w:type="dxa" w:w="1194"/>
            <w:tcBorders>
              <w:top w:color="000000" w:sz="4" w:val="single"/>
              <w:left w:color="000000" w:sz="4" w:val="single"/>
              <w:bottom w:color="000000" w:sz="4" w:val="single"/>
              <w:right w:color="000000" w:sz="4" w:val="single"/>
            </w:tcBorders>
            <w:shd w:fill="FFFFFF" w:val="clear"/>
            <w:vAlign w:val="center"/>
          </w:tcPr>
          <w:p w14:paraId="40200000">
            <w:pPr>
              <w:widowControl w:val="1"/>
              <w:ind/>
              <w:contextualSpacing w:val="1"/>
              <w:jc w:val="center"/>
              <w:rPr>
                <w:sz w:val="22"/>
              </w:rPr>
            </w:pPr>
            <w:r>
              <w:rPr>
                <w:sz w:val="22"/>
              </w:rPr>
              <w:t>801513,55</w:t>
            </w:r>
          </w:p>
        </w:tc>
        <w:tc>
          <w:tcPr>
            <w:tcW w:type="dxa" w:w="1221"/>
            <w:tcBorders>
              <w:top w:color="000000" w:sz="4" w:val="single"/>
              <w:left w:color="000000" w:sz="4" w:val="single"/>
              <w:bottom w:color="000000" w:sz="4" w:val="single"/>
              <w:right w:color="000000" w:sz="4" w:val="single"/>
            </w:tcBorders>
            <w:shd w:fill="FFFFFF" w:val="clear"/>
            <w:vAlign w:val="center"/>
          </w:tcPr>
          <w:p w14:paraId="41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2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3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420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45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46200000">
            <w:pPr>
              <w:widowControl w:val="1"/>
              <w:ind/>
              <w:contextualSpacing w:val="1"/>
              <w:jc w:val="center"/>
              <w:rPr>
                <w:sz w:val="22"/>
              </w:rPr>
            </w:pPr>
            <w:r>
              <w:rPr>
                <w:sz w:val="22"/>
              </w:rPr>
              <w:t>Размещение заказа у единственного поставщика, согласно пп. 1 п. 81  положения утвержденного СД 30.04.2015г. Протокол № 13</w:t>
            </w:r>
          </w:p>
        </w:tc>
      </w:tr>
      <w:tr>
        <w:trPr>
          <w:trHeight w:hRule="atLeast" w:val="2324"/>
        </w:trPr>
        <w:tc>
          <w:tcPr>
            <w:tcW w:type="dxa" w:w="528"/>
            <w:tcBorders>
              <w:top w:color="000000" w:sz="4" w:val="single"/>
              <w:left w:color="000000" w:sz="4" w:val="single"/>
              <w:bottom w:color="000000" w:sz="4" w:val="single"/>
              <w:right w:color="000000" w:sz="4" w:val="single"/>
            </w:tcBorders>
            <w:shd w:fill="FFFFFF" w:val="clear"/>
            <w:vAlign w:val="center"/>
          </w:tcPr>
          <w:p w14:paraId="47200000">
            <w:pPr>
              <w:widowControl w:val="1"/>
              <w:ind/>
              <w:contextualSpacing w:val="1"/>
              <w:rPr>
                <w:color w:val="000000"/>
                <w:sz w:val="22"/>
              </w:rPr>
            </w:pPr>
            <w:r>
              <w:rPr>
                <w:color w:val="000000"/>
                <w:sz w:val="22"/>
              </w:rPr>
              <w:t>104</w:t>
            </w:r>
          </w:p>
        </w:tc>
        <w:tc>
          <w:tcPr>
            <w:tcW w:type="dxa" w:w="1408"/>
            <w:tcBorders>
              <w:top w:color="000000" w:sz="4" w:val="single"/>
              <w:left w:color="000000" w:sz="4" w:val="single"/>
              <w:bottom w:color="000000" w:sz="4" w:val="single"/>
              <w:right w:color="000000" w:sz="4" w:val="single"/>
            </w:tcBorders>
            <w:shd w:fill="FFFFFF" w:val="clear"/>
            <w:vAlign w:val="center"/>
          </w:tcPr>
          <w:p w14:paraId="48200000">
            <w:pPr>
              <w:widowControl w:val="1"/>
              <w:ind/>
              <w:contextualSpacing w:val="1"/>
              <w:jc w:val="center"/>
              <w:rPr>
                <w:sz w:val="22"/>
              </w:rPr>
            </w:pPr>
            <w:r>
              <w:rPr>
                <w:sz w:val="22"/>
              </w:rPr>
              <w:t>ООО "Развитие"</w:t>
            </w:r>
          </w:p>
        </w:tc>
        <w:tc>
          <w:tcPr>
            <w:tcW w:type="dxa" w:w="1408"/>
            <w:tcBorders>
              <w:top w:color="000000" w:sz="4" w:val="single"/>
              <w:left w:color="000000" w:sz="4" w:val="single"/>
              <w:bottom w:color="000000" w:sz="4" w:val="single"/>
              <w:right w:color="000000" w:sz="4" w:val="single"/>
            </w:tcBorders>
            <w:shd w:fill="FFFFFF" w:val="clear"/>
            <w:vAlign w:val="center"/>
          </w:tcPr>
          <w:p w14:paraId="49200000">
            <w:pPr>
              <w:widowControl w:val="1"/>
              <w:ind/>
              <w:contextualSpacing w:val="1"/>
              <w:jc w:val="center"/>
              <w:rPr>
                <w:sz w:val="22"/>
              </w:rPr>
            </w:pPr>
            <w:r>
              <w:rPr>
                <w:sz w:val="22"/>
              </w:rPr>
              <w:t>договор № 78 от 04.06.2018</w:t>
            </w:r>
          </w:p>
        </w:tc>
        <w:tc>
          <w:tcPr>
            <w:tcW w:type="dxa" w:w="1274"/>
            <w:tcBorders>
              <w:top w:color="000000" w:sz="4" w:val="single"/>
              <w:left w:color="000000" w:sz="4" w:val="single"/>
              <w:bottom w:color="000000" w:sz="4" w:val="single"/>
              <w:right w:color="000000" w:sz="4" w:val="single"/>
            </w:tcBorders>
            <w:shd w:fill="FFFFFF" w:val="clear"/>
            <w:vAlign w:val="center"/>
          </w:tcPr>
          <w:p w14:paraId="4A200000">
            <w:pPr>
              <w:widowControl w:val="1"/>
              <w:ind/>
              <w:contextualSpacing w:val="1"/>
              <w:jc w:val="center"/>
              <w:rPr>
                <w:sz w:val="22"/>
              </w:rPr>
            </w:pPr>
            <w:r>
              <w:rPr>
                <w:sz w:val="22"/>
              </w:rPr>
              <w:t>01.07.2018-30.09.2018</w:t>
            </w:r>
          </w:p>
        </w:tc>
        <w:tc>
          <w:tcPr>
            <w:tcW w:type="dxa" w:w="1556"/>
            <w:tcBorders>
              <w:top w:color="000000" w:sz="4" w:val="single"/>
              <w:left w:color="000000" w:sz="4" w:val="single"/>
              <w:bottom w:color="000000" w:sz="4" w:val="single"/>
              <w:right w:color="000000" w:sz="4" w:val="single"/>
            </w:tcBorders>
            <w:shd w:fill="FFFFFF" w:val="clear"/>
            <w:vAlign w:val="center"/>
          </w:tcPr>
          <w:p w14:paraId="4B200000">
            <w:pPr>
              <w:widowControl w:val="1"/>
              <w:ind/>
              <w:contextualSpacing w:val="1"/>
              <w:jc w:val="center"/>
              <w:rPr>
                <w:sz w:val="22"/>
              </w:rPr>
            </w:pPr>
            <w:r>
              <w:rPr>
                <w:sz w:val="22"/>
              </w:rPr>
              <w:t>аренда нежилых помещений для размещения офиса компании</w:t>
            </w:r>
          </w:p>
        </w:tc>
        <w:tc>
          <w:tcPr>
            <w:tcW w:type="dxa" w:w="1194"/>
            <w:tcBorders>
              <w:top w:color="000000" w:sz="4" w:val="single"/>
              <w:left w:color="000000" w:sz="4" w:val="single"/>
              <w:bottom w:color="000000" w:sz="4" w:val="single"/>
              <w:right w:color="000000" w:sz="4" w:val="single"/>
            </w:tcBorders>
            <w:shd w:fill="FFFFFF" w:val="clear"/>
            <w:vAlign w:val="center"/>
          </w:tcPr>
          <w:p w14:paraId="4C200000">
            <w:pPr>
              <w:widowControl w:val="1"/>
              <w:ind/>
              <w:contextualSpacing w:val="1"/>
              <w:jc w:val="center"/>
              <w:rPr>
                <w:sz w:val="22"/>
              </w:rPr>
            </w:pPr>
            <w:r>
              <w:rPr>
                <w:sz w:val="22"/>
              </w:rPr>
              <w:t>914628</w:t>
            </w:r>
          </w:p>
        </w:tc>
        <w:tc>
          <w:tcPr>
            <w:tcW w:type="dxa" w:w="1221"/>
            <w:tcBorders>
              <w:top w:color="000000" w:sz="4" w:val="single"/>
              <w:left w:color="000000" w:sz="4" w:val="single"/>
              <w:bottom w:color="000000" w:sz="4" w:val="single"/>
              <w:right w:color="000000" w:sz="4" w:val="single"/>
            </w:tcBorders>
            <w:shd w:fill="FFFFFF" w:val="clear"/>
            <w:vAlign w:val="center"/>
          </w:tcPr>
          <w:p w14:paraId="4D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E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F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020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51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52200000">
            <w:pPr>
              <w:widowControl w:val="1"/>
              <w:ind/>
              <w:contextualSpacing w:val="1"/>
              <w:jc w:val="center"/>
              <w:rPr>
                <w:sz w:val="22"/>
              </w:rPr>
            </w:pPr>
            <w:r>
              <w:rPr>
                <w:sz w:val="22"/>
              </w:rPr>
              <w:t>Размещение заказа у единственного поставщика, согласно пп. 1 п. 81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53200000">
            <w:pPr>
              <w:widowControl w:val="1"/>
              <w:ind/>
              <w:contextualSpacing w:val="1"/>
              <w:jc w:val="center"/>
              <w:rPr>
                <w:color w:val="000000"/>
                <w:sz w:val="22"/>
              </w:rPr>
            </w:pPr>
            <w:r>
              <w:rPr>
                <w:color w:val="000000"/>
                <w:sz w:val="22"/>
              </w:rPr>
              <w:t>итого по контрагенту ООО "Развитие" 1716141,55 руб.</w:t>
            </w:r>
          </w:p>
          <w:p w14:paraId="5420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55200000">
            <w:pPr>
              <w:widowControl w:val="1"/>
              <w:ind/>
              <w:contextualSpacing w:val="1"/>
              <w:rPr>
                <w:color w:val="000000"/>
                <w:sz w:val="22"/>
              </w:rPr>
            </w:pPr>
            <w:r>
              <w:rPr>
                <w:color w:val="000000"/>
                <w:sz w:val="22"/>
              </w:rPr>
              <w:t>105</w:t>
            </w:r>
          </w:p>
        </w:tc>
        <w:tc>
          <w:tcPr>
            <w:tcW w:type="dxa" w:w="1408"/>
            <w:tcBorders>
              <w:top w:color="000000" w:sz="4" w:val="single"/>
              <w:left w:color="000000" w:sz="4" w:val="single"/>
              <w:bottom w:color="000000" w:sz="4" w:val="single"/>
              <w:right w:color="000000" w:sz="4" w:val="single"/>
            </w:tcBorders>
            <w:shd w:fill="FFFFFF" w:val="clear"/>
            <w:vAlign w:val="center"/>
          </w:tcPr>
          <w:p w14:paraId="56200000">
            <w:pPr>
              <w:widowControl w:val="1"/>
              <w:ind/>
              <w:contextualSpacing w:val="1"/>
              <w:jc w:val="center"/>
              <w:rPr>
                <w:sz w:val="22"/>
              </w:rPr>
            </w:pPr>
            <w:r>
              <w:rPr>
                <w:sz w:val="22"/>
              </w:rPr>
              <w:t>ООО "Сатурн"</w:t>
            </w:r>
          </w:p>
        </w:tc>
        <w:tc>
          <w:tcPr>
            <w:tcW w:type="dxa" w:w="1408"/>
            <w:tcBorders>
              <w:top w:color="000000" w:sz="4" w:val="single"/>
              <w:left w:color="000000" w:sz="4" w:val="single"/>
              <w:bottom w:color="000000" w:sz="4" w:val="single"/>
              <w:right w:color="000000" w:sz="4" w:val="single"/>
            </w:tcBorders>
            <w:shd w:fill="FFFFFF" w:val="clear"/>
            <w:vAlign w:val="center"/>
          </w:tcPr>
          <w:p w14:paraId="57200000">
            <w:pPr>
              <w:widowControl w:val="1"/>
              <w:ind/>
              <w:contextualSpacing w:val="1"/>
              <w:jc w:val="center"/>
              <w:rPr>
                <w:sz w:val="22"/>
              </w:rPr>
            </w:pPr>
            <w:r>
              <w:rPr>
                <w:sz w:val="22"/>
              </w:rPr>
              <w:t>договор № 37 от 28.02.2018</w:t>
            </w:r>
          </w:p>
        </w:tc>
        <w:tc>
          <w:tcPr>
            <w:tcW w:type="dxa" w:w="1274"/>
            <w:tcBorders>
              <w:top w:color="000000" w:sz="4" w:val="single"/>
              <w:left w:color="000000" w:sz="4" w:val="single"/>
              <w:bottom w:color="000000" w:sz="4" w:val="single"/>
              <w:right w:color="000000" w:sz="4" w:val="single"/>
            </w:tcBorders>
            <w:shd w:fill="FFFFFF" w:val="clear"/>
            <w:vAlign w:val="center"/>
          </w:tcPr>
          <w:p w14:paraId="58200000">
            <w:pPr>
              <w:widowControl w:val="1"/>
              <w:ind/>
              <w:contextualSpacing w:val="1"/>
              <w:jc w:val="center"/>
              <w:rPr>
                <w:sz w:val="22"/>
              </w:rPr>
            </w:pPr>
            <w:r>
              <w:rPr>
                <w:sz w:val="22"/>
              </w:rPr>
              <w:t>28.02.2018-31.01.2019</w:t>
            </w:r>
          </w:p>
        </w:tc>
        <w:tc>
          <w:tcPr>
            <w:tcW w:type="dxa" w:w="1556"/>
            <w:tcBorders>
              <w:top w:color="000000" w:sz="4" w:val="single"/>
              <w:left w:color="000000" w:sz="4" w:val="single"/>
              <w:bottom w:color="000000" w:sz="4" w:val="single"/>
              <w:right w:color="000000" w:sz="4" w:val="single"/>
            </w:tcBorders>
            <w:shd w:fill="FFFFFF" w:val="clear"/>
            <w:vAlign w:val="center"/>
          </w:tcPr>
          <w:p w14:paraId="59200000">
            <w:pPr>
              <w:widowControl w:val="1"/>
              <w:ind/>
              <w:contextualSpacing w:val="1"/>
              <w:jc w:val="center"/>
              <w:rPr>
                <w:sz w:val="22"/>
              </w:rPr>
            </w:pPr>
            <w:r>
              <w:rPr>
                <w:sz w:val="22"/>
              </w:rPr>
              <w:t>оказание услуг по техническому обслуживанию и ремонту компьютерного оборудования</w:t>
            </w:r>
          </w:p>
        </w:tc>
        <w:tc>
          <w:tcPr>
            <w:tcW w:type="dxa" w:w="1194"/>
            <w:tcBorders>
              <w:top w:color="000000" w:sz="4" w:val="single"/>
              <w:left w:color="000000" w:sz="4" w:val="single"/>
              <w:bottom w:color="000000" w:sz="4" w:val="single"/>
              <w:right w:color="000000" w:sz="4" w:val="single"/>
            </w:tcBorders>
            <w:shd w:fill="FFFFFF" w:val="clear"/>
            <w:vAlign w:val="center"/>
          </w:tcPr>
          <w:p w14:paraId="5A200000">
            <w:pPr>
              <w:widowControl w:val="1"/>
              <w:ind/>
              <w:contextualSpacing w:val="1"/>
              <w:jc w:val="center"/>
              <w:rPr>
                <w:sz w:val="22"/>
              </w:rPr>
            </w:pPr>
            <w:r>
              <w:rPr>
                <w:sz w:val="22"/>
              </w:rPr>
              <w:t>263498</w:t>
            </w:r>
          </w:p>
        </w:tc>
        <w:tc>
          <w:tcPr>
            <w:tcW w:type="dxa" w:w="1221"/>
            <w:tcBorders>
              <w:top w:color="000000" w:sz="4" w:val="single"/>
              <w:left w:color="000000" w:sz="4" w:val="single"/>
              <w:bottom w:color="000000" w:sz="4" w:val="single"/>
              <w:right w:color="000000" w:sz="4" w:val="single"/>
            </w:tcBorders>
            <w:shd w:fill="FFFFFF" w:val="clear"/>
            <w:vAlign w:val="center"/>
          </w:tcPr>
          <w:p w14:paraId="5B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C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D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E20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5F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6020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61200000">
            <w:pPr>
              <w:widowControl w:val="1"/>
              <w:ind/>
              <w:contextualSpacing w:val="1"/>
              <w:rPr>
                <w:color w:val="000000"/>
                <w:sz w:val="22"/>
              </w:rPr>
            </w:pPr>
            <w:r>
              <w:rPr>
                <w:color w:val="000000"/>
                <w:sz w:val="22"/>
              </w:rPr>
              <w:t>106</w:t>
            </w:r>
          </w:p>
        </w:tc>
        <w:tc>
          <w:tcPr>
            <w:tcW w:type="dxa" w:w="1408"/>
            <w:tcBorders>
              <w:top w:color="000000" w:sz="4" w:val="single"/>
              <w:left w:color="000000" w:sz="4" w:val="single"/>
              <w:bottom w:color="000000" w:sz="4" w:val="single"/>
              <w:right w:color="000000" w:sz="4" w:val="single"/>
            </w:tcBorders>
            <w:shd w:fill="FFFFFF" w:val="clear"/>
            <w:vAlign w:val="center"/>
          </w:tcPr>
          <w:p w14:paraId="62200000">
            <w:pPr>
              <w:widowControl w:val="1"/>
              <w:ind/>
              <w:contextualSpacing w:val="1"/>
              <w:jc w:val="center"/>
              <w:rPr>
                <w:sz w:val="22"/>
              </w:rPr>
            </w:pPr>
            <w:r>
              <w:rPr>
                <w:sz w:val="22"/>
              </w:rPr>
              <w:t>ООО "Регион24"</w:t>
            </w:r>
          </w:p>
        </w:tc>
        <w:tc>
          <w:tcPr>
            <w:tcW w:type="dxa" w:w="1408"/>
            <w:tcBorders>
              <w:top w:color="000000" w:sz="4" w:val="single"/>
              <w:left w:color="000000" w:sz="4" w:val="single"/>
              <w:bottom w:color="000000" w:sz="4" w:val="single"/>
              <w:right w:color="000000" w:sz="4" w:val="single"/>
            </w:tcBorders>
            <w:shd w:fill="FFFFFF" w:val="clear"/>
            <w:vAlign w:val="center"/>
          </w:tcPr>
          <w:p w14:paraId="63200000">
            <w:pPr>
              <w:widowControl w:val="1"/>
              <w:ind/>
              <w:contextualSpacing w:val="1"/>
              <w:jc w:val="center"/>
              <w:rPr>
                <w:sz w:val="22"/>
              </w:rPr>
            </w:pPr>
            <w:r>
              <w:rPr>
                <w:sz w:val="22"/>
              </w:rPr>
              <w:t>договор № 4 от 28.02.2018</w:t>
            </w:r>
          </w:p>
        </w:tc>
        <w:tc>
          <w:tcPr>
            <w:tcW w:type="dxa" w:w="1274"/>
            <w:tcBorders>
              <w:top w:color="000000" w:sz="4" w:val="single"/>
              <w:left w:color="000000" w:sz="4" w:val="single"/>
              <w:bottom w:color="000000" w:sz="4" w:val="single"/>
              <w:right w:color="000000" w:sz="4" w:val="single"/>
            </w:tcBorders>
            <w:shd w:fill="FFFFFF" w:val="clear"/>
            <w:vAlign w:val="center"/>
          </w:tcPr>
          <w:p w14:paraId="64200000">
            <w:pPr>
              <w:widowControl w:val="1"/>
              <w:ind/>
              <w:contextualSpacing w:val="1"/>
              <w:jc w:val="center"/>
              <w:rPr>
                <w:sz w:val="22"/>
              </w:rPr>
            </w:pPr>
            <w:r>
              <w:rPr>
                <w:sz w:val="22"/>
              </w:rPr>
              <w:t>28.02.2018-31.12.2018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65200000">
            <w:pPr>
              <w:widowControl w:val="1"/>
              <w:ind/>
              <w:contextualSpacing w:val="1"/>
              <w:jc w:val="center"/>
              <w:rPr>
                <w:sz w:val="22"/>
              </w:rPr>
            </w:pPr>
            <w:r>
              <w:rPr>
                <w:sz w:val="22"/>
              </w:rPr>
              <w:t>Оказание услуг по оформлению и доставке авиабилетов на рейсы авиакомпаний</w:t>
            </w:r>
          </w:p>
        </w:tc>
        <w:tc>
          <w:tcPr>
            <w:tcW w:type="dxa" w:w="1194"/>
            <w:tcBorders>
              <w:top w:color="000000" w:sz="4" w:val="single"/>
              <w:left w:color="000000" w:sz="4" w:val="single"/>
              <w:bottom w:color="000000" w:sz="4" w:val="single"/>
              <w:right w:color="000000" w:sz="4" w:val="single"/>
            </w:tcBorders>
            <w:shd w:fill="FFFFFF" w:val="clear"/>
            <w:vAlign w:val="center"/>
          </w:tcPr>
          <w:p w14:paraId="66200000">
            <w:pPr>
              <w:widowControl w:val="1"/>
              <w:ind/>
              <w:contextualSpacing w:val="1"/>
              <w:jc w:val="center"/>
              <w:rPr>
                <w:sz w:val="22"/>
              </w:rPr>
            </w:pPr>
            <w:r>
              <w:rPr>
                <w:sz w:val="22"/>
              </w:rPr>
              <w:t>99000</w:t>
            </w:r>
          </w:p>
        </w:tc>
        <w:tc>
          <w:tcPr>
            <w:tcW w:type="dxa" w:w="1221"/>
            <w:tcBorders>
              <w:top w:color="000000" w:sz="4" w:val="single"/>
              <w:left w:color="000000" w:sz="4" w:val="single"/>
              <w:bottom w:color="000000" w:sz="4" w:val="single"/>
              <w:right w:color="000000" w:sz="4" w:val="single"/>
            </w:tcBorders>
            <w:shd w:fill="FFFFFF" w:val="clear"/>
            <w:vAlign w:val="center"/>
          </w:tcPr>
          <w:p w14:paraId="67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8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9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A20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6B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6C20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6D200000">
            <w:pPr>
              <w:widowControl w:val="1"/>
              <w:ind/>
              <w:contextualSpacing w:val="1"/>
              <w:rPr>
                <w:color w:val="000000"/>
                <w:sz w:val="22"/>
              </w:rPr>
            </w:pPr>
            <w:r>
              <w:rPr>
                <w:color w:val="000000"/>
                <w:sz w:val="22"/>
              </w:rPr>
              <w:t>107</w:t>
            </w:r>
          </w:p>
        </w:tc>
        <w:tc>
          <w:tcPr>
            <w:tcW w:type="dxa" w:w="1408"/>
            <w:tcBorders>
              <w:top w:color="000000" w:sz="4" w:val="single"/>
              <w:left w:color="000000" w:sz="4" w:val="single"/>
              <w:bottom w:color="000000" w:sz="4" w:val="single"/>
              <w:right w:color="000000" w:sz="4" w:val="single"/>
            </w:tcBorders>
            <w:shd w:fill="FFFFFF" w:val="clear"/>
            <w:vAlign w:val="center"/>
          </w:tcPr>
          <w:p w14:paraId="6E200000">
            <w:pPr>
              <w:widowControl w:val="1"/>
              <w:ind/>
              <w:contextualSpacing w:val="1"/>
              <w:jc w:val="center"/>
              <w:rPr>
                <w:sz w:val="22"/>
              </w:rPr>
            </w:pPr>
            <w:r>
              <w:rPr>
                <w:sz w:val="22"/>
              </w:rPr>
              <w:t>ООО "Регион24"</w:t>
            </w:r>
          </w:p>
        </w:tc>
        <w:tc>
          <w:tcPr>
            <w:tcW w:type="dxa" w:w="1408"/>
            <w:tcBorders>
              <w:top w:color="000000" w:sz="4" w:val="single"/>
              <w:left w:color="000000" w:sz="4" w:val="single"/>
              <w:bottom w:color="000000" w:sz="4" w:val="single"/>
              <w:right w:color="000000" w:sz="4" w:val="single"/>
            </w:tcBorders>
            <w:shd w:fill="FFFFFF" w:val="clear"/>
            <w:vAlign w:val="center"/>
          </w:tcPr>
          <w:p w14:paraId="6F200000">
            <w:pPr>
              <w:widowControl w:val="1"/>
              <w:ind/>
              <w:contextualSpacing w:val="1"/>
              <w:jc w:val="center"/>
              <w:rPr>
                <w:sz w:val="22"/>
              </w:rPr>
            </w:pPr>
            <w:r>
              <w:rPr>
                <w:sz w:val="22"/>
              </w:rPr>
              <w:t>договор № 127 от 27.11.2018</w:t>
            </w:r>
          </w:p>
        </w:tc>
        <w:tc>
          <w:tcPr>
            <w:tcW w:type="dxa" w:w="1274"/>
            <w:tcBorders>
              <w:top w:color="000000" w:sz="4" w:val="single"/>
              <w:left w:color="000000" w:sz="4" w:val="single"/>
              <w:bottom w:color="000000" w:sz="4" w:val="single"/>
              <w:right w:color="000000" w:sz="4" w:val="single"/>
            </w:tcBorders>
            <w:shd w:fill="FFFFFF" w:val="clear"/>
            <w:vAlign w:val="center"/>
          </w:tcPr>
          <w:p w14:paraId="70200000">
            <w:pPr>
              <w:widowControl w:val="1"/>
              <w:ind/>
              <w:contextualSpacing w:val="1"/>
              <w:jc w:val="center"/>
              <w:rPr>
                <w:sz w:val="22"/>
              </w:rPr>
            </w:pPr>
            <w:r>
              <w:rPr>
                <w:sz w:val="22"/>
              </w:rPr>
              <w:t>27.11.2018-30.11.2019</w:t>
            </w:r>
          </w:p>
        </w:tc>
        <w:tc>
          <w:tcPr>
            <w:tcW w:type="dxa" w:w="1556"/>
            <w:tcBorders>
              <w:top w:color="000000" w:sz="4" w:val="single"/>
              <w:left w:color="000000" w:sz="4" w:val="single"/>
              <w:bottom w:color="000000" w:sz="4" w:val="single"/>
              <w:right w:color="000000" w:sz="4" w:val="single"/>
            </w:tcBorders>
            <w:shd w:fill="FFFFFF" w:val="clear"/>
            <w:vAlign w:val="center"/>
          </w:tcPr>
          <w:p w14:paraId="71200000">
            <w:pPr>
              <w:widowControl w:val="1"/>
              <w:ind/>
              <w:contextualSpacing w:val="1"/>
              <w:jc w:val="center"/>
              <w:rPr>
                <w:sz w:val="22"/>
              </w:rPr>
            </w:pPr>
            <w:r>
              <w:rPr>
                <w:sz w:val="22"/>
              </w:rPr>
              <w:t>Оказание услуг по оформлению и доставке авиабилетов на рейсы авиакомпаний</w:t>
            </w:r>
          </w:p>
        </w:tc>
        <w:tc>
          <w:tcPr>
            <w:tcW w:type="dxa" w:w="1194"/>
            <w:tcBorders>
              <w:top w:color="000000" w:sz="4" w:val="single"/>
              <w:left w:color="000000" w:sz="4" w:val="single"/>
              <w:bottom w:color="000000" w:sz="4" w:val="single"/>
              <w:right w:color="000000" w:sz="4" w:val="single"/>
            </w:tcBorders>
            <w:shd w:fill="FFFFFF" w:val="clear"/>
            <w:vAlign w:val="center"/>
          </w:tcPr>
          <w:p w14:paraId="72200000">
            <w:pPr>
              <w:widowControl w:val="1"/>
              <w:ind/>
              <w:contextualSpacing w:val="1"/>
              <w:jc w:val="center"/>
              <w:rPr>
                <w:sz w:val="22"/>
              </w:rPr>
            </w:pPr>
            <w:r>
              <w:rPr>
                <w:sz w:val="22"/>
              </w:rPr>
              <w:t>400000</w:t>
            </w:r>
          </w:p>
        </w:tc>
        <w:tc>
          <w:tcPr>
            <w:tcW w:type="dxa" w:w="1221"/>
            <w:tcBorders>
              <w:top w:color="000000" w:sz="4" w:val="single"/>
              <w:left w:color="000000" w:sz="4" w:val="single"/>
              <w:bottom w:color="000000" w:sz="4" w:val="single"/>
              <w:right w:color="000000" w:sz="4" w:val="single"/>
            </w:tcBorders>
            <w:shd w:fill="FFFFFF" w:val="clear"/>
            <w:vAlign w:val="center"/>
          </w:tcPr>
          <w:p w14:paraId="73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4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5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620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77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820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79200000">
            <w:pPr>
              <w:widowControl w:val="1"/>
              <w:ind/>
              <w:contextualSpacing w:val="1"/>
              <w:rPr>
                <w:color w:val="000000"/>
                <w:sz w:val="22"/>
              </w:rPr>
            </w:pPr>
            <w:r>
              <w:rPr>
                <w:color w:val="000000"/>
                <w:sz w:val="22"/>
              </w:rPr>
              <w:t>108</w:t>
            </w:r>
          </w:p>
        </w:tc>
        <w:tc>
          <w:tcPr>
            <w:tcW w:type="dxa" w:w="1408"/>
            <w:tcBorders>
              <w:top w:color="000000" w:sz="4" w:val="single"/>
              <w:left w:color="000000" w:sz="4" w:val="single"/>
              <w:bottom w:color="000000" w:sz="4" w:val="single"/>
              <w:right w:color="000000" w:sz="4" w:val="single"/>
            </w:tcBorders>
            <w:shd w:fill="FFFFFF" w:val="clear"/>
            <w:vAlign w:val="center"/>
          </w:tcPr>
          <w:p w14:paraId="7A200000">
            <w:pPr>
              <w:widowControl w:val="1"/>
              <w:ind/>
              <w:contextualSpacing w:val="1"/>
              <w:jc w:val="center"/>
              <w:rPr>
                <w:sz w:val="22"/>
              </w:rPr>
            </w:pPr>
            <w:r>
              <w:rPr>
                <w:sz w:val="22"/>
              </w:rPr>
              <w:t>ООО "Регион 24"</w:t>
            </w:r>
          </w:p>
        </w:tc>
        <w:tc>
          <w:tcPr>
            <w:tcW w:type="dxa" w:w="1408"/>
            <w:tcBorders>
              <w:top w:color="000000" w:sz="4" w:val="single"/>
              <w:left w:color="000000" w:sz="4" w:val="single"/>
              <w:bottom w:color="000000" w:sz="4" w:val="single"/>
              <w:right w:color="000000" w:sz="4" w:val="single"/>
            </w:tcBorders>
            <w:shd w:fill="FFFFFF" w:val="clear"/>
            <w:vAlign w:val="center"/>
          </w:tcPr>
          <w:p w14:paraId="7B200000">
            <w:pPr>
              <w:widowControl w:val="1"/>
              <w:ind/>
              <w:contextualSpacing w:val="1"/>
              <w:jc w:val="center"/>
              <w:rPr>
                <w:sz w:val="22"/>
              </w:rPr>
            </w:pPr>
            <w:r>
              <w:rPr>
                <w:sz w:val="22"/>
              </w:rPr>
              <w:t>счет № 2143 от 03.10.2018</w:t>
            </w:r>
          </w:p>
        </w:tc>
        <w:tc>
          <w:tcPr>
            <w:tcW w:type="dxa" w:w="1274"/>
            <w:tcBorders>
              <w:top w:color="000000" w:sz="4" w:val="single"/>
              <w:left w:color="000000" w:sz="4" w:val="single"/>
              <w:bottom w:color="000000" w:sz="4" w:val="single"/>
              <w:right w:color="000000" w:sz="4" w:val="single"/>
            </w:tcBorders>
            <w:shd w:fill="FFFFFF" w:val="clear"/>
            <w:vAlign w:val="center"/>
          </w:tcPr>
          <w:p w14:paraId="7C200000">
            <w:pPr>
              <w:widowControl w:val="1"/>
              <w:ind/>
              <w:contextualSpacing w:val="1"/>
              <w:jc w:val="center"/>
              <w:rPr>
                <w:sz w:val="22"/>
              </w:rPr>
            </w:pPr>
            <w:r>
              <w:rPr>
                <w:sz w:val="22"/>
              </w:rPr>
              <w:t>15.10.2018-31.10.2018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7D200000">
            <w:pPr>
              <w:widowControl w:val="1"/>
              <w:ind/>
              <w:contextualSpacing w:val="1"/>
              <w:jc w:val="center"/>
              <w:rPr>
                <w:sz w:val="22"/>
              </w:rPr>
            </w:pPr>
            <w:r>
              <w:rPr>
                <w:sz w:val="22"/>
              </w:rPr>
              <w:t>оказание услуг по продаже, оформлению и доставке авиабилетов</w:t>
            </w:r>
          </w:p>
        </w:tc>
        <w:tc>
          <w:tcPr>
            <w:tcW w:type="dxa" w:w="1194"/>
            <w:tcBorders>
              <w:top w:color="000000" w:sz="4" w:val="single"/>
              <w:left w:color="000000" w:sz="4" w:val="single"/>
              <w:bottom w:color="000000" w:sz="4" w:val="single"/>
              <w:right w:color="000000" w:sz="4" w:val="single"/>
            </w:tcBorders>
            <w:shd w:fill="FFFFFF" w:val="clear"/>
            <w:vAlign w:val="center"/>
          </w:tcPr>
          <w:p w14:paraId="7E200000">
            <w:pPr>
              <w:widowControl w:val="1"/>
              <w:ind/>
              <w:contextualSpacing w:val="1"/>
              <w:jc w:val="center"/>
              <w:rPr>
                <w:sz w:val="22"/>
              </w:rPr>
            </w:pPr>
            <w:r>
              <w:rPr>
                <w:sz w:val="22"/>
              </w:rPr>
              <w:t>20190,00</w:t>
            </w:r>
          </w:p>
        </w:tc>
        <w:tc>
          <w:tcPr>
            <w:tcW w:type="dxa" w:w="1221"/>
            <w:tcBorders>
              <w:top w:color="000000" w:sz="4" w:val="single"/>
              <w:left w:color="000000" w:sz="4" w:val="single"/>
              <w:bottom w:color="000000" w:sz="4" w:val="single"/>
              <w:right w:color="000000" w:sz="4" w:val="single"/>
            </w:tcBorders>
            <w:shd w:fill="FFFFFF" w:val="clear"/>
            <w:vAlign w:val="center"/>
          </w:tcPr>
          <w:p w14:paraId="7F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0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1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220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83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8420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85200000">
            <w:pPr>
              <w:widowControl w:val="1"/>
              <w:ind/>
              <w:contextualSpacing w:val="1"/>
              <w:rPr>
                <w:color w:val="000000"/>
                <w:sz w:val="22"/>
              </w:rPr>
            </w:pPr>
            <w:r>
              <w:rPr>
                <w:color w:val="000000"/>
                <w:sz w:val="22"/>
              </w:rPr>
              <w:t>109</w:t>
            </w:r>
          </w:p>
        </w:tc>
        <w:tc>
          <w:tcPr>
            <w:tcW w:type="dxa" w:w="1408"/>
            <w:tcBorders>
              <w:top w:color="000000" w:sz="4" w:val="single"/>
              <w:left w:color="000000" w:sz="4" w:val="single"/>
              <w:bottom w:color="000000" w:sz="4" w:val="single"/>
              <w:right w:color="000000" w:sz="4" w:val="single"/>
            </w:tcBorders>
            <w:shd w:fill="FFFFFF" w:val="clear"/>
            <w:vAlign w:val="center"/>
          </w:tcPr>
          <w:p w14:paraId="86200000">
            <w:pPr>
              <w:widowControl w:val="1"/>
              <w:ind/>
              <w:contextualSpacing w:val="1"/>
              <w:jc w:val="center"/>
              <w:rPr>
                <w:sz w:val="22"/>
              </w:rPr>
            </w:pPr>
            <w:r>
              <w:rPr>
                <w:sz w:val="22"/>
              </w:rPr>
              <w:t>ООО "Регион 24"</w:t>
            </w:r>
          </w:p>
        </w:tc>
        <w:tc>
          <w:tcPr>
            <w:tcW w:type="dxa" w:w="1408"/>
            <w:tcBorders>
              <w:top w:color="000000" w:sz="4" w:val="single"/>
              <w:left w:color="000000" w:sz="4" w:val="single"/>
              <w:bottom w:color="000000" w:sz="4" w:val="single"/>
              <w:right w:color="000000" w:sz="4" w:val="single"/>
            </w:tcBorders>
            <w:shd w:fill="FFFFFF" w:val="clear"/>
            <w:vAlign w:val="center"/>
          </w:tcPr>
          <w:p w14:paraId="87200000">
            <w:pPr>
              <w:widowControl w:val="1"/>
              <w:ind/>
              <w:contextualSpacing w:val="1"/>
              <w:jc w:val="center"/>
              <w:rPr>
                <w:sz w:val="22"/>
              </w:rPr>
            </w:pPr>
            <w:r>
              <w:rPr>
                <w:sz w:val="22"/>
              </w:rPr>
              <w:t>счет № 2217 от 22.10.2018</w:t>
            </w:r>
          </w:p>
        </w:tc>
        <w:tc>
          <w:tcPr>
            <w:tcW w:type="dxa" w:w="1274"/>
            <w:tcBorders>
              <w:top w:color="000000" w:sz="4" w:val="single"/>
              <w:left w:color="000000" w:sz="4" w:val="single"/>
              <w:bottom w:color="000000" w:sz="4" w:val="single"/>
              <w:right w:color="000000" w:sz="4" w:val="single"/>
            </w:tcBorders>
            <w:shd w:fill="FFFFFF" w:val="clear"/>
            <w:vAlign w:val="center"/>
          </w:tcPr>
          <w:p w14:paraId="88200000">
            <w:pPr>
              <w:widowControl w:val="1"/>
              <w:ind/>
              <w:contextualSpacing w:val="1"/>
              <w:jc w:val="center"/>
              <w:rPr>
                <w:sz w:val="22"/>
              </w:rPr>
            </w:pPr>
            <w:r>
              <w:rPr>
                <w:sz w:val="22"/>
              </w:rPr>
              <w:t>22.10.2018-31.10.2018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89200000">
            <w:pPr>
              <w:widowControl w:val="1"/>
              <w:ind/>
              <w:contextualSpacing w:val="1"/>
              <w:jc w:val="center"/>
              <w:rPr>
                <w:sz w:val="22"/>
              </w:rPr>
            </w:pPr>
            <w:r>
              <w:rPr>
                <w:sz w:val="22"/>
              </w:rPr>
              <w:t>оказание услуг по продаже, оформлению и доставке авиабилетов</w:t>
            </w:r>
          </w:p>
        </w:tc>
        <w:tc>
          <w:tcPr>
            <w:tcW w:type="dxa" w:w="1194"/>
            <w:tcBorders>
              <w:top w:color="000000" w:sz="4" w:val="single"/>
              <w:left w:color="000000" w:sz="4" w:val="single"/>
              <w:bottom w:color="000000" w:sz="4" w:val="single"/>
              <w:right w:color="000000" w:sz="4" w:val="single"/>
            </w:tcBorders>
            <w:shd w:fill="FFFFFF" w:val="clear"/>
            <w:vAlign w:val="center"/>
          </w:tcPr>
          <w:p w14:paraId="8A200000">
            <w:pPr>
              <w:widowControl w:val="1"/>
              <w:ind/>
              <w:contextualSpacing w:val="1"/>
              <w:jc w:val="center"/>
              <w:rPr>
                <w:sz w:val="22"/>
              </w:rPr>
            </w:pPr>
            <w:r>
              <w:rPr>
                <w:sz w:val="22"/>
              </w:rPr>
              <w:t>29554,00</w:t>
            </w:r>
          </w:p>
        </w:tc>
        <w:tc>
          <w:tcPr>
            <w:tcW w:type="dxa" w:w="1221"/>
            <w:tcBorders>
              <w:top w:color="000000" w:sz="4" w:val="single"/>
              <w:left w:color="000000" w:sz="4" w:val="single"/>
              <w:bottom w:color="000000" w:sz="4" w:val="single"/>
              <w:right w:color="000000" w:sz="4" w:val="single"/>
            </w:tcBorders>
            <w:shd w:fill="FFFFFF" w:val="clear"/>
            <w:vAlign w:val="center"/>
          </w:tcPr>
          <w:p w14:paraId="8B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C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D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E20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8F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020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708"/>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91200000">
            <w:pPr>
              <w:widowControl w:val="1"/>
              <w:ind/>
              <w:contextualSpacing w:val="1"/>
              <w:jc w:val="center"/>
              <w:rPr>
                <w:color w:val="000000"/>
                <w:sz w:val="22"/>
              </w:rPr>
            </w:pPr>
            <w:r>
              <w:rPr>
                <w:color w:val="000000"/>
                <w:sz w:val="22"/>
              </w:rPr>
              <w:t>итого по контрагенту ООО "Регион24" 548744 руб.</w:t>
            </w:r>
          </w:p>
          <w:p w14:paraId="9220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3200000">
            <w:pPr>
              <w:widowControl w:val="1"/>
              <w:ind/>
              <w:contextualSpacing w:val="1"/>
              <w:rPr>
                <w:color w:val="000000"/>
                <w:sz w:val="22"/>
              </w:rPr>
            </w:pPr>
            <w:r>
              <w:rPr>
                <w:color w:val="000000"/>
                <w:sz w:val="22"/>
              </w:rPr>
              <w:t>110</w:t>
            </w:r>
          </w:p>
        </w:tc>
        <w:tc>
          <w:tcPr>
            <w:tcW w:type="dxa" w:w="1408"/>
            <w:tcBorders>
              <w:top w:color="000000" w:sz="4" w:val="single"/>
              <w:left w:color="000000" w:sz="4" w:val="single"/>
              <w:bottom w:color="000000" w:sz="4" w:val="single"/>
              <w:right w:color="000000" w:sz="4" w:val="single"/>
            </w:tcBorders>
            <w:shd w:fill="FFFFFF" w:val="clear"/>
            <w:vAlign w:val="center"/>
          </w:tcPr>
          <w:p w14:paraId="94200000">
            <w:pPr>
              <w:widowControl w:val="1"/>
              <w:ind/>
              <w:contextualSpacing w:val="1"/>
              <w:jc w:val="center"/>
              <w:rPr>
                <w:sz w:val="22"/>
              </w:rPr>
            </w:pPr>
            <w:r>
              <w:rPr>
                <w:sz w:val="22"/>
              </w:rPr>
              <w:t>ООО "СибирьШвейПром"</w:t>
            </w:r>
          </w:p>
        </w:tc>
        <w:tc>
          <w:tcPr>
            <w:tcW w:type="dxa" w:w="1408"/>
            <w:tcBorders>
              <w:top w:color="000000" w:sz="4" w:val="single"/>
              <w:left w:color="000000" w:sz="4" w:val="single"/>
              <w:bottom w:color="000000" w:sz="4" w:val="single"/>
              <w:right w:color="000000" w:sz="4" w:val="single"/>
            </w:tcBorders>
            <w:shd w:fill="FFFFFF" w:val="clear"/>
            <w:vAlign w:val="center"/>
          </w:tcPr>
          <w:p w14:paraId="95200000">
            <w:pPr>
              <w:widowControl w:val="1"/>
              <w:ind/>
              <w:contextualSpacing w:val="1"/>
              <w:jc w:val="center"/>
              <w:rPr>
                <w:sz w:val="22"/>
              </w:rPr>
            </w:pPr>
            <w:r>
              <w:rPr>
                <w:sz w:val="22"/>
              </w:rPr>
              <w:t>дополнительное соглашение № 1 к договору № 300 от 05.07.2017 от 19.03.2018</w:t>
            </w:r>
          </w:p>
        </w:tc>
        <w:tc>
          <w:tcPr>
            <w:tcW w:type="dxa" w:w="1274"/>
            <w:tcBorders>
              <w:top w:color="000000" w:sz="4" w:val="single"/>
              <w:left w:color="000000" w:sz="4" w:val="single"/>
              <w:bottom w:color="000000" w:sz="4" w:val="single"/>
              <w:right w:color="000000" w:sz="4" w:val="single"/>
            </w:tcBorders>
            <w:shd w:fill="FFFFFF" w:val="clear"/>
            <w:vAlign w:val="center"/>
          </w:tcPr>
          <w:p w14:paraId="96200000">
            <w:pPr>
              <w:widowControl w:val="1"/>
              <w:ind/>
              <w:contextualSpacing w:val="1"/>
              <w:jc w:val="center"/>
              <w:rPr>
                <w:sz w:val="22"/>
              </w:rPr>
            </w:pPr>
            <w:r>
              <w:rPr>
                <w:sz w:val="22"/>
              </w:rPr>
              <w:t>19.03.2018-31.12.2018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97200000">
            <w:pPr>
              <w:widowControl w:val="1"/>
              <w:ind/>
              <w:contextualSpacing w:val="1"/>
              <w:jc w:val="center"/>
              <w:rPr>
                <w:sz w:val="22"/>
              </w:rPr>
            </w:pPr>
            <w:r>
              <w:rPr>
                <w:sz w:val="22"/>
              </w:rPr>
              <w:t>передача прав и обязанностей ООО "ПрофПошив" по договору на выполнение работ по пошиву изделий ООО "СибирьШвейПром", без изменения предельной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98200000">
            <w:pPr>
              <w:widowControl w:val="1"/>
              <w:ind/>
              <w:contextualSpacing w:val="1"/>
              <w:jc w:val="center"/>
              <w:rPr>
                <w:sz w:val="22"/>
              </w:rPr>
            </w:pPr>
            <w:r>
              <w:rPr>
                <w:sz w:val="22"/>
              </w:rPr>
              <w:t>2626881,26</w:t>
            </w:r>
          </w:p>
        </w:tc>
        <w:tc>
          <w:tcPr>
            <w:tcW w:type="dxa" w:w="1221"/>
            <w:tcBorders>
              <w:top w:color="000000" w:sz="4" w:val="single"/>
              <w:left w:color="000000" w:sz="4" w:val="single"/>
              <w:bottom w:color="000000" w:sz="4" w:val="single"/>
              <w:right w:color="000000" w:sz="4" w:val="single"/>
            </w:tcBorders>
            <w:shd w:fill="FFFFFF" w:val="clear"/>
            <w:vAlign w:val="center"/>
          </w:tcPr>
          <w:p w14:paraId="99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A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B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C20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9D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E200000">
            <w:pPr>
              <w:widowControl w:val="1"/>
              <w:ind/>
              <w:contextualSpacing w:val="1"/>
              <w:jc w:val="center"/>
              <w:rPr>
                <w:sz w:val="22"/>
              </w:rPr>
            </w:pPr>
            <w:r>
              <w:rPr>
                <w:sz w:val="22"/>
              </w:rPr>
              <w:t>Протокол КК № 5 от 19.03.2018</w:t>
            </w:r>
          </w:p>
        </w:tc>
      </w:tr>
      <w:tr>
        <w:trPr>
          <w:trHeight w:hRule="atLeast" w:val="1455"/>
        </w:trPr>
        <w:tc>
          <w:tcPr>
            <w:tcW w:type="dxa" w:w="528"/>
            <w:tcBorders>
              <w:top w:color="000000" w:sz="4" w:val="single"/>
              <w:left w:color="000000" w:sz="4" w:val="single"/>
              <w:bottom w:color="000000" w:sz="4" w:val="single"/>
              <w:right w:color="000000" w:sz="4" w:val="single"/>
            </w:tcBorders>
            <w:shd w:fill="FFFFFF" w:val="clear"/>
            <w:vAlign w:val="center"/>
          </w:tcPr>
          <w:p w14:paraId="9F200000">
            <w:pPr>
              <w:widowControl w:val="1"/>
              <w:ind/>
              <w:contextualSpacing w:val="1"/>
              <w:rPr>
                <w:color w:val="000000"/>
                <w:sz w:val="22"/>
              </w:rPr>
            </w:pPr>
            <w:r>
              <w:rPr>
                <w:color w:val="000000"/>
                <w:sz w:val="22"/>
              </w:rPr>
              <w:t>111</w:t>
            </w:r>
          </w:p>
        </w:tc>
        <w:tc>
          <w:tcPr>
            <w:tcW w:type="dxa" w:w="1408"/>
            <w:tcBorders>
              <w:top w:color="000000" w:sz="4" w:val="single"/>
              <w:left w:color="000000" w:sz="4" w:val="single"/>
              <w:bottom w:color="000000" w:sz="4" w:val="single"/>
              <w:right w:color="000000" w:sz="4" w:val="single"/>
            </w:tcBorders>
            <w:shd w:fill="FFFFFF" w:val="clear"/>
            <w:vAlign w:val="center"/>
          </w:tcPr>
          <w:p w14:paraId="A0200000">
            <w:pPr>
              <w:widowControl w:val="1"/>
              <w:ind/>
              <w:contextualSpacing w:val="1"/>
              <w:jc w:val="center"/>
              <w:rPr>
                <w:sz w:val="22"/>
              </w:rPr>
            </w:pPr>
            <w:r>
              <w:rPr>
                <w:sz w:val="22"/>
              </w:rPr>
              <w:t>ООО "Сити24"</w:t>
            </w:r>
          </w:p>
        </w:tc>
        <w:tc>
          <w:tcPr>
            <w:tcW w:type="dxa" w:w="1408"/>
            <w:tcBorders>
              <w:top w:color="000000" w:sz="4" w:val="single"/>
              <w:left w:color="000000" w:sz="4" w:val="single"/>
              <w:bottom w:color="000000" w:sz="4" w:val="single"/>
              <w:right w:color="000000" w:sz="4" w:val="single"/>
            </w:tcBorders>
            <w:shd w:fill="FFFFFF" w:val="clear"/>
            <w:vAlign w:val="center"/>
          </w:tcPr>
          <w:p w14:paraId="A1200000">
            <w:pPr>
              <w:widowControl w:val="1"/>
              <w:ind/>
              <w:contextualSpacing w:val="1"/>
              <w:jc w:val="center"/>
              <w:rPr>
                <w:sz w:val="22"/>
              </w:rPr>
            </w:pPr>
            <w:r>
              <w:rPr>
                <w:sz w:val="22"/>
              </w:rPr>
              <w:t>договор № 55 от 28.03.2018</w:t>
            </w:r>
          </w:p>
        </w:tc>
        <w:tc>
          <w:tcPr>
            <w:tcW w:type="dxa" w:w="1274"/>
            <w:tcBorders>
              <w:top w:color="000000" w:sz="4" w:val="single"/>
              <w:left w:color="000000" w:sz="4" w:val="single"/>
              <w:bottom w:color="000000" w:sz="4" w:val="single"/>
              <w:right w:color="000000" w:sz="4" w:val="single"/>
            </w:tcBorders>
            <w:shd w:fill="FFFFFF" w:val="clear"/>
            <w:vAlign w:val="center"/>
          </w:tcPr>
          <w:p w14:paraId="A2200000">
            <w:pPr>
              <w:widowControl w:val="1"/>
              <w:ind/>
              <w:contextualSpacing w:val="1"/>
              <w:jc w:val="center"/>
              <w:rPr>
                <w:sz w:val="22"/>
              </w:rPr>
            </w:pPr>
            <w:r>
              <w:rPr>
                <w:sz w:val="22"/>
              </w:rPr>
              <w:t>28.03.2018-31.12.2018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A3200000">
            <w:pPr>
              <w:widowControl w:val="1"/>
              <w:ind/>
              <w:contextualSpacing w:val="1"/>
              <w:jc w:val="center"/>
              <w:rPr>
                <w:sz w:val="22"/>
              </w:rPr>
            </w:pPr>
            <w:r>
              <w:rPr>
                <w:sz w:val="22"/>
              </w:rPr>
              <w:t>выполнение работ по ремонту оборудования</w:t>
            </w:r>
          </w:p>
        </w:tc>
        <w:tc>
          <w:tcPr>
            <w:tcW w:type="dxa" w:w="1194"/>
            <w:tcBorders>
              <w:top w:color="000000" w:sz="4" w:val="single"/>
              <w:left w:color="000000" w:sz="4" w:val="single"/>
              <w:bottom w:color="000000" w:sz="4" w:val="single"/>
              <w:right w:color="000000" w:sz="4" w:val="single"/>
            </w:tcBorders>
            <w:shd w:fill="FFFFFF" w:val="clear"/>
            <w:vAlign w:val="center"/>
          </w:tcPr>
          <w:p w14:paraId="A4200000">
            <w:pPr>
              <w:widowControl w:val="1"/>
              <w:ind/>
              <w:contextualSpacing w:val="1"/>
              <w:jc w:val="center"/>
              <w:rPr>
                <w:sz w:val="22"/>
              </w:rPr>
            </w:pPr>
            <w:r>
              <w:rPr>
                <w:sz w:val="22"/>
              </w:rPr>
              <w:t>298725,26</w:t>
            </w:r>
          </w:p>
        </w:tc>
        <w:tc>
          <w:tcPr>
            <w:tcW w:type="dxa" w:w="1221"/>
            <w:tcBorders>
              <w:top w:color="000000" w:sz="4" w:val="single"/>
              <w:left w:color="000000" w:sz="4" w:val="single"/>
              <w:bottom w:color="000000" w:sz="4" w:val="single"/>
              <w:right w:color="000000" w:sz="4" w:val="single"/>
            </w:tcBorders>
            <w:shd w:fill="FFFFFF" w:val="clear"/>
            <w:vAlign w:val="center"/>
          </w:tcPr>
          <w:p w14:paraId="A5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6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7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820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A9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A200000">
            <w:pPr>
              <w:widowControl w:val="1"/>
              <w:ind/>
              <w:contextualSpacing w:val="1"/>
              <w:jc w:val="center"/>
              <w:rPr>
                <w:sz w:val="22"/>
              </w:rPr>
            </w:pPr>
            <w:r>
              <w:rPr>
                <w:sz w:val="22"/>
              </w:rPr>
              <w:t>Размещение заказа у единственного поставщика, согласно пп.28п.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B200000">
            <w:pPr>
              <w:widowControl w:val="1"/>
              <w:ind/>
              <w:contextualSpacing w:val="1"/>
              <w:rPr>
                <w:color w:val="000000"/>
                <w:sz w:val="22"/>
              </w:rPr>
            </w:pPr>
            <w:r>
              <w:rPr>
                <w:color w:val="000000"/>
                <w:sz w:val="22"/>
              </w:rPr>
              <w:t>112</w:t>
            </w:r>
          </w:p>
        </w:tc>
        <w:tc>
          <w:tcPr>
            <w:tcW w:type="dxa" w:w="1408"/>
            <w:tcBorders>
              <w:top w:color="000000" w:sz="4" w:val="single"/>
              <w:left w:color="000000" w:sz="4" w:val="single"/>
              <w:bottom w:color="000000" w:sz="4" w:val="single"/>
              <w:right w:color="000000" w:sz="4" w:val="single"/>
            </w:tcBorders>
            <w:shd w:fill="FFFFFF" w:val="clear"/>
            <w:vAlign w:val="center"/>
          </w:tcPr>
          <w:p w14:paraId="AC200000">
            <w:pPr>
              <w:widowControl w:val="1"/>
              <w:ind/>
              <w:contextualSpacing w:val="1"/>
              <w:jc w:val="center"/>
              <w:rPr>
                <w:sz w:val="22"/>
              </w:rPr>
            </w:pPr>
            <w:r>
              <w:rPr>
                <w:sz w:val="22"/>
              </w:rPr>
              <w:t>ПАО "Вымпел-Коммуникации"</w:t>
            </w:r>
          </w:p>
        </w:tc>
        <w:tc>
          <w:tcPr>
            <w:tcW w:type="dxa" w:w="1408"/>
            <w:tcBorders>
              <w:top w:color="000000" w:sz="4" w:val="single"/>
              <w:left w:color="000000" w:sz="4" w:val="single"/>
              <w:bottom w:color="000000" w:sz="4" w:val="single"/>
              <w:right w:color="000000" w:sz="4" w:val="single"/>
            </w:tcBorders>
            <w:shd w:fill="FFFFFF" w:val="clear"/>
            <w:vAlign w:val="center"/>
          </w:tcPr>
          <w:p w14:paraId="AD200000">
            <w:pPr>
              <w:widowControl w:val="1"/>
              <w:ind/>
              <w:contextualSpacing w:val="1"/>
              <w:jc w:val="center"/>
              <w:rPr>
                <w:sz w:val="22"/>
              </w:rPr>
            </w:pPr>
            <w:r>
              <w:rPr>
                <w:sz w:val="22"/>
              </w:rPr>
              <w:t>договор № 360752942 от 31.01.2018</w:t>
            </w:r>
          </w:p>
        </w:tc>
        <w:tc>
          <w:tcPr>
            <w:tcW w:type="dxa" w:w="1274"/>
            <w:tcBorders>
              <w:top w:color="000000" w:sz="4" w:val="single"/>
              <w:left w:color="000000" w:sz="4" w:val="single"/>
              <w:bottom w:color="000000" w:sz="4" w:val="single"/>
              <w:right w:color="000000" w:sz="4" w:val="single"/>
            </w:tcBorders>
            <w:shd w:fill="FFFFFF" w:val="clear"/>
            <w:vAlign w:val="center"/>
          </w:tcPr>
          <w:p w14:paraId="AE200000">
            <w:pPr>
              <w:widowControl w:val="1"/>
              <w:ind/>
              <w:contextualSpacing w:val="1"/>
              <w:jc w:val="center"/>
              <w:rPr>
                <w:sz w:val="22"/>
              </w:rPr>
            </w:pPr>
            <w:r>
              <w:rPr>
                <w:sz w:val="22"/>
              </w:rPr>
              <w:t>01.01.2018-31.12.2019</w:t>
            </w:r>
          </w:p>
        </w:tc>
        <w:tc>
          <w:tcPr>
            <w:tcW w:type="dxa" w:w="1556"/>
            <w:tcBorders>
              <w:top w:color="000000" w:sz="4" w:val="single"/>
              <w:left w:color="000000" w:sz="4" w:val="single"/>
              <w:bottom w:color="000000" w:sz="4" w:val="single"/>
              <w:right w:color="000000" w:sz="4" w:val="single"/>
            </w:tcBorders>
            <w:shd w:fill="FFFFFF" w:val="clear"/>
            <w:vAlign w:val="center"/>
          </w:tcPr>
          <w:p w14:paraId="AF200000">
            <w:pPr>
              <w:widowControl w:val="1"/>
              <w:ind/>
              <w:contextualSpacing w:val="1"/>
              <w:jc w:val="center"/>
              <w:rPr>
                <w:sz w:val="22"/>
              </w:rPr>
            </w:pPr>
            <w:r>
              <w:rPr>
                <w:sz w:val="22"/>
              </w:rPr>
              <w:t>оказание услуг сотовой связи</w:t>
            </w:r>
          </w:p>
        </w:tc>
        <w:tc>
          <w:tcPr>
            <w:tcW w:type="dxa" w:w="1194"/>
            <w:tcBorders>
              <w:top w:color="000000" w:sz="4" w:val="single"/>
              <w:left w:color="000000" w:sz="4" w:val="single"/>
              <w:bottom w:color="000000" w:sz="4" w:val="single"/>
              <w:right w:color="000000" w:sz="4" w:val="single"/>
            </w:tcBorders>
            <w:shd w:fill="FFFFFF" w:val="clear"/>
            <w:vAlign w:val="center"/>
          </w:tcPr>
          <w:p w14:paraId="B0200000">
            <w:pPr>
              <w:widowControl w:val="1"/>
              <w:ind/>
              <w:contextualSpacing w:val="1"/>
              <w:jc w:val="center"/>
              <w:rPr>
                <w:sz w:val="22"/>
              </w:rPr>
            </w:pPr>
            <w:r>
              <w:rPr>
                <w:sz w:val="22"/>
              </w:rPr>
              <w:t>350000</w:t>
            </w:r>
          </w:p>
        </w:tc>
        <w:tc>
          <w:tcPr>
            <w:tcW w:type="dxa" w:w="1221"/>
            <w:tcBorders>
              <w:top w:color="000000" w:sz="4" w:val="single"/>
              <w:left w:color="000000" w:sz="4" w:val="single"/>
              <w:bottom w:color="000000" w:sz="4" w:val="single"/>
              <w:right w:color="000000" w:sz="4" w:val="single"/>
            </w:tcBorders>
            <w:shd w:fill="FFFFFF" w:val="clear"/>
            <w:vAlign w:val="center"/>
          </w:tcPr>
          <w:p w14:paraId="B1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2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3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420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B5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B6200000">
            <w:pPr>
              <w:widowControl w:val="1"/>
              <w:ind/>
              <w:contextualSpacing w:val="1"/>
              <w:jc w:val="center"/>
              <w:rPr>
                <w:sz w:val="22"/>
              </w:rPr>
            </w:pPr>
            <w:r>
              <w:rPr>
                <w:sz w:val="22"/>
              </w:rPr>
              <w:t>Размещение заказа у единственного поставщика, согласно пп. 7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B7200000">
            <w:pPr>
              <w:widowControl w:val="1"/>
              <w:ind/>
              <w:contextualSpacing w:val="1"/>
              <w:rPr>
                <w:color w:val="000000"/>
                <w:sz w:val="22"/>
              </w:rPr>
            </w:pPr>
            <w:r>
              <w:rPr>
                <w:color w:val="000000"/>
                <w:sz w:val="22"/>
              </w:rPr>
              <w:t>113</w:t>
            </w:r>
          </w:p>
        </w:tc>
        <w:tc>
          <w:tcPr>
            <w:tcW w:type="dxa" w:w="1408"/>
            <w:tcBorders>
              <w:top w:color="000000" w:sz="4" w:val="single"/>
              <w:left w:color="000000" w:sz="4" w:val="single"/>
              <w:bottom w:color="000000" w:sz="4" w:val="single"/>
              <w:right w:color="000000" w:sz="4" w:val="single"/>
            </w:tcBorders>
            <w:shd w:fill="FFFFFF" w:val="clear"/>
            <w:vAlign w:val="center"/>
          </w:tcPr>
          <w:p w14:paraId="B8200000">
            <w:pPr>
              <w:widowControl w:val="1"/>
              <w:ind/>
              <w:contextualSpacing w:val="1"/>
              <w:jc w:val="center"/>
              <w:rPr>
                <w:sz w:val="22"/>
              </w:rPr>
            </w:pPr>
            <w:r>
              <w:rPr>
                <w:sz w:val="22"/>
              </w:rPr>
              <w:t>ПАО "Вымпел-Коммуникации"</w:t>
            </w:r>
          </w:p>
        </w:tc>
        <w:tc>
          <w:tcPr>
            <w:tcW w:type="dxa" w:w="1408"/>
            <w:tcBorders>
              <w:top w:color="000000" w:sz="4" w:val="single"/>
              <w:left w:color="000000" w:sz="4" w:val="single"/>
              <w:bottom w:color="000000" w:sz="4" w:val="single"/>
              <w:right w:color="000000" w:sz="4" w:val="single"/>
            </w:tcBorders>
            <w:shd w:fill="FFFFFF" w:val="clear"/>
            <w:vAlign w:val="center"/>
          </w:tcPr>
          <w:p w14:paraId="B9200000">
            <w:pPr>
              <w:widowControl w:val="1"/>
              <w:ind/>
              <w:contextualSpacing w:val="1"/>
              <w:jc w:val="center"/>
              <w:rPr>
                <w:sz w:val="22"/>
              </w:rPr>
            </w:pPr>
            <w:r>
              <w:rPr>
                <w:sz w:val="22"/>
              </w:rPr>
              <w:t>договор № 0N8#07 от26.02.2018</w:t>
            </w:r>
          </w:p>
        </w:tc>
        <w:tc>
          <w:tcPr>
            <w:tcW w:type="dxa" w:w="1274"/>
            <w:tcBorders>
              <w:top w:color="000000" w:sz="4" w:val="single"/>
              <w:left w:color="000000" w:sz="4" w:val="single"/>
              <w:bottom w:color="000000" w:sz="4" w:val="single"/>
              <w:right w:color="000000" w:sz="4" w:val="single"/>
            </w:tcBorders>
            <w:shd w:fill="FFFFFF" w:val="clear"/>
            <w:vAlign w:val="center"/>
          </w:tcPr>
          <w:p w14:paraId="BA200000">
            <w:pPr>
              <w:widowControl w:val="1"/>
              <w:ind/>
              <w:contextualSpacing w:val="1"/>
              <w:jc w:val="center"/>
              <w:rPr>
                <w:sz w:val="22"/>
              </w:rPr>
            </w:pPr>
            <w:r>
              <w:rPr>
                <w:sz w:val="22"/>
              </w:rPr>
              <w:t>01.01.2018-31.12.2020</w:t>
            </w:r>
          </w:p>
        </w:tc>
        <w:tc>
          <w:tcPr>
            <w:tcW w:type="dxa" w:w="1556"/>
            <w:tcBorders>
              <w:top w:color="000000" w:sz="4" w:val="single"/>
              <w:left w:color="000000" w:sz="4" w:val="single"/>
              <w:bottom w:color="000000" w:sz="4" w:val="single"/>
              <w:right w:color="000000" w:sz="4" w:val="single"/>
            </w:tcBorders>
            <w:shd w:fill="FFFFFF" w:val="clear"/>
            <w:vAlign w:val="center"/>
          </w:tcPr>
          <w:p w14:paraId="BB200000">
            <w:pPr>
              <w:widowControl w:val="1"/>
              <w:ind/>
              <w:contextualSpacing w:val="1"/>
              <w:jc w:val="center"/>
              <w:rPr>
                <w:sz w:val="22"/>
              </w:rPr>
            </w:pPr>
            <w:r>
              <w:rPr>
                <w:sz w:val="22"/>
              </w:rPr>
              <w:t>предоставление услуг внутризоновой и междугородной телефонной связи</w:t>
            </w:r>
          </w:p>
        </w:tc>
        <w:tc>
          <w:tcPr>
            <w:tcW w:type="dxa" w:w="1194"/>
            <w:tcBorders>
              <w:top w:color="000000" w:sz="4" w:val="single"/>
              <w:left w:color="000000" w:sz="4" w:val="single"/>
              <w:bottom w:color="000000" w:sz="4" w:val="single"/>
              <w:right w:color="000000" w:sz="4" w:val="single"/>
            </w:tcBorders>
            <w:shd w:fill="FFFFFF" w:val="clear"/>
            <w:vAlign w:val="center"/>
          </w:tcPr>
          <w:p w14:paraId="BC200000">
            <w:pPr>
              <w:widowControl w:val="1"/>
              <w:ind/>
              <w:contextualSpacing w:val="1"/>
              <w:jc w:val="center"/>
              <w:rPr>
                <w:sz w:val="22"/>
              </w:rPr>
            </w:pPr>
            <w:r>
              <w:rPr>
                <w:sz w:val="22"/>
              </w:rPr>
              <w:t>265089,24</w:t>
            </w:r>
          </w:p>
        </w:tc>
        <w:tc>
          <w:tcPr>
            <w:tcW w:type="dxa" w:w="1221"/>
            <w:tcBorders>
              <w:top w:color="000000" w:sz="4" w:val="single"/>
              <w:left w:color="000000" w:sz="4" w:val="single"/>
              <w:bottom w:color="000000" w:sz="4" w:val="single"/>
              <w:right w:color="000000" w:sz="4" w:val="single"/>
            </w:tcBorders>
            <w:shd w:fill="FFFFFF" w:val="clear"/>
            <w:vAlign w:val="center"/>
          </w:tcPr>
          <w:p w14:paraId="BD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E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F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020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C1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2200000">
            <w:pPr>
              <w:widowControl w:val="1"/>
              <w:ind/>
              <w:contextualSpacing w:val="1"/>
              <w:jc w:val="center"/>
              <w:rPr>
                <w:sz w:val="22"/>
              </w:rPr>
            </w:pPr>
            <w:r>
              <w:rPr>
                <w:sz w:val="22"/>
              </w:rPr>
              <w:t>Размещение заказа у единственного поставщика, согласно пп. 7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3200000">
            <w:pPr>
              <w:widowControl w:val="1"/>
              <w:ind/>
              <w:contextualSpacing w:val="1"/>
              <w:rPr>
                <w:color w:val="000000"/>
                <w:sz w:val="22"/>
              </w:rPr>
            </w:pPr>
            <w:r>
              <w:rPr>
                <w:color w:val="000000"/>
                <w:sz w:val="22"/>
              </w:rPr>
              <w:t>114</w:t>
            </w:r>
          </w:p>
        </w:tc>
        <w:tc>
          <w:tcPr>
            <w:tcW w:type="dxa" w:w="1408"/>
            <w:tcBorders>
              <w:top w:color="000000" w:sz="4" w:val="single"/>
              <w:left w:color="000000" w:sz="4" w:val="single"/>
              <w:bottom w:color="000000" w:sz="4" w:val="single"/>
              <w:right w:color="000000" w:sz="4" w:val="single"/>
            </w:tcBorders>
            <w:shd w:fill="FFFFFF" w:val="clear"/>
            <w:vAlign w:val="center"/>
          </w:tcPr>
          <w:p w14:paraId="C4200000">
            <w:pPr>
              <w:widowControl w:val="1"/>
              <w:ind/>
              <w:contextualSpacing w:val="1"/>
              <w:jc w:val="center"/>
              <w:rPr>
                <w:sz w:val="22"/>
              </w:rPr>
            </w:pPr>
            <w:r>
              <w:rPr>
                <w:sz w:val="22"/>
              </w:rPr>
              <w:t>ПАО "Вымпел-Коммуникации"</w:t>
            </w:r>
          </w:p>
        </w:tc>
        <w:tc>
          <w:tcPr>
            <w:tcW w:type="dxa" w:w="1408"/>
            <w:tcBorders>
              <w:top w:color="000000" w:sz="4" w:val="single"/>
              <w:left w:color="000000" w:sz="4" w:val="single"/>
              <w:bottom w:color="000000" w:sz="4" w:val="single"/>
              <w:right w:color="000000" w:sz="4" w:val="single"/>
            </w:tcBorders>
            <w:shd w:fill="FFFFFF" w:val="clear"/>
            <w:vAlign w:val="center"/>
          </w:tcPr>
          <w:p w14:paraId="C5200000">
            <w:pPr>
              <w:widowControl w:val="1"/>
              <w:ind/>
              <w:contextualSpacing w:val="1"/>
              <w:jc w:val="center"/>
              <w:rPr>
                <w:sz w:val="22"/>
              </w:rPr>
            </w:pPr>
            <w:r>
              <w:rPr>
                <w:sz w:val="22"/>
              </w:rPr>
              <w:t>дополнительное соглашение № 1 к договору № 178247584 от 20.11.2017 от 31.10.2018</w:t>
            </w:r>
          </w:p>
        </w:tc>
        <w:tc>
          <w:tcPr>
            <w:tcW w:type="dxa" w:w="1274"/>
            <w:tcBorders>
              <w:top w:color="000000" w:sz="4" w:val="single"/>
              <w:left w:color="000000" w:sz="4" w:val="single"/>
              <w:bottom w:color="000000" w:sz="4" w:val="single"/>
              <w:right w:color="000000" w:sz="4" w:val="single"/>
            </w:tcBorders>
            <w:shd w:fill="FFFFFF" w:val="clear"/>
            <w:vAlign w:val="center"/>
          </w:tcPr>
          <w:p w14:paraId="C6200000">
            <w:pPr>
              <w:widowControl w:val="1"/>
              <w:ind/>
              <w:contextualSpacing w:val="1"/>
              <w:jc w:val="center"/>
              <w:rPr>
                <w:sz w:val="22"/>
              </w:rPr>
            </w:pPr>
            <w:r>
              <w:rPr>
                <w:sz w:val="22"/>
              </w:rPr>
              <w:t>01.11.2017-31.10.2018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C7200000">
            <w:pPr>
              <w:widowControl w:val="1"/>
              <w:ind/>
              <w:contextualSpacing w:val="1"/>
              <w:jc w:val="center"/>
              <w:rPr>
                <w:sz w:val="22"/>
              </w:rPr>
            </w:pPr>
            <w:r>
              <w:rPr>
                <w:sz w:val="22"/>
              </w:rPr>
              <w:t>увеличение предельной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C8200000">
            <w:pPr>
              <w:widowControl w:val="1"/>
              <w:ind/>
              <w:contextualSpacing w:val="1"/>
              <w:jc w:val="center"/>
              <w:rPr>
                <w:sz w:val="22"/>
              </w:rPr>
            </w:pPr>
            <w:r>
              <w:rPr>
                <w:sz w:val="22"/>
              </w:rPr>
              <w:t>516836</w:t>
            </w:r>
          </w:p>
        </w:tc>
        <w:tc>
          <w:tcPr>
            <w:tcW w:type="dxa" w:w="1221"/>
            <w:tcBorders>
              <w:top w:color="000000" w:sz="4" w:val="single"/>
              <w:left w:color="000000" w:sz="4" w:val="single"/>
              <w:bottom w:color="000000" w:sz="4" w:val="single"/>
              <w:right w:color="000000" w:sz="4" w:val="single"/>
            </w:tcBorders>
            <w:shd w:fill="FFFFFF" w:val="clear"/>
            <w:vAlign w:val="center"/>
          </w:tcPr>
          <w:p w14:paraId="C9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A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B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C20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CD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E200000">
            <w:pPr>
              <w:widowControl w:val="1"/>
              <w:ind/>
              <w:contextualSpacing w:val="1"/>
              <w:jc w:val="center"/>
              <w:rPr>
                <w:sz w:val="22"/>
              </w:rPr>
            </w:pPr>
            <w:r>
              <w:rPr>
                <w:sz w:val="22"/>
              </w:rPr>
              <w:t>Размещение заказа у единственного поставщика, согласно пп.7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F200000">
            <w:pPr>
              <w:widowControl w:val="1"/>
              <w:ind/>
              <w:contextualSpacing w:val="1"/>
              <w:rPr>
                <w:color w:val="000000"/>
                <w:sz w:val="22"/>
              </w:rPr>
            </w:pPr>
            <w:r>
              <w:rPr>
                <w:color w:val="000000"/>
                <w:sz w:val="22"/>
              </w:rPr>
              <w:t>115</w:t>
            </w:r>
          </w:p>
        </w:tc>
        <w:tc>
          <w:tcPr>
            <w:tcW w:type="dxa" w:w="1408"/>
            <w:tcBorders>
              <w:top w:color="000000" w:sz="4" w:val="single"/>
              <w:left w:color="000000" w:sz="4" w:val="single"/>
              <w:bottom w:color="000000" w:sz="4" w:val="single"/>
              <w:right w:color="000000" w:sz="4" w:val="single"/>
            </w:tcBorders>
            <w:shd w:fill="FFFFFF" w:val="clear"/>
            <w:vAlign w:val="center"/>
          </w:tcPr>
          <w:p w14:paraId="D0200000">
            <w:pPr>
              <w:widowControl w:val="1"/>
              <w:ind/>
              <w:contextualSpacing w:val="1"/>
              <w:jc w:val="center"/>
              <w:rPr>
                <w:sz w:val="22"/>
              </w:rPr>
            </w:pPr>
            <w:r>
              <w:rPr>
                <w:sz w:val="22"/>
              </w:rPr>
              <w:t>ПАО "Вымпел-Коммуникации"</w:t>
            </w:r>
          </w:p>
        </w:tc>
        <w:tc>
          <w:tcPr>
            <w:tcW w:type="dxa" w:w="1408"/>
            <w:tcBorders>
              <w:top w:color="000000" w:sz="4" w:val="single"/>
              <w:left w:color="000000" w:sz="4" w:val="single"/>
              <w:bottom w:color="000000" w:sz="4" w:val="single"/>
              <w:right w:color="000000" w:sz="4" w:val="single"/>
            </w:tcBorders>
            <w:shd w:fill="FFFFFF" w:val="clear"/>
            <w:vAlign w:val="center"/>
          </w:tcPr>
          <w:p w14:paraId="D1200000">
            <w:pPr>
              <w:widowControl w:val="1"/>
              <w:ind/>
              <w:contextualSpacing w:val="1"/>
              <w:jc w:val="center"/>
              <w:rPr>
                <w:sz w:val="22"/>
              </w:rPr>
            </w:pPr>
            <w:r>
              <w:rPr>
                <w:sz w:val="22"/>
              </w:rPr>
              <w:t>договор № 178247584 от 01.11.2018</w:t>
            </w:r>
          </w:p>
        </w:tc>
        <w:tc>
          <w:tcPr>
            <w:tcW w:type="dxa" w:w="1274"/>
            <w:tcBorders>
              <w:top w:color="000000" w:sz="4" w:val="single"/>
              <w:left w:color="000000" w:sz="4" w:val="single"/>
              <w:bottom w:color="000000" w:sz="4" w:val="single"/>
              <w:right w:color="000000" w:sz="4" w:val="single"/>
            </w:tcBorders>
            <w:shd w:fill="FFFFFF" w:val="clear"/>
            <w:vAlign w:val="center"/>
          </w:tcPr>
          <w:p w14:paraId="D2200000">
            <w:pPr>
              <w:widowControl w:val="1"/>
              <w:ind/>
              <w:contextualSpacing w:val="1"/>
              <w:jc w:val="center"/>
              <w:rPr>
                <w:sz w:val="22"/>
              </w:rPr>
            </w:pPr>
            <w:r>
              <w:rPr>
                <w:sz w:val="22"/>
              </w:rPr>
              <w:t>01.11.2018-31.10.2019</w:t>
            </w:r>
          </w:p>
        </w:tc>
        <w:tc>
          <w:tcPr>
            <w:tcW w:type="dxa" w:w="1556"/>
            <w:tcBorders>
              <w:top w:color="000000" w:sz="4" w:val="single"/>
              <w:left w:color="000000" w:sz="4" w:val="single"/>
              <w:bottom w:color="000000" w:sz="4" w:val="single"/>
              <w:right w:color="000000" w:sz="4" w:val="single"/>
            </w:tcBorders>
            <w:shd w:fill="FFFFFF" w:val="clear"/>
            <w:vAlign w:val="center"/>
          </w:tcPr>
          <w:p w14:paraId="D3200000">
            <w:pPr>
              <w:widowControl w:val="1"/>
              <w:ind/>
              <w:contextualSpacing w:val="1"/>
              <w:jc w:val="center"/>
              <w:rPr>
                <w:sz w:val="22"/>
              </w:rPr>
            </w:pPr>
            <w:r>
              <w:rPr>
                <w:sz w:val="22"/>
              </w:rPr>
              <w:t>оказание услуг связи</w:t>
            </w:r>
          </w:p>
        </w:tc>
        <w:tc>
          <w:tcPr>
            <w:tcW w:type="dxa" w:w="1194"/>
            <w:tcBorders>
              <w:top w:color="000000" w:sz="4" w:val="single"/>
              <w:left w:color="000000" w:sz="4" w:val="single"/>
              <w:bottom w:color="000000" w:sz="4" w:val="single"/>
              <w:right w:color="000000" w:sz="4" w:val="single"/>
            </w:tcBorders>
            <w:shd w:fill="FFFFFF" w:val="clear"/>
            <w:vAlign w:val="center"/>
          </w:tcPr>
          <w:p w14:paraId="D4200000">
            <w:pPr>
              <w:widowControl w:val="1"/>
              <w:ind/>
              <w:contextualSpacing w:val="1"/>
              <w:jc w:val="center"/>
              <w:rPr>
                <w:sz w:val="22"/>
              </w:rPr>
            </w:pPr>
            <w:r>
              <w:rPr>
                <w:sz w:val="22"/>
              </w:rPr>
              <w:t>516492,72</w:t>
            </w:r>
          </w:p>
        </w:tc>
        <w:tc>
          <w:tcPr>
            <w:tcW w:type="dxa" w:w="1221"/>
            <w:tcBorders>
              <w:top w:color="000000" w:sz="4" w:val="single"/>
              <w:left w:color="000000" w:sz="4" w:val="single"/>
              <w:bottom w:color="000000" w:sz="4" w:val="single"/>
              <w:right w:color="000000" w:sz="4" w:val="single"/>
            </w:tcBorders>
            <w:shd w:fill="FFFFFF" w:val="clear"/>
            <w:vAlign w:val="center"/>
          </w:tcPr>
          <w:p w14:paraId="D5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6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7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820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D9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DA200000">
            <w:pPr>
              <w:widowControl w:val="1"/>
              <w:ind/>
              <w:contextualSpacing w:val="1"/>
              <w:jc w:val="center"/>
              <w:rPr>
                <w:sz w:val="22"/>
              </w:rPr>
            </w:pPr>
            <w:r>
              <w:rPr>
                <w:sz w:val="22"/>
              </w:rPr>
              <w:t>Размещение заказа у единственного поставщика, согласно пп.7п.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DB200000">
            <w:pPr>
              <w:widowControl w:val="1"/>
              <w:ind/>
              <w:contextualSpacing w:val="1"/>
              <w:rPr>
                <w:color w:val="000000"/>
                <w:sz w:val="22"/>
              </w:rPr>
            </w:pPr>
            <w:r>
              <w:rPr>
                <w:color w:val="000000"/>
                <w:sz w:val="22"/>
              </w:rPr>
              <w:t>116</w:t>
            </w:r>
          </w:p>
        </w:tc>
        <w:tc>
          <w:tcPr>
            <w:tcW w:type="dxa" w:w="1408"/>
            <w:tcBorders>
              <w:top w:color="000000" w:sz="4" w:val="single"/>
              <w:left w:color="000000" w:sz="4" w:val="single"/>
              <w:bottom w:color="000000" w:sz="4" w:val="single"/>
              <w:right w:color="000000" w:sz="4" w:val="single"/>
            </w:tcBorders>
            <w:shd w:fill="FFFFFF" w:val="clear"/>
            <w:vAlign w:val="center"/>
          </w:tcPr>
          <w:p w14:paraId="DC200000">
            <w:pPr>
              <w:widowControl w:val="1"/>
              <w:ind/>
              <w:contextualSpacing w:val="1"/>
              <w:jc w:val="center"/>
              <w:rPr>
                <w:sz w:val="22"/>
              </w:rPr>
            </w:pPr>
            <w:r>
              <w:rPr>
                <w:sz w:val="22"/>
              </w:rPr>
              <w:t>ПАО "Вымпел-Коммуникации"</w:t>
            </w:r>
          </w:p>
        </w:tc>
        <w:tc>
          <w:tcPr>
            <w:tcW w:type="dxa" w:w="1408"/>
            <w:tcBorders>
              <w:top w:color="000000" w:sz="4" w:val="single"/>
              <w:left w:color="000000" w:sz="4" w:val="single"/>
              <w:bottom w:color="000000" w:sz="4" w:val="single"/>
              <w:right w:color="000000" w:sz="4" w:val="single"/>
            </w:tcBorders>
            <w:shd w:fill="FFFFFF" w:val="clear"/>
            <w:vAlign w:val="center"/>
          </w:tcPr>
          <w:p w14:paraId="DD200000">
            <w:pPr>
              <w:widowControl w:val="1"/>
              <w:ind/>
              <w:contextualSpacing w:val="1"/>
              <w:jc w:val="center"/>
              <w:rPr>
                <w:sz w:val="22"/>
              </w:rPr>
            </w:pPr>
            <w:r>
              <w:rPr>
                <w:sz w:val="22"/>
              </w:rPr>
              <w:t>дополнительное соглашение № 1 к договору № 0N8#07 от 26.02.2018 от 17.12.2018</w:t>
            </w:r>
          </w:p>
        </w:tc>
        <w:tc>
          <w:tcPr>
            <w:tcW w:type="dxa" w:w="1274"/>
            <w:tcBorders>
              <w:top w:color="000000" w:sz="4" w:val="single"/>
              <w:left w:color="000000" w:sz="4" w:val="single"/>
              <w:bottom w:color="000000" w:sz="4" w:val="single"/>
              <w:right w:color="000000" w:sz="4" w:val="single"/>
            </w:tcBorders>
            <w:shd w:fill="FFFFFF" w:val="clear"/>
            <w:vAlign w:val="center"/>
          </w:tcPr>
          <w:p w14:paraId="DE200000">
            <w:pPr>
              <w:widowControl w:val="1"/>
              <w:ind/>
              <w:contextualSpacing w:val="1"/>
              <w:jc w:val="center"/>
              <w:rPr>
                <w:sz w:val="22"/>
              </w:rPr>
            </w:pPr>
            <w:r>
              <w:rPr>
                <w:sz w:val="22"/>
              </w:rPr>
              <w:t>01.01.2019-31.12.2020</w:t>
            </w:r>
          </w:p>
        </w:tc>
        <w:tc>
          <w:tcPr>
            <w:tcW w:type="dxa" w:w="1556"/>
            <w:tcBorders>
              <w:top w:color="000000" w:sz="4" w:val="single"/>
              <w:left w:color="000000" w:sz="4" w:val="single"/>
              <w:bottom w:color="000000" w:sz="4" w:val="single"/>
              <w:right w:color="000000" w:sz="4" w:val="single"/>
            </w:tcBorders>
            <w:shd w:fill="FFFFFF" w:val="clear"/>
            <w:vAlign w:val="center"/>
          </w:tcPr>
          <w:p w14:paraId="DF200000">
            <w:pPr>
              <w:widowControl w:val="1"/>
              <w:ind/>
              <w:contextualSpacing w:val="1"/>
              <w:jc w:val="center"/>
              <w:rPr>
                <w:sz w:val="22"/>
              </w:rPr>
            </w:pPr>
            <w:r>
              <w:rPr>
                <w:sz w:val="22"/>
              </w:rPr>
              <w:t>увеличение предельной цены договора в связи с увеличением ставки НДС</w:t>
            </w:r>
          </w:p>
        </w:tc>
        <w:tc>
          <w:tcPr>
            <w:tcW w:type="dxa" w:w="1194"/>
            <w:tcBorders>
              <w:top w:color="000000" w:sz="4" w:val="single"/>
              <w:left w:color="000000" w:sz="4" w:val="single"/>
              <w:bottom w:color="000000" w:sz="4" w:val="single"/>
              <w:right w:color="000000" w:sz="4" w:val="single"/>
            </w:tcBorders>
            <w:shd w:fill="FFFFFF" w:val="clear"/>
            <w:vAlign w:val="center"/>
          </w:tcPr>
          <w:p w14:paraId="E0200000">
            <w:pPr>
              <w:widowControl w:val="1"/>
              <w:ind/>
              <w:contextualSpacing w:val="1"/>
              <w:jc w:val="center"/>
              <w:rPr>
                <w:sz w:val="22"/>
              </w:rPr>
            </w:pPr>
            <w:r>
              <w:rPr>
                <w:sz w:val="22"/>
              </w:rPr>
              <w:t>289253,91</w:t>
            </w:r>
          </w:p>
        </w:tc>
        <w:tc>
          <w:tcPr>
            <w:tcW w:type="dxa" w:w="1221"/>
            <w:tcBorders>
              <w:top w:color="000000" w:sz="4" w:val="single"/>
              <w:left w:color="000000" w:sz="4" w:val="single"/>
              <w:bottom w:color="000000" w:sz="4" w:val="single"/>
              <w:right w:color="000000" w:sz="4" w:val="single"/>
            </w:tcBorders>
            <w:shd w:fill="FFFFFF" w:val="clear"/>
            <w:vAlign w:val="center"/>
          </w:tcPr>
          <w:p w14:paraId="E1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2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3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420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E5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E6200000">
            <w:pPr>
              <w:widowControl w:val="1"/>
              <w:ind/>
              <w:contextualSpacing w:val="1"/>
              <w:jc w:val="center"/>
              <w:rPr>
                <w:sz w:val="22"/>
              </w:rPr>
            </w:pPr>
            <w:r>
              <w:rPr>
                <w:sz w:val="22"/>
              </w:rPr>
              <w:t>Размещение заказа у единственного поставщика, согласно пп. 7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E7200000">
            <w:pPr>
              <w:widowControl w:val="1"/>
              <w:ind/>
              <w:contextualSpacing w:val="1"/>
              <w:rPr>
                <w:color w:val="000000"/>
                <w:sz w:val="22"/>
              </w:rPr>
            </w:pPr>
            <w:r>
              <w:rPr>
                <w:color w:val="000000"/>
                <w:sz w:val="22"/>
              </w:rPr>
              <w:t>117</w:t>
            </w:r>
          </w:p>
        </w:tc>
        <w:tc>
          <w:tcPr>
            <w:tcW w:type="dxa" w:w="1408"/>
            <w:tcBorders>
              <w:top w:color="000000" w:sz="4" w:val="single"/>
              <w:left w:color="000000" w:sz="4" w:val="single"/>
              <w:bottom w:color="000000" w:sz="4" w:val="single"/>
              <w:right w:color="000000" w:sz="4" w:val="single"/>
            </w:tcBorders>
            <w:shd w:fill="FFFFFF" w:val="clear"/>
            <w:vAlign w:val="center"/>
          </w:tcPr>
          <w:p w14:paraId="E8200000">
            <w:pPr>
              <w:widowControl w:val="1"/>
              <w:ind/>
              <w:contextualSpacing w:val="1"/>
              <w:jc w:val="center"/>
              <w:rPr>
                <w:sz w:val="22"/>
              </w:rPr>
            </w:pPr>
            <w:r>
              <w:rPr>
                <w:sz w:val="22"/>
              </w:rPr>
              <w:t>ПАО "Вымпел-Коммуникации"</w:t>
            </w:r>
          </w:p>
        </w:tc>
        <w:tc>
          <w:tcPr>
            <w:tcW w:type="dxa" w:w="1408"/>
            <w:tcBorders>
              <w:top w:color="000000" w:sz="4" w:val="single"/>
              <w:left w:color="000000" w:sz="4" w:val="single"/>
              <w:bottom w:color="000000" w:sz="4" w:val="single"/>
              <w:right w:color="000000" w:sz="4" w:val="single"/>
            </w:tcBorders>
            <w:shd w:fill="FFFFFF" w:val="clear"/>
            <w:vAlign w:val="center"/>
          </w:tcPr>
          <w:p w14:paraId="E9200000">
            <w:pPr>
              <w:widowControl w:val="1"/>
              <w:ind/>
              <w:contextualSpacing w:val="1"/>
              <w:jc w:val="center"/>
              <w:rPr>
                <w:sz w:val="22"/>
              </w:rPr>
            </w:pPr>
            <w:r>
              <w:rPr>
                <w:sz w:val="22"/>
              </w:rPr>
              <w:t>дополнительное соглашение № 2 к договору № 360752942 от 31.01.2018г. От 28.12.2018</w:t>
            </w:r>
          </w:p>
        </w:tc>
        <w:tc>
          <w:tcPr>
            <w:tcW w:type="dxa" w:w="1274"/>
            <w:tcBorders>
              <w:top w:color="000000" w:sz="4" w:val="single"/>
              <w:left w:color="000000" w:sz="4" w:val="single"/>
              <w:bottom w:color="000000" w:sz="4" w:val="single"/>
              <w:right w:color="000000" w:sz="4" w:val="single"/>
            </w:tcBorders>
            <w:shd w:fill="FFFFFF" w:val="clear"/>
            <w:vAlign w:val="center"/>
          </w:tcPr>
          <w:p w14:paraId="EA200000">
            <w:pPr>
              <w:widowControl w:val="1"/>
              <w:ind/>
              <w:contextualSpacing w:val="1"/>
              <w:jc w:val="center"/>
              <w:rPr>
                <w:sz w:val="22"/>
              </w:rPr>
            </w:pPr>
            <w:r>
              <w:rPr>
                <w:sz w:val="22"/>
              </w:rPr>
              <w:t>01.01.2018-31.12.2019</w:t>
            </w:r>
          </w:p>
        </w:tc>
        <w:tc>
          <w:tcPr>
            <w:tcW w:type="dxa" w:w="1556"/>
            <w:tcBorders>
              <w:top w:color="000000" w:sz="4" w:val="single"/>
              <w:left w:color="000000" w:sz="4" w:val="single"/>
              <w:bottom w:color="000000" w:sz="4" w:val="single"/>
              <w:right w:color="000000" w:sz="4" w:val="single"/>
            </w:tcBorders>
            <w:shd w:fill="FFFFFF" w:val="clear"/>
            <w:vAlign w:val="center"/>
          </w:tcPr>
          <w:p w14:paraId="EB200000">
            <w:pPr>
              <w:widowControl w:val="1"/>
              <w:ind/>
              <w:contextualSpacing w:val="1"/>
              <w:jc w:val="center"/>
              <w:rPr>
                <w:sz w:val="22"/>
              </w:rPr>
            </w:pPr>
            <w:r>
              <w:rPr>
                <w:sz w:val="22"/>
              </w:rPr>
              <w:t>увеличение предельной цены договора в связи с увеличением ставки НДС</w:t>
            </w:r>
          </w:p>
        </w:tc>
        <w:tc>
          <w:tcPr>
            <w:tcW w:type="dxa" w:w="1194"/>
            <w:tcBorders>
              <w:top w:color="000000" w:sz="4" w:val="single"/>
              <w:left w:color="000000" w:sz="4" w:val="single"/>
              <w:bottom w:color="000000" w:sz="4" w:val="single"/>
              <w:right w:color="000000" w:sz="4" w:val="single"/>
            </w:tcBorders>
            <w:shd w:fill="FFFFFF" w:val="clear"/>
            <w:vAlign w:val="center"/>
          </w:tcPr>
          <w:p w14:paraId="EC200000">
            <w:pPr>
              <w:widowControl w:val="1"/>
              <w:ind/>
              <w:contextualSpacing w:val="1"/>
              <w:jc w:val="center"/>
              <w:rPr>
                <w:sz w:val="22"/>
              </w:rPr>
            </w:pPr>
            <w:r>
              <w:rPr>
                <w:sz w:val="22"/>
              </w:rPr>
              <w:t>423596,75</w:t>
            </w:r>
          </w:p>
        </w:tc>
        <w:tc>
          <w:tcPr>
            <w:tcW w:type="dxa" w:w="1221"/>
            <w:tcBorders>
              <w:top w:color="000000" w:sz="4" w:val="single"/>
              <w:left w:color="000000" w:sz="4" w:val="single"/>
              <w:bottom w:color="000000" w:sz="4" w:val="single"/>
              <w:right w:color="000000" w:sz="4" w:val="single"/>
            </w:tcBorders>
            <w:shd w:fill="FFFFFF" w:val="clear"/>
            <w:vAlign w:val="center"/>
          </w:tcPr>
          <w:p w14:paraId="ED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E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F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020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F1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F2200000">
            <w:pPr>
              <w:widowControl w:val="1"/>
              <w:ind/>
              <w:contextualSpacing w:val="1"/>
              <w:jc w:val="center"/>
              <w:rPr>
                <w:sz w:val="22"/>
              </w:rPr>
            </w:pPr>
            <w:r>
              <w:rPr>
                <w:sz w:val="22"/>
              </w:rPr>
              <w:t>Размещение заказа у единственного поставщика, согласно пп. 7 п. 89  положения утвержденного СД 22.10.2018г. Протокол № 5</w:t>
            </w:r>
          </w:p>
        </w:tc>
      </w:tr>
      <w:tr>
        <w:trPr>
          <w:trHeight w:hRule="atLeast" w:val="214"/>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F3200000">
            <w:pPr>
              <w:widowControl w:val="1"/>
              <w:ind/>
              <w:contextualSpacing w:val="1"/>
              <w:jc w:val="center"/>
              <w:rPr>
                <w:color w:val="000000"/>
                <w:sz w:val="22"/>
              </w:rPr>
            </w:pPr>
            <w:r>
              <w:rPr>
                <w:color w:val="000000"/>
                <w:sz w:val="22"/>
              </w:rPr>
              <w:t>итого по контрагенту ПАО "Вымпел-Коммуникации" 1746179,38 руб.</w:t>
            </w:r>
          </w:p>
          <w:p w14:paraId="F4200000">
            <w:pPr>
              <w:widowControl w:val="1"/>
              <w:ind/>
              <w:contextualSpacing w:val="1"/>
              <w:jc w:val="center"/>
              <w:rPr>
                <w:color w:val="000000"/>
                <w:sz w:val="22"/>
              </w:rPr>
            </w:pPr>
          </w:p>
        </w:tc>
      </w:tr>
      <w:tr>
        <w:trPr>
          <w:trHeight w:hRule="atLeast" w:val="2475"/>
        </w:trPr>
        <w:tc>
          <w:tcPr>
            <w:tcW w:type="dxa" w:w="528"/>
            <w:tcBorders>
              <w:top w:color="000000" w:sz="4" w:val="single"/>
              <w:left w:color="000000" w:sz="4" w:val="single"/>
              <w:bottom w:color="000000" w:sz="4" w:val="single"/>
              <w:right w:color="000000" w:sz="4" w:val="single"/>
            </w:tcBorders>
            <w:shd w:fill="FFFFFF" w:val="clear"/>
            <w:vAlign w:val="center"/>
          </w:tcPr>
          <w:p w14:paraId="F5200000">
            <w:pPr>
              <w:widowControl w:val="1"/>
              <w:ind/>
              <w:contextualSpacing w:val="1"/>
              <w:rPr>
                <w:color w:val="000000"/>
                <w:sz w:val="22"/>
              </w:rPr>
            </w:pPr>
            <w:r>
              <w:rPr>
                <w:color w:val="000000"/>
                <w:sz w:val="22"/>
              </w:rPr>
              <w:t>118</w:t>
            </w:r>
          </w:p>
        </w:tc>
        <w:tc>
          <w:tcPr>
            <w:tcW w:type="dxa" w:w="1408"/>
            <w:tcBorders>
              <w:top w:color="000000" w:sz="4" w:val="single"/>
              <w:left w:color="000000" w:sz="4" w:val="single"/>
              <w:bottom w:color="000000" w:sz="4" w:val="single"/>
              <w:right w:color="000000" w:sz="4" w:val="single"/>
            </w:tcBorders>
            <w:shd w:fill="FFFFFF" w:val="clear"/>
            <w:vAlign w:val="center"/>
          </w:tcPr>
          <w:p w14:paraId="F6200000">
            <w:pPr>
              <w:widowControl w:val="1"/>
              <w:ind/>
              <w:contextualSpacing w:val="1"/>
              <w:jc w:val="center"/>
              <w:rPr>
                <w:sz w:val="22"/>
              </w:rPr>
            </w:pPr>
            <w:r>
              <w:rPr>
                <w:sz w:val="22"/>
              </w:rPr>
              <w:t>ПАО Банк ВТБ</w:t>
            </w:r>
          </w:p>
        </w:tc>
        <w:tc>
          <w:tcPr>
            <w:tcW w:type="dxa" w:w="1408"/>
            <w:tcBorders>
              <w:top w:color="000000" w:sz="4" w:val="single"/>
              <w:left w:color="000000" w:sz="4" w:val="single"/>
              <w:bottom w:color="000000" w:sz="4" w:val="single"/>
              <w:right w:color="000000" w:sz="4" w:val="single"/>
            </w:tcBorders>
            <w:shd w:fill="FFFFFF" w:val="clear"/>
            <w:vAlign w:val="center"/>
          </w:tcPr>
          <w:p w14:paraId="F7200000">
            <w:pPr>
              <w:widowControl w:val="1"/>
              <w:ind/>
              <w:contextualSpacing w:val="1"/>
              <w:jc w:val="center"/>
              <w:rPr>
                <w:sz w:val="22"/>
              </w:rPr>
            </w:pPr>
            <w:r>
              <w:rPr>
                <w:sz w:val="22"/>
              </w:rPr>
              <w:t>дополнительное соглашение № 4 к договору № 141 от 27.10.2014г. От 06.03.2018</w:t>
            </w:r>
          </w:p>
        </w:tc>
        <w:tc>
          <w:tcPr>
            <w:tcW w:type="dxa" w:w="1274"/>
            <w:tcBorders>
              <w:top w:color="000000" w:sz="4" w:val="single"/>
              <w:left w:color="000000" w:sz="4" w:val="single"/>
              <w:bottom w:color="000000" w:sz="4" w:val="single"/>
              <w:right w:color="000000" w:sz="4" w:val="single"/>
            </w:tcBorders>
            <w:shd w:fill="FFFFFF" w:val="clear"/>
            <w:vAlign w:val="center"/>
          </w:tcPr>
          <w:p w14:paraId="F8200000">
            <w:pPr>
              <w:widowControl w:val="1"/>
              <w:ind/>
              <w:contextualSpacing w:val="1"/>
              <w:jc w:val="center"/>
              <w:rPr>
                <w:sz w:val="22"/>
              </w:rPr>
            </w:pPr>
            <w:r>
              <w:rPr>
                <w:sz w:val="22"/>
              </w:rPr>
              <w:t>06.03.2018-бессрочно</w:t>
            </w:r>
          </w:p>
        </w:tc>
        <w:tc>
          <w:tcPr>
            <w:tcW w:type="dxa" w:w="1556"/>
            <w:tcBorders>
              <w:top w:color="000000" w:sz="4" w:val="single"/>
              <w:left w:color="000000" w:sz="4" w:val="single"/>
              <w:bottom w:color="000000" w:sz="4" w:val="single"/>
              <w:right w:color="000000" w:sz="4" w:val="single"/>
            </w:tcBorders>
            <w:shd w:fill="FFFFFF" w:val="clear"/>
            <w:vAlign w:val="center"/>
          </w:tcPr>
          <w:p w14:paraId="F9200000">
            <w:pPr>
              <w:widowControl w:val="1"/>
              <w:ind/>
              <w:contextualSpacing w:val="1"/>
              <w:jc w:val="center"/>
              <w:rPr>
                <w:sz w:val="22"/>
              </w:rPr>
            </w:pPr>
            <w:r>
              <w:rPr>
                <w:sz w:val="22"/>
              </w:rPr>
              <w:t>внесение изменений в приложение № 1 договора на оказание услуг приема и пересчета наличных денег без открытия клиентом расчетного счета с дальнейшим перечислением средств на счет клиента, открытый в другом банке без изменения предельной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FA200000">
            <w:pPr>
              <w:widowControl w:val="1"/>
              <w:ind/>
              <w:contextualSpacing w:val="1"/>
              <w:jc w:val="center"/>
              <w:rPr>
                <w:sz w:val="22"/>
              </w:rPr>
            </w:pPr>
            <w:r>
              <w:rPr>
                <w:sz w:val="22"/>
              </w:rPr>
              <w:t>99818,08</w:t>
            </w:r>
          </w:p>
        </w:tc>
        <w:tc>
          <w:tcPr>
            <w:tcW w:type="dxa" w:w="1221"/>
            <w:tcBorders>
              <w:top w:color="000000" w:sz="4" w:val="single"/>
              <w:left w:color="000000" w:sz="4" w:val="single"/>
              <w:bottom w:color="000000" w:sz="4" w:val="single"/>
              <w:right w:color="000000" w:sz="4" w:val="single"/>
            </w:tcBorders>
            <w:shd w:fill="FFFFFF" w:val="clear"/>
            <w:vAlign w:val="center"/>
          </w:tcPr>
          <w:p w14:paraId="FB20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C20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D20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E20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FF20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0210000">
            <w:pPr>
              <w:widowControl w:val="1"/>
              <w:ind/>
              <w:contextualSpacing w:val="1"/>
              <w:jc w:val="center"/>
              <w:rPr>
                <w:sz w:val="22"/>
              </w:rPr>
            </w:pPr>
            <w:r>
              <w:rPr>
                <w:sz w:val="22"/>
              </w:rPr>
              <w:t>Размещение заказа у единственного поставщика, согласно пп. 1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01210000">
            <w:pPr>
              <w:widowControl w:val="1"/>
              <w:ind/>
              <w:contextualSpacing w:val="1"/>
              <w:rPr>
                <w:color w:val="000000"/>
                <w:sz w:val="22"/>
              </w:rPr>
            </w:pPr>
            <w:r>
              <w:rPr>
                <w:color w:val="000000"/>
                <w:sz w:val="22"/>
              </w:rPr>
              <w:t>119</w:t>
            </w:r>
          </w:p>
        </w:tc>
        <w:tc>
          <w:tcPr>
            <w:tcW w:type="dxa" w:w="1408"/>
            <w:tcBorders>
              <w:top w:color="000000" w:sz="4" w:val="single"/>
              <w:left w:color="000000" w:sz="4" w:val="single"/>
              <w:bottom w:color="000000" w:sz="4" w:val="single"/>
              <w:right w:color="000000" w:sz="4" w:val="single"/>
            </w:tcBorders>
            <w:shd w:fill="FFFFFF" w:val="clear"/>
            <w:vAlign w:val="center"/>
          </w:tcPr>
          <w:p w14:paraId="02210000">
            <w:pPr>
              <w:widowControl w:val="1"/>
              <w:ind/>
              <w:contextualSpacing w:val="1"/>
              <w:jc w:val="center"/>
              <w:rPr>
                <w:sz w:val="22"/>
              </w:rPr>
            </w:pPr>
            <w:r>
              <w:rPr>
                <w:sz w:val="22"/>
              </w:rPr>
              <w:t>САО "Надежда"</w:t>
            </w:r>
          </w:p>
        </w:tc>
        <w:tc>
          <w:tcPr>
            <w:tcW w:type="dxa" w:w="1408"/>
            <w:tcBorders>
              <w:top w:color="000000" w:sz="4" w:val="single"/>
              <w:left w:color="000000" w:sz="4" w:val="single"/>
              <w:bottom w:color="000000" w:sz="4" w:val="single"/>
              <w:right w:color="000000" w:sz="4" w:val="single"/>
            </w:tcBorders>
            <w:shd w:fill="FFFFFF" w:val="clear"/>
            <w:vAlign w:val="center"/>
          </w:tcPr>
          <w:p w14:paraId="03210000">
            <w:pPr>
              <w:widowControl w:val="1"/>
              <w:ind/>
              <w:contextualSpacing w:val="1"/>
              <w:jc w:val="center"/>
              <w:rPr>
                <w:sz w:val="22"/>
              </w:rPr>
            </w:pPr>
            <w:r>
              <w:rPr>
                <w:sz w:val="22"/>
              </w:rPr>
              <w:t>договор № 184220041 от 12.01.2018</w:t>
            </w:r>
          </w:p>
        </w:tc>
        <w:tc>
          <w:tcPr>
            <w:tcW w:type="dxa" w:w="1274"/>
            <w:tcBorders>
              <w:top w:color="000000" w:sz="4" w:val="single"/>
              <w:left w:color="000000" w:sz="4" w:val="single"/>
              <w:bottom w:color="000000" w:sz="4" w:val="single"/>
              <w:right w:color="000000" w:sz="4" w:val="single"/>
            </w:tcBorders>
            <w:shd w:fill="FFFFFF" w:val="clear"/>
            <w:vAlign w:val="center"/>
          </w:tcPr>
          <w:p w14:paraId="04210000">
            <w:pPr>
              <w:widowControl w:val="1"/>
              <w:ind/>
              <w:contextualSpacing w:val="1"/>
              <w:jc w:val="center"/>
              <w:rPr>
                <w:sz w:val="22"/>
              </w:rPr>
            </w:pPr>
            <w:r>
              <w:rPr>
                <w:sz w:val="22"/>
              </w:rPr>
              <w:t>16.01.2018-15.01.2019</w:t>
            </w:r>
          </w:p>
        </w:tc>
        <w:tc>
          <w:tcPr>
            <w:tcW w:type="dxa" w:w="1556"/>
            <w:tcBorders>
              <w:top w:color="000000" w:sz="4" w:val="single"/>
              <w:left w:color="000000" w:sz="4" w:val="single"/>
              <w:bottom w:color="000000" w:sz="4" w:val="single"/>
              <w:right w:color="000000" w:sz="4" w:val="single"/>
            </w:tcBorders>
            <w:shd w:fill="FFFFFF" w:val="clear"/>
            <w:vAlign w:val="center"/>
          </w:tcPr>
          <w:p w14:paraId="05210000">
            <w:pPr>
              <w:widowControl w:val="1"/>
              <w:ind/>
              <w:contextualSpacing w:val="1"/>
              <w:jc w:val="center"/>
              <w:rPr>
                <w:sz w:val="22"/>
              </w:rPr>
            </w:pPr>
            <w:r>
              <w:rPr>
                <w:sz w:val="22"/>
              </w:rPr>
              <w:t>оказание услуг страхования ОСАГО Пежо</w:t>
            </w:r>
          </w:p>
        </w:tc>
        <w:tc>
          <w:tcPr>
            <w:tcW w:type="dxa" w:w="1194"/>
            <w:tcBorders>
              <w:top w:color="000000" w:sz="4" w:val="single"/>
              <w:left w:color="000000" w:sz="4" w:val="single"/>
              <w:bottom w:color="000000" w:sz="4" w:val="single"/>
              <w:right w:color="000000" w:sz="4" w:val="single"/>
            </w:tcBorders>
            <w:shd w:fill="FFFFFF" w:val="clear"/>
            <w:vAlign w:val="center"/>
          </w:tcPr>
          <w:p w14:paraId="06210000">
            <w:pPr>
              <w:widowControl w:val="1"/>
              <w:ind/>
              <w:contextualSpacing w:val="1"/>
              <w:jc w:val="center"/>
              <w:rPr>
                <w:sz w:val="22"/>
              </w:rPr>
            </w:pPr>
            <w:r>
              <w:rPr>
                <w:sz w:val="22"/>
              </w:rPr>
              <w:t>7002,68</w:t>
            </w:r>
          </w:p>
        </w:tc>
        <w:tc>
          <w:tcPr>
            <w:tcW w:type="dxa" w:w="1221"/>
            <w:tcBorders>
              <w:top w:color="000000" w:sz="4" w:val="single"/>
              <w:left w:color="000000" w:sz="4" w:val="single"/>
              <w:bottom w:color="000000" w:sz="4" w:val="single"/>
              <w:right w:color="000000" w:sz="4" w:val="single"/>
            </w:tcBorders>
            <w:shd w:fill="FFFFFF" w:val="clear"/>
            <w:vAlign w:val="center"/>
          </w:tcPr>
          <w:p w14:paraId="07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8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9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0A21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0B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C21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0D210000">
            <w:pPr>
              <w:widowControl w:val="1"/>
              <w:ind/>
              <w:contextualSpacing w:val="1"/>
              <w:rPr>
                <w:color w:val="000000"/>
                <w:sz w:val="22"/>
              </w:rPr>
            </w:pPr>
            <w:r>
              <w:rPr>
                <w:color w:val="000000"/>
                <w:sz w:val="22"/>
              </w:rPr>
              <w:t>120</w:t>
            </w:r>
          </w:p>
        </w:tc>
        <w:tc>
          <w:tcPr>
            <w:tcW w:type="dxa" w:w="1408"/>
            <w:tcBorders>
              <w:top w:color="000000" w:sz="4" w:val="single"/>
              <w:left w:color="000000" w:sz="4" w:val="single"/>
              <w:bottom w:color="000000" w:sz="4" w:val="single"/>
              <w:right w:color="000000" w:sz="4" w:val="single"/>
            </w:tcBorders>
            <w:shd w:fill="FFFFFF" w:val="clear"/>
            <w:vAlign w:val="center"/>
          </w:tcPr>
          <w:p w14:paraId="0E210000">
            <w:pPr>
              <w:widowControl w:val="1"/>
              <w:ind/>
              <w:contextualSpacing w:val="1"/>
              <w:jc w:val="center"/>
              <w:rPr>
                <w:sz w:val="22"/>
              </w:rPr>
            </w:pPr>
            <w:r>
              <w:rPr>
                <w:sz w:val="22"/>
              </w:rPr>
              <w:t>САО "Надежда"</w:t>
            </w:r>
          </w:p>
        </w:tc>
        <w:tc>
          <w:tcPr>
            <w:tcW w:type="dxa" w:w="1408"/>
            <w:tcBorders>
              <w:top w:color="000000" w:sz="4" w:val="single"/>
              <w:left w:color="000000" w:sz="4" w:val="single"/>
              <w:bottom w:color="000000" w:sz="4" w:val="single"/>
              <w:right w:color="000000" w:sz="4" w:val="single"/>
            </w:tcBorders>
            <w:shd w:fill="FFFFFF" w:val="clear"/>
            <w:vAlign w:val="center"/>
          </w:tcPr>
          <w:p w14:paraId="0F210000">
            <w:pPr>
              <w:widowControl w:val="1"/>
              <w:ind/>
              <w:contextualSpacing w:val="1"/>
              <w:jc w:val="center"/>
              <w:rPr>
                <w:sz w:val="22"/>
              </w:rPr>
            </w:pPr>
            <w:r>
              <w:rPr>
                <w:sz w:val="22"/>
              </w:rPr>
              <w:t>договор № 182630062 от 16.01.2018</w:t>
            </w:r>
          </w:p>
        </w:tc>
        <w:tc>
          <w:tcPr>
            <w:tcW w:type="dxa" w:w="1274"/>
            <w:tcBorders>
              <w:top w:color="000000" w:sz="4" w:val="single"/>
              <w:left w:color="000000" w:sz="4" w:val="single"/>
              <w:bottom w:color="000000" w:sz="4" w:val="single"/>
              <w:right w:color="000000" w:sz="4" w:val="single"/>
            </w:tcBorders>
            <w:shd w:fill="FFFFFF" w:val="clear"/>
            <w:vAlign w:val="center"/>
          </w:tcPr>
          <w:p w14:paraId="10210000">
            <w:pPr>
              <w:widowControl w:val="1"/>
              <w:ind/>
              <w:contextualSpacing w:val="1"/>
              <w:jc w:val="center"/>
              <w:rPr>
                <w:sz w:val="22"/>
              </w:rPr>
            </w:pPr>
            <w:r>
              <w:rPr>
                <w:sz w:val="22"/>
              </w:rPr>
              <w:t>17.01.2018-16.01.2019</w:t>
            </w:r>
          </w:p>
        </w:tc>
        <w:tc>
          <w:tcPr>
            <w:tcW w:type="dxa" w:w="1556"/>
            <w:tcBorders>
              <w:top w:color="000000" w:sz="4" w:val="single"/>
              <w:left w:color="000000" w:sz="4" w:val="single"/>
              <w:bottom w:color="000000" w:sz="4" w:val="single"/>
              <w:right w:color="000000" w:sz="4" w:val="single"/>
            </w:tcBorders>
            <w:shd w:fill="FFFFFF" w:val="clear"/>
            <w:vAlign w:val="center"/>
          </w:tcPr>
          <w:p w14:paraId="11210000">
            <w:pPr>
              <w:widowControl w:val="1"/>
              <w:ind/>
              <w:contextualSpacing w:val="1"/>
              <w:jc w:val="center"/>
              <w:rPr>
                <w:sz w:val="22"/>
              </w:rPr>
            </w:pPr>
            <w:r>
              <w:rPr>
                <w:sz w:val="22"/>
              </w:rPr>
              <w:t>оказание услуг страхования КАСКО Пежо</w:t>
            </w:r>
          </w:p>
        </w:tc>
        <w:tc>
          <w:tcPr>
            <w:tcW w:type="dxa" w:w="1194"/>
            <w:tcBorders>
              <w:top w:color="000000" w:sz="4" w:val="single"/>
              <w:left w:color="000000" w:sz="4" w:val="single"/>
              <w:bottom w:color="000000" w:sz="4" w:val="single"/>
              <w:right w:color="000000" w:sz="4" w:val="single"/>
            </w:tcBorders>
            <w:shd w:fill="FFFFFF" w:val="clear"/>
            <w:vAlign w:val="center"/>
          </w:tcPr>
          <w:p w14:paraId="12210000">
            <w:pPr>
              <w:widowControl w:val="1"/>
              <w:ind/>
              <w:contextualSpacing w:val="1"/>
              <w:jc w:val="center"/>
              <w:rPr>
                <w:sz w:val="22"/>
              </w:rPr>
            </w:pPr>
            <w:r>
              <w:rPr>
                <w:sz w:val="22"/>
              </w:rPr>
              <w:t>43506</w:t>
            </w:r>
          </w:p>
        </w:tc>
        <w:tc>
          <w:tcPr>
            <w:tcW w:type="dxa" w:w="1221"/>
            <w:tcBorders>
              <w:top w:color="000000" w:sz="4" w:val="single"/>
              <w:left w:color="000000" w:sz="4" w:val="single"/>
              <w:bottom w:color="000000" w:sz="4" w:val="single"/>
              <w:right w:color="000000" w:sz="4" w:val="single"/>
            </w:tcBorders>
            <w:shd w:fill="FFFFFF" w:val="clear"/>
            <w:vAlign w:val="center"/>
          </w:tcPr>
          <w:p w14:paraId="13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4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5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621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17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1821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19210000">
            <w:pPr>
              <w:widowControl w:val="1"/>
              <w:ind/>
              <w:contextualSpacing w:val="1"/>
              <w:rPr>
                <w:color w:val="000000"/>
                <w:sz w:val="22"/>
              </w:rPr>
            </w:pPr>
            <w:r>
              <w:rPr>
                <w:color w:val="000000"/>
                <w:sz w:val="22"/>
              </w:rPr>
              <w:t>121</w:t>
            </w:r>
          </w:p>
        </w:tc>
        <w:tc>
          <w:tcPr>
            <w:tcW w:type="dxa" w:w="1408"/>
            <w:tcBorders>
              <w:top w:color="000000" w:sz="4" w:val="single"/>
              <w:left w:color="000000" w:sz="4" w:val="single"/>
              <w:bottom w:color="000000" w:sz="4" w:val="single"/>
              <w:right w:color="000000" w:sz="4" w:val="single"/>
            </w:tcBorders>
            <w:shd w:fill="FFFFFF" w:val="clear"/>
            <w:vAlign w:val="center"/>
          </w:tcPr>
          <w:p w14:paraId="1A210000">
            <w:pPr>
              <w:widowControl w:val="1"/>
              <w:ind/>
              <w:contextualSpacing w:val="1"/>
              <w:jc w:val="center"/>
              <w:rPr>
                <w:sz w:val="22"/>
              </w:rPr>
            </w:pPr>
            <w:r>
              <w:rPr>
                <w:sz w:val="22"/>
              </w:rPr>
              <w:t>САО "Надежда"</w:t>
            </w:r>
          </w:p>
        </w:tc>
        <w:tc>
          <w:tcPr>
            <w:tcW w:type="dxa" w:w="1408"/>
            <w:tcBorders>
              <w:top w:color="000000" w:sz="4" w:val="single"/>
              <w:left w:color="000000" w:sz="4" w:val="single"/>
              <w:bottom w:color="000000" w:sz="4" w:val="single"/>
              <w:right w:color="000000" w:sz="4" w:val="single"/>
            </w:tcBorders>
            <w:shd w:fill="FFFFFF" w:val="clear"/>
            <w:vAlign w:val="center"/>
          </w:tcPr>
          <w:p w14:paraId="1B210000">
            <w:pPr>
              <w:widowControl w:val="1"/>
              <w:ind/>
              <w:contextualSpacing w:val="1"/>
              <w:jc w:val="center"/>
              <w:rPr>
                <w:sz w:val="22"/>
              </w:rPr>
            </w:pPr>
            <w:r>
              <w:rPr>
                <w:sz w:val="22"/>
              </w:rPr>
              <w:t>договор № 182210481 от 12.03.2018</w:t>
            </w:r>
          </w:p>
        </w:tc>
        <w:tc>
          <w:tcPr>
            <w:tcW w:type="dxa" w:w="1274"/>
            <w:tcBorders>
              <w:top w:color="000000" w:sz="4" w:val="single"/>
              <w:left w:color="000000" w:sz="4" w:val="single"/>
              <w:bottom w:color="000000" w:sz="4" w:val="single"/>
              <w:right w:color="000000" w:sz="4" w:val="single"/>
            </w:tcBorders>
            <w:shd w:fill="FFFFFF" w:val="clear"/>
            <w:vAlign w:val="center"/>
          </w:tcPr>
          <w:p w14:paraId="1C210000">
            <w:pPr>
              <w:widowControl w:val="1"/>
              <w:ind/>
              <w:contextualSpacing w:val="1"/>
              <w:jc w:val="center"/>
              <w:rPr>
                <w:sz w:val="22"/>
              </w:rPr>
            </w:pPr>
            <w:r>
              <w:rPr>
                <w:sz w:val="22"/>
              </w:rPr>
              <w:t>23.03.2018-22.03.2019</w:t>
            </w:r>
          </w:p>
        </w:tc>
        <w:tc>
          <w:tcPr>
            <w:tcW w:type="dxa" w:w="1556"/>
            <w:tcBorders>
              <w:top w:color="000000" w:sz="4" w:val="single"/>
              <w:left w:color="000000" w:sz="4" w:val="single"/>
              <w:bottom w:color="000000" w:sz="4" w:val="single"/>
              <w:right w:color="000000" w:sz="4" w:val="single"/>
            </w:tcBorders>
            <w:shd w:fill="FFFFFF" w:val="clear"/>
            <w:vAlign w:val="center"/>
          </w:tcPr>
          <w:p w14:paraId="1D210000">
            <w:pPr>
              <w:widowControl w:val="1"/>
              <w:ind/>
              <w:contextualSpacing w:val="1"/>
              <w:jc w:val="center"/>
              <w:rPr>
                <w:sz w:val="22"/>
              </w:rPr>
            </w:pPr>
            <w:r>
              <w:rPr>
                <w:sz w:val="22"/>
              </w:rPr>
              <w:t>оказание услуг добровольного страхования от несчастного случая и болезни</w:t>
            </w:r>
          </w:p>
        </w:tc>
        <w:tc>
          <w:tcPr>
            <w:tcW w:type="dxa" w:w="1194"/>
            <w:tcBorders>
              <w:top w:color="000000" w:sz="4" w:val="single"/>
              <w:left w:color="000000" w:sz="4" w:val="single"/>
              <w:bottom w:color="000000" w:sz="4" w:val="single"/>
              <w:right w:color="000000" w:sz="4" w:val="single"/>
            </w:tcBorders>
            <w:shd w:fill="FFFFFF" w:val="clear"/>
            <w:vAlign w:val="center"/>
          </w:tcPr>
          <w:p w14:paraId="1E210000">
            <w:pPr>
              <w:widowControl w:val="1"/>
              <w:ind/>
              <w:contextualSpacing w:val="1"/>
              <w:jc w:val="center"/>
              <w:rPr>
                <w:sz w:val="22"/>
              </w:rPr>
            </w:pPr>
            <w:r>
              <w:rPr>
                <w:sz w:val="22"/>
              </w:rPr>
              <w:t>11152</w:t>
            </w:r>
          </w:p>
        </w:tc>
        <w:tc>
          <w:tcPr>
            <w:tcW w:type="dxa" w:w="1221"/>
            <w:tcBorders>
              <w:top w:color="000000" w:sz="4" w:val="single"/>
              <w:left w:color="000000" w:sz="4" w:val="single"/>
              <w:bottom w:color="000000" w:sz="4" w:val="single"/>
              <w:right w:color="000000" w:sz="4" w:val="single"/>
            </w:tcBorders>
            <w:shd w:fill="FFFFFF" w:val="clear"/>
            <w:vAlign w:val="center"/>
          </w:tcPr>
          <w:p w14:paraId="1F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0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1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221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23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2421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5210000">
            <w:pPr>
              <w:widowControl w:val="1"/>
              <w:ind/>
              <w:contextualSpacing w:val="1"/>
              <w:rPr>
                <w:color w:val="000000"/>
                <w:sz w:val="22"/>
              </w:rPr>
            </w:pPr>
            <w:r>
              <w:rPr>
                <w:color w:val="000000"/>
                <w:sz w:val="22"/>
              </w:rPr>
              <w:t>122</w:t>
            </w:r>
          </w:p>
        </w:tc>
        <w:tc>
          <w:tcPr>
            <w:tcW w:type="dxa" w:w="1408"/>
            <w:tcBorders>
              <w:top w:color="000000" w:sz="4" w:val="single"/>
              <w:left w:color="000000" w:sz="4" w:val="single"/>
              <w:bottom w:color="000000" w:sz="4" w:val="single"/>
              <w:right w:color="000000" w:sz="4" w:val="single"/>
            </w:tcBorders>
            <w:shd w:fill="FFFFFF" w:val="clear"/>
            <w:vAlign w:val="center"/>
          </w:tcPr>
          <w:p w14:paraId="26210000">
            <w:pPr>
              <w:widowControl w:val="1"/>
              <w:ind/>
              <w:contextualSpacing w:val="1"/>
              <w:jc w:val="center"/>
              <w:rPr>
                <w:sz w:val="22"/>
              </w:rPr>
            </w:pPr>
            <w:r>
              <w:rPr>
                <w:sz w:val="22"/>
              </w:rPr>
              <w:t>САО "Надежда"</w:t>
            </w:r>
          </w:p>
        </w:tc>
        <w:tc>
          <w:tcPr>
            <w:tcW w:type="dxa" w:w="1408"/>
            <w:tcBorders>
              <w:top w:color="000000" w:sz="4" w:val="single"/>
              <w:left w:color="000000" w:sz="4" w:val="single"/>
              <w:bottom w:color="000000" w:sz="4" w:val="single"/>
              <w:right w:color="000000" w:sz="4" w:val="single"/>
            </w:tcBorders>
            <w:shd w:fill="FFFFFF" w:val="clear"/>
            <w:vAlign w:val="center"/>
          </w:tcPr>
          <w:p w14:paraId="27210000">
            <w:pPr>
              <w:widowControl w:val="1"/>
              <w:ind/>
              <w:contextualSpacing w:val="1"/>
              <w:jc w:val="center"/>
              <w:rPr>
                <w:sz w:val="22"/>
              </w:rPr>
            </w:pPr>
            <w:r>
              <w:rPr>
                <w:sz w:val="22"/>
              </w:rPr>
              <w:t>дополнительное соглашение № 1 к договору № 182210481 от 12.03.2018г. От 16.04.2018</w:t>
            </w:r>
          </w:p>
        </w:tc>
        <w:tc>
          <w:tcPr>
            <w:tcW w:type="dxa" w:w="1274"/>
            <w:tcBorders>
              <w:top w:color="000000" w:sz="4" w:val="single"/>
              <w:left w:color="000000" w:sz="4" w:val="single"/>
              <w:bottom w:color="000000" w:sz="4" w:val="single"/>
              <w:right w:color="000000" w:sz="4" w:val="single"/>
            </w:tcBorders>
            <w:shd w:fill="FFFFFF" w:val="clear"/>
            <w:vAlign w:val="center"/>
          </w:tcPr>
          <w:p w14:paraId="28210000">
            <w:pPr>
              <w:widowControl w:val="1"/>
              <w:ind/>
              <w:contextualSpacing w:val="1"/>
              <w:jc w:val="center"/>
              <w:rPr>
                <w:sz w:val="22"/>
              </w:rPr>
            </w:pPr>
            <w:r>
              <w:rPr>
                <w:sz w:val="22"/>
              </w:rPr>
              <w:t>16.04.2018-22.03.2018</w:t>
            </w:r>
          </w:p>
        </w:tc>
        <w:tc>
          <w:tcPr>
            <w:tcW w:type="dxa" w:w="1556"/>
            <w:tcBorders>
              <w:top w:color="000000" w:sz="4" w:val="single"/>
              <w:left w:color="000000" w:sz="4" w:val="single"/>
              <w:bottom w:color="000000" w:sz="4" w:val="single"/>
              <w:right w:color="000000" w:sz="4" w:val="single"/>
            </w:tcBorders>
            <w:shd w:fill="FFFFFF" w:val="clear"/>
            <w:vAlign w:val="center"/>
          </w:tcPr>
          <w:p w14:paraId="29210000">
            <w:pPr>
              <w:widowControl w:val="1"/>
              <w:ind/>
              <w:contextualSpacing w:val="1"/>
              <w:jc w:val="center"/>
              <w:rPr>
                <w:sz w:val="22"/>
              </w:rPr>
            </w:pPr>
            <w:r>
              <w:rPr>
                <w:sz w:val="22"/>
              </w:rPr>
              <w:t>внесение изменений в список застрахованных лиц, изменение размера страховой суммы, страховой премии</w:t>
            </w:r>
          </w:p>
        </w:tc>
        <w:tc>
          <w:tcPr>
            <w:tcW w:type="dxa" w:w="1194"/>
            <w:tcBorders>
              <w:top w:color="000000" w:sz="4" w:val="single"/>
              <w:left w:color="000000" w:sz="4" w:val="single"/>
              <w:bottom w:color="000000" w:sz="4" w:val="single"/>
              <w:right w:color="000000" w:sz="4" w:val="single"/>
            </w:tcBorders>
            <w:shd w:fill="FFFFFF" w:val="clear"/>
            <w:vAlign w:val="center"/>
          </w:tcPr>
          <w:p w14:paraId="2A210000">
            <w:pPr>
              <w:widowControl w:val="1"/>
              <w:ind/>
              <w:contextualSpacing w:val="1"/>
              <w:jc w:val="center"/>
              <w:rPr>
                <w:sz w:val="22"/>
              </w:rPr>
            </w:pPr>
            <w:r>
              <w:rPr>
                <w:sz w:val="22"/>
              </w:rPr>
              <w:t>10960</w:t>
            </w:r>
          </w:p>
        </w:tc>
        <w:tc>
          <w:tcPr>
            <w:tcW w:type="dxa" w:w="1221"/>
            <w:tcBorders>
              <w:top w:color="000000" w:sz="4" w:val="single"/>
              <w:left w:color="000000" w:sz="4" w:val="single"/>
              <w:bottom w:color="000000" w:sz="4" w:val="single"/>
              <w:right w:color="000000" w:sz="4" w:val="single"/>
            </w:tcBorders>
            <w:shd w:fill="FFFFFF" w:val="clear"/>
            <w:vAlign w:val="center"/>
          </w:tcPr>
          <w:p w14:paraId="2B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C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D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E21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2F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021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1210000">
            <w:pPr>
              <w:widowControl w:val="1"/>
              <w:ind/>
              <w:contextualSpacing w:val="1"/>
              <w:rPr>
                <w:color w:val="000000"/>
                <w:sz w:val="22"/>
              </w:rPr>
            </w:pPr>
            <w:r>
              <w:rPr>
                <w:color w:val="000000"/>
                <w:sz w:val="22"/>
              </w:rPr>
              <w:t>123</w:t>
            </w:r>
          </w:p>
        </w:tc>
        <w:tc>
          <w:tcPr>
            <w:tcW w:type="dxa" w:w="1408"/>
            <w:tcBorders>
              <w:top w:color="000000" w:sz="4" w:val="single"/>
              <w:left w:color="000000" w:sz="4" w:val="single"/>
              <w:bottom w:color="000000" w:sz="4" w:val="single"/>
              <w:right w:color="000000" w:sz="4" w:val="single"/>
            </w:tcBorders>
            <w:shd w:fill="FFFFFF" w:val="clear"/>
            <w:vAlign w:val="center"/>
          </w:tcPr>
          <w:p w14:paraId="32210000">
            <w:pPr>
              <w:widowControl w:val="1"/>
              <w:ind/>
              <w:contextualSpacing w:val="1"/>
              <w:jc w:val="center"/>
              <w:rPr>
                <w:sz w:val="22"/>
              </w:rPr>
            </w:pPr>
            <w:r>
              <w:rPr>
                <w:sz w:val="22"/>
              </w:rPr>
              <w:t>САО "Надежда"</w:t>
            </w:r>
          </w:p>
        </w:tc>
        <w:tc>
          <w:tcPr>
            <w:tcW w:type="dxa" w:w="1408"/>
            <w:tcBorders>
              <w:top w:color="000000" w:sz="4" w:val="single"/>
              <w:left w:color="000000" w:sz="4" w:val="single"/>
              <w:bottom w:color="000000" w:sz="4" w:val="single"/>
              <w:right w:color="000000" w:sz="4" w:val="single"/>
            </w:tcBorders>
            <w:shd w:fill="FFFFFF" w:val="clear"/>
            <w:vAlign w:val="center"/>
          </w:tcPr>
          <w:p w14:paraId="33210000">
            <w:pPr>
              <w:widowControl w:val="1"/>
              <w:ind/>
              <w:contextualSpacing w:val="1"/>
              <w:jc w:val="center"/>
              <w:rPr>
                <w:sz w:val="22"/>
              </w:rPr>
            </w:pPr>
            <w:r>
              <w:rPr>
                <w:sz w:val="22"/>
              </w:rPr>
              <w:t>договор № 184221004 от 26.04.2018</w:t>
            </w:r>
          </w:p>
        </w:tc>
        <w:tc>
          <w:tcPr>
            <w:tcW w:type="dxa" w:w="1274"/>
            <w:tcBorders>
              <w:top w:color="000000" w:sz="4" w:val="single"/>
              <w:left w:color="000000" w:sz="4" w:val="single"/>
              <w:bottom w:color="000000" w:sz="4" w:val="single"/>
              <w:right w:color="000000" w:sz="4" w:val="single"/>
            </w:tcBorders>
            <w:shd w:fill="FFFFFF" w:val="clear"/>
            <w:vAlign w:val="center"/>
          </w:tcPr>
          <w:p w14:paraId="34210000">
            <w:pPr>
              <w:widowControl w:val="1"/>
              <w:ind/>
              <w:contextualSpacing w:val="1"/>
              <w:jc w:val="center"/>
              <w:rPr>
                <w:sz w:val="22"/>
              </w:rPr>
            </w:pPr>
            <w:r>
              <w:rPr>
                <w:sz w:val="22"/>
              </w:rPr>
              <w:t>04.05.2018-03.05.2019</w:t>
            </w:r>
          </w:p>
        </w:tc>
        <w:tc>
          <w:tcPr>
            <w:tcW w:type="dxa" w:w="1556"/>
            <w:tcBorders>
              <w:top w:color="000000" w:sz="4" w:val="single"/>
              <w:left w:color="000000" w:sz="4" w:val="single"/>
              <w:bottom w:color="000000" w:sz="4" w:val="single"/>
              <w:right w:color="000000" w:sz="4" w:val="single"/>
            </w:tcBorders>
            <w:shd w:fill="FFFFFF" w:val="clear"/>
            <w:vAlign w:val="center"/>
          </w:tcPr>
          <w:p w14:paraId="35210000">
            <w:pPr>
              <w:widowControl w:val="1"/>
              <w:ind/>
              <w:contextualSpacing w:val="1"/>
              <w:jc w:val="center"/>
              <w:rPr>
                <w:sz w:val="22"/>
              </w:rPr>
            </w:pPr>
            <w:r>
              <w:rPr>
                <w:sz w:val="22"/>
              </w:rPr>
              <w:t>оказание услуг страхования ОСАГО ГАЗ</w:t>
            </w:r>
          </w:p>
        </w:tc>
        <w:tc>
          <w:tcPr>
            <w:tcW w:type="dxa" w:w="1194"/>
            <w:tcBorders>
              <w:top w:color="000000" w:sz="4" w:val="single"/>
              <w:left w:color="000000" w:sz="4" w:val="single"/>
              <w:bottom w:color="000000" w:sz="4" w:val="single"/>
              <w:right w:color="000000" w:sz="4" w:val="single"/>
            </w:tcBorders>
            <w:shd w:fill="FFFFFF" w:val="clear"/>
            <w:vAlign w:val="center"/>
          </w:tcPr>
          <w:p w14:paraId="36210000">
            <w:pPr>
              <w:widowControl w:val="1"/>
              <w:ind/>
              <w:contextualSpacing w:val="1"/>
              <w:jc w:val="center"/>
              <w:rPr>
                <w:sz w:val="22"/>
              </w:rPr>
            </w:pPr>
            <w:r>
              <w:rPr>
                <w:sz w:val="22"/>
              </w:rPr>
              <w:t>8503,25</w:t>
            </w:r>
          </w:p>
        </w:tc>
        <w:tc>
          <w:tcPr>
            <w:tcW w:type="dxa" w:w="1221"/>
            <w:tcBorders>
              <w:top w:color="000000" w:sz="4" w:val="single"/>
              <w:left w:color="000000" w:sz="4" w:val="single"/>
              <w:bottom w:color="000000" w:sz="4" w:val="single"/>
              <w:right w:color="000000" w:sz="4" w:val="single"/>
            </w:tcBorders>
            <w:shd w:fill="FFFFFF" w:val="clear"/>
            <w:vAlign w:val="center"/>
          </w:tcPr>
          <w:p w14:paraId="37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38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39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A21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3B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C21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3D210000">
            <w:pPr>
              <w:widowControl w:val="1"/>
              <w:ind/>
              <w:contextualSpacing w:val="1"/>
              <w:jc w:val="center"/>
              <w:rPr>
                <w:color w:val="000000"/>
                <w:sz w:val="22"/>
              </w:rPr>
            </w:pPr>
            <w:r>
              <w:rPr>
                <w:color w:val="000000"/>
                <w:sz w:val="22"/>
              </w:rPr>
              <w:t>итого по контрагенту САО "Надежда" 69971,93 руб.</w:t>
            </w:r>
          </w:p>
          <w:p w14:paraId="3E21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F210000">
            <w:pPr>
              <w:widowControl w:val="1"/>
              <w:ind/>
              <w:contextualSpacing w:val="1"/>
              <w:rPr>
                <w:color w:val="000000"/>
                <w:sz w:val="22"/>
              </w:rPr>
            </w:pPr>
            <w:r>
              <w:rPr>
                <w:color w:val="000000"/>
                <w:sz w:val="22"/>
              </w:rPr>
              <w:t>124</w:t>
            </w:r>
          </w:p>
        </w:tc>
        <w:tc>
          <w:tcPr>
            <w:tcW w:type="dxa" w:w="1408"/>
            <w:tcBorders>
              <w:top w:color="000000" w:sz="4" w:val="single"/>
              <w:left w:color="000000" w:sz="4" w:val="single"/>
              <w:bottom w:color="000000" w:sz="4" w:val="single"/>
              <w:right w:color="000000" w:sz="4" w:val="single"/>
            </w:tcBorders>
            <w:shd w:fill="FFFFFF" w:val="clear"/>
            <w:vAlign w:val="center"/>
          </w:tcPr>
          <w:p w14:paraId="40210000">
            <w:pPr>
              <w:widowControl w:val="1"/>
              <w:ind/>
              <w:contextualSpacing w:val="1"/>
              <w:jc w:val="center"/>
              <w:rPr>
                <w:sz w:val="22"/>
              </w:rPr>
            </w:pPr>
            <w:r>
              <w:rPr>
                <w:sz w:val="22"/>
              </w:rPr>
              <w:t>С.Г. Егоров</w:t>
            </w:r>
          </w:p>
        </w:tc>
        <w:tc>
          <w:tcPr>
            <w:tcW w:type="dxa" w:w="1408"/>
            <w:tcBorders>
              <w:top w:color="000000" w:sz="4" w:val="single"/>
              <w:left w:color="000000" w:sz="4" w:val="single"/>
              <w:bottom w:color="000000" w:sz="4" w:val="single"/>
              <w:right w:color="000000" w:sz="4" w:val="single"/>
            </w:tcBorders>
            <w:shd w:fill="FFFFFF" w:val="clear"/>
            <w:vAlign w:val="center"/>
          </w:tcPr>
          <w:p w14:paraId="41210000">
            <w:pPr>
              <w:widowControl w:val="1"/>
              <w:ind/>
              <w:contextualSpacing w:val="1"/>
              <w:jc w:val="center"/>
              <w:rPr>
                <w:sz w:val="22"/>
              </w:rPr>
            </w:pPr>
            <w:r>
              <w:rPr>
                <w:sz w:val="22"/>
              </w:rPr>
              <w:t>договор № 15 от 01.02.2018</w:t>
            </w:r>
          </w:p>
        </w:tc>
        <w:tc>
          <w:tcPr>
            <w:tcW w:type="dxa" w:w="1274"/>
            <w:tcBorders>
              <w:top w:color="000000" w:sz="4" w:val="single"/>
              <w:left w:color="000000" w:sz="4" w:val="single"/>
              <w:bottom w:color="000000" w:sz="4" w:val="single"/>
              <w:right w:color="000000" w:sz="4" w:val="single"/>
            </w:tcBorders>
            <w:shd w:fill="FFFFFF" w:val="clear"/>
            <w:vAlign w:val="center"/>
          </w:tcPr>
          <w:p w14:paraId="42210000">
            <w:pPr>
              <w:widowControl w:val="1"/>
              <w:ind/>
              <w:contextualSpacing w:val="1"/>
              <w:jc w:val="center"/>
              <w:rPr>
                <w:sz w:val="22"/>
              </w:rPr>
            </w:pPr>
            <w:r>
              <w:rPr>
                <w:sz w:val="22"/>
              </w:rPr>
              <w:t>23.01.2018-02.02.2018</w:t>
            </w:r>
          </w:p>
        </w:tc>
        <w:tc>
          <w:tcPr>
            <w:tcW w:type="dxa" w:w="1556"/>
            <w:tcBorders>
              <w:top w:color="000000" w:sz="4" w:val="single"/>
              <w:left w:color="000000" w:sz="4" w:val="single"/>
              <w:bottom w:color="000000" w:sz="4" w:val="single"/>
              <w:right w:color="000000" w:sz="4" w:val="single"/>
            </w:tcBorders>
            <w:shd w:fill="FFFFFF" w:val="clear"/>
            <w:vAlign w:val="center"/>
          </w:tcPr>
          <w:p w14:paraId="43210000">
            <w:pPr>
              <w:widowControl w:val="1"/>
              <w:ind/>
              <w:contextualSpacing w:val="1"/>
              <w:jc w:val="center"/>
              <w:rPr>
                <w:sz w:val="22"/>
              </w:rPr>
            </w:pPr>
            <w:r>
              <w:rPr>
                <w:sz w:val="22"/>
              </w:rPr>
              <w:t>выполнение электромонтажных работ</w:t>
            </w:r>
          </w:p>
        </w:tc>
        <w:tc>
          <w:tcPr>
            <w:tcW w:type="dxa" w:w="1194"/>
            <w:tcBorders>
              <w:top w:color="000000" w:sz="4" w:val="single"/>
              <w:left w:color="000000" w:sz="4" w:val="single"/>
              <w:bottom w:color="000000" w:sz="4" w:val="single"/>
              <w:right w:color="000000" w:sz="4" w:val="single"/>
            </w:tcBorders>
            <w:shd w:fill="FFFFFF" w:val="clear"/>
            <w:vAlign w:val="center"/>
          </w:tcPr>
          <w:p w14:paraId="44210000">
            <w:pPr>
              <w:widowControl w:val="1"/>
              <w:ind/>
              <w:contextualSpacing w:val="1"/>
              <w:jc w:val="center"/>
              <w:rPr>
                <w:sz w:val="22"/>
              </w:rPr>
            </w:pPr>
            <w:r>
              <w:rPr>
                <w:sz w:val="22"/>
              </w:rPr>
              <w:t>14225</w:t>
            </w:r>
          </w:p>
        </w:tc>
        <w:tc>
          <w:tcPr>
            <w:tcW w:type="dxa" w:w="1221"/>
            <w:tcBorders>
              <w:top w:color="000000" w:sz="4" w:val="single"/>
              <w:left w:color="000000" w:sz="4" w:val="single"/>
              <w:bottom w:color="000000" w:sz="4" w:val="single"/>
              <w:right w:color="000000" w:sz="4" w:val="single"/>
            </w:tcBorders>
            <w:shd w:fill="FFFFFF" w:val="clear"/>
            <w:vAlign w:val="center"/>
          </w:tcPr>
          <w:p w14:paraId="45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6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7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821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49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4A21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4B210000">
            <w:pPr>
              <w:widowControl w:val="1"/>
              <w:ind/>
              <w:contextualSpacing w:val="1"/>
              <w:rPr>
                <w:color w:val="000000"/>
                <w:sz w:val="22"/>
              </w:rPr>
            </w:pPr>
            <w:r>
              <w:rPr>
                <w:color w:val="000000"/>
                <w:sz w:val="22"/>
              </w:rPr>
              <w:t>125</w:t>
            </w:r>
          </w:p>
        </w:tc>
        <w:tc>
          <w:tcPr>
            <w:tcW w:type="dxa" w:w="1408"/>
            <w:tcBorders>
              <w:top w:color="000000" w:sz="4" w:val="single"/>
              <w:left w:color="000000" w:sz="4" w:val="single"/>
              <w:bottom w:color="000000" w:sz="4" w:val="single"/>
              <w:right w:color="000000" w:sz="4" w:val="single"/>
            </w:tcBorders>
            <w:shd w:fill="FFFFFF" w:val="clear"/>
            <w:vAlign w:val="center"/>
          </w:tcPr>
          <w:p w14:paraId="4C210000">
            <w:pPr>
              <w:widowControl w:val="1"/>
              <w:ind/>
              <w:contextualSpacing w:val="1"/>
              <w:jc w:val="center"/>
              <w:rPr>
                <w:sz w:val="22"/>
              </w:rPr>
            </w:pPr>
            <w:r>
              <w:rPr>
                <w:sz w:val="22"/>
              </w:rPr>
              <w:t>ФГУП "Почта России"</w:t>
            </w:r>
          </w:p>
        </w:tc>
        <w:tc>
          <w:tcPr>
            <w:tcW w:type="dxa" w:w="1408"/>
            <w:tcBorders>
              <w:top w:color="000000" w:sz="4" w:val="single"/>
              <w:left w:color="000000" w:sz="4" w:val="single"/>
              <w:bottom w:color="000000" w:sz="4" w:val="single"/>
              <w:right w:color="000000" w:sz="4" w:val="single"/>
            </w:tcBorders>
            <w:shd w:fill="FFFFFF" w:val="clear"/>
            <w:vAlign w:val="center"/>
          </w:tcPr>
          <w:p w14:paraId="4D210000">
            <w:pPr>
              <w:widowControl w:val="1"/>
              <w:ind/>
              <w:contextualSpacing w:val="1"/>
              <w:jc w:val="center"/>
              <w:rPr>
                <w:sz w:val="22"/>
              </w:rPr>
            </w:pPr>
            <w:r>
              <w:rPr>
                <w:sz w:val="22"/>
              </w:rPr>
              <w:t>дополнительное соглашение № 3 к договору № КР/283 от 09.02.2017 от 09.02.2018</w:t>
            </w:r>
          </w:p>
        </w:tc>
        <w:tc>
          <w:tcPr>
            <w:tcW w:type="dxa" w:w="1274"/>
            <w:tcBorders>
              <w:top w:color="000000" w:sz="4" w:val="single"/>
              <w:left w:color="000000" w:sz="4" w:val="single"/>
              <w:bottom w:color="000000" w:sz="4" w:val="single"/>
              <w:right w:color="000000" w:sz="4" w:val="single"/>
            </w:tcBorders>
            <w:shd w:fill="FFFFFF" w:val="clear"/>
            <w:vAlign w:val="center"/>
          </w:tcPr>
          <w:p w14:paraId="4E210000">
            <w:pPr>
              <w:widowControl w:val="1"/>
              <w:ind/>
              <w:contextualSpacing w:val="1"/>
              <w:jc w:val="center"/>
              <w:rPr>
                <w:sz w:val="22"/>
              </w:rPr>
            </w:pPr>
            <w:r>
              <w:rPr>
                <w:sz w:val="22"/>
              </w:rPr>
              <w:t>01.01.2017-31.12.2019</w:t>
            </w:r>
          </w:p>
        </w:tc>
        <w:tc>
          <w:tcPr>
            <w:tcW w:type="dxa" w:w="1556"/>
            <w:tcBorders>
              <w:top w:color="000000" w:sz="4" w:val="single"/>
              <w:left w:color="000000" w:sz="4" w:val="single"/>
              <w:bottom w:color="000000" w:sz="4" w:val="single"/>
              <w:right w:color="000000" w:sz="4" w:val="single"/>
            </w:tcBorders>
            <w:shd w:fill="FFFFFF" w:val="clear"/>
            <w:vAlign w:val="center"/>
          </w:tcPr>
          <w:p w14:paraId="4F210000">
            <w:pPr>
              <w:widowControl w:val="1"/>
              <w:ind/>
              <w:contextualSpacing w:val="1"/>
              <w:jc w:val="center"/>
              <w:rPr>
                <w:sz w:val="22"/>
              </w:rPr>
            </w:pPr>
            <w:r>
              <w:rPr>
                <w:sz w:val="22"/>
              </w:rPr>
              <w:t>внесение изменений в условия оказания услуг почтовой связи , без изменения предельной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50210000">
            <w:pPr>
              <w:widowControl w:val="1"/>
              <w:ind/>
              <w:contextualSpacing w:val="1"/>
              <w:jc w:val="center"/>
              <w:rPr>
                <w:sz w:val="22"/>
              </w:rPr>
            </w:pPr>
            <w:r>
              <w:rPr>
                <w:sz w:val="22"/>
              </w:rPr>
              <w:t>481576</w:t>
            </w:r>
          </w:p>
        </w:tc>
        <w:tc>
          <w:tcPr>
            <w:tcW w:type="dxa" w:w="1221"/>
            <w:tcBorders>
              <w:top w:color="000000" w:sz="4" w:val="single"/>
              <w:left w:color="000000" w:sz="4" w:val="single"/>
              <w:bottom w:color="000000" w:sz="4" w:val="single"/>
              <w:right w:color="000000" w:sz="4" w:val="single"/>
            </w:tcBorders>
            <w:shd w:fill="FFFFFF" w:val="clear"/>
            <w:vAlign w:val="center"/>
          </w:tcPr>
          <w:p w14:paraId="51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2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3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421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55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56210000">
            <w:pPr>
              <w:widowControl w:val="1"/>
              <w:ind/>
              <w:contextualSpacing w:val="1"/>
              <w:jc w:val="center"/>
              <w:rPr>
                <w:sz w:val="22"/>
              </w:rPr>
            </w:pPr>
            <w:r>
              <w:rPr>
                <w:sz w:val="22"/>
              </w:rPr>
              <w:t>Размещение заказа у единственного поставщика, согласно пп.28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57210000">
            <w:pPr>
              <w:widowControl w:val="1"/>
              <w:ind/>
              <w:contextualSpacing w:val="1"/>
              <w:rPr>
                <w:color w:val="000000"/>
                <w:sz w:val="22"/>
              </w:rPr>
            </w:pPr>
            <w:r>
              <w:rPr>
                <w:color w:val="000000"/>
                <w:sz w:val="22"/>
              </w:rPr>
              <w:t>126</w:t>
            </w:r>
          </w:p>
        </w:tc>
        <w:tc>
          <w:tcPr>
            <w:tcW w:type="dxa" w:w="1408"/>
            <w:tcBorders>
              <w:top w:color="000000" w:sz="4" w:val="single"/>
              <w:left w:color="000000" w:sz="4" w:val="single"/>
              <w:bottom w:color="000000" w:sz="4" w:val="single"/>
              <w:right w:color="000000" w:sz="4" w:val="single"/>
            </w:tcBorders>
            <w:shd w:fill="FFFFFF" w:val="clear"/>
            <w:vAlign w:val="center"/>
          </w:tcPr>
          <w:p w14:paraId="58210000">
            <w:pPr>
              <w:widowControl w:val="1"/>
              <w:ind/>
              <w:contextualSpacing w:val="1"/>
              <w:jc w:val="center"/>
              <w:rPr>
                <w:sz w:val="22"/>
              </w:rPr>
            </w:pPr>
            <w:r>
              <w:rPr>
                <w:sz w:val="22"/>
              </w:rPr>
              <w:t>Шуманов А.И.</w:t>
            </w:r>
          </w:p>
        </w:tc>
        <w:tc>
          <w:tcPr>
            <w:tcW w:type="dxa" w:w="1408"/>
            <w:tcBorders>
              <w:top w:color="000000" w:sz="4" w:val="single"/>
              <w:left w:color="000000" w:sz="4" w:val="single"/>
              <w:bottom w:color="000000" w:sz="4" w:val="single"/>
              <w:right w:color="000000" w:sz="4" w:val="single"/>
            </w:tcBorders>
            <w:shd w:fill="FFFFFF" w:val="clear"/>
            <w:vAlign w:val="center"/>
          </w:tcPr>
          <w:p w14:paraId="59210000">
            <w:pPr>
              <w:widowControl w:val="1"/>
              <w:ind/>
              <w:contextualSpacing w:val="1"/>
              <w:jc w:val="center"/>
              <w:rPr>
                <w:sz w:val="22"/>
              </w:rPr>
            </w:pPr>
            <w:r>
              <w:rPr>
                <w:sz w:val="22"/>
              </w:rPr>
              <w:t>договор № 39 от 28.02.2018г.</w:t>
            </w:r>
          </w:p>
        </w:tc>
        <w:tc>
          <w:tcPr>
            <w:tcW w:type="dxa" w:w="1274"/>
            <w:tcBorders>
              <w:top w:color="000000" w:sz="4" w:val="single"/>
              <w:left w:color="000000" w:sz="4" w:val="single"/>
              <w:bottom w:color="000000" w:sz="4" w:val="single"/>
              <w:right w:color="000000" w:sz="4" w:val="single"/>
            </w:tcBorders>
            <w:shd w:fill="FFFFFF" w:val="clear"/>
            <w:vAlign w:val="center"/>
          </w:tcPr>
          <w:p w14:paraId="5A210000">
            <w:pPr>
              <w:widowControl w:val="1"/>
              <w:ind/>
              <w:contextualSpacing w:val="1"/>
              <w:jc w:val="center"/>
              <w:rPr>
                <w:sz w:val="22"/>
              </w:rPr>
            </w:pPr>
            <w:r>
              <w:rPr>
                <w:sz w:val="22"/>
              </w:rPr>
              <w:t>01.01.2018-31.12.2018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5B210000">
            <w:pPr>
              <w:widowControl w:val="1"/>
              <w:ind/>
              <w:contextualSpacing w:val="1"/>
              <w:jc w:val="center"/>
              <w:rPr>
                <w:sz w:val="22"/>
              </w:rPr>
            </w:pPr>
            <w:r>
              <w:rPr>
                <w:sz w:val="22"/>
              </w:rPr>
              <w:t>Оказание услуг технической поддержки программного комплекса Спринт АСУПП</w:t>
            </w:r>
          </w:p>
        </w:tc>
        <w:tc>
          <w:tcPr>
            <w:tcW w:type="dxa" w:w="1194"/>
            <w:tcBorders>
              <w:top w:color="000000" w:sz="4" w:val="single"/>
              <w:left w:color="000000" w:sz="4" w:val="single"/>
              <w:bottom w:color="000000" w:sz="4" w:val="single"/>
              <w:right w:color="000000" w:sz="4" w:val="single"/>
            </w:tcBorders>
            <w:shd w:fill="FFFFFF" w:val="clear"/>
            <w:vAlign w:val="center"/>
          </w:tcPr>
          <w:p w14:paraId="5C210000">
            <w:pPr>
              <w:widowControl w:val="1"/>
              <w:ind/>
              <w:contextualSpacing w:val="1"/>
              <w:jc w:val="center"/>
              <w:rPr>
                <w:sz w:val="22"/>
              </w:rPr>
            </w:pPr>
            <w:r>
              <w:rPr>
                <w:sz w:val="22"/>
              </w:rPr>
              <w:t>146910</w:t>
            </w:r>
          </w:p>
        </w:tc>
        <w:tc>
          <w:tcPr>
            <w:tcW w:type="dxa" w:w="1221"/>
            <w:tcBorders>
              <w:top w:color="000000" w:sz="4" w:val="single"/>
              <w:left w:color="000000" w:sz="4" w:val="single"/>
              <w:bottom w:color="000000" w:sz="4" w:val="single"/>
              <w:right w:color="000000" w:sz="4" w:val="single"/>
            </w:tcBorders>
            <w:shd w:fill="FFFFFF" w:val="clear"/>
            <w:vAlign w:val="center"/>
          </w:tcPr>
          <w:p w14:paraId="5D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E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F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021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61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62210000">
            <w:pPr>
              <w:widowControl w:val="1"/>
              <w:ind/>
              <w:contextualSpacing w:val="1"/>
              <w:jc w:val="center"/>
              <w:rPr>
                <w:sz w:val="22"/>
              </w:rPr>
            </w:pPr>
            <w:r>
              <w:rPr>
                <w:sz w:val="22"/>
              </w:rPr>
              <w:t>Размещение заказа у единственного поставщика, согласно пп. 31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63210000">
            <w:pPr>
              <w:widowControl w:val="1"/>
              <w:ind/>
              <w:contextualSpacing w:val="1"/>
              <w:rPr>
                <w:color w:val="000000"/>
                <w:sz w:val="22"/>
              </w:rPr>
            </w:pPr>
            <w:r>
              <w:rPr>
                <w:color w:val="000000"/>
                <w:sz w:val="22"/>
              </w:rPr>
              <w:t>127</w:t>
            </w:r>
          </w:p>
        </w:tc>
        <w:tc>
          <w:tcPr>
            <w:tcW w:type="dxa" w:w="1408"/>
            <w:tcBorders>
              <w:top w:color="000000" w:sz="4" w:val="single"/>
              <w:left w:color="000000" w:sz="4" w:val="single"/>
              <w:bottom w:color="000000" w:sz="4" w:val="single"/>
              <w:right w:color="000000" w:sz="4" w:val="single"/>
            </w:tcBorders>
            <w:shd w:fill="FFFFFF" w:val="clear"/>
            <w:vAlign w:val="center"/>
          </w:tcPr>
          <w:p w14:paraId="64210000">
            <w:pPr>
              <w:widowControl w:val="1"/>
              <w:ind/>
              <w:contextualSpacing w:val="1"/>
              <w:jc w:val="center"/>
              <w:rPr>
                <w:sz w:val="22"/>
              </w:rPr>
            </w:pPr>
            <w:r>
              <w:rPr>
                <w:sz w:val="22"/>
              </w:rPr>
              <w:t>Шуманов А.И.</w:t>
            </w:r>
          </w:p>
        </w:tc>
        <w:tc>
          <w:tcPr>
            <w:tcW w:type="dxa" w:w="1408"/>
            <w:tcBorders>
              <w:top w:color="000000" w:sz="4" w:val="single"/>
              <w:left w:color="000000" w:sz="4" w:val="single"/>
              <w:bottom w:color="000000" w:sz="4" w:val="single"/>
              <w:right w:color="000000" w:sz="4" w:val="single"/>
            </w:tcBorders>
            <w:shd w:fill="FFFFFF" w:val="clear"/>
            <w:vAlign w:val="center"/>
          </w:tcPr>
          <w:p w14:paraId="65210000">
            <w:pPr>
              <w:widowControl w:val="1"/>
              <w:ind/>
              <w:contextualSpacing w:val="1"/>
              <w:jc w:val="center"/>
              <w:rPr>
                <w:sz w:val="22"/>
              </w:rPr>
            </w:pPr>
            <w:r>
              <w:rPr>
                <w:sz w:val="22"/>
              </w:rPr>
              <w:t>договор № 130 от 30.11.2018</w:t>
            </w:r>
          </w:p>
        </w:tc>
        <w:tc>
          <w:tcPr>
            <w:tcW w:type="dxa" w:w="1274"/>
            <w:tcBorders>
              <w:top w:color="000000" w:sz="4" w:val="single"/>
              <w:left w:color="000000" w:sz="4" w:val="single"/>
              <w:bottom w:color="000000" w:sz="4" w:val="single"/>
              <w:right w:color="000000" w:sz="4" w:val="single"/>
            </w:tcBorders>
            <w:shd w:fill="FFFFFF" w:val="clear"/>
            <w:vAlign w:val="center"/>
          </w:tcPr>
          <w:p w14:paraId="66210000">
            <w:pPr>
              <w:widowControl w:val="1"/>
              <w:ind/>
              <w:contextualSpacing w:val="1"/>
              <w:jc w:val="center"/>
              <w:rPr>
                <w:sz w:val="22"/>
              </w:rPr>
            </w:pPr>
            <w:r>
              <w:rPr>
                <w:sz w:val="22"/>
              </w:rPr>
              <w:t>01.09.2018-31.12.2018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67210000">
            <w:pPr>
              <w:widowControl w:val="1"/>
              <w:ind/>
              <w:contextualSpacing w:val="1"/>
              <w:jc w:val="center"/>
              <w:rPr>
                <w:sz w:val="22"/>
              </w:rPr>
            </w:pPr>
            <w:r>
              <w:rPr>
                <w:sz w:val="22"/>
              </w:rPr>
              <w:t>Выполнение работ по доработке программного обеспечения АСУПП</w:t>
            </w:r>
          </w:p>
        </w:tc>
        <w:tc>
          <w:tcPr>
            <w:tcW w:type="dxa" w:w="1194"/>
            <w:tcBorders>
              <w:top w:color="000000" w:sz="4" w:val="single"/>
              <w:left w:color="000000" w:sz="4" w:val="single"/>
              <w:bottom w:color="000000" w:sz="4" w:val="single"/>
              <w:right w:color="000000" w:sz="4" w:val="single"/>
            </w:tcBorders>
            <w:shd w:fill="FFFFFF" w:val="clear"/>
            <w:vAlign w:val="center"/>
          </w:tcPr>
          <w:p w14:paraId="68210000">
            <w:pPr>
              <w:widowControl w:val="1"/>
              <w:ind/>
              <w:contextualSpacing w:val="1"/>
              <w:jc w:val="center"/>
              <w:rPr>
                <w:sz w:val="22"/>
              </w:rPr>
            </w:pPr>
            <w:r>
              <w:rPr>
                <w:sz w:val="22"/>
              </w:rPr>
              <w:t>197230</w:t>
            </w:r>
          </w:p>
        </w:tc>
        <w:tc>
          <w:tcPr>
            <w:tcW w:type="dxa" w:w="1221"/>
            <w:tcBorders>
              <w:top w:color="000000" w:sz="4" w:val="single"/>
              <w:left w:color="000000" w:sz="4" w:val="single"/>
              <w:bottom w:color="000000" w:sz="4" w:val="single"/>
              <w:right w:color="000000" w:sz="4" w:val="single"/>
            </w:tcBorders>
            <w:shd w:fill="FFFFFF" w:val="clear"/>
            <w:vAlign w:val="center"/>
          </w:tcPr>
          <w:p w14:paraId="69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A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B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C21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6D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6E210000">
            <w:pPr>
              <w:widowControl w:val="1"/>
              <w:ind/>
              <w:contextualSpacing w:val="1"/>
              <w:jc w:val="center"/>
              <w:rPr>
                <w:sz w:val="22"/>
              </w:rPr>
            </w:pPr>
            <w:r>
              <w:rPr>
                <w:sz w:val="22"/>
              </w:rPr>
              <w:t>Размещение заказа у единственного поставщика, согласно пп. 32 п. 89  положения утвержденного СД 22.10.2018г. Протокол № 5</w:t>
            </w:r>
          </w:p>
        </w:tc>
      </w:tr>
      <w:tr>
        <w:trPr>
          <w:trHeight w:hRule="atLeast" w:val="631"/>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6F210000">
            <w:pPr>
              <w:widowControl w:val="1"/>
              <w:ind/>
              <w:contextualSpacing w:val="1"/>
              <w:jc w:val="center"/>
              <w:rPr>
                <w:color w:val="000000"/>
                <w:sz w:val="22"/>
              </w:rPr>
            </w:pPr>
            <w:r>
              <w:rPr>
                <w:color w:val="000000"/>
                <w:sz w:val="22"/>
              </w:rPr>
              <w:t>итого по контрагенту Шуманов А.И. 344140 руб.</w:t>
            </w:r>
          </w:p>
          <w:p w14:paraId="70210000">
            <w:pPr>
              <w:widowControl w:val="1"/>
              <w:ind/>
              <w:contextualSpacing w:val="1"/>
              <w:jc w:val="center"/>
              <w:rPr>
                <w:sz w:val="22"/>
              </w:rPr>
            </w:pPr>
          </w:p>
        </w:tc>
      </w:tr>
      <w:tr>
        <w:trPr>
          <w:trHeight w:hRule="atLeast" w:val="1395"/>
        </w:trPr>
        <w:tc>
          <w:tcPr>
            <w:tcW w:type="dxa" w:w="528"/>
            <w:tcBorders>
              <w:top w:color="000000" w:sz="4" w:val="single"/>
              <w:left w:color="000000" w:sz="4" w:val="single"/>
              <w:bottom w:color="000000" w:sz="4" w:val="single"/>
              <w:right w:color="000000" w:sz="4" w:val="single"/>
            </w:tcBorders>
            <w:shd w:fill="FFFFFF" w:val="clear"/>
            <w:vAlign w:val="center"/>
          </w:tcPr>
          <w:p w14:paraId="71210000">
            <w:pPr>
              <w:widowControl w:val="1"/>
              <w:ind/>
              <w:contextualSpacing w:val="1"/>
              <w:rPr>
                <w:color w:val="000000"/>
                <w:sz w:val="22"/>
              </w:rPr>
            </w:pPr>
            <w:r>
              <w:rPr>
                <w:color w:val="000000"/>
                <w:sz w:val="22"/>
              </w:rPr>
              <w:t>128</w:t>
            </w:r>
          </w:p>
        </w:tc>
        <w:tc>
          <w:tcPr>
            <w:tcW w:type="dxa" w:w="1408"/>
            <w:tcBorders>
              <w:top w:color="000000" w:sz="4" w:val="single"/>
              <w:left w:color="000000" w:sz="4" w:val="single"/>
              <w:bottom w:color="000000" w:sz="4" w:val="single"/>
              <w:right w:color="000000" w:sz="4" w:val="single"/>
            </w:tcBorders>
            <w:shd w:fill="FFFFFF" w:val="clear"/>
            <w:vAlign w:val="center"/>
          </w:tcPr>
          <w:p w14:paraId="72210000">
            <w:pPr>
              <w:widowControl w:val="1"/>
              <w:ind/>
              <w:contextualSpacing w:val="1"/>
              <w:jc w:val="center"/>
              <w:rPr>
                <w:sz w:val="22"/>
              </w:rPr>
            </w:pPr>
            <w:r>
              <w:rPr>
                <w:sz w:val="22"/>
              </w:rPr>
              <w:t>ЧУДПО "Красноярский региональный институт трудовых отношений"</w:t>
            </w:r>
          </w:p>
        </w:tc>
        <w:tc>
          <w:tcPr>
            <w:tcW w:type="dxa" w:w="1408"/>
            <w:tcBorders>
              <w:top w:color="000000" w:sz="4" w:val="single"/>
              <w:left w:color="000000" w:sz="4" w:val="single"/>
              <w:bottom w:color="000000" w:sz="4" w:val="single"/>
              <w:right w:color="000000" w:sz="4" w:val="single"/>
            </w:tcBorders>
            <w:shd w:fill="FFFFFF" w:val="clear"/>
            <w:vAlign w:val="center"/>
          </w:tcPr>
          <w:p w14:paraId="73210000">
            <w:pPr>
              <w:widowControl w:val="1"/>
              <w:ind/>
              <w:contextualSpacing w:val="1"/>
              <w:jc w:val="center"/>
              <w:rPr>
                <w:sz w:val="22"/>
              </w:rPr>
            </w:pPr>
            <w:r>
              <w:rPr>
                <w:sz w:val="22"/>
              </w:rPr>
              <w:t>договор № 50 от 12.03.2018</w:t>
            </w:r>
          </w:p>
        </w:tc>
        <w:tc>
          <w:tcPr>
            <w:tcW w:type="dxa" w:w="1274"/>
            <w:tcBorders>
              <w:top w:color="000000" w:sz="4" w:val="single"/>
              <w:left w:color="000000" w:sz="4" w:val="single"/>
              <w:bottom w:color="000000" w:sz="4" w:val="single"/>
              <w:right w:color="000000" w:sz="4" w:val="single"/>
            </w:tcBorders>
            <w:shd w:fill="FFFFFF" w:val="clear"/>
            <w:vAlign w:val="center"/>
          </w:tcPr>
          <w:p w14:paraId="74210000">
            <w:pPr>
              <w:widowControl w:val="1"/>
              <w:ind/>
              <w:contextualSpacing w:val="1"/>
              <w:jc w:val="center"/>
              <w:rPr>
                <w:sz w:val="22"/>
              </w:rPr>
            </w:pPr>
            <w:r>
              <w:rPr>
                <w:sz w:val="22"/>
              </w:rPr>
              <w:t>12.03.2018-31.12.2018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75210000">
            <w:pPr>
              <w:widowControl w:val="1"/>
              <w:ind/>
              <w:contextualSpacing w:val="1"/>
              <w:jc w:val="center"/>
              <w:rPr>
                <w:sz w:val="22"/>
              </w:rPr>
            </w:pPr>
            <w:r>
              <w:rPr>
                <w:sz w:val="22"/>
              </w:rPr>
              <w:t>оказание образовательных услуг по программам обучения руководителей и специалистов охране труда и пожарно-техническому минимуму</w:t>
            </w:r>
          </w:p>
        </w:tc>
        <w:tc>
          <w:tcPr>
            <w:tcW w:type="dxa" w:w="1194"/>
            <w:tcBorders>
              <w:top w:color="000000" w:sz="4" w:val="single"/>
              <w:left w:color="000000" w:sz="4" w:val="single"/>
              <w:bottom w:color="000000" w:sz="4" w:val="single"/>
              <w:right w:color="000000" w:sz="4" w:val="single"/>
            </w:tcBorders>
            <w:shd w:fill="FFFFFF" w:val="clear"/>
            <w:vAlign w:val="center"/>
          </w:tcPr>
          <w:p w14:paraId="76210000">
            <w:pPr>
              <w:widowControl w:val="1"/>
              <w:ind/>
              <w:contextualSpacing w:val="1"/>
              <w:jc w:val="center"/>
              <w:rPr>
                <w:sz w:val="22"/>
              </w:rPr>
            </w:pPr>
            <w:r>
              <w:rPr>
                <w:sz w:val="22"/>
              </w:rPr>
              <w:t>26400</w:t>
            </w:r>
          </w:p>
        </w:tc>
        <w:tc>
          <w:tcPr>
            <w:tcW w:type="dxa" w:w="1221"/>
            <w:tcBorders>
              <w:top w:color="000000" w:sz="4" w:val="single"/>
              <w:left w:color="000000" w:sz="4" w:val="single"/>
              <w:bottom w:color="000000" w:sz="4" w:val="single"/>
              <w:right w:color="000000" w:sz="4" w:val="single"/>
            </w:tcBorders>
            <w:shd w:fill="FFFFFF" w:val="clear"/>
            <w:vAlign w:val="center"/>
          </w:tcPr>
          <w:p w14:paraId="77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8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9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A21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7B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C210000">
            <w:pPr>
              <w:widowControl w:val="1"/>
              <w:ind/>
              <w:contextualSpacing w:val="1"/>
              <w:jc w:val="center"/>
              <w:rPr>
                <w:sz w:val="22"/>
              </w:rPr>
            </w:pPr>
            <w:r>
              <w:rPr>
                <w:sz w:val="22"/>
              </w:rPr>
              <w:t>Размещение заказа у единственного поставщика, согласно пп. 8 п. 81  положения утвержденного СД 30.04.2015г. Протокол № 13</w:t>
            </w:r>
          </w:p>
        </w:tc>
      </w:tr>
      <w:tr>
        <w:trPr>
          <w:trHeight w:hRule="atLeast" w:val="1815"/>
        </w:trPr>
        <w:tc>
          <w:tcPr>
            <w:tcW w:type="dxa" w:w="528"/>
            <w:tcBorders>
              <w:top w:color="000000" w:sz="4" w:val="single"/>
              <w:left w:color="000000" w:sz="4" w:val="single"/>
              <w:bottom w:color="000000" w:sz="4" w:val="single"/>
              <w:right w:color="000000" w:sz="4" w:val="single"/>
            </w:tcBorders>
            <w:shd w:fill="FFFFFF" w:val="clear"/>
            <w:vAlign w:val="center"/>
          </w:tcPr>
          <w:p w14:paraId="7D210000">
            <w:pPr>
              <w:widowControl w:val="1"/>
              <w:ind/>
              <w:contextualSpacing w:val="1"/>
              <w:rPr>
                <w:color w:val="000000"/>
                <w:sz w:val="22"/>
              </w:rPr>
            </w:pPr>
            <w:r>
              <w:rPr>
                <w:color w:val="000000"/>
                <w:sz w:val="22"/>
              </w:rPr>
              <w:t>129</w:t>
            </w:r>
          </w:p>
        </w:tc>
        <w:tc>
          <w:tcPr>
            <w:tcW w:type="dxa" w:w="1408"/>
            <w:tcBorders>
              <w:top w:color="000000" w:sz="4" w:val="single"/>
              <w:left w:color="000000" w:sz="4" w:val="single"/>
              <w:bottom w:color="000000" w:sz="4" w:val="single"/>
              <w:right w:color="000000" w:sz="4" w:val="single"/>
            </w:tcBorders>
            <w:shd w:fill="FFFFFF" w:val="clear"/>
            <w:vAlign w:val="center"/>
          </w:tcPr>
          <w:p w14:paraId="7E210000">
            <w:pPr>
              <w:widowControl w:val="1"/>
              <w:ind/>
              <w:contextualSpacing w:val="1"/>
              <w:jc w:val="center"/>
              <w:rPr>
                <w:sz w:val="22"/>
              </w:rPr>
            </w:pPr>
            <w:r>
              <w:rPr>
                <w:sz w:val="22"/>
              </w:rPr>
              <w:t>ФГП "ВО ЖДТ РФ"</w:t>
            </w:r>
          </w:p>
        </w:tc>
        <w:tc>
          <w:tcPr>
            <w:tcW w:type="dxa" w:w="1408"/>
            <w:tcBorders>
              <w:top w:color="000000" w:sz="4" w:val="single"/>
              <w:left w:color="000000" w:sz="4" w:val="single"/>
              <w:bottom w:color="000000" w:sz="4" w:val="single"/>
              <w:right w:color="000000" w:sz="4" w:val="single"/>
            </w:tcBorders>
            <w:shd w:fill="FFFFFF" w:val="clear"/>
            <w:vAlign w:val="center"/>
          </w:tcPr>
          <w:p w14:paraId="7F210000">
            <w:pPr>
              <w:widowControl w:val="1"/>
              <w:ind/>
              <w:contextualSpacing w:val="1"/>
              <w:jc w:val="center"/>
              <w:rPr>
                <w:sz w:val="22"/>
              </w:rPr>
            </w:pPr>
            <w:r>
              <w:rPr>
                <w:sz w:val="22"/>
              </w:rPr>
              <w:t>договор № 57 от 29.03.2018</w:t>
            </w:r>
          </w:p>
        </w:tc>
        <w:tc>
          <w:tcPr>
            <w:tcW w:type="dxa" w:w="1274"/>
            <w:tcBorders>
              <w:top w:color="000000" w:sz="4" w:val="single"/>
              <w:left w:color="000000" w:sz="4" w:val="single"/>
              <w:bottom w:color="000000" w:sz="4" w:val="single"/>
              <w:right w:color="000000" w:sz="4" w:val="single"/>
            </w:tcBorders>
            <w:shd w:fill="FFFFFF" w:val="clear"/>
            <w:vAlign w:val="center"/>
          </w:tcPr>
          <w:p w14:paraId="80210000">
            <w:pPr>
              <w:widowControl w:val="1"/>
              <w:ind/>
              <w:contextualSpacing w:val="1"/>
              <w:jc w:val="center"/>
              <w:rPr>
                <w:sz w:val="22"/>
              </w:rPr>
            </w:pPr>
            <w:r>
              <w:rPr>
                <w:sz w:val="22"/>
              </w:rPr>
              <w:t>29.03.2018-31.12.2020</w:t>
            </w:r>
          </w:p>
        </w:tc>
        <w:tc>
          <w:tcPr>
            <w:tcW w:type="dxa" w:w="1556"/>
            <w:tcBorders>
              <w:top w:color="000000" w:sz="4" w:val="single"/>
              <w:left w:color="000000" w:sz="4" w:val="single"/>
              <w:bottom w:color="000000" w:sz="4" w:val="single"/>
              <w:right w:color="000000" w:sz="4" w:val="single"/>
            </w:tcBorders>
            <w:shd w:fill="FFFFFF" w:val="clear"/>
            <w:vAlign w:val="center"/>
          </w:tcPr>
          <w:p w14:paraId="81210000">
            <w:pPr>
              <w:widowControl w:val="1"/>
              <w:ind/>
              <w:contextualSpacing w:val="1"/>
              <w:jc w:val="center"/>
              <w:rPr>
                <w:sz w:val="22"/>
              </w:rPr>
            </w:pPr>
            <w:r>
              <w:rPr>
                <w:sz w:val="22"/>
              </w:rPr>
              <w:t>Оказание услуг по проведению пожарно-технических обследований моторвагонного подвижного состава</w:t>
            </w:r>
          </w:p>
        </w:tc>
        <w:tc>
          <w:tcPr>
            <w:tcW w:type="dxa" w:w="1194"/>
            <w:tcBorders>
              <w:top w:color="000000" w:sz="4" w:val="single"/>
              <w:left w:color="000000" w:sz="4" w:val="single"/>
              <w:bottom w:color="000000" w:sz="4" w:val="single"/>
              <w:right w:color="000000" w:sz="4" w:val="single"/>
            </w:tcBorders>
            <w:shd w:fill="FFFFFF" w:val="clear"/>
            <w:vAlign w:val="center"/>
          </w:tcPr>
          <w:p w14:paraId="82210000">
            <w:pPr>
              <w:widowControl w:val="1"/>
              <w:ind/>
              <w:contextualSpacing w:val="1"/>
              <w:jc w:val="center"/>
              <w:rPr>
                <w:sz w:val="22"/>
              </w:rPr>
            </w:pPr>
            <w:r>
              <w:rPr>
                <w:sz w:val="22"/>
              </w:rPr>
              <w:t>49231,78</w:t>
            </w:r>
          </w:p>
        </w:tc>
        <w:tc>
          <w:tcPr>
            <w:tcW w:type="dxa" w:w="1221"/>
            <w:tcBorders>
              <w:top w:color="000000" w:sz="4" w:val="single"/>
              <w:left w:color="000000" w:sz="4" w:val="single"/>
              <w:bottom w:color="000000" w:sz="4" w:val="single"/>
              <w:right w:color="000000" w:sz="4" w:val="single"/>
            </w:tcBorders>
            <w:shd w:fill="FFFFFF" w:val="clear"/>
            <w:vAlign w:val="center"/>
          </w:tcPr>
          <w:p w14:paraId="83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4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5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621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87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88210000">
            <w:pPr>
              <w:widowControl w:val="1"/>
              <w:ind/>
              <w:contextualSpacing w:val="1"/>
              <w:jc w:val="center"/>
              <w:rPr>
                <w:sz w:val="22"/>
              </w:rPr>
            </w:pPr>
            <w:r>
              <w:rPr>
                <w:sz w:val="22"/>
              </w:rPr>
              <w:t>Размещение заказа у единственного поставщика, согласно пп.28п.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89210000">
            <w:pPr>
              <w:widowControl w:val="1"/>
              <w:ind/>
              <w:contextualSpacing w:val="1"/>
              <w:rPr>
                <w:color w:val="000000"/>
                <w:sz w:val="22"/>
              </w:rPr>
            </w:pPr>
            <w:r>
              <w:rPr>
                <w:color w:val="000000"/>
                <w:sz w:val="22"/>
              </w:rPr>
              <w:t>130</w:t>
            </w:r>
          </w:p>
        </w:tc>
        <w:tc>
          <w:tcPr>
            <w:tcW w:type="dxa" w:w="1408"/>
            <w:tcBorders>
              <w:top w:color="000000" w:sz="4" w:val="single"/>
              <w:left w:color="000000" w:sz="4" w:val="single"/>
              <w:bottom w:color="000000" w:sz="4" w:val="single"/>
              <w:right w:color="000000" w:sz="4" w:val="single"/>
            </w:tcBorders>
            <w:shd w:fill="FFFFFF" w:val="clear"/>
            <w:vAlign w:val="center"/>
          </w:tcPr>
          <w:p w14:paraId="8A210000">
            <w:pPr>
              <w:widowControl w:val="1"/>
              <w:ind/>
              <w:contextualSpacing w:val="1"/>
              <w:jc w:val="center"/>
              <w:rPr>
                <w:sz w:val="22"/>
              </w:rPr>
            </w:pPr>
            <w:r>
              <w:rPr>
                <w:sz w:val="22"/>
              </w:rPr>
              <w:t>ООО "Жалюзи Центр"</w:t>
            </w:r>
          </w:p>
        </w:tc>
        <w:tc>
          <w:tcPr>
            <w:tcW w:type="dxa" w:w="1408"/>
            <w:tcBorders>
              <w:top w:color="000000" w:sz="4" w:val="single"/>
              <w:left w:color="000000" w:sz="4" w:val="single"/>
              <w:bottom w:color="000000" w:sz="4" w:val="single"/>
              <w:right w:color="000000" w:sz="4" w:val="single"/>
            </w:tcBorders>
            <w:shd w:fill="FFFFFF" w:val="clear"/>
            <w:vAlign w:val="center"/>
          </w:tcPr>
          <w:p w14:paraId="8B210000">
            <w:pPr>
              <w:widowControl w:val="1"/>
              <w:ind/>
              <w:contextualSpacing w:val="1"/>
              <w:jc w:val="center"/>
              <w:rPr>
                <w:sz w:val="22"/>
              </w:rPr>
            </w:pPr>
            <w:r>
              <w:rPr>
                <w:sz w:val="22"/>
              </w:rPr>
              <w:t>счет № 14 от 24.01.2018</w:t>
            </w:r>
          </w:p>
        </w:tc>
        <w:tc>
          <w:tcPr>
            <w:tcW w:type="dxa" w:w="1274"/>
            <w:tcBorders>
              <w:top w:color="000000" w:sz="4" w:val="single"/>
              <w:left w:color="000000" w:sz="4" w:val="single"/>
              <w:bottom w:color="000000" w:sz="4" w:val="single"/>
              <w:right w:color="000000" w:sz="4" w:val="single"/>
            </w:tcBorders>
            <w:shd w:fill="FFFFFF" w:val="clear"/>
            <w:vAlign w:val="center"/>
          </w:tcPr>
          <w:p w14:paraId="8C210000">
            <w:pPr>
              <w:widowControl w:val="1"/>
              <w:ind/>
              <w:contextualSpacing w:val="1"/>
              <w:jc w:val="center"/>
              <w:rPr>
                <w:sz w:val="22"/>
              </w:rPr>
            </w:pPr>
            <w:r>
              <w:rPr>
                <w:sz w:val="22"/>
              </w:rPr>
              <w:t>24.01.2018-31.01.2018</w:t>
            </w:r>
          </w:p>
        </w:tc>
        <w:tc>
          <w:tcPr>
            <w:tcW w:type="dxa" w:w="1556"/>
            <w:tcBorders>
              <w:top w:color="000000" w:sz="4" w:val="single"/>
              <w:left w:color="000000" w:sz="4" w:val="single"/>
              <w:bottom w:color="000000" w:sz="4" w:val="single"/>
              <w:right w:color="000000" w:sz="4" w:val="single"/>
            </w:tcBorders>
            <w:shd w:fill="FFFFFF" w:val="clear"/>
            <w:vAlign w:val="center"/>
          </w:tcPr>
          <w:p w14:paraId="8D210000">
            <w:pPr>
              <w:widowControl w:val="1"/>
              <w:ind/>
              <w:contextualSpacing w:val="1"/>
              <w:jc w:val="center"/>
              <w:rPr>
                <w:sz w:val="22"/>
              </w:rPr>
            </w:pPr>
            <w:r>
              <w:rPr>
                <w:sz w:val="22"/>
              </w:rPr>
              <w:t>поставка жалюзи</w:t>
            </w:r>
          </w:p>
        </w:tc>
        <w:tc>
          <w:tcPr>
            <w:tcW w:type="dxa" w:w="1194"/>
            <w:tcBorders>
              <w:top w:color="000000" w:sz="4" w:val="single"/>
              <w:left w:color="000000" w:sz="4" w:val="single"/>
              <w:bottom w:color="000000" w:sz="4" w:val="single"/>
              <w:right w:color="000000" w:sz="4" w:val="single"/>
            </w:tcBorders>
            <w:shd w:fill="FFFFFF" w:val="clear"/>
            <w:vAlign w:val="center"/>
          </w:tcPr>
          <w:p w14:paraId="8E210000">
            <w:pPr>
              <w:widowControl w:val="1"/>
              <w:ind/>
              <w:contextualSpacing w:val="1"/>
              <w:jc w:val="center"/>
              <w:rPr>
                <w:sz w:val="22"/>
              </w:rPr>
            </w:pPr>
            <w:r>
              <w:rPr>
                <w:sz w:val="22"/>
              </w:rPr>
              <w:t>32 400,00</w:t>
            </w:r>
          </w:p>
        </w:tc>
        <w:tc>
          <w:tcPr>
            <w:tcW w:type="dxa" w:w="1221"/>
            <w:tcBorders>
              <w:top w:color="000000" w:sz="4" w:val="single"/>
              <w:left w:color="000000" w:sz="4" w:val="single"/>
              <w:bottom w:color="000000" w:sz="4" w:val="single"/>
              <w:right w:color="000000" w:sz="4" w:val="single"/>
            </w:tcBorders>
            <w:shd w:fill="FFFFFF" w:val="clear"/>
            <w:vAlign w:val="center"/>
          </w:tcPr>
          <w:p w14:paraId="8F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0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1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221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93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421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500"/>
        </w:trPr>
        <w:tc>
          <w:tcPr>
            <w:tcW w:type="dxa" w:w="528"/>
            <w:tcBorders>
              <w:top w:color="000000" w:sz="4" w:val="single"/>
              <w:left w:color="000000" w:sz="4" w:val="single"/>
              <w:bottom w:color="000000" w:sz="4" w:val="single"/>
              <w:right w:color="000000" w:sz="4" w:val="single"/>
            </w:tcBorders>
            <w:shd w:fill="FFFFFF" w:val="clear"/>
            <w:vAlign w:val="center"/>
          </w:tcPr>
          <w:p w14:paraId="95210000">
            <w:pPr>
              <w:widowControl w:val="1"/>
              <w:ind/>
              <w:contextualSpacing w:val="1"/>
              <w:rPr>
                <w:color w:val="000000"/>
                <w:sz w:val="22"/>
              </w:rPr>
            </w:pPr>
            <w:r>
              <w:rPr>
                <w:color w:val="000000"/>
                <w:sz w:val="22"/>
              </w:rPr>
              <w:t>131</w:t>
            </w:r>
          </w:p>
        </w:tc>
        <w:tc>
          <w:tcPr>
            <w:tcW w:type="dxa" w:w="1408"/>
            <w:tcBorders>
              <w:top w:color="000000" w:sz="4" w:val="single"/>
              <w:left w:color="000000" w:sz="4" w:val="single"/>
              <w:bottom w:color="000000" w:sz="4" w:val="single"/>
              <w:right w:color="000000" w:sz="4" w:val="single"/>
            </w:tcBorders>
            <w:shd w:fill="FFFFFF" w:val="clear"/>
            <w:vAlign w:val="center"/>
          </w:tcPr>
          <w:p w14:paraId="96210000">
            <w:pPr>
              <w:widowControl w:val="1"/>
              <w:ind/>
              <w:contextualSpacing w:val="1"/>
              <w:jc w:val="center"/>
              <w:rPr>
                <w:sz w:val="22"/>
              </w:rPr>
            </w:pPr>
            <w:r>
              <w:rPr>
                <w:sz w:val="22"/>
              </w:rPr>
              <w:t>ООО "Жалюзи Центр"</w:t>
            </w:r>
          </w:p>
        </w:tc>
        <w:tc>
          <w:tcPr>
            <w:tcW w:type="dxa" w:w="1408"/>
            <w:tcBorders>
              <w:top w:color="000000" w:sz="4" w:val="single"/>
              <w:left w:color="000000" w:sz="4" w:val="single"/>
              <w:bottom w:color="000000" w:sz="4" w:val="single"/>
              <w:right w:color="000000" w:sz="4" w:val="single"/>
            </w:tcBorders>
            <w:shd w:fill="FFFFFF" w:val="clear"/>
            <w:vAlign w:val="center"/>
          </w:tcPr>
          <w:p w14:paraId="97210000">
            <w:pPr>
              <w:widowControl w:val="1"/>
              <w:ind/>
              <w:contextualSpacing w:val="1"/>
              <w:jc w:val="center"/>
              <w:rPr>
                <w:sz w:val="22"/>
              </w:rPr>
            </w:pPr>
            <w:r>
              <w:rPr>
                <w:sz w:val="22"/>
              </w:rPr>
              <w:t>счет № 98 от 17.07.2018</w:t>
            </w:r>
          </w:p>
        </w:tc>
        <w:tc>
          <w:tcPr>
            <w:tcW w:type="dxa" w:w="1274"/>
            <w:tcBorders>
              <w:top w:color="000000" w:sz="4" w:val="single"/>
              <w:left w:color="000000" w:sz="4" w:val="single"/>
              <w:bottom w:color="000000" w:sz="4" w:val="single"/>
              <w:right w:color="000000" w:sz="4" w:val="single"/>
            </w:tcBorders>
            <w:shd w:fill="FFFFFF" w:val="clear"/>
            <w:vAlign w:val="center"/>
          </w:tcPr>
          <w:p w14:paraId="98210000">
            <w:pPr>
              <w:widowControl w:val="1"/>
              <w:ind/>
              <w:contextualSpacing w:val="1"/>
              <w:jc w:val="center"/>
              <w:rPr>
                <w:sz w:val="22"/>
              </w:rPr>
            </w:pPr>
            <w:r>
              <w:rPr>
                <w:sz w:val="22"/>
              </w:rPr>
              <w:t>17.07.2018-30.07.2018</w:t>
            </w:r>
          </w:p>
        </w:tc>
        <w:tc>
          <w:tcPr>
            <w:tcW w:type="dxa" w:w="1556"/>
            <w:tcBorders>
              <w:top w:color="000000" w:sz="4" w:val="single"/>
              <w:left w:color="000000" w:sz="4" w:val="single"/>
              <w:bottom w:color="000000" w:sz="4" w:val="single"/>
              <w:right w:color="000000" w:sz="4" w:val="single"/>
            </w:tcBorders>
            <w:shd w:fill="FFFFFF" w:val="clear"/>
            <w:vAlign w:val="center"/>
          </w:tcPr>
          <w:p w14:paraId="99210000">
            <w:pPr>
              <w:widowControl w:val="1"/>
              <w:ind/>
              <w:contextualSpacing w:val="1"/>
              <w:jc w:val="center"/>
              <w:rPr>
                <w:sz w:val="22"/>
              </w:rPr>
            </w:pPr>
            <w:r>
              <w:rPr>
                <w:sz w:val="22"/>
              </w:rPr>
              <w:t>поставка жалюзи</w:t>
            </w:r>
          </w:p>
        </w:tc>
        <w:tc>
          <w:tcPr>
            <w:tcW w:type="dxa" w:w="1194"/>
            <w:tcBorders>
              <w:top w:color="000000" w:sz="4" w:val="single"/>
              <w:left w:color="000000" w:sz="4" w:val="single"/>
              <w:bottom w:color="000000" w:sz="4" w:val="single"/>
              <w:right w:color="000000" w:sz="4" w:val="single"/>
            </w:tcBorders>
            <w:shd w:fill="FFFFFF" w:val="clear"/>
            <w:vAlign w:val="center"/>
          </w:tcPr>
          <w:p w14:paraId="9A210000">
            <w:pPr>
              <w:widowControl w:val="1"/>
              <w:ind/>
              <w:contextualSpacing w:val="1"/>
              <w:jc w:val="center"/>
              <w:rPr>
                <w:sz w:val="22"/>
              </w:rPr>
            </w:pPr>
            <w:r>
              <w:rPr>
                <w:sz w:val="22"/>
              </w:rPr>
              <w:t>4320,00</w:t>
            </w:r>
          </w:p>
        </w:tc>
        <w:tc>
          <w:tcPr>
            <w:tcW w:type="dxa" w:w="1221"/>
            <w:tcBorders>
              <w:top w:color="000000" w:sz="4" w:val="single"/>
              <w:left w:color="000000" w:sz="4" w:val="single"/>
              <w:bottom w:color="000000" w:sz="4" w:val="single"/>
              <w:right w:color="000000" w:sz="4" w:val="single"/>
            </w:tcBorders>
            <w:shd w:fill="FFFFFF" w:val="clear"/>
            <w:vAlign w:val="center"/>
          </w:tcPr>
          <w:p w14:paraId="9B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C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D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E21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9F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021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A1210000">
            <w:pPr>
              <w:widowControl w:val="1"/>
              <w:ind/>
              <w:contextualSpacing w:val="1"/>
              <w:jc w:val="center"/>
              <w:rPr>
                <w:color w:val="000000"/>
                <w:sz w:val="22"/>
              </w:rPr>
            </w:pPr>
            <w:r>
              <w:rPr>
                <w:color w:val="000000"/>
                <w:sz w:val="22"/>
              </w:rPr>
              <w:t>итого по контрагенту ООО "Жалюзи Центр"  36720 руб.</w:t>
            </w:r>
          </w:p>
          <w:p w14:paraId="A221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3210000">
            <w:pPr>
              <w:widowControl w:val="1"/>
              <w:ind/>
              <w:contextualSpacing w:val="1"/>
              <w:rPr>
                <w:color w:val="000000"/>
                <w:sz w:val="22"/>
              </w:rPr>
            </w:pPr>
            <w:r>
              <w:rPr>
                <w:color w:val="000000"/>
                <w:sz w:val="22"/>
              </w:rPr>
              <w:t>132</w:t>
            </w:r>
          </w:p>
        </w:tc>
        <w:tc>
          <w:tcPr>
            <w:tcW w:type="dxa" w:w="1408"/>
            <w:tcBorders>
              <w:top w:color="000000" w:sz="4" w:val="single"/>
              <w:left w:color="000000" w:sz="4" w:val="single"/>
              <w:bottom w:color="000000" w:sz="4" w:val="single"/>
              <w:right w:color="000000" w:sz="4" w:val="single"/>
            </w:tcBorders>
            <w:shd w:fill="FFFFFF" w:val="clear"/>
            <w:vAlign w:val="center"/>
          </w:tcPr>
          <w:p w14:paraId="A4210000">
            <w:pPr>
              <w:widowControl w:val="1"/>
              <w:ind/>
              <w:contextualSpacing w:val="1"/>
              <w:jc w:val="center"/>
              <w:rPr>
                <w:sz w:val="22"/>
              </w:rPr>
            </w:pPr>
            <w:r>
              <w:rPr>
                <w:sz w:val="22"/>
              </w:rPr>
              <w:t>ЧОУ ДПО "Институт Инновационных Транспортных технологий"</w:t>
            </w:r>
          </w:p>
        </w:tc>
        <w:tc>
          <w:tcPr>
            <w:tcW w:type="dxa" w:w="1408"/>
            <w:tcBorders>
              <w:top w:color="000000" w:sz="4" w:val="single"/>
              <w:left w:color="000000" w:sz="4" w:val="single"/>
              <w:bottom w:color="000000" w:sz="4" w:val="single"/>
              <w:right w:color="000000" w:sz="4" w:val="single"/>
            </w:tcBorders>
            <w:shd w:fill="FFFFFF" w:val="clear"/>
            <w:vAlign w:val="center"/>
          </w:tcPr>
          <w:p w14:paraId="A5210000">
            <w:pPr>
              <w:widowControl w:val="1"/>
              <w:ind/>
              <w:contextualSpacing w:val="1"/>
              <w:jc w:val="center"/>
              <w:rPr>
                <w:sz w:val="22"/>
              </w:rPr>
            </w:pPr>
            <w:r>
              <w:rPr>
                <w:sz w:val="22"/>
              </w:rPr>
              <w:t>счет № 4-К/А от 10.01.2018</w:t>
            </w:r>
          </w:p>
        </w:tc>
        <w:tc>
          <w:tcPr>
            <w:tcW w:type="dxa" w:w="1274"/>
            <w:tcBorders>
              <w:top w:color="000000" w:sz="4" w:val="single"/>
              <w:left w:color="000000" w:sz="4" w:val="single"/>
              <w:bottom w:color="000000" w:sz="4" w:val="single"/>
              <w:right w:color="000000" w:sz="4" w:val="single"/>
            </w:tcBorders>
            <w:shd w:fill="FFFFFF" w:val="clear"/>
            <w:vAlign w:val="center"/>
          </w:tcPr>
          <w:p w14:paraId="A6210000">
            <w:pPr>
              <w:widowControl w:val="1"/>
              <w:ind/>
              <w:contextualSpacing w:val="1"/>
              <w:jc w:val="center"/>
              <w:rPr>
                <w:sz w:val="22"/>
              </w:rPr>
            </w:pPr>
            <w:r>
              <w:rPr>
                <w:sz w:val="22"/>
              </w:rPr>
              <w:t>10.01.2018-31.01.2018</w:t>
            </w:r>
          </w:p>
        </w:tc>
        <w:tc>
          <w:tcPr>
            <w:tcW w:type="dxa" w:w="1556"/>
            <w:tcBorders>
              <w:top w:color="000000" w:sz="4" w:val="single"/>
              <w:left w:color="000000" w:sz="4" w:val="single"/>
              <w:bottom w:color="000000" w:sz="4" w:val="single"/>
              <w:right w:color="000000" w:sz="4" w:val="single"/>
            </w:tcBorders>
            <w:shd w:fill="FFFFFF" w:val="clear"/>
            <w:vAlign w:val="center"/>
          </w:tcPr>
          <w:p w14:paraId="A7210000">
            <w:pPr>
              <w:widowControl w:val="1"/>
              <w:ind/>
              <w:contextualSpacing w:val="1"/>
              <w:jc w:val="center"/>
              <w:rPr>
                <w:sz w:val="22"/>
              </w:rPr>
            </w:pPr>
            <w:r>
              <w:rPr>
                <w:sz w:val="22"/>
              </w:rPr>
              <w:t>оказание услуг по повышению квалификации сотрудников по программе "Безопасность движения на железнодорожном транспорте"</w:t>
            </w:r>
          </w:p>
        </w:tc>
        <w:tc>
          <w:tcPr>
            <w:tcW w:type="dxa" w:w="1194"/>
            <w:tcBorders>
              <w:top w:color="000000" w:sz="4" w:val="single"/>
              <w:left w:color="000000" w:sz="4" w:val="single"/>
              <w:bottom w:color="000000" w:sz="4" w:val="single"/>
              <w:right w:color="000000" w:sz="4" w:val="single"/>
            </w:tcBorders>
            <w:shd w:fill="FFFFFF" w:val="clear"/>
            <w:vAlign w:val="center"/>
          </w:tcPr>
          <w:p w14:paraId="A8210000">
            <w:pPr>
              <w:widowControl w:val="1"/>
              <w:ind/>
              <w:contextualSpacing w:val="1"/>
              <w:jc w:val="center"/>
              <w:rPr>
                <w:sz w:val="22"/>
              </w:rPr>
            </w:pPr>
            <w:r>
              <w:rPr>
                <w:sz w:val="22"/>
              </w:rPr>
              <w:t>22 500,00</w:t>
            </w:r>
          </w:p>
        </w:tc>
        <w:tc>
          <w:tcPr>
            <w:tcW w:type="dxa" w:w="1221"/>
            <w:tcBorders>
              <w:top w:color="000000" w:sz="4" w:val="single"/>
              <w:left w:color="000000" w:sz="4" w:val="single"/>
              <w:bottom w:color="000000" w:sz="4" w:val="single"/>
              <w:right w:color="000000" w:sz="4" w:val="single"/>
            </w:tcBorders>
            <w:shd w:fill="FFFFFF" w:val="clear"/>
            <w:vAlign w:val="center"/>
          </w:tcPr>
          <w:p w14:paraId="A9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A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B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C21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AD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E21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F210000">
            <w:pPr>
              <w:widowControl w:val="1"/>
              <w:ind/>
              <w:contextualSpacing w:val="1"/>
              <w:rPr>
                <w:color w:val="000000"/>
                <w:sz w:val="22"/>
              </w:rPr>
            </w:pPr>
            <w:r>
              <w:rPr>
                <w:color w:val="000000"/>
                <w:sz w:val="22"/>
              </w:rPr>
              <w:t>133</w:t>
            </w:r>
          </w:p>
        </w:tc>
        <w:tc>
          <w:tcPr>
            <w:tcW w:type="dxa" w:w="1408"/>
            <w:tcBorders>
              <w:top w:color="000000" w:sz="4" w:val="single"/>
              <w:left w:color="000000" w:sz="4" w:val="single"/>
              <w:bottom w:color="000000" w:sz="4" w:val="single"/>
              <w:right w:color="000000" w:sz="4" w:val="single"/>
            </w:tcBorders>
            <w:shd w:fill="FFFFFF" w:val="clear"/>
            <w:vAlign w:val="center"/>
          </w:tcPr>
          <w:p w14:paraId="B0210000">
            <w:pPr>
              <w:widowControl w:val="1"/>
              <w:ind/>
              <w:contextualSpacing w:val="1"/>
              <w:jc w:val="center"/>
              <w:rPr>
                <w:sz w:val="22"/>
              </w:rPr>
            </w:pPr>
            <w:r>
              <w:rPr>
                <w:sz w:val="22"/>
              </w:rPr>
              <w:t>ЧОУ ДПО "Институт Инновационных Транспортных технологий"</w:t>
            </w:r>
          </w:p>
        </w:tc>
        <w:tc>
          <w:tcPr>
            <w:tcW w:type="dxa" w:w="1408"/>
            <w:tcBorders>
              <w:top w:color="000000" w:sz="4" w:val="single"/>
              <w:left w:color="000000" w:sz="4" w:val="single"/>
              <w:bottom w:color="000000" w:sz="4" w:val="single"/>
              <w:right w:color="000000" w:sz="4" w:val="single"/>
            </w:tcBorders>
            <w:shd w:fill="FFFFFF" w:val="clear"/>
            <w:vAlign w:val="center"/>
          </w:tcPr>
          <w:p w14:paraId="B1210000">
            <w:pPr>
              <w:widowControl w:val="1"/>
              <w:ind/>
              <w:contextualSpacing w:val="1"/>
              <w:jc w:val="center"/>
              <w:rPr>
                <w:sz w:val="22"/>
              </w:rPr>
            </w:pPr>
            <w:r>
              <w:rPr>
                <w:sz w:val="22"/>
              </w:rPr>
              <w:t>счет № 5-К/Б от 10.01.2018</w:t>
            </w:r>
          </w:p>
        </w:tc>
        <w:tc>
          <w:tcPr>
            <w:tcW w:type="dxa" w:w="1274"/>
            <w:tcBorders>
              <w:top w:color="000000" w:sz="4" w:val="single"/>
              <w:left w:color="000000" w:sz="4" w:val="single"/>
              <w:bottom w:color="000000" w:sz="4" w:val="single"/>
              <w:right w:color="000000" w:sz="4" w:val="single"/>
            </w:tcBorders>
            <w:shd w:fill="FFFFFF" w:val="clear"/>
            <w:vAlign w:val="center"/>
          </w:tcPr>
          <w:p w14:paraId="B2210000">
            <w:pPr>
              <w:widowControl w:val="1"/>
              <w:ind/>
              <w:contextualSpacing w:val="1"/>
              <w:jc w:val="center"/>
              <w:rPr>
                <w:sz w:val="22"/>
              </w:rPr>
            </w:pPr>
            <w:r>
              <w:rPr>
                <w:sz w:val="22"/>
              </w:rPr>
              <w:t>10.01.2018-31.01.2018</w:t>
            </w:r>
          </w:p>
        </w:tc>
        <w:tc>
          <w:tcPr>
            <w:tcW w:type="dxa" w:w="1556"/>
            <w:tcBorders>
              <w:top w:color="000000" w:sz="4" w:val="single"/>
              <w:left w:color="000000" w:sz="4" w:val="single"/>
              <w:bottom w:color="000000" w:sz="4" w:val="single"/>
              <w:right w:color="000000" w:sz="4" w:val="single"/>
            </w:tcBorders>
            <w:shd w:fill="FFFFFF" w:val="clear"/>
            <w:vAlign w:val="center"/>
          </w:tcPr>
          <w:p w14:paraId="B3210000">
            <w:pPr>
              <w:widowControl w:val="1"/>
              <w:ind/>
              <w:contextualSpacing w:val="1"/>
              <w:jc w:val="center"/>
              <w:rPr>
                <w:sz w:val="22"/>
              </w:rPr>
            </w:pPr>
            <w:r>
              <w:rPr>
                <w:sz w:val="22"/>
              </w:rPr>
              <w:t>оказание услуг по повышению квалификации сотрудников по программе "Организация перевозок железнодорожным транспортом пассажиров"</w:t>
            </w:r>
          </w:p>
        </w:tc>
        <w:tc>
          <w:tcPr>
            <w:tcW w:type="dxa" w:w="1194"/>
            <w:tcBorders>
              <w:top w:color="000000" w:sz="4" w:val="single"/>
              <w:left w:color="000000" w:sz="4" w:val="single"/>
              <w:bottom w:color="000000" w:sz="4" w:val="single"/>
              <w:right w:color="000000" w:sz="4" w:val="single"/>
            </w:tcBorders>
            <w:shd w:fill="FFFFFF" w:val="clear"/>
            <w:vAlign w:val="center"/>
          </w:tcPr>
          <w:p w14:paraId="B4210000">
            <w:pPr>
              <w:widowControl w:val="1"/>
              <w:ind/>
              <w:contextualSpacing w:val="1"/>
              <w:jc w:val="center"/>
              <w:rPr>
                <w:sz w:val="22"/>
              </w:rPr>
            </w:pPr>
            <w:r>
              <w:rPr>
                <w:sz w:val="22"/>
              </w:rPr>
              <w:t>7 500,00</w:t>
            </w:r>
          </w:p>
        </w:tc>
        <w:tc>
          <w:tcPr>
            <w:tcW w:type="dxa" w:w="1221"/>
            <w:tcBorders>
              <w:top w:color="000000" w:sz="4" w:val="single"/>
              <w:left w:color="000000" w:sz="4" w:val="single"/>
              <w:bottom w:color="000000" w:sz="4" w:val="single"/>
              <w:right w:color="000000" w:sz="4" w:val="single"/>
            </w:tcBorders>
            <w:shd w:fill="FFFFFF" w:val="clear"/>
            <w:vAlign w:val="center"/>
          </w:tcPr>
          <w:p w14:paraId="B5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6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7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821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B9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BA21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40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BB210000">
            <w:pPr>
              <w:widowControl w:val="1"/>
              <w:ind/>
              <w:contextualSpacing w:val="1"/>
              <w:jc w:val="center"/>
              <w:rPr>
                <w:color w:val="000000"/>
                <w:sz w:val="22"/>
              </w:rPr>
            </w:pPr>
            <w:r>
              <w:rPr>
                <w:color w:val="000000"/>
                <w:sz w:val="22"/>
              </w:rPr>
              <w:t>Итого по контрагенту ЧОУ ДПО "Институт Инновационных Транспортных технологий" 30000 руб.</w:t>
            </w:r>
          </w:p>
          <w:p w14:paraId="BC210000">
            <w:pPr>
              <w:widowControl w:val="1"/>
              <w:ind/>
              <w:contextualSpacing w:val="1"/>
              <w:jc w:val="center"/>
              <w:rPr>
                <w:color w:val="000000"/>
                <w:sz w:val="22"/>
              </w:rPr>
            </w:pPr>
          </w:p>
        </w:tc>
      </w:tr>
      <w:tr>
        <w:trPr>
          <w:trHeight w:hRule="atLeast" w:val="1560"/>
        </w:trPr>
        <w:tc>
          <w:tcPr>
            <w:tcW w:type="dxa" w:w="528"/>
            <w:tcBorders>
              <w:top w:color="000000" w:sz="4" w:val="single"/>
              <w:left w:color="000000" w:sz="4" w:val="single"/>
              <w:bottom w:color="000000" w:sz="4" w:val="single"/>
              <w:right w:color="000000" w:sz="4" w:val="single"/>
            </w:tcBorders>
            <w:shd w:fill="FFFFFF" w:val="clear"/>
            <w:vAlign w:val="center"/>
          </w:tcPr>
          <w:p w14:paraId="BD210000">
            <w:pPr>
              <w:widowControl w:val="1"/>
              <w:ind/>
              <w:contextualSpacing w:val="1"/>
              <w:rPr>
                <w:color w:val="000000"/>
                <w:sz w:val="22"/>
              </w:rPr>
            </w:pPr>
            <w:r>
              <w:rPr>
                <w:color w:val="000000"/>
                <w:sz w:val="22"/>
              </w:rPr>
              <w:t>134</w:t>
            </w:r>
          </w:p>
        </w:tc>
        <w:tc>
          <w:tcPr>
            <w:tcW w:type="dxa" w:w="1408"/>
            <w:tcBorders>
              <w:top w:color="000000" w:sz="4" w:val="single"/>
              <w:left w:color="000000" w:sz="4" w:val="single"/>
              <w:bottom w:color="000000" w:sz="4" w:val="single"/>
              <w:right w:color="000000" w:sz="4" w:val="single"/>
            </w:tcBorders>
            <w:shd w:fill="FFFFFF" w:val="clear"/>
            <w:vAlign w:val="center"/>
          </w:tcPr>
          <w:p w14:paraId="BE210000">
            <w:pPr>
              <w:widowControl w:val="1"/>
              <w:ind/>
              <w:contextualSpacing w:val="1"/>
              <w:jc w:val="center"/>
              <w:rPr>
                <w:sz w:val="22"/>
              </w:rPr>
            </w:pPr>
            <w:r>
              <w:rPr>
                <w:sz w:val="22"/>
              </w:rPr>
              <w:t>ООО "АЦ-Авангард"</w:t>
            </w:r>
          </w:p>
        </w:tc>
        <w:tc>
          <w:tcPr>
            <w:tcW w:type="dxa" w:w="1408"/>
            <w:tcBorders>
              <w:top w:color="000000" w:sz="4" w:val="single"/>
              <w:left w:color="000000" w:sz="4" w:val="single"/>
              <w:bottom w:color="000000" w:sz="4" w:val="single"/>
              <w:right w:color="000000" w:sz="4" w:val="single"/>
            </w:tcBorders>
            <w:shd w:fill="FFFFFF" w:val="clear"/>
            <w:vAlign w:val="center"/>
          </w:tcPr>
          <w:p w14:paraId="BF210000">
            <w:pPr>
              <w:widowControl w:val="1"/>
              <w:ind/>
              <w:contextualSpacing w:val="1"/>
              <w:jc w:val="center"/>
              <w:rPr>
                <w:sz w:val="22"/>
              </w:rPr>
            </w:pPr>
            <w:r>
              <w:rPr>
                <w:sz w:val="22"/>
              </w:rPr>
              <w:t>счет № 0081819 от 17.01.2018</w:t>
            </w:r>
          </w:p>
        </w:tc>
        <w:tc>
          <w:tcPr>
            <w:tcW w:type="dxa" w:w="1274"/>
            <w:tcBorders>
              <w:top w:color="000000" w:sz="4" w:val="single"/>
              <w:left w:color="000000" w:sz="4" w:val="single"/>
              <w:bottom w:color="000000" w:sz="4" w:val="single"/>
              <w:right w:color="000000" w:sz="4" w:val="single"/>
            </w:tcBorders>
            <w:shd w:fill="FFFFFF" w:val="clear"/>
            <w:vAlign w:val="center"/>
          </w:tcPr>
          <w:p w14:paraId="C0210000">
            <w:pPr>
              <w:widowControl w:val="1"/>
              <w:ind/>
              <w:contextualSpacing w:val="1"/>
              <w:jc w:val="center"/>
              <w:rPr>
                <w:sz w:val="22"/>
              </w:rPr>
            </w:pPr>
            <w:r>
              <w:rPr>
                <w:sz w:val="22"/>
              </w:rPr>
              <w:t>17.01.2018-31.01.2018</w:t>
            </w:r>
          </w:p>
        </w:tc>
        <w:tc>
          <w:tcPr>
            <w:tcW w:type="dxa" w:w="1556"/>
            <w:tcBorders>
              <w:top w:color="000000" w:sz="4" w:val="single"/>
              <w:left w:color="000000" w:sz="4" w:val="single"/>
              <w:bottom w:color="000000" w:sz="4" w:val="single"/>
              <w:right w:color="000000" w:sz="4" w:val="single"/>
            </w:tcBorders>
            <w:shd w:fill="FFFFFF" w:val="clear"/>
            <w:vAlign w:val="center"/>
          </w:tcPr>
          <w:p w14:paraId="C1210000">
            <w:pPr>
              <w:widowControl w:val="1"/>
              <w:ind/>
              <w:contextualSpacing w:val="1"/>
              <w:jc w:val="center"/>
              <w:rPr>
                <w:sz w:val="22"/>
              </w:rPr>
            </w:pPr>
            <w:r>
              <w:rPr>
                <w:sz w:val="22"/>
              </w:rPr>
              <w:t>оказание услуг по техническому обслуживанию автомобиля AUDI Q7</w:t>
            </w:r>
          </w:p>
        </w:tc>
        <w:tc>
          <w:tcPr>
            <w:tcW w:type="dxa" w:w="1194"/>
            <w:tcBorders>
              <w:top w:color="000000" w:sz="4" w:val="single"/>
              <w:left w:color="000000" w:sz="4" w:val="single"/>
              <w:bottom w:color="000000" w:sz="4" w:val="single"/>
              <w:right w:color="000000" w:sz="4" w:val="single"/>
            </w:tcBorders>
            <w:shd w:fill="FFFFFF" w:val="clear"/>
            <w:vAlign w:val="center"/>
          </w:tcPr>
          <w:p w14:paraId="C2210000">
            <w:pPr>
              <w:widowControl w:val="1"/>
              <w:ind/>
              <w:contextualSpacing w:val="1"/>
              <w:jc w:val="center"/>
              <w:rPr>
                <w:sz w:val="22"/>
              </w:rPr>
            </w:pPr>
            <w:r>
              <w:rPr>
                <w:sz w:val="22"/>
              </w:rPr>
              <w:t>29 594,29</w:t>
            </w:r>
          </w:p>
        </w:tc>
        <w:tc>
          <w:tcPr>
            <w:tcW w:type="dxa" w:w="1221"/>
            <w:tcBorders>
              <w:top w:color="000000" w:sz="4" w:val="single"/>
              <w:left w:color="000000" w:sz="4" w:val="single"/>
              <w:bottom w:color="000000" w:sz="4" w:val="single"/>
              <w:right w:color="000000" w:sz="4" w:val="single"/>
            </w:tcBorders>
            <w:shd w:fill="FFFFFF" w:val="clear"/>
            <w:vAlign w:val="center"/>
          </w:tcPr>
          <w:p w14:paraId="C3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4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5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621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C7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821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9210000">
            <w:pPr>
              <w:widowControl w:val="1"/>
              <w:ind/>
              <w:contextualSpacing w:val="1"/>
              <w:rPr>
                <w:color w:val="000000"/>
                <w:sz w:val="22"/>
              </w:rPr>
            </w:pPr>
            <w:r>
              <w:rPr>
                <w:color w:val="000000"/>
                <w:sz w:val="22"/>
              </w:rPr>
              <w:t>135</w:t>
            </w:r>
          </w:p>
        </w:tc>
        <w:tc>
          <w:tcPr>
            <w:tcW w:type="dxa" w:w="1408"/>
            <w:tcBorders>
              <w:top w:color="000000" w:sz="4" w:val="single"/>
              <w:left w:color="000000" w:sz="4" w:val="single"/>
              <w:bottom w:color="000000" w:sz="4" w:val="single"/>
              <w:right w:color="000000" w:sz="4" w:val="single"/>
            </w:tcBorders>
            <w:shd w:fill="FFFFFF" w:val="clear"/>
            <w:vAlign w:val="center"/>
          </w:tcPr>
          <w:p w14:paraId="CA210000">
            <w:pPr>
              <w:widowControl w:val="1"/>
              <w:ind/>
              <w:contextualSpacing w:val="1"/>
              <w:jc w:val="center"/>
              <w:rPr>
                <w:sz w:val="22"/>
              </w:rPr>
            </w:pPr>
            <w:r>
              <w:rPr>
                <w:sz w:val="22"/>
              </w:rPr>
              <w:t>ООО "АЦ-Авангард"</w:t>
            </w:r>
          </w:p>
        </w:tc>
        <w:tc>
          <w:tcPr>
            <w:tcW w:type="dxa" w:w="1408"/>
            <w:tcBorders>
              <w:top w:color="000000" w:sz="4" w:val="single"/>
              <w:left w:color="000000" w:sz="4" w:val="single"/>
              <w:bottom w:color="000000" w:sz="4" w:val="single"/>
              <w:right w:color="000000" w:sz="4" w:val="single"/>
            </w:tcBorders>
            <w:shd w:fill="FFFFFF" w:val="clear"/>
            <w:vAlign w:val="center"/>
          </w:tcPr>
          <w:p w14:paraId="CB210000">
            <w:pPr>
              <w:widowControl w:val="1"/>
              <w:ind/>
              <w:contextualSpacing w:val="1"/>
              <w:jc w:val="center"/>
              <w:rPr>
                <w:sz w:val="22"/>
              </w:rPr>
            </w:pPr>
            <w:r>
              <w:rPr>
                <w:sz w:val="22"/>
              </w:rPr>
              <w:t>счет № 0092268 от 12.09.2018</w:t>
            </w:r>
          </w:p>
        </w:tc>
        <w:tc>
          <w:tcPr>
            <w:tcW w:type="dxa" w:w="1274"/>
            <w:tcBorders>
              <w:top w:color="000000" w:sz="4" w:val="single"/>
              <w:left w:color="000000" w:sz="4" w:val="single"/>
              <w:bottom w:color="000000" w:sz="4" w:val="single"/>
              <w:right w:color="000000" w:sz="4" w:val="single"/>
            </w:tcBorders>
            <w:shd w:fill="FFFFFF" w:val="clear"/>
            <w:vAlign w:val="center"/>
          </w:tcPr>
          <w:p w14:paraId="CC210000">
            <w:pPr>
              <w:widowControl w:val="1"/>
              <w:ind/>
              <w:contextualSpacing w:val="1"/>
              <w:jc w:val="center"/>
              <w:rPr>
                <w:sz w:val="22"/>
              </w:rPr>
            </w:pPr>
            <w:r>
              <w:rPr>
                <w:sz w:val="22"/>
              </w:rPr>
              <w:t>12.09.2018-17.09.2018</w:t>
            </w:r>
          </w:p>
        </w:tc>
        <w:tc>
          <w:tcPr>
            <w:tcW w:type="dxa" w:w="1556"/>
            <w:tcBorders>
              <w:top w:color="000000" w:sz="4" w:val="single"/>
              <w:left w:color="000000" w:sz="4" w:val="single"/>
              <w:bottom w:color="000000" w:sz="4" w:val="single"/>
              <w:right w:color="000000" w:sz="4" w:val="single"/>
            </w:tcBorders>
            <w:shd w:fill="FFFFFF" w:val="clear"/>
            <w:vAlign w:val="center"/>
          </w:tcPr>
          <w:p w14:paraId="CD210000">
            <w:pPr>
              <w:widowControl w:val="1"/>
              <w:ind/>
              <w:contextualSpacing w:val="1"/>
              <w:jc w:val="center"/>
              <w:rPr>
                <w:sz w:val="22"/>
              </w:rPr>
            </w:pPr>
            <w:r>
              <w:rPr>
                <w:sz w:val="22"/>
              </w:rPr>
              <w:t>оказание услуг по техническому обслуживанию автомобиля AUDI Q7</w:t>
            </w:r>
          </w:p>
        </w:tc>
        <w:tc>
          <w:tcPr>
            <w:tcW w:type="dxa" w:w="1194"/>
            <w:tcBorders>
              <w:top w:color="000000" w:sz="4" w:val="single"/>
              <w:left w:color="000000" w:sz="4" w:val="single"/>
              <w:bottom w:color="000000" w:sz="4" w:val="single"/>
              <w:right w:color="000000" w:sz="4" w:val="single"/>
            </w:tcBorders>
            <w:shd w:fill="FFFFFF" w:val="clear"/>
            <w:vAlign w:val="center"/>
          </w:tcPr>
          <w:p w14:paraId="CE210000">
            <w:pPr>
              <w:widowControl w:val="1"/>
              <w:ind/>
              <w:contextualSpacing w:val="1"/>
              <w:jc w:val="center"/>
              <w:rPr>
                <w:sz w:val="22"/>
              </w:rPr>
            </w:pPr>
            <w:r>
              <w:rPr>
                <w:sz w:val="22"/>
              </w:rPr>
              <w:t>10283,00</w:t>
            </w:r>
          </w:p>
        </w:tc>
        <w:tc>
          <w:tcPr>
            <w:tcW w:type="dxa" w:w="1221"/>
            <w:tcBorders>
              <w:top w:color="000000" w:sz="4" w:val="single"/>
              <w:left w:color="000000" w:sz="4" w:val="single"/>
              <w:bottom w:color="000000" w:sz="4" w:val="single"/>
              <w:right w:color="000000" w:sz="4" w:val="single"/>
            </w:tcBorders>
            <w:shd w:fill="FFFFFF" w:val="clear"/>
            <w:vAlign w:val="center"/>
          </w:tcPr>
          <w:p w14:paraId="CF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0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1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221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D3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D421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450"/>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D5210000">
            <w:pPr>
              <w:widowControl w:val="1"/>
              <w:ind/>
              <w:contextualSpacing w:val="1"/>
              <w:jc w:val="center"/>
              <w:rPr>
                <w:color w:val="000000"/>
                <w:sz w:val="22"/>
              </w:rPr>
            </w:pPr>
            <w:r>
              <w:rPr>
                <w:color w:val="000000"/>
                <w:sz w:val="22"/>
              </w:rPr>
              <w:t>итого по контрагенту ООО "АЦ-Авангард" 39 877,29 руб.</w:t>
            </w:r>
          </w:p>
          <w:p w14:paraId="D621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D7210000">
            <w:pPr>
              <w:widowControl w:val="1"/>
              <w:ind/>
              <w:contextualSpacing w:val="1"/>
              <w:rPr>
                <w:color w:val="000000"/>
                <w:sz w:val="22"/>
              </w:rPr>
            </w:pPr>
            <w:r>
              <w:rPr>
                <w:color w:val="000000"/>
                <w:sz w:val="22"/>
              </w:rPr>
              <w:t>136</w:t>
            </w:r>
          </w:p>
        </w:tc>
        <w:tc>
          <w:tcPr>
            <w:tcW w:type="dxa" w:w="1408"/>
            <w:tcBorders>
              <w:top w:color="000000" w:sz="4" w:val="single"/>
              <w:left w:color="000000" w:sz="4" w:val="single"/>
              <w:bottom w:color="000000" w:sz="4" w:val="single"/>
              <w:right w:color="000000" w:sz="4" w:val="single"/>
            </w:tcBorders>
            <w:shd w:fill="FFFFFF" w:val="clear"/>
            <w:vAlign w:val="center"/>
          </w:tcPr>
          <w:p w14:paraId="D8210000">
            <w:pPr>
              <w:widowControl w:val="1"/>
              <w:ind/>
              <w:contextualSpacing w:val="1"/>
              <w:jc w:val="center"/>
              <w:rPr>
                <w:sz w:val="22"/>
              </w:rPr>
            </w:pPr>
            <w:r>
              <w:rPr>
                <w:sz w:val="22"/>
              </w:rPr>
              <w:t>ООО "Медведь-Сервис"</w:t>
            </w:r>
          </w:p>
        </w:tc>
        <w:tc>
          <w:tcPr>
            <w:tcW w:type="dxa" w:w="1408"/>
            <w:tcBorders>
              <w:top w:color="000000" w:sz="4" w:val="single"/>
              <w:left w:color="000000" w:sz="4" w:val="single"/>
              <w:bottom w:color="000000" w:sz="4" w:val="single"/>
              <w:right w:color="000000" w:sz="4" w:val="single"/>
            </w:tcBorders>
            <w:shd w:fill="FFFFFF" w:val="clear"/>
            <w:vAlign w:val="center"/>
          </w:tcPr>
          <w:p w14:paraId="D9210000">
            <w:pPr>
              <w:widowControl w:val="1"/>
              <w:ind/>
              <w:contextualSpacing w:val="1"/>
              <w:jc w:val="center"/>
              <w:rPr>
                <w:sz w:val="22"/>
              </w:rPr>
            </w:pPr>
            <w:r>
              <w:rPr>
                <w:sz w:val="22"/>
              </w:rPr>
              <w:t>счет № ССР0000021 от 19.01.2018</w:t>
            </w:r>
          </w:p>
        </w:tc>
        <w:tc>
          <w:tcPr>
            <w:tcW w:type="dxa" w:w="1274"/>
            <w:tcBorders>
              <w:top w:color="000000" w:sz="4" w:val="single"/>
              <w:left w:color="000000" w:sz="4" w:val="single"/>
              <w:bottom w:color="000000" w:sz="4" w:val="single"/>
              <w:right w:color="000000" w:sz="4" w:val="single"/>
            </w:tcBorders>
            <w:shd w:fill="FFFFFF" w:val="clear"/>
            <w:vAlign w:val="center"/>
          </w:tcPr>
          <w:p w14:paraId="DA210000">
            <w:pPr>
              <w:widowControl w:val="1"/>
              <w:ind/>
              <w:contextualSpacing w:val="1"/>
              <w:jc w:val="center"/>
              <w:rPr>
                <w:sz w:val="22"/>
              </w:rPr>
            </w:pPr>
            <w:r>
              <w:rPr>
                <w:sz w:val="22"/>
              </w:rPr>
              <w:t>19.01.2018-31.01.2018</w:t>
            </w:r>
          </w:p>
        </w:tc>
        <w:tc>
          <w:tcPr>
            <w:tcW w:type="dxa" w:w="1556"/>
            <w:tcBorders>
              <w:top w:color="000000" w:sz="4" w:val="single"/>
              <w:left w:color="000000" w:sz="4" w:val="single"/>
              <w:bottom w:color="000000" w:sz="4" w:val="single"/>
              <w:right w:color="000000" w:sz="4" w:val="single"/>
            </w:tcBorders>
            <w:shd w:fill="FFFFFF" w:val="clear"/>
            <w:vAlign w:val="center"/>
          </w:tcPr>
          <w:p w14:paraId="DB210000">
            <w:pPr>
              <w:widowControl w:val="1"/>
              <w:ind/>
              <w:contextualSpacing w:val="1"/>
              <w:jc w:val="center"/>
              <w:rPr>
                <w:sz w:val="22"/>
              </w:rPr>
            </w:pPr>
            <w:r>
              <w:rPr>
                <w:sz w:val="22"/>
              </w:rPr>
              <w:t>оказание услуг по техническому обслуживанию автомобиля ПЕЖО</w:t>
            </w:r>
          </w:p>
        </w:tc>
        <w:tc>
          <w:tcPr>
            <w:tcW w:type="dxa" w:w="1194"/>
            <w:tcBorders>
              <w:top w:color="000000" w:sz="4" w:val="single"/>
              <w:left w:color="000000" w:sz="4" w:val="single"/>
              <w:bottom w:color="000000" w:sz="4" w:val="single"/>
              <w:right w:color="000000" w:sz="4" w:val="single"/>
            </w:tcBorders>
            <w:shd w:fill="FFFFFF" w:val="clear"/>
            <w:vAlign w:val="center"/>
          </w:tcPr>
          <w:p w14:paraId="DC210000">
            <w:pPr>
              <w:widowControl w:val="1"/>
              <w:ind/>
              <w:contextualSpacing w:val="1"/>
              <w:jc w:val="center"/>
              <w:rPr>
                <w:sz w:val="22"/>
              </w:rPr>
            </w:pPr>
            <w:r>
              <w:rPr>
                <w:sz w:val="22"/>
              </w:rPr>
              <w:t>1 680,00</w:t>
            </w:r>
          </w:p>
        </w:tc>
        <w:tc>
          <w:tcPr>
            <w:tcW w:type="dxa" w:w="1221"/>
            <w:tcBorders>
              <w:top w:color="000000" w:sz="4" w:val="single"/>
              <w:left w:color="000000" w:sz="4" w:val="single"/>
              <w:bottom w:color="000000" w:sz="4" w:val="single"/>
              <w:right w:color="000000" w:sz="4" w:val="single"/>
            </w:tcBorders>
            <w:shd w:fill="FFFFFF" w:val="clear"/>
            <w:vAlign w:val="center"/>
          </w:tcPr>
          <w:p w14:paraId="DD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E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F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021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E1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E221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950"/>
        </w:trPr>
        <w:tc>
          <w:tcPr>
            <w:tcW w:type="dxa" w:w="528"/>
            <w:tcBorders>
              <w:top w:color="000000" w:sz="4" w:val="single"/>
              <w:left w:color="000000" w:sz="4" w:val="single"/>
              <w:bottom w:color="000000" w:sz="4" w:val="single"/>
              <w:right w:color="000000" w:sz="4" w:val="single"/>
            </w:tcBorders>
            <w:shd w:fill="FFFFFF" w:val="clear"/>
            <w:vAlign w:val="center"/>
          </w:tcPr>
          <w:p w14:paraId="E3210000">
            <w:pPr>
              <w:widowControl w:val="1"/>
              <w:ind/>
              <w:contextualSpacing w:val="1"/>
              <w:rPr>
                <w:color w:val="000000"/>
                <w:sz w:val="22"/>
              </w:rPr>
            </w:pPr>
            <w:r>
              <w:rPr>
                <w:color w:val="000000"/>
                <w:sz w:val="22"/>
              </w:rPr>
              <w:t>137</w:t>
            </w:r>
          </w:p>
        </w:tc>
        <w:tc>
          <w:tcPr>
            <w:tcW w:type="dxa" w:w="1408"/>
            <w:tcBorders>
              <w:top w:color="000000" w:sz="4" w:val="single"/>
              <w:left w:color="000000" w:sz="4" w:val="single"/>
              <w:bottom w:color="000000" w:sz="4" w:val="single"/>
              <w:right w:color="000000" w:sz="4" w:val="single"/>
            </w:tcBorders>
            <w:shd w:fill="FFFFFF" w:val="clear"/>
            <w:vAlign w:val="center"/>
          </w:tcPr>
          <w:p w14:paraId="E4210000">
            <w:pPr>
              <w:widowControl w:val="1"/>
              <w:ind/>
              <w:contextualSpacing w:val="1"/>
              <w:jc w:val="center"/>
              <w:rPr>
                <w:sz w:val="22"/>
              </w:rPr>
            </w:pPr>
            <w:r>
              <w:rPr>
                <w:sz w:val="22"/>
              </w:rPr>
              <w:t>ООО "Медведь-Сервис"</w:t>
            </w:r>
          </w:p>
        </w:tc>
        <w:tc>
          <w:tcPr>
            <w:tcW w:type="dxa" w:w="1408"/>
            <w:tcBorders>
              <w:top w:color="000000" w:sz="4" w:val="single"/>
              <w:left w:color="000000" w:sz="4" w:val="single"/>
              <w:bottom w:color="000000" w:sz="4" w:val="single"/>
              <w:right w:color="000000" w:sz="4" w:val="single"/>
            </w:tcBorders>
            <w:shd w:fill="FFFFFF" w:val="clear"/>
            <w:vAlign w:val="center"/>
          </w:tcPr>
          <w:p w14:paraId="E5210000">
            <w:pPr>
              <w:widowControl w:val="1"/>
              <w:ind/>
              <w:contextualSpacing w:val="1"/>
              <w:jc w:val="center"/>
              <w:rPr>
                <w:sz w:val="22"/>
              </w:rPr>
            </w:pPr>
            <w:r>
              <w:rPr>
                <w:sz w:val="22"/>
              </w:rPr>
              <w:t>счет № ССР0000333 от 13.07.2018</w:t>
            </w:r>
          </w:p>
        </w:tc>
        <w:tc>
          <w:tcPr>
            <w:tcW w:type="dxa" w:w="1274"/>
            <w:tcBorders>
              <w:top w:color="000000" w:sz="4" w:val="single"/>
              <w:left w:color="000000" w:sz="4" w:val="single"/>
              <w:bottom w:color="000000" w:sz="4" w:val="single"/>
              <w:right w:color="000000" w:sz="4" w:val="single"/>
            </w:tcBorders>
            <w:shd w:fill="FFFFFF" w:val="clear"/>
            <w:vAlign w:val="center"/>
          </w:tcPr>
          <w:p w14:paraId="E6210000">
            <w:pPr>
              <w:widowControl w:val="1"/>
              <w:ind/>
              <w:contextualSpacing w:val="1"/>
              <w:jc w:val="center"/>
              <w:rPr>
                <w:sz w:val="22"/>
              </w:rPr>
            </w:pPr>
            <w:r>
              <w:rPr>
                <w:sz w:val="22"/>
              </w:rPr>
              <w:t>13.07.2018-20.07.2018</w:t>
            </w:r>
          </w:p>
        </w:tc>
        <w:tc>
          <w:tcPr>
            <w:tcW w:type="dxa" w:w="1556"/>
            <w:tcBorders>
              <w:top w:color="000000" w:sz="4" w:val="single"/>
              <w:left w:color="000000" w:sz="4" w:val="single"/>
              <w:bottom w:color="000000" w:sz="4" w:val="single"/>
              <w:right w:color="000000" w:sz="4" w:val="single"/>
            </w:tcBorders>
            <w:shd w:fill="FFFFFF" w:val="clear"/>
            <w:vAlign w:val="center"/>
          </w:tcPr>
          <w:p w14:paraId="E7210000">
            <w:pPr>
              <w:widowControl w:val="1"/>
              <w:ind/>
              <w:contextualSpacing w:val="1"/>
              <w:jc w:val="center"/>
              <w:rPr>
                <w:sz w:val="22"/>
              </w:rPr>
            </w:pPr>
            <w:r>
              <w:rPr>
                <w:sz w:val="22"/>
              </w:rPr>
              <w:t>оказание услуг по техническому обслуживанию автомобиля ПЕЖО</w:t>
            </w:r>
          </w:p>
        </w:tc>
        <w:tc>
          <w:tcPr>
            <w:tcW w:type="dxa" w:w="1194"/>
            <w:tcBorders>
              <w:top w:color="000000" w:sz="4" w:val="single"/>
              <w:left w:color="000000" w:sz="4" w:val="single"/>
              <w:bottom w:color="000000" w:sz="4" w:val="single"/>
              <w:right w:color="000000" w:sz="4" w:val="single"/>
            </w:tcBorders>
            <w:shd w:fill="FFFFFF" w:val="clear"/>
            <w:vAlign w:val="center"/>
          </w:tcPr>
          <w:p w14:paraId="E8210000">
            <w:pPr>
              <w:widowControl w:val="1"/>
              <w:ind/>
              <w:contextualSpacing w:val="1"/>
              <w:jc w:val="center"/>
              <w:rPr>
                <w:sz w:val="22"/>
              </w:rPr>
            </w:pPr>
            <w:r>
              <w:rPr>
                <w:sz w:val="22"/>
              </w:rPr>
              <w:t>6601,00</w:t>
            </w:r>
          </w:p>
        </w:tc>
        <w:tc>
          <w:tcPr>
            <w:tcW w:type="dxa" w:w="1221"/>
            <w:tcBorders>
              <w:top w:color="000000" w:sz="4" w:val="single"/>
              <w:left w:color="000000" w:sz="4" w:val="single"/>
              <w:bottom w:color="000000" w:sz="4" w:val="single"/>
              <w:right w:color="000000" w:sz="4" w:val="single"/>
            </w:tcBorders>
            <w:shd w:fill="FFFFFF" w:val="clear"/>
            <w:vAlign w:val="center"/>
          </w:tcPr>
          <w:p w14:paraId="E9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A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B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C21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ED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EE21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EF210000">
            <w:pPr>
              <w:widowControl w:val="1"/>
              <w:ind/>
              <w:contextualSpacing w:val="1"/>
              <w:jc w:val="center"/>
              <w:rPr>
                <w:color w:val="000000"/>
                <w:sz w:val="22"/>
              </w:rPr>
            </w:pPr>
            <w:r>
              <w:rPr>
                <w:color w:val="000000"/>
                <w:sz w:val="22"/>
              </w:rPr>
              <w:t>итого по контрагенту ООО "Медведь-Сервис" 8281 руб.</w:t>
            </w:r>
          </w:p>
          <w:p w14:paraId="F021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F1210000">
            <w:pPr>
              <w:widowControl w:val="1"/>
              <w:ind/>
              <w:contextualSpacing w:val="1"/>
              <w:rPr>
                <w:color w:val="000000"/>
                <w:sz w:val="22"/>
              </w:rPr>
            </w:pPr>
            <w:r>
              <w:rPr>
                <w:color w:val="000000"/>
                <w:sz w:val="22"/>
              </w:rPr>
              <w:t>138</w:t>
            </w:r>
          </w:p>
        </w:tc>
        <w:tc>
          <w:tcPr>
            <w:tcW w:type="dxa" w:w="1408"/>
            <w:tcBorders>
              <w:top w:color="000000" w:sz="4" w:val="single"/>
              <w:left w:color="000000" w:sz="4" w:val="single"/>
              <w:bottom w:color="000000" w:sz="4" w:val="single"/>
              <w:right w:color="000000" w:sz="4" w:val="single"/>
            </w:tcBorders>
            <w:shd w:fill="FFFFFF" w:val="clear"/>
            <w:vAlign w:val="center"/>
          </w:tcPr>
          <w:p w14:paraId="F2210000">
            <w:pPr>
              <w:widowControl w:val="1"/>
              <w:ind/>
              <w:contextualSpacing w:val="1"/>
              <w:jc w:val="center"/>
              <w:rPr>
                <w:sz w:val="22"/>
              </w:rPr>
            </w:pPr>
            <w:r>
              <w:rPr>
                <w:sz w:val="22"/>
              </w:rPr>
              <w:t>ИП Земкина Н.В.</w:t>
            </w:r>
          </w:p>
        </w:tc>
        <w:tc>
          <w:tcPr>
            <w:tcW w:type="dxa" w:w="1408"/>
            <w:tcBorders>
              <w:top w:color="000000" w:sz="4" w:val="single"/>
              <w:left w:color="000000" w:sz="4" w:val="single"/>
              <w:bottom w:color="000000" w:sz="4" w:val="single"/>
              <w:right w:color="000000" w:sz="4" w:val="single"/>
            </w:tcBorders>
            <w:shd w:fill="FFFFFF" w:val="clear"/>
            <w:vAlign w:val="center"/>
          </w:tcPr>
          <w:p w14:paraId="F3210000">
            <w:pPr>
              <w:widowControl w:val="1"/>
              <w:ind/>
              <w:contextualSpacing w:val="1"/>
              <w:jc w:val="center"/>
              <w:rPr>
                <w:sz w:val="22"/>
              </w:rPr>
            </w:pPr>
            <w:r>
              <w:rPr>
                <w:sz w:val="22"/>
              </w:rPr>
              <w:t>счет № 44 от 06.02.2018</w:t>
            </w:r>
          </w:p>
        </w:tc>
        <w:tc>
          <w:tcPr>
            <w:tcW w:type="dxa" w:w="1274"/>
            <w:tcBorders>
              <w:top w:color="000000" w:sz="4" w:val="single"/>
              <w:left w:color="000000" w:sz="4" w:val="single"/>
              <w:bottom w:color="000000" w:sz="4" w:val="single"/>
              <w:right w:color="000000" w:sz="4" w:val="single"/>
            </w:tcBorders>
            <w:shd w:fill="FFFFFF" w:val="clear"/>
            <w:vAlign w:val="center"/>
          </w:tcPr>
          <w:p w14:paraId="F4210000">
            <w:pPr>
              <w:widowControl w:val="1"/>
              <w:ind/>
              <w:contextualSpacing w:val="1"/>
              <w:jc w:val="center"/>
              <w:rPr>
                <w:sz w:val="22"/>
              </w:rPr>
            </w:pPr>
            <w:r>
              <w:rPr>
                <w:sz w:val="22"/>
              </w:rPr>
              <w:t>06.02.2018-28.02.2018</w:t>
            </w:r>
          </w:p>
        </w:tc>
        <w:tc>
          <w:tcPr>
            <w:tcW w:type="dxa" w:w="1556"/>
            <w:tcBorders>
              <w:top w:color="000000" w:sz="4" w:val="single"/>
              <w:left w:color="000000" w:sz="4" w:val="single"/>
              <w:bottom w:color="000000" w:sz="4" w:val="single"/>
              <w:right w:color="000000" w:sz="4" w:val="single"/>
            </w:tcBorders>
            <w:shd w:fill="FFFFFF" w:val="clear"/>
            <w:vAlign w:val="center"/>
          </w:tcPr>
          <w:p w14:paraId="F5210000">
            <w:pPr>
              <w:widowControl w:val="1"/>
              <w:ind/>
              <w:contextualSpacing w:val="1"/>
              <w:jc w:val="center"/>
              <w:rPr>
                <w:sz w:val="22"/>
              </w:rPr>
            </w:pPr>
            <w:r>
              <w:rPr>
                <w:sz w:val="22"/>
              </w:rPr>
              <w:t>поставка термометров</w:t>
            </w:r>
          </w:p>
        </w:tc>
        <w:tc>
          <w:tcPr>
            <w:tcW w:type="dxa" w:w="1194"/>
            <w:tcBorders>
              <w:top w:color="000000" w:sz="4" w:val="single"/>
              <w:left w:color="000000" w:sz="4" w:val="single"/>
              <w:bottom w:color="000000" w:sz="4" w:val="single"/>
              <w:right w:color="000000" w:sz="4" w:val="single"/>
            </w:tcBorders>
            <w:shd w:fill="FFFFFF" w:val="clear"/>
            <w:vAlign w:val="center"/>
          </w:tcPr>
          <w:p w14:paraId="F6210000">
            <w:pPr>
              <w:widowControl w:val="1"/>
              <w:ind/>
              <w:contextualSpacing w:val="1"/>
              <w:jc w:val="center"/>
              <w:rPr>
                <w:sz w:val="22"/>
              </w:rPr>
            </w:pPr>
            <w:r>
              <w:rPr>
                <w:sz w:val="22"/>
              </w:rPr>
              <w:t>4 200,00</w:t>
            </w:r>
          </w:p>
        </w:tc>
        <w:tc>
          <w:tcPr>
            <w:tcW w:type="dxa" w:w="1221"/>
            <w:tcBorders>
              <w:top w:color="000000" w:sz="4" w:val="single"/>
              <w:left w:color="000000" w:sz="4" w:val="single"/>
              <w:bottom w:color="000000" w:sz="4" w:val="single"/>
              <w:right w:color="000000" w:sz="4" w:val="single"/>
            </w:tcBorders>
            <w:shd w:fill="FFFFFF" w:val="clear"/>
            <w:vAlign w:val="center"/>
          </w:tcPr>
          <w:p w14:paraId="F721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821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921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A21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FB21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FC21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FD210000">
            <w:pPr>
              <w:widowControl w:val="1"/>
              <w:ind/>
              <w:contextualSpacing w:val="1"/>
              <w:rPr>
                <w:color w:val="000000"/>
                <w:sz w:val="22"/>
              </w:rPr>
            </w:pPr>
            <w:r>
              <w:rPr>
                <w:color w:val="000000"/>
                <w:sz w:val="22"/>
              </w:rPr>
              <w:t>139</w:t>
            </w:r>
          </w:p>
        </w:tc>
        <w:tc>
          <w:tcPr>
            <w:tcW w:type="dxa" w:w="1408"/>
            <w:tcBorders>
              <w:top w:color="000000" w:sz="4" w:val="single"/>
              <w:left w:color="000000" w:sz="4" w:val="single"/>
              <w:bottom w:color="000000" w:sz="4" w:val="single"/>
              <w:right w:color="000000" w:sz="4" w:val="single"/>
            </w:tcBorders>
            <w:shd w:fill="FFFFFF" w:val="clear"/>
            <w:vAlign w:val="center"/>
          </w:tcPr>
          <w:p w14:paraId="FE210000">
            <w:pPr>
              <w:widowControl w:val="1"/>
              <w:ind/>
              <w:contextualSpacing w:val="1"/>
              <w:jc w:val="center"/>
              <w:rPr>
                <w:sz w:val="22"/>
              </w:rPr>
            </w:pPr>
            <w:r>
              <w:rPr>
                <w:sz w:val="22"/>
              </w:rPr>
              <w:t>ООО "ЦРД Соломон"</w:t>
            </w:r>
          </w:p>
        </w:tc>
        <w:tc>
          <w:tcPr>
            <w:tcW w:type="dxa" w:w="1408"/>
            <w:tcBorders>
              <w:top w:color="000000" w:sz="4" w:val="single"/>
              <w:left w:color="000000" w:sz="4" w:val="single"/>
              <w:bottom w:color="000000" w:sz="4" w:val="single"/>
              <w:right w:color="000000" w:sz="4" w:val="single"/>
            </w:tcBorders>
            <w:shd w:fill="FFFFFF" w:val="clear"/>
            <w:vAlign w:val="center"/>
          </w:tcPr>
          <w:p w14:paraId="FF210000">
            <w:pPr>
              <w:widowControl w:val="1"/>
              <w:ind/>
              <w:contextualSpacing w:val="1"/>
              <w:jc w:val="center"/>
              <w:rPr>
                <w:sz w:val="22"/>
              </w:rPr>
            </w:pPr>
            <w:r>
              <w:rPr>
                <w:sz w:val="22"/>
              </w:rPr>
              <w:t>счет № 895 от 06.02.2018</w:t>
            </w:r>
          </w:p>
        </w:tc>
        <w:tc>
          <w:tcPr>
            <w:tcW w:type="dxa" w:w="1274"/>
            <w:tcBorders>
              <w:top w:color="000000" w:sz="4" w:val="single"/>
              <w:left w:color="000000" w:sz="4" w:val="single"/>
              <w:bottom w:color="000000" w:sz="4" w:val="single"/>
              <w:right w:color="000000" w:sz="4" w:val="single"/>
            </w:tcBorders>
            <w:shd w:fill="FFFFFF" w:val="clear"/>
            <w:vAlign w:val="center"/>
          </w:tcPr>
          <w:p w14:paraId="00220000">
            <w:pPr>
              <w:widowControl w:val="1"/>
              <w:ind/>
              <w:contextualSpacing w:val="1"/>
              <w:jc w:val="center"/>
              <w:rPr>
                <w:sz w:val="22"/>
              </w:rPr>
            </w:pPr>
            <w:r>
              <w:rPr>
                <w:sz w:val="22"/>
              </w:rPr>
              <w:t>06.02.2018-28.02.2018</w:t>
            </w:r>
          </w:p>
        </w:tc>
        <w:tc>
          <w:tcPr>
            <w:tcW w:type="dxa" w:w="1556"/>
            <w:tcBorders>
              <w:top w:color="000000" w:sz="4" w:val="single"/>
              <w:left w:color="000000" w:sz="4" w:val="single"/>
              <w:bottom w:color="000000" w:sz="4" w:val="single"/>
              <w:right w:color="000000" w:sz="4" w:val="single"/>
            </w:tcBorders>
            <w:shd w:fill="FFFFFF" w:val="clear"/>
            <w:vAlign w:val="center"/>
          </w:tcPr>
          <w:p w14:paraId="01220000">
            <w:pPr>
              <w:widowControl w:val="1"/>
              <w:ind/>
              <w:contextualSpacing w:val="1"/>
              <w:jc w:val="center"/>
              <w:rPr>
                <w:sz w:val="22"/>
              </w:rPr>
            </w:pPr>
            <w:r>
              <w:rPr>
                <w:sz w:val="22"/>
              </w:rPr>
              <w:t>оказание услуг по повышению квалификации на тему "Правовое регулирование рабочего времени отдыха и оплаты труда"</w:t>
            </w:r>
          </w:p>
        </w:tc>
        <w:tc>
          <w:tcPr>
            <w:tcW w:type="dxa" w:w="1194"/>
            <w:tcBorders>
              <w:top w:color="000000" w:sz="4" w:val="single"/>
              <w:left w:color="000000" w:sz="4" w:val="single"/>
              <w:bottom w:color="000000" w:sz="4" w:val="single"/>
              <w:right w:color="000000" w:sz="4" w:val="single"/>
            </w:tcBorders>
            <w:shd w:fill="FFFFFF" w:val="clear"/>
            <w:vAlign w:val="center"/>
          </w:tcPr>
          <w:p w14:paraId="02220000">
            <w:pPr>
              <w:widowControl w:val="1"/>
              <w:ind/>
              <w:contextualSpacing w:val="1"/>
              <w:jc w:val="center"/>
              <w:rPr>
                <w:sz w:val="22"/>
              </w:rPr>
            </w:pPr>
            <w:r>
              <w:rPr>
                <w:sz w:val="22"/>
              </w:rPr>
              <w:t>24 320,00</w:t>
            </w:r>
          </w:p>
        </w:tc>
        <w:tc>
          <w:tcPr>
            <w:tcW w:type="dxa" w:w="1221"/>
            <w:tcBorders>
              <w:top w:color="000000" w:sz="4" w:val="single"/>
              <w:left w:color="000000" w:sz="4" w:val="single"/>
              <w:bottom w:color="000000" w:sz="4" w:val="single"/>
              <w:right w:color="000000" w:sz="4" w:val="single"/>
            </w:tcBorders>
            <w:shd w:fill="FFFFFF" w:val="clear"/>
            <w:vAlign w:val="center"/>
          </w:tcPr>
          <w:p w14:paraId="03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4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5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06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07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822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2265"/>
        </w:trPr>
        <w:tc>
          <w:tcPr>
            <w:tcW w:type="dxa" w:w="528"/>
            <w:tcBorders>
              <w:top w:color="000000" w:sz="4" w:val="single"/>
              <w:left w:color="000000" w:sz="4" w:val="single"/>
              <w:bottom w:color="000000" w:sz="4" w:val="single"/>
              <w:right w:color="000000" w:sz="4" w:val="single"/>
            </w:tcBorders>
            <w:shd w:fill="FFFFFF" w:val="clear"/>
            <w:vAlign w:val="center"/>
          </w:tcPr>
          <w:p w14:paraId="09220000">
            <w:pPr>
              <w:widowControl w:val="1"/>
              <w:ind/>
              <w:contextualSpacing w:val="1"/>
              <w:rPr>
                <w:color w:val="000000"/>
                <w:sz w:val="22"/>
              </w:rPr>
            </w:pPr>
            <w:r>
              <w:rPr>
                <w:color w:val="000000"/>
                <w:sz w:val="22"/>
              </w:rPr>
              <w:t>140</w:t>
            </w:r>
          </w:p>
        </w:tc>
        <w:tc>
          <w:tcPr>
            <w:tcW w:type="dxa" w:w="1408"/>
            <w:tcBorders>
              <w:top w:color="000000" w:sz="4" w:val="single"/>
              <w:left w:color="000000" w:sz="4" w:val="single"/>
              <w:bottom w:color="000000" w:sz="4" w:val="single"/>
              <w:right w:color="000000" w:sz="4" w:val="single"/>
            </w:tcBorders>
            <w:shd w:fill="FFFFFF" w:val="clear"/>
            <w:vAlign w:val="center"/>
          </w:tcPr>
          <w:p w14:paraId="0A220000">
            <w:pPr>
              <w:widowControl w:val="1"/>
              <w:ind/>
              <w:contextualSpacing w:val="1"/>
              <w:jc w:val="center"/>
              <w:rPr>
                <w:sz w:val="22"/>
              </w:rPr>
            </w:pPr>
            <w:r>
              <w:rPr>
                <w:sz w:val="22"/>
              </w:rPr>
              <w:t>ООО "ВИТМА-С"</w:t>
            </w:r>
          </w:p>
        </w:tc>
        <w:tc>
          <w:tcPr>
            <w:tcW w:type="dxa" w:w="1408"/>
            <w:tcBorders>
              <w:top w:color="000000" w:sz="4" w:val="single"/>
              <w:left w:color="000000" w:sz="4" w:val="single"/>
              <w:bottom w:color="000000" w:sz="4" w:val="single"/>
              <w:right w:color="000000" w:sz="4" w:val="single"/>
            </w:tcBorders>
            <w:shd w:fill="FFFFFF" w:val="clear"/>
            <w:vAlign w:val="center"/>
          </w:tcPr>
          <w:p w14:paraId="0B220000">
            <w:pPr>
              <w:widowControl w:val="1"/>
              <w:ind/>
              <w:contextualSpacing w:val="1"/>
              <w:jc w:val="center"/>
              <w:rPr>
                <w:sz w:val="22"/>
              </w:rPr>
            </w:pPr>
            <w:r>
              <w:rPr>
                <w:sz w:val="22"/>
              </w:rPr>
              <w:t>счет № 308 от 30.03.2018</w:t>
            </w:r>
          </w:p>
        </w:tc>
        <w:tc>
          <w:tcPr>
            <w:tcW w:type="dxa" w:w="1274"/>
            <w:tcBorders>
              <w:top w:color="000000" w:sz="4" w:val="single"/>
              <w:left w:color="000000" w:sz="4" w:val="single"/>
              <w:bottom w:color="000000" w:sz="4" w:val="single"/>
              <w:right w:color="000000" w:sz="4" w:val="single"/>
            </w:tcBorders>
            <w:shd w:fill="FFFFFF" w:val="clear"/>
            <w:vAlign w:val="center"/>
          </w:tcPr>
          <w:p w14:paraId="0C220000">
            <w:pPr>
              <w:widowControl w:val="1"/>
              <w:ind/>
              <w:contextualSpacing w:val="1"/>
              <w:jc w:val="center"/>
              <w:rPr>
                <w:sz w:val="22"/>
              </w:rPr>
            </w:pPr>
            <w:r>
              <w:rPr>
                <w:sz w:val="22"/>
              </w:rPr>
              <w:t>30.03.2018-31.03.2018</w:t>
            </w:r>
          </w:p>
        </w:tc>
        <w:tc>
          <w:tcPr>
            <w:tcW w:type="dxa" w:w="1556"/>
            <w:tcBorders>
              <w:top w:color="000000" w:sz="4" w:val="single"/>
              <w:left w:color="000000" w:sz="4" w:val="single"/>
              <w:bottom w:color="000000" w:sz="4" w:val="single"/>
              <w:right w:color="000000" w:sz="4" w:val="single"/>
            </w:tcBorders>
            <w:shd w:fill="FFFFFF" w:val="clear"/>
            <w:vAlign w:val="center"/>
          </w:tcPr>
          <w:p w14:paraId="0D220000">
            <w:pPr>
              <w:widowControl w:val="1"/>
              <w:ind/>
              <w:contextualSpacing w:val="1"/>
              <w:jc w:val="center"/>
              <w:rPr>
                <w:sz w:val="22"/>
              </w:rPr>
            </w:pPr>
            <w:r>
              <w:rPr>
                <w:sz w:val="22"/>
              </w:rPr>
              <w:t>оказание услуг по перепрошивке ККТ</w:t>
            </w:r>
          </w:p>
        </w:tc>
        <w:tc>
          <w:tcPr>
            <w:tcW w:type="dxa" w:w="1194"/>
            <w:tcBorders>
              <w:top w:color="000000" w:sz="4" w:val="single"/>
              <w:left w:color="000000" w:sz="4" w:val="single"/>
              <w:bottom w:color="000000" w:sz="4" w:val="single"/>
              <w:right w:color="000000" w:sz="4" w:val="single"/>
            </w:tcBorders>
            <w:shd w:fill="FFFFFF" w:val="clear"/>
            <w:vAlign w:val="center"/>
          </w:tcPr>
          <w:p w14:paraId="0E220000">
            <w:pPr>
              <w:widowControl w:val="1"/>
              <w:ind/>
              <w:contextualSpacing w:val="1"/>
              <w:jc w:val="center"/>
              <w:rPr>
                <w:sz w:val="22"/>
              </w:rPr>
            </w:pPr>
            <w:r>
              <w:rPr>
                <w:sz w:val="22"/>
              </w:rPr>
              <w:t>800,00</w:t>
            </w:r>
          </w:p>
        </w:tc>
        <w:tc>
          <w:tcPr>
            <w:tcW w:type="dxa" w:w="1221"/>
            <w:tcBorders>
              <w:top w:color="000000" w:sz="4" w:val="single"/>
              <w:left w:color="000000" w:sz="4" w:val="single"/>
              <w:bottom w:color="000000" w:sz="4" w:val="single"/>
              <w:right w:color="000000" w:sz="4" w:val="single"/>
            </w:tcBorders>
            <w:shd w:fill="FFFFFF" w:val="clear"/>
            <w:vAlign w:val="center"/>
          </w:tcPr>
          <w:p w14:paraId="0F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0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1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2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13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1422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980"/>
        </w:trPr>
        <w:tc>
          <w:tcPr>
            <w:tcW w:type="dxa" w:w="528"/>
            <w:tcBorders>
              <w:top w:color="000000" w:sz="4" w:val="single"/>
              <w:left w:color="000000" w:sz="4" w:val="single"/>
              <w:bottom w:color="000000" w:sz="4" w:val="single"/>
              <w:right w:color="000000" w:sz="4" w:val="single"/>
            </w:tcBorders>
            <w:shd w:fill="FFFFFF" w:val="clear"/>
            <w:vAlign w:val="center"/>
          </w:tcPr>
          <w:p w14:paraId="15220000">
            <w:pPr>
              <w:widowControl w:val="1"/>
              <w:ind/>
              <w:contextualSpacing w:val="1"/>
              <w:rPr>
                <w:color w:val="000000"/>
                <w:sz w:val="22"/>
              </w:rPr>
            </w:pPr>
            <w:r>
              <w:rPr>
                <w:color w:val="000000"/>
                <w:sz w:val="22"/>
              </w:rPr>
              <w:t>141</w:t>
            </w:r>
          </w:p>
        </w:tc>
        <w:tc>
          <w:tcPr>
            <w:tcW w:type="dxa" w:w="1408"/>
            <w:tcBorders>
              <w:top w:color="000000" w:sz="4" w:val="single"/>
              <w:left w:color="000000" w:sz="4" w:val="single"/>
              <w:bottom w:color="000000" w:sz="4" w:val="single"/>
              <w:right w:color="000000" w:sz="4" w:val="single"/>
            </w:tcBorders>
            <w:shd w:fill="FFFFFF" w:val="clear"/>
            <w:vAlign w:val="center"/>
          </w:tcPr>
          <w:p w14:paraId="16220000">
            <w:pPr>
              <w:widowControl w:val="1"/>
              <w:ind/>
              <w:contextualSpacing w:val="1"/>
              <w:jc w:val="center"/>
              <w:rPr>
                <w:sz w:val="22"/>
              </w:rPr>
            </w:pPr>
            <w:r>
              <w:rPr>
                <w:sz w:val="22"/>
              </w:rPr>
              <w:t>ООО "ВИТМА-С"</w:t>
            </w:r>
          </w:p>
        </w:tc>
        <w:tc>
          <w:tcPr>
            <w:tcW w:type="dxa" w:w="1408"/>
            <w:tcBorders>
              <w:top w:color="000000" w:sz="4" w:val="single"/>
              <w:left w:color="000000" w:sz="4" w:val="single"/>
              <w:bottom w:color="000000" w:sz="4" w:val="single"/>
              <w:right w:color="000000" w:sz="4" w:val="single"/>
            </w:tcBorders>
            <w:shd w:fill="FFFFFF" w:val="clear"/>
            <w:vAlign w:val="center"/>
          </w:tcPr>
          <w:p w14:paraId="17220000">
            <w:pPr>
              <w:widowControl w:val="1"/>
              <w:ind/>
              <w:contextualSpacing w:val="1"/>
              <w:jc w:val="center"/>
              <w:rPr>
                <w:sz w:val="22"/>
              </w:rPr>
            </w:pPr>
            <w:r>
              <w:rPr>
                <w:sz w:val="22"/>
              </w:rPr>
              <w:t>счет№ 560 от 30.03.2018</w:t>
            </w:r>
          </w:p>
        </w:tc>
        <w:tc>
          <w:tcPr>
            <w:tcW w:type="dxa" w:w="1274"/>
            <w:tcBorders>
              <w:top w:color="000000" w:sz="4" w:val="single"/>
              <w:left w:color="000000" w:sz="4" w:val="single"/>
              <w:bottom w:color="000000" w:sz="4" w:val="single"/>
              <w:right w:color="000000" w:sz="4" w:val="single"/>
            </w:tcBorders>
            <w:shd w:fill="FFFFFF" w:val="clear"/>
            <w:vAlign w:val="center"/>
          </w:tcPr>
          <w:p w14:paraId="18220000">
            <w:pPr>
              <w:widowControl w:val="1"/>
              <w:ind/>
              <w:contextualSpacing w:val="1"/>
              <w:jc w:val="center"/>
              <w:rPr>
                <w:sz w:val="22"/>
              </w:rPr>
            </w:pPr>
            <w:r>
              <w:rPr>
                <w:sz w:val="22"/>
              </w:rPr>
              <w:t>30.03.2018-31.03.2018</w:t>
            </w:r>
          </w:p>
        </w:tc>
        <w:tc>
          <w:tcPr>
            <w:tcW w:type="dxa" w:w="1556"/>
            <w:tcBorders>
              <w:top w:color="000000" w:sz="4" w:val="single"/>
              <w:left w:color="000000" w:sz="4" w:val="single"/>
              <w:bottom w:color="000000" w:sz="4" w:val="single"/>
              <w:right w:color="000000" w:sz="4" w:val="single"/>
            </w:tcBorders>
            <w:shd w:fill="FFFFFF" w:val="clear"/>
            <w:vAlign w:val="center"/>
          </w:tcPr>
          <w:p w14:paraId="19220000">
            <w:pPr>
              <w:widowControl w:val="1"/>
              <w:ind/>
              <w:contextualSpacing w:val="1"/>
              <w:jc w:val="center"/>
              <w:rPr>
                <w:sz w:val="22"/>
              </w:rPr>
            </w:pPr>
            <w:r>
              <w:rPr>
                <w:sz w:val="22"/>
              </w:rPr>
              <w:t>поставка печатающего механизма для ККТ модели АТОЛ-11ф, с датчиком открытия крышки</w:t>
            </w:r>
          </w:p>
        </w:tc>
        <w:tc>
          <w:tcPr>
            <w:tcW w:type="dxa" w:w="1194"/>
            <w:tcBorders>
              <w:top w:color="000000" w:sz="4" w:val="single"/>
              <w:left w:color="000000" w:sz="4" w:val="single"/>
              <w:bottom w:color="000000" w:sz="4" w:val="single"/>
              <w:right w:color="000000" w:sz="4" w:val="single"/>
            </w:tcBorders>
            <w:shd w:fill="FFFFFF" w:val="clear"/>
            <w:vAlign w:val="center"/>
          </w:tcPr>
          <w:p w14:paraId="1A220000">
            <w:pPr>
              <w:widowControl w:val="1"/>
              <w:ind/>
              <w:contextualSpacing w:val="1"/>
              <w:jc w:val="center"/>
              <w:rPr>
                <w:sz w:val="22"/>
              </w:rPr>
            </w:pPr>
            <w:r>
              <w:rPr>
                <w:sz w:val="22"/>
              </w:rPr>
              <w:t>1 100,00</w:t>
            </w:r>
          </w:p>
        </w:tc>
        <w:tc>
          <w:tcPr>
            <w:tcW w:type="dxa" w:w="1221"/>
            <w:tcBorders>
              <w:top w:color="000000" w:sz="4" w:val="single"/>
              <w:left w:color="000000" w:sz="4" w:val="single"/>
              <w:bottom w:color="000000" w:sz="4" w:val="single"/>
              <w:right w:color="000000" w:sz="4" w:val="single"/>
            </w:tcBorders>
            <w:shd w:fill="FFFFFF" w:val="clear"/>
            <w:vAlign w:val="center"/>
          </w:tcPr>
          <w:p w14:paraId="1B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C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D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E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1F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2022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1220000">
            <w:pPr>
              <w:widowControl w:val="1"/>
              <w:ind/>
              <w:contextualSpacing w:val="1"/>
              <w:rPr>
                <w:color w:val="000000"/>
                <w:sz w:val="22"/>
              </w:rPr>
            </w:pPr>
            <w:r>
              <w:rPr>
                <w:color w:val="000000"/>
                <w:sz w:val="22"/>
              </w:rPr>
              <w:t>142</w:t>
            </w:r>
          </w:p>
        </w:tc>
        <w:tc>
          <w:tcPr>
            <w:tcW w:type="dxa" w:w="1408"/>
            <w:tcBorders>
              <w:top w:color="000000" w:sz="4" w:val="single"/>
              <w:left w:color="000000" w:sz="4" w:val="single"/>
              <w:bottom w:color="000000" w:sz="4" w:val="single"/>
              <w:right w:color="000000" w:sz="4" w:val="single"/>
            </w:tcBorders>
            <w:shd w:fill="FFFFFF" w:val="clear"/>
            <w:vAlign w:val="center"/>
          </w:tcPr>
          <w:p w14:paraId="22220000">
            <w:pPr>
              <w:widowControl w:val="1"/>
              <w:ind/>
              <w:contextualSpacing w:val="1"/>
              <w:jc w:val="center"/>
              <w:rPr>
                <w:sz w:val="22"/>
              </w:rPr>
            </w:pPr>
            <w:r>
              <w:rPr>
                <w:sz w:val="22"/>
              </w:rPr>
              <w:t>ООО "ВИТМА-С"</w:t>
            </w:r>
          </w:p>
        </w:tc>
        <w:tc>
          <w:tcPr>
            <w:tcW w:type="dxa" w:w="1408"/>
            <w:tcBorders>
              <w:top w:color="000000" w:sz="4" w:val="single"/>
              <w:left w:color="000000" w:sz="4" w:val="single"/>
              <w:bottom w:color="000000" w:sz="4" w:val="single"/>
              <w:right w:color="000000" w:sz="4" w:val="single"/>
            </w:tcBorders>
            <w:shd w:fill="FFFFFF" w:val="clear"/>
            <w:vAlign w:val="center"/>
          </w:tcPr>
          <w:p w14:paraId="23220000">
            <w:pPr>
              <w:widowControl w:val="1"/>
              <w:ind/>
              <w:contextualSpacing w:val="1"/>
              <w:jc w:val="center"/>
              <w:rPr>
                <w:sz w:val="22"/>
              </w:rPr>
            </w:pPr>
            <w:r>
              <w:rPr>
                <w:sz w:val="22"/>
              </w:rPr>
              <w:t>счет № 637 от 07.06.2018</w:t>
            </w:r>
          </w:p>
        </w:tc>
        <w:tc>
          <w:tcPr>
            <w:tcW w:type="dxa" w:w="1274"/>
            <w:tcBorders>
              <w:top w:color="000000" w:sz="4" w:val="single"/>
              <w:left w:color="000000" w:sz="4" w:val="single"/>
              <w:bottom w:color="000000" w:sz="4" w:val="single"/>
              <w:right w:color="000000" w:sz="4" w:val="single"/>
            </w:tcBorders>
            <w:shd w:fill="FFFFFF" w:val="clear"/>
            <w:vAlign w:val="center"/>
          </w:tcPr>
          <w:p w14:paraId="24220000">
            <w:pPr>
              <w:widowControl w:val="1"/>
              <w:ind/>
              <w:contextualSpacing w:val="1"/>
              <w:jc w:val="center"/>
              <w:rPr>
                <w:sz w:val="22"/>
              </w:rPr>
            </w:pPr>
            <w:r>
              <w:rPr>
                <w:sz w:val="22"/>
              </w:rPr>
              <w:t>07.06.2018-30.06.2018</w:t>
            </w:r>
          </w:p>
        </w:tc>
        <w:tc>
          <w:tcPr>
            <w:tcW w:type="dxa" w:w="1556"/>
            <w:tcBorders>
              <w:top w:color="000000" w:sz="4" w:val="single"/>
              <w:left w:color="000000" w:sz="4" w:val="single"/>
              <w:bottom w:color="000000" w:sz="4" w:val="single"/>
              <w:right w:color="000000" w:sz="4" w:val="single"/>
            </w:tcBorders>
            <w:shd w:fill="FFFFFF" w:val="clear"/>
            <w:vAlign w:val="center"/>
          </w:tcPr>
          <w:p w14:paraId="25220000">
            <w:pPr>
              <w:widowControl w:val="1"/>
              <w:ind/>
              <w:contextualSpacing w:val="1"/>
              <w:jc w:val="center"/>
              <w:rPr>
                <w:sz w:val="22"/>
              </w:rPr>
            </w:pPr>
            <w:r>
              <w:rPr>
                <w:sz w:val="22"/>
              </w:rPr>
              <w:t>оказание услуг по диагностике онлайн ККТ</w:t>
            </w:r>
          </w:p>
        </w:tc>
        <w:tc>
          <w:tcPr>
            <w:tcW w:type="dxa" w:w="1194"/>
            <w:tcBorders>
              <w:top w:color="000000" w:sz="4" w:val="single"/>
              <w:left w:color="000000" w:sz="4" w:val="single"/>
              <w:bottom w:color="000000" w:sz="4" w:val="single"/>
              <w:right w:color="000000" w:sz="4" w:val="single"/>
            </w:tcBorders>
            <w:shd w:fill="FFFFFF" w:val="clear"/>
            <w:vAlign w:val="center"/>
          </w:tcPr>
          <w:p w14:paraId="26220000">
            <w:pPr>
              <w:widowControl w:val="1"/>
              <w:ind/>
              <w:contextualSpacing w:val="1"/>
              <w:jc w:val="center"/>
              <w:rPr>
                <w:sz w:val="22"/>
              </w:rPr>
            </w:pPr>
            <w:r>
              <w:rPr>
                <w:sz w:val="22"/>
              </w:rPr>
              <w:t>5 250,00</w:t>
            </w:r>
          </w:p>
        </w:tc>
        <w:tc>
          <w:tcPr>
            <w:tcW w:type="dxa" w:w="1221"/>
            <w:tcBorders>
              <w:top w:color="000000" w:sz="4" w:val="single"/>
              <w:left w:color="000000" w:sz="4" w:val="single"/>
              <w:bottom w:color="000000" w:sz="4" w:val="single"/>
              <w:right w:color="000000" w:sz="4" w:val="single"/>
            </w:tcBorders>
            <w:shd w:fill="FFFFFF" w:val="clear"/>
            <w:vAlign w:val="center"/>
          </w:tcPr>
          <w:p w14:paraId="27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8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9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A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2B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2C22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795"/>
        </w:trPr>
        <w:tc>
          <w:tcPr>
            <w:tcW w:type="dxa" w:w="528"/>
            <w:tcBorders>
              <w:top w:color="000000" w:sz="4" w:val="single"/>
              <w:left w:color="000000" w:sz="4" w:val="single"/>
              <w:bottom w:color="000000" w:sz="4" w:val="single"/>
              <w:right w:color="000000" w:sz="4" w:val="single"/>
            </w:tcBorders>
            <w:shd w:fill="FFFFFF" w:val="clear"/>
            <w:vAlign w:val="center"/>
          </w:tcPr>
          <w:p w14:paraId="2D220000">
            <w:pPr>
              <w:widowControl w:val="1"/>
              <w:ind/>
              <w:contextualSpacing w:val="1"/>
              <w:rPr>
                <w:color w:val="000000"/>
                <w:sz w:val="22"/>
              </w:rPr>
            </w:pPr>
            <w:r>
              <w:rPr>
                <w:color w:val="000000"/>
                <w:sz w:val="22"/>
              </w:rPr>
              <w:t>143</w:t>
            </w:r>
          </w:p>
        </w:tc>
        <w:tc>
          <w:tcPr>
            <w:tcW w:type="dxa" w:w="1408"/>
            <w:tcBorders>
              <w:top w:color="000000" w:sz="4" w:val="single"/>
              <w:left w:color="000000" w:sz="4" w:val="single"/>
              <w:bottom w:color="000000" w:sz="4" w:val="single"/>
              <w:right w:color="000000" w:sz="4" w:val="single"/>
            </w:tcBorders>
            <w:shd w:fill="FFFFFF" w:val="clear"/>
            <w:vAlign w:val="center"/>
          </w:tcPr>
          <w:p w14:paraId="2E220000">
            <w:pPr>
              <w:widowControl w:val="1"/>
              <w:ind/>
              <w:contextualSpacing w:val="1"/>
              <w:jc w:val="center"/>
              <w:rPr>
                <w:sz w:val="22"/>
              </w:rPr>
            </w:pPr>
            <w:r>
              <w:rPr>
                <w:sz w:val="22"/>
              </w:rPr>
              <w:t>ООО "ВИТМА-С"</w:t>
            </w:r>
          </w:p>
        </w:tc>
        <w:tc>
          <w:tcPr>
            <w:tcW w:type="dxa" w:w="1408"/>
            <w:tcBorders>
              <w:top w:color="000000" w:sz="4" w:val="single"/>
              <w:left w:color="000000" w:sz="4" w:val="single"/>
              <w:bottom w:color="000000" w:sz="4" w:val="single"/>
              <w:right w:color="000000" w:sz="4" w:val="single"/>
            </w:tcBorders>
            <w:shd w:fill="FFFFFF" w:val="clear"/>
            <w:vAlign w:val="center"/>
          </w:tcPr>
          <w:p w14:paraId="2F220000">
            <w:pPr>
              <w:widowControl w:val="1"/>
              <w:ind/>
              <w:contextualSpacing w:val="1"/>
              <w:jc w:val="center"/>
              <w:rPr>
                <w:sz w:val="22"/>
              </w:rPr>
            </w:pPr>
            <w:r>
              <w:rPr>
                <w:sz w:val="22"/>
              </w:rPr>
              <w:t>счет № 718 от 07.06.2018</w:t>
            </w:r>
          </w:p>
        </w:tc>
        <w:tc>
          <w:tcPr>
            <w:tcW w:type="dxa" w:w="1274"/>
            <w:tcBorders>
              <w:top w:color="000000" w:sz="4" w:val="single"/>
              <w:left w:color="000000" w:sz="4" w:val="single"/>
              <w:bottom w:color="000000" w:sz="4" w:val="single"/>
              <w:right w:color="000000" w:sz="4" w:val="single"/>
            </w:tcBorders>
            <w:shd w:fill="FFFFFF" w:val="clear"/>
            <w:vAlign w:val="center"/>
          </w:tcPr>
          <w:p w14:paraId="30220000">
            <w:pPr>
              <w:widowControl w:val="1"/>
              <w:ind/>
              <w:contextualSpacing w:val="1"/>
              <w:jc w:val="center"/>
              <w:rPr>
                <w:sz w:val="22"/>
              </w:rPr>
            </w:pPr>
            <w:r>
              <w:rPr>
                <w:sz w:val="22"/>
              </w:rPr>
              <w:t>07.06.2018-30.06.2018</w:t>
            </w:r>
          </w:p>
        </w:tc>
        <w:tc>
          <w:tcPr>
            <w:tcW w:type="dxa" w:w="1556"/>
            <w:tcBorders>
              <w:top w:color="000000" w:sz="4" w:val="single"/>
              <w:left w:color="000000" w:sz="4" w:val="single"/>
              <w:bottom w:color="000000" w:sz="4" w:val="single"/>
              <w:right w:color="000000" w:sz="4" w:val="single"/>
            </w:tcBorders>
            <w:shd w:fill="FFFFFF" w:val="clear"/>
            <w:vAlign w:val="center"/>
          </w:tcPr>
          <w:p w14:paraId="31220000">
            <w:pPr>
              <w:widowControl w:val="1"/>
              <w:ind/>
              <w:contextualSpacing w:val="1"/>
              <w:jc w:val="center"/>
              <w:rPr>
                <w:sz w:val="22"/>
              </w:rPr>
            </w:pPr>
            <w:r>
              <w:rPr>
                <w:sz w:val="22"/>
              </w:rPr>
              <w:t>оказание услуг по перепрошивке онлайн ККТ</w:t>
            </w:r>
          </w:p>
        </w:tc>
        <w:tc>
          <w:tcPr>
            <w:tcW w:type="dxa" w:w="1194"/>
            <w:tcBorders>
              <w:top w:color="000000" w:sz="4" w:val="single"/>
              <w:left w:color="000000" w:sz="4" w:val="single"/>
              <w:bottom w:color="000000" w:sz="4" w:val="single"/>
              <w:right w:color="000000" w:sz="4" w:val="single"/>
            </w:tcBorders>
            <w:shd w:fill="FFFFFF" w:val="clear"/>
            <w:vAlign w:val="center"/>
          </w:tcPr>
          <w:p w14:paraId="32220000">
            <w:pPr>
              <w:widowControl w:val="1"/>
              <w:ind/>
              <w:contextualSpacing w:val="1"/>
              <w:jc w:val="center"/>
              <w:rPr>
                <w:sz w:val="22"/>
              </w:rPr>
            </w:pPr>
            <w:r>
              <w:rPr>
                <w:sz w:val="22"/>
              </w:rPr>
              <w:t>3 600,00</w:t>
            </w:r>
          </w:p>
        </w:tc>
        <w:tc>
          <w:tcPr>
            <w:tcW w:type="dxa" w:w="1221"/>
            <w:tcBorders>
              <w:top w:color="000000" w:sz="4" w:val="single"/>
              <w:left w:color="000000" w:sz="4" w:val="single"/>
              <w:bottom w:color="000000" w:sz="4" w:val="single"/>
              <w:right w:color="000000" w:sz="4" w:val="single"/>
            </w:tcBorders>
            <w:shd w:fill="FFFFFF" w:val="clear"/>
            <w:vAlign w:val="center"/>
          </w:tcPr>
          <w:p w14:paraId="33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34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35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6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37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822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9220000">
            <w:pPr>
              <w:widowControl w:val="1"/>
              <w:ind/>
              <w:contextualSpacing w:val="1"/>
              <w:rPr>
                <w:color w:val="000000"/>
                <w:sz w:val="22"/>
              </w:rPr>
            </w:pPr>
            <w:r>
              <w:rPr>
                <w:color w:val="000000"/>
                <w:sz w:val="22"/>
              </w:rPr>
              <w:t>144</w:t>
            </w:r>
          </w:p>
        </w:tc>
        <w:tc>
          <w:tcPr>
            <w:tcW w:type="dxa" w:w="1408"/>
            <w:tcBorders>
              <w:top w:color="000000" w:sz="4" w:val="single"/>
              <w:left w:color="000000" w:sz="4" w:val="single"/>
              <w:bottom w:color="000000" w:sz="4" w:val="single"/>
              <w:right w:color="000000" w:sz="4" w:val="single"/>
            </w:tcBorders>
            <w:shd w:fill="FFFFFF" w:val="clear"/>
            <w:vAlign w:val="center"/>
          </w:tcPr>
          <w:p w14:paraId="3A220000">
            <w:pPr>
              <w:widowControl w:val="1"/>
              <w:ind/>
              <w:contextualSpacing w:val="1"/>
              <w:jc w:val="center"/>
              <w:rPr>
                <w:sz w:val="22"/>
              </w:rPr>
            </w:pPr>
            <w:r>
              <w:rPr>
                <w:sz w:val="22"/>
              </w:rPr>
              <w:t>ООО "ВИТМА-С"</w:t>
            </w:r>
          </w:p>
        </w:tc>
        <w:tc>
          <w:tcPr>
            <w:tcW w:type="dxa" w:w="1408"/>
            <w:tcBorders>
              <w:top w:color="000000" w:sz="4" w:val="single"/>
              <w:left w:color="000000" w:sz="4" w:val="single"/>
              <w:bottom w:color="000000" w:sz="4" w:val="single"/>
              <w:right w:color="000000" w:sz="4" w:val="single"/>
            </w:tcBorders>
            <w:shd w:fill="FFFFFF" w:val="clear"/>
            <w:vAlign w:val="center"/>
          </w:tcPr>
          <w:p w14:paraId="3B220000">
            <w:pPr>
              <w:widowControl w:val="1"/>
              <w:ind/>
              <w:contextualSpacing w:val="1"/>
              <w:jc w:val="center"/>
              <w:rPr>
                <w:sz w:val="22"/>
              </w:rPr>
            </w:pPr>
            <w:r>
              <w:rPr>
                <w:sz w:val="22"/>
              </w:rPr>
              <w:t>счет № 1123 от 07.06.2018</w:t>
            </w:r>
          </w:p>
        </w:tc>
        <w:tc>
          <w:tcPr>
            <w:tcW w:type="dxa" w:w="1274"/>
            <w:tcBorders>
              <w:top w:color="000000" w:sz="4" w:val="single"/>
              <w:left w:color="000000" w:sz="4" w:val="single"/>
              <w:bottom w:color="000000" w:sz="4" w:val="single"/>
              <w:right w:color="000000" w:sz="4" w:val="single"/>
            </w:tcBorders>
            <w:shd w:fill="FFFFFF" w:val="clear"/>
            <w:vAlign w:val="center"/>
          </w:tcPr>
          <w:p w14:paraId="3C220000">
            <w:pPr>
              <w:widowControl w:val="1"/>
              <w:ind/>
              <w:contextualSpacing w:val="1"/>
              <w:jc w:val="center"/>
              <w:rPr>
                <w:sz w:val="22"/>
              </w:rPr>
            </w:pPr>
            <w:r>
              <w:rPr>
                <w:sz w:val="22"/>
              </w:rPr>
              <w:t>07.06.2018-30.06.2018</w:t>
            </w:r>
          </w:p>
        </w:tc>
        <w:tc>
          <w:tcPr>
            <w:tcW w:type="dxa" w:w="1556"/>
            <w:tcBorders>
              <w:top w:color="000000" w:sz="4" w:val="single"/>
              <w:left w:color="000000" w:sz="4" w:val="single"/>
              <w:bottom w:color="000000" w:sz="4" w:val="single"/>
              <w:right w:color="000000" w:sz="4" w:val="single"/>
            </w:tcBorders>
            <w:shd w:fill="FFFFFF" w:val="clear"/>
            <w:vAlign w:val="center"/>
          </w:tcPr>
          <w:p w14:paraId="3D220000">
            <w:pPr>
              <w:widowControl w:val="1"/>
              <w:ind/>
              <w:contextualSpacing w:val="1"/>
              <w:jc w:val="center"/>
              <w:rPr>
                <w:sz w:val="22"/>
              </w:rPr>
            </w:pPr>
            <w:r>
              <w:rPr>
                <w:sz w:val="22"/>
              </w:rPr>
              <w:t>поставка печатающего механизма для онлайн ККТ</w:t>
            </w:r>
          </w:p>
        </w:tc>
        <w:tc>
          <w:tcPr>
            <w:tcW w:type="dxa" w:w="1194"/>
            <w:tcBorders>
              <w:top w:color="000000" w:sz="4" w:val="single"/>
              <w:left w:color="000000" w:sz="4" w:val="single"/>
              <w:bottom w:color="000000" w:sz="4" w:val="single"/>
              <w:right w:color="000000" w:sz="4" w:val="single"/>
            </w:tcBorders>
            <w:shd w:fill="FFFFFF" w:val="clear"/>
            <w:vAlign w:val="center"/>
          </w:tcPr>
          <w:p w14:paraId="3E220000">
            <w:pPr>
              <w:widowControl w:val="1"/>
              <w:ind/>
              <w:contextualSpacing w:val="1"/>
              <w:jc w:val="center"/>
              <w:rPr>
                <w:sz w:val="22"/>
              </w:rPr>
            </w:pPr>
            <w:r>
              <w:rPr>
                <w:sz w:val="22"/>
              </w:rPr>
              <w:t>1 100,00</w:t>
            </w:r>
          </w:p>
        </w:tc>
        <w:tc>
          <w:tcPr>
            <w:tcW w:type="dxa" w:w="1221"/>
            <w:tcBorders>
              <w:top w:color="000000" w:sz="4" w:val="single"/>
              <w:left w:color="000000" w:sz="4" w:val="single"/>
              <w:bottom w:color="000000" w:sz="4" w:val="single"/>
              <w:right w:color="000000" w:sz="4" w:val="single"/>
            </w:tcBorders>
            <w:shd w:fill="FFFFFF" w:val="clear"/>
            <w:vAlign w:val="center"/>
          </w:tcPr>
          <w:p w14:paraId="3F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0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1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2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43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4422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45220000">
            <w:pPr>
              <w:widowControl w:val="1"/>
              <w:ind/>
              <w:contextualSpacing w:val="1"/>
              <w:rPr>
                <w:color w:val="000000"/>
                <w:sz w:val="22"/>
              </w:rPr>
            </w:pPr>
            <w:r>
              <w:rPr>
                <w:color w:val="000000"/>
                <w:sz w:val="22"/>
              </w:rPr>
              <w:t>145</w:t>
            </w:r>
          </w:p>
        </w:tc>
        <w:tc>
          <w:tcPr>
            <w:tcW w:type="dxa" w:w="1408"/>
            <w:tcBorders>
              <w:top w:color="000000" w:sz="4" w:val="single"/>
              <w:left w:color="000000" w:sz="4" w:val="single"/>
              <w:bottom w:color="000000" w:sz="4" w:val="single"/>
              <w:right w:color="000000" w:sz="4" w:val="single"/>
            </w:tcBorders>
            <w:shd w:fill="FFFFFF" w:val="clear"/>
            <w:vAlign w:val="center"/>
          </w:tcPr>
          <w:p w14:paraId="46220000">
            <w:pPr>
              <w:widowControl w:val="1"/>
              <w:ind/>
              <w:contextualSpacing w:val="1"/>
              <w:jc w:val="center"/>
              <w:rPr>
                <w:sz w:val="22"/>
              </w:rPr>
            </w:pPr>
            <w:r>
              <w:rPr>
                <w:sz w:val="22"/>
              </w:rPr>
              <w:t>ООО "ВИТМА-С"</w:t>
            </w:r>
          </w:p>
        </w:tc>
        <w:tc>
          <w:tcPr>
            <w:tcW w:type="dxa" w:w="1408"/>
            <w:tcBorders>
              <w:top w:color="000000" w:sz="4" w:val="single"/>
              <w:left w:color="000000" w:sz="4" w:val="single"/>
              <w:bottom w:color="000000" w:sz="4" w:val="single"/>
              <w:right w:color="000000" w:sz="4" w:val="single"/>
            </w:tcBorders>
            <w:shd w:fill="FFFFFF" w:val="clear"/>
            <w:vAlign w:val="center"/>
          </w:tcPr>
          <w:p w14:paraId="47220000">
            <w:pPr>
              <w:widowControl w:val="1"/>
              <w:ind/>
              <w:contextualSpacing w:val="1"/>
              <w:jc w:val="center"/>
              <w:rPr>
                <w:sz w:val="22"/>
              </w:rPr>
            </w:pPr>
            <w:r>
              <w:rPr>
                <w:sz w:val="22"/>
              </w:rPr>
              <w:t>счет № 408 от 23.03.2018</w:t>
            </w:r>
          </w:p>
        </w:tc>
        <w:tc>
          <w:tcPr>
            <w:tcW w:type="dxa" w:w="1274"/>
            <w:tcBorders>
              <w:top w:color="000000" w:sz="4" w:val="single"/>
              <w:left w:color="000000" w:sz="4" w:val="single"/>
              <w:bottom w:color="000000" w:sz="4" w:val="single"/>
              <w:right w:color="000000" w:sz="4" w:val="single"/>
            </w:tcBorders>
            <w:shd w:fill="FFFFFF" w:val="clear"/>
            <w:vAlign w:val="center"/>
          </w:tcPr>
          <w:p w14:paraId="48220000">
            <w:pPr>
              <w:widowControl w:val="1"/>
              <w:ind/>
              <w:contextualSpacing w:val="1"/>
              <w:jc w:val="center"/>
              <w:rPr>
                <w:sz w:val="22"/>
              </w:rPr>
            </w:pPr>
            <w:r>
              <w:rPr>
                <w:sz w:val="22"/>
              </w:rPr>
              <w:t>23.03.2018-31.03.2018</w:t>
            </w:r>
          </w:p>
        </w:tc>
        <w:tc>
          <w:tcPr>
            <w:tcW w:type="dxa" w:w="1556"/>
            <w:tcBorders>
              <w:top w:color="000000" w:sz="4" w:val="single"/>
              <w:left w:color="000000" w:sz="4" w:val="single"/>
              <w:bottom w:color="000000" w:sz="4" w:val="single"/>
              <w:right w:color="000000" w:sz="4" w:val="single"/>
            </w:tcBorders>
            <w:shd w:fill="FFFFFF" w:val="clear"/>
            <w:vAlign w:val="center"/>
          </w:tcPr>
          <w:p w14:paraId="49220000">
            <w:pPr>
              <w:widowControl w:val="1"/>
              <w:ind/>
              <w:contextualSpacing w:val="1"/>
              <w:jc w:val="center"/>
              <w:rPr>
                <w:sz w:val="22"/>
              </w:rPr>
            </w:pPr>
            <w:r>
              <w:rPr>
                <w:sz w:val="22"/>
              </w:rPr>
              <w:t>поставка антенн</w:t>
            </w:r>
          </w:p>
        </w:tc>
        <w:tc>
          <w:tcPr>
            <w:tcW w:type="dxa" w:w="1194"/>
            <w:tcBorders>
              <w:top w:color="000000" w:sz="4" w:val="single"/>
              <w:left w:color="000000" w:sz="4" w:val="single"/>
              <w:bottom w:color="000000" w:sz="4" w:val="single"/>
              <w:right w:color="000000" w:sz="4" w:val="single"/>
            </w:tcBorders>
            <w:shd w:fill="FFFFFF" w:val="clear"/>
            <w:vAlign w:val="center"/>
          </w:tcPr>
          <w:p w14:paraId="4A220000">
            <w:pPr>
              <w:widowControl w:val="1"/>
              <w:ind/>
              <w:contextualSpacing w:val="1"/>
              <w:jc w:val="center"/>
              <w:rPr>
                <w:sz w:val="22"/>
              </w:rPr>
            </w:pPr>
            <w:r>
              <w:rPr>
                <w:sz w:val="22"/>
              </w:rPr>
              <w:t>4 900,00</w:t>
            </w:r>
          </w:p>
        </w:tc>
        <w:tc>
          <w:tcPr>
            <w:tcW w:type="dxa" w:w="1221"/>
            <w:tcBorders>
              <w:top w:color="000000" w:sz="4" w:val="single"/>
              <w:left w:color="000000" w:sz="4" w:val="single"/>
              <w:bottom w:color="000000" w:sz="4" w:val="single"/>
              <w:right w:color="000000" w:sz="4" w:val="single"/>
            </w:tcBorders>
            <w:shd w:fill="FFFFFF" w:val="clear"/>
            <w:vAlign w:val="center"/>
          </w:tcPr>
          <w:p w14:paraId="4B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C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D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E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4F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5022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51220000">
            <w:pPr>
              <w:widowControl w:val="1"/>
              <w:ind/>
              <w:contextualSpacing w:val="1"/>
              <w:rPr>
                <w:color w:val="000000"/>
                <w:sz w:val="22"/>
              </w:rPr>
            </w:pPr>
            <w:r>
              <w:rPr>
                <w:color w:val="000000"/>
                <w:sz w:val="22"/>
              </w:rPr>
              <w:t>146</w:t>
            </w:r>
          </w:p>
        </w:tc>
        <w:tc>
          <w:tcPr>
            <w:tcW w:type="dxa" w:w="1408"/>
            <w:tcBorders>
              <w:top w:color="000000" w:sz="4" w:val="single"/>
              <w:left w:color="000000" w:sz="4" w:val="single"/>
              <w:bottom w:color="000000" w:sz="4" w:val="single"/>
              <w:right w:color="000000" w:sz="4" w:val="single"/>
            </w:tcBorders>
            <w:shd w:fill="FFFFFF" w:val="clear"/>
            <w:vAlign w:val="center"/>
          </w:tcPr>
          <w:p w14:paraId="52220000">
            <w:pPr>
              <w:widowControl w:val="1"/>
              <w:ind/>
              <w:contextualSpacing w:val="1"/>
              <w:jc w:val="center"/>
              <w:rPr>
                <w:sz w:val="22"/>
              </w:rPr>
            </w:pPr>
            <w:r>
              <w:rPr>
                <w:sz w:val="22"/>
              </w:rPr>
              <w:t>ООО "ВИТМА-С"</w:t>
            </w:r>
          </w:p>
        </w:tc>
        <w:tc>
          <w:tcPr>
            <w:tcW w:type="dxa" w:w="1408"/>
            <w:tcBorders>
              <w:top w:color="000000" w:sz="4" w:val="single"/>
              <w:left w:color="000000" w:sz="4" w:val="single"/>
              <w:bottom w:color="000000" w:sz="4" w:val="single"/>
              <w:right w:color="000000" w:sz="4" w:val="single"/>
            </w:tcBorders>
            <w:shd w:fill="FFFFFF" w:val="clear"/>
            <w:vAlign w:val="center"/>
          </w:tcPr>
          <w:p w14:paraId="53220000">
            <w:pPr>
              <w:widowControl w:val="1"/>
              <w:ind/>
              <w:contextualSpacing w:val="1"/>
              <w:jc w:val="center"/>
              <w:rPr>
                <w:sz w:val="22"/>
              </w:rPr>
            </w:pPr>
            <w:r>
              <w:rPr>
                <w:sz w:val="22"/>
              </w:rPr>
              <w:t>счет № 176 от 23.03.2018</w:t>
            </w:r>
          </w:p>
        </w:tc>
        <w:tc>
          <w:tcPr>
            <w:tcW w:type="dxa" w:w="1274"/>
            <w:tcBorders>
              <w:top w:color="000000" w:sz="4" w:val="single"/>
              <w:left w:color="000000" w:sz="4" w:val="single"/>
              <w:bottom w:color="000000" w:sz="4" w:val="single"/>
              <w:right w:color="000000" w:sz="4" w:val="single"/>
            </w:tcBorders>
            <w:shd w:fill="FFFFFF" w:val="clear"/>
            <w:vAlign w:val="center"/>
          </w:tcPr>
          <w:p w14:paraId="54220000">
            <w:pPr>
              <w:widowControl w:val="1"/>
              <w:ind/>
              <w:contextualSpacing w:val="1"/>
              <w:jc w:val="center"/>
              <w:rPr>
                <w:sz w:val="22"/>
              </w:rPr>
            </w:pPr>
            <w:r>
              <w:rPr>
                <w:sz w:val="22"/>
              </w:rPr>
              <w:t>23.03.2018-31.03.2018</w:t>
            </w:r>
          </w:p>
        </w:tc>
        <w:tc>
          <w:tcPr>
            <w:tcW w:type="dxa" w:w="1556"/>
            <w:tcBorders>
              <w:top w:color="000000" w:sz="4" w:val="single"/>
              <w:left w:color="000000" w:sz="4" w:val="single"/>
              <w:bottom w:color="000000" w:sz="4" w:val="single"/>
              <w:right w:color="000000" w:sz="4" w:val="single"/>
            </w:tcBorders>
            <w:shd w:fill="FFFFFF" w:val="clear"/>
            <w:vAlign w:val="center"/>
          </w:tcPr>
          <w:p w14:paraId="55220000">
            <w:pPr>
              <w:widowControl w:val="1"/>
              <w:ind/>
              <w:contextualSpacing w:val="1"/>
              <w:jc w:val="center"/>
              <w:rPr>
                <w:sz w:val="22"/>
              </w:rPr>
            </w:pPr>
            <w:r>
              <w:rPr>
                <w:sz w:val="22"/>
              </w:rPr>
              <w:t>оказание услуг по диагностике онлайн ККТ</w:t>
            </w:r>
          </w:p>
        </w:tc>
        <w:tc>
          <w:tcPr>
            <w:tcW w:type="dxa" w:w="1194"/>
            <w:tcBorders>
              <w:top w:color="000000" w:sz="4" w:val="single"/>
              <w:left w:color="000000" w:sz="4" w:val="single"/>
              <w:bottom w:color="000000" w:sz="4" w:val="single"/>
              <w:right w:color="000000" w:sz="4" w:val="single"/>
            </w:tcBorders>
            <w:shd w:fill="FFFFFF" w:val="clear"/>
            <w:vAlign w:val="center"/>
          </w:tcPr>
          <w:p w14:paraId="56220000">
            <w:pPr>
              <w:widowControl w:val="1"/>
              <w:ind/>
              <w:contextualSpacing w:val="1"/>
              <w:jc w:val="center"/>
              <w:rPr>
                <w:sz w:val="22"/>
              </w:rPr>
            </w:pPr>
            <w:r>
              <w:rPr>
                <w:sz w:val="22"/>
              </w:rPr>
              <w:t>3 150,00</w:t>
            </w:r>
          </w:p>
        </w:tc>
        <w:tc>
          <w:tcPr>
            <w:tcW w:type="dxa" w:w="1221"/>
            <w:tcBorders>
              <w:top w:color="000000" w:sz="4" w:val="single"/>
              <w:left w:color="000000" w:sz="4" w:val="single"/>
              <w:bottom w:color="000000" w:sz="4" w:val="single"/>
              <w:right w:color="000000" w:sz="4" w:val="single"/>
            </w:tcBorders>
            <w:shd w:fill="FFFFFF" w:val="clear"/>
            <w:vAlign w:val="center"/>
          </w:tcPr>
          <w:p w14:paraId="57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8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9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A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5B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5C22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5D220000">
            <w:pPr>
              <w:widowControl w:val="1"/>
              <w:ind/>
              <w:contextualSpacing w:val="1"/>
              <w:rPr>
                <w:color w:val="000000"/>
                <w:sz w:val="22"/>
              </w:rPr>
            </w:pPr>
            <w:r>
              <w:rPr>
                <w:color w:val="000000"/>
                <w:sz w:val="22"/>
              </w:rPr>
              <w:t>147</w:t>
            </w:r>
          </w:p>
        </w:tc>
        <w:tc>
          <w:tcPr>
            <w:tcW w:type="dxa" w:w="1408"/>
            <w:tcBorders>
              <w:top w:color="000000" w:sz="4" w:val="single"/>
              <w:left w:color="000000" w:sz="4" w:val="single"/>
              <w:bottom w:color="000000" w:sz="4" w:val="single"/>
              <w:right w:color="000000" w:sz="4" w:val="single"/>
            </w:tcBorders>
            <w:shd w:fill="FFFFFF" w:val="clear"/>
            <w:vAlign w:val="center"/>
          </w:tcPr>
          <w:p w14:paraId="5E220000">
            <w:pPr>
              <w:widowControl w:val="1"/>
              <w:ind/>
              <w:contextualSpacing w:val="1"/>
              <w:jc w:val="center"/>
              <w:rPr>
                <w:sz w:val="22"/>
              </w:rPr>
            </w:pPr>
            <w:r>
              <w:rPr>
                <w:sz w:val="22"/>
              </w:rPr>
              <w:t>ООО "ВИТМА-С"</w:t>
            </w:r>
          </w:p>
        </w:tc>
        <w:tc>
          <w:tcPr>
            <w:tcW w:type="dxa" w:w="1408"/>
            <w:tcBorders>
              <w:top w:color="000000" w:sz="4" w:val="single"/>
              <w:left w:color="000000" w:sz="4" w:val="single"/>
              <w:bottom w:color="000000" w:sz="4" w:val="single"/>
              <w:right w:color="000000" w:sz="4" w:val="single"/>
            </w:tcBorders>
            <w:shd w:fill="FFFFFF" w:val="clear"/>
            <w:vAlign w:val="center"/>
          </w:tcPr>
          <w:p w14:paraId="5F220000">
            <w:pPr>
              <w:widowControl w:val="1"/>
              <w:ind/>
              <w:contextualSpacing w:val="1"/>
              <w:jc w:val="center"/>
              <w:rPr>
                <w:sz w:val="22"/>
              </w:rPr>
            </w:pPr>
            <w:r>
              <w:rPr>
                <w:sz w:val="22"/>
              </w:rPr>
              <w:t>счет № 134 от 31.01.2018</w:t>
            </w:r>
          </w:p>
        </w:tc>
        <w:tc>
          <w:tcPr>
            <w:tcW w:type="dxa" w:w="1274"/>
            <w:tcBorders>
              <w:top w:color="000000" w:sz="4" w:val="single"/>
              <w:left w:color="000000" w:sz="4" w:val="single"/>
              <w:bottom w:color="000000" w:sz="4" w:val="single"/>
              <w:right w:color="000000" w:sz="4" w:val="single"/>
            </w:tcBorders>
            <w:shd w:fill="FFFFFF" w:val="clear"/>
            <w:vAlign w:val="center"/>
          </w:tcPr>
          <w:p w14:paraId="60220000">
            <w:pPr>
              <w:widowControl w:val="1"/>
              <w:ind/>
              <w:contextualSpacing w:val="1"/>
              <w:jc w:val="center"/>
              <w:rPr>
                <w:sz w:val="22"/>
              </w:rPr>
            </w:pPr>
            <w:r>
              <w:rPr>
                <w:sz w:val="22"/>
              </w:rPr>
              <w:t>31.01.2018-31.01.2018</w:t>
            </w:r>
          </w:p>
        </w:tc>
        <w:tc>
          <w:tcPr>
            <w:tcW w:type="dxa" w:w="1556"/>
            <w:tcBorders>
              <w:top w:color="000000" w:sz="4" w:val="single"/>
              <w:left w:color="000000" w:sz="4" w:val="single"/>
              <w:bottom w:color="000000" w:sz="4" w:val="single"/>
              <w:right w:color="000000" w:sz="4" w:val="single"/>
            </w:tcBorders>
            <w:shd w:fill="FFFFFF" w:val="clear"/>
            <w:vAlign w:val="center"/>
          </w:tcPr>
          <w:p w14:paraId="61220000">
            <w:pPr>
              <w:widowControl w:val="1"/>
              <w:ind/>
              <w:contextualSpacing w:val="1"/>
              <w:jc w:val="center"/>
              <w:rPr>
                <w:sz w:val="22"/>
              </w:rPr>
            </w:pPr>
            <w:r>
              <w:rPr>
                <w:sz w:val="22"/>
              </w:rPr>
              <w:t>поставка печатающего механизма с автоотрезом, с датчиком открытия крышки</w:t>
            </w:r>
          </w:p>
        </w:tc>
        <w:tc>
          <w:tcPr>
            <w:tcW w:type="dxa" w:w="1194"/>
            <w:tcBorders>
              <w:top w:color="000000" w:sz="4" w:val="single"/>
              <w:left w:color="000000" w:sz="4" w:val="single"/>
              <w:bottom w:color="000000" w:sz="4" w:val="single"/>
              <w:right w:color="000000" w:sz="4" w:val="single"/>
            </w:tcBorders>
            <w:shd w:fill="FFFFFF" w:val="clear"/>
            <w:vAlign w:val="center"/>
          </w:tcPr>
          <w:p w14:paraId="62220000">
            <w:pPr>
              <w:widowControl w:val="1"/>
              <w:ind/>
              <w:contextualSpacing w:val="1"/>
              <w:jc w:val="center"/>
              <w:rPr>
                <w:sz w:val="22"/>
              </w:rPr>
            </w:pPr>
            <w:r>
              <w:rPr>
                <w:sz w:val="22"/>
              </w:rPr>
              <w:t>1100</w:t>
            </w:r>
          </w:p>
        </w:tc>
        <w:tc>
          <w:tcPr>
            <w:tcW w:type="dxa" w:w="1221"/>
            <w:tcBorders>
              <w:top w:color="000000" w:sz="4" w:val="single"/>
              <w:left w:color="000000" w:sz="4" w:val="single"/>
              <w:bottom w:color="000000" w:sz="4" w:val="single"/>
              <w:right w:color="000000" w:sz="4" w:val="single"/>
            </w:tcBorders>
            <w:shd w:fill="FFFFFF" w:val="clear"/>
            <w:vAlign w:val="center"/>
          </w:tcPr>
          <w:p w14:paraId="63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4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5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6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67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6822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69220000">
            <w:pPr>
              <w:widowControl w:val="1"/>
              <w:ind/>
              <w:contextualSpacing w:val="1"/>
              <w:rPr>
                <w:color w:val="000000"/>
                <w:sz w:val="22"/>
              </w:rPr>
            </w:pPr>
            <w:r>
              <w:rPr>
                <w:color w:val="000000"/>
                <w:sz w:val="22"/>
              </w:rPr>
              <w:t>148</w:t>
            </w:r>
          </w:p>
        </w:tc>
        <w:tc>
          <w:tcPr>
            <w:tcW w:type="dxa" w:w="1408"/>
            <w:tcBorders>
              <w:top w:color="000000" w:sz="4" w:val="single"/>
              <w:left w:color="000000" w:sz="4" w:val="single"/>
              <w:bottom w:color="000000" w:sz="4" w:val="single"/>
              <w:right w:color="000000" w:sz="4" w:val="single"/>
            </w:tcBorders>
            <w:shd w:fill="FFFFFF" w:val="clear"/>
            <w:vAlign w:val="center"/>
          </w:tcPr>
          <w:p w14:paraId="6A220000">
            <w:pPr>
              <w:widowControl w:val="1"/>
              <w:ind/>
              <w:contextualSpacing w:val="1"/>
              <w:jc w:val="center"/>
              <w:rPr>
                <w:sz w:val="22"/>
              </w:rPr>
            </w:pPr>
            <w:r>
              <w:rPr>
                <w:sz w:val="22"/>
              </w:rPr>
              <w:t>ООО "ВИТМА-С"</w:t>
            </w:r>
          </w:p>
        </w:tc>
        <w:tc>
          <w:tcPr>
            <w:tcW w:type="dxa" w:w="1408"/>
            <w:tcBorders>
              <w:top w:color="000000" w:sz="4" w:val="single"/>
              <w:left w:color="000000" w:sz="4" w:val="single"/>
              <w:bottom w:color="000000" w:sz="4" w:val="single"/>
              <w:right w:color="000000" w:sz="4" w:val="single"/>
            </w:tcBorders>
            <w:shd w:fill="FFFFFF" w:val="clear"/>
            <w:vAlign w:val="center"/>
          </w:tcPr>
          <w:p w14:paraId="6B220000">
            <w:pPr>
              <w:widowControl w:val="1"/>
              <w:ind/>
              <w:contextualSpacing w:val="1"/>
              <w:jc w:val="center"/>
              <w:rPr>
                <w:sz w:val="22"/>
              </w:rPr>
            </w:pPr>
            <w:r>
              <w:rPr>
                <w:sz w:val="22"/>
              </w:rPr>
              <w:t>счет № 1826 от 25.07.2018</w:t>
            </w:r>
          </w:p>
        </w:tc>
        <w:tc>
          <w:tcPr>
            <w:tcW w:type="dxa" w:w="1274"/>
            <w:tcBorders>
              <w:top w:color="000000" w:sz="4" w:val="single"/>
              <w:left w:color="000000" w:sz="4" w:val="single"/>
              <w:bottom w:color="000000" w:sz="4" w:val="single"/>
              <w:right w:color="000000" w:sz="4" w:val="single"/>
            </w:tcBorders>
            <w:shd w:fill="FFFFFF" w:val="clear"/>
            <w:vAlign w:val="center"/>
          </w:tcPr>
          <w:p w14:paraId="6C220000">
            <w:pPr>
              <w:widowControl w:val="1"/>
              <w:ind/>
              <w:contextualSpacing w:val="1"/>
              <w:jc w:val="center"/>
              <w:rPr>
                <w:sz w:val="22"/>
              </w:rPr>
            </w:pPr>
            <w:r>
              <w:rPr>
                <w:sz w:val="22"/>
              </w:rPr>
              <w:t>25.07.2018-31.07.2018г.</w:t>
            </w:r>
          </w:p>
        </w:tc>
        <w:tc>
          <w:tcPr>
            <w:tcW w:type="dxa" w:w="1556"/>
            <w:tcBorders>
              <w:top w:color="000000" w:sz="4" w:val="single"/>
              <w:left w:color="000000" w:sz="4" w:val="single"/>
              <w:bottom w:color="000000" w:sz="4" w:val="single"/>
              <w:right w:color="000000" w:sz="4" w:val="single"/>
            </w:tcBorders>
            <w:shd w:fill="FFFFFF" w:val="clear"/>
            <w:vAlign w:val="center"/>
          </w:tcPr>
          <w:p w14:paraId="6D220000">
            <w:pPr>
              <w:widowControl w:val="1"/>
              <w:ind/>
              <w:contextualSpacing w:val="1"/>
              <w:jc w:val="center"/>
              <w:rPr>
                <w:sz w:val="22"/>
              </w:rPr>
            </w:pPr>
            <w:r>
              <w:rPr>
                <w:sz w:val="22"/>
              </w:rPr>
              <w:t>поставка чехлов для ПКТК</w:t>
            </w:r>
          </w:p>
        </w:tc>
        <w:tc>
          <w:tcPr>
            <w:tcW w:type="dxa" w:w="1194"/>
            <w:tcBorders>
              <w:top w:color="000000" w:sz="4" w:val="single"/>
              <w:left w:color="000000" w:sz="4" w:val="single"/>
              <w:bottom w:color="000000" w:sz="4" w:val="single"/>
              <w:right w:color="000000" w:sz="4" w:val="single"/>
            </w:tcBorders>
            <w:shd w:fill="FFFFFF" w:val="clear"/>
            <w:vAlign w:val="center"/>
          </w:tcPr>
          <w:p w14:paraId="6E220000">
            <w:pPr>
              <w:widowControl w:val="1"/>
              <w:ind/>
              <w:contextualSpacing w:val="1"/>
              <w:jc w:val="center"/>
              <w:rPr>
                <w:sz w:val="22"/>
              </w:rPr>
            </w:pPr>
            <w:r>
              <w:rPr>
                <w:sz w:val="22"/>
              </w:rPr>
              <w:t>19000,00</w:t>
            </w:r>
          </w:p>
        </w:tc>
        <w:tc>
          <w:tcPr>
            <w:tcW w:type="dxa" w:w="1221"/>
            <w:tcBorders>
              <w:top w:color="000000" w:sz="4" w:val="single"/>
              <w:left w:color="000000" w:sz="4" w:val="single"/>
              <w:bottom w:color="000000" w:sz="4" w:val="single"/>
              <w:right w:color="000000" w:sz="4" w:val="single"/>
            </w:tcBorders>
            <w:shd w:fill="FFFFFF" w:val="clear"/>
            <w:vAlign w:val="center"/>
          </w:tcPr>
          <w:p w14:paraId="6F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0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1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2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73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422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75220000">
            <w:pPr>
              <w:widowControl w:val="1"/>
              <w:ind/>
              <w:contextualSpacing w:val="1"/>
              <w:jc w:val="center"/>
              <w:rPr>
                <w:color w:val="000000"/>
                <w:sz w:val="22"/>
              </w:rPr>
            </w:pPr>
            <w:r>
              <w:rPr>
                <w:color w:val="000000"/>
                <w:sz w:val="22"/>
              </w:rPr>
              <w:t>итого по контрагенту ООО "ВИТМА-С" 21000 руб.</w:t>
            </w:r>
          </w:p>
          <w:p w14:paraId="76220000">
            <w:pPr>
              <w:widowControl w:val="1"/>
              <w:ind/>
              <w:contextualSpacing w:val="1"/>
              <w:jc w:val="center"/>
              <w:rPr>
                <w:color w:val="000000"/>
                <w:sz w:val="22"/>
              </w:rPr>
            </w:pPr>
          </w:p>
        </w:tc>
      </w:tr>
      <w:tr>
        <w:trPr>
          <w:trHeight w:hRule="atLeast" w:val="2295"/>
        </w:trPr>
        <w:tc>
          <w:tcPr>
            <w:tcW w:type="dxa" w:w="528"/>
            <w:tcBorders>
              <w:top w:color="000000" w:sz="4" w:val="single"/>
              <w:left w:color="000000" w:sz="4" w:val="single"/>
              <w:bottom w:color="000000" w:sz="4" w:val="single"/>
              <w:right w:color="000000" w:sz="4" w:val="single"/>
            </w:tcBorders>
            <w:shd w:fill="FFFFFF" w:val="clear"/>
            <w:vAlign w:val="center"/>
          </w:tcPr>
          <w:p w14:paraId="77220000">
            <w:pPr>
              <w:widowControl w:val="1"/>
              <w:ind/>
              <w:contextualSpacing w:val="1"/>
              <w:rPr>
                <w:color w:val="000000"/>
                <w:sz w:val="22"/>
              </w:rPr>
            </w:pPr>
            <w:r>
              <w:rPr>
                <w:color w:val="000000"/>
                <w:sz w:val="22"/>
              </w:rPr>
              <w:t>149</w:t>
            </w:r>
          </w:p>
        </w:tc>
        <w:tc>
          <w:tcPr>
            <w:tcW w:type="dxa" w:w="1408"/>
            <w:tcBorders>
              <w:top w:color="000000" w:sz="4" w:val="single"/>
              <w:left w:color="000000" w:sz="4" w:val="single"/>
              <w:bottom w:color="000000" w:sz="4" w:val="single"/>
              <w:right w:color="000000" w:sz="4" w:val="single"/>
            </w:tcBorders>
            <w:shd w:fill="FFFFFF" w:val="clear"/>
            <w:vAlign w:val="center"/>
          </w:tcPr>
          <w:p w14:paraId="78220000">
            <w:pPr>
              <w:widowControl w:val="1"/>
              <w:ind/>
              <w:contextualSpacing w:val="1"/>
              <w:jc w:val="center"/>
              <w:rPr>
                <w:sz w:val="22"/>
              </w:rPr>
            </w:pPr>
            <w:r>
              <w:rPr>
                <w:sz w:val="22"/>
              </w:rPr>
              <w:t>ООО "Охранная фирма Тамерлан"</w:t>
            </w:r>
          </w:p>
        </w:tc>
        <w:tc>
          <w:tcPr>
            <w:tcW w:type="dxa" w:w="1408"/>
            <w:tcBorders>
              <w:top w:color="000000" w:sz="4" w:val="single"/>
              <w:left w:color="000000" w:sz="4" w:val="single"/>
              <w:bottom w:color="000000" w:sz="4" w:val="single"/>
              <w:right w:color="000000" w:sz="4" w:val="single"/>
            </w:tcBorders>
            <w:shd w:fill="FFFFFF" w:val="clear"/>
            <w:vAlign w:val="center"/>
          </w:tcPr>
          <w:p w14:paraId="79220000">
            <w:pPr>
              <w:widowControl w:val="1"/>
              <w:ind/>
              <w:contextualSpacing w:val="1"/>
              <w:jc w:val="center"/>
              <w:rPr>
                <w:sz w:val="22"/>
              </w:rPr>
            </w:pPr>
            <w:r>
              <w:rPr>
                <w:sz w:val="22"/>
              </w:rPr>
              <w:t>счет № 6758 от 20.03.2018</w:t>
            </w:r>
          </w:p>
        </w:tc>
        <w:tc>
          <w:tcPr>
            <w:tcW w:type="dxa" w:w="1274"/>
            <w:tcBorders>
              <w:top w:color="000000" w:sz="4" w:val="single"/>
              <w:left w:color="000000" w:sz="4" w:val="single"/>
              <w:bottom w:color="000000" w:sz="4" w:val="single"/>
              <w:right w:color="000000" w:sz="4" w:val="single"/>
            </w:tcBorders>
            <w:shd w:fill="FFFFFF" w:val="clear"/>
            <w:vAlign w:val="center"/>
          </w:tcPr>
          <w:p w14:paraId="7A220000">
            <w:pPr>
              <w:widowControl w:val="1"/>
              <w:ind/>
              <w:contextualSpacing w:val="1"/>
              <w:jc w:val="center"/>
              <w:rPr>
                <w:sz w:val="22"/>
              </w:rPr>
            </w:pPr>
            <w:r>
              <w:rPr>
                <w:sz w:val="22"/>
              </w:rPr>
              <w:t>20.03.2018-31.03.2018</w:t>
            </w:r>
          </w:p>
        </w:tc>
        <w:tc>
          <w:tcPr>
            <w:tcW w:type="dxa" w:w="1556"/>
            <w:tcBorders>
              <w:top w:color="000000" w:sz="4" w:val="single"/>
              <w:left w:color="000000" w:sz="4" w:val="single"/>
              <w:bottom w:color="000000" w:sz="4" w:val="single"/>
              <w:right w:color="000000" w:sz="4" w:val="single"/>
            </w:tcBorders>
            <w:shd w:fill="FFFFFF" w:val="clear"/>
            <w:vAlign w:val="center"/>
          </w:tcPr>
          <w:p w14:paraId="7B220000">
            <w:pPr>
              <w:widowControl w:val="1"/>
              <w:ind/>
              <w:contextualSpacing w:val="1"/>
              <w:jc w:val="center"/>
              <w:rPr>
                <w:sz w:val="22"/>
              </w:rPr>
            </w:pPr>
            <w:r>
              <w:rPr>
                <w:sz w:val="22"/>
              </w:rPr>
              <w:t>оказание услуг по замене неисправного оборудования тревожной сигнализации</w:t>
            </w:r>
          </w:p>
        </w:tc>
        <w:tc>
          <w:tcPr>
            <w:tcW w:type="dxa" w:w="1194"/>
            <w:tcBorders>
              <w:top w:color="000000" w:sz="4" w:val="single"/>
              <w:left w:color="000000" w:sz="4" w:val="single"/>
              <w:bottom w:color="000000" w:sz="4" w:val="single"/>
              <w:right w:color="000000" w:sz="4" w:val="single"/>
            </w:tcBorders>
            <w:shd w:fill="FFFFFF" w:val="clear"/>
            <w:vAlign w:val="center"/>
          </w:tcPr>
          <w:p w14:paraId="7C220000">
            <w:pPr>
              <w:widowControl w:val="1"/>
              <w:ind/>
              <w:contextualSpacing w:val="1"/>
              <w:jc w:val="center"/>
              <w:rPr>
                <w:sz w:val="22"/>
              </w:rPr>
            </w:pPr>
            <w:r>
              <w:rPr>
                <w:sz w:val="22"/>
              </w:rPr>
              <w:t>625,00</w:t>
            </w:r>
          </w:p>
        </w:tc>
        <w:tc>
          <w:tcPr>
            <w:tcW w:type="dxa" w:w="1221"/>
            <w:tcBorders>
              <w:top w:color="000000" w:sz="4" w:val="single"/>
              <w:left w:color="000000" w:sz="4" w:val="single"/>
              <w:bottom w:color="000000" w:sz="4" w:val="single"/>
              <w:right w:color="000000" w:sz="4" w:val="single"/>
            </w:tcBorders>
            <w:shd w:fill="FFFFFF" w:val="clear"/>
            <w:vAlign w:val="center"/>
          </w:tcPr>
          <w:p w14:paraId="7D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E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F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0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81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8222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930"/>
        </w:trPr>
        <w:tc>
          <w:tcPr>
            <w:tcW w:type="dxa" w:w="528"/>
            <w:tcBorders>
              <w:top w:color="000000" w:sz="4" w:val="single"/>
              <w:left w:color="000000" w:sz="4" w:val="single"/>
              <w:bottom w:color="000000" w:sz="4" w:val="single"/>
              <w:right w:color="000000" w:sz="4" w:val="single"/>
            </w:tcBorders>
            <w:shd w:fill="FFFFFF" w:val="clear"/>
            <w:vAlign w:val="center"/>
          </w:tcPr>
          <w:p w14:paraId="83220000">
            <w:pPr>
              <w:widowControl w:val="1"/>
              <w:ind/>
              <w:contextualSpacing w:val="1"/>
              <w:rPr>
                <w:color w:val="000000"/>
                <w:sz w:val="22"/>
              </w:rPr>
            </w:pPr>
            <w:r>
              <w:rPr>
                <w:color w:val="000000"/>
                <w:sz w:val="22"/>
              </w:rPr>
              <w:t>150</w:t>
            </w:r>
          </w:p>
        </w:tc>
        <w:tc>
          <w:tcPr>
            <w:tcW w:type="dxa" w:w="1408"/>
            <w:tcBorders>
              <w:top w:color="000000" w:sz="4" w:val="single"/>
              <w:left w:color="000000" w:sz="4" w:val="single"/>
              <w:bottom w:color="000000" w:sz="4" w:val="single"/>
              <w:right w:color="000000" w:sz="4" w:val="single"/>
            </w:tcBorders>
            <w:shd w:fill="FFFFFF" w:val="clear"/>
            <w:vAlign w:val="center"/>
          </w:tcPr>
          <w:p w14:paraId="84220000">
            <w:pPr>
              <w:widowControl w:val="1"/>
              <w:ind/>
              <w:contextualSpacing w:val="1"/>
              <w:jc w:val="center"/>
              <w:rPr>
                <w:sz w:val="22"/>
              </w:rPr>
            </w:pPr>
            <w:r>
              <w:rPr>
                <w:sz w:val="22"/>
              </w:rPr>
              <w:t>ООО Охранная фирма "Тамерлан"</w:t>
            </w:r>
          </w:p>
        </w:tc>
        <w:tc>
          <w:tcPr>
            <w:tcW w:type="dxa" w:w="1408"/>
            <w:tcBorders>
              <w:top w:color="000000" w:sz="4" w:val="single"/>
              <w:left w:color="000000" w:sz="4" w:val="single"/>
              <w:bottom w:color="000000" w:sz="4" w:val="single"/>
              <w:right w:color="000000" w:sz="4" w:val="single"/>
            </w:tcBorders>
            <w:shd w:fill="FFFFFF" w:val="clear"/>
            <w:vAlign w:val="center"/>
          </w:tcPr>
          <w:p w14:paraId="85220000">
            <w:pPr>
              <w:widowControl w:val="1"/>
              <w:ind/>
              <w:contextualSpacing w:val="1"/>
              <w:jc w:val="center"/>
              <w:rPr>
                <w:sz w:val="22"/>
              </w:rPr>
            </w:pPr>
            <w:r>
              <w:rPr>
                <w:sz w:val="22"/>
              </w:rPr>
              <w:t>договор № 4825 от 05.06.2018</w:t>
            </w:r>
          </w:p>
        </w:tc>
        <w:tc>
          <w:tcPr>
            <w:tcW w:type="dxa" w:w="1274"/>
            <w:tcBorders>
              <w:top w:color="000000" w:sz="4" w:val="single"/>
              <w:left w:color="000000" w:sz="4" w:val="single"/>
              <w:bottom w:color="000000" w:sz="4" w:val="single"/>
              <w:right w:color="000000" w:sz="4" w:val="single"/>
            </w:tcBorders>
            <w:shd w:fill="FFFFFF" w:val="clear"/>
            <w:vAlign w:val="center"/>
          </w:tcPr>
          <w:p w14:paraId="86220000">
            <w:pPr>
              <w:widowControl w:val="1"/>
              <w:ind/>
              <w:contextualSpacing w:val="1"/>
              <w:jc w:val="center"/>
              <w:rPr>
                <w:sz w:val="22"/>
              </w:rPr>
            </w:pPr>
            <w:r>
              <w:rPr>
                <w:sz w:val="22"/>
              </w:rPr>
              <w:t>16.06.2018-15.06.2019</w:t>
            </w:r>
          </w:p>
        </w:tc>
        <w:tc>
          <w:tcPr>
            <w:tcW w:type="dxa" w:w="1556"/>
            <w:tcBorders>
              <w:top w:color="000000" w:sz="4" w:val="single"/>
              <w:left w:color="000000" w:sz="4" w:val="single"/>
              <w:bottom w:color="000000" w:sz="4" w:val="single"/>
              <w:right w:color="000000" w:sz="4" w:val="single"/>
            </w:tcBorders>
            <w:shd w:fill="FFFFFF" w:val="clear"/>
            <w:vAlign w:val="center"/>
          </w:tcPr>
          <w:p w14:paraId="87220000">
            <w:pPr>
              <w:widowControl w:val="1"/>
              <w:ind/>
              <w:contextualSpacing w:val="1"/>
              <w:jc w:val="center"/>
              <w:rPr>
                <w:sz w:val="22"/>
              </w:rPr>
            </w:pPr>
            <w:r>
              <w:rPr>
                <w:sz w:val="22"/>
              </w:rPr>
              <w:t>Об оказании охранных услуг (охрана офиса АО "Краспригород")</w:t>
            </w:r>
          </w:p>
        </w:tc>
        <w:tc>
          <w:tcPr>
            <w:tcW w:type="dxa" w:w="1194"/>
            <w:tcBorders>
              <w:top w:color="000000" w:sz="4" w:val="single"/>
              <w:left w:color="000000" w:sz="4" w:val="single"/>
              <w:bottom w:color="000000" w:sz="4" w:val="single"/>
              <w:right w:color="000000" w:sz="4" w:val="single"/>
            </w:tcBorders>
            <w:shd w:fill="FFFFFF" w:val="clear"/>
            <w:vAlign w:val="center"/>
          </w:tcPr>
          <w:p w14:paraId="88220000">
            <w:pPr>
              <w:widowControl w:val="1"/>
              <w:ind/>
              <w:contextualSpacing w:val="1"/>
              <w:jc w:val="center"/>
              <w:rPr>
                <w:sz w:val="22"/>
              </w:rPr>
            </w:pPr>
            <w:r>
              <w:rPr>
                <w:sz w:val="22"/>
              </w:rPr>
              <w:t>70800</w:t>
            </w:r>
          </w:p>
        </w:tc>
        <w:tc>
          <w:tcPr>
            <w:tcW w:type="dxa" w:w="1221"/>
            <w:tcBorders>
              <w:top w:color="000000" w:sz="4" w:val="single"/>
              <w:left w:color="000000" w:sz="4" w:val="single"/>
              <w:bottom w:color="000000" w:sz="4" w:val="single"/>
              <w:right w:color="000000" w:sz="4" w:val="single"/>
            </w:tcBorders>
            <w:shd w:fill="FFFFFF" w:val="clear"/>
            <w:vAlign w:val="center"/>
          </w:tcPr>
          <w:p w14:paraId="89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A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B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C22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8D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8E22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930"/>
        </w:trPr>
        <w:tc>
          <w:tcPr>
            <w:tcW w:type="dxa" w:w="528"/>
            <w:tcBorders>
              <w:top w:color="000000" w:sz="4" w:val="single"/>
              <w:left w:color="000000" w:sz="4" w:val="single"/>
              <w:bottom w:color="000000" w:sz="4" w:val="single"/>
              <w:right w:color="000000" w:sz="4" w:val="single"/>
            </w:tcBorders>
            <w:shd w:fill="FFFFFF" w:val="clear"/>
            <w:vAlign w:val="center"/>
          </w:tcPr>
          <w:p w14:paraId="8F220000">
            <w:pPr>
              <w:widowControl w:val="1"/>
              <w:ind/>
              <w:contextualSpacing w:val="1"/>
              <w:rPr>
                <w:color w:val="000000"/>
                <w:sz w:val="22"/>
              </w:rPr>
            </w:pPr>
            <w:r>
              <w:rPr>
                <w:color w:val="000000"/>
                <w:sz w:val="22"/>
              </w:rPr>
              <w:t>151</w:t>
            </w:r>
          </w:p>
        </w:tc>
        <w:tc>
          <w:tcPr>
            <w:tcW w:type="dxa" w:w="1408"/>
            <w:tcBorders>
              <w:top w:color="000000" w:sz="4" w:val="single"/>
              <w:left w:color="000000" w:sz="4" w:val="single"/>
              <w:bottom w:color="000000" w:sz="4" w:val="single"/>
              <w:right w:color="000000" w:sz="4" w:val="single"/>
            </w:tcBorders>
            <w:shd w:fill="FFFFFF" w:val="clear"/>
            <w:vAlign w:val="center"/>
          </w:tcPr>
          <w:p w14:paraId="90220000">
            <w:pPr>
              <w:widowControl w:val="1"/>
              <w:ind/>
              <w:contextualSpacing w:val="1"/>
              <w:jc w:val="center"/>
              <w:rPr>
                <w:sz w:val="22"/>
              </w:rPr>
            </w:pPr>
            <w:r>
              <w:rPr>
                <w:sz w:val="22"/>
              </w:rPr>
              <w:t>ООО Охранная фирма "Тамерлан"</w:t>
            </w:r>
          </w:p>
        </w:tc>
        <w:tc>
          <w:tcPr>
            <w:tcW w:type="dxa" w:w="1408"/>
            <w:tcBorders>
              <w:top w:color="000000" w:sz="4" w:val="single"/>
              <w:left w:color="000000" w:sz="4" w:val="single"/>
              <w:bottom w:color="000000" w:sz="4" w:val="single"/>
              <w:right w:color="000000" w:sz="4" w:val="single"/>
            </w:tcBorders>
            <w:shd w:fill="FFFFFF" w:val="clear"/>
            <w:vAlign w:val="center"/>
          </w:tcPr>
          <w:p w14:paraId="91220000">
            <w:pPr>
              <w:widowControl w:val="1"/>
              <w:ind/>
              <w:contextualSpacing w:val="1"/>
              <w:jc w:val="center"/>
              <w:rPr>
                <w:sz w:val="22"/>
              </w:rPr>
            </w:pPr>
            <w:r>
              <w:rPr>
                <w:sz w:val="22"/>
              </w:rPr>
              <w:t>договор № 5354 от 26.12.2018</w:t>
            </w:r>
          </w:p>
        </w:tc>
        <w:tc>
          <w:tcPr>
            <w:tcW w:type="dxa" w:w="1274"/>
            <w:tcBorders>
              <w:top w:color="000000" w:sz="4" w:val="single"/>
              <w:left w:color="000000" w:sz="4" w:val="single"/>
              <w:bottom w:color="000000" w:sz="4" w:val="single"/>
              <w:right w:color="000000" w:sz="4" w:val="single"/>
            </w:tcBorders>
            <w:shd w:fill="FFFFFF" w:val="clear"/>
            <w:vAlign w:val="center"/>
          </w:tcPr>
          <w:p w14:paraId="92220000">
            <w:pPr>
              <w:widowControl w:val="1"/>
              <w:ind/>
              <w:contextualSpacing w:val="1"/>
              <w:jc w:val="center"/>
              <w:rPr>
                <w:sz w:val="22"/>
              </w:rPr>
            </w:pPr>
            <w:r>
              <w:rPr>
                <w:sz w:val="22"/>
              </w:rPr>
              <w:t>01.01.2019-31.12.2019</w:t>
            </w:r>
          </w:p>
        </w:tc>
        <w:tc>
          <w:tcPr>
            <w:tcW w:type="dxa" w:w="1556"/>
            <w:tcBorders>
              <w:top w:color="000000" w:sz="4" w:val="single"/>
              <w:left w:color="000000" w:sz="4" w:val="single"/>
              <w:bottom w:color="000000" w:sz="4" w:val="single"/>
              <w:right w:color="000000" w:sz="4" w:val="single"/>
            </w:tcBorders>
            <w:shd w:fill="FFFFFF" w:val="clear"/>
            <w:vAlign w:val="center"/>
          </w:tcPr>
          <w:p w14:paraId="93220000">
            <w:pPr>
              <w:widowControl w:val="1"/>
              <w:ind/>
              <w:contextualSpacing w:val="1"/>
              <w:jc w:val="center"/>
              <w:rPr>
                <w:sz w:val="22"/>
              </w:rPr>
            </w:pPr>
            <w:r>
              <w:rPr>
                <w:sz w:val="22"/>
              </w:rPr>
              <w:t>Оказание  услуг по охране имущества в пунктах продаж проездных документов расположенных в г. Красноярске</w:t>
            </w:r>
          </w:p>
        </w:tc>
        <w:tc>
          <w:tcPr>
            <w:tcW w:type="dxa" w:w="1194"/>
            <w:tcBorders>
              <w:top w:color="000000" w:sz="4" w:val="single"/>
              <w:left w:color="000000" w:sz="4" w:val="single"/>
              <w:bottom w:color="000000" w:sz="4" w:val="single"/>
              <w:right w:color="000000" w:sz="4" w:val="single"/>
            </w:tcBorders>
            <w:shd w:fill="FFFFFF" w:val="clear"/>
            <w:vAlign w:val="center"/>
          </w:tcPr>
          <w:p w14:paraId="94220000">
            <w:pPr>
              <w:widowControl w:val="1"/>
              <w:ind/>
              <w:contextualSpacing w:val="1"/>
              <w:jc w:val="center"/>
              <w:rPr>
                <w:sz w:val="22"/>
              </w:rPr>
            </w:pPr>
            <w:r>
              <w:rPr>
                <w:sz w:val="22"/>
              </w:rPr>
              <w:t>70200</w:t>
            </w:r>
          </w:p>
        </w:tc>
        <w:tc>
          <w:tcPr>
            <w:tcW w:type="dxa" w:w="1221"/>
            <w:tcBorders>
              <w:top w:color="000000" w:sz="4" w:val="single"/>
              <w:left w:color="000000" w:sz="4" w:val="single"/>
              <w:bottom w:color="000000" w:sz="4" w:val="single"/>
              <w:right w:color="000000" w:sz="4" w:val="single"/>
            </w:tcBorders>
            <w:shd w:fill="FFFFFF" w:val="clear"/>
            <w:vAlign w:val="center"/>
          </w:tcPr>
          <w:p w14:paraId="95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6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7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822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99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A22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31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9B220000">
            <w:pPr>
              <w:widowControl w:val="1"/>
              <w:ind/>
              <w:contextualSpacing w:val="1"/>
              <w:jc w:val="center"/>
              <w:rPr>
                <w:color w:val="000000"/>
                <w:sz w:val="22"/>
              </w:rPr>
            </w:pPr>
            <w:r>
              <w:rPr>
                <w:color w:val="000000"/>
                <w:sz w:val="22"/>
              </w:rPr>
              <w:t>итого по контрагенту ООО Охранная фирма "Тамерлан" 141625 руб.</w:t>
            </w:r>
          </w:p>
          <w:p w14:paraId="9C22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D220000">
            <w:pPr>
              <w:widowControl w:val="1"/>
              <w:ind/>
              <w:contextualSpacing w:val="1"/>
              <w:rPr>
                <w:color w:val="000000"/>
                <w:sz w:val="22"/>
              </w:rPr>
            </w:pPr>
            <w:r>
              <w:rPr>
                <w:color w:val="000000"/>
                <w:sz w:val="22"/>
              </w:rPr>
              <w:t>152</w:t>
            </w:r>
          </w:p>
        </w:tc>
        <w:tc>
          <w:tcPr>
            <w:tcW w:type="dxa" w:w="1408"/>
            <w:tcBorders>
              <w:top w:color="000000" w:sz="4" w:val="single"/>
              <w:left w:color="000000" w:sz="4" w:val="single"/>
              <w:bottom w:color="000000" w:sz="4" w:val="single"/>
              <w:right w:color="000000" w:sz="4" w:val="single"/>
            </w:tcBorders>
            <w:shd w:fill="FFFFFF" w:val="clear"/>
            <w:vAlign w:val="center"/>
          </w:tcPr>
          <w:p w14:paraId="9E220000">
            <w:pPr>
              <w:widowControl w:val="1"/>
              <w:ind/>
              <w:contextualSpacing w:val="1"/>
              <w:jc w:val="center"/>
              <w:rPr>
                <w:sz w:val="22"/>
              </w:rPr>
            </w:pPr>
            <w:r>
              <w:rPr>
                <w:sz w:val="22"/>
              </w:rPr>
              <w:t>ООО "УниФирма"</w:t>
            </w:r>
          </w:p>
        </w:tc>
        <w:tc>
          <w:tcPr>
            <w:tcW w:type="dxa" w:w="1408"/>
            <w:tcBorders>
              <w:top w:color="000000" w:sz="4" w:val="single"/>
              <w:left w:color="000000" w:sz="4" w:val="single"/>
              <w:bottom w:color="000000" w:sz="4" w:val="single"/>
              <w:right w:color="000000" w:sz="4" w:val="single"/>
            </w:tcBorders>
            <w:shd w:fill="FFFFFF" w:val="clear"/>
            <w:vAlign w:val="center"/>
          </w:tcPr>
          <w:p w14:paraId="9F220000">
            <w:pPr>
              <w:widowControl w:val="1"/>
              <w:ind/>
              <w:contextualSpacing w:val="1"/>
              <w:jc w:val="center"/>
              <w:rPr>
                <w:sz w:val="22"/>
              </w:rPr>
            </w:pPr>
            <w:r>
              <w:rPr>
                <w:sz w:val="22"/>
              </w:rPr>
              <w:t>счет № УТ-34 от 12.03.2018</w:t>
            </w:r>
          </w:p>
        </w:tc>
        <w:tc>
          <w:tcPr>
            <w:tcW w:type="dxa" w:w="1274"/>
            <w:tcBorders>
              <w:top w:color="000000" w:sz="4" w:val="single"/>
              <w:left w:color="000000" w:sz="4" w:val="single"/>
              <w:bottom w:color="000000" w:sz="4" w:val="single"/>
              <w:right w:color="000000" w:sz="4" w:val="single"/>
            </w:tcBorders>
            <w:shd w:fill="FFFFFF" w:val="clear"/>
            <w:vAlign w:val="center"/>
          </w:tcPr>
          <w:p w14:paraId="A0220000">
            <w:pPr>
              <w:widowControl w:val="1"/>
              <w:ind/>
              <w:contextualSpacing w:val="1"/>
              <w:jc w:val="center"/>
              <w:rPr>
                <w:sz w:val="22"/>
              </w:rPr>
            </w:pPr>
            <w:r>
              <w:rPr>
                <w:sz w:val="22"/>
              </w:rPr>
              <w:t>12.03.2018-31.03.2018</w:t>
            </w:r>
          </w:p>
        </w:tc>
        <w:tc>
          <w:tcPr>
            <w:tcW w:type="dxa" w:w="1556"/>
            <w:tcBorders>
              <w:top w:color="000000" w:sz="4" w:val="single"/>
              <w:left w:color="000000" w:sz="4" w:val="single"/>
              <w:bottom w:color="000000" w:sz="4" w:val="single"/>
              <w:right w:color="000000" w:sz="4" w:val="single"/>
            </w:tcBorders>
            <w:shd w:fill="FFFFFF" w:val="clear"/>
            <w:vAlign w:val="center"/>
          </w:tcPr>
          <w:p w14:paraId="A1220000">
            <w:pPr>
              <w:widowControl w:val="1"/>
              <w:ind/>
              <w:contextualSpacing w:val="1"/>
              <w:jc w:val="center"/>
              <w:rPr>
                <w:sz w:val="22"/>
              </w:rPr>
            </w:pPr>
            <w:r>
              <w:rPr>
                <w:sz w:val="22"/>
              </w:rPr>
              <w:t>Поставка полотна вафельного и нетканного</w:t>
            </w:r>
          </w:p>
        </w:tc>
        <w:tc>
          <w:tcPr>
            <w:tcW w:type="dxa" w:w="1194"/>
            <w:tcBorders>
              <w:top w:color="000000" w:sz="4" w:val="single"/>
              <w:left w:color="000000" w:sz="4" w:val="single"/>
              <w:bottom w:color="000000" w:sz="4" w:val="single"/>
              <w:right w:color="000000" w:sz="4" w:val="single"/>
            </w:tcBorders>
            <w:shd w:fill="FFFFFF" w:val="clear"/>
            <w:vAlign w:val="center"/>
          </w:tcPr>
          <w:p w14:paraId="A2220000">
            <w:pPr>
              <w:widowControl w:val="1"/>
              <w:ind/>
              <w:contextualSpacing w:val="1"/>
              <w:jc w:val="center"/>
              <w:rPr>
                <w:sz w:val="22"/>
              </w:rPr>
            </w:pPr>
            <w:r>
              <w:rPr>
                <w:sz w:val="22"/>
              </w:rPr>
              <w:t>46 170,00</w:t>
            </w:r>
          </w:p>
        </w:tc>
        <w:tc>
          <w:tcPr>
            <w:tcW w:type="dxa" w:w="1221"/>
            <w:tcBorders>
              <w:top w:color="000000" w:sz="4" w:val="single"/>
              <w:left w:color="000000" w:sz="4" w:val="single"/>
              <w:bottom w:color="000000" w:sz="4" w:val="single"/>
              <w:right w:color="000000" w:sz="4" w:val="single"/>
            </w:tcBorders>
            <w:shd w:fill="FFFFFF" w:val="clear"/>
            <w:vAlign w:val="center"/>
          </w:tcPr>
          <w:p w14:paraId="A3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4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5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6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A7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822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9220000">
            <w:pPr>
              <w:widowControl w:val="1"/>
              <w:ind/>
              <w:contextualSpacing w:val="1"/>
              <w:rPr>
                <w:color w:val="000000"/>
                <w:sz w:val="22"/>
              </w:rPr>
            </w:pPr>
            <w:r>
              <w:rPr>
                <w:color w:val="000000"/>
                <w:sz w:val="22"/>
              </w:rPr>
              <w:t>153</w:t>
            </w:r>
          </w:p>
        </w:tc>
        <w:tc>
          <w:tcPr>
            <w:tcW w:type="dxa" w:w="1408"/>
            <w:tcBorders>
              <w:top w:color="000000" w:sz="4" w:val="single"/>
              <w:left w:color="000000" w:sz="4" w:val="single"/>
              <w:bottom w:color="000000" w:sz="4" w:val="single"/>
              <w:right w:color="000000" w:sz="4" w:val="single"/>
            </w:tcBorders>
            <w:shd w:fill="FFFFFF" w:val="clear"/>
            <w:vAlign w:val="center"/>
          </w:tcPr>
          <w:p w14:paraId="AA220000">
            <w:pPr>
              <w:widowControl w:val="1"/>
              <w:ind/>
              <w:contextualSpacing w:val="1"/>
              <w:jc w:val="center"/>
              <w:rPr>
                <w:sz w:val="22"/>
              </w:rPr>
            </w:pPr>
            <w:r>
              <w:rPr>
                <w:sz w:val="22"/>
              </w:rPr>
              <w:t>АО "РСИЦ"</w:t>
            </w:r>
          </w:p>
        </w:tc>
        <w:tc>
          <w:tcPr>
            <w:tcW w:type="dxa" w:w="1408"/>
            <w:tcBorders>
              <w:top w:color="000000" w:sz="4" w:val="single"/>
              <w:left w:color="000000" w:sz="4" w:val="single"/>
              <w:bottom w:color="000000" w:sz="4" w:val="single"/>
              <w:right w:color="000000" w:sz="4" w:val="single"/>
            </w:tcBorders>
            <w:shd w:fill="FFFFFF" w:val="clear"/>
            <w:vAlign w:val="center"/>
          </w:tcPr>
          <w:p w14:paraId="AB220000">
            <w:pPr>
              <w:widowControl w:val="1"/>
              <w:ind/>
              <w:contextualSpacing w:val="1"/>
              <w:jc w:val="center"/>
              <w:rPr>
                <w:sz w:val="22"/>
              </w:rPr>
            </w:pPr>
            <w:r>
              <w:rPr>
                <w:sz w:val="22"/>
              </w:rPr>
              <w:t>счет № 2807908-352506/NIC-D от 10.01.2018</w:t>
            </w:r>
          </w:p>
        </w:tc>
        <w:tc>
          <w:tcPr>
            <w:tcW w:type="dxa" w:w="1274"/>
            <w:tcBorders>
              <w:top w:color="000000" w:sz="4" w:val="single"/>
              <w:left w:color="000000" w:sz="4" w:val="single"/>
              <w:bottom w:color="000000" w:sz="4" w:val="single"/>
              <w:right w:color="000000" w:sz="4" w:val="single"/>
            </w:tcBorders>
            <w:shd w:fill="FFFFFF" w:val="clear"/>
            <w:vAlign w:val="center"/>
          </w:tcPr>
          <w:p w14:paraId="AC220000">
            <w:pPr>
              <w:widowControl w:val="1"/>
              <w:ind/>
              <w:contextualSpacing w:val="1"/>
              <w:jc w:val="center"/>
              <w:rPr>
                <w:sz w:val="22"/>
              </w:rPr>
            </w:pPr>
            <w:r>
              <w:rPr>
                <w:sz w:val="22"/>
              </w:rPr>
              <w:t>10.01.2018-31.01.2018</w:t>
            </w:r>
          </w:p>
        </w:tc>
        <w:tc>
          <w:tcPr>
            <w:tcW w:type="dxa" w:w="1556"/>
            <w:tcBorders>
              <w:top w:color="000000" w:sz="4" w:val="single"/>
              <w:left w:color="000000" w:sz="4" w:val="single"/>
              <w:bottom w:color="000000" w:sz="4" w:val="single"/>
              <w:right w:color="000000" w:sz="4" w:val="single"/>
            </w:tcBorders>
            <w:shd w:fill="FFFFFF" w:val="clear"/>
            <w:vAlign w:val="center"/>
          </w:tcPr>
          <w:p w14:paraId="AD220000">
            <w:pPr>
              <w:widowControl w:val="1"/>
              <w:ind/>
              <w:contextualSpacing w:val="1"/>
              <w:jc w:val="center"/>
              <w:rPr>
                <w:sz w:val="22"/>
              </w:rPr>
            </w:pPr>
            <w:r>
              <w:rPr>
                <w:sz w:val="22"/>
              </w:rPr>
              <w:t>Оказание услуг домена и хостинга</w:t>
            </w:r>
          </w:p>
        </w:tc>
        <w:tc>
          <w:tcPr>
            <w:tcW w:type="dxa" w:w="1194"/>
            <w:tcBorders>
              <w:top w:color="000000" w:sz="4" w:val="single"/>
              <w:left w:color="000000" w:sz="4" w:val="single"/>
              <w:bottom w:color="000000" w:sz="4" w:val="single"/>
              <w:right w:color="000000" w:sz="4" w:val="single"/>
            </w:tcBorders>
            <w:shd w:fill="FFFFFF" w:val="clear"/>
            <w:vAlign w:val="center"/>
          </w:tcPr>
          <w:p w14:paraId="AE220000">
            <w:pPr>
              <w:widowControl w:val="1"/>
              <w:ind/>
              <w:contextualSpacing w:val="1"/>
              <w:jc w:val="center"/>
              <w:rPr>
                <w:sz w:val="22"/>
              </w:rPr>
            </w:pPr>
            <w:r>
              <w:rPr>
                <w:sz w:val="22"/>
              </w:rPr>
              <w:t>11 290,00</w:t>
            </w:r>
          </w:p>
        </w:tc>
        <w:tc>
          <w:tcPr>
            <w:tcW w:type="dxa" w:w="1221"/>
            <w:tcBorders>
              <w:top w:color="000000" w:sz="4" w:val="single"/>
              <w:left w:color="000000" w:sz="4" w:val="single"/>
              <w:bottom w:color="000000" w:sz="4" w:val="single"/>
              <w:right w:color="000000" w:sz="4" w:val="single"/>
            </w:tcBorders>
            <w:shd w:fill="FFFFFF" w:val="clear"/>
            <w:vAlign w:val="center"/>
          </w:tcPr>
          <w:p w14:paraId="AF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0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1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2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B3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B422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B5220000">
            <w:pPr>
              <w:widowControl w:val="1"/>
              <w:ind/>
              <w:contextualSpacing w:val="1"/>
              <w:rPr>
                <w:color w:val="000000"/>
                <w:sz w:val="22"/>
              </w:rPr>
            </w:pPr>
            <w:r>
              <w:rPr>
                <w:color w:val="000000"/>
                <w:sz w:val="22"/>
              </w:rPr>
              <w:t>154</w:t>
            </w:r>
          </w:p>
        </w:tc>
        <w:tc>
          <w:tcPr>
            <w:tcW w:type="dxa" w:w="1408"/>
            <w:tcBorders>
              <w:top w:color="000000" w:sz="4" w:val="single"/>
              <w:left w:color="000000" w:sz="4" w:val="single"/>
              <w:bottom w:color="000000" w:sz="4" w:val="single"/>
              <w:right w:color="000000" w:sz="4" w:val="single"/>
            </w:tcBorders>
            <w:shd w:fill="FFFFFF" w:val="clear"/>
            <w:vAlign w:val="center"/>
          </w:tcPr>
          <w:p w14:paraId="B6220000">
            <w:pPr>
              <w:widowControl w:val="1"/>
              <w:ind/>
              <w:contextualSpacing w:val="1"/>
              <w:jc w:val="center"/>
              <w:rPr>
                <w:sz w:val="22"/>
              </w:rPr>
            </w:pPr>
            <w:r>
              <w:rPr>
                <w:sz w:val="22"/>
              </w:rPr>
              <w:t>АО "РСИЦ"</w:t>
            </w:r>
          </w:p>
        </w:tc>
        <w:tc>
          <w:tcPr>
            <w:tcW w:type="dxa" w:w="1408"/>
            <w:tcBorders>
              <w:top w:color="000000" w:sz="4" w:val="single"/>
              <w:left w:color="000000" w:sz="4" w:val="single"/>
              <w:bottom w:color="000000" w:sz="4" w:val="single"/>
              <w:right w:color="000000" w:sz="4" w:val="single"/>
            </w:tcBorders>
            <w:shd w:fill="FFFFFF" w:val="clear"/>
            <w:vAlign w:val="center"/>
          </w:tcPr>
          <w:p w14:paraId="B7220000">
            <w:pPr>
              <w:widowControl w:val="1"/>
              <w:ind/>
              <w:contextualSpacing w:val="1"/>
              <w:jc w:val="center"/>
              <w:rPr>
                <w:sz w:val="22"/>
              </w:rPr>
            </w:pPr>
            <w:r>
              <w:rPr>
                <w:sz w:val="22"/>
              </w:rPr>
              <w:t>счет № 2867730-352506/NIC-D от 30.03.2018</w:t>
            </w:r>
          </w:p>
        </w:tc>
        <w:tc>
          <w:tcPr>
            <w:tcW w:type="dxa" w:w="1274"/>
            <w:tcBorders>
              <w:top w:color="000000" w:sz="4" w:val="single"/>
              <w:left w:color="000000" w:sz="4" w:val="single"/>
              <w:bottom w:color="000000" w:sz="4" w:val="single"/>
              <w:right w:color="000000" w:sz="4" w:val="single"/>
            </w:tcBorders>
            <w:shd w:fill="FFFFFF" w:val="clear"/>
            <w:vAlign w:val="center"/>
          </w:tcPr>
          <w:p w14:paraId="B8220000">
            <w:pPr>
              <w:widowControl w:val="1"/>
              <w:ind/>
              <w:contextualSpacing w:val="1"/>
              <w:jc w:val="center"/>
              <w:rPr>
                <w:sz w:val="22"/>
              </w:rPr>
            </w:pPr>
            <w:r>
              <w:rPr>
                <w:sz w:val="22"/>
              </w:rPr>
              <w:t>06.03.2018-31.03.2018</w:t>
            </w:r>
          </w:p>
        </w:tc>
        <w:tc>
          <w:tcPr>
            <w:tcW w:type="dxa" w:w="1556"/>
            <w:tcBorders>
              <w:top w:color="000000" w:sz="4" w:val="single"/>
              <w:left w:color="000000" w:sz="4" w:val="single"/>
              <w:bottom w:color="000000" w:sz="4" w:val="single"/>
              <w:right w:color="000000" w:sz="4" w:val="single"/>
            </w:tcBorders>
            <w:shd w:fill="FFFFFF" w:val="clear"/>
            <w:vAlign w:val="center"/>
          </w:tcPr>
          <w:p w14:paraId="B9220000">
            <w:pPr>
              <w:widowControl w:val="1"/>
              <w:ind/>
              <w:contextualSpacing w:val="1"/>
              <w:jc w:val="center"/>
              <w:rPr>
                <w:color w:val="000000"/>
                <w:sz w:val="22"/>
              </w:rPr>
            </w:pPr>
            <w:r>
              <w:rPr>
                <w:color w:val="000000"/>
                <w:sz w:val="22"/>
              </w:rPr>
              <w:t>оказание услуг адресации доменного имени kraspg.ru</w:t>
            </w:r>
          </w:p>
        </w:tc>
        <w:tc>
          <w:tcPr>
            <w:tcW w:type="dxa" w:w="1194"/>
            <w:tcBorders>
              <w:top w:color="000000" w:sz="4" w:val="single"/>
              <w:left w:color="000000" w:sz="4" w:val="single"/>
              <w:bottom w:color="000000" w:sz="4" w:val="single"/>
              <w:right w:color="000000" w:sz="4" w:val="single"/>
            </w:tcBorders>
            <w:shd w:fill="FFFFFF" w:val="clear"/>
            <w:vAlign w:val="center"/>
          </w:tcPr>
          <w:p w14:paraId="BA220000">
            <w:pPr>
              <w:widowControl w:val="1"/>
              <w:ind/>
              <w:contextualSpacing w:val="1"/>
              <w:jc w:val="center"/>
              <w:rPr>
                <w:sz w:val="22"/>
              </w:rPr>
            </w:pPr>
            <w:r>
              <w:rPr>
                <w:sz w:val="22"/>
              </w:rPr>
              <w:t>750,00</w:t>
            </w:r>
          </w:p>
        </w:tc>
        <w:tc>
          <w:tcPr>
            <w:tcW w:type="dxa" w:w="1221"/>
            <w:tcBorders>
              <w:top w:color="000000" w:sz="4" w:val="single"/>
              <w:left w:color="000000" w:sz="4" w:val="single"/>
              <w:bottom w:color="000000" w:sz="4" w:val="single"/>
              <w:right w:color="000000" w:sz="4" w:val="single"/>
            </w:tcBorders>
            <w:shd w:fill="FFFFFF" w:val="clear"/>
            <w:vAlign w:val="center"/>
          </w:tcPr>
          <w:p w14:paraId="BB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C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D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E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BF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022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125"/>
        </w:trPr>
        <w:tc>
          <w:tcPr>
            <w:tcW w:type="dxa" w:w="528"/>
            <w:tcBorders>
              <w:top w:color="000000" w:sz="4" w:val="single"/>
              <w:left w:color="000000" w:sz="4" w:val="single"/>
              <w:bottom w:color="000000" w:sz="4" w:val="single"/>
              <w:right w:color="000000" w:sz="4" w:val="single"/>
            </w:tcBorders>
            <w:shd w:fill="FFFFFF" w:val="clear"/>
            <w:vAlign w:val="center"/>
          </w:tcPr>
          <w:p w14:paraId="C1220000">
            <w:pPr>
              <w:widowControl w:val="1"/>
              <w:ind/>
              <w:contextualSpacing w:val="1"/>
              <w:rPr>
                <w:color w:val="000000"/>
                <w:sz w:val="22"/>
              </w:rPr>
            </w:pPr>
            <w:r>
              <w:rPr>
                <w:color w:val="000000"/>
                <w:sz w:val="22"/>
              </w:rPr>
              <w:t>155</w:t>
            </w:r>
          </w:p>
        </w:tc>
        <w:tc>
          <w:tcPr>
            <w:tcW w:type="dxa" w:w="1408"/>
            <w:tcBorders>
              <w:top w:color="000000" w:sz="4" w:val="single"/>
              <w:left w:color="000000" w:sz="4" w:val="single"/>
              <w:bottom w:color="000000" w:sz="4" w:val="single"/>
              <w:right w:color="000000" w:sz="4" w:val="single"/>
            </w:tcBorders>
            <w:shd w:fill="FFFFFF" w:val="clear"/>
            <w:vAlign w:val="center"/>
          </w:tcPr>
          <w:p w14:paraId="C2220000">
            <w:pPr>
              <w:widowControl w:val="1"/>
              <w:ind/>
              <w:contextualSpacing w:val="1"/>
              <w:jc w:val="center"/>
              <w:rPr>
                <w:sz w:val="22"/>
              </w:rPr>
            </w:pPr>
            <w:r>
              <w:rPr>
                <w:sz w:val="22"/>
              </w:rPr>
              <w:t>АО "РСИЦ"</w:t>
            </w:r>
          </w:p>
        </w:tc>
        <w:tc>
          <w:tcPr>
            <w:tcW w:type="dxa" w:w="1408"/>
            <w:tcBorders>
              <w:top w:color="000000" w:sz="4" w:val="single"/>
              <w:left w:color="000000" w:sz="4" w:val="single"/>
              <w:bottom w:color="000000" w:sz="4" w:val="single"/>
              <w:right w:color="000000" w:sz="4" w:val="single"/>
            </w:tcBorders>
            <w:shd w:fill="FFFFFF" w:val="clear"/>
            <w:vAlign w:val="center"/>
          </w:tcPr>
          <w:p w14:paraId="C3220000">
            <w:pPr>
              <w:widowControl w:val="1"/>
              <w:ind/>
              <w:contextualSpacing w:val="1"/>
              <w:jc w:val="center"/>
              <w:rPr>
                <w:sz w:val="22"/>
              </w:rPr>
            </w:pPr>
            <w:r>
              <w:rPr>
                <w:sz w:val="22"/>
              </w:rPr>
              <w:t>счет № 2850292-352506/NIC-D от 06.03.2018</w:t>
            </w:r>
          </w:p>
        </w:tc>
        <w:tc>
          <w:tcPr>
            <w:tcW w:type="dxa" w:w="1274"/>
            <w:tcBorders>
              <w:top w:color="000000" w:sz="4" w:val="single"/>
              <w:left w:color="000000" w:sz="4" w:val="single"/>
              <w:bottom w:color="000000" w:sz="4" w:val="single"/>
              <w:right w:color="000000" w:sz="4" w:val="single"/>
            </w:tcBorders>
            <w:shd w:fill="FFFFFF" w:val="clear"/>
            <w:vAlign w:val="center"/>
          </w:tcPr>
          <w:p w14:paraId="C4220000">
            <w:pPr>
              <w:widowControl w:val="1"/>
              <w:ind/>
              <w:contextualSpacing w:val="1"/>
              <w:jc w:val="center"/>
              <w:rPr>
                <w:sz w:val="22"/>
              </w:rPr>
            </w:pPr>
            <w:r>
              <w:rPr>
                <w:sz w:val="22"/>
              </w:rPr>
              <w:t>06.03.2018-31.03.2018</w:t>
            </w:r>
          </w:p>
        </w:tc>
        <w:tc>
          <w:tcPr>
            <w:tcW w:type="dxa" w:w="1556"/>
            <w:tcBorders>
              <w:top w:color="000000" w:sz="4" w:val="single"/>
              <w:left w:color="000000" w:sz="4" w:val="single"/>
              <w:bottom w:color="000000" w:sz="4" w:val="single"/>
              <w:right w:color="000000" w:sz="4" w:val="single"/>
            </w:tcBorders>
            <w:shd w:fill="FFFFFF" w:val="clear"/>
            <w:vAlign w:val="center"/>
          </w:tcPr>
          <w:p w14:paraId="C5220000">
            <w:pPr>
              <w:widowControl w:val="1"/>
              <w:ind/>
              <w:contextualSpacing w:val="1"/>
              <w:jc w:val="center"/>
              <w:rPr>
                <w:color w:val="000000"/>
                <w:sz w:val="22"/>
              </w:rPr>
            </w:pPr>
            <w:r>
              <w:rPr>
                <w:color w:val="000000"/>
                <w:sz w:val="22"/>
              </w:rPr>
              <w:t>оказание услуг о продлении   доменного имени kraspg.ru</w:t>
            </w:r>
          </w:p>
        </w:tc>
        <w:tc>
          <w:tcPr>
            <w:tcW w:type="dxa" w:w="1194"/>
            <w:tcBorders>
              <w:top w:color="000000" w:sz="4" w:val="single"/>
              <w:left w:color="000000" w:sz="4" w:val="single"/>
              <w:bottom w:color="000000" w:sz="4" w:val="single"/>
              <w:right w:color="000000" w:sz="4" w:val="single"/>
            </w:tcBorders>
            <w:shd w:fill="FFFFFF" w:val="clear"/>
            <w:vAlign w:val="center"/>
          </w:tcPr>
          <w:p w14:paraId="C6220000">
            <w:pPr>
              <w:widowControl w:val="1"/>
              <w:ind/>
              <w:contextualSpacing w:val="1"/>
              <w:jc w:val="center"/>
              <w:rPr>
                <w:sz w:val="22"/>
              </w:rPr>
            </w:pPr>
            <w:r>
              <w:rPr>
                <w:sz w:val="22"/>
              </w:rPr>
              <w:t>890,00</w:t>
            </w:r>
          </w:p>
        </w:tc>
        <w:tc>
          <w:tcPr>
            <w:tcW w:type="dxa" w:w="1221"/>
            <w:tcBorders>
              <w:top w:color="000000" w:sz="4" w:val="single"/>
              <w:left w:color="000000" w:sz="4" w:val="single"/>
              <w:bottom w:color="000000" w:sz="4" w:val="single"/>
              <w:right w:color="000000" w:sz="4" w:val="single"/>
            </w:tcBorders>
            <w:shd w:fill="FFFFFF" w:val="clear"/>
            <w:vAlign w:val="center"/>
          </w:tcPr>
          <w:p w14:paraId="C7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8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9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A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CB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C22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300"/>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CD220000">
            <w:pPr>
              <w:widowControl w:val="1"/>
              <w:ind/>
              <w:contextualSpacing w:val="1"/>
              <w:jc w:val="center"/>
              <w:rPr>
                <w:color w:val="000000"/>
                <w:sz w:val="22"/>
              </w:rPr>
            </w:pPr>
            <w:r>
              <w:rPr>
                <w:color w:val="000000"/>
                <w:sz w:val="22"/>
              </w:rPr>
              <w:t>итого по контрагенту АО "РСИЦ" 12930 руб.</w:t>
            </w:r>
          </w:p>
          <w:p w14:paraId="CE22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F220000">
            <w:pPr>
              <w:widowControl w:val="1"/>
              <w:ind/>
              <w:contextualSpacing w:val="1"/>
              <w:rPr>
                <w:color w:val="000000"/>
                <w:sz w:val="22"/>
              </w:rPr>
            </w:pPr>
            <w:r>
              <w:rPr>
                <w:color w:val="000000"/>
                <w:sz w:val="22"/>
              </w:rPr>
              <w:t>156</w:t>
            </w:r>
          </w:p>
        </w:tc>
        <w:tc>
          <w:tcPr>
            <w:tcW w:type="dxa" w:w="1408"/>
            <w:tcBorders>
              <w:top w:color="000000" w:sz="4" w:val="single"/>
              <w:left w:color="000000" w:sz="4" w:val="single"/>
              <w:bottom w:color="000000" w:sz="4" w:val="single"/>
              <w:right w:color="000000" w:sz="4" w:val="single"/>
            </w:tcBorders>
            <w:shd w:fill="FFFFFF" w:val="clear"/>
            <w:vAlign w:val="center"/>
          </w:tcPr>
          <w:p w14:paraId="D0220000">
            <w:pPr>
              <w:widowControl w:val="1"/>
              <w:ind/>
              <w:contextualSpacing w:val="1"/>
              <w:jc w:val="center"/>
              <w:rPr>
                <w:sz w:val="22"/>
              </w:rPr>
            </w:pPr>
            <w:r>
              <w:rPr>
                <w:sz w:val="22"/>
              </w:rPr>
              <w:t>АНО ДПО "Корпоративный университет РЖД"</w:t>
            </w:r>
          </w:p>
        </w:tc>
        <w:tc>
          <w:tcPr>
            <w:tcW w:type="dxa" w:w="1408"/>
            <w:tcBorders>
              <w:top w:color="000000" w:sz="4" w:val="single"/>
              <w:left w:color="000000" w:sz="4" w:val="single"/>
              <w:bottom w:color="000000" w:sz="4" w:val="single"/>
              <w:right w:color="000000" w:sz="4" w:val="single"/>
            </w:tcBorders>
            <w:shd w:fill="FFFFFF" w:val="clear"/>
            <w:vAlign w:val="center"/>
          </w:tcPr>
          <w:p w14:paraId="D1220000">
            <w:pPr>
              <w:widowControl w:val="1"/>
              <w:ind/>
              <w:contextualSpacing w:val="1"/>
              <w:jc w:val="center"/>
              <w:rPr>
                <w:sz w:val="22"/>
              </w:rPr>
            </w:pPr>
            <w:r>
              <w:rPr>
                <w:sz w:val="22"/>
              </w:rPr>
              <w:t>договор № ДК 42-18-ЦРКК от 03.05.2018</w:t>
            </w:r>
          </w:p>
        </w:tc>
        <w:tc>
          <w:tcPr>
            <w:tcW w:type="dxa" w:w="1274"/>
            <w:tcBorders>
              <w:top w:color="000000" w:sz="4" w:val="single"/>
              <w:left w:color="000000" w:sz="4" w:val="single"/>
              <w:bottom w:color="000000" w:sz="4" w:val="single"/>
              <w:right w:color="000000" w:sz="4" w:val="single"/>
            </w:tcBorders>
            <w:shd w:fill="FFFFFF" w:val="clear"/>
            <w:vAlign w:val="center"/>
          </w:tcPr>
          <w:p w14:paraId="D2220000">
            <w:pPr>
              <w:widowControl w:val="1"/>
              <w:ind/>
              <w:contextualSpacing w:val="1"/>
              <w:jc w:val="center"/>
              <w:rPr>
                <w:sz w:val="22"/>
              </w:rPr>
            </w:pPr>
            <w:r>
              <w:rPr>
                <w:sz w:val="22"/>
              </w:rPr>
              <w:t>03.05.2018-31.05.2018</w:t>
            </w:r>
          </w:p>
        </w:tc>
        <w:tc>
          <w:tcPr>
            <w:tcW w:type="dxa" w:w="1556"/>
            <w:tcBorders>
              <w:top w:color="000000" w:sz="4" w:val="single"/>
              <w:left w:color="000000" w:sz="4" w:val="single"/>
              <w:bottom w:color="000000" w:sz="4" w:val="single"/>
              <w:right w:color="000000" w:sz="4" w:val="single"/>
            </w:tcBorders>
            <w:shd w:fill="FFFFFF" w:val="clear"/>
            <w:vAlign w:val="center"/>
          </w:tcPr>
          <w:p w14:paraId="D3220000">
            <w:pPr>
              <w:widowControl w:val="1"/>
              <w:ind/>
              <w:contextualSpacing w:val="1"/>
              <w:jc w:val="center"/>
              <w:rPr>
                <w:sz w:val="22"/>
              </w:rPr>
            </w:pPr>
            <w:r>
              <w:rPr>
                <w:sz w:val="22"/>
              </w:rPr>
              <w:t>оказание услуг по обучению по программе повышения квалификации "Переговоры: от борьбы к сотрудничеству"</w:t>
            </w:r>
          </w:p>
        </w:tc>
        <w:tc>
          <w:tcPr>
            <w:tcW w:type="dxa" w:w="1194"/>
            <w:tcBorders>
              <w:top w:color="000000" w:sz="4" w:val="single"/>
              <w:left w:color="000000" w:sz="4" w:val="single"/>
              <w:bottom w:color="000000" w:sz="4" w:val="single"/>
              <w:right w:color="000000" w:sz="4" w:val="single"/>
            </w:tcBorders>
            <w:shd w:fill="FFFFFF" w:val="clear"/>
            <w:vAlign w:val="center"/>
          </w:tcPr>
          <w:p w14:paraId="D4220000">
            <w:pPr>
              <w:widowControl w:val="1"/>
              <w:ind/>
              <w:contextualSpacing w:val="1"/>
              <w:jc w:val="center"/>
              <w:rPr>
                <w:sz w:val="22"/>
              </w:rPr>
            </w:pPr>
            <w:r>
              <w:rPr>
                <w:sz w:val="22"/>
              </w:rPr>
              <w:t>19000</w:t>
            </w:r>
          </w:p>
        </w:tc>
        <w:tc>
          <w:tcPr>
            <w:tcW w:type="dxa" w:w="1221"/>
            <w:tcBorders>
              <w:top w:color="000000" w:sz="4" w:val="single"/>
              <w:left w:color="000000" w:sz="4" w:val="single"/>
              <w:bottom w:color="000000" w:sz="4" w:val="single"/>
              <w:right w:color="000000" w:sz="4" w:val="single"/>
            </w:tcBorders>
            <w:shd w:fill="FFFFFF" w:val="clear"/>
            <w:vAlign w:val="center"/>
          </w:tcPr>
          <w:p w14:paraId="D5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6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7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8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D9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DA220000">
            <w:pPr>
              <w:widowControl w:val="1"/>
              <w:ind/>
              <w:contextualSpacing w:val="1"/>
              <w:jc w:val="center"/>
              <w:rPr>
                <w:sz w:val="22"/>
              </w:rPr>
            </w:pPr>
            <w:r>
              <w:rPr>
                <w:sz w:val="22"/>
              </w:rPr>
              <w:t>Размещение заказа у единственного поставщика, согласно пп.8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DB220000">
            <w:pPr>
              <w:widowControl w:val="1"/>
              <w:ind/>
              <w:contextualSpacing w:val="1"/>
              <w:rPr>
                <w:color w:val="000000"/>
                <w:sz w:val="22"/>
              </w:rPr>
            </w:pPr>
            <w:r>
              <w:rPr>
                <w:color w:val="000000"/>
                <w:sz w:val="22"/>
              </w:rPr>
              <w:t>157</w:t>
            </w:r>
          </w:p>
        </w:tc>
        <w:tc>
          <w:tcPr>
            <w:tcW w:type="dxa" w:w="1408"/>
            <w:tcBorders>
              <w:top w:color="000000" w:sz="4" w:val="single"/>
              <w:left w:color="000000" w:sz="4" w:val="single"/>
              <w:bottom w:color="000000" w:sz="4" w:val="single"/>
              <w:right w:color="000000" w:sz="4" w:val="single"/>
            </w:tcBorders>
            <w:shd w:fill="FFFFFF" w:val="clear"/>
            <w:vAlign w:val="center"/>
          </w:tcPr>
          <w:p w14:paraId="DC220000">
            <w:pPr>
              <w:widowControl w:val="1"/>
              <w:ind/>
              <w:contextualSpacing w:val="1"/>
              <w:jc w:val="center"/>
              <w:rPr>
                <w:sz w:val="22"/>
              </w:rPr>
            </w:pPr>
            <w:r>
              <w:rPr>
                <w:sz w:val="22"/>
              </w:rPr>
              <w:t>АНО ДПО "Корпоративный университет РЖД"</w:t>
            </w:r>
          </w:p>
        </w:tc>
        <w:tc>
          <w:tcPr>
            <w:tcW w:type="dxa" w:w="1408"/>
            <w:tcBorders>
              <w:top w:color="000000" w:sz="4" w:val="single"/>
              <w:left w:color="000000" w:sz="4" w:val="single"/>
              <w:bottom w:color="000000" w:sz="4" w:val="single"/>
              <w:right w:color="000000" w:sz="4" w:val="single"/>
            </w:tcBorders>
            <w:shd w:fill="FFFFFF" w:val="clear"/>
            <w:vAlign w:val="center"/>
          </w:tcPr>
          <w:p w14:paraId="DD220000">
            <w:pPr>
              <w:widowControl w:val="1"/>
              <w:ind/>
              <w:contextualSpacing w:val="1"/>
              <w:jc w:val="center"/>
              <w:rPr>
                <w:sz w:val="22"/>
              </w:rPr>
            </w:pPr>
            <w:r>
              <w:rPr>
                <w:sz w:val="22"/>
              </w:rPr>
              <w:t>договор № ДК125-18-ЦОК от 03.10.2018</w:t>
            </w:r>
          </w:p>
        </w:tc>
        <w:tc>
          <w:tcPr>
            <w:tcW w:type="dxa" w:w="1274"/>
            <w:tcBorders>
              <w:top w:color="000000" w:sz="4" w:val="single"/>
              <w:left w:color="000000" w:sz="4" w:val="single"/>
              <w:bottom w:color="000000" w:sz="4" w:val="single"/>
              <w:right w:color="000000" w:sz="4" w:val="single"/>
            </w:tcBorders>
            <w:shd w:fill="FFFFFF" w:val="clear"/>
            <w:vAlign w:val="center"/>
          </w:tcPr>
          <w:p w14:paraId="DE220000">
            <w:pPr>
              <w:widowControl w:val="1"/>
              <w:ind/>
              <w:contextualSpacing w:val="1"/>
              <w:jc w:val="center"/>
              <w:rPr>
                <w:sz w:val="22"/>
              </w:rPr>
            </w:pPr>
            <w:r>
              <w:rPr>
                <w:sz w:val="22"/>
              </w:rPr>
              <w:t>03.10.2018-10.10.2018</w:t>
            </w:r>
          </w:p>
        </w:tc>
        <w:tc>
          <w:tcPr>
            <w:tcW w:type="dxa" w:w="1556"/>
            <w:tcBorders>
              <w:top w:color="000000" w:sz="4" w:val="single"/>
              <w:left w:color="000000" w:sz="4" w:val="single"/>
              <w:bottom w:color="000000" w:sz="4" w:val="single"/>
              <w:right w:color="000000" w:sz="4" w:val="single"/>
            </w:tcBorders>
            <w:shd w:fill="FFFFFF" w:val="clear"/>
            <w:vAlign w:val="center"/>
          </w:tcPr>
          <w:p w14:paraId="DF220000">
            <w:pPr>
              <w:widowControl w:val="1"/>
              <w:ind/>
              <w:contextualSpacing w:val="1"/>
              <w:jc w:val="center"/>
              <w:rPr>
                <w:sz w:val="22"/>
              </w:rPr>
            </w:pPr>
            <w:r>
              <w:rPr>
                <w:sz w:val="22"/>
              </w:rPr>
              <w:t>оказание услуг по обучению по программе повышения квалификации "Оценка корпоративных компетенций руководителя"</w:t>
            </w:r>
          </w:p>
        </w:tc>
        <w:tc>
          <w:tcPr>
            <w:tcW w:type="dxa" w:w="1194"/>
            <w:tcBorders>
              <w:top w:color="000000" w:sz="4" w:val="single"/>
              <w:left w:color="000000" w:sz="4" w:val="single"/>
              <w:bottom w:color="000000" w:sz="4" w:val="single"/>
              <w:right w:color="000000" w:sz="4" w:val="single"/>
            </w:tcBorders>
            <w:shd w:fill="FFFFFF" w:val="clear"/>
            <w:vAlign w:val="center"/>
          </w:tcPr>
          <w:p w14:paraId="E0220000">
            <w:pPr>
              <w:widowControl w:val="1"/>
              <w:ind/>
              <w:contextualSpacing w:val="1"/>
              <w:jc w:val="center"/>
              <w:rPr>
                <w:sz w:val="22"/>
              </w:rPr>
            </w:pPr>
            <w:r>
              <w:rPr>
                <w:sz w:val="22"/>
              </w:rPr>
              <w:t>27000</w:t>
            </w:r>
          </w:p>
        </w:tc>
        <w:tc>
          <w:tcPr>
            <w:tcW w:type="dxa" w:w="1221"/>
            <w:tcBorders>
              <w:top w:color="000000" w:sz="4" w:val="single"/>
              <w:left w:color="000000" w:sz="4" w:val="single"/>
              <w:bottom w:color="000000" w:sz="4" w:val="single"/>
              <w:right w:color="000000" w:sz="4" w:val="single"/>
            </w:tcBorders>
            <w:shd w:fill="FFFFFF" w:val="clear"/>
            <w:vAlign w:val="center"/>
          </w:tcPr>
          <w:p w14:paraId="E1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2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3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4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E5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E6220000">
            <w:pPr>
              <w:widowControl w:val="1"/>
              <w:ind/>
              <w:contextualSpacing w:val="1"/>
              <w:jc w:val="center"/>
              <w:rPr>
                <w:sz w:val="22"/>
              </w:rPr>
            </w:pPr>
            <w:r>
              <w:rPr>
                <w:sz w:val="22"/>
              </w:rPr>
              <w:t>Размещение заказа у единственного поставщика, согласно пп. 8 п. 81  положения утвержденного СД 30.04.2015г. Протокол № 13</w:t>
            </w:r>
          </w:p>
        </w:tc>
      </w:tr>
      <w:tr>
        <w:trPr>
          <w:trHeight w:hRule="atLeast" w:val="631"/>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E7220000">
            <w:pPr>
              <w:widowControl w:val="1"/>
              <w:ind/>
              <w:contextualSpacing w:val="1"/>
              <w:jc w:val="center"/>
              <w:rPr>
                <w:color w:val="000000"/>
                <w:sz w:val="22"/>
              </w:rPr>
            </w:pPr>
            <w:r>
              <w:rPr>
                <w:color w:val="000000"/>
                <w:sz w:val="22"/>
              </w:rPr>
              <w:t>Итого по контрагенту АНО ДПО "Корпоративный университет РЖД" 46000 руб.</w:t>
            </w:r>
          </w:p>
          <w:p w14:paraId="E822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E9220000">
            <w:pPr>
              <w:widowControl w:val="1"/>
              <w:ind/>
              <w:contextualSpacing w:val="1"/>
              <w:rPr>
                <w:color w:val="000000"/>
                <w:sz w:val="22"/>
              </w:rPr>
            </w:pPr>
            <w:r>
              <w:rPr>
                <w:color w:val="000000"/>
                <w:sz w:val="22"/>
              </w:rPr>
              <w:t>158</w:t>
            </w:r>
          </w:p>
        </w:tc>
        <w:tc>
          <w:tcPr>
            <w:tcW w:type="dxa" w:w="1408"/>
            <w:tcBorders>
              <w:top w:color="000000" w:sz="4" w:val="single"/>
              <w:left w:color="000000" w:sz="4" w:val="single"/>
              <w:bottom w:color="000000" w:sz="4" w:val="single"/>
              <w:right w:color="000000" w:sz="4" w:val="single"/>
            </w:tcBorders>
            <w:shd w:fill="FFFFFF" w:val="clear"/>
            <w:vAlign w:val="center"/>
          </w:tcPr>
          <w:p w14:paraId="EA220000">
            <w:pPr>
              <w:widowControl w:val="1"/>
              <w:ind/>
              <w:contextualSpacing w:val="1"/>
              <w:jc w:val="center"/>
              <w:rPr>
                <w:sz w:val="22"/>
              </w:rPr>
            </w:pPr>
            <w:r>
              <w:rPr>
                <w:sz w:val="22"/>
              </w:rPr>
              <w:t>ЗАО "Полиграф защита"</w:t>
            </w:r>
          </w:p>
        </w:tc>
        <w:tc>
          <w:tcPr>
            <w:tcW w:type="dxa" w:w="1408"/>
            <w:tcBorders>
              <w:top w:color="000000" w:sz="4" w:val="single"/>
              <w:left w:color="000000" w:sz="4" w:val="single"/>
              <w:bottom w:color="000000" w:sz="4" w:val="single"/>
              <w:right w:color="000000" w:sz="4" w:val="single"/>
            </w:tcBorders>
            <w:shd w:fill="FFFFFF" w:val="clear"/>
            <w:vAlign w:val="center"/>
          </w:tcPr>
          <w:p w14:paraId="EB220000">
            <w:pPr>
              <w:widowControl w:val="1"/>
              <w:ind/>
              <w:contextualSpacing w:val="1"/>
              <w:jc w:val="center"/>
              <w:rPr>
                <w:sz w:val="22"/>
              </w:rPr>
            </w:pPr>
            <w:r>
              <w:rPr>
                <w:sz w:val="22"/>
              </w:rPr>
              <w:t>договор № 71 от 03.05.2018</w:t>
            </w:r>
          </w:p>
        </w:tc>
        <w:tc>
          <w:tcPr>
            <w:tcW w:type="dxa" w:w="1274"/>
            <w:tcBorders>
              <w:top w:color="000000" w:sz="4" w:val="single"/>
              <w:left w:color="000000" w:sz="4" w:val="single"/>
              <w:bottom w:color="000000" w:sz="4" w:val="single"/>
              <w:right w:color="000000" w:sz="4" w:val="single"/>
            </w:tcBorders>
            <w:shd w:fill="FFFFFF" w:val="clear"/>
            <w:vAlign w:val="center"/>
          </w:tcPr>
          <w:p w14:paraId="EC220000">
            <w:pPr>
              <w:widowControl w:val="1"/>
              <w:ind/>
              <w:contextualSpacing w:val="1"/>
              <w:jc w:val="center"/>
              <w:rPr>
                <w:sz w:val="22"/>
              </w:rPr>
            </w:pPr>
            <w:r>
              <w:rPr>
                <w:sz w:val="22"/>
              </w:rPr>
              <w:t>03.05.2018-31.12.2018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ED220000">
            <w:pPr>
              <w:widowControl w:val="1"/>
              <w:ind/>
              <w:contextualSpacing w:val="1"/>
              <w:jc w:val="center"/>
              <w:rPr>
                <w:sz w:val="22"/>
              </w:rPr>
            </w:pPr>
            <w:r>
              <w:rPr>
                <w:sz w:val="22"/>
              </w:rPr>
              <w:t>поставка бланков строгого учета</w:t>
            </w:r>
          </w:p>
        </w:tc>
        <w:tc>
          <w:tcPr>
            <w:tcW w:type="dxa" w:w="1194"/>
            <w:tcBorders>
              <w:top w:color="000000" w:sz="4" w:val="single"/>
              <w:left w:color="000000" w:sz="4" w:val="single"/>
              <w:bottom w:color="000000" w:sz="4" w:val="single"/>
              <w:right w:color="000000" w:sz="4" w:val="single"/>
            </w:tcBorders>
            <w:shd w:fill="FFFFFF" w:val="clear"/>
            <w:vAlign w:val="center"/>
          </w:tcPr>
          <w:p w14:paraId="EE220000">
            <w:pPr>
              <w:widowControl w:val="1"/>
              <w:ind/>
              <w:contextualSpacing w:val="1"/>
              <w:jc w:val="center"/>
              <w:rPr>
                <w:sz w:val="22"/>
              </w:rPr>
            </w:pPr>
            <w:r>
              <w:rPr>
                <w:sz w:val="22"/>
              </w:rPr>
              <w:t>104600</w:t>
            </w:r>
          </w:p>
        </w:tc>
        <w:tc>
          <w:tcPr>
            <w:tcW w:type="dxa" w:w="1221"/>
            <w:tcBorders>
              <w:top w:color="000000" w:sz="4" w:val="single"/>
              <w:left w:color="000000" w:sz="4" w:val="single"/>
              <w:bottom w:color="000000" w:sz="4" w:val="single"/>
              <w:right w:color="000000" w:sz="4" w:val="single"/>
            </w:tcBorders>
            <w:shd w:fill="FFFFFF" w:val="clear"/>
            <w:vAlign w:val="center"/>
          </w:tcPr>
          <w:p w14:paraId="EF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0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1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2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F3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F4220000">
            <w:pPr>
              <w:widowControl w:val="1"/>
              <w:ind/>
              <w:contextualSpacing w:val="1"/>
              <w:jc w:val="center"/>
              <w:rPr>
                <w:sz w:val="22"/>
              </w:rPr>
            </w:pPr>
            <w:r>
              <w:rPr>
                <w:sz w:val="22"/>
              </w:rPr>
              <w:t>Размещение заказа у единственного поставщика, согласно пп.28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F5220000">
            <w:pPr>
              <w:widowControl w:val="1"/>
              <w:ind/>
              <w:contextualSpacing w:val="1"/>
              <w:rPr>
                <w:color w:val="000000"/>
                <w:sz w:val="22"/>
              </w:rPr>
            </w:pPr>
            <w:r>
              <w:rPr>
                <w:color w:val="000000"/>
                <w:sz w:val="22"/>
              </w:rPr>
              <w:t>159</w:t>
            </w:r>
          </w:p>
        </w:tc>
        <w:tc>
          <w:tcPr>
            <w:tcW w:type="dxa" w:w="1408"/>
            <w:tcBorders>
              <w:top w:color="000000" w:sz="4" w:val="single"/>
              <w:left w:color="000000" w:sz="4" w:val="single"/>
              <w:bottom w:color="000000" w:sz="4" w:val="single"/>
              <w:right w:color="000000" w:sz="4" w:val="single"/>
            </w:tcBorders>
            <w:shd w:fill="FFFFFF" w:val="clear"/>
            <w:vAlign w:val="center"/>
          </w:tcPr>
          <w:p w14:paraId="F6220000">
            <w:pPr>
              <w:widowControl w:val="1"/>
              <w:ind/>
              <w:contextualSpacing w:val="1"/>
              <w:jc w:val="center"/>
              <w:rPr>
                <w:sz w:val="22"/>
              </w:rPr>
            </w:pPr>
            <w:r>
              <w:rPr>
                <w:sz w:val="22"/>
              </w:rPr>
              <w:t>ЗАО "Полиграф защита"</w:t>
            </w:r>
          </w:p>
        </w:tc>
        <w:tc>
          <w:tcPr>
            <w:tcW w:type="dxa" w:w="1408"/>
            <w:tcBorders>
              <w:top w:color="000000" w:sz="4" w:val="single"/>
              <w:left w:color="000000" w:sz="4" w:val="single"/>
              <w:bottom w:color="000000" w:sz="4" w:val="single"/>
              <w:right w:color="000000" w:sz="4" w:val="single"/>
            </w:tcBorders>
            <w:shd w:fill="FFFFFF" w:val="clear"/>
            <w:vAlign w:val="center"/>
          </w:tcPr>
          <w:p w14:paraId="F7220000">
            <w:pPr>
              <w:widowControl w:val="1"/>
              <w:ind/>
              <w:contextualSpacing w:val="1"/>
              <w:jc w:val="center"/>
              <w:rPr>
                <w:sz w:val="22"/>
              </w:rPr>
            </w:pPr>
            <w:r>
              <w:rPr>
                <w:sz w:val="22"/>
              </w:rPr>
              <w:t>договор № 101 от 20.09.2018</w:t>
            </w:r>
          </w:p>
        </w:tc>
        <w:tc>
          <w:tcPr>
            <w:tcW w:type="dxa" w:w="1274"/>
            <w:tcBorders>
              <w:top w:color="000000" w:sz="4" w:val="single"/>
              <w:left w:color="000000" w:sz="4" w:val="single"/>
              <w:bottom w:color="000000" w:sz="4" w:val="single"/>
              <w:right w:color="000000" w:sz="4" w:val="single"/>
            </w:tcBorders>
            <w:shd w:fill="FFFFFF" w:val="clear"/>
            <w:vAlign w:val="center"/>
          </w:tcPr>
          <w:p w14:paraId="F8220000">
            <w:pPr>
              <w:widowControl w:val="1"/>
              <w:ind/>
              <w:contextualSpacing w:val="1"/>
              <w:jc w:val="center"/>
              <w:rPr>
                <w:sz w:val="22"/>
              </w:rPr>
            </w:pPr>
            <w:r>
              <w:rPr>
                <w:sz w:val="22"/>
              </w:rPr>
              <w:t>20.09.2018-31.12.2018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F9220000">
            <w:pPr>
              <w:widowControl w:val="1"/>
              <w:ind/>
              <w:contextualSpacing w:val="1"/>
              <w:jc w:val="center"/>
              <w:rPr>
                <w:sz w:val="22"/>
              </w:rPr>
            </w:pPr>
            <w:r>
              <w:rPr>
                <w:sz w:val="22"/>
              </w:rPr>
              <w:t>поставка бланков строгого учета</w:t>
            </w:r>
          </w:p>
        </w:tc>
        <w:tc>
          <w:tcPr>
            <w:tcW w:type="dxa" w:w="1194"/>
            <w:tcBorders>
              <w:top w:color="000000" w:sz="4" w:val="single"/>
              <w:left w:color="000000" w:sz="4" w:val="single"/>
              <w:bottom w:color="000000" w:sz="4" w:val="single"/>
              <w:right w:color="000000" w:sz="4" w:val="single"/>
            </w:tcBorders>
            <w:shd w:fill="FFFFFF" w:val="clear"/>
            <w:vAlign w:val="center"/>
          </w:tcPr>
          <w:p w14:paraId="FA220000">
            <w:pPr>
              <w:widowControl w:val="1"/>
              <w:ind/>
              <w:contextualSpacing w:val="1"/>
              <w:jc w:val="center"/>
              <w:rPr>
                <w:sz w:val="22"/>
              </w:rPr>
            </w:pPr>
            <w:r>
              <w:rPr>
                <w:sz w:val="22"/>
              </w:rPr>
              <w:t>86900</w:t>
            </w:r>
          </w:p>
        </w:tc>
        <w:tc>
          <w:tcPr>
            <w:tcW w:type="dxa" w:w="1221"/>
            <w:tcBorders>
              <w:top w:color="000000" w:sz="4" w:val="single"/>
              <w:left w:color="000000" w:sz="4" w:val="single"/>
              <w:bottom w:color="000000" w:sz="4" w:val="single"/>
              <w:right w:color="000000" w:sz="4" w:val="single"/>
            </w:tcBorders>
            <w:shd w:fill="FFFFFF" w:val="clear"/>
            <w:vAlign w:val="center"/>
          </w:tcPr>
          <w:p w14:paraId="FB22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C22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D22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E22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FF22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023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01230000">
            <w:pPr>
              <w:widowControl w:val="1"/>
              <w:ind/>
              <w:contextualSpacing w:val="1"/>
              <w:jc w:val="center"/>
              <w:rPr>
                <w:color w:val="000000"/>
                <w:sz w:val="22"/>
              </w:rPr>
            </w:pPr>
            <w:r>
              <w:rPr>
                <w:color w:val="000000"/>
                <w:sz w:val="22"/>
              </w:rPr>
              <w:t>итого по контрагенту ЗАО "Полиграф защита" 191500 руб.</w:t>
            </w:r>
          </w:p>
          <w:p w14:paraId="02230000">
            <w:pPr>
              <w:widowControl w:val="1"/>
              <w:ind/>
              <w:contextualSpacing w:val="1"/>
              <w:jc w:val="center"/>
              <w:rPr>
                <w:color w:val="000000"/>
                <w:sz w:val="22"/>
              </w:rPr>
            </w:pPr>
          </w:p>
        </w:tc>
      </w:tr>
      <w:tr>
        <w:trPr>
          <w:trHeight w:hRule="atLeast" w:val="1440"/>
        </w:trPr>
        <w:tc>
          <w:tcPr>
            <w:tcW w:type="dxa" w:w="528"/>
            <w:tcBorders>
              <w:top w:color="000000" w:sz="4" w:val="single"/>
              <w:left w:color="000000" w:sz="4" w:val="single"/>
              <w:bottom w:color="000000" w:sz="4" w:val="single"/>
              <w:right w:color="000000" w:sz="4" w:val="single"/>
            </w:tcBorders>
            <w:shd w:fill="FFFFFF" w:val="clear"/>
            <w:vAlign w:val="center"/>
          </w:tcPr>
          <w:p w14:paraId="03230000">
            <w:pPr>
              <w:widowControl w:val="1"/>
              <w:ind/>
              <w:contextualSpacing w:val="1"/>
              <w:rPr>
                <w:color w:val="000000"/>
                <w:sz w:val="22"/>
              </w:rPr>
            </w:pPr>
            <w:r>
              <w:rPr>
                <w:color w:val="000000"/>
                <w:sz w:val="22"/>
              </w:rPr>
              <w:t>160</w:t>
            </w:r>
          </w:p>
        </w:tc>
        <w:tc>
          <w:tcPr>
            <w:tcW w:type="dxa" w:w="1408"/>
            <w:tcBorders>
              <w:top w:color="000000" w:sz="4" w:val="single"/>
              <w:left w:color="000000" w:sz="4" w:val="single"/>
              <w:bottom w:color="000000" w:sz="4" w:val="single"/>
              <w:right w:color="000000" w:sz="4" w:val="single"/>
            </w:tcBorders>
            <w:shd w:fill="FFFFFF" w:val="clear"/>
            <w:vAlign w:val="center"/>
          </w:tcPr>
          <w:p w14:paraId="04230000">
            <w:pPr>
              <w:widowControl w:val="1"/>
              <w:ind/>
              <w:contextualSpacing w:val="1"/>
              <w:jc w:val="center"/>
              <w:rPr>
                <w:sz w:val="22"/>
              </w:rPr>
            </w:pPr>
            <w:r>
              <w:rPr>
                <w:sz w:val="22"/>
              </w:rPr>
              <w:t>АО "Энергетические системы и коммуникации"</w:t>
            </w:r>
          </w:p>
        </w:tc>
        <w:tc>
          <w:tcPr>
            <w:tcW w:type="dxa" w:w="1408"/>
            <w:tcBorders>
              <w:top w:color="000000" w:sz="4" w:val="single"/>
              <w:left w:color="000000" w:sz="4" w:val="single"/>
              <w:bottom w:color="000000" w:sz="4" w:val="single"/>
              <w:right w:color="000000" w:sz="4" w:val="single"/>
            </w:tcBorders>
            <w:shd w:fill="FFFFFF" w:val="clear"/>
            <w:vAlign w:val="center"/>
          </w:tcPr>
          <w:p w14:paraId="05230000">
            <w:pPr>
              <w:widowControl w:val="1"/>
              <w:ind/>
              <w:contextualSpacing w:val="1"/>
              <w:jc w:val="center"/>
              <w:rPr>
                <w:sz w:val="22"/>
              </w:rPr>
            </w:pPr>
            <w:r>
              <w:rPr>
                <w:sz w:val="22"/>
              </w:rPr>
              <w:t>договор № 73 от 31.05.2018</w:t>
            </w:r>
          </w:p>
        </w:tc>
        <w:tc>
          <w:tcPr>
            <w:tcW w:type="dxa" w:w="1274"/>
            <w:tcBorders>
              <w:top w:color="000000" w:sz="4" w:val="single"/>
              <w:left w:color="000000" w:sz="4" w:val="single"/>
              <w:bottom w:color="000000" w:sz="4" w:val="single"/>
              <w:right w:color="000000" w:sz="4" w:val="single"/>
            </w:tcBorders>
            <w:shd w:fill="FFFFFF" w:val="clear"/>
            <w:vAlign w:val="center"/>
          </w:tcPr>
          <w:p w14:paraId="06230000">
            <w:pPr>
              <w:widowControl w:val="1"/>
              <w:ind/>
              <w:contextualSpacing w:val="1"/>
              <w:jc w:val="center"/>
              <w:rPr>
                <w:sz w:val="22"/>
              </w:rPr>
            </w:pPr>
            <w:r>
              <w:rPr>
                <w:sz w:val="22"/>
              </w:rPr>
              <w:t>31.05.2018-14.06.2019</w:t>
            </w:r>
          </w:p>
        </w:tc>
        <w:tc>
          <w:tcPr>
            <w:tcW w:type="dxa" w:w="1556"/>
            <w:tcBorders>
              <w:top w:color="000000" w:sz="4" w:val="single"/>
              <w:left w:color="000000" w:sz="4" w:val="single"/>
              <w:bottom w:color="000000" w:sz="4" w:val="single"/>
              <w:right w:color="000000" w:sz="4" w:val="single"/>
            </w:tcBorders>
            <w:shd w:fill="FFFFFF" w:val="clear"/>
            <w:vAlign w:val="center"/>
          </w:tcPr>
          <w:p w14:paraId="07230000">
            <w:pPr>
              <w:widowControl w:val="1"/>
              <w:ind/>
              <w:contextualSpacing w:val="1"/>
              <w:jc w:val="center"/>
              <w:rPr>
                <w:sz w:val="22"/>
              </w:rPr>
            </w:pPr>
            <w:r>
              <w:rPr>
                <w:sz w:val="22"/>
              </w:rPr>
              <w:t>оказание услуг оператора фискальных данных</w:t>
            </w:r>
          </w:p>
        </w:tc>
        <w:tc>
          <w:tcPr>
            <w:tcW w:type="dxa" w:w="1194"/>
            <w:tcBorders>
              <w:top w:color="000000" w:sz="4" w:val="single"/>
              <w:left w:color="000000" w:sz="4" w:val="single"/>
              <w:bottom w:color="000000" w:sz="4" w:val="single"/>
              <w:right w:color="000000" w:sz="4" w:val="single"/>
            </w:tcBorders>
            <w:shd w:fill="FFFFFF" w:val="clear"/>
            <w:vAlign w:val="center"/>
          </w:tcPr>
          <w:p w14:paraId="08230000">
            <w:pPr>
              <w:widowControl w:val="1"/>
              <w:ind/>
              <w:contextualSpacing w:val="1"/>
              <w:jc w:val="center"/>
              <w:rPr>
                <w:sz w:val="22"/>
              </w:rPr>
            </w:pPr>
            <w:r>
              <w:rPr>
                <w:sz w:val="22"/>
              </w:rPr>
              <w:t>171150</w:t>
            </w:r>
          </w:p>
        </w:tc>
        <w:tc>
          <w:tcPr>
            <w:tcW w:type="dxa" w:w="1221"/>
            <w:tcBorders>
              <w:top w:color="000000" w:sz="4" w:val="single"/>
              <w:left w:color="000000" w:sz="4" w:val="single"/>
              <w:bottom w:color="000000" w:sz="4" w:val="single"/>
              <w:right w:color="000000" w:sz="4" w:val="single"/>
            </w:tcBorders>
            <w:shd w:fill="FFFFFF" w:val="clear"/>
            <w:vAlign w:val="center"/>
          </w:tcPr>
          <w:p w14:paraId="09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A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B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0C23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0D23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E230000">
            <w:pPr>
              <w:widowControl w:val="1"/>
              <w:ind/>
              <w:contextualSpacing w:val="1"/>
              <w:jc w:val="center"/>
              <w:rPr>
                <w:sz w:val="22"/>
              </w:rPr>
            </w:pPr>
            <w:r>
              <w:rPr>
                <w:sz w:val="22"/>
              </w:rPr>
              <w:t>Размещение заказа у единственного поставщика, согласно пп. 7 п. 81  положения утвержденного СД 30.04.2015г. Протокол № 13</w:t>
            </w:r>
          </w:p>
        </w:tc>
      </w:tr>
      <w:tr>
        <w:trPr>
          <w:trHeight w:hRule="atLeast" w:val="1440"/>
        </w:trPr>
        <w:tc>
          <w:tcPr>
            <w:tcW w:type="dxa" w:w="528"/>
            <w:tcBorders>
              <w:top w:color="000000" w:sz="4" w:val="single"/>
              <w:left w:color="000000" w:sz="4" w:val="single"/>
              <w:bottom w:color="000000" w:sz="4" w:val="single"/>
              <w:right w:color="000000" w:sz="4" w:val="single"/>
            </w:tcBorders>
            <w:shd w:fill="FFFFFF" w:val="clear"/>
            <w:vAlign w:val="center"/>
          </w:tcPr>
          <w:p w14:paraId="0F230000">
            <w:pPr>
              <w:widowControl w:val="1"/>
              <w:ind/>
              <w:contextualSpacing w:val="1"/>
              <w:rPr>
                <w:color w:val="000000"/>
                <w:sz w:val="22"/>
              </w:rPr>
            </w:pPr>
            <w:r>
              <w:rPr>
                <w:color w:val="000000"/>
                <w:sz w:val="22"/>
              </w:rPr>
              <w:t>161</w:t>
            </w:r>
          </w:p>
        </w:tc>
        <w:tc>
          <w:tcPr>
            <w:tcW w:type="dxa" w:w="1408"/>
            <w:tcBorders>
              <w:top w:color="000000" w:sz="4" w:val="single"/>
              <w:left w:color="000000" w:sz="4" w:val="single"/>
              <w:bottom w:color="000000" w:sz="4" w:val="single"/>
              <w:right w:color="000000" w:sz="4" w:val="single"/>
            </w:tcBorders>
            <w:shd w:fill="FFFFFF" w:val="clear"/>
            <w:vAlign w:val="center"/>
          </w:tcPr>
          <w:p w14:paraId="10230000">
            <w:pPr>
              <w:widowControl w:val="1"/>
              <w:ind/>
              <w:contextualSpacing w:val="1"/>
              <w:jc w:val="center"/>
              <w:rPr>
                <w:sz w:val="22"/>
              </w:rPr>
            </w:pPr>
            <w:r>
              <w:rPr>
                <w:sz w:val="22"/>
              </w:rPr>
              <w:t>АО "Энергетические системы и коммуникации"</w:t>
            </w:r>
          </w:p>
        </w:tc>
        <w:tc>
          <w:tcPr>
            <w:tcW w:type="dxa" w:w="1408"/>
            <w:tcBorders>
              <w:top w:color="000000" w:sz="4" w:val="single"/>
              <w:left w:color="000000" w:sz="4" w:val="single"/>
              <w:bottom w:color="000000" w:sz="4" w:val="single"/>
              <w:right w:color="000000" w:sz="4" w:val="single"/>
            </w:tcBorders>
            <w:shd w:fill="FFFFFF" w:val="clear"/>
            <w:vAlign w:val="center"/>
          </w:tcPr>
          <w:p w14:paraId="11230000">
            <w:pPr>
              <w:widowControl w:val="1"/>
              <w:ind/>
              <w:contextualSpacing w:val="1"/>
              <w:jc w:val="center"/>
              <w:rPr>
                <w:sz w:val="22"/>
              </w:rPr>
            </w:pPr>
            <w:r>
              <w:rPr>
                <w:sz w:val="22"/>
              </w:rPr>
              <w:t>дополнительное соглашение № 1 к договору № 73 от 31.05.2018г. От 29.12.2018</w:t>
            </w:r>
          </w:p>
        </w:tc>
        <w:tc>
          <w:tcPr>
            <w:tcW w:type="dxa" w:w="1274"/>
            <w:tcBorders>
              <w:top w:color="000000" w:sz="4" w:val="single"/>
              <w:left w:color="000000" w:sz="4" w:val="single"/>
              <w:bottom w:color="000000" w:sz="4" w:val="single"/>
              <w:right w:color="000000" w:sz="4" w:val="single"/>
            </w:tcBorders>
            <w:shd w:fill="FFFFFF" w:val="clear"/>
            <w:vAlign w:val="center"/>
          </w:tcPr>
          <w:p w14:paraId="12230000">
            <w:pPr>
              <w:widowControl w:val="1"/>
              <w:ind/>
              <w:contextualSpacing w:val="1"/>
              <w:jc w:val="center"/>
              <w:rPr>
                <w:sz w:val="22"/>
              </w:rPr>
            </w:pPr>
            <w:r>
              <w:rPr>
                <w:sz w:val="22"/>
              </w:rPr>
              <w:t>01.01.2019-14.06.2019</w:t>
            </w:r>
          </w:p>
        </w:tc>
        <w:tc>
          <w:tcPr>
            <w:tcW w:type="dxa" w:w="1556"/>
            <w:tcBorders>
              <w:top w:color="000000" w:sz="4" w:val="single"/>
              <w:left w:color="000000" w:sz="4" w:val="single"/>
              <w:bottom w:color="000000" w:sz="4" w:val="single"/>
              <w:right w:color="000000" w:sz="4" w:val="single"/>
            </w:tcBorders>
            <w:shd w:fill="FFFFFF" w:val="clear"/>
            <w:vAlign w:val="center"/>
          </w:tcPr>
          <w:p w14:paraId="13230000">
            <w:pPr>
              <w:widowControl w:val="1"/>
              <w:ind/>
              <w:contextualSpacing w:val="1"/>
              <w:jc w:val="center"/>
              <w:rPr>
                <w:sz w:val="22"/>
              </w:rPr>
            </w:pPr>
            <w:r>
              <w:rPr>
                <w:sz w:val="22"/>
              </w:rPr>
              <w:t>изменение предельной цены договора в связи с изменением ставки НДС</w:t>
            </w:r>
          </w:p>
        </w:tc>
        <w:tc>
          <w:tcPr>
            <w:tcW w:type="dxa" w:w="1194"/>
            <w:tcBorders>
              <w:top w:color="000000" w:sz="4" w:val="single"/>
              <w:left w:color="000000" w:sz="4" w:val="single"/>
              <w:bottom w:color="000000" w:sz="4" w:val="single"/>
              <w:right w:color="000000" w:sz="4" w:val="single"/>
            </w:tcBorders>
            <w:shd w:fill="FFFFFF" w:val="clear"/>
            <w:vAlign w:val="center"/>
          </w:tcPr>
          <w:p w14:paraId="14230000">
            <w:pPr>
              <w:widowControl w:val="1"/>
              <w:ind/>
              <w:contextualSpacing w:val="1"/>
              <w:jc w:val="center"/>
              <w:rPr>
                <w:sz w:val="22"/>
              </w:rPr>
            </w:pPr>
            <w:r>
              <w:rPr>
                <w:sz w:val="22"/>
              </w:rPr>
              <w:t>170174,48</w:t>
            </w:r>
          </w:p>
        </w:tc>
        <w:tc>
          <w:tcPr>
            <w:tcW w:type="dxa" w:w="1221"/>
            <w:tcBorders>
              <w:top w:color="000000" w:sz="4" w:val="single"/>
              <w:left w:color="000000" w:sz="4" w:val="single"/>
              <w:bottom w:color="000000" w:sz="4" w:val="single"/>
              <w:right w:color="000000" w:sz="4" w:val="single"/>
            </w:tcBorders>
            <w:shd w:fill="FFFFFF" w:val="clear"/>
            <w:vAlign w:val="center"/>
          </w:tcPr>
          <w:p w14:paraId="15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6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7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823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1923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1A230000">
            <w:pPr>
              <w:widowControl w:val="1"/>
              <w:ind/>
              <w:contextualSpacing w:val="1"/>
              <w:jc w:val="center"/>
              <w:rPr>
                <w:sz w:val="22"/>
              </w:rPr>
            </w:pPr>
            <w:r>
              <w:rPr>
                <w:sz w:val="22"/>
              </w:rPr>
              <w:t>Размещение заказа у единственного поставщика, согласно пп. 7 п. 81  положения утвержденного СД 30.04.2015г. Протокол № 13</w:t>
            </w:r>
          </w:p>
        </w:tc>
      </w:tr>
      <w:tr>
        <w:trPr>
          <w:trHeight w:hRule="atLeast" w:val="63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1B230000">
            <w:pPr>
              <w:widowControl w:val="1"/>
              <w:ind/>
              <w:contextualSpacing w:val="1"/>
              <w:jc w:val="center"/>
              <w:rPr>
                <w:color w:val="000000"/>
                <w:sz w:val="22"/>
              </w:rPr>
            </w:pPr>
            <w:r>
              <w:rPr>
                <w:color w:val="000000"/>
                <w:sz w:val="22"/>
              </w:rPr>
              <w:t>Итого по контрагенту АО "Энергетические системы и коммуникации" 170174,48 руб.</w:t>
            </w:r>
          </w:p>
          <w:p w14:paraId="1C230000">
            <w:pPr>
              <w:widowControl w:val="1"/>
              <w:ind/>
              <w:contextualSpacing w:val="1"/>
              <w:jc w:val="center"/>
              <w:rPr>
                <w:sz w:val="22"/>
              </w:rPr>
            </w:pP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1D230000">
            <w:pPr>
              <w:widowControl w:val="1"/>
              <w:ind/>
              <w:contextualSpacing w:val="1"/>
              <w:rPr>
                <w:color w:val="000000"/>
                <w:sz w:val="22"/>
              </w:rPr>
            </w:pPr>
            <w:r>
              <w:rPr>
                <w:color w:val="000000"/>
                <w:sz w:val="22"/>
              </w:rPr>
              <w:t>162</w:t>
            </w:r>
          </w:p>
        </w:tc>
        <w:tc>
          <w:tcPr>
            <w:tcW w:type="dxa" w:w="1408"/>
            <w:tcBorders>
              <w:top w:color="000000" w:sz="4" w:val="single"/>
              <w:left w:color="000000" w:sz="4" w:val="single"/>
              <w:bottom w:color="000000" w:sz="4" w:val="single"/>
              <w:right w:color="000000" w:sz="4" w:val="single"/>
            </w:tcBorders>
            <w:shd w:fill="FFFFFF" w:val="clear"/>
            <w:vAlign w:val="center"/>
          </w:tcPr>
          <w:p w14:paraId="1E230000">
            <w:pPr>
              <w:widowControl w:val="1"/>
              <w:ind/>
              <w:contextualSpacing w:val="1"/>
              <w:jc w:val="center"/>
              <w:rPr>
                <w:sz w:val="22"/>
              </w:rPr>
            </w:pPr>
            <w:r>
              <w:rPr>
                <w:sz w:val="22"/>
              </w:rPr>
              <w:t>ГП КК "Центр транспортной логистики"</w:t>
            </w:r>
          </w:p>
        </w:tc>
        <w:tc>
          <w:tcPr>
            <w:tcW w:type="dxa" w:w="1408"/>
            <w:tcBorders>
              <w:top w:color="000000" w:sz="4" w:val="single"/>
              <w:left w:color="000000" w:sz="4" w:val="single"/>
              <w:bottom w:color="000000" w:sz="4" w:val="single"/>
              <w:right w:color="000000" w:sz="4" w:val="single"/>
            </w:tcBorders>
            <w:shd w:fill="FFFFFF" w:val="clear"/>
            <w:vAlign w:val="center"/>
          </w:tcPr>
          <w:p w14:paraId="1F230000">
            <w:pPr>
              <w:widowControl w:val="1"/>
              <w:ind/>
              <w:contextualSpacing w:val="1"/>
              <w:jc w:val="center"/>
              <w:rPr>
                <w:sz w:val="22"/>
              </w:rPr>
            </w:pPr>
            <w:r>
              <w:rPr>
                <w:sz w:val="22"/>
              </w:rPr>
              <w:t>дополнительное соглашение № 5 к договору № 162 от 17.12.2014 от 29.06.2018</w:t>
            </w:r>
          </w:p>
        </w:tc>
        <w:tc>
          <w:tcPr>
            <w:tcW w:type="dxa" w:w="1274"/>
            <w:tcBorders>
              <w:top w:color="000000" w:sz="4" w:val="single"/>
              <w:left w:color="000000" w:sz="4" w:val="single"/>
              <w:bottom w:color="000000" w:sz="4" w:val="single"/>
              <w:right w:color="000000" w:sz="4" w:val="single"/>
            </w:tcBorders>
            <w:shd w:fill="FFFFFF" w:val="clear"/>
            <w:vAlign w:val="center"/>
          </w:tcPr>
          <w:p w14:paraId="20230000">
            <w:pPr>
              <w:widowControl w:val="1"/>
              <w:ind/>
              <w:contextualSpacing w:val="1"/>
              <w:jc w:val="center"/>
              <w:rPr>
                <w:sz w:val="22"/>
              </w:rPr>
            </w:pPr>
            <w:r>
              <w:rPr>
                <w:sz w:val="22"/>
              </w:rPr>
              <w:t>01.07.2014-30.06.2019</w:t>
            </w:r>
          </w:p>
        </w:tc>
        <w:tc>
          <w:tcPr>
            <w:tcW w:type="dxa" w:w="1556"/>
            <w:tcBorders>
              <w:top w:color="000000" w:sz="4" w:val="single"/>
              <w:left w:color="000000" w:sz="4" w:val="single"/>
              <w:bottom w:color="000000" w:sz="4" w:val="single"/>
              <w:right w:color="000000" w:sz="4" w:val="single"/>
            </w:tcBorders>
            <w:shd w:fill="FFFFFF" w:val="clear"/>
            <w:vAlign w:val="center"/>
          </w:tcPr>
          <w:p w14:paraId="21230000">
            <w:pPr>
              <w:widowControl w:val="1"/>
              <w:ind/>
              <w:contextualSpacing w:val="1"/>
              <w:jc w:val="center"/>
              <w:rPr>
                <w:color w:val="000000"/>
                <w:sz w:val="22"/>
              </w:rPr>
            </w:pPr>
            <w:r>
              <w:rPr>
                <w:color w:val="000000"/>
                <w:sz w:val="22"/>
              </w:rPr>
              <w:t>пролонгация договора аренды электропоездов, увеличение предельной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22230000">
            <w:pPr>
              <w:widowControl w:val="1"/>
              <w:ind/>
              <w:contextualSpacing w:val="1"/>
              <w:jc w:val="center"/>
              <w:rPr>
                <w:sz w:val="22"/>
              </w:rPr>
            </w:pPr>
            <w:r>
              <w:rPr>
                <w:sz w:val="22"/>
              </w:rPr>
              <w:t>129024</w:t>
            </w:r>
          </w:p>
        </w:tc>
        <w:tc>
          <w:tcPr>
            <w:tcW w:type="dxa" w:w="1221"/>
            <w:tcBorders>
              <w:top w:color="000000" w:sz="4" w:val="single"/>
              <w:left w:color="000000" w:sz="4" w:val="single"/>
              <w:bottom w:color="000000" w:sz="4" w:val="single"/>
              <w:right w:color="000000" w:sz="4" w:val="single"/>
            </w:tcBorders>
            <w:shd w:fill="FFFFFF" w:val="clear"/>
            <w:vAlign w:val="center"/>
          </w:tcPr>
          <w:p w14:paraId="23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4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5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623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27230000">
            <w:pPr>
              <w:widowControl w:val="1"/>
              <w:ind/>
              <w:contextualSpacing w:val="1"/>
              <w:jc w:val="center"/>
              <w:rPr>
                <w:sz w:val="22"/>
              </w:rPr>
            </w:pPr>
            <w:r>
              <w:rPr>
                <w:sz w:val="22"/>
              </w:rPr>
              <w:t>извещение о сделке направлено 01.06.2018г., требование об одобрении сделки не поступило</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28230000">
            <w:pPr>
              <w:widowControl w:val="1"/>
              <w:ind/>
              <w:contextualSpacing w:val="1"/>
              <w:jc w:val="center"/>
              <w:rPr>
                <w:sz w:val="22"/>
              </w:rPr>
            </w:pPr>
            <w:r>
              <w:rPr>
                <w:sz w:val="22"/>
              </w:rPr>
              <w:t>Размещение заказа у единственного поставщика, согласно пп. 1 п. 81  положения утвержденного СД 30.04.2015г. Протокол № 13</w:t>
            </w:r>
          </w:p>
        </w:tc>
      </w:tr>
      <w:tr>
        <w:trPr>
          <w:trHeight w:hRule="atLeast" w:val="2025"/>
        </w:trPr>
        <w:tc>
          <w:tcPr>
            <w:tcW w:type="dxa" w:w="528"/>
            <w:tcBorders>
              <w:top w:color="000000" w:sz="4" w:val="single"/>
              <w:left w:color="000000" w:sz="4" w:val="single"/>
              <w:bottom w:color="000000" w:sz="4" w:val="single"/>
              <w:right w:color="000000" w:sz="4" w:val="single"/>
            </w:tcBorders>
            <w:shd w:fill="FFFFFF" w:val="clear"/>
            <w:vAlign w:val="center"/>
          </w:tcPr>
          <w:p w14:paraId="29230000">
            <w:pPr>
              <w:widowControl w:val="1"/>
              <w:ind/>
              <w:contextualSpacing w:val="1"/>
              <w:rPr>
                <w:color w:val="000000"/>
                <w:sz w:val="22"/>
              </w:rPr>
            </w:pPr>
            <w:r>
              <w:rPr>
                <w:color w:val="000000"/>
                <w:sz w:val="22"/>
              </w:rPr>
              <w:t>163</w:t>
            </w:r>
          </w:p>
        </w:tc>
        <w:tc>
          <w:tcPr>
            <w:tcW w:type="dxa" w:w="1408"/>
            <w:tcBorders>
              <w:top w:color="000000" w:sz="4" w:val="single"/>
              <w:left w:color="000000" w:sz="4" w:val="single"/>
              <w:bottom w:color="000000" w:sz="4" w:val="single"/>
              <w:right w:color="000000" w:sz="4" w:val="single"/>
            </w:tcBorders>
            <w:shd w:fill="FFFFFF" w:val="clear"/>
            <w:vAlign w:val="center"/>
          </w:tcPr>
          <w:p w14:paraId="2A230000">
            <w:pPr>
              <w:widowControl w:val="1"/>
              <w:ind/>
              <w:contextualSpacing w:val="1"/>
              <w:jc w:val="center"/>
              <w:rPr>
                <w:sz w:val="22"/>
              </w:rPr>
            </w:pPr>
            <w:r>
              <w:rPr>
                <w:sz w:val="22"/>
              </w:rPr>
              <w:t>ОАО "РЖД" Дирекция социальной сферы</w:t>
            </w:r>
          </w:p>
        </w:tc>
        <w:tc>
          <w:tcPr>
            <w:tcW w:type="dxa" w:w="1408"/>
            <w:tcBorders>
              <w:top w:color="000000" w:sz="4" w:val="single"/>
              <w:left w:color="000000" w:sz="4" w:val="single"/>
              <w:bottom w:color="000000" w:sz="4" w:val="single"/>
              <w:right w:color="000000" w:sz="4" w:val="single"/>
            </w:tcBorders>
            <w:shd w:fill="FFFFFF" w:val="clear"/>
            <w:vAlign w:val="center"/>
          </w:tcPr>
          <w:p w14:paraId="2B230000">
            <w:pPr>
              <w:widowControl w:val="1"/>
              <w:ind/>
              <w:contextualSpacing w:val="1"/>
              <w:jc w:val="center"/>
              <w:rPr>
                <w:sz w:val="22"/>
              </w:rPr>
            </w:pPr>
            <w:r>
              <w:rPr>
                <w:sz w:val="22"/>
              </w:rPr>
              <w:t>договор № 322 от 01.06.2018</w:t>
            </w:r>
          </w:p>
        </w:tc>
        <w:tc>
          <w:tcPr>
            <w:tcW w:type="dxa" w:w="1274"/>
            <w:tcBorders>
              <w:top w:color="000000" w:sz="4" w:val="single"/>
              <w:left w:color="000000" w:sz="4" w:val="single"/>
              <w:bottom w:color="000000" w:sz="4" w:val="single"/>
              <w:right w:color="000000" w:sz="4" w:val="single"/>
            </w:tcBorders>
            <w:shd w:fill="FFFFFF" w:val="clear"/>
            <w:vAlign w:val="center"/>
          </w:tcPr>
          <w:p w14:paraId="2C230000">
            <w:pPr>
              <w:widowControl w:val="1"/>
              <w:ind/>
              <w:contextualSpacing w:val="1"/>
              <w:jc w:val="center"/>
              <w:rPr>
                <w:sz w:val="22"/>
              </w:rPr>
            </w:pPr>
            <w:r>
              <w:rPr>
                <w:sz w:val="22"/>
              </w:rPr>
              <w:t>14.06.2018-04.07.2018</w:t>
            </w:r>
          </w:p>
        </w:tc>
        <w:tc>
          <w:tcPr>
            <w:tcW w:type="dxa" w:w="1556"/>
            <w:tcBorders>
              <w:top w:color="000000" w:sz="4" w:val="single"/>
              <w:left w:color="000000" w:sz="4" w:val="single"/>
              <w:bottom w:color="000000" w:sz="4" w:val="single"/>
              <w:right w:color="000000" w:sz="4" w:val="single"/>
            </w:tcBorders>
            <w:shd w:fill="FFFFFF" w:val="clear"/>
            <w:vAlign w:val="center"/>
          </w:tcPr>
          <w:p w14:paraId="2D230000">
            <w:pPr>
              <w:widowControl w:val="1"/>
              <w:ind/>
              <w:contextualSpacing w:val="1"/>
              <w:jc w:val="center"/>
              <w:rPr>
                <w:sz w:val="22"/>
              </w:rPr>
            </w:pPr>
            <w:r>
              <w:rPr>
                <w:sz w:val="22"/>
              </w:rPr>
              <w:t>Оказание услуг по организации детского оздоровительного отдыха в ДОЛ "Восток" и ОЦ "Салют"</w:t>
            </w:r>
          </w:p>
        </w:tc>
        <w:tc>
          <w:tcPr>
            <w:tcW w:type="dxa" w:w="1194"/>
            <w:tcBorders>
              <w:top w:color="000000" w:sz="4" w:val="single"/>
              <w:left w:color="000000" w:sz="4" w:val="single"/>
              <w:bottom w:color="000000" w:sz="4" w:val="single"/>
              <w:right w:color="000000" w:sz="4" w:val="single"/>
            </w:tcBorders>
            <w:shd w:fill="FFFFFF" w:val="clear"/>
            <w:vAlign w:val="center"/>
          </w:tcPr>
          <w:p w14:paraId="2E230000">
            <w:pPr>
              <w:widowControl w:val="1"/>
              <w:ind/>
              <w:contextualSpacing w:val="1"/>
              <w:jc w:val="center"/>
              <w:rPr>
                <w:sz w:val="22"/>
              </w:rPr>
            </w:pPr>
            <w:r>
              <w:rPr>
                <w:sz w:val="22"/>
              </w:rPr>
              <w:t>168323,4</w:t>
            </w:r>
          </w:p>
        </w:tc>
        <w:tc>
          <w:tcPr>
            <w:tcW w:type="dxa" w:w="1221"/>
            <w:tcBorders>
              <w:top w:color="000000" w:sz="4" w:val="single"/>
              <w:left w:color="000000" w:sz="4" w:val="single"/>
              <w:bottom w:color="000000" w:sz="4" w:val="single"/>
              <w:right w:color="000000" w:sz="4" w:val="single"/>
            </w:tcBorders>
            <w:shd w:fill="FFFFFF" w:val="clear"/>
            <w:vAlign w:val="center"/>
          </w:tcPr>
          <w:p w14:paraId="2F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30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31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223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3323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4230000">
            <w:pPr>
              <w:widowControl w:val="1"/>
              <w:ind/>
              <w:contextualSpacing w:val="1"/>
              <w:jc w:val="center"/>
              <w:rPr>
                <w:sz w:val="22"/>
              </w:rPr>
            </w:pPr>
            <w:r>
              <w:rPr>
                <w:sz w:val="22"/>
              </w:rPr>
              <w:t>Размещение заказа у единственного поставщика, согласно пп. 35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5230000">
            <w:pPr>
              <w:widowControl w:val="1"/>
              <w:ind/>
              <w:contextualSpacing w:val="1"/>
              <w:rPr>
                <w:color w:val="000000"/>
                <w:sz w:val="22"/>
              </w:rPr>
            </w:pPr>
            <w:r>
              <w:rPr>
                <w:color w:val="000000"/>
                <w:sz w:val="22"/>
              </w:rPr>
              <w:t>164</w:t>
            </w:r>
          </w:p>
        </w:tc>
        <w:tc>
          <w:tcPr>
            <w:tcW w:type="dxa" w:w="1408"/>
            <w:tcBorders>
              <w:top w:color="000000" w:sz="4" w:val="single"/>
              <w:left w:color="000000" w:sz="4" w:val="single"/>
              <w:bottom w:color="000000" w:sz="4" w:val="single"/>
              <w:right w:color="000000" w:sz="4" w:val="single"/>
            </w:tcBorders>
            <w:shd w:fill="FFFFFF" w:val="clear"/>
            <w:vAlign w:val="center"/>
          </w:tcPr>
          <w:p w14:paraId="36230000">
            <w:pPr>
              <w:widowControl w:val="1"/>
              <w:ind/>
              <w:contextualSpacing w:val="1"/>
              <w:jc w:val="center"/>
              <w:rPr>
                <w:sz w:val="22"/>
              </w:rPr>
            </w:pPr>
            <w:r>
              <w:rPr>
                <w:sz w:val="22"/>
              </w:rPr>
              <w:t>КГБУЗ "Красноярская межрайонная поликлиника № 5"</w:t>
            </w:r>
          </w:p>
        </w:tc>
        <w:tc>
          <w:tcPr>
            <w:tcW w:type="dxa" w:w="1408"/>
            <w:tcBorders>
              <w:top w:color="000000" w:sz="4" w:val="single"/>
              <w:left w:color="000000" w:sz="4" w:val="single"/>
              <w:bottom w:color="000000" w:sz="4" w:val="single"/>
              <w:right w:color="000000" w:sz="4" w:val="single"/>
            </w:tcBorders>
            <w:shd w:fill="FFFFFF" w:val="clear"/>
            <w:vAlign w:val="center"/>
          </w:tcPr>
          <w:p w14:paraId="37230000">
            <w:pPr>
              <w:widowControl w:val="1"/>
              <w:ind/>
              <w:contextualSpacing w:val="1"/>
              <w:jc w:val="center"/>
              <w:rPr>
                <w:sz w:val="22"/>
              </w:rPr>
            </w:pPr>
            <w:r>
              <w:rPr>
                <w:sz w:val="22"/>
              </w:rPr>
              <w:t>договор № 76 от 01.06.2018</w:t>
            </w:r>
          </w:p>
        </w:tc>
        <w:tc>
          <w:tcPr>
            <w:tcW w:type="dxa" w:w="1274"/>
            <w:tcBorders>
              <w:top w:color="000000" w:sz="4" w:val="single"/>
              <w:left w:color="000000" w:sz="4" w:val="single"/>
              <w:bottom w:color="000000" w:sz="4" w:val="single"/>
              <w:right w:color="000000" w:sz="4" w:val="single"/>
            </w:tcBorders>
            <w:shd w:fill="FFFFFF" w:val="clear"/>
            <w:vAlign w:val="center"/>
          </w:tcPr>
          <w:p w14:paraId="38230000">
            <w:pPr>
              <w:widowControl w:val="1"/>
              <w:ind/>
              <w:contextualSpacing w:val="1"/>
              <w:jc w:val="center"/>
              <w:rPr>
                <w:sz w:val="22"/>
              </w:rPr>
            </w:pPr>
            <w:r>
              <w:rPr>
                <w:sz w:val="22"/>
              </w:rPr>
              <w:t>01.06.2018-31.07.2018</w:t>
            </w:r>
          </w:p>
        </w:tc>
        <w:tc>
          <w:tcPr>
            <w:tcW w:type="dxa" w:w="1556"/>
            <w:tcBorders>
              <w:top w:color="000000" w:sz="4" w:val="single"/>
              <w:left w:color="000000" w:sz="4" w:val="single"/>
              <w:bottom w:color="000000" w:sz="4" w:val="single"/>
              <w:right w:color="000000" w:sz="4" w:val="single"/>
            </w:tcBorders>
            <w:shd w:fill="FFFFFF" w:val="clear"/>
            <w:vAlign w:val="center"/>
          </w:tcPr>
          <w:p w14:paraId="39230000">
            <w:pPr>
              <w:widowControl w:val="1"/>
              <w:ind/>
              <w:contextualSpacing w:val="1"/>
              <w:jc w:val="center"/>
              <w:rPr>
                <w:sz w:val="22"/>
              </w:rPr>
            </w:pPr>
            <w:r>
              <w:rPr>
                <w:sz w:val="22"/>
              </w:rPr>
              <w:t>Оказание услуг по проведению периодического медицинского осмотра работников</w:t>
            </w:r>
          </w:p>
        </w:tc>
        <w:tc>
          <w:tcPr>
            <w:tcW w:type="dxa" w:w="1194"/>
            <w:tcBorders>
              <w:top w:color="000000" w:sz="4" w:val="single"/>
              <w:left w:color="000000" w:sz="4" w:val="single"/>
              <w:bottom w:color="000000" w:sz="4" w:val="single"/>
              <w:right w:color="000000" w:sz="4" w:val="single"/>
            </w:tcBorders>
            <w:shd w:fill="FFFFFF" w:val="clear"/>
            <w:vAlign w:val="center"/>
          </w:tcPr>
          <w:p w14:paraId="3A230000">
            <w:pPr>
              <w:widowControl w:val="1"/>
              <w:ind/>
              <w:contextualSpacing w:val="1"/>
              <w:jc w:val="center"/>
              <w:rPr>
                <w:sz w:val="22"/>
              </w:rPr>
            </w:pPr>
            <w:r>
              <w:rPr>
                <w:sz w:val="22"/>
              </w:rPr>
              <w:t>82412</w:t>
            </w:r>
          </w:p>
        </w:tc>
        <w:tc>
          <w:tcPr>
            <w:tcW w:type="dxa" w:w="1221"/>
            <w:tcBorders>
              <w:top w:color="000000" w:sz="4" w:val="single"/>
              <w:left w:color="000000" w:sz="4" w:val="single"/>
              <w:bottom w:color="000000" w:sz="4" w:val="single"/>
              <w:right w:color="000000" w:sz="4" w:val="single"/>
            </w:tcBorders>
            <w:shd w:fill="FFFFFF" w:val="clear"/>
            <w:vAlign w:val="center"/>
          </w:tcPr>
          <w:p w14:paraId="3B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3C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3D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E23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3F23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4023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695"/>
        </w:trPr>
        <w:tc>
          <w:tcPr>
            <w:tcW w:type="dxa" w:w="528"/>
            <w:tcBorders>
              <w:top w:color="000000" w:sz="4" w:val="single"/>
              <w:left w:color="000000" w:sz="4" w:val="single"/>
              <w:bottom w:color="000000" w:sz="4" w:val="single"/>
              <w:right w:color="000000" w:sz="4" w:val="single"/>
            </w:tcBorders>
            <w:shd w:fill="FFFFFF" w:val="clear"/>
            <w:vAlign w:val="center"/>
          </w:tcPr>
          <w:p w14:paraId="41230000">
            <w:pPr>
              <w:widowControl w:val="1"/>
              <w:ind/>
              <w:contextualSpacing w:val="1"/>
              <w:rPr>
                <w:color w:val="000000"/>
                <w:sz w:val="22"/>
              </w:rPr>
            </w:pPr>
            <w:r>
              <w:rPr>
                <w:color w:val="000000"/>
                <w:sz w:val="22"/>
              </w:rPr>
              <w:t>165</w:t>
            </w:r>
          </w:p>
        </w:tc>
        <w:tc>
          <w:tcPr>
            <w:tcW w:type="dxa" w:w="1408"/>
            <w:tcBorders>
              <w:top w:color="000000" w:sz="4" w:val="single"/>
              <w:left w:color="000000" w:sz="4" w:val="single"/>
              <w:bottom w:color="000000" w:sz="4" w:val="single"/>
              <w:right w:color="000000" w:sz="4" w:val="single"/>
            </w:tcBorders>
            <w:shd w:fill="FFFFFF" w:val="clear"/>
            <w:vAlign w:val="center"/>
          </w:tcPr>
          <w:p w14:paraId="42230000">
            <w:pPr>
              <w:widowControl w:val="1"/>
              <w:ind/>
              <w:contextualSpacing w:val="1"/>
              <w:jc w:val="center"/>
              <w:rPr>
                <w:sz w:val="22"/>
              </w:rPr>
            </w:pPr>
            <w:r>
              <w:rPr>
                <w:sz w:val="22"/>
              </w:rPr>
              <w:t>ОАО "РЖД" Красноярская региональная служба развития пассажирских сообщений и предоставления доступа к инфраструктуре</w:t>
            </w:r>
          </w:p>
        </w:tc>
        <w:tc>
          <w:tcPr>
            <w:tcW w:type="dxa" w:w="1408"/>
            <w:tcBorders>
              <w:top w:color="000000" w:sz="4" w:val="single"/>
              <w:left w:color="000000" w:sz="4" w:val="single"/>
              <w:bottom w:color="000000" w:sz="4" w:val="single"/>
              <w:right w:color="000000" w:sz="4" w:val="single"/>
            </w:tcBorders>
            <w:shd w:fill="FFFFFF" w:val="clear"/>
            <w:vAlign w:val="center"/>
          </w:tcPr>
          <w:p w14:paraId="43230000">
            <w:pPr>
              <w:widowControl w:val="1"/>
              <w:ind/>
              <w:contextualSpacing w:val="1"/>
              <w:jc w:val="center"/>
              <w:rPr>
                <w:sz w:val="22"/>
              </w:rPr>
            </w:pPr>
            <w:r>
              <w:rPr>
                <w:sz w:val="22"/>
              </w:rPr>
              <w:t>дополнительное соглашение № 1 к договору № 2716160 от 29.12.2017 от 11.04.2018</w:t>
            </w:r>
          </w:p>
        </w:tc>
        <w:tc>
          <w:tcPr>
            <w:tcW w:type="dxa" w:w="1274"/>
            <w:tcBorders>
              <w:top w:color="000000" w:sz="4" w:val="single"/>
              <w:left w:color="000000" w:sz="4" w:val="single"/>
              <w:bottom w:color="000000" w:sz="4" w:val="single"/>
              <w:right w:color="000000" w:sz="4" w:val="single"/>
            </w:tcBorders>
            <w:shd w:fill="FFFFFF" w:val="clear"/>
            <w:vAlign w:val="center"/>
          </w:tcPr>
          <w:p w14:paraId="44230000">
            <w:pPr>
              <w:widowControl w:val="1"/>
              <w:ind/>
              <w:contextualSpacing w:val="1"/>
              <w:jc w:val="center"/>
              <w:rPr>
                <w:sz w:val="22"/>
              </w:rPr>
            </w:pPr>
            <w:r>
              <w:rPr>
                <w:sz w:val="22"/>
              </w:rPr>
              <w:t>01.01.2018-31.12.2020</w:t>
            </w:r>
          </w:p>
        </w:tc>
        <w:tc>
          <w:tcPr>
            <w:tcW w:type="dxa" w:w="1556"/>
            <w:tcBorders>
              <w:top w:color="000000" w:sz="4" w:val="single"/>
              <w:left w:color="000000" w:sz="4" w:val="single"/>
              <w:bottom w:color="000000" w:sz="4" w:val="single"/>
              <w:right w:color="000000" w:sz="4" w:val="single"/>
            </w:tcBorders>
            <w:shd w:fill="FFFFFF" w:val="clear"/>
            <w:vAlign w:val="center"/>
          </w:tcPr>
          <w:p w14:paraId="45230000">
            <w:pPr>
              <w:widowControl w:val="1"/>
              <w:ind/>
              <w:contextualSpacing w:val="1"/>
              <w:jc w:val="center"/>
              <w:rPr>
                <w:sz w:val="22"/>
              </w:rPr>
            </w:pPr>
            <w:r>
              <w:rPr>
                <w:sz w:val="22"/>
              </w:rPr>
              <w:t>Внесение изменений в обязанности сторон по договору на оказание услуг  по использованию инфраструктуры железнодорожного транспорта, без изменения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46230000">
            <w:pPr>
              <w:widowControl w:val="1"/>
              <w:ind/>
              <w:contextualSpacing w:val="1"/>
              <w:jc w:val="center"/>
              <w:rPr>
                <w:sz w:val="22"/>
              </w:rPr>
            </w:pPr>
            <w:r>
              <w:rPr>
                <w:sz w:val="22"/>
              </w:rPr>
              <w:t>17260282,02</w:t>
            </w:r>
          </w:p>
        </w:tc>
        <w:tc>
          <w:tcPr>
            <w:tcW w:type="dxa" w:w="1221"/>
            <w:tcBorders>
              <w:top w:color="000000" w:sz="4" w:val="single"/>
              <w:left w:color="000000" w:sz="4" w:val="single"/>
              <w:bottom w:color="000000" w:sz="4" w:val="single"/>
              <w:right w:color="000000" w:sz="4" w:val="single"/>
            </w:tcBorders>
            <w:shd w:fill="FFFFFF" w:val="clear"/>
            <w:vAlign w:val="center"/>
          </w:tcPr>
          <w:p w14:paraId="47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8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9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A23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4B23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4C230000">
            <w:pPr>
              <w:widowControl w:val="1"/>
              <w:ind/>
              <w:contextualSpacing w:val="1"/>
              <w:jc w:val="center"/>
              <w:rPr>
                <w:sz w:val="22"/>
              </w:rPr>
            </w:pPr>
            <w:r>
              <w:rPr>
                <w:sz w:val="22"/>
              </w:rPr>
              <w:t>Размещение заказа у единственного поставщика, согласно пп.35 п. 81  положения утвержденного СД 30.04.2015г. Протокол № 13</w:t>
            </w:r>
          </w:p>
        </w:tc>
      </w:tr>
      <w:tr>
        <w:trPr>
          <w:trHeight w:hRule="atLeast" w:val="1695"/>
        </w:trPr>
        <w:tc>
          <w:tcPr>
            <w:tcW w:type="dxa" w:w="528"/>
            <w:tcBorders>
              <w:top w:color="000000" w:sz="4" w:val="single"/>
              <w:left w:color="000000" w:sz="4" w:val="single"/>
              <w:bottom w:color="000000" w:sz="4" w:val="single"/>
              <w:right w:color="000000" w:sz="4" w:val="single"/>
            </w:tcBorders>
            <w:shd w:fill="FFFFFF" w:val="clear"/>
            <w:vAlign w:val="center"/>
          </w:tcPr>
          <w:p w14:paraId="4D230000">
            <w:pPr>
              <w:widowControl w:val="1"/>
              <w:ind/>
              <w:contextualSpacing w:val="1"/>
              <w:rPr>
                <w:color w:val="000000"/>
                <w:sz w:val="22"/>
              </w:rPr>
            </w:pPr>
            <w:r>
              <w:rPr>
                <w:color w:val="000000"/>
                <w:sz w:val="22"/>
              </w:rPr>
              <w:t>166</w:t>
            </w:r>
          </w:p>
        </w:tc>
        <w:tc>
          <w:tcPr>
            <w:tcW w:type="dxa" w:w="1408"/>
            <w:tcBorders>
              <w:top w:color="000000" w:sz="4" w:val="single"/>
              <w:left w:color="000000" w:sz="4" w:val="single"/>
              <w:bottom w:color="000000" w:sz="4" w:val="single"/>
              <w:right w:color="000000" w:sz="4" w:val="single"/>
            </w:tcBorders>
            <w:shd w:fill="FFFFFF" w:val="clear"/>
            <w:vAlign w:val="center"/>
          </w:tcPr>
          <w:p w14:paraId="4E230000">
            <w:pPr>
              <w:widowControl w:val="1"/>
              <w:ind/>
              <w:contextualSpacing w:val="1"/>
              <w:jc w:val="center"/>
              <w:rPr>
                <w:sz w:val="22"/>
              </w:rPr>
            </w:pPr>
            <w:r>
              <w:rPr>
                <w:sz w:val="22"/>
              </w:rPr>
              <w:t>ОАО "РЖД" Красноярская региональная служба развития пассажирских сообщений и предоставления доступа к инфраструктуре</w:t>
            </w:r>
          </w:p>
        </w:tc>
        <w:tc>
          <w:tcPr>
            <w:tcW w:type="dxa" w:w="1408"/>
            <w:tcBorders>
              <w:top w:color="000000" w:sz="4" w:val="single"/>
              <w:left w:color="000000" w:sz="4" w:val="single"/>
              <w:bottom w:color="000000" w:sz="4" w:val="single"/>
              <w:right w:color="000000" w:sz="4" w:val="single"/>
            </w:tcBorders>
            <w:shd w:fill="FFFFFF" w:val="clear"/>
            <w:vAlign w:val="center"/>
          </w:tcPr>
          <w:p w14:paraId="4F230000">
            <w:pPr>
              <w:widowControl w:val="1"/>
              <w:ind/>
              <w:contextualSpacing w:val="1"/>
              <w:jc w:val="center"/>
              <w:rPr>
                <w:sz w:val="22"/>
              </w:rPr>
            </w:pPr>
            <w:r>
              <w:rPr>
                <w:sz w:val="22"/>
              </w:rPr>
              <w:t>дополнительное соглашение № 3 к договору № 2716160 от 29.12.2017г от 28.12.2018</w:t>
            </w:r>
          </w:p>
        </w:tc>
        <w:tc>
          <w:tcPr>
            <w:tcW w:type="dxa" w:w="1274"/>
            <w:tcBorders>
              <w:top w:color="000000" w:sz="4" w:val="single"/>
              <w:left w:color="000000" w:sz="4" w:val="single"/>
              <w:bottom w:color="000000" w:sz="4" w:val="single"/>
              <w:right w:color="000000" w:sz="4" w:val="single"/>
            </w:tcBorders>
            <w:shd w:fill="FFFFFF" w:val="clear"/>
            <w:vAlign w:val="center"/>
          </w:tcPr>
          <w:p w14:paraId="50230000">
            <w:pPr>
              <w:widowControl w:val="1"/>
              <w:ind/>
              <w:contextualSpacing w:val="1"/>
              <w:jc w:val="center"/>
              <w:rPr>
                <w:sz w:val="22"/>
              </w:rPr>
            </w:pPr>
            <w:r>
              <w:rPr>
                <w:sz w:val="22"/>
              </w:rPr>
              <w:t>01.01.2018-31.12.2020</w:t>
            </w:r>
          </w:p>
        </w:tc>
        <w:tc>
          <w:tcPr>
            <w:tcW w:type="dxa" w:w="1556"/>
            <w:tcBorders>
              <w:top w:color="000000" w:sz="4" w:val="single"/>
              <w:left w:color="000000" w:sz="4" w:val="single"/>
              <w:bottom w:color="000000" w:sz="4" w:val="single"/>
              <w:right w:color="000000" w:sz="4" w:val="single"/>
            </w:tcBorders>
            <w:shd w:fill="FFFFFF" w:val="clear"/>
            <w:vAlign w:val="center"/>
          </w:tcPr>
          <w:p w14:paraId="51230000">
            <w:pPr>
              <w:widowControl w:val="1"/>
              <w:ind/>
              <w:contextualSpacing w:val="1"/>
              <w:jc w:val="center"/>
              <w:rPr>
                <w:sz w:val="22"/>
              </w:rPr>
            </w:pPr>
            <w:r>
              <w:rPr>
                <w:sz w:val="22"/>
              </w:rPr>
              <w:t>изменение цены договора, внесение изменений в перечень передаваемых помещений</w:t>
            </w:r>
          </w:p>
        </w:tc>
        <w:tc>
          <w:tcPr>
            <w:tcW w:type="dxa" w:w="1194"/>
            <w:tcBorders>
              <w:top w:color="000000" w:sz="4" w:val="single"/>
              <w:left w:color="000000" w:sz="4" w:val="single"/>
              <w:bottom w:color="000000" w:sz="4" w:val="single"/>
              <w:right w:color="000000" w:sz="4" w:val="single"/>
            </w:tcBorders>
            <w:shd w:fill="FFFFFF" w:val="clear"/>
            <w:vAlign w:val="center"/>
          </w:tcPr>
          <w:p w14:paraId="52230000">
            <w:pPr>
              <w:widowControl w:val="1"/>
              <w:ind/>
              <w:contextualSpacing w:val="1"/>
              <w:jc w:val="center"/>
              <w:rPr>
                <w:sz w:val="22"/>
              </w:rPr>
            </w:pPr>
            <w:r>
              <w:rPr>
                <w:sz w:val="22"/>
              </w:rPr>
              <w:t>18870377,29</w:t>
            </w:r>
          </w:p>
        </w:tc>
        <w:tc>
          <w:tcPr>
            <w:tcW w:type="dxa" w:w="1221"/>
            <w:tcBorders>
              <w:top w:color="000000" w:sz="4" w:val="single"/>
              <w:left w:color="000000" w:sz="4" w:val="single"/>
              <w:bottom w:color="000000" w:sz="4" w:val="single"/>
              <w:right w:color="000000" w:sz="4" w:val="single"/>
            </w:tcBorders>
            <w:shd w:fill="FFFFFF" w:val="clear"/>
            <w:vAlign w:val="center"/>
          </w:tcPr>
          <w:p w14:paraId="53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4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5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623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57230000">
            <w:pPr>
              <w:widowControl w:val="1"/>
              <w:ind/>
              <w:contextualSpacing w:val="1"/>
              <w:jc w:val="center"/>
              <w:rPr>
                <w:sz w:val="22"/>
              </w:rPr>
            </w:pPr>
            <w:r>
              <w:rPr>
                <w:sz w:val="22"/>
              </w:rPr>
              <w:t>извещение о сделке направлено 13.12.2018г, требование об одобрении сделки не поступило</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58230000">
            <w:pPr>
              <w:widowControl w:val="1"/>
              <w:ind/>
              <w:contextualSpacing w:val="1"/>
              <w:jc w:val="center"/>
              <w:rPr>
                <w:sz w:val="22"/>
              </w:rPr>
            </w:pPr>
            <w:r>
              <w:rPr>
                <w:sz w:val="22"/>
              </w:rPr>
              <w:t>Закупка у взаимозависимого лица (пп1 п2 ст. 105.1 НК РФ)</w:t>
            </w:r>
          </w:p>
        </w:tc>
      </w:tr>
      <w:tr>
        <w:trPr>
          <w:trHeight w:hRule="atLeast" w:val="649"/>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59230000">
            <w:pPr>
              <w:widowControl w:val="1"/>
              <w:ind/>
              <w:contextualSpacing w:val="1"/>
              <w:jc w:val="center"/>
              <w:rPr>
                <w:color w:val="000000"/>
                <w:sz w:val="22"/>
              </w:rPr>
            </w:pPr>
            <w:r>
              <w:rPr>
                <w:color w:val="000000"/>
                <w:sz w:val="22"/>
              </w:rPr>
              <w:t>итого по контрагенту ОАО "РЖД" Красноярская региональная служба развития пассажирских сообщений и предоставления доступа к инфраструктуре 18870377,29 руб.</w:t>
            </w:r>
          </w:p>
          <w:p w14:paraId="5A230000">
            <w:pPr>
              <w:widowControl w:val="1"/>
              <w:ind/>
              <w:contextualSpacing w:val="1"/>
              <w:jc w:val="center"/>
              <w:rPr>
                <w:sz w:val="22"/>
              </w:rPr>
            </w:pPr>
          </w:p>
        </w:tc>
      </w:tr>
      <w:tr>
        <w:trPr>
          <w:trHeight w:hRule="atLeast" w:val="2025"/>
        </w:trPr>
        <w:tc>
          <w:tcPr>
            <w:tcW w:type="dxa" w:w="528"/>
            <w:tcBorders>
              <w:top w:color="000000" w:sz="4" w:val="single"/>
              <w:left w:color="000000" w:sz="4" w:val="single"/>
              <w:bottom w:color="000000" w:sz="4" w:val="single"/>
              <w:right w:color="000000" w:sz="4" w:val="single"/>
            </w:tcBorders>
            <w:shd w:fill="FFFFFF" w:val="clear"/>
            <w:vAlign w:val="center"/>
          </w:tcPr>
          <w:p w14:paraId="5B230000">
            <w:pPr>
              <w:widowControl w:val="1"/>
              <w:ind/>
              <w:contextualSpacing w:val="1"/>
              <w:rPr>
                <w:color w:val="000000"/>
                <w:sz w:val="22"/>
              </w:rPr>
            </w:pPr>
            <w:r>
              <w:rPr>
                <w:color w:val="000000"/>
                <w:sz w:val="22"/>
              </w:rPr>
              <w:t>167</w:t>
            </w:r>
          </w:p>
        </w:tc>
        <w:tc>
          <w:tcPr>
            <w:tcW w:type="dxa" w:w="1408"/>
            <w:tcBorders>
              <w:top w:color="000000" w:sz="4" w:val="single"/>
              <w:left w:color="000000" w:sz="4" w:val="single"/>
              <w:bottom w:color="000000" w:sz="4" w:val="single"/>
              <w:right w:color="000000" w:sz="4" w:val="single"/>
            </w:tcBorders>
            <w:shd w:fill="FFFFFF" w:val="clear"/>
            <w:vAlign w:val="center"/>
          </w:tcPr>
          <w:p w14:paraId="5C230000">
            <w:pPr>
              <w:widowControl w:val="1"/>
              <w:ind/>
              <w:contextualSpacing w:val="1"/>
              <w:jc w:val="center"/>
              <w:rPr>
                <w:sz w:val="22"/>
              </w:rPr>
            </w:pPr>
            <w:r>
              <w:rPr>
                <w:sz w:val="22"/>
              </w:rPr>
              <w:t>ОАО "РЖД" Красноярский региональный центр связи</w:t>
            </w:r>
          </w:p>
        </w:tc>
        <w:tc>
          <w:tcPr>
            <w:tcW w:type="dxa" w:w="1408"/>
            <w:tcBorders>
              <w:top w:color="000000" w:sz="4" w:val="single"/>
              <w:left w:color="000000" w:sz="4" w:val="single"/>
              <w:bottom w:color="000000" w:sz="4" w:val="single"/>
              <w:right w:color="000000" w:sz="4" w:val="single"/>
            </w:tcBorders>
            <w:shd w:fill="FFFFFF" w:val="clear"/>
            <w:vAlign w:val="center"/>
          </w:tcPr>
          <w:p w14:paraId="5D230000">
            <w:pPr>
              <w:widowControl w:val="1"/>
              <w:ind/>
              <w:contextualSpacing w:val="1"/>
              <w:jc w:val="center"/>
              <w:rPr>
                <w:sz w:val="22"/>
              </w:rPr>
            </w:pPr>
            <w:r>
              <w:rPr>
                <w:sz w:val="22"/>
              </w:rPr>
              <w:t>дополнительное соглашение № 1 к договору № 642/1/504264/IP ОТ 27.12.2017 от 07.05.2018</w:t>
            </w:r>
          </w:p>
        </w:tc>
        <w:tc>
          <w:tcPr>
            <w:tcW w:type="dxa" w:w="1274"/>
            <w:tcBorders>
              <w:top w:color="000000" w:sz="4" w:val="single"/>
              <w:left w:color="000000" w:sz="4" w:val="single"/>
              <w:bottom w:color="000000" w:sz="4" w:val="single"/>
              <w:right w:color="000000" w:sz="4" w:val="single"/>
            </w:tcBorders>
            <w:shd w:fill="FFFFFF" w:val="clear"/>
            <w:vAlign w:val="center"/>
          </w:tcPr>
          <w:p w14:paraId="5E230000">
            <w:pPr>
              <w:widowControl w:val="1"/>
              <w:ind/>
              <w:contextualSpacing w:val="1"/>
              <w:jc w:val="center"/>
              <w:rPr>
                <w:color w:val="000000"/>
                <w:sz w:val="22"/>
              </w:rPr>
            </w:pPr>
            <w:r>
              <w:rPr>
                <w:color w:val="000000"/>
                <w:sz w:val="22"/>
              </w:rPr>
              <w:t>01.01.2018-31.12.2020</w:t>
            </w:r>
          </w:p>
        </w:tc>
        <w:tc>
          <w:tcPr>
            <w:tcW w:type="dxa" w:w="1556"/>
            <w:tcBorders>
              <w:top w:color="000000" w:sz="4" w:val="single"/>
              <w:left w:color="000000" w:sz="4" w:val="single"/>
              <w:bottom w:color="000000" w:sz="4" w:val="single"/>
              <w:right w:color="000000" w:sz="4" w:val="single"/>
            </w:tcBorders>
            <w:shd w:fill="FFFFFF" w:val="clear"/>
            <w:vAlign w:val="center"/>
          </w:tcPr>
          <w:p w14:paraId="5F230000">
            <w:pPr>
              <w:widowControl w:val="1"/>
              <w:ind/>
              <w:contextualSpacing w:val="1"/>
              <w:jc w:val="center"/>
              <w:rPr>
                <w:sz w:val="22"/>
              </w:rPr>
            </w:pPr>
            <w:r>
              <w:rPr>
                <w:sz w:val="22"/>
              </w:rPr>
              <w:t>внесение изменений в договор на оказание услуг по передаче данных для передачи голосовой информации (IP-телефония)относительно порядка разрешения споров, без изменения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60230000">
            <w:pPr>
              <w:widowControl w:val="1"/>
              <w:ind/>
              <w:contextualSpacing w:val="1"/>
              <w:jc w:val="center"/>
              <w:rPr>
                <w:sz w:val="22"/>
              </w:rPr>
            </w:pPr>
            <w:r>
              <w:rPr>
                <w:sz w:val="22"/>
              </w:rPr>
              <w:t>99000</w:t>
            </w:r>
          </w:p>
        </w:tc>
        <w:tc>
          <w:tcPr>
            <w:tcW w:type="dxa" w:w="1221"/>
            <w:tcBorders>
              <w:top w:color="000000" w:sz="4" w:val="single"/>
              <w:left w:color="000000" w:sz="4" w:val="single"/>
              <w:bottom w:color="000000" w:sz="4" w:val="single"/>
              <w:right w:color="000000" w:sz="4" w:val="single"/>
            </w:tcBorders>
            <w:shd w:fill="FFFFFF" w:val="clear"/>
            <w:vAlign w:val="center"/>
          </w:tcPr>
          <w:p w14:paraId="61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2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3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423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6523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66230000">
            <w:pPr>
              <w:widowControl w:val="1"/>
              <w:ind/>
              <w:contextualSpacing w:val="1"/>
              <w:jc w:val="center"/>
              <w:rPr>
                <w:sz w:val="22"/>
              </w:rPr>
            </w:pPr>
            <w:r>
              <w:rPr>
                <w:sz w:val="22"/>
              </w:rPr>
              <w:t>Размещение заказа у единственного поставщика, согласно пп. 7 п. 81  положения утвержденного СД 30.04.2015г. Протокол № 13</w:t>
            </w:r>
          </w:p>
        </w:tc>
      </w:tr>
      <w:tr>
        <w:trPr>
          <w:trHeight w:hRule="atLeast" w:val="1110"/>
        </w:trPr>
        <w:tc>
          <w:tcPr>
            <w:tcW w:type="dxa" w:w="528"/>
            <w:tcBorders>
              <w:top w:color="000000" w:sz="4" w:val="single"/>
              <w:left w:color="000000" w:sz="4" w:val="single"/>
              <w:bottom w:color="000000" w:sz="4" w:val="single"/>
              <w:right w:color="000000" w:sz="4" w:val="single"/>
            </w:tcBorders>
            <w:shd w:fill="FFFFFF" w:val="clear"/>
            <w:vAlign w:val="center"/>
          </w:tcPr>
          <w:p w14:paraId="67230000">
            <w:pPr>
              <w:widowControl w:val="1"/>
              <w:ind/>
              <w:contextualSpacing w:val="1"/>
              <w:rPr>
                <w:color w:val="000000"/>
                <w:sz w:val="22"/>
              </w:rPr>
            </w:pPr>
            <w:r>
              <w:rPr>
                <w:color w:val="000000"/>
                <w:sz w:val="22"/>
              </w:rPr>
              <w:t>168</w:t>
            </w:r>
          </w:p>
        </w:tc>
        <w:tc>
          <w:tcPr>
            <w:tcW w:type="dxa" w:w="1408"/>
            <w:tcBorders>
              <w:top w:color="000000" w:sz="4" w:val="single"/>
              <w:left w:color="000000" w:sz="4" w:val="single"/>
              <w:bottom w:color="000000" w:sz="4" w:val="single"/>
              <w:right w:color="000000" w:sz="4" w:val="single"/>
            </w:tcBorders>
            <w:shd w:fill="FFFFFF" w:val="clear"/>
            <w:vAlign w:val="center"/>
          </w:tcPr>
          <w:p w14:paraId="68230000">
            <w:pPr>
              <w:widowControl w:val="1"/>
              <w:ind/>
              <w:contextualSpacing w:val="1"/>
              <w:jc w:val="center"/>
              <w:rPr>
                <w:sz w:val="22"/>
              </w:rPr>
            </w:pPr>
            <w:r>
              <w:rPr>
                <w:sz w:val="22"/>
              </w:rPr>
              <w:t>ОАО "РЖД" Красноярский региональный центр связи</w:t>
            </w:r>
          </w:p>
        </w:tc>
        <w:tc>
          <w:tcPr>
            <w:tcW w:type="dxa" w:w="1408"/>
            <w:tcBorders>
              <w:top w:color="000000" w:sz="4" w:val="single"/>
              <w:left w:color="000000" w:sz="4" w:val="single"/>
              <w:bottom w:color="000000" w:sz="4" w:val="single"/>
              <w:right w:color="000000" w:sz="4" w:val="single"/>
            </w:tcBorders>
            <w:shd w:fill="FFFFFF" w:val="clear"/>
            <w:vAlign w:val="center"/>
          </w:tcPr>
          <w:p w14:paraId="69230000">
            <w:pPr>
              <w:widowControl w:val="1"/>
              <w:ind/>
              <w:contextualSpacing w:val="1"/>
              <w:jc w:val="center"/>
              <w:rPr>
                <w:sz w:val="22"/>
              </w:rPr>
            </w:pPr>
            <w:r>
              <w:rPr>
                <w:sz w:val="22"/>
              </w:rPr>
              <w:t>дополнительное соглашение № 1 к договору № 642/504316/МВ ОТ 27.12.2017 от 07.05.2018</w:t>
            </w:r>
          </w:p>
        </w:tc>
        <w:tc>
          <w:tcPr>
            <w:tcW w:type="dxa" w:w="1274"/>
            <w:tcBorders>
              <w:top w:color="000000" w:sz="4" w:val="single"/>
              <w:left w:color="000000" w:sz="4" w:val="single"/>
              <w:bottom w:color="000000" w:sz="4" w:val="single"/>
              <w:right w:color="000000" w:sz="4" w:val="single"/>
            </w:tcBorders>
            <w:shd w:fill="FFFFFF" w:val="clear"/>
            <w:vAlign w:val="center"/>
          </w:tcPr>
          <w:p w14:paraId="6A230000">
            <w:pPr>
              <w:widowControl w:val="1"/>
              <w:ind/>
              <w:contextualSpacing w:val="1"/>
              <w:jc w:val="center"/>
              <w:rPr>
                <w:color w:val="000000"/>
                <w:sz w:val="22"/>
              </w:rPr>
            </w:pPr>
            <w:r>
              <w:rPr>
                <w:color w:val="000000"/>
                <w:sz w:val="22"/>
              </w:rPr>
              <w:t>01.01.2018-31.12.2020</w:t>
            </w:r>
          </w:p>
        </w:tc>
        <w:tc>
          <w:tcPr>
            <w:tcW w:type="dxa" w:w="1556"/>
            <w:tcBorders>
              <w:top w:color="000000" w:sz="4" w:val="single"/>
              <w:left w:color="000000" w:sz="4" w:val="single"/>
              <w:bottom w:color="000000" w:sz="4" w:val="single"/>
              <w:right w:color="000000" w:sz="4" w:val="single"/>
            </w:tcBorders>
            <w:shd w:fill="FFFFFF" w:val="clear"/>
            <w:vAlign w:val="center"/>
          </w:tcPr>
          <w:p w14:paraId="6B230000">
            <w:pPr>
              <w:widowControl w:val="1"/>
              <w:ind/>
              <w:contextualSpacing w:val="1"/>
              <w:jc w:val="center"/>
              <w:rPr>
                <w:sz w:val="22"/>
              </w:rPr>
            </w:pPr>
            <w:r>
              <w:rPr>
                <w:sz w:val="22"/>
              </w:rPr>
              <w:t>внесение изменений относительно порядка разрешения споров, без изменения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6C230000">
            <w:pPr>
              <w:widowControl w:val="1"/>
              <w:ind/>
              <w:contextualSpacing w:val="1"/>
              <w:jc w:val="center"/>
              <w:rPr>
                <w:sz w:val="22"/>
              </w:rPr>
            </w:pPr>
            <w:r>
              <w:rPr>
                <w:sz w:val="22"/>
              </w:rPr>
              <w:t>99000</w:t>
            </w:r>
          </w:p>
        </w:tc>
        <w:tc>
          <w:tcPr>
            <w:tcW w:type="dxa" w:w="1221"/>
            <w:tcBorders>
              <w:top w:color="000000" w:sz="4" w:val="single"/>
              <w:left w:color="000000" w:sz="4" w:val="single"/>
              <w:bottom w:color="000000" w:sz="4" w:val="single"/>
              <w:right w:color="000000" w:sz="4" w:val="single"/>
            </w:tcBorders>
            <w:shd w:fill="FFFFFF" w:val="clear"/>
            <w:vAlign w:val="center"/>
          </w:tcPr>
          <w:p w14:paraId="6D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E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F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023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7123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2230000">
            <w:pPr>
              <w:widowControl w:val="1"/>
              <w:ind/>
              <w:contextualSpacing w:val="1"/>
              <w:jc w:val="center"/>
              <w:rPr>
                <w:sz w:val="22"/>
              </w:rPr>
            </w:pPr>
            <w:r>
              <w:rPr>
                <w:sz w:val="22"/>
              </w:rPr>
              <w:t>Размещение заказа у единственного поставщика, согласно пп. 7 п. 81  положения утвержденного СД 30.04.2015г. Протокол № 13</w:t>
            </w:r>
          </w:p>
        </w:tc>
      </w:tr>
      <w:tr>
        <w:trPr>
          <w:trHeight w:hRule="atLeast" w:val="1110"/>
        </w:trPr>
        <w:tc>
          <w:tcPr>
            <w:tcW w:type="dxa" w:w="528"/>
            <w:tcBorders>
              <w:top w:color="000000" w:sz="4" w:val="single"/>
              <w:left w:color="000000" w:sz="4" w:val="single"/>
              <w:bottom w:color="000000" w:sz="4" w:val="single"/>
              <w:right w:color="000000" w:sz="4" w:val="single"/>
            </w:tcBorders>
            <w:shd w:fill="FFFFFF" w:val="clear"/>
            <w:vAlign w:val="center"/>
          </w:tcPr>
          <w:p w14:paraId="73230000">
            <w:pPr>
              <w:widowControl w:val="1"/>
              <w:ind/>
              <w:contextualSpacing w:val="1"/>
              <w:rPr>
                <w:color w:val="000000"/>
                <w:sz w:val="22"/>
              </w:rPr>
            </w:pPr>
            <w:r>
              <w:rPr>
                <w:color w:val="000000"/>
                <w:sz w:val="22"/>
              </w:rPr>
              <w:t>169</w:t>
            </w:r>
          </w:p>
        </w:tc>
        <w:tc>
          <w:tcPr>
            <w:tcW w:type="dxa" w:w="1408"/>
            <w:tcBorders>
              <w:top w:color="000000" w:sz="4" w:val="single"/>
              <w:left w:color="000000" w:sz="4" w:val="single"/>
              <w:bottom w:color="000000" w:sz="4" w:val="single"/>
              <w:right w:color="000000" w:sz="4" w:val="single"/>
            </w:tcBorders>
            <w:shd w:fill="FFFFFF" w:val="clear"/>
            <w:vAlign w:val="center"/>
          </w:tcPr>
          <w:p w14:paraId="74230000">
            <w:pPr>
              <w:widowControl w:val="1"/>
              <w:ind/>
              <w:contextualSpacing w:val="1"/>
              <w:jc w:val="center"/>
              <w:rPr>
                <w:sz w:val="22"/>
              </w:rPr>
            </w:pPr>
            <w:r>
              <w:rPr>
                <w:sz w:val="22"/>
              </w:rPr>
              <w:t>ОАО "РЖД" Красноярский региональный центр связи</w:t>
            </w:r>
          </w:p>
        </w:tc>
        <w:tc>
          <w:tcPr>
            <w:tcW w:type="dxa" w:w="1408"/>
            <w:tcBorders>
              <w:top w:color="000000" w:sz="4" w:val="single"/>
              <w:left w:color="000000" w:sz="4" w:val="single"/>
              <w:bottom w:color="000000" w:sz="4" w:val="single"/>
              <w:right w:color="000000" w:sz="4" w:val="single"/>
            </w:tcBorders>
            <w:shd w:fill="FFFFFF" w:val="clear"/>
            <w:vAlign w:val="center"/>
          </w:tcPr>
          <w:p w14:paraId="75230000">
            <w:pPr>
              <w:widowControl w:val="1"/>
              <w:ind/>
              <w:contextualSpacing w:val="1"/>
              <w:jc w:val="center"/>
              <w:rPr>
                <w:sz w:val="22"/>
              </w:rPr>
            </w:pPr>
            <w:r>
              <w:rPr>
                <w:sz w:val="22"/>
              </w:rPr>
              <w:t>дополнительное соглашение № 2 к договору № 642/1/504264/IP от 27.12.2017 от 12.12.2018</w:t>
            </w:r>
          </w:p>
        </w:tc>
        <w:tc>
          <w:tcPr>
            <w:tcW w:type="dxa" w:w="1274"/>
            <w:tcBorders>
              <w:top w:color="000000" w:sz="4" w:val="single"/>
              <w:left w:color="000000" w:sz="4" w:val="single"/>
              <w:bottom w:color="000000" w:sz="4" w:val="single"/>
              <w:right w:color="000000" w:sz="4" w:val="single"/>
            </w:tcBorders>
            <w:shd w:fill="FFFFFF" w:val="clear"/>
            <w:vAlign w:val="center"/>
          </w:tcPr>
          <w:p w14:paraId="76230000">
            <w:pPr>
              <w:widowControl w:val="1"/>
              <w:ind/>
              <w:contextualSpacing w:val="1"/>
              <w:jc w:val="center"/>
              <w:rPr>
                <w:color w:val="000000"/>
                <w:sz w:val="22"/>
              </w:rPr>
            </w:pPr>
            <w:r>
              <w:rPr>
                <w:color w:val="000000"/>
                <w:sz w:val="22"/>
              </w:rPr>
              <w:t>01.01.2018-31.12.2020</w:t>
            </w:r>
          </w:p>
        </w:tc>
        <w:tc>
          <w:tcPr>
            <w:tcW w:type="dxa" w:w="1556"/>
            <w:tcBorders>
              <w:top w:color="000000" w:sz="4" w:val="single"/>
              <w:left w:color="000000" w:sz="4" w:val="single"/>
              <w:bottom w:color="000000" w:sz="4" w:val="single"/>
              <w:right w:color="000000" w:sz="4" w:val="single"/>
            </w:tcBorders>
            <w:shd w:fill="FFFFFF" w:val="clear"/>
            <w:vAlign w:val="center"/>
          </w:tcPr>
          <w:p w14:paraId="77230000">
            <w:pPr>
              <w:widowControl w:val="1"/>
              <w:ind/>
              <w:contextualSpacing w:val="1"/>
              <w:jc w:val="center"/>
              <w:rPr>
                <w:sz w:val="22"/>
              </w:rPr>
            </w:pPr>
            <w:r>
              <w:rPr>
                <w:sz w:val="22"/>
              </w:rPr>
              <w:t>внесение изменений относительно ставки НДС с 01.01.2019г.</w:t>
            </w:r>
          </w:p>
        </w:tc>
        <w:tc>
          <w:tcPr>
            <w:tcW w:type="dxa" w:w="1194"/>
            <w:tcBorders>
              <w:top w:color="000000" w:sz="4" w:val="single"/>
              <w:left w:color="000000" w:sz="4" w:val="single"/>
              <w:bottom w:color="000000" w:sz="4" w:val="single"/>
              <w:right w:color="000000" w:sz="4" w:val="single"/>
            </w:tcBorders>
            <w:shd w:fill="FFFFFF" w:val="clear"/>
            <w:vAlign w:val="center"/>
          </w:tcPr>
          <w:p w14:paraId="78230000">
            <w:pPr>
              <w:widowControl w:val="1"/>
              <w:ind/>
              <w:contextualSpacing w:val="1"/>
              <w:jc w:val="center"/>
              <w:rPr>
                <w:sz w:val="22"/>
              </w:rPr>
            </w:pPr>
            <w:r>
              <w:rPr>
                <w:sz w:val="22"/>
              </w:rPr>
              <w:t>99000</w:t>
            </w:r>
          </w:p>
        </w:tc>
        <w:tc>
          <w:tcPr>
            <w:tcW w:type="dxa" w:w="1221"/>
            <w:tcBorders>
              <w:top w:color="000000" w:sz="4" w:val="single"/>
              <w:left w:color="000000" w:sz="4" w:val="single"/>
              <w:bottom w:color="000000" w:sz="4" w:val="single"/>
              <w:right w:color="000000" w:sz="4" w:val="single"/>
            </w:tcBorders>
            <w:shd w:fill="FFFFFF" w:val="clear"/>
            <w:vAlign w:val="center"/>
          </w:tcPr>
          <w:p w14:paraId="79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A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B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C23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7D23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E230000">
            <w:pPr>
              <w:widowControl w:val="1"/>
              <w:ind/>
              <w:contextualSpacing w:val="1"/>
              <w:jc w:val="center"/>
              <w:rPr>
                <w:sz w:val="22"/>
              </w:rPr>
            </w:pPr>
            <w:r>
              <w:rPr>
                <w:sz w:val="22"/>
              </w:rPr>
              <w:t>Закупка у взаимозависимого лица (пп1 п2 ст. 105.1 НК РФ)</w:t>
            </w:r>
          </w:p>
        </w:tc>
      </w:tr>
      <w:tr>
        <w:trPr>
          <w:trHeight w:hRule="atLeast" w:val="1110"/>
        </w:trPr>
        <w:tc>
          <w:tcPr>
            <w:tcW w:type="dxa" w:w="528"/>
            <w:tcBorders>
              <w:top w:color="000000" w:sz="4" w:val="single"/>
              <w:left w:color="000000" w:sz="4" w:val="single"/>
              <w:bottom w:color="000000" w:sz="4" w:val="single"/>
              <w:right w:color="000000" w:sz="4" w:val="single"/>
            </w:tcBorders>
            <w:shd w:fill="FFFFFF" w:val="clear"/>
            <w:vAlign w:val="center"/>
          </w:tcPr>
          <w:p w14:paraId="7F230000">
            <w:pPr>
              <w:widowControl w:val="1"/>
              <w:ind/>
              <w:contextualSpacing w:val="1"/>
              <w:rPr>
                <w:color w:val="000000"/>
                <w:sz w:val="22"/>
              </w:rPr>
            </w:pPr>
            <w:r>
              <w:rPr>
                <w:color w:val="000000"/>
                <w:sz w:val="22"/>
              </w:rPr>
              <w:t>170</w:t>
            </w:r>
          </w:p>
        </w:tc>
        <w:tc>
          <w:tcPr>
            <w:tcW w:type="dxa" w:w="1408"/>
            <w:tcBorders>
              <w:top w:color="000000" w:sz="4" w:val="single"/>
              <w:left w:color="000000" w:sz="4" w:val="single"/>
              <w:bottom w:color="000000" w:sz="4" w:val="single"/>
              <w:right w:color="000000" w:sz="4" w:val="single"/>
            </w:tcBorders>
            <w:shd w:fill="FFFFFF" w:val="clear"/>
            <w:vAlign w:val="center"/>
          </w:tcPr>
          <w:p w14:paraId="80230000">
            <w:pPr>
              <w:widowControl w:val="1"/>
              <w:ind/>
              <w:contextualSpacing w:val="1"/>
              <w:jc w:val="center"/>
              <w:rPr>
                <w:sz w:val="22"/>
              </w:rPr>
            </w:pPr>
            <w:r>
              <w:rPr>
                <w:sz w:val="22"/>
              </w:rPr>
              <w:t>ОАО "РЖД" Красноярский региональный центр связи</w:t>
            </w:r>
          </w:p>
        </w:tc>
        <w:tc>
          <w:tcPr>
            <w:tcW w:type="dxa" w:w="1408"/>
            <w:tcBorders>
              <w:top w:color="000000" w:sz="4" w:val="single"/>
              <w:left w:color="000000" w:sz="4" w:val="single"/>
              <w:bottom w:color="000000" w:sz="4" w:val="single"/>
              <w:right w:color="000000" w:sz="4" w:val="single"/>
            </w:tcBorders>
            <w:shd w:fill="FFFFFF" w:val="clear"/>
            <w:vAlign w:val="center"/>
          </w:tcPr>
          <w:p w14:paraId="81230000">
            <w:pPr>
              <w:widowControl w:val="1"/>
              <w:ind/>
              <w:contextualSpacing w:val="1"/>
              <w:jc w:val="center"/>
              <w:rPr>
                <w:sz w:val="22"/>
              </w:rPr>
            </w:pPr>
            <w:r>
              <w:rPr>
                <w:sz w:val="22"/>
              </w:rPr>
              <w:t>дополнительное соглашение № 2 к договору № 642/504316/МВ от 27.12.2017 от 21.12.2018</w:t>
            </w:r>
          </w:p>
        </w:tc>
        <w:tc>
          <w:tcPr>
            <w:tcW w:type="dxa" w:w="1274"/>
            <w:tcBorders>
              <w:top w:color="000000" w:sz="4" w:val="single"/>
              <w:left w:color="000000" w:sz="4" w:val="single"/>
              <w:bottom w:color="000000" w:sz="4" w:val="single"/>
              <w:right w:color="000000" w:sz="4" w:val="single"/>
            </w:tcBorders>
            <w:shd w:fill="FFFFFF" w:val="clear"/>
            <w:vAlign w:val="center"/>
          </w:tcPr>
          <w:p w14:paraId="82230000">
            <w:pPr>
              <w:widowControl w:val="1"/>
              <w:ind/>
              <w:contextualSpacing w:val="1"/>
              <w:jc w:val="center"/>
              <w:rPr>
                <w:color w:val="000000"/>
                <w:sz w:val="22"/>
              </w:rPr>
            </w:pPr>
            <w:r>
              <w:rPr>
                <w:color w:val="000000"/>
                <w:sz w:val="22"/>
              </w:rPr>
              <w:t>01.01.2018-31.12.2027</w:t>
            </w:r>
          </w:p>
        </w:tc>
        <w:tc>
          <w:tcPr>
            <w:tcW w:type="dxa" w:w="1556"/>
            <w:tcBorders>
              <w:top w:color="000000" w:sz="4" w:val="single"/>
              <w:left w:color="000000" w:sz="4" w:val="single"/>
              <w:bottom w:color="000000" w:sz="4" w:val="single"/>
              <w:right w:color="000000" w:sz="4" w:val="single"/>
            </w:tcBorders>
            <w:shd w:fill="FFFFFF" w:val="clear"/>
            <w:vAlign w:val="center"/>
          </w:tcPr>
          <w:p w14:paraId="83230000">
            <w:pPr>
              <w:widowControl w:val="1"/>
              <w:ind/>
              <w:contextualSpacing w:val="1"/>
              <w:jc w:val="center"/>
              <w:rPr>
                <w:sz w:val="22"/>
              </w:rPr>
            </w:pPr>
            <w:r>
              <w:rPr>
                <w:sz w:val="22"/>
              </w:rPr>
              <w:t>внесение изменений относительно ставки НДС с 01.01.2019г.</w:t>
            </w:r>
          </w:p>
        </w:tc>
        <w:tc>
          <w:tcPr>
            <w:tcW w:type="dxa" w:w="1194"/>
            <w:tcBorders>
              <w:top w:color="000000" w:sz="4" w:val="single"/>
              <w:left w:color="000000" w:sz="4" w:val="single"/>
              <w:bottom w:color="000000" w:sz="4" w:val="single"/>
              <w:right w:color="000000" w:sz="4" w:val="single"/>
            </w:tcBorders>
            <w:shd w:fill="FFFFFF" w:val="clear"/>
            <w:vAlign w:val="center"/>
          </w:tcPr>
          <w:p w14:paraId="84230000">
            <w:pPr>
              <w:widowControl w:val="1"/>
              <w:ind/>
              <w:contextualSpacing w:val="1"/>
              <w:jc w:val="center"/>
              <w:rPr>
                <w:sz w:val="22"/>
              </w:rPr>
            </w:pPr>
            <w:r>
              <w:rPr>
                <w:sz w:val="22"/>
              </w:rPr>
              <w:t>99000</w:t>
            </w:r>
          </w:p>
        </w:tc>
        <w:tc>
          <w:tcPr>
            <w:tcW w:type="dxa" w:w="1221"/>
            <w:tcBorders>
              <w:top w:color="000000" w:sz="4" w:val="single"/>
              <w:left w:color="000000" w:sz="4" w:val="single"/>
              <w:bottom w:color="000000" w:sz="4" w:val="single"/>
              <w:right w:color="000000" w:sz="4" w:val="single"/>
            </w:tcBorders>
            <w:shd w:fill="FFFFFF" w:val="clear"/>
            <w:vAlign w:val="center"/>
          </w:tcPr>
          <w:p w14:paraId="85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6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7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823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8923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8A230000">
            <w:pPr>
              <w:widowControl w:val="1"/>
              <w:ind/>
              <w:contextualSpacing w:val="1"/>
              <w:jc w:val="center"/>
              <w:rPr>
                <w:sz w:val="22"/>
              </w:rPr>
            </w:pPr>
            <w:r>
              <w:rPr>
                <w:sz w:val="22"/>
              </w:rPr>
              <w:t>Закупка у взаимозависимого лица (пп1 п2 ст. 105.1 НК РФ)</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8B230000">
            <w:pPr>
              <w:widowControl w:val="1"/>
              <w:ind/>
              <w:contextualSpacing w:val="1"/>
              <w:jc w:val="center"/>
              <w:rPr>
                <w:color w:val="000000"/>
                <w:sz w:val="22"/>
              </w:rPr>
            </w:pPr>
            <w:r>
              <w:rPr>
                <w:color w:val="000000"/>
                <w:sz w:val="22"/>
              </w:rPr>
              <w:t>итого по контрагенту ОАО "РЖД" Красноярский региональный центр связи 198 000 руб.</w:t>
            </w:r>
          </w:p>
          <w:p w14:paraId="8C23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8D230000">
            <w:pPr>
              <w:widowControl w:val="1"/>
              <w:ind/>
              <w:contextualSpacing w:val="1"/>
              <w:rPr>
                <w:color w:val="000000"/>
                <w:sz w:val="22"/>
              </w:rPr>
            </w:pPr>
            <w:r>
              <w:rPr>
                <w:color w:val="000000"/>
                <w:sz w:val="22"/>
              </w:rPr>
              <w:t>171</w:t>
            </w:r>
          </w:p>
        </w:tc>
        <w:tc>
          <w:tcPr>
            <w:tcW w:type="dxa" w:w="1408"/>
            <w:tcBorders>
              <w:top w:color="000000" w:sz="4" w:val="single"/>
              <w:left w:color="000000" w:sz="4" w:val="single"/>
              <w:bottom w:color="000000" w:sz="4" w:val="single"/>
              <w:right w:color="000000" w:sz="4" w:val="single"/>
            </w:tcBorders>
            <w:shd w:fill="FFFFFF" w:val="clear"/>
            <w:vAlign w:val="center"/>
          </w:tcPr>
          <w:p w14:paraId="8E230000">
            <w:pPr>
              <w:widowControl w:val="1"/>
              <w:ind/>
              <w:contextualSpacing w:val="1"/>
              <w:jc w:val="center"/>
              <w:rPr>
                <w:sz w:val="22"/>
              </w:rPr>
            </w:pPr>
            <w:r>
              <w:rPr>
                <w:sz w:val="22"/>
              </w:rPr>
              <w:t>ООО "Бастион-Канск 2"</w:t>
            </w:r>
          </w:p>
        </w:tc>
        <w:tc>
          <w:tcPr>
            <w:tcW w:type="dxa" w:w="1408"/>
            <w:tcBorders>
              <w:top w:color="000000" w:sz="4" w:val="single"/>
              <w:left w:color="000000" w:sz="4" w:val="single"/>
              <w:bottom w:color="000000" w:sz="4" w:val="single"/>
              <w:right w:color="000000" w:sz="4" w:val="single"/>
            </w:tcBorders>
            <w:shd w:fill="FFFFFF" w:val="clear"/>
            <w:vAlign w:val="center"/>
          </w:tcPr>
          <w:p w14:paraId="8F230000">
            <w:pPr>
              <w:widowControl w:val="1"/>
              <w:ind/>
              <w:contextualSpacing w:val="1"/>
              <w:jc w:val="center"/>
              <w:rPr>
                <w:sz w:val="22"/>
              </w:rPr>
            </w:pPr>
            <w:r>
              <w:rPr>
                <w:sz w:val="22"/>
              </w:rPr>
              <w:t>договор № 119 от 11.04.2018</w:t>
            </w:r>
          </w:p>
        </w:tc>
        <w:tc>
          <w:tcPr>
            <w:tcW w:type="dxa" w:w="1274"/>
            <w:tcBorders>
              <w:top w:color="000000" w:sz="4" w:val="single"/>
              <w:left w:color="000000" w:sz="4" w:val="single"/>
              <w:bottom w:color="000000" w:sz="4" w:val="single"/>
              <w:right w:color="000000" w:sz="4" w:val="single"/>
            </w:tcBorders>
            <w:shd w:fill="FFFFFF" w:val="clear"/>
            <w:vAlign w:val="center"/>
          </w:tcPr>
          <w:p w14:paraId="90230000">
            <w:pPr>
              <w:widowControl w:val="1"/>
              <w:ind/>
              <w:contextualSpacing w:val="1"/>
              <w:jc w:val="center"/>
              <w:rPr>
                <w:sz w:val="22"/>
              </w:rPr>
            </w:pPr>
            <w:r>
              <w:rPr>
                <w:sz w:val="22"/>
              </w:rPr>
              <w:t>01.05.2018-31.12.2018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91230000">
            <w:pPr>
              <w:widowControl w:val="1"/>
              <w:ind/>
              <w:contextualSpacing w:val="1"/>
              <w:jc w:val="center"/>
              <w:rPr>
                <w:sz w:val="22"/>
              </w:rPr>
            </w:pPr>
            <w:r>
              <w:rPr>
                <w:sz w:val="22"/>
              </w:rPr>
              <w:t>оказание услуг по охране имущества для нужд АО "Краспригород" в границах Красноярской железной дороги,</w:t>
            </w:r>
          </w:p>
        </w:tc>
        <w:tc>
          <w:tcPr>
            <w:tcW w:type="dxa" w:w="1194"/>
            <w:tcBorders>
              <w:top w:color="000000" w:sz="4" w:val="single"/>
              <w:left w:color="000000" w:sz="4" w:val="single"/>
              <w:bottom w:color="000000" w:sz="4" w:val="single"/>
              <w:right w:color="000000" w:sz="4" w:val="single"/>
            </w:tcBorders>
            <w:shd w:fill="FFFFFF" w:val="clear"/>
            <w:vAlign w:val="center"/>
          </w:tcPr>
          <w:p w14:paraId="92230000">
            <w:pPr>
              <w:widowControl w:val="1"/>
              <w:ind/>
              <w:contextualSpacing w:val="1"/>
              <w:jc w:val="center"/>
              <w:rPr>
                <w:sz w:val="22"/>
              </w:rPr>
            </w:pPr>
            <w:r>
              <w:rPr>
                <w:sz w:val="22"/>
              </w:rPr>
              <w:t>1987950</w:t>
            </w:r>
          </w:p>
        </w:tc>
        <w:tc>
          <w:tcPr>
            <w:tcW w:type="dxa" w:w="1221"/>
            <w:tcBorders>
              <w:top w:color="000000" w:sz="4" w:val="single"/>
              <w:left w:color="000000" w:sz="4" w:val="single"/>
              <w:bottom w:color="000000" w:sz="4" w:val="single"/>
              <w:right w:color="000000" w:sz="4" w:val="single"/>
            </w:tcBorders>
            <w:shd w:fill="FFFFFF" w:val="clear"/>
            <w:vAlign w:val="center"/>
          </w:tcPr>
          <w:p w14:paraId="93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4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5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623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9723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8230000">
            <w:pPr>
              <w:widowControl w:val="1"/>
              <w:ind/>
              <w:contextualSpacing w:val="1"/>
              <w:jc w:val="center"/>
              <w:rPr>
                <w:sz w:val="22"/>
              </w:rPr>
            </w:pPr>
            <w:r>
              <w:rPr>
                <w:sz w:val="22"/>
              </w:rPr>
              <w:t>протокол КК № 6 ОТ 23.03.2018</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9230000">
            <w:pPr>
              <w:widowControl w:val="1"/>
              <w:ind/>
              <w:contextualSpacing w:val="1"/>
              <w:rPr>
                <w:color w:val="000000"/>
                <w:sz w:val="22"/>
              </w:rPr>
            </w:pPr>
            <w:r>
              <w:rPr>
                <w:color w:val="000000"/>
                <w:sz w:val="22"/>
              </w:rPr>
              <w:t>172</w:t>
            </w:r>
          </w:p>
        </w:tc>
        <w:tc>
          <w:tcPr>
            <w:tcW w:type="dxa" w:w="1408"/>
            <w:tcBorders>
              <w:top w:color="000000" w:sz="4" w:val="single"/>
              <w:left w:color="000000" w:sz="4" w:val="single"/>
              <w:bottom w:color="000000" w:sz="4" w:val="single"/>
              <w:right w:color="000000" w:sz="4" w:val="single"/>
            </w:tcBorders>
            <w:shd w:fill="FFFFFF" w:val="clear"/>
            <w:vAlign w:val="center"/>
          </w:tcPr>
          <w:p w14:paraId="9A230000">
            <w:pPr>
              <w:widowControl w:val="1"/>
              <w:ind/>
              <w:contextualSpacing w:val="1"/>
              <w:jc w:val="center"/>
              <w:rPr>
                <w:sz w:val="22"/>
              </w:rPr>
            </w:pPr>
            <w:r>
              <w:rPr>
                <w:sz w:val="22"/>
              </w:rPr>
              <w:t>ООО "Бастион-Канск 2"</w:t>
            </w:r>
          </w:p>
        </w:tc>
        <w:tc>
          <w:tcPr>
            <w:tcW w:type="dxa" w:w="1408"/>
            <w:tcBorders>
              <w:top w:color="000000" w:sz="4" w:val="single"/>
              <w:left w:color="000000" w:sz="4" w:val="single"/>
              <w:bottom w:color="000000" w:sz="4" w:val="single"/>
              <w:right w:color="000000" w:sz="4" w:val="single"/>
            </w:tcBorders>
            <w:shd w:fill="FFFFFF" w:val="clear"/>
            <w:vAlign w:val="center"/>
          </w:tcPr>
          <w:p w14:paraId="9B230000">
            <w:pPr>
              <w:widowControl w:val="1"/>
              <w:ind/>
              <w:contextualSpacing w:val="1"/>
              <w:jc w:val="center"/>
              <w:rPr>
                <w:sz w:val="22"/>
              </w:rPr>
            </w:pPr>
            <w:r>
              <w:rPr>
                <w:sz w:val="22"/>
              </w:rPr>
              <w:t>дополнительное соглашение № 1 к договору № 119 от 11.04.2018 от 29.12.2018</w:t>
            </w:r>
          </w:p>
        </w:tc>
        <w:tc>
          <w:tcPr>
            <w:tcW w:type="dxa" w:w="1274"/>
            <w:tcBorders>
              <w:top w:color="000000" w:sz="4" w:val="single"/>
              <w:left w:color="000000" w:sz="4" w:val="single"/>
              <w:bottom w:color="000000" w:sz="4" w:val="single"/>
              <w:right w:color="000000" w:sz="4" w:val="single"/>
            </w:tcBorders>
            <w:shd w:fill="FFFFFF" w:val="clear"/>
            <w:vAlign w:val="center"/>
          </w:tcPr>
          <w:p w14:paraId="9C230000">
            <w:pPr>
              <w:widowControl w:val="1"/>
              <w:ind/>
              <w:contextualSpacing w:val="1"/>
              <w:jc w:val="center"/>
              <w:rPr>
                <w:sz w:val="22"/>
              </w:rPr>
            </w:pPr>
            <w:r>
              <w:rPr>
                <w:sz w:val="22"/>
              </w:rPr>
              <w:t>01.05.2018-31.12.2018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9D230000">
            <w:pPr>
              <w:widowControl w:val="1"/>
              <w:ind/>
              <w:contextualSpacing w:val="1"/>
              <w:jc w:val="center"/>
              <w:rPr>
                <w:sz w:val="22"/>
              </w:rPr>
            </w:pPr>
            <w:r>
              <w:rPr>
                <w:sz w:val="22"/>
              </w:rPr>
              <w:t>продление срока действия договора на оказание услуг по охране имущества для нужд АО "Краспригород" в границах Красноярской железной дороги, без изменения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9E230000">
            <w:pPr>
              <w:widowControl w:val="1"/>
              <w:ind/>
              <w:contextualSpacing w:val="1"/>
              <w:jc w:val="center"/>
              <w:rPr>
                <w:sz w:val="22"/>
              </w:rPr>
            </w:pPr>
            <w:r>
              <w:rPr>
                <w:sz w:val="22"/>
              </w:rPr>
              <w:t>1987950</w:t>
            </w:r>
          </w:p>
        </w:tc>
        <w:tc>
          <w:tcPr>
            <w:tcW w:type="dxa" w:w="1221"/>
            <w:tcBorders>
              <w:top w:color="000000" w:sz="4" w:val="single"/>
              <w:left w:color="000000" w:sz="4" w:val="single"/>
              <w:bottom w:color="000000" w:sz="4" w:val="single"/>
              <w:right w:color="000000" w:sz="4" w:val="single"/>
            </w:tcBorders>
            <w:shd w:fill="FFFFFF" w:val="clear"/>
            <w:vAlign w:val="center"/>
          </w:tcPr>
          <w:p w14:paraId="9F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0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1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223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A323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4230000">
            <w:pPr>
              <w:widowControl w:val="1"/>
              <w:ind/>
              <w:contextualSpacing w:val="1"/>
              <w:jc w:val="center"/>
              <w:rPr>
                <w:sz w:val="22"/>
              </w:rPr>
            </w:pPr>
            <w:r>
              <w:rPr>
                <w:sz w:val="22"/>
              </w:rPr>
              <w:t>протокол КК № 15 от 29.12.2018</w:t>
            </w:r>
          </w:p>
        </w:tc>
      </w:tr>
      <w:tr>
        <w:trPr>
          <w:trHeight w:hRule="atLeast" w:val="767"/>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A5230000">
            <w:pPr>
              <w:widowControl w:val="1"/>
              <w:ind/>
              <w:contextualSpacing w:val="1"/>
              <w:jc w:val="center"/>
              <w:rPr>
                <w:color w:val="000000"/>
                <w:sz w:val="22"/>
              </w:rPr>
            </w:pPr>
            <w:r>
              <w:rPr>
                <w:color w:val="000000"/>
                <w:sz w:val="22"/>
              </w:rPr>
              <w:t>итого по контрагенту ООО "Бастион-Канск 2" 1987950 руб.</w:t>
            </w:r>
          </w:p>
          <w:p w14:paraId="A623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7230000">
            <w:pPr>
              <w:widowControl w:val="1"/>
              <w:ind/>
              <w:contextualSpacing w:val="1"/>
              <w:rPr>
                <w:color w:val="000000"/>
                <w:sz w:val="22"/>
              </w:rPr>
            </w:pPr>
            <w:r>
              <w:rPr>
                <w:color w:val="000000"/>
                <w:sz w:val="22"/>
              </w:rPr>
              <w:t>173</w:t>
            </w:r>
          </w:p>
        </w:tc>
        <w:tc>
          <w:tcPr>
            <w:tcW w:type="dxa" w:w="1408"/>
            <w:tcBorders>
              <w:top w:color="000000" w:sz="4" w:val="single"/>
              <w:left w:color="000000" w:sz="4" w:val="single"/>
              <w:bottom w:color="000000" w:sz="4" w:val="single"/>
              <w:right w:color="000000" w:sz="4" w:val="single"/>
            </w:tcBorders>
            <w:shd w:fill="FFFFFF" w:val="clear"/>
            <w:vAlign w:val="center"/>
          </w:tcPr>
          <w:p w14:paraId="A8230000">
            <w:pPr>
              <w:widowControl w:val="1"/>
              <w:ind/>
              <w:contextualSpacing w:val="1"/>
              <w:jc w:val="center"/>
              <w:rPr>
                <w:sz w:val="22"/>
              </w:rPr>
            </w:pPr>
            <w:r>
              <w:rPr>
                <w:sz w:val="22"/>
              </w:rPr>
              <w:t>ООО "Клеверенс Софт"</w:t>
            </w:r>
          </w:p>
        </w:tc>
        <w:tc>
          <w:tcPr>
            <w:tcW w:type="dxa" w:w="1408"/>
            <w:tcBorders>
              <w:top w:color="000000" w:sz="4" w:val="single"/>
              <w:left w:color="000000" w:sz="4" w:val="single"/>
              <w:bottom w:color="000000" w:sz="4" w:val="single"/>
              <w:right w:color="000000" w:sz="4" w:val="single"/>
            </w:tcBorders>
            <w:shd w:fill="FFFFFF" w:val="clear"/>
            <w:vAlign w:val="center"/>
          </w:tcPr>
          <w:p w14:paraId="A9230000">
            <w:pPr>
              <w:widowControl w:val="1"/>
              <w:ind/>
              <w:contextualSpacing w:val="1"/>
              <w:jc w:val="center"/>
              <w:rPr>
                <w:sz w:val="22"/>
              </w:rPr>
            </w:pPr>
            <w:r>
              <w:rPr>
                <w:sz w:val="22"/>
              </w:rPr>
              <w:t>договор № КСУТ-001039/18 от 27.04.2018</w:t>
            </w:r>
          </w:p>
        </w:tc>
        <w:tc>
          <w:tcPr>
            <w:tcW w:type="dxa" w:w="1274"/>
            <w:tcBorders>
              <w:top w:color="000000" w:sz="4" w:val="single"/>
              <w:left w:color="000000" w:sz="4" w:val="single"/>
              <w:bottom w:color="000000" w:sz="4" w:val="single"/>
              <w:right w:color="000000" w:sz="4" w:val="single"/>
            </w:tcBorders>
            <w:shd w:fill="FFFFFF" w:val="clear"/>
            <w:vAlign w:val="center"/>
          </w:tcPr>
          <w:p w14:paraId="AA230000">
            <w:pPr>
              <w:widowControl w:val="1"/>
              <w:ind/>
              <w:contextualSpacing w:val="1"/>
              <w:jc w:val="center"/>
              <w:rPr>
                <w:sz w:val="22"/>
              </w:rPr>
            </w:pPr>
            <w:r>
              <w:rPr>
                <w:sz w:val="22"/>
              </w:rPr>
              <w:t>27.04.2018-31.12.2018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AB230000">
            <w:pPr>
              <w:widowControl w:val="1"/>
              <w:ind/>
              <w:contextualSpacing w:val="1"/>
              <w:jc w:val="center"/>
              <w:rPr>
                <w:color w:val="000000"/>
                <w:sz w:val="22"/>
              </w:rPr>
            </w:pPr>
            <w:r>
              <w:rPr>
                <w:color w:val="000000"/>
                <w:sz w:val="22"/>
              </w:rPr>
              <w:t>Оказание услуг по интеграции оборудования терминала сбора данных ChipherlabCP 55 под управлением операционной системы Windows CE с контрольно-кассовым аппаратом  АТОЛ 11Ф</w:t>
            </w:r>
          </w:p>
        </w:tc>
        <w:tc>
          <w:tcPr>
            <w:tcW w:type="dxa" w:w="1194"/>
            <w:tcBorders>
              <w:top w:color="000000" w:sz="4" w:val="single"/>
              <w:left w:color="000000" w:sz="4" w:val="single"/>
              <w:bottom w:color="000000" w:sz="4" w:val="single"/>
              <w:right w:color="000000" w:sz="4" w:val="single"/>
            </w:tcBorders>
            <w:shd w:fill="FFFFFF" w:val="clear"/>
            <w:vAlign w:val="center"/>
          </w:tcPr>
          <w:p w14:paraId="AC230000">
            <w:pPr>
              <w:widowControl w:val="1"/>
              <w:ind/>
              <w:contextualSpacing w:val="1"/>
              <w:jc w:val="center"/>
              <w:rPr>
                <w:sz w:val="22"/>
              </w:rPr>
            </w:pPr>
            <w:r>
              <w:rPr>
                <w:sz w:val="22"/>
              </w:rPr>
              <w:t>200000</w:t>
            </w:r>
          </w:p>
        </w:tc>
        <w:tc>
          <w:tcPr>
            <w:tcW w:type="dxa" w:w="1221"/>
            <w:tcBorders>
              <w:top w:color="000000" w:sz="4" w:val="single"/>
              <w:left w:color="000000" w:sz="4" w:val="single"/>
              <w:bottom w:color="000000" w:sz="4" w:val="single"/>
              <w:right w:color="000000" w:sz="4" w:val="single"/>
            </w:tcBorders>
            <w:shd w:fill="FFFFFF" w:val="clear"/>
            <w:vAlign w:val="center"/>
          </w:tcPr>
          <w:p w14:paraId="AD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E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F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023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B123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B223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B3230000">
            <w:pPr>
              <w:widowControl w:val="1"/>
              <w:ind/>
              <w:contextualSpacing w:val="1"/>
              <w:rPr>
                <w:color w:val="000000"/>
                <w:sz w:val="22"/>
              </w:rPr>
            </w:pPr>
            <w:r>
              <w:rPr>
                <w:color w:val="000000"/>
                <w:sz w:val="22"/>
              </w:rPr>
              <w:t>174</w:t>
            </w:r>
          </w:p>
        </w:tc>
        <w:tc>
          <w:tcPr>
            <w:tcW w:type="dxa" w:w="1408"/>
            <w:tcBorders>
              <w:top w:color="000000" w:sz="4" w:val="single"/>
              <w:left w:color="000000" w:sz="4" w:val="single"/>
              <w:bottom w:color="000000" w:sz="4" w:val="single"/>
              <w:right w:color="000000" w:sz="4" w:val="single"/>
            </w:tcBorders>
            <w:shd w:fill="FFFFFF" w:val="clear"/>
            <w:vAlign w:val="center"/>
          </w:tcPr>
          <w:p w14:paraId="B4230000">
            <w:pPr>
              <w:widowControl w:val="1"/>
              <w:ind/>
              <w:contextualSpacing w:val="1"/>
              <w:jc w:val="center"/>
              <w:rPr>
                <w:sz w:val="22"/>
              </w:rPr>
            </w:pPr>
            <w:r>
              <w:rPr>
                <w:sz w:val="22"/>
              </w:rPr>
              <w:t>ООО "НТЦ ИнтерБИТ"</w:t>
            </w:r>
          </w:p>
        </w:tc>
        <w:tc>
          <w:tcPr>
            <w:tcW w:type="dxa" w:w="1408"/>
            <w:tcBorders>
              <w:top w:color="000000" w:sz="4" w:val="single"/>
              <w:left w:color="000000" w:sz="4" w:val="single"/>
              <w:bottom w:color="000000" w:sz="4" w:val="single"/>
              <w:right w:color="000000" w:sz="4" w:val="single"/>
            </w:tcBorders>
            <w:shd w:fill="FFFFFF" w:val="clear"/>
            <w:vAlign w:val="center"/>
          </w:tcPr>
          <w:p w14:paraId="B5230000">
            <w:pPr>
              <w:widowControl w:val="1"/>
              <w:ind/>
              <w:contextualSpacing w:val="1"/>
              <w:jc w:val="center"/>
              <w:rPr>
                <w:sz w:val="22"/>
              </w:rPr>
            </w:pPr>
            <w:r>
              <w:rPr>
                <w:sz w:val="22"/>
              </w:rPr>
              <w:t>договор № 66 от 17.04.2018</w:t>
            </w:r>
          </w:p>
        </w:tc>
        <w:tc>
          <w:tcPr>
            <w:tcW w:type="dxa" w:w="1274"/>
            <w:tcBorders>
              <w:top w:color="000000" w:sz="4" w:val="single"/>
              <w:left w:color="000000" w:sz="4" w:val="single"/>
              <w:bottom w:color="000000" w:sz="4" w:val="single"/>
              <w:right w:color="000000" w:sz="4" w:val="single"/>
            </w:tcBorders>
            <w:shd w:fill="FFFFFF" w:val="clear"/>
            <w:vAlign w:val="center"/>
          </w:tcPr>
          <w:p w14:paraId="B6230000">
            <w:pPr>
              <w:widowControl w:val="1"/>
              <w:ind/>
              <w:contextualSpacing w:val="1"/>
              <w:jc w:val="center"/>
              <w:rPr>
                <w:sz w:val="22"/>
              </w:rPr>
            </w:pPr>
            <w:r>
              <w:rPr>
                <w:sz w:val="22"/>
              </w:rPr>
              <w:t>17.04.2018-27.04.2019</w:t>
            </w:r>
          </w:p>
        </w:tc>
        <w:tc>
          <w:tcPr>
            <w:tcW w:type="dxa" w:w="1556"/>
            <w:tcBorders>
              <w:top w:color="000000" w:sz="4" w:val="single"/>
              <w:left w:color="000000" w:sz="4" w:val="single"/>
              <w:bottom w:color="000000" w:sz="4" w:val="single"/>
              <w:right w:color="000000" w:sz="4" w:val="single"/>
            </w:tcBorders>
            <w:shd w:fill="FFFFFF" w:val="clear"/>
            <w:vAlign w:val="center"/>
          </w:tcPr>
          <w:p w14:paraId="B7230000">
            <w:pPr>
              <w:widowControl w:val="1"/>
              <w:ind/>
              <w:contextualSpacing w:val="1"/>
              <w:jc w:val="center"/>
              <w:rPr>
                <w:sz w:val="22"/>
              </w:rPr>
            </w:pPr>
            <w:r>
              <w:rPr>
                <w:sz w:val="22"/>
              </w:rPr>
              <w:t>поставка антивирусного программного обеспечения</w:t>
            </w:r>
          </w:p>
        </w:tc>
        <w:tc>
          <w:tcPr>
            <w:tcW w:type="dxa" w:w="1194"/>
            <w:tcBorders>
              <w:top w:color="000000" w:sz="4" w:val="single"/>
              <w:left w:color="000000" w:sz="4" w:val="single"/>
              <w:bottom w:color="000000" w:sz="4" w:val="single"/>
              <w:right w:color="000000" w:sz="4" w:val="single"/>
            </w:tcBorders>
            <w:shd w:fill="FFFFFF" w:val="clear"/>
            <w:vAlign w:val="center"/>
          </w:tcPr>
          <w:p w14:paraId="B8230000">
            <w:pPr>
              <w:widowControl w:val="1"/>
              <w:ind/>
              <w:contextualSpacing w:val="1"/>
              <w:jc w:val="center"/>
              <w:rPr>
                <w:sz w:val="22"/>
              </w:rPr>
            </w:pPr>
            <w:r>
              <w:rPr>
                <w:sz w:val="22"/>
              </w:rPr>
              <w:t>333810</w:t>
            </w:r>
          </w:p>
        </w:tc>
        <w:tc>
          <w:tcPr>
            <w:tcW w:type="dxa" w:w="1221"/>
            <w:tcBorders>
              <w:top w:color="000000" w:sz="4" w:val="single"/>
              <w:left w:color="000000" w:sz="4" w:val="single"/>
              <w:bottom w:color="000000" w:sz="4" w:val="single"/>
              <w:right w:color="000000" w:sz="4" w:val="single"/>
            </w:tcBorders>
            <w:shd w:fill="FFFFFF" w:val="clear"/>
            <w:vAlign w:val="center"/>
          </w:tcPr>
          <w:p w14:paraId="B9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A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B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C23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BD23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BE23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BF230000">
            <w:pPr>
              <w:widowControl w:val="1"/>
              <w:ind/>
              <w:contextualSpacing w:val="1"/>
              <w:rPr>
                <w:color w:val="000000"/>
                <w:sz w:val="22"/>
              </w:rPr>
            </w:pPr>
            <w:r>
              <w:rPr>
                <w:color w:val="000000"/>
                <w:sz w:val="22"/>
              </w:rPr>
              <w:t>175</w:t>
            </w:r>
          </w:p>
        </w:tc>
        <w:tc>
          <w:tcPr>
            <w:tcW w:type="dxa" w:w="1408"/>
            <w:tcBorders>
              <w:top w:color="000000" w:sz="4" w:val="single"/>
              <w:left w:color="000000" w:sz="4" w:val="single"/>
              <w:bottom w:color="000000" w:sz="4" w:val="single"/>
              <w:right w:color="000000" w:sz="4" w:val="single"/>
            </w:tcBorders>
            <w:shd w:fill="FFFFFF" w:val="clear"/>
            <w:vAlign w:val="center"/>
          </w:tcPr>
          <w:p w14:paraId="C0230000">
            <w:pPr>
              <w:widowControl w:val="1"/>
              <w:ind/>
              <w:contextualSpacing w:val="1"/>
              <w:jc w:val="center"/>
              <w:rPr>
                <w:sz w:val="22"/>
              </w:rPr>
            </w:pPr>
            <w:r>
              <w:rPr>
                <w:sz w:val="22"/>
              </w:rPr>
              <w:t>ООО "Про-Брайт"</w:t>
            </w:r>
          </w:p>
        </w:tc>
        <w:tc>
          <w:tcPr>
            <w:tcW w:type="dxa" w:w="1408"/>
            <w:tcBorders>
              <w:top w:color="000000" w:sz="4" w:val="single"/>
              <w:left w:color="000000" w:sz="4" w:val="single"/>
              <w:bottom w:color="000000" w:sz="4" w:val="single"/>
              <w:right w:color="000000" w:sz="4" w:val="single"/>
            </w:tcBorders>
            <w:shd w:fill="FFFFFF" w:val="clear"/>
            <w:vAlign w:val="center"/>
          </w:tcPr>
          <w:p w14:paraId="C1230000">
            <w:pPr>
              <w:widowControl w:val="1"/>
              <w:ind/>
              <w:contextualSpacing w:val="1"/>
              <w:jc w:val="center"/>
              <w:rPr>
                <w:sz w:val="22"/>
              </w:rPr>
            </w:pPr>
            <w:r>
              <w:rPr>
                <w:sz w:val="22"/>
              </w:rPr>
              <w:t>договор № 68 от 20.04.2018</w:t>
            </w:r>
          </w:p>
        </w:tc>
        <w:tc>
          <w:tcPr>
            <w:tcW w:type="dxa" w:w="1274"/>
            <w:tcBorders>
              <w:top w:color="000000" w:sz="4" w:val="single"/>
              <w:left w:color="000000" w:sz="4" w:val="single"/>
              <w:bottom w:color="000000" w:sz="4" w:val="single"/>
              <w:right w:color="000000" w:sz="4" w:val="single"/>
            </w:tcBorders>
            <w:shd w:fill="FFFFFF" w:val="clear"/>
            <w:vAlign w:val="center"/>
          </w:tcPr>
          <w:p w14:paraId="C2230000">
            <w:pPr>
              <w:widowControl w:val="1"/>
              <w:ind/>
              <w:contextualSpacing w:val="1"/>
              <w:jc w:val="center"/>
              <w:rPr>
                <w:sz w:val="22"/>
              </w:rPr>
            </w:pPr>
            <w:r>
              <w:rPr>
                <w:sz w:val="22"/>
              </w:rPr>
              <w:t>20.04.2018-30.04.2019</w:t>
            </w:r>
          </w:p>
        </w:tc>
        <w:tc>
          <w:tcPr>
            <w:tcW w:type="dxa" w:w="1556"/>
            <w:tcBorders>
              <w:top w:color="000000" w:sz="4" w:val="single"/>
              <w:left w:color="000000" w:sz="4" w:val="single"/>
              <w:bottom w:color="000000" w:sz="4" w:val="single"/>
              <w:right w:color="000000" w:sz="4" w:val="single"/>
            </w:tcBorders>
            <w:shd w:fill="FFFFFF" w:val="clear"/>
            <w:vAlign w:val="center"/>
          </w:tcPr>
          <w:p w14:paraId="C3230000">
            <w:pPr>
              <w:widowControl w:val="1"/>
              <w:ind/>
              <w:contextualSpacing w:val="1"/>
              <w:jc w:val="center"/>
              <w:rPr>
                <w:sz w:val="22"/>
              </w:rPr>
            </w:pPr>
            <w:r>
              <w:rPr>
                <w:sz w:val="22"/>
              </w:rPr>
              <w:t>бытовая химия</w:t>
            </w:r>
          </w:p>
        </w:tc>
        <w:tc>
          <w:tcPr>
            <w:tcW w:type="dxa" w:w="1194"/>
            <w:tcBorders>
              <w:top w:color="000000" w:sz="4" w:val="single"/>
              <w:left w:color="000000" w:sz="4" w:val="single"/>
              <w:bottom w:color="000000" w:sz="4" w:val="single"/>
              <w:right w:color="000000" w:sz="4" w:val="single"/>
            </w:tcBorders>
            <w:shd w:fill="FFFFFF" w:val="clear"/>
            <w:vAlign w:val="center"/>
          </w:tcPr>
          <w:p w14:paraId="C4230000">
            <w:pPr>
              <w:widowControl w:val="1"/>
              <w:ind/>
              <w:contextualSpacing w:val="1"/>
              <w:jc w:val="center"/>
              <w:rPr>
                <w:sz w:val="22"/>
              </w:rPr>
            </w:pPr>
            <w:r>
              <w:rPr>
                <w:sz w:val="22"/>
              </w:rPr>
              <w:t>184984</w:t>
            </w:r>
          </w:p>
        </w:tc>
        <w:tc>
          <w:tcPr>
            <w:tcW w:type="dxa" w:w="1221"/>
            <w:tcBorders>
              <w:top w:color="000000" w:sz="4" w:val="single"/>
              <w:left w:color="000000" w:sz="4" w:val="single"/>
              <w:bottom w:color="000000" w:sz="4" w:val="single"/>
              <w:right w:color="000000" w:sz="4" w:val="single"/>
            </w:tcBorders>
            <w:shd w:fill="FFFFFF" w:val="clear"/>
            <w:vAlign w:val="center"/>
          </w:tcPr>
          <w:p w14:paraId="C5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6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7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823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C923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A23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B230000">
            <w:pPr>
              <w:widowControl w:val="1"/>
              <w:ind/>
              <w:contextualSpacing w:val="1"/>
              <w:rPr>
                <w:color w:val="000000"/>
                <w:sz w:val="22"/>
              </w:rPr>
            </w:pPr>
            <w:r>
              <w:rPr>
                <w:color w:val="000000"/>
                <w:sz w:val="22"/>
              </w:rPr>
              <w:t>176</w:t>
            </w:r>
          </w:p>
        </w:tc>
        <w:tc>
          <w:tcPr>
            <w:tcW w:type="dxa" w:w="1408"/>
            <w:tcBorders>
              <w:top w:color="000000" w:sz="4" w:val="single"/>
              <w:left w:color="000000" w:sz="4" w:val="single"/>
              <w:bottom w:color="000000" w:sz="4" w:val="single"/>
              <w:right w:color="000000" w:sz="4" w:val="single"/>
            </w:tcBorders>
            <w:shd w:fill="FFFFFF" w:val="clear"/>
            <w:vAlign w:val="center"/>
          </w:tcPr>
          <w:p w14:paraId="CC230000">
            <w:pPr>
              <w:widowControl w:val="1"/>
              <w:ind/>
              <w:contextualSpacing w:val="1"/>
              <w:jc w:val="center"/>
              <w:rPr>
                <w:sz w:val="22"/>
              </w:rPr>
            </w:pPr>
            <w:r>
              <w:rPr>
                <w:sz w:val="22"/>
              </w:rPr>
              <w:t>ООО "Про-Брайт"</w:t>
            </w:r>
          </w:p>
        </w:tc>
        <w:tc>
          <w:tcPr>
            <w:tcW w:type="dxa" w:w="1408"/>
            <w:tcBorders>
              <w:top w:color="000000" w:sz="4" w:val="single"/>
              <w:left w:color="000000" w:sz="4" w:val="single"/>
              <w:bottom w:color="000000" w:sz="4" w:val="single"/>
              <w:right w:color="000000" w:sz="4" w:val="single"/>
            </w:tcBorders>
            <w:shd w:fill="FFFFFF" w:val="clear"/>
            <w:vAlign w:val="center"/>
          </w:tcPr>
          <w:p w14:paraId="CD230000">
            <w:pPr>
              <w:widowControl w:val="1"/>
              <w:ind/>
              <w:contextualSpacing w:val="1"/>
              <w:jc w:val="center"/>
              <w:rPr>
                <w:sz w:val="22"/>
              </w:rPr>
            </w:pPr>
            <w:r>
              <w:rPr>
                <w:sz w:val="22"/>
              </w:rPr>
              <w:t>дополнительное соглашение № 1 к договору № 68 от 20.04.2018 от 17.12.2018</w:t>
            </w:r>
          </w:p>
        </w:tc>
        <w:tc>
          <w:tcPr>
            <w:tcW w:type="dxa" w:w="1274"/>
            <w:tcBorders>
              <w:top w:color="000000" w:sz="4" w:val="single"/>
              <w:left w:color="000000" w:sz="4" w:val="single"/>
              <w:bottom w:color="000000" w:sz="4" w:val="single"/>
              <w:right w:color="000000" w:sz="4" w:val="single"/>
            </w:tcBorders>
            <w:shd w:fill="FFFFFF" w:val="clear"/>
            <w:vAlign w:val="center"/>
          </w:tcPr>
          <w:p w14:paraId="CE230000">
            <w:pPr>
              <w:widowControl w:val="1"/>
              <w:ind/>
              <w:contextualSpacing w:val="1"/>
              <w:jc w:val="center"/>
              <w:rPr>
                <w:sz w:val="22"/>
              </w:rPr>
            </w:pPr>
            <w:r>
              <w:rPr>
                <w:sz w:val="22"/>
              </w:rPr>
              <w:t>20.04.2018-30.04.2019</w:t>
            </w:r>
          </w:p>
        </w:tc>
        <w:tc>
          <w:tcPr>
            <w:tcW w:type="dxa" w:w="1556"/>
            <w:tcBorders>
              <w:top w:color="000000" w:sz="4" w:val="single"/>
              <w:left w:color="000000" w:sz="4" w:val="single"/>
              <w:bottom w:color="000000" w:sz="4" w:val="single"/>
              <w:right w:color="000000" w:sz="4" w:val="single"/>
            </w:tcBorders>
            <w:shd w:fill="FFFFFF" w:val="clear"/>
            <w:vAlign w:val="center"/>
          </w:tcPr>
          <w:p w14:paraId="CF230000">
            <w:pPr>
              <w:widowControl w:val="1"/>
              <w:ind/>
              <w:contextualSpacing w:val="1"/>
              <w:jc w:val="center"/>
              <w:rPr>
                <w:sz w:val="22"/>
              </w:rPr>
            </w:pPr>
            <w:r>
              <w:rPr>
                <w:sz w:val="22"/>
              </w:rPr>
              <w:t>увеличение предельной цены договора в связи с увеличением ставки НДС</w:t>
            </w:r>
          </w:p>
        </w:tc>
        <w:tc>
          <w:tcPr>
            <w:tcW w:type="dxa" w:w="1194"/>
            <w:tcBorders>
              <w:top w:color="000000" w:sz="4" w:val="single"/>
              <w:left w:color="000000" w:sz="4" w:val="single"/>
              <w:bottom w:color="000000" w:sz="4" w:val="single"/>
              <w:right w:color="000000" w:sz="4" w:val="single"/>
            </w:tcBorders>
            <w:shd w:fill="FFFFFF" w:val="clear"/>
            <w:vAlign w:val="center"/>
          </w:tcPr>
          <w:p w14:paraId="D0230000">
            <w:pPr>
              <w:widowControl w:val="1"/>
              <w:ind/>
              <w:contextualSpacing w:val="1"/>
              <w:jc w:val="center"/>
              <w:rPr>
                <w:sz w:val="22"/>
              </w:rPr>
            </w:pPr>
            <w:r>
              <w:rPr>
                <w:sz w:val="22"/>
              </w:rPr>
              <w:t>185693,38</w:t>
            </w:r>
          </w:p>
        </w:tc>
        <w:tc>
          <w:tcPr>
            <w:tcW w:type="dxa" w:w="1221"/>
            <w:tcBorders>
              <w:top w:color="000000" w:sz="4" w:val="single"/>
              <w:left w:color="000000" w:sz="4" w:val="single"/>
              <w:bottom w:color="000000" w:sz="4" w:val="single"/>
              <w:right w:color="000000" w:sz="4" w:val="single"/>
            </w:tcBorders>
            <w:shd w:fill="FFFFFF" w:val="clear"/>
            <w:vAlign w:val="center"/>
          </w:tcPr>
          <w:p w14:paraId="D1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2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3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423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D523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D623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803"/>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D7230000">
            <w:pPr>
              <w:widowControl w:val="1"/>
              <w:ind/>
              <w:contextualSpacing w:val="1"/>
              <w:jc w:val="center"/>
              <w:rPr>
                <w:color w:val="000000"/>
                <w:sz w:val="22"/>
              </w:rPr>
            </w:pPr>
            <w:r>
              <w:rPr>
                <w:color w:val="000000"/>
                <w:sz w:val="22"/>
              </w:rPr>
              <w:t>итого по контрагенту ООО "Про-Брайт" 185693,38 руб.</w:t>
            </w:r>
          </w:p>
          <w:p w14:paraId="D8230000">
            <w:pPr>
              <w:widowControl w:val="1"/>
              <w:ind/>
              <w:contextualSpacing w:val="1"/>
              <w:jc w:val="center"/>
              <w:rPr>
                <w:sz w:val="22"/>
              </w:rPr>
            </w:pPr>
          </w:p>
        </w:tc>
      </w:tr>
      <w:tr>
        <w:trPr>
          <w:trHeight w:hRule="atLeast" w:val="975"/>
        </w:trPr>
        <w:tc>
          <w:tcPr>
            <w:tcW w:type="dxa" w:w="528"/>
            <w:tcBorders>
              <w:top w:color="000000" w:sz="4" w:val="single"/>
              <w:left w:color="000000" w:sz="4" w:val="single"/>
              <w:bottom w:color="000000" w:sz="4" w:val="single"/>
              <w:right w:color="000000" w:sz="4" w:val="single"/>
            </w:tcBorders>
            <w:shd w:fill="FFFFFF" w:val="clear"/>
            <w:vAlign w:val="center"/>
          </w:tcPr>
          <w:p w14:paraId="D9230000">
            <w:pPr>
              <w:widowControl w:val="1"/>
              <w:ind/>
              <w:contextualSpacing w:val="1"/>
              <w:rPr>
                <w:color w:val="000000"/>
                <w:sz w:val="22"/>
              </w:rPr>
            </w:pPr>
            <w:r>
              <w:rPr>
                <w:color w:val="000000"/>
                <w:sz w:val="22"/>
              </w:rPr>
              <w:t>177</w:t>
            </w:r>
          </w:p>
        </w:tc>
        <w:tc>
          <w:tcPr>
            <w:tcW w:type="dxa" w:w="1408"/>
            <w:tcBorders>
              <w:top w:color="000000" w:sz="4" w:val="single"/>
              <w:left w:color="000000" w:sz="4" w:val="single"/>
              <w:bottom w:color="000000" w:sz="4" w:val="single"/>
              <w:right w:color="000000" w:sz="4" w:val="single"/>
            </w:tcBorders>
            <w:shd w:fill="FFFFFF" w:val="clear"/>
            <w:vAlign w:val="center"/>
          </w:tcPr>
          <w:p w14:paraId="DA230000">
            <w:pPr>
              <w:widowControl w:val="1"/>
              <w:ind/>
              <w:contextualSpacing w:val="1"/>
              <w:jc w:val="center"/>
              <w:rPr>
                <w:sz w:val="22"/>
              </w:rPr>
            </w:pPr>
            <w:r>
              <w:rPr>
                <w:sz w:val="22"/>
              </w:rPr>
              <w:t>ООО "Примекс-Красноярск"</w:t>
            </w:r>
          </w:p>
        </w:tc>
        <w:tc>
          <w:tcPr>
            <w:tcW w:type="dxa" w:w="1408"/>
            <w:tcBorders>
              <w:top w:color="000000" w:sz="4" w:val="single"/>
              <w:left w:color="000000" w:sz="4" w:val="single"/>
              <w:bottom w:color="000000" w:sz="4" w:val="single"/>
              <w:right w:color="000000" w:sz="4" w:val="single"/>
            </w:tcBorders>
            <w:shd w:fill="FFFFFF" w:val="clear"/>
            <w:vAlign w:val="center"/>
          </w:tcPr>
          <w:p w14:paraId="DB230000">
            <w:pPr>
              <w:widowControl w:val="1"/>
              <w:ind/>
              <w:contextualSpacing w:val="1"/>
              <w:jc w:val="center"/>
              <w:rPr>
                <w:sz w:val="22"/>
              </w:rPr>
            </w:pPr>
            <w:r>
              <w:rPr>
                <w:sz w:val="22"/>
              </w:rPr>
              <w:t>договор № ЕУ-80 Оот 18.06.2018</w:t>
            </w:r>
          </w:p>
        </w:tc>
        <w:tc>
          <w:tcPr>
            <w:tcW w:type="dxa" w:w="1274"/>
            <w:tcBorders>
              <w:top w:color="000000" w:sz="4" w:val="single"/>
              <w:left w:color="000000" w:sz="4" w:val="single"/>
              <w:bottom w:color="000000" w:sz="4" w:val="single"/>
              <w:right w:color="000000" w:sz="4" w:val="single"/>
            </w:tcBorders>
            <w:shd w:fill="FFFFFF" w:val="clear"/>
            <w:vAlign w:val="center"/>
          </w:tcPr>
          <w:p w14:paraId="DC230000">
            <w:pPr>
              <w:widowControl w:val="1"/>
              <w:ind/>
              <w:contextualSpacing w:val="1"/>
              <w:jc w:val="center"/>
              <w:rPr>
                <w:sz w:val="22"/>
              </w:rPr>
            </w:pPr>
            <w:r>
              <w:rPr>
                <w:sz w:val="22"/>
              </w:rPr>
              <w:t>18.06.2018-30.09.2018</w:t>
            </w:r>
          </w:p>
        </w:tc>
        <w:tc>
          <w:tcPr>
            <w:tcW w:type="dxa" w:w="1556"/>
            <w:tcBorders>
              <w:top w:color="000000" w:sz="4" w:val="single"/>
              <w:left w:color="000000" w:sz="4" w:val="single"/>
              <w:bottom w:color="000000" w:sz="4" w:val="single"/>
              <w:right w:color="000000" w:sz="4" w:val="single"/>
            </w:tcBorders>
            <w:shd w:fill="FFFFFF" w:val="clear"/>
            <w:vAlign w:val="center"/>
          </w:tcPr>
          <w:p w14:paraId="DD230000">
            <w:pPr>
              <w:widowControl w:val="1"/>
              <w:ind/>
              <w:contextualSpacing w:val="1"/>
              <w:jc w:val="center"/>
              <w:rPr>
                <w:sz w:val="22"/>
              </w:rPr>
            </w:pPr>
            <w:r>
              <w:rPr>
                <w:sz w:val="22"/>
              </w:rPr>
              <w:t>оказание услуг комплексной уборки поиещений</w:t>
            </w:r>
          </w:p>
        </w:tc>
        <w:tc>
          <w:tcPr>
            <w:tcW w:type="dxa" w:w="1194"/>
            <w:tcBorders>
              <w:top w:color="000000" w:sz="4" w:val="single"/>
              <w:left w:color="000000" w:sz="4" w:val="single"/>
              <w:bottom w:color="000000" w:sz="4" w:val="single"/>
              <w:right w:color="000000" w:sz="4" w:val="single"/>
            </w:tcBorders>
            <w:shd w:fill="FFFFFF" w:val="clear"/>
            <w:vAlign w:val="center"/>
          </w:tcPr>
          <w:p w14:paraId="DE230000">
            <w:pPr>
              <w:widowControl w:val="1"/>
              <w:ind/>
              <w:contextualSpacing w:val="1"/>
              <w:jc w:val="center"/>
              <w:rPr>
                <w:sz w:val="22"/>
              </w:rPr>
            </w:pPr>
            <w:r>
              <w:rPr>
                <w:sz w:val="22"/>
              </w:rPr>
              <w:t>60905</w:t>
            </w:r>
          </w:p>
        </w:tc>
        <w:tc>
          <w:tcPr>
            <w:tcW w:type="dxa" w:w="1221"/>
            <w:tcBorders>
              <w:top w:color="000000" w:sz="4" w:val="single"/>
              <w:left w:color="000000" w:sz="4" w:val="single"/>
              <w:bottom w:color="000000" w:sz="4" w:val="single"/>
              <w:right w:color="000000" w:sz="4" w:val="single"/>
            </w:tcBorders>
            <w:shd w:fill="FFFFFF" w:val="clear"/>
            <w:vAlign w:val="center"/>
          </w:tcPr>
          <w:p w14:paraId="DF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0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1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223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E323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E423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840"/>
        </w:trPr>
        <w:tc>
          <w:tcPr>
            <w:tcW w:type="dxa" w:w="528"/>
            <w:tcBorders>
              <w:top w:color="000000" w:sz="4" w:val="single"/>
              <w:left w:color="000000" w:sz="4" w:val="single"/>
              <w:bottom w:color="000000" w:sz="4" w:val="single"/>
              <w:right w:color="000000" w:sz="4" w:val="single"/>
            </w:tcBorders>
            <w:shd w:fill="FFFFFF" w:val="clear"/>
            <w:vAlign w:val="center"/>
          </w:tcPr>
          <w:p w14:paraId="E5230000">
            <w:pPr>
              <w:widowControl w:val="1"/>
              <w:ind/>
              <w:contextualSpacing w:val="1"/>
              <w:rPr>
                <w:color w:val="000000"/>
                <w:sz w:val="22"/>
              </w:rPr>
            </w:pPr>
            <w:r>
              <w:rPr>
                <w:color w:val="000000"/>
                <w:sz w:val="22"/>
              </w:rPr>
              <w:t>178</w:t>
            </w:r>
          </w:p>
        </w:tc>
        <w:tc>
          <w:tcPr>
            <w:tcW w:type="dxa" w:w="1408"/>
            <w:tcBorders>
              <w:top w:color="000000" w:sz="4" w:val="single"/>
              <w:left w:color="000000" w:sz="4" w:val="single"/>
              <w:bottom w:color="000000" w:sz="4" w:val="single"/>
              <w:right w:color="000000" w:sz="4" w:val="single"/>
            </w:tcBorders>
            <w:shd w:fill="FFFFFF" w:val="clear"/>
            <w:vAlign w:val="center"/>
          </w:tcPr>
          <w:p w14:paraId="E6230000">
            <w:pPr>
              <w:widowControl w:val="1"/>
              <w:ind/>
              <w:contextualSpacing w:val="1"/>
              <w:jc w:val="center"/>
              <w:rPr>
                <w:sz w:val="22"/>
              </w:rPr>
            </w:pPr>
            <w:r>
              <w:rPr>
                <w:sz w:val="22"/>
              </w:rPr>
              <w:t>ООО "Примекс-Красноярск"</w:t>
            </w:r>
          </w:p>
        </w:tc>
        <w:tc>
          <w:tcPr>
            <w:tcW w:type="dxa" w:w="1408"/>
            <w:tcBorders>
              <w:top w:color="000000" w:sz="4" w:val="single"/>
              <w:left w:color="000000" w:sz="4" w:val="single"/>
              <w:bottom w:color="000000" w:sz="4" w:val="single"/>
              <w:right w:color="000000" w:sz="4" w:val="single"/>
            </w:tcBorders>
            <w:shd w:fill="FFFFFF" w:val="clear"/>
            <w:vAlign w:val="center"/>
          </w:tcPr>
          <w:p w14:paraId="E7230000">
            <w:pPr>
              <w:widowControl w:val="1"/>
              <w:ind/>
              <w:contextualSpacing w:val="1"/>
              <w:jc w:val="center"/>
              <w:rPr>
                <w:sz w:val="22"/>
              </w:rPr>
            </w:pPr>
            <w:r>
              <w:rPr>
                <w:sz w:val="22"/>
              </w:rPr>
              <w:t>счет № 164 от 25.04.2018</w:t>
            </w:r>
          </w:p>
        </w:tc>
        <w:tc>
          <w:tcPr>
            <w:tcW w:type="dxa" w:w="1274"/>
            <w:tcBorders>
              <w:top w:color="000000" w:sz="4" w:val="single"/>
              <w:left w:color="000000" w:sz="4" w:val="single"/>
              <w:bottom w:color="000000" w:sz="4" w:val="single"/>
              <w:right w:color="000000" w:sz="4" w:val="single"/>
            </w:tcBorders>
            <w:shd w:fill="FFFFFF" w:val="clear"/>
            <w:vAlign w:val="center"/>
          </w:tcPr>
          <w:p w14:paraId="E8230000">
            <w:pPr>
              <w:widowControl w:val="1"/>
              <w:ind/>
              <w:contextualSpacing w:val="1"/>
              <w:jc w:val="center"/>
              <w:rPr>
                <w:sz w:val="22"/>
              </w:rPr>
            </w:pPr>
            <w:r>
              <w:rPr>
                <w:sz w:val="22"/>
              </w:rPr>
              <w:t>25.04.2018-30.04.2018</w:t>
            </w:r>
          </w:p>
        </w:tc>
        <w:tc>
          <w:tcPr>
            <w:tcW w:type="dxa" w:w="1556"/>
            <w:tcBorders>
              <w:top w:color="000000" w:sz="4" w:val="single"/>
              <w:left w:color="000000" w:sz="4" w:val="single"/>
              <w:bottom w:color="000000" w:sz="4" w:val="single"/>
              <w:right w:color="000000" w:sz="4" w:val="single"/>
            </w:tcBorders>
            <w:shd w:fill="FFFFFF" w:val="clear"/>
            <w:vAlign w:val="center"/>
          </w:tcPr>
          <w:p w14:paraId="E9230000">
            <w:pPr>
              <w:widowControl w:val="1"/>
              <w:ind/>
              <w:contextualSpacing w:val="1"/>
              <w:jc w:val="center"/>
              <w:rPr>
                <w:sz w:val="22"/>
              </w:rPr>
            </w:pPr>
            <w:r>
              <w:rPr>
                <w:sz w:val="22"/>
              </w:rPr>
              <w:t>оказание услуг по комплексной уборке внутренних помещений</w:t>
            </w:r>
          </w:p>
        </w:tc>
        <w:tc>
          <w:tcPr>
            <w:tcW w:type="dxa" w:w="1194"/>
            <w:tcBorders>
              <w:top w:color="000000" w:sz="4" w:val="single"/>
              <w:left w:color="000000" w:sz="4" w:val="single"/>
              <w:bottom w:color="000000" w:sz="4" w:val="single"/>
              <w:right w:color="000000" w:sz="4" w:val="single"/>
            </w:tcBorders>
            <w:shd w:fill="FFFFFF" w:val="clear"/>
            <w:vAlign w:val="center"/>
          </w:tcPr>
          <w:p w14:paraId="EA230000">
            <w:pPr>
              <w:widowControl w:val="1"/>
              <w:ind/>
              <w:contextualSpacing w:val="1"/>
              <w:jc w:val="center"/>
              <w:rPr>
                <w:sz w:val="22"/>
              </w:rPr>
            </w:pPr>
            <w:r>
              <w:rPr>
                <w:sz w:val="22"/>
              </w:rPr>
              <w:t>20 302,00</w:t>
            </w:r>
          </w:p>
        </w:tc>
        <w:tc>
          <w:tcPr>
            <w:tcW w:type="dxa" w:w="1221"/>
            <w:tcBorders>
              <w:top w:color="000000" w:sz="4" w:val="single"/>
              <w:left w:color="000000" w:sz="4" w:val="single"/>
              <w:bottom w:color="000000" w:sz="4" w:val="single"/>
              <w:right w:color="000000" w:sz="4" w:val="single"/>
            </w:tcBorders>
            <w:shd w:fill="FFFFFF" w:val="clear"/>
            <w:vAlign w:val="center"/>
          </w:tcPr>
          <w:p w14:paraId="EB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C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D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E23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EF23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F023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840"/>
        </w:trPr>
        <w:tc>
          <w:tcPr>
            <w:tcW w:type="dxa" w:w="528"/>
            <w:tcBorders>
              <w:top w:color="000000" w:sz="4" w:val="single"/>
              <w:left w:color="000000" w:sz="4" w:val="single"/>
              <w:bottom w:color="000000" w:sz="4" w:val="single"/>
              <w:right w:color="000000" w:sz="4" w:val="single"/>
            </w:tcBorders>
            <w:shd w:fill="FFFFFF" w:val="clear"/>
            <w:vAlign w:val="center"/>
          </w:tcPr>
          <w:p w14:paraId="F1230000">
            <w:pPr>
              <w:widowControl w:val="1"/>
              <w:ind/>
              <w:contextualSpacing w:val="1"/>
              <w:rPr>
                <w:color w:val="000000"/>
                <w:sz w:val="22"/>
              </w:rPr>
            </w:pPr>
            <w:r>
              <w:rPr>
                <w:color w:val="000000"/>
                <w:sz w:val="22"/>
              </w:rPr>
              <w:t>179</w:t>
            </w:r>
          </w:p>
        </w:tc>
        <w:tc>
          <w:tcPr>
            <w:tcW w:type="dxa" w:w="1408"/>
            <w:tcBorders>
              <w:top w:color="000000" w:sz="4" w:val="single"/>
              <w:left w:color="000000" w:sz="4" w:val="single"/>
              <w:bottom w:color="000000" w:sz="4" w:val="single"/>
              <w:right w:color="000000" w:sz="4" w:val="single"/>
            </w:tcBorders>
            <w:shd w:fill="FFFFFF" w:val="clear"/>
            <w:vAlign w:val="center"/>
          </w:tcPr>
          <w:p w14:paraId="F2230000">
            <w:pPr>
              <w:widowControl w:val="1"/>
              <w:ind/>
              <w:contextualSpacing w:val="1"/>
              <w:jc w:val="center"/>
              <w:rPr>
                <w:sz w:val="22"/>
              </w:rPr>
            </w:pPr>
            <w:r>
              <w:rPr>
                <w:sz w:val="22"/>
              </w:rPr>
              <w:t>ООО "Примекс-Красноярск"</w:t>
            </w:r>
          </w:p>
        </w:tc>
        <w:tc>
          <w:tcPr>
            <w:tcW w:type="dxa" w:w="1408"/>
            <w:tcBorders>
              <w:top w:color="000000" w:sz="4" w:val="single"/>
              <w:left w:color="000000" w:sz="4" w:val="single"/>
              <w:bottom w:color="000000" w:sz="4" w:val="single"/>
              <w:right w:color="000000" w:sz="4" w:val="single"/>
            </w:tcBorders>
            <w:shd w:fill="FFFFFF" w:val="clear"/>
            <w:vAlign w:val="center"/>
          </w:tcPr>
          <w:p w14:paraId="F3230000">
            <w:pPr>
              <w:widowControl w:val="1"/>
              <w:ind/>
              <w:contextualSpacing w:val="1"/>
              <w:jc w:val="center"/>
              <w:rPr>
                <w:sz w:val="22"/>
              </w:rPr>
            </w:pPr>
            <w:r>
              <w:rPr>
                <w:sz w:val="22"/>
              </w:rPr>
              <w:t>договор № 124 от 19.11.2018</w:t>
            </w:r>
          </w:p>
        </w:tc>
        <w:tc>
          <w:tcPr>
            <w:tcW w:type="dxa" w:w="1274"/>
            <w:tcBorders>
              <w:top w:color="000000" w:sz="4" w:val="single"/>
              <w:left w:color="000000" w:sz="4" w:val="single"/>
              <w:bottom w:color="000000" w:sz="4" w:val="single"/>
              <w:right w:color="000000" w:sz="4" w:val="single"/>
            </w:tcBorders>
            <w:shd w:fill="FFFFFF" w:val="clear"/>
            <w:vAlign w:val="center"/>
          </w:tcPr>
          <w:p w14:paraId="F4230000">
            <w:pPr>
              <w:widowControl w:val="1"/>
              <w:ind/>
              <w:contextualSpacing w:val="1"/>
              <w:jc w:val="center"/>
              <w:rPr>
                <w:sz w:val="22"/>
              </w:rPr>
            </w:pPr>
            <w:r>
              <w:rPr>
                <w:sz w:val="22"/>
              </w:rPr>
              <w:t>01.10.2018-30.09.2019</w:t>
            </w:r>
          </w:p>
        </w:tc>
        <w:tc>
          <w:tcPr>
            <w:tcW w:type="dxa" w:w="1556"/>
            <w:tcBorders>
              <w:top w:color="000000" w:sz="4" w:val="single"/>
              <w:left w:color="000000" w:sz="4" w:val="single"/>
              <w:bottom w:color="000000" w:sz="4" w:val="single"/>
              <w:right w:color="000000" w:sz="4" w:val="single"/>
            </w:tcBorders>
            <w:shd w:fill="FFFFFF" w:val="clear"/>
            <w:vAlign w:val="center"/>
          </w:tcPr>
          <w:p w14:paraId="F5230000">
            <w:pPr>
              <w:widowControl w:val="1"/>
              <w:ind/>
              <w:contextualSpacing w:val="1"/>
              <w:jc w:val="center"/>
              <w:rPr>
                <w:sz w:val="22"/>
              </w:rPr>
            </w:pPr>
            <w:r>
              <w:rPr>
                <w:sz w:val="22"/>
              </w:rPr>
              <w:t>оказание услуг комплексной уборки помещений</w:t>
            </w:r>
          </w:p>
        </w:tc>
        <w:tc>
          <w:tcPr>
            <w:tcW w:type="dxa" w:w="1194"/>
            <w:tcBorders>
              <w:top w:color="000000" w:sz="4" w:val="single"/>
              <w:left w:color="000000" w:sz="4" w:val="single"/>
              <w:bottom w:color="000000" w:sz="4" w:val="single"/>
              <w:right w:color="000000" w:sz="4" w:val="single"/>
            </w:tcBorders>
            <w:shd w:fill="FFFFFF" w:val="clear"/>
            <w:vAlign w:val="center"/>
          </w:tcPr>
          <w:p w14:paraId="F6230000">
            <w:pPr>
              <w:widowControl w:val="1"/>
              <w:ind/>
              <w:contextualSpacing w:val="1"/>
              <w:jc w:val="center"/>
              <w:rPr>
                <w:sz w:val="22"/>
              </w:rPr>
            </w:pPr>
            <w:r>
              <w:rPr>
                <w:sz w:val="22"/>
              </w:rPr>
              <w:t>343337,76</w:t>
            </w:r>
          </w:p>
        </w:tc>
        <w:tc>
          <w:tcPr>
            <w:tcW w:type="dxa" w:w="1221"/>
            <w:tcBorders>
              <w:top w:color="000000" w:sz="4" w:val="single"/>
              <w:left w:color="000000" w:sz="4" w:val="single"/>
              <w:bottom w:color="000000" w:sz="4" w:val="single"/>
              <w:right w:color="000000" w:sz="4" w:val="single"/>
            </w:tcBorders>
            <w:shd w:fill="FFFFFF" w:val="clear"/>
            <w:vAlign w:val="center"/>
          </w:tcPr>
          <w:p w14:paraId="F723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823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923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A23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FB23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FC23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390"/>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FD230000">
            <w:pPr>
              <w:widowControl w:val="1"/>
              <w:ind/>
              <w:contextualSpacing w:val="1"/>
              <w:jc w:val="center"/>
              <w:rPr>
                <w:color w:val="000000"/>
                <w:sz w:val="22"/>
              </w:rPr>
            </w:pPr>
            <w:r>
              <w:rPr>
                <w:color w:val="000000"/>
                <w:sz w:val="22"/>
              </w:rPr>
              <w:t>итого по контрагенту ООО "Примекс-Красноярск" 424544,76 руб.</w:t>
            </w:r>
          </w:p>
          <w:p w14:paraId="FE230000">
            <w:pPr>
              <w:widowControl w:val="1"/>
              <w:ind/>
              <w:contextualSpacing w:val="1"/>
              <w:jc w:val="center"/>
              <w:rPr>
                <w:color w:val="000000"/>
                <w:sz w:val="22"/>
              </w:rPr>
            </w:pPr>
          </w:p>
        </w:tc>
      </w:tr>
      <w:tr>
        <w:trPr>
          <w:trHeight w:hRule="atLeast" w:val="990"/>
        </w:trPr>
        <w:tc>
          <w:tcPr>
            <w:tcW w:type="dxa" w:w="528"/>
            <w:tcBorders>
              <w:top w:color="000000" w:sz="4" w:val="single"/>
              <w:left w:color="000000" w:sz="4" w:val="single"/>
              <w:bottom w:color="000000" w:sz="4" w:val="single"/>
              <w:right w:color="000000" w:sz="4" w:val="single"/>
            </w:tcBorders>
            <w:shd w:fill="FFFFFF" w:val="clear"/>
            <w:vAlign w:val="center"/>
          </w:tcPr>
          <w:p w14:paraId="FF230000">
            <w:pPr>
              <w:widowControl w:val="1"/>
              <w:ind/>
              <w:contextualSpacing w:val="1"/>
              <w:rPr>
                <w:color w:val="000000"/>
                <w:sz w:val="22"/>
              </w:rPr>
            </w:pPr>
            <w:r>
              <w:rPr>
                <w:color w:val="000000"/>
                <w:sz w:val="22"/>
              </w:rPr>
              <w:t>180</w:t>
            </w:r>
          </w:p>
        </w:tc>
        <w:tc>
          <w:tcPr>
            <w:tcW w:type="dxa" w:w="1408"/>
            <w:tcBorders>
              <w:top w:color="000000" w:sz="4" w:val="single"/>
              <w:left w:color="000000" w:sz="4" w:val="single"/>
              <w:bottom w:color="000000" w:sz="4" w:val="single"/>
              <w:right w:color="000000" w:sz="4" w:val="single"/>
            </w:tcBorders>
            <w:shd w:fill="FFFFFF" w:val="clear"/>
            <w:vAlign w:val="center"/>
          </w:tcPr>
          <w:p w14:paraId="00240000">
            <w:pPr>
              <w:widowControl w:val="1"/>
              <w:ind/>
              <w:contextualSpacing w:val="1"/>
              <w:jc w:val="center"/>
              <w:rPr>
                <w:sz w:val="22"/>
              </w:rPr>
            </w:pPr>
            <w:r>
              <w:rPr>
                <w:sz w:val="22"/>
              </w:rPr>
              <w:t>ООО "СибТекстиль"</w:t>
            </w:r>
          </w:p>
        </w:tc>
        <w:tc>
          <w:tcPr>
            <w:tcW w:type="dxa" w:w="1408"/>
            <w:tcBorders>
              <w:top w:color="000000" w:sz="4" w:val="single"/>
              <w:left w:color="000000" w:sz="4" w:val="single"/>
              <w:bottom w:color="000000" w:sz="4" w:val="single"/>
              <w:right w:color="000000" w:sz="4" w:val="single"/>
            </w:tcBorders>
            <w:shd w:fill="FFFFFF" w:val="clear"/>
            <w:vAlign w:val="center"/>
          </w:tcPr>
          <w:p w14:paraId="01240000">
            <w:pPr>
              <w:widowControl w:val="1"/>
              <w:ind/>
              <w:contextualSpacing w:val="1"/>
              <w:jc w:val="center"/>
              <w:rPr>
                <w:sz w:val="22"/>
              </w:rPr>
            </w:pPr>
            <w:r>
              <w:rPr>
                <w:sz w:val="22"/>
              </w:rPr>
              <w:t>договор № 69 от 20.04.2018</w:t>
            </w:r>
          </w:p>
        </w:tc>
        <w:tc>
          <w:tcPr>
            <w:tcW w:type="dxa" w:w="1274"/>
            <w:tcBorders>
              <w:top w:color="000000" w:sz="4" w:val="single"/>
              <w:left w:color="000000" w:sz="4" w:val="single"/>
              <w:bottom w:color="000000" w:sz="4" w:val="single"/>
              <w:right w:color="000000" w:sz="4" w:val="single"/>
            </w:tcBorders>
            <w:shd w:fill="FFFFFF" w:val="clear"/>
            <w:vAlign w:val="center"/>
          </w:tcPr>
          <w:p w14:paraId="02240000">
            <w:pPr>
              <w:widowControl w:val="1"/>
              <w:ind/>
              <w:contextualSpacing w:val="1"/>
              <w:jc w:val="center"/>
              <w:rPr>
                <w:sz w:val="22"/>
              </w:rPr>
            </w:pPr>
            <w:r>
              <w:rPr>
                <w:sz w:val="22"/>
              </w:rPr>
              <w:t>20.04.2018-31.03.2019</w:t>
            </w:r>
          </w:p>
        </w:tc>
        <w:tc>
          <w:tcPr>
            <w:tcW w:type="dxa" w:w="1556"/>
            <w:tcBorders>
              <w:top w:color="000000" w:sz="4" w:val="single"/>
              <w:left w:color="000000" w:sz="4" w:val="single"/>
              <w:bottom w:color="000000" w:sz="4" w:val="single"/>
              <w:right w:color="000000" w:sz="4" w:val="single"/>
            </w:tcBorders>
            <w:shd w:fill="FFFFFF" w:val="clear"/>
            <w:vAlign w:val="center"/>
          </w:tcPr>
          <w:p w14:paraId="03240000">
            <w:pPr>
              <w:widowControl w:val="1"/>
              <w:ind/>
              <w:contextualSpacing w:val="1"/>
              <w:jc w:val="center"/>
              <w:rPr>
                <w:sz w:val="22"/>
              </w:rPr>
            </w:pPr>
            <w:r>
              <w:rPr>
                <w:sz w:val="22"/>
              </w:rPr>
              <w:t>поставка полотна вафельного и нетканого</w:t>
            </w:r>
          </w:p>
        </w:tc>
        <w:tc>
          <w:tcPr>
            <w:tcW w:type="dxa" w:w="1194"/>
            <w:tcBorders>
              <w:top w:color="000000" w:sz="4" w:val="single"/>
              <w:left w:color="000000" w:sz="4" w:val="single"/>
              <w:bottom w:color="000000" w:sz="4" w:val="single"/>
              <w:right w:color="000000" w:sz="4" w:val="single"/>
            </w:tcBorders>
            <w:shd w:fill="FFFFFF" w:val="clear"/>
            <w:vAlign w:val="center"/>
          </w:tcPr>
          <w:p w14:paraId="04240000">
            <w:pPr>
              <w:widowControl w:val="1"/>
              <w:ind/>
              <w:contextualSpacing w:val="1"/>
              <w:jc w:val="center"/>
              <w:rPr>
                <w:sz w:val="22"/>
              </w:rPr>
            </w:pPr>
            <w:r>
              <w:rPr>
                <w:sz w:val="22"/>
              </w:rPr>
              <w:t>320700</w:t>
            </w:r>
          </w:p>
        </w:tc>
        <w:tc>
          <w:tcPr>
            <w:tcW w:type="dxa" w:w="1221"/>
            <w:tcBorders>
              <w:top w:color="000000" w:sz="4" w:val="single"/>
              <w:left w:color="000000" w:sz="4" w:val="single"/>
              <w:bottom w:color="000000" w:sz="4" w:val="single"/>
              <w:right w:color="000000" w:sz="4" w:val="single"/>
            </w:tcBorders>
            <w:shd w:fill="FFFFFF" w:val="clear"/>
            <w:vAlign w:val="center"/>
          </w:tcPr>
          <w:p w14:paraId="05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6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7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08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09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A24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990"/>
        </w:trPr>
        <w:tc>
          <w:tcPr>
            <w:tcW w:type="dxa" w:w="528"/>
            <w:tcBorders>
              <w:top w:color="000000" w:sz="4" w:val="single"/>
              <w:left w:color="000000" w:sz="4" w:val="single"/>
              <w:bottom w:color="000000" w:sz="4" w:val="single"/>
              <w:right w:color="000000" w:sz="4" w:val="single"/>
            </w:tcBorders>
            <w:shd w:fill="FFFFFF" w:val="clear"/>
            <w:vAlign w:val="center"/>
          </w:tcPr>
          <w:p w14:paraId="0B240000">
            <w:pPr>
              <w:widowControl w:val="1"/>
              <w:ind/>
              <w:contextualSpacing w:val="1"/>
              <w:rPr>
                <w:color w:val="000000"/>
                <w:sz w:val="22"/>
              </w:rPr>
            </w:pPr>
            <w:r>
              <w:rPr>
                <w:color w:val="000000"/>
                <w:sz w:val="22"/>
              </w:rPr>
              <w:t>181</w:t>
            </w:r>
          </w:p>
        </w:tc>
        <w:tc>
          <w:tcPr>
            <w:tcW w:type="dxa" w:w="1408"/>
            <w:tcBorders>
              <w:top w:color="000000" w:sz="4" w:val="single"/>
              <w:left w:color="000000" w:sz="4" w:val="single"/>
              <w:bottom w:color="000000" w:sz="4" w:val="single"/>
              <w:right w:color="000000" w:sz="4" w:val="single"/>
            </w:tcBorders>
            <w:shd w:fill="FFFFFF" w:val="clear"/>
            <w:vAlign w:val="center"/>
          </w:tcPr>
          <w:p w14:paraId="0C240000">
            <w:pPr>
              <w:widowControl w:val="1"/>
              <w:ind/>
              <w:contextualSpacing w:val="1"/>
              <w:jc w:val="center"/>
              <w:rPr>
                <w:sz w:val="22"/>
              </w:rPr>
            </w:pPr>
            <w:r>
              <w:rPr>
                <w:sz w:val="22"/>
              </w:rPr>
              <w:t>ООО "СибТекстиль"</w:t>
            </w:r>
          </w:p>
        </w:tc>
        <w:tc>
          <w:tcPr>
            <w:tcW w:type="dxa" w:w="1408"/>
            <w:tcBorders>
              <w:top w:color="000000" w:sz="4" w:val="single"/>
              <w:left w:color="000000" w:sz="4" w:val="single"/>
              <w:bottom w:color="000000" w:sz="4" w:val="single"/>
              <w:right w:color="000000" w:sz="4" w:val="single"/>
            </w:tcBorders>
            <w:shd w:fill="FFFFFF" w:val="clear"/>
            <w:vAlign w:val="center"/>
          </w:tcPr>
          <w:p w14:paraId="0D240000">
            <w:pPr>
              <w:widowControl w:val="1"/>
              <w:ind/>
              <w:contextualSpacing w:val="1"/>
              <w:jc w:val="center"/>
              <w:rPr>
                <w:sz w:val="22"/>
              </w:rPr>
            </w:pPr>
            <w:r>
              <w:rPr>
                <w:sz w:val="22"/>
              </w:rPr>
              <w:t>Дополнительное соглашение № 1 к договору № 69 от 20.04.2018 от 20.12.2018</w:t>
            </w:r>
          </w:p>
        </w:tc>
        <w:tc>
          <w:tcPr>
            <w:tcW w:type="dxa" w:w="1274"/>
            <w:tcBorders>
              <w:top w:color="000000" w:sz="4" w:val="single"/>
              <w:left w:color="000000" w:sz="4" w:val="single"/>
              <w:bottom w:color="000000" w:sz="4" w:val="single"/>
              <w:right w:color="000000" w:sz="4" w:val="single"/>
            </w:tcBorders>
            <w:shd w:fill="FFFFFF" w:val="clear"/>
            <w:vAlign w:val="center"/>
          </w:tcPr>
          <w:p w14:paraId="0E240000">
            <w:pPr>
              <w:widowControl w:val="1"/>
              <w:ind/>
              <w:contextualSpacing w:val="1"/>
              <w:jc w:val="center"/>
              <w:rPr>
                <w:sz w:val="22"/>
              </w:rPr>
            </w:pPr>
            <w:r>
              <w:rPr>
                <w:sz w:val="22"/>
              </w:rPr>
              <w:t>20.04.2018-31.03.2019</w:t>
            </w:r>
          </w:p>
        </w:tc>
        <w:tc>
          <w:tcPr>
            <w:tcW w:type="dxa" w:w="1556"/>
            <w:tcBorders>
              <w:top w:color="000000" w:sz="4" w:val="single"/>
              <w:left w:color="000000" w:sz="4" w:val="single"/>
              <w:bottom w:color="000000" w:sz="4" w:val="single"/>
              <w:right w:color="000000" w:sz="4" w:val="single"/>
            </w:tcBorders>
            <w:shd w:fill="FFFFFF" w:val="clear"/>
            <w:vAlign w:val="center"/>
          </w:tcPr>
          <w:p w14:paraId="0F240000">
            <w:pPr>
              <w:widowControl w:val="1"/>
              <w:ind/>
              <w:contextualSpacing w:val="1"/>
              <w:jc w:val="center"/>
              <w:rPr>
                <w:sz w:val="22"/>
              </w:rPr>
            </w:pPr>
            <w:r>
              <w:rPr>
                <w:sz w:val="22"/>
              </w:rPr>
              <w:t>увеличение предельной цены договора в связи с увеличением ставки НДС</w:t>
            </w:r>
          </w:p>
        </w:tc>
        <w:tc>
          <w:tcPr>
            <w:tcW w:type="dxa" w:w="1194"/>
            <w:tcBorders>
              <w:top w:color="000000" w:sz="4" w:val="single"/>
              <w:left w:color="000000" w:sz="4" w:val="single"/>
              <w:bottom w:color="000000" w:sz="4" w:val="single"/>
              <w:right w:color="000000" w:sz="4" w:val="single"/>
            </w:tcBorders>
            <w:shd w:fill="FFFFFF" w:val="clear"/>
            <w:vAlign w:val="center"/>
          </w:tcPr>
          <w:p w14:paraId="10240000">
            <w:pPr>
              <w:widowControl w:val="1"/>
              <w:ind/>
              <w:contextualSpacing w:val="1"/>
              <w:jc w:val="center"/>
              <w:rPr>
                <w:sz w:val="22"/>
              </w:rPr>
            </w:pPr>
            <w:r>
              <w:rPr>
                <w:sz w:val="22"/>
              </w:rPr>
              <w:t>321884,74</w:t>
            </w:r>
          </w:p>
        </w:tc>
        <w:tc>
          <w:tcPr>
            <w:tcW w:type="dxa" w:w="1221"/>
            <w:tcBorders>
              <w:top w:color="000000" w:sz="4" w:val="single"/>
              <w:left w:color="000000" w:sz="4" w:val="single"/>
              <w:bottom w:color="000000" w:sz="4" w:val="single"/>
              <w:right w:color="000000" w:sz="4" w:val="single"/>
            </w:tcBorders>
            <w:shd w:fill="FFFFFF" w:val="clear"/>
            <w:vAlign w:val="center"/>
          </w:tcPr>
          <w:p w14:paraId="11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2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3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4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15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1624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574"/>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17240000">
            <w:pPr>
              <w:widowControl w:val="1"/>
              <w:ind/>
              <w:contextualSpacing w:val="1"/>
              <w:jc w:val="center"/>
              <w:rPr>
                <w:color w:val="000000"/>
                <w:sz w:val="22"/>
              </w:rPr>
            </w:pPr>
            <w:r>
              <w:rPr>
                <w:color w:val="000000"/>
                <w:sz w:val="22"/>
              </w:rPr>
              <w:t>итого по контрагенту ООО "СибТекстиль" 321884,74 руб.</w:t>
            </w:r>
          </w:p>
          <w:p w14:paraId="1824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19240000">
            <w:pPr>
              <w:widowControl w:val="1"/>
              <w:ind/>
              <w:contextualSpacing w:val="1"/>
              <w:rPr>
                <w:color w:val="000000"/>
                <w:sz w:val="22"/>
              </w:rPr>
            </w:pPr>
            <w:r>
              <w:rPr>
                <w:color w:val="000000"/>
                <w:sz w:val="22"/>
              </w:rPr>
              <w:t>182</w:t>
            </w:r>
          </w:p>
        </w:tc>
        <w:tc>
          <w:tcPr>
            <w:tcW w:type="dxa" w:w="1408"/>
            <w:tcBorders>
              <w:top w:color="000000" w:sz="4" w:val="single"/>
              <w:left w:color="000000" w:sz="4" w:val="single"/>
              <w:bottom w:color="000000" w:sz="4" w:val="single"/>
              <w:right w:color="000000" w:sz="4" w:val="single"/>
            </w:tcBorders>
            <w:shd w:fill="FFFFFF" w:val="clear"/>
            <w:vAlign w:val="center"/>
          </w:tcPr>
          <w:p w14:paraId="1A240000">
            <w:pPr>
              <w:widowControl w:val="1"/>
              <w:ind/>
              <w:contextualSpacing w:val="1"/>
              <w:jc w:val="center"/>
              <w:rPr>
                <w:sz w:val="22"/>
              </w:rPr>
            </w:pPr>
            <w:r>
              <w:rPr>
                <w:sz w:val="22"/>
              </w:rPr>
              <w:t>ООО "Руц Тел"</w:t>
            </w:r>
          </w:p>
        </w:tc>
        <w:tc>
          <w:tcPr>
            <w:tcW w:type="dxa" w:w="1408"/>
            <w:tcBorders>
              <w:top w:color="000000" w:sz="4" w:val="single"/>
              <w:left w:color="000000" w:sz="4" w:val="single"/>
              <w:bottom w:color="000000" w:sz="4" w:val="single"/>
              <w:right w:color="000000" w:sz="4" w:val="single"/>
            </w:tcBorders>
            <w:shd w:fill="FFFFFF" w:val="clear"/>
            <w:vAlign w:val="center"/>
          </w:tcPr>
          <w:p w14:paraId="1B240000">
            <w:pPr>
              <w:widowControl w:val="1"/>
              <w:ind/>
              <w:contextualSpacing w:val="1"/>
              <w:jc w:val="center"/>
              <w:rPr>
                <w:sz w:val="22"/>
              </w:rPr>
            </w:pPr>
            <w:r>
              <w:rPr>
                <w:sz w:val="22"/>
              </w:rPr>
              <w:t>договор № С-669 от 07.05.2018</w:t>
            </w:r>
          </w:p>
        </w:tc>
        <w:tc>
          <w:tcPr>
            <w:tcW w:type="dxa" w:w="1274"/>
            <w:tcBorders>
              <w:top w:color="000000" w:sz="4" w:val="single"/>
              <w:left w:color="000000" w:sz="4" w:val="single"/>
              <w:bottom w:color="000000" w:sz="4" w:val="single"/>
              <w:right w:color="000000" w:sz="4" w:val="single"/>
            </w:tcBorders>
            <w:shd w:fill="FFFFFF" w:val="clear"/>
            <w:vAlign w:val="center"/>
          </w:tcPr>
          <w:p w14:paraId="1C240000">
            <w:pPr>
              <w:widowControl w:val="1"/>
              <w:ind/>
              <w:contextualSpacing w:val="1"/>
              <w:jc w:val="center"/>
              <w:rPr>
                <w:sz w:val="22"/>
              </w:rPr>
            </w:pPr>
            <w:r>
              <w:rPr>
                <w:sz w:val="22"/>
              </w:rPr>
              <w:t>01.06.2018-31.05.2019</w:t>
            </w:r>
          </w:p>
        </w:tc>
        <w:tc>
          <w:tcPr>
            <w:tcW w:type="dxa" w:w="1556"/>
            <w:tcBorders>
              <w:top w:color="000000" w:sz="4" w:val="single"/>
              <w:left w:color="000000" w:sz="4" w:val="single"/>
              <w:bottom w:color="000000" w:sz="4" w:val="single"/>
              <w:right w:color="000000" w:sz="4" w:val="single"/>
            </w:tcBorders>
            <w:shd w:fill="FFFFFF" w:val="clear"/>
            <w:vAlign w:val="center"/>
          </w:tcPr>
          <w:p w14:paraId="1D240000">
            <w:pPr>
              <w:widowControl w:val="1"/>
              <w:ind/>
              <w:contextualSpacing w:val="1"/>
              <w:jc w:val="center"/>
              <w:rPr>
                <w:sz w:val="22"/>
              </w:rPr>
            </w:pPr>
            <w:r>
              <w:rPr>
                <w:sz w:val="22"/>
              </w:rPr>
              <w:t>Поставка бухгалтерской справочной системы</w:t>
            </w:r>
          </w:p>
        </w:tc>
        <w:tc>
          <w:tcPr>
            <w:tcW w:type="dxa" w:w="1194"/>
            <w:tcBorders>
              <w:top w:color="000000" w:sz="4" w:val="single"/>
              <w:left w:color="000000" w:sz="4" w:val="single"/>
              <w:bottom w:color="000000" w:sz="4" w:val="single"/>
              <w:right w:color="000000" w:sz="4" w:val="single"/>
            </w:tcBorders>
            <w:shd w:fill="FFFFFF" w:val="clear"/>
            <w:vAlign w:val="center"/>
          </w:tcPr>
          <w:p w14:paraId="1E240000">
            <w:pPr>
              <w:widowControl w:val="1"/>
              <w:ind/>
              <w:contextualSpacing w:val="1"/>
              <w:jc w:val="center"/>
              <w:rPr>
                <w:sz w:val="22"/>
              </w:rPr>
            </w:pPr>
            <w:r>
              <w:rPr>
                <w:sz w:val="22"/>
              </w:rPr>
              <w:t>110315</w:t>
            </w:r>
          </w:p>
        </w:tc>
        <w:tc>
          <w:tcPr>
            <w:tcW w:type="dxa" w:w="1221"/>
            <w:tcBorders>
              <w:top w:color="000000" w:sz="4" w:val="single"/>
              <w:left w:color="000000" w:sz="4" w:val="single"/>
              <w:bottom w:color="000000" w:sz="4" w:val="single"/>
              <w:right w:color="000000" w:sz="4" w:val="single"/>
            </w:tcBorders>
            <w:shd w:fill="FFFFFF" w:val="clear"/>
            <w:vAlign w:val="center"/>
          </w:tcPr>
          <w:p w14:paraId="1F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0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1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224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23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2424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5240000">
            <w:pPr>
              <w:widowControl w:val="1"/>
              <w:ind/>
              <w:contextualSpacing w:val="1"/>
              <w:rPr>
                <w:color w:val="000000"/>
                <w:sz w:val="22"/>
              </w:rPr>
            </w:pPr>
            <w:r>
              <w:rPr>
                <w:color w:val="000000"/>
                <w:sz w:val="22"/>
              </w:rPr>
              <w:t>183</w:t>
            </w:r>
          </w:p>
        </w:tc>
        <w:tc>
          <w:tcPr>
            <w:tcW w:type="dxa" w:w="1408"/>
            <w:tcBorders>
              <w:top w:color="000000" w:sz="4" w:val="single"/>
              <w:left w:color="000000" w:sz="4" w:val="single"/>
              <w:bottom w:color="000000" w:sz="4" w:val="single"/>
              <w:right w:color="000000" w:sz="4" w:val="single"/>
            </w:tcBorders>
            <w:shd w:fill="FFFFFF" w:val="clear"/>
            <w:vAlign w:val="center"/>
          </w:tcPr>
          <w:p w14:paraId="26240000">
            <w:pPr>
              <w:widowControl w:val="1"/>
              <w:ind/>
              <w:contextualSpacing w:val="1"/>
              <w:jc w:val="center"/>
              <w:rPr>
                <w:sz w:val="22"/>
              </w:rPr>
            </w:pPr>
            <w:r>
              <w:rPr>
                <w:sz w:val="22"/>
              </w:rPr>
              <w:t>ООО "Сибирь для людей"</w:t>
            </w:r>
          </w:p>
        </w:tc>
        <w:tc>
          <w:tcPr>
            <w:tcW w:type="dxa" w:w="1408"/>
            <w:tcBorders>
              <w:top w:color="000000" w:sz="4" w:val="single"/>
              <w:left w:color="000000" w:sz="4" w:val="single"/>
              <w:bottom w:color="000000" w:sz="4" w:val="single"/>
              <w:right w:color="000000" w:sz="4" w:val="single"/>
            </w:tcBorders>
            <w:shd w:fill="FFFFFF" w:val="clear"/>
            <w:vAlign w:val="center"/>
          </w:tcPr>
          <w:p w14:paraId="27240000">
            <w:pPr>
              <w:widowControl w:val="1"/>
              <w:ind/>
              <w:contextualSpacing w:val="1"/>
              <w:jc w:val="center"/>
              <w:rPr>
                <w:sz w:val="22"/>
              </w:rPr>
            </w:pPr>
            <w:r>
              <w:rPr>
                <w:sz w:val="22"/>
              </w:rPr>
              <w:t>договор № 55 от 21.06.2018</w:t>
            </w:r>
          </w:p>
        </w:tc>
        <w:tc>
          <w:tcPr>
            <w:tcW w:type="dxa" w:w="1274"/>
            <w:tcBorders>
              <w:top w:color="000000" w:sz="4" w:val="single"/>
              <w:left w:color="000000" w:sz="4" w:val="single"/>
              <w:bottom w:color="000000" w:sz="4" w:val="single"/>
              <w:right w:color="000000" w:sz="4" w:val="single"/>
            </w:tcBorders>
            <w:shd w:fill="FFFFFF" w:val="clear"/>
            <w:vAlign w:val="center"/>
          </w:tcPr>
          <w:p w14:paraId="28240000">
            <w:pPr>
              <w:widowControl w:val="1"/>
              <w:ind/>
              <w:contextualSpacing w:val="1"/>
              <w:jc w:val="center"/>
              <w:rPr>
                <w:sz w:val="22"/>
              </w:rPr>
            </w:pPr>
            <w:r>
              <w:rPr>
                <w:sz w:val="22"/>
              </w:rPr>
              <w:t>21.06.2018-25.06.2018</w:t>
            </w:r>
          </w:p>
        </w:tc>
        <w:tc>
          <w:tcPr>
            <w:tcW w:type="dxa" w:w="1556"/>
            <w:tcBorders>
              <w:top w:color="000000" w:sz="4" w:val="single"/>
              <w:left w:color="000000" w:sz="4" w:val="single"/>
              <w:bottom w:color="000000" w:sz="4" w:val="single"/>
              <w:right w:color="000000" w:sz="4" w:val="single"/>
            </w:tcBorders>
            <w:shd w:fill="FFFFFF" w:val="clear"/>
            <w:vAlign w:val="center"/>
          </w:tcPr>
          <w:p w14:paraId="29240000">
            <w:pPr>
              <w:widowControl w:val="1"/>
              <w:ind/>
              <w:contextualSpacing w:val="1"/>
              <w:jc w:val="center"/>
              <w:rPr>
                <w:sz w:val="22"/>
              </w:rPr>
            </w:pPr>
            <w:r>
              <w:rPr>
                <w:sz w:val="22"/>
              </w:rPr>
              <w:t>оказание услуг общественного питания</w:t>
            </w:r>
          </w:p>
        </w:tc>
        <w:tc>
          <w:tcPr>
            <w:tcW w:type="dxa" w:w="1194"/>
            <w:tcBorders>
              <w:top w:color="000000" w:sz="4" w:val="single"/>
              <w:left w:color="000000" w:sz="4" w:val="single"/>
              <w:bottom w:color="000000" w:sz="4" w:val="single"/>
              <w:right w:color="000000" w:sz="4" w:val="single"/>
            </w:tcBorders>
            <w:shd w:fill="FFFFFF" w:val="clear"/>
            <w:vAlign w:val="center"/>
          </w:tcPr>
          <w:p w14:paraId="2A240000">
            <w:pPr>
              <w:widowControl w:val="1"/>
              <w:ind/>
              <w:contextualSpacing w:val="1"/>
              <w:jc w:val="center"/>
              <w:rPr>
                <w:sz w:val="22"/>
              </w:rPr>
            </w:pPr>
            <w:r>
              <w:rPr>
                <w:sz w:val="22"/>
              </w:rPr>
              <w:t>62700</w:t>
            </w:r>
          </w:p>
        </w:tc>
        <w:tc>
          <w:tcPr>
            <w:tcW w:type="dxa" w:w="1221"/>
            <w:tcBorders>
              <w:top w:color="000000" w:sz="4" w:val="single"/>
              <w:left w:color="000000" w:sz="4" w:val="single"/>
              <w:bottom w:color="000000" w:sz="4" w:val="single"/>
              <w:right w:color="000000" w:sz="4" w:val="single"/>
            </w:tcBorders>
            <w:shd w:fill="FFFFFF" w:val="clear"/>
            <w:vAlign w:val="center"/>
          </w:tcPr>
          <w:p w14:paraId="2B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C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D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E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2F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024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1240000">
            <w:pPr>
              <w:widowControl w:val="1"/>
              <w:ind/>
              <w:contextualSpacing w:val="1"/>
              <w:rPr>
                <w:color w:val="000000"/>
                <w:sz w:val="22"/>
              </w:rPr>
            </w:pPr>
            <w:r>
              <w:rPr>
                <w:color w:val="000000"/>
                <w:sz w:val="22"/>
              </w:rPr>
              <w:t>184</w:t>
            </w:r>
          </w:p>
        </w:tc>
        <w:tc>
          <w:tcPr>
            <w:tcW w:type="dxa" w:w="1408"/>
            <w:tcBorders>
              <w:top w:color="000000" w:sz="4" w:val="single"/>
              <w:left w:color="000000" w:sz="4" w:val="single"/>
              <w:bottom w:color="000000" w:sz="4" w:val="single"/>
              <w:right w:color="000000" w:sz="4" w:val="single"/>
            </w:tcBorders>
            <w:shd w:fill="FFFFFF" w:val="clear"/>
            <w:vAlign w:val="center"/>
          </w:tcPr>
          <w:p w14:paraId="32240000">
            <w:pPr>
              <w:widowControl w:val="1"/>
              <w:ind/>
              <w:contextualSpacing w:val="1"/>
              <w:jc w:val="center"/>
              <w:rPr>
                <w:sz w:val="22"/>
              </w:rPr>
            </w:pPr>
            <w:r>
              <w:rPr>
                <w:sz w:val="22"/>
              </w:rPr>
              <w:t>ООО "Транспортная ремонтная компания"</w:t>
            </w:r>
          </w:p>
        </w:tc>
        <w:tc>
          <w:tcPr>
            <w:tcW w:type="dxa" w:w="1408"/>
            <w:tcBorders>
              <w:top w:color="000000" w:sz="4" w:val="single"/>
              <w:left w:color="000000" w:sz="4" w:val="single"/>
              <w:bottom w:color="000000" w:sz="4" w:val="single"/>
              <w:right w:color="000000" w:sz="4" w:val="single"/>
            </w:tcBorders>
            <w:shd w:fill="FFFFFF" w:val="clear"/>
            <w:vAlign w:val="center"/>
          </w:tcPr>
          <w:p w14:paraId="33240000">
            <w:pPr>
              <w:widowControl w:val="1"/>
              <w:ind/>
              <w:contextualSpacing w:val="1"/>
              <w:jc w:val="center"/>
              <w:rPr>
                <w:sz w:val="22"/>
              </w:rPr>
            </w:pPr>
            <w:r>
              <w:rPr>
                <w:sz w:val="22"/>
              </w:rPr>
              <w:t>договор № 10.07 от 13.04.2018</w:t>
            </w:r>
          </w:p>
        </w:tc>
        <w:tc>
          <w:tcPr>
            <w:tcW w:type="dxa" w:w="1274"/>
            <w:tcBorders>
              <w:top w:color="000000" w:sz="4" w:val="single"/>
              <w:left w:color="000000" w:sz="4" w:val="single"/>
              <w:bottom w:color="000000" w:sz="4" w:val="single"/>
              <w:right w:color="000000" w:sz="4" w:val="single"/>
            </w:tcBorders>
            <w:shd w:fill="FFFFFF" w:val="clear"/>
            <w:vAlign w:val="center"/>
          </w:tcPr>
          <w:p w14:paraId="34240000">
            <w:pPr>
              <w:widowControl w:val="1"/>
              <w:ind/>
              <w:contextualSpacing w:val="1"/>
              <w:jc w:val="center"/>
              <w:rPr>
                <w:sz w:val="22"/>
              </w:rPr>
            </w:pPr>
            <w:r>
              <w:rPr>
                <w:sz w:val="22"/>
              </w:rPr>
              <w:t>01.04.2018-31.12.2018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35240000">
            <w:pPr>
              <w:widowControl w:val="1"/>
              <w:ind/>
              <w:contextualSpacing w:val="1"/>
              <w:jc w:val="center"/>
              <w:rPr>
                <w:sz w:val="22"/>
              </w:rPr>
            </w:pPr>
            <w:r>
              <w:rPr>
                <w:sz w:val="22"/>
              </w:rPr>
              <w:t>выполнение работ по подготовке к работе аккумуляторных батарей (АКБ) типа НК 55П для электропоездов ЭД9М 217,218,219</w:t>
            </w:r>
          </w:p>
        </w:tc>
        <w:tc>
          <w:tcPr>
            <w:tcW w:type="dxa" w:w="1194"/>
            <w:tcBorders>
              <w:top w:color="000000" w:sz="4" w:val="single"/>
              <w:left w:color="000000" w:sz="4" w:val="single"/>
              <w:bottom w:color="000000" w:sz="4" w:val="single"/>
              <w:right w:color="000000" w:sz="4" w:val="single"/>
            </w:tcBorders>
            <w:shd w:fill="FFFFFF" w:val="clear"/>
            <w:vAlign w:val="center"/>
          </w:tcPr>
          <w:p w14:paraId="36240000">
            <w:pPr>
              <w:widowControl w:val="1"/>
              <w:ind/>
              <w:contextualSpacing w:val="1"/>
              <w:jc w:val="center"/>
              <w:rPr>
                <w:sz w:val="22"/>
              </w:rPr>
            </w:pPr>
            <w:r>
              <w:rPr>
                <w:sz w:val="22"/>
              </w:rPr>
              <w:t>52338,84</w:t>
            </w:r>
          </w:p>
        </w:tc>
        <w:tc>
          <w:tcPr>
            <w:tcW w:type="dxa" w:w="1221"/>
            <w:tcBorders>
              <w:top w:color="000000" w:sz="4" w:val="single"/>
              <w:left w:color="000000" w:sz="4" w:val="single"/>
              <w:bottom w:color="000000" w:sz="4" w:val="single"/>
              <w:right w:color="000000" w:sz="4" w:val="single"/>
            </w:tcBorders>
            <w:shd w:fill="FFFFFF" w:val="clear"/>
            <w:vAlign w:val="center"/>
          </w:tcPr>
          <w:p w14:paraId="37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38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39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A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3B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C24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D240000">
            <w:pPr>
              <w:widowControl w:val="1"/>
              <w:ind/>
              <w:contextualSpacing w:val="1"/>
              <w:rPr>
                <w:color w:val="000000"/>
                <w:sz w:val="22"/>
              </w:rPr>
            </w:pPr>
            <w:r>
              <w:rPr>
                <w:color w:val="000000"/>
                <w:sz w:val="22"/>
              </w:rPr>
              <w:t>185</w:t>
            </w:r>
          </w:p>
        </w:tc>
        <w:tc>
          <w:tcPr>
            <w:tcW w:type="dxa" w:w="1408"/>
            <w:tcBorders>
              <w:top w:color="000000" w:sz="4" w:val="single"/>
              <w:left w:color="000000" w:sz="4" w:val="single"/>
              <w:bottom w:color="000000" w:sz="4" w:val="single"/>
              <w:right w:color="000000" w:sz="4" w:val="single"/>
            </w:tcBorders>
            <w:shd w:fill="FFFFFF" w:val="clear"/>
            <w:vAlign w:val="center"/>
          </w:tcPr>
          <w:p w14:paraId="3E240000">
            <w:pPr>
              <w:widowControl w:val="1"/>
              <w:ind/>
              <w:contextualSpacing w:val="1"/>
              <w:jc w:val="center"/>
              <w:rPr>
                <w:sz w:val="22"/>
              </w:rPr>
            </w:pPr>
            <w:r>
              <w:rPr>
                <w:sz w:val="22"/>
              </w:rPr>
              <w:t>ООО "Экологический Сервис"</w:t>
            </w:r>
          </w:p>
        </w:tc>
        <w:tc>
          <w:tcPr>
            <w:tcW w:type="dxa" w:w="1408"/>
            <w:tcBorders>
              <w:top w:color="000000" w:sz="4" w:val="single"/>
              <w:left w:color="000000" w:sz="4" w:val="single"/>
              <w:bottom w:color="000000" w:sz="4" w:val="single"/>
              <w:right w:color="000000" w:sz="4" w:val="single"/>
            </w:tcBorders>
            <w:shd w:fill="FFFFFF" w:val="clear"/>
            <w:vAlign w:val="center"/>
          </w:tcPr>
          <w:p w14:paraId="3F240000">
            <w:pPr>
              <w:widowControl w:val="1"/>
              <w:ind/>
              <w:contextualSpacing w:val="1"/>
              <w:jc w:val="center"/>
              <w:rPr>
                <w:sz w:val="22"/>
              </w:rPr>
            </w:pPr>
            <w:r>
              <w:rPr>
                <w:sz w:val="22"/>
              </w:rPr>
              <w:t>договор № 1826 от 04.06.2018</w:t>
            </w:r>
          </w:p>
        </w:tc>
        <w:tc>
          <w:tcPr>
            <w:tcW w:type="dxa" w:w="1274"/>
            <w:tcBorders>
              <w:top w:color="000000" w:sz="4" w:val="single"/>
              <w:left w:color="000000" w:sz="4" w:val="single"/>
              <w:bottom w:color="000000" w:sz="4" w:val="single"/>
              <w:right w:color="000000" w:sz="4" w:val="single"/>
            </w:tcBorders>
            <w:shd w:fill="FFFFFF" w:val="clear"/>
            <w:vAlign w:val="center"/>
          </w:tcPr>
          <w:p w14:paraId="40240000">
            <w:pPr>
              <w:widowControl w:val="1"/>
              <w:ind/>
              <w:contextualSpacing w:val="1"/>
              <w:jc w:val="center"/>
              <w:rPr>
                <w:sz w:val="22"/>
              </w:rPr>
            </w:pPr>
            <w:r>
              <w:rPr>
                <w:sz w:val="22"/>
              </w:rPr>
              <w:t>01.06.2018-31.12.2020</w:t>
            </w:r>
          </w:p>
        </w:tc>
        <w:tc>
          <w:tcPr>
            <w:tcW w:type="dxa" w:w="1556"/>
            <w:tcBorders>
              <w:top w:color="000000" w:sz="4" w:val="single"/>
              <w:left w:color="000000" w:sz="4" w:val="single"/>
              <w:bottom w:color="000000" w:sz="4" w:val="single"/>
              <w:right w:color="000000" w:sz="4" w:val="single"/>
            </w:tcBorders>
            <w:shd w:fill="FFFFFF" w:val="clear"/>
            <w:vAlign w:val="center"/>
          </w:tcPr>
          <w:p w14:paraId="41240000">
            <w:pPr>
              <w:widowControl w:val="1"/>
              <w:ind/>
              <w:contextualSpacing w:val="1"/>
              <w:jc w:val="center"/>
              <w:rPr>
                <w:sz w:val="22"/>
              </w:rPr>
            </w:pPr>
            <w:r>
              <w:rPr>
                <w:sz w:val="22"/>
              </w:rPr>
              <w:t>Оказание услуг по санитарно-техническому обслуживанию портативных биотуалетов</w:t>
            </w:r>
          </w:p>
        </w:tc>
        <w:tc>
          <w:tcPr>
            <w:tcW w:type="dxa" w:w="1194"/>
            <w:tcBorders>
              <w:top w:color="000000" w:sz="4" w:val="single"/>
              <w:left w:color="000000" w:sz="4" w:val="single"/>
              <w:bottom w:color="000000" w:sz="4" w:val="single"/>
              <w:right w:color="000000" w:sz="4" w:val="single"/>
            </w:tcBorders>
            <w:shd w:fill="FFFFFF" w:val="clear"/>
            <w:vAlign w:val="center"/>
          </w:tcPr>
          <w:p w14:paraId="42240000">
            <w:pPr>
              <w:widowControl w:val="1"/>
              <w:ind/>
              <w:contextualSpacing w:val="1"/>
              <w:jc w:val="center"/>
              <w:rPr>
                <w:sz w:val="22"/>
              </w:rPr>
            </w:pPr>
            <w:r>
              <w:rPr>
                <w:sz w:val="22"/>
              </w:rPr>
              <w:t>417200</w:t>
            </w:r>
          </w:p>
        </w:tc>
        <w:tc>
          <w:tcPr>
            <w:tcW w:type="dxa" w:w="1221"/>
            <w:tcBorders>
              <w:top w:color="000000" w:sz="4" w:val="single"/>
              <w:left w:color="000000" w:sz="4" w:val="single"/>
              <w:bottom w:color="000000" w:sz="4" w:val="single"/>
              <w:right w:color="000000" w:sz="4" w:val="single"/>
            </w:tcBorders>
            <w:shd w:fill="FFFFFF" w:val="clear"/>
            <w:vAlign w:val="center"/>
          </w:tcPr>
          <w:p w14:paraId="43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4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5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624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47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48240000">
            <w:pPr>
              <w:widowControl w:val="1"/>
              <w:ind/>
              <w:contextualSpacing w:val="1"/>
              <w:jc w:val="center"/>
              <w:rPr>
                <w:sz w:val="22"/>
              </w:rPr>
            </w:pPr>
            <w:r>
              <w:rPr>
                <w:sz w:val="22"/>
              </w:rPr>
              <w:t>Размещение заказа у единственного поставщика, согласно пп. 3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49240000">
            <w:pPr>
              <w:widowControl w:val="1"/>
              <w:ind/>
              <w:contextualSpacing w:val="1"/>
              <w:rPr>
                <w:color w:val="000000"/>
                <w:sz w:val="22"/>
              </w:rPr>
            </w:pPr>
            <w:r>
              <w:rPr>
                <w:color w:val="000000"/>
                <w:sz w:val="22"/>
              </w:rPr>
              <w:t>186</w:t>
            </w:r>
          </w:p>
        </w:tc>
        <w:tc>
          <w:tcPr>
            <w:tcW w:type="dxa" w:w="1408"/>
            <w:tcBorders>
              <w:top w:color="000000" w:sz="4" w:val="single"/>
              <w:left w:color="000000" w:sz="4" w:val="single"/>
              <w:bottom w:color="000000" w:sz="4" w:val="single"/>
              <w:right w:color="000000" w:sz="4" w:val="single"/>
            </w:tcBorders>
            <w:shd w:fill="FFFFFF" w:val="clear"/>
            <w:vAlign w:val="center"/>
          </w:tcPr>
          <w:p w14:paraId="4A240000">
            <w:pPr>
              <w:widowControl w:val="1"/>
              <w:ind/>
              <w:contextualSpacing w:val="1"/>
              <w:jc w:val="center"/>
              <w:rPr>
                <w:sz w:val="22"/>
              </w:rPr>
            </w:pPr>
            <w:r>
              <w:rPr>
                <w:sz w:val="22"/>
              </w:rPr>
              <w:t>ООО "Экологический сервис"</w:t>
            </w:r>
          </w:p>
        </w:tc>
        <w:tc>
          <w:tcPr>
            <w:tcW w:type="dxa" w:w="1408"/>
            <w:tcBorders>
              <w:top w:color="000000" w:sz="4" w:val="single"/>
              <w:left w:color="000000" w:sz="4" w:val="single"/>
              <w:bottom w:color="000000" w:sz="4" w:val="single"/>
              <w:right w:color="000000" w:sz="4" w:val="single"/>
            </w:tcBorders>
            <w:shd w:fill="FFFFFF" w:val="clear"/>
            <w:vAlign w:val="center"/>
          </w:tcPr>
          <w:p w14:paraId="4B240000">
            <w:pPr>
              <w:widowControl w:val="1"/>
              <w:ind/>
              <w:contextualSpacing w:val="1"/>
              <w:jc w:val="center"/>
              <w:rPr>
                <w:sz w:val="22"/>
              </w:rPr>
            </w:pPr>
            <w:r>
              <w:rPr>
                <w:sz w:val="22"/>
              </w:rPr>
              <w:t>счет № 222 от 02.04.2018</w:t>
            </w:r>
          </w:p>
        </w:tc>
        <w:tc>
          <w:tcPr>
            <w:tcW w:type="dxa" w:w="1274"/>
            <w:tcBorders>
              <w:top w:color="000000" w:sz="4" w:val="single"/>
              <w:left w:color="000000" w:sz="4" w:val="single"/>
              <w:bottom w:color="000000" w:sz="4" w:val="single"/>
              <w:right w:color="000000" w:sz="4" w:val="single"/>
            </w:tcBorders>
            <w:shd w:fill="FFFFFF" w:val="clear"/>
            <w:vAlign w:val="center"/>
          </w:tcPr>
          <w:p w14:paraId="4C240000">
            <w:pPr>
              <w:widowControl w:val="1"/>
              <w:ind/>
              <w:contextualSpacing w:val="1"/>
              <w:jc w:val="center"/>
              <w:rPr>
                <w:sz w:val="22"/>
              </w:rPr>
            </w:pPr>
            <w:r>
              <w:rPr>
                <w:sz w:val="22"/>
              </w:rPr>
              <w:t>02.04.2018-30.04.2018</w:t>
            </w:r>
          </w:p>
        </w:tc>
        <w:tc>
          <w:tcPr>
            <w:tcW w:type="dxa" w:w="1556"/>
            <w:tcBorders>
              <w:top w:color="000000" w:sz="4" w:val="single"/>
              <w:left w:color="000000" w:sz="4" w:val="single"/>
              <w:bottom w:color="000000" w:sz="4" w:val="single"/>
              <w:right w:color="000000" w:sz="4" w:val="single"/>
            </w:tcBorders>
            <w:shd w:fill="FFFFFF" w:val="clear"/>
            <w:vAlign w:val="center"/>
          </w:tcPr>
          <w:p w14:paraId="4D240000">
            <w:pPr>
              <w:widowControl w:val="1"/>
              <w:ind/>
              <w:contextualSpacing w:val="1"/>
              <w:jc w:val="center"/>
              <w:rPr>
                <w:sz w:val="22"/>
              </w:rPr>
            </w:pPr>
            <w:r>
              <w:rPr>
                <w:sz w:val="22"/>
              </w:rPr>
              <w:t>поставка портативного биотуалета</w:t>
            </w:r>
          </w:p>
        </w:tc>
        <w:tc>
          <w:tcPr>
            <w:tcW w:type="dxa" w:w="1194"/>
            <w:tcBorders>
              <w:top w:color="000000" w:sz="4" w:val="single"/>
              <w:left w:color="000000" w:sz="4" w:val="single"/>
              <w:bottom w:color="000000" w:sz="4" w:val="single"/>
              <w:right w:color="000000" w:sz="4" w:val="single"/>
            </w:tcBorders>
            <w:shd w:fill="FFFFFF" w:val="clear"/>
            <w:vAlign w:val="center"/>
          </w:tcPr>
          <w:p w14:paraId="4E240000">
            <w:pPr>
              <w:widowControl w:val="1"/>
              <w:ind/>
              <w:contextualSpacing w:val="1"/>
              <w:jc w:val="center"/>
              <w:rPr>
                <w:sz w:val="22"/>
              </w:rPr>
            </w:pPr>
            <w:r>
              <w:rPr>
                <w:sz w:val="22"/>
              </w:rPr>
              <w:t>5 500,00</w:t>
            </w:r>
          </w:p>
        </w:tc>
        <w:tc>
          <w:tcPr>
            <w:tcW w:type="dxa" w:w="1221"/>
            <w:tcBorders>
              <w:top w:color="000000" w:sz="4" w:val="single"/>
              <w:left w:color="000000" w:sz="4" w:val="single"/>
              <w:bottom w:color="000000" w:sz="4" w:val="single"/>
              <w:right w:color="000000" w:sz="4" w:val="single"/>
            </w:tcBorders>
            <w:shd w:fill="FFFFFF" w:val="clear"/>
            <w:vAlign w:val="center"/>
          </w:tcPr>
          <w:p w14:paraId="4F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0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1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2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53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5424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55240000">
            <w:pPr>
              <w:widowControl w:val="1"/>
              <w:ind/>
              <w:contextualSpacing w:val="1"/>
              <w:rPr>
                <w:color w:val="000000"/>
                <w:sz w:val="22"/>
              </w:rPr>
            </w:pPr>
            <w:r>
              <w:rPr>
                <w:color w:val="000000"/>
                <w:sz w:val="22"/>
              </w:rPr>
              <w:t>187</w:t>
            </w:r>
          </w:p>
        </w:tc>
        <w:tc>
          <w:tcPr>
            <w:tcW w:type="dxa" w:w="1408"/>
            <w:tcBorders>
              <w:top w:color="000000" w:sz="4" w:val="single"/>
              <w:left w:color="000000" w:sz="4" w:val="single"/>
              <w:bottom w:color="000000" w:sz="4" w:val="single"/>
              <w:right w:color="000000" w:sz="4" w:val="single"/>
            </w:tcBorders>
            <w:shd w:fill="FFFFFF" w:val="clear"/>
            <w:vAlign w:val="center"/>
          </w:tcPr>
          <w:p w14:paraId="56240000">
            <w:pPr>
              <w:widowControl w:val="1"/>
              <w:ind/>
              <w:contextualSpacing w:val="1"/>
              <w:jc w:val="center"/>
              <w:rPr>
                <w:sz w:val="22"/>
              </w:rPr>
            </w:pPr>
            <w:r>
              <w:rPr>
                <w:sz w:val="22"/>
              </w:rPr>
              <w:t>ООО "Экологический сервис"</w:t>
            </w:r>
          </w:p>
        </w:tc>
        <w:tc>
          <w:tcPr>
            <w:tcW w:type="dxa" w:w="1408"/>
            <w:tcBorders>
              <w:top w:color="000000" w:sz="4" w:val="single"/>
              <w:left w:color="000000" w:sz="4" w:val="single"/>
              <w:bottom w:color="000000" w:sz="4" w:val="single"/>
              <w:right w:color="000000" w:sz="4" w:val="single"/>
            </w:tcBorders>
            <w:shd w:fill="FFFFFF" w:val="clear"/>
            <w:vAlign w:val="center"/>
          </w:tcPr>
          <w:p w14:paraId="57240000">
            <w:pPr>
              <w:widowControl w:val="1"/>
              <w:ind/>
              <w:contextualSpacing w:val="1"/>
              <w:jc w:val="center"/>
              <w:rPr>
                <w:sz w:val="22"/>
              </w:rPr>
            </w:pPr>
            <w:r>
              <w:rPr>
                <w:sz w:val="22"/>
              </w:rPr>
              <w:t>счет № 536 от 04.05.2018</w:t>
            </w:r>
          </w:p>
        </w:tc>
        <w:tc>
          <w:tcPr>
            <w:tcW w:type="dxa" w:w="1274"/>
            <w:tcBorders>
              <w:top w:color="000000" w:sz="4" w:val="single"/>
              <w:left w:color="000000" w:sz="4" w:val="single"/>
              <w:bottom w:color="000000" w:sz="4" w:val="single"/>
              <w:right w:color="000000" w:sz="4" w:val="single"/>
            </w:tcBorders>
            <w:shd w:fill="FFFFFF" w:val="clear"/>
            <w:vAlign w:val="center"/>
          </w:tcPr>
          <w:p w14:paraId="58240000">
            <w:pPr>
              <w:widowControl w:val="1"/>
              <w:ind/>
              <w:contextualSpacing w:val="1"/>
              <w:jc w:val="center"/>
              <w:rPr>
                <w:sz w:val="22"/>
              </w:rPr>
            </w:pPr>
            <w:r>
              <w:rPr>
                <w:sz w:val="22"/>
              </w:rPr>
              <w:t>02.04.2018-30.04.2018</w:t>
            </w:r>
          </w:p>
        </w:tc>
        <w:tc>
          <w:tcPr>
            <w:tcW w:type="dxa" w:w="1556"/>
            <w:tcBorders>
              <w:top w:color="000000" w:sz="4" w:val="single"/>
              <w:left w:color="000000" w:sz="4" w:val="single"/>
              <w:bottom w:color="000000" w:sz="4" w:val="single"/>
              <w:right w:color="000000" w:sz="4" w:val="single"/>
            </w:tcBorders>
            <w:shd w:fill="FFFFFF" w:val="clear"/>
            <w:vAlign w:val="center"/>
          </w:tcPr>
          <w:p w14:paraId="59240000">
            <w:pPr>
              <w:widowControl w:val="1"/>
              <w:ind/>
              <w:contextualSpacing w:val="1"/>
              <w:jc w:val="center"/>
              <w:rPr>
                <w:sz w:val="22"/>
              </w:rPr>
            </w:pPr>
            <w:r>
              <w:rPr>
                <w:sz w:val="22"/>
              </w:rPr>
              <w:t>оказание услуг по обслужтванию биотеалетов</w:t>
            </w:r>
          </w:p>
        </w:tc>
        <w:tc>
          <w:tcPr>
            <w:tcW w:type="dxa" w:w="1194"/>
            <w:tcBorders>
              <w:top w:color="000000" w:sz="4" w:val="single"/>
              <w:left w:color="000000" w:sz="4" w:val="single"/>
              <w:bottom w:color="000000" w:sz="4" w:val="single"/>
              <w:right w:color="000000" w:sz="4" w:val="single"/>
            </w:tcBorders>
            <w:shd w:fill="FFFFFF" w:val="clear"/>
            <w:vAlign w:val="center"/>
          </w:tcPr>
          <w:p w14:paraId="5A240000">
            <w:pPr>
              <w:widowControl w:val="1"/>
              <w:ind/>
              <w:contextualSpacing w:val="1"/>
              <w:jc w:val="center"/>
              <w:rPr>
                <w:sz w:val="22"/>
              </w:rPr>
            </w:pPr>
            <w:r>
              <w:rPr>
                <w:sz w:val="22"/>
              </w:rPr>
              <w:t>11 200,00</w:t>
            </w:r>
          </w:p>
        </w:tc>
        <w:tc>
          <w:tcPr>
            <w:tcW w:type="dxa" w:w="1221"/>
            <w:tcBorders>
              <w:top w:color="000000" w:sz="4" w:val="single"/>
              <w:left w:color="000000" w:sz="4" w:val="single"/>
              <w:bottom w:color="000000" w:sz="4" w:val="single"/>
              <w:right w:color="000000" w:sz="4" w:val="single"/>
            </w:tcBorders>
            <w:shd w:fill="FFFFFF" w:val="clear"/>
            <w:vAlign w:val="center"/>
          </w:tcPr>
          <w:p w14:paraId="5B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C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D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E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5F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6024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61240000">
            <w:pPr>
              <w:widowControl w:val="1"/>
              <w:ind/>
              <w:contextualSpacing w:val="1"/>
              <w:rPr>
                <w:color w:val="000000"/>
                <w:sz w:val="22"/>
              </w:rPr>
            </w:pPr>
            <w:r>
              <w:rPr>
                <w:color w:val="000000"/>
                <w:sz w:val="22"/>
              </w:rPr>
              <w:t>188</w:t>
            </w:r>
          </w:p>
        </w:tc>
        <w:tc>
          <w:tcPr>
            <w:tcW w:type="dxa" w:w="1408"/>
            <w:tcBorders>
              <w:top w:color="000000" w:sz="4" w:val="single"/>
              <w:left w:color="000000" w:sz="4" w:val="single"/>
              <w:bottom w:color="000000" w:sz="4" w:val="single"/>
              <w:right w:color="000000" w:sz="4" w:val="single"/>
            </w:tcBorders>
            <w:shd w:fill="FFFFFF" w:val="clear"/>
            <w:vAlign w:val="center"/>
          </w:tcPr>
          <w:p w14:paraId="62240000">
            <w:pPr>
              <w:widowControl w:val="1"/>
              <w:ind/>
              <w:contextualSpacing w:val="1"/>
              <w:jc w:val="center"/>
              <w:rPr>
                <w:sz w:val="22"/>
              </w:rPr>
            </w:pPr>
            <w:r>
              <w:rPr>
                <w:sz w:val="22"/>
              </w:rPr>
              <w:t>ООО "Экологический сервис"</w:t>
            </w:r>
          </w:p>
        </w:tc>
        <w:tc>
          <w:tcPr>
            <w:tcW w:type="dxa" w:w="1408"/>
            <w:tcBorders>
              <w:top w:color="000000" w:sz="4" w:val="single"/>
              <w:left w:color="000000" w:sz="4" w:val="single"/>
              <w:bottom w:color="000000" w:sz="4" w:val="single"/>
              <w:right w:color="000000" w:sz="4" w:val="single"/>
            </w:tcBorders>
            <w:shd w:fill="FFFFFF" w:val="clear"/>
            <w:vAlign w:val="center"/>
          </w:tcPr>
          <w:p w14:paraId="63240000">
            <w:pPr>
              <w:widowControl w:val="1"/>
              <w:ind/>
              <w:contextualSpacing w:val="1"/>
              <w:jc w:val="center"/>
              <w:rPr>
                <w:sz w:val="22"/>
              </w:rPr>
            </w:pPr>
            <w:r>
              <w:rPr>
                <w:sz w:val="22"/>
              </w:rPr>
              <w:t>счет №1288 от 30.08.2018</w:t>
            </w:r>
          </w:p>
        </w:tc>
        <w:tc>
          <w:tcPr>
            <w:tcW w:type="dxa" w:w="1274"/>
            <w:tcBorders>
              <w:top w:color="000000" w:sz="4" w:val="single"/>
              <w:left w:color="000000" w:sz="4" w:val="single"/>
              <w:bottom w:color="000000" w:sz="4" w:val="single"/>
              <w:right w:color="000000" w:sz="4" w:val="single"/>
            </w:tcBorders>
            <w:shd w:fill="FFFFFF" w:val="clear"/>
            <w:vAlign w:val="center"/>
          </w:tcPr>
          <w:p w14:paraId="64240000">
            <w:pPr>
              <w:widowControl w:val="1"/>
              <w:ind/>
              <w:contextualSpacing w:val="1"/>
              <w:jc w:val="center"/>
              <w:rPr>
                <w:sz w:val="22"/>
              </w:rPr>
            </w:pPr>
            <w:r>
              <w:rPr>
                <w:sz w:val="22"/>
              </w:rPr>
              <w:t>01.09.2018-05.09.2018</w:t>
            </w:r>
          </w:p>
        </w:tc>
        <w:tc>
          <w:tcPr>
            <w:tcW w:type="dxa" w:w="1556"/>
            <w:tcBorders>
              <w:top w:color="000000" w:sz="4" w:val="single"/>
              <w:left w:color="000000" w:sz="4" w:val="single"/>
              <w:bottom w:color="000000" w:sz="4" w:val="single"/>
              <w:right w:color="000000" w:sz="4" w:val="single"/>
            </w:tcBorders>
            <w:shd w:fill="FFFFFF" w:val="clear"/>
            <w:vAlign w:val="center"/>
          </w:tcPr>
          <w:p w14:paraId="65240000">
            <w:pPr>
              <w:widowControl w:val="1"/>
              <w:ind/>
              <w:contextualSpacing w:val="1"/>
              <w:jc w:val="center"/>
              <w:rPr>
                <w:sz w:val="22"/>
              </w:rPr>
            </w:pPr>
            <w:r>
              <w:rPr>
                <w:sz w:val="22"/>
              </w:rPr>
              <w:t>поставка портативного биотуалета</w:t>
            </w:r>
          </w:p>
        </w:tc>
        <w:tc>
          <w:tcPr>
            <w:tcW w:type="dxa" w:w="1194"/>
            <w:tcBorders>
              <w:top w:color="000000" w:sz="4" w:val="single"/>
              <w:left w:color="000000" w:sz="4" w:val="single"/>
              <w:bottom w:color="000000" w:sz="4" w:val="single"/>
              <w:right w:color="000000" w:sz="4" w:val="single"/>
            </w:tcBorders>
            <w:shd w:fill="FFFFFF" w:val="clear"/>
            <w:vAlign w:val="center"/>
          </w:tcPr>
          <w:p w14:paraId="66240000">
            <w:pPr>
              <w:widowControl w:val="1"/>
              <w:ind/>
              <w:contextualSpacing w:val="1"/>
              <w:jc w:val="center"/>
              <w:rPr>
                <w:sz w:val="22"/>
              </w:rPr>
            </w:pPr>
            <w:r>
              <w:rPr>
                <w:sz w:val="22"/>
              </w:rPr>
              <w:t>5500,00</w:t>
            </w:r>
          </w:p>
        </w:tc>
        <w:tc>
          <w:tcPr>
            <w:tcW w:type="dxa" w:w="1221"/>
            <w:tcBorders>
              <w:top w:color="000000" w:sz="4" w:val="single"/>
              <w:left w:color="000000" w:sz="4" w:val="single"/>
              <w:bottom w:color="000000" w:sz="4" w:val="single"/>
              <w:right w:color="000000" w:sz="4" w:val="single"/>
            </w:tcBorders>
            <w:shd w:fill="FFFFFF" w:val="clear"/>
            <w:vAlign w:val="center"/>
          </w:tcPr>
          <w:p w14:paraId="67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8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9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A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6B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6C24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6D240000">
            <w:pPr>
              <w:widowControl w:val="1"/>
              <w:ind/>
              <w:contextualSpacing w:val="1"/>
              <w:jc w:val="center"/>
              <w:rPr>
                <w:color w:val="000000"/>
                <w:sz w:val="22"/>
              </w:rPr>
            </w:pPr>
            <w:r>
              <w:rPr>
                <w:color w:val="000000"/>
                <w:sz w:val="22"/>
              </w:rPr>
              <w:t>итого по контрагенту ООО "Экологический сервис" 439400 руб.</w:t>
            </w:r>
          </w:p>
          <w:p w14:paraId="6E240000">
            <w:pPr>
              <w:widowControl w:val="1"/>
              <w:ind/>
              <w:contextualSpacing w:val="1"/>
              <w:jc w:val="center"/>
              <w:rPr>
                <w:color w:val="000000"/>
                <w:sz w:val="22"/>
              </w:rPr>
            </w:pPr>
          </w:p>
        </w:tc>
      </w:tr>
      <w:tr>
        <w:trPr>
          <w:trHeight w:hRule="atLeast" w:val="930"/>
        </w:trPr>
        <w:tc>
          <w:tcPr>
            <w:tcW w:type="dxa" w:w="528"/>
            <w:tcBorders>
              <w:top w:color="000000" w:sz="4" w:val="single"/>
              <w:left w:color="000000" w:sz="4" w:val="single"/>
              <w:bottom w:color="000000" w:sz="4" w:val="single"/>
              <w:right w:color="000000" w:sz="4" w:val="single"/>
            </w:tcBorders>
            <w:shd w:fill="FFFFFF" w:val="clear"/>
            <w:vAlign w:val="center"/>
          </w:tcPr>
          <w:p w14:paraId="6F240000">
            <w:pPr>
              <w:widowControl w:val="1"/>
              <w:ind/>
              <w:contextualSpacing w:val="1"/>
              <w:rPr>
                <w:color w:val="000000"/>
                <w:sz w:val="22"/>
              </w:rPr>
            </w:pPr>
            <w:r>
              <w:rPr>
                <w:color w:val="000000"/>
                <w:sz w:val="22"/>
              </w:rPr>
              <w:t>189</w:t>
            </w:r>
          </w:p>
        </w:tc>
        <w:tc>
          <w:tcPr>
            <w:tcW w:type="dxa" w:w="1408"/>
            <w:tcBorders>
              <w:top w:color="000000" w:sz="4" w:val="single"/>
              <w:left w:color="000000" w:sz="4" w:val="single"/>
              <w:bottom w:color="000000" w:sz="4" w:val="single"/>
              <w:right w:color="000000" w:sz="4" w:val="single"/>
            </w:tcBorders>
            <w:shd w:fill="FFFFFF" w:val="clear"/>
            <w:vAlign w:val="center"/>
          </w:tcPr>
          <w:p w14:paraId="70240000">
            <w:pPr>
              <w:widowControl w:val="1"/>
              <w:ind/>
              <w:contextualSpacing w:val="1"/>
              <w:jc w:val="center"/>
              <w:rPr>
                <w:sz w:val="22"/>
              </w:rPr>
            </w:pPr>
            <w:r>
              <w:rPr>
                <w:sz w:val="22"/>
              </w:rPr>
              <w:t>ФГУП "Почта России"</w:t>
            </w:r>
          </w:p>
        </w:tc>
        <w:tc>
          <w:tcPr>
            <w:tcW w:type="dxa" w:w="1408"/>
            <w:tcBorders>
              <w:top w:color="000000" w:sz="4" w:val="single"/>
              <w:left w:color="000000" w:sz="4" w:val="single"/>
              <w:bottom w:color="000000" w:sz="4" w:val="single"/>
              <w:right w:color="000000" w:sz="4" w:val="single"/>
            </w:tcBorders>
            <w:shd w:fill="FFFFFF" w:val="clear"/>
            <w:vAlign w:val="center"/>
          </w:tcPr>
          <w:p w14:paraId="71240000">
            <w:pPr>
              <w:widowControl w:val="1"/>
              <w:ind/>
              <w:contextualSpacing w:val="1"/>
              <w:jc w:val="center"/>
              <w:rPr>
                <w:sz w:val="22"/>
              </w:rPr>
            </w:pPr>
            <w:r>
              <w:rPr>
                <w:sz w:val="22"/>
              </w:rPr>
              <w:t>дополнительное соглашение № 4 к договору № КР/283 от 09.02.2017 от 06.04.2018</w:t>
            </w:r>
          </w:p>
        </w:tc>
        <w:tc>
          <w:tcPr>
            <w:tcW w:type="dxa" w:w="1274"/>
            <w:tcBorders>
              <w:top w:color="000000" w:sz="4" w:val="single"/>
              <w:left w:color="000000" w:sz="4" w:val="single"/>
              <w:bottom w:color="000000" w:sz="4" w:val="single"/>
              <w:right w:color="000000" w:sz="4" w:val="single"/>
            </w:tcBorders>
            <w:shd w:fill="FFFFFF" w:val="clear"/>
            <w:vAlign w:val="center"/>
          </w:tcPr>
          <w:p w14:paraId="72240000">
            <w:pPr>
              <w:widowControl w:val="1"/>
              <w:ind/>
              <w:contextualSpacing w:val="1"/>
              <w:jc w:val="center"/>
              <w:rPr>
                <w:sz w:val="22"/>
              </w:rPr>
            </w:pPr>
            <w:r>
              <w:rPr>
                <w:sz w:val="22"/>
              </w:rPr>
              <w:t>01.01.2017-31.12.2019</w:t>
            </w:r>
          </w:p>
        </w:tc>
        <w:tc>
          <w:tcPr>
            <w:tcW w:type="dxa" w:w="1556"/>
            <w:tcBorders>
              <w:top w:color="000000" w:sz="4" w:val="single"/>
              <w:left w:color="000000" w:sz="4" w:val="single"/>
              <w:bottom w:color="000000" w:sz="4" w:val="single"/>
              <w:right w:color="000000" w:sz="4" w:val="single"/>
            </w:tcBorders>
            <w:shd w:fill="FFFFFF" w:val="clear"/>
            <w:vAlign w:val="center"/>
          </w:tcPr>
          <w:p w14:paraId="73240000">
            <w:pPr>
              <w:widowControl w:val="1"/>
              <w:ind/>
              <w:contextualSpacing w:val="1"/>
              <w:jc w:val="center"/>
              <w:rPr>
                <w:sz w:val="22"/>
              </w:rPr>
            </w:pPr>
            <w:r>
              <w:rPr>
                <w:sz w:val="22"/>
              </w:rPr>
              <w:t>внесение изменений в условия оказания услуг почтовой связи , без изменения предельной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74240000">
            <w:pPr>
              <w:widowControl w:val="1"/>
              <w:ind/>
              <w:contextualSpacing w:val="1"/>
              <w:jc w:val="center"/>
              <w:rPr>
                <w:sz w:val="22"/>
              </w:rPr>
            </w:pPr>
            <w:r>
              <w:rPr>
                <w:sz w:val="22"/>
              </w:rPr>
              <w:t>481576</w:t>
            </w:r>
          </w:p>
        </w:tc>
        <w:tc>
          <w:tcPr>
            <w:tcW w:type="dxa" w:w="1221"/>
            <w:tcBorders>
              <w:top w:color="000000" w:sz="4" w:val="single"/>
              <w:left w:color="000000" w:sz="4" w:val="single"/>
              <w:bottom w:color="000000" w:sz="4" w:val="single"/>
              <w:right w:color="000000" w:sz="4" w:val="single"/>
            </w:tcBorders>
            <w:shd w:fill="FFFFFF" w:val="clear"/>
            <w:vAlign w:val="center"/>
          </w:tcPr>
          <w:p w14:paraId="75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6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7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824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79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A240000">
            <w:pPr>
              <w:widowControl w:val="1"/>
              <w:ind/>
              <w:contextualSpacing w:val="1"/>
              <w:jc w:val="center"/>
              <w:rPr>
                <w:sz w:val="22"/>
              </w:rPr>
            </w:pPr>
            <w:r>
              <w:rPr>
                <w:sz w:val="22"/>
              </w:rPr>
              <w:t>Размещение заказа у единственного поставщика, согласно пп.28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7B240000">
            <w:pPr>
              <w:widowControl w:val="1"/>
              <w:ind/>
              <w:contextualSpacing w:val="1"/>
              <w:rPr>
                <w:color w:val="000000"/>
                <w:sz w:val="22"/>
              </w:rPr>
            </w:pPr>
            <w:r>
              <w:rPr>
                <w:color w:val="000000"/>
                <w:sz w:val="22"/>
              </w:rPr>
              <w:t>190</w:t>
            </w:r>
          </w:p>
        </w:tc>
        <w:tc>
          <w:tcPr>
            <w:tcW w:type="dxa" w:w="1408"/>
            <w:tcBorders>
              <w:top w:color="000000" w:sz="4" w:val="single"/>
              <w:left w:color="000000" w:sz="4" w:val="single"/>
              <w:bottom w:color="000000" w:sz="4" w:val="single"/>
              <w:right w:color="000000" w:sz="4" w:val="single"/>
            </w:tcBorders>
            <w:shd w:fill="FFFFFF" w:val="clear"/>
            <w:vAlign w:val="center"/>
          </w:tcPr>
          <w:p w14:paraId="7C240000">
            <w:pPr>
              <w:widowControl w:val="1"/>
              <w:ind/>
              <w:contextualSpacing w:val="1"/>
              <w:jc w:val="center"/>
              <w:rPr>
                <w:sz w:val="22"/>
              </w:rPr>
            </w:pPr>
            <w:r>
              <w:rPr>
                <w:sz w:val="22"/>
              </w:rPr>
              <w:t>ФГБОУ ВО "Российский университет транспорта"</w:t>
            </w:r>
          </w:p>
        </w:tc>
        <w:tc>
          <w:tcPr>
            <w:tcW w:type="dxa" w:w="1408"/>
            <w:tcBorders>
              <w:top w:color="000000" w:sz="4" w:val="single"/>
              <w:left w:color="000000" w:sz="4" w:val="single"/>
              <w:bottom w:color="000000" w:sz="4" w:val="single"/>
              <w:right w:color="000000" w:sz="4" w:val="single"/>
            </w:tcBorders>
            <w:shd w:fill="FFFFFF" w:val="clear"/>
            <w:vAlign w:val="center"/>
          </w:tcPr>
          <w:p w14:paraId="7D240000">
            <w:pPr>
              <w:widowControl w:val="1"/>
              <w:ind/>
              <w:contextualSpacing w:val="1"/>
              <w:jc w:val="center"/>
              <w:rPr>
                <w:sz w:val="22"/>
              </w:rPr>
            </w:pPr>
            <w:r>
              <w:rPr>
                <w:sz w:val="22"/>
              </w:rPr>
              <w:t>договор № 2018-кв-690 от 21.05.2018</w:t>
            </w:r>
          </w:p>
        </w:tc>
        <w:tc>
          <w:tcPr>
            <w:tcW w:type="dxa" w:w="1274"/>
            <w:tcBorders>
              <w:top w:color="000000" w:sz="4" w:val="single"/>
              <w:left w:color="000000" w:sz="4" w:val="single"/>
              <w:bottom w:color="000000" w:sz="4" w:val="single"/>
              <w:right w:color="000000" w:sz="4" w:val="single"/>
            </w:tcBorders>
            <w:shd w:fill="FFFFFF" w:val="clear"/>
            <w:vAlign w:val="center"/>
          </w:tcPr>
          <w:p w14:paraId="7E240000">
            <w:pPr>
              <w:widowControl w:val="1"/>
              <w:ind/>
              <w:contextualSpacing w:val="1"/>
              <w:jc w:val="center"/>
              <w:rPr>
                <w:sz w:val="22"/>
              </w:rPr>
            </w:pPr>
            <w:r>
              <w:rPr>
                <w:sz w:val="22"/>
              </w:rPr>
              <w:t>07.05.2018-25.05.2018</w:t>
            </w:r>
          </w:p>
        </w:tc>
        <w:tc>
          <w:tcPr>
            <w:tcW w:type="dxa" w:w="1556"/>
            <w:tcBorders>
              <w:top w:color="000000" w:sz="4" w:val="single"/>
              <w:left w:color="000000" w:sz="4" w:val="single"/>
              <w:bottom w:color="000000" w:sz="4" w:val="single"/>
              <w:right w:color="000000" w:sz="4" w:val="single"/>
            </w:tcBorders>
            <w:shd w:fill="FFFFFF" w:val="clear"/>
            <w:vAlign w:val="center"/>
          </w:tcPr>
          <w:p w14:paraId="7F240000">
            <w:pPr>
              <w:widowControl w:val="1"/>
              <w:ind/>
              <w:contextualSpacing w:val="1"/>
              <w:jc w:val="center"/>
              <w:rPr>
                <w:sz w:val="22"/>
              </w:rPr>
            </w:pPr>
            <w:r>
              <w:rPr>
                <w:sz w:val="22"/>
              </w:rPr>
              <w:t>об оказании образовательных услуг по программе повышения квалификации "Клиентоориентированная логистика пассажирских перевозок"</w:t>
            </w:r>
          </w:p>
        </w:tc>
        <w:tc>
          <w:tcPr>
            <w:tcW w:type="dxa" w:w="1194"/>
            <w:tcBorders>
              <w:top w:color="000000" w:sz="4" w:val="single"/>
              <w:left w:color="000000" w:sz="4" w:val="single"/>
              <w:bottom w:color="000000" w:sz="4" w:val="single"/>
              <w:right w:color="000000" w:sz="4" w:val="single"/>
            </w:tcBorders>
            <w:shd w:fill="FFFFFF" w:val="clear"/>
            <w:vAlign w:val="center"/>
          </w:tcPr>
          <w:p w14:paraId="80240000">
            <w:pPr>
              <w:widowControl w:val="1"/>
              <w:ind/>
              <w:contextualSpacing w:val="1"/>
              <w:jc w:val="center"/>
              <w:rPr>
                <w:sz w:val="22"/>
              </w:rPr>
            </w:pPr>
            <w:r>
              <w:rPr>
                <w:sz w:val="22"/>
              </w:rPr>
              <w:t>52000</w:t>
            </w:r>
          </w:p>
        </w:tc>
        <w:tc>
          <w:tcPr>
            <w:tcW w:type="dxa" w:w="1221"/>
            <w:tcBorders>
              <w:top w:color="000000" w:sz="4" w:val="single"/>
              <w:left w:color="000000" w:sz="4" w:val="single"/>
              <w:bottom w:color="000000" w:sz="4" w:val="single"/>
              <w:right w:color="000000" w:sz="4" w:val="single"/>
            </w:tcBorders>
            <w:shd w:fill="FFFFFF" w:val="clear"/>
            <w:vAlign w:val="center"/>
          </w:tcPr>
          <w:p w14:paraId="81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2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3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4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85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86240000">
            <w:pPr>
              <w:widowControl w:val="1"/>
              <w:ind/>
              <w:contextualSpacing w:val="1"/>
              <w:jc w:val="center"/>
              <w:rPr>
                <w:sz w:val="22"/>
              </w:rPr>
            </w:pPr>
            <w:r>
              <w:rPr>
                <w:sz w:val="22"/>
              </w:rPr>
              <w:t>Размещение заказа у единственного поставщика, согласно пп. 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87240000">
            <w:pPr>
              <w:widowControl w:val="1"/>
              <w:ind/>
              <w:contextualSpacing w:val="1"/>
              <w:rPr>
                <w:color w:val="000000"/>
                <w:sz w:val="22"/>
              </w:rPr>
            </w:pPr>
            <w:r>
              <w:rPr>
                <w:color w:val="000000"/>
                <w:sz w:val="22"/>
              </w:rPr>
              <w:t>191</w:t>
            </w:r>
          </w:p>
        </w:tc>
        <w:tc>
          <w:tcPr>
            <w:tcW w:type="dxa" w:w="1408"/>
            <w:tcBorders>
              <w:top w:color="000000" w:sz="4" w:val="single"/>
              <w:left w:color="000000" w:sz="4" w:val="single"/>
              <w:bottom w:color="000000" w:sz="4" w:val="single"/>
              <w:right w:color="000000" w:sz="4" w:val="single"/>
            </w:tcBorders>
            <w:shd w:fill="FFFFFF" w:val="clear"/>
            <w:vAlign w:val="center"/>
          </w:tcPr>
          <w:p w14:paraId="88240000">
            <w:pPr>
              <w:widowControl w:val="1"/>
              <w:ind/>
              <w:contextualSpacing w:val="1"/>
              <w:jc w:val="center"/>
              <w:rPr>
                <w:sz w:val="22"/>
              </w:rPr>
            </w:pPr>
            <w:r>
              <w:rPr>
                <w:sz w:val="22"/>
              </w:rPr>
              <w:t>ФГБОУ ВО "Иркутский государственный унивыерситет путей сообщения"</w:t>
            </w:r>
          </w:p>
        </w:tc>
        <w:tc>
          <w:tcPr>
            <w:tcW w:type="dxa" w:w="1408"/>
            <w:tcBorders>
              <w:top w:color="000000" w:sz="4" w:val="single"/>
              <w:left w:color="000000" w:sz="4" w:val="single"/>
              <w:bottom w:color="000000" w:sz="4" w:val="single"/>
              <w:right w:color="000000" w:sz="4" w:val="single"/>
            </w:tcBorders>
            <w:shd w:fill="FFFFFF" w:val="clear"/>
            <w:vAlign w:val="center"/>
          </w:tcPr>
          <w:p w14:paraId="89240000">
            <w:pPr>
              <w:widowControl w:val="1"/>
              <w:ind/>
              <w:contextualSpacing w:val="1"/>
              <w:jc w:val="center"/>
              <w:rPr>
                <w:sz w:val="22"/>
              </w:rPr>
            </w:pPr>
            <w:r>
              <w:rPr>
                <w:sz w:val="22"/>
              </w:rPr>
              <w:t>договор № 236-180 от 13.06.2018</w:t>
            </w:r>
          </w:p>
        </w:tc>
        <w:tc>
          <w:tcPr>
            <w:tcW w:type="dxa" w:w="1274"/>
            <w:tcBorders>
              <w:top w:color="000000" w:sz="4" w:val="single"/>
              <w:left w:color="000000" w:sz="4" w:val="single"/>
              <w:bottom w:color="000000" w:sz="4" w:val="single"/>
              <w:right w:color="000000" w:sz="4" w:val="single"/>
            </w:tcBorders>
            <w:shd w:fill="FFFFFF" w:val="clear"/>
            <w:vAlign w:val="center"/>
          </w:tcPr>
          <w:p w14:paraId="8A240000">
            <w:pPr>
              <w:widowControl w:val="1"/>
              <w:ind/>
              <w:contextualSpacing w:val="1"/>
              <w:jc w:val="center"/>
              <w:rPr>
                <w:sz w:val="22"/>
              </w:rPr>
            </w:pPr>
            <w:r>
              <w:rPr>
                <w:sz w:val="22"/>
              </w:rPr>
              <w:t>14.05.2018-до полного исполнения обязательств</w:t>
            </w:r>
          </w:p>
        </w:tc>
        <w:tc>
          <w:tcPr>
            <w:tcW w:type="dxa" w:w="1556"/>
            <w:tcBorders>
              <w:top w:color="000000" w:sz="4" w:val="single"/>
              <w:left w:color="000000" w:sz="4" w:val="single"/>
              <w:bottom w:color="000000" w:sz="4" w:val="single"/>
              <w:right w:color="000000" w:sz="4" w:val="single"/>
            </w:tcBorders>
            <w:shd w:fill="FFFFFF" w:val="clear"/>
            <w:vAlign w:val="center"/>
          </w:tcPr>
          <w:p w14:paraId="8B240000">
            <w:pPr>
              <w:widowControl w:val="1"/>
              <w:ind/>
              <w:contextualSpacing w:val="1"/>
              <w:jc w:val="center"/>
              <w:rPr>
                <w:sz w:val="22"/>
              </w:rPr>
            </w:pPr>
            <w:r>
              <w:rPr>
                <w:sz w:val="22"/>
              </w:rPr>
              <w:t>Оказание услуг по обучению по программе повышения квалификации "Гражданская оборона, предупреждение и ликвидация последствий ЧС на жд транспорте"</w:t>
            </w:r>
          </w:p>
        </w:tc>
        <w:tc>
          <w:tcPr>
            <w:tcW w:type="dxa" w:w="1194"/>
            <w:tcBorders>
              <w:top w:color="000000" w:sz="4" w:val="single"/>
              <w:left w:color="000000" w:sz="4" w:val="single"/>
              <w:bottom w:color="000000" w:sz="4" w:val="single"/>
              <w:right w:color="000000" w:sz="4" w:val="single"/>
            </w:tcBorders>
            <w:shd w:fill="FFFFFF" w:val="clear"/>
            <w:vAlign w:val="center"/>
          </w:tcPr>
          <w:p w14:paraId="8C240000">
            <w:pPr>
              <w:widowControl w:val="1"/>
              <w:ind/>
              <w:contextualSpacing w:val="1"/>
              <w:jc w:val="center"/>
              <w:rPr>
                <w:sz w:val="22"/>
              </w:rPr>
            </w:pPr>
            <w:r>
              <w:rPr>
                <w:sz w:val="22"/>
              </w:rPr>
              <w:t>7150</w:t>
            </w:r>
          </w:p>
        </w:tc>
        <w:tc>
          <w:tcPr>
            <w:tcW w:type="dxa" w:w="1221"/>
            <w:tcBorders>
              <w:top w:color="000000" w:sz="4" w:val="single"/>
              <w:left w:color="000000" w:sz="4" w:val="single"/>
              <w:bottom w:color="000000" w:sz="4" w:val="single"/>
              <w:right w:color="000000" w:sz="4" w:val="single"/>
            </w:tcBorders>
            <w:shd w:fill="FFFFFF" w:val="clear"/>
            <w:vAlign w:val="center"/>
          </w:tcPr>
          <w:p w14:paraId="8D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E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F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0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91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2240000">
            <w:pPr>
              <w:widowControl w:val="1"/>
              <w:ind/>
              <w:contextualSpacing w:val="1"/>
              <w:jc w:val="center"/>
              <w:rPr>
                <w:sz w:val="22"/>
              </w:rPr>
            </w:pPr>
            <w:r>
              <w:rPr>
                <w:sz w:val="22"/>
              </w:rPr>
              <w:t>Размещение заказа у единственного поставщика, согласно пп. 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3240000">
            <w:pPr>
              <w:widowControl w:val="1"/>
              <w:ind/>
              <w:contextualSpacing w:val="1"/>
              <w:rPr>
                <w:color w:val="000000"/>
                <w:sz w:val="22"/>
              </w:rPr>
            </w:pPr>
            <w:r>
              <w:rPr>
                <w:color w:val="000000"/>
                <w:sz w:val="22"/>
              </w:rPr>
              <w:t>192</w:t>
            </w:r>
          </w:p>
        </w:tc>
        <w:tc>
          <w:tcPr>
            <w:tcW w:type="dxa" w:w="1408"/>
            <w:tcBorders>
              <w:top w:color="000000" w:sz="4" w:val="single"/>
              <w:left w:color="000000" w:sz="4" w:val="single"/>
              <w:bottom w:color="000000" w:sz="4" w:val="single"/>
              <w:right w:color="000000" w:sz="4" w:val="single"/>
            </w:tcBorders>
            <w:shd w:fill="FFFFFF" w:val="clear"/>
            <w:vAlign w:val="center"/>
          </w:tcPr>
          <w:p w14:paraId="94240000">
            <w:pPr>
              <w:widowControl w:val="1"/>
              <w:ind/>
              <w:contextualSpacing w:val="1"/>
              <w:jc w:val="center"/>
              <w:rPr>
                <w:sz w:val="22"/>
              </w:rPr>
            </w:pPr>
            <w:r>
              <w:rPr>
                <w:sz w:val="22"/>
              </w:rPr>
              <w:t>ООО Интерфакс-ЦРКИ</w:t>
            </w:r>
          </w:p>
        </w:tc>
        <w:tc>
          <w:tcPr>
            <w:tcW w:type="dxa" w:w="1408"/>
            <w:tcBorders>
              <w:top w:color="000000" w:sz="4" w:val="single"/>
              <w:left w:color="000000" w:sz="4" w:val="single"/>
              <w:bottom w:color="000000" w:sz="4" w:val="single"/>
              <w:right w:color="000000" w:sz="4" w:val="single"/>
            </w:tcBorders>
            <w:shd w:fill="FFFFFF" w:val="clear"/>
            <w:vAlign w:val="center"/>
          </w:tcPr>
          <w:p w14:paraId="95240000">
            <w:pPr>
              <w:widowControl w:val="1"/>
              <w:ind/>
              <w:contextualSpacing w:val="1"/>
              <w:jc w:val="center"/>
              <w:rPr>
                <w:sz w:val="22"/>
              </w:rPr>
            </w:pPr>
            <w:r>
              <w:rPr>
                <w:sz w:val="22"/>
              </w:rPr>
              <w:t>счет № 62791 от 11.04.2018</w:t>
            </w:r>
          </w:p>
        </w:tc>
        <w:tc>
          <w:tcPr>
            <w:tcW w:type="dxa" w:w="1274"/>
            <w:tcBorders>
              <w:top w:color="000000" w:sz="4" w:val="single"/>
              <w:left w:color="000000" w:sz="4" w:val="single"/>
              <w:bottom w:color="000000" w:sz="4" w:val="single"/>
              <w:right w:color="000000" w:sz="4" w:val="single"/>
            </w:tcBorders>
            <w:shd w:fill="FFFFFF" w:val="clear"/>
            <w:vAlign w:val="center"/>
          </w:tcPr>
          <w:p w14:paraId="96240000">
            <w:pPr>
              <w:widowControl w:val="1"/>
              <w:ind/>
              <w:contextualSpacing w:val="1"/>
              <w:jc w:val="center"/>
              <w:rPr>
                <w:sz w:val="22"/>
              </w:rPr>
            </w:pPr>
            <w:r>
              <w:rPr>
                <w:sz w:val="22"/>
              </w:rPr>
              <w:t>11.04.2018-30.04.2018</w:t>
            </w:r>
          </w:p>
        </w:tc>
        <w:tc>
          <w:tcPr>
            <w:tcW w:type="dxa" w:w="1556"/>
            <w:tcBorders>
              <w:top w:color="000000" w:sz="4" w:val="single"/>
              <w:left w:color="000000" w:sz="4" w:val="single"/>
              <w:bottom w:color="000000" w:sz="4" w:val="single"/>
              <w:right w:color="000000" w:sz="4" w:val="single"/>
            </w:tcBorders>
            <w:shd w:fill="FFFFFF" w:val="clear"/>
            <w:vAlign w:val="center"/>
          </w:tcPr>
          <w:p w14:paraId="97240000">
            <w:pPr>
              <w:widowControl w:val="1"/>
              <w:ind/>
              <w:contextualSpacing w:val="1"/>
              <w:jc w:val="center"/>
              <w:rPr>
                <w:sz w:val="22"/>
              </w:rPr>
            </w:pPr>
            <w:r>
              <w:rPr>
                <w:sz w:val="22"/>
              </w:rPr>
              <w:t>оказание услуг по перерегистрации в системе раскрытия информации</w:t>
            </w:r>
          </w:p>
        </w:tc>
        <w:tc>
          <w:tcPr>
            <w:tcW w:type="dxa" w:w="1194"/>
            <w:tcBorders>
              <w:top w:color="000000" w:sz="4" w:val="single"/>
              <w:left w:color="000000" w:sz="4" w:val="single"/>
              <w:bottom w:color="000000" w:sz="4" w:val="single"/>
              <w:right w:color="000000" w:sz="4" w:val="single"/>
            </w:tcBorders>
            <w:shd w:fill="FFFFFF" w:val="clear"/>
            <w:vAlign w:val="center"/>
          </w:tcPr>
          <w:p w14:paraId="98240000">
            <w:pPr>
              <w:widowControl w:val="1"/>
              <w:ind/>
              <w:contextualSpacing w:val="1"/>
              <w:jc w:val="center"/>
              <w:rPr>
                <w:sz w:val="22"/>
              </w:rPr>
            </w:pPr>
            <w:r>
              <w:rPr>
                <w:sz w:val="22"/>
              </w:rPr>
              <w:t>4 484,00</w:t>
            </w:r>
          </w:p>
        </w:tc>
        <w:tc>
          <w:tcPr>
            <w:tcW w:type="dxa" w:w="1221"/>
            <w:tcBorders>
              <w:top w:color="000000" w:sz="4" w:val="single"/>
              <w:left w:color="000000" w:sz="4" w:val="single"/>
              <w:bottom w:color="000000" w:sz="4" w:val="single"/>
              <w:right w:color="000000" w:sz="4" w:val="single"/>
            </w:tcBorders>
            <w:shd w:fill="FFFFFF" w:val="clear"/>
            <w:vAlign w:val="center"/>
          </w:tcPr>
          <w:p w14:paraId="99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A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B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C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9D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E24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F240000">
            <w:pPr>
              <w:widowControl w:val="1"/>
              <w:ind/>
              <w:contextualSpacing w:val="1"/>
              <w:rPr>
                <w:color w:val="000000"/>
                <w:sz w:val="22"/>
              </w:rPr>
            </w:pPr>
            <w:r>
              <w:rPr>
                <w:color w:val="000000"/>
                <w:sz w:val="22"/>
              </w:rPr>
              <w:t>193</w:t>
            </w:r>
          </w:p>
        </w:tc>
        <w:tc>
          <w:tcPr>
            <w:tcW w:type="dxa" w:w="1408"/>
            <w:tcBorders>
              <w:top w:color="000000" w:sz="4" w:val="single"/>
              <w:left w:color="000000" w:sz="4" w:val="single"/>
              <w:bottom w:color="000000" w:sz="4" w:val="single"/>
              <w:right w:color="000000" w:sz="4" w:val="single"/>
            </w:tcBorders>
            <w:shd w:fill="FFFFFF" w:val="clear"/>
            <w:vAlign w:val="center"/>
          </w:tcPr>
          <w:p w14:paraId="A0240000">
            <w:pPr>
              <w:widowControl w:val="1"/>
              <w:ind/>
              <w:contextualSpacing w:val="1"/>
              <w:jc w:val="center"/>
              <w:rPr>
                <w:sz w:val="22"/>
              </w:rPr>
            </w:pPr>
            <w:r>
              <w:rPr>
                <w:sz w:val="22"/>
              </w:rPr>
              <w:t>ИП Клименко С.А.</w:t>
            </w:r>
          </w:p>
        </w:tc>
        <w:tc>
          <w:tcPr>
            <w:tcW w:type="dxa" w:w="1408"/>
            <w:tcBorders>
              <w:top w:color="000000" w:sz="4" w:val="single"/>
              <w:left w:color="000000" w:sz="4" w:val="single"/>
              <w:bottom w:color="000000" w:sz="4" w:val="single"/>
              <w:right w:color="000000" w:sz="4" w:val="single"/>
            </w:tcBorders>
            <w:shd w:fill="FFFFFF" w:val="clear"/>
            <w:vAlign w:val="center"/>
          </w:tcPr>
          <w:p w14:paraId="A1240000">
            <w:pPr>
              <w:widowControl w:val="1"/>
              <w:ind/>
              <w:contextualSpacing w:val="1"/>
              <w:jc w:val="center"/>
              <w:rPr>
                <w:sz w:val="22"/>
              </w:rPr>
            </w:pPr>
            <w:r>
              <w:rPr>
                <w:sz w:val="22"/>
              </w:rPr>
              <w:t>счет № 28/205 от 14.05.2018</w:t>
            </w:r>
          </w:p>
        </w:tc>
        <w:tc>
          <w:tcPr>
            <w:tcW w:type="dxa" w:w="1274"/>
            <w:tcBorders>
              <w:top w:color="000000" w:sz="4" w:val="single"/>
              <w:left w:color="000000" w:sz="4" w:val="single"/>
              <w:bottom w:color="000000" w:sz="4" w:val="single"/>
              <w:right w:color="000000" w:sz="4" w:val="single"/>
            </w:tcBorders>
            <w:shd w:fill="FFFFFF" w:val="clear"/>
            <w:vAlign w:val="center"/>
          </w:tcPr>
          <w:p w14:paraId="A2240000">
            <w:pPr>
              <w:widowControl w:val="1"/>
              <w:ind/>
              <w:contextualSpacing w:val="1"/>
              <w:jc w:val="center"/>
              <w:rPr>
                <w:sz w:val="22"/>
              </w:rPr>
            </w:pPr>
            <w:r>
              <w:rPr>
                <w:sz w:val="22"/>
              </w:rPr>
              <w:t>14.05.2018-30.04.2018</w:t>
            </w:r>
          </w:p>
        </w:tc>
        <w:tc>
          <w:tcPr>
            <w:tcW w:type="dxa" w:w="1556"/>
            <w:tcBorders>
              <w:top w:color="000000" w:sz="4" w:val="single"/>
              <w:left w:color="000000" w:sz="4" w:val="single"/>
              <w:bottom w:color="000000" w:sz="4" w:val="single"/>
              <w:right w:color="000000" w:sz="4" w:val="single"/>
            </w:tcBorders>
            <w:shd w:fill="FFFFFF" w:val="clear"/>
            <w:vAlign w:val="center"/>
          </w:tcPr>
          <w:p w14:paraId="A3240000">
            <w:pPr>
              <w:widowControl w:val="1"/>
              <w:ind/>
              <w:contextualSpacing w:val="1"/>
              <w:jc w:val="center"/>
              <w:rPr>
                <w:sz w:val="22"/>
              </w:rPr>
            </w:pPr>
            <w:r>
              <w:rPr>
                <w:sz w:val="22"/>
              </w:rPr>
              <w:t>выполнение работ по изготовлению штампов</w:t>
            </w:r>
          </w:p>
        </w:tc>
        <w:tc>
          <w:tcPr>
            <w:tcW w:type="dxa" w:w="1194"/>
            <w:tcBorders>
              <w:top w:color="000000" w:sz="4" w:val="single"/>
              <w:left w:color="000000" w:sz="4" w:val="single"/>
              <w:bottom w:color="000000" w:sz="4" w:val="single"/>
              <w:right w:color="000000" w:sz="4" w:val="single"/>
            </w:tcBorders>
            <w:shd w:fill="FFFFFF" w:val="clear"/>
            <w:vAlign w:val="center"/>
          </w:tcPr>
          <w:p w14:paraId="A4240000">
            <w:pPr>
              <w:widowControl w:val="1"/>
              <w:ind/>
              <w:contextualSpacing w:val="1"/>
              <w:jc w:val="center"/>
              <w:rPr>
                <w:sz w:val="22"/>
              </w:rPr>
            </w:pPr>
            <w:r>
              <w:rPr>
                <w:sz w:val="22"/>
              </w:rPr>
              <w:t>7 500,00</w:t>
            </w:r>
          </w:p>
        </w:tc>
        <w:tc>
          <w:tcPr>
            <w:tcW w:type="dxa" w:w="1221"/>
            <w:tcBorders>
              <w:top w:color="000000" w:sz="4" w:val="single"/>
              <w:left w:color="000000" w:sz="4" w:val="single"/>
              <w:bottom w:color="000000" w:sz="4" w:val="single"/>
              <w:right w:color="000000" w:sz="4" w:val="single"/>
            </w:tcBorders>
            <w:shd w:fill="FFFFFF" w:val="clear"/>
            <w:vAlign w:val="center"/>
          </w:tcPr>
          <w:p w14:paraId="A5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6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7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8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A9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A24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B240000">
            <w:pPr>
              <w:widowControl w:val="1"/>
              <w:ind/>
              <w:contextualSpacing w:val="1"/>
              <w:rPr>
                <w:color w:val="000000"/>
                <w:sz w:val="22"/>
              </w:rPr>
            </w:pPr>
            <w:r>
              <w:rPr>
                <w:color w:val="000000"/>
                <w:sz w:val="22"/>
              </w:rPr>
              <w:t>194</w:t>
            </w:r>
          </w:p>
        </w:tc>
        <w:tc>
          <w:tcPr>
            <w:tcW w:type="dxa" w:w="1408"/>
            <w:tcBorders>
              <w:top w:color="000000" w:sz="4" w:val="single"/>
              <w:left w:color="000000" w:sz="4" w:val="single"/>
              <w:bottom w:color="000000" w:sz="4" w:val="single"/>
              <w:right w:color="000000" w:sz="4" w:val="single"/>
            </w:tcBorders>
            <w:shd w:fill="FFFFFF" w:val="clear"/>
            <w:vAlign w:val="center"/>
          </w:tcPr>
          <w:p w14:paraId="AC240000">
            <w:pPr>
              <w:widowControl w:val="1"/>
              <w:ind/>
              <w:contextualSpacing w:val="1"/>
              <w:jc w:val="center"/>
              <w:rPr>
                <w:sz w:val="22"/>
              </w:rPr>
            </w:pPr>
            <w:r>
              <w:rPr>
                <w:sz w:val="22"/>
              </w:rPr>
              <w:t>ИП Клименко С.А.</w:t>
            </w:r>
          </w:p>
        </w:tc>
        <w:tc>
          <w:tcPr>
            <w:tcW w:type="dxa" w:w="1408"/>
            <w:tcBorders>
              <w:top w:color="000000" w:sz="4" w:val="single"/>
              <w:left w:color="000000" w:sz="4" w:val="single"/>
              <w:bottom w:color="000000" w:sz="4" w:val="single"/>
              <w:right w:color="000000" w:sz="4" w:val="single"/>
            </w:tcBorders>
            <w:shd w:fill="FFFFFF" w:val="clear"/>
            <w:vAlign w:val="center"/>
          </w:tcPr>
          <w:p w14:paraId="AD240000">
            <w:pPr>
              <w:widowControl w:val="1"/>
              <w:ind/>
              <w:contextualSpacing w:val="1"/>
              <w:jc w:val="center"/>
              <w:rPr>
                <w:sz w:val="22"/>
              </w:rPr>
            </w:pPr>
            <w:r>
              <w:rPr>
                <w:sz w:val="22"/>
              </w:rPr>
              <w:t>счет № 28/201 от 19.04.2018</w:t>
            </w:r>
          </w:p>
        </w:tc>
        <w:tc>
          <w:tcPr>
            <w:tcW w:type="dxa" w:w="1274"/>
            <w:tcBorders>
              <w:top w:color="000000" w:sz="4" w:val="single"/>
              <w:left w:color="000000" w:sz="4" w:val="single"/>
              <w:bottom w:color="000000" w:sz="4" w:val="single"/>
              <w:right w:color="000000" w:sz="4" w:val="single"/>
            </w:tcBorders>
            <w:shd w:fill="FFFFFF" w:val="clear"/>
            <w:vAlign w:val="center"/>
          </w:tcPr>
          <w:p w14:paraId="AE240000">
            <w:pPr>
              <w:widowControl w:val="1"/>
              <w:ind/>
              <w:contextualSpacing w:val="1"/>
              <w:jc w:val="center"/>
              <w:rPr>
                <w:sz w:val="22"/>
              </w:rPr>
            </w:pPr>
            <w:r>
              <w:rPr>
                <w:sz w:val="22"/>
              </w:rPr>
              <w:t>19.04.2018-30.04.2018</w:t>
            </w:r>
          </w:p>
        </w:tc>
        <w:tc>
          <w:tcPr>
            <w:tcW w:type="dxa" w:w="1556"/>
            <w:tcBorders>
              <w:top w:color="000000" w:sz="4" w:val="single"/>
              <w:left w:color="000000" w:sz="4" w:val="single"/>
              <w:bottom w:color="000000" w:sz="4" w:val="single"/>
              <w:right w:color="000000" w:sz="4" w:val="single"/>
            </w:tcBorders>
            <w:shd w:fill="FFFFFF" w:val="clear"/>
            <w:vAlign w:val="center"/>
          </w:tcPr>
          <w:p w14:paraId="AF240000">
            <w:pPr>
              <w:widowControl w:val="1"/>
              <w:ind/>
              <w:contextualSpacing w:val="1"/>
              <w:jc w:val="center"/>
              <w:rPr>
                <w:sz w:val="22"/>
              </w:rPr>
            </w:pPr>
            <w:r>
              <w:rPr>
                <w:sz w:val="22"/>
              </w:rPr>
              <w:t>выполнение работ по изготовлению штампа с автоматической оснасткой</w:t>
            </w:r>
          </w:p>
        </w:tc>
        <w:tc>
          <w:tcPr>
            <w:tcW w:type="dxa" w:w="1194"/>
            <w:tcBorders>
              <w:top w:color="000000" w:sz="4" w:val="single"/>
              <w:left w:color="000000" w:sz="4" w:val="single"/>
              <w:bottom w:color="000000" w:sz="4" w:val="single"/>
              <w:right w:color="000000" w:sz="4" w:val="single"/>
            </w:tcBorders>
            <w:shd w:fill="FFFFFF" w:val="clear"/>
            <w:vAlign w:val="center"/>
          </w:tcPr>
          <w:p w14:paraId="B0240000">
            <w:pPr>
              <w:widowControl w:val="1"/>
              <w:ind/>
              <w:contextualSpacing w:val="1"/>
              <w:jc w:val="center"/>
              <w:rPr>
                <w:sz w:val="22"/>
              </w:rPr>
            </w:pPr>
            <w:r>
              <w:rPr>
                <w:sz w:val="22"/>
              </w:rPr>
              <w:t>900,00</w:t>
            </w:r>
          </w:p>
        </w:tc>
        <w:tc>
          <w:tcPr>
            <w:tcW w:type="dxa" w:w="1221"/>
            <w:tcBorders>
              <w:top w:color="000000" w:sz="4" w:val="single"/>
              <w:left w:color="000000" w:sz="4" w:val="single"/>
              <w:bottom w:color="000000" w:sz="4" w:val="single"/>
              <w:right w:color="000000" w:sz="4" w:val="single"/>
            </w:tcBorders>
            <w:shd w:fill="FFFFFF" w:val="clear"/>
            <w:vAlign w:val="center"/>
          </w:tcPr>
          <w:p w14:paraId="B1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2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3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4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B5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B624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B7240000">
            <w:pPr>
              <w:widowControl w:val="1"/>
              <w:ind/>
              <w:contextualSpacing w:val="1"/>
              <w:rPr>
                <w:color w:val="000000"/>
                <w:sz w:val="22"/>
              </w:rPr>
            </w:pPr>
            <w:r>
              <w:rPr>
                <w:color w:val="000000"/>
                <w:sz w:val="22"/>
              </w:rPr>
              <w:t>195</w:t>
            </w:r>
          </w:p>
        </w:tc>
        <w:tc>
          <w:tcPr>
            <w:tcW w:type="dxa" w:w="1408"/>
            <w:tcBorders>
              <w:top w:color="000000" w:sz="4" w:val="single"/>
              <w:left w:color="000000" w:sz="4" w:val="single"/>
              <w:bottom w:color="000000" w:sz="4" w:val="single"/>
              <w:right w:color="000000" w:sz="4" w:val="single"/>
            </w:tcBorders>
            <w:shd w:fill="FFFFFF" w:val="clear"/>
            <w:vAlign w:val="center"/>
          </w:tcPr>
          <w:p w14:paraId="B8240000">
            <w:pPr>
              <w:widowControl w:val="1"/>
              <w:ind/>
              <w:contextualSpacing w:val="1"/>
              <w:jc w:val="center"/>
              <w:rPr>
                <w:sz w:val="22"/>
              </w:rPr>
            </w:pPr>
            <w:r>
              <w:rPr>
                <w:sz w:val="22"/>
              </w:rPr>
              <w:t>ИП Клименко С.А.</w:t>
            </w:r>
          </w:p>
        </w:tc>
        <w:tc>
          <w:tcPr>
            <w:tcW w:type="dxa" w:w="1408"/>
            <w:tcBorders>
              <w:top w:color="000000" w:sz="4" w:val="single"/>
              <w:left w:color="000000" w:sz="4" w:val="single"/>
              <w:bottom w:color="000000" w:sz="4" w:val="single"/>
              <w:right w:color="000000" w:sz="4" w:val="single"/>
            </w:tcBorders>
            <w:shd w:fill="FFFFFF" w:val="clear"/>
            <w:vAlign w:val="center"/>
          </w:tcPr>
          <w:p w14:paraId="B9240000">
            <w:pPr>
              <w:widowControl w:val="1"/>
              <w:ind/>
              <w:contextualSpacing w:val="1"/>
              <w:jc w:val="center"/>
              <w:rPr>
                <w:sz w:val="22"/>
              </w:rPr>
            </w:pPr>
            <w:r>
              <w:rPr>
                <w:sz w:val="22"/>
              </w:rPr>
              <w:t>счет № 28/212 от 04.04.2018</w:t>
            </w:r>
          </w:p>
        </w:tc>
        <w:tc>
          <w:tcPr>
            <w:tcW w:type="dxa" w:w="1274"/>
            <w:tcBorders>
              <w:top w:color="000000" w:sz="4" w:val="single"/>
              <w:left w:color="000000" w:sz="4" w:val="single"/>
              <w:bottom w:color="000000" w:sz="4" w:val="single"/>
              <w:right w:color="000000" w:sz="4" w:val="single"/>
            </w:tcBorders>
            <w:shd w:fill="FFFFFF" w:val="clear"/>
            <w:vAlign w:val="center"/>
          </w:tcPr>
          <w:p w14:paraId="BA240000">
            <w:pPr>
              <w:widowControl w:val="1"/>
              <w:ind/>
              <w:contextualSpacing w:val="1"/>
              <w:jc w:val="center"/>
              <w:rPr>
                <w:sz w:val="22"/>
              </w:rPr>
            </w:pPr>
            <w:r>
              <w:rPr>
                <w:sz w:val="22"/>
              </w:rPr>
              <w:t>04.06.2018-30.06.2018</w:t>
            </w:r>
          </w:p>
        </w:tc>
        <w:tc>
          <w:tcPr>
            <w:tcW w:type="dxa" w:w="1556"/>
            <w:tcBorders>
              <w:top w:color="000000" w:sz="4" w:val="single"/>
              <w:left w:color="000000" w:sz="4" w:val="single"/>
              <w:bottom w:color="000000" w:sz="4" w:val="single"/>
              <w:right w:color="000000" w:sz="4" w:val="single"/>
            </w:tcBorders>
            <w:shd w:fill="FFFFFF" w:val="clear"/>
            <w:vAlign w:val="center"/>
          </w:tcPr>
          <w:p w14:paraId="BB240000">
            <w:pPr>
              <w:widowControl w:val="1"/>
              <w:ind/>
              <w:contextualSpacing w:val="1"/>
              <w:jc w:val="center"/>
              <w:rPr>
                <w:sz w:val="22"/>
              </w:rPr>
            </w:pPr>
            <w:r>
              <w:rPr>
                <w:sz w:val="22"/>
              </w:rPr>
              <w:t>выполнение работ по изготовлению штампов</w:t>
            </w:r>
          </w:p>
        </w:tc>
        <w:tc>
          <w:tcPr>
            <w:tcW w:type="dxa" w:w="1194"/>
            <w:tcBorders>
              <w:top w:color="000000" w:sz="4" w:val="single"/>
              <w:left w:color="000000" w:sz="4" w:val="single"/>
              <w:bottom w:color="000000" w:sz="4" w:val="single"/>
              <w:right w:color="000000" w:sz="4" w:val="single"/>
            </w:tcBorders>
            <w:shd w:fill="FFFFFF" w:val="clear"/>
            <w:vAlign w:val="center"/>
          </w:tcPr>
          <w:p w14:paraId="BC240000">
            <w:pPr>
              <w:widowControl w:val="1"/>
              <w:ind/>
              <w:contextualSpacing w:val="1"/>
              <w:jc w:val="center"/>
              <w:rPr>
                <w:sz w:val="22"/>
              </w:rPr>
            </w:pPr>
            <w:r>
              <w:rPr>
                <w:sz w:val="22"/>
              </w:rPr>
              <w:t>550</w:t>
            </w:r>
          </w:p>
        </w:tc>
        <w:tc>
          <w:tcPr>
            <w:tcW w:type="dxa" w:w="1221"/>
            <w:tcBorders>
              <w:top w:color="000000" w:sz="4" w:val="single"/>
              <w:left w:color="000000" w:sz="4" w:val="single"/>
              <w:bottom w:color="000000" w:sz="4" w:val="single"/>
              <w:right w:color="000000" w:sz="4" w:val="single"/>
            </w:tcBorders>
            <w:shd w:fill="FFFFFF" w:val="clear"/>
            <w:vAlign w:val="center"/>
          </w:tcPr>
          <w:p w14:paraId="BD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E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F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0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C1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224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3240000">
            <w:pPr>
              <w:widowControl w:val="1"/>
              <w:ind/>
              <w:contextualSpacing w:val="1"/>
              <w:rPr>
                <w:color w:val="000000"/>
                <w:sz w:val="22"/>
              </w:rPr>
            </w:pPr>
            <w:r>
              <w:rPr>
                <w:color w:val="000000"/>
                <w:sz w:val="22"/>
              </w:rPr>
              <w:t>196</w:t>
            </w:r>
          </w:p>
        </w:tc>
        <w:tc>
          <w:tcPr>
            <w:tcW w:type="dxa" w:w="1408"/>
            <w:tcBorders>
              <w:top w:color="000000" w:sz="4" w:val="single"/>
              <w:left w:color="000000" w:sz="4" w:val="single"/>
              <w:bottom w:color="000000" w:sz="4" w:val="single"/>
              <w:right w:color="000000" w:sz="4" w:val="single"/>
            </w:tcBorders>
            <w:shd w:fill="FFFFFF" w:val="clear"/>
            <w:vAlign w:val="center"/>
          </w:tcPr>
          <w:p w14:paraId="C4240000">
            <w:pPr>
              <w:widowControl w:val="1"/>
              <w:ind/>
              <w:contextualSpacing w:val="1"/>
              <w:jc w:val="center"/>
              <w:rPr>
                <w:sz w:val="22"/>
              </w:rPr>
            </w:pPr>
            <w:r>
              <w:rPr>
                <w:sz w:val="22"/>
              </w:rPr>
              <w:t>ИП Клименко С.А.</w:t>
            </w:r>
          </w:p>
        </w:tc>
        <w:tc>
          <w:tcPr>
            <w:tcW w:type="dxa" w:w="1408"/>
            <w:tcBorders>
              <w:top w:color="000000" w:sz="4" w:val="single"/>
              <w:left w:color="000000" w:sz="4" w:val="single"/>
              <w:bottom w:color="000000" w:sz="4" w:val="single"/>
              <w:right w:color="000000" w:sz="4" w:val="single"/>
            </w:tcBorders>
            <w:shd w:fill="FFFFFF" w:val="clear"/>
            <w:vAlign w:val="center"/>
          </w:tcPr>
          <w:p w14:paraId="C5240000">
            <w:pPr>
              <w:widowControl w:val="1"/>
              <w:ind/>
              <w:contextualSpacing w:val="1"/>
              <w:jc w:val="center"/>
              <w:rPr>
                <w:sz w:val="22"/>
              </w:rPr>
            </w:pPr>
            <w:r>
              <w:rPr>
                <w:sz w:val="22"/>
              </w:rPr>
              <w:t>счет № 28/244 от 25.07.2018</w:t>
            </w:r>
          </w:p>
        </w:tc>
        <w:tc>
          <w:tcPr>
            <w:tcW w:type="dxa" w:w="1274"/>
            <w:tcBorders>
              <w:top w:color="000000" w:sz="4" w:val="single"/>
              <w:left w:color="000000" w:sz="4" w:val="single"/>
              <w:bottom w:color="000000" w:sz="4" w:val="single"/>
              <w:right w:color="000000" w:sz="4" w:val="single"/>
            </w:tcBorders>
            <w:shd w:fill="FFFFFF" w:val="clear"/>
            <w:vAlign w:val="center"/>
          </w:tcPr>
          <w:p w14:paraId="C6240000">
            <w:pPr>
              <w:widowControl w:val="1"/>
              <w:ind/>
              <w:contextualSpacing w:val="1"/>
              <w:jc w:val="center"/>
              <w:rPr>
                <w:sz w:val="22"/>
              </w:rPr>
            </w:pPr>
            <w:r>
              <w:rPr>
                <w:sz w:val="22"/>
              </w:rPr>
              <w:t>25.07.2018-28.07.2018</w:t>
            </w:r>
          </w:p>
        </w:tc>
        <w:tc>
          <w:tcPr>
            <w:tcW w:type="dxa" w:w="1556"/>
            <w:tcBorders>
              <w:top w:color="000000" w:sz="4" w:val="single"/>
              <w:left w:color="000000" w:sz="4" w:val="single"/>
              <w:bottom w:color="000000" w:sz="4" w:val="single"/>
              <w:right w:color="000000" w:sz="4" w:val="single"/>
            </w:tcBorders>
            <w:shd w:fill="FFFFFF" w:val="clear"/>
            <w:vAlign w:val="center"/>
          </w:tcPr>
          <w:p w14:paraId="C7240000">
            <w:pPr>
              <w:widowControl w:val="1"/>
              <w:ind/>
              <w:contextualSpacing w:val="1"/>
              <w:jc w:val="center"/>
              <w:rPr>
                <w:sz w:val="22"/>
              </w:rPr>
            </w:pPr>
            <w:r>
              <w:rPr>
                <w:sz w:val="22"/>
              </w:rPr>
              <w:t>выполнение работ по изготовлению штампов</w:t>
            </w:r>
          </w:p>
        </w:tc>
        <w:tc>
          <w:tcPr>
            <w:tcW w:type="dxa" w:w="1194"/>
            <w:tcBorders>
              <w:top w:color="000000" w:sz="4" w:val="single"/>
              <w:left w:color="000000" w:sz="4" w:val="single"/>
              <w:bottom w:color="000000" w:sz="4" w:val="single"/>
              <w:right w:color="000000" w:sz="4" w:val="single"/>
            </w:tcBorders>
            <w:shd w:fill="FFFFFF" w:val="clear"/>
            <w:vAlign w:val="center"/>
          </w:tcPr>
          <w:p w14:paraId="C8240000">
            <w:pPr>
              <w:widowControl w:val="1"/>
              <w:ind/>
              <w:contextualSpacing w:val="1"/>
              <w:jc w:val="center"/>
              <w:rPr>
                <w:sz w:val="22"/>
              </w:rPr>
            </w:pPr>
            <w:r>
              <w:rPr>
                <w:sz w:val="22"/>
              </w:rPr>
              <w:t>2400,00</w:t>
            </w:r>
          </w:p>
        </w:tc>
        <w:tc>
          <w:tcPr>
            <w:tcW w:type="dxa" w:w="1221"/>
            <w:tcBorders>
              <w:top w:color="000000" w:sz="4" w:val="single"/>
              <w:left w:color="000000" w:sz="4" w:val="single"/>
              <w:bottom w:color="000000" w:sz="4" w:val="single"/>
              <w:right w:color="000000" w:sz="4" w:val="single"/>
            </w:tcBorders>
            <w:shd w:fill="FFFFFF" w:val="clear"/>
            <w:vAlign w:val="center"/>
          </w:tcPr>
          <w:p w14:paraId="C9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A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B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C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CD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E24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F240000">
            <w:pPr>
              <w:widowControl w:val="1"/>
              <w:ind/>
              <w:contextualSpacing w:val="1"/>
              <w:rPr>
                <w:color w:val="000000"/>
                <w:sz w:val="22"/>
              </w:rPr>
            </w:pPr>
            <w:r>
              <w:rPr>
                <w:color w:val="000000"/>
                <w:sz w:val="22"/>
              </w:rPr>
              <w:t>197</w:t>
            </w:r>
          </w:p>
        </w:tc>
        <w:tc>
          <w:tcPr>
            <w:tcW w:type="dxa" w:w="1408"/>
            <w:tcBorders>
              <w:top w:color="000000" w:sz="4" w:val="single"/>
              <w:left w:color="000000" w:sz="4" w:val="single"/>
              <w:bottom w:color="000000" w:sz="4" w:val="single"/>
              <w:right w:color="000000" w:sz="4" w:val="single"/>
            </w:tcBorders>
            <w:shd w:fill="FFFFFF" w:val="clear"/>
            <w:vAlign w:val="center"/>
          </w:tcPr>
          <w:p w14:paraId="D0240000">
            <w:pPr>
              <w:widowControl w:val="1"/>
              <w:ind/>
              <w:contextualSpacing w:val="1"/>
              <w:jc w:val="center"/>
              <w:rPr>
                <w:sz w:val="22"/>
              </w:rPr>
            </w:pPr>
            <w:r>
              <w:rPr>
                <w:sz w:val="22"/>
              </w:rPr>
              <w:t>ИП Клименко С.А.</w:t>
            </w:r>
          </w:p>
        </w:tc>
        <w:tc>
          <w:tcPr>
            <w:tcW w:type="dxa" w:w="1408"/>
            <w:tcBorders>
              <w:top w:color="000000" w:sz="4" w:val="single"/>
              <w:left w:color="000000" w:sz="4" w:val="single"/>
              <w:bottom w:color="000000" w:sz="4" w:val="single"/>
              <w:right w:color="000000" w:sz="4" w:val="single"/>
            </w:tcBorders>
            <w:shd w:fill="FFFFFF" w:val="clear"/>
            <w:vAlign w:val="center"/>
          </w:tcPr>
          <w:p w14:paraId="D1240000">
            <w:pPr>
              <w:widowControl w:val="1"/>
              <w:ind/>
              <w:contextualSpacing w:val="1"/>
              <w:jc w:val="center"/>
              <w:rPr>
                <w:sz w:val="22"/>
              </w:rPr>
            </w:pPr>
            <w:r>
              <w:rPr>
                <w:sz w:val="22"/>
              </w:rPr>
              <w:t>счет № 28/256 от 21.08.2018</w:t>
            </w:r>
          </w:p>
        </w:tc>
        <w:tc>
          <w:tcPr>
            <w:tcW w:type="dxa" w:w="1274"/>
            <w:tcBorders>
              <w:top w:color="000000" w:sz="4" w:val="single"/>
              <w:left w:color="000000" w:sz="4" w:val="single"/>
              <w:bottom w:color="000000" w:sz="4" w:val="single"/>
              <w:right w:color="000000" w:sz="4" w:val="single"/>
            </w:tcBorders>
            <w:shd w:fill="FFFFFF" w:val="clear"/>
            <w:vAlign w:val="center"/>
          </w:tcPr>
          <w:p w14:paraId="D2240000">
            <w:pPr>
              <w:widowControl w:val="1"/>
              <w:ind/>
              <w:contextualSpacing w:val="1"/>
              <w:jc w:val="center"/>
              <w:rPr>
                <w:sz w:val="22"/>
              </w:rPr>
            </w:pPr>
            <w:r>
              <w:rPr>
                <w:sz w:val="22"/>
              </w:rPr>
              <w:t>21.08.2018-26.08.2018</w:t>
            </w:r>
          </w:p>
        </w:tc>
        <w:tc>
          <w:tcPr>
            <w:tcW w:type="dxa" w:w="1556"/>
            <w:tcBorders>
              <w:top w:color="000000" w:sz="4" w:val="single"/>
              <w:left w:color="000000" w:sz="4" w:val="single"/>
              <w:bottom w:color="000000" w:sz="4" w:val="single"/>
              <w:right w:color="000000" w:sz="4" w:val="single"/>
            </w:tcBorders>
            <w:shd w:fill="FFFFFF" w:val="clear"/>
            <w:vAlign w:val="center"/>
          </w:tcPr>
          <w:p w14:paraId="D3240000">
            <w:pPr>
              <w:widowControl w:val="1"/>
              <w:ind/>
              <w:contextualSpacing w:val="1"/>
              <w:jc w:val="center"/>
              <w:rPr>
                <w:sz w:val="22"/>
              </w:rPr>
            </w:pPr>
            <w:r>
              <w:rPr>
                <w:sz w:val="22"/>
              </w:rPr>
              <w:t>выполнение работ по изготовлению штампов</w:t>
            </w:r>
          </w:p>
        </w:tc>
        <w:tc>
          <w:tcPr>
            <w:tcW w:type="dxa" w:w="1194"/>
            <w:tcBorders>
              <w:top w:color="000000" w:sz="4" w:val="single"/>
              <w:left w:color="000000" w:sz="4" w:val="single"/>
              <w:bottom w:color="000000" w:sz="4" w:val="single"/>
              <w:right w:color="000000" w:sz="4" w:val="single"/>
            </w:tcBorders>
            <w:shd w:fill="FFFFFF" w:val="clear"/>
            <w:vAlign w:val="center"/>
          </w:tcPr>
          <w:p w14:paraId="D4240000">
            <w:pPr>
              <w:widowControl w:val="1"/>
              <w:ind/>
              <w:contextualSpacing w:val="1"/>
              <w:jc w:val="center"/>
              <w:rPr>
                <w:sz w:val="22"/>
              </w:rPr>
            </w:pPr>
            <w:r>
              <w:rPr>
                <w:sz w:val="22"/>
              </w:rPr>
              <w:t>750,00</w:t>
            </w:r>
          </w:p>
        </w:tc>
        <w:tc>
          <w:tcPr>
            <w:tcW w:type="dxa" w:w="1221"/>
            <w:tcBorders>
              <w:top w:color="000000" w:sz="4" w:val="single"/>
              <w:left w:color="000000" w:sz="4" w:val="single"/>
              <w:bottom w:color="000000" w:sz="4" w:val="single"/>
              <w:right w:color="000000" w:sz="4" w:val="single"/>
            </w:tcBorders>
            <w:shd w:fill="FFFFFF" w:val="clear"/>
            <w:vAlign w:val="center"/>
          </w:tcPr>
          <w:p w14:paraId="D5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6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7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8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D9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DA24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DB240000">
            <w:pPr>
              <w:widowControl w:val="1"/>
              <w:ind/>
              <w:contextualSpacing w:val="1"/>
              <w:rPr>
                <w:color w:val="000000"/>
                <w:sz w:val="22"/>
              </w:rPr>
            </w:pPr>
            <w:r>
              <w:rPr>
                <w:color w:val="000000"/>
                <w:sz w:val="22"/>
              </w:rPr>
              <w:t>198</w:t>
            </w:r>
          </w:p>
        </w:tc>
        <w:tc>
          <w:tcPr>
            <w:tcW w:type="dxa" w:w="1408"/>
            <w:tcBorders>
              <w:top w:color="000000" w:sz="4" w:val="single"/>
              <w:left w:color="000000" w:sz="4" w:val="single"/>
              <w:bottom w:color="000000" w:sz="4" w:val="single"/>
              <w:right w:color="000000" w:sz="4" w:val="single"/>
            </w:tcBorders>
            <w:shd w:fill="FFFFFF" w:val="clear"/>
            <w:vAlign w:val="center"/>
          </w:tcPr>
          <w:p w14:paraId="DC240000">
            <w:pPr>
              <w:widowControl w:val="1"/>
              <w:ind/>
              <w:contextualSpacing w:val="1"/>
              <w:jc w:val="center"/>
              <w:rPr>
                <w:sz w:val="22"/>
              </w:rPr>
            </w:pPr>
            <w:r>
              <w:rPr>
                <w:sz w:val="22"/>
              </w:rPr>
              <w:t>ИП Клименко С.А.</w:t>
            </w:r>
          </w:p>
        </w:tc>
        <w:tc>
          <w:tcPr>
            <w:tcW w:type="dxa" w:w="1408"/>
            <w:tcBorders>
              <w:top w:color="000000" w:sz="4" w:val="single"/>
              <w:left w:color="000000" w:sz="4" w:val="single"/>
              <w:bottom w:color="000000" w:sz="4" w:val="single"/>
              <w:right w:color="000000" w:sz="4" w:val="single"/>
            </w:tcBorders>
            <w:shd w:fill="FFFFFF" w:val="clear"/>
            <w:vAlign w:val="center"/>
          </w:tcPr>
          <w:p w14:paraId="DD240000">
            <w:pPr>
              <w:widowControl w:val="1"/>
              <w:ind/>
              <w:contextualSpacing w:val="1"/>
              <w:jc w:val="center"/>
              <w:rPr>
                <w:sz w:val="22"/>
              </w:rPr>
            </w:pPr>
            <w:r>
              <w:rPr>
                <w:sz w:val="22"/>
              </w:rPr>
              <w:t>счет № 28/262 от 13.09.2018</w:t>
            </w:r>
          </w:p>
        </w:tc>
        <w:tc>
          <w:tcPr>
            <w:tcW w:type="dxa" w:w="1274"/>
            <w:tcBorders>
              <w:top w:color="000000" w:sz="4" w:val="single"/>
              <w:left w:color="000000" w:sz="4" w:val="single"/>
              <w:bottom w:color="000000" w:sz="4" w:val="single"/>
              <w:right w:color="000000" w:sz="4" w:val="single"/>
            </w:tcBorders>
            <w:shd w:fill="FFFFFF" w:val="clear"/>
            <w:vAlign w:val="center"/>
          </w:tcPr>
          <w:p w14:paraId="DE240000">
            <w:pPr>
              <w:widowControl w:val="1"/>
              <w:ind/>
              <w:contextualSpacing w:val="1"/>
              <w:jc w:val="center"/>
              <w:rPr>
                <w:sz w:val="22"/>
              </w:rPr>
            </w:pPr>
            <w:r>
              <w:rPr>
                <w:sz w:val="22"/>
              </w:rPr>
              <w:t>13.09.2018-17.09.2018</w:t>
            </w:r>
          </w:p>
        </w:tc>
        <w:tc>
          <w:tcPr>
            <w:tcW w:type="dxa" w:w="1556"/>
            <w:tcBorders>
              <w:top w:color="000000" w:sz="4" w:val="single"/>
              <w:left w:color="000000" w:sz="4" w:val="single"/>
              <w:bottom w:color="000000" w:sz="4" w:val="single"/>
              <w:right w:color="000000" w:sz="4" w:val="single"/>
            </w:tcBorders>
            <w:shd w:fill="FFFFFF" w:val="clear"/>
            <w:vAlign w:val="center"/>
          </w:tcPr>
          <w:p w14:paraId="DF240000">
            <w:pPr>
              <w:widowControl w:val="1"/>
              <w:ind/>
              <w:contextualSpacing w:val="1"/>
              <w:jc w:val="center"/>
              <w:rPr>
                <w:sz w:val="22"/>
              </w:rPr>
            </w:pPr>
            <w:r>
              <w:rPr>
                <w:sz w:val="22"/>
              </w:rPr>
              <w:t>выполнение работ по изготовлению штампов</w:t>
            </w:r>
          </w:p>
        </w:tc>
        <w:tc>
          <w:tcPr>
            <w:tcW w:type="dxa" w:w="1194"/>
            <w:tcBorders>
              <w:top w:color="000000" w:sz="4" w:val="single"/>
              <w:left w:color="000000" w:sz="4" w:val="single"/>
              <w:bottom w:color="000000" w:sz="4" w:val="single"/>
              <w:right w:color="000000" w:sz="4" w:val="single"/>
            </w:tcBorders>
            <w:shd w:fill="FFFFFF" w:val="clear"/>
            <w:vAlign w:val="center"/>
          </w:tcPr>
          <w:p w14:paraId="E0240000">
            <w:pPr>
              <w:widowControl w:val="1"/>
              <w:ind/>
              <w:contextualSpacing w:val="1"/>
              <w:jc w:val="center"/>
              <w:rPr>
                <w:sz w:val="22"/>
              </w:rPr>
            </w:pPr>
            <w:r>
              <w:rPr>
                <w:sz w:val="22"/>
              </w:rPr>
              <w:t>1700,00</w:t>
            </w:r>
          </w:p>
        </w:tc>
        <w:tc>
          <w:tcPr>
            <w:tcW w:type="dxa" w:w="1221"/>
            <w:tcBorders>
              <w:top w:color="000000" w:sz="4" w:val="single"/>
              <w:left w:color="000000" w:sz="4" w:val="single"/>
              <w:bottom w:color="000000" w:sz="4" w:val="single"/>
              <w:right w:color="000000" w:sz="4" w:val="single"/>
            </w:tcBorders>
            <w:shd w:fill="FFFFFF" w:val="clear"/>
            <w:vAlign w:val="center"/>
          </w:tcPr>
          <w:p w14:paraId="E1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2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3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4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E5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E624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E7240000">
            <w:pPr>
              <w:widowControl w:val="1"/>
              <w:ind/>
              <w:contextualSpacing w:val="1"/>
              <w:jc w:val="center"/>
              <w:rPr>
                <w:color w:val="000000"/>
                <w:sz w:val="22"/>
              </w:rPr>
            </w:pPr>
            <w:r>
              <w:rPr>
                <w:color w:val="000000"/>
                <w:sz w:val="22"/>
              </w:rPr>
              <w:t>итого по контрагенту ИП Клименко С.А.13800 руб.</w:t>
            </w:r>
          </w:p>
          <w:p w14:paraId="E824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E9240000">
            <w:pPr>
              <w:widowControl w:val="1"/>
              <w:ind/>
              <w:contextualSpacing w:val="1"/>
              <w:rPr>
                <w:color w:val="000000"/>
                <w:sz w:val="22"/>
              </w:rPr>
            </w:pPr>
            <w:r>
              <w:rPr>
                <w:color w:val="000000"/>
                <w:sz w:val="22"/>
              </w:rPr>
              <w:t>199</w:t>
            </w:r>
          </w:p>
        </w:tc>
        <w:tc>
          <w:tcPr>
            <w:tcW w:type="dxa" w:w="1408"/>
            <w:tcBorders>
              <w:top w:color="000000" w:sz="4" w:val="single"/>
              <w:left w:color="000000" w:sz="4" w:val="single"/>
              <w:bottom w:color="000000" w:sz="4" w:val="single"/>
              <w:right w:color="000000" w:sz="4" w:val="single"/>
            </w:tcBorders>
            <w:shd w:fill="FFFFFF" w:val="clear"/>
            <w:vAlign w:val="center"/>
          </w:tcPr>
          <w:p w14:paraId="EA240000">
            <w:pPr>
              <w:widowControl w:val="1"/>
              <w:ind/>
              <w:contextualSpacing w:val="1"/>
              <w:jc w:val="center"/>
              <w:rPr>
                <w:sz w:val="22"/>
              </w:rPr>
            </w:pPr>
            <w:r>
              <w:rPr>
                <w:sz w:val="22"/>
              </w:rPr>
              <w:t>ИП Белявцев А.А.</w:t>
            </w:r>
          </w:p>
        </w:tc>
        <w:tc>
          <w:tcPr>
            <w:tcW w:type="dxa" w:w="1408"/>
            <w:tcBorders>
              <w:top w:color="000000" w:sz="4" w:val="single"/>
              <w:left w:color="000000" w:sz="4" w:val="single"/>
              <w:bottom w:color="000000" w:sz="4" w:val="single"/>
              <w:right w:color="000000" w:sz="4" w:val="single"/>
            </w:tcBorders>
            <w:shd w:fill="FFFFFF" w:val="clear"/>
            <w:vAlign w:val="center"/>
          </w:tcPr>
          <w:p w14:paraId="EB240000">
            <w:pPr>
              <w:widowControl w:val="1"/>
              <w:ind/>
              <w:contextualSpacing w:val="1"/>
              <w:jc w:val="center"/>
              <w:rPr>
                <w:sz w:val="22"/>
              </w:rPr>
            </w:pPr>
            <w:r>
              <w:rPr>
                <w:sz w:val="22"/>
              </w:rPr>
              <w:t>счет № 28 от 28.05.2018</w:t>
            </w:r>
          </w:p>
        </w:tc>
        <w:tc>
          <w:tcPr>
            <w:tcW w:type="dxa" w:w="1274"/>
            <w:tcBorders>
              <w:top w:color="000000" w:sz="4" w:val="single"/>
              <w:left w:color="000000" w:sz="4" w:val="single"/>
              <w:bottom w:color="000000" w:sz="4" w:val="single"/>
              <w:right w:color="000000" w:sz="4" w:val="single"/>
            </w:tcBorders>
            <w:shd w:fill="FFFFFF" w:val="clear"/>
            <w:vAlign w:val="center"/>
          </w:tcPr>
          <w:p w14:paraId="EC240000">
            <w:pPr>
              <w:widowControl w:val="1"/>
              <w:ind/>
              <w:contextualSpacing w:val="1"/>
              <w:jc w:val="center"/>
              <w:rPr>
                <w:sz w:val="22"/>
              </w:rPr>
            </w:pPr>
            <w:r>
              <w:rPr>
                <w:sz w:val="22"/>
              </w:rPr>
              <w:t>28.05.2018-30.05.2018</w:t>
            </w:r>
          </w:p>
        </w:tc>
        <w:tc>
          <w:tcPr>
            <w:tcW w:type="dxa" w:w="1556"/>
            <w:tcBorders>
              <w:top w:color="000000" w:sz="4" w:val="single"/>
              <w:left w:color="000000" w:sz="4" w:val="single"/>
              <w:bottom w:color="000000" w:sz="4" w:val="single"/>
              <w:right w:color="000000" w:sz="4" w:val="single"/>
            </w:tcBorders>
            <w:shd w:fill="FFFFFF" w:val="clear"/>
            <w:vAlign w:val="center"/>
          </w:tcPr>
          <w:p w14:paraId="ED240000">
            <w:pPr>
              <w:widowControl w:val="1"/>
              <w:ind/>
              <w:contextualSpacing w:val="1"/>
              <w:jc w:val="center"/>
              <w:rPr>
                <w:sz w:val="22"/>
              </w:rPr>
            </w:pPr>
            <w:r>
              <w:rPr>
                <w:sz w:val="22"/>
              </w:rPr>
              <w:t>оказание услуг по техническому обслуживанию автомобиля AUDI Q7</w:t>
            </w:r>
          </w:p>
        </w:tc>
        <w:tc>
          <w:tcPr>
            <w:tcW w:type="dxa" w:w="1194"/>
            <w:tcBorders>
              <w:top w:color="000000" w:sz="4" w:val="single"/>
              <w:left w:color="000000" w:sz="4" w:val="single"/>
              <w:bottom w:color="000000" w:sz="4" w:val="single"/>
              <w:right w:color="000000" w:sz="4" w:val="single"/>
            </w:tcBorders>
            <w:shd w:fill="FFFFFF" w:val="clear"/>
            <w:vAlign w:val="center"/>
          </w:tcPr>
          <w:p w14:paraId="EE240000">
            <w:pPr>
              <w:widowControl w:val="1"/>
              <w:ind/>
              <w:contextualSpacing w:val="1"/>
              <w:jc w:val="center"/>
              <w:rPr>
                <w:sz w:val="22"/>
              </w:rPr>
            </w:pPr>
            <w:r>
              <w:rPr>
                <w:sz w:val="22"/>
              </w:rPr>
              <w:t>31 000,00</w:t>
            </w:r>
          </w:p>
        </w:tc>
        <w:tc>
          <w:tcPr>
            <w:tcW w:type="dxa" w:w="1221"/>
            <w:tcBorders>
              <w:top w:color="000000" w:sz="4" w:val="single"/>
              <w:left w:color="000000" w:sz="4" w:val="single"/>
              <w:bottom w:color="000000" w:sz="4" w:val="single"/>
              <w:right w:color="000000" w:sz="4" w:val="single"/>
            </w:tcBorders>
            <w:shd w:fill="FFFFFF" w:val="clear"/>
            <w:vAlign w:val="center"/>
          </w:tcPr>
          <w:p w14:paraId="EF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0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1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2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F3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F424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F5240000">
            <w:pPr>
              <w:widowControl w:val="1"/>
              <w:ind/>
              <w:contextualSpacing w:val="1"/>
              <w:rPr>
                <w:color w:val="000000"/>
                <w:sz w:val="22"/>
              </w:rPr>
            </w:pPr>
            <w:r>
              <w:rPr>
                <w:color w:val="000000"/>
                <w:sz w:val="22"/>
              </w:rPr>
              <w:t>200</w:t>
            </w:r>
          </w:p>
        </w:tc>
        <w:tc>
          <w:tcPr>
            <w:tcW w:type="dxa" w:w="1408"/>
            <w:tcBorders>
              <w:top w:color="000000" w:sz="4" w:val="single"/>
              <w:left w:color="000000" w:sz="4" w:val="single"/>
              <w:bottom w:color="000000" w:sz="4" w:val="single"/>
              <w:right w:color="000000" w:sz="4" w:val="single"/>
            </w:tcBorders>
            <w:shd w:fill="FFFFFF" w:val="clear"/>
            <w:vAlign w:val="center"/>
          </w:tcPr>
          <w:p w14:paraId="F6240000">
            <w:pPr>
              <w:widowControl w:val="1"/>
              <w:ind/>
              <w:contextualSpacing w:val="1"/>
              <w:jc w:val="center"/>
              <w:rPr>
                <w:sz w:val="22"/>
              </w:rPr>
            </w:pPr>
            <w:r>
              <w:rPr>
                <w:sz w:val="22"/>
              </w:rPr>
              <w:t>ИП Белявцев А.А.</w:t>
            </w:r>
          </w:p>
        </w:tc>
        <w:tc>
          <w:tcPr>
            <w:tcW w:type="dxa" w:w="1408"/>
            <w:tcBorders>
              <w:top w:color="000000" w:sz="4" w:val="single"/>
              <w:left w:color="000000" w:sz="4" w:val="single"/>
              <w:bottom w:color="000000" w:sz="4" w:val="single"/>
              <w:right w:color="000000" w:sz="4" w:val="single"/>
            </w:tcBorders>
            <w:shd w:fill="FFFFFF" w:val="clear"/>
            <w:vAlign w:val="center"/>
          </w:tcPr>
          <w:p w14:paraId="F7240000">
            <w:pPr>
              <w:widowControl w:val="1"/>
              <w:ind/>
              <w:contextualSpacing w:val="1"/>
              <w:jc w:val="center"/>
              <w:rPr>
                <w:sz w:val="22"/>
              </w:rPr>
            </w:pPr>
            <w:r>
              <w:rPr>
                <w:sz w:val="22"/>
              </w:rPr>
              <w:t>счет № 48 от 01.08.2018</w:t>
            </w:r>
          </w:p>
        </w:tc>
        <w:tc>
          <w:tcPr>
            <w:tcW w:type="dxa" w:w="1274"/>
            <w:tcBorders>
              <w:top w:color="000000" w:sz="4" w:val="single"/>
              <w:left w:color="000000" w:sz="4" w:val="single"/>
              <w:bottom w:color="000000" w:sz="4" w:val="single"/>
              <w:right w:color="000000" w:sz="4" w:val="single"/>
            </w:tcBorders>
            <w:shd w:fill="FFFFFF" w:val="clear"/>
            <w:vAlign w:val="center"/>
          </w:tcPr>
          <w:p w14:paraId="F8240000">
            <w:pPr>
              <w:widowControl w:val="1"/>
              <w:ind/>
              <w:contextualSpacing w:val="1"/>
              <w:jc w:val="center"/>
              <w:rPr>
                <w:sz w:val="22"/>
              </w:rPr>
            </w:pPr>
            <w:r>
              <w:rPr>
                <w:sz w:val="22"/>
              </w:rPr>
              <w:t>01.08.2018-15.08.2018</w:t>
            </w:r>
          </w:p>
        </w:tc>
        <w:tc>
          <w:tcPr>
            <w:tcW w:type="dxa" w:w="1556"/>
            <w:tcBorders>
              <w:top w:color="000000" w:sz="4" w:val="single"/>
              <w:left w:color="000000" w:sz="4" w:val="single"/>
              <w:bottom w:color="000000" w:sz="4" w:val="single"/>
              <w:right w:color="000000" w:sz="4" w:val="single"/>
            </w:tcBorders>
            <w:shd w:fill="FFFFFF" w:val="clear"/>
            <w:vAlign w:val="center"/>
          </w:tcPr>
          <w:p w14:paraId="F9240000">
            <w:pPr>
              <w:widowControl w:val="1"/>
              <w:ind/>
              <w:contextualSpacing w:val="1"/>
              <w:jc w:val="center"/>
              <w:rPr>
                <w:sz w:val="22"/>
              </w:rPr>
            </w:pPr>
            <w:r>
              <w:rPr>
                <w:sz w:val="22"/>
              </w:rPr>
              <w:t>оказание услуг по техническому обслуживанию автомобиля</w:t>
            </w:r>
          </w:p>
        </w:tc>
        <w:tc>
          <w:tcPr>
            <w:tcW w:type="dxa" w:w="1194"/>
            <w:tcBorders>
              <w:top w:color="000000" w:sz="4" w:val="single"/>
              <w:left w:color="000000" w:sz="4" w:val="single"/>
              <w:bottom w:color="000000" w:sz="4" w:val="single"/>
              <w:right w:color="000000" w:sz="4" w:val="single"/>
            </w:tcBorders>
            <w:shd w:fill="FFFFFF" w:val="clear"/>
            <w:vAlign w:val="center"/>
          </w:tcPr>
          <w:p w14:paraId="FA240000">
            <w:pPr>
              <w:widowControl w:val="1"/>
              <w:ind/>
              <w:contextualSpacing w:val="1"/>
              <w:jc w:val="center"/>
              <w:rPr>
                <w:sz w:val="22"/>
              </w:rPr>
            </w:pPr>
            <w:r>
              <w:rPr>
                <w:sz w:val="22"/>
              </w:rPr>
              <w:t>48000,00</w:t>
            </w:r>
          </w:p>
        </w:tc>
        <w:tc>
          <w:tcPr>
            <w:tcW w:type="dxa" w:w="1221"/>
            <w:tcBorders>
              <w:top w:color="000000" w:sz="4" w:val="single"/>
              <w:left w:color="000000" w:sz="4" w:val="single"/>
              <w:bottom w:color="000000" w:sz="4" w:val="single"/>
              <w:right w:color="000000" w:sz="4" w:val="single"/>
            </w:tcBorders>
            <w:shd w:fill="FFFFFF" w:val="clear"/>
            <w:vAlign w:val="center"/>
          </w:tcPr>
          <w:p w14:paraId="FB24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C24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D24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E24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FF24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025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01250000">
            <w:pPr>
              <w:widowControl w:val="1"/>
              <w:ind/>
              <w:contextualSpacing w:val="1"/>
              <w:rPr>
                <w:color w:val="000000"/>
                <w:sz w:val="22"/>
              </w:rPr>
            </w:pPr>
            <w:r>
              <w:rPr>
                <w:color w:val="000000"/>
                <w:sz w:val="22"/>
              </w:rPr>
              <w:t>201</w:t>
            </w:r>
          </w:p>
        </w:tc>
        <w:tc>
          <w:tcPr>
            <w:tcW w:type="dxa" w:w="1408"/>
            <w:tcBorders>
              <w:top w:color="000000" w:sz="4" w:val="single"/>
              <w:left w:color="000000" w:sz="4" w:val="single"/>
              <w:bottom w:color="000000" w:sz="4" w:val="single"/>
              <w:right w:color="000000" w:sz="4" w:val="single"/>
            </w:tcBorders>
            <w:shd w:fill="FFFFFF" w:val="clear"/>
            <w:vAlign w:val="center"/>
          </w:tcPr>
          <w:p w14:paraId="02250000">
            <w:pPr>
              <w:widowControl w:val="1"/>
              <w:ind/>
              <w:contextualSpacing w:val="1"/>
              <w:jc w:val="center"/>
              <w:rPr>
                <w:sz w:val="22"/>
              </w:rPr>
            </w:pPr>
            <w:r>
              <w:rPr>
                <w:sz w:val="22"/>
              </w:rPr>
              <w:t>ИП Белявцев А.А.</w:t>
            </w:r>
          </w:p>
        </w:tc>
        <w:tc>
          <w:tcPr>
            <w:tcW w:type="dxa" w:w="1408"/>
            <w:tcBorders>
              <w:top w:color="000000" w:sz="4" w:val="single"/>
              <w:left w:color="000000" w:sz="4" w:val="single"/>
              <w:bottom w:color="000000" w:sz="4" w:val="single"/>
              <w:right w:color="000000" w:sz="4" w:val="single"/>
            </w:tcBorders>
            <w:shd w:fill="FFFFFF" w:val="clear"/>
            <w:vAlign w:val="center"/>
          </w:tcPr>
          <w:p w14:paraId="03250000">
            <w:pPr>
              <w:widowControl w:val="1"/>
              <w:ind/>
              <w:contextualSpacing w:val="1"/>
              <w:jc w:val="center"/>
              <w:rPr>
                <w:sz w:val="22"/>
              </w:rPr>
            </w:pPr>
            <w:r>
              <w:rPr>
                <w:sz w:val="22"/>
              </w:rPr>
              <w:t>счет № 74 от 13.12.2018</w:t>
            </w:r>
          </w:p>
        </w:tc>
        <w:tc>
          <w:tcPr>
            <w:tcW w:type="dxa" w:w="1274"/>
            <w:tcBorders>
              <w:top w:color="000000" w:sz="4" w:val="single"/>
              <w:left w:color="000000" w:sz="4" w:val="single"/>
              <w:bottom w:color="000000" w:sz="4" w:val="single"/>
              <w:right w:color="000000" w:sz="4" w:val="single"/>
            </w:tcBorders>
            <w:shd w:fill="FFFFFF" w:val="clear"/>
            <w:vAlign w:val="center"/>
          </w:tcPr>
          <w:p w14:paraId="04250000">
            <w:pPr>
              <w:widowControl w:val="1"/>
              <w:ind/>
              <w:contextualSpacing w:val="1"/>
              <w:jc w:val="center"/>
              <w:rPr>
                <w:sz w:val="22"/>
              </w:rPr>
            </w:pPr>
            <w:r>
              <w:rPr>
                <w:sz w:val="22"/>
              </w:rPr>
              <w:t>13.12.2018-29.12.2018</w:t>
            </w:r>
          </w:p>
        </w:tc>
        <w:tc>
          <w:tcPr>
            <w:tcW w:type="dxa" w:w="1556"/>
            <w:tcBorders>
              <w:top w:color="000000" w:sz="4" w:val="single"/>
              <w:left w:color="000000" w:sz="4" w:val="single"/>
              <w:bottom w:color="000000" w:sz="4" w:val="single"/>
              <w:right w:color="000000" w:sz="4" w:val="single"/>
            </w:tcBorders>
            <w:shd w:fill="FFFFFF" w:val="clear"/>
            <w:vAlign w:val="center"/>
          </w:tcPr>
          <w:p w14:paraId="05250000">
            <w:pPr>
              <w:widowControl w:val="1"/>
              <w:ind/>
              <w:contextualSpacing w:val="1"/>
              <w:jc w:val="center"/>
              <w:rPr>
                <w:sz w:val="22"/>
              </w:rPr>
            </w:pPr>
            <w:r>
              <w:rPr>
                <w:sz w:val="22"/>
              </w:rPr>
              <w:t>оказание услуг по техническому обслуживанию автомобиля</w:t>
            </w:r>
          </w:p>
        </w:tc>
        <w:tc>
          <w:tcPr>
            <w:tcW w:type="dxa" w:w="1194"/>
            <w:tcBorders>
              <w:top w:color="000000" w:sz="4" w:val="single"/>
              <w:left w:color="000000" w:sz="4" w:val="single"/>
              <w:bottom w:color="000000" w:sz="4" w:val="single"/>
              <w:right w:color="000000" w:sz="4" w:val="single"/>
            </w:tcBorders>
            <w:shd w:fill="FFFFFF" w:val="clear"/>
            <w:vAlign w:val="center"/>
          </w:tcPr>
          <w:p w14:paraId="06250000">
            <w:pPr>
              <w:widowControl w:val="1"/>
              <w:ind/>
              <w:contextualSpacing w:val="1"/>
              <w:jc w:val="center"/>
              <w:rPr>
                <w:sz w:val="22"/>
              </w:rPr>
            </w:pPr>
            <w:r>
              <w:rPr>
                <w:sz w:val="22"/>
              </w:rPr>
              <w:t>16000,00</w:t>
            </w:r>
          </w:p>
        </w:tc>
        <w:tc>
          <w:tcPr>
            <w:tcW w:type="dxa" w:w="1221"/>
            <w:tcBorders>
              <w:top w:color="000000" w:sz="4" w:val="single"/>
              <w:left w:color="000000" w:sz="4" w:val="single"/>
              <w:bottom w:color="000000" w:sz="4" w:val="single"/>
              <w:right w:color="000000" w:sz="4" w:val="single"/>
            </w:tcBorders>
            <w:shd w:fill="FFFFFF" w:val="clear"/>
            <w:vAlign w:val="center"/>
          </w:tcPr>
          <w:p w14:paraId="07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8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9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0A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0B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C25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22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0D250000">
            <w:pPr>
              <w:widowControl w:val="1"/>
              <w:ind/>
              <w:contextualSpacing w:val="1"/>
              <w:jc w:val="center"/>
              <w:rPr>
                <w:color w:val="000000"/>
                <w:sz w:val="22"/>
              </w:rPr>
            </w:pPr>
            <w:r>
              <w:rPr>
                <w:color w:val="000000"/>
                <w:sz w:val="22"/>
              </w:rPr>
              <w:t>итого по контрагенту ИП Белявцев А.А. 95000 руб.</w:t>
            </w:r>
          </w:p>
          <w:p w14:paraId="0E25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0F250000">
            <w:pPr>
              <w:widowControl w:val="1"/>
              <w:ind/>
              <w:contextualSpacing w:val="1"/>
              <w:rPr>
                <w:color w:val="000000"/>
                <w:sz w:val="22"/>
              </w:rPr>
            </w:pPr>
            <w:r>
              <w:rPr>
                <w:color w:val="000000"/>
                <w:sz w:val="22"/>
              </w:rPr>
              <w:t>202</w:t>
            </w:r>
          </w:p>
        </w:tc>
        <w:tc>
          <w:tcPr>
            <w:tcW w:type="dxa" w:w="1408"/>
            <w:tcBorders>
              <w:top w:color="000000" w:sz="4" w:val="single"/>
              <w:left w:color="000000" w:sz="4" w:val="single"/>
              <w:bottom w:color="000000" w:sz="4" w:val="single"/>
              <w:right w:color="000000" w:sz="4" w:val="single"/>
            </w:tcBorders>
            <w:shd w:fill="FFFFFF" w:val="clear"/>
            <w:vAlign w:val="center"/>
          </w:tcPr>
          <w:p w14:paraId="10250000">
            <w:pPr>
              <w:widowControl w:val="1"/>
              <w:ind/>
              <w:contextualSpacing w:val="1"/>
              <w:jc w:val="center"/>
              <w:rPr>
                <w:sz w:val="22"/>
              </w:rPr>
            </w:pPr>
            <w:r>
              <w:rPr>
                <w:sz w:val="22"/>
              </w:rPr>
              <w:t>АНО ДПО "СЦПР"</w:t>
            </w:r>
          </w:p>
        </w:tc>
        <w:tc>
          <w:tcPr>
            <w:tcW w:type="dxa" w:w="1408"/>
            <w:tcBorders>
              <w:top w:color="000000" w:sz="4" w:val="single"/>
              <w:left w:color="000000" w:sz="4" w:val="single"/>
              <w:bottom w:color="000000" w:sz="4" w:val="single"/>
              <w:right w:color="000000" w:sz="4" w:val="single"/>
            </w:tcBorders>
            <w:shd w:fill="FFFFFF" w:val="clear"/>
            <w:vAlign w:val="center"/>
          </w:tcPr>
          <w:p w14:paraId="11250000">
            <w:pPr>
              <w:widowControl w:val="1"/>
              <w:ind/>
              <w:contextualSpacing w:val="1"/>
              <w:jc w:val="center"/>
              <w:rPr>
                <w:sz w:val="22"/>
              </w:rPr>
            </w:pPr>
            <w:r>
              <w:rPr>
                <w:sz w:val="22"/>
              </w:rPr>
              <w:t>счет № 603 от 10.05.2018</w:t>
            </w:r>
          </w:p>
        </w:tc>
        <w:tc>
          <w:tcPr>
            <w:tcW w:type="dxa" w:w="1274"/>
            <w:tcBorders>
              <w:top w:color="000000" w:sz="4" w:val="single"/>
              <w:left w:color="000000" w:sz="4" w:val="single"/>
              <w:bottom w:color="000000" w:sz="4" w:val="single"/>
              <w:right w:color="000000" w:sz="4" w:val="single"/>
            </w:tcBorders>
            <w:shd w:fill="FFFFFF" w:val="clear"/>
            <w:vAlign w:val="center"/>
          </w:tcPr>
          <w:p w14:paraId="12250000">
            <w:pPr>
              <w:widowControl w:val="1"/>
              <w:ind/>
              <w:contextualSpacing w:val="1"/>
              <w:jc w:val="center"/>
              <w:rPr>
                <w:sz w:val="22"/>
              </w:rPr>
            </w:pPr>
            <w:r>
              <w:rPr>
                <w:sz w:val="22"/>
              </w:rPr>
              <w:t>10.05.2018-30.05.2018</w:t>
            </w:r>
          </w:p>
        </w:tc>
        <w:tc>
          <w:tcPr>
            <w:tcW w:type="dxa" w:w="1556"/>
            <w:tcBorders>
              <w:top w:color="000000" w:sz="4" w:val="single"/>
              <w:left w:color="000000" w:sz="4" w:val="single"/>
              <w:bottom w:color="000000" w:sz="4" w:val="single"/>
              <w:right w:color="000000" w:sz="4" w:val="single"/>
            </w:tcBorders>
            <w:shd w:fill="FFFFFF" w:val="clear"/>
            <w:vAlign w:val="center"/>
          </w:tcPr>
          <w:p w14:paraId="13250000">
            <w:pPr>
              <w:widowControl w:val="1"/>
              <w:ind/>
              <w:contextualSpacing w:val="1"/>
              <w:jc w:val="center"/>
              <w:rPr>
                <w:sz w:val="22"/>
              </w:rPr>
            </w:pPr>
            <w:r>
              <w:rPr>
                <w:sz w:val="22"/>
              </w:rPr>
              <w:t>Оказание услуг по обучению</w:t>
            </w:r>
          </w:p>
        </w:tc>
        <w:tc>
          <w:tcPr>
            <w:tcW w:type="dxa" w:w="1194"/>
            <w:tcBorders>
              <w:top w:color="000000" w:sz="4" w:val="single"/>
              <w:left w:color="000000" w:sz="4" w:val="single"/>
              <w:bottom w:color="000000" w:sz="4" w:val="single"/>
              <w:right w:color="000000" w:sz="4" w:val="single"/>
            </w:tcBorders>
            <w:shd w:fill="FFFFFF" w:val="clear"/>
            <w:vAlign w:val="center"/>
          </w:tcPr>
          <w:p w14:paraId="14250000">
            <w:pPr>
              <w:widowControl w:val="1"/>
              <w:ind/>
              <w:contextualSpacing w:val="1"/>
              <w:jc w:val="center"/>
              <w:rPr>
                <w:sz w:val="22"/>
              </w:rPr>
            </w:pPr>
            <w:r>
              <w:rPr>
                <w:sz w:val="22"/>
              </w:rPr>
              <w:t>4800</w:t>
            </w:r>
          </w:p>
        </w:tc>
        <w:tc>
          <w:tcPr>
            <w:tcW w:type="dxa" w:w="1221"/>
            <w:tcBorders>
              <w:top w:color="000000" w:sz="4" w:val="single"/>
              <w:left w:color="000000" w:sz="4" w:val="single"/>
              <w:bottom w:color="000000" w:sz="4" w:val="single"/>
              <w:right w:color="000000" w:sz="4" w:val="single"/>
            </w:tcBorders>
            <w:shd w:fill="FFFFFF" w:val="clear"/>
            <w:vAlign w:val="center"/>
          </w:tcPr>
          <w:p w14:paraId="15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6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7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8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19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1A25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1B250000">
            <w:pPr>
              <w:widowControl w:val="1"/>
              <w:ind/>
              <w:contextualSpacing w:val="1"/>
              <w:rPr>
                <w:color w:val="000000"/>
                <w:sz w:val="22"/>
              </w:rPr>
            </w:pPr>
            <w:r>
              <w:rPr>
                <w:color w:val="000000"/>
                <w:sz w:val="22"/>
              </w:rPr>
              <w:t>203</w:t>
            </w:r>
          </w:p>
        </w:tc>
        <w:tc>
          <w:tcPr>
            <w:tcW w:type="dxa" w:w="1408"/>
            <w:tcBorders>
              <w:top w:color="000000" w:sz="4" w:val="single"/>
              <w:left w:color="000000" w:sz="4" w:val="single"/>
              <w:bottom w:color="000000" w:sz="4" w:val="single"/>
              <w:right w:color="000000" w:sz="4" w:val="single"/>
            </w:tcBorders>
            <w:shd w:fill="FFFFFF" w:val="clear"/>
            <w:vAlign w:val="center"/>
          </w:tcPr>
          <w:p w14:paraId="1C250000">
            <w:pPr>
              <w:widowControl w:val="1"/>
              <w:ind/>
              <w:contextualSpacing w:val="1"/>
              <w:jc w:val="center"/>
              <w:rPr>
                <w:sz w:val="22"/>
              </w:rPr>
            </w:pPr>
            <w:r>
              <w:rPr>
                <w:sz w:val="22"/>
              </w:rPr>
              <w:t>ООО "Ярск-Софт"</w:t>
            </w:r>
          </w:p>
        </w:tc>
        <w:tc>
          <w:tcPr>
            <w:tcW w:type="dxa" w:w="1408"/>
            <w:tcBorders>
              <w:top w:color="000000" w:sz="4" w:val="single"/>
              <w:left w:color="000000" w:sz="4" w:val="single"/>
              <w:bottom w:color="000000" w:sz="4" w:val="single"/>
              <w:right w:color="000000" w:sz="4" w:val="single"/>
            </w:tcBorders>
            <w:shd w:fill="FFFFFF" w:val="clear"/>
            <w:vAlign w:val="center"/>
          </w:tcPr>
          <w:p w14:paraId="1D250000">
            <w:pPr>
              <w:widowControl w:val="1"/>
              <w:ind/>
              <w:contextualSpacing w:val="1"/>
              <w:jc w:val="center"/>
              <w:rPr>
                <w:sz w:val="22"/>
              </w:rPr>
            </w:pPr>
            <w:r>
              <w:rPr>
                <w:sz w:val="22"/>
              </w:rPr>
              <w:t>счет № 000007 от 18.05.2018</w:t>
            </w:r>
          </w:p>
        </w:tc>
        <w:tc>
          <w:tcPr>
            <w:tcW w:type="dxa" w:w="1274"/>
            <w:tcBorders>
              <w:top w:color="000000" w:sz="4" w:val="single"/>
              <w:left w:color="000000" w:sz="4" w:val="single"/>
              <w:bottom w:color="000000" w:sz="4" w:val="single"/>
              <w:right w:color="000000" w:sz="4" w:val="single"/>
            </w:tcBorders>
            <w:shd w:fill="FFFFFF" w:val="clear"/>
            <w:vAlign w:val="center"/>
          </w:tcPr>
          <w:p w14:paraId="1E250000">
            <w:pPr>
              <w:widowControl w:val="1"/>
              <w:ind/>
              <w:contextualSpacing w:val="1"/>
              <w:jc w:val="center"/>
              <w:rPr>
                <w:sz w:val="22"/>
              </w:rPr>
            </w:pPr>
            <w:r>
              <w:rPr>
                <w:sz w:val="22"/>
              </w:rPr>
              <w:t>18.05.2018-30.05.2018</w:t>
            </w:r>
          </w:p>
        </w:tc>
        <w:tc>
          <w:tcPr>
            <w:tcW w:type="dxa" w:w="1556"/>
            <w:tcBorders>
              <w:top w:color="000000" w:sz="4" w:val="single"/>
              <w:left w:color="000000" w:sz="4" w:val="single"/>
              <w:bottom w:color="000000" w:sz="4" w:val="single"/>
              <w:right w:color="000000" w:sz="4" w:val="single"/>
            </w:tcBorders>
            <w:shd w:fill="FFFFFF" w:val="clear"/>
            <w:vAlign w:val="center"/>
          </w:tcPr>
          <w:p w14:paraId="1F250000">
            <w:pPr>
              <w:widowControl w:val="1"/>
              <w:ind/>
              <w:contextualSpacing w:val="1"/>
              <w:jc w:val="center"/>
              <w:rPr>
                <w:sz w:val="22"/>
              </w:rPr>
            </w:pPr>
            <w:r>
              <w:rPr>
                <w:sz w:val="22"/>
              </w:rPr>
              <w:t>оказание услуг по настройке коммуникационного оборудования</w:t>
            </w:r>
          </w:p>
        </w:tc>
        <w:tc>
          <w:tcPr>
            <w:tcW w:type="dxa" w:w="1194"/>
            <w:tcBorders>
              <w:top w:color="000000" w:sz="4" w:val="single"/>
              <w:left w:color="000000" w:sz="4" w:val="single"/>
              <w:bottom w:color="000000" w:sz="4" w:val="single"/>
              <w:right w:color="000000" w:sz="4" w:val="single"/>
            </w:tcBorders>
            <w:shd w:fill="FFFFFF" w:val="clear"/>
            <w:vAlign w:val="center"/>
          </w:tcPr>
          <w:p w14:paraId="20250000">
            <w:pPr>
              <w:widowControl w:val="1"/>
              <w:ind/>
              <w:contextualSpacing w:val="1"/>
              <w:jc w:val="center"/>
              <w:rPr>
                <w:sz w:val="22"/>
              </w:rPr>
            </w:pPr>
            <w:r>
              <w:rPr>
                <w:sz w:val="22"/>
              </w:rPr>
              <w:t>4960</w:t>
            </w:r>
          </w:p>
        </w:tc>
        <w:tc>
          <w:tcPr>
            <w:tcW w:type="dxa" w:w="1221"/>
            <w:tcBorders>
              <w:top w:color="000000" w:sz="4" w:val="single"/>
              <w:left w:color="000000" w:sz="4" w:val="single"/>
              <w:bottom w:color="000000" w:sz="4" w:val="single"/>
              <w:right w:color="000000" w:sz="4" w:val="single"/>
            </w:tcBorders>
            <w:shd w:fill="FFFFFF" w:val="clear"/>
            <w:vAlign w:val="center"/>
          </w:tcPr>
          <w:p w14:paraId="21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2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3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4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25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2625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7250000">
            <w:pPr>
              <w:widowControl w:val="1"/>
              <w:ind/>
              <w:contextualSpacing w:val="1"/>
              <w:rPr>
                <w:color w:val="000000"/>
                <w:sz w:val="22"/>
              </w:rPr>
            </w:pPr>
            <w:r>
              <w:rPr>
                <w:color w:val="000000"/>
                <w:sz w:val="22"/>
              </w:rPr>
              <w:t>204</w:t>
            </w:r>
          </w:p>
        </w:tc>
        <w:tc>
          <w:tcPr>
            <w:tcW w:type="dxa" w:w="1408"/>
            <w:tcBorders>
              <w:top w:color="000000" w:sz="4" w:val="single"/>
              <w:left w:color="000000" w:sz="4" w:val="single"/>
              <w:bottom w:color="000000" w:sz="4" w:val="single"/>
              <w:right w:color="000000" w:sz="4" w:val="single"/>
            </w:tcBorders>
            <w:shd w:fill="FFFFFF" w:val="clear"/>
            <w:vAlign w:val="center"/>
          </w:tcPr>
          <w:p w14:paraId="28250000">
            <w:pPr>
              <w:widowControl w:val="1"/>
              <w:ind/>
              <w:contextualSpacing w:val="1"/>
              <w:jc w:val="center"/>
              <w:rPr>
                <w:sz w:val="22"/>
              </w:rPr>
            </w:pPr>
            <w:r>
              <w:rPr>
                <w:sz w:val="22"/>
              </w:rPr>
              <w:t>ООО № Бас52"</w:t>
            </w:r>
          </w:p>
        </w:tc>
        <w:tc>
          <w:tcPr>
            <w:tcW w:type="dxa" w:w="1408"/>
            <w:tcBorders>
              <w:top w:color="000000" w:sz="4" w:val="single"/>
              <w:left w:color="000000" w:sz="4" w:val="single"/>
              <w:bottom w:color="000000" w:sz="4" w:val="single"/>
              <w:right w:color="000000" w:sz="4" w:val="single"/>
            </w:tcBorders>
            <w:shd w:fill="FFFFFF" w:val="clear"/>
            <w:vAlign w:val="center"/>
          </w:tcPr>
          <w:p w14:paraId="29250000">
            <w:pPr>
              <w:widowControl w:val="1"/>
              <w:ind/>
              <w:contextualSpacing w:val="1"/>
              <w:jc w:val="center"/>
              <w:rPr>
                <w:sz w:val="22"/>
              </w:rPr>
            </w:pPr>
            <w:r>
              <w:rPr>
                <w:sz w:val="22"/>
              </w:rPr>
              <w:t>счет № 14 от 19.06.2018</w:t>
            </w:r>
          </w:p>
        </w:tc>
        <w:tc>
          <w:tcPr>
            <w:tcW w:type="dxa" w:w="1274"/>
            <w:tcBorders>
              <w:top w:color="000000" w:sz="4" w:val="single"/>
              <w:left w:color="000000" w:sz="4" w:val="single"/>
              <w:bottom w:color="000000" w:sz="4" w:val="single"/>
              <w:right w:color="000000" w:sz="4" w:val="single"/>
            </w:tcBorders>
            <w:shd w:fill="FFFFFF" w:val="clear"/>
            <w:vAlign w:val="center"/>
          </w:tcPr>
          <w:p w14:paraId="2A250000">
            <w:pPr>
              <w:widowControl w:val="1"/>
              <w:ind/>
              <w:contextualSpacing w:val="1"/>
              <w:jc w:val="center"/>
              <w:rPr>
                <w:sz w:val="22"/>
              </w:rPr>
            </w:pPr>
            <w:r>
              <w:rPr>
                <w:sz w:val="22"/>
              </w:rPr>
              <w:t>19.06.2018-30.06.2018</w:t>
            </w:r>
          </w:p>
        </w:tc>
        <w:tc>
          <w:tcPr>
            <w:tcW w:type="dxa" w:w="1556"/>
            <w:tcBorders>
              <w:top w:color="000000" w:sz="4" w:val="single"/>
              <w:left w:color="000000" w:sz="4" w:val="single"/>
              <w:bottom w:color="000000" w:sz="4" w:val="single"/>
              <w:right w:color="000000" w:sz="4" w:val="single"/>
            </w:tcBorders>
            <w:shd w:fill="FFFFFF" w:val="clear"/>
            <w:vAlign w:val="center"/>
          </w:tcPr>
          <w:p w14:paraId="2B250000">
            <w:pPr>
              <w:widowControl w:val="1"/>
              <w:ind/>
              <w:contextualSpacing w:val="1"/>
              <w:jc w:val="center"/>
              <w:rPr>
                <w:sz w:val="22"/>
              </w:rPr>
            </w:pPr>
            <w:r>
              <w:rPr>
                <w:sz w:val="22"/>
              </w:rPr>
              <w:t>поставка молотков аварийных</w:t>
            </w:r>
          </w:p>
        </w:tc>
        <w:tc>
          <w:tcPr>
            <w:tcW w:type="dxa" w:w="1194"/>
            <w:tcBorders>
              <w:top w:color="000000" w:sz="4" w:val="single"/>
              <w:left w:color="000000" w:sz="4" w:val="single"/>
              <w:bottom w:color="000000" w:sz="4" w:val="single"/>
              <w:right w:color="000000" w:sz="4" w:val="single"/>
            </w:tcBorders>
            <w:shd w:fill="FFFFFF" w:val="clear"/>
            <w:vAlign w:val="center"/>
          </w:tcPr>
          <w:p w14:paraId="2C250000">
            <w:pPr>
              <w:widowControl w:val="1"/>
              <w:ind/>
              <w:contextualSpacing w:val="1"/>
              <w:jc w:val="center"/>
              <w:rPr>
                <w:sz w:val="22"/>
              </w:rPr>
            </w:pPr>
            <w:r>
              <w:rPr>
                <w:sz w:val="22"/>
              </w:rPr>
              <w:t>8 600,00</w:t>
            </w:r>
          </w:p>
        </w:tc>
        <w:tc>
          <w:tcPr>
            <w:tcW w:type="dxa" w:w="1221"/>
            <w:tcBorders>
              <w:top w:color="000000" w:sz="4" w:val="single"/>
              <w:left w:color="000000" w:sz="4" w:val="single"/>
              <w:bottom w:color="000000" w:sz="4" w:val="single"/>
              <w:right w:color="000000" w:sz="4" w:val="single"/>
            </w:tcBorders>
            <w:shd w:fill="FFFFFF" w:val="clear"/>
            <w:vAlign w:val="center"/>
          </w:tcPr>
          <w:p w14:paraId="2D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E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F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0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31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225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3250000">
            <w:pPr>
              <w:widowControl w:val="1"/>
              <w:ind/>
              <w:contextualSpacing w:val="1"/>
              <w:rPr>
                <w:color w:val="000000"/>
                <w:sz w:val="22"/>
              </w:rPr>
            </w:pPr>
            <w:r>
              <w:rPr>
                <w:color w:val="000000"/>
                <w:sz w:val="22"/>
              </w:rPr>
              <w:t>205</w:t>
            </w:r>
          </w:p>
        </w:tc>
        <w:tc>
          <w:tcPr>
            <w:tcW w:type="dxa" w:w="1408"/>
            <w:tcBorders>
              <w:top w:color="000000" w:sz="4" w:val="single"/>
              <w:left w:color="000000" w:sz="4" w:val="single"/>
              <w:bottom w:color="000000" w:sz="4" w:val="single"/>
              <w:right w:color="000000" w:sz="4" w:val="single"/>
            </w:tcBorders>
            <w:shd w:fill="FFFFFF" w:val="clear"/>
            <w:vAlign w:val="center"/>
          </w:tcPr>
          <w:p w14:paraId="34250000">
            <w:pPr>
              <w:widowControl w:val="1"/>
              <w:ind/>
              <w:contextualSpacing w:val="1"/>
              <w:jc w:val="center"/>
              <w:rPr>
                <w:sz w:val="22"/>
              </w:rPr>
            </w:pPr>
            <w:r>
              <w:rPr>
                <w:sz w:val="22"/>
              </w:rPr>
              <w:t>ООО "Водолей-Сибирь"</w:t>
            </w:r>
          </w:p>
        </w:tc>
        <w:tc>
          <w:tcPr>
            <w:tcW w:type="dxa" w:w="1408"/>
            <w:tcBorders>
              <w:top w:color="000000" w:sz="4" w:val="single"/>
              <w:left w:color="000000" w:sz="4" w:val="single"/>
              <w:bottom w:color="000000" w:sz="4" w:val="single"/>
              <w:right w:color="000000" w:sz="4" w:val="single"/>
            </w:tcBorders>
            <w:shd w:fill="FFFFFF" w:val="clear"/>
            <w:vAlign w:val="center"/>
          </w:tcPr>
          <w:p w14:paraId="35250000">
            <w:pPr>
              <w:widowControl w:val="1"/>
              <w:ind/>
              <w:contextualSpacing w:val="1"/>
              <w:jc w:val="center"/>
              <w:rPr>
                <w:sz w:val="22"/>
              </w:rPr>
            </w:pPr>
            <w:r>
              <w:rPr>
                <w:sz w:val="22"/>
              </w:rPr>
              <w:t>счет ВВС00020635 ОТ 21.06.2018</w:t>
            </w:r>
          </w:p>
        </w:tc>
        <w:tc>
          <w:tcPr>
            <w:tcW w:type="dxa" w:w="1274"/>
            <w:tcBorders>
              <w:top w:color="000000" w:sz="4" w:val="single"/>
              <w:left w:color="000000" w:sz="4" w:val="single"/>
              <w:bottom w:color="000000" w:sz="4" w:val="single"/>
              <w:right w:color="000000" w:sz="4" w:val="single"/>
            </w:tcBorders>
            <w:shd w:fill="FFFFFF" w:val="clear"/>
            <w:vAlign w:val="center"/>
          </w:tcPr>
          <w:p w14:paraId="36250000">
            <w:pPr>
              <w:widowControl w:val="1"/>
              <w:ind/>
              <w:contextualSpacing w:val="1"/>
              <w:jc w:val="center"/>
              <w:rPr>
                <w:sz w:val="22"/>
              </w:rPr>
            </w:pPr>
            <w:r>
              <w:rPr>
                <w:sz w:val="22"/>
              </w:rPr>
              <w:t>21.06.2018-30.06.2018</w:t>
            </w:r>
          </w:p>
        </w:tc>
        <w:tc>
          <w:tcPr>
            <w:tcW w:type="dxa" w:w="1556"/>
            <w:tcBorders>
              <w:top w:color="000000" w:sz="4" w:val="single"/>
              <w:left w:color="000000" w:sz="4" w:val="single"/>
              <w:bottom w:color="000000" w:sz="4" w:val="single"/>
              <w:right w:color="000000" w:sz="4" w:val="single"/>
            </w:tcBorders>
            <w:shd w:fill="FFFFFF" w:val="clear"/>
            <w:vAlign w:val="center"/>
          </w:tcPr>
          <w:p w14:paraId="37250000">
            <w:pPr>
              <w:widowControl w:val="1"/>
              <w:ind/>
              <w:contextualSpacing w:val="1"/>
              <w:jc w:val="center"/>
              <w:rPr>
                <w:sz w:val="22"/>
              </w:rPr>
            </w:pPr>
            <w:r>
              <w:rPr>
                <w:sz w:val="22"/>
              </w:rPr>
              <w:t>поставка водонагревателя</w:t>
            </w:r>
          </w:p>
        </w:tc>
        <w:tc>
          <w:tcPr>
            <w:tcW w:type="dxa" w:w="1194"/>
            <w:tcBorders>
              <w:top w:color="000000" w:sz="4" w:val="single"/>
              <w:left w:color="000000" w:sz="4" w:val="single"/>
              <w:bottom w:color="000000" w:sz="4" w:val="single"/>
              <w:right w:color="000000" w:sz="4" w:val="single"/>
            </w:tcBorders>
            <w:shd w:fill="FFFFFF" w:val="clear"/>
            <w:vAlign w:val="center"/>
          </w:tcPr>
          <w:p w14:paraId="38250000">
            <w:pPr>
              <w:widowControl w:val="1"/>
              <w:ind/>
              <w:contextualSpacing w:val="1"/>
              <w:jc w:val="center"/>
              <w:rPr>
                <w:sz w:val="22"/>
              </w:rPr>
            </w:pPr>
            <w:r>
              <w:rPr>
                <w:sz w:val="22"/>
              </w:rPr>
              <w:t>12 790,00</w:t>
            </w:r>
          </w:p>
        </w:tc>
        <w:tc>
          <w:tcPr>
            <w:tcW w:type="dxa" w:w="1221"/>
            <w:tcBorders>
              <w:top w:color="000000" w:sz="4" w:val="single"/>
              <w:left w:color="000000" w:sz="4" w:val="single"/>
              <w:bottom w:color="000000" w:sz="4" w:val="single"/>
              <w:right w:color="000000" w:sz="4" w:val="single"/>
            </w:tcBorders>
            <w:shd w:fill="FFFFFF" w:val="clear"/>
            <w:vAlign w:val="center"/>
          </w:tcPr>
          <w:p w14:paraId="39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3A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3B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C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3D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E25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F250000">
            <w:pPr>
              <w:widowControl w:val="1"/>
              <w:ind/>
              <w:contextualSpacing w:val="1"/>
              <w:rPr>
                <w:color w:val="000000"/>
                <w:sz w:val="22"/>
              </w:rPr>
            </w:pPr>
            <w:r>
              <w:rPr>
                <w:color w:val="000000"/>
                <w:sz w:val="22"/>
              </w:rPr>
              <w:t>206</w:t>
            </w:r>
          </w:p>
        </w:tc>
        <w:tc>
          <w:tcPr>
            <w:tcW w:type="dxa" w:w="1408"/>
            <w:tcBorders>
              <w:top w:color="000000" w:sz="4" w:val="single"/>
              <w:left w:color="000000" w:sz="4" w:val="single"/>
              <w:bottom w:color="000000" w:sz="4" w:val="single"/>
              <w:right w:color="000000" w:sz="4" w:val="single"/>
            </w:tcBorders>
            <w:shd w:fill="FFFFFF" w:val="clear"/>
            <w:vAlign w:val="center"/>
          </w:tcPr>
          <w:p w14:paraId="40250000">
            <w:pPr>
              <w:widowControl w:val="1"/>
              <w:ind/>
              <w:contextualSpacing w:val="1"/>
              <w:jc w:val="center"/>
              <w:rPr>
                <w:sz w:val="22"/>
              </w:rPr>
            </w:pPr>
            <w:r>
              <w:rPr>
                <w:sz w:val="22"/>
              </w:rPr>
              <w:t>ООО "ТВ-ЕНИСЕЙ"</w:t>
            </w:r>
          </w:p>
        </w:tc>
        <w:tc>
          <w:tcPr>
            <w:tcW w:type="dxa" w:w="1408"/>
            <w:tcBorders>
              <w:top w:color="000000" w:sz="4" w:val="single"/>
              <w:left w:color="000000" w:sz="4" w:val="single"/>
              <w:bottom w:color="000000" w:sz="4" w:val="single"/>
              <w:right w:color="000000" w:sz="4" w:val="single"/>
            </w:tcBorders>
            <w:shd w:fill="FFFFFF" w:val="clear"/>
            <w:vAlign w:val="center"/>
          </w:tcPr>
          <w:p w14:paraId="41250000">
            <w:pPr>
              <w:widowControl w:val="1"/>
              <w:ind/>
              <w:contextualSpacing w:val="1"/>
              <w:jc w:val="center"/>
              <w:rPr>
                <w:sz w:val="22"/>
              </w:rPr>
            </w:pPr>
            <w:r>
              <w:rPr>
                <w:sz w:val="22"/>
              </w:rPr>
              <w:t>счет № 225 от 22.06.2018</w:t>
            </w:r>
          </w:p>
        </w:tc>
        <w:tc>
          <w:tcPr>
            <w:tcW w:type="dxa" w:w="1274"/>
            <w:tcBorders>
              <w:top w:color="000000" w:sz="4" w:val="single"/>
              <w:left w:color="000000" w:sz="4" w:val="single"/>
              <w:bottom w:color="000000" w:sz="4" w:val="single"/>
              <w:right w:color="000000" w:sz="4" w:val="single"/>
            </w:tcBorders>
            <w:shd w:fill="FFFFFF" w:val="clear"/>
            <w:vAlign w:val="center"/>
          </w:tcPr>
          <w:p w14:paraId="42250000">
            <w:pPr>
              <w:widowControl w:val="1"/>
              <w:ind/>
              <w:contextualSpacing w:val="1"/>
              <w:jc w:val="center"/>
              <w:rPr>
                <w:sz w:val="22"/>
              </w:rPr>
            </w:pPr>
            <w:r>
              <w:rPr>
                <w:sz w:val="22"/>
              </w:rPr>
              <w:t>22.06.2018-30.06.2018</w:t>
            </w:r>
          </w:p>
        </w:tc>
        <w:tc>
          <w:tcPr>
            <w:tcW w:type="dxa" w:w="1556"/>
            <w:tcBorders>
              <w:top w:color="000000" w:sz="4" w:val="single"/>
              <w:left w:color="000000" w:sz="4" w:val="single"/>
              <w:bottom w:color="000000" w:sz="4" w:val="single"/>
              <w:right w:color="000000" w:sz="4" w:val="single"/>
            </w:tcBorders>
            <w:shd w:fill="FFFFFF" w:val="clear"/>
            <w:vAlign w:val="center"/>
          </w:tcPr>
          <w:p w14:paraId="43250000">
            <w:pPr>
              <w:widowControl w:val="1"/>
              <w:ind/>
              <w:contextualSpacing w:val="1"/>
              <w:jc w:val="center"/>
              <w:rPr>
                <w:sz w:val="22"/>
              </w:rPr>
            </w:pPr>
            <w:r>
              <w:rPr>
                <w:sz w:val="22"/>
              </w:rPr>
              <w:t>оказание услуг по производству и размещению видеосюжета на телеканале "Енисей"</w:t>
            </w:r>
          </w:p>
        </w:tc>
        <w:tc>
          <w:tcPr>
            <w:tcW w:type="dxa" w:w="1194"/>
            <w:tcBorders>
              <w:top w:color="000000" w:sz="4" w:val="single"/>
              <w:left w:color="000000" w:sz="4" w:val="single"/>
              <w:bottom w:color="000000" w:sz="4" w:val="single"/>
              <w:right w:color="000000" w:sz="4" w:val="single"/>
            </w:tcBorders>
            <w:shd w:fill="FFFFFF" w:val="clear"/>
            <w:vAlign w:val="center"/>
          </w:tcPr>
          <w:p w14:paraId="44250000">
            <w:pPr>
              <w:widowControl w:val="1"/>
              <w:ind/>
              <w:contextualSpacing w:val="1"/>
              <w:jc w:val="center"/>
              <w:rPr>
                <w:sz w:val="22"/>
              </w:rPr>
            </w:pPr>
            <w:r>
              <w:rPr>
                <w:sz w:val="22"/>
              </w:rPr>
              <w:t>69 540,00</w:t>
            </w:r>
          </w:p>
        </w:tc>
        <w:tc>
          <w:tcPr>
            <w:tcW w:type="dxa" w:w="1221"/>
            <w:tcBorders>
              <w:top w:color="000000" w:sz="4" w:val="single"/>
              <w:left w:color="000000" w:sz="4" w:val="single"/>
              <w:bottom w:color="000000" w:sz="4" w:val="single"/>
              <w:right w:color="000000" w:sz="4" w:val="single"/>
            </w:tcBorders>
            <w:shd w:fill="FFFFFF" w:val="clear"/>
            <w:vAlign w:val="center"/>
          </w:tcPr>
          <w:p w14:paraId="45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6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7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8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49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4A25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990"/>
        </w:trPr>
        <w:tc>
          <w:tcPr>
            <w:tcW w:type="dxa" w:w="528"/>
            <w:tcBorders>
              <w:top w:color="000000" w:sz="4" w:val="single"/>
              <w:left w:color="000000" w:sz="4" w:val="single"/>
              <w:bottom w:color="000000" w:sz="4" w:val="single"/>
              <w:right w:color="000000" w:sz="4" w:val="single"/>
            </w:tcBorders>
            <w:shd w:fill="FFFFFF" w:val="clear"/>
            <w:vAlign w:val="center"/>
          </w:tcPr>
          <w:p w14:paraId="4B250000">
            <w:pPr>
              <w:widowControl w:val="1"/>
              <w:ind/>
              <w:contextualSpacing w:val="1"/>
              <w:rPr>
                <w:color w:val="000000"/>
                <w:sz w:val="22"/>
              </w:rPr>
            </w:pPr>
            <w:r>
              <w:rPr>
                <w:color w:val="000000"/>
                <w:sz w:val="22"/>
              </w:rPr>
              <w:t>207</w:t>
            </w:r>
          </w:p>
        </w:tc>
        <w:tc>
          <w:tcPr>
            <w:tcW w:type="dxa" w:w="1408"/>
            <w:tcBorders>
              <w:top w:color="000000" w:sz="4" w:val="single"/>
              <w:left w:color="000000" w:sz="4" w:val="single"/>
              <w:bottom w:color="000000" w:sz="4" w:val="single"/>
              <w:right w:color="000000" w:sz="4" w:val="single"/>
            </w:tcBorders>
            <w:shd w:fill="FFFFFF" w:val="clear"/>
            <w:vAlign w:val="center"/>
          </w:tcPr>
          <w:p w14:paraId="4C250000">
            <w:pPr>
              <w:widowControl w:val="1"/>
              <w:ind/>
              <w:contextualSpacing w:val="1"/>
              <w:jc w:val="center"/>
              <w:rPr>
                <w:sz w:val="22"/>
              </w:rPr>
            </w:pPr>
            <w:r>
              <w:rPr>
                <w:sz w:val="22"/>
              </w:rPr>
              <w:t>ООО Компания "Тензор"</w:t>
            </w:r>
          </w:p>
        </w:tc>
        <w:tc>
          <w:tcPr>
            <w:tcW w:type="dxa" w:w="1408"/>
            <w:tcBorders>
              <w:top w:color="000000" w:sz="4" w:val="single"/>
              <w:left w:color="000000" w:sz="4" w:val="single"/>
              <w:bottom w:color="000000" w:sz="4" w:val="single"/>
              <w:right w:color="000000" w:sz="4" w:val="single"/>
            </w:tcBorders>
            <w:shd w:fill="FFFFFF" w:val="clear"/>
            <w:vAlign w:val="center"/>
          </w:tcPr>
          <w:p w14:paraId="4D250000">
            <w:pPr>
              <w:widowControl w:val="1"/>
              <w:ind/>
              <w:contextualSpacing w:val="1"/>
              <w:jc w:val="center"/>
              <w:rPr>
                <w:sz w:val="22"/>
              </w:rPr>
            </w:pPr>
            <w:r>
              <w:rPr>
                <w:sz w:val="22"/>
              </w:rPr>
              <w:t>счет № 24180621924 от 21.06.2018</w:t>
            </w:r>
          </w:p>
        </w:tc>
        <w:tc>
          <w:tcPr>
            <w:tcW w:type="dxa" w:w="1274"/>
            <w:tcBorders>
              <w:top w:color="000000" w:sz="4" w:val="single"/>
              <w:left w:color="000000" w:sz="4" w:val="single"/>
              <w:bottom w:color="000000" w:sz="4" w:val="single"/>
              <w:right w:color="000000" w:sz="4" w:val="single"/>
            </w:tcBorders>
            <w:shd w:fill="FFFFFF" w:val="clear"/>
            <w:vAlign w:val="center"/>
          </w:tcPr>
          <w:p w14:paraId="4E250000">
            <w:pPr>
              <w:widowControl w:val="1"/>
              <w:ind/>
              <w:contextualSpacing w:val="1"/>
              <w:jc w:val="center"/>
              <w:rPr>
                <w:sz w:val="22"/>
              </w:rPr>
            </w:pPr>
            <w:r>
              <w:rPr>
                <w:sz w:val="22"/>
              </w:rPr>
              <w:t>21.06.2018-30.06.2018</w:t>
            </w:r>
          </w:p>
        </w:tc>
        <w:tc>
          <w:tcPr>
            <w:tcW w:type="dxa" w:w="1556"/>
            <w:tcBorders>
              <w:top w:color="000000" w:sz="4" w:val="single"/>
              <w:left w:color="000000" w:sz="4" w:val="single"/>
              <w:bottom w:color="000000" w:sz="4" w:val="single"/>
              <w:right w:color="000000" w:sz="4" w:val="single"/>
            </w:tcBorders>
            <w:shd w:fill="FFFFFF" w:val="clear"/>
            <w:vAlign w:val="center"/>
          </w:tcPr>
          <w:p w14:paraId="4F250000">
            <w:pPr>
              <w:widowControl w:val="1"/>
              <w:ind/>
              <w:contextualSpacing w:val="1"/>
              <w:jc w:val="center"/>
              <w:rPr>
                <w:sz w:val="22"/>
              </w:rPr>
            </w:pPr>
            <w:r>
              <w:rPr>
                <w:sz w:val="22"/>
              </w:rPr>
              <w:t>азание услуг генерации квалифицированного сертификата ключа проверки электронной подписи</w:t>
            </w:r>
          </w:p>
        </w:tc>
        <w:tc>
          <w:tcPr>
            <w:tcW w:type="dxa" w:w="1194"/>
            <w:tcBorders>
              <w:top w:color="000000" w:sz="4" w:val="single"/>
              <w:left w:color="000000" w:sz="4" w:val="single"/>
              <w:bottom w:color="000000" w:sz="4" w:val="single"/>
              <w:right w:color="000000" w:sz="4" w:val="single"/>
            </w:tcBorders>
            <w:shd w:fill="FFFFFF" w:val="clear"/>
            <w:vAlign w:val="center"/>
          </w:tcPr>
          <w:p w14:paraId="50250000">
            <w:pPr>
              <w:widowControl w:val="1"/>
              <w:ind/>
              <w:contextualSpacing w:val="1"/>
              <w:jc w:val="center"/>
              <w:rPr>
                <w:sz w:val="22"/>
              </w:rPr>
            </w:pPr>
            <w:r>
              <w:rPr>
                <w:sz w:val="22"/>
              </w:rPr>
              <w:t>2 000,00</w:t>
            </w:r>
          </w:p>
        </w:tc>
        <w:tc>
          <w:tcPr>
            <w:tcW w:type="dxa" w:w="1221"/>
            <w:tcBorders>
              <w:top w:color="000000" w:sz="4" w:val="single"/>
              <w:left w:color="000000" w:sz="4" w:val="single"/>
              <w:bottom w:color="000000" w:sz="4" w:val="single"/>
              <w:right w:color="000000" w:sz="4" w:val="single"/>
            </w:tcBorders>
            <w:shd w:fill="FFFFFF" w:val="clear"/>
            <w:vAlign w:val="center"/>
          </w:tcPr>
          <w:p w14:paraId="51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2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3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4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55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5625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990"/>
        </w:trPr>
        <w:tc>
          <w:tcPr>
            <w:tcW w:type="dxa" w:w="528"/>
            <w:tcBorders>
              <w:top w:color="000000" w:sz="4" w:val="single"/>
              <w:left w:color="000000" w:sz="4" w:val="single"/>
              <w:bottom w:color="000000" w:sz="4" w:val="single"/>
              <w:right w:color="000000" w:sz="4" w:val="single"/>
            </w:tcBorders>
            <w:shd w:fill="FFFFFF" w:val="clear"/>
            <w:vAlign w:val="center"/>
          </w:tcPr>
          <w:p w14:paraId="57250000">
            <w:pPr>
              <w:widowControl w:val="1"/>
              <w:ind/>
              <w:contextualSpacing w:val="1"/>
              <w:rPr>
                <w:color w:val="000000"/>
                <w:sz w:val="22"/>
              </w:rPr>
            </w:pPr>
            <w:r>
              <w:rPr>
                <w:color w:val="000000"/>
                <w:sz w:val="22"/>
              </w:rPr>
              <w:t>208</w:t>
            </w:r>
          </w:p>
        </w:tc>
        <w:tc>
          <w:tcPr>
            <w:tcW w:type="dxa" w:w="1408"/>
            <w:tcBorders>
              <w:top w:color="000000" w:sz="4" w:val="single"/>
              <w:left w:color="000000" w:sz="4" w:val="single"/>
              <w:bottom w:color="000000" w:sz="4" w:val="single"/>
              <w:right w:color="000000" w:sz="4" w:val="single"/>
            </w:tcBorders>
            <w:shd w:fill="FFFFFF" w:val="clear"/>
            <w:vAlign w:val="center"/>
          </w:tcPr>
          <w:p w14:paraId="58250000">
            <w:pPr>
              <w:widowControl w:val="1"/>
              <w:ind/>
              <w:contextualSpacing w:val="1"/>
              <w:jc w:val="center"/>
              <w:rPr>
                <w:color w:val="000000"/>
                <w:sz w:val="22"/>
              </w:rPr>
            </w:pPr>
            <w:r>
              <w:rPr>
                <w:color w:val="000000"/>
                <w:sz w:val="22"/>
              </w:rPr>
              <w:t>ООО "Компания "Тензор"</w:t>
            </w:r>
          </w:p>
        </w:tc>
        <w:tc>
          <w:tcPr>
            <w:tcW w:type="dxa" w:w="1408"/>
            <w:tcBorders>
              <w:top w:color="000000" w:sz="4" w:val="single"/>
              <w:left w:color="000000" w:sz="4" w:val="single"/>
              <w:bottom w:color="000000" w:sz="4" w:val="single"/>
              <w:right w:color="000000" w:sz="4" w:val="single"/>
            </w:tcBorders>
            <w:shd w:fill="FFFFFF" w:val="clear"/>
            <w:vAlign w:val="center"/>
          </w:tcPr>
          <w:p w14:paraId="59250000">
            <w:pPr>
              <w:widowControl w:val="1"/>
              <w:ind/>
              <w:contextualSpacing w:val="1"/>
              <w:jc w:val="center"/>
              <w:rPr>
                <w:color w:val="000000"/>
                <w:sz w:val="22"/>
              </w:rPr>
            </w:pPr>
            <w:r>
              <w:rPr>
                <w:color w:val="000000"/>
                <w:sz w:val="22"/>
              </w:rPr>
              <w:t>счет № 241807302413 от 30.07.2018</w:t>
            </w:r>
          </w:p>
        </w:tc>
        <w:tc>
          <w:tcPr>
            <w:tcW w:type="dxa" w:w="1274"/>
            <w:tcBorders>
              <w:top w:color="000000" w:sz="4" w:val="single"/>
              <w:left w:color="000000" w:sz="4" w:val="single"/>
              <w:bottom w:color="000000" w:sz="4" w:val="single"/>
              <w:right w:color="000000" w:sz="4" w:val="single"/>
            </w:tcBorders>
            <w:shd w:fill="FFFFFF" w:val="clear"/>
            <w:vAlign w:val="center"/>
          </w:tcPr>
          <w:p w14:paraId="5A250000">
            <w:pPr>
              <w:widowControl w:val="1"/>
              <w:ind/>
              <w:contextualSpacing w:val="1"/>
              <w:jc w:val="center"/>
              <w:rPr>
                <w:sz w:val="22"/>
              </w:rPr>
            </w:pPr>
            <w:r>
              <w:rPr>
                <w:sz w:val="22"/>
              </w:rPr>
              <w:t>30.07.2018-07.08.2018</w:t>
            </w:r>
          </w:p>
        </w:tc>
        <w:tc>
          <w:tcPr>
            <w:tcW w:type="dxa" w:w="1556"/>
            <w:tcBorders>
              <w:top w:color="000000" w:sz="4" w:val="single"/>
              <w:left w:color="000000" w:sz="4" w:val="single"/>
              <w:bottom w:color="000000" w:sz="4" w:val="single"/>
              <w:right w:color="000000" w:sz="4" w:val="single"/>
            </w:tcBorders>
            <w:shd w:fill="FFFFFF" w:val="clear"/>
            <w:vAlign w:val="center"/>
          </w:tcPr>
          <w:p w14:paraId="5B250000">
            <w:pPr>
              <w:widowControl w:val="1"/>
              <w:ind/>
              <w:contextualSpacing w:val="1"/>
              <w:jc w:val="center"/>
              <w:rPr>
                <w:color w:val="000000"/>
                <w:sz w:val="22"/>
              </w:rPr>
            </w:pPr>
            <w:r>
              <w:rPr>
                <w:color w:val="000000"/>
                <w:sz w:val="22"/>
              </w:rPr>
              <w:t>Оказание услуг генерации квалифицированного сертификата ключа проверки электронной подписи</w:t>
            </w:r>
          </w:p>
        </w:tc>
        <w:tc>
          <w:tcPr>
            <w:tcW w:type="dxa" w:w="1194"/>
            <w:tcBorders>
              <w:top w:color="000000" w:sz="4" w:val="single"/>
              <w:left w:color="000000" w:sz="4" w:val="single"/>
              <w:bottom w:color="000000" w:sz="4" w:val="single"/>
              <w:right w:color="000000" w:sz="4" w:val="single"/>
            </w:tcBorders>
            <w:shd w:fill="FFFFFF" w:val="clear"/>
            <w:vAlign w:val="center"/>
          </w:tcPr>
          <w:p w14:paraId="5C250000">
            <w:pPr>
              <w:widowControl w:val="1"/>
              <w:ind/>
              <w:contextualSpacing w:val="1"/>
              <w:jc w:val="center"/>
              <w:rPr>
                <w:color w:val="000000"/>
                <w:sz w:val="22"/>
              </w:rPr>
            </w:pPr>
            <w:r>
              <w:rPr>
                <w:color w:val="000000"/>
                <w:sz w:val="22"/>
              </w:rPr>
              <w:t>1950,00</w:t>
            </w:r>
          </w:p>
        </w:tc>
        <w:tc>
          <w:tcPr>
            <w:tcW w:type="dxa" w:w="1221"/>
            <w:tcBorders>
              <w:top w:color="000000" w:sz="4" w:val="single"/>
              <w:left w:color="000000" w:sz="4" w:val="single"/>
              <w:bottom w:color="000000" w:sz="4" w:val="single"/>
              <w:right w:color="000000" w:sz="4" w:val="single"/>
            </w:tcBorders>
            <w:shd w:fill="FFFFFF" w:val="clear"/>
            <w:vAlign w:val="center"/>
          </w:tcPr>
          <w:p w14:paraId="5D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E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F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0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61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6225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40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63250000">
            <w:pPr>
              <w:widowControl w:val="1"/>
              <w:ind/>
              <w:contextualSpacing w:val="1"/>
              <w:jc w:val="center"/>
              <w:rPr>
                <w:color w:val="000000"/>
                <w:sz w:val="22"/>
              </w:rPr>
            </w:pPr>
            <w:r>
              <w:rPr>
                <w:color w:val="000000"/>
                <w:sz w:val="22"/>
              </w:rPr>
              <w:t>итого по контрагенту ООО "Компания "Тензор" 3950 руб.</w:t>
            </w:r>
          </w:p>
          <w:p w14:paraId="64250000">
            <w:pPr>
              <w:widowControl w:val="1"/>
              <w:ind/>
              <w:contextualSpacing w:val="1"/>
              <w:jc w:val="center"/>
              <w:rPr>
                <w:color w:val="000000"/>
                <w:sz w:val="22"/>
              </w:rPr>
            </w:pPr>
          </w:p>
        </w:tc>
      </w:tr>
      <w:tr>
        <w:trPr>
          <w:trHeight w:hRule="atLeast" w:val="570"/>
        </w:trPr>
        <w:tc>
          <w:tcPr>
            <w:tcW w:type="dxa" w:w="528"/>
            <w:tcBorders>
              <w:top w:color="000000" w:sz="4" w:val="single"/>
              <w:left w:color="000000" w:sz="4" w:val="single"/>
              <w:bottom w:color="000000" w:sz="4" w:val="single"/>
              <w:right w:color="000000" w:sz="4" w:val="single"/>
            </w:tcBorders>
            <w:shd w:fill="FFFFFF" w:val="clear"/>
            <w:vAlign w:val="center"/>
          </w:tcPr>
          <w:p w14:paraId="65250000">
            <w:pPr>
              <w:widowControl w:val="1"/>
              <w:ind/>
              <w:contextualSpacing w:val="1"/>
              <w:rPr>
                <w:color w:val="000000"/>
                <w:sz w:val="22"/>
              </w:rPr>
            </w:pPr>
            <w:r>
              <w:rPr>
                <w:color w:val="000000"/>
                <w:sz w:val="22"/>
              </w:rPr>
              <w:t>209</w:t>
            </w:r>
          </w:p>
        </w:tc>
        <w:tc>
          <w:tcPr>
            <w:tcW w:type="dxa" w:w="1408"/>
            <w:tcBorders>
              <w:top w:color="000000" w:sz="4" w:val="single"/>
              <w:left w:color="000000" w:sz="4" w:val="single"/>
              <w:bottom w:color="000000" w:sz="4" w:val="single"/>
              <w:right w:color="000000" w:sz="4" w:val="single"/>
            </w:tcBorders>
            <w:shd w:fill="FFFFFF" w:val="clear"/>
            <w:vAlign w:val="center"/>
          </w:tcPr>
          <w:p w14:paraId="66250000">
            <w:pPr>
              <w:widowControl w:val="1"/>
              <w:ind/>
              <w:contextualSpacing w:val="1"/>
              <w:jc w:val="center"/>
              <w:rPr>
                <w:sz w:val="22"/>
              </w:rPr>
            </w:pPr>
            <w:r>
              <w:rPr>
                <w:sz w:val="22"/>
              </w:rPr>
              <w:t>ООО "Каса Текс"</w:t>
            </w:r>
          </w:p>
        </w:tc>
        <w:tc>
          <w:tcPr>
            <w:tcW w:type="dxa" w:w="1408"/>
            <w:tcBorders>
              <w:top w:color="000000" w:sz="4" w:val="single"/>
              <w:left w:color="000000" w:sz="4" w:val="single"/>
              <w:bottom w:color="000000" w:sz="4" w:val="single"/>
              <w:right w:color="000000" w:sz="4" w:val="single"/>
            </w:tcBorders>
            <w:shd w:fill="FFFFFF" w:val="clear"/>
            <w:vAlign w:val="center"/>
          </w:tcPr>
          <w:p w14:paraId="67250000">
            <w:pPr>
              <w:widowControl w:val="1"/>
              <w:ind/>
              <w:contextualSpacing w:val="1"/>
              <w:jc w:val="center"/>
              <w:rPr>
                <w:sz w:val="22"/>
              </w:rPr>
            </w:pPr>
            <w:r>
              <w:rPr>
                <w:sz w:val="22"/>
              </w:rPr>
              <w:t>счет № 1322 от 18.07.2018</w:t>
            </w:r>
          </w:p>
        </w:tc>
        <w:tc>
          <w:tcPr>
            <w:tcW w:type="dxa" w:w="1274"/>
            <w:tcBorders>
              <w:top w:color="000000" w:sz="4" w:val="single"/>
              <w:left w:color="000000" w:sz="4" w:val="single"/>
              <w:bottom w:color="000000" w:sz="4" w:val="single"/>
              <w:right w:color="000000" w:sz="4" w:val="single"/>
            </w:tcBorders>
            <w:shd w:fill="FFFFFF" w:val="clear"/>
            <w:vAlign w:val="center"/>
          </w:tcPr>
          <w:p w14:paraId="68250000">
            <w:pPr>
              <w:widowControl w:val="1"/>
              <w:ind/>
              <w:contextualSpacing w:val="1"/>
              <w:jc w:val="center"/>
              <w:rPr>
                <w:sz w:val="22"/>
              </w:rPr>
            </w:pPr>
            <w:r>
              <w:rPr>
                <w:sz w:val="22"/>
              </w:rPr>
              <w:t>18.07.2018-30.07.2018</w:t>
            </w:r>
          </w:p>
        </w:tc>
        <w:tc>
          <w:tcPr>
            <w:tcW w:type="dxa" w:w="1556"/>
            <w:tcBorders>
              <w:top w:color="000000" w:sz="4" w:val="single"/>
              <w:left w:color="000000" w:sz="4" w:val="single"/>
              <w:bottom w:color="000000" w:sz="4" w:val="single"/>
              <w:right w:color="000000" w:sz="4" w:val="single"/>
            </w:tcBorders>
            <w:shd w:fill="FFFFFF" w:val="clear"/>
            <w:vAlign w:val="center"/>
          </w:tcPr>
          <w:p w14:paraId="69250000">
            <w:pPr>
              <w:widowControl w:val="1"/>
              <w:ind/>
              <w:contextualSpacing w:val="1"/>
              <w:jc w:val="center"/>
              <w:rPr>
                <w:sz w:val="22"/>
              </w:rPr>
            </w:pPr>
            <w:r>
              <w:rPr>
                <w:sz w:val="22"/>
              </w:rPr>
              <w:t>поставка чехлов для диванов</w:t>
            </w:r>
          </w:p>
        </w:tc>
        <w:tc>
          <w:tcPr>
            <w:tcW w:type="dxa" w:w="1194"/>
            <w:tcBorders>
              <w:top w:color="000000" w:sz="4" w:val="single"/>
              <w:left w:color="000000" w:sz="4" w:val="single"/>
              <w:bottom w:color="000000" w:sz="4" w:val="single"/>
              <w:right w:color="000000" w:sz="4" w:val="single"/>
            </w:tcBorders>
            <w:shd w:fill="FFFFFF" w:val="clear"/>
            <w:vAlign w:val="center"/>
          </w:tcPr>
          <w:p w14:paraId="6A250000">
            <w:pPr>
              <w:widowControl w:val="1"/>
              <w:ind/>
              <w:contextualSpacing w:val="1"/>
              <w:jc w:val="center"/>
              <w:rPr>
                <w:sz w:val="22"/>
              </w:rPr>
            </w:pPr>
            <w:r>
              <w:rPr>
                <w:sz w:val="22"/>
              </w:rPr>
              <w:t>4649,50</w:t>
            </w:r>
          </w:p>
        </w:tc>
        <w:tc>
          <w:tcPr>
            <w:tcW w:type="dxa" w:w="1221"/>
            <w:tcBorders>
              <w:top w:color="000000" w:sz="4" w:val="single"/>
              <w:left w:color="000000" w:sz="4" w:val="single"/>
              <w:bottom w:color="000000" w:sz="4" w:val="single"/>
              <w:right w:color="000000" w:sz="4" w:val="single"/>
            </w:tcBorders>
            <w:shd w:fill="FFFFFF" w:val="clear"/>
            <w:vAlign w:val="center"/>
          </w:tcPr>
          <w:p w14:paraId="6B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C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D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E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6F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025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620"/>
        </w:trPr>
        <w:tc>
          <w:tcPr>
            <w:tcW w:type="dxa" w:w="528"/>
            <w:tcBorders>
              <w:top w:color="000000" w:sz="4" w:val="single"/>
              <w:left w:color="000000" w:sz="4" w:val="single"/>
              <w:bottom w:color="000000" w:sz="4" w:val="single"/>
              <w:right w:color="000000" w:sz="4" w:val="single"/>
            </w:tcBorders>
            <w:shd w:fill="FFFFFF" w:val="clear"/>
            <w:vAlign w:val="center"/>
          </w:tcPr>
          <w:p w14:paraId="71250000">
            <w:pPr>
              <w:widowControl w:val="1"/>
              <w:ind/>
              <w:contextualSpacing w:val="1"/>
              <w:rPr>
                <w:color w:val="000000"/>
                <w:sz w:val="22"/>
              </w:rPr>
            </w:pPr>
            <w:r>
              <w:rPr>
                <w:color w:val="000000"/>
                <w:sz w:val="22"/>
              </w:rPr>
              <w:t>210</w:t>
            </w:r>
          </w:p>
        </w:tc>
        <w:tc>
          <w:tcPr>
            <w:tcW w:type="dxa" w:w="1408"/>
            <w:tcBorders>
              <w:top w:color="000000" w:sz="4" w:val="single"/>
              <w:left w:color="000000" w:sz="4" w:val="single"/>
              <w:bottom w:color="000000" w:sz="4" w:val="single"/>
              <w:right w:color="000000" w:sz="4" w:val="single"/>
            </w:tcBorders>
            <w:shd w:fill="FFFFFF" w:val="clear"/>
            <w:vAlign w:val="center"/>
          </w:tcPr>
          <w:p w14:paraId="72250000">
            <w:pPr>
              <w:widowControl w:val="1"/>
              <w:ind/>
              <w:contextualSpacing w:val="1"/>
              <w:jc w:val="center"/>
              <w:rPr>
                <w:sz w:val="22"/>
              </w:rPr>
            </w:pPr>
            <w:r>
              <w:rPr>
                <w:sz w:val="22"/>
              </w:rPr>
              <w:t>ООО "Каса Текс"</w:t>
            </w:r>
          </w:p>
        </w:tc>
        <w:tc>
          <w:tcPr>
            <w:tcW w:type="dxa" w:w="1408"/>
            <w:tcBorders>
              <w:top w:color="000000" w:sz="4" w:val="single"/>
              <w:left w:color="000000" w:sz="4" w:val="single"/>
              <w:bottom w:color="000000" w:sz="4" w:val="single"/>
              <w:right w:color="000000" w:sz="4" w:val="single"/>
            </w:tcBorders>
            <w:shd w:fill="FFFFFF" w:val="clear"/>
            <w:vAlign w:val="center"/>
          </w:tcPr>
          <w:p w14:paraId="73250000">
            <w:pPr>
              <w:widowControl w:val="1"/>
              <w:ind/>
              <w:contextualSpacing w:val="1"/>
              <w:jc w:val="center"/>
              <w:rPr>
                <w:sz w:val="22"/>
              </w:rPr>
            </w:pPr>
            <w:r>
              <w:rPr>
                <w:sz w:val="22"/>
              </w:rPr>
              <w:t>счет № 1196 от 25.06.2018</w:t>
            </w:r>
          </w:p>
        </w:tc>
        <w:tc>
          <w:tcPr>
            <w:tcW w:type="dxa" w:w="1274"/>
            <w:tcBorders>
              <w:top w:color="000000" w:sz="4" w:val="single"/>
              <w:left w:color="000000" w:sz="4" w:val="single"/>
              <w:bottom w:color="000000" w:sz="4" w:val="single"/>
              <w:right w:color="000000" w:sz="4" w:val="single"/>
            </w:tcBorders>
            <w:shd w:fill="FFFFFF" w:val="clear"/>
            <w:vAlign w:val="center"/>
          </w:tcPr>
          <w:p w14:paraId="74250000">
            <w:pPr>
              <w:widowControl w:val="1"/>
              <w:ind/>
              <w:contextualSpacing w:val="1"/>
              <w:jc w:val="center"/>
              <w:rPr>
                <w:sz w:val="22"/>
              </w:rPr>
            </w:pPr>
            <w:r>
              <w:rPr>
                <w:sz w:val="22"/>
              </w:rPr>
              <w:t>25.06.2018-30.06.2018</w:t>
            </w:r>
          </w:p>
        </w:tc>
        <w:tc>
          <w:tcPr>
            <w:tcW w:type="dxa" w:w="1556"/>
            <w:tcBorders>
              <w:top w:color="000000" w:sz="4" w:val="single"/>
              <w:left w:color="000000" w:sz="4" w:val="single"/>
              <w:bottom w:color="000000" w:sz="4" w:val="single"/>
              <w:right w:color="000000" w:sz="4" w:val="single"/>
            </w:tcBorders>
            <w:shd w:fill="FFFFFF" w:val="clear"/>
            <w:vAlign w:val="center"/>
          </w:tcPr>
          <w:p w14:paraId="75250000">
            <w:pPr>
              <w:widowControl w:val="1"/>
              <w:ind/>
              <w:contextualSpacing w:val="1"/>
              <w:jc w:val="center"/>
              <w:rPr>
                <w:sz w:val="22"/>
              </w:rPr>
            </w:pPr>
            <w:r>
              <w:rPr>
                <w:sz w:val="22"/>
              </w:rPr>
              <w:t>поставка чехлов для диванов</w:t>
            </w:r>
          </w:p>
        </w:tc>
        <w:tc>
          <w:tcPr>
            <w:tcW w:type="dxa" w:w="1194"/>
            <w:tcBorders>
              <w:top w:color="000000" w:sz="4" w:val="single"/>
              <w:left w:color="000000" w:sz="4" w:val="single"/>
              <w:bottom w:color="000000" w:sz="4" w:val="single"/>
              <w:right w:color="000000" w:sz="4" w:val="single"/>
            </w:tcBorders>
            <w:shd w:fill="FFFFFF" w:val="clear"/>
            <w:vAlign w:val="center"/>
          </w:tcPr>
          <w:p w14:paraId="76250000">
            <w:pPr>
              <w:widowControl w:val="1"/>
              <w:ind/>
              <w:contextualSpacing w:val="1"/>
              <w:jc w:val="center"/>
              <w:rPr>
                <w:sz w:val="22"/>
              </w:rPr>
            </w:pPr>
            <w:r>
              <w:rPr>
                <w:sz w:val="22"/>
              </w:rPr>
              <w:t>2 193,00</w:t>
            </w:r>
          </w:p>
        </w:tc>
        <w:tc>
          <w:tcPr>
            <w:tcW w:type="dxa" w:w="1221"/>
            <w:tcBorders>
              <w:top w:color="000000" w:sz="4" w:val="single"/>
              <w:left w:color="000000" w:sz="4" w:val="single"/>
              <w:bottom w:color="000000" w:sz="4" w:val="single"/>
              <w:right w:color="000000" w:sz="4" w:val="single"/>
            </w:tcBorders>
            <w:shd w:fill="FFFFFF" w:val="clear"/>
            <w:vAlign w:val="center"/>
          </w:tcPr>
          <w:p w14:paraId="77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8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9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A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7B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C25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720"/>
        </w:trPr>
        <w:tc>
          <w:tcPr>
            <w:tcW w:type="dxa" w:w="528"/>
            <w:tcBorders>
              <w:top w:color="000000" w:sz="4" w:val="single"/>
              <w:left w:color="000000" w:sz="4" w:val="single"/>
              <w:bottom w:color="000000" w:sz="4" w:val="single"/>
              <w:right w:color="000000" w:sz="4" w:val="single"/>
            </w:tcBorders>
            <w:shd w:fill="FFFFFF" w:val="clear"/>
            <w:vAlign w:val="center"/>
          </w:tcPr>
          <w:p w14:paraId="7D250000">
            <w:pPr>
              <w:widowControl w:val="1"/>
              <w:ind/>
              <w:contextualSpacing w:val="1"/>
              <w:rPr>
                <w:color w:val="000000"/>
                <w:sz w:val="22"/>
              </w:rPr>
            </w:pPr>
            <w:r>
              <w:rPr>
                <w:color w:val="000000"/>
                <w:sz w:val="22"/>
              </w:rPr>
              <w:t>211</w:t>
            </w:r>
          </w:p>
        </w:tc>
        <w:tc>
          <w:tcPr>
            <w:tcW w:type="dxa" w:w="1408"/>
            <w:tcBorders>
              <w:top w:color="000000" w:sz="4" w:val="single"/>
              <w:left w:color="000000" w:sz="4" w:val="single"/>
              <w:bottom w:color="000000" w:sz="4" w:val="single"/>
              <w:right w:color="000000" w:sz="4" w:val="single"/>
            </w:tcBorders>
            <w:shd w:fill="FFFFFF" w:val="clear"/>
            <w:vAlign w:val="center"/>
          </w:tcPr>
          <w:p w14:paraId="7E250000">
            <w:pPr>
              <w:widowControl w:val="1"/>
              <w:ind/>
              <w:contextualSpacing w:val="1"/>
              <w:jc w:val="center"/>
              <w:rPr>
                <w:sz w:val="22"/>
              </w:rPr>
            </w:pPr>
            <w:r>
              <w:rPr>
                <w:sz w:val="22"/>
              </w:rPr>
              <w:t>ООО "Каса Текс"</w:t>
            </w:r>
          </w:p>
        </w:tc>
        <w:tc>
          <w:tcPr>
            <w:tcW w:type="dxa" w:w="1408"/>
            <w:tcBorders>
              <w:top w:color="000000" w:sz="4" w:val="single"/>
              <w:left w:color="000000" w:sz="4" w:val="single"/>
              <w:bottom w:color="000000" w:sz="4" w:val="single"/>
              <w:right w:color="000000" w:sz="4" w:val="single"/>
            </w:tcBorders>
            <w:shd w:fill="FFFFFF" w:val="clear"/>
            <w:vAlign w:val="center"/>
          </w:tcPr>
          <w:p w14:paraId="7F250000">
            <w:pPr>
              <w:widowControl w:val="1"/>
              <w:ind/>
              <w:contextualSpacing w:val="1"/>
              <w:jc w:val="center"/>
              <w:rPr>
                <w:sz w:val="22"/>
              </w:rPr>
            </w:pPr>
            <w:r>
              <w:rPr>
                <w:sz w:val="22"/>
              </w:rPr>
              <w:t>счет № 1169 от 19.06.2018</w:t>
            </w:r>
          </w:p>
        </w:tc>
        <w:tc>
          <w:tcPr>
            <w:tcW w:type="dxa" w:w="1274"/>
            <w:tcBorders>
              <w:top w:color="000000" w:sz="4" w:val="single"/>
              <w:left w:color="000000" w:sz="4" w:val="single"/>
              <w:bottom w:color="000000" w:sz="4" w:val="single"/>
              <w:right w:color="000000" w:sz="4" w:val="single"/>
            </w:tcBorders>
            <w:shd w:fill="FFFFFF" w:val="clear"/>
            <w:vAlign w:val="center"/>
          </w:tcPr>
          <w:p w14:paraId="80250000">
            <w:pPr>
              <w:widowControl w:val="1"/>
              <w:ind/>
              <w:contextualSpacing w:val="1"/>
              <w:jc w:val="center"/>
              <w:rPr>
                <w:sz w:val="22"/>
              </w:rPr>
            </w:pPr>
            <w:r>
              <w:rPr>
                <w:sz w:val="22"/>
              </w:rPr>
              <w:t>19.06.2018-30.06.2018</w:t>
            </w:r>
          </w:p>
        </w:tc>
        <w:tc>
          <w:tcPr>
            <w:tcW w:type="dxa" w:w="1556"/>
            <w:tcBorders>
              <w:top w:color="000000" w:sz="4" w:val="single"/>
              <w:left w:color="000000" w:sz="4" w:val="single"/>
              <w:bottom w:color="000000" w:sz="4" w:val="single"/>
              <w:right w:color="000000" w:sz="4" w:val="single"/>
            </w:tcBorders>
            <w:shd w:fill="FFFFFF" w:val="clear"/>
            <w:vAlign w:val="center"/>
          </w:tcPr>
          <w:p w14:paraId="81250000">
            <w:pPr>
              <w:widowControl w:val="1"/>
              <w:ind/>
              <w:contextualSpacing w:val="1"/>
              <w:jc w:val="center"/>
              <w:rPr>
                <w:sz w:val="22"/>
              </w:rPr>
            </w:pPr>
            <w:r>
              <w:rPr>
                <w:sz w:val="22"/>
              </w:rPr>
              <w:t>поставка чехлов для диванов</w:t>
            </w:r>
          </w:p>
        </w:tc>
        <w:tc>
          <w:tcPr>
            <w:tcW w:type="dxa" w:w="1194"/>
            <w:tcBorders>
              <w:top w:color="000000" w:sz="4" w:val="single"/>
              <w:left w:color="000000" w:sz="4" w:val="single"/>
              <w:bottom w:color="000000" w:sz="4" w:val="single"/>
              <w:right w:color="000000" w:sz="4" w:val="single"/>
            </w:tcBorders>
            <w:shd w:fill="FFFFFF" w:val="clear"/>
            <w:vAlign w:val="center"/>
          </w:tcPr>
          <w:p w14:paraId="82250000">
            <w:pPr>
              <w:widowControl w:val="1"/>
              <w:ind/>
              <w:contextualSpacing w:val="1"/>
              <w:jc w:val="center"/>
              <w:rPr>
                <w:sz w:val="22"/>
              </w:rPr>
            </w:pPr>
            <w:r>
              <w:rPr>
                <w:sz w:val="22"/>
              </w:rPr>
              <w:t>9 028,00</w:t>
            </w:r>
          </w:p>
        </w:tc>
        <w:tc>
          <w:tcPr>
            <w:tcW w:type="dxa" w:w="1221"/>
            <w:tcBorders>
              <w:top w:color="000000" w:sz="4" w:val="single"/>
              <w:left w:color="000000" w:sz="4" w:val="single"/>
              <w:bottom w:color="000000" w:sz="4" w:val="single"/>
              <w:right w:color="000000" w:sz="4" w:val="single"/>
            </w:tcBorders>
            <w:shd w:fill="FFFFFF" w:val="clear"/>
            <w:vAlign w:val="center"/>
          </w:tcPr>
          <w:p w14:paraId="83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4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5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6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87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8825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89250000">
            <w:pPr>
              <w:widowControl w:val="1"/>
              <w:ind/>
              <w:contextualSpacing w:val="1"/>
              <w:rPr>
                <w:color w:val="000000"/>
                <w:sz w:val="22"/>
              </w:rPr>
            </w:pPr>
            <w:r>
              <w:rPr>
                <w:color w:val="000000"/>
                <w:sz w:val="22"/>
              </w:rPr>
              <w:t>212</w:t>
            </w:r>
          </w:p>
        </w:tc>
        <w:tc>
          <w:tcPr>
            <w:tcW w:type="dxa" w:w="1408"/>
            <w:tcBorders>
              <w:top w:color="000000" w:sz="4" w:val="single"/>
              <w:left w:color="000000" w:sz="4" w:val="single"/>
              <w:bottom w:color="000000" w:sz="4" w:val="single"/>
              <w:right w:color="000000" w:sz="4" w:val="single"/>
            </w:tcBorders>
            <w:shd w:fill="FFFFFF" w:val="clear"/>
            <w:vAlign w:val="center"/>
          </w:tcPr>
          <w:p w14:paraId="8A250000">
            <w:pPr>
              <w:widowControl w:val="1"/>
              <w:ind/>
              <w:contextualSpacing w:val="1"/>
              <w:jc w:val="center"/>
              <w:rPr>
                <w:sz w:val="22"/>
              </w:rPr>
            </w:pPr>
            <w:r>
              <w:rPr>
                <w:sz w:val="22"/>
              </w:rPr>
              <w:t>ООО "Каса Текс"</w:t>
            </w:r>
          </w:p>
        </w:tc>
        <w:tc>
          <w:tcPr>
            <w:tcW w:type="dxa" w:w="1408"/>
            <w:tcBorders>
              <w:top w:color="000000" w:sz="4" w:val="single"/>
              <w:left w:color="000000" w:sz="4" w:val="single"/>
              <w:bottom w:color="000000" w:sz="4" w:val="single"/>
              <w:right w:color="000000" w:sz="4" w:val="single"/>
            </w:tcBorders>
            <w:shd w:fill="FFFFFF" w:val="clear"/>
            <w:vAlign w:val="center"/>
          </w:tcPr>
          <w:p w14:paraId="8B250000">
            <w:pPr>
              <w:widowControl w:val="1"/>
              <w:ind/>
              <w:contextualSpacing w:val="1"/>
              <w:jc w:val="center"/>
              <w:rPr>
                <w:sz w:val="22"/>
              </w:rPr>
            </w:pPr>
            <w:r>
              <w:rPr>
                <w:sz w:val="22"/>
              </w:rPr>
              <w:t>счет № 1132 от 13.09.2018</w:t>
            </w:r>
          </w:p>
        </w:tc>
        <w:tc>
          <w:tcPr>
            <w:tcW w:type="dxa" w:w="1274"/>
            <w:tcBorders>
              <w:top w:color="000000" w:sz="4" w:val="single"/>
              <w:left w:color="000000" w:sz="4" w:val="single"/>
              <w:bottom w:color="000000" w:sz="4" w:val="single"/>
              <w:right w:color="000000" w:sz="4" w:val="single"/>
            </w:tcBorders>
            <w:shd w:fill="FFFFFF" w:val="clear"/>
            <w:vAlign w:val="center"/>
          </w:tcPr>
          <w:p w14:paraId="8C250000">
            <w:pPr>
              <w:widowControl w:val="1"/>
              <w:ind/>
              <w:contextualSpacing w:val="1"/>
              <w:jc w:val="center"/>
              <w:rPr>
                <w:sz w:val="22"/>
              </w:rPr>
            </w:pPr>
            <w:r>
              <w:rPr>
                <w:sz w:val="22"/>
              </w:rPr>
              <w:t>13.09.2018-25.09.2018</w:t>
            </w:r>
          </w:p>
        </w:tc>
        <w:tc>
          <w:tcPr>
            <w:tcW w:type="dxa" w:w="1556"/>
            <w:tcBorders>
              <w:top w:color="000000" w:sz="4" w:val="single"/>
              <w:left w:color="000000" w:sz="4" w:val="single"/>
              <w:bottom w:color="000000" w:sz="4" w:val="single"/>
              <w:right w:color="000000" w:sz="4" w:val="single"/>
            </w:tcBorders>
            <w:shd w:fill="FFFFFF" w:val="clear"/>
            <w:vAlign w:val="center"/>
          </w:tcPr>
          <w:p w14:paraId="8D250000">
            <w:pPr>
              <w:widowControl w:val="1"/>
              <w:ind/>
              <w:contextualSpacing w:val="1"/>
              <w:jc w:val="center"/>
              <w:rPr>
                <w:sz w:val="22"/>
              </w:rPr>
            </w:pPr>
            <w:r>
              <w:rPr>
                <w:sz w:val="22"/>
              </w:rPr>
              <w:t>поставка чехлов для диванов</w:t>
            </w:r>
          </w:p>
        </w:tc>
        <w:tc>
          <w:tcPr>
            <w:tcW w:type="dxa" w:w="1194"/>
            <w:tcBorders>
              <w:top w:color="000000" w:sz="4" w:val="single"/>
              <w:left w:color="000000" w:sz="4" w:val="single"/>
              <w:bottom w:color="000000" w:sz="4" w:val="single"/>
              <w:right w:color="000000" w:sz="4" w:val="single"/>
            </w:tcBorders>
            <w:shd w:fill="FFFFFF" w:val="clear"/>
            <w:vAlign w:val="center"/>
          </w:tcPr>
          <w:p w14:paraId="8E250000">
            <w:pPr>
              <w:widowControl w:val="1"/>
              <w:ind/>
              <w:contextualSpacing w:val="1"/>
              <w:jc w:val="center"/>
              <w:rPr>
                <w:sz w:val="22"/>
              </w:rPr>
            </w:pPr>
            <w:r>
              <w:rPr>
                <w:sz w:val="22"/>
              </w:rPr>
              <w:t>1861,50</w:t>
            </w:r>
          </w:p>
        </w:tc>
        <w:tc>
          <w:tcPr>
            <w:tcW w:type="dxa" w:w="1221"/>
            <w:tcBorders>
              <w:top w:color="000000" w:sz="4" w:val="single"/>
              <w:left w:color="000000" w:sz="4" w:val="single"/>
              <w:bottom w:color="000000" w:sz="4" w:val="single"/>
              <w:right w:color="000000" w:sz="4" w:val="single"/>
            </w:tcBorders>
            <w:shd w:fill="FFFFFF" w:val="clear"/>
            <w:vAlign w:val="center"/>
          </w:tcPr>
          <w:p w14:paraId="8F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0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1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2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93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425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5250000">
            <w:pPr>
              <w:widowControl w:val="1"/>
              <w:ind/>
              <w:contextualSpacing w:val="1"/>
              <w:rPr>
                <w:color w:val="000000"/>
                <w:sz w:val="22"/>
              </w:rPr>
            </w:pPr>
            <w:r>
              <w:rPr>
                <w:color w:val="000000"/>
                <w:sz w:val="22"/>
              </w:rPr>
              <w:t>213</w:t>
            </w:r>
          </w:p>
        </w:tc>
        <w:tc>
          <w:tcPr>
            <w:tcW w:type="dxa" w:w="1408"/>
            <w:tcBorders>
              <w:top w:color="000000" w:sz="4" w:val="single"/>
              <w:left w:color="000000" w:sz="4" w:val="single"/>
              <w:bottom w:color="000000" w:sz="4" w:val="single"/>
              <w:right w:color="000000" w:sz="4" w:val="single"/>
            </w:tcBorders>
            <w:shd w:fill="FFFFFF" w:val="clear"/>
            <w:vAlign w:val="center"/>
          </w:tcPr>
          <w:p w14:paraId="96250000">
            <w:pPr>
              <w:widowControl w:val="1"/>
              <w:ind/>
              <w:contextualSpacing w:val="1"/>
              <w:jc w:val="center"/>
              <w:rPr>
                <w:sz w:val="22"/>
              </w:rPr>
            </w:pPr>
            <w:r>
              <w:rPr>
                <w:sz w:val="22"/>
              </w:rPr>
              <w:t>ООО "Каса Текс"</w:t>
            </w:r>
          </w:p>
        </w:tc>
        <w:tc>
          <w:tcPr>
            <w:tcW w:type="dxa" w:w="1408"/>
            <w:tcBorders>
              <w:top w:color="000000" w:sz="4" w:val="single"/>
              <w:left w:color="000000" w:sz="4" w:val="single"/>
              <w:bottom w:color="000000" w:sz="4" w:val="single"/>
              <w:right w:color="000000" w:sz="4" w:val="single"/>
            </w:tcBorders>
            <w:shd w:fill="FFFFFF" w:val="clear"/>
            <w:vAlign w:val="center"/>
          </w:tcPr>
          <w:p w14:paraId="97250000">
            <w:pPr>
              <w:widowControl w:val="1"/>
              <w:ind/>
              <w:contextualSpacing w:val="1"/>
              <w:jc w:val="center"/>
              <w:rPr>
                <w:sz w:val="22"/>
              </w:rPr>
            </w:pPr>
            <w:r>
              <w:rPr>
                <w:sz w:val="22"/>
              </w:rPr>
              <w:t>счет № 1889 от 17.10.2018</w:t>
            </w:r>
          </w:p>
        </w:tc>
        <w:tc>
          <w:tcPr>
            <w:tcW w:type="dxa" w:w="1274"/>
            <w:tcBorders>
              <w:top w:color="000000" w:sz="4" w:val="single"/>
              <w:left w:color="000000" w:sz="4" w:val="single"/>
              <w:bottom w:color="000000" w:sz="4" w:val="single"/>
              <w:right w:color="000000" w:sz="4" w:val="single"/>
            </w:tcBorders>
            <w:shd w:fill="FFFFFF" w:val="clear"/>
            <w:vAlign w:val="center"/>
          </w:tcPr>
          <w:p w14:paraId="98250000">
            <w:pPr>
              <w:widowControl w:val="1"/>
              <w:ind/>
              <w:contextualSpacing w:val="1"/>
              <w:jc w:val="center"/>
              <w:rPr>
                <w:sz w:val="22"/>
              </w:rPr>
            </w:pPr>
            <w:r>
              <w:rPr>
                <w:sz w:val="22"/>
              </w:rPr>
              <w:t>17.10.2018-31.10.2018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99250000">
            <w:pPr>
              <w:widowControl w:val="1"/>
              <w:ind/>
              <w:contextualSpacing w:val="1"/>
              <w:jc w:val="center"/>
              <w:rPr>
                <w:sz w:val="22"/>
              </w:rPr>
            </w:pPr>
            <w:r>
              <w:rPr>
                <w:sz w:val="22"/>
              </w:rPr>
              <w:t>поставка чехлов для диванов</w:t>
            </w:r>
          </w:p>
        </w:tc>
        <w:tc>
          <w:tcPr>
            <w:tcW w:type="dxa" w:w="1194"/>
            <w:tcBorders>
              <w:top w:color="000000" w:sz="4" w:val="single"/>
              <w:left w:color="000000" w:sz="4" w:val="single"/>
              <w:bottom w:color="000000" w:sz="4" w:val="single"/>
              <w:right w:color="000000" w:sz="4" w:val="single"/>
            </w:tcBorders>
            <w:shd w:fill="FFFFFF" w:val="clear"/>
            <w:vAlign w:val="center"/>
          </w:tcPr>
          <w:p w14:paraId="9A250000">
            <w:pPr>
              <w:widowControl w:val="1"/>
              <w:ind/>
              <w:contextualSpacing w:val="1"/>
              <w:jc w:val="center"/>
              <w:rPr>
                <w:sz w:val="22"/>
              </w:rPr>
            </w:pPr>
            <w:r>
              <w:rPr>
                <w:sz w:val="22"/>
              </w:rPr>
              <w:t>7350,00</w:t>
            </w:r>
          </w:p>
        </w:tc>
        <w:tc>
          <w:tcPr>
            <w:tcW w:type="dxa" w:w="1221"/>
            <w:tcBorders>
              <w:top w:color="000000" w:sz="4" w:val="single"/>
              <w:left w:color="000000" w:sz="4" w:val="single"/>
              <w:bottom w:color="000000" w:sz="4" w:val="single"/>
              <w:right w:color="000000" w:sz="4" w:val="single"/>
            </w:tcBorders>
            <w:shd w:fill="FFFFFF" w:val="clear"/>
            <w:vAlign w:val="center"/>
          </w:tcPr>
          <w:p w14:paraId="9B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C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D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E25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9F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0250000">
            <w:pPr>
              <w:widowControl w:val="1"/>
              <w:ind/>
              <w:contextualSpacing w:val="1"/>
              <w:jc w:val="center"/>
              <w:rPr>
                <w:sz w:val="22"/>
              </w:rPr>
            </w:pPr>
            <w:r>
              <w:rPr>
                <w:sz w:val="22"/>
              </w:rPr>
              <w:t>Размещение заказа у единственного поставщика, согласно пп.29п. 89  положения утвержденного СД 22.10.2018г. Протокол № 5</w:t>
            </w:r>
          </w:p>
        </w:tc>
      </w:tr>
      <w:tr>
        <w:trPr>
          <w:trHeight w:hRule="atLeast" w:val="300"/>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A1250000">
            <w:pPr>
              <w:widowControl w:val="1"/>
              <w:ind/>
              <w:contextualSpacing w:val="1"/>
              <w:jc w:val="center"/>
              <w:rPr>
                <w:color w:val="000000"/>
                <w:sz w:val="22"/>
              </w:rPr>
            </w:pPr>
            <w:r>
              <w:rPr>
                <w:color w:val="000000"/>
                <w:sz w:val="22"/>
              </w:rPr>
              <w:t>итого по контрагенту ООО "Каса Текс" 25082 руб.</w:t>
            </w:r>
          </w:p>
          <w:p w14:paraId="A225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3250000">
            <w:pPr>
              <w:widowControl w:val="1"/>
              <w:ind/>
              <w:contextualSpacing w:val="1"/>
              <w:rPr>
                <w:color w:val="000000"/>
                <w:sz w:val="22"/>
              </w:rPr>
            </w:pPr>
            <w:r>
              <w:rPr>
                <w:color w:val="000000"/>
                <w:sz w:val="22"/>
              </w:rPr>
              <w:t>214</w:t>
            </w:r>
          </w:p>
        </w:tc>
        <w:tc>
          <w:tcPr>
            <w:tcW w:type="dxa" w:w="1408"/>
            <w:tcBorders>
              <w:top w:color="000000" w:sz="4" w:val="single"/>
              <w:left w:color="000000" w:sz="4" w:val="single"/>
              <w:bottom w:color="000000" w:sz="4" w:val="single"/>
              <w:right w:color="000000" w:sz="4" w:val="single"/>
            </w:tcBorders>
            <w:shd w:fill="FFFFFF" w:val="clear"/>
            <w:vAlign w:val="center"/>
          </w:tcPr>
          <w:p w14:paraId="A4250000">
            <w:pPr>
              <w:widowControl w:val="1"/>
              <w:ind/>
              <w:contextualSpacing w:val="1"/>
              <w:jc w:val="center"/>
              <w:rPr>
                <w:sz w:val="22"/>
              </w:rPr>
            </w:pPr>
            <w:r>
              <w:rPr>
                <w:sz w:val="22"/>
              </w:rPr>
              <w:t>АО "АК Енисейлес"</w:t>
            </w:r>
          </w:p>
        </w:tc>
        <w:tc>
          <w:tcPr>
            <w:tcW w:type="dxa" w:w="1408"/>
            <w:tcBorders>
              <w:top w:color="000000" w:sz="4" w:val="single"/>
              <w:left w:color="000000" w:sz="4" w:val="single"/>
              <w:bottom w:color="000000" w:sz="4" w:val="single"/>
              <w:right w:color="000000" w:sz="4" w:val="single"/>
            </w:tcBorders>
            <w:shd w:fill="FFFFFF" w:val="clear"/>
            <w:vAlign w:val="center"/>
          </w:tcPr>
          <w:p w14:paraId="A5250000">
            <w:pPr>
              <w:widowControl w:val="1"/>
              <w:ind/>
              <w:contextualSpacing w:val="1"/>
              <w:jc w:val="center"/>
              <w:rPr>
                <w:sz w:val="22"/>
              </w:rPr>
            </w:pPr>
            <w:r>
              <w:rPr>
                <w:sz w:val="22"/>
              </w:rPr>
              <w:t>договор № 06-12/2018 от 17.09.2018</w:t>
            </w:r>
          </w:p>
        </w:tc>
        <w:tc>
          <w:tcPr>
            <w:tcW w:type="dxa" w:w="1274"/>
            <w:tcBorders>
              <w:top w:color="000000" w:sz="4" w:val="single"/>
              <w:left w:color="000000" w:sz="4" w:val="single"/>
              <w:bottom w:color="000000" w:sz="4" w:val="single"/>
              <w:right w:color="000000" w:sz="4" w:val="single"/>
            </w:tcBorders>
            <w:shd w:fill="FFFFFF" w:val="clear"/>
            <w:vAlign w:val="center"/>
          </w:tcPr>
          <w:p w14:paraId="A6250000">
            <w:pPr>
              <w:widowControl w:val="1"/>
              <w:ind/>
              <w:contextualSpacing w:val="1"/>
              <w:jc w:val="center"/>
              <w:rPr>
                <w:sz w:val="22"/>
              </w:rPr>
            </w:pPr>
            <w:r>
              <w:rPr>
                <w:sz w:val="22"/>
              </w:rPr>
              <w:t>01.10.2018-31.08.2019 пролонгация</w:t>
            </w:r>
          </w:p>
        </w:tc>
        <w:tc>
          <w:tcPr>
            <w:tcW w:type="dxa" w:w="1556"/>
            <w:tcBorders>
              <w:top w:color="000000" w:sz="4" w:val="single"/>
              <w:left w:color="000000" w:sz="4" w:val="single"/>
              <w:bottom w:color="000000" w:sz="4" w:val="single"/>
              <w:right w:color="000000" w:sz="4" w:val="single"/>
            </w:tcBorders>
            <w:shd w:fill="FFFFFF" w:val="clear"/>
            <w:vAlign w:val="center"/>
          </w:tcPr>
          <w:p w14:paraId="A7250000">
            <w:pPr>
              <w:widowControl w:val="1"/>
              <w:ind/>
              <w:contextualSpacing w:val="1"/>
              <w:jc w:val="center"/>
              <w:rPr>
                <w:sz w:val="22"/>
              </w:rPr>
            </w:pPr>
            <w:r>
              <w:rPr>
                <w:sz w:val="22"/>
              </w:rPr>
              <w:t>Аренда нежилых помещений для размещения офиса компании</w:t>
            </w:r>
          </w:p>
        </w:tc>
        <w:tc>
          <w:tcPr>
            <w:tcW w:type="dxa" w:w="1194"/>
            <w:tcBorders>
              <w:top w:color="000000" w:sz="4" w:val="single"/>
              <w:left w:color="000000" w:sz="4" w:val="single"/>
              <w:bottom w:color="000000" w:sz="4" w:val="single"/>
              <w:right w:color="000000" w:sz="4" w:val="single"/>
            </w:tcBorders>
            <w:shd w:fill="FFFFFF" w:val="clear"/>
            <w:vAlign w:val="center"/>
          </w:tcPr>
          <w:p w14:paraId="A8250000">
            <w:pPr>
              <w:widowControl w:val="1"/>
              <w:ind/>
              <w:contextualSpacing w:val="1"/>
              <w:jc w:val="center"/>
              <w:rPr>
                <w:sz w:val="22"/>
              </w:rPr>
            </w:pPr>
            <w:r>
              <w:rPr>
                <w:sz w:val="22"/>
              </w:rPr>
              <w:t>39273337,92</w:t>
            </w:r>
          </w:p>
        </w:tc>
        <w:tc>
          <w:tcPr>
            <w:tcW w:type="dxa" w:w="1221"/>
            <w:tcBorders>
              <w:top w:color="000000" w:sz="4" w:val="single"/>
              <w:left w:color="000000" w:sz="4" w:val="single"/>
              <w:bottom w:color="000000" w:sz="4" w:val="single"/>
              <w:right w:color="000000" w:sz="4" w:val="single"/>
            </w:tcBorders>
            <w:shd w:fill="FFFFFF" w:val="clear"/>
            <w:vAlign w:val="center"/>
          </w:tcPr>
          <w:p w14:paraId="A9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A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B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C25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AD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E250000">
            <w:pPr>
              <w:widowControl w:val="1"/>
              <w:ind/>
              <w:contextualSpacing w:val="1"/>
              <w:jc w:val="center"/>
              <w:rPr>
                <w:sz w:val="22"/>
              </w:rPr>
            </w:pPr>
            <w:r>
              <w:rPr>
                <w:sz w:val="22"/>
              </w:rPr>
              <w:t>Размещение заказа у единственного поставщика, согласно пп. 1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F250000">
            <w:pPr>
              <w:widowControl w:val="1"/>
              <w:ind/>
              <w:contextualSpacing w:val="1"/>
              <w:rPr>
                <w:color w:val="000000"/>
                <w:sz w:val="22"/>
              </w:rPr>
            </w:pPr>
            <w:r>
              <w:rPr>
                <w:color w:val="000000"/>
                <w:sz w:val="22"/>
              </w:rPr>
              <w:t>215</w:t>
            </w:r>
          </w:p>
        </w:tc>
        <w:tc>
          <w:tcPr>
            <w:tcW w:type="dxa" w:w="1408"/>
            <w:tcBorders>
              <w:top w:color="000000" w:sz="4" w:val="single"/>
              <w:left w:color="000000" w:sz="4" w:val="single"/>
              <w:bottom w:color="000000" w:sz="4" w:val="single"/>
              <w:right w:color="000000" w:sz="4" w:val="single"/>
            </w:tcBorders>
            <w:shd w:fill="FFFFFF" w:val="clear"/>
            <w:vAlign w:val="center"/>
          </w:tcPr>
          <w:p w14:paraId="B0250000">
            <w:pPr>
              <w:widowControl w:val="1"/>
              <w:ind/>
              <w:contextualSpacing w:val="1"/>
              <w:jc w:val="center"/>
              <w:rPr>
                <w:sz w:val="22"/>
              </w:rPr>
            </w:pPr>
            <w:r>
              <w:rPr>
                <w:sz w:val="22"/>
              </w:rPr>
              <w:t>АО "Красноярский электровагоноремонтный завод"</w:t>
            </w:r>
          </w:p>
        </w:tc>
        <w:tc>
          <w:tcPr>
            <w:tcW w:type="dxa" w:w="1408"/>
            <w:tcBorders>
              <w:top w:color="000000" w:sz="4" w:val="single"/>
              <w:left w:color="000000" w:sz="4" w:val="single"/>
              <w:bottom w:color="000000" w:sz="4" w:val="single"/>
              <w:right w:color="000000" w:sz="4" w:val="single"/>
            </w:tcBorders>
            <w:shd w:fill="FFFFFF" w:val="clear"/>
            <w:vAlign w:val="center"/>
          </w:tcPr>
          <w:p w14:paraId="B1250000">
            <w:pPr>
              <w:widowControl w:val="1"/>
              <w:ind/>
              <w:contextualSpacing w:val="1"/>
              <w:jc w:val="center"/>
              <w:rPr>
                <w:sz w:val="22"/>
              </w:rPr>
            </w:pPr>
            <w:r>
              <w:rPr>
                <w:sz w:val="22"/>
              </w:rPr>
              <w:t>договор № 100 от 17.09.2018</w:t>
            </w:r>
          </w:p>
        </w:tc>
        <w:tc>
          <w:tcPr>
            <w:tcW w:type="dxa" w:w="1274"/>
            <w:tcBorders>
              <w:top w:color="000000" w:sz="4" w:val="single"/>
              <w:left w:color="000000" w:sz="4" w:val="single"/>
              <w:bottom w:color="000000" w:sz="4" w:val="single"/>
              <w:right w:color="000000" w:sz="4" w:val="single"/>
            </w:tcBorders>
            <w:shd w:fill="FFFFFF" w:val="clear"/>
            <w:vAlign w:val="center"/>
          </w:tcPr>
          <w:p w14:paraId="B2250000">
            <w:pPr>
              <w:widowControl w:val="1"/>
              <w:ind/>
              <w:contextualSpacing w:val="1"/>
              <w:jc w:val="center"/>
              <w:rPr>
                <w:sz w:val="22"/>
              </w:rPr>
            </w:pPr>
            <w:r>
              <w:rPr>
                <w:sz w:val="22"/>
              </w:rPr>
              <w:t>17.09.2018-31.12.2018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B3250000">
            <w:pPr>
              <w:widowControl w:val="1"/>
              <w:ind/>
              <w:contextualSpacing w:val="1"/>
              <w:jc w:val="center"/>
              <w:rPr>
                <w:sz w:val="22"/>
              </w:rPr>
            </w:pPr>
            <w:r>
              <w:rPr>
                <w:sz w:val="22"/>
              </w:rPr>
              <w:t>выполнение работ по восстановлению выводных кабелей тягового двигателя ТЭД-3У с проведением среднего ремонта</w:t>
            </w:r>
          </w:p>
        </w:tc>
        <w:tc>
          <w:tcPr>
            <w:tcW w:type="dxa" w:w="1194"/>
            <w:tcBorders>
              <w:top w:color="000000" w:sz="4" w:val="single"/>
              <w:left w:color="000000" w:sz="4" w:val="single"/>
              <w:bottom w:color="000000" w:sz="4" w:val="single"/>
              <w:right w:color="000000" w:sz="4" w:val="single"/>
            </w:tcBorders>
            <w:shd w:fill="FFFFFF" w:val="clear"/>
            <w:vAlign w:val="center"/>
          </w:tcPr>
          <w:p w14:paraId="B4250000">
            <w:pPr>
              <w:widowControl w:val="1"/>
              <w:ind/>
              <w:contextualSpacing w:val="1"/>
              <w:jc w:val="center"/>
              <w:rPr>
                <w:color w:val="000000"/>
                <w:sz w:val="22"/>
              </w:rPr>
            </w:pPr>
            <w:r>
              <w:rPr>
                <w:color w:val="000000"/>
                <w:sz w:val="22"/>
              </w:rPr>
              <w:t>134 482,54</w:t>
            </w:r>
          </w:p>
        </w:tc>
        <w:tc>
          <w:tcPr>
            <w:tcW w:type="dxa" w:w="1221"/>
            <w:tcBorders>
              <w:top w:color="000000" w:sz="4" w:val="single"/>
              <w:left w:color="000000" w:sz="4" w:val="single"/>
              <w:bottom w:color="000000" w:sz="4" w:val="single"/>
              <w:right w:color="000000" w:sz="4" w:val="single"/>
            </w:tcBorders>
            <w:shd w:fill="FFFFFF" w:val="clear"/>
            <w:vAlign w:val="center"/>
          </w:tcPr>
          <w:p w14:paraId="B5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6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7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8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B9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BA25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BB250000">
            <w:pPr>
              <w:widowControl w:val="1"/>
              <w:ind/>
              <w:contextualSpacing w:val="1"/>
              <w:rPr>
                <w:color w:val="000000"/>
                <w:sz w:val="22"/>
              </w:rPr>
            </w:pPr>
            <w:r>
              <w:rPr>
                <w:color w:val="000000"/>
                <w:sz w:val="22"/>
              </w:rPr>
              <w:t>216</w:t>
            </w:r>
          </w:p>
        </w:tc>
        <w:tc>
          <w:tcPr>
            <w:tcW w:type="dxa" w:w="1408"/>
            <w:tcBorders>
              <w:top w:color="000000" w:sz="4" w:val="single"/>
              <w:left w:color="000000" w:sz="4" w:val="single"/>
              <w:bottom w:color="000000" w:sz="4" w:val="single"/>
              <w:right w:color="000000" w:sz="4" w:val="single"/>
            </w:tcBorders>
            <w:shd w:fill="FFFFFF" w:val="clear"/>
            <w:vAlign w:val="center"/>
          </w:tcPr>
          <w:p w14:paraId="BC250000">
            <w:pPr>
              <w:widowControl w:val="1"/>
              <w:ind/>
              <w:contextualSpacing w:val="1"/>
              <w:jc w:val="center"/>
              <w:rPr>
                <w:sz w:val="22"/>
              </w:rPr>
            </w:pPr>
            <w:r>
              <w:rPr>
                <w:sz w:val="22"/>
              </w:rPr>
              <w:t>АО "Красноярский электровагоноремонтный завод"</w:t>
            </w:r>
          </w:p>
        </w:tc>
        <w:tc>
          <w:tcPr>
            <w:tcW w:type="dxa" w:w="1408"/>
            <w:tcBorders>
              <w:top w:color="000000" w:sz="4" w:val="single"/>
              <w:left w:color="000000" w:sz="4" w:val="single"/>
              <w:bottom w:color="000000" w:sz="4" w:val="single"/>
              <w:right w:color="000000" w:sz="4" w:val="single"/>
            </w:tcBorders>
            <w:shd w:fill="FFFFFF" w:val="clear"/>
            <w:vAlign w:val="center"/>
          </w:tcPr>
          <w:p w14:paraId="BD250000">
            <w:pPr>
              <w:widowControl w:val="1"/>
              <w:ind/>
              <w:contextualSpacing w:val="1"/>
              <w:jc w:val="center"/>
              <w:rPr>
                <w:sz w:val="22"/>
              </w:rPr>
            </w:pPr>
            <w:r>
              <w:rPr>
                <w:sz w:val="22"/>
              </w:rPr>
              <w:t>договор № 105 от 02.10.2018</w:t>
            </w:r>
          </w:p>
        </w:tc>
        <w:tc>
          <w:tcPr>
            <w:tcW w:type="dxa" w:w="1274"/>
            <w:tcBorders>
              <w:top w:color="000000" w:sz="4" w:val="single"/>
              <w:left w:color="000000" w:sz="4" w:val="single"/>
              <w:bottom w:color="000000" w:sz="4" w:val="single"/>
              <w:right w:color="000000" w:sz="4" w:val="single"/>
            </w:tcBorders>
            <w:shd w:fill="FFFFFF" w:val="clear"/>
            <w:vAlign w:val="center"/>
          </w:tcPr>
          <w:p w14:paraId="BE250000">
            <w:pPr>
              <w:widowControl w:val="1"/>
              <w:ind/>
              <w:contextualSpacing w:val="1"/>
              <w:jc w:val="center"/>
              <w:rPr>
                <w:sz w:val="22"/>
              </w:rPr>
            </w:pPr>
            <w:r>
              <w:rPr>
                <w:sz w:val="22"/>
              </w:rPr>
              <w:t>02.10.2018-31.12.2018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BF250000">
            <w:pPr>
              <w:widowControl w:val="1"/>
              <w:ind/>
              <w:contextualSpacing w:val="1"/>
              <w:jc w:val="center"/>
              <w:rPr>
                <w:sz w:val="22"/>
              </w:rPr>
            </w:pPr>
            <w:r>
              <w:rPr>
                <w:sz w:val="22"/>
              </w:rPr>
              <w:t>Проведение текущего ремонта вагона электропоезда ЭД9М в объеме ТР-2</w:t>
            </w:r>
          </w:p>
        </w:tc>
        <w:tc>
          <w:tcPr>
            <w:tcW w:type="dxa" w:w="1194"/>
            <w:tcBorders>
              <w:top w:color="000000" w:sz="4" w:val="single"/>
              <w:left w:color="000000" w:sz="4" w:val="single"/>
              <w:bottom w:color="000000" w:sz="4" w:val="single"/>
              <w:right w:color="000000" w:sz="4" w:val="single"/>
            </w:tcBorders>
            <w:shd w:fill="FFFFFF" w:val="clear"/>
            <w:vAlign w:val="center"/>
          </w:tcPr>
          <w:p w14:paraId="C0250000">
            <w:pPr>
              <w:widowControl w:val="1"/>
              <w:ind/>
              <w:contextualSpacing w:val="1"/>
              <w:jc w:val="center"/>
              <w:rPr>
                <w:sz w:val="22"/>
              </w:rPr>
            </w:pPr>
            <w:r>
              <w:rPr>
                <w:sz w:val="22"/>
              </w:rPr>
              <w:t>802789,4</w:t>
            </w:r>
          </w:p>
        </w:tc>
        <w:tc>
          <w:tcPr>
            <w:tcW w:type="dxa" w:w="1221"/>
            <w:tcBorders>
              <w:top w:color="000000" w:sz="4" w:val="single"/>
              <w:left w:color="000000" w:sz="4" w:val="single"/>
              <w:bottom w:color="000000" w:sz="4" w:val="single"/>
              <w:right w:color="000000" w:sz="4" w:val="single"/>
            </w:tcBorders>
            <w:shd w:fill="FFFFFF" w:val="clear"/>
            <w:vAlign w:val="center"/>
          </w:tcPr>
          <w:p w14:paraId="C1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2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3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4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C5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6250000">
            <w:pPr>
              <w:widowControl w:val="1"/>
              <w:ind/>
              <w:contextualSpacing w:val="1"/>
              <w:jc w:val="center"/>
              <w:rPr>
                <w:sz w:val="22"/>
              </w:rPr>
            </w:pPr>
            <w:r>
              <w:rPr>
                <w:sz w:val="22"/>
              </w:rPr>
              <w:t>Размещение заказа у единственного поставщика, согласно пп. 3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7250000">
            <w:pPr>
              <w:widowControl w:val="1"/>
              <w:ind/>
              <w:contextualSpacing w:val="1"/>
              <w:rPr>
                <w:color w:val="000000"/>
                <w:sz w:val="22"/>
              </w:rPr>
            </w:pPr>
            <w:r>
              <w:rPr>
                <w:color w:val="000000"/>
                <w:sz w:val="22"/>
              </w:rPr>
              <w:t>217</w:t>
            </w:r>
          </w:p>
        </w:tc>
        <w:tc>
          <w:tcPr>
            <w:tcW w:type="dxa" w:w="1408"/>
            <w:tcBorders>
              <w:top w:color="000000" w:sz="4" w:val="single"/>
              <w:left w:color="000000" w:sz="4" w:val="single"/>
              <w:bottom w:color="000000" w:sz="4" w:val="single"/>
              <w:right w:color="000000" w:sz="4" w:val="single"/>
            </w:tcBorders>
            <w:shd w:fill="FFFFFF" w:val="clear"/>
            <w:vAlign w:val="center"/>
          </w:tcPr>
          <w:p w14:paraId="C8250000">
            <w:pPr>
              <w:widowControl w:val="1"/>
              <w:ind/>
              <w:contextualSpacing w:val="1"/>
              <w:jc w:val="center"/>
              <w:rPr>
                <w:sz w:val="22"/>
              </w:rPr>
            </w:pPr>
            <w:r>
              <w:rPr>
                <w:sz w:val="22"/>
              </w:rPr>
              <w:t>АО "Красноярский электровагоноремонтный завод"</w:t>
            </w:r>
          </w:p>
        </w:tc>
        <w:tc>
          <w:tcPr>
            <w:tcW w:type="dxa" w:w="1408"/>
            <w:tcBorders>
              <w:top w:color="000000" w:sz="4" w:val="single"/>
              <w:left w:color="000000" w:sz="4" w:val="single"/>
              <w:bottom w:color="000000" w:sz="4" w:val="single"/>
              <w:right w:color="000000" w:sz="4" w:val="single"/>
            </w:tcBorders>
            <w:shd w:fill="FFFFFF" w:val="clear"/>
            <w:vAlign w:val="center"/>
          </w:tcPr>
          <w:p w14:paraId="C9250000">
            <w:pPr>
              <w:widowControl w:val="1"/>
              <w:ind/>
              <w:contextualSpacing w:val="1"/>
              <w:jc w:val="center"/>
              <w:rPr>
                <w:sz w:val="22"/>
              </w:rPr>
            </w:pPr>
            <w:r>
              <w:rPr>
                <w:sz w:val="22"/>
              </w:rPr>
              <w:t>договор № 106 от 02.10.2018</w:t>
            </w:r>
          </w:p>
        </w:tc>
        <w:tc>
          <w:tcPr>
            <w:tcW w:type="dxa" w:w="1274"/>
            <w:tcBorders>
              <w:top w:color="000000" w:sz="4" w:val="single"/>
              <w:left w:color="000000" w:sz="4" w:val="single"/>
              <w:bottom w:color="000000" w:sz="4" w:val="single"/>
              <w:right w:color="000000" w:sz="4" w:val="single"/>
            </w:tcBorders>
            <w:shd w:fill="FFFFFF" w:val="clear"/>
            <w:vAlign w:val="center"/>
          </w:tcPr>
          <w:p w14:paraId="CA250000">
            <w:pPr>
              <w:widowControl w:val="1"/>
              <w:ind/>
              <w:contextualSpacing w:val="1"/>
              <w:jc w:val="center"/>
              <w:rPr>
                <w:sz w:val="22"/>
              </w:rPr>
            </w:pPr>
            <w:r>
              <w:rPr>
                <w:sz w:val="22"/>
              </w:rPr>
              <w:t>02.10.2018-31.12.2018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CB250000">
            <w:pPr>
              <w:widowControl w:val="1"/>
              <w:ind/>
              <w:contextualSpacing w:val="1"/>
              <w:jc w:val="center"/>
              <w:rPr>
                <w:sz w:val="22"/>
              </w:rPr>
            </w:pPr>
            <w:r>
              <w:rPr>
                <w:sz w:val="22"/>
              </w:rPr>
              <w:t>Выполнение работ по ремонту линейного оборудования поездов переменного тока серии ЭД9М</w:t>
            </w:r>
          </w:p>
        </w:tc>
        <w:tc>
          <w:tcPr>
            <w:tcW w:type="dxa" w:w="1194"/>
            <w:tcBorders>
              <w:top w:color="000000" w:sz="4" w:val="single"/>
              <w:left w:color="000000" w:sz="4" w:val="single"/>
              <w:bottom w:color="000000" w:sz="4" w:val="single"/>
              <w:right w:color="000000" w:sz="4" w:val="single"/>
            </w:tcBorders>
            <w:shd w:fill="FFFFFF" w:val="clear"/>
            <w:vAlign w:val="center"/>
          </w:tcPr>
          <w:p w14:paraId="CC250000">
            <w:pPr>
              <w:widowControl w:val="1"/>
              <w:ind/>
              <w:contextualSpacing w:val="1"/>
              <w:jc w:val="center"/>
              <w:rPr>
                <w:sz w:val="22"/>
              </w:rPr>
            </w:pPr>
            <w:r>
              <w:rPr>
                <w:sz w:val="22"/>
              </w:rPr>
              <w:t>1979694,26</w:t>
            </w:r>
          </w:p>
        </w:tc>
        <w:tc>
          <w:tcPr>
            <w:tcW w:type="dxa" w:w="1221"/>
            <w:tcBorders>
              <w:top w:color="000000" w:sz="4" w:val="single"/>
              <w:left w:color="000000" w:sz="4" w:val="single"/>
              <w:bottom w:color="000000" w:sz="4" w:val="single"/>
              <w:right w:color="000000" w:sz="4" w:val="single"/>
            </w:tcBorders>
            <w:shd w:fill="FFFFFF" w:val="clear"/>
            <w:vAlign w:val="center"/>
          </w:tcPr>
          <w:p w14:paraId="CD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E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F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0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D1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D2250000">
            <w:pPr>
              <w:widowControl w:val="1"/>
              <w:ind/>
              <w:contextualSpacing w:val="1"/>
              <w:jc w:val="center"/>
              <w:rPr>
                <w:sz w:val="22"/>
              </w:rPr>
            </w:pPr>
            <w:r>
              <w:rPr>
                <w:sz w:val="22"/>
              </w:rPr>
              <w:t>Размещение заказа у единственного поставщика, согласно пп. 3 п. 81  положения утвержденного СД 30.04.2015г. Протокол № 13</w:t>
            </w:r>
          </w:p>
        </w:tc>
      </w:tr>
      <w:tr>
        <w:trPr>
          <w:trHeight w:hRule="atLeast" w:val="802"/>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D3250000">
            <w:pPr>
              <w:widowControl w:val="1"/>
              <w:ind/>
              <w:contextualSpacing w:val="1"/>
              <w:jc w:val="center"/>
              <w:rPr>
                <w:color w:val="000000"/>
                <w:sz w:val="22"/>
              </w:rPr>
            </w:pPr>
            <w:r>
              <w:rPr>
                <w:color w:val="000000"/>
                <w:sz w:val="22"/>
              </w:rPr>
              <w:t>итого по контрагенту АО "Красноярский электровагоноремонтный завод" 2916966,20 руб.</w:t>
            </w:r>
          </w:p>
          <w:p w14:paraId="D425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D5250000">
            <w:pPr>
              <w:widowControl w:val="1"/>
              <w:ind/>
              <w:contextualSpacing w:val="1"/>
              <w:rPr>
                <w:color w:val="000000"/>
                <w:sz w:val="22"/>
              </w:rPr>
            </w:pPr>
            <w:r>
              <w:rPr>
                <w:color w:val="000000"/>
                <w:sz w:val="22"/>
              </w:rPr>
              <w:t>218</w:t>
            </w:r>
          </w:p>
        </w:tc>
        <w:tc>
          <w:tcPr>
            <w:tcW w:type="dxa" w:w="1408"/>
            <w:tcBorders>
              <w:top w:color="000000" w:sz="4" w:val="single"/>
              <w:left w:color="000000" w:sz="4" w:val="single"/>
              <w:bottom w:color="000000" w:sz="4" w:val="single"/>
              <w:right w:color="000000" w:sz="4" w:val="single"/>
            </w:tcBorders>
            <w:shd w:fill="FFFFFF" w:val="clear"/>
            <w:vAlign w:val="center"/>
          </w:tcPr>
          <w:p w14:paraId="D6250000">
            <w:pPr>
              <w:widowControl w:val="1"/>
              <w:ind/>
              <w:contextualSpacing w:val="1"/>
              <w:jc w:val="center"/>
              <w:rPr>
                <w:sz w:val="22"/>
              </w:rPr>
            </w:pPr>
            <w:r>
              <w:rPr>
                <w:sz w:val="22"/>
              </w:rPr>
              <w:t>ГП КК "Красноярскавтотранс"</w:t>
            </w:r>
          </w:p>
        </w:tc>
        <w:tc>
          <w:tcPr>
            <w:tcW w:type="dxa" w:w="1408"/>
            <w:tcBorders>
              <w:top w:color="000000" w:sz="4" w:val="single"/>
              <w:left w:color="000000" w:sz="4" w:val="single"/>
              <w:bottom w:color="000000" w:sz="4" w:val="single"/>
              <w:right w:color="000000" w:sz="4" w:val="single"/>
            </w:tcBorders>
            <w:shd w:fill="FFFFFF" w:val="clear"/>
            <w:vAlign w:val="center"/>
          </w:tcPr>
          <w:p w14:paraId="D7250000">
            <w:pPr>
              <w:widowControl w:val="1"/>
              <w:ind/>
              <w:contextualSpacing w:val="1"/>
              <w:jc w:val="center"/>
              <w:rPr>
                <w:sz w:val="22"/>
              </w:rPr>
            </w:pPr>
            <w:r>
              <w:rPr>
                <w:sz w:val="22"/>
              </w:rPr>
              <w:t>дополнительное соглашение № 3 к договору № 59-ТК  от 01.04.2016 от 02.07.2018</w:t>
            </w:r>
          </w:p>
        </w:tc>
        <w:tc>
          <w:tcPr>
            <w:tcW w:type="dxa" w:w="1274"/>
            <w:tcBorders>
              <w:top w:color="000000" w:sz="4" w:val="single"/>
              <w:left w:color="000000" w:sz="4" w:val="single"/>
              <w:bottom w:color="000000" w:sz="4" w:val="single"/>
              <w:right w:color="000000" w:sz="4" w:val="single"/>
            </w:tcBorders>
            <w:shd w:fill="FFFFFF" w:val="clear"/>
            <w:vAlign w:val="center"/>
          </w:tcPr>
          <w:p w14:paraId="D8250000">
            <w:pPr>
              <w:widowControl w:val="1"/>
              <w:ind/>
              <w:contextualSpacing w:val="1"/>
              <w:jc w:val="center"/>
              <w:rPr>
                <w:sz w:val="22"/>
              </w:rPr>
            </w:pPr>
            <w:r>
              <w:rPr>
                <w:sz w:val="22"/>
              </w:rPr>
              <w:t>10.06.2018-31.12.2018 пролонгация</w:t>
            </w:r>
          </w:p>
        </w:tc>
        <w:tc>
          <w:tcPr>
            <w:tcW w:type="dxa" w:w="1556"/>
            <w:tcBorders>
              <w:top w:color="000000" w:sz="4" w:val="single"/>
              <w:left w:color="000000" w:sz="4" w:val="single"/>
              <w:bottom w:color="000000" w:sz="4" w:val="single"/>
              <w:right w:color="000000" w:sz="4" w:val="single"/>
            </w:tcBorders>
            <w:shd w:fill="FFFFFF" w:val="clear"/>
            <w:vAlign w:val="center"/>
          </w:tcPr>
          <w:p w14:paraId="D9250000">
            <w:pPr>
              <w:widowControl w:val="1"/>
              <w:ind/>
              <w:contextualSpacing w:val="1"/>
              <w:jc w:val="center"/>
              <w:rPr>
                <w:sz w:val="22"/>
              </w:rPr>
            </w:pPr>
            <w:r>
              <w:rPr>
                <w:sz w:val="22"/>
              </w:rPr>
              <w:t>внесение изменений в п. 3.3. договора, относительно перечисления денежных средств</w:t>
            </w:r>
          </w:p>
        </w:tc>
        <w:tc>
          <w:tcPr>
            <w:tcW w:type="dxa" w:w="1194"/>
            <w:tcBorders>
              <w:top w:color="000000" w:sz="4" w:val="single"/>
              <w:left w:color="000000" w:sz="4" w:val="single"/>
              <w:bottom w:color="000000" w:sz="4" w:val="single"/>
              <w:right w:color="000000" w:sz="4" w:val="single"/>
            </w:tcBorders>
            <w:shd w:fill="FFFFFF" w:val="clear"/>
            <w:vAlign w:val="center"/>
          </w:tcPr>
          <w:p w14:paraId="DA250000">
            <w:pPr>
              <w:widowControl w:val="1"/>
              <w:ind/>
              <w:contextualSpacing w:val="1"/>
              <w:jc w:val="center"/>
              <w:rPr>
                <w:sz w:val="22"/>
              </w:rPr>
            </w:pPr>
            <w:r>
              <w:rPr>
                <w:sz w:val="22"/>
              </w:rPr>
              <w:t>251250</w:t>
            </w:r>
          </w:p>
        </w:tc>
        <w:tc>
          <w:tcPr>
            <w:tcW w:type="dxa" w:w="1221"/>
            <w:tcBorders>
              <w:top w:color="000000" w:sz="4" w:val="single"/>
              <w:left w:color="000000" w:sz="4" w:val="single"/>
              <w:bottom w:color="000000" w:sz="4" w:val="single"/>
              <w:right w:color="000000" w:sz="4" w:val="single"/>
            </w:tcBorders>
            <w:shd w:fill="FFFFFF" w:val="clear"/>
            <w:vAlign w:val="center"/>
          </w:tcPr>
          <w:p w14:paraId="DB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C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D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E25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DF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E025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870"/>
        </w:trPr>
        <w:tc>
          <w:tcPr>
            <w:tcW w:type="dxa" w:w="528"/>
            <w:tcBorders>
              <w:top w:color="000000" w:sz="4" w:val="single"/>
              <w:left w:color="000000" w:sz="4" w:val="single"/>
              <w:bottom w:color="000000" w:sz="4" w:val="single"/>
              <w:right w:color="000000" w:sz="4" w:val="single"/>
            </w:tcBorders>
            <w:shd w:fill="FFFFFF" w:val="clear"/>
            <w:vAlign w:val="center"/>
          </w:tcPr>
          <w:p w14:paraId="E1250000">
            <w:pPr>
              <w:widowControl w:val="1"/>
              <w:ind/>
              <w:contextualSpacing w:val="1"/>
              <w:rPr>
                <w:color w:val="000000"/>
                <w:sz w:val="22"/>
              </w:rPr>
            </w:pPr>
            <w:r>
              <w:rPr>
                <w:color w:val="000000"/>
                <w:sz w:val="22"/>
              </w:rPr>
              <w:t>219</w:t>
            </w:r>
          </w:p>
        </w:tc>
        <w:tc>
          <w:tcPr>
            <w:tcW w:type="dxa" w:w="1408"/>
            <w:tcBorders>
              <w:top w:color="000000" w:sz="4" w:val="single"/>
              <w:left w:color="000000" w:sz="4" w:val="single"/>
              <w:bottom w:color="000000" w:sz="4" w:val="single"/>
              <w:right w:color="000000" w:sz="4" w:val="single"/>
            </w:tcBorders>
            <w:shd w:fill="FFFFFF" w:val="clear"/>
            <w:vAlign w:val="center"/>
          </w:tcPr>
          <w:p w14:paraId="E2250000">
            <w:pPr>
              <w:widowControl w:val="1"/>
              <w:ind/>
              <w:contextualSpacing w:val="1"/>
              <w:jc w:val="center"/>
              <w:rPr>
                <w:sz w:val="22"/>
              </w:rPr>
            </w:pPr>
            <w:r>
              <w:rPr>
                <w:sz w:val="22"/>
              </w:rPr>
              <w:t>ГБУЗ Республики Хакасия "Абаканская межрайонная клиническая больница"</w:t>
            </w:r>
          </w:p>
        </w:tc>
        <w:tc>
          <w:tcPr>
            <w:tcW w:type="dxa" w:w="1408"/>
            <w:tcBorders>
              <w:top w:color="000000" w:sz="4" w:val="single"/>
              <w:left w:color="000000" w:sz="4" w:val="single"/>
              <w:bottom w:color="000000" w:sz="4" w:val="single"/>
              <w:right w:color="000000" w:sz="4" w:val="single"/>
            </w:tcBorders>
            <w:shd w:fill="FFFFFF" w:val="clear"/>
            <w:vAlign w:val="center"/>
          </w:tcPr>
          <w:p w14:paraId="E3250000">
            <w:pPr>
              <w:widowControl w:val="1"/>
              <w:ind/>
              <w:contextualSpacing w:val="1"/>
              <w:jc w:val="center"/>
              <w:rPr>
                <w:sz w:val="22"/>
              </w:rPr>
            </w:pPr>
            <w:r>
              <w:rPr>
                <w:sz w:val="22"/>
              </w:rPr>
              <w:t>договор № 90/117-п от 01.08.2018</w:t>
            </w:r>
          </w:p>
        </w:tc>
        <w:tc>
          <w:tcPr>
            <w:tcW w:type="dxa" w:w="1274"/>
            <w:tcBorders>
              <w:top w:color="000000" w:sz="4" w:val="single"/>
              <w:left w:color="000000" w:sz="4" w:val="single"/>
              <w:bottom w:color="000000" w:sz="4" w:val="single"/>
              <w:right w:color="000000" w:sz="4" w:val="single"/>
            </w:tcBorders>
            <w:shd w:fill="FFFFFF" w:val="clear"/>
            <w:vAlign w:val="center"/>
          </w:tcPr>
          <w:p w14:paraId="E4250000">
            <w:pPr>
              <w:widowControl w:val="1"/>
              <w:ind/>
              <w:contextualSpacing w:val="1"/>
              <w:jc w:val="center"/>
              <w:rPr>
                <w:sz w:val="22"/>
              </w:rPr>
            </w:pPr>
            <w:r>
              <w:rPr>
                <w:sz w:val="22"/>
              </w:rPr>
              <w:t>01.08.2018-30.09.2018</w:t>
            </w:r>
          </w:p>
        </w:tc>
        <w:tc>
          <w:tcPr>
            <w:tcW w:type="dxa" w:w="1556"/>
            <w:tcBorders>
              <w:top w:color="000000" w:sz="4" w:val="single"/>
              <w:left w:color="000000" w:sz="4" w:val="single"/>
              <w:bottom w:color="000000" w:sz="4" w:val="single"/>
              <w:right w:color="000000" w:sz="4" w:val="single"/>
            </w:tcBorders>
            <w:shd w:fill="FFFFFF" w:val="clear"/>
            <w:vAlign w:val="center"/>
          </w:tcPr>
          <w:p w14:paraId="E5250000">
            <w:pPr>
              <w:widowControl w:val="1"/>
              <w:ind/>
              <w:contextualSpacing w:val="1"/>
              <w:jc w:val="center"/>
              <w:rPr>
                <w:sz w:val="22"/>
              </w:rPr>
            </w:pPr>
            <w:r>
              <w:rPr>
                <w:sz w:val="22"/>
              </w:rPr>
              <w:t>оказание услуг по проведению периодического медицинского осмотра</w:t>
            </w:r>
          </w:p>
        </w:tc>
        <w:tc>
          <w:tcPr>
            <w:tcW w:type="dxa" w:w="1194"/>
            <w:tcBorders>
              <w:top w:color="000000" w:sz="4" w:val="single"/>
              <w:left w:color="000000" w:sz="4" w:val="single"/>
              <w:bottom w:color="000000" w:sz="4" w:val="single"/>
              <w:right w:color="000000" w:sz="4" w:val="single"/>
            </w:tcBorders>
            <w:shd w:fill="FFFFFF" w:val="clear"/>
            <w:vAlign w:val="center"/>
          </w:tcPr>
          <w:p w14:paraId="E6250000">
            <w:pPr>
              <w:widowControl w:val="1"/>
              <w:ind/>
              <w:contextualSpacing w:val="1"/>
              <w:jc w:val="center"/>
              <w:rPr>
                <w:sz w:val="22"/>
              </w:rPr>
            </w:pPr>
            <w:r>
              <w:rPr>
                <w:sz w:val="22"/>
              </w:rPr>
              <w:t>19060</w:t>
            </w:r>
          </w:p>
        </w:tc>
        <w:tc>
          <w:tcPr>
            <w:tcW w:type="dxa" w:w="1221"/>
            <w:tcBorders>
              <w:top w:color="000000" w:sz="4" w:val="single"/>
              <w:left w:color="000000" w:sz="4" w:val="single"/>
              <w:bottom w:color="000000" w:sz="4" w:val="single"/>
              <w:right w:color="000000" w:sz="4" w:val="single"/>
            </w:tcBorders>
            <w:shd w:fill="FFFFFF" w:val="clear"/>
            <w:vAlign w:val="center"/>
          </w:tcPr>
          <w:p w14:paraId="E7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8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9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A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EB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EC25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ED250000">
            <w:pPr>
              <w:widowControl w:val="1"/>
              <w:ind/>
              <w:contextualSpacing w:val="1"/>
              <w:rPr>
                <w:color w:val="000000"/>
                <w:sz w:val="22"/>
              </w:rPr>
            </w:pPr>
            <w:r>
              <w:rPr>
                <w:color w:val="000000"/>
                <w:sz w:val="22"/>
              </w:rPr>
              <w:t>220</w:t>
            </w:r>
          </w:p>
        </w:tc>
        <w:tc>
          <w:tcPr>
            <w:tcW w:type="dxa" w:w="1408"/>
            <w:tcBorders>
              <w:top w:color="000000" w:sz="4" w:val="single"/>
              <w:left w:color="000000" w:sz="4" w:val="single"/>
              <w:bottom w:color="000000" w:sz="4" w:val="single"/>
              <w:right w:color="000000" w:sz="4" w:val="single"/>
            </w:tcBorders>
            <w:shd w:fill="FFFFFF" w:val="clear"/>
            <w:vAlign w:val="center"/>
          </w:tcPr>
          <w:p w14:paraId="EE250000">
            <w:pPr>
              <w:widowControl w:val="1"/>
              <w:ind/>
              <w:contextualSpacing w:val="1"/>
              <w:jc w:val="center"/>
              <w:rPr>
                <w:sz w:val="22"/>
              </w:rPr>
            </w:pPr>
            <w:r>
              <w:rPr>
                <w:sz w:val="22"/>
              </w:rPr>
              <w:t>ИП Лагутин А.А.</w:t>
            </w:r>
          </w:p>
        </w:tc>
        <w:tc>
          <w:tcPr>
            <w:tcW w:type="dxa" w:w="1408"/>
            <w:tcBorders>
              <w:top w:color="000000" w:sz="4" w:val="single"/>
              <w:left w:color="000000" w:sz="4" w:val="single"/>
              <w:bottom w:color="000000" w:sz="4" w:val="single"/>
              <w:right w:color="000000" w:sz="4" w:val="single"/>
            </w:tcBorders>
            <w:shd w:fill="FFFFFF" w:val="clear"/>
            <w:vAlign w:val="center"/>
          </w:tcPr>
          <w:p w14:paraId="EF250000">
            <w:pPr>
              <w:widowControl w:val="1"/>
              <w:ind/>
              <w:contextualSpacing w:val="1"/>
              <w:jc w:val="center"/>
              <w:rPr>
                <w:sz w:val="22"/>
              </w:rPr>
            </w:pPr>
            <w:r>
              <w:rPr>
                <w:sz w:val="22"/>
              </w:rPr>
              <w:t>договор № 91 от 01.08.2018</w:t>
            </w:r>
          </w:p>
        </w:tc>
        <w:tc>
          <w:tcPr>
            <w:tcW w:type="dxa" w:w="1274"/>
            <w:tcBorders>
              <w:top w:color="000000" w:sz="4" w:val="single"/>
              <w:left w:color="000000" w:sz="4" w:val="single"/>
              <w:bottom w:color="000000" w:sz="4" w:val="single"/>
              <w:right w:color="000000" w:sz="4" w:val="single"/>
            </w:tcBorders>
            <w:shd w:fill="FFFFFF" w:val="clear"/>
            <w:vAlign w:val="center"/>
          </w:tcPr>
          <w:p w14:paraId="F0250000">
            <w:pPr>
              <w:widowControl w:val="1"/>
              <w:ind/>
              <w:contextualSpacing w:val="1"/>
              <w:jc w:val="center"/>
              <w:rPr>
                <w:sz w:val="22"/>
              </w:rPr>
            </w:pPr>
            <w:r>
              <w:rPr>
                <w:sz w:val="22"/>
              </w:rPr>
              <w:t>01.08.2018-30.09.2018</w:t>
            </w:r>
          </w:p>
        </w:tc>
        <w:tc>
          <w:tcPr>
            <w:tcW w:type="dxa" w:w="1556"/>
            <w:tcBorders>
              <w:top w:color="000000" w:sz="4" w:val="single"/>
              <w:left w:color="000000" w:sz="4" w:val="single"/>
              <w:bottom w:color="000000" w:sz="4" w:val="single"/>
              <w:right w:color="000000" w:sz="4" w:val="single"/>
            </w:tcBorders>
            <w:shd w:fill="FFFFFF" w:val="clear"/>
            <w:vAlign w:val="center"/>
          </w:tcPr>
          <w:p w14:paraId="F1250000">
            <w:pPr>
              <w:widowControl w:val="1"/>
              <w:ind/>
              <w:contextualSpacing w:val="1"/>
              <w:jc w:val="center"/>
              <w:rPr>
                <w:sz w:val="22"/>
              </w:rPr>
            </w:pPr>
            <w:r>
              <w:rPr>
                <w:sz w:val="22"/>
              </w:rPr>
              <w:t>оказание услуг по обучению</w:t>
            </w:r>
          </w:p>
        </w:tc>
        <w:tc>
          <w:tcPr>
            <w:tcW w:type="dxa" w:w="1194"/>
            <w:tcBorders>
              <w:top w:color="000000" w:sz="4" w:val="single"/>
              <w:left w:color="000000" w:sz="4" w:val="single"/>
              <w:bottom w:color="000000" w:sz="4" w:val="single"/>
              <w:right w:color="000000" w:sz="4" w:val="single"/>
            </w:tcBorders>
            <w:shd w:fill="FFFFFF" w:val="clear"/>
            <w:vAlign w:val="center"/>
          </w:tcPr>
          <w:p w14:paraId="F2250000">
            <w:pPr>
              <w:widowControl w:val="1"/>
              <w:ind/>
              <w:contextualSpacing w:val="1"/>
              <w:jc w:val="center"/>
              <w:rPr>
                <w:sz w:val="22"/>
              </w:rPr>
            </w:pPr>
            <w:r>
              <w:rPr>
                <w:sz w:val="22"/>
              </w:rPr>
              <w:t>44000</w:t>
            </w:r>
          </w:p>
        </w:tc>
        <w:tc>
          <w:tcPr>
            <w:tcW w:type="dxa" w:w="1221"/>
            <w:tcBorders>
              <w:top w:color="000000" w:sz="4" w:val="single"/>
              <w:left w:color="000000" w:sz="4" w:val="single"/>
              <w:bottom w:color="000000" w:sz="4" w:val="single"/>
              <w:right w:color="000000" w:sz="4" w:val="single"/>
            </w:tcBorders>
            <w:shd w:fill="FFFFFF" w:val="clear"/>
            <w:vAlign w:val="center"/>
          </w:tcPr>
          <w:p w14:paraId="F3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425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525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625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F725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F8250000">
            <w:pPr>
              <w:widowControl w:val="1"/>
              <w:ind/>
              <w:contextualSpacing w:val="1"/>
              <w:jc w:val="center"/>
              <w:rPr>
                <w:sz w:val="22"/>
              </w:rPr>
            </w:pPr>
            <w:r>
              <w:rPr>
                <w:sz w:val="22"/>
              </w:rPr>
              <w:t>Размещение заказа у единственного поставщика, согласно пп. 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F9250000">
            <w:pPr>
              <w:widowControl w:val="1"/>
              <w:ind/>
              <w:contextualSpacing w:val="1"/>
              <w:rPr>
                <w:color w:val="000000"/>
                <w:sz w:val="22"/>
              </w:rPr>
            </w:pPr>
            <w:r>
              <w:rPr>
                <w:color w:val="000000"/>
                <w:sz w:val="22"/>
              </w:rPr>
              <w:t>221</w:t>
            </w:r>
          </w:p>
        </w:tc>
        <w:tc>
          <w:tcPr>
            <w:tcW w:type="dxa" w:w="1408"/>
            <w:tcBorders>
              <w:top w:color="000000" w:sz="4" w:val="single"/>
              <w:left w:color="000000" w:sz="4" w:val="single"/>
              <w:bottom w:color="000000" w:sz="4" w:val="single"/>
              <w:right w:color="000000" w:sz="4" w:val="single"/>
            </w:tcBorders>
            <w:shd w:fill="FFFFFF" w:val="clear"/>
            <w:vAlign w:val="center"/>
          </w:tcPr>
          <w:p w14:paraId="FA250000">
            <w:pPr>
              <w:widowControl w:val="1"/>
              <w:ind/>
              <w:contextualSpacing w:val="1"/>
              <w:jc w:val="center"/>
              <w:rPr>
                <w:sz w:val="22"/>
              </w:rPr>
            </w:pPr>
            <w:r>
              <w:rPr>
                <w:sz w:val="22"/>
              </w:rPr>
              <w:t>ИП Лагутин А.А.</w:t>
            </w:r>
          </w:p>
        </w:tc>
        <w:tc>
          <w:tcPr>
            <w:tcW w:type="dxa" w:w="1408"/>
            <w:tcBorders>
              <w:top w:color="000000" w:sz="4" w:val="single"/>
              <w:left w:color="000000" w:sz="4" w:val="single"/>
              <w:bottom w:color="000000" w:sz="4" w:val="single"/>
              <w:right w:color="000000" w:sz="4" w:val="single"/>
            </w:tcBorders>
            <w:shd w:fill="FFFFFF" w:val="clear"/>
            <w:vAlign w:val="center"/>
          </w:tcPr>
          <w:p w14:paraId="FB250000">
            <w:pPr>
              <w:widowControl w:val="1"/>
              <w:ind/>
              <w:contextualSpacing w:val="1"/>
              <w:jc w:val="center"/>
              <w:rPr>
                <w:sz w:val="22"/>
              </w:rPr>
            </w:pPr>
            <w:r>
              <w:rPr>
                <w:sz w:val="22"/>
              </w:rPr>
              <w:t>договор № 140 от 14.12.2018</w:t>
            </w:r>
          </w:p>
        </w:tc>
        <w:tc>
          <w:tcPr>
            <w:tcW w:type="dxa" w:w="1274"/>
            <w:tcBorders>
              <w:top w:color="000000" w:sz="4" w:val="single"/>
              <w:left w:color="000000" w:sz="4" w:val="single"/>
              <w:bottom w:color="000000" w:sz="4" w:val="single"/>
              <w:right w:color="000000" w:sz="4" w:val="single"/>
            </w:tcBorders>
            <w:shd w:fill="FFFFFF" w:val="clear"/>
            <w:vAlign w:val="center"/>
          </w:tcPr>
          <w:p w14:paraId="FC250000">
            <w:pPr>
              <w:widowControl w:val="1"/>
              <w:ind/>
              <w:contextualSpacing w:val="1"/>
              <w:jc w:val="center"/>
              <w:rPr>
                <w:sz w:val="22"/>
              </w:rPr>
            </w:pPr>
            <w:r>
              <w:rPr>
                <w:sz w:val="22"/>
              </w:rPr>
              <w:t>14.12.2018-31.12.2018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FD250000">
            <w:pPr>
              <w:widowControl w:val="1"/>
              <w:ind/>
              <w:contextualSpacing w:val="1"/>
              <w:jc w:val="center"/>
              <w:rPr>
                <w:sz w:val="22"/>
              </w:rPr>
            </w:pPr>
            <w:r>
              <w:rPr>
                <w:sz w:val="22"/>
              </w:rPr>
              <w:t>оказание услуг по обучению</w:t>
            </w:r>
          </w:p>
        </w:tc>
        <w:tc>
          <w:tcPr>
            <w:tcW w:type="dxa" w:w="1194"/>
            <w:tcBorders>
              <w:top w:color="000000" w:sz="4" w:val="single"/>
              <w:left w:color="000000" w:sz="4" w:val="single"/>
              <w:bottom w:color="000000" w:sz="4" w:val="single"/>
              <w:right w:color="000000" w:sz="4" w:val="single"/>
            </w:tcBorders>
            <w:shd w:fill="FFFFFF" w:val="clear"/>
            <w:vAlign w:val="center"/>
          </w:tcPr>
          <w:p w14:paraId="FE250000">
            <w:pPr>
              <w:widowControl w:val="1"/>
              <w:ind/>
              <w:contextualSpacing w:val="1"/>
              <w:jc w:val="center"/>
              <w:rPr>
                <w:sz w:val="22"/>
              </w:rPr>
            </w:pPr>
            <w:r>
              <w:rPr>
                <w:sz w:val="22"/>
              </w:rPr>
              <w:t>22000</w:t>
            </w:r>
          </w:p>
        </w:tc>
        <w:tc>
          <w:tcPr>
            <w:tcW w:type="dxa" w:w="1221"/>
            <w:tcBorders>
              <w:top w:color="000000" w:sz="4" w:val="single"/>
              <w:left w:color="000000" w:sz="4" w:val="single"/>
              <w:bottom w:color="000000" w:sz="4" w:val="single"/>
              <w:right w:color="000000" w:sz="4" w:val="single"/>
            </w:tcBorders>
            <w:shd w:fill="FFFFFF" w:val="clear"/>
            <w:vAlign w:val="center"/>
          </w:tcPr>
          <w:p w14:paraId="FF25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0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1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02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03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4260000">
            <w:pPr>
              <w:widowControl w:val="1"/>
              <w:ind/>
              <w:contextualSpacing w:val="1"/>
              <w:jc w:val="center"/>
              <w:rPr>
                <w:sz w:val="22"/>
              </w:rPr>
            </w:pPr>
            <w:r>
              <w:rPr>
                <w:sz w:val="22"/>
              </w:rPr>
              <w:t>Размещение заказа у единственного поставщика, согласно пп. 8 п. 89  положения утвержденного СД 22.10.2018г. Протокол № 5</w:t>
            </w:r>
          </w:p>
        </w:tc>
      </w:tr>
      <w:tr>
        <w:trPr>
          <w:trHeight w:hRule="atLeast" w:val="721"/>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05260000">
            <w:pPr>
              <w:widowControl w:val="1"/>
              <w:ind/>
              <w:contextualSpacing w:val="1"/>
              <w:jc w:val="center"/>
              <w:rPr>
                <w:color w:val="000000"/>
                <w:sz w:val="22"/>
              </w:rPr>
            </w:pPr>
            <w:r>
              <w:rPr>
                <w:color w:val="000000"/>
                <w:sz w:val="22"/>
              </w:rPr>
              <w:t>итого по контрагенту ИП Лагутин А.А. 66000 руб.</w:t>
            </w:r>
          </w:p>
          <w:p w14:paraId="0626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07260000">
            <w:pPr>
              <w:widowControl w:val="1"/>
              <w:ind/>
              <w:contextualSpacing w:val="1"/>
              <w:rPr>
                <w:color w:val="000000"/>
                <w:sz w:val="22"/>
              </w:rPr>
            </w:pPr>
            <w:r>
              <w:rPr>
                <w:color w:val="000000"/>
                <w:sz w:val="22"/>
              </w:rPr>
              <w:t>222</w:t>
            </w:r>
          </w:p>
        </w:tc>
        <w:tc>
          <w:tcPr>
            <w:tcW w:type="dxa" w:w="1408"/>
            <w:tcBorders>
              <w:top w:color="000000" w:sz="4" w:val="single"/>
              <w:left w:color="000000" w:sz="4" w:val="single"/>
              <w:bottom w:color="000000" w:sz="4" w:val="single"/>
              <w:right w:color="000000" w:sz="4" w:val="single"/>
            </w:tcBorders>
            <w:shd w:fill="FFFFFF" w:val="clear"/>
            <w:vAlign w:val="center"/>
          </w:tcPr>
          <w:p w14:paraId="08260000">
            <w:pPr>
              <w:widowControl w:val="1"/>
              <w:ind/>
              <w:contextualSpacing w:val="1"/>
              <w:jc w:val="center"/>
              <w:rPr>
                <w:sz w:val="22"/>
              </w:rPr>
            </w:pPr>
            <w:r>
              <w:rPr>
                <w:sz w:val="22"/>
              </w:rPr>
              <w:t>ИП Торгашев С.Е.</w:t>
            </w:r>
          </w:p>
        </w:tc>
        <w:tc>
          <w:tcPr>
            <w:tcW w:type="dxa" w:w="1408"/>
            <w:tcBorders>
              <w:top w:color="000000" w:sz="4" w:val="single"/>
              <w:left w:color="000000" w:sz="4" w:val="single"/>
              <w:bottom w:color="000000" w:sz="4" w:val="single"/>
              <w:right w:color="000000" w:sz="4" w:val="single"/>
            </w:tcBorders>
            <w:shd w:fill="FFFFFF" w:val="clear"/>
            <w:vAlign w:val="center"/>
          </w:tcPr>
          <w:p w14:paraId="09260000">
            <w:pPr>
              <w:widowControl w:val="1"/>
              <w:ind/>
              <w:contextualSpacing w:val="1"/>
              <w:jc w:val="center"/>
              <w:rPr>
                <w:sz w:val="22"/>
              </w:rPr>
            </w:pPr>
            <w:r>
              <w:rPr>
                <w:sz w:val="22"/>
              </w:rPr>
              <w:t>договор № 98 от 17.09.2018</w:t>
            </w:r>
          </w:p>
        </w:tc>
        <w:tc>
          <w:tcPr>
            <w:tcW w:type="dxa" w:w="1274"/>
            <w:tcBorders>
              <w:top w:color="000000" w:sz="4" w:val="single"/>
              <w:left w:color="000000" w:sz="4" w:val="single"/>
              <w:bottom w:color="000000" w:sz="4" w:val="single"/>
              <w:right w:color="000000" w:sz="4" w:val="single"/>
            </w:tcBorders>
            <w:shd w:fill="FFFFFF" w:val="clear"/>
            <w:vAlign w:val="center"/>
          </w:tcPr>
          <w:p w14:paraId="0A260000">
            <w:pPr>
              <w:widowControl w:val="1"/>
              <w:ind/>
              <w:contextualSpacing w:val="1"/>
              <w:jc w:val="center"/>
              <w:rPr>
                <w:sz w:val="22"/>
              </w:rPr>
            </w:pPr>
            <w:r>
              <w:rPr>
                <w:sz w:val="22"/>
              </w:rPr>
              <w:t>20.09.2018-05.10.2018</w:t>
            </w:r>
          </w:p>
        </w:tc>
        <w:tc>
          <w:tcPr>
            <w:tcW w:type="dxa" w:w="1556"/>
            <w:tcBorders>
              <w:top w:color="000000" w:sz="4" w:val="single"/>
              <w:left w:color="000000" w:sz="4" w:val="single"/>
              <w:bottom w:color="000000" w:sz="4" w:val="single"/>
              <w:right w:color="000000" w:sz="4" w:val="single"/>
            </w:tcBorders>
            <w:shd w:fill="FFFFFF" w:val="clear"/>
            <w:vAlign w:val="center"/>
          </w:tcPr>
          <w:p w14:paraId="0B260000">
            <w:pPr>
              <w:widowControl w:val="1"/>
              <w:ind/>
              <w:contextualSpacing w:val="1"/>
              <w:jc w:val="center"/>
              <w:rPr>
                <w:sz w:val="22"/>
              </w:rPr>
            </w:pPr>
            <w:r>
              <w:rPr>
                <w:sz w:val="22"/>
              </w:rPr>
              <w:t>оказание услуг по переезду офиса компании</w:t>
            </w:r>
          </w:p>
        </w:tc>
        <w:tc>
          <w:tcPr>
            <w:tcW w:type="dxa" w:w="1194"/>
            <w:tcBorders>
              <w:top w:color="000000" w:sz="4" w:val="single"/>
              <w:left w:color="000000" w:sz="4" w:val="single"/>
              <w:bottom w:color="000000" w:sz="4" w:val="single"/>
              <w:right w:color="000000" w:sz="4" w:val="single"/>
            </w:tcBorders>
            <w:shd w:fill="FFFFFF" w:val="clear"/>
            <w:vAlign w:val="center"/>
          </w:tcPr>
          <w:p w14:paraId="0C260000">
            <w:pPr>
              <w:widowControl w:val="1"/>
              <w:ind/>
              <w:contextualSpacing w:val="1"/>
              <w:jc w:val="center"/>
              <w:rPr>
                <w:sz w:val="22"/>
              </w:rPr>
            </w:pPr>
            <w:r>
              <w:rPr>
                <w:sz w:val="22"/>
              </w:rPr>
              <w:t>242880</w:t>
            </w:r>
          </w:p>
        </w:tc>
        <w:tc>
          <w:tcPr>
            <w:tcW w:type="dxa" w:w="1221"/>
            <w:tcBorders>
              <w:top w:color="000000" w:sz="4" w:val="single"/>
              <w:left w:color="000000" w:sz="4" w:val="single"/>
              <w:bottom w:color="000000" w:sz="4" w:val="single"/>
              <w:right w:color="000000" w:sz="4" w:val="single"/>
            </w:tcBorders>
            <w:shd w:fill="FFFFFF" w:val="clear"/>
            <w:vAlign w:val="center"/>
          </w:tcPr>
          <w:p w14:paraId="0D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E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F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0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11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1226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13260000">
            <w:pPr>
              <w:widowControl w:val="1"/>
              <w:ind/>
              <w:contextualSpacing w:val="1"/>
              <w:rPr>
                <w:color w:val="000000"/>
                <w:sz w:val="22"/>
              </w:rPr>
            </w:pPr>
            <w:r>
              <w:rPr>
                <w:color w:val="000000"/>
                <w:sz w:val="22"/>
              </w:rPr>
              <w:t>223</w:t>
            </w:r>
          </w:p>
        </w:tc>
        <w:tc>
          <w:tcPr>
            <w:tcW w:type="dxa" w:w="1408"/>
            <w:tcBorders>
              <w:top w:color="000000" w:sz="4" w:val="single"/>
              <w:left w:color="000000" w:sz="4" w:val="single"/>
              <w:bottom w:color="000000" w:sz="4" w:val="single"/>
              <w:right w:color="000000" w:sz="4" w:val="single"/>
            </w:tcBorders>
            <w:shd w:fill="FFFFFF" w:val="clear"/>
            <w:vAlign w:val="center"/>
          </w:tcPr>
          <w:p w14:paraId="14260000">
            <w:pPr>
              <w:widowControl w:val="1"/>
              <w:ind/>
              <w:contextualSpacing w:val="1"/>
              <w:jc w:val="center"/>
              <w:rPr>
                <w:sz w:val="22"/>
              </w:rPr>
            </w:pPr>
            <w:r>
              <w:rPr>
                <w:sz w:val="22"/>
              </w:rPr>
              <w:t>ИП Торгашев С.Е.</w:t>
            </w:r>
          </w:p>
        </w:tc>
        <w:tc>
          <w:tcPr>
            <w:tcW w:type="dxa" w:w="1408"/>
            <w:tcBorders>
              <w:top w:color="000000" w:sz="4" w:val="single"/>
              <w:left w:color="000000" w:sz="4" w:val="single"/>
              <w:bottom w:color="000000" w:sz="4" w:val="single"/>
              <w:right w:color="000000" w:sz="4" w:val="single"/>
            </w:tcBorders>
            <w:shd w:fill="FFFFFF" w:val="clear"/>
            <w:vAlign w:val="center"/>
          </w:tcPr>
          <w:p w14:paraId="15260000">
            <w:pPr>
              <w:widowControl w:val="1"/>
              <w:ind/>
              <w:contextualSpacing w:val="1"/>
              <w:jc w:val="center"/>
              <w:rPr>
                <w:sz w:val="22"/>
              </w:rPr>
            </w:pPr>
            <w:r>
              <w:rPr>
                <w:sz w:val="22"/>
              </w:rPr>
              <w:t>дополнительное соглашение № 1 к договору № 98 от 17.09.2018г. От 05.10.2018</w:t>
            </w:r>
          </w:p>
        </w:tc>
        <w:tc>
          <w:tcPr>
            <w:tcW w:type="dxa" w:w="1274"/>
            <w:tcBorders>
              <w:top w:color="000000" w:sz="4" w:val="single"/>
              <w:left w:color="000000" w:sz="4" w:val="single"/>
              <w:bottom w:color="000000" w:sz="4" w:val="single"/>
              <w:right w:color="000000" w:sz="4" w:val="single"/>
            </w:tcBorders>
            <w:shd w:fill="FFFFFF" w:val="clear"/>
            <w:vAlign w:val="center"/>
          </w:tcPr>
          <w:p w14:paraId="16260000">
            <w:pPr>
              <w:widowControl w:val="1"/>
              <w:ind/>
              <w:contextualSpacing w:val="1"/>
              <w:jc w:val="center"/>
              <w:rPr>
                <w:sz w:val="22"/>
              </w:rPr>
            </w:pPr>
            <w:r>
              <w:rPr>
                <w:sz w:val="22"/>
              </w:rPr>
              <w:t>05.10.2018-05.10.2018</w:t>
            </w:r>
          </w:p>
        </w:tc>
        <w:tc>
          <w:tcPr>
            <w:tcW w:type="dxa" w:w="1556"/>
            <w:tcBorders>
              <w:top w:color="000000" w:sz="4" w:val="single"/>
              <w:left w:color="000000" w:sz="4" w:val="single"/>
              <w:bottom w:color="000000" w:sz="4" w:val="single"/>
              <w:right w:color="000000" w:sz="4" w:val="single"/>
            </w:tcBorders>
            <w:shd w:fill="FFFFFF" w:val="clear"/>
            <w:vAlign w:val="center"/>
          </w:tcPr>
          <w:p w14:paraId="17260000">
            <w:pPr>
              <w:widowControl w:val="1"/>
              <w:ind/>
              <w:contextualSpacing w:val="1"/>
              <w:jc w:val="center"/>
              <w:rPr>
                <w:sz w:val="22"/>
              </w:rPr>
            </w:pPr>
            <w:r>
              <w:rPr>
                <w:sz w:val="22"/>
              </w:rPr>
              <w:t>увеличение предельной цены договора на оказание услуг по переезду офиса компании</w:t>
            </w:r>
          </w:p>
        </w:tc>
        <w:tc>
          <w:tcPr>
            <w:tcW w:type="dxa" w:w="1194"/>
            <w:tcBorders>
              <w:top w:color="000000" w:sz="4" w:val="single"/>
              <w:left w:color="000000" w:sz="4" w:val="single"/>
              <w:bottom w:color="000000" w:sz="4" w:val="single"/>
              <w:right w:color="000000" w:sz="4" w:val="single"/>
            </w:tcBorders>
            <w:shd w:fill="FFFFFF" w:val="clear"/>
            <w:vAlign w:val="center"/>
          </w:tcPr>
          <w:p w14:paraId="18260000">
            <w:pPr>
              <w:widowControl w:val="1"/>
              <w:ind/>
              <w:contextualSpacing w:val="1"/>
              <w:jc w:val="center"/>
              <w:rPr>
                <w:sz w:val="22"/>
              </w:rPr>
            </w:pPr>
            <w:r>
              <w:rPr>
                <w:sz w:val="22"/>
              </w:rPr>
              <w:t>276250</w:t>
            </w:r>
          </w:p>
        </w:tc>
        <w:tc>
          <w:tcPr>
            <w:tcW w:type="dxa" w:w="1221"/>
            <w:tcBorders>
              <w:top w:color="000000" w:sz="4" w:val="single"/>
              <w:left w:color="000000" w:sz="4" w:val="single"/>
              <w:bottom w:color="000000" w:sz="4" w:val="single"/>
              <w:right w:color="000000" w:sz="4" w:val="single"/>
            </w:tcBorders>
            <w:shd w:fill="FFFFFF" w:val="clear"/>
            <w:vAlign w:val="center"/>
          </w:tcPr>
          <w:p w14:paraId="19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A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B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C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1D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1E26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692"/>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1F260000">
            <w:pPr>
              <w:widowControl w:val="1"/>
              <w:ind/>
              <w:contextualSpacing w:val="1"/>
              <w:jc w:val="center"/>
              <w:rPr>
                <w:color w:val="000000"/>
                <w:sz w:val="22"/>
              </w:rPr>
            </w:pPr>
            <w:r>
              <w:rPr>
                <w:color w:val="000000"/>
                <w:sz w:val="22"/>
              </w:rPr>
              <w:t>итого по контрагенту ИП Торгашев С.Е. 276250 руб.</w:t>
            </w:r>
          </w:p>
          <w:p w14:paraId="2026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1260000">
            <w:pPr>
              <w:widowControl w:val="1"/>
              <w:ind/>
              <w:contextualSpacing w:val="1"/>
              <w:rPr>
                <w:color w:val="000000"/>
                <w:sz w:val="22"/>
              </w:rPr>
            </w:pPr>
            <w:r>
              <w:rPr>
                <w:color w:val="000000"/>
                <w:sz w:val="22"/>
              </w:rPr>
              <w:t>224</w:t>
            </w:r>
          </w:p>
        </w:tc>
        <w:tc>
          <w:tcPr>
            <w:tcW w:type="dxa" w:w="1408"/>
            <w:tcBorders>
              <w:top w:color="000000" w:sz="4" w:val="single"/>
              <w:left w:color="000000" w:sz="4" w:val="single"/>
              <w:bottom w:color="000000" w:sz="4" w:val="single"/>
              <w:right w:color="000000" w:sz="4" w:val="single"/>
            </w:tcBorders>
            <w:shd w:fill="FFFFFF" w:val="clear"/>
            <w:vAlign w:val="center"/>
          </w:tcPr>
          <w:p w14:paraId="22260000">
            <w:pPr>
              <w:widowControl w:val="1"/>
              <w:ind/>
              <w:contextualSpacing w:val="1"/>
              <w:jc w:val="center"/>
              <w:rPr>
                <w:sz w:val="22"/>
              </w:rPr>
            </w:pPr>
            <w:r>
              <w:rPr>
                <w:sz w:val="22"/>
              </w:rPr>
              <w:t>ИП Трунина Т.Ф.</w:t>
            </w:r>
          </w:p>
        </w:tc>
        <w:tc>
          <w:tcPr>
            <w:tcW w:type="dxa" w:w="1408"/>
            <w:tcBorders>
              <w:top w:color="000000" w:sz="4" w:val="single"/>
              <w:left w:color="000000" w:sz="4" w:val="single"/>
              <w:bottom w:color="000000" w:sz="4" w:val="single"/>
              <w:right w:color="000000" w:sz="4" w:val="single"/>
            </w:tcBorders>
            <w:shd w:fill="FFFFFF" w:val="clear"/>
            <w:vAlign w:val="center"/>
          </w:tcPr>
          <w:p w14:paraId="23260000">
            <w:pPr>
              <w:widowControl w:val="1"/>
              <w:ind/>
              <w:contextualSpacing w:val="1"/>
              <w:jc w:val="center"/>
              <w:rPr>
                <w:sz w:val="22"/>
              </w:rPr>
            </w:pPr>
            <w:r>
              <w:rPr>
                <w:sz w:val="22"/>
              </w:rPr>
              <w:t>договор № 126 от 27.11.2018</w:t>
            </w:r>
          </w:p>
        </w:tc>
        <w:tc>
          <w:tcPr>
            <w:tcW w:type="dxa" w:w="1274"/>
            <w:tcBorders>
              <w:top w:color="000000" w:sz="4" w:val="single"/>
              <w:left w:color="000000" w:sz="4" w:val="single"/>
              <w:bottom w:color="000000" w:sz="4" w:val="single"/>
              <w:right w:color="000000" w:sz="4" w:val="single"/>
            </w:tcBorders>
            <w:shd w:fill="FFFFFF" w:val="clear"/>
            <w:vAlign w:val="center"/>
          </w:tcPr>
          <w:p w14:paraId="24260000">
            <w:pPr>
              <w:widowControl w:val="1"/>
              <w:ind/>
              <w:contextualSpacing w:val="1"/>
              <w:jc w:val="center"/>
              <w:rPr>
                <w:sz w:val="22"/>
              </w:rPr>
            </w:pPr>
            <w:r>
              <w:rPr>
                <w:sz w:val="22"/>
              </w:rPr>
              <w:t>01.11.2018-30.09.2019</w:t>
            </w:r>
          </w:p>
        </w:tc>
        <w:tc>
          <w:tcPr>
            <w:tcW w:type="dxa" w:w="1556"/>
            <w:tcBorders>
              <w:top w:color="000000" w:sz="4" w:val="single"/>
              <w:left w:color="000000" w:sz="4" w:val="single"/>
              <w:bottom w:color="000000" w:sz="4" w:val="single"/>
              <w:right w:color="000000" w:sz="4" w:val="single"/>
            </w:tcBorders>
            <w:shd w:fill="FFFFFF" w:val="clear"/>
            <w:vAlign w:val="center"/>
          </w:tcPr>
          <w:p w14:paraId="25260000">
            <w:pPr>
              <w:widowControl w:val="1"/>
              <w:ind/>
              <w:contextualSpacing w:val="1"/>
              <w:jc w:val="center"/>
              <w:rPr>
                <w:sz w:val="22"/>
              </w:rPr>
            </w:pPr>
            <w:r>
              <w:rPr>
                <w:sz w:val="22"/>
              </w:rPr>
              <w:t>аренда нежилых помещений для размещения склада компании</w:t>
            </w:r>
          </w:p>
        </w:tc>
        <w:tc>
          <w:tcPr>
            <w:tcW w:type="dxa" w:w="1194"/>
            <w:tcBorders>
              <w:top w:color="000000" w:sz="4" w:val="single"/>
              <w:left w:color="000000" w:sz="4" w:val="single"/>
              <w:bottom w:color="000000" w:sz="4" w:val="single"/>
              <w:right w:color="000000" w:sz="4" w:val="single"/>
            </w:tcBorders>
            <w:shd w:fill="FFFFFF" w:val="clear"/>
            <w:vAlign w:val="center"/>
          </w:tcPr>
          <w:p w14:paraId="26260000">
            <w:pPr>
              <w:widowControl w:val="1"/>
              <w:ind/>
              <w:contextualSpacing w:val="1"/>
              <w:jc w:val="center"/>
              <w:rPr>
                <w:sz w:val="22"/>
              </w:rPr>
            </w:pPr>
            <w:r>
              <w:rPr>
                <w:sz w:val="22"/>
              </w:rPr>
              <w:t>264000</w:t>
            </w:r>
          </w:p>
        </w:tc>
        <w:tc>
          <w:tcPr>
            <w:tcW w:type="dxa" w:w="1221"/>
            <w:tcBorders>
              <w:top w:color="000000" w:sz="4" w:val="single"/>
              <w:left w:color="000000" w:sz="4" w:val="single"/>
              <w:bottom w:color="000000" w:sz="4" w:val="single"/>
              <w:right w:color="000000" w:sz="4" w:val="single"/>
            </w:tcBorders>
            <w:shd w:fill="FFFFFF" w:val="clear"/>
            <w:vAlign w:val="center"/>
          </w:tcPr>
          <w:p w14:paraId="27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8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9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A26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2B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2C260000">
            <w:pPr>
              <w:widowControl w:val="1"/>
              <w:ind/>
              <w:contextualSpacing w:val="1"/>
              <w:jc w:val="center"/>
              <w:rPr>
                <w:sz w:val="22"/>
              </w:rPr>
            </w:pPr>
            <w:r>
              <w:rPr>
                <w:sz w:val="22"/>
              </w:rPr>
              <w:t>Размещение заказа у единственного поставщика, согласно пп. 34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D260000">
            <w:pPr>
              <w:widowControl w:val="1"/>
              <w:ind/>
              <w:contextualSpacing w:val="1"/>
              <w:rPr>
                <w:color w:val="000000"/>
                <w:sz w:val="22"/>
              </w:rPr>
            </w:pPr>
            <w:r>
              <w:rPr>
                <w:color w:val="000000"/>
                <w:sz w:val="22"/>
              </w:rPr>
              <w:t>225</w:t>
            </w:r>
          </w:p>
        </w:tc>
        <w:tc>
          <w:tcPr>
            <w:tcW w:type="dxa" w:w="1408"/>
            <w:tcBorders>
              <w:top w:color="000000" w:sz="4" w:val="single"/>
              <w:left w:color="000000" w:sz="4" w:val="single"/>
              <w:bottom w:color="000000" w:sz="4" w:val="single"/>
              <w:right w:color="000000" w:sz="4" w:val="single"/>
            </w:tcBorders>
            <w:shd w:fill="FFFFFF" w:val="clear"/>
            <w:vAlign w:val="center"/>
          </w:tcPr>
          <w:p w14:paraId="2E260000">
            <w:pPr>
              <w:widowControl w:val="1"/>
              <w:ind/>
              <w:contextualSpacing w:val="1"/>
              <w:jc w:val="center"/>
              <w:rPr>
                <w:sz w:val="22"/>
              </w:rPr>
            </w:pPr>
            <w:r>
              <w:rPr>
                <w:sz w:val="22"/>
              </w:rPr>
              <w:t>ИП Трунина Т.Ф.</w:t>
            </w:r>
          </w:p>
        </w:tc>
        <w:tc>
          <w:tcPr>
            <w:tcW w:type="dxa" w:w="1408"/>
            <w:tcBorders>
              <w:top w:color="000000" w:sz="4" w:val="single"/>
              <w:left w:color="000000" w:sz="4" w:val="single"/>
              <w:bottom w:color="000000" w:sz="4" w:val="single"/>
              <w:right w:color="000000" w:sz="4" w:val="single"/>
            </w:tcBorders>
            <w:shd w:fill="FFFFFF" w:val="clear"/>
            <w:vAlign w:val="center"/>
          </w:tcPr>
          <w:p w14:paraId="2F260000">
            <w:pPr>
              <w:widowControl w:val="1"/>
              <w:ind/>
              <w:contextualSpacing w:val="1"/>
              <w:jc w:val="center"/>
              <w:rPr>
                <w:sz w:val="22"/>
              </w:rPr>
            </w:pPr>
            <w:r>
              <w:rPr>
                <w:sz w:val="22"/>
              </w:rPr>
              <w:t>счет № 10 от 01.10.2018</w:t>
            </w:r>
          </w:p>
        </w:tc>
        <w:tc>
          <w:tcPr>
            <w:tcW w:type="dxa" w:w="1274"/>
            <w:tcBorders>
              <w:top w:color="000000" w:sz="4" w:val="single"/>
              <w:left w:color="000000" w:sz="4" w:val="single"/>
              <w:bottom w:color="000000" w:sz="4" w:val="single"/>
              <w:right w:color="000000" w:sz="4" w:val="single"/>
            </w:tcBorders>
            <w:shd w:fill="FFFFFF" w:val="clear"/>
            <w:vAlign w:val="center"/>
          </w:tcPr>
          <w:p w14:paraId="30260000">
            <w:pPr>
              <w:widowControl w:val="1"/>
              <w:ind/>
              <w:contextualSpacing w:val="1"/>
              <w:jc w:val="center"/>
              <w:rPr>
                <w:sz w:val="22"/>
              </w:rPr>
            </w:pPr>
            <w:r>
              <w:rPr>
                <w:sz w:val="22"/>
              </w:rPr>
              <w:t>01.10.2018-31.10.2018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31260000">
            <w:pPr>
              <w:widowControl w:val="1"/>
              <w:ind/>
              <w:contextualSpacing w:val="1"/>
              <w:jc w:val="center"/>
              <w:rPr>
                <w:sz w:val="22"/>
              </w:rPr>
            </w:pPr>
            <w:r>
              <w:rPr>
                <w:sz w:val="22"/>
              </w:rPr>
              <w:t>аренда нежилых помещений</w:t>
            </w:r>
          </w:p>
        </w:tc>
        <w:tc>
          <w:tcPr>
            <w:tcW w:type="dxa" w:w="1194"/>
            <w:tcBorders>
              <w:top w:color="000000" w:sz="4" w:val="single"/>
              <w:left w:color="000000" w:sz="4" w:val="single"/>
              <w:bottom w:color="000000" w:sz="4" w:val="single"/>
              <w:right w:color="000000" w:sz="4" w:val="single"/>
            </w:tcBorders>
            <w:shd w:fill="FFFFFF" w:val="clear"/>
            <w:vAlign w:val="center"/>
          </w:tcPr>
          <w:p w14:paraId="32260000">
            <w:pPr>
              <w:widowControl w:val="1"/>
              <w:ind/>
              <w:contextualSpacing w:val="1"/>
              <w:jc w:val="center"/>
              <w:rPr>
                <w:sz w:val="22"/>
              </w:rPr>
            </w:pPr>
            <w:r>
              <w:rPr>
                <w:sz w:val="22"/>
              </w:rPr>
              <w:t>24000,00</w:t>
            </w:r>
          </w:p>
        </w:tc>
        <w:tc>
          <w:tcPr>
            <w:tcW w:type="dxa" w:w="1221"/>
            <w:tcBorders>
              <w:top w:color="000000" w:sz="4" w:val="single"/>
              <w:left w:color="000000" w:sz="4" w:val="single"/>
              <w:bottom w:color="000000" w:sz="4" w:val="single"/>
              <w:right w:color="000000" w:sz="4" w:val="single"/>
            </w:tcBorders>
            <w:shd w:fill="FFFFFF" w:val="clear"/>
            <w:vAlign w:val="center"/>
          </w:tcPr>
          <w:p w14:paraId="33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34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35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6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37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826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708"/>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39260000">
            <w:pPr>
              <w:widowControl w:val="1"/>
              <w:ind/>
              <w:contextualSpacing w:val="1"/>
              <w:jc w:val="center"/>
              <w:rPr>
                <w:color w:val="000000"/>
                <w:sz w:val="22"/>
              </w:rPr>
            </w:pPr>
            <w:r>
              <w:rPr>
                <w:color w:val="000000"/>
                <w:sz w:val="22"/>
              </w:rPr>
              <w:t>итого по контрагенту ИП Трунина Т.Ф. 288000 руб.</w:t>
            </w:r>
          </w:p>
          <w:p w14:paraId="3A26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B260000">
            <w:pPr>
              <w:widowControl w:val="1"/>
              <w:ind/>
              <w:contextualSpacing w:val="1"/>
              <w:rPr>
                <w:color w:val="000000"/>
                <w:sz w:val="22"/>
              </w:rPr>
            </w:pPr>
            <w:r>
              <w:rPr>
                <w:color w:val="000000"/>
                <w:sz w:val="22"/>
              </w:rPr>
              <w:t>226</w:t>
            </w:r>
          </w:p>
        </w:tc>
        <w:tc>
          <w:tcPr>
            <w:tcW w:type="dxa" w:w="1408"/>
            <w:tcBorders>
              <w:top w:color="000000" w:sz="4" w:val="single"/>
              <w:left w:color="000000" w:sz="4" w:val="single"/>
              <w:bottom w:color="000000" w:sz="4" w:val="single"/>
              <w:right w:color="000000" w:sz="4" w:val="single"/>
            </w:tcBorders>
            <w:shd w:fill="FFFFFF" w:val="clear"/>
            <w:vAlign w:val="center"/>
          </w:tcPr>
          <w:p w14:paraId="3C260000">
            <w:pPr>
              <w:widowControl w:val="1"/>
              <w:ind/>
              <w:contextualSpacing w:val="1"/>
              <w:jc w:val="center"/>
              <w:rPr>
                <w:sz w:val="22"/>
              </w:rPr>
            </w:pPr>
            <w:r>
              <w:rPr>
                <w:sz w:val="22"/>
              </w:rPr>
              <w:t>ЗАО "Вагон-Сервис"</w:t>
            </w:r>
          </w:p>
        </w:tc>
        <w:tc>
          <w:tcPr>
            <w:tcW w:type="dxa" w:w="1408"/>
            <w:tcBorders>
              <w:top w:color="000000" w:sz="4" w:val="single"/>
              <w:left w:color="000000" w:sz="4" w:val="single"/>
              <w:bottom w:color="000000" w:sz="4" w:val="single"/>
              <w:right w:color="000000" w:sz="4" w:val="single"/>
            </w:tcBorders>
            <w:shd w:fill="FFFFFF" w:val="clear"/>
            <w:vAlign w:val="center"/>
          </w:tcPr>
          <w:p w14:paraId="3D260000">
            <w:pPr>
              <w:widowControl w:val="1"/>
              <w:ind/>
              <w:contextualSpacing w:val="1"/>
              <w:jc w:val="center"/>
              <w:rPr>
                <w:sz w:val="22"/>
              </w:rPr>
            </w:pPr>
            <w:r>
              <w:rPr>
                <w:sz w:val="22"/>
              </w:rPr>
              <w:t>договор № 457 от 28.12.2018</w:t>
            </w:r>
          </w:p>
        </w:tc>
        <w:tc>
          <w:tcPr>
            <w:tcW w:type="dxa" w:w="1274"/>
            <w:tcBorders>
              <w:top w:color="000000" w:sz="4" w:val="single"/>
              <w:left w:color="000000" w:sz="4" w:val="single"/>
              <w:bottom w:color="000000" w:sz="4" w:val="single"/>
              <w:right w:color="000000" w:sz="4" w:val="single"/>
            </w:tcBorders>
            <w:shd w:fill="FFFFFF" w:val="clear"/>
            <w:vAlign w:val="center"/>
          </w:tcPr>
          <w:p w14:paraId="3E260000">
            <w:pPr>
              <w:widowControl w:val="1"/>
              <w:ind/>
              <w:contextualSpacing w:val="1"/>
              <w:jc w:val="center"/>
              <w:rPr>
                <w:sz w:val="22"/>
              </w:rPr>
            </w:pPr>
            <w:r>
              <w:rPr>
                <w:sz w:val="22"/>
              </w:rPr>
              <w:t>20.12.2018-31.12.2018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3F260000">
            <w:pPr>
              <w:widowControl w:val="1"/>
              <w:ind/>
              <w:contextualSpacing w:val="1"/>
              <w:jc w:val="center"/>
              <w:rPr>
                <w:sz w:val="22"/>
              </w:rPr>
            </w:pPr>
            <w:r>
              <w:rPr>
                <w:sz w:val="22"/>
              </w:rPr>
              <w:t>выполнение работ по наружной окраске секций и внутренней окраске тамбуров вагонов электропоездов серии ЭД9М</w:t>
            </w:r>
          </w:p>
        </w:tc>
        <w:tc>
          <w:tcPr>
            <w:tcW w:type="dxa" w:w="1194"/>
            <w:tcBorders>
              <w:top w:color="000000" w:sz="4" w:val="single"/>
              <w:left w:color="000000" w:sz="4" w:val="single"/>
              <w:bottom w:color="000000" w:sz="4" w:val="single"/>
              <w:right w:color="000000" w:sz="4" w:val="single"/>
            </w:tcBorders>
            <w:shd w:fill="FFFFFF" w:val="clear"/>
            <w:vAlign w:val="center"/>
          </w:tcPr>
          <w:p w14:paraId="40260000">
            <w:pPr>
              <w:widowControl w:val="1"/>
              <w:ind/>
              <w:contextualSpacing w:val="1"/>
              <w:jc w:val="center"/>
              <w:rPr>
                <w:sz w:val="22"/>
              </w:rPr>
            </w:pPr>
            <w:r>
              <w:rPr>
                <w:sz w:val="22"/>
              </w:rPr>
              <w:t>3292141</w:t>
            </w:r>
          </w:p>
        </w:tc>
        <w:tc>
          <w:tcPr>
            <w:tcW w:type="dxa" w:w="1221"/>
            <w:tcBorders>
              <w:top w:color="000000" w:sz="4" w:val="single"/>
              <w:left w:color="000000" w:sz="4" w:val="single"/>
              <w:bottom w:color="000000" w:sz="4" w:val="single"/>
              <w:right w:color="000000" w:sz="4" w:val="single"/>
            </w:tcBorders>
            <w:shd w:fill="FFFFFF" w:val="clear"/>
            <w:vAlign w:val="center"/>
          </w:tcPr>
          <w:p w14:paraId="41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2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3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4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45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46260000">
            <w:pPr>
              <w:widowControl w:val="1"/>
              <w:ind/>
              <w:contextualSpacing w:val="1"/>
              <w:jc w:val="center"/>
              <w:rPr>
                <w:sz w:val="22"/>
              </w:rPr>
            </w:pPr>
            <w:r>
              <w:rPr>
                <w:sz w:val="22"/>
              </w:rPr>
              <w:t>Размещение заказа у единственного поставщика, согласно пп. 1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47260000">
            <w:pPr>
              <w:widowControl w:val="1"/>
              <w:ind/>
              <w:contextualSpacing w:val="1"/>
              <w:rPr>
                <w:color w:val="000000"/>
                <w:sz w:val="22"/>
              </w:rPr>
            </w:pPr>
            <w:r>
              <w:rPr>
                <w:color w:val="000000"/>
                <w:sz w:val="22"/>
              </w:rPr>
              <w:t>227</w:t>
            </w:r>
          </w:p>
        </w:tc>
        <w:tc>
          <w:tcPr>
            <w:tcW w:type="dxa" w:w="1408"/>
            <w:tcBorders>
              <w:top w:color="000000" w:sz="4" w:val="single"/>
              <w:left w:color="000000" w:sz="4" w:val="single"/>
              <w:bottom w:color="000000" w:sz="4" w:val="single"/>
              <w:right w:color="000000" w:sz="4" w:val="single"/>
            </w:tcBorders>
            <w:shd w:fill="FFFFFF" w:val="clear"/>
            <w:vAlign w:val="center"/>
          </w:tcPr>
          <w:p w14:paraId="48260000">
            <w:pPr>
              <w:widowControl w:val="1"/>
              <w:ind/>
              <w:contextualSpacing w:val="1"/>
              <w:jc w:val="center"/>
              <w:rPr>
                <w:sz w:val="22"/>
              </w:rPr>
            </w:pPr>
            <w:r>
              <w:rPr>
                <w:sz w:val="22"/>
              </w:rPr>
              <w:t>КГБУЗ "Иланская районная больница"</w:t>
            </w:r>
          </w:p>
        </w:tc>
        <w:tc>
          <w:tcPr>
            <w:tcW w:type="dxa" w:w="1408"/>
            <w:tcBorders>
              <w:top w:color="000000" w:sz="4" w:val="single"/>
              <w:left w:color="000000" w:sz="4" w:val="single"/>
              <w:bottom w:color="000000" w:sz="4" w:val="single"/>
              <w:right w:color="000000" w:sz="4" w:val="single"/>
            </w:tcBorders>
            <w:shd w:fill="FFFFFF" w:val="clear"/>
            <w:vAlign w:val="center"/>
          </w:tcPr>
          <w:p w14:paraId="49260000">
            <w:pPr>
              <w:widowControl w:val="1"/>
              <w:ind/>
              <w:contextualSpacing w:val="1"/>
              <w:jc w:val="center"/>
              <w:rPr>
                <w:sz w:val="22"/>
              </w:rPr>
            </w:pPr>
            <w:r>
              <w:rPr>
                <w:sz w:val="22"/>
              </w:rPr>
              <w:t>договор № 83 от 02.07</w:t>
            </w:r>
          </w:p>
        </w:tc>
        <w:tc>
          <w:tcPr>
            <w:tcW w:type="dxa" w:w="1274"/>
            <w:tcBorders>
              <w:top w:color="000000" w:sz="4" w:val="single"/>
              <w:left w:color="000000" w:sz="4" w:val="single"/>
              <w:bottom w:color="000000" w:sz="4" w:val="single"/>
              <w:right w:color="000000" w:sz="4" w:val="single"/>
            </w:tcBorders>
            <w:shd w:fill="FFFFFF" w:val="clear"/>
            <w:vAlign w:val="center"/>
          </w:tcPr>
          <w:p w14:paraId="4A260000">
            <w:pPr>
              <w:widowControl w:val="1"/>
              <w:ind/>
              <w:contextualSpacing w:val="1"/>
              <w:jc w:val="center"/>
              <w:rPr>
                <w:sz w:val="22"/>
              </w:rPr>
            </w:pPr>
            <w:r>
              <w:rPr>
                <w:sz w:val="22"/>
              </w:rPr>
              <w:t>02.07.2018-31.08.2018</w:t>
            </w:r>
          </w:p>
        </w:tc>
        <w:tc>
          <w:tcPr>
            <w:tcW w:type="dxa" w:w="1556"/>
            <w:tcBorders>
              <w:top w:color="000000" w:sz="4" w:val="single"/>
              <w:left w:color="000000" w:sz="4" w:val="single"/>
              <w:bottom w:color="000000" w:sz="4" w:val="single"/>
              <w:right w:color="000000" w:sz="4" w:val="single"/>
            </w:tcBorders>
            <w:shd w:fill="FFFFFF" w:val="clear"/>
            <w:vAlign w:val="center"/>
          </w:tcPr>
          <w:p w14:paraId="4B260000">
            <w:pPr>
              <w:widowControl w:val="1"/>
              <w:ind/>
              <w:contextualSpacing w:val="1"/>
              <w:jc w:val="center"/>
              <w:rPr>
                <w:sz w:val="22"/>
              </w:rPr>
            </w:pPr>
            <w:r>
              <w:rPr>
                <w:sz w:val="22"/>
              </w:rPr>
              <w:t>Оказание услуг по проведению периодического медицинского осмотра работников</w:t>
            </w:r>
          </w:p>
        </w:tc>
        <w:tc>
          <w:tcPr>
            <w:tcW w:type="dxa" w:w="1194"/>
            <w:tcBorders>
              <w:top w:color="000000" w:sz="4" w:val="single"/>
              <w:left w:color="000000" w:sz="4" w:val="single"/>
              <w:bottom w:color="000000" w:sz="4" w:val="single"/>
              <w:right w:color="000000" w:sz="4" w:val="single"/>
            </w:tcBorders>
            <w:shd w:fill="FFFFFF" w:val="clear"/>
            <w:vAlign w:val="center"/>
          </w:tcPr>
          <w:p w14:paraId="4C260000">
            <w:pPr>
              <w:widowControl w:val="1"/>
              <w:ind/>
              <w:contextualSpacing w:val="1"/>
              <w:jc w:val="center"/>
              <w:rPr>
                <w:sz w:val="22"/>
              </w:rPr>
            </w:pPr>
            <w:r>
              <w:rPr>
                <w:sz w:val="22"/>
              </w:rPr>
              <w:t>30978</w:t>
            </w:r>
          </w:p>
        </w:tc>
        <w:tc>
          <w:tcPr>
            <w:tcW w:type="dxa" w:w="1221"/>
            <w:tcBorders>
              <w:top w:color="000000" w:sz="4" w:val="single"/>
              <w:left w:color="000000" w:sz="4" w:val="single"/>
              <w:bottom w:color="000000" w:sz="4" w:val="single"/>
              <w:right w:color="000000" w:sz="4" w:val="single"/>
            </w:tcBorders>
            <w:shd w:fill="FFFFFF" w:val="clear"/>
            <w:vAlign w:val="center"/>
          </w:tcPr>
          <w:p w14:paraId="4D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E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F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0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51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5226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525"/>
        </w:trPr>
        <w:tc>
          <w:tcPr>
            <w:tcW w:type="dxa" w:w="528"/>
            <w:tcBorders>
              <w:top w:color="000000" w:sz="4" w:val="single"/>
              <w:left w:color="000000" w:sz="4" w:val="single"/>
              <w:bottom w:color="000000" w:sz="4" w:val="single"/>
              <w:right w:color="000000" w:sz="4" w:val="single"/>
            </w:tcBorders>
            <w:shd w:fill="FFFFFF" w:val="clear"/>
            <w:vAlign w:val="center"/>
          </w:tcPr>
          <w:p w14:paraId="53260000">
            <w:pPr>
              <w:widowControl w:val="1"/>
              <w:ind/>
              <w:contextualSpacing w:val="1"/>
              <w:rPr>
                <w:color w:val="000000"/>
                <w:sz w:val="22"/>
              </w:rPr>
            </w:pPr>
            <w:r>
              <w:rPr>
                <w:color w:val="000000"/>
                <w:sz w:val="22"/>
              </w:rPr>
              <w:t>228</w:t>
            </w:r>
          </w:p>
        </w:tc>
        <w:tc>
          <w:tcPr>
            <w:tcW w:type="dxa" w:w="1408"/>
            <w:tcBorders>
              <w:top w:color="000000" w:sz="4" w:val="single"/>
              <w:left w:color="000000" w:sz="4" w:val="single"/>
              <w:bottom w:color="000000" w:sz="4" w:val="single"/>
              <w:right w:color="000000" w:sz="4" w:val="single"/>
            </w:tcBorders>
            <w:shd w:fill="FFFFFF" w:val="clear"/>
            <w:vAlign w:val="center"/>
          </w:tcPr>
          <w:p w14:paraId="54260000">
            <w:pPr>
              <w:widowControl w:val="1"/>
              <w:ind/>
              <w:contextualSpacing w:val="1"/>
              <w:jc w:val="center"/>
              <w:rPr>
                <w:sz w:val="22"/>
              </w:rPr>
            </w:pPr>
            <w:r>
              <w:rPr>
                <w:sz w:val="22"/>
              </w:rPr>
              <w:t>КГБУЗ "Ачинская межрайонная больница"</w:t>
            </w:r>
          </w:p>
        </w:tc>
        <w:tc>
          <w:tcPr>
            <w:tcW w:type="dxa" w:w="1408"/>
            <w:tcBorders>
              <w:top w:color="000000" w:sz="4" w:val="single"/>
              <w:left w:color="000000" w:sz="4" w:val="single"/>
              <w:bottom w:color="000000" w:sz="4" w:val="single"/>
              <w:right w:color="000000" w:sz="4" w:val="single"/>
            </w:tcBorders>
            <w:shd w:fill="FFFFFF" w:val="clear"/>
            <w:vAlign w:val="center"/>
          </w:tcPr>
          <w:p w14:paraId="55260000">
            <w:pPr>
              <w:widowControl w:val="1"/>
              <w:ind/>
              <w:contextualSpacing w:val="1"/>
              <w:jc w:val="center"/>
              <w:rPr>
                <w:sz w:val="22"/>
              </w:rPr>
            </w:pPr>
            <w:r>
              <w:rPr>
                <w:sz w:val="22"/>
              </w:rPr>
              <w:t>договор № 84 от 02.07.2018</w:t>
            </w:r>
          </w:p>
        </w:tc>
        <w:tc>
          <w:tcPr>
            <w:tcW w:type="dxa" w:w="1274"/>
            <w:tcBorders>
              <w:top w:color="000000" w:sz="4" w:val="single"/>
              <w:left w:color="000000" w:sz="4" w:val="single"/>
              <w:bottom w:color="000000" w:sz="4" w:val="single"/>
              <w:right w:color="000000" w:sz="4" w:val="single"/>
            </w:tcBorders>
            <w:shd w:fill="FFFFFF" w:val="clear"/>
            <w:vAlign w:val="center"/>
          </w:tcPr>
          <w:p w14:paraId="56260000">
            <w:pPr>
              <w:widowControl w:val="1"/>
              <w:ind/>
              <w:contextualSpacing w:val="1"/>
              <w:jc w:val="center"/>
              <w:rPr>
                <w:sz w:val="22"/>
              </w:rPr>
            </w:pPr>
            <w:r>
              <w:rPr>
                <w:sz w:val="22"/>
              </w:rPr>
              <w:t>02.07.2018-31.08.2018</w:t>
            </w:r>
          </w:p>
        </w:tc>
        <w:tc>
          <w:tcPr>
            <w:tcW w:type="dxa" w:w="1556"/>
            <w:tcBorders>
              <w:top w:color="000000" w:sz="4" w:val="single"/>
              <w:left w:color="000000" w:sz="4" w:val="single"/>
              <w:bottom w:color="000000" w:sz="4" w:val="single"/>
              <w:right w:color="000000" w:sz="4" w:val="single"/>
            </w:tcBorders>
            <w:shd w:fill="FFFFFF" w:val="clear"/>
            <w:vAlign w:val="center"/>
          </w:tcPr>
          <w:p w14:paraId="57260000">
            <w:pPr>
              <w:widowControl w:val="1"/>
              <w:ind/>
              <w:contextualSpacing w:val="1"/>
              <w:jc w:val="center"/>
              <w:rPr>
                <w:sz w:val="22"/>
              </w:rPr>
            </w:pPr>
            <w:r>
              <w:rPr>
                <w:sz w:val="22"/>
              </w:rPr>
              <w:t>Оказание услуг по проведению периодического медицинского осмотра работников</w:t>
            </w:r>
          </w:p>
        </w:tc>
        <w:tc>
          <w:tcPr>
            <w:tcW w:type="dxa" w:w="1194"/>
            <w:tcBorders>
              <w:top w:color="000000" w:sz="4" w:val="single"/>
              <w:left w:color="000000" w:sz="4" w:val="single"/>
              <w:bottom w:color="000000" w:sz="4" w:val="single"/>
              <w:right w:color="000000" w:sz="4" w:val="single"/>
            </w:tcBorders>
            <w:shd w:fill="FFFFFF" w:val="clear"/>
            <w:vAlign w:val="center"/>
          </w:tcPr>
          <w:p w14:paraId="58260000">
            <w:pPr>
              <w:widowControl w:val="1"/>
              <w:ind/>
              <w:contextualSpacing w:val="1"/>
              <w:jc w:val="center"/>
              <w:rPr>
                <w:sz w:val="22"/>
              </w:rPr>
            </w:pPr>
            <w:r>
              <w:rPr>
                <w:sz w:val="22"/>
              </w:rPr>
              <w:t>25506</w:t>
            </w:r>
          </w:p>
        </w:tc>
        <w:tc>
          <w:tcPr>
            <w:tcW w:type="dxa" w:w="1221"/>
            <w:tcBorders>
              <w:top w:color="000000" w:sz="4" w:val="single"/>
              <w:left w:color="000000" w:sz="4" w:val="single"/>
              <w:bottom w:color="000000" w:sz="4" w:val="single"/>
              <w:right w:color="000000" w:sz="4" w:val="single"/>
            </w:tcBorders>
            <w:shd w:fill="FFFFFF" w:val="clear"/>
            <w:vAlign w:val="center"/>
          </w:tcPr>
          <w:p w14:paraId="59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A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B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C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5D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5E26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5F260000">
            <w:pPr>
              <w:widowControl w:val="1"/>
              <w:ind/>
              <w:contextualSpacing w:val="1"/>
              <w:rPr>
                <w:color w:val="000000"/>
                <w:sz w:val="22"/>
              </w:rPr>
            </w:pPr>
            <w:r>
              <w:rPr>
                <w:color w:val="000000"/>
                <w:sz w:val="22"/>
              </w:rPr>
              <w:t>229</w:t>
            </w:r>
          </w:p>
        </w:tc>
        <w:tc>
          <w:tcPr>
            <w:tcW w:type="dxa" w:w="1408"/>
            <w:tcBorders>
              <w:top w:color="000000" w:sz="4" w:val="single"/>
              <w:left w:color="000000" w:sz="4" w:val="single"/>
              <w:bottom w:color="000000" w:sz="4" w:val="single"/>
              <w:right w:color="000000" w:sz="4" w:val="single"/>
            </w:tcBorders>
            <w:shd w:fill="FFFFFF" w:val="clear"/>
            <w:vAlign w:val="center"/>
          </w:tcPr>
          <w:p w14:paraId="60260000">
            <w:pPr>
              <w:widowControl w:val="1"/>
              <w:ind/>
              <w:contextualSpacing w:val="1"/>
              <w:jc w:val="center"/>
              <w:rPr>
                <w:sz w:val="22"/>
              </w:rPr>
            </w:pPr>
            <w:r>
              <w:rPr>
                <w:sz w:val="22"/>
              </w:rPr>
              <w:t>ООО "Зауральская фабрика текстильной сумки"</w:t>
            </w:r>
          </w:p>
        </w:tc>
        <w:tc>
          <w:tcPr>
            <w:tcW w:type="dxa" w:w="1408"/>
            <w:tcBorders>
              <w:top w:color="000000" w:sz="4" w:val="single"/>
              <w:left w:color="000000" w:sz="4" w:val="single"/>
              <w:bottom w:color="000000" w:sz="4" w:val="single"/>
              <w:right w:color="000000" w:sz="4" w:val="single"/>
            </w:tcBorders>
            <w:shd w:fill="FFFFFF" w:val="clear"/>
            <w:vAlign w:val="center"/>
          </w:tcPr>
          <w:p w14:paraId="61260000">
            <w:pPr>
              <w:widowControl w:val="1"/>
              <w:ind/>
              <w:contextualSpacing w:val="1"/>
              <w:jc w:val="center"/>
              <w:rPr>
                <w:sz w:val="22"/>
              </w:rPr>
            </w:pPr>
            <w:r>
              <w:rPr>
                <w:sz w:val="22"/>
              </w:rPr>
              <w:t>договор № 70 от 02.07.2018</w:t>
            </w:r>
          </w:p>
        </w:tc>
        <w:tc>
          <w:tcPr>
            <w:tcW w:type="dxa" w:w="1274"/>
            <w:tcBorders>
              <w:top w:color="000000" w:sz="4" w:val="single"/>
              <w:left w:color="000000" w:sz="4" w:val="single"/>
              <w:bottom w:color="000000" w:sz="4" w:val="single"/>
              <w:right w:color="000000" w:sz="4" w:val="single"/>
            </w:tcBorders>
            <w:shd w:fill="FFFFFF" w:val="clear"/>
            <w:vAlign w:val="center"/>
          </w:tcPr>
          <w:p w14:paraId="62260000">
            <w:pPr>
              <w:widowControl w:val="1"/>
              <w:ind/>
              <w:contextualSpacing w:val="1"/>
              <w:jc w:val="center"/>
              <w:rPr>
                <w:sz w:val="22"/>
              </w:rPr>
            </w:pPr>
            <w:r>
              <w:rPr>
                <w:sz w:val="22"/>
              </w:rPr>
              <w:t>02.07.2018-30.09.2018</w:t>
            </w:r>
          </w:p>
        </w:tc>
        <w:tc>
          <w:tcPr>
            <w:tcW w:type="dxa" w:w="1556"/>
            <w:tcBorders>
              <w:top w:color="000000" w:sz="4" w:val="single"/>
              <w:left w:color="000000" w:sz="4" w:val="single"/>
              <w:bottom w:color="000000" w:sz="4" w:val="single"/>
              <w:right w:color="000000" w:sz="4" w:val="single"/>
            </w:tcBorders>
            <w:shd w:fill="FFFFFF" w:val="clear"/>
            <w:vAlign w:val="center"/>
          </w:tcPr>
          <w:p w14:paraId="63260000">
            <w:pPr>
              <w:widowControl w:val="1"/>
              <w:ind/>
              <w:contextualSpacing w:val="1"/>
              <w:jc w:val="center"/>
              <w:rPr>
                <w:color w:val="000000"/>
                <w:sz w:val="22"/>
              </w:rPr>
            </w:pPr>
            <w:r>
              <w:rPr>
                <w:color w:val="000000"/>
                <w:sz w:val="22"/>
              </w:rPr>
              <w:t>Поставка рабочих сумок</w:t>
            </w:r>
          </w:p>
        </w:tc>
        <w:tc>
          <w:tcPr>
            <w:tcW w:type="dxa" w:w="1194"/>
            <w:tcBorders>
              <w:top w:color="000000" w:sz="4" w:val="single"/>
              <w:left w:color="000000" w:sz="4" w:val="single"/>
              <w:bottom w:color="000000" w:sz="4" w:val="single"/>
              <w:right w:color="000000" w:sz="4" w:val="single"/>
            </w:tcBorders>
            <w:shd w:fill="FFFFFF" w:val="clear"/>
            <w:vAlign w:val="center"/>
          </w:tcPr>
          <w:p w14:paraId="64260000">
            <w:pPr>
              <w:widowControl w:val="1"/>
              <w:ind/>
              <w:contextualSpacing w:val="1"/>
              <w:jc w:val="center"/>
              <w:rPr>
                <w:sz w:val="22"/>
              </w:rPr>
            </w:pPr>
            <w:r>
              <w:rPr>
                <w:sz w:val="22"/>
              </w:rPr>
              <w:t>45000</w:t>
            </w:r>
          </w:p>
        </w:tc>
        <w:tc>
          <w:tcPr>
            <w:tcW w:type="dxa" w:w="1221"/>
            <w:tcBorders>
              <w:top w:color="000000" w:sz="4" w:val="single"/>
              <w:left w:color="000000" w:sz="4" w:val="single"/>
              <w:bottom w:color="000000" w:sz="4" w:val="single"/>
              <w:right w:color="000000" w:sz="4" w:val="single"/>
            </w:tcBorders>
            <w:shd w:fill="FFFFFF" w:val="clear"/>
            <w:vAlign w:val="center"/>
          </w:tcPr>
          <w:p w14:paraId="65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6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7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8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69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6A26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6B260000">
            <w:pPr>
              <w:widowControl w:val="1"/>
              <w:ind/>
              <w:contextualSpacing w:val="1"/>
              <w:rPr>
                <w:color w:val="000000"/>
                <w:sz w:val="22"/>
              </w:rPr>
            </w:pPr>
            <w:r>
              <w:rPr>
                <w:color w:val="000000"/>
                <w:sz w:val="22"/>
              </w:rPr>
              <w:t>230</w:t>
            </w:r>
          </w:p>
        </w:tc>
        <w:tc>
          <w:tcPr>
            <w:tcW w:type="dxa" w:w="1408"/>
            <w:tcBorders>
              <w:top w:color="000000" w:sz="4" w:val="single"/>
              <w:left w:color="000000" w:sz="4" w:val="single"/>
              <w:bottom w:color="000000" w:sz="4" w:val="single"/>
              <w:right w:color="000000" w:sz="4" w:val="single"/>
            </w:tcBorders>
            <w:shd w:fill="FFFFFF" w:val="clear"/>
            <w:vAlign w:val="center"/>
          </w:tcPr>
          <w:p w14:paraId="6C260000">
            <w:pPr>
              <w:widowControl w:val="1"/>
              <w:ind/>
              <w:contextualSpacing w:val="1"/>
              <w:jc w:val="center"/>
              <w:rPr>
                <w:sz w:val="22"/>
              </w:rPr>
            </w:pPr>
            <w:r>
              <w:rPr>
                <w:sz w:val="22"/>
              </w:rPr>
              <w:t>ООО "ИПО "Гарант"</w:t>
            </w:r>
          </w:p>
        </w:tc>
        <w:tc>
          <w:tcPr>
            <w:tcW w:type="dxa" w:w="1408"/>
            <w:tcBorders>
              <w:top w:color="000000" w:sz="4" w:val="single"/>
              <w:left w:color="000000" w:sz="4" w:val="single"/>
              <w:bottom w:color="000000" w:sz="4" w:val="single"/>
              <w:right w:color="000000" w:sz="4" w:val="single"/>
            </w:tcBorders>
            <w:shd w:fill="FFFFFF" w:val="clear"/>
            <w:vAlign w:val="center"/>
          </w:tcPr>
          <w:p w14:paraId="6D260000">
            <w:pPr>
              <w:widowControl w:val="1"/>
              <w:ind/>
              <w:contextualSpacing w:val="1"/>
              <w:jc w:val="center"/>
              <w:rPr>
                <w:sz w:val="22"/>
              </w:rPr>
            </w:pPr>
            <w:r>
              <w:rPr>
                <w:sz w:val="22"/>
              </w:rPr>
              <w:t>дополнительное соглашение № 2 к договору № КРС000093 от 27.04.2017г. От 31.07.2018</w:t>
            </w:r>
          </w:p>
        </w:tc>
        <w:tc>
          <w:tcPr>
            <w:tcW w:type="dxa" w:w="1274"/>
            <w:tcBorders>
              <w:top w:color="000000" w:sz="4" w:val="single"/>
              <w:left w:color="000000" w:sz="4" w:val="single"/>
              <w:bottom w:color="000000" w:sz="4" w:val="single"/>
              <w:right w:color="000000" w:sz="4" w:val="single"/>
            </w:tcBorders>
            <w:shd w:fill="FFFFFF" w:val="clear"/>
            <w:vAlign w:val="center"/>
          </w:tcPr>
          <w:p w14:paraId="6E260000">
            <w:pPr>
              <w:widowControl w:val="1"/>
              <w:ind/>
              <w:contextualSpacing w:val="1"/>
              <w:jc w:val="center"/>
              <w:rPr>
                <w:sz w:val="22"/>
              </w:rPr>
            </w:pPr>
            <w:r>
              <w:rPr>
                <w:sz w:val="22"/>
              </w:rPr>
              <w:t>01.05.2017-31.08.2018</w:t>
            </w:r>
          </w:p>
        </w:tc>
        <w:tc>
          <w:tcPr>
            <w:tcW w:type="dxa" w:w="1556"/>
            <w:tcBorders>
              <w:top w:color="000000" w:sz="4" w:val="single"/>
              <w:left w:color="000000" w:sz="4" w:val="single"/>
              <w:bottom w:color="000000" w:sz="4" w:val="single"/>
              <w:right w:color="000000" w:sz="4" w:val="single"/>
            </w:tcBorders>
            <w:shd w:fill="FFFFFF" w:val="clear"/>
            <w:vAlign w:val="center"/>
          </w:tcPr>
          <w:p w14:paraId="6F260000">
            <w:pPr>
              <w:widowControl w:val="1"/>
              <w:ind/>
              <w:contextualSpacing w:val="1"/>
              <w:jc w:val="center"/>
              <w:rPr>
                <w:sz w:val="22"/>
              </w:rPr>
            </w:pPr>
            <w:r>
              <w:rPr>
                <w:sz w:val="22"/>
              </w:rPr>
              <w:t>пролонгация договора до 31.08.2018г., увеличение предельной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70260000">
            <w:pPr>
              <w:widowControl w:val="1"/>
              <w:ind/>
              <w:contextualSpacing w:val="1"/>
              <w:jc w:val="center"/>
              <w:rPr>
                <w:sz w:val="22"/>
              </w:rPr>
            </w:pPr>
            <w:r>
              <w:rPr>
                <w:sz w:val="22"/>
              </w:rPr>
              <w:t>212000,00</w:t>
            </w:r>
          </w:p>
        </w:tc>
        <w:tc>
          <w:tcPr>
            <w:tcW w:type="dxa" w:w="1221"/>
            <w:tcBorders>
              <w:top w:color="000000" w:sz="4" w:val="single"/>
              <w:left w:color="000000" w:sz="4" w:val="single"/>
              <w:bottom w:color="000000" w:sz="4" w:val="single"/>
              <w:right w:color="000000" w:sz="4" w:val="single"/>
            </w:tcBorders>
            <w:shd w:fill="FFFFFF" w:val="clear"/>
            <w:vAlign w:val="center"/>
          </w:tcPr>
          <w:p w14:paraId="71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2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3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4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75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626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77260000">
            <w:pPr>
              <w:widowControl w:val="1"/>
              <w:ind/>
              <w:contextualSpacing w:val="1"/>
              <w:rPr>
                <w:color w:val="000000"/>
                <w:sz w:val="22"/>
              </w:rPr>
            </w:pPr>
            <w:r>
              <w:rPr>
                <w:color w:val="000000"/>
                <w:sz w:val="22"/>
              </w:rPr>
              <w:t>231</w:t>
            </w:r>
          </w:p>
        </w:tc>
        <w:tc>
          <w:tcPr>
            <w:tcW w:type="dxa" w:w="1408"/>
            <w:tcBorders>
              <w:top w:color="000000" w:sz="4" w:val="single"/>
              <w:left w:color="000000" w:sz="4" w:val="single"/>
              <w:bottom w:color="000000" w:sz="4" w:val="single"/>
              <w:right w:color="000000" w:sz="4" w:val="single"/>
            </w:tcBorders>
            <w:shd w:fill="FFFFFF" w:val="clear"/>
            <w:vAlign w:val="center"/>
          </w:tcPr>
          <w:p w14:paraId="78260000">
            <w:pPr>
              <w:widowControl w:val="1"/>
              <w:ind/>
              <w:contextualSpacing w:val="1"/>
              <w:jc w:val="center"/>
              <w:rPr>
                <w:sz w:val="22"/>
              </w:rPr>
            </w:pPr>
            <w:r>
              <w:rPr>
                <w:sz w:val="22"/>
              </w:rPr>
              <w:t>ООО "ИПО "Гарант"</w:t>
            </w:r>
          </w:p>
        </w:tc>
        <w:tc>
          <w:tcPr>
            <w:tcW w:type="dxa" w:w="1408"/>
            <w:tcBorders>
              <w:top w:color="000000" w:sz="4" w:val="single"/>
              <w:left w:color="000000" w:sz="4" w:val="single"/>
              <w:bottom w:color="000000" w:sz="4" w:val="single"/>
              <w:right w:color="000000" w:sz="4" w:val="single"/>
            </w:tcBorders>
            <w:shd w:fill="FFFFFF" w:val="clear"/>
            <w:vAlign w:val="center"/>
          </w:tcPr>
          <w:p w14:paraId="79260000">
            <w:pPr>
              <w:widowControl w:val="1"/>
              <w:ind/>
              <w:contextualSpacing w:val="1"/>
              <w:jc w:val="center"/>
              <w:rPr>
                <w:sz w:val="22"/>
              </w:rPr>
            </w:pPr>
            <w:r>
              <w:rPr>
                <w:sz w:val="22"/>
              </w:rPr>
              <w:t>договор № 104 от 01.10.2018</w:t>
            </w:r>
          </w:p>
        </w:tc>
        <w:tc>
          <w:tcPr>
            <w:tcW w:type="dxa" w:w="1274"/>
            <w:tcBorders>
              <w:top w:color="000000" w:sz="4" w:val="single"/>
              <w:left w:color="000000" w:sz="4" w:val="single"/>
              <w:bottom w:color="000000" w:sz="4" w:val="single"/>
              <w:right w:color="000000" w:sz="4" w:val="single"/>
            </w:tcBorders>
            <w:shd w:fill="FFFFFF" w:val="clear"/>
            <w:vAlign w:val="center"/>
          </w:tcPr>
          <w:p w14:paraId="7A260000">
            <w:pPr>
              <w:widowControl w:val="1"/>
              <w:ind/>
              <w:contextualSpacing w:val="1"/>
              <w:jc w:val="center"/>
              <w:rPr>
                <w:sz w:val="22"/>
              </w:rPr>
            </w:pPr>
            <w:r>
              <w:rPr>
                <w:sz w:val="22"/>
              </w:rPr>
              <w:t>01.10.2018-30.09.2019</w:t>
            </w:r>
          </w:p>
        </w:tc>
        <w:tc>
          <w:tcPr>
            <w:tcW w:type="dxa" w:w="1556"/>
            <w:tcBorders>
              <w:top w:color="000000" w:sz="4" w:val="single"/>
              <w:left w:color="000000" w:sz="4" w:val="single"/>
              <w:bottom w:color="000000" w:sz="4" w:val="single"/>
              <w:right w:color="000000" w:sz="4" w:val="single"/>
            </w:tcBorders>
            <w:shd w:fill="FFFFFF" w:val="clear"/>
            <w:vAlign w:val="center"/>
          </w:tcPr>
          <w:p w14:paraId="7B260000">
            <w:pPr>
              <w:widowControl w:val="1"/>
              <w:ind/>
              <w:contextualSpacing w:val="1"/>
              <w:jc w:val="center"/>
              <w:rPr>
                <w:sz w:val="22"/>
              </w:rPr>
            </w:pPr>
            <w:r>
              <w:rPr>
                <w:sz w:val="22"/>
              </w:rPr>
              <w:t>оказание услуг по предоставлению информации о состоянии законодательства РФ</w:t>
            </w:r>
          </w:p>
        </w:tc>
        <w:tc>
          <w:tcPr>
            <w:tcW w:type="dxa" w:w="1194"/>
            <w:tcBorders>
              <w:top w:color="000000" w:sz="4" w:val="single"/>
              <w:left w:color="000000" w:sz="4" w:val="single"/>
              <w:bottom w:color="000000" w:sz="4" w:val="single"/>
              <w:right w:color="000000" w:sz="4" w:val="single"/>
            </w:tcBorders>
            <w:shd w:fill="FFFFFF" w:val="clear"/>
            <w:vAlign w:val="center"/>
          </w:tcPr>
          <w:p w14:paraId="7C260000">
            <w:pPr>
              <w:widowControl w:val="1"/>
              <w:ind/>
              <w:contextualSpacing w:val="1"/>
              <w:jc w:val="center"/>
              <w:rPr>
                <w:sz w:val="22"/>
              </w:rPr>
            </w:pPr>
            <w:r>
              <w:rPr>
                <w:sz w:val="22"/>
              </w:rPr>
              <w:t>170000,24</w:t>
            </w:r>
          </w:p>
        </w:tc>
        <w:tc>
          <w:tcPr>
            <w:tcW w:type="dxa" w:w="1221"/>
            <w:tcBorders>
              <w:top w:color="000000" w:sz="4" w:val="single"/>
              <w:left w:color="000000" w:sz="4" w:val="single"/>
              <w:bottom w:color="000000" w:sz="4" w:val="single"/>
              <w:right w:color="000000" w:sz="4" w:val="single"/>
            </w:tcBorders>
            <w:shd w:fill="FFFFFF" w:val="clear"/>
            <w:vAlign w:val="center"/>
          </w:tcPr>
          <w:p w14:paraId="7D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E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F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026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81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82260000">
            <w:pPr>
              <w:widowControl w:val="1"/>
              <w:ind/>
              <w:contextualSpacing w:val="1"/>
              <w:jc w:val="center"/>
              <w:rPr>
                <w:sz w:val="22"/>
              </w:rPr>
            </w:pPr>
            <w:r>
              <w:rPr>
                <w:sz w:val="22"/>
              </w:rPr>
              <w:t>Протокол № 10 от 20.09.2018</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83260000">
            <w:pPr>
              <w:widowControl w:val="1"/>
              <w:ind/>
              <w:contextualSpacing w:val="1"/>
              <w:rPr>
                <w:color w:val="000000"/>
                <w:sz w:val="22"/>
              </w:rPr>
            </w:pPr>
            <w:r>
              <w:rPr>
                <w:color w:val="000000"/>
                <w:sz w:val="22"/>
              </w:rPr>
              <w:t>232</w:t>
            </w:r>
          </w:p>
        </w:tc>
        <w:tc>
          <w:tcPr>
            <w:tcW w:type="dxa" w:w="1408"/>
            <w:tcBorders>
              <w:top w:color="000000" w:sz="4" w:val="single"/>
              <w:left w:color="000000" w:sz="4" w:val="single"/>
              <w:bottom w:color="000000" w:sz="4" w:val="single"/>
              <w:right w:color="000000" w:sz="4" w:val="single"/>
            </w:tcBorders>
            <w:shd w:fill="FFFFFF" w:val="clear"/>
            <w:vAlign w:val="center"/>
          </w:tcPr>
          <w:p w14:paraId="84260000">
            <w:pPr>
              <w:widowControl w:val="1"/>
              <w:ind/>
              <w:contextualSpacing w:val="1"/>
              <w:jc w:val="center"/>
              <w:rPr>
                <w:sz w:val="22"/>
              </w:rPr>
            </w:pPr>
            <w:r>
              <w:rPr>
                <w:sz w:val="22"/>
              </w:rPr>
              <w:t>ООО "ИПО "Гарант"</w:t>
            </w:r>
          </w:p>
        </w:tc>
        <w:tc>
          <w:tcPr>
            <w:tcW w:type="dxa" w:w="1408"/>
            <w:tcBorders>
              <w:top w:color="000000" w:sz="4" w:val="single"/>
              <w:left w:color="000000" w:sz="4" w:val="single"/>
              <w:bottom w:color="000000" w:sz="4" w:val="single"/>
              <w:right w:color="000000" w:sz="4" w:val="single"/>
            </w:tcBorders>
            <w:shd w:fill="FFFFFF" w:val="clear"/>
            <w:vAlign w:val="center"/>
          </w:tcPr>
          <w:p w14:paraId="85260000">
            <w:pPr>
              <w:widowControl w:val="1"/>
              <w:ind/>
              <w:contextualSpacing w:val="1"/>
              <w:jc w:val="center"/>
              <w:rPr>
                <w:sz w:val="22"/>
              </w:rPr>
            </w:pPr>
            <w:r>
              <w:rPr>
                <w:sz w:val="22"/>
              </w:rPr>
              <w:t>дополнительное соглашение № 1 к договору № 104 от 01.10.2018 от 14.12.2018</w:t>
            </w:r>
          </w:p>
        </w:tc>
        <w:tc>
          <w:tcPr>
            <w:tcW w:type="dxa" w:w="1274"/>
            <w:tcBorders>
              <w:top w:color="000000" w:sz="4" w:val="single"/>
              <w:left w:color="000000" w:sz="4" w:val="single"/>
              <w:bottom w:color="000000" w:sz="4" w:val="single"/>
              <w:right w:color="000000" w:sz="4" w:val="single"/>
            </w:tcBorders>
            <w:shd w:fill="FFFFFF" w:val="clear"/>
            <w:vAlign w:val="center"/>
          </w:tcPr>
          <w:p w14:paraId="86260000">
            <w:pPr>
              <w:widowControl w:val="1"/>
              <w:ind/>
              <w:contextualSpacing w:val="1"/>
              <w:jc w:val="center"/>
              <w:rPr>
                <w:sz w:val="22"/>
              </w:rPr>
            </w:pPr>
            <w:r>
              <w:rPr>
                <w:sz w:val="22"/>
              </w:rPr>
              <w:t>01.10.2018-30.09.2019</w:t>
            </w:r>
          </w:p>
        </w:tc>
        <w:tc>
          <w:tcPr>
            <w:tcW w:type="dxa" w:w="1556"/>
            <w:tcBorders>
              <w:top w:color="000000" w:sz="4" w:val="single"/>
              <w:left w:color="000000" w:sz="4" w:val="single"/>
              <w:bottom w:color="000000" w:sz="4" w:val="single"/>
              <w:right w:color="000000" w:sz="4" w:val="single"/>
            </w:tcBorders>
            <w:shd w:fill="FFFFFF" w:val="clear"/>
            <w:vAlign w:val="center"/>
          </w:tcPr>
          <w:p w14:paraId="87260000">
            <w:pPr>
              <w:widowControl w:val="1"/>
              <w:ind/>
              <w:contextualSpacing w:val="1"/>
              <w:jc w:val="center"/>
              <w:rPr>
                <w:sz w:val="22"/>
              </w:rPr>
            </w:pPr>
            <w:r>
              <w:rPr>
                <w:sz w:val="22"/>
              </w:rPr>
              <w:t>Изменение предельной цены договора в связи с переходомИсполнителя на УСН с 01.01.2019</w:t>
            </w:r>
          </w:p>
        </w:tc>
        <w:tc>
          <w:tcPr>
            <w:tcW w:type="dxa" w:w="1194"/>
            <w:tcBorders>
              <w:top w:color="000000" w:sz="4" w:val="single"/>
              <w:left w:color="000000" w:sz="4" w:val="single"/>
              <w:bottom w:color="000000" w:sz="4" w:val="single"/>
              <w:right w:color="000000" w:sz="4" w:val="single"/>
            </w:tcBorders>
            <w:shd w:fill="FFFFFF" w:val="clear"/>
            <w:vAlign w:val="center"/>
          </w:tcPr>
          <w:p w14:paraId="88260000">
            <w:pPr>
              <w:widowControl w:val="1"/>
              <w:ind/>
              <w:contextualSpacing w:val="1"/>
              <w:jc w:val="center"/>
              <w:rPr>
                <w:sz w:val="22"/>
              </w:rPr>
            </w:pPr>
            <w:r>
              <w:rPr>
                <w:sz w:val="22"/>
              </w:rPr>
              <w:t>150550,98</w:t>
            </w:r>
          </w:p>
        </w:tc>
        <w:tc>
          <w:tcPr>
            <w:tcW w:type="dxa" w:w="1221"/>
            <w:tcBorders>
              <w:top w:color="000000" w:sz="4" w:val="single"/>
              <w:left w:color="000000" w:sz="4" w:val="single"/>
              <w:bottom w:color="000000" w:sz="4" w:val="single"/>
              <w:right w:color="000000" w:sz="4" w:val="single"/>
            </w:tcBorders>
            <w:shd w:fill="FFFFFF" w:val="clear"/>
            <w:vAlign w:val="center"/>
          </w:tcPr>
          <w:p w14:paraId="89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A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B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C26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8D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8E260000">
            <w:pPr>
              <w:widowControl w:val="1"/>
              <w:ind/>
              <w:contextualSpacing w:val="1"/>
              <w:jc w:val="center"/>
              <w:rPr>
                <w:sz w:val="22"/>
              </w:rPr>
            </w:pPr>
            <w:r>
              <w:rPr>
                <w:sz w:val="22"/>
              </w:rPr>
              <w:t>Протокол КК № 14 от 14.12.2018</w:t>
            </w:r>
          </w:p>
        </w:tc>
      </w:tr>
      <w:tr>
        <w:trPr>
          <w:trHeight w:hRule="atLeast" w:val="631"/>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8F260000">
            <w:pPr>
              <w:widowControl w:val="1"/>
              <w:ind/>
              <w:contextualSpacing w:val="1"/>
              <w:jc w:val="center"/>
              <w:rPr>
                <w:color w:val="000000"/>
                <w:sz w:val="22"/>
              </w:rPr>
            </w:pPr>
            <w:r>
              <w:rPr>
                <w:color w:val="000000"/>
                <w:sz w:val="22"/>
              </w:rPr>
              <w:t>итого по контрагенту ООО "ИПО "Гарант" 150550,98 руб.</w:t>
            </w:r>
          </w:p>
          <w:p w14:paraId="9026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1260000">
            <w:pPr>
              <w:widowControl w:val="1"/>
              <w:ind/>
              <w:contextualSpacing w:val="1"/>
              <w:rPr>
                <w:color w:val="000000"/>
                <w:sz w:val="22"/>
              </w:rPr>
            </w:pPr>
            <w:r>
              <w:rPr>
                <w:color w:val="000000"/>
                <w:sz w:val="22"/>
              </w:rPr>
              <w:t>233</w:t>
            </w:r>
          </w:p>
        </w:tc>
        <w:tc>
          <w:tcPr>
            <w:tcW w:type="dxa" w:w="1408"/>
            <w:tcBorders>
              <w:top w:color="000000" w:sz="4" w:val="single"/>
              <w:left w:color="000000" w:sz="4" w:val="single"/>
              <w:bottom w:color="000000" w:sz="4" w:val="single"/>
              <w:right w:color="000000" w:sz="4" w:val="single"/>
            </w:tcBorders>
            <w:shd w:fill="FFFFFF" w:val="clear"/>
            <w:vAlign w:val="center"/>
          </w:tcPr>
          <w:p w14:paraId="92260000">
            <w:pPr>
              <w:widowControl w:val="1"/>
              <w:ind/>
              <w:contextualSpacing w:val="1"/>
              <w:jc w:val="center"/>
              <w:rPr>
                <w:sz w:val="22"/>
              </w:rPr>
            </w:pPr>
            <w:r>
              <w:rPr>
                <w:sz w:val="22"/>
              </w:rPr>
              <w:t>ООО "Абсолют"</w:t>
            </w:r>
          </w:p>
        </w:tc>
        <w:tc>
          <w:tcPr>
            <w:tcW w:type="dxa" w:w="1408"/>
            <w:tcBorders>
              <w:top w:color="000000" w:sz="4" w:val="single"/>
              <w:left w:color="000000" w:sz="4" w:val="single"/>
              <w:bottom w:color="000000" w:sz="4" w:val="single"/>
              <w:right w:color="000000" w:sz="4" w:val="single"/>
            </w:tcBorders>
            <w:shd w:fill="FFFFFF" w:val="clear"/>
            <w:vAlign w:val="center"/>
          </w:tcPr>
          <w:p w14:paraId="93260000">
            <w:pPr>
              <w:widowControl w:val="1"/>
              <w:ind/>
              <w:contextualSpacing w:val="1"/>
              <w:jc w:val="center"/>
              <w:rPr>
                <w:sz w:val="22"/>
              </w:rPr>
            </w:pPr>
            <w:r>
              <w:rPr>
                <w:sz w:val="22"/>
              </w:rPr>
              <w:t>договор № 95 от 05.09.2018г.</w:t>
            </w:r>
          </w:p>
        </w:tc>
        <w:tc>
          <w:tcPr>
            <w:tcW w:type="dxa" w:w="1274"/>
            <w:tcBorders>
              <w:top w:color="000000" w:sz="4" w:val="single"/>
              <w:left w:color="000000" w:sz="4" w:val="single"/>
              <w:bottom w:color="000000" w:sz="4" w:val="single"/>
              <w:right w:color="000000" w:sz="4" w:val="single"/>
            </w:tcBorders>
            <w:shd w:fill="FFFFFF" w:val="clear"/>
            <w:vAlign w:val="center"/>
          </w:tcPr>
          <w:p w14:paraId="94260000">
            <w:pPr>
              <w:widowControl w:val="1"/>
              <w:ind/>
              <w:contextualSpacing w:val="1"/>
              <w:jc w:val="center"/>
              <w:rPr>
                <w:sz w:val="22"/>
              </w:rPr>
            </w:pPr>
            <w:r>
              <w:rPr>
                <w:sz w:val="22"/>
              </w:rPr>
              <w:t>05.09.2018-28.02.2019</w:t>
            </w:r>
          </w:p>
        </w:tc>
        <w:tc>
          <w:tcPr>
            <w:tcW w:type="dxa" w:w="1556"/>
            <w:tcBorders>
              <w:top w:color="000000" w:sz="4" w:val="single"/>
              <w:left w:color="000000" w:sz="4" w:val="single"/>
              <w:bottom w:color="000000" w:sz="4" w:val="single"/>
              <w:right w:color="000000" w:sz="4" w:val="single"/>
            </w:tcBorders>
            <w:shd w:fill="FFFFFF" w:val="clear"/>
            <w:vAlign w:val="center"/>
          </w:tcPr>
          <w:p w14:paraId="95260000">
            <w:pPr>
              <w:widowControl w:val="1"/>
              <w:ind/>
              <w:contextualSpacing w:val="1"/>
              <w:jc w:val="center"/>
              <w:rPr>
                <w:sz w:val="22"/>
              </w:rPr>
            </w:pPr>
            <w:r>
              <w:rPr>
                <w:sz w:val="22"/>
              </w:rPr>
              <w:t>поставка офисной мебели</w:t>
            </w:r>
          </w:p>
        </w:tc>
        <w:tc>
          <w:tcPr>
            <w:tcW w:type="dxa" w:w="1194"/>
            <w:tcBorders>
              <w:top w:color="000000" w:sz="4" w:val="single"/>
              <w:left w:color="000000" w:sz="4" w:val="single"/>
              <w:bottom w:color="000000" w:sz="4" w:val="single"/>
              <w:right w:color="000000" w:sz="4" w:val="single"/>
            </w:tcBorders>
            <w:shd w:fill="FFFFFF" w:val="clear"/>
            <w:vAlign w:val="center"/>
          </w:tcPr>
          <w:p w14:paraId="96260000">
            <w:pPr>
              <w:widowControl w:val="1"/>
              <w:ind/>
              <w:contextualSpacing w:val="1"/>
              <w:jc w:val="center"/>
              <w:rPr>
                <w:sz w:val="22"/>
              </w:rPr>
            </w:pPr>
            <w:r>
              <w:rPr>
                <w:sz w:val="22"/>
              </w:rPr>
              <w:t>297024,6</w:t>
            </w:r>
          </w:p>
        </w:tc>
        <w:tc>
          <w:tcPr>
            <w:tcW w:type="dxa" w:w="1221"/>
            <w:tcBorders>
              <w:top w:color="000000" w:sz="4" w:val="single"/>
              <w:left w:color="000000" w:sz="4" w:val="single"/>
              <w:bottom w:color="000000" w:sz="4" w:val="single"/>
              <w:right w:color="000000" w:sz="4" w:val="single"/>
            </w:tcBorders>
            <w:shd w:fill="FFFFFF" w:val="clear"/>
            <w:vAlign w:val="center"/>
          </w:tcPr>
          <w:p w14:paraId="97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8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9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A26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9B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C26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D260000">
            <w:pPr>
              <w:widowControl w:val="1"/>
              <w:ind/>
              <w:contextualSpacing w:val="1"/>
              <w:rPr>
                <w:color w:val="000000"/>
                <w:sz w:val="22"/>
              </w:rPr>
            </w:pPr>
            <w:r>
              <w:rPr>
                <w:color w:val="000000"/>
                <w:sz w:val="22"/>
              </w:rPr>
              <w:t>234</w:t>
            </w:r>
          </w:p>
        </w:tc>
        <w:tc>
          <w:tcPr>
            <w:tcW w:type="dxa" w:w="1408"/>
            <w:tcBorders>
              <w:top w:color="000000" w:sz="4" w:val="single"/>
              <w:left w:color="000000" w:sz="4" w:val="single"/>
              <w:bottom w:color="000000" w:sz="4" w:val="single"/>
              <w:right w:color="000000" w:sz="4" w:val="single"/>
            </w:tcBorders>
            <w:shd w:fill="FFFFFF" w:val="clear"/>
            <w:vAlign w:val="center"/>
          </w:tcPr>
          <w:p w14:paraId="9E260000">
            <w:pPr>
              <w:widowControl w:val="1"/>
              <w:ind/>
              <w:contextualSpacing w:val="1"/>
              <w:jc w:val="center"/>
              <w:rPr>
                <w:sz w:val="22"/>
              </w:rPr>
            </w:pPr>
            <w:r>
              <w:rPr>
                <w:sz w:val="22"/>
              </w:rPr>
              <w:t>ООО "КИТ"</w:t>
            </w:r>
          </w:p>
        </w:tc>
        <w:tc>
          <w:tcPr>
            <w:tcW w:type="dxa" w:w="1408"/>
            <w:tcBorders>
              <w:top w:color="000000" w:sz="4" w:val="single"/>
              <w:left w:color="000000" w:sz="4" w:val="single"/>
              <w:bottom w:color="000000" w:sz="4" w:val="single"/>
              <w:right w:color="000000" w:sz="4" w:val="single"/>
            </w:tcBorders>
            <w:shd w:fill="FFFFFF" w:val="clear"/>
            <w:vAlign w:val="center"/>
          </w:tcPr>
          <w:p w14:paraId="9F260000">
            <w:pPr>
              <w:widowControl w:val="1"/>
              <w:ind/>
              <w:contextualSpacing w:val="1"/>
              <w:jc w:val="center"/>
              <w:rPr>
                <w:sz w:val="22"/>
              </w:rPr>
            </w:pPr>
            <w:r>
              <w:rPr>
                <w:sz w:val="22"/>
              </w:rPr>
              <w:t>договор № 86 от 02.07.2018</w:t>
            </w:r>
          </w:p>
        </w:tc>
        <w:tc>
          <w:tcPr>
            <w:tcW w:type="dxa" w:w="1274"/>
            <w:tcBorders>
              <w:top w:color="000000" w:sz="4" w:val="single"/>
              <w:left w:color="000000" w:sz="4" w:val="single"/>
              <w:bottom w:color="000000" w:sz="4" w:val="single"/>
              <w:right w:color="000000" w:sz="4" w:val="single"/>
            </w:tcBorders>
            <w:shd w:fill="FFFFFF" w:val="clear"/>
            <w:vAlign w:val="center"/>
          </w:tcPr>
          <w:p w14:paraId="A0260000">
            <w:pPr>
              <w:widowControl w:val="1"/>
              <w:ind/>
              <w:contextualSpacing w:val="1"/>
              <w:jc w:val="center"/>
              <w:rPr>
                <w:sz w:val="22"/>
              </w:rPr>
            </w:pPr>
            <w:r>
              <w:rPr>
                <w:sz w:val="22"/>
              </w:rPr>
              <w:t>02.07.2018-31.07.2018</w:t>
            </w:r>
          </w:p>
        </w:tc>
        <w:tc>
          <w:tcPr>
            <w:tcW w:type="dxa" w:w="1556"/>
            <w:tcBorders>
              <w:top w:color="000000" w:sz="4" w:val="single"/>
              <w:left w:color="000000" w:sz="4" w:val="single"/>
              <w:bottom w:color="000000" w:sz="4" w:val="single"/>
              <w:right w:color="000000" w:sz="4" w:val="single"/>
            </w:tcBorders>
            <w:shd w:fill="FFFFFF" w:val="clear"/>
            <w:vAlign w:val="center"/>
          </w:tcPr>
          <w:p w14:paraId="A1260000">
            <w:pPr>
              <w:widowControl w:val="1"/>
              <w:ind/>
              <w:contextualSpacing w:val="1"/>
              <w:jc w:val="center"/>
              <w:rPr>
                <w:sz w:val="22"/>
              </w:rPr>
            </w:pPr>
            <w:r>
              <w:rPr>
                <w:sz w:val="22"/>
              </w:rPr>
              <w:t>поставка фискальных накопителей</w:t>
            </w:r>
          </w:p>
        </w:tc>
        <w:tc>
          <w:tcPr>
            <w:tcW w:type="dxa" w:w="1194"/>
            <w:tcBorders>
              <w:top w:color="000000" w:sz="4" w:val="single"/>
              <w:left w:color="000000" w:sz="4" w:val="single"/>
              <w:bottom w:color="000000" w:sz="4" w:val="single"/>
              <w:right w:color="000000" w:sz="4" w:val="single"/>
            </w:tcBorders>
            <w:shd w:fill="FFFFFF" w:val="clear"/>
            <w:vAlign w:val="center"/>
          </w:tcPr>
          <w:p w14:paraId="A2260000">
            <w:pPr>
              <w:widowControl w:val="1"/>
              <w:ind/>
              <w:contextualSpacing w:val="1"/>
              <w:jc w:val="center"/>
              <w:rPr>
                <w:sz w:val="22"/>
              </w:rPr>
            </w:pPr>
            <w:r>
              <w:rPr>
                <w:sz w:val="22"/>
              </w:rPr>
              <w:t>1254400</w:t>
            </w:r>
          </w:p>
        </w:tc>
        <w:tc>
          <w:tcPr>
            <w:tcW w:type="dxa" w:w="1221"/>
            <w:tcBorders>
              <w:top w:color="000000" w:sz="4" w:val="single"/>
              <w:left w:color="000000" w:sz="4" w:val="single"/>
              <w:bottom w:color="000000" w:sz="4" w:val="single"/>
              <w:right w:color="000000" w:sz="4" w:val="single"/>
            </w:tcBorders>
            <w:shd w:fill="FFFFFF" w:val="clear"/>
            <w:vAlign w:val="center"/>
          </w:tcPr>
          <w:p w14:paraId="A3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4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5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6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A7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8260000">
            <w:pPr>
              <w:widowControl w:val="1"/>
              <w:ind/>
              <w:contextualSpacing w:val="1"/>
              <w:jc w:val="center"/>
              <w:rPr>
                <w:sz w:val="22"/>
              </w:rPr>
            </w:pPr>
            <w:r>
              <w:rPr>
                <w:sz w:val="22"/>
              </w:rPr>
              <w:t>Размещение заказа у единственного поставщика, согласно пп. 1 п. 81  положения утвержденного СД 30.04.2015г. Протокол № 13</w:t>
            </w:r>
          </w:p>
        </w:tc>
      </w:tr>
      <w:tr>
        <w:trPr>
          <w:trHeight w:hRule="atLeast" w:val="1125"/>
        </w:trPr>
        <w:tc>
          <w:tcPr>
            <w:tcW w:type="dxa" w:w="528"/>
            <w:tcBorders>
              <w:top w:color="000000" w:sz="4" w:val="single"/>
              <w:left w:color="000000" w:sz="4" w:val="single"/>
              <w:bottom w:color="000000" w:sz="4" w:val="single"/>
              <w:right w:color="000000" w:sz="4" w:val="single"/>
            </w:tcBorders>
            <w:shd w:fill="FFFFFF" w:val="clear"/>
            <w:vAlign w:val="center"/>
          </w:tcPr>
          <w:p w14:paraId="A9260000">
            <w:pPr>
              <w:widowControl w:val="1"/>
              <w:ind/>
              <w:contextualSpacing w:val="1"/>
              <w:rPr>
                <w:color w:val="000000"/>
                <w:sz w:val="22"/>
              </w:rPr>
            </w:pPr>
            <w:r>
              <w:rPr>
                <w:color w:val="000000"/>
                <w:sz w:val="22"/>
              </w:rPr>
              <w:t>235</w:t>
            </w:r>
          </w:p>
        </w:tc>
        <w:tc>
          <w:tcPr>
            <w:tcW w:type="dxa" w:w="1408"/>
            <w:tcBorders>
              <w:top w:color="000000" w:sz="4" w:val="single"/>
              <w:left w:color="000000" w:sz="4" w:val="single"/>
              <w:bottom w:color="000000" w:sz="4" w:val="single"/>
              <w:right w:color="000000" w:sz="4" w:val="single"/>
            </w:tcBorders>
            <w:shd w:fill="FFFFFF" w:val="clear"/>
            <w:vAlign w:val="center"/>
          </w:tcPr>
          <w:p w14:paraId="AA260000">
            <w:pPr>
              <w:widowControl w:val="1"/>
              <w:ind/>
              <w:contextualSpacing w:val="1"/>
              <w:jc w:val="center"/>
              <w:rPr>
                <w:sz w:val="22"/>
              </w:rPr>
            </w:pPr>
            <w:r>
              <w:rPr>
                <w:sz w:val="22"/>
              </w:rPr>
              <w:t>ООО Аудиторская компания "ПОИСК"</w:t>
            </w:r>
          </w:p>
        </w:tc>
        <w:tc>
          <w:tcPr>
            <w:tcW w:type="dxa" w:w="1408"/>
            <w:tcBorders>
              <w:top w:color="000000" w:sz="4" w:val="single"/>
              <w:left w:color="000000" w:sz="4" w:val="single"/>
              <w:bottom w:color="000000" w:sz="4" w:val="single"/>
              <w:right w:color="000000" w:sz="4" w:val="single"/>
            </w:tcBorders>
            <w:shd w:fill="FFFFFF" w:val="clear"/>
            <w:vAlign w:val="center"/>
          </w:tcPr>
          <w:p w14:paraId="AB260000">
            <w:pPr>
              <w:widowControl w:val="1"/>
              <w:ind/>
              <w:contextualSpacing w:val="1"/>
              <w:jc w:val="center"/>
              <w:rPr>
                <w:sz w:val="22"/>
              </w:rPr>
            </w:pPr>
            <w:r>
              <w:rPr>
                <w:sz w:val="22"/>
              </w:rPr>
              <w:t>договор № 11-18 от 25.07.2018</w:t>
            </w:r>
          </w:p>
        </w:tc>
        <w:tc>
          <w:tcPr>
            <w:tcW w:type="dxa" w:w="1274"/>
            <w:tcBorders>
              <w:top w:color="000000" w:sz="4" w:val="single"/>
              <w:left w:color="000000" w:sz="4" w:val="single"/>
              <w:bottom w:color="000000" w:sz="4" w:val="single"/>
              <w:right w:color="000000" w:sz="4" w:val="single"/>
            </w:tcBorders>
            <w:shd w:fill="FFFFFF" w:val="clear"/>
            <w:vAlign w:val="center"/>
          </w:tcPr>
          <w:p w14:paraId="AC260000">
            <w:pPr>
              <w:widowControl w:val="1"/>
              <w:ind/>
              <w:contextualSpacing w:val="1"/>
              <w:jc w:val="center"/>
              <w:rPr>
                <w:sz w:val="22"/>
              </w:rPr>
            </w:pPr>
            <w:r>
              <w:rPr>
                <w:sz w:val="22"/>
              </w:rPr>
              <w:t>28.04.2018-28.02.2019</w:t>
            </w:r>
          </w:p>
        </w:tc>
        <w:tc>
          <w:tcPr>
            <w:tcW w:type="dxa" w:w="1556"/>
            <w:tcBorders>
              <w:top w:color="000000" w:sz="4" w:val="single"/>
              <w:left w:color="000000" w:sz="4" w:val="single"/>
              <w:bottom w:color="000000" w:sz="4" w:val="single"/>
              <w:right w:color="000000" w:sz="4" w:val="single"/>
            </w:tcBorders>
            <w:shd w:fill="FFFFFF" w:val="clear"/>
            <w:vAlign w:val="center"/>
          </w:tcPr>
          <w:p w14:paraId="AD260000">
            <w:pPr>
              <w:widowControl w:val="1"/>
              <w:ind/>
              <w:contextualSpacing w:val="1"/>
              <w:jc w:val="center"/>
              <w:rPr>
                <w:sz w:val="22"/>
              </w:rPr>
            </w:pPr>
            <w:r>
              <w:rPr>
                <w:sz w:val="22"/>
              </w:rPr>
              <w:t>Оказание услуг по проведению обязательного ежегодного аудита бухгалтерской (финансовой) отчетности за 2018 год</w:t>
            </w:r>
          </w:p>
        </w:tc>
        <w:tc>
          <w:tcPr>
            <w:tcW w:type="dxa" w:w="1194"/>
            <w:tcBorders>
              <w:top w:color="000000" w:sz="4" w:val="single"/>
              <w:left w:color="000000" w:sz="4" w:val="single"/>
              <w:bottom w:color="000000" w:sz="4" w:val="single"/>
              <w:right w:color="000000" w:sz="4" w:val="single"/>
            </w:tcBorders>
            <w:shd w:fill="FFFFFF" w:val="clear"/>
            <w:vAlign w:val="center"/>
          </w:tcPr>
          <w:p w14:paraId="AE260000">
            <w:pPr>
              <w:widowControl w:val="1"/>
              <w:ind/>
              <w:contextualSpacing w:val="1"/>
              <w:jc w:val="center"/>
              <w:rPr>
                <w:sz w:val="22"/>
              </w:rPr>
            </w:pPr>
            <w:r>
              <w:rPr>
                <w:sz w:val="22"/>
              </w:rPr>
              <w:t>129500</w:t>
            </w:r>
          </w:p>
        </w:tc>
        <w:tc>
          <w:tcPr>
            <w:tcW w:type="dxa" w:w="1221"/>
            <w:tcBorders>
              <w:top w:color="000000" w:sz="4" w:val="single"/>
              <w:left w:color="000000" w:sz="4" w:val="single"/>
              <w:bottom w:color="000000" w:sz="4" w:val="single"/>
              <w:right w:color="000000" w:sz="4" w:val="single"/>
            </w:tcBorders>
            <w:shd w:fill="FFFFFF" w:val="clear"/>
            <w:vAlign w:val="center"/>
          </w:tcPr>
          <w:p w14:paraId="AF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0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1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226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B3260000">
            <w:pPr>
              <w:widowControl w:val="1"/>
              <w:ind/>
              <w:contextualSpacing w:val="1"/>
              <w:jc w:val="center"/>
              <w:rPr>
                <w:sz w:val="22"/>
              </w:rPr>
            </w:pPr>
            <w:r>
              <w:rPr>
                <w:sz w:val="22"/>
              </w:rPr>
              <w:t>СД 24.07.2018 протокол № 1</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B4260000">
            <w:pPr>
              <w:widowControl w:val="1"/>
              <w:ind/>
              <w:contextualSpacing w:val="1"/>
              <w:jc w:val="center"/>
              <w:rPr>
                <w:sz w:val="22"/>
              </w:rPr>
            </w:pPr>
            <w:r>
              <w:rPr>
                <w:sz w:val="22"/>
              </w:rPr>
              <w:t>протокол КК от 13.04.2018</w:t>
            </w:r>
          </w:p>
        </w:tc>
      </w:tr>
      <w:tr>
        <w:trPr>
          <w:trHeight w:hRule="atLeast" w:val="1350"/>
        </w:trPr>
        <w:tc>
          <w:tcPr>
            <w:tcW w:type="dxa" w:w="528"/>
            <w:tcBorders>
              <w:top w:color="000000" w:sz="4" w:val="single"/>
              <w:left w:color="000000" w:sz="4" w:val="single"/>
              <w:bottom w:color="000000" w:sz="4" w:val="single"/>
              <w:right w:color="000000" w:sz="4" w:val="single"/>
            </w:tcBorders>
            <w:shd w:fill="FFFFFF" w:val="clear"/>
            <w:vAlign w:val="center"/>
          </w:tcPr>
          <w:p w14:paraId="B5260000">
            <w:pPr>
              <w:widowControl w:val="1"/>
              <w:ind/>
              <w:contextualSpacing w:val="1"/>
              <w:rPr>
                <w:color w:val="000000"/>
                <w:sz w:val="22"/>
              </w:rPr>
            </w:pPr>
            <w:r>
              <w:rPr>
                <w:color w:val="000000"/>
                <w:sz w:val="22"/>
              </w:rPr>
              <w:t>236</w:t>
            </w:r>
          </w:p>
        </w:tc>
        <w:tc>
          <w:tcPr>
            <w:tcW w:type="dxa" w:w="1408"/>
            <w:tcBorders>
              <w:top w:color="000000" w:sz="4" w:val="single"/>
              <w:left w:color="000000" w:sz="4" w:val="single"/>
              <w:bottom w:color="000000" w:sz="4" w:val="single"/>
              <w:right w:color="000000" w:sz="4" w:val="single"/>
            </w:tcBorders>
            <w:shd w:fill="FFFFFF" w:val="clear"/>
            <w:vAlign w:val="center"/>
          </w:tcPr>
          <w:p w14:paraId="B6260000">
            <w:pPr>
              <w:widowControl w:val="1"/>
              <w:ind/>
              <w:contextualSpacing w:val="1"/>
              <w:jc w:val="center"/>
              <w:rPr>
                <w:sz w:val="22"/>
              </w:rPr>
            </w:pPr>
            <w:r>
              <w:rPr>
                <w:sz w:val="22"/>
              </w:rPr>
              <w:t>ФГБОУ ВО "Российский университет транспорта"</w:t>
            </w:r>
          </w:p>
        </w:tc>
        <w:tc>
          <w:tcPr>
            <w:tcW w:type="dxa" w:w="1408"/>
            <w:tcBorders>
              <w:top w:color="000000" w:sz="4" w:val="single"/>
              <w:left w:color="000000" w:sz="4" w:val="single"/>
              <w:bottom w:color="000000" w:sz="4" w:val="single"/>
              <w:right w:color="000000" w:sz="4" w:val="single"/>
            </w:tcBorders>
            <w:shd w:fill="FFFFFF" w:val="clear"/>
            <w:vAlign w:val="center"/>
          </w:tcPr>
          <w:p w14:paraId="B7260000">
            <w:pPr>
              <w:widowControl w:val="1"/>
              <w:ind/>
              <w:contextualSpacing w:val="1"/>
              <w:jc w:val="center"/>
              <w:rPr>
                <w:sz w:val="22"/>
              </w:rPr>
            </w:pPr>
            <w:r>
              <w:rPr>
                <w:sz w:val="22"/>
              </w:rPr>
              <w:t>договор № 2018-кв-915 от 24.09.2018</w:t>
            </w:r>
          </w:p>
        </w:tc>
        <w:tc>
          <w:tcPr>
            <w:tcW w:type="dxa" w:w="1274"/>
            <w:tcBorders>
              <w:top w:color="000000" w:sz="4" w:val="single"/>
              <w:left w:color="000000" w:sz="4" w:val="single"/>
              <w:bottom w:color="000000" w:sz="4" w:val="single"/>
              <w:right w:color="000000" w:sz="4" w:val="single"/>
            </w:tcBorders>
            <w:shd w:fill="FFFFFF" w:val="clear"/>
            <w:vAlign w:val="center"/>
          </w:tcPr>
          <w:p w14:paraId="B8260000">
            <w:pPr>
              <w:widowControl w:val="1"/>
              <w:ind/>
              <w:contextualSpacing w:val="1"/>
              <w:jc w:val="center"/>
              <w:rPr>
                <w:sz w:val="22"/>
              </w:rPr>
            </w:pPr>
            <w:r>
              <w:rPr>
                <w:sz w:val="22"/>
              </w:rPr>
              <w:t>24.09.2018-16.11.2018</w:t>
            </w:r>
          </w:p>
        </w:tc>
        <w:tc>
          <w:tcPr>
            <w:tcW w:type="dxa" w:w="1556"/>
            <w:tcBorders>
              <w:top w:color="000000" w:sz="4" w:val="single"/>
              <w:left w:color="000000" w:sz="4" w:val="single"/>
              <w:bottom w:color="000000" w:sz="4" w:val="single"/>
              <w:right w:color="000000" w:sz="4" w:val="single"/>
            </w:tcBorders>
            <w:shd w:fill="FFFFFF" w:val="clear"/>
            <w:vAlign w:val="center"/>
          </w:tcPr>
          <w:p w14:paraId="B9260000">
            <w:pPr>
              <w:widowControl w:val="1"/>
              <w:ind/>
              <w:contextualSpacing w:val="1"/>
              <w:jc w:val="center"/>
              <w:rPr>
                <w:sz w:val="22"/>
              </w:rPr>
            </w:pPr>
            <w:r>
              <w:rPr>
                <w:sz w:val="22"/>
              </w:rPr>
              <w:t>об оказании образовательных услуг по программе повышения квалификации "Организация работы старших билетных кассиров в пригородном сообщении в современных условиях"</w:t>
            </w:r>
          </w:p>
        </w:tc>
        <w:tc>
          <w:tcPr>
            <w:tcW w:type="dxa" w:w="1194"/>
            <w:tcBorders>
              <w:top w:color="000000" w:sz="4" w:val="single"/>
              <w:left w:color="000000" w:sz="4" w:val="single"/>
              <w:bottom w:color="000000" w:sz="4" w:val="single"/>
              <w:right w:color="000000" w:sz="4" w:val="single"/>
            </w:tcBorders>
            <w:shd w:fill="FFFFFF" w:val="clear"/>
            <w:vAlign w:val="center"/>
          </w:tcPr>
          <w:p w14:paraId="BA260000">
            <w:pPr>
              <w:widowControl w:val="1"/>
              <w:ind/>
              <w:contextualSpacing w:val="1"/>
              <w:jc w:val="center"/>
              <w:rPr>
                <w:sz w:val="22"/>
              </w:rPr>
            </w:pPr>
            <w:r>
              <w:rPr>
                <w:sz w:val="22"/>
              </w:rPr>
              <w:t>45000</w:t>
            </w:r>
          </w:p>
        </w:tc>
        <w:tc>
          <w:tcPr>
            <w:tcW w:type="dxa" w:w="1221"/>
            <w:tcBorders>
              <w:top w:color="000000" w:sz="4" w:val="single"/>
              <w:left w:color="000000" w:sz="4" w:val="single"/>
              <w:bottom w:color="000000" w:sz="4" w:val="single"/>
              <w:right w:color="000000" w:sz="4" w:val="single"/>
            </w:tcBorders>
            <w:shd w:fill="FFFFFF" w:val="clear"/>
            <w:vAlign w:val="center"/>
          </w:tcPr>
          <w:p w14:paraId="BB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C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D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E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BF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0260000">
            <w:pPr>
              <w:widowControl w:val="1"/>
              <w:ind/>
              <w:contextualSpacing w:val="1"/>
              <w:jc w:val="center"/>
              <w:rPr>
                <w:sz w:val="22"/>
              </w:rPr>
            </w:pPr>
            <w:r>
              <w:rPr>
                <w:sz w:val="22"/>
              </w:rPr>
              <w:t>Размещение заказа у единственного поставщика, согласно пп. 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1260000">
            <w:pPr>
              <w:widowControl w:val="1"/>
              <w:ind/>
              <w:contextualSpacing w:val="1"/>
              <w:rPr>
                <w:color w:val="000000"/>
                <w:sz w:val="22"/>
              </w:rPr>
            </w:pPr>
            <w:r>
              <w:rPr>
                <w:color w:val="000000"/>
                <w:sz w:val="22"/>
              </w:rPr>
              <w:t>237</w:t>
            </w:r>
          </w:p>
        </w:tc>
        <w:tc>
          <w:tcPr>
            <w:tcW w:type="dxa" w:w="1408"/>
            <w:tcBorders>
              <w:top w:color="000000" w:sz="4" w:val="single"/>
              <w:left w:color="000000" w:sz="4" w:val="single"/>
              <w:bottom w:color="000000" w:sz="4" w:val="single"/>
              <w:right w:color="000000" w:sz="4" w:val="single"/>
            </w:tcBorders>
            <w:shd w:fill="FFFFFF" w:val="clear"/>
            <w:vAlign w:val="center"/>
          </w:tcPr>
          <w:p w14:paraId="C2260000">
            <w:pPr>
              <w:widowControl w:val="1"/>
              <w:ind/>
              <w:contextualSpacing w:val="1"/>
              <w:jc w:val="center"/>
              <w:rPr>
                <w:sz w:val="22"/>
              </w:rPr>
            </w:pPr>
            <w:r>
              <w:rPr>
                <w:sz w:val="22"/>
              </w:rPr>
              <w:t>Шуманов А.И.</w:t>
            </w:r>
          </w:p>
        </w:tc>
        <w:tc>
          <w:tcPr>
            <w:tcW w:type="dxa" w:w="1408"/>
            <w:tcBorders>
              <w:top w:color="000000" w:sz="4" w:val="single"/>
              <w:left w:color="000000" w:sz="4" w:val="single"/>
              <w:bottom w:color="000000" w:sz="4" w:val="single"/>
              <w:right w:color="000000" w:sz="4" w:val="single"/>
            </w:tcBorders>
            <w:shd w:fill="FFFFFF" w:val="clear"/>
            <w:vAlign w:val="center"/>
          </w:tcPr>
          <w:p w14:paraId="C3260000">
            <w:pPr>
              <w:widowControl w:val="1"/>
              <w:ind/>
              <w:contextualSpacing w:val="1"/>
              <w:jc w:val="center"/>
              <w:rPr>
                <w:sz w:val="22"/>
              </w:rPr>
            </w:pPr>
            <w:r>
              <w:rPr>
                <w:sz w:val="22"/>
              </w:rPr>
              <w:t>договр № 102 от 28.09.2018</w:t>
            </w:r>
          </w:p>
        </w:tc>
        <w:tc>
          <w:tcPr>
            <w:tcW w:type="dxa" w:w="1274"/>
            <w:tcBorders>
              <w:top w:color="000000" w:sz="4" w:val="single"/>
              <w:left w:color="000000" w:sz="4" w:val="single"/>
              <w:bottom w:color="000000" w:sz="4" w:val="single"/>
              <w:right w:color="000000" w:sz="4" w:val="single"/>
            </w:tcBorders>
            <w:shd w:fill="FFFFFF" w:val="clear"/>
            <w:vAlign w:val="center"/>
          </w:tcPr>
          <w:p w14:paraId="C4260000">
            <w:pPr>
              <w:widowControl w:val="1"/>
              <w:ind/>
              <w:contextualSpacing w:val="1"/>
              <w:jc w:val="center"/>
              <w:rPr>
                <w:sz w:val="22"/>
              </w:rPr>
            </w:pPr>
            <w:r>
              <w:rPr>
                <w:sz w:val="22"/>
              </w:rPr>
              <w:t>01.05.2018-31.12.2018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C5260000">
            <w:pPr>
              <w:widowControl w:val="1"/>
              <w:ind/>
              <w:contextualSpacing w:val="1"/>
              <w:jc w:val="center"/>
              <w:rPr>
                <w:sz w:val="22"/>
              </w:rPr>
            </w:pPr>
            <w:r>
              <w:rPr>
                <w:sz w:val="22"/>
              </w:rPr>
              <w:t>выполнение работ по доработке программного обеспечения АСУПП</w:t>
            </w:r>
          </w:p>
        </w:tc>
        <w:tc>
          <w:tcPr>
            <w:tcW w:type="dxa" w:w="1194"/>
            <w:tcBorders>
              <w:top w:color="000000" w:sz="4" w:val="single"/>
              <w:left w:color="000000" w:sz="4" w:val="single"/>
              <w:bottom w:color="000000" w:sz="4" w:val="single"/>
              <w:right w:color="000000" w:sz="4" w:val="single"/>
            </w:tcBorders>
            <w:shd w:fill="FFFFFF" w:val="clear"/>
            <w:vAlign w:val="center"/>
          </w:tcPr>
          <w:p w14:paraId="C6260000">
            <w:pPr>
              <w:widowControl w:val="1"/>
              <w:ind/>
              <w:contextualSpacing w:val="1"/>
              <w:jc w:val="center"/>
              <w:rPr>
                <w:sz w:val="22"/>
              </w:rPr>
            </w:pPr>
            <w:r>
              <w:rPr>
                <w:sz w:val="22"/>
              </w:rPr>
              <w:t>145070</w:t>
            </w:r>
          </w:p>
        </w:tc>
        <w:tc>
          <w:tcPr>
            <w:tcW w:type="dxa" w:w="1221"/>
            <w:tcBorders>
              <w:top w:color="000000" w:sz="4" w:val="single"/>
              <w:left w:color="000000" w:sz="4" w:val="single"/>
              <w:bottom w:color="000000" w:sz="4" w:val="single"/>
              <w:right w:color="000000" w:sz="4" w:val="single"/>
            </w:tcBorders>
            <w:shd w:fill="FFFFFF" w:val="clear"/>
            <w:vAlign w:val="center"/>
          </w:tcPr>
          <w:p w14:paraId="C7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8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9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A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CB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C260000">
            <w:pPr>
              <w:widowControl w:val="1"/>
              <w:ind/>
              <w:contextualSpacing w:val="1"/>
              <w:jc w:val="center"/>
              <w:rPr>
                <w:sz w:val="22"/>
              </w:rPr>
            </w:pPr>
            <w:r>
              <w:rPr>
                <w:sz w:val="22"/>
              </w:rPr>
              <w:t>Размещение заказа у единственного поставщика, согласно пп. 31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D260000">
            <w:pPr>
              <w:widowControl w:val="1"/>
              <w:ind/>
              <w:contextualSpacing w:val="1"/>
              <w:rPr>
                <w:color w:val="000000"/>
                <w:sz w:val="22"/>
              </w:rPr>
            </w:pPr>
            <w:r>
              <w:rPr>
                <w:color w:val="000000"/>
                <w:sz w:val="22"/>
              </w:rPr>
              <w:t>238</w:t>
            </w:r>
          </w:p>
        </w:tc>
        <w:tc>
          <w:tcPr>
            <w:tcW w:type="dxa" w:w="1408"/>
            <w:tcBorders>
              <w:top w:color="000000" w:sz="4" w:val="single"/>
              <w:left w:color="000000" w:sz="4" w:val="single"/>
              <w:bottom w:color="000000" w:sz="4" w:val="single"/>
              <w:right w:color="000000" w:sz="4" w:val="single"/>
            </w:tcBorders>
            <w:shd w:fill="FFFFFF" w:val="clear"/>
            <w:vAlign w:val="center"/>
          </w:tcPr>
          <w:p w14:paraId="CE260000">
            <w:pPr>
              <w:widowControl w:val="1"/>
              <w:ind/>
              <w:contextualSpacing w:val="1"/>
              <w:jc w:val="center"/>
              <w:rPr>
                <w:sz w:val="22"/>
              </w:rPr>
            </w:pPr>
            <w:r>
              <w:rPr>
                <w:sz w:val="22"/>
              </w:rPr>
              <w:t>ООО "Интернет-маркетинг"</w:t>
            </w:r>
          </w:p>
        </w:tc>
        <w:tc>
          <w:tcPr>
            <w:tcW w:type="dxa" w:w="1408"/>
            <w:tcBorders>
              <w:top w:color="000000" w:sz="4" w:val="single"/>
              <w:left w:color="000000" w:sz="4" w:val="single"/>
              <w:bottom w:color="000000" w:sz="4" w:val="single"/>
              <w:right w:color="000000" w:sz="4" w:val="single"/>
            </w:tcBorders>
            <w:shd w:fill="FFFFFF" w:val="clear"/>
            <w:vAlign w:val="center"/>
          </w:tcPr>
          <w:p w14:paraId="CF260000">
            <w:pPr>
              <w:widowControl w:val="1"/>
              <w:ind/>
              <w:contextualSpacing w:val="1"/>
              <w:jc w:val="center"/>
              <w:rPr>
                <w:sz w:val="22"/>
              </w:rPr>
            </w:pPr>
            <w:r>
              <w:rPr>
                <w:sz w:val="22"/>
              </w:rPr>
              <w:t>счет № 4594 от 20.07.2018</w:t>
            </w:r>
          </w:p>
        </w:tc>
        <w:tc>
          <w:tcPr>
            <w:tcW w:type="dxa" w:w="1274"/>
            <w:tcBorders>
              <w:top w:color="000000" w:sz="4" w:val="single"/>
              <w:left w:color="000000" w:sz="4" w:val="single"/>
              <w:bottom w:color="000000" w:sz="4" w:val="single"/>
              <w:right w:color="000000" w:sz="4" w:val="single"/>
            </w:tcBorders>
            <w:shd w:fill="FFFFFF" w:val="clear"/>
            <w:vAlign w:val="center"/>
          </w:tcPr>
          <w:p w14:paraId="D0260000">
            <w:pPr>
              <w:widowControl w:val="1"/>
              <w:ind/>
              <w:contextualSpacing w:val="1"/>
              <w:jc w:val="center"/>
              <w:rPr>
                <w:sz w:val="22"/>
              </w:rPr>
            </w:pPr>
            <w:r>
              <w:rPr>
                <w:sz w:val="22"/>
              </w:rPr>
              <w:t>20.07.2018-30.07.2018</w:t>
            </w:r>
          </w:p>
        </w:tc>
        <w:tc>
          <w:tcPr>
            <w:tcW w:type="dxa" w:w="1556"/>
            <w:tcBorders>
              <w:top w:color="000000" w:sz="4" w:val="single"/>
              <w:left w:color="000000" w:sz="4" w:val="single"/>
              <w:bottom w:color="000000" w:sz="4" w:val="single"/>
              <w:right w:color="000000" w:sz="4" w:val="single"/>
            </w:tcBorders>
            <w:shd w:fill="FFFFFF" w:val="clear"/>
            <w:vAlign w:val="center"/>
          </w:tcPr>
          <w:p w14:paraId="D1260000">
            <w:pPr>
              <w:widowControl w:val="1"/>
              <w:ind/>
              <w:contextualSpacing w:val="1"/>
              <w:jc w:val="center"/>
              <w:rPr>
                <w:sz w:val="22"/>
              </w:rPr>
            </w:pPr>
            <w:r>
              <w:rPr>
                <w:sz w:val="22"/>
              </w:rPr>
              <w:t>Выполнение работ по доработке официального сайта АО "Краспригород"</w:t>
            </w:r>
          </w:p>
        </w:tc>
        <w:tc>
          <w:tcPr>
            <w:tcW w:type="dxa" w:w="1194"/>
            <w:tcBorders>
              <w:top w:color="000000" w:sz="4" w:val="single"/>
              <w:left w:color="000000" w:sz="4" w:val="single"/>
              <w:bottom w:color="000000" w:sz="4" w:val="single"/>
              <w:right w:color="000000" w:sz="4" w:val="single"/>
            </w:tcBorders>
            <w:shd w:fill="FFFFFF" w:val="clear"/>
            <w:vAlign w:val="center"/>
          </w:tcPr>
          <w:p w14:paraId="D2260000">
            <w:pPr>
              <w:widowControl w:val="1"/>
              <w:ind/>
              <w:contextualSpacing w:val="1"/>
              <w:jc w:val="center"/>
              <w:rPr>
                <w:sz w:val="22"/>
              </w:rPr>
            </w:pPr>
            <w:r>
              <w:rPr>
                <w:sz w:val="22"/>
              </w:rPr>
              <w:t>19000,00</w:t>
            </w:r>
          </w:p>
        </w:tc>
        <w:tc>
          <w:tcPr>
            <w:tcW w:type="dxa" w:w="1221"/>
            <w:tcBorders>
              <w:top w:color="000000" w:sz="4" w:val="single"/>
              <w:left w:color="000000" w:sz="4" w:val="single"/>
              <w:bottom w:color="000000" w:sz="4" w:val="single"/>
              <w:right w:color="000000" w:sz="4" w:val="single"/>
            </w:tcBorders>
            <w:shd w:fill="FFFFFF" w:val="clear"/>
            <w:vAlign w:val="center"/>
          </w:tcPr>
          <w:p w14:paraId="D3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4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5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6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D7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D826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D9260000">
            <w:pPr>
              <w:widowControl w:val="1"/>
              <w:ind/>
              <w:contextualSpacing w:val="1"/>
              <w:rPr>
                <w:color w:val="000000"/>
                <w:sz w:val="22"/>
              </w:rPr>
            </w:pPr>
            <w:r>
              <w:rPr>
                <w:color w:val="000000"/>
                <w:sz w:val="22"/>
              </w:rPr>
              <w:t>239</w:t>
            </w:r>
          </w:p>
        </w:tc>
        <w:tc>
          <w:tcPr>
            <w:tcW w:type="dxa" w:w="1408"/>
            <w:tcBorders>
              <w:top w:color="000000" w:sz="4" w:val="single"/>
              <w:left w:color="000000" w:sz="4" w:val="single"/>
              <w:bottom w:color="000000" w:sz="4" w:val="single"/>
              <w:right w:color="000000" w:sz="4" w:val="single"/>
            </w:tcBorders>
            <w:shd w:fill="FFFFFF" w:val="clear"/>
            <w:vAlign w:val="center"/>
          </w:tcPr>
          <w:p w14:paraId="DA260000">
            <w:pPr>
              <w:widowControl w:val="1"/>
              <w:ind/>
              <w:contextualSpacing w:val="1"/>
              <w:jc w:val="center"/>
              <w:rPr>
                <w:sz w:val="22"/>
              </w:rPr>
            </w:pPr>
            <w:r>
              <w:rPr>
                <w:sz w:val="22"/>
              </w:rPr>
              <w:t>ООО "Интернет-маркетинг"</w:t>
            </w:r>
          </w:p>
        </w:tc>
        <w:tc>
          <w:tcPr>
            <w:tcW w:type="dxa" w:w="1408"/>
            <w:tcBorders>
              <w:top w:color="000000" w:sz="4" w:val="single"/>
              <w:left w:color="000000" w:sz="4" w:val="single"/>
              <w:bottom w:color="000000" w:sz="4" w:val="single"/>
              <w:right w:color="000000" w:sz="4" w:val="single"/>
            </w:tcBorders>
            <w:shd w:fill="FFFFFF" w:val="clear"/>
            <w:vAlign w:val="center"/>
          </w:tcPr>
          <w:p w14:paraId="DB260000">
            <w:pPr>
              <w:widowControl w:val="1"/>
              <w:ind/>
              <w:contextualSpacing w:val="1"/>
              <w:jc w:val="center"/>
              <w:rPr>
                <w:sz w:val="22"/>
              </w:rPr>
            </w:pPr>
            <w:r>
              <w:rPr>
                <w:sz w:val="22"/>
              </w:rPr>
              <w:t>счет № 5007 от 19.10.2018</w:t>
            </w:r>
          </w:p>
        </w:tc>
        <w:tc>
          <w:tcPr>
            <w:tcW w:type="dxa" w:w="1274"/>
            <w:tcBorders>
              <w:top w:color="000000" w:sz="4" w:val="single"/>
              <w:left w:color="000000" w:sz="4" w:val="single"/>
              <w:bottom w:color="000000" w:sz="4" w:val="single"/>
              <w:right w:color="000000" w:sz="4" w:val="single"/>
            </w:tcBorders>
            <w:shd w:fill="FFFFFF" w:val="clear"/>
            <w:vAlign w:val="center"/>
          </w:tcPr>
          <w:p w14:paraId="DC260000">
            <w:pPr>
              <w:widowControl w:val="1"/>
              <w:ind/>
              <w:contextualSpacing w:val="1"/>
              <w:jc w:val="center"/>
              <w:rPr>
                <w:sz w:val="22"/>
              </w:rPr>
            </w:pPr>
            <w:r>
              <w:rPr>
                <w:sz w:val="22"/>
              </w:rPr>
              <w:t>19.10.2018-31.10.2018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DD260000">
            <w:pPr>
              <w:widowControl w:val="1"/>
              <w:ind/>
              <w:contextualSpacing w:val="1"/>
              <w:jc w:val="center"/>
              <w:rPr>
                <w:sz w:val="22"/>
              </w:rPr>
            </w:pPr>
            <w:r>
              <w:rPr>
                <w:sz w:val="22"/>
              </w:rPr>
              <w:t>Выполнение работ по доработке официального сайта АО "Краспригород"</w:t>
            </w:r>
          </w:p>
        </w:tc>
        <w:tc>
          <w:tcPr>
            <w:tcW w:type="dxa" w:w="1194"/>
            <w:tcBorders>
              <w:top w:color="000000" w:sz="4" w:val="single"/>
              <w:left w:color="000000" w:sz="4" w:val="single"/>
              <w:bottom w:color="000000" w:sz="4" w:val="single"/>
              <w:right w:color="000000" w:sz="4" w:val="single"/>
            </w:tcBorders>
            <w:shd w:fill="FFFFFF" w:val="clear"/>
            <w:vAlign w:val="center"/>
          </w:tcPr>
          <w:p w14:paraId="DE260000">
            <w:pPr>
              <w:widowControl w:val="1"/>
              <w:ind/>
              <w:contextualSpacing w:val="1"/>
              <w:jc w:val="center"/>
              <w:rPr>
                <w:sz w:val="22"/>
              </w:rPr>
            </w:pPr>
            <w:r>
              <w:rPr>
                <w:sz w:val="22"/>
              </w:rPr>
              <w:t>13000,00</w:t>
            </w:r>
          </w:p>
        </w:tc>
        <w:tc>
          <w:tcPr>
            <w:tcW w:type="dxa" w:w="1221"/>
            <w:tcBorders>
              <w:top w:color="000000" w:sz="4" w:val="single"/>
              <w:left w:color="000000" w:sz="4" w:val="single"/>
              <w:bottom w:color="000000" w:sz="4" w:val="single"/>
              <w:right w:color="000000" w:sz="4" w:val="single"/>
            </w:tcBorders>
            <w:shd w:fill="FFFFFF" w:val="clear"/>
            <w:vAlign w:val="center"/>
          </w:tcPr>
          <w:p w14:paraId="DF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0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1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2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E3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E426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783"/>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E5260000">
            <w:pPr>
              <w:widowControl w:val="1"/>
              <w:ind/>
              <w:contextualSpacing w:val="1"/>
              <w:jc w:val="center"/>
              <w:rPr>
                <w:color w:val="000000"/>
                <w:sz w:val="22"/>
              </w:rPr>
            </w:pPr>
            <w:r>
              <w:rPr>
                <w:color w:val="000000"/>
                <w:sz w:val="22"/>
              </w:rPr>
              <w:t>итого по контрагенту ООО "Интернет-маркетинг" 32000 руб.</w:t>
            </w:r>
          </w:p>
          <w:p w14:paraId="E626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E7260000">
            <w:pPr>
              <w:widowControl w:val="1"/>
              <w:ind/>
              <w:contextualSpacing w:val="1"/>
              <w:rPr>
                <w:color w:val="000000"/>
                <w:sz w:val="22"/>
              </w:rPr>
            </w:pPr>
            <w:r>
              <w:rPr>
                <w:color w:val="000000"/>
                <w:sz w:val="22"/>
              </w:rPr>
              <w:t>240</w:t>
            </w:r>
          </w:p>
        </w:tc>
        <w:tc>
          <w:tcPr>
            <w:tcW w:type="dxa" w:w="1408"/>
            <w:tcBorders>
              <w:top w:color="000000" w:sz="4" w:val="single"/>
              <w:left w:color="000000" w:sz="4" w:val="single"/>
              <w:bottom w:color="000000" w:sz="4" w:val="single"/>
              <w:right w:color="000000" w:sz="4" w:val="single"/>
            </w:tcBorders>
            <w:shd w:fill="FFFFFF" w:val="clear"/>
            <w:vAlign w:val="center"/>
          </w:tcPr>
          <w:p w14:paraId="E8260000">
            <w:pPr>
              <w:widowControl w:val="1"/>
              <w:ind/>
              <w:contextualSpacing w:val="1"/>
              <w:jc w:val="center"/>
              <w:rPr>
                <w:sz w:val="22"/>
              </w:rPr>
            </w:pPr>
            <w:r>
              <w:rPr>
                <w:sz w:val="22"/>
              </w:rPr>
              <w:t>ИП Марков Н.А.</w:t>
            </w:r>
          </w:p>
        </w:tc>
        <w:tc>
          <w:tcPr>
            <w:tcW w:type="dxa" w:w="1408"/>
            <w:tcBorders>
              <w:top w:color="000000" w:sz="4" w:val="single"/>
              <w:left w:color="000000" w:sz="4" w:val="single"/>
              <w:bottom w:color="000000" w:sz="4" w:val="single"/>
              <w:right w:color="000000" w:sz="4" w:val="single"/>
            </w:tcBorders>
            <w:shd w:fill="FFFFFF" w:val="clear"/>
            <w:vAlign w:val="center"/>
          </w:tcPr>
          <w:p w14:paraId="E9260000">
            <w:pPr>
              <w:widowControl w:val="1"/>
              <w:ind/>
              <w:contextualSpacing w:val="1"/>
              <w:jc w:val="center"/>
              <w:rPr>
                <w:sz w:val="22"/>
              </w:rPr>
            </w:pPr>
            <w:r>
              <w:rPr>
                <w:sz w:val="22"/>
              </w:rPr>
              <w:t>счет № 050 от 02.07.2018</w:t>
            </w:r>
          </w:p>
        </w:tc>
        <w:tc>
          <w:tcPr>
            <w:tcW w:type="dxa" w:w="1274"/>
            <w:tcBorders>
              <w:top w:color="000000" w:sz="4" w:val="single"/>
              <w:left w:color="000000" w:sz="4" w:val="single"/>
              <w:bottom w:color="000000" w:sz="4" w:val="single"/>
              <w:right w:color="000000" w:sz="4" w:val="single"/>
            </w:tcBorders>
            <w:shd w:fill="FFFFFF" w:val="clear"/>
            <w:vAlign w:val="center"/>
          </w:tcPr>
          <w:p w14:paraId="EA260000">
            <w:pPr>
              <w:widowControl w:val="1"/>
              <w:ind/>
              <w:contextualSpacing w:val="1"/>
              <w:jc w:val="center"/>
              <w:rPr>
                <w:sz w:val="22"/>
              </w:rPr>
            </w:pPr>
            <w:r>
              <w:rPr>
                <w:sz w:val="22"/>
              </w:rPr>
              <w:t>02.07.2018-12.07.2018</w:t>
            </w:r>
          </w:p>
        </w:tc>
        <w:tc>
          <w:tcPr>
            <w:tcW w:type="dxa" w:w="1556"/>
            <w:tcBorders>
              <w:top w:color="000000" w:sz="4" w:val="single"/>
              <w:left w:color="000000" w:sz="4" w:val="single"/>
              <w:bottom w:color="000000" w:sz="4" w:val="single"/>
              <w:right w:color="000000" w:sz="4" w:val="single"/>
            </w:tcBorders>
            <w:shd w:fill="FFFFFF" w:val="clear"/>
            <w:vAlign w:val="center"/>
          </w:tcPr>
          <w:p w14:paraId="EB260000">
            <w:pPr>
              <w:widowControl w:val="1"/>
              <w:ind/>
              <w:contextualSpacing w:val="1"/>
              <w:jc w:val="center"/>
              <w:rPr>
                <w:sz w:val="22"/>
              </w:rPr>
            </w:pPr>
            <w:r>
              <w:rPr>
                <w:sz w:val="22"/>
              </w:rPr>
              <w:t>оказание услуг по изготовлению и размещению РИМ</w:t>
            </w:r>
          </w:p>
        </w:tc>
        <w:tc>
          <w:tcPr>
            <w:tcW w:type="dxa" w:w="1194"/>
            <w:tcBorders>
              <w:top w:color="000000" w:sz="4" w:val="single"/>
              <w:left w:color="000000" w:sz="4" w:val="single"/>
              <w:bottom w:color="000000" w:sz="4" w:val="single"/>
              <w:right w:color="000000" w:sz="4" w:val="single"/>
            </w:tcBorders>
            <w:shd w:fill="FFFFFF" w:val="clear"/>
            <w:vAlign w:val="center"/>
          </w:tcPr>
          <w:p w14:paraId="EC260000">
            <w:pPr>
              <w:widowControl w:val="1"/>
              <w:ind/>
              <w:contextualSpacing w:val="1"/>
              <w:jc w:val="center"/>
              <w:rPr>
                <w:sz w:val="22"/>
              </w:rPr>
            </w:pPr>
            <w:r>
              <w:rPr>
                <w:sz w:val="22"/>
              </w:rPr>
              <w:t>48000,00</w:t>
            </w:r>
          </w:p>
        </w:tc>
        <w:tc>
          <w:tcPr>
            <w:tcW w:type="dxa" w:w="1221"/>
            <w:tcBorders>
              <w:top w:color="000000" w:sz="4" w:val="single"/>
              <w:left w:color="000000" w:sz="4" w:val="single"/>
              <w:bottom w:color="000000" w:sz="4" w:val="single"/>
              <w:right w:color="000000" w:sz="4" w:val="single"/>
            </w:tcBorders>
            <w:shd w:fill="FFFFFF" w:val="clear"/>
            <w:vAlign w:val="center"/>
          </w:tcPr>
          <w:p w14:paraId="ED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E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F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0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F1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F226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F3260000">
            <w:pPr>
              <w:widowControl w:val="1"/>
              <w:ind/>
              <w:contextualSpacing w:val="1"/>
              <w:rPr>
                <w:color w:val="000000"/>
                <w:sz w:val="22"/>
              </w:rPr>
            </w:pPr>
            <w:r>
              <w:rPr>
                <w:color w:val="000000"/>
                <w:sz w:val="22"/>
              </w:rPr>
              <w:t>241</w:t>
            </w:r>
          </w:p>
        </w:tc>
        <w:tc>
          <w:tcPr>
            <w:tcW w:type="dxa" w:w="1408"/>
            <w:tcBorders>
              <w:top w:color="000000" w:sz="4" w:val="single"/>
              <w:left w:color="000000" w:sz="4" w:val="single"/>
              <w:bottom w:color="000000" w:sz="4" w:val="single"/>
              <w:right w:color="000000" w:sz="4" w:val="single"/>
            </w:tcBorders>
            <w:shd w:fill="FFFFFF" w:val="clear"/>
            <w:vAlign w:val="center"/>
          </w:tcPr>
          <w:p w14:paraId="F4260000">
            <w:pPr>
              <w:widowControl w:val="1"/>
              <w:ind/>
              <w:contextualSpacing w:val="1"/>
              <w:jc w:val="center"/>
              <w:rPr>
                <w:sz w:val="22"/>
              </w:rPr>
            </w:pPr>
            <w:r>
              <w:rPr>
                <w:sz w:val="22"/>
              </w:rPr>
              <w:t>ИП Марков Н.А.</w:t>
            </w:r>
          </w:p>
        </w:tc>
        <w:tc>
          <w:tcPr>
            <w:tcW w:type="dxa" w:w="1408"/>
            <w:tcBorders>
              <w:top w:color="000000" w:sz="4" w:val="single"/>
              <w:left w:color="000000" w:sz="4" w:val="single"/>
              <w:bottom w:color="000000" w:sz="4" w:val="single"/>
              <w:right w:color="000000" w:sz="4" w:val="single"/>
            </w:tcBorders>
            <w:shd w:fill="FFFFFF" w:val="clear"/>
            <w:vAlign w:val="center"/>
          </w:tcPr>
          <w:p w14:paraId="F5260000">
            <w:pPr>
              <w:widowControl w:val="1"/>
              <w:ind/>
              <w:contextualSpacing w:val="1"/>
              <w:jc w:val="center"/>
              <w:rPr>
                <w:sz w:val="22"/>
              </w:rPr>
            </w:pPr>
            <w:r>
              <w:rPr>
                <w:sz w:val="22"/>
              </w:rPr>
              <w:t>счет № 077 от 19.10.2018</w:t>
            </w:r>
          </w:p>
        </w:tc>
        <w:tc>
          <w:tcPr>
            <w:tcW w:type="dxa" w:w="1274"/>
            <w:tcBorders>
              <w:top w:color="000000" w:sz="4" w:val="single"/>
              <w:left w:color="000000" w:sz="4" w:val="single"/>
              <w:bottom w:color="000000" w:sz="4" w:val="single"/>
              <w:right w:color="000000" w:sz="4" w:val="single"/>
            </w:tcBorders>
            <w:shd w:fill="FFFFFF" w:val="clear"/>
            <w:vAlign w:val="center"/>
          </w:tcPr>
          <w:p w14:paraId="F6260000">
            <w:pPr>
              <w:widowControl w:val="1"/>
              <w:ind/>
              <w:contextualSpacing w:val="1"/>
              <w:jc w:val="center"/>
              <w:rPr>
                <w:sz w:val="22"/>
              </w:rPr>
            </w:pPr>
            <w:r>
              <w:rPr>
                <w:sz w:val="22"/>
              </w:rPr>
              <w:t>19.10.2018-31.10.2018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F7260000">
            <w:pPr>
              <w:widowControl w:val="1"/>
              <w:ind/>
              <w:contextualSpacing w:val="1"/>
              <w:jc w:val="center"/>
              <w:rPr>
                <w:sz w:val="22"/>
              </w:rPr>
            </w:pPr>
            <w:r>
              <w:rPr>
                <w:sz w:val="22"/>
              </w:rPr>
              <w:t>оказание услуг по размещению рекламных материалов</w:t>
            </w:r>
          </w:p>
        </w:tc>
        <w:tc>
          <w:tcPr>
            <w:tcW w:type="dxa" w:w="1194"/>
            <w:tcBorders>
              <w:top w:color="000000" w:sz="4" w:val="single"/>
              <w:left w:color="000000" w:sz="4" w:val="single"/>
              <w:bottom w:color="000000" w:sz="4" w:val="single"/>
              <w:right w:color="000000" w:sz="4" w:val="single"/>
            </w:tcBorders>
            <w:shd w:fill="FFFFFF" w:val="clear"/>
            <w:vAlign w:val="center"/>
          </w:tcPr>
          <w:p w14:paraId="F8260000">
            <w:pPr>
              <w:widowControl w:val="1"/>
              <w:ind/>
              <w:contextualSpacing w:val="1"/>
              <w:jc w:val="center"/>
              <w:rPr>
                <w:sz w:val="22"/>
              </w:rPr>
            </w:pPr>
            <w:r>
              <w:rPr>
                <w:sz w:val="22"/>
              </w:rPr>
              <w:t>20500,00</w:t>
            </w:r>
          </w:p>
        </w:tc>
        <w:tc>
          <w:tcPr>
            <w:tcW w:type="dxa" w:w="1221"/>
            <w:tcBorders>
              <w:top w:color="000000" w:sz="4" w:val="single"/>
              <w:left w:color="000000" w:sz="4" w:val="single"/>
              <w:bottom w:color="000000" w:sz="4" w:val="single"/>
              <w:right w:color="000000" w:sz="4" w:val="single"/>
            </w:tcBorders>
            <w:shd w:fill="FFFFFF" w:val="clear"/>
            <w:vAlign w:val="center"/>
          </w:tcPr>
          <w:p w14:paraId="F926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A26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B26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C26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FD26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FE26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833"/>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FF260000">
            <w:pPr>
              <w:widowControl w:val="1"/>
              <w:ind/>
              <w:contextualSpacing w:val="1"/>
              <w:jc w:val="center"/>
              <w:rPr>
                <w:color w:val="000000"/>
                <w:sz w:val="22"/>
              </w:rPr>
            </w:pPr>
            <w:r>
              <w:rPr>
                <w:color w:val="000000"/>
                <w:sz w:val="22"/>
              </w:rPr>
              <w:t>итого по контрагенту ИП Марков Н.А. 68500 руб.</w:t>
            </w:r>
          </w:p>
          <w:p w14:paraId="0027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01270000">
            <w:pPr>
              <w:widowControl w:val="1"/>
              <w:ind/>
              <w:contextualSpacing w:val="1"/>
              <w:rPr>
                <w:color w:val="000000"/>
                <w:sz w:val="22"/>
              </w:rPr>
            </w:pPr>
            <w:r>
              <w:rPr>
                <w:color w:val="000000"/>
                <w:sz w:val="22"/>
              </w:rPr>
              <w:t>242</w:t>
            </w:r>
          </w:p>
        </w:tc>
        <w:tc>
          <w:tcPr>
            <w:tcW w:type="dxa" w:w="1408"/>
            <w:tcBorders>
              <w:top w:color="000000" w:sz="4" w:val="single"/>
              <w:left w:color="000000" w:sz="4" w:val="single"/>
              <w:bottom w:color="000000" w:sz="4" w:val="single"/>
              <w:right w:color="000000" w:sz="4" w:val="single"/>
            </w:tcBorders>
            <w:shd w:fill="FFFFFF" w:val="clear"/>
            <w:vAlign w:val="center"/>
          </w:tcPr>
          <w:p w14:paraId="02270000">
            <w:pPr>
              <w:widowControl w:val="1"/>
              <w:ind/>
              <w:contextualSpacing w:val="1"/>
              <w:jc w:val="center"/>
              <w:rPr>
                <w:sz w:val="22"/>
              </w:rPr>
            </w:pPr>
            <w:r>
              <w:rPr>
                <w:sz w:val="22"/>
              </w:rPr>
              <w:t>ООО "Оружейный магазин Тигр"</w:t>
            </w:r>
          </w:p>
        </w:tc>
        <w:tc>
          <w:tcPr>
            <w:tcW w:type="dxa" w:w="1408"/>
            <w:tcBorders>
              <w:top w:color="000000" w:sz="4" w:val="single"/>
              <w:left w:color="000000" w:sz="4" w:val="single"/>
              <w:bottom w:color="000000" w:sz="4" w:val="single"/>
              <w:right w:color="000000" w:sz="4" w:val="single"/>
            </w:tcBorders>
            <w:shd w:fill="FFFFFF" w:val="clear"/>
            <w:vAlign w:val="center"/>
          </w:tcPr>
          <w:p w14:paraId="03270000">
            <w:pPr>
              <w:widowControl w:val="1"/>
              <w:ind/>
              <w:contextualSpacing w:val="1"/>
              <w:jc w:val="center"/>
              <w:rPr>
                <w:sz w:val="22"/>
              </w:rPr>
            </w:pPr>
            <w:r>
              <w:rPr>
                <w:sz w:val="22"/>
              </w:rPr>
              <w:t>счет № 917 от 04.07.2018</w:t>
            </w:r>
          </w:p>
        </w:tc>
        <w:tc>
          <w:tcPr>
            <w:tcW w:type="dxa" w:w="1274"/>
            <w:tcBorders>
              <w:top w:color="000000" w:sz="4" w:val="single"/>
              <w:left w:color="000000" w:sz="4" w:val="single"/>
              <w:bottom w:color="000000" w:sz="4" w:val="single"/>
              <w:right w:color="000000" w:sz="4" w:val="single"/>
            </w:tcBorders>
            <w:shd w:fill="FFFFFF" w:val="clear"/>
            <w:vAlign w:val="center"/>
          </w:tcPr>
          <w:p w14:paraId="04270000">
            <w:pPr>
              <w:widowControl w:val="1"/>
              <w:ind/>
              <w:contextualSpacing w:val="1"/>
              <w:jc w:val="center"/>
              <w:rPr>
                <w:sz w:val="22"/>
              </w:rPr>
            </w:pPr>
            <w:r>
              <w:rPr>
                <w:sz w:val="22"/>
              </w:rPr>
              <w:t>04.07.2018-07.07.2018</w:t>
            </w:r>
          </w:p>
        </w:tc>
        <w:tc>
          <w:tcPr>
            <w:tcW w:type="dxa" w:w="1556"/>
            <w:tcBorders>
              <w:top w:color="000000" w:sz="4" w:val="single"/>
              <w:left w:color="000000" w:sz="4" w:val="single"/>
              <w:bottom w:color="000000" w:sz="4" w:val="single"/>
              <w:right w:color="000000" w:sz="4" w:val="single"/>
            </w:tcBorders>
            <w:shd w:fill="FFFFFF" w:val="clear"/>
            <w:vAlign w:val="center"/>
          </w:tcPr>
          <w:p w14:paraId="05270000">
            <w:pPr>
              <w:widowControl w:val="1"/>
              <w:ind/>
              <w:contextualSpacing w:val="1"/>
              <w:jc w:val="center"/>
              <w:rPr>
                <w:sz w:val="22"/>
              </w:rPr>
            </w:pPr>
            <w:r>
              <w:rPr>
                <w:sz w:val="22"/>
              </w:rPr>
              <w:t>поставка холодильника автомобильного</w:t>
            </w:r>
          </w:p>
        </w:tc>
        <w:tc>
          <w:tcPr>
            <w:tcW w:type="dxa" w:w="1194"/>
            <w:tcBorders>
              <w:top w:color="000000" w:sz="4" w:val="single"/>
              <w:left w:color="000000" w:sz="4" w:val="single"/>
              <w:bottom w:color="000000" w:sz="4" w:val="single"/>
              <w:right w:color="000000" w:sz="4" w:val="single"/>
            </w:tcBorders>
            <w:shd w:fill="FFFFFF" w:val="clear"/>
            <w:vAlign w:val="center"/>
          </w:tcPr>
          <w:p w14:paraId="06270000">
            <w:pPr>
              <w:widowControl w:val="1"/>
              <w:ind/>
              <w:contextualSpacing w:val="1"/>
              <w:jc w:val="center"/>
              <w:rPr>
                <w:sz w:val="22"/>
              </w:rPr>
            </w:pPr>
            <w:r>
              <w:rPr>
                <w:sz w:val="22"/>
              </w:rPr>
              <w:t>8800,00</w:t>
            </w:r>
          </w:p>
        </w:tc>
        <w:tc>
          <w:tcPr>
            <w:tcW w:type="dxa" w:w="1221"/>
            <w:tcBorders>
              <w:top w:color="000000" w:sz="4" w:val="single"/>
              <w:left w:color="000000" w:sz="4" w:val="single"/>
              <w:bottom w:color="000000" w:sz="4" w:val="single"/>
              <w:right w:color="000000" w:sz="4" w:val="single"/>
            </w:tcBorders>
            <w:shd w:fill="FFFFFF" w:val="clear"/>
            <w:vAlign w:val="center"/>
          </w:tcPr>
          <w:p w14:paraId="07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8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9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0A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0B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C27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110"/>
        </w:trPr>
        <w:tc>
          <w:tcPr>
            <w:tcW w:type="dxa" w:w="528"/>
            <w:tcBorders>
              <w:top w:color="000000" w:sz="4" w:val="single"/>
              <w:left w:color="000000" w:sz="4" w:val="single"/>
              <w:bottom w:color="000000" w:sz="4" w:val="single"/>
              <w:right w:color="000000" w:sz="4" w:val="single"/>
            </w:tcBorders>
            <w:shd w:fill="FFFFFF" w:val="clear"/>
            <w:vAlign w:val="center"/>
          </w:tcPr>
          <w:p w14:paraId="0D270000">
            <w:pPr>
              <w:widowControl w:val="1"/>
              <w:ind/>
              <w:contextualSpacing w:val="1"/>
              <w:rPr>
                <w:color w:val="000000"/>
                <w:sz w:val="22"/>
              </w:rPr>
            </w:pPr>
            <w:r>
              <w:rPr>
                <w:color w:val="000000"/>
                <w:sz w:val="22"/>
              </w:rPr>
              <w:t>243</w:t>
            </w:r>
          </w:p>
        </w:tc>
        <w:tc>
          <w:tcPr>
            <w:tcW w:type="dxa" w:w="1408"/>
            <w:tcBorders>
              <w:top w:color="000000" w:sz="4" w:val="single"/>
              <w:left w:color="000000" w:sz="4" w:val="single"/>
              <w:bottom w:color="000000" w:sz="4" w:val="single"/>
              <w:right w:color="000000" w:sz="4" w:val="single"/>
            </w:tcBorders>
            <w:shd w:fill="FFFFFF" w:val="clear"/>
            <w:vAlign w:val="center"/>
          </w:tcPr>
          <w:p w14:paraId="0E270000">
            <w:pPr>
              <w:widowControl w:val="1"/>
              <w:ind/>
              <w:contextualSpacing w:val="1"/>
              <w:jc w:val="center"/>
              <w:rPr>
                <w:sz w:val="22"/>
              </w:rPr>
            </w:pPr>
            <w:r>
              <w:rPr>
                <w:sz w:val="22"/>
              </w:rPr>
              <w:t>ООО "Техномакс-Красноярск"</w:t>
            </w:r>
          </w:p>
        </w:tc>
        <w:tc>
          <w:tcPr>
            <w:tcW w:type="dxa" w:w="1408"/>
            <w:tcBorders>
              <w:top w:color="000000" w:sz="4" w:val="single"/>
              <w:left w:color="000000" w:sz="4" w:val="single"/>
              <w:bottom w:color="000000" w:sz="4" w:val="single"/>
              <w:right w:color="000000" w:sz="4" w:val="single"/>
            </w:tcBorders>
            <w:shd w:fill="FFFFFF" w:val="clear"/>
            <w:vAlign w:val="center"/>
          </w:tcPr>
          <w:p w14:paraId="0F270000">
            <w:pPr>
              <w:widowControl w:val="1"/>
              <w:ind/>
              <w:contextualSpacing w:val="1"/>
              <w:jc w:val="center"/>
              <w:rPr>
                <w:sz w:val="22"/>
              </w:rPr>
            </w:pPr>
            <w:r>
              <w:rPr>
                <w:sz w:val="22"/>
              </w:rPr>
              <w:t>счет № СЧК20493 от 16.07.2018</w:t>
            </w:r>
          </w:p>
        </w:tc>
        <w:tc>
          <w:tcPr>
            <w:tcW w:type="dxa" w:w="1274"/>
            <w:tcBorders>
              <w:top w:color="000000" w:sz="4" w:val="single"/>
              <w:left w:color="000000" w:sz="4" w:val="single"/>
              <w:bottom w:color="000000" w:sz="4" w:val="single"/>
              <w:right w:color="000000" w:sz="4" w:val="single"/>
            </w:tcBorders>
            <w:shd w:fill="FFFFFF" w:val="clear"/>
            <w:vAlign w:val="center"/>
          </w:tcPr>
          <w:p w14:paraId="10270000">
            <w:pPr>
              <w:widowControl w:val="1"/>
              <w:ind/>
              <w:contextualSpacing w:val="1"/>
              <w:jc w:val="center"/>
              <w:rPr>
                <w:sz w:val="22"/>
              </w:rPr>
            </w:pPr>
            <w:r>
              <w:rPr>
                <w:sz w:val="22"/>
              </w:rPr>
              <w:t>16.07.2018-20.07.2018</w:t>
            </w:r>
          </w:p>
        </w:tc>
        <w:tc>
          <w:tcPr>
            <w:tcW w:type="dxa" w:w="1556"/>
            <w:tcBorders>
              <w:top w:color="000000" w:sz="4" w:val="single"/>
              <w:left w:color="000000" w:sz="4" w:val="single"/>
              <w:bottom w:color="000000" w:sz="4" w:val="single"/>
              <w:right w:color="000000" w:sz="4" w:val="single"/>
            </w:tcBorders>
            <w:shd w:fill="FFFFFF" w:val="clear"/>
            <w:vAlign w:val="center"/>
          </w:tcPr>
          <w:p w14:paraId="11270000">
            <w:pPr>
              <w:widowControl w:val="1"/>
              <w:ind/>
              <w:contextualSpacing w:val="1"/>
              <w:jc w:val="center"/>
              <w:rPr>
                <w:sz w:val="22"/>
              </w:rPr>
            </w:pPr>
            <w:r>
              <w:rPr>
                <w:sz w:val="22"/>
              </w:rPr>
              <w:t>Поставка комплекта видеонаблюдения</w:t>
            </w:r>
          </w:p>
        </w:tc>
        <w:tc>
          <w:tcPr>
            <w:tcW w:type="dxa" w:w="1194"/>
            <w:tcBorders>
              <w:top w:color="000000" w:sz="4" w:val="single"/>
              <w:left w:color="000000" w:sz="4" w:val="single"/>
              <w:bottom w:color="000000" w:sz="4" w:val="single"/>
              <w:right w:color="000000" w:sz="4" w:val="single"/>
            </w:tcBorders>
            <w:shd w:fill="FFFFFF" w:val="clear"/>
            <w:vAlign w:val="center"/>
          </w:tcPr>
          <w:p w14:paraId="12270000">
            <w:pPr>
              <w:widowControl w:val="1"/>
              <w:ind/>
              <w:contextualSpacing w:val="1"/>
              <w:jc w:val="center"/>
              <w:rPr>
                <w:sz w:val="22"/>
              </w:rPr>
            </w:pPr>
            <w:r>
              <w:rPr>
                <w:sz w:val="22"/>
              </w:rPr>
              <w:t>61787,40</w:t>
            </w:r>
          </w:p>
        </w:tc>
        <w:tc>
          <w:tcPr>
            <w:tcW w:type="dxa" w:w="1221"/>
            <w:tcBorders>
              <w:top w:color="000000" w:sz="4" w:val="single"/>
              <w:left w:color="000000" w:sz="4" w:val="single"/>
              <w:bottom w:color="000000" w:sz="4" w:val="single"/>
              <w:right w:color="000000" w:sz="4" w:val="single"/>
            </w:tcBorders>
            <w:shd w:fill="FFFFFF" w:val="clear"/>
            <w:vAlign w:val="center"/>
          </w:tcPr>
          <w:p w14:paraId="13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4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5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6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17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1827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19270000">
            <w:pPr>
              <w:widowControl w:val="1"/>
              <w:ind/>
              <w:contextualSpacing w:val="1"/>
              <w:rPr>
                <w:color w:val="000000"/>
                <w:sz w:val="22"/>
              </w:rPr>
            </w:pPr>
            <w:r>
              <w:rPr>
                <w:color w:val="000000"/>
                <w:sz w:val="22"/>
              </w:rPr>
              <w:t>244</w:t>
            </w:r>
          </w:p>
        </w:tc>
        <w:tc>
          <w:tcPr>
            <w:tcW w:type="dxa" w:w="1408"/>
            <w:tcBorders>
              <w:top w:color="000000" w:sz="4" w:val="single"/>
              <w:left w:color="000000" w:sz="4" w:val="single"/>
              <w:bottom w:color="000000" w:sz="4" w:val="single"/>
              <w:right w:color="000000" w:sz="4" w:val="single"/>
            </w:tcBorders>
            <w:shd w:fill="FFFFFF" w:val="clear"/>
            <w:vAlign w:val="center"/>
          </w:tcPr>
          <w:p w14:paraId="1A270000">
            <w:pPr>
              <w:widowControl w:val="1"/>
              <w:ind/>
              <w:contextualSpacing w:val="1"/>
              <w:jc w:val="center"/>
              <w:rPr>
                <w:sz w:val="22"/>
              </w:rPr>
            </w:pPr>
            <w:r>
              <w:rPr>
                <w:sz w:val="22"/>
              </w:rPr>
              <w:t>ООО "Техномакс-Красноярск"</w:t>
            </w:r>
          </w:p>
        </w:tc>
        <w:tc>
          <w:tcPr>
            <w:tcW w:type="dxa" w:w="1408"/>
            <w:tcBorders>
              <w:top w:color="000000" w:sz="4" w:val="single"/>
              <w:left w:color="000000" w:sz="4" w:val="single"/>
              <w:bottom w:color="000000" w:sz="4" w:val="single"/>
              <w:right w:color="000000" w:sz="4" w:val="single"/>
            </w:tcBorders>
            <w:shd w:fill="FFFFFF" w:val="clear"/>
            <w:vAlign w:val="center"/>
          </w:tcPr>
          <w:p w14:paraId="1B270000">
            <w:pPr>
              <w:widowControl w:val="1"/>
              <w:ind/>
              <w:contextualSpacing w:val="1"/>
              <w:jc w:val="center"/>
              <w:rPr>
                <w:sz w:val="22"/>
              </w:rPr>
            </w:pPr>
            <w:r>
              <w:rPr>
                <w:sz w:val="22"/>
              </w:rPr>
              <w:t>счет № СЧК23128 от 08.08.2018</w:t>
            </w:r>
          </w:p>
        </w:tc>
        <w:tc>
          <w:tcPr>
            <w:tcW w:type="dxa" w:w="1274"/>
            <w:tcBorders>
              <w:top w:color="000000" w:sz="4" w:val="single"/>
              <w:left w:color="000000" w:sz="4" w:val="single"/>
              <w:bottom w:color="000000" w:sz="4" w:val="single"/>
              <w:right w:color="000000" w:sz="4" w:val="single"/>
            </w:tcBorders>
            <w:shd w:fill="FFFFFF" w:val="clear"/>
            <w:vAlign w:val="center"/>
          </w:tcPr>
          <w:p w14:paraId="1C270000">
            <w:pPr>
              <w:widowControl w:val="1"/>
              <w:ind/>
              <w:contextualSpacing w:val="1"/>
              <w:jc w:val="center"/>
              <w:rPr>
                <w:sz w:val="22"/>
              </w:rPr>
            </w:pPr>
            <w:r>
              <w:rPr>
                <w:sz w:val="22"/>
              </w:rPr>
              <w:t>08.08.2018-20.08.2018</w:t>
            </w:r>
          </w:p>
        </w:tc>
        <w:tc>
          <w:tcPr>
            <w:tcW w:type="dxa" w:w="1556"/>
            <w:tcBorders>
              <w:top w:color="000000" w:sz="4" w:val="single"/>
              <w:left w:color="000000" w:sz="4" w:val="single"/>
              <w:bottom w:color="000000" w:sz="4" w:val="single"/>
              <w:right w:color="000000" w:sz="4" w:val="single"/>
            </w:tcBorders>
            <w:shd w:fill="FFFFFF" w:val="clear"/>
            <w:vAlign w:val="center"/>
          </w:tcPr>
          <w:p w14:paraId="1D270000">
            <w:pPr>
              <w:widowControl w:val="1"/>
              <w:ind/>
              <w:contextualSpacing w:val="1"/>
              <w:jc w:val="center"/>
              <w:rPr>
                <w:sz w:val="22"/>
              </w:rPr>
            </w:pPr>
            <w:r>
              <w:rPr>
                <w:sz w:val="22"/>
              </w:rPr>
              <w:t>поставка внешних аккумуляторов</w:t>
            </w:r>
          </w:p>
        </w:tc>
        <w:tc>
          <w:tcPr>
            <w:tcW w:type="dxa" w:w="1194"/>
            <w:tcBorders>
              <w:top w:color="000000" w:sz="4" w:val="single"/>
              <w:left w:color="000000" w:sz="4" w:val="single"/>
              <w:bottom w:color="000000" w:sz="4" w:val="single"/>
              <w:right w:color="000000" w:sz="4" w:val="single"/>
            </w:tcBorders>
            <w:shd w:fill="FFFFFF" w:val="clear"/>
            <w:vAlign w:val="center"/>
          </w:tcPr>
          <w:p w14:paraId="1E270000">
            <w:pPr>
              <w:widowControl w:val="1"/>
              <w:ind/>
              <w:contextualSpacing w:val="1"/>
              <w:jc w:val="center"/>
              <w:rPr>
                <w:sz w:val="22"/>
              </w:rPr>
            </w:pPr>
            <w:r>
              <w:rPr>
                <w:sz w:val="22"/>
              </w:rPr>
              <w:t>9160,00</w:t>
            </w:r>
          </w:p>
        </w:tc>
        <w:tc>
          <w:tcPr>
            <w:tcW w:type="dxa" w:w="1221"/>
            <w:tcBorders>
              <w:top w:color="000000" w:sz="4" w:val="single"/>
              <w:left w:color="000000" w:sz="4" w:val="single"/>
              <w:bottom w:color="000000" w:sz="4" w:val="single"/>
              <w:right w:color="000000" w:sz="4" w:val="single"/>
            </w:tcBorders>
            <w:shd w:fill="FFFFFF" w:val="clear"/>
            <w:vAlign w:val="center"/>
          </w:tcPr>
          <w:p w14:paraId="1F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0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1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2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23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2427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5270000">
            <w:pPr>
              <w:widowControl w:val="1"/>
              <w:ind/>
              <w:contextualSpacing w:val="1"/>
              <w:rPr>
                <w:color w:val="000000"/>
                <w:sz w:val="22"/>
              </w:rPr>
            </w:pPr>
            <w:r>
              <w:rPr>
                <w:color w:val="000000"/>
                <w:sz w:val="22"/>
              </w:rPr>
              <w:t>245</w:t>
            </w:r>
          </w:p>
        </w:tc>
        <w:tc>
          <w:tcPr>
            <w:tcW w:type="dxa" w:w="1408"/>
            <w:tcBorders>
              <w:top w:color="000000" w:sz="4" w:val="single"/>
              <w:left w:color="000000" w:sz="4" w:val="single"/>
              <w:bottom w:color="000000" w:sz="4" w:val="single"/>
              <w:right w:color="000000" w:sz="4" w:val="single"/>
            </w:tcBorders>
            <w:shd w:fill="FFFFFF" w:val="clear"/>
            <w:vAlign w:val="center"/>
          </w:tcPr>
          <w:p w14:paraId="26270000">
            <w:pPr>
              <w:widowControl w:val="1"/>
              <w:ind/>
              <w:contextualSpacing w:val="1"/>
              <w:jc w:val="center"/>
              <w:rPr>
                <w:sz w:val="22"/>
              </w:rPr>
            </w:pPr>
            <w:r>
              <w:rPr>
                <w:sz w:val="22"/>
              </w:rPr>
              <w:t>ООО "Техномакс-Красноярск"</w:t>
            </w:r>
          </w:p>
        </w:tc>
        <w:tc>
          <w:tcPr>
            <w:tcW w:type="dxa" w:w="1408"/>
            <w:tcBorders>
              <w:top w:color="000000" w:sz="4" w:val="single"/>
              <w:left w:color="000000" w:sz="4" w:val="single"/>
              <w:bottom w:color="000000" w:sz="4" w:val="single"/>
              <w:right w:color="000000" w:sz="4" w:val="single"/>
            </w:tcBorders>
            <w:shd w:fill="FFFFFF" w:val="clear"/>
            <w:vAlign w:val="center"/>
          </w:tcPr>
          <w:p w14:paraId="27270000">
            <w:pPr>
              <w:widowControl w:val="1"/>
              <w:ind/>
              <w:contextualSpacing w:val="1"/>
              <w:jc w:val="center"/>
              <w:rPr>
                <w:sz w:val="22"/>
              </w:rPr>
            </w:pPr>
            <w:r>
              <w:rPr>
                <w:sz w:val="22"/>
              </w:rPr>
              <w:t>договор № 107 от 02.10.2018</w:t>
            </w:r>
          </w:p>
        </w:tc>
        <w:tc>
          <w:tcPr>
            <w:tcW w:type="dxa" w:w="1274"/>
            <w:tcBorders>
              <w:top w:color="000000" w:sz="4" w:val="single"/>
              <w:left w:color="000000" w:sz="4" w:val="single"/>
              <w:bottom w:color="000000" w:sz="4" w:val="single"/>
              <w:right w:color="000000" w:sz="4" w:val="single"/>
            </w:tcBorders>
            <w:shd w:fill="FFFFFF" w:val="clear"/>
            <w:vAlign w:val="center"/>
          </w:tcPr>
          <w:p w14:paraId="28270000">
            <w:pPr>
              <w:widowControl w:val="1"/>
              <w:ind/>
              <w:contextualSpacing w:val="1"/>
              <w:jc w:val="center"/>
              <w:rPr>
                <w:sz w:val="22"/>
              </w:rPr>
            </w:pPr>
            <w:r>
              <w:rPr>
                <w:sz w:val="22"/>
              </w:rPr>
              <w:t>01.10.2018-31.10.2018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29270000">
            <w:pPr>
              <w:widowControl w:val="1"/>
              <w:ind/>
              <w:contextualSpacing w:val="1"/>
              <w:jc w:val="center"/>
              <w:rPr>
                <w:sz w:val="22"/>
              </w:rPr>
            </w:pPr>
            <w:r>
              <w:rPr>
                <w:sz w:val="22"/>
              </w:rPr>
              <w:t>поставка компьютерного оборудования</w:t>
            </w:r>
          </w:p>
        </w:tc>
        <w:tc>
          <w:tcPr>
            <w:tcW w:type="dxa" w:w="1194"/>
            <w:tcBorders>
              <w:top w:color="000000" w:sz="4" w:val="single"/>
              <w:left w:color="000000" w:sz="4" w:val="single"/>
              <w:bottom w:color="000000" w:sz="4" w:val="single"/>
              <w:right w:color="000000" w:sz="4" w:val="single"/>
            </w:tcBorders>
            <w:shd w:fill="FFFFFF" w:val="clear"/>
            <w:vAlign w:val="center"/>
          </w:tcPr>
          <w:p w14:paraId="2A270000">
            <w:pPr>
              <w:widowControl w:val="1"/>
              <w:ind/>
              <w:contextualSpacing w:val="1"/>
              <w:jc w:val="center"/>
              <w:rPr>
                <w:sz w:val="22"/>
              </w:rPr>
            </w:pPr>
            <w:r>
              <w:rPr>
                <w:sz w:val="22"/>
              </w:rPr>
              <w:t>739683</w:t>
            </w:r>
          </w:p>
        </w:tc>
        <w:tc>
          <w:tcPr>
            <w:tcW w:type="dxa" w:w="1221"/>
            <w:tcBorders>
              <w:top w:color="000000" w:sz="4" w:val="single"/>
              <w:left w:color="000000" w:sz="4" w:val="single"/>
              <w:bottom w:color="000000" w:sz="4" w:val="single"/>
              <w:right w:color="000000" w:sz="4" w:val="single"/>
            </w:tcBorders>
            <w:shd w:fill="FFFFFF" w:val="clear"/>
            <w:vAlign w:val="center"/>
          </w:tcPr>
          <w:p w14:paraId="2B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C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D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E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2F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0270000">
            <w:pPr>
              <w:widowControl w:val="1"/>
              <w:ind/>
              <w:contextualSpacing w:val="1"/>
              <w:jc w:val="center"/>
              <w:rPr>
                <w:sz w:val="22"/>
              </w:rPr>
            </w:pPr>
            <w:r>
              <w:rPr>
                <w:sz w:val="22"/>
              </w:rPr>
              <w:t>Протокол проведения открытого аукциона в электронной форме № 27140/ОАЭ-АО «Краспригород»/2018/КРА/2 от 10.09.2018</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1270000">
            <w:pPr>
              <w:widowControl w:val="1"/>
              <w:ind/>
              <w:contextualSpacing w:val="1"/>
              <w:rPr>
                <w:color w:val="000000"/>
                <w:sz w:val="22"/>
              </w:rPr>
            </w:pPr>
            <w:r>
              <w:rPr>
                <w:color w:val="000000"/>
                <w:sz w:val="22"/>
              </w:rPr>
              <w:t>246</w:t>
            </w:r>
          </w:p>
        </w:tc>
        <w:tc>
          <w:tcPr>
            <w:tcW w:type="dxa" w:w="1408"/>
            <w:tcBorders>
              <w:top w:color="000000" w:sz="4" w:val="single"/>
              <w:left w:color="000000" w:sz="4" w:val="single"/>
              <w:bottom w:color="000000" w:sz="4" w:val="single"/>
              <w:right w:color="000000" w:sz="4" w:val="single"/>
            </w:tcBorders>
            <w:shd w:fill="FFFFFF" w:val="clear"/>
            <w:vAlign w:val="center"/>
          </w:tcPr>
          <w:p w14:paraId="32270000">
            <w:pPr>
              <w:widowControl w:val="1"/>
              <w:ind/>
              <w:contextualSpacing w:val="1"/>
              <w:jc w:val="center"/>
              <w:rPr>
                <w:sz w:val="22"/>
              </w:rPr>
            </w:pPr>
            <w:r>
              <w:rPr>
                <w:sz w:val="22"/>
              </w:rPr>
              <w:t>ООО "Техномакс-Красноярск"</w:t>
            </w:r>
          </w:p>
        </w:tc>
        <w:tc>
          <w:tcPr>
            <w:tcW w:type="dxa" w:w="1408"/>
            <w:tcBorders>
              <w:top w:color="000000" w:sz="4" w:val="single"/>
              <w:left w:color="000000" w:sz="4" w:val="single"/>
              <w:bottom w:color="000000" w:sz="4" w:val="single"/>
              <w:right w:color="000000" w:sz="4" w:val="single"/>
            </w:tcBorders>
            <w:shd w:fill="FFFFFF" w:val="clear"/>
            <w:vAlign w:val="center"/>
          </w:tcPr>
          <w:p w14:paraId="33270000">
            <w:pPr>
              <w:widowControl w:val="1"/>
              <w:ind/>
              <w:contextualSpacing w:val="1"/>
              <w:jc w:val="center"/>
              <w:rPr>
                <w:sz w:val="22"/>
              </w:rPr>
            </w:pPr>
            <w:r>
              <w:rPr>
                <w:sz w:val="22"/>
              </w:rPr>
              <w:t>счет № СЧК30840 от 10.10.2018</w:t>
            </w:r>
          </w:p>
        </w:tc>
        <w:tc>
          <w:tcPr>
            <w:tcW w:type="dxa" w:w="1274"/>
            <w:tcBorders>
              <w:top w:color="000000" w:sz="4" w:val="single"/>
              <w:left w:color="000000" w:sz="4" w:val="single"/>
              <w:bottom w:color="000000" w:sz="4" w:val="single"/>
              <w:right w:color="000000" w:sz="4" w:val="single"/>
            </w:tcBorders>
            <w:shd w:fill="FFFFFF" w:val="clear"/>
            <w:vAlign w:val="center"/>
          </w:tcPr>
          <w:p w14:paraId="34270000">
            <w:pPr>
              <w:widowControl w:val="1"/>
              <w:ind/>
              <w:contextualSpacing w:val="1"/>
              <w:jc w:val="center"/>
              <w:rPr>
                <w:sz w:val="22"/>
              </w:rPr>
            </w:pPr>
            <w:r>
              <w:rPr>
                <w:sz w:val="22"/>
              </w:rPr>
              <w:t>10.10.2018-31.10.2018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35270000">
            <w:pPr>
              <w:widowControl w:val="1"/>
              <w:ind/>
              <w:contextualSpacing w:val="1"/>
              <w:jc w:val="center"/>
              <w:rPr>
                <w:sz w:val="22"/>
              </w:rPr>
            </w:pPr>
            <w:r>
              <w:rPr>
                <w:sz w:val="22"/>
              </w:rPr>
              <w:t>поставка жесткого диска</w:t>
            </w:r>
          </w:p>
        </w:tc>
        <w:tc>
          <w:tcPr>
            <w:tcW w:type="dxa" w:w="1194"/>
            <w:tcBorders>
              <w:top w:color="000000" w:sz="4" w:val="single"/>
              <w:left w:color="000000" w:sz="4" w:val="single"/>
              <w:bottom w:color="000000" w:sz="4" w:val="single"/>
              <w:right w:color="000000" w:sz="4" w:val="single"/>
            </w:tcBorders>
            <w:shd w:fill="FFFFFF" w:val="clear"/>
            <w:vAlign w:val="center"/>
          </w:tcPr>
          <w:p w14:paraId="36270000">
            <w:pPr>
              <w:widowControl w:val="1"/>
              <w:ind/>
              <w:contextualSpacing w:val="1"/>
              <w:jc w:val="center"/>
              <w:rPr>
                <w:sz w:val="22"/>
              </w:rPr>
            </w:pPr>
            <w:r>
              <w:rPr>
                <w:sz w:val="22"/>
              </w:rPr>
              <w:t>15000,00</w:t>
            </w:r>
          </w:p>
        </w:tc>
        <w:tc>
          <w:tcPr>
            <w:tcW w:type="dxa" w:w="1221"/>
            <w:tcBorders>
              <w:top w:color="000000" w:sz="4" w:val="single"/>
              <w:left w:color="000000" w:sz="4" w:val="single"/>
              <w:bottom w:color="000000" w:sz="4" w:val="single"/>
              <w:right w:color="000000" w:sz="4" w:val="single"/>
            </w:tcBorders>
            <w:shd w:fill="FFFFFF" w:val="clear"/>
            <w:vAlign w:val="center"/>
          </w:tcPr>
          <w:p w14:paraId="37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38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39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A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3B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C27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D270000">
            <w:pPr>
              <w:widowControl w:val="1"/>
              <w:ind/>
              <w:contextualSpacing w:val="1"/>
              <w:rPr>
                <w:color w:val="000000"/>
                <w:sz w:val="22"/>
              </w:rPr>
            </w:pPr>
            <w:r>
              <w:rPr>
                <w:color w:val="000000"/>
                <w:sz w:val="22"/>
              </w:rPr>
              <w:t>247</w:t>
            </w:r>
          </w:p>
        </w:tc>
        <w:tc>
          <w:tcPr>
            <w:tcW w:type="dxa" w:w="1408"/>
            <w:tcBorders>
              <w:top w:color="000000" w:sz="4" w:val="single"/>
              <w:left w:color="000000" w:sz="4" w:val="single"/>
              <w:bottom w:color="000000" w:sz="4" w:val="single"/>
              <w:right w:color="000000" w:sz="4" w:val="single"/>
            </w:tcBorders>
            <w:shd w:fill="FFFFFF" w:val="clear"/>
            <w:vAlign w:val="center"/>
          </w:tcPr>
          <w:p w14:paraId="3E270000">
            <w:pPr>
              <w:widowControl w:val="1"/>
              <w:ind/>
              <w:contextualSpacing w:val="1"/>
              <w:jc w:val="center"/>
              <w:rPr>
                <w:sz w:val="22"/>
              </w:rPr>
            </w:pPr>
            <w:r>
              <w:rPr>
                <w:sz w:val="22"/>
              </w:rPr>
              <w:t>ООО "Техномакс-Красноярск"</w:t>
            </w:r>
          </w:p>
        </w:tc>
        <w:tc>
          <w:tcPr>
            <w:tcW w:type="dxa" w:w="1408"/>
            <w:tcBorders>
              <w:top w:color="000000" w:sz="4" w:val="single"/>
              <w:left w:color="000000" w:sz="4" w:val="single"/>
              <w:bottom w:color="000000" w:sz="4" w:val="single"/>
              <w:right w:color="000000" w:sz="4" w:val="single"/>
            </w:tcBorders>
            <w:shd w:fill="FFFFFF" w:val="clear"/>
            <w:vAlign w:val="center"/>
          </w:tcPr>
          <w:p w14:paraId="3F270000">
            <w:pPr>
              <w:widowControl w:val="1"/>
              <w:ind/>
              <w:contextualSpacing w:val="1"/>
              <w:jc w:val="center"/>
              <w:rPr>
                <w:sz w:val="22"/>
              </w:rPr>
            </w:pPr>
            <w:r>
              <w:rPr>
                <w:sz w:val="22"/>
              </w:rPr>
              <w:t>счет № СЧК30839 от 10.10.2018</w:t>
            </w:r>
          </w:p>
        </w:tc>
        <w:tc>
          <w:tcPr>
            <w:tcW w:type="dxa" w:w="1274"/>
            <w:tcBorders>
              <w:top w:color="000000" w:sz="4" w:val="single"/>
              <w:left w:color="000000" w:sz="4" w:val="single"/>
              <w:bottom w:color="000000" w:sz="4" w:val="single"/>
              <w:right w:color="000000" w:sz="4" w:val="single"/>
            </w:tcBorders>
            <w:shd w:fill="FFFFFF" w:val="clear"/>
            <w:vAlign w:val="center"/>
          </w:tcPr>
          <w:p w14:paraId="40270000">
            <w:pPr>
              <w:widowControl w:val="1"/>
              <w:ind/>
              <w:contextualSpacing w:val="1"/>
              <w:jc w:val="center"/>
              <w:rPr>
                <w:sz w:val="22"/>
              </w:rPr>
            </w:pPr>
            <w:r>
              <w:rPr>
                <w:sz w:val="22"/>
              </w:rPr>
              <w:t>10.10.2018-31.10.2018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41270000">
            <w:pPr>
              <w:widowControl w:val="1"/>
              <w:ind/>
              <w:contextualSpacing w:val="1"/>
              <w:jc w:val="center"/>
              <w:rPr>
                <w:sz w:val="22"/>
              </w:rPr>
            </w:pPr>
            <w:r>
              <w:rPr>
                <w:sz w:val="22"/>
              </w:rPr>
              <w:t>поставка видеорегистратора</w:t>
            </w:r>
          </w:p>
        </w:tc>
        <w:tc>
          <w:tcPr>
            <w:tcW w:type="dxa" w:w="1194"/>
            <w:tcBorders>
              <w:top w:color="000000" w:sz="4" w:val="single"/>
              <w:left w:color="000000" w:sz="4" w:val="single"/>
              <w:bottom w:color="000000" w:sz="4" w:val="single"/>
              <w:right w:color="000000" w:sz="4" w:val="single"/>
            </w:tcBorders>
            <w:shd w:fill="FFFFFF" w:val="clear"/>
            <w:vAlign w:val="center"/>
          </w:tcPr>
          <w:p w14:paraId="42270000">
            <w:pPr>
              <w:widowControl w:val="1"/>
              <w:ind/>
              <w:contextualSpacing w:val="1"/>
              <w:jc w:val="center"/>
              <w:rPr>
                <w:sz w:val="22"/>
              </w:rPr>
            </w:pPr>
            <w:r>
              <w:rPr>
                <w:sz w:val="22"/>
              </w:rPr>
              <w:t>41500,00</w:t>
            </w:r>
          </w:p>
        </w:tc>
        <w:tc>
          <w:tcPr>
            <w:tcW w:type="dxa" w:w="1221"/>
            <w:tcBorders>
              <w:top w:color="000000" w:sz="4" w:val="single"/>
              <w:left w:color="000000" w:sz="4" w:val="single"/>
              <w:bottom w:color="000000" w:sz="4" w:val="single"/>
              <w:right w:color="000000" w:sz="4" w:val="single"/>
            </w:tcBorders>
            <w:shd w:fill="FFFFFF" w:val="clear"/>
            <w:vAlign w:val="center"/>
          </w:tcPr>
          <w:p w14:paraId="43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4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5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6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47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4827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46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49270000">
            <w:pPr>
              <w:widowControl w:val="1"/>
              <w:ind/>
              <w:contextualSpacing w:val="1"/>
              <w:jc w:val="center"/>
              <w:rPr>
                <w:color w:val="000000"/>
                <w:sz w:val="22"/>
              </w:rPr>
            </w:pPr>
            <w:r>
              <w:rPr>
                <w:color w:val="000000"/>
                <w:sz w:val="22"/>
              </w:rPr>
              <w:t>итого по контрагенту ООО "Техномакс-Красноярск" 867130,40 руб.</w:t>
            </w:r>
          </w:p>
          <w:p w14:paraId="4A270000">
            <w:pPr>
              <w:widowControl w:val="1"/>
              <w:ind/>
              <w:contextualSpacing w:val="1"/>
              <w:jc w:val="center"/>
              <w:rPr>
                <w:color w:val="000000"/>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4B270000">
            <w:pPr>
              <w:widowControl w:val="1"/>
              <w:ind/>
              <w:contextualSpacing w:val="1"/>
              <w:rPr>
                <w:color w:val="000000"/>
                <w:sz w:val="22"/>
              </w:rPr>
            </w:pPr>
            <w:r>
              <w:rPr>
                <w:color w:val="000000"/>
                <w:sz w:val="22"/>
              </w:rPr>
              <w:t>248</w:t>
            </w:r>
          </w:p>
        </w:tc>
        <w:tc>
          <w:tcPr>
            <w:tcW w:type="dxa" w:w="1408"/>
            <w:tcBorders>
              <w:top w:color="000000" w:sz="4" w:val="single"/>
              <w:left w:color="000000" w:sz="4" w:val="single"/>
              <w:bottom w:color="000000" w:sz="4" w:val="single"/>
              <w:right w:color="000000" w:sz="4" w:val="single"/>
            </w:tcBorders>
            <w:shd w:fill="FFFFFF" w:val="clear"/>
            <w:vAlign w:val="center"/>
          </w:tcPr>
          <w:p w14:paraId="4C270000">
            <w:pPr>
              <w:widowControl w:val="1"/>
              <w:ind/>
              <w:contextualSpacing w:val="1"/>
              <w:jc w:val="center"/>
              <w:rPr>
                <w:sz w:val="22"/>
              </w:rPr>
            </w:pPr>
            <w:r>
              <w:rPr>
                <w:sz w:val="22"/>
              </w:rPr>
              <w:t>ОАО "ИнфоТеКС"</w:t>
            </w:r>
          </w:p>
        </w:tc>
        <w:tc>
          <w:tcPr>
            <w:tcW w:type="dxa" w:w="1408"/>
            <w:tcBorders>
              <w:top w:color="000000" w:sz="4" w:val="single"/>
              <w:left w:color="000000" w:sz="4" w:val="single"/>
              <w:bottom w:color="000000" w:sz="4" w:val="single"/>
              <w:right w:color="000000" w:sz="4" w:val="single"/>
            </w:tcBorders>
            <w:shd w:fill="FFFFFF" w:val="clear"/>
            <w:vAlign w:val="center"/>
          </w:tcPr>
          <w:p w14:paraId="4D270000">
            <w:pPr>
              <w:widowControl w:val="1"/>
              <w:ind/>
              <w:contextualSpacing w:val="1"/>
              <w:jc w:val="center"/>
              <w:rPr>
                <w:sz w:val="22"/>
              </w:rPr>
            </w:pPr>
            <w:r>
              <w:rPr>
                <w:sz w:val="22"/>
              </w:rPr>
              <w:t>счет № 909-1183117/1 от 31.07.2018</w:t>
            </w:r>
          </w:p>
        </w:tc>
        <w:tc>
          <w:tcPr>
            <w:tcW w:type="dxa" w:w="1274"/>
            <w:tcBorders>
              <w:top w:color="000000" w:sz="4" w:val="single"/>
              <w:left w:color="000000" w:sz="4" w:val="single"/>
              <w:bottom w:color="000000" w:sz="4" w:val="single"/>
              <w:right w:color="000000" w:sz="4" w:val="single"/>
            </w:tcBorders>
            <w:shd w:fill="FFFFFF" w:val="clear"/>
            <w:vAlign w:val="center"/>
          </w:tcPr>
          <w:p w14:paraId="4E270000">
            <w:pPr>
              <w:widowControl w:val="1"/>
              <w:ind/>
              <w:contextualSpacing w:val="1"/>
              <w:jc w:val="center"/>
              <w:rPr>
                <w:sz w:val="22"/>
              </w:rPr>
            </w:pPr>
            <w:r>
              <w:rPr>
                <w:sz w:val="22"/>
              </w:rPr>
              <w:t>01.08.2018-12.08.2018</w:t>
            </w:r>
          </w:p>
        </w:tc>
        <w:tc>
          <w:tcPr>
            <w:tcW w:type="dxa" w:w="1556"/>
            <w:tcBorders>
              <w:top w:color="000000" w:sz="4" w:val="single"/>
              <w:left w:color="000000" w:sz="4" w:val="single"/>
              <w:bottom w:color="000000" w:sz="4" w:val="single"/>
              <w:right w:color="000000" w:sz="4" w:val="single"/>
            </w:tcBorders>
            <w:shd w:fill="FFFFFF" w:val="clear"/>
            <w:vAlign w:val="center"/>
          </w:tcPr>
          <w:p w14:paraId="4F270000">
            <w:pPr>
              <w:widowControl w:val="1"/>
              <w:ind/>
              <w:contextualSpacing w:val="1"/>
              <w:jc w:val="center"/>
              <w:rPr>
                <w:sz w:val="22"/>
              </w:rPr>
            </w:pPr>
            <w:r>
              <w:rPr>
                <w:sz w:val="22"/>
              </w:rPr>
              <w:t>оказание услуг по передаче прав на использование ПО VIPNet</w:t>
            </w:r>
          </w:p>
        </w:tc>
        <w:tc>
          <w:tcPr>
            <w:tcW w:type="dxa" w:w="1194"/>
            <w:tcBorders>
              <w:top w:color="000000" w:sz="4" w:val="single"/>
              <w:left w:color="000000" w:sz="4" w:val="single"/>
              <w:bottom w:color="000000" w:sz="4" w:val="single"/>
              <w:right w:color="000000" w:sz="4" w:val="single"/>
            </w:tcBorders>
            <w:shd w:fill="FFFFFF" w:val="clear"/>
            <w:vAlign w:val="center"/>
          </w:tcPr>
          <w:p w14:paraId="50270000">
            <w:pPr>
              <w:widowControl w:val="1"/>
              <w:ind/>
              <w:contextualSpacing w:val="1"/>
              <w:jc w:val="center"/>
              <w:rPr>
                <w:sz w:val="22"/>
              </w:rPr>
            </w:pPr>
            <w:r>
              <w:rPr>
                <w:sz w:val="22"/>
              </w:rPr>
              <w:t>5710,00</w:t>
            </w:r>
          </w:p>
        </w:tc>
        <w:tc>
          <w:tcPr>
            <w:tcW w:type="dxa" w:w="1221"/>
            <w:tcBorders>
              <w:top w:color="000000" w:sz="4" w:val="single"/>
              <w:left w:color="000000" w:sz="4" w:val="single"/>
              <w:bottom w:color="000000" w:sz="4" w:val="single"/>
              <w:right w:color="000000" w:sz="4" w:val="single"/>
            </w:tcBorders>
            <w:shd w:fill="FFFFFF" w:val="clear"/>
            <w:vAlign w:val="center"/>
          </w:tcPr>
          <w:p w14:paraId="51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2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3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4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55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5627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57270000">
            <w:pPr>
              <w:widowControl w:val="1"/>
              <w:ind/>
              <w:contextualSpacing w:val="1"/>
              <w:rPr>
                <w:color w:val="000000"/>
                <w:sz w:val="22"/>
              </w:rPr>
            </w:pPr>
            <w:r>
              <w:rPr>
                <w:color w:val="000000"/>
                <w:sz w:val="22"/>
              </w:rPr>
              <w:t>249</w:t>
            </w:r>
          </w:p>
        </w:tc>
        <w:tc>
          <w:tcPr>
            <w:tcW w:type="dxa" w:w="1408"/>
            <w:tcBorders>
              <w:top w:color="000000" w:sz="4" w:val="single"/>
              <w:left w:color="000000" w:sz="4" w:val="single"/>
              <w:bottom w:color="000000" w:sz="4" w:val="single"/>
              <w:right w:color="000000" w:sz="4" w:val="single"/>
            </w:tcBorders>
            <w:shd w:fill="FFFFFF" w:val="clear"/>
            <w:vAlign w:val="center"/>
          </w:tcPr>
          <w:p w14:paraId="58270000">
            <w:pPr>
              <w:widowControl w:val="1"/>
              <w:ind/>
              <w:contextualSpacing w:val="1"/>
              <w:jc w:val="center"/>
              <w:rPr>
                <w:sz w:val="22"/>
              </w:rPr>
            </w:pPr>
            <w:r>
              <w:rPr>
                <w:sz w:val="22"/>
              </w:rPr>
              <w:t>ОАО "ИнфоТЕКС"</w:t>
            </w:r>
          </w:p>
        </w:tc>
        <w:tc>
          <w:tcPr>
            <w:tcW w:type="dxa" w:w="1408"/>
            <w:tcBorders>
              <w:top w:color="000000" w:sz="4" w:val="single"/>
              <w:left w:color="000000" w:sz="4" w:val="single"/>
              <w:bottom w:color="000000" w:sz="4" w:val="single"/>
              <w:right w:color="000000" w:sz="4" w:val="single"/>
            </w:tcBorders>
            <w:shd w:fill="FFFFFF" w:val="clear"/>
            <w:vAlign w:val="center"/>
          </w:tcPr>
          <w:p w14:paraId="59270000">
            <w:pPr>
              <w:widowControl w:val="1"/>
              <w:ind/>
              <w:contextualSpacing w:val="1"/>
              <w:jc w:val="center"/>
              <w:rPr>
                <w:sz w:val="22"/>
              </w:rPr>
            </w:pPr>
            <w:r>
              <w:rPr>
                <w:sz w:val="22"/>
              </w:rPr>
              <w:t>счет № 847-12732118/1 от 25.12.2018</w:t>
            </w:r>
          </w:p>
        </w:tc>
        <w:tc>
          <w:tcPr>
            <w:tcW w:type="dxa" w:w="1274"/>
            <w:tcBorders>
              <w:top w:color="000000" w:sz="4" w:val="single"/>
              <w:left w:color="000000" w:sz="4" w:val="single"/>
              <w:bottom w:color="000000" w:sz="4" w:val="single"/>
              <w:right w:color="000000" w:sz="4" w:val="single"/>
            </w:tcBorders>
            <w:shd w:fill="FFFFFF" w:val="clear"/>
            <w:vAlign w:val="center"/>
          </w:tcPr>
          <w:p w14:paraId="5A270000">
            <w:pPr>
              <w:widowControl w:val="1"/>
              <w:ind/>
              <w:contextualSpacing w:val="1"/>
              <w:jc w:val="center"/>
              <w:rPr>
                <w:sz w:val="22"/>
              </w:rPr>
            </w:pPr>
            <w:r>
              <w:rPr>
                <w:sz w:val="22"/>
              </w:rPr>
              <w:t>25.12.2018-29.12.2018</w:t>
            </w:r>
          </w:p>
        </w:tc>
        <w:tc>
          <w:tcPr>
            <w:tcW w:type="dxa" w:w="1556"/>
            <w:tcBorders>
              <w:top w:color="000000" w:sz="4" w:val="single"/>
              <w:left w:color="000000" w:sz="4" w:val="single"/>
              <w:bottom w:color="000000" w:sz="4" w:val="single"/>
              <w:right w:color="000000" w:sz="4" w:val="single"/>
            </w:tcBorders>
            <w:shd w:fill="FFFFFF" w:val="clear"/>
            <w:vAlign w:val="center"/>
          </w:tcPr>
          <w:p w14:paraId="5B270000">
            <w:pPr>
              <w:widowControl w:val="1"/>
              <w:ind/>
              <w:contextualSpacing w:val="1"/>
              <w:jc w:val="center"/>
              <w:rPr>
                <w:sz w:val="22"/>
              </w:rPr>
            </w:pPr>
            <w:r>
              <w:rPr>
                <w:sz w:val="22"/>
              </w:rPr>
              <w:t>предоставление права пользования ПО</w:t>
            </w:r>
          </w:p>
        </w:tc>
        <w:tc>
          <w:tcPr>
            <w:tcW w:type="dxa" w:w="1194"/>
            <w:tcBorders>
              <w:top w:color="000000" w:sz="4" w:val="single"/>
              <w:left w:color="000000" w:sz="4" w:val="single"/>
              <w:bottom w:color="000000" w:sz="4" w:val="single"/>
              <w:right w:color="000000" w:sz="4" w:val="single"/>
            </w:tcBorders>
            <w:shd w:fill="FFFFFF" w:val="clear"/>
            <w:vAlign w:val="center"/>
          </w:tcPr>
          <w:p w14:paraId="5C270000">
            <w:pPr>
              <w:widowControl w:val="1"/>
              <w:ind/>
              <w:contextualSpacing w:val="1"/>
              <w:jc w:val="center"/>
              <w:rPr>
                <w:sz w:val="22"/>
              </w:rPr>
            </w:pPr>
            <w:r>
              <w:rPr>
                <w:sz w:val="22"/>
              </w:rPr>
              <w:t>45202,50</w:t>
            </w:r>
          </w:p>
        </w:tc>
        <w:tc>
          <w:tcPr>
            <w:tcW w:type="dxa" w:w="1221"/>
            <w:tcBorders>
              <w:top w:color="000000" w:sz="4" w:val="single"/>
              <w:left w:color="000000" w:sz="4" w:val="single"/>
              <w:bottom w:color="000000" w:sz="4" w:val="single"/>
              <w:right w:color="000000" w:sz="4" w:val="single"/>
            </w:tcBorders>
            <w:shd w:fill="FFFFFF" w:val="clear"/>
            <w:vAlign w:val="center"/>
          </w:tcPr>
          <w:p w14:paraId="5D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E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F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027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61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6227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631"/>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63270000">
            <w:pPr>
              <w:widowControl w:val="1"/>
              <w:ind/>
              <w:contextualSpacing w:val="1"/>
              <w:jc w:val="center"/>
              <w:rPr>
                <w:color w:val="000000"/>
                <w:sz w:val="22"/>
              </w:rPr>
            </w:pPr>
            <w:r>
              <w:rPr>
                <w:color w:val="000000"/>
                <w:sz w:val="22"/>
              </w:rPr>
              <w:t>итогопо контрагенту ОАО "ИнфоТЕКС" 50912,50 руб.</w:t>
            </w:r>
          </w:p>
          <w:p w14:paraId="64270000">
            <w:pPr>
              <w:widowControl w:val="1"/>
              <w:ind/>
              <w:contextualSpacing w:val="1"/>
              <w:jc w:val="center"/>
              <w:rPr>
                <w:sz w:val="22"/>
              </w:rPr>
            </w:pPr>
          </w:p>
        </w:tc>
      </w:tr>
      <w:tr>
        <w:trPr>
          <w:trHeight w:hRule="atLeast" w:val="1965"/>
        </w:trPr>
        <w:tc>
          <w:tcPr>
            <w:tcW w:type="dxa" w:w="528"/>
            <w:tcBorders>
              <w:top w:color="000000" w:sz="4" w:val="single"/>
              <w:left w:color="000000" w:sz="4" w:val="single"/>
              <w:bottom w:color="000000" w:sz="4" w:val="single"/>
              <w:right w:color="000000" w:sz="4" w:val="single"/>
            </w:tcBorders>
            <w:shd w:fill="FFFFFF" w:val="clear"/>
            <w:vAlign w:val="center"/>
          </w:tcPr>
          <w:p w14:paraId="65270000">
            <w:pPr>
              <w:widowControl w:val="1"/>
              <w:ind/>
              <w:contextualSpacing w:val="1"/>
              <w:rPr>
                <w:color w:val="000000"/>
                <w:sz w:val="22"/>
              </w:rPr>
            </w:pPr>
            <w:r>
              <w:rPr>
                <w:color w:val="000000"/>
                <w:sz w:val="22"/>
              </w:rPr>
              <w:t>250</w:t>
            </w:r>
          </w:p>
        </w:tc>
        <w:tc>
          <w:tcPr>
            <w:tcW w:type="dxa" w:w="1408"/>
            <w:tcBorders>
              <w:top w:color="000000" w:sz="4" w:val="single"/>
              <w:left w:color="000000" w:sz="4" w:val="single"/>
              <w:bottom w:color="000000" w:sz="4" w:val="single"/>
              <w:right w:color="000000" w:sz="4" w:val="single"/>
            </w:tcBorders>
            <w:shd w:fill="FFFFFF" w:val="clear"/>
            <w:vAlign w:val="center"/>
          </w:tcPr>
          <w:p w14:paraId="66270000">
            <w:pPr>
              <w:widowControl w:val="1"/>
              <w:ind/>
              <w:contextualSpacing w:val="1"/>
              <w:jc w:val="center"/>
              <w:rPr>
                <w:sz w:val="22"/>
              </w:rPr>
            </w:pPr>
            <w:r>
              <w:rPr>
                <w:sz w:val="22"/>
              </w:rPr>
              <w:t>ООО "В контакте"</w:t>
            </w:r>
          </w:p>
        </w:tc>
        <w:tc>
          <w:tcPr>
            <w:tcW w:type="dxa" w:w="1408"/>
            <w:tcBorders>
              <w:top w:color="000000" w:sz="4" w:val="single"/>
              <w:left w:color="000000" w:sz="4" w:val="single"/>
              <w:bottom w:color="000000" w:sz="4" w:val="single"/>
              <w:right w:color="000000" w:sz="4" w:val="single"/>
            </w:tcBorders>
            <w:shd w:fill="FFFFFF" w:val="clear"/>
            <w:vAlign w:val="center"/>
          </w:tcPr>
          <w:p w14:paraId="67270000">
            <w:pPr>
              <w:widowControl w:val="1"/>
              <w:ind/>
              <w:contextualSpacing w:val="1"/>
              <w:jc w:val="center"/>
              <w:rPr>
                <w:sz w:val="22"/>
              </w:rPr>
            </w:pPr>
            <w:r>
              <w:rPr>
                <w:sz w:val="22"/>
              </w:rPr>
              <w:t>счет № 7175386 от 27.08.2018</w:t>
            </w:r>
          </w:p>
        </w:tc>
        <w:tc>
          <w:tcPr>
            <w:tcW w:type="dxa" w:w="1274"/>
            <w:tcBorders>
              <w:top w:color="000000" w:sz="4" w:val="single"/>
              <w:left w:color="000000" w:sz="4" w:val="single"/>
              <w:bottom w:color="000000" w:sz="4" w:val="single"/>
              <w:right w:color="000000" w:sz="4" w:val="single"/>
            </w:tcBorders>
            <w:shd w:fill="FFFFFF" w:val="clear"/>
            <w:vAlign w:val="center"/>
          </w:tcPr>
          <w:p w14:paraId="68270000">
            <w:pPr>
              <w:widowControl w:val="1"/>
              <w:ind/>
              <w:contextualSpacing w:val="1"/>
              <w:jc w:val="center"/>
              <w:rPr>
                <w:sz w:val="22"/>
              </w:rPr>
            </w:pPr>
            <w:r>
              <w:rPr>
                <w:sz w:val="22"/>
              </w:rPr>
              <w:t>27.08.2018-30.08.2018</w:t>
            </w:r>
          </w:p>
        </w:tc>
        <w:tc>
          <w:tcPr>
            <w:tcW w:type="dxa" w:w="1556"/>
            <w:tcBorders>
              <w:top w:color="000000" w:sz="4" w:val="single"/>
              <w:left w:color="000000" w:sz="4" w:val="single"/>
              <w:bottom w:color="000000" w:sz="4" w:val="single"/>
              <w:right w:color="000000" w:sz="4" w:val="single"/>
            </w:tcBorders>
            <w:shd w:fill="FFFFFF" w:val="clear"/>
            <w:vAlign w:val="center"/>
          </w:tcPr>
          <w:p w14:paraId="69270000">
            <w:pPr>
              <w:widowControl w:val="1"/>
              <w:ind/>
              <w:contextualSpacing w:val="1"/>
              <w:jc w:val="center"/>
              <w:rPr>
                <w:sz w:val="22"/>
              </w:rPr>
            </w:pPr>
            <w:r>
              <w:rPr>
                <w:sz w:val="22"/>
              </w:rPr>
              <w:t>оказание услуг по размещению рекламных материалов в Вконтакте</w:t>
            </w:r>
          </w:p>
        </w:tc>
        <w:tc>
          <w:tcPr>
            <w:tcW w:type="dxa" w:w="1194"/>
            <w:tcBorders>
              <w:top w:color="000000" w:sz="4" w:val="single"/>
              <w:left w:color="000000" w:sz="4" w:val="single"/>
              <w:bottom w:color="000000" w:sz="4" w:val="single"/>
              <w:right w:color="000000" w:sz="4" w:val="single"/>
            </w:tcBorders>
            <w:shd w:fill="FFFFFF" w:val="clear"/>
            <w:vAlign w:val="center"/>
          </w:tcPr>
          <w:p w14:paraId="6A270000">
            <w:pPr>
              <w:widowControl w:val="1"/>
              <w:ind/>
              <w:contextualSpacing w:val="1"/>
              <w:jc w:val="center"/>
              <w:rPr>
                <w:sz w:val="22"/>
              </w:rPr>
            </w:pPr>
            <w:r>
              <w:rPr>
                <w:sz w:val="22"/>
              </w:rPr>
              <w:t>1400,00</w:t>
            </w:r>
          </w:p>
        </w:tc>
        <w:tc>
          <w:tcPr>
            <w:tcW w:type="dxa" w:w="1221"/>
            <w:tcBorders>
              <w:top w:color="000000" w:sz="4" w:val="single"/>
              <w:left w:color="000000" w:sz="4" w:val="single"/>
              <w:bottom w:color="000000" w:sz="4" w:val="single"/>
              <w:right w:color="000000" w:sz="4" w:val="single"/>
            </w:tcBorders>
            <w:shd w:fill="FFFFFF" w:val="clear"/>
            <w:vAlign w:val="center"/>
          </w:tcPr>
          <w:p w14:paraId="6B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C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D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E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6F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027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71270000">
            <w:pPr>
              <w:widowControl w:val="1"/>
              <w:ind/>
              <w:contextualSpacing w:val="1"/>
              <w:rPr>
                <w:color w:val="000000"/>
                <w:sz w:val="22"/>
              </w:rPr>
            </w:pPr>
            <w:r>
              <w:rPr>
                <w:color w:val="000000"/>
                <w:sz w:val="22"/>
              </w:rPr>
              <w:t>251</w:t>
            </w:r>
          </w:p>
        </w:tc>
        <w:tc>
          <w:tcPr>
            <w:tcW w:type="dxa" w:w="1408"/>
            <w:tcBorders>
              <w:top w:color="000000" w:sz="4" w:val="single"/>
              <w:left w:color="000000" w:sz="4" w:val="single"/>
              <w:bottom w:color="000000" w:sz="4" w:val="single"/>
              <w:right w:color="000000" w:sz="4" w:val="single"/>
            </w:tcBorders>
            <w:shd w:fill="FFFFFF" w:val="clear"/>
            <w:vAlign w:val="center"/>
          </w:tcPr>
          <w:p w14:paraId="72270000">
            <w:pPr>
              <w:widowControl w:val="1"/>
              <w:ind/>
              <w:contextualSpacing w:val="1"/>
              <w:jc w:val="center"/>
              <w:rPr>
                <w:sz w:val="22"/>
              </w:rPr>
            </w:pPr>
            <w:r>
              <w:rPr>
                <w:sz w:val="22"/>
              </w:rPr>
              <w:t>ООО "НорАрм"</w:t>
            </w:r>
          </w:p>
        </w:tc>
        <w:tc>
          <w:tcPr>
            <w:tcW w:type="dxa" w:w="1408"/>
            <w:tcBorders>
              <w:top w:color="000000" w:sz="4" w:val="single"/>
              <w:left w:color="000000" w:sz="4" w:val="single"/>
              <w:bottom w:color="000000" w:sz="4" w:val="single"/>
              <w:right w:color="000000" w:sz="4" w:val="single"/>
            </w:tcBorders>
            <w:shd w:fill="FFFFFF" w:val="clear"/>
            <w:vAlign w:val="center"/>
          </w:tcPr>
          <w:p w14:paraId="73270000">
            <w:pPr>
              <w:widowControl w:val="1"/>
              <w:ind/>
              <w:contextualSpacing w:val="1"/>
              <w:jc w:val="center"/>
              <w:rPr>
                <w:sz w:val="22"/>
              </w:rPr>
            </w:pPr>
            <w:r>
              <w:rPr>
                <w:sz w:val="22"/>
              </w:rPr>
              <w:t>счет № 455 от 14.09.2018</w:t>
            </w:r>
          </w:p>
        </w:tc>
        <w:tc>
          <w:tcPr>
            <w:tcW w:type="dxa" w:w="1274"/>
            <w:tcBorders>
              <w:top w:color="000000" w:sz="4" w:val="single"/>
              <w:left w:color="000000" w:sz="4" w:val="single"/>
              <w:bottom w:color="000000" w:sz="4" w:val="single"/>
              <w:right w:color="000000" w:sz="4" w:val="single"/>
            </w:tcBorders>
            <w:shd w:fill="FFFFFF" w:val="clear"/>
            <w:vAlign w:val="center"/>
          </w:tcPr>
          <w:p w14:paraId="74270000">
            <w:pPr>
              <w:widowControl w:val="1"/>
              <w:ind/>
              <w:contextualSpacing w:val="1"/>
              <w:jc w:val="center"/>
              <w:rPr>
                <w:sz w:val="22"/>
              </w:rPr>
            </w:pPr>
            <w:r>
              <w:rPr>
                <w:sz w:val="22"/>
              </w:rPr>
              <w:t>14.09.2018-20.09.2018</w:t>
            </w:r>
          </w:p>
        </w:tc>
        <w:tc>
          <w:tcPr>
            <w:tcW w:type="dxa" w:w="1556"/>
            <w:tcBorders>
              <w:top w:color="000000" w:sz="4" w:val="single"/>
              <w:left w:color="000000" w:sz="4" w:val="single"/>
              <w:bottom w:color="000000" w:sz="4" w:val="single"/>
              <w:right w:color="000000" w:sz="4" w:val="single"/>
            </w:tcBorders>
            <w:shd w:fill="FFFFFF" w:val="clear"/>
            <w:vAlign w:val="center"/>
          </w:tcPr>
          <w:p w14:paraId="75270000">
            <w:pPr>
              <w:widowControl w:val="1"/>
              <w:ind/>
              <w:contextualSpacing w:val="1"/>
              <w:jc w:val="center"/>
              <w:rPr>
                <w:sz w:val="22"/>
              </w:rPr>
            </w:pPr>
            <w:r>
              <w:rPr>
                <w:sz w:val="22"/>
              </w:rPr>
              <w:t>поставка контейнеров</w:t>
            </w:r>
          </w:p>
        </w:tc>
        <w:tc>
          <w:tcPr>
            <w:tcW w:type="dxa" w:w="1194"/>
            <w:tcBorders>
              <w:top w:color="000000" w:sz="4" w:val="single"/>
              <w:left w:color="000000" w:sz="4" w:val="single"/>
              <w:bottom w:color="000000" w:sz="4" w:val="single"/>
              <w:right w:color="000000" w:sz="4" w:val="single"/>
            </w:tcBorders>
            <w:shd w:fill="FFFFFF" w:val="clear"/>
            <w:vAlign w:val="center"/>
          </w:tcPr>
          <w:p w14:paraId="76270000">
            <w:pPr>
              <w:widowControl w:val="1"/>
              <w:ind/>
              <w:contextualSpacing w:val="1"/>
              <w:jc w:val="center"/>
              <w:rPr>
                <w:sz w:val="22"/>
              </w:rPr>
            </w:pPr>
            <w:r>
              <w:rPr>
                <w:sz w:val="22"/>
              </w:rPr>
              <w:t>70000,00</w:t>
            </w:r>
          </w:p>
        </w:tc>
        <w:tc>
          <w:tcPr>
            <w:tcW w:type="dxa" w:w="1221"/>
            <w:tcBorders>
              <w:top w:color="000000" w:sz="4" w:val="single"/>
              <w:left w:color="000000" w:sz="4" w:val="single"/>
              <w:bottom w:color="000000" w:sz="4" w:val="single"/>
              <w:right w:color="000000" w:sz="4" w:val="single"/>
            </w:tcBorders>
            <w:shd w:fill="FFFFFF" w:val="clear"/>
            <w:vAlign w:val="center"/>
          </w:tcPr>
          <w:p w14:paraId="77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8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9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A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7B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C27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7D270000">
            <w:pPr>
              <w:widowControl w:val="1"/>
              <w:ind/>
              <w:contextualSpacing w:val="1"/>
              <w:rPr>
                <w:color w:val="000000"/>
                <w:sz w:val="22"/>
              </w:rPr>
            </w:pPr>
            <w:r>
              <w:rPr>
                <w:color w:val="000000"/>
                <w:sz w:val="22"/>
              </w:rPr>
              <w:t>252</w:t>
            </w:r>
          </w:p>
        </w:tc>
        <w:tc>
          <w:tcPr>
            <w:tcW w:type="dxa" w:w="1408"/>
            <w:tcBorders>
              <w:top w:color="000000" w:sz="4" w:val="single"/>
              <w:left w:color="000000" w:sz="4" w:val="single"/>
              <w:bottom w:color="000000" w:sz="4" w:val="single"/>
              <w:right w:color="000000" w:sz="4" w:val="single"/>
            </w:tcBorders>
            <w:shd w:fill="FFFFFF" w:val="clear"/>
            <w:vAlign w:val="center"/>
          </w:tcPr>
          <w:p w14:paraId="7E270000">
            <w:pPr>
              <w:widowControl w:val="1"/>
              <w:ind/>
              <w:contextualSpacing w:val="1"/>
              <w:jc w:val="center"/>
              <w:rPr>
                <w:sz w:val="22"/>
              </w:rPr>
            </w:pPr>
            <w:r>
              <w:rPr>
                <w:sz w:val="22"/>
              </w:rPr>
              <w:t>ИП Гафурбаев О.З.</w:t>
            </w:r>
          </w:p>
        </w:tc>
        <w:tc>
          <w:tcPr>
            <w:tcW w:type="dxa" w:w="1408"/>
            <w:tcBorders>
              <w:top w:color="000000" w:sz="4" w:val="single"/>
              <w:left w:color="000000" w:sz="4" w:val="single"/>
              <w:bottom w:color="000000" w:sz="4" w:val="single"/>
              <w:right w:color="000000" w:sz="4" w:val="single"/>
            </w:tcBorders>
            <w:shd w:fill="FFFFFF" w:val="clear"/>
            <w:vAlign w:val="center"/>
          </w:tcPr>
          <w:p w14:paraId="7F270000">
            <w:pPr>
              <w:widowControl w:val="1"/>
              <w:ind/>
              <w:contextualSpacing w:val="1"/>
              <w:jc w:val="center"/>
              <w:rPr>
                <w:sz w:val="22"/>
              </w:rPr>
            </w:pPr>
            <w:r>
              <w:rPr>
                <w:sz w:val="22"/>
              </w:rPr>
              <w:t>счет № 66 от 11.09.2018</w:t>
            </w:r>
          </w:p>
        </w:tc>
        <w:tc>
          <w:tcPr>
            <w:tcW w:type="dxa" w:w="1274"/>
            <w:tcBorders>
              <w:top w:color="000000" w:sz="4" w:val="single"/>
              <w:left w:color="000000" w:sz="4" w:val="single"/>
              <w:bottom w:color="000000" w:sz="4" w:val="single"/>
              <w:right w:color="000000" w:sz="4" w:val="single"/>
            </w:tcBorders>
            <w:shd w:fill="FFFFFF" w:val="clear"/>
            <w:vAlign w:val="center"/>
          </w:tcPr>
          <w:p w14:paraId="80270000">
            <w:pPr>
              <w:widowControl w:val="1"/>
              <w:ind/>
              <w:contextualSpacing w:val="1"/>
              <w:jc w:val="center"/>
              <w:rPr>
                <w:sz w:val="22"/>
              </w:rPr>
            </w:pPr>
            <w:r>
              <w:rPr>
                <w:sz w:val="22"/>
              </w:rPr>
              <w:t>11.09.2018-18.09.2018</w:t>
            </w:r>
          </w:p>
        </w:tc>
        <w:tc>
          <w:tcPr>
            <w:tcW w:type="dxa" w:w="1556"/>
            <w:tcBorders>
              <w:top w:color="000000" w:sz="4" w:val="single"/>
              <w:left w:color="000000" w:sz="4" w:val="single"/>
              <w:bottom w:color="000000" w:sz="4" w:val="single"/>
              <w:right w:color="000000" w:sz="4" w:val="single"/>
            </w:tcBorders>
            <w:shd w:fill="FFFFFF" w:val="clear"/>
            <w:vAlign w:val="center"/>
          </w:tcPr>
          <w:p w14:paraId="81270000">
            <w:pPr>
              <w:widowControl w:val="1"/>
              <w:ind/>
              <w:contextualSpacing w:val="1"/>
              <w:jc w:val="center"/>
              <w:rPr>
                <w:sz w:val="22"/>
              </w:rPr>
            </w:pPr>
            <w:r>
              <w:rPr>
                <w:sz w:val="22"/>
              </w:rPr>
              <w:t>поставка кресел</w:t>
            </w:r>
          </w:p>
        </w:tc>
        <w:tc>
          <w:tcPr>
            <w:tcW w:type="dxa" w:w="1194"/>
            <w:tcBorders>
              <w:top w:color="000000" w:sz="4" w:val="single"/>
              <w:left w:color="000000" w:sz="4" w:val="single"/>
              <w:bottom w:color="000000" w:sz="4" w:val="single"/>
              <w:right w:color="000000" w:sz="4" w:val="single"/>
            </w:tcBorders>
            <w:shd w:fill="FFFFFF" w:val="clear"/>
            <w:vAlign w:val="center"/>
          </w:tcPr>
          <w:p w14:paraId="82270000">
            <w:pPr>
              <w:widowControl w:val="1"/>
              <w:ind/>
              <w:contextualSpacing w:val="1"/>
              <w:jc w:val="center"/>
              <w:rPr>
                <w:sz w:val="22"/>
              </w:rPr>
            </w:pPr>
            <w:r>
              <w:rPr>
                <w:sz w:val="22"/>
              </w:rPr>
              <w:t>4900,00</w:t>
            </w:r>
          </w:p>
        </w:tc>
        <w:tc>
          <w:tcPr>
            <w:tcW w:type="dxa" w:w="1221"/>
            <w:tcBorders>
              <w:top w:color="000000" w:sz="4" w:val="single"/>
              <w:left w:color="000000" w:sz="4" w:val="single"/>
              <w:bottom w:color="000000" w:sz="4" w:val="single"/>
              <w:right w:color="000000" w:sz="4" w:val="single"/>
            </w:tcBorders>
            <w:shd w:fill="FFFFFF" w:val="clear"/>
            <w:vAlign w:val="center"/>
          </w:tcPr>
          <w:p w14:paraId="83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4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5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6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87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8827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320"/>
        </w:trPr>
        <w:tc>
          <w:tcPr>
            <w:tcW w:type="dxa" w:w="528"/>
            <w:tcBorders>
              <w:top w:color="000000" w:sz="4" w:val="single"/>
              <w:left w:color="000000" w:sz="4" w:val="single"/>
              <w:bottom w:color="000000" w:sz="4" w:val="single"/>
              <w:right w:color="000000" w:sz="4" w:val="single"/>
            </w:tcBorders>
            <w:shd w:fill="FFFFFF" w:val="clear"/>
            <w:vAlign w:val="center"/>
          </w:tcPr>
          <w:p w14:paraId="89270000">
            <w:pPr>
              <w:widowControl w:val="1"/>
              <w:ind/>
              <w:contextualSpacing w:val="1"/>
              <w:rPr>
                <w:color w:val="000000"/>
                <w:sz w:val="22"/>
              </w:rPr>
            </w:pPr>
            <w:r>
              <w:rPr>
                <w:color w:val="000000"/>
                <w:sz w:val="22"/>
              </w:rPr>
              <w:t>253</w:t>
            </w:r>
          </w:p>
        </w:tc>
        <w:tc>
          <w:tcPr>
            <w:tcW w:type="dxa" w:w="1408"/>
            <w:tcBorders>
              <w:top w:color="000000" w:sz="4" w:val="single"/>
              <w:left w:color="000000" w:sz="4" w:val="single"/>
              <w:bottom w:color="000000" w:sz="4" w:val="single"/>
              <w:right w:color="000000" w:sz="4" w:val="single"/>
            </w:tcBorders>
            <w:shd w:fill="FFFFFF" w:val="clear"/>
            <w:vAlign w:val="center"/>
          </w:tcPr>
          <w:p w14:paraId="8A270000">
            <w:pPr>
              <w:widowControl w:val="1"/>
              <w:ind/>
              <w:contextualSpacing w:val="1"/>
              <w:jc w:val="center"/>
              <w:rPr>
                <w:sz w:val="22"/>
              </w:rPr>
            </w:pPr>
            <w:r>
              <w:rPr>
                <w:sz w:val="22"/>
              </w:rPr>
              <w:t>ООО "КСЕОН-К"</w:t>
            </w:r>
          </w:p>
        </w:tc>
        <w:tc>
          <w:tcPr>
            <w:tcW w:type="dxa" w:w="1408"/>
            <w:tcBorders>
              <w:top w:color="000000" w:sz="4" w:val="single"/>
              <w:left w:color="000000" w:sz="4" w:val="single"/>
              <w:bottom w:color="000000" w:sz="4" w:val="single"/>
              <w:right w:color="000000" w:sz="4" w:val="single"/>
            </w:tcBorders>
            <w:shd w:fill="FFFFFF" w:val="clear"/>
            <w:vAlign w:val="center"/>
          </w:tcPr>
          <w:p w14:paraId="8B270000">
            <w:pPr>
              <w:widowControl w:val="1"/>
              <w:ind/>
              <w:contextualSpacing w:val="1"/>
              <w:jc w:val="center"/>
              <w:rPr>
                <w:sz w:val="22"/>
              </w:rPr>
            </w:pPr>
            <w:r>
              <w:rPr>
                <w:sz w:val="22"/>
              </w:rPr>
              <w:t>счет № 2209 от 06.09.2018</w:t>
            </w:r>
          </w:p>
        </w:tc>
        <w:tc>
          <w:tcPr>
            <w:tcW w:type="dxa" w:w="1274"/>
            <w:tcBorders>
              <w:top w:color="000000" w:sz="4" w:val="single"/>
              <w:left w:color="000000" w:sz="4" w:val="single"/>
              <w:bottom w:color="000000" w:sz="4" w:val="single"/>
              <w:right w:color="000000" w:sz="4" w:val="single"/>
            </w:tcBorders>
            <w:shd w:fill="FFFFFF" w:val="clear"/>
            <w:vAlign w:val="center"/>
          </w:tcPr>
          <w:p w14:paraId="8C270000">
            <w:pPr>
              <w:widowControl w:val="1"/>
              <w:ind/>
              <w:contextualSpacing w:val="1"/>
              <w:jc w:val="center"/>
              <w:rPr>
                <w:sz w:val="22"/>
              </w:rPr>
            </w:pPr>
            <w:r>
              <w:rPr>
                <w:sz w:val="22"/>
              </w:rPr>
              <w:t>06.09.2018-30.09.2018</w:t>
            </w:r>
          </w:p>
        </w:tc>
        <w:tc>
          <w:tcPr>
            <w:tcW w:type="dxa" w:w="1556"/>
            <w:tcBorders>
              <w:top w:color="000000" w:sz="4" w:val="single"/>
              <w:left w:color="000000" w:sz="4" w:val="single"/>
              <w:bottom w:color="000000" w:sz="4" w:val="single"/>
              <w:right w:color="000000" w:sz="4" w:val="single"/>
            </w:tcBorders>
            <w:shd w:fill="FFFFFF" w:val="clear"/>
            <w:vAlign w:val="center"/>
          </w:tcPr>
          <w:p w14:paraId="8D270000">
            <w:pPr>
              <w:widowControl w:val="1"/>
              <w:ind/>
              <w:contextualSpacing w:val="1"/>
              <w:jc w:val="center"/>
              <w:rPr>
                <w:sz w:val="22"/>
              </w:rPr>
            </w:pPr>
            <w:r>
              <w:rPr>
                <w:sz w:val="22"/>
              </w:rPr>
              <w:t>оказание услуг по перепрограммированию ККТ</w:t>
            </w:r>
          </w:p>
        </w:tc>
        <w:tc>
          <w:tcPr>
            <w:tcW w:type="dxa" w:w="1194"/>
            <w:tcBorders>
              <w:top w:color="000000" w:sz="4" w:val="single"/>
              <w:left w:color="000000" w:sz="4" w:val="single"/>
              <w:bottom w:color="000000" w:sz="4" w:val="single"/>
              <w:right w:color="000000" w:sz="4" w:val="single"/>
            </w:tcBorders>
            <w:shd w:fill="FFFFFF" w:val="clear"/>
            <w:vAlign w:val="center"/>
          </w:tcPr>
          <w:p w14:paraId="8E270000">
            <w:pPr>
              <w:widowControl w:val="1"/>
              <w:ind/>
              <w:contextualSpacing w:val="1"/>
              <w:jc w:val="center"/>
              <w:rPr>
                <w:sz w:val="22"/>
              </w:rPr>
            </w:pPr>
            <w:r>
              <w:rPr>
                <w:sz w:val="22"/>
              </w:rPr>
              <w:t>38000,00</w:t>
            </w:r>
          </w:p>
        </w:tc>
        <w:tc>
          <w:tcPr>
            <w:tcW w:type="dxa" w:w="1221"/>
            <w:tcBorders>
              <w:top w:color="000000" w:sz="4" w:val="single"/>
              <w:left w:color="000000" w:sz="4" w:val="single"/>
              <w:bottom w:color="000000" w:sz="4" w:val="single"/>
              <w:right w:color="000000" w:sz="4" w:val="single"/>
            </w:tcBorders>
            <w:shd w:fill="FFFFFF" w:val="clear"/>
            <w:vAlign w:val="center"/>
          </w:tcPr>
          <w:p w14:paraId="8F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0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1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2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93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427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5270000">
            <w:pPr>
              <w:widowControl w:val="1"/>
              <w:ind/>
              <w:contextualSpacing w:val="1"/>
              <w:rPr>
                <w:color w:val="000000"/>
                <w:sz w:val="22"/>
              </w:rPr>
            </w:pPr>
            <w:r>
              <w:rPr>
                <w:color w:val="000000"/>
                <w:sz w:val="22"/>
              </w:rPr>
              <w:t>254</w:t>
            </w:r>
          </w:p>
        </w:tc>
        <w:tc>
          <w:tcPr>
            <w:tcW w:type="dxa" w:w="1408"/>
            <w:tcBorders>
              <w:top w:color="000000" w:sz="4" w:val="single"/>
              <w:left w:color="000000" w:sz="4" w:val="single"/>
              <w:bottom w:color="000000" w:sz="4" w:val="single"/>
              <w:right w:color="000000" w:sz="4" w:val="single"/>
            </w:tcBorders>
            <w:shd w:fill="FFFFFF" w:val="clear"/>
            <w:vAlign w:val="center"/>
          </w:tcPr>
          <w:p w14:paraId="96270000">
            <w:pPr>
              <w:widowControl w:val="1"/>
              <w:ind/>
              <w:contextualSpacing w:val="1"/>
              <w:jc w:val="center"/>
              <w:rPr>
                <w:sz w:val="22"/>
              </w:rPr>
            </w:pPr>
            <w:r>
              <w:rPr>
                <w:sz w:val="22"/>
              </w:rPr>
              <w:t>ООО "СТРОЙОТДЕЛ"</w:t>
            </w:r>
          </w:p>
        </w:tc>
        <w:tc>
          <w:tcPr>
            <w:tcW w:type="dxa" w:w="1408"/>
            <w:tcBorders>
              <w:top w:color="000000" w:sz="4" w:val="single"/>
              <w:left w:color="000000" w:sz="4" w:val="single"/>
              <w:bottom w:color="000000" w:sz="4" w:val="single"/>
              <w:right w:color="000000" w:sz="4" w:val="single"/>
            </w:tcBorders>
            <w:shd w:fill="FFFFFF" w:val="clear"/>
            <w:vAlign w:val="center"/>
          </w:tcPr>
          <w:p w14:paraId="97270000">
            <w:pPr>
              <w:widowControl w:val="1"/>
              <w:ind/>
              <w:contextualSpacing w:val="1"/>
              <w:jc w:val="center"/>
              <w:rPr>
                <w:sz w:val="22"/>
              </w:rPr>
            </w:pPr>
            <w:r>
              <w:rPr>
                <w:sz w:val="22"/>
              </w:rPr>
              <w:t>счет № 284 от 11.09.2018</w:t>
            </w:r>
          </w:p>
        </w:tc>
        <w:tc>
          <w:tcPr>
            <w:tcW w:type="dxa" w:w="1274"/>
            <w:tcBorders>
              <w:top w:color="000000" w:sz="4" w:val="single"/>
              <w:left w:color="000000" w:sz="4" w:val="single"/>
              <w:bottom w:color="000000" w:sz="4" w:val="single"/>
              <w:right w:color="000000" w:sz="4" w:val="single"/>
            </w:tcBorders>
            <w:shd w:fill="FFFFFF" w:val="clear"/>
            <w:vAlign w:val="center"/>
          </w:tcPr>
          <w:p w14:paraId="98270000">
            <w:pPr>
              <w:widowControl w:val="1"/>
              <w:ind/>
              <w:contextualSpacing w:val="1"/>
              <w:jc w:val="center"/>
              <w:rPr>
                <w:sz w:val="22"/>
              </w:rPr>
            </w:pPr>
            <w:r>
              <w:rPr>
                <w:sz w:val="22"/>
              </w:rPr>
              <w:t>11.09.2018-20.09.2018</w:t>
            </w:r>
          </w:p>
        </w:tc>
        <w:tc>
          <w:tcPr>
            <w:tcW w:type="dxa" w:w="1556"/>
            <w:tcBorders>
              <w:top w:color="000000" w:sz="4" w:val="single"/>
              <w:left w:color="000000" w:sz="4" w:val="single"/>
              <w:bottom w:color="000000" w:sz="4" w:val="single"/>
              <w:right w:color="000000" w:sz="4" w:val="single"/>
            </w:tcBorders>
            <w:shd w:fill="FFFFFF" w:val="clear"/>
            <w:vAlign w:val="center"/>
          </w:tcPr>
          <w:p w14:paraId="99270000">
            <w:pPr>
              <w:widowControl w:val="1"/>
              <w:ind/>
              <w:contextualSpacing w:val="1"/>
              <w:jc w:val="center"/>
              <w:rPr>
                <w:sz w:val="22"/>
              </w:rPr>
            </w:pPr>
            <w:r>
              <w:rPr>
                <w:sz w:val="22"/>
              </w:rPr>
              <w:t>Оказание услуг по косметическому ремонту помещений</w:t>
            </w:r>
          </w:p>
        </w:tc>
        <w:tc>
          <w:tcPr>
            <w:tcW w:type="dxa" w:w="1194"/>
            <w:tcBorders>
              <w:top w:color="000000" w:sz="4" w:val="single"/>
              <w:left w:color="000000" w:sz="4" w:val="single"/>
              <w:bottom w:color="000000" w:sz="4" w:val="single"/>
              <w:right w:color="000000" w:sz="4" w:val="single"/>
            </w:tcBorders>
            <w:shd w:fill="FFFFFF" w:val="clear"/>
            <w:vAlign w:val="center"/>
          </w:tcPr>
          <w:p w14:paraId="9A270000">
            <w:pPr>
              <w:widowControl w:val="1"/>
              <w:ind/>
              <w:contextualSpacing w:val="1"/>
              <w:jc w:val="center"/>
              <w:rPr>
                <w:sz w:val="22"/>
              </w:rPr>
            </w:pPr>
            <w:r>
              <w:rPr>
                <w:sz w:val="22"/>
              </w:rPr>
              <w:t>91005,00</w:t>
            </w:r>
          </w:p>
        </w:tc>
        <w:tc>
          <w:tcPr>
            <w:tcW w:type="dxa" w:w="1221"/>
            <w:tcBorders>
              <w:top w:color="000000" w:sz="4" w:val="single"/>
              <w:left w:color="000000" w:sz="4" w:val="single"/>
              <w:bottom w:color="000000" w:sz="4" w:val="single"/>
              <w:right w:color="000000" w:sz="4" w:val="single"/>
            </w:tcBorders>
            <w:shd w:fill="FFFFFF" w:val="clear"/>
            <w:vAlign w:val="center"/>
          </w:tcPr>
          <w:p w14:paraId="9B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C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D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E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9F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027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1270000">
            <w:pPr>
              <w:widowControl w:val="1"/>
              <w:ind/>
              <w:contextualSpacing w:val="1"/>
              <w:rPr>
                <w:color w:val="000000"/>
                <w:sz w:val="22"/>
              </w:rPr>
            </w:pPr>
            <w:r>
              <w:rPr>
                <w:color w:val="000000"/>
                <w:sz w:val="22"/>
              </w:rPr>
              <w:t>255</w:t>
            </w:r>
          </w:p>
        </w:tc>
        <w:tc>
          <w:tcPr>
            <w:tcW w:type="dxa" w:w="1408"/>
            <w:tcBorders>
              <w:top w:color="000000" w:sz="4" w:val="single"/>
              <w:left w:color="000000" w:sz="4" w:val="single"/>
              <w:bottom w:color="000000" w:sz="4" w:val="single"/>
              <w:right w:color="000000" w:sz="4" w:val="single"/>
            </w:tcBorders>
            <w:shd w:fill="FFFFFF" w:val="clear"/>
            <w:vAlign w:val="center"/>
          </w:tcPr>
          <w:p w14:paraId="A2270000">
            <w:pPr>
              <w:widowControl w:val="1"/>
              <w:ind/>
              <w:contextualSpacing w:val="1"/>
              <w:jc w:val="center"/>
              <w:rPr>
                <w:sz w:val="22"/>
              </w:rPr>
            </w:pPr>
            <w:r>
              <w:rPr>
                <w:sz w:val="22"/>
              </w:rPr>
              <w:t>ООО "СТРОЙОТДЕЛ"</w:t>
            </w:r>
          </w:p>
        </w:tc>
        <w:tc>
          <w:tcPr>
            <w:tcW w:type="dxa" w:w="1408"/>
            <w:tcBorders>
              <w:top w:color="000000" w:sz="4" w:val="single"/>
              <w:left w:color="000000" w:sz="4" w:val="single"/>
              <w:bottom w:color="000000" w:sz="4" w:val="single"/>
              <w:right w:color="000000" w:sz="4" w:val="single"/>
            </w:tcBorders>
            <w:shd w:fill="FFFFFF" w:val="clear"/>
            <w:vAlign w:val="center"/>
          </w:tcPr>
          <w:p w14:paraId="A3270000">
            <w:pPr>
              <w:widowControl w:val="1"/>
              <w:ind/>
              <w:contextualSpacing w:val="1"/>
              <w:jc w:val="center"/>
              <w:rPr>
                <w:sz w:val="22"/>
              </w:rPr>
            </w:pPr>
            <w:r>
              <w:rPr>
                <w:sz w:val="22"/>
              </w:rPr>
              <w:t>счет № 332 от 05.10.2018</w:t>
            </w:r>
          </w:p>
        </w:tc>
        <w:tc>
          <w:tcPr>
            <w:tcW w:type="dxa" w:w="1274"/>
            <w:tcBorders>
              <w:top w:color="000000" w:sz="4" w:val="single"/>
              <w:left w:color="000000" w:sz="4" w:val="single"/>
              <w:bottom w:color="000000" w:sz="4" w:val="single"/>
              <w:right w:color="000000" w:sz="4" w:val="single"/>
            </w:tcBorders>
            <w:shd w:fill="FFFFFF" w:val="clear"/>
            <w:vAlign w:val="center"/>
          </w:tcPr>
          <w:p w14:paraId="A4270000">
            <w:pPr>
              <w:widowControl w:val="1"/>
              <w:ind/>
              <w:contextualSpacing w:val="1"/>
              <w:jc w:val="center"/>
              <w:rPr>
                <w:sz w:val="22"/>
              </w:rPr>
            </w:pPr>
            <w:r>
              <w:rPr>
                <w:sz w:val="22"/>
              </w:rPr>
              <w:t>05.10.2018-20.10.2018</w:t>
            </w:r>
          </w:p>
        </w:tc>
        <w:tc>
          <w:tcPr>
            <w:tcW w:type="dxa" w:w="1556"/>
            <w:tcBorders>
              <w:top w:color="000000" w:sz="4" w:val="single"/>
              <w:left w:color="000000" w:sz="4" w:val="single"/>
              <w:bottom w:color="000000" w:sz="4" w:val="single"/>
              <w:right w:color="000000" w:sz="4" w:val="single"/>
            </w:tcBorders>
            <w:shd w:fill="FFFFFF" w:val="clear"/>
            <w:vAlign w:val="center"/>
          </w:tcPr>
          <w:p w14:paraId="A5270000">
            <w:pPr>
              <w:widowControl w:val="1"/>
              <w:ind/>
              <w:contextualSpacing w:val="1"/>
              <w:jc w:val="center"/>
              <w:rPr>
                <w:sz w:val="22"/>
              </w:rPr>
            </w:pPr>
            <w:r>
              <w:rPr>
                <w:sz w:val="22"/>
              </w:rPr>
              <w:t>Оказание услуг по косметическому ремонту помещений</w:t>
            </w:r>
          </w:p>
        </w:tc>
        <w:tc>
          <w:tcPr>
            <w:tcW w:type="dxa" w:w="1194"/>
            <w:tcBorders>
              <w:top w:color="000000" w:sz="4" w:val="single"/>
              <w:left w:color="000000" w:sz="4" w:val="single"/>
              <w:bottom w:color="000000" w:sz="4" w:val="single"/>
              <w:right w:color="000000" w:sz="4" w:val="single"/>
            </w:tcBorders>
            <w:shd w:fill="FFFFFF" w:val="clear"/>
            <w:vAlign w:val="center"/>
          </w:tcPr>
          <w:p w14:paraId="A6270000">
            <w:pPr>
              <w:widowControl w:val="1"/>
              <w:ind/>
              <w:contextualSpacing w:val="1"/>
              <w:jc w:val="center"/>
              <w:rPr>
                <w:sz w:val="22"/>
              </w:rPr>
            </w:pPr>
            <w:r>
              <w:rPr>
                <w:sz w:val="22"/>
              </w:rPr>
              <w:t>31392,60</w:t>
            </w:r>
          </w:p>
        </w:tc>
        <w:tc>
          <w:tcPr>
            <w:tcW w:type="dxa" w:w="1221"/>
            <w:tcBorders>
              <w:top w:color="000000" w:sz="4" w:val="single"/>
              <w:left w:color="000000" w:sz="4" w:val="single"/>
              <w:bottom w:color="000000" w:sz="4" w:val="single"/>
              <w:right w:color="000000" w:sz="4" w:val="single"/>
            </w:tcBorders>
            <w:shd w:fill="FFFFFF" w:val="clear"/>
            <w:vAlign w:val="center"/>
          </w:tcPr>
          <w:p w14:paraId="A7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8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9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A27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AB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C27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661"/>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AD270000">
            <w:pPr>
              <w:widowControl w:val="1"/>
              <w:ind/>
              <w:contextualSpacing w:val="1"/>
              <w:jc w:val="center"/>
              <w:rPr>
                <w:color w:val="000000"/>
                <w:sz w:val="22"/>
              </w:rPr>
            </w:pPr>
            <w:r>
              <w:rPr>
                <w:color w:val="000000"/>
                <w:sz w:val="22"/>
              </w:rPr>
              <w:t>итого по контрагегнту ООО "СТРОЙОТДЕЛ" 122397,60 руб.</w:t>
            </w:r>
          </w:p>
          <w:p w14:paraId="AE27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F270000">
            <w:pPr>
              <w:widowControl w:val="1"/>
              <w:ind/>
              <w:contextualSpacing w:val="1"/>
              <w:rPr>
                <w:color w:val="000000"/>
                <w:sz w:val="22"/>
              </w:rPr>
            </w:pPr>
            <w:r>
              <w:rPr>
                <w:color w:val="000000"/>
                <w:sz w:val="22"/>
              </w:rPr>
              <w:t>256</w:t>
            </w:r>
          </w:p>
        </w:tc>
        <w:tc>
          <w:tcPr>
            <w:tcW w:type="dxa" w:w="1408"/>
            <w:tcBorders>
              <w:top w:color="000000" w:sz="4" w:val="single"/>
              <w:left w:color="000000" w:sz="4" w:val="single"/>
              <w:bottom w:color="000000" w:sz="4" w:val="single"/>
              <w:right w:color="000000" w:sz="4" w:val="single"/>
            </w:tcBorders>
            <w:shd w:fill="FFFFFF" w:val="clear"/>
            <w:vAlign w:val="center"/>
          </w:tcPr>
          <w:p w14:paraId="B0270000">
            <w:pPr>
              <w:widowControl w:val="1"/>
              <w:ind/>
              <w:contextualSpacing w:val="1"/>
              <w:jc w:val="center"/>
              <w:rPr>
                <w:sz w:val="22"/>
              </w:rPr>
            </w:pPr>
            <w:r>
              <w:rPr>
                <w:sz w:val="22"/>
              </w:rPr>
              <w:t>ООО "Автотрейд-КСК"</w:t>
            </w:r>
          </w:p>
        </w:tc>
        <w:tc>
          <w:tcPr>
            <w:tcW w:type="dxa" w:w="1408"/>
            <w:tcBorders>
              <w:top w:color="000000" w:sz="4" w:val="single"/>
              <w:left w:color="000000" w:sz="4" w:val="single"/>
              <w:bottom w:color="000000" w:sz="4" w:val="single"/>
              <w:right w:color="000000" w:sz="4" w:val="single"/>
            </w:tcBorders>
            <w:shd w:fill="FFFFFF" w:val="clear"/>
            <w:vAlign w:val="center"/>
          </w:tcPr>
          <w:p w14:paraId="B1270000">
            <w:pPr>
              <w:widowControl w:val="1"/>
              <w:ind/>
              <w:contextualSpacing w:val="1"/>
              <w:jc w:val="center"/>
              <w:rPr>
                <w:sz w:val="22"/>
              </w:rPr>
            </w:pPr>
            <w:r>
              <w:rPr>
                <w:sz w:val="22"/>
              </w:rPr>
              <w:t>счет № КС00031694 от 24.09.2018</w:t>
            </w:r>
          </w:p>
        </w:tc>
        <w:tc>
          <w:tcPr>
            <w:tcW w:type="dxa" w:w="1274"/>
            <w:tcBorders>
              <w:top w:color="000000" w:sz="4" w:val="single"/>
              <w:left w:color="000000" w:sz="4" w:val="single"/>
              <w:bottom w:color="000000" w:sz="4" w:val="single"/>
              <w:right w:color="000000" w:sz="4" w:val="single"/>
            </w:tcBorders>
            <w:shd w:fill="FFFFFF" w:val="clear"/>
            <w:vAlign w:val="center"/>
          </w:tcPr>
          <w:p w14:paraId="B2270000">
            <w:pPr>
              <w:widowControl w:val="1"/>
              <w:ind/>
              <w:contextualSpacing w:val="1"/>
              <w:jc w:val="center"/>
              <w:rPr>
                <w:sz w:val="22"/>
              </w:rPr>
            </w:pPr>
            <w:r>
              <w:rPr>
                <w:sz w:val="22"/>
              </w:rPr>
              <w:t>24.09.2018-25.09.2018</w:t>
            </w:r>
          </w:p>
        </w:tc>
        <w:tc>
          <w:tcPr>
            <w:tcW w:type="dxa" w:w="1556"/>
            <w:tcBorders>
              <w:top w:color="000000" w:sz="4" w:val="single"/>
              <w:left w:color="000000" w:sz="4" w:val="single"/>
              <w:bottom w:color="000000" w:sz="4" w:val="single"/>
              <w:right w:color="000000" w:sz="4" w:val="single"/>
            </w:tcBorders>
            <w:shd w:fill="FFFFFF" w:val="clear"/>
            <w:vAlign w:val="center"/>
          </w:tcPr>
          <w:p w14:paraId="B3270000">
            <w:pPr>
              <w:widowControl w:val="1"/>
              <w:ind/>
              <w:contextualSpacing w:val="1"/>
              <w:jc w:val="center"/>
              <w:rPr>
                <w:sz w:val="22"/>
              </w:rPr>
            </w:pPr>
            <w:r>
              <w:rPr>
                <w:sz w:val="22"/>
              </w:rPr>
              <w:t>поставка стекла лобового для автомобиля Peugeot</w:t>
            </w:r>
          </w:p>
        </w:tc>
        <w:tc>
          <w:tcPr>
            <w:tcW w:type="dxa" w:w="1194"/>
            <w:tcBorders>
              <w:top w:color="000000" w:sz="4" w:val="single"/>
              <w:left w:color="000000" w:sz="4" w:val="single"/>
              <w:bottom w:color="000000" w:sz="4" w:val="single"/>
              <w:right w:color="000000" w:sz="4" w:val="single"/>
            </w:tcBorders>
            <w:shd w:fill="FFFFFF" w:val="clear"/>
            <w:vAlign w:val="center"/>
          </w:tcPr>
          <w:p w14:paraId="B4270000">
            <w:pPr>
              <w:widowControl w:val="1"/>
              <w:ind/>
              <w:contextualSpacing w:val="1"/>
              <w:jc w:val="center"/>
              <w:rPr>
                <w:sz w:val="22"/>
              </w:rPr>
            </w:pPr>
            <w:r>
              <w:rPr>
                <w:sz w:val="22"/>
              </w:rPr>
              <w:t>3525,00</w:t>
            </w:r>
          </w:p>
        </w:tc>
        <w:tc>
          <w:tcPr>
            <w:tcW w:type="dxa" w:w="1221"/>
            <w:tcBorders>
              <w:top w:color="000000" w:sz="4" w:val="single"/>
              <w:left w:color="000000" w:sz="4" w:val="single"/>
              <w:bottom w:color="000000" w:sz="4" w:val="single"/>
              <w:right w:color="000000" w:sz="4" w:val="single"/>
            </w:tcBorders>
            <w:shd w:fill="FFFFFF" w:val="clear"/>
            <w:vAlign w:val="center"/>
          </w:tcPr>
          <w:p w14:paraId="B5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6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7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8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B9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BA27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BB270000">
            <w:pPr>
              <w:widowControl w:val="1"/>
              <w:ind/>
              <w:contextualSpacing w:val="1"/>
              <w:rPr>
                <w:color w:val="000000"/>
                <w:sz w:val="22"/>
              </w:rPr>
            </w:pPr>
            <w:r>
              <w:rPr>
                <w:color w:val="000000"/>
                <w:sz w:val="22"/>
              </w:rPr>
              <w:t>257</w:t>
            </w:r>
          </w:p>
        </w:tc>
        <w:tc>
          <w:tcPr>
            <w:tcW w:type="dxa" w:w="1408"/>
            <w:tcBorders>
              <w:top w:color="000000" w:sz="4" w:val="single"/>
              <w:left w:color="000000" w:sz="4" w:val="single"/>
              <w:bottom w:color="000000" w:sz="4" w:val="single"/>
              <w:right w:color="000000" w:sz="4" w:val="single"/>
            </w:tcBorders>
            <w:shd w:fill="FFFFFF" w:val="clear"/>
            <w:vAlign w:val="center"/>
          </w:tcPr>
          <w:p w14:paraId="BC270000">
            <w:pPr>
              <w:widowControl w:val="1"/>
              <w:ind/>
              <w:contextualSpacing w:val="1"/>
              <w:jc w:val="center"/>
              <w:rPr>
                <w:sz w:val="22"/>
              </w:rPr>
            </w:pPr>
            <w:r>
              <w:rPr>
                <w:sz w:val="22"/>
              </w:rPr>
              <w:t>ООО "Автотрейд-КСК"</w:t>
            </w:r>
          </w:p>
        </w:tc>
        <w:tc>
          <w:tcPr>
            <w:tcW w:type="dxa" w:w="1408"/>
            <w:tcBorders>
              <w:top w:color="000000" w:sz="4" w:val="single"/>
              <w:left w:color="000000" w:sz="4" w:val="single"/>
              <w:bottom w:color="000000" w:sz="4" w:val="single"/>
              <w:right w:color="000000" w:sz="4" w:val="single"/>
            </w:tcBorders>
            <w:shd w:fill="FFFFFF" w:val="clear"/>
            <w:vAlign w:val="center"/>
          </w:tcPr>
          <w:p w14:paraId="BD270000">
            <w:pPr>
              <w:widowControl w:val="1"/>
              <w:ind/>
              <w:contextualSpacing w:val="1"/>
              <w:jc w:val="center"/>
              <w:rPr>
                <w:sz w:val="22"/>
              </w:rPr>
            </w:pPr>
            <w:r>
              <w:rPr>
                <w:sz w:val="22"/>
              </w:rPr>
              <w:t>счет № кс00036883 от 14.11.2018</w:t>
            </w:r>
          </w:p>
        </w:tc>
        <w:tc>
          <w:tcPr>
            <w:tcW w:type="dxa" w:w="1274"/>
            <w:tcBorders>
              <w:top w:color="000000" w:sz="4" w:val="single"/>
              <w:left w:color="000000" w:sz="4" w:val="single"/>
              <w:bottom w:color="000000" w:sz="4" w:val="single"/>
              <w:right w:color="000000" w:sz="4" w:val="single"/>
            </w:tcBorders>
            <w:shd w:fill="FFFFFF" w:val="clear"/>
            <w:vAlign w:val="center"/>
          </w:tcPr>
          <w:p w14:paraId="BE270000">
            <w:pPr>
              <w:widowControl w:val="1"/>
              <w:ind/>
              <w:contextualSpacing w:val="1"/>
              <w:jc w:val="center"/>
              <w:rPr>
                <w:sz w:val="22"/>
              </w:rPr>
            </w:pPr>
            <w:r>
              <w:rPr>
                <w:sz w:val="22"/>
              </w:rPr>
              <w:t>14.11.2018-20.11.2018</w:t>
            </w:r>
          </w:p>
        </w:tc>
        <w:tc>
          <w:tcPr>
            <w:tcW w:type="dxa" w:w="1556"/>
            <w:tcBorders>
              <w:top w:color="000000" w:sz="4" w:val="single"/>
              <w:left w:color="000000" w:sz="4" w:val="single"/>
              <w:bottom w:color="000000" w:sz="4" w:val="single"/>
              <w:right w:color="000000" w:sz="4" w:val="single"/>
            </w:tcBorders>
            <w:shd w:fill="FFFFFF" w:val="clear"/>
            <w:vAlign w:val="center"/>
          </w:tcPr>
          <w:p w14:paraId="BF270000">
            <w:pPr>
              <w:widowControl w:val="1"/>
              <w:ind/>
              <w:contextualSpacing w:val="1"/>
              <w:jc w:val="center"/>
              <w:rPr>
                <w:sz w:val="22"/>
              </w:rPr>
            </w:pPr>
            <w:r>
              <w:rPr>
                <w:sz w:val="22"/>
              </w:rPr>
              <w:t>поставка стекла лобового для автомобиля AUDI</w:t>
            </w:r>
          </w:p>
        </w:tc>
        <w:tc>
          <w:tcPr>
            <w:tcW w:type="dxa" w:w="1194"/>
            <w:tcBorders>
              <w:top w:color="000000" w:sz="4" w:val="single"/>
              <w:left w:color="000000" w:sz="4" w:val="single"/>
              <w:bottom w:color="000000" w:sz="4" w:val="single"/>
              <w:right w:color="000000" w:sz="4" w:val="single"/>
            </w:tcBorders>
            <w:shd w:fill="FFFFFF" w:val="clear"/>
            <w:vAlign w:val="center"/>
          </w:tcPr>
          <w:p w14:paraId="C0270000">
            <w:pPr>
              <w:widowControl w:val="1"/>
              <w:ind/>
              <w:contextualSpacing w:val="1"/>
              <w:jc w:val="center"/>
              <w:rPr>
                <w:sz w:val="22"/>
              </w:rPr>
            </w:pPr>
            <w:r>
              <w:rPr>
                <w:sz w:val="22"/>
              </w:rPr>
              <w:t>6205,00</w:t>
            </w:r>
          </w:p>
        </w:tc>
        <w:tc>
          <w:tcPr>
            <w:tcW w:type="dxa" w:w="1221"/>
            <w:tcBorders>
              <w:top w:color="000000" w:sz="4" w:val="single"/>
              <w:left w:color="000000" w:sz="4" w:val="single"/>
              <w:bottom w:color="000000" w:sz="4" w:val="single"/>
              <w:right w:color="000000" w:sz="4" w:val="single"/>
            </w:tcBorders>
            <w:shd w:fill="FFFFFF" w:val="clear"/>
            <w:vAlign w:val="center"/>
          </w:tcPr>
          <w:p w14:paraId="C1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2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3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4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C5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627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773"/>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C7270000">
            <w:pPr>
              <w:widowControl w:val="1"/>
              <w:ind/>
              <w:contextualSpacing w:val="1"/>
              <w:jc w:val="center"/>
              <w:rPr>
                <w:color w:val="000000"/>
                <w:sz w:val="22"/>
              </w:rPr>
            </w:pPr>
            <w:r>
              <w:rPr>
                <w:color w:val="000000"/>
                <w:sz w:val="22"/>
              </w:rPr>
              <w:t>итого по контрагенту ООО "Автотрейд-КСК" 9730 руб.</w:t>
            </w:r>
          </w:p>
          <w:p w14:paraId="C827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9270000">
            <w:pPr>
              <w:widowControl w:val="1"/>
              <w:ind/>
              <w:contextualSpacing w:val="1"/>
              <w:rPr>
                <w:color w:val="000000"/>
                <w:sz w:val="22"/>
              </w:rPr>
            </w:pPr>
            <w:r>
              <w:rPr>
                <w:color w:val="000000"/>
                <w:sz w:val="22"/>
              </w:rPr>
              <w:t>258</w:t>
            </w:r>
          </w:p>
        </w:tc>
        <w:tc>
          <w:tcPr>
            <w:tcW w:type="dxa" w:w="1408"/>
            <w:tcBorders>
              <w:top w:color="000000" w:sz="4" w:val="single"/>
              <w:left w:color="000000" w:sz="4" w:val="single"/>
              <w:bottom w:color="000000" w:sz="4" w:val="single"/>
              <w:right w:color="000000" w:sz="4" w:val="single"/>
            </w:tcBorders>
            <w:shd w:fill="FFFFFF" w:val="clear"/>
            <w:vAlign w:val="center"/>
          </w:tcPr>
          <w:p w14:paraId="CA270000">
            <w:pPr>
              <w:widowControl w:val="1"/>
              <w:ind/>
              <w:contextualSpacing w:val="1"/>
              <w:jc w:val="center"/>
              <w:rPr>
                <w:sz w:val="22"/>
              </w:rPr>
            </w:pPr>
            <w:r>
              <w:rPr>
                <w:sz w:val="22"/>
              </w:rPr>
              <w:t>ИП Пархомова Ю.В.</w:t>
            </w:r>
          </w:p>
        </w:tc>
        <w:tc>
          <w:tcPr>
            <w:tcW w:type="dxa" w:w="1408"/>
            <w:tcBorders>
              <w:top w:color="000000" w:sz="4" w:val="single"/>
              <w:left w:color="000000" w:sz="4" w:val="single"/>
              <w:bottom w:color="000000" w:sz="4" w:val="single"/>
              <w:right w:color="000000" w:sz="4" w:val="single"/>
            </w:tcBorders>
            <w:shd w:fill="FFFFFF" w:val="clear"/>
            <w:vAlign w:val="center"/>
          </w:tcPr>
          <w:p w14:paraId="CB270000">
            <w:pPr>
              <w:widowControl w:val="1"/>
              <w:ind/>
              <w:contextualSpacing w:val="1"/>
              <w:jc w:val="center"/>
              <w:rPr>
                <w:sz w:val="22"/>
              </w:rPr>
            </w:pPr>
            <w:r>
              <w:rPr>
                <w:sz w:val="22"/>
              </w:rPr>
              <w:t>счет № ПЮ00925078 от 24.09.2018</w:t>
            </w:r>
          </w:p>
        </w:tc>
        <w:tc>
          <w:tcPr>
            <w:tcW w:type="dxa" w:w="1274"/>
            <w:tcBorders>
              <w:top w:color="000000" w:sz="4" w:val="single"/>
              <w:left w:color="000000" w:sz="4" w:val="single"/>
              <w:bottom w:color="000000" w:sz="4" w:val="single"/>
              <w:right w:color="000000" w:sz="4" w:val="single"/>
            </w:tcBorders>
            <w:shd w:fill="FFFFFF" w:val="clear"/>
            <w:vAlign w:val="center"/>
          </w:tcPr>
          <w:p w14:paraId="CC270000">
            <w:pPr>
              <w:widowControl w:val="1"/>
              <w:ind/>
              <w:contextualSpacing w:val="1"/>
              <w:jc w:val="center"/>
              <w:rPr>
                <w:sz w:val="22"/>
              </w:rPr>
            </w:pPr>
            <w:r>
              <w:rPr>
                <w:sz w:val="22"/>
              </w:rPr>
              <w:t>24.09.2018-25.09.2018</w:t>
            </w:r>
          </w:p>
        </w:tc>
        <w:tc>
          <w:tcPr>
            <w:tcW w:type="dxa" w:w="1556"/>
            <w:tcBorders>
              <w:top w:color="000000" w:sz="4" w:val="single"/>
              <w:left w:color="000000" w:sz="4" w:val="single"/>
              <w:bottom w:color="000000" w:sz="4" w:val="single"/>
              <w:right w:color="000000" w:sz="4" w:val="single"/>
            </w:tcBorders>
            <w:shd w:fill="FFFFFF" w:val="clear"/>
            <w:vAlign w:val="center"/>
          </w:tcPr>
          <w:p w14:paraId="CD270000">
            <w:pPr>
              <w:widowControl w:val="1"/>
              <w:ind/>
              <w:contextualSpacing w:val="1"/>
              <w:jc w:val="center"/>
              <w:rPr>
                <w:sz w:val="22"/>
              </w:rPr>
            </w:pPr>
            <w:r>
              <w:rPr>
                <w:sz w:val="22"/>
              </w:rPr>
              <w:t>выполнение работ по установке лобового стекла автомобиля Peugeot</w:t>
            </w:r>
          </w:p>
        </w:tc>
        <w:tc>
          <w:tcPr>
            <w:tcW w:type="dxa" w:w="1194"/>
            <w:tcBorders>
              <w:top w:color="000000" w:sz="4" w:val="single"/>
              <w:left w:color="000000" w:sz="4" w:val="single"/>
              <w:bottom w:color="000000" w:sz="4" w:val="single"/>
              <w:right w:color="000000" w:sz="4" w:val="single"/>
            </w:tcBorders>
            <w:shd w:fill="FFFFFF" w:val="clear"/>
            <w:vAlign w:val="center"/>
          </w:tcPr>
          <w:p w14:paraId="CE270000">
            <w:pPr>
              <w:widowControl w:val="1"/>
              <w:ind/>
              <w:contextualSpacing w:val="1"/>
              <w:jc w:val="center"/>
              <w:rPr>
                <w:sz w:val="22"/>
              </w:rPr>
            </w:pPr>
            <w:r>
              <w:rPr>
                <w:sz w:val="22"/>
              </w:rPr>
              <w:t>1200,00</w:t>
            </w:r>
          </w:p>
        </w:tc>
        <w:tc>
          <w:tcPr>
            <w:tcW w:type="dxa" w:w="1221"/>
            <w:tcBorders>
              <w:top w:color="000000" w:sz="4" w:val="single"/>
              <w:left w:color="000000" w:sz="4" w:val="single"/>
              <w:bottom w:color="000000" w:sz="4" w:val="single"/>
              <w:right w:color="000000" w:sz="4" w:val="single"/>
            </w:tcBorders>
            <w:shd w:fill="FFFFFF" w:val="clear"/>
            <w:vAlign w:val="center"/>
          </w:tcPr>
          <w:p w14:paraId="CF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0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1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2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D3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D4270000">
            <w:pPr>
              <w:widowControl w:val="1"/>
              <w:ind/>
              <w:contextualSpacing w:val="1"/>
              <w:jc w:val="center"/>
              <w:rPr>
                <w:sz w:val="22"/>
              </w:rPr>
            </w:pPr>
            <w:r>
              <w:rPr>
                <w:sz w:val="22"/>
              </w:rPr>
              <w:t>Размещение заказа у единственного поставщика, согласно пп.28п. 81, 82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D5270000">
            <w:pPr>
              <w:widowControl w:val="1"/>
              <w:ind/>
              <w:contextualSpacing w:val="1"/>
              <w:rPr>
                <w:color w:val="000000"/>
                <w:sz w:val="22"/>
              </w:rPr>
            </w:pPr>
            <w:r>
              <w:rPr>
                <w:color w:val="000000"/>
                <w:sz w:val="22"/>
              </w:rPr>
              <w:t>259</w:t>
            </w:r>
          </w:p>
        </w:tc>
        <w:tc>
          <w:tcPr>
            <w:tcW w:type="dxa" w:w="1408"/>
            <w:tcBorders>
              <w:top w:color="000000" w:sz="4" w:val="single"/>
              <w:left w:color="000000" w:sz="4" w:val="single"/>
              <w:bottom w:color="000000" w:sz="4" w:val="single"/>
              <w:right w:color="000000" w:sz="4" w:val="single"/>
            </w:tcBorders>
            <w:shd w:fill="FFFFFF" w:val="clear"/>
            <w:vAlign w:val="center"/>
          </w:tcPr>
          <w:p w14:paraId="D6270000">
            <w:pPr>
              <w:widowControl w:val="1"/>
              <w:ind/>
              <w:contextualSpacing w:val="1"/>
              <w:jc w:val="center"/>
              <w:rPr>
                <w:sz w:val="22"/>
              </w:rPr>
            </w:pPr>
            <w:r>
              <w:rPr>
                <w:sz w:val="22"/>
              </w:rPr>
              <w:t>ИП Пархомова Ю.В.</w:t>
            </w:r>
          </w:p>
        </w:tc>
        <w:tc>
          <w:tcPr>
            <w:tcW w:type="dxa" w:w="1408"/>
            <w:tcBorders>
              <w:top w:color="000000" w:sz="4" w:val="single"/>
              <w:left w:color="000000" w:sz="4" w:val="single"/>
              <w:bottom w:color="000000" w:sz="4" w:val="single"/>
              <w:right w:color="000000" w:sz="4" w:val="single"/>
            </w:tcBorders>
            <w:shd w:fill="FFFFFF" w:val="clear"/>
            <w:vAlign w:val="center"/>
          </w:tcPr>
          <w:p w14:paraId="D7270000">
            <w:pPr>
              <w:widowControl w:val="1"/>
              <w:ind/>
              <w:contextualSpacing w:val="1"/>
              <w:jc w:val="center"/>
              <w:rPr>
                <w:sz w:val="22"/>
              </w:rPr>
            </w:pPr>
            <w:r>
              <w:rPr>
                <w:sz w:val="22"/>
              </w:rPr>
              <w:t>счет № пю00947205</w:t>
            </w:r>
          </w:p>
        </w:tc>
        <w:tc>
          <w:tcPr>
            <w:tcW w:type="dxa" w:w="1274"/>
            <w:tcBorders>
              <w:top w:color="000000" w:sz="4" w:val="single"/>
              <w:left w:color="000000" w:sz="4" w:val="single"/>
              <w:bottom w:color="000000" w:sz="4" w:val="single"/>
              <w:right w:color="000000" w:sz="4" w:val="single"/>
            </w:tcBorders>
            <w:shd w:fill="FFFFFF" w:val="clear"/>
            <w:vAlign w:val="center"/>
          </w:tcPr>
          <w:p w14:paraId="D8270000">
            <w:pPr>
              <w:widowControl w:val="1"/>
              <w:ind/>
              <w:contextualSpacing w:val="1"/>
              <w:jc w:val="center"/>
              <w:rPr>
                <w:sz w:val="22"/>
              </w:rPr>
            </w:pPr>
            <w:r>
              <w:rPr>
                <w:sz w:val="22"/>
              </w:rPr>
              <w:t>14.11.2018-30.11.2018</w:t>
            </w:r>
          </w:p>
        </w:tc>
        <w:tc>
          <w:tcPr>
            <w:tcW w:type="dxa" w:w="1556"/>
            <w:tcBorders>
              <w:top w:color="000000" w:sz="4" w:val="single"/>
              <w:left w:color="000000" w:sz="4" w:val="single"/>
              <w:bottom w:color="000000" w:sz="4" w:val="single"/>
              <w:right w:color="000000" w:sz="4" w:val="single"/>
            </w:tcBorders>
            <w:shd w:fill="FFFFFF" w:val="clear"/>
            <w:vAlign w:val="center"/>
          </w:tcPr>
          <w:p w14:paraId="D9270000">
            <w:pPr>
              <w:widowControl w:val="1"/>
              <w:ind/>
              <w:contextualSpacing w:val="1"/>
              <w:jc w:val="center"/>
              <w:rPr>
                <w:sz w:val="22"/>
              </w:rPr>
            </w:pPr>
            <w:r>
              <w:rPr>
                <w:sz w:val="22"/>
              </w:rPr>
              <w:t>выполнение работ по установке лобового стекла автомобиля AUDI</w:t>
            </w:r>
          </w:p>
        </w:tc>
        <w:tc>
          <w:tcPr>
            <w:tcW w:type="dxa" w:w="1194"/>
            <w:tcBorders>
              <w:top w:color="000000" w:sz="4" w:val="single"/>
              <w:left w:color="000000" w:sz="4" w:val="single"/>
              <w:bottom w:color="000000" w:sz="4" w:val="single"/>
              <w:right w:color="000000" w:sz="4" w:val="single"/>
            </w:tcBorders>
            <w:shd w:fill="FFFFFF" w:val="clear"/>
            <w:vAlign w:val="center"/>
          </w:tcPr>
          <w:p w14:paraId="DA270000">
            <w:pPr>
              <w:widowControl w:val="1"/>
              <w:ind/>
              <w:contextualSpacing w:val="1"/>
              <w:jc w:val="center"/>
              <w:rPr>
                <w:sz w:val="22"/>
              </w:rPr>
            </w:pPr>
            <w:r>
              <w:rPr>
                <w:sz w:val="22"/>
              </w:rPr>
              <w:t>1800,00</w:t>
            </w:r>
          </w:p>
        </w:tc>
        <w:tc>
          <w:tcPr>
            <w:tcW w:type="dxa" w:w="1221"/>
            <w:tcBorders>
              <w:top w:color="000000" w:sz="4" w:val="single"/>
              <w:left w:color="000000" w:sz="4" w:val="single"/>
              <w:bottom w:color="000000" w:sz="4" w:val="single"/>
              <w:right w:color="000000" w:sz="4" w:val="single"/>
            </w:tcBorders>
            <w:shd w:fill="FFFFFF" w:val="clear"/>
            <w:vAlign w:val="center"/>
          </w:tcPr>
          <w:p w14:paraId="DB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C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D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E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DF27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E027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708"/>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E1270000">
            <w:pPr>
              <w:widowControl w:val="1"/>
              <w:ind/>
              <w:contextualSpacing w:val="1"/>
              <w:jc w:val="center"/>
              <w:rPr>
                <w:color w:val="000000"/>
                <w:sz w:val="22"/>
              </w:rPr>
            </w:pPr>
            <w:r>
              <w:rPr>
                <w:color w:val="000000"/>
                <w:sz w:val="22"/>
              </w:rPr>
              <w:t>итого по контрагенту ИП Пархомова Ю.В. 3000 руб.</w:t>
            </w:r>
          </w:p>
          <w:p w14:paraId="E227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E3270000">
            <w:pPr>
              <w:widowControl w:val="1"/>
              <w:ind/>
              <w:contextualSpacing w:val="1"/>
              <w:rPr>
                <w:color w:val="000000"/>
                <w:sz w:val="22"/>
              </w:rPr>
            </w:pPr>
            <w:r>
              <w:rPr>
                <w:color w:val="000000"/>
                <w:sz w:val="22"/>
              </w:rPr>
              <w:t>260</w:t>
            </w:r>
          </w:p>
        </w:tc>
        <w:tc>
          <w:tcPr>
            <w:tcW w:type="dxa" w:w="1408"/>
            <w:tcBorders>
              <w:top w:color="000000" w:sz="4" w:val="single"/>
              <w:left w:color="000000" w:sz="4" w:val="single"/>
              <w:bottom w:color="000000" w:sz="4" w:val="single"/>
              <w:right w:color="000000" w:sz="4" w:val="single"/>
            </w:tcBorders>
            <w:shd w:fill="FFFFFF" w:val="clear"/>
            <w:vAlign w:val="center"/>
          </w:tcPr>
          <w:p w14:paraId="E4270000">
            <w:pPr>
              <w:widowControl w:val="1"/>
              <w:ind/>
              <w:contextualSpacing w:val="1"/>
              <w:jc w:val="center"/>
              <w:rPr>
                <w:sz w:val="22"/>
              </w:rPr>
            </w:pPr>
            <w:r>
              <w:rPr>
                <w:sz w:val="22"/>
              </w:rPr>
              <w:t>ОАО "РЖД" Служба управления имуществом Красноярской железной дороги</w:t>
            </w:r>
          </w:p>
        </w:tc>
        <w:tc>
          <w:tcPr>
            <w:tcW w:type="dxa" w:w="1408"/>
            <w:tcBorders>
              <w:top w:color="000000" w:sz="4" w:val="single"/>
              <w:left w:color="000000" w:sz="4" w:val="single"/>
              <w:bottom w:color="000000" w:sz="4" w:val="single"/>
              <w:right w:color="000000" w:sz="4" w:val="single"/>
            </w:tcBorders>
            <w:shd w:fill="FFFFFF" w:val="clear"/>
            <w:vAlign w:val="center"/>
          </w:tcPr>
          <w:p w14:paraId="E5270000">
            <w:pPr>
              <w:widowControl w:val="1"/>
              <w:ind/>
              <w:contextualSpacing w:val="1"/>
              <w:jc w:val="center"/>
              <w:rPr>
                <w:sz w:val="22"/>
              </w:rPr>
            </w:pPr>
            <w:r>
              <w:rPr>
                <w:sz w:val="22"/>
              </w:rPr>
              <w:t>соглашение о расторжении договора № ЦРИ/04/СА/5363/15/001990 от 28.12.2015 от 29.12.2018</w:t>
            </w:r>
          </w:p>
        </w:tc>
        <w:tc>
          <w:tcPr>
            <w:tcW w:type="dxa" w:w="1274"/>
            <w:tcBorders>
              <w:top w:color="000000" w:sz="4" w:val="single"/>
              <w:left w:color="000000" w:sz="4" w:val="single"/>
              <w:bottom w:color="000000" w:sz="4" w:val="single"/>
              <w:right w:color="000000" w:sz="4" w:val="single"/>
            </w:tcBorders>
            <w:shd w:fill="FFFFFF" w:val="clear"/>
            <w:vAlign w:val="center"/>
          </w:tcPr>
          <w:p w14:paraId="E6270000">
            <w:pPr>
              <w:widowControl w:val="1"/>
              <w:ind/>
              <w:contextualSpacing w:val="1"/>
              <w:jc w:val="center"/>
              <w:rPr>
                <w:sz w:val="22"/>
              </w:rPr>
            </w:pPr>
            <w:r>
              <w:rPr>
                <w:sz w:val="22"/>
              </w:rPr>
              <w:t>29.12.2018</w:t>
            </w:r>
          </w:p>
        </w:tc>
        <w:tc>
          <w:tcPr>
            <w:tcW w:type="dxa" w:w="1556"/>
            <w:tcBorders>
              <w:top w:color="000000" w:sz="4" w:val="single"/>
              <w:left w:color="000000" w:sz="4" w:val="single"/>
              <w:bottom w:color="000000" w:sz="4" w:val="single"/>
              <w:right w:color="000000" w:sz="4" w:val="single"/>
            </w:tcBorders>
            <w:shd w:fill="FFFFFF" w:val="clear"/>
            <w:vAlign w:val="center"/>
          </w:tcPr>
          <w:p w14:paraId="E7270000">
            <w:pPr>
              <w:widowControl w:val="1"/>
              <w:ind/>
              <w:contextualSpacing w:val="1"/>
              <w:jc w:val="center"/>
              <w:rPr>
                <w:sz w:val="22"/>
              </w:rPr>
            </w:pPr>
            <w:r>
              <w:rPr>
                <w:sz w:val="22"/>
              </w:rPr>
              <w:t>расторжение договора субаренды части земельного участка</w:t>
            </w:r>
          </w:p>
        </w:tc>
        <w:tc>
          <w:tcPr>
            <w:tcW w:type="dxa" w:w="1194"/>
            <w:tcBorders>
              <w:top w:color="000000" w:sz="4" w:val="single"/>
              <w:left w:color="000000" w:sz="4" w:val="single"/>
              <w:bottom w:color="000000" w:sz="4" w:val="single"/>
              <w:right w:color="000000" w:sz="4" w:val="single"/>
            </w:tcBorders>
            <w:shd w:fill="FFFFFF" w:val="clear"/>
            <w:vAlign w:val="center"/>
          </w:tcPr>
          <w:p w14:paraId="E8270000">
            <w:pPr>
              <w:widowControl w:val="1"/>
              <w:ind/>
              <w:contextualSpacing w:val="1"/>
              <w:jc w:val="center"/>
              <w:rPr>
                <w:color w:val="000000"/>
                <w:sz w:val="22"/>
              </w:rPr>
            </w:pPr>
            <w:r>
              <w:rPr>
                <w:color w:val="000000"/>
                <w:sz w:val="22"/>
              </w:rPr>
              <w:t>0</w:t>
            </w:r>
          </w:p>
        </w:tc>
        <w:tc>
          <w:tcPr>
            <w:tcW w:type="dxa" w:w="1221"/>
            <w:tcBorders>
              <w:top w:color="000000" w:sz="4" w:val="single"/>
              <w:left w:color="000000" w:sz="4" w:val="single"/>
              <w:bottom w:color="000000" w:sz="4" w:val="single"/>
              <w:right w:color="000000" w:sz="4" w:val="single"/>
            </w:tcBorders>
            <w:shd w:fill="FFFFFF" w:val="clear"/>
            <w:vAlign w:val="center"/>
          </w:tcPr>
          <w:p w14:paraId="E9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A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B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C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ED27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EE270000">
            <w:pPr>
              <w:widowControl w:val="1"/>
              <w:ind/>
              <w:contextualSpacing w:val="1"/>
              <w:jc w:val="center"/>
              <w:rPr>
                <w:sz w:val="22"/>
              </w:rPr>
            </w:pPr>
            <w:r>
              <w:rPr>
                <w:sz w:val="22"/>
              </w:rPr>
              <w:t>Закупка у взаимозависимого лица (пп1 п2 ст. 105.1 НК РФ)</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EF270000">
            <w:pPr>
              <w:widowControl w:val="1"/>
              <w:ind/>
              <w:contextualSpacing w:val="1"/>
              <w:rPr>
                <w:color w:val="000000"/>
                <w:sz w:val="22"/>
              </w:rPr>
            </w:pPr>
            <w:r>
              <w:rPr>
                <w:color w:val="000000"/>
                <w:sz w:val="22"/>
              </w:rPr>
              <w:t>261</w:t>
            </w:r>
          </w:p>
        </w:tc>
        <w:tc>
          <w:tcPr>
            <w:tcW w:type="dxa" w:w="1408"/>
            <w:tcBorders>
              <w:top w:color="000000" w:sz="4" w:val="single"/>
              <w:left w:color="000000" w:sz="4" w:val="single"/>
              <w:bottom w:color="000000" w:sz="4" w:val="single"/>
              <w:right w:color="000000" w:sz="4" w:val="single"/>
            </w:tcBorders>
            <w:shd w:fill="FFFFFF" w:val="clear"/>
            <w:vAlign w:val="center"/>
          </w:tcPr>
          <w:p w14:paraId="F0270000">
            <w:pPr>
              <w:widowControl w:val="1"/>
              <w:ind/>
              <w:contextualSpacing w:val="1"/>
              <w:jc w:val="center"/>
              <w:rPr>
                <w:sz w:val="22"/>
              </w:rPr>
            </w:pPr>
            <w:r>
              <w:rPr>
                <w:sz w:val="22"/>
              </w:rPr>
              <w:t>ОАО "РЖД" Служба управления имуществом Красноярской железной дороги</w:t>
            </w:r>
          </w:p>
        </w:tc>
        <w:tc>
          <w:tcPr>
            <w:tcW w:type="dxa" w:w="1408"/>
            <w:tcBorders>
              <w:top w:color="000000" w:sz="4" w:val="single"/>
              <w:left w:color="000000" w:sz="4" w:val="single"/>
              <w:bottom w:color="000000" w:sz="4" w:val="single"/>
              <w:right w:color="000000" w:sz="4" w:val="single"/>
            </w:tcBorders>
            <w:shd w:fill="FFFFFF" w:val="clear"/>
            <w:vAlign w:val="center"/>
          </w:tcPr>
          <w:p w14:paraId="F1270000">
            <w:pPr>
              <w:widowControl w:val="1"/>
              <w:ind/>
              <w:contextualSpacing w:val="1"/>
              <w:jc w:val="center"/>
              <w:rPr>
                <w:sz w:val="22"/>
              </w:rPr>
            </w:pPr>
            <w:r>
              <w:rPr>
                <w:sz w:val="22"/>
              </w:rPr>
              <w:t>соглашение о расторжении договора № ЦРИ/04/СА/5363/15/001977 от 28.12.2015 от 29.12.2018</w:t>
            </w:r>
          </w:p>
        </w:tc>
        <w:tc>
          <w:tcPr>
            <w:tcW w:type="dxa" w:w="1274"/>
            <w:tcBorders>
              <w:top w:color="000000" w:sz="4" w:val="single"/>
              <w:left w:color="000000" w:sz="4" w:val="single"/>
              <w:bottom w:color="000000" w:sz="4" w:val="single"/>
              <w:right w:color="000000" w:sz="4" w:val="single"/>
            </w:tcBorders>
            <w:shd w:fill="FFFFFF" w:val="clear"/>
            <w:vAlign w:val="center"/>
          </w:tcPr>
          <w:p w14:paraId="F2270000">
            <w:pPr>
              <w:widowControl w:val="1"/>
              <w:ind/>
              <w:contextualSpacing w:val="1"/>
              <w:jc w:val="center"/>
              <w:rPr>
                <w:sz w:val="22"/>
              </w:rPr>
            </w:pPr>
            <w:r>
              <w:rPr>
                <w:sz w:val="22"/>
              </w:rPr>
              <w:t>29.12.2018</w:t>
            </w:r>
          </w:p>
        </w:tc>
        <w:tc>
          <w:tcPr>
            <w:tcW w:type="dxa" w:w="1556"/>
            <w:tcBorders>
              <w:top w:color="000000" w:sz="4" w:val="single"/>
              <w:left w:color="000000" w:sz="4" w:val="single"/>
              <w:bottom w:color="000000" w:sz="4" w:val="single"/>
              <w:right w:color="000000" w:sz="4" w:val="single"/>
            </w:tcBorders>
            <w:shd w:fill="FFFFFF" w:val="clear"/>
            <w:vAlign w:val="center"/>
          </w:tcPr>
          <w:p w14:paraId="F3270000">
            <w:pPr>
              <w:widowControl w:val="1"/>
              <w:ind/>
              <w:contextualSpacing w:val="1"/>
              <w:jc w:val="center"/>
              <w:rPr>
                <w:sz w:val="22"/>
              </w:rPr>
            </w:pPr>
            <w:r>
              <w:rPr>
                <w:sz w:val="22"/>
              </w:rPr>
              <w:t>расторжение договора субаренды части земельного участка</w:t>
            </w:r>
          </w:p>
        </w:tc>
        <w:tc>
          <w:tcPr>
            <w:tcW w:type="dxa" w:w="1194"/>
            <w:tcBorders>
              <w:top w:color="000000" w:sz="4" w:val="single"/>
              <w:left w:color="000000" w:sz="4" w:val="single"/>
              <w:bottom w:color="000000" w:sz="4" w:val="single"/>
              <w:right w:color="000000" w:sz="4" w:val="single"/>
            </w:tcBorders>
            <w:shd w:fill="FFFFFF" w:val="clear"/>
            <w:vAlign w:val="center"/>
          </w:tcPr>
          <w:p w14:paraId="F4270000">
            <w:pPr>
              <w:widowControl w:val="1"/>
              <w:ind/>
              <w:contextualSpacing w:val="1"/>
              <w:jc w:val="center"/>
              <w:rPr>
                <w:color w:val="000000"/>
                <w:sz w:val="22"/>
              </w:rPr>
            </w:pPr>
            <w:r>
              <w:rPr>
                <w:color w:val="000000"/>
                <w:sz w:val="22"/>
              </w:rPr>
              <w:t>0</w:t>
            </w:r>
          </w:p>
        </w:tc>
        <w:tc>
          <w:tcPr>
            <w:tcW w:type="dxa" w:w="1221"/>
            <w:tcBorders>
              <w:top w:color="000000" w:sz="4" w:val="single"/>
              <w:left w:color="000000" w:sz="4" w:val="single"/>
              <w:bottom w:color="000000" w:sz="4" w:val="single"/>
              <w:right w:color="000000" w:sz="4" w:val="single"/>
            </w:tcBorders>
            <w:shd w:fill="FFFFFF" w:val="clear"/>
            <w:vAlign w:val="center"/>
          </w:tcPr>
          <w:p w14:paraId="F527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627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727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827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F927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FA270000">
            <w:pPr>
              <w:widowControl w:val="1"/>
              <w:ind/>
              <w:contextualSpacing w:val="1"/>
              <w:jc w:val="center"/>
              <w:rPr>
                <w:sz w:val="22"/>
              </w:rPr>
            </w:pPr>
            <w:r>
              <w:rPr>
                <w:sz w:val="22"/>
              </w:rPr>
              <w:t>Закупка у взаимозависимого лица (пп1 п2 ст. 105.1 НК РФ)</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FB270000">
            <w:pPr>
              <w:widowControl w:val="1"/>
              <w:ind/>
              <w:contextualSpacing w:val="1"/>
              <w:rPr>
                <w:color w:val="000000"/>
                <w:sz w:val="22"/>
              </w:rPr>
            </w:pPr>
            <w:r>
              <w:rPr>
                <w:color w:val="000000"/>
                <w:sz w:val="22"/>
              </w:rPr>
              <w:t>262</w:t>
            </w:r>
          </w:p>
        </w:tc>
        <w:tc>
          <w:tcPr>
            <w:tcW w:type="dxa" w:w="1408"/>
            <w:tcBorders>
              <w:top w:color="000000" w:sz="4" w:val="single"/>
              <w:left w:color="000000" w:sz="4" w:val="single"/>
              <w:bottom w:color="000000" w:sz="4" w:val="single"/>
              <w:right w:color="000000" w:sz="4" w:val="single"/>
            </w:tcBorders>
            <w:shd w:fill="FFFFFF" w:val="clear"/>
            <w:vAlign w:val="center"/>
          </w:tcPr>
          <w:p w14:paraId="FC270000">
            <w:pPr>
              <w:widowControl w:val="1"/>
              <w:ind/>
              <w:contextualSpacing w:val="1"/>
              <w:jc w:val="center"/>
              <w:rPr>
                <w:sz w:val="22"/>
              </w:rPr>
            </w:pPr>
            <w:r>
              <w:rPr>
                <w:sz w:val="22"/>
              </w:rPr>
              <w:t>ОАО "РЖД" Служба управления имуществом Красноярской железной дороги</w:t>
            </w:r>
          </w:p>
        </w:tc>
        <w:tc>
          <w:tcPr>
            <w:tcW w:type="dxa" w:w="1408"/>
            <w:tcBorders>
              <w:top w:color="000000" w:sz="4" w:val="single"/>
              <w:left w:color="000000" w:sz="4" w:val="single"/>
              <w:bottom w:color="000000" w:sz="4" w:val="single"/>
              <w:right w:color="000000" w:sz="4" w:val="single"/>
            </w:tcBorders>
            <w:shd w:fill="FFFFFF" w:val="clear"/>
            <w:vAlign w:val="center"/>
          </w:tcPr>
          <w:p w14:paraId="FD270000">
            <w:pPr>
              <w:widowControl w:val="1"/>
              <w:ind/>
              <w:contextualSpacing w:val="1"/>
              <w:jc w:val="center"/>
              <w:rPr>
                <w:sz w:val="22"/>
              </w:rPr>
            </w:pPr>
            <w:r>
              <w:rPr>
                <w:sz w:val="22"/>
              </w:rPr>
              <w:t>дополнительное соглашение № 1 к договору № ЦРИ/04/СА/5363/15/001985 от 28.12.2015 от 12.12.2018</w:t>
            </w:r>
          </w:p>
        </w:tc>
        <w:tc>
          <w:tcPr>
            <w:tcW w:type="dxa" w:w="1274"/>
            <w:tcBorders>
              <w:top w:color="000000" w:sz="4" w:val="single"/>
              <w:left w:color="000000" w:sz="4" w:val="single"/>
              <w:bottom w:color="000000" w:sz="4" w:val="single"/>
              <w:right w:color="000000" w:sz="4" w:val="single"/>
            </w:tcBorders>
            <w:shd w:fill="FFFFFF" w:val="clear"/>
            <w:vAlign w:val="center"/>
          </w:tcPr>
          <w:p w14:paraId="FE270000">
            <w:pPr>
              <w:widowControl w:val="1"/>
              <w:ind/>
              <w:contextualSpacing w:val="1"/>
              <w:jc w:val="center"/>
              <w:rPr>
                <w:sz w:val="22"/>
              </w:rPr>
            </w:pPr>
            <w:r>
              <w:rPr>
                <w:sz w:val="22"/>
              </w:rPr>
              <w:t>01.01.2019-31.12.2019 пролонгация</w:t>
            </w:r>
          </w:p>
        </w:tc>
        <w:tc>
          <w:tcPr>
            <w:tcW w:type="dxa" w:w="1556"/>
            <w:tcBorders>
              <w:top w:color="000000" w:sz="4" w:val="single"/>
              <w:left w:color="000000" w:sz="4" w:val="single"/>
              <w:bottom w:color="000000" w:sz="4" w:val="single"/>
              <w:right w:color="000000" w:sz="4" w:val="single"/>
            </w:tcBorders>
            <w:shd w:fill="FFFFFF" w:val="clear"/>
            <w:vAlign w:val="center"/>
          </w:tcPr>
          <w:p w14:paraId="FF270000">
            <w:pPr>
              <w:widowControl w:val="1"/>
              <w:ind/>
              <w:contextualSpacing w:val="1"/>
              <w:jc w:val="center"/>
              <w:rPr>
                <w:sz w:val="22"/>
              </w:rPr>
            </w:pPr>
            <w:r>
              <w:rPr>
                <w:sz w:val="22"/>
              </w:rPr>
              <w:t>увеличение предельной цены договора в связи с увеличением ставки НДС</w:t>
            </w:r>
          </w:p>
        </w:tc>
        <w:tc>
          <w:tcPr>
            <w:tcW w:type="dxa" w:w="1194"/>
            <w:tcBorders>
              <w:top w:color="000000" w:sz="4" w:val="single"/>
              <w:left w:color="000000" w:sz="4" w:val="single"/>
              <w:bottom w:color="000000" w:sz="4" w:val="single"/>
              <w:right w:color="000000" w:sz="4" w:val="single"/>
            </w:tcBorders>
            <w:shd w:fill="FFFFFF" w:val="clear"/>
            <w:vAlign w:val="center"/>
          </w:tcPr>
          <w:p w14:paraId="00280000">
            <w:pPr>
              <w:widowControl w:val="1"/>
              <w:ind/>
              <w:contextualSpacing w:val="1"/>
              <w:jc w:val="center"/>
              <w:rPr>
                <w:sz w:val="22"/>
              </w:rPr>
            </w:pPr>
            <w:r>
              <w:rPr>
                <w:sz w:val="22"/>
              </w:rPr>
              <w:t>20,56</w:t>
            </w:r>
          </w:p>
        </w:tc>
        <w:tc>
          <w:tcPr>
            <w:tcW w:type="dxa" w:w="1221"/>
            <w:tcBorders>
              <w:top w:color="000000" w:sz="4" w:val="single"/>
              <w:left w:color="000000" w:sz="4" w:val="single"/>
              <w:bottom w:color="000000" w:sz="4" w:val="single"/>
              <w:right w:color="000000" w:sz="4" w:val="single"/>
            </w:tcBorders>
            <w:shd w:fill="FFFFFF" w:val="clear"/>
            <w:vAlign w:val="center"/>
          </w:tcPr>
          <w:p w14:paraId="01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2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3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0428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0528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6280000">
            <w:pPr>
              <w:widowControl w:val="1"/>
              <w:ind/>
              <w:contextualSpacing w:val="1"/>
              <w:jc w:val="center"/>
              <w:rPr>
                <w:sz w:val="22"/>
              </w:rPr>
            </w:pPr>
            <w:r>
              <w:rPr>
                <w:sz w:val="22"/>
              </w:rPr>
              <w:t>Закупка у взаимозависимого лица (пп1 п2 ст. 105.1 НК РФ)</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07280000">
            <w:pPr>
              <w:widowControl w:val="1"/>
              <w:ind/>
              <w:contextualSpacing w:val="1"/>
              <w:rPr>
                <w:color w:val="000000"/>
                <w:sz w:val="22"/>
              </w:rPr>
            </w:pPr>
            <w:r>
              <w:rPr>
                <w:color w:val="000000"/>
                <w:sz w:val="22"/>
              </w:rPr>
              <w:t>263</w:t>
            </w:r>
          </w:p>
        </w:tc>
        <w:tc>
          <w:tcPr>
            <w:tcW w:type="dxa" w:w="1408"/>
            <w:tcBorders>
              <w:top w:color="000000" w:sz="4" w:val="single"/>
              <w:left w:color="000000" w:sz="4" w:val="single"/>
              <w:bottom w:color="000000" w:sz="4" w:val="single"/>
              <w:right w:color="000000" w:sz="4" w:val="single"/>
            </w:tcBorders>
            <w:shd w:fill="FFFFFF" w:val="clear"/>
            <w:vAlign w:val="center"/>
          </w:tcPr>
          <w:p w14:paraId="08280000">
            <w:pPr>
              <w:widowControl w:val="1"/>
              <w:ind/>
              <w:contextualSpacing w:val="1"/>
              <w:jc w:val="center"/>
              <w:rPr>
                <w:sz w:val="22"/>
              </w:rPr>
            </w:pPr>
            <w:r>
              <w:rPr>
                <w:sz w:val="22"/>
              </w:rPr>
              <w:t>ОАО "РЖД" Служба управления имуществом Красноярской железной дороги</w:t>
            </w:r>
          </w:p>
        </w:tc>
        <w:tc>
          <w:tcPr>
            <w:tcW w:type="dxa" w:w="1408"/>
            <w:tcBorders>
              <w:top w:color="000000" w:sz="4" w:val="single"/>
              <w:left w:color="000000" w:sz="4" w:val="single"/>
              <w:bottom w:color="000000" w:sz="4" w:val="single"/>
              <w:right w:color="000000" w:sz="4" w:val="single"/>
            </w:tcBorders>
            <w:shd w:fill="FFFFFF" w:val="clear"/>
            <w:vAlign w:val="center"/>
          </w:tcPr>
          <w:p w14:paraId="09280000">
            <w:pPr>
              <w:widowControl w:val="1"/>
              <w:ind/>
              <w:contextualSpacing w:val="1"/>
              <w:jc w:val="center"/>
              <w:rPr>
                <w:sz w:val="22"/>
              </w:rPr>
            </w:pPr>
            <w:r>
              <w:rPr>
                <w:sz w:val="22"/>
              </w:rPr>
              <w:t>дополнительное соглашение № 1 к договору № ЦРИ/04/СА/5363/15/001983 от 28.12.2015 от 12.12.2018</w:t>
            </w:r>
          </w:p>
        </w:tc>
        <w:tc>
          <w:tcPr>
            <w:tcW w:type="dxa" w:w="1274"/>
            <w:tcBorders>
              <w:top w:color="000000" w:sz="4" w:val="single"/>
              <w:left w:color="000000" w:sz="4" w:val="single"/>
              <w:bottom w:color="000000" w:sz="4" w:val="single"/>
              <w:right w:color="000000" w:sz="4" w:val="single"/>
            </w:tcBorders>
            <w:shd w:fill="FFFFFF" w:val="clear"/>
            <w:vAlign w:val="center"/>
          </w:tcPr>
          <w:p w14:paraId="0A280000">
            <w:pPr>
              <w:widowControl w:val="1"/>
              <w:ind/>
              <w:contextualSpacing w:val="1"/>
              <w:jc w:val="center"/>
              <w:rPr>
                <w:sz w:val="22"/>
              </w:rPr>
            </w:pPr>
            <w:r>
              <w:rPr>
                <w:sz w:val="22"/>
              </w:rPr>
              <w:t>01.01.2019-31.12.2019 пролонгация</w:t>
            </w:r>
          </w:p>
        </w:tc>
        <w:tc>
          <w:tcPr>
            <w:tcW w:type="dxa" w:w="1556"/>
            <w:tcBorders>
              <w:top w:color="000000" w:sz="4" w:val="single"/>
              <w:left w:color="000000" w:sz="4" w:val="single"/>
              <w:bottom w:color="000000" w:sz="4" w:val="single"/>
              <w:right w:color="000000" w:sz="4" w:val="single"/>
            </w:tcBorders>
            <w:shd w:fill="FFFFFF" w:val="clear"/>
            <w:vAlign w:val="center"/>
          </w:tcPr>
          <w:p w14:paraId="0B280000">
            <w:pPr>
              <w:widowControl w:val="1"/>
              <w:ind/>
              <w:contextualSpacing w:val="1"/>
              <w:jc w:val="center"/>
              <w:rPr>
                <w:sz w:val="22"/>
              </w:rPr>
            </w:pPr>
            <w:r>
              <w:rPr>
                <w:sz w:val="22"/>
              </w:rPr>
              <w:t>увеличение предельной цены договора в связи с увеличением ставки НДС</w:t>
            </w:r>
          </w:p>
        </w:tc>
        <w:tc>
          <w:tcPr>
            <w:tcW w:type="dxa" w:w="1194"/>
            <w:tcBorders>
              <w:top w:color="000000" w:sz="4" w:val="single"/>
              <w:left w:color="000000" w:sz="4" w:val="single"/>
              <w:bottom w:color="000000" w:sz="4" w:val="single"/>
              <w:right w:color="000000" w:sz="4" w:val="single"/>
            </w:tcBorders>
            <w:shd w:fill="FFFFFF" w:val="clear"/>
            <w:vAlign w:val="center"/>
          </w:tcPr>
          <w:p w14:paraId="0C280000">
            <w:pPr>
              <w:widowControl w:val="1"/>
              <w:ind/>
              <w:contextualSpacing w:val="1"/>
              <w:jc w:val="center"/>
              <w:rPr>
                <w:sz w:val="22"/>
              </w:rPr>
            </w:pPr>
            <w:r>
              <w:rPr>
                <w:sz w:val="22"/>
              </w:rPr>
              <w:t>6,33</w:t>
            </w:r>
          </w:p>
        </w:tc>
        <w:tc>
          <w:tcPr>
            <w:tcW w:type="dxa" w:w="1221"/>
            <w:tcBorders>
              <w:top w:color="000000" w:sz="4" w:val="single"/>
              <w:left w:color="000000" w:sz="4" w:val="single"/>
              <w:bottom w:color="000000" w:sz="4" w:val="single"/>
              <w:right w:color="000000" w:sz="4" w:val="single"/>
            </w:tcBorders>
            <w:shd w:fill="FFFFFF" w:val="clear"/>
            <w:vAlign w:val="center"/>
          </w:tcPr>
          <w:p w14:paraId="0D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E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F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028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1128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12280000">
            <w:pPr>
              <w:widowControl w:val="1"/>
              <w:ind/>
              <w:contextualSpacing w:val="1"/>
              <w:jc w:val="center"/>
              <w:rPr>
                <w:sz w:val="22"/>
              </w:rPr>
            </w:pPr>
            <w:r>
              <w:rPr>
                <w:sz w:val="22"/>
              </w:rPr>
              <w:t>Закупка у взаимозависимого лица (пп1 п2 ст. 105.1 НК РФ)</w:t>
            </w:r>
          </w:p>
        </w:tc>
      </w:tr>
      <w:tr>
        <w:trPr>
          <w:trHeight w:hRule="atLeast" w:val="639"/>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13280000">
            <w:pPr>
              <w:widowControl w:val="1"/>
              <w:ind/>
              <w:contextualSpacing w:val="1"/>
              <w:jc w:val="center"/>
              <w:rPr>
                <w:color w:val="000000"/>
                <w:sz w:val="22"/>
              </w:rPr>
            </w:pPr>
            <w:r>
              <w:rPr>
                <w:color w:val="000000"/>
                <w:sz w:val="22"/>
              </w:rPr>
              <w:t>итого по контрагенту ОАО "РЖД" Служба управления имуществом Красноярской железной дороги 26,89 руб.</w:t>
            </w:r>
          </w:p>
          <w:p w14:paraId="1428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15280000">
            <w:pPr>
              <w:widowControl w:val="1"/>
              <w:ind/>
              <w:contextualSpacing w:val="1"/>
              <w:rPr>
                <w:color w:val="000000"/>
                <w:sz w:val="22"/>
              </w:rPr>
            </w:pPr>
            <w:r>
              <w:rPr>
                <w:color w:val="000000"/>
                <w:sz w:val="22"/>
              </w:rPr>
              <w:t>264</w:t>
            </w:r>
          </w:p>
        </w:tc>
        <w:tc>
          <w:tcPr>
            <w:tcW w:type="dxa" w:w="1408"/>
            <w:tcBorders>
              <w:top w:color="000000" w:sz="4" w:val="single"/>
              <w:left w:color="000000" w:sz="4" w:val="single"/>
              <w:bottom w:color="000000" w:sz="4" w:val="single"/>
              <w:right w:color="000000" w:sz="4" w:val="single"/>
            </w:tcBorders>
            <w:shd w:fill="FFFFFF" w:val="clear"/>
            <w:vAlign w:val="center"/>
          </w:tcPr>
          <w:p w14:paraId="16280000">
            <w:pPr>
              <w:widowControl w:val="1"/>
              <w:ind/>
              <w:contextualSpacing w:val="1"/>
              <w:jc w:val="center"/>
              <w:rPr>
                <w:sz w:val="22"/>
              </w:rPr>
            </w:pPr>
            <w:r>
              <w:rPr>
                <w:sz w:val="22"/>
              </w:rPr>
              <w:t>ОАО "РЖД" Управление "Казначейство"</w:t>
            </w:r>
          </w:p>
        </w:tc>
        <w:tc>
          <w:tcPr>
            <w:tcW w:type="dxa" w:w="1408"/>
            <w:tcBorders>
              <w:top w:color="000000" w:sz="4" w:val="single"/>
              <w:left w:color="000000" w:sz="4" w:val="single"/>
              <w:bottom w:color="000000" w:sz="4" w:val="single"/>
              <w:right w:color="000000" w:sz="4" w:val="single"/>
            </w:tcBorders>
            <w:shd w:fill="FFFFFF" w:val="clear"/>
            <w:vAlign w:val="center"/>
          </w:tcPr>
          <w:p w14:paraId="17280000">
            <w:pPr>
              <w:widowControl w:val="1"/>
              <w:ind/>
              <w:contextualSpacing w:val="1"/>
              <w:jc w:val="center"/>
              <w:rPr>
                <w:sz w:val="22"/>
              </w:rPr>
            </w:pPr>
            <w:r>
              <w:rPr>
                <w:sz w:val="22"/>
              </w:rPr>
              <w:t>соглашение о расторжении договора № 3 от 26.01.2016 от 29.11.2018</w:t>
            </w:r>
          </w:p>
        </w:tc>
        <w:tc>
          <w:tcPr>
            <w:tcW w:type="dxa" w:w="1274"/>
            <w:tcBorders>
              <w:top w:color="000000" w:sz="4" w:val="single"/>
              <w:left w:color="000000" w:sz="4" w:val="single"/>
              <w:bottom w:color="000000" w:sz="4" w:val="single"/>
              <w:right w:color="000000" w:sz="4" w:val="single"/>
            </w:tcBorders>
            <w:shd w:fill="FFFFFF" w:val="clear"/>
            <w:vAlign w:val="center"/>
          </w:tcPr>
          <w:p w14:paraId="18280000">
            <w:pPr>
              <w:widowControl w:val="1"/>
              <w:ind/>
              <w:contextualSpacing w:val="1"/>
              <w:jc w:val="center"/>
              <w:rPr>
                <w:sz w:val="22"/>
              </w:rPr>
            </w:pPr>
            <w:r>
              <w:rPr>
                <w:sz w:val="22"/>
              </w:rPr>
              <w:t>01.02.2019</w:t>
            </w:r>
          </w:p>
        </w:tc>
        <w:tc>
          <w:tcPr>
            <w:tcW w:type="dxa" w:w="1556"/>
            <w:tcBorders>
              <w:top w:color="000000" w:sz="4" w:val="single"/>
              <w:left w:color="000000" w:sz="4" w:val="single"/>
              <w:bottom w:color="000000" w:sz="4" w:val="single"/>
              <w:right w:color="000000" w:sz="4" w:val="single"/>
            </w:tcBorders>
            <w:shd w:fill="FFFFFF" w:val="clear"/>
            <w:vAlign w:val="center"/>
          </w:tcPr>
          <w:p w14:paraId="19280000">
            <w:pPr>
              <w:widowControl w:val="1"/>
              <w:ind/>
              <w:contextualSpacing w:val="1"/>
              <w:jc w:val="center"/>
              <w:rPr>
                <w:sz w:val="22"/>
              </w:rPr>
            </w:pPr>
            <w:r>
              <w:rPr>
                <w:sz w:val="22"/>
              </w:rPr>
              <w:t>расторжение договора на оказание услуг казначейского контроля</w:t>
            </w:r>
          </w:p>
        </w:tc>
        <w:tc>
          <w:tcPr>
            <w:tcW w:type="dxa" w:w="1194"/>
            <w:tcBorders>
              <w:top w:color="000000" w:sz="4" w:val="single"/>
              <w:left w:color="000000" w:sz="4" w:val="single"/>
              <w:bottom w:color="000000" w:sz="4" w:val="single"/>
              <w:right w:color="000000" w:sz="4" w:val="single"/>
            </w:tcBorders>
            <w:shd w:fill="FFFFFF" w:val="clear"/>
            <w:vAlign w:val="center"/>
          </w:tcPr>
          <w:p w14:paraId="1A280000">
            <w:pPr>
              <w:widowControl w:val="1"/>
              <w:ind/>
              <w:contextualSpacing w:val="1"/>
              <w:jc w:val="center"/>
              <w:rPr>
                <w:sz w:val="22"/>
              </w:rPr>
            </w:pPr>
            <w:r>
              <w:rPr>
                <w:sz w:val="22"/>
              </w:rPr>
              <w:t>0</w:t>
            </w:r>
          </w:p>
        </w:tc>
        <w:tc>
          <w:tcPr>
            <w:tcW w:type="dxa" w:w="1221"/>
            <w:tcBorders>
              <w:top w:color="000000" w:sz="4" w:val="single"/>
              <w:left w:color="000000" w:sz="4" w:val="single"/>
              <w:bottom w:color="000000" w:sz="4" w:val="single"/>
              <w:right w:color="000000" w:sz="4" w:val="single"/>
            </w:tcBorders>
            <w:shd w:fill="FFFFFF" w:val="clear"/>
            <w:vAlign w:val="center"/>
          </w:tcPr>
          <w:p w14:paraId="1B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C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D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E28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1F28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20280000">
            <w:pPr>
              <w:widowControl w:val="1"/>
              <w:ind/>
              <w:contextualSpacing w:val="1"/>
              <w:jc w:val="center"/>
              <w:rPr>
                <w:sz w:val="22"/>
              </w:rPr>
            </w:pPr>
            <w:r>
              <w:rPr>
                <w:sz w:val="22"/>
              </w:rPr>
              <w:t>Закупка у взаимозависимого лица (пп1 п2 ст. 105.1 НК РФ)</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1280000">
            <w:pPr>
              <w:widowControl w:val="1"/>
              <w:ind/>
              <w:contextualSpacing w:val="1"/>
              <w:rPr>
                <w:color w:val="000000"/>
                <w:sz w:val="22"/>
              </w:rPr>
            </w:pPr>
            <w:r>
              <w:rPr>
                <w:color w:val="000000"/>
                <w:sz w:val="22"/>
              </w:rPr>
              <w:t>265</w:t>
            </w:r>
          </w:p>
        </w:tc>
        <w:tc>
          <w:tcPr>
            <w:tcW w:type="dxa" w:w="1408"/>
            <w:tcBorders>
              <w:top w:color="000000" w:sz="4" w:val="single"/>
              <w:left w:color="000000" w:sz="4" w:val="single"/>
              <w:bottom w:color="000000" w:sz="4" w:val="single"/>
              <w:right w:color="000000" w:sz="4" w:val="single"/>
            </w:tcBorders>
            <w:shd w:fill="FFFFFF" w:val="clear"/>
            <w:vAlign w:val="center"/>
          </w:tcPr>
          <w:p w14:paraId="22280000">
            <w:pPr>
              <w:widowControl w:val="1"/>
              <w:ind/>
              <w:contextualSpacing w:val="1"/>
              <w:jc w:val="center"/>
              <w:rPr>
                <w:sz w:val="22"/>
              </w:rPr>
            </w:pPr>
            <w:r>
              <w:rPr>
                <w:sz w:val="22"/>
              </w:rPr>
              <w:t>ОАО "РЖД" Управление "Казначейство"</w:t>
            </w:r>
          </w:p>
        </w:tc>
        <w:tc>
          <w:tcPr>
            <w:tcW w:type="dxa" w:w="1408"/>
            <w:tcBorders>
              <w:top w:color="000000" w:sz="4" w:val="single"/>
              <w:left w:color="000000" w:sz="4" w:val="single"/>
              <w:bottom w:color="000000" w:sz="4" w:val="single"/>
              <w:right w:color="000000" w:sz="4" w:val="single"/>
            </w:tcBorders>
            <w:shd w:fill="FFFFFF" w:val="clear"/>
            <w:vAlign w:val="center"/>
          </w:tcPr>
          <w:p w14:paraId="23280000">
            <w:pPr>
              <w:widowControl w:val="1"/>
              <w:ind/>
              <w:contextualSpacing w:val="1"/>
              <w:jc w:val="center"/>
              <w:rPr>
                <w:sz w:val="22"/>
              </w:rPr>
            </w:pPr>
            <w:r>
              <w:rPr>
                <w:sz w:val="22"/>
              </w:rPr>
              <w:t>договор № 3164767 от 29.11.2018</w:t>
            </w:r>
          </w:p>
        </w:tc>
        <w:tc>
          <w:tcPr>
            <w:tcW w:type="dxa" w:w="1274"/>
            <w:tcBorders>
              <w:top w:color="000000" w:sz="4" w:val="single"/>
              <w:left w:color="000000" w:sz="4" w:val="single"/>
              <w:bottom w:color="000000" w:sz="4" w:val="single"/>
              <w:right w:color="000000" w:sz="4" w:val="single"/>
            </w:tcBorders>
            <w:shd w:fill="FFFFFF" w:val="clear"/>
            <w:vAlign w:val="center"/>
          </w:tcPr>
          <w:p w14:paraId="24280000">
            <w:pPr>
              <w:widowControl w:val="1"/>
              <w:ind/>
              <w:contextualSpacing w:val="1"/>
              <w:jc w:val="center"/>
              <w:rPr>
                <w:sz w:val="22"/>
              </w:rPr>
            </w:pPr>
            <w:r>
              <w:rPr>
                <w:sz w:val="22"/>
              </w:rPr>
              <w:t>01.01.2019-31.12.2019</w:t>
            </w:r>
          </w:p>
        </w:tc>
        <w:tc>
          <w:tcPr>
            <w:tcW w:type="dxa" w:w="1556"/>
            <w:tcBorders>
              <w:top w:color="000000" w:sz="4" w:val="single"/>
              <w:left w:color="000000" w:sz="4" w:val="single"/>
              <w:bottom w:color="000000" w:sz="4" w:val="single"/>
              <w:right w:color="000000" w:sz="4" w:val="single"/>
            </w:tcBorders>
            <w:shd w:fill="FFFFFF" w:val="clear"/>
            <w:vAlign w:val="center"/>
          </w:tcPr>
          <w:p w14:paraId="25280000">
            <w:pPr>
              <w:widowControl w:val="1"/>
              <w:ind/>
              <w:contextualSpacing w:val="1"/>
              <w:jc w:val="center"/>
              <w:rPr>
                <w:sz w:val="22"/>
              </w:rPr>
            </w:pPr>
            <w:r>
              <w:rPr>
                <w:sz w:val="22"/>
              </w:rPr>
              <w:t>оказание услуг казначейского контроля</w:t>
            </w:r>
          </w:p>
        </w:tc>
        <w:tc>
          <w:tcPr>
            <w:tcW w:type="dxa" w:w="1194"/>
            <w:tcBorders>
              <w:top w:color="000000" w:sz="4" w:val="single"/>
              <w:left w:color="000000" w:sz="4" w:val="single"/>
              <w:bottom w:color="000000" w:sz="4" w:val="single"/>
              <w:right w:color="000000" w:sz="4" w:val="single"/>
            </w:tcBorders>
            <w:shd w:fill="FFFFFF" w:val="clear"/>
            <w:vAlign w:val="center"/>
          </w:tcPr>
          <w:p w14:paraId="26280000">
            <w:pPr>
              <w:widowControl w:val="1"/>
              <w:ind/>
              <w:contextualSpacing w:val="1"/>
              <w:jc w:val="center"/>
              <w:rPr>
                <w:sz w:val="22"/>
              </w:rPr>
            </w:pPr>
            <w:r>
              <w:rPr>
                <w:sz w:val="22"/>
              </w:rPr>
              <w:t>120000,2</w:t>
            </w:r>
          </w:p>
        </w:tc>
        <w:tc>
          <w:tcPr>
            <w:tcW w:type="dxa" w:w="1221"/>
            <w:tcBorders>
              <w:top w:color="000000" w:sz="4" w:val="single"/>
              <w:left w:color="000000" w:sz="4" w:val="single"/>
              <w:bottom w:color="000000" w:sz="4" w:val="single"/>
              <w:right w:color="000000" w:sz="4" w:val="single"/>
            </w:tcBorders>
            <w:shd w:fill="FFFFFF" w:val="clear"/>
            <w:vAlign w:val="center"/>
          </w:tcPr>
          <w:p w14:paraId="27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8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9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A28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2B28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2C280000">
            <w:pPr>
              <w:widowControl w:val="1"/>
              <w:ind/>
              <w:contextualSpacing w:val="1"/>
              <w:jc w:val="center"/>
              <w:rPr>
                <w:sz w:val="22"/>
              </w:rPr>
            </w:pPr>
            <w:r>
              <w:rPr>
                <w:sz w:val="22"/>
              </w:rPr>
              <w:t>Закупка у взаимозависимого лица (пп1 п2 ст. 105.1 НК РФ)</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D280000">
            <w:pPr>
              <w:widowControl w:val="1"/>
              <w:ind/>
              <w:contextualSpacing w:val="1"/>
              <w:rPr>
                <w:color w:val="000000"/>
                <w:sz w:val="22"/>
              </w:rPr>
            </w:pPr>
            <w:r>
              <w:rPr>
                <w:color w:val="000000"/>
                <w:sz w:val="22"/>
              </w:rPr>
              <w:t>266</w:t>
            </w:r>
          </w:p>
        </w:tc>
        <w:tc>
          <w:tcPr>
            <w:tcW w:type="dxa" w:w="1408"/>
            <w:tcBorders>
              <w:top w:color="000000" w:sz="4" w:val="single"/>
              <w:left w:color="000000" w:sz="4" w:val="single"/>
              <w:bottom w:color="000000" w:sz="4" w:val="single"/>
              <w:right w:color="000000" w:sz="4" w:val="single"/>
            </w:tcBorders>
            <w:shd w:fill="FFFFFF" w:val="clear"/>
            <w:vAlign w:val="center"/>
          </w:tcPr>
          <w:p w14:paraId="2E280000">
            <w:pPr>
              <w:widowControl w:val="1"/>
              <w:ind/>
              <w:contextualSpacing w:val="1"/>
              <w:jc w:val="center"/>
              <w:rPr>
                <w:sz w:val="22"/>
              </w:rPr>
            </w:pPr>
            <w:r>
              <w:rPr>
                <w:sz w:val="22"/>
              </w:rPr>
              <w:t>Кемеровское областное управление инкассации-филиал РОСИНКАС Центрального банка РФ</w:t>
            </w:r>
          </w:p>
        </w:tc>
        <w:tc>
          <w:tcPr>
            <w:tcW w:type="dxa" w:w="1408"/>
            <w:tcBorders>
              <w:top w:color="000000" w:sz="4" w:val="single"/>
              <w:left w:color="000000" w:sz="4" w:val="single"/>
              <w:bottom w:color="000000" w:sz="4" w:val="single"/>
              <w:right w:color="000000" w:sz="4" w:val="single"/>
            </w:tcBorders>
            <w:shd w:fill="FFFFFF" w:val="clear"/>
            <w:vAlign w:val="center"/>
          </w:tcPr>
          <w:p w14:paraId="2F280000">
            <w:pPr>
              <w:widowControl w:val="1"/>
              <w:ind/>
              <w:contextualSpacing w:val="1"/>
              <w:jc w:val="center"/>
              <w:rPr>
                <w:sz w:val="22"/>
              </w:rPr>
            </w:pPr>
            <w:r>
              <w:rPr>
                <w:sz w:val="22"/>
              </w:rPr>
              <w:t>договор № 882 от 29.12.2018</w:t>
            </w:r>
          </w:p>
        </w:tc>
        <w:tc>
          <w:tcPr>
            <w:tcW w:type="dxa" w:w="1274"/>
            <w:tcBorders>
              <w:top w:color="000000" w:sz="4" w:val="single"/>
              <w:left w:color="000000" w:sz="4" w:val="single"/>
              <w:bottom w:color="000000" w:sz="4" w:val="single"/>
              <w:right w:color="000000" w:sz="4" w:val="single"/>
            </w:tcBorders>
            <w:shd w:fill="FFFFFF" w:val="clear"/>
            <w:vAlign w:val="center"/>
          </w:tcPr>
          <w:p w14:paraId="30280000">
            <w:pPr>
              <w:widowControl w:val="1"/>
              <w:ind/>
              <w:contextualSpacing w:val="1"/>
              <w:jc w:val="center"/>
              <w:rPr>
                <w:sz w:val="22"/>
              </w:rPr>
            </w:pPr>
            <w:r>
              <w:rPr>
                <w:sz w:val="22"/>
              </w:rPr>
              <w:t>01.01.2019-31.12.2019</w:t>
            </w:r>
          </w:p>
        </w:tc>
        <w:tc>
          <w:tcPr>
            <w:tcW w:type="dxa" w:w="1556"/>
            <w:tcBorders>
              <w:top w:color="000000" w:sz="4" w:val="single"/>
              <w:left w:color="000000" w:sz="4" w:val="single"/>
              <w:bottom w:color="000000" w:sz="4" w:val="single"/>
              <w:right w:color="000000" w:sz="4" w:val="single"/>
            </w:tcBorders>
            <w:shd w:fill="FFFFFF" w:val="clear"/>
            <w:vAlign w:val="center"/>
          </w:tcPr>
          <w:p w14:paraId="31280000">
            <w:pPr>
              <w:widowControl w:val="1"/>
              <w:ind/>
              <w:contextualSpacing w:val="1"/>
              <w:jc w:val="center"/>
              <w:rPr>
                <w:sz w:val="22"/>
              </w:rPr>
            </w:pPr>
            <w:r>
              <w:rPr>
                <w:sz w:val="22"/>
              </w:rPr>
              <w:t>инкассация, обработка и зачисление (перечисление) на счет наличных денег</w:t>
            </w:r>
          </w:p>
        </w:tc>
        <w:tc>
          <w:tcPr>
            <w:tcW w:type="dxa" w:w="1194"/>
            <w:tcBorders>
              <w:top w:color="000000" w:sz="4" w:val="single"/>
              <w:left w:color="000000" w:sz="4" w:val="single"/>
              <w:bottom w:color="000000" w:sz="4" w:val="single"/>
              <w:right w:color="000000" w:sz="4" w:val="single"/>
            </w:tcBorders>
            <w:shd w:fill="FFFFFF" w:val="clear"/>
            <w:vAlign w:val="center"/>
          </w:tcPr>
          <w:p w14:paraId="32280000">
            <w:pPr>
              <w:widowControl w:val="1"/>
              <w:ind/>
              <w:contextualSpacing w:val="1"/>
              <w:jc w:val="center"/>
              <w:rPr>
                <w:sz w:val="22"/>
              </w:rPr>
            </w:pPr>
            <w:r>
              <w:rPr>
                <w:sz w:val="22"/>
              </w:rPr>
              <w:t>88087</w:t>
            </w:r>
          </w:p>
        </w:tc>
        <w:tc>
          <w:tcPr>
            <w:tcW w:type="dxa" w:w="1221"/>
            <w:tcBorders>
              <w:top w:color="000000" w:sz="4" w:val="single"/>
              <w:left w:color="000000" w:sz="4" w:val="single"/>
              <w:bottom w:color="000000" w:sz="4" w:val="single"/>
              <w:right w:color="000000" w:sz="4" w:val="single"/>
            </w:tcBorders>
            <w:shd w:fill="FFFFFF" w:val="clear"/>
            <w:vAlign w:val="center"/>
          </w:tcPr>
          <w:p w14:paraId="33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34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35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628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37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828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9280000">
            <w:pPr>
              <w:widowControl w:val="1"/>
              <w:ind/>
              <w:contextualSpacing w:val="1"/>
              <w:rPr>
                <w:color w:val="000000"/>
                <w:sz w:val="22"/>
              </w:rPr>
            </w:pPr>
            <w:r>
              <w:rPr>
                <w:color w:val="000000"/>
                <w:sz w:val="22"/>
              </w:rPr>
              <w:t>267</w:t>
            </w:r>
          </w:p>
        </w:tc>
        <w:tc>
          <w:tcPr>
            <w:tcW w:type="dxa" w:w="1408"/>
            <w:tcBorders>
              <w:top w:color="000000" w:sz="4" w:val="single"/>
              <w:left w:color="000000" w:sz="4" w:val="single"/>
              <w:bottom w:color="000000" w:sz="4" w:val="single"/>
              <w:right w:color="000000" w:sz="4" w:val="single"/>
            </w:tcBorders>
            <w:shd w:fill="FFFFFF" w:val="clear"/>
            <w:vAlign w:val="center"/>
          </w:tcPr>
          <w:p w14:paraId="3A280000">
            <w:pPr>
              <w:widowControl w:val="1"/>
              <w:ind/>
              <w:contextualSpacing w:val="1"/>
              <w:jc w:val="center"/>
              <w:rPr>
                <w:sz w:val="22"/>
              </w:rPr>
            </w:pPr>
            <w:r>
              <w:rPr>
                <w:sz w:val="22"/>
              </w:rPr>
              <w:t>ООО "Арес"</w:t>
            </w:r>
          </w:p>
        </w:tc>
        <w:tc>
          <w:tcPr>
            <w:tcW w:type="dxa" w:w="1408"/>
            <w:tcBorders>
              <w:top w:color="000000" w:sz="4" w:val="single"/>
              <w:left w:color="000000" w:sz="4" w:val="single"/>
              <w:bottom w:color="000000" w:sz="4" w:val="single"/>
              <w:right w:color="000000" w:sz="4" w:val="single"/>
            </w:tcBorders>
            <w:shd w:fill="FFFFFF" w:val="clear"/>
            <w:vAlign w:val="center"/>
          </w:tcPr>
          <w:p w14:paraId="3B280000">
            <w:pPr>
              <w:widowControl w:val="1"/>
              <w:ind/>
              <w:contextualSpacing w:val="1"/>
              <w:jc w:val="center"/>
              <w:rPr>
                <w:sz w:val="22"/>
              </w:rPr>
            </w:pPr>
            <w:r>
              <w:rPr>
                <w:sz w:val="22"/>
              </w:rPr>
              <w:t>договор № 28/2018 от 06.12.2018</w:t>
            </w:r>
          </w:p>
        </w:tc>
        <w:tc>
          <w:tcPr>
            <w:tcW w:type="dxa" w:w="1274"/>
            <w:tcBorders>
              <w:top w:color="000000" w:sz="4" w:val="single"/>
              <w:left w:color="000000" w:sz="4" w:val="single"/>
              <w:bottom w:color="000000" w:sz="4" w:val="single"/>
              <w:right w:color="000000" w:sz="4" w:val="single"/>
            </w:tcBorders>
            <w:shd w:fill="FFFFFF" w:val="clear"/>
            <w:vAlign w:val="center"/>
          </w:tcPr>
          <w:p w14:paraId="3C280000">
            <w:pPr>
              <w:widowControl w:val="1"/>
              <w:ind/>
              <w:contextualSpacing w:val="1"/>
              <w:jc w:val="center"/>
              <w:rPr>
                <w:sz w:val="22"/>
              </w:rPr>
            </w:pPr>
            <w:r>
              <w:rPr>
                <w:sz w:val="22"/>
              </w:rPr>
              <w:t>06.12.2018-01.12.2019</w:t>
            </w:r>
          </w:p>
        </w:tc>
        <w:tc>
          <w:tcPr>
            <w:tcW w:type="dxa" w:w="1556"/>
            <w:tcBorders>
              <w:top w:color="000000" w:sz="4" w:val="single"/>
              <w:left w:color="000000" w:sz="4" w:val="single"/>
              <w:bottom w:color="000000" w:sz="4" w:val="single"/>
              <w:right w:color="000000" w:sz="4" w:val="single"/>
            </w:tcBorders>
            <w:shd w:fill="FFFFFF" w:val="clear"/>
            <w:vAlign w:val="center"/>
          </w:tcPr>
          <w:p w14:paraId="3D280000">
            <w:pPr>
              <w:widowControl w:val="1"/>
              <w:ind/>
              <w:contextualSpacing w:val="1"/>
              <w:jc w:val="center"/>
              <w:rPr>
                <w:sz w:val="22"/>
              </w:rPr>
            </w:pPr>
            <w:r>
              <w:rPr>
                <w:sz w:val="22"/>
              </w:rPr>
              <w:t>оказание услуг по защите транспортных средств от актов незаконного вмешательства в качестве подразделения транспортной безопасности</w:t>
            </w:r>
          </w:p>
        </w:tc>
        <w:tc>
          <w:tcPr>
            <w:tcW w:type="dxa" w:w="1194"/>
            <w:tcBorders>
              <w:top w:color="000000" w:sz="4" w:val="single"/>
              <w:left w:color="000000" w:sz="4" w:val="single"/>
              <w:bottom w:color="000000" w:sz="4" w:val="single"/>
              <w:right w:color="000000" w:sz="4" w:val="single"/>
            </w:tcBorders>
            <w:shd w:fill="FFFFFF" w:val="clear"/>
            <w:vAlign w:val="center"/>
          </w:tcPr>
          <w:p w14:paraId="3E280000">
            <w:pPr>
              <w:widowControl w:val="1"/>
              <w:ind/>
              <w:contextualSpacing w:val="1"/>
              <w:jc w:val="center"/>
              <w:rPr>
                <w:sz w:val="22"/>
              </w:rPr>
            </w:pPr>
            <w:r>
              <w:rPr>
                <w:sz w:val="22"/>
              </w:rPr>
              <w:t>3444000</w:t>
            </w:r>
          </w:p>
        </w:tc>
        <w:tc>
          <w:tcPr>
            <w:tcW w:type="dxa" w:w="1221"/>
            <w:tcBorders>
              <w:top w:color="000000" w:sz="4" w:val="single"/>
              <w:left w:color="000000" w:sz="4" w:val="single"/>
              <w:bottom w:color="000000" w:sz="4" w:val="single"/>
              <w:right w:color="000000" w:sz="4" w:val="single"/>
            </w:tcBorders>
            <w:shd w:fill="FFFFFF" w:val="clear"/>
            <w:vAlign w:val="center"/>
          </w:tcPr>
          <w:p w14:paraId="3F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0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1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228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43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44280000">
            <w:pPr>
              <w:widowControl w:val="1"/>
              <w:ind/>
              <w:contextualSpacing w:val="1"/>
              <w:jc w:val="center"/>
              <w:rPr>
                <w:sz w:val="22"/>
              </w:rPr>
            </w:pPr>
            <w:r>
              <w:rPr>
                <w:sz w:val="22"/>
              </w:rPr>
              <w:t>Размещение заказа у единственного поставщика, согласно пп. 1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45280000">
            <w:pPr>
              <w:widowControl w:val="1"/>
              <w:ind/>
              <w:contextualSpacing w:val="1"/>
              <w:rPr>
                <w:color w:val="000000"/>
                <w:sz w:val="22"/>
              </w:rPr>
            </w:pPr>
            <w:r>
              <w:rPr>
                <w:color w:val="000000"/>
                <w:sz w:val="22"/>
              </w:rPr>
              <w:t>268</w:t>
            </w:r>
          </w:p>
        </w:tc>
        <w:tc>
          <w:tcPr>
            <w:tcW w:type="dxa" w:w="1408"/>
            <w:tcBorders>
              <w:top w:color="000000" w:sz="4" w:val="single"/>
              <w:left w:color="000000" w:sz="4" w:val="single"/>
              <w:bottom w:color="000000" w:sz="4" w:val="single"/>
              <w:right w:color="000000" w:sz="4" w:val="single"/>
            </w:tcBorders>
            <w:shd w:fill="FFFFFF" w:val="clear"/>
            <w:vAlign w:val="center"/>
          </w:tcPr>
          <w:p w14:paraId="46280000">
            <w:pPr>
              <w:widowControl w:val="1"/>
              <w:ind/>
              <w:contextualSpacing w:val="1"/>
              <w:jc w:val="center"/>
              <w:rPr>
                <w:sz w:val="22"/>
              </w:rPr>
            </w:pPr>
            <w:r>
              <w:rPr>
                <w:sz w:val="22"/>
              </w:rPr>
              <w:t>ООО "Арес"</w:t>
            </w:r>
          </w:p>
        </w:tc>
        <w:tc>
          <w:tcPr>
            <w:tcW w:type="dxa" w:w="1408"/>
            <w:tcBorders>
              <w:top w:color="000000" w:sz="4" w:val="single"/>
              <w:left w:color="000000" w:sz="4" w:val="single"/>
              <w:bottom w:color="000000" w:sz="4" w:val="single"/>
              <w:right w:color="000000" w:sz="4" w:val="single"/>
            </w:tcBorders>
            <w:shd w:fill="FFFFFF" w:val="clear"/>
            <w:vAlign w:val="center"/>
          </w:tcPr>
          <w:p w14:paraId="47280000">
            <w:pPr>
              <w:widowControl w:val="1"/>
              <w:ind/>
              <w:contextualSpacing w:val="1"/>
              <w:jc w:val="center"/>
              <w:rPr>
                <w:sz w:val="22"/>
              </w:rPr>
            </w:pPr>
            <w:r>
              <w:rPr>
                <w:sz w:val="22"/>
              </w:rPr>
              <w:t>дополнительное соглашение 3 1 к договору № 28/2018 от 06.12.2018 от 14.12.2018</w:t>
            </w:r>
          </w:p>
        </w:tc>
        <w:tc>
          <w:tcPr>
            <w:tcW w:type="dxa" w:w="1274"/>
            <w:tcBorders>
              <w:top w:color="000000" w:sz="4" w:val="single"/>
              <w:left w:color="000000" w:sz="4" w:val="single"/>
              <w:bottom w:color="000000" w:sz="4" w:val="single"/>
              <w:right w:color="000000" w:sz="4" w:val="single"/>
            </w:tcBorders>
            <w:shd w:fill="FFFFFF" w:val="clear"/>
            <w:vAlign w:val="center"/>
          </w:tcPr>
          <w:p w14:paraId="48280000">
            <w:pPr>
              <w:widowControl w:val="1"/>
              <w:ind/>
              <w:contextualSpacing w:val="1"/>
              <w:jc w:val="center"/>
              <w:rPr>
                <w:sz w:val="22"/>
              </w:rPr>
            </w:pPr>
            <w:r>
              <w:rPr>
                <w:sz w:val="22"/>
              </w:rPr>
              <w:t>06.12.2018-01.12.2019</w:t>
            </w:r>
          </w:p>
        </w:tc>
        <w:tc>
          <w:tcPr>
            <w:tcW w:type="dxa" w:w="1556"/>
            <w:tcBorders>
              <w:top w:color="000000" w:sz="4" w:val="single"/>
              <w:left w:color="000000" w:sz="4" w:val="single"/>
              <w:bottom w:color="000000" w:sz="4" w:val="single"/>
              <w:right w:color="000000" w:sz="4" w:val="single"/>
            </w:tcBorders>
            <w:shd w:fill="FFFFFF" w:val="clear"/>
            <w:vAlign w:val="center"/>
          </w:tcPr>
          <w:p w14:paraId="49280000">
            <w:pPr>
              <w:widowControl w:val="1"/>
              <w:ind/>
              <w:contextualSpacing w:val="1"/>
              <w:jc w:val="center"/>
              <w:rPr>
                <w:sz w:val="22"/>
              </w:rPr>
            </w:pPr>
            <w:r>
              <w:rPr>
                <w:sz w:val="22"/>
              </w:rPr>
              <w:t>уточнение перечня транспортных средств подлежащих защите, без изменения стоимости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4A280000">
            <w:pPr>
              <w:widowControl w:val="1"/>
              <w:ind/>
              <w:contextualSpacing w:val="1"/>
              <w:jc w:val="center"/>
              <w:rPr>
                <w:sz w:val="22"/>
              </w:rPr>
            </w:pPr>
            <w:r>
              <w:rPr>
                <w:sz w:val="22"/>
              </w:rPr>
              <w:t>3444000</w:t>
            </w:r>
          </w:p>
        </w:tc>
        <w:tc>
          <w:tcPr>
            <w:tcW w:type="dxa" w:w="1221"/>
            <w:tcBorders>
              <w:top w:color="000000" w:sz="4" w:val="single"/>
              <w:left w:color="000000" w:sz="4" w:val="single"/>
              <w:bottom w:color="000000" w:sz="4" w:val="single"/>
              <w:right w:color="000000" w:sz="4" w:val="single"/>
            </w:tcBorders>
            <w:shd w:fill="FFFFFF" w:val="clear"/>
            <w:vAlign w:val="center"/>
          </w:tcPr>
          <w:p w14:paraId="4B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C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D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E28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4F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50280000">
            <w:pPr>
              <w:widowControl w:val="1"/>
              <w:ind/>
              <w:contextualSpacing w:val="1"/>
              <w:jc w:val="center"/>
              <w:rPr>
                <w:sz w:val="22"/>
              </w:rPr>
            </w:pPr>
            <w:r>
              <w:rPr>
                <w:sz w:val="22"/>
              </w:rPr>
              <w:t>Размещение заказа у единственного поставщика, согласно пп. 1 п. 89  положения утвержденного СД 22.10.2018г. Протокол № 5</w:t>
            </w:r>
          </w:p>
        </w:tc>
      </w:tr>
      <w:tr>
        <w:trPr>
          <w:trHeight w:hRule="atLeast" w:val="708"/>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51280000">
            <w:pPr>
              <w:widowControl w:val="1"/>
              <w:ind/>
              <w:contextualSpacing w:val="1"/>
              <w:jc w:val="center"/>
              <w:rPr>
                <w:color w:val="000000"/>
                <w:sz w:val="22"/>
              </w:rPr>
            </w:pPr>
            <w:r>
              <w:rPr>
                <w:color w:val="000000"/>
                <w:sz w:val="22"/>
              </w:rPr>
              <w:t>итого по контрагенту ООО "Арес" 3444000 руб.</w:t>
            </w:r>
          </w:p>
          <w:p w14:paraId="5228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53280000">
            <w:pPr>
              <w:widowControl w:val="1"/>
              <w:ind/>
              <w:contextualSpacing w:val="1"/>
              <w:rPr>
                <w:color w:val="000000"/>
                <w:sz w:val="22"/>
              </w:rPr>
            </w:pPr>
            <w:r>
              <w:rPr>
                <w:color w:val="000000"/>
                <w:sz w:val="22"/>
              </w:rPr>
              <w:t>269</w:t>
            </w:r>
          </w:p>
        </w:tc>
        <w:tc>
          <w:tcPr>
            <w:tcW w:type="dxa" w:w="1408"/>
            <w:tcBorders>
              <w:top w:color="000000" w:sz="4" w:val="single"/>
              <w:left w:color="000000" w:sz="4" w:val="single"/>
              <w:bottom w:color="000000" w:sz="4" w:val="single"/>
              <w:right w:color="000000" w:sz="4" w:val="single"/>
            </w:tcBorders>
            <w:shd w:fill="FFFFFF" w:val="clear"/>
            <w:vAlign w:val="center"/>
          </w:tcPr>
          <w:p w14:paraId="54280000">
            <w:pPr>
              <w:widowControl w:val="1"/>
              <w:ind/>
              <w:contextualSpacing w:val="1"/>
              <w:jc w:val="center"/>
              <w:rPr>
                <w:sz w:val="22"/>
              </w:rPr>
            </w:pPr>
            <w:r>
              <w:rPr>
                <w:sz w:val="22"/>
              </w:rPr>
              <w:t>ООО "ВИТМА"</w:t>
            </w:r>
          </w:p>
        </w:tc>
        <w:tc>
          <w:tcPr>
            <w:tcW w:type="dxa" w:w="1408"/>
            <w:tcBorders>
              <w:top w:color="000000" w:sz="4" w:val="single"/>
              <w:left w:color="000000" w:sz="4" w:val="single"/>
              <w:bottom w:color="000000" w:sz="4" w:val="single"/>
              <w:right w:color="000000" w:sz="4" w:val="single"/>
            </w:tcBorders>
            <w:shd w:fill="FFFFFF" w:val="clear"/>
            <w:vAlign w:val="center"/>
          </w:tcPr>
          <w:p w14:paraId="55280000">
            <w:pPr>
              <w:widowControl w:val="1"/>
              <w:ind/>
              <w:contextualSpacing w:val="1"/>
              <w:jc w:val="center"/>
              <w:rPr>
                <w:sz w:val="22"/>
              </w:rPr>
            </w:pPr>
            <w:r>
              <w:rPr>
                <w:sz w:val="22"/>
              </w:rPr>
              <w:t>договор № 129 от 30.11.2018</w:t>
            </w:r>
          </w:p>
        </w:tc>
        <w:tc>
          <w:tcPr>
            <w:tcW w:type="dxa" w:w="1274"/>
            <w:tcBorders>
              <w:top w:color="000000" w:sz="4" w:val="single"/>
              <w:left w:color="000000" w:sz="4" w:val="single"/>
              <w:bottom w:color="000000" w:sz="4" w:val="single"/>
              <w:right w:color="000000" w:sz="4" w:val="single"/>
            </w:tcBorders>
            <w:shd w:fill="FFFFFF" w:val="clear"/>
            <w:vAlign w:val="center"/>
          </w:tcPr>
          <w:p w14:paraId="56280000">
            <w:pPr>
              <w:widowControl w:val="1"/>
              <w:ind/>
              <w:contextualSpacing w:val="1"/>
              <w:jc w:val="center"/>
              <w:rPr>
                <w:sz w:val="22"/>
              </w:rPr>
            </w:pPr>
            <w:r>
              <w:rPr>
                <w:sz w:val="22"/>
              </w:rPr>
              <w:t>30.11.2018-31.12.2018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57280000">
            <w:pPr>
              <w:widowControl w:val="1"/>
              <w:ind/>
              <w:contextualSpacing w:val="1"/>
              <w:jc w:val="center"/>
              <w:rPr>
                <w:sz w:val="22"/>
              </w:rPr>
            </w:pPr>
            <w:r>
              <w:rPr>
                <w:sz w:val="22"/>
              </w:rPr>
              <w:t>Оказание услуг по ремонту контрольно-кассовой техники</w:t>
            </w:r>
          </w:p>
        </w:tc>
        <w:tc>
          <w:tcPr>
            <w:tcW w:type="dxa" w:w="1194"/>
            <w:tcBorders>
              <w:top w:color="000000" w:sz="4" w:val="single"/>
              <w:left w:color="000000" w:sz="4" w:val="single"/>
              <w:bottom w:color="000000" w:sz="4" w:val="single"/>
              <w:right w:color="000000" w:sz="4" w:val="single"/>
            </w:tcBorders>
            <w:shd w:fill="FFFFFF" w:val="clear"/>
            <w:vAlign w:val="center"/>
          </w:tcPr>
          <w:p w14:paraId="58280000">
            <w:pPr>
              <w:widowControl w:val="1"/>
              <w:ind/>
              <w:contextualSpacing w:val="1"/>
              <w:jc w:val="center"/>
              <w:rPr>
                <w:sz w:val="22"/>
              </w:rPr>
            </w:pPr>
            <w:r>
              <w:rPr>
                <w:sz w:val="22"/>
              </w:rPr>
              <w:t>245000</w:t>
            </w:r>
          </w:p>
        </w:tc>
        <w:tc>
          <w:tcPr>
            <w:tcW w:type="dxa" w:w="1221"/>
            <w:tcBorders>
              <w:top w:color="000000" w:sz="4" w:val="single"/>
              <w:left w:color="000000" w:sz="4" w:val="single"/>
              <w:bottom w:color="000000" w:sz="4" w:val="single"/>
              <w:right w:color="000000" w:sz="4" w:val="single"/>
            </w:tcBorders>
            <w:shd w:fill="FFFFFF" w:val="clear"/>
            <w:vAlign w:val="center"/>
          </w:tcPr>
          <w:p w14:paraId="59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A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B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C28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5D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5E28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5F280000">
            <w:pPr>
              <w:widowControl w:val="1"/>
              <w:ind/>
              <w:contextualSpacing w:val="1"/>
              <w:rPr>
                <w:color w:val="000000"/>
                <w:sz w:val="22"/>
              </w:rPr>
            </w:pPr>
            <w:r>
              <w:rPr>
                <w:color w:val="000000"/>
                <w:sz w:val="22"/>
              </w:rPr>
              <w:t>270</w:t>
            </w:r>
          </w:p>
        </w:tc>
        <w:tc>
          <w:tcPr>
            <w:tcW w:type="dxa" w:w="1408"/>
            <w:tcBorders>
              <w:top w:color="000000" w:sz="4" w:val="single"/>
              <w:left w:color="000000" w:sz="4" w:val="single"/>
              <w:bottom w:color="000000" w:sz="4" w:val="single"/>
              <w:right w:color="000000" w:sz="4" w:val="single"/>
            </w:tcBorders>
            <w:shd w:fill="FFFFFF" w:val="clear"/>
            <w:vAlign w:val="center"/>
          </w:tcPr>
          <w:p w14:paraId="60280000">
            <w:pPr>
              <w:widowControl w:val="1"/>
              <w:ind/>
              <w:contextualSpacing w:val="1"/>
              <w:jc w:val="center"/>
              <w:rPr>
                <w:sz w:val="22"/>
              </w:rPr>
            </w:pPr>
            <w:r>
              <w:rPr>
                <w:sz w:val="22"/>
              </w:rPr>
              <w:t>ООО "Инжиниринг"</w:t>
            </w:r>
          </w:p>
        </w:tc>
        <w:tc>
          <w:tcPr>
            <w:tcW w:type="dxa" w:w="1408"/>
            <w:tcBorders>
              <w:top w:color="000000" w:sz="4" w:val="single"/>
              <w:left w:color="000000" w:sz="4" w:val="single"/>
              <w:bottom w:color="000000" w:sz="4" w:val="single"/>
              <w:right w:color="000000" w:sz="4" w:val="single"/>
            </w:tcBorders>
            <w:shd w:fill="FFFFFF" w:val="clear"/>
            <w:vAlign w:val="center"/>
          </w:tcPr>
          <w:p w14:paraId="61280000">
            <w:pPr>
              <w:widowControl w:val="1"/>
              <w:ind/>
              <w:contextualSpacing w:val="1"/>
              <w:jc w:val="center"/>
              <w:rPr>
                <w:sz w:val="22"/>
              </w:rPr>
            </w:pPr>
            <w:r>
              <w:rPr>
                <w:sz w:val="22"/>
              </w:rPr>
              <w:t>договор № 33 от 01.10.2018</w:t>
            </w:r>
          </w:p>
        </w:tc>
        <w:tc>
          <w:tcPr>
            <w:tcW w:type="dxa" w:w="1274"/>
            <w:tcBorders>
              <w:top w:color="000000" w:sz="4" w:val="single"/>
              <w:left w:color="000000" w:sz="4" w:val="single"/>
              <w:bottom w:color="000000" w:sz="4" w:val="single"/>
              <w:right w:color="000000" w:sz="4" w:val="single"/>
            </w:tcBorders>
            <w:shd w:fill="FFFFFF" w:val="clear"/>
            <w:vAlign w:val="center"/>
          </w:tcPr>
          <w:p w14:paraId="62280000">
            <w:pPr>
              <w:widowControl w:val="1"/>
              <w:ind/>
              <w:contextualSpacing w:val="1"/>
              <w:jc w:val="center"/>
              <w:rPr>
                <w:sz w:val="22"/>
              </w:rPr>
            </w:pPr>
            <w:r>
              <w:rPr>
                <w:sz w:val="22"/>
              </w:rPr>
              <w:t>01.10.2018-31.08.2019</w:t>
            </w:r>
          </w:p>
        </w:tc>
        <w:tc>
          <w:tcPr>
            <w:tcW w:type="dxa" w:w="1556"/>
            <w:tcBorders>
              <w:top w:color="000000" w:sz="4" w:val="single"/>
              <w:left w:color="000000" w:sz="4" w:val="single"/>
              <w:bottom w:color="000000" w:sz="4" w:val="single"/>
              <w:right w:color="000000" w:sz="4" w:val="single"/>
            </w:tcBorders>
            <w:shd w:fill="FFFFFF" w:val="clear"/>
            <w:vAlign w:val="center"/>
          </w:tcPr>
          <w:p w14:paraId="63280000">
            <w:pPr>
              <w:widowControl w:val="1"/>
              <w:ind/>
              <w:contextualSpacing w:val="1"/>
              <w:jc w:val="center"/>
              <w:rPr>
                <w:sz w:val="22"/>
              </w:rPr>
            </w:pPr>
            <w:r>
              <w:rPr>
                <w:sz w:val="22"/>
              </w:rPr>
              <w:t>Аренда нежилых помещений для размещения офиса компании</w:t>
            </w:r>
          </w:p>
        </w:tc>
        <w:tc>
          <w:tcPr>
            <w:tcW w:type="dxa" w:w="1194"/>
            <w:tcBorders>
              <w:top w:color="000000" w:sz="4" w:val="single"/>
              <w:left w:color="000000" w:sz="4" w:val="single"/>
              <w:bottom w:color="000000" w:sz="4" w:val="single"/>
              <w:right w:color="000000" w:sz="4" w:val="single"/>
            </w:tcBorders>
            <w:shd w:fill="FFFFFF" w:val="clear"/>
            <w:vAlign w:val="center"/>
          </w:tcPr>
          <w:p w14:paraId="64280000">
            <w:pPr>
              <w:widowControl w:val="1"/>
              <w:ind/>
              <w:contextualSpacing w:val="1"/>
              <w:jc w:val="center"/>
              <w:rPr>
                <w:sz w:val="22"/>
              </w:rPr>
            </w:pPr>
            <w:r>
              <w:rPr>
                <w:sz w:val="22"/>
              </w:rPr>
              <w:t>324500</w:t>
            </w:r>
          </w:p>
        </w:tc>
        <w:tc>
          <w:tcPr>
            <w:tcW w:type="dxa" w:w="1221"/>
            <w:tcBorders>
              <w:top w:color="000000" w:sz="4" w:val="single"/>
              <w:left w:color="000000" w:sz="4" w:val="single"/>
              <w:bottom w:color="000000" w:sz="4" w:val="single"/>
              <w:right w:color="000000" w:sz="4" w:val="single"/>
            </w:tcBorders>
            <w:shd w:fill="FFFFFF" w:val="clear"/>
            <w:vAlign w:val="center"/>
          </w:tcPr>
          <w:p w14:paraId="65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6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7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828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69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6A280000">
            <w:pPr>
              <w:widowControl w:val="1"/>
              <w:ind/>
              <w:contextualSpacing w:val="1"/>
              <w:jc w:val="center"/>
              <w:rPr>
                <w:sz w:val="22"/>
              </w:rPr>
            </w:pPr>
            <w:r>
              <w:rPr>
                <w:sz w:val="22"/>
              </w:rPr>
              <w:t>Размещение заказа у единственного поставщика, согласно пп. 1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6B280000">
            <w:pPr>
              <w:widowControl w:val="1"/>
              <w:ind/>
              <w:contextualSpacing w:val="1"/>
              <w:rPr>
                <w:color w:val="000000"/>
                <w:sz w:val="22"/>
              </w:rPr>
            </w:pPr>
            <w:r>
              <w:rPr>
                <w:color w:val="000000"/>
                <w:sz w:val="22"/>
              </w:rPr>
              <w:t>271</w:t>
            </w:r>
          </w:p>
        </w:tc>
        <w:tc>
          <w:tcPr>
            <w:tcW w:type="dxa" w:w="1408"/>
            <w:tcBorders>
              <w:top w:color="000000" w:sz="4" w:val="single"/>
              <w:left w:color="000000" w:sz="4" w:val="single"/>
              <w:bottom w:color="000000" w:sz="4" w:val="single"/>
              <w:right w:color="000000" w:sz="4" w:val="single"/>
            </w:tcBorders>
            <w:shd w:fill="FFFFFF" w:val="clear"/>
            <w:vAlign w:val="center"/>
          </w:tcPr>
          <w:p w14:paraId="6C280000">
            <w:pPr>
              <w:widowControl w:val="1"/>
              <w:ind/>
              <w:contextualSpacing w:val="1"/>
              <w:jc w:val="center"/>
              <w:rPr>
                <w:sz w:val="22"/>
              </w:rPr>
            </w:pPr>
            <w:r>
              <w:rPr>
                <w:sz w:val="22"/>
              </w:rPr>
              <w:t>ООО "Инжиниринг"</w:t>
            </w:r>
          </w:p>
        </w:tc>
        <w:tc>
          <w:tcPr>
            <w:tcW w:type="dxa" w:w="1408"/>
            <w:tcBorders>
              <w:top w:color="000000" w:sz="4" w:val="single"/>
              <w:left w:color="000000" w:sz="4" w:val="single"/>
              <w:bottom w:color="000000" w:sz="4" w:val="single"/>
              <w:right w:color="000000" w:sz="4" w:val="single"/>
            </w:tcBorders>
            <w:shd w:fill="FFFFFF" w:val="clear"/>
            <w:vAlign w:val="center"/>
          </w:tcPr>
          <w:p w14:paraId="6D280000">
            <w:pPr>
              <w:widowControl w:val="1"/>
              <w:ind/>
              <w:contextualSpacing w:val="1"/>
              <w:jc w:val="center"/>
              <w:rPr>
                <w:sz w:val="22"/>
              </w:rPr>
            </w:pPr>
            <w:r>
              <w:rPr>
                <w:sz w:val="22"/>
              </w:rPr>
              <w:t>дополнительное соглашение № 1 к договору № 33 от 01.10.2018 от 08.10.2018</w:t>
            </w:r>
          </w:p>
        </w:tc>
        <w:tc>
          <w:tcPr>
            <w:tcW w:type="dxa" w:w="1274"/>
            <w:tcBorders>
              <w:top w:color="000000" w:sz="4" w:val="single"/>
              <w:left w:color="000000" w:sz="4" w:val="single"/>
              <w:bottom w:color="000000" w:sz="4" w:val="single"/>
              <w:right w:color="000000" w:sz="4" w:val="single"/>
            </w:tcBorders>
            <w:shd w:fill="FFFFFF" w:val="clear"/>
            <w:vAlign w:val="center"/>
          </w:tcPr>
          <w:p w14:paraId="6E280000">
            <w:pPr>
              <w:widowControl w:val="1"/>
              <w:ind/>
              <w:contextualSpacing w:val="1"/>
              <w:jc w:val="center"/>
              <w:rPr>
                <w:sz w:val="22"/>
              </w:rPr>
            </w:pPr>
            <w:r>
              <w:rPr>
                <w:sz w:val="22"/>
              </w:rPr>
              <w:t>01.10.2018-31.08.2019</w:t>
            </w:r>
          </w:p>
        </w:tc>
        <w:tc>
          <w:tcPr>
            <w:tcW w:type="dxa" w:w="1556"/>
            <w:tcBorders>
              <w:top w:color="000000" w:sz="4" w:val="single"/>
              <w:left w:color="000000" w:sz="4" w:val="single"/>
              <w:bottom w:color="000000" w:sz="4" w:val="single"/>
              <w:right w:color="000000" w:sz="4" w:val="single"/>
            </w:tcBorders>
            <w:shd w:fill="FFFFFF" w:val="clear"/>
            <w:vAlign w:val="center"/>
          </w:tcPr>
          <w:p w14:paraId="6F280000">
            <w:pPr>
              <w:widowControl w:val="1"/>
              <w:ind/>
              <w:contextualSpacing w:val="1"/>
              <w:jc w:val="center"/>
              <w:rPr>
                <w:sz w:val="22"/>
              </w:rPr>
            </w:pPr>
            <w:r>
              <w:rPr>
                <w:sz w:val="22"/>
              </w:rPr>
              <w:t>Аренда дополнительных нежилых помещений, увеличение предельной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70280000">
            <w:pPr>
              <w:widowControl w:val="1"/>
              <w:ind/>
              <w:contextualSpacing w:val="1"/>
              <w:jc w:val="center"/>
              <w:rPr>
                <w:sz w:val="22"/>
              </w:rPr>
            </w:pPr>
            <w:r>
              <w:rPr>
                <w:sz w:val="22"/>
              </w:rPr>
              <w:t>418000</w:t>
            </w:r>
          </w:p>
        </w:tc>
        <w:tc>
          <w:tcPr>
            <w:tcW w:type="dxa" w:w="1221"/>
            <w:tcBorders>
              <w:top w:color="000000" w:sz="4" w:val="single"/>
              <w:left w:color="000000" w:sz="4" w:val="single"/>
              <w:bottom w:color="000000" w:sz="4" w:val="single"/>
              <w:right w:color="000000" w:sz="4" w:val="single"/>
            </w:tcBorders>
            <w:shd w:fill="FFFFFF" w:val="clear"/>
            <w:vAlign w:val="center"/>
          </w:tcPr>
          <w:p w14:paraId="71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2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3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428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75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6280000">
            <w:pPr>
              <w:widowControl w:val="1"/>
              <w:ind/>
              <w:contextualSpacing w:val="1"/>
              <w:jc w:val="center"/>
              <w:rPr>
                <w:sz w:val="22"/>
              </w:rPr>
            </w:pPr>
            <w:r>
              <w:rPr>
                <w:sz w:val="22"/>
              </w:rPr>
              <w:t>Размещение заказа у единственного поставщика, согласно пп. 1 п. 81  положения утвержденного СД 30.04.2015г. Протокол № 13</w:t>
            </w:r>
          </w:p>
        </w:tc>
      </w:tr>
      <w:tr>
        <w:trPr>
          <w:trHeight w:hRule="atLeast" w:val="691"/>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77280000">
            <w:pPr>
              <w:widowControl w:val="1"/>
              <w:ind/>
              <w:contextualSpacing w:val="1"/>
              <w:jc w:val="center"/>
              <w:rPr>
                <w:color w:val="000000"/>
                <w:sz w:val="22"/>
              </w:rPr>
            </w:pPr>
            <w:r>
              <w:rPr>
                <w:color w:val="000000"/>
                <w:sz w:val="22"/>
              </w:rPr>
              <w:t>итого по контрагенту ООО "Инжиниринг" 418000 руб.</w:t>
            </w:r>
          </w:p>
          <w:p w14:paraId="7828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79280000">
            <w:pPr>
              <w:widowControl w:val="1"/>
              <w:ind/>
              <w:contextualSpacing w:val="1"/>
              <w:rPr>
                <w:color w:val="000000"/>
                <w:sz w:val="22"/>
              </w:rPr>
            </w:pPr>
            <w:r>
              <w:rPr>
                <w:color w:val="000000"/>
                <w:sz w:val="22"/>
              </w:rPr>
              <w:t>272</w:t>
            </w:r>
          </w:p>
        </w:tc>
        <w:tc>
          <w:tcPr>
            <w:tcW w:type="dxa" w:w="1408"/>
            <w:tcBorders>
              <w:top w:color="000000" w:sz="4" w:val="single"/>
              <w:left w:color="000000" w:sz="4" w:val="single"/>
              <w:bottom w:color="000000" w:sz="4" w:val="single"/>
              <w:right w:color="000000" w:sz="4" w:val="single"/>
            </w:tcBorders>
            <w:shd w:fill="FFFFFF" w:val="clear"/>
            <w:vAlign w:val="center"/>
          </w:tcPr>
          <w:p w14:paraId="7A280000">
            <w:pPr>
              <w:widowControl w:val="1"/>
              <w:ind/>
              <w:contextualSpacing w:val="1"/>
              <w:jc w:val="center"/>
              <w:rPr>
                <w:sz w:val="22"/>
              </w:rPr>
            </w:pPr>
            <w:r>
              <w:rPr>
                <w:sz w:val="22"/>
              </w:rPr>
              <w:t>ООО "НПФ "РКТ"</w:t>
            </w:r>
          </w:p>
        </w:tc>
        <w:tc>
          <w:tcPr>
            <w:tcW w:type="dxa" w:w="1408"/>
            <w:tcBorders>
              <w:top w:color="000000" w:sz="4" w:val="single"/>
              <w:left w:color="000000" w:sz="4" w:val="single"/>
              <w:bottom w:color="000000" w:sz="4" w:val="single"/>
              <w:right w:color="000000" w:sz="4" w:val="single"/>
            </w:tcBorders>
            <w:shd w:fill="FFFFFF" w:val="clear"/>
            <w:vAlign w:val="center"/>
          </w:tcPr>
          <w:p w14:paraId="7B280000">
            <w:pPr>
              <w:widowControl w:val="1"/>
              <w:ind/>
              <w:contextualSpacing w:val="1"/>
              <w:jc w:val="center"/>
              <w:rPr>
                <w:sz w:val="22"/>
              </w:rPr>
            </w:pPr>
            <w:r>
              <w:rPr>
                <w:sz w:val="22"/>
              </w:rPr>
              <w:t>договор № 34 от 10.12.2018</w:t>
            </w:r>
          </w:p>
        </w:tc>
        <w:tc>
          <w:tcPr>
            <w:tcW w:type="dxa" w:w="1274"/>
            <w:tcBorders>
              <w:top w:color="000000" w:sz="4" w:val="single"/>
              <w:left w:color="000000" w:sz="4" w:val="single"/>
              <w:bottom w:color="000000" w:sz="4" w:val="single"/>
              <w:right w:color="000000" w:sz="4" w:val="single"/>
            </w:tcBorders>
            <w:shd w:fill="FFFFFF" w:val="clear"/>
            <w:vAlign w:val="center"/>
          </w:tcPr>
          <w:p w14:paraId="7C280000">
            <w:pPr>
              <w:widowControl w:val="1"/>
              <w:ind/>
              <w:contextualSpacing w:val="1"/>
              <w:jc w:val="center"/>
              <w:rPr>
                <w:sz w:val="22"/>
              </w:rPr>
            </w:pPr>
            <w:r>
              <w:rPr>
                <w:sz w:val="22"/>
              </w:rPr>
              <w:t>10.12.2018-31.12.2018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7D280000">
            <w:pPr>
              <w:widowControl w:val="1"/>
              <w:ind/>
              <w:contextualSpacing w:val="1"/>
              <w:jc w:val="center"/>
              <w:rPr>
                <w:sz w:val="22"/>
              </w:rPr>
            </w:pPr>
            <w:r>
              <w:rPr>
                <w:sz w:val="22"/>
              </w:rPr>
              <w:t>постпвка МФУ</w:t>
            </w:r>
          </w:p>
        </w:tc>
        <w:tc>
          <w:tcPr>
            <w:tcW w:type="dxa" w:w="1194"/>
            <w:tcBorders>
              <w:top w:color="000000" w:sz="4" w:val="single"/>
              <w:left w:color="000000" w:sz="4" w:val="single"/>
              <w:bottom w:color="000000" w:sz="4" w:val="single"/>
              <w:right w:color="000000" w:sz="4" w:val="single"/>
            </w:tcBorders>
            <w:shd w:fill="FFFFFF" w:val="clear"/>
            <w:vAlign w:val="center"/>
          </w:tcPr>
          <w:p w14:paraId="7E280000">
            <w:pPr>
              <w:widowControl w:val="1"/>
              <w:ind/>
              <w:contextualSpacing w:val="1"/>
              <w:jc w:val="center"/>
              <w:rPr>
                <w:sz w:val="22"/>
              </w:rPr>
            </w:pPr>
            <w:r>
              <w:rPr>
                <w:sz w:val="22"/>
              </w:rPr>
              <w:t>337400</w:t>
            </w:r>
          </w:p>
        </w:tc>
        <w:tc>
          <w:tcPr>
            <w:tcW w:type="dxa" w:w="1221"/>
            <w:tcBorders>
              <w:top w:color="000000" w:sz="4" w:val="single"/>
              <w:left w:color="000000" w:sz="4" w:val="single"/>
              <w:bottom w:color="000000" w:sz="4" w:val="single"/>
              <w:right w:color="000000" w:sz="4" w:val="single"/>
            </w:tcBorders>
            <w:shd w:fill="FFFFFF" w:val="clear"/>
            <w:vAlign w:val="center"/>
          </w:tcPr>
          <w:p w14:paraId="7F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0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1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228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83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8428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85280000">
            <w:pPr>
              <w:widowControl w:val="1"/>
              <w:ind/>
              <w:contextualSpacing w:val="1"/>
              <w:rPr>
                <w:color w:val="000000"/>
                <w:sz w:val="22"/>
              </w:rPr>
            </w:pPr>
            <w:r>
              <w:rPr>
                <w:color w:val="000000"/>
                <w:sz w:val="22"/>
              </w:rPr>
              <w:t>273</w:t>
            </w:r>
          </w:p>
        </w:tc>
        <w:tc>
          <w:tcPr>
            <w:tcW w:type="dxa" w:w="1408"/>
            <w:tcBorders>
              <w:top w:color="000000" w:sz="4" w:val="single"/>
              <w:left w:color="000000" w:sz="4" w:val="single"/>
              <w:bottom w:color="000000" w:sz="4" w:val="single"/>
              <w:right w:color="000000" w:sz="4" w:val="single"/>
            </w:tcBorders>
            <w:shd w:fill="FFFFFF" w:val="clear"/>
            <w:vAlign w:val="center"/>
          </w:tcPr>
          <w:p w14:paraId="86280000">
            <w:pPr>
              <w:widowControl w:val="1"/>
              <w:ind/>
              <w:contextualSpacing w:val="1"/>
              <w:jc w:val="center"/>
              <w:rPr>
                <w:sz w:val="22"/>
              </w:rPr>
            </w:pPr>
            <w:r>
              <w:rPr>
                <w:sz w:val="22"/>
              </w:rPr>
              <w:t>ООО НПФ "РКТ"</w:t>
            </w:r>
          </w:p>
        </w:tc>
        <w:tc>
          <w:tcPr>
            <w:tcW w:type="dxa" w:w="1408"/>
            <w:tcBorders>
              <w:top w:color="000000" w:sz="4" w:val="single"/>
              <w:left w:color="000000" w:sz="4" w:val="single"/>
              <w:bottom w:color="000000" w:sz="4" w:val="single"/>
              <w:right w:color="000000" w:sz="4" w:val="single"/>
            </w:tcBorders>
            <w:shd w:fill="FFFFFF" w:val="clear"/>
            <w:vAlign w:val="center"/>
          </w:tcPr>
          <w:p w14:paraId="87280000">
            <w:pPr>
              <w:widowControl w:val="1"/>
              <w:ind/>
              <w:contextualSpacing w:val="1"/>
              <w:jc w:val="center"/>
              <w:rPr>
                <w:sz w:val="22"/>
              </w:rPr>
            </w:pPr>
            <w:r>
              <w:rPr>
                <w:sz w:val="22"/>
              </w:rPr>
              <w:t>счет № 1502 от 24.12.2018</w:t>
            </w:r>
          </w:p>
        </w:tc>
        <w:tc>
          <w:tcPr>
            <w:tcW w:type="dxa" w:w="1274"/>
            <w:tcBorders>
              <w:top w:color="000000" w:sz="4" w:val="single"/>
              <w:left w:color="000000" w:sz="4" w:val="single"/>
              <w:bottom w:color="000000" w:sz="4" w:val="single"/>
              <w:right w:color="000000" w:sz="4" w:val="single"/>
            </w:tcBorders>
            <w:shd w:fill="FFFFFF" w:val="clear"/>
            <w:vAlign w:val="center"/>
          </w:tcPr>
          <w:p w14:paraId="88280000">
            <w:pPr>
              <w:widowControl w:val="1"/>
              <w:ind/>
              <w:contextualSpacing w:val="1"/>
              <w:jc w:val="center"/>
              <w:rPr>
                <w:sz w:val="22"/>
              </w:rPr>
            </w:pPr>
            <w:r>
              <w:rPr>
                <w:sz w:val="22"/>
              </w:rPr>
              <w:t>24.12.2018-29.12.2018</w:t>
            </w:r>
          </w:p>
        </w:tc>
        <w:tc>
          <w:tcPr>
            <w:tcW w:type="dxa" w:w="1556"/>
            <w:tcBorders>
              <w:top w:color="000000" w:sz="4" w:val="single"/>
              <w:left w:color="000000" w:sz="4" w:val="single"/>
              <w:bottom w:color="000000" w:sz="4" w:val="single"/>
              <w:right w:color="000000" w:sz="4" w:val="single"/>
            </w:tcBorders>
            <w:shd w:fill="FFFFFF" w:val="clear"/>
            <w:vAlign w:val="center"/>
          </w:tcPr>
          <w:p w14:paraId="89280000">
            <w:pPr>
              <w:widowControl w:val="1"/>
              <w:ind/>
              <w:contextualSpacing w:val="1"/>
              <w:jc w:val="center"/>
              <w:rPr>
                <w:sz w:val="22"/>
              </w:rPr>
            </w:pPr>
            <w:r>
              <w:rPr>
                <w:sz w:val="22"/>
              </w:rPr>
              <w:t>оказание услуг по заправке картриджа</w:t>
            </w:r>
          </w:p>
        </w:tc>
        <w:tc>
          <w:tcPr>
            <w:tcW w:type="dxa" w:w="1194"/>
            <w:tcBorders>
              <w:top w:color="000000" w:sz="4" w:val="single"/>
              <w:left w:color="000000" w:sz="4" w:val="single"/>
              <w:bottom w:color="000000" w:sz="4" w:val="single"/>
              <w:right w:color="000000" w:sz="4" w:val="single"/>
            </w:tcBorders>
            <w:shd w:fill="FFFFFF" w:val="clear"/>
            <w:vAlign w:val="center"/>
          </w:tcPr>
          <w:p w14:paraId="8A280000">
            <w:pPr>
              <w:widowControl w:val="1"/>
              <w:ind/>
              <w:contextualSpacing w:val="1"/>
              <w:jc w:val="center"/>
              <w:rPr>
                <w:sz w:val="22"/>
              </w:rPr>
            </w:pPr>
            <w:r>
              <w:rPr>
                <w:sz w:val="22"/>
              </w:rPr>
              <w:t>7000,00</w:t>
            </w:r>
          </w:p>
        </w:tc>
        <w:tc>
          <w:tcPr>
            <w:tcW w:type="dxa" w:w="1221"/>
            <w:tcBorders>
              <w:top w:color="000000" w:sz="4" w:val="single"/>
              <w:left w:color="000000" w:sz="4" w:val="single"/>
              <w:bottom w:color="000000" w:sz="4" w:val="single"/>
              <w:right w:color="000000" w:sz="4" w:val="single"/>
            </w:tcBorders>
            <w:shd w:fill="FFFFFF" w:val="clear"/>
            <w:vAlign w:val="center"/>
          </w:tcPr>
          <w:p w14:paraId="8B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C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D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E28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8F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028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651"/>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91280000">
            <w:pPr>
              <w:widowControl w:val="1"/>
              <w:ind/>
              <w:contextualSpacing w:val="1"/>
              <w:jc w:val="center"/>
              <w:rPr>
                <w:color w:val="000000"/>
                <w:sz w:val="22"/>
              </w:rPr>
            </w:pPr>
            <w:r>
              <w:rPr>
                <w:color w:val="000000"/>
                <w:sz w:val="22"/>
              </w:rPr>
              <w:t>итого по контрагенту ООО НПФ "РКТ" 344400 руб.</w:t>
            </w:r>
          </w:p>
          <w:p w14:paraId="9228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3280000">
            <w:pPr>
              <w:widowControl w:val="1"/>
              <w:ind/>
              <w:contextualSpacing w:val="1"/>
              <w:rPr>
                <w:color w:val="000000"/>
                <w:sz w:val="22"/>
              </w:rPr>
            </w:pPr>
            <w:r>
              <w:rPr>
                <w:color w:val="000000"/>
                <w:sz w:val="22"/>
              </w:rPr>
              <w:t>274</w:t>
            </w:r>
          </w:p>
        </w:tc>
        <w:tc>
          <w:tcPr>
            <w:tcW w:type="dxa" w:w="1408"/>
            <w:tcBorders>
              <w:top w:color="000000" w:sz="4" w:val="single"/>
              <w:left w:color="000000" w:sz="4" w:val="single"/>
              <w:bottom w:color="000000" w:sz="4" w:val="single"/>
              <w:right w:color="000000" w:sz="4" w:val="single"/>
            </w:tcBorders>
            <w:shd w:fill="FFFFFF" w:val="clear"/>
            <w:vAlign w:val="center"/>
          </w:tcPr>
          <w:p w14:paraId="94280000">
            <w:pPr>
              <w:widowControl w:val="1"/>
              <w:ind/>
              <w:contextualSpacing w:val="1"/>
              <w:jc w:val="center"/>
              <w:rPr>
                <w:sz w:val="22"/>
              </w:rPr>
            </w:pPr>
            <w:r>
              <w:rPr>
                <w:sz w:val="22"/>
              </w:rPr>
              <w:t>ООО "ИТРБ"</w:t>
            </w:r>
          </w:p>
        </w:tc>
        <w:tc>
          <w:tcPr>
            <w:tcW w:type="dxa" w:w="1408"/>
            <w:tcBorders>
              <w:top w:color="000000" w:sz="4" w:val="single"/>
              <w:left w:color="000000" w:sz="4" w:val="single"/>
              <w:bottom w:color="000000" w:sz="4" w:val="single"/>
              <w:right w:color="000000" w:sz="4" w:val="single"/>
            </w:tcBorders>
            <w:shd w:fill="FFFFFF" w:val="clear"/>
            <w:vAlign w:val="center"/>
          </w:tcPr>
          <w:p w14:paraId="95280000">
            <w:pPr>
              <w:widowControl w:val="1"/>
              <w:ind/>
              <w:contextualSpacing w:val="1"/>
              <w:jc w:val="center"/>
              <w:rPr>
                <w:sz w:val="22"/>
              </w:rPr>
            </w:pPr>
            <w:r>
              <w:rPr>
                <w:sz w:val="22"/>
              </w:rPr>
              <w:t>договор № 265 от 26.12.2018</w:t>
            </w:r>
          </w:p>
        </w:tc>
        <w:tc>
          <w:tcPr>
            <w:tcW w:type="dxa" w:w="1274"/>
            <w:tcBorders>
              <w:top w:color="000000" w:sz="4" w:val="single"/>
              <w:left w:color="000000" w:sz="4" w:val="single"/>
              <w:bottom w:color="000000" w:sz="4" w:val="single"/>
              <w:right w:color="000000" w:sz="4" w:val="single"/>
            </w:tcBorders>
            <w:shd w:fill="FFFFFF" w:val="clear"/>
            <w:vAlign w:val="center"/>
          </w:tcPr>
          <w:p w14:paraId="96280000">
            <w:pPr>
              <w:widowControl w:val="1"/>
              <w:ind/>
              <w:contextualSpacing w:val="1"/>
              <w:jc w:val="center"/>
              <w:rPr>
                <w:sz w:val="22"/>
              </w:rPr>
            </w:pPr>
            <w:r>
              <w:rPr>
                <w:sz w:val="22"/>
              </w:rPr>
              <w:t>01.01.2019-31.12.2019</w:t>
            </w:r>
          </w:p>
        </w:tc>
        <w:tc>
          <w:tcPr>
            <w:tcW w:type="dxa" w:w="1556"/>
            <w:tcBorders>
              <w:top w:color="000000" w:sz="4" w:val="single"/>
              <w:left w:color="000000" w:sz="4" w:val="single"/>
              <w:bottom w:color="000000" w:sz="4" w:val="single"/>
              <w:right w:color="000000" w:sz="4" w:val="single"/>
            </w:tcBorders>
            <w:shd w:fill="FFFFFF" w:val="clear"/>
            <w:vAlign w:val="center"/>
          </w:tcPr>
          <w:p w14:paraId="97280000">
            <w:pPr>
              <w:widowControl w:val="1"/>
              <w:ind/>
              <w:contextualSpacing w:val="1"/>
              <w:jc w:val="center"/>
              <w:rPr>
                <w:sz w:val="22"/>
              </w:rPr>
            </w:pPr>
            <w:r>
              <w:rPr>
                <w:sz w:val="22"/>
              </w:rPr>
              <w:t>Оказание услуг информационно-технологического обслуживания пользователей 1С: Предприятие</w:t>
            </w:r>
          </w:p>
        </w:tc>
        <w:tc>
          <w:tcPr>
            <w:tcW w:type="dxa" w:w="1194"/>
            <w:tcBorders>
              <w:top w:color="000000" w:sz="4" w:val="single"/>
              <w:left w:color="000000" w:sz="4" w:val="single"/>
              <w:bottom w:color="000000" w:sz="4" w:val="single"/>
              <w:right w:color="000000" w:sz="4" w:val="single"/>
            </w:tcBorders>
            <w:shd w:fill="FFFFFF" w:val="clear"/>
            <w:vAlign w:val="center"/>
          </w:tcPr>
          <w:p w14:paraId="98280000">
            <w:pPr>
              <w:widowControl w:val="1"/>
              <w:ind/>
              <w:contextualSpacing w:val="1"/>
              <w:jc w:val="center"/>
              <w:rPr>
                <w:sz w:val="22"/>
              </w:rPr>
            </w:pPr>
            <w:r>
              <w:rPr>
                <w:sz w:val="22"/>
              </w:rPr>
              <w:t>497151</w:t>
            </w:r>
          </w:p>
        </w:tc>
        <w:tc>
          <w:tcPr>
            <w:tcW w:type="dxa" w:w="1221"/>
            <w:tcBorders>
              <w:top w:color="000000" w:sz="4" w:val="single"/>
              <w:left w:color="000000" w:sz="4" w:val="single"/>
              <w:bottom w:color="000000" w:sz="4" w:val="single"/>
              <w:right w:color="000000" w:sz="4" w:val="single"/>
            </w:tcBorders>
            <w:shd w:fill="FFFFFF" w:val="clear"/>
            <w:vAlign w:val="center"/>
          </w:tcPr>
          <w:p w14:paraId="99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A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B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C28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9D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E28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F280000">
            <w:pPr>
              <w:widowControl w:val="1"/>
              <w:ind/>
              <w:contextualSpacing w:val="1"/>
              <w:rPr>
                <w:color w:val="000000"/>
                <w:sz w:val="22"/>
              </w:rPr>
            </w:pPr>
            <w:r>
              <w:rPr>
                <w:color w:val="000000"/>
                <w:sz w:val="22"/>
              </w:rPr>
              <w:t>275</w:t>
            </w:r>
          </w:p>
        </w:tc>
        <w:tc>
          <w:tcPr>
            <w:tcW w:type="dxa" w:w="1408"/>
            <w:tcBorders>
              <w:top w:color="000000" w:sz="4" w:val="single"/>
              <w:left w:color="000000" w:sz="4" w:val="single"/>
              <w:bottom w:color="000000" w:sz="4" w:val="single"/>
              <w:right w:color="000000" w:sz="4" w:val="single"/>
            </w:tcBorders>
            <w:shd w:fill="FFFFFF" w:val="clear"/>
            <w:vAlign w:val="center"/>
          </w:tcPr>
          <w:p w14:paraId="A0280000">
            <w:pPr>
              <w:widowControl w:val="1"/>
              <w:ind/>
              <w:contextualSpacing w:val="1"/>
              <w:jc w:val="center"/>
              <w:rPr>
                <w:sz w:val="22"/>
              </w:rPr>
            </w:pPr>
            <w:r>
              <w:rPr>
                <w:sz w:val="22"/>
              </w:rPr>
              <w:t>ООО "Типография КАСС"</w:t>
            </w:r>
          </w:p>
        </w:tc>
        <w:tc>
          <w:tcPr>
            <w:tcW w:type="dxa" w:w="1408"/>
            <w:tcBorders>
              <w:top w:color="000000" w:sz="4" w:val="single"/>
              <w:left w:color="000000" w:sz="4" w:val="single"/>
              <w:bottom w:color="000000" w:sz="4" w:val="single"/>
              <w:right w:color="000000" w:sz="4" w:val="single"/>
            </w:tcBorders>
            <w:shd w:fill="FFFFFF" w:val="clear"/>
            <w:vAlign w:val="center"/>
          </w:tcPr>
          <w:p w14:paraId="A1280000">
            <w:pPr>
              <w:widowControl w:val="1"/>
              <w:ind/>
              <w:contextualSpacing w:val="1"/>
              <w:jc w:val="center"/>
              <w:rPr>
                <w:sz w:val="22"/>
              </w:rPr>
            </w:pPr>
            <w:r>
              <w:rPr>
                <w:sz w:val="22"/>
              </w:rPr>
              <w:t>договор № 116 от 24.10.2018</w:t>
            </w:r>
          </w:p>
        </w:tc>
        <w:tc>
          <w:tcPr>
            <w:tcW w:type="dxa" w:w="1274"/>
            <w:tcBorders>
              <w:top w:color="000000" w:sz="4" w:val="single"/>
              <w:left w:color="000000" w:sz="4" w:val="single"/>
              <w:bottom w:color="000000" w:sz="4" w:val="single"/>
              <w:right w:color="000000" w:sz="4" w:val="single"/>
            </w:tcBorders>
            <w:shd w:fill="FFFFFF" w:val="clear"/>
            <w:vAlign w:val="center"/>
          </w:tcPr>
          <w:p w14:paraId="A2280000">
            <w:pPr>
              <w:widowControl w:val="1"/>
              <w:ind/>
              <w:contextualSpacing w:val="1"/>
              <w:jc w:val="center"/>
              <w:rPr>
                <w:sz w:val="22"/>
              </w:rPr>
            </w:pPr>
            <w:r>
              <w:rPr>
                <w:sz w:val="22"/>
              </w:rPr>
              <w:t>24.10.2018-31.12.2018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A3280000">
            <w:pPr>
              <w:widowControl w:val="1"/>
              <w:ind/>
              <w:contextualSpacing w:val="1"/>
              <w:jc w:val="center"/>
              <w:rPr>
                <w:sz w:val="22"/>
              </w:rPr>
            </w:pPr>
            <w:r>
              <w:rPr>
                <w:sz w:val="22"/>
              </w:rPr>
              <w:t>выполнение работ по изготовлению полиграфической продукции (календари)</w:t>
            </w:r>
          </w:p>
        </w:tc>
        <w:tc>
          <w:tcPr>
            <w:tcW w:type="dxa" w:w="1194"/>
            <w:tcBorders>
              <w:top w:color="000000" w:sz="4" w:val="single"/>
              <w:left w:color="000000" w:sz="4" w:val="single"/>
              <w:bottom w:color="000000" w:sz="4" w:val="single"/>
              <w:right w:color="000000" w:sz="4" w:val="single"/>
            </w:tcBorders>
            <w:shd w:fill="FFFFFF" w:val="clear"/>
            <w:vAlign w:val="center"/>
          </w:tcPr>
          <w:p w14:paraId="A4280000">
            <w:pPr>
              <w:widowControl w:val="1"/>
              <w:ind/>
              <w:contextualSpacing w:val="1"/>
              <w:jc w:val="center"/>
              <w:rPr>
                <w:sz w:val="22"/>
              </w:rPr>
            </w:pPr>
            <w:r>
              <w:rPr>
                <w:sz w:val="22"/>
              </w:rPr>
              <w:t>36540</w:t>
            </w:r>
          </w:p>
        </w:tc>
        <w:tc>
          <w:tcPr>
            <w:tcW w:type="dxa" w:w="1221"/>
            <w:tcBorders>
              <w:top w:color="000000" w:sz="4" w:val="single"/>
              <w:left w:color="000000" w:sz="4" w:val="single"/>
              <w:bottom w:color="000000" w:sz="4" w:val="single"/>
              <w:right w:color="000000" w:sz="4" w:val="single"/>
            </w:tcBorders>
            <w:shd w:fill="FFFFFF" w:val="clear"/>
            <w:vAlign w:val="center"/>
          </w:tcPr>
          <w:p w14:paraId="A5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6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7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828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A9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A280000">
            <w:pPr>
              <w:widowControl w:val="1"/>
              <w:ind/>
              <w:contextualSpacing w:val="1"/>
              <w:jc w:val="center"/>
              <w:rPr>
                <w:sz w:val="22"/>
              </w:rPr>
            </w:pPr>
            <w:r>
              <w:rPr>
                <w:sz w:val="22"/>
              </w:rPr>
              <w:t>Размещение заказа у единственного поставщика, согласно пп.29п.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B280000">
            <w:pPr>
              <w:widowControl w:val="1"/>
              <w:ind/>
              <w:contextualSpacing w:val="1"/>
              <w:rPr>
                <w:color w:val="000000"/>
                <w:sz w:val="22"/>
              </w:rPr>
            </w:pPr>
            <w:r>
              <w:rPr>
                <w:color w:val="000000"/>
                <w:sz w:val="22"/>
              </w:rPr>
              <w:t>276</w:t>
            </w:r>
          </w:p>
        </w:tc>
        <w:tc>
          <w:tcPr>
            <w:tcW w:type="dxa" w:w="1408"/>
            <w:tcBorders>
              <w:top w:color="000000" w:sz="4" w:val="single"/>
              <w:left w:color="000000" w:sz="4" w:val="single"/>
              <w:bottom w:color="000000" w:sz="4" w:val="single"/>
              <w:right w:color="000000" w:sz="4" w:val="single"/>
            </w:tcBorders>
            <w:shd w:fill="FFFFFF" w:val="clear"/>
            <w:vAlign w:val="center"/>
          </w:tcPr>
          <w:p w14:paraId="AC280000">
            <w:pPr>
              <w:widowControl w:val="1"/>
              <w:ind/>
              <w:contextualSpacing w:val="1"/>
              <w:jc w:val="center"/>
              <w:rPr>
                <w:sz w:val="22"/>
              </w:rPr>
            </w:pPr>
            <w:r>
              <w:rPr>
                <w:sz w:val="22"/>
              </w:rPr>
              <w:t>ООО "Электробыттехника"</w:t>
            </w:r>
          </w:p>
        </w:tc>
        <w:tc>
          <w:tcPr>
            <w:tcW w:type="dxa" w:w="1408"/>
            <w:tcBorders>
              <w:top w:color="000000" w:sz="4" w:val="single"/>
              <w:left w:color="000000" w:sz="4" w:val="single"/>
              <w:bottom w:color="000000" w:sz="4" w:val="single"/>
              <w:right w:color="000000" w:sz="4" w:val="single"/>
            </w:tcBorders>
            <w:shd w:fill="FFFFFF" w:val="clear"/>
            <w:vAlign w:val="center"/>
          </w:tcPr>
          <w:p w14:paraId="AD280000">
            <w:pPr>
              <w:widowControl w:val="1"/>
              <w:ind/>
              <w:contextualSpacing w:val="1"/>
              <w:jc w:val="center"/>
              <w:rPr>
                <w:sz w:val="22"/>
              </w:rPr>
            </w:pPr>
            <w:r>
              <w:rPr>
                <w:sz w:val="22"/>
              </w:rPr>
              <w:t>договор № 572 от 01.11.2018</w:t>
            </w:r>
          </w:p>
        </w:tc>
        <w:tc>
          <w:tcPr>
            <w:tcW w:type="dxa" w:w="1274"/>
            <w:tcBorders>
              <w:top w:color="000000" w:sz="4" w:val="single"/>
              <w:left w:color="000000" w:sz="4" w:val="single"/>
              <w:bottom w:color="000000" w:sz="4" w:val="single"/>
              <w:right w:color="000000" w:sz="4" w:val="single"/>
            </w:tcBorders>
            <w:shd w:fill="FFFFFF" w:val="clear"/>
            <w:vAlign w:val="center"/>
          </w:tcPr>
          <w:p w14:paraId="AE280000">
            <w:pPr>
              <w:widowControl w:val="1"/>
              <w:ind/>
              <w:contextualSpacing w:val="1"/>
              <w:jc w:val="center"/>
              <w:rPr>
                <w:sz w:val="22"/>
              </w:rPr>
            </w:pPr>
            <w:r>
              <w:rPr>
                <w:sz w:val="22"/>
              </w:rPr>
              <w:t>01.11.2018-31.12.2018</w:t>
            </w:r>
          </w:p>
        </w:tc>
        <w:tc>
          <w:tcPr>
            <w:tcW w:type="dxa" w:w="1556"/>
            <w:tcBorders>
              <w:top w:color="000000" w:sz="4" w:val="single"/>
              <w:left w:color="000000" w:sz="4" w:val="single"/>
              <w:bottom w:color="000000" w:sz="4" w:val="single"/>
              <w:right w:color="000000" w:sz="4" w:val="single"/>
            </w:tcBorders>
            <w:shd w:fill="FFFFFF" w:val="clear"/>
            <w:vAlign w:val="center"/>
          </w:tcPr>
          <w:p w14:paraId="AF280000">
            <w:pPr>
              <w:widowControl w:val="1"/>
              <w:ind/>
              <w:contextualSpacing w:val="1"/>
              <w:jc w:val="center"/>
              <w:rPr>
                <w:sz w:val="22"/>
              </w:rPr>
            </w:pPr>
            <w:r>
              <w:rPr>
                <w:sz w:val="22"/>
              </w:rPr>
              <w:t>выполнение работ по изготовлению полиграфической продукции (книги расписания)</w:t>
            </w:r>
          </w:p>
        </w:tc>
        <w:tc>
          <w:tcPr>
            <w:tcW w:type="dxa" w:w="1194"/>
            <w:tcBorders>
              <w:top w:color="000000" w:sz="4" w:val="single"/>
              <w:left w:color="000000" w:sz="4" w:val="single"/>
              <w:bottom w:color="000000" w:sz="4" w:val="single"/>
              <w:right w:color="000000" w:sz="4" w:val="single"/>
            </w:tcBorders>
            <w:shd w:fill="FFFFFF" w:val="clear"/>
            <w:vAlign w:val="center"/>
          </w:tcPr>
          <w:p w14:paraId="B0280000">
            <w:pPr>
              <w:widowControl w:val="1"/>
              <w:ind/>
              <w:contextualSpacing w:val="1"/>
              <w:jc w:val="center"/>
              <w:rPr>
                <w:sz w:val="22"/>
              </w:rPr>
            </w:pPr>
            <w:r>
              <w:rPr>
                <w:sz w:val="22"/>
              </w:rPr>
              <w:t>36300</w:t>
            </w:r>
          </w:p>
        </w:tc>
        <w:tc>
          <w:tcPr>
            <w:tcW w:type="dxa" w:w="1221"/>
            <w:tcBorders>
              <w:top w:color="000000" w:sz="4" w:val="single"/>
              <w:left w:color="000000" w:sz="4" w:val="single"/>
              <w:bottom w:color="000000" w:sz="4" w:val="single"/>
              <w:right w:color="000000" w:sz="4" w:val="single"/>
            </w:tcBorders>
            <w:shd w:fill="FFFFFF" w:val="clear"/>
            <w:vAlign w:val="center"/>
          </w:tcPr>
          <w:p w14:paraId="B1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2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3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428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B5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B628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B7280000">
            <w:pPr>
              <w:widowControl w:val="1"/>
              <w:ind/>
              <w:contextualSpacing w:val="1"/>
              <w:rPr>
                <w:color w:val="000000"/>
                <w:sz w:val="22"/>
              </w:rPr>
            </w:pPr>
            <w:r>
              <w:rPr>
                <w:color w:val="000000"/>
                <w:sz w:val="22"/>
              </w:rPr>
              <w:t>277</w:t>
            </w:r>
          </w:p>
        </w:tc>
        <w:tc>
          <w:tcPr>
            <w:tcW w:type="dxa" w:w="1408"/>
            <w:tcBorders>
              <w:top w:color="000000" w:sz="4" w:val="single"/>
              <w:left w:color="000000" w:sz="4" w:val="single"/>
              <w:bottom w:color="000000" w:sz="4" w:val="single"/>
              <w:right w:color="000000" w:sz="4" w:val="single"/>
            </w:tcBorders>
            <w:shd w:fill="FFFFFF" w:val="clear"/>
            <w:vAlign w:val="center"/>
          </w:tcPr>
          <w:p w14:paraId="B8280000">
            <w:pPr>
              <w:widowControl w:val="1"/>
              <w:ind/>
              <w:contextualSpacing w:val="1"/>
              <w:jc w:val="center"/>
              <w:rPr>
                <w:sz w:val="22"/>
              </w:rPr>
            </w:pPr>
            <w:r>
              <w:rPr>
                <w:sz w:val="22"/>
              </w:rPr>
              <w:t>ООО "Электробыттехника"</w:t>
            </w:r>
          </w:p>
        </w:tc>
        <w:tc>
          <w:tcPr>
            <w:tcW w:type="dxa" w:w="1408"/>
            <w:tcBorders>
              <w:top w:color="000000" w:sz="4" w:val="single"/>
              <w:left w:color="000000" w:sz="4" w:val="single"/>
              <w:bottom w:color="000000" w:sz="4" w:val="single"/>
              <w:right w:color="000000" w:sz="4" w:val="single"/>
            </w:tcBorders>
            <w:shd w:fill="FFFFFF" w:val="clear"/>
            <w:vAlign w:val="center"/>
          </w:tcPr>
          <w:p w14:paraId="B9280000">
            <w:pPr>
              <w:widowControl w:val="1"/>
              <w:ind/>
              <w:contextualSpacing w:val="1"/>
              <w:jc w:val="center"/>
              <w:rPr>
                <w:sz w:val="22"/>
              </w:rPr>
            </w:pPr>
            <w:r>
              <w:rPr>
                <w:sz w:val="22"/>
              </w:rPr>
              <w:t>дополнительное соглашение № 2 к договору № 50 от 18.04.2017г. От 20.12.2018г.</w:t>
            </w:r>
          </w:p>
        </w:tc>
        <w:tc>
          <w:tcPr>
            <w:tcW w:type="dxa" w:w="1274"/>
            <w:tcBorders>
              <w:top w:color="000000" w:sz="4" w:val="single"/>
              <w:left w:color="000000" w:sz="4" w:val="single"/>
              <w:bottom w:color="000000" w:sz="4" w:val="single"/>
              <w:right w:color="000000" w:sz="4" w:val="single"/>
            </w:tcBorders>
            <w:shd w:fill="FFFFFF" w:val="clear"/>
            <w:vAlign w:val="center"/>
          </w:tcPr>
          <w:p w14:paraId="BA280000">
            <w:pPr>
              <w:widowControl w:val="1"/>
              <w:ind/>
              <w:contextualSpacing w:val="1"/>
              <w:jc w:val="center"/>
              <w:rPr>
                <w:sz w:val="22"/>
              </w:rPr>
            </w:pPr>
            <w:r>
              <w:rPr>
                <w:sz w:val="22"/>
              </w:rPr>
              <w:t>18.04.2017-31.05.2019</w:t>
            </w:r>
          </w:p>
        </w:tc>
        <w:tc>
          <w:tcPr>
            <w:tcW w:type="dxa" w:w="1556"/>
            <w:tcBorders>
              <w:top w:color="000000" w:sz="4" w:val="single"/>
              <w:left w:color="000000" w:sz="4" w:val="single"/>
              <w:bottom w:color="000000" w:sz="4" w:val="single"/>
              <w:right w:color="000000" w:sz="4" w:val="single"/>
            </w:tcBorders>
            <w:shd w:fill="FFFFFF" w:val="clear"/>
            <w:vAlign w:val="center"/>
          </w:tcPr>
          <w:p w14:paraId="BB280000">
            <w:pPr>
              <w:widowControl w:val="1"/>
              <w:ind/>
              <w:contextualSpacing w:val="1"/>
              <w:jc w:val="center"/>
              <w:rPr>
                <w:sz w:val="22"/>
              </w:rPr>
            </w:pPr>
            <w:r>
              <w:rPr>
                <w:sz w:val="22"/>
              </w:rPr>
              <w:t>пролонгация договора по 31.05.2019, без изменения цены договора</w:t>
            </w:r>
          </w:p>
        </w:tc>
        <w:tc>
          <w:tcPr>
            <w:tcW w:type="dxa" w:w="1194"/>
            <w:tcBorders>
              <w:top w:color="000000" w:sz="4" w:val="single"/>
              <w:left w:color="000000" w:sz="4" w:val="single"/>
              <w:bottom w:color="000000" w:sz="4" w:val="single"/>
              <w:right w:color="000000" w:sz="4" w:val="single"/>
            </w:tcBorders>
            <w:shd w:fill="FFFFFF" w:val="clear"/>
            <w:vAlign w:val="center"/>
          </w:tcPr>
          <w:p w14:paraId="BC280000">
            <w:pPr>
              <w:widowControl w:val="1"/>
              <w:ind/>
              <w:contextualSpacing w:val="1"/>
              <w:jc w:val="center"/>
              <w:rPr>
                <w:sz w:val="22"/>
              </w:rPr>
            </w:pPr>
            <w:r>
              <w:rPr>
                <w:sz w:val="22"/>
              </w:rPr>
              <w:t>213200</w:t>
            </w:r>
          </w:p>
        </w:tc>
        <w:tc>
          <w:tcPr>
            <w:tcW w:type="dxa" w:w="1221"/>
            <w:tcBorders>
              <w:top w:color="000000" w:sz="4" w:val="single"/>
              <w:left w:color="000000" w:sz="4" w:val="single"/>
              <w:bottom w:color="000000" w:sz="4" w:val="single"/>
              <w:right w:color="000000" w:sz="4" w:val="single"/>
            </w:tcBorders>
            <w:shd w:fill="FFFFFF" w:val="clear"/>
            <w:vAlign w:val="center"/>
          </w:tcPr>
          <w:p w14:paraId="BD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E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F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028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C1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228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3280000">
            <w:pPr>
              <w:widowControl w:val="1"/>
              <w:ind/>
              <w:contextualSpacing w:val="1"/>
              <w:rPr>
                <w:color w:val="000000"/>
                <w:sz w:val="22"/>
              </w:rPr>
            </w:pPr>
            <w:r>
              <w:rPr>
                <w:color w:val="000000"/>
                <w:sz w:val="22"/>
              </w:rPr>
              <w:t>278</w:t>
            </w:r>
          </w:p>
        </w:tc>
        <w:tc>
          <w:tcPr>
            <w:tcW w:type="dxa" w:w="1408"/>
            <w:tcBorders>
              <w:top w:color="000000" w:sz="4" w:val="single"/>
              <w:left w:color="000000" w:sz="4" w:val="single"/>
              <w:bottom w:color="000000" w:sz="4" w:val="single"/>
              <w:right w:color="000000" w:sz="4" w:val="single"/>
            </w:tcBorders>
            <w:shd w:fill="FFFFFF" w:val="clear"/>
            <w:vAlign w:val="center"/>
          </w:tcPr>
          <w:p w14:paraId="C4280000">
            <w:pPr>
              <w:widowControl w:val="1"/>
              <w:ind/>
              <w:contextualSpacing w:val="1"/>
              <w:jc w:val="center"/>
              <w:rPr>
                <w:sz w:val="22"/>
              </w:rPr>
            </w:pPr>
            <w:r>
              <w:rPr>
                <w:sz w:val="22"/>
              </w:rPr>
              <w:t>Солопов Алексей Владимирович</w:t>
            </w:r>
          </w:p>
        </w:tc>
        <w:tc>
          <w:tcPr>
            <w:tcW w:type="dxa" w:w="1408"/>
            <w:tcBorders>
              <w:top w:color="000000" w:sz="4" w:val="single"/>
              <w:left w:color="000000" w:sz="4" w:val="single"/>
              <w:bottom w:color="000000" w:sz="4" w:val="single"/>
              <w:right w:color="000000" w:sz="4" w:val="single"/>
            </w:tcBorders>
            <w:shd w:fill="FFFFFF" w:val="clear"/>
            <w:vAlign w:val="center"/>
          </w:tcPr>
          <w:p w14:paraId="C5280000">
            <w:pPr>
              <w:widowControl w:val="1"/>
              <w:ind/>
              <w:contextualSpacing w:val="1"/>
              <w:jc w:val="center"/>
              <w:rPr>
                <w:sz w:val="22"/>
              </w:rPr>
            </w:pPr>
            <w:r>
              <w:rPr>
                <w:sz w:val="22"/>
              </w:rPr>
              <w:t>договор № 103 от 01.10.2018</w:t>
            </w:r>
          </w:p>
        </w:tc>
        <w:tc>
          <w:tcPr>
            <w:tcW w:type="dxa" w:w="1274"/>
            <w:tcBorders>
              <w:top w:color="000000" w:sz="4" w:val="single"/>
              <w:left w:color="000000" w:sz="4" w:val="single"/>
              <w:bottom w:color="000000" w:sz="4" w:val="single"/>
              <w:right w:color="000000" w:sz="4" w:val="single"/>
            </w:tcBorders>
            <w:shd w:fill="FFFFFF" w:val="clear"/>
            <w:vAlign w:val="center"/>
          </w:tcPr>
          <w:p w14:paraId="C6280000">
            <w:pPr>
              <w:widowControl w:val="1"/>
              <w:ind/>
              <w:contextualSpacing w:val="1"/>
              <w:jc w:val="center"/>
              <w:rPr>
                <w:sz w:val="22"/>
              </w:rPr>
            </w:pPr>
            <w:r>
              <w:rPr>
                <w:sz w:val="22"/>
              </w:rPr>
              <w:t>01.10.2018-31.08.2019</w:t>
            </w:r>
          </w:p>
        </w:tc>
        <w:tc>
          <w:tcPr>
            <w:tcW w:type="dxa" w:w="1556"/>
            <w:tcBorders>
              <w:top w:color="000000" w:sz="4" w:val="single"/>
              <w:left w:color="000000" w:sz="4" w:val="single"/>
              <w:bottom w:color="000000" w:sz="4" w:val="single"/>
              <w:right w:color="000000" w:sz="4" w:val="single"/>
            </w:tcBorders>
            <w:shd w:fill="FFFFFF" w:val="clear"/>
            <w:vAlign w:val="center"/>
          </w:tcPr>
          <w:p w14:paraId="C7280000">
            <w:pPr>
              <w:widowControl w:val="1"/>
              <w:ind/>
              <w:contextualSpacing w:val="1"/>
              <w:jc w:val="center"/>
              <w:rPr>
                <w:sz w:val="22"/>
              </w:rPr>
            </w:pPr>
            <w:r>
              <w:rPr>
                <w:sz w:val="22"/>
              </w:rPr>
              <w:t>оказание услуг аренды квартиры в г. Междуреченск для отдыха кассиров билетных</w:t>
            </w:r>
          </w:p>
        </w:tc>
        <w:tc>
          <w:tcPr>
            <w:tcW w:type="dxa" w:w="1194"/>
            <w:tcBorders>
              <w:top w:color="000000" w:sz="4" w:val="single"/>
              <w:left w:color="000000" w:sz="4" w:val="single"/>
              <w:bottom w:color="000000" w:sz="4" w:val="single"/>
              <w:right w:color="000000" w:sz="4" w:val="single"/>
            </w:tcBorders>
            <w:shd w:fill="FFFFFF" w:val="clear"/>
            <w:vAlign w:val="center"/>
          </w:tcPr>
          <w:p w14:paraId="C8280000">
            <w:pPr>
              <w:widowControl w:val="1"/>
              <w:ind/>
              <w:contextualSpacing w:val="1"/>
              <w:jc w:val="center"/>
              <w:rPr>
                <w:sz w:val="22"/>
              </w:rPr>
            </w:pPr>
            <w:r>
              <w:rPr>
                <w:sz w:val="22"/>
              </w:rPr>
              <w:t>158048</w:t>
            </w:r>
          </w:p>
        </w:tc>
        <w:tc>
          <w:tcPr>
            <w:tcW w:type="dxa" w:w="1221"/>
            <w:tcBorders>
              <w:top w:color="000000" w:sz="4" w:val="single"/>
              <w:left w:color="000000" w:sz="4" w:val="single"/>
              <w:bottom w:color="000000" w:sz="4" w:val="single"/>
              <w:right w:color="000000" w:sz="4" w:val="single"/>
            </w:tcBorders>
            <w:shd w:fill="FFFFFF" w:val="clear"/>
            <w:vAlign w:val="center"/>
          </w:tcPr>
          <w:p w14:paraId="C9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A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B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C28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CD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E280000">
            <w:pPr>
              <w:widowControl w:val="1"/>
              <w:ind/>
              <w:contextualSpacing w:val="1"/>
              <w:jc w:val="center"/>
              <w:rPr>
                <w:sz w:val="22"/>
              </w:rPr>
            </w:pPr>
            <w:r>
              <w:rPr>
                <w:sz w:val="22"/>
              </w:rPr>
              <w:t>Размещение заказа у единственного поставщика, согласно пп. 1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CF280000">
            <w:pPr>
              <w:widowControl w:val="1"/>
              <w:ind/>
              <w:contextualSpacing w:val="1"/>
              <w:rPr>
                <w:color w:val="000000"/>
                <w:sz w:val="22"/>
              </w:rPr>
            </w:pPr>
            <w:r>
              <w:rPr>
                <w:color w:val="000000"/>
                <w:sz w:val="22"/>
              </w:rPr>
              <w:t>279</w:t>
            </w:r>
          </w:p>
        </w:tc>
        <w:tc>
          <w:tcPr>
            <w:tcW w:type="dxa" w:w="1408"/>
            <w:tcBorders>
              <w:top w:color="000000" w:sz="4" w:val="single"/>
              <w:left w:color="000000" w:sz="4" w:val="single"/>
              <w:bottom w:color="000000" w:sz="4" w:val="single"/>
              <w:right w:color="000000" w:sz="4" w:val="single"/>
            </w:tcBorders>
            <w:shd w:fill="FFFFFF" w:val="clear"/>
            <w:vAlign w:val="center"/>
          </w:tcPr>
          <w:p w14:paraId="D0280000">
            <w:pPr>
              <w:widowControl w:val="1"/>
              <w:ind/>
              <w:contextualSpacing w:val="1"/>
              <w:jc w:val="center"/>
              <w:rPr>
                <w:sz w:val="22"/>
              </w:rPr>
            </w:pPr>
            <w:r>
              <w:rPr>
                <w:sz w:val="22"/>
              </w:rPr>
              <w:t>ПАО АКБ "Связь-Банк"</w:t>
            </w:r>
          </w:p>
        </w:tc>
        <w:tc>
          <w:tcPr>
            <w:tcW w:type="dxa" w:w="1408"/>
            <w:tcBorders>
              <w:top w:color="000000" w:sz="4" w:val="single"/>
              <w:left w:color="000000" w:sz="4" w:val="single"/>
              <w:bottom w:color="000000" w:sz="4" w:val="single"/>
              <w:right w:color="000000" w:sz="4" w:val="single"/>
            </w:tcBorders>
            <w:shd w:fill="FFFFFF" w:val="clear"/>
            <w:vAlign w:val="center"/>
          </w:tcPr>
          <w:p w14:paraId="D1280000">
            <w:pPr>
              <w:widowControl w:val="1"/>
              <w:ind/>
              <w:contextualSpacing w:val="1"/>
              <w:jc w:val="center"/>
              <w:rPr>
                <w:sz w:val="22"/>
              </w:rPr>
            </w:pPr>
            <w:r>
              <w:rPr>
                <w:sz w:val="22"/>
              </w:rPr>
              <w:t>договор № 002/2018 от 23.10.2018</w:t>
            </w:r>
          </w:p>
        </w:tc>
        <w:tc>
          <w:tcPr>
            <w:tcW w:type="dxa" w:w="1274"/>
            <w:tcBorders>
              <w:top w:color="000000" w:sz="4" w:val="single"/>
              <w:left w:color="000000" w:sz="4" w:val="single"/>
              <w:bottom w:color="000000" w:sz="4" w:val="single"/>
              <w:right w:color="000000" w:sz="4" w:val="single"/>
            </w:tcBorders>
            <w:shd w:fill="FFFFFF" w:val="clear"/>
            <w:vAlign w:val="center"/>
          </w:tcPr>
          <w:p w14:paraId="D2280000">
            <w:pPr>
              <w:widowControl w:val="1"/>
              <w:ind/>
              <w:contextualSpacing w:val="1"/>
              <w:jc w:val="center"/>
              <w:rPr>
                <w:sz w:val="22"/>
              </w:rPr>
            </w:pPr>
            <w:r>
              <w:rPr>
                <w:sz w:val="22"/>
              </w:rPr>
              <w:t>23.10.2018-22.08.2019</w:t>
            </w:r>
          </w:p>
        </w:tc>
        <w:tc>
          <w:tcPr>
            <w:tcW w:type="dxa" w:w="1556"/>
            <w:tcBorders>
              <w:top w:color="000000" w:sz="4" w:val="single"/>
              <w:left w:color="000000" w:sz="4" w:val="single"/>
              <w:bottom w:color="000000" w:sz="4" w:val="single"/>
              <w:right w:color="000000" w:sz="4" w:val="single"/>
            </w:tcBorders>
            <w:shd w:fill="FFFFFF" w:val="clear"/>
            <w:vAlign w:val="center"/>
          </w:tcPr>
          <w:p w14:paraId="D3280000">
            <w:pPr>
              <w:widowControl w:val="1"/>
              <w:ind/>
              <w:contextualSpacing w:val="1"/>
              <w:jc w:val="center"/>
              <w:rPr>
                <w:sz w:val="22"/>
              </w:rPr>
            </w:pPr>
            <w:r>
              <w:rPr>
                <w:sz w:val="22"/>
              </w:rPr>
              <w:t>оказание услуг по предоставлению банковских гарантий возврата НДС в пользу налоговых органов</w:t>
            </w:r>
          </w:p>
        </w:tc>
        <w:tc>
          <w:tcPr>
            <w:tcW w:type="dxa" w:w="1194"/>
            <w:tcBorders>
              <w:top w:color="000000" w:sz="4" w:val="single"/>
              <w:left w:color="000000" w:sz="4" w:val="single"/>
              <w:bottom w:color="000000" w:sz="4" w:val="single"/>
              <w:right w:color="000000" w:sz="4" w:val="single"/>
            </w:tcBorders>
            <w:shd w:fill="FFFFFF" w:val="clear"/>
            <w:vAlign w:val="center"/>
          </w:tcPr>
          <w:p w14:paraId="D4280000">
            <w:pPr>
              <w:widowControl w:val="1"/>
              <w:ind/>
              <w:contextualSpacing w:val="1"/>
              <w:jc w:val="center"/>
              <w:rPr>
                <w:sz w:val="22"/>
              </w:rPr>
            </w:pPr>
            <w:r>
              <w:rPr>
                <w:sz w:val="22"/>
              </w:rPr>
              <w:t>191806,93</w:t>
            </w:r>
          </w:p>
        </w:tc>
        <w:tc>
          <w:tcPr>
            <w:tcW w:type="dxa" w:w="1221"/>
            <w:tcBorders>
              <w:top w:color="000000" w:sz="4" w:val="single"/>
              <w:left w:color="000000" w:sz="4" w:val="single"/>
              <w:bottom w:color="000000" w:sz="4" w:val="single"/>
              <w:right w:color="000000" w:sz="4" w:val="single"/>
            </w:tcBorders>
            <w:shd w:fill="FFFFFF" w:val="clear"/>
            <w:vAlign w:val="center"/>
          </w:tcPr>
          <w:p w14:paraId="D5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D6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D7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D828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D9280000">
            <w:pPr>
              <w:widowControl w:val="1"/>
              <w:ind/>
              <w:contextualSpacing w:val="1"/>
              <w:jc w:val="center"/>
              <w:rPr>
                <w:sz w:val="22"/>
              </w:rPr>
            </w:pPr>
            <w:r>
              <w:rPr>
                <w:sz w:val="22"/>
              </w:rPr>
              <w:t>СД 22.10.2018 протокол № 5</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DA280000">
            <w:pPr>
              <w:widowControl w:val="1"/>
              <w:ind/>
              <w:contextualSpacing w:val="1"/>
              <w:jc w:val="center"/>
              <w:rPr>
                <w:sz w:val="22"/>
              </w:rPr>
            </w:pPr>
            <w:r>
              <w:rPr>
                <w:sz w:val="22"/>
              </w:rPr>
              <w:t>Размещение заказа у единственного поставщика, согласно пп.28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DB280000">
            <w:pPr>
              <w:widowControl w:val="1"/>
              <w:ind/>
              <w:contextualSpacing w:val="1"/>
              <w:rPr>
                <w:color w:val="000000"/>
                <w:sz w:val="22"/>
              </w:rPr>
            </w:pPr>
            <w:r>
              <w:rPr>
                <w:color w:val="000000"/>
                <w:sz w:val="22"/>
              </w:rPr>
              <w:t>280</w:t>
            </w:r>
          </w:p>
        </w:tc>
        <w:tc>
          <w:tcPr>
            <w:tcW w:type="dxa" w:w="1408"/>
            <w:tcBorders>
              <w:top w:color="000000" w:sz="4" w:val="single"/>
              <w:left w:color="000000" w:sz="4" w:val="single"/>
              <w:bottom w:color="000000" w:sz="4" w:val="single"/>
              <w:right w:color="000000" w:sz="4" w:val="single"/>
            </w:tcBorders>
            <w:shd w:fill="FFFFFF" w:val="clear"/>
            <w:vAlign w:val="center"/>
          </w:tcPr>
          <w:p w14:paraId="DC280000">
            <w:pPr>
              <w:widowControl w:val="1"/>
              <w:ind/>
              <w:contextualSpacing w:val="1"/>
              <w:jc w:val="center"/>
              <w:rPr>
                <w:sz w:val="22"/>
              </w:rPr>
            </w:pPr>
            <w:r>
              <w:rPr>
                <w:sz w:val="22"/>
              </w:rPr>
              <w:t>ФГКУ "УВО ВНГ России по Красноярскому краю"</w:t>
            </w:r>
          </w:p>
        </w:tc>
        <w:tc>
          <w:tcPr>
            <w:tcW w:type="dxa" w:w="1408"/>
            <w:tcBorders>
              <w:top w:color="000000" w:sz="4" w:val="single"/>
              <w:left w:color="000000" w:sz="4" w:val="single"/>
              <w:bottom w:color="000000" w:sz="4" w:val="single"/>
              <w:right w:color="000000" w:sz="4" w:val="single"/>
            </w:tcBorders>
            <w:shd w:fill="FFFFFF" w:val="clear"/>
            <w:vAlign w:val="center"/>
          </w:tcPr>
          <w:p w14:paraId="DD280000">
            <w:pPr>
              <w:widowControl w:val="1"/>
              <w:ind/>
              <w:contextualSpacing w:val="1"/>
              <w:jc w:val="center"/>
              <w:rPr>
                <w:sz w:val="22"/>
              </w:rPr>
            </w:pPr>
            <w:r>
              <w:rPr>
                <w:sz w:val="22"/>
              </w:rPr>
              <w:t>договор № 7/18-100 от 10.10.2018</w:t>
            </w:r>
          </w:p>
        </w:tc>
        <w:tc>
          <w:tcPr>
            <w:tcW w:type="dxa" w:w="1274"/>
            <w:tcBorders>
              <w:top w:color="000000" w:sz="4" w:val="single"/>
              <w:left w:color="000000" w:sz="4" w:val="single"/>
              <w:bottom w:color="000000" w:sz="4" w:val="single"/>
              <w:right w:color="000000" w:sz="4" w:val="single"/>
            </w:tcBorders>
            <w:shd w:fill="FFFFFF" w:val="clear"/>
            <w:vAlign w:val="center"/>
          </w:tcPr>
          <w:p w14:paraId="DE280000">
            <w:pPr>
              <w:widowControl w:val="1"/>
              <w:ind/>
              <w:contextualSpacing w:val="1"/>
              <w:jc w:val="center"/>
              <w:rPr>
                <w:sz w:val="22"/>
              </w:rPr>
            </w:pPr>
            <w:r>
              <w:rPr>
                <w:sz w:val="22"/>
              </w:rPr>
              <w:t>10.10.2018-09.10.2019</w:t>
            </w:r>
          </w:p>
        </w:tc>
        <w:tc>
          <w:tcPr>
            <w:tcW w:type="dxa" w:w="1556"/>
            <w:tcBorders>
              <w:top w:color="000000" w:sz="4" w:val="single"/>
              <w:left w:color="000000" w:sz="4" w:val="single"/>
              <w:bottom w:color="000000" w:sz="4" w:val="single"/>
              <w:right w:color="000000" w:sz="4" w:val="single"/>
            </w:tcBorders>
            <w:shd w:fill="FFFFFF" w:val="clear"/>
            <w:vAlign w:val="center"/>
          </w:tcPr>
          <w:p w14:paraId="DF280000">
            <w:pPr>
              <w:widowControl w:val="1"/>
              <w:ind/>
              <w:contextualSpacing w:val="1"/>
              <w:jc w:val="center"/>
              <w:rPr>
                <w:sz w:val="22"/>
              </w:rPr>
            </w:pPr>
            <w:r>
              <w:rPr>
                <w:sz w:val="22"/>
              </w:rPr>
              <w:t>оказание услуг по централизованному наблюдению за объектом и реагировании на тревожные сообщения (Дивногорск)</w:t>
            </w:r>
          </w:p>
        </w:tc>
        <w:tc>
          <w:tcPr>
            <w:tcW w:type="dxa" w:w="1194"/>
            <w:tcBorders>
              <w:top w:color="000000" w:sz="4" w:val="single"/>
              <w:left w:color="000000" w:sz="4" w:val="single"/>
              <w:bottom w:color="000000" w:sz="4" w:val="single"/>
              <w:right w:color="000000" w:sz="4" w:val="single"/>
            </w:tcBorders>
            <w:shd w:fill="FFFFFF" w:val="clear"/>
            <w:vAlign w:val="center"/>
          </w:tcPr>
          <w:p w14:paraId="E0280000">
            <w:pPr>
              <w:widowControl w:val="1"/>
              <w:ind/>
              <w:contextualSpacing w:val="1"/>
              <w:jc w:val="center"/>
              <w:rPr>
                <w:sz w:val="22"/>
              </w:rPr>
            </w:pPr>
            <w:r>
              <w:rPr>
                <w:sz w:val="22"/>
              </w:rPr>
              <w:t>42431,4</w:t>
            </w:r>
          </w:p>
        </w:tc>
        <w:tc>
          <w:tcPr>
            <w:tcW w:type="dxa" w:w="1221"/>
            <w:tcBorders>
              <w:top w:color="000000" w:sz="4" w:val="single"/>
              <w:left w:color="000000" w:sz="4" w:val="single"/>
              <w:bottom w:color="000000" w:sz="4" w:val="single"/>
              <w:right w:color="000000" w:sz="4" w:val="single"/>
            </w:tcBorders>
            <w:shd w:fill="FFFFFF" w:val="clear"/>
            <w:vAlign w:val="center"/>
          </w:tcPr>
          <w:p w14:paraId="E1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2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3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E428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E5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E6280000">
            <w:pPr>
              <w:widowControl w:val="1"/>
              <w:ind/>
              <w:contextualSpacing w:val="1"/>
              <w:jc w:val="center"/>
              <w:rPr>
                <w:sz w:val="22"/>
              </w:rPr>
            </w:pPr>
            <w:r>
              <w:rPr>
                <w:sz w:val="22"/>
              </w:rPr>
              <w:t>Размещение заказа у единственного поставщика, согласно пп. 28 п. 81  положения утвержденного СД 30.04.2015г. Протокол № 13</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E7280000">
            <w:pPr>
              <w:widowControl w:val="1"/>
              <w:ind/>
              <w:contextualSpacing w:val="1"/>
              <w:rPr>
                <w:color w:val="000000"/>
                <w:sz w:val="22"/>
              </w:rPr>
            </w:pPr>
            <w:r>
              <w:rPr>
                <w:color w:val="000000"/>
                <w:sz w:val="22"/>
              </w:rPr>
              <w:t>281</w:t>
            </w:r>
          </w:p>
        </w:tc>
        <w:tc>
          <w:tcPr>
            <w:tcW w:type="dxa" w:w="1408"/>
            <w:tcBorders>
              <w:top w:color="000000" w:sz="4" w:val="single"/>
              <w:left w:color="000000" w:sz="4" w:val="single"/>
              <w:bottom w:color="000000" w:sz="4" w:val="single"/>
              <w:right w:color="000000" w:sz="4" w:val="single"/>
            </w:tcBorders>
            <w:shd w:fill="FFFFFF" w:val="clear"/>
            <w:vAlign w:val="center"/>
          </w:tcPr>
          <w:p w14:paraId="E8280000">
            <w:pPr>
              <w:widowControl w:val="1"/>
              <w:ind/>
              <w:contextualSpacing w:val="1"/>
              <w:jc w:val="center"/>
              <w:rPr>
                <w:sz w:val="22"/>
              </w:rPr>
            </w:pPr>
            <w:r>
              <w:rPr>
                <w:sz w:val="22"/>
              </w:rPr>
              <w:t>ФГКУ "УВО ВНГ России по Красноярскому краю"</w:t>
            </w:r>
          </w:p>
        </w:tc>
        <w:tc>
          <w:tcPr>
            <w:tcW w:type="dxa" w:w="1408"/>
            <w:tcBorders>
              <w:top w:color="000000" w:sz="4" w:val="single"/>
              <w:left w:color="000000" w:sz="4" w:val="single"/>
              <w:bottom w:color="000000" w:sz="4" w:val="single"/>
              <w:right w:color="000000" w:sz="4" w:val="single"/>
            </w:tcBorders>
            <w:shd w:fill="FFFFFF" w:val="clear"/>
            <w:vAlign w:val="center"/>
          </w:tcPr>
          <w:p w14:paraId="E9280000">
            <w:pPr>
              <w:widowControl w:val="1"/>
              <w:ind/>
              <w:contextualSpacing w:val="1"/>
              <w:jc w:val="center"/>
              <w:rPr>
                <w:sz w:val="22"/>
              </w:rPr>
            </w:pPr>
            <w:r>
              <w:rPr>
                <w:sz w:val="22"/>
              </w:rPr>
              <w:t>договор № 2019197/GSM-R от 26.12.2018</w:t>
            </w:r>
          </w:p>
        </w:tc>
        <w:tc>
          <w:tcPr>
            <w:tcW w:type="dxa" w:w="1274"/>
            <w:tcBorders>
              <w:top w:color="000000" w:sz="4" w:val="single"/>
              <w:left w:color="000000" w:sz="4" w:val="single"/>
              <w:bottom w:color="000000" w:sz="4" w:val="single"/>
              <w:right w:color="000000" w:sz="4" w:val="single"/>
            </w:tcBorders>
            <w:shd w:fill="FFFFFF" w:val="clear"/>
            <w:vAlign w:val="center"/>
          </w:tcPr>
          <w:p w14:paraId="EA280000">
            <w:pPr>
              <w:widowControl w:val="1"/>
              <w:ind/>
              <w:contextualSpacing w:val="1"/>
              <w:jc w:val="center"/>
              <w:rPr>
                <w:sz w:val="22"/>
              </w:rPr>
            </w:pPr>
            <w:r>
              <w:rPr>
                <w:sz w:val="22"/>
              </w:rPr>
              <w:t>01.01.2019-31.12.2019</w:t>
            </w:r>
          </w:p>
        </w:tc>
        <w:tc>
          <w:tcPr>
            <w:tcW w:type="dxa" w:w="1556"/>
            <w:tcBorders>
              <w:top w:color="000000" w:sz="4" w:val="single"/>
              <w:left w:color="000000" w:sz="4" w:val="single"/>
              <w:bottom w:color="000000" w:sz="4" w:val="single"/>
              <w:right w:color="000000" w:sz="4" w:val="single"/>
            </w:tcBorders>
            <w:shd w:fill="FFFFFF" w:val="clear"/>
            <w:vAlign w:val="center"/>
          </w:tcPr>
          <w:p w14:paraId="EB280000">
            <w:pPr>
              <w:widowControl w:val="1"/>
              <w:ind/>
              <w:contextualSpacing w:val="1"/>
              <w:jc w:val="center"/>
              <w:rPr>
                <w:sz w:val="22"/>
              </w:rPr>
            </w:pPr>
            <w:r>
              <w:rPr>
                <w:sz w:val="22"/>
              </w:rPr>
              <w:t>оказание услуг по централизованному наблюдению за объектом и реагировании на тревожные сообщения (Козулька)</w:t>
            </w:r>
          </w:p>
        </w:tc>
        <w:tc>
          <w:tcPr>
            <w:tcW w:type="dxa" w:w="1194"/>
            <w:tcBorders>
              <w:top w:color="000000" w:sz="4" w:val="single"/>
              <w:left w:color="000000" w:sz="4" w:val="single"/>
              <w:bottom w:color="000000" w:sz="4" w:val="single"/>
              <w:right w:color="000000" w:sz="4" w:val="single"/>
            </w:tcBorders>
            <w:shd w:fill="FFFFFF" w:val="clear"/>
            <w:vAlign w:val="center"/>
          </w:tcPr>
          <w:p w14:paraId="EC280000">
            <w:pPr>
              <w:widowControl w:val="1"/>
              <w:ind/>
              <w:contextualSpacing w:val="1"/>
              <w:jc w:val="center"/>
              <w:rPr>
                <w:sz w:val="22"/>
              </w:rPr>
            </w:pPr>
            <w:r>
              <w:rPr>
                <w:sz w:val="22"/>
              </w:rPr>
              <w:t>28287,6</w:t>
            </w:r>
          </w:p>
        </w:tc>
        <w:tc>
          <w:tcPr>
            <w:tcW w:type="dxa" w:w="1221"/>
            <w:tcBorders>
              <w:top w:color="000000" w:sz="4" w:val="single"/>
              <w:left w:color="000000" w:sz="4" w:val="single"/>
              <w:bottom w:color="000000" w:sz="4" w:val="single"/>
              <w:right w:color="000000" w:sz="4" w:val="single"/>
            </w:tcBorders>
            <w:shd w:fill="FFFFFF" w:val="clear"/>
            <w:vAlign w:val="center"/>
          </w:tcPr>
          <w:p w14:paraId="ED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EE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EF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028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F1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F228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708"/>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F3280000">
            <w:pPr>
              <w:widowControl w:val="1"/>
              <w:ind/>
              <w:contextualSpacing w:val="1"/>
              <w:jc w:val="center"/>
              <w:rPr>
                <w:color w:val="000000"/>
                <w:sz w:val="22"/>
              </w:rPr>
            </w:pPr>
            <w:r>
              <w:rPr>
                <w:color w:val="000000"/>
                <w:sz w:val="22"/>
              </w:rPr>
              <w:t>итого по контрагенту ФГКУ "УВО ВНГ России по Красноярскому краю" 70719 руб.</w:t>
            </w:r>
          </w:p>
          <w:p w14:paraId="F428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F5280000">
            <w:pPr>
              <w:widowControl w:val="1"/>
              <w:ind/>
              <w:contextualSpacing w:val="1"/>
              <w:rPr>
                <w:color w:val="000000"/>
                <w:sz w:val="22"/>
              </w:rPr>
            </w:pPr>
            <w:r>
              <w:rPr>
                <w:color w:val="000000"/>
                <w:sz w:val="22"/>
              </w:rPr>
              <w:t>282</w:t>
            </w:r>
          </w:p>
        </w:tc>
        <w:tc>
          <w:tcPr>
            <w:tcW w:type="dxa" w:w="1408"/>
            <w:tcBorders>
              <w:top w:color="000000" w:sz="4" w:val="single"/>
              <w:left w:color="000000" w:sz="4" w:val="single"/>
              <w:bottom w:color="000000" w:sz="4" w:val="single"/>
              <w:right w:color="000000" w:sz="4" w:val="single"/>
            </w:tcBorders>
            <w:shd w:fill="FFFFFF" w:val="clear"/>
            <w:vAlign w:val="center"/>
          </w:tcPr>
          <w:p w14:paraId="F6280000">
            <w:pPr>
              <w:widowControl w:val="1"/>
              <w:ind/>
              <w:contextualSpacing w:val="1"/>
              <w:jc w:val="center"/>
              <w:rPr>
                <w:sz w:val="22"/>
              </w:rPr>
            </w:pPr>
            <w:r>
              <w:rPr>
                <w:sz w:val="22"/>
              </w:rPr>
              <w:t>ФГП "Ведомственная охрана железнодорожного транспорта РФ"</w:t>
            </w:r>
          </w:p>
        </w:tc>
        <w:tc>
          <w:tcPr>
            <w:tcW w:type="dxa" w:w="1408"/>
            <w:tcBorders>
              <w:top w:color="000000" w:sz="4" w:val="single"/>
              <w:left w:color="000000" w:sz="4" w:val="single"/>
              <w:bottom w:color="000000" w:sz="4" w:val="single"/>
              <w:right w:color="000000" w:sz="4" w:val="single"/>
            </w:tcBorders>
            <w:shd w:fill="FFFFFF" w:val="clear"/>
            <w:vAlign w:val="center"/>
          </w:tcPr>
          <w:p w14:paraId="F7280000">
            <w:pPr>
              <w:widowControl w:val="1"/>
              <w:ind/>
              <w:contextualSpacing w:val="1"/>
              <w:jc w:val="center"/>
              <w:rPr>
                <w:sz w:val="22"/>
              </w:rPr>
            </w:pPr>
            <w:r>
              <w:rPr>
                <w:sz w:val="22"/>
              </w:rPr>
              <w:t>договор № НО13/1711 от 26.12.2018</w:t>
            </w:r>
          </w:p>
        </w:tc>
        <w:tc>
          <w:tcPr>
            <w:tcW w:type="dxa" w:w="1274"/>
            <w:tcBorders>
              <w:top w:color="000000" w:sz="4" w:val="single"/>
              <w:left w:color="000000" w:sz="4" w:val="single"/>
              <w:bottom w:color="000000" w:sz="4" w:val="single"/>
              <w:right w:color="000000" w:sz="4" w:val="single"/>
            </w:tcBorders>
            <w:shd w:fill="FFFFFF" w:val="clear"/>
            <w:vAlign w:val="center"/>
          </w:tcPr>
          <w:p w14:paraId="F8280000">
            <w:pPr>
              <w:widowControl w:val="1"/>
              <w:ind/>
              <w:contextualSpacing w:val="1"/>
              <w:jc w:val="center"/>
              <w:rPr>
                <w:sz w:val="22"/>
              </w:rPr>
            </w:pPr>
            <w:r>
              <w:rPr>
                <w:sz w:val="22"/>
              </w:rPr>
              <w:t>01.01.2019-31.12.2019</w:t>
            </w:r>
          </w:p>
        </w:tc>
        <w:tc>
          <w:tcPr>
            <w:tcW w:type="dxa" w:w="1556"/>
            <w:tcBorders>
              <w:top w:color="000000" w:sz="4" w:val="single"/>
              <w:left w:color="000000" w:sz="4" w:val="single"/>
              <w:bottom w:color="000000" w:sz="4" w:val="single"/>
              <w:right w:color="000000" w:sz="4" w:val="single"/>
            </w:tcBorders>
            <w:shd w:fill="FFFFFF" w:val="clear"/>
            <w:vAlign w:val="center"/>
          </w:tcPr>
          <w:p w14:paraId="F9280000">
            <w:pPr>
              <w:widowControl w:val="1"/>
              <w:ind/>
              <w:contextualSpacing w:val="1"/>
              <w:jc w:val="center"/>
              <w:rPr>
                <w:sz w:val="22"/>
              </w:rPr>
            </w:pPr>
            <w:r>
              <w:rPr>
                <w:sz w:val="22"/>
              </w:rPr>
              <w:t>оказание услуг по ликвидации (локализации) чрезвычайных ситуаций</w:t>
            </w:r>
          </w:p>
        </w:tc>
        <w:tc>
          <w:tcPr>
            <w:tcW w:type="dxa" w:w="1194"/>
            <w:tcBorders>
              <w:top w:color="000000" w:sz="4" w:val="single"/>
              <w:left w:color="000000" w:sz="4" w:val="single"/>
              <w:bottom w:color="000000" w:sz="4" w:val="single"/>
              <w:right w:color="000000" w:sz="4" w:val="single"/>
            </w:tcBorders>
            <w:shd w:fill="FFFFFF" w:val="clear"/>
            <w:vAlign w:val="center"/>
          </w:tcPr>
          <w:p w14:paraId="FA280000">
            <w:pPr>
              <w:widowControl w:val="1"/>
              <w:ind/>
              <w:contextualSpacing w:val="1"/>
              <w:jc w:val="center"/>
              <w:rPr>
                <w:sz w:val="22"/>
              </w:rPr>
            </w:pPr>
            <w:r>
              <w:rPr>
                <w:sz w:val="22"/>
              </w:rPr>
              <w:t>463581,58</w:t>
            </w:r>
          </w:p>
        </w:tc>
        <w:tc>
          <w:tcPr>
            <w:tcW w:type="dxa" w:w="1221"/>
            <w:tcBorders>
              <w:top w:color="000000" w:sz="4" w:val="single"/>
              <w:left w:color="000000" w:sz="4" w:val="single"/>
              <w:bottom w:color="000000" w:sz="4" w:val="single"/>
              <w:right w:color="000000" w:sz="4" w:val="single"/>
            </w:tcBorders>
            <w:shd w:fill="FFFFFF" w:val="clear"/>
            <w:vAlign w:val="center"/>
          </w:tcPr>
          <w:p w14:paraId="FB28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FC28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FD28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FE28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FF28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029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01290000">
            <w:pPr>
              <w:widowControl w:val="1"/>
              <w:ind/>
              <w:contextualSpacing w:val="1"/>
              <w:rPr>
                <w:color w:val="000000"/>
                <w:sz w:val="22"/>
              </w:rPr>
            </w:pPr>
            <w:r>
              <w:rPr>
                <w:color w:val="000000"/>
                <w:sz w:val="22"/>
              </w:rPr>
              <w:t>283</w:t>
            </w:r>
          </w:p>
        </w:tc>
        <w:tc>
          <w:tcPr>
            <w:tcW w:type="dxa" w:w="1408"/>
            <w:tcBorders>
              <w:top w:color="000000" w:sz="4" w:val="single"/>
              <w:left w:color="000000" w:sz="4" w:val="single"/>
              <w:bottom w:color="000000" w:sz="4" w:val="single"/>
              <w:right w:color="000000" w:sz="4" w:val="single"/>
            </w:tcBorders>
            <w:shd w:fill="FFFFFF" w:val="clear"/>
            <w:vAlign w:val="center"/>
          </w:tcPr>
          <w:p w14:paraId="02290000">
            <w:pPr>
              <w:widowControl w:val="1"/>
              <w:ind/>
              <w:contextualSpacing w:val="1"/>
              <w:jc w:val="center"/>
              <w:rPr>
                <w:sz w:val="22"/>
              </w:rPr>
            </w:pPr>
            <w:r>
              <w:rPr>
                <w:sz w:val="22"/>
              </w:rPr>
              <w:t>ООО "Глостер"</w:t>
            </w:r>
          </w:p>
        </w:tc>
        <w:tc>
          <w:tcPr>
            <w:tcW w:type="dxa" w:w="1408"/>
            <w:tcBorders>
              <w:top w:color="000000" w:sz="4" w:val="single"/>
              <w:left w:color="000000" w:sz="4" w:val="single"/>
              <w:bottom w:color="000000" w:sz="4" w:val="single"/>
              <w:right w:color="000000" w:sz="4" w:val="single"/>
            </w:tcBorders>
            <w:shd w:fill="FFFFFF" w:val="clear"/>
            <w:vAlign w:val="center"/>
          </w:tcPr>
          <w:p w14:paraId="03290000">
            <w:pPr>
              <w:widowControl w:val="1"/>
              <w:ind/>
              <w:contextualSpacing w:val="1"/>
              <w:jc w:val="center"/>
              <w:rPr>
                <w:sz w:val="22"/>
              </w:rPr>
            </w:pPr>
            <w:r>
              <w:rPr>
                <w:sz w:val="22"/>
              </w:rPr>
              <w:t>договор № 252/18 от 29.10.2018</w:t>
            </w:r>
          </w:p>
        </w:tc>
        <w:tc>
          <w:tcPr>
            <w:tcW w:type="dxa" w:w="1274"/>
            <w:tcBorders>
              <w:top w:color="000000" w:sz="4" w:val="single"/>
              <w:left w:color="000000" w:sz="4" w:val="single"/>
              <w:bottom w:color="000000" w:sz="4" w:val="single"/>
              <w:right w:color="000000" w:sz="4" w:val="single"/>
            </w:tcBorders>
            <w:shd w:fill="FFFFFF" w:val="clear"/>
            <w:vAlign w:val="center"/>
          </w:tcPr>
          <w:p w14:paraId="04290000">
            <w:pPr>
              <w:widowControl w:val="1"/>
              <w:ind/>
              <w:contextualSpacing w:val="1"/>
              <w:jc w:val="center"/>
              <w:rPr>
                <w:sz w:val="22"/>
              </w:rPr>
            </w:pPr>
            <w:r>
              <w:rPr>
                <w:sz w:val="22"/>
              </w:rPr>
              <w:t>29.10.2018-31.08.2019</w:t>
            </w:r>
          </w:p>
        </w:tc>
        <w:tc>
          <w:tcPr>
            <w:tcW w:type="dxa" w:w="1556"/>
            <w:tcBorders>
              <w:top w:color="000000" w:sz="4" w:val="single"/>
              <w:left w:color="000000" w:sz="4" w:val="single"/>
              <w:bottom w:color="000000" w:sz="4" w:val="single"/>
              <w:right w:color="000000" w:sz="4" w:val="single"/>
            </w:tcBorders>
            <w:shd w:fill="FFFFFF" w:val="clear"/>
            <w:vAlign w:val="center"/>
          </w:tcPr>
          <w:p w14:paraId="05290000">
            <w:pPr>
              <w:widowControl w:val="1"/>
              <w:ind/>
              <w:contextualSpacing w:val="1"/>
              <w:jc w:val="center"/>
              <w:rPr>
                <w:sz w:val="22"/>
              </w:rPr>
            </w:pPr>
            <w:r>
              <w:rPr>
                <w:sz w:val="22"/>
              </w:rPr>
              <w:t>поставка нефтепродуктов (АИ-92)</w:t>
            </w:r>
          </w:p>
        </w:tc>
        <w:tc>
          <w:tcPr>
            <w:tcW w:type="dxa" w:w="1194"/>
            <w:tcBorders>
              <w:top w:color="000000" w:sz="4" w:val="single"/>
              <w:left w:color="000000" w:sz="4" w:val="single"/>
              <w:bottom w:color="000000" w:sz="4" w:val="single"/>
              <w:right w:color="000000" w:sz="4" w:val="single"/>
            </w:tcBorders>
            <w:shd w:fill="FFFFFF" w:val="clear"/>
            <w:vAlign w:val="center"/>
          </w:tcPr>
          <w:p w14:paraId="06290000">
            <w:pPr>
              <w:widowControl w:val="1"/>
              <w:ind/>
              <w:contextualSpacing w:val="1"/>
              <w:jc w:val="center"/>
              <w:rPr>
                <w:sz w:val="22"/>
              </w:rPr>
            </w:pPr>
            <w:r>
              <w:rPr>
                <w:sz w:val="22"/>
              </w:rPr>
              <w:t>549900</w:t>
            </w:r>
          </w:p>
        </w:tc>
        <w:tc>
          <w:tcPr>
            <w:tcW w:type="dxa" w:w="1221"/>
            <w:tcBorders>
              <w:top w:color="000000" w:sz="4" w:val="single"/>
              <w:left w:color="000000" w:sz="4" w:val="single"/>
              <w:bottom w:color="000000" w:sz="4" w:val="single"/>
              <w:right w:color="000000" w:sz="4" w:val="single"/>
            </w:tcBorders>
            <w:shd w:fill="FFFFFF" w:val="clear"/>
            <w:vAlign w:val="center"/>
          </w:tcPr>
          <w:p w14:paraId="07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08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09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0A290000">
            <w:pPr>
              <w:widowControl w:val="1"/>
              <w:ind/>
              <w:contextualSpacing w:val="1"/>
              <w:jc w:val="center"/>
              <w:rPr>
                <w:color w:val="000000"/>
                <w:sz w:val="22"/>
              </w:rPr>
            </w:pPr>
            <w:r>
              <w:rPr>
                <w:color w:val="000000"/>
                <w:sz w:val="22"/>
              </w:rPr>
              <w:t>выполняется</w:t>
            </w:r>
          </w:p>
        </w:tc>
        <w:tc>
          <w:tcPr>
            <w:tcW w:type="dxa" w:w="1345"/>
            <w:tcBorders>
              <w:top w:color="000000" w:sz="4" w:val="single"/>
              <w:left w:color="000000" w:sz="4" w:val="single"/>
              <w:bottom w:color="000000" w:sz="4" w:val="single"/>
              <w:right w:color="000000" w:sz="4" w:val="single"/>
            </w:tcBorders>
            <w:shd w:fill="FFFFFF" w:val="clear"/>
            <w:vAlign w:val="center"/>
          </w:tcPr>
          <w:p w14:paraId="0B2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0C290000">
            <w:pPr>
              <w:widowControl w:val="1"/>
              <w:ind/>
              <w:contextualSpacing w:val="1"/>
              <w:jc w:val="center"/>
              <w:rPr>
                <w:sz w:val="22"/>
              </w:rPr>
            </w:pPr>
            <w:r>
              <w:rPr>
                <w:sz w:val="22"/>
              </w:rPr>
              <w:t>протокол КК № 11 от 16.10.2018</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0D290000">
            <w:pPr>
              <w:widowControl w:val="1"/>
              <w:ind/>
              <w:contextualSpacing w:val="1"/>
              <w:rPr>
                <w:color w:val="000000"/>
                <w:sz w:val="22"/>
              </w:rPr>
            </w:pPr>
            <w:r>
              <w:rPr>
                <w:color w:val="000000"/>
                <w:sz w:val="22"/>
              </w:rPr>
              <w:t>284</w:t>
            </w:r>
          </w:p>
        </w:tc>
        <w:tc>
          <w:tcPr>
            <w:tcW w:type="dxa" w:w="1408"/>
            <w:tcBorders>
              <w:top w:color="000000" w:sz="4" w:val="single"/>
              <w:left w:color="000000" w:sz="4" w:val="single"/>
              <w:bottom w:color="000000" w:sz="4" w:val="single"/>
              <w:right w:color="000000" w:sz="4" w:val="single"/>
            </w:tcBorders>
            <w:shd w:fill="FFFFFF" w:val="clear"/>
            <w:vAlign w:val="center"/>
          </w:tcPr>
          <w:p w14:paraId="0E290000">
            <w:pPr>
              <w:widowControl w:val="1"/>
              <w:ind/>
              <w:contextualSpacing w:val="1"/>
              <w:jc w:val="center"/>
              <w:rPr>
                <w:sz w:val="22"/>
              </w:rPr>
            </w:pPr>
            <w:r>
              <w:rPr>
                <w:sz w:val="22"/>
              </w:rPr>
              <w:t>ООО "КМК-Трейд"</w:t>
            </w:r>
          </w:p>
        </w:tc>
        <w:tc>
          <w:tcPr>
            <w:tcW w:type="dxa" w:w="1408"/>
            <w:tcBorders>
              <w:top w:color="000000" w:sz="4" w:val="single"/>
              <w:left w:color="000000" w:sz="4" w:val="single"/>
              <w:bottom w:color="000000" w:sz="4" w:val="single"/>
              <w:right w:color="000000" w:sz="4" w:val="single"/>
            </w:tcBorders>
            <w:shd w:fill="FFFFFF" w:val="clear"/>
            <w:vAlign w:val="center"/>
          </w:tcPr>
          <w:p w14:paraId="0F290000">
            <w:pPr>
              <w:widowControl w:val="1"/>
              <w:ind/>
              <w:contextualSpacing w:val="1"/>
              <w:jc w:val="center"/>
              <w:rPr>
                <w:sz w:val="22"/>
              </w:rPr>
            </w:pPr>
            <w:r>
              <w:rPr>
                <w:sz w:val="22"/>
              </w:rPr>
              <w:t>договор № 125 от 23.11.2018</w:t>
            </w:r>
          </w:p>
        </w:tc>
        <w:tc>
          <w:tcPr>
            <w:tcW w:type="dxa" w:w="1274"/>
            <w:tcBorders>
              <w:top w:color="000000" w:sz="4" w:val="single"/>
              <w:left w:color="000000" w:sz="4" w:val="single"/>
              <w:bottom w:color="000000" w:sz="4" w:val="single"/>
              <w:right w:color="000000" w:sz="4" w:val="single"/>
            </w:tcBorders>
            <w:shd w:fill="FFFFFF" w:val="clear"/>
            <w:vAlign w:val="center"/>
          </w:tcPr>
          <w:p w14:paraId="10290000">
            <w:pPr>
              <w:widowControl w:val="1"/>
              <w:ind/>
              <w:contextualSpacing w:val="1"/>
              <w:jc w:val="center"/>
              <w:rPr>
                <w:sz w:val="22"/>
              </w:rPr>
            </w:pPr>
            <w:r>
              <w:rPr>
                <w:sz w:val="22"/>
              </w:rPr>
              <w:t>23.11.2018-30.11.2018</w:t>
            </w:r>
          </w:p>
        </w:tc>
        <w:tc>
          <w:tcPr>
            <w:tcW w:type="dxa" w:w="1556"/>
            <w:tcBorders>
              <w:top w:color="000000" w:sz="4" w:val="single"/>
              <w:left w:color="000000" w:sz="4" w:val="single"/>
              <w:bottom w:color="000000" w:sz="4" w:val="single"/>
              <w:right w:color="000000" w:sz="4" w:val="single"/>
            </w:tcBorders>
            <w:shd w:fill="FFFFFF" w:val="clear"/>
            <w:vAlign w:val="center"/>
          </w:tcPr>
          <w:p w14:paraId="11290000">
            <w:pPr>
              <w:widowControl w:val="1"/>
              <w:ind/>
              <w:contextualSpacing w:val="1"/>
              <w:jc w:val="center"/>
              <w:rPr>
                <w:sz w:val="22"/>
              </w:rPr>
            </w:pPr>
            <w:r>
              <w:rPr>
                <w:sz w:val="22"/>
              </w:rPr>
              <w:t>поставка расходных материалов для оргтехники</w:t>
            </w:r>
          </w:p>
        </w:tc>
        <w:tc>
          <w:tcPr>
            <w:tcW w:type="dxa" w:w="1194"/>
            <w:tcBorders>
              <w:top w:color="000000" w:sz="4" w:val="single"/>
              <w:left w:color="000000" w:sz="4" w:val="single"/>
              <w:bottom w:color="000000" w:sz="4" w:val="single"/>
              <w:right w:color="000000" w:sz="4" w:val="single"/>
            </w:tcBorders>
            <w:shd w:fill="FFFFFF" w:val="clear"/>
            <w:vAlign w:val="center"/>
          </w:tcPr>
          <w:p w14:paraId="12290000">
            <w:pPr>
              <w:widowControl w:val="1"/>
              <w:ind/>
              <w:contextualSpacing w:val="1"/>
              <w:jc w:val="center"/>
              <w:rPr>
                <w:sz w:val="22"/>
              </w:rPr>
            </w:pPr>
            <w:r>
              <w:rPr>
                <w:sz w:val="22"/>
              </w:rPr>
              <w:t>294254,4</w:t>
            </w:r>
          </w:p>
        </w:tc>
        <w:tc>
          <w:tcPr>
            <w:tcW w:type="dxa" w:w="1221"/>
            <w:tcBorders>
              <w:top w:color="000000" w:sz="4" w:val="single"/>
              <w:left w:color="000000" w:sz="4" w:val="single"/>
              <w:bottom w:color="000000" w:sz="4" w:val="single"/>
              <w:right w:color="000000" w:sz="4" w:val="single"/>
            </w:tcBorders>
            <w:shd w:fill="FFFFFF" w:val="clear"/>
            <w:vAlign w:val="center"/>
          </w:tcPr>
          <w:p w14:paraId="13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14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15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1629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172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18290000">
            <w:pPr>
              <w:widowControl w:val="1"/>
              <w:ind/>
              <w:contextualSpacing w:val="1"/>
              <w:jc w:val="center"/>
              <w:rPr>
                <w:sz w:val="22"/>
              </w:rPr>
            </w:pPr>
            <w:r>
              <w:rPr>
                <w:sz w:val="22"/>
              </w:rPr>
              <w:t>Протокол проведения открытого аукциона в электронной форме № 27379/ОАЭ-АО «Краспригород»/2018/КРА/2 от 06.11.2018</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19290000">
            <w:pPr>
              <w:widowControl w:val="1"/>
              <w:ind/>
              <w:contextualSpacing w:val="1"/>
              <w:rPr>
                <w:color w:val="000000"/>
                <w:sz w:val="22"/>
              </w:rPr>
            </w:pPr>
            <w:r>
              <w:rPr>
                <w:color w:val="000000"/>
                <w:sz w:val="22"/>
              </w:rPr>
              <w:t>285</w:t>
            </w:r>
          </w:p>
        </w:tc>
        <w:tc>
          <w:tcPr>
            <w:tcW w:type="dxa" w:w="1408"/>
            <w:tcBorders>
              <w:top w:color="000000" w:sz="4" w:val="single"/>
              <w:left w:color="000000" w:sz="4" w:val="single"/>
              <w:bottom w:color="000000" w:sz="4" w:val="single"/>
              <w:right w:color="000000" w:sz="4" w:val="single"/>
            </w:tcBorders>
            <w:shd w:fill="FFFFFF" w:val="clear"/>
            <w:vAlign w:val="center"/>
          </w:tcPr>
          <w:p w14:paraId="1A290000">
            <w:pPr>
              <w:widowControl w:val="1"/>
              <w:ind/>
              <w:contextualSpacing w:val="1"/>
              <w:jc w:val="center"/>
              <w:rPr>
                <w:sz w:val="22"/>
              </w:rPr>
            </w:pPr>
            <w:r>
              <w:rPr>
                <w:sz w:val="22"/>
              </w:rPr>
              <w:t>ООО "КСК24"</w:t>
            </w:r>
          </w:p>
        </w:tc>
        <w:tc>
          <w:tcPr>
            <w:tcW w:type="dxa" w:w="1408"/>
            <w:tcBorders>
              <w:top w:color="000000" w:sz="4" w:val="single"/>
              <w:left w:color="000000" w:sz="4" w:val="single"/>
              <w:bottom w:color="000000" w:sz="4" w:val="single"/>
              <w:right w:color="000000" w:sz="4" w:val="single"/>
            </w:tcBorders>
            <w:shd w:fill="FFFFFF" w:val="clear"/>
            <w:vAlign w:val="center"/>
          </w:tcPr>
          <w:p w14:paraId="1B290000">
            <w:pPr>
              <w:widowControl w:val="1"/>
              <w:ind/>
              <w:contextualSpacing w:val="1"/>
              <w:jc w:val="center"/>
              <w:rPr>
                <w:sz w:val="22"/>
              </w:rPr>
            </w:pPr>
            <w:r>
              <w:rPr>
                <w:sz w:val="22"/>
              </w:rPr>
              <w:t>счет № 81 от 03.10.2018</w:t>
            </w:r>
          </w:p>
        </w:tc>
        <w:tc>
          <w:tcPr>
            <w:tcW w:type="dxa" w:w="1274"/>
            <w:tcBorders>
              <w:top w:color="000000" w:sz="4" w:val="single"/>
              <w:left w:color="000000" w:sz="4" w:val="single"/>
              <w:bottom w:color="000000" w:sz="4" w:val="single"/>
              <w:right w:color="000000" w:sz="4" w:val="single"/>
            </w:tcBorders>
            <w:shd w:fill="FFFFFF" w:val="clear"/>
            <w:vAlign w:val="center"/>
          </w:tcPr>
          <w:p w14:paraId="1C290000">
            <w:pPr>
              <w:widowControl w:val="1"/>
              <w:ind/>
              <w:contextualSpacing w:val="1"/>
              <w:jc w:val="center"/>
              <w:rPr>
                <w:sz w:val="22"/>
              </w:rPr>
            </w:pPr>
            <w:r>
              <w:rPr>
                <w:sz w:val="22"/>
              </w:rPr>
              <w:t>03.10.2018-20.10.2018</w:t>
            </w:r>
          </w:p>
        </w:tc>
        <w:tc>
          <w:tcPr>
            <w:tcW w:type="dxa" w:w="1556"/>
            <w:tcBorders>
              <w:top w:color="000000" w:sz="4" w:val="single"/>
              <w:left w:color="000000" w:sz="4" w:val="single"/>
              <w:bottom w:color="000000" w:sz="4" w:val="single"/>
              <w:right w:color="000000" w:sz="4" w:val="single"/>
            </w:tcBorders>
            <w:shd w:fill="FFFFFF" w:val="clear"/>
            <w:vAlign w:val="center"/>
          </w:tcPr>
          <w:p w14:paraId="1D290000">
            <w:pPr>
              <w:widowControl w:val="1"/>
              <w:ind/>
              <w:contextualSpacing w:val="1"/>
              <w:jc w:val="center"/>
              <w:rPr>
                <w:sz w:val="22"/>
              </w:rPr>
            </w:pPr>
            <w:r>
              <w:rPr>
                <w:sz w:val="22"/>
              </w:rPr>
              <w:t>оказание услуг по организации соединительной линии</w:t>
            </w:r>
          </w:p>
        </w:tc>
        <w:tc>
          <w:tcPr>
            <w:tcW w:type="dxa" w:w="1194"/>
            <w:tcBorders>
              <w:top w:color="000000" w:sz="4" w:val="single"/>
              <w:left w:color="000000" w:sz="4" w:val="single"/>
              <w:bottom w:color="000000" w:sz="4" w:val="single"/>
              <w:right w:color="000000" w:sz="4" w:val="single"/>
            </w:tcBorders>
            <w:shd w:fill="FFFFFF" w:val="clear"/>
            <w:vAlign w:val="center"/>
          </w:tcPr>
          <w:p w14:paraId="1E290000">
            <w:pPr>
              <w:widowControl w:val="1"/>
              <w:ind/>
              <w:contextualSpacing w:val="1"/>
              <w:jc w:val="center"/>
              <w:rPr>
                <w:sz w:val="22"/>
              </w:rPr>
            </w:pPr>
            <w:r>
              <w:rPr>
                <w:sz w:val="22"/>
              </w:rPr>
              <w:t>9600,00</w:t>
            </w:r>
          </w:p>
        </w:tc>
        <w:tc>
          <w:tcPr>
            <w:tcW w:type="dxa" w:w="1221"/>
            <w:tcBorders>
              <w:top w:color="000000" w:sz="4" w:val="single"/>
              <w:left w:color="000000" w:sz="4" w:val="single"/>
              <w:bottom w:color="000000" w:sz="4" w:val="single"/>
              <w:right w:color="000000" w:sz="4" w:val="single"/>
            </w:tcBorders>
            <w:shd w:fill="FFFFFF" w:val="clear"/>
            <w:vAlign w:val="center"/>
          </w:tcPr>
          <w:p w14:paraId="1F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0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1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229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232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2429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25290000">
            <w:pPr>
              <w:widowControl w:val="1"/>
              <w:ind/>
              <w:contextualSpacing w:val="1"/>
              <w:rPr>
                <w:color w:val="000000"/>
                <w:sz w:val="22"/>
              </w:rPr>
            </w:pPr>
            <w:r>
              <w:rPr>
                <w:color w:val="000000"/>
                <w:sz w:val="22"/>
              </w:rPr>
              <w:t>286</w:t>
            </w:r>
          </w:p>
        </w:tc>
        <w:tc>
          <w:tcPr>
            <w:tcW w:type="dxa" w:w="1408"/>
            <w:tcBorders>
              <w:top w:color="000000" w:sz="4" w:val="single"/>
              <w:left w:color="000000" w:sz="4" w:val="single"/>
              <w:bottom w:color="000000" w:sz="4" w:val="single"/>
              <w:right w:color="000000" w:sz="4" w:val="single"/>
            </w:tcBorders>
            <w:shd w:fill="FFFFFF" w:val="clear"/>
            <w:vAlign w:val="center"/>
          </w:tcPr>
          <w:p w14:paraId="26290000">
            <w:pPr>
              <w:widowControl w:val="1"/>
              <w:ind/>
              <w:contextualSpacing w:val="1"/>
              <w:jc w:val="center"/>
              <w:rPr>
                <w:sz w:val="22"/>
              </w:rPr>
            </w:pPr>
            <w:r>
              <w:rPr>
                <w:sz w:val="22"/>
              </w:rPr>
              <w:t>ИП Пасичниченко В.В.</w:t>
            </w:r>
          </w:p>
        </w:tc>
        <w:tc>
          <w:tcPr>
            <w:tcW w:type="dxa" w:w="1408"/>
            <w:tcBorders>
              <w:top w:color="000000" w:sz="4" w:val="single"/>
              <w:left w:color="000000" w:sz="4" w:val="single"/>
              <w:bottom w:color="000000" w:sz="4" w:val="single"/>
              <w:right w:color="000000" w:sz="4" w:val="single"/>
            </w:tcBorders>
            <w:shd w:fill="FFFFFF" w:val="clear"/>
            <w:vAlign w:val="center"/>
          </w:tcPr>
          <w:p w14:paraId="27290000">
            <w:pPr>
              <w:widowControl w:val="1"/>
              <w:ind/>
              <w:contextualSpacing w:val="1"/>
              <w:jc w:val="center"/>
              <w:rPr>
                <w:sz w:val="22"/>
              </w:rPr>
            </w:pPr>
            <w:r>
              <w:rPr>
                <w:sz w:val="22"/>
              </w:rPr>
              <w:t>счет 255 от 27.10.2018</w:t>
            </w:r>
          </w:p>
        </w:tc>
        <w:tc>
          <w:tcPr>
            <w:tcW w:type="dxa" w:w="1274"/>
            <w:tcBorders>
              <w:top w:color="000000" w:sz="4" w:val="single"/>
              <w:left w:color="000000" w:sz="4" w:val="single"/>
              <w:bottom w:color="000000" w:sz="4" w:val="single"/>
              <w:right w:color="000000" w:sz="4" w:val="single"/>
            </w:tcBorders>
            <w:shd w:fill="FFFFFF" w:val="clear"/>
            <w:vAlign w:val="center"/>
          </w:tcPr>
          <w:p w14:paraId="28290000">
            <w:pPr>
              <w:widowControl w:val="1"/>
              <w:ind/>
              <w:contextualSpacing w:val="1"/>
              <w:jc w:val="center"/>
              <w:rPr>
                <w:sz w:val="22"/>
              </w:rPr>
            </w:pPr>
            <w:r>
              <w:rPr>
                <w:sz w:val="22"/>
              </w:rPr>
              <w:t>27.10.2018-31.10.2018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29290000">
            <w:pPr>
              <w:widowControl w:val="1"/>
              <w:ind/>
              <w:contextualSpacing w:val="1"/>
              <w:jc w:val="center"/>
              <w:rPr>
                <w:sz w:val="22"/>
              </w:rPr>
            </w:pPr>
            <w:r>
              <w:rPr>
                <w:sz w:val="22"/>
              </w:rPr>
              <w:t>оказание услуг по техническому обслуживанию автомобиля</w:t>
            </w:r>
          </w:p>
        </w:tc>
        <w:tc>
          <w:tcPr>
            <w:tcW w:type="dxa" w:w="1194"/>
            <w:tcBorders>
              <w:top w:color="000000" w:sz="4" w:val="single"/>
              <w:left w:color="000000" w:sz="4" w:val="single"/>
              <w:bottom w:color="000000" w:sz="4" w:val="single"/>
              <w:right w:color="000000" w:sz="4" w:val="single"/>
            </w:tcBorders>
            <w:shd w:fill="FFFFFF" w:val="clear"/>
            <w:vAlign w:val="center"/>
          </w:tcPr>
          <w:p w14:paraId="2A290000">
            <w:pPr>
              <w:widowControl w:val="1"/>
              <w:ind/>
              <w:contextualSpacing w:val="1"/>
              <w:jc w:val="center"/>
              <w:rPr>
                <w:sz w:val="22"/>
              </w:rPr>
            </w:pPr>
            <w:r>
              <w:rPr>
                <w:sz w:val="22"/>
              </w:rPr>
              <w:t>10283,00</w:t>
            </w:r>
          </w:p>
        </w:tc>
        <w:tc>
          <w:tcPr>
            <w:tcW w:type="dxa" w:w="1221"/>
            <w:tcBorders>
              <w:top w:color="000000" w:sz="4" w:val="single"/>
              <w:left w:color="000000" w:sz="4" w:val="single"/>
              <w:bottom w:color="000000" w:sz="4" w:val="single"/>
              <w:right w:color="000000" w:sz="4" w:val="single"/>
            </w:tcBorders>
            <w:shd w:fill="FFFFFF" w:val="clear"/>
            <w:vAlign w:val="center"/>
          </w:tcPr>
          <w:p w14:paraId="2B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2C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2D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2E29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2F2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0290000">
            <w:pPr>
              <w:widowControl w:val="1"/>
              <w:ind/>
              <w:contextualSpacing w:val="1"/>
              <w:jc w:val="center"/>
              <w:rPr>
                <w:sz w:val="22"/>
              </w:rPr>
            </w:pPr>
            <w:r>
              <w:rPr>
                <w:sz w:val="22"/>
              </w:rPr>
              <w:t>Размещение заказа у единственного поставщика, согласно пп.29п.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1290000">
            <w:pPr>
              <w:widowControl w:val="1"/>
              <w:ind/>
              <w:contextualSpacing w:val="1"/>
              <w:rPr>
                <w:color w:val="000000"/>
                <w:sz w:val="22"/>
              </w:rPr>
            </w:pPr>
            <w:r>
              <w:rPr>
                <w:color w:val="000000"/>
                <w:sz w:val="22"/>
              </w:rPr>
              <w:t>287</w:t>
            </w:r>
          </w:p>
        </w:tc>
        <w:tc>
          <w:tcPr>
            <w:tcW w:type="dxa" w:w="1408"/>
            <w:tcBorders>
              <w:top w:color="000000" w:sz="4" w:val="single"/>
              <w:left w:color="000000" w:sz="4" w:val="single"/>
              <w:bottom w:color="000000" w:sz="4" w:val="single"/>
              <w:right w:color="000000" w:sz="4" w:val="single"/>
            </w:tcBorders>
            <w:shd w:fill="FFFFFF" w:val="clear"/>
            <w:vAlign w:val="center"/>
          </w:tcPr>
          <w:p w14:paraId="32290000">
            <w:pPr>
              <w:widowControl w:val="1"/>
              <w:ind/>
              <w:contextualSpacing w:val="1"/>
              <w:jc w:val="center"/>
              <w:rPr>
                <w:sz w:val="22"/>
              </w:rPr>
            </w:pPr>
            <w:r>
              <w:rPr>
                <w:sz w:val="22"/>
              </w:rPr>
              <w:t>ООО "Хэдхантер"</w:t>
            </w:r>
          </w:p>
        </w:tc>
        <w:tc>
          <w:tcPr>
            <w:tcW w:type="dxa" w:w="1408"/>
            <w:tcBorders>
              <w:top w:color="000000" w:sz="4" w:val="single"/>
              <w:left w:color="000000" w:sz="4" w:val="single"/>
              <w:bottom w:color="000000" w:sz="4" w:val="single"/>
              <w:right w:color="000000" w:sz="4" w:val="single"/>
            </w:tcBorders>
            <w:shd w:fill="FFFFFF" w:val="clear"/>
            <w:vAlign w:val="center"/>
          </w:tcPr>
          <w:p w14:paraId="33290000">
            <w:pPr>
              <w:widowControl w:val="1"/>
              <w:ind/>
              <w:contextualSpacing w:val="1"/>
              <w:jc w:val="center"/>
              <w:rPr>
                <w:sz w:val="22"/>
              </w:rPr>
            </w:pPr>
            <w:r>
              <w:rPr>
                <w:sz w:val="22"/>
              </w:rPr>
              <w:t>счет № 96155/11 от 22.10.2018</w:t>
            </w:r>
          </w:p>
        </w:tc>
        <w:tc>
          <w:tcPr>
            <w:tcW w:type="dxa" w:w="1274"/>
            <w:tcBorders>
              <w:top w:color="000000" w:sz="4" w:val="single"/>
              <w:left w:color="000000" w:sz="4" w:val="single"/>
              <w:bottom w:color="000000" w:sz="4" w:val="single"/>
              <w:right w:color="000000" w:sz="4" w:val="single"/>
            </w:tcBorders>
            <w:shd w:fill="FFFFFF" w:val="clear"/>
            <w:vAlign w:val="center"/>
          </w:tcPr>
          <w:p w14:paraId="34290000">
            <w:pPr>
              <w:widowControl w:val="1"/>
              <w:ind/>
              <w:contextualSpacing w:val="1"/>
              <w:jc w:val="center"/>
              <w:rPr>
                <w:sz w:val="22"/>
              </w:rPr>
            </w:pPr>
            <w:r>
              <w:rPr>
                <w:sz w:val="22"/>
              </w:rPr>
              <w:t>22.10.2018-31.10.2018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35290000">
            <w:pPr>
              <w:widowControl w:val="1"/>
              <w:ind/>
              <w:contextualSpacing w:val="1"/>
              <w:jc w:val="center"/>
              <w:rPr>
                <w:sz w:val="22"/>
              </w:rPr>
            </w:pPr>
            <w:r>
              <w:rPr>
                <w:sz w:val="22"/>
              </w:rPr>
              <w:t>оказание информационных услуг</w:t>
            </w:r>
          </w:p>
        </w:tc>
        <w:tc>
          <w:tcPr>
            <w:tcW w:type="dxa" w:w="1194"/>
            <w:tcBorders>
              <w:top w:color="000000" w:sz="4" w:val="single"/>
              <w:left w:color="000000" w:sz="4" w:val="single"/>
              <w:bottom w:color="000000" w:sz="4" w:val="single"/>
              <w:right w:color="000000" w:sz="4" w:val="single"/>
            </w:tcBorders>
            <w:shd w:fill="FFFFFF" w:val="clear"/>
            <w:vAlign w:val="center"/>
          </w:tcPr>
          <w:p w14:paraId="36290000">
            <w:pPr>
              <w:widowControl w:val="1"/>
              <w:ind/>
              <w:contextualSpacing w:val="1"/>
              <w:jc w:val="center"/>
              <w:rPr>
                <w:sz w:val="22"/>
              </w:rPr>
            </w:pPr>
            <w:r>
              <w:rPr>
                <w:sz w:val="22"/>
              </w:rPr>
              <w:t>1500,00</w:t>
            </w:r>
          </w:p>
        </w:tc>
        <w:tc>
          <w:tcPr>
            <w:tcW w:type="dxa" w:w="1221"/>
            <w:tcBorders>
              <w:top w:color="000000" w:sz="4" w:val="single"/>
              <w:left w:color="000000" w:sz="4" w:val="single"/>
              <w:bottom w:color="000000" w:sz="4" w:val="single"/>
              <w:right w:color="000000" w:sz="4" w:val="single"/>
            </w:tcBorders>
            <w:shd w:fill="FFFFFF" w:val="clear"/>
            <w:vAlign w:val="center"/>
          </w:tcPr>
          <w:p w14:paraId="37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38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39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3A29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3B2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3C29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3D290000">
            <w:pPr>
              <w:widowControl w:val="1"/>
              <w:ind/>
              <w:contextualSpacing w:val="1"/>
              <w:rPr>
                <w:color w:val="000000"/>
                <w:sz w:val="22"/>
              </w:rPr>
            </w:pPr>
            <w:r>
              <w:rPr>
                <w:color w:val="000000"/>
                <w:sz w:val="22"/>
              </w:rPr>
              <w:t>288</w:t>
            </w:r>
          </w:p>
        </w:tc>
        <w:tc>
          <w:tcPr>
            <w:tcW w:type="dxa" w:w="1408"/>
            <w:tcBorders>
              <w:top w:color="000000" w:sz="4" w:val="single"/>
              <w:left w:color="000000" w:sz="4" w:val="single"/>
              <w:bottom w:color="000000" w:sz="4" w:val="single"/>
              <w:right w:color="000000" w:sz="4" w:val="single"/>
            </w:tcBorders>
            <w:shd w:fill="FFFFFF" w:val="clear"/>
            <w:vAlign w:val="center"/>
          </w:tcPr>
          <w:p w14:paraId="3E290000">
            <w:pPr>
              <w:widowControl w:val="1"/>
              <w:ind/>
              <w:contextualSpacing w:val="1"/>
              <w:jc w:val="center"/>
              <w:rPr>
                <w:sz w:val="22"/>
              </w:rPr>
            </w:pPr>
            <w:r>
              <w:rPr>
                <w:sz w:val="22"/>
              </w:rPr>
              <w:t>ООО "Хэдхантер"</w:t>
            </w:r>
          </w:p>
        </w:tc>
        <w:tc>
          <w:tcPr>
            <w:tcW w:type="dxa" w:w="1408"/>
            <w:tcBorders>
              <w:top w:color="000000" w:sz="4" w:val="single"/>
              <w:left w:color="000000" w:sz="4" w:val="single"/>
              <w:bottom w:color="000000" w:sz="4" w:val="single"/>
              <w:right w:color="000000" w:sz="4" w:val="single"/>
            </w:tcBorders>
            <w:shd w:fill="FFFFFF" w:val="clear"/>
            <w:vAlign w:val="center"/>
          </w:tcPr>
          <w:p w14:paraId="3F290000">
            <w:pPr>
              <w:widowControl w:val="1"/>
              <w:ind/>
              <w:contextualSpacing w:val="1"/>
              <w:jc w:val="center"/>
              <w:rPr>
                <w:sz w:val="22"/>
              </w:rPr>
            </w:pPr>
            <w:r>
              <w:rPr>
                <w:sz w:val="22"/>
              </w:rPr>
              <w:t>счет № 96155/16 от 04.12.2018</w:t>
            </w:r>
          </w:p>
        </w:tc>
        <w:tc>
          <w:tcPr>
            <w:tcW w:type="dxa" w:w="1274"/>
            <w:tcBorders>
              <w:top w:color="000000" w:sz="4" w:val="single"/>
              <w:left w:color="000000" w:sz="4" w:val="single"/>
              <w:bottom w:color="000000" w:sz="4" w:val="single"/>
              <w:right w:color="000000" w:sz="4" w:val="single"/>
            </w:tcBorders>
            <w:shd w:fill="FFFFFF" w:val="clear"/>
            <w:vAlign w:val="center"/>
          </w:tcPr>
          <w:p w14:paraId="40290000">
            <w:pPr>
              <w:widowControl w:val="1"/>
              <w:ind/>
              <w:contextualSpacing w:val="1"/>
              <w:jc w:val="center"/>
              <w:rPr>
                <w:sz w:val="22"/>
              </w:rPr>
            </w:pPr>
            <w:r>
              <w:rPr>
                <w:sz w:val="22"/>
              </w:rPr>
              <w:t>04.12.2018-29.12.2018</w:t>
            </w:r>
          </w:p>
        </w:tc>
        <w:tc>
          <w:tcPr>
            <w:tcW w:type="dxa" w:w="1556"/>
            <w:tcBorders>
              <w:top w:color="000000" w:sz="4" w:val="single"/>
              <w:left w:color="000000" w:sz="4" w:val="single"/>
              <w:bottom w:color="000000" w:sz="4" w:val="single"/>
              <w:right w:color="000000" w:sz="4" w:val="single"/>
            </w:tcBorders>
            <w:shd w:fill="FFFFFF" w:val="clear"/>
            <w:vAlign w:val="center"/>
          </w:tcPr>
          <w:p w14:paraId="41290000">
            <w:pPr>
              <w:widowControl w:val="1"/>
              <w:ind/>
              <w:contextualSpacing w:val="1"/>
              <w:jc w:val="center"/>
              <w:rPr>
                <w:sz w:val="22"/>
              </w:rPr>
            </w:pPr>
            <w:r>
              <w:rPr>
                <w:sz w:val="22"/>
              </w:rPr>
              <w:t>оказание информационных услуг</w:t>
            </w:r>
          </w:p>
        </w:tc>
        <w:tc>
          <w:tcPr>
            <w:tcW w:type="dxa" w:w="1194"/>
            <w:tcBorders>
              <w:top w:color="000000" w:sz="4" w:val="single"/>
              <w:left w:color="000000" w:sz="4" w:val="single"/>
              <w:bottom w:color="000000" w:sz="4" w:val="single"/>
              <w:right w:color="000000" w:sz="4" w:val="single"/>
            </w:tcBorders>
            <w:shd w:fill="FFFFFF" w:val="clear"/>
            <w:vAlign w:val="center"/>
          </w:tcPr>
          <w:p w14:paraId="42290000">
            <w:pPr>
              <w:widowControl w:val="1"/>
              <w:ind/>
              <w:contextualSpacing w:val="1"/>
              <w:jc w:val="center"/>
              <w:rPr>
                <w:sz w:val="22"/>
              </w:rPr>
            </w:pPr>
            <w:r>
              <w:rPr>
                <w:sz w:val="22"/>
              </w:rPr>
              <w:t>3000,00</w:t>
            </w:r>
          </w:p>
        </w:tc>
        <w:tc>
          <w:tcPr>
            <w:tcW w:type="dxa" w:w="1221"/>
            <w:tcBorders>
              <w:top w:color="000000" w:sz="4" w:val="single"/>
              <w:left w:color="000000" w:sz="4" w:val="single"/>
              <w:bottom w:color="000000" w:sz="4" w:val="single"/>
              <w:right w:color="000000" w:sz="4" w:val="single"/>
            </w:tcBorders>
            <w:shd w:fill="FFFFFF" w:val="clear"/>
            <w:vAlign w:val="center"/>
          </w:tcPr>
          <w:p w14:paraId="43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44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45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4629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472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4829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635"/>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49290000">
            <w:pPr>
              <w:widowControl w:val="1"/>
              <w:ind/>
              <w:contextualSpacing w:val="1"/>
              <w:jc w:val="center"/>
              <w:rPr>
                <w:color w:val="000000"/>
                <w:sz w:val="22"/>
              </w:rPr>
            </w:pPr>
            <w:r>
              <w:rPr>
                <w:color w:val="000000"/>
                <w:sz w:val="22"/>
              </w:rPr>
              <w:t>итого по контрагенту ООО "Хэдхантер" 4500 руб.</w:t>
            </w:r>
          </w:p>
          <w:p w14:paraId="4A29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4B290000">
            <w:pPr>
              <w:widowControl w:val="1"/>
              <w:ind/>
              <w:contextualSpacing w:val="1"/>
              <w:rPr>
                <w:color w:val="000000"/>
                <w:sz w:val="22"/>
              </w:rPr>
            </w:pPr>
            <w:r>
              <w:rPr>
                <w:color w:val="000000"/>
                <w:sz w:val="22"/>
              </w:rPr>
              <w:t>289</w:t>
            </w:r>
          </w:p>
        </w:tc>
        <w:tc>
          <w:tcPr>
            <w:tcW w:type="dxa" w:w="1408"/>
            <w:tcBorders>
              <w:top w:color="000000" w:sz="4" w:val="single"/>
              <w:left w:color="000000" w:sz="4" w:val="single"/>
              <w:bottom w:color="000000" w:sz="4" w:val="single"/>
              <w:right w:color="000000" w:sz="4" w:val="single"/>
            </w:tcBorders>
            <w:shd w:fill="FFFFFF" w:val="clear"/>
            <w:vAlign w:val="center"/>
          </w:tcPr>
          <w:p w14:paraId="4C290000">
            <w:pPr>
              <w:widowControl w:val="1"/>
              <w:ind/>
              <w:contextualSpacing w:val="1"/>
              <w:jc w:val="center"/>
              <w:rPr>
                <w:sz w:val="22"/>
              </w:rPr>
            </w:pPr>
            <w:r>
              <w:rPr>
                <w:sz w:val="22"/>
              </w:rPr>
              <w:t>ИП Катаев И.Н.</w:t>
            </w:r>
          </w:p>
        </w:tc>
        <w:tc>
          <w:tcPr>
            <w:tcW w:type="dxa" w:w="1408"/>
            <w:tcBorders>
              <w:top w:color="000000" w:sz="4" w:val="single"/>
              <w:left w:color="000000" w:sz="4" w:val="single"/>
              <w:bottom w:color="000000" w:sz="4" w:val="single"/>
              <w:right w:color="000000" w:sz="4" w:val="single"/>
            </w:tcBorders>
            <w:shd w:fill="FFFFFF" w:val="clear"/>
            <w:vAlign w:val="center"/>
          </w:tcPr>
          <w:p w14:paraId="4D290000">
            <w:pPr>
              <w:widowControl w:val="1"/>
              <w:ind/>
              <w:contextualSpacing w:val="1"/>
              <w:jc w:val="center"/>
              <w:rPr>
                <w:sz w:val="22"/>
              </w:rPr>
            </w:pPr>
            <w:r>
              <w:rPr>
                <w:sz w:val="22"/>
              </w:rPr>
              <w:t>счет № 433 от 22.10.2018</w:t>
            </w:r>
          </w:p>
        </w:tc>
        <w:tc>
          <w:tcPr>
            <w:tcW w:type="dxa" w:w="1274"/>
            <w:tcBorders>
              <w:top w:color="000000" w:sz="4" w:val="single"/>
              <w:left w:color="000000" w:sz="4" w:val="single"/>
              <w:bottom w:color="000000" w:sz="4" w:val="single"/>
              <w:right w:color="000000" w:sz="4" w:val="single"/>
            </w:tcBorders>
            <w:shd w:fill="FFFFFF" w:val="clear"/>
            <w:vAlign w:val="center"/>
          </w:tcPr>
          <w:p w14:paraId="4E290000">
            <w:pPr>
              <w:widowControl w:val="1"/>
              <w:ind/>
              <w:contextualSpacing w:val="1"/>
              <w:jc w:val="center"/>
              <w:rPr>
                <w:sz w:val="22"/>
              </w:rPr>
            </w:pPr>
            <w:r>
              <w:rPr>
                <w:sz w:val="22"/>
              </w:rPr>
              <w:t>22.10.2018-31.10.2018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4F290000">
            <w:pPr>
              <w:widowControl w:val="1"/>
              <w:ind/>
              <w:contextualSpacing w:val="1"/>
              <w:jc w:val="center"/>
              <w:rPr>
                <w:color w:val="000000"/>
                <w:sz w:val="22"/>
              </w:rPr>
            </w:pPr>
            <w:r>
              <w:rPr>
                <w:color w:val="000000"/>
                <w:sz w:val="22"/>
              </w:rPr>
              <w:t>Поставка офисных кресел</w:t>
            </w:r>
          </w:p>
        </w:tc>
        <w:tc>
          <w:tcPr>
            <w:tcW w:type="dxa" w:w="1194"/>
            <w:tcBorders>
              <w:top w:color="000000" w:sz="4" w:val="single"/>
              <w:left w:color="000000" w:sz="4" w:val="single"/>
              <w:bottom w:color="000000" w:sz="4" w:val="single"/>
              <w:right w:color="000000" w:sz="4" w:val="single"/>
            </w:tcBorders>
            <w:shd w:fill="FFFFFF" w:val="clear"/>
            <w:vAlign w:val="center"/>
          </w:tcPr>
          <w:p w14:paraId="50290000">
            <w:pPr>
              <w:widowControl w:val="1"/>
              <w:ind/>
              <w:contextualSpacing w:val="1"/>
              <w:jc w:val="center"/>
              <w:rPr>
                <w:color w:val="000000"/>
                <w:sz w:val="22"/>
              </w:rPr>
            </w:pPr>
            <w:r>
              <w:rPr>
                <w:color w:val="000000"/>
                <w:sz w:val="22"/>
              </w:rPr>
              <w:t>8835,00</w:t>
            </w:r>
          </w:p>
        </w:tc>
        <w:tc>
          <w:tcPr>
            <w:tcW w:type="dxa" w:w="1221"/>
            <w:tcBorders>
              <w:top w:color="000000" w:sz="4" w:val="single"/>
              <w:left w:color="000000" w:sz="4" w:val="single"/>
              <w:bottom w:color="000000" w:sz="4" w:val="single"/>
              <w:right w:color="000000" w:sz="4" w:val="single"/>
            </w:tcBorders>
            <w:shd w:fill="FFFFFF" w:val="clear"/>
            <w:vAlign w:val="center"/>
          </w:tcPr>
          <w:p w14:paraId="51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2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3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5429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552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5629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57290000">
            <w:pPr>
              <w:widowControl w:val="1"/>
              <w:ind/>
              <w:contextualSpacing w:val="1"/>
              <w:rPr>
                <w:color w:val="000000"/>
                <w:sz w:val="22"/>
              </w:rPr>
            </w:pPr>
            <w:r>
              <w:rPr>
                <w:color w:val="000000"/>
                <w:sz w:val="22"/>
              </w:rPr>
              <w:t>290</w:t>
            </w:r>
          </w:p>
        </w:tc>
        <w:tc>
          <w:tcPr>
            <w:tcW w:type="dxa" w:w="1408"/>
            <w:tcBorders>
              <w:top w:color="000000" w:sz="4" w:val="single"/>
              <w:left w:color="000000" w:sz="4" w:val="single"/>
              <w:bottom w:color="000000" w:sz="4" w:val="single"/>
              <w:right w:color="000000" w:sz="4" w:val="single"/>
            </w:tcBorders>
            <w:shd w:fill="FFFFFF" w:val="clear"/>
            <w:vAlign w:val="center"/>
          </w:tcPr>
          <w:p w14:paraId="58290000">
            <w:pPr>
              <w:widowControl w:val="1"/>
              <w:ind/>
              <w:contextualSpacing w:val="1"/>
              <w:jc w:val="center"/>
              <w:rPr>
                <w:sz w:val="22"/>
              </w:rPr>
            </w:pPr>
            <w:r>
              <w:rPr>
                <w:sz w:val="22"/>
              </w:rPr>
              <w:t>ИП Катаев И.Н.</w:t>
            </w:r>
          </w:p>
        </w:tc>
        <w:tc>
          <w:tcPr>
            <w:tcW w:type="dxa" w:w="1408"/>
            <w:tcBorders>
              <w:top w:color="000000" w:sz="4" w:val="single"/>
              <w:left w:color="000000" w:sz="4" w:val="single"/>
              <w:bottom w:color="000000" w:sz="4" w:val="single"/>
              <w:right w:color="000000" w:sz="4" w:val="single"/>
            </w:tcBorders>
            <w:shd w:fill="FFFFFF" w:val="clear"/>
            <w:vAlign w:val="center"/>
          </w:tcPr>
          <w:p w14:paraId="59290000">
            <w:pPr>
              <w:widowControl w:val="1"/>
              <w:ind/>
              <w:contextualSpacing w:val="1"/>
              <w:jc w:val="center"/>
              <w:rPr>
                <w:sz w:val="22"/>
              </w:rPr>
            </w:pPr>
            <w:r>
              <w:rPr>
                <w:sz w:val="22"/>
              </w:rPr>
              <w:t>счет № 519 от 05.12.2018</w:t>
            </w:r>
          </w:p>
        </w:tc>
        <w:tc>
          <w:tcPr>
            <w:tcW w:type="dxa" w:w="1274"/>
            <w:tcBorders>
              <w:top w:color="000000" w:sz="4" w:val="single"/>
              <w:left w:color="000000" w:sz="4" w:val="single"/>
              <w:bottom w:color="000000" w:sz="4" w:val="single"/>
              <w:right w:color="000000" w:sz="4" w:val="single"/>
            </w:tcBorders>
            <w:shd w:fill="FFFFFF" w:val="clear"/>
            <w:vAlign w:val="center"/>
          </w:tcPr>
          <w:p w14:paraId="5A290000">
            <w:pPr>
              <w:widowControl w:val="1"/>
              <w:ind/>
              <w:contextualSpacing w:val="1"/>
              <w:jc w:val="center"/>
              <w:rPr>
                <w:sz w:val="22"/>
              </w:rPr>
            </w:pPr>
            <w:r>
              <w:rPr>
                <w:sz w:val="22"/>
              </w:rPr>
              <w:t>05.12.2018-20.12.2018</w:t>
            </w:r>
          </w:p>
        </w:tc>
        <w:tc>
          <w:tcPr>
            <w:tcW w:type="dxa" w:w="1556"/>
            <w:tcBorders>
              <w:top w:color="000000" w:sz="4" w:val="single"/>
              <w:left w:color="000000" w:sz="4" w:val="single"/>
              <w:bottom w:color="000000" w:sz="4" w:val="single"/>
              <w:right w:color="000000" w:sz="4" w:val="single"/>
            </w:tcBorders>
            <w:shd w:fill="FFFFFF" w:val="clear"/>
            <w:vAlign w:val="center"/>
          </w:tcPr>
          <w:p w14:paraId="5B290000">
            <w:pPr>
              <w:widowControl w:val="1"/>
              <w:ind/>
              <w:contextualSpacing w:val="1"/>
              <w:jc w:val="center"/>
              <w:rPr>
                <w:color w:val="000000"/>
                <w:sz w:val="22"/>
              </w:rPr>
            </w:pPr>
            <w:r>
              <w:rPr>
                <w:color w:val="000000"/>
                <w:sz w:val="22"/>
              </w:rPr>
              <w:t>Поставка офисных кресел</w:t>
            </w:r>
          </w:p>
        </w:tc>
        <w:tc>
          <w:tcPr>
            <w:tcW w:type="dxa" w:w="1194"/>
            <w:tcBorders>
              <w:top w:color="000000" w:sz="4" w:val="single"/>
              <w:left w:color="000000" w:sz="4" w:val="single"/>
              <w:bottom w:color="000000" w:sz="4" w:val="single"/>
              <w:right w:color="000000" w:sz="4" w:val="single"/>
            </w:tcBorders>
            <w:shd w:fill="FFFFFF" w:val="clear"/>
            <w:vAlign w:val="center"/>
          </w:tcPr>
          <w:p w14:paraId="5C290000">
            <w:pPr>
              <w:widowControl w:val="1"/>
              <w:ind/>
              <w:contextualSpacing w:val="1"/>
              <w:jc w:val="center"/>
              <w:rPr>
                <w:color w:val="000000"/>
                <w:sz w:val="22"/>
              </w:rPr>
            </w:pPr>
            <w:r>
              <w:rPr>
                <w:color w:val="000000"/>
                <w:sz w:val="22"/>
              </w:rPr>
              <w:t>20900,00</w:t>
            </w:r>
          </w:p>
        </w:tc>
        <w:tc>
          <w:tcPr>
            <w:tcW w:type="dxa" w:w="1221"/>
            <w:tcBorders>
              <w:top w:color="000000" w:sz="4" w:val="single"/>
              <w:left w:color="000000" w:sz="4" w:val="single"/>
              <w:bottom w:color="000000" w:sz="4" w:val="single"/>
              <w:right w:color="000000" w:sz="4" w:val="single"/>
            </w:tcBorders>
            <w:shd w:fill="FFFFFF" w:val="clear"/>
            <w:vAlign w:val="center"/>
          </w:tcPr>
          <w:p w14:paraId="5D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5E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5F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029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612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62290000">
            <w:pPr>
              <w:widowControl w:val="1"/>
              <w:ind/>
              <w:contextualSpacing w:val="1"/>
              <w:jc w:val="center"/>
              <w:rPr>
                <w:sz w:val="22"/>
              </w:rPr>
            </w:pPr>
            <w:r>
              <w:rPr>
                <w:sz w:val="22"/>
              </w:rPr>
              <w:t>Размещение заказа у единственного поставщика, согласно пп.29п. 89  положения утвержденного СД 22.10.2018г. Протокол № 5</w:t>
            </w:r>
          </w:p>
        </w:tc>
      </w:tr>
      <w:tr>
        <w:trPr>
          <w:trHeight w:hRule="atLeast" w:val="591"/>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63290000">
            <w:pPr>
              <w:widowControl w:val="1"/>
              <w:ind/>
              <w:contextualSpacing w:val="1"/>
              <w:jc w:val="center"/>
              <w:rPr>
                <w:color w:val="000000"/>
                <w:sz w:val="22"/>
              </w:rPr>
            </w:pPr>
            <w:r>
              <w:rPr>
                <w:color w:val="000000"/>
                <w:sz w:val="22"/>
              </w:rPr>
              <w:t>итого по контрагенту ИП Катаев И.Н. 29735 руб.</w:t>
            </w:r>
          </w:p>
          <w:p w14:paraId="6429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65290000">
            <w:pPr>
              <w:widowControl w:val="1"/>
              <w:ind/>
              <w:contextualSpacing w:val="1"/>
              <w:rPr>
                <w:color w:val="000000"/>
                <w:sz w:val="22"/>
              </w:rPr>
            </w:pPr>
            <w:r>
              <w:rPr>
                <w:color w:val="000000"/>
                <w:sz w:val="22"/>
              </w:rPr>
              <w:t>291</w:t>
            </w:r>
          </w:p>
        </w:tc>
        <w:tc>
          <w:tcPr>
            <w:tcW w:type="dxa" w:w="1408"/>
            <w:tcBorders>
              <w:top w:color="000000" w:sz="4" w:val="single"/>
              <w:left w:color="000000" w:sz="4" w:val="single"/>
              <w:bottom w:color="000000" w:sz="4" w:val="single"/>
              <w:right w:color="000000" w:sz="4" w:val="single"/>
            </w:tcBorders>
            <w:shd w:fill="FFFFFF" w:val="clear"/>
            <w:vAlign w:val="center"/>
          </w:tcPr>
          <w:p w14:paraId="66290000">
            <w:pPr>
              <w:widowControl w:val="1"/>
              <w:ind/>
              <w:contextualSpacing w:val="1"/>
              <w:jc w:val="center"/>
              <w:rPr>
                <w:sz w:val="22"/>
              </w:rPr>
            </w:pPr>
            <w:r>
              <w:rPr>
                <w:sz w:val="22"/>
              </w:rPr>
              <w:t>ООО "ТЕХНО-ЦЕНТР" ИСТОК-БАНКОСЕРВИС"</w:t>
            </w:r>
          </w:p>
        </w:tc>
        <w:tc>
          <w:tcPr>
            <w:tcW w:type="dxa" w:w="1408"/>
            <w:tcBorders>
              <w:top w:color="000000" w:sz="4" w:val="single"/>
              <w:left w:color="000000" w:sz="4" w:val="single"/>
              <w:bottom w:color="000000" w:sz="4" w:val="single"/>
              <w:right w:color="000000" w:sz="4" w:val="single"/>
            </w:tcBorders>
            <w:shd w:fill="FFFFFF" w:val="clear"/>
            <w:vAlign w:val="center"/>
          </w:tcPr>
          <w:p w14:paraId="67290000">
            <w:pPr>
              <w:widowControl w:val="1"/>
              <w:ind/>
              <w:contextualSpacing w:val="1"/>
              <w:jc w:val="center"/>
              <w:rPr>
                <w:sz w:val="22"/>
              </w:rPr>
            </w:pPr>
            <w:r>
              <w:rPr>
                <w:sz w:val="22"/>
              </w:rPr>
              <w:t>счет № 5711 от 17.10.2018</w:t>
            </w:r>
          </w:p>
        </w:tc>
        <w:tc>
          <w:tcPr>
            <w:tcW w:type="dxa" w:w="1274"/>
            <w:tcBorders>
              <w:top w:color="000000" w:sz="4" w:val="single"/>
              <w:left w:color="000000" w:sz="4" w:val="single"/>
              <w:bottom w:color="000000" w:sz="4" w:val="single"/>
              <w:right w:color="000000" w:sz="4" w:val="single"/>
            </w:tcBorders>
            <w:shd w:fill="FFFFFF" w:val="clear"/>
            <w:vAlign w:val="center"/>
          </w:tcPr>
          <w:p w14:paraId="68290000">
            <w:pPr>
              <w:widowControl w:val="1"/>
              <w:ind/>
              <w:contextualSpacing w:val="1"/>
              <w:jc w:val="center"/>
              <w:rPr>
                <w:sz w:val="22"/>
              </w:rPr>
            </w:pPr>
            <w:r>
              <w:rPr>
                <w:sz w:val="22"/>
              </w:rPr>
              <w:t>17.10.2018-31.10.2018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69290000">
            <w:pPr>
              <w:widowControl w:val="1"/>
              <w:ind/>
              <w:contextualSpacing w:val="1"/>
              <w:jc w:val="center"/>
              <w:rPr>
                <w:sz w:val="22"/>
              </w:rPr>
            </w:pPr>
            <w:r>
              <w:rPr>
                <w:sz w:val="22"/>
              </w:rPr>
              <w:t>выполнение работ по изготовлению штампов</w:t>
            </w:r>
          </w:p>
        </w:tc>
        <w:tc>
          <w:tcPr>
            <w:tcW w:type="dxa" w:w="1194"/>
            <w:tcBorders>
              <w:top w:color="000000" w:sz="4" w:val="single"/>
              <w:left w:color="000000" w:sz="4" w:val="single"/>
              <w:bottom w:color="000000" w:sz="4" w:val="single"/>
              <w:right w:color="000000" w:sz="4" w:val="single"/>
            </w:tcBorders>
            <w:shd w:fill="FFFFFF" w:val="clear"/>
            <w:vAlign w:val="center"/>
          </w:tcPr>
          <w:p w14:paraId="6A290000">
            <w:pPr>
              <w:widowControl w:val="1"/>
              <w:ind/>
              <w:contextualSpacing w:val="1"/>
              <w:jc w:val="center"/>
              <w:rPr>
                <w:sz w:val="22"/>
              </w:rPr>
            </w:pPr>
            <w:r>
              <w:rPr>
                <w:sz w:val="22"/>
              </w:rPr>
              <w:t>62010,00</w:t>
            </w:r>
          </w:p>
        </w:tc>
        <w:tc>
          <w:tcPr>
            <w:tcW w:type="dxa" w:w="1221"/>
            <w:tcBorders>
              <w:top w:color="000000" w:sz="4" w:val="single"/>
              <w:left w:color="000000" w:sz="4" w:val="single"/>
              <w:bottom w:color="000000" w:sz="4" w:val="single"/>
              <w:right w:color="000000" w:sz="4" w:val="single"/>
            </w:tcBorders>
            <w:shd w:fill="FFFFFF" w:val="clear"/>
            <w:vAlign w:val="center"/>
          </w:tcPr>
          <w:p w14:paraId="6B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6C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6D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6E29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6F2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0290000">
            <w:pPr>
              <w:widowControl w:val="1"/>
              <w:ind/>
              <w:contextualSpacing w:val="1"/>
              <w:jc w:val="center"/>
              <w:rPr>
                <w:sz w:val="22"/>
              </w:rPr>
            </w:pPr>
            <w:r>
              <w:rPr>
                <w:sz w:val="22"/>
              </w:rPr>
              <w:t>Размещение заказа у единственного поставщика, согласно пп.29п.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71290000">
            <w:pPr>
              <w:widowControl w:val="1"/>
              <w:ind/>
              <w:contextualSpacing w:val="1"/>
              <w:rPr>
                <w:color w:val="000000"/>
                <w:sz w:val="22"/>
              </w:rPr>
            </w:pPr>
            <w:r>
              <w:rPr>
                <w:color w:val="000000"/>
                <w:sz w:val="22"/>
              </w:rPr>
              <w:t>292</w:t>
            </w:r>
          </w:p>
        </w:tc>
        <w:tc>
          <w:tcPr>
            <w:tcW w:type="dxa" w:w="1408"/>
            <w:tcBorders>
              <w:top w:color="000000" w:sz="4" w:val="single"/>
              <w:left w:color="000000" w:sz="4" w:val="single"/>
              <w:bottom w:color="000000" w:sz="4" w:val="single"/>
              <w:right w:color="000000" w:sz="4" w:val="single"/>
            </w:tcBorders>
            <w:shd w:fill="FFFFFF" w:val="clear"/>
            <w:vAlign w:val="center"/>
          </w:tcPr>
          <w:p w14:paraId="72290000">
            <w:pPr>
              <w:widowControl w:val="1"/>
              <w:ind/>
              <w:contextualSpacing w:val="1"/>
              <w:jc w:val="center"/>
              <w:rPr>
                <w:sz w:val="22"/>
              </w:rPr>
            </w:pPr>
            <w:r>
              <w:rPr>
                <w:sz w:val="22"/>
              </w:rPr>
              <w:t>ОАО "РЖД" ТЦФТО</w:t>
            </w:r>
          </w:p>
        </w:tc>
        <w:tc>
          <w:tcPr>
            <w:tcW w:type="dxa" w:w="1408"/>
            <w:tcBorders>
              <w:top w:color="000000" w:sz="4" w:val="single"/>
              <w:left w:color="000000" w:sz="4" w:val="single"/>
              <w:bottom w:color="000000" w:sz="4" w:val="single"/>
              <w:right w:color="000000" w:sz="4" w:val="single"/>
            </w:tcBorders>
            <w:shd w:fill="FFFFFF" w:val="clear"/>
            <w:vAlign w:val="center"/>
          </w:tcPr>
          <w:p w14:paraId="73290000">
            <w:pPr>
              <w:widowControl w:val="1"/>
              <w:ind/>
              <w:contextualSpacing w:val="1"/>
              <w:jc w:val="center"/>
              <w:rPr>
                <w:sz w:val="22"/>
              </w:rPr>
            </w:pPr>
            <w:r>
              <w:rPr>
                <w:sz w:val="22"/>
              </w:rPr>
              <w:t>счет № 13/630 от 30.10.2018</w:t>
            </w:r>
          </w:p>
        </w:tc>
        <w:tc>
          <w:tcPr>
            <w:tcW w:type="dxa" w:w="1274"/>
            <w:tcBorders>
              <w:top w:color="000000" w:sz="4" w:val="single"/>
              <w:left w:color="000000" w:sz="4" w:val="single"/>
              <w:bottom w:color="000000" w:sz="4" w:val="single"/>
              <w:right w:color="000000" w:sz="4" w:val="single"/>
            </w:tcBorders>
            <w:shd w:fill="FFFFFF" w:val="clear"/>
            <w:vAlign w:val="center"/>
          </w:tcPr>
          <w:p w14:paraId="74290000">
            <w:pPr>
              <w:widowControl w:val="1"/>
              <w:ind/>
              <w:contextualSpacing w:val="1"/>
              <w:jc w:val="center"/>
              <w:rPr>
                <w:sz w:val="22"/>
              </w:rPr>
            </w:pPr>
            <w:r>
              <w:rPr>
                <w:sz w:val="22"/>
              </w:rPr>
              <w:t>30.10.2018-31.10.2018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75290000">
            <w:pPr>
              <w:widowControl w:val="1"/>
              <w:ind/>
              <w:contextualSpacing w:val="1"/>
              <w:jc w:val="center"/>
              <w:rPr>
                <w:sz w:val="22"/>
              </w:rPr>
            </w:pPr>
            <w:r>
              <w:rPr>
                <w:sz w:val="22"/>
              </w:rPr>
              <w:t>оказание услуг по перевозке моторного вагона электропоезда</w:t>
            </w:r>
          </w:p>
        </w:tc>
        <w:tc>
          <w:tcPr>
            <w:tcW w:type="dxa" w:w="1194"/>
            <w:tcBorders>
              <w:top w:color="000000" w:sz="4" w:val="single"/>
              <w:left w:color="000000" w:sz="4" w:val="single"/>
              <w:bottom w:color="000000" w:sz="4" w:val="single"/>
              <w:right w:color="000000" w:sz="4" w:val="single"/>
            </w:tcBorders>
            <w:shd w:fill="FFFFFF" w:val="clear"/>
            <w:vAlign w:val="center"/>
          </w:tcPr>
          <w:p w14:paraId="76290000">
            <w:pPr>
              <w:widowControl w:val="1"/>
              <w:ind/>
              <w:contextualSpacing w:val="1"/>
              <w:jc w:val="center"/>
              <w:rPr>
                <w:sz w:val="22"/>
              </w:rPr>
            </w:pPr>
            <w:r>
              <w:rPr>
                <w:sz w:val="22"/>
              </w:rPr>
              <w:t>5 398,26</w:t>
            </w:r>
          </w:p>
        </w:tc>
        <w:tc>
          <w:tcPr>
            <w:tcW w:type="dxa" w:w="1221"/>
            <w:tcBorders>
              <w:top w:color="000000" w:sz="4" w:val="single"/>
              <w:left w:color="000000" w:sz="4" w:val="single"/>
              <w:bottom w:color="000000" w:sz="4" w:val="single"/>
              <w:right w:color="000000" w:sz="4" w:val="single"/>
            </w:tcBorders>
            <w:shd w:fill="FFFFFF" w:val="clear"/>
            <w:vAlign w:val="center"/>
          </w:tcPr>
          <w:p w14:paraId="77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78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79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7A29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7B29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7C290000">
            <w:pPr>
              <w:widowControl w:val="1"/>
              <w:ind/>
              <w:contextualSpacing w:val="1"/>
              <w:jc w:val="center"/>
              <w:rPr>
                <w:sz w:val="22"/>
              </w:rPr>
            </w:pPr>
            <w:r>
              <w:rPr>
                <w:sz w:val="22"/>
              </w:rPr>
              <w:t>Размещение заказа у единственного поставщика, согласно пп.29п.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7D290000">
            <w:pPr>
              <w:widowControl w:val="1"/>
              <w:ind/>
              <w:contextualSpacing w:val="1"/>
              <w:rPr>
                <w:color w:val="000000"/>
                <w:sz w:val="22"/>
              </w:rPr>
            </w:pPr>
            <w:r>
              <w:rPr>
                <w:color w:val="000000"/>
                <w:sz w:val="22"/>
              </w:rPr>
              <w:t>293</w:t>
            </w:r>
          </w:p>
        </w:tc>
        <w:tc>
          <w:tcPr>
            <w:tcW w:type="dxa" w:w="1408"/>
            <w:tcBorders>
              <w:top w:color="000000" w:sz="4" w:val="single"/>
              <w:left w:color="000000" w:sz="4" w:val="single"/>
              <w:bottom w:color="000000" w:sz="4" w:val="single"/>
              <w:right w:color="000000" w:sz="4" w:val="single"/>
            </w:tcBorders>
            <w:shd w:fill="FFFFFF" w:val="clear"/>
            <w:vAlign w:val="center"/>
          </w:tcPr>
          <w:p w14:paraId="7E290000">
            <w:pPr>
              <w:widowControl w:val="1"/>
              <w:ind/>
              <w:contextualSpacing w:val="1"/>
              <w:jc w:val="center"/>
              <w:rPr>
                <w:sz w:val="22"/>
              </w:rPr>
            </w:pPr>
            <w:r>
              <w:rPr>
                <w:sz w:val="22"/>
              </w:rPr>
              <w:t>ОАО "РЖД" ТЦФТО</w:t>
            </w:r>
          </w:p>
        </w:tc>
        <w:tc>
          <w:tcPr>
            <w:tcW w:type="dxa" w:w="1408"/>
            <w:tcBorders>
              <w:top w:color="000000" w:sz="4" w:val="single"/>
              <w:left w:color="000000" w:sz="4" w:val="single"/>
              <w:bottom w:color="000000" w:sz="4" w:val="single"/>
              <w:right w:color="000000" w:sz="4" w:val="single"/>
            </w:tcBorders>
            <w:shd w:fill="FFFFFF" w:val="clear"/>
            <w:vAlign w:val="center"/>
          </w:tcPr>
          <w:p w14:paraId="7F290000">
            <w:pPr>
              <w:widowControl w:val="1"/>
              <w:ind/>
              <w:contextualSpacing w:val="1"/>
              <w:jc w:val="center"/>
              <w:rPr>
                <w:sz w:val="22"/>
              </w:rPr>
            </w:pPr>
            <w:r>
              <w:rPr>
                <w:sz w:val="22"/>
              </w:rPr>
              <w:t>счет № 13/645 от 16.11.2018</w:t>
            </w:r>
          </w:p>
        </w:tc>
        <w:tc>
          <w:tcPr>
            <w:tcW w:type="dxa" w:w="1274"/>
            <w:tcBorders>
              <w:top w:color="000000" w:sz="4" w:val="single"/>
              <w:left w:color="000000" w:sz="4" w:val="single"/>
              <w:bottom w:color="000000" w:sz="4" w:val="single"/>
              <w:right w:color="000000" w:sz="4" w:val="single"/>
            </w:tcBorders>
            <w:shd w:fill="FFFFFF" w:val="clear"/>
            <w:vAlign w:val="center"/>
          </w:tcPr>
          <w:p w14:paraId="80290000">
            <w:pPr>
              <w:widowControl w:val="1"/>
              <w:ind/>
              <w:contextualSpacing w:val="1"/>
              <w:jc w:val="center"/>
              <w:rPr>
                <w:sz w:val="22"/>
              </w:rPr>
            </w:pPr>
            <w:r>
              <w:rPr>
                <w:sz w:val="22"/>
              </w:rPr>
              <w:t>16.11.2018-30.11.2018</w:t>
            </w:r>
          </w:p>
        </w:tc>
        <w:tc>
          <w:tcPr>
            <w:tcW w:type="dxa" w:w="1556"/>
            <w:tcBorders>
              <w:top w:color="000000" w:sz="4" w:val="single"/>
              <w:left w:color="000000" w:sz="4" w:val="single"/>
              <w:bottom w:color="000000" w:sz="4" w:val="single"/>
              <w:right w:color="000000" w:sz="4" w:val="single"/>
            </w:tcBorders>
            <w:shd w:fill="FFFFFF" w:val="clear"/>
            <w:vAlign w:val="center"/>
          </w:tcPr>
          <w:p w14:paraId="81290000">
            <w:pPr>
              <w:widowControl w:val="1"/>
              <w:ind/>
              <w:contextualSpacing w:val="1"/>
              <w:jc w:val="center"/>
              <w:rPr>
                <w:sz w:val="22"/>
              </w:rPr>
            </w:pPr>
            <w:r>
              <w:rPr>
                <w:sz w:val="22"/>
              </w:rPr>
              <w:t>оказание услуг по перевозке моторного вагона электропоезда</w:t>
            </w:r>
          </w:p>
        </w:tc>
        <w:tc>
          <w:tcPr>
            <w:tcW w:type="dxa" w:w="1194"/>
            <w:tcBorders>
              <w:top w:color="000000" w:sz="4" w:val="single"/>
              <w:left w:color="000000" w:sz="4" w:val="single"/>
              <w:bottom w:color="000000" w:sz="4" w:val="single"/>
              <w:right w:color="000000" w:sz="4" w:val="single"/>
            </w:tcBorders>
            <w:shd w:fill="FFFFFF" w:val="clear"/>
            <w:vAlign w:val="center"/>
          </w:tcPr>
          <w:p w14:paraId="82290000">
            <w:pPr>
              <w:widowControl w:val="1"/>
              <w:ind/>
              <w:contextualSpacing w:val="1"/>
              <w:jc w:val="center"/>
              <w:rPr>
                <w:sz w:val="22"/>
              </w:rPr>
            </w:pPr>
            <w:r>
              <w:rPr>
                <w:sz w:val="22"/>
              </w:rPr>
              <w:t>5 398,26</w:t>
            </w:r>
          </w:p>
        </w:tc>
        <w:tc>
          <w:tcPr>
            <w:tcW w:type="dxa" w:w="1221"/>
            <w:tcBorders>
              <w:top w:color="000000" w:sz="4" w:val="single"/>
              <w:left w:color="000000" w:sz="4" w:val="single"/>
              <w:bottom w:color="000000" w:sz="4" w:val="single"/>
              <w:right w:color="000000" w:sz="4" w:val="single"/>
            </w:tcBorders>
            <w:shd w:fill="FFFFFF" w:val="clear"/>
            <w:vAlign w:val="center"/>
          </w:tcPr>
          <w:p w14:paraId="83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84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85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8629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8729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8829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89290000">
            <w:pPr>
              <w:widowControl w:val="1"/>
              <w:ind/>
              <w:contextualSpacing w:val="1"/>
              <w:rPr>
                <w:color w:val="000000"/>
                <w:sz w:val="22"/>
              </w:rPr>
            </w:pPr>
            <w:r>
              <w:rPr>
                <w:color w:val="000000"/>
                <w:sz w:val="22"/>
              </w:rPr>
              <w:t>294</w:t>
            </w:r>
          </w:p>
        </w:tc>
        <w:tc>
          <w:tcPr>
            <w:tcW w:type="dxa" w:w="1408"/>
            <w:tcBorders>
              <w:top w:color="000000" w:sz="4" w:val="single"/>
              <w:left w:color="000000" w:sz="4" w:val="single"/>
              <w:bottom w:color="000000" w:sz="4" w:val="single"/>
              <w:right w:color="000000" w:sz="4" w:val="single"/>
            </w:tcBorders>
            <w:shd w:fill="FFFFFF" w:val="clear"/>
            <w:vAlign w:val="center"/>
          </w:tcPr>
          <w:p w14:paraId="8A290000">
            <w:pPr>
              <w:widowControl w:val="1"/>
              <w:ind/>
              <w:contextualSpacing w:val="1"/>
              <w:jc w:val="center"/>
              <w:rPr>
                <w:sz w:val="22"/>
              </w:rPr>
            </w:pPr>
            <w:r>
              <w:rPr>
                <w:sz w:val="22"/>
              </w:rPr>
              <w:t>ООО "Сибинтек"</w:t>
            </w:r>
          </w:p>
        </w:tc>
        <w:tc>
          <w:tcPr>
            <w:tcW w:type="dxa" w:w="1408"/>
            <w:tcBorders>
              <w:top w:color="000000" w:sz="4" w:val="single"/>
              <w:left w:color="000000" w:sz="4" w:val="single"/>
              <w:bottom w:color="000000" w:sz="4" w:val="single"/>
              <w:right w:color="000000" w:sz="4" w:val="single"/>
            </w:tcBorders>
            <w:shd w:fill="FFFFFF" w:val="clear"/>
            <w:vAlign w:val="center"/>
          </w:tcPr>
          <w:p w14:paraId="8B290000">
            <w:pPr>
              <w:widowControl w:val="1"/>
              <w:ind/>
              <w:contextualSpacing w:val="1"/>
              <w:jc w:val="center"/>
              <w:rPr>
                <w:sz w:val="22"/>
              </w:rPr>
            </w:pPr>
            <w:r>
              <w:rPr>
                <w:sz w:val="22"/>
              </w:rPr>
              <w:t>счет № 83 от 18.10.2018</w:t>
            </w:r>
          </w:p>
        </w:tc>
        <w:tc>
          <w:tcPr>
            <w:tcW w:type="dxa" w:w="1274"/>
            <w:tcBorders>
              <w:top w:color="000000" w:sz="4" w:val="single"/>
              <w:left w:color="000000" w:sz="4" w:val="single"/>
              <w:bottom w:color="000000" w:sz="4" w:val="single"/>
              <w:right w:color="000000" w:sz="4" w:val="single"/>
            </w:tcBorders>
            <w:shd w:fill="FFFFFF" w:val="clear"/>
            <w:vAlign w:val="center"/>
          </w:tcPr>
          <w:p w14:paraId="8C290000">
            <w:pPr>
              <w:widowControl w:val="1"/>
              <w:ind/>
              <w:contextualSpacing w:val="1"/>
              <w:jc w:val="center"/>
              <w:rPr>
                <w:sz w:val="22"/>
              </w:rPr>
            </w:pPr>
            <w:r>
              <w:rPr>
                <w:sz w:val="22"/>
              </w:rPr>
              <w:t>18.10.2018-31.10.2018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8D290000">
            <w:pPr>
              <w:widowControl w:val="1"/>
              <w:ind/>
              <w:contextualSpacing w:val="1"/>
              <w:jc w:val="center"/>
              <w:rPr>
                <w:sz w:val="22"/>
              </w:rPr>
            </w:pPr>
            <w:r>
              <w:rPr>
                <w:sz w:val="22"/>
              </w:rPr>
              <w:t>поставка материалов для выполнения работ по монтажу и модернизации структурированной кабельной системы и сетей электроснабжения</w:t>
            </w:r>
          </w:p>
        </w:tc>
        <w:tc>
          <w:tcPr>
            <w:tcW w:type="dxa" w:w="1194"/>
            <w:tcBorders>
              <w:top w:color="000000" w:sz="4" w:val="single"/>
              <w:left w:color="000000" w:sz="4" w:val="single"/>
              <w:bottom w:color="000000" w:sz="4" w:val="single"/>
              <w:right w:color="000000" w:sz="4" w:val="single"/>
            </w:tcBorders>
            <w:shd w:fill="FFFFFF" w:val="clear"/>
            <w:vAlign w:val="center"/>
          </w:tcPr>
          <w:p w14:paraId="8E290000">
            <w:pPr>
              <w:widowControl w:val="1"/>
              <w:ind/>
              <w:contextualSpacing w:val="1"/>
              <w:jc w:val="center"/>
              <w:rPr>
                <w:sz w:val="22"/>
              </w:rPr>
            </w:pPr>
            <w:r>
              <w:rPr>
                <w:sz w:val="22"/>
              </w:rPr>
              <w:t>33 504,00</w:t>
            </w:r>
          </w:p>
        </w:tc>
        <w:tc>
          <w:tcPr>
            <w:tcW w:type="dxa" w:w="1221"/>
            <w:tcBorders>
              <w:top w:color="000000" w:sz="4" w:val="single"/>
              <w:left w:color="000000" w:sz="4" w:val="single"/>
              <w:bottom w:color="000000" w:sz="4" w:val="single"/>
              <w:right w:color="000000" w:sz="4" w:val="single"/>
            </w:tcBorders>
            <w:shd w:fill="FFFFFF" w:val="clear"/>
            <w:vAlign w:val="center"/>
          </w:tcPr>
          <w:p w14:paraId="8F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0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1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229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932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9429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95290000">
            <w:pPr>
              <w:widowControl w:val="1"/>
              <w:ind/>
              <w:contextualSpacing w:val="1"/>
              <w:rPr>
                <w:color w:val="000000"/>
                <w:sz w:val="22"/>
              </w:rPr>
            </w:pPr>
            <w:r>
              <w:rPr>
                <w:color w:val="000000"/>
                <w:sz w:val="22"/>
              </w:rPr>
              <w:t>295</w:t>
            </w:r>
          </w:p>
        </w:tc>
        <w:tc>
          <w:tcPr>
            <w:tcW w:type="dxa" w:w="1408"/>
            <w:tcBorders>
              <w:top w:color="000000" w:sz="4" w:val="single"/>
              <w:left w:color="000000" w:sz="4" w:val="single"/>
              <w:bottom w:color="000000" w:sz="4" w:val="single"/>
              <w:right w:color="000000" w:sz="4" w:val="single"/>
            </w:tcBorders>
            <w:shd w:fill="FFFFFF" w:val="clear"/>
            <w:vAlign w:val="center"/>
          </w:tcPr>
          <w:p w14:paraId="96290000">
            <w:pPr>
              <w:widowControl w:val="1"/>
              <w:ind/>
              <w:contextualSpacing w:val="1"/>
              <w:jc w:val="center"/>
              <w:rPr>
                <w:sz w:val="22"/>
              </w:rPr>
            </w:pPr>
            <w:r>
              <w:rPr>
                <w:sz w:val="22"/>
              </w:rPr>
              <w:t>ООО "Сибинтек"</w:t>
            </w:r>
          </w:p>
        </w:tc>
        <w:tc>
          <w:tcPr>
            <w:tcW w:type="dxa" w:w="1408"/>
            <w:tcBorders>
              <w:top w:color="000000" w:sz="4" w:val="single"/>
              <w:left w:color="000000" w:sz="4" w:val="single"/>
              <w:bottom w:color="000000" w:sz="4" w:val="single"/>
              <w:right w:color="000000" w:sz="4" w:val="single"/>
            </w:tcBorders>
            <w:shd w:fill="FFFFFF" w:val="clear"/>
            <w:vAlign w:val="center"/>
          </w:tcPr>
          <w:p w14:paraId="97290000">
            <w:pPr>
              <w:widowControl w:val="1"/>
              <w:ind/>
              <w:contextualSpacing w:val="1"/>
              <w:jc w:val="center"/>
              <w:rPr>
                <w:sz w:val="22"/>
              </w:rPr>
            </w:pPr>
            <w:r>
              <w:rPr>
                <w:sz w:val="22"/>
              </w:rPr>
              <w:t>счет № 84 от 18.10.2018</w:t>
            </w:r>
          </w:p>
        </w:tc>
        <w:tc>
          <w:tcPr>
            <w:tcW w:type="dxa" w:w="1274"/>
            <w:tcBorders>
              <w:top w:color="000000" w:sz="4" w:val="single"/>
              <w:left w:color="000000" w:sz="4" w:val="single"/>
              <w:bottom w:color="000000" w:sz="4" w:val="single"/>
              <w:right w:color="000000" w:sz="4" w:val="single"/>
            </w:tcBorders>
            <w:shd w:fill="FFFFFF" w:val="clear"/>
            <w:vAlign w:val="center"/>
          </w:tcPr>
          <w:p w14:paraId="98290000">
            <w:pPr>
              <w:widowControl w:val="1"/>
              <w:ind/>
              <w:contextualSpacing w:val="1"/>
              <w:jc w:val="center"/>
              <w:rPr>
                <w:sz w:val="22"/>
              </w:rPr>
            </w:pPr>
            <w:r>
              <w:rPr>
                <w:sz w:val="22"/>
              </w:rPr>
              <w:t>19.10.2018-31.10.2018</w:t>
            </w:r>
          </w:p>
        </w:tc>
        <w:tc>
          <w:tcPr>
            <w:tcW w:type="dxa" w:w="1556"/>
            <w:tcBorders>
              <w:top w:color="000000" w:sz="4" w:val="single"/>
              <w:left w:color="000000" w:sz="4" w:val="single"/>
              <w:bottom w:color="000000" w:sz="4" w:val="single"/>
              <w:right w:color="000000" w:sz="4" w:val="single"/>
            </w:tcBorders>
            <w:shd w:fill="FFFFFF" w:val="clear"/>
            <w:vAlign w:val="center"/>
          </w:tcPr>
          <w:p w14:paraId="99290000">
            <w:pPr>
              <w:widowControl w:val="1"/>
              <w:ind/>
              <w:contextualSpacing w:val="1"/>
              <w:jc w:val="center"/>
              <w:rPr>
                <w:sz w:val="22"/>
              </w:rPr>
            </w:pPr>
            <w:r>
              <w:rPr>
                <w:sz w:val="22"/>
              </w:rPr>
              <w:t>выполнение работ по монтажу и модернизации структурированной кабельной системы и сетей электроснабжения</w:t>
            </w:r>
          </w:p>
        </w:tc>
        <w:tc>
          <w:tcPr>
            <w:tcW w:type="dxa" w:w="1194"/>
            <w:tcBorders>
              <w:top w:color="000000" w:sz="4" w:val="single"/>
              <w:left w:color="000000" w:sz="4" w:val="single"/>
              <w:bottom w:color="000000" w:sz="4" w:val="single"/>
              <w:right w:color="000000" w:sz="4" w:val="single"/>
            </w:tcBorders>
            <w:shd w:fill="FFFFFF" w:val="clear"/>
            <w:vAlign w:val="center"/>
          </w:tcPr>
          <w:p w14:paraId="9A290000">
            <w:pPr>
              <w:widowControl w:val="1"/>
              <w:ind/>
              <w:contextualSpacing w:val="1"/>
              <w:jc w:val="center"/>
              <w:rPr>
                <w:sz w:val="22"/>
              </w:rPr>
            </w:pPr>
            <w:r>
              <w:rPr>
                <w:sz w:val="22"/>
              </w:rPr>
              <w:t>63 686,20</w:t>
            </w:r>
          </w:p>
        </w:tc>
        <w:tc>
          <w:tcPr>
            <w:tcW w:type="dxa" w:w="1221"/>
            <w:tcBorders>
              <w:top w:color="000000" w:sz="4" w:val="single"/>
              <w:left w:color="000000" w:sz="4" w:val="single"/>
              <w:bottom w:color="000000" w:sz="4" w:val="single"/>
              <w:right w:color="000000" w:sz="4" w:val="single"/>
            </w:tcBorders>
            <w:shd w:fill="FFFFFF" w:val="clear"/>
            <w:vAlign w:val="center"/>
          </w:tcPr>
          <w:p w14:paraId="9B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9C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9D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9E29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9F2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0290000">
            <w:pPr>
              <w:widowControl w:val="1"/>
              <w:ind/>
              <w:contextualSpacing w:val="1"/>
              <w:jc w:val="center"/>
              <w:rPr>
                <w:sz w:val="22"/>
              </w:rPr>
            </w:pPr>
            <w:r>
              <w:rPr>
                <w:sz w:val="22"/>
              </w:rPr>
              <w:t>Размещение заказа у единственного поставщика, согласно пп.29п. 89  положения утвержденного СД 22.10.2018г. Протокол № 5</w:t>
            </w:r>
          </w:p>
        </w:tc>
      </w:tr>
      <w:tr>
        <w:trPr>
          <w:trHeight w:hRule="atLeast" w:val="833"/>
        </w:trPr>
        <w:tc>
          <w:tcPr>
            <w:tcW w:type="dxa" w:w="14850"/>
            <w:gridSpan w:val="13"/>
            <w:tcBorders>
              <w:top w:color="000000" w:sz="4" w:val="single"/>
              <w:left w:color="000000" w:sz="4" w:val="single"/>
              <w:bottom w:color="000000" w:sz="4" w:val="single"/>
              <w:right w:color="000000" w:sz="4" w:val="single"/>
            </w:tcBorders>
            <w:shd w:fill="FFFFFF" w:val="clear"/>
            <w:vAlign w:val="center"/>
          </w:tcPr>
          <w:p w14:paraId="A1290000">
            <w:pPr>
              <w:widowControl w:val="1"/>
              <w:ind/>
              <w:contextualSpacing w:val="1"/>
              <w:jc w:val="center"/>
              <w:rPr>
                <w:color w:val="000000"/>
                <w:sz w:val="22"/>
              </w:rPr>
            </w:pPr>
            <w:r>
              <w:rPr>
                <w:color w:val="000000"/>
                <w:sz w:val="22"/>
              </w:rPr>
              <w:t>итого по контрагенту ООО "Сибинтек" 97190,20 руб.</w:t>
            </w:r>
          </w:p>
          <w:p w14:paraId="A2290000">
            <w:pPr>
              <w:widowControl w:val="1"/>
              <w:ind/>
              <w:contextualSpacing w:val="1"/>
              <w:jc w:val="center"/>
              <w:rPr>
                <w:sz w:val="22"/>
              </w:rPr>
            </w:pP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3290000">
            <w:pPr>
              <w:widowControl w:val="1"/>
              <w:ind/>
              <w:contextualSpacing w:val="1"/>
              <w:rPr>
                <w:color w:val="000000"/>
                <w:sz w:val="22"/>
              </w:rPr>
            </w:pPr>
            <w:r>
              <w:rPr>
                <w:color w:val="000000"/>
                <w:sz w:val="22"/>
              </w:rPr>
              <w:t>296</w:t>
            </w:r>
          </w:p>
        </w:tc>
        <w:tc>
          <w:tcPr>
            <w:tcW w:type="dxa" w:w="1408"/>
            <w:tcBorders>
              <w:top w:color="000000" w:sz="4" w:val="single"/>
              <w:left w:color="000000" w:sz="4" w:val="single"/>
              <w:bottom w:color="000000" w:sz="4" w:val="single"/>
              <w:right w:color="000000" w:sz="4" w:val="single"/>
            </w:tcBorders>
            <w:shd w:fill="FFFFFF" w:val="clear"/>
            <w:vAlign w:val="center"/>
          </w:tcPr>
          <w:p w14:paraId="A4290000">
            <w:pPr>
              <w:widowControl w:val="1"/>
              <w:ind/>
              <w:contextualSpacing w:val="1"/>
              <w:jc w:val="center"/>
              <w:rPr>
                <w:sz w:val="22"/>
              </w:rPr>
            </w:pPr>
            <w:r>
              <w:rPr>
                <w:sz w:val="22"/>
              </w:rPr>
              <w:t>АО "Енисейлес"</w:t>
            </w:r>
          </w:p>
        </w:tc>
        <w:tc>
          <w:tcPr>
            <w:tcW w:type="dxa" w:w="1408"/>
            <w:tcBorders>
              <w:top w:color="000000" w:sz="4" w:val="single"/>
              <w:left w:color="000000" w:sz="4" w:val="single"/>
              <w:bottom w:color="000000" w:sz="4" w:val="single"/>
              <w:right w:color="000000" w:sz="4" w:val="single"/>
            </w:tcBorders>
            <w:shd w:fill="FFFFFF" w:val="clear"/>
            <w:vAlign w:val="center"/>
          </w:tcPr>
          <w:p w14:paraId="A5290000">
            <w:pPr>
              <w:widowControl w:val="1"/>
              <w:ind/>
              <w:contextualSpacing w:val="1"/>
              <w:jc w:val="center"/>
              <w:rPr>
                <w:sz w:val="22"/>
              </w:rPr>
            </w:pPr>
            <w:r>
              <w:rPr>
                <w:sz w:val="22"/>
              </w:rPr>
              <w:t>счет № 206 от 30.11.2018</w:t>
            </w:r>
          </w:p>
        </w:tc>
        <w:tc>
          <w:tcPr>
            <w:tcW w:type="dxa" w:w="1274"/>
            <w:tcBorders>
              <w:top w:color="000000" w:sz="4" w:val="single"/>
              <w:left w:color="000000" w:sz="4" w:val="single"/>
              <w:bottom w:color="000000" w:sz="4" w:val="single"/>
              <w:right w:color="000000" w:sz="4" w:val="single"/>
            </w:tcBorders>
            <w:shd w:fill="FFFFFF" w:val="clear"/>
            <w:vAlign w:val="center"/>
          </w:tcPr>
          <w:p w14:paraId="A6290000">
            <w:pPr>
              <w:widowControl w:val="1"/>
              <w:ind/>
              <w:contextualSpacing w:val="1"/>
              <w:jc w:val="center"/>
              <w:rPr>
                <w:sz w:val="22"/>
              </w:rPr>
            </w:pPr>
            <w:r>
              <w:rPr>
                <w:sz w:val="22"/>
              </w:rPr>
              <w:t>30.11.2018-30.11.2018</w:t>
            </w:r>
          </w:p>
        </w:tc>
        <w:tc>
          <w:tcPr>
            <w:tcW w:type="dxa" w:w="1556"/>
            <w:tcBorders>
              <w:top w:color="000000" w:sz="4" w:val="single"/>
              <w:left w:color="000000" w:sz="4" w:val="single"/>
              <w:bottom w:color="000000" w:sz="4" w:val="single"/>
              <w:right w:color="000000" w:sz="4" w:val="single"/>
            </w:tcBorders>
            <w:shd w:fill="FFFFFF" w:val="clear"/>
            <w:vAlign w:val="center"/>
          </w:tcPr>
          <w:p w14:paraId="A7290000">
            <w:pPr>
              <w:widowControl w:val="1"/>
              <w:ind/>
              <w:contextualSpacing w:val="1"/>
              <w:jc w:val="center"/>
              <w:rPr>
                <w:sz w:val="22"/>
              </w:rPr>
            </w:pPr>
            <w:r>
              <w:rPr>
                <w:sz w:val="22"/>
              </w:rPr>
              <w:t>оказание услуг по изготовлению карт пропусков</w:t>
            </w:r>
          </w:p>
        </w:tc>
        <w:tc>
          <w:tcPr>
            <w:tcW w:type="dxa" w:w="1194"/>
            <w:tcBorders>
              <w:top w:color="000000" w:sz="4" w:val="single"/>
              <w:left w:color="000000" w:sz="4" w:val="single"/>
              <w:bottom w:color="000000" w:sz="4" w:val="single"/>
              <w:right w:color="000000" w:sz="4" w:val="single"/>
            </w:tcBorders>
            <w:shd w:fill="FFFFFF" w:val="clear"/>
            <w:vAlign w:val="center"/>
          </w:tcPr>
          <w:p w14:paraId="A8290000">
            <w:pPr>
              <w:widowControl w:val="1"/>
              <w:ind/>
              <w:contextualSpacing w:val="1"/>
              <w:jc w:val="center"/>
              <w:rPr>
                <w:sz w:val="22"/>
              </w:rPr>
            </w:pPr>
            <w:r>
              <w:rPr>
                <w:sz w:val="22"/>
              </w:rPr>
              <w:t>5 003,20</w:t>
            </w:r>
          </w:p>
        </w:tc>
        <w:tc>
          <w:tcPr>
            <w:tcW w:type="dxa" w:w="1221"/>
            <w:tcBorders>
              <w:top w:color="000000" w:sz="4" w:val="single"/>
              <w:left w:color="000000" w:sz="4" w:val="single"/>
              <w:bottom w:color="000000" w:sz="4" w:val="single"/>
              <w:right w:color="000000" w:sz="4" w:val="single"/>
            </w:tcBorders>
            <w:shd w:fill="FFFFFF" w:val="clear"/>
            <w:vAlign w:val="center"/>
          </w:tcPr>
          <w:p w14:paraId="A9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AA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AB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AC29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AD2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AE29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AF290000">
            <w:pPr>
              <w:widowControl w:val="1"/>
              <w:ind/>
              <w:contextualSpacing w:val="1"/>
              <w:rPr>
                <w:color w:val="000000"/>
                <w:sz w:val="22"/>
              </w:rPr>
            </w:pPr>
            <w:r>
              <w:rPr>
                <w:color w:val="000000"/>
                <w:sz w:val="22"/>
              </w:rPr>
              <w:t>297</w:t>
            </w:r>
          </w:p>
        </w:tc>
        <w:tc>
          <w:tcPr>
            <w:tcW w:type="dxa" w:w="1408"/>
            <w:tcBorders>
              <w:top w:color="000000" w:sz="4" w:val="single"/>
              <w:left w:color="000000" w:sz="4" w:val="single"/>
              <w:bottom w:color="000000" w:sz="4" w:val="single"/>
              <w:right w:color="000000" w:sz="4" w:val="single"/>
            </w:tcBorders>
            <w:shd w:fill="FFFFFF" w:val="clear"/>
            <w:vAlign w:val="center"/>
          </w:tcPr>
          <w:p w14:paraId="B0290000">
            <w:pPr>
              <w:widowControl w:val="1"/>
              <w:ind/>
              <w:contextualSpacing w:val="1"/>
              <w:jc w:val="center"/>
              <w:rPr>
                <w:sz w:val="22"/>
              </w:rPr>
            </w:pPr>
            <w:r>
              <w:rPr>
                <w:sz w:val="22"/>
              </w:rPr>
              <w:t>ООО "Медведь-Сервис Авто"</w:t>
            </w:r>
          </w:p>
        </w:tc>
        <w:tc>
          <w:tcPr>
            <w:tcW w:type="dxa" w:w="1408"/>
            <w:tcBorders>
              <w:top w:color="000000" w:sz="4" w:val="single"/>
              <w:left w:color="000000" w:sz="4" w:val="single"/>
              <w:bottom w:color="000000" w:sz="4" w:val="single"/>
              <w:right w:color="000000" w:sz="4" w:val="single"/>
            </w:tcBorders>
            <w:shd w:fill="FFFFFF" w:val="clear"/>
            <w:vAlign w:val="center"/>
          </w:tcPr>
          <w:p w14:paraId="B1290000">
            <w:pPr>
              <w:widowControl w:val="1"/>
              <w:ind/>
              <w:contextualSpacing w:val="1"/>
              <w:jc w:val="center"/>
              <w:rPr>
                <w:sz w:val="22"/>
              </w:rPr>
            </w:pPr>
            <w:r>
              <w:rPr>
                <w:sz w:val="22"/>
              </w:rPr>
              <w:t>счет № СПСС000260 от 11.12.2018</w:t>
            </w:r>
          </w:p>
        </w:tc>
        <w:tc>
          <w:tcPr>
            <w:tcW w:type="dxa" w:w="1274"/>
            <w:tcBorders>
              <w:top w:color="000000" w:sz="4" w:val="single"/>
              <w:left w:color="000000" w:sz="4" w:val="single"/>
              <w:bottom w:color="000000" w:sz="4" w:val="single"/>
              <w:right w:color="000000" w:sz="4" w:val="single"/>
            </w:tcBorders>
            <w:shd w:fill="FFFFFF" w:val="clear"/>
            <w:vAlign w:val="center"/>
          </w:tcPr>
          <w:p w14:paraId="B2290000">
            <w:pPr>
              <w:widowControl w:val="1"/>
              <w:ind/>
              <w:contextualSpacing w:val="1"/>
              <w:jc w:val="center"/>
              <w:rPr>
                <w:sz w:val="22"/>
              </w:rPr>
            </w:pPr>
            <w:r>
              <w:rPr>
                <w:sz w:val="22"/>
              </w:rPr>
              <w:t>11.12.2018-30.11.2018</w:t>
            </w:r>
          </w:p>
        </w:tc>
        <w:tc>
          <w:tcPr>
            <w:tcW w:type="dxa" w:w="1556"/>
            <w:tcBorders>
              <w:top w:color="000000" w:sz="4" w:val="single"/>
              <w:left w:color="000000" w:sz="4" w:val="single"/>
              <w:bottom w:color="000000" w:sz="4" w:val="single"/>
              <w:right w:color="000000" w:sz="4" w:val="single"/>
            </w:tcBorders>
            <w:shd w:fill="FFFFFF" w:val="clear"/>
            <w:vAlign w:val="center"/>
          </w:tcPr>
          <w:p w14:paraId="B3290000">
            <w:pPr>
              <w:widowControl w:val="1"/>
              <w:ind/>
              <w:contextualSpacing w:val="1"/>
              <w:jc w:val="center"/>
              <w:rPr>
                <w:sz w:val="22"/>
              </w:rPr>
            </w:pPr>
            <w:r>
              <w:rPr>
                <w:sz w:val="22"/>
              </w:rPr>
              <w:t>оказание услуг по техническому обслуживанию автомобиля</w:t>
            </w:r>
          </w:p>
        </w:tc>
        <w:tc>
          <w:tcPr>
            <w:tcW w:type="dxa" w:w="1194"/>
            <w:tcBorders>
              <w:top w:color="000000" w:sz="4" w:val="single"/>
              <w:left w:color="000000" w:sz="4" w:val="single"/>
              <w:bottom w:color="000000" w:sz="4" w:val="single"/>
              <w:right w:color="000000" w:sz="4" w:val="single"/>
            </w:tcBorders>
            <w:shd w:fill="FFFFFF" w:val="clear"/>
            <w:vAlign w:val="center"/>
          </w:tcPr>
          <w:p w14:paraId="B4290000">
            <w:pPr>
              <w:widowControl w:val="1"/>
              <w:ind/>
              <w:contextualSpacing w:val="1"/>
              <w:jc w:val="center"/>
              <w:rPr>
                <w:sz w:val="22"/>
              </w:rPr>
            </w:pPr>
            <w:r>
              <w:rPr>
                <w:sz w:val="22"/>
              </w:rPr>
              <w:t>8967,00</w:t>
            </w:r>
          </w:p>
        </w:tc>
        <w:tc>
          <w:tcPr>
            <w:tcW w:type="dxa" w:w="1221"/>
            <w:tcBorders>
              <w:top w:color="000000" w:sz="4" w:val="single"/>
              <w:left w:color="000000" w:sz="4" w:val="single"/>
              <w:bottom w:color="000000" w:sz="4" w:val="single"/>
              <w:right w:color="000000" w:sz="4" w:val="single"/>
            </w:tcBorders>
            <w:shd w:fill="FFFFFF" w:val="clear"/>
            <w:vAlign w:val="center"/>
          </w:tcPr>
          <w:p w14:paraId="B5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B6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B7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B829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B92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BA29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r>
        <w:trPr>
          <w:trHeight w:hRule="atLeast" w:val="1800"/>
        </w:trPr>
        <w:tc>
          <w:tcPr>
            <w:tcW w:type="dxa" w:w="528"/>
            <w:tcBorders>
              <w:top w:color="000000" w:sz="4" w:val="single"/>
              <w:left w:color="000000" w:sz="4" w:val="single"/>
              <w:bottom w:color="000000" w:sz="4" w:val="single"/>
              <w:right w:color="000000" w:sz="4" w:val="single"/>
            </w:tcBorders>
            <w:shd w:fill="FFFFFF" w:val="clear"/>
            <w:vAlign w:val="center"/>
          </w:tcPr>
          <w:p w14:paraId="BB290000">
            <w:pPr>
              <w:widowControl w:val="1"/>
              <w:ind/>
              <w:contextualSpacing w:val="1"/>
              <w:rPr>
                <w:color w:val="000000"/>
                <w:sz w:val="22"/>
              </w:rPr>
            </w:pPr>
            <w:r>
              <w:rPr>
                <w:color w:val="000000"/>
                <w:sz w:val="22"/>
              </w:rPr>
              <w:t>298</w:t>
            </w:r>
          </w:p>
        </w:tc>
        <w:tc>
          <w:tcPr>
            <w:tcW w:type="dxa" w:w="1408"/>
            <w:tcBorders>
              <w:top w:color="000000" w:sz="4" w:val="single"/>
              <w:left w:color="000000" w:sz="4" w:val="single"/>
              <w:bottom w:color="000000" w:sz="4" w:val="single"/>
              <w:right w:color="000000" w:sz="4" w:val="single"/>
            </w:tcBorders>
            <w:shd w:fill="FFFFFF" w:val="clear"/>
            <w:vAlign w:val="center"/>
          </w:tcPr>
          <w:p w14:paraId="BC290000">
            <w:pPr>
              <w:widowControl w:val="1"/>
              <w:ind/>
              <w:contextualSpacing w:val="1"/>
              <w:jc w:val="center"/>
              <w:rPr>
                <w:sz w:val="22"/>
              </w:rPr>
            </w:pPr>
            <w:r>
              <w:rPr>
                <w:sz w:val="22"/>
              </w:rPr>
              <w:t>ИП Демидова С.М</w:t>
            </w:r>
          </w:p>
        </w:tc>
        <w:tc>
          <w:tcPr>
            <w:tcW w:type="dxa" w:w="1408"/>
            <w:tcBorders>
              <w:top w:color="000000" w:sz="4" w:val="single"/>
              <w:left w:color="000000" w:sz="4" w:val="single"/>
              <w:bottom w:color="000000" w:sz="4" w:val="single"/>
              <w:right w:color="000000" w:sz="4" w:val="single"/>
            </w:tcBorders>
            <w:shd w:fill="FFFFFF" w:val="clear"/>
            <w:vAlign w:val="center"/>
          </w:tcPr>
          <w:p w14:paraId="BD290000">
            <w:pPr>
              <w:widowControl w:val="1"/>
              <w:ind/>
              <w:contextualSpacing w:val="1"/>
              <w:jc w:val="center"/>
              <w:rPr>
                <w:sz w:val="22"/>
              </w:rPr>
            </w:pPr>
            <w:r>
              <w:rPr>
                <w:sz w:val="22"/>
              </w:rPr>
              <w:t>счет № д-002853 от 12.12.2018</w:t>
            </w:r>
          </w:p>
        </w:tc>
        <w:tc>
          <w:tcPr>
            <w:tcW w:type="dxa" w:w="1274"/>
            <w:tcBorders>
              <w:top w:color="000000" w:sz="4" w:val="single"/>
              <w:left w:color="000000" w:sz="4" w:val="single"/>
              <w:bottom w:color="000000" w:sz="4" w:val="single"/>
              <w:right w:color="000000" w:sz="4" w:val="single"/>
            </w:tcBorders>
            <w:shd w:fill="FFFFFF" w:val="clear"/>
            <w:vAlign w:val="center"/>
          </w:tcPr>
          <w:p w14:paraId="BE290000">
            <w:pPr>
              <w:widowControl w:val="1"/>
              <w:ind/>
              <w:contextualSpacing w:val="1"/>
              <w:jc w:val="center"/>
              <w:rPr>
                <w:sz w:val="22"/>
              </w:rPr>
            </w:pPr>
            <w:r>
              <w:rPr>
                <w:sz w:val="22"/>
              </w:rPr>
              <w:t>12.12.2018-29.12.2018</w:t>
            </w:r>
          </w:p>
        </w:tc>
        <w:tc>
          <w:tcPr>
            <w:tcW w:type="dxa" w:w="1556"/>
            <w:tcBorders>
              <w:top w:color="000000" w:sz="4" w:val="single"/>
              <w:left w:color="000000" w:sz="4" w:val="single"/>
              <w:bottom w:color="000000" w:sz="4" w:val="single"/>
              <w:right w:color="000000" w:sz="4" w:val="single"/>
            </w:tcBorders>
            <w:shd w:fill="FFFFFF" w:val="clear"/>
            <w:vAlign w:val="center"/>
          </w:tcPr>
          <w:p w14:paraId="BF290000">
            <w:pPr>
              <w:widowControl w:val="1"/>
              <w:ind/>
              <w:contextualSpacing w:val="1"/>
              <w:jc w:val="center"/>
              <w:rPr>
                <w:sz w:val="22"/>
              </w:rPr>
            </w:pPr>
            <w:r>
              <w:rPr>
                <w:sz w:val="22"/>
              </w:rPr>
              <w:t>поставка жесткого диска, видеорегистратора, видеокамеры</w:t>
            </w:r>
          </w:p>
        </w:tc>
        <w:tc>
          <w:tcPr>
            <w:tcW w:type="dxa" w:w="1194"/>
            <w:tcBorders>
              <w:top w:color="000000" w:sz="4" w:val="single"/>
              <w:left w:color="000000" w:sz="4" w:val="single"/>
              <w:bottom w:color="000000" w:sz="4" w:val="single"/>
              <w:right w:color="000000" w:sz="4" w:val="single"/>
            </w:tcBorders>
            <w:shd w:fill="FFFFFF" w:val="clear"/>
            <w:vAlign w:val="center"/>
          </w:tcPr>
          <w:p w14:paraId="C0290000">
            <w:pPr>
              <w:widowControl w:val="1"/>
              <w:ind/>
              <w:contextualSpacing w:val="1"/>
              <w:jc w:val="center"/>
              <w:rPr>
                <w:sz w:val="22"/>
              </w:rPr>
            </w:pPr>
            <w:r>
              <w:rPr>
                <w:sz w:val="22"/>
              </w:rPr>
              <w:t>30610,00</w:t>
            </w:r>
          </w:p>
        </w:tc>
        <w:tc>
          <w:tcPr>
            <w:tcW w:type="dxa" w:w="1221"/>
            <w:tcBorders>
              <w:top w:color="000000" w:sz="4" w:val="single"/>
              <w:left w:color="000000" w:sz="4" w:val="single"/>
              <w:bottom w:color="000000" w:sz="4" w:val="single"/>
              <w:right w:color="000000" w:sz="4" w:val="single"/>
            </w:tcBorders>
            <w:shd w:fill="FFFFFF" w:val="clear"/>
            <w:vAlign w:val="center"/>
          </w:tcPr>
          <w:p w14:paraId="C1290000">
            <w:pPr>
              <w:widowControl w:val="1"/>
              <w:ind/>
              <w:contextualSpacing w:val="1"/>
              <w:jc w:val="center"/>
              <w:rPr>
                <w:color w:val="000000"/>
                <w:sz w:val="22"/>
              </w:rPr>
            </w:pPr>
            <w:r>
              <w:rPr>
                <w:color w:val="000000"/>
                <w:sz w:val="22"/>
              </w:rPr>
              <w:t>Отсутствует</w:t>
            </w:r>
          </w:p>
        </w:tc>
        <w:tc>
          <w:tcPr>
            <w:tcW w:type="dxa" w:w="1087"/>
            <w:tcBorders>
              <w:top w:color="000000" w:sz="4" w:val="single"/>
              <w:left w:color="000000" w:sz="4" w:val="single"/>
              <w:bottom w:color="000000" w:sz="4" w:val="single"/>
              <w:right w:color="000000" w:sz="4" w:val="single"/>
            </w:tcBorders>
            <w:shd w:fill="FFFFFF" w:val="clear"/>
            <w:vAlign w:val="center"/>
          </w:tcPr>
          <w:p w14:paraId="C2290000">
            <w:pPr>
              <w:widowControl w:val="1"/>
              <w:ind/>
              <w:contextualSpacing w:val="1"/>
              <w:jc w:val="center"/>
              <w:rPr>
                <w:color w:val="000000"/>
                <w:sz w:val="22"/>
              </w:rPr>
            </w:pPr>
            <w:r>
              <w:rPr>
                <w:color w:val="000000"/>
                <w:sz w:val="22"/>
              </w:rPr>
              <w:t>Отсутствует</w:t>
            </w:r>
          </w:p>
        </w:tc>
        <w:tc>
          <w:tcPr>
            <w:tcW w:type="dxa" w:w="936"/>
            <w:tcBorders>
              <w:top w:color="000000" w:sz="4" w:val="single"/>
              <w:left w:color="000000" w:sz="4" w:val="single"/>
              <w:bottom w:color="000000" w:sz="4" w:val="single"/>
              <w:right w:color="000000" w:sz="4" w:val="single"/>
            </w:tcBorders>
            <w:shd w:fill="FFFFFF" w:val="clear"/>
            <w:vAlign w:val="center"/>
          </w:tcPr>
          <w:p w14:paraId="C3290000">
            <w:pPr>
              <w:widowControl w:val="1"/>
              <w:ind/>
              <w:contextualSpacing w:val="1"/>
              <w:jc w:val="center"/>
              <w:rPr>
                <w:color w:val="000000"/>
                <w:sz w:val="22"/>
              </w:rPr>
            </w:pPr>
            <w:r>
              <w:rPr>
                <w:color w:val="000000"/>
                <w:sz w:val="22"/>
              </w:rPr>
              <w:t>Отсутствует</w:t>
            </w:r>
          </w:p>
        </w:tc>
        <w:tc>
          <w:tcPr>
            <w:tcW w:type="dxa" w:w="1117"/>
            <w:tcBorders>
              <w:top w:color="000000" w:sz="4" w:val="single"/>
              <w:left w:color="000000" w:sz="4" w:val="single"/>
              <w:bottom w:color="000000" w:sz="4" w:val="single"/>
              <w:right w:color="000000" w:sz="4" w:val="single"/>
            </w:tcBorders>
            <w:shd w:fill="FFFFFF" w:val="clear"/>
            <w:vAlign w:val="center"/>
          </w:tcPr>
          <w:p w14:paraId="C4290000">
            <w:pPr>
              <w:widowControl w:val="1"/>
              <w:ind/>
              <w:contextualSpacing w:val="1"/>
              <w:jc w:val="center"/>
              <w:rPr>
                <w:color w:val="000000"/>
                <w:sz w:val="22"/>
              </w:rPr>
            </w:pPr>
            <w:r>
              <w:rPr>
                <w:color w:val="000000"/>
                <w:sz w:val="22"/>
              </w:rPr>
              <w:t>выполнено</w:t>
            </w:r>
          </w:p>
        </w:tc>
        <w:tc>
          <w:tcPr>
            <w:tcW w:type="dxa" w:w="1345"/>
            <w:tcBorders>
              <w:top w:color="000000" w:sz="4" w:val="single"/>
              <w:left w:color="000000" w:sz="4" w:val="single"/>
              <w:bottom w:color="000000" w:sz="4" w:val="single"/>
              <w:right w:color="000000" w:sz="4" w:val="single"/>
            </w:tcBorders>
            <w:shd w:fill="FFFFFF" w:val="clear"/>
            <w:vAlign w:val="center"/>
          </w:tcPr>
          <w:p w14:paraId="C5290000">
            <w:pPr>
              <w:widowControl w:val="1"/>
              <w:ind/>
              <w:contextualSpacing w:val="1"/>
              <w:jc w:val="center"/>
              <w:rPr>
                <w:sz w:val="22"/>
              </w:rPr>
            </w:pPr>
            <w:r>
              <w:rPr>
                <w:sz w:val="22"/>
              </w:rPr>
              <w:t>корпоративные мероприятия не проводились, заключение договора относится к компетенции генерального директора</w:t>
            </w:r>
          </w:p>
        </w:tc>
        <w:tc>
          <w:tcPr>
            <w:tcW w:type="dxa" w:w="1776"/>
            <w:gridSpan w:val="2"/>
            <w:tcBorders>
              <w:top w:color="000000" w:sz="4" w:val="single"/>
              <w:left w:color="000000" w:sz="4" w:val="single"/>
              <w:bottom w:color="000000" w:sz="4" w:val="single"/>
              <w:right w:color="000000" w:sz="4" w:val="single"/>
            </w:tcBorders>
            <w:shd w:fill="FFFFFF" w:val="clear"/>
            <w:vAlign w:val="center"/>
          </w:tcPr>
          <w:p w14:paraId="C6290000">
            <w:pPr>
              <w:widowControl w:val="1"/>
              <w:ind/>
              <w:contextualSpacing w:val="1"/>
              <w:jc w:val="center"/>
              <w:rPr>
                <w:sz w:val="22"/>
              </w:rPr>
            </w:pPr>
            <w:r>
              <w:rPr>
                <w:sz w:val="22"/>
              </w:rPr>
              <w:t>Размещение заказа у единственного поставщика, согласно пп. 29 п. 89  положения утвержденного СД 22.10.2018г. Протокол № 5</w:t>
            </w:r>
          </w:p>
        </w:tc>
      </w:tr>
    </w:tbl>
    <w:p w14:paraId="C7290000">
      <w:pPr>
        <w:widowControl w:val="1"/>
        <w:ind w:firstLine="709"/>
        <w:contextualSpacing w:val="1"/>
        <w:rPr>
          <w:b w:val="1"/>
          <w:color w:val="000000"/>
        </w:rPr>
      </w:pPr>
    </w:p>
    <w:p w14:paraId="C8290000">
      <w:pPr>
        <w:widowControl w:val="1"/>
        <w:ind w:firstLine="709"/>
        <w:contextualSpacing w:val="1"/>
      </w:pPr>
    </w:p>
    <w:p w14:paraId="C9290000">
      <w:pPr>
        <w:sectPr>
          <w:headerReference r:id="rId1" w:type="default"/>
          <w:footerReference r:id="rId2" w:type="default"/>
          <w:footerReference r:id="rId13" w:type="even"/>
          <w:pgSz w:h="11907" w:orient="landscape" w:w="16840"/>
          <w:pgMar w:bottom="1134" w:footer="567" w:gutter="0" w:header="720" w:left="1418" w:right="850" w:top="567"/>
          <w:titlePg/>
        </w:sectPr>
      </w:pPr>
    </w:p>
    <w:p w14:paraId="CA290000">
      <w:bookmarkStart w:id="48" w:name="__RefHeading___41"/>
      <w:bookmarkEnd w:id="48"/>
      <w:pPr>
        <w:pStyle w:val="Style_10"/>
        <w:rPr>
          <w:i w:val="0"/>
        </w:rPr>
      </w:pPr>
      <w:r>
        <w:rPr>
          <w:i w:val="0"/>
        </w:rPr>
        <w:t xml:space="preserve">Приложение 3. </w:t>
      </w:r>
      <w:r>
        <w:rPr>
          <w:i w:val="0"/>
        </w:rPr>
        <w:t>Сделки 201</w:t>
      </w:r>
      <w:r>
        <w:rPr>
          <w:i w:val="0"/>
        </w:rPr>
        <w:t>8</w:t>
      </w:r>
      <w:r>
        <w:rPr>
          <w:i w:val="0"/>
        </w:rPr>
        <w:t>г., в совершении которых имеется заинтересованность</w:t>
      </w:r>
    </w:p>
    <w:p w14:paraId="CB290000">
      <w:pPr>
        <w:widowControl w:val="1"/>
        <w:ind w:firstLine="709"/>
        <w:contextualSpacing w:val="1"/>
        <w:rPr>
          <w:highlight w:val="magenta"/>
        </w:rPr>
      </w:pPr>
    </w:p>
    <w:tbl>
      <w:tblPr>
        <w:tblStyle w:val="Style_4"/>
        <w:tblW w:type="auto" w:w="0"/>
        <w:tblInd w:type="dxa" w:w="87"/>
        <w:tblLayout w:type="fixed"/>
      </w:tblPr>
      <w:tblGrid>
        <w:gridCol w:w="730"/>
        <w:gridCol w:w="2268"/>
        <w:gridCol w:w="1427"/>
        <w:gridCol w:w="2258"/>
        <w:gridCol w:w="2561"/>
        <w:gridCol w:w="1416"/>
        <w:gridCol w:w="1591"/>
        <w:gridCol w:w="2104"/>
      </w:tblGrid>
      <w:tr>
        <w:trPr>
          <w:trHeight w:hRule="atLeast" w:val="1470"/>
        </w:trPr>
        <w:tc>
          <w:tcPr>
            <w:tcW w:type="dxa" w:w="730"/>
            <w:tcBorders>
              <w:top w:color="000000" w:sz="4" w:val="single"/>
              <w:left w:color="000000" w:sz="4" w:val="single"/>
              <w:bottom w:color="000000" w:sz="4" w:val="single"/>
              <w:right w:color="000000" w:sz="4" w:val="single"/>
            </w:tcBorders>
            <w:shd w:fill="auto" w:val="clear"/>
            <w:vAlign w:val="center"/>
          </w:tcPr>
          <w:p w14:paraId="CC290000">
            <w:pPr>
              <w:widowControl w:val="1"/>
              <w:ind/>
              <w:contextualSpacing w:val="1"/>
              <w:jc w:val="center"/>
              <w:rPr>
                <w:b w:val="1"/>
                <w:color w:val="000000"/>
                <w:sz w:val="22"/>
              </w:rPr>
            </w:pPr>
            <w:r>
              <w:rPr>
                <w:b w:val="1"/>
                <w:color w:val="000000"/>
                <w:sz w:val="22"/>
              </w:rPr>
              <w:t>№ пп</w:t>
            </w:r>
          </w:p>
        </w:tc>
        <w:tc>
          <w:tcPr>
            <w:tcW w:type="dxa" w:w="2268"/>
            <w:tcBorders>
              <w:top w:color="000000" w:sz="4" w:val="single"/>
              <w:left w:sz="4" w:val="nil"/>
              <w:bottom w:color="000000" w:sz="4" w:val="single"/>
              <w:right w:color="000000" w:sz="4" w:val="single"/>
            </w:tcBorders>
            <w:shd w:fill="auto" w:val="clear"/>
            <w:vAlign w:val="center"/>
          </w:tcPr>
          <w:p w14:paraId="CD290000">
            <w:pPr>
              <w:widowControl w:val="1"/>
              <w:ind/>
              <w:contextualSpacing w:val="1"/>
              <w:jc w:val="center"/>
              <w:rPr>
                <w:b w:val="1"/>
                <w:color w:val="000000"/>
                <w:sz w:val="22"/>
              </w:rPr>
            </w:pPr>
            <w:r>
              <w:rPr>
                <w:b w:val="1"/>
                <w:color w:val="000000"/>
                <w:sz w:val="22"/>
              </w:rPr>
              <w:t>№ договора</w:t>
            </w:r>
          </w:p>
        </w:tc>
        <w:tc>
          <w:tcPr>
            <w:tcW w:type="dxa" w:w="1427"/>
            <w:tcBorders>
              <w:top w:color="000000" w:sz="4" w:val="single"/>
              <w:left w:sz="4" w:val="nil"/>
              <w:bottom w:color="000000" w:sz="4" w:val="single"/>
              <w:right w:color="000000" w:sz="4" w:val="single"/>
            </w:tcBorders>
            <w:shd w:fill="auto" w:val="clear"/>
            <w:vAlign w:val="center"/>
          </w:tcPr>
          <w:p w14:paraId="CE290000">
            <w:pPr>
              <w:widowControl w:val="1"/>
              <w:ind/>
              <w:contextualSpacing w:val="1"/>
              <w:jc w:val="center"/>
              <w:rPr>
                <w:b w:val="1"/>
                <w:color w:val="000000"/>
                <w:sz w:val="22"/>
              </w:rPr>
            </w:pPr>
            <w:r>
              <w:rPr>
                <w:b w:val="1"/>
                <w:color w:val="000000"/>
                <w:sz w:val="22"/>
              </w:rPr>
              <w:t>Дата заключения</w:t>
            </w:r>
          </w:p>
        </w:tc>
        <w:tc>
          <w:tcPr>
            <w:tcW w:type="dxa" w:w="2258"/>
            <w:tcBorders>
              <w:top w:color="000000" w:sz="4" w:val="single"/>
              <w:left w:sz="4" w:val="nil"/>
              <w:bottom w:color="000000" w:sz="4" w:val="single"/>
              <w:right w:color="000000" w:sz="4" w:val="single"/>
            </w:tcBorders>
            <w:shd w:fill="auto" w:val="clear"/>
            <w:vAlign w:val="center"/>
          </w:tcPr>
          <w:p w14:paraId="CF290000">
            <w:pPr>
              <w:widowControl w:val="1"/>
              <w:ind/>
              <w:contextualSpacing w:val="1"/>
              <w:jc w:val="center"/>
              <w:rPr>
                <w:b w:val="1"/>
                <w:color w:val="000000"/>
                <w:sz w:val="22"/>
              </w:rPr>
            </w:pPr>
            <w:r>
              <w:rPr>
                <w:b w:val="1"/>
                <w:color w:val="000000"/>
                <w:sz w:val="22"/>
              </w:rPr>
              <w:t>Контрагент</w:t>
            </w:r>
          </w:p>
        </w:tc>
        <w:tc>
          <w:tcPr>
            <w:tcW w:type="dxa" w:w="2561"/>
            <w:tcBorders>
              <w:top w:color="000000" w:sz="4" w:val="single"/>
              <w:left w:sz="4" w:val="nil"/>
              <w:bottom w:color="000000" w:sz="4" w:val="single"/>
              <w:right w:color="000000" w:sz="4" w:val="single"/>
            </w:tcBorders>
            <w:shd w:fill="auto" w:val="clear"/>
            <w:vAlign w:val="center"/>
          </w:tcPr>
          <w:p w14:paraId="D0290000">
            <w:pPr>
              <w:widowControl w:val="1"/>
              <w:ind/>
              <w:contextualSpacing w:val="1"/>
              <w:jc w:val="center"/>
              <w:rPr>
                <w:b w:val="1"/>
                <w:color w:val="000000"/>
                <w:sz w:val="22"/>
              </w:rPr>
            </w:pPr>
            <w:r>
              <w:rPr>
                <w:b w:val="1"/>
                <w:color w:val="000000"/>
                <w:sz w:val="22"/>
              </w:rPr>
              <w:t>Предмет договора</w:t>
            </w:r>
          </w:p>
        </w:tc>
        <w:tc>
          <w:tcPr>
            <w:tcW w:type="dxa" w:w="1416"/>
            <w:tcBorders>
              <w:top w:color="000000" w:sz="4" w:val="single"/>
              <w:left w:sz="4" w:val="nil"/>
              <w:bottom w:color="000000" w:sz="4" w:val="single"/>
              <w:right w:color="000000" w:sz="4" w:val="single"/>
            </w:tcBorders>
            <w:shd w:fill="auto" w:val="clear"/>
            <w:vAlign w:val="center"/>
          </w:tcPr>
          <w:p w14:paraId="D1290000">
            <w:pPr>
              <w:widowControl w:val="1"/>
              <w:ind/>
              <w:contextualSpacing w:val="1"/>
              <w:jc w:val="center"/>
              <w:rPr>
                <w:b w:val="1"/>
                <w:color w:val="000000"/>
                <w:sz w:val="22"/>
              </w:rPr>
            </w:pPr>
            <w:r>
              <w:rPr>
                <w:b w:val="1"/>
                <w:color w:val="000000"/>
                <w:sz w:val="22"/>
              </w:rPr>
              <w:t>Срок истечения действия договора</w:t>
            </w:r>
          </w:p>
        </w:tc>
        <w:tc>
          <w:tcPr>
            <w:tcW w:type="dxa" w:w="1591"/>
            <w:tcBorders>
              <w:top w:color="000000" w:sz="4" w:val="single"/>
              <w:left w:sz="4" w:val="nil"/>
              <w:bottom w:color="000000" w:sz="4" w:val="single"/>
              <w:right w:color="000000" w:sz="4" w:val="single"/>
            </w:tcBorders>
            <w:shd w:fill="auto" w:val="clear"/>
            <w:vAlign w:val="center"/>
          </w:tcPr>
          <w:p w14:paraId="D2290000">
            <w:pPr>
              <w:widowControl w:val="1"/>
              <w:ind/>
              <w:contextualSpacing w:val="1"/>
              <w:jc w:val="center"/>
              <w:rPr>
                <w:b w:val="1"/>
                <w:color w:val="000000"/>
                <w:sz w:val="22"/>
              </w:rPr>
            </w:pPr>
            <w:r>
              <w:rPr>
                <w:b w:val="1"/>
                <w:color w:val="000000"/>
                <w:sz w:val="22"/>
              </w:rPr>
              <w:t>Цена договора</w:t>
            </w:r>
          </w:p>
        </w:tc>
        <w:tc>
          <w:tcPr>
            <w:tcW w:type="dxa" w:w="2104"/>
            <w:tcBorders>
              <w:top w:color="000000" w:sz="4" w:val="single"/>
              <w:left w:sz="4" w:val="nil"/>
              <w:bottom w:sz="4" w:val="nil"/>
              <w:right w:color="000000" w:sz="4" w:val="single"/>
            </w:tcBorders>
            <w:shd w:fill="auto" w:val="clear"/>
            <w:vAlign w:val="center"/>
          </w:tcPr>
          <w:p w14:paraId="D3290000">
            <w:pPr>
              <w:widowControl w:val="1"/>
              <w:ind/>
              <w:contextualSpacing w:val="1"/>
              <w:jc w:val="center"/>
              <w:rPr>
                <w:b w:val="1"/>
                <w:sz w:val="22"/>
              </w:rPr>
            </w:pPr>
            <w:r>
              <w:rPr>
                <w:b w:val="1"/>
                <w:sz w:val="22"/>
              </w:rPr>
              <w:t>Решение компетентного органа управления Обществом об одобрении сделки</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D4290000">
            <w:pPr>
              <w:widowControl w:val="1"/>
              <w:ind/>
              <w:contextualSpacing w:val="1"/>
              <w:jc w:val="center"/>
              <w:rPr>
                <w:color w:val="000000"/>
                <w:sz w:val="22"/>
              </w:rPr>
            </w:pPr>
            <w:r>
              <w:rPr>
                <w:color w:val="000000"/>
                <w:sz w:val="22"/>
              </w:rPr>
              <w:t>1</w:t>
            </w:r>
          </w:p>
        </w:tc>
        <w:tc>
          <w:tcPr>
            <w:tcW w:type="dxa" w:w="2268"/>
            <w:tcBorders>
              <w:top w:sz="4" w:val="nil"/>
              <w:left w:sz="4" w:val="nil"/>
              <w:bottom w:color="000000" w:sz="4" w:val="single"/>
              <w:right w:color="000000" w:sz="4" w:val="single"/>
            </w:tcBorders>
            <w:shd w:fill="FFFFFF" w:val="clear"/>
            <w:vAlign w:val="center"/>
          </w:tcPr>
          <w:p w14:paraId="D5290000">
            <w:pPr>
              <w:widowControl w:val="1"/>
              <w:ind/>
              <w:contextualSpacing w:val="1"/>
              <w:jc w:val="center"/>
              <w:rPr>
                <w:sz w:val="22"/>
              </w:rPr>
            </w:pPr>
            <w:r>
              <w:rPr>
                <w:sz w:val="22"/>
              </w:rPr>
              <w:t>договор № 2731881 от 17.01.2018</w:t>
            </w:r>
          </w:p>
        </w:tc>
        <w:tc>
          <w:tcPr>
            <w:tcW w:type="dxa" w:w="1427"/>
            <w:tcBorders>
              <w:top w:sz="4" w:val="nil"/>
              <w:left w:sz="4" w:val="nil"/>
              <w:bottom w:color="000000" w:sz="4" w:val="single"/>
              <w:right w:color="000000" w:sz="4" w:val="single"/>
            </w:tcBorders>
            <w:shd w:fill="FFFFFF" w:val="clear"/>
            <w:vAlign w:val="center"/>
          </w:tcPr>
          <w:p w14:paraId="D6290000">
            <w:pPr>
              <w:widowControl w:val="1"/>
              <w:ind/>
              <w:contextualSpacing w:val="1"/>
              <w:jc w:val="center"/>
              <w:rPr>
                <w:sz w:val="22"/>
              </w:rPr>
            </w:pPr>
            <w:r>
              <w:rPr>
                <w:sz w:val="22"/>
              </w:rPr>
              <w:t>17.01.2018</w:t>
            </w:r>
          </w:p>
        </w:tc>
        <w:tc>
          <w:tcPr>
            <w:tcW w:type="dxa" w:w="2258"/>
            <w:tcBorders>
              <w:top w:sz="4" w:val="nil"/>
              <w:left w:sz="4" w:val="nil"/>
              <w:bottom w:color="000000" w:sz="4" w:val="single"/>
              <w:right w:color="000000" w:sz="4" w:val="single"/>
            </w:tcBorders>
            <w:shd w:fill="FFFFFF" w:val="clear"/>
            <w:vAlign w:val="center"/>
          </w:tcPr>
          <w:p w14:paraId="D7290000">
            <w:pPr>
              <w:widowControl w:val="1"/>
              <w:ind/>
              <w:contextualSpacing w:val="1"/>
              <w:jc w:val="center"/>
              <w:rPr>
                <w:sz w:val="22"/>
              </w:rPr>
            </w:pPr>
            <w:r>
              <w:rPr>
                <w:sz w:val="22"/>
              </w:rPr>
              <w:t>ОАО "РЖД" Красноярская дирекция по энергообеспечению</w:t>
            </w:r>
          </w:p>
        </w:tc>
        <w:tc>
          <w:tcPr>
            <w:tcW w:type="dxa" w:w="2561"/>
            <w:tcBorders>
              <w:top w:sz="4" w:val="nil"/>
              <w:left w:sz="4" w:val="nil"/>
              <w:bottom w:color="000000" w:sz="4" w:val="single"/>
              <w:right w:color="000000" w:sz="4" w:val="single"/>
            </w:tcBorders>
            <w:shd w:fill="auto" w:val="clear"/>
            <w:vAlign w:val="center"/>
          </w:tcPr>
          <w:p w14:paraId="D829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auto" w:val="clear"/>
            <w:vAlign w:val="center"/>
          </w:tcPr>
          <w:p w14:paraId="D929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FFFFFF" w:val="clear"/>
            <w:vAlign w:val="center"/>
          </w:tcPr>
          <w:p w14:paraId="DA290000">
            <w:pPr>
              <w:widowControl w:val="1"/>
              <w:ind/>
              <w:contextualSpacing w:val="1"/>
              <w:jc w:val="center"/>
              <w:rPr>
                <w:sz w:val="22"/>
              </w:rPr>
            </w:pPr>
            <w:r>
              <w:rPr>
                <w:sz w:val="22"/>
              </w:rPr>
              <w:t>2148640</w:t>
            </w:r>
          </w:p>
        </w:tc>
        <w:tc>
          <w:tcPr>
            <w:tcW w:type="dxa" w:w="2104"/>
            <w:tcBorders>
              <w:top w:color="000000" w:sz="4" w:val="single"/>
              <w:left w:sz="4" w:val="nil"/>
              <w:bottom w:color="000000" w:sz="4" w:val="single"/>
              <w:right w:color="000000" w:sz="4" w:val="single"/>
            </w:tcBorders>
            <w:shd w:fill="FFFFFF" w:val="clear"/>
            <w:vAlign w:val="center"/>
          </w:tcPr>
          <w:p w14:paraId="DB290000">
            <w:pPr>
              <w:widowControl w:val="1"/>
              <w:ind/>
              <w:contextualSpacing w:val="1"/>
              <w:jc w:val="center"/>
              <w:rPr>
                <w:sz w:val="22"/>
              </w:rPr>
            </w:pPr>
            <w:r>
              <w:rPr>
                <w:sz w:val="22"/>
              </w:rPr>
              <w:t>извещение о сделке направлено 21.11.2017, требование об одобрении сделки не поступило</w:t>
            </w:r>
          </w:p>
        </w:tc>
      </w:tr>
      <w:tr>
        <w:trPr>
          <w:trHeight w:hRule="atLeast" w:val="1215"/>
        </w:trPr>
        <w:tc>
          <w:tcPr>
            <w:tcW w:type="dxa" w:w="730"/>
            <w:tcBorders>
              <w:top w:sz="4" w:val="nil"/>
              <w:left w:color="000000" w:sz="4" w:val="single"/>
              <w:bottom w:color="000000" w:sz="4" w:val="single"/>
              <w:right w:color="000000" w:sz="4" w:val="single"/>
            </w:tcBorders>
            <w:shd w:fill="auto" w:val="clear"/>
            <w:vAlign w:val="center"/>
          </w:tcPr>
          <w:p w14:paraId="DC290000">
            <w:pPr>
              <w:widowControl w:val="1"/>
              <w:ind/>
              <w:contextualSpacing w:val="1"/>
              <w:jc w:val="center"/>
              <w:rPr>
                <w:color w:val="000000"/>
                <w:sz w:val="22"/>
              </w:rPr>
            </w:pPr>
            <w:r>
              <w:rPr>
                <w:color w:val="000000"/>
                <w:sz w:val="22"/>
              </w:rPr>
              <w:t>2</w:t>
            </w:r>
          </w:p>
        </w:tc>
        <w:tc>
          <w:tcPr>
            <w:tcW w:type="dxa" w:w="2268"/>
            <w:tcBorders>
              <w:top w:sz="4" w:val="nil"/>
              <w:left w:sz="4" w:val="nil"/>
              <w:bottom w:color="000000" w:sz="4" w:val="single"/>
              <w:right w:color="000000" w:sz="4" w:val="single"/>
            </w:tcBorders>
            <w:shd w:fill="auto" w:val="clear"/>
            <w:vAlign w:val="center"/>
          </w:tcPr>
          <w:p w14:paraId="DD290000">
            <w:pPr>
              <w:widowControl w:val="1"/>
              <w:ind/>
              <w:contextualSpacing w:val="1"/>
              <w:jc w:val="center"/>
              <w:rPr>
                <w:sz w:val="22"/>
              </w:rPr>
            </w:pPr>
            <w:r>
              <w:rPr>
                <w:sz w:val="22"/>
              </w:rPr>
              <w:t>дополнительное соглашение № 7 к договору № 47/23/15/ЦДМВ от 31.03.2015 от 19.01.2018</w:t>
            </w:r>
          </w:p>
        </w:tc>
        <w:tc>
          <w:tcPr>
            <w:tcW w:type="dxa" w:w="1427"/>
            <w:tcBorders>
              <w:top w:sz="4" w:val="nil"/>
              <w:left w:sz="4" w:val="nil"/>
              <w:bottom w:color="000000" w:sz="4" w:val="single"/>
              <w:right w:color="000000" w:sz="4" w:val="single"/>
            </w:tcBorders>
            <w:shd w:fill="auto" w:val="clear"/>
            <w:vAlign w:val="center"/>
          </w:tcPr>
          <w:p w14:paraId="DE290000">
            <w:pPr>
              <w:widowControl w:val="1"/>
              <w:ind/>
              <w:contextualSpacing w:val="1"/>
              <w:jc w:val="center"/>
              <w:rPr>
                <w:sz w:val="22"/>
              </w:rPr>
            </w:pPr>
            <w:r>
              <w:rPr>
                <w:sz w:val="22"/>
              </w:rPr>
              <w:t>19.01.2018</w:t>
            </w:r>
          </w:p>
        </w:tc>
        <w:tc>
          <w:tcPr>
            <w:tcW w:type="dxa" w:w="2258"/>
            <w:tcBorders>
              <w:top w:sz="4" w:val="nil"/>
              <w:left w:sz="4" w:val="nil"/>
              <w:bottom w:color="000000" w:sz="4" w:val="single"/>
              <w:right w:color="000000" w:sz="4" w:val="single"/>
            </w:tcBorders>
            <w:shd w:fill="auto" w:val="clear"/>
            <w:vAlign w:val="center"/>
          </w:tcPr>
          <w:p w14:paraId="DF290000">
            <w:pPr>
              <w:widowControl w:val="1"/>
              <w:ind/>
              <w:contextualSpacing w:val="1"/>
              <w:jc w:val="center"/>
              <w:rPr>
                <w:sz w:val="22"/>
              </w:rPr>
            </w:pPr>
            <w:r>
              <w:rPr>
                <w:sz w:val="22"/>
              </w:rPr>
              <w:t>ОАО "РЖД" Центральная дирекция моторвагонного подвижного состава</w:t>
            </w:r>
          </w:p>
        </w:tc>
        <w:tc>
          <w:tcPr>
            <w:tcW w:type="dxa" w:w="2561"/>
            <w:tcBorders>
              <w:top w:sz="4" w:val="nil"/>
              <w:left w:sz="4" w:val="nil"/>
              <w:bottom w:color="000000" w:sz="4" w:val="single"/>
              <w:right w:color="000000" w:sz="4" w:val="single"/>
            </w:tcBorders>
            <w:shd w:fill="auto" w:val="clear"/>
            <w:vAlign w:val="center"/>
          </w:tcPr>
          <w:p w14:paraId="E0290000">
            <w:pPr>
              <w:widowControl w:val="1"/>
              <w:ind/>
              <w:contextualSpacing w:val="1"/>
              <w:jc w:val="center"/>
              <w:rPr>
                <w:sz w:val="22"/>
              </w:rPr>
            </w:pPr>
            <w:r>
              <w:rPr>
                <w:sz w:val="22"/>
              </w:rPr>
              <w:t>увеличение цены договора аренды железнодорожного подвижного состава с экипажем на 9 229 951,87 руб. в связи с изменением объемов услуг</w:t>
            </w:r>
          </w:p>
        </w:tc>
        <w:tc>
          <w:tcPr>
            <w:tcW w:type="dxa" w:w="1416"/>
            <w:tcBorders>
              <w:top w:sz="4" w:val="nil"/>
              <w:left w:sz="4" w:val="nil"/>
              <w:bottom w:color="000000" w:sz="4" w:val="single"/>
              <w:right w:color="000000" w:sz="4" w:val="single"/>
            </w:tcBorders>
            <w:shd w:fill="auto" w:val="clear"/>
            <w:vAlign w:val="center"/>
          </w:tcPr>
          <w:p w14:paraId="E1290000">
            <w:pPr>
              <w:widowControl w:val="1"/>
              <w:ind/>
              <w:contextualSpacing w:val="1"/>
              <w:jc w:val="center"/>
              <w:rPr>
                <w:sz w:val="22"/>
              </w:rPr>
            </w:pPr>
            <w:r>
              <w:rPr>
                <w:sz w:val="22"/>
              </w:rPr>
              <w:t>01.01.2015-31.03.2018</w:t>
            </w:r>
          </w:p>
        </w:tc>
        <w:tc>
          <w:tcPr>
            <w:tcW w:type="dxa" w:w="1591"/>
            <w:tcBorders>
              <w:top w:sz="4" w:val="nil"/>
              <w:left w:sz="4" w:val="nil"/>
              <w:bottom w:color="000000" w:sz="4" w:val="single"/>
              <w:right w:color="000000" w:sz="4" w:val="single"/>
            </w:tcBorders>
            <w:shd w:fill="auto" w:val="clear"/>
            <w:vAlign w:val="center"/>
          </w:tcPr>
          <w:p w14:paraId="E2290000">
            <w:pPr>
              <w:widowControl w:val="1"/>
              <w:ind/>
              <w:contextualSpacing w:val="1"/>
              <w:jc w:val="center"/>
              <w:rPr>
                <w:sz w:val="22"/>
              </w:rPr>
            </w:pPr>
            <w:r>
              <w:rPr>
                <w:sz w:val="22"/>
              </w:rPr>
              <w:t>1155139842,65</w:t>
            </w:r>
          </w:p>
        </w:tc>
        <w:tc>
          <w:tcPr>
            <w:tcW w:type="dxa" w:w="2104"/>
            <w:tcBorders>
              <w:top w:sz="4" w:val="nil"/>
              <w:left w:sz="4" w:val="nil"/>
              <w:bottom w:color="000000" w:sz="4" w:val="single"/>
              <w:right w:color="000000" w:sz="4" w:val="single"/>
            </w:tcBorders>
            <w:shd w:fill="FFFFFF" w:val="clear"/>
            <w:vAlign w:val="center"/>
          </w:tcPr>
          <w:p w14:paraId="E3290000">
            <w:pPr>
              <w:widowControl w:val="1"/>
              <w:ind/>
              <w:contextualSpacing w:val="1"/>
              <w:jc w:val="center"/>
              <w:rPr>
                <w:sz w:val="22"/>
              </w:rPr>
            </w:pPr>
            <w:r>
              <w:rPr>
                <w:sz w:val="22"/>
              </w:rPr>
              <w:t>извещение о сделке направлено 09.11.2017,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E4290000">
            <w:pPr>
              <w:widowControl w:val="1"/>
              <w:ind/>
              <w:contextualSpacing w:val="1"/>
              <w:jc w:val="center"/>
              <w:rPr>
                <w:color w:val="000000"/>
                <w:sz w:val="22"/>
              </w:rPr>
            </w:pPr>
            <w:r>
              <w:rPr>
                <w:color w:val="000000"/>
                <w:sz w:val="22"/>
              </w:rPr>
              <w:t>3</w:t>
            </w:r>
          </w:p>
        </w:tc>
        <w:tc>
          <w:tcPr>
            <w:tcW w:type="dxa" w:w="2268"/>
            <w:tcBorders>
              <w:top w:sz="4" w:val="nil"/>
              <w:left w:sz="4" w:val="nil"/>
              <w:bottom w:color="000000" w:sz="4" w:val="single"/>
              <w:right w:color="000000" w:sz="4" w:val="single"/>
            </w:tcBorders>
            <w:shd w:fill="auto" w:val="clear"/>
            <w:vAlign w:val="center"/>
          </w:tcPr>
          <w:p w14:paraId="E5290000">
            <w:pPr>
              <w:widowControl w:val="1"/>
              <w:ind/>
              <w:contextualSpacing w:val="1"/>
              <w:jc w:val="center"/>
              <w:rPr>
                <w:sz w:val="22"/>
              </w:rPr>
            </w:pPr>
            <w:r>
              <w:rPr>
                <w:sz w:val="22"/>
              </w:rPr>
              <w:t>договор № 2738039 от 19.01.2018</w:t>
            </w:r>
          </w:p>
        </w:tc>
        <w:tc>
          <w:tcPr>
            <w:tcW w:type="dxa" w:w="1427"/>
            <w:tcBorders>
              <w:top w:sz="4" w:val="nil"/>
              <w:left w:sz="4" w:val="nil"/>
              <w:bottom w:color="000000" w:sz="4" w:val="single"/>
              <w:right w:color="000000" w:sz="4" w:val="single"/>
            </w:tcBorders>
            <w:shd w:fill="auto" w:val="clear"/>
            <w:vAlign w:val="center"/>
          </w:tcPr>
          <w:p w14:paraId="E6290000">
            <w:pPr>
              <w:widowControl w:val="1"/>
              <w:ind/>
              <w:contextualSpacing w:val="1"/>
              <w:jc w:val="center"/>
              <w:rPr>
                <w:sz w:val="22"/>
              </w:rPr>
            </w:pPr>
            <w:r>
              <w:rPr>
                <w:sz w:val="22"/>
              </w:rPr>
              <w:t>19.01.2018</w:t>
            </w:r>
          </w:p>
        </w:tc>
        <w:tc>
          <w:tcPr>
            <w:tcW w:type="dxa" w:w="2258"/>
            <w:tcBorders>
              <w:top w:sz="4" w:val="nil"/>
              <w:left w:sz="4" w:val="nil"/>
              <w:bottom w:color="000000" w:sz="4" w:val="single"/>
              <w:right w:color="000000" w:sz="4" w:val="single"/>
            </w:tcBorders>
            <w:shd w:fill="FFFFFF" w:val="clear"/>
            <w:vAlign w:val="center"/>
          </w:tcPr>
          <w:p w14:paraId="E7290000">
            <w:pPr>
              <w:widowControl w:val="1"/>
              <w:ind/>
              <w:contextualSpacing w:val="1"/>
              <w:jc w:val="center"/>
              <w:rPr>
                <w:sz w:val="22"/>
              </w:rPr>
            </w:pPr>
            <w:r>
              <w:rPr>
                <w:sz w:val="22"/>
              </w:rPr>
              <w:t>ОАО "РЖД" Красноярская дирекция железнодорожных вокзалов</w:t>
            </w:r>
          </w:p>
        </w:tc>
        <w:tc>
          <w:tcPr>
            <w:tcW w:type="dxa" w:w="2561"/>
            <w:tcBorders>
              <w:top w:sz="4" w:val="nil"/>
              <w:left w:sz="4" w:val="nil"/>
              <w:bottom w:color="000000" w:sz="4" w:val="single"/>
              <w:right w:color="000000" w:sz="4" w:val="single"/>
            </w:tcBorders>
            <w:shd w:fill="auto" w:val="clear"/>
            <w:vAlign w:val="center"/>
          </w:tcPr>
          <w:p w14:paraId="E829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E929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EA290000">
            <w:pPr>
              <w:widowControl w:val="1"/>
              <w:ind/>
              <w:contextualSpacing w:val="1"/>
              <w:jc w:val="center"/>
              <w:rPr>
                <w:sz w:val="22"/>
              </w:rPr>
            </w:pPr>
            <w:r>
              <w:rPr>
                <w:sz w:val="22"/>
              </w:rPr>
              <w:t>450000,00</w:t>
            </w:r>
          </w:p>
        </w:tc>
        <w:tc>
          <w:tcPr>
            <w:tcW w:type="dxa" w:w="2104"/>
            <w:tcBorders>
              <w:top w:sz="4" w:val="nil"/>
              <w:left w:sz="4" w:val="nil"/>
              <w:bottom w:color="000000" w:sz="4" w:val="single"/>
              <w:right w:color="000000" w:sz="4" w:val="single"/>
            </w:tcBorders>
            <w:shd w:fill="FFFFFF" w:val="clear"/>
            <w:vAlign w:val="center"/>
          </w:tcPr>
          <w:p w14:paraId="EB290000">
            <w:pPr>
              <w:widowControl w:val="1"/>
              <w:ind/>
              <w:contextualSpacing w:val="1"/>
              <w:jc w:val="center"/>
              <w:rPr>
                <w:sz w:val="22"/>
              </w:rPr>
            </w:pPr>
            <w:r>
              <w:rPr>
                <w:sz w:val="22"/>
              </w:rPr>
              <w:t>извещение о сделке направлено 21.11.2017,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EC290000">
            <w:pPr>
              <w:widowControl w:val="1"/>
              <w:ind/>
              <w:contextualSpacing w:val="1"/>
              <w:jc w:val="center"/>
              <w:rPr>
                <w:color w:val="000000"/>
                <w:sz w:val="22"/>
              </w:rPr>
            </w:pPr>
            <w:r>
              <w:rPr>
                <w:color w:val="000000"/>
                <w:sz w:val="22"/>
              </w:rPr>
              <w:t>4</w:t>
            </w:r>
          </w:p>
        </w:tc>
        <w:tc>
          <w:tcPr>
            <w:tcW w:type="dxa" w:w="2268"/>
            <w:tcBorders>
              <w:top w:sz="4" w:val="nil"/>
              <w:left w:sz="4" w:val="nil"/>
              <w:bottom w:color="000000" w:sz="4" w:val="single"/>
              <w:right w:color="000000" w:sz="4" w:val="single"/>
            </w:tcBorders>
            <w:shd w:fill="FFFFFF" w:val="clear"/>
            <w:vAlign w:val="center"/>
          </w:tcPr>
          <w:p w14:paraId="ED290000">
            <w:pPr>
              <w:widowControl w:val="1"/>
              <w:ind/>
              <w:contextualSpacing w:val="1"/>
              <w:jc w:val="center"/>
              <w:rPr>
                <w:sz w:val="22"/>
              </w:rPr>
            </w:pPr>
            <w:r>
              <w:rPr>
                <w:sz w:val="22"/>
              </w:rPr>
              <w:t>дополнительное соглашение № 3 к договору № 1773517 от 26.01.2016 от 19.01.2018</w:t>
            </w:r>
          </w:p>
        </w:tc>
        <w:tc>
          <w:tcPr>
            <w:tcW w:type="dxa" w:w="1427"/>
            <w:tcBorders>
              <w:top w:sz="4" w:val="nil"/>
              <w:left w:sz="4" w:val="nil"/>
              <w:bottom w:color="000000" w:sz="4" w:val="single"/>
              <w:right w:color="000000" w:sz="4" w:val="single"/>
            </w:tcBorders>
            <w:shd w:fill="FFFFFF" w:val="clear"/>
            <w:vAlign w:val="center"/>
          </w:tcPr>
          <w:p w14:paraId="EE290000">
            <w:pPr>
              <w:widowControl w:val="1"/>
              <w:ind/>
              <w:contextualSpacing w:val="1"/>
              <w:jc w:val="center"/>
              <w:rPr>
                <w:sz w:val="22"/>
              </w:rPr>
            </w:pPr>
            <w:r>
              <w:rPr>
                <w:sz w:val="22"/>
              </w:rPr>
              <w:t>19.01.2018</w:t>
            </w:r>
          </w:p>
        </w:tc>
        <w:tc>
          <w:tcPr>
            <w:tcW w:type="dxa" w:w="2258"/>
            <w:tcBorders>
              <w:top w:sz="4" w:val="nil"/>
              <w:left w:sz="4" w:val="nil"/>
              <w:bottom w:color="000000" w:sz="4" w:val="single"/>
              <w:right w:color="000000" w:sz="4" w:val="single"/>
            </w:tcBorders>
            <w:shd w:fill="FFFFFF" w:val="clear"/>
            <w:vAlign w:val="center"/>
          </w:tcPr>
          <w:p w14:paraId="EF290000">
            <w:pPr>
              <w:widowControl w:val="1"/>
              <w:ind/>
              <w:contextualSpacing w:val="1"/>
              <w:jc w:val="center"/>
              <w:rPr>
                <w:sz w:val="22"/>
              </w:rPr>
            </w:pPr>
            <w:r>
              <w:rPr>
                <w:sz w:val="22"/>
              </w:rPr>
              <w:t>ОАО "РЖД" Красноярская дирекция инфраструктуры</w:t>
            </w:r>
          </w:p>
        </w:tc>
        <w:tc>
          <w:tcPr>
            <w:tcW w:type="dxa" w:w="2561"/>
            <w:tcBorders>
              <w:top w:sz="4" w:val="nil"/>
              <w:left w:sz="4" w:val="nil"/>
              <w:bottom w:color="000000" w:sz="4" w:val="single"/>
              <w:right w:color="000000" w:sz="4" w:val="single"/>
            </w:tcBorders>
            <w:shd w:fill="FFFFFF" w:val="clear"/>
            <w:vAlign w:val="center"/>
          </w:tcPr>
          <w:p w14:paraId="F0290000">
            <w:pPr>
              <w:widowControl w:val="1"/>
              <w:ind/>
              <w:contextualSpacing w:val="1"/>
              <w:jc w:val="center"/>
              <w:rPr>
                <w:sz w:val="22"/>
              </w:rPr>
            </w:pPr>
            <w:r>
              <w:rPr>
                <w:sz w:val="22"/>
              </w:rPr>
              <w:t>определение цены договора на перевозку работников до 31.12.2018</w:t>
            </w:r>
          </w:p>
        </w:tc>
        <w:tc>
          <w:tcPr>
            <w:tcW w:type="dxa" w:w="1416"/>
            <w:tcBorders>
              <w:top w:sz="4" w:val="nil"/>
              <w:left w:sz="4" w:val="nil"/>
              <w:bottom w:color="000000" w:sz="4" w:val="single"/>
              <w:right w:color="000000" w:sz="4" w:val="single"/>
            </w:tcBorders>
            <w:shd w:fill="FFFFFF" w:val="clear"/>
            <w:vAlign w:val="center"/>
          </w:tcPr>
          <w:p w14:paraId="F1290000">
            <w:pPr>
              <w:widowControl w:val="1"/>
              <w:ind/>
              <w:contextualSpacing w:val="1"/>
              <w:jc w:val="center"/>
              <w:rPr>
                <w:sz w:val="22"/>
              </w:rPr>
            </w:pPr>
            <w:r>
              <w:rPr>
                <w:sz w:val="22"/>
              </w:rPr>
              <w:t>01.01.2016-31.12.2018 пролонгация</w:t>
            </w:r>
          </w:p>
        </w:tc>
        <w:tc>
          <w:tcPr>
            <w:tcW w:type="dxa" w:w="1591"/>
            <w:tcBorders>
              <w:top w:sz="4" w:val="nil"/>
              <w:left w:sz="4" w:val="nil"/>
              <w:bottom w:color="000000" w:sz="4" w:val="single"/>
              <w:right w:color="000000" w:sz="4" w:val="single"/>
            </w:tcBorders>
            <w:shd w:fill="FFFFFF" w:val="clear"/>
            <w:vAlign w:val="center"/>
          </w:tcPr>
          <w:p w14:paraId="F2290000">
            <w:pPr>
              <w:widowControl w:val="1"/>
              <w:ind/>
              <w:contextualSpacing w:val="1"/>
              <w:jc w:val="center"/>
              <w:rPr>
                <w:sz w:val="22"/>
              </w:rPr>
            </w:pPr>
            <w:r>
              <w:rPr>
                <w:sz w:val="22"/>
              </w:rPr>
              <w:t>4099300,00</w:t>
            </w:r>
          </w:p>
        </w:tc>
        <w:tc>
          <w:tcPr>
            <w:tcW w:type="dxa" w:w="2104"/>
            <w:tcBorders>
              <w:top w:sz="4" w:val="nil"/>
              <w:left w:sz="4" w:val="nil"/>
              <w:bottom w:color="000000" w:sz="4" w:val="single"/>
              <w:right w:color="000000" w:sz="4" w:val="single"/>
            </w:tcBorders>
            <w:shd w:fill="FFFFFF" w:val="clear"/>
            <w:vAlign w:val="center"/>
          </w:tcPr>
          <w:p w14:paraId="F3290000">
            <w:pPr>
              <w:widowControl w:val="1"/>
              <w:ind/>
              <w:contextualSpacing w:val="1"/>
              <w:jc w:val="center"/>
              <w:rPr>
                <w:sz w:val="22"/>
              </w:rPr>
            </w:pPr>
            <w:r>
              <w:rPr>
                <w:sz w:val="22"/>
              </w:rPr>
              <w:t>извещение о сделке направлено 21.11.2017,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F4290000">
            <w:pPr>
              <w:widowControl w:val="1"/>
              <w:ind/>
              <w:contextualSpacing w:val="1"/>
              <w:jc w:val="center"/>
              <w:rPr>
                <w:color w:val="000000"/>
                <w:sz w:val="22"/>
              </w:rPr>
            </w:pPr>
            <w:r>
              <w:rPr>
                <w:color w:val="000000"/>
                <w:sz w:val="22"/>
              </w:rPr>
              <w:t>5</w:t>
            </w:r>
          </w:p>
        </w:tc>
        <w:tc>
          <w:tcPr>
            <w:tcW w:type="dxa" w:w="2268"/>
            <w:tcBorders>
              <w:top w:sz="4" w:val="nil"/>
              <w:left w:sz="4" w:val="nil"/>
              <w:bottom w:color="000000" w:sz="4" w:val="single"/>
              <w:right w:color="000000" w:sz="4" w:val="single"/>
            </w:tcBorders>
            <w:shd w:fill="auto" w:val="clear"/>
            <w:vAlign w:val="center"/>
          </w:tcPr>
          <w:p w14:paraId="F5290000">
            <w:pPr>
              <w:widowControl w:val="1"/>
              <w:ind/>
              <w:contextualSpacing w:val="1"/>
              <w:jc w:val="center"/>
              <w:rPr>
                <w:sz w:val="22"/>
              </w:rPr>
            </w:pPr>
            <w:r>
              <w:rPr>
                <w:sz w:val="22"/>
              </w:rPr>
              <w:t>договор № 2740461 от 23.01.2018</w:t>
            </w:r>
          </w:p>
        </w:tc>
        <w:tc>
          <w:tcPr>
            <w:tcW w:type="dxa" w:w="1427"/>
            <w:tcBorders>
              <w:top w:sz="4" w:val="nil"/>
              <w:left w:sz="4" w:val="nil"/>
              <w:bottom w:color="000000" w:sz="4" w:val="single"/>
              <w:right w:color="000000" w:sz="4" w:val="single"/>
            </w:tcBorders>
            <w:shd w:fill="auto" w:val="clear"/>
            <w:vAlign w:val="center"/>
          </w:tcPr>
          <w:p w14:paraId="F6290000">
            <w:pPr>
              <w:widowControl w:val="1"/>
              <w:ind/>
              <w:contextualSpacing w:val="1"/>
              <w:jc w:val="center"/>
              <w:rPr>
                <w:sz w:val="22"/>
              </w:rPr>
            </w:pPr>
            <w:r>
              <w:rPr>
                <w:sz w:val="22"/>
              </w:rPr>
              <w:t>23.01.2018</w:t>
            </w:r>
          </w:p>
        </w:tc>
        <w:tc>
          <w:tcPr>
            <w:tcW w:type="dxa" w:w="2258"/>
            <w:tcBorders>
              <w:top w:sz="4" w:val="nil"/>
              <w:left w:sz="4" w:val="nil"/>
              <w:bottom w:color="000000" w:sz="4" w:val="single"/>
              <w:right w:color="000000" w:sz="4" w:val="single"/>
            </w:tcBorders>
            <w:shd w:fill="auto" w:val="clear"/>
            <w:vAlign w:val="center"/>
          </w:tcPr>
          <w:p w14:paraId="F7290000">
            <w:pPr>
              <w:widowControl w:val="1"/>
              <w:ind/>
              <w:contextualSpacing w:val="1"/>
              <w:jc w:val="center"/>
              <w:rPr>
                <w:sz w:val="22"/>
              </w:rPr>
            </w:pPr>
            <w:r>
              <w:rPr>
                <w:sz w:val="22"/>
              </w:rPr>
              <w:t>ОАО "РЖД" Красноярская железная дорога</w:t>
            </w:r>
          </w:p>
        </w:tc>
        <w:tc>
          <w:tcPr>
            <w:tcW w:type="dxa" w:w="2561"/>
            <w:tcBorders>
              <w:top w:sz="4" w:val="nil"/>
              <w:left w:sz="4" w:val="nil"/>
              <w:bottom w:color="000000" w:sz="4" w:val="single"/>
              <w:right w:color="000000" w:sz="4" w:val="single"/>
            </w:tcBorders>
            <w:shd w:fill="FFFFFF" w:val="clear"/>
            <w:vAlign w:val="center"/>
          </w:tcPr>
          <w:p w14:paraId="F829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F929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FA290000">
            <w:pPr>
              <w:widowControl w:val="1"/>
              <w:ind/>
              <w:contextualSpacing w:val="1"/>
              <w:jc w:val="center"/>
              <w:rPr>
                <w:sz w:val="22"/>
              </w:rPr>
            </w:pPr>
            <w:r>
              <w:rPr>
                <w:sz w:val="22"/>
              </w:rPr>
              <w:t>2190000</w:t>
            </w:r>
          </w:p>
        </w:tc>
        <w:tc>
          <w:tcPr>
            <w:tcW w:type="dxa" w:w="2104"/>
            <w:tcBorders>
              <w:top w:sz="4" w:val="nil"/>
              <w:left w:sz="4" w:val="nil"/>
              <w:bottom w:color="000000" w:sz="4" w:val="single"/>
              <w:right w:color="000000" w:sz="4" w:val="single"/>
            </w:tcBorders>
            <w:shd w:fill="FFFFFF" w:val="clear"/>
            <w:vAlign w:val="center"/>
          </w:tcPr>
          <w:p w14:paraId="FB290000">
            <w:pPr>
              <w:widowControl w:val="1"/>
              <w:ind/>
              <w:contextualSpacing w:val="1"/>
              <w:jc w:val="center"/>
              <w:rPr>
                <w:sz w:val="22"/>
              </w:rPr>
            </w:pPr>
            <w:r>
              <w:rPr>
                <w:sz w:val="22"/>
              </w:rPr>
              <w:t>извещение о сделке направлено 21.11.2017, требование об одобрении сделки не поступило</w:t>
            </w:r>
          </w:p>
        </w:tc>
      </w:tr>
      <w:tr>
        <w:trPr>
          <w:trHeight w:hRule="atLeast" w:val="1110"/>
        </w:trPr>
        <w:tc>
          <w:tcPr>
            <w:tcW w:type="dxa" w:w="730"/>
            <w:tcBorders>
              <w:top w:sz="4" w:val="nil"/>
              <w:left w:color="000000" w:sz="4" w:val="single"/>
              <w:bottom w:color="000000" w:sz="4" w:val="single"/>
              <w:right w:color="000000" w:sz="4" w:val="single"/>
            </w:tcBorders>
            <w:shd w:fill="auto" w:val="clear"/>
            <w:vAlign w:val="center"/>
          </w:tcPr>
          <w:p w14:paraId="FC290000">
            <w:pPr>
              <w:widowControl w:val="1"/>
              <w:ind/>
              <w:contextualSpacing w:val="1"/>
              <w:jc w:val="center"/>
              <w:rPr>
                <w:color w:val="000000"/>
                <w:sz w:val="22"/>
              </w:rPr>
            </w:pPr>
            <w:r>
              <w:rPr>
                <w:color w:val="000000"/>
                <w:sz w:val="22"/>
              </w:rPr>
              <w:t>6</w:t>
            </w:r>
          </w:p>
        </w:tc>
        <w:tc>
          <w:tcPr>
            <w:tcW w:type="dxa" w:w="2268"/>
            <w:tcBorders>
              <w:top w:sz="4" w:val="nil"/>
              <w:left w:sz="4" w:val="nil"/>
              <w:bottom w:color="000000" w:sz="4" w:val="single"/>
              <w:right w:color="000000" w:sz="4" w:val="single"/>
            </w:tcBorders>
            <w:shd w:fill="auto" w:val="clear"/>
            <w:vAlign w:val="center"/>
          </w:tcPr>
          <w:p w14:paraId="FD290000">
            <w:pPr>
              <w:widowControl w:val="1"/>
              <w:ind/>
              <w:contextualSpacing w:val="1"/>
              <w:jc w:val="center"/>
              <w:rPr>
                <w:sz w:val="22"/>
              </w:rPr>
            </w:pPr>
            <w:r>
              <w:rPr>
                <w:sz w:val="22"/>
              </w:rPr>
              <w:t>договор № 2743888 от 24.01.2018</w:t>
            </w:r>
          </w:p>
        </w:tc>
        <w:tc>
          <w:tcPr>
            <w:tcW w:type="dxa" w:w="1427"/>
            <w:tcBorders>
              <w:top w:sz="4" w:val="nil"/>
              <w:left w:sz="4" w:val="nil"/>
              <w:bottom w:color="000000" w:sz="4" w:val="single"/>
              <w:right w:color="000000" w:sz="4" w:val="single"/>
            </w:tcBorders>
            <w:shd w:fill="auto" w:val="clear"/>
            <w:vAlign w:val="center"/>
          </w:tcPr>
          <w:p w14:paraId="FE290000">
            <w:pPr>
              <w:widowControl w:val="1"/>
              <w:ind/>
              <w:contextualSpacing w:val="1"/>
              <w:jc w:val="center"/>
              <w:rPr>
                <w:sz w:val="22"/>
              </w:rPr>
            </w:pPr>
            <w:r>
              <w:rPr>
                <w:sz w:val="22"/>
              </w:rPr>
              <w:t>24.01.2018</w:t>
            </w:r>
          </w:p>
        </w:tc>
        <w:tc>
          <w:tcPr>
            <w:tcW w:type="dxa" w:w="2258"/>
            <w:tcBorders>
              <w:top w:sz="4" w:val="nil"/>
              <w:left w:sz="4" w:val="nil"/>
              <w:bottom w:color="000000" w:sz="4" w:val="single"/>
              <w:right w:color="000000" w:sz="4" w:val="single"/>
            </w:tcBorders>
            <w:shd w:fill="auto" w:val="clear"/>
            <w:vAlign w:val="center"/>
          </w:tcPr>
          <w:p w14:paraId="FF290000">
            <w:pPr>
              <w:widowControl w:val="1"/>
              <w:ind/>
              <w:contextualSpacing w:val="1"/>
              <w:jc w:val="center"/>
              <w:rPr>
                <w:sz w:val="22"/>
              </w:rPr>
            </w:pPr>
            <w:r>
              <w:rPr>
                <w:sz w:val="22"/>
              </w:rPr>
              <w:t>ОАО "РЖД" Красноярская дирекция здравоохранения</w:t>
            </w:r>
          </w:p>
        </w:tc>
        <w:tc>
          <w:tcPr>
            <w:tcW w:type="dxa" w:w="2561"/>
            <w:tcBorders>
              <w:top w:sz="4" w:val="nil"/>
              <w:left w:sz="4" w:val="nil"/>
              <w:bottom w:color="000000" w:sz="4" w:val="single"/>
              <w:right w:color="000000" w:sz="4" w:val="single"/>
            </w:tcBorders>
            <w:shd w:fill="FFFFFF" w:val="clear"/>
            <w:vAlign w:val="center"/>
          </w:tcPr>
          <w:p w14:paraId="002A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012A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022A0000">
            <w:pPr>
              <w:widowControl w:val="1"/>
              <w:ind/>
              <w:contextualSpacing w:val="1"/>
              <w:jc w:val="center"/>
              <w:rPr>
                <w:sz w:val="22"/>
              </w:rPr>
            </w:pPr>
            <w:r>
              <w:rPr>
                <w:sz w:val="22"/>
              </w:rPr>
              <w:t>24000</w:t>
            </w:r>
          </w:p>
        </w:tc>
        <w:tc>
          <w:tcPr>
            <w:tcW w:type="dxa" w:w="2104"/>
            <w:tcBorders>
              <w:top w:sz="4" w:val="nil"/>
              <w:left w:sz="4" w:val="nil"/>
              <w:bottom w:color="000000" w:sz="4" w:val="single"/>
              <w:right w:color="000000" w:sz="4" w:val="single"/>
            </w:tcBorders>
            <w:shd w:fill="FFFFFF" w:val="clear"/>
            <w:vAlign w:val="center"/>
          </w:tcPr>
          <w:p w14:paraId="032A0000">
            <w:pPr>
              <w:widowControl w:val="1"/>
              <w:ind/>
              <w:contextualSpacing w:val="1"/>
              <w:jc w:val="center"/>
              <w:rPr>
                <w:sz w:val="22"/>
              </w:rPr>
            </w:pPr>
            <w:r>
              <w:rPr>
                <w:sz w:val="22"/>
              </w:rPr>
              <w:t>цена дополнительного соглашения не превышает 0,1% балансовой стоимости активов (пп12 п1 ст81 ФЗ об АО</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042A0000">
            <w:pPr>
              <w:widowControl w:val="1"/>
              <w:ind/>
              <w:contextualSpacing w:val="1"/>
              <w:jc w:val="center"/>
              <w:rPr>
                <w:color w:val="000000"/>
                <w:sz w:val="22"/>
              </w:rPr>
            </w:pPr>
            <w:r>
              <w:rPr>
                <w:color w:val="000000"/>
                <w:sz w:val="22"/>
              </w:rPr>
              <w:t>7</w:t>
            </w:r>
          </w:p>
        </w:tc>
        <w:tc>
          <w:tcPr>
            <w:tcW w:type="dxa" w:w="2268"/>
            <w:tcBorders>
              <w:top w:sz="4" w:val="nil"/>
              <w:left w:sz="4" w:val="nil"/>
              <w:bottom w:color="000000" w:sz="4" w:val="single"/>
              <w:right w:color="000000" w:sz="4" w:val="single"/>
            </w:tcBorders>
            <w:shd w:fill="auto" w:val="clear"/>
            <w:vAlign w:val="center"/>
          </w:tcPr>
          <w:p w14:paraId="052A0000">
            <w:pPr>
              <w:widowControl w:val="1"/>
              <w:ind/>
              <w:contextualSpacing w:val="1"/>
              <w:jc w:val="center"/>
              <w:rPr>
                <w:sz w:val="22"/>
              </w:rPr>
            </w:pPr>
            <w:r>
              <w:rPr>
                <w:sz w:val="22"/>
              </w:rPr>
              <w:t>договор № 2743223 от 24.01.2018</w:t>
            </w:r>
          </w:p>
        </w:tc>
        <w:tc>
          <w:tcPr>
            <w:tcW w:type="dxa" w:w="1427"/>
            <w:tcBorders>
              <w:top w:sz="4" w:val="nil"/>
              <w:left w:sz="4" w:val="nil"/>
              <w:bottom w:color="000000" w:sz="4" w:val="single"/>
              <w:right w:color="000000" w:sz="4" w:val="single"/>
            </w:tcBorders>
            <w:shd w:fill="auto" w:val="clear"/>
            <w:vAlign w:val="center"/>
          </w:tcPr>
          <w:p w14:paraId="062A0000">
            <w:pPr>
              <w:widowControl w:val="1"/>
              <w:ind/>
              <w:contextualSpacing w:val="1"/>
              <w:jc w:val="center"/>
              <w:rPr>
                <w:sz w:val="22"/>
              </w:rPr>
            </w:pPr>
            <w:r>
              <w:rPr>
                <w:sz w:val="22"/>
              </w:rPr>
              <w:t>24.01.2018</w:t>
            </w:r>
          </w:p>
        </w:tc>
        <w:tc>
          <w:tcPr>
            <w:tcW w:type="dxa" w:w="2258"/>
            <w:tcBorders>
              <w:top w:sz="4" w:val="nil"/>
              <w:left w:sz="4" w:val="nil"/>
              <w:bottom w:color="000000" w:sz="4" w:val="single"/>
              <w:right w:color="000000" w:sz="4" w:val="single"/>
            </w:tcBorders>
            <w:shd w:fill="auto" w:val="clear"/>
            <w:vAlign w:val="center"/>
          </w:tcPr>
          <w:p w14:paraId="072A0000">
            <w:pPr>
              <w:widowControl w:val="1"/>
              <w:ind/>
              <w:contextualSpacing w:val="1"/>
              <w:jc w:val="center"/>
              <w:rPr>
                <w:sz w:val="22"/>
              </w:rPr>
            </w:pPr>
            <w:r>
              <w:rPr>
                <w:sz w:val="22"/>
              </w:rPr>
              <w:t>ОАО "РЖД" Красноярская дирекция по ремонту пути</w:t>
            </w:r>
          </w:p>
        </w:tc>
        <w:tc>
          <w:tcPr>
            <w:tcW w:type="dxa" w:w="2561"/>
            <w:tcBorders>
              <w:top w:sz="4" w:val="nil"/>
              <w:left w:sz="4" w:val="nil"/>
              <w:bottom w:color="000000" w:sz="4" w:val="single"/>
              <w:right w:color="000000" w:sz="4" w:val="single"/>
            </w:tcBorders>
            <w:shd w:fill="FFFFFF" w:val="clear"/>
            <w:vAlign w:val="center"/>
          </w:tcPr>
          <w:p w14:paraId="082A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092A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0A2A0000">
            <w:pPr>
              <w:widowControl w:val="1"/>
              <w:ind/>
              <w:contextualSpacing w:val="1"/>
              <w:jc w:val="center"/>
              <w:rPr>
                <w:sz w:val="22"/>
              </w:rPr>
            </w:pPr>
            <w:r>
              <w:rPr>
                <w:sz w:val="22"/>
              </w:rPr>
              <w:t>1300000</w:t>
            </w:r>
          </w:p>
        </w:tc>
        <w:tc>
          <w:tcPr>
            <w:tcW w:type="dxa" w:w="2104"/>
            <w:tcBorders>
              <w:top w:sz="4" w:val="nil"/>
              <w:left w:sz="4" w:val="nil"/>
              <w:bottom w:color="000000" w:sz="4" w:val="single"/>
              <w:right w:color="000000" w:sz="4" w:val="single"/>
            </w:tcBorders>
            <w:shd w:fill="FFFFFF" w:val="clear"/>
            <w:vAlign w:val="center"/>
          </w:tcPr>
          <w:p w14:paraId="0B2A0000">
            <w:pPr>
              <w:widowControl w:val="1"/>
              <w:ind/>
              <w:contextualSpacing w:val="1"/>
              <w:jc w:val="center"/>
              <w:rPr>
                <w:sz w:val="22"/>
              </w:rPr>
            </w:pPr>
            <w:r>
              <w:rPr>
                <w:sz w:val="22"/>
              </w:rPr>
              <w:t>извещение о сделке направлено 21.11.2017, требование об одобрении сделки не поступило</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0C2A0000">
            <w:pPr>
              <w:widowControl w:val="1"/>
              <w:ind/>
              <w:contextualSpacing w:val="1"/>
              <w:jc w:val="center"/>
              <w:rPr>
                <w:color w:val="000000"/>
                <w:sz w:val="22"/>
              </w:rPr>
            </w:pPr>
            <w:r>
              <w:rPr>
                <w:color w:val="000000"/>
                <w:sz w:val="22"/>
              </w:rPr>
              <w:t>8</w:t>
            </w:r>
          </w:p>
        </w:tc>
        <w:tc>
          <w:tcPr>
            <w:tcW w:type="dxa" w:w="2268"/>
            <w:tcBorders>
              <w:top w:sz="4" w:val="nil"/>
              <w:left w:sz="4" w:val="nil"/>
              <w:bottom w:color="000000" w:sz="4" w:val="single"/>
              <w:right w:color="000000" w:sz="4" w:val="single"/>
            </w:tcBorders>
            <w:shd w:fill="auto" w:val="clear"/>
            <w:vAlign w:val="center"/>
          </w:tcPr>
          <w:p w14:paraId="0D2A0000">
            <w:pPr>
              <w:widowControl w:val="1"/>
              <w:ind/>
              <w:contextualSpacing w:val="1"/>
              <w:jc w:val="center"/>
              <w:rPr>
                <w:sz w:val="22"/>
              </w:rPr>
            </w:pPr>
            <w:r>
              <w:rPr>
                <w:sz w:val="22"/>
              </w:rPr>
              <w:t>дополнительное соглашение № 1 к договору № 2308911 от 28.02.2017 от 25.01.2018</w:t>
            </w:r>
          </w:p>
        </w:tc>
        <w:tc>
          <w:tcPr>
            <w:tcW w:type="dxa" w:w="1427"/>
            <w:tcBorders>
              <w:top w:sz="4" w:val="nil"/>
              <w:left w:sz="4" w:val="nil"/>
              <w:bottom w:color="000000" w:sz="4" w:val="single"/>
              <w:right w:color="000000" w:sz="4" w:val="single"/>
            </w:tcBorders>
            <w:shd w:fill="auto" w:val="clear"/>
            <w:vAlign w:val="center"/>
          </w:tcPr>
          <w:p w14:paraId="0E2A0000">
            <w:pPr>
              <w:widowControl w:val="1"/>
              <w:ind/>
              <w:contextualSpacing w:val="1"/>
              <w:jc w:val="center"/>
              <w:rPr>
                <w:sz w:val="22"/>
              </w:rPr>
            </w:pPr>
            <w:r>
              <w:rPr>
                <w:sz w:val="22"/>
              </w:rPr>
              <w:t>25.01.2018</w:t>
            </w:r>
          </w:p>
        </w:tc>
        <w:tc>
          <w:tcPr>
            <w:tcW w:type="dxa" w:w="2258"/>
            <w:tcBorders>
              <w:top w:sz="4" w:val="nil"/>
              <w:left w:sz="4" w:val="nil"/>
              <w:bottom w:color="000000" w:sz="4" w:val="single"/>
              <w:right w:color="000000" w:sz="4" w:val="single"/>
            </w:tcBorders>
            <w:shd w:fill="FFFFFF" w:val="clear"/>
            <w:vAlign w:val="center"/>
          </w:tcPr>
          <w:p w14:paraId="0F2A0000">
            <w:pPr>
              <w:widowControl w:val="1"/>
              <w:ind/>
              <w:contextualSpacing w:val="1"/>
              <w:jc w:val="center"/>
              <w:rPr>
                <w:sz w:val="22"/>
              </w:rPr>
            </w:pPr>
            <w:r>
              <w:rPr>
                <w:sz w:val="22"/>
              </w:rPr>
              <w:t>ОАО "РЖД" Красноярская железная дорога</w:t>
            </w:r>
          </w:p>
        </w:tc>
        <w:tc>
          <w:tcPr>
            <w:tcW w:type="dxa" w:w="2561"/>
            <w:tcBorders>
              <w:top w:sz="4" w:val="nil"/>
              <w:left w:sz="4" w:val="nil"/>
              <w:bottom w:color="000000" w:sz="4" w:val="single"/>
              <w:right w:color="000000" w:sz="4" w:val="single"/>
            </w:tcBorders>
            <w:shd w:fill="FFFFFF" w:val="clear"/>
            <w:vAlign w:val="center"/>
          </w:tcPr>
          <w:p w14:paraId="102A0000">
            <w:pPr>
              <w:widowControl w:val="1"/>
              <w:ind/>
              <w:contextualSpacing w:val="1"/>
              <w:jc w:val="center"/>
              <w:rPr>
                <w:sz w:val="22"/>
              </w:rPr>
            </w:pPr>
            <w:r>
              <w:rPr>
                <w:sz w:val="22"/>
              </w:rPr>
              <w:t>внесение изменений в текст договора на оказание услуг по перевозке работников и иных лиц по транспортным требованиям ОАО "РЖД", относительно акта приемки исполненных обязательств без изменения предельной цены договора</w:t>
            </w:r>
          </w:p>
        </w:tc>
        <w:tc>
          <w:tcPr>
            <w:tcW w:type="dxa" w:w="1416"/>
            <w:tcBorders>
              <w:top w:sz="4" w:val="nil"/>
              <w:left w:sz="4" w:val="nil"/>
              <w:bottom w:color="000000" w:sz="4" w:val="single"/>
              <w:right w:color="000000" w:sz="4" w:val="single"/>
            </w:tcBorders>
            <w:shd w:fill="FFFFFF" w:val="clear"/>
            <w:vAlign w:val="center"/>
          </w:tcPr>
          <w:p w14:paraId="112A0000">
            <w:pPr>
              <w:widowControl w:val="1"/>
              <w:ind/>
              <w:contextualSpacing w:val="1"/>
              <w:jc w:val="center"/>
              <w:rPr>
                <w:sz w:val="22"/>
              </w:rPr>
            </w:pPr>
            <w:r>
              <w:rPr>
                <w:sz w:val="22"/>
              </w:rPr>
              <w:t>01.01.2017-31.12.2017</w:t>
            </w:r>
          </w:p>
        </w:tc>
        <w:tc>
          <w:tcPr>
            <w:tcW w:type="dxa" w:w="1591"/>
            <w:tcBorders>
              <w:top w:sz="4" w:val="nil"/>
              <w:left w:sz="4" w:val="nil"/>
              <w:bottom w:color="000000" w:sz="4" w:val="single"/>
              <w:right w:color="000000" w:sz="4" w:val="single"/>
            </w:tcBorders>
            <w:shd w:fill="FFFFFF" w:val="clear"/>
            <w:vAlign w:val="center"/>
          </w:tcPr>
          <w:p w14:paraId="122A0000">
            <w:pPr>
              <w:widowControl w:val="1"/>
              <w:ind/>
              <w:contextualSpacing w:val="1"/>
              <w:jc w:val="center"/>
              <w:rPr>
                <w:sz w:val="22"/>
              </w:rPr>
            </w:pPr>
            <w:r>
              <w:rPr>
                <w:sz w:val="22"/>
              </w:rPr>
              <w:t>2190000</w:t>
            </w:r>
          </w:p>
        </w:tc>
        <w:tc>
          <w:tcPr>
            <w:tcW w:type="dxa" w:w="2104"/>
            <w:tcBorders>
              <w:top w:sz="4" w:val="nil"/>
              <w:left w:sz="4" w:val="nil"/>
              <w:bottom w:color="000000" w:sz="4" w:val="single"/>
              <w:right w:color="000000" w:sz="4" w:val="single"/>
            </w:tcBorders>
            <w:shd w:fill="FFFFFF" w:val="clear"/>
            <w:vAlign w:val="center"/>
          </w:tcPr>
          <w:p w14:paraId="132A0000">
            <w:pPr>
              <w:widowControl w:val="1"/>
              <w:ind/>
              <w:contextualSpacing w:val="1"/>
              <w:jc w:val="center"/>
              <w:rPr>
                <w:sz w:val="22"/>
              </w:rPr>
            </w:pPr>
            <w:r>
              <w:rPr>
                <w:sz w:val="22"/>
              </w:rPr>
              <w:t>цена дополнительного соглашения не превышает 0,1% балансовой стоимости активов (пп12 п1 ст81 ФЗ об АО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142A0000">
            <w:pPr>
              <w:widowControl w:val="1"/>
              <w:ind/>
              <w:contextualSpacing w:val="1"/>
              <w:jc w:val="center"/>
              <w:rPr>
                <w:color w:val="000000"/>
                <w:sz w:val="22"/>
              </w:rPr>
            </w:pPr>
            <w:r>
              <w:rPr>
                <w:color w:val="000000"/>
                <w:sz w:val="22"/>
              </w:rPr>
              <w:t>9</w:t>
            </w:r>
          </w:p>
        </w:tc>
        <w:tc>
          <w:tcPr>
            <w:tcW w:type="dxa" w:w="2268"/>
            <w:tcBorders>
              <w:top w:sz="4" w:val="nil"/>
              <w:left w:sz="4" w:val="nil"/>
              <w:bottom w:color="000000" w:sz="4" w:val="single"/>
              <w:right w:color="000000" w:sz="4" w:val="single"/>
            </w:tcBorders>
            <w:shd w:fill="auto" w:val="clear"/>
            <w:vAlign w:val="center"/>
          </w:tcPr>
          <w:p w14:paraId="152A0000">
            <w:pPr>
              <w:widowControl w:val="1"/>
              <w:ind/>
              <w:contextualSpacing w:val="1"/>
              <w:jc w:val="center"/>
              <w:rPr>
                <w:sz w:val="22"/>
              </w:rPr>
            </w:pPr>
            <w:r>
              <w:rPr>
                <w:sz w:val="22"/>
              </w:rPr>
              <w:t>договор № 2752195 от 29.01.2018</w:t>
            </w:r>
          </w:p>
        </w:tc>
        <w:tc>
          <w:tcPr>
            <w:tcW w:type="dxa" w:w="1427"/>
            <w:tcBorders>
              <w:top w:sz="4" w:val="nil"/>
              <w:left w:sz="4" w:val="nil"/>
              <w:bottom w:color="000000" w:sz="4" w:val="single"/>
              <w:right w:color="000000" w:sz="4" w:val="single"/>
            </w:tcBorders>
            <w:shd w:fill="auto" w:val="clear"/>
            <w:vAlign w:val="center"/>
          </w:tcPr>
          <w:p w14:paraId="162A0000">
            <w:pPr>
              <w:widowControl w:val="1"/>
              <w:ind/>
              <w:contextualSpacing w:val="1"/>
              <w:jc w:val="center"/>
              <w:rPr>
                <w:sz w:val="22"/>
              </w:rPr>
            </w:pPr>
            <w:r>
              <w:rPr>
                <w:sz w:val="22"/>
              </w:rPr>
              <w:t>29.01.2018</w:t>
            </w:r>
          </w:p>
        </w:tc>
        <w:tc>
          <w:tcPr>
            <w:tcW w:type="dxa" w:w="2258"/>
            <w:tcBorders>
              <w:top w:sz="4" w:val="nil"/>
              <w:left w:sz="4" w:val="nil"/>
              <w:bottom w:color="000000" w:sz="4" w:val="single"/>
              <w:right w:color="000000" w:sz="4" w:val="single"/>
            </w:tcBorders>
            <w:shd w:fill="auto" w:val="clear"/>
            <w:vAlign w:val="center"/>
          </w:tcPr>
          <w:p w14:paraId="172A0000">
            <w:pPr>
              <w:widowControl w:val="1"/>
              <w:ind/>
              <w:contextualSpacing w:val="1"/>
              <w:jc w:val="center"/>
              <w:rPr>
                <w:sz w:val="22"/>
              </w:rPr>
            </w:pPr>
            <w:r>
              <w:rPr>
                <w:sz w:val="22"/>
              </w:rPr>
              <w:t>ОАО "РЖД" Красноярский информационно-вычислительный центр</w:t>
            </w:r>
          </w:p>
        </w:tc>
        <w:tc>
          <w:tcPr>
            <w:tcW w:type="dxa" w:w="2561"/>
            <w:tcBorders>
              <w:top w:sz="4" w:val="nil"/>
              <w:left w:sz="4" w:val="nil"/>
              <w:bottom w:color="000000" w:sz="4" w:val="single"/>
              <w:right w:color="000000" w:sz="4" w:val="single"/>
            </w:tcBorders>
            <w:shd w:fill="auto" w:val="clear"/>
            <w:vAlign w:val="center"/>
          </w:tcPr>
          <w:p w14:paraId="182A0000">
            <w:pPr>
              <w:widowControl w:val="1"/>
              <w:ind/>
              <w:contextualSpacing w:val="1"/>
              <w:jc w:val="center"/>
              <w:rPr>
                <w:sz w:val="22"/>
              </w:rPr>
            </w:pPr>
            <w:r>
              <w:rPr>
                <w:sz w:val="22"/>
              </w:rPr>
              <w:t>оказание услуг по комплексному информационному обслуживанию</w:t>
            </w:r>
          </w:p>
        </w:tc>
        <w:tc>
          <w:tcPr>
            <w:tcW w:type="dxa" w:w="1416"/>
            <w:tcBorders>
              <w:top w:sz="4" w:val="nil"/>
              <w:left w:sz="4" w:val="nil"/>
              <w:bottom w:color="000000" w:sz="4" w:val="single"/>
              <w:right w:color="000000" w:sz="4" w:val="single"/>
            </w:tcBorders>
            <w:shd w:fill="auto" w:val="clear"/>
            <w:vAlign w:val="center"/>
          </w:tcPr>
          <w:p w14:paraId="192A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1A2A0000">
            <w:pPr>
              <w:widowControl w:val="1"/>
              <w:ind/>
              <w:contextualSpacing w:val="1"/>
              <w:jc w:val="center"/>
              <w:rPr>
                <w:sz w:val="22"/>
              </w:rPr>
            </w:pPr>
            <w:r>
              <w:rPr>
                <w:sz w:val="22"/>
              </w:rPr>
              <w:t>227154,72</w:t>
            </w:r>
          </w:p>
        </w:tc>
        <w:tc>
          <w:tcPr>
            <w:tcW w:type="dxa" w:w="2104"/>
            <w:tcBorders>
              <w:top w:sz="4" w:val="nil"/>
              <w:left w:sz="4" w:val="nil"/>
              <w:bottom w:color="000000" w:sz="4" w:val="single"/>
              <w:right w:color="000000" w:sz="4" w:val="single"/>
            </w:tcBorders>
            <w:shd w:fill="FFFFFF" w:val="clear"/>
            <w:vAlign w:val="center"/>
          </w:tcPr>
          <w:p w14:paraId="1B2A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1C2A0000">
            <w:pPr>
              <w:widowControl w:val="1"/>
              <w:ind/>
              <w:contextualSpacing w:val="1"/>
              <w:jc w:val="center"/>
              <w:rPr>
                <w:color w:val="000000"/>
                <w:sz w:val="22"/>
              </w:rPr>
            </w:pPr>
            <w:r>
              <w:rPr>
                <w:color w:val="000000"/>
                <w:sz w:val="22"/>
              </w:rPr>
              <w:t>10</w:t>
            </w:r>
          </w:p>
        </w:tc>
        <w:tc>
          <w:tcPr>
            <w:tcW w:type="dxa" w:w="2268"/>
            <w:tcBorders>
              <w:top w:sz="4" w:val="nil"/>
              <w:left w:sz="4" w:val="nil"/>
              <w:bottom w:color="000000" w:sz="4" w:val="single"/>
              <w:right w:color="000000" w:sz="4" w:val="single"/>
            </w:tcBorders>
            <w:shd w:fill="auto" w:val="clear"/>
            <w:vAlign w:val="center"/>
          </w:tcPr>
          <w:p w14:paraId="1D2A0000">
            <w:pPr>
              <w:widowControl w:val="1"/>
              <w:ind/>
              <w:contextualSpacing w:val="1"/>
              <w:jc w:val="center"/>
              <w:rPr>
                <w:sz w:val="22"/>
              </w:rPr>
            </w:pPr>
            <w:r>
              <w:rPr>
                <w:sz w:val="22"/>
              </w:rPr>
              <w:t>агентский договор № 12 от 30.01.2018</w:t>
            </w:r>
          </w:p>
        </w:tc>
        <w:tc>
          <w:tcPr>
            <w:tcW w:type="dxa" w:w="1427"/>
            <w:tcBorders>
              <w:top w:sz="4" w:val="nil"/>
              <w:left w:sz="4" w:val="nil"/>
              <w:bottom w:color="000000" w:sz="4" w:val="single"/>
              <w:right w:color="000000" w:sz="4" w:val="single"/>
            </w:tcBorders>
            <w:shd w:fill="auto" w:val="clear"/>
            <w:vAlign w:val="center"/>
          </w:tcPr>
          <w:p w14:paraId="1E2A0000">
            <w:pPr>
              <w:widowControl w:val="1"/>
              <w:ind/>
              <w:contextualSpacing w:val="1"/>
              <w:jc w:val="center"/>
              <w:rPr>
                <w:sz w:val="22"/>
              </w:rPr>
            </w:pPr>
            <w:r>
              <w:rPr>
                <w:sz w:val="22"/>
              </w:rPr>
              <w:t>30.01.2018</w:t>
            </w:r>
          </w:p>
        </w:tc>
        <w:tc>
          <w:tcPr>
            <w:tcW w:type="dxa" w:w="2258"/>
            <w:tcBorders>
              <w:top w:sz="4" w:val="nil"/>
              <w:left w:sz="4" w:val="nil"/>
              <w:bottom w:color="000000" w:sz="4" w:val="single"/>
              <w:right w:color="000000" w:sz="4" w:val="single"/>
            </w:tcBorders>
            <w:shd w:fill="auto" w:val="clear"/>
            <w:vAlign w:val="center"/>
          </w:tcPr>
          <w:p w14:paraId="1F2A0000">
            <w:pPr>
              <w:widowControl w:val="1"/>
              <w:ind/>
              <w:contextualSpacing w:val="1"/>
              <w:jc w:val="center"/>
              <w:rPr>
                <w:sz w:val="22"/>
              </w:rPr>
            </w:pPr>
            <w:r>
              <w:rPr>
                <w:sz w:val="22"/>
              </w:rPr>
              <w:t>АО "Кузбасс-пригород"</w:t>
            </w:r>
          </w:p>
        </w:tc>
        <w:tc>
          <w:tcPr>
            <w:tcW w:type="dxa" w:w="2561"/>
            <w:tcBorders>
              <w:top w:sz="4" w:val="nil"/>
              <w:left w:sz="4" w:val="nil"/>
              <w:bottom w:color="000000" w:sz="4" w:val="single"/>
              <w:right w:sz="4" w:val="nil"/>
            </w:tcBorders>
            <w:shd w:fill="FFFFFF" w:val="clear"/>
            <w:vAlign w:val="center"/>
          </w:tcPr>
          <w:p w14:paraId="202A0000">
            <w:pPr>
              <w:widowControl w:val="1"/>
              <w:ind/>
              <w:contextualSpacing w:val="1"/>
              <w:jc w:val="center"/>
              <w:rPr>
                <w:sz w:val="22"/>
              </w:rPr>
            </w:pPr>
            <w:r>
              <w:rPr>
                <w:sz w:val="22"/>
              </w:rPr>
              <w:t>Оказание услуг по оформлению железнодорожных проездных документов на поезда принадлежности пригородной пассажирской компании</w:t>
            </w:r>
          </w:p>
        </w:tc>
        <w:tc>
          <w:tcPr>
            <w:tcW w:type="dxa" w:w="1416"/>
            <w:tcBorders>
              <w:top w:sz="4" w:val="nil"/>
              <w:left w:color="000000" w:sz="4" w:val="single"/>
              <w:bottom w:color="000000" w:sz="4" w:val="single"/>
              <w:right w:color="000000" w:sz="4" w:val="single"/>
            </w:tcBorders>
            <w:shd w:fill="auto" w:val="clear"/>
            <w:vAlign w:val="center"/>
          </w:tcPr>
          <w:p w14:paraId="212A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222A0000">
            <w:pPr>
              <w:widowControl w:val="1"/>
              <w:ind/>
              <w:contextualSpacing w:val="1"/>
              <w:jc w:val="center"/>
              <w:rPr>
                <w:sz w:val="22"/>
              </w:rPr>
            </w:pPr>
            <w:r>
              <w:rPr>
                <w:sz w:val="22"/>
              </w:rPr>
              <w:t>439472</w:t>
            </w:r>
          </w:p>
        </w:tc>
        <w:tc>
          <w:tcPr>
            <w:tcW w:type="dxa" w:w="2104"/>
            <w:tcBorders>
              <w:top w:sz="4" w:val="nil"/>
              <w:left w:sz="4" w:val="nil"/>
              <w:bottom w:color="000000" w:sz="4" w:val="single"/>
              <w:right w:color="000000" w:sz="4" w:val="single"/>
            </w:tcBorders>
            <w:shd w:fill="FFFFFF" w:val="clear"/>
            <w:vAlign w:val="center"/>
          </w:tcPr>
          <w:p w14:paraId="232A0000">
            <w:pPr>
              <w:widowControl w:val="1"/>
              <w:ind/>
              <w:contextualSpacing w:val="1"/>
              <w:jc w:val="center"/>
              <w:rPr>
                <w:sz w:val="22"/>
              </w:rPr>
            </w:pPr>
            <w:r>
              <w:rPr>
                <w:sz w:val="22"/>
              </w:rPr>
              <w:t>извещение о сделке направлено 15.01.2018,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242A0000">
            <w:pPr>
              <w:widowControl w:val="1"/>
              <w:ind/>
              <w:contextualSpacing w:val="1"/>
              <w:jc w:val="center"/>
              <w:rPr>
                <w:color w:val="000000"/>
                <w:sz w:val="22"/>
              </w:rPr>
            </w:pPr>
            <w:r>
              <w:rPr>
                <w:color w:val="000000"/>
                <w:sz w:val="22"/>
              </w:rPr>
              <w:t>11</w:t>
            </w:r>
          </w:p>
        </w:tc>
        <w:tc>
          <w:tcPr>
            <w:tcW w:type="dxa" w:w="2268"/>
            <w:tcBorders>
              <w:top w:sz="4" w:val="nil"/>
              <w:left w:sz="4" w:val="nil"/>
              <w:bottom w:color="000000" w:sz="4" w:val="single"/>
              <w:right w:color="000000" w:sz="4" w:val="single"/>
            </w:tcBorders>
            <w:shd w:fill="auto" w:val="clear"/>
            <w:vAlign w:val="center"/>
          </w:tcPr>
          <w:p w14:paraId="252A0000">
            <w:pPr>
              <w:widowControl w:val="1"/>
              <w:ind/>
              <w:contextualSpacing w:val="1"/>
              <w:jc w:val="center"/>
              <w:rPr>
                <w:sz w:val="22"/>
              </w:rPr>
            </w:pPr>
            <w:r>
              <w:rPr>
                <w:sz w:val="22"/>
              </w:rPr>
              <w:t>лицензионный договор № 2773602 от 06.02.2018</w:t>
            </w:r>
          </w:p>
        </w:tc>
        <w:tc>
          <w:tcPr>
            <w:tcW w:type="dxa" w:w="1427"/>
            <w:tcBorders>
              <w:top w:sz="4" w:val="nil"/>
              <w:left w:sz="4" w:val="nil"/>
              <w:bottom w:color="000000" w:sz="4" w:val="single"/>
              <w:right w:color="000000" w:sz="4" w:val="single"/>
            </w:tcBorders>
            <w:shd w:fill="auto" w:val="clear"/>
            <w:vAlign w:val="center"/>
          </w:tcPr>
          <w:p w14:paraId="262A0000">
            <w:pPr>
              <w:widowControl w:val="1"/>
              <w:ind/>
              <w:contextualSpacing w:val="1"/>
              <w:jc w:val="center"/>
              <w:rPr>
                <w:sz w:val="22"/>
              </w:rPr>
            </w:pPr>
            <w:r>
              <w:rPr>
                <w:sz w:val="22"/>
              </w:rPr>
              <w:t>06.02.2018</w:t>
            </w:r>
          </w:p>
        </w:tc>
        <w:tc>
          <w:tcPr>
            <w:tcW w:type="dxa" w:w="2258"/>
            <w:tcBorders>
              <w:top w:sz="4" w:val="nil"/>
              <w:left w:sz="4" w:val="nil"/>
              <w:bottom w:color="000000" w:sz="4" w:val="single"/>
              <w:right w:color="000000" w:sz="4" w:val="single"/>
            </w:tcBorders>
            <w:shd w:fill="FFFFFF" w:val="clear"/>
            <w:vAlign w:val="center"/>
          </w:tcPr>
          <w:p w14:paraId="272A0000">
            <w:pPr>
              <w:widowControl w:val="1"/>
              <w:ind/>
              <w:contextualSpacing w:val="1"/>
              <w:jc w:val="center"/>
              <w:rPr>
                <w:sz w:val="22"/>
              </w:rPr>
            </w:pPr>
            <w:r>
              <w:rPr>
                <w:sz w:val="22"/>
              </w:rPr>
              <w:t>ОАО "РЖД"</w:t>
            </w:r>
          </w:p>
        </w:tc>
        <w:tc>
          <w:tcPr>
            <w:tcW w:type="dxa" w:w="2561"/>
            <w:tcBorders>
              <w:top w:sz="4" w:val="nil"/>
              <w:left w:sz="4" w:val="nil"/>
              <w:bottom w:color="000000" w:sz="4" w:val="single"/>
              <w:right w:color="000000" w:sz="4" w:val="single"/>
            </w:tcBorders>
            <w:shd w:fill="FFFFFF" w:val="clear"/>
            <w:vAlign w:val="center"/>
          </w:tcPr>
          <w:p w14:paraId="282A0000">
            <w:pPr>
              <w:widowControl w:val="1"/>
              <w:ind/>
              <w:contextualSpacing w:val="1"/>
              <w:jc w:val="center"/>
              <w:rPr>
                <w:sz w:val="22"/>
              </w:rPr>
            </w:pPr>
            <w:r>
              <w:rPr>
                <w:sz w:val="22"/>
              </w:rPr>
              <w:t>предоставление права пользования товарным знаком РЖД</w:t>
            </w:r>
          </w:p>
        </w:tc>
        <w:tc>
          <w:tcPr>
            <w:tcW w:type="dxa" w:w="1416"/>
            <w:tcBorders>
              <w:top w:sz="4" w:val="nil"/>
              <w:left w:sz="4" w:val="nil"/>
              <w:bottom w:color="000000" w:sz="4" w:val="single"/>
              <w:right w:color="000000" w:sz="4" w:val="single"/>
            </w:tcBorders>
            <w:shd w:fill="FFFFFF" w:val="clear"/>
            <w:vAlign w:val="center"/>
          </w:tcPr>
          <w:p w14:paraId="292A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FFFFFF" w:val="clear"/>
            <w:vAlign w:val="center"/>
          </w:tcPr>
          <w:p w14:paraId="2A2A0000">
            <w:pPr>
              <w:widowControl w:val="1"/>
              <w:ind/>
              <w:contextualSpacing w:val="1"/>
              <w:jc w:val="center"/>
              <w:rPr>
                <w:sz w:val="22"/>
              </w:rPr>
            </w:pPr>
            <w:r>
              <w:rPr>
                <w:sz w:val="22"/>
              </w:rPr>
              <w:t>400000</w:t>
            </w:r>
          </w:p>
        </w:tc>
        <w:tc>
          <w:tcPr>
            <w:tcW w:type="dxa" w:w="2104"/>
            <w:tcBorders>
              <w:top w:sz="4" w:val="nil"/>
              <w:left w:sz="4" w:val="nil"/>
              <w:bottom w:color="000000" w:sz="4" w:val="single"/>
              <w:right w:color="000000" w:sz="4" w:val="single"/>
            </w:tcBorders>
            <w:shd w:fill="FFFFFF" w:val="clear"/>
            <w:vAlign w:val="center"/>
          </w:tcPr>
          <w:p w14:paraId="2B2A0000">
            <w:pPr>
              <w:widowControl w:val="1"/>
              <w:ind/>
              <w:contextualSpacing w:val="1"/>
              <w:jc w:val="center"/>
              <w:rPr>
                <w:sz w:val="22"/>
              </w:rPr>
            </w:pPr>
            <w:r>
              <w:rPr>
                <w:sz w:val="22"/>
              </w:rPr>
              <w:t>извещение о сделке направлено 15.01.2018,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2C2A0000">
            <w:pPr>
              <w:widowControl w:val="1"/>
              <w:ind/>
              <w:contextualSpacing w:val="1"/>
              <w:jc w:val="center"/>
              <w:rPr>
                <w:color w:val="000000"/>
                <w:sz w:val="22"/>
              </w:rPr>
            </w:pPr>
            <w:r>
              <w:rPr>
                <w:color w:val="000000"/>
                <w:sz w:val="22"/>
              </w:rPr>
              <w:t>12</w:t>
            </w:r>
          </w:p>
        </w:tc>
        <w:tc>
          <w:tcPr>
            <w:tcW w:type="dxa" w:w="2268"/>
            <w:tcBorders>
              <w:top w:sz="4" w:val="nil"/>
              <w:left w:sz="4" w:val="nil"/>
              <w:bottom w:color="000000" w:sz="4" w:val="single"/>
              <w:right w:color="000000" w:sz="4" w:val="single"/>
            </w:tcBorders>
            <w:shd w:fill="auto" w:val="clear"/>
            <w:vAlign w:val="center"/>
          </w:tcPr>
          <w:p w14:paraId="2D2A0000">
            <w:pPr>
              <w:widowControl w:val="1"/>
              <w:ind/>
              <w:contextualSpacing w:val="1"/>
              <w:jc w:val="center"/>
              <w:rPr>
                <w:sz w:val="22"/>
              </w:rPr>
            </w:pPr>
            <w:r>
              <w:rPr>
                <w:sz w:val="22"/>
              </w:rPr>
              <w:t>договор № 2713271 от 06.02.2018</w:t>
            </w:r>
          </w:p>
        </w:tc>
        <w:tc>
          <w:tcPr>
            <w:tcW w:type="dxa" w:w="1427"/>
            <w:tcBorders>
              <w:top w:sz="4" w:val="nil"/>
              <w:left w:sz="4" w:val="nil"/>
              <w:bottom w:color="000000" w:sz="4" w:val="single"/>
              <w:right w:color="000000" w:sz="4" w:val="single"/>
            </w:tcBorders>
            <w:shd w:fill="auto" w:val="clear"/>
            <w:vAlign w:val="center"/>
          </w:tcPr>
          <w:p w14:paraId="2E2A0000">
            <w:pPr>
              <w:widowControl w:val="1"/>
              <w:ind/>
              <w:contextualSpacing w:val="1"/>
              <w:jc w:val="center"/>
              <w:rPr>
                <w:sz w:val="22"/>
              </w:rPr>
            </w:pPr>
            <w:r>
              <w:rPr>
                <w:sz w:val="22"/>
              </w:rPr>
              <w:t>06.02.2018</w:t>
            </w:r>
          </w:p>
        </w:tc>
        <w:tc>
          <w:tcPr>
            <w:tcW w:type="dxa" w:w="2258"/>
            <w:tcBorders>
              <w:top w:sz="4" w:val="nil"/>
              <w:left w:sz="4" w:val="nil"/>
              <w:bottom w:color="000000" w:sz="4" w:val="single"/>
              <w:right w:color="000000" w:sz="4" w:val="single"/>
            </w:tcBorders>
            <w:shd w:fill="FFFFFF" w:val="clear"/>
            <w:vAlign w:val="center"/>
          </w:tcPr>
          <w:p w14:paraId="2F2A0000">
            <w:pPr>
              <w:widowControl w:val="1"/>
              <w:ind/>
              <w:contextualSpacing w:val="1"/>
              <w:jc w:val="center"/>
              <w:rPr>
                <w:sz w:val="22"/>
              </w:rPr>
            </w:pPr>
            <w:r>
              <w:rPr>
                <w:sz w:val="22"/>
              </w:rPr>
              <w:t>ОАО "РЖД" Западно-Сибирская дирекция капитального ремонта и реконструкции объектов электрификации и электроснабжения</w:t>
            </w:r>
          </w:p>
        </w:tc>
        <w:tc>
          <w:tcPr>
            <w:tcW w:type="dxa" w:w="2561"/>
            <w:tcBorders>
              <w:top w:sz="4" w:val="nil"/>
              <w:left w:sz="4" w:val="nil"/>
              <w:bottom w:color="000000" w:sz="4" w:val="single"/>
              <w:right w:color="000000" w:sz="4" w:val="single"/>
            </w:tcBorders>
            <w:shd w:fill="FFFFFF" w:val="clear"/>
            <w:vAlign w:val="center"/>
          </w:tcPr>
          <w:p w14:paraId="302A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312A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FFFFFF" w:val="clear"/>
            <w:vAlign w:val="center"/>
          </w:tcPr>
          <w:p w14:paraId="322A0000">
            <w:pPr>
              <w:widowControl w:val="1"/>
              <w:ind/>
              <w:contextualSpacing w:val="1"/>
              <w:jc w:val="center"/>
              <w:rPr>
                <w:sz w:val="22"/>
              </w:rPr>
            </w:pPr>
            <w:r>
              <w:rPr>
                <w:sz w:val="22"/>
              </w:rPr>
              <w:t>130000</w:t>
            </w:r>
          </w:p>
        </w:tc>
        <w:tc>
          <w:tcPr>
            <w:tcW w:type="dxa" w:w="2104"/>
            <w:tcBorders>
              <w:top w:sz="4" w:val="nil"/>
              <w:left w:sz="4" w:val="nil"/>
              <w:bottom w:color="000000" w:sz="4" w:val="single"/>
              <w:right w:color="000000" w:sz="4" w:val="single"/>
            </w:tcBorders>
            <w:shd w:fill="FFFFFF" w:val="clear"/>
            <w:vAlign w:val="center"/>
          </w:tcPr>
          <w:p w14:paraId="332A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342A0000">
            <w:pPr>
              <w:widowControl w:val="1"/>
              <w:ind/>
              <w:contextualSpacing w:val="1"/>
              <w:jc w:val="center"/>
              <w:rPr>
                <w:color w:val="000000"/>
                <w:sz w:val="22"/>
              </w:rPr>
            </w:pPr>
            <w:r>
              <w:rPr>
                <w:color w:val="000000"/>
                <w:sz w:val="22"/>
              </w:rPr>
              <w:t>13</w:t>
            </w:r>
          </w:p>
        </w:tc>
        <w:tc>
          <w:tcPr>
            <w:tcW w:type="dxa" w:w="2268"/>
            <w:tcBorders>
              <w:top w:sz="4" w:val="nil"/>
              <w:left w:sz="4" w:val="nil"/>
              <w:bottom w:color="000000" w:sz="4" w:val="single"/>
              <w:right w:color="000000" w:sz="4" w:val="single"/>
            </w:tcBorders>
            <w:shd w:fill="auto" w:val="clear"/>
            <w:vAlign w:val="center"/>
          </w:tcPr>
          <w:p w14:paraId="352A0000">
            <w:pPr>
              <w:widowControl w:val="1"/>
              <w:ind/>
              <w:contextualSpacing w:val="1"/>
              <w:jc w:val="center"/>
              <w:rPr>
                <w:sz w:val="22"/>
              </w:rPr>
            </w:pPr>
            <w:r>
              <w:rPr>
                <w:sz w:val="22"/>
              </w:rPr>
              <w:t>договор № ГФ(Д)-80/18 от 12.02.108</w:t>
            </w:r>
          </w:p>
        </w:tc>
        <w:tc>
          <w:tcPr>
            <w:tcW w:type="dxa" w:w="1427"/>
            <w:tcBorders>
              <w:top w:sz="4" w:val="nil"/>
              <w:left w:sz="4" w:val="nil"/>
              <w:bottom w:color="000000" w:sz="4" w:val="single"/>
              <w:right w:color="000000" w:sz="4" w:val="single"/>
            </w:tcBorders>
            <w:shd w:fill="auto" w:val="clear"/>
            <w:vAlign w:val="center"/>
          </w:tcPr>
          <w:p w14:paraId="362A0000">
            <w:pPr>
              <w:widowControl w:val="1"/>
              <w:ind/>
              <w:contextualSpacing w:val="1"/>
              <w:jc w:val="center"/>
              <w:rPr>
                <w:sz w:val="22"/>
              </w:rPr>
            </w:pPr>
            <w:r>
              <w:rPr>
                <w:sz w:val="22"/>
              </w:rPr>
              <w:t>12.02.2018</w:t>
            </w:r>
          </w:p>
        </w:tc>
        <w:tc>
          <w:tcPr>
            <w:tcW w:type="dxa" w:w="2258"/>
            <w:tcBorders>
              <w:top w:sz="4" w:val="nil"/>
              <w:left w:sz="4" w:val="nil"/>
              <w:bottom w:color="000000" w:sz="4" w:val="single"/>
              <w:right w:color="000000" w:sz="4" w:val="single"/>
            </w:tcBorders>
            <w:shd w:fill="auto" w:val="clear"/>
            <w:vAlign w:val="center"/>
          </w:tcPr>
          <w:p w14:paraId="372A0000">
            <w:pPr>
              <w:widowControl w:val="1"/>
              <w:ind/>
              <w:contextualSpacing w:val="1"/>
              <w:jc w:val="center"/>
              <w:rPr>
                <w:sz w:val="22"/>
              </w:rPr>
            </w:pPr>
            <w:r>
              <w:rPr>
                <w:sz w:val="22"/>
              </w:rPr>
              <w:t>АО "Издательский дом "Гудок"</w:t>
            </w:r>
          </w:p>
        </w:tc>
        <w:tc>
          <w:tcPr>
            <w:tcW w:type="dxa" w:w="2561"/>
            <w:tcBorders>
              <w:top w:sz="4" w:val="nil"/>
              <w:left w:sz="4" w:val="nil"/>
              <w:bottom w:color="000000" w:sz="4" w:val="single"/>
              <w:right w:color="000000" w:sz="4" w:val="single"/>
            </w:tcBorders>
            <w:shd w:fill="FFFFFF" w:val="clear"/>
            <w:vAlign w:val="center"/>
          </w:tcPr>
          <w:p w14:paraId="382A0000">
            <w:pPr>
              <w:widowControl w:val="1"/>
              <w:ind/>
              <w:contextualSpacing w:val="1"/>
              <w:jc w:val="center"/>
              <w:rPr>
                <w:sz w:val="22"/>
              </w:rPr>
            </w:pPr>
            <w:r>
              <w:rPr>
                <w:sz w:val="22"/>
              </w:rPr>
              <w:t>поставка тиражей (номеров) периодического печатного издания - газеты «Уважаемые пассажиры»</w:t>
            </w:r>
          </w:p>
        </w:tc>
        <w:tc>
          <w:tcPr>
            <w:tcW w:type="dxa" w:w="1416"/>
            <w:tcBorders>
              <w:top w:sz="4" w:val="nil"/>
              <w:left w:sz="4" w:val="nil"/>
              <w:bottom w:color="000000" w:sz="4" w:val="single"/>
              <w:right w:color="000000" w:sz="4" w:val="single"/>
            </w:tcBorders>
            <w:shd w:fill="FFFFFF" w:val="clear"/>
            <w:vAlign w:val="center"/>
          </w:tcPr>
          <w:p w14:paraId="392A0000">
            <w:pPr>
              <w:widowControl w:val="1"/>
              <w:ind/>
              <w:contextualSpacing w:val="1"/>
              <w:jc w:val="center"/>
              <w:rPr>
                <w:sz w:val="22"/>
              </w:rPr>
            </w:pPr>
            <w:r>
              <w:rPr>
                <w:sz w:val="22"/>
              </w:rPr>
              <w:t>12.02.2018-31.12.2018</w:t>
            </w:r>
          </w:p>
        </w:tc>
        <w:tc>
          <w:tcPr>
            <w:tcW w:type="dxa" w:w="1591"/>
            <w:tcBorders>
              <w:top w:sz="4" w:val="nil"/>
              <w:left w:sz="4" w:val="nil"/>
              <w:bottom w:color="000000" w:sz="4" w:val="single"/>
              <w:right w:color="000000" w:sz="4" w:val="single"/>
            </w:tcBorders>
            <w:shd w:fill="FFFFFF" w:val="clear"/>
            <w:vAlign w:val="center"/>
          </w:tcPr>
          <w:p w14:paraId="3A2A0000">
            <w:pPr>
              <w:widowControl w:val="1"/>
              <w:ind/>
              <w:contextualSpacing w:val="1"/>
              <w:jc w:val="center"/>
              <w:rPr>
                <w:sz w:val="22"/>
              </w:rPr>
            </w:pPr>
            <w:r>
              <w:rPr>
                <w:sz w:val="22"/>
              </w:rPr>
              <w:t>185 000,00</w:t>
            </w:r>
          </w:p>
        </w:tc>
        <w:tc>
          <w:tcPr>
            <w:tcW w:type="dxa" w:w="2104"/>
            <w:tcBorders>
              <w:top w:sz="4" w:val="nil"/>
              <w:left w:sz="4" w:val="nil"/>
              <w:bottom w:color="000000" w:sz="4" w:val="single"/>
              <w:right w:color="000000" w:sz="4" w:val="single"/>
            </w:tcBorders>
            <w:shd w:fill="FFFFFF" w:val="clear"/>
            <w:vAlign w:val="center"/>
          </w:tcPr>
          <w:p w14:paraId="3B2A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r>
      <w:tr>
        <w:trPr>
          <w:trHeight w:hRule="atLeast" w:val="1020"/>
        </w:trPr>
        <w:tc>
          <w:tcPr>
            <w:tcW w:type="dxa" w:w="730"/>
            <w:tcBorders>
              <w:top w:sz="4" w:val="nil"/>
              <w:left w:color="000000" w:sz="4" w:val="single"/>
              <w:bottom w:color="000000" w:sz="4" w:val="single"/>
              <w:right w:color="000000" w:sz="4" w:val="single"/>
            </w:tcBorders>
            <w:shd w:fill="auto" w:val="clear"/>
            <w:vAlign w:val="center"/>
          </w:tcPr>
          <w:p w14:paraId="3C2A0000">
            <w:pPr>
              <w:widowControl w:val="1"/>
              <w:ind/>
              <w:contextualSpacing w:val="1"/>
              <w:jc w:val="center"/>
              <w:rPr>
                <w:color w:val="000000"/>
                <w:sz w:val="22"/>
              </w:rPr>
            </w:pPr>
            <w:r>
              <w:rPr>
                <w:color w:val="000000"/>
                <w:sz w:val="22"/>
              </w:rPr>
              <w:t>14</w:t>
            </w:r>
          </w:p>
        </w:tc>
        <w:tc>
          <w:tcPr>
            <w:tcW w:type="dxa" w:w="2268"/>
            <w:tcBorders>
              <w:top w:sz="4" w:val="nil"/>
              <w:left w:sz="4" w:val="nil"/>
              <w:bottom w:color="000000" w:sz="4" w:val="single"/>
              <w:right w:color="000000" w:sz="4" w:val="single"/>
            </w:tcBorders>
            <w:shd w:fill="auto" w:val="clear"/>
            <w:vAlign w:val="center"/>
          </w:tcPr>
          <w:p w14:paraId="3D2A0000">
            <w:pPr>
              <w:widowControl w:val="1"/>
              <w:ind/>
              <w:contextualSpacing w:val="1"/>
              <w:jc w:val="center"/>
              <w:rPr>
                <w:sz w:val="22"/>
              </w:rPr>
            </w:pPr>
            <w:r>
              <w:rPr>
                <w:sz w:val="22"/>
              </w:rPr>
              <w:t>договор № 23-18/Ф(ЕНИС) от 12.02.2018</w:t>
            </w:r>
          </w:p>
        </w:tc>
        <w:tc>
          <w:tcPr>
            <w:tcW w:type="dxa" w:w="1427"/>
            <w:tcBorders>
              <w:top w:sz="4" w:val="nil"/>
              <w:left w:sz="4" w:val="nil"/>
              <w:bottom w:color="000000" w:sz="4" w:val="single"/>
              <w:right w:color="000000" w:sz="4" w:val="single"/>
            </w:tcBorders>
            <w:shd w:fill="auto" w:val="clear"/>
            <w:vAlign w:val="center"/>
          </w:tcPr>
          <w:p w14:paraId="3E2A0000">
            <w:pPr>
              <w:widowControl w:val="1"/>
              <w:ind/>
              <w:contextualSpacing w:val="1"/>
              <w:jc w:val="center"/>
              <w:rPr>
                <w:sz w:val="22"/>
              </w:rPr>
            </w:pPr>
            <w:r>
              <w:rPr>
                <w:sz w:val="22"/>
              </w:rPr>
              <w:t>12.02.2018</w:t>
            </w:r>
          </w:p>
        </w:tc>
        <w:tc>
          <w:tcPr>
            <w:tcW w:type="dxa" w:w="2258"/>
            <w:tcBorders>
              <w:top w:sz="4" w:val="nil"/>
              <w:left w:sz="4" w:val="nil"/>
              <w:bottom w:color="000000" w:sz="4" w:val="single"/>
              <w:right w:color="000000" w:sz="4" w:val="single"/>
            </w:tcBorders>
            <w:shd w:fill="auto" w:val="clear"/>
            <w:vAlign w:val="center"/>
          </w:tcPr>
          <w:p w14:paraId="3F2A0000">
            <w:pPr>
              <w:widowControl w:val="1"/>
              <w:ind/>
              <w:contextualSpacing w:val="1"/>
              <w:jc w:val="center"/>
              <w:rPr>
                <w:sz w:val="22"/>
              </w:rPr>
            </w:pPr>
            <w:r>
              <w:rPr>
                <w:sz w:val="22"/>
              </w:rPr>
              <w:t>Енисейский филиал АО "ФПК"</w:t>
            </w:r>
          </w:p>
        </w:tc>
        <w:tc>
          <w:tcPr>
            <w:tcW w:type="dxa" w:w="2561"/>
            <w:tcBorders>
              <w:top w:sz="4" w:val="nil"/>
              <w:left w:sz="4" w:val="nil"/>
              <w:bottom w:color="000000" w:sz="4" w:val="single"/>
              <w:right w:color="000000" w:sz="4" w:val="single"/>
            </w:tcBorders>
            <w:shd w:fill="auto" w:val="clear"/>
            <w:vAlign w:val="center"/>
          </w:tcPr>
          <w:p w14:paraId="402A0000">
            <w:pPr>
              <w:widowControl w:val="1"/>
              <w:ind/>
              <w:contextualSpacing w:val="1"/>
              <w:jc w:val="center"/>
              <w:rPr>
                <w:sz w:val="22"/>
              </w:rPr>
            </w:pPr>
            <w:r>
              <w:rPr>
                <w:sz w:val="22"/>
              </w:rPr>
              <w:t>перевозка военнослужащих Минобороны России и членов их семей, прицепка в составы пригородных поездов АО "Краспригород", организация расчетов, связанных с перевозкой военнослужащих (вознаграждение АО ФПК 60,21руб. с НДС)</w:t>
            </w:r>
          </w:p>
        </w:tc>
        <w:tc>
          <w:tcPr>
            <w:tcW w:type="dxa" w:w="1416"/>
            <w:tcBorders>
              <w:top w:sz="4" w:val="nil"/>
              <w:left w:sz="4" w:val="nil"/>
              <w:bottom w:color="000000" w:sz="4" w:val="single"/>
              <w:right w:color="000000" w:sz="4" w:val="single"/>
            </w:tcBorders>
            <w:shd w:fill="auto" w:val="clear"/>
            <w:vAlign w:val="center"/>
          </w:tcPr>
          <w:p w14:paraId="412A0000">
            <w:pPr>
              <w:widowControl w:val="1"/>
              <w:ind/>
              <w:contextualSpacing w:val="1"/>
              <w:jc w:val="center"/>
              <w:rPr>
                <w:sz w:val="22"/>
              </w:rPr>
            </w:pPr>
            <w:r>
              <w:rPr>
                <w:sz w:val="22"/>
              </w:rPr>
              <w:t>01.01.2018-31.03.2018</w:t>
            </w:r>
          </w:p>
        </w:tc>
        <w:tc>
          <w:tcPr>
            <w:tcW w:type="dxa" w:w="1591"/>
            <w:tcBorders>
              <w:top w:sz="4" w:val="nil"/>
              <w:left w:sz="4" w:val="nil"/>
              <w:bottom w:color="000000" w:sz="4" w:val="single"/>
              <w:right w:color="000000" w:sz="4" w:val="single"/>
            </w:tcBorders>
            <w:shd w:fill="auto" w:val="clear"/>
            <w:vAlign w:val="center"/>
          </w:tcPr>
          <w:p w14:paraId="422A0000">
            <w:pPr>
              <w:widowControl w:val="1"/>
              <w:ind/>
              <w:contextualSpacing w:val="1"/>
              <w:jc w:val="center"/>
              <w:rPr>
                <w:sz w:val="22"/>
              </w:rPr>
            </w:pPr>
            <w:r>
              <w:rPr>
                <w:sz w:val="22"/>
              </w:rPr>
              <w:t>31691</w:t>
            </w:r>
          </w:p>
        </w:tc>
        <w:tc>
          <w:tcPr>
            <w:tcW w:type="dxa" w:w="2104"/>
            <w:tcBorders>
              <w:top w:sz="4" w:val="nil"/>
              <w:left w:sz="4" w:val="nil"/>
              <w:bottom w:color="000000" w:sz="4" w:val="single"/>
              <w:right w:color="000000" w:sz="4" w:val="single"/>
            </w:tcBorders>
            <w:shd w:fill="FFFFFF" w:val="clear"/>
            <w:vAlign w:val="center"/>
          </w:tcPr>
          <w:p w14:paraId="432A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r>
      <w:tr>
        <w:trPr>
          <w:trHeight w:hRule="atLeast" w:val="1485"/>
        </w:trPr>
        <w:tc>
          <w:tcPr>
            <w:tcW w:type="dxa" w:w="730"/>
            <w:tcBorders>
              <w:top w:sz="4" w:val="nil"/>
              <w:left w:color="000000" w:sz="4" w:val="single"/>
              <w:bottom w:color="000000" w:sz="4" w:val="single"/>
              <w:right w:color="000000" w:sz="4" w:val="single"/>
            </w:tcBorders>
            <w:shd w:fill="auto" w:val="clear"/>
            <w:vAlign w:val="center"/>
          </w:tcPr>
          <w:p w14:paraId="442A0000">
            <w:pPr>
              <w:widowControl w:val="1"/>
              <w:ind/>
              <w:contextualSpacing w:val="1"/>
              <w:jc w:val="center"/>
              <w:rPr>
                <w:color w:val="000000"/>
                <w:sz w:val="22"/>
              </w:rPr>
            </w:pPr>
            <w:r>
              <w:rPr>
                <w:color w:val="000000"/>
                <w:sz w:val="22"/>
              </w:rPr>
              <w:t>15</w:t>
            </w:r>
          </w:p>
        </w:tc>
        <w:tc>
          <w:tcPr>
            <w:tcW w:type="dxa" w:w="2268"/>
            <w:tcBorders>
              <w:top w:sz="4" w:val="nil"/>
              <w:left w:sz="4" w:val="nil"/>
              <w:bottom w:color="000000" w:sz="4" w:val="single"/>
              <w:right w:color="000000" w:sz="4" w:val="single"/>
            </w:tcBorders>
            <w:shd w:fill="auto" w:val="clear"/>
            <w:vAlign w:val="center"/>
          </w:tcPr>
          <w:p w14:paraId="452A0000">
            <w:pPr>
              <w:widowControl w:val="1"/>
              <w:ind/>
              <w:contextualSpacing w:val="1"/>
              <w:jc w:val="center"/>
              <w:rPr>
                <w:sz w:val="22"/>
              </w:rPr>
            </w:pPr>
            <w:r>
              <w:rPr>
                <w:sz w:val="22"/>
              </w:rPr>
              <w:t>договор № 2783549 от 14.02.2018</w:t>
            </w:r>
          </w:p>
        </w:tc>
        <w:tc>
          <w:tcPr>
            <w:tcW w:type="dxa" w:w="1427"/>
            <w:tcBorders>
              <w:top w:sz="4" w:val="nil"/>
              <w:left w:sz="4" w:val="nil"/>
              <w:bottom w:color="000000" w:sz="4" w:val="single"/>
              <w:right w:color="000000" w:sz="4" w:val="single"/>
            </w:tcBorders>
            <w:shd w:fill="auto" w:val="clear"/>
            <w:vAlign w:val="center"/>
          </w:tcPr>
          <w:p w14:paraId="462A0000">
            <w:pPr>
              <w:widowControl w:val="1"/>
              <w:ind/>
              <w:contextualSpacing w:val="1"/>
              <w:jc w:val="center"/>
              <w:rPr>
                <w:sz w:val="22"/>
              </w:rPr>
            </w:pPr>
            <w:r>
              <w:rPr>
                <w:sz w:val="22"/>
              </w:rPr>
              <w:t>14.02.2018</w:t>
            </w:r>
          </w:p>
        </w:tc>
        <w:tc>
          <w:tcPr>
            <w:tcW w:type="dxa" w:w="2258"/>
            <w:tcBorders>
              <w:top w:sz="4" w:val="nil"/>
              <w:left w:sz="4" w:val="nil"/>
              <w:bottom w:color="000000" w:sz="4" w:val="single"/>
              <w:right w:color="000000" w:sz="4" w:val="single"/>
            </w:tcBorders>
            <w:shd w:fill="auto" w:val="clear"/>
            <w:vAlign w:val="center"/>
          </w:tcPr>
          <w:p w14:paraId="472A0000">
            <w:pPr>
              <w:widowControl w:val="1"/>
              <w:ind/>
              <w:contextualSpacing w:val="1"/>
              <w:jc w:val="center"/>
              <w:rPr>
                <w:color w:val="000000"/>
                <w:sz w:val="22"/>
              </w:rPr>
            </w:pPr>
            <w:r>
              <w:rPr>
                <w:color w:val="000000"/>
                <w:sz w:val="22"/>
              </w:rPr>
              <w:t>ОАО "РЖД" Красноярская  дирекция по управлению терминально- складским комплексом</w:t>
            </w:r>
          </w:p>
        </w:tc>
        <w:tc>
          <w:tcPr>
            <w:tcW w:type="dxa" w:w="2561"/>
            <w:tcBorders>
              <w:top w:sz="4" w:val="nil"/>
              <w:left w:sz="4" w:val="nil"/>
              <w:bottom w:color="000000" w:sz="4" w:val="single"/>
              <w:right w:color="000000" w:sz="4" w:val="single"/>
            </w:tcBorders>
            <w:shd w:fill="FFFFFF" w:val="clear"/>
            <w:vAlign w:val="center"/>
          </w:tcPr>
          <w:p w14:paraId="482A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auto" w:val="clear"/>
            <w:vAlign w:val="center"/>
          </w:tcPr>
          <w:p w14:paraId="492A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4A2A0000">
            <w:pPr>
              <w:widowControl w:val="1"/>
              <w:ind/>
              <w:contextualSpacing w:val="1"/>
              <w:jc w:val="center"/>
              <w:rPr>
                <w:sz w:val="22"/>
              </w:rPr>
            </w:pPr>
            <w:r>
              <w:rPr>
                <w:sz w:val="22"/>
              </w:rPr>
              <w:t>100000</w:t>
            </w:r>
          </w:p>
        </w:tc>
        <w:tc>
          <w:tcPr>
            <w:tcW w:type="dxa" w:w="2104"/>
            <w:tcBorders>
              <w:top w:sz="4" w:val="nil"/>
              <w:left w:sz="4" w:val="nil"/>
              <w:bottom w:color="000000" w:sz="4" w:val="single"/>
              <w:right w:color="000000" w:sz="4" w:val="single"/>
            </w:tcBorders>
            <w:shd w:fill="FFFFFF" w:val="clear"/>
            <w:vAlign w:val="center"/>
          </w:tcPr>
          <w:p w14:paraId="4B2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025"/>
        </w:trPr>
        <w:tc>
          <w:tcPr>
            <w:tcW w:type="dxa" w:w="730"/>
            <w:tcBorders>
              <w:top w:sz="4" w:val="nil"/>
              <w:left w:color="000000" w:sz="4" w:val="single"/>
              <w:bottom w:color="000000" w:sz="4" w:val="single"/>
              <w:right w:color="000000" w:sz="4" w:val="single"/>
            </w:tcBorders>
            <w:shd w:fill="auto" w:val="clear"/>
            <w:vAlign w:val="center"/>
          </w:tcPr>
          <w:p w14:paraId="4C2A0000">
            <w:pPr>
              <w:widowControl w:val="1"/>
              <w:ind/>
              <w:contextualSpacing w:val="1"/>
              <w:jc w:val="center"/>
              <w:rPr>
                <w:color w:val="000000"/>
                <w:sz w:val="22"/>
              </w:rPr>
            </w:pPr>
            <w:r>
              <w:rPr>
                <w:color w:val="000000"/>
                <w:sz w:val="22"/>
              </w:rPr>
              <w:t>16</w:t>
            </w:r>
          </w:p>
        </w:tc>
        <w:tc>
          <w:tcPr>
            <w:tcW w:type="dxa" w:w="2268"/>
            <w:tcBorders>
              <w:top w:sz="4" w:val="nil"/>
              <w:left w:sz="4" w:val="nil"/>
              <w:bottom w:color="000000" w:sz="4" w:val="single"/>
              <w:right w:color="000000" w:sz="4" w:val="single"/>
            </w:tcBorders>
            <w:shd w:fill="auto" w:val="clear"/>
            <w:vAlign w:val="center"/>
          </w:tcPr>
          <w:p w14:paraId="4D2A0000">
            <w:pPr>
              <w:widowControl w:val="1"/>
              <w:ind/>
              <w:contextualSpacing w:val="1"/>
              <w:jc w:val="center"/>
              <w:rPr>
                <w:sz w:val="22"/>
              </w:rPr>
            </w:pPr>
            <w:r>
              <w:rPr>
                <w:sz w:val="22"/>
              </w:rPr>
              <w:t>дополнительное соглашение № 6/330-13(6)/Ф(Енис) к договору № 62 от 24.04.2013г. От 20.02.2018</w:t>
            </w:r>
          </w:p>
        </w:tc>
        <w:tc>
          <w:tcPr>
            <w:tcW w:type="dxa" w:w="1427"/>
            <w:tcBorders>
              <w:top w:sz="4" w:val="nil"/>
              <w:left w:sz="4" w:val="nil"/>
              <w:bottom w:color="000000" w:sz="4" w:val="single"/>
              <w:right w:color="000000" w:sz="4" w:val="single"/>
            </w:tcBorders>
            <w:shd w:fill="auto" w:val="clear"/>
            <w:vAlign w:val="center"/>
          </w:tcPr>
          <w:p w14:paraId="4E2A0000">
            <w:pPr>
              <w:widowControl w:val="1"/>
              <w:ind/>
              <w:contextualSpacing w:val="1"/>
              <w:jc w:val="center"/>
              <w:rPr>
                <w:sz w:val="22"/>
              </w:rPr>
            </w:pPr>
            <w:r>
              <w:rPr>
                <w:sz w:val="22"/>
              </w:rPr>
              <w:t>20.02.2018</w:t>
            </w:r>
          </w:p>
        </w:tc>
        <w:tc>
          <w:tcPr>
            <w:tcW w:type="dxa" w:w="2258"/>
            <w:tcBorders>
              <w:top w:sz="4" w:val="nil"/>
              <w:left w:sz="4" w:val="nil"/>
              <w:bottom w:color="000000" w:sz="4" w:val="single"/>
              <w:right w:color="000000" w:sz="4" w:val="single"/>
            </w:tcBorders>
            <w:shd w:fill="auto" w:val="clear"/>
            <w:vAlign w:val="center"/>
          </w:tcPr>
          <w:p w14:paraId="4F2A0000">
            <w:pPr>
              <w:widowControl w:val="1"/>
              <w:ind/>
              <w:contextualSpacing w:val="1"/>
              <w:jc w:val="center"/>
              <w:rPr>
                <w:sz w:val="22"/>
              </w:rPr>
            </w:pPr>
            <w:r>
              <w:rPr>
                <w:sz w:val="22"/>
              </w:rPr>
              <w:t>Енисейский филиал АО "ФПК"</w:t>
            </w:r>
          </w:p>
        </w:tc>
        <w:tc>
          <w:tcPr>
            <w:tcW w:type="dxa" w:w="2561"/>
            <w:tcBorders>
              <w:top w:sz="4" w:val="nil"/>
              <w:left w:sz="4" w:val="nil"/>
              <w:bottom w:color="000000" w:sz="4" w:val="single"/>
              <w:right w:color="000000" w:sz="4" w:val="single"/>
            </w:tcBorders>
            <w:shd w:fill="auto" w:val="clear"/>
            <w:vAlign w:val="center"/>
          </w:tcPr>
          <w:p w14:paraId="502A0000">
            <w:pPr>
              <w:widowControl w:val="1"/>
              <w:ind/>
              <w:contextualSpacing w:val="1"/>
              <w:jc w:val="center"/>
              <w:rPr>
                <w:sz w:val="22"/>
              </w:rPr>
            </w:pPr>
            <w:r>
              <w:rPr>
                <w:sz w:val="22"/>
              </w:rPr>
              <w:t>внесение изменений в калькуляцию стоимости оформления проездного документа без изменения предельной цены договора</w:t>
            </w:r>
          </w:p>
        </w:tc>
        <w:tc>
          <w:tcPr>
            <w:tcW w:type="dxa" w:w="1416"/>
            <w:tcBorders>
              <w:top w:sz="4" w:val="nil"/>
              <w:left w:sz="4" w:val="nil"/>
              <w:bottom w:color="000000" w:sz="4" w:val="single"/>
              <w:right w:color="000000" w:sz="4" w:val="single"/>
            </w:tcBorders>
            <w:shd w:fill="auto" w:val="clear"/>
            <w:vAlign w:val="center"/>
          </w:tcPr>
          <w:p w14:paraId="512A0000">
            <w:pPr>
              <w:widowControl w:val="1"/>
              <w:ind/>
              <w:contextualSpacing w:val="1"/>
              <w:jc w:val="center"/>
              <w:rPr>
                <w:sz w:val="22"/>
              </w:rPr>
            </w:pPr>
            <w:r>
              <w:rPr>
                <w:sz w:val="22"/>
              </w:rPr>
              <w:t>01.02.2018-31.12.2018</w:t>
            </w:r>
          </w:p>
        </w:tc>
        <w:tc>
          <w:tcPr>
            <w:tcW w:type="dxa" w:w="1591"/>
            <w:tcBorders>
              <w:top w:sz="4" w:val="nil"/>
              <w:left w:sz="4" w:val="nil"/>
              <w:bottom w:color="000000" w:sz="4" w:val="single"/>
              <w:right w:color="000000" w:sz="4" w:val="single"/>
            </w:tcBorders>
            <w:shd w:fill="auto" w:val="clear"/>
            <w:vAlign w:val="center"/>
          </w:tcPr>
          <w:p w14:paraId="522A0000">
            <w:pPr>
              <w:widowControl w:val="1"/>
              <w:ind/>
              <w:contextualSpacing w:val="1"/>
              <w:jc w:val="center"/>
              <w:rPr>
                <w:sz w:val="22"/>
              </w:rPr>
            </w:pPr>
            <w:r>
              <w:rPr>
                <w:sz w:val="22"/>
              </w:rPr>
              <w:t>15000000</w:t>
            </w:r>
          </w:p>
        </w:tc>
        <w:tc>
          <w:tcPr>
            <w:tcW w:type="dxa" w:w="2104"/>
            <w:tcBorders>
              <w:top w:sz="4" w:val="nil"/>
              <w:left w:sz="4" w:val="nil"/>
              <w:bottom w:color="000000" w:sz="4" w:val="single"/>
              <w:right w:color="000000" w:sz="4" w:val="single"/>
            </w:tcBorders>
            <w:shd w:fill="FFFFFF" w:val="clear"/>
            <w:vAlign w:val="center"/>
          </w:tcPr>
          <w:p w14:paraId="532A0000">
            <w:pPr>
              <w:widowControl w:val="1"/>
              <w:ind/>
              <w:contextualSpacing w:val="1"/>
              <w:jc w:val="center"/>
              <w:rPr>
                <w:sz w:val="22"/>
              </w:rPr>
            </w:pPr>
            <w:r>
              <w:rPr>
                <w:sz w:val="22"/>
              </w:rPr>
              <w:t>цена дополнительного соглашения не превышает 0,1% балансовой стоимости активов (пп12 п1 ст81 ФЗ об АО</w:t>
            </w:r>
          </w:p>
        </w:tc>
      </w:tr>
      <w:tr>
        <w:trPr>
          <w:trHeight w:hRule="atLeast" w:val="1230"/>
        </w:trPr>
        <w:tc>
          <w:tcPr>
            <w:tcW w:type="dxa" w:w="730"/>
            <w:tcBorders>
              <w:top w:sz="4" w:val="nil"/>
              <w:left w:color="000000" w:sz="4" w:val="single"/>
              <w:bottom w:color="000000" w:sz="4" w:val="single"/>
              <w:right w:color="000000" w:sz="4" w:val="single"/>
            </w:tcBorders>
            <w:shd w:fill="auto" w:val="clear"/>
            <w:vAlign w:val="center"/>
          </w:tcPr>
          <w:p w14:paraId="542A0000">
            <w:pPr>
              <w:widowControl w:val="1"/>
              <w:ind/>
              <w:contextualSpacing w:val="1"/>
              <w:jc w:val="center"/>
              <w:rPr>
                <w:color w:val="000000"/>
                <w:sz w:val="22"/>
              </w:rPr>
            </w:pPr>
            <w:r>
              <w:rPr>
                <w:color w:val="000000"/>
                <w:sz w:val="22"/>
              </w:rPr>
              <w:t>17</w:t>
            </w:r>
          </w:p>
        </w:tc>
        <w:tc>
          <w:tcPr>
            <w:tcW w:type="dxa" w:w="2268"/>
            <w:tcBorders>
              <w:top w:sz="4" w:val="nil"/>
              <w:left w:sz="4" w:val="nil"/>
              <w:bottom w:color="000000" w:sz="4" w:val="single"/>
              <w:right w:color="000000" w:sz="4" w:val="single"/>
            </w:tcBorders>
            <w:shd w:fill="auto" w:val="clear"/>
            <w:vAlign w:val="center"/>
          </w:tcPr>
          <w:p w14:paraId="552A0000">
            <w:pPr>
              <w:widowControl w:val="1"/>
              <w:ind/>
              <w:contextualSpacing w:val="1"/>
              <w:jc w:val="center"/>
              <w:rPr>
                <w:sz w:val="22"/>
              </w:rPr>
            </w:pPr>
            <w:r>
              <w:rPr>
                <w:sz w:val="22"/>
              </w:rPr>
              <w:t>договор № 28-18/Ф(Енис) от 20.02.2018</w:t>
            </w:r>
          </w:p>
        </w:tc>
        <w:tc>
          <w:tcPr>
            <w:tcW w:type="dxa" w:w="1427"/>
            <w:tcBorders>
              <w:top w:sz="4" w:val="nil"/>
              <w:left w:sz="4" w:val="nil"/>
              <w:bottom w:color="000000" w:sz="4" w:val="single"/>
              <w:right w:color="000000" w:sz="4" w:val="single"/>
            </w:tcBorders>
            <w:shd w:fill="auto" w:val="clear"/>
            <w:vAlign w:val="center"/>
          </w:tcPr>
          <w:p w14:paraId="562A0000">
            <w:pPr>
              <w:widowControl w:val="1"/>
              <w:ind/>
              <w:contextualSpacing w:val="1"/>
              <w:jc w:val="center"/>
              <w:rPr>
                <w:sz w:val="22"/>
              </w:rPr>
            </w:pPr>
            <w:r>
              <w:rPr>
                <w:sz w:val="22"/>
              </w:rPr>
              <w:t>20.02.2018</w:t>
            </w:r>
          </w:p>
        </w:tc>
        <w:tc>
          <w:tcPr>
            <w:tcW w:type="dxa" w:w="2258"/>
            <w:tcBorders>
              <w:top w:sz="4" w:val="nil"/>
              <w:left w:sz="4" w:val="nil"/>
              <w:bottom w:color="000000" w:sz="4" w:val="single"/>
              <w:right w:color="000000" w:sz="4" w:val="single"/>
            </w:tcBorders>
            <w:shd w:fill="auto" w:val="clear"/>
            <w:vAlign w:val="center"/>
          </w:tcPr>
          <w:p w14:paraId="572A0000">
            <w:pPr>
              <w:widowControl w:val="1"/>
              <w:ind/>
              <w:contextualSpacing w:val="1"/>
              <w:jc w:val="center"/>
              <w:rPr>
                <w:sz w:val="22"/>
              </w:rPr>
            </w:pPr>
            <w:r>
              <w:rPr>
                <w:sz w:val="22"/>
              </w:rPr>
              <w:t>Енисейский филиал АО "ФПК"</w:t>
            </w:r>
          </w:p>
        </w:tc>
        <w:tc>
          <w:tcPr>
            <w:tcW w:type="dxa" w:w="2561"/>
            <w:tcBorders>
              <w:top w:sz="4" w:val="nil"/>
              <w:left w:sz="4" w:val="nil"/>
              <w:bottom w:color="000000" w:sz="4" w:val="single"/>
              <w:right w:color="000000" w:sz="4" w:val="single"/>
            </w:tcBorders>
            <w:shd w:fill="auto" w:val="clear"/>
            <w:vAlign w:val="center"/>
          </w:tcPr>
          <w:p w14:paraId="582A0000">
            <w:pPr>
              <w:widowControl w:val="1"/>
              <w:ind/>
              <w:contextualSpacing w:val="1"/>
              <w:jc w:val="center"/>
              <w:rPr>
                <w:sz w:val="22"/>
              </w:rPr>
            </w:pPr>
            <w:r>
              <w:rPr>
                <w:sz w:val="22"/>
              </w:rPr>
              <w:t>аренда движимого имущества</w:t>
            </w:r>
          </w:p>
        </w:tc>
        <w:tc>
          <w:tcPr>
            <w:tcW w:type="dxa" w:w="1416"/>
            <w:tcBorders>
              <w:top w:sz="4" w:val="nil"/>
              <w:left w:sz="4" w:val="nil"/>
              <w:bottom w:color="000000" w:sz="4" w:val="single"/>
              <w:right w:color="000000" w:sz="4" w:val="single"/>
            </w:tcBorders>
            <w:shd w:fill="auto" w:val="clear"/>
            <w:vAlign w:val="center"/>
          </w:tcPr>
          <w:p w14:paraId="592A0000">
            <w:pPr>
              <w:widowControl w:val="1"/>
              <w:ind/>
              <w:contextualSpacing w:val="1"/>
              <w:jc w:val="center"/>
              <w:rPr>
                <w:sz w:val="22"/>
              </w:rPr>
            </w:pPr>
            <w:r>
              <w:rPr>
                <w:sz w:val="22"/>
              </w:rPr>
              <w:t>01.02.2018-31.12.2020</w:t>
            </w:r>
          </w:p>
        </w:tc>
        <w:tc>
          <w:tcPr>
            <w:tcW w:type="dxa" w:w="1591"/>
            <w:tcBorders>
              <w:top w:sz="4" w:val="nil"/>
              <w:left w:sz="4" w:val="nil"/>
              <w:bottom w:color="000000" w:sz="4" w:val="single"/>
              <w:right w:color="000000" w:sz="4" w:val="single"/>
            </w:tcBorders>
            <w:shd w:fill="auto" w:val="clear"/>
            <w:vAlign w:val="center"/>
          </w:tcPr>
          <w:p w14:paraId="5A2A0000">
            <w:pPr>
              <w:widowControl w:val="1"/>
              <w:ind/>
              <w:contextualSpacing w:val="1"/>
              <w:jc w:val="center"/>
              <w:rPr>
                <w:sz w:val="22"/>
              </w:rPr>
            </w:pPr>
            <w:r>
              <w:rPr>
                <w:sz w:val="22"/>
              </w:rPr>
              <w:t>267968,17</w:t>
            </w:r>
          </w:p>
        </w:tc>
        <w:tc>
          <w:tcPr>
            <w:tcW w:type="dxa" w:w="2104"/>
            <w:tcBorders>
              <w:top w:sz="4" w:val="nil"/>
              <w:left w:sz="4" w:val="nil"/>
              <w:bottom w:color="000000" w:sz="4" w:val="single"/>
              <w:right w:color="000000" w:sz="4" w:val="single"/>
            </w:tcBorders>
            <w:shd w:fill="FFFFFF" w:val="clear"/>
            <w:vAlign w:val="center"/>
          </w:tcPr>
          <w:p w14:paraId="5B2A0000">
            <w:pPr>
              <w:widowControl w:val="1"/>
              <w:ind/>
              <w:contextualSpacing w:val="1"/>
              <w:jc w:val="center"/>
              <w:rPr>
                <w:sz w:val="22"/>
              </w:rPr>
            </w:pPr>
            <w:r>
              <w:rPr>
                <w:sz w:val="22"/>
              </w:rPr>
              <w:t>извещение о сделке направлено 19.01.2018, требование об одобрении сделки не поступило</w:t>
            </w:r>
          </w:p>
        </w:tc>
      </w:tr>
      <w:tr>
        <w:trPr>
          <w:trHeight w:hRule="atLeast" w:val="2025"/>
        </w:trPr>
        <w:tc>
          <w:tcPr>
            <w:tcW w:type="dxa" w:w="730"/>
            <w:tcBorders>
              <w:top w:sz="4" w:val="nil"/>
              <w:left w:color="000000" w:sz="4" w:val="single"/>
              <w:bottom w:color="000000" w:sz="4" w:val="single"/>
              <w:right w:color="000000" w:sz="4" w:val="single"/>
            </w:tcBorders>
            <w:shd w:fill="auto" w:val="clear"/>
            <w:vAlign w:val="center"/>
          </w:tcPr>
          <w:p w14:paraId="5C2A0000">
            <w:pPr>
              <w:widowControl w:val="1"/>
              <w:ind/>
              <w:contextualSpacing w:val="1"/>
              <w:jc w:val="center"/>
              <w:rPr>
                <w:color w:val="000000"/>
                <w:sz w:val="22"/>
              </w:rPr>
            </w:pPr>
            <w:r>
              <w:rPr>
                <w:color w:val="000000"/>
                <w:sz w:val="22"/>
              </w:rPr>
              <w:t>18</w:t>
            </w:r>
          </w:p>
        </w:tc>
        <w:tc>
          <w:tcPr>
            <w:tcW w:type="dxa" w:w="2268"/>
            <w:tcBorders>
              <w:top w:sz="4" w:val="nil"/>
              <w:left w:sz="4" w:val="nil"/>
              <w:bottom w:color="000000" w:sz="4" w:val="single"/>
              <w:right w:color="000000" w:sz="4" w:val="single"/>
            </w:tcBorders>
            <w:shd w:fill="auto" w:val="clear"/>
            <w:vAlign w:val="center"/>
          </w:tcPr>
          <w:p w14:paraId="5D2A0000">
            <w:pPr>
              <w:widowControl w:val="1"/>
              <w:ind/>
              <w:contextualSpacing w:val="1"/>
              <w:jc w:val="center"/>
              <w:rPr>
                <w:sz w:val="22"/>
              </w:rPr>
            </w:pPr>
            <w:r>
              <w:rPr>
                <w:sz w:val="22"/>
              </w:rPr>
              <w:t>дополнительное соглашение № 1 к договору № ГФ(Д)-80/18 от 12.02.2018 от 20.02.2018</w:t>
            </w:r>
          </w:p>
        </w:tc>
        <w:tc>
          <w:tcPr>
            <w:tcW w:type="dxa" w:w="1427"/>
            <w:tcBorders>
              <w:top w:sz="4" w:val="nil"/>
              <w:left w:sz="4" w:val="nil"/>
              <w:bottom w:color="000000" w:sz="4" w:val="single"/>
              <w:right w:color="000000" w:sz="4" w:val="single"/>
            </w:tcBorders>
            <w:shd w:fill="auto" w:val="clear"/>
            <w:vAlign w:val="center"/>
          </w:tcPr>
          <w:p w14:paraId="5E2A0000">
            <w:pPr>
              <w:widowControl w:val="1"/>
              <w:ind/>
              <w:contextualSpacing w:val="1"/>
              <w:jc w:val="center"/>
              <w:rPr>
                <w:sz w:val="22"/>
              </w:rPr>
            </w:pPr>
            <w:r>
              <w:rPr>
                <w:sz w:val="22"/>
              </w:rPr>
              <w:t>20.02.2018</w:t>
            </w:r>
          </w:p>
        </w:tc>
        <w:tc>
          <w:tcPr>
            <w:tcW w:type="dxa" w:w="2258"/>
            <w:tcBorders>
              <w:top w:sz="4" w:val="nil"/>
              <w:left w:sz="4" w:val="nil"/>
              <w:bottom w:color="000000" w:sz="4" w:val="single"/>
              <w:right w:color="000000" w:sz="4" w:val="single"/>
            </w:tcBorders>
            <w:shd w:fill="auto" w:val="clear"/>
            <w:vAlign w:val="center"/>
          </w:tcPr>
          <w:p w14:paraId="5F2A0000">
            <w:pPr>
              <w:widowControl w:val="1"/>
              <w:ind/>
              <w:contextualSpacing w:val="1"/>
              <w:jc w:val="center"/>
              <w:rPr>
                <w:sz w:val="22"/>
              </w:rPr>
            </w:pPr>
            <w:r>
              <w:rPr>
                <w:sz w:val="22"/>
              </w:rPr>
              <w:t>АО "Издательский дом "Гудок"</w:t>
            </w:r>
          </w:p>
        </w:tc>
        <w:tc>
          <w:tcPr>
            <w:tcW w:type="dxa" w:w="2561"/>
            <w:tcBorders>
              <w:top w:sz="4" w:val="nil"/>
              <w:left w:sz="4" w:val="nil"/>
              <w:bottom w:color="000000" w:sz="4" w:val="single"/>
              <w:right w:color="000000" w:sz="4" w:val="single"/>
            </w:tcBorders>
            <w:shd w:fill="FFFFFF" w:val="clear"/>
            <w:vAlign w:val="center"/>
          </w:tcPr>
          <w:p w14:paraId="602A0000">
            <w:pPr>
              <w:widowControl w:val="1"/>
              <w:ind/>
              <w:contextualSpacing w:val="1"/>
              <w:jc w:val="center"/>
              <w:rPr>
                <w:sz w:val="22"/>
              </w:rPr>
            </w:pPr>
            <w:r>
              <w:rPr>
                <w:sz w:val="22"/>
              </w:rPr>
              <w:t>изменение объема поставки тиражей (номеров) периодического печатного издания - газеты «Уважаемые пассажиры», уменьшение предельной цены договора</w:t>
            </w:r>
          </w:p>
        </w:tc>
        <w:tc>
          <w:tcPr>
            <w:tcW w:type="dxa" w:w="1416"/>
            <w:tcBorders>
              <w:top w:sz="4" w:val="nil"/>
              <w:left w:sz="4" w:val="nil"/>
              <w:bottom w:color="000000" w:sz="4" w:val="single"/>
              <w:right w:color="000000" w:sz="4" w:val="single"/>
            </w:tcBorders>
            <w:shd w:fill="FFFFFF" w:val="clear"/>
            <w:vAlign w:val="center"/>
          </w:tcPr>
          <w:p w14:paraId="612A0000">
            <w:pPr>
              <w:widowControl w:val="1"/>
              <w:ind/>
              <w:contextualSpacing w:val="1"/>
              <w:jc w:val="center"/>
              <w:rPr>
                <w:sz w:val="22"/>
              </w:rPr>
            </w:pPr>
            <w:r>
              <w:rPr>
                <w:sz w:val="22"/>
              </w:rPr>
              <w:t>12.02.2018-31.12.2018</w:t>
            </w:r>
          </w:p>
        </w:tc>
        <w:tc>
          <w:tcPr>
            <w:tcW w:type="dxa" w:w="1591"/>
            <w:tcBorders>
              <w:top w:sz="4" w:val="nil"/>
              <w:left w:sz="4" w:val="nil"/>
              <w:bottom w:color="000000" w:sz="4" w:val="single"/>
              <w:right w:color="000000" w:sz="4" w:val="single"/>
            </w:tcBorders>
            <w:shd w:fill="auto" w:val="clear"/>
            <w:vAlign w:val="center"/>
          </w:tcPr>
          <w:p w14:paraId="622A0000">
            <w:pPr>
              <w:widowControl w:val="1"/>
              <w:ind/>
              <w:contextualSpacing w:val="1"/>
              <w:jc w:val="center"/>
              <w:rPr>
                <w:sz w:val="22"/>
              </w:rPr>
            </w:pPr>
            <w:r>
              <w:rPr>
                <w:sz w:val="22"/>
              </w:rPr>
              <w:t>184800</w:t>
            </w:r>
          </w:p>
        </w:tc>
        <w:tc>
          <w:tcPr>
            <w:tcW w:type="dxa" w:w="2104"/>
            <w:tcBorders>
              <w:top w:sz="4" w:val="nil"/>
              <w:left w:sz="4" w:val="nil"/>
              <w:bottom w:color="000000" w:sz="4" w:val="single"/>
              <w:right w:color="000000" w:sz="4" w:val="single"/>
            </w:tcBorders>
            <w:shd w:fill="FFFFFF" w:val="clear"/>
            <w:vAlign w:val="center"/>
          </w:tcPr>
          <w:p w14:paraId="632A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r>
      <w:tr>
        <w:trPr>
          <w:trHeight w:hRule="atLeast" w:val="780"/>
        </w:trPr>
        <w:tc>
          <w:tcPr>
            <w:tcW w:type="dxa" w:w="730"/>
            <w:tcBorders>
              <w:top w:sz="4" w:val="nil"/>
              <w:left w:color="000000" w:sz="4" w:val="single"/>
              <w:bottom w:color="000000" w:sz="4" w:val="single"/>
              <w:right w:color="000000" w:sz="4" w:val="single"/>
            </w:tcBorders>
            <w:shd w:fill="auto" w:val="clear"/>
            <w:vAlign w:val="center"/>
          </w:tcPr>
          <w:p w14:paraId="642A0000">
            <w:pPr>
              <w:widowControl w:val="1"/>
              <w:ind/>
              <w:contextualSpacing w:val="1"/>
              <w:jc w:val="center"/>
              <w:rPr>
                <w:color w:val="000000"/>
                <w:sz w:val="22"/>
              </w:rPr>
            </w:pPr>
            <w:r>
              <w:rPr>
                <w:color w:val="000000"/>
                <w:sz w:val="22"/>
              </w:rPr>
              <w:t>19</w:t>
            </w:r>
          </w:p>
        </w:tc>
        <w:tc>
          <w:tcPr>
            <w:tcW w:type="dxa" w:w="2268"/>
            <w:tcBorders>
              <w:top w:sz="4" w:val="nil"/>
              <w:left w:sz="4" w:val="nil"/>
              <w:bottom w:color="000000" w:sz="4" w:val="single"/>
              <w:right w:color="000000" w:sz="4" w:val="single"/>
            </w:tcBorders>
            <w:shd w:fill="auto" w:val="clear"/>
            <w:vAlign w:val="center"/>
          </w:tcPr>
          <w:p w14:paraId="652A0000">
            <w:pPr>
              <w:widowControl w:val="1"/>
              <w:ind/>
              <w:contextualSpacing w:val="1"/>
              <w:jc w:val="center"/>
              <w:rPr>
                <w:sz w:val="22"/>
              </w:rPr>
            </w:pPr>
            <w:r>
              <w:rPr>
                <w:sz w:val="22"/>
              </w:rPr>
              <w:t>договор № 2781185 от 21.02.2018</w:t>
            </w:r>
          </w:p>
        </w:tc>
        <w:tc>
          <w:tcPr>
            <w:tcW w:type="dxa" w:w="1427"/>
            <w:tcBorders>
              <w:top w:sz="4" w:val="nil"/>
              <w:left w:sz="4" w:val="nil"/>
              <w:bottom w:color="000000" w:sz="4" w:val="single"/>
              <w:right w:color="000000" w:sz="4" w:val="single"/>
            </w:tcBorders>
            <w:shd w:fill="auto" w:val="clear"/>
            <w:vAlign w:val="center"/>
          </w:tcPr>
          <w:p w14:paraId="662A0000">
            <w:pPr>
              <w:widowControl w:val="1"/>
              <w:ind/>
              <w:contextualSpacing w:val="1"/>
              <w:jc w:val="center"/>
              <w:rPr>
                <w:sz w:val="22"/>
              </w:rPr>
            </w:pPr>
            <w:r>
              <w:rPr>
                <w:sz w:val="22"/>
              </w:rPr>
              <w:t>21.02.2018</w:t>
            </w:r>
          </w:p>
        </w:tc>
        <w:tc>
          <w:tcPr>
            <w:tcW w:type="dxa" w:w="2258"/>
            <w:tcBorders>
              <w:top w:sz="4" w:val="nil"/>
              <w:left w:sz="4" w:val="nil"/>
              <w:bottom w:color="000000" w:sz="4" w:val="single"/>
              <w:right w:color="000000" w:sz="4" w:val="single"/>
            </w:tcBorders>
            <w:shd w:fill="auto" w:val="clear"/>
            <w:vAlign w:val="center"/>
          </w:tcPr>
          <w:p w14:paraId="672A0000">
            <w:pPr>
              <w:widowControl w:val="1"/>
              <w:ind/>
              <w:contextualSpacing w:val="1"/>
              <w:jc w:val="center"/>
              <w:rPr>
                <w:sz w:val="22"/>
              </w:rPr>
            </w:pPr>
            <w:r>
              <w:rPr>
                <w:sz w:val="22"/>
              </w:rPr>
              <w:t>ОАО "РЖД" Красноярская дирекция моторвагонного подвижного состава</w:t>
            </w:r>
          </w:p>
        </w:tc>
        <w:tc>
          <w:tcPr>
            <w:tcW w:type="dxa" w:w="2561"/>
            <w:tcBorders>
              <w:top w:sz="4" w:val="nil"/>
              <w:left w:sz="4" w:val="nil"/>
              <w:bottom w:color="000000" w:sz="4" w:val="single"/>
              <w:right w:color="000000" w:sz="4" w:val="single"/>
            </w:tcBorders>
            <w:shd w:fill="auto" w:val="clear"/>
            <w:vAlign w:val="center"/>
          </w:tcPr>
          <w:p w14:paraId="682A0000">
            <w:pPr>
              <w:widowControl w:val="1"/>
              <w:ind/>
              <w:contextualSpacing w:val="1"/>
              <w:jc w:val="center"/>
              <w:rPr>
                <w:sz w:val="22"/>
              </w:rPr>
            </w:pPr>
            <w:r>
              <w:rPr>
                <w:sz w:val="22"/>
              </w:rPr>
              <w:t>оказание услуг по управлению и эксплуатации электропоездов ЭД9М №№ 0217, 0218, 0219</w:t>
            </w:r>
          </w:p>
        </w:tc>
        <w:tc>
          <w:tcPr>
            <w:tcW w:type="dxa" w:w="1416"/>
            <w:tcBorders>
              <w:top w:sz="4" w:val="nil"/>
              <w:left w:sz="4" w:val="nil"/>
              <w:bottom w:color="000000" w:sz="4" w:val="single"/>
              <w:right w:color="000000" w:sz="4" w:val="single"/>
            </w:tcBorders>
            <w:shd w:fill="auto" w:val="clear"/>
            <w:vAlign w:val="center"/>
          </w:tcPr>
          <w:p w14:paraId="692A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6A2A0000">
            <w:pPr>
              <w:widowControl w:val="1"/>
              <w:ind/>
              <w:contextualSpacing w:val="1"/>
              <w:jc w:val="center"/>
              <w:rPr>
                <w:sz w:val="22"/>
              </w:rPr>
            </w:pPr>
            <w:r>
              <w:rPr>
                <w:sz w:val="22"/>
              </w:rPr>
              <w:t>17890417,45</w:t>
            </w:r>
          </w:p>
        </w:tc>
        <w:tc>
          <w:tcPr>
            <w:tcW w:type="dxa" w:w="2104"/>
            <w:tcBorders>
              <w:top w:sz="4" w:val="nil"/>
              <w:left w:sz="4" w:val="nil"/>
              <w:bottom w:color="000000" w:sz="4" w:val="single"/>
              <w:right w:color="000000" w:sz="4" w:val="single"/>
            </w:tcBorders>
            <w:shd w:fill="FFFFFF" w:val="clear"/>
            <w:vAlign w:val="center"/>
          </w:tcPr>
          <w:p w14:paraId="6B2A0000">
            <w:pPr>
              <w:widowControl w:val="1"/>
              <w:ind/>
              <w:contextualSpacing w:val="1"/>
              <w:jc w:val="center"/>
              <w:rPr>
                <w:sz w:val="22"/>
              </w:rPr>
            </w:pPr>
            <w:r>
              <w:rPr>
                <w:sz w:val="22"/>
              </w:rPr>
              <w:t>извещение о сделке направлено 19.01.2018,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6C2A0000">
            <w:pPr>
              <w:widowControl w:val="1"/>
              <w:ind/>
              <w:contextualSpacing w:val="1"/>
              <w:jc w:val="center"/>
              <w:rPr>
                <w:color w:val="000000"/>
                <w:sz w:val="22"/>
              </w:rPr>
            </w:pPr>
            <w:r>
              <w:rPr>
                <w:color w:val="000000"/>
                <w:sz w:val="22"/>
              </w:rPr>
              <w:t>20</w:t>
            </w:r>
          </w:p>
        </w:tc>
        <w:tc>
          <w:tcPr>
            <w:tcW w:type="dxa" w:w="2268"/>
            <w:tcBorders>
              <w:top w:sz="4" w:val="nil"/>
              <w:left w:sz="4" w:val="nil"/>
              <w:bottom w:color="000000" w:sz="4" w:val="single"/>
              <w:right w:color="000000" w:sz="4" w:val="single"/>
            </w:tcBorders>
            <w:shd w:fill="auto" w:val="clear"/>
            <w:vAlign w:val="center"/>
          </w:tcPr>
          <w:p w14:paraId="6D2A0000">
            <w:pPr>
              <w:widowControl w:val="1"/>
              <w:ind/>
              <w:contextualSpacing w:val="1"/>
              <w:jc w:val="center"/>
              <w:rPr>
                <w:sz w:val="22"/>
              </w:rPr>
            </w:pPr>
            <w:r>
              <w:rPr>
                <w:sz w:val="22"/>
              </w:rPr>
              <w:t>договор № 38-18/Ф(ЕНИС)  от 26.02.2018</w:t>
            </w:r>
          </w:p>
        </w:tc>
        <w:tc>
          <w:tcPr>
            <w:tcW w:type="dxa" w:w="1427"/>
            <w:tcBorders>
              <w:top w:sz="4" w:val="nil"/>
              <w:left w:sz="4" w:val="nil"/>
              <w:bottom w:color="000000" w:sz="4" w:val="single"/>
              <w:right w:color="000000" w:sz="4" w:val="single"/>
            </w:tcBorders>
            <w:shd w:fill="auto" w:val="clear"/>
            <w:vAlign w:val="center"/>
          </w:tcPr>
          <w:p w14:paraId="6E2A0000">
            <w:pPr>
              <w:widowControl w:val="1"/>
              <w:ind/>
              <w:contextualSpacing w:val="1"/>
              <w:jc w:val="center"/>
              <w:rPr>
                <w:sz w:val="22"/>
              </w:rPr>
            </w:pPr>
            <w:r>
              <w:rPr>
                <w:sz w:val="22"/>
              </w:rPr>
              <w:t>26.02.2018</w:t>
            </w:r>
          </w:p>
        </w:tc>
        <w:tc>
          <w:tcPr>
            <w:tcW w:type="dxa" w:w="2258"/>
            <w:tcBorders>
              <w:top w:sz="4" w:val="nil"/>
              <w:left w:sz="4" w:val="nil"/>
              <w:bottom w:color="000000" w:sz="4" w:val="single"/>
              <w:right w:color="000000" w:sz="4" w:val="single"/>
            </w:tcBorders>
            <w:shd w:fill="auto" w:val="clear"/>
            <w:vAlign w:val="center"/>
          </w:tcPr>
          <w:p w14:paraId="6F2A0000">
            <w:pPr>
              <w:widowControl w:val="1"/>
              <w:ind/>
              <w:contextualSpacing w:val="1"/>
              <w:jc w:val="center"/>
              <w:rPr>
                <w:sz w:val="22"/>
              </w:rPr>
            </w:pPr>
            <w:r>
              <w:rPr>
                <w:sz w:val="22"/>
              </w:rPr>
              <w:t>Енисейский филиал АО "ФПК"</w:t>
            </w:r>
          </w:p>
        </w:tc>
        <w:tc>
          <w:tcPr>
            <w:tcW w:type="dxa" w:w="2561"/>
            <w:tcBorders>
              <w:top w:sz="4" w:val="nil"/>
              <w:left w:sz="4" w:val="nil"/>
              <w:bottom w:color="000000" w:sz="4" w:val="single"/>
              <w:right w:color="000000" w:sz="4" w:val="single"/>
            </w:tcBorders>
            <w:shd w:fill="FFFFFF" w:val="clear"/>
            <w:vAlign w:val="center"/>
          </w:tcPr>
          <w:p w14:paraId="702A0000">
            <w:pPr>
              <w:widowControl w:val="1"/>
              <w:ind/>
              <w:contextualSpacing w:val="1"/>
              <w:jc w:val="center"/>
              <w:rPr>
                <w:sz w:val="22"/>
              </w:rPr>
            </w:pPr>
            <w:r>
              <w:rPr>
                <w:sz w:val="22"/>
              </w:rPr>
              <w:t>Оказание услуг по обучению персонала</w:t>
            </w:r>
          </w:p>
        </w:tc>
        <w:tc>
          <w:tcPr>
            <w:tcW w:type="dxa" w:w="1416"/>
            <w:tcBorders>
              <w:top w:sz="4" w:val="nil"/>
              <w:left w:sz="4" w:val="nil"/>
              <w:bottom w:color="000000" w:sz="4" w:val="single"/>
              <w:right w:color="000000" w:sz="4" w:val="single"/>
            </w:tcBorders>
            <w:shd w:fill="auto" w:val="clear"/>
            <w:vAlign w:val="center"/>
          </w:tcPr>
          <w:p w14:paraId="712A0000">
            <w:pPr>
              <w:widowControl w:val="1"/>
              <w:ind/>
              <w:contextualSpacing w:val="1"/>
              <w:jc w:val="center"/>
              <w:rPr>
                <w:sz w:val="22"/>
              </w:rPr>
            </w:pPr>
            <w:r>
              <w:rPr>
                <w:sz w:val="22"/>
              </w:rPr>
              <w:t>26.02.2018-31.12.2018</w:t>
            </w:r>
          </w:p>
        </w:tc>
        <w:tc>
          <w:tcPr>
            <w:tcW w:type="dxa" w:w="1591"/>
            <w:tcBorders>
              <w:top w:sz="4" w:val="nil"/>
              <w:left w:sz="4" w:val="nil"/>
              <w:bottom w:color="000000" w:sz="4" w:val="single"/>
              <w:right w:color="000000" w:sz="4" w:val="single"/>
            </w:tcBorders>
            <w:shd w:fill="auto" w:val="clear"/>
            <w:vAlign w:val="center"/>
          </w:tcPr>
          <w:p w14:paraId="722A0000">
            <w:pPr>
              <w:widowControl w:val="1"/>
              <w:ind/>
              <w:contextualSpacing w:val="1"/>
              <w:jc w:val="center"/>
              <w:rPr>
                <w:sz w:val="22"/>
              </w:rPr>
            </w:pPr>
            <w:r>
              <w:rPr>
                <w:sz w:val="22"/>
              </w:rPr>
              <w:t>81414,2</w:t>
            </w:r>
          </w:p>
        </w:tc>
        <w:tc>
          <w:tcPr>
            <w:tcW w:type="dxa" w:w="2104"/>
            <w:tcBorders>
              <w:top w:sz="4" w:val="nil"/>
              <w:left w:sz="4" w:val="nil"/>
              <w:bottom w:color="000000" w:sz="4" w:val="single"/>
              <w:right w:color="000000" w:sz="4" w:val="single"/>
            </w:tcBorders>
            <w:shd w:fill="FFFFFF" w:val="clear"/>
            <w:vAlign w:val="center"/>
          </w:tcPr>
          <w:p w14:paraId="732A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r>
      <w:tr>
        <w:trPr>
          <w:trHeight w:hRule="atLeast" w:val="525"/>
        </w:trPr>
        <w:tc>
          <w:tcPr>
            <w:tcW w:type="dxa" w:w="730"/>
            <w:tcBorders>
              <w:top w:sz="4" w:val="nil"/>
              <w:left w:color="000000" w:sz="4" w:val="single"/>
              <w:bottom w:color="000000" w:sz="4" w:val="single"/>
              <w:right w:color="000000" w:sz="4" w:val="single"/>
            </w:tcBorders>
            <w:shd w:fill="auto" w:val="clear"/>
            <w:vAlign w:val="center"/>
          </w:tcPr>
          <w:p w14:paraId="742A0000">
            <w:pPr>
              <w:widowControl w:val="1"/>
              <w:ind/>
              <w:contextualSpacing w:val="1"/>
              <w:jc w:val="center"/>
              <w:rPr>
                <w:color w:val="000000"/>
                <w:sz w:val="22"/>
              </w:rPr>
            </w:pPr>
            <w:r>
              <w:rPr>
                <w:color w:val="000000"/>
                <w:sz w:val="22"/>
              </w:rPr>
              <w:t>21</w:t>
            </w:r>
          </w:p>
        </w:tc>
        <w:tc>
          <w:tcPr>
            <w:tcW w:type="dxa" w:w="2268"/>
            <w:tcBorders>
              <w:top w:sz="4" w:val="nil"/>
              <w:left w:sz="4" w:val="nil"/>
              <w:bottom w:color="000000" w:sz="4" w:val="single"/>
              <w:right w:color="000000" w:sz="4" w:val="single"/>
            </w:tcBorders>
            <w:shd w:fill="auto" w:val="clear"/>
            <w:vAlign w:val="center"/>
          </w:tcPr>
          <w:p w14:paraId="752A0000">
            <w:pPr>
              <w:widowControl w:val="1"/>
              <w:ind/>
              <w:contextualSpacing w:val="1"/>
              <w:jc w:val="center"/>
              <w:rPr>
                <w:sz w:val="22"/>
              </w:rPr>
            </w:pPr>
            <w:r>
              <w:rPr>
                <w:sz w:val="22"/>
              </w:rPr>
              <w:t>договор № 2797198 от 26.02.2018</w:t>
            </w:r>
          </w:p>
        </w:tc>
        <w:tc>
          <w:tcPr>
            <w:tcW w:type="dxa" w:w="1427"/>
            <w:tcBorders>
              <w:top w:sz="4" w:val="nil"/>
              <w:left w:sz="4" w:val="nil"/>
              <w:bottom w:color="000000" w:sz="4" w:val="single"/>
              <w:right w:color="000000" w:sz="4" w:val="single"/>
            </w:tcBorders>
            <w:shd w:fill="auto" w:val="clear"/>
            <w:vAlign w:val="center"/>
          </w:tcPr>
          <w:p w14:paraId="762A0000">
            <w:pPr>
              <w:widowControl w:val="1"/>
              <w:ind/>
              <w:contextualSpacing w:val="1"/>
              <w:jc w:val="center"/>
              <w:rPr>
                <w:sz w:val="22"/>
              </w:rPr>
            </w:pPr>
            <w:r>
              <w:rPr>
                <w:sz w:val="22"/>
              </w:rPr>
              <w:t>26.02.2018</w:t>
            </w:r>
          </w:p>
        </w:tc>
        <w:tc>
          <w:tcPr>
            <w:tcW w:type="dxa" w:w="2258"/>
            <w:tcBorders>
              <w:top w:sz="4" w:val="nil"/>
              <w:left w:sz="4" w:val="nil"/>
              <w:bottom w:color="000000" w:sz="4" w:val="single"/>
              <w:right w:color="000000" w:sz="4" w:val="single"/>
            </w:tcBorders>
            <w:shd w:fill="auto" w:val="clear"/>
            <w:vAlign w:val="center"/>
          </w:tcPr>
          <w:p w14:paraId="772A0000">
            <w:pPr>
              <w:widowControl w:val="1"/>
              <w:ind/>
              <w:contextualSpacing w:val="1"/>
              <w:jc w:val="center"/>
              <w:rPr>
                <w:sz w:val="22"/>
              </w:rPr>
            </w:pPr>
            <w:r>
              <w:rPr>
                <w:sz w:val="22"/>
              </w:rPr>
              <w:t>ОАО "РЖД" Красноярская дирекция тяги</w:t>
            </w:r>
          </w:p>
        </w:tc>
        <w:tc>
          <w:tcPr>
            <w:tcW w:type="dxa" w:w="2561"/>
            <w:tcBorders>
              <w:top w:sz="4" w:val="nil"/>
              <w:left w:sz="4" w:val="nil"/>
              <w:bottom w:color="000000" w:sz="4" w:val="single"/>
              <w:right w:color="000000" w:sz="4" w:val="single"/>
            </w:tcBorders>
            <w:shd w:fill="FFFFFF" w:val="clear"/>
            <w:vAlign w:val="center"/>
          </w:tcPr>
          <w:p w14:paraId="782A0000">
            <w:pPr>
              <w:widowControl w:val="1"/>
              <w:ind/>
              <w:contextualSpacing w:val="1"/>
              <w:jc w:val="center"/>
              <w:rPr>
                <w:sz w:val="22"/>
              </w:rPr>
            </w:pPr>
            <w:r>
              <w:rPr>
                <w:sz w:val="22"/>
              </w:rPr>
              <w:t>оказание услуг по обеспечению дизельным топливом локомотивов</w:t>
            </w:r>
          </w:p>
        </w:tc>
        <w:tc>
          <w:tcPr>
            <w:tcW w:type="dxa" w:w="1416"/>
            <w:tcBorders>
              <w:top w:sz="4" w:val="nil"/>
              <w:left w:sz="4" w:val="nil"/>
              <w:bottom w:color="000000" w:sz="4" w:val="single"/>
              <w:right w:color="000000" w:sz="4" w:val="single"/>
            </w:tcBorders>
            <w:shd w:fill="auto" w:val="clear"/>
            <w:vAlign w:val="center"/>
          </w:tcPr>
          <w:p w14:paraId="792A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7A2A0000">
            <w:pPr>
              <w:widowControl w:val="1"/>
              <w:ind/>
              <w:contextualSpacing w:val="1"/>
              <w:jc w:val="center"/>
              <w:rPr>
                <w:sz w:val="22"/>
              </w:rPr>
            </w:pPr>
            <w:r>
              <w:rPr>
                <w:sz w:val="22"/>
              </w:rPr>
              <w:t>17826762,54</w:t>
            </w:r>
          </w:p>
        </w:tc>
        <w:tc>
          <w:tcPr>
            <w:tcW w:type="dxa" w:w="2104"/>
            <w:tcBorders>
              <w:top w:sz="4" w:val="nil"/>
              <w:left w:sz="4" w:val="nil"/>
              <w:bottom w:color="000000" w:sz="4" w:val="single"/>
              <w:right w:color="000000" w:sz="4" w:val="single"/>
            </w:tcBorders>
            <w:shd w:fill="FFFFFF" w:val="clear"/>
            <w:vAlign w:val="center"/>
          </w:tcPr>
          <w:p w14:paraId="7B2A0000">
            <w:pPr>
              <w:widowControl w:val="1"/>
              <w:ind/>
              <w:contextualSpacing w:val="1"/>
              <w:jc w:val="center"/>
              <w:rPr>
                <w:sz w:val="22"/>
              </w:rPr>
            </w:pPr>
            <w:r>
              <w:rPr>
                <w:sz w:val="22"/>
              </w:rPr>
              <w:t>извещение о сделке направлено 01.02.2018,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7C2A0000">
            <w:pPr>
              <w:widowControl w:val="1"/>
              <w:ind/>
              <w:contextualSpacing w:val="1"/>
              <w:jc w:val="center"/>
              <w:rPr>
                <w:color w:val="000000"/>
                <w:sz w:val="22"/>
              </w:rPr>
            </w:pPr>
            <w:r>
              <w:rPr>
                <w:color w:val="000000"/>
                <w:sz w:val="22"/>
              </w:rPr>
              <w:t>22</w:t>
            </w:r>
          </w:p>
        </w:tc>
        <w:tc>
          <w:tcPr>
            <w:tcW w:type="dxa" w:w="2268"/>
            <w:tcBorders>
              <w:top w:sz="4" w:val="nil"/>
              <w:left w:sz="4" w:val="nil"/>
              <w:bottom w:color="000000" w:sz="4" w:val="single"/>
              <w:right w:color="000000" w:sz="4" w:val="single"/>
            </w:tcBorders>
            <w:shd w:fill="auto" w:val="clear"/>
            <w:vAlign w:val="center"/>
          </w:tcPr>
          <w:p w14:paraId="7D2A0000">
            <w:pPr>
              <w:widowControl w:val="1"/>
              <w:ind/>
              <w:contextualSpacing w:val="1"/>
              <w:jc w:val="center"/>
              <w:rPr>
                <w:sz w:val="22"/>
              </w:rPr>
            </w:pPr>
            <w:r>
              <w:rPr>
                <w:sz w:val="22"/>
              </w:rPr>
              <w:t>договор № 2781098 от 26.02.2018</w:t>
            </w:r>
          </w:p>
        </w:tc>
        <w:tc>
          <w:tcPr>
            <w:tcW w:type="dxa" w:w="1427"/>
            <w:tcBorders>
              <w:top w:sz="4" w:val="nil"/>
              <w:left w:sz="4" w:val="nil"/>
              <w:bottom w:color="000000" w:sz="4" w:val="single"/>
              <w:right w:color="000000" w:sz="4" w:val="single"/>
            </w:tcBorders>
            <w:shd w:fill="auto" w:val="clear"/>
            <w:vAlign w:val="center"/>
          </w:tcPr>
          <w:p w14:paraId="7E2A0000">
            <w:pPr>
              <w:widowControl w:val="1"/>
              <w:ind/>
              <w:contextualSpacing w:val="1"/>
              <w:jc w:val="center"/>
              <w:rPr>
                <w:sz w:val="22"/>
              </w:rPr>
            </w:pPr>
            <w:r>
              <w:rPr>
                <w:sz w:val="22"/>
              </w:rPr>
              <w:t>26.02.2018</w:t>
            </w:r>
          </w:p>
        </w:tc>
        <w:tc>
          <w:tcPr>
            <w:tcW w:type="dxa" w:w="2258"/>
            <w:tcBorders>
              <w:top w:sz="4" w:val="nil"/>
              <w:left w:sz="4" w:val="nil"/>
              <w:bottom w:color="000000" w:sz="4" w:val="single"/>
              <w:right w:color="000000" w:sz="4" w:val="single"/>
            </w:tcBorders>
            <w:shd w:fill="auto" w:val="clear"/>
            <w:vAlign w:val="center"/>
          </w:tcPr>
          <w:p w14:paraId="7F2A0000">
            <w:pPr>
              <w:widowControl w:val="1"/>
              <w:ind/>
              <w:contextualSpacing w:val="1"/>
              <w:jc w:val="center"/>
              <w:rPr>
                <w:sz w:val="22"/>
              </w:rPr>
            </w:pPr>
            <w:r>
              <w:rPr>
                <w:sz w:val="22"/>
              </w:rPr>
              <w:t>ОАО "РЖД" Красноярская дирекция моторвагонного подвижного состава</w:t>
            </w:r>
          </w:p>
        </w:tc>
        <w:tc>
          <w:tcPr>
            <w:tcW w:type="dxa" w:w="2561"/>
            <w:tcBorders>
              <w:top w:sz="4" w:val="nil"/>
              <w:left w:sz="4" w:val="nil"/>
              <w:bottom w:color="000000" w:sz="4" w:val="single"/>
              <w:right w:color="000000" w:sz="4" w:val="single"/>
            </w:tcBorders>
            <w:shd w:fill="FFFFFF" w:val="clear"/>
            <w:vAlign w:val="center"/>
          </w:tcPr>
          <w:p w14:paraId="802A0000">
            <w:pPr>
              <w:widowControl w:val="1"/>
              <w:ind/>
              <w:contextualSpacing w:val="1"/>
              <w:jc w:val="center"/>
              <w:rPr>
                <w:sz w:val="22"/>
              </w:rPr>
            </w:pPr>
            <w:r>
              <w:rPr>
                <w:sz w:val="22"/>
              </w:rPr>
              <w:t>выполнение работ по ремонту и техническому обслуживанию электропоездов переменного тока ЭД9М №№ 0217, 0218, 0219</w:t>
            </w:r>
          </w:p>
        </w:tc>
        <w:tc>
          <w:tcPr>
            <w:tcW w:type="dxa" w:w="1416"/>
            <w:tcBorders>
              <w:top w:sz="4" w:val="nil"/>
              <w:left w:sz="4" w:val="nil"/>
              <w:bottom w:color="000000" w:sz="4" w:val="single"/>
              <w:right w:color="000000" w:sz="4" w:val="single"/>
            </w:tcBorders>
            <w:shd w:fill="auto" w:val="clear"/>
            <w:vAlign w:val="center"/>
          </w:tcPr>
          <w:p w14:paraId="812A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822A0000">
            <w:pPr>
              <w:widowControl w:val="1"/>
              <w:ind/>
              <w:contextualSpacing w:val="1"/>
              <w:jc w:val="center"/>
              <w:rPr>
                <w:sz w:val="22"/>
              </w:rPr>
            </w:pPr>
            <w:r>
              <w:rPr>
                <w:sz w:val="22"/>
              </w:rPr>
              <w:t>9387186,85</w:t>
            </w:r>
          </w:p>
        </w:tc>
        <w:tc>
          <w:tcPr>
            <w:tcW w:type="dxa" w:w="2104"/>
            <w:tcBorders>
              <w:top w:sz="4" w:val="nil"/>
              <w:left w:sz="4" w:val="nil"/>
              <w:bottom w:color="000000" w:sz="4" w:val="single"/>
              <w:right w:color="000000" w:sz="4" w:val="single"/>
            </w:tcBorders>
            <w:shd w:fill="FFFFFF" w:val="clear"/>
            <w:vAlign w:val="center"/>
          </w:tcPr>
          <w:p w14:paraId="832A0000">
            <w:pPr>
              <w:widowControl w:val="1"/>
              <w:ind/>
              <w:contextualSpacing w:val="1"/>
              <w:jc w:val="center"/>
              <w:rPr>
                <w:sz w:val="22"/>
              </w:rPr>
            </w:pPr>
            <w:r>
              <w:rPr>
                <w:sz w:val="22"/>
              </w:rPr>
              <w:t>извещение о сделке направлено 19.01.2018,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842A0000">
            <w:pPr>
              <w:widowControl w:val="1"/>
              <w:ind/>
              <w:contextualSpacing w:val="1"/>
              <w:jc w:val="center"/>
              <w:rPr>
                <w:color w:val="000000"/>
                <w:sz w:val="22"/>
              </w:rPr>
            </w:pPr>
            <w:r>
              <w:rPr>
                <w:color w:val="000000"/>
                <w:sz w:val="22"/>
              </w:rPr>
              <w:t>23</w:t>
            </w:r>
          </w:p>
        </w:tc>
        <w:tc>
          <w:tcPr>
            <w:tcW w:type="dxa" w:w="2268"/>
            <w:tcBorders>
              <w:top w:sz="4" w:val="nil"/>
              <w:left w:sz="4" w:val="nil"/>
              <w:bottom w:color="000000" w:sz="4" w:val="single"/>
              <w:right w:color="000000" w:sz="4" w:val="single"/>
            </w:tcBorders>
            <w:shd w:fill="auto" w:val="clear"/>
            <w:vAlign w:val="center"/>
          </w:tcPr>
          <w:p w14:paraId="852A0000">
            <w:pPr>
              <w:widowControl w:val="1"/>
              <w:ind/>
              <w:contextualSpacing w:val="1"/>
              <w:jc w:val="center"/>
              <w:rPr>
                <w:sz w:val="22"/>
              </w:rPr>
            </w:pPr>
            <w:r>
              <w:rPr>
                <w:sz w:val="22"/>
              </w:rPr>
              <w:t>договор № 2797155 от 26.02.2018</w:t>
            </w:r>
          </w:p>
        </w:tc>
        <w:tc>
          <w:tcPr>
            <w:tcW w:type="dxa" w:w="1427"/>
            <w:tcBorders>
              <w:top w:sz="4" w:val="nil"/>
              <w:left w:sz="4" w:val="nil"/>
              <w:bottom w:color="000000" w:sz="4" w:val="single"/>
              <w:right w:color="000000" w:sz="4" w:val="single"/>
            </w:tcBorders>
            <w:shd w:fill="auto" w:val="clear"/>
            <w:vAlign w:val="center"/>
          </w:tcPr>
          <w:p w14:paraId="862A0000">
            <w:pPr>
              <w:widowControl w:val="1"/>
              <w:ind/>
              <w:contextualSpacing w:val="1"/>
              <w:jc w:val="center"/>
              <w:rPr>
                <w:sz w:val="22"/>
              </w:rPr>
            </w:pPr>
            <w:r>
              <w:rPr>
                <w:sz w:val="22"/>
              </w:rPr>
              <w:t>26.02.2018</w:t>
            </w:r>
          </w:p>
        </w:tc>
        <w:tc>
          <w:tcPr>
            <w:tcW w:type="dxa" w:w="2258"/>
            <w:tcBorders>
              <w:top w:sz="4" w:val="nil"/>
              <w:left w:sz="4" w:val="nil"/>
              <w:bottom w:color="000000" w:sz="4" w:val="single"/>
              <w:right w:color="000000" w:sz="4" w:val="single"/>
            </w:tcBorders>
            <w:shd w:fill="auto" w:val="clear"/>
            <w:vAlign w:val="center"/>
          </w:tcPr>
          <w:p w14:paraId="872A0000">
            <w:pPr>
              <w:widowControl w:val="1"/>
              <w:ind/>
              <w:contextualSpacing w:val="1"/>
              <w:jc w:val="center"/>
              <w:rPr>
                <w:sz w:val="22"/>
              </w:rPr>
            </w:pPr>
            <w:r>
              <w:rPr>
                <w:sz w:val="22"/>
              </w:rPr>
              <w:t>ОАО "РЖД" Красноярская дирекция тяги</w:t>
            </w:r>
          </w:p>
        </w:tc>
        <w:tc>
          <w:tcPr>
            <w:tcW w:type="dxa" w:w="2561"/>
            <w:tcBorders>
              <w:top w:sz="4" w:val="nil"/>
              <w:left w:sz="4" w:val="nil"/>
              <w:bottom w:color="000000" w:sz="4" w:val="single"/>
              <w:right w:color="000000" w:sz="4" w:val="single"/>
            </w:tcBorders>
            <w:shd w:fill="FFFFFF" w:val="clear"/>
            <w:vAlign w:val="center"/>
          </w:tcPr>
          <w:p w14:paraId="882A0000">
            <w:pPr>
              <w:widowControl w:val="1"/>
              <w:ind/>
              <w:contextualSpacing w:val="1"/>
              <w:jc w:val="center"/>
              <w:rPr>
                <w:sz w:val="22"/>
              </w:rPr>
            </w:pPr>
            <w:r>
              <w:rPr>
                <w:sz w:val="22"/>
              </w:rPr>
              <w:t>аренда локомотивов с экипажем</w:t>
            </w:r>
          </w:p>
        </w:tc>
        <w:tc>
          <w:tcPr>
            <w:tcW w:type="dxa" w:w="1416"/>
            <w:tcBorders>
              <w:top w:sz="4" w:val="nil"/>
              <w:left w:sz="4" w:val="nil"/>
              <w:bottom w:color="000000" w:sz="4" w:val="single"/>
              <w:right w:color="000000" w:sz="4" w:val="single"/>
            </w:tcBorders>
            <w:shd w:fill="auto" w:val="clear"/>
            <w:vAlign w:val="center"/>
          </w:tcPr>
          <w:p w14:paraId="892A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8A2A0000">
            <w:pPr>
              <w:widowControl w:val="1"/>
              <w:ind/>
              <w:contextualSpacing w:val="1"/>
              <w:jc w:val="center"/>
              <w:rPr>
                <w:sz w:val="22"/>
              </w:rPr>
            </w:pPr>
            <w:r>
              <w:rPr>
                <w:sz w:val="22"/>
              </w:rPr>
              <w:t>35612238,15</w:t>
            </w:r>
          </w:p>
        </w:tc>
        <w:tc>
          <w:tcPr>
            <w:tcW w:type="dxa" w:w="2104"/>
            <w:tcBorders>
              <w:top w:sz="4" w:val="nil"/>
              <w:left w:sz="4" w:val="nil"/>
              <w:bottom w:color="000000" w:sz="4" w:val="single"/>
              <w:right w:color="000000" w:sz="4" w:val="single"/>
            </w:tcBorders>
            <w:shd w:fill="FFFFFF" w:val="clear"/>
            <w:vAlign w:val="center"/>
          </w:tcPr>
          <w:p w14:paraId="8B2A0000">
            <w:pPr>
              <w:widowControl w:val="1"/>
              <w:ind/>
              <w:contextualSpacing w:val="1"/>
              <w:jc w:val="center"/>
              <w:rPr>
                <w:sz w:val="22"/>
              </w:rPr>
            </w:pPr>
            <w:r>
              <w:rPr>
                <w:sz w:val="22"/>
              </w:rPr>
              <w:t>извещение о сделке направлено 01.02.2018,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8C2A0000">
            <w:pPr>
              <w:widowControl w:val="1"/>
              <w:ind/>
              <w:contextualSpacing w:val="1"/>
              <w:jc w:val="center"/>
              <w:rPr>
                <w:color w:val="000000"/>
                <w:sz w:val="22"/>
              </w:rPr>
            </w:pPr>
            <w:r>
              <w:rPr>
                <w:color w:val="000000"/>
                <w:sz w:val="22"/>
              </w:rPr>
              <w:t>24</w:t>
            </w:r>
          </w:p>
        </w:tc>
        <w:tc>
          <w:tcPr>
            <w:tcW w:type="dxa" w:w="2268"/>
            <w:tcBorders>
              <w:top w:sz="4" w:val="nil"/>
              <w:left w:sz="4" w:val="nil"/>
              <w:bottom w:color="000000" w:sz="4" w:val="single"/>
              <w:right w:color="000000" w:sz="4" w:val="single"/>
            </w:tcBorders>
            <w:shd w:fill="auto" w:val="clear"/>
            <w:vAlign w:val="center"/>
          </w:tcPr>
          <w:p w14:paraId="8D2A0000">
            <w:pPr>
              <w:widowControl w:val="1"/>
              <w:ind/>
              <w:contextualSpacing w:val="1"/>
              <w:jc w:val="center"/>
              <w:rPr>
                <w:sz w:val="22"/>
              </w:rPr>
            </w:pPr>
            <w:r>
              <w:rPr>
                <w:sz w:val="22"/>
              </w:rPr>
              <w:t>договор № 2801152 от 27.02.2018</w:t>
            </w:r>
          </w:p>
        </w:tc>
        <w:tc>
          <w:tcPr>
            <w:tcW w:type="dxa" w:w="1427"/>
            <w:tcBorders>
              <w:top w:sz="4" w:val="nil"/>
              <w:left w:sz="4" w:val="nil"/>
              <w:bottom w:color="000000" w:sz="4" w:val="single"/>
              <w:right w:color="000000" w:sz="4" w:val="single"/>
            </w:tcBorders>
            <w:shd w:fill="auto" w:val="clear"/>
            <w:vAlign w:val="center"/>
          </w:tcPr>
          <w:p w14:paraId="8E2A0000">
            <w:pPr>
              <w:widowControl w:val="1"/>
              <w:ind/>
              <w:contextualSpacing w:val="1"/>
              <w:jc w:val="center"/>
              <w:rPr>
                <w:sz w:val="22"/>
              </w:rPr>
            </w:pPr>
            <w:r>
              <w:rPr>
                <w:sz w:val="22"/>
              </w:rPr>
              <w:t>27.02.2018</w:t>
            </w:r>
          </w:p>
        </w:tc>
        <w:tc>
          <w:tcPr>
            <w:tcW w:type="dxa" w:w="2258"/>
            <w:tcBorders>
              <w:top w:sz="4" w:val="nil"/>
              <w:left w:sz="4" w:val="nil"/>
              <w:bottom w:color="000000" w:sz="4" w:val="single"/>
              <w:right w:color="000000" w:sz="4" w:val="single"/>
            </w:tcBorders>
            <w:shd w:fill="FFFFFF" w:val="clear"/>
            <w:vAlign w:val="center"/>
          </w:tcPr>
          <w:p w14:paraId="8F2A0000">
            <w:pPr>
              <w:widowControl w:val="1"/>
              <w:ind/>
              <w:contextualSpacing w:val="1"/>
              <w:jc w:val="center"/>
              <w:rPr>
                <w:sz w:val="22"/>
              </w:rPr>
            </w:pPr>
            <w:r>
              <w:rPr>
                <w:sz w:val="22"/>
              </w:rPr>
              <w:t>ОАО "РЖД" Красноярский региональный общий центр обслуживания</w:t>
            </w:r>
          </w:p>
        </w:tc>
        <w:tc>
          <w:tcPr>
            <w:tcW w:type="dxa" w:w="2561"/>
            <w:tcBorders>
              <w:top w:sz="4" w:val="nil"/>
              <w:left w:sz="4" w:val="nil"/>
              <w:bottom w:color="000000" w:sz="4" w:val="single"/>
              <w:right w:color="000000" w:sz="4" w:val="single"/>
            </w:tcBorders>
            <w:shd w:fill="FFFFFF" w:val="clear"/>
            <w:vAlign w:val="center"/>
          </w:tcPr>
          <w:p w14:paraId="902A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912A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922A0000">
            <w:pPr>
              <w:widowControl w:val="1"/>
              <w:ind/>
              <w:contextualSpacing w:val="1"/>
              <w:jc w:val="center"/>
              <w:rPr>
                <w:sz w:val="22"/>
              </w:rPr>
            </w:pPr>
            <w:r>
              <w:rPr>
                <w:sz w:val="22"/>
              </w:rPr>
              <w:t>317000</w:t>
            </w:r>
          </w:p>
        </w:tc>
        <w:tc>
          <w:tcPr>
            <w:tcW w:type="dxa" w:w="2104"/>
            <w:tcBorders>
              <w:top w:sz="4" w:val="nil"/>
              <w:left w:sz="4" w:val="nil"/>
              <w:bottom w:color="000000" w:sz="4" w:val="single"/>
              <w:right w:color="000000" w:sz="4" w:val="single"/>
            </w:tcBorders>
            <w:shd w:fill="FFFFFF" w:val="clear"/>
            <w:vAlign w:val="center"/>
          </w:tcPr>
          <w:p w14:paraId="932A0000">
            <w:pPr>
              <w:widowControl w:val="1"/>
              <w:ind/>
              <w:contextualSpacing w:val="1"/>
              <w:jc w:val="center"/>
              <w:rPr>
                <w:sz w:val="22"/>
              </w:rPr>
            </w:pPr>
            <w:r>
              <w:rPr>
                <w:sz w:val="22"/>
              </w:rPr>
              <w:t>извещение о сделке направлено 21.11.2017,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942A0000">
            <w:pPr>
              <w:widowControl w:val="1"/>
              <w:ind/>
              <w:contextualSpacing w:val="1"/>
              <w:jc w:val="center"/>
              <w:rPr>
                <w:color w:val="000000"/>
                <w:sz w:val="22"/>
              </w:rPr>
            </w:pPr>
            <w:r>
              <w:rPr>
                <w:color w:val="000000"/>
                <w:sz w:val="22"/>
              </w:rPr>
              <w:t>25</w:t>
            </w:r>
          </w:p>
        </w:tc>
        <w:tc>
          <w:tcPr>
            <w:tcW w:type="dxa" w:w="2268"/>
            <w:tcBorders>
              <w:top w:sz="4" w:val="nil"/>
              <w:left w:sz="4" w:val="nil"/>
              <w:bottom w:color="000000" w:sz="4" w:val="single"/>
              <w:right w:color="000000" w:sz="4" w:val="single"/>
            </w:tcBorders>
            <w:shd w:fill="auto" w:val="clear"/>
            <w:vAlign w:val="center"/>
          </w:tcPr>
          <w:p w14:paraId="952A0000">
            <w:pPr>
              <w:widowControl w:val="1"/>
              <w:ind/>
              <w:contextualSpacing w:val="1"/>
              <w:jc w:val="center"/>
              <w:rPr>
                <w:sz w:val="22"/>
              </w:rPr>
            </w:pPr>
            <w:r>
              <w:rPr>
                <w:sz w:val="22"/>
              </w:rPr>
              <w:t>договор № 31/18/ЦДМВ от 07.03.2018</w:t>
            </w:r>
          </w:p>
        </w:tc>
        <w:tc>
          <w:tcPr>
            <w:tcW w:type="dxa" w:w="1427"/>
            <w:tcBorders>
              <w:top w:sz="4" w:val="nil"/>
              <w:left w:sz="4" w:val="nil"/>
              <w:bottom w:color="000000" w:sz="4" w:val="single"/>
              <w:right w:color="000000" w:sz="4" w:val="single"/>
            </w:tcBorders>
            <w:shd w:fill="auto" w:val="clear"/>
            <w:vAlign w:val="center"/>
          </w:tcPr>
          <w:p w14:paraId="962A0000">
            <w:pPr>
              <w:widowControl w:val="1"/>
              <w:ind/>
              <w:contextualSpacing w:val="1"/>
              <w:jc w:val="center"/>
              <w:rPr>
                <w:sz w:val="22"/>
              </w:rPr>
            </w:pPr>
            <w:r>
              <w:rPr>
                <w:sz w:val="22"/>
              </w:rPr>
              <w:t>07.03.2018</w:t>
            </w:r>
          </w:p>
        </w:tc>
        <w:tc>
          <w:tcPr>
            <w:tcW w:type="dxa" w:w="2258"/>
            <w:tcBorders>
              <w:top w:sz="4" w:val="nil"/>
              <w:left w:sz="4" w:val="nil"/>
              <w:bottom w:color="000000" w:sz="4" w:val="single"/>
              <w:right w:color="000000" w:sz="4" w:val="single"/>
            </w:tcBorders>
            <w:shd w:fill="FFFFFF" w:val="clear"/>
            <w:vAlign w:val="center"/>
          </w:tcPr>
          <w:p w14:paraId="972A0000">
            <w:pPr>
              <w:widowControl w:val="1"/>
              <w:ind/>
              <w:contextualSpacing w:val="1"/>
              <w:jc w:val="center"/>
              <w:rPr>
                <w:sz w:val="22"/>
              </w:rPr>
            </w:pPr>
            <w:r>
              <w:rPr>
                <w:sz w:val="22"/>
              </w:rPr>
              <w:t>ОАО "РЖД" Центральная дирекция моторвагонного подвижного состава</w:t>
            </w:r>
          </w:p>
        </w:tc>
        <w:tc>
          <w:tcPr>
            <w:tcW w:type="dxa" w:w="2561"/>
            <w:tcBorders>
              <w:top w:sz="4" w:val="nil"/>
              <w:left w:sz="4" w:val="nil"/>
              <w:bottom w:color="000000" w:sz="4" w:val="single"/>
              <w:right w:color="000000" w:sz="4" w:val="single"/>
            </w:tcBorders>
            <w:shd w:fill="FFFFFF" w:val="clear"/>
            <w:vAlign w:val="center"/>
          </w:tcPr>
          <w:p w14:paraId="982A0000">
            <w:pPr>
              <w:widowControl w:val="1"/>
              <w:ind/>
              <w:contextualSpacing w:val="1"/>
              <w:jc w:val="center"/>
              <w:rPr>
                <w:sz w:val="22"/>
              </w:rPr>
            </w:pPr>
            <w:r>
              <w:rPr>
                <w:sz w:val="22"/>
              </w:rPr>
              <w:t>аренда железнодорожного подвижного состава с экипажем</w:t>
            </w:r>
          </w:p>
        </w:tc>
        <w:tc>
          <w:tcPr>
            <w:tcW w:type="dxa" w:w="1416"/>
            <w:tcBorders>
              <w:top w:sz="4" w:val="nil"/>
              <w:left w:sz="4" w:val="nil"/>
              <w:bottom w:color="000000" w:sz="4" w:val="single"/>
              <w:right w:color="000000" w:sz="4" w:val="single"/>
            </w:tcBorders>
            <w:shd w:fill="FFFFFF" w:val="clear"/>
            <w:vAlign w:val="center"/>
          </w:tcPr>
          <w:p w14:paraId="992A0000">
            <w:pPr>
              <w:widowControl w:val="1"/>
              <w:ind/>
              <w:contextualSpacing w:val="1"/>
              <w:jc w:val="center"/>
              <w:rPr>
                <w:sz w:val="22"/>
              </w:rPr>
            </w:pPr>
            <w:r>
              <w:rPr>
                <w:sz w:val="22"/>
              </w:rPr>
              <w:t>01.01.2018-31.03.2019</w:t>
            </w:r>
          </w:p>
        </w:tc>
        <w:tc>
          <w:tcPr>
            <w:tcW w:type="dxa" w:w="1591"/>
            <w:tcBorders>
              <w:top w:sz="4" w:val="nil"/>
              <w:left w:sz="4" w:val="nil"/>
              <w:bottom w:color="000000" w:sz="4" w:val="single"/>
              <w:right w:color="000000" w:sz="4" w:val="single"/>
            </w:tcBorders>
            <w:shd w:fill="auto" w:val="clear"/>
            <w:vAlign w:val="center"/>
          </w:tcPr>
          <w:p w14:paraId="9A2A0000">
            <w:pPr>
              <w:widowControl w:val="1"/>
              <w:ind/>
              <w:contextualSpacing w:val="1"/>
              <w:jc w:val="center"/>
              <w:rPr>
                <w:sz w:val="22"/>
              </w:rPr>
            </w:pPr>
            <w:r>
              <w:rPr>
                <w:sz w:val="22"/>
              </w:rPr>
              <w:t>388083895,6</w:t>
            </w:r>
          </w:p>
        </w:tc>
        <w:tc>
          <w:tcPr>
            <w:tcW w:type="dxa" w:w="2104"/>
            <w:tcBorders>
              <w:top w:sz="4" w:val="nil"/>
              <w:left w:sz="4" w:val="nil"/>
              <w:bottom w:color="000000" w:sz="4" w:val="single"/>
              <w:right w:color="000000" w:sz="4" w:val="single"/>
            </w:tcBorders>
            <w:shd w:fill="FFFFFF" w:val="clear"/>
            <w:vAlign w:val="center"/>
          </w:tcPr>
          <w:p w14:paraId="9B2A0000">
            <w:pPr>
              <w:widowControl w:val="1"/>
              <w:ind/>
              <w:contextualSpacing w:val="1"/>
              <w:jc w:val="center"/>
              <w:rPr>
                <w:sz w:val="22"/>
              </w:rPr>
            </w:pPr>
            <w:r>
              <w:rPr>
                <w:sz w:val="22"/>
              </w:rPr>
              <w:t>извещение о сделке направлено 28.02.2018г.,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9C2A0000">
            <w:pPr>
              <w:widowControl w:val="1"/>
              <w:ind/>
              <w:contextualSpacing w:val="1"/>
              <w:jc w:val="center"/>
              <w:rPr>
                <w:color w:val="000000"/>
                <w:sz w:val="22"/>
              </w:rPr>
            </w:pPr>
            <w:r>
              <w:rPr>
                <w:color w:val="000000"/>
                <w:sz w:val="22"/>
              </w:rPr>
              <w:t>26</w:t>
            </w:r>
          </w:p>
        </w:tc>
        <w:tc>
          <w:tcPr>
            <w:tcW w:type="dxa" w:w="2268"/>
            <w:tcBorders>
              <w:top w:sz="4" w:val="nil"/>
              <w:left w:sz="4" w:val="nil"/>
              <w:bottom w:color="000000" w:sz="4" w:val="single"/>
              <w:right w:color="000000" w:sz="4" w:val="single"/>
            </w:tcBorders>
            <w:shd w:fill="auto" w:val="clear"/>
            <w:vAlign w:val="center"/>
          </w:tcPr>
          <w:p w14:paraId="9D2A0000">
            <w:pPr>
              <w:widowControl w:val="1"/>
              <w:ind/>
              <w:contextualSpacing w:val="1"/>
              <w:jc w:val="center"/>
              <w:rPr>
                <w:sz w:val="22"/>
              </w:rPr>
            </w:pPr>
            <w:r>
              <w:rPr>
                <w:sz w:val="22"/>
              </w:rPr>
              <w:t>договор № 52-18/Ф(ЕНИС) от 15.03.2018</w:t>
            </w:r>
          </w:p>
        </w:tc>
        <w:tc>
          <w:tcPr>
            <w:tcW w:type="dxa" w:w="1427"/>
            <w:tcBorders>
              <w:top w:sz="4" w:val="nil"/>
              <w:left w:sz="4" w:val="nil"/>
              <w:bottom w:color="000000" w:sz="4" w:val="single"/>
              <w:right w:color="000000" w:sz="4" w:val="single"/>
            </w:tcBorders>
            <w:shd w:fill="auto" w:val="clear"/>
            <w:vAlign w:val="center"/>
          </w:tcPr>
          <w:p w14:paraId="9E2A0000">
            <w:pPr>
              <w:widowControl w:val="1"/>
              <w:ind/>
              <w:contextualSpacing w:val="1"/>
              <w:jc w:val="center"/>
              <w:rPr>
                <w:sz w:val="22"/>
              </w:rPr>
            </w:pPr>
            <w:r>
              <w:rPr>
                <w:sz w:val="22"/>
              </w:rPr>
              <w:t>15.03.2018</w:t>
            </w:r>
          </w:p>
        </w:tc>
        <w:tc>
          <w:tcPr>
            <w:tcW w:type="dxa" w:w="2258"/>
            <w:tcBorders>
              <w:top w:sz="4" w:val="nil"/>
              <w:left w:sz="4" w:val="nil"/>
              <w:bottom w:color="000000" w:sz="4" w:val="single"/>
              <w:right w:color="000000" w:sz="4" w:val="single"/>
            </w:tcBorders>
            <w:shd w:fill="auto" w:val="clear"/>
            <w:vAlign w:val="center"/>
          </w:tcPr>
          <w:p w14:paraId="9F2A0000">
            <w:pPr>
              <w:widowControl w:val="1"/>
              <w:ind/>
              <w:contextualSpacing w:val="1"/>
              <w:jc w:val="center"/>
              <w:rPr>
                <w:sz w:val="22"/>
              </w:rPr>
            </w:pPr>
            <w:r>
              <w:rPr>
                <w:sz w:val="22"/>
              </w:rPr>
              <w:t>Енисейский филиал АО "ФПК"</w:t>
            </w:r>
          </w:p>
        </w:tc>
        <w:tc>
          <w:tcPr>
            <w:tcW w:type="dxa" w:w="2561"/>
            <w:tcBorders>
              <w:top w:sz="4" w:val="nil"/>
              <w:left w:sz="4" w:val="nil"/>
              <w:bottom w:color="000000" w:sz="4" w:val="single"/>
              <w:right w:color="000000" w:sz="4" w:val="single"/>
            </w:tcBorders>
            <w:shd w:fill="FFFFFF" w:val="clear"/>
            <w:vAlign w:val="center"/>
          </w:tcPr>
          <w:p w14:paraId="A02A0000">
            <w:pPr>
              <w:widowControl w:val="1"/>
              <w:ind/>
              <w:contextualSpacing w:val="1"/>
              <w:jc w:val="center"/>
              <w:rPr>
                <w:sz w:val="22"/>
              </w:rPr>
            </w:pPr>
            <w:r>
              <w:rPr>
                <w:sz w:val="22"/>
              </w:rPr>
              <w:t>оказание услуг аренды пассажирских вагонов</w:t>
            </w:r>
          </w:p>
        </w:tc>
        <w:tc>
          <w:tcPr>
            <w:tcW w:type="dxa" w:w="1416"/>
            <w:tcBorders>
              <w:top w:sz="4" w:val="nil"/>
              <w:left w:sz="4" w:val="nil"/>
              <w:bottom w:color="000000" w:sz="4" w:val="single"/>
              <w:right w:color="000000" w:sz="4" w:val="single"/>
            </w:tcBorders>
            <w:shd w:fill="auto" w:val="clear"/>
            <w:vAlign w:val="center"/>
          </w:tcPr>
          <w:p w14:paraId="A12A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A22A0000">
            <w:pPr>
              <w:widowControl w:val="1"/>
              <w:ind/>
              <w:contextualSpacing w:val="1"/>
              <w:jc w:val="center"/>
              <w:rPr>
                <w:sz w:val="22"/>
              </w:rPr>
            </w:pPr>
            <w:r>
              <w:rPr>
                <w:sz w:val="22"/>
              </w:rPr>
              <w:t>76424088,2</w:t>
            </w:r>
          </w:p>
        </w:tc>
        <w:tc>
          <w:tcPr>
            <w:tcW w:type="dxa" w:w="2104"/>
            <w:tcBorders>
              <w:top w:sz="4" w:val="nil"/>
              <w:left w:sz="4" w:val="nil"/>
              <w:bottom w:color="000000" w:sz="4" w:val="single"/>
              <w:right w:color="000000" w:sz="4" w:val="single"/>
            </w:tcBorders>
            <w:shd w:fill="FFFFFF" w:val="clear"/>
            <w:vAlign w:val="center"/>
          </w:tcPr>
          <w:p w14:paraId="A32A0000">
            <w:pPr>
              <w:widowControl w:val="1"/>
              <w:ind/>
              <w:contextualSpacing w:val="1"/>
              <w:jc w:val="center"/>
              <w:rPr>
                <w:sz w:val="22"/>
              </w:rPr>
            </w:pPr>
            <w:r>
              <w:rPr>
                <w:sz w:val="22"/>
              </w:rPr>
              <w:t>извещение о сделке направлено 28.02.2018,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A42A0000">
            <w:pPr>
              <w:widowControl w:val="1"/>
              <w:ind/>
              <w:contextualSpacing w:val="1"/>
              <w:jc w:val="center"/>
              <w:rPr>
                <w:color w:val="000000"/>
                <w:sz w:val="22"/>
              </w:rPr>
            </w:pPr>
            <w:r>
              <w:rPr>
                <w:color w:val="000000"/>
                <w:sz w:val="22"/>
              </w:rPr>
              <w:t>27</w:t>
            </w:r>
          </w:p>
        </w:tc>
        <w:tc>
          <w:tcPr>
            <w:tcW w:type="dxa" w:w="2268"/>
            <w:tcBorders>
              <w:top w:sz="4" w:val="nil"/>
              <w:left w:sz="4" w:val="nil"/>
              <w:bottom w:color="000000" w:sz="4" w:val="single"/>
              <w:right w:color="000000" w:sz="4" w:val="single"/>
            </w:tcBorders>
            <w:shd w:fill="auto" w:val="clear"/>
            <w:vAlign w:val="center"/>
          </w:tcPr>
          <w:p w14:paraId="A52A0000">
            <w:pPr>
              <w:widowControl w:val="1"/>
              <w:ind/>
              <w:contextualSpacing w:val="1"/>
              <w:jc w:val="center"/>
              <w:rPr>
                <w:sz w:val="22"/>
              </w:rPr>
            </w:pPr>
            <w:r>
              <w:rPr>
                <w:sz w:val="22"/>
              </w:rPr>
              <w:t>дополнительное соглашение № 8 к договору № 47/23/15 ЦДМВ от 31.03.2015г. От 29.03.2018</w:t>
            </w:r>
          </w:p>
        </w:tc>
        <w:tc>
          <w:tcPr>
            <w:tcW w:type="dxa" w:w="1427"/>
            <w:tcBorders>
              <w:top w:sz="4" w:val="nil"/>
              <w:left w:sz="4" w:val="nil"/>
              <w:bottom w:color="000000" w:sz="4" w:val="single"/>
              <w:right w:color="000000" w:sz="4" w:val="single"/>
            </w:tcBorders>
            <w:shd w:fill="auto" w:val="clear"/>
            <w:vAlign w:val="center"/>
          </w:tcPr>
          <w:p w14:paraId="A62A0000">
            <w:pPr>
              <w:widowControl w:val="1"/>
              <w:ind/>
              <w:contextualSpacing w:val="1"/>
              <w:jc w:val="center"/>
              <w:rPr>
                <w:sz w:val="22"/>
              </w:rPr>
            </w:pPr>
            <w:r>
              <w:rPr>
                <w:sz w:val="22"/>
              </w:rPr>
              <w:t>29.03.2018</w:t>
            </w:r>
          </w:p>
        </w:tc>
        <w:tc>
          <w:tcPr>
            <w:tcW w:type="dxa" w:w="2258"/>
            <w:tcBorders>
              <w:top w:sz="4" w:val="nil"/>
              <w:left w:sz="4" w:val="nil"/>
              <w:bottom w:color="000000" w:sz="4" w:val="single"/>
              <w:right w:color="000000" w:sz="4" w:val="single"/>
            </w:tcBorders>
            <w:shd w:fill="auto" w:val="clear"/>
            <w:vAlign w:val="center"/>
          </w:tcPr>
          <w:p w14:paraId="A72A0000">
            <w:pPr>
              <w:widowControl w:val="1"/>
              <w:ind/>
              <w:contextualSpacing w:val="1"/>
              <w:jc w:val="center"/>
              <w:rPr>
                <w:sz w:val="22"/>
              </w:rPr>
            </w:pPr>
            <w:r>
              <w:rPr>
                <w:sz w:val="22"/>
              </w:rPr>
              <w:t>ОАО "РЖД" Центральная дирекция моторвагонного подвижного состава</w:t>
            </w:r>
          </w:p>
        </w:tc>
        <w:tc>
          <w:tcPr>
            <w:tcW w:type="dxa" w:w="2561"/>
            <w:tcBorders>
              <w:top w:sz="4" w:val="nil"/>
              <w:left w:sz="4" w:val="nil"/>
              <w:bottom w:color="000000" w:sz="4" w:val="single"/>
              <w:right w:color="000000" w:sz="4" w:val="single"/>
            </w:tcBorders>
            <w:shd w:fill="auto" w:val="clear"/>
            <w:vAlign w:val="center"/>
          </w:tcPr>
          <w:p w14:paraId="A82A0000">
            <w:pPr>
              <w:widowControl w:val="1"/>
              <w:ind/>
              <w:contextualSpacing w:val="1"/>
              <w:jc w:val="center"/>
              <w:rPr>
                <w:sz w:val="22"/>
              </w:rPr>
            </w:pPr>
            <w:r>
              <w:rPr>
                <w:sz w:val="22"/>
              </w:rPr>
              <w:t>увеличение цены договора на 1 366 504,93 руб. в связи с изменением объемов услуг</w:t>
            </w:r>
          </w:p>
        </w:tc>
        <w:tc>
          <w:tcPr>
            <w:tcW w:type="dxa" w:w="1416"/>
            <w:tcBorders>
              <w:top w:sz="4" w:val="nil"/>
              <w:left w:sz="4" w:val="nil"/>
              <w:bottom w:color="000000" w:sz="4" w:val="single"/>
              <w:right w:color="000000" w:sz="4" w:val="single"/>
            </w:tcBorders>
            <w:shd w:fill="auto" w:val="clear"/>
            <w:vAlign w:val="center"/>
          </w:tcPr>
          <w:p w14:paraId="A92A0000">
            <w:pPr>
              <w:widowControl w:val="1"/>
              <w:ind/>
              <w:contextualSpacing w:val="1"/>
              <w:jc w:val="center"/>
              <w:rPr>
                <w:sz w:val="22"/>
              </w:rPr>
            </w:pPr>
            <w:r>
              <w:rPr>
                <w:sz w:val="22"/>
              </w:rPr>
              <w:t>01.01.2015-31.03.2018</w:t>
            </w:r>
          </w:p>
        </w:tc>
        <w:tc>
          <w:tcPr>
            <w:tcW w:type="dxa" w:w="1591"/>
            <w:tcBorders>
              <w:top w:sz="4" w:val="nil"/>
              <w:left w:sz="4" w:val="nil"/>
              <w:bottom w:color="000000" w:sz="4" w:val="single"/>
              <w:right w:color="000000" w:sz="4" w:val="single"/>
            </w:tcBorders>
            <w:shd w:fill="auto" w:val="clear"/>
            <w:vAlign w:val="center"/>
          </w:tcPr>
          <w:p w14:paraId="AA2A0000">
            <w:pPr>
              <w:widowControl w:val="1"/>
              <w:ind/>
              <w:contextualSpacing w:val="1"/>
              <w:jc w:val="center"/>
              <w:rPr>
                <w:sz w:val="22"/>
              </w:rPr>
            </w:pPr>
            <w:r>
              <w:rPr>
                <w:sz w:val="22"/>
              </w:rPr>
              <w:t>1156506348</w:t>
            </w:r>
          </w:p>
        </w:tc>
        <w:tc>
          <w:tcPr>
            <w:tcW w:type="dxa" w:w="2104"/>
            <w:tcBorders>
              <w:top w:sz="4" w:val="nil"/>
              <w:left w:sz="4" w:val="nil"/>
              <w:bottom w:color="000000" w:sz="4" w:val="single"/>
              <w:right w:color="000000" w:sz="4" w:val="single"/>
            </w:tcBorders>
            <w:shd w:fill="FFFFFF" w:val="clear"/>
            <w:vAlign w:val="center"/>
          </w:tcPr>
          <w:p w14:paraId="AB2A0000">
            <w:pPr>
              <w:widowControl w:val="1"/>
              <w:ind/>
              <w:contextualSpacing w:val="1"/>
              <w:jc w:val="center"/>
              <w:rPr>
                <w:sz w:val="22"/>
              </w:rPr>
            </w:pPr>
            <w:r>
              <w:rPr>
                <w:sz w:val="22"/>
              </w:rPr>
              <w:t>извещение о сделке направлено 01.02.2018г., требование об одобрении сделки не поступило</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AC2A0000">
            <w:pPr>
              <w:widowControl w:val="1"/>
              <w:ind/>
              <w:contextualSpacing w:val="1"/>
              <w:jc w:val="center"/>
              <w:rPr>
                <w:color w:val="000000"/>
                <w:sz w:val="22"/>
              </w:rPr>
            </w:pPr>
            <w:r>
              <w:rPr>
                <w:color w:val="000000"/>
                <w:sz w:val="22"/>
              </w:rPr>
              <w:t>28</w:t>
            </w:r>
          </w:p>
        </w:tc>
        <w:tc>
          <w:tcPr>
            <w:tcW w:type="dxa" w:w="2268"/>
            <w:tcBorders>
              <w:top w:sz="4" w:val="nil"/>
              <w:left w:sz="4" w:val="nil"/>
              <w:bottom w:color="000000" w:sz="4" w:val="single"/>
              <w:right w:color="000000" w:sz="4" w:val="single"/>
            </w:tcBorders>
            <w:shd w:fill="auto" w:val="clear"/>
            <w:vAlign w:val="center"/>
          </w:tcPr>
          <w:p w14:paraId="AD2A0000">
            <w:pPr>
              <w:widowControl w:val="1"/>
              <w:ind/>
              <w:contextualSpacing w:val="1"/>
              <w:jc w:val="center"/>
              <w:rPr>
                <w:sz w:val="22"/>
              </w:rPr>
            </w:pPr>
            <w:r>
              <w:rPr>
                <w:sz w:val="22"/>
              </w:rPr>
              <w:t>дополнительное соглашение № 10 к соглашению об электронном обмене данными № 12 от 26.01.2012г. От 29.03.2018</w:t>
            </w:r>
          </w:p>
        </w:tc>
        <w:tc>
          <w:tcPr>
            <w:tcW w:type="dxa" w:w="1427"/>
            <w:tcBorders>
              <w:top w:sz="4" w:val="nil"/>
              <w:left w:sz="4" w:val="nil"/>
              <w:bottom w:color="000000" w:sz="4" w:val="single"/>
              <w:right w:color="000000" w:sz="4" w:val="single"/>
            </w:tcBorders>
            <w:shd w:fill="auto" w:val="clear"/>
            <w:vAlign w:val="center"/>
          </w:tcPr>
          <w:p w14:paraId="AE2A0000">
            <w:pPr>
              <w:widowControl w:val="1"/>
              <w:ind/>
              <w:contextualSpacing w:val="1"/>
              <w:jc w:val="center"/>
              <w:rPr>
                <w:sz w:val="22"/>
              </w:rPr>
            </w:pPr>
            <w:r>
              <w:rPr>
                <w:sz w:val="22"/>
              </w:rPr>
              <w:t>29.03.2018</w:t>
            </w:r>
          </w:p>
        </w:tc>
        <w:tc>
          <w:tcPr>
            <w:tcW w:type="dxa" w:w="2258"/>
            <w:tcBorders>
              <w:top w:sz="4" w:val="nil"/>
              <w:left w:sz="4" w:val="nil"/>
              <w:bottom w:color="000000" w:sz="4" w:val="single"/>
              <w:right w:color="000000" w:sz="4" w:val="single"/>
            </w:tcBorders>
            <w:shd w:fill="FFFFFF" w:val="clear"/>
            <w:vAlign w:val="center"/>
          </w:tcPr>
          <w:p w14:paraId="AF2A0000">
            <w:pPr>
              <w:widowControl w:val="1"/>
              <w:ind/>
              <w:contextualSpacing w:val="1"/>
              <w:jc w:val="center"/>
              <w:rPr>
                <w:sz w:val="22"/>
              </w:rPr>
            </w:pPr>
            <w:r>
              <w:rPr>
                <w:sz w:val="22"/>
              </w:rPr>
              <w:t>ОАО "РЖД"</w:t>
            </w:r>
          </w:p>
        </w:tc>
        <w:tc>
          <w:tcPr>
            <w:tcW w:type="dxa" w:w="2561"/>
            <w:tcBorders>
              <w:top w:sz="4" w:val="nil"/>
              <w:left w:sz="4" w:val="nil"/>
              <w:bottom w:color="000000" w:sz="4" w:val="single"/>
              <w:right w:color="000000" w:sz="4" w:val="single"/>
            </w:tcBorders>
            <w:shd w:fill="FFFFFF" w:val="clear"/>
            <w:vAlign w:val="center"/>
          </w:tcPr>
          <w:p w14:paraId="B02A0000">
            <w:pPr>
              <w:widowControl w:val="1"/>
              <w:ind/>
              <w:contextualSpacing w:val="1"/>
              <w:jc w:val="center"/>
              <w:rPr>
                <w:sz w:val="22"/>
              </w:rPr>
            </w:pPr>
            <w:r>
              <w:rPr>
                <w:sz w:val="22"/>
              </w:rPr>
              <w:t>внесение изменений в перечень информационных систем ОАО "РЖД", которые используются АО "Краспригород</w:t>
            </w:r>
          </w:p>
        </w:tc>
        <w:tc>
          <w:tcPr>
            <w:tcW w:type="dxa" w:w="1416"/>
            <w:tcBorders>
              <w:top w:sz="4" w:val="nil"/>
              <w:left w:sz="4" w:val="nil"/>
              <w:bottom w:color="000000" w:sz="4" w:val="single"/>
              <w:right w:color="000000" w:sz="4" w:val="single"/>
            </w:tcBorders>
            <w:shd w:fill="auto" w:val="clear"/>
            <w:vAlign w:val="center"/>
          </w:tcPr>
          <w:p w14:paraId="B12A0000">
            <w:pPr>
              <w:widowControl w:val="1"/>
              <w:ind/>
              <w:contextualSpacing w:val="1"/>
              <w:jc w:val="center"/>
              <w:rPr>
                <w:sz w:val="22"/>
              </w:rPr>
            </w:pPr>
            <w:r>
              <w:rPr>
                <w:sz w:val="22"/>
              </w:rPr>
              <w:t>29.03.2018-31.12.2018 пролонгация</w:t>
            </w:r>
          </w:p>
        </w:tc>
        <w:tc>
          <w:tcPr>
            <w:tcW w:type="dxa" w:w="1591"/>
            <w:tcBorders>
              <w:top w:sz="4" w:val="nil"/>
              <w:left w:sz="4" w:val="nil"/>
              <w:bottom w:color="000000" w:sz="4" w:val="single"/>
              <w:right w:color="000000" w:sz="4" w:val="single"/>
            </w:tcBorders>
            <w:shd w:fill="auto" w:val="clear"/>
            <w:vAlign w:val="center"/>
          </w:tcPr>
          <w:p w14:paraId="B22A0000">
            <w:pPr>
              <w:widowControl w:val="1"/>
              <w:ind/>
              <w:contextualSpacing w:val="1"/>
              <w:jc w:val="center"/>
              <w:rPr>
                <w:sz w:val="22"/>
              </w:rPr>
            </w:pPr>
            <w:r>
              <w:rPr>
                <w:sz w:val="22"/>
              </w:rPr>
              <w:t>0</w:t>
            </w:r>
          </w:p>
        </w:tc>
        <w:tc>
          <w:tcPr>
            <w:tcW w:type="dxa" w:w="2104"/>
            <w:tcBorders>
              <w:top w:sz="4" w:val="nil"/>
              <w:left w:sz="4" w:val="nil"/>
              <w:bottom w:color="000000" w:sz="4" w:val="single"/>
              <w:right w:color="000000" w:sz="4" w:val="single"/>
            </w:tcBorders>
            <w:shd w:fill="FFFFFF" w:val="clear"/>
            <w:vAlign w:val="center"/>
          </w:tcPr>
          <w:p w14:paraId="B32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B42A0000">
            <w:pPr>
              <w:widowControl w:val="1"/>
              <w:ind/>
              <w:contextualSpacing w:val="1"/>
              <w:jc w:val="center"/>
              <w:rPr>
                <w:color w:val="000000"/>
                <w:sz w:val="22"/>
              </w:rPr>
            </w:pPr>
            <w:r>
              <w:rPr>
                <w:color w:val="000000"/>
                <w:sz w:val="22"/>
              </w:rPr>
              <w:t>29</w:t>
            </w:r>
          </w:p>
        </w:tc>
        <w:tc>
          <w:tcPr>
            <w:tcW w:type="dxa" w:w="2268"/>
            <w:tcBorders>
              <w:top w:sz="4" w:val="nil"/>
              <w:left w:sz="4" w:val="nil"/>
              <w:bottom w:color="000000" w:sz="4" w:val="single"/>
              <w:right w:color="000000" w:sz="4" w:val="single"/>
            </w:tcBorders>
            <w:shd w:fill="auto" w:val="clear"/>
            <w:vAlign w:val="center"/>
          </w:tcPr>
          <w:p w14:paraId="B52A0000">
            <w:pPr>
              <w:widowControl w:val="1"/>
              <w:ind/>
              <w:contextualSpacing w:val="1"/>
              <w:jc w:val="center"/>
              <w:rPr>
                <w:sz w:val="22"/>
              </w:rPr>
            </w:pPr>
            <w:r>
              <w:rPr>
                <w:sz w:val="22"/>
              </w:rPr>
              <w:t>договор № 2856538 от 30.03.2018</w:t>
            </w:r>
          </w:p>
        </w:tc>
        <w:tc>
          <w:tcPr>
            <w:tcW w:type="dxa" w:w="1427"/>
            <w:tcBorders>
              <w:top w:sz="4" w:val="nil"/>
              <w:left w:sz="4" w:val="nil"/>
              <w:bottom w:color="000000" w:sz="4" w:val="single"/>
              <w:right w:color="000000" w:sz="4" w:val="single"/>
            </w:tcBorders>
            <w:shd w:fill="auto" w:val="clear"/>
            <w:vAlign w:val="center"/>
          </w:tcPr>
          <w:p w14:paraId="B62A0000">
            <w:pPr>
              <w:widowControl w:val="1"/>
              <w:ind/>
              <w:contextualSpacing w:val="1"/>
              <w:jc w:val="center"/>
              <w:rPr>
                <w:sz w:val="22"/>
              </w:rPr>
            </w:pPr>
            <w:r>
              <w:rPr>
                <w:sz w:val="22"/>
              </w:rPr>
              <w:t>30.03.2018</w:t>
            </w:r>
          </w:p>
        </w:tc>
        <w:tc>
          <w:tcPr>
            <w:tcW w:type="dxa" w:w="2258"/>
            <w:tcBorders>
              <w:top w:sz="4" w:val="nil"/>
              <w:left w:sz="4" w:val="nil"/>
              <w:bottom w:color="000000" w:sz="4" w:val="single"/>
              <w:right w:color="000000" w:sz="4" w:val="single"/>
            </w:tcBorders>
            <w:shd w:fill="auto" w:val="clear"/>
            <w:vAlign w:val="center"/>
          </w:tcPr>
          <w:p w14:paraId="B72A0000">
            <w:pPr>
              <w:widowControl w:val="1"/>
              <w:ind/>
              <w:contextualSpacing w:val="1"/>
              <w:jc w:val="center"/>
              <w:rPr>
                <w:sz w:val="22"/>
              </w:rPr>
            </w:pPr>
            <w:r>
              <w:rPr>
                <w:sz w:val="22"/>
              </w:rPr>
              <w:t>ОАО "РЖД" Административно-хозяйственный центр</w:t>
            </w:r>
          </w:p>
        </w:tc>
        <w:tc>
          <w:tcPr>
            <w:tcW w:type="dxa" w:w="2561"/>
            <w:tcBorders>
              <w:top w:sz="4" w:val="nil"/>
              <w:left w:sz="4" w:val="nil"/>
              <w:bottom w:color="000000" w:sz="4" w:val="single"/>
              <w:right w:color="000000" w:sz="4" w:val="single"/>
            </w:tcBorders>
            <w:shd w:fill="auto" w:val="clear"/>
            <w:vAlign w:val="center"/>
          </w:tcPr>
          <w:p w14:paraId="B82A0000">
            <w:pPr>
              <w:widowControl w:val="1"/>
              <w:ind/>
              <w:contextualSpacing w:val="1"/>
              <w:jc w:val="center"/>
              <w:rPr>
                <w:sz w:val="22"/>
              </w:rPr>
            </w:pPr>
            <w:r>
              <w:rPr>
                <w:sz w:val="22"/>
              </w:rPr>
              <w:t>выполнение работ по осуществлению внутренней (влажной) и наружной санитарно-гигиенической уборки подвижного состава</w:t>
            </w:r>
          </w:p>
        </w:tc>
        <w:tc>
          <w:tcPr>
            <w:tcW w:type="dxa" w:w="1416"/>
            <w:tcBorders>
              <w:top w:sz="4" w:val="nil"/>
              <w:left w:sz="4" w:val="nil"/>
              <w:bottom w:color="000000" w:sz="4" w:val="single"/>
              <w:right w:color="000000" w:sz="4" w:val="single"/>
            </w:tcBorders>
            <w:shd w:fill="auto" w:val="clear"/>
            <w:vAlign w:val="center"/>
          </w:tcPr>
          <w:p w14:paraId="B92A0000">
            <w:pPr>
              <w:widowControl w:val="1"/>
              <w:ind/>
              <w:contextualSpacing w:val="1"/>
              <w:jc w:val="center"/>
              <w:rPr>
                <w:sz w:val="22"/>
              </w:rPr>
            </w:pPr>
            <w:r>
              <w:rPr>
                <w:sz w:val="22"/>
              </w:rPr>
              <w:t>30.03.2018-21.02.2019</w:t>
            </w:r>
          </w:p>
        </w:tc>
        <w:tc>
          <w:tcPr>
            <w:tcW w:type="dxa" w:w="1591"/>
            <w:tcBorders>
              <w:top w:sz="4" w:val="nil"/>
              <w:left w:sz="4" w:val="nil"/>
              <w:bottom w:color="000000" w:sz="4" w:val="single"/>
              <w:right w:color="000000" w:sz="4" w:val="single"/>
            </w:tcBorders>
            <w:shd w:fill="auto" w:val="clear"/>
            <w:vAlign w:val="center"/>
          </w:tcPr>
          <w:p w14:paraId="BA2A0000">
            <w:pPr>
              <w:widowControl w:val="1"/>
              <w:ind/>
              <w:contextualSpacing w:val="1"/>
              <w:jc w:val="center"/>
              <w:rPr>
                <w:sz w:val="22"/>
              </w:rPr>
            </w:pPr>
            <w:r>
              <w:rPr>
                <w:sz w:val="22"/>
              </w:rPr>
              <w:t>75531,56</w:t>
            </w:r>
          </w:p>
        </w:tc>
        <w:tc>
          <w:tcPr>
            <w:tcW w:type="dxa" w:w="2104"/>
            <w:tcBorders>
              <w:top w:sz="4" w:val="nil"/>
              <w:left w:sz="4" w:val="nil"/>
              <w:bottom w:color="000000" w:sz="4" w:val="single"/>
              <w:right w:color="000000" w:sz="4" w:val="single"/>
            </w:tcBorders>
            <w:shd w:fill="FFFFFF" w:val="clear"/>
            <w:vAlign w:val="center"/>
          </w:tcPr>
          <w:p w14:paraId="BB2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BC2A0000">
            <w:pPr>
              <w:widowControl w:val="1"/>
              <w:ind/>
              <w:contextualSpacing w:val="1"/>
              <w:jc w:val="center"/>
              <w:rPr>
                <w:color w:val="000000"/>
                <w:sz w:val="22"/>
              </w:rPr>
            </w:pPr>
            <w:r>
              <w:rPr>
                <w:color w:val="000000"/>
                <w:sz w:val="22"/>
              </w:rPr>
              <w:t>30</w:t>
            </w:r>
          </w:p>
        </w:tc>
        <w:tc>
          <w:tcPr>
            <w:tcW w:type="dxa" w:w="2268"/>
            <w:tcBorders>
              <w:top w:sz="4" w:val="nil"/>
              <w:left w:sz="4" w:val="nil"/>
              <w:bottom w:color="000000" w:sz="4" w:val="single"/>
              <w:right w:color="000000" w:sz="4" w:val="single"/>
            </w:tcBorders>
            <w:shd w:fill="auto" w:val="clear"/>
            <w:vAlign w:val="center"/>
          </w:tcPr>
          <w:p w14:paraId="BD2A0000">
            <w:pPr>
              <w:widowControl w:val="1"/>
              <w:ind/>
              <w:contextualSpacing w:val="1"/>
              <w:jc w:val="center"/>
              <w:rPr>
                <w:sz w:val="22"/>
              </w:rPr>
            </w:pPr>
            <w:r>
              <w:rPr>
                <w:sz w:val="22"/>
              </w:rPr>
              <w:t>дополнительное соглашение № 1/23-18(1)/Ф/ЕНИС к договору № 23-18/Ф(ЕНИС) от 12.02.2018 от 30.03.2018</w:t>
            </w:r>
          </w:p>
        </w:tc>
        <w:tc>
          <w:tcPr>
            <w:tcW w:type="dxa" w:w="1427"/>
            <w:tcBorders>
              <w:top w:sz="4" w:val="nil"/>
              <w:left w:sz="4" w:val="nil"/>
              <w:bottom w:color="000000" w:sz="4" w:val="single"/>
              <w:right w:color="000000" w:sz="4" w:val="single"/>
            </w:tcBorders>
            <w:shd w:fill="auto" w:val="clear"/>
            <w:vAlign w:val="center"/>
          </w:tcPr>
          <w:p w14:paraId="BE2A0000">
            <w:pPr>
              <w:widowControl w:val="1"/>
              <w:ind/>
              <w:contextualSpacing w:val="1"/>
              <w:jc w:val="center"/>
              <w:rPr>
                <w:sz w:val="22"/>
              </w:rPr>
            </w:pPr>
            <w:r>
              <w:rPr>
                <w:sz w:val="22"/>
              </w:rPr>
              <w:t>30.03.2018</w:t>
            </w:r>
          </w:p>
        </w:tc>
        <w:tc>
          <w:tcPr>
            <w:tcW w:type="dxa" w:w="2258"/>
            <w:tcBorders>
              <w:top w:sz="4" w:val="nil"/>
              <w:left w:sz="4" w:val="nil"/>
              <w:bottom w:color="000000" w:sz="4" w:val="single"/>
              <w:right w:color="000000" w:sz="4" w:val="single"/>
            </w:tcBorders>
            <w:shd w:fill="auto" w:val="clear"/>
            <w:vAlign w:val="center"/>
          </w:tcPr>
          <w:p w14:paraId="BF2A0000">
            <w:pPr>
              <w:widowControl w:val="1"/>
              <w:ind/>
              <w:contextualSpacing w:val="1"/>
              <w:jc w:val="center"/>
              <w:rPr>
                <w:sz w:val="22"/>
              </w:rPr>
            </w:pPr>
            <w:r>
              <w:rPr>
                <w:sz w:val="22"/>
              </w:rPr>
              <w:t>Енисейский филиал АО "ФПК"</w:t>
            </w:r>
          </w:p>
        </w:tc>
        <w:tc>
          <w:tcPr>
            <w:tcW w:type="dxa" w:w="2561"/>
            <w:tcBorders>
              <w:top w:sz="4" w:val="nil"/>
              <w:left w:sz="4" w:val="nil"/>
              <w:bottom w:color="000000" w:sz="4" w:val="single"/>
              <w:right w:color="000000" w:sz="4" w:val="single"/>
            </w:tcBorders>
            <w:shd w:fill="auto" w:val="clear"/>
            <w:vAlign w:val="center"/>
          </w:tcPr>
          <w:p w14:paraId="C02A0000">
            <w:pPr>
              <w:widowControl w:val="1"/>
              <w:ind/>
              <w:contextualSpacing w:val="1"/>
              <w:jc w:val="center"/>
              <w:rPr>
                <w:sz w:val="22"/>
              </w:rPr>
            </w:pPr>
            <w:r>
              <w:rPr>
                <w:sz w:val="22"/>
              </w:rPr>
              <w:t>внесение изменений в договор на перевозку военнослужащих Минобороны России и членов их семей, относительно стоимости услуг по прицепке в составы пригородных поездов АО "Краспригород", (вознаграждение АО ФПК 85,28 руб. с НДС)</w:t>
            </w:r>
          </w:p>
        </w:tc>
        <w:tc>
          <w:tcPr>
            <w:tcW w:type="dxa" w:w="1416"/>
            <w:tcBorders>
              <w:top w:sz="4" w:val="nil"/>
              <w:left w:sz="4" w:val="nil"/>
              <w:bottom w:color="000000" w:sz="4" w:val="single"/>
              <w:right w:color="000000" w:sz="4" w:val="single"/>
            </w:tcBorders>
            <w:shd w:fill="auto" w:val="clear"/>
            <w:vAlign w:val="center"/>
          </w:tcPr>
          <w:p w14:paraId="C12A0000">
            <w:pPr>
              <w:widowControl w:val="1"/>
              <w:ind/>
              <w:contextualSpacing w:val="1"/>
              <w:jc w:val="center"/>
              <w:rPr>
                <w:sz w:val="22"/>
              </w:rPr>
            </w:pPr>
            <w:r>
              <w:rPr>
                <w:sz w:val="22"/>
              </w:rPr>
              <w:t>27.03.2018-31.03.2018</w:t>
            </w:r>
          </w:p>
        </w:tc>
        <w:tc>
          <w:tcPr>
            <w:tcW w:type="dxa" w:w="1591"/>
            <w:tcBorders>
              <w:top w:sz="4" w:val="nil"/>
              <w:left w:sz="4" w:val="nil"/>
              <w:bottom w:color="000000" w:sz="4" w:val="single"/>
              <w:right w:color="000000" w:sz="4" w:val="single"/>
            </w:tcBorders>
            <w:shd w:fill="auto" w:val="clear"/>
            <w:vAlign w:val="center"/>
          </w:tcPr>
          <w:p w14:paraId="C22A0000">
            <w:pPr>
              <w:widowControl w:val="1"/>
              <w:ind/>
              <w:contextualSpacing w:val="1"/>
              <w:jc w:val="center"/>
              <w:rPr>
                <w:sz w:val="22"/>
              </w:rPr>
            </w:pPr>
            <w:r>
              <w:rPr>
                <w:sz w:val="22"/>
              </w:rPr>
              <w:t>44884</w:t>
            </w:r>
          </w:p>
        </w:tc>
        <w:tc>
          <w:tcPr>
            <w:tcW w:type="dxa" w:w="2104"/>
            <w:tcBorders>
              <w:top w:sz="4" w:val="nil"/>
              <w:left w:sz="4" w:val="nil"/>
              <w:bottom w:color="000000" w:sz="4" w:val="single"/>
              <w:right w:color="000000" w:sz="4" w:val="single"/>
            </w:tcBorders>
            <w:shd w:fill="FFFFFF" w:val="clear"/>
            <w:vAlign w:val="center"/>
          </w:tcPr>
          <w:p w14:paraId="C32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C42A0000">
            <w:pPr>
              <w:widowControl w:val="1"/>
              <w:ind/>
              <w:contextualSpacing w:val="1"/>
              <w:jc w:val="center"/>
              <w:rPr>
                <w:color w:val="000000"/>
                <w:sz w:val="22"/>
              </w:rPr>
            </w:pPr>
            <w:r>
              <w:rPr>
                <w:color w:val="000000"/>
                <w:sz w:val="22"/>
              </w:rPr>
              <w:t>31</w:t>
            </w:r>
          </w:p>
        </w:tc>
        <w:tc>
          <w:tcPr>
            <w:tcW w:type="dxa" w:w="2268"/>
            <w:tcBorders>
              <w:top w:sz="4" w:val="nil"/>
              <w:left w:sz="4" w:val="nil"/>
              <w:bottom w:color="000000" w:sz="4" w:val="single"/>
              <w:right w:color="000000" w:sz="4" w:val="single"/>
            </w:tcBorders>
            <w:shd w:fill="auto" w:val="clear"/>
            <w:vAlign w:val="center"/>
          </w:tcPr>
          <w:p w14:paraId="C52A0000">
            <w:pPr>
              <w:widowControl w:val="1"/>
              <w:ind/>
              <w:contextualSpacing w:val="1"/>
              <w:jc w:val="center"/>
              <w:rPr>
                <w:sz w:val="22"/>
              </w:rPr>
            </w:pPr>
            <w:r>
              <w:rPr>
                <w:sz w:val="22"/>
              </w:rPr>
              <w:t>дополнительное соглашение № 2752195-1 к договору № 2752195 от 29.01.2018 от 04.04.2018</w:t>
            </w:r>
          </w:p>
        </w:tc>
        <w:tc>
          <w:tcPr>
            <w:tcW w:type="dxa" w:w="1427"/>
            <w:tcBorders>
              <w:top w:sz="4" w:val="nil"/>
              <w:left w:sz="4" w:val="nil"/>
              <w:bottom w:color="000000" w:sz="4" w:val="single"/>
              <w:right w:color="000000" w:sz="4" w:val="single"/>
            </w:tcBorders>
            <w:shd w:fill="auto" w:val="clear"/>
            <w:vAlign w:val="center"/>
          </w:tcPr>
          <w:p w14:paraId="C62A0000">
            <w:pPr>
              <w:widowControl w:val="1"/>
              <w:ind/>
              <w:contextualSpacing w:val="1"/>
              <w:jc w:val="center"/>
              <w:rPr>
                <w:sz w:val="22"/>
              </w:rPr>
            </w:pPr>
            <w:r>
              <w:rPr>
                <w:sz w:val="22"/>
              </w:rPr>
              <w:t>04.04.2018</w:t>
            </w:r>
          </w:p>
        </w:tc>
        <w:tc>
          <w:tcPr>
            <w:tcW w:type="dxa" w:w="2258"/>
            <w:tcBorders>
              <w:top w:sz="4" w:val="nil"/>
              <w:left w:sz="4" w:val="nil"/>
              <w:bottom w:color="000000" w:sz="4" w:val="single"/>
              <w:right w:color="000000" w:sz="4" w:val="single"/>
            </w:tcBorders>
            <w:shd w:fill="auto" w:val="clear"/>
            <w:vAlign w:val="center"/>
          </w:tcPr>
          <w:p w14:paraId="C72A0000">
            <w:pPr>
              <w:widowControl w:val="1"/>
              <w:ind/>
              <w:contextualSpacing w:val="1"/>
              <w:jc w:val="center"/>
              <w:rPr>
                <w:sz w:val="22"/>
              </w:rPr>
            </w:pPr>
            <w:r>
              <w:rPr>
                <w:sz w:val="22"/>
              </w:rPr>
              <w:t>ОАО "РЖД" Красноярский информационно-вычислительный центр</w:t>
            </w:r>
          </w:p>
        </w:tc>
        <w:tc>
          <w:tcPr>
            <w:tcW w:type="dxa" w:w="2561"/>
            <w:tcBorders>
              <w:top w:sz="4" w:val="nil"/>
              <w:left w:sz="4" w:val="nil"/>
              <w:bottom w:color="000000" w:sz="4" w:val="single"/>
              <w:right w:color="000000" w:sz="4" w:val="single"/>
            </w:tcBorders>
            <w:shd w:fill="auto" w:val="clear"/>
            <w:vAlign w:val="center"/>
          </w:tcPr>
          <w:p w14:paraId="C82A0000">
            <w:pPr>
              <w:widowControl w:val="1"/>
              <w:ind/>
              <w:contextualSpacing w:val="1"/>
              <w:jc w:val="center"/>
              <w:rPr>
                <w:sz w:val="22"/>
              </w:rPr>
            </w:pPr>
            <w:r>
              <w:rPr>
                <w:sz w:val="22"/>
              </w:rPr>
              <w:t>внесение изменений в договор в части определения подведомственности споров, без изменения цены договора</w:t>
            </w:r>
          </w:p>
        </w:tc>
        <w:tc>
          <w:tcPr>
            <w:tcW w:type="dxa" w:w="1416"/>
            <w:tcBorders>
              <w:top w:sz="4" w:val="nil"/>
              <w:left w:sz="4" w:val="nil"/>
              <w:bottom w:color="000000" w:sz="4" w:val="single"/>
              <w:right w:color="000000" w:sz="4" w:val="single"/>
            </w:tcBorders>
            <w:shd w:fill="auto" w:val="clear"/>
            <w:vAlign w:val="center"/>
          </w:tcPr>
          <w:p w14:paraId="C92A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CA2A0000">
            <w:pPr>
              <w:widowControl w:val="1"/>
              <w:ind/>
              <w:contextualSpacing w:val="1"/>
              <w:jc w:val="center"/>
              <w:rPr>
                <w:sz w:val="22"/>
              </w:rPr>
            </w:pPr>
            <w:r>
              <w:rPr>
                <w:sz w:val="22"/>
              </w:rPr>
              <w:t>227154,72</w:t>
            </w:r>
          </w:p>
        </w:tc>
        <w:tc>
          <w:tcPr>
            <w:tcW w:type="dxa" w:w="2104"/>
            <w:tcBorders>
              <w:top w:sz="4" w:val="nil"/>
              <w:left w:sz="4" w:val="nil"/>
              <w:bottom w:color="000000" w:sz="4" w:val="single"/>
              <w:right w:color="000000" w:sz="4" w:val="single"/>
            </w:tcBorders>
            <w:shd w:fill="FFFFFF" w:val="clear"/>
            <w:vAlign w:val="center"/>
          </w:tcPr>
          <w:p w14:paraId="CB2A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CC2A0000">
            <w:pPr>
              <w:widowControl w:val="1"/>
              <w:ind/>
              <w:contextualSpacing w:val="1"/>
              <w:jc w:val="center"/>
              <w:rPr>
                <w:color w:val="000000"/>
                <w:sz w:val="22"/>
              </w:rPr>
            </w:pPr>
            <w:r>
              <w:rPr>
                <w:color w:val="000000"/>
                <w:sz w:val="22"/>
              </w:rPr>
              <w:t>32</w:t>
            </w:r>
          </w:p>
        </w:tc>
        <w:tc>
          <w:tcPr>
            <w:tcW w:type="dxa" w:w="2268"/>
            <w:tcBorders>
              <w:top w:sz="4" w:val="nil"/>
              <w:left w:sz="4" w:val="nil"/>
              <w:bottom w:color="000000" w:sz="4" w:val="single"/>
              <w:right w:color="000000" w:sz="4" w:val="single"/>
            </w:tcBorders>
            <w:shd w:fill="auto" w:val="clear"/>
            <w:vAlign w:val="center"/>
          </w:tcPr>
          <w:p w14:paraId="CD2A0000">
            <w:pPr>
              <w:widowControl w:val="1"/>
              <w:ind/>
              <w:contextualSpacing w:val="1"/>
              <w:jc w:val="center"/>
              <w:rPr>
                <w:sz w:val="22"/>
              </w:rPr>
            </w:pPr>
            <w:r>
              <w:rPr>
                <w:sz w:val="22"/>
              </w:rPr>
              <w:t>дополнительное соглашение № 1 к договору № 2738039 от 19.01.2018 от 11.04.2018</w:t>
            </w:r>
          </w:p>
        </w:tc>
        <w:tc>
          <w:tcPr>
            <w:tcW w:type="dxa" w:w="1427"/>
            <w:tcBorders>
              <w:top w:sz="4" w:val="nil"/>
              <w:left w:sz="4" w:val="nil"/>
              <w:bottom w:color="000000" w:sz="4" w:val="single"/>
              <w:right w:color="000000" w:sz="4" w:val="single"/>
            </w:tcBorders>
            <w:shd w:fill="auto" w:val="clear"/>
            <w:vAlign w:val="center"/>
          </w:tcPr>
          <w:p w14:paraId="CE2A0000">
            <w:pPr>
              <w:widowControl w:val="1"/>
              <w:ind/>
              <w:contextualSpacing w:val="1"/>
              <w:jc w:val="center"/>
              <w:rPr>
                <w:sz w:val="22"/>
              </w:rPr>
            </w:pPr>
            <w:r>
              <w:rPr>
                <w:sz w:val="22"/>
              </w:rPr>
              <w:t>11.04.2018</w:t>
            </w:r>
          </w:p>
        </w:tc>
        <w:tc>
          <w:tcPr>
            <w:tcW w:type="dxa" w:w="2258"/>
            <w:tcBorders>
              <w:top w:sz="4" w:val="nil"/>
              <w:left w:sz="4" w:val="nil"/>
              <w:bottom w:color="000000" w:sz="4" w:val="single"/>
              <w:right w:color="000000" w:sz="4" w:val="single"/>
            </w:tcBorders>
            <w:shd w:fill="FFFFFF" w:val="clear"/>
            <w:vAlign w:val="center"/>
          </w:tcPr>
          <w:p w14:paraId="CF2A0000">
            <w:pPr>
              <w:widowControl w:val="1"/>
              <w:ind/>
              <w:contextualSpacing w:val="1"/>
              <w:jc w:val="center"/>
              <w:rPr>
                <w:sz w:val="22"/>
              </w:rPr>
            </w:pPr>
            <w:r>
              <w:rPr>
                <w:sz w:val="22"/>
              </w:rPr>
              <w:t>ОАО "РЖД" Красноярская дирекция железнодорожных вокзалов</w:t>
            </w:r>
          </w:p>
        </w:tc>
        <w:tc>
          <w:tcPr>
            <w:tcW w:type="dxa" w:w="2561"/>
            <w:tcBorders>
              <w:top w:sz="4" w:val="nil"/>
              <w:left w:sz="4" w:val="nil"/>
              <w:bottom w:color="000000" w:sz="4" w:val="single"/>
              <w:right w:color="000000" w:sz="4" w:val="single"/>
            </w:tcBorders>
            <w:shd w:fill="auto" w:val="clear"/>
            <w:vAlign w:val="center"/>
          </w:tcPr>
          <w:p w14:paraId="D02A0000">
            <w:pPr>
              <w:widowControl w:val="1"/>
              <w:ind/>
              <w:contextualSpacing w:val="1"/>
              <w:jc w:val="center"/>
              <w:rPr>
                <w:sz w:val="22"/>
              </w:rPr>
            </w:pPr>
            <w:r>
              <w:rPr>
                <w:sz w:val="22"/>
              </w:rPr>
              <w:t>внесение изменений в договор на оказание услуг по перевозке работников и иных лиц по транспортным требованиям ОАО "РЖД" относительно порядка разрешения споров, без изменения цены договора</w:t>
            </w:r>
          </w:p>
        </w:tc>
        <w:tc>
          <w:tcPr>
            <w:tcW w:type="dxa" w:w="1416"/>
            <w:tcBorders>
              <w:top w:sz="4" w:val="nil"/>
              <w:left w:sz="4" w:val="nil"/>
              <w:bottom w:color="000000" w:sz="4" w:val="single"/>
              <w:right w:color="000000" w:sz="4" w:val="single"/>
            </w:tcBorders>
            <w:shd w:fill="FFFFFF" w:val="clear"/>
            <w:vAlign w:val="center"/>
          </w:tcPr>
          <w:p w14:paraId="D12A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D22A0000">
            <w:pPr>
              <w:widowControl w:val="1"/>
              <w:ind/>
              <w:contextualSpacing w:val="1"/>
              <w:jc w:val="center"/>
              <w:rPr>
                <w:sz w:val="22"/>
              </w:rPr>
            </w:pPr>
            <w:r>
              <w:rPr>
                <w:sz w:val="22"/>
              </w:rPr>
              <w:t>450000,00</w:t>
            </w:r>
          </w:p>
        </w:tc>
        <w:tc>
          <w:tcPr>
            <w:tcW w:type="dxa" w:w="2104"/>
            <w:tcBorders>
              <w:top w:sz="4" w:val="nil"/>
              <w:left w:sz="4" w:val="nil"/>
              <w:bottom w:color="000000" w:sz="4" w:val="single"/>
              <w:right w:color="000000" w:sz="4" w:val="single"/>
            </w:tcBorders>
            <w:shd w:fill="FFFFFF" w:val="clear"/>
            <w:vAlign w:val="center"/>
          </w:tcPr>
          <w:p w14:paraId="D32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D42A0000">
            <w:pPr>
              <w:widowControl w:val="1"/>
              <w:ind/>
              <w:contextualSpacing w:val="1"/>
              <w:jc w:val="center"/>
              <w:rPr>
                <w:color w:val="000000"/>
                <w:sz w:val="22"/>
              </w:rPr>
            </w:pPr>
            <w:r>
              <w:rPr>
                <w:color w:val="000000"/>
                <w:sz w:val="22"/>
              </w:rPr>
              <w:t>33</w:t>
            </w:r>
          </w:p>
        </w:tc>
        <w:tc>
          <w:tcPr>
            <w:tcW w:type="dxa" w:w="2268"/>
            <w:tcBorders>
              <w:top w:sz="4" w:val="nil"/>
              <w:left w:sz="4" w:val="nil"/>
              <w:bottom w:color="000000" w:sz="4" w:val="single"/>
              <w:right w:color="000000" w:sz="4" w:val="single"/>
            </w:tcBorders>
            <w:shd w:fill="auto" w:val="clear"/>
            <w:vAlign w:val="center"/>
          </w:tcPr>
          <w:p w14:paraId="D52A0000">
            <w:pPr>
              <w:widowControl w:val="1"/>
              <w:ind/>
              <w:contextualSpacing w:val="1"/>
              <w:jc w:val="center"/>
              <w:rPr>
                <w:sz w:val="22"/>
              </w:rPr>
            </w:pPr>
            <w:r>
              <w:rPr>
                <w:sz w:val="22"/>
              </w:rPr>
              <w:t>дополнительное соглашение № 1 к договору № 2716160 от 29.12.2017 от 11.04.2018</w:t>
            </w:r>
          </w:p>
        </w:tc>
        <w:tc>
          <w:tcPr>
            <w:tcW w:type="dxa" w:w="1427"/>
            <w:tcBorders>
              <w:top w:sz="4" w:val="nil"/>
              <w:left w:sz="4" w:val="nil"/>
              <w:bottom w:color="000000" w:sz="4" w:val="single"/>
              <w:right w:color="000000" w:sz="4" w:val="single"/>
            </w:tcBorders>
            <w:shd w:fill="auto" w:val="clear"/>
            <w:vAlign w:val="center"/>
          </w:tcPr>
          <w:p w14:paraId="D62A0000">
            <w:pPr>
              <w:widowControl w:val="1"/>
              <w:ind/>
              <w:contextualSpacing w:val="1"/>
              <w:jc w:val="center"/>
              <w:rPr>
                <w:sz w:val="22"/>
              </w:rPr>
            </w:pPr>
            <w:r>
              <w:rPr>
                <w:sz w:val="22"/>
              </w:rPr>
              <w:t>11.04.2018</w:t>
            </w:r>
          </w:p>
        </w:tc>
        <w:tc>
          <w:tcPr>
            <w:tcW w:type="dxa" w:w="2258"/>
            <w:tcBorders>
              <w:top w:sz="4" w:val="nil"/>
              <w:left w:sz="4" w:val="nil"/>
              <w:bottom w:color="000000" w:sz="4" w:val="single"/>
              <w:right w:color="000000" w:sz="4" w:val="single"/>
            </w:tcBorders>
            <w:shd w:fill="auto" w:val="clear"/>
            <w:vAlign w:val="center"/>
          </w:tcPr>
          <w:p w14:paraId="D72A0000">
            <w:pPr>
              <w:widowControl w:val="1"/>
              <w:ind/>
              <w:contextualSpacing w:val="1"/>
              <w:jc w:val="center"/>
              <w:rPr>
                <w:sz w:val="22"/>
              </w:rPr>
            </w:pPr>
            <w:r>
              <w:rPr>
                <w:sz w:val="22"/>
              </w:rPr>
              <w:t>ОАО "РЖД" Красноярская региональная служба развития пассажирских сообщений и предоставления доступа к инфраструктуре</w:t>
            </w:r>
          </w:p>
        </w:tc>
        <w:tc>
          <w:tcPr>
            <w:tcW w:type="dxa" w:w="2561"/>
            <w:tcBorders>
              <w:top w:sz="4" w:val="nil"/>
              <w:left w:sz="4" w:val="nil"/>
              <w:bottom w:color="000000" w:sz="4" w:val="single"/>
              <w:right w:color="000000" w:sz="4" w:val="single"/>
            </w:tcBorders>
            <w:shd w:fill="auto" w:val="clear"/>
            <w:vAlign w:val="center"/>
          </w:tcPr>
          <w:p w14:paraId="D82A0000">
            <w:pPr>
              <w:widowControl w:val="1"/>
              <w:ind/>
              <w:contextualSpacing w:val="1"/>
              <w:jc w:val="center"/>
              <w:rPr>
                <w:sz w:val="22"/>
              </w:rPr>
            </w:pPr>
            <w:r>
              <w:rPr>
                <w:sz w:val="22"/>
              </w:rPr>
              <w:t>Внесение изменений в обязанности сторон по договору на оказание услуг  по использованию инфраструктуры железнодорожного транспорта, без изменения цены договора</w:t>
            </w:r>
          </w:p>
        </w:tc>
        <w:tc>
          <w:tcPr>
            <w:tcW w:type="dxa" w:w="1416"/>
            <w:tcBorders>
              <w:top w:sz="4" w:val="nil"/>
              <w:left w:sz="4" w:val="nil"/>
              <w:bottom w:color="000000" w:sz="4" w:val="single"/>
              <w:right w:color="000000" w:sz="4" w:val="single"/>
            </w:tcBorders>
            <w:shd w:fill="auto" w:val="clear"/>
            <w:vAlign w:val="center"/>
          </w:tcPr>
          <w:p w14:paraId="D92A0000">
            <w:pPr>
              <w:widowControl w:val="1"/>
              <w:ind/>
              <w:contextualSpacing w:val="1"/>
              <w:jc w:val="center"/>
              <w:rPr>
                <w:sz w:val="22"/>
              </w:rPr>
            </w:pPr>
            <w:r>
              <w:rPr>
                <w:sz w:val="22"/>
              </w:rPr>
              <w:t>01.01.2018-31.12.2020</w:t>
            </w:r>
          </w:p>
        </w:tc>
        <w:tc>
          <w:tcPr>
            <w:tcW w:type="dxa" w:w="1591"/>
            <w:tcBorders>
              <w:top w:sz="4" w:val="nil"/>
              <w:left w:sz="4" w:val="nil"/>
              <w:bottom w:color="000000" w:sz="4" w:val="single"/>
              <w:right w:color="000000" w:sz="4" w:val="single"/>
            </w:tcBorders>
            <w:shd w:fill="auto" w:val="clear"/>
            <w:vAlign w:val="center"/>
          </w:tcPr>
          <w:p w14:paraId="DA2A0000">
            <w:pPr>
              <w:widowControl w:val="1"/>
              <w:ind/>
              <w:contextualSpacing w:val="1"/>
              <w:jc w:val="center"/>
              <w:rPr>
                <w:sz w:val="22"/>
              </w:rPr>
            </w:pPr>
            <w:r>
              <w:rPr>
                <w:sz w:val="22"/>
              </w:rPr>
              <w:t>17260282,02</w:t>
            </w:r>
          </w:p>
        </w:tc>
        <w:tc>
          <w:tcPr>
            <w:tcW w:type="dxa" w:w="2104"/>
            <w:tcBorders>
              <w:top w:sz="4" w:val="nil"/>
              <w:left w:sz="4" w:val="nil"/>
              <w:bottom w:color="000000" w:sz="4" w:val="single"/>
              <w:right w:color="000000" w:sz="4" w:val="single"/>
            </w:tcBorders>
            <w:shd w:fill="FFFFFF" w:val="clear"/>
            <w:vAlign w:val="center"/>
          </w:tcPr>
          <w:p w14:paraId="DB2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DC2A0000">
            <w:pPr>
              <w:widowControl w:val="1"/>
              <w:ind/>
              <w:contextualSpacing w:val="1"/>
              <w:jc w:val="center"/>
              <w:rPr>
                <w:color w:val="000000"/>
                <w:sz w:val="22"/>
              </w:rPr>
            </w:pPr>
            <w:r>
              <w:rPr>
                <w:color w:val="000000"/>
                <w:sz w:val="22"/>
              </w:rPr>
              <w:t>34</w:t>
            </w:r>
          </w:p>
        </w:tc>
        <w:tc>
          <w:tcPr>
            <w:tcW w:type="dxa" w:w="2268"/>
            <w:tcBorders>
              <w:top w:sz="4" w:val="nil"/>
              <w:left w:sz="4" w:val="nil"/>
              <w:bottom w:color="000000" w:sz="4" w:val="single"/>
              <w:right w:color="000000" w:sz="4" w:val="single"/>
            </w:tcBorders>
            <w:shd w:fill="auto" w:val="clear"/>
            <w:vAlign w:val="center"/>
          </w:tcPr>
          <w:p w14:paraId="DD2A0000">
            <w:pPr>
              <w:widowControl w:val="1"/>
              <w:ind/>
              <w:contextualSpacing w:val="1"/>
              <w:jc w:val="center"/>
              <w:rPr>
                <w:sz w:val="22"/>
              </w:rPr>
            </w:pPr>
            <w:r>
              <w:rPr>
                <w:sz w:val="22"/>
              </w:rPr>
              <w:t>дополнительное соглашение № 1 к договору № 2710860 от 29.12.2017 от 12.04.2018</w:t>
            </w:r>
          </w:p>
        </w:tc>
        <w:tc>
          <w:tcPr>
            <w:tcW w:type="dxa" w:w="1427"/>
            <w:tcBorders>
              <w:top w:sz="4" w:val="nil"/>
              <w:left w:sz="4" w:val="nil"/>
              <w:bottom w:color="000000" w:sz="4" w:val="single"/>
              <w:right w:color="000000" w:sz="4" w:val="single"/>
            </w:tcBorders>
            <w:shd w:fill="auto" w:val="clear"/>
            <w:vAlign w:val="center"/>
          </w:tcPr>
          <w:p w14:paraId="DE2A0000">
            <w:pPr>
              <w:widowControl w:val="1"/>
              <w:ind/>
              <w:contextualSpacing w:val="1"/>
              <w:jc w:val="center"/>
              <w:rPr>
                <w:sz w:val="22"/>
              </w:rPr>
            </w:pPr>
            <w:r>
              <w:rPr>
                <w:sz w:val="22"/>
              </w:rPr>
              <w:t>12.04.2018</w:t>
            </w:r>
          </w:p>
        </w:tc>
        <w:tc>
          <w:tcPr>
            <w:tcW w:type="dxa" w:w="2258"/>
            <w:tcBorders>
              <w:top w:sz="4" w:val="nil"/>
              <w:left w:sz="4" w:val="nil"/>
              <w:bottom w:color="000000" w:sz="4" w:val="single"/>
              <w:right w:color="000000" w:sz="4" w:val="single"/>
            </w:tcBorders>
            <w:shd w:fill="auto" w:val="clear"/>
            <w:vAlign w:val="center"/>
          </w:tcPr>
          <w:p w14:paraId="DF2A0000">
            <w:pPr>
              <w:widowControl w:val="1"/>
              <w:ind/>
              <w:contextualSpacing w:val="1"/>
              <w:jc w:val="center"/>
              <w:rPr>
                <w:sz w:val="22"/>
              </w:rPr>
            </w:pPr>
            <w:r>
              <w:rPr>
                <w:sz w:val="22"/>
              </w:rPr>
              <w:t>ОАО "РЖД" Красноярская дирекция управления движением</w:t>
            </w:r>
          </w:p>
        </w:tc>
        <w:tc>
          <w:tcPr>
            <w:tcW w:type="dxa" w:w="2561"/>
            <w:tcBorders>
              <w:top w:sz="4" w:val="nil"/>
              <w:left w:sz="4" w:val="nil"/>
              <w:bottom w:color="000000" w:sz="4" w:val="single"/>
              <w:right w:color="000000" w:sz="4" w:val="single"/>
            </w:tcBorders>
            <w:shd w:fill="FFFFFF" w:val="clear"/>
            <w:vAlign w:val="center"/>
          </w:tcPr>
          <w:p w14:paraId="E02A0000">
            <w:pPr>
              <w:widowControl w:val="1"/>
              <w:ind/>
              <w:contextualSpacing w:val="1"/>
              <w:jc w:val="center"/>
              <w:rPr>
                <w:sz w:val="22"/>
              </w:rPr>
            </w:pPr>
            <w:r>
              <w:rPr>
                <w:sz w:val="22"/>
              </w:rPr>
              <w:t>внесение изменений в договор на оказание услуг по перевозке работников и иных лиц по транспортным требованиям ОАО "РЖД" относительно порядка разрешения споров, без изменения цены договора</w:t>
            </w:r>
          </w:p>
        </w:tc>
        <w:tc>
          <w:tcPr>
            <w:tcW w:type="dxa" w:w="1416"/>
            <w:tcBorders>
              <w:top w:sz="4" w:val="nil"/>
              <w:left w:sz="4" w:val="nil"/>
              <w:bottom w:color="000000" w:sz="4" w:val="single"/>
              <w:right w:color="000000" w:sz="4" w:val="single"/>
            </w:tcBorders>
            <w:shd w:fill="auto" w:val="clear"/>
            <w:vAlign w:val="center"/>
          </w:tcPr>
          <w:p w14:paraId="E12A0000">
            <w:pPr>
              <w:widowControl w:val="1"/>
              <w:ind/>
              <w:contextualSpacing w:val="1"/>
              <w:jc w:val="center"/>
              <w:rPr>
                <w:sz w:val="22"/>
              </w:rPr>
            </w:pPr>
            <w:r>
              <w:rPr>
                <w:sz w:val="22"/>
              </w:rPr>
              <w:t>01.01.2018-31.13.2019</w:t>
            </w:r>
          </w:p>
        </w:tc>
        <w:tc>
          <w:tcPr>
            <w:tcW w:type="dxa" w:w="1591"/>
            <w:tcBorders>
              <w:top w:sz="4" w:val="nil"/>
              <w:left w:sz="4" w:val="nil"/>
              <w:bottom w:color="000000" w:sz="4" w:val="single"/>
              <w:right w:color="000000" w:sz="4" w:val="single"/>
            </w:tcBorders>
            <w:shd w:fill="auto" w:val="clear"/>
            <w:vAlign w:val="center"/>
          </w:tcPr>
          <w:p w14:paraId="E22A0000">
            <w:pPr>
              <w:widowControl w:val="1"/>
              <w:ind/>
              <w:contextualSpacing w:val="1"/>
              <w:jc w:val="center"/>
              <w:rPr>
                <w:sz w:val="22"/>
              </w:rPr>
            </w:pPr>
            <w:r>
              <w:rPr>
                <w:sz w:val="22"/>
              </w:rPr>
              <w:t>3642461,78</w:t>
            </w:r>
          </w:p>
        </w:tc>
        <w:tc>
          <w:tcPr>
            <w:tcW w:type="dxa" w:w="2104"/>
            <w:tcBorders>
              <w:top w:sz="4" w:val="nil"/>
              <w:left w:sz="4" w:val="nil"/>
              <w:bottom w:color="000000" w:sz="4" w:val="single"/>
              <w:right w:color="000000" w:sz="4" w:val="single"/>
            </w:tcBorders>
            <w:shd w:fill="FFFFFF" w:val="clear"/>
            <w:vAlign w:val="center"/>
          </w:tcPr>
          <w:p w14:paraId="E32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E42A0000">
            <w:pPr>
              <w:widowControl w:val="1"/>
              <w:ind/>
              <w:contextualSpacing w:val="1"/>
              <w:jc w:val="center"/>
              <w:rPr>
                <w:color w:val="000000"/>
                <w:sz w:val="22"/>
              </w:rPr>
            </w:pPr>
            <w:r>
              <w:rPr>
                <w:color w:val="000000"/>
                <w:sz w:val="22"/>
              </w:rPr>
              <w:t>35</w:t>
            </w:r>
          </w:p>
        </w:tc>
        <w:tc>
          <w:tcPr>
            <w:tcW w:type="dxa" w:w="2268"/>
            <w:tcBorders>
              <w:top w:sz="4" w:val="nil"/>
              <w:left w:sz="4" w:val="nil"/>
              <w:bottom w:color="000000" w:sz="4" w:val="single"/>
              <w:right w:color="000000" w:sz="4" w:val="single"/>
            </w:tcBorders>
            <w:shd w:fill="auto" w:val="clear"/>
            <w:vAlign w:val="center"/>
          </w:tcPr>
          <w:p w14:paraId="E52A0000">
            <w:pPr>
              <w:widowControl w:val="1"/>
              <w:ind/>
              <w:contextualSpacing w:val="1"/>
              <w:jc w:val="center"/>
              <w:rPr>
                <w:sz w:val="22"/>
              </w:rPr>
            </w:pPr>
            <w:r>
              <w:rPr>
                <w:sz w:val="22"/>
              </w:rPr>
              <w:t>дополнительное соглашение № 1 к договору № 2713102 от 28.12.2017г. От 18.04.2018г.</w:t>
            </w:r>
          </w:p>
        </w:tc>
        <w:tc>
          <w:tcPr>
            <w:tcW w:type="dxa" w:w="1427"/>
            <w:tcBorders>
              <w:top w:sz="4" w:val="nil"/>
              <w:left w:sz="4" w:val="nil"/>
              <w:bottom w:color="000000" w:sz="4" w:val="single"/>
              <w:right w:color="000000" w:sz="4" w:val="single"/>
            </w:tcBorders>
            <w:shd w:fill="FFFFFF" w:val="clear"/>
            <w:vAlign w:val="center"/>
          </w:tcPr>
          <w:p w14:paraId="E62A0000">
            <w:pPr>
              <w:widowControl w:val="1"/>
              <w:ind/>
              <w:contextualSpacing w:val="1"/>
              <w:jc w:val="center"/>
              <w:rPr>
                <w:sz w:val="22"/>
              </w:rPr>
            </w:pPr>
            <w:r>
              <w:rPr>
                <w:sz w:val="22"/>
              </w:rPr>
              <w:t>18.04.2018</w:t>
            </w:r>
          </w:p>
        </w:tc>
        <w:tc>
          <w:tcPr>
            <w:tcW w:type="dxa" w:w="2258"/>
            <w:tcBorders>
              <w:top w:sz="4" w:val="nil"/>
              <w:left w:sz="4" w:val="nil"/>
              <w:bottom w:color="000000" w:sz="4" w:val="single"/>
              <w:right w:color="000000" w:sz="4" w:val="single"/>
            </w:tcBorders>
            <w:shd w:fill="auto" w:val="clear"/>
            <w:vAlign w:val="center"/>
          </w:tcPr>
          <w:p w14:paraId="E72A0000">
            <w:pPr>
              <w:widowControl w:val="1"/>
              <w:ind/>
              <w:contextualSpacing w:val="1"/>
              <w:jc w:val="center"/>
              <w:rPr>
                <w:sz w:val="22"/>
              </w:rPr>
            </w:pPr>
            <w:r>
              <w:rPr>
                <w:sz w:val="22"/>
              </w:rPr>
              <w:t>ОАО "РЖД" Красноярская дирекция связи</w:t>
            </w:r>
          </w:p>
        </w:tc>
        <w:tc>
          <w:tcPr>
            <w:tcW w:type="dxa" w:w="2561"/>
            <w:tcBorders>
              <w:top w:sz="4" w:val="nil"/>
              <w:left w:sz="4" w:val="nil"/>
              <w:bottom w:color="000000" w:sz="4" w:val="single"/>
              <w:right w:color="000000" w:sz="4" w:val="single"/>
            </w:tcBorders>
            <w:shd w:fill="auto" w:val="clear"/>
            <w:vAlign w:val="center"/>
          </w:tcPr>
          <w:p w14:paraId="E82A0000">
            <w:pPr>
              <w:widowControl w:val="1"/>
              <w:ind/>
              <w:contextualSpacing w:val="1"/>
              <w:jc w:val="center"/>
              <w:rPr>
                <w:sz w:val="22"/>
              </w:rPr>
            </w:pPr>
            <w:r>
              <w:rPr>
                <w:sz w:val="22"/>
              </w:rPr>
              <w:t>внесение изменений в договор в части определения подведомственности споров, без изменения цены договора</w:t>
            </w:r>
          </w:p>
        </w:tc>
        <w:tc>
          <w:tcPr>
            <w:tcW w:type="dxa" w:w="1416"/>
            <w:tcBorders>
              <w:top w:sz="4" w:val="nil"/>
              <w:left w:sz="4" w:val="nil"/>
              <w:bottom w:color="000000" w:sz="4" w:val="single"/>
              <w:right w:color="000000" w:sz="4" w:val="single"/>
            </w:tcBorders>
            <w:shd w:fill="auto" w:val="clear"/>
            <w:vAlign w:val="center"/>
          </w:tcPr>
          <w:p w14:paraId="E92A0000">
            <w:pPr>
              <w:widowControl w:val="1"/>
              <w:ind/>
              <w:contextualSpacing w:val="1"/>
              <w:jc w:val="center"/>
              <w:rPr>
                <w:sz w:val="22"/>
              </w:rPr>
            </w:pPr>
            <w:r>
              <w:rPr>
                <w:sz w:val="22"/>
              </w:rPr>
              <w:t>18.04.2018-28.02.2019</w:t>
            </w:r>
          </w:p>
        </w:tc>
        <w:tc>
          <w:tcPr>
            <w:tcW w:type="dxa" w:w="1591"/>
            <w:tcBorders>
              <w:top w:sz="4" w:val="nil"/>
              <w:left w:sz="4" w:val="nil"/>
              <w:bottom w:color="000000" w:sz="4" w:val="single"/>
              <w:right w:color="000000" w:sz="4" w:val="single"/>
            </w:tcBorders>
            <w:shd w:fill="auto" w:val="clear"/>
            <w:vAlign w:val="center"/>
          </w:tcPr>
          <w:p w14:paraId="EA2A0000">
            <w:pPr>
              <w:widowControl w:val="1"/>
              <w:ind/>
              <w:contextualSpacing w:val="1"/>
              <w:jc w:val="center"/>
              <w:rPr>
                <w:sz w:val="22"/>
              </w:rPr>
            </w:pPr>
            <w:r>
              <w:rPr>
                <w:sz w:val="22"/>
              </w:rPr>
              <w:t>833000</w:t>
            </w:r>
          </w:p>
        </w:tc>
        <w:tc>
          <w:tcPr>
            <w:tcW w:type="dxa" w:w="2104"/>
            <w:tcBorders>
              <w:top w:sz="4" w:val="nil"/>
              <w:left w:sz="4" w:val="nil"/>
              <w:bottom w:color="000000" w:sz="4" w:val="single"/>
              <w:right w:color="000000" w:sz="4" w:val="single"/>
            </w:tcBorders>
            <w:shd w:fill="FFFFFF" w:val="clear"/>
            <w:vAlign w:val="center"/>
          </w:tcPr>
          <w:p w14:paraId="EB2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EC2A0000">
            <w:pPr>
              <w:widowControl w:val="1"/>
              <w:ind/>
              <w:contextualSpacing w:val="1"/>
              <w:jc w:val="center"/>
              <w:rPr>
                <w:color w:val="000000"/>
                <w:sz w:val="22"/>
              </w:rPr>
            </w:pPr>
            <w:r>
              <w:rPr>
                <w:color w:val="000000"/>
                <w:sz w:val="22"/>
              </w:rPr>
              <w:t>36</w:t>
            </w:r>
          </w:p>
        </w:tc>
        <w:tc>
          <w:tcPr>
            <w:tcW w:type="dxa" w:w="2268"/>
            <w:tcBorders>
              <w:top w:sz="4" w:val="nil"/>
              <w:left w:sz="4" w:val="nil"/>
              <w:bottom w:color="000000" w:sz="4" w:val="single"/>
              <w:right w:color="000000" w:sz="4" w:val="single"/>
            </w:tcBorders>
            <w:shd w:fill="auto" w:val="clear"/>
            <w:vAlign w:val="center"/>
          </w:tcPr>
          <w:p w14:paraId="ED2A0000">
            <w:pPr>
              <w:widowControl w:val="1"/>
              <w:ind/>
              <w:contextualSpacing w:val="1"/>
              <w:jc w:val="center"/>
              <w:rPr>
                <w:sz w:val="22"/>
              </w:rPr>
            </w:pPr>
            <w:r>
              <w:rPr>
                <w:sz w:val="22"/>
              </w:rPr>
              <w:t>дополнительное соглашение № 6 к договору № Д-140НСДР/НС от 03.10.2012 от 23.04.2018</w:t>
            </w:r>
          </w:p>
        </w:tc>
        <w:tc>
          <w:tcPr>
            <w:tcW w:type="dxa" w:w="1427"/>
            <w:tcBorders>
              <w:top w:sz="4" w:val="nil"/>
              <w:left w:sz="4" w:val="nil"/>
              <w:bottom w:color="000000" w:sz="4" w:val="single"/>
              <w:right w:color="000000" w:sz="4" w:val="single"/>
            </w:tcBorders>
            <w:shd w:fill="auto" w:val="clear"/>
            <w:vAlign w:val="center"/>
          </w:tcPr>
          <w:p w14:paraId="EE2A0000">
            <w:pPr>
              <w:widowControl w:val="1"/>
              <w:ind/>
              <w:contextualSpacing w:val="1"/>
              <w:jc w:val="center"/>
              <w:rPr>
                <w:sz w:val="22"/>
              </w:rPr>
            </w:pPr>
            <w:r>
              <w:rPr>
                <w:sz w:val="22"/>
              </w:rPr>
              <w:t>23.04.2018</w:t>
            </w:r>
          </w:p>
        </w:tc>
        <w:tc>
          <w:tcPr>
            <w:tcW w:type="dxa" w:w="2258"/>
            <w:tcBorders>
              <w:top w:sz="4" w:val="nil"/>
              <w:left w:sz="4" w:val="nil"/>
              <w:bottom w:color="000000" w:sz="4" w:val="single"/>
              <w:right w:color="000000" w:sz="4" w:val="single"/>
            </w:tcBorders>
            <w:shd w:fill="auto" w:val="clear"/>
            <w:vAlign w:val="center"/>
          </w:tcPr>
          <w:p w14:paraId="EF2A0000">
            <w:pPr>
              <w:widowControl w:val="1"/>
              <w:ind/>
              <w:contextualSpacing w:val="1"/>
              <w:jc w:val="center"/>
              <w:rPr>
                <w:sz w:val="22"/>
              </w:rPr>
            </w:pPr>
            <w:r>
              <w:rPr>
                <w:sz w:val="22"/>
              </w:rPr>
              <w:t>ОАО "РЖД" Новосибирская дирекция связи</w:t>
            </w:r>
          </w:p>
        </w:tc>
        <w:tc>
          <w:tcPr>
            <w:tcW w:type="dxa" w:w="2561"/>
            <w:tcBorders>
              <w:top w:sz="4" w:val="nil"/>
              <w:left w:sz="4" w:val="nil"/>
              <w:bottom w:color="000000" w:sz="4" w:val="single"/>
              <w:right w:color="000000" w:sz="4" w:val="single"/>
            </w:tcBorders>
            <w:shd w:fill="auto" w:val="clear"/>
            <w:vAlign w:val="center"/>
          </w:tcPr>
          <w:p w14:paraId="F02A0000">
            <w:pPr>
              <w:widowControl w:val="1"/>
              <w:ind/>
              <w:contextualSpacing w:val="1"/>
              <w:jc w:val="center"/>
              <w:rPr>
                <w:sz w:val="22"/>
              </w:rPr>
            </w:pPr>
            <w:r>
              <w:rPr>
                <w:sz w:val="22"/>
              </w:rPr>
              <w:t>внесение изменений в договор в части определения подведомственности споров, без изменения цены договора</w:t>
            </w:r>
          </w:p>
        </w:tc>
        <w:tc>
          <w:tcPr>
            <w:tcW w:type="dxa" w:w="1416"/>
            <w:tcBorders>
              <w:top w:sz="4" w:val="nil"/>
              <w:left w:sz="4" w:val="nil"/>
              <w:bottom w:color="000000" w:sz="4" w:val="single"/>
              <w:right w:color="000000" w:sz="4" w:val="single"/>
            </w:tcBorders>
            <w:shd w:fill="auto" w:val="clear"/>
            <w:vAlign w:val="center"/>
          </w:tcPr>
          <w:p w14:paraId="F12A0000">
            <w:pPr>
              <w:widowControl w:val="1"/>
              <w:ind/>
              <w:contextualSpacing w:val="1"/>
              <w:jc w:val="center"/>
              <w:rPr>
                <w:sz w:val="22"/>
              </w:rPr>
            </w:pPr>
            <w:r>
              <w:rPr>
                <w:sz w:val="22"/>
              </w:rPr>
              <w:t>23.04.2018-31.12.2018</w:t>
            </w:r>
          </w:p>
        </w:tc>
        <w:tc>
          <w:tcPr>
            <w:tcW w:type="dxa" w:w="1591"/>
            <w:tcBorders>
              <w:top w:sz="4" w:val="nil"/>
              <w:left w:sz="4" w:val="nil"/>
              <w:bottom w:color="000000" w:sz="4" w:val="single"/>
              <w:right w:color="000000" w:sz="4" w:val="single"/>
            </w:tcBorders>
            <w:shd w:fill="auto" w:val="clear"/>
            <w:vAlign w:val="center"/>
          </w:tcPr>
          <w:p w14:paraId="F22A0000">
            <w:pPr>
              <w:widowControl w:val="1"/>
              <w:ind/>
              <w:contextualSpacing w:val="1"/>
              <w:jc w:val="center"/>
              <w:rPr>
                <w:sz w:val="22"/>
              </w:rPr>
            </w:pPr>
            <w:r>
              <w:rPr>
                <w:sz w:val="22"/>
              </w:rPr>
              <w:t>17934</w:t>
            </w:r>
          </w:p>
        </w:tc>
        <w:tc>
          <w:tcPr>
            <w:tcW w:type="dxa" w:w="2104"/>
            <w:tcBorders>
              <w:top w:sz="4" w:val="nil"/>
              <w:left w:sz="4" w:val="nil"/>
              <w:bottom w:color="000000" w:sz="4" w:val="single"/>
              <w:right w:color="000000" w:sz="4" w:val="single"/>
            </w:tcBorders>
            <w:shd w:fill="FFFFFF" w:val="clear"/>
            <w:vAlign w:val="center"/>
          </w:tcPr>
          <w:p w14:paraId="F32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F42A0000">
            <w:pPr>
              <w:widowControl w:val="1"/>
              <w:ind/>
              <w:contextualSpacing w:val="1"/>
              <w:jc w:val="center"/>
              <w:rPr>
                <w:color w:val="000000"/>
                <w:sz w:val="22"/>
              </w:rPr>
            </w:pPr>
            <w:r>
              <w:rPr>
                <w:color w:val="000000"/>
                <w:sz w:val="22"/>
              </w:rPr>
              <w:t>37</w:t>
            </w:r>
          </w:p>
        </w:tc>
        <w:tc>
          <w:tcPr>
            <w:tcW w:type="dxa" w:w="2268"/>
            <w:tcBorders>
              <w:top w:sz="4" w:val="nil"/>
              <w:left w:sz="4" w:val="nil"/>
              <w:bottom w:color="000000" w:sz="4" w:val="single"/>
              <w:right w:color="000000" w:sz="4" w:val="single"/>
            </w:tcBorders>
            <w:shd w:fill="auto" w:val="clear"/>
            <w:vAlign w:val="center"/>
          </w:tcPr>
          <w:p w14:paraId="F52A0000">
            <w:pPr>
              <w:widowControl w:val="1"/>
              <w:ind/>
              <w:contextualSpacing w:val="1"/>
              <w:jc w:val="center"/>
              <w:rPr>
                <w:sz w:val="22"/>
              </w:rPr>
            </w:pPr>
            <w:r>
              <w:rPr>
                <w:sz w:val="22"/>
              </w:rPr>
              <w:t>соглашение об организации расчетов № ЕЛС-529 от 25.04.2018</w:t>
            </w:r>
          </w:p>
        </w:tc>
        <w:tc>
          <w:tcPr>
            <w:tcW w:type="dxa" w:w="1427"/>
            <w:tcBorders>
              <w:top w:sz="4" w:val="nil"/>
              <w:left w:sz="4" w:val="nil"/>
              <w:bottom w:color="000000" w:sz="4" w:val="single"/>
              <w:right w:color="000000" w:sz="4" w:val="single"/>
            </w:tcBorders>
            <w:shd w:fill="auto" w:val="clear"/>
            <w:vAlign w:val="center"/>
          </w:tcPr>
          <w:p w14:paraId="F62A0000">
            <w:pPr>
              <w:widowControl w:val="1"/>
              <w:ind/>
              <w:contextualSpacing w:val="1"/>
              <w:jc w:val="center"/>
              <w:rPr>
                <w:sz w:val="22"/>
              </w:rPr>
            </w:pPr>
            <w:r>
              <w:rPr>
                <w:sz w:val="22"/>
              </w:rPr>
              <w:t>25.04.2018</w:t>
            </w:r>
          </w:p>
        </w:tc>
        <w:tc>
          <w:tcPr>
            <w:tcW w:type="dxa" w:w="2258"/>
            <w:tcBorders>
              <w:top w:sz="4" w:val="nil"/>
              <w:left w:sz="4" w:val="nil"/>
              <w:bottom w:color="000000" w:sz="4" w:val="single"/>
              <w:right w:color="000000" w:sz="4" w:val="single"/>
            </w:tcBorders>
            <w:shd w:fill="auto" w:val="clear"/>
            <w:vAlign w:val="center"/>
          </w:tcPr>
          <w:p w14:paraId="F72A0000">
            <w:pPr>
              <w:widowControl w:val="1"/>
              <w:ind/>
              <w:contextualSpacing w:val="1"/>
              <w:jc w:val="center"/>
              <w:rPr>
                <w:sz w:val="22"/>
              </w:rPr>
            </w:pPr>
            <w:r>
              <w:rPr>
                <w:sz w:val="22"/>
              </w:rPr>
              <w:t>ОАО "РЖД" Красноярский ртерриториальный центр фирменного транспортного обслуживания</w:t>
            </w:r>
          </w:p>
        </w:tc>
        <w:tc>
          <w:tcPr>
            <w:tcW w:type="dxa" w:w="2561"/>
            <w:tcBorders>
              <w:top w:sz="4" w:val="nil"/>
              <w:left w:sz="4" w:val="nil"/>
              <w:bottom w:color="000000" w:sz="4" w:val="single"/>
              <w:right w:color="000000" w:sz="4" w:val="single"/>
            </w:tcBorders>
            <w:shd w:fill="auto" w:val="clear"/>
            <w:vAlign w:val="center"/>
          </w:tcPr>
          <w:p w14:paraId="F82A0000">
            <w:pPr>
              <w:widowControl w:val="1"/>
              <w:ind/>
              <w:contextualSpacing w:val="1"/>
              <w:jc w:val="center"/>
              <w:rPr>
                <w:sz w:val="22"/>
              </w:rPr>
            </w:pPr>
            <w:r>
              <w:rPr>
                <w:sz w:val="22"/>
              </w:rPr>
              <w:t>организация расчетов и оплата Клиентом провозных платежей, сборов, штрафов, иных причитающихся ОАО "РЖД" платежей с использованием Единого лицевого счетта при перевозках грузов и / или порожних вагонов</w:t>
            </w:r>
          </w:p>
        </w:tc>
        <w:tc>
          <w:tcPr>
            <w:tcW w:type="dxa" w:w="1416"/>
            <w:tcBorders>
              <w:top w:sz="4" w:val="nil"/>
              <w:left w:sz="4" w:val="nil"/>
              <w:bottom w:color="000000" w:sz="4" w:val="single"/>
              <w:right w:color="000000" w:sz="4" w:val="single"/>
            </w:tcBorders>
            <w:shd w:fill="auto" w:val="clear"/>
            <w:vAlign w:val="center"/>
          </w:tcPr>
          <w:p w14:paraId="F92A0000">
            <w:pPr>
              <w:widowControl w:val="1"/>
              <w:ind/>
              <w:contextualSpacing w:val="1"/>
              <w:jc w:val="center"/>
              <w:rPr>
                <w:sz w:val="22"/>
              </w:rPr>
            </w:pPr>
            <w:r>
              <w:rPr>
                <w:sz w:val="22"/>
              </w:rPr>
              <w:t>25.04.2018-31.12.2018 пролонгация</w:t>
            </w:r>
          </w:p>
        </w:tc>
        <w:tc>
          <w:tcPr>
            <w:tcW w:type="dxa" w:w="1591"/>
            <w:tcBorders>
              <w:top w:sz="4" w:val="nil"/>
              <w:left w:sz="4" w:val="nil"/>
              <w:bottom w:color="000000" w:sz="4" w:val="single"/>
              <w:right w:color="000000" w:sz="4" w:val="single"/>
            </w:tcBorders>
            <w:shd w:fill="auto" w:val="clear"/>
            <w:vAlign w:val="center"/>
          </w:tcPr>
          <w:p w14:paraId="FA2A0000">
            <w:pPr>
              <w:widowControl w:val="1"/>
              <w:ind/>
              <w:contextualSpacing w:val="1"/>
              <w:jc w:val="center"/>
              <w:rPr>
                <w:sz w:val="22"/>
              </w:rPr>
            </w:pPr>
            <w:r>
              <w:rPr>
                <w:sz w:val="22"/>
              </w:rPr>
              <w:t>0</w:t>
            </w:r>
          </w:p>
        </w:tc>
        <w:tc>
          <w:tcPr>
            <w:tcW w:type="dxa" w:w="2104"/>
            <w:tcBorders>
              <w:top w:sz="4" w:val="nil"/>
              <w:left w:sz="4" w:val="nil"/>
              <w:bottom w:color="000000" w:sz="4" w:val="single"/>
              <w:right w:color="000000" w:sz="4" w:val="single"/>
            </w:tcBorders>
            <w:shd w:fill="FFFFFF" w:val="clear"/>
            <w:vAlign w:val="center"/>
          </w:tcPr>
          <w:p w14:paraId="FB2A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FC2A0000">
            <w:pPr>
              <w:widowControl w:val="1"/>
              <w:ind/>
              <w:contextualSpacing w:val="1"/>
              <w:jc w:val="center"/>
              <w:rPr>
                <w:color w:val="000000"/>
                <w:sz w:val="22"/>
              </w:rPr>
            </w:pPr>
            <w:r>
              <w:rPr>
                <w:color w:val="000000"/>
                <w:sz w:val="22"/>
              </w:rPr>
              <w:t>38</w:t>
            </w:r>
          </w:p>
        </w:tc>
        <w:tc>
          <w:tcPr>
            <w:tcW w:type="dxa" w:w="2268"/>
            <w:tcBorders>
              <w:top w:sz="4" w:val="nil"/>
              <w:left w:sz="4" w:val="nil"/>
              <w:bottom w:color="000000" w:sz="4" w:val="single"/>
              <w:right w:color="000000" w:sz="4" w:val="single"/>
            </w:tcBorders>
            <w:shd w:fill="auto" w:val="clear"/>
            <w:vAlign w:val="center"/>
          </w:tcPr>
          <w:p w14:paraId="FD2A0000">
            <w:pPr>
              <w:widowControl w:val="1"/>
              <w:ind/>
              <w:contextualSpacing w:val="1"/>
              <w:jc w:val="center"/>
              <w:rPr>
                <w:sz w:val="22"/>
              </w:rPr>
            </w:pPr>
            <w:r>
              <w:rPr>
                <w:sz w:val="22"/>
              </w:rPr>
              <w:t>дополнительное соглашение № 1 к договору № 642/1/504264/IP ОТ 27.12.2017 от 07.05.2018</w:t>
            </w:r>
          </w:p>
        </w:tc>
        <w:tc>
          <w:tcPr>
            <w:tcW w:type="dxa" w:w="1427"/>
            <w:tcBorders>
              <w:top w:sz="4" w:val="nil"/>
              <w:left w:sz="4" w:val="nil"/>
              <w:bottom w:color="000000" w:sz="4" w:val="single"/>
              <w:right w:color="000000" w:sz="4" w:val="single"/>
            </w:tcBorders>
            <w:shd w:fill="auto" w:val="clear"/>
            <w:vAlign w:val="center"/>
          </w:tcPr>
          <w:p w14:paraId="FE2A0000">
            <w:pPr>
              <w:widowControl w:val="1"/>
              <w:ind/>
              <w:contextualSpacing w:val="1"/>
              <w:jc w:val="center"/>
              <w:rPr>
                <w:sz w:val="22"/>
              </w:rPr>
            </w:pPr>
            <w:r>
              <w:rPr>
                <w:sz w:val="22"/>
              </w:rPr>
              <w:t>07.05.2018</w:t>
            </w:r>
          </w:p>
        </w:tc>
        <w:tc>
          <w:tcPr>
            <w:tcW w:type="dxa" w:w="2258"/>
            <w:tcBorders>
              <w:top w:sz="4" w:val="nil"/>
              <w:left w:sz="4" w:val="nil"/>
              <w:bottom w:color="000000" w:sz="4" w:val="single"/>
              <w:right w:color="000000" w:sz="4" w:val="single"/>
            </w:tcBorders>
            <w:shd w:fill="auto" w:val="clear"/>
            <w:vAlign w:val="center"/>
          </w:tcPr>
          <w:p w14:paraId="FF2A0000">
            <w:pPr>
              <w:widowControl w:val="1"/>
              <w:ind/>
              <w:contextualSpacing w:val="1"/>
              <w:jc w:val="center"/>
              <w:rPr>
                <w:sz w:val="22"/>
              </w:rPr>
            </w:pPr>
            <w:r>
              <w:rPr>
                <w:sz w:val="22"/>
              </w:rPr>
              <w:t>ОАО "РЖД" Красноярский региональный центр связи</w:t>
            </w:r>
          </w:p>
        </w:tc>
        <w:tc>
          <w:tcPr>
            <w:tcW w:type="dxa" w:w="2561"/>
            <w:tcBorders>
              <w:top w:sz="4" w:val="nil"/>
              <w:left w:sz="4" w:val="nil"/>
              <w:bottom w:color="000000" w:sz="4" w:val="single"/>
              <w:right w:sz="4" w:val="nil"/>
            </w:tcBorders>
            <w:shd w:fill="FFFFFF" w:val="clear"/>
            <w:vAlign w:val="center"/>
          </w:tcPr>
          <w:p w14:paraId="002B0000">
            <w:pPr>
              <w:widowControl w:val="1"/>
              <w:ind/>
              <w:contextualSpacing w:val="1"/>
              <w:jc w:val="center"/>
              <w:rPr>
                <w:sz w:val="22"/>
              </w:rPr>
            </w:pPr>
            <w:r>
              <w:rPr>
                <w:sz w:val="22"/>
              </w:rPr>
              <w:t>внесение изменений в договор на оказание услуг по передаче данных для передачи голосовой информации (IP-телефония)относительно порядка разрешения споров, без изменения цены договора</w:t>
            </w:r>
          </w:p>
        </w:tc>
        <w:tc>
          <w:tcPr>
            <w:tcW w:type="dxa" w:w="1416"/>
            <w:tcBorders>
              <w:top w:sz="4" w:val="nil"/>
              <w:left w:color="000000" w:sz="4" w:val="single"/>
              <w:bottom w:color="000000" w:sz="4" w:val="single"/>
              <w:right w:color="000000" w:sz="4" w:val="single"/>
            </w:tcBorders>
            <w:shd w:fill="auto" w:val="clear"/>
            <w:vAlign w:val="center"/>
          </w:tcPr>
          <w:p w14:paraId="012B0000">
            <w:pPr>
              <w:widowControl w:val="1"/>
              <w:ind/>
              <w:contextualSpacing w:val="1"/>
              <w:jc w:val="center"/>
              <w:rPr>
                <w:color w:val="000000"/>
                <w:sz w:val="22"/>
              </w:rPr>
            </w:pPr>
            <w:r>
              <w:rPr>
                <w:color w:val="000000"/>
                <w:sz w:val="22"/>
              </w:rPr>
              <w:t>01.01.2018-31.12.2020</w:t>
            </w:r>
          </w:p>
        </w:tc>
        <w:tc>
          <w:tcPr>
            <w:tcW w:type="dxa" w:w="1591"/>
            <w:tcBorders>
              <w:top w:sz="4" w:val="nil"/>
              <w:left w:sz="4" w:val="nil"/>
              <w:bottom w:color="000000" w:sz="4" w:val="single"/>
              <w:right w:color="000000" w:sz="4" w:val="single"/>
            </w:tcBorders>
            <w:shd w:fill="auto" w:val="clear"/>
            <w:vAlign w:val="center"/>
          </w:tcPr>
          <w:p w14:paraId="022B0000">
            <w:pPr>
              <w:widowControl w:val="1"/>
              <w:ind/>
              <w:contextualSpacing w:val="1"/>
              <w:jc w:val="center"/>
              <w:rPr>
                <w:sz w:val="22"/>
              </w:rPr>
            </w:pPr>
            <w:r>
              <w:rPr>
                <w:sz w:val="22"/>
              </w:rPr>
              <w:t>99000</w:t>
            </w:r>
          </w:p>
        </w:tc>
        <w:tc>
          <w:tcPr>
            <w:tcW w:type="dxa" w:w="2104"/>
            <w:tcBorders>
              <w:top w:sz="4" w:val="nil"/>
              <w:left w:sz="4" w:val="nil"/>
              <w:bottom w:color="000000" w:sz="4" w:val="single"/>
              <w:right w:color="000000" w:sz="4" w:val="single"/>
            </w:tcBorders>
            <w:shd w:fill="FFFFFF" w:val="clear"/>
            <w:vAlign w:val="center"/>
          </w:tcPr>
          <w:p w14:paraId="03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042B0000">
            <w:pPr>
              <w:widowControl w:val="1"/>
              <w:ind/>
              <w:contextualSpacing w:val="1"/>
              <w:jc w:val="center"/>
              <w:rPr>
                <w:color w:val="000000"/>
                <w:sz w:val="22"/>
              </w:rPr>
            </w:pPr>
            <w:r>
              <w:rPr>
                <w:color w:val="000000"/>
                <w:sz w:val="22"/>
              </w:rPr>
              <w:t>39</w:t>
            </w:r>
          </w:p>
        </w:tc>
        <w:tc>
          <w:tcPr>
            <w:tcW w:type="dxa" w:w="2268"/>
            <w:tcBorders>
              <w:top w:sz="4" w:val="nil"/>
              <w:left w:sz="4" w:val="nil"/>
              <w:bottom w:color="000000" w:sz="4" w:val="single"/>
              <w:right w:color="000000" w:sz="4" w:val="single"/>
            </w:tcBorders>
            <w:shd w:fill="auto" w:val="clear"/>
            <w:vAlign w:val="center"/>
          </w:tcPr>
          <w:p w14:paraId="052B0000">
            <w:pPr>
              <w:widowControl w:val="1"/>
              <w:ind/>
              <w:contextualSpacing w:val="1"/>
              <w:jc w:val="center"/>
              <w:rPr>
                <w:sz w:val="22"/>
              </w:rPr>
            </w:pPr>
            <w:r>
              <w:rPr>
                <w:sz w:val="22"/>
              </w:rPr>
              <w:t>дополнительное соглашение № 1 к договору № 642/504316/МВ ОТ 27.12.2017 от 07.05.2018</w:t>
            </w:r>
          </w:p>
        </w:tc>
        <w:tc>
          <w:tcPr>
            <w:tcW w:type="dxa" w:w="1427"/>
            <w:tcBorders>
              <w:top w:sz="4" w:val="nil"/>
              <w:left w:sz="4" w:val="nil"/>
              <w:bottom w:color="000000" w:sz="4" w:val="single"/>
              <w:right w:color="000000" w:sz="4" w:val="single"/>
            </w:tcBorders>
            <w:shd w:fill="auto" w:val="clear"/>
            <w:vAlign w:val="center"/>
          </w:tcPr>
          <w:p w14:paraId="062B0000">
            <w:pPr>
              <w:widowControl w:val="1"/>
              <w:ind/>
              <w:contextualSpacing w:val="1"/>
              <w:jc w:val="center"/>
              <w:rPr>
                <w:sz w:val="22"/>
              </w:rPr>
            </w:pPr>
            <w:r>
              <w:rPr>
                <w:sz w:val="22"/>
              </w:rPr>
              <w:t>07.05.2018</w:t>
            </w:r>
          </w:p>
        </w:tc>
        <w:tc>
          <w:tcPr>
            <w:tcW w:type="dxa" w:w="2258"/>
            <w:tcBorders>
              <w:top w:sz="4" w:val="nil"/>
              <w:left w:sz="4" w:val="nil"/>
              <w:bottom w:color="000000" w:sz="4" w:val="single"/>
              <w:right w:color="000000" w:sz="4" w:val="single"/>
            </w:tcBorders>
            <w:shd w:fill="auto" w:val="clear"/>
            <w:vAlign w:val="center"/>
          </w:tcPr>
          <w:p w14:paraId="072B0000">
            <w:pPr>
              <w:widowControl w:val="1"/>
              <w:ind/>
              <w:contextualSpacing w:val="1"/>
              <w:jc w:val="center"/>
              <w:rPr>
                <w:sz w:val="22"/>
              </w:rPr>
            </w:pPr>
            <w:r>
              <w:rPr>
                <w:sz w:val="22"/>
              </w:rPr>
              <w:t>ОАО "РЖД" Красноярский региональный центр связи</w:t>
            </w:r>
          </w:p>
        </w:tc>
        <w:tc>
          <w:tcPr>
            <w:tcW w:type="dxa" w:w="2561"/>
            <w:tcBorders>
              <w:top w:sz="4" w:val="nil"/>
              <w:left w:sz="4" w:val="nil"/>
              <w:bottom w:color="000000" w:sz="4" w:val="single"/>
              <w:right w:sz="4" w:val="nil"/>
            </w:tcBorders>
            <w:shd w:fill="FFFFFF" w:val="clear"/>
            <w:vAlign w:val="center"/>
          </w:tcPr>
          <w:p w14:paraId="082B0000">
            <w:pPr>
              <w:widowControl w:val="1"/>
              <w:ind/>
              <w:contextualSpacing w:val="1"/>
              <w:jc w:val="center"/>
              <w:rPr>
                <w:sz w:val="22"/>
              </w:rPr>
            </w:pPr>
            <w:r>
              <w:rPr>
                <w:sz w:val="22"/>
              </w:rPr>
              <w:t>внесение изменений относительно порядка разрешения споров, без изменения цены договора</w:t>
            </w:r>
          </w:p>
        </w:tc>
        <w:tc>
          <w:tcPr>
            <w:tcW w:type="dxa" w:w="1416"/>
            <w:tcBorders>
              <w:top w:sz="4" w:val="nil"/>
              <w:left w:color="000000" w:sz="4" w:val="single"/>
              <w:bottom w:color="000000" w:sz="4" w:val="single"/>
              <w:right w:color="000000" w:sz="4" w:val="single"/>
            </w:tcBorders>
            <w:shd w:fill="auto" w:val="clear"/>
            <w:vAlign w:val="center"/>
          </w:tcPr>
          <w:p w14:paraId="092B0000">
            <w:pPr>
              <w:widowControl w:val="1"/>
              <w:ind/>
              <w:contextualSpacing w:val="1"/>
              <w:jc w:val="center"/>
              <w:rPr>
                <w:color w:val="000000"/>
                <w:sz w:val="22"/>
              </w:rPr>
            </w:pPr>
            <w:r>
              <w:rPr>
                <w:color w:val="000000"/>
                <w:sz w:val="22"/>
              </w:rPr>
              <w:t>01.01.2018-31.12.2020</w:t>
            </w:r>
          </w:p>
        </w:tc>
        <w:tc>
          <w:tcPr>
            <w:tcW w:type="dxa" w:w="1591"/>
            <w:tcBorders>
              <w:top w:sz="4" w:val="nil"/>
              <w:left w:sz="4" w:val="nil"/>
              <w:bottom w:color="000000" w:sz="4" w:val="single"/>
              <w:right w:color="000000" w:sz="4" w:val="single"/>
            </w:tcBorders>
            <w:shd w:fill="auto" w:val="clear"/>
            <w:vAlign w:val="center"/>
          </w:tcPr>
          <w:p w14:paraId="0A2B0000">
            <w:pPr>
              <w:widowControl w:val="1"/>
              <w:ind/>
              <w:contextualSpacing w:val="1"/>
              <w:jc w:val="center"/>
              <w:rPr>
                <w:sz w:val="22"/>
              </w:rPr>
            </w:pPr>
            <w:r>
              <w:rPr>
                <w:sz w:val="22"/>
              </w:rPr>
              <w:t>99000</w:t>
            </w:r>
          </w:p>
        </w:tc>
        <w:tc>
          <w:tcPr>
            <w:tcW w:type="dxa" w:w="2104"/>
            <w:tcBorders>
              <w:top w:sz="4" w:val="nil"/>
              <w:left w:sz="4" w:val="nil"/>
              <w:bottom w:color="000000" w:sz="4" w:val="single"/>
              <w:right w:color="000000" w:sz="4" w:val="single"/>
            </w:tcBorders>
            <w:shd w:fill="FFFFFF" w:val="clear"/>
            <w:vAlign w:val="center"/>
          </w:tcPr>
          <w:p w14:paraId="0B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0C2B0000">
            <w:pPr>
              <w:widowControl w:val="1"/>
              <w:ind/>
              <w:contextualSpacing w:val="1"/>
              <w:jc w:val="center"/>
              <w:rPr>
                <w:color w:val="000000"/>
                <w:sz w:val="22"/>
              </w:rPr>
            </w:pPr>
            <w:r>
              <w:rPr>
                <w:color w:val="000000"/>
                <w:sz w:val="22"/>
              </w:rPr>
              <w:t>40</w:t>
            </w:r>
          </w:p>
        </w:tc>
        <w:tc>
          <w:tcPr>
            <w:tcW w:type="dxa" w:w="2268"/>
            <w:tcBorders>
              <w:top w:sz="4" w:val="nil"/>
              <w:left w:sz="4" w:val="nil"/>
              <w:bottom w:color="000000" w:sz="4" w:val="single"/>
              <w:right w:color="000000" w:sz="4" w:val="single"/>
            </w:tcBorders>
            <w:shd w:fill="auto" w:val="clear"/>
            <w:vAlign w:val="center"/>
          </w:tcPr>
          <w:p w14:paraId="0D2B0000">
            <w:pPr>
              <w:widowControl w:val="1"/>
              <w:ind/>
              <w:contextualSpacing w:val="1"/>
              <w:jc w:val="center"/>
              <w:rPr>
                <w:sz w:val="22"/>
              </w:rPr>
            </w:pPr>
            <w:r>
              <w:rPr>
                <w:sz w:val="22"/>
              </w:rPr>
              <w:t>дополнительное соглашение № 9 к договору № 6762 от 22.12.2012г. От 18.05.2018</w:t>
            </w:r>
          </w:p>
        </w:tc>
        <w:tc>
          <w:tcPr>
            <w:tcW w:type="dxa" w:w="1427"/>
            <w:tcBorders>
              <w:top w:sz="4" w:val="nil"/>
              <w:left w:sz="4" w:val="nil"/>
              <w:bottom w:color="000000" w:sz="4" w:val="single"/>
              <w:right w:color="000000" w:sz="4" w:val="single"/>
            </w:tcBorders>
            <w:shd w:fill="auto" w:val="clear"/>
            <w:vAlign w:val="center"/>
          </w:tcPr>
          <w:p w14:paraId="0E2B0000">
            <w:pPr>
              <w:widowControl w:val="1"/>
              <w:ind/>
              <w:contextualSpacing w:val="1"/>
              <w:jc w:val="center"/>
              <w:rPr>
                <w:sz w:val="22"/>
              </w:rPr>
            </w:pPr>
            <w:r>
              <w:rPr>
                <w:sz w:val="22"/>
              </w:rPr>
              <w:t>18.05.2018</w:t>
            </w:r>
          </w:p>
        </w:tc>
        <w:tc>
          <w:tcPr>
            <w:tcW w:type="dxa" w:w="2258"/>
            <w:tcBorders>
              <w:top w:sz="4" w:val="nil"/>
              <w:left w:sz="4" w:val="nil"/>
              <w:bottom w:color="000000" w:sz="4" w:val="single"/>
              <w:right w:color="000000" w:sz="4" w:val="single"/>
            </w:tcBorders>
            <w:shd w:fill="auto" w:val="clear"/>
            <w:vAlign w:val="center"/>
          </w:tcPr>
          <w:p w14:paraId="0F2B0000">
            <w:pPr>
              <w:widowControl w:val="1"/>
              <w:ind/>
              <w:contextualSpacing w:val="1"/>
              <w:jc w:val="center"/>
              <w:rPr>
                <w:sz w:val="22"/>
              </w:rPr>
            </w:pPr>
            <w:r>
              <w:rPr>
                <w:sz w:val="22"/>
              </w:rPr>
              <w:t>ОАО "РЖД" Административно-хозяйственное управление</w:t>
            </w:r>
          </w:p>
        </w:tc>
        <w:tc>
          <w:tcPr>
            <w:tcW w:type="dxa" w:w="2561"/>
            <w:tcBorders>
              <w:top w:sz="4" w:val="nil"/>
              <w:left w:sz="4" w:val="nil"/>
              <w:bottom w:color="000000" w:sz="4" w:val="single"/>
              <w:right w:sz="4" w:val="nil"/>
            </w:tcBorders>
            <w:shd w:fill="FFFFFF" w:val="clear"/>
            <w:vAlign w:val="center"/>
          </w:tcPr>
          <w:p w14:paraId="102B0000">
            <w:pPr>
              <w:widowControl w:val="1"/>
              <w:ind/>
              <w:contextualSpacing w:val="1"/>
              <w:jc w:val="center"/>
              <w:rPr>
                <w:sz w:val="22"/>
              </w:rPr>
            </w:pPr>
            <w:r>
              <w:rPr>
                <w:sz w:val="22"/>
              </w:rPr>
              <w:t>внесение изменений относительно порядка разрешения споров, без изменения цены договора</w:t>
            </w:r>
          </w:p>
        </w:tc>
        <w:tc>
          <w:tcPr>
            <w:tcW w:type="dxa" w:w="1416"/>
            <w:tcBorders>
              <w:top w:sz="4" w:val="nil"/>
              <w:left w:color="000000" w:sz="4" w:val="single"/>
              <w:bottom w:color="000000" w:sz="4" w:val="single"/>
              <w:right w:color="000000" w:sz="4" w:val="single"/>
            </w:tcBorders>
            <w:shd w:fill="auto" w:val="clear"/>
            <w:vAlign w:val="center"/>
          </w:tcPr>
          <w:p w14:paraId="112B0000">
            <w:pPr>
              <w:widowControl w:val="1"/>
              <w:ind/>
              <w:contextualSpacing w:val="1"/>
              <w:jc w:val="center"/>
              <w:rPr>
                <w:color w:val="000000"/>
                <w:sz w:val="22"/>
              </w:rPr>
            </w:pPr>
            <w:r>
              <w:rPr>
                <w:color w:val="000000"/>
                <w:sz w:val="22"/>
              </w:rPr>
              <w:t>18.05.2018-31.12.2018</w:t>
            </w:r>
          </w:p>
        </w:tc>
        <w:tc>
          <w:tcPr>
            <w:tcW w:type="dxa" w:w="1591"/>
            <w:tcBorders>
              <w:top w:sz="4" w:val="nil"/>
              <w:left w:sz="4" w:val="nil"/>
              <w:bottom w:color="000000" w:sz="4" w:val="single"/>
              <w:right w:color="000000" w:sz="4" w:val="single"/>
            </w:tcBorders>
            <w:shd w:fill="auto" w:val="clear"/>
            <w:vAlign w:val="center"/>
          </w:tcPr>
          <w:p w14:paraId="122B0000">
            <w:pPr>
              <w:widowControl w:val="1"/>
              <w:ind/>
              <w:contextualSpacing w:val="1"/>
              <w:jc w:val="center"/>
              <w:rPr>
                <w:sz w:val="22"/>
              </w:rPr>
            </w:pPr>
            <w:r>
              <w:rPr>
                <w:sz w:val="22"/>
              </w:rPr>
              <w:t>264821,4</w:t>
            </w:r>
          </w:p>
        </w:tc>
        <w:tc>
          <w:tcPr>
            <w:tcW w:type="dxa" w:w="2104"/>
            <w:tcBorders>
              <w:top w:sz="4" w:val="nil"/>
              <w:left w:sz="4" w:val="nil"/>
              <w:bottom w:color="000000" w:sz="4" w:val="single"/>
              <w:right w:color="000000" w:sz="4" w:val="single"/>
            </w:tcBorders>
            <w:shd w:fill="FFFFFF" w:val="clear"/>
            <w:vAlign w:val="center"/>
          </w:tcPr>
          <w:p w14:paraId="13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142B0000">
            <w:pPr>
              <w:widowControl w:val="1"/>
              <w:ind/>
              <w:contextualSpacing w:val="1"/>
              <w:jc w:val="center"/>
              <w:rPr>
                <w:color w:val="000000"/>
                <w:sz w:val="22"/>
              </w:rPr>
            </w:pPr>
            <w:r>
              <w:rPr>
                <w:color w:val="000000"/>
                <w:sz w:val="22"/>
              </w:rPr>
              <w:t>41</w:t>
            </w:r>
          </w:p>
        </w:tc>
        <w:tc>
          <w:tcPr>
            <w:tcW w:type="dxa" w:w="2268"/>
            <w:tcBorders>
              <w:top w:sz="4" w:val="nil"/>
              <w:left w:sz="4" w:val="nil"/>
              <w:bottom w:color="000000" w:sz="4" w:val="single"/>
              <w:right w:color="000000" w:sz="4" w:val="single"/>
            </w:tcBorders>
            <w:shd w:fill="auto" w:val="clear"/>
            <w:vAlign w:val="center"/>
          </w:tcPr>
          <w:p w14:paraId="152B0000">
            <w:pPr>
              <w:widowControl w:val="1"/>
              <w:ind/>
              <w:contextualSpacing w:val="1"/>
              <w:jc w:val="center"/>
              <w:rPr>
                <w:sz w:val="22"/>
              </w:rPr>
            </w:pPr>
            <w:r>
              <w:rPr>
                <w:sz w:val="22"/>
              </w:rPr>
              <w:t>дополнительное соглашение № 4 к договору № 1773517 от 26.01.2016 от 29.05.2018</w:t>
            </w:r>
          </w:p>
        </w:tc>
        <w:tc>
          <w:tcPr>
            <w:tcW w:type="dxa" w:w="1427"/>
            <w:tcBorders>
              <w:top w:sz="4" w:val="nil"/>
              <w:left w:sz="4" w:val="nil"/>
              <w:bottom w:color="000000" w:sz="4" w:val="single"/>
              <w:right w:color="000000" w:sz="4" w:val="single"/>
            </w:tcBorders>
            <w:shd w:fill="auto" w:val="clear"/>
            <w:vAlign w:val="center"/>
          </w:tcPr>
          <w:p w14:paraId="162B0000">
            <w:pPr>
              <w:widowControl w:val="1"/>
              <w:ind/>
              <w:contextualSpacing w:val="1"/>
              <w:jc w:val="center"/>
              <w:rPr>
                <w:sz w:val="22"/>
              </w:rPr>
            </w:pPr>
            <w:r>
              <w:rPr>
                <w:sz w:val="22"/>
              </w:rPr>
              <w:t>29.05.2018</w:t>
            </w:r>
          </w:p>
        </w:tc>
        <w:tc>
          <w:tcPr>
            <w:tcW w:type="dxa" w:w="2258"/>
            <w:tcBorders>
              <w:top w:sz="4" w:val="nil"/>
              <w:left w:sz="4" w:val="nil"/>
              <w:bottom w:color="000000" w:sz="4" w:val="single"/>
              <w:right w:color="000000" w:sz="4" w:val="single"/>
            </w:tcBorders>
            <w:shd w:fill="FFFFFF" w:val="clear"/>
            <w:vAlign w:val="center"/>
          </w:tcPr>
          <w:p w14:paraId="172B0000">
            <w:pPr>
              <w:widowControl w:val="1"/>
              <w:ind/>
              <w:contextualSpacing w:val="1"/>
              <w:jc w:val="center"/>
              <w:rPr>
                <w:sz w:val="22"/>
              </w:rPr>
            </w:pPr>
            <w:r>
              <w:rPr>
                <w:sz w:val="22"/>
              </w:rPr>
              <w:t>ОАО "РЖД" Красноярская дирекция инфраструктуры</w:t>
            </w:r>
          </w:p>
        </w:tc>
        <w:tc>
          <w:tcPr>
            <w:tcW w:type="dxa" w:w="2561"/>
            <w:tcBorders>
              <w:top w:sz="4" w:val="nil"/>
              <w:left w:sz="4" w:val="nil"/>
              <w:bottom w:color="000000" w:sz="4" w:val="single"/>
              <w:right w:color="000000" w:sz="4" w:val="single"/>
            </w:tcBorders>
            <w:shd w:fill="FFFFFF" w:val="clear"/>
            <w:vAlign w:val="center"/>
          </w:tcPr>
          <w:p w14:paraId="182B0000">
            <w:pPr>
              <w:widowControl w:val="1"/>
              <w:ind/>
              <w:contextualSpacing w:val="1"/>
              <w:jc w:val="center"/>
              <w:rPr>
                <w:sz w:val="22"/>
              </w:rPr>
            </w:pPr>
            <w:r>
              <w:rPr>
                <w:sz w:val="22"/>
              </w:rPr>
              <w:t>увеличение цены договора, внесение изменений относительно порядка разрешения споров</w:t>
            </w:r>
          </w:p>
        </w:tc>
        <w:tc>
          <w:tcPr>
            <w:tcW w:type="dxa" w:w="1416"/>
            <w:tcBorders>
              <w:top w:sz="4" w:val="nil"/>
              <w:left w:sz="4" w:val="nil"/>
              <w:bottom w:color="000000" w:sz="4" w:val="single"/>
              <w:right w:color="000000" w:sz="4" w:val="single"/>
            </w:tcBorders>
            <w:shd w:fill="FFFFFF" w:val="clear"/>
            <w:vAlign w:val="center"/>
          </w:tcPr>
          <w:p w14:paraId="192B0000">
            <w:pPr>
              <w:widowControl w:val="1"/>
              <w:ind/>
              <w:contextualSpacing w:val="1"/>
              <w:jc w:val="center"/>
              <w:rPr>
                <w:sz w:val="22"/>
              </w:rPr>
            </w:pPr>
            <w:r>
              <w:rPr>
                <w:sz w:val="22"/>
              </w:rPr>
              <w:t>01.01.2016-31.12.2018 пролонгация</w:t>
            </w:r>
          </w:p>
        </w:tc>
        <w:tc>
          <w:tcPr>
            <w:tcW w:type="dxa" w:w="1591"/>
            <w:tcBorders>
              <w:top w:sz="4" w:val="nil"/>
              <w:left w:sz="4" w:val="nil"/>
              <w:bottom w:color="000000" w:sz="4" w:val="single"/>
              <w:right w:color="000000" w:sz="4" w:val="single"/>
            </w:tcBorders>
            <w:shd w:fill="FFFFFF" w:val="clear"/>
            <w:vAlign w:val="center"/>
          </w:tcPr>
          <w:p w14:paraId="1A2B0000">
            <w:pPr>
              <w:widowControl w:val="1"/>
              <w:ind/>
              <w:contextualSpacing w:val="1"/>
              <w:jc w:val="center"/>
              <w:rPr>
                <w:sz w:val="22"/>
              </w:rPr>
            </w:pPr>
            <w:r>
              <w:rPr>
                <w:sz w:val="22"/>
              </w:rPr>
              <w:t>41473524,01</w:t>
            </w:r>
          </w:p>
        </w:tc>
        <w:tc>
          <w:tcPr>
            <w:tcW w:type="dxa" w:w="2104"/>
            <w:tcBorders>
              <w:top w:sz="4" w:val="nil"/>
              <w:left w:sz="4" w:val="nil"/>
              <w:bottom w:color="000000" w:sz="4" w:val="single"/>
              <w:right w:color="000000" w:sz="4" w:val="single"/>
            </w:tcBorders>
            <w:shd w:fill="FFFFFF" w:val="clear"/>
            <w:vAlign w:val="center"/>
          </w:tcPr>
          <w:p w14:paraId="1B2B0000">
            <w:pPr>
              <w:widowControl w:val="1"/>
              <w:ind/>
              <w:contextualSpacing w:val="1"/>
              <w:jc w:val="center"/>
              <w:rPr>
                <w:sz w:val="22"/>
              </w:rPr>
            </w:pPr>
            <w:r>
              <w:rPr>
                <w:sz w:val="22"/>
              </w:rPr>
              <w:t>извещение о сделке направлено 01.06.2018, требование об одобрении сделки не поступило</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1C2B0000">
            <w:pPr>
              <w:widowControl w:val="1"/>
              <w:ind/>
              <w:contextualSpacing w:val="1"/>
              <w:jc w:val="center"/>
              <w:rPr>
                <w:color w:val="000000"/>
                <w:sz w:val="22"/>
              </w:rPr>
            </w:pPr>
            <w:r>
              <w:rPr>
                <w:color w:val="000000"/>
                <w:sz w:val="22"/>
              </w:rPr>
              <w:t>42</w:t>
            </w:r>
          </w:p>
        </w:tc>
        <w:tc>
          <w:tcPr>
            <w:tcW w:type="dxa" w:w="2268"/>
            <w:tcBorders>
              <w:top w:sz="4" w:val="nil"/>
              <w:left w:sz="4" w:val="nil"/>
              <w:bottom w:color="000000" w:sz="4" w:val="single"/>
              <w:right w:color="000000" w:sz="4" w:val="single"/>
            </w:tcBorders>
            <w:shd w:fill="auto" w:val="clear"/>
            <w:vAlign w:val="center"/>
          </w:tcPr>
          <w:p w14:paraId="1D2B0000">
            <w:pPr>
              <w:widowControl w:val="1"/>
              <w:ind/>
              <w:contextualSpacing w:val="1"/>
              <w:jc w:val="center"/>
              <w:rPr>
                <w:sz w:val="22"/>
              </w:rPr>
            </w:pPr>
            <w:r>
              <w:rPr>
                <w:sz w:val="22"/>
              </w:rPr>
              <w:t>договор № 322 от 01.06.2018</w:t>
            </w:r>
          </w:p>
        </w:tc>
        <w:tc>
          <w:tcPr>
            <w:tcW w:type="dxa" w:w="1427"/>
            <w:tcBorders>
              <w:top w:sz="4" w:val="nil"/>
              <w:left w:sz="4" w:val="nil"/>
              <w:bottom w:color="000000" w:sz="4" w:val="single"/>
              <w:right w:color="000000" w:sz="4" w:val="single"/>
            </w:tcBorders>
            <w:shd w:fill="auto" w:val="clear"/>
            <w:vAlign w:val="center"/>
          </w:tcPr>
          <w:p w14:paraId="1E2B0000">
            <w:pPr>
              <w:widowControl w:val="1"/>
              <w:ind/>
              <w:contextualSpacing w:val="1"/>
              <w:jc w:val="center"/>
              <w:rPr>
                <w:sz w:val="22"/>
              </w:rPr>
            </w:pPr>
            <w:r>
              <w:rPr>
                <w:sz w:val="22"/>
              </w:rPr>
              <w:t>01.06.2018</w:t>
            </w:r>
          </w:p>
        </w:tc>
        <w:tc>
          <w:tcPr>
            <w:tcW w:type="dxa" w:w="2258"/>
            <w:tcBorders>
              <w:top w:sz="4" w:val="nil"/>
              <w:left w:sz="4" w:val="nil"/>
              <w:bottom w:color="000000" w:sz="4" w:val="single"/>
              <w:right w:color="000000" w:sz="4" w:val="single"/>
            </w:tcBorders>
            <w:shd w:fill="auto" w:val="clear"/>
            <w:vAlign w:val="center"/>
          </w:tcPr>
          <w:p w14:paraId="1F2B0000">
            <w:pPr>
              <w:widowControl w:val="1"/>
              <w:ind/>
              <w:contextualSpacing w:val="1"/>
              <w:jc w:val="center"/>
              <w:rPr>
                <w:sz w:val="22"/>
              </w:rPr>
            </w:pPr>
            <w:r>
              <w:rPr>
                <w:sz w:val="22"/>
              </w:rPr>
              <w:t>ОАО "РЖД" Дирекция социальной сферы</w:t>
            </w:r>
          </w:p>
        </w:tc>
        <w:tc>
          <w:tcPr>
            <w:tcW w:type="dxa" w:w="2561"/>
            <w:tcBorders>
              <w:top w:sz="4" w:val="nil"/>
              <w:left w:sz="4" w:val="nil"/>
              <w:bottom w:color="000000" w:sz="4" w:val="single"/>
              <w:right w:sz="4" w:val="nil"/>
            </w:tcBorders>
            <w:shd w:fill="FFFFFF" w:val="clear"/>
            <w:vAlign w:val="center"/>
          </w:tcPr>
          <w:p w14:paraId="202B0000">
            <w:pPr>
              <w:widowControl w:val="1"/>
              <w:ind/>
              <w:contextualSpacing w:val="1"/>
              <w:jc w:val="center"/>
              <w:rPr>
                <w:sz w:val="22"/>
              </w:rPr>
            </w:pPr>
            <w:r>
              <w:rPr>
                <w:sz w:val="22"/>
              </w:rPr>
              <w:t>Оказание услуг по организации детского оздоровительного отдыха в ДОЛ "Восток" и ОЦ "Салют"</w:t>
            </w:r>
          </w:p>
        </w:tc>
        <w:tc>
          <w:tcPr>
            <w:tcW w:type="dxa" w:w="1416"/>
            <w:tcBorders>
              <w:top w:sz="4" w:val="nil"/>
              <w:left w:color="000000" w:sz="4" w:val="single"/>
              <w:bottom w:color="000000" w:sz="4" w:val="single"/>
              <w:right w:color="000000" w:sz="4" w:val="single"/>
            </w:tcBorders>
            <w:shd w:fill="auto" w:val="clear"/>
            <w:vAlign w:val="center"/>
          </w:tcPr>
          <w:p w14:paraId="212B0000">
            <w:pPr>
              <w:widowControl w:val="1"/>
              <w:ind/>
              <w:contextualSpacing w:val="1"/>
              <w:jc w:val="center"/>
              <w:rPr>
                <w:sz w:val="22"/>
              </w:rPr>
            </w:pPr>
            <w:r>
              <w:rPr>
                <w:sz w:val="22"/>
              </w:rPr>
              <w:t>14.06.2018-04.07.2018</w:t>
            </w:r>
          </w:p>
        </w:tc>
        <w:tc>
          <w:tcPr>
            <w:tcW w:type="dxa" w:w="1591"/>
            <w:tcBorders>
              <w:top w:sz="4" w:val="nil"/>
              <w:left w:sz="4" w:val="nil"/>
              <w:bottom w:color="000000" w:sz="4" w:val="single"/>
              <w:right w:color="000000" w:sz="4" w:val="single"/>
            </w:tcBorders>
            <w:shd w:fill="auto" w:val="clear"/>
            <w:vAlign w:val="center"/>
          </w:tcPr>
          <w:p w14:paraId="222B0000">
            <w:pPr>
              <w:widowControl w:val="1"/>
              <w:ind/>
              <w:contextualSpacing w:val="1"/>
              <w:jc w:val="center"/>
              <w:rPr>
                <w:sz w:val="22"/>
              </w:rPr>
            </w:pPr>
            <w:r>
              <w:rPr>
                <w:sz w:val="22"/>
              </w:rPr>
              <w:t>168323,4</w:t>
            </w:r>
          </w:p>
        </w:tc>
        <w:tc>
          <w:tcPr>
            <w:tcW w:type="dxa" w:w="2104"/>
            <w:tcBorders>
              <w:top w:sz="4" w:val="nil"/>
              <w:left w:sz="4" w:val="nil"/>
              <w:bottom w:color="000000" w:sz="4" w:val="single"/>
              <w:right w:color="000000" w:sz="4" w:val="single"/>
            </w:tcBorders>
            <w:shd w:fill="FFFFFF" w:val="clear"/>
            <w:vAlign w:val="center"/>
          </w:tcPr>
          <w:p w14:paraId="23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242B0000">
            <w:pPr>
              <w:widowControl w:val="1"/>
              <w:ind/>
              <w:contextualSpacing w:val="1"/>
              <w:jc w:val="center"/>
              <w:rPr>
                <w:color w:val="000000"/>
                <w:sz w:val="22"/>
              </w:rPr>
            </w:pPr>
            <w:r>
              <w:rPr>
                <w:color w:val="000000"/>
                <w:sz w:val="22"/>
              </w:rPr>
              <w:t>43</w:t>
            </w:r>
          </w:p>
        </w:tc>
        <w:tc>
          <w:tcPr>
            <w:tcW w:type="dxa" w:w="2268"/>
            <w:tcBorders>
              <w:top w:sz="4" w:val="nil"/>
              <w:left w:sz="4" w:val="nil"/>
              <w:bottom w:color="000000" w:sz="4" w:val="single"/>
              <w:right w:color="000000" w:sz="4" w:val="single"/>
            </w:tcBorders>
            <w:shd w:fill="auto" w:val="clear"/>
            <w:vAlign w:val="center"/>
          </w:tcPr>
          <w:p w14:paraId="252B0000">
            <w:pPr>
              <w:widowControl w:val="1"/>
              <w:ind/>
              <w:contextualSpacing w:val="1"/>
              <w:jc w:val="center"/>
              <w:rPr>
                <w:sz w:val="22"/>
              </w:rPr>
            </w:pPr>
            <w:r>
              <w:rPr>
                <w:sz w:val="22"/>
              </w:rPr>
              <w:t>дополнительное соглашение № 1 к договору № 31/18/ЦДМВ от 07.03.2018 от 01.06.2018</w:t>
            </w:r>
          </w:p>
        </w:tc>
        <w:tc>
          <w:tcPr>
            <w:tcW w:type="dxa" w:w="1427"/>
            <w:tcBorders>
              <w:top w:sz="4" w:val="nil"/>
              <w:left w:sz="4" w:val="nil"/>
              <w:bottom w:color="000000" w:sz="4" w:val="single"/>
              <w:right w:color="000000" w:sz="4" w:val="single"/>
            </w:tcBorders>
            <w:shd w:fill="auto" w:val="clear"/>
            <w:vAlign w:val="center"/>
          </w:tcPr>
          <w:p w14:paraId="262B0000">
            <w:pPr>
              <w:widowControl w:val="1"/>
              <w:ind/>
              <w:contextualSpacing w:val="1"/>
              <w:jc w:val="center"/>
              <w:rPr>
                <w:sz w:val="22"/>
              </w:rPr>
            </w:pPr>
            <w:r>
              <w:rPr>
                <w:sz w:val="22"/>
              </w:rPr>
              <w:t>01.06.2018</w:t>
            </w:r>
          </w:p>
        </w:tc>
        <w:tc>
          <w:tcPr>
            <w:tcW w:type="dxa" w:w="2258"/>
            <w:tcBorders>
              <w:top w:sz="4" w:val="nil"/>
              <w:left w:sz="4" w:val="nil"/>
              <w:bottom w:color="000000" w:sz="4" w:val="single"/>
              <w:right w:color="000000" w:sz="4" w:val="single"/>
            </w:tcBorders>
            <w:shd w:fill="auto" w:val="clear"/>
            <w:vAlign w:val="center"/>
          </w:tcPr>
          <w:p w14:paraId="272B0000">
            <w:pPr>
              <w:widowControl w:val="1"/>
              <w:ind/>
              <w:contextualSpacing w:val="1"/>
              <w:jc w:val="center"/>
              <w:rPr>
                <w:sz w:val="22"/>
              </w:rPr>
            </w:pPr>
            <w:r>
              <w:rPr>
                <w:sz w:val="22"/>
              </w:rPr>
              <w:t>ОАО "РЖД" Центральная дирекция моторвагонного подвижного состава</w:t>
            </w:r>
          </w:p>
        </w:tc>
        <w:tc>
          <w:tcPr>
            <w:tcW w:type="dxa" w:w="2561"/>
            <w:tcBorders>
              <w:top w:sz="4" w:val="nil"/>
              <w:left w:sz="4" w:val="nil"/>
              <w:bottom w:color="000000" w:sz="4" w:val="single"/>
              <w:right w:color="000000" w:sz="4" w:val="single"/>
            </w:tcBorders>
            <w:shd w:fill="auto" w:val="clear"/>
            <w:vAlign w:val="center"/>
          </w:tcPr>
          <w:p w14:paraId="282B0000">
            <w:pPr>
              <w:widowControl w:val="1"/>
              <w:ind/>
              <w:contextualSpacing w:val="1"/>
              <w:jc w:val="center"/>
              <w:rPr>
                <w:sz w:val="22"/>
              </w:rPr>
            </w:pPr>
            <w:r>
              <w:rPr>
                <w:sz w:val="22"/>
              </w:rPr>
              <w:t>уменьшение цены договора</w:t>
            </w:r>
          </w:p>
        </w:tc>
        <w:tc>
          <w:tcPr>
            <w:tcW w:type="dxa" w:w="1416"/>
            <w:tcBorders>
              <w:top w:sz="4" w:val="nil"/>
              <w:left w:sz="4" w:val="nil"/>
              <w:bottom w:color="000000" w:sz="4" w:val="single"/>
              <w:right w:color="000000" w:sz="4" w:val="single"/>
            </w:tcBorders>
            <w:shd w:fill="auto" w:val="clear"/>
            <w:vAlign w:val="center"/>
          </w:tcPr>
          <w:p w14:paraId="292B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2A2B0000">
            <w:pPr>
              <w:widowControl w:val="1"/>
              <w:ind/>
              <w:contextualSpacing w:val="1"/>
              <w:jc w:val="center"/>
              <w:rPr>
                <w:sz w:val="22"/>
              </w:rPr>
            </w:pPr>
            <w:r>
              <w:rPr>
                <w:sz w:val="22"/>
              </w:rPr>
              <w:t>384968656,9</w:t>
            </w:r>
          </w:p>
        </w:tc>
        <w:tc>
          <w:tcPr>
            <w:tcW w:type="dxa" w:w="2104"/>
            <w:tcBorders>
              <w:top w:sz="4" w:val="nil"/>
              <w:left w:sz="4" w:val="nil"/>
              <w:bottom w:color="000000" w:sz="4" w:val="single"/>
              <w:right w:color="000000" w:sz="4" w:val="single"/>
            </w:tcBorders>
            <w:shd w:fill="FFFFFF" w:val="clear"/>
            <w:vAlign w:val="center"/>
          </w:tcPr>
          <w:p w14:paraId="2B2B0000">
            <w:pPr>
              <w:widowControl w:val="1"/>
              <w:ind/>
              <w:contextualSpacing w:val="1"/>
              <w:jc w:val="center"/>
              <w:rPr>
                <w:sz w:val="22"/>
              </w:rPr>
            </w:pPr>
            <w:r>
              <w:rPr>
                <w:sz w:val="22"/>
              </w:rPr>
              <w:t>извещение о сделке направлено 28.02.2018г.,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2C2B0000">
            <w:pPr>
              <w:widowControl w:val="1"/>
              <w:ind/>
              <w:contextualSpacing w:val="1"/>
              <w:jc w:val="center"/>
              <w:rPr>
                <w:color w:val="000000"/>
                <w:sz w:val="22"/>
              </w:rPr>
            </w:pPr>
            <w:r>
              <w:rPr>
                <w:color w:val="000000"/>
                <w:sz w:val="22"/>
              </w:rPr>
              <w:t>44</w:t>
            </w:r>
          </w:p>
        </w:tc>
        <w:tc>
          <w:tcPr>
            <w:tcW w:type="dxa" w:w="2268"/>
            <w:tcBorders>
              <w:top w:sz="4" w:val="nil"/>
              <w:left w:sz="4" w:val="nil"/>
              <w:bottom w:color="000000" w:sz="4" w:val="single"/>
              <w:right w:color="000000" w:sz="4" w:val="single"/>
            </w:tcBorders>
            <w:shd w:fill="FFFFFF" w:val="clear"/>
            <w:vAlign w:val="center"/>
          </w:tcPr>
          <w:p w14:paraId="2D2B0000">
            <w:pPr>
              <w:widowControl w:val="1"/>
              <w:ind/>
              <w:contextualSpacing w:val="1"/>
              <w:jc w:val="center"/>
              <w:rPr>
                <w:sz w:val="22"/>
              </w:rPr>
            </w:pPr>
            <w:r>
              <w:rPr>
                <w:sz w:val="22"/>
              </w:rPr>
              <w:t>дополнительное соглашение № 5 к договору № 162 от 17.12.2014 от 29.06.2018</w:t>
            </w:r>
          </w:p>
        </w:tc>
        <w:tc>
          <w:tcPr>
            <w:tcW w:type="dxa" w:w="1427"/>
            <w:tcBorders>
              <w:top w:sz="4" w:val="nil"/>
              <w:left w:sz="4" w:val="nil"/>
              <w:bottom w:color="000000" w:sz="4" w:val="single"/>
              <w:right w:color="000000" w:sz="4" w:val="single"/>
            </w:tcBorders>
            <w:shd w:fill="FFFFFF" w:val="clear"/>
            <w:vAlign w:val="center"/>
          </w:tcPr>
          <w:p w14:paraId="2E2B0000">
            <w:pPr>
              <w:widowControl w:val="1"/>
              <w:ind/>
              <w:contextualSpacing w:val="1"/>
              <w:jc w:val="center"/>
              <w:rPr>
                <w:sz w:val="22"/>
              </w:rPr>
            </w:pPr>
            <w:r>
              <w:rPr>
                <w:sz w:val="22"/>
              </w:rPr>
              <w:t>29.06.2018</w:t>
            </w:r>
          </w:p>
        </w:tc>
        <w:tc>
          <w:tcPr>
            <w:tcW w:type="dxa" w:w="2258"/>
            <w:tcBorders>
              <w:top w:sz="4" w:val="nil"/>
              <w:left w:sz="4" w:val="nil"/>
              <w:bottom w:color="000000" w:sz="4" w:val="single"/>
              <w:right w:color="000000" w:sz="4" w:val="single"/>
            </w:tcBorders>
            <w:shd w:fill="FFFFFF" w:val="clear"/>
            <w:vAlign w:val="center"/>
          </w:tcPr>
          <w:p w14:paraId="2F2B0000">
            <w:pPr>
              <w:widowControl w:val="1"/>
              <w:ind/>
              <w:contextualSpacing w:val="1"/>
              <w:jc w:val="center"/>
              <w:rPr>
                <w:sz w:val="22"/>
              </w:rPr>
            </w:pPr>
            <w:r>
              <w:rPr>
                <w:sz w:val="22"/>
              </w:rPr>
              <w:t>ГП КК "Центр транспортной логистики"</w:t>
            </w:r>
          </w:p>
        </w:tc>
        <w:tc>
          <w:tcPr>
            <w:tcW w:type="dxa" w:w="2561"/>
            <w:tcBorders>
              <w:top w:sz="4" w:val="nil"/>
              <w:left w:sz="4" w:val="nil"/>
              <w:bottom w:color="000000" w:sz="4" w:val="single"/>
              <w:right w:color="000000" w:sz="4" w:val="single"/>
            </w:tcBorders>
            <w:shd w:fill="FFFFFF" w:val="clear"/>
            <w:vAlign w:val="center"/>
          </w:tcPr>
          <w:p w14:paraId="302B0000">
            <w:pPr>
              <w:widowControl w:val="1"/>
              <w:ind/>
              <w:contextualSpacing w:val="1"/>
              <w:jc w:val="center"/>
              <w:rPr>
                <w:color w:val="000000"/>
                <w:sz w:val="22"/>
              </w:rPr>
            </w:pPr>
            <w:r>
              <w:rPr>
                <w:color w:val="000000"/>
                <w:sz w:val="22"/>
              </w:rPr>
              <w:t>пролонгация договора аренды электропоездов, увеличение предельной цены договора</w:t>
            </w:r>
          </w:p>
        </w:tc>
        <w:tc>
          <w:tcPr>
            <w:tcW w:type="dxa" w:w="1416"/>
            <w:tcBorders>
              <w:top w:sz="4" w:val="nil"/>
              <w:left w:sz="4" w:val="nil"/>
              <w:bottom w:color="000000" w:sz="4" w:val="single"/>
              <w:right w:color="000000" w:sz="4" w:val="single"/>
            </w:tcBorders>
            <w:shd w:fill="FFFFFF" w:val="clear"/>
            <w:vAlign w:val="center"/>
          </w:tcPr>
          <w:p w14:paraId="312B0000">
            <w:pPr>
              <w:widowControl w:val="1"/>
              <w:ind/>
              <w:contextualSpacing w:val="1"/>
              <w:jc w:val="center"/>
              <w:rPr>
                <w:sz w:val="22"/>
              </w:rPr>
            </w:pPr>
            <w:r>
              <w:rPr>
                <w:sz w:val="22"/>
              </w:rPr>
              <w:t>01.07.2014-30.06.2019</w:t>
            </w:r>
          </w:p>
        </w:tc>
        <w:tc>
          <w:tcPr>
            <w:tcW w:type="dxa" w:w="1591"/>
            <w:tcBorders>
              <w:top w:sz="4" w:val="nil"/>
              <w:left w:sz="4" w:val="nil"/>
              <w:bottom w:color="000000" w:sz="4" w:val="single"/>
              <w:right w:color="000000" w:sz="4" w:val="single"/>
            </w:tcBorders>
            <w:shd w:fill="FFFFFF" w:val="clear"/>
            <w:vAlign w:val="center"/>
          </w:tcPr>
          <w:p w14:paraId="322B0000">
            <w:pPr>
              <w:widowControl w:val="1"/>
              <w:ind/>
              <w:contextualSpacing w:val="1"/>
              <w:jc w:val="center"/>
              <w:rPr>
                <w:sz w:val="22"/>
              </w:rPr>
            </w:pPr>
            <w:r>
              <w:rPr>
                <w:sz w:val="22"/>
              </w:rPr>
              <w:t>129024</w:t>
            </w:r>
          </w:p>
        </w:tc>
        <w:tc>
          <w:tcPr>
            <w:tcW w:type="dxa" w:w="2104"/>
            <w:tcBorders>
              <w:top w:sz="4" w:val="nil"/>
              <w:left w:sz="4" w:val="nil"/>
              <w:bottom w:color="000000" w:sz="4" w:val="single"/>
              <w:right w:color="000000" w:sz="4" w:val="single"/>
            </w:tcBorders>
            <w:shd w:fill="FFFFFF" w:val="clear"/>
            <w:vAlign w:val="center"/>
          </w:tcPr>
          <w:p w14:paraId="332B0000">
            <w:pPr>
              <w:widowControl w:val="1"/>
              <w:ind/>
              <w:contextualSpacing w:val="1"/>
              <w:jc w:val="center"/>
              <w:rPr>
                <w:sz w:val="22"/>
              </w:rPr>
            </w:pPr>
            <w:r>
              <w:rPr>
                <w:sz w:val="22"/>
              </w:rPr>
              <w:t>извещение о сделке направлено 01.06.2018г., требование об одобрении сделки не поступило</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342B0000">
            <w:pPr>
              <w:widowControl w:val="1"/>
              <w:ind/>
              <w:contextualSpacing w:val="1"/>
              <w:jc w:val="center"/>
              <w:rPr>
                <w:color w:val="000000"/>
                <w:sz w:val="22"/>
              </w:rPr>
            </w:pPr>
            <w:r>
              <w:rPr>
                <w:color w:val="000000"/>
                <w:sz w:val="22"/>
              </w:rPr>
              <w:t>45</w:t>
            </w:r>
          </w:p>
        </w:tc>
        <w:tc>
          <w:tcPr>
            <w:tcW w:type="dxa" w:w="2268"/>
            <w:tcBorders>
              <w:top w:sz="4" w:val="nil"/>
              <w:left w:sz="4" w:val="nil"/>
              <w:bottom w:color="000000" w:sz="4" w:val="single"/>
              <w:right w:color="000000" w:sz="4" w:val="single"/>
            </w:tcBorders>
            <w:shd w:fill="FFFFFF" w:val="clear"/>
            <w:vAlign w:val="center"/>
          </w:tcPr>
          <w:p w14:paraId="352B0000">
            <w:pPr>
              <w:widowControl w:val="1"/>
              <w:ind/>
              <w:contextualSpacing w:val="1"/>
              <w:jc w:val="center"/>
              <w:rPr>
                <w:sz w:val="22"/>
              </w:rPr>
            </w:pPr>
            <w:r>
              <w:rPr>
                <w:sz w:val="22"/>
              </w:rPr>
              <w:t>договор № 173-18/Ф/ЕНИС от 29.06.2018</w:t>
            </w:r>
          </w:p>
        </w:tc>
        <w:tc>
          <w:tcPr>
            <w:tcW w:type="dxa" w:w="1427"/>
            <w:tcBorders>
              <w:top w:sz="4" w:val="nil"/>
              <w:left w:sz="4" w:val="nil"/>
              <w:bottom w:color="000000" w:sz="4" w:val="single"/>
              <w:right w:color="000000" w:sz="4" w:val="single"/>
            </w:tcBorders>
            <w:shd w:fill="FFFFFF" w:val="clear"/>
            <w:vAlign w:val="center"/>
          </w:tcPr>
          <w:p w14:paraId="362B0000">
            <w:pPr>
              <w:widowControl w:val="1"/>
              <w:ind/>
              <w:contextualSpacing w:val="1"/>
              <w:jc w:val="center"/>
              <w:rPr>
                <w:sz w:val="22"/>
              </w:rPr>
            </w:pPr>
            <w:r>
              <w:rPr>
                <w:sz w:val="22"/>
              </w:rPr>
              <w:t>29.06.2018</w:t>
            </w:r>
          </w:p>
        </w:tc>
        <w:tc>
          <w:tcPr>
            <w:tcW w:type="dxa" w:w="2258"/>
            <w:tcBorders>
              <w:top w:sz="4" w:val="nil"/>
              <w:left w:sz="4" w:val="nil"/>
              <w:bottom w:color="000000" w:sz="4" w:val="single"/>
              <w:right w:color="000000" w:sz="4" w:val="single"/>
            </w:tcBorders>
            <w:shd w:fill="FFFFFF" w:val="clear"/>
            <w:vAlign w:val="center"/>
          </w:tcPr>
          <w:p w14:paraId="372B0000">
            <w:pPr>
              <w:widowControl w:val="1"/>
              <w:ind/>
              <w:contextualSpacing w:val="1"/>
              <w:jc w:val="center"/>
              <w:rPr>
                <w:sz w:val="22"/>
              </w:rPr>
            </w:pPr>
            <w:r>
              <w:rPr>
                <w:sz w:val="22"/>
              </w:rPr>
              <w:t>Енисейский филиал АО "ФПК"</w:t>
            </w:r>
          </w:p>
        </w:tc>
        <w:tc>
          <w:tcPr>
            <w:tcW w:type="dxa" w:w="2561"/>
            <w:tcBorders>
              <w:top w:sz="4" w:val="nil"/>
              <w:left w:sz="4" w:val="nil"/>
              <w:bottom w:color="000000" w:sz="4" w:val="single"/>
              <w:right w:color="000000" w:sz="4" w:val="single"/>
            </w:tcBorders>
            <w:shd w:fill="FFFFFF" w:val="clear"/>
            <w:vAlign w:val="center"/>
          </w:tcPr>
          <w:p w14:paraId="382B0000">
            <w:pPr>
              <w:widowControl w:val="1"/>
              <w:ind/>
              <w:contextualSpacing w:val="1"/>
              <w:jc w:val="center"/>
              <w:rPr>
                <w:sz w:val="22"/>
              </w:rPr>
            </w:pPr>
            <w:r>
              <w:rPr>
                <w:sz w:val="22"/>
              </w:rPr>
              <w:t>перевозка военнослужащих Минобороны России и членов их семей, прицепка в составы пригородных поездов АО "Краспригород", организация расчетов, связанных с перевозкой военнослужащих (вознаграждение АО ФПК 262,55 руб. с НДС)</w:t>
            </w:r>
          </w:p>
        </w:tc>
        <w:tc>
          <w:tcPr>
            <w:tcW w:type="dxa" w:w="1416"/>
            <w:tcBorders>
              <w:top w:sz="4" w:val="nil"/>
              <w:left w:sz="4" w:val="nil"/>
              <w:bottom w:color="000000" w:sz="4" w:val="single"/>
              <w:right w:color="000000" w:sz="4" w:val="single"/>
            </w:tcBorders>
            <w:shd w:fill="FFFFFF" w:val="clear"/>
            <w:vAlign w:val="center"/>
          </w:tcPr>
          <w:p w14:paraId="392B0000">
            <w:pPr>
              <w:widowControl w:val="1"/>
              <w:ind/>
              <w:contextualSpacing w:val="1"/>
              <w:jc w:val="center"/>
              <w:rPr>
                <w:sz w:val="22"/>
              </w:rPr>
            </w:pPr>
            <w:r>
              <w:rPr>
                <w:sz w:val="22"/>
              </w:rPr>
              <w:t>01.04.2018-28.02.2019</w:t>
            </w:r>
          </w:p>
        </w:tc>
        <w:tc>
          <w:tcPr>
            <w:tcW w:type="dxa" w:w="1591"/>
            <w:tcBorders>
              <w:top w:sz="4" w:val="nil"/>
              <w:left w:sz="4" w:val="nil"/>
              <w:bottom w:color="000000" w:sz="4" w:val="single"/>
              <w:right w:color="000000" w:sz="4" w:val="single"/>
            </w:tcBorders>
            <w:shd w:fill="FFFFFF" w:val="clear"/>
            <w:vAlign w:val="center"/>
          </w:tcPr>
          <w:p w14:paraId="3A2B0000">
            <w:pPr>
              <w:widowControl w:val="1"/>
              <w:ind/>
              <w:contextualSpacing w:val="1"/>
              <w:jc w:val="center"/>
              <w:rPr>
                <w:sz w:val="22"/>
              </w:rPr>
            </w:pPr>
            <w:r>
              <w:rPr>
                <w:sz w:val="22"/>
              </w:rPr>
              <w:t>138184</w:t>
            </w:r>
          </w:p>
        </w:tc>
        <w:tc>
          <w:tcPr>
            <w:tcW w:type="dxa" w:w="2104"/>
            <w:tcBorders>
              <w:top w:sz="4" w:val="nil"/>
              <w:left w:sz="4" w:val="nil"/>
              <w:bottom w:color="000000" w:sz="4" w:val="single"/>
              <w:right w:color="000000" w:sz="4" w:val="single"/>
            </w:tcBorders>
            <w:shd w:fill="FFFFFF" w:val="clear"/>
            <w:vAlign w:val="center"/>
          </w:tcPr>
          <w:p w14:paraId="3B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3C2B0000">
            <w:pPr>
              <w:widowControl w:val="1"/>
              <w:ind/>
              <w:contextualSpacing w:val="1"/>
              <w:jc w:val="center"/>
              <w:rPr>
                <w:color w:val="000000"/>
                <w:sz w:val="22"/>
              </w:rPr>
            </w:pPr>
            <w:r>
              <w:rPr>
                <w:color w:val="000000"/>
                <w:sz w:val="22"/>
              </w:rPr>
              <w:t>46</w:t>
            </w:r>
          </w:p>
        </w:tc>
        <w:tc>
          <w:tcPr>
            <w:tcW w:type="dxa" w:w="2268"/>
            <w:tcBorders>
              <w:top w:sz="4" w:val="nil"/>
              <w:left w:sz="4" w:val="nil"/>
              <w:bottom w:color="000000" w:sz="4" w:val="single"/>
              <w:right w:color="000000" w:sz="4" w:val="single"/>
            </w:tcBorders>
            <w:shd w:fill="FFFFFF" w:val="clear"/>
            <w:vAlign w:val="center"/>
          </w:tcPr>
          <w:p w14:paraId="3D2B0000">
            <w:pPr>
              <w:widowControl w:val="1"/>
              <w:ind/>
              <w:contextualSpacing w:val="1"/>
              <w:jc w:val="center"/>
              <w:rPr>
                <w:sz w:val="22"/>
              </w:rPr>
            </w:pPr>
            <w:r>
              <w:rPr>
                <w:sz w:val="22"/>
              </w:rPr>
              <w:t>соглашение № 2716682/ЮЗЭДО к договору № 2716682 от 29.12.2017г. От 01.07.2018</w:t>
            </w:r>
          </w:p>
        </w:tc>
        <w:tc>
          <w:tcPr>
            <w:tcW w:type="dxa" w:w="1427"/>
            <w:tcBorders>
              <w:top w:sz="4" w:val="nil"/>
              <w:left w:sz="4" w:val="nil"/>
              <w:bottom w:color="000000" w:sz="4" w:val="single"/>
              <w:right w:color="000000" w:sz="4" w:val="single"/>
            </w:tcBorders>
            <w:shd w:fill="FFFFFF" w:val="clear"/>
            <w:vAlign w:val="center"/>
          </w:tcPr>
          <w:p w14:paraId="3E2B0000">
            <w:pPr>
              <w:widowControl w:val="1"/>
              <w:ind/>
              <w:contextualSpacing w:val="1"/>
              <w:jc w:val="center"/>
              <w:rPr>
                <w:sz w:val="22"/>
              </w:rPr>
            </w:pPr>
            <w:r>
              <w:rPr>
                <w:sz w:val="22"/>
              </w:rPr>
              <w:t>01.07.2018</w:t>
            </w:r>
          </w:p>
        </w:tc>
        <w:tc>
          <w:tcPr>
            <w:tcW w:type="dxa" w:w="2258"/>
            <w:tcBorders>
              <w:top w:sz="4" w:val="nil"/>
              <w:left w:sz="4" w:val="nil"/>
              <w:bottom w:color="000000" w:sz="4" w:val="single"/>
              <w:right w:color="000000" w:sz="4" w:val="single"/>
            </w:tcBorders>
            <w:shd w:fill="FFFFFF" w:val="clear"/>
            <w:vAlign w:val="center"/>
          </w:tcPr>
          <w:p w14:paraId="3F2B0000">
            <w:pPr>
              <w:widowControl w:val="1"/>
              <w:ind/>
              <w:contextualSpacing w:val="1"/>
              <w:jc w:val="center"/>
              <w:rPr>
                <w:sz w:val="22"/>
              </w:rPr>
            </w:pPr>
            <w:r>
              <w:rPr>
                <w:sz w:val="22"/>
              </w:rPr>
              <w:t>ОАО "РЖД" Красноярский информационно-вычислительный центр</w:t>
            </w:r>
          </w:p>
        </w:tc>
        <w:tc>
          <w:tcPr>
            <w:tcW w:type="dxa" w:w="2561"/>
            <w:tcBorders>
              <w:top w:sz="4" w:val="nil"/>
              <w:left w:sz="4" w:val="nil"/>
              <w:bottom w:color="000000" w:sz="4" w:val="single"/>
              <w:right w:color="000000" w:sz="4" w:val="single"/>
            </w:tcBorders>
            <w:shd w:fill="FFFFFF" w:val="clear"/>
            <w:vAlign w:val="center"/>
          </w:tcPr>
          <w:p w14:paraId="402B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416"/>
            <w:tcBorders>
              <w:top w:sz="4" w:val="nil"/>
              <w:left w:sz="4" w:val="nil"/>
              <w:bottom w:color="000000" w:sz="4" w:val="single"/>
              <w:right w:color="000000" w:sz="4" w:val="single"/>
            </w:tcBorders>
            <w:shd w:fill="FFFFFF" w:val="clear"/>
            <w:vAlign w:val="center"/>
          </w:tcPr>
          <w:p w14:paraId="412B0000">
            <w:pPr>
              <w:widowControl w:val="1"/>
              <w:ind/>
              <w:contextualSpacing w:val="1"/>
              <w:jc w:val="center"/>
              <w:rPr>
                <w:sz w:val="22"/>
              </w:rPr>
            </w:pPr>
            <w:r>
              <w:rPr>
                <w:sz w:val="22"/>
              </w:rPr>
              <w:t>01.07.2018-31.01.2019</w:t>
            </w:r>
          </w:p>
        </w:tc>
        <w:tc>
          <w:tcPr>
            <w:tcW w:type="dxa" w:w="1591"/>
            <w:tcBorders>
              <w:top w:sz="4" w:val="nil"/>
              <w:left w:sz="4" w:val="nil"/>
              <w:bottom w:color="000000" w:sz="4" w:val="single"/>
              <w:right w:color="000000" w:sz="4" w:val="single"/>
            </w:tcBorders>
            <w:shd w:fill="auto" w:val="clear"/>
            <w:vAlign w:val="center"/>
          </w:tcPr>
          <w:p w14:paraId="422B0000">
            <w:pPr>
              <w:widowControl w:val="1"/>
              <w:ind/>
              <w:contextualSpacing w:val="1"/>
              <w:jc w:val="center"/>
              <w:rPr>
                <w:sz w:val="22"/>
              </w:rPr>
            </w:pPr>
            <w:r>
              <w:rPr>
                <w:sz w:val="22"/>
              </w:rPr>
              <w:t>210000</w:t>
            </w:r>
          </w:p>
        </w:tc>
        <w:tc>
          <w:tcPr>
            <w:tcW w:type="dxa" w:w="2104"/>
            <w:tcBorders>
              <w:top w:sz="4" w:val="nil"/>
              <w:left w:sz="4" w:val="nil"/>
              <w:bottom w:color="000000" w:sz="4" w:val="single"/>
              <w:right w:color="000000" w:sz="4" w:val="single"/>
            </w:tcBorders>
            <w:shd w:fill="FFFFFF" w:val="clear"/>
            <w:vAlign w:val="center"/>
          </w:tcPr>
          <w:p w14:paraId="43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442B0000">
            <w:pPr>
              <w:widowControl w:val="1"/>
              <w:ind/>
              <w:contextualSpacing w:val="1"/>
              <w:jc w:val="center"/>
              <w:rPr>
                <w:color w:val="000000"/>
                <w:sz w:val="22"/>
              </w:rPr>
            </w:pPr>
            <w:r>
              <w:rPr>
                <w:color w:val="000000"/>
                <w:sz w:val="22"/>
              </w:rPr>
              <w:t>47</w:t>
            </w:r>
          </w:p>
        </w:tc>
        <w:tc>
          <w:tcPr>
            <w:tcW w:type="dxa" w:w="2268"/>
            <w:tcBorders>
              <w:top w:sz="4" w:val="nil"/>
              <w:left w:sz="4" w:val="nil"/>
              <w:bottom w:color="000000" w:sz="4" w:val="single"/>
              <w:right w:color="000000" w:sz="4" w:val="single"/>
            </w:tcBorders>
            <w:shd w:fill="auto" w:val="clear"/>
            <w:vAlign w:val="center"/>
          </w:tcPr>
          <w:p w14:paraId="452B0000">
            <w:pPr>
              <w:widowControl w:val="1"/>
              <w:ind/>
              <w:contextualSpacing w:val="1"/>
              <w:jc w:val="center"/>
              <w:rPr>
                <w:sz w:val="22"/>
              </w:rPr>
            </w:pPr>
            <w:r>
              <w:rPr>
                <w:sz w:val="22"/>
              </w:rPr>
              <w:t>соглашение № 2752195/ЮЗЭДО к договору № 2752195 от 29.01.2018г. От 19.07.2018</w:t>
            </w:r>
          </w:p>
        </w:tc>
        <w:tc>
          <w:tcPr>
            <w:tcW w:type="dxa" w:w="1427"/>
            <w:tcBorders>
              <w:top w:sz="4" w:val="nil"/>
              <w:left w:sz="4" w:val="nil"/>
              <w:bottom w:color="000000" w:sz="4" w:val="single"/>
              <w:right w:color="000000" w:sz="4" w:val="single"/>
            </w:tcBorders>
            <w:shd w:fill="FFFFFF" w:val="clear"/>
            <w:vAlign w:val="center"/>
          </w:tcPr>
          <w:p w14:paraId="462B0000">
            <w:pPr>
              <w:widowControl w:val="1"/>
              <w:ind/>
              <w:contextualSpacing w:val="1"/>
              <w:jc w:val="center"/>
              <w:rPr>
                <w:sz w:val="22"/>
              </w:rPr>
            </w:pPr>
            <w:r>
              <w:rPr>
                <w:sz w:val="22"/>
              </w:rPr>
              <w:t>19.07.2018</w:t>
            </w:r>
          </w:p>
        </w:tc>
        <w:tc>
          <w:tcPr>
            <w:tcW w:type="dxa" w:w="2258"/>
            <w:tcBorders>
              <w:top w:sz="4" w:val="nil"/>
              <w:left w:sz="4" w:val="nil"/>
              <w:bottom w:color="000000" w:sz="4" w:val="single"/>
              <w:right w:color="000000" w:sz="4" w:val="single"/>
            </w:tcBorders>
            <w:shd w:fill="auto" w:val="clear"/>
            <w:vAlign w:val="center"/>
          </w:tcPr>
          <w:p w14:paraId="472B0000">
            <w:pPr>
              <w:widowControl w:val="1"/>
              <w:ind/>
              <w:contextualSpacing w:val="1"/>
              <w:jc w:val="center"/>
              <w:rPr>
                <w:sz w:val="22"/>
              </w:rPr>
            </w:pPr>
            <w:r>
              <w:rPr>
                <w:sz w:val="22"/>
              </w:rPr>
              <w:t>ОАО "РЖД" Красноярский информационно-вычислительный центр</w:t>
            </w:r>
          </w:p>
        </w:tc>
        <w:tc>
          <w:tcPr>
            <w:tcW w:type="dxa" w:w="2561"/>
            <w:tcBorders>
              <w:top w:sz="4" w:val="nil"/>
              <w:left w:sz="4" w:val="nil"/>
              <w:bottom w:color="000000" w:sz="4" w:val="single"/>
              <w:right w:color="000000" w:sz="4" w:val="single"/>
            </w:tcBorders>
            <w:shd w:fill="FFFFFF" w:val="clear"/>
            <w:vAlign w:val="center"/>
          </w:tcPr>
          <w:p w14:paraId="482B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416"/>
            <w:tcBorders>
              <w:top w:sz="4" w:val="nil"/>
              <w:left w:sz="4" w:val="nil"/>
              <w:bottom w:color="000000" w:sz="4" w:val="single"/>
              <w:right w:color="000000" w:sz="4" w:val="single"/>
            </w:tcBorders>
            <w:shd w:fill="auto" w:val="clear"/>
            <w:vAlign w:val="center"/>
          </w:tcPr>
          <w:p w14:paraId="492B0000">
            <w:pPr>
              <w:widowControl w:val="1"/>
              <w:ind/>
              <w:contextualSpacing w:val="1"/>
              <w:jc w:val="center"/>
              <w:rPr>
                <w:sz w:val="22"/>
              </w:rPr>
            </w:pPr>
            <w:r>
              <w:rPr>
                <w:sz w:val="22"/>
              </w:rPr>
              <w:t>19.07.2018-31.12.2018</w:t>
            </w:r>
          </w:p>
        </w:tc>
        <w:tc>
          <w:tcPr>
            <w:tcW w:type="dxa" w:w="1591"/>
            <w:tcBorders>
              <w:top w:sz="4" w:val="nil"/>
              <w:left w:sz="4" w:val="nil"/>
              <w:bottom w:color="000000" w:sz="4" w:val="single"/>
              <w:right w:color="000000" w:sz="4" w:val="single"/>
            </w:tcBorders>
            <w:shd w:fill="auto" w:val="clear"/>
            <w:vAlign w:val="center"/>
          </w:tcPr>
          <w:p w14:paraId="4A2B0000">
            <w:pPr>
              <w:widowControl w:val="1"/>
              <w:ind/>
              <w:contextualSpacing w:val="1"/>
              <w:jc w:val="center"/>
              <w:rPr>
                <w:sz w:val="22"/>
              </w:rPr>
            </w:pPr>
          </w:p>
        </w:tc>
        <w:tc>
          <w:tcPr>
            <w:tcW w:type="dxa" w:w="2104"/>
            <w:tcBorders>
              <w:top w:sz="4" w:val="nil"/>
              <w:left w:sz="4" w:val="nil"/>
              <w:bottom w:color="000000" w:sz="4" w:val="single"/>
              <w:right w:color="000000" w:sz="4" w:val="single"/>
            </w:tcBorders>
            <w:shd w:fill="FFFFFF" w:val="clear"/>
            <w:vAlign w:val="center"/>
          </w:tcPr>
          <w:p w14:paraId="4B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4C2B0000">
            <w:pPr>
              <w:widowControl w:val="1"/>
              <w:ind/>
              <w:contextualSpacing w:val="1"/>
              <w:jc w:val="center"/>
              <w:rPr>
                <w:color w:val="000000"/>
                <w:sz w:val="22"/>
              </w:rPr>
            </w:pPr>
            <w:r>
              <w:rPr>
                <w:color w:val="000000"/>
                <w:sz w:val="22"/>
              </w:rPr>
              <w:t>48</w:t>
            </w:r>
          </w:p>
        </w:tc>
        <w:tc>
          <w:tcPr>
            <w:tcW w:type="dxa" w:w="2268"/>
            <w:tcBorders>
              <w:top w:sz="4" w:val="nil"/>
              <w:left w:sz="4" w:val="nil"/>
              <w:bottom w:color="000000" w:sz="4" w:val="single"/>
              <w:right w:color="000000" w:sz="4" w:val="single"/>
            </w:tcBorders>
            <w:shd w:fill="FFFFFF" w:val="clear"/>
            <w:vAlign w:val="center"/>
          </w:tcPr>
          <w:p w14:paraId="4D2B0000">
            <w:pPr>
              <w:widowControl w:val="1"/>
              <w:ind/>
              <w:contextualSpacing w:val="1"/>
              <w:jc w:val="center"/>
              <w:rPr>
                <w:sz w:val="22"/>
              </w:rPr>
            </w:pPr>
            <w:r>
              <w:rPr>
                <w:sz w:val="22"/>
              </w:rPr>
              <w:t>дополнительное соглашение № 1/173-18(1)/Ф(Енис)  к договору № 173-18/Ф(Енис) от 29.06.2018 от 27.07.2018</w:t>
            </w:r>
          </w:p>
        </w:tc>
        <w:tc>
          <w:tcPr>
            <w:tcW w:type="dxa" w:w="1427"/>
            <w:tcBorders>
              <w:top w:sz="4" w:val="nil"/>
              <w:left w:sz="4" w:val="nil"/>
              <w:bottom w:color="000000" w:sz="4" w:val="single"/>
              <w:right w:color="000000" w:sz="4" w:val="single"/>
            </w:tcBorders>
            <w:shd w:fill="FFFFFF" w:val="clear"/>
            <w:vAlign w:val="center"/>
          </w:tcPr>
          <w:p w14:paraId="4E2B0000">
            <w:pPr>
              <w:widowControl w:val="1"/>
              <w:ind/>
              <w:contextualSpacing w:val="1"/>
              <w:jc w:val="center"/>
              <w:rPr>
                <w:sz w:val="22"/>
              </w:rPr>
            </w:pPr>
            <w:r>
              <w:rPr>
                <w:sz w:val="22"/>
              </w:rPr>
              <w:t>27.07.2018</w:t>
            </w:r>
          </w:p>
        </w:tc>
        <w:tc>
          <w:tcPr>
            <w:tcW w:type="dxa" w:w="2258"/>
            <w:tcBorders>
              <w:top w:sz="4" w:val="nil"/>
              <w:left w:sz="4" w:val="nil"/>
              <w:bottom w:color="000000" w:sz="4" w:val="single"/>
              <w:right w:color="000000" w:sz="4" w:val="single"/>
            </w:tcBorders>
            <w:shd w:fill="auto" w:val="clear"/>
            <w:vAlign w:val="center"/>
          </w:tcPr>
          <w:p w14:paraId="4F2B0000">
            <w:pPr>
              <w:widowControl w:val="1"/>
              <w:ind/>
              <w:contextualSpacing w:val="1"/>
              <w:jc w:val="center"/>
              <w:rPr>
                <w:sz w:val="22"/>
              </w:rPr>
            </w:pPr>
            <w:r>
              <w:rPr>
                <w:sz w:val="22"/>
              </w:rPr>
              <w:t>Енисейский филиал АО "ФПК"</w:t>
            </w:r>
          </w:p>
        </w:tc>
        <w:tc>
          <w:tcPr>
            <w:tcW w:type="dxa" w:w="2561"/>
            <w:tcBorders>
              <w:top w:sz="4" w:val="nil"/>
              <w:left w:sz="4" w:val="nil"/>
              <w:bottom w:color="000000" w:sz="4" w:val="single"/>
              <w:right w:color="000000" w:sz="4" w:val="single"/>
            </w:tcBorders>
            <w:shd w:fill="FFFFFF" w:val="clear"/>
            <w:vAlign w:val="center"/>
          </w:tcPr>
          <w:p w14:paraId="502B0000">
            <w:pPr>
              <w:widowControl w:val="1"/>
              <w:ind/>
              <w:contextualSpacing w:val="1"/>
              <w:jc w:val="center"/>
              <w:rPr>
                <w:sz w:val="22"/>
              </w:rPr>
            </w:pPr>
            <w:r>
              <w:rPr>
                <w:sz w:val="22"/>
              </w:rPr>
              <w:t>внесение изменений относительно порядка оплаты по договору на перевозку военнослужащих МО РФ</w:t>
            </w:r>
          </w:p>
        </w:tc>
        <w:tc>
          <w:tcPr>
            <w:tcW w:type="dxa" w:w="1416"/>
            <w:tcBorders>
              <w:top w:sz="4" w:val="nil"/>
              <w:left w:sz="4" w:val="nil"/>
              <w:bottom w:color="000000" w:sz="4" w:val="single"/>
              <w:right w:color="000000" w:sz="4" w:val="single"/>
            </w:tcBorders>
            <w:shd w:fill="FFFFFF" w:val="clear"/>
            <w:vAlign w:val="center"/>
          </w:tcPr>
          <w:p w14:paraId="512B0000">
            <w:pPr>
              <w:widowControl w:val="1"/>
              <w:ind/>
              <w:contextualSpacing w:val="1"/>
              <w:jc w:val="center"/>
              <w:rPr>
                <w:sz w:val="22"/>
              </w:rPr>
            </w:pPr>
            <w:r>
              <w:rPr>
                <w:sz w:val="22"/>
              </w:rPr>
              <w:t>04.07.2018-28.02.2019</w:t>
            </w:r>
          </w:p>
        </w:tc>
        <w:tc>
          <w:tcPr>
            <w:tcW w:type="dxa" w:w="1591"/>
            <w:tcBorders>
              <w:top w:sz="4" w:val="nil"/>
              <w:left w:sz="4" w:val="nil"/>
              <w:bottom w:color="000000" w:sz="4" w:val="single"/>
              <w:right w:color="000000" w:sz="4" w:val="single"/>
            </w:tcBorders>
            <w:shd w:fill="FFFFFF" w:val="clear"/>
            <w:vAlign w:val="center"/>
          </w:tcPr>
          <w:p w14:paraId="522B0000">
            <w:pPr>
              <w:widowControl w:val="1"/>
              <w:ind/>
              <w:contextualSpacing w:val="1"/>
              <w:jc w:val="center"/>
              <w:rPr>
                <w:sz w:val="22"/>
              </w:rPr>
            </w:pPr>
            <w:r>
              <w:rPr>
                <w:sz w:val="22"/>
              </w:rPr>
              <w:t>138184</w:t>
            </w:r>
          </w:p>
        </w:tc>
        <w:tc>
          <w:tcPr>
            <w:tcW w:type="dxa" w:w="2104"/>
            <w:tcBorders>
              <w:top w:sz="4" w:val="nil"/>
              <w:left w:sz="4" w:val="nil"/>
              <w:bottom w:color="000000" w:sz="4" w:val="single"/>
              <w:right w:color="000000" w:sz="4" w:val="single"/>
            </w:tcBorders>
            <w:shd w:fill="FFFFFF" w:val="clear"/>
            <w:vAlign w:val="center"/>
          </w:tcPr>
          <w:p w14:paraId="53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542B0000">
            <w:pPr>
              <w:widowControl w:val="1"/>
              <w:ind/>
              <w:contextualSpacing w:val="1"/>
              <w:jc w:val="center"/>
              <w:rPr>
                <w:color w:val="000000"/>
                <w:sz w:val="22"/>
              </w:rPr>
            </w:pPr>
            <w:r>
              <w:rPr>
                <w:color w:val="000000"/>
                <w:sz w:val="22"/>
              </w:rPr>
              <w:t>49</w:t>
            </w:r>
          </w:p>
        </w:tc>
        <w:tc>
          <w:tcPr>
            <w:tcW w:type="dxa" w:w="2268"/>
            <w:tcBorders>
              <w:top w:sz="4" w:val="nil"/>
              <w:left w:sz="4" w:val="nil"/>
              <w:bottom w:color="000000" w:sz="4" w:val="single"/>
              <w:right w:color="000000" w:sz="4" w:val="single"/>
            </w:tcBorders>
            <w:shd w:fill="FFFFFF" w:val="clear"/>
            <w:vAlign w:val="center"/>
          </w:tcPr>
          <w:p w14:paraId="552B0000">
            <w:pPr>
              <w:widowControl w:val="1"/>
              <w:ind/>
              <w:contextualSpacing w:val="1"/>
              <w:jc w:val="center"/>
              <w:rPr>
                <w:sz w:val="22"/>
              </w:rPr>
            </w:pPr>
            <w:r>
              <w:rPr>
                <w:sz w:val="22"/>
              </w:rPr>
              <w:t>дополнительное соглашение № 5 к договору № 1773517 от 26.01.2016 от 31.07.2018</w:t>
            </w:r>
          </w:p>
        </w:tc>
        <w:tc>
          <w:tcPr>
            <w:tcW w:type="dxa" w:w="1427"/>
            <w:tcBorders>
              <w:top w:sz="4" w:val="nil"/>
              <w:left w:sz="4" w:val="nil"/>
              <w:bottom w:color="000000" w:sz="4" w:val="single"/>
              <w:right w:color="000000" w:sz="4" w:val="single"/>
            </w:tcBorders>
            <w:shd w:fill="FFFFFF" w:val="clear"/>
            <w:vAlign w:val="center"/>
          </w:tcPr>
          <w:p w14:paraId="562B0000">
            <w:pPr>
              <w:widowControl w:val="1"/>
              <w:ind/>
              <w:contextualSpacing w:val="1"/>
              <w:jc w:val="center"/>
              <w:rPr>
                <w:sz w:val="22"/>
              </w:rPr>
            </w:pPr>
            <w:r>
              <w:rPr>
                <w:sz w:val="22"/>
              </w:rPr>
              <w:t>31.07.2018</w:t>
            </w:r>
          </w:p>
        </w:tc>
        <w:tc>
          <w:tcPr>
            <w:tcW w:type="dxa" w:w="2258"/>
            <w:tcBorders>
              <w:top w:sz="4" w:val="nil"/>
              <w:left w:sz="4" w:val="nil"/>
              <w:bottom w:color="000000" w:sz="4" w:val="single"/>
              <w:right w:color="000000" w:sz="4" w:val="single"/>
            </w:tcBorders>
            <w:shd w:fill="auto" w:val="clear"/>
            <w:vAlign w:val="center"/>
          </w:tcPr>
          <w:p w14:paraId="572B0000">
            <w:pPr>
              <w:widowControl w:val="1"/>
              <w:ind/>
              <w:contextualSpacing w:val="1"/>
              <w:jc w:val="center"/>
              <w:rPr>
                <w:sz w:val="22"/>
              </w:rPr>
            </w:pPr>
            <w:r>
              <w:rPr>
                <w:sz w:val="22"/>
              </w:rPr>
              <w:t>ОАО "РЖД" Красноярская дирекция инфраструктуры</w:t>
            </w:r>
          </w:p>
        </w:tc>
        <w:tc>
          <w:tcPr>
            <w:tcW w:type="dxa" w:w="2561"/>
            <w:tcBorders>
              <w:top w:sz="4" w:val="nil"/>
              <w:left w:sz="4" w:val="nil"/>
              <w:bottom w:color="000000" w:sz="4" w:val="single"/>
              <w:right w:color="000000" w:sz="4" w:val="single"/>
            </w:tcBorders>
            <w:shd w:fill="FFFFFF" w:val="clear"/>
            <w:vAlign w:val="center"/>
          </w:tcPr>
          <w:p w14:paraId="582B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416"/>
            <w:tcBorders>
              <w:top w:sz="4" w:val="nil"/>
              <w:left w:sz="4" w:val="nil"/>
              <w:bottom w:color="000000" w:sz="4" w:val="single"/>
              <w:right w:color="000000" w:sz="4" w:val="single"/>
            </w:tcBorders>
            <w:shd w:fill="FFFFFF" w:val="clear"/>
            <w:vAlign w:val="center"/>
          </w:tcPr>
          <w:p w14:paraId="592B0000">
            <w:pPr>
              <w:widowControl w:val="1"/>
              <w:ind/>
              <w:contextualSpacing w:val="1"/>
              <w:jc w:val="center"/>
              <w:rPr>
                <w:sz w:val="22"/>
              </w:rPr>
            </w:pPr>
            <w:r>
              <w:rPr>
                <w:sz w:val="22"/>
              </w:rPr>
              <w:t>31.07.2018-31.12.2018</w:t>
            </w:r>
          </w:p>
        </w:tc>
        <w:tc>
          <w:tcPr>
            <w:tcW w:type="dxa" w:w="1591"/>
            <w:tcBorders>
              <w:top w:sz="4" w:val="nil"/>
              <w:left w:sz="4" w:val="nil"/>
              <w:bottom w:color="000000" w:sz="4" w:val="single"/>
              <w:right w:color="000000" w:sz="4" w:val="single"/>
            </w:tcBorders>
            <w:shd w:fill="FFFFFF" w:val="clear"/>
            <w:vAlign w:val="center"/>
          </w:tcPr>
          <w:p w14:paraId="5A2B0000">
            <w:pPr>
              <w:widowControl w:val="1"/>
              <w:ind/>
              <w:contextualSpacing w:val="1"/>
              <w:jc w:val="center"/>
              <w:rPr>
                <w:sz w:val="22"/>
              </w:rPr>
            </w:pPr>
            <w:r>
              <w:rPr>
                <w:sz w:val="22"/>
              </w:rPr>
              <w:t>41473524,01</w:t>
            </w:r>
          </w:p>
        </w:tc>
        <w:tc>
          <w:tcPr>
            <w:tcW w:type="dxa" w:w="2104"/>
            <w:tcBorders>
              <w:top w:sz="4" w:val="nil"/>
              <w:left w:sz="4" w:val="nil"/>
              <w:bottom w:color="000000" w:sz="4" w:val="single"/>
              <w:right w:color="000000" w:sz="4" w:val="single"/>
            </w:tcBorders>
            <w:shd w:fill="FFFFFF" w:val="clear"/>
            <w:vAlign w:val="center"/>
          </w:tcPr>
          <w:p w14:paraId="5B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5C2B0000">
            <w:pPr>
              <w:widowControl w:val="1"/>
              <w:ind/>
              <w:contextualSpacing w:val="1"/>
              <w:jc w:val="center"/>
              <w:rPr>
                <w:color w:val="000000"/>
                <w:sz w:val="22"/>
              </w:rPr>
            </w:pPr>
            <w:r>
              <w:rPr>
                <w:color w:val="000000"/>
                <w:sz w:val="22"/>
              </w:rPr>
              <w:t>50</w:t>
            </w:r>
          </w:p>
        </w:tc>
        <w:tc>
          <w:tcPr>
            <w:tcW w:type="dxa" w:w="2268"/>
            <w:tcBorders>
              <w:top w:sz="4" w:val="nil"/>
              <w:left w:sz="4" w:val="nil"/>
              <w:bottom w:color="000000" w:sz="4" w:val="single"/>
              <w:right w:color="000000" w:sz="4" w:val="single"/>
            </w:tcBorders>
            <w:shd w:fill="FFFFFF" w:val="clear"/>
            <w:vAlign w:val="center"/>
          </w:tcPr>
          <w:p w14:paraId="5D2B0000">
            <w:pPr>
              <w:widowControl w:val="1"/>
              <w:ind/>
              <w:contextualSpacing w:val="1"/>
              <w:jc w:val="center"/>
              <w:rPr>
                <w:sz w:val="22"/>
              </w:rPr>
            </w:pPr>
            <w:r>
              <w:rPr>
                <w:sz w:val="22"/>
              </w:rPr>
              <w:t>дополнительное соглашение № 1 к договору № 2801152 от 27.02.2018 от 06.08.2018</w:t>
            </w:r>
          </w:p>
        </w:tc>
        <w:tc>
          <w:tcPr>
            <w:tcW w:type="dxa" w:w="1427"/>
            <w:tcBorders>
              <w:top w:sz="4" w:val="nil"/>
              <w:left w:sz="4" w:val="nil"/>
              <w:bottom w:color="000000" w:sz="4" w:val="single"/>
              <w:right w:color="000000" w:sz="4" w:val="single"/>
            </w:tcBorders>
            <w:shd w:fill="FFFFFF" w:val="clear"/>
            <w:vAlign w:val="center"/>
          </w:tcPr>
          <w:p w14:paraId="5E2B0000">
            <w:pPr>
              <w:widowControl w:val="1"/>
              <w:ind/>
              <w:contextualSpacing w:val="1"/>
              <w:jc w:val="center"/>
              <w:rPr>
                <w:sz w:val="22"/>
              </w:rPr>
            </w:pPr>
            <w:r>
              <w:rPr>
                <w:sz w:val="22"/>
              </w:rPr>
              <w:t>06.08.2018</w:t>
            </w:r>
          </w:p>
        </w:tc>
        <w:tc>
          <w:tcPr>
            <w:tcW w:type="dxa" w:w="2258"/>
            <w:tcBorders>
              <w:top w:sz="4" w:val="nil"/>
              <w:left w:sz="4" w:val="nil"/>
              <w:bottom w:color="000000" w:sz="4" w:val="single"/>
              <w:right w:color="000000" w:sz="4" w:val="single"/>
            </w:tcBorders>
            <w:shd w:fill="FFFFFF" w:val="clear"/>
            <w:vAlign w:val="center"/>
          </w:tcPr>
          <w:p w14:paraId="5F2B0000">
            <w:pPr>
              <w:widowControl w:val="1"/>
              <w:ind/>
              <w:contextualSpacing w:val="1"/>
              <w:jc w:val="center"/>
              <w:rPr>
                <w:sz w:val="22"/>
              </w:rPr>
            </w:pPr>
            <w:r>
              <w:rPr>
                <w:sz w:val="22"/>
              </w:rPr>
              <w:t>ОАО "РЖД" Красноярский региональный общий центр обслуживания</w:t>
            </w:r>
          </w:p>
        </w:tc>
        <w:tc>
          <w:tcPr>
            <w:tcW w:type="dxa" w:w="2561"/>
            <w:tcBorders>
              <w:top w:sz="4" w:val="nil"/>
              <w:left w:sz="4" w:val="nil"/>
              <w:bottom w:color="000000" w:sz="4" w:val="single"/>
              <w:right w:color="000000" w:sz="4" w:val="single"/>
            </w:tcBorders>
            <w:shd w:fill="FFFFFF" w:val="clear"/>
            <w:vAlign w:val="center"/>
          </w:tcPr>
          <w:p w14:paraId="602B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416"/>
            <w:tcBorders>
              <w:top w:sz="4" w:val="nil"/>
              <w:left w:sz="4" w:val="nil"/>
              <w:bottom w:color="000000" w:sz="4" w:val="single"/>
              <w:right w:color="000000" w:sz="4" w:val="single"/>
            </w:tcBorders>
            <w:shd w:fill="FFFFFF" w:val="clear"/>
            <w:vAlign w:val="center"/>
          </w:tcPr>
          <w:p w14:paraId="612B0000">
            <w:pPr>
              <w:widowControl w:val="1"/>
              <w:ind/>
              <w:contextualSpacing w:val="1"/>
              <w:jc w:val="center"/>
              <w:rPr>
                <w:sz w:val="22"/>
              </w:rPr>
            </w:pPr>
            <w:r>
              <w:rPr>
                <w:sz w:val="22"/>
              </w:rPr>
              <w:t>06.08.2018-28.02.2019</w:t>
            </w:r>
          </w:p>
        </w:tc>
        <w:tc>
          <w:tcPr>
            <w:tcW w:type="dxa" w:w="1591"/>
            <w:tcBorders>
              <w:top w:sz="4" w:val="nil"/>
              <w:left w:sz="4" w:val="nil"/>
              <w:bottom w:color="000000" w:sz="4" w:val="single"/>
              <w:right w:color="000000" w:sz="4" w:val="single"/>
            </w:tcBorders>
            <w:shd w:fill="auto" w:val="clear"/>
            <w:vAlign w:val="center"/>
          </w:tcPr>
          <w:p w14:paraId="622B0000">
            <w:pPr>
              <w:widowControl w:val="1"/>
              <w:ind/>
              <w:contextualSpacing w:val="1"/>
              <w:jc w:val="center"/>
              <w:rPr>
                <w:sz w:val="22"/>
              </w:rPr>
            </w:pPr>
            <w:r>
              <w:rPr>
                <w:sz w:val="22"/>
              </w:rPr>
              <w:t>317000</w:t>
            </w:r>
          </w:p>
        </w:tc>
        <w:tc>
          <w:tcPr>
            <w:tcW w:type="dxa" w:w="2104"/>
            <w:tcBorders>
              <w:top w:sz="4" w:val="nil"/>
              <w:left w:sz="4" w:val="nil"/>
              <w:bottom w:color="000000" w:sz="4" w:val="single"/>
              <w:right w:color="000000" w:sz="4" w:val="single"/>
            </w:tcBorders>
            <w:shd w:fill="FFFFFF" w:val="clear"/>
            <w:vAlign w:val="center"/>
          </w:tcPr>
          <w:p w14:paraId="63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10"/>
        </w:trPr>
        <w:tc>
          <w:tcPr>
            <w:tcW w:type="dxa" w:w="730"/>
            <w:tcBorders>
              <w:top w:sz="4" w:val="nil"/>
              <w:left w:color="000000" w:sz="4" w:val="single"/>
              <w:bottom w:color="000000" w:sz="4" w:val="single"/>
              <w:right w:color="000000" w:sz="4" w:val="single"/>
            </w:tcBorders>
            <w:shd w:fill="auto" w:val="clear"/>
            <w:vAlign w:val="center"/>
          </w:tcPr>
          <w:p w14:paraId="642B0000">
            <w:pPr>
              <w:widowControl w:val="1"/>
              <w:ind/>
              <w:contextualSpacing w:val="1"/>
              <w:jc w:val="center"/>
              <w:rPr>
                <w:color w:val="000000"/>
                <w:sz w:val="22"/>
              </w:rPr>
            </w:pPr>
            <w:r>
              <w:rPr>
                <w:color w:val="000000"/>
                <w:sz w:val="22"/>
              </w:rPr>
              <w:t>51</w:t>
            </w:r>
          </w:p>
        </w:tc>
        <w:tc>
          <w:tcPr>
            <w:tcW w:type="dxa" w:w="2268"/>
            <w:tcBorders>
              <w:top w:sz="4" w:val="nil"/>
              <w:left w:sz="4" w:val="nil"/>
              <w:bottom w:color="000000" w:sz="4" w:val="single"/>
              <w:right w:color="000000" w:sz="4" w:val="single"/>
            </w:tcBorders>
            <w:shd w:fill="auto" w:val="clear"/>
            <w:vAlign w:val="center"/>
          </w:tcPr>
          <w:p w14:paraId="652B0000">
            <w:pPr>
              <w:widowControl w:val="1"/>
              <w:ind/>
              <w:contextualSpacing w:val="1"/>
              <w:jc w:val="center"/>
              <w:rPr>
                <w:sz w:val="22"/>
              </w:rPr>
            </w:pPr>
            <w:r>
              <w:rPr>
                <w:sz w:val="22"/>
              </w:rPr>
              <w:t>дополнительное соглашение № 2 к договору № 2710860 от 29.12.2017 от 24.08.2018</w:t>
            </w:r>
          </w:p>
        </w:tc>
        <w:tc>
          <w:tcPr>
            <w:tcW w:type="dxa" w:w="1427"/>
            <w:tcBorders>
              <w:top w:sz="4" w:val="nil"/>
              <w:left w:sz="4" w:val="nil"/>
              <w:bottom w:color="000000" w:sz="4" w:val="single"/>
              <w:right w:color="000000" w:sz="4" w:val="single"/>
            </w:tcBorders>
            <w:shd w:fill="auto" w:val="clear"/>
            <w:vAlign w:val="center"/>
          </w:tcPr>
          <w:p w14:paraId="662B0000">
            <w:pPr>
              <w:widowControl w:val="1"/>
              <w:ind/>
              <w:contextualSpacing w:val="1"/>
              <w:jc w:val="center"/>
              <w:rPr>
                <w:sz w:val="22"/>
              </w:rPr>
            </w:pPr>
            <w:r>
              <w:rPr>
                <w:sz w:val="22"/>
              </w:rPr>
              <w:t>24.08.2018</w:t>
            </w:r>
          </w:p>
        </w:tc>
        <w:tc>
          <w:tcPr>
            <w:tcW w:type="dxa" w:w="2258"/>
            <w:tcBorders>
              <w:top w:sz="4" w:val="nil"/>
              <w:left w:sz="4" w:val="nil"/>
              <w:bottom w:color="000000" w:sz="4" w:val="single"/>
              <w:right w:color="000000" w:sz="4" w:val="single"/>
            </w:tcBorders>
            <w:shd w:fill="auto" w:val="clear"/>
            <w:vAlign w:val="center"/>
          </w:tcPr>
          <w:p w14:paraId="672B0000">
            <w:pPr>
              <w:widowControl w:val="1"/>
              <w:ind/>
              <w:contextualSpacing w:val="1"/>
              <w:jc w:val="center"/>
              <w:rPr>
                <w:sz w:val="22"/>
              </w:rPr>
            </w:pPr>
            <w:r>
              <w:rPr>
                <w:sz w:val="22"/>
              </w:rPr>
              <w:t>ОАО "РЖД" Красноярской дирекции управления движением</w:t>
            </w:r>
          </w:p>
        </w:tc>
        <w:tc>
          <w:tcPr>
            <w:tcW w:type="dxa" w:w="2561"/>
            <w:tcBorders>
              <w:top w:sz="4" w:val="nil"/>
              <w:left w:sz="4" w:val="nil"/>
              <w:bottom w:color="000000" w:sz="4" w:val="single"/>
              <w:right w:color="000000" w:sz="4" w:val="single"/>
            </w:tcBorders>
            <w:shd w:fill="FFFFFF" w:val="clear"/>
            <w:vAlign w:val="center"/>
          </w:tcPr>
          <w:p w14:paraId="682B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416"/>
            <w:tcBorders>
              <w:top w:sz="4" w:val="nil"/>
              <w:left w:sz="4" w:val="nil"/>
              <w:bottom w:color="000000" w:sz="4" w:val="single"/>
              <w:right w:color="000000" w:sz="4" w:val="single"/>
            </w:tcBorders>
            <w:shd w:fill="auto" w:val="clear"/>
            <w:vAlign w:val="center"/>
          </w:tcPr>
          <w:p w14:paraId="692B0000">
            <w:pPr>
              <w:widowControl w:val="1"/>
              <w:ind/>
              <w:contextualSpacing w:val="1"/>
              <w:jc w:val="center"/>
              <w:rPr>
                <w:sz w:val="22"/>
              </w:rPr>
            </w:pPr>
            <w:r>
              <w:rPr>
                <w:sz w:val="22"/>
              </w:rPr>
              <w:t>24.08.2018-31.12.2018</w:t>
            </w:r>
          </w:p>
        </w:tc>
        <w:tc>
          <w:tcPr>
            <w:tcW w:type="dxa" w:w="1591"/>
            <w:tcBorders>
              <w:top w:sz="4" w:val="nil"/>
              <w:left w:sz="4" w:val="nil"/>
              <w:bottom w:color="000000" w:sz="4" w:val="single"/>
              <w:right w:color="000000" w:sz="4" w:val="single"/>
            </w:tcBorders>
            <w:shd w:fill="auto" w:val="clear"/>
            <w:vAlign w:val="center"/>
          </w:tcPr>
          <w:p w14:paraId="6A2B0000">
            <w:pPr>
              <w:widowControl w:val="1"/>
              <w:ind/>
              <w:contextualSpacing w:val="1"/>
              <w:jc w:val="center"/>
              <w:rPr>
                <w:sz w:val="22"/>
              </w:rPr>
            </w:pPr>
            <w:r>
              <w:rPr>
                <w:sz w:val="22"/>
              </w:rPr>
              <w:t>3642461,78</w:t>
            </w:r>
          </w:p>
        </w:tc>
        <w:tc>
          <w:tcPr>
            <w:tcW w:type="dxa" w:w="2104"/>
            <w:tcBorders>
              <w:top w:sz="4" w:val="nil"/>
              <w:left w:sz="4" w:val="nil"/>
              <w:bottom w:color="000000" w:sz="4" w:val="single"/>
              <w:right w:color="000000" w:sz="4" w:val="single"/>
            </w:tcBorders>
            <w:shd w:fill="FFFFFF" w:val="clear"/>
            <w:vAlign w:val="center"/>
          </w:tcPr>
          <w:p w14:paraId="6B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6C2B0000">
            <w:pPr>
              <w:widowControl w:val="1"/>
              <w:ind/>
              <w:contextualSpacing w:val="1"/>
              <w:jc w:val="center"/>
              <w:rPr>
                <w:color w:val="000000"/>
                <w:sz w:val="22"/>
              </w:rPr>
            </w:pPr>
            <w:r>
              <w:rPr>
                <w:color w:val="000000"/>
                <w:sz w:val="22"/>
              </w:rPr>
              <w:t>52</w:t>
            </w:r>
          </w:p>
        </w:tc>
        <w:tc>
          <w:tcPr>
            <w:tcW w:type="dxa" w:w="2268"/>
            <w:tcBorders>
              <w:top w:sz="4" w:val="nil"/>
              <w:left w:sz="4" w:val="nil"/>
              <w:bottom w:color="000000" w:sz="4" w:val="single"/>
              <w:right w:color="000000" w:sz="4" w:val="single"/>
            </w:tcBorders>
            <w:shd w:fill="FFFFFF" w:val="clear"/>
            <w:vAlign w:val="center"/>
          </w:tcPr>
          <w:p w14:paraId="6D2B0000">
            <w:pPr>
              <w:widowControl w:val="1"/>
              <w:ind/>
              <w:contextualSpacing w:val="1"/>
              <w:jc w:val="center"/>
              <w:rPr>
                <w:sz w:val="22"/>
              </w:rPr>
            </w:pPr>
            <w:r>
              <w:rPr>
                <w:sz w:val="22"/>
              </w:rPr>
              <w:t>дополнительное соглашение № 1 к договору № 2731881 от 17.01.2018 от 30.08.2018</w:t>
            </w:r>
          </w:p>
        </w:tc>
        <w:tc>
          <w:tcPr>
            <w:tcW w:type="dxa" w:w="1427"/>
            <w:tcBorders>
              <w:top w:sz="4" w:val="nil"/>
              <w:left w:sz="4" w:val="nil"/>
              <w:bottom w:color="000000" w:sz="4" w:val="single"/>
              <w:right w:color="000000" w:sz="4" w:val="single"/>
            </w:tcBorders>
            <w:shd w:fill="FFFFFF" w:val="clear"/>
            <w:vAlign w:val="center"/>
          </w:tcPr>
          <w:p w14:paraId="6E2B0000">
            <w:pPr>
              <w:widowControl w:val="1"/>
              <w:ind/>
              <w:contextualSpacing w:val="1"/>
              <w:jc w:val="center"/>
              <w:rPr>
                <w:sz w:val="22"/>
              </w:rPr>
            </w:pPr>
            <w:r>
              <w:rPr>
                <w:sz w:val="22"/>
              </w:rPr>
              <w:t>30.08.2018</w:t>
            </w:r>
          </w:p>
        </w:tc>
        <w:tc>
          <w:tcPr>
            <w:tcW w:type="dxa" w:w="2258"/>
            <w:tcBorders>
              <w:top w:sz="4" w:val="nil"/>
              <w:left w:sz="4" w:val="nil"/>
              <w:bottom w:color="000000" w:sz="4" w:val="single"/>
              <w:right w:color="000000" w:sz="4" w:val="single"/>
            </w:tcBorders>
            <w:shd w:fill="FFFFFF" w:val="clear"/>
            <w:vAlign w:val="center"/>
          </w:tcPr>
          <w:p w14:paraId="6F2B0000">
            <w:pPr>
              <w:widowControl w:val="1"/>
              <w:ind/>
              <w:contextualSpacing w:val="1"/>
              <w:jc w:val="center"/>
              <w:rPr>
                <w:sz w:val="22"/>
              </w:rPr>
            </w:pPr>
            <w:r>
              <w:rPr>
                <w:sz w:val="22"/>
              </w:rPr>
              <w:t>ОАО "РЖД" Красноярская дирекция по энергообеспечению</w:t>
            </w:r>
          </w:p>
        </w:tc>
        <w:tc>
          <w:tcPr>
            <w:tcW w:type="dxa" w:w="2561"/>
            <w:tcBorders>
              <w:top w:sz="4" w:val="nil"/>
              <w:left w:sz="4" w:val="nil"/>
              <w:bottom w:color="000000" w:sz="4" w:val="single"/>
              <w:right w:color="000000" w:sz="4" w:val="single"/>
            </w:tcBorders>
            <w:shd w:fill="FFFFFF" w:val="clear"/>
            <w:vAlign w:val="center"/>
          </w:tcPr>
          <w:p w14:paraId="702B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416"/>
            <w:tcBorders>
              <w:top w:sz="4" w:val="nil"/>
              <w:left w:sz="4" w:val="nil"/>
              <w:bottom w:color="000000" w:sz="4" w:val="single"/>
              <w:right w:color="000000" w:sz="4" w:val="single"/>
            </w:tcBorders>
            <w:shd w:fill="auto" w:val="clear"/>
            <w:vAlign w:val="center"/>
          </w:tcPr>
          <w:p w14:paraId="712B0000">
            <w:pPr>
              <w:widowControl w:val="1"/>
              <w:ind/>
              <w:contextualSpacing w:val="1"/>
              <w:jc w:val="center"/>
              <w:rPr>
                <w:sz w:val="22"/>
              </w:rPr>
            </w:pPr>
            <w:r>
              <w:rPr>
                <w:sz w:val="22"/>
              </w:rPr>
              <w:t>30.08.2018-31.12.2018</w:t>
            </w:r>
          </w:p>
        </w:tc>
        <w:tc>
          <w:tcPr>
            <w:tcW w:type="dxa" w:w="1591"/>
            <w:tcBorders>
              <w:top w:sz="4" w:val="nil"/>
              <w:left w:sz="4" w:val="nil"/>
              <w:bottom w:color="000000" w:sz="4" w:val="single"/>
              <w:right w:color="000000" w:sz="4" w:val="single"/>
            </w:tcBorders>
            <w:shd w:fill="FFFFFF" w:val="clear"/>
            <w:vAlign w:val="center"/>
          </w:tcPr>
          <w:p w14:paraId="722B0000">
            <w:pPr>
              <w:widowControl w:val="1"/>
              <w:ind/>
              <w:contextualSpacing w:val="1"/>
              <w:jc w:val="center"/>
              <w:rPr>
                <w:sz w:val="22"/>
              </w:rPr>
            </w:pPr>
            <w:r>
              <w:rPr>
                <w:sz w:val="22"/>
              </w:rPr>
              <w:t>2148640</w:t>
            </w:r>
          </w:p>
        </w:tc>
        <w:tc>
          <w:tcPr>
            <w:tcW w:type="dxa" w:w="2104"/>
            <w:tcBorders>
              <w:top w:sz="4" w:val="nil"/>
              <w:left w:sz="4" w:val="nil"/>
              <w:bottom w:color="000000" w:sz="4" w:val="single"/>
              <w:right w:color="000000" w:sz="4" w:val="single"/>
            </w:tcBorders>
            <w:shd w:fill="FFFFFF" w:val="clear"/>
            <w:vAlign w:val="center"/>
          </w:tcPr>
          <w:p w14:paraId="73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742B0000">
            <w:pPr>
              <w:widowControl w:val="1"/>
              <w:ind/>
              <w:contextualSpacing w:val="1"/>
              <w:jc w:val="center"/>
              <w:rPr>
                <w:color w:val="000000"/>
                <w:sz w:val="22"/>
              </w:rPr>
            </w:pPr>
            <w:r>
              <w:rPr>
                <w:color w:val="000000"/>
                <w:sz w:val="22"/>
              </w:rPr>
              <w:t>53</w:t>
            </w:r>
          </w:p>
        </w:tc>
        <w:tc>
          <w:tcPr>
            <w:tcW w:type="dxa" w:w="2268"/>
            <w:tcBorders>
              <w:top w:sz="4" w:val="nil"/>
              <w:left w:sz="4" w:val="nil"/>
              <w:bottom w:color="000000" w:sz="4" w:val="single"/>
              <w:right w:color="000000" w:sz="4" w:val="single"/>
            </w:tcBorders>
            <w:shd w:fill="auto" w:val="clear"/>
            <w:vAlign w:val="center"/>
          </w:tcPr>
          <w:p w14:paraId="752B0000">
            <w:pPr>
              <w:widowControl w:val="1"/>
              <w:ind/>
              <w:contextualSpacing w:val="1"/>
              <w:jc w:val="center"/>
              <w:rPr>
                <w:sz w:val="22"/>
              </w:rPr>
            </w:pPr>
            <w:r>
              <w:rPr>
                <w:sz w:val="22"/>
              </w:rPr>
              <w:t>дополнительное соглашение № 2 к договору № 2738039 от 19.01.2018</w:t>
            </w:r>
          </w:p>
        </w:tc>
        <w:tc>
          <w:tcPr>
            <w:tcW w:type="dxa" w:w="1427"/>
            <w:tcBorders>
              <w:top w:sz="4" w:val="nil"/>
              <w:left w:sz="4" w:val="nil"/>
              <w:bottom w:color="000000" w:sz="4" w:val="single"/>
              <w:right w:color="000000" w:sz="4" w:val="single"/>
            </w:tcBorders>
            <w:shd w:fill="auto" w:val="clear"/>
            <w:vAlign w:val="center"/>
          </w:tcPr>
          <w:p w14:paraId="762B0000">
            <w:pPr>
              <w:widowControl w:val="1"/>
              <w:ind/>
              <w:contextualSpacing w:val="1"/>
              <w:jc w:val="center"/>
              <w:rPr>
                <w:sz w:val="22"/>
              </w:rPr>
            </w:pPr>
            <w:r>
              <w:rPr>
                <w:sz w:val="22"/>
              </w:rPr>
              <w:t>30.08.2018</w:t>
            </w:r>
          </w:p>
        </w:tc>
        <w:tc>
          <w:tcPr>
            <w:tcW w:type="dxa" w:w="2258"/>
            <w:tcBorders>
              <w:top w:sz="4" w:val="nil"/>
              <w:left w:sz="4" w:val="nil"/>
              <w:bottom w:color="000000" w:sz="4" w:val="single"/>
              <w:right w:color="000000" w:sz="4" w:val="single"/>
            </w:tcBorders>
            <w:shd w:fill="FFFFFF" w:val="clear"/>
            <w:vAlign w:val="center"/>
          </w:tcPr>
          <w:p w14:paraId="772B0000">
            <w:pPr>
              <w:widowControl w:val="1"/>
              <w:ind/>
              <w:contextualSpacing w:val="1"/>
              <w:jc w:val="center"/>
              <w:rPr>
                <w:sz w:val="22"/>
              </w:rPr>
            </w:pPr>
            <w:r>
              <w:rPr>
                <w:sz w:val="22"/>
              </w:rPr>
              <w:t>ОАО "РЖД" Красноярская дирекция железнодорожных вокзалов</w:t>
            </w:r>
          </w:p>
        </w:tc>
        <w:tc>
          <w:tcPr>
            <w:tcW w:type="dxa" w:w="2561"/>
            <w:tcBorders>
              <w:top w:sz="4" w:val="nil"/>
              <w:left w:sz="4" w:val="nil"/>
              <w:bottom w:color="000000" w:sz="4" w:val="single"/>
              <w:right w:color="000000" w:sz="4" w:val="single"/>
            </w:tcBorders>
            <w:shd w:fill="FFFFFF" w:val="clear"/>
            <w:vAlign w:val="center"/>
          </w:tcPr>
          <w:p w14:paraId="782B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416"/>
            <w:tcBorders>
              <w:top w:sz="4" w:val="nil"/>
              <w:left w:sz="4" w:val="nil"/>
              <w:bottom w:color="000000" w:sz="4" w:val="single"/>
              <w:right w:color="000000" w:sz="4" w:val="single"/>
            </w:tcBorders>
            <w:shd w:fill="FFFFFF" w:val="clear"/>
            <w:vAlign w:val="center"/>
          </w:tcPr>
          <w:p w14:paraId="792B0000">
            <w:pPr>
              <w:widowControl w:val="1"/>
              <w:ind/>
              <w:contextualSpacing w:val="1"/>
              <w:jc w:val="center"/>
              <w:rPr>
                <w:sz w:val="22"/>
              </w:rPr>
            </w:pPr>
            <w:r>
              <w:rPr>
                <w:sz w:val="22"/>
              </w:rPr>
              <w:t>30.08.2018-31.12.2018</w:t>
            </w:r>
          </w:p>
        </w:tc>
        <w:tc>
          <w:tcPr>
            <w:tcW w:type="dxa" w:w="1591"/>
            <w:tcBorders>
              <w:top w:sz="4" w:val="nil"/>
              <w:left w:sz="4" w:val="nil"/>
              <w:bottom w:color="000000" w:sz="4" w:val="single"/>
              <w:right w:color="000000" w:sz="4" w:val="single"/>
            </w:tcBorders>
            <w:shd w:fill="auto" w:val="clear"/>
            <w:vAlign w:val="center"/>
          </w:tcPr>
          <w:p w14:paraId="7A2B0000">
            <w:pPr>
              <w:widowControl w:val="1"/>
              <w:ind/>
              <w:contextualSpacing w:val="1"/>
              <w:jc w:val="center"/>
              <w:rPr>
                <w:sz w:val="22"/>
              </w:rPr>
            </w:pPr>
            <w:r>
              <w:rPr>
                <w:sz w:val="22"/>
              </w:rPr>
              <w:t>450000,00</w:t>
            </w:r>
          </w:p>
        </w:tc>
        <w:tc>
          <w:tcPr>
            <w:tcW w:type="dxa" w:w="2104"/>
            <w:tcBorders>
              <w:top w:sz="4" w:val="nil"/>
              <w:left w:sz="4" w:val="nil"/>
              <w:bottom w:color="000000" w:sz="4" w:val="single"/>
              <w:right w:color="000000" w:sz="4" w:val="single"/>
            </w:tcBorders>
            <w:shd w:fill="FFFFFF" w:val="clear"/>
            <w:vAlign w:val="center"/>
          </w:tcPr>
          <w:p w14:paraId="7B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7C2B0000">
            <w:pPr>
              <w:widowControl w:val="1"/>
              <w:ind/>
              <w:contextualSpacing w:val="1"/>
              <w:jc w:val="center"/>
              <w:rPr>
                <w:color w:val="000000"/>
                <w:sz w:val="22"/>
              </w:rPr>
            </w:pPr>
            <w:r>
              <w:rPr>
                <w:color w:val="000000"/>
                <w:sz w:val="22"/>
              </w:rPr>
              <w:t>54</w:t>
            </w:r>
          </w:p>
        </w:tc>
        <w:tc>
          <w:tcPr>
            <w:tcW w:type="dxa" w:w="2268"/>
            <w:tcBorders>
              <w:top w:sz="4" w:val="nil"/>
              <w:left w:sz="4" w:val="nil"/>
              <w:bottom w:color="000000" w:sz="4" w:val="single"/>
              <w:right w:color="000000" w:sz="4" w:val="single"/>
            </w:tcBorders>
            <w:shd w:fill="auto" w:val="clear"/>
            <w:vAlign w:val="center"/>
          </w:tcPr>
          <w:p w14:paraId="7D2B0000">
            <w:pPr>
              <w:widowControl w:val="1"/>
              <w:ind/>
              <w:contextualSpacing w:val="1"/>
              <w:jc w:val="center"/>
              <w:rPr>
                <w:sz w:val="22"/>
              </w:rPr>
            </w:pPr>
            <w:r>
              <w:rPr>
                <w:sz w:val="22"/>
              </w:rPr>
              <w:t>дополнительное соглашение № 1 к договору № 2713179 от 29.12.2017г. От 30.08.2018</w:t>
            </w:r>
          </w:p>
        </w:tc>
        <w:tc>
          <w:tcPr>
            <w:tcW w:type="dxa" w:w="1427"/>
            <w:tcBorders>
              <w:top w:sz="4" w:val="nil"/>
              <w:left w:sz="4" w:val="nil"/>
              <w:bottom w:color="000000" w:sz="4" w:val="single"/>
              <w:right w:color="000000" w:sz="4" w:val="single"/>
            </w:tcBorders>
            <w:shd w:fill="auto" w:val="clear"/>
            <w:vAlign w:val="center"/>
          </w:tcPr>
          <w:p w14:paraId="7E2B0000">
            <w:pPr>
              <w:widowControl w:val="1"/>
              <w:ind/>
              <w:contextualSpacing w:val="1"/>
              <w:jc w:val="center"/>
              <w:rPr>
                <w:sz w:val="22"/>
              </w:rPr>
            </w:pPr>
            <w:r>
              <w:rPr>
                <w:sz w:val="22"/>
              </w:rPr>
              <w:t>30.08.2018</w:t>
            </w:r>
          </w:p>
        </w:tc>
        <w:tc>
          <w:tcPr>
            <w:tcW w:type="dxa" w:w="2258"/>
            <w:tcBorders>
              <w:top w:sz="4" w:val="nil"/>
              <w:left w:sz="4" w:val="nil"/>
              <w:bottom w:color="000000" w:sz="4" w:val="single"/>
              <w:right w:color="000000" w:sz="4" w:val="single"/>
            </w:tcBorders>
            <w:shd w:fill="FFFFFF" w:val="clear"/>
            <w:vAlign w:val="center"/>
          </w:tcPr>
          <w:p w14:paraId="7F2B0000">
            <w:pPr>
              <w:widowControl w:val="1"/>
              <w:ind/>
              <w:contextualSpacing w:val="1"/>
              <w:jc w:val="center"/>
              <w:rPr>
                <w:sz w:val="22"/>
              </w:rPr>
            </w:pPr>
            <w:r>
              <w:rPr>
                <w:sz w:val="22"/>
              </w:rPr>
              <w:t>ОАО "РЖД" Красноярская дирекция пассажирских обустройств</w:t>
            </w:r>
          </w:p>
        </w:tc>
        <w:tc>
          <w:tcPr>
            <w:tcW w:type="dxa" w:w="2561"/>
            <w:tcBorders>
              <w:top w:sz="4" w:val="nil"/>
              <w:left w:sz="4" w:val="nil"/>
              <w:bottom w:color="000000" w:sz="4" w:val="single"/>
              <w:right w:color="000000" w:sz="4" w:val="single"/>
            </w:tcBorders>
            <w:shd w:fill="FFFFFF" w:val="clear"/>
            <w:vAlign w:val="center"/>
          </w:tcPr>
          <w:p w14:paraId="802B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416"/>
            <w:tcBorders>
              <w:top w:sz="4" w:val="nil"/>
              <w:left w:sz="4" w:val="nil"/>
              <w:bottom w:color="000000" w:sz="4" w:val="single"/>
              <w:right w:color="000000" w:sz="4" w:val="single"/>
            </w:tcBorders>
            <w:shd w:fill="auto" w:val="clear"/>
            <w:vAlign w:val="center"/>
          </w:tcPr>
          <w:p w14:paraId="812B0000">
            <w:pPr>
              <w:widowControl w:val="1"/>
              <w:ind/>
              <w:contextualSpacing w:val="1"/>
              <w:jc w:val="center"/>
              <w:rPr>
                <w:sz w:val="22"/>
              </w:rPr>
            </w:pPr>
            <w:r>
              <w:rPr>
                <w:sz w:val="22"/>
              </w:rPr>
              <w:t>30.08.2018-31.12.2018</w:t>
            </w:r>
          </w:p>
        </w:tc>
        <w:tc>
          <w:tcPr>
            <w:tcW w:type="dxa" w:w="1591"/>
            <w:tcBorders>
              <w:top w:sz="4" w:val="nil"/>
              <w:left w:sz="4" w:val="nil"/>
              <w:bottom w:color="000000" w:sz="4" w:val="single"/>
              <w:right w:color="000000" w:sz="4" w:val="single"/>
            </w:tcBorders>
            <w:shd w:fill="auto" w:val="clear"/>
            <w:vAlign w:val="center"/>
          </w:tcPr>
          <w:p w14:paraId="822B0000">
            <w:pPr>
              <w:widowControl w:val="1"/>
              <w:ind/>
              <w:contextualSpacing w:val="1"/>
              <w:jc w:val="center"/>
              <w:rPr>
                <w:sz w:val="22"/>
              </w:rPr>
            </w:pPr>
            <w:r>
              <w:rPr>
                <w:sz w:val="22"/>
              </w:rPr>
              <w:t>750000</w:t>
            </w:r>
          </w:p>
        </w:tc>
        <w:tc>
          <w:tcPr>
            <w:tcW w:type="dxa" w:w="2104"/>
            <w:tcBorders>
              <w:top w:sz="4" w:val="nil"/>
              <w:left w:sz="4" w:val="nil"/>
              <w:bottom w:color="000000" w:sz="4" w:val="single"/>
              <w:right w:color="000000" w:sz="4" w:val="single"/>
            </w:tcBorders>
            <w:shd w:fill="FFFFFF" w:val="clear"/>
            <w:vAlign w:val="center"/>
          </w:tcPr>
          <w:p w14:paraId="83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842B0000">
            <w:pPr>
              <w:widowControl w:val="1"/>
              <w:ind/>
              <w:contextualSpacing w:val="1"/>
              <w:jc w:val="center"/>
              <w:rPr>
                <w:color w:val="000000"/>
                <w:sz w:val="22"/>
              </w:rPr>
            </w:pPr>
            <w:r>
              <w:rPr>
                <w:color w:val="000000"/>
                <w:sz w:val="22"/>
              </w:rPr>
              <w:t>55</w:t>
            </w:r>
          </w:p>
        </w:tc>
        <w:tc>
          <w:tcPr>
            <w:tcW w:type="dxa" w:w="2268"/>
            <w:tcBorders>
              <w:top w:sz="4" w:val="nil"/>
              <w:left w:sz="4" w:val="nil"/>
              <w:bottom w:color="000000" w:sz="4" w:val="single"/>
              <w:right w:color="000000" w:sz="4" w:val="single"/>
            </w:tcBorders>
            <w:shd w:fill="auto" w:val="clear"/>
            <w:vAlign w:val="center"/>
          </w:tcPr>
          <w:p w14:paraId="852B0000">
            <w:pPr>
              <w:widowControl w:val="1"/>
              <w:ind/>
              <w:contextualSpacing w:val="1"/>
              <w:jc w:val="center"/>
              <w:rPr>
                <w:sz w:val="22"/>
              </w:rPr>
            </w:pPr>
            <w:r>
              <w:rPr>
                <w:sz w:val="22"/>
              </w:rPr>
              <w:t>дополнительное соглашение № 1 к договору № 2781185 от 21.02.2018г. От 10.09.2018</w:t>
            </w:r>
          </w:p>
        </w:tc>
        <w:tc>
          <w:tcPr>
            <w:tcW w:type="dxa" w:w="1427"/>
            <w:tcBorders>
              <w:top w:sz="4" w:val="nil"/>
              <w:left w:sz="4" w:val="nil"/>
              <w:bottom w:color="000000" w:sz="4" w:val="single"/>
              <w:right w:color="000000" w:sz="4" w:val="single"/>
            </w:tcBorders>
            <w:shd w:fill="auto" w:val="clear"/>
            <w:vAlign w:val="center"/>
          </w:tcPr>
          <w:p w14:paraId="862B0000">
            <w:pPr>
              <w:widowControl w:val="1"/>
              <w:ind/>
              <w:contextualSpacing w:val="1"/>
              <w:jc w:val="center"/>
              <w:rPr>
                <w:sz w:val="22"/>
              </w:rPr>
            </w:pPr>
            <w:r>
              <w:rPr>
                <w:sz w:val="22"/>
              </w:rPr>
              <w:t>10.09.2018</w:t>
            </w:r>
          </w:p>
        </w:tc>
        <w:tc>
          <w:tcPr>
            <w:tcW w:type="dxa" w:w="2258"/>
            <w:tcBorders>
              <w:top w:sz="4" w:val="nil"/>
              <w:left w:sz="4" w:val="nil"/>
              <w:bottom w:color="000000" w:sz="4" w:val="single"/>
              <w:right w:color="000000" w:sz="4" w:val="single"/>
            </w:tcBorders>
            <w:shd w:fill="auto" w:val="clear"/>
            <w:vAlign w:val="center"/>
          </w:tcPr>
          <w:p w14:paraId="872B0000">
            <w:pPr>
              <w:widowControl w:val="1"/>
              <w:ind/>
              <w:contextualSpacing w:val="1"/>
              <w:jc w:val="center"/>
              <w:rPr>
                <w:sz w:val="22"/>
              </w:rPr>
            </w:pPr>
            <w:r>
              <w:rPr>
                <w:sz w:val="22"/>
              </w:rPr>
              <w:t>ОАО "РЖД" Красноярская дирекция моторвагонного подвижного состава</w:t>
            </w:r>
          </w:p>
        </w:tc>
        <w:tc>
          <w:tcPr>
            <w:tcW w:type="dxa" w:w="2561"/>
            <w:tcBorders>
              <w:top w:sz="4" w:val="nil"/>
              <w:left w:sz="4" w:val="nil"/>
              <w:bottom w:color="000000" w:sz="4" w:val="single"/>
              <w:right w:color="000000" w:sz="4" w:val="single"/>
            </w:tcBorders>
            <w:shd w:fill="FFFFFF" w:val="clear"/>
            <w:vAlign w:val="center"/>
          </w:tcPr>
          <w:p w14:paraId="882B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416"/>
            <w:tcBorders>
              <w:top w:sz="4" w:val="nil"/>
              <w:left w:sz="4" w:val="nil"/>
              <w:bottom w:color="000000" w:sz="4" w:val="single"/>
              <w:right w:color="000000" w:sz="4" w:val="single"/>
            </w:tcBorders>
            <w:shd w:fill="auto" w:val="clear"/>
            <w:vAlign w:val="center"/>
          </w:tcPr>
          <w:p w14:paraId="892B0000">
            <w:pPr>
              <w:widowControl w:val="1"/>
              <w:ind/>
              <w:contextualSpacing w:val="1"/>
              <w:jc w:val="center"/>
              <w:rPr>
                <w:sz w:val="22"/>
              </w:rPr>
            </w:pPr>
            <w:r>
              <w:rPr>
                <w:sz w:val="22"/>
              </w:rPr>
              <w:t>10.09.2018-31.03.2019</w:t>
            </w:r>
          </w:p>
        </w:tc>
        <w:tc>
          <w:tcPr>
            <w:tcW w:type="dxa" w:w="1591"/>
            <w:tcBorders>
              <w:top w:sz="4" w:val="nil"/>
              <w:left w:sz="4" w:val="nil"/>
              <w:bottom w:color="000000" w:sz="4" w:val="single"/>
              <w:right w:color="000000" w:sz="4" w:val="single"/>
            </w:tcBorders>
            <w:shd w:fill="auto" w:val="clear"/>
            <w:vAlign w:val="center"/>
          </w:tcPr>
          <w:p w14:paraId="8A2B0000">
            <w:pPr>
              <w:widowControl w:val="1"/>
              <w:ind/>
              <w:contextualSpacing w:val="1"/>
              <w:jc w:val="center"/>
              <w:rPr>
                <w:sz w:val="22"/>
              </w:rPr>
            </w:pPr>
            <w:r>
              <w:rPr>
                <w:sz w:val="22"/>
              </w:rPr>
              <w:t>17890417,45</w:t>
            </w:r>
          </w:p>
        </w:tc>
        <w:tc>
          <w:tcPr>
            <w:tcW w:type="dxa" w:w="2104"/>
            <w:tcBorders>
              <w:top w:sz="4" w:val="nil"/>
              <w:left w:sz="4" w:val="nil"/>
              <w:bottom w:color="000000" w:sz="4" w:val="single"/>
              <w:right w:color="000000" w:sz="4" w:val="single"/>
            </w:tcBorders>
            <w:shd w:fill="FFFFFF" w:val="clear"/>
            <w:vAlign w:val="center"/>
          </w:tcPr>
          <w:p w14:paraId="8B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8C2B0000">
            <w:pPr>
              <w:widowControl w:val="1"/>
              <w:ind/>
              <w:contextualSpacing w:val="1"/>
              <w:jc w:val="center"/>
              <w:rPr>
                <w:color w:val="000000"/>
                <w:sz w:val="22"/>
              </w:rPr>
            </w:pPr>
            <w:r>
              <w:rPr>
                <w:color w:val="000000"/>
                <w:sz w:val="22"/>
              </w:rPr>
              <w:t>56</w:t>
            </w:r>
          </w:p>
        </w:tc>
        <w:tc>
          <w:tcPr>
            <w:tcW w:type="dxa" w:w="2268"/>
            <w:tcBorders>
              <w:top w:sz="4" w:val="nil"/>
              <w:left w:sz="4" w:val="nil"/>
              <w:bottom w:color="000000" w:sz="4" w:val="single"/>
              <w:right w:color="000000" w:sz="4" w:val="single"/>
            </w:tcBorders>
            <w:shd w:fill="auto" w:val="clear"/>
            <w:vAlign w:val="center"/>
          </w:tcPr>
          <w:p w14:paraId="8D2B0000">
            <w:pPr>
              <w:widowControl w:val="1"/>
              <w:ind/>
              <w:contextualSpacing w:val="1"/>
              <w:jc w:val="center"/>
              <w:rPr>
                <w:sz w:val="22"/>
              </w:rPr>
            </w:pPr>
            <w:r>
              <w:rPr>
                <w:sz w:val="22"/>
              </w:rPr>
              <w:t>дополнительное соглашение № 1 к договору № 2781098 от 26.02.2018 от 10.09.2018</w:t>
            </w:r>
          </w:p>
        </w:tc>
        <w:tc>
          <w:tcPr>
            <w:tcW w:type="dxa" w:w="1427"/>
            <w:tcBorders>
              <w:top w:sz="4" w:val="nil"/>
              <w:left w:sz="4" w:val="nil"/>
              <w:bottom w:color="000000" w:sz="4" w:val="single"/>
              <w:right w:color="000000" w:sz="4" w:val="single"/>
            </w:tcBorders>
            <w:shd w:fill="auto" w:val="clear"/>
            <w:vAlign w:val="center"/>
          </w:tcPr>
          <w:p w14:paraId="8E2B0000">
            <w:pPr>
              <w:widowControl w:val="1"/>
              <w:ind/>
              <w:contextualSpacing w:val="1"/>
              <w:jc w:val="center"/>
              <w:rPr>
                <w:sz w:val="22"/>
              </w:rPr>
            </w:pPr>
            <w:r>
              <w:rPr>
                <w:sz w:val="22"/>
              </w:rPr>
              <w:t>10.09.2018</w:t>
            </w:r>
          </w:p>
        </w:tc>
        <w:tc>
          <w:tcPr>
            <w:tcW w:type="dxa" w:w="2258"/>
            <w:tcBorders>
              <w:top w:sz="4" w:val="nil"/>
              <w:left w:sz="4" w:val="nil"/>
              <w:bottom w:color="000000" w:sz="4" w:val="single"/>
              <w:right w:color="000000" w:sz="4" w:val="single"/>
            </w:tcBorders>
            <w:shd w:fill="auto" w:val="clear"/>
            <w:vAlign w:val="center"/>
          </w:tcPr>
          <w:p w14:paraId="8F2B0000">
            <w:pPr>
              <w:widowControl w:val="1"/>
              <w:ind/>
              <w:contextualSpacing w:val="1"/>
              <w:jc w:val="center"/>
              <w:rPr>
                <w:sz w:val="22"/>
              </w:rPr>
            </w:pPr>
            <w:r>
              <w:rPr>
                <w:sz w:val="22"/>
              </w:rPr>
              <w:t>ОАО "РЖД" Красноярская дирекция моторвагонного подвижного состава</w:t>
            </w:r>
          </w:p>
        </w:tc>
        <w:tc>
          <w:tcPr>
            <w:tcW w:type="dxa" w:w="2561"/>
            <w:tcBorders>
              <w:top w:sz="4" w:val="nil"/>
              <w:left w:sz="4" w:val="nil"/>
              <w:bottom w:color="000000" w:sz="4" w:val="single"/>
              <w:right w:color="000000" w:sz="4" w:val="single"/>
            </w:tcBorders>
            <w:shd w:fill="FFFFFF" w:val="clear"/>
            <w:vAlign w:val="center"/>
          </w:tcPr>
          <w:p w14:paraId="902B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416"/>
            <w:tcBorders>
              <w:top w:sz="4" w:val="nil"/>
              <w:left w:sz="4" w:val="nil"/>
              <w:bottom w:color="000000" w:sz="4" w:val="single"/>
              <w:right w:color="000000" w:sz="4" w:val="single"/>
            </w:tcBorders>
            <w:shd w:fill="auto" w:val="clear"/>
            <w:vAlign w:val="center"/>
          </w:tcPr>
          <w:p w14:paraId="912B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922B0000">
            <w:pPr>
              <w:widowControl w:val="1"/>
              <w:ind/>
              <w:contextualSpacing w:val="1"/>
              <w:jc w:val="center"/>
              <w:rPr>
                <w:sz w:val="22"/>
              </w:rPr>
            </w:pPr>
            <w:r>
              <w:rPr>
                <w:sz w:val="22"/>
              </w:rPr>
              <w:t>9387186,85</w:t>
            </w:r>
          </w:p>
        </w:tc>
        <w:tc>
          <w:tcPr>
            <w:tcW w:type="dxa" w:w="2104"/>
            <w:tcBorders>
              <w:top w:sz="4" w:val="nil"/>
              <w:left w:sz="4" w:val="nil"/>
              <w:bottom w:color="000000" w:sz="4" w:val="single"/>
              <w:right w:color="000000" w:sz="4" w:val="single"/>
            </w:tcBorders>
            <w:shd w:fill="FFFFFF" w:val="clear"/>
            <w:vAlign w:val="center"/>
          </w:tcPr>
          <w:p w14:paraId="93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942B0000">
            <w:pPr>
              <w:widowControl w:val="1"/>
              <w:ind/>
              <w:contextualSpacing w:val="1"/>
              <w:jc w:val="center"/>
              <w:rPr>
                <w:color w:val="000000"/>
                <w:sz w:val="22"/>
              </w:rPr>
            </w:pPr>
            <w:r>
              <w:rPr>
                <w:color w:val="000000"/>
                <w:sz w:val="22"/>
              </w:rPr>
              <w:t>57</w:t>
            </w:r>
          </w:p>
        </w:tc>
        <w:tc>
          <w:tcPr>
            <w:tcW w:type="dxa" w:w="2268"/>
            <w:tcBorders>
              <w:top w:sz="4" w:val="nil"/>
              <w:left w:sz="4" w:val="nil"/>
              <w:bottom w:color="000000" w:sz="4" w:val="single"/>
              <w:right w:color="000000" w:sz="4" w:val="single"/>
            </w:tcBorders>
            <w:shd w:fill="FFFFFF" w:val="clear"/>
            <w:vAlign w:val="center"/>
          </w:tcPr>
          <w:p w14:paraId="952B0000">
            <w:pPr>
              <w:widowControl w:val="1"/>
              <w:ind/>
              <w:contextualSpacing w:val="1"/>
              <w:jc w:val="center"/>
              <w:rPr>
                <w:sz w:val="22"/>
              </w:rPr>
            </w:pPr>
            <w:r>
              <w:rPr>
                <w:sz w:val="22"/>
              </w:rPr>
              <w:t>дополнительное соглашение №2  к договору № 173-18/Ф(Енис) от 29.06.2018 от 14.09.2018</w:t>
            </w:r>
          </w:p>
        </w:tc>
        <w:tc>
          <w:tcPr>
            <w:tcW w:type="dxa" w:w="1427"/>
            <w:tcBorders>
              <w:top w:sz="4" w:val="nil"/>
              <w:left w:sz="4" w:val="nil"/>
              <w:bottom w:color="000000" w:sz="4" w:val="single"/>
              <w:right w:color="000000" w:sz="4" w:val="single"/>
            </w:tcBorders>
            <w:shd w:fill="FFFFFF" w:val="clear"/>
            <w:vAlign w:val="center"/>
          </w:tcPr>
          <w:p w14:paraId="962B0000">
            <w:pPr>
              <w:widowControl w:val="1"/>
              <w:ind/>
              <w:contextualSpacing w:val="1"/>
              <w:jc w:val="center"/>
              <w:rPr>
                <w:sz w:val="22"/>
              </w:rPr>
            </w:pPr>
            <w:r>
              <w:rPr>
                <w:sz w:val="22"/>
              </w:rPr>
              <w:t>14.09.2018</w:t>
            </w:r>
          </w:p>
        </w:tc>
        <w:tc>
          <w:tcPr>
            <w:tcW w:type="dxa" w:w="2258"/>
            <w:tcBorders>
              <w:top w:sz="4" w:val="nil"/>
              <w:left w:sz="4" w:val="nil"/>
              <w:bottom w:color="000000" w:sz="4" w:val="single"/>
              <w:right w:color="000000" w:sz="4" w:val="single"/>
            </w:tcBorders>
            <w:shd w:fill="auto" w:val="clear"/>
            <w:vAlign w:val="center"/>
          </w:tcPr>
          <w:p w14:paraId="972B0000">
            <w:pPr>
              <w:widowControl w:val="1"/>
              <w:ind/>
              <w:contextualSpacing w:val="1"/>
              <w:jc w:val="center"/>
              <w:rPr>
                <w:sz w:val="22"/>
              </w:rPr>
            </w:pPr>
            <w:r>
              <w:rPr>
                <w:sz w:val="22"/>
              </w:rPr>
              <w:t>Енисейский филиал АО "ФПК"</w:t>
            </w:r>
          </w:p>
        </w:tc>
        <w:tc>
          <w:tcPr>
            <w:tcW w:type="dxa" w:w="2561"/>
            <w:tcBorders>
              <w:top w:sz="4" w:val="nil"/>
              <w:left w:sz="4" w:val="nil"/>
              <w:bottom w:color="000000" w:sz="4" w:val="single"/>
              <w:right w:color="000000" w:sz="4" w:val="single"/>
            </w:tcBorders>
            <w:shd w:fill="FFFFFF" w:val="clear"/>
            <w:vAlign w:val="center"/>
          </w:tcPr>
          <w:p w14:paraId="982B0000">
            <w:pPr>
              <w:widowControl w:val="1"/>
              <w:ind/>
              <w:contextualSpacing w:val="1"/>
              <w:jc w:val="center"/>
              <w:rPr>
                <w:sz w:val="22"/>
              </w:rPr>
            </w:pPr>
            <w:r>
              <w:rPr>
                <w:sz w:val="22"/>
              </w:rPr>
              <w:t>увеличение предельной цены договора на оказание услуг по перевозке военнослужащих МО</w:t>
            </w:r>
          </w:p>
        </w:tc>
        <w:tc>
          <w:tcPr>
            <w:tcW w:type="dxa" w:w="1416"/>
            <w:tcBorders>
              <w:top w:sz="4" w:val="nil"/>
              <w:left w:sz="4" w:val="nil"/>
              <w:bottom w:color="000000" w:sz="4" w:val="single"/>
              <w:right w:color="000000" w:sz="4" w:val="single"/>
            </w:tcBorders>
            <w:shd w:fill="FFFFFF" w:val="clear"/>
            <w:vAlign w:val="center"/>
          </w:tcPr>
          <w:p w14:paraId="992B0000">
            <w:pPr>
              <w:widowControl w:val="1"/>
              <w:ind/>
              <w:contextualSpacing w:val="1"/>
              <w:jc w:val="center"/>
              <w:rPr>
                <w:sz w:val="22"/>
              </w:rPr>
            </w:pPr>
            <w:r>
              <w:rPr>
                <w:sz w:val="22"/>
              </w:rPr>
              <w:t>04.07.2018-28.02.2019</w:t>
            </w:r>
          </w:p>
        </w:tc>
        <w:tc>
          <w:tcPr>
            <w:tcW w:type="dxa" w:w="1591"/>
            <w:tcBorders>
              <w:top w:sz="4" w:val="nil"/>
              <w:left w:sz="4" w:val="nil"/>
              <w:bottom w:color="000000" w:sz="4" w:val="single"/>
              <w:right w:color="000000" w:sz="4" w:val="single"/>
            </w:tcBorders>
            <w:shd w:fill="FFFFFF" w:val="clear"/>
            <w:vAlign w:val="center"/>
          </w:tcPr>
          <w:p w14:paraId="9A2B0000">
            <w:pPr>
              <w:widowControl w:val="1"/>
              <w:ind/>
              <w:contextualSpacing w:val="1"/>
              <w:jc w:val="center"/>
              <w:rPr>
                <w:sz w:val="22"/>
              </w:rPr>
            </w:pPr>
            <w:r>
              <w:rPr>
                <w:sz w:val="22"/>
              </w:rPr>
              <w:t>294302</w:t>
            </w:r>
          </w:p>
        </w:tc>
        <w:tc>
          <w:tcPr>
            <w:tcW w:type="dxa" w:w="2104"/>
            <w:tcBorders>
              <w:top w:sz="4" w:val="nil"/>
              <w:left w:sz="4" w:val="nil"/>
              <w:bottom w:color="000000" w:sz="4" w:val="single"/>
              <w:right w:color="000000" w:sz="4" w:val="single"/>
            </w:tcBorders>
            <w:shd w:fill="FFFFFF" w:val="clear"/>
            <w:vAlign w:val="center"/>
          </w:tcPr>
          <w:p w14:paraId="9B2B0000">
            <w:pPr>
              <w:widowControl w:val="1"/>
              <w:ind/>
              <w:contextualSpacing w:val="1"/>
              <w:jc w:val="center"/>
              <w:rPr>
                <w:sz w:val="22"/>
              </w:rPr>
            </w:pPr>
            <w:r>
              <w:rPr>
                <w:sz w:val="22"/>
              </w:rPr>
              <w:t>извещение о сделке направлено 29.08.2018г.,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9C2B0000">
            <w:pPr>
              <w:widowControl w:val="1"/>
              <w:ind/>
              <w:contextualSpacing w:val="1"/>
              <w:jc w:val="center"/>
              <w:rPr>
                <w:color w:val="000000"/>
                <w:sz w:val="22"/>
              </w:rPr>
            </w:pPr>
            <w:r>
              <w:rPr>
                <w:color w:val="000000"/>
                <w:sz w:val="22"/>
              </w:rPr>
              <w:t>58</w:t>
            </w:r>
          </w:p>
        </w:tc>
        <w:tc>
          <w:tcPr>
            <w:tcW w:type="dxa" w:w="2268"/>
            <w:tcBorders>
              <w:top w:sz="4" w:val="nil"/>
              <w:left w:sz="4" w:val="nil"/>
              <w:bottom w:color="000000" w:sz="4" w:val="single"/>
              <w:right w:color="000000" w:sz="4" w:val="single"/>
            </w:tcBorders>
            <w:shd w:fill="FFFFFF" w:val="clear"/>
            <w:vAlign w:val="center"/>
          </w:tcPr>
          <w:p w14:paraId="9D2B0000">
            <w:pPr>
              <w:widowControl w:val="1"/>
              <w:ind/>
              <w:contextualSpacing w:val="1"/>
              <w:jc w:val="center"/>
              <w:rPr>
                <w:sz w:val="22"/>
              </w:rPr>
            </w:pPr>
            <w:r>
              <w:rPr>
                <w:sz w:val="22"/>
              </w:rPr>
              <w:t>дополнительное соглашение № 2752195-1 к договору № 2752195 от 29.01.2018 от 19.09.2018</w:t>
            </w:r>
          </w:p>
        </w:tc>
        <w:tc>
          <w:tcPr>
            <w:tcW w:type="dxa" w:w="1427"/>
            <w:tcBorders>
              <w:top w:sz="4" w:val="nil"/>
              <w:left w:sz="4" w:val="nil"/>
              <w:bottom w:color="000000" w:sz="4" w:val="single"/>
              <w:right w:color="000000" w:sz="4" w:val="single"/>
            </w:tcBorders>
            <w:shd w:fill="FFFFFF" w:val="clear"/>
            <w:vAlign w:val="center"/>
          </w:tcPr>
          <w:p w14:paraId="9E2B0000">
            <w:pPr>
              <w:widowControl w:val="1"/>
              <w:ind/>
              <w:contextualSpacing w:val="1"/>
              <w:jc w:val="center"/>
              <w:rPr>
                <w:sz w:val="22"/>
              </w:rPr>
            </w:pPr>
            <w:r>
              <w:rPr>
                <w:sz w:val="22"/>
              </w:rPr>
              <w:t>19.09.2018</w:t>
            </w:r>
          </w:p>
        </w:tc>
        <w:tc>
          <w:tcPr>
            <w:tcW w:type="dxa" w:w="2258"/>
            <w:tcBorders>
              <w:top w:sz="4" w:val="nil"/>
              <w:left w:sz="4" w:val="nil"/>
              <w:bottom w:color="000000" w:sz="4" w:val="single"/>
              <w:right w:color="000000" w:sz="4" w:val="single"/>
            </w:tcBorders>
            <w:shd w:fill="auto" w:val="clear"/>
            <w:vAlign w:val="center"/>
          </w:tcPr>
          <w:p w14:paraId="9F2B0000">
            <w:pPr>
              <w:widowControl w:val="1"/>
              <w:ind/>
              <w:contextualSpacing w:val="1"/>
              <w:jc w:val="center"/>
              <w:rPr>
                <w:sz w:val="22"/>
              </w:rPr>
            </w:pPr>
            <w:r>
              <w:rPr>
                <w:sz w:val="22"/>
              </w:rPr>
              <w:t>ОАО "РЖД" Красноярский информационно-вычислительный центр</w:t>
            </w:r>
          </w:p>
        </w:tc>
        <w:tc>
          <w:tcPr>
            <w:tcW w:type="dxa" w:w="2561"/>
            <w:tcBorders>
              <w:top w:sz="4" w:val="nil"/>
              <w:left w:sz="4" w:val="nil"/>
              <w:bottom w:color="000000" w:sz="4" w:val="single"/>
              <w:right w:color="000000" w:sz="4" w:val="single"/>
            </w:tcBorders>
            <w:shd w:fill="auto" w:val="clear"/>
            <w:vAlign w:val="center"/>
          </w:tcPr>
          <w:p w14:paraId="A02B0000">
            <w:pPr>
              <w:widowControl w:val="1"/>
              <w:ind/>
              <w:contextualSpacing w:val="1"/>
              <w:jc w:val="center"/>
              <w:rPr>
                <w:sz w:val="22"/>
              </w:rPr>
            </w:pPr>
            <w:r>
              <w:rPr>
                <w:sz w:val="22"/>
              </w:rPr>
              <w:t>внесение изменений в части подключения информационной состемы ГИД Урал Вниижт</w:t>
            </w:r>
          </w:p>
        </w:tc>
        <w:tc>
          <w:tcPr>
            <w:tcW w:type="dxa" w:w="1416"/>
            <w:tcBorders>
              <w:top w:sz="4" w:val="nil"/>
              <w:left w:sz="4" w:val="nil"/>
              <w:bottom w:color="000000" w:sz="4" w:val="single"/>
              <w:right w:color="000000" w:sz="4" w:val="single"/>
            </w:tcBorders>
            <w:shd w:fill="auto" w:val="clear"/>
            <w:vAlign w:val="center"/>
          </w:tcPr>
          <w:p w14:paraId="A12B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A22B0000">
            <w:pPr>
              <w:widowControl w:val="1"/>
              <w:ind/>
              <w:contextualSpacing w:val="1"/>
              <w:jc w:val="center"/>
              <w:rPr>
                <w:sz w:val="22"/>
              </w:rPr>
            </w:pPr>
            <w:r>
              <w:rPr>
                <w:sz w:val="22"/>
              </w:rPr>
              <w:t>256473</w:t>
            </w:r>
          </w:p>
        </w:tc>
        <w:tc>
          <w:tcPr>
            <w:tcW w:type="dxa" w:w="2104"/>
            <w:tcBorders>
              <w:top w:sz="4" w:val="nil"/>
              <w:left w:sz="4" w:val="nil"/>
              <w:bottom w:color="000000" w:sz="4" w:val="single"/>
              <w:right w:color="000000" w:sz="4" w:val="single"/>
            </w:tcBorders>
            <w:shd w:fill="FFFFFF" w:val="clear"/>
            <w:vAlign w:val="center"/>
          </w:tcPr>
          <w:p w14:paraId="A32B0000">
            <w:pPr>
              <w:widowControl w:val="1"/>
              <w:ind/>
              <w:contextualSpacing w:val="1"/>
              <w:jc w:val="center"/>
              <w:rPr>
                <w:sz w:val="22"/>
              </w:rPr>
            </w:pPr>
            <w:r>
              <w:rPr>
                <w:sz w:val="22"/>
              </w:rPr>
              <w:t>извещение о сделке направлено 29.08.2018г., требование об одобрении сделки не поступило</w:t>
            </w:r>
          </w:p>
        </w:tc>
      </w:tr>
      <w:tr>
        <w:trPr>
          <w:trHeight w:hRule="atLeast" w:val="2925"/>
        </w:trPr>
        <w:tc>
          <w:tcPr>
            <w:tcW w:type="dxa" w:w="730"/>
            <w:tcBorders>
              <w:top w:sz="4" w:val="nil"/>
              <w:left w:color="000000" w:sz="4" w:val="single"/>
              <w:bottom w:color="000000" w:sz="4" w:val="single"/>
              <w:right w:color="000000" w:sz="4" w:val="single"/>
            </w:tcBorders>
            <w:shd w:fill="FFFFFF" w:val="clear"/>
            <w:vAlign w:val="center"/>
          </w:tcPr>
          <w:p w14:paraId="A42B0000">
            <w:pPr>
              <w:widowControl w:val="1"/>
              <w:ind/>
              <w:contextualSpacing w:val="1"/>
              <w:jc w:val="center"/>
              <w:rPr>
                <w:color w:val="000000"/>
                <w:sz w:val="22"/>
              </w:rPr>
            </w:pPr>
            <w:r>
              <w:rPr>
                <w:color w:val="000000"/>
                <w:sz w:val="22"/>
              </w:rPr>
              <w:t>59</w:t>
            </w:r>
          </w:p>
        </w:tc>
        <w:tc>
          <w:tcPr>
            <w:tcW w:type="dxa" w:w="2268"/>
            <w:tcBorders>
              <w:top w:sz="4" w:val="nil"/>
              <w:left w:sz="4" w:val="nil"/>
              <w:bottom w:color="000000" w:sz="4" w:val="single"/>
              <w:right w:color="000000" w:sz="4" w:val="single"/>
            </w:tcBorders>
            <w:shd w:fill="auto" w:val="clear"/>
            <w:vAlign w:val="center"/>
          </w:tcPr>
          <w:p w14:paraId="A52B0000">
            <w:pPr>
              <w:widowControl w:val="1"/>
              <w:ind/>
              <w:contextualSpacing w:val="1"/>
              <w:jc w:val="center"/>
              <w:rPr>
                <w:sz w:val="22"/>
              </w:rPr>
            </w:pPr>
            <w:r>
              <w:rPr>
                <w:sz w:val="22"/>
              </w:rPr>
              <w:t>дополнительное соглашение № 3081578 к договру № 2710249 от 27.12.2017 от 26.09.2018</w:t>
            </w:r>
          </w:p>
        </w:tc>
        <w:tc>
          <w:tcPr>
            <w:tcW w:type="dxa" w:w="1427"/>
            <w:tcBorders>
              <w:top w:sz="4" w:val="nil"/>
              <w:left w:sz="4" w:val="nil"/>
              <w:bottom w:color="000000" w:sz="4" w:val="single"/>
              <w:right w:color="000000" w:sz="4" w:val="single"/>
            </w:tcBorders>
            <w:shd w:fill="auto" w:val="clear"/>
            <w:vAlign w:val="center"/>
          </w:tcPr>
          <w:p w14:paraId="A62B0000">
            <w:pPr>
              <w:widowControl w:val="1"/>
              <w:ind/>
              <w:contextualSpacing w:val="1"/>
              <w:jc w:val="center"/>
              <w:rPr>
                <w:sz w:val="22"/>
              </w:rPr>
            </w:pPr>
            <w:r>
              <w:rPr>
                <w:sz w:val="22"/>
              </w:rPr>
              <w:t>26.09.2018</w:t>
            </w:r>
          </w:p>
        </w:tc>
        <w:tc>
          <w:tcPr>
            <w:tcW w:type="dxa" w:w="2258"/>
            <w:tcBorders>
              <w:top w:sz="4" w:val="nil"/>
              <w:left w:sz="4" w:val="nil"/>
              <w:bottom w:color="000000" w:sz="4" w:val="single"/>
              <w:right w:color="000000" w:sz="4" w:val="single"/>
            </w:tcBorders>
            <w:shd w:fill="auto" w:val="clear"/>
            <w:vAlign w:val="center"/>
          </w:tcPr>
          <w:p w14:paraId="A72B0000">
            <w:pPr>
              <w:widowControl w:val="1"/>
              <w:ind/>
              <w:contextualSpacing w:val="1"/>
              <w:jc w:val="center"/>
              <w:rPr>
                <w:sz w:val="22"/>
              </w:rPr>
            </w:pPr>
            <w:r>
              <w:rPr>
                <w:sz w:val="22"/>
              </w:rPr>
              <w:t>ОАО "РЖД" Красноярская дирекция материально-технического обеспечения-структурного подразделения Росжелдорснаба</w:t>
            </w:r>
          </w:p>
        </w:tc>
        <w:tc>
          <w:tcPr>
            <w:tcW w:type="dxa" w:w="2561"/>
            <w:tcBorders>
              <w:top w:sz="4" w:val="nil"/>
              <w:left w:sz="4" w:val="nil"/>
              <w:bottom w:color="000000" w:sz="4" w:val="single"/>
              <w:right w:color="000000" w:sz="4" w:val="single"/>
            </w:tcBorders>
            <w:shd w:fill="FFFFFF" w:val="clear"/>
            <w:vAlign w:val="center"/>
          </w:tcPr>
          <w:p w14:paraId="A82B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416"/>
            <w:tcBorders>
              <w:top w:sz="4" w:val="nil"/>
              <w:left w:sz="4" w:val="nil"/>
              <w:bottom w:color="000000" w:sz="4" w:val="single"/>
              <w:right w:color="000000" w:sz="4" w:val="single"/>
            </w:tcBorders>
            <w:shd w:fill="auto" w:val="clear"/>
            <w:vAlign w:val="center"/>
          </w:tcPr>
          <w:p w14:paraId="A92B0000">
            <w:pPr>
              <w:widowControl w:val="1"/>
              <w:ind/>
              <w:contextualSpacing w:val="1"/>
              <w:jc w:val="center"/>
              <w:rPr>
                <w:sz w:val="22"/>
              </w:rPr>
            </w:pPr>
          </w:p>
        </w:tc>
        <w:tc>
          <w:tcPr>
            <w:tcW w:type="dxa" w:w="1591"/>
            <w:tcBorders>
              <w:top w:sz="4" w:val="nil"/>
              <w:left w:sz="4" w:val="nil"/>
              <w:bottom w:color="000000" w:sz="4" w:val="single"/>
              <w:right w:color="000000" w:sz="4" w:val="single"/>
            </w:tcBorders>
            <w:shd w:fill="auto" w:val="clear"/>
            <w:vAlign w:val="center"/>
          </w:tcPr>
          <w:p w14:paraId="AA2B0000">
            <w:pPr>
              <w:widowControl w:val="1"/>
              <w:ind/>
              <w:contextualSpacing w:val="1"/>
              <w:jc w:val="center"/>
              <w:rPr>
                <w:sz w:val="22"/>
              </w:rPr>
            </w:pPr>
            <w:r>
              <w:rPr>
                <w:sz w:val="22"/>
              </w:rPr>
              <w:t>96800</w:t>
            </w:r>
          </w:p>
        </w:tc>
        <w:tc>
          <w:tcPr>
            <w:tcW w:type="dxa" w:w="2104"/>
            <w:tcBorders>
              <w:top w:sz="4" w:val="nil"/>
              <w:left w:sz="4" w:val="nil"/>
              <w:bottom w:color="000000" w:sz="4" w:val="single"/>
              <w:right w:color="000000" w:sz="4" w:val="single"/>
            </w:tcBorders>
            <w:shd w:fill="FFFFFF" w:val="clear"/>
            <w:vAlign w:val="center"/>
          </w:tcPr>
          <w:p w14:paraId="AB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AC2B0000">
            <w:pPr>
              <w:widowControl w:val="1"/>
              <w:ind/>
              <w:contextualSpacing w:val="1"/>
              <w:jc w:val="center"/>
              <w:rPr>
                <w:color w:val="000000"/>
                <w:sz w:val="22"/>
              </w:rPr>
            </w:pPr>
            <w:r>
              <w:rPr>
                <w:color w:val="000000"/>
                <w:sz w:val="22"/>
              </w:rPr>
              <w:t>60</w:t>
            </w:r>
          </w:p>
        </w:tc>
        <w:tc>
          <w:tcPr>
            <w:tcW w:type="dxa" w:w="2268"/>
            <w:tcBorders>
              <w:top w:sz="4" w:val="nil"/>
              <w:left w:sz="4" w:val="nil"/>
              <w:bottom w:color="000000" w:sz="4" w:val="single"/>
              <w:right w:color="000000" w:sz="4" w:val="single"/>
            </w:tcBorders>
            <w:shd w:fill="auto" w:val="clear"/>
            <w:vAlign w:val="center"/>
          </w:tcPr>
          <w:p w14:paraId="AD2B0000">
            <w:pPr>
              <w:widowControl w:val="1"/>
              <w:ind/>
              <w:contextualSpacing w:val="1"/>
              <w:jc w:val="center"/>
              <w:rPr>
                <w:sz w:val="22"/>
              </w:rPr>
            </w:pPr>
            <w:r>
              <w:rPr>
                <w:sz w:val="22"/>
              </w:rPr>
              <w:t>дополнительное соглвшение № 3084749 к договору № 2688850 от 21.12.2017г. От 28.09.2018</w:t>
            </w:r>
          </w:p>
        </w:tc>
        <w:tc>
          <w:tcPr>
            <w:tcW w:type="dxa" w:w="1427"/>
            <w:tcBorders>
              <w:top w:sz="4" w:val="nil"/>
              <w:left w:sz="4" w:val="nil"/>
              <w:bottom w:color="000000" w:sz="4" w:val="single"/>
              <w:right w:color="000000" w:sz="4" w:val="single"/>
            </w:tcBorders>
            <w:shd w:fill="auto" w:val="clear"/>
            <w:vAlign w:val="center"/>
          </w:tcPr>
          <w:p w14:paraId="AE2B0000">
            <w:pPr>
              <w:widowControl w:val="1"/>
              <w:ind/>
              <w:contextualSpacing w:val="1"/>
              <w:jc w:val="center"/>
              <w:rPr>
                <w:sz w:val="22"/>
              </w:rPr>
            </w:pPr>
            <w:r>
              <w:rPr>
                <w:sz w:val="22"/>
              </w:rPr>
              <w:t>28.09.2018</w:t>
            </w:r>
          </w:p>
        </w:tc>
        <w:tc>
          <w:tcPr>
            <w:tcW w:type="dxa" w:w="2258"/>
            <w:tcBorders>
              <w:top w:sz="4" w:val="nil"/>
              <w:left w:sz="4" w:val="nil"/>
              <w:bottom w:color="000000" w:sz="4" w:val="single"/>
              <w:right w:color="000000" w:sz="4" w:val="single"/>
            </w:tcBorders>
            <w:shd w:fill="auto" w:val="clear"/>
            <w:vAlign w:val="center"/>
          </w:tcPr>
          <w:p w14:paraId="AF2B0000">
            <w:pPr>
              <w:widowControl w:val="1"/>
              <w:ind/>
              <w:contextualSpacing w:val="1"/>
              <w:jc w:val="center"/>
              <w:rPr>
                <w:sz w:val="22"/>
              </w:rPr>
            </w:pPr>
            <w:r>
              <w:rPr>
                <w:sz w:val="22"/>
              </w:rPr>
              <w:t>ОАО "РЖД" Красноярский территориальный центр фирменного транспортного обслуживания</w:t>
            </w:r>
          </w:p>
        </w:tc>
        <w:tc>
          <w:tcPr>
            <w:tcW w:type="dxa" w:w="2561"/>
            <w:tcBorders>
              <w:top w:sz="4" w:val="nil"/>
              <w:left w:sz="4" w:val="nil"/>
              <w:bottom w:color="000000" w:sz="4" w:val="single"/>
              <w:right w:color="000000" w:sz="4" w:val="single"/>
            </w:tcBorders>
            <w:shd w:fill="FFFFFF" w:val="clear"/>
            <w:vAlign w:val="center"/>
          </w:tcPr>
          <w:p w14:paraId="B02B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416"/>
            <w:tcBorders>
              <w:top w:sz="4" w:val="nil"/>
              <w:left w:sz="4" w:val="nil"/>
              <w:bottom w:color="000000" w:sz="4" w:val="single"/>
              <w:right w:color="000000" w:sz="4" w:val="single"/>
            </w:tcBorders>
            <w:shd w:fill="FFFFFF" w:val="clear"/>
            <w:vAlign w:val="center"/>
          </w:tcPr>
          <w:p w14:paraId="B12B0000">
            <w:pPr>
              <w:widowControl w:val="1"/>
              <w:ind/>
              <w:contextualSpacing w:val="1"/>
              <w:jc w:val="center"/>
              <w:rPr>
                <w:sz w:val="22"/>
              </w:rPr>
            </w:pPr>
            <w:r>
              <w:rPr>
                <w:sz w:val="22"/>
              </w:rPr>
              <w:t>28.09.2018-31.12.2018</w:t>
            </w:r>
          </w:p>
        </w:tc>
        <w:tc>
          <w:tcPr>
            <w:tcW w:type="dxa" w:w="1591"/>
            <w:tcBorders>
              <w:top w:sz="4" w:val="nil"/>
              <w:left w:sz="4" w:val="nil"/>
              <w:bottom w:color="000000" w:sz="4" w:val="single"/>
              <w:right w:color="000000" w:sz="4" w:val="single"/>
            </w:tcBorders>
            <w:shd w:fill="auto" w:val="clear"/>
            <w:vAlign w:val="center"/>
          </w:tcPr>
          <w:p w14:paraId="B22B0000">
            <w:pPr>
              <w:widowControl w:val="1"/>
              <w:ind/>
              <w:contextualSpacing w:val="1"/>
              <w:jc w:val="center"/>
              <w:rPr>
                <w:sz w:val="22"/>
              </w:rPr>
            </w:pPr>
            <w:r>
              <w:rPr>
                <w:sz w:val="22"/>
              </w:rPr>
              <w:t>145000</w:t>
            </w:r>
          </w:p>
        </w:tc>
        <w:tc>
          <w:tcPr>
            <w:tcW w:type="dxa" w:w="2104"/>
            <w:tcBorders>
              <w:top w:sz="4" w:val="nil"/>
              <w:left w:sz="4" w:val="nil"/>
              <w:bottom w:color="000000" w:sz="4" w:val="single"/>
              <w:right w:color="000000" w:sz="4" w:val="single"/>
            </w:tcBorders>
            <w:shd w:fill="FFFFFF" w:val="clear"/>
            <w:vAlign w:val="center"/>
          </w:tcPr>
          <w:p w14:paraId="B3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B42B0000">
            <w:pPr>
              <w:widowControl w:val="1"/>
              <w:ind/>
              <w:contextualSpacing w:val="1"/>
              <w:jc w:val="center"/>
              <w:rPr>
                <w:color w:val="000000"/>
                <w:sz w:val="22"/>
              </w:rPr>
            </w:pPr>
            <w:r>
              <w:rPr>
                <w:color w:val="000000"/>
                <w:sz w:val="22"/>
              </w:rPr>
              <w:t>61</w:t>
            </w:r>
          </w:p>
        </w:tc>
        <w:tc>
          <w:tcPr>
            <w:tcW w:type="dxa" w:w="2268"/>
            <w:tcBorders>
              <w:top w:sz="4" w:val="nil"/>
              <w:left w:sz="4" w:val="nil"/>
              <w:bottom w:color="000000" w:sz="4" w:val="single"/>
              <w:right w:color="000000" w:sz="4" w:val="single"/>
            </w:tcBorders>
            <w:shd w:fill="auto" w:val="clear"/>
            <w:vAlign w:val="center"/>
          </w:tcPr>
          <w:p w14:paraId="B52B0000">
            <w:pPr>
              <w:widowControl w:val="1"/>
              <w:ind/>
              <w:contextualSpacing w:val="1"/>
              <w:jc w:val="center"/>
              <w:rPr>
                <w:sz w:val="22"/>
              </w:rPr>
            </w:pPr>
            <w:r>
              <w:rPr>
                <w:sz w:val="22"/>
              </w:rPr>
              <w:t>дополнительное соглвшение № 1 к договору № 2713271 от 06.02.2018г. От 09.10.2018</w:t>
            </w:r>
          </w:p>
        </w:tc>
        <w:tc>
          <w:tcPr>
            <w:tcW w:type="dxa" w:w="1427"/>
            <w:tcBorders>
              <w:top w:sz="4" w:val="nil"/>
              <w:left w:sz="4" w:val="nil"/>
              <w:bottom w:color="000000" w:sz="4" w:val="single"/>
              <w:right w:color="000000" w:sz="4" w:val="single"/>
            </w:tcBorders>
            <w:shd w:fill="auto" w:val="clear"/>
            <w:vAlign w:val="center"/>
          </w:tcPr>
          <w:p w14:paraId="B62B0000">
            <w:pPr>
              <w:widowControl w:val="1"/>
              <w:ind/>
              <w:contextualSpacing w:val="1"/>
              <w:jc w:val="center"/>
              <w:rPr>
                <w:sz w:val="22"/>
              </w:rPr>
            </w:pPr>
            <w:r>
              <w:rPr>
                <w:sz w:val="22"/>
              </w:rPr>
              <w:t>09.10.2018</w:t>
            </w:r>
          </w:p>
        </w:tc>
        <w:tc>
          <w:tcPr>
            <w:tcW w:type="dxa" w:w="2258"/>
            <w:tcBorders>
              <w:top w:sz="4" w:val="nil"/>
              <w:left w:sz="4" w:val="nil"/>
              <w:bottom w:color="000000" w:sz="4" w:val="single"/>
              <w:right w:color="000000" w:sz="4" w:val="single"/>
            </w:tcBorders>
            <w:shd w:fill="FFFFFF" w:val="clear"/>
            <w:vAlign w:val="center"/>
          </w:tcPr>
          <w:p w14:paraId="B72B0000">
            <w:pPr>
              <w:widowControl w:val="1"/>
              <w:ind/>
              <w:contextualSpacing w:val="1"/>
              <w:jc w:val="center"/>
              <w:rPr>
                <w:sz w:val="22"/>
              </w:rPr>
            </w:pPr>
            <w:r>
              <w:rPr>
                <w:sz w:val="22"/>
              </w:rPr>
              <w:t>ОАО "РЖД" Западно-Сибирская дирекция капитального ремонта и реконструкции объектов электрификации и электроснабжения</w:t>
            </w:r>
          </w:p>
        </w:tc>
        <w:tc>
          <w:tcPr>
            <w:tcW w:type="dxa" w:w="2561"/>
            <w:tcBorders>
              <w:top w:sz="4" w:val="nil"/>
              <w:left w:sz="4" w:val="nil"/>
              <w:bottom w:color="000000" w:sz="4" w:val="single"/>
              <w:right w:color="000000" w:sz="4" w:val="single"/>
            </w:tcBorders>
            <w:shd w:fill="FFFFFF" w:val="clear"/>
            <w:vAlign w:val="center"/>
          </w:tcPr>
          <w:p w14:paraId="B82B0000">
            <w:pPr>
              <w:widowControl w:val="1"/>
              <w:ind/>
              <w:contextualSpacing w:val="1"/>
              <w:jc w:val="center"/>
              <w:rPr>
                <w:sz w:val="22"/>
              </w:rPr>
            </w:pPr>
            <w:r>
              <w:rPr>
                <w:sz w:val="22"/>
              </w:rPr>
              <w:t>увеличение предельной цены договора на перевозку работников</w:t>
            </w:r>
          </w:p>
        </w:tc>
        <w:tc>
          <w:tcPr>
            <w:tcW w:type="dxa" w:w="1416"/>
            <w:tcBorders>
              <w:top w:sz="4" w:val="nil"/>
              <w:left w:sz="4" w:val="nil"/>
              <w:bottom w:color="000000" w:sz="4" w:val="single"/>
              <w:right w:color="000000" w:sz="4" w:val="single"/>
            </w:tcBorders>
            <w:shd w:fill="FFFFFF" w:val="clear"/>
            <w:vAlign w:val="center"/>
          </w:tcPr>
          <w:p w14:paraId="B92B0000">
            <w:pPr>
              <w:widowControl w:val="1"/>
              <w:ind/>
              <w:contextualSpacing w:val="1"/>
              <w:jc w:val="center"/>
              <w:rPr>
                <w:sz w:val="22"/>
              </w:rPr>
            </w:pPr>
            <w:r>
              <w:rPr>
                <w:sz w:val="22"/>
              </w:rPr>
              <w:t>01.08.2018-31.12.2018</w:t>
            </w:r>
          </w:p>
        </w:tc>
        <w:tc>
          <w:tcPr>
            <w:tcW w:type="dxa" w:w="1591"/>
            <w:tcBorders>
              <w:top w:sz="4" w:val="nil"/>
              <w:left w:sz="4" w:val="nil"/>
              <w:bottom w:color="000000" w:sz="4" w:val="single"/>
              <w:right w:color="000000" w:sz="4" w:val="single"/>
            </w:tcBorders>
            <w:shd w:fill="FFFFFF" w:val="clear"/>
            <w:vAlign w:val="center"/>
          </w:tcPr>
          <w:p w14:paraId="BA2B0000">
            <w:pPr>
              <w:widowControl w:val="1"/>
              <w:ind/>
              <w:contextualSpacing w:val="1"/>
              <w:jc w:val="center"/>
              <w:rPr>
                <w:sz w:val="22"/>
              </w:rPr>
            </w:pPr>
            <w:r>
              <w:rPr>
                <w:sz w:val="22"/>
              </w:rPr>
              <w:t>260000</w:t>
            </w:r>
          </w:p>
        </w:tc>
        <w:tc>
          <w:tcPr>
            <w:tcW w:type="dxa" w:w="2104"/>
            <w:tcBorders>
              <w:top w:sz="4" w:val="nil"/>
              <w:left w:sz="4" w:val="nil"/>
              <w:bottom w:color="000000" w:sz="4" w:val="single"/>
              <w:right w:color="000000" w:sz="4" w:val="single"/>
            </w:tcBorders>
            <w:shd w:fill="FFFFFF" w:val="clear"/>
            <w:vAlign w:val="center"/>
          </w:tcPr>
          <w:p w14:paraId="BB2B0000">
            <w:pPr>
              <w:widowControl w:val="1"/>
              <w:ind/>
              <w:contextualSpacing w:val="1"/>
              <w:jc w:val="center"/>
              <w:rPr>
                <w:sz w:val="22"/>
              </w:rPr>
            </w:pPr>
            <w:r>
              <w:rPr>
                <w:sz w:val="22"/>
              </w:rPr>
              <w:t>извещение о сделке направлено 29.08.2018г., требование об одобрении сделки не поступило</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BC2B0000">
            <w:pPr>
              <w:widowControl w:val="1"/>
              <w:ind/>
              <w:contextualSpacing w:val="1"/>
              <w:jc w:val="center"/>
              <w:rPr>
                <w:color w:val="000000"/>
                <w:sz w:val="22"/>
              </w:rPr>
            </w:pPr>
            <w:r>
              <w:rPr>
                <w:color w:val="000000"/>
                <w:sz w:val="22"/>
              </w:rPr>
              <w:t>62</w:t>
            </w:r>
          </w:p>
        </w:tc>
        <w:tc>
          <w:tcPr>
            <w:tcW w:type="dxa" w:w="2268"/>
            <w:tcBorders>
              <w:top w:sz="4" w:val="nil"/>
              <w:left w:sz="4" w:val="nil"/>
              <w:bottom w:color="000000" w:sz="4" w:val="single"/>
              <w:right w:color="000000" w:sz="4" w:val="single"/>
            </w:tcBorders>
            <w:shd w:fill="auto" w:val="clear"/>
            <w:vAlign w:val="center"/>
          </w:tcPr>
          <w:p w14:paraId="BD2B0000">
            <w:pPr>
              <w:widowControl w:val="1"/>
              <w:ind/>
              <w:contextualSpacing w:val="1"/>
              <w:jc w:val="center"/>
              <w:rPr>
                <w:sz w:val="22"/>
              </w:rPr>
            </w:pPr>
            <w:r>
              <w:rPr>
                <w:sz w:val="22"/>
              </w:rPr>
              <w:t>дополнительное соглашение № 1 к договору № 2671703 от 12.12.2017 от 12.10.2018</w:t>
            </w:r>
          </w:p>
        </w:tc>
        <w:tc>
          <w:tcPr>
            <w:tcW w:type="dxa" w:w="1427"/>
            <w:tcBorders>
              <w:top w:sz="4" w:val="nil"/>
              <w:left w:sz="4" w:val="nil"/>
              <w:bottom w:color="000000" w:sz="4" w:val="single"/>
              <w:right w:color="000000" w:sz="4" w:val="single"/>
            </w:tcBorders>
            <w:shd w:fill="auto" w:val="clear"/>
            <w:vAlign w:val="center"/>
          </w:tcPr>
          <w:p w14:paraId="BE2B0000">
            <w:pPr>
              <w:widowControl w:val="1"/>
              <w:ind/>
              <w:contextualSpacing w:val="1"/>
              <w:jc w:val="center"/>
              <w:rPr>
                <w:sz w:val="22"/>
              </w:rPr>
            </w:pPr>
            <w:r>
              <w:rPr>
                <w:sz w:val="22"/>
              </w:rPr>
              <w:t>12.10.2018</w:t>
            </w:r>
          </w:p>
        </w:tc>
        <w:tc>
          <w:tcPr>
            <w:tcW w:type="dxa" w:w="2258"/>
            <w:tcBorders>
              <w:top w:sz="4" w:val="nil"/>
              <w:left w:sz="4" w:val="nil"/>
              <w:bottom w:color="000000" w:sz="4" w:val="single"/>
              <w:right w:color="000000" w:sz="4" w:val="single"/>
            </w:tcBorders>
            <w:shd w:fill="FFFFFF" w:val="clear"/>
            <w:vAlign w:val="center"/>
          </w:tcPr>
          <w:p w14:paraId="BF2B0000">
            <w:pPr>
              <w:widowControl w:val="1"/>
              <w:ind/>
              <w:contextualSpacing w:val="1"/>
              <w:jc w:val="center"/>
              <w:rPr>
                <w:sz w:val="22"/>
              </w:rPr>
            </w:pPr>
            <w:r>
              <w:rPr>
                <w:sz w:val="22"/>
              </w:rPr>
              <w:t>ОАО "РЖД" Красноярская дирекция тяги</w:t>
            </w:r>
          </w:p>
        </w:tc>
        <w:tc>
          <w:tcPr>
            <w:tcW w:type="dxa" w:w="2561"/>
            <w:tcBorders>
              <w:top w:sz="4" w:val="nil"/>
              <w:left w:sz="4" w:val="nil"/>
              <w:bottom w:color="000000" w:sz="4" w:val="single"/>
              <w:right w:color="000000" w:sz="4" w:val="single"/>
            </w:tcBorders>
            <w:shd w:fill="FFFFFF" w:val="clear"/>
            <w:vAlign w:val="center"/>
          </w:tcPr>
          <w:p w14:paraId="C02B0000">
            <w:pPr>
              <w:widowControl w:val="1"/>
              <w:ind/>
              <w:contextualSpacing w:val="1"/>
              <w:jc w:val="center"/>
              <w:rPr>
                <w:sz w:val="22"/>
              </w:rPr>
            </w:pPr>
            <w:r>
              <w:rPr>
                <w:sz w:val="22"/>
              </w:rPr>
              <w:t>внесение изменений об использовании электронных документов, без изменения цены договора</w:t>
            </w:r>
          </w:p>
        </w:tc>
        <w:tc>
          <w:tcPr>
            <w:tcW w:type="dxa" w:w="1416"/>
            <w:tcBorders>
              <w:top w:sz="4" w:val="nil"/>
              <w:left w:sz="4" w:val="nil"/>
              <w:bottom w:color="000000" w:sz="4" w:val="single"/>
              <w:right w:color="000000" w:sz="4" w:val="single"/>
            </w:tcBorders>
            <w:shd w:fill="FFFFFF" w:val="clear"/>
            <w:vAlign w:val="center"/>
          </w:tcPr>
          <w:p w14:paraId="C12B0000">
            <w:pPr>
              <w:widowControl w:val="1"/>
              <w:ind/>
              <w:contextualSpacing w:val="1"/>
              <w:jc w:val="center"/>
              <w:rPr>
                <w:sz w:val="22"/>
              </w:rPr>
            </w:pPr>
            <w:r>
              <w:rPr>
                <w:sz w:val="22"/>
              </w:rPr>
              <w:t>12.10.2018-31.12.2018</w:t>
            </w:r>
          </w:p>
        </w:tc>
        <w:tc>
          <w:tcPr>
            <w:tcW w:type="dxa" w:w="1591"/>
            <w:tcBorders>
              <w:top w:sz="4" w:val="nil"/>
              <w:left w:sz="4" w:val="nil"/>
              <w:bottom w:color="000000" w:sz="4" w:val="single"/>
              <w:right w:color="000000" w:sz="4" w:val="single"/>
            </w:tcBorders>
            <w:shd w:fill="auto" w:val="clear"/>
            <w:vAlign w:val="center"/>
          </w:tcPr>
          <w:p w14:paraId="C22B0000">
            <w:pPr>
              <w:widowControl w:val="1"/>
              <w:ind/>
              <w:contextualSpacing w:val="1"/>
              <w:jc w:val="center"/>
              <w:rPr>
                <w:sz w:val="22"/>
              </w:rPr>
            </w:pPr>
            <w:r>
              <w:rPr>
                <w:sz w:val="22"/>
              </w:rPr>
              <w:t>2400000</w:t>
            </w:r>
          </w:p>
        </w:tc>
        <w:tc>
          <w:tcPr>
            <w:tcW w:type="dxa" w:w="2104"/>
            <w:tcBorders>
              <w:top w:sz="4" w:val="nil"/>
              <w:left w:sz="4" w:val="nil"/>
              <w:bottom w:color="000000" w:sz="4" w:val="single"/>
              <w:right w:color="000000" w:sz="4" w:val="single"/>
            </w:tcBorders>
            <w:shd w:fill="FFFFFF" w:val="clear"/>
            <w:vAlign w:val="center"/>
          </w:tcPr>
          <w:p w14:paraId="C3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C42B0000">
            <w:pPr>
              <w:widowControl w:val="1"/>
              <w:ind/>
              <w:contextualSpacing w:val="1"/>
              <w:jc w:val="center"/>
              <w:rPr>
                <w:color w:val="000000"/>
                <w:sz w:val="22"/>
              </w:rPr>
            </w:pPr>
            <w:r>
              <w:rPr>
                <w:color w:val="000000"/>
                <w:sz w:val="22"/>
              </w:rPr>
              <w:t>63</w:t>
            </w:r>
          </w:p>
        </w:tc>
        <w:tc>
          <w:tcPr>
            <w:tcW w:type="dxa" w:w="2268"/>
            <w:tcBorders>
              <w:top w:sz="4" w:val="nil"/>
              <w:left w:sz="4" w:val="nil"/>
              <w:bottom w:color="000000" w:sz="4" w:val="single"/>
              <w:right w:color="000000" w:sz="4" w:val="single"/>
            </w:tcBorders>
            <w:shd w:fill="auto" w:val="clear"/>
            <w:vAlign w:val="center"/>
          </w:tcPr>
          <w:p w14:paraId="C52B0000">
            <w:pPr>
              <w:widowControl w:val="1"/>
              <w:ind/>
              <w:contextualSpacing w:val="1"/>
              <w:jc w:val="center"/>
              <w:rPr>
                <w:sz w:val="22"/>
              </w:rPr>
            </w:pPr>
            <w:r>
              <w:rPr>
                <w:sz w:val="22"/>
              </w:rPr>
              <w:t>дополнительное соглашение № 2/3103129 к договору № 2716160 от 29.12.2017 от 16.10.2018</w:t>
            </w:r>
          </w:p>
        </w:tc>
        <w:tc>
          <w:tcPr>
            <w:tcW w:type="dxa" w:w="1427"/>
            <w:tcBorders>
              <w:top w:sz="4" w:val="nil"/>
              <w:left w:sz="4" w:val="nil"/>
              <w:bottom w:color="000000" w:sz="4" w:val="single"/>
              <w:right w:color="000000" w:sz="4" w:val="single"/>
            </w:tcBorders>
            <w:shd w:fill="auto" w:val="clear"/>
            <w:vAlign w:val="center"/>
          </w:tcPr>
          <w:p w14:paraId="C62B0000">
            <w:pPr>
              <w:widowControl w:val="1"/>
              <w:ind/>
              <w:contextualSpacing w:val="1"/>
              <w:jc w:val="center"/>
              <w:rPr>
                <w:sz w:val="22"/>
              </w:rPr>
            </w:pPr>
            <w:r>
              <w:rPr>
                <w:sz w:val="22"/>
              </w:rPr>
              <w:t>16.10.2018</w:t>
            </w:r>
          </w:p>
        </w:tc>
        <w:tc>
          <w:tcPr>
            <w:tcW w:type="dxa" w:w="2258"/>
            <w:tcBorders>
              <w:top w:sz="4" w:val="nil"/>
              <w:left w:sz="4" w:val="nil"/>
              <w:bottom w:color="000000" w:sz="4" w:val="single"/>
              <w:right w:color="000000" w:sz="4" w:val="single"/>
            </w:tcBorders>
            <w:shd w:fill="auto" w:val="clear"/>
            <w:vAlign w:val="center"/>
          </w:tcPr>
          <w:p w14:paraId="C72B0000">
            <w:pPr>
              <w:widowControl w:val="1"/>
              <w:ind/>
              <w:contextualSpacing w:val="1"/>
              <w:jc w:val="center"/>
              <w:rPr>
                <w:sz w:val="22"/>
              </w:rPr>
            </w:pPr>
            <w:r>
              <w:rPr>
                <w:sz w:val="22"/>
              </w:rPr>
              <w:t>ОАО "РЖД" Красноярская региональная служба развития пассажирских сообщений и предоставления доступа к инфраструктуре</w:t>
            </w:r>
          </w:p>
        </w:tc>
        <w:tc>
          <w:tcPr>
            <w:tcW w:type="dxa" w:w="2561"/>
            <w:tcBorders>
              <w:top w:sz="4" w:val="nil"/>
              <w:left w:sz="4" w:val="nil"/>
              <w:bottom w:color="000000" w:sz="4" w:val="single"/>
              <w:right w:color="000000" w:sz="4" w:val="single"/>
            </w:tcBorders>
            <w:shd w:fill="auto" w:val="clear"/>
            <w:vAlign w:val="center"/>
          </w:tcPr>
          <w:p w14:paraId="C82B0000">
            <w:pPr>
              <w:widowControl w:val="1"/>
              <w:ind/>
              <w:contextualSpacing w:val="1"/>
              <w:jc w:val="center"/>
              <w:rPr>
                <w:sz w:val="22"/>
              </w:rPr>
            </w:pPr>
            <w:r>
              <w:rPr>
                <w:sz w:val="22"/>
              </w:rPr>
              <w:t>Внесение изменений в перечень передаваемых помещений без изменения цены договора</w:t>
            </w:r>
          </w:p>
        </w:tc>
        <w:tc>
          <w:tcPr>
            <w:tcW w:type="dxa" w:w="1416"/>
            <w:tcBorders>
              <w:top w:sz="4" w:val="nil"/>
              <w:left w:sz="4" w:val="nil"/>
              <w:bottom w:color="000000" w:sz="4" w:val="single"/>
              <w:right w:color="000000" w:sz="4" w:val="single"/>
            </w:tcBorders>
            <w:shd w:fill="auto" w:val="clear"/>
            <w:vAlign w:val="center"/>
          </w:tcPr>
          <w:p w14:paraId="C92B0000">
            <w:pPr>
              <w:widowControl w:val="1"/>
              <w:ind/>
              <w:contextualSpacing w:val="1"/>
              <w:jc w:val="center"/>
              <w:rPr>
                <w:sz w:val="22"/>
              </w:rPr>
            </w:pPr>
            <w:r>
              <w:rPr>
                <w:sz w:val="22"/>
              </w:rPr>
              <w:t>01.01.2018-31.12.2020</w:t>
            </w:r>
          </w:p>
        </w:tc>
        <w:tc>
          <w:tcPr>
            <w:tcW w:type="dxa" w:w="1591"/>
            <w:tcBorders>
              <w:top w:sz="4" w:val="nil"/>
              <w:left w:sz="4" w:val="nil"/>
              <w:bottom w:color="000000" w:sz="4" w:val="single"/>
              <w:right w:color="000000" w:sz="4" w:val="single"/>
            </w:tcBorders>
            <w:shd w:fill="auto" w:val="clear"/>
            <w:vAlign w:val="center"/>
          </w:tcPr>
          <w:p w14:paraId="CA2B0000">
            <w:pPr>
              <w:widowControl w:val="1"/>
              <w:ind/>
              <w:contextualSpacing w:val="1"/>
              <w:jc w:val="center"/>
              <w:rPr>
                <w:sz w:val="22"/>
              </w:rPr>
            </w:pPr>
            <w:r>
              <w:rPr>
                <w:sz w:val="22"/>
              </w:rPr>
              <w:t>17260282,02</w:t>
            </w:r>
          </w:p>
        </w:tc>
        <w:tc>
          <w:tcPr>
            <w:tcW w:type="dxa" w:w="2104"/>
            <w:tcBorders>
              <w:top w:sz="4" w:val="nil"/>
              <w:left w:sz="4" w:val="nil"/>
              <w:bottom w:color="000000" w:sz="4" w:val="single"/>
              <w:right w:color="000000" w:sz="4" w:val="single"/>
            </w:tcBorders>
            <w:shd w:fill="FFFFFF" w:val="clear"/>
            <w:vAlign w:val="center"/>
          </w:tcPr>
          <w:p w14:paraId="CB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CC2B0000">
            <w:pPr>
              <w:widowControl w:val="1"/>
              <w:ind/>
              <w:contextualSpacing w:val="1"/>
              <w:jc w:val="center"/>
              <w:rPr>
                <w:color w:val="000000"/>
                <w:sz w:val="22"/>
              </w:rPr>
            </w:pPr>
            <w:r>
              <w:rPr>
                <w:color w:val="000000"/>
                <w:sz w:val="22"/>
              </w:rPr>
              <w:t>64</w:t>
            </w:r>
          </w:p>
        </w:tc>
        <w:tc>
          <w:tcPr>
            <w:tcW w:type="dxa" w:w="2268"/>
            <w:tcBorders>
              <w:top w:sz="4" w:val="nil"/>
              <w:left w:sz="4" w:val="nil"/>
              <w:bottom w:color="000000" w:sz="4" w:val="single"/>
              <w:right w:color="000000" w:sz="4" w:val="single"/>
            </w:tcBorders>
            <w:shd w:fill="auto" w:val="clear"/>
            <w:vAlign w:val="center"/>
          </w:tcPr>
          <w:p w14:paraId="CD2B0000">
            <w:pPr>
              <w:widowControl w:val="1"/>
              <w:ind/>
              <w:contextualSpacing w:val="1"/>
              <w:jc w:val="center"/>
              <w:rPr>
                <w:sz w:val="22"/>
              </w:rPr>
            </w:pPr>
            <w:r>
              <w:rPr>
                <w:sz w:val="22"/>
              </w:rPr>
              <w:t>дополнительное соглашение № 3098533 к договору № 2688850 от 21.12.2017 от 16.10.2018</w:t>
            </w:r>
          </w:p>
        </w:tc>
        <w:tc>
          <w:tcPr>
            <w:tcW w:type="dxa" w:w="1427"/>
            <w:tcBorders>
              <w:top w:sz="4" w:val="nil"/>
              <w:left w:sz="4" w:val="nil"/>
              <w:bottom w:color="000000" w:sz="4" w:val="single"/>
              <w:right w:color="000000" w:sz="4" w:val="single"/>
            </w:tcBorders>
            <w:shd w:fill="auto" w:val="clear"/>
            <w:vAlign w:val="center"/>
          </w:tcPr>
          <w:p w14:paraId="CE2B0000">
            <w:pPr>
              <w:widowControl w:val="1"/>
              <w:ind/>
              <w:contextualSpacing w:val="1"/>
              <w:jc w:val="center"/>
              <w:rPr>
                <w:sz w:val="22"/>
              </w:rPr>
            </w:pPr>
            <w:r>
              <w:rPr>
                <w:sz w:val="22"/>
              </w:rPr>
              <w:t>16.10.2018</w:t>
            </w:r>
          </w:p>
        </w:tc>
        <w:tc>
          <w:tcPr>
            <w:tcW w:type="dxa" w:w="2258"/>
            <w:tcBorders>
              <w:top w:sz="4" w:val="nil"/>
              <w:left w:sz="4" w:val="nil"/>
              <w:bottom w:color="000000" w:sz="4" w:val="single"/>
              <w:right w:color="000000" w:sz="4" w:val="single"/>
            </w:tcBorders>
            <w:shd w:fill="auto" w:val="clear"/>
            <w:vAlign w:val="center"/>
          </w:tcPr>
          <w:p w14:paraId="CF2B0000">
            <w:pPr>
              <w:widowControl w:val="1"/>
              <w:ind/>
              <w:contextualSpacing w:val="1"/>
              <w:jc w:val="center"/>
              <w:rPr>
                <w:sz w:val="22"/>
              </w:rPr>
            </w:pPr>
            <w:r>
              <w:rPr>
                <w:sz w:val="22"/>
              </w:rPr>
              <w:t>ОАО "РЖД" Красноярский территориальный центр фирменного транспортного обслуживания</w:t>
            </w:r>
          </w:p>
        </w:tc>
        <w:tc>
          <w:tcPr>
            <w:tcW w:type="dxa" w:w="2561"/>
            <w:tcBorders>
              <w:top w:sz="4" w:val="nil"/>
              <w:left w:sz="4" w:val="nil"/>
              <w:bottom w:sz="4" w:val="nil"/>
              <w:right w:color="000000" w:sz="4" w:val="single"/>
            </w:tcBorders>
            <w:shd w:fill="auto" w:val="clear"/>
            <w:vAlign w:val="center"/>
          </w:tcPr>
          <w:p w14:paraId="D02B0000">
            <w:pPr>
              <w:widowControl w:val="1"/>
              <w:ind/>
              <w:contextualSpacing w:val="1"/>
              <w:jc w:val="center"/>
              <w:rPr>
                <w:sz w:val="22"/>
              </w:rPr>
            </w:pPr>
            <w:r>
              <w:rPr>
                <w:sz w:val="22"/>
              </w:rPr>
              <w:t>увеличение предельной цены договор ана оказание услуг по перевозке рпассажиров</w:t>
            </w:r>
          </w:p>
        </w:tc>
        <w:tc>
          <w:tcPr>
            <w:tcW w:type="dxa" w:w="1416"/>
            <w:tcBorders>
              <w:top w:sz="4" w:val="nil"/>
              <w:left w:sz="4" w:val="nil"/>
              <w:bottom w:color="000000" w:sz="4" w:val="single"/>
              <w:right w:color="000000" w:sz="4" w:val="single"/>
            </w:tcBorders>
            <w:shd w:fill="auto" w:val="clear"/>
            <w:vAlign w:val="center"/>
          </w:tcPr>
          <w:p w14:paraId="D12B0000">
            <w:pPr>
              <w:widowControl w:val="1"/>
              <w:ind/>
              <w:contextualSpacing w:val="1"/>
              <w:jc w:val="center"/>
              <w:rPr>
                <w:sz w:val="22"/>
              </w:rPr>
            </w:pPr>
            <w:r>
              <w:rPr>
                <w:sz w:val="22"/>
              </w:rPr>
              <w:t>16.10.2018-15.02.2019</w:t>
            </w:r>
          </w:p>
        </w:tc>
        <w:tc>
          <w:tcPr>
            <w:tcW w:type="dxa" w:w="1591"/>
            <w:tcBorders>
              <w:top w:sz="4" w:val="nil"/>
              <w:left w:sz="4" w:val="nil"/>
              <w:bottom w:color="000000" w:sz="4" w:val="single"/>
              <w:right w:color="000000" w:sz="4" w:val="single"/>
            </w:tcBorders>
            <w:shd w:fill="auto" w:val="clear"/>
            <w:vAlign w:val="center"/>
          </w:tcPr>
          <w:p w14:paraId="D22B0000">
            <w:pPr>
              <w:widowControl w:val="1"/>
              <w:ind/>
              <w:contextualSpacing w:val="1"/>
              <w:jc w:val="center"/>
              <w:rPr>
                <w:sz w:val="22"/>
              </w:rPr>
            </w:pPr>
            <w:r>
              <w:rPr>
                <w:sz w:val="22"/>
              </w:rPr>
              <w:t>185000</w:t>
            </w:r>
          </w:p>
        </w:tc>
        <w:tc>
          <w:tcPr>
            <w:tcW w:type="dxa" w:w="2104"/>
            <w:tcBorders>
              <w:top w:sz="4" w:val="nil"/>
              <w:left w:sz="4" w:val="nil"/>
              <w:bottom w:color="000000" w:sz="4" w:val="single"/>
              <w:right w:color="000000" w:sz="4" w:val="single"/>
            </w:tcBorders>
            <w:shd w:fill="FFFFFF" w:val="clear"/>
            <w:vAlign w:val="center"/>
          </w:tcPr>
          <w:p w14:paraId="D3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D42B0000">
            <w:pPr>
              <w:widowControl w:val="1"/>
              <w:ind/>
              <w:contextualSpacing w:val="1"/>
              <w:jc w:val="center"/>
              <w:rPr>
                <w:color w:val="000000"/>
                <w:sz w:val="22"/>
              </w:rPr>
            </w:pPr>
            <w:r>
              <w:rPr>
                <w:color w:val="000000"/>
                <w:sz w:val="22"/>
              </w:rPr>
              <w:t>65</w:t>
            </w:r>
          </w:p>
        </w:tc>
        <w:tc>
          <w:tcPr>
            <w:tcW w:type="dxa" w:w="2268"/>
            <w:tcBorders>
              <w:top w:sz="4" w:val="nil"/>
              <w:left w:sz="4" w:val="nil"/>
              <w:bottom w:color="000000" w:sz="4" w:val="single"/>
              <w:right w:color="000000" w:sz="4" w:val="single"/>
            </w:tcBorders>
            <w:shd w:fill="auto" w:val="clear"/>
            <w:vAlign w:val="center"/>
          </w:tcPr>
          <w:p w14:paraId="D52B0000">
            <w:pPr>
              <w:widowControl w:val="1"/>
              <w:ind/>
              <w:contextualSpacing w:val="1"/>
              <w:jc w:val="center"/>
              <w:rPr>
                <w:sz w:val="22"/>
              </w:rPr>
            </w:pPr>
            <w:r>
              <w:rPr>
                <w:sz w:val="22"/>
              </w:rPr>
              <w:t>дополнительное соглашение № 2 к договору № 2713102 от 28.12.2017г. От 30.10.2018</w:t>
            </w:r>
          </w:p>
        </w:tc>
        <w:tc>
          <w:tcPr>
            <w:tcW w:type="dxa" w:w="1427"/>
            <w:tcBorders>
              <w:top w:sz="4" w:val="nil"/>
              <w:left w:sz="4" w:val="nil"/>
              <w:bottom w:color="000000" w:sz="4" w:val="single"/>
              <w:right w:color="000000" w:sz="4" w:val="single"/>
            </w:tcBorders>
            <w:shd w:fill="auto" w:val="clear"/>
            <w:vAlign w:val="center"/>
          </w:tcPr>
          <w:p w14:paraId="D62B0000">
            <w:pPr>
              <w:widowControl w:val="1"/>
              <w:ind/>
              <w:contextualSpacing w:val="1"/>
              <w:jc w:val="center"/>
              <w:rPr>
                <w:sz w:val="22"/>
              </w:rPr>
            </w:pPr>
            <w:r>
              <w:rPr>
                <w:sz w:val="22"/>
              </w:rPr>
              <w:t>30.10.2018</w:t>
            </w:r>
          </w:p>
        </w:tc>
        <w:tc>
          <w:tcPr>
            <w:tcW w:type="dxa" w:w="2258"/>
            <w:tcBorders>
              <w:top w:sz="4" w:val="nil"/>
              <w:left w:sz="4" w:val="nil"/>
              <w:bottom w:color="000000" w:sz="4" w:val="single"/>
              <w:right w:color="000000" w:sz="4" w:val="single"/>
            </w:tcBorders>
            <w:shd w:fill="auto" w:val="clear"/>
            <w:vAlign w:val="center"/>
          </w:tcPr>
          <w:p w14:paraId="D72B0000">
            <w:pPr>
              <w:widowControl w:val="1"/>
              <w:ind/>
              <w:contextualSpacing w:val="1"/>
              <w:jc w:val="center"/>
              <w:rPr>
                <w:color w:val="000000"/>
                <w:sz w:val="22"/>
              </w:rPr>
            </w:pPr>
            <w:r>
              <w:rPr>
                <w:color w:val="000000"/>
                <w:sz w:val="22"/>
              </w:rPr>
              <w:t>ОАО "РЖД" Красноярская дирекция связи</w:t>
            </w:r>
          </w:p>
        </w:tc>
        <w:tc>
          <w:tcPr>
            <w:tcW w:type="dxa" w:w="2561"/>
            <w:tcBorders>
              <w:top w:color="000000" w:sz="4" w:val="single"/>
              <w:left w:sz="4" w:val="nil"/>
              <w:bottom w:color="000000" w:sz="4" w:val="single"/>
              <w:right w:color="000000" w:sz="4" w:val="single"/>
            </w:tcBorders>
            <w:shd w:fill="FFFFFF" w:val="clear"/>
            <w:vAlign w:val="center"/>
          </w:tcPr>
          <w:p w14:paraId="D82B0000">
            <w:pPr>
              <w:widowControl w:val="1"/>
              <w:ind/>
              <w:contextualSpacing w:val="1"/>
              <w:jc w:val="center"/>
              <w:rPr>
                <w:sz w:val="22"/>
              </w:rPr>
            </w:pPr>
            <w:r>
              <w:rPr>
                <w:sz w:val="22"/>
              </w:rPr>
              <w:t>увеличение предельной цены договора на перевозку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D92B0000">
            <w:pPr>
              <w:widowControl w:val="1"/>
              <w:ind/>
              <w:contextualSpacing w:val="1"/>
              <w:jc w:val="center"/>
              <w:rPr>
                <w:sz w:val="22"/>
              </w:rPr>
            </w:pPr>
            <w:r>
              <w:rPr>
                <w:sz w:val="22"/>
              </w:rPr>
              <w:t>30.10.2018-31.12.2018</w:t>
            </w:r>
          </w:p>
        </w:tc>
        <w:tc>
          <w:tcPr>
            <w:tcW w:type="dxa" w:w="1591"/>
            <w:tcBorders>
              <w:top w:sz="4" w:val="nil"/>
              <w:left w:sz="4" w:val="nil"/>
              <w:bottom w:color="000000" w:sz="4" w:val="single"/>
              <w:right w:color="000000" w:sz="4" w:val="single"/>
            </w:tcBorders>
            <w:shd w:fill="auto" w:val="clear"/>
            <w:vAlign w:val="center"/>
          </w:tcPr>
          <w:p w14:paraId="DA2B0000">
            <w:pPr>
              <w:widowControl w:val="1"/>
              <w:ind/>
              <w:contextualSpacing w:val="1"/>
              <w:jc w:val="center"/>
              <w:rPr>
                <w:sz w:val="22"/>
              </w:rPr>
            </w:pPr>
            <w:r>
              <w:rPr>
                <w:sz w:val="22"/>
              </w:rPr>
              <w:t>877000</w:t>
            </w:r>
          </w:p>
        </w:tc>
        <w:tc>
          <w:tcPr>
            <w:tcW w:type="dxa" w:w="2104"/>
            <w:tcBorders>
              <w:top w:sz="4" w:val="nil"/>
              <w:left w:sz="4" w:val="nil"/>
              <w:bottom w:color="000000" w:sz="4" w:val="single"/>
              <w:right w:color="000000" w:sz="4" w:val="single"/>
            </w:tcBorders>
            <w:shd w:fill="FFFFFF" w:val="clear"/>
            <w:vAlign w:val="center"/>
          </w:tcPr>
          <w:p w14:paraId="DB2B0000">
            <w:pPr>
              <w:widowControl w:val="1"/>
              <w:ind/>
              <w:contextualSpacing w:val="1"/>
              <w:jc w:val="center"/>
              <w:rPr>
                <w:sz w:val="22"/>
              </w:rPr>
            </w:pPr>
            <w:r>
              <w:rPr>
                <w:sz w:val="22"/>
              </w:rPr>
              <w:t>извещение о сделке направлено 16.10.2018г, требование об одобрении сделки не поступило</w:t>
            </w:r>
          </w:p>
        </w:tc>
      </w:tr>
      <w:tr>
        <w:trPr>
          <w:trHeight w:hRule="atLeast" w:val="2025"/>
        </w:trPr>
        <w:tc>
          <w:tcPr>
            <w:tcW w:type="dxa" w:w="730"/>
            <w:tcBorders>
              <w:top w:sz="4" w:val="nil"/>
              <w:left w:color="000000" w:sz="4" w:val="single"/>
              <w:bottom w:color="000000" w:sz="4" w:val="single"/>
              <w:right w:color="000000" w:sz="4" w:val="single"/>
            </w:tcBorders>
            <w:shd w:fill="auto" w:val="clear"/>
            <w:vAlign w:val="center"/>
          </w:tcPr>
          <w:p w14:paraId="DC2B0000">
            <w:pPr>
              <w:widowControl w:val="1"/>
              <w:ind/>
              <w:contextualSpacing w:val="1"/>
              <w:jc w:val="center"/>
              <w:rPr>
                <w:color w:val="000000"/>
                <w:sz w:val="22"/>
              </w:rPr>
            </w:pPr>
            <w:r>
              <w:rPr>
                <w:color w:val="000000"/>
                <w:sz w:val="22"/>
              </w:rPr>
              <w:t>66</w:t>
            </w:r>
          </w:p>
        </w:tc>
        <w:tc>
          <w:tcPr>
            <w:tcW w:type="dxa" w:w="2268"/>
            <w:tcBorders>
              <w:top w:sz="4" w:val="nil"/>
              <w:left w:sz="4" w:val="nil"/>
              <w:bottom w:color="000000" w:sz="4" w:val="single"/>
              <w:right w:color="000000" w:sz="4" w:val="single"/>
            </w:tcBorders>
            <w:shd w:fill="auto" w:val="clear"/>
            <w:vAlign w:val="center"/>
          </w:tcPr>
          <w:p w14:paraId="DD2B0000">
            <w:pPr>
              <w:widowControl w:val="1"/>
              <w:ind/>
              <w:contextualSpacing w:val="1"/>
              <w:jc w:val="center"/>
              <w:rPr>
                <w:sz w:val="22"/>
              </w:rPr>
            </w:pPr>
            <w:r>
              <w:rPr>
                <w:sz w:val="22"/>
              </w:rPr>
              <w:t>дополнительное соглашение № 7/330-13/7/Ф(ЕНИС) к договру № 62 от 24.04.2013 от 06.11.2018</w:t>
            </w:r>
          </w:p>
        </w:tc>
        <w:tc>
          <w:tcPr>
            <w:tcW w:type="dxa" w:w="1427"/>
            <w:tcBorders>
              <w:top w:sz="4" w:val="nil"/>
              <w:left w:sz="4" w:val="nil"/>
              <w:bottom w:color="000000" w:sz="4" w:val="single"/>
              <w:right w:color="000000" w:sz="4" w:val="single"/>
            </w:tcBorders>
            <w:shd w:fill="auto" w:val="clear"/>
            <w:vAlign w:val="center"/>
          </w:tcPr>
          <w:p w14:paraId="DE2B0000">
            <w:pPr>
              <w:widowControl w:val="1"/>
              <w:ind/>
              <w:contextualSpacing w:val="1"/>
              <w:jc w:val="center"/>
              <w:rPr>
                <w:sz w:val="22"/>
              </w:rPr>
            </w:pPr>
            <w:r>
              <w:rPr>
                <w:sz w:val="22"/>
              </w:rPr>
              <w:t>06.11.2018</w:t>
            </w:r>
          </w:p>
        </w:tc>
        <w:tc>
          <w:tcPr>
            <w:tcW w:type="dxa" w:w="2258"/>
            <w:tcBorders>
              <w:top w:sz="4" w:val="nil"/>
              <w:left w:sz="4" w:val="nil"/>
              <w:bottom w:color="000000" w:sz="4" w:val="single"/>
              <w:right w:color="000000" w:sz="4" w:val="single"/>
            </w:tcBorders>
            <w:shd w:fill="auto" w:val="clear"/>
            <w:vAlign w:val="center"/>
          </w:tcPr>
          <w:p w14:paraId="DF2B0000">
            <w:pPr>
              <w:widowControl w:val="1"/>
              <w:ind/>
              <w:contextualSpacing w:val="1"/>
              <w:jc w:val="center"/>
              <w:rPr>
                <w:sz w:val="22"/>
              </w:rPr>
            </w:pPr>
            <w:r>
              <w:rPr>
                <w:sz w:val="22"/>
              </w:rPr>
              <w:t>Енисейский филиал АО "ФПК"</w:t>
            </w:r>
          </w:p>
        </w:tc>
        <w:tc>
          <w:tcPr>
            <w:tcW w:type="dxa" w:w="2561"/>
            <w:tcBorders>
              <w:top w:sz="4" w:val="nil"/>
              <w:left w:sz="4" w:val="nil"/>
              <w:bottom w:color="000000" w:sz="4" w:val="single"/>
              <w:right w:color="000000" w:sz="4" w:val="single"/>
            </w:tcBorders>
            <w:shd w:fill="auto" w:val="clear"/>
            <w:vAlign w:val="center"/>
          </w:tcPr>
          <w:p w14:paraId="E02B0000">
            <w:pPr>
              <w:widowControl w:val="1"/>
              <w:ind/>
              <w:contextualSpacing w:val="1"/>
              <w:jc w:val="center"/>
              <w:rPr>
                <w:sz w:val="22"/>
              </w:rPr>
            </w:pPr>
            <w:r>
              <w:rPr>
                <w:sz w:val="22"/>
              </w:rPr>
              <w:t>внесение изменений в перечень пунктов продажи проездных перевозочных документов</w:t>
            </w:r>
          </w:p>
        </w:tc>
        <w:tc>
          <w:tcPr>
            <w:tcW w:type="dxa" w:w="1416"/>
            <w:tcBorders>
              <w:top w:sz="4" w:val="nil"/>
              <w:left w:sz="4" w:val="nil"/>
              <w:bottom w:color="000000" w:sz="4" w:val="single"/>
              <w:right w:color="000000" w:sz="4" w:val="single"/>
            </w:tcBorders>
            <w:shd w:fill="auto" w:val="clear"/>
            <w:vAlign w:val="center"/>
          </w:tcPr>
          <w:p w14:paraId="E12B0000">
            <w:pPr>
              <w:widowControl w:val="1"/>
              <w:ind/>
              <w:contextualSpacing w:val="1"/>
              <w:jc w:val="center"/>
              <w:rPr>
                <w:sz w:val="22"/>
              </w:rPr>
            </w:pPr>
            <w:r>
              <w:rPr>
                <w:sz w:val="22"/>
              </w:rPr>
              <w:t>01.11.2018-31.12.2018</w:t>
            </w:r>
          </w:p>
        </w:tc>
        <w:tc>
          <w:tcPr>
            <w:tcW w:type="dxa" w:w="1591"/>
            <w:tcBorders>
              <w:top w:sz="4" w:val="nil"/>
              <w:left w:sz="4" w:val="nil"/>
              <w:bottom w:color="000000" w:sz="4" w:val="single"/>
              <w:right w:color="000000" w:sz="4" w:val="single"/>
            </w:tcBorders>
            <w:shd w:fill="auto" w:val="clear"/>
            <w:vAlign w:val="center"/>
          </w:tcPr>
          <w:p w14:paraId="E22B0000">
            <w:pPr>
              <w:widowControl w:val="1"/>
              <w:ind/>
              <w:contextualSpacing w:val="1"/>
              <w:jc w:val="center"/>
              <w:rPr>
                <w:sz w:val="22"/>
              </w:rPr>
            </w:pPr>
            <w:r>
              <w:rPr>
                <w:sz w:val="22"/>
              </w:rPr>
              <w:t>15000000</w:t>
            </w:r>
          </w:p>
        </w:tc>
        <w:tc>
          <w:tcPr>
            <w:tcW w:type="dxa" w:w="2104"/>
            <w:tcBorders>
              <w:top w:sz="4" w:val="nil"/>
              <w:left w:sz="4" w:val="nil"/>
              <w:bottom w:color="000000" w:sz="4" w:val="single"/>
              <w:right w:color="000000" w:sz="4" w:val="single"/>
            </w:tcBorders>
            <w:shd w:fill="FFFFFF" w:val="clear"/>
            <w:vAlign w:val="center"/>
          </w:tcPr>
          <w:p w14:paraId="E32B0000">
            <w:pPr>
              <w:widowControl w:val="1"/>
              <w:ind/>
              <w:contextualSpacing w:val="1"/>
              <w:jc w:val="center"/>
              <w:rPr>
                <w:sz w:val="22"/>
              </w:rPr>
            </w:pPr>
            <w:r>
              <w:rPr>
                <w:sz w:val="22"/>
              </w:rPr>
              <w:t>цена дополнительного соглашения не превышает 0,1% балансовой стоимости активов (пп12 п1 ст81 ФЗ об АО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E42B0000">
            <w:pPr>
              <w:widowControl w:val="1"/>
              <w:ind/>
              <w:contextualSpacing w:val="1"/>
              <w:jc w:val="center"/>
              <w:rPr>
                <w:color w:val="000000"/>
                <w:sz w:val="22"/>
              </w:rPr>
            </w:pPr>
            <w:r>
              <w:rPr>
                <w:color w:val="000000"/>
                <w:sz w:val="22"/>
              </w:rPr>
              <w:t>67</w:t>
            </w:r>
          </w:p>
        </w:tc>
        <w:tc>
          <w:tcPr>
            <w:tcW w:type="dxa" w:w="2268"/>
            <w:tcBorders>
              <w:top w:sz="4" w:val="nil"/>
              <w:left w:sz="4" w:val="nil"/>
              <w:bottom w:color="000000" w:sz="4" w:val="single"/>
              <w:right w:color="000000" w:sz="4" w:val="single"/>
            </w:tcBorders>
            <w:shd w:fill="auto" w:val="clear"/>
            <w:vAlign w:val="center"/>
          </w:tcPr>
          <w:p w14:paraId="E52B0000">
            <w:pPr>
              <w:widowControl w:val="1"/>
              <w:ind/>
              <w:contextualSpacing w:val="1"/>
              <w:jc w:val="center"/>
              <w:rPr>
                <w:sz w:val="22"/>
              </w:rPr>
            </w:pPr>
            <w:r>
              <w:rPr>
                <w:sz w:val="22"/>
              </w:rPr>
              <w:t>дополнительное соглашение № 1/28-18(1)/Ф(ЕНИС) к договору № 28-18/Ф(ЕНИС) от 20.02.2018г. От 06.11.2018</w:t>
            </w:r>
          </w:p>
        </w:tc>
        <w:tc>
          <w:tcPr>
            <w:tcW w:type="dxa" w:w="1427"/>
            <w:tcBorders>
              <w:top w:sz="4" w:val="nil"/>
              <w:left w:sz="4" w:val="nil"/>
              <w:bottom w:color="000000" w:sz="4" w:val="single"/>
              <w:right w:color="000000" w:sz="4" w:val="single"/>
            </w:tcBorders>
            <w:shd w:fill="auto" w:val="clear"/>
            <w:vAlign w:val="center"/>
          </w:tcPr>
          <w:p w14:paraId="E62B0000">
            <w:pPr>
              <w:widowControl w:val="1"/>
              <w:ind/>
              <w:contextualSpacing w:val="1"/>
              <w:jc w:val="center"/>
              <w:rPr>
                <w:sz w:val="22"/>
              </w:rPr>
            </w:pPr>
            <w:r>
              <w:rPr>
                <w:sz w:val="22"/>
              </w:rPr>
              <w:t>06.11.2018</w:t>
            </w:r>
          </w:p>
        </w:tc>
        <w:tc>
          <w:tcPr>
            <w:tcW w:type="dxa" w:w="2258"/>
            <w:tcBorders>
              <w:top w:sz="4" w:val="nil"/>
              <w:left w:sz="4" w:val="nil"/>
              <w:bottom w:color="000000" w:sz="4" w:val="single"/>
              <w:right w:color="000000" w:sz="4" w:val="single"/>
            </w:tcBorders>
            <w:shd w:fill="auto" w:val="clear"/>
            <w:vAlign w:val="center"/>
          </w:tcPr>
          <w:p w14:paraId="E72B0000">
            <w:pPr>
              <w:widowControl w:val="1"/>
              <w:ind/>
              <w:contextualSpacing w:val="1"/>
              <w:jc w:val="center"/>
              <w:rPr>
                <w:sz w:val="22"/>
              </w:rPr>
            </w:pPr>
            <w:r>
              <w:rPr>
                <w:sz w:val="22"/>
              </w:rPr>
              <w:t>Енисейский филиал АО "ФПК"</w:t>
            </w:r>
          </w:p>
        </w:tc>
        <w:tc>
          <w:tcPr>
            <w:tcW w:type="dxa" w:w="2561"/>
            <w:tcBorders>
              <w:top w:sz="4" w:val="nil"/>
              <w:left w:sz="4" w:val="nil"/>
              <w:bottom w:color="000000" w:sz="4" w:val="single"/>
              <w:right w:color="000000" w:sz="4" w:val="single"/>
            </w:tcBorders>
            <w:shd w:fill="auto" w:val="clear"/>
            <w:vAlign w:val="center"/>
          </w:tcPr>
          <w:p w14:paraId="E82B0000">
            <w:pPr>
              <w:widowControl w:val="1"/>
              <w:ind/>
              <w:contextualSpacing w:val="1"/>
              <w:jc w:val="center"/>
              <w:rPr>
                <w:sz w:val="22"/>
              </w:rPr>
            </w:pPr>
            <w:r>
              <w:rPr>
                <w:sz w:val="22"/>
              </w:rPr>
              <w:t>внесение изменений в перечень движимого имущества передаваемого в аренду, уменьшение цены договора</w:t>
            </w:r>
          </w:p>
        </w:tc>
        <w:tc>
          <w:tcPr>
            <w:tcW w:type="dxa" w:w="1416"/>
            <w:tcBorders>
              <w:top w:sz="4" w:val="nil"/>
              <w:left w:sz="4" w:val="nil"/>
              <w:bottom w:color="000000" w:sz="4" w:val="single"/>
              <w:right w:color="000000" w:sz="4" w:val="single"/>
            </w:tcBorders>
            <w:shd w:fill="auto" w:val="clear"/>
            <w:vAlign w:val="center"/>
          </w:tcPr>
          <w:p w14:paraId="E92B0000">
            <w:pPr>
              <w:widowControl w:val="1"/>
              <w:ind/>
              <w:contextualSpacing w:val="1"/>
              <w:jc w:val="center"/>
              <w:rPr>
                <w:sz w:val="22"/>
              </w:rPr>
            </w:pPr>
            <w:r>
              <w:rPr>
                <w:sz w:val="22"/>
              </w:rPr>
              <w:t>01.11.2018-31.12.2018</w:t>
            </w:r>
          </w:p>
        </w:tc>
        <w:tc>
          <w:tcPr>
            <w:tcW w:type="dxa" w:w="1591"/>
            <w:tcBorders>
              <w:top w:sz="4" w:val="nil"/>
              <w:left w:sz="4" w:val="nil"/>
              <w:bottom w:color="000000" w:sz="4" w:val="single"/>
              <w:right w:color="000000" w:sz="4" w:val="single"/>
            </w:tcBorders>
            <w:shd w:fill="auto" w:val="clear"/>
            <w:vAlign w:val="center"/>
          </w:tcPr>
          <w:p w14:paraId="EA2B0000">
            <w:pPr>
              <w:widowControl w:val="1"/>
              <w:ind/>
              <w:contextualSpacing w:val="1"/>
              <w:jc w:val="center"/>
              <w:rPr>
                <w:sz w:val="22"/>
              </w:rPr>
            </w:pPr>
            <w:r>
              <w:rPr>
                <w:sz w:val="22"/>
              </w:rPr>
              <w:t>215478,36</w:t>
            </w:r>
          </w:p>
        </w:tc>
        <w:tc>
          <w:tcPr>
            <w:tcW w:type="dxa" w:w="2104"/>
            <w:tcBorders>
              <w:top w:sz="4" w:val="nil"/>
              <w:left w:sz="4" w:val="nil"/>
              <w:bottom w:color="000000" w:sz="4" w:val="single"/>
              <w:right w:color="000000" w:sz="4" w:val="single"/>
            </w:tcBorders>
            <w:shd w:fill="FFFFFF" w:val="clear"/>
            <w:vAlign w:val="center"/>
          </w:tcPr>
          <w:p w14:paraId="EB2B0000">
            <w:pPr>
              <w:widowControl w:val="1"/>
              <w:ind/>
              <w:contextualSpacing w:val="1"/>
              <w:jc w:val="center"/>
              <w:rPr>
                <w:sz w:val="22"/>
              </w:rPr>
            </w:pPr>
            <w:r>
              <w:rPr>
                <w:sz w:val="22"/>
              </w:rPr>
              <w:t>извещение о сделке направлено 16.10.2018г,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EC2B0000">
            <w:pPr>
              <w:widowControl w:val="1"/>
              <w:ind/>
              <w:contextualSpacing w:val="1"/>
              <w:jc w:val="center"/>
              <w:rPr>
                <w:color w:val="000000"/>
                <w:sz w:val="22"/>
              </w:rPr>
            </w:pPr>
            <w:r>
              <w:rPr>
                <w:color w:val="000000"/>
                <w:sz w:val="22"/>
              </w:rPr>
              <w:t>68</w:t>
            </w:r>
          </w:p>
        </w:tc>
        <w:tc>
          <w:tcPr>
            <w:tcW w:type="dxa" w:w="2268"/>
            <w:tcBorders>
              <w:top w:sz="4" w:val="nil"/>
              <w:left w:sz="4" w:val="nil"/>
              <w:bottom w:color="000000" w:sz="4" w:val="single"/>
              <w:right w:color="000000" w:sz="4" w:val="single"/>
            </w:tcBorders>
            <w:shd w:fill="auto" w:val="clear"/>
            <w:vAlign w:val="center"/>
          </w:tcPr>
          <w:p w14:paraId="ED2B0000">
            <w:pPr>
              <w:widowControl w:val="1"/>
              <w:ind/>
              <w:contextualSpacing w:val="1"/>
              <w:jc w:val="center"/>
              <w:rPr>
                <w:sz w:val="22"/>
              </w:rPr>
            </w:pPr>
            <w:r>
              <w:rPr>
                <w:sz w:val="22"/>
              </w:rPr>
              <w:t>дополнительное соглашение № 2 к договору № 2671703 от 12.12.2017 от 12.11.2018</w:t>
            </w:r>
          </w:p>
        </w:tc>
        <w:tc>
          <w:tcPr>
            <w:tcW w:type="dxa" w:w="1427"/>
            <w:tcBorders>
              <w:top w:sz="4" w:val="nil"/>
              <w:left w:sz="4" w:val="nil"/>
              <w:bottom w:color="000000" w:sz="4" w:val="single"/>
              <w:right w:color="000000" w:sz="4" w:val="single"/>
            </w:tcBorders>
            <w:shd w:fill="auto" w:val="clear"/>
            <w:vAlign w:val="center"/>
          </w:tcPr>
          <w:p w14:paraId="EE2B0000">
            <w:pPr>
              <w:widowControl w:val="1"/>
              <w:ind/>
              <w:contextualSpacing w:val="1"/>
              <w:jc w:val="center"/>
              <w:rPr>
                <w:sz w:val="22"/>
              </w:rPr>
            </w:pPr>
            <w:r>
              <w:rPr>
                <w:sz w:val="22"/>
              </w:rPr>
              <w:t>12.11.2018</w:t>
            </w:r>
          </w:p>
        </w:tc>
        <w:tc>
          <w:tcPr>
            <w:tcW w:type="dxa" w:w="2258"/>
            <w:tcBorders>
              <w:top w:sz="4" w:val="nil"/>
              <w:left w:sz="4" w:val="nil"/>
              <w:bottom w:color="000000" w:sz="4" w:val="single"/>
              <w:right w:color="000000" w:sz="4" w:val="single"/>
            </w:tcBorders>
            <w:shd w:fill="auto" w:val="clear"/>
            <w:vAlign w:val="center"/>
          </w:tcPr>
          <w:p w14:paraId="EF2B0000">
            <w:pPr>
              <w:widowControl w:val="1"/>
              <w:ind/>
              <w:contextualSpacing w:val="1"/>
              <w:jc w:val="center"/>
              <w:rPr>
                <w:sz w:val="22"/>
              </w:rPr>
            </w:pPr>
            <w:r>
              <w:rPr>
                <w:sz w:val="22"/>
              </w:rPr>
              <w:t>ОАО "РЖД" Красноярская дирекция тяги</w:t>
            </w:r>
          </w:p>
        </w:tc>
        <w:tc>
          <w:tcPr>
            <w:tcW w:type="dxa" w:w="2561"/>
            <w:tcBorders>
              <w:top w:sz="4" w:val="nil"/>
              <w:left w:sz="4" w:val="nil"/>
              <w:bottom w:color="000000" w:sz="4" w:val="single"/>
              <w:right w:color="000000" w:sz="4" w:val="single"/>
            </w:tcBorders>
            <w:shd w:fill="auto" w:val="clear"/>
            <w:vAlign w:val="center"/>
          </w:tcPr>
          <w:p w14:paraId="F02B0000">
            <w:pPr>
              <w:widowControl w:val="1"/>
              <w:ind/>
              <w:contextualSpacing w:val="1"/>
              <w:jc w:val="center"/>
              <w:rPr>
                <w:sz w:val="22"/>
              </w:rPr>
            </w:pPr>
            <w:r>
              <w:rPr>
                <w:sz w:val="22"/>
              </w:rPr>
              <w:t>увеличение предельной цены договора</w:t>
            </w:r>
          </w:p>
        </w:tc>
        <w:tc>
          <w:tcPr>
            <w:tcW w:type="dxa" w:w="1416"/>
            <w:tcBorders>
              <w:top w:sz="4" w:val="nil"/>
              <w:left w:sz="4" w:val="nil"/>
              <w:bottom w:color="000000" w:sz="4" w:val="single"/>
              <w:right w:color="000000" w:sz="4" w:val="single"/>
            </w:tcBorders>
            <w:shd w:fill="auto" w:val="clear"/>
            <w:vAlign w:val="center"/>
          </w:tcPr>
          <w:p w14:paraId="F12B0000">
            <w:pPr>
              <w:widowControl w:val="1"/>
              <w:ind/>
              <w:contextualSpacing w:val="1"/>
              <w:jc w:val="center"/>
              <w:rPr>
                <w:sz w:val="22"/>
              </w:rPr>
            </w:pPr>
            <w:r>
              <w:rPr>
                <w:sz w:val="22"/>
              </w:rPr>
              <w:t>01.01.2018-31.03.2019</w:t>
            </w:r>
          </w:p>
        </w:tc>
        <w:tc>
          <w:tcPr>
            <w:tcW w:type="dxa" w:w="1591"/>
            <w:tcBorders>
              <w:top w:sz="4" w:val="nil"/>
              <w:left w:sz="4" w:val="nil"/>
              <w:bottom w:color="000000" w:sz="4" w:val="single"/>
              <w:right w:color="000000" w:sz="4" w:val="single"/>
            </w:tcBorders>
            <w:shd w:fill="auto" w:val="clear"/>
            <w:vAlign w:val="center"/>
          </w:tcPr>
          <w:p w14:paraId="F22B0000">
            <w:pPr>
              <w:widowControl w:val="1"/>
              <w:ind/>
              <w:contextualSpacing w:val="1"/>
              <w:jc w:val="center"/>
              <w:rPr>
                <w:sz w:val="22"/>
              </w:rPr>
            </w:pPr>
            <w:r>
              <w:rPr>
                <w:sz w:val="22"/>
              </w:rPr>
              <w:t>2635000</w:t>
            </w:r>
          </w:p>
        </w:tc>
        <w:tc>
          <w:tcPr>
            <w:tcW w:type="dxa" w:w="2104"/>
            <w:tcBorders>
              <w:top w:sz="4" w:val="nil"/>
              <w:left w:sz="4" w:val="nil"/>
              <w:bottom w:color="000000" w:sz="4" w:val="single"/>
              <w:right w:color="000000" w:sz="4" w:val="single"/>
            </w:tcBorders>
            <w:shd w:fill="FFFFFF" w:val="clear"/>
            <w:vAlign w:val="center"/>
          </w:tcPr>
          <w:p w14:paraId="F32B0000">
            <w:pPr>
              <w:widowControl w:val="1"/>
              <w:ind/>
              <w:contextualSpacing w:val="1"/>
              <w:jc w:val="center"/>
              <w:rPr>
                <w:sz w:val="22"/>
              </w:rPr>
            </w:pPr>
            <w:r>
              <w:rPr>
                <w:sz w:val="22"/>
              </w:rPr>
              <w:t>извещение о сделке направлено 16.10.2018г, требование об одобрении сделки не поступило</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F42B0000">
            <w:pPr>
              <w:widowControl w:val="1"/>
              <w:ind/>
              <w:contextualSpacing w:val="1"/>
              <w:jc w:val="center"/>
              <w:rPr>
                <w:color w:val="000000"/>
                <w:sz w:val="22"/>
              </w:rPr>
            </w:pPr>
            <w:r>
              <w:rPr>
                <w:color w:val="000000"/>
                <w:sz w:val="22"/>
              </w:rPr>
              <w:t>69</w:t>
            </w:r>
          </w:p>
        </w:tc>
        <w:tc>
          <w:tcPr>
            <w:tcW w:type="dxa" w:w="2268"/>
            <w:tcBorders>
              <w:top w:sz="4" w:val="nil"/>
              <w:left w:sz="4" w:val="nil"/>
              <w:bottom w:color="000000" w:sz="4" w:val="single"/>
              <w:right w:color="000000" w:sz="4" w:val="single"/>
            </w:tcBorders>
            <w:shd w:fill="FFFFFF" w:val="clear"/>
            <w:vAlign w:val="center"/>
          </w:tcPr>
          <w:p w14:paraId="F52B0000">
            <w:pPr>
              <w:widowControl w:val="1"/>
              <w:ind/>
              <w:contextualSpacing w:val="1"/>
              <w:jc w:val="center"/>
              <w:rPr>
                <w:sz w:val="22"/>
              </w:rPr>
            </w:pPr>
            <w:r>
              <w:rPr>
                <w:sz w:val="22"/>
              </w:rPr>
              <w:t>соглашение о расторжении договора № 3 от 26.01.2016 от 29.11.2018</w:t>
            </w:r>
          </w:p>
        </w:tc>
        <w:tc>
          <w:tcPr>
            <w:tcW w:type="dxa" w:w="1427"/>
            <w:tcBorders>
              <w:top w:sz="4" w:val="nil"/>
              <w:left w:sz="4" w:val="nil"/>
              <w:bottom w:color="000000" w:sz="4" w:val="single"/>
              <w:right w:color="000000" w:sz="4" w:val="single"/>
            </w:tcBorders>
            <w:shd w:fill="FFFFFF" w:val="clear"/>
            <w:vAlign w:val="center"/>
          </w:tcPr>
          <w:p w14:paraId="F62B0000">
            <w:pPr>
              <w:widowControl w:val="1"/>
              <w:ind/>
              <w:contextualSpacing w:val="1"/>
              <w:jc w:val="center"/>
              <w:rPr>
                <w:sz w:val="22"/>
              </w:rPr>
            </w:pPr>
            <w:r>
              <w:rPr>
                <w:sz w:val="22"/>
              </w:rPr>
              <w:t>29.11.2018</w:t>
            </w:r>
          </w:p>
        </w:tc>
        <w:tc>
          <w:tcPr>
            <w:tcW w:type="dxa" w:w="2258"/>
            <w:tcBorders>
              <w:top w:sz="4" w:val="nil"/>
              <w:left w:sz="4" w:val="nil"/>
              <w:bottom w:color="000000" w:sz="4" w:val="single"/>
              <w:right w:color="000000" w:sz="4" w:val="single"/>
            </w:tcBorders>
            <w:shd w:fill="FFFFFF" w:val="clear"/>
            <w:vAlign w:val="center"/>
          </w:tcPr>
          <w:p w14:paraId="F72B0000">
            <w:pPr>
              <w:widowControl w:val="1"/>
              <w:ind/>
              <w:contextualSpacing w:val="1"/>
              <w:jc w:val="center"/>
              <w:rPr>
                <w:sz w:val="22"/>
              </w:rPr>
            </w:pPr>
            <w:r>
              <w:rPr>
                <w:sz w:val="22"/>
              </w:rPr>
              <w:t>ОАО "РЖД" Управление "Казначейство"</w:t>
            </w:r>
          </w:p>
        </w:tc>
        <w:tc>
          <w:tcPr>
            <w:tcW w:type="dxa" w:w="2561"/>
            <w:tcBorders>
              <w:top w:sz="4" w:val="nil"/>
              <w:left w:sz="4" w:val="nil"/>
              <w:bottom w:color="000000" w:sz="4" w:val="single"/>
              <w:right w:color="000000" w:sz="4" w:val="single"/>
            </w:tcBorders>
            <w:shd w:fill="FFFFFF" w:val="clear"/>
            <w:vAlign w:val="center"/>
          </w:tcPr>
          <w:p w14:paraId="F82B0000">
            <w:pPr>
              <w:widowControl w:val="1"/>
              <w:ind/>
              <w:contextualSpacing w:val="1"/>
              <w:jc w:val="center"/>
              <w:rPr>
                <w:sz w:val="22"/>
              </w:rPr>
            </w:pPr>
            <w:r>
              <w:rPr>
                <w:sz w:val="22"/>
              </w:rPr>
              <w:t>расторжение договора на оказание услуг казначейского контроля</w:t>
            </w:r>
          </w:p>
        </w:tc>
        <w:tc>
          <w:tcPr>
            <w:tcW w:type="dxa" w:w="1416"/>
            <w:tcBorders>
              <w:top w:sz="4" w:val="nil"/>
              <w:left w:sz="4" w:val="nil"/>
              <w:bottom w:color="000000" w:sz="4" w:val="single"/>
              <w:right w:color="000000" w:sz="4" w:val="single"/>
            </w:tcBorders>
            <w:shd w:fill="FFFFFF" w:val="clear"/>
            <w:vAlign w:val="center"/>
          </w:tcPr>
          <w:p w14:paraId="F92B0000">
            <w:pPr>
              <w:widowControl w:val="1"/>
              <w:ind/>
              <w:contextualSpacing w:val="1"/>
              <w:jc w:val="center"/>
              <w:rPr>
                <w:sz w:val="22"/>
              </w:rPr>
            </w:pPr>
            <w:r>
              <w:rPr>
                <w:sz w:val="22"/>
              </w:rPr>
              <w:t>01.02.2019</w:t>
            </w:r>
          </w:p>
        </w:tc>
        <w:tc>
          <w:tcPr>
            <w:tcW w:type="dxa" w:w="1591"/>
            <w:tcBorders>
              <w:top w:sz="4" w:val="nil"/>
              <w:left w:sz="4" w:val="nil"/>
              <w:bottom w:color="000000" w:sz="4" w:val="single"/>
              <w:right w:color="000000" w:sz="4" w:val="single"/>
            </w:tcBorders>
            <w:shd w:fill="FFFFFF" w:val="clear"/>
            <w:vAlign w:val="center"/>
          </w:tcPr>
          <w:p w14:paraId="FA2B0000">
            <w:pPr>
              <w:widowControl w:val="1"/>
              <w:ind/>
              <w:contextualSpacing w:val="1"/>
              <w:jc w:val="center"/>
              <w:rPr>
                <w:sz w:val="22"/>
              </w:rPr>
            </w:pPr>
            <w:r>
              <w:rPr>
                <w:sz w:val="22"/>
              </w:rPr>
              <w:t>0</w:t>
            </w:r>
          </w:p>
        </w:tc>
        <w:tc>
          <w:tcPr>
            <w:tcW w:type="dxa" w:w="2104"/>
            <w:tcBorders>
              <w:top w:sz="4" w:val="nil"/>
              <w:left w:sz="4" w:val="nil"/>
              <w:bottom w:color="000000" w:sz="4" w:val="single"/>
              <w:right w:color="000000" w:sz="4" w:val="single"/>
            </w:tcBorders>
            <w:shd w:fill="FFFFFF" w:val="clear"/>
            <w:vAlign w:val="center"/>
          </w:tcPr>
          <w:p w14:paraId="FB2B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FC2B0000">
            <w:pPr>
              <w:widowControl w:val="1"/>
              <w:ind/>
              <w:contextualSpacing w:val="1"/>
              <w:jc w:val="center"/>
              <w:rPr>
                <w:color w:val="000000"/>
                <w:sz w:val="22"/>
              </w:rPr>
            </w:pPr>
            <w:r>
              <w:rPr>
                <w:color w:val="000000"/>
                <w:sz w:val="22"/>
              </w:rPr>
              <w:t>70</w:t>
            </w:r>
          </w:p>
        </w:tc>
        <w:tc>
          <w:tcPr>
            <w:tcW w:type="dxa" w:w="2268"/>
            <w:tcBorders>
              <w:top w:sz="4" w:val="nil"/>
              <w:left w:sz="4" w:val="nil"/>
              <w:bottom w:color="000000" w:sz="4" w:val="single"/>
              <w:right w:color="000000" w:sz="4" w:val="single"/>
            </w:tcBorders>
            <w:shd w:fill="FFFFFF" w:val="clear"/>
            <w:vAlign w:val="center"/>
          </w:tcPr>
          <w:p w14:paraId="FD2B0000">
            <w:pPr>
              <w:widowControl w:val="1"/>
              <w:ind/>
              <w:contextualSpacing w:val="1"/>
              <w:jc w:val="center"/>
              <w:rPr>
                <w:sz w:val="22"/>
              </w:rPr>
            </w:pPr>
            <w:r>
              <w:rPr>
                <w:sz w:val="22"/>
              </w:rPr>
              <w:t>договор № 3164767 от 29.11.2018</w:t>
            </w:r>
          </w:p>
        </w:tc>
        <w:tc>
          <w:tcPr>
            <w:tcW w:type="dxa" w:w="1427"/>
            <w:tcBorders>
              <w:top w:sz="4" w:val="nil"/>
              <w:left w:sz="4" w:val="nil"/>
              <w:bottom w:color="000000" w:sz="4" w:val="single"/>
              <w:right w:color="000000" w:sz="4" w:val="single"/>
            </w:tcBorders>
            <w:shd w:fill="FFFFFF" w:val="clear"/>
            <w:vAlign w:val="center"/>
          </w:tcPr>
          <w:p w14:paraId="FE2B0000">
            <w:pPr>
              <w:widowControl w:val="1"/>
              <w:ind/>
              <w:contextualSpacing w:val="1"/>
              <w:jc w:val="center"/>
              <w:rPr>
                <w:sz w:val="22"/>
              </w:rPr>
            </w:pPr>
            <w:r>
              <w:rPr>
                <w:sz w:val="22"/>
              </w:rPr>
              <w:t>29.11.2018</w:t>
            </w:r>
          </w:p>
        </w:tc>
        <w:tc>
          <w:tcPr>
            <w:tcW w:type="dxa" w:w="2258"/>
            <w:tcBorders>
              <w:top w:sz="4" w:val="nil"/>
              <w:left w:sz="4" w:val="nil"/>
              <w:bottom w:color="000000" w:sz="4" w:val="single"/>
              <w:right w:color="000000" w:sz="4" w:val="single"/>
            </w:tcBorders>
            <w:shd w:fill="FFFFFF" w:val="clear"/>
            <w:vAlign w:val="center"/>
          </w:tcPr>
          <w:p w14:paraId="FF2B0000">
            <w:pPr>
              <w:widowControl w:val="1"/>
              <w:ind/>
              <w:contextualSpacing w:val="1"/>
              <w:jc w:val="center"/>
              <w:rPr>
                <w:sz w:val="22"/>
              </w:rPr>
            </w:pPr>
            <w:r>
              <w:rPr>
                <w:sz w:val="22"/>
              </w:rPr>
              <w:t>ОАО "РЖД" Управление "Казначейство"</w:t>
            </w:r>
          </w:p>
        </w:tc>
        <w:tc>
          <w:tcPr>
            <w:tcW w:type="dxa" w:w="2561"/>
            <w:tcBorders>
              <w:top w:sz="4" w:val="nil"/>
              <w:left w:sz="4" w:val="nil"/>
              <w:bottom w:color="000000" w:sz="4" w:val="single"/>
              <w:right w:color="000000" w:sz="4" w:val="single"/>
            </w:tcBorders>
            <w:shd w:fill="FFFFFF" w:val="clear"/>
            <w:vAlign w:val="center"/>
          </w:tcPr>
          <w:p w14:paraId="002C0000">
            <w:pPr>
              <w:widowControl w:val="1"/>
              <w:ind/>
              <w:contextualSpacing w:val="1"/>
              <w:jc w:val="center"/>
              <w:rPr>
                <w:sz w:val="22"/>
              </w:rPr>
            </w:pPr>
            <w:r>
              <w:rPr>
                <w:sz w:val="22"/>
              </w:rPr>
              <w:t>оказание услуг казначейского контроля</w:t>
            </w:r>
          </w:p>
        </w:tc>
        <w:tc>
          <w:tcPr>
            <w:tcW w:type="dxa" w:w="1416"/>
            <w:tcBorders>
              <w:top w:sz="4" w:val="nil"/>
              <w:left w:sz="4" w:val="nil"/>
              <w:bottom w:color="000000" w:sz="4" w:val="single"/>
              <w:right w:color="000000" w:sz="4" w:val="single"/>
            </w:tcBorders>
            <w:shd w:fill="FFFFFF" w:val="clear"/>
            <w:vAlign w:val="center"/>
          </w:tcPr>
          <w:p w14:paraId="012C0000">
            <w:pPr>
              <w:widowControl w:val="1"/>
              <w:ind/>
              <w:contextualSpacing w:val="1"/>
              <w:jc w:val="center"/>
              <w:rPr>
                <w:sz w:val="22"/>
              </w:rPr>
            </w:pPr>
            <w:r>
              <w:rPr>
                <w:sz w:val="22"/>
              </w:rPr>
              <w:t>01.01.2019-31.12.2019</w:t>
            </w:r>
          </w:p>
        </w:tc>
        <w:tc>
          <w:tcPr>
            <w:tcW w:type="dxa" w:w="1591"/>
            <w:tcBorders>
              <w:top w:sz="4" w:val="nil"/>
              <w:left w:sz="4" w:val="nil"/>
              <w:bottom w:color="000000" w:sz="4" w:val="single"/>
              <w:right w:color="000000" w:sz="4" w:val="single"/>
            </w:tcBorders>
            <w:shd w:fill="FFFFFF" w:val="clear"/>
            <w:vAlign w:val="center"/>
          </w:tcPr>
          <w:p w14:paraId="022C0000">
            <w:pPr>
              <w:widowControl w:val="1"/>
              <w:ind/>
              <w:contextualSpacing w:val="1"/>
              <w:jc w:val="center"/>
              <w:rPr>
                <w:sz w:val="22"/>
              </w:rPr>
            </w:pPr>
            <w:r>
              <w:rPr>
                <w:sz w:val="22"/>
              </w:rPr>
              <w:t>120000,2</w:t>
            </w:r>
          </w:p>
        </w:tc>
        <w:tc>
          <w:tcPr>
            <w:tcW w:type="dxa" w:w="2104"/>
            <w:tcBorders>
              <w:top w:sz="4" w:val="nil"/>
              <w:left w:sz="4" w:val="nil"/>
              <w:bottom w:color="000000" w:sz="4" w:val="single"/>
              <w:right w:color="000000" w:sz="4" w:val="single"/>
            </w:tcBorders>
            <w:shd w:fill="FFFFFF" w:val="clear"/>
            <w:vAlign w:val="center"/>
          </w:tcPr>
          <w:p w14:paraId="03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042C0000">
            <w:pPr>
              <w:widowControl w:val="1"/>
              <w:ind/>
              <w:contextualSpacing w:val="1"/>
              <w:jc w:val="center"/>
              <w:rPr>
                <w:color w:val="000000"/>
                <w:sz w:val="22"/>
              </w:rPr>
            </w:pPr>
            <w:r>
              <w:rPr>
                <w:color w:val="000000"/>
                <w:sz w:val="22"/>
              </w:rPr>
              <w:t>71</w:t>
            </w:r>
          </w:p>
        </w:tc>
        <w:tc>
          <w:tcPr>
            <w:tcW w:type="dxa" w:w="2268"/>
            <w:tcBorders>
              <w:top w:sz="4" w:val="nil"/>
              <w:left w:sz="4" w:val="nil"/>
              <w:bottom w:color="000000" w:sz="4" w:val="single"/>
              <w:right w:color="000000" w:sz="4" w:val="single"/>
            </w:tcBorders>
            <w:shd w:fill="FFFFFF" w:val="clear"/>
            <w:vAlign w:val="center"/>
          </w:tcPr>
          <w:p w14:paraId="052C0000">
            <w:pPr>
              <w:widowControl w:val="1"/>
              <w:ind/>
              <w:contextualSpacing w:val="1"/>
              <w:jc w:val="center"/>
              <w:rPr>
                <w:sz w:val="22"/>
              </w:rPr>
            </w:pPr>
            <w:r>
              <w:rPr>
                <w:sz w:val="22"/>
              </w:rPr>
              <w:t>Договор № 3149395 от 30.11.2018</w:t>
            </w:r>
          </w:p>
        </w:tc>
        <w:tc>
          <w:tcPr>
            <w:tcW w:type="dxa" w:w="1427"/>
            <w:tcBorders>
              <w:top w:sz="4" w:val="nil"/>
              <w:left w:sz="4" w:val="nil"/>
              <w:bottom w:color="000000" w:sz="4" w:val="single"/>
              <w:right w:color="000000" w:sz="4" w:val="single"/>
            </w:tcBorders>
            <w:shd w:fill="FFFFFF" w:val="clear"/>
            <w:vAlign w:val="center"/>
          </w:tcPr>
          <w:p w14:paraId="062C0000">
            <w:pPr>
              <w:widowControl w:val="1"/>
              <w:ind/>
              <w:contextualSpacing w:val="1"/>
              <w:jc w:val="center"/>
              <w:rPr>
                <w:sz w:val="22"/>
              </w:rPr>
            </w:pPr>
            <w:r>
              <w:rPr>
                <w:sz w:val="22"/>
              </w:rPr>
              <w:t>30.11.2018</w:t>
            </w:r>
          </w:p>
        </w:tc>
        <w:tc>
          <w:tcPr>
            <w:tcW w:type="dxa" w:w="2258"/>
            <w:tcBorders>
              <w:top w:sz="4" w:val="nil"/>
              <w:left w:sz="4" w:val="nil"/>
              <w:bottom w:color="000000" w:sz="4" w:val="single"/>
              <w:right w:color="000000" w:sz="4" w:val="single"/>
            </w:tcBorders>
            <w:shd w:fill="FFFFFF" w:val="clear"/>
            <w:vAlign w:val="center"/>
          </w:tcPr>
          <w:p w14:paraId="072C0000">
            <w:pPr>
              <w:widowControl w:val="1"/>
              <w:ind/>
              <w:contextualSpacing w:val="1"/>
              <w:jc w:val="center"/>
              <w:rPr>
                <w:sz w:val="22"/>
              </w:rPr>
            </w:pPr>
            <w:r>
              <w:rPr>
                <w:sz w:val="22"/>
              </w:rPr>
              <w:t>ОАО "РЖД" Западно-Сибирская дирекция капитального ремонта и реконструкции объектов электрификации и электроснабжения</w:t>
            </w:r>
          </w:p>
        </w:tc>
        <w:tc>
          <w:tcPr>
            <w:tcW w:type="dxa" w:w="2561"/>
            <w:tcBorders>
              <w:top w:sz="4" w:val="nil"/>
              <w:left w:sz="4" w:val="nil"/>
              <w:bottom w:color="000000" w:sz="4" w:val="single"/>
              <w:right w:color="000000" w:sz="4" w:val="single"/>
            </w:tcBorders>
            <w:shd w:fill="FFFFFF" w:val="clear"/>
            <w:vAlign w:val="center"/>
          </w:tcPr>
          <w:p w14:paraId="082C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092C0000">
            <w:pPr>
              <w:widowControl w:val="1"/>
              <w:ind/>
              <w:contextualSpacing w:val="1"/>
              <w:jc w:val="center"/>
              <w:rPr>
                <w:sz w:val="22"/>
              </w:rPr>
            </w:pPr>
            <w:r>
              <w:rPr>
                <w:sz w:val="22"/>
              </w:rPr>
              <w:t>01.01.2019-31.12.2019</w:t>
            </w:r>
          </w:p>
        </w:tc>
        <w:tc>
          <w:tcPr>
            <w:tcW w:type="dxa" w:w="1591"/>
            <w:tcBorders>
              <w:top w:sz="4" w:val="nil"/>
              <w:left w:sz="4" w:val="nil"/>
              <w:bottom w:color="000000" w:sz="4" w:val="single"/>
              <w:right w:color="000000" w:sz="4" w:val="single"/>
            </w:tcBorders>
            <w:shd w:fill="FFFFFF" w:val="clear"/>
            <w:vAlign w:val="center"/>
          </w:tcPr>
          <w:p w14:paraId="0A2C0000">
            <w:pPr>
              <w:widowControl w:val="1"/>
              <w:ind/>
              <w:contextualSpacing w:val="1"/>
              <w:jc w:val="center"/>
              <w:rPr>
                <w:sz w:val="22"/>
              </w:rPr>
            </w:pPr>
            <w:r>
              <w:rPr>
                <w:sz w:val="22"/>
              </w:rPr>
              <w:t>130000</w:t>
            </w:r>
          </w:p>
        </w:tc>
        <w:tc>
          <w:tcPr>
            <w:tcW w:type="dxa" w:w="2104"/>
            <w:tcBorders>
              <w:top w:sz="4" w:val="nil"/>
              <w:left w:sz="4" w:val="nil"/>
              <w:bottom w:color="000000" w:sz="4" w:val="single"/>
              <w:right w:color="000000" w:sz="4" w:val="single"/>
            </w:tcBorders>
            <w:shd w:fill="FFFFFF" w:val="clear"/>
            <w:vAlign w:val="center"/>
          </w:tcPr>
          <w:p w14:paraId="0B2C0000">
            <w:pPr>
              <w:widowControl w:val="1"/>
              <w:ind/>
              <w:contextualSpacing w:val="1"/>
              <w:jc w:val="center"/>
              <w:rPr>
                <w:sz w:val="22"/>
              </w:rPr>
            </w:pPr>
            <w:r>
              <w:rPr>
                <w:sz w:val="22"/>
              </w:rPr>
              <w:t>цена договора не превышает 0,1% балансовой стоимости активов (пп12 п1 ст81 ФЗ об АО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0C2C0000">
            <w:pPr>
              <w:widowControl w:val="1"/>
              <w:ind/>
              <w:contextualSpacing w:val="1"/>
              <w:jc w:val="center"/>
              <w:rPr>
                <w:color w:val="000000"/>
                <w:sz w:val="22"/>
              </w:rPr>
            </w:pPr>
            <w:r>
              <w:rPr>
                <w:color w:val="000000"/>
                <w:sz w:val="22"/>
              </w:rPr>
              <w:t>72</w:t>
            </w:r>
          </w:p>
        </w:tc>
        <w:tc>
          <w:tcPr>
            <w:tcW w:type="dxa" w:w="2268"/>
            <w:tcBorders>
              <w:top w:sz="4" w:val="nil"/>
              <w:left w:sz="4" w:val="nil"/>
              <w:bottom w:color="000000" w:sz="4" w:val="single"/>
              <w:right w:color="000000" w:sz="4" w:val="single"/>
            </w:tcBorders>
            <w:shd w:fill="FFFFFF" w:val="clear"/>
            <w:vAlign w:val="center"/>
          </w:tcPr>
          <w:p w14:paraId="0D2C0000">
            <w:pPr>
              <w:widowControl w:val="1"/>
              <w:ind/>
              <w:contextualSpacing w:val="1"/>
              <w:jc w:val="center"/>
              <w:rPr>
                <w:sz w:val="22"/>
              </w:rPr>
            </w:pPr>
            <w:r>
              <w:rPr>
                <w:sz w:val="22"/>
              </w:rPr>
              <w:t>дополнительное соглашение № 2 к договору № 2731881 от 17.01.2018 от 30.11.2018</w:t>
            </w:r>
          </w:p>
        </w:tc>
        <w:tc>
          <w:tcPr>
            <w:tcW w:type="dxa" w:w="1427"/>
            <w:tcBorders>
              <w:top w:sz="4" w:val="nil"/>
              <w:left w:sz="4" w:val="nil"/>
              <w:bottom w:color="000000" w:sz="4" w:val="single"/>
              <w:right w:color="000000" w:sz="4" w:val="single"/>
            </w:tcBorders>
            <w:shd w:fill="FFFFFF" w:val="clear"/>
            <w:vAlign w:val="center"/>
          </w:tcPr>
          <w:p w14:paraId="0E2C0000">
            <w:pPr>
              <w:widowControl w:val="1"/>
              <w:ind/>
              <w:contextualSpacing w:val="1"/>
              <w:jc w:val="center"/>
              <w:rPr>
                <w:sz w:val="22"/>
              </w:rPr>
            </w:pPr>
            <w:r>
              <w:rPr>
                <w:sz w:val="22"/>
              </w:rPr>
              <w:t>30.11.2018</w:t>
            </w:r>
          </w:p>
        </w:tc>
        <w:tc>
          <w:tcPr>
            <w:tcW w:type="dxa" w:w="2258"/>
            <w:tcBorders>
              <w:top w:sz="4" w:val="nil"/>
              <w:left w:sz="4" w:val="nil"/>
              <w:bottom w:color="000000" w:sz="4" w:val="single"/>
              <w:right w:color="000000" w:sz="4" w:val="single"/>
            </w:tcBorders>
            <w:shd w:fill="FFFFFF" w:val="clear"/>
            <w:vAlign w:val="center"/>
          </w:tcPr>
          <w:p w14:paraId="0F2C0000">
            <w:pPr>
              <w:widowControl w:val="1"/>
              <w:ind/>
              <w:contextualSpacing w:val="1"/>
              <w:jc w:val="center"/>
              <w:rPr>
                <w:sz w:val="22"/>
              </w:rPr>
            </w:pPr>
            <w:r>
              <w:rPr>
                <w:sz w:val="22"/>
              </w:rPr>
              <w:t>ОАО "РЖД" Красноярская дирекция по энергообеспечению</w:t>
            </w:r>
          </w:p>
        </w:tc>
        <w:tc>
          <w:tcPr>
            <w:tcW w:type="dxa" w:w="2561"/>
            <w:tcBorders>
              <w:top w:sz="4" w:val="nil"/>
              <w:left w:sz="4" w:val="nil"/>
              <w:bottom w:color="000000" w:sz="4" w:val="single"/>
              <w:right w:color="000000" w:sz="4" w:val="single"/>
            </w:tcBorders>
            <w:shd w:fill="auto" w:val="clear"/>
            <w:vAlign w:val="center"/>
          </w:tcPr>
          <w:p w14:paraId="102C0000">
            <w:pPr>
              <w:widowControl w:val="1"/>
              <w:ind/>
              <w:contextualSpacing w:val="1"/>
              <w:jc w:val="center"/>
              <w:rPr>
                <w:sz w:val="22"/>
              </w:rPr>
            </w:pPr>
            <w:r>
              <w:rPr>
                <w:sz w:val="22"/>
              </w:rPr>
              <w:t>увеличение предельной цены договора на 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auto" w:val="clear"/>
            <w:vAlign w:val="center"/>
          </w:tcPr>
          <w:p w14:paraId="112C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FFFFFF" w:val="clear"/>
            <w:vAlign w:val="center"/>
          </w:tcPr>
          <w:p w14:paraId="122C0000">
            <w:pPr>
              <w:widowControl w:val="1"/>
              <w:ind/>
              <w:contextualSpacing w:val="1"/>
              <w:jc w:val="center"/>
              <w:rPr>
                <w:sz w:val="22"/>
              </w:rPr>
            </w:pPr>
            <w:r>
              <w:rPr>
                <w:sz w:val="22"/>
              </w:rPr>
              <w:t>2348640</w:t>
            </w:r>
          </w:p>
        </w:tc>
        <w:tc>
          <w:tcPr>
            <w:tcW w:type="dxa" w:w="2104"/>
            <w:tcBorders>
              <w:top w:sz="4" w:val="nil"/>
              <w:left w:sz="4" w:val="nil"/>
              <w:bottom w:color="000000" w:sz="4" w:val="single"/>
              <w:right w:color="000000" w:sz="4" w:val="single"/>
            </w:tcBorders>
            <w:shd w:fill="FFFFFF" w:val="clear"/>
            <w:vAlign w:val="center"/>
          </w:tcPr>
          <w:p w14:paraId="132C0000">
            <w:pPr>
              <w:widowControl w:val="1"/>
              <w:ind/>
              <w:contextualSpacing w:val="1"/>
              <w:jc w:val="center"/>
              <w:rPr>
                <w:sz w:val="22"/>
              </w:rPr>
            </w:pPr>
            <w:r>
              <w:rPr>
                <w:sz w:val="22"/>
              </w:rPr>
              <w:t>извещение о сделке направлено 15.11.2018г,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142C0000">
            <w:pPr>
              <w:widowControl w:val="1"/>
              <w:ind/>
              <w:contextualSpacing w:val="1"/>
              <w:jc w:val="center"/>
              <w:rPr>
                <w:color w:val="000000"/>
                <w:sz w:val="22"/>
              </w:rPr>
            </w:pPr>
            <w:r>
              <w:rPr>
                <w:color w:val="000000"/>
                <w:sz w:val="22"/>
              </w:rPr>
              <w:t>73</w:t>
            </w:r>
          </w:p>
        </w:tc>
        <w:tc>
          <w:tcPr>
            <w:tcW w:type="dxa" w:w="2268"/>
            <w:tcBorders>
              <w:top w:sz="4" w:val="nil"/>
              <w:left w:sz="4" w:val="nil"/>
              <w:bottom w:color="000000" w:sz="4" w:val="single"/>
              <w:right w:color="000000" w:sz="4" w:val="single"/>
            </w:tcBorders>
            <w:shd w:fill="FFFFFF" w:val="clear"/>
            <w:vAlign w:val="center"/>
          </w:tcPr>
          <w:p w14:paraId="152C0000">
            <w:pPr>
              <w:widowControl w:val="1"/>
              <w:ind/>
              <w:contextualSpacing w:val="1"/>
              <w:jc w:val="center"/>
              <w:rPr>
                <w:sz w:val="22"/>
              </w:rPr>
            </w:pPr>
            <w:r>
              <w:rPr>
                <w:sz w:val="22"/>
              </w:rPr>
              <w:t>договор № 3170634 от 30.11.2018</w:t>
            </w:r>
          </w:p>
        </w:tc>
        <w:tc>
          <w:tcPr>
            <w:tcW w:type="dxa" w:w="1427"/>
            <w:tcBorders>
              <w:top w:sz="4" w:val="nil"/>
              <w:left w:sz="4" w:val="nil"/>
              <w:bottom w:color="000000" w:sz="4" w:val="single"/>
              <w:right w:color="000000" w:sz="4" w:val="single"/>
            </w:tcBorders>
            <w:shd w:fill="FFFFFF" w:val="clear"/>
            <w:vAlign w:val="center"/>
          </w:tcPr>
          <w:p w14:paraId="162C0000">
            <w:pPr>
              <w:widowControl w:val="1"/>
              <w:ind/>
              <w:contextualSpacing w:val="1"/>
              <w:jc w:val="center"/>
              <w:rPr>
                <w:sz w:val="22"/>
              </w:rPr>
            </w:pPr>
            <w:r>
              <w:rPr>
                <w:sz w:val="22"/>
              </w:rPr>
              <w:t>30.11.2018</w:t>
            </w:r>
          </w:p>
        </w:tc>
        <w:tc>
          <w:tcPr>
            <w:tcW w:type="dxa" w:w="2258"/>
            <w:tcBorders>
              <w:top w:sz="4" w:val="nil"/>
              <w:left w:sz="4" w:val="nil"/>
              <w:bottom w:color="000000" w:sz="4" w:val="single"/>
              <w:right w:color="000000" w:sz="4" w:val="single"/>
            </w:tcBorders>
            <w:shd w:fill="FFFFFF" w:val="clear"/>
            <w:vAlign w:val="center"/>
          </w:tcPr>
          <w:p w14:paraId="172C0000">
            <w:pPr>
              <w:widowControl w:val="1"/>
              <w:ind/>
              <w:contextualSpacing w:val="1"/>
              <w:jc w:val="center"/>
              <w:rPr>
                <w:sz w:val="22"/>
              </w:rPr>
            </w:pPr>
            <w:r>
              <w:rPr>
                <w:sz w:val="22"/>
              </w:rPr>
              <w:t>ОАО "РЖД" Красноярская дирекция по энергообеспечению</w:t>
            </w:r>
          </w:p>
        </w:tc>
        <w:tc>
          <w:tcPr>
            <w:tcW w:type="dxa" w:w="2561"/>
            <w:tcBorders>
              <w:top w:sz="4" w:val="nil"/>
              <w:left w:sz="4" w:val="nil"/>
              <w:bottom w:color="000000" w:sz="4" w:val="single"/>
              <w:right w:color="000000" w:sz="4" w:val="single"/>
            </w:tcBorders>
            <w:shd w:fill="auto" w:val="clear"/>
            <w:vAlign w:val="center"/>
          </w:tcPr>
          <w:p w14:paraId="182C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192C0000">
            <w:pPr>
              <w:widowControl w:val="1"/>
              <w:ind/>
              <w:contextualSpacing w:val="1"/>
              <w:jc w:val="center"/>
              <w:rPr>
                <w:sz w:val="22"/>
              </w:rPr>
            </w:pPr>
            <w:r>
              <w:rPr>
                <w:sz w:val="22"/>
              </w:rPr>
              <w:t>01.01.2019-31.12.2019</w:t>
            </w:r>
          </w:p>
        </w:tc>
        <w:tc>
          <w:tcPr>
            <w:tcW w:type="dxa" w:w="1591"/>
            <w:tcBorders>
              <w:top w:sz="4" w:val="nil"/>
              <w:left w:sz="4" w:val="nil"/>
              <w:bottom w:color="000000" w:sz="4" w:val="single"/>
              <w:right w:color="000000" w:sz="4" w:val="single"/>
            </w:tcBorders>
            <w:shd w:fill="FFFFFF" w:val="clear"/>
            <w:vAlign w:val="center"/>
          </w:tcPr>
          <w:p w14:paraId="1A2C0000">
            <w:pPr>
              <w:widowControl w:val="1"/>
              <w:ind/>
              <w:contextualSpacing w:val="1"/>
              <w:jc w:val="center"/>
              <w:rPr>
                <w:sz w:val="22"/>
              </w:rPr>
            </w:pPr>
            <w:r>
              <w:rPr>
                <w:sz w:val="22"/>
              </w:rPr>
              <w:t>2304000</w:t>
            </w:r>
          </w:p>
        </w:tc>
        <w:tc>
          <w:tcPr>
            <w:tcW w:type="dxa" w:w="2104"/>
            <w:tcBorders>
              <w:top w:sz="4" w:val="nil"/>
              <w:left w:sz="4" w:val="nil"/>
              <w:bottom w:color="000000" w:sz="4" w:val="single"/>
              <w:right w:color="000000" w:sz="4" w:val="single"/>
            </w:tcBorders>
            <w:shd w:fill="FFFFFF" w:val="clear"/>
            <w:vAlign w:val="center"/>
          </w:tcPr>
          <w:p w14:paraId="1B2C0000">
            <w:pPr>
              <w:widowControl w:val="1"/>
              <w:ind/>
              <w:contextualSpacing w:val="1"/>
              <w:jc w:val="center"/>
              <w:rPr>
                <w:sz w:val="22"/>
              </w:rPr>
            </w:pPr>
            <w:r>
              <w:rPr>
                <w:sz w:val="22"/>
              </w:rPr>
              <w:t>извещение о сделке направлено 15.11.2018г, требование об одобрении сделки не поступило</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1C2C0000">
            <w:pPr>
              <w:widowControl w:val="1"/>
              <w:ind/>
              <w:contextualSpacing w:val="1"/>
              <w:jc w:val="center"/>
              <w:rPr>
                <w:color w:val="000000"/>
                <w:sz w:val="22"/>
              </w:rPr>
            </w:pPr>
            <w:r>
              <w:rPr>
                <w:color w:val="000000"/>
                <w:sz w:val="22"/>
              </w:rPr>
              <w:t>74</w:t>
            </w:r>
          </w:p>
        </w:tc>
        <w:tc>
          <w:tcPr>
            <w:tcW w:type="dxa" w:w="2268"/>
            <w:tcBorders>
              <w:top w:sz="4" w:val="nil"/>
              <w:left w:sz="4" w:val="nil"/>
              <w:bottom w:color="000000" w:sz="4" w:val="single"/>
              <w:right w:color="000000" w:sz="4" w:val="single"/>
            </w:tcBorders>
            <w:shd w:fill="auto" w:val="clear"/>
            <w:vAlign w:val="center"/>
          </w:tcPr>
          <w:p w14:paraId="1D2C0000">
            <w:pPr>
              <w:widowControl w:val="1"/>
              <w:ind/>
              <w:contextualSpacing w:val="1"/>
              <w:jc w:val="center"/>
              <w:rPr>
                <w:sz w:val="22"/>
              </w:rPr>
            </w:pPr>
            <w:r>
              <w:rPr>
                <w:sz w:val="22"/>
              </w:rPr>
              <w:t>лицензионный договор № 3174260 от 03.12.2018</w:t>
            </w:r>
          </w:p>
        </w:tc>
        <w:tc>
          <w:tcPr>
            <w:tcW w:type="dxa" w:w="1427"/>
            <w:tcBorders>
              <w:top w:sz="4" w:val="nil"/>
              <w:left w:sz="4" w:val="nil"/>
              <w:bottom w:color="000000" w:sz="4" w:val="single"/>
              <w:right w:color="000000" w:sz="4" w:val="single"/>
            </w:tcBorders>
            <w:shd w:fill="auto" w:val="clear"/>
            <w:vAlign w:val="center"/>
          </w:tcPr>
          <w:p w14:paraId="1E2C0000">
            <w:pPr>
              <w:widowControl w:val="1"/>
              <w:ind/>
              <w:contextualSpacing w:val="1"/>
              <w:jc w:val="center"/>
              <w:rPr>
                <w:sz w:val="22"/>
              </w:rPr>
            </w:pPr>
            <w:r>
              <w:rPr>
                <w:sz w:val="22"/>
              </w:rPr>
              <w:t>03.12.2018</w:t>
            </w:r>
          </w:p>
        </w:tc>
        <w:tc>
          <w:tcPr>
            <w:tcW w:type="dxa" w:w="2258"/>
            <w:tcBorders>
              <w:top w:sz="4" w:val="nil"/>
              <w:left w:sz="4" w:val="nil"/>
              <w:bottom w:color="000000" w:sz="4" w:val="single"/>
              <w:right w:color="000000" w:sz="4" w:val="single"/>
            </w:tcBorders>
            <w:shd w:fill="auto" w:val="clear"/>
            <w:vAlign w:val="center"/>
          </w:tcPr>
          <w:p w14:paraId="1F2C0000">
            <w:pPr>
              <w:widowControl w:val="1"/>
              <w:ind/>
              <w:contextualSpacing w:val="1"/>
              <w:jc w:val="center"/>
              <w:rPr>
                <w:sz w:val="22"/>
              </w:rPr>
            </w:pPr>
            <w:r>
              <w:rPr>
                <w:sz w:val="22"/>
              </w:rPr>
              <w:t>ОАО "РЖД"</w:t>
            </w:r>
          </w:p>
        </w:tc>
        <w:tc>
          <w:tcPr>
            <w:tcW w:type="dxa" w:w="2561"/>
            <w:tcBorders>
              <w:top w:sz="4" w:val="nil"/>
              <w:left w:sz="4" w:val="nil"/>
              <w:bottom w:color="000000" w:sz="4" w:val="single"/>
              <w:right w:color="000000" w:sz="4" w:val="single"/>
            </w:tcBorders>
            <w:shd w:fill="FFFFFF" w:val="clear"/>
            <w:vAlign w:val="center"/>
          </w:tcPr>
          <w:p w14:paraId="202C0000">
            <w:pPr>
              <w:widowControl w:val="1"/>
              <w:ind/>
              <w:contextualSpacing w:val="1"/>
              <w:jc w:val="center"/>
              <w:rPr>
                <w:sz w:val="22"/>
              </w:rPr>
            </w:pPr>
            <w:r>
              <w:rPr>
                <w:sz w:val="22"/>
              </w:rPr>
              <w:t>Предоставление права использования товарного знака "РЖД"</w:t>
            </w:r>
          </w:p>
        </w:tc>
        <w:tc>
          <w:tcPr>
            <w:tcW w:type="dxa" w:w="1416"/>
            <w:tcBorders>
              <w:top w:sz="4" w:val="nil"/>
              <w:left w:sz="4" w:val="nil"/>
              <w:bottom w:color="000000" w:sz="4" w:val="single"/>
              <w:right w:color="000000" w:sz="4" w:val="single"/>
            </w:tcBorders>
            <w:shd w:fill="auto" w:val="clear"/>
            <w:vAlign w:val="center"/>
          </w:tcPr>
          <w:p w14:paraId="212C0000">
            <w:pPr>
              <w:widowControl w:val="1"/>
              <w:ind/>
              <w:contextualSpacing w:val="1"/>
              <w:jc w:val="center"/>
              <w:rPr>
                <w:sz w:val="22"/>
              </w:rPr>
            </w:pPr>
            <w:r>
              <w:rPr>
                <w:sz w:val="22"/>
              </w:rPr>
              <w:t>03.12.2018-31.12.2021</w:t>
            </w:r>
          </w:p>
        </w:tc>
        <w:tc>
          <w:tcPr>
            <w:tcW w:type="dxa" w:w="1591"/>
            <w:tcBorders>
              <w:top w:sz="4" w:val="nil"/>
              <w:left w:sz="4" w:val="nil"/>
              <w:bottom w:color="000000" w:sz="4" w:val="single"/>
              <w:right w:color="000000" w:sz="4" w:val="single"/>
            </w:tcBorders>
            <w:shd w:fill="auto" w:val="clear"/>
            <w:vAlign w:val="center"/>
          </w:tcPr>
          <w:p w14:paraId="222C0000">
            <w:pPr>
              <w:widowControl w:val="1"/>
              <w:ind/>
              <w:contextualSpacing w:val="1"/>
              <w:jc w:val="center"/>
              <w:rPr>
                <w:sz w:val="22"/>
              </w:rPr>
            </w:pPr>
            <w:r>
              <w:rPr>
                <w:sz w:val="22"/>
              </w:rPr>
              <w:t>31200</w:t>
            </w:r>
          </w:p>
        </w:tc>
        <w:tc>
          <w:tcPr>
            <w:tcW w:type="dxa" w:w="2104"/>
            <w:tcBorders>
              <w:top w:sz="4" w:val="nil"/>
              <w:left w:sz="4" w:val="nil"/>
              <w:bottom w:color="000000" w:sz="4" w:val="single"/>
              <w:right w:color="000000" w:sz="4" w:val="single"/>
            </w:tcBorders>
            <w:shd w:fill="FFFFFF" w:val="clear"/>
            <w:vAlign w:val="center"/>
          </w:tcPr>
          <w:p w14:paraId="23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242C0000">
            <w:pPr>
              <w:widowControl w:val="1"/>
              <w:ind/>
              <w:contextualSpacing w:val="1"/>
              <w:jc w:val="center"/>
              <w:rPr>
                <w:color w:val="000000"/>
                <w:sz w:val="22"/>
              </w:rPr>
            </w:pPr>
            <w:r>
              <w:rPr>
                <w:color w:val="000000"/>
                <w:sz w:val="22"/>
              </w:rPr>
              <w:t>75</w:t>
            </w:r>
          </w:p>
        </w:tc>
        <w:tc>
          <w:tcPr>
            <w:tcW w:type="dxa" w:w="2268"/>
            <w:tcBorders>
              <w:top w:sz="4" w:val="nil"/>
              <w:left w:sz="4" w:val="nil"/>
              <w:bottom w:color="000000" w:sz="4" w:val="single"/>
              <w:right w:color="000000" w:sz="4" w:val="single"/>
            </w:tcBorders>
            <w:shd w:fill="auto" w:val="clear"/>
            <w:vAlign w:val="center"/>
          </w:tcPr>
          <w:p w14:paraId="252C0000">
            <w:pPr>
              <w:widowControl w:val="1"/>
              <w:ind/>
              <w:contextualSpacing w:val="1"/>
              <w:jc w:val="center"/>
              <w:rPr>
                <w:sz w:val="22"/>
              </w:rPr>
            </w:pPr>
            <w:r>
              <w:rPr>
                <w:sz w:val="22"/>
              </w:rPr>
              <w:t>дополнительное соглашение № 2 к договору № 2801152 от 27.02.2018г. От 03.12.2018</w:t>
            </w:r>
          </w:p>
        </w:tc>
        <w:tc>
          <w:tcPr>
            <w:tcW w:type="dxa" w:w="1427"/>
            <w:tcBorders>
              <w:top w:sz="4" w:val="nil"/>
              <w:left w:sz="4" w:val="nil"/>
              <w:bottom w:color="000000" w:sz="4" w:val="single"/>
              <w:right w:color="000000" w:sz="4" w:val="single"/>
            </w:tcBorders>
            <w:shd w:fill="auto" w:val="clear"/>
            <w:vAlign w:val="center"/>
          </w:tcPr>
          <w:p w14:paraId="262C0000">
            <w:pPr>
              <w:widowControl w:val="1"/>
              <w:ind/>
              <w:contextualSpacing w:val="1"/>
              <w:jc w:val="center"/>
              <w:rPr>
                <w:sz w:val="22"/>
              </w:rPr>
            </w:pPr>
            <w:r>
              <w:rPr>
                <w:sz w:val="22"/>
              </w:rPr>
              <w:t>03.12.2018</w:t>
            </w:r>
          </w:p>
        </w:tc>
        <w:tc>
          <w:tcPr>
            <w:tcW w:type="dxa" w:w="2258"/>
            <w:tcBorders>
              <w:top w:sz="4" w:val="nil"/>
              <w:left w:sz="4" w:val="nil"/>
              <w:bottom w:color="000000" w:sz="4" w:val="single"/>
              <w:right w:color="000000" w:sz="4" w:val="single"/>
            </w:tcBorders>
            <w:shd w:fill="FFFFFF" w:val="clear"/>
            <w:vAlign w:val="center"/>
          </w:tcPr>
          <w:p w14:paraId="272C0000">
            <w:pPr>
              <w:widowControl w:val="1"/>
              <w:ind/>
              <w:contextualSpacing w:val="1"/>
              <w:jc w:val="center"/>
              <w:rPr>
                <w:sz w:val="22"/>
              </w:rPr>
            </w:pPr>
            <w:r>
              <w:rPr>
                <w:sz w:val="22"/>
              </w:rPr>
              <w:t>ОАО "РЖД" Красноярский региональный общий центр обслуживания</w:t>
            </w:r>
          </w:p>
        </w:tc>
        <w:tc>
          <w:tcPr>
            <w:tcW w:type="dxa" w:w="2561"/>
            <w:tcBorders>
              <w:top w:sz="4" w:val="nil"/>
              <w:left w:sz="4" w:val="nil"/>
              <w:bottom w:color="000000" w:sz="4" w:val="single"/>
              <w:right w:color="000000" w:sz="4" w:val="single"/>
            </w:tcBorders>
            <w:shd w:fill="FFFFFF" w:val="clear"/>
            <w:vAlign w:val="center"/>
          </w:tcPr>
          <w:p w14:paraId="282C0000">
            <w:pPr>
              <w:widowControl w:val="1"/>
              <w:ind/>
              <w:contextualSpacing w:val="1"/>
              <w:jc w:val="center"/>
              <w:rPr>
                <w:sz w:val="22"/>
              </w:rPr>
            </w:pPr>
            <w:r>
              <w:rPr>
                <w:sz w:val="22"/>
              </w:rPr>
              <w:t>внесение изменений относительно документов на оказание услуг по перевозке работников, без изменения цены договора</w:t>
            </w:r>
          </w:p>
        </w:tc>
        <w:tc>
          <w:tcPr>
            <w:tcW w:type="dxa" w:w="1416"/>
            <w:tcBorders>
              <w:top w:sz="4" w:val="nil"/>
              <w:left w:sz="4" w:val="nil"/>
              <w:bottom w:color="000000" w:sz="4" w:val="single"/>
              <w:right w:color="000000" w:sz="4" w:val="single"/>
            </w:tcBorders>
            <w:shd w:fill="FFFFFF" w:val="clear"/>
            <w:vAlign w:val="center"/>
          </w:tcPr>
          <w:p w14:paraId="292C0000">
            <w:pPr>
              <w:widowControl w:val="1"/>
              <w:ind/>
              <w:contextualSpacing w:val="1"/>
              <w:jc w:val="center"/>
              <w:rPr>
                <w:sz w:val="22"/>
              </w:rPr>
            </w:pPr>
            <w:r>
              <w:rPr>
                <w:sz w:val="22"/>
              </w:rPr>
              <w:t>01.11.2018-28.02.2019</w:t>
            </w:r>
          </w:p>
        </w:tc>
        <w:tc>
          <w:tcPr>
            <w:tcW w:type="dxa" w:w="1591"/>
            <w:tcBorders>
              <w:top w:sz="4" w:val="nil"/>
              <w:left w:sz="4" w:val="nil"/>
              <w:bottom w:color="000000" w:sz="4" w:val="single"/>
              <w:right w:color="000000" w:sz="4" w:val="single"/>
            </w:tcBorders>
            <w:shd w:fill="auto" w:val="clear"/>
            <w:vAlign w:val="center"/>
          </w:tcPr>
          <w:p w14:paraId="2A2C0000">
            <w:pPr>
              <w:widowControl w:val="1"/>
              <w:ind/>
              <w:contextualSpacing w:val="1"/>
              <w:jc w:val="center"/>
              <w:rPr>
                <w:sz w:val="22"/>
              </w:rPr>
            </w:pPr>
            <w:r>
              <w:rPr>
                <w:sz w:val="22"/>
              </w:rPr>
              <w:t>317000</w:t>
            </w:r>
          </w:p>
        </w:tc>
        <w:tc>
          <w:tcPr>
            <w:tcW w:type="dxa" w:w="2104"/>
            <w:tcBorders>
              <w:top w:sz="4" w:val="nil"/>
              <w:left w:sz="4" w:val="nil"/>
              <w:bottom w:color="000000" w:sz="4" w:val="single"/>
              <w:right w:color="000000" w:sz="4" w:val="single"/>
            </w:tcBorders>
            <w:shd w:fill="FFFFFF" w:val="clear"/>
            <w:vAlign w:val="center"/>
          </w:tcPr>
          <w:p w14:paraId="2B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2C2C0000">
            <w:pPr>
              <w:widowControl w:val="1"/>
              <w:ind/>
              <w:contextualSpacing w:val="1"/>
              <w:jc w:val="center"/>
              <w:rPr>
                <w:color w:val="000000"/>
                <w:sz w:val="22"/>
              </w:rPr>
            </w:pPr>
            <w:r>
              <w:rPr>
                <w:color w:val="000000"/>
                <w:sz w:val="22"/>
              </w:rPr>
              <w:t>76</w:t>
            </w:r>
          </w:p>
        </w:tc>
        <w:tc>
          <w:tcPr>
            <w:tcW w:type="dxa" w:w="2268"/>
            <w:tcBorders>
              <w:top w:sz="4" w:val="nil"/>
              <w:left w:sz="4" w:val="nil"/>
              <w:bottom w:color="000000" w:sz="4" w:val="single"/>
              <w:right w:color="000000" w:sz="4" w:val="single"/>
            </w:tcBorders>
            <w:shd w:fill="auto" w:val="clear"/>
            <w:vAlign w:val="center"/>
          </w:tcPr>
          <w:p w14:paraId="2D2C0000">
            <w:pPr>
              <w:widowControl w:val="1"/>
              <w:ind/>
              <w:contextualSpacing w:val="1"/>
              <w:jc w:val="center"/>
              <w:rPr>
                <w:sz w:val="22"/>
              </w:rPr>
            </w:pPr>
            <w:r>
              <w:rPr>
                <w:sz w:val="22"/>
              </w:rPr>
              <w:t>дополнительное соглашение № 2 к договору № 642/1/504264/IP от 27.12.2017 от 12.12.2018</w:t>
            </w:r>
          </w:p>
        </w:tc>
        <w:tc>
          <w:tcPr>
            <w:tcW w:type="dxa" w:w="1427"/>
            <w:tcBorders>
              <w:top w:sz="4" w:val="nil"/>
              <w:left w:sz="4" w:val="nil"/>
              <w:bottom w:color="000000" w:sz="4" w:val="single"/>
              <w:right w:color="000000" w:sz="4" w:val="single"/>
            </w:tcBorders>
            <w:shd w:fill="auto" w:val="clear"/>
            <w:vAlign w:val="center"/>
          </w:tcPr>
          <w:p w14:paraId="2E2C0000">
            <w:pPr>
              <w:widowControl w:val="1"/>
              <w:ind/>
              <w:contextualSpacing w:val="1"/>
              <w:jc w:val="center"/>
              <w:rPr>
                <w:sz w:val="22"/>
              </w:rPr>
            </w:pPr>
            <w:r>
              <w:rPr>
                <w:sz w:val="22"/>
              </w:rPr>
              <w:t>12.12.2018</w:t>
            </w:r>
          </w:p>
        </w:tc>
        <w:tc>
          <w:tcPr>
            <w:tcW w:type="dxa" w:w="2258"/>
            <w:tcBorders>
              <w:top w:sz="4" w:val="nil"/>
              <w:left w:sz="4" w:val="nil"/>
              <w:bottom w:color="000000" w:sz="4" w:val="single"/>
              <w:right w:color="000000" w:sz="4" w:val="single"/>
            </w:tcBorders>
            <w:shd w:fill="auto" w:val="clear"/>
            <w:vAlign w:val="center"/>
          </w:tcPr>
          <w:p w14:paraId="2F2C0000">
            <w:pPr>
              <w:widowControl w:val="1"/>
              <w:ind/>
              <w:contextualSpacing w:val="1"/>
              <w:jc w:val="center"/>
              <w:rPr>
                <w:sz w:val="22"/>
              </w:rPr>
            </w:pPr>
            <w:r>
              <w:rPr>
                <w:sz w:val="22"/>
              </w:rPr>
              <w:t>ОАО "РЖД" Красноярский региональный центр связи</w:t>
            </w:r>
          </w:p>
        </w:tc>
        <w:tc>
          <w:tcPr>
            <w:tcW w:type="dxa" w:w="2561"/>
            <w:tcBorders>
              <w:top w:sz="4" w:val="nil"/>
              <w:left w:sz="4" w:val="nil"/>
              <w:bottom w:color="000000" w:sz="4" w:val="single"/>
              <w:right w:sz="4" w:val="nil"/>
            </w:tcBorders>
            <w:shd w:fill="FFFFFF" w:val="clear"/>
            <w:vAlign w:val="center"/>
          </w:tcPr>
          <w:p w14:paraId="302C0000">
            <w:pPr>
              <w:widowControl w:val="1"/>
              <w:ind/>
              <w:contextualSpacing w:val="1"/>
              <w:jc w:val="center"/>
              <w:rPr>
                <w:sz w:val="22"/>
              </w:rPr>
            </w:pPr>
            <w:r>
              <w:rPr>
                <w:sz w:val="22"/>
              </w:rPr>
              <w:t>внесение изменений относительно ставки НДС с 01.01.2019г.</w:t>
            </w:r>
          </w:p>
        </w:tc>
        <w:tc>
          <w:tcPr>
            <w:tcW w:type="dxa" w:w="1416"/>
            <w:tcBorders>
              <w:top w:sz="4" w:val="nil"/>
              <w:left w:color="000000" w:sz="4" w:val="single"/>
              <w:bottom w:color="000000" w:sz="4" w:val="single"/>
              <w:right w:color="000000" w:sz="4" w:val="single"/>
            </w:tcBorders>
            <w:shd w:fill="auto" w:val="clear"/>
            <w:vAlign w:val="center"/>
          </w:tcPr>
          <w:p w14:paraId="312C0000">
            <w:pPr>
              <w:widowControl w:val="1"/>
              <w:ind/>
              <w:contextualSpacing w:val="1"/>
              <w:jc w:val="center"/>
              <w:rPr>
                <w:color w:val="000000"/>
                <w:sz w:val="22"/>
              </w:rPr>
            </w:pPr>
            <w:r>
              <w:rPr>
                <w:color w:val="000000"/>
                <w:sz w:val="22"/>
              </w:rPr>
              <w:t>01.01.2018-31.12.2020</w:t>
            </w:r>
          </w:p>
        </w:tc>
        <w:tc>
          <w:tcPr>
            <w:tcW w:type="dxa" w:w="1591"/>
            <w:tcBorders>
              <w:top w:sz="4" w:val="nil"/>
              <w:left w:sz="4" w:val="nil"/>
              <w:bottom w:color="000000" w:sz="4" w:val="single"/>
              <w:right w:color="000000" w:sz="4" w:val="single"/>
            </w:tcBorders>
            <w:shd w:fill="auto" w:val="clear"/>
            <w:vAlign w:val="center"/>
          </w:tcPr>
          <w:p w14:paraId="322C0000">
            <w:pPr>
              <w:widowControl w:val="1"/>
              <w:ind/>
              <w:contextualSpacing w:val="1"/>
              <w:jc w:val="center"/>
              <w:rPr>
                <w:sz w:val="22"/>
              </w:rPr>
            </w:pPr>
            <w:r>
              <w:rPr>
                <w:sz w:val="22"/>
              </w:rPr>
              <w:t>99000</w:t>
            </w:r>
          </w:p>
        </w:tc>
        <w:tc>
          <w:tcPr>
            <w:tcW w:type="dxa" w:w="2104"/>
            <w:tcBorders>
              <w:top w:sz="4" w:val="nil"/>
              <w:left w:sz="4" w:val="nil"/>
              <w:bottom w:color="000000" w:sz="4" w:val="single"/>
              <w:right w:color="000000" w:sz="4" w:val="single"/>
            </w:tcBorders>
            <w:shd w:fill="FFFFFF" w:val="clear"/>
            <w:vAlign w:val="center"/>
          </w:tcPr>
          <w:p w14:paraId="33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342C0000">
            <w:pPr>
              <w:widowControl w:val="1"/>
              <w:ind/>
              <w:contextualSpacing w:val="1"/>
              <w:jc w:val="center"/>
              <w:rPr>
                <w:color w:val="000000"/>
                <w:sz w:val="22"/>
              </w:rPr>
            </w:pPr>
            <w:r>
              <w:rPr>
                <w:color w:val="000000"/>
                <w:sz w:val="22"/>
              </w:rPr>
              <w:t>77</w:t>
            </w:r>
          </w:p>
        </w:tc>
        <w:tc>
          <w:tcPr>
            <w:tcW w:type="dxa" w:w="2268"/>
            <w:tcBorders>
              <w:top w:sz="4" w:val="nil"/>
              <w:left w:sz="4" w:val="nil"/>
              <w:bottom w:color="000000" w:sz="4" w:val="single"/>
              <w:right w:color="000000" w:sz="4" w:val="single"/>
            </w:tcBorders>
            <w:shd w:fill="auto" w:val="clear"/>
            <w:vAlign w:val="center"/>
          </w:tcPr>
          <w:p w14:paraId="352C0000">
            <w:pPr>
              <w:widowControl w:val="1"/>
              <w:ind/>
              <w:contextualSpacing w:val="1"/>
              <w:jc w:val="center"/>
              <w:rPr>
                <w:sz w:val="22"/>
              </w:rPr>
            </w:pPr>
            <w:r>
              <w:rPr>
                <w:sz w:val="22"/>
              </w:rPr>
              <w:t>дополнительное соглашение № 1 к договору № ЦРИ/04/СА/5363/15/001985 от 28.12.2015 от 12.12.2018</w:t>
            </w:r>
          </w:p>
        </w:tc>
        <w:tc>
          <w:tcPr>
            <w:tcW w:type="dxa" w:w="1427"/>
            <w:tcBorders>
              <w:top w:sz="4" w:val="nil"/>
              <w:left w:sz="4" w:val="nil"/>
              <w:bottom w:color="000000" w:sz="4" w:val="single"/>
              <w:right w:color="000000" w:sz="4" w:val="single"/>
            </w:tcBorders>
            <w:shd w:fill="auto" w:val="clear"/>
            <w:vAlign w:val="center"/>
          </w:tcPr>
          <w:p w14:paraId="362C0000">
            <w:pPr>
              <w:widowControl w:val="1"/>
              <w:ind/>
              <w:contextualSpacing w:val="1"/>
              <w:jc w:val="center"/>
              <w:rPr>
                <w:sz w:val="22"/>
              </w:rPr>
            </w:pPr>
            <w:r>
              <w:rPr>
                <w:sz w:val="22"/>
              </w:rPr>
              <w:t>12.12.2018</w:t>
            </w:r>
          </w:p>
        </w:tc>
        <w:tc>
          <w:tcPr>
            <w:tcW w:type="dxa" w:w="2258"/>
            <w:tcBorders>
              <w:top w:sz="4" w:val="nil"/>
              <w:left w:sz="4" w:val="nil"/>
              <w:bottom w:color="000000" w:sz="4" w:val="single"/>
              <w:right w:color="000000" w:sz="4" w:val="single"/>
            </w:tcBorders>
            <w:shd w:fill="auto" w:val="clear"/>
            <w:vAlign w:val="center"/>
          </w:tcPr>
          <w:p w14:paraId="372C0000">
            <w:pPr>
              <w:widowControl w:val="1"/>
              <w:ind/>
              <w:contextualSpacing w:val="1"/>
              <w:jc w:val="center"/>
              <w:rPr>
                <w:sz w:val="22"/>
              </w:rPr>
            </w:pPr>
            <w:r>
              <w:rPr>
                <w:sz w:val="22"/>
              </w:rPr>
              <w:t>ОАО "РЖД" Служба управления имуществом Красноярской железной дороги</w:t>
            </w:r>
          </w:p>
        </w:tc>
        <w:tc>
          <w:tcPr>
            <w:tcW w:type="dxa" w:w="2561"/>
            <w:tcBorders>
              <w:top w:sz="4" w:val="nil"/>
              <w:left w:sz="4" w:val="nil"/>
              <w:bottom w:color="000000" w:sz="4" w:val="single"/>
              <w:right w:color="000000" w:sz="4" w:val="single"/>
            </w:tcBorders>
            <w:shd w:fill="auto" w:val="clear"/>
            <w:vAlign w:val="center"/>
          </w:tcPr>
          <w:p w14:paraId="382C0000">
            <w:pPr>
              <w:widowControl w:val="1"/>
              <w:ind/>
              <w:contextualSpacing w:val="1"/>
              <w:jc w:val="center"/>
              <w:rPr>
                <w:sz w:val="22"/>
              </w:rPr>
            </w:pPr>
            <w:r>
              <w:rPr>
                <w:sz w:val="22"/>
              </w:rPr>
              <w:t>увеличение предельной цены договора в связи с увеличением ставки НДС</w:t>
            </w:r>
          </w:p>
        </w:tc>
        <w:tc>
          <w:tcPr>
            <w:tcW w:type="dxa" w:w="1416"/>
            <w:tcBorders>
              <w:top w:sz="4" w:val="nil"/>
              <w:left w:sz="4" w:val="nil"/>
              <w:bottom w:color="000000" w:sz="4" w:val="single"/>
              <w:right w:color="000000" w:sz="4" w:val="single"/>
            </w:tcBorders>
            <w:shd w:fill="auto" w:val="clear"/>
            <w:vAlign w:val="center"/>
          </w:tcPr>
          <w:p w14:paraId="392C0000">
            <w:pPr>
              <w:widowControl w:val="1"/>
              <w:ind/>
              <w:contextualSpacing w:val="1"/>
              <w:jc w:val="center"/>
              <w:rPr>
                <w:sz w:val="22"/>
              </w:rPr>
            </w:pPr>
            <w:r>
              <w:rPr>
                <w:sz w:val="22"/>
              </w:rPr>
              <w:t>01.01.2019-31.12.2019 пролонгация</w:t>
            </w:r>
          </w:p>
        </w:tc>
        <w:tc>
          <w:tcPr>
            <w:tcW w:type="dxa" w:w="1591"/>
            <w:tcBorders>
              <w:top w:sz="4" w:val="nil"/>
              <w:left w:sz="4" w:val="nil"/>
              <w:bottom w:color="000000" w:sz="4" w:val="single"/>
              <w:right w:color="000000" w:sz="4" w:val="single"/>
            </w:tcBorders>
            <w:shd w:fill="auto" w:val="clear"/>
            <w:vAlign w:val="center"/>
          </w:tcPr>
          <w:p w14:paraId="3A2C0000">
            <w:pPr>
              <w:widowControl w:val="1"/>
              <w:ind/>
              <w:contextualSpacing w:val="1"/>
              <w:jc w:val="center"/>
              <w:rPr>
                <w:sz w:val="22"/>
              </w:rPr>
            </w:pPr>
            <w:r>
              <w:rPr>
                <w:sz w:val="22"/>
              </w:rPr>
              <w:t>20,56</w:t>
            </w:r>
          </w:p>
        </w:tc>
        <w:tc>
          <w:tcPr>
            <w:tcW w:type="dxa" w:w="2104"/>
            <w:tcBorders>
              <w:top w:sz="4" w:val="nil"/>
              <w:left w:sz="4" w:val="nil"/>
              <w:bottom w:color="000000" w:sz="4" w:val="single"/>
              <w:right w:color="000000" w:sz="4" w:val="single"/>
            </w:tcBorders>
            <w:shd w:fill="FFFFFF" w:val="clear"/>
            <w:vAlign w:val="center"/>
          </w:tcPr>
          <w:p w14:paraId="3B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3C2C0000">
            <w:pPr>
              <w:widowControl w:val="1"/>
              <w:ind/>
              <w:contextualSpacing w:val="1"/>
              <w:jc w:val="center"/>
              <w:rPr>
                <w:color w:val="000000"/>
                <w:sz w:val="22"/>
              </w:rPr>
            </w:pPr>
            <w:r>
              <w:rPr>
                <w:color w:val="000000"/>
                <w:sz w:val="22"/>
              </w:rPr>
              <w:t>78</w:t>
            </w:r>
          </w:p>
        </w:tc>
        <w:tc>
          <w:tcPr>
            <w:tcW w:type="dxa" w:w="2268"/>
            <w:tcBorders>
              <w:top w:sz="4" w:val="nil"/>
              <w:left w:sz="4" w:val="nil"/>
              <w:bottom w:color="000000" w:sz="4" w:val="single"/>
              <w:right w:color="000000" w:sz="4" w:val="single"/>
            </w:tcBorders>
            <w:shd w:fill="auto" w:val="clear"/>
            <w:vAlign w:val="center"/>
          </w:tcPr>
          <w:p w14:paraId="3D2C0000">
            <w:pPr>
              <w:widowControl w:val="1"/>
              <w:ind/>
              <w:contextualSpacing w:val="1"/>
              <w:jc w:val="center"/>
              <w:rPr>
                <w:sz w:val="22"/>
              </w:rPr>
            </w:pPr>
            <w:r>
              <w:rPr>
                <w:sz w:val="22"/>
              </w:rPr>
              <w:t>дополнительное соглашение № 1 к договору № ЦРИ/04/СА/5363/15/001983 от 28.12.2015 от 12.12.2018</w:t>
            </w:r>
          </w:p>
        </w:tc>
        <w:tc>
          <w:tcPr>
            <w:tcW w:type="dxa" w:w="1427"/>
            <w:tcBorders>
              <w:top w:sz="4" w:val="nil"/>
              <w:left w:sz="4" w:val="nil"/>
              <w:bottom w:color="000000" w:sz="4" w:val="single"/>
              <w:right w:color="000000" w:sz="4" w:val="single"/>
            </w:tcBorders>
            <w:shd w:fill="auto" w:val="clear"/>
            <w:vAlign w:val="center"/>
          </w:tcPr>
          <w:p w14:paraId="3E2C0000">
            <w:pPr>
              <w:widowControl w:val="1"/>
              <w:ind/>
              <w:contextualSpacing w:val="1"/>
              <w:jc w:val="center"/>
              <w:rPr>
                <w:sz w:val="22"/>
              </w:rPr>
            </w:pPr>
            <w:r>
              <w:rPr>
                <w:sz w:val="22"/>
              </w:rPr>
              <w:t>12.12.2018</w:t>
            </w:r>
          </w:p>
        </w:tc>
        <w:tc>
          <w:tcPr>
            <w:tcW w:type="dxa" w:w="2258"/>
            <w:tcBorders>
              <w:top w:sz="4" w:val="nil"/>
              <w:left w:sz="4" w:val="nil"/>
              <w:bottom w:color="000000" w:sz="4" w:val="single"/>
              <w:right w:color="000000" w:sz="4" w:val="single"/>
            </w:tcBorders>
            <w:shd w:fill="auto" w:val="clear"/>
            <w:vAlign w:val="center"/>
          </w:tcPr>
          <w:p w14:paraId="3F2C0000">
            <w:pPr>
              <w:widowControl w:val="1"/>
              <w:ind/>
              <w:contextualSpacing w:val="1"/>
              <w:jc w:val="center"/>
              <w:rPr>
                <w:sz w:val="22"/>
              </w:rPr>
            </w:pPr>
            <w:r>
              <w:rPr>
                <w:sz w:val="22"/>
              </w:rPr>
              <w:t>ОАО "РЖД" Служба управления имуществом Красноярской железной дороги</w:t>
            </w:r>
          </w:p>
        </w:tc>
        <w:tc>
          <w:tcPr>
            <w:tcW w:type="dxa" w:w="2561"/>
            <w:tcBorders>
              <w:top w:sz="4" w:val="nil"/>
              <w:left w:sz="4" w:val="nil"/>
              <w:bottom w:color="000000" w:sz="4" w:val="single"/>
              <w:right w:color="000000" w:sz="4" w:val="single"/>
            </w:tcBorders>
            <w:shd w:fill="auto" w:val="clear"/>
            <w:vAlign w:val="center"/>
          </w:tcPr>
          <w:p w14:paraId="402C0000">
            <w:pPr>
              <w:widowControl w:val="1"/>
              <w:ind/>
              <w:contextualSpacing w:val="1"/>
              <w:jc w:val="center"/>
              <w:rPr>
                <w:sz w:val="22"/>
              </w:rPr>
            </w:pPr>
            <w:r>
              <w:rPr>
                <w:sz w:val="22"/>
              </w:rPr>
              <w:t>увеличение предельной цены договора в связи с увеличением ставки НДС</w:t>
            </w:r>
          </w:p>
        </w:tc>
        <w:tc>
          <w:tcPr>
            <w:tcW w:type="dxa" w:w="1416"/>
            <w:tcBorders>
              <w:top w:sz="4" w:val="nil"/>
              <w:left w:sz="4" w:val="nil"/>
              <w:bottom w:color="000000" w:sz="4" w:val="single"/>
              <w:right w:color="000000" w:sz="4" w:val="single"/>
            </w:tcBorders>
            <w:shd w:fill="auto" w:val="clear"/>
            <w:vAlign w:val="center"/>
          </w:tcPr>
          <w:p w14:paraId="412C0000">
            <w:pPr>
              <w:widowControl w:val="1"/>
              <w:ind/>
              <w:contextualSpacing w:val="1"/>
              <w:jc w:val="center"/>
              <w:rPr>
                <w:sz w:val="22"/>
              </w:rPr>
            </w:pPr>
            <w:r>
              <w:rPr>
                <w:sz w:val="22"/>
              </w:rPr>
              <w:t>01.01.2019-31.12.2019 пролонгация</w:t>
            </w:r>
          </w:p>
        </w:tc>
        <w:tc>
          <w:tcPr>
            <w:tcW w:type="dxa" w:w="1591"/>
            <w:tcBorders>
              <w:top w:sz="4" w:val="nil"/>
              <w:left w:sz="4" w:val="nil"/>
              <w:bottom w:color="000000" w:sz="4" w:val="single"/>
              <w:right w:color="000000" w:sz="4" w:val="single"/>
            </w:tcBorders>
            <w:shd w:fill="auto" w:val="clear"/>
            <w:vAlign w:val="center"/>
          </w:tcPr>
          <w:p w14:paraId="422C0000">
            <w:pPr>
              <w:widowControl w:val="1"/>
              <w:ind/>
              <w:contextualSpacing w:val="1"/>
              <w:jc w:val="center"/>
              <w:rPr>
                <w:sz w:val="22"/>
              </w:rPr>
            </w:pPr>
            <w:r>
              <w:rPr>
                <w:sz w:val="22"/>
              </w:rPr>
              <w:t>6,33</w:t>
            </w:r>
          </w:p>
        </w:tc>
        <w:tc>
          <w:tcPr>
            <w:tcW w:type="dxa" w:w="2104"/>
            <w:tcBorders>
              <w:top w:sz="4" w:val="nil"/>
              <w:left w:sz="4" w:val="nil"/>
              <w:bottom w:color="000000" w:sz="4" w:val="single"/>
              <w:right w:color="000000" w:sz="4" w:val="single"/>
            </w:tcBorders>
            <w:shd w:fill="FFFFFF" w:val="clear"/>
            <w:vAlign w:val="center"/>
          </w:tcPr>
          <w:p w14:paraId="43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442C0000">
            <w:pPr>
              <w:widowControl w:val="1"/>
              <w:ind/>
              <w:contextualSpacing w:val="1"/>
              <w:jc w:val="center"/>
              <w:rPr>
                <w:color w:val="000000"/>
                <w:sz w:val="22"/>
              </w:rPr>
            </w:pPr>
            <w:r>
              <w:rPr>
                <w:color w:val="000000"/>
                <w:sz w:val="22"/>
              </w:rPr>
              <w:t>79</w:t>
            </w:r>
          </w:p>
        </w:tc>
        <w:tc>
          <w:tcPr>
            <w:tcW w:type="dxa" w:w="2268"/>
            <w:tcBorders>
              <w:top w:sz="4" w:val="nil"/>
              <w:left w:sz="4" w:val="nil"/>
              <w:bottom w:color="000000" w:sz="4" w:val="single"/>
              <w:right w:color="000000" w:sz="4" w:val="single"/>
            </w:tcBorders>
            <w:shd w:fill="FFFFFF" w:val="clear"/>
            <w:vAlign w:val="center"/>
          </w:tcPr>
          <w:p w14:paraId="452C0000">
            <w:pPr>
              <w:widowControl w:val="1"/>
              <w:ind/>
              <w:contextualSpacing w:val="1"/>
              <w:jc w:val="center"/>
              <w:rPr>
                <w:sz w:val="22"/>
              </w:rPr>
            </w:pPr>
            <w:r>
              <w:rPr>
                <w:sz w:val="22"/>
              </w:rPr>
              <w:t>дополнительное соглашение № 1/55-17(1)/Ф(ЕНИС) к договору поручения № 55-17/Ф(ЕНИС) от 07.03.2017 от 12.12.2018</w:t>
            </w:r>
          </w:p>
        </w:tc>
        <w:tc>
          <w:tcPr>
            <w:tcW w:type="dxa" w:w="1427"/>
            <w:tcBorders>
              <w:top w:sz="4" w:val="nil"/>
              <w:left w:sz="4" w:val="nil"/>
              <w:bottom w:color="000000" w:sz="4" w:val="single"/>
              <w:right w:color="000000" w:sz="4" w:val="single"/>
            </w:tcBorders>
            <w:shd w:fill="FFFFFF" w:val="clear"/>
            <w:vAlign w:val="center"/>
          </w:tcPr>
          <w:p w14:paraId="462C0000">
            <w:pPr>
              <w:widowControl w:val="1"/>
              <w:ind/>
              <w:contextualSpacing w:val="1"/>
              <w:jc w:val="center"/>
              <w:rPr>
                <w:sz w:val="22"/>
              </w:rPr>
            </w:pPr>
            <w:r>
              <w:rPr>
                <w:sz w:val="22"/>
              </w:rPr>
              <w:t>12.12.2018</w:t>
            </w:r>
          </w:p>
        </w:tc>
        <w:tc>
          <w:tcPr>
            <w:tcW w:type="dxa" w:w="2258"/>
            <w:tcBorders>
              <w:top w:sz="4" w:val="nil"/>
              <w:left w:sz="4" w:val="nil"/>
              <w:bottom w:color="000000" w:sz="4" w:val="single"/>
              <w:right w:color="000000" w:sz="4" w:val="single"/>
            </w:tcBorders>
            <w:shd w:fill="FFFFFF" w:val="clear"/>
            <w:vAlign w:val="center"/>
          </w:tcPr>
          <w:p w14:paraId="472C0000">
            <w:pPr>
              <w:widowControl w:val="1"/>
              <w:ind/>
              <w:contextualSpacing w:val="1"/>
              <w:jc w:val="center"/>
              <w:rPr>
                <w:sz w:val="22"/>
              </w:rPr>
            </w:pPr>
            <w:r>
              <w:rPr>
                <w:sz w:val="22"/>
              </w:rPr>
              <w:t>Енисейский филиал АО "ФПК"</w:t>
            </w:r>
          </w:p>
        </w:tc>
        <w:tc>
          <w:tcPr>
            <w:tcW w:type="dxa" w:w="2561"/>
            <w:tcBorders>
              <w:top w:sz="4" w:val="nil"/>
              <w:left w:sz="4" w:val="nil"/>
              <w:bottom w:color="000000" w:sz="4" w:val="single"/>
              <w:right w:color="000000" w:sz="4" w:val="single"/>
            </w:tcBorders>
            <w:shd w:fill="FFFFFF" w:val="clear"/>
            <w:vAlign w:val="center"/>
          </w:tcPr>
          <w:p w14:paraId="482C0000">
            <w:pPr>
              <w:widowControl w:val="1"/>
              <w:ind/>
              <w:contextualSpacing w:val="1"/>
              <w:jc w:val="center"/>
              <w:rPr>
                <w:sz w:val="22"/>
              </w:rPr>
            </w:pPr>
            <w:r>
              <w:rPr>
                <w:sz w:val="22"/>
              </w:rPr>
              <w:t>внесение изменений в оплату вознаграждения с учетом НДС 20%, без изменения предельной цены договора</w:t>
            </w:r>
          </w:p>
        </w:tc>
        <w:tc>
          <w:tcPr>
            <w:tcW w:type="dxa" w:w="1416"/>
            <w:tcBorders>
              <w:top w:sz="4" w:val="nil"/>
              <w:left w:sz="4" w:val="nil"/>
              <w:bottom w:color="000000" w:sz="4" w:val="single"/>
              <w:right w:color="000000" w:sz="4" w:val="single"/>
            </w:tcBorders>
            <w:shd w:fill="FFFFFF" w:val="clear"/>
            <w:vAlign w:val="center"/>
          </w:tcPr>
          <w:p w14:paraId="492C0000">
            <w:pPr>
              <w:widowControl w:val="1"/>
              <w:ind/>
              <w:contextualSpacing w:val="1"/>
              <w:jc w:val="center"/>
              <w:rPr>
                <w:sz w:val="22"/>
              </w:rPr>
            </w:pPr>
            <w:r>
              <w:rPr>
                <w:sz w:val="22"/>
              </w:rPr>
              <w:t>01.01.2017-30.09.2019</w:t>
            </w:r>
          </w:p>
        </w:tc>
        <w:tc>
          <w:tcPr>
            <w:tcW w:type="dxa" w:w="1591"/>
            <w:tcBorders>
              <w:top w:sz="4" w:val="nil"/>
              <w:left w:sz="4" w:val="nil"/>
              <w:bottom w:color="000000" w:sz="4" w:val="single"/>
              <w:right w:color="000000" w:sz="4" w:val="single"/>
            </w:tcBorders>
            <w:shd w:fill="FFFFFF" w:val="clear"/>
            <w:vAlign w:val="center"/>
          </w:tcPr>
          <w:p w14:paraId="4A2C0000">
            <w:pPr>
              <w:widowControl w:val="1"/>
              <w:ind/>
              <w:contextualSpacing w:val="1"/>
              <w:jc w:val="center"/>
              <w:rPr>
                <w:sz w:val="22"/>
              </w:rPr>
            </w:pPr>
            <w:r>
              <w:rPr>
                <w:sz w:val="22"/>
              </w:rPr>
              <w:t>10000000</w:t>
            </w:r>
          </w:p>
        </w:tc>
        <w:tc>
          <w:tcPr>
            <w:tcW w:type="dxa" w:w="2104"/>
            <w:tcBorders>
              <w:top w:sz="4" w:val="nil"/>
              <w:left w:sz="4" w:val="nil"/>
              <w:bottom w:color="000000" w:sz="4" w:val="single"/>
              <w:right w:color="000000" w:sz="4" w:val="single"/>
            </w:tcBorders>
            <w:shd w:fill="FFFFFF" w:val="clear"/>
            <w:vAlign w:val="center"/>
          </w:tcPr>
          <w:p w14:paraId="4B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4C2C0000">
            <w:pPr>
              <w:widowControl w:val="1"/>
              <w:ind/>
              <w:contextualSpacing w:val="1"/>
              <w:jc w:val="center"/>
              <w:rPr>
                <w:color w:val="000000"/>
                <w:sz w:val="22"/>
              </w:rPr>
            </w:pPr>
            <w:r>
              <w:rPr>
                <w:color w:val="000000"/>
                <w:sz w:val="22"/>
              </w:rPr>
              <w:t>80</w:t>
            </w:r>
          </w:p>
        </w:tc>
        <w:tc>
          <w:tcPr>
            <w:tcW w:type="dxa" w:w="2268"/>
            <w:tcBorders>
              <w:top w:sz="4" w:val="nil"/>
              <w:left w:sz="4" w:val="nil"/>
              <w:bottom w:color="000000" w:sz="4" w:val="single"/>
              <w:right w:color="000000" w:sz="4" w:val="single"/>
            </w:tcBorders>
            <w:shd w:fill="auto" w:val="clear"/>
            <w:vAlign w:val="center"/>
          </w:tcPr>
          <w:p w14:paraId="4D2C0000">
            <w:pPr>
              <w:widowControl w:val="1"/>
              <w:ind/>
              <w:contextualSpacing w:val="1"/>
              <w:jc w:val="center"/>
              <w:rPr>
                <w:sz w:val="22"/>
              </w:rPr>
            </w:pPr>
            <w:r>
              <w:rPr>
                <w:sz w:val="22"/>
              </w:rPr>
              <w:t>договор № 3201261 от 17.12.2018</w:t>
            </w:r>
          </w:p>
        </w:tc>
        <w:tc>
          <w:tcPr>
            <w:tcW w:type="dxa" w:w="1427"/>
            <w:tcBorders>
              <w:top w:sz="4" w:val="nil"/>
              <w:left w:sz="4" w:val="nil"/>
              <w:bottom w:color="000000" w:sz="4" w:val="single"/>
              <w:right w:color="000000" w:sz="4" w:val="single"/>
            </w:tcBorders>
            <w:shd w:fill="auto" w:val="clear"/>
            <w:vAlign w:val="center"/>
          </w:tcPr>
          <w:p w14:paraId="4E2C0000">
            <w:pPr>
              <w:widowControl w:val="1"/>
              <w:ind/>
              <w:contextualSpacing w:val="1"/>
              <w:jc w:val="center"/>
              <w:rPr>
                <w:sz w:val="22"/>
              </w:rPr>
            </w:pPr>
            <w:r>
              <w:rPr>
                <w:sz w:val="22"/>
              </w:rPr>
              <w:t>17.12.2018</w:t>
            </w:r>
          </w:p>
        </w:tc>
        <w:tc>
          <w:tcPr>
            <w:tcW w:type="dxa" w:w="2258"/>
            <w:tcBorders>
              <w:top w:sz="4" w:val="nil"/>
              <w:left w:sz="4" w:val="nil"/>
              <w:bottom w:color="000000" w:sz="4" w:val="single"/>
              <w:right w:color="000000" w:sz="4" w:val="single"/>
            </w:tcBorders>
            <w:shd w:fill="auto" w:val="clear"/>
            <w:vAlign w:val="center"/>
          </w:tcPr>
          <w:p w14:paraId="4F2C0000">
            <w:pPr>
              <w:widowControl w:val="1"/>
              <w:ind/>
              <w:contextualSpacing w:val="1"/>
              <w:jc w:val="center"/>
              <w:rPr>
                <w:sz w:val="22"/>
              </w:rPr>
            </w:pPr>
            <w:r>
              <w:rPr>
                <w:sz w:val="22"/>
              </w:rPr>
              <w:t>ОАО "РЖД" Красноярская дирекция по тепловодоснабжению</w:t>
            </w:r>
          </w:p>
        </w:tc>
        <w:tc>
          <w:tcPr>
            <w:tcW w:type="dxa" w:w="2561"/>
            <w:tcBorders>
              <w:top w:sz="4" w:val="nil"/>
              <w:left w:sz="4" w:val="nil"/>
              <w:bottom w:color="000000" w:sz="4" w:val="single"/>
              <w:right w:color="000000" w:sz="4" w:val="single"/>
            </w:tcBorders>
            <w:shd w:fill="FFFFFF" w:val="clear"/>
            <w:vAlign w:val="center"/>
          </w:tcPr>
          <w:p w14:paraId="502C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512C0000">
            <w:pPr>
              <w:widowControl w:val="1"/>
              <w:ind/>
              <w:contextualSpacing w:val="1"/>
              <w:jc w:val="center"/>
              <w:rPr>
                <w:sz w:val="22"/>
              </w:rPr>
            </w:pPr>
            <w:r>
              <w:rPr>
                <w:sz w:val="22"/>
              </w:rPr>
              <w:t>01.01.2019-31.12.2019</w:t>
            </w:r>
          </w:p>
        </w:tc>
        <w:tc>
          <w:tcPr>
            <w:tcW w:type="dxa" w:w="1591"/>
            <w:tcBorders>
              <w:top w:sz="4" w:val="nil"/>
              <w:left w:sz="4" w:val="nil"/>
              <w:bottom w:color="000000" w:sz="4" w:val="single"/>
              <w:right w:color="000000" w:sz="4" w:val="single"/>
            </w:tcBorders>
            <w:shd w:fill="auto" w:val="clear"/>
            <w:vAlign w:val="center"/>
          </w:tcPr>
          <w:p w14:paraId="522C0000">
            <w:pPr>
              <w:widowControl w:val="1"/>
              <w:ind/>
              <w:contextualSpacing w:val="1"/>
              <w:jc w:val="center"/>
              <w:rPr>
                <w:sz w:val="22"/>
              </w:rPr>
            </w:pPr>
            <w:r>
              <w:rPr>
                <w:sz w:val="22"/>
              </w:rPr>
              <w:t>602000</w:t>
            </w:r>
          </w:p>
        </w:tc>
        <w:tc>
          <w:tcPr>
            <w:tcW w:type="dxa" w:w="2104"/>
            <w:tcBorders>
              <w:top w:sz="4" w:val="nil"/>
              <w:left w:sz="4" w:val="nil"/>
              <w:bottom w:color="000000" w:sz="4" w:val="single"/>
              <w:right w:color="000000" w:sz="4" w:val="single"/>
            </w:tcBorders>
            <w:shd w:fill="FFFFFF" w:val="clear"/>
            <w:vAlign w:val="center"/>
          </w:tcPr>
          <w:p w14:paraId="532C0000">
            <w:pPr>
              <w:widowControl w:val="1"/>
              <w:ind/>
              <w:contextualSpacing w:val="1"/>
              <w:jc w:val="center"/>
              <w:rPr>
                <w:sz w:val="22"/>
              </w:rPr>
            </w:pPr>
            <w:r>
              <w:rPr>
                <w:sz w:val="22"/>
              </w:rPr>
              <w:t>извещение о сделке направлено 15.11.2018г, требование об одобрении сделки не поступило</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542C0000">
            <w:pPr>
              <w:widowControl w:val="1"/>
              <w:ind/>
              <w:contextualSpacing w:val="1"/>
              <w:jc w:val="center"/>
              <w:rPr>
                <w:color w:val="000000"/>
                <w:sz w:val="22"/>
              </w:rPr>
            </w:pPr>
            <w:r>
              <w:rPr>
                <w:color w:val="000000"/>
                <w:sz w:val="22"/>
              </w:rPr>
              <w:t>81</w:t>
            </w:r>
          </w:p>
        </w:tc>
        <w:tc>
          <w:tcPr>
            <w:tcW w:type="dxa" w:w="2268"/>
            <w:tcBorders>
              <w:top w:sz="4" w:val="nil"/>
              <w:left w:sz="4" w:val="nil"/>
              <w:bottom w:color="000000" w:sz="4" w:val="single"/>
              <w:right w:color="000000" w:sz="4" w:val="single"/>
            </w:tcBorders>
            <w:shd w:fill="auto" w:val="clear"/>
            <w:vAlign w:val="center"/>
          </w:tcPr>
          <w:p w14:paraId="552C0000">
            <w:pPr>
              <w:widowControl w:val="1"/>
              <w:ind/>
              <w:contextualSpacing w:val="1"/>
              <w:jc w:val="center"/>
              <w:rPr>
                <w:sz w:val="22"/>
              </w:rPr>
            </w:pPr>
            <w:r>
              <w:rPr>
                <w:sz w:val="22"/>
              </w:rPr>
              <w:t>договор № 3183120 от 18.12.2018</w:t>
            </w:r>
          </w:p>
        </w:tc>
        <w:tc>
          <w:tcPr>
            <w:tcW w:type="dxa" w:w="1427"/>
            <w:tcBorders>
              <w:top w:sz="4" w:val="nil"/>
              <w:left w:sz="4" w:val="nil"/>
              <w:bottom w:color="000000" w:sz="4" w:val="single"/>
              <w:right w:color="000000" w:sz="4" w:val="single"/>
            </w:tcBorders>
            <w:shd w:fill="auto" w:val="clear"/>
            <w:vAlign w:val="center"/>
          </w:tcPr>
          <w:p w14:paraId="562C0000">
            <w:pPr>
              <w:widowControl w:val="1"/>
              <w:ind/>
              <w:contextualSpacing w:val="1"/>
              <w:jc w:val="center"/>
              <w:rPr>
                <w:sz w:val="22"/>
              </w:rPr>
            </w:pPr>
            <w:r>
              <w:rPr>
                <w:sz w:val="22"/>
              </w:rPr>
              <w:t>18.12.2018</w:t>
            </w:r>
          </w:p>
        </w:tc>
        <w:tc>
          <w:tcPr>
            <w:tcW w:type="dxa" w:w="2258"/>
            <w:tcBorders>
              <w:top w:sz="4" w:val="nil"/>
              <w:left w:sz="4" w:val="nil"/>
              <w:bottom w:color="000000" w:sz="4" w:val="single"/>
              <w:right w:color="000000" w:sz="4" w:val="single"/>
            </w:tcBorders>
            <w:shd w:fill="auto" w:val="clear"/>
            <w:vAlign w:val="center"/>
          </w:tcPr>
          <w:p w14:paraId="572C0000">
            <w:pPr>
              <w:widowControl w:val="1"/>
              <w:ind/>
              <w:contextualSpacing w:val="1"/>
              <w:jc w:val="center"/>
              <w:rPr>
                <w:sz w:val="22"/>
              </w:rPr>
            </w:pPr>
            <w:r>
              <w:rPr>
                <w:sz w:val="22"/>
              </w:rPr>
              <w:t>ОАО "РЖД" Красноярский территориальный центр фирменного транспортного обслуживания</w:t>
            </w:r>
          </w:p>
        </w:tc>
        <w:tc>
          <w:tcPr>
            <w:tcW w:type="dxa" w:w="2561"/>
            <w:tcBorders>
              <w:top w:sz="4" w:val="nil"/>
              <w:left w:sz="4" w:val="nil"/>
              <w:bottom w:color="000000" w:sz="4" w:val="single"/>
              <w:right w:color="000000" w:sz="4" w:val="single"/>
            </w:tcBorders>
            <w:shd w:fill="FFFFFF" w:val="clear"/>
            <w:vAlign w:val="center"/>
          </w:tcPr>
          <w:p w14:paraId="582C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592C0000">
            <w:pPr>
              <w:widowControl w:val="1"/>
              <w:ind/>
              <w:contextualSpacing w:val="1"/>
              <w:jc w:val="center"/>
              <w:rPr>
                <w:sz w:val="22"/>
              </w:rPr>
            </w:pPr>
            <w:r>
              <w:rPr>
                <w:sz w:val="22"/>
              </w:rPr>
              <w:t>01.01.2019-31.12.2019</w:t>
            </w:r>
          </w:p>
        </w:tc>
        <w:tc>
          <w:tcPr>
            <w:tcW w:type="dxa" w:w="1591"/>
            <w:tcBorders>
              <w:top w:sz="4" w:val="nil"/>
              <w:left w:sz="4" w:val="nil"/>
              <w:bottom w:color="000000" w:sz="4" w:val="single"/>
              <w:right w:color="000000" w:sz="4" w:val="single"/>
            </w:tcBorders>
            <w:shd w:fill="auto" w:val="clear"/>
            <w:vAlign w:val="center"/>
          </w:tcPr>
          <w:p w14:paraId="5A2C0000">
            <w:pPr>
              <w:widowControl w:val="1"/>
              <w:ind/>
              <w:contextualSpacing w:val="1"/>
              <w:jc w:val="center"/>
              <w:rPr>
                <w:sz w:val="22"/>
              </w:rPr>
            </w:pPr>
            <w:r>
              <w:rPr>
                <w:sz w:val="22"/>
              </w:rPr>
              <w:t>185000</w:t>
            </w:r>
          </w:p>
        </w:tc>
        <w:tc>
          <w:tcPr>
            <w:tcW w:type="dxa" w:w="2104"/>
            <w:tcBorders>
              <w:top w:sz="4" w:val="nil"/>
              <w:left w:sz="4" w:val="nil"/>
              <w:bottom w:color="000000" w:sz="4" w:val="single"/>
              <w:right w:color="000000" w:sz="4" w:val="single"/>
            </w:tcBorders>
            <w:shd w:fill="FFFFFF" w:val="clear"/>
            <w:vAlign w:val="center"/>
          </w:tcPr>
          <w:p w14:paraId="5B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5C2C0000">
            <w:pPr>
              <w:widowControl w:val="1"/>
              <w:ind/>
              <w:contextualSpacing w:val="1"/>
              <w:jc w:val="center"/>
              <w:rPr>
                <w:color w:val="000000"/>
                <w:sz w:val="22"/>
              </w:rPr>
            </w:pPr>
            <w:r>
              <w:rPr>
                <w:color w:val="000000"/>
                <w:sz w:val="22"/>
              </w:rPr>
              <w:t>82</w:t>
            </w:r>
          </w:p>
        </w:tc>
        <w:tc>
          <w:tcPr>
            <w:tcW w:type="dxa" w:w="2268"/>
            <w:tcBorders>
              <w:top w:sz="4" w:val="nil"/>
              <w:left w:sz="4" w:val="nil"/>
              <w:bottom w:color="000000" w:sz="4" w:val="single"/>
              <w:right w:color="000000" w:sz="4" w:val="single"/>
            </w:tcBorders>
            <w:shd w:fill="auto" w:val="clear"/>
            <w:vAlign w:val="center"/>
          </w:tcPr>
          <w:p w14:paraId="5D2C0000">
            <w:pPr>
              <w:widowControl w:val="1"/>
              <w:ind/>
              <w:contextualSpacing w:val="1"/>
              <w:jc w:val="center"/>
              <w:rPr>
                <w:sz w:val="22"/>
              </w:rPr>
            </w:pPr>
            <w:r>
              <w:rPr>
                <w:sz w:val="22"/>
              </w:rPr>
              <w:t>договор № 3210620 от 20.12.2018</w:t>
            </w:r>
          </w:p>
        </w:tc>
        <w:tc>
          <w:tcPr>
            <w:tcW w:type="dxa" w:w="1427"/>
            <w:tcBorders>
              <w:top w:sz="4" w:val="nil"/>
              <w:left w:sz="4" w:val="nil"/>
              <w:bottom w:color="000000" w:sz="4" w:val="single"/>
              <w:right w:color="000000" w:sz="4" w:val="single"/>
            </w:tcBorders>
            <w:shd w:fill="auto" w:val="clear"/>
            <w:vAlign w:val="center"/>
          </w:tcPr>
          <w:p w14:paraId="5E2C0000">
            <w:pPr>
              <w:widowControl w:val="1"/>
              <w:ind/>
              <w:contextualSpacing w:val="1"/>
              <w:jc w:val="center"/>
              <w:rPr>
                <w:sz w:val="22"/>
              </w:rPr>
            </w:pPr>
            <w:r>
              <w:rPr>
                <w:sz w:val="22"/>
              </w:rPr>
              <w:t>20.12.2018</w:t>
            </w:r>
          </w:p>
        </w:tc>
        <w:tc>
          <w:tcPr>
            <w:tcW w:type="dxa" w:w="2258"/>
            <w:tcBorders>
              <w:top w:sz="4" w:val="nil"/>
              <w:left w:sz="4" w:val="nil"/>
              <w:bottom w:color="000000" w:sz="4" w:val="single"/>
              <w:right w:color="000000" w:sz="4" w:val="single"/>
            </w:tcBorders>
            <w:shd w:fill="auto" w:val="clear"/>
            <w:vAlign w:val="center"/>
          </w:tcPr>
          <w:p w14:paraId="5F2C0000">
            <w:pPr>
              <w:widowControl w:val="1"/>
              <w:ind/>
              <w:contextualSpacing w:val="1"/>
              <w:jc w:val="center"/>
              <w:rPr>
                <w:sz w:val="22"/>
              </w:rPr>
            </w:pPr>
            <w:r>
              <w:rPr>
                <w:sz w:val="22"/>
              </w:rPr>
              <w:t>ОАО "РЖД" Красноярская дирекция моторвагонного подвижного состава</w:t>
            </w:r>
          </w:p>
        </w:tc>
        <w:tc>
          <w:tcPr>
            <w:tcW w:type="dxa" w:w="2561"/>
            <w:tcBorders>
              <w:top w:sz="4" w:val="nil"/>
              <w:left w:sz="4" w:val="nil"/>
              <w:bottom w:color="000000" w:sz="4" w:val="single"/>
              <w:right w:color="000000" w:sz="4" w:val="single"/>
            </w:tcBorders>
            <w:shd w:fill="FFFFFF" w:val="clear"/>
            <w:vAlign w:val="center"/>
          </w:tcPr>
          <w:p w14:paraId="602C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612C0000">
            <w:pPr>
              <w:widowControl w:val="1"/>
              <w:ind/>
              <w:contextualSpacing w:val="1"/>
              <w:jc w:val="center"/>
              <w:rPr>
                <w:sz w:val="22"/>
              </w:rPr>
            </w:pPr>
            <w:r>
              <w:rPr>
                <w:sz w:val="22"/>
              </w:rPr>
              <w:t>01.01.2019-31.12.2019</w:t>
            </w:r>
          </w:p>
        </w:tc>
        <w:tc>
          <w:tcPr>
            <w:tcW w:type="dxa" w:w="1591"/>
            <w:tcBorders>
              <w:top w:sz="4" w:val="nil"/>
              <w:left w:sz="4" w:val="nil"/>
              <w:bottom w:color="000000" w:sz="4" w:val="single"/>
              <w:right w:color="000000" w:sz="4" w:val="single"/>
            </w:tcBorders>
            <w:shd w:fill="auto" w:val="clear"/>
            <w:vAlign w:val="center"/>
          </w:tcPr>
          <w:p w14:paraId="622C0000">
            <w:pPr>
              <w:widowControl w:val="1"/>
              <w:ind/>
              <w:contextualSpacing w:val="1"/>
              <w:jc w:val="center"/>
              <w:rPr>
                <w:sz w:val="22"/>
              </w:rPr>
            </w:pPr>
            <w:r>
              <w:rPr>
                <w:sz w:val="22"/>
              </w:rPr>
              <w:t>135000</w:t>
            </w:r>
          </w:p>
        </w:tc>
        <w:tc>
          <w:tcPr>
            <w:tcW w:type="dxa" w:w="2104"/>
            <w:tcBorders>
              <w:top w:sz="4" w:val="nil"/>
              <w:left w:sz="4" w:val="nil"/>
              <w:bottom w:color="000000" w:sz="4" w:val="single"/>
              <w:right w:color="000000" w:sz="4" w:val="single"/>
            </w:tcBorders>
            <w:shd w:fill="FFFFFF" w:val="clear"/>
            <w:vAlign w:val="center"/>
          </w:tcPr>
          <w:p w14:paraId="63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642C0000">
            <w:pPr>
              <w:widowControl w:val="1"/>
              <w:ind/>
              <w:contextualSpacing w:val="1"/>
              <w:jc w:val="center"/>
              <w:rPr>
                <w:color w:val="000000"/>
                <w:sz w:val="22"/>
              </w:rPr>
            </w:pPr>
            <w:r>
              <w:rPr>
                <w:color w:val="000000"/>
                <w:sz w:val="22"/>
              </w:rPr>
              <w:t>83</w:t>
            </w:r>
          </w:p>
        </w:tc>
        <w:tc>
          <w:tcPr>
            <w:tcW w:type="dxa" w:w="2268"/>
            <w:tcBorders>
              <w:top w:sz="4" w:val="nil"/>
              <w:left w:sz="4" w:val="nil"/>
              <w:bottom w:color="000000" w:sz="4" w:val="single"/>
              <w:right w:color="000000" w:sz="4" w:val="single"/>
            </w:tcBorders>
            <w:shd w:fill="auto" w:val="clear"/>
            <w:vAlign w:val="center"/>
          </w:tcPr>
          <w:p w14:paraId="652C0000">
            <w:pPr>
              <w:widowControl w:val="1"/>
              <w:ind/>
              <w:contextualSpacing w:val="1"/>
              <w:jc w:val="center"/>
              <w:rPr>
                <w:sz w:val="22"/>
              </w:rPr>
            </w:pPr>
            <w:r>
              <w:rPr>
                <w:sz w:val="22"/>
              </w:rPr>
              <w:t>дополнительное соглашение № 2 к договору № 642/504316/МВ от 27.12.2017 от 21.12.2018</w:t>
            </w:r>
          </w:p>
        </w:tc>
        <w:tc>
          <w:tcPr>
            <w:tcW w:type="dxa" w:w="1427"/>
            <w:tcBorders>
              <w:top w:sz="4" w:val="nil"/>
              <w:left w:sz="4" w:val="nil"/>
              <w:bottom w:color="000000" w:sz="4" w:val="single"/>
              <w:right w:color="000000" w:sz="4" w:val="single"/>
            </w:tcBorders>
            <w:shd w:fill="auto" w:val="clear"/>
            <w:vAlign w:val="center"/>
          </w:tcPr>
          <w:p w14:paraId="662C0000">
            <w:pPr>
              <w:widowControl w:val="1"/>
              <w:ind/>
              <w:contextualSpacing w:val="1"/>
              <w:jc w:val="center"/>
              <w:rPr>
                <w:sz w:val="22"/>
              </w:rPr>
            </w:pPr>
            <w:r>
              <w:rPr>
                <w:sz w:val="22"/>
              </w:rPr>
              <w:t>21.12.2018</w:t>
            </w:r>
          </w:p>
        </w:tc>
        <w:tc>
          <w:tcPr>
            <w:tcW w:type="dxa" w:w="2258"/>
            <w:tcBorders>
              <w:top w:sz="4" w:val="nil"/>
              <w:left w:sz="4" w:val="nil"/>
              <w:bottom w:color="000000" w:sz="4" w:val="single"/>
              <w:right w:color="000000" w:sz="4" w:val="single"/>
            </w:tcBorders>
            <w:shd w:fill="auto" w:val="clear"/>
            <w:vAlign w:val="center"/>
          </w:tcPr>
          <w:p w14:paraId="672C0000">
            <w:pPr>
              <w:widowControl w:val="1"/>
              <w:ind/>
              <w:contextualSpacing w:val="1"/>
              <w:jc w:val="center"/>
              <w:rPr>
                <w:sz w:val="22"/>
              </w:rPr>
            </w:pPr>
            <w:r>
              <w:rPr>
                <w:sz w:val="22"/>
              </w:rPr>
              <w:t>ОАО "РЖД" Красноярский региональный центр связи</w:t>
            </w:r>
          </w:p>
        </w:tc>
        <w:tc>
          <w:tcPr>
            <w:tcW w:type="dxa" w:w="2561"/>
            <w:tcBorders>
              <w:top w:sz="4" w:val="nil"/>
              <w:left w:sz="4" w:val="nil"/>
              <w:bottom w:color="000000" w:sz="4" w:val="single"/>
              <w:right w:sz="4" w:val="nil"/>
            </w:tcBorders>
            <w:shd w:fill="FFFFFF" w:val="clear"/>
            <w:vAlign w:val="center"/>
          </w:tcPr>
          <w:p w14:paraId="682C0000">
            <w:pPr>
              <w:widowControl w:val="1"/>
              <w:ind/>
              <w:contextualSpacing w:val="1"/>
              <w:jc w:val="center"/>
              <w:rPr>
                <w:sz w:val="22"/>
              </w:rPr>
            </w:pPr>
            <w:r>
              <w:rPr>
                <w:sz w:val="22"/>
              </w:rPr>
              <w:t>внесение изменений относительно ставки НДС с 01.01.2019г.</w:t>
            </w:r>
          </w:p>
        </w:tc>
        <w:tc>
          <w:tcPr>
            <w:tcW w:type="dxa" w:w="1416"/>
            <w:tcBorders>
              <w:top w:sz="4" w:val="nil"/>
              <w:left w:color="000000" w:sz="4" w:val="single"/>
              <w:bottom w:color="000000" w:sz="4" w:val="single"/>
              <w:right w:color="000000" w:sz="4" w:val="single"/>
            </w:tcBorders>
            <w:shd w:fill="auto" w:val="clear"/>
            <w:vAlign w:val="center"/>
          </w:tcPr>
          <w:p w14:paraId="692C0000">
            <w:pPr>
              <w:widowControl w:val="1"/>
              <w:ind/>
              <w:contextualSpacing w:val="1"/>
              <w:jc w:val="center"/>
              <w:rPr>
                <w:color w:val="000000"/>
                <w:sz w:val="22"/>
              </w:rPr>
            </w:pPr>
            <w:r>
              <w:rPr>
                <w:color w:val="000000"/>
                <w:sz w:val="22"/>
              </w:rPr>
              <w:t>01.01.2018-31.12.2027</w:t>
            </w:r>
          </w:p>
        </w:tc>
        <w:tc>
          <w:tcPr>
            <w:tcW w:type="dxa" w:w="1591"/>
            <w:tcBorders>
              <w:top w:sz="4" w:val="nil"/>
              <w:left w:sz="4" w:val="nil"/>
              <w:bottom w:color="000000" w:sz="4" w:val="single"/>
              <w:right w:color="000000" w:sz="4" w:val="single"/>
            </w:tcBorders>
            <w:shd w:fill="auto" w:val="clear"/>
            <w:vAlign w:val="center"/>
          </w:tcPr>
          <w:p w14:paraId="6A2C0000">
            <w:pPr>
              <w:widowControl w:val="1"/>
              <w:ind/>
              <w:contextualSpacing w:val="1"/>
              <w:jc w:val="center"/>
              <w:rPr>
                <w:sz w:val="22"/>
              </w:rPr>
            </w:pPr>
            <w:r>
              <w:rPr>
                <w:sz w:val="22"/>
              </w:rPr>
              <w:t>99000</w:t>
            </w:r>
          </w:p>
        </w:tc>
        <w:tc>
          <w:tcPr>
            <w:tcW w:type="dxa" w:w="2104"/>
            <w:tcBorders>
              <w:top w:sz="4" w:val="nil"/>
              <w:left w:sz="4" w:val="nil"/>
              <w:bottom w:color="000000" w:sz="4" w:val="single"/>
              <w:right w:color="000000" w:sz="4" w:val="single"/>
            </w:tcBorders>
            <w:shd w:fill="FFFFFF" w:val="clear"/>
            <w:vAlign w:val="center"/>
          </w:tcPr>
          <w:p w14:paraId="6B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6C2C0000">
            <w:pPr>
              <w:widowControl w:val="1"/>
              <w:ind/>
              <w:contextualSpacing w:val="1"/>
              <w:jc w:val="center"/>
              <w:rPr>
                <w:color w:val="000000"/>
                <w:sz w:val="22"/>
              </w:rPr>
            </w:pPr>
            <w:r>
              <w:rPr>
                <w:color w:val="000000"/>
                <w:sz w:val="22"/>
              </w:rPr>
              <w:t>84</w:t>
            </w:r>
          </w:p>
        </w:tc>
        <w:tc>
          <w:tcPr>
            <w:tcW w:type="dxa" w:w="2268"/>
            <w:tcBorders>
              <w:top w:sz="4" w:val="nil"/>
              <w:left w:sz="4" w:val="nil"/>
              <w:bottom w:color="000000" w:sz="4" w:val="single"/>
              <w:right w:color="000000" w:sz="4" w:val="single"/>
            </w:tcBorders>
            <w:shd w:fill="auto" w:val="clear"/>
            <w:vAlign w:val="center"/>
          </w:tcPr>
          <w:p w14:paraId="6D2C0000">
            <w:pPr>
              <w:widowControl w:val="1"/>
              <w:ind/>
              <w:contextualSpacing w:val="1"/>
              <w:jc w:val="center"/>
              <w:rPr>
                <w:sz w:val="22"/>
              </w:rPr>
            </w:pPr>
            <w:r>
              <w:rPr>
                <w:sz w:val="22"/>
              </w:rPr>
              <w:t>дополнительное соглашение № 1 к договору № 2706744 от 28.12.2017 от 26.12.2018</w:t>
            </w:r>
          </w:p>
        </w:tc>
        <w:tc>
          <w:tcPr>
            <w:tcW w:type="dxa" w:w="1427"/>
            <w:tcBorders>
              <w:top w:sz="4" w:val="nil"/>
              <w:left w:sz="4" w:val="nil"/>
              <w:bottom w:color="000000" w:sz="4" w:val="single"/>
              <w:right w:color="000000" w:sz="4" w:val="single"/>
            </w:tcBorders>
            <w:shd w:fill="auto" w:val="clear"/>
            <w:vAlign w:val="center"/>
          </w:tcPr>
          <w:p w14:paraId="6E2C0000">
            <w:pPr>
              <w:widowControl w:val="1"/>
              <w:ind/>
              <w:contextualSpacing w:val="1"/>
              <w:jc w:val="center"/>
              <w:rPr>
                <w:sz w:val="22"/>
              </w:rPr>
            </w:pPr>
            <w:r>
              <w:rPr>
                <w:sz w:val="22"/>
              </w:rPr>
              <w:t>26.12.2018</w:t>
            </w:r>
          </w:p>
        </w:tc>
        <w:tc>
          <w:tcPr>
            <w:tcW w:type="dxa" w:w="2258"/>
            <w:tcBorders>
              <w:top w:sz="4" w:val="nil"/>
              <w:left w:sz="4" w:val="nil"/>
              <w:bottom w:color="000000" w:sz="4" w:val="single"/>
              <w:right w:color="000000" w:sz="4" w:val="single"/>
            </w:tcBorders>
            <w:shd w:fill="FFFFFF" w:val="clear"/>
            <w:vAlign w:val="center"/>
          </w:tcPr>
          <w:p w14:paraId="6F2C0000">
            <w:pPr>
              <w:widowControl w:val="1"/>
              <w:ind/>
              <w:contextualSpacing w:val="1"/>
              <w:jc w:val="center"/>
              <w:rPr>
                <w:sz w:val="22"/>
              </w:rPr>
            </w:pPr>
            <w:r>
              <w:rPr>
                <w:sz w:val="22"/>
              </w:rPr>
              <w:t>ОАО "РЖД" Красноярская дирекция моторвагонного подвижного состава</w:t>
            </w:r>
          </w:p>
        </w:tc>
        <w:tc>
          <w:tcPr>
            <w:tcW w:type="dxa" w:w="2561"/>
            <w:tcBorders>
              <w:top w:sz="4" w:val="nil"/>
              <w:left w:sz="4" w:val="nil"/>
              <w:bottom w:color="000000" w:sz="4" w:val="single"/>
              <w:right w:color="000000" w:sz="4" w:val="single"/>
            </w:tcBorders>
            <w:shd w:fill="FFFFFF" w:val="clear"/>
            <w:vAlign w:val="center"/>
          </w:tcPr>
          <w:p w14:paraId="702C0000">
            <w:pPr>
              <w:widowControl w:val="1"/>
              <w:ind/>
              <w:contextualSpacing w:val="1"/>
              <w:jc w:val="center"/>
              <w:rPr>
                <w:sz w:val="22"/>
              </w:rPr>
            </w:pPr>
            <w:r>
              <w:rPr>
                <w:sz w:val="22"/>
              </w:rPr>
              <w:t>увеличение предельной цены договора на перевозку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712C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FFFFFF" w:val="clear"/>
            <w:vAlign w:val="center"/>
          </w:tcPr>
          <w:p w14:paraId="722C0000">
            <w:pPr>
              <w:widowControl w:val="1"/>
              <w:ind/>
              <w:contextualSpacing w:val="1"/>
              <w:jc w:val="center"/>
              <w:rPr>
                <w:sz w:val="22"/>
              </w:rPr>
            </w:pPr>
            <w:r>
              <w:rPr>
                <w:sz w:val="22"/>
              </w:rPr>
              <w:t>182000</w:t>
            </w:r>
          </w:p>
        </w:tc>
        <w:tc>
          <w:tcPr>
            <w:tcW w:type="dxa" w:w="2104"/>
            <w:tcBorders>
              <w:top w:sz="4" w:val="nil"/>
              <w:left w:sz="4" w:val="nil"/>
              <w:bottom w:color="000000" w:sz="4" w:val="single"/>
              <w:right w:color="000000" w:sz="4" w:val="single"/>
            </w:tcBorders>
            <w:shd w:fill="FFFFFF" w:val="clear"/>
            <w:vAlign w:val="center"/>
          </w:tcPr>
          <w:p w14:paraId="73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742C0000">
            <w:pPr>
              <w:widowControl w:val="1"/>
              <w:ind/>
              <w:contextualSpacing w:val="1"/>
              <w:jc w:val="center"/>
              <w:rPr>
                <w:color w:val="000000"/>
                <w:sz w:val="22"/>
              </w:rPr>
            </w:pPr>
            <w:r>
              <w:rPr>
                <w:color w:val="000000"/>
                <w:sz w:val="22"/>
              </w:rPr>
              <w:t>85</w:t>
            </w:r>
          </w:p>
        </w:tc>
        <w:tc>
          <w:tcPr>
            <w:tcW w:type="dxa" w:w="2268"/>
            <w:tcBorders>
              <w:top w:sz="4" w:val="nil"/>
              <w:left w:sz="4" w:val="nil"/>
              <w:bottom w:color="000000" w:sz="4" w:val="single"/>
              <w:right w:color="000000" w:sz="4" w:val="single"/>
            </w:tcBorders>
            <w:shd w:fill="auto" w:val="clear"/>
            <w:vAlign w:val="center"/>
          </w:tcPr>
          <w:p w14:paraId="752C0000">
            <w:pPr>
              <w:widowControl w:val="1"/>
              <w:ind/>
              <w:contextualSpacing w:val="1"/>
              <w:jc w:val="center"/>
              <w:rPr>
                <w:sz w:val="22"/>
              </w:rPr>
            </w:pPr>
            <w:r>
              <w:rPr>
                <w:sz w:val="22"/>
              </w:rPr>
              <w:t>дополнительное соглашение № 3 к договору № 2716160 от 29.12.2017г от 28.12.2018</w:t>
            </w:r>
          </w:p>
        </w:tc>
        <w:tc>
          <w:tcPr>
            <w:tcW w:type="dxa" w:w="1427"/>
            <w:tcBorders>
              <w:top w:sz="4" w:val="nil"/>
              <w:left w:sz="4" w:val="nil"/>
              <w:bottom w:color="000000" w:sz="4" w:val="single"/>
              <w:right w:color="000000" w:sz="4" w:val="single"/>
            </w:tcBorders>
            <w:shd w:fill="auto" w:val="clear"/>
            <w:vAlign w:val="center"/>
          </w:tcPr>
          <w:p w14:paraId="762C0000">
            <w:pPr>
              <w:widowControl w:val="1"/>
              <w:ind/>
              <w:contextualSpacing w:val="1"/>
              <w:jc w:val="center"/>
              <w:rPr>
                <w:sz w:val="22"/>
              </w:rPr>
            </w:pPr>
            <w:r>
              <w:rPr>
                <w:sz w:val="22"/>
              </w:rPr>
              <w:t>28.12.2018</w:t>
            </w:r>
          </w:p>
        </w:tc>
        <w:tc>
          <w:tcPr>
            <w:tcW w:type="dxa" w:w="2258"/>
            <w:tcBorders>
              <w:top w:sz="4" w:val="nil"/>
              <w:left w:sz="4" w:val="nil"/>
              <w:bottom w:color="000000" w:sz="4" w:val="single"/>
              <w:right w:color="000000" w:sz="4" w:val="single"/>
            </w:tcBorders>
            <w:shd w:fill="auto" w:val="clear"/>
            <w:vAlign w:val="center"/>
          </w:tcPr>
          <w:p w14:paraId="772C0000">
            <w:pPr>
              <w:widowControl w:val="1"/>
              <w:ind/>
              <w:contextualSpacing w:val="1"/>
              <w:jc w:val="center"/>
              <w:rPr>
                <w:sz w:val="22"/>
              </w:rPr>
            </w:pPr>
            <w:r>
              <w:rPr>
                <w:sz w:val="22"/>
              </w:rPr>
              <w:t>ОАО "РЖД" Красноярская региональная служба развития пассажирских сообщений и предоставления доступа к инфраструктуре</w:t>
            </w:r>
          </w:p>
        </w:tc>
        <w:tc>
          <w:tcPr>
            <w:tcW w:type="dxa" w:w="2561"/>
            <w:tcBorders>
              <w:top w:sz="4" w:val="nil"/>
              <w:left w:sz="4" w:val="nil"/>
              <w:bottom w:color="000000" w:sz="4" w:val="single"/>
              <w:right w:color="000000" w:sz="4" w:val="single"/>
            </w:tcBorders>
            <w:shd w:fill="auto" w:val="clear"/>
            <w:vAlign w:val="center"/>
          </w:tcPr>
          <w:p w14:paraId="782C0000">
            <w:pPr>
              <w:widowControl w:val="1"/>
              <w:ind/>
              <w:contextualSpacing w:val="1"/>
              <w:jc w:val="center"/>
              <w:rPr>
                <w:sz w:val="22"/>
              </w:rPr>
            </w:pPr>
            <w:r>
              <w:rPr>
                <w:sz w:val="22"/>
              </w:rPr>
              <w:t>изменение цены договора, внесение изменений в перечень передаваемых помещений</w:t>
            </w:r>
          </w:p>
        </w:tc>
        <w:tc>
          <w:tcPr>
            <w:tcW w:type="dxa" w:w="1416"/>
            <w:tcBorders>
              <w:top w:sz="4" w:val="nil"/>
              <w:left w:sz="4" w:val="nil"/>
              <w:bottom w:color="000000" w:sz="4" w:val="single"/>
              <w:right w:color="000000" w:sz="4" w:val="single"/>
            </w:tcBorders>
            <w:shd w:fill="auto" w:val="clear"/>
            <w:vAlign w:val="center"/>
          </w:tcPr>
          <w:p w14:paraId="792C0000">
            <w:pPr>
              <w:widowControl w:val="1"/>
              <w:ind/>
              <w:contextualSpacing w:val="1"/>
              <w:jc w:val="center"/>
              <w:rPr>
                <w:sz w:val="22"/>
              </w:rPr>
            </w:pPr>
            <w:r>
              <w:rPr>
                <w:sz w:val="22"/>
              </w:rPr>
              <w:t>01.01.2018-31.12.2020</w:t>
            </w:r>
          </w:p>
        </w:tc>
        <w:tc>
          <w:tcPr>
            <w:tcW w:type="dxa" w:w="1591"/>
            <w:tcBorders>
              <w:top w:sz="4" w:val="nil"/>
              <w:left w:sz="4" w:val="nil"/>
              <w:bottom w:color="000000" w:sz="4" w:val="single"/>
              <w:right w:color="000000" w:sz="4" w:val="single"/>
            </w:tcBorders>
            <w:shd w:fill="auto" w:val="clear"/>
            <w:vAlign w:val="center"/>
          </w:tcPr>
          <w:p w14:paraId="7A2C0000">
            <w:pPr>
              <w:widowControl w:val="1"/>
              <w:ind/>
              <w:contextualSpacing w:val="1"/>
              <w:jc w:val="center"/>
              <w:rPr>
                <w:sz w:val="22"/>
              </w:rPr>
            </w:pPr>
            <w:r>
              <w:rPr>
                <w:sz w:val="22"/>
              </w:rPr>
              <w:t>18870377,29</w:t>
            </w:r>
          </w:p>
        </w:tc>
        <w:tc>
          <w:tcPr>
            <w:tcW w:type="dxa" w:w="2104"/>
            <w:tcBorders>
              <w:top w:sz="4" w:val="nil"/>
              <w:left w:sz="4" w:val="nil"/>
              <w:bottom w:color="000000" w:sz="4" w:val="single"/>
              <w:right w:color="000000" w:sz="4" w:val="single"/>
            </w:tcBorders>
            <w:shd w:fill="FFFFFF" w:val="clear"/>
            <w:vAlign w:val="center"/>
          </w:tcPr>
          <w:p w14:paraId="7B2C0000">
            <w:pPr>
              <w:widowControl w:val="1"/>
              <w:ind/>
              <w:contextualSpacing w:val="1"/>
              <w:jc w:val="center"/>
              <w:rPr>
                <w:sz w:val="22"/>
              </w:rPr>
            </w:pPr>
            <w:r>
              <w:rPr>
                <w:sz w:val="22"/>
              </w:rPr>
              <w:t>извещение о сделке направлено 13.12.2018г,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7C2C0000">
            <w:pPr>
              <w:widowControl w:val="1"/>
              <w:ind/>
              <w:contextualSpacing w:val="1"/>
              <w:jc w:val="center"/>
              <w:rPr>
                <w:color w:val="000000"/>
                <w:sz w:val="22"/>
              </w:rPr>
            </w:pPr>
            <w:r>
              <w:rPr>
                <w:color w:val="000000"/>
                <w:sz w:val="22"/>
              </w:rPr>
              <w:t>86</w:t>
            </w:r>
          </w:p>
        </w:tc>
        <w:tc>
          <w:tcPr>
            <w:tcW w:type="dxa" w:w="2268"/>
            <w:tcBorders>
              <w:top w:sz="4" w:val="nil"/>
              <w:left w:sz="4" w:val="nil"/>
              <w:bottom w:color="000000" w:sz="4" w:val="single"/>
              <w:right w:color="000000" w:sz="4" w:val="single"/>
            </w:tcBorders>
            <w:shd w:fill="auto" w:val="clear"/>
            <w:vAlign w:val="center"/>
          </w:tcPr>
          <w:p w14:paraId="7D2C0000">
            <w:pPr>
              <w:widowControl w:val="1"/>
              <w:ind/>
              <w:contextualSpacing w:val="1"/>
              <w:jc w:val="center"/>
              <w:rPr>
                <w:sz w:val="22"/>
              </w:rPr>
            </w:pPr>
            <w:r>
              <w:rPr>
                <w:sz w:val="22"/>
              </w:rPr>
              <w:t>дополнительное соглашение № 1 к договору № 2797198 от 26.02.2018 от 28.12.2018</w:t>
            </w:r>
          </w:p>
        </w:tc>
        <w:tc>
          <w:tcPr>
            <w:tcW w:type="dxa" w:w="1427"/>
            <w:tcBorders>
              <w:top w:sz="4" w:val="nil"/>
              <w:left w:sz="4" w:val="nil"/>
              <w:bottom w:color="000000" w:sz="4" w:val="single"/>
              <w:right w:color="000000" w:sz="4" w:val="single"/>
            </w:tcBorders>
            <w:shd w:fill="auto" w:val="clear"/>
            <w:vAlign w:val="center"/>
          </w:tcPr>
          <w:p w14:paraId="7E2C0000">
            <w:pPr>
              <w:widowControl w:val="1"/>
              <w:ind/>
              <w:contextualSpacing w:val="1"/>
              <w:jc w:val="center"/>
              <w:rPr>
                <w:sz w:val="22"/>
              </w:rPr>
            </w:pPr>
            <w:r>
              <w:rPr>
                <w:sz w:val="22"/>
              </w:rPr>
              <w:t>28.12.2018</w:t>
            </w:r>
          </w:p>
        </w:tc>
        <w:tc>
          <w:tcPr>
            <w:tcW w:type="dxa" w:w="2258"/>
            <w:tcBorders>
              <w:top w:sz="4" w:val="nil"/>
              <w:left w:sz="4" w:val="nil"/>
              <w:bottom w:color="000000" w:sz="4" w:val="single"/>
              <w:right w:color="000000" w:sz="4" w:val="single"/>
            </w:tcBorders>
            <w:shd w:fill="auto" w:val="clear"/>
            <w:vAlign w:val="center"/>
          </w:tcPr>
          <w:p w14:paraId="7F2C0000">
            <w:pPr>
              <w:widowControl w:val="1"/>
              <w:ind/>
              <w:contextualSpacing w:val="1"/>
              <w:jc w:val="center"/>
              <w:rPr>
                <w:sz w:val="22"/>
              </w:rPr>
            </w:pPr>
            <w:r>
              <w:rPr>
                <w:sz w:val="22"/>
              </w:rPr>
              <w:t>ОАО "РЖД" Красноярская дирекция тяги</w:t>
            </w:r>
          </w:p>
        </w:tc>
        <w:tc>
          <w:tcPr>
            <w:tcW w:type="dxa" w:w="2561"/>
            <w:tcBorders>
              <w:top w:sz="4" w:val="nil"/>
              <w:left w:sz="4" w:val="nil"/>
              <w:bottom w:color="000000" w:sz="4" w:val="single"/>
              <w:right w:color="000000" w:sz="4" w:val="single"/>
            </w:tcBorders>
            <w:shd w:fill="FFFFFF" w:val="clear"/>
            <w:vAlign w:val="center"/>
          </w:tcPr>
          <w:p w14:paraId="802C0000">
            <w:pPr>
              <w:widowControl w:val="1"/>
              <w:ind/>
              <w:contextualSpacing w:val="1"/>
              <w:jc w:val="center"/>
              <w:rPr>
                <w:sz w:val="22"/>
              </w:rPr>
            </w:pPr>
            <w:r>
              <w:rPr>
                <w:sz w:val="22"/>
              </w:rPr>
              <w:t>увеличение предельной цены договора на оказание услуг по обеспечению дизельным топливом локомотивов</w:t>
            </w:r>
          </w:p>
        </w:tc>
        <w:tc>
          <w:tcPr>
            <w:tcW w:type="dxa" w:w="1416"/>
            <w:tcBorders>
              <w:top w:sz="4" w:val="nil"/>
              <w:left w:sz="4" w:val="nil"/>
              <w:bottom w:color="000000" w:sz="4" w:val="single"/>
              <w:right w:color="000000" w:sz="4" w:val="single"/>
            </w:tcBorders>
            <w:shd w:fill="auto" w:val="clear"/>
            <w:vAlign w:val="center"/>
          </w:tcPr>
          <w:p w14:paraId="812C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822C0000">
            <w:pPr>
              <w:widowControl w:val="1"/>
              <w:ind/>
              <w:contextualSpacing w:val="1"/>
              <w:jc w:val="center"/>
              <w:rPr>
                <w:sz w:val="22"/>
              </w:rPr>
            </w:pPr>
            <w:r>
              <w:rPr>
                <w:sz w:val="22"/>
              </w:rPr>
              <w:t>19747965,15</w:t>
            </w:r>
          </w:p>
        </w:tc>
        <w:tc>
          <w:tcPr>
            <w:tcW w:type="dxa" w:w="2104"/>
            <w:tcBorders>
              <w:top w:sz="4" w:val="nil"/>
              <w:left w:sz="4" w:val="nil"/>
              <w:bottom w:color="000000" w:sz="4" w:val="single"/>
              <w:right w:color="000000" w:sz="4" w:val="single"/>
            </w:tcBorders>
            <w:shd w:fill="FFFFFF" w:val="clear"/>
            <w:vAlign w:val="center"/>
          </w:tcPr>
          <w:p w14:paraId="832C0000">
            <w:pPr>
              <w:widowControl w:val="1"/>
              <w:ind/>
              <w:contextualSpacing w:val="1"/>
              <w:jc w:val="center"/>
              <w:rPr>
                <w:sz w:val="22"/>
              </w:rPr>
            </w:pPr>
            <w:r>
              <w:rPr>
                <w:sz w:val="22"/>
              </w:rPr>
              <w:t>извещение о сделке направлено 13.12.2018г,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842C0000">
            <w:pPr>
              <w:widowControl w:val="1"/>
              <w:ind/>
              <w:contextualSpacing w:val="1"/>
              <w:jc w:val="center"/>
              <w:rPr>
                <w:color w:val="000000"/>
                <w:sz w:val="22"/>
              </w:rPr>
            </w:pPr>
            <w:r>
              <w:rPr>
                <w:color w:val="000000"/>
                <w:sz w:val="22"/>
              </w:rPr>
              <w:t>87</w:t>
            </w:r>
          </w:p>
        </w:tc>
        <w:tc>
          <w:tcPr>
            <w:tcW w:type="dxa" w:w="2268"/>
            <w:tcBorders>
              <w:top w:sz="4" w:val="nil"/>
              <w:left w:sz="4" w:val="nil"/>
              <w:bottom w:color="000000" w:sz="4" w:val="single"/>
              <w:right w:color="000000" w:sz="4" w:val="single"/>
            </w:tcBorders>
            <w:shd w:fill="auto" w:val="clear"/>
            <w:vAlign w:val="center"/>
          </w:tcPr>
          <w:p w14:paraId="852C0000">
            <w:pPr>
              <w:widowControl w:val="1"/>
              <w:ind/>
              <w:contextualSpacing w:val="1"/>
              <w:jc w:val="center"/>
              <w:rPr>
                <w:sz w:val="22"/>
              </w:rPr>
            </w:pPr>
            <w:r>
              <w:rPr>
                <w:sz w:val="22"/>
              </w:rPr>
              <w:t>договор № 3225817 от 28.12.2018</w:t>
            </w:r>
          </w:p>
        </w:tc>
        <w:tc>
          <w:tcPr>
            <w:tcW w:type="dxa" w:w="1427"/>
            <w:tcBorders>
              <w:top w:sz="4" w:val="nil"/>
              <w:left w:sz="4" w:val="nil"/>
              <w:bottom w:color="000000" w:sz="4" w:val="single"/>
              <w:right w:color="000000" w:sz="4" w:val="single"/>
            </w:tcBorders>
            <w:shd w:fill="auto" w:val="clear"/>
            <w:vAlign w:val="center"/>
          </w:tcPr>
          <w:p w14:paraId="862C0000">
            <w:pPr>
              <w:widowControl w:val="1"/>
              <w:ind/>
              <w:contextualSpacing w:val="1"/>
              <w:jc w:val="center"/>
              <w:rPr>
                <w:sz w:val="22"/>
              </w:rPr>
            </w:pPr>
            <w:r>
              <w:rPr>
                <w:sz w:val="22"/>
              </w:rPr>
              <w:t>28.12.2018</w:t>
            </w:r>
          </w:p>
        </w:tc>
        <w:tc>
          <w:tcPr>
            <w:tcW w:type="dxa" w:w="2258"/>
            <w:tcBorders>
              <w:top w:sz="4" w:val="nil"/>
              <w:left w:sz="4" w:val="nil"/>
              <w:bottom w:color="000000" w:sz="4" w:val="single"/>
              <w:right w:color="000000" w:sz="4" w:val="single"/>
            </w:tcBorders>
            <w:shd w:fill="auto" w:val="clear"/>
            <w:vAlign w:val="center"/>
          </w:tcPr>
          <w:p w14:paraId="872C0000">
            <w:pPr>
              <w:widowControl w:val="1"/>
              <w:ind/>
              <w:contextualSpacing w:val="1"/>
              <w:jc w:val="center"/>
              <w:rPr>
                <w:sz w:val="22"/>
              </w:rPr>
            </w:pPr>
            <w:r>
              <w:rPr>
                <w:sz w:val="22"/>
              </w:rPr>
              <w:t>ОАО "РЖД" Красноярской дирекции управления движением</w:t>
            </w:r>
          </w:p>
        </w:tc>
        <w:tc>
          <w:tcPr>
            <w:tcW w:type="dxa" w:w="2561"/>
            <w:tcBorders>
              <w:top w:sz="4" w:val="nil"/>
              <w:left w:sz="4" w:val="nil"/>
              <w:bottom w:color="000000" w:sz="4" w:val="single"/>
              <w:right w:color="000000" w:sz="4" w:val="single"/>
            </w:tcBorders>
            <w:shd w:fill="FFFFFF" w:val="clear"/>
            <w:vAlign w:val="center"/>
          </w:tcPr>
          <w:p w14:paraId="882C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892C0000">
            <w:pPr>
              <w:widowControl w:val="1"/>
              <w:ind/>
              <w:contextualSpacing w:val="1"/>
              <w:jc w:val="center"/>
              <w:rPr>
                <w:sz w:val="22"/>
              </w:rPr>
            </w:pPr>
            <w:r>
              <w:rPr>
                <w:sz w:val="22"/>
              </w:rPr>
              <w:t>01.01.2019-30.03.2020</w:t>
            </w:r>
          </w:p>
        </w:tc>
        <w:tc>
          <w:tcPr>
            <w:tcW w:type="dxa" w:w="1591"/>
            <w:tcBorders>
              <w:top w:sz="4" w:val="nil"/>
              <w:left w:sz="4" w:val="nil"/>
              <w:bottom w:color="000000" w:sz="4" w:val="single"/>
              <w:right w:color="000000" w:sz="4" w:val="single"/>
            </w:tcBorders>
            <w:shd w:fill="FFFFFF" w:val="clear"/>
            <w:vAlign w:val="center"/>
          </w:tcPr>
          <w:p w14:paraId="8A2C0000">
            <w:pPr>
              <w:widowControl w:val="1"/>
              <w:ind/>
              <w:contextualSpacing w:val="1"/>
              <w:jc w:val="center"/>
              <w:rPr>
                <w:sz w:val="22"/>
              </w:rPr>
            </w:pPr>
            <w:r>
              <w:rPr>
                <w:sz w:val="22"/>
              </w:rPr>
              <w:t>3797828,04</w:t>
            </w:r>
          </w:p>
        </w:tc>
        <w:tc>
          <w:tcPr>
            <w:tcW w:type="dxa" w:w="2104"/>
            <w:tcBorders>
              <w:top w:sz="4" w:val="nil"/>
              <w:left w:sz="4" w:val="nil"/>
              <w:bottom w:color="000000" w:sz="4" w:val="single"/>
              <w:right w:color="000000" w:sz="4" w:val="single"/>
            </w:tcBorders>
            <w:shd w:fill="FFFFFF" w:val="clear"/>
            <w:vAlign w:val="center"/>
          </w:tcPr>
          <w:p w14:paraId="8B2C0000">
            <w:pPr>
              <w:widowControl w:val="1"/>
              <w:ind/>
              <w:contextualSpacing w:val="1"/>
              <w:jc w:val="center"/>
              <w:rPr>
                <w:sz w:val="22"/>
              </w:rPr>
            </w:pPr>
            <w:r>
              <w:rPr>
                <w:sz w:val="22"/>
              </w:rPr>
              <w:t>извещение о сделке направлено 13.12.2018г,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8C2C0000">
            <w:pPr>
              <w:widowControl w:val="1"/>
              <w:ind/>
              <w:contextualSpacing w:val="1"/>
              <w:jc w:val="center"/>
              <w:rPr>
                <w:color w:val="000000"/>
                <w:sz w:val="22"/>
              </w:rPr>
            </w:pPr>
            <w:r>
              <w:rPr>
                <w:color w:val="000000"/>
                <w:sz w:val="22"/>
              </w:rPr>
              <w:t>88</w:t>
            </w:r>
          </w:p>
        </w:tc>
        <w:tc>
          <w:tcPr>
            <w:tcW w:type="dxa" w:w="2268"/>
            <w:tcBorders>
              <w:top w:sz="4" w:val="nil"/>
              <w:left w:sz="4" w:val="nil"/>
              <w:bottom w:color="000000" w:sz="4" w:val="single"/>
              <w:right w:color="000000" w:sz="4" w:val="single"/>
            </w:tcBorders>
            <w:shd w:fill="auto" w:val="clear"/>
            <w:vAlign w:val="center"/>
          </w:tcPr>
          <w:p w14:paraId="8D2C0000">
            <w:pPr>
              <w:widowControl w:val="1"/>
              <w:ind/>
              <w:contextualSpacing w:val="1"/>
              <w:jc w:val="center"/>
              <w:rPr>
                <w:sz w:val="22"/>
              </w:rPr>
            </w:pPr>
            <w:r>
              <w:rPr>
                <w:sz w:val="22"/>
              </w:rPr>
              <w:t>договор № 3231725 от 28.12.2018</w:t>
            </w:r>
          </w:p>
        </w:tc>
        <w:tc>
          <w:tcPr>
            <w:tcW w:type="dxa" w:w="1427"/>
            <w:tcBorders>
              <w:top w:sz="4" w:val="nil"/>
              <w:left w:sz="4" w:val="nil"/>
              <w:bottom w:color="000000" w:sz="4" w:val="single"/>
              <w:right w:color="000000" w:sz="4" w:val="single"/>
            </w:tcBorders>
            <w:shd w:fill="auto" w:val="clear"/>
            <w:vAlign w:val="center"/>
          </w:tcPr>
          <w:p w14:paraId="8E2C0000">
            <w:pPr>
              <w:widowControl w:val="1"/>
              <w:ind/>
              <w:contextualSpacing w:val="1"/>
              <w:jc w:val="center"/>
              <w:rPr>
                <w:sz w:val="22"/>
              </w:rPr>
            </w:pPr>
            <w:r>
              <w:rPr>
                <w:sz w:val="22"/>
              </w:rPr>
              <w:t>28.12.2018</w:t>
            </w:r>
          </w:p>
        </w:tc>
        <w:tc>
          <w:tcPr>
            <w:tcW w:type="dxa" w:w="2258"/>
            <w:tcBorders>
              <w:top w:sz="4" w:val="nil"/>
              <w:left w:sz="4" w:val="nil"/>
              <w:bottom w:color="000000" w:sz="4" w:val="single"/>
              <w:right w:color="000000" w:sz="4" w:val="single"/>
            </w:tcBorders>
            <w:shd w:fill="FFFFFF" w:val="clear"/>
            <w:vAlign w:val="center"/>
          </w:tcPr>
          <w:p w14:paraId="8F2C0000">
            <w:pPr>
              <w:widowControl w:val="1"/>
              <w:ind/>
              <w:contextualSpacing w:val="1"/>
              <w:jc w:val="center"/>
              <w:rPr>
                <w:sz w:val="22"/>
              </w:rPr>
            </w:pPr>
            <w:r>
              <w:rPr>
                <w:sz w:val="22"/>
              </w:rPr>
              <w:t>ОАО "РЖД" Красноярская дирекция железнодорожных вокзалов</w:t>
            </w:r>
          </w:p>
        </w:tc>
        <w:tc>
          <w:tcPr>
            <w:tcW w:type="dxa" w:w="2561"/>
            <w:tcBorders>
              <w:top w:sz="4" w:val="nil"/>
              <w:left w:sz="4" w:val="nil"/>
              <w:bottom w:color="000000" w:sz="4" w:val="single"/>
              <w:right w:color="000000" w:sz="4" w:val="single"/>
            </w:tcBorders>
            <w:shd w:fill="auto" w:val="clear"/>
            <w:vAlign w:val="center"/>
          </w:tcPr>
          <w:p w14:paraId="902C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912C0000">
            <w:pPr>
              <w:widowControl w:val="1"/>
              <w:ind/>
              <w:contextualSpacing w:val="1"/>
              <w:jc w:val="center"/>
              <w:rPr>
                <w:sz w:val="22"/>
              </w:rPr>
            </w:pPr>
            <w:r>
              <w:rPr>
                <w:sz w:val="22"/>
              </w:rPr>
              <w:t>01.01.2019-28.02.2020</w:t>
            </w:r>
          </w:p>
        </w:tc>
        <w:tc>
          <w:tcPr>
            <w:tcW w:type="dxa" w:w="1591"/>
            <w:tcBorders>
              <w:top w:sz="4" w:val="nil"/>
              <w:left w:sz="4" w:val="nil"/>
              <w:bottom w:color="000000" w:sz="4" w:val="single"/>
              <w:right w:color="000000" w:sz="4" w:val="single"/>
            </w:tcBorders>
            <w:shd w:fill="FFFFFF" w:val="clear"/>
            <w:vAlign w:val="center"/>
          </w:tcPr>
          <w:p w14:paraId="922C0000">
            <w:pPr>
              <w:widowControl w:val="1"/>
              <w:ind/>
              <w:contextualSpacing w:val="1"/>
              <w:jc w:val="center"/>
              <w:rPr>
                <w:sz w:val="22"/>
              </w:rPr>
            </w:pPr>
            <w:r>
              <w:rPr>
                <w:sz w:val="22"/>
              </w:rPr>
              <w:t>450000</w:t>
            </w:r>
          </w:p>
        </w:tc>
        <w:tc>
          <w:tcPr>
            <w:tcW w:type="dxa" w:w="2104"/>
            <w:tcBorders>
              <w:top w:sz="4" w:val="nil"/>
              <w:left w:sz="4" w:val="nil"/>
              <w:bottom w:color="000000" w:sz="4" w:val="single"/>
              <w:right w:color="000000" w:sz="4" w:val="single"/>
            </w:tcBorders>
            <w:shd w:fill="FFFFFF" w:val="clear"/>
            <w:vAlign w:val="center"/>
          </w:tcPr>
          <w:p w14:paraId="932C0000">
            <w:pPr>
              <w:widowControl w:val="1"/>
              <w:ind/>
              <w:contextualSpacing w:val="1"/>
              <w:jc w:val="center"/>
              <w:rPr>
                <w:sz w:val="22"/>
              </w:rPr>
            </w:pPr>
            <w:r>
              <w:rPr>
                <w:sz w:val="22"/>
              </w:rPr>
              <w:t>извещение о сделке направлено 13.12.2018г, требование об одобрении сделки не поступило</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942C0000">
            <w:pPr>
              <w:widowControl w:val="1"/>
              <w:ind/>
              <w:contextualSpacing w:val="1"/>
              <w:jc w:val="center"/>
              <w:rPr>
                <w:color w:val="000000"/>
                <w:sz w:val="22"/>
              </w:rPr>
            </w:pPr>
            <w:r>
              <w:rPr>
                <w:color w:val="000000"/>
                <w:sz w:val="22"/>
              </w:rPr>
              <w:t>89</w:t>
            </w:r>
          </w:p>
        </w:tc>
        <w:tc>
          <w:tcPr>
            <w:tcW w:type="dxa" w:w="2268"/>
            <w:tcBorders>
              <w:top w:sz="4" w:val="nil"/>
              <w:left w:sz="4" w:val="nil"/>
              <w:bottom w:color="000000" w:sz="4" w:val="single"/>
              <w:right w:color="000000" w:sz="4" w:val="single"/>
            </w:tcBorders>
            <w:shd w:fill="auto" w:val="clear"/>
            <w:vAlign w:val="center"/>
          </w:tcPr>
          <w:p w14:paraId="952C0000">
            <w:pPr>
              <w:widowControl w:val="1"/>
              <w:ind/>
              <w:contextualSpacing w:val="1"/>
              <w:jc w:val="center"/>
              <w:rPr>
                <w:sz w:val="22"/>
              </w:rPr>
            </w:pPr>
            <w:r>
              <w:rPr>
                <w:sz w:val="22"/>
              </w:rPr>
              <w:t>договор № 3231534 от 28.12.2018</w:t>
            </w:r>
          </w:p>
        </w:tc>
        <w:tc>
          <w:tcPr>
            <w:tcW w:type="dxa" w:w="1427"/>
            <w:tcBorders>
              <w:top w:sz="4" w:val="nil"/>
              <w:left w:sz="4" w:val="nil"/>
              <w:bottom w:color="000000" w:sz="4" w:val="single"/>
              <w:right w:color="000000" w:sz="4" w:val="single"/>
            </w:tcBorders>
            <w:shd w:fill="auto" w:val="clear"/>
            <w:vAlign w:val="center"/>
          </w:tcPr>
          <w:p w14:paraId="962C0000">
            <w:pPr>
              <w:widowControl w:val="1"/>
              <w:ind/>
              <w:contextualSpacing w:val="1"/>
              <w:jc w:val="center"/>
              <w:rPr>
                <w:sz w:val="22"/>
              </w:rPr>
            </w:pPr>
            <w:r>
              <w:rPr>
                <w:sz w:val="22"/>
              </w:rPr>
              <w:t>28.12.2018</w:t>
            </w:r>
          </w:p>
        </w:tc>
        <w:tc>
          <w:tcPr>
            <w:tcW w:type="dxa" w:w="2258"/>
            <w:tcBorders>
              <w:top w:sz="4" w:val="nil"/>
              <w:left w:sz="4" w:val="nil"/>
              <w:bottom w:color="000000" w:sz="4" w:val="single"/>
              <w:right w:color="000000" w:sz="4" w:val="single"/>
            </w:tcBorders>
            <w:shd w:fill="auto" w:val="clear"/>
            <w:vAlign w:val="center"/>
          </w:tcPr>
          <w:p w14:paraId="972C0000">
            <w:pPr>
              <w:widowControl w:val="1"/>
              <w:ind/>
              <w:contextualSpacing w:val="1"/>
              <w:jc w:val="center"/>
              <w:rPr>
                <w:sz w:val="22"/>
              </w:rPr>
            </w:pPr>
            <w:r>
              <w:rPr>
                <w:sz w:val="22"/>
              </w:rPr>
              <w:t>ОАО "РЖД" Красноярская дирекция инфраструктуры</w:t>
            </w:r>
          </w:p>
        </w:tc>
        <w:tc>
          <w:tcPr>
            <w:tcW w:type="dxa" w:w="2561"/>
            <w:tcBorders>
              <w:top w:sz="4" w:val="nil"/>
              <w:left w:sz="4" w:val="nil"/>
              <w:bottom w:color="000000" w:sz="4" w:val="single"/>
              <w:right w:color="000000" w:sz="4" w:val="single"/>
            </w:tcBorders>
            <w:shd w:fill="auto" w:val="clear"/>
            <w:vAlign w:val="center"/>
          </w:tcPr>
          <w:p w14:paraId="982C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992C0000">
            <w:pPr>
              <w:widowControl w:val="1"/>
              <w:ind/>
              <w:contextualSpacing w:val="1"/>
              <w:jc w:val="center"/>
              <w:rPr>
                <w:sz w:val="22"/>
              </w:rPr>
            </w:pPr>
            <w:r>
              <w:rPr>
                <w:sz w:val="22"/>
              </w:rPr>
              <w:t>01.01.2019-28.02.2020</w:t>
            </w:r>
          </w:p>
        </w:tc>
        <w:tc>
          <w:tcPr>
            <w:tcW w:type="dxa" w:w="1591"/>
            <w:tcBorders>
              <w:top w:sz="4" w:val="nil"/>
              <w:left w:sz="4" w:val="nil"/>
              <w:bottom w:color="000000" w:sz="4" w:val="single"/>
              <w:right w:color="000000" w:sz="4" w:val="single"/>
            </w:tcBorders>
            <w:shd w:fill="FFFFFF" w:val="clear"/>
            <w:vAlign w:val="center"/>
          </w:tcPr>
          <w:p w14:paraId="9A2C0000">
            <w:pPr>
              <w:widowControl w:val="1"/>
              <w:ind/>
              <w:contextualSpacing w:val="1"/>
              <w:jc w:val="center"/>
              <w:rPr>
                <w:sz w:val="22"/>
              </w:rPr>
            </w:pPr>
            <w:r>
              <w:rPr>
                <w:sz w:val="22"/>
              </w:rPr>
              <w:t>13795000</w:t>
            </w:r>
          </w:p>
        </w:tc>
        <w:tc>
          <w:tcPr>
            <w:tcW w:type="dxa" w:w="2104"/>
            <w:tcBorders>
              <w:top w:sz="4" w:val="nil"/>
              <w:left w:sz="4" w:val="nil"/>
              <w:bottom w:color="000000" w:sz="4" w:val="single"/>
              <w:right w:color="000000" w:sz="4" w:val="single"/>
            </w:tcBorders>
            <w:shd w:fill="FFFFFF" w:val="clear"/>
            <w:vAlign w:val="center"/>
          </w:tcPr>
          <w:p w14:paraId="9B2C0000">
            <w:pPr>
              <w:widowControl w:val="1"/>
              <w:ind/>
              <w:contextualSpacing w:val="1"/>
              <w:jc w:val="center"/>
              <w:rPr>
                <w:sz w:val="22"/>
              </w:rPr>
            </w:pPr>
            <w:r>
              <w:rPr>
                <w:sz w:val="22"/>
              </w:rPr>
              <w:t>извещение о сделке направлено 13.12.2018г, требование об одобрении сделки не поступило</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9C2C0000">
            <w:pPr>
              <w:widowControl w:val="1"/>
              <w:ind/>
              <w:contextualSpacing w:val="1"/>
              <w:jc w:val="center"/>
              <w:rPr>
                <w:color w:val="000000"/>
                <w:sz w:val="22"/>
              </w:rPr>
            </w:pPr>
            <w:r>
              <w:rPr>
                <w:color w:val="000000"/>
                <w:sz w:val="22"/>
              </w:rPr>
              <w:t>90</w:t>
            </w:r>
          </w:p>
        </w:tc>
        <w:tc>
          <w:tcPr>
            <w:tcW w:type="dxa" w:w="2268"/>
            <w:tcBorders>
              <w:top w:sz="4" w:val="nil"/>
              <w:left w:sz="4" w:val="nil"/>
              <w:bottom w:color="000000" w:sz="4" w:val="single"/>
              <w:right w:color="000000" w:sz="4" w:val="single"/>
            </w:tcBorders>
            <w:shd w:fill="auto" w:val="clear"/>
            <w:vAlign w:val="center"/>
          </w:tcPr>
          <w:p w14:paraId="9D2C0000">
            <w:pPr>
              <w:widowControl w:val="1"/>
              <w:ind/>
              <w:contextualSpacing w:val="1"/>
              <w:jc w:val="center"/>
              <w:rPr>
                <w:sz w:val="22"/>
              </w:rPr>
            </w:pPr>
            <w:r>
              <w:rPr>
                <w:sz w:val="22"/>
              </w:rPr>
              <w:t>договор № 3229815 от 28.12.2018</w:t>
            </w:r>
          </w:p>
        </w:tc>
        <w:tc>
          <w:tcPr>
            <w:tcW w:type="dxa" w:w="1427"/>
            <w:tcBorders>
              <w:top w:sz="4" w:val="nil"/>
              <w:left w:sz="4" w:val="nil"/>
              <w:bottom w:color="000000" w:sz="4" w:val="single"/>
              <w:right w:color="000000" w:sz="4" w:val="single"/>
            </w:tcBorders>
            <w:shd w:fill="auto" w:val="clear"/>
            <w:vAlign w:val="center"/>
          </w:tcPr>
          <w:p w14:paraId="9E2C0000">
            <w:pPr>
              <w:widowControl w:val="1"/>
              <w:ind/>
              <w:contextualSpacing w:val="1"/>
              <w:jc w:val="center"/>
              <w:rPr>
                <w:sz w:val="22"/>
              </w:rPr>
            </w:pPr>
            <w:r>
              <w:rPr>
                <w:sz w:val="22"/>
              </w:rPr>
              <w:t>28.12.2018</w:t>
            </w:r>
          </w:p>
        </w:tc>
        <w:tc>
          <w:tcPr>
            <w:tcW w:type="dxa" w:w="2258"/>
            <w:tcBorders>
              <w:top w:sz="4" w:val="nil"/>
              <w:left w:sz="4" w:val="nil"/>
              <w:bottom w:color="000000" w:sz="4" w:val="single"/>
              <w:right w:color="000000" w:sz="4" w:val="single"/>
            </w:tcBorders>
            <w:shd w:fill="FFFFFF" w:val="clear"/>
            <w:vAlign w:val="center"/>
          </w:tcPr>
          <w:p w14:paraId="9F2C0000">
            <w:pPr>
              <w:widowControl w:val="1"/>
              <w:ind/>
              <w:contextualSpacing w:val="1"/>
              <w:jc w:val="center"/>
              <w:rPr>
                <w:sz w:val="22"/>
              </w:rPr>
            </w:pPr>
            <w:r>
              <w:rPr>
                <w:sz w:val="22"/>
              </w:rPr>
              <w:t>ОАО "РЖД" Красноярская дирекция материально-технического обеспечения</w:t>
            </w:r>
          </w:p>
        </w:tc>
        <w:tc>
          <w:tcPr>
            <w:tcW w:type="dxa" w:w="2561"/>
            <w:tcBorders>
              <w:top w:sz="4" w:val="nil"/>
              <w:left w:sz="4" w:val="nil"/>
              <w:bottom w:color="000000" w:sz="4" w:val="single"/>
              <w:right w:color="000000" w:sz="4" w:val="single"/>
            </w:tcBorders>
            <w:shd w:fill="FFFFFF" w:val="clear"/>
            <w:vAlign w:val="center"/>
          </w:tcPr>
          <w:p w14:paraId="A02C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A12C0000">
            <w:pPr>
              <w:widowControl w:val="1"/>
              <w:ind/>
              <w:contextualSpacing w:val="1"/>
              <w:jc w:val="center"/>
              <w:rPr>
                <w:sz w:val="22"/>
              </w:rPr>
            </w:pPr>
            <w:r>
              <w:rPr>
                <w:sz w:val="22"/>
              </w:rPr>
              <w:t>01.01.2019-28.02.2020</w:t>
            </w:r>
          </w:p>
        </w:tc>
        <w:tc>
          <w:tcPr>
            <w:tcW w:type="dxa" w:w="1591"/>
            <w:tcBorders>
              <w:top w:sz="4" w:val="nil"/>
              <w:left w:sz="4" w:val="nil"/>
              <w:bottom w:color="000000" w:sz="4" w:val="single"/>
              <w:right w:color="000000" w:sz="4" w:val="single"/>
            </w:tcBorders>
            <w:shd w:fill="FFFFFF" w:val="clear"/>
            <w:vAlign w:val="center"/>
          </w:tcPr>
          <w:p w14:paraId="A22C0000">
            <w:pPr>
              <w:widowControl w:val="1"/>
              <w:ind/>
              <w:contextualSpacing w:val="1"/>
              <w:jc w:val="center"/>
              <w:rPr>
                <w:sz w:val="22"/>
              </w:rPr>
            </w:pPr>
            <w:r>
              <w:rPr>
                <w:sz w:val="22"/>
              </w:rPr>
              <w:t>98000</w:t>
            </w:r>
          </w:p>
        </w:tc>
        <w:tc>
          <w:tcPr>
            <w:tcW w:type="dxa" w:w="2104"/>
            <w:tcBorders>
              <w:top w:sz="4" w:val="nil"/>
              <w:left w:sz="4" w:val="nil"/>
              <w:bottom w:color="000000" w:sz="4" w:val="single"/>
              <w:right w:color="000000" w:sz="4" w:val="single"/>
            </w:tcBorders>
            <w:shd w:fill="FFFFFF" w:val="clear"/>
            <w:vAlign w:val="center"/>
          </w:tcPr>
          <w:p w14:paraId="A3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A42C0000">
            <w:pPr>
              <w:widowControl w:val="1"/>
              <w:ind/>
              <w:contextualSpacing w:val="1"/>
              <w:jc w:val="center"/>
              <w:rPr>
                <w:color w:val="000000"/>
                <w:sz w:val="22"/>
              </w:rPr>
            </w:pPr>
            <w:r>
              <w:rPr>
                <w:color w:val="000000"/>
                <w:sz w:val="22"/>
              </w:rPr>
              <w:t>91</w:t>
            </w:r>
          </w:p>
        </w:tc>
        <w:tc>
          <w:tcPr>
            <w:tcW w:type="dxa" w:w="2268"/>
            <w:tcBorders>
              <w:top w:sz="4" w:val="nil"/>
              <w:left w:sz="4" w:val="nil"/>
              <w:bottom w:color="000000" w:sz="4" w:val="single"/>
              <w:right w:color="000000" w:sz="4" w:val="single"/>
            </w:tcBorders>
            <w:shd w:fill="auto" w:val="clear"/>
            <w:vAlign w:val="center"/>
          </w:tcPr>
          <w:p w14:paraId="A52C0000">
            <w:pPr>
              <w:widowControl w:val="1"/>
              <w:ind/>
              <w:contextualSpacing w:val="1"/>
              <w:jc w:val="center"/>
              <w:rPr>
                <w:sz w:val="22"/>
              </w:rPr>
            </w:pPr>
            <w:r>
              <w:rPr>
                <w:sz w:val="22"/>
              </w:rPr>
              <w:t>договор № 3231197 от 28.12.2018</w:t>
            </w:r>
          </w:p>
        </w:tc>
        <w:tc>
          <w:tcPr>
            <w:tcW w:type="dxa" w:w="1427"/>
            <w:tcBorders>
              <w:top w:sz="4" w:val="nil"/>
              <w:left w:sz="4" w:val="nil"/>
              <w:bottom w:color="000000" w:sz="4" w:val="single"/>
              <w:right w:color="000000" w:sz="4" w:val="single"/>
            </w:tcBorders>
            <w:shd w:fill="auto" w:val="clear"/>
            <w:vAlign w:val="center"/>
          </w:tcPr>
          <w:p w14:paraId="A62C0000">
            <w:pPr>
              <w:widowControl w:val="1"/>
              <w:ind/>
              <w:contextualSpacing w:val="1"/>
              <w:jc w:val="center"/>
              <w:rPr>
                <w:sz w:val="22"/>
              </w:rPr>
            </w:pPr>
            <w:r>
              <w:rPr>
                <w:sz w:val="22"/>
              </w:rPr>
              <w:t>28.12.2018</w:t>
            </w:r>
          </w:p>
        </w:tc>
        <w:tc>
          <w:tcPr>
            <w:tcW w:type="dxa" w:w="2258"/>
            <w:tcBorders>
              <w:top w:sz="4" w:val="nil"/>
              <w:left w:sz="4" w:val="nil"/>
              <w:bottom w:color="000000" w:sz="4" w:val="single"/>
              <w:right w:color="000000" w:sz="4" w:val="single"/>
            </w:tcBorders>
            <w:shd w:fill="auto" w:val="clear"/>
            <w:vAlign w:val="center"/>
          </w:tcPr>
          <w:p w14:paraId="A72C0000">
            <w:pPr>
              <w:widowControl w:val="1"/>
              <w:ind/>
              <w:contextualSpacing w:val="1"/>
              <w:jc w:val="center"/>
              <w:rPr>
                <w:sz w:val="22"/>
              </w:rPr>
            </w:pPr>
            <w:r>
              <w:rPr>
                <w:sz w:val="22"/>
              </w:rPr>
              <w:t>ОАО "РЖД" Красноярский информационно-вычислительный центр</w:t>
            </w:r>
          </w:p>
        </w:tc>
        <w:tc>
          <w:tcPr>
            <w:tcW w:type="dxa" w:w="2561"/>
            <w:tcBorders>
              <w:top w:sz="4" w:val="nil"/>
              <w:left w:sz="4" w:val="nil"/>
              <w:bottom w:color="000000" w:sz="4" w:val="single"/>
              <w:right w:color="000000" w:sz="4" w:val="single"/>
            </w:tcBorders>
            <w:shd w:fill="FFFFFF" w:val="clear"/>
            <w:vAlign w:val="center"/>
          </w:tcPr>
          <w:p w14:paraId="A82C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A92C0000">
            <w:pPr>
              <w:widowControl w:val="1"/>
              <w:ind/>
              <w:contextualSpacing w:val="1"/>
              <w:jc w:val="center"/>
              <w:rPr>
                <w:sz w:val="22"/>
              </w:rPr>
            </w:pPr>
            <w:r>
              <w:rPr>
                <w:sz w:val="22"/>
              </w:rPr>
              <w:t>01.01.2019-14.02.2020</w:t>
            </w:r>
          </w:p>
        </w:tc>
        <w:tc>
          <w:tcPr>
            <w:tcW w:type="dxa" w:w="1591"/>
            <w:tcBorders>
              <w:top w:sz="4" w:val="nil"/>
              <w:left w:sz="4" w:val="nil"/>
              <w:bottom w:color="000000" w:sz="4" w:val="single"/>
              <w:right w:color="000000" w:sz="4" w:val="single"/>
            </w:tcBorders>
            <w:shd w:fill="FFFFFF" w:val="clear"/>
            <w:vAlign w:val="center"/>
          </w:tcPr>
          <w:p w14:paraId="AA2C0000">
            <w:pPr>
              <w:widowControl w:val="1"/>
              <w:ind/>
              <w:contextualSpacing w:val="1"/>
              <w:jc w:val="center"/>
              <w:rPr>
                <w:sz w:val="22"/>
              </w:rPr>
            </w:pPr>
            <w:r>
              <w:rPr>
                <w:sz w:val="22"/>
              </w:rPr>
              <w:t>170000</w:t>
            </w:r>
          </w:p>
        </w:tc>
        <w:tc>
          <w:tcPr>
            <w:tcW w:type="dxa" w:w="2104"/>
            <w:tcBorders>
              <w:top w:sz="4" w:val="nil"/>
              <w:left w:sz="4" w:val="nil"/>
              <w:bottom w:color="000000" w:sz="4" w:val="single"/>
              <w:right w:color="000000" w:sz="4" w:val="single"/>
            </w:tcBorders>
            <w:shd w:fill="FFFFFF" w:val="clear"/>
            <w:vAlign w:val="center"/>
          </w:tcPr>
          <w:p w14:paraId="AB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AC2C0000">
            <w:pPr>
              <w:widowControl w:val="1"/>
              <w:ind/>
              <w:contextualSpacing w:val="1"/>
              <w:jc w:val="center"/>
              <w:rPr>
                <w:color w:val="000000"/>
                <w:sz w:val="22"/>
              </w:rPr>
            </w:pPr>
            <w:r>
              <w:rPr>
                <w:color w:val="000000"/>
                <w:sz w:val="22"/>
              </w:rPr>
              <w:t>92</w:t>
            </w:r>
          </w:p>
        </w:tc>
        <w:tc>
          <w:tcPr>
            <w:tcW w:type="dxa" w:w="2268"/>
            <w:tcBorders>
              <w:top w:sz="4" w:val="nil"/>
              <w:left w:sz="4" w:val="nil"/>
              <w:bottom w:color="000000" w:sz="4" w:val="single"/>
              <w:right w:color="000000" w:sz="4" w:val="single"/>
            </w:tcBorders>
            <w:shd w:fill="auto" w:val="clear"/>
            <w:vAlign w:val="center"/>
          </w:tcPr>
          <w:p w14:paraId="AD2C0000">
            <w:pPr>
              <w:widowControl w:val="1"/>
              <w:ind/>
              <w:contextualSpacing w:val="1"/>
              <w:jc w:val="center"/>
              <w:rPr>
                <w:sz w:val="22"/>
              </w:rPr>
            </w:pPr>
            <w:r>
              <w:rPr>
                <w:sz w:val="22"/>
              </w:rPr>
              <w:t>договор № 3263930 от 29.12.2018</w:t>
            </w:r>
          </w:p>
        </w:tc>
        <w:tc>
          <w:tcPr>
            <w:tcW w:type="dxa" w:w="1427"/>
            <w:tcBorders>
              <w:top w:sz="4" w:val="nil"/>
              <w:left w:sz="4" w:val="nil"/>
              <w:bottom w:color="000000" w:sz="4" w:val="single"/>
              <w:right w:color="000000" w:sz="4" w:val="single"/>
            </w:tcBorders>
            <w:shd w:fill="auto" w:val="clear"/>
            <w:vAlign w:val="center"/>
          </w:tcPr>
          <w:p w14:paraId="AE2C0000">
            <w:pPr>
              <w:widowControl w:val="1"/>
              <w:ind/>
              <w:contextualSpacing w:val="1"/>
              <w:jc w:val="center"/>
              <w:rPr>
                <w:sz w:val="22"/>
              </w:rPr>
            </w:pPr>
            <w:r>
              <w:rPr>
                <w:sz w:val="22"/>
              </w:rPr>
              <w:t>29.12.2018</w:t>
            </w:r>
          </w:p>
        </w:tc>
        <w:tc>
          <w:tcPr>
            <w:tcW w:type="dxa" w:w="2258"/>
            <w:tcBorders>
              <w:top w:sz="4" w:val="nil"/>
              <w:left w:sz="4" w:val="nil"/>
              <w:bottom w:color="000000" w:sz="4" w:val="single"/>
              <w:right w:color="000000" w:sz="4" w:val="single"/>
            </w:tcBorders>
            <w:shd w:fill="auto" w:val="clear"/>
            <w:vAlign w:val="center"/>
          </w:tcPr>
          <w:p w14:paraId="AF2C0000">
            <w:pPr>
              <w:widowControl w:val="1"/>
              <w:ind/>
              <w:contextualSpacing w:val="1"/>
              <w:jc w:val="center"/>
              <w:rPr>
                <w:sz w:val="22"/>
              </w:rPr>
            </w:pPr>
            <w:r>
              <w:rPr>
                <w:sz w:val="22"/>
              </w:rPr>
              <w:t>ОАО "РЖД" Красноярская дирекция по ремонту пути</w:t>
            </w:r>
          </w:p>
        </w:tc>
        <w:tc>
          <w:tcPr>
            <w:tcW w:type="dxa" w:w="2561"/>
            <w:tcBorders>
              <w:top w:sz="4" w:val="nil"/>
              <w:left w:sz="4" w:val="nil"/>
              <w:bottom w:color="000000" w:sz="4" w:val="single"/>
              <w:right w:color="000000" w:sz="4" w:val="single"/>
            </w:tcBorders>
            <w:shd w:fill="FFFFFF" w:val="clear"/>
            <w:vAlign w:val="center"/>
          </w:tcPr>
          <w:p w14:paraId="B02C0000">
            <w:pPr>
              <w:widowControl w:val="1"/>
              <w:ind/>
              <w:contextualSpacing w:val="1"/>
              <w:jc w:val="center"/>
              <w:rPr>
                <w:sz w:val="22"/>
              </w:rPr>
            </w:pPr>
            <w:r>
              <w:rPr>
                <w:sz w:val="22"/>
              </w:rPr>
              <w:t>оказание услуг по перевозке работников и иных лиц по транспортным требованиям ОАО "РЖД"</w:t>
            </w:r>
          </w:p>
        </w:tc>
        <w:tc>
          <w:tcPr>
            <w:tcW w:type="dxa" w:w="1416"/>
            <w:tcBorders>
              <w:top w:sz="4" w:val="nil"/>
              <w:left w:sz="4" w:val="nil"/>
              <w:bottom w:color="000000" w:sz="4" w:val="single"/>
              <w:right w:color="000000" w:sz="4" w:val="single"/>
            </w:tcBorders>
            <w:shd w:fill="FFFFFF" w:val="clear"/>
            <w:vAlign w:val="center"/>
          </w:tcPr>
          <w:p w14:paraId="B12C0000">
            <w:pPr>
              <w:widowControl w:val="1"/>
              <w:ind/>
              <w:contextualSpacing w:val="1"/>
              <w:jc w:val="center"/>
              <w:rPr>
                <w:sz w:val="22"/>
              </w:rPr>
            </w:pPr>
            <w:r>
              <w:rPr>
                <w:sz w:val="22"/>
              </w:rPr>
              <w:t>01.01.2019-31.03.2020</w:t>
            </w:r>
          </w:p>
        </w:tc>
        <w:tc>
          <w:tcPr>
            <w:tcW w:type="dxa" w:w="1591"/>
            <w:tcBorders>
              <w:top w:sz="4" w:val="nil"/>
              <w:left w:sz="4" w:val="nil"/>
              <w:bottom w:color="000000" w:sz="4" w:val="single"/>
              <w:right w:color="000000" w:sz="4" w:val="single"/>
            </w:tcBorders>
            <w:shd w:fill="FFFFFF" w:val="clear"/>
            <w:vAlign w:val="center"/>
          </w:tcPr>
          <w:p w14:paraId="B22C0000">
            <w:pPr>
              <w:widowControl w:val="1"/>
              <w:ind/>
              <w:contextualSpacing w:val="1"/>
              <w:jc w:val="center"/>
              <w:rPr>
                <w:sz w:val="22"/>
              </w:rPr>
            </w:pPr>
            <w:r>
              <w:rPr>
                <w:sz w:val="22"/>
              </w:rPr>
              <w:t>1300000</w:t>
            </w:r>
          </w:p>
        </w:tc>
        <w:tc>
          <w:tcPr>
            <w:tcW w:type="dxa" w:w="2104"/>
            <w:tcBorders>
              <w:top w:sz="4" w:val="nil"/>
              <w:left w:sz="4" w:val="nil"/>
              <w:bottom w:color="000000" w:sz="4" w:val="single"/>
              <w:right w:color="000000" w:sz="4" w:val="single"/>
            </w:tcBorders>
            <w:shd w:fill="FFFFFF" w:val="clear"/>
            <w:vAlign w:val="center"/>
          </w:tcPr>
          <w:p w14:paraId="B32C0000">
            <w:pPr>
              <w:widowControl w:val="1"/>
              <w:ind/>
              <w:contextualSpacing w:val="1"/>
              <w:jc w:val="center"/>
              <w:rPr>
                <w:sz w:val="22"/>
              </w:rPr>
            </w:pPr>
            <w:r>
              <w:rPr>
                <w:sz w:val="22"/>
              </w:rPr>
              <w:t>извещение о сделке направлено 13.12.2018г, требование об одобрении сделки не поступило</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B42C0000">
            <w:pPr>
              <w:widowControl w:val="1"/>
              <w:ind/>
              <w:contextualSpacing w:val="1"/>
              <w:jc w:val="center"/>
              <w:rPr>
                <w:color w:val="000000"/>
                <w:sz w:val="22"/>
              </w:rPr>
            </w:pPr>
            <w:r>
              <w:rPr>
                <w:color w:val="000000"/>
                <w:sz w:val="22"/>
              </w:rPr>
              <w:t>93</w:t>
            </w:r>
          </w:p>
        </w:tc>
        <w:tc>
          <w:tcPr>
            <w:tcW w:type="dxa" w:w="2268"/>
            <w:tcBorders>
              <w:top w:sz="4" w:val="nil"/>
              <w:left w:sz="4" w:val="nil"/>
              <w:bottom w:color="000000" w:sz="4" w:val="single"/>
              <w:right w:color="000000" w:sz="4" w:val="single"/>
            </w:tcBorders>
            <w:shd w:fill="auto" w:val="clear"/>
            <w:vAlign w:val="center"/>
          </w:tcPr>
          <w:p w14:paraId="B52C0000">
            <w:pPr>
              <w:widowControl w:val="1"/>
              <w:ind/>
              <w:contextualSpacing w:val="1"/>
              <w:jc w:val="center"/>
              <w:rPr>
                <w:sz w:val="22"/>
              </w:rPr>
            </w:pPr>
            <w:r>
              <w:rPr>
                <w:sz w:val="22"/>
              </w:rPr>
              <w:t>соглашение о расторжении договора № ЦРИ/04/СА/5363/15/001990 от 28.12.2015 от 29.12.2018</w:t>
            </w:r>
          </w:p>
        </w:tc>
        <w:tc>
          <w:tcPr>
            <w:tcW w:type="dxa" w:w="1427"/>
            <w:tcBorders>
              <w:top w:sz="4" w:val="nil"/>
              <w:left w:sz="4" w:val="nil"/>
              <w:bottom w:color="000000" w:sz="4" w:val="single"/>
              <w:right w:color="000000" w:sz="4" w:val="single"/>
            </w:tcBorders>
            <w:shd w:fill="auto" w:val="clear"/>
            <w:vAlign w:val="center"/>
          </w:tcPr>
          <w:p w14:paraId="B62C0000">
            <w:pPr>
              <w:widowControl w:val="1"/>
              <w:ind/>
              <w:contextualSpacing w:val="1"/>
              <w:jc w:val="center"/>
              <w:rPr>
                <w:sz w:val="22"/>
              </w:rPr>
            </w:pPr>
            <w:r>
              <w:rPr>
                <w:sz w:val="22"/>
              </w:rPr>
              <w:t>29.12.2018</w:t>
            </w:r>
          </w:p>
        </w:tc>
        <w:tc>
          <w:tcPr>
            <w:tcW w:type="dxa" w:w="2258"/>
            <w:tcBorders>
              <w:top w:sz="4" w:val="nil"/>
              <w:left w:sz="4" w:val="nil"/>
              <w:bottom w:color="000000" w:sz="4" w:val="single"/>
              <w:right w:color="000000" w:sz="4" w:val="single"/>
            </w:tcBorders>
            <w:shd w:fill="auto" w:val="clear"/>
            <w:vAlign w:val="center"/>
          </w:tcPr>
          <w:p w14:paraId="B72C0000">
            <w:pPr>
              <w:widowControl w:val="1"/>
              <w:ind/>
              <w:contextualSpacing w:val="1"/>
              <w:jc w:val="center"/>
              <w:rPr>
                <w:sz w:val="22"/>
              </w:rPr>
            </w:pPr>
            <w:r>
              <w:rPr>
                <w:sz w:val="22"/>
              </w:rPr>
              <w:t>ОАО "РЖД" Служба управления имуществом Красноярской железной дороги</w:t>
            </w:r>
          </w:p>
        </w:tc>
        <w:tc>
          <w:tcPr>
            <w:tcW w:type="dxa" w:w="2561"/>
            <w:tcBorders>
              <w:top w:sz="4" w:val="nil"/>
              <w:left w:sz="4" w:val="nil"/>
              <w:bottom w:color="000000" w:sz="4" w:val="single"/>
              <w:right w:color="000000" w:sz="4" w:val="single"/>
            </w:tcBorders>
            <w:shd w:fill="auto" w:val="clear"/>
            <w:vAlign w:val="center"/>
          </w:tcPr>
          <w:p w14:paraId="B82C0000">
            <w:pPr>
              <w:widowControl w:val="1"/>
              <w:ind/>
              <w:contextualSpacing w:val="1"/>
              <w:jc w:val="center"/>
              <w:rPr>
                <w:sz w:val="22"/>
              </w:rPr>
            </w:pPr>
            <w:r>
              <w:rPr>
                <w:sz w:val="22"/>
              </w:rPr>
              <w:t>расторжение договора субаренды части земельного участка</w:t>
            </w:r>
          </w:p>
        </w:tc>
        <w:tc>
          <w:tcPr>
            <w:tcW w:type="dxa" w:w="1416"/>
            <w:tcBorders>
              <w:top w:sz="4" w:val="nil"/>
              <w:left w:sz="4" w:val="nil"/>
              <w:bottom w:color="000000" w:sz="4" w:val="single"/>
              <w:right w:color="000000" w:sz="4" w:val="single"/>
            </w:tcBorders>
            <w:shd w:fill="auto" w:val="clear"/>
            <w:vAlign w:val="center"/>
          </w:tcPr>
          <w:p w14:paraId="B92C0000">
            <w:pPr>
              <w:widowControl w:val="1"/>
              <w:ind/>
              <w:contextualSpacing w:val="1"/>
              <w:jc w:val="center"/>
              <w:rPr>
                <w:sz w:val="22"/>
              </w:rPr>
            </w:pPr>
            <w:r>
              <w:rPr>
                <w:sz w:val="22"/>
              </w:rPr>
              <w:t>29.12.2018</w:t>
            </w:r>
          </w:p>
        </w:tc>
        <w:tc>
          <w:tcPr>
            <w:tcW w:type="dxa" w:w="1591"/>
            <w:tcBorders>
              <w:top w:sz="4" w:val="nil"/>
              <w:left w:sz="4" w:val="nil"/>
              <w:bottom w:color="000000" w:sz="4" w:val="single"/>
              <w:right w:color="000000" w:sz="4" w:val="single"/>
            </w:tcBorders>
            <w:shd w:fill="auto" w:val="clear"/>
            <w:vAlign w:val="center"/>
          </w:tcPr>
          <w:p w14:paraId="BA2C0000">
            <w:pPr>
              <w:widowControl w:val="1"/>
              <w:ind/>
              <w:contextualSpacing w:val="1"/>
              <w:jc w:val="center"/>
              <w:rPr>
                <w:sz w:val="22"/>
              </w:rPr>
            </w:pPr>
          </w:p>
        </w:tc>
        <w:tc>
          <w:tcPr>
            <w:tcW w:type="dxa" w:w="2104"/>
            <w:tcBorders>
              <w:top w:sz="4" w:val="nil"/>
              <w:left w:sz="4" w:val="nil"/>
              <w:bottom w:color="000000" w:sz="4" w:val="single"/>
              <w:right w:color="000000" w:sz="4" w:val="single"/>
            </w:tcBorders>
            <w:shd w:fill="FFFFFF" w:val="clear"/>
            <w:vAlign w:val="center"/>
          </w:tcPr>
          <w:p w14:paraId="BB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BC2C0000">
            <w:pPr>
              <w:widowControl w:val="1"/>
              <w:ind/>
              <w:contextualSpacing w:val="1"/>
              <w:jc w:val="center"/>
              <w:rPr>
                <w:color w:val="000000"/>
                <w:sz w:val="22"/>
              </w:rPr>
            </w:pPr>
            <w:r>
              <w:rPr>
                <w:color w:val="000000"/>
                <w:sz w:val="22"/>
              </w:rPr>
              <w:t>94</w:t>
            </w:r>
          </w:p>
        </w:tc>
        <w:tc>
          <w:tcPr>
            <w:tcW w:type="dxa" w:w="2268"/>
            <w:tcBorders>
              <w:top w:sz="4" w:val="nil"/>
              <w:left w:sz="4" w:val="nil"/>
              <w:bottom w:color="000000" w:sz="4" w:val="single"/>
              <w:right w:color="000000" w:sz="4" w:val="single"/>
            </w:tcBorders>
            <w:shd w:fill="auto" w:val="clear"/>
            <w:vAlign w:val="center"/>
          </w:tcPr>
          <w:p w14:paraId="BD2C0000">
            <w:pPr>
              <w:widowControl w:val="1"/>
              <w:ind/>
              <w:contextualSpacing w:val="1"/>
              <w:jc w:val="center"/>
              <w:rPr>
                <w:sz w:val="22"/>
              </w:rPr>
            </w:pPr>
            <w:r>
              <w:rPr>
                <w:sz w:val="22"/>
              </w:rPr>
              <w:t>соглашение о расторжении договора № ЦРИ/04/СА/5363/15/001977 от 28.12.2015 от 29.12.2018</w:t>
            </w:r>
          </w:p>
        </w:tc>
        <w:tc>
          <w:tcPr>
            <w:tcW w:type="dxa" w:w="1427"/>
            <w:tcBorders>
              <w:top w:sz="4" w:val="nil"/>
              <w:left w:sz="4" w:val="nil"/>
              <w:bottom w:color="000000" w:sz="4" w:val="single"/>
              <w:right w:color="000000" w:sz="4" w:val="single"/>
            </w:tcBorders>
            <w:shd w:fill="auto" w:val="clear"/>
            <w:vAlign w:val="center"/>
          </w:tcPr>
          <w:p w14:paraId="BE2C0000">
            <w:pPr>
              <w:widowControl w:val="1"/>
              <w:ind/>
              <w:contextualSpacing w:val="1"/>
              <w:jc w:val="center"/>
              <w:rPr>
                <w:sz w:val="22"/>
              </w:rPr>
            </w:pPr>
            <w:r>
              <w:rPr>
                <w:sz w:val="22"/>
              </w:rPr>
              <w:t>29.12.2018</w:t>
            </w:r>
          </w:p>
        </w:tc>
        <w:tc>
          <w:tcPr>
            <w:tcW w:type="dxa" w:w="2258"/>
            <w:tcBorders>
              <w:top w:sz="4" w:val="nil"/>
              <w:left w:sz="4" w:val="nil"/>
              <w:bottom w:color="000000" w:sz="4" w:val="single"/>
              <w:right w:color="000000" w:sz="4" w:val="single"/>
            </w:tcBorders>
            <w:shd w:fill="auto" w:val="clear"/>
            <w:vAlign w:val="center"/>
          </w:tcPr>
          <w:p w14:paraId="BF2C0000">
            <w:pPr>
              <w:widowControl w:val="1"/>
              <w:ind/>
              <w:contextualSpacing w:val="1"/>
              <w:jc w:val="center"/>
              <w:rPr>
                <w:sz w:val="22"/>
              </w:rPr>
            </w:pPr>
            <w:r>
              <w:rPr>
                <w:sz w:val="22"/>
              </w:rPr>
              <w:t>ОАО "РЖД" Служба управления имуществом Красноярской железной дороги</w:t>
            </w:r>
          </w:p>
        </w:tc>
        <w:tc>
          <w:tcPr>
            <w:tcW w:type="dxa" w:w="2561"/>
            <w:tcBorders>
              <w:top w:sz="4" w:val="nil"/>
              <w:left w:sz="4" w:val="nil"/>
              <w:bottom w:color="000000" w:sz="4" w:val="single"/>
              <w:right w:color="000000" w:sz="4" w:val="single"/>
            </w:tcBorders>
            <w:shd w:fill="auto" w:val="clear"/>
            <w:vAlign w:val="center"/>
          </w:tcPr>
          <w:p w14:paraId="C02C0000">
            <w:pPr>
              <w:widowControl w:val="1"/>
              <w:ind/>
              <w:contextualSpacing w:val="1"/>
              <w:jc w:val="center"/>
              <w:rPr>
                <w:sz w:val="22"/>
              </w:rPr>
            </w:pPr>
            <w:r>
              <w:rPr>
                <w:sz w:val="22"/>
              </w:rPr>
              <w:t>расторжение договора субаренды части земельного участка</w:t>
            </w:r>
          </w:p>
        </w:tc>
        <w:tc>
          <w:tcPr>
            <w:tcW w:type="dxa" w:w="1416"/>
            <w:tcBorders>
              <w:top w:sz="4" w:val="nil"/>
              <w:left w:sz="4" w:val="nil"/>
              <w:bottom w:color="000000" w:sz="4" w:val="single"/>
              <w:right w:color="000000" w:sz="4" w:val="single"/>
            </w:tcBorders>
            <w:shd w:fill="auto" w:val="clear"/>
            <w:vAlign w:val="center"/>
          </w:tcPr>
          <w:p w14:paraId="C12C0000">
            <w:pPr>
              <w:widowControl w:val="1"/>
              <w:ind/>
              <w:contextualSpacing w:val="1"/>
              <w:jc w:val="center"/>
              <w:rPr>
                <w:sz w:val="22"/>
              </w:rPr>
            </w:pPr>
            <w:r>
              <w:rPr>
                <w:sz w:val="22"/>
              </w:rPr>
              <w:t>29.12.2018</w:t>
            </w:r>
          </w:p>
        </w:tc>
        <w:tc>
          <w:tcPr>
            <w:tcW w:type="dxa" w:w="1591"/>
            <w:tcBorders>
              <w:top w:sz="4" w:val="nil"/>
              <w:left w:sz="4" w:val="nil"/>
              <w:bottom w:color="000000" w:sz="4" w:val="single"/>
              <w:right w:color="000000" w:sz="4" w:val="single"/>
            </w:tcBorders>
            <w:shd w:fill="auto" w:val="clear"/>
            <w:vAlign w:val="center"/>
          </w:tcPr>
          <w:p w14:paraId="C22C0000">
            <w:pPr>
              <w:widowControl w:val="1"/>
              <w:ind/>
              <w:contextualSpacing w:val="1"/>
              <w:jc w:val="center"/>
              <w:rPr>
                <w:sz w:val="22"/>
              </w:rPr>
            </w:pPr>
          </w:p>
        </w:tc>
        <w:tc>
          <w:tcPr>
            <w:tcW w:type="dxa" w:w="2104"/>
            <w:tcBorders>
              <w:top w:sz="4" w:val="nil"/>
              <w:left w:sz="4" w:val="nil"/>
              <w:bottom w:color="000000" w:sz="4" w:val="single"/>
              <w:right w:color="000000" w:sz="4" w:val="single"/>
            </w:tcBorders>
            <w:shd w:fill="FFFFFF" w:val="clear"/>
            <w:vAlign w:val="center"/>
          </w:tcPr>
          <w:p w14:paraId="C3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C42C0000">
            <w:pPr>
              <w:widowControl w:val="1"/>
              <w:ind/>
              <w:contextualSpacing w:val="1"/>
              <w:jc w:val="center"/>
              <w:rPr>
                <w:color w:val="000000"/>
                <w:sz w:val="22"/>
              </w:rPr>
            </w:pPr>
            <w:r>
              <w:rPr>
                <w:color w:val="000000"/>
                <w:sz w:val="22"/>
              </w:rPr>
              <w:t>95</w:t>
            </w:r>
          </w:p>
        </w:tc>
        <w:tc>
          <w:tcPr>
            <w:tcW w:type="dxa" w:w="2268"/>
            <w:tcBorders>
              <w:top w:sz="4" w:val="nil"/>
              <w:left w:sz="4" w:val="nil"/>
              <w:bottom w:color="000000" w:sz="4" w:val="single"/>
              <w:right w:color="000000" w:sz="4" w:val="single"/>
            </w:tcBorders>
            <w:shd w:fill="auto" w:val="clear"/>
            <w:vAlign w:val="center"/>
          </w:tcPr>
          <w:p w14:paraId="C52C0000">
            <w:pPr>
              <w:widowControl w:val="1"/>
              <w:ind/>
              <w:contextualSpacing w:val="1"/>
              <w:jc w:val="center"/>
              <w:rPr>
                <w:sz w:val="22"/>
              </w:rPr>
            </w:pPr>
            <w:r>
              <w:rPr>
                <w:sz w:val="22"/>
              </w:rPr>
              <w:t>дополнительное соглашение № 11 к соглашению № 12 от 26.01.2012 от 29.12.2018</w:t>
            </w:r>
          </w:p>
        </w:tc>
        <w:tc>
          <w:tcPr>
            <w:tcW w:type="dxa" w:w="1427"/>
            <w:tcBorders>
              <w:top w:sz="4" w:val="nil"/>
              <w:left w:sz="4" w:val="nil"/>
              <w:bottom w:color="000000" w:sz="4" w:val="single"/>
              <w:right w:color="000000" w:sz="4" w:val="single"/>
            </w:tcBorders>
            <w:shd w:fill="auto" w:val="clear"/>
            <w:vAlign w:val="center"/>
          </w:tcPr>
          <w:p w14:paraId="C62C0000">
            <w:pPr>
              <w:widowControl w:val="1"/>
              <w:ind/>
              <w:contextualSpacing w:val="1"/>
              <w:jc w:val="center"/>
              <w:rPr>
                <w:sz w:val="22"/>
              </w:rPr>
            </w:pPr>
            <w:r>
              <w:rPr>
                <w:sz w:val="22"/>
              </w:rPr>
              <w:t>29.12.2018</w:t>
            </w:r>
          </w:p>
        </w:tc>
        <w:tc>
          <w:tcPr>
            <w:tcW w:type="dxa" w:w="2258"/>
            <w:tcBorders>
              <w:top w:sz="4" w:val="nil"/>
              <w:left w:sz="4" w:val="nil"/>
              <w:bottom w:color="000000" w:sz="4" w:val="single"/>
              <w:right w:color="000000" w:sz="4" w:val="single"/>
            </w:tcBorders>
            <w:shd w:fill="FFFFFF" w:val="clear"/>
            <w:vAlign w:val="center"/>
          </w:tcPr>
          <w:p w14:paraId="C72C0000">
            <w:pPr>
              <w:widowControl w:val="1"/>
              <w:ind/>
              <w:contextualSpacing w:val="1"/>
              <w:jc w:val="center"/>
              <w:rPr>
                <w:sz w:val="22"/>
              </w:rPr>
            </w:pPr>
            <w:r>
              <w:rPr>
                <w:sz w:val="22"/>
              </w:rPr>
              <w:t>ОАО "РЖД"</w:t>
            </w:r>
          </w:p>
        </w:tc>
        <w:tc>
          <w:tcPr>
            <w:tcW w:type="dxa" w:w="2561"/>
            <w:tcBorders>
              <w:top w:sz="4" w:val="nil"/>
              <w:left w:sz="4" w:val="nil"/>
              <w:bottom w:color="000000" w:sz="4" w:val="single"/>
              <w:right w:color="000000" w:sz="4" w:val="single"/>
            </w:tcBorders>
            <w:shd w:fill="FFFFFF" w:val="clear"/>
            <w:vAlign w:val="center"/>
          </w:tcPr>
          <w:p w14:paraId="C82C0000">
            <w:pPr>
              <w:widowControl w:val="1"/>
              <w:ind/>
              <w:contextualSpacing w:val="1"/>
              <w:jc w:val="center"/>
              <w:rPr>
                <w:sz w:val="22"/>
              </w:rPr>
            </w:pPr>
            <w:r>
              <w:rPr>
                <w:sz w:val="22"/>
              </w:rPr>
              <w:t>внесение изменений в перечень информационных систем ОАО "РЖД", которые используются АО "Краспригород</w:t>
            </w:r>
          </w:p>
        </w:tc>
        <w:tc>
          <w:tcPr>
            <w:tcW w:type="dxa" w:w="1416"/>
            <w:tcBorders>
              <w:top w:sz="4" w:val="nil"/>
              <w:left w:sz="4" w:val="nil"/>
              <w:bottom w:color="000000" w:sz="4" w:val="single"/>
              <w:right w:color="000000" w:sz="4" w:val="single"/>
            </w:tcBorders>
            <w:shd w:fill="auto" w:val="clear"/>
            <w:vAlign w:val="center"/>
          </w:tcPr>
          <w:p w14:paraId="C92C0000">
            <w:pPr>
              <w:widowControl w:val="1"/>
              <w:ind/>
              <w:contextualSpacing w:val="1"/>
              <w:jc w:val="center"/>
              <w:rPr>
                <w:sz w:val="22"/>
              </w:rPr>
            </w:pPr>
            <w:r>
              <w:rPr>
                <w:sz w:val="22"/>
              </w:rPr>
              <w:t>29.03.2018-31.12.2018 пролонгация</w:t>
            </w:r>
          </w:p>
        </w:tc>
        <w:tc>
          <w:tcPr>
            <w:tcW w:type="dxa" w:w="1591"/>
            <w:tcBorders>
              <w:top w:sz="4" w:val="nil"/>
              <w:left w:sz="4" w:val="nil"/>
              <w:bottom w:color="000000" w:sz="4" w:val="single"/>
              <w:right w:color="000000" w:sz="4" w:val="single"/>
            </w:tcBorders>
            <w:shd w:fill="auto" w:val="clear"/>
            <w:vAlign w:val="center"/>
          </w:tcPr>
          <w:p w14:paraId="CA2C0000">
            <w:pPr>
              <w:widowControl w:val="1"/>
              <w:ind/>
              <w:contextualSpacing w:val="1"/>
              <w:jc w:val="center"/>
              <w:rPr>
                <w:sz w:val="22"/>
              </w:rPr>
            </w:pPr>
            <w:r>
              <w:rPr>
                <w:sz w:val="22"/>
              </w:rPr>
              <w:t>0</w:t>
            </w:r>
          </w:p>
        </w:tc>
        <w:tc>
          <w:tcPr>
            <w:tcW w:type="dxa" w:w="2104"/>
            <w:tcBorders>
              <w:top w:sz="4" w:val="nil"/>
              <w:left w:sz="4" w:val="nil"/>
              <w:bottom w:color="000000" w:sz="4" w:val="single"/>
              <w:right w:color="000000" w:sz="4" w:val="single"/>
            </w:tcBorders>
            <w:shd w:fill="FFFFFF" w:val="clear"/>
            <w:vAlign w:val="center"/>
          </w:tcPr>
          <w:p w14:paraId="CB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договора не превышает 0,1% балансовой стоимости активов)</w:t>
            </w:r>
          </w:p>
        </w:tc>
      </w:tr>
      <w:tr>
        <w:trPr>
          <w:trHeight w:hRule="atLeast" w:val="2925"/>
        </w:trPr>
        <w:tc>
          <w:tcPr>
            <w:tcW w:type="dxa" w:w="730"/>
            <w:tcBorders>
              <w:top w:sz="4" w:val="nil"/>
              <w:left w:color="000000" w:sz="4" w:val="single"/>
              <w:bottom w:color="000000" w:sz="4" w:val="single"/>
              <w:right w:color="000000" w:sz="4" w:val="single"/>
            </w:tcBorders>
            <w:shd w:fill="auto" w:val="clear"/>
            <w:vAlign w:val="center"/>
          </w:tcPr>
          <w:p w14:paraId="CC2C0000">
            <w:pPr>
              <w:widowControl w:val="1"/>
              <w:ind/>
              <w:contextualSpacing w:val="1"/>
              <w:jc w:val="center"/>
              <w:rPr>
                <w:color w:val="000000"/>
                <w:sz w:val="22"/>
              </w:rPr>
            </w:pPr>
            <w:r>
              <w:rPr>
                <w:color w:val="000000"/>
                <w:sz w:val="22"/>
              </w:rPr>
              <w:t>96</w:t>
            </w:r>
          </w:p>
        </w:tc>
        <w:tc>
          <w:tcPr>
            <w:tcW w:type="dxa" w:w="2268"/>
            <w:tcBorders>
              <w:top w:sz="4" w:val="nil"/>
              <w:left w:sz="4" w:val="nil"/>
              <w:bottom w:color="000000" w:sz="4" w:val="single"/>
              <w:right w:color="000000" w:sz="4" w:val="single"/>
            </w:tcBorders>
            <w:shd w:fill="auto" w:val="clear"/>
            <w:vAlign w:val="center"/>
          </w:tcPr>
          <w:p w14:paraId="CD2C0000">
            <w:pPr>
              <w:widowControl w:val="1"/>
              <w:ind/>
              <w:contextualSpacing w:val="1"/>
              <w:jc w:val="center"/>
              <w:rPr>
                <w:sz w:val="22"/>
              </w:rPr>
            </w:pPr>
            <w:r>
              <w:rPr>
                <w:sz w:val="22"/>
              </w:rPr>
              <w:t>дополнительное соглашение № 3 к договору № 2710860 от 29.12.2017 от 29.12.2018</w:t>
            </w:r>
          </w:p>
        </w:tc>
        <w:tc>
          <w:tcPr>
            <w:tcW w:type="dxa" w:w="1427"/>
            <w:tcBorders>
              <w:top w:sz="4" w:val="nil"/>
              <w:left w:sz="4" w:val="nil"/>
              <w:bottom w:color="000000" w:sz="4" w:val="single"/>
              <w:right w:color="000000" w:sz="4" w:val="single"/>
            </w:tcBorders>
            <w:shd w:fill="auto" w:val="clear"/>
            <w:vAlign w:val="center"/>
          </w:tcPr>
          <w:p w14:paraId="CE2C0000">
            <w:pPr>
              <w:widowControl w:val="1"/>
              <w:ind/>
              <w:contextualSpacing w:val="1"/>
              <w:jc w:val="center"/>
              <w:rPr>
                <w:sz w:val="22"/>
              </w:rPr>
            </w:pPr>
            <w:r>
              <w:rPr>
                <w:sz w:val="22"/>
              </w:rPr>
              <w:t>29.12.2018</w:t>
            </w:r>
          </w:p>
        </w:tc>
        <w:tc>
          <w:tcPr>
            <w:tcW w:type="dxa" w:w="2258"/>
            <w:tcBorders>
              <w:top w:sz="4" w:val="nil"/>
              <w:left w:sz="4" w:val="nil"/>
              <w:bottom w:color="000000" w:sz="4" w:val="single"/>
              <w:right w:color="000000" w:sz="4" w:val="single"/>
            </w:tcBorders>
            <w:shd w:fill="auto" w:val="clear"/>
            <w:vAlign w:val="center"/>
          </w:tcPr>
          <w:p w14:paraId="CF2C0000">
            <w:pPr>
              <w:widowControl w:val="1"/>
              <w:ind/>
              <w:contextualSpacing w:val="1"/>
              <w:jc w:val="center"/>
              <w:rPr>
                <w:sz w:val="22"/>
              </w:rPr>
            </w:pPr>
            <w:r>
              <w:rPr>
                <w:sz w:val="22"/>
              </w:rPr>
              <w:t>ОАО "РЖД" Красноярская дирекция управления движением</w:t>
            </w:r>
          </w:p>
        </w:tc>
        <w:tc>
          <w:tcPr>
            <w:tcW w:type="dxa" w:w="2561"/>
            <w:tcBorders>
              <w:top w:sz="4" w:val="nil"/>
              <w:left w:sz="4" w:val="nil"/>
              <w:bottom w:color="000000" w:sz="4" w:val="single"/>
              <w:right w:color="000000" w:sz="4" w:val="single"/>
            </w:tcBorders>
            <w:shd w:fill="auto" w:val="clear"/>
            <w:vAlign w:val="center"/>
          </w:tcPr>
          <w:p w14:paraId="D02C0000">
            <w:pPr>
              <w:widowControl w:val="1"/>
              <w:ind/>
              <w:contextualSpacing w:val="1"/>
              <w:jc w:val="center"/>
              <w:rPr>
                <w:sz w:val="22"/>
              </w:rPr>
            </w:pPr>
            <w:r>
              <w:rPr>
                <w:sz w:val="22"/>
              </w:rPr>
              <w:t>внесение изменений относительно требования по формированию пакетов документов, которыми Стороны обмениваются в рамках возникших обязательств</w:t>
            </w:r>
          </w:p>
        </w:tc>
        <w:tc>
          <w:tcPr>
            <w:tcW w:type="dxa" w:w="1416"/>
            <w:tcBorders>
              <w:top w:sz="4" w:val="nil"/>
              <w:left w:sz="4" w:val="nil"/>
              <w:bottom w:color="000000" w:sz="4" w:val="single"/>
              <w:right w:color="000000" w:sz="4" w:val="single"/>
            </w:tcBorders>
            <w:shd w:fill="auto" w:val="clear"/>
            <w:vAlign w:val="center"/>
          </w:tcPr>
          <w:p w14:paraId="D12C0000">
            <w:pPr>
              <w:widowControl w:val="1"/>
              <w:ind/>
              <w:contextualSpacing w:val="1"/>
              <w:jc w:val="center"/>
              <w:rPr>
                <w:sz w:val="22"/>
              </w:rPr>
            </w:pPr>
            <w:r>
              <w:rPr>
                <w:sz w:val="22"/>
              </w:rPr>
              <w:t>01.11.2018-31.03.2019</w:t>
            </w:r>
          </w:p>
        </w:tc>
        <w:tc>
          <w:tcPr>
            <w:tcW w:type="dxa" w:w="1591"/>
            <w:tcBorders>
              <w:top w:sz="4" w:val="nil"/>
              <w:left w:sz="4" w:val="nil"/>
              <w:bottom w:color="000000" w:sz="4" w:val="single"/>
              <w:right w:color="000000" w:sz="4" w:val="single"/>
            </w:tcBorders>
            <w:shd w:fill="auto" w:val="clear"/>
            <w:vAlign w:val="center"/>
          </w:tcPr>
          <w:p w14:paraId="D22C0000">
            <w:pPr>
              <w:widowControl w:val="1"/>
              <w:ind/>
              <w:contextualSpacing w:val="1"/>
              <w:jc w:val="center"/>
              <w:rPr>
                <w:sz w:val="22"/>
              </w:rPr>
            </w:pPr>
            <w:r>
              <w:rPr>
                <w:sz w:val="22"/>
              </w:rPr>
              <w:t>3642461,78</w:t>
            </w:r>
          </w:p>
        </w:tc>
        <w:tc>
          <w:tcPr>
            <w:tcW w:type="dxa" w:w="2104"/>
            <w:tcBorders>
              <w:top w:sz="4" w:val="nil"/>
              <w:left w:sz="4" w:val="nil"/>
              <w:bottom w:color="000000" w:sz="4" w:val="single"/>
              <w:right w:color="000000" w:sz="4" w:val="single"/>
            </w:tcBorders>
            <w:shd w:fill="FFFFFF" w:val="clear"/>
            <w:vAlign w:val="center"/>
          </w:tcPr>
          <w:p w14:paraId="D32C0000">
            <w:pPr>
              <w:widowControl w:val="1"/>
              <w:ind/>
              <w:contextualSpacing w:val="1"/>
              <w:jc w:val="center"/>
              <w:rPr>
                <w:sz w:val="22"/>
              </w:rPr>
            </w:pPr>
            <w:r>
              <w:rPr>
                <w:sz w:val="22"/>
              </w:rPr>
              <w:t>сделка заинтересованности не подлежит одобрению СД на основании пп12 п2 ст81 ФЗ об АО (цена  не превышает 0,1% балансовой стоимости активов)</w:t>
            </w:r>
          </w:p>
        </w:tc>
      </w:tr>
      <w:tr>
        <w:trPr>
          <w:trHeight w:hRule="atLeast" w:val="1800"/>
        </w:trPr>
        <w:tc>
          <w:tcPr>
            <w:tcW w:type="dxa" w:w="730"/>
            <w:tcBorders>
              <w:top w:sz="4" w:val="nil"/>
              <w:left w:color="000000" w:sz="4" w:val="single"/>
              <w:bottom w:color="000000" w:sz="4" w:val="single"/>
              <w:right w:color="000000" w:sz="4" w:val="single"/>
            </w:tcBorders>
            <w:shd w:fill="auto" w:val="clear"/>
            <w:vAlign w:val="center"/>
          </w:tcPr>
          <w:p w14:paraId="D42C0000">
            <w:pPr>
              <w:widowControl w:val="1"/>
              <w:ind/>
              <w:contextualSpacing w:val="1"/>
              <w:jc w:val="center"/>
              <w:rPr>
                <w:color w:val="000000"/>
                <w:sz w:val="22"/>
              </w:rPr>
            </w:pPr>
            <w:r>
              <w:rPr>
                <w:color w:val="000000"/>
                <w:sz w:val="22"/>
              </w:rPr>
              <w:t>97</w:t>
            </w:r>
          </w:p>
        </w:tc>
        <w:tc>
          <w:tcPr>
            <w:tcW w:type="dxa" w:w="2268"/>
            <w:tcBorders>
              <w:top w:sz="4" w:val="nil"/>
              <w:left w:sz="4" w:val="nil"/>
              <w:bottom w:color="000000" w:sz="4" w:val="single"/>
              <w:right w:color="000000" w:sz="4" w:val="single"/>
            </w:tcBorders>
            <w:shd w:fill="auto" w:val="clear"/>
            <w:vAlign w:val="center"/>
          </w:tcPr>
          <w:p w14:paraId="D52C0000">
            <w:pPr>
              <w:widowControl w:val="1"/>
              <w:ind/>
              <w:contextualSpacing w:val="1"/>
              <w:jc w:val="center"/>
              <w:rPr>
                <w:sz w:val="22"/>
              </w:rPr>
            </w:pPr>
            <w:r>
              <w:rPr>
                <w:sz w:val="22"/>
              </w:rPr>
              <w:t>дополнительное соглашение № 2 к договору № 31/18/ЦДМВ от 02.03.2018 от 29.12.2018</w:t>
            </w:r>
          </w:p>
        </w:tc>
        <w:tc>
          <w:tcPr>
            <w:tcW w:type="dxa" w:w="1427"/>
            <w:tcBorders>
              <w:top w:sz="4" w:val="nil"/>
              <w:left w:sz="4" w:val="nil"/>
              <w:bottom w:color="000000" w:sz="4" w:val="single"/>
              <w:right w:color="000000" w:sz="4" w:val="single"/>
            </w:tcBorders>
            <w:shd w:fill="auto" w:val="clear"/>
            <w:vAlign w:val="center"/>
          </w:tcPr>
          <w:p w14:paraId="D62C0000">
            <w:pPr>
              <w:widowControl w:val="1"/>
              <w:ind/>
              <w:contextualSpacing w:val="1"/>
              <w:jc w:val="center"/>
              <w:rPr>
                <w:sz w:val="22"/>
              </w:rPr>
            </w:pPr>
            <w:r>
              <w:rPr>
                <w:sz w:val="22"/>
              </w:rPr>
              <w:t>29.12.2018</w:t>
            </w:r>
          </w:p>
        </w:tc>
        <w:tc>
          <w:tcPr>
            <w:tcW w:type="dxa" w:w="2258"/>
            <w:tcBorders>
              <w:top w:sz="4" w:val="nil"/>
              <w:left w:sz="4" w:val="nil"/>
              <w:bottom w:color="000000" w:sz="4" w:val="single"/>
              <w:right w:color="000000" w:sz="4" w:val="single"/>
            </w:tcBorders>
            <w:shd w:fill="auto" w:val="clear"/>
            <w:vAlign w:val="center"/>
          </w:tcPr>
          <w:p w14:paraId="D72C0000">
            <w:pPr>
              <w:widowControl w:val="1"/>
              <w:ind/>
              <w:contextualSpacing w:val="1"/>
              <w:jc w:val="center"/>
              <w:rPr>
                <w:sz w:val="22"/>
              </w:rPr>
            </w:pPr>
            <w:r>
              <w:rPr>
                <w:sz w:val="22"/>
              </w:rPr>
              <w:t>ОАО "РЖД" Центральная дирекция моторвагонного подвижного состава</w:t>
            </w:r>
          </w:p>
        </w:tc>
        <w:tc>
          <w:tcPr>
            <w:tcW w:type="dxa" w:w="2561"/>
            <w:tcBorders>
              <w:top w:sz="4" w:val="nil"/>
              <w:left w:sz="4" w:val="nil"/>
              <w:bottom w:color="000000" w:sz="4" w:val="single"/>
              <w:right w:color="000000" w:sz="4" w:val="single"/>
            </w:tcBorders>
            <w:shd w:fill="auto" w:val="clear"/>
            <w:vAlign w:val="center"/>
          </w:tcPr>
          <w:p w14:paraId="D82C0000">
            <w:pPr>
              <w:widowControl w:val="1"/>
              <w:ind/>
              <w:contextualSpacing w:val="1"/>
              <w:jc w:val="center"/>
              <w:rPr>
                <w:sz w:val="22"/>
              </w:rPr>
            </w:pPr>
            <w:r>
              <w:rPr>
                <w:sz w:val="22"/>
              </w:rPr>
              <w:t>увеличение цены договора аренды железнодорожного подвижного состава с экипажем в связи с изменением объемов услуг</w:t>
            </w:r>
          </w:p>
        </w:tc>
        <w:tc>
          <w:tcPr>
            <w:tcW w:type="dxa" w:w="1416"/>
            <w:tcBorders>
              <w:top w:sz="4" w:val="nil"/>
              <w:left w:sz="4" w:val="nil"/>
              <w:bottom w:color="000000" w:sz="4" w:val="single"/>
              <w:right w:color="000000" w:sz="4" w:val="single"/>
            </w:tcBorders>
            <w:shd w:fill="auto" w:val="clear"/>
            <w:vAlign w:val="center"/>
          </w:tcPr>
          <w:p w14:paraId="D92C0000">
            <w:pPr>
              <w:widowControl w:val="1"/>
              <w:ind/>
              <w:contextualSpacing w:val="1"/>
              <w:jc w:val="center"/>
              <w:rPr>
                <w:sz w:val="22"/>
              </w:rPr>
            </w:pPr>
            <w:r>
              <w:rPr>
                <w:sz w:val="22"/>
              </w:rPr>
              <w:t>01.01.2018-31.12.2018</w:t>
            </w:r>
          </w:p>
        </w:tc>
        <w:tc>
          <w:tcPr>
            <w:tcW w:type="dxa" w:w="1591"/>
            <w:tcBorders>
              <w:top w:sz="4" w:val="nil"/>
              <w:left w:sz="4" w:val="nil"/>
              <w:bottom w:color="000000" w:sz="4" w:val="single"/>
              <w:right w:color="000000" w:sz="4" w:val="single"/>
            </w:tcBorders>
            <w:shd w:fill="auto" w:val="clear"/>
            <w:vAlign w:val="center"/>
          </w:tcPr>
          <w:p w14:paraId="DA2C0000">
            <w:pPr>
              <w:widowControl w:val="1"/>
              <w:ind/>
              <w:contextualSpacing w:val="1"/>
              <w:jc w:val="center"/>
              <w:rPr>
                <w:sz w:val="22"/>
              </w:rPr>
            </w:pPr>
            <w:r>
              <w:rPr>
                <w:sz w:val="22"/>
              </w:rPr>
              <w:t>405841561,5</w:t>
            </w:r>
          </w:p>
        </w:tc>
        <w:tc>
          <w:tcPr>
            <w:tcW w:type="dxa" w:w="2104"/>
            <w:tcBorders>
              <w:top w:sz="4" w:val="nil"/>
              <w:left w:sz="4" w:val="nil"/>
              <w:bottom w:color="000000" w:sz="4" w:val="single"/>
              <w:right w:color="000000" w:sz="4" w:val="single"/>
            </w:tcBorders>
            <w:shd w:fill="FFFFFF" w:val="clear"/>
            <w:vAlign w:val="center"/>
          </w:tcPr>
          <w:p w14:paraId="DB2C0000">
            <w:pPr>
              <w:widowControl w:val="1"/>
              <w:ind/>
              <w:contextualSpacing w:val="1"/>
              <w:jc w:val="center"/>
              <w:rPr>
                <w:sz w:val="22"/>
              </w:rPr>
            </w:pPr>
            <w:r>
              <w:rPr>
                <w:sz w:val="22"/>
              </w:rPr>
              <w:t>извещение о сделке направлено 13.12.2018г, требование об одобрении сделки не поступило</w:t>
            </w:r>
          </w:p>
        </w:tc>
      </w:tr>
    </w:tbl>
    <w:p w14:paraId="DC2C0000">
      <w:pPr>
        <w:widowControl w:val="1"/>
        <w:ind w:firstLine="709"/>
        <w:contextualSpacing w:val="1"/>
      </w:pPr>
    </w:p>
    <w:p w14:paraId="DD2C0000">
      <w:pPr>
        <w:widowControl w:val="1"/>
        <w:ind w:firstLine="709"/>
        <w:contextualSpacing w:val="1"/>
      </w:pPr>
    </w:p>
    <w:p w14:paraId="DE2C0000">
      <w:pPr>
        <w:widowControl w:val="1"/>
        <w:ind w:firstLine="709"/>
        <w:contextualSpacing w:val="1"/>
      </w:pPr>
    </w:p>
    <w:p w14:paraId="DF2C0000">
      <w:pPr>
        <w:widowControl w:val="1"/>
        <w:ind w:firstLine="709"/>
        <w:contextualSpacing w:val="1"/>
      </w:pPr>
    </w:p>
    <w:p w14:paraId="E02C0000">
      <w:pPr>
        <w:widowControl w:val="1"/>
        <w:ind w:firstLine="709"/>
        <w:contextualSpacing w:val="1"/>
      </w:pPr>
    </w:p>
    <w:p w14:paraId="E12C0000">
      <w:pPr>
        <w:widowControl w:val="1"/>
        <w:ind w:firstLine="709"/>
        <w:contextualSpacing w:val="1"/>
      </w:pPr>
    </w:p>
    <w:p w14:paraId="E22C0000">
      <w:pPr>
        <w:widowControl w:val="1"/>
        <w:ind w:firstLine="709"/>
        <w:contextualSpacing w:val="1"/>
      </w:pPr>
    </w:p>
    <w:p w14:paraId="E32C0000">
      <w:pPr>
        <w:widowControl w:val="1"/>
        <w:ind w:firstLine="709"/>
        <w:contextualSpacing w:val="1"/>
      </w:pPr>
    </w:p>
    <w:p w14:paraId="E42C0000">
      <w:pPr>
        <w:widowControl w:val="1"/>
        <w:ind w:firstLine="709"/>
        <w:contextualSpacing w:val="1"/>
      </w:pPr>
    </w:p>
    <w:p w14:paraId="E52C0000">
      <w:pPr>
        <w:widowControl w:val="1"/>
        <w:ind w:firstLine="709"/>
        <w:contextualSpacing w:val="1"/>
      </w:pPr>
    </w:p>
    <w:p w14:paraId="E62C0000">
      <w:pPr>
        <w:widowControl w:val="1"/>
        <w:ind w:firstLine="709"/>
        <w:contextualSpacing w:val="1"/>
      </w:pPr>
    </w:p>
    <w:p w14:paraId="E72C0000">
      <w:pPr>
        <w:widowControl w:val="1"/>
        <w:ind w:firstLine="709"/>
        <w:contextualSpacing w:val="1"/>
      </w:pPr>
    </w:p>
    <w:p w14:paraId="E82C0000">
      <w:pPr>
        <w:widowControl w:val="1"/>
        <w:ind w:firstLine="709"/>
        <w:contextualSpacing w:val="1"/>
      </w:pPr>
    </w:p>
    <w:p w14:paraId="E92C0000">
      <w:pPr>
        <w:widowControl w:val="1"/>
        <w:ind w:firstLine="709"/>
        <w:contextualSpacing w:val="1"/>
      </w:pPr>
    </w:p>
    <w:p w14:paraId="EA2C0000">
      <w:pPr>
        <w:widowControl w:val="1"/>
        <w:ind w:firstLine="709"/>
        <w:contextualSpacing w:val="1"/>
      </w:pPr>
    </w:p>
    <w:p w14:paraId="EB2C0000">
      <w:pPr>
        <w:widowControl w:val="1"/>
        <w:ind w:firstLine="709"/>
        <w:contextualSpacing w:val="1"/>
      </w:pPr>
    </w:p>
    <w:p w14:paraId="EC2C0000">
      <w:bookmarkStart w:id="49" w:name="__RefHeading___42"/>
      <w:bookmarkEnd w:id="49"/>
      <w:pPr>
        <w:pStyle w:val="Style_10"/>
        <w:rPr>
          <w:rFonts w:ascii="Times New Roman" w:hAnsi="Times New Roman"/>
          <w:i w:val="0"/>
        </w:rPr>
      </w:pPr>
      <w:r>
        <w:rPr>
          <w:rFonts w:ascii="Times New Roman" w:hAnsi="Times New Roman"/>
          <w:i w:val="0"/>
        </w:rPr>
        <w:t xml:space="preserve">Приложение </w:t>
      </w:r>
      <w:r>
        <w:rPr>
          <w:rFonts w:ascii="Times New Roman" w:hAnsi="Times New Roman"/>
          <w:i w:val="0"/>
        </w:rPr>
        <w:t>4</w:t>
      </w:r>
      <w:r>
        <w:rPr>
          <w:rFonts w:ascii="Times New Roman" w:hAnsi="Times New Roman"/>
          <w:i w:val="0"/>
        </w:rPr>
        <w:t>. Отчет о закупочной деятельности 201</w:t>
      </w:r>
      <w:r>
        <w:rPr>
          <w:rFonts w:ascii="Times New Roman" w:hAnsi="Times New Roman"/>
          <w:i w:val="0"/>
        </w:rPr>
        <w:t>8</w:t>
      </w:r>
      <w:r>
        <w:rPr>
          <w:rFonts w:ascii="Times New Roman" w:hAnsi="Times New Roman"/>
          <w:i w:val="0"/>
        </w:rPr>
        <w:t>г.</w:t>
      </w:r>
    </w:p>
    <w:p w14:paraId="ED2C0000">
      <w:pPr>
        <w:widowControl w:val="1"/>
        <w:ind w:firstLine="709"/>
        <w:contextualSpacing w:val="1"/>
        <w:rPr>
          <w:highlight w:val="magenta"/>
        </w:rPr>
      </w:pPr>
    </w:p>
    <w:p w14:paraId="EE2C0000">
      <w:pPr>
        <w:widowControl w:val="1"/>
        <w:ind w:firstLine="709"/>
        <w:contextualSpacing w:val="1"/>
        <w:rPr>
          <w:highlight w:val="magenta"/>
        </w:rPr>
      </w:pPr>
    </w:p>
    <w:tbl>
      <w:tblPr>
        <w:tblStyle w:val="Style_4"/>
        <w:tblW w:type="auto" w:w="0"/>
        <w:tblInd w:type="dxa" w:w="-1026"/>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708"/>
        <w:gridCol w:w="618"/>
        <w:gridCol w:w="993"/>
        <w:gridCol w:w="849"/>
        <w:gridCol w:w="709"/>
        <w:gridCol w:w="991"/>
        <w:gridCol w:w="1134"/>
        <w:gridCol w:w="993"/>
        <w:gridCol w:w="850"/>
        <w:gridCol w:w="1334"/>
        <w:gridCol w:w="652"/>
        <w:gridCol w:w="992"/>
        <w:gridCol w:w="1169"/>
        <w:gridCol w:w="1185"/>
        <w:gridCol w:w="1083"/>
        <w:gridCol w:w="771"/>
        <w:gridCol w:w="612"/>
        <w:gridCol w:w="709"/>
      </w:tblGrid>
      <w:tr>
        <w:trPr>
          <w:trHeight w:hRule="atLeast" w:val="330"/>
        </w:trPr>
        <w:tc>
          <w:tcPr>
            <w:tcW w:type="dxa" w:w="708"/>
            <w:vMerge w:val="restart"/>
            <w:tcBorders>
              <w:top w:color="000000" w:sz="4" w:val="single"/>
              <w:left w:color="000000" w:sz="4" w:val="single"/>
              <w:bottom w:color="000000" w:sz="4" w:val="single"/>
              <w:right w:color="000000" w:sz="4" w:val="single"/>
            </w:tcBorders>
            <w:shd w:fill="auto" w:val="clear"/>
            <w:vAlign w:val="center"/>
          </w:tcPr>
          <w:p w14:paraId="EF2C0000">
            <w:pPr>
              <w:widowControl w:val="1"/>
              <w:ind/>
              <w:jc w:val="center"/>
              <w:rPr>
                <w:b w:val="1"/>
                <w:sz w:val="18"/>
              </w:rPr>
            </w:pPr>
            <w:r>
              <w:rPr>
                <w:b w:val="1"/>
                <w:sz w:val="18"/>
              </w:rPr>
              <w:t>№ п/п</w:t>
            </w:r>
          </w:p>
        </w:tc>
        <w:tc>
          <w:tcPr>
            <w:tcW w:type="dxa" w:w="618"/>
            <w:vMerge w:val="restart"/>
            <w:tcBorders>
              <w:top w:color="000000" w:sz="4" w:val="single"/>
              <w:left w:color="000000" w:sz="4" w:val="single"/>
              <w:bottom w:color="000000" w:sz="4" w:val="single"/>
              <w:right w:color="000000" w:sz="4" w:val="single"/>
            </w:tcBorders>
            <w:shd w:fill="auto" w:val="clear"/>
            <w:vAlign w:val="center"/>
          </w:tcPr>
          <w:p w14:paraId="F02C0000">
            <w:pPr>
              <w:widowControl w:val="1"/>
              <w:ind/>
              <w:jc w:val="center"/>
              <w:rPr>
                <w:b w:val="1"/>
                <w:sz w:val="18"/>
              </w:rPr>
            </w:pPr>
            <w:r>
              <w:rPr>
                <w:b w:val="1"/>
                <w:sz w:val="18"/>
              </w:rPr>
              <w:t>№ п/п реестра</w:t>
            </w:r>
          </w:p>
        </w:tc>
        <w:tc>
          <w:tcPr>
            <w:tcW w:type="dxa" w:w="993"/>
            <w:vMerge w:val="restart"/>
            <w:tcBorders>
              <w:top w:color="000000" w:sz="4" w:val="single"/>
              <w:left w:color="000000" w:sz="4" w:val="single"/>
              <w:bottom w:color="000000" w:sz="4" w:val="single"/>
              <w:right w:color="000000" w:sz="4" w:val="single"/>
            </w:tcBorders>
            <w:shd w:fill="auto" w:val="clear"/>
            <w:vAlign w:val="center"/>
          </w:tcPr>
          <w:p w14:paraId="F12C0000">
            <w:pPr>
              <w:widowControl w:val="1"/>
              <w:ind/>
              <w:jc w:val="center"/>
              <w:rPr>
                <w:b w:val="1"/>
                <w:sz w:val="18"/>
              </w:rPr>
            </w:pPr>
            <w:r>
              <w:rPr>
                <w:b w:val="1"/>
                <w:sz w:val="18"/>
              </w:rPr>
              <w:t>Предмет закупки (с указанием периода)</w:t>
            </w:r>
          </w:p>
        </w:tc>
        <w:tc>
          <w:tcPr>
            <w:tcW w:type="dxa" w:w="5526"/>
            <w:gridSpan w:val="6"/>
            <w:tcBorders>
              <w:top w:color="000000" w:sz="4" w:val="single"/>
              <w:left w:color="000000" w:sz="4" w:val="single"/>
              <w:bottom w:color="000000" w:sz="4" w:val="single"/>
              <w:right w:color="000000" w:sz="4" w:val="single"/>
            </w:tcBorders>
            <w:shd w:fill="auto" w:val="clear"/>
            <w:vAlign w:val="center"/>
          </w:tcPr>
          <w:p w14:paraId="F22C0000">
            <w:pPr>
              <w:widowControl w:val="1"/>
              <w:ind/>
              <w:jc w:val="center"/>
              <w:rPr>
                <w:b w:val="1"/>
                <w:sz w:val="18"/>
              </w:rPr>
            </w:pPr>
            <w:r>
              <w:rPr>
                <w:b w:val="1"/>
                <w:sz w:val="18"/>
              </w:rPr>
              <w:t>План</w:t>
            </w:r>
          </w:p>
        </w:tc>
        <w:tc>
          <w:tcPr>
            <w:tcW w:type="dxa" w:w="8507"/>
            <w:gridSpan w:val="9"/>
            <w:tcBorders>
              <w:top w:color="000000" w:sz="4" w:val="single"/>
              <w:left w:color="000000" w:sz="4" w:val="single"/>
              <w:bottom w:color="000000" w:sz="4" w:val="single"/>
              <w:right w:color="000000" w:sz="4" w:val="single"/>
            </w:tcBorders>
            <w:shd w:fill="auto" w:val="clear"/>
            <w:vAlign w:val="center"/>
          </w:tcPr>
          <w:p w14:paraId="F32C0000">
            <w:pPr>
              <w:widowControl w:val="1"/>
              <w:ind/>
              <w:jc w:val="center"/>
              <w:rPr>
                <w:b w:val="1"/>
                <w:sz w:val="18"/>
              </w:rPr>
            </w:pPr>
            <w:r>
              <w:rPr>
                <w:b w:val="1"/>
                <w:sz w:val="18"/>
              </w:rPr>
              <w:t>Факт</w:t>
            </w:r>
          </w:p>
        </w:tc>
      </w:tr>
      <w:tr>
        <w:trPr>
          <w:trHeight w:hRule="atLeast" w:val="750"/>
        </w:trPr>
        <w:tc>
          <w:tcPr>
            <w:tcW w:type="dxa" w:w="708"/>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618"/>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993"/>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849"/>
            <w:vMerge w:val="restart"/>
            <w:tcBorders>
              <w:top w:color="000000" w:sz="4" w:val="single"/>
              <w:left w:color="000000" w:sz="4" w:val="single"/>
              <w:bottom w:color="000000" w:sz="4" w:val="single"/>
              <w:right w:color="000000" w:sz="4" w:val="single"/>
            </w:tcBorders>
            <w:shd w:fill="auto" w:val="clear"/>
            <w:vAlign w:val="center"/>
          </w:tcPr>
          <w:p w14:paraId="F42C0000">
            <w:pPr>
              <w:widowControl w:val="1"/>
              <w:ind/>
              <w:jc w:val="center"/>
              <w:rPr>
                <w:b w:val="1"/>
                <w:sz w:val="18"/>
              </w:rPr>
            </w:pPr>
            <w:r>
              <w:rPr>
                <w:b w:val="1"/>
                <w:sz w:val="18"/>
              </w:rPr>
              <w:t>Плановый способ закупки* со ссылкой на пункт плана закупок товаров, работ, услуг</w:t>
            </w:r>
          </w:p>
        </w:tc>
        <w:tc>
          <w:tcPr>
            <w:tcW w:type="dxa" w:w="709"/>
            <w:vMerge w:val="restart"/>
            <w:tcBorders>
              <w:top w:color="000000" w:sz="4" w:val="single"/>
              <w:left w:color="000000" w:sz="4" w:val="single"/>
              <w:bottom w:color="000000" w:sz="4" w:val="single"/>
              <w:right w:color="000000" w:sz="4" w:val="single"/>
            </w:tcBorders>
            <w:shd w:fill="auto" w:val="clear"/>
            <w:vAlign w:val="center"/>
          </w:tcPr>
          <w:p w14:paraId="F52C0000">
            <w:pPr>
              <w:widowControl w:val="1"/>
              <w:ind/>
              <w:jc w:val="center"/>
              <w:rPr>
                <w:b w:val="1"/>
                <w:sz w:val="18"/>
              </w:rPr>
            </w:pPr>
            <w:r>
              <w:rPr>
                <w:b w:val="1"/>
                <w:sz w:val="18"/>
              </w:rPr>
              <w:t>Плановый объем закупки, в натуральном выражении</w:t>
            </w:r>
          </w:p>
        </w:tc>
        <w:tc>
          <w:tcPr>
            <w:tcW w:type="dxa" w:w="991"/>
            <w:vMerge w:val="restart"/>
            <w:tcBorders>
              <w:top w:color="000000" w:sz="4" w:val="single"/>
              <w:left w:color="000000" w:sz="4" w:val="single"/>
              <w:bottom w:color="000000" w:sz="4" w:val="single"/>
              <w:right w:color="000000" w:sz="4" w:val="single"/>
            </w:tcBorders>
            <w:shd w:fill="FFFFFF" w:val="clear"/>
            <w:vAlign w:val="center"/>
          </w:tcPr>
          <w:p w14:paraId="F62C0000">
            <w:pPr>
              <w:widowControl w:val="1"/>
              <w:ind/>
              <w:jc w:val="center"/>
              <w:rPr>
                <w:b w:val="1"/>
                <w:sz w:val="18"/>
              </w:rPr>
            </w:pPr>
            <w:r>
              <w:rPr>
                <w:b w:val="1"/>
                <w:sz w:val="18"/>
              </w:rPr>
              <w:t>Сведения о плановой начальной (максимальной) цене договора (цене лота) в руб. без НДС</w:t>
            </w:r>
          </w:p>
        </w:tc>
        <w:tc>
          <w:tcPr>
            <w:tcW w:type="dxa" w:w="1134"/>
            <w:vMerge w:val="restart"/>
            <w:tcBorders>
              <w:top w:color="000000" w:sz="4" w:val="single"/>
              <w:left w:color="000000" w:sz="4" w:val="single"/>
              <w:bottom w:color="000000" w:sz="4" w:val="single"/>
              <w:right w:color="000000" w:sz="4" w:val="single"/>
            </w:tcBorders>
            <w:shd w:fill="FFFFFF" w:val="clear"/>
            <w:vAlign w:val="center"/>
          </w:tcPr>
          <w:p w14:paraId="F72C0000">
            <w:pPr>
              <w:widowControl w:val="1"/>
              <w:ind/>
              <w:jc w:val="center"/>
              <w:rPr>
                <w:b w:val="1"/>
                <w:sz w:val="18"/>
              </w:rPr>
            </w:pPr>
            <w:r>
              <w:rPr>
                <w:b w:val="1"/>
                <w:sz w:val="18"/>
              </w:rPr>
              <w:t>Сведения о плановой начальной (максимальной) цене договора (цене лота) в руб. с НДС</w:t>
            </w:r>
          </w:p>
        </w:tc>
        <w:tc>
          <w:tcPr>
            <w:tcW w:type="dxa" w:w="1843"/>
            <w:gridSpan w:val="2"/>
            <w:tcBorders>
              <w:top w:color="000000" w:sz="4" w:val="single"/>
              <w:left w:color="000000" w:sz="4" w:val="single"/>
              <w:bottom w:color="000000" w:sz="4" w:val="single"/>
              <w:right w:color="000000" w:sz="4" w:val="single"/>
            </w:tcBorders>
            <w:shd w:fill="FFFFFF" w:val="clear"/>
            <w:vAlign w:val="center"/>
          </w:tcPr>
          <w:p w14:paraId="F82C0000">
            <w:pPr>
              <w:widowControl w:val="1"/>
              <w:ind/>
              <w:jc w:val="center"/>
              <w:rPr>
                <w:b w:val="1"/>
                <w:sz w:val="18"/>
              </w:rPr>
            </w:pPr>
            <w:r>
              <w:rPr>
                <w:b w:val="1"/>
                <w:sz w:val="18"/>
              </w:rPr>
              <w:t>Плановый график осуществления процедур закупки</w:t>
            </w:r>
          </w:p>
        </w:tc>
        <w:tc>
          <w:tcPr>
            <w:tcW w:type="dxa" w:w="1334"/>
            <w:vMerge w:val="restart"/>
            <w:tcBorders>
              <w:top w:color="000000" w:sz="4" w:val="single"/>
              <w:left w:color="000000" w:sz="4" w:val="single"/>
              <w:bottom w:color="000000" w:sz="4" w:val="single"/>
              <w:right w:color="000000" w:sz="4" w:val="single"/>
            </w:tcBorders>
            <w:shd w:fill="FFFFFF" w:val="clear"/>
            <w:vAlign w:val="center"/>
          </w:tcPr>
          <w:p w14:paraId="F92C0000">
            <w:pPr>
              <w:widowControl w:val="1"/>
              <w:ind/>
              <w:jc w:val="center"/>
              <w:rPr>
                <w:b w:val="1"/>
                <w:sz w:val="18"/>
              </w:rPr>
            </w:pPr>
            <w:r>
              <w:rPr>
                <w:b w:val="1"/>
                <w:sz w:val="18"/>
              </w:rPr>
              <w:t>№ процедуры размещения заказа</w:t>
            </w:r>
          </w:p>
        </w:tc>
        <w:tc>
          <w:tcPr>
            <w:tcW w:type="dxa" w:w="652"/>
            <w:vMerge w:val="restart"/>
            <w:tcBorders>
              <w:top w:color="000000" w:sz="4" w:val="single"/>
              <w:left w:color="000000" w:sz="4" w:val="single"/>
              <w:bottom w:color="000000" w:sz="4" w:val="single"/>
              <w:right w:color="000000" w:sz="4" w:val="single"/>
            </w:tcBorders>
            <w:shd w:fill="FFFFFF" w:val="clear"/>
            <w:vAlign w:val="center"/>
          </w:tcPr>
          <w:p w14:paraId="FA2C0000">
            <w:pPr>
              <w:widowControl w:val="1"/>
              <w:ind/>
              <w:jc w:val="center"/>
              <w:rPr>
                <w:b w:val="1"/>
                <w:sz w:val="18"/>
              </w:rPr>
            </w:pPr>
            <w:r>
              <w:rPr>
                <w:b w:val="1"/>
                <w:sz w:val="18"/>
              </w:rPr>
              <w:t>Фактический способ закупки*</w:t>
            </w:r>
          </w:p>
        </w:tc>
        <w:tc>
          <w:tcPr>
            <w:tcW w:type="dxa" w:w="992"/>
            <w:vMerge w:val="restart"/>
            <w:tcBorders>
              <w:top w:color="000000" w:sz="4" w:val="single"/>
              <w:left w:color="000000" w:sz="4" w:val="single"/>
              <w:bottom w:color="000000" w:sz="4" w:val="single"/>
              <w:right w:color="000000" w:sz="4" w:val="single"/>
            </w:tcBorders>
            <w:shd w:fill="FFFFFF" w:val="clear"/>
            <w:vAlign w:val="center"/>
          </w:tcPr>
          <w:p w14:paraId="FB2C0000">
            <w:pPr>
              <w:widowControl w:val="1"/>
              <w:ind/>
              <w:jc w:val="center"/>
              <w:rPr>
                <w:b w:val="1"/>
                <w:sz w:val="18"/>
              </w:rPr>
            </w:pPr>
            <w:r>
              <w:rPr>
                <w:b w:val="1"/>
                <w:sz w:val="18"/>
              </w:rPr>
              <w:t>Фактический объем закупки, в натуральном выражении</w:t>
            </w:r>
          </w:p>
        </w:tc>
        <w:tc>
          <w:tcPr>
            <w:tcW w:type="dxa" w:w="1169"/>
            <w:vMerge w:val="restart"/>
            <w:tcBorders>
              <w:top w:color="000000" w:sz="4" w:val="single"/>
              <w:left w:color="000000" w:sz="4" w:val="single"/>
              <w:bottom w:color="000000" w:sz="4" w:val="single"/>
              <w:right w:color="000000" w:sz="4" w:val="single"/>
            </w:tcBorders>
            <w:shd w:fill="FFFFFF" w:val="clear"/>
            <w:vAlign w:val="center"/>
          </w:tcPr>
          <w:p w14:paraId="FC2C0000">
            <w:pPr>
              <w:widowControl w:val="1"/>
              <w:ind/>
              <w:jc w:val="center"/>
              <w:rPr>
                <w:b w:val="1"/>
                <w:sz w:val="18"/>
              </w:rPr>
            </w:pPr>
            <w:r>
              <w:rPr>
                <w:b w:val="1"/>
                <w:sz w:val="18"/>
              </w:rPr>
              <w:t>Сведения начальной (максимальной) цене договора (цене лота) на момент размещения извещения о закупке (в руб. без НДС)</w:t>
            </w:r>
          </w:p>
        </w:tc>
        <w:tc>
          <w:tcPr>
            <w:tcW w:type="dxa" w:w="1185"/>
            <w:vMerge w:val="restart"/>
            <w:tcBorders>
              <w:top w:color="000000" w:sz="4" w:val="single"/>
              <w:left w:color="000000" w:sz="4" w:val="single"/>
              <w:bottom w:color="000000" w:sz="4" w:val="single"/>
              <w:right w:color="000000" w:sz="4" w:val="single"/>
            </w:tcBorders>
            <w:shd w:fill="auto" w:val="clear"/>
            <w:vAlign w:val="center"/>
          </w:tcPr>
          <w:p w14:paraId="FD2C0000">
            <w:pPr>
              <w:widowControl w:val="1"/>
              <w:ind/>
              <w:jc w:val="center"/>
              <w:rPr>
                <w:b w:val="1"/>
                <w:sz w:val="18"/>
              </w:rPr>
            </w:pPr>
            <w:r>
              <w:rPr>
                <w:b w:val="1"/>
                <w:sz w:val="18"/>
              </w:rPr>
              <w:t>Сведения о  начальной (максимальной) цене договора (цене лота) на момент размещения извещения о закупке (в руб. с НДС)</w:t>
            </w:r>
          </w:p>
        </w:tc>
        <w:tc>
          <w:tcPr>
            <w:tcW w:type="dxa" w:w="1083"/>
            <w:vMerge w:val="restart"/>
            <w:tcBorders>
              <w:top w:color="000000" w:sz="4" w:val="single"/>
              <w:left w:color="000000" w:sz="4" w:val="single"/>
              <w:bottom w:color="000000" w:sz="4" w:val="single"/>
              <w:right w:color="000000" w:sz="4" w:val="single"/>
            </w:tcBorders>
            <w:shd w:fill="auto" w:val="clear"/>
            <w:vAlign w:val="center"/>
          </w:tcPr>
          <w:p w14:paraId="FE2C0000">
            <w:pPr>
              <w:widowControl w:val="1"/>
              <w:ind/>
              <w:jc w:val="center"/>
              <w:rPr>
                <w:b w:val="1"/>
                <w:sz w:val="18"/>
              </w:rPr>
            </w:pPr>
            <w:r>
              <w:rPr>
                <w:b w:val="1"/>
                <w:sz w:val="18"/>
              </w:rPr>
              <w:t>Сведения о   цене договора (цене лота) по итогам закупки в руб. с НДС</w:t>
            </w:r>
          </w:p>
        </w:tc>
        <w:tc>
          <w:tcPr>
            <w:tcW w:type="dxa" w:w="1383"/>
            <w:gridSpan w:val="2"/>
            <w:tcBorders>
              <w:top w:color="000000" w:sz="4" w:val="single"/>
              <w:left w:color="000000" w:sz="4" w:val="single"/>
              <w:bottom w:color="000000" w:sz="4" w:val="single"/>
              <w:right w:color="000000" w:sz="4" w:val="single"/>
            </w:tcBorders>
            <w:shd w:fill="auto" w:val="clear"/>
            <w:vAlign w:val="center"/>
          </w:tcPr>
          <w:p w14:paraId="FF2C0000">
            <w:pPr>
              <w:widowControl w:val="1"/>
              <w:ind/>
              <w:jc w:val="center"/>
              <w:rPr>
                <w:b w:val="1"/>
                <w:sz w:val="18"/>
              </w:rPr>
            </w:pPr>
            <w:r>
              <w:rPr>
                <w:b w:val="1"/>
                <w:sz w:val="18"/>
              </w:rPr>
              <w:t>График осуществления процедур закупки</w:t>
            </w:r>
          </w:p>
        </w:tc>
        <w:tc>
          <w:tcPr>
            <w:tcW w:type="dxa" w:w="709"/>
            <w:vMerge w:val="restart"/>
            <w:tcBorders>
              <w:top w:color="000000" w:sz="4" w:val="single"/>
              <w:left w:color="000000" w:sz="4" w:val="single"/>
              <w:bottom w:color="000000" w:sz="4" w:val="single"/>
              <w:right w:color="000000" w:sz="4" w:val="single"/>
            </w:tcBorders>
            <w:shd w:fill="auto" w:val="clear"/>
            <w:vAlign w:val="center"/>
          </w:tcPr>
          <w:p w14:paraId="002D0000">
            <w:pPr>
              <w:widowControl w:val="1"/>
              <w:ind/>
              <w:jc w:val="center"/>
              <w:rPr>
                <w:b w:val="1"/>
                <w:sz w:val="18"/>
              </w:rPr>
            </w:pPr>
            <w:r>
              <w:rPr>
                <w:b w:val="1"/>
                <w:sz w:val="18"/>
              </w:rPr>
              <w:t>№, дата заключения договора</w:t>
            </w:r>
          </w:p>
        </w:tc>
      </w:tr>
      <w:tr>
        <w:trPr>
          <w:trHeight w:hRule="atLeast" w:val="2625"/>
        </w:trPr>
        <w:tc>
          <w:tcPr>
            <w:tcW w:type="dxa" w:w="708"/>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618"/>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993"/>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849"/>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709"/>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991"/>
            <w:gridSpan w:val="1"/>
            <w:vMerge w:val="continue"/>
            <w:tcBorders>
              <w:top w:color="000000" w:sz="4" w:val="single"/>
              <w:left w:color="000000" w:sz="4" w:val="single"/>
              <w:bottom w:color="000000" w:sz="4" w:val="single"/>
              <w:right w:color="000000" w:sz="4" w:val="single"/>
            </w:tcBorders>
            <w:shd w:fill="FFFFFF" w:val="clear"/>
            <w:vAlign w:val="center"/>
          </w:tcPr>
          <w:p/>
        </w:tc>
        <w:tc>
          <w:tcPr>
            <w:tcW w:type="dxa" w:w="1134"/>
            <w:gridSpan w:val="1"/>
            <w:vMerge w:val="continue"/>
            <w:tcBorders>
              <w:top w:color="000000" w:sz="4" w:val="single"/>
              <w:left w:color="000000" w:sz="4" w:val="single"/>
              <w:bottom w:color="000000" w:sz="4" w:val="single"/>
              <w:right w:color="000000" w:sz="4" w:val="single"/>
            </w:tcBorders>
            <w:shd w:fill="FFFFFF" w:val="clear"/>
            <w:vAlign w:val="center"/>
          </w:tcPr>
          <w:p/>
        </w:tc>
        <w:tc>
          <w:tcPr>
            <w:tcW w:type="dxa" w:w="993"/>
            <w:tcBorders>
              <w:top w:color="000000" w:sz="4" w:val="single"/>
              <w:left w:color="000000" w:sz="4" w:val="single"/>
              <w:bottom w:color="000000" w:sz="4" w:val="single"/>
              <w:right w:color="000000" w:sz="4" w:val="single"/>
            </w:tcBorders>
            <w:shd w:fill="FFFFFF" w:val="clear"/>
            <w:vAlign w:val="center"/>
          </w:tcPr>
          <w:p w14:paraId="012D0000">
            <w:pPr>
              <w:widowControl w:val="1"/>
              <w:ind/>
              <w:jc w:val="center"/>
              <w:rPr>
                <w:b w:val="1"/>
                <w:sz w:val="18"/>
              </w:rPr>
            </w:pPr>
            <w:r>
              <w:rPr>
                <w:b w:val="1"/>
                <w:sz w:val="18"/>
              </w:rPr>
              <w:t>Планируемая дата или период размещения извещения о закупке</w:t>
            </w:r>
          </w:p>
        </w:tc>
        <w:tc>
          <w:tcPr>
            <w:tcW w:type="dxa" w:w="850"/>
            <w:tcBorders>
              <w:top w:color="000000" w:sz="4" w:val="single"/>
              <w:left w:color="000000" w:sz="4" w:val="single"/>
              <w:bottom w:color="000000" w:sz="4" w:val="single"/>
              <w:right w:color="000000" w:sz="4" w:val="single"/>
            </w:tcBorders>
            <w:shd w:fill="FFFFFF" w:val="clear"/>
            <w:vAlign w:val="center"/>
          </w:tcPr>
          <w:p w14:paraId="022D0000">
            <w:pPr>
              <w:widowControl w:val="1"/>
              <w:ind/>
              <w:jc w:val="center"/>
              <w:rPr>
                <w:b w:val="1"/>
                <w:sz w:val="18"/>
              </w:rPr>
            </w:pPr>
            <w:r>
              <w:rPr>
                <w:b w:val="1"/>
                <w:sz w:val="18"/>
              </w:rPr>
              <w:t>Планируемая дата исполнения договора</w:t>
            </w:r>
          </w:p>
        </w:tc>
        <w:tc>
          <w:tcPr>
            <w:tcW w:type="dxa" w:w="1334"/>
            <w:gridSpan w:val="1"/>
            <w:vMerge w:val="continue"/>
            <w:tcBorders>
              <w:top w:color="000000" w:sz="4" w:val="single"/>
              <w:left w:color="000000" w:sz="4" w:val="single"/>
              <w:bottom w:color="000000" w:sz="4" w:val="single"/>
              <w:right w:color="000000" w:sz="4" w:val="single"/>
            </w:tcBorders>
            <w:shd w:fill="FFFFFF" w:val="clear"/>
            <w:vAlign w:val="center"/>
          </w:tcPr>
          <w:p/>
        </w:tc>
        <w:tc>
          <w:tcPr>
            <w:tcW w:type="dxa" w:w="652"/>
            <w:gridSpan w:val="1"/>
            <w:vMerge w:val="continue"/>
            <w:tcBorders>
              <w:top w:color="000000" w:sz="4" w:val="single"/>
              <w:left w:color="000000" w:sz="4" w:val="single"/>
              <w:bottom w:color="000000" w:sz="4" w:val="single"/>
              <w:right w:color="000000" w:sz="4" w:val="single"/>
            </w:tcBorders>
            <w:shd w:fill="FFFFFF" w:val="clear"/>
            <w:vAlign w:val="center"/>
          </w:tcPr>
          <w:p/>
        </w:tc>
        <w:tc>
          <w:tcPr>
            <w:tcW w:type="dxa" w:w="992"/>
            <w:gridSpan w:val="1"/>
            <w:vMerge w:val="continue"/>
            <w:tcBorders>
              <w:top w:color="000000" w:sz="4" w:val="single"/>
              <w:left w:color="000000" w:sz="4" w:val="single"/>
              <w:bottom w:color="000000" w:sz="4" w:val="single"/>
              <w:right w:color="000000" w:sz="4" w:val="single"/>
            </w:tcBorders>
            <w:shd w:fill="FFFFFF" w:val="clear"/>
            <w:vAlign w:val="center"/>
          </w:tcPr>
          <w:p/>
        </w:tc>
        <w:tc>
          <w:tcPr>
            <w:tcW w:type="dxa" w:w="1169"/>
            <w:gridSpan w:val="1"/>
            <w:vMerge w:val="continue"/>
            <w:tcBorders>
              <w:top w:color="000000" w:sz="4" w:val="single"/>
              <w:left w:color="000000" w:sz="4" w:val="single"/>
              <w:bottom w:color="000000" w:sz="4" w:val="single"/>
              <w:right w:color="000000" w:sz="4" w:val="single"/>
            </w:tcBorders>
            <w:shd w:fill="FFFFFF" w:val="clear"/>
            <w:vAlign w:val="center"/>
          </w:tcPr>
          <w:p/>
        </w:tc>
        <w:tc>
          <w:tcPr>
            <w:tcW w:type="dxa" w:w="1185"/>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1083"/>
            <w:gridSpan w:val="1"/>
            <w:vMerge w:val="continue"/>
            <w:tcBorders>
              <w:top w:color="000000" w:sz="4" w:val="single"/>
              <w:left w:color="000000" w:sz="4" w:val="single"/>
              <w:bottom w:color="000000" w:sz="4" w:val="single"/>
              <w:right w:color="000000" w:sz="4" w:val="single"/>
            </w:tcBorders>
            <w:shd w:fill="auto" w:val="clear"/>
            <w:vAlign w:val="center"/>
          </w:tcPr>
          <w:p/>
        </w:tc>
        <w:tc>
          <w:tcPr>
            <w:tcW w:type="dxa" w:w="771"/>
            <w:tcBorders>
              <w:top w:color="000000" w:sz="4" w:val="single"/>
              <w:left w:color="000000" w:sz="4" w:val="single"/>
              <w:bottom w:color="000000" w:sz="4" w:val="single"/>
              <w:right w:color="000000" w:sz="4" w:val="single"/>
            </w:tcBorders>
            <w:shd w:fill="auto" w:val="clear"/>
            <w:vAlign w:val="center"/>
          </w:tcPr>
          <w:p w14:paraId="032D0000">
            <w:pPr>
              <w:widowControl w:val="1"/>
              <w:ind/>
              <w:jc w:val="center"/>
              <w:rPr>
                <w:b w:val="1"/>
                <w:sz w:val="18"/>
              </w:rPr>
            </w:pPr>
            <w:r>
              <w:rPr>
                <w:b w:val="1"/>
                <w:sz w:val="18"/>
              </w:rPr>
              <w:t>Фактическая дата или период размещения извещения о закупке</w:t>
            </w:r>
          </w:p>
        </w:tc>
        <w:tc>
          <w:tcPr>
            <w:tcW w:type="dxa" w:w="612"/>
            <w:tcBorders>
              <w:top w:color="000000" w:sz="4" w:val="single"/>
              <w:left w:color="000000" w:sz="4" w:val="single"/>
              <w:bottom w:color="000000" w:sz="4" w:val="single"/>
              <w:right w:color="000000" w:sz="4" w:val="single"/>
            </w:tcBorders>
            <w:shd w:fill="auto" w:val="clear"/>
            <w:vAlign w:val="center"/>
          </w:tcPr>
          <w:p w14:paraId="042D0000">
            <w:pPr>
              <w:widowControl w:val="1"/>
              <w:ind/>
              <w:jc w:val="center"/>
              <w:rPr>
                <w:b w:val="1"/>
                <w:sz w:val="18"/>
              </w:rPr>
            </w:pPr>
            <w:r>
              <w:rPr>
                <w:b w:val="1"/>
                <w:sz w:val="18"/>
              </w:rPr>
              <w:t>Фактическая дата исполнения договора</w:t>
            </w:r>
          </w:p>
        </w:tc>
        <w:tc>
          <w:tcPr>
            <w:tcW w:type="dxa" w:w="709"/>
            <w:gridSpan w:val="1"/>
            <w:vMerge w:val="continue"/>
            <w:tcBorders>
              <w:top w:color="000000" w:sz="4" w:val="single"/>
              <w:left w:color="000000" w:sz="4" w:val="single"/>
              <w:bottom w:color="000000" w:sz="4" w:val="single"/>
              <w:right w:color="000000" w:sz="4" w:val="single"/>
            </w:tcBorders>
            <w:shd w:fill="auto" w:val="clear"/>
            <w:vAlign w:val="center"/>
          </w:tcPr>
          <w:p/>
        </w:tc>
      </w:tr>
      <w:tr>
        <w:trPr>
          <w:trHeight w:hRule="atLeast" w:val="240"/>
        </w:trPr>
        <w:tc>
          <w:tcPr>
            <w:tcW w:type="dxa" w:w="708"/>
            <w:tcBorders>
              <w:top w:color="000000" w:sz="4" w:val="single"/>
              <w:left w:color="000000" w:sz="4" w:val="single"/>
              <w:bottom w:color="000000" w:sz="4" w:val="single"/>
              <w:right w:color="000000" w:sz="4" w:val="single"/>
            </w:tcBorders>
            <w:shd w:fill="auto" w:val="clear"/>
            <w:vAlign w:val="center"/>
          </w:tcPr>
          <w:p w14:paraId="052D0000">
            <w:pPr>
              <w:widowControl w:val="1"/>
              <w:ind/>
              <w:jc w:val="center"/>
              <w:rPr>
                <w:b w:val="1"/>
                <w:sz w:val="18"/>
              </w:rPr>
            </w:pPr>
          </w:p>
        </w:tc>
        <w:tc>
          <w:tcPr>
            <w:tcW w:type="dxa" w:w="618"/>
            <w:tcBorders>
              <w:top w:color="000000" w:sz="4" w:val="single"/>
              <w:left w:color="000000" w:sz="4" w:val="single"/>
              <w:bottom w:color="000000" w:sz="4" w:val="single"/>
              <w:right w:color="000000" w:sz="4" w:val="single"/>
            </w:tcBorders>
            <w:shd w:fill="auto" w:val="clear"/>
            <w:vAlign w:val="center"/>
          </w:tcPr>
          <w:p w14:paraId="062D0000">
            <w:pPr>
              <w:widowControl w:val="1"/>
              <w:ind/>
              <w:jc w:val="center"/>
              <w:rPr>
                <w:sz w:val="18"/>
              </w:rPr>
            </w:pPr>
            <w:r>
              <w:rPr>
                <w:sz w:val="18"/>
              </w:rPr>
              <w:t>1</w:t>
            </w:r>
          </w:p>
        </w:tc>
        <w:tc>
          <w:tcPr>
            <w:tcW w:type="dxa" w:w="993"/>
            <w:tcBorders>
              <w:top w:color="000000" w:sz="4" w:val="single"/>
              <w:left w:color="000000" w:sz="4" w:val="single"/>
              <w:bottom w:color="000000" w:sz="4" w:val="single"/>
              <w:right w:color="000000" w:sz="4" w:val="single"/>
            </w:tcBorders>
            <w:shd w:fill="auto" w:val="clear"/>
            <w:vAlign w:val="center"/>
          </w:tcPr>
          <w:p w14:paraId="072D0000">
            <w:pPr>
              <w:widowControl w:val="1"/>
              <w:ind/>
              <w:jc w:val="center"/>
              <w:rPr>
                <w:b w:val="1"/>
                <w:sz w:val="18"/>
              </w:rPr>
            </w:pPr>
            <w:r>
              <w:rPr>
                <w:b w:val="1"/>
                <w:sz w:val="18"/>
              </w:rPr>
              <w:t>2</w:t>
            </w:r>
          </w:p>
        </w:tc>
        <w:tc>
          <w:tcPr>
            <w:tcW w:type="dxa" w:w="849"/>
            <w:tcBorders>
              <w:top w:color="000000" w:sz="4" w:val="single"/>
              <w:left w:color="000000" w:sz="4" w:val="single"/>
              <w:bottom w:color="000000" w:sz="4" w:val="single"/>
              <w:right w:color="000000" w:sz="4" w:val="single"/>
            </w:tcBorders>
            <w:shd w:fill="auto" w:val="clear"/>
            <w:vAlign w:val="center"/>
          </w:tcPr>
          <w:p w14:paraId="082D0000">
            <w:pPr>
              <w:widowControl w:val="1"/>
              <w:ind/>
              <w:jc w:val="center"/>
              <w:rPr>
                <w:b w:val="1"/>
                <w:sz w:val="18"/>
              </w:rPr>
            </w:pPr>
            <w:r>
              <w:rPr>
                <w:b w:val="1"/>
                <w:sz w:val="18"/>
              </w:rPr>
              <w:t>3</w:t>
            </w:r>
          </w:p>
        </w:tc>
        <w:tc>
          <w:tcPr>
            <w:tcW w:type="dxa" w:w="709"/>
            <w:tcBorders>
              <w:top w:color="000000" w:sz="4" w:val="single"/>
              <w:left w:color="000000" w:sz="4" w:val="single"/>
              <w:bottom w:color="000000" w:sz="4" w:val="single"/>
              <w:right w:color="000000" w:sz="4" w:val="single"/>
            </w:tcBorders>
            <w:shd w:fill="auto" w:val="clear"/>
            <w:vAlign w:val="center"/>
          </w:tcPr>
          <w:p w14:paraId="092D0000">
            <w:pPr>
              <w:widowControl w:val="1"/>
              <w:ind/>
              <w:jc w:val="center"/>
              <w:rPr>
                <w:b w:val="1"/>
                <w:sz w:val="18"/>
              </w:rPr>
            </w:pPr>
            <w:r>
              <w:rPr>
                <w:b w:val="1"/>
                <w:sz w:val="18"/>
              </w:rPr>
              <w:t>4</w:t>
            </w:r>
          </w:p>
        </w:tc>
        <w:tc>
          <w:tcPr>
            <w:tcW w:type="dxa" w:w="991"/>
            <w:tcBorders>
              <w:top w:color="000000" w:sz="4" w:val="single"/>
              <w:left w:color="000000" w:sz="4" w:val="single"/>
              <w:bottom w:color="000000" w:sz="4" w:val="single"/>
              <w:right w:color="000000" w:sz="4" w:val="single"/>
            </w:tcBorders>
            <w:shd w:fill="FFFFFF" w:val="clear"/>
            <w:vAlign w:val="center"/>
          </w:tcPr>
          <w:p w14:paraId="0A2D0000">
            <w:pPr>
              <w:widowControl w:val="1"/>
              <w:ind/>
              <w:jc w:val="center"/>
              <w:rPr>
                <w:b w:val="1"/>
                <w:sz w:val="18"/>
              </w:rPr>
            </w:pPr>
            <w:r>
              <w:rPr>
                <w:b w:val="1"/>
                <w:sz w:val="18"/>
              </w:rPr>
              <w:t>5</w:t>
            </w:r>
          </w:p>
        </w:tc>
        <w:tc>
          <w:tcPr>
            <w:tcW w:type="dxa" w:w="1134"/>
            <w:tcBorders>
              <w:top w:color="000000" w:sz="4" w:val="single"/>
              <w:left w:color="000000" w:sz="4" w:val="single"/>
              <w:bottom w:color="000000" w:sz="4" w:val="single"/>
              <w:right w:color="000000" w:sz="4" w:val="single"/>
            </w:tcBorders>
            <w:shd w:fill="FFFFFF" w:val="clear"/>
            <w:vAlign w:val="center"/>
          </w:tcPr>
          <w:p w14:paraId="0B2D0000">
            <w:pPr>
              <w:widowControl w:val="1"/>
              <w:ind/>
              <w:jc w:val="center"/>
              <w:rPr>
                <w:b w:val="1"/>
                <w:sz w:val="18"/>
              </w:rPr>
            </w:pPr>
            <w:r>
              <w:rPr>
                <w:b w:val="1"/>
                <w:sz w:val="18"/>
              </w:rPr>
              <w:t>6</w:t>
            </w:r>
          </w:p>
        </w:tc>
        <w:tc>
          <w:tcPr>
            <w:tcW w:type="dxa" w:w="993"/>
            <w:tcBorders>
              <w:top w:color="000000" w:sz="4" w:val="single"/>
              <w:left w:color="000000" w:sz="4" w:val="single"/>
              <w:bottom w:color="000000" w:sz="4" w:val="single"/>
              <w:right w:color="000000" w:sz="4" w:val="single"/>
            </w:tcBorders>
            <w:shd w:fill="FFFFFF" w:val="clear"/>
            <w:vAlign w:val="center"/>
          </w:tcPr>
          <w:p w14:paraId="0C2D0000">
            <w:pPr>
              <w:widowControl w:val="1"/>
              <w:ind/>
              <w:jc w:val="center"/>
              <w:rPr>
                <w:b w:val="1"/>
                <w:sz w:val="18"/>
              </w:rPr>
            </w:pPr>
            <w:r>
              <w:rPr>
                <w:b w:val="1"/>
                <w:sz w:val="18"/>
              </w:rPr>
              <w:t>7</w:t>
            </w:r>
          </w:p>
        </w:tc>
        <w:tc>
          <w:tcPr>
            <w:tcW w:type="dxa" w:w="850"/>
            <w:tcBorders>
              <w:top w:color="000000" w:sz="4" w:val="single"/>
              <w:left w:color="000000" w:sz="4" w:val="single"/>
              <w:bottom w:color="000000" w:sz="4" w:val="single"/>
              <w:right w:color="000000" w:sz="4" w:val="single"/>
            </w:tcBorders>
            <w:shd w:fill="FFFFFF" w:val="clear"/>
            <w:vAlign w:val="center"/>
          </w:tcPr>
          <w:p w14:paraId="0D2D0000">
            <w:pPr>
              <w:widowControl w:val="1"/>
              <w:ind/>
              <w:jc w:val="center"/>
              <w:rPr>
                <w:b w:val="1"/>
                <w:sz w:val="18"/>
              </w:rPr>
            </w:pPr>
            <w:r>
              <w:rPr>
                <w:b w:val="1"/>
                <w:sz w:val="18"/>
              </w:rPr>
              <w:t>8</w:t>
            </w:r>
          </w:p>
        </w:tc>
        <w:tc>
          <w:tcPr>
            <w:tcW w:type="dxa" w:w="1334"/>
            <w:tcBorders>
              <w:top w:color="000000" w:sz="4" w:val="single"/>
              <w:left w:color="000000" w:sz="4" w:val="single"/>
              <w:bottom w:color="000000" w:sz="4" w:val="single"/>
              <w:right w:color="000000" w:sz="4" w:val="single"/>
            </w:tcBorders>
            <w:shd w:fill="FFFFFF" w:val="clear"/>
            <w:vAlign w:val="center"/>
          </w:tcPr>
          <w:p w14:paraId="0E2D0000">
            <w:pPr>
              <w:widowControl w:val="1"/>
              <w:ind/>
              <w:jc w:val="center"/>
              <w:rPr>
                <w:b w:val="1"/>
                <w:sz w:val="18"/>
              </w:rPr>
            </w:pPr>
            <w:r>
              <w:rPr>
                <w:b w:val="1"/>
                <w:sz w:val="18"/>
              </w:rPr>
              <w:t>9</w:t>
            </w:r>
          </w:p>
        </w:tc>
        <w:tc>
          <w:tcPr>
            <w:tcW w:type="dxa" w:w="652"/>
            <w:tcBorders>
              <w:top w:color="000000" w:sz="4" w:val="single"/>
              <w:left w:color="000000" w:sz="4" w:val="single"/>
              <w:bottom w:color="000000" w:sz="4" w:val="single"/>
              <w:right w:color="000000" w:sz="4" w:val="single"/>
            </w:tcBorders>
            <w:shd w:fill="FFFFFF" w:val="clear"/>
            <w:vAlign w:val="center"/>
          </w:tcPr>
          <w:p w14:paraId="0F2D0000">
            <w:pPr>
              <w:widowControl w:val="1"/>
              <w:ind/>
              <w:jc w:val="center"/>
              <w:rPr>
                <w:b w:val="1"/>
                <w:sz w:val="18"/>
              </w:rPr>
            </w:pPr>
            <w:r>
              <w:rPr>
                <w:b w:val="1"/>
                <w:sz w:val="18"/>
              </w:rPr>
              <w:t>10</w:t>
            </w:r>
          </w:p>
        </w:tc>
        <w:tc>
          <w:tcPr>
            <w:tcW w:type="dxa" w:w="992"/>
            <w:tcBorders>
              <w:top w:color="000000" w:sz="4" w:val="single"/>
              <w:left w:color="000000" w:sz="4" w:val="single"/>
              <w:bottom w:color="000000" w:sz="4" w:val="single"/>
              <w:right w:color="000000" w:sz="4" w:val="single"/>
            </w:tcBorders>
            <w:shd w:fill="FFFFFF" w:val="clear"/>
            <w:vAlign w:val="center"/>
          </w:tcPr>
          <w:p w14:paraId="102D0000">
            <w:pPr>
              <w:widowControl w:val="1"/>
              <w:ind/>
              <w:jc w:val="center"/>
              <w:rPr>
                <w:b w:val="1"/>
                <w:sz w:val="18"/>
              </w:rPr>
            </w:pPr>
            <w:r>
              <w:rPr>
                <w:b w:val="1"/>
                <w:sz w:val="18"/>
              </w:rPr>
              <w:t>11</w:t>
            </w:r>
          </w:p>
        </w:tc>
        <w:tc>
          <w:tcPr>
            <w:tcW w:type="dxa" w:w="1169"/>
            <w:tcBorders>
              <w:top w:color="000000" w:sz="4" w:val="single"/>
              <w:left w:color="000000" w:sz="4" w:val="single"/>
              <w:bottom w:color="000000" w:sz="4" w:val="single"/>
              <w:right w:color="000000" w:sz="4" w:val="single"/>
            </w:tcBorders>
            <w:shd w:fill="FFFFFF" w:val="clear"/>
            <w:vAlign w:val="center"/>
          </w:tcPr>
          <w:p w14:paraId="112D0000">
            <w:pPr>
              <w:widowControl w:val="1"/>
              <w:ind/>
              <w:jc w:val="center"/>
              <w:rPr>
                <w:b w:val="1"/>
                <w:sz w:val="18"/>
              </w:rPr>
            </w:pPr>
            <w:r>
              <w:rPr>
                <w:b w:val="1"/>
                <w:sz w:val="18"/>
              </w:rPr>
              <w:t>12</w:t>
            </w:r>
          </w:p>
        </w:tc>
        <w:tc>
          <w:tcPr>
            <w:tcW w:type="dxa" w:w="1185"/>
            <w:tcBorders>
              <w:top w:color="000000" w:sz="4" w:val="single"/>
              <w:left w:color="000000" w:sz="4" w:val="single"/>
              <w:bottom w:color="000000" w:sz="4" w:val="single"/>
              <w:right w:color="000000" w:sz="4" w:val="single"/>
            </w:tcBorders>
            <w:shd w:fill="auto" w:val="clear"/>
            <w:vAlign w:val="center"/>
          </w:tcPr>
          <w:p w14:paraId="122D0000">
            <w:pPr>
              <w:widowControl w:val="1"/>
              <w:ind/>
              <w:jc w:val="center"/>
              <w:rPr>
                <w:b w:val="1"/>
                <w:sz w:val="18"/>
              </w:rPr>
            </w:pPr>
            <w:r>
              <w:rPr>
                <w:b w:val="1"/>
                <w:sz w:val="18"/>
              </w:rPr>
              <w:t>13</w:t>
            </w:r>
          </w:p>
        </w:tc>
        <w:tc>
          <w:tcPr>
            <w:tcW w:type="dxa" w:w="1083"/>
            <w:tcBorders>
              <w:top w:color="000000" w:sz="4" w:val="single"/>
              <w:left w:color="000000" w:sz="4" w:val="single"/>
              <w:bottom w:color="000000" w:sz="4" w:val="single"/>
              <w:right w:color="000000" w:sz="4" w:val="single"/>
            </w:tcBorders>
            <w:shd w:fill="auto" w:val="clear"/>
            <w:vAlign w:val="center"/>
          </w:tcPr>
          <w:p w14:paraId="132D0000">
            <w:pPr>
              <w:widowControl w:val="1"/>
              <w:ind/>
              <w:jc w:val="center"/>
              <w:rPr>
                <w:b w:val="1"/>
                <w:sz w:val="18"/>
              </w:rPr>
            </w:pPr>
            <w:r>
              <w:rPr>
                <w:b w:val="1"/>
                <w:sz w:val="18"/>
              </w:rPr>
              <w:t>14</w:t>
            </w:r>
          </w:p>
        </w:tc>
        <w:tc>
          <w:tcPr>
            <w:tcW w:type="dxa" w:w="771"/>
            <w:tcBorders>
              <w:top w:color="000000" w:sz="4" w:val="single"/>
              <w:left w:color="000000" w:sz="4" w:val="single"/>
              <w:bottom w:color="000000" w:sz="4" w:val="single"/>
              <w:right w:color="000000" w:sz="4" w:val="single"/>
            </w:tcBorders>
            <w:shd w:fill="auto" w:val="clear"/>
            <w:vAlign w:val="center"/>
          </w:tcPr>
          <w:p w14:paraId="142D0000">
            <w:pPr>
              <w:widowControl w:val="1"/>
              <w:ind/>
              <w:jc w:val="center"/>
              <w:rPr>
                <w:b w:val="1"/>
                <w:sz w:val="18"/>
              </w:rPr>
            </w:pPr>
            <w:r>
              <w:rPr>
                <w:b w:val="1"/>
                <w:sz w:val="18"/>
              </w:rPr>
              <w:t>15</w:t>
            </w:r>
          </w:p>
        </w:tc>
        <w:tc>
          <w:tcPr>
            <w:tcW w:type="dxa" w:w="612"/>
            <w:tcBorders>
              <w:top w:color="000000" w:sz="4" w:val="single"/>
              <w:left w:color="000000" w:sz="4" w:val="single"/>
              <w:bottom w:color="000000" w:sz="4" w:val="single"/>
              <w:right w:color="000000" w:sz="4" w:val="single"/>
            </w:tcBorders>
            <w:shd w:fill="auto" w:val="clear"/>
            <w:vAlign w:val="center"/>
          </w:tcPr>
          <w:p w14:paraId="152D0000">
            <w:pPr>
              <w:widowControl w:val="1"/>
              <w:ind/>
              <w:jc w:val="center"/>
              <w:rPr>
                <w:b w:val="1"/>
                <w:sz w:val="18"/>
              </w:rPr>
            </w:pPr>
            <w:r>
              <w:rPr>
                <w:b w:val="1"/>
                <w:sz w:val="18"/>
              </w:rPr>
              <w:t>16</w:t>
            </w:r>
          </w:p>
        </w:tc>
        <w:tc>
          <w:tcPr>
            <w:tcW w:type="dxa" w:w="709"/>
            <w:tcBorders>
              <w:top w:color="000000" w:sz="4" w:val="single"/>
              <w:left w:color="000000" w:sz="4" w:val="single"/>
              <w:bottom w:color="000000" w:sz="4" w:val="single"/>
              <w:right w:color="000000" w:sz="4" w:val="single"/>
            </w:tcBorders>
            <w:shd w:fill="auto" w:val="clear"/>
            <w:vAlign w:val="center"/>
          </w:tcPr>
          <w:p w14:paraId="162D0000">
            <w:pPr>
              <w:widowControl w:val="1"/>
              <w:ind/>
              <w:jc w:val="center"/>
              <w:rPr>
                <w:b w:val="1"/>
                <w:sz w:val="18"/>
              </w:rPr>
            </w:pPr>
            <w:r>
              <w:rPr>
                <w:b w:val="1"/>
                <w:sz w:val="18"/>
              </w:rPr>
              <w:t>17</w:t>
            </w:r>
          </w:p>
        </w:tc>
      </w:tr>
      <w:tr>
        <w:trPr>
          <w:trHeight w:hRule="atLeast" w:val="2010"/>
        </w:trPr>
        <w:tc>
          <w:tcPr>
            <w:tcW w:type="dxa" w:w="708"/>
            <w:tcBorders>
              <w:top w:color="000000" w:sz="4" w:val="single"/>
              <w:left w:color="000000" w:sz="4" w:val="single"/>
              <w:bottom w:color="000000" w:sz="4" w:val="single"/>
              <w:right w:color="000000" w:sz="4" w:val="single"/>
            </w:tcBorders>
            <w:shd w:fill="FFFFFF" w:val="clear"/>
            <w:vAlign w:val="center"/>
          </w:tcPr>
          <w:p w14:paraId="172D0000">
            <w:pPr>
              <w:widowControl w:val="1"/>
              <w:ind/>
              <w:jc w:val="center"/>
              <w:rPr>
                <w:color w:val="000000"/>
                <w:sz w:val="18"/>
              </w:rPr>
            </w:pPr>
            <w:r>
              <w:rPr>
                <w:color w:val="000000"/>
                <w:sz w:val="18"/>
              </w:rPr>
              <w:t>1</w:t>
            </w:r>
          </w:p>
        </w:tc>
        <w:tc>
          <w:tcPr>
            <w:tcW w:type="dxa" w:w="618"/>
            <w:tcBorders>
              <w:top w:color="000000" w:sz="4" w:val="single"/>
              <w:left w:color="000000" w:sz="4" w:val="single"/>
              <w:bottom w:color="000000" w:sz="4" w:val="single"/>
              <w:right w:color="000000" w:sz="4" w:val="single"/>
            </w:tcBorders>
            <w:shd w:fill="FFFFFF" w:val="clear"/>
            <w:vAlign w:val="center"/>
          </w:tcPr>
          <w:p w14:paraId="182D0000">
            <w:pPr>
              <w:widowControl w:val="1"/>
              <w:ind/>
              <w:jc w:val="center"/>
              <w:rPr>
                <w:sz w:val="18"/>
              </w:rPr>
            </w:pPr>
            <w:r>
              <w:rPr>
                <w:sz w:val="18"/>
              </w:rPr>
              <w:t>1</w:t>
            </w:r>
          </w:p>
        </w:tc>
        <w:tc>
          <w:tcPr>
            <w:tcW w:type="dxa" w:w="993"/>
            <w:tcBorders>
              <w:top w:color="000000" w:sz="4" w:val="single"/>
              <w:left w:color="000000" w:sz="4" w:val="single"/>
              <w:bottom w:color="000000" w:sz="4" w:val="single"/>
              <w:right w:color="000000" w:sz="4" w:val="single"/>
            </w:tcBorders>
            <w:shd w:fill="FFFFFF" w:val="clear"/>
            <w:vAlign w:val="center"/>
          </w:tcPr>
          <w:p w14:paraId="192D0000">
            <w:pPr>
              <w:widowControl w:val="1"/>
              <w:ind/>
              <w:jc w:val="center"/>
              <w:rPr>
                <w:sz w:val="18"/>
              </w:rPr>
            </w:pPr>
            <w:r>
              <w:rPr>
                <w:sz w:val="18"/>
              </w:rPr>
              <w:t>Оказание услуг связи</w:t>
            </w:r>
          </w:p>
        </w:tc>
        <w:tc>
          <w:tcPr>
            <w:tcW w:type="dxa" w:w="849"/>
            <w:tcBorders>
              <w:top w:color="000000" w:sz="4" w:val="single"/>
              <w:left w:color="000000" w:sz="4" w:val="single"/>
              <w:bottom w:color="000000" w:sz="4" w:val="single"/>
              <w:right w:color="000000" w:sz="4" w:val="single"/>
            </w:tcBorders>
            <w:shd w:fill="FFFFFF" w:val="clear"/>
            <w:vAlign w:val="center"/>
          </w:tcPr>
          <w:p w14:paraId="1A2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1B2D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1C2D0000">
            <w:pPr>
              <w:widowControl w:val="1"/>
              <w:ind/>
              <w:jc w:val="center"/>
              <w:rPr>
                <w:sz w:val="18"/>
              </w:rPr>
            </w:pPr>
            <w:r>
              <w:rPr>
                <w:sz w:val="18"/>
              </w:rPr>
              <w:t>180000,00</w:t>
            </w:r>
          </w:p>
        </w:tc>
        <w:tc>
          <w:tcPr>
            <w:tcW w:type="dxa" w:w="1134"/>
            <w:tcBorders>
              <w:top w:color="000000" w:sz="4" w:val="single"/>
              <w:left w:color="000000" w:sz="4" w:val="single"/>
              <w:bottom w:color="000000" w:sz="4" w:val="single"/>
              <w:right w:color="000000" w:sz="4" w:val="single"/>
            </w:tcBorders>
            <w:shd w:fill="FFFFFF" w:val="clear"/>
            <w:vAlign w:val="center"/>
          </w:tcPr>
          <w:p w14:paraId="1D2D0000">
            <w:pPr>
              <w:widowControl w:val="1"/>
              <w:ind/>
              <w:jc w:val="center"/>
              <w:rPr>
                <w:sz w:val="18"/>
              </w:rPr>
            </w:pPr>
            <w:r>
              <w:rPr>
                <w:sz w:val="18"/>
              </w:rPr>
              <w:t>212400,00</w:t>
            </w:r>
          </w:p>
        </w:tc>
        <w:tc>
          <w:tcPr>
            <w:tcW w:type="dxa" w:w="993"/>
            <w:tcBorders>
              <w:top w:color="000000" w:sz="4" w:val="single"/>
              <w:left w:color="000000" w:sz="4" w:val="single"/>
              <w:bottom w:color="000000" w:sz="4" w:val="single"/>
              <w:right w:color="000000" w:sz="4" w:val="single"/>
            </w:tcBorders>
            <w:shd w:fill="FFFFFF" w:val="clear"/>
            <w:vAlign w:val="center"/>
          </w:tcPr>
          <w:p w14:paraId="1E2D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1F2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202D0000">
            <w:pPr>
              <w:widowControl w:val="1"/>
              <w:ind/>
              <w:jc w:val="center"/>
              <w:rPr>
                <w:sz w:val="18"/>
              </w:rPr>
            </w:pPr>
            <w:r>
              <w:rPr>
                <w:sz w:val="18"/>
              </w:rPr>
              <w:t>31806175424</w:t>
            </w:r>
          </w:p>
        </w:tc>
        <w:tc>
          <w:tcPr>
            <w:tcW w:type="dxa" w:w="652"/>
            <w:tcBorders>
              <w:top w:color="000000" w:sz="4" w:val="single"/>
              <w:left w:color="000000" w:sz="4" w:val="single"/>
              <w:bottom w:color="000000" w:sz="4" w:val="single"/>
              <w:right w:color="000000" w:sz="4" w:val="single"/>
            </w:tcBorders>
            <w:shd w:fill="FFFFFF" w:val="clear"/>
            <w:vAlign w:val="center"/>
          </w:tcPr>
          <w:p w14:paraId="212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222D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232D0000">
            <w:pPr>
              <w:widowControl w:val="1"/>
              <w:ind/>
              <w:jc w:val="center"/>
              <w:rPr>
                <w:sz w:val="18"/>
              </w:rPr>
            </w:pPr>
            <w:r>
              <w:rPr>
                <w:sz w:val="18"/>
              </w:rPr>
              <w:t>180000,00</w:t>
            </w:r>
          </w:p>
        </w:tc>
        <w:tc>
          <w:tcPr>
            <w:tcW w:type="dxa" w:w="1185"/>
            <w:tcBorders>
              <w:top w:color="000000" w:sz="4" w:val="single"/>
              <w:left w:color="000000" w:sz="4" w:val="single"/>
              <w:bottom w:color="000000" w:sz="4" w:val="single"/>
              <w:right w:color="000000" w:sz="4" w:val="single"/>
            </w:tcBorders>
            <w:shd w:fill="FFFFFF" w:val="clear"/>
            <w:vAlign w:val="center"/>
          </w:tcPr>
          <w:p w14:paraId="242D0000">
            <w:pPr>
              <w:widowControl w:val="1"/>
              <w:ind/>
              <w:jc w:val="center"/>
              <w:rPr>
                <w:sz w:val="18"/>
              </w:rPr>
            </w:pPr>
            <w:r>
              <w:rPr>
                <w:sz w:val="18"/>
              </w:rPr>
              <w:t>212400,00</w:t>
            </w:r>
          </w:p>
        </w:tc>
        <w:tc>
          <w:tcPr>
            <w:tcW w:type="dxa" w:w="1083"/>
            <w:tcBorders>
              <w:top w:color="000000" w:sz="4" w:val="single"/>
              <w:left w:color="000000" w:sz="4" w:val="single"/>
              <w:bottom w:color="000000" w:sz="4" w:val="single"/>
              <w:right w:color="000000" w:sz="4" w:val="single"/>
            </w:tcBorders>
            <w:shd w:fill="FFFFFF" w:val="clear"/>
            <w:vAlign w:val="center"/>
          </w:tcPr>
          <w:p w14:paraId="252D0000">
            <w:pPr>
              <w:widowControl w:val="1"/>
              <w:ind/>
              <w:jc w:val="center"/>
              <w:rPr>
                <w:sz w:val="18"/>
              </w:rPr>
            </w:pPr>
            <w:r>
              <w:rPr>
                <w:sz w:val="18"/>
              </w:rPr>
              <w:t>212400,00</w:t>
            </w:r>
          </w:p>
        </w:tc>
        <w:tc>
          <w:tcPr>
            <w:tcW w:type="dxa" w:w="771"/>
            <w:tcBorders>
              <w:top w:color="000000" w:sz="4" w:val="single"/>
              <w:left w:color="000000" w:sz="4" w:val="single"/>
              <w:bottom w:color="000000" w:sz="4" w:val="single"/>
              <w:right w:color="000000" w:sz="4" w:val="single"/>
            </w:tcBorders>
            <w:shd w:fill="FFFFFF" w:val="clear"/>
            <w:vAlign w:val="center"/>
          </w:tcPr>
          <w:p w14:paraId="262D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272D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282D0000">
            <w:pPr>
              <w:widowControl w:val="1"/>
              <w:ind/>
              <w:jc w:val="center"/>
              <w:rPr>
                <w:sz w:val="18"/>
              </w:rPr>
            </w:pPr>
            <w:r>
              <w:rPr>
                <w:sz w:val="18"/>
              </w:rPr>
              <w:t>договор № 241920193/1 от 26.02.2018</w:t>
            </w:r>
          </w:p>
        </w:tc>
      </w:tr>
      <w:tr>
        <w:trPr>
          <w:trHeight w:hRule="atLeast" w:val="780"/>
        </w:trPr>
        <w:tc>
          <w:tcPr>
            <w:tcW w:type="dxa" w:w="708"/>
            <w:tcBorders>
              <w:top w:color="000000" w:sz="4" w:val="single"/>
              <w:left w:color="000000" w:sz="4" w:val="single"/>
              <w:bottom w:color="000000" w:sz="4" w:val="single"/>
              <w:right w:color="000000" w:sz="4" w:val="single"/>
            </w:tcBorders>
            <w:shd w:fill="FFFFFF" w:val="clear"/>
            <w:vAlign w:val="center"/>
          </w:tcPr>
          <w:p w14:paraId="292D0000">
            <w:pPr>
              <w:widowControl w:val="1"/>
              <w:ind/>
              <w:jc w:val="center"/>
              <w:rPr>
                <w:color w:val="000000"/>
                <w:sz w:val="18"/>
              </w:rPr>
            </w:pPr>
            <w:r>
              <w:rPr>
                <w:color w:val="000000"/>
                <w:sz w:val="18"/>
              </w:rPr>
              <w:t>2</w:t>
            </w:r>
          </w:p>
        </w:tc>
        <w:tc>
          <w:tcPr>
            <w:tcW w:type="dxa" w:w="618"/>
            <w:tcBorders>
              <w:top w:color="000000" w:sz="4" w:val="single"/>
              <w:left w:color="000000" w:sz="4" w:val="single"/>
              <w:bottom w:color="000000" w:sz="4" w:val="single"/>
              <w:right w:color="000000" w:sz="4" w:val="single"/>
            </w:tcBorders>
            <w:shd w:fill="FFFFFF" w:val="clear"/>
            <w:vAlign w:val="center"/>
          </w:tcPr>
          <w:p w14:paraId="2A2D0000">
            <w:pPr>
              <w:widowControl w:val="1"/>
              <w:ind/>
              <w:jc w:val="center"/>
              <w:rPr>
                <w:color w:val="000000"/>
                <w:sz w:val="18"/>
              </w:rPr>
            </w:pPr>
            <w:r>
              <w:rPr>
                <w:color w:val="000000"/>
                <w:sz w:val="18"/>
              </w:rPr>
              <w:t>2</w:t>
            </w:r>
          </w:p>
        </w:tc>
        <w:tc>
          <w:tcPr>
            <w:tcW w:type="dxa" w:w="993"/>
            <w:tcBorders>
              <w:top w:color="000000" w:sz="4" w:val="single"/>
              <w:left w:color="000000" w:sz="4" w:val="single"/>
              <w:bottom w:color="000000" w:sz="4" w:val="single"/>
              <w:right w:color="000000" w:sz="4" w:val="single"/>
            </w:tcBorders>
            <w:shd w:fill="FFFFFF" w:val="clear"/>
            <w:vAlign w:val="center"/>
          </w:tcPr>
          <w:p w14:paraId="2B2D0000">
            <w:pPr>
              <w:widowControl w:val="1"/>
              <w:ind/>
              <w:jc w:val="center"/>
              <w:rPr>
                <w:sz w:val="18"/>
              </w:rPr>
            </w:pPr>
            <w:r>
              <w:rPr>
                <w:sz w:val="18"/>
              </w:rPr>
              <w:t>Поставка канцелярских бумажных принадлежностей</w:t>
            </w:r>
          </w:p>
        </w:tc>
        <w:tc>
          <w:tcPr>
            <w:tcW w:type="dxa" w:w="849"/>
            <w:tcBorders>
              <w:top w:color="000000" w:sz="4" w:val="single"/>
              <w:left w:color="000000" w:sz="4" w:val="single"/>
              <w:bottom w:color="000000" w:sz="4" w:val="single"/>
              <w:right w:color="000000" w:sz="4" w:val="single"/>
            </w:tcBorders>
            <w:shd w:fill="FFFFFF" w:val="clear"/>
            <w:vAlign w:val="center"/>
          </w:tcPr>
          <w:p w14:paraId="2C2D0000">
            <w:pPr>
              <w:widowControl w:val="1"/>
              <w:ind/>
              <w:jc w:val="center"/>
              <w:rPr>
                <w:sz w:val="18"/>
              </w:rPr>
            </w:pPr>
            <w:r>
              <w:rPr>
                <w:sz w:val="18"/>
              </w:rPr>
              <w:t>ЗКТ</w:t>
            </w:r>
          </w:p>
        </w:tc>
        <w:tc>
          <w:tcPr>
            <w:tcW w:type="dxa" w:w="709"/>
            <w:tcBorders>
              <w:top w:color="000000" w:sz="4" w:val="single"/>
              <w:left w:color="000000" w:sz="4" w:val="single"/>
              <w:bottom w:color="000000" w:sz="4" w:val="single"/>
              <w:right w:color="000000" w:sz="4" w:val="single"/>
            </w:tcBorders>
            <w:shd w:fill="FFFFFF" w:val="clear"/>
            <w:vAlign w:val="center"/>
          </w:tcPr>
          <w:p w14:paraId="2D2D0000">
            <w:pPr>
              <w:widowControl w:val="1"/>
              <w:ind/>
              <w:jc w:val="center"/>
              <w:rPr>
                <w:sz w:val="18"/>
              </w:rPr>
            </w:pPr>
            <w:r>
              <w:rPr>
                <w:sz w:val="18"/>
              </w:rPr>
              <w:t>5375</w:t>
            </w:r>
          </w:p>
        </w:tc>
        <w:tc>
          <w:tcPr>
            <w:tcW w:type="dxa" w:w="991"/>
            <w:tcBorders>
              <w:top w:color="000000" w:sz="4" w:val="single"/>
              <w:left w:color="000000" w:sz="4" w:val="single"/>
              <w:bottom w:color="000000" w:sz="4" w:val="single"/>
              <w:right w:color="000000" w:sz="4" w:val="single"/>
            </w:tcBorders>
            <w:shd w:fill="FFFFFF" w:val="clear"/>
            <w:vAlign w:val="center"/>
          </w:tcPr>
          <w:p w14:paraId="2E2D0000">
            <w:pPr>
              <w:widowControl w:val="1"/>
              <w:ind/>
              <w:jc w:val="center"/>
              <w:rPr>
                <w:sz w:val="18"/>
              </w:rPr>
            </w:pPr>
            <w:r>
              <w:rPr>
                <w:sz w:val="18"/>
              </w:rPr>
              <w:t>272881,36</w:t>
            </w:r>
          </w:p>
        </w:tc>
        <w:tc>
          <w:tcPr>
            <w:tcW w:type="dxa" w:w="1134"/>
            <w:tcBorders>
              <w:top w:color="000000" w:sz="4" w:val="single"/>
              <w:left w:color="000000" w:sz="4" w:val="single"/>
              <w:bottom w:color="000000" w:sz="4" w:val="single"/>
              <w:right w:color="000000" w:sz="4" w:val="single"/>
            </w:tcBorders>
            <w:shd w:fill="FFFFFF" w:val="clear"/>
            <w:vAlign w:val="center"/>
          </w:tcPr>
          <w:p w14:paraId="2F2D0000">
            <w:pPr>
              <w:widowControl w:val="1"/>
              <w:ind/>
              <w:jc w:val="center"/>
              <w:rPr>
                <w:sz w:val="18"/>
              </w:rPr>
            </w:pPr>
            <w:r>
              <w:rPr>
                <w:sz w:val="18"/>
              </w:rPr>
              <w:t>322000,00</w:t>
            </w:r>
          </w:p>
        </w:tc>
        <w:tc>
          <w:tcPr>
            <w:tcW w:type="dxa" w:w="993"/>
            <w:tcBorders>
              <w:top w:color="000000" w:sz="4" w:val="single"/>
              <w:left w:color="000000" w:sz="4" w:val="single"/>
              <w:bottom w:color="000000" w:sz="4" w:val="single"/>
              <w:right w:color="000000" w:sz="4" w:val="single"/>
            </w:tcBorders>
            <w:shd w:fill="FFFFFF" w:val="clear"/>
            <w:vAlign w:val="center"/>
          </w:tcPr>
          <w:p w14:paraId="302D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312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322D0000">
            <w:pPr>
              <w:widowControl w:val="1"/>
              <w:ind/>
              <w:jc w:val="center"/>
              <w:rPr>
                <w:sz w:val="18"/>
              </w:rPr>
            </w:pPr>
            <w:r>
              <w:rPr>
                <w:sz w:val="18"/>
              </w:rPr>
              <w:t>31806054972</w:t>
            </w:r>
          </w:p>
        </w:tc>
        <w:tc>
          <w:tcPr>
            <w:tcW w:type="dxa" w:w="652"/>
            <w:tcBorders>
              <w:top w:color="000000" w:sz="4" w:val="single"/>
              <w:left w:color="000000" w:sz="4" w:val="single"/>
              <w:bottom w:color="000000" w:sz="4" w:val="single"/>
              <w:right w:color="000000" w:sz="4" w:val="single"/>
            </w:tcBorders>
            <w:shd w:fill="FFFFFF" w:val="clear"/>
            <w:vAlign w:val="center"/>
          </w:tcPr>
          <w:p w14:paraId="332D0000">
            <w:pPr>
              <w:widowControl w:val="1"/>
              <w:ind/>
              <w:jc w:val="center"/>
              <w:rPr>
                <w:sz w:val="18"/>
              </w:rPr>
            </w:pPr>
            <w:r>
              <w:rPr>
                <w:sz w:val="18"/>
              </w:rPr>
              <w:t>ЗКТ</w:t>
            </w:r>
          </w:p>
        </w:tc>
        <w:tc>
          <w:tcPr>
            <w:tcW w:type="dxa" w:w="992"/>
            <w:tcBorders>
              <w:top w:color="000000" w:sz="4" w:val="single"/>
              <w:left w:color="000000" w:sz="4" w:val="single"/>
              <w:bottom w:color="000000" w:sz="4" w:val="single"/>
              <w:right w:color="000000" w:sz="4" w:val="single"/>
            </w:tcBorders>
            <w:shd w:fill="FFFFFF" w:val="clear"/>
            <w:vAlign w:val="center"/>
          </w:tcPr>
          <w:p w14:paraId="342D0000">
            <w:pPr>
              <w:widowControl w:val="1"/>
              <w:ind/>
              <w:jc w:val="center"/>
              <w:rPr>
                <w:sz w:val="18"/>
              </w:rPr>
            </w:pPr>
            <w:r>
              <w:rPr>
                <w:sz w:val="18"/>
              </w:rPr>
              <w:t>5375</w:t>
            </w:r>
          </w:p>
        </w:tc>
        <w:tc>
          <w:tcPr>
            <w:tcW w:type="dxa" w:w="1169"/>
            <w:tcBorders>
              <w:top w:color="000000" w:sz="4" w:val="single"/>
              <w:left w:color="000000" w:sz="4" w:val="single"/>
              <w:bottom w:color="000000" w:sz="4" w:val="single"/>
              <w:right w:color="000000" w:sz="4" w:val="single"/>
            </w:tcBorders>
            <w:shd w:fill="FFFFFF" w:val="clear"/>
            <w:vAlign w:val="center"/>
          </w:tcPr>
          <w:p w14:paraId="352D0000">
            <w:pPr>
              <w:widowControl w:val="1"/>
              <w:ind/>
              <w:jc w:val="center"/>
              <w:rPr>
                <w:sz w:val="18"/>
              </w:rPr>
            </w:pPr>
            <w:r>
              <w:rPr>
                <w:sz w:val="18"/>
              </w:rPr>
              <w:t>266479,41</w:t>
            </w:r>
          </w:p>
        </w:tc>
        <w:tc>
          <w:tcPr>
            <w:tcW w:type="dxa" w:w="1185"/>
            <w:tcBorders>
              <w:top w:color="000000" w:sz="4" w:val="single"/>
              <w:left w:color="000000" w:sz="4" w:val="single"/>
              <w:bottom w:color="000000" w:sz="4" w:val="single"/>
              <w:right w:color="000000" w:sz="4" w:val="single"/>
            </w:tcBorders>
            <w:shd w:fill="FFFFFF" w:val="clear"/>
            <w:vAlign w:val="center"/>
          </w:tcPr>
          <w:p w14:paraId="362D0000">
            <w:pPr>
              <w:widowControl w:val="1"/>
              <w:ind/>
              <w:jc w:val="center"/>
              <w:rPr>
                <w:sz w:val="18"/>
              </w:rPr>
            </w:pPr>
            <w:r>
              <w:rPr>
                <w:sz w:val="18"/>
              </w:rPr>
              <w:t>314445,70</w:t>
            </w:r>
          </w:p>
        </w:tc>
        <w:tc>
          <w:tcPr>
            <w:tcW w:type="dxa" w:w="1083"/>
            <w:tcBorders>
              <w:top w:color="000000" w:sz="4" w:val="single"/>
              <w:left w:color="000000" w:sz="4" w:val="single"/>
              <w:bottom w:color="000000" w:sz="4" w:val="single"/>
              <w:right w:color="000000" w:sz="4" w:val="single"/>
            </w:tcBorders>
            <w:shd w:fill="FFFFFF" w:val="clear"/>
            <w:vAlign w:val="center"/>
          </w:tcPr>
          <w:p w14:paraId="372D0000">
            <w:pPr>
              <w:widowControl w:val="1"/>
              <w:ind/>
              <w:jc w:val="center"/>
              <w:rPr>
                <w:sz w:val="18"/>
              </w:rPr>
            </w:pPr>
            <w:r>
              <w:rPr>
                <w:sz w:val="18"/>
              </w:rPr>
              <w:t>311484,62</w:t>
            </w:r>
          </w:p>
        </w:tc>
        <w:tc>
          <w:tcPr>
            <w:tcW w:type="dxa" w:w="771"/>
            <w:tcBorders>
              <w:top w:color="000000" w:sz="4" w:val="single"/>
              <w:left w:color="000000" w:sz="4" w:val="single"/>
              <w:bottom w:color="000000" w:sz="4" w:val="single"/>
              <w:right w:color="000000" w:sz="4" w:val="single"/>
            </w:tcBorders>
            <w:shd w:fill="FFFFFF" w:val="clear"/>
            <w:vAlign w:val="center"/>
          </w:tcPr>
          <w:p w14:paraId="382D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392D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3A2D0000">
            <w:pPr>
              <w:widowControl w:val="1"/>
              <w:ind/>
              <w:jc w:val="center"/>
              <w:rPr>
                <w:sz w:val="18"/>
              </w:rPr>
            </w:pPr>
            <w:r>
              <w:rPr>
                <w:sz w:val="18"/>
              </w:rPr>
              <w:t>договор 3 30 от 20.02.2018</w:t>
            </w:r>
          </w:p>
        </w:tc>
      </w:tr>
      <w:tr>
        <w:trPr>
          <w:trHeight w:hRule="atLeast" w:val="885"/>
        </w:trPr>
        <w:tc>
          <w:tcPr>
            <w:tcW w:type="dxa" w:w="708"/>
            <w:tcBorders>
              <w:top w:color="000000" w:sz="4" w:val="single"/>
              <w:left w:color="000000" w:sz="4" w:val="single"/>
              <w:bottom w:color="000000" w:sz="4" w:val="single"/>
              <w:right w:color="000000" w:sz="4" w:val="single"/>
            </w:tcBorders>
            <w:shd w:fill="FFFFFF" w:val="clear"/>
            <w:vAlign w:val="center"/>
          </w:tcPr>
          <w:p w14:paraId="3B2D0000">
            <w:pPr>
              <w:widowControl w:val="1"/>
              <w:ind/>
              <w:jc w:val="center"/>
              <w:rPr>
                <w:color w:val="000000"/>
                <w:sz w:val="18"/>
              </w:rPr>
            </w:pPr>
            <w:r>
              <w:rPr>
                <w:color w:val="000000"/>
                <w:sz w:val="18"/>
              </w:rPr>
              <w:t>3</w:t>
            </w:r>
          </w:p>
        </w:tc>
        <w:tc>
          <w:tcPr>
            <w:tcW w:type="dxa" w:w="618"/>
            <w:tcBorders>
              <w:top w:color="000000" w:sz="4" w:val="single"/>
              <w:left w:color="000000" w:sz="4" w:val="single"/>
              <w:bottom w:color="000000" w:sz="4" w:val="single"/>
              <w:right w:color="000000" w:sz="4" w:val="single"/>
            </w:tcBorders>
            <w:shd w:fill="FFFFFF" w:val="clear"/>
            <w:vAlign w:val="center"/>
          </w:tcPr>
          <w:p w14:paraId="3C2D0000">
            <w:pPr>
              <w:widowControl w:val="1"/>
              <w:ind/>
              <w:jc w:val="center"/>
              <w:rPr>
                <w:color w:val="000000"/>
                <w:sz w:val="18"/>
              </w:rPr>
            </w:pPr>
            <w:r>
              <w:rPr>
                <w:color w:val="000000"/>
                <w:sz w:val="18"/>
              </w:rPr>
              <w:t>3</w:t>
            </w:r>
          </w:p>
        </w:tc>
        <w:tc>
          <w:tcPr>
            <w:tcW w:type="dxa" w:w="993"/>
            <w:tcBorders>
              <w:top w:color="000000" w:sz="4" w:val="single"/>
              <w:left w:color="000000" w:sz="4" w:val="single"/>
              <w:bottom w:color="000000" w:sz="4" w:val="single"/>
              <w:right w:color="000000" w:sz="4" w:val="single"/>
            </w:tcBorders>
            <w:shd w:fill="FFFFFF" w:val="clear"/>
            <w:vAlign w:val="center"/>
          </w:tcPr>
          <w:p w14:paraId="3D2D0000">
            <w:pPr>
              <w:widowControl w:val="1"/>
              <w:ind/>
              <w:jc w:val="center"/>
              <w:rPr>
                <w:sz w:val="18"/>
              </w:rPr>
            </w:pPr>
            <w:r>
              <w:rPr>
                <w:sz w:val="18"/>
              </w:rPr>
              <w:t>Оказание услуг сотовой связи</w:t>
            </w:r>
          </w:p>
        </w:tc>
        <w:tc>
          <w:tcPr>
            <w:tcW w:type="dxa" w:w="849"/>
            <w:tcBorders>
              <w:top w:color="000000" w:sz="4" w:val="single"/>
              <w:left w:color="000000" w:sz="4" w:val="single"/>
              <w:bottom w:color="000000" w:sz="4" w:val="single"/>
              <w:right w:color="000000" w:sz="4" w:val="single"/>
            </w:tcBorders>
            <w:shd w:fill="FFFFFF" w:val="clear"/>
            <w:vAlign w:val="center"/>
          </w:tcPr>
          <w:p w14:paraId="3E2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3F2D0000">
            <w:pPr>
              <w:widowControl w:val="1"/>
              <w:ind/>
              <w:jc w:val="center"/>
              <w:rPr>
                <w:sz w:val="18"/>
              </w:rPr>
            </w:pPr>
            <w:r>
              <w:rPr>
                <w:sz w:val="18"/>
              </w:rPr>
              <w:t>24</w:t>
            </w:r>
          </w:p>
        </w:tc>
        <w:tc>
          <w:tcPr>
            <w:tcW w:type="dxa" w:w="991"/>
            <w:tcBorders>
              <w:top w:color="000000" w:sz="4" w:val="single"/>
              <w:left w:color="000000" w:sz="4" w:val="single"/>
              <w:bottom w:color="000000" w:sz="4" w:val="single"/>
              <w:right w:color="000000" w:sz="4" w:val="single"/>
            </w:tcBorders>
            <w:shd w:fill="FFFFFF" w:val="clear"/>
            <w:vAlign w:val="center"/>
          </w:tcPr>
          <w:p w14:paraId="402D0000">
            <w:pPr>
              <w:widowControl w:val="1"/>
              <w:ind/>
              <w:jc w:val="center"/>
              <w:rPr>
                <w:color w:val="000000"/>
                <w:sz w:val="18"/>
              </w:rPr>
            </w:pPr>
            <w:r>
              <w:rPr>
                <w:color w:val="000000"/>
                <w:sz w:val="18"/>
              </w:rPr>
              <w:t>296610,17</w:t>
            </w:r>
          </w:p>
        </w:tc>
        <w:tc>
          <w:tcPr>
            <w:tcW w:type="dxa" w:w="1134"/>
            <w:tcBorders>
              <w:top w:color="000000" w:sz="4" w:val="single"/>
              <w:left w:color="000000" w:sz="4" w:val="single"/>
              <w:bottom w:color="000000" w:sz="4" w:val="single"/>
              <w:right w:color="000000" w:sz="4" w:val="single"/>
            </w:tcBorders>
            <w:shd w:fill="FFFFFF" w:val="clear"/>
            <w:vAlign w:val="center"/>
          </w:tcPr>
          <w:p w14:paraId="412D0000">
            <w:pPr>
              <w:widowControl w:val="1"/>
              <w:ind/>
              <w:jc w:val="center"/>
              <w:rPr>
                <w:sz w:val="18"/>
              </w:rPr>
            </w:pPr>
            <w:r>
              <w:rPr>
                <w:sz w:val="18"/>
              </w:rPr>
              <w:t>350000,00</w:t>
            </w:r>
          </w:p>
        </w:tc>
        <w:tc>
          <w:tcPr>
            <w:tcW w:type="dxa" w:w="993"/>
            <w:tcBorders>
              <w:top w:color="000000" w:sz="4" w:val="single"/>
              <w:left w:color="000000" w:sz="4" w:val="single"/>
              <w:bottom w:color="000000" w:sz="4" w:val="single"/>
              <w:right w:color="000000" w:sz="4" w:val="single"/>
            </w:tcBorders>
            <w:shd w:fill="FFFFFF" w:val="clear"/>
            <w:vAlign w:val="center"/>
          </w:tcPr>
          <w:p w14:paraId="422D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432D0000">
            <w:pPr>
              <w:widowControl w:val="1"/>
              <w:ind/>
              <w:jc w:val="center"/>
              <w:rPr>
                <w:sz w:val="18"/>
              </w:rPr>
            </w:pPr>
            <w:r>
              <w:rPr>
                <w:sz w:val="18"/>
              </w:rPr>
              <w:t>декабрь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442D0000">
            <w:pPr>
              <w:widowControl w:val="1"/>
              <w:ind/>
              <w:jc w:val="center"/>
              <w:rPr>
                <w:sz w:val="18"/>
              </w:rPr>
            </w:pPr>
            <w:r>
              <w:rPr>
                <w:sz w:val="18"/>
              </w:rPr>
              <w:t>31806076923</w:t>
            </w:r>
          </w:p>
        </w:tc>
        <w:tc>
          <w:tcPr>
            <w:tcW w:type="dxa" w:w="652"/>
            <w:tcBorders>
              <w:top w:color="000000" w:sz="4" w:val="single"/>
              <w:left w:color="000000" w:sz="4" w:val="single"/>
              <w:bottom w:color="000000" w:sz="4" w:val="single"/>
              <w:right w:color="000000" w:sz="4" w:val="single"/>
            </w:tcBorders>
            <w:shd w:fill="FFFFFF" w:val="clear"/>
            <w:vAlign w:val="center"/>
          </w:tcPr>
          <w:p w14:paraId="452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462D0000">
            <w:pPr>
              <w:widowControl w:val="1"/>
              <w:ind/>
              <w:jc w:val="center"/>
              <w:rPr>
                <w:sz w:val="18"/>
              </w:rPr>
            </w:pPr>
            <w:r>
              <w:rPr>
                <w:sz w:val="18"/>
              </w:rPr>
              <w:t>24</w:t>
            </w:r>
          </w:p>
        </w:tc>
        <w:tc>
          <w:tcPr>
            <w:tcW w:type="dxa" w:w="1169"/>
            <w:tcBorders>
              <w:top w:color="000000" w:sz="4" w:val="single"/>
              <w:left w:color="000000" w:sz="4" w:val="single"/>
              <w:bottom w:color="000000" w:sz="4" w:val="single"/>
              <w:right w:color="000000" w:sz="4" w:val="single"/>
            </w:tcBorders>
            <w:shd w:fill="FFFFFF" w:val="clear"/>
            <w:vAlign w:val="center"/>
          </w:tcPr>
          <w:p w14:paraId="472D0000">
            <w:pPr>
              <w:widowControl w:val="1"/>
              <w:ind/>
              <w:jc w:val="center"/>
              <w:rPr>
                <w:sz w:val="18"/>
              </w:rPr>
            </w:pPr>
            <w:r>
              <w:rPr>
                <w:sz w:val="18"/>
              </w:rPr>
              <w:t>296610,17</w:t>
            </w:r>
          </w:p>
        </w:tc>
        <w:tc>
          <w:tcPr>
            <w:tcW w:type="dxa" w:w="1185"/>
            <w:tcBorders>
              <w:top w:color="000000" w:sz="4" w:val="single"/>
              <w:left w:color="000000" w:sz="4" w:val="single"/>
              <w:bottom w:color="000000" w:sz="4" w:val="single"/>
              <w:right w:color="000000" w:sz="4" w:val="single"/>
            </w:tcBorders>
            <w:shd w:fill="FFFFFF" w:val="clear"/>
            <w:vAlign w:val="center"/>
          </w:tcPr>
          <w:p w14:paraId="482D0000">
            <w:pPr>
              <w:widowControl w:val="1"/>
              <w:ind/>
              <w:jc w:val="center"/>
              <w:rPr>
                <w:sz w:val="18"/>
              </w:rPr>
            </w:pPr>
            <w:r>
              <w:rPr>
                <w:sz w:val="18"/>
              </w:rPr>
              <w:t>350000,00</w:t>
            </w:r>
          </w:p>
        </w:tc>
        <w:tc>
          <w:tcPr>
            <w:tcW w:type="dxa" w:w="1083"/>
            <w:tcBorders>
              <w:top w:color="000000" w:sz="4" w:val="single"/>
              <w:left w:color="000000" w:sz="4" w:val="single"/>
              <w:bottom w:color="000000" w:sz="4" w:val="single"/>
              <w:right w:color="000000" w:sz="4" w:val="single"/>
            </w:tcBorders>
            <w:shd w:fill="FFFFFF" w:val="clear"/>
            <w:vAlign w:val="center"/>
          </w:tcPr>
          <w:p w14:paraId="492D0000">
            <w:pPr>
              <w:widowControl w:val="1"/>
              <w:ind/>
              <w:jc w:val="center"/>
              <w:rPr>
                <w:sz w:val="18"/>
              </w:rPr>
            </w:pPr>
            <w:r>
              <w:rPr>
                <w:sz w:val="18"/>
              </w:rPr>
              <w:t>350000,00</w:t>
            </w:r>
          </w:p>
        </w:tc>
        <w:tc>
          <w:tcPr>
            <w:tcW w:type="dxa" w:w="771"/>
            <w:tcBorders>
              <w:top w:color="000000" w:sz="4" w:val="single"/>
              <w:left w:color="000000" w:sz="4" w:val="single"/>
              <w:bottom w:color="000000" w:sz="4" w:val="single"/>
              <w:right w:color="000000" w:sz="4" w:val="single"/>
            </w:tcBorders>
            <w:shd w:fill="FFFFFF" w:val="clear"/>
            <w:vAlign w:val="center"/>
          </w:tcPr>
          <w:p w14:paraId="4A2D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4B2D0000">
            <w:pPr>
              <w:widowControl w:val="1"/>
              <w:ind/>
              <w:jc w:val="center"/>
              <w:rPr>
                <w:sz w:val="18"/>
              </w:rPr>
            </w:pPr>
            <w:r>
              <w:rPr>
                <w:sz w:val="18"/>
              </w:rPr>
              <w:t>декабрь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4C2D0000">
            <w:pPr>
              <w:widowControl w:val="1"/>
              <w:ind/>
              <w:jc w:val="center"/>
              <w:rPr>
                <w:sz w:val="18"/>
              </w:rPr>
            </w:pPr>
            <w:r>
              <w:rPr>
                <w:sz w:val="18"/>
              </w:rPr>
              <w:t>договор № 360752942 от 31.01.2018</w:t>
            </w:r>
          </w:p>
        </w:tc>
      </w:tr>
      <w:tr>
        <w:trPr>
          <w:trHeight w:hRule="atLeast" w:val="1770"/>
        </w:trPr>
        <w:tc>
          <w:tcPr>
            <w:tcW w:type="dxa" w:w="708"/>
            <w:tcBorders>
              <w:top w:color="000000" w:sz="4" w:val="single"/>
              <w:left w:color="000000" w:sz="4" w:val="single"/>
              <w:bottom w:color="000000" w:sz="4" w:val="single"/>
              <w:right w:color="000000" w:sz="4" w:val="single"/>
            </w:tcBorders>
            <w:shd w:fill="FFFFFF" w:val="clear"/>
            <w:vAlign w:val="center"/>
          </w:tcPr>
          <w:p w14:paraId="4D2D0000">
            <w:pPr>
              <w:widowControl w:val="1"/>
              <w:ind/>
              <w:jc w:val="center"/>
              <w:rPr>
                <w:color w:val="000000"/>
                <w:sz w:val="18"/>
              </w:rPr>
            </w:pPr>
            <w:r>
              <w:rPr>
                <w:color w:val="000000"/>
                <w:sz w:val="18"/>
              </w:rPr>
              <w:t>4</w:t>
            </w:r>
          </w:p>
        </w:tc>
        <w:tc>
          <w:tcPr>
            <w:tcW w:type="dxa" w:w="618"/>
            <w:tcBorders>
              <w:top w:color="000000" w:sz="4" w:val="single"/>
              <w:left w:color="000000" w:sz="4" w:val="single"/>
              <w:bottom w:color="000000" w:sz="4" w:val="single"/>
              <w:right w:color="000000" w:sz="4" w:val="single"/>
            </w:tcBorders>
            <w:shd w:fill="FFFFFF" w:val="clear"/>
            <w:vAlign w:val="center"/>
          </w:tcPr>
          <w:p w14:paraId="4E2D0000">
            <w:pPr>
              <w:widowControl w:val="1"/>
              <w:ind/>
              <w:jc w:val="center"/>
              <w:rPr>
                <w:color w:val="000000"/>
                <w:sz w:val="18"/>
              </w:rPr>
            </w:pPr>
            <w:r>
              <w:rPr>
                <w:color w:val="000000"/>
                <w:sz w:val="18"/>
              </w:rPr>
              <w:t>4</w:t>
            </w:r>
          </w:p>
        </w:tc>
        <w:tc>
          <w:tcPr>
            <w:tcW w:type="dxa" w:w="993"/>
            <w:tcBorders>
              <w:top w:color="000000" w:sz="4" w:val="single"/>
              <w:left w:color="000000" w:sz="4" w:val="single"/>
              <w:bottom w:color="000000" w:sz="4" w:val="single"/>
              <w:right w:color="000000" w:sz="4" w:val="single"/>
            </w:tcBorders>
            <w:shd w:fill="FFFFFF" w:val="clear"/>
            <w:vAlign w:val="center"/>
          </w:tcPr>
          <w:p w14:paraId="4F2D0000">
            <w:pPr>
              <w:widowControl w:val="1"/>
              <w:ind/>
              <w:jc w:val="center"/>
              <w:rPr>
                <w:color w:val="000000"/>
                <w:sz w:val="18"/>
              </w:rPr>
            </w:pPr>
            <w:r>
              <w:rPr>
                <w:color w:val="000000"/>
                <w:sz w:val="18"/>
              </w:rPr>
              <w:t>Оказание услуг по сервисно-техническому  обслуживанию систем кондиционирования</w:t>
            </w:r>
          </w:p>
        </w:tc>
        <w:tc>
          <w:tcPr>
            <w:tcW w:type="dxa" w:w="849"/>
            <w:tcBorders>
              <w:top w:color="000000" w:sz="4" w:val="single"/>
              <w:left w:color="000000" w:sz="4" w:val="single"/>
              <w:bottom w:color="000000" w:sz="4" w:val="single"/>
              <w:right w:color="000000" w:sz="4" w:val="single"/>
            </w:tcBorders>
            <w:shd w:fill="FFFFFF" w:val="clear"/>
            <w:vAlign w:val="center"/>
          </w:tcPr>
          <w:p w14:paraId="502D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512D0000">
            <w:pPr>
              <w:widowControl w:val="1"/>
              <w:ind/>
              <w:jc w:val="center"/>
              <w:rPr>
                <w:color w:val="000000"/>
                <w:sz w:val="18"/>
              </w:rPr>
            </w:pPr>
            <w:r>
              <w:rPr>
                <w:color w:val="000000"/>
                <w:sz w:val="18"/>
              </w:rPr>
              <w:t>49</w:t>
            </w:r>
          </w:p>
        </w:tc>
        <w:tc>
          <w:tcPr>
            <w:tcW w:type="dxa" w:w="991"/>
            <w:tcBorders>
              <w:top w:color="000000" w:sz="4" w:val="single"/>
              <w:left w:color="000000" w:sz="4" w:val="single"/>
              <w:bottom w:color="000000" w:sz="4" w:val="single"/>
              <w:right w:color="000000" w:sz="4" w:val="single"/>
            </w:tcBorders>
            <w:shd w:fill="FFFFFF" w:val="clear"/>
            <w:vAlign w:val="center"/>
          </w:tcPr>
          <w:p w14:paraId="522D0000">
            <w:pPr>
              <w:widowControl w:val="1"/>
              <w:ind/>
              <w:jc w:val="center"/>
              <w:rPr>
                <w:color w:val="000000"/>
                <w:sz w:val="18"/>
              </w:rPr>
            </w:pPr>
            <w:r>
              <w:rPr>
                <w:color w:val="000000"/>
                <w:sz w:val="18"/>
              </w:rPr>
              <w:t>94915,00</w:t>
            </w:r>
          </w:p>
        </w:tc>
        <w:tc>
          <w:tcPr>
            <w:tcW w:type="dxa" w:w="1134"/>
            <w:tcBorders>
              <w:top w:color="000000" w:sz="4" w:val="single"/>
              <w:left w:color="000000" w:sz="4" w:val="single"/>
              <w:bottom w:color="000000" w:sz="4" w:val="single"/>
              <w:right w:color="000000" w:sz="4" w:val="single"/>
            </w:tcBorders>
            <w:shd w:fill="FFFFFF" w:val="clear"/>
            <w:vAlign w:val="center"/>
          </w:tcPr>
          <w:p w14:paraId="532D0000">
            <w:pPr>
              <w:widowControl w:val="1"/>
              <w:ind/>
              <w:jc w:val="center"/>
              <w:rPr>
                <w:color w:val="000000"/>
                <w:sz w:val="18"/>
              </w:rPr>
            </w:pPr>
            <w:r>
              <w:rPr>
                <w:color w:val="000000"/>
                <w:sz w:val="18"/>
              </w:rPr>
              <w:t>112000,00</w:t>
            </w:r>
          </w:p>
        </w:tc>
        <w:tc>
          <w:tcPr>
            <w:tcW w:type="dxa" w:w="993"/>
            <w:tcBorders>
              <w:top w:color="000000" w:sz="4" w:val="single"/>
              <w:left w:color="000000" w:sz="4" w:val="single"/>
              <w:bottom w:color="000000" w:sz="4" w:val="single"/>
              <w:right w:color="000000" w:sz="4" w:val="single"/>
            </w:tcBorders>
            <w:shd w:fill="FFFFFF" w:val="clear"/>
            <w:vAlign w:val="center"/>
          </w:tcPr>
          <w:p w14:paraId="542D0000">
            <w:pPr>
              <w:widowControl w:val="1"/>
              <w:ind/>
              <w:jc w:val="center"/>
              <w:rPr>
                <w:color w:val="000000"/>
                <w:sz w:val="18"/>
              </w:rPr>
            </w:pPr>
            <w:r>
              <w:rPr>
                <w:color w:val="000000"/>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552D0000">
            <w:pPr>
              <w:widowControl w:val="1"/>
              <w:ind/>
              <w:jc w:val="center"/>
              <w:rPr>
                <w:color w:val="000000"/>
                <w:sz w:val="18"/>
              </w:rPr>
            </w:pPr>
            <w:r>
              <w:rPr>
                <w:color w:val="000000"/>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562D0000">
            <w:pPr>
              <w:widowControl w:val="1"/>
              <w:ind/>
              <w:jc w:val="center"/>
              <w:rPr>
                <w:sz w:val="18"/>
              </w:rPr>
            </w:pPr>
            <w:r>
              <w:rPr>
                <w:sz w:val="18"/>
              </w:rPr>
              <w:t>31806284776</w:t>
            </w:r>
          </w:p>
        </w:tc>
        <w:tc>
          <w:tcPr>
            <w:tcW w:type="dxa" w:w="652"/>
            <w:tcBorders>
              <w:top w:color="000000" w:sz="4" w:val="single"/>
              <w:left w:color="000000" w:sz="4" w:val="single"/>
              <w:bottom w:color="000000" w:sz="4" w:val="single"/>
              <w:right w:color="000000" w:sz="4" w:val="single"/>
            </w:tcBorders>
            <w:shd w:fill="FFFFFF" w:val="clear"/>
            <w:vAlign w:val="center"/>
          </w:tcPr>
          <w:p w14:paraId="572D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582D0000">
            <w:pPr>
              <w:widowControl w:val="1"/>
              <w:ind/>
              <w:jc w:val="center"/>
              <w:rPr>
                <w:color w:val="000000"/>
                <w:sz w:val="18"/>
              </w:rPr>
            </w:pPr>
            <w:r>
              <w:rPr>
                <w:color w:val="000000"/>
                <w:sz w:val="18"/>
              </w:rPr>
              <w:t>49</w:t>
            </w:r>
          </w:p>
        </w:tc>
        <w:tc>
          <w:tcPr>
            <w:tcW w:type="dxa" w:w="1169"/>
            <w:tcBorders>
              <w:top w:color="000000" w:sz="4" w:val="single"/>
              <w:left w:color="000000" w:sz="4" w:val="single"/>
              <w:bottom w:color="000000" w:sz="4" w:val="single"/>
              <w:right w:color="000000" w:sz="4" w:val="single"/>
            </w:tcBorders>
            <w:shd w:fill="FFFFFF" w:val="clear"/>
            <w:vAlign w:val="center"/>
          </w:tcPr>
          <w:p w14:paraId="592D0000">
            <w:pPr>
              <w:widowControl w:val="1"/>
              <w:ind/>
              <w:jc w:val="center"/>
              <w:rPr>
                <w:sz w:val="18"/>
              </w:rPr>
            </w:pPr>
            <w:r>
              <w:rPr>
                <w:sz w:val="18"/>
              </w:rPr>
              <w:t>115060,00</w:t>
            </w:r>
          </w:p>
        </w:tc>
        <w:tc>
          <w:tcPr>
            <w:tcW w:type="dxa" w:w="1185"/>
            <w:tcBorders>
              <w:top w:color="000000" w:sz="4" w:val="single"/>
              <w:left w:color="000000" w:sz="4" w:val="single"/>
              <w:bottom w:color="000000" w:sz="4" w:val="single"/>
              <w:right w:color="000000" w:sz="4" w:val="single"/>
            </w:tcBorders>
            <w:shd w:fill="FFFFFF" w:val="clear"/>
            <w:vAlign w:val="center"/>
          </w:tcPr>
          <w:p w14:paraId="5A2D0000">
            <w:pPr>
              <w:widowControl w:val="1"/>
              <w:ind/>
              <w:jc w:val="center"/>
              <w:rPr>
                <w:sz w:val="18"/>
              </w:rPr>
            </w:pPr>
            <w:r>
              <w:rPr>
                <w:sz w:val="18"/>
              </w:rPr>
              <w:t>115060,00</w:t>
            </w:r>
          </w:p>
        </w:tc>
        <w:tc>
          <w:tcPr>
            <w:tcW w:type="dxa" w:w="1083"/>
            <w:tcBorders>
              <w:top w:color="000000" w:sz="4" w:val="single"/>
              <w:left w:color="000000" w:sz="4" w:val="single"/>
              <w:bottom w:color="000000" w:sz="4" w:val="single"/>
              <w:right w:color="000000" w:sz="4" w:val="single"/>
            </w:tcBorders>
            <w:shd w:fill="FFFFFF" w:val="clear"/>
            <w:vAlign w:val="center"/>
          </w:tcPr>
          <w:p w14:paraId="5B2D0000">
            <w:pPr>
              <w:widowControl w:val="1"/>
              <w:ind/>
              <w:jc w:val="center"/>
              <w:rPr>
                <w:sz w:val="18"/>
              </w:rPr>
            </w:pPr>
            <w:r>
              <w:rPr>
                <w:sz w:val="18"/>
              </w:rPr>
              <w:t>115060,00</w:t>
            </w:r>
          </w:p>
        </w:tc>
        <w:tc>
          <w:tcPr>
            <w:tcW w:type="dxa" w:w="771"/>
            <w:tcBorders>
              <w:top w:color="000000" w:sz="4" w:val="single"/>
              <w:left w:color="000000" w:sz="4" w:val="single"/>
              <w:bottom w:color="000000" w:sz="4" w:val="single"/>
              <w:right w:color="000000" w:sz="4" w:val="single"/>
            </w:tcBorders>
            <w:shd w:fill="FFFFFF" w:val="clear"/>
            <w:vAlign w:val="center"/>
          </w:tcPr>
          <w:p w14:paraId="5C2D0000">
            <w:pPr>
              <w:widowControl w:val="1"/>
              <w:ind/>
              <w:jc w:val="center"/>
              <w:rPr>
                <w:color w:val="000000"/>
                <w:sz w:val="18"/>
              </w:rPr>
            </w:pPr>
            <w:r>
              <w:rPr>
                <w:color w:val="000000"/>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D2D0000">
            <w:pPr>
              <w:widowControl w:val="1"/>
              <w:ind/>
              <w:jc w:val="center"/>
              <w:rPr>
                <w:color w:val="000000"/>
                <w:sz w:val="18"/>
              </w:rPr>
            </w:pPr>
            <w:r>
              <w:rPr>
                <w:color w:val="000000"/>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5E2D0000">
            <w:pPr>
              <w:widowControl w:val="1"/>
              <w:ind/>
              <w:jc w:val="center"/>
              <w:rPr>
                <w:sz w:val="18"/>
              </w:rPr>
            </w:pPr>
            <w:r>
              <w:rPr>
                <w:sz w:val="18"/>
              </w:rPr>
              <w:t>договор № 54 от 26.03.2018</w:t>
            </w:r>
          </w:p>
        </w:tc>
      </w:tr>
      <w:tr>
        <w:trPr>
          <w:trHeight w:hRule="atLeast" w:val="1605"/>
        </w:trPr>
        <w:tc>
          <w:tcPr>
            <w:tcW w:type="dxa" w:w="708"/>
            <w:tcBorders>
              <w:top w:color="000000" w:sz="4" w:val="single"/>
              <w:left w:color="000000" w:sz="4" w:val="single"/>
              <w:bottom w:color="000000" w:sz="4" w:val="single"/>
              <w:right w:color="000000" w:sz="4" w:val="single"/>
            </w:tcBorders>
            <w:shd w:fill="FFFFFF" w:val="clear"/>
            <w:vAlign w:val="center"/>
          </w:tcPr>
          <w:p w14:paraId="5F2D0000">
            <w:pPr>
              <w:widowControl w:val="1"/>
              <w:ind/>
              <w:jc w:val="center"/>
              <w:rPr>
                <w:color w:val="000000"/>
                <w:sz w:val="18"/>
              </w:rPr>
            </w:pPr>
            <w:r>
              <w:rPr>
                <w:color w:val="000000"/>
                <w:sz w:val="18"/>
              </w:rPr>
              <w:t>5</w:t>
            </w:r>
          </w:p>
        </w:tc>
        <w:tc>
          <w:tcPr>
            <w:tcW w:type="dxa" w:w="618"/>
            <w:tcBorders>
              <w:top w:color="000000" w:sz="4" w:val="single"/>
              <w:left w:color="000000" w:sz="4" w:val="single"/>
              <w:bottom w:color="000000" w:sz="4" w:val="single"/>
              <w:right w:color="000000" w:sz="4" w:val="single"/>
            </w:tcBorders>
            <w:shd w:fill="FFFFFF" w:val="clear"/>
            <w:vAlign w:val="center"/>
          </w:tcPr>
          <w:p w14:paraId="602D0000">
            <w:pPr>
              <w:widowControl w:val="1"/>
              <w:ind/>
              <w:jc w:val="center"/>
              <w:rPr>
                <w:sz w:val="18"/>
              </w:rPr>
            </w:pPr>
            <w:r>
              <w:rPr>
                <w:sz w:val="18"/>
              </w:rPr>
              <w:t>6</w:t>
            </w:r>
          </w:p>
        </w:tc>
        <w:tc>
          <w:tcPr>
            <w:tcW w:type="dxa" w:w="993"/>
            <w:tcBorders>
              <w:top w:color="000000" w:sz="4" w:val="single"/>
              <w:left w:color="000000" w:sz="4" w:val="single"/>
              <w:bottom w:color="000000" w:sz="4" w:val="single"/>
              <w:right w:color="000000" w:sz="4" w:val="single"/>
            </w:tcBorders>
            <w:shd w:fill="FFFFFF" w:val="clear"/>
            <w:vAlign w:val="center"/>
          </w:tcPr>
          <w:p w14:paraId="612D0000">
            <w:pPr>
              <w:widowControl w:val="1"/>
              <w:ind/>
              <w:jc w:val="center"/>
              <w:rPr>
                <w:sz w:val="18"/>
              </w:rPr>
            </w:pPr>
            <w:r>
              <w:rPr>
                <w:sz w:val="18"/>
              </w:rPr>
              <w:t>Поставка печатной продукции (газета "Комсомольская правда)</w:t>
            </w:r>
          </w:p>
        </w:tc>
        <w:tc>
          <w:tcPr>
            <w:tcW w:type="dxa" w:w="849"/>
            <w:tcBorders>
              <w:top w:color="000000" w:sz="4" w:val="single"/>
              <w:left w:color="000000" w:sz="4" w:val="single"/>
              <w:bottom w:color="000000" w:sz="4" w:val="single"/>
              <w:right w:color="000000" w:sz="4" w:val="single"/>
            </w:tcBorders>
            <w:shd w:fill="FFFFFF" w:val="clear"/>
            <w:vAlign w:val="center"/>
          </w:tcPr>
          <w:p w14:paraId="622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632D0000">
            <w:pPr>
              <w:widowControl w:val="1"/>
              <w:ind/>
              <w:jc w:val="center"/>
              <w:rPr>
                <w:sz w:val="18"/>
              </w:rPr>
            </w:pPr>
            <w:r>
              <w:rPr>
                <w:sz w:val="18"/>
              </w:rPr>
              <w:t>15600</w:t>
            </w:r>
          </w:p>
        </w:tc>
        <w:tc>
          <w:tcPr>
            <w:tcW w:type="dxa" w:w="991"/>
            <w:tcBorders>
              <w:top w:color="000000" w:sz="4" w:val="single"/>
              <w:left w:color="000000" w:sz="4" w:val="single"/>
              <w:bottom w:color="000000" w:sz="4" w:val="single"/>
              <w:right w:color="000000" w:sz="4" w:val="single"/>
            </w:tcBorders>
            <w:shd w:fill="FFFFFF" w:val="clear"/>
            <w:vAlign w:val="center"/>
          </w:tcPr>
          <w:p w14:paraId="642D0000">
            <w:pPr>
              <w:widowControl w:val="1"/>
              <w:ind/>
              <w:jc w:val="center"/>
              <w:rPr>
                <w:sz w:val="18"/>
              </w:rPr>
            </w:pPr>
            <w:r>
              <w:rPr>
                <w:sz w:val="18"/>
              </w:rPr>
              <w:t>210545,00</w:t>
            </w:r>
          </w:p>
        </w:tc>
        <w:tc>
          <w:tcPr>
            <w:tcW w:type="dxa" w:w="1134"/>
            <w:tcBorders>
              <w:top w:color="000000" w:sz="4" w:val="single"/>
              <w:left w:color="000000" w:sz="4" w:val="single"/>
              <w:bottom w:color="000000" w:sz="4" w:val="single"/>
              <w:right w:color="000000" w:sz="4" w:val="single"/>
            </w:tcBorders>
            <w:shd w:fill="FFFFFF" w:val="clear"/>
            <w:vAlign w:val="center"/>
          </w:tcPr>
          <w:p w14:paraId="652D0000">
            <w:pPr>
              <w:widowControl w:val="1"/>
              <w:ind/>
              <w:jc w:val="center"/>
              <w:rPr>
                <w:sz w:val="18"/>
              </w:rPr>
            </w:pPr>
            <w:r>
              <w:rPr>
                <w:sz w:val="18"/>
              </w:rPr>
              <w:t>231600,00</w:t>
            </w:r>
          </w:p>
        </w:tc>
        <w:tc>
          <w:tcPr>
            <w:tcW w:type="dxa" w:w="993"/>
            <w:tcBorders>
              <w:top w:color="000000" w:sz="4" w:val="single"/>
              <w:left w:color="000000" w:sz="4" w:val="single"/>
              <w:bottom w:color="000000" w:sz="4" w:val="single"/>
              <w:right w:color="000000" w:sz="4" w:val="single"/>
            </w:tcBorders>
            <w:shd w:fill="FFFFFF" w:val="clear"/>
            <w:vAlign w:val="center"/>
          </w:tcPr>
          <w:p w14:paraId="662D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672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682D0000">
            <w:pPr>
              <w:widowControl w:val="1"/>
              <w:ind/>
              <w:jc w:val="center"/>
              <w:rPr>
                <w:sz w:val="18"/>
              </w:rPr>
            </w:pPr>
            <w:r>
              <w:rPr>
                <w:sz w:val="18"/>
              </w:rPr>
              <w:t>31805989155</w:t>
            </w:r>
          </w:p>
        </w:tc>
        <w:tc>
          <w:tcPr>
            <w:tcW w:type="dxa" w:w="652"/>
            <w:tcBorders>
              <w:top w:color="000000" w:sz="4" w:val="single"/>
              <w:left w:color="000000" w:sz="4" w:val="single"/>
              <w:bottom w:color="000000" w:sz="4" w:val="single"/>
              <w:right w:color="000000" w:sz="4" w:val="single"/>
            </w:tcBorders>
            <w:shd w:fill="FFFFFF" w:val="clear"/>
            <w:vAlign w:val="center"/>
          </w:tcPr>
          <w:p w14:paraId="692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6A2D0000">
            <w:pPr>
              <w:widowControl w:val="1"/>
              <w:ind/>
              <w:jc w:val="center"/>
              <w:rPr>
                <w:sz w:val="18"/>
              </w:rPr>
            </w:pPr>
            <w:r>
              <w:rPr>
                <w:sz w:val="18"/>
              </w:rPr>
              <w:t>15600</w:t>
            </w:r>
          </w:p>
        </w:tc>
        <w:tc>
          <w:tcPr>
            <w:tcW w:type="dxa" w:w="1169"/>
            <w:tcBorders>
              <w:top w:color="000000" w:sz="4" w:val="single"/>
              <w:left w:color="000000" w:sz="4" w:val="single"/>
              <w:bottom w:color="000000" w:sz="4" w:val="single"/>
              <w:right w:color="000000" w:sz="4" w:val="single"/>
            </w:tcBorders>
            <w:shd w:fill="FFFFFF" w:val="clear"/>
            <w:vAlign w:val="center"/>
          </w:tcPr>
          <w:p w14:paraId="6B2D0000">
            <w:pPr>
              <w:widowControl w:val="1"/>
              <w:ind/>
              <w:jc w:val="center"/>
              <w:rPr>
                <w:sz w:val="18"/>
              </w:rPr>
            </w:pPr>
            <w:r>
              <w:rPr>
                <w:sz w:val="18"/>
              </w:rPr>
              <w:t>210600,00</w:t>
            </w:r>
          </w:p>
        </w:tc>
        <w:tc>
          <w:tcPr>
            <w:tcW w:type="dxa" w:w="1185"/>
            <w:tcBorders>
              <w:top w:color="000000" w:sz="4" w:val="single"/>
              <w:left w:color="000000" w:sz="4" w:val="single"/>
              <w:bottom w:color="000000" w:sz="4" w:val="single"/>
              <w:right w:color="000000" w:sz="4" w:val="single"/>
            </w:tcBorders>
            <w:shd w:fill="FFFFFF" w:val="clear"/>
            <w:vAlign w:val="center"/>
          </w:tcPr>
          <w:p w14:paraId="6C2D0000">
            <w:pPr>
              <w:widowControl w:val="1"/>
              <w:ind/>
              <w:jc w:val="center"/>
              <w:rPr>
                <w:sz w:val="18"/>
              </w:rPr>
            </w:pPr>
            <w:r>
              <w:rPr>
                <w:sz w:val="18"/>
              </w:rPr>
              <w:t>231660,00</w:t>
            </w:r>
          </w:p>
        </w:tc>
        <w:tc>
          <w:tcPr>
            <w:tcW w:type="dxa" w:w="1083"/>
            <w:tcBorders>
              <w:top w:color="000000" w:sz="4" w:val="single"/>
              <w:left w:color="000000" w:sz="4" w:val="single"/>
              <w:bottom w:color="000000" w:sz="4" w:val="single"/>
              <w:right w:color="000000" w:sz="4" w:val="single"/>
            </w:tcBorders>
            <w:shd w:fill="FFFFFF" w:val="clear"/>
            <w:vAlign w:val="center"/>
          </w:tcPr>
          <w:p w14:paraId="6D2D0000">
            <w:pPr>
              <w:widowControl w:val="1"/>
              <w:ind/>
              <w:jc w:val="center"/>
              <w:rPr>
                <w:sz w:val="18"/>
              </w:rPr>
            </w:pPr>
            <w:r>
              <w:rPr>
                <w:sz w:val="18"/>
              </w:rPr>
              <w:t>231660,00</w:t>
            </w:r>
          </w:p>
        </w:tc>
        <w:tc>
          <w:tcPr>
            <w:tcW w:type="dxa" w:w="771"/>
            <w:tcBorders>
              <w:top w:color="000000" w:sz="4" w:val="single"/>
              <w:left w:color="000000" w:sz="4" w:val="single"/>
              <w:bottom w:color="000000" w:sz="4" w:val="single"/>
              <w:right w:color="000000" w:sz="4" w:val="single"/>
            </w:tcBorders>
            <w:shd w:fill="FFFFFF" w:val="clear"/>
            <w:vAlign w:val="center"/>
          </w:tcPr>
          <w:p w14:paraId="6E2D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6F2D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702D0000">
            <w:pPr>
              <w:widowControl w:val="1"/>
              <w:ind/>
              <w:jc w:val="center"/>
              <w:rPr>
                <w:sz w:val="18"/>
              </w:rPr>
            </w:pPr>
            <w:r>
              <w:rPr>
                <w:sz w:val="18"/>
              </w:rPr>
              <w:t>договор № 1 от 09.01.2018</w:t>
            </w:r>
          </w:p>
        </w:tc>
      </w:tr>
      <w:tr>
        <w:trPr>
          <w:trHeight w:hRule="atLeast" w:val="2805"/>
        </w:trPr>
        <w:tc>
          <w:tcPr>
            <w:tcW w:type="dxa" w:w="708"/>
            <w:tcBorders>
              <w:top w:color="000000" w:sz="4" w:val="single"/>
              <w:left w:color="000000" w:sz="4" w:val="single"/>
              <w:bottom w:color="000000" w:sz="4" w:val="single"/>
              <w:right w:color="000000" w:sz="4" w:val="single"/>
            </w:tcBorders>
            <w:shd w:fill="FFFFFF" w:val="clear"/>
            <w:vAlign w:val="center"/>
          </w:tcPr>
          <w:p w14:paraId="712D0000">
            <w:pPr>
              <w:widowControl w:val="1"/>
              <w:ind/>
              <w:jc w:val="center"/>
              <w:rPr>
                <w:color w:val="000000"/>
                <w:sz w:val="18"/>
              </w:rPr>
            </w:pPr>
            <w:r>
              <w:rPr>
                <w:color w:val="000000"/>
                <w:sz w:val="18"/>
              </w:rPr>
              <w:t>6</w:t>
            </w:r>
          </w:p>
        </w:tc>
        <w:tc>
          <w:tcPr>
            <w:tcW w:type="dxa" w:w="618"/>
            <w:tcBorders>
              <w:top w:color="000000" w:sz="4" w:val="single"/>
              <w:left w:color="000000" w:sz="4" w:val="single"/>
              <w:bottom w:color="000000" w:sz="4" w:val="single"/>
              <w:right w:color="000000" w:sz="4" w:val="single"/>
            </w:tcBorders>
            <w:shd w:fill="FFFFFF" w:val="clear"/>
            <w:vAlign w:val="center"/>
          </w:tcPr>
          <w:p w14:paraId="722D0000">
            <w:pPr>
              <w:widowControl w:val="1"/>
              <w:ind/>
              <w:jc w:val="center"/>
              <w:rPr>
                <w:sz w:val="18"/>
              </w:rPr>
            </w:pPr>
            <w:r>
              <w:rPr>
                <w:sz w:val="18"/>
              </w:rPr>
              <w:t>7</w:t>
            </w:r>
          </w:p>
        </w:tc>
        <w:tc>
          <w:tcPr>
            <w:tcW w:type="dxa" w:w="993"/>
            <w:tcBorders>
              <w:top w:color="000000" w:sz="4" w:val="single"/>
              <w:left w:color="000000" w:sz="4" w:val="single"/>
              <w:bottom w:color="000000" w:sz="4" w:val="single"/>
              <w:right w:color="000000" w:sz="4" w:val="single"/>
            </w:tcBorders>
            <w:shd w:fill="FFFFFF" w:val="clear"/>
            <w:vAlign w:val="center"/>
          </w:tcPr>
          <w:p w14:paraId="732D0000">
            <w:pPr>
              <w:widowControl w:val="1"/>
              <w:ind/>
              <w:jc w:val="center"/>
              <w:rPr>
                <w:sz w:val="18"/>
              </w:rPr>
            </w:pPr>
            <w:r>
              <w:rPr>
                <w:sz w:val="18"/>
              </w:rPr>
              <w:t>Оказание услуг по оформлению железнодорожных проездных документов на поезда принадлежности пригородной пассажирской компании</w:t>
            </w:r>
          </w:p>
        </w:tc>
        <w:tc>
          <w:tcPr>
            <w:tcW w:type="dxa" w:w="849"/>
            <w:tcBorders>
              <w:top w:color="000000" w:sz="4" w:val="single"/>
              <w:left w:color="000000" w:sz="4" w:val="single"/>
              <w:bottom w:color="000000" w:sz="4" w:val="single"/>
              <w:right w:color="000000" w:sz="4" w:val="single"/>
            </w:tcBorders>
            <w:shd w:fill="FFFFFF" w:val="clear"/>
            <w:vAlign w:val="center"/>
          </w:tcPr>
          <w:p w14:paraId="742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752D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762D0000">
            <w:pPr>
              <w:widowControl w:val="1"/>
              <w:ind/>
              <w:jc w:val="center"/>
              <w:rPr>
                <w:sz w:val="18"/>
              </w:rPr>
            </w:pPr>
            <w:r>
              <w:rPr>
                <w:sz w:val="18"/>
              </w:rPr>
              <w:t>358135,60</w:t>
            </w:r>
          </w:p>
        </w:tc>
        <w:tc>
          <w:tcPr>
            <w:tcW w:type="dxa" w:w="1134"/>
            <w:tcBorders>
              <w:top w:color="000000" w:sz="4" w:val="single"/>
              <w:left w:color="000000" w:sz="4" w:val="single"/>
              <w:bottom w:color="000000" w:sz="4" w:val="single"/>
              <w:right w:color="000000" w:sz="4" w:val="single"/>
            </w:tcBorders>
            <w:shd w:fill="FFFFFF" w:val="clear"/>
            <w:vAlign w:val="center"/>
          </w:tcPr>
          <w:p w14:paraId="772D0000">
            <w:pPr>
              <w:widowControl w:val="1"/>
              <w:ind/>
              <w:jc w:val="center"/>
              <w:rPr>
                <w:sz w:val="18"/>
              </w:rPr>
            </w:pPr>
            <w:r>
              <w:rPr>
                <w:sz w:val="18"/>
              </w:rPr>
              <w:t>422600,00</w:t>
            </w:r>
          </w:p>
        </w:tc>
        <w:tc>
          <w:tcPr>
            <w:tcW w:type="dxa" w:w="993"/>
            <w:tcBorders>
              <w:top w:color="000000" w:sz="4" w:val="single"/>
              <w:left w:color="000000" w:sz="4" w:val="single"/>
              <w:bottom w:color="000000" w:sz="4" w:val="single"/>
              <w:right w:color="000000" w:sz="4" w:val="single"/>
            </w:tcBorders>
            <w:shd w:fill="FFFFFF" w:val="clear"/>
            <w:vAlign w:val="center"/>
          </w:tcPr>
          <w:p w14:paraId="782D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792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7A2D0000">
            <w:pPr>
              <w:widowControl w:val="1"/>
              <w:ind/>
              <w:jc w:val="center"/>
              <w:rPr>
                <w:sz w:val="18"/>
              </w:rPr>
            </w:pPr>
            <w:r>
              <w:rPr>
                <w:sz w:val="18"/>
              </w:rPr>
              <w:t>31806067928</w:t>
            </w:r>
          </w:p>
        </w:tc>
        <w:tc>
          <w:tcPr>
            <w:tcW w:type="dxa" w:w="652"/>
            <w:tcBorders>
              <w:top w:color="000000" w:sz="4" w:val="single"/>
              <w:left w:color="000000" w:sz="4" w:val="single"/>
              <w:bottom w:color="000000" w:sz="4" w:val="single"/>
              <w:right w:color="000000" w:sz="4" w:val="single"/>
            </w:tcBorders>
            <w:shd w:fill="FFFFFF" w:val="clear"/>
            <w:vAlign w:val="center"/>
          </w:tcPr>
          <w:p w14:paraId="7B2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7C2D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7D2D0000">
            <w:pPr>
              <w:widowControl w:val="1"/>
              <w:ind/>
              <w:jc w:val="center"/>
              <w:rPr>
                <w:sz w:val="18"/>
              </w:rPr>
            </w:pPr>
            <w:r>
              <w:rPr>
                <w:sz w:val="18"/>
              </w:rPr>
              <w:t>372433,90</w:t>
            </w:r>
          </w:p>
        </w:tc>
        <w:tc>
          <w:tcPr>
            <w:tcW w:type="dxa" w:w="1185"/>
            <w:tcBorders>
              <w:top w:color="000000" w:sz="4" w:val="single"/>
              <w:left w:color="000000" w:sz="4" w:val="single"/>
              <w:bottom w:color="000000" w:sz="4" w:val="single"/>
              <w:right w:color="000000" w:sz="4" w:val="single"/>
            </w:tcBorders>
            <w:shd w:fill="FFFFFF" w:val="clear"/>
            <w:vAlign w:val="center"/>
          </w:tcPr>
          <w:p w14:paraId="7E2D0000">
            <w:pPr>
              <w:widowControl w:val="1"/>
              <w:ind/>
              <w:jc w:val="center"/>
              <w:rPr>
                <w:sz w:val="18"/>
              </w:rPr>
            </w:pPr>
            <w:r>
              <w:rPr>
                <w:sz w:val="18"/>
              </w:rPr>
              <w:t>439472,00</w:t>
            </w:r>
          </w:p>
        </w:tc>
        <w:tc>
          <w:tcPr>
            <w:tcW w:type="dxa" w:w="1083"/>
            <w:tcBorders>
              <w:top w:color="000000" w:sz="4" w:val="single"/>
              <w:left w:color="000000" w:sz="4" w:val="single"/>
              <w:bottom w:color="000000" w:sz="4" w:val="single"/>
              <w:right w:color="000000" w:sz="4" w:val="single"/>
            </w:tcBorders>
            <w:shd w:fill="FFFFFF" w:val="clear"/>
            <w:vAlign w:val="center"/>
          </w:tcPr>
          <w:p w14:paraId="7F2D0000">
            <w:pPr>
              <w:widowControl w:val="1"/>
              <w:ind/>
              <w:jc w:val="center"/>
              <w:rPr>
                <w:sz w:val="18"/>
              </w:rPr>
            </w:pPr>
            <w:r>
              <w:rPr>
                <w:sz w:val="18"/>
              </w:rPr>
              <w:t>439472,00</w:t>
            </w:r>
          </w:p>
        </w:tc>
        <w:tc>
          <w:tcPr>
            <w:tcW w:type="dxa" w:w="771"/>
            <w:tcBorders>
              <w:top w:color="000000" w:sz="4" w:val="single"/>
              <w:left w:color="000000" w:sz="4" w:val="single"/>
              <w:bottom w:color="000000" w:sz="4" w:val="single"/>
              <w:right w:color="000000" w:sz="4" w:val="single"/>
            </w:tcBorders>
            <w:shd w:fill="FFFFFF" w:val="clear"/>
            <w:vAlign w:val="center"/>
          </w:tcPr>
          <w:p w14:paraId="802D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812D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822D0000">
            <w:pPr>
              <w:widowControl w:val="1"/>
              <w:ind/>
              <w:jc w:val="center"/>
              <w:rPr>
                <w:sz w:val="18"/>
              </w:rPr>
            </w:pPr>
            <w:r>
              <w:rPr>
                <w:sz w:val="18"/>
              </w:rPr>
              <w:t>агентский договор № 12 от 30.01.2018</w:t>
            </w:r>
          </w:p>
        </w:tc>
      </w:tr>
      <w:tr>
        <w:trPr>
          <w:trHeight w:hRule="atLeast" w:val="510"/>
        </w:trPr>
        <w:tc>
          <w:tcPr>
            <w:tcW w:type="dxa" w:w="708"/>
            <w:tcBorders>
              <w:top w:color="000000" w:sz="4" w:val="single"/>
              <w:left w:color="000000" w:sz="4" w:val="single"/>
              <w:bottom w:color="000000" w:sz="4" w:val="single"/>
              <w:right w:color="000000" w:sz="4" w:val="single"/>
            </w:tcBorders>
            <w:shd w:fill="FFFFFF" w:val="clear"/>
            <w:vAlign w:val="center"/>
          </w:tcPr>
          <w:p w14:paraId="832D0000">
            <w:pPr>
              <w:widowControl w:val="1"/>
              <w:ind/>
              <w:jc w:val="center"/>
              <w:rPr>
                <w:color w:val="000000"/>
                <w:sz w:val="18"/>
              </w:rPr>
            </w:pPr>
            <w:r>
              <w:rPr>
                <w:color w:val="000000"/>
                <w:sz w:val="18"/>
              </w:rPr>
              <w:t>7</w:t>
            </w:r>
          </w:p>
        </w:tc>
        <w:tc>
          <w:tcPr>
            <w:tcW w:type="dxa" w:w="618"/>
            <w:tcBorders>
              <w:top w:color="000000" w:sz="4" w:val="single"/>
              <w:left w:color="000000" w:sz="4" w:val="single"/>
              <w:bottom w:color="000000" w:sz="4" w:val="single"/>
              <w:right w:color="000000" w:sz="4" w:val="single"/>
            </w:tcBorders>
            <w:shd w:fill="FFFFFF" w:val="clear"/>
            <w:vAlign w:val="center"/>
          </w:tcPr>
          <w:p w14:paraId="842D0000">
            <w:pPr>
              <w:widowControl w:val="1"/>
              <w:ind/>
              <w:jc w:val="center"/>
              <w:rPr>
                <w:color w:val="000000"/>
                <w:sz w:val="18"/>
              </w:rPr>
            </w:pPr>
            <w:r>
              <w:rPr>
                <w:color w:val="000000"/>
                <w:sz w:val="18"/>
              </w:rPr>
              <w:t>8</w:t>
            </w:r>
          </w:p>
        </w:tc>
        <w:tc>
          <w:tcPr>
            <w:tcW w:type="dxa" w:w="993"/>
            <w:tcBorders>
              <w:top w:color="000000" w:sz="4" w:val="single"/>
              <w:left w:color="000000" w:sz="4" w:val="single"/>
              <w:bottom w:color="000000" w:sz="4" w:val="single"/>
              <w:right w:color="000000" w:sz="4" w:val="single"/>
            </w:tcBorders>
            <w:shd w:fill="FFFFFF" w:val="clear"/>
            <w:vAlign w:val="center"/>
          </w:tcPr>
          <w:p w14:paraId="852D0000">
            <w:pPr>
              <w:widowControl w:val="1"/>
              <w:ind/>
              <w:jc w:val="center"/>
              <w:rPr>
                <w:color w:val="000000"/>
                <w:sz w:val="18"/>
              </w:rPr>
            </w:pPr>
            <w:r>
              <w:rPr>
                <w:color w:val="000000"/>
                <w:sz w:val="18"/>
              </w:rPr>
              <w:t>Поставка чековой ленты</w:t>
            </w:r>
          </w:p>
        </w:tc>
        <w:tc>
          <w:tcPr>
            <w:tcW w:type="dxa" w:w="849"/>
            <w:tcBorders>
              <w:top w:color="000000" w:sz="4" w:val="single"/>
              <w:left w:color="000000" w:sz="4" w:val="single"/>
              <w:bottom w:color="000000" w:sz="4" w:val="single"/>
              <w:right w:color="000000" w:sz="4" w:val="single"/>
            </w:tcBorders>
            <w:shd w:fill="FFFFFF" w:val="clear"/>
            <w:vAlign w:val="center"/>
          </w:tcPr>
          <w:p w14:paraId="862D0000">
            <w:pPr>
              <w:widowControl w:val="1"/>
              <w:ind/>
              <w:jc w:val="center"/>
              <w:rPr>
                <w:color w:val="000000"/>
                <w:sz w:val="18"/>
              </w:rPr>
            </w:pPr>
            <w:r>
              <w:rPr>
                <w:color w:val="000000"/>
                <w:sz w:val="18"/>
              </w:rPr>
              <w:t>ЗКТ</w:t>
            </w:r>
          </w:p>
        </w:tc>
        <w:tc>
          <w:tcPr>
            <w:tcW w:type="dxa" w:w="709"/>
            <w:tcBorders>
              <w:top w:color="000000" w:sz="4" w:val="single"/>
              <w:left w:color="000000" w:sz="4" w:val="single"/>
              <w:bottom w:color="000000" w:sz="4" w:val="single"/>
              <w:right w:color="000000" w:sz="4" w:val="single"/>
            </w:tcBorders>
            <w:shd w:fill="FFFFFF" w:val="clear"/>
            <w:vAlign w:val="center"/>
          </w:tcPr>
          <w:p w14:paraId="872D0000">
            <w:pPr>
              <w:widowControl w:val="1"/>
              <w:ind/>
              <w:jc w:val="center"/>
              <w:rPr>
                <w:color w:val="000000"/>
                <w:sz w:val="18"/>
              </w:rPr>
            </w:pPr>
            <w:r>
              <w:rPr>
                <w:color w:val="000000"/>
                <w:sz w:val="18"/>
              </w:rPr>
              <w:t>29000</w:t>
            </w:r>
          </w:p>
        </w:tc>
        <w:tc>
          <w:tcPr>
            <w:tcW w:type="dxa" w:w="991"/>
            <w:tcBorders>
              <w:top w:color="000000" w:sz="4" w:val="single"/>
              <w:left w:color="000000" w:sz="4" w:val="single"/>
              <w:bottom w:color="000000" w:sz="4" w:val="single"/>
              <w:right w:color="000000" w:sz="4" w:val="single"/>
            </w:tcBorders>
            <w:shd w:fill="FFFFFF" w:val="clear"/>
            <w:vAlign w:val="center"/>
          </w:tcPr>
          <w:p w14:paraId="882D0000">
            <w:pPr>
              <w:widowControl w:val="1"/>
              <w:ind/>
              <w:jc w:val="center"/>
              <w:rPr>
                <w:color w:val="000000"/>
                <w:sz w:val="18"/>
              </w:rPr>
            </w:pPr>
            <w:r>
              <w:rPr>
                <w:color w:val="000000"/>
                <w:sz w:val="18"/>
              </w:rPr>
              <w:t>422881,36</w:t>
            </w:r>
          </w:p>
        </w:tc>
        <w:tc>
          <w:tcPr>
            <w:tcW w:type="dxa" w:w="1134"/>
            <w:tcBorders>
              <w:top w:color="000000" w:sz="4" w:val="single"/>
              <w:left w:color="000000" w:sz="4" w:val="single"/>
              <w:bottom w:color="000000" w:sz="4" w:val="single"/>
              <w:right w:color="000000" w:sz="4" w:val="single"/>
            </w:tcBorders>
            <w:shd w:fill="FFFFFF" w:val="clear"/>
            <w:vAlign w:val="center"/>
          </w:tcPr>
          <w:p w14:paraId="892D0000">
            <w:pPr>
              <w:widowControl w:val="1"/>
              <w:ind/>
              <w:jc w:val="center"/>
              <w:rPr>
                <w:color w:val="000000"/>
                <w:sz w:val="18"/>
              </w:rPr>
            </w:pPr>
            <w:r>
              <w:rPr>
                <w:color w:val="000000"/>
                <w:sz w:val="18"/>
              </w:rPr>
              <w:t>499000,00</w:t>
            </w:r>
          </w:p>
        </w:tc>
        <w:tc>
          <w:tcPr>
            <w:tcW w:type="dxa" w:w="993"/>
            <w:tcBorders>
              <w:top w:color="000000" w:sz="4" w:val="single"/>
              <w:left w:color="000000" w:sz="4" w:val="single"/>
              <w:bottom w:color="000000" w:sz="4" w:val="single"/>
              <w:right w:color="000000" w:sz="4" w:val="single"/>
            </w:tcBorders>
            <w:shd w:fill="FFFFFF" w:val="clear"/>
            <w:vAlign w:val="center"/>
          </w:tcPr>
          <w:p w14:paraId="8A2D0000">
            <w:pPr>
              <w:widowControl w:val="1"/>
              <w:ind/>
              <w:jc w:val="center"/>
              <w:rPr>
                <w:color w:val="000000"/>
                <w:sz w:val="18"/>
              </w:rPr>
            </w:pPr>
            <w:r>
              <w:rPr>
                <w:color w:val="000000"/>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8B2D0000">
            <w:pPr>
              <w:widowControl w:val="1"/>
              <w:ind/>
              <w:jc w:val="center"/>
              <w:rPr>
                <w:color w:val="000000"/>
                <w:sz w:val="18"/>
              </w:rPr>
            </w:pPr>
            <w:r>
              <w:rPr>
                <w:color w:val="000000"/>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8C2D0000">
            <w:pPr>
              <w:widowControl w:val="1"/>
              <w:ind/>
              <w:jc w:val="center"/>
              <w:rPr>
                <w:sz w:val="18"/>
              </w:rPr>
            </w:pPr>
            <w:r>
              <w:rPr>
                <w:sz w:val="18"/>
              </w:rPr>
              <w:t>31806055511</w:t>
            </w:r>
          </w:p>
        </w:tc>
        <w:tc>
          <w:tcPr>
            <w:tcW w:type="dxa" w:w="652"/>
            <w:tcBorders>
              <w:top w:color="000000" w:sz="4" w:val="single"/>
              <w:left w:color="000000" w:sz="4" w:val="single"/>
              <w:bottom w:color="000000" w:sz="4" w:val="single"/>
              <w:right w:color="000000" w:sz="4" w:val="single"/>
            </w:tcBorders>
            <w:shd w:fill="FFFFFF" w:val="clear"/>
            <w:vAlign w:val="center"/>
          </w:tcPr>
          <w:p w14:paraId="8D2D0000">
            <w:pPr>
              <w:widowControl w:val="1"/>
              <w:ind/>
              <w:jc w:val="center"/>
              <w:rPr>
                <w:color w:val="000000"/>
                <w:sz w:val="18"/>
              </w:rPr>
            </w:pPr>
            <w:r>
              <w:rPr>
                <w:color w:val="000000"/>
                <w:sz w:val="18"/>
              </w:rPr>
              <w:t>ЗКТ</w:t>
            </w:r>
          </w:p>
        </w:tc>
        <w:tc>
          <w:tcPr>
            <w:tcW w:type="dxa" w:w="992"/>
            <w:tcBorders>
              <w:top w:color="000000" w:sz="4" w:val="single"/>
              <w:left w:color="000000" w:sz="4" w:val="single"/>
              <w:bottom w:color="000000" w:sz="4" w:val="single"/>
              <w:right w:color="000000" w:sz="4" w:val="single"/>
            </w:tcBorders>
            <w:shd w:fill="FFFFFF" w:val="clear"/>
            <w:vAlign w:val="center"/>
          </w:tcPr>
          <w:p w14:paraId="8E2D0000">
            <w:pPr>
              <w:widowControl w:val="1"/>
              <w:ind/>
              <w:jc w:val="center"/>
              <w:rPr>
                <w:color w:val="000000"/>
                <w:sz w:val="18"/>
              </w:rPr>
            </w:pPr>
            <w:r>
              <w:rPr>
                <w:color w:val="000000"/>
                <w:sz w:val="18"/>
              </w:rPr>
              <w:t>29000</w:t>
            </w:r>
          </w:p>
        </w:tc>
        <w:tc>
          <w:tcPr>
            <w:tcW w:type="dxa" w:w="1169"/>
            <w:tcBorders>
              <w:top w:color="000000" w:sz="4" w:val="single"/>
              <w:left w:color="000000" w:sz="4" w:val="single"/>
              <w:bottom w:color="000000" w:sz="4" w:val="single"/>
              <w:right w:color="000000" w:sz="4" w:val="single"/>
            </w:tcBorders>
            <w:shd w:fill="FFFFFF" w:val="clear"/>
            <w:vAlign w:val="center"/>
          </w:tcPr>
          <w:p w14:paraId="8F2D0000">
            <w:pPr>
              <w:widowControl w:val="1"/>
              <w:ind/>
              <w:jc w:val="center"/>
              <w:rPr>
                <w:color w:val="000000"/>
                <w:sz w:val="18"/>
              </w:rPr>
            </w:pPr>
            <w:r>
              <w:rPr>
                <w:color w:val="000000"/>
                <w:sz w:val="18"/>
              </w:rPr>
              <w:t>441380,00</w:t>
            </w:r>
          </w:p>
        </w:tc>
        <w:tc>
          <w:tcPr>
            <w:tcW w:type="dxa" w:w="1185"/>
            <w:tcBorders>
              <w:top w:color="000000" w:sz="4" w:val="single"/>
              <w:left w:color="000000" w:sz="4" w:val="single"/>
              <w:bottom w:color="000000" w:sz="4" w:val="single"/>
              <w:right w:color="000000" w:sz="4" w:val="single"/>
            </w:tcBorders>
            <w:shd w:fill="FFFFFF" w:val="clear"/>
            <w:vAlign w:val="center"/>
          </w:tcPr>
          <w:p w14:paraId="902D0000">
            <w:pPr>
              <w:widowControl w:val="1"/>
              <w:ind/>
              <w:jc w:val="center"/>
              <w:rPr>
                <w:color w:val="000000"/>
                <w:sz w:val="18"/>
              </w:rPr>
            </w:pPr>
            <w:r>
              <w:rPr>
                <w:color w:val="000000"/>
                <w:sz w:val="18"/>
              </w:rPr>
              <w:t>520840,00</w:t>
            </w:r>
          </w:p>
        </w:tc>
        <w:tc>
          <w:tcPr>
            <w:tcW w:type="dxa" w:w="1083"/>
            <w:tcBorders>
              <w:top w:color="000000" w:sz="4" w:val="single"/>
              <w:left w:color="000000" w:sz="4" w:val="single"/>
              <w:bottom w:color="000000" w:sz="4" w:val="single"/>
              <w:right w:color="000000" w:sz="4" w:val="single"/>
            </w:tcBorders>
            <w:shd w:fill="FFFFFF" w:val="clear"/>
            <w:vAlign w:val="center"/>
          </w:tcPr>
          <w:p w14:paraId="912D0000">
            <w:pPr>
              <w:widowControl w:val="1"/>
              <w:ind/>
              <w:jc w:val="center"/>
              <w:rPr>
                <w:sz w:val="18"/>
              </w:rPr>
            </w:pPr>
            <w:r>
              <w:rPr>
                <w:sz w:val="18"/>
              </w:rPr>
              <w:t>501582,00</w:t>
            </w:r>
          </w:p>
        </w:tc>
        <w:tc>
          <w:tcPr>
            <w:tcW w:type="dxa" w:w="771"/>
            <w:tcBorders>
              <w:top w:color="000000" w:sz="4" w:val="single"/>
              <w:left w:color="000000" w:sz="4" w:val="single"/>
              <w:bottom w:color="000000" w:sz="4" w:val="single"/>
              <w:right w:color="000000" w:sz="4" w:val="single"/>
            </w:tcBorders>
            <w:shd w:fill="FFFFFF" w:val="clear"/>
            <w:vAlign w:val="center"/>
          </w:tcPr>
          <w:p w14:paraId="922D0000">
            <w:pPr>
              <w:widowControl w:val="1"/>
              <w:ind/>
              <w:jc w:val="center"/>
              <w:rPr>
                <w:color w:val="000000"/>
                <w:sz w:val="18"/>
              </w:rPr>
            </w:pPr>
            <w:r>
              <w:rPr>
                <w:color w:val="000000"/>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932D0000">
            <w:pPr>
              <w:widowControl w:val="1"/>
              <w:ind/>
              <w:jc w:val="center"/>
              <w:rPr>
                <w:color w:val="000000"/>
                <w:sz w:val="18"/>
              </w:rPr>
            </w:pPr>
            <w:r>
              <w:rPr>
                <w:color w:val="000000"/>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942D0000">
            <w:pPr>
              <w:widowControl w:val="1"/>
              <w:ind/>
              <w:jc w:val="center"/>
              <w:rPr>
                <w:sz w:val="18"/>
              </w:rPr>
            </w:pPr>
            <w:r>
              <w:rPr>
                <w:sz w:val="18"/>
              </w:rPr>
              <w:t>договор № 41 от 28.02.2018</w:t>
            </w:r>
          </w:p>
        </w:tc>
      </w:tr>
      <w:tr>
        <w:trPr>
          <w:trHeight w:hRule="atLeast" w:val="510"/>
        </w:trPr>
        <w:tc>
          <w:tcPr>
            <w:tcW w:type="dxa" w:w="708"/>
            <w:tcBorders>
              <w:top w:color="000000" w:sz="4" w:val="single"/>
              <w:left w:color="000000" w:sz="4" w:val="single"/>
              <w:bottom w:color="000000" w:sz="4" w:val="single"/>
              <w:right w:color="000000" w:sz="4" w:val="single"/>
            </w:tcBorders>
            <w:shd w:fill="FFFFFF" w:val="clear"/>
            <w:vAlign w:val="center"/>
          </w:tcPr>
          <w:p w14:paraId="952D0000">
            <w:pPr>
              <w:widowControl w:val="1"/>
              <w:ind/>
              <w:jc w:val="center"/>
              <w:rPr>
                <w:color w:val="000000"/>
                <w:sz w:val="18"/>
              </w:rPr>
            </w:pPr>
            <w:r>
              <w:rPr>
                <w:color w:val="000000"/>
                <w:sz w:val="18"/>
              </w:rPr>
              <w:t>8</w:t>
            </w:r>
          </w:p>
        </w:tc>
        <w:tc>
          <w:tcPr>
            <w:tcW w:type="dxa" w:w="618"/>
            <w:tcBorders>
              <w:top w:color="000000" w:sz="4" w:val="single"/>
              <w:left w:color="000000" w:sz="4" w:val="single"/>
              <w:bottom w:color="000000" w:sz="4" w:val="single"/>
              <w:right w:color="000000" w:sz="4" w:val="single"/>
            </w:tcBorders>
            <w:shd w:fill="FFFFFF" w:val="clear"/>
            <w:vAlign w:val="center"/>
          </w:tcPr>
          <w:p w14:paraId="962D0000">
            <w:pPr>
              <w:widowControl w:val="1"/>
              <w:ind/>
              <w:jc w:val="center"/>
              <w:rPr>
                <w:sz w:val="18"/>
              </w:rPr>
            </w:pPr>
            <w:r>
              <w:rPr>
                <w:sz w:val="18"/>
              </w:rPr>
              <w:t>9</w:t>
            </w:r>
          </w:p>
        </w:tc>
        <w:tc>
          <w:tcPr>
            <w:tcW w:type="dxa" w:w="993"/>
            <w:tcBorders>
              <w:top w:color="000000" w:sz="4" w:val="single"/>
              <w:left w:color="000000" w:sz="4" w:val="single"/>
              <w:bottom w:color="000000" w:sz="4" w:val="single"/>
              <w:right w:color="000000" w:sz="4" w:val="single"/>
            </w:tcBorders>
            <w:shd w:fill="FFFFFF" w:val="clear"/>
            <w:vAlign w:val="center"/>
          </w:tcPr>
          <w:p w14:paraId="972D0000">
            <w:pPr>
              <w:widowControl w:val="1"/>
              <w:ind/>
              <w:jc w:val="center"/>
              <w:rPr>
                <w:color w:val="000000"/>
                <w:sz w:val="18"/>
              </w:rPr>
            </w:pPr>
            <w:r>
              <w:rPr>
                <w:color w:val="000000"/>
                <w:sz w:val="18"/>
              </w:rPr>
              <w:t>Поставка питьевой воды</w:t>
            </w:r>
          </w:p>
        </w:tc>
        <w:tc>
          <w:tcPr>
            <w:tcW w:type="dxa" w:w="849"/>
            <w:tcBorders>
              <w:top w:color="000000" w:sz="4" w:val="single"/>
              <w:left w:color="000000" w:sz="4" w:val="single"/>
              <w:bottom w:color="000000" w:sz="4" w:val="single"/>
              <w:right w:color="000000" w:sz="4" w:val="single"/>
            </w:tcBorders>
            <w:shd w:fill="FFFFFF" w:val="clear"/>
            <w:vAlign w:val="center"/>
          </w:tcPr>
          <w:p w14:paraId="982D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992D0000">
            <w:pPr>
              <w:widowControl w:val="1"/>
              <w:ind/>
              <w:jc w:val="center"/>
              <w:rPr>
                <w:color w:val="000000"/>
                <w:sz w:val="18"/>
              </w:rPr>
            </w:pPr>
            <w:r>
              <w:rPr>
                <w:color w:val="000000"/>
                <w:sz w:val="18"/>
              </w:rPr>
              <w:t>1032</w:t>
            </w:r>
          </w:p>
        </w:tc>
        <w:tc>
          <w:tcPr>
            <w:tcW w:type="dxa" w:w="991"/>
            <w:tcBorders>
              <w:top w:color="000000" w:sz="4" w:val="single"/>
              <w:left w:color="000000" w:sz="4" w:val="single"/>
              <w:bottom w:color="000000" w:sz="4" w:val="single"/>
              <w:right w:color="000000" w:sz="4" w:val="single"/>
            </w:tcBorders>
            <w:shd w:fill="FFFFFF" w:val="clear"/>
            <w:vAlign w:val="center"/>
          </w:tcPr>
          <w:p w14:paraId="9A2D0000">
            <w:pPr>
              <w:widowControl w:val="1"/>
              <w:ind/>
              <w:jc w:val="center"/>
              <w:rPr>
                <w:color w:val="000000"/>
                <w:sz w:val="18"/>
              </w:rPr>
            </w:pPr>
            <w:r>
              <w:rPr>
                <w:color w:val="000000"/>
                <w:sz w:val="18"/>
              </w:rPr>
              <w:t>110169,49</w:t>
            </w:r>
          </w:p>
        </w:tc>
        <w:tc>
          <w:tcPr>
            <w:tcW w:type="dxa" w:w="1134"/>
            <w:tcBorders>
              <w:top w:color="000000" w:sz="4" w:val="single"/>
              <w:left w:color="000000" w:sz="4" w:val="single"/>
              <w:bottom w:color="000000" w:sz="4" w:val="single"/>
              <w:right w:color="000000" w:sz="4" w:val="single"/>
            </w:tcBorders>
            <w:shd w:fill="FFFFFF" w:val="clear"/>
            <w:vAlign w:val="center"/>
          </w:tcPr>
          <w:p w14:paraId="9B2D0000">
            <w:pPr>
              <w:widowControl w:val="1"/>
              <w:ind/>
              <w:jc w:val="center"/>
              <w:rPr>
                <w:color w:val="000000"/>
                <w:sz w:val="18"/>
              </w:rPr>
            </w:pPr>
            <w:r>
              <w:rPr>
                <w:color w:val="000000"/>
                <w:sz w:val="18"/>
              </w:rPr>
              <w:t>130000,00</w:t>
            </w:r>
          </w:p>
        </w:tc>
        <w:tc>
          <w:tcPr>
            <w:tcW w:type="dxa" w:w="993"/>
            <w:tcBorders>
              <w:top w:color="000000" w:sz="4" w:val="single"/>
              <w:left w:color="000000" w:sz="4" w:val="single"/>
              <w:bottom w:color="000000" w:sz="4" w:val="single"/>
              <w:right w:color="000000" w:sz="4" w:val="single"/>
            </w:tcBorders>
            <w:shd w:fill="FFFFFF" w:val="clear"/>
            <w:vAlign w:val="center"/>
          </w:tcPr>
          <w:p w14:paraId="9C2D0000">
            <w:pPr>
              <w:widowControl w:val="1"/>
              <w:ind/>
              <w:jc w:val="center"/>
              <w:rPr>
                <w:color w:val="000000"/>
                <w:sz w:val="18"/>
              </w:rPr>
            </w:pPr>
            <w:r>
              <w:rPr>
                <w:color w:val="000000"/>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D2D0000">
            <w:pPr>
              <w:widowControl w:val="1"/>
              <w:ind/>
              <w:jc w:val="center"/>
              <w:rPr>
                <w:color w:val="000000"/>
                <w:sz w:val="18"/>
              </w:rPr>
            </w:pPr>
            <w:r>
              <w:rPr>
                <w:color w:val="000000"/>
                <w:sz w:val="18"/>
              </w:rPr>
              <w:t>декабрь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9E2D0000">
            <w:pPr>
              <w:widowControl w:val="1"/>
              <w:ind/>
              <w:jc w:val="center"/>
              <w:rPr>
                <w:sz w:val="18"/>
              </w:rPr>
            </w:pPr>
            <w:r>
              <w:rPr>
                <w:sz w:val="18"/>
              </w:rPr>
              <w:t>31806038262</w:t>
            </w:r>
          </w:p>
        </w:tc>
        <w:tc>
          <w:tcPr>
            <w:tcW w:type="dxa" w:w="652"/>
            <w:tcBorders>
              <w:top w:color="000000" w:sz="4" w:val="single"/>
              <w:left w:color="000000" w:sz="4" w:val="single"/>
              <w:bottom w:color="000000" w:sz="4" w:val="single"/>
              <w:right w:color="000000" w:sz="4" w:val="single"/>
            </w:tcBorders>
            <w:shd w:fill="FFFFFF" w:val="clear"/>
            <w:vAlign w:val="center"/>
          </w:tcPr>
          <w:p w14:paraId="9F2D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A02D0000">
            <w:pPr>
              <w:widowControl w:val="1"/>
              <w:ind/>
              <w:jc w:val="center"/>
              <w:rPr>
                <w:color w:val="000000"/>
                <w:sz w:val="18"/>
              </w:rPr>
            </w:pPr>
            <w:r>
              <w:rPr>
                <w:color w:val="000000"/>
                <w:sz w:val="18"/>
              </w:rPr>
              <w:t>1032</w:t>
            </w:r>
          </w:p>
        </w:tc>
        <w:tc>
          <w:tcPr>
            <w:tcW w:type="dxa" w:w="1169"/>
            <w:tcBorders>
              <w:top w:color="000000" w:sz="4" w:val="single"/>
              <w:left w:color="000000" w:sz="4" w:val="single"/>
              <w:bottom w:color="000000" w:sz="4" w:val="single"/>
              <w:right w:color="000000" w:sz="4" w:val="single"/>
            </w:tcBorders>
            <w:shd w:fill="FFFFFF" w:val="clear"/>
            <w:vAlign w:val="center"/>
          </w:tcPr>
          <w:p w14:paraId="A12D0000">
            <w:pPr>
              <w:widowControl w:val="1"/>
              <w:ind/>
              <w:jc w:val="center"/>
              <w:rPr>
                <w:sz w:val="18"/>
              </w:rPr>
            </w:pPr>
            <w:r>
              <w:rPr>
                <w:sz w:val="18"/>
              </w:rPr>
              <w:t>114534,00</w:t>
            </w:r>
          </w:p>
        </w:tc>
        <w:tc>
          <w:tcPr>
            <w:tcW w:type="dxa" w:w="1185"/>
            <w:tcBorders>
              <w:top w:color="000000" w:sz="4" w:val="single"/>
              <w:left w:color="000000" w:sz="4" w:val="single"/>
              <w:bottom w:color="000000" w:sz="4" w:val="single"/>
              <w:right w:color="000000" w:sz="4" w:val="single"/>
            </w:tcBorders>
            <w:shd w:fill="FFFFFF" w:val="clear"/>
            <w:vAlign w:val="center"/>
          </w:tcPr>
          <w:p w14:paraId="A22D0000">
            <w:pPr>
              <w:widowControl w:val="1"/>
              <w:ind/>
              <w:jc w:val="center"/>
              <w:rPr>
                <w:sz w:val="18"/>
              </w:rPr>
            </w:pPr>
            <w:r>
              <w:rPr>
                <w:sz w:val="18"/>
              </w:rPr>
              <w:t>135150,00</w:t>
            </w:r>
          </w:p>
        </w:tc>
        <w:tc>
          <w:tcPr>
            <w:tcW w:type="dxa" w:w="1083"/>
            <w:tcBorders>
              <w:top w:color="000000" w:sz="4" w:val="single"/>
              <w:left w:color="000000" w:sz="4" w:val="single"/>
              <w:bottom w:color="000000" w:sz="4" w:val="single"/>
              <w:right w:color="000000" w:sz="4" w:val="single"/>
            </w:tcBorders>
            <w:shd w:fill="FFFFFF" w:val="clear"/>
            <w:vAlign w:val="center"/>
          </w:tcPr>
          <w:p w14:paraId="A32D0000">
            <w:pPr>
              <w:widowControl w:val="1"/>
              <w:ind/>
              <w:jc w:val="center"/>
              <w:rPr>
                <w:sz w:val="18"/>
              </w:rPr>
            </w:pPr>
            <w:r>
              <w:rPr>
                <w:sz w:val="18"/>
              </w:rPr>
              <w:t>135150,00</w:t>
            </w:r>
          </w:p>
        </w:tc>
        <w:tc>
          <w:tcPr>
            <w:tcW w:type="dxa" w:w="771"/>
            <w:tcBorders>
              <w:top w:color="000000" w:sz="4" w:val="single"/>
              <w:left w:color="000000" w:sz="4" w:val="single"/>
              <w:bottom w:color="000000" w:sz="4" w:val="single"/>
              <w:right w:color="000000" w:sz="4" w:val="single"/>
            </w:tcBorders>
            <w:shd w:fill="FFFFFF" w:val="clear"/>
            <w:vAlign w:val="center"/>
          </w:tcPr>
          <w:p w14:paraId="A42D0000">
            <w:pPr>
              <w:widowControl w:val="1"/>
              <w:ind/>
              <w:jc w:val="center"/>
              <w:rPr>
                <w:color w:val="000000"/>
                <w:sz w:val="18"/>
              </w:rPr>
            </w:pPr>
            <w:r>
              <w:rPr>
                <w:color w:val="000000"/>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A52D0000">
            <w:pPr>
              <w:widowControl w:val="1"/>
              <w:ind/>
              <w:jc w:val="center"/>
              <w:rPr>
                <w:color w:val="000000"/>
                <w:sz w:val="18"/>
              </w:rPr>
            </w:pPr>
            <w:r>
              <w:rPr>
                <w:color w:val="000000"/>
                <w:sz w:val="18"/>
              </w:rPr>
              <w:t>декабрь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A62D0000">
            <w:pPr>
              <w:widowControl w:val="1"/>
              <w:ind/>
              <w:jc w:val="center"/>
              <w:rPr>
                <w:sz w:val="18"/>
              </w:rPr>
            </w:pPr>
            <w:r>
              <w:rPr>
                <w:sz w:val="18"/>
              </w:rPr>
              <w:t>договор № 8 от 23.01.2018</w:t>
            </w:r>
          </w:p>
        </w:tc>
      </w:tr>
      <w:tr>
        <w:trPr>
          <w:trHeight w:hRule="atLeast" w:val="900"/>
        </w:trPr>
        <w:tc>
          <w:tcPr>
            <w:tcW w:type="dxa" w:w="708"/>
            <w:tcBorders>
              <w:top w:color="000000" w:sz="4" w:val="single"/>
              <w:left w:color="000000" w:sz="4" w:val="single"/>
              <w:bottom w:color="000000" w:sz="4" w:val="single"/>
              <w:right w:color="000000" w:sz="4" w:val="single"/>
            </w:tcBorders>
            <w:shd w:fill="FFFFFF" w:val="clear"/>
            <w:vAlign w:val="center"/>
          </w:tcPr>
          <w:p w14:paraId="A72D0000">
            <w:pPr>
              <w:widowControl w:val="1"/>
              <w:ind/>
              <w:jc w:val="center"/>
              <w:rPr>
                <w:color w:val="000000"/>
                <w:sz w:val="18"/>
              </w:rPr>
            </w:pPr>
            <w:r>
              <w:rPr>
                <w:color w:val="000000"/>
                <w:sz w:val="18"/>
              </w:rPr>
              <w:t>9</w:t>
            </w:r>
          </w:p>
        </w:tc>
        <w:tc>
          <w:tcPr>
            <w:tcW w:type="dxa" w:w="618"/>
            <w:tcBorders>
              <w:top w:color="000000" w:sz="4" w:val="single"/>
              <w:left w:color="000000" w:sz="4" w:val="single"/>
              <w:bottom w:color="000000" w:sz="4" w:val="single"/>
              <w:right w:color="000000" w:sz="4" w:val="single"/>
            </w:tcBorders>
            <w:shd w:fill="FFFFFF" w:val="clear"/>
            <w:vAlign w:val="center"/>
          </w:tcPr>
          <w:p w14:paraId="A82D0000">
            <w:pPr>
              <w:widowControl w:val="1"/>
              <w:ind/>
              <w:jc w:val="center"/>
              <w:rPr>
                <w:color w:val="000000"/>
                <w:sz w:val="18"/>
              </w:rPr>
            </w:pPr>
            <w:r>
              <w:rPr>
                <w:color w:val="000000"/>
                <w:sz w:val="18"/>
              </w:rPr>
              <w:t>10</w:t>
            </w:r>
          </w:p>
        </w:tc>
        <w:tc>
          <w:tcPr>
            <w:tcW w:type="dxa" w:w="993"/>
            <w:tcBorders>
              <w:top w:color="000000" w:sz="4" w:val="single"/>
              <w:left w:color="000000" w:sz="4" w:val="single"/>
              <w:bottom w:color="000000" w:sz="4" w:val="single"/>
              <w:right w:color="000000" w:sz="4" w:val="single"/>
            </w:tcBorders>
            <w:shd w:fill="FFFFFF" w:val="clear"/>
            <w:vAlign w:val="center"/>
          </w:tcPr>
          <w:p w14:paraId="A92D0000">
            <w:pPr>
              <w:widowControl w:val="1"/>
              <w:ind/>
              <w:jc w:val="center"/>
              <w:rPr>
                <w:sz w:val="18"/>
              </w:rPr>
            </w:pPr>
            <w:r>
              <w:rPr>
                <w:sz w:val="18"/>
              </w:rPr>
              <w:t>Оказание услуг технической поддержки программного комплекса Спринт АСУПБ</w:t>
            </w:r>
          </w:p>
        </w:tc>
        <w:tc>
          <w:tcPr>
            <w:tcW w:type="dxa" w:w="849"/>
            <w:tcBorders>
              <w:top w:color="000000" w:sz="4" w:val="single"/>
              <w:left w:color="000000" w:sz="4" w:val="single"/>
              <w:bottom w:color="000000" w:sz="4" w:val="single"/>
              <w:right w:color="000000" w:sz="4" w:val="single"/>
            </w:tcBorders>
            <w:shd w:fill="FFFFFF" w:val="clear"/>
            <w:vAlign w:val="center"/>
          </w:tcPr>
          <w:p w14:paraId="AA2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AB2D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AC2D0000">
            <w:pPr>
              <w:widowControl w:val="1"/>
              <w:ind/>
              <w:jc w:val="center"/>
              <w:rPr>
                <w:sz w:val="18"/>
              </w:rPr>
            </w:pPr>
            <w:r>
              <w:rPr>
                <w:sz w:val="18"/>
              </w:rPr>
              <w:t>533816,95</w:t>
            </w:r>
          </w:p>
        </w:tc>
        <w:tc>
          <w:tcPr>
            <w:tcW w:type="dxa" w:w="1134"/>
            <w:tcBorders>
              <w:top w:color="000000" w:sz="4" w:val="single"/>
              <w:left w:color="000000" w:sz="4" w:val="single"/>
              <w:bottom w:color="000000" w:sz="4" w:val="single"/>
              <w:right w:color="000000" w:sz="4" w:val="single"/>
            </w:tcBorders>
            <w:shd w:fill="FFFFFF" w:val="clear"/>
            <w:vAlign w:val="center"/>
          </w:tcPr>
          <w:p w14:paraId="AD2D0000">
            <w:pPr>
              <w:widowControl w:val="1"/>
              <w:ind/>
              <w:jc w:val="center"/>
              <w:rPr>
                <w:sz w:val="18"/>
              </w:rPr>
            </w:pPr>
            <w:r>
              <w:rPr>
                <w:sz w:val="18"/>
              </w:rPr>
              <w:t>629904,00</w:t>
            </w:r>
          </w:p>
        </w:tc>
        <w:tc>
          <w:tcPr>
            <w:tcW w:type="dxa" w:w="993"/>
            <w:tcBorders>
              <w:top w:color="000000" w:sz="4" w:val="single"/>
              <w:left w:color="000000" w:sz="4" w:val="single"/>
              <w:bottom w:color="000000" w:sz="4" w:val="single"/>
              <w:right w:color="000000" w:sz="4" w:val="single"/>
            </w:tcBorders>
            <w:shd w:fill="FFFFFF" w:val="clear"/>
            <w:vAlign w:val="center"/>
          </w:tcPr>
          <w:p w14:paraId="AE2D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AF2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B02D0000">
            <w:pPr>
              <w:widowControl w:val="1"/>
              <w:ind/>
              <w:jc w:val="center"/>
              <w:rPr>
                <w:sz w:val="18"/>
              </w:rPr>
            </w:pPr>
            <w:r>
              <w:rPr>
                <w:sz w:val="18"/>
              </w:rPr>
              <w:t>31806190058</w:t>
            </w:r>
          </w:p>
        </w:tc>
        <w:tc>
          <w:tcPr>
            <w:tcW w:type="dxa" w:w="652"/>
            <w:tcBorders>
              <w:top w:color="000000" w:sz="4" w:val="single"/>
              <w:left w:color="000000" w:sz="4" w:val="single"/>
              <w:bottom w:color="000000" w:sz="4" w:val="single"/>
              <w:right w:color="000000" w:sz="4" w:val="single"/>
            </w:tcBorders>
            <w:shd w:fill="FFFFFF" w:val="clear"/>
            <w:vAlign w:val="center"/>
          </w:tcPr>
          <w:p w14:paraId="B12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B22D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B32D0000">
            <w:pPr>
              <w:widowControl w:val="1"/>
              <w:ind/>
              <w:jc w:val="center"/>
              <w:rPr>
                <w:sz w:val="18"/>
              </w:rPr>
            </w:pPr>
            <w:r>
              <w:rPr>
                <w:sz w:val="18"/>
              </w:rPr>
              <w:t>533816,95</w:t>
            </w:r>
          </w:p>
        </w:tc>
        <w:tc>
          <w:tcPr>
            <w:tcW w:type="dxa" w:w="1185"/>
            <w:tcBorders>
              <w:top w:color="000000" w:sz="4" w:val="single"/>
              <w:left w:color="000000" w:sz="4" w:val="single"/>
              <w:bottom w:color="000000" w:sz="4" w:val="single"/>
              <w:right w:color="000000" w:sz="4" w:val="single"/>
            </w:tcBorders>
            <w:shd w:fill="FFFFFF" w:val="clear"/>
            <w:vAlign w:val="center"/>
          </w:tcPr>
          <w:p w14:paraId="B42D0000">
            <w:pPr>
              <w:widowControl w:val="1"/>
              <w:ind/>
              <w:jc w:val="center"/>
              <w:rPr>
                <w:sz w:val="18"/>
              </w:rPr>
            </w:pPr>
            <w:r>
              <w:rPr>
                <w:sz w:val="18"/>
              </w:rPr>
              <w:t>629904,00</w:t>
            </w:r>
          </w:p>
        </w:tc>
        <w:tc>
          <w:tcPr>
            <w:tcW w:type="dxa" w:w="1083"/>
            <w:tcBorders>
              <w:top w:color="000000" w:sz="4" w:val="single"/>
              <w:left w:color="000000" w:sz="4" w:val="single"/>
              <w:bottom w:color="000000" w:sz="4" w:val="single"/>
              <w:right w:color="000000" w:sz="4" w:val="single"/>
            </w:tcBorders>
            <w:shd w:fill="FFFFFF" w:val="clear"/>
            <w:vAlign w:val="center"/>
          </w:tcPr>
          <w:p w14:paraId="B52D0000">
            <w:pPr>
              <w:widowControl w:val="1"/>
              <w:ind/>
              <w:jc w:val="center"/>
              <w:rPr>
                <w:sz w:val="18"/>
              </w:rPr>
            </w:pPr>
            <w:r>
              <w:rPr>
                <w:sz w:val="18"/>
              </w:rPr>
              <w:t>629904,00</w:t>
            </w:r>
          </w:p>
        </w:tc>
        <w:tc>
          <w:tcPr>
            <w:tcW w:type="dxa" w:w="771"/>
            <w:tcBorders>
              <w:top w:color="000000" w:sz="4" w:val="single"/>
              <w:left w:color="000000" w:sz="4" w:val="single"/>
              <w:bottom w:color="000000" w:sz="4" w:val="single"/>
              <w:right w:color="000000" w:sz="4" w:val="single"/>
            </w:tcBorders>
            <w:shd w:fill="FFFFFF" w:val="clear"/>
            <w:vAlign w:val="center"/>
          </w:tcPr>
          <w:p w14:paraId="B62D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B72D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B82D0000">
            <w:pPr>
              <w:widowControl w:val="1"/>
              <w:ind/>
              <w:jc w:val="center"/>
              <w:rPr>
                <w:sz w:val="18"/>
              </w:rPr>
            </w:pPr>
            <w:r>
              <w:rPr>
                <w:sz w:val="18"/>
              </w:rPr>
              <w:t>договор № 05/Д-63/18/У от 28.02.2018</w:t>
            </w:r>
          </w:p>
        </w:tc>
      </w:tr>
      <w:tr>
        <w:trPr>
          <w:trHeight w:hRule="atLeast" w:val="1380"/>
        </w:trPr>
        <w:tc>
          <w:tcPr>
            <w:tcW w:type="dxa" w:w="708"/>
            <w:tcBorders>
              <w:top w:color="000000" w:sz="4" w:val="single"/>
              <w:left w:color="000000" w:sz="4" w:val="single"/>
              <w:bottom w:color="000000" w:sz="4" w:val="single"/>
              <w:right w:color="000000" w:sz="4" w:val="single"/>
            </w:tcBorders>
            <w:shd w:fill="FFFFFF" w:val="clear"/>
            <w:vAlign w:val="center"/>
          </w:tcPr>
          <w:p w14:paraId="B92D0000">
            <w:pPr>
              <w:widowControl w:val="1"/>
              <w:ind/>
              <w:jc w:val="center"/>
              <w:rPr>
                <w:color w:val="000000"/>
                <w:sz w:val="18"/>
              </w:rPr>
            </w:pPr>
            <w:r>
              <w:rPr>
                <w:color w:val="000000"/>
                <w:sz w:val="18"/>
              </w:rPr>
              <w:t>10</w:t>
            </w:r>
          </w:p>
        </w:tc>
        <w:tc>
          <w:tcPr>
            <w:tcW w:type="dxa" w:w="618"/>
            <w:tcBorders>
              <w:top w:color="000000" w:sz="4" w:val="single"/>
              <w:left w:color="000000" w:sz="4" w:val="single"/>
              <w:bottom w:color="000000" w:sz="4" w:val="single"/>
              <w:right w:color="000000" w:sz="4" w:val="single"/>
            </w:tcBorders>
            <w:shd w:fill="FFFFFF" w:val="clear"/>
            <w:vAlign w:val="center"/>
          </w:tcPr>
          <w:p w14:paraId="BA2D0000">
            <w:pPr>
              <w:widowControl w:val="1"/>
              <w:ind/>
              <w:jc w:val="center"/>
              <w:rPr>
                <w:color w:val="000000"/>
                <w:sz w:val="18"/>
              </w:rPr>
            </w:pPr>
            <w:r>
              <w:rPr>
                <w:color w:val="000000"/>
                <w:sz w:val="18"/>
              </w:rPr>
              <w:t>11</w:t>
            </w:r>
          </w:p>
        </w:tc>
        <w:tc>
          <w:tcPr>
            <w:tcW w:type="dxa" w:w="993"/>
            <w:tcBorders>
              <w:top w:color="000000" w:sz="4" w:val="single"/>
              <w:left w:color="000000" w:sz="4" w:val="single"/>
              <w:bottom w:color="000000" w:sz="4" w:val="single"/>
              <w:right w:color="000000" w:sz="4" w:val="single"/>
            </w:tcBorders>
            <w:shd w:fill="FFFFFF" w:val="clear"/>
            <w:vAlign w:val="center"/>
          </w:tcPr>
          <w:p w14:paraId="BB2D0000">
            <w:pPr>
              <w:widowControl w:val="1"/>
              <w:ind/>
              <w:jc w:val="center"/>
              <w:rPr>
                <w:sz w:val="18"/>
              </w:rPr>
            </w:pPr>
            <w:r>
              <w:rPr>
                <w:sz w:val="18"/>
              </w:rPr>
              <w:t>оказание услуг по комплексному информационному обслуживанию</w:t>
            </w:r>
          </w:p>
        </w:tc>
        <w:tc>
          <w:tcPr>
            <w:tcW w:type="dxa" w:w="849"/>
            <w:tcBorders>
              <w:top w:color="000000" w:sz="4" w:val="single"/>
              <w:left w:color="000000" w:sz="4" w:val="single"/>
              <w:bottom w:color="000000" w:sz="4" w:val="single"/>
              <w:right w:color="000000" w:sz="4" w:val="single"/>
            </w:tcBorders>
            <w:shd w:fill="FFFFFF" w:val="clear"/>
            <w:vAlign w:val="center"/>
          </w:tcPr>
          <w:p w14:paraId="BC2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D2D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BE2D0000">
            <w:pPr>
              <w:widowControl w:val="1"/>
              <w:ind/>
              <w:jc w:val="center"/>
              <w:rPr>
                <w:sz w:val="18"/>
              </w:rPr>
            </w:pPr>
            <w:r>
              <w:rPr>
                <w:sz w:val="18"/>
              </w:rPr>
              <w:t>193642,40</w:t>
            </w:r>
          </w:p>
        </w:tc>
        <w:tc>
          <w:tcPr>
            <w:tcW w:type="dxa" w:w="1134"/>
            <w:tcBorders>
              <w:top w:color="000000" w:sz="4" w:val="single"/>
              <w:left w:color="000000" w:sz="4" w:val="single"/>
              <w:bottom w:color="000000" w:sz="4" w:val="single"/>
              <w:right w:color="000000" w:sz="4" w:val="single"/>
            </w:tcBorders>
            <w:shd w:fill="FFFFFF" w:val="clear"/>
            <w:vAlign w:val="center"/>
          </w:tcPr>
          <w:p w14:paraId="BF2D0000">
            <w:pPr>
              <w:widowControl w:val="1"/>
              <w:ind/>
              <w:jc w:val="center"/>
              <w:rPr>
                <w:sz w:val="18"/>
              </w:rPr>
            </w:pPr>
            <w:r>
              <w:rPr>
                <w:sz w:val="18"/>
              </w:rPr>
              <w:t>228498,00</w:t>
            </w:r>
          </w:p>
        </w:tc>
        <w:tc>
          <w:tcPr>
            <w:tcW w:type="dxa" w:w="993"/>
            <w:tcBorders>
              <w:top w:color="000000" w:sz="4" w:val="single"/>
              <w:left w:color="000000" w:sz="4" w:val="single"/>
              <w:bottom w:color="000000" w:sz="4" w:val="single"/>
              <w:right w:color="000000" w:sz="4" w:val="single"/>
            </w:tcBorders>
            <w:shd w:fill="FFFFFF" w:val="clear"/>
            <w:vAlign w:val="center"/>
          </w:tcPr>
          <w:p w14:paraId="C02D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C12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C22D0000">
            <w:pPr>
              <w:widowControl w:val="1"/>
              <w:ind/>
              <w:jc w:val="center"/>
              <w:rPr>
                <w:sz w:val="18"/>
              </w:rPr>
            </w:pPr>
            <w:r>
              <w:rPr>
                <w:sz w:val="18"/>
              </w:rPr>
              <w:t>31806063832</w:t>
            </w:r>
          </w:p>
        </w:tc>
        <w:tc>
          <w:tcPr>
            <w:tcW w:type="dxa" w:w="652"/>
            <w:tcBorders>
              <w:top w:color="000000" w:sz="4" w:val="single"/>
              <w:left w:color="000000" w:sz="4" w:val="single"/>
              <w:bottom w:color="000000" w:sz="4" w:val="single"/>
              <w:right w:color="000000" w:sz="4" w:val="single"/>
            </w:tcBorders>
            <w:shd w:fill="FFFFFF" w:val="clear"/>
            <w:vAlign w:val="center"/>
          </w:tcPr>
          <w:p w14:paraId="C32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C42D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C52D0000">
            <w:pPr>
              <w:widowControl w:val="1"/>
              <w:ind/>
              <w:jc w:val="center"/>
              <w:rPr>
                <w:sz w:val="18"/>
              </w:rPr>
            </w:pPr>
            <w:r>
              <w:rPr>
                <w:sz w:val="18"/>
              </w:rPr>
              <w:t>192504,00</w:t>
            </w:r>
          </w:p>
        </w:tc>
        <w:tc>
          <w:tcPr>
            <w:tcW w:type="dxa" w:w="1185"/>
            <w:tcBorders>
              <w:top w:color="000000" w:sz="4" w:val="single"/>
              <w:left w:color="000000" w:sz="4" w:val="single"/>
              <w:bottom w:color="000000" w:sz="4" w:val="single"/>
              <w:right w:color="000000" w:sz="4" w:val="single"/>
            </w:tcBorders>
            <w:shd w:fill="FFFFFF" w:val="clear"/>
            <w:vAlign w:val="center"/>
          </w:tcPr>
          <w:p w14:paraId="C62D0000">
            <w:pPr>
              <w:widowControl w:val="1"/>
              <w:ind/>
              <w:jc w:val="center"/>
              <w:rPr>
                <w:sz w:val="18"/>
              </w:rPr>
            </w:pPr>
            <w:r>
              <w:rPr>
                <w:sz w:val="18"/>
              </w:rPr>
              <w:t>227154,72</w:t>
            </w:r>
          </w:p>
        </w:tc>
        <w:tc>
          <w:tcPr>
            <w:tcW w:type="dxa" w:w="1083"/>
            <w:tcBorders>
              <w:top w:color="000000" w:sz="4" w:val="single"/>
              <w:left w:color="000000" w:sz="4" w:val="single"/>
              <w:bottom w:color="000000" w:sz="4" w:val="single"/>
              <w:right w:color="000000" w:sz="4" w:val="single"/>
            </w:tcBorders>
            <w:shd w:fill="FFFFFF" w:val="clear"/>
            <w:vAlign w:val="center"/>
          </w:tcPr>
          <w:p w14:paraId="C72D0000">
            <w:pPr>
              <w:widowControl w:val="1"/>
              <w:ind/>
              <w:jc w:val="center"/>
              <w:rPr>
                <w:sz w:val="18"/>
              </w:rPr>
            </w:pPr>
            <w:r>
              <w:rPr>
                <w:sz w:val="18"/>
              </w:rPr>
              <w:t>227154,72</w:t>
            </w:r>
          </w:p>
        </w:tc>
        <w:tc>
          <w:tcPr>
            <w:tcW w:type="dxa" w:w="771"/>
            <w:tcBorders>
              <w:top w:color="000000" w:sz="4" w:val="single"/>
              <w:left w:color="000000" w:sz="4" w:val="single"/>
              <w:bottom w:color="000000" w:sz="4" w:val="single"/>
              <w:right w:color="000000" w:sz="4" w:val="single"/>
            </w:tcBorders>
            <w:shd w:fill="FFFFFF" w:val="clear"/>
            <w:vAlign w:val="center"/>
          </w:tcPr>
          <w:p w14:paraId="C82D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C92D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CA2D0000">
            <w:pPr>
              <w:widowControl w:val="1"/>
              <w:ind/>
              <w:jc w:val="center"/>
              <w:rPr>
                <w:sz w:val="18"/>
              </w:rPr>
            </w:pPr>
            <w:r>
              <w:rPr>
                <w:sz w:val="18"/>
              </w:rPr>
              <w:t>договор № 2752195 от 29.01.2018</w:t>
            </w:r>
          </w:p>
        </w:tc>
      </w:tr>
      <w:tr>
        <w:trPr>
          <w:trHeight w:hRule="atLeast" w:val="1785"/>
        </w:trPr>
        <w:tc>
          <w:tcPr>
            <w:tcW w:type="dxa" w:w="708"/>
            <w:tcBorders>
              <w:top w:color="000000" w:sz="4" w:val="single"/>
              <w:left w:color="000000" w:sz="4" w:val="single"/>
              <w:bottom w:color="000000" w:sz="4" w:val="single"/>
              <w:right w:color="000000" w:sz="4" w:val="single"/>
            </w:tcBorders>
            <w:shd w:fill="FFFFFF" w:val="clear"/>
            <w:vAlign w:val="center"/>
          </w:tcPr>
          <w:p w14:paraId="CB2D0000">
            <w:pPr>
              <w:widowControl w:val="1"/>
              <w:ind/>
              <w:jc w:val="center"/>
              <w:rPr>
                <w:color w:val="000000"/>
                <w:sz w:val="18"/>
              </w:rPr>
            </w:pPr>
            <w:r>
              <w:rPr>
                <w:color w:val="000000"/>
                <w:sz w:val="18"/>
              </w:rPr>
              <w:t>11</w:t>
            </w:r>
          </w:p>
        </w:tc>
        <w:tc>
          <w:tcPr>
            <w:tcW w:type="dxa" w:w="618"/>
            <w:tcBorders>
              <w:top w:color="000000" w:sz="4" w:val="single"/>
              <w:left w:color="000000" w:sz="4" w:val="single"/>
              <w:bottom w:color="000000" w:sz="4" w:val="single"/>
              <w:right w:color="000000" w:sz="4" w:val="single"/>
            </w:tcBorders>
            <w:shd w:fill="FFFFFF" w:val="clear"/>
            <w:vAlign w:val="center"/>
          </w:tcPr>
          <w:p w14:paraId="CC2D0000">
            <w:pPr>
              <w:widowControl w:val="1"/>
              <w:ind/>
              <w:jc w:val="center"/>
              <w:rPr>
                <w:color w:val="000000"/>
                <w:sz w:val="18"/>
              </w:rPr>
            </w:pPr>
            <w:r>
              <w:rPr>
                <w:color w:val="000000"/>
                <w:sz w:val="18"/>
              </w:rPr>
              <w:t>12</w:t>
            </w:r>
          </w:p>
        </w:tc>
        <w:tc>
          <w:tcPr>
            <w:tcW w:type="dxa" w:w="993"/>
            <w:tcBorders>
              <w:top w:color="000000" w:sz="4" w:val="single"/>
              <w:left w:color="000000" w:sz="4" w:val="single"/>
              <w:bottom w:color="000000" w:sz="4" w:val="single"/>
              <w:right w:color="000000" w:sz="4" w:val="single"/>
            </w:tcBorders>
            <w:shd w:fill="FFFFFF" w:val="clear"/>
            <w:vAlign w:val="center"/>
          </w:tcPr>
          <w:p w14:paraId="CD2D0000">
            <w:pPr>
              <w:widowControl w:val="1"/>
              <w:ind/>
              <w:jc w:val="center"/>
              <w:rPr>
                <w:sz w:val="18"/>
              </w:rPr>
            </w:pPr>
            <w:r>
              <w:rPr>
                <w:sz w:val="18"/>
              </w:rPr>
              <w:t>Оказание услуг технической поддержки программного комплекса Спринт АСУПП</w:t>
            </w:r>
          </w:p>
        </w:tc>
        <w:tc>
          <w:tcPr>
            <w:tcW w:type="dxa" w:w="849"/>
            <w:tcBorders>
              <w:top w:color="000000" w:sz="4" w:val="single"/>
              <w:left w:color="000000" w:sz="4" w:val="single"/>
              <w:bottom w:color="000000" w:sz="4" w:val="single"/>
              <w:right w:color="000000" w:sz="4" w:val="single"/>
            </w:tcBorders>
            <w:shd w:fill="FFFFFF" w:val="clear"/>
            <w:vAlign w:val="center"/>
          </w:tcPr>
          <w:p w14:paraId="CE2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CF2D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D02D0000">
            <w:pPr>
              <w:widowControl w:val="1"/>
              <w:ind/>
              <w:jc w:val="center"/>
              <w:rPr>
                <w:sz w:val="18"/>
              </w:rPr>
            </w:pPr>
            <w:r>
              <w:rPr>
                <w:sz w:val="18"/>
              </w:rPr>
              <w:t>147089,00</w:t>
            </w:r>
          </w:p>
        </w:tc>
        <w:tc>
          <w:tcPr>
            <w:tcW w:type="dxa" w:w="1134"/>
            <w:tcBorders>
              <w:top w:color="000000" w:sz="4" w:val="single"/>
              <w:left w:color="000000" w:sz="4" w:val="single"/>
              <w:bottom w:color="000000" w:sz="4" w:val="single"/>
              <w:right w:color="000000" w:sz="4" w:val="single"/>
            </w:tcBorders>
            <w:shd w:fill="FFFFFF" w:val="clear"/>
            <w:vAlign w:val="center"/>
          </w:tcPr>
          <w:p w14:paraId="D12D0000">
            <w:pPr>
              <w:widowControl w:val="1"/>
              <w:ind/>
              <w:jc w:val="center"/>
              <w:rPr>
                <w:sz w:val="18"/>
              </w:rPr>
            </w:pPr>
            <w:r>
              <w:rPr>
                <w:sz w:val="18"/>
              </w:rPr>
              <w:t>147089,00</w:t>
            </w:r>
          </w:p>
        </w:tc>
        <w:tc>
          <w:tcPr>
            <w:tcW w:type="dxa" w:w="993"/>
            <w:tcBorders>
              <w:top w:color="000000" w:sz="4" w:val="single"/>
              <w:left w:color="000000" w:sz="4" w:val="single"/>
              <w:bottom w:color="000000" w:sz="4" w:val="single"/>
              <w:right w:color="000000" w:sz="4" w:val="single"/>
            </w:tcBorders>
            <w:shd w:fill="FFFFFF" w:val="clear"/>
            <w:vAlign w:val="center"/>
          </w:tcPr>
          <w:p w14:paraId="D22D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D32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D42D0000">
            <w:pPr>
              <w:widowControl w:val="1"/>
              <w:ind/>
              <w:jc w:val="center"/>
              <w:rPr>
                <w:sz w:val="18"/>
              </w:rPr>
            </w:pPr>
            <w:r>
              <w:rPr>
                <w:sz w:val="18"/>
              </w:rPr>
              <w:t>31806189959</w:t>
            </w:r>
          </w:p>
        </w:tc>
        <w:tc>
          <w:tcPr>
            <w:tcW w:type="dxa" w:w="652"/>
            <w:tcBorders>
              <w:top w:color="000000" w:sz="4" w:val="single"/>
              <w:left w:color="000000" w:sz="4" w:val="single"/>
              <w:bottom w:color="000000" w:sz="4" w:val="single"/>
              <w:right w:color="000000" w:sz="4" w:val="single"/>
            </w:tcBorders>
            <w:shd w:fill="FFFFFF" w:val="clear"/>
            <w:vAlign w:val="center"/>
          </w:tcPr>
          <w:p w14:paraId="D52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D62D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D72D0000">
            <w:pPr>
              <w:widowControl w:val="1"/>
              <w:ind/>
              <w:jc w:val="center"/>
              <w:rPr>
                <w:sz w:val="18"/>
              </w:rPr>
            </w:pPr>
            <w:r>
              <w:rPr>
                <w:sz w:val="18"/>
              </w:rPr>
              <w:t>130008,85</w:t>
            </w:r>
          </w:p>
        </w:tc>
        <w:tc>
          <w:tcPr>
            <w:tcW w:type="dxa" w:w="1185"/>
            <w:tcBorders>
              <w:top w:color="000000" w:sz="4" w:val="single"/>
              <w:left w:color="000000" w:sz="4" w:val="single"/>
              <w:bottom w:color="000000" w:sz="4" w:val="single"/>
              <w:right w:color="000000" w:sz="4" w:val="single"/>
            </w:tcBorders>
            <w:shd w:fill="FFFFFF" w:val="clear"/>
            <w:vAlign w:val="center"/>
          </w:tcPr>
          <w:p w14:paraId="D82D0000">
            <w:pPr>
              <w:widowControl w:val="1"/>
              <w:ind/>
              <w:jc w:val="center"/>
              <w:rPr>
                <w:sz w:val="18"/>
              </w:rPr>
            </w:pPr>
            <w:r>
              <w:rPr>
                <w:sz w:val="18"/>
              </w:rPr>
              <w:t>146910,00</w:t>
            </w:r>
          </w:p>
        </w:tc>
        <w:tc>
          <w:tcPr>
            <w:tcW w:type="dxa" w:w="1083"/>
            <w:tcBorders>
              <w:top w:color="000000" w:sz="4" w:val="single"/>
              <w:left w:color="000000" w:sz="4" w:val="single"/>
              <w:bottom w:color="000000" w:sz="4" w:val="single"/>
              <w:right w:color="000000" w:sz="4" w:val="single"/>
            </w:tcBorders>
            <w:shd w:fill="FFFFFF" w:val="clear"/>
            <w:vAlign w:val="center"/>
          </w:tcPr>
          <w:p w14:paraId="D92D0000">
            <w:pPr>
              <w:widowControl w:val="1"/>
              <w:ind/>
              <w:jc w:val="center"/>
              <w:rPr>
                <w:sz w:val="18"/>
              </w:rPr>
            </w:pPr>
            <w:r>
              <w:rPr>
                <w:sz w:val="18"/>
              </w:rPr>
              <w:t>146910,00</w:t>
            </w:r>
          </w:p>
        </w:tc>
        <w:tc>
          <w:tcPr>
            <w:tcW w:type="dxa" w:w="771"/>
            <w:tcBorders>
              <w:top w:color="000000" w:sz="4" w:val="single"/>
              <w:left w:color="000000" w:sz="4" w:val="single"/>
              <w:bottom w:color="000000" w:sz="4" w:val="single"/>
              <w:right w:color="000000" w:sz="4" w:val="single"/>
            </w:tcBorders>
            <w:shd w:fill="FFFFFF" w:val="clear"/>
            <w:vAlign w:val="center"/>
          </w:tcPr>
          <w:p w14:paraId="DA2D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DB2D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DC2D0000">
            <w:pPr>
              <w:widowControl w:val="1"/>
              <w:ind/>
              <w:jc w:val="center"/>
              <w:rPr>
                <w:sz w:val="18"/>
              </w:rPr>
            </w:pPr>
            <w:r>
              <w:rPr>
                <w:sz w:val="18"/>
              </w:rPr>
              <w:t>договор № 39 от 28.02.2018г.</w:t>
            </w:r>
          </w:p>
        </w:tc>
      </w:tr>
      <w:tr>
        <w:trPr>
          <w:trHeight w:hRule="atLeast" w:val="2130"/>
        </w:trPr>
        <w:tc>
          <w:tcPr>
            <w:tcW w:type="dxa" w:w="708"/>
            <w:tcBorders>
              <w:top w:color="000000" w:sz="4" w:val="single"/>
              <w:left w:color="000000" w:sz="4" w:val="single"/>
              <w:bottom w:color="000000" w:sz="4" w:val="single"/>
              <w:right w:color="000000" w:sz="4" w:val="single"/>
            </w:tcBorders>
            <w:shd w:fill="FFFFFF" w:val="clear"/>
            <w:vAlign w:val="center"/>
          </w:tcPr>
          <w:p w14:paraId="DD2D0000">
            <w:pPr>
              <w:widowControl w:val="1"/>
              <w:ind/>
              <w:jc w:val="center"/>
              <w:rPr>
                <w:color w:val="000000"/>
                <w:sz w:val="18"/>
              </w:rPr>
            </w:pPr>
            <w:r>
              <w:rPr>
                <w:color w:val="000000"/>
                <w:sz w:val="18"/>
              </w:rPr>
              <w:t>12</w:t>
            </w:r>
          </w:p>
        </w:tc>
        <w:tc>
          <w:tcPr>
            <w:tcW w:type="dxa" w:w="618"/>
            <w:tcBorders>
              <w:top w:color="000000" w:sz="4" w:val="single"/>
              <w:left w:color="000000" w:sz="4" w:val="single"/>
              <w:bottom w:color="000000" w:sz="4" w:val="single"/>
              <w:right w:color="000000" w:sz="4" w:val="single"/>
            </w:tcBorders>
            <w:shd w:fill="FFFFFF" w:val="clear"/>
            <w:vAlign w:val="center"/>
          </w:tcPr>
          <w:p w14:paraId="DE2D0000">
            <w:pPr>
              <w:widowControl w:val="1"/>
              <w:ind/>
              <w:jc w:val="center"/>
              <w:rPr>
                <w:sz w:val="18"/>
              </w:rPr>
            </w:pPr>
            <w:r>
              <w:rPr>
                <w:sz w:val="18"/>
              </w:rPr>
              <w:t>13</w:t>
            </w:r>
          </w:p>
        </w:tc>
        <w:tc>
          <w:tcPr>
            <w:tcW w:type="dxa" w:w="993"/>
            <w:tcBorders>
              <w:top w:color="000000" w:sz="4" w:val="single"/>
              <w:left w:color="000000" w:sz="4" w:val="single"/>
              <w:bottom w:color="000000" w:sz="4" w:val="single"/>
              <w:right w:color="000000" w:sz="4" w:val="single"/>
            </w:tcBorders>
            <w:shd w:fill="FFFFFF" w:val="clear"/>
            <w:vAlign w:val="center"/>
          </w:tcPr>
          <w:p w14:paraId="DF2D0000">
            <w:pPr>
              <w:widowControl w:val="1"/>
              <w:ind/>
              <w:jc w:val="center"/>
              <w:rPr>
                <w:sz w:val="18"/>
              </w:rPr>
            </w:pPr>
            <w:r>
              <w:rPr>
                <w:sz w:val="18"/>
              </w:rPr>
              <w:t>Оказание услуг электросвязи</w:t>
            </w:r>
          </w:p>
        </w:tc>
        <w:tc>
          <w:tcPr>
            <w:tcW w:type="dxa" w:w="849"/>
            <w:tcBorders>
              <w:top w:color="000000" w:sz="4" w:val="single"/>
              <w:left w:color="000000" w:sz="4" w:val="single"/>
              <w:bottom w:color="000000" w:sz="4" w:val="single"/>
              <w:right w:color="000000" w:sz="4" w:val="single"/>
            </w:tcBorders>
            <w:shd w:fill="FFFFFF" w:val="clear"/>
            <w:vAlign w:val="center"/>
          </w:tcPr>
          <w:p w14:paraId="E02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E12D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E22D0000">
            <w:pPr>
              <w:widowControl w:val="1"/>
              <w:ind/>
              <w:jc w:val="center"/>
              <w:rPr>
                <w:sz w:val="18"/>
              </w:rPr>
            </w:pPr>
            <w:r>
              <w:rPr>
                <w:sz w:val="18"/>
              </w:rPr>
              <w:t>220075,20</w:t>
            </w:r>
          </w:p>
        </w:tc>
        <w:tc>
          <w:tcPr>
            <w:tcW w:type="dxa" w:w="1134"/>
            <w:tcBorders>
              <w:top w:color="000000" w:sz="4" w:val="single"/>
              <w:left w:color="000000" w:sz="4" w:val="single"/>
              <w:bottom w:color="000000" w:sz="4" w:val="single"/>
              <w:right w:color="000000" w:sz="4" w:val="single"/>
            </w:tcBorders>
            <w:shd w:fill="FFFFFF" w:val="clear"/>
            <w:vAlign w:val="center"/>
          </w:tcPr>
          <w:p w14:paraId="E32D0000">
            <w:pPr>
              <w:widowControl w:val="1"/>
              <w:ind/>
              <w:jc w:val="center"/>
              <w:rPr>
                <w:sz w:val="18"/>
              </w:rPr>
            </w:pPr>
            <w:r>
              <w:rPr>
                <w:sz w:val="18"/>
              </w:rPr>
              <w:t>259688,73</w:t>
            </w:r>
          </w:p>
        </w:tc>
        <w:tc>
          <w:tcPr>
            <w:tcW w:type="dxa" w:w="993"/>
            <w:tcBorders>
              <w:top w:color="000000" w:sz="4" w:val="single"/>
              <w:left w:color="000000" w:sz="4" w:val="single"/>
              <w:bottom w:color="000000" w:sz="4" w:val="single"/>
              <w:right w:color="000000" w:sz="4" w:val="single"/>
            </w:tcBorders>
            <w:shd w:fill="FFFFFF" w:val="clear"/>
            <w:vAlign w:val="center"/>
          </w:tcPr>
          <w:p w14:paraId="E42D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E52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E62D0000">
            <w:pPr>
              <w:widowControl w:val="1"/>
              <w:ind/>
              <w:jc w:val="center"/>
              <w:rPr>
                <w:sz w:val="18"/>
              </w:rPr>
            </w:pPr>
            <w:r>
              <w:rPr>
                <w:sz w:val="18"/>
              </w:rPr>
              <w:t>31806020666</w:t>
            </w:r>
          </w:p>
        </w:tc>
        <w:tc>
          <w:tcPr>
            <w:tcW w:type="dxa" w:w="652"/>
            <w:tcBorders>
              <w:top w:color="000000" w:sz="4" w:val="single"/>
              <w:left w:color="000000" w:sz="4" w:val="single"/>
              <w:bottom w:color="000000" w:sz="4" w:val="single"/>
              <w:right w:color="000000" w:sz="4" w:val="single"/>
            </w:tcBorders>
            <w:shd w:fill="FFFFFF" w:val="clear"/>
            <w:vAlign w:val="center"/>
          </w:tcPr>
          <w:p w14:paraId="E72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E82D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E92D0000">
            <w:pPr>
              <w:widowControl w:val="1"/>
              <w:ind/>
              <w:jc w:val="center"/>
              <w:rPr>
                <w:sz w:val="18"/>
              </w:rPr>
            </w:pPr>
            <w:r>
              <w:rPr>
                <w:sz w:val="18"/>
              </w:rPr>
              <w:t>208800,00</w:t>
            </w:r>
          </w:p>
        </w:tc>
        <w:tc>
          <w:tcPr>
            <w:tcW w:type="dxa" w:w="1185"/>
            <w:tcBorders>
              <w:top w:color="000000" w:sz="4" w:val="single"/>
              <w:left w:color="000000" w:sz="4" w:val="single"/>
              <w:bottom w:color="000000" w:sz="4" w:val="single"/>
              <w:right w:color="000000" w:sz="4" w:val="single"/>
            </w:tcBorders>
            <w:shd w:fill="FFFFFF" w:val="clear"/>
            <w:vAlign w:val="center"/>
          </w:tcPr>
          <w:p w14:paraId="EA2D0000">
            <w:pPr>
              <w:widowControl w:val="1"/>
              <w:ind/>
              <w:jc w:val="center"/>
              <w:rPr>
                <w:sz w:val="18"/>
              </w:rPr>
            </w:pPr>
            <w:r>
              <w:rPr>
                <w:sz w:val="18"/>
              </w:rPr>
              <w:t>246384,00</w:t>
            </w:r>
          </w:p>
        </w:tc>
        <w:tc>
          <w:tcPr>
            <w:tcW w:type="dxa" w:w="1083"/>
            <w:tcBorders>
              <w:top w:color="000000" w:sz="4" w:val="single"/>
              <w:left w:color="000000" w:sz="4" w:val="single"/>
              <w:bottom w:color="000000" w:sz="4" w:val="single"/>
              <w:right w:color="000000" w:sz="4" w:val="single"/>
            </w:tcBorders>
            <w:shd w:fill="FFFFFF" w:val="clear"/>
            <w:vAlign w:val="center"/>
          </w:tcPr>
          <w:p w14:paraId="EB2D0000">
            <w:pPr>
              <w:widowControl w:val="1"/>
              <w:ind/>
              <w:jc w:val="center"/>
              <w:rPr>
                <w:sz w:val="18"/>
              </w:rPr>
            </w:pPr>
            <w:r>
              <w:rPr>
                <w:sz w:val="18"/>
              </w:rPr>
              <w:t>246384,00</w:t>
            </w:r>
          </w:p>
        </w:tc>
        <w:tc>
          <w:tcPr>
            <w:tcW w:type="dxa" w:w="771"/>
            <w:tcBorders>
              <w:top w:color="000000" w:sz="4" w:val="single"/>
              <w:left w:color="000000" w:sz="4" w:val="single"/>
              <w:bottom w:color="000000" w:sz="4" w:val="single"/>
              <w:right w:color="000000" w:sz="4" w:val="single"/>
            </w:tcBorders>
            <w:shd w:fill="FFFFFF" w:val="clear"/>
            <w:vAlign w:val="center"/>
          </w:tcPr>
          <w:p w14:paraId="EC2D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D2D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EE2D0000">
            <w:pPr>
              <w:widowControl w:val="1"/>
              <w:ind/>
              <w:jc w:val="center"/>
              <w:rPr>
                <w:sz w:val="18"/>
              </w:rPr>
            </w:pPr>
            <w:r>
              <w:rPr>
                <w:sz w:val="18"/>
              </w:rPr>
              <w:t>договор № 12/744 от 17.01.2018</w:t>
            </w:r>
          </w:p>
        </w:tc>
      </w:tr>
      <w:tr>
        <w:trPr>
          <w:trHeight w:hRule="atLeast" w:val="1350"/>
        </w:trPr>
        <w:tc>
          <w:tcPr>
            <w:tcW w:type="dxa" w:w="708"/>
            <w:tcBorders>
              <w:top w:color="000000" w:sz="4" w:val="single"/>
              <w:left w:color="000000" w:sz="4" w:val="single"/>
              <w:bottom w:color="000000" w:sz="4" w:val="single"/>
              <w:right w:color="000000" w:sz="4" w:val="single"/>
            </w:tcBorders>
            <w:shd w:fill="FFFFFF" w:val="clear"/>
            <w:vAlign w:val="center"/>
          </w:tcPr>
          <w:p w14:paraId="EF2D0000">
            <w:pPr>
              <w:widowControl w:val="1"/>
              <w:ind/>
              <w:jc w:val="center"/>
              <w:rPr>
                <w:color w:val="000000"/>
                <w:sz w:val="18"/>
              </w:rPr>
            </w:pPr>
            <w:r>
              <w:rPr>
                <w:color w:val="000000"/>
                <w:sz w:val="18"/>
              </w:rPr>
              <w:t>13</w:t>
            </w:r>
          </w:p>
        </w:tc>
        <w:tc>
          <w:tcPr>
            <w:tcW w:type="dxa" w:w="618"/>
            <w:tcBorders>
              <w:top w:color="000000" w:sz="4" w:val="single"/>
              <w:left w:color="000000" w:sz="4" w:val="single"/>
              <w:bottom w:color="000000" w:sz="4" w:val="single"/>
              <w:right w:color="000000" w:sz="4" w:val="single"/>
            </w:tcBorders>
            <w:shd w:fill="FFFFFF" w:val="clear"/>
            <w:vAlign w:val="center"/>
          </w:tcPr>
          <w:p w14:paraId="F02D0000">
            <w:pPr>
              <w:widowControl w:val="1"/>
              <w:ind/>
              <w:jc w:val="center"/>
              <w:rPr>
                <w:color w:val="000000"/>
                <w:sz w:val="18"/>
              </w:rPr>
            </w:pPr>
            <w:r>
              <w:rPr>
                <w:color w:val="000000"/>
                <w:sz w:val="18"/>
              </w:rPr>
              <w:t>15</w:t>
            </w:r>
          </w:p>
        </w:tc>
        <w:tc>
          <w:tcPr>
            <w:tcW w:type="dxa" w:w="993"/>
            <w:tcBorders>
              <w:top w:color="000000" w:sz="4" w:val="single"/>
              <w:left w:color="000000" w:sz="4" w:val="single"/>
              <w:bottom w:color="000000" w:sz="4" w:val="single"/>
              <w:right w:color="000000" w:sz="4" w:val="single"/>
            </w:tcBorders>
            <w:shd w:fill="FFFFFF" w:val="clear"/>
            <w:vAlign w:val="center"/>
          </w:tcPr>
          <w:p w14:paraId="F12D0000">
            <w:pPr>
              <w:widowControl w:val="1"/>
              <w:ind/>
              <w:jc w:val="center"/>
              <w:rPr>
                <w:sz w:val="18"/>
              </w:rPr>
            </w:pPr>
            <w:r>
              <w:rPr>
                <w:sz w:val="18"/>
              </w:rPr>
              <w:t>оказание услуг аренды пассажирских вагонов</w:t>
            </w:r>
          </w:p>
        </w:tc>
        <w:tc>
          <w:tcPr>
            <w:tcW w:type="dxa" w:w="849"/>
            <w:tcBorders>
              <w:top w:color="000000" w:sz="4" w:val="single"/>
              <w:left w:color="000000" w:sz="4" w:val="single"/>
              <w:bottom w:color="000000" w:sz="4" w:val="single"/>
              <w:right w:color="000000" w:sz="4" w:val="single"/>
            </w:tcBorders>
            <w:shd w:fill="FFFFFF" w:val="clear"/>
            <w:vAlign w:val="center"/>
          </w:tcPr>
          <w:p w14:paraId="F22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F32D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F42D0000">
            <w:pPr>
              <w:widowControl w:val="1"/>
              <w:ind/>
              <w:jc w:val="center"/>
              <w:rPr>
                <w:sz w:val="18"/>
              </w:rPr>
            </w:pPr>
            <w:r>
              <w:rPr>
                <w:sz w:val="18"/>
              </w:rPr>
              <w:t>65510865,03</w:t>
            </w:r>
          </w:p>
        </w:tc>
        <w:tc>
          <w:tcPr>
            <w:tcW w:type="dxa" w:w="1134"/>
            <w:tcBorders>
              <w:top w:color="000000" w:sz="4" w:val="single"/>
              <w:left w:color="000000" w:sz="4" w:val="single"/>
              <w:bottom w:color="000000" w:sz="4" w:val="single"/>
              <w:right w:color="000000" w:sz="4" w:val="single"/>
            </w:tcBorders>
            <w:shd w:fill="FFFFFF" w:val="clear"/>
            <w:vAlign w:val="center"/>
          </w:tcPr>
          <w:p w14:paraId="F52D0000">
            <w:pPr>
              <w:widowControl w:val="1"/>
              <w:ind/>
              <w:jc w:val="center"/>
              <w:rPr>
                <w:sz w:val="18"/>
              </w:rPr>
            </w:pPr>
            <w:r>
              <w:rPr>
                <w:sz w:val="18"/>
              </w:rPr>
              <w:t>77302820,74</w:t>
            </w:r>
          </w:p>
        </w:tc>
        <w:tc>
          <w:tcPr>
            <w:tcW w:type="dxa" w:w="993"/>
            <w:tcBorders>
              <w:top w:color="000000" w:sz="4" w:val="single"/>
              <w:left w:color="000000" w:sz="4" w:val="single"/>
              <w:bottom w:color="000000" w:sz="4" w:val="single"/>
              <w:right w:color="000000" w:sz="4" w:val="single"/>
            </w:tcBorders>
            <w:shd w:fill="FFFFFF" w:val="clear"/>
            <w:vAlign w:val="center"/>
          </w:tcPr>
          <w:p w14:paraId="F62D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F72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F82D0000">
            <w:pPr>
              <w:widowControl w:val="1"/>
              <w:ind/>
              <w:jc w:val="center"/>
              <w:rPr>
                <w:sz w:val="18"/>
              </w:rPr>
            </w:pPr>
            <w:r>
              <w:rPr>
                <w:sz w:val="18"/>
              </w:rPr>
              <w:t>31806239894</w:t>
            </w:r>
          </w:p>
        </w:tc>
        <w:tc>
          <w:tcPr>
            <w:tcW w:type="dxa" w:w="652"/>
            <w:tcBorders>
              <w:top w:color="000000" w:sz="4" w:val="single"/>
              <w:left w:color="000000" w:sz="4" w:val="single"/>
              <w:bottom w:color="000000" w:sz="4" w:val="single"/>
              <w:right w:color="000000" w:sz="4" w:val="single"/>
            </w:tcBorders>
            <w:shd w:fill="FFFFFF" w:val="clear"/>
            <w:vAlign w:val="center"/>
          </w:tcPr>
          <w:p w14:paraId="F92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FA2D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FB2D0000">
            <w:pPr>
              <w:widowControl w:val="1"/>
              <w:ind/>
              <w:jc w:val="center"/>
              <w:rPr>
                <w:sz w:val="18"/>
              </w:rPr>
            </w:pPr>
            <w:r>
              <w:rPr>
                <w:sz w:val="18"/>
              </w:rPr>
              <w:t>64766176,45</w:t>
            </w:r>
          </w:p>
        </w:tc>
        <w:tc>
          <w:tcPr>
            <w:tcW w:type="dxa" w:w="1185"/>
            <w:tcBorders>
              <w:top w:color="000000" w:sz="4" w:val="single"/>
              <w:left w:color="000000" w:sz="4" w:val="single"/>
              <w:bottom w:color="000000" w:sz="4" w:val="single"/>
              <w:right w:color="000000" w:sz="4" w:val="single"/>
            </w:tcBorders>
            <w:shd w:fill="FFFFFF" w:val="clear"/>
            <w:vAlign w:val="center"/>
          </w:tcPr>
          <w:p w14:paraId="FC2D0000">
            <w:pPr>
              <w:widowControl w:val="1"/>
              <w:ind/>
              <w:jc w:val="center"/>
              <w:rPr>
                <w:sz w:val="18"/>
              </w:rPr>
            </w:pPr>
            <w:r>
              <w:rPr>
                <w:sz w:val="18"/>
              </w:rPr>
              <w:t>76424088,20</w:t>
            </w:r>
          </w:p>
        </w:tc>
        <w:tc>
          <w:tcPr>
            <w:tcW w:type="dxa" w:w="1083"/>
            <w:tcBorders>
              <w:top w:color="000000" w:sz="4" w:val="single"/>
              <w:left w:color="000000" w:sz="4" w:val="single"/>
              <w:bottom w:color="000000" w:sz="4" w:val="single"/>
              <w:right w:color="000000" w:sz="4" w:val="single"/>
            </w:tcBorders>
            <w:shd w:fill="FFFFFF" w:val="clear"/>
            <w:vAlign w:val="center"/>
          </w:tcPr>
          <w:p w14:paraId="FD2D0000">
            <w:pPr>
              <w:widowControl w:val="1"/>
              <w:ind/>
              <w:jc w:val="center"/>
              <w:rPr>
                <w:sz w:val="18"/>
              </w:rPr>
            </w:pPr>
            <w:r>
              <w:rPr>
                <w:sz w:val="18"/>
              </w:rPr>
              <w:t>76424088,20</w:t>
            </w:r>
          </w:p>
        </w:tc>
        <w:tc>
          <w:tcPr>
            <w:tcW w:type="dxa" w:w="771"/>
            <w:tcBorders>
              <w:top w:color="000000" w:sz="4" w:val="single"/>
              <w:left w:color="000000" w:sz="4" w:val="single"/>
              <w:bottom w:color="000000" w:sz="4" w:val="single"/>
              <w:right w:color="000000" w:sz="4" w:val="single"/>
            </w:tcBorders>
            <w:shd w:fill="FFFFFF" w:val="clear"/>
            <w:vAlign w:val="center"/>
          </w:tcPr>
          <w:p w14:paraId="FE2D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FF2D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002E0000">
            <w:pPr>
              <w:widowControl w:val="1"/>
              <w:ind/>
              <w:jc w:val="center"/>
              <w:rPr>
                <w:sz w:val="18"/>
              </w:rPr>
            </w:pPr>
            <w:r>
              <w:rPr>
                <w:sz w:val="18"/>
              </w:rPr>
              <w:t>договор № 52-18/Ф(ЕНИС) от 15.03.2018</w:t>
            </w:r>
          </w:p>
        </w:tc>
      </w:tr>
      <w:tr>
        <w:trPr>
          <w:trHeight w:hRule="atLeast" w:val="2445"/>
        </w:trPr>
        <w:tc>
          <w:tcPr>
            <w:tcW w:type="dxa" w:w="708"/>
            <w:tcBorders>
              <w:top w:color="000000" w:sz="4" w:val="single"/>
              <w:left w:color="000000" w:sz="4" w:val="single"/>
              <w:bottom w:color="000000" w:sz="4" w:val="single"/>
              <w:right w:color="000000" w:sz="4" w:val="single"/>
            </w:tcBorders>
            <w:shd w:fill="FFFFFF" w:val="clear"/>
            <w:vAlign w:val="center"/>
          </w:tcPr>
          <w:p w14:paraId="012E0000">
            <w:pPr>
              <w:widowControl w:val="1"/>
              <w:ind/>
              <w:jc w:val="center"/>
              <w:rPr>
                <w:color w:val="000000"/>
                <w:sz w:val="18"/>
              </w:rPr>
            </w:pPr>
            <w:r>
              <w:rPr>
                <w:color w:val="000000"/>
                <w:sz w:val="18"/>
              </w:rPr>
              <w:t>14</w:t>
            </w:r>
          </w:p>
        </w:tc>
        <w:tc>
          <w:tcPr>
            <w:tcW w:type="dxa" w:w="618"/>
            <w:tcBorders>
              <w:top w:color="000000" w:sz="4" w:val="single"/>
              <w:left w:color="000000" w:sz="4" w:val="single"/>
              <w:bottom w:color="000000" w:sz="4" w:val="single"/>
              <w:right w:color="000000" w:sz="4" w:val="single"/>
            </w:tcBorders>
            <w:shd w:fill="FFFFFF" w:val="clear"/>
            <w:vAlign w:val="center"/>
          </w:tcPr>
          <w:p w14:paraId="022E0000">
            <w:pPr>
              <w:widowControl w:val="1"/>
              <w:ind/>
              <w:jc w:val="center"/>
              <w:rPr>
                <w:sz w:val="18"/>
              </w:rPr>
            </w:pPr>
            <w:r>
              <w:rPr>
                <w:sz w:val="18"/>
              </w:rPr>
              <w:t>16</w:t>
            </w:r>
          </w:p>
        </w:tc>
        <w:tc>
          <w:tcPr>
            <w:tcW w:type="dxa" w:w="993"/>
            <w:tcBorders>
              <w:top w:color="000000" w:sz="4" w:val="single"/>
              <w:left w:color="000000" w:sz="4" w:val="single"/>
              <w:bottom w:color="000000" w:sz="4" w:val="single"/>
              <w:right w:color="000000" w:sz="4" w:val="single"/>
            </w:tcBorders>
            <w:shd w:fill="FFFFFF" w:val="clear"/>
            <w:vAlign w:val="center"/>
          </w:tcPr>
          <w:p w14:paraId="032E0000">
            <w:pPr>
              <w:widowControl w:val="1"/>
              <w:ind/>
              <w:jc w:val="center"/>
              <w:rPr>
                <w:sz w:val="18"/>
              </w:rPr>
            </w:pPr>
            <w:r>
              <w:rPr>
                <w:sz w:val="18"/>
              </w:rPr>
              <w:t>Оказание услуг местной, междугородней связи</w:t>
            </w:r>
          </w:p>
        </w:tc>
        <w:tc>
          <w:tcPr>
            <w:tcW w:type="dxa" w:w="849"/>
            <w:tcBorders>
              <w:top w:color="000000" w:sz="4" w:val="single"/>
              <w:left w:color="000000" w:sz="4" w:val="single"/>
              <w:bottom w:color="000000" w:sz="4" w:val="single"/>
              <w:right w:color="000000" w:sz="4" w:val="single"/>
            </w:tcBorders>
            <w:shd w:fill="FFFFFF" w:val="clear"/>
            <w:vAlign w:val="center"/>
          </w:tcPr>
          <w:p w14:paraId="042E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052E0000">
            <w:pPr>
              <w:widowControl w:val="1"/>
              <w:ind/>
              <w:jc w:val="center"/>
              <w:rPr>
                <w:sz w:val="18"/>
              </w:rPr>
            </w:pPr>
            <w:r>
              <w:rPr>
                <w:sz w:val="18"/>
              </w:rPr>
              <w:t>36</w:t>
            </w:r>
          </w:p>
        </w:tc>
        <w:tc>
          <w:tcPr>
            <w:tcW w:type="dxa" w:w="991"/>
            <w:tcBorders>
              <w:top w:color="000000" w:sz="4" w:val="single"/>
              <w:left w:color="000000" w:sz="4" w:val="single"/>
              <w:bottom w:color="000000" w:sz="4" w:val="single"/>
              <w:right w:color="000000" w:sz="4" w:val="single"/>
            </w:tcBorders>
            <w:shd w:fill="FFFFFF" w:val="clear"/>
            <w:vAlign w:val="center"/>
          </w:tcPr>
          <w:p w14:paraId="062E0000">
            <w:pPr>
              <w:widowControl w:val="1"/>
              <w:ind/>
              <w:jc w:val="center"/>
              <w:rPr>
                <w:sz w:val="18"/>
              </w:rPr>
            </w:pPr>
            <w:r>
              <w:rPr>
                <w:sz w:val="18"/>
              </w:rPr>
              <w:t>230508,47</w:t>
            </w:r>
          </w:p>
        </w:tc>
        <w:tc>
          <w:tcPr>
            <w:tcW w:type="dxa" w:w="1134"/>
            <w:tcBorders>
              <w:top w:color="000000" w:sz="4" w:val="single"/>
              <w:left w:color="000000" w:sz="4" w:val="single"/>
              <w:bottom w:color="000000" w:sz="4" w:val="single"/>
              <w:right w:color="000000" w:sz="4" w:val="single"/>
            </w:tcBorders>
            <w:shd w:fill="FFFFFF" w:val="clear"/>
            <w:vAlign w:val="center"/>
          </w:tcPr>
          <w:p w14:paraId="072E0000">
            <w:pPr>
              <w:widowControl w:val="1"/>
              <w:ind/>
              <w:jc w:val="center"/>
              <w:rPr>
                <w:sz w:val="18"/>
              </w:rPr>
            </w:pPr>
            <w:r>
              <w:rPr>
                <w:sz w:val="18"/>
              </w:rPr>
              <w:t>272000,00</w:t>
            </w:r>
          </w:p>
        </w:tc>
        <w:tc>
          <w:tcPr>
            <w:tcW w:type="dxa" w:w="993"/>
            <w:tcBorders>
              <w:top w:color="000000" w:sz="4" w:val="single"/>
              <w:left w:color="000000" w:sz="4" w:val="single"/>
              <w:bottom w:color="000000" w:sz="4" w:val="single"/>
              <w:right w:color="000000" w:sz="4" w:val="single"/>
            </w:tcBorders>
            <w:shd w:fill="FFFFFF" w:val="clear"/>
            <w:vAlign w:val="center"/>
          </w:tcPr>
          <w:p w14:paraId="082E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092E0000">
            <w:pPr>
              <w:widowControl w:val="1"/>
              <w:ind/>
              <w:jc w:val="center"/>
              <w:rPr>
                <w:sz w:val="18"/>
              </w:rPr>
            </w:pPr>
            <w:r>
              <w:rPr>
                <w:sz w:val="18"/>
              </w:rPr>
              <w:t>декабрь 2020 г.</w:t>
            </w:r>
          </w:p>
        </w:tc>
        <w:tc>
          <w:tcPr>
            <w:tcW w:type="dxa" w:w="1334"/>
            <w:tcBorders>
              <w:top w:color="000000" w:sz="4" w:val="single"/>
              <w:left w:color="000000" w:sz="4" w:val="single"/>
              <w:bottom w:color="000000" w:sz="4" w:val="single"/>
              <w:right w:color="000000" w:sz="4" w:val="single"/>
            </w:tcBorders>
            <w:shd w:fill="FFFFFF" w:val="clear"/>
            <w:vAlign w:val="center"/>
          </w:tcPr>
          <w:p w14:paraId="0A2E0000">
            <w:pPr>
              <w:widowControl w:val="1"/>
              <w:ind/>
              <w:jc w:val="center"/>
              <w:rPr>
                <w:sz w:val="18"/>
              </w:rPr>
            </w:pPr>
            <w:r>
              <w:rPr>
                <w:sz w:val="18"/>
              </w:rPr>
              <w:t>31806181694</w:t>
            </w:r>
          </w:p>
        </w:tc>
        <w:tc>
          <w:tcPr>
            <w:tcW w:type="dxa" w:w="652"/>
            <w:tcBorders>
              <w:top w:color="000000" w:sz="4" w:val="single"/>
              <w:left w:color="000000" w:sz="4" w:val="single"/>
              <w:bottom w:color="000000" w:sz="4" w:val="single"/>
              <w:right w:color="000000" w:sz="4" w:val="single"/>
            </w:tcBorders>
            <w:shd w:fill="FFFFFF" w:val="clear"/>
            <w:vAlign w:val="center"/>
          </w:tcPr>
          <w:p w14:paraId="0B2E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0C2E0000">
            <w:pPr>
              <w:widowControl w:val="1"/>
              <w:ind/>
              <w:jc w:val="center"/>
              <w:rPr>
                <w:sz w:val="18"/>
              </w:rPr>
            </w:pPr>
            <w:r>
              <w:rPr>
                <w:sz w:val="18"/>
              </w:rPr>
              <w:t>36</w:t>
            </w:r>
          </w:p>
        </w:tc>
        <w:tc>
          <w:tcPr>
            <w:tcW w:type="dxa" w:w="1169"/>
            <w:tcBorders>
              <w:top w:color="000000" w:sz="4" w:val="single"/>
              <w:left w:color="000000" w:sz="4" w:val="single"/>
              <w:bottom w:color="000000" w:sz="4" w:val="single"/>
              <w:right w:color="000000" w:sz="4" w:val="single"/>
            </w:tcBorders>
            <w:shd w:fill="FFFFFF" w:val="clear"/>
            <w:vAlign w:val="center"/>
          </w:tcPr>
          <w:p w14:paraId="0D2E0000">
            <w:pPr>
              <w:widowControl w:val="1"/>
              <w:ind/>
              <w:jc w:val="center"/>
              <w:rPr>
                <w:sz w:val="18"/>
              </w:rPr>
            </w:pPr>
            <w:r>
              <w:rPr>
                <w:sz w:val="18"/>
              </w:rPr>
              <w:t>224651,89</w:t>
            </w:r>
          </w:p>
        </w:tc>
        <w:tc>
          <w:tcPr>
            <w:tcW w:type="dxa" w:w="1185"/>
            <w:tcBorders>
              <w:top w:color="000000" w:sz="4" w:val="single"/>
              <w:left w:color="000000" w:sz="4" w:val="single"/>
              <w:bottom w:color="000000" w:sz="4" w:val="single"/>
              <w:right w:color="000000" w:sz="4" w:val="single"/>
            </w:tcBorders>
            <w:shd w:fill="FFFFFF" w:val="clear"/>
            <w:vAlign w:val="center"/>
          </w:tcPr>
          <w:p w14:paraId="0E2E0000">
            <w:pPr>
              <w:widowControl w:val="1"/>
              <w:ind/>
              <w:jc w:val="center"/>
              <w:rPr>
                <w:sz w:val="18"/>
              </w:rPr>
            </w:pPr>
            <w:r>
              <w:rPr>
                <w:sz w:val="18"/>
              </w:rPr>
              <w:t>265089,24</w:t>
            </w:r>
          </w:p>
        </w:tc>
        <w:tc>
          <w:tcPr>
            <w:tcW w:type="dxa" w:w="1083"/>
            <w:tcBorders>
              <w:top w:color="000000" w:sz="4" w:val="single"/>
              <w:left w:color="000000" w:sz="4" w:val="single"/>
              <w:bottom w:color="000000" w:sz="4" w:val="single"/>
              <w:right w:color="000000" w:sz="4" w:val="single"/>
            </w:tcBorders>
            <w:shd w:fill="FFFFFF" w:val="clear"/>
            <w:vAlign w:val="center"/>
          </w:tcPr>
          <w:p w14:paraId="0F2E0000">
            <w:pPr>
              <w:widowControl w:val="1"/>
              <w:ind/>
              <w:jc w:val="center"/>
              <w:rPr>
                <w:sz w:val="18"/>
              </w:rPr>
            </w:pPr>
            <w:r>
              <w:rPr>
                <w:sz w:val="18"/>
              </w:rPr>
              <w:t>265089,24</w:t>
            </w:r>
          </w:p>
        </w:tc>
        <w:tc>
          <w:tcPr>
            <w:tcW w:type="dxa" w:w="771"/>
            <w:tcBorders>
              <w:top w:color="000000" w:sz="4" w:val="single"/>
              <w:left w:color="000000" w:sz="4" w:val="single"/>
              <w:bottom w:color="000000" w:sz="4" w:val="single"/>
              <w:right w:color="000000" w:sz="4" w:val="single"/>
            </w:tcBorders>
            <w:shd w:fill="FFFFFF" w:val="clear"/>
            <w:vAlign w:val="center"/>
          </w:tcPr>
          <w:p w14:paraId="102E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112E0000">
            <w:pPr>
              <w:widowControl w:val="1"/>
              <w:ind/>
              <w:jc w:val="center"/>
              <w:rPr>
                <w:sz w:val="18"/>
              </w:rPr>
            </w:pPr>
            <w:r>
              <w:rPr>
                <w:sz w:val="18"/>
              </w:rPr>
              <w:t>декабрь 2020 г.</w:t>
            </w:r>
          </w:p>
        </w:tc>
        <w:tc>
          <w:tcPr>
            <w:tcW w:type="dxa" w:w="709"/>
            <w:tcBorders>
              <w:top w:color="000000" w:sz="4" w:val="single"/>
              <w:left w:color="000000" w:sz="4" w:val="single"/>
              <w:bottom w:color="000000" w:sz="4" w:val="single"/>
              <w:right w:color="000000" w:sz="4" w:val="single"/>
            </w:tcBorders>
            <w:shd w:fill="FFFFFF" w:val="clear"/>
            <w:vAlign w:val="center"/>
          </w:tcPr>
          <w:p w14:paraId="122E0000">
            <w:pPr>
              <w:widowControl w:val="1"/>
              <w:ind/>
              <w:jc w:val="center"/>
              <w:rPr>
                <w:sz w:val="18"/>
              </w:rPr>
            </w:pPr>
            <w:r>
              <w:rPr>
                <w:sz w:val="18"/>
              </w:rPr>
              <w:t>договор № 0N8#07 от26.02.2018</w:t>
            </w:r>
          </w:p>
        </w:tc>
      </w:tr>
      <w:tr>
        <w:trPr>
          <w:trHeight w:hRule="atLeast" w:val="2040"/>
        </w:trPr>
        <w:tc>
          <w:tcPr>
            <w:tcW w:type="dxa" w:w="708"/>
            <w:tcBorders>
              <w:top w:color="000000" w:sz="4" w:val="single"/>
              <w:left w:color="000000" w:sz="4" w:val="single"/>
              <w:bottom w:color="000000" w:sz="4" w:val="single"/>
              <w:right w:color="000000" w:sz="4" w:val="single"/>
            </w:tcBorders>
            <w:shd w:fill="FFFFFF" w:val="clear"/>
            <w:vAlign w:val="center"/>
          </w:tcPr>
          <w:p w14:paraId="132E0000">
            <w:pPr>
              <w:widowControl w:val="1"/>
              <w:ind/>
              <w:jc w:val="center"/>
              <w:rPr>
                <w:color w:val="000000"/>
                <w:sz w:val="18"/>
              </w:rPr>
            </w:pPr>
            <w:r>
              <w:rPr>
                <w:color w:val="000000"/>
                <w:sz w:val="18"/>
              </w:rPr>
              <w:t>15</w:t>
            </w:r>
          </w:p>
        </w:tc>
        <w:tc>
          <w:tcPr>
            <w:tcW w:type="dxa" w:w="618"/>
            <w:tcBorders>
              <w:top w:color="000000" w:sz="4" w:val="single"/>
              <w:left w:color="000000" w:sz="4" w:val="single"/>
              <w:bottom w:color="000000" w:sz="4" w:val="single"/>
              <w:right w:color="000000" w:sz="4" w:val="single"/>
            </w:tcBorders>
            <w:shd w:fill="FFFFFF" w:val="clear"/>
            <w:vAlign w:val="center"/>
          </w:tcPr>
          <w:p w14:paraId="142E0000">
            <w:pPr>
              <w:widowControl w:val="1"/>
              <w:ind/>
              <w:jc w:val="center"/>
              <w:rPr>
                <w:color w:val="000000"/>
                <w:sz w:val="18"/>
              </w:rPr>
            </w:pPr>
            <w:r>
              <w:rPr>
                <w:color w:val="000000"/>
                <w:sz w:val="18"/>
              </w:rPr>
              <w:t>17</w:t>
            </w:r>
          </w:p>
        </w:tc>
        <w:tc>
          <w:tcPr>
            <w:tcW w:type="dxa" w:w="993"/>
            <w:tcBorders>
              <w:top w:color="000000" w:sz="4" w:val="single"/>
              <w:left w:color="000000" w:sz="4" w:val="single"/>
              <w:bottom w:color="000000" w:sz="4" w:val="single"/>
              <w:right w:color="000000" w:sz="4" w:val="single"/>
            </w:tcBorders>
            <w:shd w:fill="FFFFFF" w:val="clear"/>
            <w:vAlign w:val="center"/>
          </w:tcPr>
          <w:p w14:paraId="152E0000">
            <w:pPr>
              <w:widowControl w:val="1"/>
              <w:ind/>
              <w:jc w:val="center"/>
              <w:rPr>
                <w:sz w:val="18"/>
              </w:rPr>
            </w:pPr>
            <w:r>
              <w:rPr>
                <w:sz w:val="18"/>
              </w:rPr>
              <w:t>Оказание услуг аренды нежилых помещений для размещения офиса компании</w:t>
            </w:r>
          </w:p>
        </w:tc>
        <w:tc>
          <w:tcPr>
            <w:tcW w:type="dxa" w:w="849"/>
            <w:tcBorders>
              <w:top w:color="000000" w:sz="4" w:val="single"/>
              <w:left w:color="000000" w:sz="4" w:val="single"/>
              <w:bottom w:color="000000" w:sz="4" w:val="single"/>
              <w:right w:color="000000" w:sz="4" w:val="single"/>
            </w:tcBorders>
            <w:shd w:fill="FFFFFF" w:val="clear"/>
            <w:vAlign w:val="center"/>
          </w:tcPr>
          <w:p w14:paraId="162E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172E0000">
            <w:pPr>
              <w:widowControl w:val="1"/>
              <w:ind/>
              <w:jc w:val="center"/>
              <w:rPr>
                <w:color w:val="000000"/>
                <w:sz w:val="18"/>
              </w:rPr>
            </w:pPr>
            <w:r>
              <w:rPr>
                <w:color w:val="000000"/>
                <w:sz w:val="18"/>
              </w:rPr>
              <w:t>11</w:t>
            </w:r>
          </w:p>
        </w:tc>
        <w:tc>
          <w:tcPr>
            <w:tcW w:type="dxa" w:w="991"/>
            <w:tcBorders>
              <w:top w:color="000000" w:sz="4" w:val="single"/>
              <w:left w:color="000000" w:sz="4" w:val="single"/>
              <w:bottom w:color="000000" w:sz="4" w:val="single"/>
              <w:right w:color="000000" w:sz="4" w:val="single"/>
            </w:tcBorders>
            <w:shd w:fill="FFFFFF" w:val="clear"/>
            <w:vAlign w:val="center"/>
          </w:tcPr>
          <w:p w14:paraId="182E0000">
            <w:pPr>
              <w:widowControl w:val="1"/>
              <w:ind/>
              <w:jc w:val="center"/>
              <w:rPr>
                <w:color w:val="000000"/>
                <w:sz w:val="18"/>
              </w:rPr>
            </w:pPr>
            <w:r>
              <w:rPr>
                <w:color w:val="000000"/>
                <w:sz w:val="18"/>
              </w:rPr>
              <w:t>800000,00</w:t>
            </w:r>
          </w:p>
        </w:tc>
        <w:tc>
          <w:tcPr>
            <w:tcW w:type="dxa" w:w="1134"/>
            <w:tcBorders>
              <w:top w:color="000000" w:sz="4" w:val="single"/>
              <w:left w:color="000000" w:sz="4" w:val="single"/>
              <w:bottom w:color="000000" w:sz="4" w:val="single"/>
              <w:right w:color="000000" w:sz="4" w:val="single"/>
            </w:tcBorders>
            <w:shd w:fill="FFFFFF" w:val="clear"/>
            <w:vAlign w:val="center"/>
          </w:tcPr>
          <w:p w14:paraId="192E0000">
            <w:pPr>
              <w:widowControl w:val="1"/>
              <w:ind/>
              <w:jc w:val="center"/>
              <w:rPr>
                <w:color w:val="000000"/>
                <w:sz w:val="18"/>
              </w:rPr>
            </w:pPr>
            <w:r>
              <w:rPr>
                <w:color w:val="000000"/>
                <w:sz w:val="18"/>
              </w:rPr>
              <w:t>800000,00</w:t>
            </w:r>
          </w:p>
        </w:tc>
        <w:tc>
          <w:tcPr>
            <w:tcW w:type="dxa" w:w="993"/>
            <w:tcBorders>
              <w:top w:color="000000" w:sz="4" w:val="single"/>
              <w:left w:color="000000" w:sz="4" w:val="single"/>
              <w:bottom w:color="000000" w:sz="4" w:val="single"/>
              <w:right w:color="000000" w:sz="4" w:val="single"/>
            </w:tcBorders>
            <w:shd w:fill="FFFFFF" w:val="clear"/>
            <w:vAlign w:val="center"/>
          </w:tcPr>
          <w:p w14:paraId="1A2E0000">
            <w:pPr>
              <w:widowControl w:val="1"/>
              <w:ind/>
              <w:jc w:val="center"/>
              <w:rPr>
                <w:color w:val="000000"/>
                <w:sz w:val="18"/>
              </w:rPr>
            </w:pPr>
            <w:r>
              <w:rPr>
                <w:color w:val="000000"/>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1B2E0000">
            <w:pPr>
              <w:widowControl w:val="1"/>
              <w:ind/>
              <w:jc w:val="center"/>
              <w:rPr>
                <w:color w:val="000000"/>
                <w:sz w:val="18"/>
              </w:rPr>
            </w:pPr>
            <w:r>
              <w:rPr>
                <w:color w:val="000000"/>
                <w:sz w:val="18"/>
              </w:rPr>
              <w:t>январь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1C2E0000">
            <w:pPr>
              <w:widowControl w:val="1"/>
              <w:ind/>
              <w:jc w:val="center"/>
              <w:rPr>
                <w:sz w:val="18"/>
              </w:rPr>
            </w:pPr>
            <w:r>
              <w:rPr>
                <w:sz w:val="18"/>
              </w:rPr>
              <w:t>31806157356</w:t>
            </w:r>
          </w:p>
        </w:tc>
        <w:tc>
          <w:tcPr>
            <w:tcW w:type="dxa" w:w="652"/>
            <w:tcBorders>
              <w:top w:color="000000" w:sz="4" w:val="single"/>
              <w:left w:color="000000" w:sz="4" w:val="single"/>
              <w:bottom w:color="000000" w:sz="4" w:val="single"/>
              <w:right w:color="000000" w:sz="4" w:val="single"/>
            </w:tcBorders>
            <w:shd w:fill="FFFFFF" w:val="clear"/>
            <w:vAlign w:val="center"/>
          </w:tcPr>
          <w:p w14:paraId="1D2E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1E2E0000">
            <w:pPr>
              <w:widowControl w:val="1"/>
              <w:ind/>
              <w:jc w:val="center"/>
              <w:rPr>
                <w:color w:val="000000"/>
                <w:sz w:val="18"/>
              </w:rPr>
            </w:pPr>
            <w:r>
              <w:rPr>
                <w:color w:val="000000"/>
                <w:sz w:val="18"/>
              </w:rPr>
              <w:t>11</w:t>
            </w:r>
          </w:p>
        </w:tc>
        <w:tc>
          <w:tcPr>
            <w:tcW w:type="dxa" w:w="1169"/>
            <w:tcBorders>
              <w:top w:color="000000" w:sz="4" w:val="single"/>
              <w:left w:color="000000" w:sz="4" w:val="single"/>
              <w:bottom w:color="000000" w:sz="4" w:val="single"/>
              <w:right w:color="000000" w:sz="4" w:val="single"/>
            </w:tcBorders>
            <w:shd w:fill="FFFFFF" w:val="clear"/>
            <w:vAlign w:val="center"/>
          </w:tcPr>
          <w:p w14:paraId="1F2E0000">
            <w:pPr>
              <w:widowControl w:val="1"/>
              <w:ind/>
              <w:jc w:val="center"/>
              <w:rPr>
                <w:sz w:val="18"/>
              </w:rPr>
            </w:pPr>
            <w:r>
              <w:rPr>
                <w:sz w:val="18"/>
              </w:rPr>
              <w:t>801513,55</w:t>
            </w:r>
          </w:p>
        </w:tc>
        <w:tc>
          <w:tcPr>
            <w:tcW w:type="dxa" w:w="1185"/>
            <w:tcBorders>
              <w:top w:color="000000" w:sz="4" w:val="single"/>
              <w:left w:color="000000" w:sz="4" w:val="single"/>
              <w:bottom w:color="000000" w:sz="4" w:val="single"/>
              <w:right w:color="000000" w:sz="4" w:val="single"/>
            </w:tcBorders>
            <w:shd w:fill="FFFFFF" w:val="clear"/>
            <w:vAlign w:val="center"/>
          </w:tcPr>
          <w:p w14:paraId="202E0000">
            <w:pPr>
              <w:widowControl w:val="1"/>
              <w:ind/>
              <w:jc w:val="center"/>
              <w:rPr>
                <w:sz w:val="18"/>
              </w:rPr>
            </w:pPr>
            <w:r>
              <w:rPr>
                <w:sz w:val="18"/>
              </w:rPr>
              <w:t>801513,55</w:t>
            </w:r>
          </w:p>
        </w:tc>
        <w:tc>
          <w:tcPr>
            <w:tcW w:type="dxa" w:w="1083"/>
            <w:tcBorders>
              <w:top w:color="000000" w:sz="4" w:val="single"/>
              <w:left w:color="000000" w:sz="4" w:val="single"/>
              <w:bottom w:color="000000" w:sz="4" w:val="single"/>
              <w:right w:color="000000" w:sz="4" w:val="single"/>
            </w:tcBorders>
            <w:shd w:fill="FFFFFF" w:val="clear"/>
            <w:vAlign w:val="center"/>
          </w:tcPr>
          <w:p w14:paraId="212E0000">
            <w:pPr>
              <w:widowControl w:val="1"/>
              <w:ind/>
              <w:jc w:val="center"/>
              <w:rPr>
                <w:sz w:val="18"/>
              </w:rPr>
            </w:pPr>
            <w:r>
              <w:rPr>
                <w:sz w:val="18"/>
              </w:rPr>
              <w:t>801513,55</w:t>
            </w:r>
          </w:p>
        </w:tc>
        <w:tc>
          <w:tcPr>
            <w:tcW w:type="dxa" w:w="771"/>
            <w:tcBorders>
              <w:top w:color="000000" w:sz="4" w:val="single"/>
              <w:left w:color="000000" w:sz="4" w:val="single"/>
              <w:bottom w:color="000000" w:sz="4" w:val="single"/>
              <w:right w:color="000000" w:sz="4" w:val="single"/>
            </w:tcBorders>
            <w:shd w:fill="FFFFFF" w:val="clear"/>
            <w:vAlign w:val="center"/>
          </w:tcPr>
          <w:p w14:paraId="222E0000">
            <w:pPr>
              <w:widowControl w:val="1"/>
              <w:ind/>
              <w:jc w:val="center"/>
              <w:rPr>
                <w:color w:val="000000"/>
                <w:sz w:val="18"/>
              </w:rPr>
            </w:pPr>
            <w:r>
              <w:rPr>
                <w:color w:val="000000"/>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232E0000">
            <w:pPr>
              <w:widowControl w:val="1"/>
              <w:ind/>
              <w:jc w:val="center"/>
              <w:rPr>
                <w:color w:val="000000"/>
                <w:sz w:val="18"/>
              </w:rPr>
            </w:pPr>
            <w:r>
              <w:rPr>
                <w:color w:val="000000"/>
                <w:sz w:val="18"/>
              </w:rPr>
              <w:t>январь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242E0000">
            <w:pPr>
              <w:widowControl w:val="1"/>
              <w:ind/>
              <w:jc w:val="center"/>
              <w:rPr>
                <w:sz w:val="18"/>
              </w:rPr>
            </w:pPr>
            <w:r>
              <w:rPr>
                <w:sz w:val="18"/>
              </w:rPr>
              <w:t>договор № 48 от 20.02.2018</w:t>
            </w:r>
          </w:p>
        </w:tc>
      </w:tr>
      <w:tr>
        <w:trPr>
          <w:trHeight w:hRule="atLeast" w:val="1215"/>
        </w:trPr>
        <w:tc>
          <w:tcPr>
            <w:tcW w:type="dxa" w:w="708"/>
            <w:tcBorders>
              <w:top w:color="000000" w:sz="4" w:val="single"/>
              <w:left w:color="000000" w:sz="4" w:val="single"/>
              <w:bottom w:color="000000" w:sz="4" w:val="single"/>
              <w:right w:color="000000" w:sz="4" w:val="single"/>
            </w:tcBorders>
            <w:shd w:fill="FFFFFF" w:val="clear"/>
            <w:vAlign w:val="center"/>
          </w:tcPr>
          <w:p w14:paraId="252E0000">
            <w:pPr>
              <w:widowControl w:val="1"/>
              <w:ind/>
              <w:jc w:val="center"/>
              <w:rPr>
                <w:color w:val="000000"/>
                <w:sz w:val="18"/>
              </w:rPr>
            </w:pPr>
            <w:r>
              <w:rPr>
                <w:color w:val="000000"/>
                <w:sz w:val="18"/>
              </w:rPr>
              <w:t>16</w:t>
            </w:r>
          </w:p>
        </w:tc>
        <w:tc>
          <w:tcPr>
            <w:tcW w:type="dxa" w:w="618"/>
            <w:tcBorders>
              <w:top w:color="000000" w:sz="4" w:val="single"/>
              <w:left w:color="000000" w:sz="4" w:val="single"/>
              <w:bottom w:color="000000" w:sz="4" w:val="single"/>
              <w:right w:color="000000" w:sz="4" w:val="single"/>
            </w:tcBorders>
            <w:shd w:fill="FFFFFF" w:val="clear"/>
            <w:vAlign w:val="center"/>
          </w:tcPr>
          <w:p w14:paraId="262E0000">
            <w:pPr>
              <w:widowControl w:val="1"/>
              <w:ind/>
              <w:jc w:val="center"/>
              <w:rPr>
                <w:color w:val="000000"/>
                <w:sz w:val="18"/>
              </w:rPr>
            </w:pPr>
            <w:r>
              <w:rPr>
                <w:color w:val="000000"/>
                <w:sz w:val="18"/>
              </w:rPr>
              <w:t>18</w:t>
            </w:r>
          </w:p>
        </w:tc>
        <w:tc>
          <w:tcPr>
            <w:tcW w:type="dxa" w:w="993"/>
            <w:tcBorders>
              <w:top w:color="000000" w:sz="4" w:val="single"/>
              <w:left w:color="000000" w:sz="4" w:val="single"/>
              <w:bottom w:color="000000" w:sz="4" w:val="single"/>
              <w:right w:color="000000" w:sz="4" w:val="single"/>
            </w:tcBorders>
            <w:shd w:fill="FFFFFF" w:val="clear"/>
            <w:vAlign w:val="center"/>
          </w:tcPr>
          <w:p w14:paraId="272E0000">
            <w:pPr>
              <w:widowControl w:val="1"/>
              <w:ind/>
              <w:jc w:val="center"/>
              <w:rPr>
                <w:sz w:val="18"/>
              </w:rPr>
            </w:pPr>
            <w:r>
              <w:rPr>
                <w:sz w:val="18"/>
              </w:rPr>
              <w:t>выполнение работ по ремонту и техническому обслуживанию электропоездов переменного тока ЭД9М №№ 0217, 0218, 0219</w:t>
            </w:r>
          </w:p>
        </w:tc>
        <w:tc>
          <w:tcPr>
            <w:tcW w:type="dxa" w:w="849"/>
            <w:tcBorders>
              <w:top w:color="000000" w:sz="4" w:val="single"/>
              <w:left w:color="000000" w:sz="4" w:val="single"/>
              <w:bottom w:color="000000" w:sz="4" w:val="single"/>
              <w:right w:color="000000" w:sz="4" w:val="single"/>
            </w:tcBorders>
            <w:shd w:fill="FFFFFF" w:val="clear"/>
            <w:vAlign w:val="center"/>
          </w:tcPr>
          <w:p w14:paraId="282E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292E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2A2E0000">
            <w:pPr>
              <w:widowControl w:val="1"/>
              <w:ind/>
              <w:jc w:val="center"/>
              <w:rPr>
                <w:sz w:val="18"/>
              </w:rPr>
            </w:pPr>
            <w:r>
              <w:rPr>
                <w:sz w:val="18"/>
              </w:rPr>
              <w:t>7955243,09</w:t>
            </w:r>
          </w:p>
        </w:tc>
        <w:tc>
          <w:tcPr>
            <w:tcW w:type="dxa" w:w="1134"/>
            <w:tcBorders>
              <w:top w:color="000000" w:sz="4" w:val="single"/>
              <w:left w:color="000000" w:sz="4" w:val="single"/>
              <w:bottom w:color="000000" w:sz="4" w:val="single"/>
              <w:right w:color="000000" w:sz="4" w:val="single"/>
            </w:tcBorders>
            <w:shd w:fill="FFFFFF" w:val="clear"/>
            <w:vAlign w:val="center"/>
          </w:tcPr>
          <w:p w14:paraId="2B2E0000">
            <w:pPr>
              <w:widowControl w:val="1"/>
              <w:ind/>
              <w:jc w:val="center"/>
              <w:rPr>
                <w:sz w:val="18"/>
              </w:rPr>
            </w:pPr>
            <w:r>
              <w:rPr>
                <w:sz w:val="18"/>
              </w:rPr>
              <w:t>9387186,85</w:t>
            </w:r>
          </w:p>
        </w:tc>
        <w:tc>
          <w:tcPr>
            <w:tcW w:type="dxa" w:w="993"/>
            <w:tcBorders>
              <w:top w:color="000000" w:sz="4" w:val="single"/>
              <w:left w:color="000000" w:sz="4" w:val="single"/>
              <w:bottom w:color="000000" w:sz="4" w:val="single"/>
              <w:right w:color="000000" w:sz="4" w:val="single"/>
            </w:tcBorders>
            <w:shd w:fill="FFFFFF" w:val="clear"/>
            <w:vAlign w:val="center"/>
          </w:tcPr>
          <w:p w14:paraId="2C2E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2D2E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2E2E0000">
            <w:pPr>
              <w:widowControl w:val="1"/>
              <w:ind/>
              <w:jc w:val="center"/>
              <w:rPr>
                <w:sz w:val="18"/>
              </w:rPr>
            </w:pPr>
            <w:r>
              <w:rPr>
                <w:sz w:val="18"/>
              </w:rPr>
              <w:t>31806181413</w:t>
            </w:r>
          </w:p>
        </w:tc>
        <w:tc>
          <w:tcPr>
            <w:tcW w:type="dxa" w:w="652"/>
            <w:tcBorders>
              <w:top w:color="000000" w:sz="4" w:val="single"/>
              <w:left w:color="000000" w:sz="4" w:val="single"/>
              <w:bottom w:color="000000" w:sz="4" w:val="single"/>
              <w:right w:color="000000" w:sz="4" w:val="single"/>
            </w:tcBorders>
            <w:shd w:fill="FFFFFF" w:val="clear"/>
            <w:vAlign w:val="center"/>
          </w:tcPr>
          <w:p w14:paraId="2F2E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302E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312E0000">
            <w:pPr>
              <w:widowControl w:val="1"/>
              <w:ind/>
              <w:jc w:val="center"/>
              <w:rPr>
                <w:sz w:val="18"/>
              </w:rPr>
            </w:pPr>
            <w:r>
              <w:rPr>
                <w:sz w:val="18"/>
              </w:rPr>
              <w:t>7955243,09</w:t>
            </w:r>
          </w:p>
        </w:tc>
        <w:tc>
          <w:tcPr>
            <w:tcW w:type="dxa" w:w="1185"/>
            <w:tcBorders>
              <w:top w:color="000000" w:sz="4" w:val="single"/>
              <w:left w:color="000000" w:sz="4" w:val="single"/>
              <w:bottom w:color="000000" w:sz="4" w:val="single"/>
              <w:right w:color="000000" w:sz="4" w:val="single"/>
            </w:tcBorders>
            <w:shd w:fill="FFFFFF" w:val="clear"/>
            <w:vAlign w:val="center"/>
          </w:tcPr>
          <w:p w14:paraId="322E0000">
            <w:pPr>
              <w:widowControl w:val="1"/>
              <w:ind/>
              <w:jc w:val="center"/>
              <w:rPr>
                <w:sz w:val="18"/>
              </w:rPr>
            </w:pPr>
            <w:r>
              <w:rPr>
                <w:sz w:val="18"/>
              </w:rPr>
              <w:t>9387186,85</w:t>
            </w:r>
          </w:p>
        </w:tc>
        <w:tc>
          <w:tcPr>
            <w:tcW w:type="dxa" w:w="1083"/>
            <w:tcBorders>
              <w:top w:color="000000" w:sz="4" w:val="single"/>
              <w:left w:color="000000" w:sz="4" w:val="single"/>
              <w:bottom w:color="000000" w:sz="4" w:val="single"/>
              <w:right w:color="000000" w:sz="4" w:val="single"/>
            </w:tcBorders>
            <w:shd w:fill="FFFFFF" w:val="clear"/>
            <w:vAlign w:val="center"/>
          </w:tcPr>
          <w:p w14:paraId="332E0000">
            <w:pPr>
              <w:widowControl w:val="1"/>
              <w:ind/>
              <w:jc w:val="center"/>
              <w:rPr>
                <w:sz w:val="18"/>
              </w:rPr>
            </w:pPr>
            <w:r>
              <w:rPr>
                <w:sz w:val="18"/>
              </w:rPr>
              <w:t>9387186,85</w:t>
            </w:r>
          </w:p>
        </w:tc>
        <w:tc>
          <w:tcPr>
            <w:tcW w:type="dxa" w:w="771"/>
            <w:tcBorders>
              <w:top w:color="000000" w:sz="4" w:val="single"/>
              <w:left w:color="000000" w:sz="4" w:val="single"/>
              <w:bottom w:color="000000" w:sz="4" w:val="single"/>
              <w:right w:color="000000" w:sz="4" w:val="single"/>
            </w:tcBorders>
            <w:shd w:fill="FFFFFF" w:val="clear"/>
            <w:vAlign w:val="center"/>
          </w:tcPr>
          <w:p w14:paraId="342E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352E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362E0000">
            <w:pPr>
              <w:widowControl w:val="1"/>
              <w:ind/>
              <w:jc w:val="center"/>
              <w:rPr>
                <w:sz w:val="18"/>
              </w:rPr>
            </w:pPr>
            <w:r>
              <w:rPr>
                <w:sz w:val="18"/>
              </w:rPr>
              <w:t>договор № 2781098 от 26.02.2018</w:t>
            </w:r>
          </w:p>
        </w:tc>
      </w:tr>
      <w:tr>
        <w:trPr>
          <w:trHeight w:hRule="atLeast" w:val="1485"/>
        </w:trPr>
        <w:tc>
          <w:tcPr>
            <w:tcW w:type="dxa" w:w="708"/>
            <w:tcBorders>
              <w:top w:color="000000" w:sz="4" w:val="single"/>
              <w:left w:color="000000" w:sz="4" w:val="single"/>
              <w:bottom w:color="000000" w:sz="4" w:val="single"/>
              <w:right w:color="000000" w:sz="4" w:val="single"/>
            </w:tcBorders>
            <w:shd w:fill="FFFFFF" w:val="clear"/>
            <w:vAlign w:val="center"/>
          </w:tcPr>
          <w:p w14:paraId="372E0000">
            <w:pPr>
              <w:widowControl w:val="1"/>
              <w:ind/>
              <w:jc w:val="center"/>
              <w:rPr>
                <w:color w:val="000000"/>
                <w:sz w:val="18"/>
              </w:rPr>
            </w:pPr>
            <w:r>
              <w:rPr>
                <w:color w:val="000000"/>
                <w:sz w:val="18"/>
              </w:rPr>
              <w:t>17</w:t>
            </w:r>
          </w:p>
        </w:tc>
        <w:tc>
          <w:tcPr>
            <w:tcW w:type="dxa" w:w="618"/>
            <w:tcBorders>
              <w:top w:color="000000" w:sz="4" w:val="single"/>
              <w:left w:color="000000" w:sz="4" w:val="single"/>
              <w:bottom w:color="000000" w:sz="4" w:val="single"/>
              <w:right w:color="000000" w:sz="4" w:val="single"/>
            </w:tcBorders>
            <w:shd w:fill="FFFFFF" w:val="clear"/>
            <w:vAlign w:val="center"/>
          </w:tcPr>
          <w:p w14:paraId="382E0000">
            <w:pPr>
              <w:widowControl w:val="1"/>
              <w:ind/>
              <w:jc w:val="center"/>
              <w:rPr>
                <w:color w:val="000000"/>
                <w:sz w:val="18"/>
              </w:rPr>
            </w:pPr>
            <w:r>
              <w:rPr>
                <w:color w:val="000000"/>
                <w:sz w:val="18"/>
              </w:rPr>
              <w:t>20</w:t>
            </w:r>
          </w:p>
        </w:tc>
        <w:tc>
          <w:tcPr>
            <w:tcW w:type="dxa" w:w="993"/>
            <w:tcBorders>
              <w:top w:color="000000" w:sz="4" w:val="single"/>
              <w:left w:color="000000" w:sz="4" w:val="single"/>
              <w:bottom w:color="000000" w:sz="4" w:val="single"/>
              <w:right w:color="000000" w:sz="4" w:val="single"/>
            </w:tcBorders>
            <w:shd w:fill="FFFFFF" w:val="clear"/>
            <w:vAlign w:val="center"/>
          </w:tcPr>
          <w:p w14:paraId="392E0000">
            <w:pPr>
              <w:widowControl w:val="1"/>
              <w:ind/>
              <w:jc w:val="center"/>
              <w:rPr>
                <w:sz w:val="18"/>
              </w:rPr>
            </w:pPr>
            <w:r>
              <w:rPr>
                <w:sz w:val="18"/>
              </w:rPr>
              <w:t>Поставка специальной одежды</w:t>
            </w:r>
          </w:p>
        </w:tc>
        <w:tc>
          <w:tcPr>
            <w:tcW w:type="dxa" w:w="849"/>
            <w:tcBorders>
              <w:top w:color="000000" w:sz="4" w:val="single"/>
              <w:left w:color="000000" w:sz="4" w:val="single"/>
              <w:bottom w:color="000000" w:sz="4" w:val="single"/>
              <w:right w:color="000000" w:sz="4" w:val="single"/>
            </w:tcBorders>
            <w:shd w:fill="FFFFFF" w:val="clear"/>
            <w:vAlign w:val="center"/>
          </w:tcPr>
          <w:p w14:paraId="3A2E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3B2E0000">
            <w:pPr>
              <w:widowControl w:val="1"/>
              <w:ind/>
              <w:jc w:val="center"/>
              <w:rPr>
                <w:sz w:val="18"/>
              </w:rPr>
            </w:pPr>
            <w:r>
              <w:rPr>
                <w:sz w:val="18"/>
              </w:rPr>
              <w:t>2150</w:t>
            </w:r>
          </w:p>
        </w:tc>
        <w:tc>
          <w:tcPr>
            <w:tcW w:type="dxa" w:w="991"/>
            <w:tcBorders>
              <w:top w:color="000000" w:sz="4" w:val="single"/>
              <w:left w:color="000000" w:sz="4" w:val="single"/>
              <w:bottom w:color="000000" w:sz="4" w:val="single"/>
              <w:right w:color="000000" w:sz="4" w:val="single"/>
            </w:tcBorders>
            <w:shd w:fill="FFFFFF" w:val="clear"/>
            <w:vAlign w:val="center"/>
          </w:tcPr>
          <w:p w14:paraId="3C2E0000">
            <w:pPr>
              <w:widowControl w:val="1"/>
              <w:ind/>
              <w:jc w:val="center"/>
              <w:rPr>
                <w:sz w:val="18"/>
              </w:rPr>
            </w:pPr>
            <w:r>
              <w:rPr>
                <w:sz w:val="18"/>
              </w:rPr>
              <w:t>254237,29</w:t>
            </w:r>
          </w:p>
        </w:tc>
        <w:tc>
          <w:tcPr>
            <w:tcW w:type="dxa" w:w="1134"/>
            <w:tcBorders>
              <w:top w:color="000000" w:sz="4" w:val="single"/>
              <w:left w:color="000000" w:sz="4" w:val="single"/>
              <w:bottom w:color="000000" w:sz="4" w:val="single"/>
              <w:right w:color="000000" w:sz="4" w:val="single"/>
            </w:tcBorders>
            <w:shd w:fill="FFFFFF" w:val="clear"/>
            <w:vAlign w:val="center"/>
          </w:tcPr>
          <w:p w14:paraId="3D2E0000">
            <w:pPr>
              <w:widowControl w:val="1"/>
              <w:ind/>
              <w:jc w:val="center"/>
              <w:rPr>
                <w:sz w:val="18"/>
              </w:rPr>
            </w:pPr>
            <w:r>
              <w:rPr>
                <w:sz w:val="18"/>
              </w:rPr>
              <w:t>300000,00</w:t>
            </w:r>
          </w:p>
        </w:tc>
        <w:tc>
          <w:tcPr>
            <w:tcW w:type="dxa" w:w="993"/>
            <w:tcBorders>
              <w:top w:color="000000" w:sz="4" w:val="single"/>
              <w:left w:color="000000" w:sz="4" w:val="single"/>
              <w:bottom w:color="000000" w:sz="4" w:val="single"/>
              <w:right w:color="000000" w:sz="4" w:val="single"/>
            </w:tcBorders>
            <w:shd w:fill="FFFFFF" w:val="clear"/>
            <w:vAlign w:val="center"/>
          </w:tcPr>
          <w:p w14:paraId="3E2E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3F2E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402E0000">
            <w:pPr>
              <w:widowControl w:val="1"/>
              <w:ind/>
              <w:jc w:val="center"/>
              <w:rPr>
                <w:sz w:val="18"/>
              </w:rPr>
            </w:pPr>
            <w:r>
              <w:rPr>
                <w:sz w:val="18"/>
              </w:rPr>
              <w:t>31806181557</w:t>
            </w:r>
          </w:p>
        </w:tc>
        <w:tc>
          <w:tcPr>
            <w:tcW w:type="dxa" w:w="652"/>
            <w:tcBorders>
              <w:top w:color="000000" w:sz="4" w:val="single"/>
              <w:left w:color="000000" w:sz="4" w:val="single"/>
              <w:bottom w:color="000000" w:sz="4" w:val="single"/>
              <w:right w:color="000000" w:sz="4" w:val="single"/>
            </w:tcBorders>
            <w:shd w:fill="FFFFFF" w:val="clear"/>
            <w:vAlign w:val="center"/>
          </w:tcPr>
          <w:p w14:paraId="412E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422E0000">
            <w:pPr>
              <w:widowControl w:val="1"/>
              <w:ind/>
              <w:jc w:val="center"/>
              <w:rPr>
                <w:sz w:val="18"/>
              </w:rPr>
            </w:pPr>
            <w:r>
              <w:rPr>
                <w:sz w:val="18"/>
              </w:rPr>
              <w:t>2150</w:t>
            </w:r>
          </w:p>
        </w:tc>
        <w:tc>
          <w:tcPr>
            <w:tcW w:type="dxa" w:w="1169"/>
            <w:tcBorders>
              <w:top w:color="000000" w:sz="4" w:val="single"/>
              <w:left w:color="000000" w:sz="4" w:val="single"/>
              <w:bottom w:color="000000" w:sz="4" w:val="single"/>
              <w:right w:color="000000" w:sz="4" w:val="single"/>
            </w:tcBorders>
            <w:shd w:fill="FFFFFF" w:val="clear"/>
            <w:vAlign w:val="center"/>
          </w:tcPr>
          <w:p w14:paraId="432E0000">
            <w:pPr>
              <w:widowControl w:val="1"/>
              <w:ind/>
              <w:jc w:val="center"/>
              <w:rPr>
                <w:sz w:val="18"/>
              </w:rPr>
            </w:pPr>
            <w:r>
              <w:rPr>
                <w:sz w:val="18"/>
              </w:rPr>
              <w:t>248466,27</w:t>
            </w:r>
          </w:p>
        </w:tc>
        <w:tc>
          <w:tcPr>
            <w:tcW w:type="dxa" w:w="1185"/>
            <w:tcBorders>
              <w:top w:color="000000" w:sz="4" w:val="single"/>
              <w:left w:color="000000" w:sz="4" w:val="single"/>
              <w:bottom w:color="000000" w:sz="4" w:val="single"/>
              <w:right w:color="000000" w:sz="4" w:val="single"/>
            </w:tcBorders>
            <w:shd w:fill="FFFFFF" w:val="clear"/>
            <w:vAlign w:val="center"/>
          </w:tcPr>
          <w:p w14:paraId="442E0000">
            <w:pPr>
              <w:widowControl w:val="1"/>
              <w:ind/>
              <w:jc w:val="center"/>
              <w:rPr>
                <w:sz w:val="18"/>
              </w:rPr>
            </w:pPr>
            <w:r>
              <w:rPr>
                <w:sz w:val="18"/>
              </w:rPr>
              <w:t>293190,20</w:t>
            </w:r>
          </w:p>
        </w:tc>
        <w:tc>
          <w:tcPr>
            <w:tcW w:type="dxa" w:w="1083"/>
            <w:tcBorders>
              <w:top w:color="000000" w:sz="4" w:val="single"/>
              <w:left w:color="000000" w:sz="4" w:val="single"/>
              <w:bottom w:color="000000" w:sz="4" w:val="single"/>
              <w:right w:color="000000" w:sz="4" w:val="single"/>
            </w:tcBorders>
            <w:shd w:fill="FFFFFF" w:val="clear"/>
            <w:vAlign w:val="center"/>
          </w:tcPr>
          <w:p w14:paraId="452E0000">
            <w:pPr>
              <w:widowControl w:val="1"/>
              <w:ind/>
              <w:jc w:val="center"/>
              <w:rPr>
                <w:sz w:val="18"/>
              </w:rPr>
            </w:pPr>
            <w:r>
              <w:rPr>
                <w:sz w:val="18"/>
              </w:rPr>
              <w:t>293190,20</w:t>
            </w:r>
          </w:p>
        </w:tc>
        <w:tc>
          <w:tcPr>
            <w:tcW w:type="dxa" w:w="771"/>
            <w:tcBorders>
              <w:top w:color="000000" w:sz="4" w:val="single"/>
              <w:left w:color="000000" w:sz="4" w:val="single"/>
              <w:bottom w:color="000000" w:sz="4" w:val="single"/>
              <w:right w:color="000000" w:sz="4" w:val="single"/>
            </w:tcBorders>
            <w:shd w:fill="FFFFFF" w:val="clear"/>
            <w:vAlign w:val="center"/>
          </w:tcPr>
          <w:p w14:paraId="462E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472E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482E0000">
            <w:pPr>
              <w:widowControl w:val="1"/>
              <w:ind/>
              <w:jc w:val="center"/>
              <w:rPr>
                <w:sz w:val="18"/>
              </w:rPr>
            </w:pPr>
            <w:r>
              <w:rPr>
                <w:sz w:val="18"/>
              </w:rPr>
              <w:t>договор № 33 от 26.02.2018</w:t>
            </w:r>
          </w:p>
        </w:tc>
      </w:tr>
      <w:tr>
        <w:trPr>
          <w:trHeight w:hRule="atLeast" w:val="1110"/>
        </w:trPr>
        <w:tc>
          <w:tcPr>
            <w:tcW w:type="dxa" w:w="708"/>
            <w:tcBorders>
              <w:top w:color="000000" w:sz="4" w:val="single"/>
              <w:left w:color="000000" w:sz="4" w:val="single"/>
              <w:bottom w:color="000000" w:sz="4" w:val="single"/>
              <w:right w:color="000000" w:sz="4" w:val="single"/>
            </w:tcBorders>
            <w:shd w:fill="FFFFFF" w:val="clear"/>
            <w:vAlign w:val="center"/>
          </w:tcPr>
          <w:p w14:paraId="492E0000">
            <w:pPr>
              <w:widowControl w:val="1"/>
              <w:ind/>
              <w:jc w:val="center"/>
              <w:rPr>
                <w:color w:val="000000"/>
                <w:sz w:val="18"/>
              </w:rPr>
            </w:pPr>
            <w:r>
              <w:rPr>
                <w:color w:val="000000"/>
                <w:sz w:val="18"/>
              </w:rPr>
              <w:t>18</w:t>
            </w:r>
          </w:p>
        </w:tc>
        <w:tc>
          <w:tcPr>
            <w:tcW w:type="dxa" w:w="618"/>
            <w:tcBorders>
              <w:top w:color="000000" w:sz="4" w:val="single"/>
              <w:left w:color="000000" w:sz="4" w:val="single"/>
              <w:bottom w:color="000000" w:sz="4" w:val="single"/>
              <w:right w:color="000000" w:sz="4" w:val="single"/>
            </w:tcBorders>
            <w:shd w:fill="FFFFFF" w:val="clear"/>
            <w:vAlign w:val="center"/>
          </w:tcPr>
          <w:p w14:paraId="4A2E0000">
            <w:pPr>
              <w:widowControl w:val="1"/>
              <w:ind/>
              <w:jc w:val="center"/>
              <w:rPr>
                <w:sz w:val="18"/>
              </w:rPr>
            </w:pPr>
            <w:r>
              <w:rPr>
                <w:sz w:val="18"/>
              </w:rPr>
              <w:t>21</w:t>
            </w:r>
          </w:p>
        </w:tc>
        <w:tc>
          <w:tcPr>
            <w:tcW w:type="dxa" w:w="993"/>
            <w:tcBorders>
              <w:top w:color="000000" w:sz="4" w:val="single"/>
              <w:left w:color="000000" w:sz="4" w:val="single"/>
              <w:bottom w:color="000000" w:sz="4" w:val="single"/>
              <w:right w:color="000000" w:sz="4" w:val="single"/>
            </w:tcBorders>
            <w:shd w:fill="FFFFFF" w:val="clear"/>
            <w:vAlign w:val="center"/>
          </w:tcPr>
          <w:p w14:paraId="4B2E0000">
            <w:pPr>
              <w:widowControl w:val="1"/>
              <w:ind/>
              <w:jc w:val="center"/>
              <w:rPr>
                <w:sz w:val="18"/>
              </w:rPr>
            </w:pPr>
            <w:r>
              <w:rPr>
                <w:sz w:val="18"/>
              </w:rPr>
              <w:t>Поставка специальной обуви</w:t>
            </w:r>
          </w:p>
        </w:tc>
        <w:tc>
          <w:tcPr>
            <w:tcW w:type="dxa" w:w="849"/>
            <w:tcBorders>
              <w:top w:color="000000" w:sz="4" w:val="single"/>
              <w:left w:color="000000" w:sz="4" w:val="single"/>
              <w:bottom w:color="000000" w:sz="4" w:val="single"/>
              <w:right w:color="000000" w:sz="4" w:val="single"/>
            </w:tcBorders>
            <w:shd w:fill="FFFFFF" w:val="clear"/>
            <w:vAlign w:val="center"/>
          </w:tcPr>
          <w:p w14:paraId="4C2E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4D2E0000">
            <w:pPr>
              <w:widowControl w:val="1"/>
              <w:ind/>
              <w:jc w:val="center"/>
              <w:rPr>
                <w:sz w:val="18"/>
              </w:rPr>
            </w:pPr>
            <w:r>
              <w:rPr>
                <w:sz w:val="18"/>
              </w:rPr>
              <w:t>169</w:t>
            </w:r>
          </w:p>
        </w:tc>
        <w:tc>
          <w:tcPr>
            <w:tcW w:type="dxa" w:w="991"/>
            <w:tcBorders>
              <w:top w:color="000000" w:sz="4" w:val="single"/>
              <w:left w:color="000000" w:sz="4" w:val="single"/>
              <w:bottom w:color="000000" w:sz="4" w:val="single"/>
              <w:right w:color="000000" w:sz="4" w:val="single"/>
            </w:tcBorders>
            <w:shd w:fill="FFFFFF" w:val="clear"/>
            <w:vAlign w:val="center"/>
          </w:tcPr>
          <w:p w14:paraId="4E2E0000">
            <w:pPr>
              <w:widowControl w:val="1"/>
              <w:ind/>
              <w:jc w:val="center"/>
              <w:rPr>
                <w:sz w:val="18"/>
              </w:rPr>
            </w:pPr>
            <w:r>
              <w:rPr>
                <w:sz w:val="18"/>
              </w:rPr>
              <w:t>211864,41</w:t>
            </w:r>
          </w:p>
        </w:tc>
        <w:tc>
          <w:tcPr>
            <w:tcW w:type="dxa" w:w="1134"/>
            <w:tcBorders>
              <w:top w:color="000000" w:sz="4" w:val="single"/>
              <w:left w:color="000000" w:sz="4" w:val="single"/>
              <w:bottom w:color="000000" w:sz="4" w:val="single"/>
              <w:right w:color="000000" w:sz="4" w:val="single"/>
            </w:tcBorders>
            <w:shd w:fill="FFFFFF" w:val="clear"/>
            <w:vAlign w:val="center"/>
          </w:tcPr>
          <w:p w14:paraId="4F2E0000">
            <w:pPr>
              <w:widowControl w:val="1"/>
              <w:ind/>
              <w:jc w:val="center"/>
              <w:rPr>
                <w:sz w:val="18"/>
              </w:rPr>
            </w:pPr>
            <w:r>
              <w:rPr>
                <w:sz w:val="18"/>
              </w:rPr>
              <w:t>250000,00</w:t>
            </w:r>
          </w:p>
        </w:tc>
        <w:tc>
          <w:tcPr>
            <w:tcW w:type="dxa" w:w="993"/>
            <w:tcBorders>
              <w:top w:color="000000" w:sz="4" w:val="single"/>
              <w:left w:color="000000" w:sz="4" w:val="single"/>
              <w:bottom w:color="000000" w:sz="4" w:val="single"/>
              <w:right w:color="000000" w:sz="4" w:val="single"/>
            </w:tcBorders>
            <w:shd w:fill="FFFFFF" w:val="clear"/>
            <w:vAlign w:val="center"/>
          </w:tcPr>
          <w:p w14:paraId="502E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512E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522E0000">
            <w:pPr>
              <w:widowControl w:val="1"/>
              <w:ind/>
              <w:jc w:val="center"/>
              <w:rPr>
                <w:sz w:val="18"/>
              </w:rPr>
            </w:pPr>
            <w:r>
              <w:rPr>
                <w:sz w:val="18"/>
              </w:rPr>
              <w:t>31806182057</w:t>
            </w:r>
          </w:p>
        </w:tc>
        <w:tc>
          <w:tcPr>
            <w:tcW w:type="dxa" w:w="652"/>
            <w:tcBorders>
              <w:top w:color="000000" w:sz="4" w:val="single"/>
              <w:left w:color="000000" w:sz="4" w:val="single"/>
              <w:bottom w:color="000000" w:sz="4" w:val="single"/>
              <w:right w:color="000000" w:sz="4" w:val="single"/>
            </w:tcBorders>
            <w:shd w:fill="FFFFFF" w:val="clear"/>
            <w:vAlign w:val="center"/>
          </w:tcPr>
          <w:p w14:paraId="532E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542E0000">
            <w:pPr>
              <w:widowControl w:val="1"/>
              <w:ind/>
              <w:jc w:val="center"/>
              <w:rPr>
                <w:sz w:val="18"/>
              </w:rPr>
            </w:pPr>
            <w:r>
              <w:rPr>
                <w:sz w:val="18"/>
              </w:rPr>
              <w:t>169</w:t>
            </w:r>
          </w:p>
        </w:tc>
        <w:tc>
          <w:tcPr>
            <w:tcW w:type="dxa" w:w="1169"/>
            <w:tcBorders>
              <w:top w:color="000000" w:sz="4" w:val="single"/>
              <w:left w:color="000000" w:sz="4" w:val="single"/>
              <w:bottom w:color="000000" w:sz="4" w:val="single"/>
              <w:right w:color="000000" w:sz="4" w:val="single"/>
            </w:tcBorders>
            <w:shd w:fill="FFFFFF" w:val="clear"/>
            <w:vAlign w:val="center"/>
          </w:tcPr>
          <w:p w14:paraId="552E0000">
            <w:pPr>
              <w:widowControl w:val="1"/>
              <w:ind/>
              <w:jc w:val="center"/>
              <w:rPr>
                <w:sz w:val="18"/>
              </w:rPr>
            </w:pPr>
            <w:r>
              <w:rPr>
                <w:sz w:val="18"/>
              </w:rPr>
              <w:t>207222,88</w:t>
            </w:r>
          </w:p>
        </w:tc>
        <w:tc>
          <w:tcPr>
            <w:tcW w:type="dxa" w:w="1185"/>
            <w:tcBorders>
              <w:top w:color="000000" w:sz="4" w:val="single"/>
              <w:left w:color="000000" w:sz="4" w:val="single"/>
              <w:bottom w:color="000000" w:sz="4" w:val="single"/>
              <w:right w:color="000000" w:sz="4" w:val="single"/>
            </w:tcBorders>
            <w:shd w:fill="FFFFFF" w:val="clear"/>
            <w:vAlign w:val="center"/>
          </w:tcPr>
          <w:p w14:paraId="562E0000">
            <w:pPr>
              <w:widowControl w:val="1"/>
              <w:ind/>
              <w:jc w:val="center"/>
              <w:rPr>
                <w:sz w:val="18"/>
              </w:rPr>
            </w:pPr>
            <w:r>
              <w:rPr>
                <w:sz w:val="18"/>
              </w:rPr>
              <w:t>244523,00</w:t>
            </w:r>
          </w:p>
        </w:tc>
        <w:tc>
          <w:tcPr>
            <w:tcW w:type="dxa" w:w="1083"/>
            <w:tcBorders>
              <w:top w:color="000000" w:sz="4" w:val="single"/>
              <w:left w:color="000000" w:sz="4" w:val="single"/>
              <w:bottom w:color="000000" w:sz="4" w:val="single"/>
              <w:right w:color="000000" w:sz="4" w:val="single"/>
            </w:tcBorders>
            <w:shd w:fill="FFFFFF" w:val="clear"/>
            <w:vAlign w:val="center"/>
          </w:tcPr>
          <w:p w14:paraId="572E0000">
            <w:pPr>
              <w:widowControl w:val="1"/>
              <w:ind/>
              <w:jc w:val="center"/>
              <w:rPr>
                <w:sz w:val="18"/>
              </w:rPr>
            </w:pPr>
            <w:r>
              <w:rPr>
                <w:sz w:val="18"/>
              </w:rPr>
              <w:t>244523,00</w:t>
            </w:r>
          </w:p>
        </w:tc>
        <w:tc>
          <w:tcPr>
            <w:tcW w:type="dxa" w:w="771"/>
            <w:tcBorders>
              <w:top w:color="000000" w:sz="4" w:val="single"/>
              <w:left w:color="000000" w:sz="4" w:val="single"/>
              <w:bottom w:color="000000" w:sz="4" w:val="single"/>
              <w:right w:color="000000" w:sz="4" w:val="single"/>
            </w:tcBorders>
            <w:shd w:fill="FFFFFF" w:val="clear"/>
            <w:vAlign w:val="center"/>
          </w:tcPr>
          <w:p w14:paraId="582E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92E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5A2E0000">
            <w:pPr>
              <w:widowControl w:val="1"/>
              <w:ind/>
              <w:jc w:val="center"/>
              <w:rPr>
                <w:sz w:val="18"/>
              </w:rPr>
            </w:pPr>
            <w:r>
              <w:rPr>
                <w:sz w:val="18"/>
              </w:rPr>
              <w:t>договор № 33/1 от 26.02.2018</w:t>
            </w:r>
          </w:p>
        </w:tc>
      </w:tr>
      <w:tr>
        <w:trPr>
          <w:trHeight w:hRule="atLeast" w:val="765"/>
        </w:trPr>
        <w:tc>
          <w:tcPr>
            <w:tcW w:type="dxa" w:w="708"/>
            <w:tcBorders>
              <w:top w:color="000000" w:sz="4" w:val="single"/>
              <w:left w:color="000000" w:sz="4" w:val="single"/>
              <w:bottom w:color="000000" w:sz="4" w:val="single"/>
              <w:right w:color="000000" w:sz="4" w:val="single"/>
            </w:tcBorders>
            <w:shd w:fill="FFFFFF" w:val="clear"/>
            <w:vAlign w:val="center"/>
          </w:tcPr>
          <w:p w14:paraId="5B2E0000">
            <w:pPr>
              <w:widowControl w:val="1"/>
              <w:ind/>
              <w:jc w:val="center"/>
              <w:rPr>
                <w:color w:val="000000"/>
                <w:sz w:val="18"/>
              </w:rPr>
            </w:pPr>
            <w:r>
              <w:rPr>
                <w:color w:val="000000"/>
                <w:sz w:val="18"/>
              </w:rPr>
              <w:t>19</w:t>
            </w:r>
          </w:p>
        </w:tc>
        <w:tc>
          <w:tcPr>
            <w:tcW w:type="dxa" w:w="618"/>
            <w:tcBorders>
              <w:top w:color="000000" w:sz="4" w:val="single"/>
              <w:left w:color="000000" w:sz="4" w:val="single"/>
              <w:bottom w:color="000000" w:sz="4" w:val="single"/>
              <w:right w:color="000000" w:sz="4" w:val="single"/>
            </w:tcBorders>
            <w:shd w:fill="FFFFFF" w:val="clear"/>
            <w:vAlign w:val="center"/>
          </w:tcPr>
          <w:p w14:paraId="5C2E0000">
            <w:pPr>
              <w:widowControl w:val="1"/>
              <w:ind/>
              <w:jc w:val="center"/>
              <w:rPr>
                <w:sz w:val="18"/>
              </w:rPr>
            </w:pPr>
            <w:r>
              <w:rPr>
                <w:sz w:val="18"/>
              </w:rPr>
              <w:t>22</w:t>
            </w:r>
          </w:p>
        </w:tc>
        <w:tc>
          <w:tcPr>
            <w:tcW w:type="dxa" w:w="993"/>
            <w:tcBorders>
              <w:top w:color="000000" w:sz="4" w:val="single"/>
              <w:left w:color="000000" w:sz="4" w:val="single"/>
              <w:bottom w:color="000000" w:sz="4" w:val="single"/>
              <w:right w:color="000000" w:sz="4" w:val="single"/>
            </w:tcBorders>
            <w:shd w:fill="FFFFFF" w:val="clear"/>
            <w:vAlign w:val="center"/>
          </w:tcPr>
          <w:p w14:paraId="5D2E0000">
            <w:pPr>
              <w:widowControl w:val="1"/>
              <w:ind/>
              <w:jc w:val="center"/>
              <w:rPr>
                <w:sz w:val="18"/>
              </w:rPr>
            </w:pPr>
            <w:r>
              <w:rPr>
                <w:sz w:val="18"/>
              </w:rPr>
              <w:t>Поставка изделий из бумаги</w:t>
            </w:r>
          </w:p>
        </w:tc>
        <w:tc>
          <w:tcPr>
            <w:tcW w:type="dxa" w:w="849"/>
            <w:tcBorders>
              <w:top w:color="000000" w:sz="4" w:val="single"/>
              <w:left w:color="000000" w:sz="4" w:val="single"/>
              <w:bottom w:color="000000" w:sz="4" w:val="single"/>
              <w:right w:color="000000" w:sz="4" w:val="single"/>
            </w:tcBorders>
            <w:shd w:fill="FFFFFF" w:val="clear"/>
            <w:vAlign w:val="center"/>
          </w:tcPr>
          <w:p w14:paraId="5E2E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5F2E0000">
            <w:pPr>
              <w:widowControl w:val="1"/>
              <w:ind/>
              <w:jc w:val="center"/>
              <w:rPr>
                <w:sz w:val="18"/>
              </w:rPr>
            </w:pPr>
            <w:r>
              <w:rPr>
                <w:sz w:val="18"/>
              </w:rPr>
              <w:t>5274</w:t>
            </w:r>
          </w:p>
        </w:tc>
        <w:tc>
          <w:tcPr>
            <w:tcW w:type="dxa" w:w="991"/>
            <w:tcBorders>
              <w:top w:color="000000" w:sz="4" w:val="single"/>
              <w:left w:color="000000" w:sz="4" w:val="single"/>
              <w:bottom w:color="000000" w:sz="4" w:val="single"/>
              <w:right w:color="000000" w:sz="4" w:val="single"/>
            </w:tcBorders>
            <w:shd w:fill="FFFFFF" w:val="clear"/>
            <w:vAlign w:val="center"/>
          </w:tcPr>
          <w:p w14:paraId="602E0000">
            <w:pPr>
              <w:widowControl w:val="1"/>
              <w:ind/>
              <w:jc w:val="center"/>
              <w:rPr>
                <w:sz w:val="18"/>
              </w:rPr>
            </w:pPr>
            <w:r>
              <w:rPr>
                <w:sz w:val="18"/>
              </w:rPr>
              <w:t>88305,08</w:t>
            </w:r>
          </w:p>
        </w:tc>
        <w:tc>
          <w:tcPr>
            <w:tcW w:type="dxa" w:w="1134"/>
            <w:tcBorders>
              <w:top w:color="000000" w:sz="4" w:val="single"/>
              <w:left w:color="000000" w:sz="4" w:val="single"/>
              <w:bottom w:color="000000" w:sz="4" w:val="single"/>
              <w:right w:color="000000" w:sz="4" w:val="single"/>
            </w:tcBorders>
            <w:shd w:fill="FFFFFF" w:val="clear"/>
            <w:vAlign w:val="center"/>
          </w:tcPr>
          <w:p w14:paraId="612E0000">
            <w:pPr>
              <w:widowControl w:val="1"/>
              <w:ind/>
              <w:jc w:val="center"/>
              <w:rPr>
                <w:sz w:val="18"/>
              </w:rPr>
            </w:pPr>
            <w:r>
              <w:rPr>
                <w:sz w:val="18"/>
              </w:rPr>
              <w:t>104200,00</w:t>
            </w:r>
          </w:p>
        </w:tc>
        <w:tc>
          <w:tcPr>
            <w:tcW w:type="dxa" w:w="993"/>
            <w:tcBorders>
              <w:top w:color="000000" w:sz="4" w:val="single"/>
              <w:left w:color="000000" w:sz="4" w:val="single"/>
              <w:bottom w:color="000000" w:sz="4" w:val="single"/>
              <w:right w:color="000000" w:sz="4" w:val="single"/>
            </w:tcBorders>
            <w:shd w:fill="FFFFFF" w:val="clear"/>
            <w:vAlign w:val="center"/>
          </w:tcPr>
          <w:p w14:paraId="622E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632E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642E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652E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662E0000">
            <w:pPr>
              <w:widowControl w:val="1"/>
              <w:ind/>
              <w:jc w:val="center"/>
              <w:rPr>
                <w:sz w:val="18"/>
              </w:rPr>
            </w:pPr>
            <w:r>
              <w:rPr>
                <w:sz w:val="18"/>
              </w:rPr>
              <w:t>5274</w:t>
            </w:r>
          </w:p>
        </w:tc>
        <w:tc>
          <w:tcPr>
            <w:tcW w:type="dxa" w:w="1169"/>
            <w:tcBorders>
              <w:top w:color="000000" w:sz="4" w:val="single"/>
              <w:left w:color="000000" w:sz="4" w:val="single"/>
              <w:bottom w:color="000000" w:sz="4" w:val="single"/>
              <w:right w:color="000000" w:sz="4" w:val="single"/>
            </w:tcBorders>
            <w:shd w:fill="FFFFFF" w:val="clear"/>
            <w:vAlign w:val="center"/>
          </w:tcPr>
          <w:p w14:paraId="672E0000">
            <w:pPr>
              <w:widowControl w:val="1"/>
              <w:ind/>
              <w:jc w:val="center"/>
              <w:rPr>
                <w:sz w:val="18"/>
              </w:rPr>
            </w:pPr>
            <w:r>
              <w:rPr>
                <w:sz w:val="18"/>
              </w:rPr>
              <w:t>81645,69</w:t>
            </w:r>
          </w:p>
        </w:tc>
        <w:tc>
          <w:tcPr>
            <w:tcW w:type="dxa" w:w="1185"/>
            <w:tcBorders>
              <w:top w:color="000000" w:sz="4" w:val="single"/>
              <w:left w:color="000000" w:sz="4" w:val="single"/>
              <w:bottom w:color="000000" w:sz="4" w:val="single"/>
              <w:right w:color="000000" w:sz="4" w:val="single"/>
            </w:tcBorders>
            <w:shd w:fill="FFFFFF" w:val="clear"/>
            <w:vAlign w:val="center"/>
          </w:tcPr>
          <w:p w14:paraId="682E0000">
            <w:pPr>
              <w:widowControl w:val="1"/>
              <w:ind/>
              <w:jc w:val="center"/>
              <w:rPr>
                <w:sz w:val="18"/>
              </w:rPr>
            </w:pPr>
            <w:r>
              <w:rPr>
                <w:sz w:val="18"/>
              </w:rPr>
              <w:t>96341,92</w:t>
            </w:r>
          </w:p>
        </w:tc>
        <w:tc>
          <w:tcPr>
            <w:tcW w:type="dxa" w:w="1083"/>
            <w:tcBorders>
              <w:top w:color="000000" w:sz="4" w:val="single"/>
              <w:left w:color="000000" w:sz="4" w:val="single"/>
              <w:bottom w:color="000000" w:sz="4" w:val="single"/>
              <w:right w:color="000000" w:sz="4" w:val="single"/>
            </w:tcBorders>
            <w:shd w:fill="FFFFFF" w:val="clear"/>
            <w:vAlign w:val="center"/>
          </w:tcPr>
          <w:p w14:paraId="692E0000">
            <w:pPr>
              <w:widowControl w:val="1"/>
              <w:ind/>
              <w:jc w:val="center"/>
              <w:rPr>
                <w:sz w:val="18"/>
              </w:rPr>
            </w:pPr>
            <w:r>
              <w:rPr>
                <w:sz w:val="18"/>
              </w:rPr>
              <w:t>96341,92</w:t>
            </w:r>
          </w:p>
        </w:tc>
        <w:tc>
          <w:tcPr>
            <w:tcW w:type="dxa" w:w="771"/>
            <w:tcBorders>
              <w:top w:color="000000" w:sz="4" w:val="single"/>
              <w:left w:color="000000" w:sz="4" w:val="single"/>
              <w:bottom w:color="000000" w:sz="4" w:val="single"/>
              <w:right w:color="000000" w:sz="4" w:val="single"/>
            </w:tcBorders>
            <w:shd w:fill="FFFFFF" w:val="clear"/>
            <w:vAlign w:val="center"/>
          </w:tcPr>
          <w:p w14:paraId="6A2E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6B2E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6C2E0000">
            <w:pPr>
              <w:widowControl w:val="1"/>
              <w:ind/>
              <w:jc w:val="center"/>
              <w:rPr>
                <w:sz w:val="18"/>
              </w:rPr>
            </w:pPr>
            <w:r>
              <w:rPr>
                <w:sz w:val="18"/>
              </w:rPr>
              <w:t>договор № 27 от 20.02.2018</w:t>
            </w:r>
          </w:p>
        </w:tc>
      </w:tr>
      <w:tr>
        <w:trPr>
          <w:trHeight w:hRule="atLeast" w:val="2295"/>
        </w:trPr>
        <w:tc>
          <w:tcPr>
            <w:tcW w:type="dxa" w:w="708"/>
            <w:tcBorders>
              <w:top w:color="000000" w:sz="4" w:val="single"/>
              <w:left w:color="000000" w:sz="4" w:val="single"/>
              <w:bottom w:color="000000" w:sz="4" w:val="single"/>
              <w:right w:color="000000" w:sz="4" w:val="single"/>
            </w:tcBorders>
            <w:shd w:fill="FFFFFF" w:val="clear"/>
            <w:vAlign w:val="center"/>
          </w:tcPr>
          <w:p w14:paraId="6D2E0000">
            <w:pPr>
              <w:widowControl w:val="1"/>
              <w:ind/>
              <w:jc w:val="center"/>
              <w:rPr>
                <w:color w:val="000000"/>
                <w:sz w:val="18"/>
              </w:rPr>
            </w:pPr>
            <w:r>
              <w:rPr>
                <w:color w:val="000000"/>
                <w:sz w:val="18"/>
              </w:rPr>
              <w:t>20</w:t>
            </w:r>
          </w:p>
        </w:tc>
        <w:tc>
          <w:tcPr>
            <w:tcW w:type="dxa" w:w="618"/>
            <w:tcBorders>
              <w:top w:color="000000" w:sz="4" w:val="single"/>
              <w:left w:color="000000" w:sz="4" w:val="single"/>
              <w:bottom w:color="000000" w:sz="4" w:val="single"/>
              <w:right w:color="000000" w:sz="4" w:val="single"/>
            </w:tcBorders>
            <w:shd w:fill="FFFFFF" w:val="clear"/>
            <w:vAlign w:val="center"/>
          </w:tcPr>
          <w:p w14:paraId="6E2E0000">
            <w:pPr>
              <w:widowControl w:val="1"/>
              <w:ind/>
              <w:jc w:val="center"/>
              <w:rPr>
                <w:color w:val="000000"/>
                <w:sz w:val="18"/>
              </w:rPr>
            </w:pPr>
            <w:r>
              <w:rPr>
                <w:color w:val="000000"/>
                <w:sz w:val="18"/>
              </w:rPr>
              <w:t>23</w:t>
            </w:r>
          </w:p>
        </w:tc>
        <w:tc>
          <w:tcPr>
            <w:tcW w:type="dxa" w:w="993"/>
            <w:tcBorders>
              <w:top w:color="000000" w:sz="4" w:val="single"/>
              <w:left w:color="000000" w:sz="4" w:val="single"/>
              <w:bottom w:color="000000" w:sz="4" w:val="single"/>
              <w:right w:color="000000" w:sz="4" w:val="single"/>
            </w:tcBorders>
            <w:shd w:fill="FFFFFF" w:val="clear"/>
            <w:vAlign w:val="center"/>
          </w:tcPr>
          <w:p w14:paraId="6F2E0000">
            <w:pPr>
              <w:widowControl w:val="1"/>
              <w:ind/>
              <w:jc w:val="center"/>
              <w:rPr>
                <w:sz w:val="18"/>
              </w:rPr>
            </w:pPr>
            <w:r>
              <w:rPr>
                <w:sz w:val="18"/>
              </w:rPr>
              <w:t>Оказание услуг по охране имущества для нужд АО "Краспригород" в границах Красноярской железной дороги</w:t>
            </w:r>
          </w:p>
        </w:tc>
        <w:tc>
          <w:tcPr>
            <w:tcW w:type="dxa" w:w="849"/>
            <w:tcBorders>
              <w:top w:color="000000" w:sz="4" w:val="single"/>
              <w:left w:color="000000" w:sz="4" w:val="single"/>
              <w:bottom w:color="000000" w:sz="4" w:val="single"/>
              <w:right w:color="000000" w:sz="4" w:val="single"/>
            </w:tcBorders>
            <w:shd w:fill="FFFFFF" w:val="clear"/>
            <w:vAlign w:val="center"/>
          </w:tcPr>
          <w:p w14:paraId="702E0000">
            <w:pPr>
              <w:widowControl w:val="1"/>
              <w:ind/>
              <w:jc w:val="center"/>
              <w:rPr>
                <w:sz w:val="18"/>
              </w:rPr>
            </w:pPr>
            <w:r>
              <w:rPr>
                <w:sz w:val="18"/>
              </w:rPr>
              <w:t>КПО</w:t>
            </w:r>
          </w:p>
        </w:tc>
        <w:tc>
          <w:tcPr>
            <w:tcW w:type="dxa" w:w="709"/>
            <w:tcBorders>
              <w:top w:color="000000" w:sz="4" w:val="single"/>
              <w:left w:color="000000" w:sz="4" w:val="single"/>
              <w:bottom w:color="000000" w:sz="4" w:val="single"/>
              <w:right w:color="000000" w:sz="4" w:val="single"/>
            </w:tcBorders>
            <w:shd w:fill="FFFFFF" w:val="clear"/>
            <w:vAlign w:val="center"/>
          </w:tcPr>
          <w:p w14:paraId="712E0000">
            <w:pPr>
              <w:widowControl w:val="1"/>
              <w:ind/>
              <w:jc w:val="center"/>
              <w:rPr>
                <w:sz w:val="18"/>
              </w:rPr>
            </w:pPr>
            <w:r>
              <w:rPr>
                <w:sz w:val="18"/>
              </w:rPr>
              <w:t>14 500,00</w:t>
            </w:r>
          </w:p>
        </w:tc>
        <w:tc>
          <w:tcPr>
            <w:tcW w:type="dxa" w:w="991"/>
            <w:tcBorders>
              <w:top w:color="000000" w:sz="4" w:val="single"/>
              <w:left w:color="000000" w:sz="4" w:val="single"/>
              <w:bottom w:color="000000" w:sz="4" w:val="single"/>
              <w:right w:color="000000" w:sz="4" w:val="single"/>
            </w:tcBorders>
            <w:shd w:fill="FFFFFF" w:val="clear"/>
            <w:vAlign w:val="center"/>
          </w:tcPr>
          <w:p w14:paraId="722E0000">
            <w:pPr>
              <w:widowControl w:val="1"/>
              <w:ind/>
              <w:jc w:val="center"/>
              <w:rPr>
                <w:sz w:val="18"/>
              </w:rPr>
            </w:pPr>
            <w:r>
              <w:rPr>
                <w:sz w:val="18"/>
              </w:rPr>
              <w:t>2000000,00</w:t>
            </w:r>
          </w:p>
        </w:tc>
        <w:tc>
          <w:tcPr>
            <w:tcW w:type="dxa" w:w="1134"/>
            <w:tcBorders>
              <w:top w:color="000000" w:sz="4" w:val="single"/>
              <w:left w:color="000000" w:sz="4" w:val="single"/>
              <w:bottom w:color="000000" w:sz="4" w:val="single"/>
              <w:right w:color="000000" w:sz="4" w:val="single"/>
            </w:tcBorders>
            <w:shd w:fill="FFFFFF" w:val="clear"/>
            <w:vAlign w:val="center"/>
          </w:tcPr>
          <w:p w14:paraId="732E0000">
            <w:pPr>
              <w:widowControl w:val="1"/>
              <w:ind/>
              <w:jc w:val="center"/>
              <w:rPr>
                <w:sz w:val="18"/>
              </w:rPr>
            </w:pPr>
            <w:r>
              <w:rPr>
                <w:sz w:val="18"/>
              </w:rPr>
              <w:t>2360000,00</w:t>
            </w:r>
          </w:p>
        </w:tc>
        <w:tc>
          <w:tcPr>
            <w:tcW w:type="dxa" w:w="993"/>
            <w:tcBorders>
              <w:top w:color="000000" w:sz="4" w:val="single"/>
              <w:left w:color="000000" w:sz="4" w:val="single"/>
              <w:bottom w:color="000000" w:sz="4" w:val="single"/>
              <w:right w:color="000000" w:sz="4" w:val="single"/>
            </w:tcBorders>
            <w:shd w:fill="FFFFFF" w:val="clear"/>
            <w:vAlign w:val="center"/>
          </w:tcPr>
          <w:p w14:paraId="742E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752E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762E0000">
            <w:pPr>
              <w:widowControl w:val="1"/>
              <w:ind/>
              <w:jc w:val="center"/>
              <w:rPr>
                <w:sz w:val="18"/>
              </w:rPr>
            </w:pPr>
            <w:r>
              <w:rPr>
                <w:sz w:val="18"/>
              </w:rPr>
              <w:t>31806175482</w:t>
            </w:r>
          </w:p>
        </w:tc>
        <w:tc>
          <w:tcPr>
            <w:tcW w:type="dxa" w:w="652"/>
            <w:tcBorders>
              <w:top w:color="000000" w:sz="4" w:val="single"/>
              <w:left w:color="000000" w:sz="4" w:val="single"/>
              <w:bottom w:color="000000" w:sz="4" w:val="single"/>
              <w:right w:color="000000" w:sz="4" w:val="single"/>
            </w:tcBorders>
            <w:shd w:fill="FFFFFF" w:val="clear"/>
            <w:vAlign w:val="center"/>
          </w:tcPr>
          <w:p w14:paraId="772E0000">
            <w:pPr>
              <w:widowControl w:val="1"/>
              <w:ind/>
              <w:jc w:val="center"/>
              <w:rPr>
                <w:sz w:val="18"/>
              </w:rPr>
            </w:pPr>
            <w:r>
              <w:rPr>
                <w:sz w:val="18"/>
              </w:rPr>
              <w:t>КПО</w:t>
            </w:r>
          </w:p>
        </w:tc>
        <w:tc>
          <w:tcPr>
            <w:tcW w:type="dxa" w:w="992"/>
            <w:tcBorders>
              <w:top w:color="000000" w:sz="4" w:val="single"/>
              <w:left w:color="000000" w:sz="4" w:val="single"/>
              <w:bottom w:color="000000" w:sz="4" w:val="single"/>
              <w:right w:color="000000" w:sz="4" w:val="single"/>
            </w:tcBorders>
            <w:shd w:fill="FFFFFF" w:val="clear"/>
            <w:vAlign w:val="center"/>
          </w:tcPr>
          <w:p w14:paraId="782E0000">
            <w:pPr>
              <w:widowControl w:val="1"/>
              <w:ind/>
              <w:jc w:val="center"/>
              <w:rPr>
                <w:sz w:val="18"/>
              </w:rPr>
            </w:pPr>
            <w:r>
              <w:rPr>
                <w:sz w:val="18"/>
              </w:rPr>
              <w:t>14 500,00</w:t>
            </w:r>
          </w:p>
        </w:tc>
        <w:tc>
          <w:tcPr>
            <w:tcW w:type="dxa" w:w="1169"/>
            <w:tcBorders>
              <w:top w:color="000000" w:sz="4" w:val="single"/>
              <w:left w:color="000000" w:sz="4" w:val="single"/>
              <w:bottom w:color="000000" w:sz="4" w:val="single"/>
              <w:right w:color="000000" w:sz="4" w:val="single"/>
            </w:tcBorders>
            <w:shd w:fill="FFFFFF" w:val="clear"/>
            <w:vAlign w:val="center"/>
          </w:tcPr>
          <w:p w14:paraId="792E0000">
            <w:pPr>
              <w:widowControl w:val="1"/>
              <w:ind/>
              <w:jc w:val="center"/>
              <w:rPr>
                <w:color w:val="000000"/>
                <w:sz w:val="18"/>
              </w:rPr>
            </w:pPr>
            <w:r>
              <w:rPr>
                <w:color w:val="000000"/>
                <w:sz w:val="18"/>
              </w:rPr>
              <w:t>1999985,00</w:t>
            </w:r>
          </w:p>
        </w:tc>
        <w:tc>
          <w:tcPr>
            <w:tcW w:type="dxa" w:w="1185"/>
            <w:tcBorders>
              <w:top w:color="000000" w:sz="4" w:val="single"/>
              <w:left w:color="000000" w:sz="4" w:val="single"/>
              <w:bottom w:color="000000" w:sz="4" w:val="single"/>
              <w:right w:color="000000" w:sz="4" w:val="single"/>
            </w:tcBorders>
            <w:shd w:fill="FFFFFF" w:val="clear"/>
            <w:vAlign w:val="center"/>
          </w:tcPr>
          <w:p w14:paraId="7A2E0000">
            <w:pPr>
              <w:widowControl w:val="1"/>
              <w:ind/>
              <w:jc w:val="center"/>
              <w:rPr>
                <w:color w:val="000000"/>
                <w:sz w:val="18"/>
              </w:rPr>
            </w:pPr>
            <w:r>
              <w:rPr>
                <w:color w:val="000000"/>
                <w:sz w:val="18"/>
              </w:rPr>
              <w:t>2359982,30</w:t>
            </w:r>
          </w:p>
        </w:tc>
        <w:tc>
          <w:tcPr>
            <w:tcW w:type="dxa" w:w="1083"/>
            <w:tcBorders>
              <w:top w:color="000000" w:sz="4" w:val="single"/>
              <w:left w:color="000000" w:sz="4" w:val="single"/>
              <w:bottom w:color="000000" w:sz="4" w:val="single"/>
              <w:right w:color="000000" w:sz="4" w:val="single"/>
            </w:tcBorders>
            <w:shd w:fill="FFFFFF" w:val="clear"/>
            <w:vAlign w:val="center"/>
          </w:tcPr>
          <w:p w14:paraId="7B2E0000">
            <w:pPr>
              <w:widowControl w:val="1"/>
              <w:ind/>
              <w:jc w:val="center"/>
              <w:rPr>
                <w:sz w:val="18"/>
              </w:rPr>
            </w:pPr>
            <w:r>
              <w:rPr>
                <w:sz w:val="18"/>
              </w:rPr>
              <w:t>1987950,00</w:t>
            </w:r>
          </w:p>
        </w:tc>
        <w:tc>
          <w:tcPr>
            <w:tcW w:type="dxa" w:w="771"/>
            <w:tcBorders>
              <w:top w:color="000000" w:sz="4" w:val="single"/>
              <w:left w:color="000000" w:sz="4" w:val="single"/>
              <w:bottom w:color="000000" w:sz="4" w:val="single"/>
              <w:right w:color="000000" w:sz="4" w:val="single"/>
            </w:tcBorders>
            <w:shd w:fill="FFFFFF" w:val="clear"/>
            <w:vAlign w:val="center"/>
          </w:tcPr>
          <w:p w14:paraId="7C2E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7D2E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7E2E0000">
            <w:pPr>
              <w:widowControl w:val="1"/>
              <w:ind/>
              <w:jc w:val="center"/>
              <w:rPr>
                <w:sz w:val="18"/>
              </w:rPr>
            </w:pPr>
            <w:r>
              <w:rPr>
                <w:sz w:val="18"/>
              </w:rPr>
              <w:t>договор № 119 от 11.04.2018</w:t>
            </w:r>
          </w:p>
        </w:tc>
      </w:tr>
      <w:tr>
        <w:trPr>
          <w:trHeight w:hRule="atLeast" w:val="1530"/>
        </w:trPr>
        <w:tc>
          <w:tcPr>
            <w:tcW w:type="dxa" w:w="708"/>
            <w:tcBorders>
              <w:top w:color="000000" w:sz="4" w:val="single"/>
              <w:left w:color="000000" w:sz="4" w:val="single"/>
              <w:bottom w:color="000000" w:sz="4" w:val="single"/>
              <w:right w:color="000000" w:sz="4" w:val="single"/>
            </w:tcBorders>
            <w:shd w:fill="FFFFFF" w:val="clear"/>
            <w:vAlign w:val="center"/>
          </w:tcPr>
          <w:p w14:paraId="7F2E0000">
            <w:pPr>
              <w:widowControl w:val="1"/>
              <w:ind/>
              <w:jc w:val="center"/>
              <w:rPr>
                <w:color w:val="000000"/>
                <w:sz w:val="18"/>
              </w:rPr>
            </w:pPr>
            <w:r>
              <w:rPr>
                <w:color w:val="000000"/>
                <w:sz w:val="18"/>
              </w:rPr>
              <w:t>21</w:t>
            </w:r>
          </w:p>
        </w:tc>
        <w:tc>
          <w:tcPr>
            <w:tcW w:type="dxa" w:w="618"/>
            <w:tcBorders>
              <w:top w:color="000000" w:sz="4" w:val="single"/>
              <w:left w:color="000000" w:sz="4" w:val="single"/>
              <w:bottom w:color="000000" w:sz="4" w:val="single"/>
              <w:right w:color="000000" w:sz="4" w:val="single"/>
            </w:tcBorders>
            <w:shd w:fill="FFFFFF" w:val="clear"/>
            <w:vAlign w:val="center"/>
          </w:tcPr>
          <w:p w14:paraId="802E0000">
            <w:pPr>
              <w:widowControl w:val="1"/>
              <w:ind/>
              <w:jc w:val="center"/>
              <w:rPr>
                <w:sz w:val="18"/>
              </w:rPr>
            </w:pPr>
            <w:r>
              <w:rPr>
                <w:sz w:val="18"/>
              </w:rPr>
              <w:t>24</w:t>
            </w:r>
          </w:p>
        </w:tc>
        <w:tc>
          <w:tcPr>
            <w:tcW w:type="dxa" w:w="993"/>
            <w:tcBorders>
              <w:top w:color="000000" w:sz="4" w:val="single"/>
              <w:left w:color="000000" w:sz="4" w:val="single"/>
              <w:bottom w:color="000000" w:sz="4" w:val="single"/>
              <w:right w:color="000000" w:sz="4" w:val="single"/>
            </w:tcBorders>
            <w:shd w:fill="FFFFFF" w:val="clear"/>
            <w:vAlign w:val="center"/>
          </w:tcPr>
          <w:p w14:paraId="812E0000">
            <w:pPr>
              <w:widowControl w:val="1"/>
              <w:ind/>
              <w:jc w:val="center"/>
              <w:rPr>
                <w:sz w:val="18"/>
              </w:rPr>
            </w:pPr>
            <w:r>
              <w:rPr>
                <w:sz w:val="18"/>
              </w:rPr>
              <w:t>оказание услуг по управлению и эксплуатации электропоездов ЭД9М №№ 0217, 0218, 0219</w:t>
            </w:r>
          </w:p>
        </w:tc>
        <w:tc>
          <w:tcPr>
            <w:tcW w:type="dxa" w:w="849"/>
            <w:tcBorders>
              <w:top w:color="000000" w:sz="4" w:val="single"/>
              <w:left w:color="000000" w:sz="4" w:val="single"/>
              <w:bottom w:color="000000" w:sz="4" w:val="single"/>
              <w:right w:color="000000" w:sz="4" w:val="single"/>
            </w:tcBorders>
            <w:shd w:fill="FFFFFF" w:val="clear"/>
            <w:vAlign w:val="center"/>
          </w:tcPr>
          <w:p w14:paraId="822E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832E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842E0000">
            <w:pPr>
              <w:widowControl w:val="1"/>
              <w:ind/>
              <w:jc w:val="center"/>
              <w:rPr>
                <w:sz w:val="18"/>
              </w:rPr>
            </w:pPr>
            <w:r>
              <w:rPr>
                <w:sz w:val="18"/>
              </w:rPr>
              <w:t>15758175,38</w:t>
            </w:r>
          </w:p>
        </w:tc>
        <w:tc>
          <w:tcPr>
            <w:tcW w:type="dxa" w:w="1134"/>
            <w:tcBorders>
              <w:top w:color="000000" w:sz="4" w:val="single"/>
              <w:left w:color="000000" w:sz="4" w:val="single"/>
              <w:bottom w:color="000000" w:sz="4" w:val="single"/>
              <w:right w:color="000000" w:sz="4" w:val="single"/>
            </w:tcBorders>
            <w:shd w:fill="FFFFFF" w:val="clear"/>
            <w:vAlign w:val="center"/>
          </w:tcPr>
          <w:p w14:paraId="852E0000">
            <w:pPr>
              <w:widowControl w:val="1"/>
              <w:ind/>
              <w:jc w:val="center"/>
              <w:rPr>
                <w:sz w:val="18"/>
              </w:rPr>
            </w:pPr>
            <w:r>
              <w:rPr>
                <w:sz w:val="18"/>
              </w:rPr>
              <w:t>18594646,95</w:t>
            </w:r>
          </w:p>
        </w:tc>
        <w:tc>
          <w:tcPr>
            <w:tcW w:type="dxa" w:w="993"/>
            <w:tcBorders>
              <w:top w:color="000000" w:sz="4" w:val="single"/>
              <w:left w:color="000000" w:sz="4" w:val="single"/>
              <w:bottom w:color="000000" w:sz="4" w:val="single"/>
              <w:right w:color="000000" w:sz="4" w:val="single"/>
            </w:tcBorders>
            <w:shd w:fill="FFFFFF" w:val="clear"/>
            <w:vAlign w:val="center"/>
          </w:tcPr>
          <w:p w14:paraId="862E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872E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882E0000">
            <w:pPr>
              <w:widowControl w:val="1"/>
              <w:ind/>
              <w:jc w:val="center"/>
              <w:rPr>
                <w:sz w:val="18"/>
              </w:rPr>
            </w:pPr>
            <w:r>
              <w:rPr>
                <w:sz w:val="18"/>
              </w:rPr>
              <w:t>31806169334</w:t>
            </w:r>
          </w:p>
        </w:tc>
        <w:tc>
          <w:tcPr>
            <w:tcW w:type="dxa" w:w="652"/>
            <w:tcBorders>
              <w:top w:color="000000" w:sz="4" w:val="single"/>
              <w:left w:color="000000" w:sz="4" w:val="single"/>
              <w:bottom w:color="000000" w:sz="4" w:val="single"/>
              <w:right w:color="000000" w:sz="4" w:val="single"/>
            </w:tcBorders>
            <w:shd w:fill="FFFFFF" w:val="clear"/>
            <w:vAlign w:val="center"/>
          </w:tcPr>
          <w:p w14:paraId="892E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8A2E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8B2E0000">
            <w:pPr>
              <w:widowControl w:val="1"/>
              <w:ind/>
              <w:jc w:val="center"/>
              <w:rPr>
                <w:sz w:val="18"/>
              </w:rPr>
            </w:pPr>
            <w:r>
              <w:rPr>
                <w:sz w:val="18"/>
              </w:rPr>
              <w:t>15161370,72</w:t>
            </w:r>
          </w:p>
        </w:tc>
        <w:tc>
          <w:tcPr>
            <w:tcW w:type="dxa" w:w="1185"/>
            <w:tcBorders>
              <w:top w:color="000000" w:sz="4" w:val="single"/>
              <w:left w:color="000000" w:sz="4" w:val="single"/>
              <w:bottom w:color="000000" w:sz="4" w:val="single"/>
              <w:right w:color="000000" w:sz="4" w:val="single"/>
            </w:tcBorders>
            <w:shd w:fill="FFFFFF" w:val="clear"/>
            <w:vAlign w:val="center"/>
          </w:tcPr>
          <w:p w14:paraId="8C2E0000">
            <w:pPr>
              <w:widowControl w:val="1"/>
              <w:ind/>
              <w:jc w:val="center"/>
              <w:rPr>
                <w:sz w:val="18"/>
              </w:rPr>
            </w:pPr>
            <w:r>
              <w:rPr>
                <w:sz w:val="18"/>
              </w:rPr>
              <w:t>17890417,45</w:t>
            </w:r>
          </w:p>
        </w:tc>
        <w:tc>
          <w:tcPr>
            <w:tcW w:type="dxa" w:w="1083"/>
            <w:tcBorders>
              <w:top w:color="000000" w:sz="4" w:val="single"/>
              <w:left w:color="000000" w:sz="4" w:val="single"/>
              <w:bottom w:color="000000" w:sz="4" w:val="single"/>
              <w:right w:color="000000" w:sz="4" w:val="single"/>
            </w:tcBorders>
            <w:shd w:fill="FFFFFF" w:val="clear"/>
            <w:vAlign w:val="center"/>
          </w:tcPr>
          <w:p w14:paraId="8D2E0000">
            <w:pPr>
              <w:widowControl w:val="1"/>
              <w:ind/>
              <w:jc w:val="center"/>
              <w:rPr>
                <w:sz w:val="18"/>
              </w:rPr>
            </w:pPr>
            <w:r>
              <w:rPr>
                <w:sz w:val="18"/>
              </w:rPr>
              <w:t>17890417,45</w:t>
            </w:r>
          </w:p>
        </w:tc>
        <w:tc>
          <w:tcPr>
            <w:tcW w:type="dxa" w:w="771"/>
            <w:tcBorders>
              <w:top w:color="000000" w:sz="4" w:val="single"/>
              <w:left w:color="000000" w:sz="4" w:val="single"/>
              <w:bottom w:color="000000" w:sz="4" w:val="single"/>
              <w:right w:color="000000" w:sz="4" w:val="single"/>
            </w:tcBorders>
            <w:shd w:fill="FFFFFF" w:val="clear"/>
            <w:vAlign w:val="center"/>
          </w:tcPr>
          <w:p w14:paraId="8E2E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8F2E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902E0000">
            <w:pPr>
              <w:widowControl w:val="1"/>
              <w:ind/>
              <w:jc w:val="center"/>
              <w:rPr>
                <w:sz w:val="18"/>
              </w:rPr>
            </w:pPr>
            <w:r>
              <w:rPr>
                <w:sz w:val="18"/>
              </w:rPr>
              <w:t>договор № 2781185 от 21.02.2018</w:t>
            </w:r>
          </w:p>
        </w:tc>
      </w:tr>
      <w:tr>
        <w:trPr>
          <w:trHeight w:hRule="atLeast" w:val="2115"/>
        </w:trPr>
        <w:tc>
          <w:tcPr>
            <w:tcW w:type="dxa" w:w="708"/>
            <w:tcBorders>
              <w:top w:color="000000" w:sz="4" w:val="single"/>
              <w:left w:color="000000" w:sz="4" w:val="single"/>
              <w:bottom w:color="000000" w:sz="4" w:val="single"/>
              <w:right w:color="000000" w:sz="4" w:val="single"/>
            </w:tcBorders>
            <w:shd w:fill="FFFFFF" w:val="clear"/>
            <w:vAlign w:val="center"/>
          </w:tcPr>
          <w:p w14:paraId="912E0000">
            <w:pPr>
              <w:widowControl w:val="1"/>
              <w:ind/>
              <w:jc w:val="center"/>
              <w:rPr>
                <w:color w:val="000000"/>
                <w:sz w:val="18"/>
              </w:rPr>
            </w:pPr>
            <w:r>
              <w:rPr>
                <w:color w:val="000000"/>
                <w:sz w:val="18"/>
              </w:rPr>
              <w:t>22</w:t>
            </w:r>
          </w:p>
        </w:tc>
        <w:tc>
          <w:tcPr>
            <w:tcW w:type="dxa" w:w="618"/>
            <w:tcBorders>
              <w:top w:color="000000" w:sz="4" w:val="single"/>
              <w:left w:color="000000" w:sz="4" w:val="single"/>
              <w:bottom w:color="000000" w:sz="4" w:val="single"/>
              <w:right w:color="000000" w:sz="4" w:val="single"/>
            </w:tcBorders>
            <w:shd w:fill="FFFFFF" w:val="clear"/>
            <w:vAlign w:val="center"/>
          </w:tcPr>
          <w:p w14:paraId="922E0000">
            <w:pPr>
              <w:widowControl w:val="1"/>
              <w:ind/>
              <w:jc w:val="center"/>
              <w:rPr>
                <w:color w:val="000000"/>
                <w:sz w:val="18"/>
              </w:rPr>
            </w:pPr>
            <w:r>
              <w:rPr>
                <w:color w:val="000000"/>
                <w:sz w:val="18"/>
              </w:rPr>
              <w:t>25</w:t>
            </w:r>
          </w:p>
        </w:tc>
        <w:tc>
          <w:tcPr>
            <w:tcW w:type="dxa" w:w="993"/>
            <w:tcBorders>
              <w:top w:color="000000" w:sz="4" w:val="single"/>
              <w:left w:color="000000" w:sz="4" w:val="single"/>
              <w:bottom w:color="000000" w:sz="4" w:val="single"/>
              <w:right w:color="000000" w:sz="4" w:val="single"/>
            </w:tcBorders>
            <w:shd w:fill="FFFFFF" w:val="clear"/>
            <w:vAlign w:val="center"/>
          </w:tcPr>
          <w:p w14:paraId="932E0000">
            <w:pPr>
              <w:widowControl w:val="1"/>
              <w:ind/>
              <w:jc w:val="center"/>
              <w:rPr>
                <w:sz w:val="18"/>
              </w:rPr>
            </w:pPr>
            <w:r>
              <w:rPr>
                <w:sz w:val="18"/>
              </w:rPr>
              <w:t>поставка тиражей (номеров) периодического печатного издания - газеты «Уважаемые пассажиры»</w:t>
            </w:r>
          </w:p>
        </w:tc>
        <w:tc>
          <w:tcPr>
            <w:tcW w:type="dxa" w:w="849"/>
            <w:tcBorders>
              <w:top w:color="000000" w:sz="4" w:val="single"/>
              <w:left w:color="000000" w:sz="4" w:val="single"/>
              <w:bottom w:color="000000" w:sz="4" w:val="single"/>
              <w:right w:color="000000" w:sz="4" w:val="single"/>
            </w:tcBorders>
            <w:shd w:fill="FFFFFF" w:val="clear"/>
            <w:vAlign w:val="center"/>
          </w:tcPr>
          <w:p w14:paraId="942E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952E0000">
            <w:pPr>
              <w:widowControl w:val="1"/>
              <w:ind/>
              <w:jc w:val="center"/>
              <w:rPr>
                <w:sz w:val="18"/>
              </w:rPr>
            </w:pPr>
            <w:r>
              <w:rPr>
                <w:sz w:val="18"/>
              </w:rPr>
              <w:t>25000</w:t>
            </w:r>
          </w:p>
        </w:tc>
        <w:tc>
          <w:tcPr>
            <w:tcW w:type="dxa" w:w="991"/>
            <w:tcBorders>
              <w:top w:color="000000" w:sz="4" w:val="single"/>
              <w:left w:color="000000" w:sz="4" w:val="single"/>
              <w:bottom w:color="000000" w:sz="4" w:val="single"/>
              <w:right w:color="000000" w:sz="4" w:val="single"/>
            </w:tcBorders>
            <w:shd w:fill="FFFFFF" w:val="clear"/>
            <w:vAlign w:val="center"/>
          </w:tcPr>
          <w:p w14:paraId="962E0000">
            <w:pPr>
              <w:widowControl w:val="1"/>
              <w:ind/>
              <w:jc w:val="center"/>
              <w:rPr>
                <w:sz w:val="18"/>
              </w:rPr>
            </w:pPr>
            <w:r>
              <w:rPr>
                <w:sz w:val="18"/>
              </w:rPr>
              <w:t>168181,82</w:t>
            </w:r>
          </w:p>
        </w:tc>
        <w:tc>
          <w:tcPr>
            <w:tcW w:type="dxa" w:w="1134"/>
            <w:tcBorders>
              <w:top w:color="000000" w:sz="4" w:val="single"/>
              <w:left w:color="000000" w:sz="4" w:val="single"/>
              <w:bottom w:color="000000" w:sz="4" w:val="single"/>
              <w:right w:color="000000" w:sz="4" w:val="single"/>
            </w:tcBorders>
            <w:shd w:fill="FFFFFF" w:val="clear"/>
            <w:vAlign w:val="center"/>
          </w:tcPr>
          <w:p w14:paraId="972E0000">
            <w:pPr>
              <w:widowControl w:val="1"/>
              <w:ind/>
              <w:jc w:val="center"/>
              <w:rPr>
                <w:sz w:val="18"/>
              </w:rPr>
            </w:pPr>
            <w:r>
              <w:rPr>
                <w:sz w:val="18"/>
              </w:rPr>
              <w:t>185000,00</w:t>
            </w:r>
          </w:p>
        </w:tc>
        <w:tc>
          <w:tcPr>
            <w:tcW w:type="dxa" w:w="993"/>
            <w:tcBorders>
              <w:top w:color="000000" w:sz="4" w:val="single"/>
              <w:left w:color="000000" w:sz="4" w:val="single"/>
              <w:bottom w:color="000000" w:sz="4" w:val="single"/>
              <w:right w:color="000000" w:sz="4" w:val="single"/>
            </w:tcBorders>
            <w:shd w:fill="FFFFFF" w:val="clear"/>
            <w:vAlign w:val="center"/>
          </w:tcPr>
          <w:p w14:paraId="982E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92E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9A2E0000">
            <w:pPr>
              <w:widowControl w:val="1"/>
              <w:ind/>
              <w:jc w:val="center"/>
              <w:rPr>
                <w:sz w:val="18"/>
              </w:rPr>
            </w:pPr>
            <w:r>
              <w:rPr>
                <w:sz w:val="18"/>
              </w:rPr>
              <w:t>31806124500</w:t>
            </w:r>
          </w:p>
        </w:tc>
        <w:tc>
          <w:tcPr>
            <w:tcW w:type="dxa" w:w="652"/>
            <w:tcBorders>
              <w:top w:color="000000" w:sz="4" w:val="single"/>
              <w:left w:color="000000" w:sz="4" w:val="single"/>
              <w:bottom w:color="000000" w:sz="4" w:val="single"/>
              <w:right w:color="000000" w:sz="4" w:val="single"/>
            </w:tcBorders>
            <w:shd w:fill="FFFFFF" w:val="clear"/>
            <w:vAlign w:val="center"/>
          </w:tcPr>
          <w:p w14:paraId="9B2E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9C2E0000">
            <w:pPr>
              <w:widowControl w:val="1"/>
              <w:ind/>
              <w:jc w:val="center"/>
              <w:rPr>
                <w:sz w:val="18"/>
              </w:rPr>
            </w:pPr>
            <w:r>
              <w:rPr>
                <w:sz w:val="18"/>
              </w:rPr>
              <w:t>25000</w:t>
            </w:r>
          </w:p>
        </w:tc>
        <w:tc>
          <w:tcPr>
            <w:tcW w:type="dxa" w:w="1169"/>
            <w:tcBorders>
              <w:top w:color="000000" w:sz="4" w:val="single"/>
              <w:left w:color="000000" w:sz="4" w:val="single"/>
              <w:bottom w:color="000000" w:sz="4" w:val="single"/>
              <w:right w:color="000000" w:sz="4" w:val="single"/>
            </w:tcBorders>
            <w:shd w:fill="FFFFFF" w:val="clear"/>
            <w:vAlign w:val="center"/>
          </w:tcPr>
          <w:p w14:paraId="9D2E0000">
            <w:pPr>
              <w:widowControl w:val="1"/>
              <w:ind/>
              <w:jc w:val="center"/>
              <w:rPr>
                <w:sz w:val="18"/>
              </w:rPr>
            </w:pPr>
            <w:r>
              <w:rPr>
                <w:sz w:val="18"/>
              </w:rPr>
              <w:t>168181,82</w:t>
            </w:r>
          </w:p>
        </w:tc>
        <w:tc>
          <w:tcPr>
            <w:tcW w:type="dxa" w:w="1185"/>
            <w:tcBorders>
              <w:top w:color="000000" w:sz="4" w:val="single"/>
              <w:left w:color="000000" w:sz="4" w:val="single"/>
              <w:bottom w:color="000000" w:sz="4" w:val="single"/>
              <w:right w:color="000000" w:sz="4" w:val="single"/>
            </w:tcBorders>
            <w:shd w:fill="FFFFFF" w:val="clear"/>
            <w:vAlign w:val="center"/>
          </w:tcPr>
          <w:p w14:paraId="9E2E0000">
            <w:pPr>
              <w:widowControl w:val="1"/>
              <w:ind/>
              <w:jc w:val="center"/>
              <w:rPr>
                <w:sz w:val="18"/>
              </w:rPr>
            </w:pPr>
            <w:r>
              <w:rPr>
                <w:sz w:val="18"/>
              </w:rPr>
              <w:t>185000,00</w:t>
            </w:r>
          </w:p>
        </w:tc>
        <w:tc>
          <w:tcPr>
            <w:tcW w:type="dxa" w:w="1083"/>
            <w:tcBorders>
              <w:top w:color="000000" w:sz="4" w:val="single"/>
              <w:left w:color="000000" w:sz="4" w:val="single"/>
              <w:bottom w:color="000000" w:sz="4" w:val="single"/>
              <w:right w:color="000000" w:sz="4" w:val="single"/>
            </w:tcBorders>
            <w:shd w:fill="FFFFFF" w:val="clear"/>
            <w:vAlign w:val="center"/>
          </w:tcPr>
          <w:p w14:paraId="9F2E0000">
            <w:pPr>
              <w:widowControl w:val="1"/>
              <w:ind/>
              <w:jc w:val="center"/>
              <w:rPr>
                <w:sz w:val="18"/>
              </w:rPr>
            </w:pPr>
            <w:r>
              <w:rPr>
                <w:sz w:val="18"/>
              </w:rPr>
              <w:t>185000,00</w:t>
            </w:r>
          </w:p>
        </w:tc>
        <w:tc>
          <w:tcPr>
            <w:tcW w:type="dxa" w:w="771"/>
            <w:tcBorders>
              <w:top w:color="000000" w:sz="4" w:val="single"/>
              <w:left w:color="000000" w:sz="4" w:val="single"/>
              <w:bottom w:color="000000" w:sz="4" w:val="single"/>
              <w:right w:color="000000" w:sz="4" w:val="single"/>
            </w:tcBorders>
            <w:shd w:fill="FFFFFF" w:val="clear"/>
            <w:vAlign w:val="center"/>
          </w:tcPr>
          <w:p w14:paraId="A02E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A12E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A22E0000">
            <w:pPr>
              <w:widowControl w:val="1"/>
              <w:ind/>
              <w:jc w:val="center"/>
              <w:rPr>
                <w:sz w:val="18"/>
              </w:rPr>
            </w:pPr>
            <w:r>
              <w:rPr>
                <w:sz w:val="18"/>
              </w:rPr>
              <w:t>договор № ГФ(Д)-80/18 от 12.02.108</w:t>
            </w:r>
          </w:p>
        </w:tc>
      </w:tr>
      <w:tr>
        <w:trPr>
          <w:trHeight w:hRule="atLeast" w:val="1020"/>
        </w:trPr>
        <w:tc>
          <w:tcPr>
            <w:tcW w:type="dxa" w:w="708"/>
            <w:tcBorders>
              <w:top w:color="000000" w:sz="4" w:val="single"/>
              <w:left w:color="000000" w:sz="4" w:val="single"/>
              <w:bottom w:color="000000" w:sz="4" w:val="single"/>
              <w:right w:color="000000" w:sz="4" w:val="single"/>
            </w:tcBorders>
            <w:shd w:fill="FFFFFF" w:val="clear"/>
            <w:vAlign w:val="center"/>
          </w:tcPr>
          <w:p w14:paraId="A32E0000">
            <w:pPr>
              <w:widowControl w:val="1"/>
              <w:ind/>
              <w:jc w:val="center"/>
              <w:rPr>
                <w:color w:val="000000"/>
                <w:sz w:val="18"/>
              </w:rPr>
            </w:pPr>
            <w:r>
              <w:rPr>
                <w:color w:val="000000"/>
                <w:sz w:val="18"/>
              </w:rPr>
              <w:t>23</w:t>
            </w:r>
          </w:p>
        </w:tc>
        <w:tc>
          <w:tcPr>
            <w:tcW w:type="dxa" w:w="618"/>
            <w:tcBorders>
              <w:top w:color="000000" w:sz="4" w:val="single"/>
              <w:left w:color="000000" w:sz="4" w:val="single"/>
              <w:bottom w:color="000000" w:sz="4" w:val="single"/>
              <w:right w:color="000000" w:sz="4" w:val="single"/>
            </w:tcBorders>
            <w:shd w:fill="FFFFFF" w:val="clear"/>
            <w:vAlign w:val="center"/>
          </w:tcPr>
          <w:p w14:paraId="A42E0000">
            <w:pPr>
              <w:widowControl w:val="1"/>
              <w:ind/>
              <w:jc w:val="center"/>
              <w:rPr>
                <w:color w:val="000000"/>
                <w:sz w:val="18"/>
              </w:rPr>
            </w:pPr>
            <w:r>
              <w:rPr>
                <w:color w:val="000000"/>
                <w:sz w:val="18"/>
              </w:rPr>
              <w:t>26</w:t>
            </w:r>
          </w:p>
        </w:tc>
        <w:tc>
          <w:tcPr>
            <w:tcW w:type="dxa" w:w="993"/>
            <w:tcBorders>
              <w:top w:color="000000" w:sz="4" w:val="single"/>
              <w:left w:color="000000" w:sz="4" w:val="single"/>
              <w:bottom w:color="000000" w:sz="4" w:val="single"/>
              <w:right w:color="000000" w:sz="4" w:val="single"/>
            </w:tcBorders>
            <w:shd w:fill="FFFFFF" w:val="clear"/>
            <w:vAlign w:val="center"/>
          </w:tcPr>
          <w:p w14:paraId="A52E0000">
            <w:pPr>
              <w:widowControl w:val="1"/>
              <w:ind/>
              <w:jc w:val="center"/>
              <w:rPr>
                <w:sz w:val="18"/>
              </w:rPr>
            </w:pPr>
            <w:r>
              <w:rPr>
                <w:sz w:val="18"/>
              </w:rPr>
              <w:t>оказание услуг аренды МВПС с экипажем</w:t>
            </w:r>
          </w:p>
        </w:tc>
        <w:tc>
          <w:tcPr>
            <w:tcW w:type="dxa" w:w="849"/>
            <w:tcBorders>
              <w:top w:color="000000" w:sz="4" w:val="single"/>
              <w:left w:color="000000" w:sz="4" w:val="single"/>
              <w:bottom w:color="000000" w:sz="4" w:val="single"/>
              <w:right w:color="000000" w:sz="4" w:val="single"/>
            </w:tcBorders>
            <w:shd w:fill="FFFFFF" w:val="clear"/>
            <w:vAlign w:val="center"/>
          </w:tcPr>
          <w:p w14:paraId="A62E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A72E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A82E0000">
            <w:pPr>
              <w:widowControl w:val="1"/>
              <w:ind/>
              <w:jc w:val="center"/>
              <w:rPr>
                <w:sz w:val="18"/>
              </w:rPr>
            </w:pPr>
            <w:r>
              <w:rPr>
                <w:sz w:val="18"/>
              </w:rPr>
              <w:t>350579234,23</w:t>
            </w:r>
          </w:p>
        </w:tc>
        <w:tc>
          <w:tcPr>
            <w:tcW w:type="dxa" w:w="1134"/>
            <w:tcBorders>
              <w:top w:color="000000" w:sz="4" w:val="single"/>
              <w:left w:color="000000" w:sz="4" w:val="single"/>
              <w:bottom w:color="000000" w:sz="4" w:val="single"/>
              <w:right w:color="000000" w:sz="4" w:val="single"/>
            </w:tcBorders>
            <w:shd w:fill="FFFFFF" w:val="clear"/>
            <w:vAlign w:val="center"/>
          </w:tcPr>
          <w:p w14:paraId="A92E0000">
            <w:pPr>
              <w:widowControl w:val="1"/>
              <w:ind/>
              <w:jc w:val="center"/>
              <w:rPr>
                <w:sz w:val="18"/>
              </w:rPr>
            </w:pPr>
            <w:r>
              <w:rPr>
                <w:sz w:val="18"/>
              </w:rPr>
              <w:t>413683496,39</w:t>
            </w:r>
          </w:p>
        </w:tc>
        <w:tc>
          <w:tcPr>
            <w:tcW w:type="dxa" w:w="993"/>
            <w:tcBorders>
              <w:top w:color="000000" w:sz="4" w:val="single"/>
              <w:left w:color="000000" w:sz="4" w:val="single"/>
              <w:bottom w:color="000000" w:sz="4" w:val="single"/>
              <w:right w:color="000000" w:sz="4" w:val="single"/>
            </w:tcBorders>
            <w:shd w:fill="FFFFFF" w:val="clear"/>
            <w:vAlign w:val="center"/>
          </w:tcPr>
          <w:p w14:paraId="AA2E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AB2E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AC2E0000">
            <w:pPr>
              <w:widowControl w:val="1"/>
              <w:ind/>
              <w:jc w:val="center"/>
              <w:rPr>
                <w:sz w:val="18"/>
              </w:rPr>
            </w:pPr>
            <w:r>
              <w:rPr>
                <w:sz w:val="18"/>
              </w:rPr>
              <w:t>31806218836</w:t>
            </w:r>
          </w:p>
        </w:tc>
        <w:tc>
          <w:tcPr>
            <w:tcW w:type="dxa" w:w="652"/>
            <w:tcBorders>
              <w:top w:color="000000" w:sz="4" w:val="single"/>
              <w:left w:color="000000" w:sz="4" w:val="single"/>
              <w:bottom w:color="000000" w:sz="4" w:val="single"/>
              <w:right w:color="000000" w:sz="4" w:val="single"/>
            </w:tcBorders>
            <w:shd w:fill="FFFFFF" w:val="clear"/>
            <w:vAlign w:val="center"/>
          </w:tcPr>
          <w:p w14:paraId="AD2E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AE2E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AF2E0000">
            <w:pPr>
              <w:widowControl w:val="1"/>
              <w:ind/>
              <w:jc w:val="center"/>
              <w:rPr>
                <w:sz w:val="18"/>
              </w:rPr>
            </w:pPr>
            <w:r>
              <w:rPr>
                <w:sz w:val="18"/>
              </w:rPr>
              <w:t>328884656,70</w:t>
            </w:r>
          </w:p>
        </w:tc>
        <w:tc>
          <w:tcPr>
            <w:tcW w:type="dxa" w:w="1185"/>
            <w:tcBorders>
              <w:top w:color="000000" w:sz="4" w:val="single"/>
              <w:left w:color="000000" w:sz="4" w:val="single"/>
              <w:bottom w:color="000000" w:sz="4" w:val="single"/>
              <w:right w:color="000000" w:sz="4" w:val="single"/>
            </w:tcBorders>
            <w:shd w:fill="FFFFFF" w:val="clear"/>
            <w:vAlign w:val="center"/>
          </w:tcPr>
          <w:p w14:paraId="B02E0000">
            <w:pPr>
              <w:widowControl w:val="1"/>
              <w:ind/>
              <w:jc w:val="center"/>
              <w:rPr>
                <w:sz w:val="18"/>
              </w:rPr>
            </w:pPr>
            <w:r>
              <w:rPr>
                <w:sz w:val="18"/>
              </w:rPr>
              <w:t>388083895,58</w:t>
            </w:r>
          </w:p>
        </w:tc>
        <w:tc>
          <w:tcPr>
            <w:tcW w:type="dxa" w:w="1083"/>
            <w:tcBorders>
              <w:top w:color="000000" w:sz="4" w:val="single"/>
              <w:left w:color="000000" w:sz="4" w:val="single"/>
              <w:bottom w:color="000000" w:sz="4" w:val="single"/>
              <w:right w:color="000000" w:sz="4" w:val="single"/>
            </w:tcBorders>
            <w:shd w:fill="FFFFFF" w:val="clear"/>
            <w:vAlign w:val="center"/>
          </w:tcPr>
          <w:p w14:paraId="B12E0000">
            <w:pPr>
              <w:widowControl w:val="1"/>
              <w:ind/>
              <w:jc w:val="center"/>
              <w:rPr>
                <w:sz w:val="18"/>
              </w:rPr>
            </w:pPr>
            <w:r>
              <w:rPr>
                <w:sz w:val="18"/>
              </w:rPr>
              <w:t>388083895,58</w:t>
            </w:r>
          </w:p>
        </w:tc>
        <w:tc>
          <w:tcPr>
            <w:tcW w:type="dxa" w:w="771"/>
            <w:tcBorders>
              <w:top w:color="000000" w:sz="4" w:val="single"/>
              <w:left w:color="000000" w:sz="4" w:val="single"/>
              <w:bottom w:color="000000" w:sz="4" w:val="single"/>
              <w:right w:color="000000" w:sz="4" w:val="single"/>
            </w:tcBorders>
            <w:shd w:fill="FFFFFF" w:val="clear"/>
            <w:vAlign w:val="center"/>
          </w:tcPr>
          <w:p w14:paraId="B22E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B32E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B42E0000">
            <w:pPr>
              <w:widowControl w:val="1"/>
              <w:ind/>
              <w:jc w:val="center"/>
              <w:rPr>
                <w:sz w:val="18"/>
              </w:rPr>
            </w:pPr>
            <w:r>
              <w:rPr>
                <w:sz w:val="18"/>
              </w:rPr>
              <w:t>договор № 31/18/ЦДМВ от 07.03.2018</w:t>
            </w:r>
          </w:p>
        </w:tc>
      </w:tr>
      <w:tr>
        <w:trPr>
          <w:trHeight w:hRule="atLeast" w:val="1530"/>
        </w:trPr>
        <w:tc>
          <w:tcPr>
            <w:tcW w:type="dxa" w:w="708"/>
            <w:tcBorders>
              <w:top w:color="000000" w:sz="4" w:val="single"/>
              <w:left w:color="000000" w:sz="4" w:val="single"/>
              <w:bottom w:color="000000" w:sz="4" w:val="single"/>
              <w:right w:color="000000" w:sz="4" w:val="single"/>
            </w:tcBorders>
            <w:shd w:fill="FFFFFF" w:val="clear"/>
            <w:vAlign w:val="center"/>
          </w:tcPr>
          <w:p w14:paraId="B52E0000">
            <w:pPr>
              <w:widowControl w:val="1"/>
              <w:ind/>
              <w:jc w:val="center"/>
              <w:rPr>
                <w:color w:val="000000"/>
                <w:sz w:val="18"/>
              </w:rPr>
            </w:pPr>
            <w:r>
              <w:rPr>
                <w:color w:val="000000"/>
                <w:sz w:val="18"/>
              </w:rPr>
              <w:t>24</w:t>
            </w:r>
          </w:p>
        </w:tc>
        <w:tc>
          <w:tcPr>
            <w:tcW w:type="dxa" w:w="618"/>
            <w:tcBorders>
              <w:top w:color="000000" w:sz="4" w:val="single"/>
              <w:left w:color="000000" w:sz="4" w:val="single"/>
              <w:bottom w:color="000000" w:sz="4" w:val="single"/>
              <w:right w:color="000000" w:sz="4" w:val="single"/>
            </w:tcBorders>
            <w:shd w:fill="FFFFFF" w:val="clear"/>
            <w:vAlign w:val="center"/>
          </w:tcPr>
          <w:p w14:paraId="B62E0000">
            <w:pPr>
              <w:widowControl w:val="1"/>
              <w:ind/>
              <w:jc w:val="center"/>
              <w:rPr>
                <w:color w:val="000000"/>
                <w:sz w:val="18"/>
              </w:rPr>
            </w:pPr>
            <w:r>
              <w:rPr>
                <w:color w:val="000000"/>
                <w:sz w:val="18"/>
              </w:rPr>
              <w:t>27</w:t>
            </w:r>
          </w:p>
        </w:tc>
        <w:tc>
          <w:tcPr>
            <w:tcW w:type="dxa" w:w="993"/>
            <w:tcBorders>
              <w:top w:color="000000" w:sz="4" w:val="single"/>
              <w:left w:color="000000" w:sz="4" w:val="single"/>
              <w:bottom w:color="000000" w:sz="4" w:val="single"/>
              <w:right w:color="000000" w:sz="4" w:val="single"/>
            </w:tcBorders>
            <w:shd w:fill="FFFFFF" w:val="clear"/>
            <w:vAlign w:val="center"/>
          </w:tcPr>
          <w:p w14:paraId="B72E0000">
            <w:pPr>
              <w:widowControl w:val="1"/>
              <w:ind/>
              <w:jc w:val="center"/>
              <w:rPr>
                <w:sz w:val="18"/>
              </w:rPr>
            </w:pPr>
            <w:r>
              <w:rPr>
                <w:sz w:val="18"/>
              </w:rPr>
              <w:t>Оказание услуг по обеспечению дизельным топливом локомотивов</w:t>
            </w:r>
          </w:p>
        </w:tc>
        <w:tc>
          <w:tcPr>
            <w:tcW w:type="dxa" w:w="849"/>
            <w:tcBorders>
              <w:top w:color="000000" w:sz="4" w:val="single"/>
              <w:left w:color="000000" w:sz="4" w:val="single"/>
              <w:bottom w:color="000000" w:sz="4" w:val="single"/>
              <w:right w:color="000000" w:sz="4" w:val="single"/>
            </w:tcBorders>
            <w:shd w:fill="FFFFFF" w:val="clear"/>
            <w:vAlign w:val="center"/>
          </w:tcPr>
          <w:p w14:paraId="B82E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92E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BA2E0000">
            <w:pPr>
              <w:widowControl w:val="1"/>
              <w:ind/>
              <w:jc w:val="center"/>
              <w:rPr>
                <w:sz w:val="18"/>
              </w:rPr>
            </w:pPr>
            <w:r>
              <w:rPr>
                <w:sz w:val="18"/>
              </w:rPr>
              <w:t>15107425,88</w:t>
            </w:r>
          </w:p>
        </w:tc>
        <w:tc>
          <w:tcPr>
            <w:tcW w:type="dxa" w:w="1134"/>
            <w:tcBorders>
              <w:top w:color="000000" w:sz="4" w:val="single"/>
              <w:left w:color="000000" w:sz="4" w:val="single"/>
              <w:bottom w:color="000000" w:sz="4" w:val="single"/>
              <w:right w:color="000000" w:sz="4" w:val="single"/>
            </w:tcBorders>
            <w:shd w:fill="FFFFFF" w:val="clear"/>
            <w:vAlign w:val="center"/>
          </w:tcPr>
          <w:p w14:paraId="BB2E0000">
            <w:pPr>
              <w:widowControl w:val="1"/>
              <w:ind/>
              <w:jc w:val="center"/>
              <w:rPr>
                <w:sz w:val="18"/>
              </w:rPr>
            </w:pPr>
            <w:r>
              <w:rPr>
                <w:sz w:val="18"/>
              </w:rPr>
              <w:t>17826726,54</w:t>
            </w:r>
          </w:p>
        </w:tc>
        <w:tc>
          <w:tcPr>
            <w:tcW w:type="dxa" w:w="993"/>
            <w:tcBorders>
              <w:top w:color="000000" w:sz="4" w:val="single"/>
              <w:left w:color="000000" w:sz="4" w:val="single"/>
              <w:bottom w:color="000000" w:sz="4" w:val="single"/>
              <w:right w:color="000000" w:sz="4" w:val="single"/>
            </w:tcBorders>
            <w:shd w:fill="FFFFFF" w:val="clear"/>
            <w:vAlign w:val="center"/>
          </w:tcPr>
          <w:p w14:paraId="BC2E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BD2E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BE2E0000">
            <w:pPr>
              <w:widowControl w:val="1"/>
              <w:ind/>
              <w:jc w:val="center"/>
              <w:rPr>
                <w:sz w:val="18"/>
              </w:rPr>
            </w:pPr>
            <w:r>
              <w:rPr>
                <w:sz w:val="18"/>
              </w:rPr>
              <w:t>31806181494</w:t>
            </w:r>
          </w:p>
        </w:tc>
        <w:tc>
          <w:tcPr>
            <w:tcW w:type="dxa" w:w="652"/>
            <w:tcBorders>
              <w:top w:color="000000" w:sz="4" w:val="single"/>
              <w:left w:color="000000" w:sz="4" w:val="single"/>
              <w:bottom w:color="000000" w:sz="4" w:val="single"/>
              <w:right w:color="000000" w:sz="4" w:val="single"/>
            </w:tcBorders>
            <w:shd w:fill="FFFFFF" w:val="clear"/>
            <w:vAlign w:val="center"/>
          </w:tcPr>
          <w:p w14:paraId="BF2E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C02E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C12E0000">
            <w:pPr>
              <w:widowControl w:val="1"/>
              <w:ind/>
              <w:jc w:val="center"/>
              <w:rPr>
                <w:sz w:val="18"/>
              </w:rPr>
            </w:pPr>
            <w:r>
              <w:rPr>
                <w:sz w:val="18"/>
              </w:rPr>
              <w:t>15107425,88</w:t>
            </w:r>
          </w:p>
        </w:tc>
        <w:tc>
          <w:tcPr>
            <w:tcW w:type="dxa" w:w="1185"/>
            <w:tcBorders>
              <w:top w:color="000000" w:sz="4" w:val="single"/>
              <w:left w:color="000000" w:sz="4" w:val="single"/>
              <w:bottom w:color="000000" w:sz="4" w:val="single"/>
              <w:right w:color="000000" w:sz="4" w:val="single"/>
            </w:tcBorders>
            <w:shd w:fill="FFFFFF" w:val="clear"/>
            <w:vAlign w:val="center"/>
          </w:tcPr>
          <w:p w14:paraId="C22E0000">
            <w:pPr>
              <w:widowControl w:val="1"/>
              <w:ind/>
              <w:jc w:val="center"/>
              <w:rPr>
                <w:sz w:val="18"/>
              </w:rPr>
            </w:pPr>
            <w:r>
              <w:rPr>
                <w:sz w:val="18"/>
              </w:rPr>
              <w:t>17826762,54</w:t>
            </w:r>
          </w:p>
        </w:tc>
        <w:tc>
          <w:tcPr>
            <w:tcW w:type="dxa" w:w="1083"/>
            <w:tcBorders>
              <w:top w:color="000000" w:sz="4" w:val="single"/>
              <w:left w:color="000000" w:sz="4" w:val="single"/>
              <w:bottom w:color="000000" w:sz="4" w:val="single"/>
              <w:right w:color="000000" w:sz="4" w:val="single"/>
            </w:tcBorders>
            <w:shd w:fill="FFFFFF" w:val="clear"/>
            <w:vAlign w:val="center"/>
          </w:tcPr>
          <w:p w14:paraId="C32E0000">
            <w:pPr>
              <w:widowControl w:val="1"/>
              <w:ind/>
              <w:jc w:val="center"/>
              <w:rPr>
                <w:sz w:val="18"/>
              </w:rPr>
            </w:pPr>
            <w:r>
              <w:rPr>
                <w:sz w:val="18"/>
              </w:rPr>
              <w:t>17826762,54</w:t>
            </w:r>
          </w:p>
        </w:tc>
        <w:tc>
          <w:tcPr>
            <w:tcW w:type="dxa" w:w="771"/>
            <w:tcBorders>
              <w:top w:color="000000" w:sz="4" w:val="single"/>
              <w:left w:color="000000" w:sz="4" w:val="single"/>
              <w:bottom w:color="000000" w:sz="4" w:val="single"/>
              <w:right w:color="000000" w:sz="4" w:val="single"/>
            </w:tcBorders>
            <w:shd w:fill="FFFFFF" w:val="clear"/>
            <w:vAlign w:val="center"/>
          </w:tcPr>
          <w:p w14:paraId="C42E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C52E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C62E0000">
            <w:pPr>
              <w:widowControl w:val="1"/>
              <w:ind/>
              <w:jc w:val="center"/>
              <w:rPr>
                <w:sz w:val="18"/>
              </w:rPr>
            </w:pPr>
            <w:r>
              <w:rPr>
                <w:sz w:val="18"/>
              </w:rPr>
              <w:t>договор № 2797198 от 26.02.2018</w:t>
            </w:r>
          </w:p>
        </w:tc>
      </w:tr>
      <w:tr>
        <w:trPr>
          <w:trHeight w:hRule="atLeast" w:val="510"/>
        </w:trPr>
        <w:tc>
          <w:tcPr>
            <w:tcW w:type="dxa" w:w="708"/>
            <w:tcBorders>
              <w:top w:color="000000" w:sz="4" w:val="single"/>
              <w:left w:color="000000" w:sz="4" w:val="single"/>
              <w:bottom w:color="000000" w:sz="4" w:val="single"/>
              <w:right w:color="000000" w:sz="4" w:val="single"/>
            </w:tcBorders>
            <w:shd w:fill="FFFFFF" w:val="clear"/>
            <w:vAlign w:val="center"/>
          </w:tcPr>
          <w:p w14:paraId="C72E0000">
            <w:pPr>
              <w:widowControl w:val="1"/>
              <w:ind/>
              <w:jc w:val="center"/>
              <w:rPr>
                <w:color w:val="000000"/>
                <w:sz w:val="18"/>
              </w:rPr>
            </w:pPr>
            <w:r>
              <w:rPr>
                <w:color w:val="000000"/>
                <w:sz w:val="18"/>
              </w:rPr>
              <w:t>25</w:t>
            </w:r>
          </w:p>
        </w:tc>
        <w:tc>
          <w:tcPr>
            <w:tcW w:type="dxa" w:w="618"/>
            <w:tcBorders>
              <w:top w:color="000000" w:sz="4" w:val="single"/>
              <w:left w:color="000000" w:sz="4" w:val="single"/>
              <w:bottom w:color="000000" w:sz="4" w:val="single"/>
              <w:right w:color="000000" w:sz="4" w:val="single"/>
            </w:tcBorders>
            <w:shd w:fill="FFFFFF" w:val="clear"/>
            <w:vAlign w:val="center"/>
          </w:tcPr>
          <w:p w14:paraId="C82E0000">
            <w:pPr>
              <w:widowControl w:val="1"/>
              <w:ind/>
              <w:jc w:val="center"/>
              <w:rPr>
                <w:color w:val="000000"/>
                <w:sz w:val="18"/>
              </w:rPr>
            </w:pPr>
            <w:r>
              <w:rPr>
                <w:color w:val="000000"/>
                <w:sz w:val="18"/>
              </w:rPr>
              <w:t>28</w:t>
            </w:r>
          </w:p>
        </w:tc>
        <w:tc>
          <w:tcPr>
            <w:tcW w:type="dxa" w:w="993"/>
            <w:tcBorders>
              <w:top w:color="000000" w:sz="4" w:val="single"/>
              <w:left w:color="000000" w:sz="4" w:val="single"/>
              <w:bottom w:color="000000" w:sz="4" w:val="single"/>
              <w:right w:color="000000" w:sz="4" w:val="single"/>
            </w:tcBorders>
            <w:shd w:fill="FFFFFF" w:val="clear"/>
            <w:vAlign w:val="center"/>
          </w:tcPr>
          <w:p w14:paraId="C92E0000">
            <w:pPr>
              <w:widowControl w:val="1"/>
              <w:ind/>
              <w:jc w:val="center"/>
              <w:rPr>
                <w:sz w:val="18"/>
              </w:rPr>
            </w:pPr>
            <w:r>
              <w:rPr>
                <w:sz w:val="18"/>
              </w:rPr>
              <w:t>Поставка бытовой химии</w:t>
            </w:r>
          </w:p>
        </w:tc>
        <w:tc>
          <w:tcPr>
            <w:tcW w:type="dxa" w:w="849"/>
            <w:tcBorders>
              <w:top w:color="000000" w:sz="4" w:val="single"/>
              <w:left w:color="000000" w:sz="4" w:val="single"/>
              <w:bottom w:color="000000" w:sz="4" w:val="single"/>
              <w:right w:color="000000" w:sz="4" w:val="single"/>
            </w:tcBorders>
            <w:shd w:fill="FFFFFF" w:val="clear"/>
            <w:vAlign w:val="center"/>
          </w:tcPr>
          <w:p w14:paraId="CA2E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CB2E0000">
            <w:pPr>
              <w:widowControl w:val="1"/>
              <w:ind/>
              <w:jc w:val="center"/>
              <w:rPr>
                <w:sz w:val="18"/>
              </w:rPr>
            </w:pPr>
            <w:r>
              <w:rPr>
                <w:sz w:val="18"/>
              </w:rPr>
              <w:t>7855</w:t>
            </w:r>
          </w:p>
        </w:tc>
        <w:tc>
          <w:tcPr>
            <w:tcW w:type="dxa" w:w="991"/>
            <w:tcBorders>
              <w:top w:color="000000" w:sz="4" w:val="single"/>
              <w:left w:color="000000" w:sz="4" w:val="single"/>
              <w:bottom w:color="000000" w:sz="4" w:val="single"/>
              <w:right w:color="000000" w:sz="4" w:val="single"/>
            </w:tcBorders>
            <w:shd w:fill="FFFFFF" w:val="clear"/>
            <w:vAlign w:val="center"/>
          </w:tcPr>
          <w:p w14:paraId="CC2E0000">
            <w:pPr>
              <w:widowControl w:val="1"/>
              <w:ind/>
              <w:jc w:val="center"/>
              <w:rPr>
                <w:sz w:val="18"/>
              </w:rPr>
            </w:pPr>
            <w:r>
              <w:rPr>
                <w:sz w:val="18"/>
              </w:rPr>
              <w:t>169915,25</w:t>
            </w:r>
          </w:p>
        </w:tc>
        <w:tc>
          <w:tcPr>
            <w:tcW w:type="dxa" w:w="1134"/>
            <w:tcBorders>
              <w:top w:color="000000" w:sz="4" w:val="single"/>
              <w:left w:color="000000" w:sz="4" w:val="single"/>
              <w:bottom w:color="000000" w:sz="4" w:val="single"/>
              <w:right w:color="000000" w:sz="4" w:val="single"/>
            </w:tcBorders>
            <w:shd w:fill="FFFFFF" w:val="clear"/>
            <w:vAlign w:val="center"/>
          </w:tcPr>
          <w:p w14:paraId="CD2E0000">
            <w:pPr>
              <w:widowControl w:val="1"/>
              <w:ind/>
              <w:jc w:val="center"/>
              <w:rPr>
                <w:sz w:val="18"/>
              </w:rPr>
            </w:pPr>
            <w:r>
              <w:rPr>
                <w:sz w:val="18"/>
              </w:rPr>
              <w:t>200500,00</w:t>
            </w:r>
          </w:p>
        </w:tc>
        <w:tc>
          <w:tcPr>
            <w:tcW w:type="dxa" w:w="993"/>
            <w:tcBorders>
              <w:top w:color="000000" w:sz="4" w:val="single"/>
              <w:left w:color="000000" w:sz="4" w:val="single"/>
              <w:bottom w:color="000000" w:sz="4" w:val="single"/>
              <w:right w:color="000000" w:sz="4" w:val="single"/>
            </w:tcBorders>
            <w:shd w:fill="FFFFFF" w:val="clear"/>
            <w:vAlign w:val="center"/>
          </w:tcPr>
          <w:p w14:paraId="CE2E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CF2E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D02E0000">
            <w:pPr>
              <w:widowControl w:val="1"/>
              <w:ind/>
              <w:jc w:val="center"/>
              <w:rPr>
                <w:sz w:val="18"/>
              </w:rPr>
            </w:pPr>
            <w:r>
              <w:rPr>
                <w:sz w:val="18"/>
              </w:rPr>
              <w:t>31806159101</w:t>
            </w:r>
          </w:p>
        </w:tc>
        <w:tc>
          <w:tcPr>
            <w:tcW w:type="dxa" w:w="652"/>
            <w:tcBorders>
              <w:top w:color="000000" w:sz="4" w:val="single"/>
              <w:left w:color="000000" w:sz="4" w:val="single"/>
              <w:bottom w:color="000000" w:sz="4" w:val="single"/>
              <w:right w:color="000000" w:sz="4" w:val="single"/>
            </w:tcBorders>
            <w:shd w:fill="FFFFFF" w:val="clear"/>
            <w:vAlign w:val="center"/>
          </w:tcPr>
          <w:p w14:paraId="D12E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D22E0000">
            <w:pPr>
              <w:widowControl w:val="1"/>
              <w:ind/>
              <w:jc w:val="center"/>
              <w:rPr>
                <w:sz w:val="18"/>
              </w:rPr>
            </w:pPr>
            <w:r>
              <w:rPr>
                <w:sz w:val="18"/>
              </w:rPr>
              <w:t>7855</w:t>
            </w:r>
          </w:p>
        </w:tc>
        <w:tc>
          <w:tcPr>
            <w:tcW w:type="dxa" w:w="1169"/>
            <w:tcBorders>
              <w:top w:color="000000" w:sz="4" w:val="single"/>
              <w:left w:color="000000" w:sz="4" w:val="single"/>
              <w:bottom w:color="000000" w:sz="4" w:val="single"/>
              <w:right w:color="000000" w:sz="4" w:val="single"/>
            </w:tcBorders>
            <w:shd w:fill="FFFFFF" w:val="clear"/>
            <w:vAlign w:val="center"/>
          </w:tcPr>
          <w:p w14:paraId="D32E0000">
            <w:pPr>
              <w:widowControl w:val="1"/>
              <w:ind/>
              <w:jc w:val="center"/>
              <w:rPr>
                <w:sz w:val="18"/>
              </w:rPr>
            </w:pPr>
            <w:r>
              <w:rPr>
                <w:sz w:val="18"/>
              </w:rPr>
              <w:t>158165,97</w:t>
            </w:r>
          </w:p>
        </w:tc>
        <w:tc>
          <w:tcPr>
            <w:tcW w:type="dxa" w:w="1185"/>
            <w:tcBorders>
              <w:top w:color="000000" w:sz="4" w:val="single"/>
              <w:left w:color="000000" w:sz="4" w:val="single"/>
              <w:bottom w:color="000000" w:sz="4" w:val="single"/>
              <w:right w:color="000000" w:sz="4" w:val="single"/>
            </w:tcBorders>
            <w:shd w:fill="FFFFFF" w:val="clear"/>
            <w:vAlign w:val="center"/>
          </w:tcPr>
          <w:p w14:paraId="D42E0000">
            <w:pPr>
              <w:widowControl w:val="1"/>
              <w:ind/>
              <w:jc w:val="center"/>
              <w:rPr>
                <w:sz w:val="18"/>
              </w:rPr>
            </w:pPr>
            <w:r>
              <w:rPr>
                <w:sz w:val="18"/>
              </w:rPr>
              <w:t>186635,85</w:t>
            </w:r>
          </w:p>
        </w:tc>
        <w:tc>
          <w:tcPr>
            <w:tcW w:type="dxa" w:w="1083"/>
            <w:tcBorders>
              <w:top w:color="000000" w:sz="4" w:val="single"/>
              <w:left w:color="000000" w:sz="4" w:val="single"/>
              <w:bottom w:color="000000" w:sz="4" w:val="single"/>
              <w:right w:color="000000" w:sz="4" w:val="single"/>
            </w:tcBorders>
            <w:shd w:fill="FFFFFF" w:val="clear"/>
            <w:vAlign w:val="center"/>
          </w:tcPr>
          <w:p w14:paraId="D52E0000">
            <w:pPr>
              <w:widowControl w:val="1"/>
              <w:ind/>
              <w:jc w:val="center"/>
              <w:rPr>
                <w:sz w:val="18"/>
              </w:rPr>
            </w:pPr>
            <w:r>
              <w:rPr>
                <w:sz w:val="18"/>
              </w:rPr>
              <w:t>186635,85</w:t>
            </w:r>
          </w:p>
        </w:tc>
        <w:tc>
          <w:tcPr>
            <w:tcW w:type="dxa" w:w="771"/>
            <w:tcBorders>
              <w:top w:color="000000" w:sz="4" w:val="single"/>
              <w:left w:color="000000" w:sz="4" w:val="single"/>
              <w:bottom w:color="000000" w:sz="4" w:val="single"/>
              <w:right w:color="000000" w:sz="4" w:val="single"/>
            </w:tcBorders>
            <w:shd w:fill="FFFFFF" w:val="clear"/>
            <w:vAlign w:val="center"/>
          </w:tcPr>
          <w:p w14:paraId="D62E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D72E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D82E0000">
            <w:pPr>
              <w:widowControl w:val="1"/>
              <w:ind/>
              <w:jc w:val="center"/>
              <w:rPr>
                <w:sz w:val="18"/>
              </w:rPr>
            </w:pPr>
            <w:r>
              <w:rPr>
                <w:sz w:val="18"/>
              </w:rPr>
              <w:t>договор № 24 от 20.02.2018</w:t>
            </w:r>
          </w:p>
        </w:tc>
      </w:tr>
      <w:tr>
        <w:trPr>
          <w:trHeight w:hRule="atLeast" w:val="510"/>
        </w:trPr>
        <w:tc>
          <w:tcPr>
            <w:tcW w:type="dxa" w:w="708"/>
            <w:tcBorders>
              <w:top w:color="000000" w:sz="4" w:val="single"/>
              <w:left w:color="000000" w:sz="4" w:val="single"/>
              <w:bottom w:color="000000" w:sz="4" w:val="single"/>
              <w:right w:color="000000" w:sz="4" w:val="single"/>
            </w:tcBorders>
            <w:shd w:fill="FFFFFF" w:val="clear"/>
            <w:vAlign w:val="center"/>
          </w:tcPr>
          <w:p w14:paraId="D92E0000">
            <w:pPr>
              <w:widowControl w:val="1"/>
              <w:ind/>
              <w:jc w:val="center"/>
              <w:rPr>
                <w:color w:val="000000"/>
                <w:sz w:val="18"/>
              </w:rPr>
            </w:pPr>
            <w:r>
              <w:rPr>
                <w:color w:val="000000"/>
                <w:sz w:val="18"/>
              </w:rPr>
              <w:t>26</w:t>
            </w:r>
          </w:p>
        </w:tc>
        <w:tc>
          <w:tcPr>
            <w:tcW w:type="dxa" w:w="618"/>
            <w:tcBorders>
              <w:top w:color="000000" w:sz="4" w:val="single"/>
              <w:left w:color="000000" w:sz="4" w:val="single"/>
              <w:bottom w:color="000000" w:sz="4" w:val="single"/>
              <w:right w:color="000000" w:sz="4" w:val="single"/>
            </w:tcBorders>
            <w:shd w:fill="FFFFFF" w:val="clear"/>
            <w:vAlign w:val="center"/>
          </w:tcPr>
          <w:p w14:paraId="DA2E0000">
            <w:pPr>
              <w:widowControl w:val="1"/>
              <w:ind/>
              <w:jc w:val="center"/>
              <w:rPr>
                <w:sz w:val="18"/>
              </w:rPr>
            </w:pPr>
            <w:r>
              <w:rPr>
                <w:sz w:val="18"/>
              </w:rPr>
              <w:t>29</w:t>
            </w:r>
          </w:p>
        </w:tc>
        <w:tc>
          <w:tcPr>
            <w:tcW w:type="dxa" w:w="993"/>
            <w:tcBorders>
              <w:top w:color="000000" w:sz="4" w:val="single"/>
              <w:left w:color="000000" w:sz="4" w:val="single"/>
              <w:bottom w:color="000000" w:sz="4" w:val="single"/>
              <w:right w:color="000000" w:sz="4" w:val="single"/>
            </w:tcBorders>
            <w:shd w:fill="FFFFFF" w:val="clear"/>
            <w:vAlign w:val="center"/>
          </w:tcPr>
          <w:p w14:paraId="DB2E0000">
            <w:pPr>
              <w:widowControl w:val="1"/>
              <w:ind/>
              <w:jc w:val="center"/>
              <w:rPr>
                <w:sz w:val="18"/>
              </w:rPr>
            </w:pPr>
            <w:r>
              <w:rPr>
                <w:sz w:val="18"/>
              </w:rPr>
              <w:t>Поставка бытовой химии</w:t>
            </w:r>
          </w:p>
        </w:tc>
        <w:tc>
          <w:tcPr>
            <w:tcW w:type="dxa" w:w="849"/>
            <w:tcBorders>
              <w:top w:color="000000" w:sz="4" w:val="single"/>
              <w:left w:color="000000" w:sz="4" w:val="single"/>
              <w:bottom w:color="000000" w:sz="4" w:val="single"/>
              <w:right w:color="000000" w:sz="4" w:val="single"/>
            </w:tcBorders>
            <w:shd w:fill="FFFFFF" w:val="clear"/>
            <w:vAlign w:val="center"/>
          </w:tcPr>
          <w:p w14:paraId="DC2E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DD2E0000">
            <w:pPr>
              <w:widowControl w:val="1"/>
              <w:ind/>
              <w:jc w:val="center"/>
              <w:rPr>
                <w:sz w:val="18"/>
              </w:rPr>
            </w:pPr>
            <w:r>
              <w:rPr>
                <w:sz w:val="18"/>
              </w:rPr>
              <w:t>450</w:t>
            </w:r>
          </w:p>
        </w:tc>
        <w:tc>
          <w:tcPr>
            <w:tcW w:type="dxa" w:w="991"/>
            <w:tcBorders>
              <w:top w:color="000000" w:sz="4" w:val="single"/>
              <w:left w:color="000000" w:sz="4" w:val="single"/>
              <w:bottom w:color="000000" w:sz="4" w:val="single"/>
              <w:right w:color="000000" w:sz="4" w:val="single"/>
            </w:tcBorders>
            <w:shd w:fill="FFFFFF" w:val="clear"/>
            <w:vAlign w:val="center"/>
          </w:tcPr>
          <w:p w14:paraId="DE2E0000">
            <w:pPr>
              <w:widowControl w:val="1"/>
              <w:ind/>
              <w:jc w:val="center"/>
              <w:rPr>
                <w:sz w:val="18"/>
              </w:rPr>
            </w:pPr>
            <w:r>
              <w:rPr>
                <w:sz w:val="18"/>
              </w:rPr>
              <w:t>160084,75</w:t>
            </w:r>
          </w:p>
        </w:tc>
        <w:tc>
          <w:tcPr>
            <w:tcW w:type="dxa" w:w="1134"/>
            <w:tcBorders>
              <w:top w:color="000000" w:sz="4" w:val="single"/>
              <w:left w:color="000000" w:sz="4" w:val="single"/>
              <w:bottom w:color="000000" w:sz="4" w:val="single"/>
              <w:right w:color="000000" w:sz="4" w:val="single"/>
            </w:tcBorders>
            <w:shd w:fill="FFFFFF" w:val="clear"/>
            <w:vAlign w:val="center"/>
          </w:tcPr>
          <w:p w14:paraId="DF2E0000">
            <w:pPr>
              <w:widowControl w:val="1"/>
              <w:ind/>
              <w:jc w:val="center"/>
              <w:rPr>
                <w:sz w:val="18"/>
              </w:rPr>
            </w:pPr>
            <w:r>
              <w:rPr>
                <w:sz w:val="18"/>
              </w:rPr>
              <w:t>188900,00</w:t>
            </w:r>
          </w:p>
        </w:tc>
        <w:tc>
          <w:tcPr>
            <w:tcW w:type="dxa" w:w="993"/>
            <w:tcBorders>
              <w:top w:color="000000" w:sz="4" w:val="single"/>
              <w:left w:color="000000" w:sz="4" w:val="single"/>
              <w:bottom w:color="000000" w:sz="4" w:val="single"/>
              <w:right w:color="000000" w:sz="4" w:val="single"/>
            </w:tcBorders>
            <w:shd w:fill="FFFFFF" w:val="clear"/>
            <w:vAlign w:val="center"/>
          </w:tcPr>
          <w:p w14:paraId="E02E0000">
            <w:pPr>
              <w:widowControl w:val="1"/>
              <w:ind/>
              <w:jc w:val="center"/>
              <w:rPr>
                <w:sz w:val="18"/>
              </w:rPr>
            </w:pPr>
            <w:r>
              <w:rPr>
                <w:sz w:val="18"/>
              </w:rPr>
              <w:t>апрель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E12E0000">
            <w:pPr>
              <w:widowControl w:val="1"/>
              <w:ind/>
              <w:jc w:val="center"/>
              <w:rPr>
                <w:sz w:val="18"/>
              </w:rPr>
            </w:pPr>
            <w:r>
              <w:rPr>
                <w:sz w:val="18"/>
              </w:rPr>
              <w:t>апрель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E22E0000">
            <w:pPr>
              <w:widowControl w:val="1"/>
              <w:ind/>
              <w:jc w:val="center"/>
              <w:rPr>
                <w:sz w:val="18"/>
              </w:rPr>
            </w:pPr>
            <w:r>
              <w:rPr>
                <w:sz w:val="18"/>
              </w:rPr>
              <w:t>31806395308</w:t>
            </w:r>
          </w:p>
        </w:tc>
        <w:tc>
          <w:tcPr>
            <w:tcW w:type="dxa" w:w="652"/>
            <w:tcBorders>
              <w:top w:color="000000" w:sz="4" w:val="single"/>
              <w:left w:color="000000" w:sz="4" w:val="single"/>
              <w:bottom w:color="000000" w:sz="4" w:val="single"/>
              <w:right w:color="000000" w:sz="4" w:val="single"/>
            </w:tcBorders>
            <w:shd w:fill="FFFFFF" w:val="clear"/>
            <w:vAlign w:val="center"/>
          </w:tcPr>
          <w:p w14:paraId="E32E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E42E0000">
            <w:pPr>
              <w:widowControl w:val="1"/>
              <w:ind/>
              <w:jc w:val="center"/>
              <w:rPr>
                <w:sz w:val="18"/>
              </w:rPr>
            </w:pPr>
            <w:r>
              <w:rPr>
                <w:sz w:val="18"/>
              </w:rPr>
              <w:t>450</w:t>
            </w:r>
          </w:p>
        </w:tc>
        <w:tc>
          <w:tcPr>
            <w:tcW w:type="dxa" w:w="1169"/>
            <w:tcBorders>
              <w:top w:color="000000" w:sz="4" w:val="single"/>
              <w:left w:color="000000" w:sz="4" w:val="single"/>
              <w:bottom w:color="000000" w:sz="4" w:val="single"/>
              <w:right w:color="000000" w:sz="4" w:val="single"/>
            </w:tcBorders>
            <w:shd w:fill="FFFFFF" w:val="clear"/>
            <w:vAlign w:val="center"/>
          </w:tcPr>
          <w:p w14:paraId="E52E0000">
            <w:pPr>
              <w:widowControl w:val="1"/>
              <w:ind/>
              <w:jc w:val="center"/>
              <w:rPr>
                <w:sz w:val="18"/>
              </w:rPr>
            </w:pPr>
            <w:r>
              <w:rPr>
                <w:sz w:val="18"/>
              </w:rPr>
              <w:t>156766,10</w:t>
            </w:r>
          </w:p>
        </w:tc>
        <w:tc>
          <w:tcPr>
            <w:tcW w:type="dxa" w:w="1185"/>
            <w:tcBorders>
              <w:top w:color="000000" w:sz="4" w:val="single"/>
              <w:left w:color="000000" w:sz="4" w:val="single"/>
              <w:bottom w:color="000000" w:sz="4" w:val="single"/>
              <w:right w:color="000000" w:sz="4" w:val="single"/>
            </w:tcBorders>
            <w:shd w:fill="FFFFFF" w:val="clear"/>
            <w:vAlign w:val="center"/>
          </w:tcPr>
          <w:p w14:paraId="E62E0000">
            <w:pPr>
              <w:widowControl w:val="1"/>
              <w:ind/>
              <w:jc w:val="center"/>
              <w:rPr>
                <w:sz w:val="18"/>
              </w:rPr>
            </w:pPr>
            <w:r>
              <w:rPr>
                <w:sz w:val="18"/>
              </w:rPr>
              <w:t>184984,00</w:t>
            </w:r>
          </w:p>
        </w:tc>
        <w:tc>
          <w:tcPr>
            <w:tcW w:type="dxa" w:w="1083"/>
            <w:tcBorders>
              <w:top w:color="000000" w:sz="4" w:val="single"/>
              <w:left w:color="000000" w:sz="4" w:val="single"/>
              <w:bottom w:color="000000" w:sz="4" w:val="single"/>
              <w:right w:color="000000" w:sz="4" w:val="single"/>
            </w:tcBorders>
            <w:shd w:fill="FFFFFF" w:val="clear"/>
            <w:vAlign w:val="center"/>
          </w:tcPr>
          <w:p w14:paraId="E72E0000">
            <w:pPr>
              <w:widowControl w:val="1"/>
              <w:ind/>
              <w:jc w:val="center"/>
              <w:rPr>
                <w:sz w:val="18"/>
              </w:rPr>
            </w:pPr>
            <w:r>
              <w:rPr>
                <w:sz w:val="18"/>
              </w:rPr>
              <w:t>184984,00</w:t>
            </w:r>
          </w:p>
        </w:tc>
        <w:tc>
          <w:tcPr>
            <w:tcW w:type="dxa" w:w="771"/>
            <w:tcBorders>
              <w:top w:color="000000" w:sz="4" w:val="single"/>
              <w:left w:color="000000" w:sz="4" w:val="single"/>
              <w:bottom w:color="000000" w:sz="4" w:val="single"/>
              <w:right w:color="000000" w:sz="4" w:val="single"/>
            </w:tcBorders>
            <w:shd w:fill="FFFFFF" w:val="clear"/>
            <w:vAlign w:val="center"/>
          </w:tcPr>
          <w:p w14:paraId="E82E0000">
            <w:pPr>
              <w:widowControl w:val="1"/>
              <w:ind/>
              <w:jc w:val="center"/>
              <w:rPr>
                <w:sz w:val="18"/>
              </w:rPr>
            </w:pPr>
            <w:r>
              <w:rPr>
                <w:sz w:val="18"/>
              </w:rPr>
              <w:t>апрель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92E0000">
            <w:pPr>
              <w:widowControl w:val="1"/>
              <w:ind/>
              <w:jc w:val="center"/>
              <w:rPr>
                <w:sz w:val="18"/>
              </w:rPr>
            </w:pPr>
            <w:r>
              <w:rPr>
                <w:sz w:val="18"/>
              </w:rPr>
              <w:t>апрель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EA2E0000">
            <w:pPr>
              <w:widowControl w:val="1"/>
              <w:ind/>
              <w:jc w:val="center"/>
              <w:rPr>
                <w:sz w:val="18"/>
              </w:rPr>
            </w:pPr>
            <w:r>
              <w:rPr>
                <w:sz w:val="18"/>
              </w:rPr>
              <w:t>договор № 68 от 20.04.2018</w:t>
            </w:r>
          </w:p>
        </w:tc>
      </w:tr>
      <w:tr>
        <w:trPr>
          <w:trHeight w:hRule="atLeast" w:val="1380"/>
        </w:trPr>
        <w:tc>
          <w:tcPr>
            <w:tcW w:type="dxa" w:w="708"/>
            <w:tcBorders>
              <w:top w:color="000000" w:sz="4" w:val="single"/>
              <w:left w:color="000000" w:sz="4" w:val="single"/>
              <w:bottom w:color="000000" w:sz="4" w:val="single"/>
              <w:right w:color="000000" w:sz="4" w:val="single"/>
            </w:tcBorders>
            <w:shd w:fill="FFFFFF" w:val="clear"/>
            <w:vAlign w:val="center"/>
          </w:tcPr>
          <w:p w14:paraId="EB2E0000">
            <w:pPr>
              <w:widowControl w:val="1"/>
              <w:ind/>
              <w:jc w:val="center"/>
              <w:rPr>
                <w:color w:val="000000"/>
                <w:sz w:val="18"/>
              </w:rPr>
            </w:pPr>
            <w:r>
              <w:rPr>
                <w:color w:val="000000"/>
                <w:sz w:val="18"/>
              </w:rPr>
              <w:t>27</w:t>
            </w:r>
          </w:p>
        </w:tc>
        <w:tc>
          <w:tcPr>
            <w:tcW w:type="dxa" w:w="618"/>
            <w:tcBorders>
              <w:top w:color="000000" w:sz="4" w:val="single"/>
              <w:left w:color="000000" w:sz="4" w:val="single"/>
              <w:bottom w:color="000000" w:sz="4" w:val="single"/>
              <w:right w:color="000000" w:sz="4" w:val="single"/>
            </w:tcBorders>
            <w:shd w:fill="FFFFFF" w:val="clear"/>
            <w:vAlign w:val="center"/>
          </w:tcPr>
          <w:p w14:paraId="EC2E0000">
            <w:pPr>
              <w:widowControl w:val="1"/>
              <w:ind/>
              <w:jc w:val="center"/>
              <w:rPr>
                <w:sz w:val="18"/>
              </w:rPr>
            </w:pPr>
            <w:r>
              <w:rPr>
                <w:sz w:val="18"/>
              </w:rPr>
              <w:t>30</w:t>
            </w:r>
          </w:p>
        </w:tc>
        <w:tc>
          <w:tcPr>
            <w:tcW w:type="dxa" w:w="993"/>
            <w:tcBorders>
              <w:top w:color="000000" w:sz="4" w:val="single"/>
              <w:left w:color="000000" w:sz="4" w:val="single"/>
              <w:bottom w:color="000000" w:sz="4" w:val="single"/>
              <w:right w:color="000000" w:sz="4" w:val="single"/>
            </w:tcBorders>
            <w:shd w:fill="FFFFFF" w:val="clear"/>
            <w:vAlign w:val="center"/>
          </w:tcPr>
          <w:p w14:paraId="ED2E0000">
            <w:pPr>
              <w:widowControl w:val="1"/>
              <w:ind/>
              <w:jc w:val="center"/>
              <w:rPr>
                <w:sz w:val="18"/>
              </w:rPr>
            </w:pPr>
            <w:r>
              <w:rPr>
                <w:sz w:val="18"/>
              </w:rPr>
              <w:t>оказание услуг аренды локомотивов с экипажем</w:t>
            </w:r>
          </w:p>
        </w:tc>
        <w:tc>
          <w:tcPr>
            <w:tcW w:type="dxa" w:w="849"/>
            <w:tcBorders>
              <w:top w:color="000000" w:sz="4" w:val="single"/>
              <w:left w:color="000000" w:sz="4" w:val="single"/>
              <w:bottom w:color="000000" w:sz="4" w:val="single"/>
              <w:right w:color="000000" w:sz="4" w:val="single"/>
            </w:tcBorders>
            <w:shd w:fill="FFFFFF" w:val="clear"/>
            <w:vAlign w:val="center"/>
          </w:tcPr>
          <w:p w14:paraId="EE2E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EF2E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F02E0000">
            <w:pPr>
              <w:widowControl w:val="1"/>
              <w:ind/>
              <w:jc w:val="center"/>
              <w:rPr>
                <w:sz w:val="18"/>
              </w:rPr>
            </w:pPr>
            <w:r>
              <w:rPr>
                <w:sz w:val="18"/>
              </w:rPr>
              <w:t>32082596,00</w:t>
            </w:r>
          </w:p>
        </w:tc>
        <w:tc>
          <w:tcPr>
            <w:tcW w:type="dxa" w:w="1134"/>
            <w:tcBorders>
              <w:top w:color="000000" w:sz="4" w:val="single"/>
              <w:left w:color="000000" w:sz="4" w:val="single"/>
              <w:bottom w:color="000000" w:sz="4" w:val="single"/>
              <w:right w:color="000000" w:sz="4" w:val="single"/>
            </w:tcBorders>
            <w:shd w:fill="FFFFFF" w:val="clear"/>
            <w:vAlign w:val="center"/>
          </w:tcPr>
          <w:p w14:paraId="F12E0000">
            <w:pPr>
              <w:widowControl w:val="1"/>
              <w:ind/>
              <w:jc w:val="center"/>
              <w:rPr>
                <w:sz w:val="18"/>
              </w:rPr>
            </w:pPr>
            <w:r>
              <w:rPr>
                <w:sz w:val="18"/>
              </w:rPr>
              <w:t>37857463,30</w:t>
            </w:r>
          </w:p>
        </w:tc>
        <w:tc>
          <w:tcPr>
            <w:tcW w:type="dxa" w:w="993"/>
            <w:tcBorders>
              <w:top w:color="000000" w:sz="4" w:val="single"/>
              <w:left w:color="000000" w:sz="4" w:val="single"/>
              <w:bottom w:color="000000" w:sz="4" w:val="single"/>
              <w:right w:color="000000" w:sz="4" w:val="single"/>
            </w:tcBorders>
            <w:shd w:fill="FFFFFF" w:val="clear"/>
            <w:vAlign w:val="center"/>
          </w:tcPr>
          <w:p w14:paraId="F22E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F32E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F42E0000">
            <w:pPr>
              <w:widowControl w:val="1"/>
              <w:ind/>
              <w:jc w:val="center"/>
              <w:rPr>
                <w:sz w:val="18"/>
              </w:rPr>
            </w:pPr>
            <w:r>
              <w:rPr>
                <w:sz w:val="18"/>
              </w:rPr>
              <w:t>31806181452</w:t>
            </w:r>
          </w:p>
        </w:tc>
        <w:tc>
          <w:tcPr>
            <w:tcW w:type="dxa" w:w="652"/>
            <w:tcBorders>
              <w:top w:color="000000" w:sz="4" w:val="single"/>
              <w:left w:color="000000" w:sz="4" w:val="single"/>
              <w:bottom w:color="000000" w:sz="4" w:val="single"/>
              <w:right w:color="000000" w:sz="4" w:val="single"/>
            </w:tcBorders>
            <w:shd w:fill="FFFFFF" w:val="clear"/>
            <w:vAlign w:val="center"/>
          </w:tcPr>
          <w:p w14:paraId="F52E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F62E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F72E0000">
            <w:pPr>
              <w:widowControl w:val="1"/>
              <w:ind/>
              <w:jc w:val="center"/>
              <w:rPr>
                <w:sz w:val="18"/>
              </w:rPr>
            </w:pPr>
            <w:r>
              <w:rPr>
                <w:sz w:val="18"/>
              </w:rPr>
              <w:t>30179862,84</w:t>
            </w:r>
          </w:p>
        </w:tc>
        <w:tc>
          <w:tcPr>
            <w:tcW w:type="dxa" w:w="1185"/>
            <w:tcBorders>
              <w:top w:color="000000" w:sz="4" w:val="single"/>
              <w:left w:color="000000" w:sz="4" w:val="single"/>
              <w:bottom w:color="000000" w:sz="4" w:val="single"/>
              <w:right w:color="000000" w:sz="4" w:val="single"/>
            </w:tcBorders>
            <w:shd w:fill="FFFFFF" w:val="clear"/>
            <w:vAlign w:val="center"/>
          </w:tcPr>
          <w:p w14:paraId="F82E0000">
            <w:pPr>
              <w:widowControl w:val="1"/>
              <w:ind/>
              <w:jc w:val="center"/>
              <w:rPr>
                <w:sz w:val="18"/>
              </w:rPr>
            </w:pPr>
            <w:r>
              <w:rPr>
                <w:sz w:val="18"/>
              </w:rPr>
              <w:t>35612238,15</w:t>
            </w:r>
          </w:p>
        </w:tc>
        <w:tc>
          <w:tcPr>
            <w:tcW w:type="dxa" w:w="1083"/>
            <w:tcBorders>
              <w:top w:color="000000" w:sz="4" w:val="single"/>
              <w:left w:color="000000" w:sz="4" w:val="single"/>
              <w:bottom w:color="000000" w:sz="4" w:val="single"/>
              <w:right w:color="000000" w:sz="4" w:val="single"/>
            </w:tcBorders>
            <w:shd w:fill="FFFFFF" w:val="clear"/>
            <w:vAlign w:val="center"/>
          </w:tcPr>
          <w:p w14:paraId="F92E0000">
            <w:pPr>
              <w:widowControl w:val="1"/>
              <w:ind/>
              <w:jc w:val="center"/>
              <w:rPr>
                <w:sz w:val="18"/>
              </w:rPr>
            </w:pPr>
            <w:r>
              <w:rPr>
                <w:sz w:val="18"/>
              </w:rPr>
              <w:t>35612238,15</w:t>
            </w:r>
          </w:p>
        </w:tc>
        <w:tc>
          <w:tcPr>
            <w:tcW w:type="dxa" w:w="771"/>
            <w:tcBorders>
              <w:top w:color="000000" w:sz="4" w:val="single"/>
              <w:left w:color="000000" w:sz="4" w:val="single"/>
              <w:bottom w:color="000000" w:sz="4" w:val="single"/>
              <w:right w:color="000000" w:sz="4" w:val="single"/>
            </w:tcBorders>
            <w:shd w:fill="FFFFFF" w:val="clear"/>
            <w:vAlign w:val="center"/>
          </w:tcPr>
          <w:p w14:paraId="FA2E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FB2E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FC2E0000">
            <w:pPr>
              <w:widowControl w:val="1"/>
              <w:ind/>
              <w:jc w:val="center"/>
              <w:rPr>
                <w:sz w:val="18"/>
              </w:rPr>
            </w:pPr>
            <w:r>
              <w:rPr>
                <w:sz w:val="18"/>
              </w:rPr>
              <w:t>договор № 2797155 от 26.02.2018</w:t>
            </w:r>
          </w:p>
        </w:tc>
      </w:tr>
      <w:tr>
        <w:trPr>
          <w:trHeight w:hRule="atLeast" w:val="1485"/>
        </w:trPr>
        <w:tc>
          <w:tcPr>
            <w:tcW w:type="dxa" w:w="708"/>
            <w:tcBorders>
              <w:top w:color="000000" w:sz="4" w:val="single"/>
              <w:left w:color="000000" w:sz="4" w:val="single"/>
              <w:bottom w:color="000000" w:sz="4" w:val="single"/>
              <w:right w:color="000000" w:sz="4" w:val="single"/>
            </w:tcBorders>
            <w:shd w:fill="FFFFFF" w:val="clear"/>
            <w:vAlign w:val="center"/>
          </w:tcPr>
          <w:p w14:paraId="FD2E0000">
            <w:pPr>
              <w:widowControl w:val="1"/>
              <w:ind/>
              <w:jc w:val="center"/>
              <w:rPr>
                <w:color w:val="000000"/>
                <w:sz w:val="18"/>
              </w:rPr>
            </w:pPr>
            <w:r>
              <w:rPr>
                <w:color w:val="000000"/>
                <w:sz w:val="18"/>
              </w:rPr>
              <w:t>28</w:t>
            </w:r>
          </w:p>
        </w:tc>
        <w:tc>
          <w:tcPr>
            <w:tcW w:type="dxa" w:w="618"/>
            <w:tcBorders>
              <w:top w:color="000000" w:sz="4" w:val="single"/>
              <w:left w:color="000000" w:sz="4" w:val="single"/>
              <w:bottom w:color="000000" w:sz="4" w:val="single"/>
              <w:right w:color="000000" w:sz="4" w:val="single"/>
            </w:tcBorders>
            <w:shd w:fill="FFFFFF" w:val="clear"/>
            <w:vAlign w:val="center"/>
          </w:tcPr>
          <w:p w14:paraId="FE2E0000">
            <w:pPr>
              <w:widowControl w:val="1"/>
              <w:ind/>
              <w:jc w:val="center"/>
              <w:rPr>
                <w:color w:val="000000"/>
                <w:sz w:val="18"/>
              </w:rPr>
            </w:pPr>
            <w:r>
              <w:rPr>
                <w:color w:val="000000"/>
                <w:sz w:val="18"/>
              </w:rPr>
              <w:t>31</w:t>
            </w:r>
          </w:p>
        </w:tc>
        <w:tc>
          <w:tcPr>
            <w:tcW w:type="dxa" w:w="993"/>
            <w:tcBorders>
              <w:top w:color="000000" w:sz="4" w:val="single"/>
              <w:left w:color="000000" w:sz="4" w:val="single"/>
              <w:bottom w:color="000000" w:sz="4" w:val="single"/>
              <w:right w:color="000000" w:sz="4" w:val="single"/>
            </w:tcBorders>
            <w:shd w:fill="FFFFFF" w:val="clear"/>
            <w:vAlign w:val="center"/>
          </w:tcPr>
          <w:p w14:paraId="FF2E0000">
            <w:pPr>
              <w:widowControl w:val="1"/>
              <w:ind/>
              <w:jc w:val="center"/>
              <w:rPr>
                <w:sz w:val="18"/>
              </w:rPr>
            </w:pPr>
            <w:r>
              <w:rPr>
                <w:sz w:val="18"/>
              </w:rPr>
              <w:t>Поставка офисной канцелярии</w:t>
            </w:r>
          </w:p>
        </w:tc>
        <w:tc>
          <w:tcPr>
            <w:tcW w:type="dxa" w:w="849"/>
            <w:tcBorders>
              <w:top w:color="000000" w:sz="4" w:val="single"/>
              <w:left w:color="000000" w:sz="4" w:val="single"/>
              <w:bottom w:color="000000" w:sz="4" w:val="single"/>
              <w:right w:color="000000" w:sz="4" w:val="single"/>
            </w:tcBorders>
            <w:shd w:fill="FFFFFF" w:val="clear"/>
            <w:vAlign w:val="center"/>
          </w:tcPr>
          <w:p w14:paraId="002F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012F0000">
            <w:pPr>
              <w:widowControl w:val="1"/>
              <w:ind/>
              <w:jc w:val="center"/>
              <w:rPr>
                <w:sz w:val="18"/>
              </w:rPr>
            </w:pPr>
            <w:r>
              <w:rPr>
                <w:sz w:val="18"/>
              </w:rPr>
              <w:t>7723</w:t>
            </w:r>
          </w:p>
        </w:tc>
        <w:tc>
          <w:tcPr>
            <w:tcW w:type="dxa" w:w="991"/>
            <w:tcBorders>
              <w:top w:color="000000" w:sz="4" w:val="single"/>
              <w:left w:color="000000" w:sz="4" w:val="single"/>
              <w:bottom w:color="000000" w:sz="4" w:val="single"/>
              <w:right w:color="000000" w:sz="4" w:val="single"/>
            </w:tcBorders>
            <w:shd w:fill="FFFFFF" w:val="clear"/>
            <w:vAlign w:val="center"/>
          </w:tcPr>
          <w:p w14:paraId="022F0000">
            <w:pPr>
              <w:widowControl w:val="1"/>
              <w:ind/>
              <w:jc w:val="center"/>
              <w:rPr>
                <w:sz w:val="18"/>
              </w:rPr>
            </w:pPr>
            <w:r>
              <w:rPr>
                <w:sz w:val="18"/>
              </w:rPr>
              <w:t>159661,02</w:t>
            </w:r>
          </w:p>
        </w:tc>
        <w:tc>
          <w:tcPr>
            <w:tcW w:type="dxa" w:w="1134"/>
            <w:tcBorders>
              <w:top w:color="000000" w:sz="4" w:val="single"/>
              <w:left w:color="000000" w:sz="4" w:val="single"/>
              <w:bottom w:color="000000" w:sz="4" w:val="single"/>
              <w:right w:color="000000" w:sz="4" w:val="single"/>
            </w:tcBorders>
            <w:shd w:fill="FFFFFF" w:val="clear"/>
            <w:vAlign w:val="center"/>
          </w:tcPr>
          <w:p w14:paraId="032F0000">
            <w:pPr>
              <w:widowControl w:val="1"/>
              <w:ind/>
              <w:jc w:val="center"/>
              <w:rPr>
                <w:sz w:val="18"/>
              </w:rPr>
            </w:pPr>
            <w:r>
              <w:rPr>
                <w:sz w:val="18"/>
              </w:rPr>
              <w:t>188400,00</w:t>
            </w:r>
          </w:p>
        </w:tc>
        <w:tc>
          <w:tcPr>
            <w:tcW w:type="dxa" w:w="993"/>
            <w:tcBorders>
              <w:top w:color="000000" w:sz="4" w:val="single"/>
              <w:left w:color="000000" w:sz="4" w:val="single"/>
              <w:bottom w:color="000000" w:sz="4" w:val="single"/>
              <w:right w:color="000000" w:sz="4" w:val="single"/>
            </w:tcBorders>
            <w:shd w:fill="FFFFFF" w:val="clear"/>
            <w:vAlign w:val="center"/>
          </w:tcPr>
          <w:p w14:paraId="042F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052F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062F0000">
            <w:pPr>
              <w:widowControl w:val="1"/>
              <w:ind/>
              <w:jc w:val="center"/>
              <w:rPr>
                <w:sz w:val="18"/>
              </w:rPr>
            </w:pPr>
            <w:r>
              <w:rPr>
                <w:sz w:val="18"/>
              </w:rPr>
              <w:t>31806163878</w:t>
            </w:r>
          </w:p>
        </w:tc>
        <w:tc>
          <w:tcPr>
            <w:tcW w:type="dxa" w:w="652"/>
            <w:tcBorders>
              <w:top w:color="000000" w:sz="4" w:val="single"/>
              <w:left w:color="000000" w:sz="4" w:val="single"/>
              <w:bottom w:color="000000" w:sz="4" w:val="single"/>
              <w:right w:color="000000" w:sz="4" w:val="single"/>
            </w:tcBorders>
            <w:shd w:fill="FFFFFF" w:val="clear"/>
            <w:vAlign w:val="center"/>
          </w:tcPr>
          <w:p w14:paraId="072F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082F0000">
            <w:pPr>
              <w:widowControl w:val="1"/>
              <w:ind/>
              <w:jc w:val="center"/>
              <w:rPr>
                <w:sz w:val="18"/>
              </w:rPr>
            </w:pPr>
            <w:r>
              <w:rPr>
                <w:sz w:val="18"/>
              </w:rPr>
              <w:t>7723</w:t>
            </w:r>
          </w:p>
        </w:tc>
        <w:tc>
          <w:tcPr>
            <w:tcW w:type="dxa" w:w="1169"/>
            <w:tcBorders>
              <w:top w:color="000000" w:sz="4" w:val="single"/>
              <w:left w:color="000000" w:sz="4" w:val="single"/>
              <w:bottom w:color="000000" w:sz="4" w:val="single"/>
              <w:right w:color="000000" w:sz="4" w:val="single"/>
            </w:tcBorders>
            <w:shd w:fill="FFFFFF" w:val="clear"/>
            <w:vAlign w:val="center"/>
          </w:tcPr>
          <w:p w14:paraId="092F0000">
            <w:pPr>
              <w:widowControl w:val="1"/>
              <w:ind/>
              <w:jc w:val="center"/>
              <w:rPr>
                <w:sz w:val="18"/>
              </w:rPr>
            </w:pPr>
            <w:r>
              <w:rPr>
                <w:sz w:val="18"/>
              </w:rPr>
              <w:t>153428,73</w:t>
            </w:r>
          </w:p>
        </w:tc>
        <w:tc>
          <w:tcPr>
            <w:tcW w:type="dxa" w:w="1185"/>
            <w:tcBorders>
              <w:top w:color="000000" w:sz="4" w:val="single"/>
              <w:left w:color="000000" w:sz="4" w:val="single"/>
              <w:bottom w:color="000000" w:sz="4" w:val="single"/>
              <w:right w:color="000000" w:sz="4" w:val="single"/>
            </w:tcBorders>
            <w:shd w:fill="FFFFFF" w:val="clear"/>
            <w:vAlign w:val="center"/>
          </w:tcPr>
          <w:p w14:paraId="0A2F0000">
            <w:pPr>
              <w:widowControl w:val="1"/>
              <w:ind/>
              <w:jc w:val="center"/>
              <w:rPr>
                <w:sz w:val="18"/>
              </w:rPr>
            </w:pPr>
            <w:r>
              <w:rPr>
                <w:sz w:val="18"/>
              </w:rPr>
              <w:t>181045,90</w:t>
            </w:r>
          </w:p>
        </w:tc>
        <w:tc>
          <w:tcPr>
            <w:tcW w:type="dxa" w:w="1083"/>
            <w:tcBorders>
              <w:top w:color="000000" w:sz="4" w:val="single"/>
              <w:left w:color="000000" w:sz="4" w:val="single"/>
              <w:bottom w:color="000000" w:sz="4" w:val="single"/>
              <w:right w:color="000000" w:sz="4" w:val="single"/>
            </w:tcBorders>
            <w:shd w:fill="FFFFFF" w:val="clear"/>
            <w:vAlign w:val="center"/>
          </w:tcPr>
          <w:p w14:paraId="0B2F0000">
            <w:pPr>
              <w:widowControl w:val="1"/>
              <w:ind/>
              <w:jc w:val="center"/>
              <w:rPr>
                <w:sz w:val="18"/>
              </w:rPr>
            </w:pPr>
            <w:r>
              <w:rPr>
                <w:sz w:val="18"/>
              </w:rPr>
              <w:t>181045,90</w:t>
            </w:r>
          </w:p>
        </w:tc>
        <w:tc>
          <w:tcPr>
            <w:tcW w:type="dxa" w:w="771"/>
            <w:tcBorders>
              <w:top w:color="000000" w:sz="4" w:val="single"/>
              <w:left w:color="000000" w:sz="4" w:val="single"/>
              <w:bottom w:color="000000" w:sz="4" w:val="single"/>
              <w:right w:color="000000" w:sz="4" w:val="single"/>
            </w:tcBorders>
            <w:shd w:fill="FFFFFF" w:val="clear"/>
            <w:vAlign w:val="center"/>
          </w:tcPr>
          <w:p w14:paraId="0C2F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0D2F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0E2F0000">
            <w:pPr>
              <w:widowControl w:val="1"/>
              <w:ind/>
              <w:jc w:val="center"/>
              <w:rPr>
                <w:sz w:val="18"/>
              </w:rPr>
            </w:pPr>
            <w:r>
              <w:rPr>
                <w:sz w:val="18"/>
              </w:rPr>
              <w:t>договор № 31 от 21.02.2018</w:t>
            </w:r>
          </w:p>
        </w:tc>
      </w:tr>
      <w:tr>
        <w:trPr>
          <w:trHeight w:hRule="atLeast" w:val="1110"/>
        </w:trPr>
        <w:tc>
          <w:tcPr>
            <w:tcW w:type="dxa" w:w="708"/>
            <w:tcBorders>
              <w:top w:color="000000" w:sz="4" w:val="single"/>
              <w:left w:color="000000" w:sz="4" w:val="single"/>
              <w:bottom w:color="000000" w:sz="4" w:val="single"/>
              <w:right w:color="000000" w:sz="4" w:val="single"/>
            </w:tcBorders>
            <w:shd w:fill="FFFFFF" w:val="clear"/>
            <w:vAlign w:val="center"/>
          </w:tcPr>
          <w:p w14:paraId="0F2F0000">
            <w:pPr>
              <w:widowControl w:val="1"/>
              <w:ind/>
              <w:jc w:val="center"/>
              <w:rPr>
                <w:color w:val="000000"/>
                <w:sz w:val="18"/>
              </w:rPr>
            </w:pPr>
            <w:r>
              <w:rPr>
                <w:color w:val="000000"/>
                <w:sz w:val="18"/>
              </w:rPr>
              <w:t>29</w:t>
            </w:r>
          </w:p>
        </w:tc>
        <w:tc>
          <w:tcPr>
            <w:tcW w:type="dxa" w:w="618"/>
            <w:tcBorders>
              <w:top w:color="000000" w:sz="4" w:val="single"/>
              <w:left w:color="000000" w:sz="4" w:val="single"/>
              <w:bottom w:color="000000" w:sz="4" w:val="single"/>
              <w:right w:color="000000" w:sz="4" w:val="single"/>
            </w:tcBorders>
            <w:shd w:fill="FFFFFF" w:val="clear"/>
            <w:vAlign w:val="center"/>
          </w:tcPr>
          <w:p w14:paraId="102F0000">
            <w:pPr>
              <w:widowControl w:val="1"/>
              <w:ind/>
              <w:jc w:val="center"/>
              <w:rPr>
                <w:color w:val="000000"/>
                <w:sz w:val="18"/>
              </w:rPr>
            </w:pPr>
            <w:r>
              <w:rPr>
                <w:color w:val="000000"/>
                <w:sz w:val="18"/>
              </w:rPr>
              <w:t>33</w:t>
            </w:r>
          </w:p>
        </w:tc>
        <w:tc>
          <w:tcPr>
            <w:tcW w:type="dxa" w:w="993"/>
            <w:tcBorders>
              <w:top w:color="000000" w:sz="4" w:val="single"/>
              <w:left w:color="000000" w:sz="4" w:val="single"/>
              <w:bottom w:color="000000" w:sz="4" w:val="single"/>
              <w:right w:color="000000" w:sz="4" w:val="single"/>
            </w:tcBorders>
            <w:shd w:fill="FFFFFF" w:val="clear"/>
            <w:vAlign w:val="center"/>
          </w:tcPr>
          <w:p w14:paraId="112F0000">
            <w:pPr>
              <w:widowControl w:val="1"/>
              <w:ind/>
              <w:jc w:val="center"/>
              <w:rPr>
                <w:sz w:val="18"/>
              </w:rPr>
            </w:pPr>
            <w:r>
              <w:rPr>
                <w:sz w:val="18"/>
              </w:rPr>
              <w:t>оказание услуг по техническому обслуживанию и ремонту компьютерного оборудования</w:t>
            </w:r>
          </w:p>
        </w:tc>
        <w:tc>
          <w:tcPr>
            <w:tcW w:type="dxa" w:w="849"/>
            <w:tcBorders>
              <w:top w:color="000000" w:sz="4" w:val="single"/>
              <w:left w:color="000000" w:sz="4" w:val="single"/>
              <w:bottom w:color="000000" w:sz="4" w:val="single"/>
              <w:right w:color="000000" w:sz="4" w:val="single"/>
            </w:tcBorders>
            <w:shd w:fill="FFFFFF" w:val="clear"/>
            <w:vAlign w:val="center"/>
          </w:tcPr>
          <w:p w14:paraId="122F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132F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142F0000">
            <w:pPr>
              <w:widowControl w:val="1"/>
              <w:ind/>
              <w:jc w:val="center"/>
              <w:rPr>
                <w:sz w:val="18"/>
              </w:rPr>
            </w:pPr>
            <w:r>
              <w:rPr>
                <w:sz w:val="18"/>
              </w:rPr>
              <w:t>223303,39</w:t>
            </w:r>
          </w:p>
        </w:tc>
        <w:tc>
          <w:tcPr>
            <w:tcW w:type="dxa" w:w="1134"/>
            <w:tcBorders>
              <w:top w:color="000000" w:sz="4" w:val="single"/>
              <w:left w:color="000000" w:sz="4" w:val="single"/>
              <w:bottom w:color="000000" w:sz="4" w:val="single"/>
              <w:right w:color="000000" w:sz="4" w:val="single"/>
            </w:tcBorders>
            <w:shd w:fill="FFFFFF" w:val="clear"/>
            <w:vAlign w:val="center"/>
          </w:tcPr>
          <w:p w14:paraId="152F0000">
            <w:pPr>
              <w:widowControl w:val="1"/>
              <w:ind/>
              <w:jc w:val="center"/>
              <w:rPr>
                <w:sz w:val="18"/>
              </w:rPr>
            </w:pPr>
            <w:r>
              <w:rPr>
                <w:sz w:val="18"/>
              </w:rPr>
              <w:t>263498,00</w:t>
            </w:r>
          </w:p>
        </w:tc>
        <w:tc>
          <w:tcPr>
            <w:tcW w:type="dxa" w:w="993"/>
            <w:tcBorders>
              <w:top w:color="000000" w:sz="4" w:val="single"/>
              <w:left w:color="000000" w:sz="4" w:val="single"/>
              <w:bottom w:color="000000" w:sz="4" w:val="single"/>
              <w:right w:color="000000" w:sz="4" w:val="single"/>
            </w:tcBorders>
            <w:shd w:fill="FFFFFF" w:val="clear"/>
            <w:vAlign w:val="center"/>
          </w:tcPr>
          <w:p w14:paraId="162F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172F0000">
            <w:pPr>
              <w:widowControl w:val="1"/>
              <w:ind/>
              <w:jc w:val="center"/>
              <w:rPr>
                <w:sz w:val="18"/>
              </w:rPr>
            </w:pPr>
            <w:r>
              <w:rPr>
                <w:sz w:val="18"/>
              </w:rPr>
              <w:t>январь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182F0000">
            <w:pPr>
              <w:widowControl w:val="1"/>
              <w:ind/>
              <w:jc w:val="center"/>
              <w:rPr>
                <w:sz w:val="18"/>
              </w:rPr>
            </w:pPr>
            <w:r>
              <w:rPr>
                <w:sz w:val="18"/>
              </w:rPr>
              <w:t>31806188827</w:t>
            </w:r>
          </w:p>
        </w:tc>
        <w:tc>
          <w:tcPr>
            <w:tcW w:type="dxa" w:w="652"/>
            <w:tcBorders>
              <w:top w:color="000000" w:sz="4" w:val="single"/>
              <w:left w:color="000000" w:sz="4" w:val="single"/>
              <w:bottom w:color="000000" w:sz="4" w:val="single"/>
              <w:right w:color="000000" w:sz="4" w:val="single"/>
            </w:tcBorders>
            <w:shd w:fill="FFFFFF" w:val="clear"/>
            <w:vAlign w:val="center"/>
          </w:tcPr>
          <w:p w14:paraId="192F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1A2F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1B2F0000">
            <w:pPr>
              <w:widowControl w:val="1"/>
              <w:ind/>
              <w:jc w:val="center"/>
              <w:rPr>
                <w:sz w:val="18"/>
              </w:rPr>
            </w:pPr>
            <w:r>
              <w:rPr>
                <w:sz w:val="18"/>
              </w:rPr>
              <w:t>263498,00</w:t>
            </w:r>
          </w:p>
        </w:tc>
        <w:tc>
          <w:tcPr>
            <w:tcW w:type="dxa" w:w="1185"/>
            <w:tcBorders>
              <w:top w:color="000000" w:sz="4" w:val="single"/>
              <w:left w:color="000000" w:sz="4" w:val="single"/>
              <w:bottom w:color="000000" w:sz="4" w:val="single"/>
              <w:right w:color="000000" w:sz="4" w:val="single"/>
            </w:tcBorders>
            <w:shd w:fill="FFFFFF" w:val="clear"/>
            <w:vAlign w:val="center"/>
          </w:tcPr>
          <w:p w14:paraId="1C2F0000">
            <w:pPr>
              <w:widowControl w:val="1"/>
              <w:ind/>
              <w:jc w:val="center"/>
              <w:rPr>
                <w:sz w:val="18"/>
              </w:rPr>
            </w:pPr>
            <w:r>
              <w:rPr>
                <w:sz w:val="18"/>
              </w:rPr>
              <w:t>263498,00</w:t>
            </w:r>
          </w:p>
        </w:tc>
        <w:tc>
          <w:tcPr>
            <w:tcW w:type="dxa" w:w="1083"/>
            <w:tcBorders>
              <w:top w:color="000000" w:sz="4" w:val="single"/>
              <w:left w:color="000000" w:sz="4" w:val="single"/>
              <w:bottom w:color="000000" w:sz="4" w:val="single"/>
              <w:right w:color="000000" w:sz="4" w:val="single"/>
            </w:tcBorders>
            <w:shd w:fill="FFFFFF" w:val="clear"/>
            <w:vAlign w:val="center"/>
          </w:tcPr>
          <w:p w14:paraId="1D2F0000">
            <w:pPr>
              <w:widowControl w:val="1"/>
              <w:ind/>
              <w:jc w:val="center"/>
              <w:rPr>
                <w:sz w:val="18"/>
              </w:rPr>
            </w:pPr>
            <w:r>
              <w:rPr>
                <w:sz w:val="18"/>
              </w:rPr>
              <w:t>263498,00</w:t>
            </w:r>
          </w:p>
        </w:tc>
        <w:tc>
          <w:tcPr>
            <w:tcW w:type="dxa" w:w="771"/>
            <w:tcBorders>
              <w:top w:color="000000" w:sz="4" w:val="single"/>
              <w:left w:color="000000" w:sz="4" w:val="single"/>
              <w:bottom w:color="000000" w:sz="4" w:val="single"/>
              <w:right w:color="000000" w:sz="4" w:val="single"/>
            </w:tcBorders>
            <w:shd w:fill="FFFFFF" w:val="clear"/>
            <w:vAlign w:val="center"/>
          </w:tcPr>
          <w:p w14:paraId="1E2F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1F2F0000">
            <w:pPr>
              <w:widowControl w:val="1"/>
              <w:ind/>
              <w:jc w:val="center"/>
              <w:rPr>
                <w:sz w:val="18"/>
              </w:rPr>
            </w:pPr>
            <w:r>
              <w:rPr>
                <w:sz w:val="18"/>
              </w:rPr>
              <w:t>январь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202F0000">
            <w:pPr>
              <w:widowControl w:val="1"/>
              <w:ind/>
              <w:jc w:val="center"/>
              <w:rPr>
                <w:sz w:val="18"/>
              </w:rPr>
            </w:pPr>
            <w:r>
              <w:rPr>
                <w:sz w:val="18"/>
              </w:rPr>
              <w:t>договор № 37 от 28.02.2018</w:t>
            </w:r>
          </w:p>
        </w:tc>
      </w:tr>
      <w:tr>
        <w:trPr>
          <w:trHeight w:hRule="atLeast" w:val="2040"/>
        </w:trPr>
        <w:tc>
          <w:tcPr>
            <w:tcW w:type="dxa" w:w="708"/>
            <w:tcBorders>
              <w:top w:color="000000" w:sz="4" w:val="single"/>
              <w:left w:color="000000" w:sz="4" w:val="single"/>
              <w:bottom w:color="000000" w:sz="4" w:val="single"/>
              <w:right w:color="000000" w:sz="4" w:val="single"/>
            </w:tcBorders>
            <w:shd w:fill="FFFFFF" w:val="clear"/>
            <w:vAlign w:val="center"/>
          </w:tcPr>
          <w:p w14:paraId="212F0000">
            <w:pPr>
              <w:widowControl w:val="1"/>
              <w:ind/>
              <w:jc w:val="center"/>
              <w:rPr>
                <w:color w:val="000000"/>
                <w:sz w:val="18"/>
              </w:rPr>
            </w:pPr>
            <w:r>
              <w:rPr>
                <w:color w:val="000000"/>
                <w:sz w:val="18"/>
              </w:rPr>
              <w:t>30</w:t>
            </w:r>
          </w:p>
        </w:tc>
        <w:tc>
          <w:tcPr>
            <w:tcW w:type="dxa" w:w="618"/>
            <w:tcBorders>
              <w:top w:color="000000" w:sz="4" w:val="single"/>
              <w:left w:color="000000" w:sz="4" w:val="single"/>
              <w:bottom w:color="000000" w:sz="4" w:val="single"/>
              <w:right w:color="000000" w:sz="4" w:val="single"/>
            </w:tcBorders>
            <w:shd w:fill="FFFFFF" w:val="clear"/>
            <w:vAlign w:val="center"/>
          </w:tcPr>
          <w:p w14:paraId="222F0000">
            <w:pPr>
              <w:widowControl w:val="1"/>
              <w:ind/>
              <w:jc w:val="center"/>
              <w:rPr>
                <w:sz w:val="18"/>
              </w:rPr>
            </w:pPr>
            <w:r>
              <w:rPr>
                <w:sz w:val="18"/>
              </w:rPr>
              <w:t>34</w:t>
            </w:r>
          </w:p>
        </w:tc>
        <w:tc>
          <w:tcPr>
            <w:tcW w:type="dxa" w:w="993"/>
            <w:tcBorders>
              <w:top w:color="000000" w:sz="4" w:val="single"/>
              <w:left w:color="000000" w:sz="4" w:val="single"/>
              <w:bottom w:color="000000" w:sz="4" w:val="single"/>
              <w:right w:color="000000" w:sz="4" w:val="single"/>
            </w:tcBorders>
            <w:shd w:fill="FFFFFF" w:val="clear"/>
            <w:vAlign w:val="center"/>
          </w:tcPr>
          <w:p w14:paraId="232F0000">
            <w:pPr>
              <w:widowControl w:val="1"/>
              <w:ind/>
              <w:jc w:val="center"/>
              <w:rPr>
                <w:sz w:val="18"/>
              </w:rPr>
            </w:pPr>
            <w:r>
              <w:rPr>
                <w:sz w:val="18"/>
              </w:rPr>
              <w:t>Поставка никель-кадмиевых аккумуляторов НК 55П ддля электропоездов ЭД9М 217, 218, 219</w:t>
            </w:r>
          </w:p>
        </w:tc>
        <w:tc>
          <w:tcPr>
            <w:tcW w:type="dxa" w:w="849"/>
            <w:tcBorders>
              <w:top w:color="000000" w:sz="4" w:val="single"/>
              <w:left w:color="000000" w:sz="4" w:val="single"/>
              <w:bottom w:color="000000" w:sz="4" w:val="single"/>
              <w:right w:color="000000" w:sz="4" w:val="single"/>
            </w:tcBorders>
            <w:shd w:fill="FFFFFF" w:val="clear"/>
            <w:vAlign w:val="center"/>
          </w:tcPr>
          <w:p w14:paraId="242F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252F0000">
            <w:pPr>
              <w:widowControl w:val="1"/>
              <w:ind/>
              <w:jc w:val="center"/>
              <w:rPr>
                <w:sz w:val="18"/>
              </w:rPr>
            </w:pPr>
            <w:r>
              <w:rPr>
                <w:sz w:val="18"/>
              </w:rPr>
              <w:t>380</w:t>
            </w:r>
          </w:p>
        </w:tc>
        <w:tc>
          <w:tcPr>
            <w:tcW w:type="dxa" w:w="991"/>
            <w:tcBorders>
              <w:top w:color="000000" w:sz="4" w:val="single"/>
              <w:left w:color="000000" w:sz="4" w:val="single"/>
              <w:bottom w:color="000000" w:sz="4" w:val="single"/>
              <w:right w:color="000000" w:sz="4" w:val="single"/>
            </w:tcBorders>
            <w:shd w:fill="FFFFFF" w:val="clear"/>
            <w:vAlign w:val="center"/>
          </w:tcPr>
          <w:p w14:paraId="262F0000">
            <w:pPr>
              <w:widowControl w:val="1"/>
              <w:ind/>
              <w:jc w:val="center"/>
              <w:rPr>
                <w:sz w:val="18"/>
              </w:rPr>
            </w:pPr>
            <w:r>
              <w:rPr>
                <w:sz w:val="18"/>
              </w:rPr>
              <w:t>419491,50</w:t>
            </w:r>
          </w:p>
        </w:tc>
        <w:tc>
          <w:tcPr>
            <w:tcW w:type="dxa" w:w="1134"/>
            <w:tcBorders>
              <w:top w:color="000000" w:sz="4" w:val="single"/>
              <w:left w:color="000000" w:sz="4" w:val="single"/>
              <w:bottom w:color="000000" w:sz="4" w:val="single"/>
              <w:right w:color="000000" w:sz="4" w:val="single"/>
            </w:tcBorders>
            <w:shd w:fill="FFFFFF" w:val="clear"/>
            <w:vAlign w:val="center"/>
          </w:tcPr>
          <w:p w14:paraId="272F0000">
            <w:pPr>
              <w:widowControl w:val="1"/>
              <w:ind/>
              <w:jc w:val="center"/>
              <w:rPr>
                <w:sz w:val="18"/>
              </w:rPr>
            </w:pPr>
            <w:r>
              <w:rPr>
                <w:sz w:val="18"/>
              </w:rPr>
              <w:t>495000,00</w:t>
            </w:r>
          </w:p>
        </w:tc>
        <w:tc>
          <w:tcPr>
            <w:tcW w:type="dxa" w:w="993"/>
            <w:tcBorders>
              <w:top w:color="000000" w:sz="4" w:val="single"/>
              <w:left w:color="000000" w:sz="4" w:val="single"/>
              <w:bottom w:color="000000" w:sz="4" w:val="single"/>
              <w:right w:color="000000" w:sz="4" w:val="single"/>
            </w:tcBorders>
            <w:shd w:fill="FFFFFF" w:val="clear"/>
            <w:vAlign w:val="center"/>
          </w:tcPr>
          <w:p w14:paraId="282F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292F0000">
            <w:pPr>
              <w:widowControl w:val="1"/>
              <w:ind/>
              <w:jc w:val="center"/>
              <w:rPr>
                <w:sz w:val="18"/>
              </w:rPr>
            </w:pPr>
            <w:r>
              <w:rPr>
                <w:sz w:val="18"/>
              </w:rPr>
              <w:t>апрель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2A2F0000">
            <w:pPr>
              <w:widowControl w:val="1"/>
              <w:ind/>
              <w:jc w:val="center"/>
              <w:rPr>
                <w:sz w:val="18"/>
              </w:rPr>
            </w:pPr>
            <w:r>
              <w:rPr>
                <w:sz w:val="18"/>
              </w:rPr>
              <w:t>31806182621</w:t>
            </w:r>
          </w:p>
        </w:tc>
        <w:tc>
          <w:tcPr>
            <w:tcW w:type="dxa" w:w="652"/>
            <w:tcBorders>
              <w:top w:color="000000" w:sz="4" w:val="single"/>
              <w:left w:color="000000" w:sz="4" w:val="single"/>
              <w:bottom w:color="000000" w:sz="4" w:val="single"/>
              <w:right w:color="000000" w:sz="4" w:val="single"/>
            </w:tcBorders>
            <w:shd w:fill="FFFFFF" w:val="clear"/>
            <w:vAlign w:val="center"/>
          </w:tcPr>
          <w:p w14:paraId="2B2F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2C2F0000">
            <w:pPr>
              <w:widowControl w:val="1"/>
              <w:ind/>
              <w:jc w:val="center"/>
              <w:rPr>
                <w:sz w:val="18"/>
              </w:rPr>
            </w:pPr>
            <w:r>
              <w:rPr>
                <w:sz w:val="18"/>
              </w:rPr>
              <w:t>380</w:t>
            </w:r>
          </w:p>
        </w:tc>
        <w:tc>
          <w:tcPr>
            <w:tcW w:type="dxa" w:w="1169"/>
            <w:tcBorders>
              <w:top w:color="000000" w:sz="4" w:val="single"/>
              <w:left w:color="000000" w:sz="4" w:val="single"/>
              <w:bottom w:color="000000" w:sz="4" w:val="single"/>
              <w:right w:color="000000" w:sz="4" w:val="single"/>
            </w:tcBorders>
            <w:shd w:fill="FFFFFF" w:val="clear"/>
            <w:vAlign w:val="center"/>
          </w:tcPr>
          <w:p w14:paraId="2D2F0000">
            <w:pPr>
              <w:widowControl w:val="1"/>
              <w:ind/>
              <w:jc w:val="center"/>
              <w:rPr>
                <w:sz w:val="18"/>
              </w:rPr>
            </w:pPr>
            <w:r>
              <w:rPr>
                <w:sz w:val="18"/>
              </w:rPr>
              <w:t>418000,00</w:t>
            </w:r>
          </w:p>
        </w:tc>
        <w:tc>
          <w:tcPr>
            <w:tcW w:type="dxa" w:w="1185"/>
            <w:tcBorders>
              <w:top w:color="000000" w:sz="4" w:val="single"/>
              <w:left w:color="000000" w:sz="4" w:val="single"/>
              <w:bottom w:color="000000" w:sz="4" w:val="single"/>
              <w:right w:color="000000" w:sz="4" w:val="single"/>
            </w:tcBorders>
            <w:shd w:fill="FFFFFF" w:val="clear"/>
            <w:vAlign w:val="center"/>
          </w:tcPr>
          <w:p w14:paraId="2E2F0000">
            <w:pPr>
              <w:widowControl w:val="1"/>
              <w:ind/>
              <w:jc w:val="center"/>
              <w:rPr>
                <w:sz w:val="18"/>
              </w:rPr>
            </w:pPr>
            <w:r>
              <w:rPr>
                <w:sz w:val="18"/>
              </w:rPr>
              <w:t>493240,00</w:t>
            </w:r>
          </w:p>
        </w:tc>
        <w:tc>
          <w:tcPr>
            <w:tcW w:type="dxa" w:w="1083"/>
            <w:tcBorders>
              <w:top w:color="000000" w:sz="4" w:val="single"/>
              <w:left w:color="000000" w:sz="4" w:val="single"/>
              <w:bottom w:color="000000" w:sz="4" w:val="single"/>
              <w:right w:color="000000" w:sz="4" w:val="single"/>
            </w:tcBorders>
            <w:shd w:fill="FFFFFF" w:val="clear"/>
            <w:vAlign w:val="center"/>
          </w:tcPr>
          <w:p w14:paraId="2F2F0000">
            <w:pPr>
              <w:widowControl w:val="1"/>
              <w:ind/>
              <w:jc w:val="center"/>
              <w:rPr>
                <w:sz w:val="18"/>
              </w:rPr>
            </w:pPr>
            <w:r>
              <w:rPr>
                <w:sz w:val="18"/>
              </w:rPr>
              <w:t>493240,00</w:t>
            </w:r>
          </w:p>
        </w:tc>
        <w:tc>
          <w:tcPr>
            <w:tcW w:type="dxa" w:w="771"/>
            <w:tcBorders>
              <w:top w:color="000000" w:sz="4" w:val="single"/>
              <w:left w:color="000000" w:sz="4" w:val="single"/>
              <w:bottom w:color="000000" w:sz="4" w:val="single"/>
              <w:right w:color="000000" w:sz="4" w:val="single"/>
            </w:tcBorders>
            <w:shd w:fill="FFFFFF" w:val="clear"/>
            <w:vAlign w:val="center"/>
          </w:tcPr>
          <w:p w14:paraId="302F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312F0000">
            <w:pPr>
              <w:widowControl w:val="1"/>
              <w:ind/>
              <w:jc w:val="center"/>
              <w:rPr>
                <w:sz w:val="18"/>
              </w:rPr>
            </w:pPr>
            <w:r>
              <w:rPr>
                <w:sz w:val="18"/>
              </w:rPr>
              <w:t>апрель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322F0000">
            <w:pPr>
              <w:widowControl w:val="1"/>
              <w:ind/>
              <w:jc w:val="center"/>
              <w:rPr>
                <w:sz w:val="18"/>
              </w:rPr>
            </w:pPr>
            <w:r>
              <w:rPr>
                <w:sz w:val="18"/>
              </w:rPr>
              <w:t>договор № 36 от 27.02.2018</w:t>
            </w:r>
          </w:p>
        </w:tc>
      </w:tr>
      <w:tr>
        <w:trPr>
          <w:trHeight w:hRule="atLeast" w:val="2805"/>
        </w:trPr>
        <w:tc>
          <w:tcPr>
            <w:tcW w:type="dxa" w:w="708"/>
            <w:tcBorders>
              <w:top w:color="000000" w:sz="4" w:val="single"/>
              <w:left w:color="000000" w:sz="4" w:val="single"/>
              <w:bottom w:color="000000" w:sz="4" w:val="single"/>
              <w:right w:color="000000" w:sz="4" w:val="single"/>
            </w:tcBorders>
            <w:shd w:fill="FFFFFF" w:val="clear"/>
            <w:vAlign w:val="center"/>
          </w:tcPr>
          <w:p w14:paraId="332F0000">
            <w:pPr>
              <w:widowControl w:val="1"/>
              <w:ind/>
              <w:jc w:val="center"/>
              <w:rPr>
                <w:color w:val="000000"/>
                <w:sz w:val="18"/>
              </w:rPr>
            </w:pPr>
            <w:r>
              <w:rPr>
                <w:color w:val="000000"/>
                <w:sz w:val="18"/>
              </w:rPr>
              <w:t>31</w:t>
            </w:r>
          </w:p>
        </w:tc>
        <w:tc>
          <w:tcPr>
            <w:tcW w:type="dxa" w:w="618"/>
            <w:tcBorders>
              <w:top w:color="000000" w:sz="4" w:val="single"/>
              <w:left w:color="000000" w:sz="4" w:val="single"/>
              <w:bottom w:color="000000" w:sz="4" w:val="single"/>
              <w:right w:color="000000" w:sz="4" w:val="single"/>
            </w:tcBorders>
            <w:shd w:fill="FFFFFF" w:val="clear"/>
            <w:vAlign w:val="center"/>
          </w:tcPr>
          <w:p w14:paraId="342F0000">
            <w:pPr>
              <w:widowControl w:val="1"/>
              <w:ind/>
              <w:jc w:val="center"/>
              <w:rPr>
                <w:color w:val="000000"/>
                <w:sz w:val="18"/>
              </w:rPr>
            </w:pPr>
            <w:r>
              <w:rPr>
                <w:color w:val="000000"/>
                <w:sz w:val="18"/>
              </w:rPr>
              <w:t>35</w:t>
            </w:r>
          </w:p>
        </w:tc>
        <w:tc>
          <w:tcPr>
            <w:tcW w:type="dxa" w:w="993"/>
            <w:tcBorders>
              <w:top w:color="000000" w:sz="4" w:val="single"/>
              <w:left w:color="000000" w:sz="4" w:val="single"/>
              <w:bottom w:color="000000" w:sz="4" w:val="single"/>
              <w:right w:color="000000" w:sz="4" w:val="single"/>
            </w:tcBorders>
            <w:shd w:fill="FFFFFF" w:val="clear"/>
            <w:vAlign w:val="center"/>
          </w:tcPr>
          <w:p w14:paraId="352F0000">
            <w:pPr>
              <w:widowControl w:val="1"/>
              <w:ind/>
              <w:jc w:val="center"/>
              <w:rPr>
                <w:sz w:val="18"/>
              </w:rPr>
            </w:pPr>
            <w:r>
              <w:rPr>
                <w:sz w:val="18"/>
              </w:rPr>
              <w:t>Оказание услуг по страхованию гражданской ответственности перевозчика за причинение вреда жизни, здоровью, имуществу пассажиров</w:t>
            </w:r>
          </w:p>
        </w:tc>
        <w:tc>
          <w:tcPr>
            <w:tcW w:type="dxa" w:w="849"/>
            <w:tcBorders>
              <w:top w:color="000000" w:sz="4" w:val="single"/>
              <w:left w:color="000000" w:sz="4" w:val="single"/>
              <w:bottom w:color="000000" w:sz="4" w:val="single"/>
              <w:right w:color="000000" w:sz="4" w:val="single"/>
            </w:tcBorders>
            <w:shd w:fill="FFFFFF" w:val="clear"/>
            <w:vAlign w:val="center"/>
          </w:tcPr>
          <w:p w14:paraId="362F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372F0000">
            <w:pPr>
              <w:widowControl w:val="1"/>
              <w:ind/>
              <w:jc w:val="center"/>
              <w:rPr>
                <w:sz w:val="18"/>
              </w:rPr>
            </w:pPr>
            <w:r>
              <w:rPr>
                <w:sz w:val="18"/>
              </w:rPr>
              <w:t>6203176</w:t>
            </w:r>
          </w:p>
        </w:tc>
        <w:tc>
          <w:tcPr>
            <w:tcW w:type="dxa" w:w="991"/>
            <w:tcBorders>
              <w:top w:color="000000" w:sz="4" w:val="single"/>
              <w:left w:color="000000" w:sz="4" w:val="single"/>
              <w:bottom w:color="000000" w:sz="4" w:val="single"/>
              <w:right w:color="000000" w:sz="4" w:val="single"/>
            </w:tcBorders>
            <w:shd w:fill="FFFFFF" w:val="clear"/>
            <w:vAlign w:val="center"/>
          </w:tcPr>
          <w:p w14:paraId="382F0000">
            <w:pPr>
              <w:widowControl w:val="1"/>
              <w:ind/>
              <w:jc w:val="center"/>
              <w:rPr>
                <w:sz w:val="18"/>
              </w:rPr>
            </w:pPr>
            <w:r>
              <w:rPr>
                <w:sz w:val="18"/>
              </w:rPr>
              <w:t>231034,00</w:t>
            </w:r>
          </w:p>
        </w:tc>
        <w:tc>
          <w:tcPr>
            <w:tcW w:type="dxa" w:w="1134"/>
            <w:tcBorders>
              <w:top w:color="000000" w:sz="4" w:val="single"/>
              <w:left w:color="000000" w:sz="4" w:val="single"/>
              <w:bottom w:color="000000" w:sz="4" w:val="single"/>
              <w:right w:color="000000" w:sz="4" w:val="single"/>
            </w:tcBorders>
            <w:shd w:fill="FFFFFF" w:val="clear"/>
            <w:vAlign w:val="center"/>
          </w:tcPr>
          <w:p w14:paraId="392F0000">
            <w:pPr>
              <w:widowControl w:val="1"/>
              <w:ind/>
              <w:jc w:val="center"/>
              <w:rPr>
                <w:sz w:val="18"/>
              </w:rPr>
            </w:pPr>
            <w:r>
              <w:rPr>
                <w:sz w:val="18"/>
              </w:rPr>
              <w:t>231034,00</w:t>
            </w:r>
          </w:p>
        </w:tc>
        <w:tc>
          <w:tcPr>
            <w:tcW w:type="dxa" w:w="993"/>
            <w:tcBorders>
              <w:top w:color="000000" w:sz="4" w:val="single"/>
              <w:left w:color="000000" w:sz="4" w:val="single"/>
              <w:bottom w:color="000000" w:sz="4" w:val="single"/>
              <w:right w:color="000000" w:sz="4" w:val="single"/>
            </w:tcBorders>
            <w:shd w:fill="FFFFFF" w:val="clear"/>
            <w:vAlign w:val="center"/>
          </w:tcPr>
          <w:p w14:paraId="3A2F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3B2F0000">
            <w:pPr>
              <w:widowControl w:val="1"/>
              <w:ind/>
              <w:jc w:val="center"/>
              <w:rPr>
                <w:sz w:val="18"/>
              </w:rPr>
            </w:pPr>
            <w:r>
              <w:rPr>
                <w:sz w:val="18"/>
              </w:rPr>
              <w:t>март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3C2F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3D2F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3E2F0000">
            <w:pPr>
              <w:widowControl w:val="1"/>
              <w:ind/>
              <w:jc w:val="center"/>
              <w:rPr>
                <w:sz w:val="18"/>
              </w:rPr>
            </w:pPr>
            <w:r>
              <w:rPr>
                <w:sz w:val="18"/>
              </w:rPr>
              <w:t>6203176</w:t>
            </w:r>
          </w:p>
        </w:tc>
        <w:tc>
          <w:tcPr>
            <w:tcW w:type="dxa" w:w="1169"/>
            <w:tcBorders>
              <w:top w:color="000000" w:sz="4" w:val="single"/>
              <w:left w:color="000000" w:sz="4" w:val="single"/>
              <w:bottom w:color="000000" w:sz="4" w:val="single"/>
              <w:right w:color="000000" w:sz="4" w:val="single"/>
            </w:tcBorders>
            <w:shd w:fill="FFFFFF" w:val="clear"/>
            <w:vAlign w:val="center"/>
          </w:tcPr>
          <w:p w14:paraId="3F2F0000">
            <w:pPr>
              <w:widowControl w:val="1"/>
              <w:ind/>
              <w:jc w:val="center"/>
              <w:rPr>
                <w:sz w:val="18"/>
              </w:rPr>
            </w:pPr>
            <w:r>
              <w:rPr>
                <w:sz w:val="18"/>
              </w:rPr>
              <w:t>274179,38</w:t>
            </w:r>
          </w:p>
        </w:tc>
        <w:tc>
          <w:tcPr>
            <w:tcW w:type="dxa" w:w="1185"/>
            <w:tcBorders>
              <w:top w:color="000000" w:sz="4" w:val="single"/>
              <w:left w:color="000000" w:sz="4" w:val="single"/>
              <w:bottom w:color="000000" w:sz="4" w:val="single"/>
              <w:right w:color="000000" w:sz="4" w:val="single"/>
            </w:tcBorders>
            <w:shd w:fill="FFFFFF" w:val="clear"/>
            <w:vAlign w:val="center"/>
          </w:tcPr>
          <w:p w14:paraId="402F0000">
            <w:pPr>
              <w:widowControl w:val="1"/>
              <w:ind/>
              <w:jc w:val="center"/>
              <w:rPr>
                <w:sz w:val="18"/>
              </w:rPr>
            </w:pPr>
            <w:r>
              <w:rPr>
                <w:sz w:val="18"/>
              </w:rPr>
              <w:t>274179,38</w:t>
            </w:r>
          </w:p>
        </w:tc>
        <w:tc>
          <w:tcPr>
            <w:tcW w:type="dxa" w:w="1083"/>
            <w:tcBorders>
              <w:top w:color="000000" w:sz="4" w:val="single"/>
              <w:left w:color="000000" w:sz="4" w:val="single"/>
              <w:bottom w:color="000000" w:sz="4" w:val="single"/>
              <w:right w:color="000000" w:sz="4" w:val="single"/>
            </w:tcBorders>
            <w:shd w:fill="FFFFFF" w:val="clear"/>
            <w:vAlign w:val="center"/>
          </w:tcPr>
          <w:p w14:paraId="412F0000">
            <w:pPr>
              <w:widowControl w:val="1"/>
              <w:ind/>
              <w:jc w:val="center"/>
              <w:rPr>
                <w:sz w:val="18"/>
              </w:rPr>
            </w:pPr>
            <w:r>
              <w:rPr>
                <w:sz w:val="18"/>
              </w:rPr>
              <w:t>274179,38</w:t>
            </w:r>
          </w:p>
        </w:tc>
        <w:tc>
          <w:tcPr>
            <w:tcW w:type="dxa" w:w="771"/>
            <w:tcBorders>
              <w:top w:color="000000" w:sz="4" w:val="single"/>
              <w:left w:color="000000" w:sz="4" w:val="single"/>
              <w:bottom w:color="000000" w:sz="4" w:val="single"/>
              <w:right w:color="000000" w:sz="4" w:val="single"/>
            </w:tcBorders>
            <w:shd w:fill="FFFFFF" w:val="clear"/>
            <w:vAlign w:val="center"/>
          </w:tcPr>
          <w:p w14:paraId="422F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432F0000">
            <w:pPr>
              <w:widowControl w:val="1"/>
              <w:ind/>
              <w:jc w:val="center"/>
              <w:rPr>
                <w:sz w:val="18"/>
              </w:rPr>
            </w:pPr>
            <w:r>
              <w:rPr>
                <w:sz w:val="18"/>
              </w:rPr>
              <w:t>март 2019 г.</w:t>
            </w:r>
          </w:p>
        </w:tc>
        <w:tc>
          <w:tcPr>
            <w:tcW w:type="dxa" w:w="709"/>
            <w:tcBorders>
              <w:top w:color="000000" w:sz="4" w:val="single"/>
              <w:left w:color="000000" w:sz="4" w:val="single"/>
              <w:bottom w:color="000000" w:sz="4" w:val="single"/>
              <w:right w:color="000000" w:sz="4" w:val="single"/>
            </w:tcBorders>
            <w:shd w:fill="FFFFFF" w:val="clear"/>
            <w:vAlign w:val="center"/>
          </w:tcPr>
          <w:p w14:paraId="442F0000">
            <w:pPr>
              <w:widowControl w:val="1"/>
              <w:ind/>
              <w:jc w:val="center"/>
              <w:rPr>
                <w:sz w:val="18"/>
              </w:rPr>
            </w:pPr>
            <w:r>
              <w:rPr>
                <w:sz w:val="18"/>
              </w:rPr>
              <w:t>договор №м GAZX21877278532000/3718 GP0011 от 30.03.2018</w:t>
            </w:r>
          </w:p>
        </w:tc>
      </w:tr>
      <w:tr>
        <w:trPr>
          <w:trHeight w:hRule="atLeast" w:val="1020"/>
        </w:trPr>
        <w:tc>
          <w:tcPr>
            <w:tcW w:type="dxa" w:w="708"/>
            <w:tcBorders>
              <w:top w:color="000000" w:sz="4" w:val="single"/>
              <w:left w:color="000000" w:sz="4" w:val="single"/>
              <w:bottom w:color="000000" w:sz="4" w:val="single"/>
              <w:right w:color="000000" w:sz="4" w:val="single"/>
            </w:tcBorders>
            <w:shd w:fill="FFFFFF" w:val="clear"/>
            <w:vAlign w:val="center"/>
          </w:tcPr>
          <w:p w14:paraId="452F0000">
            <w:pPr>
              <w:widowControl w:val="1"/>
              <w:ind/>
              <w:jc w:val="center"/>
              <w:rPr>
                <w:color w:val="000000"/>
                <w:sz w:val="18"/>
              </w:rPr>
            </w:pPr>
            <w:r>
              <w:rPr>
                <w:color w:val="000000"/>
                <w:sz w:val="18"/>
              </w:rPr>
              <w:t>32</w:t>
            </w:r>
          </w:p>
        </w:tc>
        <w:tc>
          <w:tcPr>
            <w:tcW w:type="dxa" w:w="618"/>
            <w:tcBorders>
              <w:top w:color="000000" w:sz="4" w:val="single"/>
              <w:left w:color="000000" w:sz="4" w:val="single"/>
              <w:bottom w:color="000000" w:sz="4" w:val="single"/>
              <w:right w:color="000000" w:sz="4" w:val="single"/>
            </w:tcBorders>
            <w:shd w:fill="FFFFFF" w:val="clear"/>
            <w:vAlign w:val="center"/>
          </w:tcPr>
          <w:p w14:paraId="462F0000">
            <w:pPr>
              <w:widowControl w:val="1"/>
              <w:ind/>
              <w:jc w:val="center"/>
              <w:rPr>
                <w:color w:val="000000"/>
                <w:sz w:val="18"/>
              </w:rPr>
            </w:pPr>
            <w:r>
              <w:rPr>
                <w:color w:val="000000"/>
                <w:sz w:val="18"/>
              </w:rPr>
              <w:t>37</w:t>
            </w:r>
          </w:p>
        </w:tc>
        <w:tc>
          <w:tcPr>
            <w:tcW w:type="dxa" w:w="993"/>
            <w:tcBorders>
              <w:top w:color="000000" w:sz="4" w:val="single"/>
              <w:left w:color="000000" w:sz="4" w:val="single"/>
              <w:bottom w:color="000000" w:sz="4" w:val="single"/>
              <w:right w:color="000000" w:sz="4" w:val="single"/>
            </w:tcBorders>
            <w:shd w:fill="FFFFFF" w:val="clear"/>
            <w:vAlign w:val="center"/>
          </w:tcPr>
          <w:p w14:paraId="472F0000">
            <w:pPr>
              <w:widowControl w:val="1"/>
              <w:ind/>
              <w:jc w:val="center"/>
              <w:rPr>
                <w:sz w:val="18"/>
              </w:rPr>
            </w:pPr>
            <w:r>
              <w:rPr>
                <w:sz w:val="18"/>
              </w:rPr>
              <w:t>выполнение работ по ремонту оборудования</w:t>
            </w:r>
          </w:p>
        </w:tc>
        <w:tc>
          <w:tcPr>
            <w:tcW w:type="dxa" w:w="849"/>
            <w:tcBorders>
              <w:top w:color="000000" w:sz="4" w:val="single"/>
              <w:left w:color="000000" w:sz="4" w:val="single"/>
              <w:bottom w:color="000000" w:sz="4" w:val="single"/>
              <w:right w:color="000000" w:sz="4" w:val="single"/>
            </w:tcBorders>
            <w:shd w:fill="FFFFFF" w:val="clear"/>
            <w:vAlign w:val="center"/>
          </w:tcPr>
          <w:p w14:paraId="482F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492F0000">
            <w:pPr>
              <w:widowControl w:val="1"/>
              <w:ind/>
              <w:jc w:val="center"/>
              <w:rPr>
                <w:sz w:val="18"/>
              </w:rPr>
            </w:pPr>
            <w:r>
              <w:rPr>
                <w:sz w:val="18"/>
              </w:rPr>
              <w:t>3</w:t>
            </w:r>
          </w:p>
        </w:tc>
        <w:tc>
          <w:tcPr>
            <w:tcW w:type="dxa" w:w="991"/>
            <w:tcBorders>
              <w:top w:color="000000" w:sz="4" w:val="single"/>
              <w:left w:color="000000" w:sz="4" w:val="single"/>
              <w:bottom w:color="000000" w:sz="4" w:val="single"/>
              <w:right w:color="000000" w:sz="4" w:val="single"/>
            </w:tcBorders>
            <w:shd w:fill="FFFFFF" w:val="clear"/>
            <w:vAlign w:val="center"/>
          </w:tcPr>
          <w:p w14:paraId="4A2F0000">
            <w:pPr>
              <w:widowControl w:val="1"/>
              <w:ind/>
              <w:jc w:val="center"/>
              <w:rPr>
                <w:sz w:val="18"/>
              </w:rPr>
            </w:pPr>
            <w:r>
              <w:rPr>
                <w:sz w:val="18"/>
              </w:rPr>
              <w:t>263283,05</w:t>
            </w:r>
          </w:p>
        </w:tc>
        <w:tc>
          <w:tcPr>
            <w:tcW w:type="dxa" w:w="1134"/>
            <w:tcBorders>
              <w:top w:color="000000" w:sz="4" w:val="single"/>
              <w:left w:color="000000" w:sz="4" w:val="single"/>
              <w:bottom w:color="000000" w:sz="4" w:val="single"/>
              <w:right w:color="000000" w:sz="4" w:val="single"/>
            </w:tcBorders>
            <w:shd w:fill="FFFFFF" w:val="clear"/>
            <w:vAlign w:val="center"/>
          </w:tcPr>
          <w:p w14:paraId="4B2F0000">
            <w:pPr>
              <w:widowControl w:val="1"/>
              <w:ind/>
              <w:jc w:val="center"/>
              <w:rPr>
                <w:sz w:val="18"/>
              </w:rPr>
            </w:pPr>
            <w:r>
              <w:rPr>
                <w:sz w:val="18"/>
              </w:rPr>
              <w:t>310674,00</w:t>
            </w:r>
          </w:p>
        </w:tc>
        <w:tc>
          <w:tcPr>
            <w:tcW w:type="dxa" w:w="993"/>
            <w:tcBorders>
              <w:top w:color="000000" w:sz="4" w:val="single"/>
              <w:left w:color="000000" w:sz="4" w:val="single"/>
              <w:bottom w:color="000000" w:sz="4" w:val="single"/>
              <w:right w:color="000000" w:sz="4" w:val="single"/>
            </w:tcBorders>
            <w:shd w:fill="FFFFFF" w:val="clear"/>
            <w:vAlign w:val="center"/>
          </w:tcPr>
          <w:p w14:paraId="4C2F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4D2F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4E2F0000">
            <w:pPr>
              <w:widowControl w:val="1"/>
              <w:ind/>
              <w:jc w:val="center"/>
              <w:rPr>
                <w:sz w:val="18"/>
              </w:rPr>
            </w:pPr>
            <w:r>
              <w:rPr>
                <w:sz w:val="18"/>
              </w:rPr>
              <w:t>31806300868</w:t>
            </w:r>
          </w:p>
        </w:tc>
        <w:tc>
          <w:tcPr>
            <w:tcW w:type="dxa" w:w="652"/>
            <w:tcBorders>
              <w:top w:color="000000" w:sz="4" w:val="single"/>
              <w:left w:color="000000" w:sz="4" w:val="single"/>
              <w:bottom w:color="000000" w:sz="4" w:val="single"/>
              <w:right w:color="000000" w:sz="4" w:val="single"/>
            </w:tcBorders>
            <w:shd w:fill="FFFFFF" w:val="clear"/>
            <w:vAlign w:val="center"/>
          </w:tcPr>
          <w:p w14:paraId="4F2F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502F0000">
            <w:pPr>
              <w:widowControl w:val="1"/>
              <w:ind/>
              <w:jc w:val="center"/>
              <w:rPr>
                <w:sz w:val="18"/>
              </w:rPr>
            </w:pPr>
            <w:r>
              <w:rPr>
                <w:sz w:val="18"/>
              </w:rPr>
              <w:t>3</w:t>
            </w:r>
          </w:p>
        </w:tc>
        <w:tc>
          <w:tcPr>
            <w:tcW w:type="dxa" w:w="1169"/>
            <w:tcBorders>
              <w:top w:color="000000" w:sz="4" w:val="single"/>
              <w:left w:color="000000" w:sz="4" w:val="single"/>
              <w:bottom w:color="000000" w:sz="4" w:val="single"/>
              <w:right w:color="000000" w:sz="4" w:val="single"/>
            </w:tcBorders>
            <w:shd w:fill="FFFFFF" w:val="clear"/>
            <w:vAlign w:val="center"/>
          </w:tcPr>
          <w:p w14:paraId="512F0000">
            <w:pPr>
              <w:widowControl w:val="1"/>
              <w:ind/>
              <w:jc w:val="center"/>
              <w:rPr>
                <w:sz w:val="18"/>
              </w:rPr>
            </w:pPr>
            <w:r>
              <w:rPr>
                <w:sz w:val="18"/>
              </w:rPr>
              <w:t>253157,00</w:t>
            </w:r>
          </w:p>
        </w:tc>
        <w:tc>
          <w:tcPr>
            <w:tcW w:type="dxa" w:w="1185"/>
            <w:tcBorders>
              <w:top w:color="000000" w:sz="4" w:val="single"/>
              <w:left w:color="000000" w:sz="4" w:val="single"/>
              <w:bottom w:color="000000" w:sz="4" w:val="single"/>
              <w:right w:color="000000" w:sz="4" w:val="single"/>
            </w:tcBorders>
            <w:shd w:fill="FFFFFF" w:val="clear"/>
            <w:vAlign w:val="center"/>
          </w:tcPr>
          <w:p w14:paraId="522F0000">
            <w:pPr>
              <w:widowControl w:val="1"/>
              <w:ind/>
              <w:jc w:val="center"/>
              <w:rPr>
                <w:sz w:val="18"/>
              </w:rPr>
            </w:pPr>
            <w:r>
              <w:rPr>
                <w:sz w:val="18"/>
              </w:rPr>
              <w:t>298725,26</w:t>
            </w:r>
          </w:p>
        </w:tc>
        <w:tc>
          <w:tcPr>
            <w:tcW w:type="dxa" w:w="1083"/>
            <w:tcBorders>
              <w:top w:color="000000" w:sz="4" w:val="single"/>
              <w:left w:color="000000" w:sz="4" w:val="single"/>
              <w:bottom w:color="000000" w:sz="4" w:val="single"/>
              <w:right w:color="000000" w:sz="4" w:val="single"/>
            </w:tcBorders>
            <w:shd w:fill="FFFFFF" w:val="clear"/>
            <w:vAlign w:val="center"/>
          </w:tcPr>
          <w:p w14:paraId="532F0000">
            <w:pPr>
              <w:widowControl w:val="1"/>
              <w:ind/>
              <w:jc w:val="center"/>
              <w:rPr>
                <w:sz w:val="18"/>
              </w:rPr>
            </w:pPr>
            <w:r>
              <w:rPr>
                <w:sz w:val="18"/>
              </w:rPr>
              <w:t>298725,26</w:t>
            </w:r>
          </w:p>
        </w:tc>
        <w:tc>
          <w:tcPr>
            <w:tcW w:type="dxa" w:w="771"/>
            <w:tcBorders>
              <w:top w:color="000000" w:sz="4" w:val="single"/>
              <w:left w:color="000000" w:sz="4" w:val="single"/>
              <w:bottom w:color="000000" w:sz="4" w:val="single"/>
              <w:right w:color="000000" w:sz="4" w:val="single"/>
            </w:tcBorders>
            <w:shd w:fill="FFFFFF" w:val="clear"/>
            <w:vAlign w:val="center"/>
          </w:tcPr>
          <w:p w14:paraId="542F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52F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562F0000">
            <w:pPr>
              <w:widowControl w:val="1"/>
              <w:ind/>
              <w:jc w:val="center"/>
              <w:rPr>
                <w:sz w:val="18"/>
              </w:rPr>
            </w:pPr>
            <w:r>
              <w:rPr>
                <w:sz w:val="18"/>
              </w:rPr>
              <w:t>договор № 55 от 28.03.2018</w:t>
            </w:r>
          </w:p>
        </w:tc>
      </w:tr>
      <w:tr>
        <w:trPr>
          <w:trHeight w:hRule="atLeast" w:val="2115"/>
        </w:trPr>
        <w:tc>
          <w:tcPr>
            <w:tcW w:type="dxa" w:w="708"/>
            <w:tcBorders>
              <w:top w:color="000000" w:sz="4" w:val="single"/>
              <w:left w:color="000000" w:sz="4" w:val="single"/>
              <w:bottom w:color="000000" w:sz="4" w:val="single"/>
              <w:right w:color="000000" w:sz="4" w:val="single"/>
            </w:tcBorders>
            <w:shd w:fill="FFFFFF" w:val="clear"/>
            <w:vAlign w:val="center"/>
          </w:tcPr>
          <w:p w14:paraId="572F0000">
            <w:pPr>
              <w:widowControl w:val="1"/>
              <w:ind/>
              <w:jc w:val="center"/>
              <w:rPr>
                <w:color w:val="000000"/>
                <w:sz w:val="18"/>
              </w:rPr>
            </w:pPr>
            <w:r>
              <w:rPr>
                <w:color w:val="000000"/>
                <w:sz w:val="18"/>
              </w:rPr>
              <w:t>33</w:t>
            </w:r>
          </w:p>
        </w:tc>
        <w:tc>
          <w:tcPr>
            <w:tcW w:type="dxa" w:w="618"/>
            <w:tcBorders>
              <w:top w:color="000000" w:sz="4" w:val="single"/>
              <w:left w:color="000000" w:sz="4" w:val="single"/>
              <w:bottom w:color="000000" w:sz="4" w:val="single"/>
              <w:right w:color="000000" w:sz="4" w:val="single"/>
            </w:tcBorders>
            <w:shd w:fill="FFFFFF" w:val="clear"/>
            <w:vAlign w:val="center"/>
          </w:tcPr>
          <w:p w14:paraId="582F0000">
            <w:pPr>
              <w:widowControl w:val="1"/>
              <w:ind/>
              <w:jc w:val="center"/>
              <w:rPr>
                <w:sz w:val="18"/>
              </w:rPr>
            </w:pPr>
            <w:r>
              <w:rPr>
                <w:sz w:val="18"/>
              </w:rPr>
              <w:t>39</w:t>
            </w:r>
          </w:p>
        </w:tc>
        <w:tc>
          <w:tcPr>
            <w:tcW w:type="dxa" w:w="993"/>
            <w:tcBorders>
              <w:top w:color="000000" w:sz="4" w:val="single"/>
              <w:left w:color="000000" w:sz="4" w:val="single"/>
              <w:bottom w:color="000000" w:sz="4" w:val="single"/>
              <w:right w:color="000000" w:sz="4" w:val="single"/>
            </w:tcBorders>
            <w:shd w:fill="FFFFFF" w:val="clear"/>
            <w:vAlign w:val="center"/>
          </w:tcPr>
          <w:p w14:paraId="592F0000">
            <w:pPr>
              <w:widowControl w:val="1"/>
              <w:ind/>
              <w:jc w:val="center"/>
              <w:rPr>
                <w:sz w:val="18"/>
              </w:rPr>
            </w:pPr>
            <w:r>
              <w:rPr>
                <w:sz w:val="18"/>
              </w:rPr>
              <w:t>Оказание услуг маркетингового исследования методом  "тайный покупатель"</w:t>
            </w:r>
          </w:p>
        </w:tc>
        <w:tc>
          <w:tcPr>
            <w:tcW w:type="dxa" w:w="849"/>
            <w:tcBorders>
              <w:top w:color="000000" w:sz="4" w:val="single"/>
              <w:left w:color="000000" w:sz="4" w:val="single"/>
              <w:bottom w:color="000000" w:sz="4" w:val="single"/>
              <w:right w:color="000000" w:sz="4" w:val="single"/>
            </w:tcBorders>
            <w:shd w:fill="FFFFFF" w:val="clear"/>
            <w:vAlign w:val="center"/>
          </w:tcPr>
          <w:p w14:paraId="5A2F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5B2F0000">
            <w:pPr>
              <w:widowControl w:val="1"/>
              <w:ind/>
              <w:jc w:val="center"/>
              <w:rPr>
                <w:sz w:val="18"/>
              </w:rPr>
            </w:pPr>
            <w:r>
              <w:rPr>
                <w:sz w:val="18"/>
              </w:rPr>
              <w:t>8</w:t>
            </w:r>
          </w:p>
        </w:tc>
        <w:tc>
          <w:tcPr>
            <w:tcW w:type="dxa" w:w="991"/>
            <w:tcBorders>
              <w:top w:color="000000" w:sz="4" w:val="single"/>
              <w:left w:color="000000" w:sz="4" w:val="single"/>
              <w:bottom w:color="000000" w:sz="4" w:val="single"/>
              <w:right w:color="000000" w:sz="4" w:val="single"/>
            </w:tcBorders>
            <w:shd w:fill="FFFFFF" w:val="clear"/>
            <w:vAlign w:val="center"/>
          </w:tcPr>
          <w:p w14:paraId="5C2F0000">
            <w:pPr>
              <w:widowControl w:val="1"/>
              <w:ind/>
              <w:jc w:val="center"/>
              <w:rPr>
                <w:sz w:val="18"/>
              </w:rPr>
            </w:pPr>
            <w:r>
              <w:rPr>
                <w:sz w:val="18"/>
              </w:rPr>
              <w:t>145000,00</w:t>
            </w:r>
          </w:p>
        </w:tc>
        <w:tc>
          <w:tcPr>
            <w:tcW w:type="dxa" w:w="1134"/>
            <w:tcBorders>
              <w:top w:color="000000" w:sz="4" w:val="single"/>
              <w:left w:color="000000" w:sz="4" w:val="single"/>
              <w:bottom w:color="000000" w:sz="4" w:val="single"/>
              <w:right w:color="000000" w:sz="4" w:val="single"/>
            </w:tcBorders>
            <w:shd w:fill="FFFFFF" w:val="clear"/>
            <w:vAlign w:val="center"/>
          </w:tcPr>
          <w:p w14:paraId="5D2F0000">
            <w:pPr>
              <w:widowControl w:val="1"/>
              <w:ind/>
              <w:jc w:val="center"/>
              <w:rPr>
                <w:sz w:val="18"/>
              </w:rPr>
            </w:pPr>
            <w:r>
              <w:rPr>
                <w:sz w:val="18"/>
              </w:rPr>
              <w:t>145000,00</w:t>
            </w:r>
          </w:p>
        </w:tc>
        <w:tc>
          <w:tcPr>
            <w:tcW w:type="dxa" w:w="993"/>
            <w:tcBorders>
              <w:top w:color="000000" w:sz="4" w:val="single"/>
              <w:left w:color="000000" w:sz="4" w:val="single"/>
              <w:bottom w:color="000000" w:sz="4" w:val="single"/>
              <w:right w:color="000000" w:sz="4" w:val="single"/>
            </w:tcBorders>
            <w:shd w:fill="FFFFFF" w:val="clear"/>
            <w:vAlign w:val="center"/>
          </w:tcPr>
          <w:p w14:paraId="5E2F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5F2F0000">
            <w:pPr>
              <w:widowControl w:val="1"/>
              <w:ind/>
              <w:jc w:val="center"/>
              <w:rPr>
                <w:sz w:val="18"/>
              </w:rPr>
            </w:pPr>
            <w:r>
              <w:rPr>
                <w:sz w:val="18"/>
              </w:rPr>
              <w:t>февраль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602F0000">
            <w:pPr>
              <w:widowControl w:val="1"/>
              <w:ind/>
              <w:jc w:val="center"/>
              <w:rPr>
                <w:sz w:val="18"/>
              </w:rPr>
            </w:pPr>
            <w:r>
              <w:rPr>
                <w:sz w:val="18"/>
              </w:rPr>
              <w:t>31806252510</w:t>
            </w:r>
          </w:p>
        </w:tc>
        <w:tc>
          <w:tcPr>
            <w:tcW w:type="dxa" w:w="652"/>
            <w:tcBorders>
              <w:top w:color="000000" w:sz="4" w:val="single"/>
              <w:left w:color="000000" w:sz="4" w:val="single"/>
              <w:bottom w:color="000000" w:sz="4" w:val="single"/>
              <w:right w:color="000000" w:sz="4" w:val="single"/>
            </w:tcBorders>
            <w:shd w:fill="FFFFFF" w:val="clear"/>
            <w:vAlign w:val="center"/>
          </w:tcPr>
          <w:p w14:paraId="612F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622F0000">
            <w:pPr>
              <w:widowControl w:val="1"/>
              <w:ind/>
              <w:jc w:val="center"/>
              <w:rPr>
                <w:sz w:val="18"/>
              </w:rPr>
            </w:pPr>
            <w:r>
              <w:rPr>
                <w:sz w:val="18"/>
              </w:rPr>
              <w:t>8</w:t>
            </w:r>
          </w:p>
        </w:tc>
        <w:tc>
          <w:tcPr>
            <w:tcW w:type="dxa" w:w="1169"/>
            <w:tcBorders>
              <w:top w:color="000000" w:sz="4" w:val="single"/>
              <w:left w:color="000000" w:sz="4" w:val="single"/>
              <w:bottom w:color="000000" w:sz="4" w:val="single"/>
              <w:right w:color="000000" w:sz="4" w:val="single"/>
            </w:tcBorders>
            <w:shd w:fill="FFFFFF" w:val="clear"/>
            <w:vAlign w:val="center"/>
          </w:tcPr>
          <w:p w14:paraId="632F0000">
            <w:pPr>
              <w:widowControl w:val="1"/>
              <w:ind/>
              <w:jc w:val="center"/>
              <w:rPr>
                <w:sz w:val="18"/>
              </w:rPr>
            </w:pPr>
            <w:r>
              <w:rPr>
                <w:sz w:val="18"/>
              </w:rPr>
              <w:t>144546,00</w:t>
            </w:r>
          </w:p>
        </w:tc>
        <w:tc>
          <w:tcPr>
            <w:tcW w:type="dxa" w:w="1185"/>
            <w:tcBorders>
              <w:top w:color="000000" w:sz="4" w:val="single"/>
              <w:left w:color="000000" w:sz="4" w:val="single"/>
              <w:bottom w:color="000000" w:sz="4" w:val="single"/>
              <w:right w:color="000000" w:sz="4" w:val="single"/>
            </w:tcBorders>
            <w:shd w:fill="FFFFFF" w:val="clear"/>
            <w:vAlign w:val="center"/>
          </w:tcPr>
          <w:p w14:paraId="642F0000">
            <w:pPr>
              <w:widowControl w:val="1"/>
              <w:ind/>
              <w:jc w:val="center"/>
              <w:rPr>
                <w:sz w:val="18"/>
              </w:rPr>
            </w:pPr>
            <w:r>
              <w:rPr>
                <w:sz w:val="18"/>
              </w:rPr>
              <w:t>144546,00</w:t>
            </w:r>
          </w:p>
        </w:tc>
        <w:tc>
          <w:tcPr>
            <w:tcW w:type="dxa" w:w="1083"/>
            <w:tcBorders>
              <w:top w:color="000000" w:sz="4" w:val="single"/>
              <w:left w:color="000000" w:sz="4" w:val="single"/>
              <w:bottom w:color="000000" w:sz="4" w:val="single"/>
              <w:right w:color="000000" w:sz="4" w:val="single"/>
            </w:tcBorders>
            <w:shd w:fill="FFFFFF" w:val="clear"/>
            <w:vAlign w:val="center"/>
          </w:tcPr>
          <w:p w14:paraId="652F0000">
            <w:pPr>
              <w:widowControl w:val="1"/>
              <w:ind/>
              <w:jc w:val="center"/>
              <w:rPr>
                <w:sz w:val="18"/>
              </w:rPr>
            </w:pPr>
            <w:r>
              <w:rPr>
                <w:sz w:val="18"/>
              </w:rPr>
              <w:t>144546,00</w:t>
            </w:r>
          </w:p>
        </w:tc>
        <w:tc>
          <w:tcPr>
            <w:tcW w:type="dxa" w:w="771"/>
            <w:tcBorders>
              <w:top w:color="000000" w:sz="4" w:val="single"/>
              <w:left w:color="000000" w:sz="4" w:val="single"/>
              <w:bottom w:color="000000" w:sz="4" w:val="single"/>
              <w:right w:color="000000" w:sz="4" w:val="single"/>
            </w:tcBorders>
            <w:shd w:fill="FFFFFF" w:val="clear"/>
            <w:vAlign w:val="center"/>
          </w:tcPr>
          <w:p w14:paraId="662F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672F0000">
            <w:pPr>
              <w:widowControl w:val="1"/>
              <w:ind/>
              <w:jc w:val="center"/>
              <w:rPr>
                <w:sz w:val="18"/>
              </w:rPr>
            </w:pPr>
            <w:r>
              <w:rPr>
                <w:sz w:val="18"/>
              </w:rPr>
              <w:t>февраль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682F0000">
            <w:pPr>
              <w:widowControl w:val="1"/>
              <w:ind/>
              <w:jc w:val="center"/>
              <w:rPr>
                <w:sz w:val="18"/>
              </w:rPr>
            </w:pPr>
            <w:r>
              <w:rPr>
                <w:sz w:val="18"/>
              </w:rPr>
              <w:t>договор № МИ-ТП 400 от 19.03.2018</w:t>
            </w:r>
          </w:p>
        </w:tc>
      </w:tr>
      <w:tr>
        <w:trPr>
          <w:trHeight w:hRule="atLeast" w:val="2295"/>
        </w:trPr>
        <w:tc>
          <w:tcPr>
            <w:tcW w:type="dxa" w:w="708"/>
            <w:tcBorders>
              <w:top w:color="000000" w:sz="4" w:val="single"/>
              <w:left w:color="000000" w:sz="4" w:val="single"/>
              <w:bottom w:color="000000" w:sz="4" w:val="single"/>
              <w:right w:color="000000" w:sz="4" w:val="single"/>
            </w:tcBorders>
            <w:shd w:fill="FFFFFF" w:val="clear"/>
            <w:vAlign w:val="center"/>
          </w:tcPr>
          <w:p w14:paraId="692F0000">
            <w:pPr>
              <w:widowControl w:val="1"/>
              <w:ind/>
              <w:jc w:val="center"/>
              <w:rPr>
                <w:color w:val="000000"/>
                <w:sz w:val="18"/>
              </w:rPr>
            </w:pPr>
            <w:r>
              <w:rPr>
                <w:color w:val="000000"/>
                <w:sz w:val="18"/>
              </w:rPr>
              <w:t>34</w:t>
            </w:r>
          </w:p>
        </w:tc>
        <w:tc>
          <w:tcPr>
            <w:tcW w:type="dxa" w:w="618"/>
            <w:tcBorders>
              <w:top w:color="000000" w:sz="4" w:val="single"/>
              <w:left w:color="000000" w:sz="4" w:val="single"/>
              <w:bottom w:color="000000" w:sz="4" w:val="single"/>
              <w:right w:color="000000" w:sz="4" w:val="single"/>
            </w:tcBorders>
            <w:shd w:fill="FFFFFF" w:val="clear"/>
            <w:vAlign w:val="center"/>
          </w:tcPr>
          <w:p w14:paraId="6A2F0000">
            <w:pPr>
              <w:widowControl w:val="1"/>
              <w:ind/>
              <w:jc w:val="center"/>
              <w:rPr>
                <w:color w:val="000000"/>
                <w:sz w:val="18"/>
              </w:rPr>
            </w:pPr>
            <w:r>
              <w:rPr>
                <w:color w:val="000000"/>
                <w:sz w:val="18"/>
              </w:rPr>
              <w:t>40</w:t>
            </w:r>
          </w:p>
        </w:tc>
        <w:tc>
          <w:tcPr>
            <w:tcW w:type="dxa" w:w="993"/>
            <w:tcBorders>
              <w:top w:color="000000" w:sz="4" w:val="single"/>
              <w:left w:color="000000" w:sz="4" w:val="single"/>
              <w:bottom w:color="000000" w:sz="4" w:val="single"/>
              <w:right w:color="000000" w:sz="4" w:val="single"/>
            </w:tcBorders>
            <w:shd w:fill="FFFFFF" w:val="clear"/>
            <w:vAlign w:val="center"/>
          </w:tcPr>
          <w:p w14:paraId="6B2F0000">
            <w:pPr>
              <w:widowControl w:val="1"/>
              <w:ind/>
              <w:jc w:val="center"/>
              <w:rPr>
                <w:sz w:val="18"/>
              </w:rPr>
            </w:pPr>
            <w:r>
              <w:rPr>
                <w:sz w:val="18"/>
              </w:rPr>
              <w:t>Оказание услуг по проведению обязательного ежегодного аудита бухгалтерской (финансовой) отчетности за 2018 год</w:t>
            </w:r>
          </w:p>
        </w:tc>
        <w:tc>
          <w:tcPr>
            <w:tcW w:type="dxa" w:w="849"/>
            <w:tcBorders>
              <w:top w:color="000000" w:sz="4" w:val="single"/>
              <w:left w:color="000000" w:sz="4" w:val="single"/>
              <w:bottom w:color="000000" w:sz="4" w:val="single"/>
              <w:right w:color="000000" w:sz="4" w:val="single"/>
            </w:tcBorders>
            <w:shd w:fill="FFFFFF" w:val="clear"/>
            <w:vAlign w:val="center"/>
          </w:tcPr>
          <w:p w14:paraId="6C2F0000">
            <w:pPr>
              <w:widowControl w:val="1"/>
              <w:ind/>
              <w:jc w:val="center"/>
              <w:rPr>
                <w:sz w:val="18"/>
              </w:rPr>
            </w:pPr>
            <w:r>
              <w:rPr>
                <w:sz w:val="18"/>
              </w:rPr>
              <w:t>ОК</w:t>
            </w:r>
          </w:p>
        </w:tc>
        <w:tc>
          <w:tcPr>
            <w:tcW w:type="dxa" w:w="709"/>
            <w:tcBorders>
              <w:top w:color="000000" w:sz="4" w:val="single"/>
              <w:left w:color="000000" w:sz="4" w:val="single"/>
              <w:bottom w:color="000000" w:sz="4" w:val="single"/>
              <w:right w:color="000000" w:sz="4" w:val="single"/>
            </w:tcBorders>
            <w:shd w:fill="FFFFFF" w:val="clear"/>
            <w:vAlign w:val="center"/>
          </w:tcPr>
          <w:p w14:paraId="6D2F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6E2F0000">
            <w:pPr>
              <w:widowControl w:val="1"/>
              <w:ind/>
              <w:jc w:val="center"/>
              <w:rPr>
                <w:sz w:val="18"/>
              </w:rPr>
            </w:pPr>
            <w:r>
              <w:rPr>
                <w:sz w:val="18"/>
              </w:rPr>
              <w:t>130000,00</w:t>
            </w:r>
          </w:p>
        </w:tc>
        <w:tc>
          <w:tcPr>
            <w:tcW w:type="dxa" w:w="1134"/>
            <w:tcBorders>
              <w:top w:color="000000" w:sz="4" w:val="single"/>
              <w:left w:color="000000" w:sz="4" w:val="single"/>
              <w:bottom w:color="000000" w:sz="4" w:val="single"/>
              <w:right w:color="000000" w:sz="4" w:val="single"/>
            </w:tcBorders>
            <w:shd w:fill="FFFFFF" w:val="clear"/>
            <w:vAlign w:val="center"/>
          </w:tcPr>
          <w:p w14:paraId="6F2F0000">
            <w:pPr>
              <w:widowControl w:val="1"/>
              <w:ind/>
              <w:jc w:val="center"/>
              <w:rPr>
                <w:sz w:val="18"/>
              </w:rPr>
            </w:pPr>
            <w:r>
              <w:rPr>
                <w:sz w:val="18"/>
              </w:rPr>
              <w:t>130000,00</w:t>
            </w:r>
          </w:p>
        </w:tc>
        <w:tc>
          <w:tcPr>
            <w:tcW w:type="dxa" w:w="993"/>
            <w:tcBorders>
              <w:top w:color="000000" w:sz="4" w:val="single"/>
              <w:left w:color="000000" w:sz="4" w:val="single"/>
              <w:bottom w:color="000000" w:sz="4" w:val="single"/>
              <w:right w:color="000000" w:sz="4" w:val="single"/>
            </w:tcBorders>
            <w:shd w:fill="FFFFFF" w:val="clear"/>
            <w:vAlign w:val="center"/>
          </w:tcPr>
          <w:p w14:paraId="702F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712F0000">
            <w:pPr>
              <w:widowControl w:val="1"/>
              <w:ind/>
              <w:jc w:val="center"/>
              <w:rPr>
                <w:sz w:val="18"/>
              </w:rPr>
            </w:pPr>
            <w:r>
              <w:rPr>
                <w:sz w:val="18"/>
              </w:rPr>
              <w:t>февраль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722F0000">
            <w:pPr>
              <w:widowControl w:val="1"/>
              <w:ind/>
              <w:jc w:val="center"/>
              <w:rPr>
                <w:sz w:val="18"/>
              </w:rPr>
            </w:pPr>
            <w:r>
              <w:rPr>
                <w:sz w:val="18"/>
              </w:rPr>
              <w:t>31806270952</w:t>
            </w:r>
          </w:p>
        </w:tc>
        <w:tc>
          <w:tcPr>
            <w:tcW w:type="dxa" w:w="652"/>
            <w:tcBorders>
              <w:top w:color="000000" w:sz="4" w:val="single"/>
              <w:left w:color="000000" w:sz="4" w:val="single"/>
              <w:bottom w:color="000000" w:sz="4" w:val="single"/>
              <w:right w:color="000000" w:sz="4" w:val="single"/>
            </w:tcBorders>
            <w:shd w:fill="FFFFFF" w:val="clear"/>
            <w:vAlign w:val="center"/>
          </w:tcPr>
          <w:p w14:paraId="732F0000">
            <w:pPr>
              <w:widowControl w:val="1"/>
              <w:ind/>
              <w:jc w:val="center"/>
              <w:rPr>
                <w:sz w:val="18"/>
              </w:rPr>
            </w:pPr>
            <w:r>
              <w:rPr>
                <w:sz w:val="18"/>
              </w:rPr>
              <w:t>ОК</w:t>
            </w:r>
          </w:p>
        </w:tc>
        <w:tc>
          <w:tcPr>
            <w:tcW w:type="dxa" w:w="992"/>
            <w:tcBorders>
              <w:top w:color="000000" w:sz="4" w:val="single"/>
              <w:left w:color="000000" w:sz="4" w:val="single"/>
              <w:bottom w:color="000000" w:sz="4" w:val="single"/>
              <w:right w:color="000000" w:sz="4" w:val="single"/>
            </w:tcBorders>
            <w:shd w:fill="FFFFFF" w:val="clear"/>
            <w:vAlign w:val="center"/>
          </w:tcPr>
          <w:p w14:paraId="742F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752F0000">
            <w:pPr>
              <w:widowControl w:val="1"/>
              <w:ind/>
              <w:jc w:val="center"/>
              <w:rPr>
                <w:sz w:val="18"/>
              </w:rPr>
            </w:pPr>
            <w:r>
              <w:rPr>
                <w:sz w:val="18"/>
              </w:rPr>
              <w:t>130000,00</w:t>
            </w:r>
          </w:p>
        </w:tc>
        <w:tc>
          <w:tcPr>
            <w:tcW w:type="dxa" w:w="1185"/>
            <w:tcBorders>
              <w:top w:color="000000" w:sz="4" w:val="single"/>
              <w:left w:color="000000" w:sz="4" w:val="single"/>
              <w:bottom w:color="000000" w:sz="4" w:val="single"/>
              <w:right w:color="000000" w:sz="4" w:val="single"/>
            </w:tcBorders>
            <w:shd w:fill="FFFFFF" w:val="clear"/>
            <w:vAlign w:val="center"/>
          </w:tcPr>
          <w:p w14:paraId="762F0000">
            <w:pPr>
              <w:widowControl w:val="1"/>
              <w:ind/>
              <w:jc w:val="center"/>
              <w:rPr>
                <w:sz w:val="18"/>
              </w:rPr>
            </w:pPr>
            <w:r>
              <w:rPr>
                <w:sz w:val="18"/>
              </w:rPr>
              <w:t>130000,00</w:t>
            </w:r>
          </w:p>
        </w:tc>
        <w:tc>
          <w:tcPr>
            <w:tcW w:type="dxa" w:w="1083"/>
            <w:tcBorders>
              <w:top w:color="000000" w:sz="4" w:val="single"/>
              <w:left w:color="000000" w:sz="4" w:val="single"/>
              <w:bottom w:color="000000" w:sz="4" w:val="single"/>
              <w:right w:color="000000" w:sz="4" w:val="single"/>
            </w:tcBorders>
            <w:shd w:fill="FFFFFF" w:val="clear"/>
            <w:vAlign w:val="center"/>
          </w:tcPr>
          <w:p w14:paraId="772F0000">
            <w:pPr>
              <w:widowControl w:val="1"/>
              <w:ind/>
              <w:jc w:val="center"/>
              <w:rPr>
                <w:sz w:val="18"/>
              </w:rPr>
            </w:pPr>
            <w:r>
              <w:rPr>
                <w:sz w:val="18"/>
              </w:rPr>
              <w:t>129500,00</w:t>
            </w:r>
          </w:p>
        </w:tc>
        <w:tc>
          <w:tcPr>
            <w:tcW w:type="dxa" w:w="771"/>
            <w:tcBorders>
              <w:top w:color="000000" w:sz="4" w:val="single"/>
              <w:left w:color="000000" w:sz="4" w:val="single"/>
              <w:bottom w:color="000000" w:sz="4" w:val="single"/>
              <w:right w:color="000000" w:sz="4" w:val="single"/>
            </w:tcBorders>
            <w:shd w:fill="FFFFFF" w:val="clear"/>
            <w:vAlign w:val="center"/>
          </w:tcPr>
          <w:p w14:paraId="782F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792F0000">
            <w:pPr>
              <w:widowControl w:val="1"/>
              <w:ind/>
              <w:jc w:val="center"/>
              <w:rPr>
                <w:sz w:val="18"/>
              </w:rPr>
            </w:pPr>
            <w:r>
              <w:rPr>
                <w:sz w:val="18"/>
              </w:rPr>
              <w:t>февраль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7A2F0000">
            <w:pPr>
              <w:widowControl w:val="1"/>
              <w:ind/>
              <w:jc w:val="center"/>
              <w:rPr>
                <w:sz w:val="18"/>
              </w:rPr>
            </w:pPr>
            <w:r>
              <w:rPr>
                <w:sz w:val="18"/>
              </w:rPr>
              <w:t>договор № 11-18 от 25.07.2018</w:t>
            </w:r>
          </w:p>
        </w:tc>
      </w:tr>
      <w:tr>
        <w:trPr>
          <w:trHeight w:hRule="atLeast" w:val="1680"/>
        </w:trPr>
        <w:tc>
          <w:tcPr>
            <w:tcW w:type="dxa" w:w="708"/>
            <w:tcBorders>
              <w:top w:color="000000" w:sz="4" w:val="single"/>
              <w:left w:color="000000" w:sz="4" w:val="single"/>
              <w:bottom w:color="000000" w:sz="4" w:val="single"/>
              <w:right w:color="000000" w:sz="4" w:val="single"/>
            </w:tcBorders>
            <w:shd w:fill="FFFFFF" w:val="clear"/>
            <w:vAlign w:val="center"/>
          </w:tcPr>
          <w:p w14:paraId="7B2F0000">
            <w:pPr>
              <w:widowControl w:val="1"/>
              <w:ind/>
              <w:jc w:val="center"/>
              <w:rPr>
                <w:color w:val="000000"/>
                <w:sz w:val="18"/>
              </w:rPr>
            </w:pPr>
            <w:r>
              <w:rPr>
                <w:color w:val="000000"/>
                <w:sz w:val="18"/>
              </w:rPr>
              <w:t>35</w:t>
            </w:r>
          </w:p>
        </w:tc>
        <w:tc>
          <w:tcPr>
            <w:tcW w:type="dxa" w:w="618"/>
            <w:tcBorders>
              <w:top w:color="000000" w:sz="4" w:val="single"/>
              <w:left w:color="000000" w:sz="4" w:val="single"/>
              <w:bottom w:color="000000" w:sz="4" w:val="single"/>
              <w:right w:color="000000" w:sz="4" w:val="single"/>
            </w:tcBorders>
            <w:shd w:fill="FFFFFF" w:val="clear"/>
            <w:vAlign w:val="center"/>
          </w:tcPr>
          <w:p w14:paraId="7C2F0000">
            <w:pPr>
              <w:widowControl w:val="1"/>
              <w:ind/>
              <w:jc w:val="center"/>
              <w:rPr>
                <w:sz w:val="18"/>
              </w:rPr>
            </w:pPr>
            <w:r>
              <w:rPr>
                <w:sz w:val="18"/>
              </w:rPr>
              <w:t>41</w:t>
            </w:r>
          </w:p>
        </w:tc>
        <w:tc>
          <w:tcPr>
            <w:tcW w:type="dxa" w:w="993"/>
            <w:tcBorders>
              <w:top w:color="000000" w:sz="4" w:val="single"/>
              <w:left w:color="000000" w:sz="4" w:val="single"/>
              <w:bottom w:color="000000" w:sz="4" w:val="single"/>
              <w:right w:color="000000" w:sz="4" w:val="single"/>
            </w:tcBorders>
            <w:shd w:fill="FFFFFF" w:val="clear"/>
            <w:vAlign w:val="center"/>
          </w:tcPr>
          <w:p w14:paraId="7D2F0000">
            <w:pPr>
              <w:widowControl w:val="1"/>
              <w:ind/>
              <w:jc w:val="center"/>
              <w:rPr>
                <w:sz w:val="18"/>
              </w:rPr>
            </w:pPr>
            <w:r>
              <w:rPr>
                <w:sz w:val="18"/>
              </w:rPr>
              <w:t>Оказание услуг по защите транспортных средств от актов незаконного вмешательства в качестве подразделения транспортной безопасности</w:t>
            </w:r>
          </w:p>
        </w:tc>
        <w:tc>
          <w:tcPr>
            <w:tcW w:type="dxa" w:w="849"/>
            <w:tcBorders>
              <w:top w:color="000000" w:sz="4" w:val="single"/>
              <w:left w:color="000000" w:sz="4" w:val="single"/>
              <w:bottom w:color="000000" w:sz="4" w:val="single"/>
              <w:right w:color="000000" w:sz="4" w:val="single"/>
            </w:tcBorders>
            <w:shd w:fill="FFFFFF" w:val="clear"/>
            <w:vAlign w:val="center"/>
          </w:tcPr>
          <w:p w14:paraId="7E2F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7F2F0000">
            <w:pPr>
              <w:widowControl w:val="1"/>
              <w:ind/>
              <w:jc w:val="center"/>
              <w:rPr>
                <w:sz w:val="18"/>
              </w:rPr>
            </w:pPr>
            <w:r>
              <w:rPr>
                <w:sz w:val="18"/>
              </w:rPr>
              <w:t>8 200</w:t>
            </w:r>
          </w:p>
        </w:tc>
        <w:tc>
          <w:tcPr>
            <w:tcW w:type="dxa" w:w="991"/>
            <w:tcBorders>
              <w:top w:color="000000" w:sz="4" w:val="single"/>
              <w:left w:color="000000" w:sz="4" w:val="single"/>
              <w:bottom w:color="000000" w:sz="4" w:val="single"/>
              <w:right w:color="000000" w:sz="4" w:val="single"/>
            </w:tcBorders>
            <w:shd w:fill="FFFFFF" w:val="clear"/>
            <w:vAlign w:val="center"/>
          </w:tcPr>
          <w:p w14:paraId="802F0000">
            <w:pPr>
              <w:widowControl w:val="1"/>
              <w:ind/>
              <w:jc w:val="center"/>
              <w:rPr>
                <w:sz w:val="18"/>
              </w:rPr>
            </w:pPr>
            <w:r>
              <w:rPr>
                <w:sz w:val="18"/>
              </w:rPr>
              <w:t>3666666,70</w:t>
            </w:r>
          </w:p>
        </w:tc>
        <w:tc>
          <w:tcPr>
            <w:tcW w:type="dxa" w:w="1134"/>
            <w:tcBorders>
              <w:top w:color="000000" w:sz="4" w:val="single"/>
              <w:left w:color="000000" w:sz="4" w:val="single"/>
              <w:bottom w:color="000000" w:sz="4" w:val="single"/>
              <w:right w:color="000000" w:sz="4" w:val="single"/>
            </w:tcBorders>
            <w:shd w:fill="FFFFFF" w:val="clear"/>
            <w:vAlign w:val="center"/>
          </w:tcPr>
          <w:p w14:paraId="812F0000">
            <w:pPr>
              <w:widowControl w:val="1"/>
              <w:ind/>
              <w:jc w:val="center"/>
              <w:rPr>
                <w:sz w:val="18"/>
              </w:rPr>
            </w:pPr>
            <w:r>
              <w:rPr>
                <w:sz w:val="18"/>
              </w:rPr>
              <w:t>3666666,70</w:t>
            </w:r>
          </w:p>
        </w:tc>
        <w:tc>
          <w:tcPr>
            <w:tcW w:type="dxa" w:w="993"/>
            <w:tcBorders>
              <w:top w:color="000000" w:sz="4" w:val="single"/>
              <w:left w:color="000000" w:sz="4" w:val="single"/>
              <w:bottom w:color="000000" w:sz="4" w:val="single"/>
              <w:right w:color="000000" w:sz="4" w:val="single"/>
            </w:tcBorders>
            <w:shd w:fill="FFFFFF" w:val="clear"/>
            <w:vAlign w:val="center"/>
          </w:tcPr>
          <w:p w14:paraId="822F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832F0000">
            <w:pPr>
              <w:widowControl w:val="1"/>
              <w:ind/>
              <w:jc w:val="center"/>
              <w:rPr>
                <w:sz w:val="18"/>
              </w:rPr>
            </w:pPr>
            <w:r>
              <w:rPr>
                <w:sz w:val="18"/>
              </w:rPr>
              <w:t>декабрь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842F0000">
            <w:pPr>
              <w:widowControl w:val="1"/>
              <w:ind/>
              <w:jc w:val="center"/>
              <w:rPr>
                <w:sz w:val="18"/>
              </w:rPr>
            </w:pPr>
            <w:r>
              <w:rPr>
                <w:sz w:val="18"/>
              </w:rPr>
              <w:t>31 807 257 473,00</w:t>
            </w:r>
          </w:p>
        </w:tc>
        <w:tc>
          <w:tcPr>
            <w:tcW w:type="dxa" w:w="652"/>
            <w:tcBorders>
              <w:top w:color="000000" w:sz="4" w:val="single"/>
              <w:left w:color="000000" w:sz="4" w:val="single"/>
              <w:bottom w:color="000000" w:sz="4" w:val="single"/>
              <w:right w:color="000000" w:sz="4" w:val="single"/>
            </w:tcBorders>
            <w:shd w:fill="FFFFFF" w:val="clear"/>
            <w:vAlign w:val="center"/>
          </w:tcPr>
          <w:p w14:paraId="852F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862F0000">
            <w:pPr>
              <w:widowControl w:val="1"/>
              <w:ind/>
              <w:jc w:val="center"/>
              <w:rPr>
                <w:sz w:val="18"/>
              </w:rPr>
            </w:pPr>
            <w:r>
              <w:rPr>
                <w:sz w:val="18"/>
              </w:rPr>
              <w:t>8 200</w:t>
            </w:r>
          </w:p>
        </w:tc>
        <w:tc>
          <w:tcPr>
            <w:tcW w:type="dxa" w:w="1169"/>
            <w:tcBorders>
              <w:top w:color="000000" w:sz="4" w:val="single"/>
              <w:left w:color="000000" w:sz="4" w:val="single"/>
              <w:bottom w:color="000000" w:sz="4" w:val="single"/>
              <w:right w:color="000000" w:sz="4" w:val="single"/>
            </w:tcBorders>
            <w:shd w:fill="auto" w:val="clear"/>
            <w:vAlign w:val="center"/>
          </w:tcPr>
          <w:p w14:paraId="872F0000">
            <w:pPr>
              <w:widowControl w:val="1"/>
              <w:ind/>
              <w:jc w:val="center"/>
              <w:rPr>
                <w:sz w:val="18"/>
              </w:rPr>
            </w:pPr>
            <w:r>
              <w:rPr>
                <w:sz w:val="18"/>
              </w:rPr>
              <w:t>3444000</w:t>
            </w:r>
          </w:p>
        </w:tc>
        <w:tc>
          <w:tcPr>
            <w:tcW w:type="dxa" w:w="1185"/>
            <w:tcBorders>
              <w:top w:color="000000" w:sz="4" w:val="single"/>
              <w:left w:color="000000" w:sz="4" w:val="single"/>
              <w:bottom w:color="000000" w:sz="4" w:val="single"/>
              <w:right w:color="000000" w:sz="4" w:val="single"/>
            </w:tcBorders>
            <w:shd w:fill="auto" w:val="clear"/>
            <w:vAlign w:val="center"/>
          </w:tcPr>
          <w:p w14:paraId="882F0000">
            <w:pPr>
              <w:widowControl w:val="1"/>
              <w:ind/>
              <w:jc w:val="center"/>
              <w:rPr>
                <w:sz w:val="18"/>
              </w:rPr>
            </w:pPr>
            <w:r>
              <w:rPr>
                <w:sz w:val="18"/>
              </w:rPr>
              <w:t>3444000</w:t>
            </w:r>
          </w:p>
        </w:tc>
        <w:tc>
          <w:tcPr>
            <w:tcW w:type="dxa" w:w="1083"/>
            <w:tcBorders>
              <w:top w:color="000000" w:sz="4" w:val="single"/>
              <w:left w:color="000000" w:sz="4" w:val="single"/>
              <w:bottom w:color="000000" w:sz="4" w:val="single"/>
              <w:right w:color="000000" w:sz="4" w:val="single"/>
            </w:tcBorders>
            <w:shd w:fill="auto" w:val="clear"/>
            <w:vAlign w:val="center"/>
          </w:tcPr>
          <w:p w14:paraId="892F0000">
            <w:pPr>
              <w:widowControl w:val="1"/>
              <w:ind/>
              <w:jc w:val="center"/>
              <w:rPr>
                <w:sz w:val="18"/>
              </w:rPr>
            </w:pPr>
            <w:r>
              <w:rPr>
                <w:sz w:val="18"/>
              </w:rPr>
              <w:t>3444000</w:t>
            </w:r>
          </w:p>
        </w:tc>
        <w:tc>
          <w:tcPr>
            <w:tcW w:type="dxa" w:w="771"/>
            <w:tcBorders>
              <w:top w:color="000000" w:sz="4" w:val="single"/>
              <w:left w:color="000000" w:sz="4" w:val="single"/>
              <w:bottom w:color="000000" w:sz="4" w:val="single"/>
              <w:right w:color="000000" w:sz="4" w:val="single"/>
            </w:tcBorders>
            <w:shd w:fill="FFFFFF" w:val="clear"/>
            <w:vAlign w:val="center"/>
          </w:tcPr>
          <w:p w14:paraId="8A2F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8B2F0000">
            <w:pPr>
              <w:widowControl w:val="1"/>
              <w:ind/>
              <w:jc w:val="center"/>
              <w:rPr>
                <w:sz w:val="18"/>
              </w:rPr>
            </w:pPr>
            <w:r>
              <w:rPr>
                <w:sz w:val="18"/>
              </w:rPr>
              <w:t>декабрь 2019 г.</w:t>
            </w:r>
          </w:p>
        </w:tc>
        <w:tc>
          <w:tcPr>
            <w:tcW w:type="dxa" w:w="709"/>
            <w:tcBorders>
              <w:top w:color="000000" w:sz="4" w:val="single"/>
              <w:left w:color="000000" w:sz="4" w:val="single"/>
              <w:bottom w:color="000000" w:sz="4" w:val="single"/>
              <w:right w:color="000000" w:sz="4" w:val="single"/>
            </w:tcBorders>
            <w:shd w:fill="auto" w:val="clear"/>
            <w:vAlign w:val="center"/>
          </w:tcPr>
          <w:p w14:paraId="8C2F0000">
            <w:pPr>
              <w:widowControl w:val="1"/>
              <w:ind/>
              <w:jc w:val="center"/>
              <w:rPr>
                <w:sz w:val="18"/>
              </w:rPr>
            </w:pPr>
            <w:r>
              <w:rPr>
                <w:sz w:val="18"/>
              </w:rPr>
              <w:t>договор № 28/2018 от 06.12.2018</w:t>
            </w:r>
          </w:p>
        </w:tc>
      </w:tr>
      <w:tr>
        <w:trPr>
          <w:trHeight w:hRule="atLeast" w:val="1485"/>
        </w:trPr>
        <w:tc>
          <w:tcPr>
            <w:tcW w:type="dxa" w:w="708"/>
            <w:tcBorders>
              <w:top w:color="000000" w:sz="4" w:val="single"/>
              <w:left w:color="000000" w:sz="4" w:val="single"/>
              <w:bottom w:color="000000" w:sz="4" w:val="single"/>
              <w:right w:color="000000" w:sz="4" w:val="single"/>
            </w:tcBorders>
            <w:shd w:fill="FFFFFF" w:val="clear"/>
            <w:vAlign w:val="center"/>
          </w:tcPr>
          <w:p w14:paraId="8D2F0000">
            <w:pPr>
              <w:widowControl w:val="1"/>
              <w:ind/>
              <w:jc w:val="center"/>
              <w:rPr>
                <w:color w:val="000000"/>
                <w:sz w:val="18"/>
              </w:rPr>
            </w:pPr>
            <w:r>
              <w:rPr>
                <w:color w:val="000000"/>
                <w:sz w:val="18"/>
              </w:rPr>
              <w:t>36</w:t>
            </w:r>
          </w:p>
        </w:tc>
        <w:tc>
          <w:tcPr>
            <w:tcW w:type="dxa" w:w="618"/>
            <w:tcBorders>
              <w:top w:color="000000" w:sz="4" w:val="single"/>
              <w:left w:color="000000" w:sz="4" w:val="single"/>
              <w:bottom w:color="000000" w:sz="4" w:val="single"/>
              <w:right w:color="000000" w:sz="4" w:val="single"/>
            </w:tcBorders>
            <w:shd w:fill="FFFFFF" w:val="clear"/>
            <w:vAlign w:val="center"/>
          </w:tcPr>
          <w:p w14:paraId="8E2F0000">
            <w:pPr>
              <w:widowControl w:val="1"/>
              <w:ind/>
              <w:jc w:val="center"/>
              <w:rPr>
                <w:sz w:val="18"/>
              </w:rPr>
            </w:pPr>
            <w:r>
              <w:rPr>
                <w:sz w:val="18"/>
              </w:rPr>
              <w:t>44</w:t>
            </w:r>
          </w:p>
        </w:tc>
        <w:tc>
          <w:tcPr>
            <w:tcW w:type="dxa" w:w="993"/>
            <w:tcBorders>
              <w:top w:color="000000" w:sz="4" w:val="single"/>
              <w:left w:color="000000" w:sz="4" w:val="single"/>
              <w:bottom w:color="000000" w:sz="4" w:val="single"/>
              <w:right w:color="000000" w:sz="4" w:val="single"/>
            </w:tcBorders>
            <w:shd w:fill="FFFFFF" w:val="clear"/>
            <w:vAlign w:val="center"/>
          </w:tcPr>
          <w:p w14:paraId="8F2F0000">
            <w:pPr>
              <w:widowControl w:val="1"/>
              <w:ind/>
              <w:jc w:val="center"/>
              <w:rPr>
                <w:sz w:val="18"/>
              </w:rPr>
            </w:pPr>
            <w:r>
              <w:rPr>
                <w:sz w:val="18"/>
              </w:rPr>
              <w:t>поставка антивирусного программного обеспечения</w:t>
            </w:r>
          </w:p>
        </w:tc>
        <w:tc>
          <w:tcPr>
            <w:tcW w:type="dxa" w:w="849"/>
            <w:tcBorders>
              <w:top w:color="000000" w:sz="4" w:val="single"/>
              <w:left w:color="000000" w:sz="4" w:val="single"/>
              <w:bottom w:color="000000" w:sz="4" w:val="single"/>
              <w:right w:color="000000" w:sz="4" w:val="single"/>
            </w:tcBorders>
            <w:shd w:fill="FFFFFF" w:val="clear"/>
            <w:vAlign w:val="center"/>
          </w:tcPr>
          <w:p w14:paraId="902F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912F0000">
            <w:pPr>
              <w:widowControl w:val="1"/>
              <w:ind/>
              <w:jc w:val="center"/>
              <w:rPr>
                <w:sz w:val="18"/>
              </w:rPr>
            </w:pPr>
            <w:r>
              <w:rPr>
                <w:sz w:val="18"/>
              </w:rPr>
              <w:t>199</w:t>
            </w:r>
          </w:p>
        </w:tc>
        <w:tc>
          <w:tcPr>
            <w:tcW w:type="dxa" w:w="991"/>
            <w:tcBorders>
              <w:top w:color="000000" w:sz="4" w:val="single"/>
              <w:left w:color="000000" w:sz="4" w:val="single"/>
              <w:bottom w:color="000000" w:sz="4" w:val="single"/>
              <w:right w:color="000000" w:sz="4" w:val="single"/>
            </w:tcBorders>
            <w:shd w:fill="FFFFFF" w:val="clear"/>
            <w:vAlign w:val="center"/>
          </w:tcPr>
          <w:p w14:paraId="922F0000">
            <w:pPr>
              <w:widowControl w:val="1"/>
              <w:ind/>
              <w:jc w:val="center"/>
              <w:rPr>
                <w:sz w:val="18"/>
              </w:rPr>
            </w:pPr>
            <w:r>
              <w:rPr>
                <w:sz w:val="18"/>
              </w:rPr>
              <w:t>343695,56</w:t>
            </w:r>
          </w:p>
        </w:tc>
        <w:tc>
          <w:tcPr>
            <w:tcW w:type="dxa" w:w="1134"/>
            <w:tcBorders>
              <w:top w:color="000000" w:sz="4" w:val="single"/>
              <w:left w:color="000000" w:sz="4" w:val="single"/>
              <w:bottom w:color="000000" w:sz="4" w:val="single"/>
              <w:right w:color="000000" w:sz="4" w:val="single"/>
            </w:tcBorders>
            <w:shd w:fill="FFFFFF" w:val="clear"/>
            <w:vAlign w:val="center"/>
          </w:tcPr>
          <w:p w14:paraId="932F0000">
            <w:pPr>
              <w:widowControl w:val="1"/>
              <w:ind/>
              <w:jc w:val="center"/>
              <w:rPr>
                <w:sz w:val="18"/>
              </w:rPr>
            </w:pPr>
            <w:r>
              <w:rPr>
                <w:sz w:val="18"/>
              </w:rPr>
              <w:t>343695,56</w:t>
            </w:r>
          </w:p>
        </w:tc>
        <w:tc>
          <w:tcPr>
            <w:tcW w:type="dxa" w:w="993"/>
            <w:tcBorders>
              <w:top w:color="000000" w:sz="4" w:val="single"/>
              <w:left w:color="000000" w:sz="4" w:val="single"/>
              <w:bottom w:color="000000" w:sz="4" w:val="single"/>
              <w:right w:color="000000" w:sz="4" w:val="single"/>
            </w:tcBorders>
            <w:shd w:fill="FFFFFF" w:val="clear"/>
            <w:vAlign w:val="center"/>
          </w:tcPr>
          <w:p w14:paraId="942F0000">
            <w:pPr>
              <w:widowControl w:val="1"/>
              <w:ind/>
              <w:jc w:val="center"/>
              <w:rPr>
                <w:sz w:val="18"/>
              </w:rPr>
            </w:pPr>
            <w:r>
              <w:rPr>
                <w:sz w:val="18"/>
              </w:rPr>
              <w:t>апрель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52F0000">
            <w:pPr>
              <w:widowControl w:val="1"/>
              <w:ind/>
              <w:jc w:val="center"/>
              <w:rPr>
                <w:sz w:val="18"/>
              </w:rPr>
            </w:pPr>
            <w:r>
              <w:rPr>
                <w:sz w:val="18"/>
              </w:rPr>
              <w:t>март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962F0000">
            <w:pPr>
              <w:widowControl w:val="1"/>
              <w:ind/>
              <w:jc w:val="center"/>
              <w:rPr>
                <w:sz w:val="18"/>
              </w:rPr>
            </w:pPr>
            <w:r>
              <w:rPr>
                <w:sz w:val="18"/>
              </w:rPr>
              <w:t>31806379470</w:t>
            </w:r>
          </w:p>
        </w:tc>
        <w:tc>
          <w:tcPr>
            <w:tcW w:type="dxa" w:w="652"/>
            <w:tcBorders>
              <w:top w:color="000000" w:sz="4" w:val="single"/>
              <w:left w:color="000000" w:sz="4" w:val="single"/>
              <w:bottom w:color="000000" w:sz="4" w:val="single"/>
              <w:right w:color="000000" w:sz="4" w:val="single"/>
            </w:tcBorders>
            <w:shd w:fill="FFFFFF" w:val="clear"/>
            <w:vAlign w:val="center"/>
          </w:tcPr>
          <w:p w14:paraId="972F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982F0000">
            <w:pPr>
              <w:widowControl w:val="1"/>
              <w:ind/>
              <w:jc w:val="center"/>
              <w:rPr>
                <w:sz w:val="18"/>
              </w:rPr>
            </w:pPr>
            <w:r>
              <w:rPr>
                <w:sz w:val="18"/>
              </w:rPr>
              <w:t>199</w:t>
            </w:r>
          </w:p>
        </w:tc>
        <w:tc>
          <w:tcPr>
            <w:tcW w:type="dxa" w:w="1169"/>
            <w:tcBorders>
              <w:top w:color="000000" w:sz="4" w:val="single"/>
              <w:left w:color="000000" w:sz="4" w:val="single"/>
              <w:bottom w:color="000000" w:sz="4" w:val="single"/>
              <w:right w:color="000000" w:sz="4" w:val="single"/>
            </w:tcBorders>
            <w:shd w:fill="FFFFFF" w:val="clear"/>
            <w:vAlign w:val="center"/>
          </w:tcPr>
          <w:p w14:paraId="992F0000">
            <w:pPr>
              <w:widowControl w:val="1"/>
              <w:ind/>
              <w:jc w:val="center"/>
              <w:rPr>
                <w:sz w:val="18"/>
              </w:rPr>
            </w:pPr>
            <w:r>
              <w:rPr>
                <w:sz w:val="18"/>
              </w:rPr>
              <w:t>333810,00</w:t>
            </w:r>
          </w:p>
        </w:tc>
        <w:tc>
          <w:tcPr>
            <w:tcW w:type="dxa" w:w="1185"/>
            <w:tcBorders>
              <w:top w:color="000000" w:sz="4" w:val="single"/>
              <w:left w:color="000000" w:sz="4" w:val="single"/>
              <w:bottom w:color="000000" w:sz="4" w:val="single"/>
              <w:right w:color="000000" w:sz="4" w:val="single"/>
            </w:tcBorders>
            <w:shd w:fill="FFFFFF" w:val="clear"/>
            <w:vAlign w:val="center"/>
          </w:tcPr>
          <w:p w14:paraId="9A2F0000">
            <w:pPr>
              <w:widowControl w:val="1"/>
              <w:ind/>
              <w:jc w:val="center"/>
              <w:rPr>
                <w:sz w:val="18"/>
              </w:rPr>
            </w:pPr>
            <w:r>
              <w:rPr>
                <w:sz w:val="18"/>
              </w:rPr>
              <w:t>333810,00</w:t>
            </w:r>
          </w:p>
        </w:tc>
        <w:tc>
          <w:tcPr>
            <w:tcW w:type="dxa" w:w="1083"/>
            <w:tcBorders>
              <w:top w:color="000000" w:sz="4" w:val="single"/>
              <w:left w:color="000000" w:sz="4" w:val="single"/>
              <w:bottom w:color="000000" w:sz="4" w:val="single"/>
              <w:right w:color="000000" w:sz="4" w:val="single"/>
            </w:tcBorders>
            <w:shd w:fill="FFFFFF" w:val="clear"/>
            <w:vAlign w:val="center"/>
          </w:tcPr>
          <w:p w14:paraId="9B2F0000">
            <w:pPr>
              <w:widowControl w:val="1"/>
              <w:ind/>
              <w:jc w:val="center"/>
              <w:rPr>
                <w:sz w:val="18"/>
              </w:rPr>
            </w:pPr>
            <w:r>
              <w:rPr>
                <w:sz w:val="18"/>
              </w:rPr>
              <w:t>333810,00</w:t>
            </w:r>
          </w:p>
        </w:tc>
        <w:tc>
          <w:tcPr>
            <w:tcW w:type="dxa" w:w="771"/>
            <w:tcBorders>
              <w:top w:color="000000" w:sz="4" w:val="single"/>
              <w:left w:color="000000" w:sz="4" w:val="single"/>
              <w:bottom w:color="000000" w:sz="4" w:val="single"/>
              <w:right w:color="000000" w:sz="4" w:val="single"/>
            </w:tcBorders>
            <w:shd w:fill="FFFFFF" w:val="clear"/>
            <w:vAlign w:val="center"/>
          </w:tcPr>
          <w:p w14:paraId="9C2F0000">
            <w:pPr>
              <w:widowControl w:val="1"/>
              <w:ind/>
              <w:jc w:val="center"/>
              <w:rPr>
                <w:sz w:val="18"/>
              </w:rPr>
            </w:pPr>
            <w:r>
              <w:rPr>
                <w:sz w:val="18"/>
              </w:rPr>
              <w:t>апрель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9D2F0000">
            <w:pPr>
              <w:widowControl w:val="1"/>
              <w:ind/>
              <w:jc w:val="center"/>
              <w:rPr>
                <w:sz w:val="18"/>
              </w:rPr>
            </w:pPr>
            <w:r>
              <w:rPr>
                <w:sz w:val="18"/>
              </w:rPr>
              <w:t>март 2019 г.</w:t>
            </w:r>
          </w:p>
        </w:tc>
        <w:tc>
          <w:tcPr>
            <w:tcW w:type="dxa" w:w="709"/>
            <w:tcBorders>
              <w:top w:color="000000" w:sz="4" w:val="single"/>
              <w:left w:color="000000" w:sz="4" w:val="single"/>
              <w:bottom w:color="000000" w:sz="4" w:val="single"/>
              <w:right w:color="000000" w:sz="4" w:val="single"/>
            </w:tcBorders>
            <w:shd w:fill="FFFFFF" w:val="clear"/>
            <w:vAlign w:val="center"/>
          </w:tcPr>
          <w:p w14:paraId="9E2F0000">
            <w:pPr>
              <w:widowControl w:val="1"/>
              <w:ind/>
              <w:jc w:val="center"/>
              <w:rPr>
                <w:sz w:val="18"/>
              </w:rPr>
            </w:pPr>
            <w:r>
              <w:rPr>
                <w:sz w:val="18"/>
              </w:rPr>
              <w:t>договор № 66 от 17.04.2018</w:t>
            </w:r>
          </w:p>
        </w:tc>
      </w:tr>
      <w:tr>
        <w:trPr>
          <w:trHeight w:hRule="atLeast" w:val="1110"/>
        </w:trPr>
        <w:tc>
          <w:tcPr>
            <w:tcW w:type="dxa" w:w="708"/>
            <w:tcBorders>
              <w:top w:color="000000" w:sz="4" w:val="single"/>
              <w:left w:color="000000" w:sz="4" w:val="single"/>
              <w:bottom w:color="000000" w:sz="4" w:val="single"/>
              <w:right w:color="000000" w:sz="4" w:val="single"/>
            </w:tcBorders>
            <w:shd w:fill="FFFFFF" w:val="clear"/>
            <w:vAlign w:val="center"/>
          </w:tcPr>
          <w:p w14:paraId="9F2F0000">
            <w:pPr>
              <w:widowControl w:val="1"/>
              <w:ind/>
              <w:jc w:val="center"/>
              <w:rPr>
                <w:color w:val="000000"/>
                <w:sz w:val="18"/>
              </w:rPr>
            </w:pPr>
            <w:r>
              <w:rPr>
                <w:color w:val="000000"/>
                <w:sz w:val="18"/>
              </w:rPr>
              <w:t>37</w:t>
            </w:r>
          </w:p>
        </w:tc>
        <w:tc>
          <w:tcPr>
            <w:tcW w:type="dxa" w:w="618"/>
            <w:tcBorders>
              <w:top w:color="000000" w:sz="4" w:val="single"/>
              <w:left w:color="000000" w:sz="4" w:val="single"/>
              <w:bottom w:color="000000" w:sz="4" w:val="single"/>
              <w:right w:color="000000" w:sz="4" w:val="single"/>
            </w:tcBorders>
            <w:shd w:fill="FFFFFF" w:val="clear"/>
            <w:vAlign w:val="center"/>
          </w:tcPr>
          <w:p w14:paraId="A02F0000">
            <w:pPr>
              <w:widowControl w:val="1"/>
              <w:ind/>
              <w:jc w:val="center"/>
              <w:rPr>
                <w:sz w:val="18"/>
              </w:rPr>
            </w:pPr>
            <w:r>
              <w:rPr>
                <w:sz w:val="18"/>
              </w:rPr>
              <w:t>45</w:t>
            </w:r>
          </w:p>
        </w:tc>
        <w:tc>
          <w:tcPr>
            <w:tcW w:type="dxa" w:w="993"/>
            <w:tcBorders>
              <w:top w:color="000000" w:sz="4" w:val="single"/>
              <w:left w:color="000000" w:sz="4" w:val="single"/>
              <w:bottom w:color="000000" w:sz="4" w:val="single"/>
              <w:right w:color="000000" w:sz="4" w:val="single"/>
            </w:tcBorders>
            <w:shd w:fill="FFFFFF" w:val="clear"/>
            <w:vAlign w:val="center"/>
          </w:tcPr>
          <w:p w14:paraId="A12F0000">
            <w:pPr>
              <w:widowControl w:val="1"/>
              <w:ind/>
              <w:jc w:val="center"/>
              <w:rPr>
                <w:sz w:val="18"/>
              </w:rPr>
            </w:pPr>
            <w:r>
              <w:rPr>
                <w:sz w:val="18"/>
              </w:rPr>
              <w:t>Поставка фискальных накопителей</w:t>
            </w:r>
          </w:p>
        </w:tc>
        <w:tc>
          <w:tcPr>
            <w:tcW w:type="dxa" w:w="849"/>
            <w:tcBorders>
              <w:top w:color="000000" w:sz="4" w:val="single"/>
              <w:left w:color="000000" w:sz="4" w:val="single"/>
              <w:bottom w:color="000000" w:sz="4" w:val="single"/>
              <w:right w:color="000000" w:sz="4" w:val="single"/>
            </w:tcBorders>
            <w:shd w:fill="FFFFFF" w:val="clear"/>
            <w:vAlign w:val="center"/>
          </w:tcPr>
          <w:p w14:paraId="A22F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A32F0000">
            <w:pPr>
              <w:widowControl w:val="1"/>
              <w:ind/>
              <w:jc w:val="center"/>
              <w:rPr>
                <w:sz w:val="18"/>
              </w:rPr>
            </w:pPr>
            <w:r>
              <w:rPr>
                <w:sz w:val="18"/>
              </w:rPr>
              <w:t>196</w:t>
            </w:r>
          </w:p>
        </w:tc>
        <w:tc>
          <w:tcPr>
            <w:tcW w:type="dxa" w:w="991"/>
            <w:tcBorders>
              <w:top w:color="000000" w:sz="4" w:val="single"/>
              <w:left w:color="000000" w:sz="4" w:val="single"/>
              <w:bottom w:color="000000" w:sz="4" w:val="single"/>
              <w:right w:color="000000" w:sz="4" w:val="single"/>
            </w:tcBorders>
            <w:shd w:fill="FFFFFF" w:val="clear"/>
            <w:vAlign w:val="center"/>
          </w:tcPr>
          <w:p w14:paraId="A42F0000">
            <w:pPr>
              <w:widowControl w:val="1"/>
              <w:ind/>
              <w:jc w:val="center"/>
              <w:rPr>
                <w:sz w:val="18"/>
              </w:rPr>
            </w:pPr>
            <w:r>
              <w:rPr>
                <w:sz w:val="18"/>
              </w:rPr>
              <w:t>1063051,00</w:t>
            </w:r>
          </w:p>
        </w:tc>
        <w:tc>
          <w:tcPr>
            <w:tcW w:type="dxa" w:w="1134"/>
            <w:tcBorders>
              <w:top w:color="000000" w:sz="4" w:val="single"/>
              <w:left w:color="000000" w:sz="4" w:val="single"/>
              <w:bottom w:color="000000" w:sz="4" w:val="single"/>
              <w:right w:color="000000" w:sz="4" w:val="single"/>
            </w:tcBorders>
            <w:shd w:fill="FFFFFF" w:val="clear"/>
            <w:vAlign w:val="center"/>
          </w:tcPr>
          <w:p w14:paraId="A52F0000">
            <w:pPr>
              <w:widowControl w:val="1"/>
              <w:ind/>
              <w:jc w:val="center"/>
              <w:rPr>
                <w:sz w:val="18"/>
              </w:rPr>
            </w:pPr>
            <w:r>
              <w:rPr>
                <w:sz w:val="18"/>
              </w:rPr>
              <w:t>1254400,00</w:t>
            </w:r>
          </w:p>
        </w:tc>
        <w:tc>
          <w:tcPr>
            <w:tcW w:type="dxa" w:w="993"/>
            <w:tcBorders>
              <w:top w:color="000000" w:sz="4" w:val="single"/>
              <w:left w:color="000000" w:sz="4" w:val="single"/>
              <w:bottom w:color="000000" w:sz="4" w:val="single"/>
              <w:right w:color="000000" w:sz="4" w:val="single"/>
            </w:tcBorders>
            <w:shd w:fill="FFFFFF" w:val="clear"/>
            <w:vAlign w:val="center"/>
          </w:tcPr>
          <w:p w14:paraId="A62F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A72F0000">
            <w:pPr>
              <w:widowControl w:val="1"/>
              <w:ind/>
              <w:jc w:val="center"/>
              <w:rPr>
                <w:sz w:val="18"/>
              </w:rPr>
            </w:pPr>
            <w:r>
              <w:rPr>
                <w:sz w:val="18"/>
              </w:rPr>
              <w:t>июль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A82F0000">
            <w:pPr>
              <w:widowControl w:val="1"/>
              <w:ind/>
              <w:jc w:val="center"/>
              <w:rPr>
                <w:sz w:val="18"/>
              </w:rPr>
            </w:pPr>
            <w:r>
              <w:rPr>
                <w:sz w:val="18"/>
              </w:rPr>
              <w:t>31806681518</w:t>
            </w:r>
          </w:p>
        </w:tc>
        <w:tc>
          <w:tcPr>
            <w:tcW w:type="dxa" w:w="652"/>
            <w:tcBorders>
              <w:top w:color="000000" w:sz="4" w:val="single"/>
              <w:left w:color="000000" w:sz="4" w:val="single"/>
              <w:bottom w:color="000000" w:sz="4" w:val="single"/>
              <w:right w:color="000000" w:sz="4" w:val="single"/>
            </w:tcBorders>
            <w:shd w:fill="FFFFFF" w:val="clear"/>
            <w:vAlign w:val="center"/>
          </w:tcPr>
          <w:p w14:paraId="A92F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AA2F0000">
            <w:pPr>
              <w:widowControl w:val="1"/>
              <w:ind/>
              <w:jc w:val="center"/>
              <w:rPr>
                <w:sz w:val="18"/>
              </w:rPr>
            </w:pPr>
            <w:r>
              <w:rPr>
                <w:sz w:val="18"/>
              </w:rPr>
              <w:t>196</w:t>
            </w:r>
          </w:p>
        </w:tc>
        <w:tc>
          <w:tcPr>
            <w:tcW w:type="dxa" w:w="1169"/>
            <w:tcBorders>
              <w:top w:color="000000" w:sz="4" w:val="single"/>
              <w:left w:color="000000" w:sz="4" w:val="single"/>
              <w:bottom w:color="000000" w:sz="4" w:val="single"/>
              <w:right w:color="000000" w:sz="4" w:val="single"/>
            </w:tcBorders>
            <w:shd w:fill="FFFFFF" w:val="clear"/>
            <w:vAlign w:val="center"/>
          </w:tcPr>
          <w:p w14:paraId="AB2F0000">
            <w:pPr>
              <w:widowControl w:val="1"/>
              <w:ind/>
              <w:jc w:val="center"/>
              <w:rPr>
                <w:sz w:val="18"/>
              </w:rPr>
            </w:pPr>
            <w:r>
              <w:rPr>
                <w:sz w:val="18"/>
              </w:rPr>
              <w:t>1254400,00</w:t>
            </w:r>
          </w:p>
        </w:tc>
        <w:tc>
          <w:tcPr>
            <w:tcW w:type="dxa" w:w="1185"/>
            <w:tcBorders>
              <w:top w:color="000000" w:sz="4" w:val="single"/>
              <w:left w:color="000000" w:sz="4" w:val="single"/>
              <w:bottom w:color="000000" w:sz="4" w:val="single"/>
              <w:right w:color="000000" w:sz="4" w:val="single"/>
            </w:tcBorders>
            <w:shd w:fill="FFFFFF" w:val="clear"/>
            <w:vAlign w:val="center"/>
          </w:tcPr>
          <w:p w14:paraId="AC2F0000">
            <w:pPr>
              <w:widowControl w:val="1"/>
              <w:ind/>
              <w:jc w:val="center"/>
              <w:rPr>
                <w:sz w:val="18"/>
              </w:rPr>
            </w:pPr>
            <w:r>
              <w:rPr>
                <w:sz w:val="18"/>
              </w:rPr>
              <w:t>1254400,00</w:t>
            </w:r>
          </w:p>
        </w:tc>
        <w:tc>
          <w:tcPr>
            <w:tcW w:type="dxa" w:w="1083"/>
            <w:tcBorders>
              <w:top w:color="000000" w:sz="4" w:val="single"/>
              <w:left w:color="000000" w:sz="4" w:val="single"/>
              <w:bottom w:color="000000" w:sz="4" w:val="single"/>
              <w:right w:color="000000" w:sz="4" w:val="single"/>
            </w:tcBorders>
            <w:shd w:fill="FFFFFF" w:val="clear"/>
            <w:vAlign w:val="center"/>
          </w:tcPr>
          <w:p w14:paraId="AD2F0000">
            <w:pPr>
              <w:widowControl w:val="1"/>
              <w:ind/>
              <w:jc w:val="center"/>
              <w:rPr>
                <w:sz w:val="18"/>
              </w:rPr>
            </w:pPr>
            <w:r>
              <w:rPr>
                <w:sz w:val="18"/>
              </w:rPr>
              <w:t>1254400,00</w:t>
            </w:r>
          </w:p>
        </w:tc>
        <w:tc>
          <w:tcPr>
            <w:tcW w:type="dxa" w:w="771"/>
            <w:tcBorders>
              <w:top w:color="000000" w:sz="4" w:val="single"/>
              <w:left w:color="000000" w:sz="4" w:val="single"/>
              <w:bottom w:color="000000" w:sz="4" w:val="single"/>
              <w:right w:color="000000" w:sz="4" w:val="single"/>
            </w:tcBorders>
            <w:shd w:fill="FFFFFF" w:val="clear"/>
            <w:vAlign w:val="center"/>
          </w:tcPr>
          <w:p w14:paraId="AE2F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AF2F0000">
            <w:pPr>
              <w:widowControl w:val="1"/>
              <w:ind/>
              <w:jc w:val="center"/>
              <w:rPr>
                <w:sz w:val="18"/>
              </w:rPr>
            </w:pPr>
            <w:r>
              <w:rPr>
                <w:sz w:val="18"/>
              </w:rPr>
              <w:t>июль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B02F0000">
            <w:pPr>
              <w:widowControl w:val="1"/>
              <w:ind/>
              <w:jc w:val="center"/>
              <w:rPr>
                <w:sz w:val="18"/>
              </w:rPr>
            </w:pPr>
            <w:r>
              <w:rPr>
                <w:sz w:val="18"/>
              </w:rPr>
              <w:t>договор № 86 от 02.07.2018</w:t>
            </w:r>
          </w:p>
        </w:tc>
      </w:tr>
      <w:tr>
        <w:trPr>
          <w:trHeight w:hRule="atLeast" w:val="2040"/>
        </w:trPr>
        <w:tc>
          <w:tcPr>
            <w:tcW w:type="dxa" w:w="708"/>
            <w:tcBorders>
              <w:top w:color="000000" w:sz="4" w:val="single"/>
              <w:left w:color="000000" w:sz="4" w:val="single"/>
              <w:bottom w:color="000000" w:sz="4" w:val="single"/>
              <w:right w:color="000000" w:sz="4" w:val="single"/>
            </w:tcBorders>
            <w:shd w:fill="FFFFFF" w:val="clear"/>
            <w:vAlign w:val="center"/>
          </w:tcPr>
          <w:p w14:paraId="B12F0000">
            <w:pPr>
              <w:widowControl w:val="1"/>
              <w:ind/>
              <w:jc w:val="center"/>
              <w:rPr>
                <w:color w:val="000000"/>
                <w:sz w:val="18"/>
              </w:rPr>
            </w:pPr>
            <w:r>
              <w:rPr>
                <w:color w:val="000000"/>
                <w:sz w:val="18"/>
              </w:rPr>
              <w:t>38</w:t>
            </w:r>
          </w:p>
        </w:tc>
        <w:tc>
          <w:tcPr>
            <w:tcW w:type="dxa" w:w="618"/>
            <w:tcBorders>
              <w:top w:color="000000" w:sz="4" w:val="single"/>
              <w:left w:color="000000" w:sz="4" w:val="single"/>
              <w:bottom w:color="000000" w:sz="4" w:val="single"/>
              <w:right w:color="000000" w:sz="4" w:val="single"/>
            </w:tcBorders>
            <w:shd w:fill="FFFFFF" w:val="clear"/>
            <w:vAlign w:val="center"/>
          </w:tcPr>
          <w:p w14:paraId="B22F0000">
            <w:pPr>
              <w:widowControl w:val="1"/>
              <w:ind/>
              <w:jc w:val="center"/>
              <w:rPr>
                <w:color w:val="000000"/>
                <w:sz w:val="18"/>
              </w:rPr>
            </w:pPr>
            <w:r>
              <w:rPr>
                <w:color w:val="000000"/>
                <w:sz w:val="18"/>
              </w:rPr>
              <w:t>48</w:t>
            </w:r>
          </w:p>
        </w:tc>
        <w:tc>
          <w:tcPr>
            <w:tcW w:type="dxa" w:w="993"/>
            <w:tcBorders>
              <w:top w:color="000000" w:sz="4" w:val="single"/>
              <w:left w:color="000000" w:sz="4" w:val="single"/>
              <w:bottom w:color="000000" w:sz="4" w:val="single"/>
              <w:right w:color="000000" w:sz="4" w:val="single"/>
            </w:tcBorders>
            <w:shd w:fill="FFFFFF" w:val="clear"/>
            <w:vAlign w:val="center"/>
          </w:tcPr>
          <w:p w14:paraId="B32F0000">
            <w:pPr>
              <w:widowControl w:val="1"/>
              <w:ind/>
              <w:jc w:val="center"/>
              <w:rPr>
                <w:sz w:val="18"/>
              </w:rPr>
            </w:pPr>
            <w:r>
              <w:rPr>
                <w:sz w:val="18"/>
              </w:rPr>
              <w:t>Оказание услуг по проведению периодического медицинского осмотра работников (Красноярск)</w:t>
            </w:r>
          </w:p>
        </w:tc>
        <w:tc>
          <w:tcPr>
            <w:tcW w:type="dxa" w:w="849"/>
            <w:tcBorders>
              <w:top w:color="000000" w:sz="4" w:val="single"/>
              <w:left w:color="000000" w:sz="4" w:val="single"/>
              <w:bottom w:color="000000" w:sz="4" w:val="single"/>
              <w:right w:color="000000" w:sz="4" w:val="single"/>
            </w:tcBorders>
            <w:shd w:fill="FFFFFF" w:val="clear"/>
            <w:vAlign w:val="center"/>
          </w:tcPr>
          <w:p w14:paraId="B42F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52F0000">
            <w:pPr>
              <w:widowControl w:val="1"/>
              <w:ind/>
              <w:jc w:val="center"/>
              <w:rPr>
                <w:sz w:val="18"/>
              </w:rPr>
            </w:pPr>
            <w:r>
              <w:rPr>
                <w:sz w:val="18"/>
              </w:rPr>
              <w:t>44</w:t>
            </w:r>
          </w:p>
        </w:tc>
        <w:tc>
          <w:tcPr>
            <w:tcW w:type="dxa" w:w="991"/>
            <w:tcBorders>
              <w:top w:color="000000" w:sz="4" w:val="single"/>
              <w:left w:color="000000" w:sz="4" w:val="single"/>
              <w:bottom w:color="000000" w:sz="4" w:val="single"/>
              <w:right w:color="000000" w:sz="4" w:val="single"/>
            </w:tcBorders>
            <w:shd w:fill="FFFFFF" w:val="clear"/>
            <w:vAlign w:val="center"/>
          </w:tcPr>
          <w:p w14:paraId="B62F0000">
            <w:pPr>
              <w:widowControl w:val="1"/>
              <w:ind/>
              <w:jc w:val="center"/>
              <w:rPr>
                <w:sz w:val="18"/>
              </w:rPr>
            </w:pPr>
            <w:r>
              <w:rPr>
                <w:sz w:val="18"/>
              </w:rPr>
              <w:t>82412,00</w:t>
            </w:r>
          </w:p>
        </w:tc>
        <w:tc>
          <w:tcPr>
            <w:tcW w:type="dxa" w:w="1134"/>
            <w:tcBorders>
              <w:top w:color="000000" w:sz="4" w:val="single"/>
              <w:left w:color="000000" w:sz="4" w:val="single"/>
              <w:bottom w:color="000000" w:sz="4" w:val="single"/>
              <w:right w:color="000000" w:sz="4" w:val="single"/>
            </w:tcBorders>
            <w:shd w:fill="FFFFFF" w:val="clear"/>
            <w:vAlign w:val="center"/>
          </w:tcPr>
          <w:p w14:paraId="B72F0000">
            <w:pPr>
              <w:widowControl w:val="1"/>
              <w:ind/>
              <w:jc w:val="center"/>
              <w:rPr>
                <w:sz w:val="18"/>
              </w:rPr>
            </w:pPr>
            <w:r>
              <w:rPr>
                <w:sz w:val="18"/>
              </w:rPr>
              <w:t>82412,00</w:t>
            </w:r>
          </w:p>
        </w:tc>
        <w:tc>
          <w:tcPr>
            <w:tcW w:type="dxa" w:w="993"/>
            <w:tcBorders>
              <w:top w:color="000000" w:sz="4" w:val="single"/>
              <w:left w:color="000000" w:sz="4" w:val="single"/>
              <w:bottom w:color="000000" w:sz="4" w:val="single"/>
              <w:right w:color="000000" w:sz="4" w:val="single"/>
            </w:tcBorders>
            <w:shd w:fill="FFFFFF" w:val="clear"/>
            <w:vAlign w:val="center"/>
          </w:tcPr>
          <w:p w14:paraId="B82F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B92F0000">
            <w:pPr>
              <w:widowControl w:val="1"/>
              <w:ind/>
              <w:jc w:val="center"/>
              <w:rPr>
                <w:sz w:val="18"/>
              </w:rPr>
            </w:pPr>
            <w:r>
              <w:rPr>
                <w:sz w:val="18"/>
              </w:rPr>
              <w:t>июль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BA2F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BB2F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BC2F0000">
            <w:pPr>
              <w:widowControl w:val="1"/>
              <w:ind/>
              <w:jc w:val="center"/>
              <w:rPr>
                <w:sz w:val="18"/>
              </w:rPr>
            </w:pPr>
            <w:r>
              <w:rPr>
                <w:sz w:val="18"/>
              </w:rPr>
              <w:t>44</w:t>
            </w:r>
          </w:p>
        </w:tc>
        <w:tc>
          <w:tcPr>
            <w:tcW w:type="dxa" w:w="1169"/>
            <w:tcBorders>
              <w:top w:color="000000" w:sz="4" w:val="single"/>
              <w:left w:color="000000" w:sz="4" w:val="single"/>
              <w:bottom w:color="000000" w:sz="4" w:val="single"/>
              <w:right w:color="000000" w:sz="4" w:val="single"/>
            </w:tcBorders>
            <w:shd w:fill="FFFFFF" w:val="clear"/>
            <w:vAlign w:val="center"/>
          </w:tcPr>
          <w:p w14:paraId="BD2F0000">
            <w:pPr>
              <w:widowControl w:val="1"/>
              <w:ind/>
              <w:jc w:val="center"/>
              <w:rPr>
                <w:sz w:val="18"/>
              </w:rPr>
            </w:pPr>
            <w:r>
              <w:rPr>
                <w:sz w:val="18"/>
              </w:rPr>
              <w:t>82412,00</w:t>
            </w:r>
          </w:p>
        </w:tc>
        <w:tc>
          <w:tcPr>
            <w:tcW w:type="dxa" w:w="1185"/>
            <w:tcBorders>
              <w:top w:color="000000" w:sz="4" w:val="single"/>
              <w:left w:color="000000" w:sz="4" w:val="single"/>
              <w:bottom w:color="000000" w:sz="4" w:val="single"/>
              <w:right w:color="000000" w:sz="4" w:val="single"/>
            </w:tcBorders>
            <w:shd w:fill="FFFFFF" w:val="clear"/>
            <w:vAlign w:val="center"/>
          </w:tcPr>
          <w:p w14:paraId="BE2F0000">
            <w:pPr>
              <w:widowControl w:val="1"/>
              <w:ind/>
              <w:jc w:val="center"/>
              <w:rPr>
                <w:sz w:val="18"/>
              </w:rPr>
            </w:pPr>
            <w:r>
              <w:rPr>
                <w:sz w:val="18"/>
              </w:rPr>
              <w:t>82412,00</w:t>
            </w:r>
          </w:p>
        </w:tc>
        <w:tc>
          <w:tcPr>
            <w:tcW w:type="dxa" w:w="1083"/>
            <w:tcBorders>
              <w:top w:color="000000" w:sz="4" w:val="single"/>
              <w:left w:color="000000" w:sz="4" w:val="single"/>
              <w:bottom w:color="000000" w:sz="4" w:val="single"/>
              <w:right w:color="000000" w:sz="4" w:val="single"/>
            </w:tcBorders>
            <w:shd w:fill="FFFFFF" w:val="clear"/>
            <w:vAlign w:val="center"/>
          </w:tcPr>
          <w:p w14:paraId="BF2F0000">
            <w:pPr>
              <w:widowControl w:val="1"/>
              <w:ind/>
              <w:jc w:val="center"/>
              <w:rPr>
                <w:sz w:val="18"/>
              </w:rPr>
            </w:pPr>
            <w:r>
              <w:rPr>
                <w:sz w:val="18"/>
              </w:rPr>
              <w:t>82412,00</w:t>
            </w:r>
          </w:p>
        </w:tc>
        <w:tc>
          <w:tcPr>
            <w:tcW w:type="dxa" w:w="771"/>
            <w:tcBorders>
              <w:top w:color="000000" w:sz="4" w:val="single"/>
              <w:left w:color="000000" w:sz="4" w:val="single"/>
              <w:bottom w:color="000000" w:sz="4" w:val="single"/>
              <w:right w:color="000000" w:sz="4" w:val="single"/>
            </w:tcBorders>
            <w:shd w:fill="FFFFFF" w:val="clear"/>
            <w:vAlign w:val="center"/>
          </w:tcPr>
          <w:p w14:paraId="C02F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C12F0000">
            <w:pPr>
              <w:widowControl w:val="1"/>
              <w:ind/>
              <w:jc w:val="center"/>
              <w:rPr>
                <w:sz w:val="18"/>
              </w:rPr>
            </w:pPr>
            <w:r>
              <w:rPr>
                <w:sz w:val="18"/>
              </w:rPr>
              <w:t>июль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C22F0000">
            <w:pPr>
              <w:widowControl w:val="1"/>
              <w:ind/>
              <w:jc w:val="center"/>
              <w:rPr>
                <w:sz w:val="18"/>
              </w:rPr>
            </w:pPr>
            <w:r>
              <w:rPr>
                <w:sz w:val="18"/>
              </w:rPr>
              <w:t>договор № 76 от 01.06.2018</w:t>
            </w:r>
          </w:p>
        </w:tc>
      </w:tr>
      <w:tr>
        <w:trPr>
          <w:trHeight w:hRule="atLeast" w:val="2040"/>
        </w:trPr>
        <w:tc>
          <w:tcPr>
            <w:tcW w:type="dxa" w:w="708"/>
            <w:tcBorders>
              <w:top w:color="000000" w:sz="4" w:val="single"/>
              <w:left w:color="000000" w:sz="4" w:val="single"/>
              <w:bottom w:color="000000" w:sz="4" w:val="single"/>
              <w:right w:color="000000" w:sz="4" w:val="single"/>
            </w:tcBorders>
            <w:shd w:fill="FFFFFF" w:val="clear"/>
            <w:vAlign w:val="center"/>
          </w:tcPr>
          <w:p w14:paraId="C32F0000">
            <w:pPr>
              <w:widowControl w:val="1"/>
              <w:ind/>
              <w:jc w:val="center"/>
              <w:rPr>
                <w:color w:val="000000"/>
                <w:sz w:val="18"/>
              </w:rPr>
            </w:pPr>
            <w:r>
              <w:rPr>
                <w:color w:val="000000"/>
                <w:sz w:val="18"/>
              </w:rPr>
              <w:t>39</w:t>
            </w:r>
          </w:p>
        </w:tc>
        <w:tc>
          <w:tcPr>
            <w:tcW w:type="dxa" w:w="618"/>
            <w:tcBorders>
              <w:top w:color="000000" w:sz="4" w:val="single"/>
              <w:left w:color="000000" w:sz="4" w:val="single"/>
              <w:bottom w:color="000000" w:sz="4" w:val="single"/>
              <w:right w:color="000000" w:sz="4" w:val="single"/>
            </w:tcBorders>
            <w:shd w:fill="FFFFFF" w:val="clear"/>
            <w:vAlign w:val="center"/>
          </w:tcPr>
          <w:p w14:paraId="C42F0000">
            <w:pPr>
              <w:widowControl w:val="1"/>
              <w:ind/>
              <w:jc w:val="center"/>
              <w:rPr>
                <w:sz w:val="18"/>
              </w:rPr>
            </w:pPr>
            <w:r>
              <w:rPr>
                <w:sz w:val="18"/>
              </w:rPr>
              <w:t>49</w:t>
            </w:r>
          </w:p>
        </w:tc>
        <w:tc>
          <w:tcPr>
            <w:tcW w:type="dxa" w:w="993"/>
            <w:tcBorders>
              <w:top w:color="000000" w:sz="4" w:val="single"/>
              <w:left w:color="000000" w:sz="4" w:val="single"/>
              <w:bottom w:color="000000" w:sz="4" w:val="single"/>
              <w:right w:color="000000" w:sz="4" w:val="single"/>
            </w:tcBorders>
            <w:shd w:fill="FFFFFF" w:val="clear"/>
            <w:vAlign w:val="center"/>
          </w:tcPr>
          <w:p w14:paraId="C52F0000">
            <w:pPr>
              <w:widowControl w:val="1"/>
              <w:ind/>
              <w:jc w:val="center"/>
              <w:rPr>
                <w:sz w:val="18"/>
              </w:rPr>
            </w:pPr>
            <w:r>
              <w:rPr>
                <w:sz w:val="18"/>
              </w:rPr>
              <w:t>Оказание услуг по организации детского оздоровительного отдыха в ДОЛ "Восток" и ОЦ "Салют"</w:t>
            </w:r>
          </w:p>
        </w:tc>
        <w:tc>
          <w:tcPr>
            <w:tcW w:type="dxa" w:w="849"/>
            <w:tcBorders>
              <w:top w:color="000000" w:sz="4" w:val="single"/>
              <w:left w:color="000000" w:sz="4" w:val="single"/>
              <w:bottom w:color="000000" w:sz="4" w:val="single"/>
              <w:right w:color="000000" w:sz="4" w:val="single"/>
            </w:tcBorders>
            <w:shd w:fill="FFFFFF" w:val="clear"/>
            <w:vAlign w:val="center"/>
          </w:tcPr>
          <w:p w14:paraId="C62F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C72F0000">
            <w:pPr>
              <w:widowControl w:val="1"/>
              <w:ind/>
              <w:jc w:val="center"/>
              <w:rPr>
                <w:sz w:val="18"/>
              </w:rPr>
            </w:pPr>
            <w:r>
              <w:rPr>
                <w:sz w:val="18"/>
              </w:rPr>
              <w:t>5</w:t>
            </w:r>
          </w:p>
        </w:tc>
        <w:tc>
          <w:tcPr>
            <w:tcW w:type="dxa" w:w="991"/>
            <w:tcBorders>
              <w:top w:color="000000" w:sz="4" w:val="single"/>
              <w:left w:color="000000" w:sz="4" w:val="single"/>
              <w:bottom w:color="000000" w:sz="4" w:val="single"/>
              <w:right w:color="000000" w:sz="4" w:val="single"/>
            </w:tcBorders>
            <w:shd w:fill="FFFFFF" w:val="clear"/>
            <w:vAlign w:val="center"/>
          </w:tcPr>
          <w:p w14:paraId="C82F0000">
            <w:pPr>
              <w:widowControl w:val="1"/>
              <w:ind/>
              <w:jc w:val="center"/>
              <w:rPr>
                <w:sz w:val="18"/>
              </w:rPr>
            </w:pPr>
            <w:r>
              <w:rPr>
                <w:sz w:val="18"/>
              </w:rPr>
              <w:t>168323,40</w:t>
            </w:r>
          </w:p>
        </w:tc>
        <w:tc>
          <w:tcPr>
            <w:tcW w:type="dxa" w:w="1134"/>
            <w:tcBorders>
              <w:top w:color="000000" w:sz="4" w:val="single"/>
              <w:left w:color="000000" w:sz="4" w:val="single"/>
              <w:bottom w:color="000000" w:sz="4" w:val="single"/>
              <w:right w:color="000000" w:sz="4" w:val="single"/>
            </w:tcBorders>
            <w:shd w:fill="FFFFFF" w:val="clear"/>
            <w:vAlign w:val="center"/>
          </w:tcPr>
          <w:p w14:paraId="C92F0000">
            <w:pPr>
              <w:widowControl w:val="1"/>
              <w:ind/>
              <w:jc w:val="center"/>
              <w:rPr>
                <w:sz w:val="18"/>
              </w:rPr>
            </w:pPr>
            <w:r>
              <w:rPr>
                <w:sz w:val="18"/>
              </w:rPr>
              <w:t>168323,40</w:t>
            </w:r>
          </w:p>
        </w:tc>
        <w:tc>
          <w:tcPr>
            <w:tcW w:type="dxa" w:w="993"/>
            <w:tcBorders>
              <w:top w:color="000000" w:sz="4" w:val="single"/>
              <w:left w:color="000000" w:sz="4" w:val="single"/>
              <w:bottom w:color="000000" w:sz="4" w:val="single"/>
              <w:right w:color="000000" w:sz="4" w:val="single"/>
            </w:tcBorders>
            <w:shd w:fill="FFFFFF" w:val="clear"/>
            <w:vAlign w:val="center"/>
          </w:tcPr>
          <w:p w14:paraId="CA2F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CB2F0000">
            <w:pPr>
              <w:widowControl w:val="1"/>
              <w:ind/>
              <w:jc w:val="center"/>
              <w:rPr>
                <w:sz w:val="18"/>
              </w:rPr>
            </w:pPr>
            <w:r>
              <w:rPr>
                <w:sz w:val="18"/>
              </w:rPr>
              <w:t>август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CC2F0000">
            <w:pPr>
              <w:widowControl w:val="1"/>
              <w:ind/>
              <w:jc w:val="center"/>
              <w:rPr>
                <w:sz w:val="18"/>
              </w:rPr>
            </w:pPr>
            <w:r>
              <w:rPr>
                <w:sz w:val="18"/>
              </w:rPr>
              <w:t>31806558837</w:t>
            </w:r>
          </w:p>
        </w:tc>
        <w:tc>
          <w:tcPr>
            <w:tcW w:type="dxa" w:w="652"/>
            <w:tcBorders>
              <w:top w:color="000000" w:sz="4" w:val="single"/>
              <w:left w:color="000000" w:sz="4" w:val="single"/>
              <w:bottom w:color="000000" w:sz="4" w:val="single"/>
              <w:right w:color="000000" w:sz="4" w:val="single"/>
            </w:tcBorders>
            <w:shd w:fill="FFFFFF" w:val="clear"/>
            <w:vAlign w:val="center"/>
          </w:tcPr>
          <w:p w14:paraId="CD2F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CE2F0000">
            <w:pPr>
              <w:widowControl w:val="1"/>
              <w:ind/>
              <w:jc w:val="center"/>
              <w:rPr>
                <w:sz w:val="18"/>
              </w:rPr>
            </w:pPr>
            <w:r>
              <w:rPr>
                <w:sz w:val="18"/>
              </w:rPr>
              <w:t>5</w:t>
            </w:r>
          </w:p>
        </w:tc>
        <w:tc>
          <w:tcPr>
            <w:tcW w:type="dxa" w:w="1169"/>
            <w:tcBorders>
              <w:top w:color="000000" w:sz="4" w:val="single"/>
              <w:left w:color="000000" w:sz="4" w:val="single"/>
              <w:bottom w:color="000000" w:sz="4" w:val="single"/>
              <w:right w:color="000000" w:sz="4" w:val="single"/>
            </w:tcBorders>
            <w:shd w:fill="FFFFFF" w:val="clear"/>
            <w:vAlign w:val="center"/>
          </w:tcPr>
          <w:p w14:paraId="CF2F0000">
            <w:pPr>
              <w:widowControl w:val="1"/>
              <w:ind/>
              <w:jc w:val="center"/>
              <w:rPr>
                <w:sz w:val="18"/>
              </w:rPr>
            </w:pPr>
            <w:r>
              <w:rPr>
                <w:sz w:val="18"/>
              </w:rPr>
              <w:t>168323,40</w:t>
            </w:r>
          </w:p>
        </w:tc>
        <w:tc>
          <w:tcPr>
            <w:tcW w:type="dxa" w:w="1185"/>
            <w:tcBorders>
              <w:top w:color="000000" w:sz="4" w:val="single"/>
              <w:left w:color="000000" w:sz="4" w:val="single"/>
              <w:bottom w:color="000000" w:sz="4" w:val="single"/>
              <w:right w:color="000000" w:sz="4" w:val="single"/>
            </w:tcBorders>
            <w:shd w:fill="FFFFFF" w:val="clear"/>
            <w:vAlign w:val="center"/>
          </w:tcPr>
          <w:p w14:paraId="D02F0000">
            <w:pPr>
              <w:widowControl w:val="1"/>
              <w:ind/>
              <w:jc w:val="center"/>
              <w:rPr>
                <w:sz w:val="18"/>
              </w:rPr>
            </w:pPr>
            <w:r>
              <w:rPr>
                <w:sz w:val="18"/>
              </w:rPr>
              <w:t>168323,40</w:t>
            </w:r>
          </w:p>
        </w:tc>
        <w:tc>
          <w:tcPr>
            <w:tcW w:type="dxa" w:w="1083"/>
            <w:tcBorders>
              <w:top w:color="000000" w:sz="4" w:val="single"/>
              <w:left w:color="000000" w:sz="4" w:val="single"/>
              <w:bottom w:color="000000" w:sz="4" w:val="single"/>
              <w:right w:color="000000" w:sz="4" w:val="single"/>
            </w:tcBorders>
            <w:shd w:fill="FFFFFF" w:val="clear"/>
            <w:vAlign w:val="center"/>
          </w:tcPr>
          <w:p w14:paraId="D12F0000">
            <w:pPr>
              <w:widowControl w:val="1"/>
              <w:ind/>
              <w:jc w:val="center"/>
              <w:rPr>
                <w:sz w:val="18"/>
              </w:rPr>
            </w:pPr>
            <w:r>
              <w:rPr>
                <w:sz w:val="18"/>
              </w:rPr>
              <w:t>168323,40</w:t>
            </w:r>
          </w:p>
        </w:tc>
        <w:tc>
          <w:tcPr>
            <w:tcW w:type="dxa" w:w="771"/>
            <w:tcBorders>
              <w:top w:color="000000" w:sz="4" w:val="single"/>
              <w:left w:color="000000" w:sz="4" w:val="single"/>
              <w:bottom w:color="000000" w:sz="4" w:val="single"/>
              <w:right w:color="000000" w:sz="4" w:val="single"/>
            </w:tcBorders>
            <w:shd w:fill="FFFFFF" w:val="clear"/>
            <w:vAlign w:val="center"/>
          </w:tcPr>
          <w:p w14:paraId="D22F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D32F0000">
            <w:pPr>
              <w:widowControl w:val="1"/>
              <w:ind/>
              <w:jc w:val="center"/>
              <w:rPr>
                <w:sz w:val="18"/>
              </w:rPr>
            </w:pPr>
            <w:r>
              <w:rPr>
                <w:sz w:val="18"/>
              </w:rPr>
              <w:t>август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D42F0000">
            <w:pPr>
              <w:widowControl w:val="1"/>
              <w:ind/>
              <w:jc w:val="center"/>
              <w:rPr>
                <w:sz w:val="18"/>
              </w:rPr>
            </w:pPr>
            <w:r>
              <w:rPr>
                <w:sz w:val="18"/>
              </w:rPr>
              <w:t>договор № 322 от 01.06.2018</w:t>
            </w:r>
          </w:p>
        </w:tc>
      </w:tr>
      <w:tr>
        <w:trPr>
          <w:trHeight w:hRule="atLeast" w:val="1530"/>
        </w:trPr>
        <w:tc>
          <w:tcPr>
            <w:tcW w:type="dxa" w:w="708"/>
            <w:tcBorders>
              <w:top w:color="000000" w:sz="4" w:val="single"/>
              <w:left w:color="000000" w:sz="4" w:val="single"/>
              <w:bottom w:color="000000" w:sz="4" w:val="single"/>
              <w:right w:color="000000" w:sz="4" w:val="single"/>
            </w:tcBorders>
            <w:shd w:fill="FFFFFF" w:val="clear"/>
            <w:vAlign w:val="center"/>
          </w:tcPr>
          <w:p w14:paraId="D52F0000">
            <w:pPr>
              <w:widowControl w:val="1"/>
              <w:ind/>
              <w:jc w:val="center"/>
              <w:rPr>
                <w:color w:val="000000"/>
                <w:sz w:val="18"/>
              </w:rPr>
            </w:pPr>
            <w:r>
              <w:rPr>
                <w:color w:val="000000"/>
                <w:sz w:val="18"/>
              </w:rPr>
              <w:t>40</w:t>
            </w:r>
          </w:p>
        </w:tc>
        <w:tc>
          <w:tcPr>
            <w:tcW w:type="dxa" w:w="618"/>
            <w:tcBorders>
              <w:top w:color="000000" w:sz="4" w:val="single"/>
              <w:left w:color="000000" w:sz="4" w:val="single"/>
              <w:bottom w:color="000000" w:sz="4" w:val="single"/>
              <w:right w:color="000000" w:sz="4" w:val="single"/>
            </w:tcBorders>
            <w:shd w:fill="FFFFFF" w:val="clear"/>
            <w:vAlign w:val="center"/>
          </w:tcPr>
          <w:p w14:paraId="D62F0000">
            <w:pPr>
              <w:widowControl w:val="1"/>
              <w:ind/>
              <w:jc w:val="center"/>
              <w:rPr>
                <w:color w:val="000000"/>
                <w:sz w:val="18"/>
              </w:rPr>
            </w:pPr>
            <w:r>
              <w:rPr>
                <w:color w:val="000000"/>
                <w:sz w:val="18"/>
              </w:rPr>
              <w:t>50</w:t>
            </w:r>
          </w:p>
        </w:tc>
        <w:tc>
          <w:tcPr>
            <w:tcW w:type="dxa" w:w="993"/>
            <w:tcBorders>
              <w:top w:color="000000" w:sz="4" w:val="single"/>
              <w:left w:color="000000" w:sz="4" w:val="single"/>
              <w:bottom w:color="000000" w:sz="4" w:val="single"/>
              <w:right w:color="000000" w:sz="4" w:val="single"/>
            </w:tcBorders>
            <w:shd w:fill="FFFFFF" w:val="clear"/>
            <w:vAlign w:val="center"/>
          </w:tcPr>
          <w:p w14:paraId="D72F0000">
            <w:pPr>
              <w:widowControl w:val="1"/>
              <w:ind/>
              <w:jc w:val="center"/>
              <w:rPr>
                <w:sz w:val="18"/>
              </w:rPr>
            </w:pPr>
            <w:r>
              <w:rPr>
                <w:sz w:val="18"/>
              </w:rPr>
              <w:t>Выполнение работ по доработке программного обеспечения АСУПБ</w:t>
            </w:r>
          </w:p>
        </w:tc>
        <w:tc>
          <w:tcPr>
            <w:tcW w:type="dxa" w:w="849"/>
            <w:tcBorders>
              <w:top w:color="000000" w:sz="4" w:val="single"/>
              <w:left w:color="000000" w:sz="4" w:val="single"/>
              <w:bottom w:color="000000" w:sz="4" w:val="single"/>
              <w:right w:color="000000" w:sz="4" w:val="single"/>
            </w:tcBorders>
            <w:shd w:fill="FFFFFF" w:val="clear"/>
            <w:vAlign w:val="center"/>
          </w:tcPr>
          <w:p w14:paraId="D82F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D92F0000">
            <w:pPr>
              <w:widowControl w:val="1"/>
              <w:ind/>
              <w:jc w:val="center"/>
              <w:rPr>
                <w:sz w:val="18"/>
              </w:rPr>
            </w:pPr>
            <w:r>
              <w:rPr>
                <w:sz w:val="18"/>
              </w:rPr>
              <w:t>300</w:t>
            </w:r>
          </w:p>
        </w:tc>
        <w:tc>
          <w:tcPr>
            <w:tcW w:type="dxa" w:w="991"/>
            <w:tcBorders>
              <w:top w:color="000000" w:sz="4" w:val="single"/>
              <w:left w:color="000000" w:sz="4" w:val="single"/>
              <w:bottom w:color="000000" w:sz="4" w:val="single"/>
              <w:right w:color="000000" w:sz="4" w:val="single"/>
            </w:tcBorders>
            <w:shd w:fill="FFFFFF" w:val="clear"/>
            <w:vAlign w:val="center"/>
          </w:tcPr>
          <w:p w14:paraId="DA2F0000">
            <w:pPr>
              <w:widowControl w:val="1"/>
              <w:ind/>
              <w:jc w:val="center"/>
              <w:rPr>
                <w:sz w:val="18"/>
              </w:rPr>
            </w:pPr>
            <w:r>
              <w:rPr>
                <w:sz w:val="18"/>
              </w:rPr>
              <w:t>384977,96</w:t>
            </w:r>
          </w:p>
        </w:tc>
        <w:tc>
          <w:tcPr>
            <w:tcW w:type="dxa" w:w="1134"/>
            <w:tcBorders>
              <w:top w:color="000000" w:sz="4" w:val="single"/>
              <w:left w:color="000000" w:sz="4" w:val="single"/>
              <w:bottom w:color="000000" w:sz="4" w:val="single"/>
              <w:right w:color="000000" w:sz="4" w:val="single"/>
            </w:tcBorders>
            <w:shd w:fill="FFFFFF" w:val="clear"/>
            <w:vAlign w:val="center"/>
          </w:tcPr>
          <w:p w14:paraId="DB2F0000">
            <w:pPr>
              <w:widowControl w:val="1"/>
              <w:ind/>
              <w:jc w:val="center"/>
              <w:rPr>
                <w:sz w:val="18"/>
              </w:rPr>
            </w:pPr>
            <w:r>
              <w:rPr>
                <w:sz w:val="18"/>
              </w:rPr>
              <w:t>454274,00</w:t>
            </w:r>
          </w:p>
        </w:tc>
        <w:tc>
          <w:tcPr>
            <w:tcW w:type="dxa" w:w="993"/>
            <w:tcBorders>
              <w:top w:color="000000" w:sz="4" w:val="single"/>
              <w:left w:color="000000" w:sz="4" w:val="single"/>
              <w:bottom w:color="000000" w:sz="4" w:val="single"/>
              <w:right w:color="000000" w:sz="4" w:val="single"/>
            </w:tcBorders>
            <w:shd w:fill="FFFFFF" w:val="clear"/>
            <w:vAlign w:val="center"/>
          </w:tcPr>
          <w:p w14:paraId="DC2F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DD2F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DE2F0000">
            <w:pPr>
              <w:widowControl w:val="1"/>
              <w:ind/>
              <w:jc w:val="center"/>
              <w:rPr>
                <w:sz w:val="18"/>
              </w:rPr>
            </w:pPr>
            <w:r>
              <w:rPr>
                <w:sz w:val="18"/>
              </w:rPr>
              <w:t>31807088799</w:t>
            </w:r>
          </w:p>
        </w:tc>
        <w:tc>
          <w:tcPr>
            <w:tcW w:type="dxa" w:w="652"/>
            <w:tcBorders>
              <w:top w:color="000000" w:sz="4" w:val="single"/>
              <w:left w:color="000000" w:sz="4" w:val="single"/>
              <w:bottom w:color="000000" w:sz="4" w:val="single"/>
              <w:right w:color="000000" w:sz="4" w:val="single"/>
            </w:tcBorders>
            <w:shd w:fill="FFFFFF" w:val="clear"/>
            <w:vAlign w:val="center"/>
          </w:tcPr>
          <w:p w14:paraId="DF2F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E02F0000">
            <w:pPr>
              <w:widowControl w:val="1"/>
              <w:ind/>
              <w:jc w:val="center"/>
              <w:rPr>
                <w:sz w:val="18"/>
              </w:rPr>
            </w:pPr>
            <w:r>
              <w:rPr>
                <w:sz w:val="18"/>
              </w:rPr>
              <w:t>300</w:t>
            </w:r>
          </w:p>
        </w:tc>
        <w:tc>
          <w:tcPr>
            <w:tcW w:type="dxa" w:w="1169"/>
            <w:tcBorders>
              <w:top w:color="000000" w:sz="4" w:val="single"/>
              <w:left w:color="000000" w:sz="4" w:val="single"/>
              <w:bottom w:color="000000" w:sz="4" w:val="single"/>
              <w:right w:color="000000" w:sz="4" w:val="single"/>
            </w:tcBorders>
            <w:shd w:fill="auto" w:val="clear"/>
            <w:vAlign w:val="center"/>
          </w:tcPr>
          <w:p w14:paraId="E12F0000">
            <w:pPr>
              <w:widowControl w:val="1"/>
              <w:ind/>
              <w:jc w:val="center"/>
              <w:rPr>
                <w:sz w:val="18"/>
              </w:rPr>
            </w:pPr>
            <w:r>
              <w:rPr>
                <w:sz w:val="18"/>
              </w:rPr>
              <w:t>384978,8</w:t>
            </w:r>
          </w:p>
        </w:tc>
        <w:tc>
          <w:tcPr>
            <w:tcW w:type="dxa" w:w="1185"/>
            <w:tcBorders>
              <w:top w:color="000000" w:sz="4" w:val="single"/>
              <w:left w:color="000000" w:sz="4" w:val="single"/>
              <w:bottom w:color="000000" w:sz="4" w:val="single"/>
              <w:right w:color="000000" w:sz="4" w:val="single"/>
            </w:tcBorders>
            <w:shd w:fill="auto" w:val="clear"/>
            <w:vAlign w:val="center"/>
          </w:tcPr>
          <w:p w14:paraId="E22F0000">
            <w:pPr>
              <w:widowControl w:val="1"/>
              <w:ind/>
              <w:jc w:val="center"/>
              <w:rPr>
                <w:sz w:val="18"/>
              </w:rPr>
            </w:pPr>
            <w:r>
              <w:rPr>
                <w:sz w:val="18"/>
              </w:rPr>
              <w:t>454275</w:t>
            </w:r>
          </w:p>
        </w:tc>
        <w:tc>
          <w:tcPr>
            <w:tcW w:type="dxa" w:w="1083"/>
            <w:tcBorders>
              <w:top w:color="000000" w:sz="4" w:val="single"/>
              <w:left w:color="000000" w:sz="4" w:val="single"/>
              <w:bottom w:color="000000" w:sz="4" w:val="single"/>
              <w:right w:color="000000" w:sz="4" w:val="single"/>
            </w:tcBorders>
            <w:shd w:fill="auto" w:val="clear"/>
            <w:vAlign w:val="center"/>
          </w:tcPr>
          <w:p w14:paraId="E32F0000">
            <w:pPr>
              <w:widowControl w:val="1"/>
              <w:ind/>
              <w:jc w:val="center"/>
              <w:rPr>
                <w:sz w:val="18"/>
              </w:rPr>
            </w:pPr>
            <w:r>
              <w:rPr>
                <w:sz w:val="18"/>
              </w:rPr>
              <w:t>454275</w:t>
            </w:r>
          </w:p>
        </w:tc>
        <w:tc>
          <w:tcPr>
            <w:tcW w:type="dxa" w:w="771"/>
            <w:tcBorders>
              <w:top w:color="000000" w:sz="4" w:val="single"/>
              <w:left w:color="000000" w:sz="4" w:val="single"/>
              <w:bottom w:color="000000" w:sz="4" w:val="single"/>
              <w:right w:color="000000" w:sz="4" w:val="single"/>
            </w:tcBorders>
            <w:shd w:fill="FFFFFF" w:val="clear"/>
            <w:vAlign w:val="center"/>
          </w:tcPr>
          <w:p w14:paraId="E42F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52F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auto" w:val="clear"/>
            <w:vAlign w:val="center"/>
          </w:tcPr>
          <w:p w14:paraId="E62F0000">
            <w:pPr>
              <w:widowControl w:val="1"/>
              <w:ind/>
              <w:jc w:val="center"/>
              <w:rPr>
                <w:sz w:val="18"/>
              </w:rPr>
            </w:pPr>
            <w:r>
              <w:rPr>
                <w:sz w:val="18"/>
              </w:rPr>
              <w:t>договор № 05/д-163/18/у от 31.10.2018</w:t>
            </w:r>
          </w:p>
        </w:tc>
      </w:tr>
      <w:tr>
        <w:trPr>
          <w:trHeight w:hRule="atLeast" w:val="2115"/>
        </w:trPr>
        <w:tc>
          <w:tcPr>
            <w:tcW w:type="dxa" w:w="708"/>
            <w:tcBorders>
              <w:top w:color="000000" w:sz="4" w:val="single"/>
              <w:left w:color="000000" w:sz="4" w:val="single"/>
              <w:bottom w:color="000000" w:sz="4" w:val="single"/>
              <w:right w:color="000000" w:sz="4" w:val="single"/>
            </w:tcBorders>
            <w:shd w:fill="FFFFFF" w:val="clear"/>
            <w:vAlign w:val="center"/>
          </w:tcPr>
          <w:p w14:paraId="E72F0000">
            <w:pPr>
              <w:widowControl w:val="1"/>
              <w:ind/>
              <w:jc w:val="center"/>
              <w:rPr>
                <w:color w:val="000000"/>
                <w:sz w:val="18"/>
              </w:rPr>
            </w:pPr>
            <w:r>
              <w:rPr>
                <w:color w:val="000000"/>
                <w:sz w:val="18"/>
              </w:rPr>
              <w:t>41</w:t>
            </w:r>
          </w:p>
        </w:tc>
        <w:tc>
          <w:tcPr>
            <w:tcW w:type="dxa" w:w="618"/>
            <w:tcBorders>
              <w:top w:color="000000" w:sz="4" w:val="single"/>
              <w:left w:color="000000" w:sz="4" w:val="single"/>
              <w:bottom w:color="000000" w:sz="4" w:val="single"/>
              <w:right w:color="000000" w:sz="4" w:val="single"/>
            </w:tcBorders>
            <w:shd w:fill="FFFFFF" w:val="clear"/>
            <w:vAlign w:val="center"/>
          </w:tcPr>
          <w:p w14:paraId="E82F0000">
            <w:pPr>
              <w:widowControl w:val="1"/>
              <w:ind/>
              <w:jc w:val="center"/>
              <w:rPr>
                <w:color w:val="000000"/>
                <w:sz w:val="18"/>
              </w:rPr>
            </w:pPr>
            <w:r>
              <w:rPr>
                <w:color w:val="000000"/>
                <w:sz w:val="18"/>
              </w:rPr>
              <w:t>51</w:t>
            </w:r>
          </w:p>
        </w:tc>
        <w:tc>
          <w:tcPr>
            <w:tcW w:type="dxa" w:w="993"/>
            <w:tcBorders>
              <w:top w:color="000000" w:sz="4" w:val="single"/>
              <w:left w:color="000000" w:sz="4" w:val="single"/>
              <w:bottom w:color="000000" w:sz="4" w:val="single"/>
              <w:right w:color="000000" w:sz="4" w:val="single"/>
            </w:tcBorders>
            <w:shd w:fill="FFFFFF" w:val="clear"/>
            <w:vAlign w:val="center"/>
          </w:tcPr>
          <w:p w14:paraId="E92F0000">
            <w:pPr>
              <w:widowControl w:val="1"/>
              <w:ind/>
              <w:jc w:val="center"/>
              <w:rPr>
                <w:sz w:val="18"/>
              </w:rPr>
            </w:pPr>
            <w:r>
              <w:rPr>
                <w:sz w:val="18"/>
              </w:rPr>
              <w:t>Поставка бухгалтерской справочной системы</w:t>
            </w:r>
          </w:p>
        </w:tc>
        <w:tc>
          <w:tcPr>
            <w:tcW w:type="dxa" w:w="849"/>
            <w:tcBorders>
              <w:top w:color="000000" w:sz="4" w:val="single"/>
              <w:left w:color="000000" w:sz="4" w:val="single"/>
              <w:bottom w:color="000000" w:sz="4" w:val="single"/>
              <w:right w:color="000000" w:sz="4" w:val="single"/>
            </w:tcBorders>
            <w:shd w:fill="FFFFFF" w:val="clear"/>
            <w:vAlign w:val="center"/>
          </w:tcPr>
          <w:p w14:paraId="EA2F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EB2F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EC2F0000">
            <w:pPr>
              <w:widowControl w:val="1"/>
              <w:ind/>
              <w:jc w:val="center"/>
              <w:rPr>
                <w:sz w:val="18"/>
              </w:rPr>
            </w:pPr>
            <w:r>
              <w:rPr>
                <w:sz w:val="18"/>
              </w:rPr>
              <w:t>109910,00</w:t>
            </w:r>
          </w:p>
        </w:tc>
        <w:tc>
          <w:tcPr>
            <w:tcW w:type="dxa" w:w="1134"/>
            <w:tcBorders>
              <w:top w:color="000000" w:sz="4" w:val="single"/>
              <w:left w:color="000000" w:sz="4" w:val="single"/>
              <w:bottom w:color="000000" w:sz="4" w:val="single"/>
              <w:right w:color="000000" w:sz="4" w:val="single"/>
            </w:tcBorders>
            <w:shd w:fill="FFFFFF" w:val="clear"/>
            <w:vAlign w:val="center"/>
          </w:tcPr>
          <w:p w14:paraId="ED2F0000">
            <w:pPr>
              <w:widowControl w:val="1"/>
              <w:ind/>
              <w:jc w:val="center"/>
              <w:rPr>
                <w:sz w:val="18"/>
              </w:rPr>
            </w:pPr>
            <w:r>
              <w:rPr>
                <w:sz w:val="18"/>
              </w:rPr>
              <w:t>109910,00</w:t>
            </w:r>
          </w:p>
        </w:tc>
        <w:tc>
          <w:tcPr>
            <w:tcW w:type="dxa" w:w="993"/>
            <w:tcBorders>
              <w:top w:color="000000" w:sz="4" w:val="single"/>
              <w:left w:color="000000" w:sz="4" w:val="single"/>
              <w:bottom w:color="000000" w:sz="4" w:val="single"/>
              <w:right w:color="000000" w:sz="4" w:val="single"/>
            </w:tcBorders>
            <w:shd w:fill="FFFFFF" w:val="clear"/>
            <w:vAlign w:val="center"/>
          </w:tcPr>
          <w:p w14:paraId="EE2F0000">
            <w:pPr>
              <w:widowControl w:val="1"/>
              <w:ind/>
              <w:jc w:val="center"/>
              <w:rPr>
                <w:sz w:val="18"/>
              </w:rPr>
            </w:pPr>
            <w:r>
              <w:rPr>
                <w:sz w:val="18"/>
              </w:rPr>
              <w:t>май 2018 г.</w:t>
            </w:r>
          </w:p>
        </w:tc>
        <w:tc>
          <w:tcPr>
            <w:tcW w:type="dxa" w:w="850"/>
            <w:tcBorders>
              <w:top w:color="000000" w:sz="4" w:val="single"/>
              <w:left w:color="000000" w:sz="4" w:val="single"/>
              <w:bottom w:color="000000" w:sz="4" w:val="single"/>
              <w:right w:color="000000" w:sz="4" w:val="single"/>
            </w:tcBorders>
            <w:shd w:fill="FFFFFF" w:val="clear"/>
            <w:vAlign w:val="center"/>
          </w:tcPr>
          <w:p w14:paraId="EF2F0000">
            <w:pPr>
              <w:widowControl w:val="1"/>
              <w:ind/>
              <w:jc w:val="center"/>
              <w:rPr>
                <w:sz w:val="18"/>
              </w:rPr>
            </w:pPr>
            <w:r>
              <w:rPr>
                <w:sz w:val="18"/>
              </w:rPr>
              <w:t>июнь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F02F0000">
            <w:pPr>
              <w:widowControl w:val="1"/>
              <w:ind/>
              <w:jc w:val="center"/>
              <w:rPr>
                <w:sz w:val="18"/>
              </w:rPr>
            </w:pPr>
            <w:r>
              <w:rPr>
                <w:sz w:val="18"/>
              </w:rPr>
              <w:t>31806452674</w:t>
            </w:r>
          </w:p>
        </w:tc>
        <w:tc>
          <w:tcPr>
            <w:tcW w:type="dxa" w:w="652"/>
            <w:tcBorders>
              <w:top w:color="000000" w:sz="4" w:val="single"/>
              <w:left w:color="000000" w:sz="4" w:val="single"/>
              <w:bottom w:color="000000" w:sz="4" w:val="single"/>
              <w:right w:color="000000" w:sz="4" w:val="single"/>
            </w:tcBorders>
            <w:shd w:fill="FFFFFF" w:val="clear"/>
            <w:vAlign w:val="center"/>
          </w:tcPr>
          <w:p w14:paraId="F12F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F22F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F32F0000">
            <w:pPr>
              <w:widowControl w:val="1"/>
              <w:ind/>
              <w:jc w:val="center"/>
              <w:rPr>
                <w:sz w:val="18"/>
              </w:rPr>
            </w:pPr>
            <w:r>
              <w:rPr>
                <w:sz w:val="18"/>
              </w:rPr>
              <w:t>110315,00</w:t>
            </w:r>
          </w:p>
        </w:tc>
        <w:tc>
          <w:tcPr>
            <w:tcW w:type="dxa" w:w="1185"/>
            <w:tcBorders>
              <w:top w:color="000000" w:sz="4" w:val="single"/>
              <w:left w:color="000000" w:sz="4" w:val="single"/>
              <w:bottom w:color="000000" w:sz="4" w:val="single"/>
              <w:right w:color="000000" w:sz="4" w:val="single"/>
            </w:tcBorders>
            <w:shd w:fill="FFFFFF" w:val="clear"/>
            <w:vAlign w:val="center"/>
          </w:tcPr>
          <w:p w14:paraId="F42F0000">
            <w:pPr>
              <w:widowControl w:val="1"/>
              <w:ind/>
              <w:jc w:val="center"/>
              <w:rPr>
                <w:sz w:val="18"/>
              </w:rPr>
            </w:pPr>
            <w:r>
              <w:rPr>
                <w:sz w:val="18"/>
              </w:rPr>
              <w:t>110315,00</w:t>
            </w:r>
          </w:p>
        </w:tc>
        <w:tc>
          <w:tcPr>
            <w:tcW w:type="dxa" w:w="1083"/>
            <w:tcBorders>
              <w:top w:color="000000" w:sz="4" w:val="single"/>
              <w:left w:color="000000" w:sz="4" w:val="single"/>
              <w:bottom w:color="000000" w:sz="4" w:val="single"/>
              <w:right w:color="000000" w:sz="4" w:val="single"/>
            </w:tcBorders>
            <w:shd w:fill="FFFFFF" w:val="clear"/>
            <w:vAlign w:val="center"/>
          </w:tcPr>
          <w:p w14:paraId="F52F0000">
            <w:pPr>
              <w:widowControl w:val="1"/>
              <w:ind/>
              <w:jc w:val="center"/>
              <w:rPr>
                <w:sz w:val="18"/>
              </w:rPr>
            </w:pPr>
            <w:r>
              <w:rPr>
                <w:sz w:val="18"/>
              </w:rPr>
              <w:t>110315,00</w:t>
            </w:r>
          </w:p>
        </w:tc>
        <w:tc>
          <w:tcPr>
            <w:tcW w:type="dxa" w:w="771"/>
            <w:tcBorders>
              <w:top w:color="000000" w:sz="4" w:val="single"/>
              <w:left w:color="000000" w:sz="4" w:val="single"/>
              <w:bottom w:color="000000" w:sz="4" w:val="single"/>
              <w:right w:color="000000" w:sz="4" w:val="single"/>
            </w:tcBorders>
            <w:shd w:fill="FFFFFF" w:val="clear"/>
            <w:vAlign w:val="center"/>
          </w:tcPr>
          <w:p w14:paraId="F62F0000">
            <w:pPr>
              <w:widowControl w:val="1"/>
              <w:ind/>
              <w:jc w:val="center"/>
              <w:rPr>
                <w:sz w:val="18"/>
              </w:rPr>
            </w:pPr>
            <w:r>
              <w:rPr>
                <w:sz w:val="18"/>
              </w:rPr>
              <w:t>май 2018 г.</w:t>
            </w:r>
          </w:p>
        </w:tc>
        <w:tc>
          <w:tcPr>
            <w:tcW w:type="dxa" w:w="612"/>
            <w:tcBorders>
              <w:top w:color="000000" w:sz="4" w:val="single"/>
              <w:left w:color="000000" w:sz="4" w:val="single"/>
              <w:bottom w:color="000000" w:sz="4" w:val="single"/>
              <w:right w:color="000000" w:sz="4" w:val="single"/>
            </w:tcBorders>
            <w:shd w:fill="FFFFFF" w:val="clear"/>
            <w:vAlign w:val="center"/>
          </w:tcPr>
          <w:p w14:paraId="F72F0000">
            <w:pPr>
              <w:widowControl w:val="1"/>
              <w:ind/>
              <w:jc w:val="center"/>
              <w:rPr>
                <w:sz w:val="18"/>
              </w:rPr>
            </w:pPr>
            <w:r>
              <w:rPr>
                <w:sz w:val="18"/>
              </w:rPr>
              <w:t>июнь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F82F0000">
            <w:pPr>
              <w:widowControl w:val="1"/>
              <w:ind/>
              <w:jc w:val="center"/>
              <w:rPr>
                <w:sz w:val="18"/>
              </w:rPr>
            </w:pPr>
            <w:r>
              <w:rPr>
                <w:sz w:val="18"/>
              </w:rPr>
              <w:t>договор № С-669 от 07.05.2018</w:t>
            </w:r>
          </w:p>
        </w:tc>
      </w:tr>
      <w:tr>
        <w:trPr>
          <w:trHeight w:hRule="atLeast" w:val="1020"/>
        </w:trPr>
        <w:tc>
          <w:tcPr>
            <w:tcW w:type="dxa" w:w="708"/>
            <w:tcBorders>
              <w:top w:color="000000" w:sz="4" w:val="single"/>
              <w:left w:color="000000" w:sz="4" w:val="single"/>
              <w:bottom w:color="000000" w:sz="4" w:val="single"/>
              <w:right w:color="000000" w:sz="4" w:val="single"/>
            </w:tcBorders>
            <w:shd w:fill="FFFFFF" w:val="clear"/>
            <w:vAlign w:val="center"/>
          </w:tcPr>
          <w:p w14:paraId="F92F0000">
            <w:pPr>
              <w:widowControl w:val="1"/>
              <w:ind/>
              <w:jc w:val="center"/>
              <w:rPr>
                <w:color w:val="000000"/>
                <w:sz w:val="18"/>
              </w:rPr>
            </w:pPr>
            <w:r>
              <w:rPr>
                <w:color w:val="000000"/>
                <w:sz w:val="18"/>
              </w:rPr>
              <w:t>42</w:t>
            </w:r>
          </w:p>
        </w:tc>
        <w:tc>
          <w:tcPr>
            <w:tcW w:type="dxa" w:w="618"/>
            <w:tcBorders>
              <w:top w:color="000000" w:sz="4" w:val="single"/>
              <w:left w:color="000000" w:sz="4" w:val="single"/>
              <w:bottom w:color="000000" w:sz="4" w:val="single"/>
              <w:right w:color="000000" w:sz="4" w:val="single"/>
            </w:tcBorders>
            <w:shd w:fill="FFFFFF" w:val="clear"/>
            <w:vAlign w:val="center"/>
          </w:tcPr>
          <w:p w14:paraId="FA2F0000">
            <w:pPr>
              <w:widowControl w:val="1"/>
              <w:ind/>
              <w:jc w:val="center"/>
              <w:rPr>
                <w:color w:val="000000"/>
                <w:sz w:val="18"/>
              </w:rPr>
            </w:pPr>
            <w:r>
              <w:rPr>
                <w:color w:val="000000"/>
                <w:sz w:val="18"/>
              </w:rPr>
              <w:t>52</w:t>
            </w:r>
          </w:p>
        </w:tc>
        <w:tc>
          <w:tcPr>
            <w:tcW w:type="dxa" w:w="993"/>
            <w:tcBorders>
              <w:top w:color="000000" w:sz="4" w:val="single"/>
              <w:left w:color="000000" w:sz="4" w:val="single"/>
              <w:bottom w:color="000000" w:sz="4" w:val="single"/>
              <w:right w:color="000000" w:sz="4" w:val="single"/>
            </w:tcBorders>
            <w:shd w:fill="FFFFFF" w:val="clear"/>
            <w:vAlign w:val="center"/>
          </w:tcPr>
          <w:p w14:paraId="FB2F0000">
            <w:pPr>
              <w:widowControl w:val="1"/>
              <w:ind/>
              <w:jc w:val="center"/>
              <w:rPr>
                <w:sz w:val="18"/>
              </w:rPr>
            </w:pPr>
            <w:r>
              <w:rPr>
                <w:sz w:val="18"/>
              </w:rPr>
              <w:t>Оказание услуг оператора фискальных данных</w:t>
            </w:r>
          </w:p>
        </w:tc>
        <w:tc>
          <w:tcPr>
            <w:tcW w:type="dxa" w:w="849"/>
            <w:tcBorders>
              <w:top w:color="000000" w:sz="4" w:val="single"/>
              <w:left w:color="000000" w:sz="4" w:val="single"/>
              <w:bottom w:color="000000" w:sz="4" w:val="single"/>
              <w:right w:color="000000" w:sz="4" w:val="single"/>
            </w:tcBorders>
            <w:shd w:fill="FFFFFF" w:val="clear"/>
            <w:vAlign w:val="center"/>
          </w:tcPr>
          <w:p w14:paraId="FC2F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FD2F0000">
            <w:pPr>
              <w:widowControl w:val="1"/>
              <w:ind/>
              <w:jc w:val="center"/>
              <w:rPr>
                <w:sz w:val="18"/>
              </w:rPr>
            </w:pPr>
            <w:r>
              <w:rPr>
                <w:sz w:val="18"/>
              </w:rPr>
              <w:t>50206</w:t>
            </w:r>
          </w:p>
        </w:tc>
        <w:tc>
          <w:tcPr>
            <w:tcW w:type="dxa" w:w="991"/>
            <w:tcBorders>
              <w:top w:color="000000" w:sz="4" w:val="single"/>
              <w:left w:color="000000" w:sz="4" w:val="single"/>
              <w:bottom w:color="000000" w:sz="4" w:val="single"/>
              <w:right w:color="000000" w:sz="4" w:val="single"/>
            </w:tcBorders>
            <w:shd w:fill="FFFFFF" w:val="clear"/>
            <w:vAlign w:val="center"/>
          </w:tcPr>
          <w:p w14:paraId="FE2F0000">
            <w:pPr>
              <w:widowControl w:val="1"/>
              <w:ind/>
              <w:jc w:val="center"/>
              <w:rPr>
                <w:sz w:val="18"/>
              </w:rPr>
            </w:pPr>
            <w:r>
              <w:rPr>
                <w:sz w:val="18"/>
              </w:rPr>
              <w:t>145042,40</w:t>
            </w:r>
          </w:p>
        </w:tc>
        <w:tc>
          <w:tcPr>
            <w:tcW w:type="dxa" w:w="1134"/>
            <w:tcBorders>
              <w:top w:color="000000" w:sz="4" w:val="single"/>
              <w:left w:color="000000" w:sz="4" w:val="single"/>
              <w:bottom w:color="000000" w:sz="4" w:val="single"/>
              <w:right w:color="000000" w:sz="4" w:val="single"/>
            </w:tcBorders>
            <w:shd w:fill="FFFFFF" w:val="clear"/>
            <w:vAlign w:val="center"/>
          </w:tcPr>
          <w:p w14:paraId="FF2F0000">
            <w:pPr>
              <w:widowControl w:val="1"/>
              <w:ind/>
              <w:jc w:val="center"/>
              <w:rPr>
                <w:sz w:val="18"/>
              </w:rPr>
            </w:pPr>
            <w:r>
              <w:rPr>
                <w:sz w:val="18"/>
              </w:rPr>
              <w:t>171150,00</w:t>
            </w:r>
          </w:p>
        </w:tc>
        <w:tc>
          <w:tcPr>
            <w:tcW w:type="dxa" w:w="993"/>
            <w:tcBorders>
              <w:top w:color="000000" w:sz="4" w:val="single"/>
              <w:left w:color="000000" w:sz="4" w:val="single"/>
              <w:bottom w:color="000000" w:sz="4" w:val="single"/>
              <w:right w:color="000000" w:sz="4" w:val="single"/>
            </w:tcBorders>
            <w:shd w:fill="FFFFFF" w:val="clear"/>
            <w:vAlign w:val="center"/>
          </w:tcPr>
          <w:p w14:paraId="00300000">
            <w:pPr>
              <w:widowControl w:val="1"/>
              <w:ind/>
              <w:jc w:val="center"/>
              <w:rPr>
                <w:sz w:val="18"/>
              </w:rPr>
            </w:pPr>
            <w:r>
              <w:rPr>
                <w:sz w:val="18"/>
              </w:rPr>
              <w:t>май 2018 г.</w:t>
            </w:r>
          </w:p>
        </w:tc>
        <w:tc>
          <w:tcPr>
            <w:tcW w:type="dxa" w:w="850"/>
            <w:tcBorders>
              <w:top w:color="000000" w:sz="4" w:val="single"/>
              <w:left w:color="000000" w:sz="4" w:val="single"/>
              <w:bottom w:color="000000" w:sz="4" w:val="single"/>
              <w:right w:color="000000" w:sz="4" w:val="single"/>
            </w:tcBorders>
            <w:shd w:fill="FFFFFF" w:val="clear"/>
            <w:vAlign w:val="center"/>
          </w:tcPr>
          <w:p w14:paraId="01300000">
            <w:pPr>
              <w:widowControl w:val="1"/>
              <w:ind/>
              <w:jc w:val="center"/>
              <w:rPr>
                <w:sz w:val="18"/>
              </w:rPr>
            </w:pPr>
            <w:r>
              <w:rPr>
                <w:sz w:val="18"/>
              </w:rPr>
              <w:t>июнь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02300000">
            <w:pPr>
              <w:widowControl w:val="1"/>
              <w:ind/>
              <w:jc w:val="center"/>
              <w:rPr>
                <w:sz w:val="18"/>
              </w:rPr>
            </w:pPr>
            <w:r>
              <w:rPr>
                <w:sz w:val="18"/>
              </w:rPr>
              <w:t>31806551129</w:t>
            </w:r>
          </w:p>
        </w:tc>
        <w:tc>
          <w:tcPr>
            <w:tcW w:type="dxa" w:w="652"/>
            <w:tcBorders>
              <w:top w:color="000000" w:sz="4" w:val="single"/>
              <w:left w:color="000000" w:sz="4" w:val="single"/>
              <w:bottom w:color="000000" w:sz="4" w:val="single"/>
              <w:right w:color="000000" w:sz="4" w:val="single"/>
            </w:tcBorders>
            <w:shd w:fill="FFFFFF" w:val="clear"/>
            <w:vAlign w:val="center"/>
          </w:tcPr>
          <w:p w14:paraId="0330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04300000">
            <w:pPr>
              <w:widowControl w:val="1"/>
              <w:ind/>
              <w:jc w:val="center"/>
              <w:rPr>
                <w:sz w:val="18"/>
              </w:rPr>
            </w:pPr>
            <w:r>
              <w:rPr>
                <w:sz w:val="18"/>
              </w:rPr>
              <w:t>50206</w:t>
            </w:r>
          </w:p>
        </w:tc>
        <w:tc>
          <w:tcPr>
            <w:tcW w:type="dxa" w:w="1169"/>
            <w:tcBorders>
              <w:top w:color="000000" w:sz="4" w:val="single"/>
              <w:left w:color="000000" w:sz="4" w:val="single"/>
              <w:bottom w:color="000000" w:sz="4" w:val="single"/>
              <w:right w:color="000000" w:sz="4" w:val="single"/>
            </w:tcBorders>
            <w:shd w:fill="FFFFFF" w:val="clear"/>
            <w:vAlign w:val="center"/>
          </w:tcPr>
          <w:p w14:paraId="05300000">
            <w:pPr>
              <w:widowControl w:val="1"/>
              <w:ind/>
              <w:jc w:val="center"/>
              <w:rPr>
                <w:sz w:val="18"/>
              </w:rPr>
            </w:pPr>
            <w:r>
              <w:rPr>
                <w:sz w:val="18"/>
              </w:rPr>
              <w:t>145042,40</w:t>
            </w:r>
          </w:p>
        </w:tc>
        <w:tc>
          <w:tcPr>
            <w:tcW w:type="dxa" w:w="1185"/>
            <w:tcBorders>
              <w:top w:color="000000" w:sz="4" w:val="single"/>
              <w:left w:color="000000" w:sz="4" w:val="single"/>
              <w:bottom w:color="000000" w:sz="4" w:val="single"/>
              <w:right w:color="000000" w:sz="4" w:val="single"/>
            </w:tcBorders>
            <w:shd w:fill="FFFFFF" w:val="clear"/>
            <w:vAlign w:val="center"/>
          </w:tcPr>
          <w:p w14:paraId="06300000">
            <w:pPr>
              <w:widowControl w:val="1"/>
              <w:ind/>
              <w:jc w:val="center"/>
              <w:rPr>
                <w:sz w:val="18"/>
              </w:rPr>
            </w:pPr>
            <w:r>
              <w:rPr>
                <w:sz w:val="18"/>
              </w:rPr>
              <w:t>171150,00</w:t>
            </w:r>
          </w:p>
        </w:tc>
        <w:tc>
          <w:tcPr>
            <w:tcW w:type="dxa" w:w="1083"/>
            <w:tcBorders>
              <w:top w:color="000000" w:sz="4" w:val="single"/>
              <w:left w:color="000000" w:sz="4" w:val="single"/>
              <w:bottom w:color="000000" w:sz="4" w:val="single"/>
              <w:right w:color="000000" w:sz="4" w:val="single"/>
            </w:tcBorders>
            <w:shd w:fill="FFFFFF" w:val="clear"/>
            <w:vAlign w:val="center"/>
          </w:tcPr>
          <w:p w14:paraId="07300000">
            <w:pPr>
              <w:widowControl w:val="1"/>
              <w:ind/>
              <w:jc w:val="center"/>
              <w:rPr>
                <w:sz w:val="18"/>
              </w:rPr>
            </w:pPr>
            <w:r>
              <w:rPr>
                <w:sz w:val="18"/>
              </w:rPr>
              <w:t>171150,00</w:t>
            </w:r>
          </w:p>
        </w:tc>
        <w:tc>
          <w:tcPr>
            <w:tcW w:type="dxa" w:w="771"/>
            <w:tcBorders>
              <w:top w:color="000000" w:sz="4" w:val="single"/>
              <w:left w:color="000000" w:sz="4" w:val="single"/>
              <w:bottom w:color="000000" w:sz="4" w:val="single"/>
              <w:right w:color="000000" w:sz="4" w:val="single"/>
            </w:tcBorders>
            <w:shd w:fill="FFFFFF" w:val="clear"/>
            <w:vAlign w:val="center"/>
          </w:tcPr>
          <w:p w14:paraId="08300000">
            <w:pPr>
              <w:widowControl w:val="1"/>
              <w:ind/>
              <w:jc w:val="center"/>
              <w:rPr>
                <w:sz w:val="18"/>
              </w:rPr>
            </w:pPr>
            <w:r>
              <w:rPr>
                <w:sz w:val="18"/>
              </w:rPr>
              <w:t>май 2018 г.</w:t>
            </w:r>
          </w:p>
        </w:tc>
        <w:tc>
          <w:tcPr>
            <w:tcW w:type="dxa" w:w="612"/>
            <w:tcBorders>
              <w:top w:color="000000" w:sz="4" w:val="single"/>
              <w:left w:color="000000" w:sz="4" w:val="single"/>
              <w:bottom w:color="000000" w:sz="4" w:val="single"/>
              <w:right w:color="000000" w:sz="4" w:val="single"/>
            </w:tcBorders>
            <w:shd w:fill="FFFFFF" w:val="clear"/>
            <w:vAlign w:val="center"/>
          </w:tcPr>
          <w:p w14:paraId="09300000">
            <w:pPr>
              <w:widowControl w:val="1"/>
              <w:ind/>
              <w:jc w:val="center"/>
              <w:rPr>
                <w:sz w:val="18"/>
              </w:rPr>
            </w:pPr>
            <w:r>
              <w:rPr>
                <w:sz w:val="18"/>
              </w:rPr>
              <w:t>июнь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0A300000">
            <w:pPr>
              <w:widowControl w:val="1"/>
              <w:ind/>
              <w:jc w:val="center"/>
              <w:rPr>
                <w:sz w:val="18"/>
              </w:rPr>
            </w:pPr>
            <w:r>
              <w:rPr>
                <w:sz w:val="18"/>
              </w:rPr>
              <w:t>договор № 73 от 31.05.2018</w:t>
            </w:r>
          </w:p>
        </w:tc>
      </w:tr>
      <w:tr>
        <w:trPr>
          <w:trHeight w:hRule="atLeast" w:val="1065"/>
        </w:trPr>
        <w:tc>
          <w:tcPr>
            <w:tcW w:type="dxa" w:w="708"/>
            <w:tcBorders>
              <w:top w:color="000000" w:sz="4" w:val="single"/>
              <w:left w:color="000000" w:sz="4" w:val="single"/>
              <w:bottom w:color="000000" w:sz="4" w:val="single"/>
              <w:right w:color="000000" w:sz="4" w:val="single"/>
            </w:tcBorders>
            <w:shd w:fill="FFFFFF" w:val="clear"/>
            <w:vAlign w:val="center"/>
          </w:tcPr>
          <w:p w14:paraId="0B300000">
            <w:pPr>
              <w:widowControl w:val="1"/>
              <w:ind/>
              <w:jc w:val="center"/>
              <w:rPr>
                <w:color w:val="000000"/>
                <w:sz w:val="18"/>
              </w:rPr>
            </w:pPr>
            <w:r>
              <w:rPr>
                <w:color w:val="000000"/>
                <w:sz w:val="18"/>
              </w:rPr>
              <w:t>43</w:t>
            </w:r>
          </w:p>
        </w:tc>
        <w:tc>
          <w:tcPr>
            <w:tcW w:type="dxa" w:w="618"/>
            <w:tcBorders>
              <w:top w:color="000000" w:sz="4" w:val="single"/>
              <w:left w:color="000000" w:sz="4" w:val="single"/>
              <w:bottom w:color="000000" w:sz="4" w:val="single"/>
              <w:right w:color="000000" w:sz="4" w:val="single"/>
            </w:tcBorders>
            <w:shd w:fill="FFFFFF" w:val="clear"/>
            <w:vAlign w:val="center"/>
          </w:tcPr>
          <w:p w14:paraId="0C300000">
            <w:pPr>
              <w:widowControl w:val="1"/>
              <w:ind/>
              <w:jc w:val="center"/>
              <w:rPr>
                <w:color w:val="000000"/>
                <w:sz w:val="18"/>
              </w:rPr>
            </w:pPr>
            <w:r>
              <w:rPr>
                <w:color w:val="000000"/>
                <w:sz w:val="18"/>
              </w:rPr>
              <w:t>53</w:t>
            </w:r>
          </w:p>
        </w:tc>
        <w:tc>
          <w:tcPr>
            <w:tcW w:type="dxa" w:w="993"/>
            <w:tcBorders>
              <w:top w:color="000000" w:sz="4" w:val="single"/>
              <w:left w:color="000000" w:sz="4" w:val="single"/>
              <w:bottom w:color="000000" w:sz="4" w:val="single"/>
              <w:right w:color="000000" w:sz="4" w:val="single"/>
            </w:tcBorders>
            <w:shd w:fill="FFFFFF" w:val="clear"/>
            <w:vAlign w:val="center"/>
          </w:tcPr>
          <w:p w14:paraId="0D300000">
            <w:pPr>
              <w:widowControl w:val="1"/>
              <w:ind/>
              <w:jc w:val="center"/>
              <w:rPr>
                <w:sz w:val="18"/>
              </w:rPr>
            </w:pPr>
            <w:r>
              <w:rPr>
                <w:sz w:val="18"/>
              </w:rPr>
              <w:t>Оказание услуг аренды нежилых помещений для размещения офиса компании</w:t>
            </w:r>
          </w:p>
        </w:tc>
        <w:tc>
          <w:tcPr>
            <w:tcW w:type="dxa" w:w="849"/>
            <w:tcBorders>
              <w:top w:color="000000" w:sz="4" w:val="single"/>
              <w:left w:color="000000" w:sz="4" w:val="single"/>
              <w:bottom w:color="000000" w:sz="4" w:val="single"/>
              <w:right w:color="000000" w:sz="4" w:val="single"/>
            </w:tcBorders>
            <w:shd w:fill="FFFFFF" w:val="clear"/>
            <w:vAlign w:val="center"/>
          </w:tcPr>
          <w:p w14:paraId="0E30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0F300000">
            <w:pPr>
              <w:widowControl w:val="1"/>
              <w:ind/>
              <w:jc w:val="center"/>
              <w:rPr>
                <w:color w:val="000000"/>
                <w:sz w:val="18"/>
              </w:rPr>
            </w:pPr>
            <w:r>
              <w:rPr>
                <w:color w:val="000000"/>
                <w:sz w:val="18"/>
              </w:rPr>
              <w:t>3</w:t>
            </w:r>
          </w:p>
        </w:tc>
        <w:tc>
          <w:tcPr>
            <w:tcW w:type="dxa" w:w="991"/>
            <w:tcBorders>
              <w:top w:color="000000" w:sz="4" w:val="single"/>
              <w:left w:color="000000" w:sz="4" w:val="single"/>
              <w:bottom w:color="000000" w:sz="4" w:val="single"/>
              <w:right w:color="000000" w:sz="4" w:val="single"/>
            </w:tcBorders>
            <w:shd w:fill="FFFFFF" w:val="clear"/>
            <w:vAlign w:val="center"/>
          </w:tcPr>
          <w:p w14:paraId="10300000">
            <w:pPr>
              <w:widowControl w:val="1"/>
              <w:ind/>
              <w:jc w:val="center"/>
              <w:rPr>
                <w:color w:val="000000"/>
                <w:sz w:val="18"/>
              </w:rPr>
            </w:pPr>
            <w:r>
              <w:rPr>
                <w:color w:val="000000"/>
                <w:sz w:val="18"/>
              </w:rPr>
              <w:t>914628,00</w:t>
            </w:r>
          </w:p>
        </w:tc>
        <w:tc>
          <w:tcPr>
            <w:tcW w:type="dxa" w:w="1134"/>
            <w:tcBorders>
              <w:top w:color="000000" w:sz="4" w:val="single"/>
              <w:left w:color="000000" w:sz="4" w:val="single"/>
              <w:bottom w:color="000000" w:sz="4" w:val="single"/>
              <w:right w:color="000000" w:sz="4" w:val="single"/>
            </w:tcBorders>
            <w:shd w:fill="FFFFFF" w:val="clear"/>
            <w:vAlign w:val="center"/>
          </w:tcPr>
          <w:p w14:paraId="11300000">
            <w:pPr>
              <w:widowControl w:val="1"/>
              <w:ind/>
              <w:jc w:val="center"/>
              <w:rPr>
                <w:color w:val="000000"/>
                <w:sz w:val="18"/>
              </w:rPr>
            </w:pPr>
            <w:r>
              <w:rPr>
                <w:color w:val="000000"/>
                <w:sz w:val="18"/>
              </w:rPr>
              <w:t>914628,00</w:t>
            </w:r>
          </w:p>
        </w:tc>
        <w:tc>
          <w:tcPr>
            <w:tcW w:type="dxa" w:w="993"/>
            <w:tcBorders>
              <w:top w:color="000000" w:sz="4" w:val="single"/>
              <w:left w:color="000000" w:sz="4" w:val="single"/>
              <w:bottom w:color="000000" w:sz="4" w:val="single"/>
              <w:right w:color="000000" w:sz="4" w:val="single"/>
            </w:tcBorders>
            <w:shd w:fill="FFFFFF" w:val="clear"/>
            <w:vAlign w:val="center"/>
          </w:tcPr>
          <w:p w14:paraId="12300000">
            <w:pPr>
              <w:widowControl w:val="1"/>
              <w:ind/>
              <w:jc w:val="center"/>
              <w:rPr>
                <w:color w:val="000000"/>
                <w:sz w:val="18"/>
              </w:rPr>
            </w:pPr>
            <w:r>
              <w:rPr>
                <w:color w:val="000000"/>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13300000">
            <w:pPr>
              <w:widowControl w:val="1"/>
              <w:ind/>
              <w:jc w:val="center"/>
              <w:rPr>
                <w:color w:val="000000"/>
                <w:sz w:val="18"/>
              </w:rPr>
            </w:pPr>
            <w:r>
              <w:rPr>
                <w:color w:val="000000"/>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14300000">
            <w:pPr>
              <w:widowControl w:val="1"/>
              <w:ind/>
              <w:jc w:val="center"/>
              <w:rPr>
                <w:sz w:val="18"/>
              </w:rPr>
            </w:pPr>
            <w:r>
              <w:rPr>
                <w:sz w:val="18"/>
              </w:rPr>
              <w:t>31806564459</w:t>
            </w:r>
          </w:p>
        </w:tc>
        <w:tc>
          <w:tcPr>
            <w:tcW w:type="dxa" w:w="652"/>
            <w:tcBorders>
              <w:top w:color="000000" w:sz="4" w:val="single"/>
              <w:left w:color="000000" w:sz="4" w:val="single"/>
              <w:bottom w:color="000000" w:sz="4" w:val="single"/>
              <w:right w:color="000000" w:sz="4" w:val="single"/>
            </w:tcBorders>
            <w:shd w:fill="FFFFFF" w:val="clear"/>
            <w:vAlign w:val="center"/>
          </w:tcPr>
          <w:p w14:paraId="1530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16300000">
            <w:pPr>
              <w:widowControl w:val="1"/>
              <w:ind/>
              <w:jc w:val="center"/>
              <w:rPr>
                <w:color w:val="000000"/>
                <w:sz w:val="18"/>
              </w:rPr>
            </w:pPr>
            <w:r>
              <w:rPr>
                <w:color w:val="000000"/>
                <w:sz w:val="18"/>
              </w:rPr>
              <w:t>3</w:t>
            </w:r>
          </w:p>
        </w:tc>
        <w:tc>
          <w:tcPr>
            <w:tcW w:type="dxa" w:w="1169"/>
            <w:tcBorders>
              <w:top w:color="000000" w:sz="4" w:val="single"/>
              <w:left w:color="000000" w:sz="4" w:val="single"/>
              <w:bottom w:color="000000" w:sz="4" w:val="single"/>
              <w:right w:color="000000" w:sz="4" w:val="single"/>
            </w:tcBorders>
            <w:shd w:fill="FFFFFF" w:val="clear"/>
            <w:vAlign w:val="center"/>
          </w:tcPr>
          <w:p w14:paraId="17300000">
            <w:pPr>
              <w:widowControl w:val="1"/>
              <w:ind/>
              <w:jc w:val="center"/>
              <w:rPr>
                <w:sz w:val="18"/>
              </w:rPr>
            </w:pPr>
            <w:r>
              <w:rPr>
                <w:sz w:val="18"/>
              </w:rPr>
              <w:t>914628,00</w:t>
            </w:r>
          </w:p>
        </w:tc>
        <w:tc>
          <w:tcPr>
            <w:tcW w:type="dxa" w:w="1185"/>
            <w:tcBorders>
              <w:top w:color="000000" w:sz="4" w:val="single"/>
              <w:left w:color="000000" w:sz="4" w:val="single"/>
              <w:bottom w:color="000000" w:sz="4" w:val="single"/>
              <w:right w:color="000000" w:sz="4" w:val="single"/>
            </w:tcBorders>
            <w:shd w:fill="FFFFFF" w:val="clear"/>
            <w:vAlign w:val="center"/>
          </w:tcPr>
          <w:p w14:paraId="18300000">
            <w:pPr>
              <w:widowControl w:val="1"/>
              <w:ind/>
              <w:jc w:val="center"/>
              <w:rPr>
                <w:sz w:val="18"/>
              </w:rPr>
            </w:pPr>
            <w:r>
              <w:rPr>
                <w:sz w:val="18"/>
              </w:rPr>
              <w:t>914628,00</w:t>
            </w:r>
          </w:p>
        </w:tc>
        <w:tc>
          <w:tcPr>
            <w:tcW w:type="dxa" w:w="1083"/>
            <w:tcBorders>
              <w:top w:color="000000" w:sz="4" w:val="single"/>
              <w:left w:color="000000" w:sz="4" w:val="single"/>
              <w:bottom w:color="000000" w:sz="4" w:val="single"/>
              <w:right w:color="000000" w:sz="4" w:val="single"/>
            </w:tcBorders>
            <w:shd w:fill="FFFFFF" w:val="clear"/>
            <w:vAlign w:val="center"/>
          </w:tcPr>
          <w:p w14:paraId="19300000">
            <w:pPr>
              <w:widowControl w:val="1"/>
              <w:ind/>
              <w:jc w:val="center"/>
              <w:rPr>
                <w:sz w:val="18"/>
              </w:rPr>
            </w:pPr>
            <w:r>
              <w:rPr>
                <w:sz w:val="18"/>
              </w:rPr>
              <w:t>914628,00</w:t>
            </w:r>
          </w:p>
        </w:tc>
        <w:tc>
          <w:tcPr>
            <w:tcW w:type="dxa" w:w="771"/>
            <w:tcBorders>
              <w:top w:color="000000" w:sz="4" w:val="single"/>
              <w:left w:color="000000" w:sz="4" w:val="single"/>
              <w:bottom w:color="000000" w:sz="4" w:val="single"/>
              <w:right w:color="000000" w:sz="4" w:val="single"/>
            </w:tcBorders>
            <w:shd w:fill="FFFFFF" w:val="clear"/>
            <w:vAlign w:val="center"/>
          </w:tcPr>
          <w:p w14:paraId="1A300000">
            <w:pPr>
              <w:widowControl w:val="1"/>
              <w:ind/>
              <w:jc w:val="center"/>
              <w:rPr>
                <w:color w:val="000000"/>
                <w:sz w:val="18"/>
              </w:rPr>
            </w:pPr>
            <w:r>
              <w:rPr>
                <w:color w:val="000000"/>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1B300000">
            <w:pPr>
              <w:widowControl w:val="1"/>
              <w:ind/>
              <w:jc w:val="center"/>
              <w:rPr>
                <w:color w:val="000000"/>
                <w:sz w:val="18"/>
              </w:rPr>
            </w:pPr>
            <w:r>
              <w:rPr>
                <w:color w:val="000000"/>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1C300000">
            <w:pPr>
              <w:widowControl w:val="1"/>
              <w:ind/>
              <w:jc w:val="center"/>
              <w:rPr>
                <w:sz w:val="18"/>
              </w:rPr>
            </w:pPr>
            <w:r>
              <w:rPr>
                <w:sz w:val="18"/>
              </w:rPr>
              <w:t>договор № 78 от 04.06.2018</w:t>
            </w:r>
          </w:p>
        </w:tc>
      </w:tr>
      <w:tr>
        <w:trPr>
          <w:trHeight w:hRule="atLeast" w:val="1485"/>
        </w:trPr>
        <w:tc>
          <w:tcPr>
            <w:tcW w:type="dxa" w:w="708"/>
            <w:tcBorders>
              <w:top w:color="000000" w:sz="4" w:val="single"/>
              <w:left w:color="000000" w:sz="4" w:val="single"/>
              <w:bottom w:color="000000" w:sz="4" w:val="single"/>
              <w:right w:color="000000" w:sz="4" w:val="single"/>
            </w:tcBorders>
            <w:shd w:fill="FFFFFF" w:val="clear"/>
            <w:vAlign w:val="center"/>
          </w:tcPr>
          <w:p w14:paraId="1D300000">
            <w:pPr>
              <w:widowControl w:val="1"/>
              <w:ind/>
              <w:jc w:val="center"/>
              <w:rPr>
                <w:color w:val="000000"/>
                <w:sz w:val="18"/>
              </w:rPr>
            </w:pPr>
            <w:r>
              <w:rPr>
                <w:color w:val="000000"/>
                <w:sz w:val="18"/>
              </w:rPr>
              <w:t>44</w:t>
            </w:r>
          </w:p>
        </w:tc>
        <w:tc>
          <w:tcPr>
            <w:tcW w:type="dxa" w:w="618"/>
            <w:tcBorders>
              <w:top w:color="000000" w:sz="4" w:val="single"/>
              <w:left w:color="000000" w:sz="4" w:val="single"/>
              <w:bottom w:color="000000" w:sz="4" w:val="single"/>
              <w:right w:color="000000" w:sz="4" w:val="single"/>
            </w:tcBorders>
            <w:shd w:fill="FFFFFF" w:val="clear"/>
            <w:vAlign w:val="center"/>
          </w:tcPr>
          <w:p w14:paraId="1E300000">
            <w:pPr>
              <w:widowControl w:val="1"/>
              <w:ind/>
              <w:jc w:val="center"/>
              <w:rPr>
                <w:sz w:val="18"/>
              </w:rPr>
            </w:pPr>
            <w:r>
              <w:rPr>
                <w:sz w:val="18"/>
              </w:rPr>
              <w:t>55</w:t>
            </w:r>
          </w:p>
        </w:tc>
        <w:tc>
          <w:tcPr>
            <w:tcW w:type="dxa" w:w="993"/>
            <w:tcBorders>
              <w:top w:color="000000" w:sz="4" w:val="single"/>
              <w:left w:color="000000" w:sz="4" w:val="single"/>
              <w:bottom w:color="000000" w:sz="4" w:val="single"/>
              <w:right w:color="000000" w:sz="4" w:val="single"/>
            </w:tcBorders>
            <w:shd w:fill="FFFFFF" w:val="clear"/>
            <w:vAlign w:val="center"/>
          </w:tcPr>
          <w:p w14:paraId="1F300000">
            <w:pPr>
              <w:widowControl w:val="1"/>
              <w:ind/>
              <w:jc w:val="center"/>
              <w:rPr>
                <w:sz w:val="18"/>
              </w:rPr>
            </w:pPr>
            <w:r>
              <w:rPr>
                <w:sz w:val="18"/>
              </w:rPr>
              <w:t>Поставка нефтепродуктов (АИ-92)</w:t>
            </w:r>
          </w:p>
        </w:tc>
        <w:tc>
          <w:tcPr>
            <w:tcW w:type="dxa" w:w="849"/>
            <w:tcBorders>
              <w:top w:color="000000" w:sz="4" w:val="single"/>
              <w:left w:color="000000" w:sz="4" w:val="single"/>
              <w:bottom w:color="000000" w:sz="4" w:val="single"/>
              <w:right w:color="000000" w:sz="4" w:val="single"/>
            </w:tcBorders>
            <w:shd w:fill="FFFFFF" w:val="clear"/>
            <w:vAlign w:val="center"/>
          </w:tcPr>
          <w:p w14:paraId="20300000">
            <w:pPr>
              <w:widowControl w:val="1"/>
              <w:ind/>
              <w:jc w:val="center"/>
              <w:rPr>
                <w:sz w:val="18"/>
              </w:rPr>
            </w:pPr>
            <w:r>
              <w:rPr>
                <w:sz w:val="18"/>
              </w:rPr>
              <w:t>ЗКТ</w:t>
            </w:r>
          </w:p>
        </w:tc>
        <w:tc>
          <w:tcPr>
            <w:tcW w:type="dxa" w:w="709"/>
            <w:tcBorders>
              <w:top w:color="000000" w:sz="4" w:val="single"/>
              <w:left w:color="000000" w:sz="4" w:val="single"/>
              <w:bottom w:color="000000" w:sz="4" w:val="single"/>
              <w:right w:color="000000" w:sz="4" w:val="single"/>
            </w:tcBorders>
            <w:shd w:fill="FFFFFF" w:val="clear"/>
            <w:vAlign w:val="center"/>
          </w:tcPr>
          <w:p w14:paraId="21300000">
            <w:pPr>
              <w:widowControl w:val="1"/>
              <w:ind/>
              <w:jc w:val="center"/>
              <w:rPr>
                <w:sz w:val="18"/>
              </w:rPr>
            </w:pPr>
            <w:r>
              <w:rPr>
                <w:sz w:val="18"/>
              </w:rPr>
              <w:t>13000</w:t>
            </w:r>
          </w:p>
        </w:tc>
        <w:tc>
          <w:tcPr>
            <w:tcW w:type="dxa" w:w="991"/>
            <w:tcBorders>
              <w:top w:color="000000" w:sz="4" w:val="single"/>
              <w:left w:color="000000" w:sz="4" w:val="single"/>
              <w:bottom w:color="000000" w:sz="4" w:val="single"/>
              <w:right w:color="000000" w:sz="4" w:val="single"/>
            </w:tcBorders>
            <w:shd w:fill="FFFFFF" w:val="clear"/>
            <w:vAlign w:val="center"/>
          </w:tcPr>
          <w:p w14:paraId="22300000">
            <w:pPr>
              <w:widowControl w:val="1"/>
              <w:ind/>
              <w:jc w:val="center"/>
              <w:rPr>
                <w:sz w:val="18"/>
              </w:rPr>
            </w:pPr>
            <w:r>
              <w:rPr>
                <w:sz w:val="18"/>
              </w:rPr>
              <w:t>506779,66</w:t>
            </w:r>
          </w:p>
        </w:tc>
        <w:tc>
          <w:tcPr>
            <w:tcW w:type="dxa" w:w="1134"/>
            <w:tcBorders>
              <w:top w:color="000000" w:sz="4" w:val="single"/>
              <w:left w:color="000000" w:sz="4" w:val="single"/>
              <w:bottom w:color="000000" w:sz="4" w:val="single"/>
              <w:right w:color="000000" w:sz="4" w:val="single"/>
            </w:tcBorders>
            <w:shd w:fill="FFFFFF" w:val="clear"/>
            <w:vAlign w:val="center"/>
          </w:tcPr>
          <w:p w14:paraId="23300000">
            <w:pPr>
              <w:widowControl w:val="1"/>
              <w:ind/>
              <w:jc w:val="center"/>
              <w:rPr>
                <w:sz w:val="18"/>
              </w:rPr>
            </w:pPr>
            <w:r>
              <w:rPr>
                <w:sz w:val="18"/>
              </w:rPr>
              <w:t>598000,00</w:t>
            </w:r>
          </w:p>
        </w:tc>
        <w:tc>
          <w:tcPr>
            <w:tcW w:type="dxa" w:w="993"/>
            <w:tcBorders>
              <w:top w:color="000000" w:sz="4" w:val="single"/>
              <w:left w:color="000000" w:sz="4" w:val="single"/>
              <w:bottom w:color="000000" w:sz="4" w:val="single"/>
              <w:right w:color="000000" w:sz="4" w:val="single"/>
            </w:tcBorders>
            <w:shd w:fill="FFFFFF" w:val="clear"/>
            <w:vAlign w:val="center"/>
          </w:tcPr>
          <w:p w14:paraId="2430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25300000">
            <w:pPr>
              <w:widowControl w:val="1"/>
              <w:ind/>
              <w:jc w:val="center"/>
              <w:rPr>
                <w:sz w:val="18"/>
              </w:rPr>
            </w:pPr>
            <w:r>
              <w:rPr>
                <w:sz w:val="18"/>
              </w:rPr>
              <w:t>август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26300000">
            <w:pPr>
              <w:widowControl w:val="1"/>
              <w:ind/>
              <w:jc w:val="center"/>
              <w:rPr>
                <w:sz w:val="18"/>
              </w:rPr>
            </w:pPr>
            <w:r>
              <w:rPr>
                <w:sz w:val="18"/>
              </w:rPr>
              <w:t>31806966559</w:t>
            </w:r>
          </w:p>
        </w:tc>
        <w:tc>
          <w:tcPr>
            <w:tcW w:type="dxa" w:w="652"/>
            <w:tcBorders>
              <w:top w:color="000000" w:sz="4" w:val="single"/>
              <w:left w:color="000000" w:sz="4" w:val="single"/>
              <w:bottom w:color="000000" w:sz="4" w:val="single"/>
              <w:right w:color="000000" w:sz="4" w:val="single"/>
            </w:tcBorders>
            <w:shd w:fill="FFFFFF" w:val="clear"/>
            <w:vAlign w:val="center"/>
          </w:tcPr>
          <w:p w14:paraId="27300000">
            <w:pPr>
              <w:widowControl w:val="1"/>
              <w:ind/>
              <w:jc w:val="center"/>
              <w:rPr>
                <w:sz w:val="18"/>
              </w:rPr>
            </w:pPr>
            <w:r>
              <w:rPr>
                <w:sz w:val="18"/>
              </w:rPr>
              <w:t>ЗКТ</w:t>
            </w:r>
          </w:p>
        </w:tc>
        <w:tc>
          <w:tcPr>
            <w:tcW w:type="dxa" w:w="992"/>
            <w:tcBorders>
              <w:top w:color="000000" w:sz="4" w:val="single"/>
              <w:left w:color="000000" w:sz="4" w:val="single"/>
              <w:bottom w:color="000000" w:sz="4" w:val="single"/>
              <w:right w:color="000000" w:sz="4" w:val="single"/>
            </w:tcBorders>
            <w:shd w:fill="FFFFFF" w:val="clear"/>
            <w:vAlign w:val="center"/>
          </w:tcPr>
          <w:p w14:paraId="28300000">
            <w:pPr>
              <w:widowControl w:val="1"/>
              <w:ind/>
              <w:jc w:val="center"/>
              <w:rPr>
                <w:sz w:val="18"/>
              </w:rPr>
            </w:pPr>
            <w:r>
              <w:rPr>
                <w:sz w:val="18"/>
              </w:rPr>
              <w:t>13000</w:t>
            </w:r>
          </w:p>
        </w:tc>
        <w:tc>
          <w:tcPr>
            <w:tcW w:type="dxa" w:w="1169"/>
            <w:tcBorders>
              <w:top w:color="000000" w:sz="4" w:val="single"/>
              <w:left w:color="000000" w:sz="4" w:val="single"/>
              <w:bottom w:color="000000" w:sz="4" w:val="single"/>
              <w:right w:color="000000" w:sz="4" w:val="single"/>
            </w:tcBorders>
            <w:shd w:fill="FFFFFF" w:val="clear"/>
            <w:vAlign w:val="center"/>
          </w:tcPr>
          <w:p w14:paraId="29300000">
            <w:pPr>
              <w:widowControl w:val="1"/>
              <w:ind/>
              <w:jc w:val="center"/>
              <w:rPr>
                <w:sz w:val="18"/>
              </w:rPr>
            </w:pPr>
            <w:r>
              <w:rPr>
                <w:sz w:val="18"/>
              </w:rPr>
              <w:t>506740,00</w:t>
            </w:r>
          </w:p>
        </w:tc>
        <w:tc>
          <w:tcPr>
            <w:tcW w:type="dxa" w:w="1185"/>
            <w:tcBorders>
              <w:top w:color="000000" w:sz="4" w:val="single"/>
              <w:left w:color="000000" w:sz="4" w:val="single"/>
              <w:bottom w:color="000000" w:sz="4" w:val="single"/>
              <w:right w:color="000000" w:sz="4" w:val="single"/>
            </w:tcBorders>
            <w:shd w:fill="FFFFFF" w:val="clear"/>
            <w:vAlign w:val="center"/>
          </w:tcPr>
          <w:p w14:paraId="2A300000">
            <w:pPr>
              <w:widowControl w:val="1"/>
              <w:ind/>
              <w:jc w:val="center"/>
              <w:rPr>
                <w:sz w:val="18"/>
              </w:rPr>
            </w:pPr>
            <w:r>
              <w:rPr>
                <w:sz w:val="18"/>
              </w:rPr>
              <w:t>597953,00</w:t>
            </w:r>
          </w:p>
        </w:tc>
        <w:tc>
          <w:tcPr>
            <w:tcW w:type="dxa" w:w="1083"/>
            <w:tcBorders>
              <w:top w:color="000000" w:sz="4" w:val="single"/>
              <w:left w:color="000000" w:sz="4" w:val="single"/>
              <w:bottom w:color="000000" w:sz="4" w:val="single"/>
              <w:right w:color="000000" w:sz="4" w:val="single"/>
            </w:tcBorders>
            <w:shd w:fill="FFFFFF" w:val="clear"/>
            <w:vAlign w:val="center"/>
          </w:tcPr>
          <w:p w14:paraId="2B300000">
            <w:pPr>
              <w:widowControl w:val="1"/>
              <w:ind/>
              <w:jc w:val="center"/>
              <w:rPr>
                <w:sz w:val="18"/>
              </w:rPr>
            </w:pPr>
            <w:r>
              <w:rPr>
                <w:sz w:val="18"/>
              </w:rPr>
              <w:t>597953,00</w:t>
            </w:r>
          </w:p>
        </w:tc>
        <w:tc>
          <w:tcPr>
            <w:tcW w:type="dxa" w:w="771"/>
            <w:tcBorders>
              <w:top w:color="000000" w:sz="4" w:val="single"/>
              <w:left w:color="000000" w:sz="4" w:val="single"/>
              <w:bottom w:color="000000" w:sz="4" w:val="single"/>
              <w:right w:color="000000" w:sz="4" w:val="single"/>
            </w:tcBorders>
            <w:shd w:fill="FFFFFF" w:val="clear"/>
            <w:vAlign w:val="center"/>
          </w:tcPr>
          <w:p w14:paraId="2C30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2D300000">
            <w:pPr>
              <w:widowControl w:val="1"/>
              <w:ind/>
              <w:jc w:val="center"/>
              <w:rPr>
                <w:sz w:val="18"/>
              </w:rPr>
            </w:pPr>
            <w:r>
              <w:rPr>
                <w:sz w:val="18"/>
              </w:rPr>
              <w:t>август 2019 г.</w:t>
            </w:r>
          </w:p>
        </w:tc>
        <w:tc>
          <w:tcPr>
            <w:tcW w:type="dxa" w:w="709"/>
            <w:tcBorders>
              <w:top w:color="000000" w:sz="4" w:val="single"/>
              <w:left w:color="000000" w:sz="4" w:val="single"/>
              <w:bottom w:color="000000" w:sz="4" w:val="single"/>
              <w:right w:color="000000" w:sz="4" w:val="single"/>
            </w:tcBorders>
            <w:shd w:fill="auto" w:val="clear"/>
            <w:vAlign w:val="center"/>
          </w:tcPr>
          <w:p w14:paraId="2E300000">
            <w:pPr>
              <w:widowControl w:val="1"/>
              <w:ind/>
              <w:jc w:val="center"/>
              <w:rPr>
                <w:sz w:val="18"/>
              </w:rPr>
            </w:pPr>
            <w:r>
              <w:rPr>
                <w:sz w:val="18"/>
              </w:rPr>
              <w:t>договор № 252/18 от 29.10.2018</w:t>
            </w:r>
          </w:p>
        </w:tc>
      </w:tr>
      <w:tr>
        <w:trPr>
          <w:trHeight w:hRule="atLeast" w:val="1110"/>
        </w:trPr>
        <w:tc>
          <w:tcPr>
            <w:tcW w:type="dxa" w:w="708"/>
            <w:tcBorders>
              <w:top w:color="000000" w:sz="4" w:val="single"/>
              <w:left w:color="000000" w:sz="4" w:val="single"/>
              <w:bottom w:color="000000" w:sz="4" w:val="single"/>
              <w:right w:color="000000" w:sz="4" w:val="single"/>
            </w:tcBorders>
            <w:shd w:fill="FFFFFF" w:val="clear"/>
            <w:vAlign w:val="center"/>
          </w:tcPr>
          <w:p w14:paraId="2F300000">
            <w:pPr>
              <w:widowControl w:val="1"/>
              <w:ind/>
              <w:jc w:val="center"/>
              <w:rPr>
                <w:color w:val="000000"/>
                <w:sz w:val="18"/>
              </w:rPr>
            </w:pPr>
            <w:r>
              <w:rPr>
                <w:color w:val="000000"/>
                <w:sz w:val="18"/>
              </w:rPr>
              <w:t>45</w:t>
            </w:r>
          </w:p>
        </w:tc>
        <w:tc>
          <w:tcPr>
            <w:tcW w:type="dxa" w:w="618"/>
            <w:tcBorders>
              <w:top w:color="000000" w:sz="4" w:val="single"/>
              <w:left w:color="000000" w:sz="4" w:val="single"/>
              <w:bottom w:color="000000" w:sz="4" w:val="single"/>
              <w:right w:color="000000" w:sz="4" w:val="single"/>
            </w:tcBorders>
            <w:shd w:fill="FFFFFF" w:val="clear"/>
            <w:vAlign w:val="center"/>
          </w:tcPr>
          <w:p w14:paraId="30300000">
            <w:pPr>
              <w:widowControl w:val="1"/>
              <w:ind/>
              <w:jc w:val="center"/>
              <w:rPr>
                <w:color w:val="000000"/>
                <w:sz w:val="18"/>
              </w:rPr>
            </w:pPr>
            <w:r>
              <w:rPr>
                <w:color w:val="000000"/>
                <w:sz w:val="18"/>
              </w:rPr>
              <w:t>57</w:t>
            </w:r>
          </w:p>
        </w:tc>
        <w:tc>
          <w:tcPr>
            <w:tcW w:type="dxa" w:w="993"/>
            <w:tcBorders>
              <w:top w:color="000000" w:sz="4" w:val="single"/>
              <w:left w:color="000000" w:sz="4" w:val="single"/>
              <w:bottom w:color="000000" w:sz="4" w:val="single"/>
              <w:right w:color="000000" w:sz="4" w:val="single"/>
            </w:tcBorders>
            <w:shd w:fill="FFFFFF" w:val="clear"/>
            <w:vAlign w:val="center"/>
          </w:tcPr>
          <w:p w14:paraId="31300000">
            <w:pPr>
              <w:widowControl w:val="1"/>
              <w:ind/>
              <w:jc w:val="center"/>
              <w:rPr>
                <w:sz w:val="18"/>
              </w:rPr>
            </w:pPr>
            <w:r>
              <w:rPr>
                <w:sz w:val="18"/>
              </w:rPr>
              <w:t>оказание услуг аренды электропоездов</w:t>
            </w:r>
          </w:p>
        </w:tc>
        <w:tc>
          <w:tcPr>
            <w:tcW w:type="dxa" w:w="849"/>
            <w:tcBorders>
              <w:top w:color="000000" w:sz="4" w:val="single"/>
              <w:left w:color="000000" w:sz="4" w:val="single"/>
              <w:bottom w:color="000000" w:sz="4" w:val="single"/>
              <w:right w:color="000000" w:sz="4" w:val="single"/>
            </w:tcBorders>
            <w:shd w:fill="FFFFFF" w:val="clear"/>
            <w:vAlign w:val="center"/>
          </w:tcPr>
          <w:p w14:paraId="3230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3330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34300000">
            <w:pPr>
              <w:widowControl w:val="1"/>
              <w:ind/>
              <w:jc w:val="center"/>
              <w:rPr>
                <w:sz w:val="18"/>
              </w:rPr>
            </w:pPr>
            <w:r>
              <w:rPr>
                <w:sz w:val="18"/>
              </w:rPr>
              <w:t>21868000,00</w:t>
            </w:r>
          </w:p>
        </w:tc>
        <w:tc>
          <w:tcPr>
            <w:tcW w:type="dxa" w:w="1134"/>
            <w:tcBorders>
              <w:top w:color="000000" w:sz="4" w:val="single"/>
              <w:left w:color="000000" w:sz="4" w:val="single"/>
              <w:bottom w:color="000000" w:sz="4" w:val="single"/>
              <w:right w:color="000000" w:sz="4" w:val="single"/>
            </w:tcBorders>
            <w:shd w:fill="FFFFFF" w:val="clear"/>
            <w:vAlign w:val="center"/>
          </w:tcPr>
          <w:p w14:paraId="35300000">
            <w:pPr>
              <w:widowControl w:val="1"/>
              <w:ind/>
              <w:jc w:val="center"/>
              <w:rPr>
                <w:sz w:val="18"/>
              </w:rPr>
            </w:pPr>
            <w:r>
              <w:rPr>
                <w:sz w:val="18"/>
              </w:rPr>
              <w:t>25804240,00</w:t>
            </w:r>
          </w:p>
        </w:tc>
        <w:tc>
          <w:tcPr>
            <w:tcW w:type="dxa" w:w="993"/>
            <w:tcBorders>
              <w:top w:color="000000" w:sz="4" w:val="single"/>
              <w:left w:color="000000" w:sz="4" w:val="single"/>
              <w:bottom w:color="000000" w:sz="4" w:val="single"/>
              <w:right w:color="000000" w:sz="4" w:val="single"/>
            </w:tcBorders>
            <w:shd w:fill="FFFFFF" w:val="clear"/>
            <w:vAlign w:val="center"/>
          </w:tcPr>
          <w:p w14:paraId="3630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37300000">
            <w:pPr>
              <w:widowControl w:val="1"/>
              <w:ind/>
              <w:jc w:val="center"/>
              <w:rPr>
                <w:sz w:val="18"/>
              </w:rPr>
            </w:pPr>
            <w:r>
              <w:rPr>
                <w:sz w:val="18"/>
              </w:rPr>
              <w:t>июнь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3830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3930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3A30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3B300000">
            <w:pPr>
              <w:widowControl w:val="1"/>
              <w:ind/>
              <w:jc w:val="center"/>
              <w:rPr>
                <w:sz w:val="18"/>
              </w:rPr>
            </w:pPr>
            <w:r>
              <w:rPr>
                <w:sz w:val="18"/>
              </w:rPr>
              <w:t>21868000,00</w:t>
            </w:r>
          </w:p>
        </w:tc>
        <w:tc>
          <w:tcPr>
            <w:tcW w:type="dxa" w:w="1185"/>
            <w:tcBorders>
              <w:top w:color="000000" w:sz="4" w:val="single"/>
              <w:left w:color="000000" w:sz="4" w:val="single"/>
              <w:bottom w:color="000000" w:sz="4" w:val="single"/>
              <w:right w:color="000000" w:sz="4" w:val="single"/>
            </w:tcBorders>
            <w:shd w:fill="FFFFFF" w:val="clear"/>
            <w:vAlign w:val="center"/>
          </w:tcPr>
          <w:p w14:paraId="3C300000">
            <w:pPr>
              <w:widowControl w:val="1"/>
              <w:ind/>
              <w:jc w:val="center"/>
              <w:rPr>
                <w:sz w:val="18"/>
              </w:rPr>
            </w:pPr>
            <w:r>
              <w:rPr>
                <w:sz w:val="18"/>
              </w:rPr>
              <w:t>25804240,00</w:t>
            </w:r>
          </w:p>
        </w:tc>
        <w:tc>
          <w:tcPr>
            <w:tcW w:type="dxa" w:w="1083"/>
            <w:tcBorders>
              <w:top w:color="000000" w:sz="4" w:val="single"/>
              <w:left w:color="000000" w:sz="4" w:val="single"/>
              <w:bottom w:color="000000" w:sz="4" w:val="single"/>
              <w:right w:color="000000" w:sz="4" w:val="single"/>
            </w:tcBorders>
            <w:shd w:fill="FFFFFF" w:val="clear"/>
            <w:vAlign w:val="center"/>
          </w:tcPr>
          <w:p w14:paraId="3D300000">
            <w:pPr>
              <w:widowControl w:val="1"/>
              <w:ind/>
              <w:jc w:val="center"/>
              <w:rPr>
                <w:sz w:val="18"/>
              </w:rPr>
            </w:pPr>
            <w:r>
              <w:rPr>
                <w:sz w:val="18"/>
              </w:rPr>
              <w:t>25804240,00</w:t>
            </w:r>
          </w:p>
        </w:tc>
        <w:tc>
          <w:tcPr>
            <w:tcW w:type="dxa" w:w="771"/>
            <w:tcBorders>
              <w:top w:color="000000" w:sz="4" w:val="single"/>
              <w:left w:color="000000" w:sz="4" w:val="single"/>
              <w:bottom w:color="000000" w:sz="4" w:val="single"/>
              <w:right w:color="000000" w:sz="4" w:val="single"/>
            </w:tcBorders>
            <w:shd w:fill="FFFFFF" w:val="clear"/>
            <w:vAlign w:val="center"/>
          </w:tcPr>
          <w:p w14:paraId="3E30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3F300000">
            <w:pPr>
              <w:widowControl w:val="1"/>
              <w:ind/>
              <w:jc w:val="center"/>
              <w:rPr>
                <w:sz w:val="18"/>
              </w:rPr>
            </w:pPr>
            <w:r>
              <w:rPr>
                <w:sz w:val="18"/>
              </w:rPr>
              <w:t>июнь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40300000">
            <w:pPr>
              <w:widowControl w:val="1"/>
              <w:ind/>
              <w:jc w:val="center"/>
              <w:rPr>
                <w:sz w:val="18"/>
              </w:rPr>
            </w:pPr>
            <w:r>
              <w:rPr>
                <w:sz w:val="18"/>
              </w:rPr>
              <w:t>дополнительное соглашение № 5 к договору № 162 от 17.12.2014 от 29.06.2018</w:t>
            </w:r>
          </w:p>
        </w:tc>
      </w:tr>
      <w:tr>
        <w:trPr>
          <w:trHeight w:hRule="atLeast" w:val="1020"/>
        </w:trPr>
        <w:tc>
          <w:tcPr>
            <w:tcW w:type="dxa" w:w="708"/>
            <w:tcBorders>
              <w:top w:color="000000" w:sz="4" w:val="single"/>
              <w:left w:color="000000" w:sz="4" w:val="single"/>
              <w:bottom w:color="000000" w:sz="4" w:val="single"/>
              <w:right w:color="000000" w:sz="4" w:val="single"/>
            </w:tcBorders>
            <w:shd w:fill="FFFFFF" w:val="clear"/>
            <w:vAlign w:val="center"/>
          </w:tcPr>
          <w:p w14:paraId="41300000">
            <w:pPr>
              <w:widowControl w:val="1"/>
              <w:ind/>
              <w:jc w:val="center"/>
              <w:rPr>
                <w:color w:val="000000"/>
                <w:sz w:val="18"/>
              </w:rPr>
            </w:pPr>
            <w:r>
              <w:rPr>
                <w:color w:val="000000"/>
                <w:sz w:val="18"/>
              </w:rPr>
              <w:t>46</w:t>
            </w:r>
          </w:p>
        </w:tc>
        <w:tc>
          <w:tcPr>
            <w:tcW w:type="dxa" w:w="618"/>
            <w:tcBorders>
              <w:top w:color="000000" w:sz="4" w:val="single"/>
              <w:left w:color="000000" w:sz="4" w:val="single"/>
              <w:bottom w:color="000000" w:sz="4" w:val="single"/>
              <w:right w:color="000000" w:sz="4" w:val="single"/>
            </w:tcBorders>
            <w:shd w:fill="FFFFFF" w:val="clear"/>
            <w:vAlign w:val="center"/>
          </w:tcPr>
          <w:p w14:paraId="42300000">
            <w:pPr>
              <w:widowControl w:val="1"/>
              <w:ind/>
              <w:jc w:val="center"/>
              <w:rPr>
                <w:sz w:val="18"/>
              </w:rPr>
            </w:pPr>
            <w:r>
              <w:rPr>
                <w:sz w:val="18"/>
              </w:rPr>
              <w:t>58</w:t>
            </w:r>
          </w:p>
        </w:tc>
        <w:tc>
          <w:tcPr>
            <w:tcW w:type="dxa" w:w="993"/>
            <w:tcBorders>
              <w:top w:color="000000" w:sz="4" w:val="single"/>
              <w:left w:color="000000" w:sz="4" w:val="single"/>
              <w:bottom w:color="000000" w:sz="4" w:val="single"/>
              <w:right w:color="000000" w:sz="4" w:val="single"/>
            </w:tcBorders>
            <w:shd w:fill="FFFFFF" w:val="clear"/>
            <w:vAlign w:val="center"/>
          </w:tcPr>
          <w:p w14:paraId="43300000">
            <w:pPr>
              <w:widowControl w:val="1"/>
              <w:ind/>
              <w:jc w:val="center"/>
              <w:rPr>
                <w:sz w:val="18"/>
              </w:rPr>
            </w:pPr>
            <w:r>
              <w:rPr>
                <w:sz w:val="18"/>
              </w:rPr>
              <w:t>Поставка расходных материалов для оргтехники</w:t>
            </w:r>
          </w:p>
        </w:tc>
        <w:tc>
          <w:tcPr>
            <w:tcW w:type="dxa" w:w="849"/>
            <w:tcBorders>
              <w:top w:color="000000" w:sz="4" w:val="single"/>
              <w:left w:color="000000" w:sz="4" w:val="single"/>
              <w:bottom w:color="000000" w:sz="4" w:val="single"/>
              <w:right w:color="000000" w:sz="4" w:val="single"/>
            </w:tcBorders>
            <w:shd w:fill="FFFFFF" w:val="clear"/>
            <w:vAlign w:val="center"/>
          </w:tcPr>
          <w:p w14:paraId="44300000">
            <w:pPr>
              <w:widowControl w:val="1"/>
              <w:ind/>
              <w:jc w:val="center"/>
              <w:rPr>
                <w:sz w:val="18"/>
              </w:rPr>
            </w:pPr>
            <w:r>
              <w:rPr>
                <w:sz w:val="18"/>
              </w:rPr>
              <w:t>ОА</w:t>
            </w:r>
          </w:p>
        </w:tc>
        <w:tc>
          <w:tcPr>
            <w:tcW w:type="dxa" w:w="709"/>
            <w:tcBorders>
              <w:top w:color="000000" w:sz="4" w:val="single"/>
              <w:left w:color="000000" w:sz="4" w:val="single"/>
              <w:bottom w:color="000000" w:sz="4" w:val="single"/>
              <w:right w:color="000000" w:sz="4" w:val="single"/>
            </w:tcBorders>
            <w:shd w:fill="FFFFFF" w:val="clear"/>
            <w:vAlign w:val="center"/>
          </w:tcPr>
          <w:p w14:paraId="45300000">
            <w:pPr>
              <w:widowControl w:val="1"/>
              <w:ind/>
              <w:jc w:val="center"/>
              <w:rPr>
                <w:sz w:val="18"/>
              </w:rPr>
            </w:pPr>
            <w:r>
              <w:rPr>
                <w:sz w:val="18"/>
              </w:rPr>
              <w:t>114</w:t>
            </w:r>
          </w:p>
        </w:tc>
        <w:tc>
          <w:tcPr>
            <w:tcW w:type="dxa" w:w="991"/>
            <w:tcBorders>
              <w:top w:color="000000" w:sz="4" w:val="single"/>
              <w:left w:color="000000" w:sz="4" w:val="single"/>
              <w:bottom w:color="000000" w:sz="4" w:val="single"/>
              <w:right w:color="000000" w:sz="4" w:val="single"/>
            </w:tcBorders>
            <w:shd w:fill="FFFFFF" w:val="clear"/>
            <w:vAlign w:val="center"/>
          </w:tcPr>
          <w:p w14:paraId="46300000">
            <w:pPr>
              <w:widowControl w:val="1"/>
              <w:ind/>
              <w:jc w:val="center"/>
              <w:rPr>
                <w:sz w:val="18"/>
              </w:rPr>
            </w:pPr>
            <w:r>
              <w:rPr>
                <w:sz w:val="18"/>
              </w:rPr>
              <w:t>305974,00</w:t>
            </w:r>
          </w:p>
        </w:tc>
        <w:tc>
          <w:tcPr>
            <w:tcW w:type="dxa" w:w="1134"/>
            <w:tcBorders>
              <w:top w:color="000000" w:sz="4" w:val="single"/>
              <w:left w:color="000000" w:sz="4" w:val="single"/>
              <w:bottom w:color="000000" w:sz="4" w:val="single"/>
              <w:right w:color="000000" w:sz="4" w:val="single"/>
            </w:tcBorders>
            <w:shd w:fill="FFFFFF" w:val="clear"/>
            <w:vAlign w:val="center"/>
          </w:tcPr>
          <w:p w14:paraId="47300000">
            <w:pPr>
              <w:widowControl w:val="1"/>
              <w:ind/>
              <w:jc w:val="center"/>
              <w:rPr>
                <w:sz w:val="18"/>
              </w:rPr>
            </w:pPr>
            <w:r>
              <w:rPr>
                <w:sz w:val="18"/>
              </w:rPr>
              <w:t>361050,00</w:t>
            </w:r>
          </w:p>
        </w:tc>
        <w:tc>
          <w:tcPr>
            <w:tcW w:type="dxa" w:w="993"/>
            <w:tcBorders>
              <w:top w:color="000000" w:sz="4" w:val="single"/>
              <w:left w:color="000000" w:sz="4" w:val="single"/>
              <w:bottom w:color="000000" w:sz="4" w:val="single"/>
              <w:right w:color="000000" w:sz="4" w:val="single"/>
            </w:tcBorders>
            <w:shd w:fill="FFFFFF" w:val="clear"/>
            <w:vAlign w:val="center"/>
          </w:tcPr>
          <w:p w14:paraId="4830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49300000">
            <w:pPr>
              <w:widowControl w:val="1"/>
              <w:ind/>
              <w:jc w:val="center"/>
              <w:rPr>
                <w:sz w:val="18"/>
              </w:rPr>
            </w:pPr>
            <w:r>
              <w:rPr>
                <w:sz w:val="18"/>
              </w:rPr>
              <w:t>ноябрь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4A300000">
            <w:pPr>
              <w:widowControl w:val="1"/>
              <w:ind/>
              <w:jc w:val="center"/>
              <w:rPr>
                <w:sz w:val="18"/>
              </w:rPr>
            </w:pPr>
            <w:r>
              <w:rPr>
                <w:sz w:val="18"/>
              </w:rPr>
              <w:t>31806971863</w:t>
            </w:r>
          </w:p>
        </w:tc>
        <w:tc>
          <w:tcPr>
            <w:tcW w:type="dxa" w:w="652"/>
            <w:tcBorders>
              <w:top w:color="000000" w:sz="4" w:val="single"/>
              <w:left w:color="000000" w:sz="4" w:val="single"/>
              <w:bottom w:color="000000" w:sz="4" w:val="single"/>
              <w:right w:color="000000" w:sz="4" w:val="single"/>
            </w:tcBorders>
            <w:shd w:fill="FFFFFF" w:val="clear"/>
            <w:vAlign w:val="center"/>
          </w:tcPr>
          <w:p w14:paraId="4B300000">
            <w:pPr>
              <w:widowControl w:val="1"/>
              <w:ind/>
              <w:jc w:val="center"/>
              <w:rPr>
                <w:sz w:val="18"/>
              </w:rPr>
            </w:pPr>
            <w:r>
              <w:rPr>
                <w:sz w:val="18"/>
              </w:rPr>
              <w:t>ОА</w:t>
            </w:r>
          </w:p>
        </w:tc>
        <w:tc>
          <w:tcPr>
            <w:tcW w:type="dxa" w:w="992"/>
            <w:tcBorders>
              <w:top w:color="000000" w:sz="4" w:val="single"/>
              <w:left w:color="000000" w:sz="4" w:val="single"/>
              <w:bottom w:color="000000" w:sz="4" w:val="single"/>
              <w:right w:color="000000" w:sz="4" w:val="single"/>
            </w:tcBorders>
            <w:shd w:fill="FFFFFF" w:val="clear"/>
            <w:vAlign w:val="center"/>
          </w:tcPr>
          <w:p w14:paraId="4C300000">
            <w:pPr>
              <w:widowControl w:val="1"/>
              <w:ind/>
              <w:jc w:val="center"/>
              <w:rPr>
                <w:sz w:val="18"/>
              </w:rPr>
            </w:pPr>
            <w:r>
              <w:rPr>
                <w:sz w:val="18"/>
              </w:rPr>
              <w:t>114</w:t>
            </w:r>
          </w:p>
        </w:tc>
        <w:tc>
          <w:tcPr>
            <w:tcW w:type="dxa" w:w="1169"/>
            <w:tcBorders>
              <w:top w:color="000000" w:sz="4" w:val="single"/>
              <w:left w:color="000000" w:sz="4" w:val="single"/>
              <w:bottom w:color="000000" w:sz="4" w:val="single"/>
              <w:right w:color="000000" w:sz="4" w:val="single"/>
            </w:tcBorders>
            <w:shd w:fill="FFFFFF" w:val="clear"/>
            <w:vAlign w:val="center"/>
          </w:tcPr>
          <w:p w14:paraId="4D300000">
            <w:pPr>
              <w:widowControl w:val="1"/>
              <w:ind/>
              <w:jc w:val="center"/>
              <w:rPr>
                <w:color w:val="000000"/>
                <w:sz w:val="18"/>
              </w:rPr>
            </w:pPr>
            <w:r>
              <w:rPr>
                <w:color w:val="000000"/>
                <w:sz w:val="18"/>
              </w:rPr>
              <w:t>305974,14</w:t>
            </w:r>
          </w:p>
        </w:tc>
        <w:tc>
          <w:tcPr>
            <w:tcW w:type="dxa" w:w="1185"/>
            <w:tcBorders>
              <w:top w:color="000000" w:sz="4" w:val="single"/>
              <w:left w:color="000000" w:sz="4" w:val="single"/>
              <w:bottom w:color="000000" w:sz="4" w:val="single"/>
              <w:right w:color="000000" w:sz="4" w:val="single"/>
            </w:tcBorders>
            <w:shd w:fill="FFFFFF" w:val="clear"/>
            <w:vAlign w:val="center"/>
          </w:tcPr>
          <w:p w14:paraId="4E300000">
            <w:pPr>
              <w:widowControl w:val="1"/>
              <w:ind/>
              <w:jc w:val="center"/>
              <w:rPr>
                <w:color w:val="000000"/>
                <w:sz w:val="18"/>
              </w:rPr>
            </w:pPr>
            <w:r>
              <w:rPr>
                <w:color w:val="000000"/>
                <w:sz w:val="18"/>
              </w:rPr>
              <w:t>361049,49</w:t>
            </w:r>
          </w:p>
        </w:tc>
        <w:tc>
          <w:tcPr>
            <w:tcW w:type="dxa" w:w="1083"/>
            <w:tcBorders>
              <w:top w:color="000000" w:sz="4" w:val="single"/>
              <w:left w:color="000000" w:sz="4" w:val="single"/>
              <w:bottom w:color="000000" w:sz="4" w:val="single"/>
              <w:right w:color="000000" w:sz="4" w:val="single"/>
            </w:tcBorders>
            <w:shd w:fill="FFFFFF" w:val="clear"/>
            <w:vAlign w:val="center"/>
          </w:tcPr>
          <w:p w14:paraId="4F300000">
            <w:pPr>
              <w:widowControl w:val="1"/>
              <w:ind/>
              <w:jc w:val="center"/>
              <w:rPr>
                <w:sz w:val="18"/>
              </w:rPr>
            </w:pPr>
            <w:r>
              <w:rPr>
                <w:sz w:val="18"/>
              </w:rPr>
              <w:t>294254,4</w:t>
            </w:r>
          </w:p>
        </w:tc>
        <w:tc>
          <w:tcPr>
            <w:tcW w:type="dxa" w:w="771"/>
            <w:tcBorders>
              <w:top w:color="000000" w:sz="4" w:val="single"/>
              <w:left w:color="000000" w:sz="4" w:val="single"/>
              <w:bottom w:color="000000" w:sz="4" w:val="single"/>
              <w:right w:color="000000" w:sz="4" w:val="single"/>
            </w:tcBorders>
            <w:shd w:fill="FFFFFF" w:val="clear"/>
            <w:vAlign w:val="center"/>
          </w:tcPr>
          <w:p w14:paraId="5030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1300000">
            <w:pPr>
              <w:widowControl w:val="1"/>
              <w:ind/>
              <w:jc w:val="center"/>
              <w:rPr>
                <w:sz w:val="18"/>
              </w:rPr>
            </w:pPr>
            <w:r>
              <w:rPr>
                <w:sz w:val="18"/>
              </w:rPr>
              <w:t>ноябрь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52300000">
            <w:pPr>
              <w:widowControl w:val="1"/>
              <w:ind/>
              <w:jc w:val="center"/>
              <w:rPr>
                <w:sz w:val="18"/>
              </w:rPr>
            </w:pPr>
            <w:r>
              <w:rPr>
                <w:sz w:val="18"/>
              </w:rPr>
              <w:t>договор № 125 от 23.11.2018</w:t>
            </w:r>
          </w:p>
        </w:tc>
      </w:tr>
      <w:tr>
        <w:trPr>
          <w:trHeight w:hRule="atLeast" w:val="1020"/>
        </w:trPr>
        <w:tc>
          <w:tcPr>
            <w:tcW w:type="dxa" w:w="708"/>
            <w:tcBorders>
              <w:top w:color="000000" w:sz="4" w:val="single"/>
              <w:left w:color="000000" w:sz="4" w:val="single"/>
              <w:bottom w:color="000000" w:sz="4" w:val="single"/>
              <w:right w:color="000000" w:sz="4" w:val="single"/>
            </w:tcBorders>
            <w:shd w:fill="FFFFFF" w:val="clear"/>
            <w:vAlign w:val="center"/>
          </w:tcPr>
          <w:p w14:paraId="53300000">
            <w:pPr>
              <w:widowControl w:val="1"/>
              <w:ind/>
              <w:jc w:val="center"/>
              <w:rPr>
                <w:color w:val="000000"/>
                <w:sz w:val="18"/>
              </w:rPr>
            </w:pPr>
            <w:r>
              <w:rPr>
                <w:color w:val="000000"/>
                <w:sz w:val="18"/>
              </w:rPr>
              <w:t>47</w:t>
            </w:r>
          </w:p>
        </w:tc>
        <w:tc>
          <w:tcPr>
            <w:tcW w:type="dxa" w:w="618"/>
            <w:tcBorders>
              <w:top w:color="000000" w:sz="4" w:val="single"/>
              <w:left w:color="000000" w:sz="4" w:val="single"/>
              <w:bottom w:color="000000" w:sz="4" w:val="single"/>
              <w:right w:color="000000" w:sz="4" w:val="single"/>
            </w:tcBorders>
            <w:shd w:fill="FFFFFF" w:val="clear"/>
            <w:vAlign w:val="center"/>
          </w:tcPr>
          <w:p w14:paraId="54300000">
            <w:pPr>
              <w:widowControl w:val="1"/>
              <w:ind/>
              <w:jc w:val="center"/>
              <w:rPr>
                <w:color w:val="000000"/>
                <w:sz w:val="18"/>
              </w:rPr>
            </w:pPr>
            <w:r>
              <w:rPr>
                <w:color w:val="000000"/>
                <w:sz w:val="18"/>
              </w:rPr>
              <w:t>59</w:t>
            </w:r>
          </w:p>
        </w:tc>
        <w:tc>
          <w:tcPr>
            <w:tcW w:type="dxa" w:w="993"/>
            <w:tcBorders>
              <w:top w:color="000000" w:sz="4" w:val="single"/>
              <w:left w:color="000000" w:sz="4" w:val="single"/>
              <w:bottom w:color="000000" w:sz="4" w:val="single"/>
              <w:right w:color="000000" w:sz="4" w:val="single"/>
            </w:tcBorders>
            <w:shd w:fill="FFFFFF" w:val="clear"/>
            <w:vAlign w:val="center"/>
          </w:tcPr>
          <w:p w14:paraId="55300000">
            <w:pPr>
              <w:widowControl w:val="1"/>
              <w:ind/>
              <w:jc w:val="center"/>
              <w:rPr>
                <w:sz w:val="18"/>
              </w:rPr>
            </w:pPr>
            <w:r>
              <w:rPr>
                <w:sz w:val="18"/>
              </w:rPr>
              <w:t>Поставка компьютерного оборудования</w:t>
            </w:r>
          </w:p>
        </w:tc>
        <w:tc>
          <w:tcPr>
            <w:tcW w:type="dxa" w:w="849"/>
            <w:tcBorders>
              <w:top w:color="000000" w:sz="4" w:val="single"/>
              <w:left w:color="000000" w:sz="4" w:val="single"/>
              <w:bottom w:color="000000" w:sz="4" w:val="single"/>
              <w:right w:color="000000" w:sz="4" w:val="single"/>
            </w:tcBorders>
            <w:shd w:fill="FFFFFF" w:val="clear"/>
            <w:vAlign w:val="center"/>
          </w:tcPr>
          <w:p w14:paraId="56300000">
            <w:pPr>
              <w:widowControl w:val="1"/>
              <w:ind/>
              <w:jc w:val="center"/>
              <w:rPr>
                <w:sz w:val="18"/>
              </w:rPr>
            </w:pPr>
            <w:r>
              <w:rPr>
                <w:sz w:val="18"/>
              </w:rPr>
              <w:t>ОА</w:t>
            </w:r>
          </w:p>
        </w:tc>
        <w:tc>
          <w:tcPr>
            <w:tcW w:type="dxa" w:w="709"/>
            <w:tcBorders>
              <w:top w:color="000000" w:sz="4" w:val="single"/>
              <w:left w:color="000000" w:sz="4" w:val="single"/>
              <w:bottom w:color="000000" w:sz="4" w:val="single"/>
              <w:right w:color="000000" w:sz="4" w:val="single"/>
            </w:tcBorders>
            <w:shd w:fill="FFFFFF" w:val="clear"/>
            <w:vAlign w:val="center"/>
          </w:tcPr>
          <w:p w14:paraId="57300000">
            <w:pPr>
              <w:widowControl w:val="1"/>
              <w:ind/>
              <w:jc w:val="center"/>
              <w:rPr>
                <w:sz w:val="18"/>
              </w:rPr>
            </w:pPr>
            <w:r>
              <w:rPr>
                <w:sz w:val="18"/>
              </w:rPr>
              <w:t>14</w:t>
            </w:r>
          </w:p>
        </w:tc>
        <w:tc>
          <w:tcPr>
            <w:tcW w:type="dxa" w:w="991"/>
            <w:tcBorders>
              <w:top w:color="000000" w:sz="4" w:val="single"/>
              <w:left w:color="000000" w:sz="4" w:val="single"/>
              <w:bottom w:color="000000" w:sz="4" w:val="single"/>
              <w:right w:color="000000" w:sz="4" w:val="single"/>
            </w:tcBorders>
            <w:shd w:fill="FFFFFF" w:val="clear"/>
            <w:vAlign w:val="center"/>
          </w:tcPr>
          <w:p w14:paraId="58300000">
            <w:pPr>
              <w:widowControl w:val="1"/>
              <w:ind/>
              <w:jc w:val="center"/>
              <w:rPr>
                <w:sz w:val="18"/>
              </w:rPr>
            </w:pPr>
            <w:r>
              <w:rPr>
                <w:sz w:val="18"/>
              </w:rPr>
              <w:t>630000,00</w:t>
            </w:r>
          </w:p>
        </w:tc>
        <w:tc>
          <w:tcPr>
            <w:tcW w:type="dxa" w:w="1134"/>
            <w:tcBorders>
              <w:top w:color="000000" w:sz="4" w:val="single"/>
              <w:left w:color="000000" w:sz="4" w:val="single"/>
              <w:bottom w:color="000000" w:sz="4" w:val="single"/>
              <w:right w:color="000000" w:sz="4" w:val="single"/>
            </w:tcBorders>
            <w:shd w:fill="FFFFFF" w:val="clear"/>
            <w:vAlign w:val="center"/>
          </w:tcPr>
          <w:p w14:paraId="59300000">
            <w:pPr>
              <w:widowControl w:val="1"/>
              <w:ind/>
              <w:jc w:val="center"/>
              <w:rPr>
                <w:sz w:val="18"/>
              </w:rPr>
            </w:pPr>
            <w:r>
              <w:rPr>
                <w:sz w:val="18"/>
              </w:rPr>
              <w:t>743400,00</w:t>
            </w:r>
          </w:p>
        </w:tc>
        <w:tc>
          <w:tcPr>
            <w:tcW w:type="dxa" w:w="993"/>
            <w:tcBorders>
              <w:top w:color="000000" w:sz="4" w:val="single"/>
              <w:left w:color="000000" w:sz="4" w:val="single"/>
              <w:bottom w:color="000000" w:sz="4" w:val="single"/>
              <w:right w:color="000000" w:sz="4" w:val="single"/>
            </w:tcBorders>
            <w:shd w:fill="FFFFFF" w:val="clear"/>
            <w:vAlign w:val="center"/>
          </w:tcPr>
          <w:p w14:paraId="5A30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5B30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5C300000">
            <w:pPr>
              <w:widowControl w:val="1"/>
              <w:ind/>
              <w:jc w:val="center"/>
              <w:rPr>
                <w:sz w:val="18"/>
              </w:rPr>
            </w:pPr>
            <w:r>
              <w:rPr>
                <w:sz w:val="18"/>
              </w:rPr>
              <w:t>31806769637</w:t>
            </w:r>
          </w:p>
        </w:tc>
        <w:tc>
          <w:tcPr>
            <w:tcW w:type="dxa" w:w="652"/>
            <w:tcBorders>
              <w:top w:color="000000" w:sz="4" w:val="single"/>
              <w:left w:color="000000" w:sz="4" w:val="single"/>
              <w:bottom w:color="000000" w:sz="4" w:val="single"/>
              <w:right w:color="000000" w:sz="4" w:val="single"/>
            </w:tcBorders>
            <w:shd w:fill="FFFFFF" w:val="clear"/>
            <w:vAlign w:val="center"/>
          </w:tcPr>
          <w:p w14:paraId="5D300000">
            <w:pPr>
              <w:widowControl w:val="1"/>
              <w:ind/>
              <w:jc w:val="center"/>
              <w:rPr>
                <w:sz w:val="18"/>
              </w:rPr>
            </w:pPr>
            <w:r>
              <w:rPr>
                <w:sz w:val="18"/>
              </w:rPr>
              <w:t>ОА</w:t>
            </w:r>
          </w:p>
        </w:tc>
        <w:tc>
          <w:tcPr>
            <w:tcW w:type="dxa" w:w="992"/>
            <w:tcBorders>
              <w:top w:color="000000" w:sz="4" w:val="single"/>
              <w:left w:color="000000" w:sz="4" w:val="single"/>
              <w:bottom w:color="000000" w:sz="4" w:val="single"/>
              <w:right w:color="000000" w:sz="4" w:val="single"/>
            </w:tcBorders>
            <w:shd w:fill="FFFFFF" w:val="clear"/>
            <w:vAlign w:val="center"/>
          </w:tcPr>
          <w:p w14:paraId="5E300000">
            <w:pPr>
              <w:widowControl w:val="1"/>
              <w:ind/>
              <w:jc w:val="center"/>
              <w:rPr>
                <w:sz w:val="18"/>
              </w:rPr>
            </w:pPr>
            <w:r>
              <w:rPr>
                <w:sz w:val="18"/>
              </w:rPr>
              <w:t>14</w:t>
            </w:r>
          </w:p>
        </w:tc>
        <w:tc>
          <w:tcPr>
            <w:tcW w:type="dxa" w:w="1169"/>
            <w:tcBorders>
              <w:top w:color="000000" w:sz="4" w:val="single"/>
              <w:left w:color="000000" w:sz="4" w:val="single"/>
              <w:bottom w:color="000000" w:sz="4" w:val="single"/>
              <w:right w:color="000000" w:sz="4" w:val="single"/>
            </w:tcBorders>
            <w:shd w:fill="FFFFFF" w:val="clear"/>
            <w:vAlign w:val="center"/>
          </w:tcPr>
          <w:p w14:paraId="5F300000">
            <w:pPr>
              <w:widowControl w:val="1"/>
              <w:ind/>
              <w:jc w:val="center"/>
              <w:rPr>
                <w:sz w:val="18"/>
              </w:rPr>
            </w:pPr>
            <w:r>
              <w:rPr>
                <w:sz w:val="18"/>
              </w:rPr>
              <w:t>630000,00</w:t>
            </w:r>
          </w:p>
        </w:tc>
        <w:tc>
          <w:tcPr>
            <w:tcW w:type="dxa" w:w="1185"/>
            <w:tcBorders>
              <w:top w:color="000000" w:sz="4" w:val="single"/>
              <w:left w:color="000000" w:sz="4" w:val="single"/>
              <w:bottom w:color="000000" w:sz="4" w:val="single"/>
              <w:right w:color="000000" w:sz="4" w:val="single"/>
            </w:tcBorders>
            <w:shd w:fill="FFFFFF" w:val="clear"/>
            <w:vAlign w:val="center"/>
          </w:tcPr>
          <w:p w14:paraId="60300000">
            <w:pPr>
              <w:widowControl w:val="1"/>
              <w:ind/>
              <w:jc w:val="center"/>
              <w:rPr>
                <w:sz w:val="18"/>
              </w:rPr>
            </w:pPr>
            <w:r>
              <w:rPr>
                <w:sz w:val="18"/>
              </w:rPr>
              <w:t>743400,00</w:t>
            </w:r>
          </w:p>
        </w:tc>
        <w:tc>
          <w:tcPr>
            <w:tcW w:type="dxa" w:w="1083"/>
            <w:tcBorders>
              <w:top w:color="000000" w:sz="4" w:val="single"/>
              <w:left w:color="000000" w:sz="4" w:val="single"/>
              <w:bottom w:color="000000" w:sz="4" w:val="single"/>
              <w:right w:color="000000" w:sz="4" w:val="single"/>
            </w:tcBorders>
            <w:shd w:fill="auto" w:val="clear"/>
            <w:vAlign w:val="center"/>
          </w:tcPr>
          <w:p w14:paraId="61300000">
            <w:pPr>
              <w:widowControl w:val="1"/>
              <w:ind/>
              <w:jc w:val="center"/>
              <w:rPr>
                <w:sz w:val="18"/>
              </w:rPr>
            </w:pPr>
            <w:r>
              <w:rPr>
                <w:sz w:val="18"/>
              </w:rPr>
              <w:t>739683</w:t>
            </w:r>
          </w:p>
        </w:tc>
        <w:tc>
          <w:tcPr>
            <w:tcW w:type="dxa" w:w="771"/>
            <w:tcBorders>
              <w:top w:color="000000" w:sz="4" w:val="single"/>
              <w:left w:color="000000" w:sz="4" w:val="single"/>
              <w:bottom w:color="000000" w:sz="4" w:val="single"/>
              <w:right w:color="000000" w:sz="4" w:val="single"/>
            </w:tcBorders>
            <w:shd w:fill="FFFFFF" w:val="clear"/>
            <w:vAlign w:val="center"/>
          </w:tcPr>
          <w:p w14:paraId="6230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6330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auto" w:val="clear"/>
            <w:vAlign w:val="center"/>
          </w:tcPr>
          <w:p w14:paraId="64300000">
            <w:pPr>
              <w:widowControl w:val="1"/>
              <w:ind/>
              <w:jc w:val="center"/>
              <w:rPr>
                <w:sz w:val="18"/>
              </w:rPr>
            </w:pPr>
            <w:r>
              <w:rPr>
                <w:sz w:val="18"/>
              </w:rPr>
              <w:t>договор № 107 от 02.10.2018</w:t>
            </w:r>
          </w:p>
        </w:tc>
      </w:tr>
      <w:tr>
        <w:trPr>
          <w:trHeight w:hRule="atLeast" w:val="1785"/>
        </w:trPr>
        <w:tc>
          <w:tcPr>
            <w:tcW w:type="dxa" w:w="708"/>
            <w:tcBorders>
              <w:top w:color="000000" w:sz="4" w:val="single"/>
              <w:left w:color="000000" w:sz="4" w:val="single"/>
              <w:bottom w:color="000000" w:sz="4" w:val="single"/>
              <w:right w:color="000000" w:sz="4" w:val="single"/>
            </w:tcBorders>
            <w:shd w:fill="FFFFFF" w:val="clear"/>
            <w:vAlign w:val="center"/>
          </w:tcPr>
          <w:p w14:paraId="65300000">
            <w:pPr>
              <w:widowControl w:val="1"/>
              <w:ind/>
              <w:jc w:val="center"/>
              <w:rPr>
                <w:color w:val="000000"/>
                <w:sz w:val="18"/>
              </w:rPr>
            </w:pPr>
            <w:r>
              <w:rPr>
                <w:color w:val="000000"/>
                <w:sz w:val="18"/>
              </w:rPr>
              <w:t>48</w:t>
            </w:r>
          </w:p>
        </w:tc>
        <w:tc>
          <w:tcPr>
            <w:tcW w:type="dxa" w:w="618"/>
            <w:tcBorders>
              <w:top w:color="000000" w:sz="4" w:val="single"/>
              <w:left w:color="000000" w:sz="4" w:val="single"/>
              <w:bottom w:color="000000" w:sz="4" w:val="single"/>
              <w:right w:color="000000" w:sz="4" w:val="single"/>
            </w:tcBorders>
            <w:shd w:fill="FFFFFF" w:val="clear"/>
            <w:vAlign w:val="center"/>
          </w:tcPr>
          <w:p w14:paraId="66300000">
            <w:pPr>
              <w:widowControl w:val="1"/>
              <w:ind/>
              <w:jc w:val="center"/>
              <w:rPr>
                <w:color w:val="000000"/>
                <w:sz w:val="18"/>
              </w:rPr>
            </w:pPr>
            <w:r>
              <w:rPr>
                <w:color w:val="000000"/>
                <w:sz w:val="18"/>
              </w:rPr>
              <w:t>60</w:t>
            </w:r>
          </w:p>
        </w:tc>
        <w:tc>
          <w:tcPr>
            <w:tcW w:type="dxa" w:w="993"/>
            <w:tcBorders>
              <w:top w:color="000000" w:sz="4" w:val="single"/>
              <w:left w:color="000000" w:sz="4" w:val="single"/>
              <w:bottom w:color="000000" w:sz="4" w:val="single"/>
              <w:right w:color="000000" w:sz="4" w:val="single"/>
            </w:tcBorders>
            <w:shd w:fill="FFFFFF" w:val="clear"/>
            <w:vAlign w:val="center"/>
          </w:tcPr>
          <w:p w14:paraId="67300000">
            <w:pPr>
              <w:widowControl w:val="1"/>
              <w:ind/>
              <w:jc w:val="center"/>
              <w:rPr>
                <w:sz w:val="18"/>
              </w:rPr>
            </w:pPr>
            <w:r>
              <w:rPr>
                <w:sz w:val="18"/>
              </w:rPr>
              <w:t>оказание услуг по предоставлению информации о состоянии законодательства РФ</w:t>
            </w:r>
          </w:p>
        </w:tc>
        <w:tc>
          <w:tcPr>
            <w:tcW w:type="dxa" w:w="849"/>
            <w:tcBorders>
              <w:top w:color="000000" w:sz="4" w:val="single"/>
              <w:left w:color="000000" w:sz="4" w:val="single"/>
              <w:bottom w:color="000000" w:sz="4" w:val="single"/>
              <w:right w:color="000000" w:sz="4" w:val="single"/>
            </w:tcBorders>
            <w:shd w:fill="FFFFFF" w:val="clear"/>
            <w:vAlign w:val="center"/>
          </w:tcPr>
          <w:p w14:paraId="68300000">
            <w:pPr>
              <w:widowControl w:val="1"/>
              <w:ind/>
              <w:jc w:val="center"/>
              <w:rPr>
                <w:sz w:val="18"/>
              </w:rPr>
            </w:pPr>
            <w:r>
              <w:rPr>
                <w:sz w:val="18"/>
              </w:rPr>
              <w:t>ЗКТ</w:t>
            </w:r>
          </w:p>
        </w:tc>
        <w:tc>
          <w:tcPr>
            <w:tcW w:type="dxa" w:w="709"/>
            <w:tcBorders>
              <w:top w:color="000000" w:sz="4" w:val="single"/>
              <w:left w:color="000000" w:sz="4" w:val="single"/>
              <w:bottom w:color="000000" w:sz="4" w:val="single"/>
              <w:right w:color="000000" w:sz="4" w:val="single"/>
            </w:tcBorders>
            <w:shd w:fill="FFFFFF" w:val="clear"/>
            <w:vAlign w:val="center"/>
          </w:tcPr>
          <w:p w14:paraId="6930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6A300000">
            <w:pPr>
              <w:widowControl w:val="1"/>
              <w:ind/>
              <w:jc w:val="center"/>
              <w:rPr>
                <w:sz w:val="18"/>
              </w:rPr>
            </w:pPr>
            <w:r>
              <w:rPr>
                <w:sz w:val="18"/>
              </w:rPr>
              <w:t>144068,00</w:t>
            </w:r>
          </w:p>
        </w:tc>
        <w:tc>
          <w:tcPr>
            <w:tcW w:type="dxa" w:w="1134"/>
            <w:tcBorders>
              <w:top w:color="000000" w:sz="4" w:val="single"/>
              <w:left w:color="000000" w:sz="4" w:val="single"/>
              <w:bottom w:color="000000" w:sz="4" w:val="single"/>
              <w:right w:color="000000" w:sz="4" w:val="single"/>
            </w:tcBorders>
            <w:shd w:fill="FFFFFF" w:val="clear"/>
            <w:vAlign w:val="center"/>
          </w:tcPr>
          <w:p w14:paraId="6B300000">
            <w:pPr>
              <w:widowControl w:val="1"/>
              <w:ind/>
              <w:jc w:val="center"/>
              <w:rPr>
                <w:sz w:val="18"/>
              </w:rPr>
            </w:pPr>
            <w:r>
              <w:rPr>
                <w:sz w:val="18"/>
              </w:rPr>
              <w:t>170000,00</w:t>
            </w:r>
          </w:p>
        </w:tc>
        <w:tc>
          <w:tcPr>
            <w:tcW w:type="dxa" w:w="993"/>
            <w:tcBorders>
              <w:top w:color="000000" w:sz="4" w:val="single"/>
              <w:left w:color="000000" w:sz="4" w:val="single"/>
              <w:bottom w:color="000000" w:sz="4" w:val="single"/>
              <w:right w:color="000000" w:sz="4" w:val="single"/>
            </w:tcBorders>
            <w:shd w:fill="FFFFFF" w:val="clear"/>
            <w:vAlign w:val="center"/>
          </w:tcPr>
          <w:p w14:paraId="6C300000">
            <w:pPr>
              <w:widowControl w:val="1"/>
              <w:ind/>
              <w:jc w:val="center"/>
              <w:rPr>
                <w:sz w:val="18"/>
              </w:rPr>
            </w:pPr>
            <w:r>
              <w:rPr>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6D300000">
            <w:pPr>
              <w:widowControl w:val="1"/>
              <w:ind/>
              <w:jc w:val="center"/>
              <w:rPr>
                <w:sz w:val="18"/>
              </w:rPr>
            </w:pPr>
            <w:r>
              <w:rPr>
                <w:sz w:val="18"/>
              </w:rPr>
              <w:t>сентябрь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6E300000">
            <w:pPr>
              <w:widowControl w:val="1"/>
              <w:ind/>
              <w:jc w:val="center"/>
              <w:rPr>
                <w:sz w:val="18"/>
              </w:rPr>
            </w:pPr>
            <w:r>
              <w:rPr>
                <w:sz w:val="18"/>
              </w:rPr>
              <w:t>31806866025</w:t>
            </w:r>
          </w:p>
        </w:tc>
        <w:tc>
          <w:tcPr>
            <w:tcW w:type="dxa" w:w="652"/>
            <w:tcBorders>
              <w:top w:color="000000" w:sz="4" w:val="single"/>
              <w:left w:color="000000" w:sz="4" w:val="single"/>
              <w:bottom w:color="000000" w:sz="4" w:val="single"/>
              <w:right w:color="000000" w:sz="4" w:val="single"/>
            </w:tcBorders>
            <w:shd w:fill="FFFFFF" w:val="clear"/>
            <w:vAlign w:val="center"/>
          </w:tcPr>
          <w:p w14:paraId="6F300000">
            <w:pPr>
              <w:widowControl w:val="1"/>
              <w:ind/>
              <w:jc w:val="center"/>
              <w:rPr>
                <w:sz w:val="18"/>
              </w:rPr>
            </w:pPr>
            <w:r>
              <w:rPr>
                <w:sz w:val="18"/>
              </w:rPr>
              <w:t>ЗКТ</w:t>
            </w:r>
          </w:p>
        </w:tc>
        <w:tc>
          <w:tcPr>
            <w:tcW w:type="dxa" w:w="992"/>
            <w:tcBorders>
              <w:top w:color="000000" w:sz="4" w:val="single"/>
              <w:left w:color="000000" w:sz="4" w:val="single"/>
              <w:bottom w:color="000000" w:sz="4" w:val="single"/>
              <w:right w:color="000000" w:sz="4" w:val="single"/>
            </w:tcBorders>
            <w:shd w:fill="FFFFFF" w:val="clear"/>
            <w:vAlign w:val="center"/>
          </w:tcPr>
          <w:p w14:paraId="7030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71300000">
            <w:pPr>
              <w:widowControl w:val="1"/>
              <w:ind/>
              <w:jc w:val="center"/>
              <w:rPr>
                <w:sz w:val="18"/>
              </w:rPr>
            </w:pPr>
            <w:r>
              <w:rPr>
                <w:sz w:val="18"/>
              </w:rPr>
              <w:t>144068,00</w:t>
            </w:r>
          </w:p>
        </w:tc>
        <w:tc>
          <w:tcPr>
            <w:tcW w:type="dxa" w:w="1185"/>
            <w:tcBorders>
              <w:top w:color="000000" w:sz="4" w:val="single"/>
              <w:left w:color="000000" w:sz="4" w:val="single"/>
              <w:bottom w:color="000000" w:sz="4" w:val="single"/>
              <w:right w:color="000000" w:sz="4" w:val="single"/>
            </w:tcBorders>
            <w:shd w:fill="FFFFFF" w:val="clear"/>
            <w:vAlign w:val="center"/>
          </w:tcPr>
          <w:p w14:paraId="72300000">
            <w:pPr>
              <w:widowControl w:val="1"/>
              <w:ind/>
              <w:jc w:val="center"/>
              <w:rPr>
                <w:sz w:val="18"/>
              </w:rPr>
            </w:pPr>
            <w:r>
              <w:rPr>
                <w:sz w:val="18"/>
              </w:rPr>
              <w:t>170000,24</w:t>
            </w:r>
          </w:p>
        </w:tc>
        <w:tc>
          <w:tcPr>
            <w:tcW w:type="dxa" w:w="1083"/>
            <w:tcBorders>
              <w:top w:color="000000" w:sz="4" w:val="single"/>
              <w:left w:color="000000" w:sz="4" w:val="single"/>
              <w:bottom w:color="000000" w:sz="4" w:val="single"/>
              <w:right w:color="000000" w:sz="4" w:val="single"/>
            </w:tcBorders>
            <w:shd w:fill="auto" w:val="clear"/>
            <w:vAlign w:val="center"/>
          </w:tcPr>
          <w:p w14:paraId="73300000">
            <w:pPr>
              <w:widowControl w:val="1"/>
              <w:ind/>
              <w:jc w:val="center"/>
              <w:rPr>
                <w:sz w:val="18"/>
              </w:rPr>
            </w:pPr>
            <w:r>
              <w:rPr>
                <w:sz w:val="18"/>
              </w:rPr>
              <w:t>170000,24</w:t>
            </w:r>
          </w:p>
        </w:tc>
        <w:tc>
          <w:tcPr>
            <w:tcW w:type="dxa" w:w="771"/>
            <w:tcBorders>
              <w:top w:color="000000" w:sz="4" w:val="single"/>
              <w:left w:color="000000" w:sz="4" w:val="single"/>
              <w:bottom w:color="000000" w:sz="4" w:val="single"/>
              <w:right w:color="000000" w:sz="4" w:val="single"/>
            </w:tcBorders>
            <w:shd w:fill="FFFFFF" w:val="clear"/>
            <w:vAlign w:val="center"/>
          </w:tcPr>
          <w:p w14:paraId="74300000">
            <w:pPr>
              <w:widowControl w:val="1"/>
              <w:ind/>
              <w:jc w:val="center"/>
              <w:rPr>
                <w:sz w:val="18"/>
              </w:rPr>
            </w:pPr>
            <w:r>
              <w:rPr>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75300000">
            <w:pPr>
              <w:widowControl w:val="1"/>
              <w:ind/>
              <w:jc w:val="center"/>
              <w:rPr>
                <w:sz w:val="18"/>
              </w:rPr>
            </w:pPr>
            <w:r>
              <w:rPr>
                <w:sz w:val="18"/>
              </w:rPr>
              <w:t>сентябрь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76300000">
            <w:pPr>
              <w:widowControl w:val="1"/>
              <w:ind/>
              <w:jc w:val="center"/>
              <w:rPr>
                <w:sz w:val="18"/>
              </w:rPr>
            </w:pPr>
            <w:r>
              <w:rPr>
                <w:sz w:val="18"/>
              </w:rPr>
              <w:t>договор № 104 от 01.10.2018</w:t>
            </w:r>
          </w:p>
        </w:tc>
      </w:tr>
      <w:tr>
        <w:trPr>
          <w:trHeight w:hRule="atLeast" w:val="2115"/>
        </w:trPr>
        <w:tc>
          <w:tcPr>
            <w:tcW w:type="dxa" w:w="708"/>
            <w:tcBorders>
              <w:top w:color="000000" w:sz="4" w:val="single"/>
              <w:left w:color="000000" w:sz="4" w:val="single"/>
              <w:bottom w:color="000000" w:sz="4" w:val="single"/>
              <w:right w:color="000000" w:sz="4" w:val="single"/>
            </w:tcBorders>
            <w:shd w:fill="FFFFFF" w:val="clear"/>
            <w:vAlign w:val="center"/>
          </w:tcPr>
          <w:p w14:paraId="77300000">
            <w:pPr>
              <w:widowControl w:val="1"/>
              <w:ind/>
              <w:jc w:val="center"/>
              <w:rPr>
                <w:color w:val="000000"/>
                <w:sz w:val="18"/>
              </w:rPr>
            </w:pPr>
            <w:r>
              <w:rPr>
                <w:color w:val="000000"/>
                <w:sz w:val="18"/>
              </w:rPr>
              <w:t>49</w:t>
            </w:r>
          </w:p>
        </w:tc>
        <w:tc>
          <w:tcPr>
            <w:tcW w:type="dxa" w:w="618"/>
            <w:tcBorders>
              <w:top w:color="000000" w:sz="4" w:val="single"/>
              <w:left w:color="000000" w:sz="4" w:val="single"/>
              <w:bottom w:color="000000" w:sz="4" w:val="single"/>
              <w:right w:color="000000" w:sz="4" w:val="single"/>
            </w:tcBorders>
            <w:shd w:fill="FFFFFF" w:val="clear"/>
            <w:vAlign w:val="center"/>
          </w:tcPr>
          <w:p w14:paraId="78300000">
            <w:pPr>
              <w:widowControl w:val="1"/>
              <w:ind/>
              <w:jc w:val="center"/>
              <w:rPr>
                <w:color w:val="000000"/>
                <w:sz w:val="18"/>
              </w:rPr>
            </w:pPr>
            <w:r>
              <w:rPr>
                <w:color w:val="000000"/>
                <w:sz w:val="18"/>
              </w:rPr>
              <w:t>61</w:t>
            </w:r>
          </w:p>
        </w:tc>
        <w:tc>
          <w:tcPr>
            <w:tcW w:type="dxa" w:w="993"/>
            <w:tcBorders>
              <w:top w:color="000000" w:sz="4" w:val="single"/>
              <w:left w:color="000000" w:sz="4" w:val="single"/>
              <w:bottom w:color="000000" w:sz="4" w:val="single"/>
              <w:right w:color="000000" w:sz="4" w:val="single"/>
            </w:tcBorders>
            <w:shd w:fill="FFFFFF" w:val="clear"/>
            <w:vAlign w:val="center"/>
          </w:tcPr>
          <w:p w14:paraId="79300000">
            <w:pPr>
              <w:widowControl w:val="1"/>
              <w:ind/>
              <w:jc w:val="center"/>
              <w:rPr>
                <w:sz w:val="18"/>
              </w:rPr>
            </w:pPr>
            <w:r>
              <w:rPr>
                <w:sz w:val="18"/>
              </w:rPr>
              <w:t>Поставка комплектующих и принадлежностей для компьютерного оборудования</w:t>
            </w:r>
          </w:p>
        </w:tc>
        <w:tc>
          <w:tcPr>
            <w:tcW w:type="dxa" w:w="849"/>
            <w:tcBorders>
              <w:top w:color="000000" w:sz="4" w:val="single"/>
              <w:left w:color="000000" w:sz="4" w:val="single"/>
              <w:bottom w:color="000000" w:sz="4" w:val="single"/>
              <w:right w:color="000000" w:sz="4" w:val="single"/>
            </w:tcBorders>
            <w:shd w:fill="FFFFFF" w:val="clear"/>
            <w:vAlign w:val="center"/>
          </w:tcPr>
          <w:p w14:paraId="7A300000">
            <w:pPr>
              <w:widowControl w:val="1"/>
              <w:ind/>
              <w:jc w:val="center"/>
              <w:rPr>
                <w:sz w:val="18"/>
              </w:rPr>
            </w:pPr>
            <w:r>
              <w:rPr>
                <w:sz w:val="18"/>
              </w:rPr>
              <w:t>ОА</w:t>
            </w:r>
          </w:p>
        </w:tc>
        <w:tc>
          <w:tcPr>
            <w:tcW w:type="dxa" w:w="709"/>
            <w:tcBorders>
              <w:top w:color="000000" w:sz="4" w:val="single"/>
              <w:left w:color="000000" w:sz="4" w:val="single"/>
              <w:bottom w:color="000000" w:sz="4" w:val="single"/>
              <w:right w:color="000000" w:sz="4" w:val="single"/>
            </w:tcBorders>
            <w:shd w:fill="FFFFFF" w:val="clear"/>
            <w:vAlign w:val="center"/>
          </w:tcPr>
          <w:p w14:paraId="7B300000">
            <w:pPr>
              <w:widowControl w:val="1"/>
              <w:ind/>
              <w:jc w:val="center"/>
              <w:rPr>
                <w:sz w:val="18"/>
              </w:rPr>
            </w:pPr>
            <w:r>
              <w:rPr>
                <w:sz w:val="18"/>
              </w:rPr>
              <w:t>450</w:t>
            </w:r>
          </w:p>
        </w:tc>
        <w:tc>
          <w:tcPr>
            <w:tcW w:type="dxa" w:w="991"/>
            <w:tcBorders>
              <w:top w:color="000000" w:sz="4" w:val="single"/>
              <w:left w:color="000000" w:sz="4" w:val="single"/>
              <w:bottom w:color="000000" w:sz="4" w:val="single"/>
              <w:right w:color="000000" w:sz="4" w:val="single"/>
            </w:tcBorders>
            <w:shd w:fill="FFFFFF" w:val="clear"/>
            <w:vAlign w:val="center"/>
          </w:tcPr>
          <w:p w14:paraId="7C300000">
            <w:pPr>
              <w:widowControl w:val="1"/>
              <w:ind/>
              <w:jc w:val="center"/>
              <w:rPr>
                <w:sz w:val="18"/>
              </w:rPr>
            </w:pPr>
            <w:r>
              <w:rPr>
                <w:sz w:val="18"/>
              </w:rPr>
              <w:t>575000,00</w:t>
            </w:r>
          </w:p>
        </w:tc>
        <w:tc>
          <w:tcPr>
            <w:tcW w:type="dxa" w:w="1134"/>
            <w:tcBorders>
              <w:top w:color="000000" w:sz="4" w:val="single"/>
              <w:left w:color="000000" w:sz="4" w:val="single"/>
              <w:bottom w:color="000000" w:sz="4" w:val="single"/>
              <w:right w:color="000000" w:sz="4" w:val="single"/>
            </w:tcBorders>
            <w:shd w:fill="FFFFFF" w:val="clear"/>
            <w:vAlign w:val="center"/>
          </w:tcPr>
          <w:p w14:paraId="7D300000">
            <w:pPr>
              <w:widowControl w:val="1"/>
              <w:ind/>
              <w:jc w:val="center"/>
              <w:rPr>
                <w:sz w:val="18"/>
              </w:rPr>
            </w:pPr>
            <w:r>
              <w:rPr>
                <w:sz w:val="18"/>
              </w:rPr>
              <w:t>678500,00</w:t>
            </w:r>
          </w:p>
        </w:tc>
        <w:tc>
          <w:tcPr>
            <w:tcW w:type="dxa" w:w="993"/>
            <w:tcBorders>
              <w:top w:color="000000" w:sz="4" w:val="single"/>
              <w:left w:color="000000" w:sz="4" w:val="single"/>
              <w:bottom w:color="000000" w:sz="4" w:val="single"/>
              <w:right w:color="000000" w:sz="4" w:val="single"/>
            </w:tcBorders>
            <w:shd w:fill="FFFFFF" w:val="clear"/>
            <w:vAlign w:val="center"/>
          </w:tcPr>
          <w:p w14:paraId="7E300000">
            <w:pPr>
              <w:widowControl w:val="1"/>
              <w:ind/>
              <w:jc w:val="center"/>
              <w:rPr>
                <w:sz w:val="18"/>
              </w:rPr>
            </w:pPr>
            <w:r>
              <w:rPr>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7F30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80300000">
            <w:pPr>
              <w:widowControl w:val="1"/>
              <w:ind/>
              <w:jc w:val="center"/>
              <w:rPr>
                <w:sz w:val="18"/>
              </w:rPr>
            </w:pPr>
            <w:r>
              <w:rPr>
                <w:sz w:val="18"/>
              </w:rPr>
              <w:t>31806876029</w:t>
            </w:r>
          </w:p>
        </w:tc>
        <w:tc>
          <w:tcPr>
            <w:tcW w:type="dxa" w:w="652"/>
            <w:tcBorders>
              <w:top w:color="000000" w:sz="4" w:val="single"/>
              <w:left w:color="000000" w:sz="4" w:val="single"/>
              <w:bottom w:color="000000" w:sz="4" w:val="single"/>
              <w:right w:color="000000" w:sz="4" w:val="single"/>
            </w:tcBorders>
            <w:shd w:fill="FFFFFF" w:val="clear"/>
            <w:vAlign w:val="center"/>
          </w:tcPr>
          <w:p w14:paraId="81300000">
            <w:pPr>
              <w:widowControl w:val="1"/>
              <w:ind/>
              <w:jc w:val="center"/>
              <w:rPr>
                <w:sz w:val="18"/>
              </w:rPr>
            </w:pPr>
            <w:r>
              <w:rPr>
                <w:sz w:val="18"/>
              </w:rPr>
              <w:t>ОА</w:t>
            </w:r>
          </w:p>
        </w:tc>
        <w:tc>
          <w:tcPr>
            <w:tcW w:type="dxa" w:w="992"/>
            <w:tcBorders>
              <w:top w:color="000000" w:sz="4" w:val="single"/>
              <w:left w:color="000000" w:sz="4" w:val="single"/>
              <w:bottom w:color="000000" w:sz="4" w:val="single"/>
              <w:right w:color="000000" w:sz="4" w:val="single"/>
            </w:tcBorders>
            <w:shd w:fill="FFFFFF" w:val="clear"/>
            <w:vAlign w:val="center"/>
          </w:tcPr>
          <w:p w14:paraId="82300000">
            <w:pPr>
              <w:widowControl w:val="1"/>
              <w:ind/>
              <w:jc w:val="center"/>
              <w:rPr>
                <w:sz w:val="18"/>
              </w:rPr>
            </w:pPr>
            <w:r>
              <w:rPr>
                <w:sz w:val="18"/>
              </w:rPr>
              <w:t>450</w:t>
            </w:r>
          </w:p>
        </w:tc>
        <w:tc>
          <w:tcPr>
            <w:tcW w:type="dxa" w:w="1169"/>
            <w:tcBorders>
              <w:top w:color="000000" w:sz="4" w:val="single"/>
              <w:left w:color="000000" w:sz="4" w:val="single"/>
              <w:bottom w:color="000000" w:sz="4" w:val="single"/>
              <w:right w:color="000000" w:sz="4" w:val="single"/>
            </w:tcBorders>
            <w:shd w:fill="FFFFFF" w:val="clear"/>
            <w:vAlign w:val="center"/>
          </w:tcPr>
          <w:p w14:paraId="83300000">
            <w:pPr>
              <w:widowControl w:val="1"/>
              <w:ind/>
              <w:jc w:val="center"/>
              <w:rPr>
                <w:sz w:val="18"/>
              </w:rPr>
            </w:pPr>
            <w:r>
              <w:rPr>
                <w:sz w:val="18"/>
              </w:rPr>
              <w:t>628370,31</w:t>
            </w:r>
          </w:p>
        </w:tc>
        <w:tc>
          <w:tcPr>
            <w:tcW w:type="dxa" w:w="1185"/>
            <w:tcBorders>
              <w:top w:color="000000" w:sz="4" w:val="single"/>
              <w:left w:color="000000" w:sz="4" w:val="single"/>
              <w:bottom w:color="000000" w:sz="4" w:val="single"/>
              <w:right w:color="000000" w:sz="4" w:val="single"/>
            </w:tcBorders>
            <w:shd w:fill="FFFFFF" w:val="clear"/>
            <w:vAlign w:val="center"/>
          </w:tcPr>
          <w:p w14:paraId="84300000">
            <w:pPr>
              <w:widowControl w:val="1"/>
              <w:ind/>
              <w:jc w:val="center"/>
              <w:rPr>
                <w:sz w:val="18"/>
              </w:rPr>
            </w:pPr>
            <w:r>
              <w:rPr>
                <w:sz w:val="18"/>
              </w:rPr>
              <w:t>741476,97</w:t>
            </w:r>
          </w:p>
        </w:tc>
        <w:tc>
          <w:tcPr>
            <w:tcW w:type="dxa" w:w="1083"/>
            <w:tcBorders>
              <w:top w:color="000000" w:sz="4" w:val="single"/>
              <w:left w:color="000000" w:sz="4" w:val="single"/>
              <w:bottom w:color="000000" w:sz="4" w:val="single"/>
              <w:right w:color="000000" w:sz="4" w:val="single"/>
            </w:tcBorders>
            <w:shd w:fill="FFFFFF" w:val="clear"/>
            <w:vAlign w:val="center"/>
          </w:tcPr>
          <w:p w14:paraId="85300000">
            <w:pPr>
              <w:widowControl w:val="1"/>
              <w:ind/>
              <w:jc w:val="center"/>
              <w:rPr>
                <w:sz w:val="18"/>
              </w:rPr>
            </w:pPr>
            <w:r>
              <w:rPr>
                <w:sz w:val="18"/>
              </w:rPr>
              <w:t>619133,33</w:t>
            </w:r>
          </w:p>
        </w:tc>
        <w:tc>
          <w:tcPr>
            <w:tcW w:type="dxa" w:w="771"/>
            <w:tcBorders>
              <w:top w:color="000000" w:sz="4" w:val="single"/>
              <w:left w:color="000000" w:sz="4" w:val="single"/>
              <w:bottom w:color="000000" w:sz="4" w:val="single"/>
              <w:right w:color="000000" w:sz="4" w:val="single"/>
            </w:tcBorders>
            <w:shd w:fill="FFFFFF" w:val="clear"/>
            <w:vAlign w:val="center"/>
          </w:tcPr>
          <w:p w14:paraId="86300000">
            <w:pPr>
              <w:widowControl w:val="1"/>
              <w:ind/>
              <w:jc w:val="center"/>
              <w:rPr>
                <w:sz w:val="18"/>
              </w:rPr>
            </w:pPr>
            <w:r>
              <w:rPr>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8730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88300000">
            <w:pPr>
              <w:widowControl w:val="1"/>
              <w:ind/>
              <w:jc w:val="center"/>
              <w:rPr>
                <w:sz w:val="18"/>
              </w:rPr>
            </w:pPr>
            <w:r>
              <w:rPr>
                <w:sz w:val="18"/>
              </w:rPr>
              <w:t>договор № 111 от 16.10.2018</w:t>
            </w:r>
          </w:p>
        </w:tc>
      </w:tr>
      <w:tr>
        <w:trPr>
          <w:trHeight w:hRule="atLeast" w:val="1530"/>
        </w:trPr>
        <w:tc>
          <w:tcPr>
            <w:tcW w:type="dxa" w:w="708"/>
            <w:tcBorders>
              <w:top w:color="000000" w:sz="4" w:val="single"/>
              <w:left w:color="000000" w:sz="4" w:val="single"/>
              <w:bottom w:color="000000" w:sz="4" w:val="single"/>
              <w:right w:color="000000" w:sz="4" w:val="single"/>
            </w:tcBorders>
            <w:shd w:fill="FFFFFF" w:val="clear"/>
            <w:vAlign w:val="center"/>
          </w:tcPr>
          <w:p w14:paraId="89300000">
            <w:pPr>
              <w:widowControl w:val="1"/>
              <w:ind/>
              <w:jc w:val="center"/>
              <w:rPr>
                <w:color w:val="000000"/>
                <w:sz w:val="18"/>
              </w:rPr>
            </w:pPr>
            <w:r>
              <w:rPr>
                <w:color w:val="000000"/>
                <w:sz w:val="18"/>
              </w:rPr>
              <w:t>50</w:t>
            </w:r>
          </w:p>
        </w:tc>
        <w:tc>
          <w:tcPr>
            <w:tcW w:type="dxa" w:w="618"/>
            <w:tcBorders>
              <w:top w:color="000000" w:sz="4" w:val="single"/>
              <w:left w:color="000000" w:sz="4" w:val="single"/>
              <w:bottom w:color="000000" w:sz="4" w:val="single"/>
              <w:right w:color="000000" w:sz="4" w:val="single"/>
            </w:tcBorders>
            <w:shd w:fill="FFFFFF" w:val="clear"/>
            <w:vAlign w:val="center"/>
          </w:tcPr>
          <w:p w14:paraId="8A300000">
            <w:pPr>
              <w:widowControl w:val="1"/>
              <w:ind/>
              <w:jc w:val="center"/>
              <w:rPr>
                <w:color w:val="000000"/>
                <w:sz w:val="18"/>
              </w:rPr>
            </w:pPr>
            <w:r>
              <w:rPr>
                <w:color w:val="000000"/>
                <w:sz w:val="18"/>
              </w:rPr>
              <w:t>62</w:t>
            </w:r>
          </w:p>
        </w:tc>
        <w:tc>
          <w:tcPr>
            <w:tcW w:type="dxa" w:w="993"/>
            <w:tcBorders>
              <w:top w:color="000000" w:sz="4" w:val="single"/>
              <w:left w:color="000000" w:sz="4" w:val="single"/>
              <w:bottom w:color="000000" w:sz="4" w:val="single"/>
              <w:right w:color="000000" w:sz="4" w:val="single"/>
            </w:tcBorders>
            <w:shd w:fill="FFFFFF" w:val="clear"/>
            <w:vAlign w:val="center"/>
          </w:tcPr>
          <w:p w14:paraId="8B300000">
            <w:pPr>
              <w:widowControl w:val="1"/>
              <w:ind/>
              <w:jc w:val="center"/>
              <w:rPr>
                <w:sz w:val="18"/>
              </w:rPr>
            </w:pPr>
            <w:r>
              <w:rPr>
                <w:sz w:val="18"/>
              </w:rPr>
              <w:t>Выполнение работ по доработке программного обеспечения АСУПП</w:t>
            </w:r>
          </w:p>
        </w:tc>
        <w:tc>
          <w:tcPr>
            <w:tcW w:type="dxa" w:w="849"/>
            <w:tcBorders>
              <w:top w:color="000000" w:sz="4" w:val="single"/>
              <w:left w:color="000000" w:sz="4" w:val="single"/>
              <w:bottom w:color="000000" w:sz="4" w:val="single"/>
              <w:right w:color="000000" w:sz="4" w:val="single"/>
            </w:tcBorders>
            <w:shd w:fill="FFFFFF" w:val="clear"/>
            <w:vAlign w:val="center"/>
          </w:tcPr>
          <w:p w14:paraId="8C30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8D300000">
            <w:pPr>
              <w:widowControl w:val="1"/>
              <w:ind/>
              <w:jc w:val="center"/>
              <w:rPr>
                <w:sz w:val="18"/>
              </w:rPr>
            </w:pPr>
            <w:r>
              <w:rPr>
                <w:sz w:val="18"/>
              </w:rPr>
              <w:t>90</w:t>
            </w:r>
          </w:p>
        </w:tc>
        <w:tc>
          <w:tcPr>
            <w:tcW w:type="dxa" w:w="991"/>
            <w:tcBorders>
              <w:top w:color="000000" w:sz="4" w:val="single"/>
              <w:left w:color="000000" w:sz="4" w:val="single"/>
              <w:bottom w:color="000000" w:sz="4" w:val="single"/>
              <w:right w:color="000000" w:sz="4" w:val="single"/>
            </w:tcBorders>
            <w:shd w:fill="FFFFFF" w:val="clear"/>
            <w:vAlign w:val="center"/>
          </w:tcPr>
          <w:p w14:paraId="8E300000">
            <w:pPr>
              <w:widowControl w:val="1"/>
              <w:ind/>
              <w:jc w:val="center"/>
              <w:rPr>
                <w:sz w:val="18"/>
              </w:rPr>
            </w:pPr>
            <w:r>
              <w:rPr>
                <w:sz w:val="18"/>
              </w:rPr>
              <w:t>154090,00</w:t>
            </w:r>
          </w:p>
        </w:tc>
        <w:tc>
          <w:tcPr>
            <w:tcW w:type="dxa" w:w="1134"/>
            <w:tcBorders>
              <w:top w:color="000000" w:sz="4" w:val="single"/>
              <w:left w:color="000000" w:sz="4" w:val="single"/>
              <w:bottom w:color="000000" w:sz="4" w:val="single"/>
              <w:right w:color="000000" w:sz="4" w:val="single"/>
            </w:tcBorders>
            <w:shd w:fill="FFFFFF" w:val="clear"/>
            <w:vAlign w:val="center"/>
          </w:tcPr>
          <w:p w14:paraId="8F300000">
            <w:pPr>
              <w:widowControl w:val="1"/>
              <w:ind/>
              <w:jc w:val="center"/>
              <w:rPr>
                <w:sz w:val="18"/>
              </w:rPr>
            </w:pPr>
            <w:r>
              <w:rPr>
                <w:sz w:val="18"/>
              </w:rPr>
              <w:t>154090,00</w:t>
            </w:r>
          </w:p>
        </w:tc>
        <w:tc>
          <w:tcPr>
            <w:tcW w:type="dxa" w:w="993"/>
            <w:tcBorders>
              <w:top w:color="000000" w:sz="4" w:val="single"/>
              <w:left w:color="000000" w:sz="4" w:val="single"/>
              <w:bottom w:color="000000" w:sz="4" w:val="single"/>
              <w:right w:color="000000" w:sz="4" w:val="single"/>
            </w:tcBorders>
            <w:shd w:fill="FFFFFF" w:val="clear"/>
            <w:vAlign w:val="center"/>
          </w:tcPr>
          <w:p w14:paraId="9030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130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92300000">
            <w:pPr>
              <w:widowControl w:val="1"/>
              <w:ind/>
              <w:jc w:val="center"/>
              <w:rPr>
                <w:sz w:val="18"/>
              </w:rPr>
            </w:pPr>
            <w:r>
              <w:rPr>
                <w:sz w:val="18"/>
              </w:rPr>
              <w:t>31806973020</w:t>
            </w:r>
          </w:p>
        </w:tc>
        <w:tc>
          <w:tcPr>
            <w:tcW w:type="dxa" w:w="652"/>
            <w:tcBorders>
              <w:top w:color="000000" w:sz="4" w:val="single"/>
              <w:left w:color="000000" w:sz="4" w:val="single"/>
              <w:bottom w:color="000000" w:sz="4" w:val="single"/>
              <w:right w:color="000000" w:sz="4" w:val="single"/>
            </w:tcBorders>
            <w:shd w:fill="FFFFFF" w:val="clear"/>
            <w:vAlign w:val="center"/>
          </w:tcPr>
          <w:p w14:paraId="9330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94300000">
            <w:pPr>
              <w:widowControl w:val="1"/>
              <w:ind/>
              <w:jc w:val="center"/>
              <w:rPr>
                <w:sz w:val="18"/>
              </w:rPr>
            </w:pPr>
            <w:r>
              <w:rPr>
                <w:sz w:val="18"/>
              </w:rPr>
              <w:t>90</w:t>
            </w:r>
          </w:p>
        </w:tc>
        <w:tc>
          <w:tcPr>
            <w:tcW w:type="dxa" w:w="1169"/>
            <w:tcBorders>
              <w:top w:color="000000" w:sz="4" w:val="single"/>
              <w:left w:color="000000" w:sz="4" w:val="single"/>
              <w:bottom w:color="000000" w:sz="4" w:val="single"/>
              <w:right w:color="000000" w:sz="4" w:val="single"/>
            </w:tcBorders>
            <w:shd w:fill="FFFFFF" w:val="clear"/>
            <w:vAlign w:val="center"/>
          </w:tcPr>
          <w:p w14:paraId="95300000">
            <w:pPr>
              <w:widowControl w:val="1"/>
              <w:ind/>
              <w:jc w:val="center"/>
              <w:rPr>
                <w:sz w:val="18"/>
              </w:rPr>
            </w:pPr>
            <w:r>
              <w:rPr>
                <w:sz w:val="18"/>
              </w:rPr>
              <w:t>128380,50</w:t>
            </w:r>
          </w:p>
        </w:tc>
        <w:tc>
          <w:tcPr>
            <w:tcW w:type="dxa" w:w="1185"/>
            <w:tcBorders>
              <w:top w:color="000000" w:sz="4" w:val="single"/>
              <w:left w:color="000000" w:sz="4" w:val="single"/>
              <w:bottom w:color="000000" w:sz="4" w:val="single"/>
              <w:right w:color="000000" w:sz="4" w:val="single"/>
            </w:tcBorders>
            <w:shd w:fill="FFFFFF" w:val="clear"/>
            <w:vAlign w:val="center"/>
          </w:tcPr>
          <w:p w14:paraId="96300000">
            <w:pPr>
              <w:widowControl w:val="1"/>
              <w:ind/>
              <w:jc w:val="center"/>
              <w:rPr>
                <w:sz w:val="18"/>
              </w:rPr>
            </w:pPr>
            <w:r>
              <w:rPr>
                <w:sz w:val="18"/>
              </w:rPr>
              <w:t>145070,00</w:t>
            </w:r>
          </w:p>
        </w:tc>
        <w:tc>
          <w:tcPr>
            <w:tcW w:type="dxa" w:w="1083"/>
            <w:tcBorders>
              <w:top w:color="000000" w:sz="4" w:val="single"/>
              <w:left w:color="000000" w:sz="4" w:val="single"/>
              <w:bottom w:color="000000" w:sz="4" w:val="single"/>
              <w:right w:color="000000" w:sz="4" w:val="single"/>
            </w:tcBorders>
            <w:shd w:fill="FFFFFF" w:val="clear"/>
            <w:vAlign w:val="center"/>
          </w:tcPr>
          <w:p w14:paraId="97300000">
            <w:pPr>
              <w:widowControl w:val="1"/>
              <w:ind/>
              <w:jc w:val="center"/>
              <w:rPr>
                <w:sz w:val="18"/>
              </w:rPr>
            </w:pPr>
            <w:r>
              <w:rPr>
                <w:sz w:val="18"/>
              </w:rPr>
              <w:t>145070,00</w:t>
            </w:r>
          </w:p>
        </w:tc>
        <w:tc>
          <w:tcPr>
            <w:tcW w:type="dxa" w:w="771"/>
            <w:tcBorders>
              <w:top w:color="000000" w:sz="4" w:val="single"/>
              <w:left w:color="000000" w:sz="4" w:val="single"/>
              <w:bottom w:color="000000" w:sz="4" w:val="single"/>
              <w:right w:color="000000" w:sz="4" w:val="single"/>
            </w:tcBorders>
            <w:shd w:fill="FFFFFF" w:val="clear"/>
            <w:vAlign w:val="center"/>
          </w:tcPr>
          <w:p w14:paraId="9830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9930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9A300000">
            <w:pPr>
              <w:widowControl w:val="1"/>
              <w:ind/>
              <w:jc w:val="center"/>
              <w:rPr>
                <w:sz w:val="18"/>
              </w:rPr>
            </w:pPr>
            <w:r>
              <w:rPr>
                <w:sz w:val="18"/>
              </w:rPr>
              <w:t>договор № 102 от 28.09.2018</w:t>
            </w:r>
          </w:p>
        </w:tc>
      </w:tr>
      <w:tr>
        <w:trPr>
          <w:trHeight w:hRule="atLeast" w:val="1065"/>
        </w:trPr>
        <w:tc>
          <w:tcPr>
            <w:tcW w:type="dxa" w:w="708"/>
            <w:tcBorders>
              <w:top w:color="000000" w:sz="4" w:val="single"/>
              <w:left w:color="000000" w:sz="4" w:val="single"/>
              <w:bottom w:color="000000" w:sz="4" w:val="single"/>
              <w:right w:color="000000" w:sz="4" w:val="single"/>
            </w:tcBorders>
            <w:shd w:fill="FFFFFF" w:val="clear"/>
            <w:vAlign w:val="center"/>
          </w:tcPr>
          <w:p w14:paraId="9B300000">
            <w:pPr>
              <w:widowControl w:val="1"/>
              <w:ind/>
              <w:jc w:val="center"/>
              <w:rPr>
                <w:color w:val="000000"/>
                <w:sz w:val="18"/>
              </w:rPr>
            </w:pPr>
            <w:r>
              <w:rPr>
                <w:color w:val="000000"/>
                <w:sz w:val="18"/>
              </w:rPr>
              <w:t>51</w:t>
            </w:r>
          </w:p>
        </w:tc>
        <w:tc>
          <w:tcPr>
            <w:tcW w:type="dxa" w:w="618"/>
            <w:tcBorders>
              <w:top w:color="000000" w:sz="4" w:val="single"/>
              <w:left w:color="000000" w:sz="4" w:val="single"/>
              <w:bottom w:color="000000" w:sz="4" w:val="single"/>
              <w:right w:color="000000" w:sz="4" w:val="single"/>
            </w:tcBorders>
            <w:shd w:fill="FFFFFF" w:val="clear"/>
            <w:vAlign w:val="center"/>
          </w:tcPr>
          <w:p w14:paraId="9C300000">
            <w:pPr>
              <w:widowControl w:val="1"/>
              <w:ind/>
              <w:jc w:val="center"/>
              <w:rPr>
                <w:color w:val="000000"/>
                <w:sz w:val="18"/>
              </w:rPr>
            </w:pPr>
            <w:r>
              <w:rPr>
                <w:color w:val="000000"/>
                <w:sz w:val="18"/>
              </w:rPr>
              <w:t>65</w:t>
            </w:r>
          </w:p>
        </w:tc>
        <w:tc>
          <w:tcPr>
            <w:tcW w:type="dxa" w:w="993"/>
            <w:tcBorders>
              <w:top w:color="000000" w:sz="4" w:val="single"/>
              <w:left w:color="000000" w:sz="4" w:val="single"/>
              <w:bottom w:color="000000" w:sz="4" w:val="single"/>
              <w:right w:color="000000" w:sz="4" w:val="single"/>
            </w:tcBorders>
            <w:shd w:fill="FFFFFF" w:val="clear"/>
            <w:vAlign w:val="center"/>
          </w:tcPr>
          <w:p w14:paraId="9D300000">
            <w:pPr>
              <w:widowControl w:val="1"/>
              <w:ind/>
              <w:jc w:val="center"/>
              <w:rPr>
                <w:sz w:val="18"/>
              </w:rPr>
            </w:pPr>
            <w:r>
              <w:rPr>
                <w:sz w:val="18"/>
              </w:rPr>
              <w:t>оказание услуг аренды квартиры в г. Междуреченск для отдыха кассиров билетных</w:t>
            </w:r>
          </w:p>
        </w:tc>
        <w:tc>
          <w:tcPr>
            <w:tcW w:type="dxa" w:w="849"/>
            <w:tcBorders>
              <w:top w:color="000000" w:sz="4" w:val="single"/>
              <w:left w:color="000000" w:sz="4" w:val="single"/>
              <w:bottom w:color="000000" w:sz="4" w:val="single"/>
              <w:right w:color="000000" w:sz="4" w:val="single"/>
            </w:tcBorders>
            <w:shd w:fill="FFFFFF" w:val="clear"/>
            <w:vAlign w:val="center"/>
          </w:tcPr>
          <w:p w14:paraId="9E30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9F300000">
            <w:pPr>
              <w:widowControl w:val="1"/>
              <w:ind/>
              <w:jc w:val="center"/>
              <w:rPr>
                <w:sz w:val="18"/>
              </w:rPr>
            </w:pPr>
            <w:r>
              <w:rPr>
                <w:sz w:val="18"/>
              </w:rPr>
              <w:t>11</w:t>
            </w:r>
          </w:p>
        </w:tc>
        <w:tc>
          <w:tcPr>
            <w:tcW w:type="dxa" w:w="991"/>
            <w:tcBorders>
              <w:top w:color="000000" w:sz="4" w:val="single"/>
              <w:left w:color="000000" w:sz="4" w:val="single"/>
              <w:bottom w:color="000000" w:sz="4" w:val="single"/>
              <w:right w:color="000000" w:sz="4" w:val="single"/>
            </w:tcBorders>
            <w:shd w:fill="FFFFFF" w:val="clear"/>
            <w:vAlign w:val="center"/>
          </w:tcPr>
          <w:p w14:paraId="A0300000">
            <w:pPr>
              <w:widowControl w:val="1"/>
              <w:ind/>
              <w:jc w:val="center"/>
              <w:rPr>
                <w:sz w:val="18"/>
              </w:rPr>
            </w:pPr>
            <w:r>
              <w:rPr>
                <w:sz w:val="18"/>
              </w:rPr>
              <w:t>143001,00</w:t>
            </w:r>
          </w:p>
        </w:tc>
        <w:tc>
          <w:tcPr>
            <w:tcW w:type="dxa" w:w="1134"/>
            <w:tcBorders>
              <w:top w:color="000000" w:sz="4" w:val="single"/>
              <w:left w:color="000000" w:sz="4" w:val="single"/>
              <w:bottom w:color="000000" w:sz="4" w:val="single"/>
              <w:right w:color="000000" w:sz="4" w:val="single"/>
            </w:tcBorders>
            <w:shd w:fill="FFFFFF" w:val="clear"/>
            <w:vAlign w:val="center"/>
          </w:tcPr>
          <w:p w14:paraId="A1300000">
            <w:pPr>
              <w:widowControl w:val="1"/>
              <w:ind/>
              <w:jc w:val="center"/>
              <w:rPr>
                <w:sz w:val="18"/>
              </w:rPr>
            </w:pPr>
            <w:r>
              <w:rPr>
                <w:sz w:val="18"/>
              </w:rPr>
              <w:t>164369,00</w:t>
            </w:r>
          </w:p>
        </w:tc>
        <w:tc>
          <w:tcPr>
            <w:tcW w:type="dxa" w:w="993"/>
            <w:tcBorders>
              <w:top w:color="000000" w:sz="4" w:val="single"/>
              <w:left w:color="000000" w:sz="4" w:val="single"/>
              <w:bottom w:color="000000" w:sz="4" w:val="single"/>
              <w:right w:color="000000" w:sz="4" w:val="single"/>
            </w:tcBorders>
            <w:shd w:fill="FFFFFF" w:val="clear"/>
            <w:vAlign w:val="center"/>
          </w:tcPr>
          <w:p w14:paraId="A230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A3300000">
            <w:pPr>
              <w:widowControl w:val="1"/>
              <w:ind/>
              <w:jc w:val="center"/>
              <w:rPr>
                <w:sz w:val="18"/>
              </w:rPr>
            </w:pPr>
            <w:r>
              <w:rPr>
                <w:sz w:val="18"/>
              </w:rPr>
              <w:t>август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A4300000">
            <w:pPr>
              <w:widowControl w:val="1"/>
              <w:ind/>
              <w:jc w:val="center"/>
              <w:rPr>
                <w:sz w:val="18"/>
              </w:rPr>
            </w:pPr>
            <w:r>
              <w:rPr>
                <w:sz w:val="18"/>
              </w:rPr>
              <w:t>31 806 982 558,00</w:t>
            </w:r>
          </w:p>
        </w:tc>
        <w:tc>
          <w:tcPr>
            <w:tcW w:type="dxa" w:w="652"/>
            <w:tcBorders>
              <w:top w:color="000000" w:sz="4" w:val="single"/>
              <w:left w:color="000000" w:sz="4" w:val="single"/>
              <w:bottom w:color="000000" w:sz="4" w:val="single"/>
              <w:right w:color="000000" w:sz="4" w:val="single"/>
            </w:tcBorders>
            <w:shd w:fill="FFFFFF" w:val="clear"/>
            <w:vAlign w:val="center"/>
          </w:tcPr>
          <w:p w14:paraId="A530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A6300000">
            <w:pPr>
              <w:widowControl w:val="1"/>
              <w:ind/>
              <w:jc w:val="center"/>
              <w:rPr>
                <w:sz w:val="18"/>
              </w:rPr>
            </w:pPr>
            <w:r>
              <w:rPr>
                <w:sz w:val="18"/>
              </w:rPr>
              <w:t>11</w:t>
            </w:r>
          </w:p>
        </w:tc>
        <w:tc>
          <w:tcPr>
            <w:tcW w:type="dxa" w:w="1169"/>
            <w:tcBorders>
              <w:top w:color="000000" w:sz="4" w:val="single"/>
              <w:left w:color="000000" w:sz="4" w:val="single"/>
              <w:bottom w:color="000000" w:sz="4" w:val="single"/>
              <w:right w:color="000000" w:sz="4" w:val="single"/>
            </w:tcBorders>
            <w:shd w:fill="auto" w:val="clear"/>
            <w:vAlign w:val="center"/>
          </w:tcPr>
          <w:p w14:paraId="A7300000">
            <w:pPr>
              <w:widowControl w:val="1"/>
              <w:ind/>
              <w:jc w:val="center"/>
              <w:rPr>
                <w:sz w:val="18"/>
              </w:rPr>
            </w:pPr>
            <w:r>
              <w:rPr>
                <w:sz w:val="18"/>
              </w:rPr>
              <w:t>139865,5</w:t>
            </w:r>
          </w:p>
        </w:tc>
        <w:tc>
          <w:tcPr>
            <w:tcW w:type="dxa" w:w="1185"/>
            <w:tcBorders>
              <w:top w:color="000000" w:sz="4" w:val="single"/>
              <w:left w:color="000000" w:sz="4" w:val="single"/>
              <w:bottom w:color="000000" w:sz="4" w:val="single"/>
              <w:right w:color="000000" w:sz="4" w:val="single"/>
            </w:tcBorders>
            <w:shd w:fill="auto" w:val="clear"/>
            <w:vAlign w:val="center"/>
          </w:tcPr>
          <w:p w14:paraId="A8300000">
            <w:pPr>
              <w:widowControl w:val="1"/>
              <w:ind/>
              <w:jc w:val="center"/>
              <w:rPr>
                <w:sz w:val="18"/>
              </w:rPr>
            </w:pPr>
            <w:r>
              <w:rPr>
                <w:sz w:val="18"/>
              </w:rPr>
              <w:t>158048</w:t>
            </w:r>
          </w:p>
        </w:tc>
        <w:tc>
          <w:tcPr>
            <w:tcW w:type="dxa" w:w="1083"/>
            <w:tcBorders>
              <w:top w:color="000000" w:sz="4" w:val="single"/>
              <w:left w:color="000000" w:sz="4" w:val="single"/>
              <w:bottom w:color="000000" w:sz="4" w:val="single"/>
              <w:right w:color="000000" w:sz="4" w:val="single"/>
            </w:tcBorders>
            <w:shd w:fill="auto" w:val="clear"/>
            <w:vAlign w:val="center"/>
          </w:tcPr>
          <w:p w14:paraId="A9300000">
            <w:pPr>
              <w:widowControl w:val="1"/>
              <w:ind/>
              <w:jc w:val="center"/>
              <w:rPr>
                <w:sz w:val="18"/>
              </w:rPr>
            </w:pPr>
            <w:r>
              <w:rPr>
                <w:sz w:val="18"/>
              </w:rPr>
              <w:t>158048</w:t>
            </w:r>
          </w:p>
        </w:tc>
        <w:tc>
          <w:tcPr>
            <w:tcW w:type="dxa" w:w="771"/>
            <w:tcBorders>
              <w:top w:color="000000" w:sz="4" w:val="single"/>
              <w:left w:color="000000" w:sz="4" w:val="single"/>
              <w:bottom w:color="000000" w:sz="4" w:val="single"/>
              <w:right w:color="000000" w:sz="4" w:val="single"/>
            </w:tcBorders>
            <w:shd w:fill="FFFFFF" w:val="clear"/>
            <w:vAlign w:val="center"/>
          </w:tcPr>
          <w:p w14:paraId="AA30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AB300000">
            <w:pPr>
              <w:widowControl w:val="1"/>
              <w:ind/>
              <w:jc w:val="center"/>
              <w:rPr>
                <w:sz w:val="18"/>
              </w:rPr>
            </w:pPr>
            <w:r>
              <w:rPr>
                <w:sz w:val="18"/>
              </w:rPr>
              <w:t>август 2019 г.</w:t>
            </w:r>
          </w:p>
        </w:tc>
        <w:tc>
          <w:tcPr>
            <w:tcW w:type="dxa" w:w="709"/>
            <w:tcBorders>
              <w:top w:color="000000" w:sz="4" w:val="single"/>
              <w:left w:color="000000" w:sz="4" w:val="single"/>
              <w:bottom w:color="000000" w:sz="4" w:val="single"/>
              <w:right w:color="000000" w:sz="4" w:val="single"/>
            </w:tcBorders>
            <w:shd w:fill="auto" w:val="clear"/>
            <w:vAlign w:val="center"/>
          </w:tcPr>
          <w:p w14:paraId="AC300000">
            <w:pPr>
              <w:widowControl w:val="1"/>
              <w:ind/>
              <w:jc w:val="center"/>
              <w:rPr>
                <w:sz w:val="18"/>
              </w:rPr>
            </w:pPr>
            <w:r>
              <w:rPr>
                <w:sz w:val="18"/>
              </w:rPr>
              <w:t>договор № 103 от 01.10.2018</w:t>
            </w:r>
          </w:p>
        </w:tc>
      </w:tr>
      <w:tr>
        <w:trPr>
          <w:trHeight w:hRule="atLeast" w:val="1485"/>
        </w:trPr>
        <w:tc>
          <w:tcPr>
            <w:tcW w:type="dxa" w:w="708"/>
            <w:tcBorders>
              <w:top w:color="000000" w:sz="4" w:val="single"/>
              <w:left w:color="000000" w:sz="4" w:val="single"/>
              <w:bottom w:color="000000" w:sz="4" w:val="single"/>
              <w:right w:color="000000" w:sz="4" w:val="single"/>
            </w:tcBorders>
            <w:shd w:fill="FFFFFF" w:val="clear"/>
            <w:vAlign w:val="center"/>
          </w:tcPr>
          <w:p w14:paraId="AD300000">
            <w:pPr>
              <w:widowControl w:val="1"/>
              <w:ind/>
              <w:jc w:val="center"/>
              <w:rPr>
                <w:color w:val="000000"/>
                <w:sz w:val="18"/>
              </w:rPr>
            </w:pPr>
            <w:r>
              <w:rPr>
                <w:color w:val="000000"/>
                <w:sz w:val="18"/>
              </w:rPr>
              <w:t>52</w:t>
            </w:r>
          </w:p>
        </w:tc>
        <w:tc>
          <w:tcPr>
            <w:tcW w:type="dxa" w:w="618"/>
            <w:tcBorders>
              <w:top w:color="000000" w:sz="4" w:val="single"/>
              <w:left w:color="000000" w:sz="4" w:val="single"/>
              <w:bottom w:color="000000" w:sz="4" w:val="single"/>
              <w:right w:color="000000" w:sz="4" w:val="single"/>
            </w:tcBorders>
            <w:shd w:fill="FFFFFF" w:val="clear"/>
            <w:vAlign w:val="center"/>
          </w:tcPr>
          <w:p w14:paraId="AE300000">
            <w:pPr>
              <w:widowControl w:val="1"/>
              <w:ind/>
              <w:jc w:val="center"/>
              <w:rPr>
                <w:sz w:val="18"/>
              </w:rPr>
            </w:pPr>
            <w:r>
              <w:rPr>
                <w:sz w:val="18"/>
              </w:rPr>
              <w:t>66</w:t>
            </w:r>
          </w:p>
        </w:tc>
        <w:tc>
          <w:tcPr>
            <w:tcW w:type="dxa" w:w="993"/>
            <w:tcBorders>
              <w:top w:color="000000" w:sz="4" w:val="single"/>
              <w:left w:color="000000" w:sz="4" w:val="single"/>
              <w:bottom w:color="000000" w:sz="4" w:val="single"/>
              <w:right w:color="000000" w:sz="4" w:val="single"/>
            </w:tcBorders>
            <w:shd w:fill="FFFFFF" w:val="clear"/>
            <w:vAlign w:val="center"/>
          </w:tcPr>
          <w:p w14:paraId="AF300000">
            <w:pPr>
              <w:widowControl w:val="1"/>
              <w:ind/>
              <w:jc w:val="center"/>
              <w:rPr>
                <w:sz w:val="18"/>
              </w:rPr>
            </w:pPr>
            <w:r>
              <w:rPr>
                <w:sz w:val="18"/>
              </w:rPr>
              <w:t>оказание услуг по предоставлению банковских гарантий возврата НДС в пользу налоговых органов</w:t>
            </w:r>
          </w:p>
        </w:tc>
        <w:tc>
          <w:tcPr>
            <w:tcW w:type="dxa" w:w="849"/>
            <w:tcBorders>
              <w:top w:color="000000" w:sz="4" w:val="single"/>
              <w:left w:color="000000" w:sz="4" w:val="single"/>
              <w:bottom w:color="000000" w:sz="4" w:val="single"/>
              <w:right w:color="000000" w:sz="4" w:val="single"/>
            </w:tcBorders>
            <w:shd w:fill="FFFFFF" w:val="clear"/>
            <w:vAlign w:val="center"/>
          </w:tcPr>
          <w:p w14:paraId="B030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130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B2300000">
            <w:pPr>
              <w:widowControl w:val="1"/>
              <w:ind/>
              <w:jc w:val="center"/>
              <w:rPr>
                <w:sz w:val="18"/>
              </w:rPr>
            </w:pPr>
            <w:r>
              <w:rPr>
                <w:sz w:val="18"/>
              </w:rPr>
              <w:t>211043,84</w:t>
            </w:r>
          </w:p>
        </w:tc>
        <w:tc>
          <w:tcPr>
            <w:tcW w:type="dxa" w:w="1134"/>
            <w:tcBorders>
              <w:top w:color="000000" w:sz="4" w:val="single"/>
              <w:left w:color="000000" w:sz="4" w:val="single"/>
              <w:bottom w:color="000000" w:sz="4" w:val="single"/>
              <w:right w:color="000000" w:sz="4" w:val="single"/>
            </w:tcBorders>
            <w:shd w:fill="FFFFFF" w:val="clear"/>
            <w:vAlign w:val="center"/>
          </w:tcPr>
          <w:p w14:paraId="B3300000">
            <w:pPr>
              <w:widowControl w:val="1"/>
              <w:ind/>
              <w:jc w:val="center"/>
              <w:rPr>
                <w:sz w:val="18"/>
              </w:rPr>
            </w:pPr>
            <w:r>
              <w:rPr>
                <w:sz w:val="18"/>
              </w:rPr>
              <w:t>211043,84</w:t>
            </w:r>
          </w:p>
        </w:tc>
        <w:tc>
          <w:tcPr>
            <w:tcW w:type="dxa" w:w="993"/>
            <w:tcBorders>
              <w:top w:color="000000" w:sz="4" w:val="single"/>
              <w:left w:color="000000" w:sz="4" w:val="single"/>
              <w:bottom w:color="000000" w:sz="4" w:val="single"/>
              <w:right w:color="000000" w:sz="4" w:val="single"/>
            </w:tcBorders>
            <w:shd w:fill="FFFFFF" w:val="clear"/>
            <w:vAlign w:val="center"/>
          </w:tcPr>
          <w:p w14:paraId="B430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B5300000">
            <w:pPr>
              <w:widowControl w:val="1"/>
              <w:ind/>
              <w:jc w:val="center"/>
              <w:rPr>
                <w:sz w:val="18"/>
              </w:rPr>
            </w:pPr>
            <w:r>
              <w:rPr>
                <w:sz w:val="18"/>
              </w:rPr>
              <w:t>август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B6300000">
            <w:pPr>
              <w:widowControl w:val="1"/>
              <w:ind/>
              <w:jc w:val="center"/>
              <w:rPr>
                <w:sz w:val="18"/>
              </w:rPr>
            </w:pPr>
            <w:r>
              <w:rPr>
                <w:sz w:val="18"/>
              </w:rPr>
              <w:t>31 807 054 560,00</w:t>
            </w:r>
          </w:p>
        </w:tc>
        <w:tc>
          <w:tcPr>
            <w:tcW w:type="dxa" w:w="652"/>
            <w:tcBorders>
              <w:top w:color="000000" w:sz="4" w:val="single"/>
              <w:left w:color="000000" w:sz="4" w:val="single"/>
              <w:bottom w:color="000000" w:sz="4" w:val="single"/>
              <w:right w:color="000000" w:sz="4" w:val="single"/>
            </w:tcBorders>
            <w:shd w:fill="FFFFFF" w:val="clear"/>
            <w:vAlign w:val="center"/>
          </w:tcPr>
          <w:p w14:paraId="B730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B830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auto" w:val="clear"/>
            <w:vAlign w:val="center"/>
          </w:tcPr>
          <w:p w14:paraId="B9300000">
            <w:pPr>
              <w:widowControl w:val="1"/>
              <w:ind/>
              <w:jc w:val="center"/>
              <w:rPr>
                <w:sz w:val="18"/>
              </w:rPr>
            </w:pPr>
            <w:r>
              <w:rPr>
                <w:sz w:val="18"/>
              </w:rPr>
              <w:t>191806,93</w:t>
            </w:r>
          </w:p>
        </w:tc>
        <w:tc>
          <w:tcPr>
            <w:tcW w:type="dxa" w:w="1185"/>
            <w:tcBorders>
              <w:top w:color="000000" w:sz="4" w:val="single"/>
              <w:left w:color="000000" w:sz="4" w:val="single"/>
              <w:bottom w:color="000000" w:sz="4" w:val="single"/>
              <w:right w:color="000000" w:sz="4" w:val="single"/>
            </w:tcBorders>
            <w:shd w:fill="auto" w:val="clear"/>
            <w:vAlign w:val="center"/>
          </w:tcPr>
          <w:p w14:paraId="BA300000">
            <w:pPr>
              <w:widowControl w:val="1"/>
              <w:ind/>
              <w:jc w:val="center"/>
              <w:rPr>
                <w:sz w:val="18"/>
              </w:rPr>
            </w:pPr>
            <w:r>
              <w:rPr>
                <w:sz w:val="18"/>
              </w:rPr>
              <w:t>191806,93</w:t>
            </w:r>
          </w:p>
        </w:tc>
        <w:tc>
          <w:tcPr>
            <w:tcW w:type="dxa" w:w="1083"/>
            <w:tcBorders>
              <w:top w:color="000000" w:sz="4" w:val="single"/>
              <w:left w:color="000000" w:sz="4" w:val="single"/>
              <w:bottom w:color="000000" w:sz="4" w:val="single"/>
              <w:right w:color="000000" w:sz="4" w:val="single"/>
            </w:tcBorders>
            <w:shd w:fill="auto" w:val="clear"/>
            <w:vAlign w:val="center"/>
          </w:tcPr>
          <w:p w14:paraId="BB300000">
            <w:pPr>
              <w:widowControl w:val="1"/>
              <w:ind/>
              <w:jc w:val="center"/>
              <w:rPr>
                <w:sz w:val="18"/>
              </w:rPr>
            </w:pPr>
            <w:r>
              <w:rPr>
                <w:sz w:val="18"/>
              </w:rPr>
              <w:t>191806,93</w:t>
            </w:r>
          </w:p>
        </w:tc>
        <w:tc>
          <w:tcPr>
            <w:tcW w:type="dxa" w:w="771"/>
            <w:tcBorders>
              <w:top w:color="000000" w:sz="4" w:val="single"/>
              <w:left w:color="000000" w:sz="4" w:val="single"/>
              <w:bottom w:color="000000" w:sz="4" w:val="single"/>
              <w:right w:color="000000" w:sz="4" w:val="single"/>
            </w:tcBorders>
            <w:shd w:fill="FFFFFF" w:val="clear"/>
            <w:vAlign w:val="center"/>
          </w:tcPr>
          <w:p w14:paraId="BC30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BD300000">
            <w:pPr>
              <w:widowControl w:val="1"/>
              <w:ind/>
              <w:jc w:val="center"/>
              <w:rPr>
                <w:sz w:val="18"/>
              </w:rPr>
            </w:pPr>
            <w:r>
              <w:rPr>
                <w:sz w:val="18"/>
              </w:rPr>
              <w:t>август 2019 г.</w:t>
            </w:r>
          </w:p>
        </w:tc>
        <w:tc>
          <w:tcPr>
            <w:tcW w:type="dxa" w:w="709"/>
            <w:tcBorders>
              <w:top w:color="000000" w:sz="4" w:val="single"/>
              <w:left w:color="000000" w:sz="4" w:val="single"/>
              <w:bottom w:color="000000" w:sz="4" w:val="single"/>
              <w:right w:color="000000" w:sz="4" w:val="single"/>
            </w:tcBorders>
            <w:shd w:fill="auto" w:val="clear"/>
            <w:vAlign w:val="center"/>
          </w:tcPr>
          <w:p w14:paraId="BE300000">
            <w:pPr>
              <w:widowControl w:val="1"/>
              <w:ind/>
              <w:jc w:val="center"/>
              <w:rPr>
                <w:sz w:val="18"/>
              </w:rPr>
            </w:pPr>
            <w:r>
              <w:rPr>
                <w:sz w:val="18"/>
              </w:rPr>
              <w:t>договор № 002/2018 от 23.10.2018</w:t>
            </w:r>
          </w:p>
        </w:tc>
      </w:tr>
      <w:tr>
        <w:trPr>
          <w:trHeight w:hRule="atLeast" w:val="1110"/>
        </w:trPr>
        <w:tc>
          <w:tcPr>
            <w:tcW w:type="dxa" w:w="708"/>
            <w:tcBorders>
              <w:top w:color="000000" w:sz="4" w:val="single"/>
              <w:left w:color="000000" w:sz="4" w:val="single"/>
              <w:bottom w:color="000000" w:sz="4" w:val="single"/>
              <w:right w:color="000000" w:sz="4" w:val="single"/>
            </w:tcBorders>
            <w:shd w:fill="FFFFFF" w:val="clear"/>
            <w:vAlign w:val="center"/>
          </w:tcPr>
          <w:p w14:paraId="BF300000">
            <w:pPr>
              <w:widowControl w:val="1"/>
              <w:ind/>
              <w:jc w:val="center"/>
              <w:rPr>
                <w:color w:val="000000"/>
                <w:sz w:val="18"/>
              </w:rPr>
            </w:pPr>
            <w:r>
              <w:rPr>
                <w:color w:val="000000"/>
                <w:sz w:val="18"/>
              </w:rPr>
              <w:t>53</w:t>
            </w:r>
          </w:p>
        </w:tc>
        <w:tc>
          <w:tcPr>
            <w:tcW w:type="dxa" w:w="618"/>
            <w:tcBorders>
              <w:top w:color="000000" w:sz="4" w:val="single"/>
              <w:left w:color="000000" w:sz="4" w:val="single"/>
              <w:bottom w:color="000000" w:sz="4" w:val="single"/>
              <w:right w:color="000000" w:sz="4" w:val="single"/>
            </w:tcBorders>
            <w:shd w:fill="FFFFFF" w:val="clear"/>
            <w:vAlign w:val="center"/>
          </w:tcPr>
          <w:p w14:paraId="C0300000">
            <w:pPr>
              <w:widowControl w:val="1"/>
              <w:ind/>
              <w:jc w:val="center"/>
              <w:rPr>
                <w:color w:val="000000"/>
                <w:sz w:val="18"/>
              </w:rPr>
            </w:pPr>
            <w:r>
              <w:rPr>
                <w:color w:val="000000"/>
                <w:sz w:val="18"/>
              </w:rPr>
              <w:t>67</w:t>
            </w:r>
          </w:p>
        </w:tc>
        <w:tc>
          <w:tcPr>
            <w:tcW w:type="dxa" w:w="993"/>
            <w:tcBorders>
              <w:top w:color="000000" w:sz="4" w:val="single"/>
              <w:left w:color="000000" w:sz="4" w:val="single"/>
              <w:bottom w:color="000000" w:sz="4" w:val="single"/>
              <w:right w:color="000000" w:sz="4" w:val="single"/>
            </w:tcBorders>
            <w:shd w:fill="FFFFFF" w:val="clear"/>
            <w:vAlign w:val="center"/>
          </w:tcPr>
          <w:p w14:paraId="C1300000">
            <w:pPr>
              <w:widowControl w:val="1"/>
              <w:ind/>
              <w:jc w:val="center"/>
              <w:rPr>
                <w:sz w:val="18"/>
              </w:rPr>
            </w:pPr>
            <w:r>
              <w:rPr>
                <w:sz w:val="18"/>
              </w:rPr>
              <w:t>Предоставление права использования товарного знака "РЖД"</w:t>
            </w:r>
          </w:p>
        </w:tc>
        <w:tc>
          <w:tcPr>
            <w:tcW w:type="dxa" w:w="849"/>
            <w:tcBorders>
              <w:top w:color="000000" w:sz="4" w:val="single"/>
              <w:left w:color="000000" w:sz="4" w:val="single"/>
              <w:bottom w:color="000000" w:sz="4" w:val="single"/>
              <w:right w:color="000000" w:sz="4" w:val="single"/>
            </w:tcBorders>
            <w:shd w:fill="FFFFFF" w:val="clear"/>
            <w:vAlign w:val="center"/>
          </w:tcPr>
          <w:p w14:paraId="C2300000">
            <w:pPr>
              <w:widowControl w:val="1"/>
              <w:ind/>
              <w:jc w:val="center"/>
              <w:rPr>
                <w:sz w:val="18"/>
              </w:rPr>
            </w:pPr>
            <w:r>
              <w:rPr>
                <w:sz w:val="18"/>
              </w:rPr>
              <w:t>ВЗЛ</w:t>
            </w:r>
          </w:p>
        </w:tc>
        <w:tc>
          <w:tcPr>
            <w:tcW w:type="dxa" w:w="709"/>
            <w:tcBorders>
              <w:top w:color="000000" w:sz="4" w:val="single"/>
              <w:left w:color="000000" w:sz="4" w:val="single"/>
              <w:bottom w:color="000000" w:sz="4" w:val="single"/>
              <w:right w:color="000000" w:sz="4" w:val="single"/>
            </w:tcBorders>
            <w:shd w:fill="FFFFFF" w:val="clear"/>
            <w:vAlign w:val="center"/>
          </w:tcPr>
          <w:p w14:paraId="C330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C4300000">
            <w:pPr>
              <w:widowControl w:val="1"/>
              <w:ind/>
              <w:jc w:val="center"/>
              <w:rPr>
                <w:sz w:val="18"/>
              </w:rPr>
            </w:pPr>
            <w:r>
              <w:rPr>
                <w:sz w:val="18"/>
              </w:rPr>
              <w:t>26000,00</w:t>
            </w:r>
          </w:p>
        </w:tc>
        <w:tc>
          <w:tcPr>
            <w:tcW w:type="dxa" w:w="1134"/>
            <w:tcBorders>
              <w:top w:color="000000" w:sz="4" w:val="single"/>
              <w:left w:color="000000" w:sz="4" w:val="single"/>
              <w:bottom w:color="000000" w:sz="4" w:val="single"/>
              <w:right w:color="000000" w:sz="4" w:val="single"/>
            </w:tcBorders>
            <w:shd w:fill="FFFFFF" w:val="clear"/>
            <w:vAlign w:val="center"/>
          </w:tcPr>
          <w:p w14:paraId="C5300000">
            <w:pPr>
              <w:widowControl w:val="1"/>
              <w:ind/>
              <w:jc w:val="center"/>
              <w:rPr>
                <w:sz w:val="18"/>
              </w:rPr>
            </w:pPr>
            <w:r>
              <w:rPr>
                <w:sz w:val="18"/>
              </w:rPr>
              <w:t>31200,00</w:t>
            </w:r>
          </w:p>
        </w:tc>
        <w:tc>
          <w:tcPr>
            <w:tcW w:type="dxa" w:w="993"/>
            <w:tcBorders>
              <w:top w:color="000000" w:sz="4" w:val="single"/>
              <w:left w:color="000000" w:sz="4" w:val="single"/>
              <w:bottom w:color="000000" w:sz="4" w:val="single"/>
              <w:right w:color="000000" w:sz="4" w:val="single"/>
            </w:tcBorders>
            <w:shd w:fill="FFFFFF" w:val="clear"/>
            <w:vAlign w:val="center"/>
          </w:tcPr>
          <w:p w14:paraId="C630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C7300000">
            <w:pPr>
              <w:widowControl w:val="1"/>
              <w:ind/>
              <w:jc w:val="center"/>
              <w:rPr>
                <w:sz w:val="18"/>
              </w:rPr>
            </w:pPr>
            <w:r>
              <w:rPr>
                <w:sz w:val="18"/>
              </w:rPr>
              <w:t>декабрь 2021 г.</w:t>
            </w:r>
          </w:p>
        </w:tc>
        <w:tc>
          <w:tcPr>
            <w:tcW w:type="dxa" w:w="1334"/>
            <w:tcBorders>
              <w:top w:color="000000" w:sz="4" w:val="single"/>
              <w:left w:color="000000" w:sz="4" w:val="single"/>
              <w:bottom w:color="000000" w:sz="4" w:val="single"/>
              <w:right w:color="000000" w:sz="4" w:val="single"/>
            </w:tcBorders>
            <w:shd w:fill="FFFFFF" w:val="clear"/>
            <w:vAlign w:val="center"/>
          </w:tcPr>
          <w:p w14:paraId="C830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C9300000">
            <w:pPr>
              <w:widowControl w:val="1"/>
              <w:ind/>
              <w:jc w:val="center"/>
              <w:rPr>
                <w:sz w:val="18"/>
              </w:rPr>
            </w:pPr>
            <w:r>
              <w:rPr>
                <w:sz w:val="18"/>
              </w:rPr>
              <w:t>ВЗЛ</w:t>
            </w:r>
          </w:p>
        </w:tc>
        <w:tc>
          <w:tcPr>
            <w:tcW w:type="dxa" w:w="992"/>
            <w:tcBorders>
              <w:top w:color="000000" w:sz="4" w:val="single"/>
              <w:left w:color="000000" w:sz="4" w:val="single"/>
              <w:bottom w:color="000000" w:sz="4" w:val="single"/>
              <w:right w:color="000000" w:sz="4" w:val="single"/>
            </w:tcBorders>
            <w:shd w:fill="FFFFFF" w:val="clear"/>
            <w:vAlign w:val="center"/>
          </w:tcPr>
          <w:p w14:paraId="CA30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auto" w:val="clear"/>
            <w:vAlign w:val="center"/>
          </w:tcPr>
          <w:p w14:paraId="CB300000">
            <w:pPr>
              <w:widowControl w:val="1"/>
              <w:ind/>
              <w:jc w:val="center"/>
              <w:rPr>
                <w:sz w:val="18"/>
              </w:rPr>
            </w:pPr>
            <w:r>
              <w:rPr>
                <w:sz w:val="18"/>
              </w:rPr>
              <w:t>26000</w:t>
            </w:r>
          </w:p>
        </w:tc>
        <w:tc>
          <w:tcPr>
            <w:tcW w:type="dxa" w:w="1185"/>
            <w:tcBorders>
              <w:top w:color="000000" w:sz="4" w:val="single"/>
              <w:left w:color="000000" w:sz="4" w:val="single"/>
              <w:bottom w:color="000000" w:sz="4" w:val="single"/>
              <w:right w:color="000000" w:sz="4" w:val="single"/>
            </w:tcBorders>
            <w:shd w:fill="auto" w:val="clear"/>
            <w:vAlign w:val="center"/>
          </w:tcPr>
          <w:p w14:paraId="CC300000">
            <w:pPr>
              <w:widowControl w:val="1"/>
              <w:ind/>
              <w:jc w:val="center"/>
              <w:rPr>
                <w:sz w:val="18"/>
              </w:rPr>
            </w:pPr>
            <w:r>
              <w:rPr>
                <w:sz w:val="18"/>
              </w:rPr>
              <w:t>31200</w:t>
            </w:r>
          </w:p>
        </w:tc>
        <w:tc>
          <w:tcPr>
            <w:tcW w:type="dxa" w:w="1083"/>
            <w:tcBorders>
              <w:top w:color="000000" w:sz="4" w:val="single"/>
              <w:left w:color="000000" w:sz="4" w:val="single"/>
              <w:bottom w:color="000000" w:sz="4" w:val="single"/>
              <w:right w:color="000000" w:sz="4" w:val="single"/>
            </w:tcBorders>
            <w:shd w:fill="auto" w:val="clear"/>
            <w:vAlign w:val="center"/>
          </w:tcPr>
          <w:p w14:paraId="CD300000">
            <w:pPr>
              <w:widowControl w:val="1"/>
              <w:ind/>
              <w:jc w:val="center"/>
              <w:rPr>
                <w:sz w:val="18"/>
              </w:rPr>
            </w:pPr>
            <w:r>
              <w:rPr>
                <w:sz w:val="18"/>
              </w:rPr>
              <w:t>31200</w:t>
            </w:r>
          </w:p>
        </w:tc>
        <w:tc>
          <w:tcPr>
            <w:tcW w:type="dxa" w:w="771"/>
            <w:tcBorders>
              <w:top w:color="000000" w:sz="4" w:val="single"/>
              <w:left w:color="000000" w:sz="4" w:val="single"/>
              <w:bottom w:color="000000" w:sz="4" w:val="single"/>
              <w:right w:color="000000" w:sz="4" w:val="single"/>
            </w:tcBorders>
            <w:shd w:fill="FFFFFF" w:val="clear"/>
            <w:vAlign w:val="center"/>
          </w:tcPr>
          <w:p w14:paraId="CE30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CF300000">
            <w:pPr>
              <w:widowControl w:val="1"/>
              <w:ind/>
              <w:jc w:val="center"/>
              <w:rPr>
                <w:sz w:val="18"/>
              </w:rPr>
            </w:pPr>
            <w:r>
              <w:rPr>
                <w:sz w:val="18"/>
              </w:rPr>
              <w:t>декабрь 2021 г.</w:t>
            </w:r>
          </w:p>
        </w:tc>
        <w:tc>
          <w:tcPr>
            <w:tcW w:type="dxa" w:w="709"/>
            <w:tcBorders>
              <w:top w:color="000000" w:sz="4" w:val="single"/>
              <w:left w:color="000000" w:sz="4" w:val="single"/>
              <w:bottom w:color="000000" w:sz="4" w:val="single"/>
              <w:right w:color="000000" w:sz="4" w:val="single"/>
            </w:tcBorders>
            <w:shd w:fill="auto" w:val="clear"/>
            <w:vAlign w:val="center"/>
          </w:tcPr>
          <w:p w14:paraId="D0300000">
            <w:pPr>
              <w:widowControl w:val="1"/>
              <w:ind/>
              <w:jc w:val="center"/>
              <w:rPr>
                <w:sz w:val="18"/>
              </w:rPr>
            </w:pPr>
            <w:r>
              <w:rPr>
                <w:sz w:val="18"/>
              </w:rPr>
              <w:t>лицензионный договор № 3174260 от 03.12.2018</w:t>
            </w:r>
          </w:p>
        </w:tc>
      </w:tr>
      <w:tr>
        <w:trPr>
          <w:trHeight w:hRule="atLeast" w:val="765"/>
        </w:trPr>
        <w:tc>
          <w:tcPr>
            <w:tcW w:type="dxa" w:w="708"/>
            <w:tcBorders>
              <w:top w:color="000000" w:sz="4" w:val="single"/>
              <w:left w:color="000000" w:sz="4" w:val="single"/>
              <w:bottom w:color="000000" w:sz="4" w:val="single"/>
              <w:right w:color="000000" w:sz="4" w:val="single"/>
            </w:tcBorders>
            <w:shd w:fill="FFFFFF" w:val="clear"/>
            <w:vAlign w:val="center"/>
          </w:tcPr>
          <w:p w14:paraId="D1300000">
            <w:pPr>
              <w:widowControl w:val="1"/>
              <w:ind/>
              <w:jc w:val="center"/>
              <w:rPr>
                <w:color w:val="000000"/>
                <w:sz w:val="18"/>
              </w:rPr>
            </w:pPr>
            <w:r>
              <w:rPr>
                <w:color w:val="000000"/>
                <w:sz w:val="18"/>
              </w:rPr>
              <w:t>54</w:t>
            </w:r>
          </w:p>
        </w:tc>
        <w:tc>
          <w:tcPr>
            <w:tcW w:type="dxa" w:w="618"/>
            <w:tcBorders>
              <w:top w:color="000000" w:sz="4" w:val="single"/>
              <w:left w:color="000000" w:sz="4" w:val="single"/>
              <w:bottom w:color="000000" w:sz="4" w:val="single"/>
              <w:right w:color="000000" w:sz="4" w:val="single"/>
            </w:tcBorders>
            <w:shd w:fill="FFFFFF" w:val="clear"/>
            <w:vAlign w:val="center"/>
          </w:tcPr>
          <w:p w14:paraId="D2300000">
            <w:pPr>
              <w:widowControl w:val="1"/>
              <w:ind/>
              <w:jc w:val="center"/>
              <w:rPr>
                <w:color w:val="000000"/>
                <w:sz w:val="18"/>
              </w:rPr>
            </w:pPr>
            <w:r>
              <w:rPr>
                <w:color w:val="000000"/>
                <w:sz w:val="18"/>
              </w:rPr>
              <w:t>68</w:t>
            </w:r>
          </w:p>
        </w:tc>
        <w:tc>
          <w:tcPr>
            <w:tcW w:type="dxa" w:w="993"/>
            <w:tcBorders>
              <w:top w:color="000000" w:sz="4" w:val="single"/>
              <w:left w:color="000000" w:sz="4" w:val="single"/>
              <w:bottom w:color="000000" w:sz="4" w:val="single"/>
              <w:right w:color="000000" w:sz="4" w:val="single"/>
            </w:tcBorders>
            <w:shd w:fill="FFFFFF" w:val="clear"/>
            <w:vAlign w:val="center"/>
          </w:tcPr>
          <w:p w14:paraId="D3300000">
            <w:pPr>
              <w:widowControl w:val="1"/>
              <w:ind/>
              <w:jc w:val="center"/>
              <w:rPr>
                <w:sz w:val="18"/>
              </w:rPr>
            </w:pPr>
            <w:r>
              <w:rPr>
                <w:sz w:val="18"/>
              </w:rPr>
              <w:t>оказание услуг связи</w:t>
            </w:r>
          </w:p>
        </w:tc>
        <w:tc>
          <w:tcPr>
            <w:tcW w:type="dxa" w:w="849"/>
            <w:tcBorders>
              <w:top w:color="000000" w:sz="4" w:val="single"/>
              <w:left w:color="000000" w:sz="4" w:val="single"/>
              <w:bottom w:color="000000" w:sz="4" w:val="single"/>
              <w:right w:color="000000" w:sz="4" w:val="single"/>
            </w:tcBorders>
            <w:shd w:fill="FFFFFF" w:val="clear"/>
            <w:vAlign w:val="center"/>
          </w:tcPr>
          <w:p w14:paraId="D430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D530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D6300000">
            <w:pPr>
              <w:widowControl w:val="1"/>
              <w:ind/>
              <w:jc w:val="center"/>
              <w:rPr>
                <w:sz w:val="18"/>
              </w:rPr>
            </w:pPr>
            <w:r>
              <w:rPr>
                <w:sz w:val="18"/>
              </w:rPr>
              <w:t>416989,83</w:t>
            </w:r>
          </w:p>
        </w:tc>
        <w:tc>
          <w:tcPr>
            <w:tcW w:type="dxa" w:w="1134"/>
            <w:tcBorders>
              <w:top w:color="000000" w:sz="4" w:val="single"/>
              <w:left w:color="000000" w:sz="4" w:val="single"/>
              <w:bottom w:color="000000" w:sz="4" w:val="single"/>
              <w:right w:color="000000" w:sz="4" w:val="single"/>
            </w:tcBorders>
            <w:shd w:fill="FFFFFF" w:val="clear"/>
            <w:vAlign w:val="center"/>
          </w:tcPr>
          <w:p w14:paraId="D7300000">
            <w:pPr>
              <w:widowControl w:val="1"/>
              <w:ind/>
              <w:jc w:val="center"/>
              <w:rPr>
                <w:sz w:val="18"/>
              </w:rPr>
            </w:pPr>
            <w:r>
              <w:rPr>
                <w:sz w:val="18"/>
              </w:rPr>
              <w:t>492048,00</w:t>
            </w:r>
          </w:p>
        </w:tc>
        <w:tc>
          <w:tcPr>
            <w:tcW w:type="dxa" w:w="993"/>
            <w:tcBorders>
              <w:top w:color="000000" w:sz="4" w:val="single"/>
              <w:left w:color="000000" w:sz="4" w:val="single"/>
              <w:bottom w:color="000000" w:sz="4" w:val="single"/>
              <w:right w:color="000000" w:sz="4" w:val="single"/>
            </w:tcBorders>
            <w:shd w:fill="FFFFFF" w:val="clear"/>
            <w:vAlign w:val="center"/>
          </w:tcPr>
          <w:p w14:paraId="D8300000">
            <w:pPr>
              <w:widowControl w:val="1"/>
              <w:ind/>
              <w:jc w:val="center"/>
              <w:rPr>
                <w:sz w:val="18"/>
              </w:rPr>
            </w:pPr>
            <w:r>
              <w:rPr>
                <w:sz w:val="18"/>
              </w:rPr>
              <w:t>ноябрь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D9300000">
            <w:pPr>
              <w:widowControl w:val="1"/>
              <w:ind/>
              <w:jc w:val="center"/>
              <w:rPr>
                <w:sz w:val="18"/>
              </w:rPr>
            </w:pPr>
            <w:r>
              <w:rPr>
                <w:sz w:val="18"/>
              </w:rPr>
              <w:t>октябрь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DA300000">
            <w:pPr>
              <w:widowControl w:val="1"/>
              <w:ind/>
              <w:jc w:val="center"/>
              <w:rPr>
                <w:sz w:val="18"/>
              </w:rPr>
            </w:pPr>
            <w:r>
              <w:rPr>
                <w:sz w:val="18"/>
              </w:rPr>
              <w:t>31 807 097 300,00</w:t>
            </w:r>
          </w:p>
        </w:tc>
        <w:tc>
          <w:tcPr>
            <w:tcW w:type="dxa" w:w="652"/>
            <w:tcBorders>
              <w:top w:color="000000" w:sz="4" w:val="single"/>
              <w:left w:color="000000" w:sz="4" w:val="single"/>
              <w:bottom w:color="000000" w:sz="4" w:val="single"/>
              <w:right w:color="000000" w:sz="4" w:val="single"/>
            </w:tcBorders>
            <w:shd w:fill="FFFFFF" w:val="clear"/>
            <w:vAlign w:val="center"/>
          </w:tcPr>
          <w:p w14:paraId="DB30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DC30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DD300000">
            <w:pPr>
              <w:widowControl w:val="1"/>
              <w:ind/>
              <w:jc w:val="center"/>
              <w:rPr>
                <w:sz w:val="18"/>
              </w:rPr>
            </w:pPr>
            <w:r>
              <w:rPr>
                <w:sz w:val="18"/>
              </w:rPr>
              <w:t>437705,7</w:t>
            </w:r>
          </w:p>
        </w:tc>
        <w:tc>
          <w:tcPr>
            <w:tcW w:type="dxa" w:w="1185"/>
            <w:tcBorders>
              <w:top w:color="000000" w:sz="4" w:val="single"/>
              <w:left w:color="000000" w:sz="4" w:val="single"/>
              <w:bottom w:color="000000" w:sz="4" w:val="single"/>
              <w:right w:color="000000" w:sz="4" w:val="single"/>
            </w:tcBorders>
            <w:shd w:fill="FFFFFF" w:val="clear"/>
            <w:vAlign w:val="center"/>
          </w:tcPr>
          <w:p w14:paraId="DE300000">
            <w:pPr>
              <w:widowControl w:val="1"/>
              <w:ind/>
              <w:jc w:val="center"/>
              <w:rPr>
                <w:sz w:val="18"/>
              </w:rPr>
            </w:pPr>
            <w:r>
              <w:rPr>
                <w:sz w:val="18"/>
              </w:rPr>
              <w:t>516492,72</w:t>
            </w:r>
          </w:p>
        </w:tc>
        <w:tc>
          <w:tcPr>
            <w:tcW w:type="dxa" w:w="1083"/>
            <w:tcBorders>
              <w:top w:color="000000" w:sz="4" w:val="single"/>
              <w:left w:color="000000" w:sz="4" w:val="single"/>
              <w:bottom w:color="000000" w:sz="4" w:val="single"/>
              <w:right w:color="000000" w:sz="4" w:val="single"/>
            </w:tcBorders>
            <w:shd w:fill="FFFFFF" w:val="clear"/>
            <w:vAlign w:val="center"/>
          </w:tcPr>
          <w:p w14:paraId="DF300000">
            <w:pPr>
              <w:widowControl w:val="1"/>
              <w:ind/>
              <w:jc w:val="center"/>
              <w:rPr>
                <w:sz w:val="18"/>
              </w:rPr>
            </w:pPr>
            <w:r>
              <w:rPr>
                <w:sz w:val="18"/>
              </w:rPr>
              <w:t>516492,72</w:t>
            </w:r>
          </w:p>
        </w:tc>
        <w:tc>
          <w:tcPr>
            <w:tcW w:type="dxa" w:w="771"/>
            <w:tcBorders>
              <w:top w:color="000000" w:sz="4" w:val="single"/>
              <w:left w:color="000000" w:sz="4" w:val="single"/>
              <w:bottom w:color="000000" w:sz="4" w:val="single"/>
              <w:right w:color="000000" w:sz="4" w:val="single"/>
            </w:tcBorders>
            <w:shd w:fill="FFFFFF" w:val="clear"/>
            <w:vAlign w:val="center"/>
          </w:tcPr>
          <w:p w14:paraId="E0300000">
            <w:pPr>
              <w:widowControl w:val="1"/>
              <w:ind/>
              <w:jc w:val="center"/>
              <w:rPr>
                <w:sz w:val="18"/>
              </w:rPr>
            </w:pPr>
            <w:r>
              <w:rPr>
                <w:sz w:val="18"/>
              </w:rPr>
              <w:t>ноябрь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1300000">
            <w:pPr>
              <w:widowControl w:val="1"/>
              <w:ind/>
              <w:jc w:val="center"/>
              <w:rPr>
                <w:sz w:val="18"/>
              </w:rPr>
            </w:pPr>
            <w:r>
              <w:rPr>
                <w:sz w:val="18"/>
              </w:rPr>
              <w:t>октябрь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E2300000">
            <w:pPr>
              <w:widowControl w:val="1"/>
              <w:ind/>
              <w:jc w:val="center"/>
              <w:rPr>
                <w:sz w:val="18"/>
              </w:rPr>
            </w:pPr>
            <w:r>
              <w:rPr>
                <w:sz w:val="18"/>
              </w:rPr>
              <w:t>договор № 178247584 от 01.11.2018</w:t>
            </w:r>
          </w:p>
        </w:tc>
      </w:tr>
      <w:tr>
        <w:trPr>
          <w:trHeight w:hRule="atLeast" w:val="2550"/>
        </w:trPr>
        <w:tc>
          <w:tcPr>
            <w:tcW w:type="dxa" w:w="708"/>
            <w:tcBorders>
              <w:top w:color="000000" w:sz="4" w:val="single"/>
              <w:left w:color="000000" w:sz="4" w:val="single"/>
              <w:bottom w:color="000000" w:sz="4" w:val="single"/>
              <w:right w:color="000000" w:sz="4" w:val="single"/>
            </w:tcBorders>
            <w:shd w:fill="FFFFFF" w:val="clear"/>
            <w:vAlign w:val="center"/>
          </w:tcPr>
          <w:p w14:paraId="E3300000">
            <w:pPr>
              <w:widowControl w:val="1"/>
              <w:ind/>
              <w:jc w:val="center"/>
              <w:rPr>
                <w:color w:val="000000"/>
                <w:sz w:val="18"/>
              </w:rPr>
            </w:pPr>
            <w:r>
              <w:rPr>
                <w:color w:val="000000"/>
                <w:sz w:val="18"/>
              </w:rPr>
              <w:t>55</w:t>
            </w:r>
          </w:p>
        </w:tc>
        <w:tc>
          <w:tcPr>
            <w:tcW w:type="dxa" w:w="618"/>
            <w:tcBorders>
              <w:top w:color="000000" w:sz="4" w:val="single"/>
              <w:left w:color="000000" w:sz="4" w:val="single"/>
              <w:bottom w:color="000000" w:sz="4" w:val="single"/>
              <w:right w:color="000000" w:sz="4" w:val="single"/>
            </w:tcBorders>
            <w:shd w:fill="FFFFFF" w:val="clear"/>
            <w:vAlign w:val="center"/>
          </w:tcPr>
          <w:p w14:paraId="E4300000">
            <w:pPr>
              <w:widowControl w:val="1"/>
              <w:ind/>
              <w:jc w:val="center"/>
              <w:rPr>
                <w:color w:val="000000"/>
                <w:sz w:val="18"/>
              </w:rPr>
            </w:pPr>
            <w:r>
              <w:rPr>
                <w:color w:val="000000"/>
                <w:sz w:val="18"/>
              </w:rPr>
              <w:t>69</w:t>
            </w:r>
          </w:p>
        </w:tc>
        <w:tc>
          <w:tcPr>
            <w:tcW w:type="dxa" w:w="993"/>
            <w:tcBorders>
              <w:top w:color="000000" w:sz="4" w:val="single"/>
              <w:left w:color="000000" w:sz="4" w:val="single"/>
              <w:bottom w:color="000000" w:sz="4" w:val="single"/>
              <w:right w:color="000000" w:sz="4" w:val="single"/>
            </w:tcBorders>
            <w:shd w:fill="FFFFFF" w:val="clear"/>
            <w:vAlign w:val="center"/>
          </w:tcPr>
          <w:p w14:paraId="E5300000">
            <w:pPr>
              <w:widowControl w:val="1"/>
              <w:ind/>
              <w:jc w:val="center"/>
              <w:rPr>
                <w:sz w:val="18"/>
              </w:rPr>
            </w:pPr>
            <w:r>
              <w:rPr>
                <w:sz w:val="18"/>
              </w:rPr>
              <w:t>оказание услуг по информационно-технологическому обслуживанию программных продуктов 1С: Предприятие 8</w:t>
            </w:r>
          </w:p>
        </w:tc>
        <w:tc>
          <w:tcPr>
            <w:tcW w:type="dxa" w:w="849"/>
            <w:tcBorders>
              <w:top w:color="000000" w:sz="4" w:val="single"/>
              <w:left w:color="000000" w:sz="4" w:val="single"/>
              <w:bottom w:color="000000" w:sz="4" w:val="single"/>
              <w:right w:color="000000" w:sz="4" w:val="single"/>
            </w:tcBorders>
            <w:shd w:fill="FFFFFF" w:val="clear"/>
            <w:vAlign w:val="center"/>
          </w:tcPr>
          <w:p w14:paraId="E630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E7300000">
            <w:pPr>
              <w:widowControl w:val="1"/>
              <w:ind/>
              <w:jc w:val="center"/>
              <w:rPr>
                <w:sz w:val="18"/>
              </w:rPr>
            </w:pPr>
            <w:r>
              <w:rPr>
                <w:sz w:val="18"/>
              </w:rPr>
              <w:t>391</w:t>
            </w:r>
          </w:p>
        </w:tc>
        <w:tc>
          <w:tcPr>
            <w:tcW w:type="dxa" w:w="991"/>
            <w:tcBorders>
              <w:top w:color="000000" w:sz="4" w:val="single"/>
              <w:left w:color="000000" w:sz="4" w:val="single"/>
              <w:bottom w:color="000000" w:sz="4" w:val="single"/>
              <w:right w:color="000000" w:sz="4" w:val="single"/>
            </w:tcBorders>
            <w:shd w:fill="FFFFFF" w:val="clear"/>
            <w:vAlign w:val="center"/>
          </w:tcPr>
          <w:p w14:paraId="E8300000">
            <w:pPr>
              <w:widowControl w:val="1"/>
              <w:ind/>
              <w:jc w:val="center"/>
              <w:rPr>
                <w:sz w:val="18"/>
              </w:rPr>
            </w:pPr>
            <w:r>
              <w:rPr>
                <w:sz w:val="18"/>
              </w:rPr>
              <w:t>498864,00</w:t>
            </w:r>
          </w:p>
        </w:tc>
        <w:tc>
          <w:tcPr>
            <w:tcW w:type="dxa" w:w="1134"/>
            <w:tcBorders>
              <w:top w:color="000000" w:sz="4" w:val="single"/>
              <w:left w:color="000000" w:sz="4" w:val="single"/>
              <w:bottom w:color="000000" w:sz="4" w:val="single"/>
              <w:right w:color="000000" w:sz="4" w:val="single"/>
            </w:tcBorders>
            <w:shd w:fill="FFFFFF" w:val="clear"/>
            <w:vAlign w:val="center"/>
          </w:tcPr>
          <w:p w14:paraId="E9300000">
            <w:pPr>
              <w:widowControl w:val="1"/>
              <w:ind/>
              <w:jc w:val="center"/>
              <w:rPr>
                <w:sz w:val="18"/>
              </w:rPr>
            </w:pPr>
            <w:r>
              <w:rPr>
                <w:sz w:val="18"/>
              </w:rPr>
              <w:t>498864,00</w:t>
            </w:r>
          </w:p>
        </w:tc>
        <w:tc>
          <w:tcPr>
            <w:tcW w:type="dxa" w:w="993"/>
            <w:tcBorders>
              <w:top w:color="000000" w:sz="4" w:val="single"/>
              <w:left w:color="000000" w:sz="4" w:val="single"/>
              <w:bottom w:color="000000" w:sz="4" w:val="single"/>
              <w:right w:color="000000" w:sz="4" w:val="single"/>
            </w:tcBorders>
            <w:shd w:fill="FFFFFF" w:val="clear"/>
            <w:vAlign w:val="center"/>
          </w:tcPr>
          <w:p w14:paraId="EA30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EB300000">
            <w:pPr>
              <w:widowControl w:val="1"/>
              <w:ind/>
              <w:jc w:val="center"/>
              <w:rPr>
                <w:sz w:val="18"/>
              </w:rPr>
            </w:pPr>
            <w:r>
              <w:rPr>
                <w:sz w:val="18"/>
              </w:rPr>
              <w:t>декабрь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EC30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ED30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EE300000">
            <w:pPr>
              <w:widowControl w:val="1"/>
              <w:ind/>
              <w:jc w:val="center"/>
              <w:rPr>
                <w:sz w:val="18"/>
              </w:rPr>
            </w:pPr>
            <w:r>
              <w:rPr>
                <w:sz w:val="18"/>
              </w:rPr>
              <w:t>391</w:t>
            </w:r>
          </w:p>
        </w:tc>
        <w:tc>
          <w:tcPr>
            <w:tcW w:type="dxa" w:w="1169"/>
            <w:tcBorders>
              <w:top w:color="000000" w:sz="4" w:val="single"/>
              <w:left w:color="000000" w:sz="4" w:val="single"/>
              <w:bottom w:color="000000" w:sz="4" w:val="single"/>
              <w:right w:color="000000" w:sz="4" w:val="single"/>
            </w:tcBorders>
            <w:shd w:fill="auto" w:val="clear"/>
            <w:vAlign w:val="center"/>
          </w:tcPr>
          <w:p w14:paraId="EF300000">
            <w:pPr>
              <w:widowControl w:val="1"/>
              <w:ind/>
              <w:jc w:val="center"/>
              <w:rPr>
                <w:sz w:val="18"/>
              </w:rPr>
            </w:pPr>
            <w:r>
              <w:rPr>
                <w:sz w:val="18"/>
              </w:rPr>
              <w:t>497151</w:t>
            </w:r>
          </w:p>
        </w:tc>
        <w:tc>
          <w:tcPr>
            <w:tcW w:type="dxa" w:w="1185"/>
            <w:tcBorders>
              <w:top w:color="000000" w:sz="4" w:val="single"/>
              <w:left w:color="000000" w:sz="4" w:val="single"/>
              <w:bottom w:color="000000" w:sz="4" w:val="single"/>
              <w:right w:color="000000" w:sz="4" w:val="single"/>
            </w:tcBorders>
            <w:shd w:fill="auto" w:val="clear"/>
            <w:vAlign w:val="center"/>
          </w:tcPr>
          <w:p w14:paraId="F0300000">
            <w:pPr>
              <w:widowControl w:val="1"/>
              <w:ind/>
              <w:jc w:val="center"/>
              <w:rPr>
                <w:sz w:val="18"/>
              </w:rPr>
            </w:pPr>
            <w:r>
              <w:rPr>
                <w:sz w:val="18"/>
              </w:rPr>
              <w:t>497151</w:t>
            </w:r>
          </w:p>
        </w:tc>
        <w:tc>
          <w:tcPr>
            <w:tcW w:type="dxa" w:w="1083"/>
            <w:tcBorders>
              <w:top w:color="000000" w:sz="4" w:val="single"/>
              <w:left w:color="000000" w:sz="4" w:val="single"/>
              <w:bottom w:color="000000" w:sz="4" w:val="single"/>
              <w:right w:color="000000" w:sz="4" w:val="single"/>
            </w:tcBorders>
            <w:shd w:fill="auto" w:val="clear"/>
            <w:vAlign w:val="center"/>
          </w:tcPr>
          <w:p w14:paraId="F1300000">
            <w:pPr>
              <w:widowControl w:val="1"/>
              <w:ind/>
              <w:jc w:val="center"/>
              <w:rPr>
                <w:sz w:val="18"/>
              </w:rPr>
            </w:pPr>
            <w:r>
              <w:rPr>
                <w:sz w:val="18"/>
              </w:rPr>
              <w:t>497151</w:t>
            </w:r>
          </w:p>
        </w:tc>
        <w:tc>
          <w:tcPr>
            <w:tcW w:type="dxa" w:w="771"/>
            <w:tcBorders>
              <w:top w:color="000000" w:sz="4" w:val="single"/>
              <w:left w:color="000000" w:sz="4" w:val="single"/>
              <w:bottom w:color="000000" w:sz="4" w:val="single"/>
              <w:right w:color="000000" w:sz="4" w:val="single"/>
            </w:tcBorders>
            <w:shd w:fill="FFFFFF" w:val="clear"/>
            <w:vAlign w:val="center"/>
          </w:tcPr>
          <w:p w14:paraId="F230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F3300000">
            <w:pPr>
              <w:widowControl w:val="1"/>
              <w:ind/>
              <w:jc w:val="center"/>
              <w:rPr>
                <w:sz w:val="18"/>
              </w:rPr>
            </w:pPr>
            <w:r>
              <w:rPr>
                <w:sz w:val="18"/>
              </w:rPr>
              <w:t>декабрь 2019 г.</w:t>
            </w:r>
          </w:p>
        </w:tc>
        <w:tc>
          <w:tcPr>
            <w:tcW w:type="dxa" w:w="709"/>
            <w:tcBorders>
              <w:top w:color="000000" w:sz="4" w:val="single"/>
              <w:left w:color="000000" w:sz="4" w:val="single"/>
              <w:bottom w:color="000000" w:sz="4" w:val="single"/>
              <w:right w:color="000000" w:sz="4" w:val="single"/>
            </w:tcBorders>
            <w:shd w:fill="auto" w:val="clear"/>
            <w:vAlign w:val="center"/>
          </w:tcPr>
          <w:p w14:paraId="F4300000">
            <w:pPr>
              <w:widowControl w:val="1"/>
              <w:ind/>
              <w:jc w:val="center"/>
              <w:rPr>
                <w:sz w:val="18"/>
              </w:rPr>
            </w:pPr>
            <w:r>
              <w:rPr>
                <w:sz w:val="18"/>
              </w:rPr>
              <w:t>договор № 265 от 26.12.2018</w:t>
            </w:r>
          </w:p>
        </w:tc>
      </w:tr>
      <w:tr>
        <w:trPr>
          <w:trHeight w:hRule="atLeast" w:val="1275"/>
        </w:trPr>
        <w:tc>
          <w:tcPr>
            <w:tcW w:type="dxa" w:w="708"/>
            <w:tcBorders>
              <w:top w:color="000000" w:sz="4" w:val="single"/>
              <w:left w:color="000000" w:sz="4" w:val="single"/>
              <w:bottom w:color="000000" w:sz="4" w:val="single"/>
              <w:right w:color="000000" w:sz="4" w:val="single"/>
            </w:tcBorders>
            <w:shd w:fill="FFFFFF" w:val="clear"/>
            <w:vAlign w:val="center"/>
          </w:tcPr>
          <w:p w14:paraId="F5300000">
            <w:pPr>
              <w:widowControl w:val="1"/>
              <w:ind/>
              <w:jc w:val="center"/>
              <w:rPr>
                <w:color w:val="000000"/>
                <w:sz w:val="18"/>
              </w:rPr>
            </w:pPr>
            <w:r>
              <w:rPr>
                <w:color w:val="000000"/>
                <w:sz w:val="18"/>
              </w:rPr>
              <w:t>56</w:t>
            </w:r>
          </w:p>
        </w:tc>
        <w:tc>
          <w:tcPr>
            <w:tcW w:type="dxa" w:w="618"/>
            <w:tcBorders>
              <w:top w:color="000000" w:sz="4" w:val="single"/>
              <w:left w:color="000000" w:sz="4" w:val="single"/>
              <w:bottom w:color="000000" w:sz="4" w:val="single"/>
              <w:right w:color="000000" w:sz="4" w:val="single"/>
            </w:tcBorders>
            <w:shd w:fill="FFFFFF" w:val="clear"/>
            <w:vAlign w:val="center"/>
          </w:tcPr>
          <w:p w14:paraId="F6300000">
            <w:pPr>
              <w:widowControl w:val="1"/>
              <w:ind/>
              <w:jc w:val="center"/>
              <w:rPr>
                <w:color w:val="000000"/>
                <w:sz w:val="18"/>
              </w:rPr>
            </w:pPr>
            <w:r>
              <w:rPr>
                <w:color w:val="000000"/>
                <w:sz w:val="18"/>
              </w:rPr>
              <w:t>70</w:t>
            </w:r>
          </w:p>
        </w:tc>
        <w:tc>
          <w:tcPr>
            <w:tcW w:type="dxa" w:w="993"/>
            <w:tcBorders>
              <w:top w:color="000000" w:sz="4" w:val="single"/>
              <w:left w:color="000000" w:sz="4" w:val="single"/>
              <w:bottom w:color="000000" w:sz="4" w:val="single"/>
              <w:right w:color="000000" w:sz="4" w:val="single"/>
            </w:tcBorders>
            <w:shd w:fill="FFFFFF" w:val="clear"/>
            <w:vAlign w:val="center"/>
          </w:tcPr>
          <w:p w14:paraId="F7300000">
            <w:pPr>
              <w:widowControl w:val="1"/>
              <w:ind/>
              <w:jc w:val="center"/>
              <w:rPr>
                <w:sz w:val="18"/>
              </w:rPr>
            </w:pPr>
            <w:r>
              <w:rPr>
                <w:sz w:val="18"/>
              </w:rPr>
              <w:t>оказание услуг по ликвидации (локализации) чрезвычайных ситуаций</w:t>
            </w:r>
          </w:p>
        </w:tc>
        <w:tc>
          <w:tcPr>
            <w:tcW w:type="dxa" w:w="849"/>
            <w:tcBorders>
              <w:top w:color="000000" w:sz="4" w:val="single"/>
              <w:left w:color="000000" w:sz="4" w:val="single"/>
              <w:bottom w:color="000000" w:sz="4" w:val="single"/>
              <w:right w:color="000000" w:sz="4" w:val="single"/>
            </w:tcBorders>
            <w:shd w:fill="FFFFFF" w:val="clear"/>
            <w:vAlign w:val="center"/>
          </w:tcPr>
          <w:p w14:paraId="F830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F930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FA300000">
            <w:pPr>
              <w:widowControl w:val="1"/>
              <w:ind/>
              <w:jc w:val="center"/>
              <w:rPr>
                <w:sz w:val="18"/>
              </w:rPr>
            </w:pPr>
            <w:r>
              <w:rPr>
                <w:sz w:val="18"/>
              </w:rPr>
              <w:t>398305,00</w:t>
            </w:r>
          </w:p>
        </w:tc>
        <w:tc>
          <w:tcPr>
            <w:tcW w:type="dxa" w:w="1134"/>
            <w:tcBorders>
              <w:top w:color="000000" w:sz="4" w:val="single"/>
              <w:left w:color="000000" w:sz="4" w:val="single"/>
              <w:bottom w:color="000000" w:sz="4" w:val="single"/>
              <w:right w:color="000000" w:sz="4" w:val="single"/>
            </w:tcBorders>
            <w:shd w:fill="FFFFFF" w:val="clear"/>
            <w:vAlign w:val="center"/>
          </w:tcPr>
          <w:p w14:paraId="FB300000">
            <w:pPr>
              <w:widowControl w:val="1"/>
              <w:ind/>
              <w:jc w:val="center"/>
              <w:rPr>
                <w:sz w:val="18"/>
              </w:rPr>
            </w:pPr>
            <w:r>
              <w:rPr>
                <w:sz w:val="18"/>
              </w:rPr>
              <w:t>470000,00</w:t>
            </w:r>
          </w:p>
        </w:tc>
        <w:tc>
          <w:tcPr>
            <w:tcW w:type="dxa" w:w="993"/>
            <w:tcBorders>
              <w:top w:color="000000" w:sz="4" w:val="single"/>
              <w:left w:color="000000" w:sz="4" w:val="single"/>
              <w:bottom w:color="000000" w:sz="4" w:val="single"/>
              <w:right w:color="000000" w:sz="4" w:val="single"/>
            </w:tcBorders>
            <w:shd w:fill="FFFFFF" w:val="clear"/>
            <w:vAlign w:val="center"/>
          </w:tcPr>
          <w:p w14:paraId="FC30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FD300000">
            <w:pPr>
              <w:widowControl w:val="1"/>
              <w:ind/>
              <w:jc w:val="center"/>
              <w:rPr>
                <w:sz w:val="18"/>
              </w:rPr>
            </w:pPr>
            <w:r>
              <w:rPr>
                <w:sz w:val="18"/>
              </w:rPr>
              <w:t>декабрь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FE30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FF30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0031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auto" w:val="clear"/>
            <w:vAlign w:val="center"/>
          </w:tcPr>
          <w:p w14:paraId="01310000">
            <w:pPr>
              <w:widowControl w:val="1"/>
              <w:ind/>
              <w:jc w:val="center"/>
              <w:rPr>
                <w:sz w:val="18"/>
              </w:rPr>
            </w:pPr>
            <w:r>
              <w:rPr>
                <w:sz w:val="18"/>
              </w:rPr>
              <w:t>386317,9</w:t>
            </w:r>
          </w:p>
        </w:tc>
        <w:tc>
          <w:tcPr>
            <w:tcW w:type="dxa" w:w="1185"/>
            <w:tcBorders>
              <w:top w:color="000000" w:sz="4" w:val="single"/>
              <w:left w:color="000000" w:sz="4" w:val="single"/>
              <w:bottom w:color="000000" w:sz="4" w:val="single"/>
              <w:right w:color="000000" w:sz="4" w:val="single"/>
            </w:tcBorders>
            <w:shd w:fill="auto" w:val="clear"/>
            <w:vAlign w:val="center"/>
          </w:tcPr>
          <w:p w14:paraId="02310000">
            <w:pPr>
              <w:widowControl w:val="1"/>
              <w:ind/>
              <w:jc w:val="center"/>
              <w:rPr>
                <w:sz w:val="18"/>
              </w:rPr>
            </w:pPr>
            <w:r>
              <w:rPr>
                <w:sz w:val="18"/>
              </w:rPr>
              <w:t>463581,58</w:t>
            </w:r>
          </w:p>
        </w:tc>
        <w:tc>
          <w:tcPr>
            <w:tcW w:type="dxa" w:w="1083"/>
            <w:tcBorders>
              <w:top w:color="000000" w:sz="4" w:val="single"/>
              <w:left w:color="000000" w:sz="4" w:val="single"/>
              <w:bottom w:color="000000" w:sz="4" w:val="single"/>
              <w:right w:color="000000" w:sz="4" w:val="single"/>
            </w:tcBorders>
            <w:shd w:fill="auto" w:val="clear"/>
            <w:vAlign w:val="center"/>
          </w:tcPr>
          <w:p w14:paraId="03310000">
            <w:pPr>
              <w:widowControl w:val="1"/>
              <w:ind/>
              <w:jc w:val="center"/>
              <w:rPr>
                <w:sz w:val="18"/>
              </w:rPr>
            </w:pPr>
            <w:r>
              <w:rPr>
                <w:sz w:val="18"/>
              </w:rPr>
              <w:t>463581,58</w:t>
            </w:r>
          </w:p>
        </w:tc>
        <w:tc>
          <w:tcPr>
            <w:tcW w:type="dxa" w:w="771"/>
            <w:tcBorders>
              <w:top w:color="000000" w:sz="4" w:val="single"/>
              <w:left w:color="000000" w:sz="4" w:val="single"/>
              <w:bottom w:color="000000" w:sz="4" w:val="single"/>
              <w:right w:color="000000" w:sz="4" w:val="single"/>
            </w:tcBorders>
            <w:shd w:fill="FFFFFF" w:val="clear"/>
            <w:vAlign w:val="center"/>
          </w:tcPr>
          <w:p w14:paraId="0431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05310000">
            <w:pPr>
              <w:widowControl w:val="1"/>
              <w:ind/>
              <w:jc w:val="center"/>
              <w:rPr>
                <w:sz w:val="18"/>
              </w:rPr>
            </w:pPr>
            <w:r>
              <w:rPr>
                <w:sz w:val="18"/>
              </w:rPr>
              <w:t>декабрь 2019 г.</w:t>
            </w:r>
          </w:p>
        </w:tc>
        <w:tc>
          <w:tcPr>
            <w:tcW w:type="dxa" w:w="709"/>
            <w:tcBorders>
              <w:top w:color="000000" w:sz="4" w:val="single"/>
              <w:left w:color="000000" w:sz="4" w:val="single"/>
              <w:bottom w:color="000000" w:sz="4" w:val="single"/>
              <w:right w:color="000000" w:sz="4" w:val="single"/>
            </w:tcBorders>
            <w:shd w:fill="auto" w:val="clear"/>
            <w:vAlign w:val="center"/>
          </w:tcPr>
          <w:p w14:paraId="06310000">
            <w:pPr>
              <w:widowControl w:val="1"/>
              <w:ind/>
              <w:jc w:val="center"/>
              <w:rPr>
                <w:sz w:val="18"/>
              </w:rPr>
            </w:pPr>
            <w:r>
              <w:rPr>
                <w:sz w:val="18"/>
              </w:rPr>
              <w:t>договор № НО13/1711 от 26.12.2018</w:t>
            </w:r>
          </w:p>
        </w:tc>
      </w:tr>
      <w:tr>
        <w:trPr>
          <w:trHeight w:hRule="atLeast" w:val="2115"/>
        </w:trPr>
        <w:tc>
          <w:tcPr>
            <w:tcW w:type="dxa" w:w="708"/>
            <w:tcBorders>
              <w:top w:color="000000" w:sz="4" w:val="single"/>
              <w:left w:color="000000" w:sz="4" w:val="single"/>
              <w:bottom w:color="000000" w:sz="4" w:val="single"/>
              <w:right w:color="000000" w:sz="4" w:val="single"/>
            </w:tcBorders>
            <w:shd w:fill="FFFFFF" w:val="clear"/>
            <w:vAlign w:val="center"/>
          </w:tcPr>
          <w:p w14:paraId="07310000">
            <w:pPr>
              <w:widowControl w:val="1"/>
              <w:ind/>
              <w:jc w:val="center"/>
              <w:rPr>
                <w:color w:val="000000"/>
                <w:sz w:val="18"/>
              </w:rPr>
            </w:pPr>
            <w:r>
              <w:rPr>
                <w:color w:val="000000"/>
                <w:sz w:val="18"/>
              </w:rPr>
              <w:t>57</w:t>
            </w:r>
          </w:p>
        </w:tc>
        <w:tc>
          <w:tcPr>
            <w:tcW w:type="dxa" w:w="618"/>
            <w:tcBorders>
              <w:top w:color="000000" w:sz="4" w:val="single"/>
              <w:left w:color="000000" w:sz="4" w:val="single"/>
              <w:bottom w:color="000000" w:sz="4" w:val="single"/>
              <w:right w:color="000000" w:sz="4" w:val="single"/>
            </w:tcBorders>
            <w:shd w:fill="FFFFFF" w:val="clear"/>
            <w:vAlign w:val="center"/>
          </w:tcPr>
          <w:p w14:paraId="08310000">
            <w:pPr>
              <w:widowControl w:val="1"/>
              <w:ind/>
              <w:jc w:val="center"/>
              <w:rPr>
                <w:sz w:val="18"/>
              </w:rPr>
            </w:pPr>
            <w:r>
              <w:rPr>
                <w:sz w:val="18"/>
              </w:rPr>
              <w:t>71</w:t>
            </w:r>
          </w:p>
        </w:tc>
        <w:tc>
          <w:tcPr>
            <w:tcW w:type="dxa" w:w="993"/>
            <w:tcBorders>
              <w:top w:color="000000" w:sz="4" w:val="single"/>
              <w:left w:color="000000" w:sz="4" w:val="single"/>
              <w:bottom w:color="000000" w:sz="4" w:val="single"/>
              <w:right w:color="000000" w:sz="4" w:val="single"/>
            </w:tcBorders>
            <w:shd w:fill="FFFFFF" w:val="clear"/>
            <w:vAlign w:val="center"/>
          </w:tcPr>
          <w:p w14:paraId="09310000">
            <w:pPr>
              <w:widowControl w:val="1"/>
              <w:ind/>
              <w:jc w:val="center"/>
              <w:rPr>
                <w:sz w:val="18"/>
              </w:rPr>
            </w:pPr>
            <w:r>
              <w:rPr>
                <w:sz w:val="18"/>
              </w:rPr>
              <w:t>Оказаниии  услуг по охране имущества в пунктах продаж расположенных в г. Красноярске</w:t>
            </w:r>
          </w:p>
        </w:tc>
        <w:tc>
          <w:tcPr>
            <w:tcW w:type="dxa" w:w="849"/>
            <w:tcBorders>
              <w:top w:color="000000" w:sz="4" w:val="single"/>
              <w:left w:color="000000" w:sz="4" w:val="single"/>
              <w:bottom w:color="000000" w:sz="4" w:val="single"/>
              <w:right w:color="000000" w:sz="4" w:val="single"/>
            </w:tcBorders>
            <w:shd w:fill="FFFFFF" w:val="clear"/>
            <w:vAlign w:val="center"/>
          </w:tcPr>
          <w:p w14:paraId="0A31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0B31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0C310000">
            <w:pPr>
              <w:widowControl w:val="1"/>
              <w:ind/>
              <w:jc w:val="center"/>
              <w:rPr>
                <w:sz w:val="18"/>
              </w:rPr>
            </w:pPr>
            <w:r>
              <w:rPr>
                <w:sz w:val="18"/>
              </w:rPr>
              <w:t>70000,00</w:t>
            </w:r>
          </w:p>
        </w:tc>
        <w:tc>
          <w:tcPr>
            <w:tcW w:type="dxa" w:w="1134"/>
            <w:tcBorders>
              <w:top w:color="000000" w:sz="4" w:val="single"/>
              <w:left w:color="000000" w:sz="4" w:val="single"/>
              <w:bottom w:color="000000" w:sz="4" w:val="single"/>
              <w:right w:color="000000" w:sz="4" w:val="single"/>
            </w:tcBorders>
            <w:shd w:fill="FFFFFF" w:val="clear"/>
            <w:vAlign w:val="center"/>
          </w:tcPr>
          <w:p w14:paraId="0D310000">
            <w:pPr>
              <w:widowControl w:val="1"/>
              <w:ind/>
              <w:jc w:val="center"/>
              <w:rPr>
                <w:sz w:val="18"/>
              </w:rPr>
            </w:pPr>
            <w:r>
              <w:rPr>
                <w:sz w:val="18"/>
              </w:rPr>
              <w:t>70000,00</w:t>
            </w:r>
          </w:p>
        </w:tc>
        <w:tc>
          <w:tcPr>
            <w:tcW w:type="dxa" w:w="993"/>
            <w:tcBorders>
              <w:top w:color="000000" w:sz="4" w:val="single"/>
              <w:left w:color="000000" w:sz="4" w:val="single"/>
              <w:bottom w:color="000000" w:sz="4" w:val="single"/>
              <w:right w:color="000000" w:sz="4" w:val="single"/>
            </w:tcBorders>
            <w:shd w:fill="FFFFFF" w:val="clear"/>
            <w:vAlign w:val="center"/>
          </w:tcPr>
          <w:p w14:paraId="0E31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0F310000">
            <w:pPr>
              <w:widowControl w:val="1"/>
              <w:ind/>
              <w:jc w:val="center"/>
              <w:rPr>
                <w:sz w:val="18"/>
              </w:rPr>
            </w:pPr>
            <w:r>
              <w:rPr>
                <w:sz w:val="18"/>
              </w:rPr>
              <w:t>декабрь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1031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1131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1231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auto" w:val="clear"/>
            <w:vAlign w:val="center"/>
          </w:tcPr>
          <w:p w14:paraId="13310000">
            <w:pPr>
              <w:widowControl w:val="1"/>
              <w:ind/>
              <w:jc w:val="center"/>
              <w:rPr>
                <w:sz w:val="18"/>
              </w:rPr>
            </w:pPr>
            <w:r>
              <w:rPr>
                <w:sz w:val="18"/>
              </w:rPr>
              <w:t>70200</w:t>
            </w:r>
          </w:p>
        </w:tc>
        <w:tc>
          <w:tcPr>
            <w:tcW w:type="dxa" w:w="1185"/>
            <w:tcBorders>
              <w:top w:color="000000" w:sz="4" w:val="single"/>
              <w:left w:color="000000" w:sz="4" w:val="single"/>
              <w:bottom w:color="000000" w:sz="4" w:val="single"/>
              <w:right w:color="000000" w:sz="4" w:val="single"/>
            </w:tcBorders>
            <w:shd w:fill="auto" w:val="clear"/>
            <w:vAlign w:val="center"/>
          </w:tcPr>
          <w:p w14:paraId="14310000">
            <w:pPr>
              <w:widowControl w:val="1"/>
              <w:ind/>
              <w:jc w:val="center"/>
              <w:rPr>
                <w:sz w:val="18"/>
              </w:rPr>
            </w:pPr>
            <w:r>
              <w:rPr>
                <w:sz w:val="18"/>
              </w:rPr>
              <w:t>70200</w:t>
            </w:r>
          </w:p>
        </w:tc>
        <w:tc>
          <w:tcPr>
            <w:tcW w:type="dxa" w:w="1083"/>
            <w:tcBorders>
              <w:top w:color="000000" w:sz="4" w:val="single"/>
              <w:left w:color="000000" w:sz="4" w:val="single"/>
              <w:bottom w:color="000000" w:sz="4" w:val="single"/>
              <w:right w:color="000000" w:sz="4" w:val="single"/>
            </w:tcBorders>
            <w:shd w:fill="auto" w:val="clear"/>
            <w:vAlign w:val="center"/>
          </w:tcPr>
          <w:p w14:paraId="15310000">
            <w:pPr>
              <w:widowControl w:val="1"/>
              <w:ind/>
              <w:jc w:val="center"/>
              <w:rPr>
                <w:sz w:val="18"/>
              </w:rPr>
            </w:pPr>
            <w:r>
              <w:rPr>
                <w:sz w:val="18"/>
              </w:rPr>
              <w:t>70200</w:t>
            </w:r>
          </w:p>
        </w:tc>
        <w:tc>
          <w:tcPr>
            <w:tcW w:type="dxa" w:w="771"/>
            <w:tcBorders>
              <w:top w:color="000000" w:sz="4" w:val="single"/>
              <w:left w:color="000000" w:sz="4" w:val="single"/>
              <w:bottom w:color="000000" w:sz="4" w:val="single"/>
              <w:right w:color="000000" w:sz="4" w:val="single"/>
            </w:tcBorders>
            <w:shd w:fill="FFFFFF" w:val="clear"/>
            <w:vAlign w:val="center"/>
          </w:tcPr>
          <w:p w14:paraId="1631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17310000">
            <w:pPr>
              <w:widowControl w:val="1"/>
              <w:ind/>
              <w:jc w:val="center"/>
              <w:rPr>
                <w:sz w:val="18"/>
              </w:rPr>
            </w:pPr>
            <w:r>
              <w:rPr>
                <w:sz w:val="18"/>
              </w:rPr>
              <w:t>декабрь 2019 г.</w:t>
            </w:r>
          </w:p>
        </w:tc>
        <w:tc>
          <w:tcPr>
            <w:tcW w:type="dxa" w:w="709"/>
            <w:tcBorders>
              <w:top w:color="000000" w:sz="4" w:val="single"/>
              <w:left w:color="000000" w:sz="4" w:val="single"/>
              <w:bottom w:color="000000" w:sz="4" w:val="single"/>
              <w:right w:color="000000" w:sz="4" w:val="single"/>
            </w:tcBorders>
            <w:shd w:fill="auto" w:val="clear"/>
            <w:vAlign w:val="center"/>
          </w:tcPr>
          <w:p w14:paraId="18310000">
            <w:pPr>
              <w:widowControl w:val="1"/>
              <w:ind/>
              <w:jc w:val="center"/>
              <w:rPr>
                <w:sz w:val="18"/>
              </w:rPr>
            </w:pPr>
            <w:r>
              <w:rPr>
                <w:sz w:val="18"/>
              </w:rPr>
              <w:t>договор № 5354 от 26.12.2018</w:t>
            </w:r>
          </w:p>
        </w:tc>
      </w:tr>
      <w:tr>
        <w:trPr>
          <w:trHeight w:hRule="atLeast" w:val="765"/>
        </w:trPr>
        <w:tc>
          <w:tcPr>
            <w:tcW w:type="dxa" w:w="708"/>
            <w:tcBorders>
              <w:top w:color="000000" w:sz="4" w:val="single"/>
              <w:left w:color="000000" w:sz="4" w:val="single"/>
              <w:bottom w:color="000000" w:sz="4" w:val="single"/>
              <w:right w:color="000000" w:sz="4" w:val="single"/>
            </w:tcBorders>
            <w:shd w:fill="FFFFFF" w:val="clear"/>
            <w:vAlign w:val="center"/>
          </w:tcPr>
          <w:p w14:paraId="19310000">
            <w:pPr>
              <w:widowControl w:val="1"/>
              <w:ind/>
              <w:jc w:val="center"/>
              <w:rPr>
                <w:color w:val="000000"/>
                <w:sz w:val="18"/>
              </w:rPr>
            </w:pPr>
            <w:r>
              <w:rPr>
                <w:color w:val="000000"/>
                <w:sz w:val="18"/>
              </w:rPr>
              <w:t>58</w:t>
            </w:r>
          </w:p>
        </w:tc>
        <w:tc>
          <w:tcPr>
            <w:tcW w:type="dxa" w:w="618"/>
            <w:tcBorders>
              <w:top w:color="000000" w:sz="4" w:val="single"/>
              <w:left w:color="000000" w:sz="4" w:val="single"/>
              <w:bottom w:color="000000" w:sz="4" w:val="single"/>
              <w:right w:color="000000" w:sz="4" w:val="single"/>
            </w:tcBorders>
            <w:shd w:fill="FFFFFF" w:val="clear"/>
            <w:vAlign w:val="center"/>
          </w:tcPr>
          <w:p w14:paraId="1A310000">
            <w:pPr>
              <w:widowControl w:val="1"/>
              <w:ind/>
              <w:jc w:val="center"/>
              <w:rPr>
                <w:sz w:val="18"/>
              </w:rPr>
            </w:pPr>
            <w:r>
              <w:rPr>
                <w:sz w:val="18"/>
              </w:rPr>
              <w:t>72</w:t>
            </w:r>
          </w:p>
        </w:tc>
        <w:tc>
          <w:tcPr>
            <w:tcW w:type="dxa" w:w="993"/>
            <w:tcBorders>
              <w:top w:color="000000" w:sz="4" w:val="single"/>
              <w:left w:color="000000" w:sz="4" w:val="single"/>
              <w:bottom w:color="000000" w:sz="4" w:val="single"/>
              <w:right w:color="000000" w:sz="4" w:val="single"/>
            </w:tcBorders>
            <w:shd w:fill="FFFFFF" w:val="clear"/>
            <w:vAlign w:val="center"/>
          </w:tcPr>
          <w:p w14:paraId="1B310000">
            <w:pPr>
              <w:widowControl w:val="1"/>
              <w:ind/>
              <w:jc w:val="center"/>
              <w:rPr>
                <w:sz w:val="18"/>
              </w:rPr>
            </w:pPr>
            <w:r>
              <w:rPr>
                <w:sz w:val="18"/>
              </w:rPr>
              <w:t>Оказание услуг казначейского контроля</w:t>
            </w:r>
          </w:p>
        </w:tc>
        <w:tc>
          <w:tcPr>
            <w:tcW w:type="dxa" w:w="849"/>
            <w:tcBorders>
              <w:top w:color="000000" w:sz="4" w:val="single"/>
              <w:left w:color="000000" w:sz="4" w:val="single"/>
              <w:bottom w:color="000000" w:sz="4" w:val="single"/>
              <w:right w:color="000000" w:sz="4" w:val="single"/>
            </w:tcBorders>
            <w:shd w:fill="FFFFFF" w:val="clear"/>
            <w:vAlign w:val="center"/>
          </w:tcPr>
          <w:p w14:paraId="1C310000">
            <w:pPr>
              <w:widowControl w:val="1"/>
              <w:ind/>
              <w:jc w:val="center"/>
              <w:rPr>
                <w:sz w:val="18"/>
              </w:rPr>
            </w:pPr>
            <w:r>
              <w:rPr>
                <w:sz w:val="18"/>
              </w:rPr>
              <w:t>ВЗЛ</w:t>
            </w:r>
          </w:p>
        </w:tc>
        <w:tc>
          <w:tcPr>
            <w:tcW w:type="dxa" w:w="709"/>
            <w:tcBorders>
              <w:top w:color="000000" w:sz="4" w:val="single"/>
              <w:left w:color="000000" w:sz="4" w:val="single"/>
              <w:bottom w:color="000000" w:sz="4" w:val="single"/>
              <w:right w:color="000000" w:sz="4" w:val="single"/>
            </w:tcBorders>
            <w:shd w:fill="FFFFFF" w:val="clear"/>
            <w:vAlign w:val="center"/>
          </w:tcPr>
          <w:p w14:paraId="1D31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1E310000">
            <w:pPr>
              <w:widowControl w:val="1"/>
              <w:ind/>
              <w:jc w:val="center"/>
              <w:rPr>
                <w:sz w:val="18"/>
              </w:rPr>
            </w:pPr>
            <w:r>
              <w:rPr>
                <w:sz w:val="18"/>
              </w:rPr>
              <w:t>100000,00</w:t>
            </w:r>
          </w:p>
        </w:tc>
        <w:tc>
          <w:tcPr>
            <w:tcW w:type="dxa" w:w="1134"/>
            <w:tcBorders>
              <w:top w:color="000000" w:sz="4" w:val="single"/>
              <w:left w:color="000000" w:sz="4" w:val="single"/>
              <w:bottom w:color="000000" w:sz="4" w:val="single"/>
              <w:right w:color="000000" w:sz="4" w:val="single"/>
            </w:tcBorders>
            <w:shd w:fill="FFFFFF" w:val="clear"/>
            <w:vAlign w:val="center"/>
          </w:tcPr>
          <w:p w14:paraId="1F310000">
            <w:pPr>
              <w:widowControl w:val="1"/>
              <w:ind/>
              <w:jc w:val="center"/>
              <w:rPr>
                <w:sz w:val="18"/>
              </w:rPr>
            </w:pPr>
            <w:r>
              <w:rPr>
                <w:sz w:val="18"/>
              </w:rPr>
              <w:t>120000,00</w:t>
            </w:r>
          </w:p>
        </w:tc>
        <w:tc>
          <w:tcPr>
            <w:tcW w:type="dxa" w:w="993"/>
            <w:tcBorders>
              <w:top w:color="000000" w:sz="4" w:val="single"/>
              <w:left w:color="000000" w:sz="4" w:val="single"/>
              <w:bottom w:color="000000" w:sz="4" w:val="single"/>
              <w:right w:color="000000" w:sz="4" w:val="single"/>
            </w:tcBorders>
            <w:shd w:fill="FFFFFF" w:val="clear"/>
            <w:vAlign w:val="center"/>
          </w:tcPr>
          <w:p w14:paraId="2031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21310000">
            <w:pPr>
              <w:widowControl w:val="1"/>
              <w:ind/>
              <w:jc w:val="center"/>
              <w:rPr>
                <w:sz w:val="18"/>
              </w:rPr>
            </w:pPr>
            <w:r>
              <w:rPr>
                <w:sz w:val="18"/>
              </w:rPr>
              <w:t>декабрь 2019г.</w:t>
            </w:r>
          </w:p>
        </w:tc>
        <w:tc>
          <w:tcPr>
            <w:tcW w:type="dxa" w:w="1334"/>
            <w:tcBorders>
              <w:top w:color="000000" w:sz="4" w:val="single"/>
              <w:left w:color="000000" w:sz="4" w:val="single"/>
              <w:bottom w:color="000000" w:sz="4" w:val="single"/>
              <w:right w:color="000000" w:sz="4" w:val="single"/>
            </w:tcBorders>
            <w:shd w:fill="FFFFFF" w:val="clear"/>
            <w:vAlign w:val="center"/>
          </w:tcPr>
          <w:p w14:paraId="22310000">
            <w:pPr>
              <w:widowControl w:val="1"/>
              <w:ind/>
              <w:jc w:val="center"/>
              <w:rPr>
                <w:color w:val="000000"/>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23310000">
            <w:pPr>
              <w:widowControl w:val="1"/>
              <w:ind/>
              <w:jc w:val="center"/>
              <w:rPr>
                <w:sz w:val="18"/>
              </w:rPr>
            </w:pPr>
            <w:r>
              <w:rPr>
                <w:sz w:val="18"/>
              </w:rPr>
              <w:t>ВЗЛ</w:t>
            </w:r>
          </w:p>
        </w:tc>
        <w:tc>
          <w:tcPr>
            <w:tcW w:type="dxa" w:w="992"/>
            <w:tcBorders>
              <w:top w:color="000000" w:sz="4" w:val="single"/>
              <w:left w:color="000000" w:sz="4" w:val="single"/>
              <w:bottom w:color="000000" w:sz="4" w:val="single"/>
              <w:right w:color="000000" w:sz="4" w:val="single"/>
            </w:tcBorders>
            <w:shd w:fill="FFFFFF" w:val="clear"/>
            <w:vAlign w:val="center"/>
          </w:tcPr>
          <w:p w14:paraId="2431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25310000">
            <w:pPr>
              <w:widowControl w:val="1"/>
              <w:ind/>
              <w:jc w:val="center"/>
              <w:rPr>
                <w:sz w:val="18"/>
              </w:rPr>
            </w:pPr>
            <w:r>
              <w:rPr>
                <w:sz w:val="18"/>
              </w:rPr>
              <w:t>100000,16</w:t>
            </w:r>
          </w:p>
        </w:tc>
        <w:tc>
          <w:tcPr>
            <w:tcW w:type="dxa" w:w="1185"/>
            <w:tcBorders>
              <w:top w:color="000000" w:sz="4" w:val="single"/>
              <w:left w:color="000000" w:sz="4" w:val="single"/>
              <w:bottom w:color="000000" w:sz="4" w:val="single"/>
              <w:right w:color="000000" w:sz="4" w:val="single"/>
            </w:tcBorders>
            <w:shd w:fill="FFFFFF" w:val="clear"/>
            <w:vAlign w:val="center"/>
          </w:tcPr>
          <w:p w14:paraId="26310000">
            <w:pPr>
              <w:widowControl w:val="1"/>
              <w:ind/>
              <w:jc w:val="center"/>
              <w:rPr>
                <w:sz w:val="18"/>
              </w:rPr>
            </w:pPr>
            <w:r>
              <w:rPr>
                <w:sz w:val="18"/>
              </w:rPr>
              <w:t>120000,2</w:t>
            </w:r>
          </w:p>
        </w:tc>
        <w:tc>
          <w:tcPr>
            <w:tcW w:type="dxa" w:w="1083"/>
            <w:tcBorders>
              <w:top w:color="000000" w:sz="4" w:val="single"/>
              <w:left w:color="000000" w:sz="4" w:val="single"/>
              <w:bottom w:color="000000" w:sz="4" w:val="single"/>
              <w:right w:color="000000" w:sz="4" w:val="single"/>
            </w:tcBorders>
            <w:shd w:fill="FFFFFF" w:val="clear"/>
            <w:vAlign w:val="center"/>
          </w:tcPr>
          <w:p w14:paraId="27310000">
            <w:pPr>
              <w:widowControl w:val="1"/>
              <w:ind/>
              <w:jc w:val="center"/>
              <w:rPr>
                <w:sz w:val="18"/>
              </w:rPr>
            </w:pPr>
            <w:r>
              <w:rPr>
                <w:sz w:val="18"/>
              </w:rPr>
              <w:t>120000,2</w:t>
            </w:r>
          </w:p>
        </w:tc>
        <w:tc>
          <w:tcPr>
            <w:tcW w:type="dxa" w:w="771"/>
            <w:tcBorders>
              <w:top w:color="000000" w:sz="4" w:val="single"/>
              <w:left w:color="000000" w:sz="4" w:val="single"/>
              <w:bottom w:color="000000" w:sz="4" w:val="single"/>
              <w:right w:color="000000" w:sz="4" w:val="single"/>
            </w:tcBorders>
            <w:shd w:fill="FFFFFF" w:val="clear"/>
            <w:vAlign w:val="center"/>
          </w:tcPr>
          <w:p w14:paraId="2831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29310000">
            <w:pPr>
              <w:widowControl w:val="1"/>
              <w:ind/>
              <w:jc w:val="center"/>
              <w:rPr>
                <w:sz w:val="18"/>
              </w:rPr>
            </w:pPr>
            <w:r>
              <w:rPr>
                <w:sz w:val="18"/>
              </w:rPr>
              <w:t>декабрь 2019г.</w:t>
            </w:r>
          </w:p>
        </w:tc>
        <w:tc>
          <w:tcPr>
            <w:tcW w:type="dxa" w:w="709"/>
            <w:tcBorders>
              <w:top w:color="000000" w:sz="4" w:val="single"/>
              <w:left w:color="000000" w:sz="4" w:val="single"/>
              <w:bottom w:color="000000" w:sz="4" w:val="single"/>
              <w:right w:color="000000" w:sz="4" w:val="single"/>
            </w:tcBorders>
            <w:shd w:fill="FFFFFF" w:val="clear"/>
            <w:vAlign w:val="center"/>
          </w:tcPr>
          <w:p w14:paraId="2A310000">
            <w:pPr>
              <w:widowControl w:val="1"/>
              <w:ind/>
              <w:jc w:val="center"/>
              <w:rPr>
                <w:sz w:val="18"/>
              </w:rPr>
            </w:pPr>
            <w:r>
              <w:rPr>
                <w:sz w:val="18"/>
              </w:rPr>
              <w:t>договор № 3164767 от 29.11.2018</w:t>
            </w:r>
          </w:p>
        </w:tc>
      </w:tr>
      <w:tr>
        <w:trPr>
          <w:trHeight w:hRule="atLeast" w:val="1065"/>
        </w:trPr>
        <w:tc>
          <w:tcPr>
            <w:tcW w:type="dxa" w:w="708"/>
            <w:tcBorders>
              <w:top w:color="000000" w:sz="4" w:val="single"/>
              <w:left w:color="000000" w:sz="4" w:val="single"/>
              <w:bottom w:color="000000" w:sz="4" w:val="single"/>
              <w:right w:color="000000" w:sz="4" w:val="single"/>
            </w:tcBorders>
            <w:shd w:fill="FFFFFF" w:val="clear"/>
            <w:vAlign w:val="center"/>
          </w:tcPr>
          <w:p w14:paraId="2B310000">
            <w:pPr>
              <w:widowControl w:val="1"/>
              <w:ind/>
              <w:jc w:val="center"/>
              <w:rPr>
                <w:color w:val="000000"/>
                <w:sz w:val="18"/>
              </w:rPr>
            </w:pPr>
            <w:r>
              <w:rPr>
                <w:color w:val="000000"/>
                <w:sz w:val="18"/>
              </w:rPr>
              <w:t>59</w:t>
            </w:r>
          </w:p>
        </w:tc>
        <w:tc>
          <w:tcPr>
            <w:tcW w:type="dxa" w:w="618"/>
            <w:tcBorders>
              <w:top w:color="000000" w:sz="4" w:val="single"/>
              <w:left w:color="000000" w:sz="4" w:val="single"/>
              <w:bottom w:color="000000" w:sz="4" w:val="single"/>
              <w:right w:color="000000" w:sz="4" w:val="single"/>
            </w:tcBorders>
            <w:shd w:fill="FFFFFF" w:val="clear"/>
            <w:vAlign w:val="center"/>
          </w:tcPr>
          <w:p w14:paraId="2C310000">
            <w:pPr>
              <w:widowControl w:val="1"/>
              <w:ind/>
              <w:jc w:val="center"/>
              <w:rPr>
                <w:sz w:val="18"/>
              </w:rPr>
            </w:pPr>
            <w:r>
              <w:rPr>
                <w:sz w:val="18"/>
              </w:rPr>
              <w:t>73</w:t>
            </w:r>
          </w:p>
        </w:tc>
        <w:tc>
          <w:tcPr>
            <w:tcW w:type="dxa" w:w="993"/>
            <w:tcBorders>
              <w:top w:color="000000" w:sz="4" w:val="single"/>
              <w:left w:color="000000" w:sz="4" w:val="single"/>
              <w:bottom w:color="000000" w:sz="4" w:val="single"/>
              <w:right w:color="000000" w:sz="4" w:val="single"/>
            </w:tcBorders>
            <w:shd w:fill="FFFFFF" w:val="clear"/>
            <w:vAlign w:val="center"/>
          </w:tcPr>
          <w:p w14:paraId="2D310000">
            <w:pPr>
              <w:widowControl w:val="1"/>
              <w:ind/>
              <w:jc w:val="center"/>
              <w:rPr>
                <w:sz w:val="18"/>
              </w:rPr>
            </w:pPr>
            <w:r>
              <w:rPr>
                <w:sz w:val="18"/>
              </w:rPr>
              <w:t>предоставление права использования товарного знака "РЖД"</w:t>
            </w:r>
          </w:p>
        </w:tc>
        <w:tc>
          <w:tcPr>
            <w:tcW w:type="dxa" w:w="849"/>
            <w:tcBorders>
              <w:top w:color="000000" w:sz="4" w:val="single"/>
              <w:left w:color="000000" w:sz="4" w:val="single"/>
              <w:bottom w:color="000000" w:sz="4" w:val="single"/>
              <w:right w:color="000000" w:sz="4" w:val="single"/>
            </w:tcBorders>
            <w:shd w:fill="FFFFFF" w:val="clear"/>
            <w:vAlign w:val="center"/>
          </w:tcPr>
          <w:p w14:paraId="2E31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2F31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30310000">
            <w:pPr>
              <w:widowControl w:val="1"/>
              <w:ind/>
              <w:jc w:val="center"/>
              <w:rPr>
                <w:sz w:val="18"/>
              </w:rPr>
            </w:pPr>
            <w:r>
              <w:rPr>
                <w:sz w:val="18"/>
              </w:rPr>
              <w:t>338983,00</w:t>
            </w:r>
          </w:p>
        </w:tc>
        <w:tc>
          <w:tcPr>
            <w:tcW w:type="dxa" w:w="1134"/>
            <w:tcBorders>
              <w:top w:color="000000" w:sz="4" w:val="single"/>
              <w:left w:color="000000" w:sz="4" w:val="single"/>
              <w:bottom w:color="000000" w:sz="4" w:val="single"/>
              <w:right w:color="000000" w:sz="4" w:val="single"/>
            </w:tcBorders>
            <w:shd w:fill="FFFFFF" w:val="clear"/>
            <w:vAlign w:val="center"/>
          </w:tcPr>
          <w:p w14:paraId="31310000">
            <w:pPr>
              <w:widowControl w:val="1"/>
              <w:ind/>
              <w:jc w:val="center"/>
              <w:rPr>
                <w:sz w:val="18"/>
              </w:rPr>
            </w:pPr>
            <w:r>
              <w:rPr>
                <w:sz w:val="18"/>
              </w:rPr>
              <w:t>400000,00</w:t>
            </w:r>
          </w:p>
        </w:tc>
        <w:tc>
          <w:tcPr>
            <w:tcW w:type="dxa" w:w="993"/>
            <w:tcBorders>
              <w:top w:color="000000" w:sz="4" w:val="single"/>
              <w:left w:color="000000" w:sz="4" w:val="single"/>
              <w:bottom w:color="000000" w:sz="4" w:val="single"/>
              <w:right w:color="000000" w:sz="4" w:val="single"/>
            </w:tcBorders>
            <w:shd w:fill="FFFFFF" w:val="clear"/>
            <w:vAlign w:val="center"/>
          </w:tcPr>
          <w:p w14:paraId="3231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33310000">
            <w:pPr>
              <w:widowControl w:val="1"/>
              <w:ind/>
              <w:jc w:val="center"/>
              <w:rPr>
                <w:sz w:val="18"/>
              </w:rPr>
            </w:pPr>
            <w:r>
              <w:rPr>
                <w:sz w:val="18"/>
              </w:rPr>
              <w:t>декабрь 2018г.</w:t>
            </w:r>
          </w:p>
        </w:tc>
        <w:tc>
          <w:tcPr>
            <w:tcW w:type="dxa" w:w="1334"/>
            <w:tcBorders>
              <w:top w:color="000000" w:sz="4" w:val="single"/>
              <w:left w:color="000000" w:sz="4" w:val="single"/>
              <w:bottom w:color="000000" w:sz="4" w:val="single"/>
              <w:right w:color="000000" w:sz="4" w:val="single"/>
            </w:tcBorders>
            <w:shd w:fill="FFFFFF" w:val="clear"/>
            <w:vAlign w:val="center"/>
          </w:tcPr>
          <w:p w14:paraId="34310000">
            <w:pPr>
              <w:widowControl w:val="1"/>
              <w:ind/>
              <w:jc w:val="center"/>
              <w:rPr>
                <w:sz w:val="18"/>
              </w:rPr>
            </w:pPr>
            <w:r>
              <w:rPr>
                <w:sz w:val="18"/>
              </w:rPr>
              <w:t>31806105346</w:t>
            </w:r>
          </w:p>
        </w:tc>
        <w:tc>
          <w:tcPr>
            <w:tcW w:type="dxa" w:w="652"/>
            <w:tcBorders>
              <w:top w:color="000000" w:sz="4" w:val="single"/>
              <w:left w:color="000000" w:sz="4" w:val="single"/>
              <w:bottom w:color="000000" w:sz="4" w:val="single"/>
              <w:right w:color="000000" w:sz="4" w:val="single"/>
            </w:tcBorders>
            <w:shd w:fill="FFFFFF" w:val="clear"/>
            <w:vAlign w:val="center"/>
          </w:tcPr>
          <w:p w14:paraId="3531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3631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37310000">
            <w:pPr>
              <w:widowControl w:val="1"/>
              <w:ind/>
              <w:jc w:val="center"/>
              <w:rPr>
                <w:sz w:val="18"/>
              </w:rPr>
            </w:pPr>
            <w:r>
              <w:rPr>
                <w:sz w:val="18"/>
              </w:rPr>
              <w:t>338983,05</w:t>
            </w:r>
          </w:p>
        </w:tc>
        <w:tc>
          <w:tcPr>
            <w:tcW w:type="dxa" w:w="1185"/>
            <w:tcBorders>
              <w:top w:color="000000" w:sz="4" w:val="single"/>
              <w:left w:color="000000" w:sz="4" w:val="single"/>
              <w:bottom w:color="000000" w:sz="4" w:val="single"/>
              <w:right w:color="000000" w:sz="4" w:val="single"/>
            </w:tcBorders>
            <w:shd w:fill="FFFFFF" w:val="clear"/>
            <w:vAlign w:val="center"/>
          </w:tcPr>
          <w:p w14:paraId="38310000">
            <w:pPr>
              <w:widowControl w:val="1"/>
              <w:ind/>
              <w:jc w:val="center"/>
              <w:rPr>
                <w:sz w:val="18"/>
              </w:rPr>
            </w:pPr>
            <w:r>
              <w:rPr>
                <w:sz w:val="18"/>
              </w:rPr>
              <w:t>400000,00</w:t>
            </w:r>
          </w:p>
        </w:tc>
        <w:tc>
          <w:tcPr>
            <w:tcW w:type="dxa" w:w="1083"/>
            <w:tcBorders>
              <w:top w:color="000000" w:sz="4" w:val="single"/>
              <w:left w:color="000000" w:sz="4" w:val="single"/>
              <w:bottom w:color="000000" w:sz="4" w:val="single"/>
              <w:right w:color="000000" w:sz="4" w:val="single"/>
            </w:tcBorders>
            <w:shd w:fill="FFFFFF" w:val="clear"/>
            <w:vAlign w:val="center"/>
          </w:tcPr>
          <w:p w14:paraId="39310000">
            <w:pPr>
              <w:widowControl w:val="1"/>
              <w:ind/>
              <w:jc w:val="center"/>
              <w:rPr>
                <w:sz w:val="18"/>
              </w:rPr>
            </w:pPr>
            <w:r>
              <w:rPr>
                <w:sz w:val="18"/>
              </w:rPr>
              <w:t>400000,00</w:t>
            </w:r>
          </w:p>
        </w:tc>
        <w:tc>
          <w:tcPr>
            <w:tcW w:type="dxa" w:w="771"/>
            <w:tcBorders>
              <w:top w:color="000000" w:sz="4" w:val="single"/>
              <w:left w:color="000000" w:sz="4" w:val="single"/>
              <w:bottom w:color="000000" w:sz="4" w:val="single"/>
              <w:right w:color="000000" w:sz="4" w:val="single"/>
            </w:tcBorders>
            <w:shd w:fill="FFFFFF" w:val="clear"/>
            <w:vAlign w:val="center"/>
          </w:tcPr>
          <w:p w14:paraId="3A31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3B310000">
            <w:pPr>
              <w:widowControl w:val="1"/>
              <w:ind/>
              <w:jc w:val="center"/>
              <w:rPr>
                <w:sz w:val="18"/>
              </w:rPr>
            </w:pPr>
            <w:r>
              <w:rPr>
                <w:sz w:val="18"/>
              </w:rPr>
              <w:t>декабрь 2018г.</w:t>
            </w:r>
          </w:p>
        </w:tc>
        <w:tc>
          <w:tcPr>
            <w:tcW w:type="dxa" w:w="709"/>
            <w:tcBorders>
              <w:top w:color="000000" w:sz="4" w:val="single"/>
              <w:left w:color="000000" w:sz="4" w:val="single"/>
              <w:bottom w:color="000000" w:sz="4" w:val="single"/>
              <w:right w:color="000000" w:sz="4" w:val="single"/>
            </w:tcBorders>
            <w:shd w:fill="FFFFFF" w:val="clear"/>
            <w:vAlign w:val="center"/>
          </w:tcPr>
          <w:p w14:paraId="3C310000">
            <w:pPr>
              <w:widowControl w:val="1"/>
              <w:ind/>
              <w:jc w:val="center"/>
              <w:rPr>
                <w:sz w:val="18"/>
              </w:rPr>
            </w:pPr>
            <w:r>
              <w:rPr>
                <w:sz w:val="18"/>
              </w:rPr>
              <w:t>лицензионный договор № 2773602 от 06.02.2018</w:t>
            </w:r>
          </w:p>
        </w:tc>
      </w:tr>
      <w:tr>
        <w:trPr>
          <w:trHeight w:hRule="atLeast" w:val="1485"/>
        </w:trPr>
        <w:tc>
          <w:tcPr>
            <w:tcW w:type="dxa" w:w="708"/>
            <w:tcBorders>
              <w:top w:color="000000" w:sz="4" w:val="single"/>
              <w:left w:color="000000" w:sz="4" w:val="single"/>
              <w:bottom w:color="000000" w:sz="4" w:val="single"/>
              <w:right w:color="000000" w:sz="4" w:val="single"/>
            </w:tcBorders>
            <w:shd w:fill="FFFFFF" w:val="clear"/>
            <w:vAlign w:val="center"/>
          </w:tcPr>
          <w:p w14:paraId="3D310000">
            <w:pPr>
              <w:widowControl w:val="1"/>
              <w:ind/>
              <w:jc w:val="center"/>
              <w:rPr>
                <w:color w:val="000000"/>
                <w:sz w:val="18"/>
              </w:rPr>
            </w:pPr>
            <w:r>
              <w:rPr>
                <w:color w:val="000000"/>
                <w:sz w:val="18"/>
              </w:rPr>
              <w:t>60</w:t>
            </w:r>
          </w:p>
        </w:tc>
        <w:tc>
          <w:tcPr>
            <w:tcW w:type="dxa" w:w="618"/>
            <w:tcBorders>
              <w:top w:color="000000" w:sz="4" w:val="single"/>
              <w:left w:color="000000" w:sz="4" w:val="single"/>
              <w:bottom w:color="000000" w:sz="4" w:val="single"/>
              <w:right w:color="000000" w:sz="4" w:val="single"/>
            </w:tcBorders>
            <w:shd w:fill="FFFFFF" w:val="clear"/>
            <w:vAlign w:val="center"/>
          </w:tcPr>
          <w:p w14:paraId="3E310000">
            <w:pPr>
              <w:widowControl w:val="1"/>
              <w:ind/>
              <w:jc w:val="center"/>
              <w:rPr>
                <w:sz w:val="18"/>
              </w:rPr>
            </w:pPr>
            <w:r>
              <w:rPr>
                <w:sz w:val="18"/>
              </w:rPr>
              <w:t>74</w:t>
            </w:r>
          </w:p>
        </w:tc>
        <w:tc>
          <w:tcPr>
            <w:tcW w:type="dxa" w:w="993"/>
            <w:tcBorders>
              <w:top w:color="000000" w:sz="4" w:val="single"/>
              <w:left w:color="000000" w:sz="4" w:val="single"/>
              <w:bottom w:color="000000" w:sz="4" w:val="single"/>
              <w:right w:color="000000" w:sz="4" w:val="single"/>
            </w:tcBorders>
            <w:shd w:fill="FFFFFF" w:val="clear"/>
            <w:vAlign w:val="center"/>
          </w:tcPr>
          <w:p w14:paraId="3F310000">
            <w:pPr>
              <w:widowControl w:val="1"/>
              <w:ind/>
              <w:jc w:val="center"/>
              <w:rPr>
                <w:sz w:val="18"/>
              </w:rPr>
            </w:pPr>
            <w:r>
              <w:rPr>
                <w:sz w:val="18"/>
              </w:rPr>
              <w:t>Оказание услуг аренды движимого имущества</w:t>
            </w:r>
          </w:p>
        </w:tc>
        <w:tc>
          <w:tcPr>
            <w:tcW w:type="dxa" w:w="849"/>
            <w:tcBorders>
              <w:top w:color="000000" w:sz="4" w:val="single"/>
              <w:left w:color="000000" w:sz="4" w:val="single"/>
              <w:bottom w:color="000000" w:sz="4" w:val="single"/>
              <w:right w:color="000000" w:sz="4" w:val="single"/>
            </w:tcBorders>
            <w:shd w:fill="FFFFFF" w:val="clear"/>
            <w:vAlign w:val="center"/>
          </w:tcPr>
          <w:p w14:paraId="4031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41310000">
            <w:pPr>
              <w:widowControl w:val="1"/>
              <w:ind/>
              <w:jc w:val="center"/>
              <w:rPr>
                <w:sz w:val="18"/>
              </w:rPr>
            </w:pPr>
            <w:r>
              <w:rPr>
                <w:sz w:val="18"/>
              </w:rPr>
              <w:t>35</w:t>
            </w:r>
          </w:p>
        </w:tc>
        <w:tc>
          <w:tcPr>
            <w:tcW w:type="dxa" w:w="991"/>
            <w:tcBorders>
              <w:top w:color="000000" w:sz="4" w:val="single"/>
              <w:left w:color="000000" w:sz="4" w:val="single"/>
              <w:bottom w:color="000000" w:sz="4" w:val="single"/>
              <w:right w:color="000000" w:sz="4" w:val="single"/>
            </w:tcBorders>
            <w:shd w:fill="FFFFFF" w:val="clear"/>
            <w:vAlign w:val="center"/>
          </w:tcPr>
          <w:p w14:paraId="42310000">
            <w:pPr>
              <w:widowControl w:val="1"/>
              <w:ind/>
              <w:jc w:val="center"/>
              <w:rPr>
                <w:sz w:val="18"/>
              </w:rPr>
            </w:pPr>
            <w:r>
              <w:rPr>
                <w:sz w:val="18"/>
              </w:rPr>
              <w:t>227091,55</w:t>
            </w:r>
          </w:p>
        </w:tc>
        <w:tc>
          <w:tcPr>
            <w:tcW w:type="dxa" w:w="1134"/>
            <w:tcBorders>
              <w:top w:color="000000" w:sz="4" w:val="single"/>
              <w:left w:color="000000" w:sz="4" w:val="single"/>
              <w:bottom w:color="000000" w:sz="4" w:val="single"/>
              <w:right w:color="000000" w:sz="4" w:val="single"/>
            </w:tcBorders>
            <w:shd w:fill="FFFFFF" w:val="clear"/>
            <w:vAlign w:val="center"/>
          </w:tcPr>
          <w:p w14:paraId="43310000">
            <w:pPr>
              <w:widowControl w:val="1"/>
              <w:ind/>
              <w:jc w:val="center"/>
              <w:rPr>
                <w:sz w:val="18"/>
              </w:rPr>
            </w:pPr>
            <w:r>
              <w:rPr>
                <w:sz w:val="18"/>
              </w:rPr>
              <w:t>267968,05</w:t>
            </w:r>
          </w:p>
        </w:tc>
        <w:tc>
          <w:tcPr>
            <w:tcW w:type="dxa" w:w="993"/>
            <w:tcBorders>
              <w:top w:color="000000" w:sz="4" w:val="single"/>
              <w:left w:color="000000" w:sz="4" w:val="single"/>
              <w:bottom w:color="000000" w:sz="4" w:val="single"/>
              <w:right w:color="000000" w:sz="4" w:val="single"/>
            </w:tcBorders>
            <w:shd w:fill="FFFFFF" w:val="clear"/>
            <w:vAlign w:val="center"/>
          </w:tcPr>
          <w:p w14:paraId="4431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45310000">
            <w:pPr>
              <w:widowControl w:val="1"/>
              <w:ind/>
              <w:jc w:val="center"/>
              <w:rPr>
                <w:sz w:val="18"/>
              </w:rPr>
            </w:pPr>
            <w:r>
              <w:rPr>
                <w:sz w:val="18"/>
              </w:rPr>
              <w:t>декабрь 2020 г.</w:t>
            </w:r>
          </w:p>
        </w:tc>
        <w:tc>
          <w:tcPr>
            <w:tcW w:type="dxa" w:w="1334"/>
            <w:tcBorders>
              <w:top w:color="000000" w:sz="4" w:val="single"/>
              <w:left w:color="000000" w:sz="4" w:val="single"/>
              <w:bottom w:color="000000" w:sz="4" w:val="single"/>
              <w:right w:color="000000" w:sz="4" w:val="single"/>
            </w:tcBorders>
            <w:shd w:fill="FFFFFF" w:val="clear"/>
            <w:vAlign w:val="center"/>
          </w:tcPr>
          <w:p w14:paraId="46310000">
            <w:pPr>
              <w:widowControl w:val="1"/>
              <w:ind/>
              <w:jc w:val="center"/>
              <w:rPr>
                <w:sz w:val="18"/>
              </w:rPr>
            </w:pPr>
            <w:r>
              <w:rPr>
                <w:sz w:val="18"/>
              </w:rPr>
              <w:t>31806163233</w:t>
            </w:r>
          </w:p>
        </w:tc>
        <w:tc>
          <w:tcPr>
            <w:tcW w:type="dxa" w:w="652"/>
            <w:tcBorders>
              <w:top w:color="000000" w:sz="4" w:val="single"/>
              <w:left w:color="000000" w:sz="4" w:val="single"/>
              <w:bottom w:color="000000" w:sz="4" w:val="single"/>
              <w:right w:color="000000" w:sz="4" w:val="single"/>
            </w:tcBorders>
            <w:shd w:fill="FFFFFF" w:val="clear"/>
            <w:vAlign w:val="center"/>
          </w:tcPr>
          <w:p w14:paraId="4731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48310000">
            <w:pPr>
              <w:widowControl w:val="1"/>
              <w:ind/>
              <w:jc w:val="center"/>
              <w:rPr>
                <w:sz w:val="18"/>
              </w:rPr>
            </w:pPr>
            <w:r>
              <w:rPr>
                <w:sz w:val="18"/>
              </w:rPr>
              <w:t>35</w:t>
            </w:r>
          </w:p>
        </w:tc>
        <w:tc>
          <w:tcPr>
            <w:tcW w:type="dxa" w:w="1169"/>
            <w:tcBorders>
              <w:top w:color="000000" w:sz="4" w:val="single"/>
              <w:left w:color="000000" w:sz="4" w:val="single"/>
              <w:bottom w:color="000000" w:sz="4" w:val="single"/>
              <w:right w:color="000000" w:sz="4" w:val="single"/>
            </w:tcBorders>
            <w:shd w:fill="FFFFFF" w:val="clear"/>
            <w:vAlign w:val="center"/>
          </w:tcPr>
          <w:p w14:paraId="49310000">
            <w:pPr>
              <w:widowControl w:val="1"/>
              <w:ind/>
              <w:jc w:val="center"/>
              <w:rPr>
                <w:sz w:val="18"/>
              </w:rPr>
            </w:pPr>
            <w:r>
              <w:rPr>
                <w:sz w:val="18"/>
              </w:rPr>
              <w:t>227091,67</w:t>
            </w:r>
          </w:p>
        </w:tc>
        <w:tc>
          <w:tcPr>
            <w:tcW w:type="dxa" w:w="1185"/>
            <w:tcBorders>
              <w:top w:color="000000" w:sz="4" w:val="single"/>
              <w:left w:color="000000" w:sz="4" w:val="single"/>
              <w:bottom w:color="000000" w:sz="4" w:val="single"/>
              <w:right w:color="000000" w:sz="4" w:val="single"/>
            </w:tcBorders>
            <w:shd w:fill="FFFFFF" w:val="clear"/>
            <w:vAlign w:val="center"/>
          </w:tcPr>
          <w:p w14:paraId="4A310000">
            <w:pPr>
              <w:widowControl w:val="1"/>
              <w:ind/>
              <w:jc w:val="center"/>
              <w:rPr>
                <w:sz w:val="18"/>
              </w:rPr>
            </w:pPr>
            <w:r>
              <w:rPr>
                <w:sz w:val="18"/>
              </w:rPr>
              <w:t>267968,17</w:t>
            </w:r>
          </w:p>
        </w:tc>
        <w:tc>
          <w:tcPr>
            <w:tcW w:type="dxa" w:w="1083"/>
            <w:tcBorders>
              <w:top w:color="000000" w:sz="4" w:val="single"/>
              <w:left w:color="000000" w:sz="4" w:val="single"/>
              <w:bottom w:color="000000" w:sz="4" w:val="single"/>
              <w:right w:color="000000" w:sz="4" w:val="single"/>
            </w:tcBorders>
            <w:shd w:fill="FFFFFF" w:val="clear"/>
            <w:vAlign w:val="center"/>
          </w:tcPr>
          <w:p w14:paraId="4B310000">
            <w:pPr>
              <w:widowControl w:val="1"/>
              <w:ind/>
              <w:jc w:val="center"/>
              <w:rPr>
                <w:sz w:val="18"/>
              </w:rPr>
            </w:pPr>
            <w:r>
              <w:rPr>
                <w:sz w:val="18"/>
              </w:rPr>
              <w:t>267968,17</w:t>
            </w:r>
          </w:p>
        </w:tc>
        <w:tc>
          <w:tcPr>
            <w:tcW w:type="dxa" w:w="771"/>
            <w:tcBorders>
              <w:top w:color="000000" w:sz="4" w:val="single"/>
              <w:left w:color="000000" w:sz="4" w:val="single"/>
              <w:bottom w:color="000000" w:sz="4" w:val="single"/>
              <w:right w:color="000000" w:sz="4" w:val="single"/>
            </w:tcBorders>
            <w:shd w:fill="FFFFFF" w:val="clear"/>
            <w:vAlign w:val="center"/>
          </w:tcPr>
          <w:p w14:paraId="4C31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4D310000">
            <w:pPr>
              <w:widowControl w:val="1"/>
              <w:ind/>
              <w:jc w:val="center"/>
              <w:rPr>
                <w:sz w:val="18"/>
              </w:rPr>
            </w:pPr>
            <w:r>
              <w:rPr>
                <w:sz w:val="18"/>
              </w:rPr>
              <w:t>декабрь 2020 г.</w:t>
            </w:r>
          </w:p>
        </w:tc>
        <w:tc>
          <w:tcPr>
            <w:tcW w:type="dxa" w:w="709"/>
            <w:tcBorders>
              <w:top w:color="000000" w:sz="4" w:val="single"/>
              <w:left w:color="000000" w:sz="4" w:val="single"/>
              <w:bottom w:color="000000" w:sz="4" w:val="single"/>
              <w:right w:color="000000" w:sz="4" w:val="single"/>
            </w:tcBorders>
            <w:shd w:fill="FFFFFF" w:val="clear"/>
            <w:vAlign w:val="center"/>
          </w:tcPr>
          <w:p w14:paraId="4E310000">
            <w:pPr>
              <w:widowControl w:val="1"/>
              <w:ind/>
              <w:jc w:val="center"/>
              <w:rPr>
                <w:sz w:val="18"/>
              </w:rPr>
            </w:pPr>
            <w:r>
              <w:rPr>
                <w:sz w:val="18"/>
              </w:rPr>
              <w:t>договор № 28-18/Ф(Енис) от 20.02.2018</w:t>
            </w:r>
          </w:p>
        </w:tc>
      </w:tr>
      <w:tr>
        <w:trPr>
          <w:trHeight w:hRule="atLeast" w:val="1110"/>
        </w:trPr>
        <w:tc>
          <w:tcPr>
            <w:tcW w:type="dxa" w:w="708"/>
            <w:tcBorders>
              <w:top w:color="000000" w:sz="4" w:val="single"/>
              <w:left w:color="000000" w:sz="4" w:val="single"/>
              <w:bottom w:color="000000" w:sz="4" w:val="single"/>
              <w:right w:color="000000" w:sz="4" w:val="single"/>
            </w:tcBorders>
            <w:shd w:fill="FFFFFF" w:val="clear"/>
            <w:vAlign w:val="center"/>
          </w:tcPr>
          <w:p w14:paraId="4F310000">
            <w:pPr>
              <w:widowControl w:val="1"/>
              <w:ind/>
              <w:jc w:val="center"/>
              <w:rPr>
                <w:color w:val="000000"/>
                <w:sz w:val="18"/>
              </w:rPr>
            </w:pPr>
            <w:r>
              <w:rPr>
                <w:color w:val="000000"/>
                <w:sz w:val="18"/>
              </w:rPr>
              <w:t>61</w:t>
            </w:r>
          </w:p>
        </w:tc>
        <w:tc>
          <w:tcPr>
            <w:tcW w:type="dxa" w:w="618"/>
            <w:tcBorders>
              <w:top w:color="000000" w:sz="4" w:val="single"/>
              <w:left w:color="000000" w:sz="4" w:val="single"/>
              <w:bottom w:color="000000" w:sz="4" w:val="single"/>
              <w:right w:color="000000" w:sz="4" w:val="single"/>
            </w:tcBorders>
            <w:shd w:fill="FFFFFF" w:val="clear"/>
            <w:vAlign w:val="center"/>
          </w:tcPr>
          <w:p w14:paraId="50310000">
            <w:pPr>
              <w:widowControl w:val="1"/>
              <w:ind/>
              <w:jc w:val="center"/>
              <w:rPr>
                <w:sz w:val="18"/>
              </w:rPr>
            </w:pPr>
            <w:r>
              <w:rPr>
                <w:sz w:val="18"/>
              </w:rPr>
              <w:t>75</w:t>
            </w:r>
          </w:p>
        </w:tc>
        <w:tc>
          <w:tcPr>
            <w:tcW w:type="dxa" w:w="993"/>
            <w:tcBorders>
              <w:top w:color="000000" w:sz="4" w:val="single"/>
              <w:left w:color="000000" w:sz="4" w:val="single"/>
              <w:bottom w:color="000000" w:sz="4" w:val="single"/>
              <w:right w:color="000000" w:sz="4" w:val="single"/>
            </w:tcBorders>
            <w:shd w:fill="FFFFFF" w:val="clear"/>
            <w:vAlign w:val="center"/>
          </w:tcPr>
          <w:p w14:paraId="51310000">
            <w:pPr>
              <w:widowControl w:val="1"/>
              <w:ind/>
              <w:jc w:val="center"/>
              <w:rPr>
                <w:color w:val="000000"/>
                <w:sz w:val="18"/>
              </w:rPr>
            </w:pPr>
            <w:r>
              <w:rPr>
                <w:color w:val="000000"/>
                <w:sz w:val="18"/>
              </w:rPr>
              <w:t>оказание услуг  по изготовлению рекламно-информационного ролика о развитии пассажирских перевозок</w:t>
            </w:r>
          </w:p>
        </w:tc>
        <w:tc>
          <w:tcPr>
            <w:tcW w:type="dxa" w:w="849"/>
            <w:tcBorders>
              <w:top w:color="000000" w:sz="4" w:val="single"/>
              <w:left w:color="000000" w:sz="4" w:val="single"/>
              <w:bottom w:color="000000" w:sz="4" w:val="single"/>
              <w:right w:color="000000" w:sz="4" w:val="single"/>
            </w:tcBorders>
            <w:shd w:fill="FFFFFF" w:val="clear"/>
            <w:vAlign w:val="center"/>
          </w:tcPr>
          <w:p w14:paraId="5231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53310000">
            <w:pPr>
              <w:widowControl w:val="1"/>
              <w:ind/>
              <w:jc w:val="center"/>
              <w:rPr>
                <w:sz w:val="18"/>
              </w:rPr>
            </w:pPr>
            <w:r>
              <w:rPr>
                <w:sz w:val="18"/>
              </w:rPr>
              <w:t>120</w:t>
            </w:r>
          </w:p>
        </w:tc>
        <w:tc>
          <w:tcPr>
            <w:tcW w:type="dxa" w:w="991"/>
            <w:tcBorders>
              <w:top w:color="000000" w:sz="4" w:val="single"/>
              <w:left w:color="000000" w:sz="4" w:val="single"/>
              <w:bottom w:color="000000" w:sz="4" w:val="single"/>
              <w:right w:color="000000" w:sz="4" w:val="single"/>
            </w:tcBorders>
            <w:shd w:fill="FFFFFF" w:val="clear"/>
            <w:vAlign w:val="center"/>
          </w:tcPr>
          <w:p w14:paraId="54310000">
            <w:pPr>
              <w:widowControl w:val="1"/>
              <w:ind/>
              <w:jc w:val="center"/>
              <w:rPr>
                <w:sz w:val="18"/>
              </w:rPr>
            </w:pPr>
            <w:r>
              <w:rPr>
                <w:sz w:val="18"/>
              </w:rPr>
              <w:t>290000,00</w:t>
            </w:r>
          </w:p>
        </w:tc>
        <w:tc>
          <w:tcPr>
            <w:tcW w:type="dxa" w:w="1134"/>
            <w:tcBorders>
              <w:top w:color="000000" w:sz="4" w:val="single"/>
              <w:left w:color="000000" w:sz="4" w:val="single"/>
              <w:bottom w:color="000000" w:sz="4" w:val="single"/>
              <w:right w:color="000000" w:sz="4" w:val="single"/>
            </w:tcBorders>
            <w:shd w:fill="FFFFFF" w:val="clear"/>
            <w:vAlign w:val="center"/>
          </w:tcPr>
          <w:p w14:paraId="55310000">
            <w:pPr>
              <w:widowControl w:val="1"/>
              <w:ind/>
              <w:jc w:val="center"/>
              <w:rPr>
                <w:sz w:val="18"/>
              </w:rPr>
            </w:pPr>
            <w:r>
              <w:rPr>
                <w:sz w:val="18"/>
              </w:rPr>
              <w:t>290000,00</w:t>
            </w:r>
          </w:p>
        </w:tc>
        <w:tc>
          <w:tcPr>
            <w:tcW w:type="dxa" w:w="993"/>
            <w:tcBorders>
              <w:top w:color="000000" w:sz="4" w:val="single"/>
              <w:left w:color="000000" w:sz="4" w:val="single"/>
              <w:bottom w:color="000000" w:sz="4" w:val="single"/>
              <w:right w:color="000000" w:sz="4" w:val="single"/>
            </w:tcBorders>
            <w:shd w:fill="FFFFFF" w:val="clear"/>
            <w:vAlign w:val="center"/>
          </w:tcPr>
          <w:p w14:paraId="5631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57310000">
            <w:pPr>
              <w:widowControl w:val="1"/>
              <w:ind/>
              <w:jc w:val="center"/>
              <w:rPr>
                <w:sz w:val="18"/>
              </w:rPr>
            </w:pPr>
            <w:r>
              <w:rPr>
                <w:sz w:val="18"/>
              </w:rPr>
              <w:t>апрель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58310000">
            <w:pPr>
              <w:widowControl w:val="1"/>
              <w:ind/>
              <w:jc w:val="center"/>
              <w:rPr>
                <w:sz w:val="18"/>
              </w:rPr>
            </w:pPr>
            <w:r>
              <w:rPr>
                <w:sz w:val="18"/>
              </w:rPr>
              <w:t>31806245673</w:t>
            </w:r>
          </w:p>
        </w:tc>
        <w:tc>
          <w:tcPr>
            <w:tcW w:type="dxa" w:w="652"/>
            <w:tcBorders>
              <w:top w:color="000000" w:sz="4" w:val="single"/>
              <w:left w:color="000000" w:sz="4" w:val="single"/>
              <w:bottom w:color="000000" w:sz="4" w:val="single"/>
              <w:right w:color="000000" w:sz="4" w:val="single"/>
            </w:tcBorders>
            <w:shd w:fill="FFFFFF" w:val="clear"/>
            <w:vAlign w:val="center"/>
          </w:tcPr>
          <w:p w14:paraId="5931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5A310000">
            <w:pPr>
              <w:widowControl w:val="1"/>
              <w:ind/>
              <w:jc w:val="center"/>
              <w:rPr>
                <w:sz w:val="18"/>
              </w:rPr>
            </w:pPr>
            <w:r>
              <w:rPr>
                <w:sz w:val="18"/>
              </w:rPr>
              <w:t>120</w:t>
            </w:r>
          </w:p>
        </w:tc>
        <w:tc>
          <w:tcPr>
            <w:tcW w:type="dxa" w:w="1169"/>
            <w:tcBorders>
              <w:top w:color="000000" w:sz="4" w:val="single"/>
              <w:left w:color="000000" w:sz="4" w:val="single"/>
              <w:bottom w:color="000000" w:sz="4" w:val="single"/>
              <w:right w:color="000000" w:sz="4" w:val="single"/>
            </w:tcBorders>
            <w:shd w:fill="FFFFFF" w:val="clear"/>
            <w:vAlign w:val="center"/>
          </w:tcPr>
          <w:p w14:paraId="5B310000">
            <w:pPr>
              <w:widowControl w:val="1"/>
              <w:ind/>
              <w:jc w:val="center"/>
              <w:rPr>
                <w:sz w:val="18"/>
              </w:rPr>
            </w:pPr>
            <w:r>
              <w:rPr>
                <w:sz w:val="18"/>
              </w:rPr>
              <w:t>290000,00</w:t>
            </w:r>
          </w:p>
        </w:tc>
        <w:tc>
          <w:tcPr>
            <w:tcW w:type="dxa" w:w="1185"/>
            <w:tcBorders>
              <w:top w:color="000000" w:sz="4" w:val="single"/>
              <w:left w:color="000000" w:sz="4" w:val="single"/>
              <w:bottom w:color="000000" w:sz="4" w:val="single"/>
              <w:right w:color="000000" w:sz="4" w:val="single"/>
            </w:tcBorders>
            <w:shd w:fill="FFFFFF" w:val="clear"/>
            <w:vAlign w:val="center"/>
          </w:tcPr>
          <w:p w14:paraId="5C310000">
            <w:pPr>
              <w:widowControl w:val="1"/>
              <w:ind/>
              <w:jc w:val="center"/>
              <w:rPr>
                <w:sz w:val="18"/>
              </w:rPr>
            </w:pPr>
            <w:r>
              <w:rPr>
                <w:sz w:val="18"/>
              </w:rPr>
              <w:t>290000,00</w:t>
            </w:r>
          </w:p>
        </w:tc>
        <w:tc>
          <w:tcPr>
            <w:tcW w:type="dxa" w:w="1083"/>
            <w:tcBorders>
              <w:top w:color="000000" w:sz="4" w:val="single"/>
              <w:left w:color="000000" w:sz="4" w:val="single"/>
              <w:bottom w:color="000000" w:sz="4" w:val="single"/>
              <w:right w:color="000000" w:sz="4" w:val="single"/>
            </w:tcBorders>
            <w:shd w:fill="FFFFFF" w:val="clear"/>
            <w:vAlign w:val="center"/>
          </w:tcPr>
          <w:p w14:paraId="5D310000">
            <w:pPr>
              <w:widowControl w:val="1"/>
              <w:ind/>
              <w:jc w:val="center"/>
              <w:rPr>
                <w:sz w:val="18"/>
              </w:rPr>
            </w:pPr>
            <w:r>
              <w:rPr>
                <w:sz w:val="18"/>
              </w:rPr>
              <w:t>290000,00</w:t>
            </w:r>
          </w:p>
        </w:tc>
        <w:tc>
          <w:tcPr>
            <w:tcW w:type="dxa" w:w="771"/>
            <w:tcBorders>
              <w:top w:color="000000" w:sz="4" w:val="single"/>
              <w:left w:color="000000" w:sz="4" w:val="single"/>
              <w:bottom w:color="000000" w:sz="4" w:val="single"/>
              <w:right w:color="000000" w:sz="4" w:val="single"/>
            </w:tcBorders>
            <w:shd w:fill="FFFFFF" w:val="clear"/>
            <w:vAlign w:val="center"/>
          </w:tcPr>
          <w:p w14:paraId="5E31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F310000">
            <w:pPr>
              <w:widowControl w:val="1"/>
              <w:ind/>
              <w:jc w:val="center"/>
              <w:rPr>
                <w:sz w:val="18"/>
              </w:rPr>
            </w:pPr>
            <w:r>
              <w:rPr>
                <w:sz w:val="18"/>
              </w:rPr>
              <w:t>апрель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60310000">
            <w:pPr>
              <w:widowControl w:val="1"/>
              <w:ind/>
              <w:jc w:val="center"/>
              <w:rPr>
                <w:sz w:val="18"/>
              </w:rPr>
            </w:pPr>
            <w:r>
              <w:rPr>
                <w:sz w:val="18"/>
              </w:rPr>
              <w:t>договор № 45 от 15.03.2018</w:t>
            </w:r>
          </w:p>
        </w:tc>
      </w:tr>
      <w:tr>
        <w:trPr>
          <w:trHeight w:hRule="atLeast" w:val="2550"/>
        </w:trPr>
        <w:tc>
          <w:tcPr>
            <w:tcW w:type="dxa" w:w="708"/>
            <w:tcBorders>
              <w:top w:color="000000" w:sz="4" w:val="single"/>
              <w:left w:color="000000" w:sz="4" w:val="single"/>
              <w:bottom w:color="000000" w:sz="4" w:val="single"/>
              <w:right w:color="000000" w:sz="4" w:val="single"/>
            </w:tcBorders>
            <w:shd w:fill="FFFFFF" w:val="clear"/>
            <w:vAlign w:val="center"/>
          </w:tcPr>
          <w:p w14:paraId="61310000">
            <w:pPr>
              <w:widowControl w:val="1"/>
              <w:ind/>
              <w:jc w:val="center"/>
              <w:rPr>
                <w:color w:val="000000"/>
                <w:sz w:val="18"/>
              </w:rPr>
            </w:pPr>
            <w:r>
              <w:rPr>
                <w:color w:val="000000"/>
                <w:sz w:val="18"/>
              </w:rPr>
              <w:t>62</w:t>
            </w:r>
          </w:p>
        </w:tc>
        <w:tc>
          <w:tcPr>
            <w:tcW w:type="dxa" w:w="618"/>
            <w:tcBorders>
              <w:top w:color="000000" w:sz="4" w:val="single"/>
              <w:left w:color="000000" w:sz="4" w:val="single"/>
              <w:bottom w:color="000000" w:sz="4" w:val="single"/>
              <w:right w:color="000000" w:sz="4" w:val="single"/>
            </w:tcBorders>
            <w:shd w:fill="FFFFFF" w:val="clear"/>
            <w:vAlign w:val="center"/>
          </w:tcPr>
          <w:p w14:paraId="62310000">
            <w:pPr>
              <w:widowControl w:val="1"/>
              <w:ind/>
              <w:jc w:val="center"/>
              <w:rPr>
                <w:sz w:val="18"/>
              </w:rPr>
            </w:pPr>
            <w:r>
              <w:rPr>
                <w:sz w:val="18"/>
              </w:rPr>
              <w:t>76</w:t>
            </w:r>
          </w:p>
        </w:tc>
        <w:tc>
          <w:tcPr>
            <w:tcW w:type="dxa" w:w="993"/>
            <w:tcBorders>
              <w:top w:color="000000" w:sz="4" w:val="single"/>
              <w:left w:color="000000" w:sz="4" w:val="single"/>
              <w:bottom w:color="000000" w:sz="4" w:val="single"/>
              <w:right w:color="000000" w:sz="4" w:val="single"/>
            </w:tcBorders>
            <w:shd w:fill="FFFFFF" w:val="clear"/>
            <w:vAlign w:val="center"/>
          </w:tcPr>
          <w:p w14:paraId="63310000">
            <w:pPr>
              <w:widowControl w:val="1"/>
              <w:ind/>
              <w:jc w:val="center"/>
              <w:rPr>
                <w:sz w:val="18"/>
              </w:rPr>
            </w:pPr>
            <w:r>
              <w:rPr>
                <w:sz w:val="18"/>
              </w:rPr>
              <w:t>Оказание услуг по подготовке и/или размещению рекламно-информационных материалов в периодических изданиях</w:t>
            </w:r>
          </w:p>
        </w:tc>
        <w:tc>
          <w:tcPr>
            <w:tcW w:type="dxa" w:w="849"/>
            <w:tcBorders>
              <w:top w:color="000000" w:sz="4" w:val="single"/>
              <w:left w:color="000000" w:sz="4" w:val="single"/>
              <w:bottom w:color="000000" w:sz="4" w:val="single"/>
              <w:right w:color="000000" w:sz="4" w:val="single"/>
            </w:tcBorders>
            <w:shd w:fill="FFFFFF" w:val="clear"/>
            <w:vAlign w:val="center"/>
          </w:tcPr>
          <w:p w14:paraId="6431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6531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66310000">
            <w:pPr>
              <w:widowControl w:val="1"/>
              <w:ind/>
              <w:jc w:val="center"/>
              <w:rPr>
                <w:sz w:val="18"/>
              </w:rPr>
            </w:pPr>
            <w:r>
              <w:rPr>
                <w:sz w:val="18"/>
              </w:rPr>
              <w:t>125576,00</w:t>
            </w:r>
          </w:p>
        </w:tc>
        <w:tc>
          <w:tcPr>
            <w:tcW w:type="dxa" w:w="1134"/>
            <w:tcBorders>
              <w:top w:color="000000" w:sz="4" w:val="single"/>
              <w:left w:color="000000" w:sz="4" w:val="single"/>
              <w:bottom w:color="000000" w:sz="4" w:val="single"/>
              <w:right w:color="000000" w:sz="4" w:val="single"/>
            </w:tcBorders>
            <w:shd w:fill="FFFFFF" w:val="clear"/>
            <w:vAlign w:val="center"/>
          </w:tcPr>
          <w:p w14:paraId="67310000">
            <w:pPr>
              <w:widowControl w:val="1"/>
              <w:ind/>
              <w:jc w:val="center"/>
              <w:rPr>
                <w:sz w:val="18"/>
              </w:rPr>
            </w:pPr>
            <w:r>
              <w:rPr>
                <w:sz w:val="18"/>
              </w:rPr>
              <w:t>148180,00</w:t>
            </w:r>
          </w:p>
        </w:tc>
        <w:tc>
          <w:tcPr>
            <w:tcW w:type="dxa" w:w="993"/>
            <w:tcBorders>
              <w:top w:color="000000" w:sz="4" w:val="single"/>
              <w:left w:color="000000" w:sz="4" w:val="single"/>
              <w:bottom w:color="000000" w:sz="4" w:val="single"/>
              <w:right w:color="000000" w:sz="4" w:val="single"/>
            </w:tcBorders>
            <w:shd w:fill="FFFFFF" w:val="clear"/>
            <w:vAlign w:val="center"/>
          </w:tcPr>
          <w:p w14:paraId="6831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6931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6A310000">
            <w:pPr>
              <w:widowControl w:val="1"/>
              <w:ind/>
              <w:jc w:val="center"/>
              <w:rPr>
                <w:sz w:val="18"/>
              </w:rPr>
            </w:pPr>
            <w:r>
              <w:rPr>
                <w:sz w:val="18"/>
              </w:rPr>
              <w:t>31806284190</w:t>
            </w:r>
          </w:p>
        </w:tc>
        <w:tc>
          <w:tcPr>
            <w:tcW w:type="dxa" w:w="652"/>
            <w:tcBorders>
              <w:top w:color="000000" w:sz="4" w:val="single"/>
              <w:left w:color="000000" w:sz="4" w:val="single"/>
              <w:bottom w:color="000000" w:sz="4" w:val="single"/>
              <w:right w:color="000000" w:sz="4" w:val="single"/>
            </w:tcBorders>
            <w:shd w:fill="FFFFFF" w:val="clear"/>
            <w:vAlign w:val="center"/>
          </w:tcPr>
          <w:p w14:paraId="6B31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6C31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6D310000">
            <w:pPr>
              <w:widowControl w:val="1"/>
              <w:ind/>
              <w:jc w:val="center"/>
              <w:rPr>
                <w:sz w:val="18"/>
              </w:rPr>
            </w:pPr>
            <w:r>
              <w:rPr>
                <w:sz w:val="18"/>
              </w:rPr>
              <w:t>125576,30</w:t>
            </w:r>
          </w:p>
        </w:tc>
        <w:tc>
          <w:tcPr>
            <w:tcW w:type="dxa" w:w="1185"/>
            <w:tcBorders>
              <w:top w:color="000000" w:sz="4" w:val="single"/>
              <w:left w:color="000000" w:sz="4" w:val="single"/>
              <w:bottom w:color="000000" w:sz="4" w:val="single"/>
              <w:right w:color="000000" w:sz="4" w:val="single"/>
            </w:tcBorders>
            <w:shd w:fill="FFFFFF" w:val="clear"/>
            <w:vAlign w:val="center"/>
          </w:tcPr>
          <w:p w14:paraId="6E310000">
            <w:pPr>
              <w:widowControl w:val="1"/>
              <w:ind/>
              <w:jc w:val="center"/>
              <w:rPr>
                <w:sz w:val="18"/>
              </w:rPr>
            </w:pPr>
            <w:r>
              <w:rPr>
                <w:sz w:val="18"/>
              </w:rPr>
              <w:t>148180,00</w:t>
            </w:r>
          </w:p>
        </w:tc>
        <w:tc>
          <w:tcPr>
            <w:tcW w:type="dxa" w:w="1083"/>
            <w:tcBorders>
              <w:top w:color="000000" w:sz="4" w:val="single"/>
              <w:left w:color="000000" w:sz="4" w:val="single"/>
              <w:bottom w:color="000000" w:sz="4" w:val="single"/>
              <w:right w:color="000000" w:sz="4" w:val="single"/>
            </w:tcBorders>
            <w:shd w:fill="FFFFFF" w:val="clear"/>
            <w:vAlign w:val="center"/>
          </w:tcPr>
          <w:p w14:paraId="6F310000">
            <w:pPr>
              <w:widowControl w:val="1"/>
              <w:ind/>
              <w:jc w:val="center"/>
              <w:rPr>
                <w:sz w:val="18"/>
              </w:rPr>
            </w:pPr>
            <w:r>
              <w:rPr>
                <w:sz w:val="18"/>
              </w:rPr>
              <w:t>148180,00</w:t>
            </w:r>
          </w:p>
        </w:tc>
        <w:tc>
          <w:tcPr>
            <w:tcW w:type="dxa" w:w="771"/>
            <w:tcBorders>
              <w:top w:color="000000" w:sz="4" w:val="single"/>
              <w:left w:color="000000" w:sz="4" w:val="single"/>
              <w:bottom w:color="000000" w:sz="4" w:val="single"/>
              <w:right w:color="000000" w:sz="4" w:val="single"/>
            </w:tcBorders>
            <w:shd w:fill="FFFFFF" w:val="clear"/>
            <w:vAlign w:val="center"/>
          </w:tcPr>
          <w:p w14:paraId="7031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7131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72310000">
            <w:pPr>
              <w:widowControl w:val="1"/>
              <w:ind/>
              <w:jc w:val="center"/>
              <w:rPr>
                <w:sz w:val="18"/>
              </w:rPr>
            </w:pPr>
            <w:r>
              <w:rPr>
                <w:sz w:val="18"/>
              </w:rPr>
              <w:t>договор № 51 от 26.03.2018</w:t>
            </w:r>
          </w:p>
        </w:tc>
      </w:tr>
      <w:tr>
        <w:trPr>
          <w:trHeight w:hRule="atLeast" w:val="1020"/>
        </w:trPr>
        <w:tc>
          <w:tcPr>
            <w:tcW w:type="dxa" w:w="708"/>
            <w:tcBorders>
              <w:top w:color="000000" w:sz="4" w:val="single"/>
              <w:left w:color="000000" w:sz="4" w:val="single"/>
              <w:bottom w:color="000000" w:sz="4" w:val="single"/>
              <w:right w:color="000000" w:sz="4" w:val="single"/>
            </w:tcBorders>
            <w:shd w:fill="FFFFFF" w:val="clear"/>
            <w:vAlign w:val="center"/>
          </w:tcPr>
          <w:p w14:paraId="73310000">
            <w:pPr>
              <w:widowControl w:val="1"/>
              <w:ind/>
              <w:jc w:val="center"/>
              <w:rPr>
                <w:color w:val="000000"/>
                <w:sz w:val="18"/>
              </w:rPr>
            </w:pPr>
            <w:r>
              <w:rPr>
                <w:color w:val="000000"/>
                <w:sz w:val="18"/>
              </w:rPr>
              <w:t>63</w:t>
            </w:r>
          </w:p>
        </w:tc>
        <w:tc>
          <w:tcPr>
            <w:tcW w:type="dxa" w:w="618"/>
            <w:tcBorders>
              <w:top w:color="000000" w:sz="4" w:val="single"/>
              <w:left w:color="000000" w:sz="4" w:val="single"/>
              <w:bottom w:color="000000" w:sz="4" w:val="single"/>
              <w:right w:color="000000" w:sz="4" w:val="single"/>
            </w:tcBorders>
            <w:shd w:fill="FFFFFF" w:val="clear"/>
            <w:vAlign w:val="center"/>
          </w:tcPr>
          <w:p w14:paraId="74310000">
            <w:pPr>
              <w:widowControl w:val="1"/>
              <w:ind/>
              <w:jc w:val="center"/>
              <w:rPr>
                <w:sz w:val="18"/>
              </w:rPr>
            </w:pPr>
            <w:r>
              <w:rPr>
                <w:sz w:val="18"/>
              </w:rPr>
              <w:t>77</w:t>
            </w:r>
          </w:p>
        </w:tc>
        <w:tc>
          <w:tcPr>
            <w:tcW w:type="dxa" w:w="993"/>
            <w:tcBorders>
              <w:top w:color="000000" w:sz="4" w:val="single"/>
              <w:left w:color="000000" w:sz="4" w:val="single"/>
              <w:bottom w:color="000000" w:sz="4" w:val="single"/>
              <w:right w:color="000000" w:sz="4" w:val="single"/>
            </w:tcBorders>
            <w:shd w:fill="FFFFFF" w:val="clear"/>
            <w:vAlign w:val="center"/>
          </w:tcPr>
          <w:p w14:paraId="75310000">
            <w:pPr>
              <w:widowControl w:val="1"/>
              <w:ind/>
              <w:jc w:val="center"/>
              <w:rPr>
                <w:sz w:val="18"/>
              </w:rPr>
            </w:pPr>
            <w:r>
              <w:rPr>
                <w:sz w:val="18"/>
              </w:rPr>
              <w:t>Поставка полотна вафельного и нетканного</w:t>
            </w:r>
          </w:p>
        </w:tc>
        <w:tc>
          <w:tcPr>
            <w:tcW w:type="dxa" w:w="849"/>
            <w:tcBorders>
              <w:top w:color="000000" w:sz="4" w:val="single"/>
              <w:left w:color="000000" w:sz="4" w:val="single"/>
              <w:bottom w:color="000000" w:sz="4" w:val="single"/>
              <w:right w:color="000000" w:sz="4" w:val="single"/>
            </w:tcBorders>
            <w:shd w:fill="FFFFFF" w:val="clear"/>
            <w:vAlign w:val="center"/>
          </w:tcPr>
          <w:p w14:paraId="7631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77310000">
            <w:pPr>
              <w:widowControl w:val="1"/>
              <w:ind/>
              <w:jc w:val="center"/>
              <w:rPr>
                <w:sz w:val="18"/>
              </w:rPr>
            </w:pPr>
            <w:r>
              <w:rPr>
                <w:sz w:val="18"/>
              </w:rPr>
              <w:t>10200</w:t>
            </w:r>
          </w:p>
        </w:tc>
        <w:tc>
          <w:tcPr>
            <w:tcW w:type="dxa" w:w="991"/>
            <w:tcBorders>
              <w:top w:color="000000" w:sz="4" w:val="single"/>
              <w:left w:color="000000" w:sz="4" w:val="single"/>
              <w:bottom w:color="000000" w:sz="4" w:val="single"/>
              <w:right w:color="000000" w:sz="4" w:val="single"/>
            </w:tcBorders>
            <w:shd w:fill="FFFFFF" w:val="clear"/>
            <w:vAlign w:val="center"/>
          </w:tcPr>
          <w:p w14:paraId="78310000">
            <w:pPr>
              <w:widowControl w:val="1"/>
              <w:ind/>
              <w:jc w:val="center"/>
              <w:rPr>
                <w:sz w:val="18"/>
              </w:rPr>
            </w:pPr>
            <w:r>
              <w:rPr>
                <w:sz w:val="18"/>
              </w:rPr>
              <w:t>279940,68</w:t>
            </w:r>
          </w:p>
        </w:tc>
        <w:tc>
          <w:tcPr>
            <w:tcW w:type="dxa" w:w="1134"/>
            <w:tcBorders>
              <w:top w:color="000000" w:sz="4" w:val="single"/>
              <w:left w:color="000000" w:sz="4" w:val="single"/>
              <w:bottom w:color="000000" w:sz="4" w:val="single"/>
              <w:right w:color="000000" w:sz="4" w:val="single"/>
            </w:tcBorders>
            <w:shd w:fill="FFFFFF" w:val="clear"/>
            <w:vAlign w:val="center"/>
          </w:tcPr>
          <w:p w14:paraId="79310000">
            <w:pPr>
              <w:widowControl w:val="1"/>
              <w:ind/>
              <w:jc w:val="center"/>
              <w:rPr>
                <w:sz w:val="18"/>
              </w:rPr>
            </w:pPr>
            <w:r>
              <w:rPr>
                <w:sz w:val="18"/>
              </w:rPr>
              <w:t>330330,00</w:t>
            </w:r>
          </w:p>
        </w:tc>
        <w:tc>
          <w:tcPr>
            <w:tcW w:type="dxa" w:w="993"/>
            <w:tcBorders>
              <w:top w:color="000000" w:sz="4" w:val="single"/>
              <w:left w:color="000000" w:sz="4" w:val="single"/>
              <w:bottom w:color="000000" w:sz="4" w:val="single"/>
              <w:right w:color="000000" w:sz="4" w:val="single"/>
            </w:tcBorders>
            <w:shd w:fill="FFFFFF" w:val="clear"/>
            <w:vAlign w:val="center"/>
          </w:tcPr>
          <w:p w14:paraId="7A310000">
            <w:pPr>
              <w:widowControl w:val="1"/>
              <w:ind/>
              <w:jc w:val="center"/>
              <w:rPr>
                <w:sz w:val="18"/>
              </w:rPr>
            </w:pPr>
            <w:r>
              <w:rPr>
                <w:sz w:val="18"/>
              </w:rPr>
              <w:t>апрель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7B310000">
            <w:pPr>
              <w:widowControl w:val="1"/>
              <w:ind/>
              <w:jc w:val="center"/>
              <w:rPr>
                <w:sz w:val="18"/>
              </w:rPr>
            </w:pPr>
            <w:r>
              <w:rPr>
                <w:sz w:val="18"/>
              </w:rPr>
              <w:t>март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7C310000">
            <w:pPr>
              <w:widowControl w:val="1"/>
              <w:ind/>
              <w:jc w:val="center"/>
              <w:rPr>
                <w:sz w:val="18"/>
              </w:rPr>
            </w:pPr>
            <w:r>
              <w:rPr>
                <w:sz w:val="18"/>
              </w:rPr>
              <w:t>31806395330</w:t>
            </w:r>
          </w:p>
        </w:tc>
        <w:tc>
          <w:tcPr>
            <w:tcW w:type="dxa" w:w="652"/>
            <w:tcBorders>
              <w:top w:color="000000" w:sz="4" w:val="single"/>
              <w:left w:color="000000" w:sz="4" w:val="single"/>
              <w:bottom w:color="000000" w:sz="4" w:val="single"/>
              <w:right w:color="000000" w:sz="4" w:val="single"/>
            </w:tcBorders>
            <w:shd w:fill="FFFFFF" w:val="clear"/>
            <w:vAlign w:val="center"/>
          </w:tcPr>
          <w:p w14:paraId="7D31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7E310000">
            <w:pPr>
              <w:widowControl w:val="1"/>
              <w:ind/>
              <w:jc w:val="center"/>
              <w:rPr>
                <w:sz w:val="18"/>
              </w:rPr>
            </w:pPr>
            <w:r>
              <w:rPr>
                <w:sz w:val="18"/>
              </w:rPr>
              <w:t>10200</w:t>
            </w:r>
          </w:p>
        </w:tc>
        <w:tc>
          <w:tcPr>
            <w:tcW w:type="dxa" w:w="1169"/>
            <w:tcBorders>
              <w:top w:color="000000" w:sz="4" w:val="single"/>
              <w:left w:color="000000" w:sz="4" w:val="single"/>
              <w:bottom w:color="000000" w:sz="4" w:val="single"/>
              <w:right w:color="000000" w:sz="4" w:val="single"/>
            </w:tcBorders>
            <w:shd w:fill="FFFFFF" w:val="clear"/>
            <w:vAlign w:val="center"/>
          </w:tcPr>
          <w:p w14:paraId="7F310000">
            <w:pPr>
              <w:widowControl w:val="1"/>
              <w:ind/>
              <w:jc w:val="center"/>
              <w:rPr>
                <w:sz w:val="18"/>
              </w:rPr>
            </w:pPr>
            <w:r>
              <w:rPr>
                <w:sz w:val="18"/>
              </w:rPr>
              <w:t>271779,60</w:t>
            </w:r>
          </w:p>
        </w:tc>
        <w:tc>
          <w:tcPr>
            <w:tcW w:type="dxa" w:w="1185"/>
            <w:tcBorders>
              <w:top w:color="000000" w:sz="4" w:val="single"/>
              <w:left w:color="000000" w:sz="4" w:val="single"/>
              <w:bottom w:color="000000" w:sz="4" w:val="single"/>
              <w:right w:color="000000" w:sz="4" w:val="single"/>
            </w:tcBorders>
            <w:shd w:fill="FFFFFF" w:val="clear"/>
            <w:vAlign w:val="center"/>
          </w:tcPr>
          <w:p w14:paraId="80310000">
            <w:pPr>
              <w:widowControl w:val="1"/>
              <w:ind/>
              <w:jc w:val="center"/>
              <w:rPr>
                <w:sz w:val="18"/>
              </w:rPr>
            </w:pPr>
            <w:r>
              <w:rPr>
                <w:sz w:val="18"/>
              </w:rPr>
              <w:t>320700,00</w:t>
            </w:r>
          </w:p>
        </w:tc>
        <w:tc>
          <w:tcPr>
            <w:tcW w:type="dxa" w:w="1083"/>
            <w:tcBorders>
              <w:top w:color="000000" w:sz="4" w:val="single"/>
              <w:left w:color="000000" w:sz="4" w:val="single"/>
              <w:bottom w:color="000000" w:sz="4" w:val="single"/>
              <w:right w:color="000000" w:sz="4" w:val="single"/>
            </w:tcBorders>
            <w:shd w:fill="FFFFFF" w:val="clear"/>
            <w:vAlign w:val="center"/>
          </w:tcPr>
          <w:p w14:paraId="81310000">
            <w:pPr>
              <w:widowControl w:val="1"/>
              <w:ind/>
              <w:jc w:val="center"/>
              <w:rPr>
                <w:sz w:val="18"/>
              </w:rPr>
            </w:pPr>
            <w:r>
              <w:rPr>
                <w:sz w:val="18"/>
              </w:rPr>
              <w:t>320700,00</w:t>
            </w:r>
          </w:p>
        </w:tc>
        <w:tc>
          <w:tcPr>
            <w:tcW w:type="dxa" w:w="771"/>
            <w:tcBorders>
              <w:top w:color="000000" w:sz="4" w:val="single"/>
              <w:left w:color="000000" w:sz="4" w:val="single"/>
              <w:bottom w:color="000000" w:sz="4" w:val="single"/>
              <w:right w:color="000000" w:sz="4" w:val="single"/>
            </w:tcBorders>
            <w:shd w:fill="FFFFFF" w:val="clear"/>
            <w:vAlign w:val="center"/>
          </w:tcPr>
          <w:p w14:paraId="82310000">
            <w:pPr>
              <w:widowControl w:val="1"/>
              <w:ind/>
              <w:jc w:val="center"/>
              <w:rPr>
                <w:sz w:val="18"/>
              </w:rPr>
            </w:pPr>
            <w:r>
              <w:rPr>
                <w:sz w:val="18"/>
              </w:rPr>
              <w:t>апрель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83310000">
            <w:pPr>
              <w:widowControl w:val="1"/>
              <w:ind/>
              <w:jc w:val="center"/>
              <w:rPr>
                <w:sz w:val="18"/>
              </w:rPr>
            </w:pPr>
            <w:r>
              <w:rPr>
                <w:sz w:val="18"/>
              </w:rPr>
              <w:t>март 2019 г.</w:t>
            </w:r>
          </w:p>
        </w:tc>
        <w:tc>
          <w:tcPr>
            <w:tcW w:type="dxa" w:w="709"/>
            <w:tcBorders>
              <w:top w:color="000000" w:sz="4" w:val="single"/>
              <w:left w:color="000000" w:sz="4" w:val="single"/>
              <w:bottom w:color="000000" w:sz="4" w:val="single"/>
              <w:right w:color="000000" w:sz="4" w:val="single"/>
            </w:tcBorders>
            <w:shd w:fill="FFFFFF" w:val="clear"/>
            <w:vAlign w:val="center"/>
          </w:tcPr>
          <w:p w14:paraId="84310000">
            <w:pPr>
              <w:widowControl w:val="1"/>
              <w:ind/>
              <w:jc w:val="center"/>
              <w:rPr>
                <w:sz w:val="18"/>
              </w:rPr>
            </w:pPr>
            <w:r>
              <w:rPr>
                <w:sz w:val="18"/>
              </w:rPr>
              <w:t>договор № 69 от 20.04.2018</w:t>
            </w:r>
          </w:p>
        </w:tc>
      </w:tr>
      <w:tr>
        <w:trPr>
          <w:trHeight w:hRule="atLeast" w:val="3825"/>
        </w:trPr>
        <w:tc>
          <w:tcPr>
            <w:tcW w:type="dxa" w:w="708"/>
            <w:tcBorders>
              <w:top w:color="000000" w:sz="4" w:val="single"/>
              <w:left w:color="000000" w:sz="4" w:val="single"/>
              <w:bottom w:color="000000" w:sz="4" w:val="single"/>
              <w:right w:color="000000" w:sz="4" w:val="single"/>
            </w:tcBorders>
            <w:shd w:fill="FFFFFF" w:val="clear"/>
            <w:vAlign w:val="center"/>
          </w:tcPr>
          <w:p w14:paraId="85310000">
            <w:pPr>
              <w:widowControl w:val="1"/>
              <w:ind/>
              <w:jc w:val="center"/>
              <w:rPr>
                <w:color w:val="000000"/>
                <w:sz w:val="18"/>
              </w:rPr>
            </w:pPr>
            <w:r>
              <w:rPr>
                <w:color w:val="000000"/>
                <w:sz w:val="18"/>
              </w:rPr>
              <w:t>64</w:t>
            </w:r>
          </w:p>
        </w:tc>
        <w:tc>
          <w:tcPr>
            <w:tcW w:type="dxa" w:w="618"/>
            <w:tcBorders>
              <w:top w:color="000000" w:sz="4" w:val="single"/>
              <w:left w:color="000000" w:sz="4" w:val="single"/>
              <w:bottom w:color="000000" w:sz="4" w:val="single"/>
              <w:right w:color="000000" w:sz="4" w:val="single"/>
            </w:tcBorders>
            <w:shd w:fill="FFFFFF" w:val="clear"/>
            <w:vAlign w:val="center"/>
          </w:tcPr>
          <w:p w14:paraId="86310000">
            <w:pPr>
              <w:widowControl w:val="1"/>
              <w:ind/>
              <w:jc w:val="center"/>
              <w:rPr>
                <w:sz w:val="18"/>
              </w:rPr>
            </w:pPr>
            <w:r>
              <w:rPr>
                <w:sz w:val="18"/>
              </w:rPr>
              <w:t>78</w:t>
            </w:r>
          </w:p>
        </w:tc>
        <w:tc>
          <w:tcPr>
            <w:tcW w:type="dxa" w:w="993"/>
            <w:tcBorders>
              <w:top w:color="000000" w:sz="4" w:val="single"/>
              <w:left w:color="000000" w:sz="4" w:val="single"/>
              <w:bottom w:color="000000" w:sz="4" w:val="single"/>
              <w:right w:color="000000" w:sz="4" w:val="single"/>
            </w:tcBorders>
            <w:shd w:fill="FFFFFF" w:val="clear"/>
            <w:vAlign w:val="center"/>
          </w:tcPr>
          <w:p w14:paraId="87310000">
            <w:pPr>
              <w:widowControl w:val="1"/>
              <w:ind/>
              <w:jc w:val="center"/>
              <w:rPr>
                <w:color w:val="000000"/>
                <w:sz w:val="18"/>
              </w:rPr>
            </w:pPr>
            <w:r>
              <w:rPr>
                <w:color w:val="000000"/>
                <w:sz w:val="18"/>
              </w:rPr>
              <w:t>Оказание услуг по интеграции оборудования терминала сбора данных ChipherlabCP 55 под управлением операционной системы Windows CE с контрольно-кассовым аппаратом  АТОЛ 11Ф</w:t>
            </w:r>
          </w:p>
        </w:tc>
        <w:tc>
          <w:tcPr>
            <w:tcW w:type="dxa" w:w="849"/>
            <w:tcBorders>
              <w:top w:color="000000" w:sz="4" w:val="single"/>
              <w:left w:color="000000" w:sz="4" w:val="single"/>
              <w:bottom w:color="000000" w:sz="4" w:val="single"/>
              <w:right w:color="000000" w:sz="4" w:val="single"/>
            </w:tcBorders>
            <w:shd w:fill="FFFFFF" w:val="clear"/>
            <w:vAlign w:val="center"/>
          </w:tcPr>
          <w:p w14:paraId="8831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8931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8A310000">
            <w:pPr>
              <w:widowControl w:val="1"/>
              <w:ind/>
              <w:jc w:val="center"/>
              <w:rPr>
                <w:sz w:val="18"/>
              </w:rPr>
            </w:pPr>
            <w:r>
              <w:rPr>
                <w:sz w:val="18"/>
              </w:rPr>
              <w:t>200000,00</w:t>
            </w:r>
          </w:p>
        </w:tc>
        <w:tc>
          <w:tcPr>
            <w:tcW w:type="dxa" w:w="1134"/>
            <w:tcBorders>
              <w:top w:color="000000" w:sz="4" w:val="single"/>
              <w:left w:color="000000" w:sz="4" w:val="single"/>
              <w:bottom w:color="000000" w:sz="4" w:val="single"/>
              <w:right w:color="000000" w:sz="4" w:val="single"/>
            </w:tcBorders>
            <w:shd w:fill="FFFFFF" w:val="clear"/>
            <w:vAlign w:val="center"/>
          </w:tcPr>
          <w:p w14:paraId="8B310000">
            <w:pPr>
              <w:widowControl w:val="1"/>
              <w:ind/>
              <w:jc w:val="center"/>
              <w:rPr>
                <w:sz w:val="18"/>
              </w:rPr>
            </w:pPr>
            <w:r>
              <w:rPr>
                <w:sz w:val="18"/>
              </w:rPr>
              <w:t>200000,00</w:t>
            </w:r>
          </w:p>
        </w:tc>
        <w:tc>
          <w:tcPr>
            <w:tcW w:type="dxa" w:w="993"/>
            <w:tcBorders>
              <w:top w:color="000000" w:sz="4" w:val="single"/>
              <w:left w:color="000000" w:sz="4" w:val="single"/>
              <w:bottom w:color="000000" w:sz="4" w:val="single"/>
              <w:right w:color="000000" w:sz="4" w:val="single"/>
            </w:tcBorders>
            <w:shd w:fill="FFFFFF" w:val="clear"/>
            <w:vAlign w:val="center"/>
          </w:tcPr>
          <w:p w14:paraId="8C310000">
            <w:pPr>
              <w:widowControl w:val="1"/>
              <w:ind/>
              <w:jc w:val="center"/>
              <w:rPr>
                <w:sz w:val="18"/>
              </w:rPr>
            </w:pPr>
            <w:r>
              <w:rPr>
                <w:sz w:val="18"/>
              </w:rPr>
              <w:t>апрель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8D310000">
            <w:pPr>
              <w:widowControl w:val="1"/>
              <w:ind/>
              <w:jc w:val="center"/>
              <w:rPr>
                <w:sz w:val="18"/>
              </w:rPr>
            </w:pPr>
            <w:r>
              <w:rPr>
                <w:sz w:val="18"/>
              </w:rPr>
              <w:t>июнь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8E310000">
            <w:pPr>
              <w:widowControl w:val="1"/>
              <w:ind/>
              <w:jc w:val="center"/>
              <w:rPr>
                <w:sz w:val="18"/>
              </w:rPr>
            </w:pPr>
            <w:r>
              <w:rPr>
                <w:sz w:val="18"/>
              </w:rPr>
              <w:t>31806427829</w:t>
            </w:r>
          </w:p>
        </w:tc>
        <w:tc>
          <w:tcPr>
            <w:tcW w:type="dxa" w:w="652"/>
            <w:tcBorders>
              <w:top w:color="000000" w:sz="4" w:val="single"/>
              <w:left w:color="000000" w:sz="4" w:val="single"/>
              <w:bottom w:color="000000" w:sz="4" w:val="single"/>
              <w:right w:color="000000" w:sz="4" w:val="single"/>
            </w:tcBorders>
            <w:shd w:fill="FFFFFF" w:val="clear"/>
            <w:vAlign w:val="center"/>
          </w:tcPr>
          <w:p w14:paraId="8F31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9031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91310000">
            <w:pPr>
              <w:widowControl w:val="1"/>
              <w:ind/>
              <w:jc w:val="center"/>
              <w:rPr>
                <w:sz w:val="18"/>
              </w:rPr>
            </w:pPr>
            <w:r>
              <w:rPr>
                <w:sz w:val="18"/>
              </w:rPr>
              <w:t>200000,00</w:t>
            </w:r>
          </w:p>
        </w:tc>
        <w:tc>
          <w:tcPr>
            <w:tcW w:type="dxa" w:w="1185"/>
            <w:tcBorders>
              <w:top w:color="000000" w:sz="4" w:val="single"/>
              <w:left w:color="000000" w:sz="4" w:val="single"/>
              <w:bottom w:color="000000" w:sz="4" w:val="single"/>
              <w:right w:color="000000" w:sz="4" w:val="single"/>
            </w:tcBorders>
            <w:shd w:fill="FFFFFF" w:val="clear"/>
            <w:vAlign w:val="center"/>
          </w:tcPr>
          <w:p w14:paraId="92310000">
            <w:pPr>
              <w:widowControl w:val="1"/>
              <w:ind/>
              <w:jc w:val="center"/>
              <w:rPr>
                <w:sz w:val="18"/>
              </w:rPr>
            </w:pPr>
            <w:r>
              <w:rPr>
                <w:sz w:val="18"/>
              </w:rPr>
              <w:t>200000,00</w:t>
            </w:r>
          </w:p>
        </w:tc>
        <w:tc>
          <w:tcPr>
            <w:tcW w:type="dxa" w:w="1083"/>
            <w:tcBorders>
              <w:top w:color="000000" w:sz="4" w:val="single"/>
              <w:left w:color="000000" w:sz="4" w:val="single"/>
              <w:bottom w:color="000000" w:sz="4" w:val="single"/>
              <w:right w:color="000000" w:sz="4" w:val="single"/>
            </w:tcBorders>
            <w:shd w:fill="FFFFFF" w:val="clear"/>
            <w:vAlign w:val="center"/>
          </w:tcPr>
          <w:p w14:paraId="93310000">
            <w:pPr>
              <w:widowControl w:val="1"/>
              <w:ind/>
              <w:jc w:val="center"/>
              <w:rPr>
                <w:sz w:val="18"/>
              </w:rPr>
            </w:pPr>
            <w:r>
              <w:rPr>
                <w:sz w:val="18"/>
              </w:rPr>
              <w:t>200000,00</w:t>
            </w:r>
          </w:p>
        </w:tc>
        <w:tc>
          <w:tcPr>
            <w:tcW w:type="dxa" w:w="771"/>
            <w:tcBorders>
              <w:top w:color="000000" w:sz="4" w:val="single"/>
              <w:left w:color="000000" w:sz="4" w:val="single"/>
              <w:bottom w:color="000000" w:sz="4" w:val="single"/>
              <w:right w:color="000000" w:sz="4" w:val="single"/>
            </w:tcBorders>
            <w:shd w:fill="FFFFFF" w:val="clear"/>
            <w:vAlign w:val="center"/>
          </w:tcPr>
          <w:p w14:paraId="94310000">
            <w:pPr>
              <w:widowControl w:val="1"/>
              <w:ind/>
              <w:jc w:val="center"/>
              <w:rPr>
                <w:sz w:val="18"/>
              </w:rPr>
            </w:pPr>
            <w:r>
              <w:rPr>
                <w:sz w:val="18"/>
              </w:rPr>
              <w:t>апрель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95310000">
            <w:pPr>
              <w:widowControl w:val="1"/>
              <w:ind/>
              <w:jc w:val="center"/>
              <w:rPr>
                <w:sz w:val="18"/>
              </w:rPr>
            </w:pPr>
            <w:r>
              <w:rPr>
                <w:sz w:val="18"/>
              </w:rPr>
              <w:t>июнь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96310000">
            <w:pPr>
              <w:widowControl w:val="1"/>
              <w:ind/>
              <w:jc w:val="center"/>
              <w:rPr>
                <w:sz w:val="18"/>
              </w:rPr>
            </w:pPr>
            <w:r>
              <w:rPr>
                <w:sz w:val="18"/>
              </w:rPr>
              <w:t>договор № КСУТ-001039/18 от 27.04.2018</w:t>
            </w:r>
          </w:p>
        </w:tc>
      </w:tr>
      <w:tr>
        <w:trPr>
          <w:trHeight w:hRule="atLeast" w:val="2115"/>
        </w:trPr>
        <w:tc>
          <w:tcPr>
            <w:tcW w:type="dxa" w:w="708"/>
            <w:tcBorders>
              <w:top w:color="000000" w:sz="4" w:val="single"/>
              <w:left w:color="000000" w:sz="4" w:val="single"/>
              <w:bottom w:color="000000" w:sz="4" w:val="single"/>
              <w:right w:color="000000" w:sz="4" w:val="single"/>
            </w:tcBorders>
            <w:shd w:fill="FFFFFF" w:val="clear"/>
            <w:vAlign w:val="center"/>
          </w:tcPr>
          <w:p w14:paraId="97310000">
            <w:pPr>
              <w:widowControl w:val="1"/>
              <w:ind/>
              <w:jc w:val="center"/>
              <w:rPr>
                <w:color w:val="000000"/>
                <w:sz w:val="18"/>
              </w:rPr>
            </w:pPr>
            <w:r>
              <w:rPr>
                <w:color w:val="000000"/>
                <w:sz w:val="18"/>
              </w:rPr>
              <w:t>65</w:t>
            </w:r>
          </w:p>
        </w:tc>
        <w:tc>
          <w:tcPr>
            <w:tcW w:type="dxa" w:w="618"/>
            <w:tcBorders>
              <w:top w:color="000000" w:sz="4" w:val="single"/>
              <w:left w:color="000000" w:sz="4" w:val="single"/>
              <w:bottom w:color="000000" w:sz="4" w:val="single"/>
              <w:right w:color="000000" w:sz="4" w:val="single"/>
            </w:tcBorders>
            <w:shd w:fill="FFFFFF" w:val="clear"/>
            <w:vAlign w:val="center"/>
          </w:tcPr>
          <w:p w14:paraId="98310000">
            <w:pPr>
              <w:widowControl w:val="1"/>
              <w:ind/>
              <w:jc w:val="center"/>
              <w:rPr>
                <w:sz w:val="18"/>
              </w:rPr>
            </w:pPr>
            <w:r>
              <w:rPr>
                <w:sz w:val="18"/>
              </w:rPr>
              <w:t>79</w:t>
            </w:r>
          </w:p>
        </w:tc>
        <w:tc>
          <w:tcPr>
            <w:tcW w:type="dxa" w:w="993"/>
            <w:tcBorders>
              <w:top w:color="000000" w:sz="4" w:val="single"/>
              <w:left w:color="000000" w:sz="4" w:val="single"/>
              <w:bottom w:color="000000" w:sz="4" w:val="single"/>
              <w:right w:color="000000" w:sz="4" w:val="single"/>
            </w:tcBorders>
            <w:shd w:fill="FFFFFF" w:val="clear"/>
            <w:vAlign w:val="center"/>
          </w:tcPr>
          <w:p w14:paraId="99310000">
            <w:pPr>
              <w:widowControl w:val="1"/>
              <w:ind/>
              <w:jc w:val="center"/>
              <w:rPr>
                <w:sz w:val="18"/>
              </w:rPr>
            </w:pPr>
            <w:r>
              <w:rPr>
                <w:sz w:val="18"/>
              </w:rPr>
              <w:t>Оказание услуг по организации, проведению и обеспечению участия одного представителя АО "Краспригород" (билетного кассира) в Общероссийском смотр-конкурсе "Лучший билетный кассир"</w:t>
            </w:r>
          </w:p>
        </w:tc>
        <w:tc>
          <w:tcPr>
            <w:tcW w:type="dxa" w:w="849"/>
            <w:tcBorders>
              <w:top w:color="000000" w:sz="4" w:val="single"/>
              <w:left w:color="000000" w:sz="4" w:val="single"/>
              <w:bottom w:color="000000" w:sz="4" w:val="single"/>
              <w:right w:color="000000" w:sz="4" w:val="single"/>
            </w:tcBorders>
            <w:shd w:fill="FFFFFF" w:val="clear"/>
            <w:vAlign w:val="center"/>
          </w:tcPr>
          <w:p w14:paraId="9A31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9B31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9C310000">
            <w:pPr>
              <w:widowControl w:val="1"/>
              <w:ind/>
              <w:jc w:val="center"/>
              <w:rPr>
                <w:sz w:val="18"/>
              </w:rPr>
            </w:pPr>
            <w:r>
              <w:rPr>
                <w:sz w:val="18"/>
              </w:rPr>
              <w:t>182203,39</w:t>
            </w:r>
          </w:p>
        </w:tc>
        <w:tc>
          <w:tcPr>
            <w:tcW w:type="dxa" w:w="1134"/>
            <w:tcBorders>
              <w:top w:color="000000" w:sz="4" w:val="single"/>
              <w:left w:color="000000" w:sz="4" w:val="single"/>
              <w:bottom w:color="000000" w:sz="4" w:val="single"/>
              <w:right w:color="000000" w:sz="4" w:val="single"/>
            </w:tcBorders>
            <w:shd w:fill="FFFFFF" w:val="clear"/>
            <w:vAlign w:val="center"/>
          </w:tcPr>
          <w:p w14:paraId="9D310000">
            <w:pPr>
              <w:widowControl w:val="1"/>
              <w:ind/>
              <w:jc w:val="center"/>
              <w:rPr>
                <w:sz w:val="18"/>
              </w:rPr>
            </w:pPr>
            <w:r>
              <w:rPr>
                <w:sz w:val="18"/>
              </w:rPr>
              <w:t>215000,00</w:t>
            </w:r>
          </w:p>
        </w:tc>
        <w:tc>
          <w:tcPr>
            <w:tcW w:type="dxa" w:w="993"/>
            <w:tcBorders>
              <w:top w:color="000000" w:sz="4" w:val="single"/>
              <w:left w:color="000000" w:sz="4" w:val="single"/>
              <w:bottom w:color="000000" w:sz="4" w:val="single"/>
              <w:right w:color="000000" w:sz="4" w:val="single"/>
            </w:tcBorders>
            <w:shd w:fill="FFFFFF" w:val="clear"/>
            <w:vAlign w:val="center"/>
          </w:tcPr>
          <w:p w14:paraId="9E31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F310000">
            <w:pPr>
              <w:widowControl w:val="1"/>
              <w:ind/>
              <w:jc w:val="center"/>
              <w:rPr>
                <w:sz w:val="18"/>
              </w:rPr>
            </w:pPr>
            <w:r>
              <w:rPr>
                <w:sz w:val="18"/>
              </w:rPr>
              <w:t>апрель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A0310000">
            <w:pPr>
              <w:widowControl w:val="1"/>
              <w:ind/>
              <w:jc w:val="center"/>
              <w:rPr>
                <w:sz w:val="18"/>
              </w:rPr>
            </w:pPr>
            <w:r>
              <w:rPr>
                <w:sz w:val="18"/>
              </w:rPr>
              <w:t>31806247376</w:t>
            </w:r>
          </w:p>
        </w:tc>
        <w:tc>
          <w:tcPr>
            <w:tcW w:type="dxa" w:w="652"/>
            <w:tcBorders>
              <w:top w:color="000000" w:sz="4" w:val="single"/>
              <w:left w:color="000000" w:sz="4" w:val="single"/>
              <w:bottom w:color="000000" w:sz="4" w:val="single"/>
              <w:right w:color="000000" w:sz="4" w:val="single"/>
            </w:tcBorders>
            <w:shd w:fill="FFFFFF" w:val="clear"/>
            <w:vAlign w:val="center"/>
          </w:tcPr>
          <w:p w14:paraId="A131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A231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A3310000">
            <w:pPr>
              <w:widowControl w:val="1"/>
              <w:ind/>
              <w:jc w:val="center"/>
              <w:rPr>
                <w:sz w:val="18"/>
              </w:rPr>
            </w:pPr>
            <w:r>
              <w:rPr>
                <w:sz w:val="18"/>
              </w:rPr>
              <w:t>182203,00</w:t>
            </w:r>
          </w:p>
        </w:tc>
        <w:tc>
          <w:tcPr>
            <w:tcW w:type="dxa" w:w="1185"/>
            <w:tcBorders>
              <w:top w:color="000000" w:sz="4" w:val="single"/>
              <w:left w:color="000000" w:sz="4" w:val="single"/>
              <w:bottom w:color="000000" w:sz="4" w:val="single"/>
              <w:right w:color="000000" w:sz="4" w:val="single"/>
            </w:tcBorders>
            <w:shd w:fill="FFFFFF" w:val="clear"/>
            <w:vAlign w:val="center"/>
          </w:tcPr>
          <w:p w14:paraId="A4310000">
            <w:pPr>
              <w:widowControl w:val="1"/>
              <w:ind/>
              <w:jc w:val="center"/>
              <w:rPr>
                <w:sz w:val="18"/>
              </w:rPr>
            </w:pPr>
            <w:r>
              <w:rPr>
                <w:sz w:val="18"/>
              </w:rPr>
              <w:t>215000,00</w:t>
            </w:r>
          </w:p>
        </w:tc>
        <w:tc>
          <w:tcPr>
            <w:tcW w:type="dxa" w:w="1083"/>
            <w:tcBorders>
              <w:top w:color="000000" w:sz="4" w:val="single"/>
              <w:left w:color="000000" w:sz="4" w:val="single"/>
              <w:bottom w:color="000000" w:sz="4" w:val="single"/>
              <w:right w:color="000000" w:sz="4" w:val="single"/>
            </w:tcBorders>
            <w:shd w:fill="FFFFFF" w:val="clear"/>
            <w:vAlign w:val="center"/>
          </w:tcPr>
          <w:p w14:paraId="A5310000">
            <w:pPr>
              <w:widowControl w:val="1"/>
              <w:ind/>
              <w:jc w:val="center"/>
              <w:rPr>
                <w:sz w:val="18"/>
              </w:rPr>
            </w:pPr>
            <w:r>
              <w:rPr>
                <w:sz w:val="18"/>
              </w:rPr>
              <w:t>215000,00</w:t>
            </w:r>
          </w:p>
        </w:tc>
        <w:tc>
          <w:tcPr>
            <w:tcW w:type="dxa" w:w="771"/>
            <w:tcBorders>
              <w:top w:color="000000" w:sz="4" w:val="single"/>
              <w:left w:color="000000" w:sz="4" w:val="single"/>
              <w:bottom w:color="000000" w:sz="4" w:val="single"/>
              <w:right w:color="000000" w:sz="4" w:val="single"/>
            </w:tcBorders>
            <w:shd w:fill="FFFFFF" w:val="clear"/>
            <w:vAlign w:val="center"/>
          </w:tcPr>
          <w:p w14:paraId="A631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A7310000">
            <w:pPr>
              <w:widowControl w:val="1"/>
              <w:ind/>
              <w:jc w:val="center"/>
              <w:rPr>
                <w:sz w:val="18"/>
              </w:rPr>
            </w:pPr>
            <w:r>
              <w:rPr>
                <w:sz w:val="18"/>
              </w:rPr>
              <w:t>апрель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A8310000">
            <w:pPr>
              <w:widowControl w:val="1"/>
              <w:ind/>
              <w:jc w:val="center"/>
              <w:rPr>
                <w:sz w:val="18"/>
              </w:rPr>
            </w:pPr>
            <w:r>
              <w:rPr>
                <w:sz w:val="18"/>
              </w:rPr>
              <w:t>договор № 46 от 16.03.2018</w:t>
            </w:r>
          </w:p>
        </w:tc>
      </w:tr>
      <w:tr>
        <w:trPr>
          <w:trHeight w:hRule="atLeast" w:val="1785"/>
        </w:trPr>
        <w:tc>
          <w:tcPr>
            <w:tcW w:type="dxa" w:w="708"/>
            <w:tcBorders>
              <w:top w:color="000000" w:sz="4" w:val="single"/>
              <w:left w:color="000000" w:sz="4" w:val="single"/>
              <w:bottom w:color="000000" w:sz="4" w:val="single"/>
              <w:right w:color="000000" w:sz="4" w:val="single"/>
            </w:tcBorders>
            <w:shd w:fill="FFFFFF" w:val="clear"/>
            <w:vAlign w:val="center"/>
          </w:tcPr>
          <w:p w14:paraId="A9310000">
            <w:pPr>
              <w:widowControl w:val="1"/>
              <w:ind/>
              <w:jc w:val="center"/>
              <w:rPr>
                <w:color w:val="000000"/>
                <w:sz w:val="18"/>
              </w:rPr>
            </w:pPr>
            <w:r>
              <w:rPr>
                <w:color w:val="000000"/>
                <w:sz w:val="18"/>
              </w:rPr>
              <w:t>66</w:t>
            </w:r>
          </w:p>
        </w:tc>
        <w:tc>
          <w:tcPr>
            <w:tcW w:type="dxa" w:w="618"/>
            <w:tcBorders>
              <w:top w:color="000000" w:sz="4" w:val="single"/>
              <w:left w:color="000000" w:sz="4" w:val="single"/>
              <w:bottom w:color="000000" w:sz="4" w:val="single"/>
              <w:right w:color="000000" w:sz="4" w:val="single"/>
            </w:tcBorders>
            <w:shd w:fill="FFFFFF" w:val="clear"/>
            <w:vAlign w:val="center"/>
          </w:tcPr>
          <w:p w14:paraId="AA310000">
            <w:pPr>
              <w:widowControl w:val="1"/>
              <w:ind/>
              <w:jc w:val="center"/>
              <w:rPr>
                <w:sz w:val="18"/>
              </w:rPr>
            </w:pPr>
            <w:r>
              <w:rPr>
                <w:sz w:val="18"/>
              </w:rPr>
              <w:t>80</w:t>
            </w:r>
          </w:p>
        </w:tc>
        <w:tc>
          <w:tcPr>
            <w:tcW w:type="dxa" w:w="993"/>
            <w:tcBorders>
              <w:top w:color="000000" w:sz="4" w:val="single"/>
              <w:left w:color="000000" w:sz="4" w:val="single"/>
              <w:bottom w:color="000000" w:sz="4" w:val="single"/>
              <w:right w:color="000000" w:sz="4" w:val="single"/>
            </w:tcBorders>
            <w:shd w:fill="FFFFFF" w:val="clear"/>
            <w:vAlign w:val="center"/>
          </w:tcPr>
          <w:p w14:paraId="AB310000">
            <w:pPr>
              <w:widowControl w:val="1"/>
              <w:ind/>
              <w:jc w:val="center"/>
              <w:rPr>
                <w:sz w:val="18"/>
              </w:rPr>
            </w:pPr>
            <w:r>
              <w:rPr>
                <w:sz w:val="18"/>
              </w:rPr>
              <w:t>Проведение текущего ремонта вагона электропоезда ЭД9М в объеме ТР-2</w:t>
            </w:r>
          </w:p>
        </w:tc>
        <w:tc>
          <w:tcPr>
            <w:tcW w:type="dxa" w:w="849"/>
            <w:tcBorders>
              <w:top w:color="000000" w:sz="4" w:val="single"/>
              <w:left w:color="000000" w:sz="4" w:val="single"/>
              <w:bottom w:color="000000" w:sz="4" w:val="single"/>
              <w:right w:color="000000" w:sz="4" w:val="single"/>
            </w:tcBorders>
            <w:shd w:fill="FFFFFF" w:val="clear"/>
            <w:vAlign w:val="center"/>
          </w:tcPr>
          <w:p w14:paraId="AC31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AD31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AE310000">
            <w:pPr>
              <w:widowControl w:val="1"/>
              <w:ind/>
              <w:jc w:val="center"/>
              <w:rPr>
                <w:sz w:val="18"/>
              </w:rPr>
            </w:pPr>
            <w:r>
              <w:rPr>
                <w:sz w:val="18"/>
              </w:rPr>
              <w:t>680330,00</w:t>
            </w:r>
          </w:p>
        </w:tc>
        <w:tc>
          <w:tcPr>
            <w:tcW w:type="dxa" w:w="1134"/>
            <w:tcBorders>
              <w:top w:color="000000" w:sz="4" w:val="single"/>
              <w:left w:color="000000" w:sz="4" w:val="single"/>
              <w:bottom w:color="000000" w:sz="4" w:val="single"/>
              <w:right w:color="000000" w:sz="4" w:val="single"/>
            </w:tcBorders>
            <w:shd w:fill="FFFFFF" w:val="clear"/>
            <w:vAlign w:val="center"/>
          </w:tcPr>
          <w:p w14:paraId="AF310000">
            <w:pPr>
              <w:widowControl w:val="1"/>
              <w:ind/>
              <w:jc w:val="center"/>
              <w:rPr>
                <w:sz w:val="18"/>
              </w:rPr>
            </w:pPr>
            <w:r>
              <w:rPr>
                <w:sz w:val="18"/>
              </w:rPr>
              <w:t>802789,40</w:t>
            </w:r>
          </w:p>
        </w:tc>
        <w:tc>
          <w:tcPr>
            <w:tcW w:type="dxa" w:w="993"/>
            <w:tcBorders>
              <w:top w:color="000000" w:sz="4" w:val="single"/>
              <w:left w:color="000000" w:sz="4" w:val="single"/>
              <w:bottom w:color="000000" w:sz="4" w:val="single"/>
              <w:right w:color="000000" w:sz="4" w:val="single"/>
            </w:tcBorders>
            <w:shd w:fill="FFFFFF" w:val="clear"/>
            <w:vAlign w:val="center"/>
          </w:tcPr>
          <w:p w14:paraId="B0310000">
            <w:pPr>
              <w:widowControl w:val="1"/>
              <w:ind/>
              <w:jc w:val="center"/>
              <w:rPr>
                <w:sz w:val="18"/>
              </w:rPr>
            </w:pPr>
            <w:r>
              <w:rPr>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B131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B2310000">
            <w:pPr>
              <w:widowControl w:val="1"/>
              <w:ind/>
              <w:jc w:val="center"/>
              <w:rPr>
                <w:sz w:val="18"/>
              </w:rPr>
            </w:pPr>
            <w:r>
              <w:rPr>
                <w:sz w:val="18"/>
              </w:rPr>
              <w:t>31806820238</w:t>
            </w:r>
          </w:p>
        </w:tc>
        <w:tc>
          <w:tcPr>
            <w:tcW w:type="dxa" w:w="652"/>
            <w:tcBorders>
              <w:top w:color="000000" w:sz="4" w:val="single"/>
              <w:left w:color="000000" w:sz="4" w:val="single"/>
              <w:bottom w:color="000000" w:sz="4" w:val="single"/>
              <w:right w:color="000000" w:sz="4" w:val="single"/>
            </w:tcBorders>
            <w:shd w:fill="FFFFFF" w:val="clear"/>
            <w:vAlign w:val="center"/>
          </w:tcPr>
          <w:p w14:paraId="B331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B431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B5310000">
            <w:pPr>
              <w:widowControl w:val="1"/>
              <w:ind/>
              <w:jc w:val="center"/>
              <w:rPr>
                <w:sz w:val="18"/>
              </w:rPr>
            </w:pPr>
            <w:r>
              <w:rPr>
                <w:sz w:val="18"/>
              </w:rPr>
              <w:t>680330,00</w:t>
            </w:r>
          </w:p>
        </w:tc>
        <w:tc>
          <w:tcPr>
            <w:tcW w:type="dxa" w:w="1185"/>
            <w:tcBorders>
              <w:top w:color="000000" w:sz="4" w:val="single"/>
              <w:left w:color="000000" w:sz="4" w:val="single"/>
              <w:bottom w:color="000000" w:sz="4" w:val="single"/>
              <w:right w:color="000000" w:sz="4" w:val="single"/>
            </w:tcBorders>
            <w:shd w:fill="FFFFFF" w:val="clear"/>
            <w:vAlign w:val="center"/>
          </w:tcPr>
          <w:p w14:paraId="B6310000">
            <w:pPr>
              <w:widowControl w:val="1"/>
              <w:ind/>
              <w:jc w:val="center"/>
              <w:rPr>
                <w:sz w:val="18"/>
              </w:rPr>
            </w:pPr>
            <w:r>
              <w:rPr>
                <w:sz w:val="18"/>
              </w:rPr>
              <w:t>802789,40</w:t>
            </w:r>
          </w:p>
        </w:tc>
        <w:tc>
          <w:tcPr>
            <w:tcW w:type="dxa" w:w="1083"/>
            <w:tcBorders>
              <w:top w:color="000000" w:sz="4" w:val="single"/>
              <w:left w:color="000000" w:sz="4" w:val="single"/>
              <w:bottom w:color="000000" w:sz="4" w:val="single"/>
              <w:right w:color="000000" w:sz="4" w:val="single"/>
            </w:tcBorders>
            <w:shd w:fill="FFFFFF" w:val="clear"/>
            <w:vAlign w:val="center"/>
          </w:tcPr>
          <w:p w14:paraId="B7310000">
            <w:pPr>
              <w:widowControl w:val="1"/>
              <w:ind/>
              <w:jc w:val="center"/>
              <w:rPr>
                <w:sz w:val="18"/>
              </w:rPr>
            </w:pPr>
            <w:r>
              <w:rPr>
                <w:sz w:val="18"/>
              </w:rPr>
              <w:t>802789,40</w:t>
            </w:r>
          </w:p>
        </w:tc>
        <w:tc>
          <w:tcPr>
            <w:tcW w:type="dxa" w:w="771"/>
            <w:tcBorders>
              <w:top w:color="000000" w:sz="4" w:val="single"/>
              <w:left w:color="000000" w:sz="4" w:val="single"/>
              <w:bottom w:color="000000" w:sz="4" w:val="single"/>
              <w:right w:color="000000" w:sz="4" w:val="single"/>
            </w:tcBorders>
            <w:shd w:fill="FFFFFF" w:val="clear"/>
            <w:vAlign w:val="center"/>
          </w:tcPr>
          <w:p w14:paraId="B8310000">
            <w:pPr>
              <w:widowControl w:val="1"/>
              <w:ind/>
              <w:jc w:val="center"/>
              <w:rPr>
                <w:sz w:val="18"/>
              </w:rPr>
            </w:pPr>
            <w:r>
              <w:rPr>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B931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BA310000">
            <w:pPr>
              <w:widowControl w:val="1"/>
              <w:ind/>
              <w:jc w:val="center"/>
              <w:rPr>
                <w:sz w:val="18"/>
              </w:rPr>
            </w:pPr>
            <w:r>
              <w:rPr>
                <w:sz w:val="18"/>
              </w:rPr>
              <w:t>договор № 93 от 14.08.2018</w:t>
            </w:r>
          </w:p>
        </w:tc>
      </w:tr>
      <w:tr>
        <w:trPr>
          <w:trHeight w:hRule="atLeast" w:val="1065"/>
        </w:trPr>
        <w:tc>
          <w:tcPr>
            <w:tcW w:type="dxa" w:w="708"/>
            <w:tcBorders>
              <w:top w:color="000000" w:sz="4" w:val="single"/>
              <w:left w:color="000000" w:sz="4" w:val="single"/>
              <w:bottom w:color="000000" w:sz="4" w:val="single"/>
              <w:right w:color="000000" w:sz="4" w:val="single"/>
            </w:tcBorders>
            <w:shd w:fill="FFFFFF" w:val="clear"/>
            <w:vAlign w:val="center"/>
          </w:tcPr>
          <w:p w14:paraId="BB310000">
            <w:pPr>
              <w:widowControl w:val="1"/>
              <w:ind/>
              <w:jc w:val="center"/>
              <w:rPr>
                <w:color w:val="000000"/>
                <w:sz w:val="18"/>
              </w:rPr>
            </w:pPr>
            <w:r>
              <w:rPr>
                <w:color w:val="000000"/>
                <w:sz w:val="18"/>
              </w:rPr>
              <w:t>67</w:t>
            </w:r>
          </w:p>
        </w:tc>
        <w:tc>
          <w:tcPr>
            <w:tcW w:type="dxa" w:w="618"/>
            <w:tcBorders>
              <w:top w:color="000000" w:sz="4" w:val="single"/>
              <w:left w:color="000000" w:sz="4" w:val="single"/>
              <w:bottom w:color="000000" w:sz="4" w:val="single"/>
              <w:right w:color="000000" w:sz="4" w:val="single"/>
            </w:tcBorders>
            <w:shd w:fill="FFFFFF" w:val="clear"/>
            <w:vAlign w:val="center"/>
          </w:tcPr>
          <w:p w14:paraId="BC310000">
            <w:pPr>
              <w:widowControl w:val="1"/>
              <w:ind/>
              <w:jc w:val="center"/>
              <w:rPr>
                <w:sz w:val="18"/>
              </w:rPr>
            </w:pPr>
            <w:r>
              <w:rPr>
                <w:sz w:val="18"/>
              </w:rPr>
              <w:t>81</w:t>
            </w:r>
          </w:p>
        </w:tc>
        <w:tc>
          <w:tcPr>
            <w:tcW w:type="dxa" w:w="993"/>
            <w:tcBorders>
              <w:top w:color="000000" w:sz="4" w:val="single"/>
              <w:left w:color="000000" w:sz="4" w:val="single"/>
              <w:bottom w:color="000000" w:sz="4" w:val="single"/>
              <w:right w:color="000000" w:sz="4" w:val="single"/>
            </w:tcBorders>
            <w:shd w:fill="FFFFFF" w:val="clear"/>
            <w:vAlign w:val="center"/>
          </w:tcPr>
          <w:p w14:paraId="BD310000">
            <w:pPr>
              <w:widowControl w:val="1"/>
              <w:ind/>
              <w:jc w:val="center"/>
              <w:rPr>
                <w:sz w:val="18"/>
              </w:rPr>
            </w:pPr>
            <w:r>
              <w:rPr>
                <w:sz w:val="18"/>
              </w:rPr>
              <w:t>Выполнение работ по ремонту линейного оборудования поездов переменного тока серии ЭД9М</w:t>
            </w:r>
          </w:p>
        </w:tc>
        <w:tc>
          <w:tcPr>
            <w:tcW w:type="dxa" w:w="849"/>
            <w:tcBorders>
              <w:top w:color="000000" w:sz="4" w:val="single"/>
              <w:left w:color="000000" w:sz="4" w:val="single"/>
              <w:bottom w:color="000000" w:sz="4" w:val="single"/>
              <w:right w:color="000000" w:sz="4" w:val="single"/>
            </w:tcBorders>
            <w:shd w:fill="FFFFFF" w:val="clear"/>
            <w:vAlign w:val="center"/>
          </w:tcPr>
          <w:p w14:paraId="BE31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F310000">
            <w:pPr>
              <w:widowControl w:val="1"/>
              <w:ind/>
              <w:jc w:val="center"/>
              <w:rPr>
                <w:sz w:val="18"/>
              </w:rPr>
            </w:pPr>
            <w:r>
              <w:rPr>
                <w:sz w:val="18"/>
              </w:rPr>
              <w:t>21</w:t>
            </w:r>
          </w:p>
        </w:tc>
        <w:tc>
          <w:tcPr>
            <w:tcW w:type="dxa" w:w="991"/>
            <w:tcBorders>
              <w:top w:color="000000" w:sz="4" w:val="single"/>
              <w:left w:color="000000" w:sz="4" w:val="single"/>
              <w:bottom w:color="000000" w:sz="4" w:val="single"/>
              <w:right w:color="000000" w:sz="4" w:val="single"/>
            </w:tcBorders>
            <w:shd w:fill="FFFFFF" w:val="clear"/>
            <w:vAlign w:val="center"/>
          </w:tcPr>
          <w:p w14:paraId="C0310000">
            <w:pPr>
              <w:widowControl w:val="1"/>
              <w:ind/>
              <w:jc w:val="center"/>
              <w:rPr>
                <w:sz w:val="18"/>
              </w:rPr>
            </w:pPr>
            <w:r>
              <w:rPr>
                <w:sz w:val="18"/>
              </w:rPr>
              <w:t>1706228,00</w:t>
            </w:r>
          </w:p>
        </w:tc>
        <w:tc>
          <w:tcPr>
            <w:tcW w:type="dxa" w:w="1134"/>
            <w:tcBorders>
              <w:top w:color="000000" w:sz="4" w:val="single"/>
              <w:left w:color="000000" w:sz="4" w:val="single"/>
              <w:bottom w:color="000000" w:sz="4" w:val="single"/>
              <w:right w:color="000000" w:sz="4" w:val="single"/>
            </w:tcBorders>
            <w:shd w:fill="FFFFFF" w:val="clear"/>
            <w:vAlign w:val="center"/>
          </w:tcPr>
          <w:p w14:paraId="C1310000">
            <w:pPr>
              <w:widowControl w:val="1"/>
              <w:ind/>
              <w:jc w:val="center"/>
              <w:rPr>
                <w:sz w:val="18"/>
              </w:rPr>
            </w:pPr>
            <w:r>
              <w:rPr>
                <w:sz w:val="18"/>
              </w:rPr>
              <w:t>2013349,00</w:t>
            </w:r>
          </w:p>
        </w:tc>
        <w:tc>
          <w:tcPr>
            <w:tcW w:type="dxa" w:w="993"/>
            <w:tcBorders>
              <w:top w:color="000000" w:sz="4" w:val="single"/>
              <w:left w:color="000000" w:sz="4" w:val="single"/>
              <w:bottom w:color="000000" w:sz="4" w:val="single"/>
              <w:right w:color="000000" w:sz="4" w:val="single"/>
            </w:tcBorders>
            <w:shd w:fill="FFFFFF" w:val="clear"/>
            <w:vAlign w:val="center"/>
          </w:tcPr>
          <w:p w14:paraId="C2310000">
            <w:pPr>
              <w:widowControl w:val="1"/>
              <w:ind/>
              <w:jc w:val="center"/>
              <w:rPr>
                <w:sz w:val="18"/>
              </w:rPr>
            </w:pPr>
            <w:r>
              <w:rPr>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C331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C4310000">
            <w:pPr>
              <w:widowControl w:val="1"/>
              <w:ind/>
              <w:jc w:val="center"/>
              <w:rPr>
                <w:sz w:val="18"/>
              </w:rPr>
            </w:pPr>
            <w:r>
              <w:rPr>
                <w:sz w:val="18"/>
              </w:rPr>
              <w:t>31806820404</w:t>
            </w:r>
          </w:p>
        </w:tc>
        <w:tc>
          <w:tcPr>
            <w:tcW w:type="dxa" w:w="652"/>
            <w:tcBorders>
              <w:top w:color="000000" w:sz="4" w:val="single"/>
              <w:left w:color="000000" w:sz="4" w:val="single"/>
              <w:bottom w:color="000000" w:sz="4" w:val="single"/>
              <w:right w:color="000000" w:sz="4" w:val="single"/>
            </w:tcBorders>
            <w:shd w:fill="FFFFFF" w:val="clear"/>
            <w:vAlign w:val="center"/>
          </w:tcPr>
          <w:p w14:paraId="C531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C6310000">
            <w:pPr>
              <w:widowControl w:val="1"/>
              <w:ind/>
              <w:jc w:val="center"/>
              <w:rPr>
                <w:sz w:val="18"/>
              </w:rPr>
            </w:pPr>
            <w:r>
              <w:rPr>
                <w:sz w:val="18"/>
              </w:rPr>
              <w:t>21</w:t>
            </w:r>
          </w:p>
        </w:tc>
        <w:tc>
          <w:tcPr>
            <w:tcW w:type="dxa" w:w="1169"/>
            <w:tcBorders>
              <w:top w:color="000000" w:sz="4" w:val="single"/>
              <w:left w:color="000000" w:sz="4" w:val="single"/>
              <w:bottom w:color="000000" w:sz="4" w:val="single"/>
              <w:right w:color="000000" w:sz="4" w:val="single"/>
            </w:tcBorders>
            <w:shd w:fill="FFFFFF" w:val="clear"/>
            <w:vAlign w:val="center"/>
          </w:tcPr>
          <w:p w14:paraId="C7310000">
            <w:pPr>
              <w:widowControl w:val="1"/>
              <w:ind/>
              <w:jc w:val="center"/>
              <w:rPr>
                <w:sz w:val="18"/>
              </w:rPr>
            </w:pPr>
            <w:r>
              <w:rPr>
                <w:sz w:val="18"/>
              </w:rPr>
              <w:t>1706228,00</w:t>
            </w:r>
          </w:p>
        </w:tc>
        <w:tc>
          <w:tcPr>
            <w:tcW w:type="dxa" w:w="1185"/>
            <w:tcBorders>
              <w:top w:color="000000" w:sz="4" w:val="single"/>
              <w:left w:color="000000" w:sz="4" w:val="single"/>
              <w:bottom w:color="000000" w:sz="4" w:val="single"/>
              <w:right w:color="000000" w:sz="4" w:val="single"/>
            </w:tcBorders>
            <w:shd w:fill="FFFFFF" w:val="clear"/>
            <w:vAlign w:val="center"/>
          </w:tcPr>
          <w:p w14:paraId="C8310000">
            <w:pPr>
              <w:widowControl w:val="1"/>
              <w:ind/>
              <w:jc w:val="center"/>
              <w:rPr>
                <w:sz w:val="18"/>
              </w:rPr>
            </w:pPr>
            <w:r>
              <w:rPr>
                <w:sz w:val="18"/>
              </w:rPr>
              <w:t>2013349,00</w:t>
            </w:r>
          </w:p>
        </w:tc>
        <w:tc>
          <w:tcPr>
            <w:tcW w:type="dxa" w:w="1083"/>
            <w:tcBorders>
              <w:top w:color="000000" w:sz="4" w:val="single"/>
              <w:left w:color="000000" w:sz="4" w:val="single"/>
              <w:bottom w:color="000000" w:sz="4" w:val="single"/>
              <w:right w:color="000000" w:sz="4" w:val="single"/>
            </w:tcBorders>
            <w:shd w:fill="FFFFFF" w:val="clear"/>
            <w:vAlign w:val="center"/>
          </w:tcPr>
          <w:p w14:paraId="C9310000">
            <w:pPr>
              <w:widowControl w:val="1"/>
              <w:ind/>
              <w:jc w:val="center"/>
              <w:rPr>
                <w:sz w:val="18"/>
              </w:rPr>
            </w:pPr>
            <w:r>
              <w:rPr>
                <w:sz w:val="18"/>
              </w:rPr>
              <w:t>2013349,00</w:t>
            </w:r>
          </w:p>
        </w:tc>
        <w:tc>
          <w:tcPr>
            <w:tcW w:type="dxa" w:w="771"/>
            <w:tcBorders>
              <w:top w:color="000000" w:sz="4" w:val="single"/>
              <w:left w:color="000000" w:sz="4" w:val="single"/>
              <w:bottom w:color="000000" w:sz="4" w:val="single"/>
              <w:right w:color="000000" w:sz="4" w:val="single"/>
            </w:tcBorders>
            <w:shd w:fill="FFFFFF" w:val="clear"/>
            <w:vAlign w:val="center"/>
          </w:tcPr>
          <w:p w14:paraId="CA310000">
            <w:pPr>
              <w:widowControl w:val="1"/>
              <w:ind/>
              <w:jc w:val="center"/>
              <w:rPr>
                <w:sz w:val="18"/>
              </w:rPr>
            </w:pPr>
            <w:r>
              <w:rPr>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CB31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CC310000">
            <w:pPr>
              <w:widowControl w:val="1"/>
              <w:ind/>
              <w:jc w:val="center"/>
              <w:rPr>
                <w:sz w:val="18"/>
              </w:rPr>
            </w:pPr>
            <w:r>
              <w:rPr>
                <w:sz w:val="18"/>
              </w:rPr>
              <w:t>договор № 94 от 14.08.2018</w:t>
            </w:r>
          </w:p>
        </w:tc>
      </w:tr>
      <w:tr>
        <w:trPr>
          <w:trHeight w:hRule="atLeast" w:val="1485"/>
        </w:trPr>
        <w:tc>
          <w:tcPr>
            <w:tcW w:type="dxa" w:w="708"/>
            <w:tcBorders>
              <w:top w:color="000000" w:sz="4" w:val="single"/>
              <w:left w:color="000000" w:sz="4" w:val="single"/>
              <w:bottom w:color="000000" w:sz="4" w:val="single"/>
              <w:right w:color="000000" w:sz="4" w:val="single"/>
            </w:tcBorders>
            <w:shd w:fill="FFFFFF" w:val="clear"/>
            <w:vAlign w:val="center"/>
          </w:tcPr>
          <w:p w14:paraId="CD310000">
            <w:pPr>
              <w:widowControl w:val="1"/>
              <w:ind/>
              <w:jc w:val="center"/>
              <w:rPr>
                <w:color w:val="000000"/>
                <w:sz w:val="18"/>
              </w:rPr>
            </w:pPr>
            <w:r>
              <w:rPr>
                <w:color w:val="000000"/>
                <w:sz w:val="18"/>
              </w:rPr>
              <w:t>68</w:t>
            </w:r>
          </w:p>
        </w:tc>
        <w:tc>
          <w:tcPr>
            <w:tcW w:type="dxa" w:w="618"/>
            <w:tcBorders>
              <w:top w:color="000000" w:sz="4" w:val="single"/>
              <w:left w:color="000000" w:sz="4" w:val="single"/>
              <w:bottom w:color="000000" w:sz="4" w:val="single"/>
              <w:right w:color="000000" w:sz="4" w:val="single"/>
            </w:tcBorders>
            <w:shd w:fill="FFFFFF" w:val="clear"/>
            <w:vAlign w:val="center"/>
          </w:tcPr>
          <w:p w14:paraId="CE310000">
            <w:pPr>
              <w:widowControl w:val="1"/>
              <w:ind/>
              <w:jc w:val="center"/>
              <w:rPr>
                <w:sz w:val="18"/>
              </w:rPr>
            </w:pPr>
            <w:r>
              <w:rPr>
                <w:sz w:val="18"/>
              </w:rPr>
              <w:t>82</w:t>
            </w:r>
          </w:p>
        </w:tc>
        <w:tc>
          <w:tcPr>
            <w:tcW w:type="dxa" w:w="993"/>
            <w:tcBorders>
              <w:top w:color="000000" w:sz="4" w:val="single"/>
              <w:left w:color="000000" w:sz="4" w:val="single"/>
              <w:bottom w:color="000000" w:sz="4" w:val="single"/>
              <w:right w:color="000000" w:sz="4" w:val="single"/>
            </w:tcBorders>
            <w:shd w:fill="FFFFFF" w:val="clear"/>
            <w:vAlign w:val="center"/>
          </w:tcPr>
          <w:p w14:paraId="CF310000">
            <w:pPr>
              <w:widowControl w:val="1"/>
              <w:ind/>
              <w:jc w:val="center"/>
              <w:rPr>
                <w:sz w:val="18"/>
              </w:rPr>
            </w:pPr>
            <w:r>
              <w:rPr>
                <w:sz w:val="18"/>
              </w:rPr>
              <w:t>Оказание услуг по санитарно-техническому обслуживанию портативных биотуалетов</w:t>
            </w:r>
          </w:p>
        </w:tc>
        <w:tc>
          <w:tcPr>
            <w:tcW w:type="dxa" w:w="849"/>
            <w:tcBorders>
              <w:top w:color="000000" w:sz="4" w:val="single"/>
              <w:left w:color="000000" w:sz="4" w:val="single"/>
              <w:bottom w:color="000000" w:sz="4" w:val="single"/>
              <w:right w:color="000000" w:sz="4" w:val="single"/>
            </w:tcBorders>
            <w:shd w:fill="FFFFFF" w:val="clear"/>
            <w:vAlign w:val="center"/>
          </w:tcPr>
          <w:p w14:paraId="D031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D1310000">
            <w:pPr>
              <w:widowControl w:val="1"/>
              <w:ind/>
              <w:jc w:val="center"/>
              <w:rPr>
                <w:sz w:val="18"/>
              </w:rPr>
            </w:pPr>
            <w:r>
              <w:rPr>
                <w:sz w:val="18"/>
              </w:rPr>
              <w:t>596</w:t>
            </w:r>
          </w:p>
        </w:tc>
        <w:tc>
          <w:tcPr>
            <w:tcW w:type="dxa" w:w="991"/>
            <w:tcBorders>
              <w:top w:color="000000" w:sz="4" w:val="single"/>
              <w:left w:color="000000" w:sz="4" w:val="single"/>
              <w:bottom w:color="000000" w:sz="4" w:val="single"/>
              <w:right w:color="000000" w:sz="4" w:val="single"/>
            </w:tcBorders>
            <w:shd w:fill="FFFFFF" w:val="clear"/>
            <w:vAlign w:val="center"/>
          </w:tcPr>
          <w:p w14:paraId="D2310000">
            <w:pPr>
              <w:widowControl w:val="1"/>
              <w:ind/>
              <w:jc w:val="center"/>
              <w:rPr>
                <w:sz w:val="18"/>
              </w:rPr>
            </w:pPr>
            <w:r>
              <w:rPr>
                <w:sz w:val="18"/>
              </w:rPr>
              <w:t>417200,00</w:t>
            </w:r>
          </w:p>
        </w:tc>
        <w:tc>
          <w:tcPr>
            <w:tcW w:type="dxa" w:w="1134"/>
            <w:tcBorders>
              <w:top w:color="000000" w:sz="4" w:val="single"/>
              <w:left w:color="000000" w:sz="4" w:val="single"/>
              <w:bottom w:color="000000" w:sz="4" w:val="single"/>
              <w:right w:color="000000" w:sz="4" w:val="single"/>
            </w:tcBorders>
            <w:shd w:fill="FFFFFF" w:val="clear"/>
            <w:vAlign w:val="center"/>
          </w:tcPr>
          <w:p w14:paraId="D3310000">
            <w:pPr>
              <w:widowControl w:val="1"/>
              <w:ind/>
              <w:jc w:val="center"/>
              <w:rPr>
                <w:sz w:val="18"/>
              </w:rPr>
            </w:pPr>
            <w:r>
              <w:rPr>
                <w:sz w:val="18"/>
              </w:rPr>
              <w:t>417200,00</w:t>
            </w:r>
          </w:p>
        </w:tc>
        <w:tc>
          <w:tcPr>
            <w:tcW w:type="dxa" w:w="993"/>
            <w:tcBorders>
              <w:top w:color="000000" w:sz="4" w:val="single"/>
              <w:left w:color="000000" w:sz="4" w:val="single"/>
              <w:bottom w:color="000000" w:sz="4" w:val="single"/>
              <w:right w:color="000000" w:sz="4" w:val="single"/>
            </w:tcBorders>
            <w:shd w:fill="FFFFFF" w:val="clear"/>
            <w:vAlign w:val="center"/>
          </w:tcPr>
          <w:p w14:paraId="D431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D5310000">
            <w:pPr>
              <w:widowControl w:val="1"/>
              <w:ind/>
              <w:jc w:val="center"/>
              <w:rPr>
                <w:sz w:val="18"/>
              </w:rPr>
            </w:pPr>
            <w:r>
              <w:rPr>
                <w:sz w:val="18"/>
              </w:rPr>
              <w:t>декабрь 2020 г.</w:t>
            </w:r>
          </w:p>
        </w:tc>
        <w:tc>
          <w:tcPr>
            <w:tcW w:type="dxa" w:w="1334"/>
            <w:tcBorders>
              <w:top w:color="000000" w:sz="4" w:val="single"/>
              <w:left w:color="000000" w:sz="4" w:val="single"/>
              <w:bottom w:color="000000" w:sz="4" w:val="single"/>
              <w:right w:color="000000" w:sz="4" w:val="single"/>
            </w:tcBorders>
            <w:shd w:fill="FFFFFF" w:val="clear"/>
            <w:vAlign w:val="center"/>
          </w:tcPr>
          <w:p w14:paraId="D6310000">
            <w:pPr>
              <w:widowControl w:val="1"/>
              <w:ind/>
              <w:jc w:val="center"/>
              <w:rPr>
                <w:sz w:val="18"/>
              </w:rPr>
            </w:pPr>
            <w:r>
              <w:rPr>
                <w:sz w:val="18"/>
              </w:rPr>
              <w:t>31806564153</w:t>
            </w:r>
          </w:p>
        </w:tc>
        <w:tc>
          <w:tcPr>
            <w:tcW w:type="dxa" w:w="652"/>
            <w:tcBorders>
              <w:top w:color="000000" w:sz="4" w:val="single"/>
              <w:left w:color="000000" w:sz="4" w:val="single"/>
              <w:bottom w:color="000000" w:sz="4" w:val="single"/>
              <w:right w:color="000000" w:sz="4" w:val="single"/>
            </w:tcBorders>
            <w:shd w:fill="FFFFFF" w:val="clear"/>
            <w:vAlign w:val="center"/>
          </w:tcPr>
          <w:p w14:paraId="D731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D8310000">
            <w:pPr>
              <w:widowControl w:val="1"/>
              <w:ind/>
              <w:jc w:val="center"/>
              <w:rPr>
                <w:sz w:val="18"/>
              </w:rPr>
            </w:pPr>
            <w:r>
              <w:rPr>
                <w:sz w:val="18"/>
              </w:rPr>
              <w:t>596</w:t>
            </w:r>
          </w:p>
        </w:tc>
        <w:tc>
          <w:tcPr>
            <w:tcW w:type="dxa" w:w="1169"/>
            <w:tcBorders>
              <w:top w:color="000000" w:sz="4" w:val="single"/>
              <w:left w:color="000000" w:sz="4" w:val="single"/>
              <w:bottom w:color="000000" w:sz="4" w:val="single"/>
              <w:right w:color="000000" w:sz="4" w:val="single"/>
            </w:tcBorders>
            <w:shd w:fill="FFFFFF" w:val="clear"/>
            <w:vAlign w:val="center"/>
          </w:tcPr>
          <w:p w14:paraId="D9310000">
            <w:pPr>
              <w:widowControl w:val="1"/>
              <w:ind/>
              <w:jc w:val="center"/>
              <w:rPr>
                <w:sz w:val="18"/>
              </w:rPr>
            </w:pPr>
            <w:r>
              <w:rPr>
                <w:sz w:val="18"/>
              </w:rPr>
              <w:t>417200,00</w:t>
            </w:r>
          </w:p>
        </w:tc>
        <w:tc>
          <w:tcPr>
            <w:tcW w:type="dxa" w:w="1185"/>
            <w:tcBorders>
              <w:top w:color="000000" w:sz="4" w:val="single"/>
              <w:left w:color="000000" w:sz="4" w:val="single"/>
              <w:bottom w:color="000000" w:sz="4" w:val="single"/>
              <w:right w:color="000000" w:sz="4" w:val="single"/>
            </w:tcBorders>
            <w:shd w:fill="FFFFFF" w:val="clear"/>
            <w:vAlign w:val="center"/>
          </w:tcPr>
          <w:p w14:paraId="DA310000">
            <w:pPr>
              <w:widowControl w:val="1"/>
              <w:ind/>
              <w:jc w:val="center"/>
              <w:rPr>
                <w:sz w:val="18"/>
              </w:rPr>
            </w:pPr>
            <w:r>
              <w:rPr>
                <w:sz w:val="18"/>
              </w:rPr>
              <w:t>417200,00</w:t>
            </w:r>
          </w:p>
        </w:tc>
        <w:tc>
          <w:tcPr>
            <w:tcW w:type="dxa" w:w="1083"/>
            <w:tcBorders>
              <w:top w:color="000000" w:sz="4" w:val="single"/>
              <w:left w:color="000000" w:sz="4" w:val="single"/>
              <w:bottom w:color="000000" w:sz="4" w:val="single"/>
              <w:right w:color="000000" w:sz="4" w:val="single"/>
            </w:tcBorders>
            <w:shd w:fill="FFFFFF" w:val="clear"/>
            <w:vAlign w:val="center"/>
          </w:tcPr>
          <w:p w14:paraId="DB310000">
            <w:pPr>
              <w:widowControl w:val="1"/>
              <w:ind/>
              <w:jc w:val="center"/>
              <w:rPr>
                <w:sz w:val="18"/>
              </w:rPr>
            </w:pPr>
            <w:r>
              <w:rPr>
                <w:sz w:val="18"/>
              </w:rPr>
              <w:t>417200,00</w:t>
            </w:r>
          </w:p>
        </w:tc>
        <w:tc>
          <w:tcPr>
            <w:tcW w:type="dxa" w:w="771"/>
            <w:tcBorders>
              <w:top w:color="000000" w:sz="4" w:val="single"/>
              <w:left w:color="000000" w:sz="4" w:val="single"/>
              <w:bottom w:color="000000" w:sz="4" w:val="single"/>
              <w:right w:color="000000" w:sz="4" w:val="single"/>
            </w:tcBorders>
            <w:shd w:fill="FFFFFF" w:val="clear"/>
            <w:vAlign w:val="center"/>
          </w:tcPr>
          <w:p w14:paraId="DC31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DD310000">
            <w:pPr>
              <w:widowControl w:val="1"/>
              <w:ind/>
              <w:jc w:val="center"/>
              <w:rPr>
                <w:sz w:val="18"/>
              </w:rPr>
            </w:pPr>
            <w:r>
              <w:rPr>
                <w:sz w:val="18"/>
              </w:rPr>
              <w:t>декабрь 2020 г.</w:t>
            </w:r>
          </w:p>
        </w:tc>
        <w:tc>
          <w:tcPr>
            <w:tcW w:type="dxa" w:w="709"/>
            <w:tcBorders>
              <w:top w:color="000000" w:sz="4" w:val="single"/>
              <w:left w:color="000000" w:sz="4" w:val="single"/>
              <w:bottom w:color="000000" w:sz="4" w:val="single"/>
              <w:right w:color="000000" w:sz="4" w:val="single"/>
            </w:tcBorders>
            <w:shd w:fill="FFFFFF" w:val="clear"/>
            <w:vAlign w:val="center"/>
          </w:tcPr>
          <w:p w14:paraId="DE310000">
            <w:pPr>
              <w:widowControl w:val="1"/>
              <w:ind/>
              <w:jc w:val="center"/>
              <w:rPr>
                <w:sz w:val="18"/>
              </w:rPr>
            </w:pPr>
            <w:r>
              <w:rPr>
                <w:sz w:val="18"/>
              </w:rPr>
              <w:t>договор № 1826 от 04.06.2018</w:t>
            </w:r>
          </w:p>
        </w:tc>
      </w:tr>
      <w:tr>
        <w:trPr>
          <w:trHeight w:hRule="atLeast" w:val="1110"/>
        </w:trPr>
        <w:tc>
          <w:tcPr>
            <w:tcW w:type="dxa" w:w="708"/>
            <w:tcBorders>
              <w:top w:color="000000" w:sz="4" w:val="single"/>
              <w:left w:color="000000" w:sz="4" w:val="single"/>
              <w:bottom w:color="000000" w:sz="4" w:val="single"/>
              <w:right w:color="000000" w:sz="4" w:val="single"/>
            </w:tcBorders>
            <w:shd w:fill="FFFFFF" w:val="clear"/>
            <w:vAlign w:val="center"/>
          </w:tcPr>
          <w:p w14:paraId="DF310000">
            <w:pPr>
              <w:widowControl w:val="1"/>
              <w:ind/>
              <w:jc w:val="center"/>
              <w:rPr>
                <w:color w:val="000000"/>
                <w:sz w:val="18"/>
              </w:rPr>
            </w:pPr>
            <w:r>
              <w:rPr>
                <w:color w:val="000000"/>
                <w:sz w:val="18"/>
              </w:rPr>
              <w:t>69</w:t>
            </w:r>
          </w:p>
        </w:tc>
        <w:tc>
          <w:tcPr>
            <w:tcW w:type="dxa" w:w="618"/>
            <w:tcBorders>
              <w:top w:color="000000" w:sz="4" w:val="single"/>
              <w:left w:color="000000" w:sz="4" w:val="single"/>
              <w:bottom w:color="000000" w:sz="4" w:val="single"/>
              <w:right w:color="000000" w:sz="4" w:val="single"/>
            </w:tcBorders>
            <w:shd w:fill="FFFFFF" w:val="clear"/>
            <w:vAlign w:val="center"/>
          </w:tcPr>
          <w:p w14:paraId="E0310000">
            <w:pPr>
              <w:widowControl w:val="1"/>
              <w:ind/>
              <w:jc w:val="center"/>
              <w:rPr>
                <w:sz w:val="18"/>
              </w:rPr>
            </w:pPr>
            <w:r>
              <w:rPr>
                <w:sz w:val="18"/>
              </w:rPr>
              <w:t>84</w:t>
            </w:r>
          </w:p>
        </w:tc>
        <w:tc>
          <w:tcPr>
            <w:tcW w:type="dxa" w:w="993"/>
            <w:tcBorders>
              <w:top w:color="000000" w:sz="4" w:val="single"/>
              <w:left w:color="000000" w:sz="4" w:val="single"/>
              <w:bottom w:color="000000" w:sz="4" w:val="single"/>
              <w:right w:color="000000" w:sz="4" w:val="single"/>
            </w:tcBorders>
            <w:shd w:fill="FFFFFF" w:val="clear"/>
            <w:vAlign w:val="center"/>
          </w:tcPr>
          <w:p w14:paraId="E1310000">
            <w:pPr>
              <w:widowControl w:val="1"/>
              <w:ind/>
              <w:jc w:val="center"/>
              <w:rPr>
                <w:sz w:val="18"/>
              </w:rPr>
            </w:pPr>
            <w:r>
              <w:rPr>
                <w:sz w:val="18"/>
              </w:rPr>
              <w:t>Поставка офисной мебели</w:t>
            </w:r>
          </w:p>
        </w:tc>
        <w:tc>
          <w:tcPr>
            <w:tcW w:type="dxa" w:w="849"/>
            <w:tcBorders>
              <w:top w:color="000000" w:sz="4" w:val="single"/>
              <w:left w:color="000000" w:sz="4" w:val="single"/>
              <w:bottom w:color="000000" w:sz="4" w:val="single"/>
              <w:right w:color="000000" w:sz="4" w:val="single"/>
            </w:tcBorders>
            <w:shd w:fill="FFFFFF" w:val="clear"/>
            <w:vAlign w:val="center"/>
          </w:tcPr>
          <w:p w14:paraId="E231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E3310000">
            <w:pPr>
              <w:widowControl w:val="1"/>
              <w:ind/>
              <w:jc w:val="center"/>
              <w:rPr>
                <w:sz w:val="18"/>
              </w:rPr>
            </w:pPr>
            <w:r>
              <w:rPr>
                <w:sz w:val="18"/>
              </w:rPr>
              <w:t>39</w:t>
            </w:r>
          </w:p>
        </w:tc>
        <w:tc>
          <w:tcPr>
            <w:tcW w:type="dxa" w:w="991"/>
            <w:tcBorders>
              <w:top w:color="000000" w:sz="4" w:val="single"/>
              <w:left w:color="000000" w:sz="4" w:val="single"/>
              <w:bottom w:color="000000" w:sz="4" w:val="single"/>
              <w:right w:color="000000" w:sz="4" w:val="single"/>
            </w:tcBorders>
            <w:shd w:fill="FFFFFF" w:val="clear"/>
            <w:vAlign w:val="center"/>
          </w:tcPr>
          <w:p w14:paraId="E4310000">
            <w:pPr>
              <w:widowControl w:val="1"/>
              <w:ind/>
              <w:jc w:val="center"/>
              <w:rPr>
                <w:sz w:val="18"/>
              </w:rPr>
            </w:pPr>
            <w:r>
              <w:rPr>
                <w:sz w:val="18"/>
              </w:rPr>
              <w:t>249288,00</w:t>
            </w:r>
          </w:p>
        </w:tc>
        <w:tc>
          <w:tcPr>
            <w:tcW w:type="dxa" w:w="1134"/>
            <w:tcBorders>
              <w:top w:color="000000" w:sz="4" w:val="single"/>
              <w:left w:color="000000" w:sz="4" w:val="single"/>
              <w:bottom w:color="000000" w:sz="4" w:val="single"/>
              <w:right w:color="000000" w:sz="4" w:val="single"/>
            </w:tcBorders>
            <w:shd w:fill="FFFFFF" w:val="clear"/>
            <w:vAlign w:val="center"/>
          </w:tcPr>
          <w:p w14:paraId="E5310000">
            <w:pPr>
              <w:widowControl w:val="1"/>
              <w:ind/>
              <w:jc w:val="center"/>
              <w:rPr>
                <w:sz w:val="18"/>
              </w:rPr>
            </w:pPr>
            <w:r>
              <w:rPr>
                <w:sz w:val="18"/>
              </w:rPr>
              <w:t>294160,20</w:t>
            </w:r>
          </w:p>
        </w:tc>
        <w:tc>
          <w:tcPr>
            <w:tcW w:type="dxa" w:w="993"/>
            <w:tcBorders>
              <w:top w:color="000000" w:sz="4" w:val="single"/>
              <w:left w:color="000000" w:sz="4" w:val="single"/>
              <w:bottom w:color="000000" w:sz="4" w:val="single"/>
              <w:right w:color="000000" w:sz="4" w:val="single"/>
            </w:tcBorders>
            <w:shd w:fill="FFFFFF" w:val="clear"/>
            <w:vAlign w:val="center"/>
          </w:tcPr>
          <w:p w14:paraId="E631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E7310000">
            <w:pPr>
              <w:widowControl w:val="1"/>
              <w:ind/>
              <w:jc w:val="center"/>
              <w:rPr>
                <w:sz w:val="18"/>
              </w:rPr>
            </w:pPr>
            <w:r>
              <w:rPr>
                <w:sz w:val="18"/>
              </w:rPr>
              <w:t>февраль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E8310000">
            <w:pPr>
              <w:widowControl w:val="1"/>
              <w:ind/>
              <w:jc w:val="center"/>
              <w:rPr>
                <w:sz w:val="18"/>
              </w:rPr>
            </w:pPr>
            <w:r>
              <w:rPr>
                <w:sz w:val="18"/>
              </w:rPr>
              <w:t>31806894211</w:t>
            </w:r>
          </w:p>
        </w:tc>
        <w:tc>
          <w:tcPr>
            <w:tcW w:type="dxa" w:w="652"/>
            <w:tcBorders>
              <w:top w:color="000000" w:sz="4" w:val="single"/>
              <w:left w:color="000000" w:sz="4" w:val="single"/>
              <w:bottom w:color="000000" w:sz="4" w:val="single"/>
              <w:right w:color="000000" w:sz="4" w:val="single"/>
            </w:tcBorders>
            <w:shd w:fill="FFFFFF" w:val="clear"/>
            <w:vAlign w:val="center"/>
          </w:tcPr>
          <w:p w14:paraId="E931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EA310000">
            <w:pPr>
              <w:widowControl w:val="1"/>
              <w:ind/>
              <w:jc w:val="center"/>
              <w:rPr>
                <w:sz w:val="18"/>
              </w:rPr>
            </w:pPr>
            <w:r>
              <w:rPr>
                <w:sz w:val="18"/>
              </w:rPr>
              <w:t>39</w:t>
            </w:r>
          </w:p>
        </w:tc>
        <w:tc>
          <w:tcPr>
            <w:tcW w:type="dxa" w:w="1169"/>
            <w:tcBorders>
              <w:top w:color="000000" w:sz="4" w:val="single"/>
              <w:left w:color="000000" w:sz="4" w:val="single"/>
              <w:bottom w:color="000000" w:sz="4" w:val="single"/>
              <w:right w:color="000000" w:sz="4" w:val="single"/>
            </w:tcBorders>
            <w:shd w:fill="FFFFFF" w:val="clear"/>
            <w:vAlign w:val="center"/>
          </w:tcPr>
          <w:p w14:paraId="EB310000">
            <w:pPr>
              <w:widowControl w:val="1"/>
              <w:ind/>
              <w:jc w:val="center"/>
              <w:rPr>
                <w:sz w:val="18"/>
              </w:rPr>
            </w:pPr>
            <w:r>
              <w:rPr>
                <w:sz w:val="18"/>
              </w:rPr>
              <w:t>251715,70</w:t>
            </w:r>
          </w:p>
        </w:tc>
        <w:tc>
          <w:tcPr>
            <w:tcW w:type="dxa" w:w="1185"/>
            <w:tcBorders>
              <w:top w:color="000000" w:sz="4" w:val="single"/>
              <w:left w:color="000000" w:sz="4" w:val="single"/>
              <w:bottom w:color="000000" w:sz="4" w:val="single"/>
              <w:right w:color="000000" w:sz="4" w:val="single"/>
            </w:tcBorders>
            <w:shd w:fill="FFFFFF" w:val="clear"/>
            <w:vAlign w:val="center"/>
          </w:tcPr>
          <w:p w14:paraId="EC310000">
            <w:pPr>
              <w:widowControl w:val="1"/>
              <w:ind/>
              <w:jc w:val="center"/>
              <w:rPr>
                <w:sz w:val="18"/>
              </w:rPr>
            </w:pPr>
            <w:r>
              <w:rPr>
                <w:sz w:val="18"/>
              </w:rPr>
              <w:t>297024,60</w:t>
            </w:r>
          </w:p>
        </w:tc>
        <w:tc>
          <w:tcPr>
            <w:tcW w:type="dxa" w:w="1083"/>
            <w:tcBorders>
              <w:top w:color="000000" w:sz="4" w:val="single"/>
              <w:left w:color="000000" w:sz="4" w:val="single"/>
              <w:bottom w:color="000000" w:sz="4" w:val="single"/>
              <w:right w:color="000000" w:sz="4" w:val="single"/>
            </w:tcBorders>
            <w:shd w:fill="FFFFFF" w:val="clear"/>
            <w:vAlign w:val="center"/>
          </w:tcPr>
          <w:p w14:paraId="ED310000">
            <w:pPr>
              <w:widowControl w:val="1"/>
              <w:ind/>
              <w:jc w:val="center"/>
              <w:rPr>
                <w:sz w:val="18"/>
              </w:rPr>
            </w:pPr>
            <w:r>
              <w:rPr>
                <w:sz w:val="18"/>
              </w:rPr>
              <w:t>297024,60</w:t>
            </w:r>
          </w:p>
        </w:tc>
        <w:tc>
          <w:tcPr>
            <w:tcW w:type="dxa" w:w="771"/>
            <w:tcBorders>
              <w:top w:color="000000" w:sz="4" w:val="single"/>
              <w:left w:color="000000" w:sz="4" w:val="single"/>
              <w:bottom w:color="000000" w:sz="4" w:val="single"/>
              <w:right w:color="000000" w:sz="4" w:val="single"/>
            </w:tcBorders>
            <w:shd w:fill="FFFFFF" w:val="clear"/>
            <w:vAlign w:val="center"/>
          </w:tcPr>
          <w:p w14:paraId="EE31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F310000">
            <w:pPr>
              <w:widowControl w:val="1"/>
              <w:ind/>
              <w:jc w:val="center"/>
              <w:rPr>
                <w:sz w:val="18"/>
              </w:rPr>
            </w:pPr>
            <w:r>
              <w:rPr>
                <w:sz w:val="18"/>
              </w:rPr>
              <w:t>февраль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F0310000">
            <w:pPr>
              <w:widowControl w:val="1"/>
              <w:ind/>
              <w:jc w:val="center"/>
              <w:rPr>
                <w:sz w:val="18"/>
              </w:rPr>
            </w:pPr>
            <w:r>
              <w:rPr>
                <w:sz w:val="18"/>
              </w:rPr>
              <w:t>договор № 95 от 05.09.2018г.</w:t>
            </w:r>
          </w:p>
        </w:tc>
      </w:tr>
      <w:tr>
        <w:trPr>
          <w:trHeight w:hRule="atLeast" w:val="1020"/>
        </w:trPr>
        <w:tc>
          <w:tcPr>
            <w:tcW w:type="dxa" w:w="708"/>
            <w:tcBorders>
              <w:top w:color="000000" w:sz="4" w:val="single"/>
              <w:left w:color="000000" w:sz="4" w:val="single"/>
              <w:bottom w:color="000000" w:sz="4" w:val="single"/>
              <w:right w:color="000000" w:sz="4" w:val="single"/>
            </w:tcBorders>
            <w:shd w:fill="FFFFFF" w:val="clear"/>
            <w:vAlign w:val="center"/>
          </w:tcPr>
          <w:p w14:paraId="F1310000">
            <w:pPr>
              <w:widowControl w:val="1"/>
              <w:ind/>
              <w:jc w:val="center"/>
              <w:rPr>
                <w:color w:val="000000"/>
                <w:sz w:val="18"/>
              </w:rPr>
            </w:pPr>
            <w:r>
              <w:rPr>
                <w:color w:val="000000"/>
                <w:sz w:val="18"/>
              </w:rPr>
              <w:t>70</w:t>
            </w:r>
          </w:p>
        </w:tc>
        <w:tc>
          <w:tcPr>
            <w:tcW w:type="dxa" w:w="618"/>
            <w:tcBorders>
              <w:top w:color="000000" w:sz="4" w:val="single"/>
              <w:left w:color="000000" w:sz="4" w:val="single"/>
              <w:bottom w:color="000000" w:sz="4" w:val="single"/>
              <w:right w:color="000000" w:sz="4" w:val="single"/>
            </w:tcBorders>
            <w:shd w:fill="FFFFFF" w:val="clear"/>
            <w:vAlign w:val="center"/>
          </w:tcPr>
          <w:p w14:paraId="F2310000">
            <w:pPr>
              <w:widowControl w:val="1"/>
              <w:ind/>
              <w:jc w:val="center"/>
              <w:rPr>
                <w:sz w:val="18"/>
              </w:rPr>
            </w:pPr>
            <w:r>
              <w:rPr>
                <w:sz w:val="18"/>
              </w:rPr>
              <w:t>85</w:t>
            </w:r>
          </w:p>
        </w:tc>
        <w:tc>
          <w:tcPr>
            <w:tcW w:type="dxa" w:w="993"/>
            <w:tcBorders>
              <w:top w:color="000000" w:sz="4" w:val="single"/>
              <w:left w:color="000000" w:sz="4" w:val="single"/>
              <w:bottom w:color="000000" w:sz="4" w:val="single"/>
              <w:right w:color="000000" w:sz="4" w:val="single"/>
            </w:tcBorders>
            <w:shd w:fill="FFFFFF" w:val="clear"/>
            <w:vAlign w:val="center"/>
          </w:tcPr>
          <w:p w14:paraId="F3310000">
            <w:pPr>
              <w:widowControl w:val="1"/>
              <w:ind/>
              <w:jc w:val="center"/>
              <w:rPr>
                <w:sz w:val="18"/>
              </w:rPr>
            </w:pPr>
            <w:r>
              <w:rPr>
                <w:sz w:val="18"/>
              </w:rPr>
              <w:t>Оказание услуг по переезду офиса компании</w:t>
            </w:r>
          </w:p>
        </w:tc>
        <w:tc>
          <w:tcPr>
            <w:tcW w:type="dxa" w:w="849"/>
            <w:tcBorders>
              <w:top w:color="000000" w:sz="4" w:val="single"/>
              <w:left w:color="000000" w:sz="4" w:val="single"/>
              <w:bottom w:color="000000" w:sz="4" w:val="single"/>
              <w:right w:color="000000" w:sz="4" w:val="single"/>
            </w:tcBorders>
            <w:shd w:fill="FFFFFF" w:val="clear"/>
            <w:vAlign w:val="center"/>
          </w:tcPr>
          <w:p w14:paraId="F431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F531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F6310000">
            <w:pPr>
              <w:widowControl w:val="1"/>
              <w:ind/>
              <w:jc w:val="center"/>
              <w:rPr>
                <w:sz w:val="18"/>
              </w:rPr>
            </w:pPr>
            <w:r>
              <w:rPr>
                <w:sz w:val="18"/>
              </w:rPr>
              <w:t>250000,00</w:t>
            </w:r>
          </w:p>
        </w:tc>
        <w:tc>
          <w:tcPr>
            <w:tcW w:type="dxa" w:w="1134"/>
            <w:tcBorders>
              <w:top w:color="000000" w:sz="4" w:val="single"/>
              <w:left w:color="000000" w:sz="4" w:val="single"/>
              <w:bottom w:color="000000" w:sz="4" w:val="single"/>
              <w:right w:color="000000" w:sz="4" w:val="single"/>
            </w:tcBorders>
            <w:shd w:fill="FFFFFF" w:val="clear"/>
            <w:vAlign w:val="center"/>
          </w:tcPr>
          <w:p w14:paraId="F7310000">
            <w:pPr>
              <w:widowControl w:val="1"/>
              <w:ind/>
              <w:jc w:val="center"/>
              <w:rPr>
                <w:sz w:val="18"/>
              </w:rPr>
            </w:pPr>
            <w:r>
              <w:rPr>
                <w:sz w:val="18"/>
              </w:rPr>
              <w:t>250000,00</w:t>
            </w:r>
          </w:p>
        </w:tc>
        <w:tc>
          <w:tcPr>
            <w:tcW w:type="dxa" w:w="993"/>
            <w:tcBorders>
              <w:top w:color="000000" w:sz="4" w:val="single"/>
              <w:left w:color="000000" w:sz="4" w:val="single"/>
              <w:bottom w:color="000000" w:sz="4" w:val="single"/>
              <w:right w:color="000000" w:sz="4" w:val="single"/>
            </w:tcBorders>
            <w:shd w:fill="FFFFFF" w:val="clear"/>
            <w:vAlign w:val="center"/>
          </w:tcPr>
          <w:p w14:paraId="F831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F931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FA310000">
            <w:pPr>
              <w:widowControl w:val="1"/>
              <w:ind/>
              <w:jc w:val="center"/>
              <w:rPr>
                <w:sz w:val="18"/>
              </w:rPr>
            </w:pPr>
            <w:r>
              <w:rPr>
                <w:sz w:val="18"/>
              </w:rPr>
              <w:t>31806931311</w:t>
            </w:r>
          </w:p>
        </w:tc>
        <w:tc>
          <w:tcPr>
            <w:tcW w:type="dxa" w:w="652"/>
            <w:tcBorders>
              <w:top w:color="000000" w:sz="4" w:val="single"/>
              <w:left w:color="000000" w:sz="4" w:val="single"/>
              <w:bottom w:color="000000" w:sz="4" w:val="single"/>
              <w:right w:color="000000" w:sz="4" w:val="single"/>
            </w:tcBorders>
            <w:shd w:fill="FFFFFF" w:val="clear"/>
            <w:vAlign w:val="center"/>
          </w:tcPr>
          <w:p w14:paraId="FB31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FC31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FD310000">
            <w:pPr>
              <w:widowControl w:val="1"/>
              <w:ind/>
              <w:jc w:val="center"/>
              <w:rPr>
                <w:sz w:val="18"/>
              </w:rPr>
            </w:pPr>
            <w:r>
              <w:rPr>
                <w:sz w:val="18"/>
              </w:rPr>
              <w:t>242880,00</w:t>
            </w:r>
          </w:p>
        </w:tc>
        <w:tc>
          <w:tcPr>
            <w:tcW w:type="dxa" w:w="1185"/>
            <w:tcBorders>
              <w:top w:color="000000" w:sz="4" w:val="single"/>
              <w:left w:color="000000" w:sz="4" w:val="single"/>
              <w:bottom w:color="000000" w:sz="4" w:val="single"/>
              <w:right w:color="000000" w:sz="4" w:val="single"/>
            </w:tcBorders>
            <w:shd w:fill="FFFFFF" w:val="clear"/>
            <w:vAlign w:val="center"/>
          </w:tcPr>
          <w:p w14:paraId="FE310000">
            <w:pPr>
              <w:widowControl w:val="1"/>
              <w:ind/>
              <w:jc w:val="center"/>
              <w:rPr>
                <w:sz w:val="18"/>
              </w:rPr>
            </w:pPr>
            <w:r>
              <w:rPr>
                <w:sz w:val="18"/>
              </w:rPr>
              <w:t>242880,00</w:t>
            </w:r>
          </w:p>
        </w:tc>
        <w:tc>
          <w:tcPr>
            <w:tcW w:type="dxa" w:w="1083"/>
            <w:tcBorders>
              <w:top w:color="000000" w:sz="4" w:val="single"/>
              <w:left w:color="000000" w:sz="4" w:val="single"/>
              <w:bottom w:color="000000" w:sz="4" w:val="single"/>
              <w:right w:color="000000" w:sz="4" w:val="single"/>
            </w:tcBorders>
            <w:shd w:fill="FFFFFF" w:val="clear"/>
            <w:vAlign w:val="center"/>
          </w:tcPr>
          <w:p w14:paraId="FF310000">
            <w:pPr>
              <w:widowControl w:val="1"/>
              <w:ind/>
              <w:jc w:val="center"/>
              <w:rPr>
                <w:sz w:val="18"/>
              </w:rPr>
            </w:pPr>
            <w:r>
              <w:rPr>
                <w:sz w:val="18"/>
              </w:rPr>
              <w:t>242880,00</w:t>
            </w:r>
          </w:p>
        </w:tc>
        <w:tc>
          <w:tcPr>
            <w:tcW w:type="dxa" w:w="771"/>
            <w:tcBorders>
              <w:top w:color="000000" w:sz="4" w:val="single"/>
              <w:left w:color="000000" w:sz="4" w:val="single"/>
              <w:bottom w:color="000000" w:sz="4" w:val="single"/>
              <w:right w:color="000000" w:sz="4" w:val="single"/>
            </w:tcBorders>
            <w:shd w:fill="FFFFFF" w:val="clear"/>
            <w:vAlign w:val="center"/>
          </w:tcPr>
          <w:p w14:paraId="0032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0132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02320000">
            <w:pPr>
              <w:widowControl w:val="1"/>
              <w:ind/>
              <w:jc w:val="center"/>
              <w:rPr>
                <w:sz w:val="18"/>
              </w:rPr>
            </w:pPr>
            <w:r>
              <w:rPr>
                <w:sz w:val="18"/>
              </w:rPr>
              <w:t>договор № 98 от 17.09.2018</w:t>
            </w:r>
          </w:p>
        </w:tc>
      </w:tr>
      <w:tr>
        <w:trPr>
          <w:trHeight w:hRule="atLeast" w:val="1785"/>
        </w:trPr>
        <w:tc>
          <w:tcPr>
            <w:tcW w:type="dxa" w:w="708"/>
            <w:tcBorders>
              <w:top w:color="000000" w:sz="4" w:val="single"/>
              <w:left w:color="000000" w:sz="4" w:val="single"/>
              <w:bottom w:color="000000" w:sz="4" w:val="single"/>
              <w:right w:color="000000" w:sz="4" w:val="single"/>
            </w:tcBorders>
            <w:shd w:fill="FFFFFF" w:val="clear"/>
            <w:vAlign w:val="center"/>
          </w:tcPr>
          <w:p w14:paraId="03320000">
            <w:pPr>
              <w:widowControl w:val="1"/>
              <w:ind/>
              <w:jc w:val="center"/>
              <w:rPr>
                <w:color w:val="000000"/>
                <w:sz w:val="18"/>
              </w:rPr>
            </w:pPr>
            <w:r>
              <w:rPr>
                <w:color w:val="000000"/>
                <w:sz w:val="18"/>
              </w:rPr>
              <w:t>71</w:t>
            </w:r>
          </w:p>
        </w:tc>
        <w:tc>
          <w:tcPr>
            <w:tcW w:type="dxa" w:w="618"/>
            <w:tcBorders>
              <w:top w:color="000000" w:sz="4" w:val="single"/>
              <w:left w:color="000000" w:sz="4" w:val="single"/>
              <w:bottom w:color="000000" w:sz="4" w:val="single"/>
              <w:right w:color="000000" w:sz="4" w:val="single"/>
            </w:tcBorders>
            <w:shd w:fill="FFFFFF" w:val="clear"/>
            <w:vAlign w:val="center"/>
          </w:tcPr>
          <w:p w14:paraId="04320000">
            <w:pPr>
              <w:widowControl w:val="1"/>
              <w:ind/>
              <w:jc w:val="center"/>
              <w:rPr>
                <w:sz w:val="18"/>
              </w:rPr>
            </w:pPr>
            <w:r>
              <w:rPr>
                <w:sz w:val="18"/>
              </w:rPr>
              <w:t>86</w:t>
            </w:r>
          </w:p>
        </w:tc>
        <w:tc>
          <w:tcPr>
            <w:tcW w:type="dxa" w:w="993"/>
            <w:tcBorders>
              <w:top w:color="000000" w:sz="4" w:val="single"/>
              <w:left w:color="000000" w:sz="4" w:val="single"/>
              <w:bottom w:color="000000" w:sz="4" w:val="single"/>
              <w:right w:color="000000" w:sz="4" w:val="single"/>
            </w:tcBorders>
            <w:shd w:fill="FFFFFF" w:val="clear"/>
            <w:vAlign w:val="center"/>
          </w:tcPr>
          <w:p w14:paraId="05320000">
            <w:pPr>
              <w:widowControl w:val="1"/>
              <w:ind/>
              <w:jc w:val="center"/>
              <w:rPr>
                <w:sz w:val="18"/>
              </w:rPr>
            </w:pPr>
            <w:r>
              <w:rPr>
                <w:sz w:val="18"/>
              </w:rPr>
              <w:t>Аренда нежилых помещений для размещения офиса компании</w:t>
            </w:r>
          </w:p>
        </w:tc>
        <w:tc>
          <w:tcPr>
            <w:tcW w:type="dxa" w:w="849"/>
            <w:tcBorders>
              <w:top w:color="000000" w:sz="4" w:val="single"/>
              <w:left w:color="000000" w:sz="4" w:val="single"/>
              <w:bottom w:color="000000" w:sz="4" w:val="single"/>
              <w:right w:color="000000" w:sz="4" w:val="single"/>
            </w:tcBorders>
            <w:shd w:fill="FFFFFF" w:val="clear"/>
            <w:vAlign w:val="center"/>
          </w:tcPr>
          <w:p w14:paraId="0632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07320000">
            <w:pPr>
              <w:widowControl w:val="1"/>
              <w:ind/>
              <w:jc w:val="center"/>
              <w:rPr>
                <w:color w:val="000000"/>
                <w:sz w:val="18"/>
              </w:rPr>
            </w:pPr>
            <w:r>
              <w:rPr>
                <w:color w:val="000000"/>
                <w:sz w:val="18"/>
              </w:rPr>
              <w:t>63</w:t>
            </w:r>
          </w:p>
        </w:tc>
        <w:tc>
          <w:tcPr>
            <w:tcW w:type="dxa" w:w="991"/>
            <w:tcBorders>
              <w:top w:color="000000" w:sz="4" w:val="single"/>
              <w:left w:color="000000" w:sz="4" w:val="single"/>
              <w:bottom w:color="000000" w:sz="4" w:val="single"/>
              <w:right w:color="000000" w:sz="4" w:val="single"/>
            </w:tcBorders>
            <w:shd w:fill="FFFFFF" w:val="clear"/>
            <w:vAlign w:val="center"/>
          </w:tcPr>
          <w:p w14:paraId="08320000">
            <w:pPr>
              <w:widowControl w:val="1"/>
              <w:ind/>
              <w:jc w:val="center"/>
              <w:rPr>
                <w:color w:val="000000"/>
                <w:sz w:val="18"/>
              </w:rPr>
            </w:pPr>
            <w:r>
              <w:rPr>
                <w:color w:val="000000"/>
                <w:sz w:val="18"/>
              </w:rPr>
              <w:t>35635309,32</w:t>
            </w:r>
          </w:p>
        </w:tc>
        <w:tc>
          <w:tcPr>
            <w:tcW w:type="dxa" w:w="1134"/>
            <w:tcBorders>
              <w:top w:color="000000" w:sz="4" w:val="single"/>
              <w:left w:color="000000" w:sz="4" w:val="single"/>
              <w:bottom w:color="000000" w:sz="4" w:val="single"/>
              <w:right w:color="000000" w:sz="4" w:val="single"/>
            </w:tcBorders>
            <w:shd w:fill="FFFFFF" w:val="clear"/>
            <w:vAlign w:val="center"/>
          </w:tcPr>
          <w:p w14:paraId="09320000">
            <w:pPr>
              <w:widowControl w:val="1"/>
              <w:ind/>
              <w:jc w:val="center"/>
              <w:rPr>
                <w:color w:val="000000"/>
                <w:sz w:val="18"/>
              </w:rPr>
            </w:pPr>
            <w:r>
              <w:rPr>
                <w:color w:val="000000"/>
                <w:sz w:val="18"/>
              </w:rPr>
              <w:t>42049665,00</w:t>
            </w:r>
          </w:p>
        </w:tc>
        <w:tc>
          <w:tcPr>
            <w:tcW w:type="dxa" w:w="993"/>
            <w:tcBorders>
              <w:top w:color="000000" w:sz="4" w:val="single"/>
              <w:left w:color="000000" w:sz="4" w:val="single"/>
              <w:bottom w:color="000000" w:sz="4" w:val="single"/>
              <w:right w:color="000000" w:sz="4" w:val="single"/>
            </w:tcBorders>
            <w:shd w:fill="FFFFFF" w:val="clear"/>
            <w:vAlign w:val="center"/>
          </w:tcPr>
          <w:p w14:paraId="0A32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0B320000">
            <w:pPr>
              <w:widowControl w:val="1"/>
              <w:ind/>
              <w:jc w:val="center"/>
              <w:rPr>
                <w:color w:val="000000"/>
                <w:sz w:val="18"/>
              </w:rPr>
            </w:pPr>
            <w:r>
              <w:rPr>
                <w:color w:val="000000"/>
                <w:sz w:val="18"/>
              </w:rPr>
              <w:t>декабрь 2023г.</w:t>
            </w:r>
          </w:p>
        </w:tc>
        <w:tc>
          <w:tcPr>
            <w:tcW w:type="dxa" w:w="1334"/>
            <w:tcBorders>
              <w:top w:color="000000" w:sz="4" w:val="single"/>
              <w:left w:color="000000" w:sz="4" w:val="single"/>
              <w:bottom w:color="000000" w:sz="4" w:val="single"/>
              <w:right w:color="000000" w:sz="4" w:val="single"/>
            </w:tcBorders>
            <w:shd w:fill="FFFFFF" w:val="clear"/>
            <w:vAlign w:val="center"/>
          </w:tcPr>
          <w:p w14:paraId="0C320000">
            <w:pPr>
              <w:widowControl w:val="1"/>
              <w:ind/>
              <w:jc w:val="center"/>
              <w:rPr>
                <w:sz w:val="18"/>
              </w:rPr>
            </w:pPr>
            <w:r>
              <w:rPr>
                <w:sz w:val="18"/>
              </w:rPr>
              <w:t>31806931967</w:t>
            </w:r>
          </w:p>
        </w:tc>
        <w:tc>
          <w:tcPr>
            <w:tcW w:type="dxa" w:w="652"/>
            <w:tcBorders>
              <w:top w:color="000000" w:sz="4" w:val="single"/>
              <w:left w:color="000000" w:sz="4" w:val="single"/>
              <w:bottom w:color="000000" w:sz="4" w:val="single"/>
              <w:right w:color="000000" w:sz="4" w:val="single"/>
            </w:tcBorders>
            <w:shd w:fill="FFFFFF" w:val="clear"/>
            <w:vAlign w:val="center"/>
          </w:tcPr>
          <w:p w14:paraId="0D32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0E320000">
            <w:pPr>
              <w:widowControl w:val="1"/>
              <w:ind/>
              <w:jc w:val="center"/>
              <w:rPr>
                <w:color w:val="000000"/>
                <w:sz w:val="18"/>
              </w:rPr>
            </w:pPr>
            <w:r>
              <w:rPr>
                <w:color w:val="000000"/>
                <w:sz w:val="18"/>
              </w:rPr>
              <w:t>63</w:t>
            </w:r>
          </w:p>
        </w:tc>
        <w:tc>
          <w:tcPr>
            <w:tcW w:type="dxa" w:w="1169"/>
            <w:tcBorders>
              <w:top w:color="000000" w:sz="4" w:val="single"/>
              <w:left w:color="000000" w:sz="4" w:val="single"/>
              <w:bottom w:color="000000" w:sz="4" w:val="single"/>
              <w:right w:color="000000" w:sz="4" w:val="single"/>
            </w:tcBorders>
            <w:shd w:fill="FFFFFF" w:val="clear"/>
            <w:vAlign w:val="center"/>
          </w:tcPr>
          <w:p w14:paraId="0F320000">
            <w:pPr>
              <w:widowControl w:val="1"/>
              <w:ind/>
              <w:jc w:val="center"/>
              <w:rPr>
                <w:sz w:val="18"/>
              </w:rPr>
            </w:pPr>
            <w:r>
              <w:rPr>
                <w:sz w:val="18"/>
              </w:rPr>
              <w:t>33282488,90</w:t>
            </w:r>
          </w:p>
        </w:tc>
        <w:tc>
          <w:tcPr>
            <w:tcW w:type="dxa" w:w="1185"/>
            <w:tcBorders>
              <w:top w:color="000000" w:sz="4" w:val="single"/>
              <w:left w:color="000000" w:sz="4" w:val="single"/>
              <w:bottom w:color="000000" w:sz="4" w:val="single"/>
              <w:right w:color="000000" w:sz="4" w:val="single"/>
            </w:tcBorders>
            <w:shd w:fill="FFFFFF" w:val="clear"/>
            <w:vAlign w:val="center"/>
          </w:tcPr>
          <w:p w14:paraId="10320000">
            <w:pPr>
              <w:widowControl w:val="1"/>
              <w:ind/>
              <w:jc w:val="center"/>
              <w:rPr>
                <w:sz w:val="18"/>
              </w:rPr>
            </w:pPr>
            <w:r>
              <w:rPr>
                <w:sz w:val="18"/>
              </w:rPr>
              <w:t>39273337,92</w:t>
            </w:r>
          </w:p>
        </w:tc>
        <w:tc>
          <w:tcPr>
            <w:tcW w:type="dxa" w:w="1083"/>
            <w:tcBorders>
              <w:top w:color="000000" w:sz="4" w:val="single"/>
              <w:left w:color="000000" w:sz="4" w:val="single"/>
              <w:bottom w:color="000000" w:sz="4" w:val="single"/>
              <w:right w:color="000000" w:sz="4" w:val="single"/>
            </w:tcBorders>
            <w:shd w:fill="FFFFFF" w:val="clear"/>
            <w:vAlign w:val="center"/>
          </w:tcPr>
          <w:p w14:paraId="11320000">
            <w:pPr>
              <w:widowControl w:val="1"/>
              <w:ind/>
              <w:jc w:val="center"/>
              <w:rPr>
                <w:sz w:val="18"/>
              </w:rPr>
            </w:pPr>
            <w:r>
              <w:rPr>
                <w:sz w:val="18"/>
              </w:rPr>
              <w:t>39273337,92</w:t>
            </w:r>
          </w:p>
        </w:tc>
        <w:tc>
          <w:tcPr>
            <w:tcW w:type="dxa" w:w="771"/>
            <w:tcBorders>
              <w:top w:color="000000" w:sz="4" w:val="single"/>
              <w:left w:color="000000" w:sz="4" w:val="single"/>
              <w:bottom w:color="000000" w:sz="4" w:val="single"/>
              <w:right w:color="000000" w:sz="4" w:val="single"/>
            </w:tcBorders>
            <w:shd w:fill="FFFFFF" w:val="clear"/>
            <w:vAlign w:val="center"/>
          </w:tcPr>
          <w:p w14:paraId="1232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13320000">
            <w:pPr>
              <w:widowControl w:val="1"/>
              <w:ind/>
              <w:jc w:val="center"/>
              <w:rPr>
                <w:color w:val="000000"/>
                <w:sz w:val="18"/>
              </w:rPr>
            </w:pPr>
            <w:r>
              <w:rPr>
                <w:color w:val="000000"/>
                <w:sz w:val="18"/>
              </w:rPr>
              <w:t>декабрь 2023г.</w:t>
            </w:r>
          </w:p>
        </w:tc>
        <w:tc>
          <w:tcPr>
            <w:tcW w:type="dxa" w:w="709"/>
            <w:tcBorders>
              <w:top w:color="000000" w:sz="4" w:val="single"/>
              <w:left w:color="000000" w:sz="4" w:val="single"/>
              <w:bottom w:color="000000" w:sz="4" w:val="single"/>
              <w:right w:color="000000" w:sz="4" w:val="single"/>
            </w:tcBorders>
            <w:shd w:fill="FFFFFF" w:val="clear"/>
            <w:vAlign w:val="center"/>
          </w:tcPr>
          <w:p w14:paraId="14320000">
            <w:pPr>
              <w:widowControl w:val="1"/>
              <w:ind/>
              <w:jc w:val="center"/>
              <w:rPr>
                <w:sz w:val="18"/>
              </w:rPr>
            </w:pPr>
            <w:r>
              <w:rPr>
                <w:sz w:val="18"/>
              </w:rPr>
              <w:t>договор № 06-12/2018 от 17.09.2018</w:t>
            </w:r>
          </w:p>
        </w:tc>
      </w:tr>
      <w:tr>
        <w:trPr>
          <w:trHeight w:hRule="atLeast" w:val="2805"/>
        </w:trPr>
        <w:tc>
          <w:tcPr>
            <w:tcW w:type="dxa" w:w="708"/>
            <w:tcBorders>
              <w:top w:color="000000" w:sz="4" w:val="single"/>
              <w:left w:color="000000" w:sz="4" w:val="single"/>
              <w:bottom w:color="000000" w:sz="4" w:val="single"/>
              <w:right w:color="000000" w:sz="4" w:val="single"/>
            </w:tcBorders>
            <w:shd w:fill="FFFFFF" w:val="clear"/>
            <w:vAlign w:val="center"/>
          </w:tcPr>
          <w:p w14:paraId="15320000">
            <w:pPr>
              <w:widowControl w:val="1"/>
              <w:ind/>
              <w:jc w:val="center"/>
              <w:rPr>
                <w:color w:val="000000"/>
                <w:sz w:val="18"/>
              </w:rPr>
            </w:pPr>
            <w:r>
              <w:rPr>
                <w:color w:val="000000"/>
                <w:sz w:val="18"/>
              </w:rPr>
              <w:t>72</w:t>
            </w:r>
          </w:p>
        </w:tc>
        <w:tc>
          <w:tcPr>
            <w:tcW w:type="dxa" w:w="618"/>
            <w:tcBorders>
              <w:top w:color="000000" w:sz="4" w:val="single"/>
              <w:left w:color="000000" w:sz="4" w:val="single"/>
              <w:bottom w:color="000000" w:sz="4" w:val="single"/>
              <w:right w:color="000000" w:sz="4" w:val="single"/>
            </w:tcBorders>
            <w:shd w:fill="FFFFFF" w:val="clear"/>
            <w:vAlign w:val="center"/>
          </w:tcPr>
          <w:p w14:paraId="16320000">
            <w:pPr>
              <w:widowControl w:val="1"/>
              <w:ind/>
              <w:jc w:val="center"/>
              <w:rPr>
                <w:sz w:val="18"/>
              </w:rPr>
            </w:pPr>
            <w:r>
              <w:rPr>
                <w:sz w:val="18"/>
              </w:rPr>
              <w:t>87</w:t>
            </w:r>
          </w:p>
        </w:tc>
        <w:tc>
          <w:tcPr>
            <w:tcW w:type="dxa" w:w="993"/>
            <w:tcBorders>
              <w:top w:color="000000" w:sz="4" w:val="single"/>
              <w:left w:color="000000" w:sz="4" w:val="single"/>
              <w:bottom w:color="000000" w:sz="4" w:val="single"/>
              <w:right w:color="000000" w:sz="4" w:val="single"/>
            </w:tcBorders>
            <w:shd w:fill="FFFFFF" w:val="clear"/>
            <w:vAlign w:val="center"/>
          </w:tcPr>
          <w:p w14:paraId="17320000">
            <w:pPr>
              <w:widowControl w:val="1"/>
              <w:ind/>
              <w:jc w:val="center"/>
              <w:rPr>
                <w:sz w:val="18"/>
              </w:rPr>
            </w:pPr>
            <w:r>
              <w:rPr>
                <w:sz w:val="18"/>
              </w:rPr>
              <w:t>выполнение работ по восстановлению выводных кабелей тягового двигателя ТЭД-3У с проведением среднего ремонта</w:t>
            </w:r>
          </w:p>
        </w:tc>
        <w:tc>
          <w:tcPr>
            <w:tcW w:type="dxa" w:w="849"/>
            <w:tcBorders>
              <w:top w:color="000000" w:sz="4" w:val="single"/>
              <w:left w:color="000000" w:sz="4" w:val="single"/>
              <w:bottom w:color="000000" w:sz="4" w:val="single"/>
              <w:right w:color="000000" w:sz="4" w:val="single"/>
            </w:tcBorders>
            <w:shd w:fill="FFFFFF" w:val="clear"/>
            <w:vAlign w:val="center"/>
          </w:tcPr>
          <w:p w14:paraId="1832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1932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1A320000">
            <w:pPr>
              <w:widowControl w:val="1"/>
              <w:ind/>
              <w:jc w:val="center"/>
              <w:rPr>
                <w:color w:val="000000"/>
                <w:sz w:val="18"/>
              </w:rPr>
            </w:pPr>
            <w:r>
              <w:rPr>
                <w:color w:val="000000"/>
                <w:sz w:val="18"/>
              </w:rPr>
              <w:t>113968,00</w:t>
            </w:r>
          </w:p>
        </w:tc>
        <w:tc>
          <w:tcPr>
            <w:tcW w:type="dxa" w:w="1134"/>
            <w:tcBorders>
              <w:top w:color="000000" w:sz="4" w:val="single"/>
              <w:left w:color="000000" w:sz="4" w:val="single"/>
              <w:bottom w:color="000000" w:sz="4" w:val="single"/>
              <w:right w:color="000000" w:sz="4" w:val="single"/>
            </w:tcBorders>
            <w:shd w:fill="FFFFFF" w:val="clear"/>
            <w:vAlign w:val="center"/>
          </w:tcPr>
          <w:p w14:paraId="1B320000">
            <w:pPr>
              <w:widowControl w:val="1"/>
              <w:ind/>
              <w:jc w:val="center"/>
              <w:rPr>
                <w:color w:val="000000"/>
                <w:sz w:val="18"/>
              </w:rPr>
            </w:pPr>
            <w:r>
              <w:rPr>
                <w:color w:val="000000"/>
                <w:sz w:val="18"/>
              </w:rPr>
              <w:t>134482,54</w:t>
            </w:r>
          </w:p>
        </w:tc>
        <w:tc>
          <w:tcPr>
            <w:tcW w:type="dxa" w:w="993"/>
            <w:tcBorders>
              <w:top w:color="000000" w:sz="4" w:val="single"/>
              <w:left w:color="000000" w:sz="4" w:val="single"/>
              <w:bottom w:color="000000" w:sz="4" w:val="single"/>
              <w:right w:color="000000" w:sz="4" w:val="single"/>
            </w:tcBorders>
            <w:shd w:fill="FFFFFF" w:val="clear"/>
            <w:vAlign w:val="center"/>
          </w:tcPr>
          <w:p w14:paraId="1C32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1D32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1E320000">
            <w:pPr>
              <w:widowControl w:val="1"/>
              <w:ind/>
              <w:jc w:val="center"/>
              <w:rPr>
                <w:sz w:val="18"/>
              </w:rPr>
            </w:pPr>
            <w:r>
              <w:rPr>
                <w:sz w:val="18"/>
              </w:rPr>
              <w:t>31806935871</w:t>
            </w:r>
          </w:p>
        </w:tc>
        <w:tc>
          <w:tcPr>
            <w:tcW w:type="dxa" w:w="652"/>
            <w:tcBorders>
              <w:top w:color="000000" w:sz="4" w:val="single"/>
              <w:left w:color="000000" w:sz="4" w:val="single"/>
              <w:bottom w:color="000000" w:sz="4" w:val="single"/>
              <w:right w:color="000000" w:sz="4" w:val="single"/>
            </w:tcBorders>
            <w:shd w:fill="FFFFFF" w:val="clear"/>
            <w:vAlign w:val="center"/>
          </w:tcPr>
          <w:p w14:paraId="1F32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2032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21320000">
            <w:pPr>
              <w:widowControl w:val="1"/>
              <w:ind/>
              <w:jc w:val="center"/>
              <w:rPr>
                <w:color w:val="000000"/>
                <w:sz w:val="18"/>
              </w:rPr>
            </w:pPr>
            <w:r>
              <w:rPr>
                <w:color w:val="000000"/>
                <w:sz w:val="18"/>
              </w:rPr>
              <w:t>113968,00</w:t>
            </w:r>
          </w:p>
        </w:tc>
        <w:tc>
          <w:tcPr>
            <w:tcW w:type="dxa" w:w="1185"/>
            <w:tcBorders>
              <w:top w:color="000000" w:sz="4" w:val="single"/>
              <w:left w:color="000000" w:sz="4" w:val="single"/>
              <w:bottom w:color="000000" w:sz="4" w:val="single"/>
              <w:right w:color="000000" w:sz="4" w:val="single"/>
            </w:tcBorders>
            <w:shd w:fill="FFFFFF" w:val="clear"/>
            <w:vAlign w:val="center"/>
          </w:tcPr>
          <w:p w14:paraId="22320000">
            <w:pPr>
              <w:widowControl w:val="1"/>
              <w:ind/>
              <w:jc w:val="center"/>
              <w:rPr>
                <w:color w:val="000000"/>
                <w:sz w:val="18"/>
              </w:rPr>
            </w:pPr>
            <w:r>
              <w:rPr>
                <w:color w:val="000000"/>
                <w:sz w:val="18"/>
              </w:rPr>
              <w:t>134482,54</w:t>
            </w:r>
          </w:p>
        </w:tc>
        <w:tc>
          <w:tcPr>
            <w:tcW w:type="dxa" w:w="1083"/>
            <w:tcBorders>
              <w:top w:color="000000" w:sz="4" w:val="single"/>
              <w:left w:color="000000" w:sz="4" w:val="single"/>
              <w:bottom w:color="000000" w:sz="4" w:val="single"/>
              <w:right w:color="000000" w:sz="4" w:val="single"/>
            </w:tcBorders>
            <w:shd w:fill="FFFFFF" w:val="clear"/>
            <w:vAlign w:val="center"/>
          </w:tcPr>
          <w:p w14:paraId="23320000">
            <w:pPr>
              <w:widowControl w:val="1"/>
              <w:ind/>
              <w:jc w:val="center"/>
              <w:rPr>
                <w:color w:val="000000"/>
                <w:sz w:val="18"/>
              </w:rPr>
            </w:pPr>
            <w:r>
              <w:rPr>
                <w:color w:val="000000"/>
                <w:sz w:val="18"/>
              </w:rPr>
              <w:t>134482,54</w:t>
            </w:r>
          </w:p>
        </w:tc>
        <w:tc>
          <w:tcPr>
            <w:tcW w:type="dxa" w:w="771"/>
            <w:tcBorders>
              <w:top w:color="000000" w:sz="4" w:val="single"/>
              <w:left w:color="000000" w:sz="4" w:val="single"/>
              <w:bottom w:color="000000" w:sz="4" w:val="single"/>
              <w:right w:color="000000" w:sz="4" w:val="single"/>
            </w:tcBorders>
            <w:shd w:fill="FFFFFF" w:val="clear"/>
            <w:vAlign w:val="center"/>
          </w:tcPr>
          <w:p w14:paraId="2432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2532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26320000">
            <w:pPr>
              <w:widowControl w:val="1"/>
              <w:ind/>
              <w:jc w:val="center"/>
              <w:rPr>
                <w:sz w:val="18"/>
              </w:rPr>
            </w:pPr>
            <w:r>
              <w:rPr>
                <w:sz w:val="18"/>
              </w:rPr>
              <w:t>договор № 100 от 17.09.2018</w:t>
            </w:r>
          </w:p>
        </w:tc>
      </w:tr>
      <w:tr>
        <w:trPr>
          <w:trHeight w:hRule="atLeast" w:val="2115"/>
        </w:trPr>
        <w:tc>
          <w:tcPr>
            <w:tcW w:type="dxa" w:w="708"/>
            <w:tcBorders>
              <w:top w:color="000000" w:sz="4" w:val="single"/>
              <w:left w:color="000000" w:sz="4" w:val="single"/>
              <w:bottom w:color="000000" w:sz="4" w:val="single"/>
              <w:right w:color="000000" w:sz="4" w:val="single"/>
            </w:tcBorders>
            <w:shd w:fill="FFFFFF" w:val="clear"/>
            <w:vAlign w:val="center"/>
          </w:tcPr>
          <w:p w14:paraId="27320000">
            <w:pPr>
              <w:widowControl w:val="1"/>
              <w:ind/>
              <w:jc w:val="center"/>
              <w:rPr>
                <w:color w:val="000000"/>
                <w:sz w:val="18"/>
              </w:rPr>
            </w:pPr>
            <w:r>
              <w:rPr>
                <w:color w:val="000000"/>
                <w:sz w:val="18"/>
              </w:rPr>
              <w:t>73</w:t>
            </w:r>
          </w:p>
        </w:tc>
        <w:tc>
          <w:tcPr>
            <w:tcW w:type="dxa" w:w="618"/>
            <w:tcBorders>
              <w:top w:color="000000" w:sz="4" w:val="single"/>
              <w:left w:color="000000" w:sz="4" w:val="single"/>
              <w:bottom w:color="000000" w:sz="4" w:val="single"/>
              <w:right w:color="000000" w:sz="4" w:val="single"/>
            </w:tcBorders>
            <w:shd w:fill="FFFFFF" w:val="clear"/>
            <w:vAlign w:val="center"/>
          </w:tcPr>
          <w:p w14:paraId="28320000">
            <w:pPr>
              <w:widowControl w:val="1"/>
              <w:ind/>
              <w:jc w:val="center"/>
              <w:rPr>
                <w:sz w:val="18"/>
              </w:rPr>
            </w:pPr>
            <w:r>
              <w:rPr>
                <w:sz w:val="18"/>
              </w:rPr>
              <w:t>88</w:t>
            </w:r>
          </w:p>
        </w:tc>
        <w:tc>
          <w:tcPr>
            <w:tcW w:type="dxa" w:w="993"/>
            <w:tcBorders>
              <w:top w:color="000000" w:sz="4" w:val="single"/>
              <w:left w:color="000000" w:sz="4" w:val="single"/>
              <w:bottom w:color="000000" w:sz="4" w:val="single"/>
              <w:right w:color="000000" w:sz="4" w:val="single"/>
            </w:tcBorders>
            <w:shd w:fill="FFFFFF" w:val="clear"/>
            <w:vAlign w:val="center"/>
          </w:tcPr>
          <w:p w14:paraId="29320000">
            <w:pPr>
              <w:widowControl w:val="1"/>
              <w:ind/>
              <w:jc w:val="center"/>
              <w:rPr>
                <w:sz w:val="18"/>
              </w:rPr>
            </w:pPr>
            <w:r>
              <w:rPr>
                <w:sz w:val="18"/>
              </w:rPr>
              <w:t>Проведение текущего ремонта вагона электропоезда ЭД9М в объеме ТР-2</w:t>
            </w:r>
          </w:p>
        </w:tc>
        <w:tc>
          <w:tcPr>
            <w:tcW w:type="dxa" w:w="849"/>
            <w:tcBorders>
              <w:top w:color="000000" w:sz="4" w:val="single"/>
              <w:left w:color="000000" w:sz="4" w:val="single"/>
              <w:bottom w:color="000000" w:sz="4" w:val="single"/>
              <w:right w:color="000000" w:sz="4" w:val="single"/>
            </w:tcBorders>
            <w:shd w:fill="FFFFFF" w:val="clear"/>
            <w:vAlign w:val="center"/>
          </w:tcPr>
          <w:p w14:paraId="2A32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2B32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2C320000">
            <w:pPr>
              <w:widowControl w:val="1"/>
              <w:ind/>
              <w:jc w:val="center"/>
              <w:rPr>
                <w:sz w:val="18"/>
              </w:rPr>
            </w:pPr>
            <w:r>
              <w:rPr>
                <w:sz w:val="18"/>
              </w:rPr>
              <w:t>680330,00</w:t>
            </w:r>
          </w:p>
        </w:tc>
        <w:tc>
          <w:tcPr>
            <w:tcW w:type="dxa" w:w="1134"/>
            <w:tcBorders>
              <w:top w:color="000000" w:sz="4" w:val="single"/>
              <w:left w:color="000000" w:sz="4" w:val="single"/>
              <w:bottom w:color="000000" w:sz="4" w:val="single"/>
              <w:right w:color="000000" w:sz="4" w:val="single"/>
            </w:tcBorders>
            <w:shd w:fill="FFFFFF" w:val="clear"/>
            <w:vAlign w:val="center"/>
          </w:tcPr>
          <w:p w14:paraId="2D320000">
            <w:pPr>
              <w:widowControl w:val="1"/>
              <w:ind/>
              <w:jc w:val="center"/>
              <w:rPr>
                <w:sz w:val="18"/>
              </w:rPr>
            </w:pPr>
            <w:r>
              <w:rPr>
                <w:sz w:val="18"/>
              </w:rPr>
              <w:t>802789,40</w:t>
            </w:r>
          </w:p>
        </w:tc>
        <w:tc>
          <w:tcPr>
            <w:tcW w:type="dxa" w:w="993"/>
            <w:tcBorders>
              <w:top w:color="000000" w:sz="4" w:val="single"/>
              <w:left w:color="000000" w:sz="4" w:val="single"/>
              <w:bottom w:color="000000" w:sz="4" w:val="single"/>
              <w:right w:color="000000" w:sz="4" w:val="single"/>
            </w:tcBorders>
            <w:shd w:fill="FFFFFF" w:val="clear"/>
            <w:vAlign w:val="center"/>
          </w:tcPr>
          <w:p w14:paraId="2E32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2F32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30320000">
            <w:pPr>
              <w:widowControl w:val="1"/>
              <w:ind/>
              <w:jc w:val="center"/>
              <w:rPr>
                <w:sz w:val="18"/>
              </w:rPr>
            </w:pPr>
            <w:r>
              <w:rPr>
                <w:sz w:val="18"/>
              </w:rPr>
              <w:t>31806983095</w:t>
            </w:r>
          </w:p>
        </w:tc>
        <w:tc>
          <w:tcPr>
            <w:tcW w:type="dxa" w:w="652"/>
            <w:tcBorders>
              <w:top w:color="000000" w:sz="4" w:val="single"/>
              <w:left w:color="000000" w:sz="4" w:val="single"/>
              <w:bottom w:color="000000" w:sz="4" w:val="single"/>
              <w:right w:color="000000" w:sz="4" w:val="single"/>
            </w:tcBorders>
            <w:shd w:fill="FFFFFF" w:val="clear"/>
            <w:vAlign w:val="center"/>
          </w:tcPr>
          <w:p w14:paraId="3132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3232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33320000">
            <w:pPr>
              <w:widowControl w:val="1"/>
              <w:ind/>
              <w:jc w:val="center"/>
              <w:rPr>
                <w:sz w:val="18"/>
              </w:rPr>
            </w:pPr>
            <w:r>
              <w:rPr>
                <w:sz w:val="18"/>
              </w:rPr>
              <w:t>680330</w:t>
            </w:r>
          </w:p>
        </w:tc>
        <w:tc>
          <w:tcPr>
            <w:tcW w:type="dxa" w:w="1185"/>
            <w:tcBorders>
              <w:top w:color="000000" w:sz="4" w:val="single"/>
              <w:left w:color="000000" w:sz="4" w:val="single"/>
              <w:bottom w:color="000000" w:sz="4" w:val="single"/>
              <w:right w:color="000000" w:sz="4" w:val="single"/>
            </w:tcBorders>
            <w:shd w:fill="FFFFFF" w:val="clear"/>
            <w:vAlign w:val="center"/>
          </w:tcPr>
          <w:p w14:paraId="34320000">
            <w:pPr>
              <w:widowControl w:val="1"/>
              <w:ind/>
              <w:jc w:val="center"/>
              <w:rPr>
                <w:sz w:val="18"/>
              </w:rPr>
            </w:pPr>
            <w:r>
              <w:rPr>
                <w:sz w:val="18"/>
              </w:rPr>
              <w:t>802789,4</w:t>
            </w:r>
          </w:p>
        </w:tc>
        <w:tc>
          <w:tcPr>
            <w:tcW w:type="dxa" w:w="1083"/>
            <w:tcBorders>
              <w:top w:color="000000" w:sz="4" w:val="single"/>
              <w:left w:color="000000" w:sz="4" w:val="single"/>
              <w:bottom w:color="000000" w:sz="4" w:val="single"/>
              <w:right w:color="000000" w:sz="4" w:val="single"/>
            </w:tcBorders>
            <w:shd w:fill="FFFFFF" w:val="clear"/>
            <w:vAlign w:val="center"/>
          </w:tcPr>
          <w:p w14:paraId="35320000">
            <w:pPr>
              <w:widowControl w:val="1"/>
              <w:ind/>
              <w:jc w:val="center"/>
              <w:rPr>
                <w:sz w:val="18"/>
              </w:rPr>
            </w:pPr>
            <w:r>
              <w:rPr>
                <w:sz w:val="18"/>
              </w:rPr>
              <w:t>802789,4</w:t>
            </w:r>
          </w:p>
        </w:tc>
        <w:tc>
          <w:tcPr>
            <w:tcW w:type="dxa" w:w="771"/>
            <w:tcBorders>
              <w:top w:color="000000" w:sz="4" w:val="single"/>
              <w:left w:color="000000" w:sz="4" w:val="single"/>
              <w:bottom w:color="000000" w:sz="4" w:val="single"/>
              <w:right w:color="000000" w:sz="4" w:val="single"/>
            </w:tcBorders>
            <w:shd w:fill="FFFFFF" w:val="clear"/>
            <w:vAlign w:val="center"/>
          </w:tcPr>
          <w:p w14:paraId="3632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3732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38320000">
            <w:pPr>
              <w:widowControl w:val="1"/>
              <w:ind/>
              <w:jc w:val="center"/>
              <w:rPr>
                <w:sz w:val="18"/>
              </w:rPr>
            </w:pPr>
            <w:r>
              <w:rPr>
                <w:sz w:val="18"/>
              </w:rPr>
              <w:t>договор № 105 от 02.10.2018</w:t>
            </w:r>
          </w:p>
        </w:tc>
      </w:tr>
      <w:tr>
        <w:trPr>
          <w:trHeight w:hRule="atLeast" w:val="2295"/>
        </w:trPr>
        <w:tc>
          <w:tcPr>
            <w:tcW w:type="dxa" w:w="708"/>
            <w:tcBorders>
              <w:top w:color="000000" w:sz="4" w:val="single"/>
              <w:left w:color="000000" w:sz="4" w:val="single"/>
              <w:bottom w:color="000000" w:sz="4" w:val="single"/>
              <w:right w:color="000000" w:sz="4" w:val="single"/>
            </w:tcBorders>
            <w:shd w:fill="FFFFFF" w:val="clear"/>
            <w:vAlign w:val="center"/>
          </w:tcPr>
          <w:p w14:paraId="39320000">
            <w:pPr>
              <w:widowControl w:val="1"/>
              <w:ind/>
              <w:jc w:val="center"/>
              <w:rPr>
                <w:color w:val="000000"/>
                <w:sz w:val="18"/>
              </w:rPr>
            </w:pPr>
            <w:r>
              <w:rPr>
                <w:color w:val="000000"/>
                <w:sz w:val="18"/>
              </w:rPr>
              <w:t>74</w:t>
            </w:r>
          </w:p>
        </w:tc>
        <w:tc>
          <w:tcPr>
            <w:tcW w:type="dxa" w:w="618"/>
            <w:tcBorders>
              <w:top w:color="000000" w:sz="4" w:val="single"/>
              <w:left w:color="000000" w:sz="4" w:val="single"/>
              <w:bottom w:color="000000" w:sz="4" w:val="single"/>
              <w:right w:color="000000" w:sz="4" w:val="single"/>
            </w:tcBorders>
            <w:shd w:fill="FFFFFF" w:val="clear"/>
            <w:vAlign w:val="center"/>
          </w:tcPr>
          <w:p w14:paraId="3A320000">
            <w:pPr>
              <w:widowControl w:val="1"/>
              <w:ind/>
              <w:jc w:val="center"/>
              <w:rPr>
                <w:sz w:val="18"/>
              </w:rPr>
            </w:pPr>
            <w:r>
              <w:rPr>
                <w:sz w:val="18"/>
              </w:rPr>
              <w:t>89</w:t>
            </w:r>
          </w:p>
        </w:tc>
        <w:tc>
          <w:tcPr>
            <w:tcW w:type="dxa" w:w="993"/>
            <w:tcBorders>
              <w:top w:color="000000" w:sz="4" w:val="single"/>
              <w:left w:color="000000" w:sz="4" w:val="single"/>
              <w:bottom w:color="000000" w:sz="4" w:val="single"/>
              <w:right w:color="000000" w:sz="4" w:val="single"/>
            </w:tcBorders>
            <w:shd w:fill="FFFFFF" w:val="clear"/>
            <w:vAlign w:val="center"/>
          </w:tcPr>
          <w:p w14:paraId="3B320000">
            <w:pPr>
              <w:widowControl w:val="1"/>
              <w:ind/>
              <w:jc w:val="center"/>
              <w:rPr>
                <w:sz w:val="18"/>
              </w:rPr>
            </w:pPr>
            <w:r>
              <w:rPr>
                <w:sz w:val="18"/>
              </w:rPr>
              <w:t>Выполнение работ по ремонту линейного оборудования поездов переменного тока серии ЭД9М</w:t>
            </w:r>
          </w:p>
        </w:tc>
        <w:tc>
          <w:tcPr>
            <w:tcW w:type="dxa" w:w="849"/>
            <w:tcBorders>
              <w:top w:color="000000" w:sz="4" w:val="single"/>
              <w:left w:color="000000" w:sz="4" w:val="single"/>
              <w:bottom w:color="000000" w:sz="4" w:val="single"/>
              <w:right w:color="000000" w:sz="4" w:val="single"/>
            </w:tcBorders>
            <w:shd w:fill="FFFFFF" w:val="clear"/>
            <w:vAlign w:val="center"/>
          </w:tcPr>
          <w:p w14:paraId="3C32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3D320000">
            <w:pPr>
              <w:widowControl w:val="1"/>
              <w:ind/>
              <w:jc w:val="center"/>
              <w:rPr>
                <w:sz w:val="18"/>
              </w:rPr>
            </w:pPr>
            <w:r>
              <w:rPr>
                <w:sz w:val="18"/>
              </w:rPr>
              <w:t>21</w:t>
            </w:r>
          </w:p>
        </w:tc>
        <w:tc>
          <w:tcPr>
            <w:tcW w:type="dxa" w:w="991"/>
            <w:tcBorders>
              <w:top w:color="000000" w:sz="4" w:val="single"/>
              <w:left w:color="000000" w:sz="4" w:val="single"/>
              <w:bottom w:color="000000" w:sz="4" w:val="single"/>
              <w:right w:color="000000" w:sz="4" w:val="single"/>
            </w:tcBorders>
            <w:shd w:fill="FFFFFF" w:val="clear"/>
            <w:vAlign w:val="center"/>
          </w:tcPr>
          <w:p w14:paraId="3E320000">
            <w:pPr>
              <w:widowControl w:val="1"/>
              <w:ind/>
              <w:jc w:val="center"/>
              <w:rPr>
                <w:sz w:val="18"/>
              </w:rPr>
            </w:pPr>
            <w:r>
              <w:rPr>
                <w:sz w:val="18"/>
              </w:rPr>
              <w:t>1706228,00</w:t>
            </w:r>
          </w:p>
        </w:tc>
        <w:tc>
          <w:tcPr>
            <w:tcW w:type="dxa" w:w="1134"/>
            <w:tcBorders>
              <w:top w:color="000000" w:sz="4" w:val="single"/>
              <w:left w:color="000000" w:sz="4" w:val="single"/>
              <w:bottom w:color="000000" w:sz="4" w:val="single"/>
              <w:right w:color="000000" w:sz="4" w:val="single"/>
            </w:tcBorders>
            <w:shd w:fill="FFFFFF" w:val="clear"/>
            <w:vAlign w:val="center"/>
          </w:tcPr>
          <w:p w14:paraId="3F320000">
            <w:pPr>
              <w:widowControl w:val="1"/>
              <w:ind/>
              <w:jc w:val="center"/>
              <w:rPr>
                <w:sz w:val="18"/>
              </w:rPr>
            </w:pPr>
            <w:r>
              <w:rPr>
                <w:sz w:val="18"/>
              </w:rPr>
              <w:t>2013349,00</w:t>
            </w:r>
          </w:p>
        </w:tc>
        <w:tc>
          <w:tcPr>
            <w:tcW w:type="dxa" w:w="993"/>
            <w:tcBorders>
              <w:top w:color="000000" w:sz="4" w:val="single"/>
              <w:left w:color="000000" w:sz="4" w:val="single"/>
              <w:bottom w:color="000000" w:sz="4" w:val="single"/>
              <w:right w:color="000000" w:sz="4" w:val="single"/>
            </w:tcBorders>
            <w:shd w:fill="FFFFFF" w:val="clear"/>
            <w:vAlign w:val="center"/>
          </w:tcPr>
          <w:p w14:paraId="4032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4132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42320000">
            <w:pPr>
              <w:widowControl w:val="1"/>
              <w:ind/>
              <w:jc w:val="center"/>
              <w:rPr>
                <w:sz w:val="18"/>
              </w:rPr>
            </w:pPr>
            <w:r>
              <w:rPr>
                <w:sz w:val="18"/>
              </w:rPr>
              <w:t>31806983282</w:t>
            </w:r>
          </w:p>
        </w:tc>
        <w:tc>
          <w:tcPr>
            <w:tcW w:type="dxa" w:w="652"/>
            <w:tcBorders>
              <w:top w:color="000000" w:sz="4" w:val="single"/>
              <w:left w:color="000000" w:sz="4" w:val="single"/>
              <w:bottom w:color="000000" w:sz="4" w:val="single"/>
              <w:right w:color="000000" w:sz="4" w:val="single"/>
            </w:tcBorders>
            <w:shd w:fill="FFFFFF" w:val="clear"/>
            <w:vAlign w:val="center"/>
          </w:tcPr>
          <w:p w14:paraId="4332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44320000">
            <w:pPr>
              <w:widowControl w:val="1"/>
              <w:ind/>
              <w:jc w:val="center"/>
              <w:rPr>
                <w:sz w:val="18"/>
              </w:rPr>
            </w:pPr>
            <w:r>
              <w:rPr>
                <w:sz w:val="18"/>
              </w:rPr>
              <w:t>21</w:t>
            </w:r>
          </w:p>
        </w:tc>
        <w:tc>
          <w:tcPr>
            <w:tcW w:type="dxa" w:w="1169"/>
            <w:tcBorders>
              <w:top w:color="000000" w:sz="4" w:val="single"/>
              <w:left w:color="000000" w:sz="4" w:val="single"/>
              <w:bottom w:color="000000" w:sz="4" w:val="single"/>
              <w:right w:color="000000" w:sz="4" w:val="single"/>
            </w:tcBorders>
            <w:shd w:fill="FFFFFF" w:val="clear"/>
            <w:vAlign w:val="center"/>
          </w:tcPr>
          <w:p w14:paraId="45320000">
            <w:pPr>
              <w:widowControl w:val="1"/>
              <w:ind/>
              <w:jc w:val="center"/>
              <w:rPr>
                <w:sz w:val="18"/>
              </w:rPr>
            </w:pPr>
            <w:r>
              <w:rPr>
                <w:sz w:val="18"/>
              </w:rPr>
              <w:t>1677707</w:t>
            </w:r>
          </w:p>
        </w:tc>
        <w:tc>
          <w:tcPr>
            <w:tcW w:type="dxa" w:w="1185"/>
            <w:tcBorders>
              <w:top w:color="000000" w:sz="4" w:val="single"/>
              <w:left w:color="000000" w:sz="4" w:val="single"/>
              <w:bottom w:color="000000" w:sz="4" w:val="single"/>
              <w:right w:color="000000" w:sz="4" w:val="single"/>
            </w:tcBorders>
            <w:shd w:fill="FFFFFF" w:val="clear"/>
            <w:vAlign w:val="center"/>
          </w:tcPr>
          <w:p w14:paraId="46320000">
            <w:pPr>
              <w:widowControl w:val="1"/>
              <w:ind/>
              <w:jc w:val="center"/>
              <w:rPr>
                <w:sz w:val="18"/>
              </w:rPr>
            </w:pPr>
            <w:r>
              <w:rPr>
                <w:sz w:val="18"/>
              </w:rPr>
              <w:t>1979694,26</w:t>
            </w:r>
          </w:p>
        </w:tc>
        <w:tc>
          <w:tcPr>
            <w:tcW w:type="dxa" w:w="1083"/>
            <w:tcBorders>
              <w:top w:color="000000" w:sz="4" w:val="single"/>
              <w:left w:color="000000" w:sz="4" w:val="single"/>
              <w:bottom w:color="000000" w:sz="4" w:val="single"/>
              <w:right w:color="000000" w:sz="4" w:val="single"/>
            </w:tcBorders>
            <w:shd w:fill="FFFFFF" w:val="clear"/>
            <w:vAlign w:val="center"/>
          </w:tcPr>
          <w:p w14:paraId="47320000">
            <w:pPr>
              <w:widowControl w:val="1"/>
              <w:ind/>
              <w:jc w:val="center"/>
              <w:rPr>
                <w:sz w:val="18"/>
              </w:rPr>
            </w:pPr>
            <w:r>
              <w:rPr>
                <w:sz w:val="18"/>
              </w:rPr>
              <w:t>1979694,26</w:t>
            </w:r>
          </w:p>
        </w:tc>
        <w:tc>
          <w:tcPr>
            <w:tcW w:type="dxa" w:w="771"/>
            <w:tcBorders>
              <w:top w:color="000000" w:sz="4" w:val="single"/>
              <w:left w:color="000000" w:sz="4" w:val="single"/>
              <w:bottom w:color="000000" w:sz="4" w:val="single"/>
              <w:right w:color="000000" w:sz="4" w:val="single"/>
            </w:tcBorders>
            <w:shd w:fill="FFFFFF" w:val="clear"/>
            <w:vAlign w:val="center"/>
          </w:tcPr>
          <w:p w14:paraId="4832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4932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4A320000">
            <w:pPr>
              <w:widowControl w:val="1"/>
              <w:ind/>
              <w:jc w:val="center"/>
              <w:rPr>
                <w:sz w:val="18"/>
              </w:rPr>
            </w:pPr>
            <w:r>
              <w:rPr>
                <w:sz w:val="18"/>
              </w:rPr>
              <w:t>договор № 106 от 02.10.2018</w:t>
            </w:r>
          </w:p>
        </w:tc>
      </w:tr>
      <w:tr>
        <w:trPr>
          <w:trHeight w:hRule="atLeast" w:val="1065"/>
        </w:trPr>
        <w:tc>
          <w:tcPr>
            <w:tcW w:type="dxa" w:w="708"/>
            <w:tcBorders>
              <w:top w:color="000000" w:sz="4" w:val="single"/>
              <w:left w:color="000000" w:sz="4" w:val="single"/>
              <w:bottom w:color="000000" w:sz="4" w:val="single"/>
              <w:right w:color="000000" w:sz="4" w:val="single"/>
            </w:tcBorders>
            <w:shd w:fill="FFFFFF" w:val="clear"/>
            <w:vAlign w:val="center"/>
          </w:tcPr>
          <w:p w14:paraId="4B320000">
            <w:pPr>
              <w:widowControl w:val="1"/>
              <w:ind/>
              <w:jc w:val="center"/>
              <w:rPr>
                <w:color w:val="000000"/>
                <w:sz w:val="18"/>
              </w:rPr>
            </w:pPr>
            <w:r>
              <w:rPr>
                <w:color w:val="000000"/>
                <w:sz w:val="18"/>
              </w:rPr>
              <w:t>75</w:t>
            </w:r>
          </w:p>
        </w:tc>
        <w:tc>
          <w:tcPr>
            <w:tcW w:type="dxa" w:w="618"/>
            <w:tcBorders>
              <w:top w:color="000000" w:sz="4" w:val="single"/>
              <w:left w:color="000000" w:sz="4" w:val="single"/>
              <w:bottom w:color="000000" w:sz="4" w:val="single"/>
              <w:right w:color="000000" w:sz="4" w:val="single"/>
            </w:tcBorders>
            <w:shd w:fill="FFFFFF" w:val="clear"/>
            <w:vAlign w:val="center"/>
          </w:tcPr>
          <w:p w14:paraId="4C320000">
            <w:pPr>
              <w:widowControl w:val="1"/>
              <w:ind/>
              <w:jc w:val="center"/>
              <w:rPr>
                <w:sz w:val="18"/>
              </w:rPr>
            </w:pPr>
            <w:r>
              <w:rPr>
                <w:sz w:val="18"/>
              </w:rPr>
              <w:t>90</w:t>
            </w:r>
          </w:p>
        </w:tc>
        <w:tc>
          <w:tcPr>
            <w:tcW w:type="dxa" w:w="993"/>
            <w:tcBorders>
              <w:top w:color="000000" w:sz="4" w:val="single"/>
              <w:left w:color="000000" w:sz="4" w:val="single"/>
              <w:bottom w:color="000000" w:sz="4" w:val="single"/>
              <w:right w:color="000000" w:sz="4" w:val="single"/>
            </w:tcBorders>
            <w:shd w:fill="FFFFFF" w:val="clear"/>
            <w:vAlign w:val="center"/>
          </w:tcPr>
          <w:p w14:paraId="4D320000">
            <w:pPr>
              <w:widowControl w:val="1"/>
              <w:ind/>
              <w:jc w:val="center"/>
              <w:rPr>
                <w:sz w:val="18"/>
              </w:rPr>
            </w:pPr>
            <w:r>
              <w:rPr>
                <w:sz w:val="18"/>
              </w:rPr>
              <w:t>Оказание услуг технической поддержки подсистемы "сервис для интеграции с системами по продаже билетов для АСУПБ"</w:t>
            </w:r>
          </w:p>
        </w:tc>
        <w:tc>
          <w:tcPr>
            <w:tcW w:type="dxa" w:w="849"/>
            <w:tcBorders>
              <w:top w:color="000000" w:sz="4" w:val="single"/>
              <w:left w:color="000000" w:sz="4" w:val="single"/>
              <w:bottom w:color="000000" w:sz="4" w:val="single"/>
              <w:right w:color="000000" w:sz="4" w:val="single"/>
            </w:tcBorders>
            <w:shd w:fill="FFFFFF" w:val="clear"/>
            <w:vAlign w:val="center"/>
          </w:tcPr>
          <w:p w14:paraId="4E32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4F32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50320000">
            <w:pPr>
              <w:widowControl w:val="1"/>
              <w:ind/>
              <w:jc w:val="center"/>
              <w:rPr>
                <w:sz w:val="18"/>
              </w:rPr>
            </w:pPr>
            <w:r>
              <w:rPr>
                <w:sz w:val="18"/>
              </w:rPr>
              <w:t>101695,00</w:t>
            </w:r>
          </w:p>
        </w:tc>
        <w:tc>
          <w:tcPr>
            <w:tcW w:type="dxa" w:w="1134"/>
            <w:tcBorders>
              <w:top w:color="000000" w:sz="4" w:val="single"/>
              <w:left w:color="000000" w:sz="4" w:val="single"/>
              <w:bottom w:color="000000" w:sz="4" w:val="single"/>
              <w:right w:color="000000" w:sz="4" w:val="single"/>
            </w:tcBorders>
            <w:shd w:fill="FFFFFF" w:val="clear"/>
            <w:vAlign w:val="center"/>
          </w:tcPr>
          <w:p w14:paraId="51320000">
            <w:pPr>
              <w:widowControl w:val="1"/>
              <w:ind/>
              <w:jc w:val="center"/>
              <w:rPr>
                <w:color w:val="000000"/>
                <w:sz w:val="18"/>
              </w:rPr>
            </w:pPr>
            <w:r>
              <w:rPr>
                <w:color w:val="000000"/>
                <w:sz w:val="18"/>
              </w:rPr>
              <w:t>120000,00</w:t>
            </w:r>
          </w:p>
        </w:tc>
        <w:tc>
          <w:tcPr>
            <w:tcW w:type="dxa" w:w="993"/>
            <w:tcBorders>
              <w:top w:color="000000" w:sz="4" w:val="single"/>
              <w:left w:color="000000" w:sz="4" w:val="single"/>
              <w:bottom w:color="000000" w:sz="4" w:val="single"/>
              <w:right w:color="000000" w:sz="4" w:val="single"/>
            </w:tcBorders>
            <w:shd w:fill="FFFFFF" w:val="clear"/>
            <w:vAlign w:val="center"/>
          </w:tcPr>
          <w:p w14:paraId="5232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53320000">
            <w:pPr>
              <w:widowControl w:val="1"/>
              <w:ind/>
              <w:jc w:val="center"/>
              <w:rPr>
                <w:sz w:val="18"/>
              </w:rPr>
            </w:pPr>
            <w:r>
              <w:rPr>
                <w:sz w:val="18"/>
              </w:rPr>
              <w:t>сентябрь 2019</w:t>
            </w:r>
          </w:p>
        </w:tc>
        <w:tc>
          <w:tcPr>
            <w:tcW w:type="dxa" w:w="1334"/>
            <w:tcBorders>
              <w:top w:color="000000" w:sz="4" w:val="single"/>
              <w:left w:color="000000" w:sz="4" w:val="single"/>
              <w:bottom w:color="000000" w:sz="4" w:val="single"/>
              <w:right w:color="000000" w:sz="4" w:val="single"/>
            </w:tcBorders>
            <w:shd w:fill="FFFFFF" w:val="clear"/>
            <w:vAlign w:val="center"/>
          </w:tcPr>
          <w:p w14:paraId="54320000">
            <w:pPr>
              <w:widowControl w:val="1"/>
              <w:ind/>
              <w:jc w:val="center"/>
              <w:rPr>
                <w:sz w:val="18"/>
              </w:rPr>
            </w:pPr>
            <w:r>
              <w:rPr>
                <w:sz w:val="18"/>
              </w:rPr>
              <w:t>31807088826</w:t>
            </w:r>
          </w:p>
        </w:tc>
        <w:tc>
          <w:tcPr>
            <w:tcW w:type="dxa" w:w="652"/>
            <w:tcBorders>
              <w:top w:color="000000" w:sz="4" w:val="single"/>
              <w:left w:color="000000" w:sz="4" w:val="single"/>
              <w:bottom w:color="000000" w:sz="4" w:val="single"/>
              <w:right w:color="000000" w:sz="4" w:val="single"/>
            </w:tcBorders>
            <w:shd w:fill="FFFFFF" w:val="clear"/>
            <w:vAlign w:val="center"/>
          </w:tcPr>
          <w:p w14:paraId="5532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5632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auto" w:val="clear"/>
            <w:vAlign w:val="center"/>
          </w:tcPr>
          <w:p w14:paraId="57320000">
            <w:pPr>
              <w:widowControl w:val="1"/>
              <w:ind/>
              <w:jc w:val="center"/>
              <w:rPr>
                <w:sz w:val="18"/>
              </w:rPr>
            </w:pPr>
            <w:r>
              <w:rPr>
                <w:sz w:val="18"/>
              </w:rPr>
              <w:t>120000</w:t>
            </w:r>
          </w:p>
        </w:tc>
        <w:tc>
          <w:tcPr>
            <w:tcW w:type="dxa" w:w="1185"/>
            <w:tcBorders>
              <w:top w:color="000000" w:sz="4" w:val="single"/>
              <w:left w:color="000000" w:sz="4" w:val="single"/>
              <w:bottom w:color="000000" w:sz="4" w:val="single"/>
              <w:right w:color="000000" w:sz="4" w:val="single"/>
            </w:tcBorders>
            <w:shd w:fill="auto" w:val="clear"/>
            <w:vAlign w:val="center"/>
          </w:tcPr>
          <w:p w14:paraId="58320000">
            <w:pPr>
              <w:widowControl w:val="1"/>
              <w:ind/>
              <w:jc w:val="center"/>
              <w:rPr>
                <w:sz w:val="18"/>
              </w:rPr>
            </w:pPr>
            <w:r>
              <w:rPr>
                <w:sz w:val="18"/>
              </w:rPr>
              <w:t>120000</w:t>
            </w:r>
          </w:p>
        </w:tc>
        <w:tc>
          <w:tcPr>
            <w:tcW w:type="dxa" w:w="1083"/>
            <w:tcBorders>
              <w:top w:color="000000" w:sz="4" w:val="single"/>
              <w:left w:color="000000" w:sz="4" w:val="single"/>
              <w:bottom w:color="000000" w:sz="4" w:val="single"/>
              <w:right w:color="000000" w:sz="4" w:val="single"/>
            </w:tcBorders>
            <w:shd w:fill="auto" w:val="clear"/>
            <w:vAlign w:val="center"/>
          </w:tcPr>
          <w:p w14:paraId="59320000">
            <w:pPr>
              <w:widowControl w:val="1"/>
              <w:ind/>
              <w:jc w:val="center"/>
              <w:rPr>
                <w:sz w:val="18"/>
              </w:rPr>
            </w:pPr>
            <w:r>
              <w:rPr>
                <w:sz w:val="18"/>
              </w:rPr>
              <w:t>120000</w:t>
            </w:r>
          </w:p>
        </w:tc>
        <w:tc>
          <w:tcPr>
            <w:tcW w:type="dxa" w:w="771"/>
            <w:tcBorders>
              <w:top w:color="000000" w:sz="4" w:val="single"/>
              <w:left w:color="000000" w:sz="4" w:val="single"/>
              <w:bottom w:color="000000" w:sz="4" w:val="single"/>
              <w:right w:color="000000" w:sz="4" w:val="single"/>
            </w:tcBorders>
            <w:shd w:fill="FFFFFF" w:val="clear"/>
            <w:vAlign w:val="center"/>
          </w:tcPr>
          <w:p w14:paraId="5A32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B320000">
            <w:pPr>
              <w:widowControl w:val="1"/>
              <w:ind/>
              <w:jc w:val="center"/>
              <w:rPr>
                <w:sz w:val="18"/>
              </w:rPr>
            </w:pPr>
            <w:r>
              <w:rPr>
                <w:sz w:val="18"/>
              </w:rPr>
              <w:t>сентябрь 2019</w:t>
            </w:r>
          </w:p>
        </w:tc>
        <w:tc>
          <w:tcPr>
            <w:tcW w:type="dxa" w:w="709"/>
            <w:tcBorders>
              <w:top w:color="000000" w:sz="4" w:val="single"/>
              <w:left w:color="000000" w:sz="4" w:val="single"/>
              <w:bottom w:color="000000" w:sz="4" w:val="single"/>
              <w:right w:color="000000" w:sz="4" w:val="single"/>
            </w:tcBorders>
            <w:shd w:fill="auto" w:val="clear"/>
            <w:vAlign w:val="center"/>
          </w:tcPr>
          <w:p w14:paraId="5C320000">
            <w:pPr>
              <w:widowControl w:val="1"/>
              <w:ind/>
              <w:jc w:val="center"/>
              <w:rPr>
                <w:sz w:val="18"/>
              </w:rPr>
            </w:pPr>
            <w:r>
              <w:rPr>
                <w:sz w:val="18"/>
              </w:rPr>
              <w:t>договор № 05/д-162/18/у от 31.10.2018</w:t>
            </w:r>
          </w:p>
        </w:tc>
      </w:tr>
      <w:tr>
        <w:trPr>
          <w:trHeight w:hRule="atLeast" w:val="1485"/>
        </w:trPr>
        <w:tc>
          <w:tcPr>
            <w:tcW w:type="dxa" w:w="708"/>
            <w:tcBorders>
              <w:top w:color="000000" w:sz="4" w:val="single"/>
              <w:left w:color="000000" w:sz="4" w:val="single"/>
              <w:bottom w:color="000000" w:sz="4" w:val="single"/>
              <w:right w:color="000000" w:sz="4" w:val="single"/>
            </w:tcBorders>
            <w:shd w:fill="FFFFFF" w:val="clear"/>
            <w:vAlign w:val="center"/>
          </w:tcPr>
          <w:p w14:paraId="5D320000">
            <w:pPr>
              <w:widowControl w:val="1"/>
              <w:ind/>
              <w:jc w:val="center"/>
              <w:rPr>
                <w:color w:val="000000"/>
                <w:sz w:val="18"/>
              </w:rPr>
            </w:pPr>
            <w:r>
              <w:rPr>
                <w:color w:val="000000"/>
                <w:sz w:val="18"/>
              </w:rPr>
              <w:t>76</w:t>
            </w:r>
          </w:p>
        </w:tc>
        <w:tc>
          <w:tcPr>
            <w:tcW w:type="dxa" w:w="618"/>
            <w:tcBorders>
              <w:top w:color="000000" w:sz="4" w:val="single"/>
              <w:left w:color="000000" w:sz="4" w:val="single"/>
              <w:bottom w:color="000000" w:sz="4" w:val="single"/>
              <w:right w:color="000000" w:sz="4" w:val="single"/>
            </w:tcBorders>
            <w:shd w:fill="FFFFFF" w:val="clear"/>
            <w:vAlign w:val="center"/>
          </w:tcPr>
          <w:p w14:paraId="5E320000">
            <w:pPr>
              <w:widowControl w:val="1"/>
              <w:ind/>
              <w:jc w:val="center"/>
              <w:rPr>
                <w:sz w:val="18"/>
              </w:rPr>
            </w:pPr>
            <w:r>
              <w:rPr>
                <w:sz w:val="18"/>
              </w:rPr>
              <w:t>91</w:t>
            </w:r>
          </w:p>
        </w:tc>
        <w:tc>
          <w:tcPr>
            <w:tcW w:type="dxa" w:w="993"/>
            <w:tcBorders>
              <w:top w:color="000000" w:sz="4" w:val="single"/>
              <w:left w:color="000000" w:sz="4" w:val="single"/>
              <w:bottom w:color="000000" w:sz="4" w:val="single"/>
              <w:right w:color="000000" w:sz="4" w:val="single"/>
            </w:tcBorders>
            <w:shd w:fill="FFFFFF" w:val="clear"/>
            <w:vAlign w:val="center"/>
          </w:tcPr>
          <w:p w14:paraId="5F320000">
            <w:pPr>
              <w:widowControl w:val="1"/>
              <w:ind/>
              <w:jc w:val="center"/>
              <w:rPr>
                <w:sz w:val="18"/>
              </w:rPr>
            </w:pPr>
            <w:r>
              <w:rPr>
                <w:sz w:val="18"/>
              </w:rPr>
              <w:t>оказание услуг по оформлению и доставке авиабилетов на рейсы авиакомпаний</w:t>
            </w:r>
          </w:p>
        </w:tc>
        <w:tc>
          <w:tcPr>
            <w:tcW w:type="dxa" w:w="849"/>
            <w:tcBorders>
              <w:top w:color="000000" w:sz="4" w:val="single"/>
              <w:left w:color="000000" w:sz="4" w:val="single"/>
              <w:bottom w:color="000000" w:sz="4" w:val="single"/>
              <w:right w:color="000000" w:sz="4" w:val="single"/>
            </w:tcBorders>
            <w:shd w:fill="FFFFFF" w:val="clear"/>
            <w:vAlign w:val="center"/>
          </w:tcPr>
          <w:p w14:paraId="6032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6132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62320000">
            <w:pPr>
              <w:widowControl w:val="1"/>
              <w:ind/>
              <w:jc w:val="center"/>
              <w:rPr>
                <w:sz w:val="18"/>
              </w:rPr>
            </w:pPr>
            <w:r>
              <w:rPr>
                <w:sz w:val="18"/>
              </w:rPr>
              <w:t>400000,00</w:t>
            </w:r>
          </w:p>
        </w:tc>
        <w:tc>
          <w:tcPr>
            <w:tcW w:type="dxa" w:w="1134"/>
            <w:tcBorders>
              <w:top w:color="000000" w:sz="4" w:val="single"/>
              <w:left w:color="000000" w:sz="4" w:val="single"/>
              <w:bottom w:color="000000" w:sz="4" w:val="single"/>
              <w:right w:color="000000" w:sz="4" w:val="single"/>
            </w:tcBorders>
            <w:shd w:fill="FFFFFF" w:val="clear"/>
            <w:vAlign w:val="center"/>
          </w:tcPr>
          <w:p w14:paraId="63320000">
            <w:pPr>
              <w:widowControl w:val="1"/>
              <w:ind/>
              <w:jc w:val="center"/>
              <w:rPr>
                <w:sz w:val="18"/>
              </w:rPr>
            </w:pPr>
            <w:r>
              <w:rPr>
                <w:sz w:val="18"/>
              </w:rPr>
              <w:t>400000,00</w:t>
            </w:r>
          </w:p>
        </w:tc>
        <w:tc>
          <w:tcPr>
            <w:tcW w:type="dxa" w:w="993"/>
            <w:tcBorders>
              <w:top w:color="000000" w:sz="4" w:val="single"/>
              <w:left w:color="000000" w:sz="4" w:val="single"/>
              <w:bottom w:color="000000" w:sz="4" w:val="single"/>
              <w:right w:color="000000" w:sz="4" w:val="single"/>
            </w:tcBorders>
            <w:shd w:fill="FFFFFF" w:val="clear"/>
            <w:vAlign w:val="center"/>
          </w:tcPr>
          <w:p w14:paraId="64320000">
            <w:pPr>
              <w:widowControl w:val="1"/>
              <w:ind/>
              <w:jc w:val="center"/>
              <w:rPr>
                <w:sz w:val="18"/>
              </w:rPr>
            </w:pPr>
            <w:r>
              <w:rPr>
                <w:sz w:val="18"/>
              </w:rPr>
              <w:t>ноябрь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65320000">
            <w:pPr>
              <w:widowControl w:val="1"/>
              <w:ind/>
              <w:jc w:val="center"/>
              <w:rPr>
                <w:sz w:val="18"/>
              </w:rPr>
            </w:pPr>
            <w:r>
              <w:rPr>
                <w:sz w:val="18"/>
              </w:rPr>
              <w:t>ноябрь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66320000">
            <w:pPr>
              <w:widowControl w:val="1"/>
              <w:ind/>
              <w:jc w:val="center"/>
              <w:rPr>
                <w:sz w:val="18"/>
              </w:rPr>
            </w:pPr>
            <w:r>
              <w:rPr>
                <w:sz w:val="18"/>
              </w:rPr>
              <w:t>31807204100</w:t>
            </w:r>
          </w:p>
        </w:tc>
        <w:tc>
          <w:tcPr>
            <w:tcW w:type="dxa" w:w="652"/>
            <w:tcBorders>
              <w:top w:color="000000" w:sz="4" w:val="single"/>
              <w:left w:color="000000" w:sz="4" w:val="single"/>
              <w:bottom w:color="000000" w:sz="4" w:val="single"/>
              <w:right w:color="000000" w:sz="4" w:val="single"/>
            </w:tcBorders>
            <w:shd w:fill="FFFFFF" w:val="clear"/>
            <w:vAlign w:val="center"/>
          </w:tcPr>
          <w:p w14:paraId="6732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6832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69320000">
            <w:pPr>
              <w:widowControl w:val="1"/>
              <w:ind/>
              <w:jc w:val="center"/>
              <w:rPr>
                <w:sz w:val="18"/>
              </w:rPr>
            </w:pPr>
            <w:r>
              <w:rPr>
                <w:sz w:val="18"/>
              </w:rPr>
              <w:t>400 000,00</w:t>
            </w:r>
          </w:p>
        </w:tc>
        <w:tc>
          <w:tcPr>
            <w:tcW w:type="dxa" w:w="1185"/>
            <w:tcBorders>
              <w:top w:color="000000" w:sz="4" w:val="single"/>
              <w:left w:color="000000" w:sz="4" w:val="single"/>
              <w:bottom w:color="000000" w:sz="4" w:val="single"/>
              <w:right w:color="000000" w:sz="4" w:val="single"/>
            </w:tcBorders>
            <w:shd w:fill="FFFFFF" w:val="clear"/>
            <w:vAlign w:val="center"/>
          </w:tcPr>
          <w:p w14:paraId="6A320000">
            <w:pPr>
              <w:widowControl w:val="1"/>
              <w:ind/>
              <w:jc w:val="center"/>
              <w:rPr>
                <w:sz w:val="18"/>
              </w:rPr>
            </w:pPr>
            <w:r>
              <w:rPr>
                <w:sz w:val="18"/>
              </w:rPr>
              <w:t>400 000,00</w:t>
            </w:r>
          </w:p>
        </w:tc>
        <w:tc>
          <w:tcPr>
            <w:tcW w:type="dxa" w:w="1083"/>
            <w:tcBorders>
              <w:top w:color="000000" w:sz="4" w:val="single"/>
              <w:left w:color="000000" w:sz="4" w:val="single"/>
              <w:bottom w:color="000000" w:sz="4" w:val="single"/>
              <w:right w:color="000000" w:sz="4" w:val="single"/>
            </w:tcBorders>
            <w:shd w:fill="FFFFFF" w:val="clear"/>
            <w:vAlign w:val="center"/>
          </w:tcPr>
          <w:p w14:paraId="6B320000">
            <w:pPr>
              <w:widowControl w:val="1"/>
              <w:ind/>
              <w:jc w:val="center"/>
              <w:rPr>
                <w:sz w:val="18"/>
              </w:rPr>
            </w:pPr>
            <w:r>
              <w:rPr>
                <w:sz w:val="18"/>
              </w:rPr>
              <w:t>400000</w:t>
            </w:r>
          </w:p>
        </w:tc>
        <w:tc>
          <w:tcPr>
            <w:tcW w:type="dxa" w:w="771"/>
            <w:tcBorders>
              <w:top w:color="000000" w:sz="4" w:val="single"/>
              <w:left w:color="000000" w:sz="4" w:val="single"/>
              <w:bottom w:color="000000" w:sz="4" w:val="single"/>
              <w:right w:color="000000" w:sz="4" w:val="single"/>
            </w:tcBorders>
            <w:shd w:fill="FFFFFF" w:val="clear"/>
            <w:vAlign w:val="center"/>
          </w:tcPr>
          <w:p w14:paraId="6C320000">
            <w:pPr>
              <w:widowControl w:val="1"/>
              <w:ind/>
              <w:jc w:val="center"/>
              <w:rPr>
                <w:sz w:val="18"/>
              </w:rPr>
            </w:pPr>
            <w:r>
              <w:rPr>
                <w:sz w:val="18"/>
              </w:rPr>
              <w:t>ноябрь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6D320000">
            <w:pPr>
              <w:widowControl w:val="1"/>
              <w:ind/>
              <w:jc w:val="center"/>
              <w:rPr>
                <w:sz w:val="18"/>
              </w:rPr>
            </w:pPr>
            <w:r>
              <w:rPr>
                <w:sz w:val="18"/>
              </w:rPr>
              <w:t>ноябрь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6E320000">
            <w:pPr>
              <w:widowControl w:val="1"/>
              <w:ind/>
              <w:jc w:val="center"/>
              <w:rPr>
                <w:sz w:val="18"/>
              </w:rPr>
            </w:pPr>
            <w:r>
              <w:rPr>
                <w:sz w:val="18"/>
              </w:rPr>
              <w:t>договор № 127 от 27.11.2018</w:t>
            </w:r>
          </w:p>
        </w:tc>
      </w:tr>
      <w:tr>
        <w:trPr>
          <w:trHeight w:hRule="atLeast" w:val="1110"/>
        </w:trPr>
        <w:tc>
          <w:tcPr>
            <w:tcW w:type="dxa" w:w="708"/>
            <w:tcBorders>
              <w:top w:color="000000" w:sz="4" w:val="single"/>
              <w:left w:color="000000" w:sz="4" w:val="single"/>
              <w:bottom w:color="000000" w:sz="4" w:val="single"/>
              <w:right w:color="000000" w:sz="4" w:val="single"/>
            </w:tcBorders>
            <w:shd w:fill="FFFFFF" w:val="clear"/>
            <w:vAlign w:val="center"/>
          </w:tcPr>
          <w:p w14:paraId="6F320000">
            <w:pPr>
              <w:widowControl w:val="1"/>
              <w:ind/>
              <w:jc w:val="center"/>
              <w:rPr>
                <w:color w:val="000000"/>
                <w:sz w:val="18"/>
              </w:rPr>
            </w:pPr>
            <w:r>
              <w:rPr>
                <w:color w:val="000000"/>
                <w:sz w:val="18"/>
              </w:rPr>
              <w:t>77</w:t>
            </w:r>
          </w:p>
        </w:tc>
        <w:tc>
          <w:tcPr>
            <w:tcW w:type="dxa" w:w="618"/>
            <w:tcBorders>
              <w:top w:color="000000" w:sz="4" w:val="single"/>
              <w:left w:color="000000" w:sz="4" w:val="single"/>
              <w:bottom w:color="000000" w:sz="4" w:val="single"/>
              <w:right w:color="000000" w:sz="4" w:val="single"/>
            </w:tcBorders>
            <w:shd w:fill="FFFFFF" w:val="clear"/>
            <w:vAlign w:val="center"/>
          </w:tcPr>
          <w:p w14:paraId="70320000">
            <w:pPr>
              <w:widowControl w:val="1"/>
              <w:ind/>
              <w:jc w:val="center"/>
              <w:rPr>
                <w:sz w:val="18"/>
              </w:rPr>
            </w:pPr>
            <w:r>
              <w:rPr>
                <w:sz w:val="18"/>
              </w:rPr>
              <w:t>92</w:t>
            </w:r>
          </w:p>
        </w:tc>
        <w:tc>
          <w:tcPr>
            <w:tcW w:type="dxa" w:w="993"/>
            <w:tcBorders>
              <w:top w:color="000000" w:sz="4" w:val="single"/>
              <w:left w:color="000000" w:sz="4" w:val="single"/>
              <w:bottom w:color="000000" w:sz="4" w:val="single"/>
              <w:right w:color="000000" w:sz="4" w:val="single"/>
            </w:tcBorders>
            <w:shd w:fill="FFFFFF" w:val="clear"/>
            <w:vAlign w:val="center"/>
          </w:tcPr>
          <w:p w14:paraId="71320000">
            <w:pPr>
              <w:widowControl w:val="1"/>
              <w:ind/>
              <w:jc w:val="center"/>
              <w:rPr>
                <w:sz w:val="18"/>
              </w:rPr>
            </w:pPr>
            <w:r>
              <w:rPr>
                <w:sz w:val="18"/>
              </w:rPr>
              <w:t>Аренда нежилых помещений для размещения офиса компании</w:t>
            </w:r>
          </w:p>
        </w:tc>
        <w:tc>
          <w:tcPr>
            <w:tcW w:type="dxa" w:w="849"/>
            <w:tcBorders>
              <w:top w:color="000000" w:sz="4" w:val="single"/>
              <w:left w:color="000000" w:sz="4" w:val="single"/>
              <w:bottom w:color="000000" w:sz="4" w:val="single"/>
              <w:right w:color="000000" w:sz="4" w:val="single"/>
            </w:tcBorders>
            <w:shd w:fill="FFFFFF" w:val="clear"/>
            <w:vAlign w:val="center"/>
          </w:tcPr>
          <w:p w14:paraId="7232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73320000">
            <w:pPr>
              <w:widowControl w:val="1"/>
              <w:ind/>
              <w:jc w:val="center"/>
              <w:rPr>
                <w:color w:val="000000"/>
                <w:sz w:val="18"/>
              </w:rPr>
            </w:pPr>
            <w:r>
              <w:rPr>
                <w:color w:val="000000"/>
                <w:sz w:val="18"/>
              </w:rPr>
              <w:t>11</w:t>
            </w:r>
          </w:p>
        </w:tc>
        <w:tc>
          <w:tcPr>
            <w:tcW w:type="dxa" w:w="991"/>
            <w:tcBorders>
              <w:top w:color="000000" w:sz="4" w:val="single"/>
              <w:left w:color="000000" w:sz="4" w:val="single"/>
              <w:bottom w:color="000000" w:sz="4" w:val="single"/>
              <w:right w:color="000000" w:sz="4" w:val="single"/>
            </w:tcBorders>
            <w:shd w:fill="FFFFFF" w:val="clear"/>
            <w:vAlign w:val="center"/>
          </w:tcPr>
          <w:p w14:paraId="74320000">
            <w:pPr>
              <w:widowControl w:val="1"/>
              <w:ind/>
              <w:jc w:val="center"/>
              <w:rPr>
                <w:color w:val="000000"/>
                <w:sz w:val="18"/>
              </w:rPr>
            </w:pPr>
            <w:r>
              <w:rPr>
                <w:color w:val="000000"/>
                <w:sz w:val="18"/>
              </w:rPr>
              <w:t>324500,00</w:t>
            </w:r>
          </w:p>
        </w:tc>
        <w:tc>
          <w:tcPr>
            <w:tcW w:type="dxa" w:w="1134"/>
            <w:tcBorders>
              <w:top w:color="000000" w:sz="4" w:val="single"/>
              <w:left w:color="000000" w:sz="4" w:val="single"/>
              <w:bottom w:color="000000" w:sz="4" w:val="single"/>
              <w:right w:color="000000" w:sz="4" w:val="single"/>
            </w:tcBorders>
            <w:shd w:fill="FFFFFF" w:val="clear"/>
            <w:vAlign w:val="center"/>
          </w:tcPr>
          <w:p w14:paraId="75320000">
            <w:pPr>
              <w:widowControl w:val="1"/>
              <w:ind/>
              <w:jc w:val="center"/>
              <w:rPr>
                <w:color w:val="000000"/>
                <w:sz w:val="18"/>
              </w:rPr>
            </w:pPr>
            <w:r>
              <w:rPr>
                <w:color w:val="000000"/>
                <w:sz w:val="18"/>
              </w:rPr>
              <w:t>324500,00</w:t>
            </w:r>
          </w:p>
        </w:tc>
        <w:tc>
          <w:tcPr>
            <w:tcW w:type="dxa" w:w="993"/>
            <w:tcBorders>
              <w:top w:color="000000" w:sz="4" w:val="single"/>
              <w:left w:color="000000" w:sz="4" w:val="single"/>
              <w:bottom w:color="000000" w:sz="4" w:val="single"/>
              <w:right w:color="000000" w:sz="4" w:val="single"/>
            </w:tcBorders>
            <w:shd w:fill="FFFFFF" w:val="clear"/>
            <w:vAlign w:val="center"/>
          </w:tcPr>
          <w:p w14:paraId="7632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77320000">
            <w:pPr>
              <w:widowControl w:val="1"/>
              <w:ind/>
              <w:jc w:val="center"/>
              <w:rPr>
                <w:color w:val="000000"/>
                <w:sz w:val="18"/>
              </w:rPr>
            </w:pPr>
            <w:r>
              <w:rPr>
                <w:color w:val="000000"/>
                <w:sz w:val="18"/>
              </w:rPr>
              <w:t>август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78320000">
            <w:pPr>
              <w:widowControl w:val="1"/>
              <w:ind/>
              <w:jc w:val="center"/>
              <w:rPr>
                <w:sz w:val="18"/>
              </w:rPr>
            </w:pPr>
            <w:r>
              <w:rPr>
                <w:sz w:val="18"/>
              </w:rPr>
              <w:t>31806984985</w:t>
            </w:r>
          </w:p>
        </w:tc>
        <w:tc>
          <w:tcPr>
            <w:tcW w:type="dxa" w:w="652"/>
            <w:tcBorders>
              <w:top w:color="000000" w:sz="4" w:val="single"/>
              <w:left w:color="000000" w:sz="4" w:val="single"/>
              <w:bottom w:color="000000" w:sz="4" w:val="single"/>
              <w:right w:color="000000" w:sz="4" w:val="single"/>
            </w:tcBorders>
            <w:shd w:fill="FFFFFF" w:val="clear"/>
            <w:vAlign w:val="center"/>
          </w:tcPr>
          <w:p w14:paraId="7932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7A320000">
            <w:pPr>
              <w:widowControl w:val="1"/>
              <w:ind/>
              <w:jc w:val="center"/>
              <w:rPr>
                <w:color w:val="000000"/>
                <w:sz w:val="18"/>
              </w:rPr>
            </w:pPr>
            <w:r>
              <w:rPr>
                <w:color w:val="000000"/>
                <w:sz w:val="18"/>
              </w:rPr>
              <w:t>11</w:t>
            </w:r>
          </w:p>
        </w:tc>
        <w:tc>
          <w:tcPr>
            <w:tcW w:type="dxa" w:w="1169"/>
            <w:tcBorders>
              <w:top w:color="000000" w:sz="4" w:val="single"/>
              <w:left w:color="000000" w:sz="4" w:val="single"/>
              <w:bottom w:color="000000" w:sz="4" w:val="single"/>
              <w:right w:color="000000" w:sz="4" w:val="single"/>
            </w:tcBorders>
            <w:shd w:fill="FFFFFF" w:val="clear"/>
            <w:vAlign w:val="center"/>
          </w:tcPr>
          <w:p w14:paraId="7B320000">
            <w:pPr>
              <w:widowControl w:val="1"/>
              <w:ind/>
              <w:jc w:val="center"/>
              <w:rPr>
                <w:sz w:val="18"/>
              </w:rPr>
            </w:pPr>
            <w:r>
              <w:rPr>
                <w:sz w:val="18"/>
              </w:rPr>
              <w:t>324500</w:t>
            </w:r>
          </w:p>
        </w:tc>
        <w:tc>
          <w:tcPr>
            <w:tcW w:type="dxa" w:w="1185"/>
            <w:tcBorders>
              <w:top w:color="000000" w:sz="4" w:val="single"/>
              <w:left w:color="000000" w:sz="4" w:val="single"/>
              <w:bottom w:color="000000" w:sz="4" w:val="single"/>
              <w:right w:color="000000" w:sz="4" w:val="single"/>
            </w:tcBorders>
            <w:shd w:fill="FFFFFF" w:val="clear"/>
            <w:vAlign w:val="center"/>
          </w:tcPr>
          <w:p w14:paraId="7C320000">
            <w:pPr>
              <w:widowControl w:val="1"/>
              <w:ind/>
              <w:jc w:val="center"/>
              <w:rPr>
                <w:sz w:val="18"/>
              </w:rPr>
            </w:pPr>
            <w:r>
              <w:rPr>
                <w:sz w:val="18"/>
              </w:rPr>
              <w:t>324500</w:t>
            </w:r>
          </w:p>
        </w:tc>
        <w:tc>
          <w:tcPr>
            <w:tcW w:type="dxa" w:w="1083"/>
            <w:tcBorders>
              <w:top w:color="000000" w:sz="4" w:val="single"/>
              <w:left w:color="000000" w:sz="4" w:val="single"/>
              <w:bottom w:color="000000" w:sz="4" w:val="single"/>
              <w:right w:color="000000" w:sz="4" w:val="single"/>
            </w:tcBorders>
            <w:shd w:fill="FFFFFF" w:val="clear"/>
            <w:vAlign w:val="center"/>
          </w:tcPr>
          <w:p w14:paraId="7D320000">
            <w:pPr>
              <w:widowControl w:val="1"/>
              <w:ind/>
              <w:jc w:val="center"/>
              <w:rPr>
                <w:sz w:val="18"/>
              </w:rPr>
            </w:pPr>
            <w:r>
              <w:rPr>
                <w:sz w:val="18"/>
              </w:rPr>
              <w:t>324500</w:t>
            </w:r>
          </w:p>
        </w:tc>
        <w:tc>
          <w:tcPr>
            <w:tcW w:type="dxa" w:w="771"/>
            <w:tcBorders>
              <w:top w:color="000000" w:sz="4" w:val="single"/>
              <w:left w:color="000000" w:sz="4" w:val="single"/>
              <w:bottom w:color="000000" w:sz="4" w:val="single"/>
              <w:right w:color="000000" w:sz="4" w:val="single"/>
            </w:tcBorders>
            <w:shd w:fill="FFFFFF" w:val="clear"/>
            <w:vAlign w:val="center"/>
          </w:tcPr>
          <w:p w14:paraId="7E32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7F320000">
            <w:pPr>
              <w:widowControl w:val="1"/>
              <w:ind/>
              <w:jc w:val="center"/>
              <w:rPr>
                <w:color w:val="000000"/>
                <w:sz w:val="18"/>
              </w:rPr>
            </w:pPr>
            <w:r>
              <w:rPr>
                <w:color w:val="000000"/>
                <w:sz w:val="18"/>
              </w:rPr>
              <w:t>август 2019 г.</w:t>
            </w:r>
          </w:p>
        </w:tc>
        <w:tc>
          <w:tcPr>
            <w:tcW w:type="dxa" w:w="709"/>
            <w:tcBorders>
              <w:top w:color="000000" w:sz="4" w:val="single"/>
              <w:left w:color="000000" w:sz="4" w:val="single"/>
              <w:bottom w:color="000000" w:sz="4" w:val="single"/>
              <w:right w:color="000000" w:sz="4" w:val="single"/>
            </w:tcBorders>
            <w:shd w:fill="FFFFFF" w:val="clear"/>
            <w:vAlign w:val="center"/>
          </w:tcPr>
          <w:p w14:paraId="80320000">
            <w:pPr>
              <w:widowControl w:val="1"/>
              <w:ind/>
              <w:jc w:val="center"/>
              <w:rPr>
                <w:sz w:val="18"/>
              </w:rPr>
            </w:pPr>
            <w:r>
              <w:rPr>
                <w:sz w:val="18"/>
              </w:rPr>
              <w:t>договор № 33 от 01.10.2018</w:t>
            </w:r>
          </w:p>
        </w:tc>
      </w:tr>
      <w:tr>
        <w:trPr>
          <w:trHeight w:hRule="atLeast" w:val="1785"/>
        </w:trPr>
        <w:tc>
          <w:tcPr>
            <w:tcW w:type="dxa" w:w="708"/>
            <w:tcBorders>
              <w:top w:color="000000" w:sz="4" w:val="single"/>
              <w:left w:color="000000" w:sz="4" w:val="single"/>
              <w:bottom w:color="000000" w:sz="4" w:val="single"/>
              <w:right w:color="000000" w:sz="4" w:val="single"/>
            </w:tcBorders>
            <w:shd w:fill="FFFFFF" w:val="clear"/>
            <w:vAlign w:val="center"/>
          </w:tcPr>
          <w:p w14:paraId="81320000">
            <w:pPr>
              <w:widowControl w:val="1"/>
              <w:ind/>
              <w:jc w:val="center"/>
              <w:rPr>
                <w:color w:val="000000"/>
                <w:sz w:val="18"/>
              </w:rPr>
            </w:pPr>
            <w:r>
              <w:rPr>
                <w:color w:val="000000"/>
                <w:sz w:val="18"/>
              </w:rPr>
              <w:t>78</w:t>
            </w:r>
          </w:p>
        </w:tc>
        <w:tc>
          <w:tcPr>
            <w:tcW w:type="dxa" w:w="618"/>
            <w:tcBorders>
              <w:top w:color="000000" w:sz="4" w:val="single"/>
              <w:left w:color="000000" w:sz="4" w:val="single"/>
              <w:bottom w:color="000000" w:sz="4" w:val="single"/>
              <w:right w:color="000000" w:sz="4" w:val="single"/>
            </w:tcBorders>
            <w:shd w:fill="FFFFFF" w:val="clear"/>
            <w:vAlign w:val="center"/>
          </w:tcPr>
          <w:p w14:paraId="82320000">
            <w:pPr>
              <w:widowControl w:val="1"/>
              <w:ind/>
              <w:jc w:val="center"/>
              <w:rPr>
                <w:sz w:val="18"/>
              </w:rPr>
            </w:pPr>
            <w:r>
              <w:rPr>
                <w:sz w:val="18"/>
              </w:rPr>
              <w:t>96</w:t>
            </w:r>
          </w:p>
        </w:tc>
        <w:tc>
          <w:tcPr>
            <w:tcW w:type="dxa" w:w="993"/>
            <w:tcBorders>
              <w:top w:color="000000" w:sz="4" w:val="single"/>
              <w:left w:color="000000" w:sz="4" w:val="single"/>
              <w:bottom w:color="000000" w:sz="4" w:val="single"/>
              <w:right w:color="000000" w:sz="4" w:val="single"/>
            </w:tcBorders>
            <w:shd w:fill="FFFFFF" w:val="clear"/>
            <w:vAlign w:val="center"/>
          </w:tcPr>
          <w:p w14:paraId="83320000">
            <w:pPr>
              <w:widowControl w:val="1"/>
              <w:ind/>
              <w:jc w:val="center"/>
              <w:rPr>
                <w:sz w:val="18"/>
              </w:rPr>
            </w:pPr>
            <w:r>
              <w:rPr>
                <w:sz w:val="18"/>
              </w:rPr>
              <w:t>Аренда нежилых помещений для размещения склада компании</w:t>
            </w:r>
          </w:p>
        </w:tc>
        <w:tc>
          <w:tcPr>
            <w:tcW w:type="dxa" w:w="849"/>
            <w:tcBorders>
              <w:top w:color="000000" w:sz="4" w:val="single"/>
              <w:left w:color="000000" w:sz="4" w:val="single"/>
              <w:bottom w:color="000000" w:sz="4" w:val="single"/>
              <w:right w:color="000000" w:sz="4" w:val="single"/>
            </w:tcBorders>
            <w:shd w:fill="FFFFFF" w:val="clear"/>
            <w:vAlign w:val="center"/>
          </w:tcPr>
          <w:p w14:paraId="8432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85320000">
            <w:pPr>
              <w:widowControl w:val="1"/>
              <w:ind/>
              <w:jc w:val="center"/>
              <w:rPr>
                <w:color w:val="000000"/>
                <w:sz w:val="18"/>
              </w:rPr>
            </w:pPr>
            <w:r>
              <w:rPr>
                <w:color w:val="000000"/>
                <w:sz w:val="18"/>
              </w:rPr>
              <w:t>11</w:t>
            </w:r>
          </w:p>
        </w:tc>
        <w:tc>
          <w:tcPr>
            <w:tcW w:type="dxa" w:w="991"/>
            <w:tcBorders>
              <w:top w:color="000000" w:sz="4" w:val="single"/>
              <w:left w:color="000000" w:sz="4" w:val="single"/>
              <w:bottom w:color="000000" w:sz="4" w:val="single"/>
              <w:right w:color="000000" w:sz="4" w:val="single"/>
            </w:tcBorders>
            <w:shd w:fill="FFFFFF" w:val="clear"/>
            <w:vAlign w:val="center"/>
          </w:tcPr>
          <w:p w14:paraId="86320000">
            <w:pPr>
              <w:widowControl w:val="1"/>
              <w:ind/>
              <w:jc w:val="center"/>
              <w:rPr>
                <w:sz w:val="18"/>
              </w:rPr>
            </w:pPr>
            <w:r>
              <w:rPr>
                <w:sz w:val="18"/>
              </w:rPr>
              <w:t>264 000,00</w:t>
            </w:r>
          </w:p>
        </w:tc>
        <w:tc>
          <w:tcPr>
            <w:tcW w:type="dxa" w:w="1134"/>
            <w:tcBorders>
              <w:top w:color="000000" w:sz="4" w:val="single"/>
              <w:left w:color="000000" w:sz="4" w:val="single"/>
              <w:bottom w:color="000000" w:sz="4" w:val="single"/>
              <w:right w:color="000000" w:sz="4" w:val="single"/>
            </w:tcBorders>
            <w:shd w:fill="FFFFFF" w:val="clear"/>
            <w:vAlign w:val="center"/>
          </w:tcPr>
          <w:p w14:paraId="87320000">
            <w:pPr>
              <w:widowControl w:val="1"/>
              <w:ind/>
              <w:jc w:val="center"/>
              <w:rPr>
                <w:sz w:val="18"/>
              </w:rPr>
            </w:pPr>
            <w:r>
              <w:rPr>
                <w:sz w:val="18"/>
              </w:rPr>
              <w:t>264 000,00</w:t>
            </w:r>
          </w:p>
        </w:tc>
        <w:tc>
          <w:tcPr>
            <w:tcW w:type="dxa" w:w="993"/>
            <w:tcBorders>
              <w:top w:color="000000" w:sz="4" w:val="single"/>
              <w:left w:color="000000" w:sz="4" w:val="single"/>
              <w:bottom w:color="000000" w:sz="4" w:val="single"/>
              <w:right w:color="000000" w:sz="4" w:val="single"/>
            </w:tcBorders>
            <w:shd w:fill="FFFFFF" w:val="clear"/>
            <w:vAlign w:val="center"/>
          </w:tcPr>
          <w:p w14:paraId="88320000">
            <w:pPr>
              <w:widowControl w:val="1"/>
              <w:ind/>
              <w:jc w:val="center"/>
              <w:rPr>
                <w:sz w:val="18"/>
              </w:rPr>
            </w:pPr>
            <w:r>
              <w:rPr>
                <w:sz w:val="18"/>
              </w:rPr>
              <w:t>ноябрь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89320000">
            <w:pPr>
              <w:widowControl w:val="1"/>
              <w:ind/>
              <w:jc w:val="center"/>
              <w:rPr>
                <w:sz w:val="18"/>
              </w:rPr>
            </w:pPr>
            <w:r>
              <w:rPr>
                <w:sz w:val="18"/>
              </w:rPr>
              <w:t>сентябрь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8A320000">
            <w:pPr>
              <w:widowControl w:val="1"/>
              <w:ind/>
              <w:jc w:val="center"/>
              <w:rPr>
                <w:sz w:val="18"/>
              </w:rPr>
            </w:pPr>
            <w:r>
              <w:rPr>
                <w:sz w:val="18"/>
              </w:rPr>
              <w:t>31807204126</w:t>
            </w:r>
          </w:p>
        </w:tc>
        <w:tc>
          <w:tcPr>
            <w:tcW w:type="dxa" w:w="652"/>
            <w:tcBorders>
              <w:top w:color="000000" w:sz="4" w:val="single"/>
              <w:left w:color="000000" w:sz="4" w:val="single"/>
              <w:bottom w:color="000000" w:sz="4" w:val="single"/>
              <w:right w:color="000000" w:sz="4" w:val="single"/>
            </w:tcBorders>
            <w:shd w:fill="FFFFFF" w:val="clear"/>
            <w:vAlign w:val="center"/>
          </w:tcPr>
          <w:p w14:paraId="8B32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8C320000">
            <w:pPr>
              <w:widowControl w:val="1"/>
              <w:ind/>
              <w:jc w:val="center"/>
              <w:rPr>
                <w:color w:val="000000"/>
                <w:sz w:val="18"/>
              </w:rPr>
            </w:pPr>
            <w:r>
              <w:rPr>
                <w:color w:val="000000"/>
                <w:sz w:val="18"/>
              </w:rPr>
              <w:t>11</w:t>
            </w:r>
          </w:p>
        </w:tc>
        <w:tc>
          <w:tcPr>
            <w:tcW w:type="dxa" w:w="1169"/>
            <w:tcBorders>
              <w:top w:color="000000" w:sz="4" w:val="single"/>
              <w:left w:color="000000" w:sz="4" w:val="single"/>
              <w:bottom w:color="000000" w:sz="4" w:val="single"/>
              <w:right w:color="000000" w:sz="4" w:val="single"/>
            </w:tcBorders>
            <w:shd w:fill="FFFFFF" w:val="clear"/>
            <w:vAlign w:val="center"/>
          </w:tcPr>
          <w:p w14:paraId="8D320000">
            <w:pPr>
              <w:widowControl w:val="1"/>
              <w:ind/>
              <w:jc w:val="center"/>
              <w:rPr>
                <w:sz w:val="18"/>
              </w:rPr>
            </w:pPr>
            <w:r>
              <w:rPr>
                <w:sz w:val="18"/>
              </w:rPr>
              <w:t>264 000,00</w:t>
            </w:r>
          </w:p>
        </w:tc>
        <w:tc>
          <w:tcPr>
            <w:tcW w:type="dxa" w:w="1185"/>
            <w:tcBorders>
              <w:top w:color="000000" w:sz="4" w:val="single"/>
              <w:left w:color="000000" w:sz="4" w:val="single"/>
              <w:bottom w:color="000000" w:sz="4" w:val="single"/>
              <w:right w:color="000000" w:sz="4" w:val="single"/>
            </w:tcBorders>
            <w:shd w:fill="FFFFFF" w:val="clear"/>
            <w:vAlign w:val="center"/>
          </w:tcPr>
          <w:p w14:paraId="8E320000">
            <w:pPr>
              <w:widowControl w:val="1"/>
              <w:ind/>
              <w:jc w:val="center"/>
              <w:rPr>
                <w:sz w:val="18"/>
              </w:rPr>
            </w:pPr>
            <w:r>
              <w:rPr>
                <w:sz w:val="18"/>
              </w:rPr>
              <w:t>264 000,00</w:t>
            </w:r>
          </w:p>
        </w:tc>
        <w:tc>
          <w:tcPr>
            <w:tcW w:type="dxa" w:w="1083"/>
            <w:tcBorders>
              <w:top w:color="000000" w:sz="4" w:val="single"/>
              <w:left w:color="000000" w:sz="4" w:val="single"/>
              <w:bottom w:color="000000" w:sz="4" w:val="single"/>
              <w:right w:color="000000" w:sz="4" w:val="single"/>
            </w:tcBorders>
            <w:shd w:fill="FFFFFF" w:val="clear"/>
            <w:vAlign w:val="center"/>
          </w:tcPr>
          <w:p w14:paraId="8F320000">
            <w:pPr>
              <w:widowControl w:val="1"/>
              <w:ind/>
              <w:jc w:val="center"/>
              <w:rPr>
                <w:sz w:val="18"/>
              </w:rPr>
            </w:pPr>
            <w:r>
              <w:rPr>
                <w:sz w:val="18"/>
              </w:rPr>
              <w:t>264000</w:t>
            </w:r>
          </w:p>
        </w:tc>
        <w:tc>
          <w:tcPr>
            <w:tcW w:type="dxa" w:w="771"/>
            <w:tcBorders>
              <w:top w:color="000000" w:sz="4" w:val="single"/>
              <w:left w:color="000000" w:sz="4" w:val="single"/>
              <w:bottom w:color="000000" w:sz="4" w:val="single"/>
              <w:right w:color="000000" w:sz="4" w:val="single"/>
            </w:tcBorders>
            <w:shd w:fill="FFFFFF" w:val="clear"/>
            <w:vAlign w:val="center"/>
          </w:tcPr>
          <w:p w14:paraId="90320000">
            <w:pPr>
              <w:widowControl w:val="1"/>
              <w:ind/>
              <w:jc w:val="center"/>
              <w:rPr>
                <w:sz w:val="18"/>
              </w:rPr>
            </w:pPr>
            <w:r>
              <w:rPr>
                <w:sz w:val="18"/>
              </w:rPr>
              <w:t>ноябрь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91320000">
            <w:pPr>
              <w:widowControl w:val="1"/>
              <w:ind/>
              <w:jc w:val="center"/>
              <w:rPr>
                <w:sz w:val="18"/>
              </w:rPr>
            </w:pPr>
            <w:r>
              <w:rPr>
                <w:sz w:val="18"/>
              </w:rPr>
              <w:t>сентябрь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92320000">
            <w:pPr>
              <w:widowControl w:val="1"/>
              <w:ind/>
              <w:jc w:val="center"/>
              <w:rPr>
                <w:sz w:val="18"/>
              </w:rPr>
            </w:pPr>
            <w:r>
              <w:rPr>
                <w:sz w:val="18"/>
              </w:rPr>
              <w:t>договор № 126 от 27.11.2018</w:t>
            </w:r>
          </w:p>
        </w:tc>
      </w:tr>
      <w:tr>
        <w:trPr>
          <w:trHeight w:hRule="atLeast" w:val="1530"/>
        </w:trPr>
        <w:tc>
          <w:tcPr>
            <w:tcW w:type="dxa" w:w="708"/>
            <w:tcBorders>
              <w:top w:color="000000" w:sz="4" w:val="single"/>
              <w:left w:color="000000" w:sz="4" w:val="single"/>
              <w:bottom w:color="000000" w:sz="4" w:val="single"/>
              <w:right w:color="000000" w:sz="4" w:val="single"/>
            </w:tcBorders>
            <w:shd w:fill="FFFFFF" w:val="clear"/>
            <w:vAlign w:val="center"/>
          </w:tcPr>
          <w:p w14:paraId="93320000">
            <w:pPr>
              <w:widowControl w:val="1"/>
              <w:ind/>
              <w:jc w:val="center"/>
              <w:rPr>
                <w:color w:val="000000"/>
                <w:sz w:val="18"/>
              </w:rPr>
            </w:pPr>
            <w:r>
              <w:rPr>
                <w:color w:val="000000"/>
                <w:sz w:val="18"/>
              </w:rPr>
              <w:t>79</w:t>
            </w:r>
          </w:p>
        </w:tc>
        <w:tc>
          <w:tcPr>
            <w:tcW w:type="dxa" w:w="618"/>
            <w:tcBorders>
              <w:top w:color="000000" w:sz="4" w:val="single"/>
              <w:left w:color="000000" w:sz="4" w:val="single"/>
              <w:bottom w:color="000000" w:sz="4" w:val="single"/>
              <w:right w:color="000000" w:sz="4" w:val="single"/>
            </w:tcBorders>
            <w:shd w:fill="FFFFFF" w:val="clear"/>
            <w:vAlign w:val="center"/>
          </w:tcPr>
          <w:p w14:paraId="94320000">
            <w:pPr>
              <w:widowControl w:val="1"/>
              <w:ind/>
              <w:jc w:val="center"/>
              <w:rPr>
                <w:sz w:val="18"/>
              </w:rPr>
            </w:pPr>
            <w:r>
              <w:rPr>
                <w:sz w:val="18"/>
              </w:rPr>
              <w:t>97</w:t>
            </w:r>
          </w:p>
        </w:tc>
        <w:tc>
          <w:tcPr>
            <w:tcW w:type="dxa" w:w="993"/>
            <w:tcBorders>
              <w:top w:color="000000" w:sz="4" w:val="single"/>
              <w:left w:color="000000" w:sz="4" w:val="single"/>
              <w:bottom w:color="000000" w:sz="4" w:val="single"/>
              <w:right w:color="000000" w:sz="4" w:val="single"/>
            </w:tcBorders>
            <w:shd w:fill="FFFFFF" w:val="clear"/>
            <w:vAlign w:val="center"/>
          </w:tcPr>
          <w:p w14:paraId="95320000">
            <w:pPr>
              <w:widowControl w:val="1"/>
              <w:ind/>
              <w:jc w:val="center"/>
              <w:rPr>
                <w:sz w:val="18"/>
              </w:rPr>
            </w:pPr>
            <w:r>
              <w:rPr>
                <w:sz w:val="18"/>
              </w:rPr>
              <w:t>оказание услуг по комплексной уборке внутренних помещений</w:t>
            </w:r>
          </w:p>
        </w:tc>
        <w:tc>
          <w:tcPr>
            <w:tcW w:type="dxa" w:w="849"/>
            <w:tcBorders>
              <w:top w:color="000000" w:sz="4" w:val="single"/>
              <w:left w:color="000000" w:sz="4" w:val="single"/>
              <w:bottom w:color="000000" w:sz="4" w:val="single"/>
              <w:right w:color="000000" w:sz="4" w:val="single"/>
            </w:tcBorders>
            <w:shd w:fill="FFFFFF" w:val="clear"/>
            <w:vAlign w:val="center"/>
          </w:tcPr>
          <w:p w14:paraId="9632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97320000">
            <w:pPr>
              <w:widowControl w:val="1"/>
              <w:ind/>
              <w:jc w:val="center"/>
              <w:rPr>
                <w:color w:val="000000"/>
                <w:sz w:val="18"/>
              </w:rPr>
            </w:pPr>
            <w:r>
              <w:rPr>
                <w:color w:val="000000"/>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98320000">
            <w:pPr>
              <w:widowControl w:val="1"/>
              <w:ind/>
              <w:jc w:val="center"/>
              <w:rPr>
                <w:color w:val="000000"/>
                <w:sz w:val="18"/>
              </w:rPr>
            </w:pPr>
            <w:r>
              <w:rPr>
                <w:color w:val="000000"/>
                <w:sz w:val="18"/>
              </w:rPr>
              <w:t>343 337,76</w:t>
            </w:r>
          </w:p>
        </w:tc>
        <w:tc>
          <w:tcPr>
            <w:tcW w:type="dxa" w:w="1134"/>
            <w:tcBorders>
              <w:top w:color="000000" w:sz="4" w:val="single"/>
              <w:left w:color="000000" w:sz="4" w:val="single"/>
              <w:bottom w:color="000000" w:sz="4" w:val="single"/>
              <w:right w:color="000000" w:sz="4" w:val="single"/>
            </w:tcBorders>
            <w:shd w:fill="FFFFFF" w:val="clear"/>
            <w:vAlign w:val="center"/>
          </w:tcPr>
          <w:p w14:paraId="99320000">
            <w:pPr>
              <w:widowControl w:val="1"/>
              <w:ind/>
              <w:jc w:val="center"/>
              <w:rPr>
                <w:color w:val="000000"/>
                <w:sz w:val="18"/>
              </w:rPr>
            </w:pPr>
            <w:r>
              <w:rPr>
                <w:color w:val="000000"/>
                <w:sz w:val="18"/>
              </w:rPr>
              <w:t>343 337,76</w:t>
            </w:r>
          </w:p>
        </w:tc>
        <w:tc>
          <w:tcPr>
            <w:tcW w:type="dxa" w:w="993"/>
            <w:tcBorders>
              <w:top w:color="000000" w:sz="4" w:val="single"/>
              <w:left w:color="000000" w:sz="4" w:val="single"/>
              <w:bottom w:color="000000" w:sz="4" w:val="single"/>
              <w:right w:color="000000" w:sz="4" w:val="single"/>
            </w:tcBorders>
            <w:shd w:fill="FFFFFF" w:val="clear"/>
            <w:vAlign w:val="center"/>
          </w:tcPr>
          <w:p w14:paraId="9A320000">
            <w:pPr>
              <w:widowControl w:val="1"/>
              <w:ind/>
              <w:jc w:val="center"/>
              <w:rPr>
                <w:sz w:val="18"/>
              </w:rPr>
            </w:pPr>
            <w:r>
              <w:rPr>
                <w:sz w:val="18"/>
              </w:rPr>
              <w:t>ноябрь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B320000">
            <w:pPr>
              <w:widowControl w:val="1"/>
              <w:ind/>
              <w:jc w:val="center"/>
              <w:rPr>
                <w:sz w:val="18"/>
              </w:rPr>
            </w:pPr>
            <w:r>
              <w:rPr>
                <w:sz w:val="18"/>
              </w:rPr>
              <w:t>сентябрь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9C320000">
            <w:pPr>
              <w:widowControl w:val="1"/>
              <w:ind/>
              <w:jc w:val="center"/>
              <w:rPr>
                <w:sz w:val="18"/>
              </w:rPr>
            </w:pPr>
            <w:r>
              <w:rPr>
                <w:sz w:val="18"/>
              </w:rPr>
              <w:t>31807163875</w:t>
            </w:r>
          </w:p>
        </w:tc>
        <w:tc>
          <w:tcPr>
            <w:tcW w:type="dxa" w:w="652"/>
            <w:tcBorders>
              <w:top w:color="000000" w:sz="4" w:val="single"/>
              <w:left w:color="000000" w:sz="4" w:val="single"/>
              <w:bottom w:color="000000" w:sz="4" w:val="single"/>
              <w:right w:color="000000" w:sz="4" w:val="single"/>
            </w:tcBorders>
            <w:shd w:fill="FFFFFF" w:val="clear"/>
            <w:vAlign w:val="center"/>
          </w:tcPr>
          <w:p w14:paraId="9D32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9E320000">
            <w:pPr>
              <w:widowControl w:val="1"/>
              <w:ind/>
              <w:jc w:val="center"/>
              <w:rPr>
                <w:color w:val="000000"/>
                <w:sz w:val="18"/>
              </w:rPr>
            </w:pPr>
            <w:r>
              <w:rPr>
                <w:color w:val="000000"/>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9F320000">
            <w:pPr>
              <w:widowControl w:val="1"/>
              <w:ind/>
              <w:jc w:val="center"/>
              <w:rPr>
                <w:sz w:val="18"/>
              </w:rPr>
            </w:pPr>
            <w:r>
              <w:rPr>
                <w:sz w:val="18"/>
              </w:rPr>
              <w:t>343337,76</w:t>
            </w:r>
          </w:p>
        </w:tc>
        <w:tc>
          <w:tcPr>
            <w:tcW w:type="dxa" w:w="1185"/>
            <w:tcBorders>
              <w:top w:color="000000" w:sz="4" w:val="single"/>
              <w:left w:color="000000" w:sz="4" w:val="single"/>
              <w:bottom w:color="000000" w:sz="4" w:val="single"/>
              <w:right w:color="000000" w:sz="4" w:val="single"/>
            </w:tcBorders>
            <w:shd w:fill="FFFFFF" w:val="clear"/>
            <w:vAlign w:val="center"/>
          </w:tcPr>
          <w:p w14:paraId="A0320000">
            <w:pPr>
              <w:widowControl w:val="1"/>
              <w:ind/>
              <w:jc w:val="center"/>
              <w:rPr>
                <w:sz w:val="18"/>
              </w:rPr>
            </w:pPr>
            <w:r>
              <w:rPr>
                <w:sz w:val="18"/>
              </w:rPr>
              <w:t>343337,76</w:t>
            </w:r>
          </w:p>
        </w:tc>
        <w:tc>
          <w:tcPr>
            <w:tcW w:type="dxa" w:w="1083"/>
            <w:tcBorders>
              <w:top w:color="000000" w:sz="4" w:val="single"/>
              <w:left w:color="000000" w:sz="4" w:val="single"/>
              <w:bottom w:color="000000" w:sz="4" w:val="single"/>
              <w:right w:color="000000" w:sz="4" w:val="single"/>
            </w:tcBorders>
            <w:shd w:fill="FFFFFF" w:val="clear"/>
            <w:vAlign w:val="center"/>
          </w:tcPr>
          <w:p w14:paraId="A1320000">
            <w:pPr>
              <w:widowControl w:val="1"/>
              <w:ind/>
              <w:jc w:val="center"/>
              <w:rPr>
                <w:sz w:val="18"/>
              </w:rPr>
            </w:pPr>
            <w:r>
              <w:rPr>
                <w:sz w:val="18"/>
              </w:rPr>
              <w:t>343337,76</w:t>
            </w:r>
          </w:p>
        </w:tc>
        <w:tc>
          <w:tcPr>
            <w:tcW w:type="dxa" w:w="771"/>
            <w:tcBorders>
              <w:top w:color="000000" w:sz="4" w:val="single"/>
              <w:left w:color="000000" w:sz="4" w:val="single"/>
              <w:bottom w:color="000000" w:sz="4" w:val="single"/>
              <w:right w:color="000000" w:sz="4" w:val="single"/>
            </w:tcBorders>
            <w:shd w:fill="FFFFFF" w:val="clear"/>
            <w:vAlign w:val="center"/>
          </w:tcPr>
          <w:p w14:paraId="A2320000">
            <w:pPr>
              <w:widowControl w:val="1"/>
              <w:ind/>
              <w:jc w:val="center"/>
              <w:rPr>
                <w:sz w:val="18"/>
              </w:rPr>
            </w:pPr>
            <w:r>
              <w:rPr>
                <w:sz w:val="18"/>
              </w:rPr>
              <w:t>ноябрь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A3320000">
            <w:pPr>
              <w:widowControl w:val="1"/>
              <w:ind/>
              <w:jc w:val="center"/>
              <w:rPr>
                <w:sz w:val="18"/>
              </w:rPr>
            </w:pPr>
            <w:r>
              <w:rPr>
                <w:sz w:val="18"/>
              </w:rPr>
              <w:t>сентябрь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A4320000">
            <w:pPr>
              <w:widowControl w:val="1"/>
              <w:ind/>
              <w:jc w:val="center"/>
              <w:rPr>
                <w:sz w:val="18"/>
              </w:rPr>
            </w:pPr>
            <w:r>
              <w:rPr>
                <w:sz w:val="18"/>
              </w:rPr>
              <w:t>договор № 124 от 19.11.2018</w:t>
            </w:r>
          </w:p>
        </w:tc>
      </w:tr>
      <w:tr>
        <w:trPr>
          <w:trHeight w:hRule="atLeast" w:val="1275"/>
        </w:trPr>
        <w:tc>
          <w:tcPr>
            <w:tcW w:type="dxa" w:w="708"/>
            <w:tcBorders>
              <w:top w:color="000000" w:sz="4" w:val="single"/>
              <w:left w:color="000000" w:sz="4" w:val="single"/>
              <w:bottom w:color="000000" w:sz="4" w:val="single"/>
              <w:right w:color="000000" w:sz="4" w:val="single"/>
            </w:tcBorders>
            <w:shd w:fill="FFFFFF" w:val="clear"/>
            <w:vAlign w:val="center"/>
          </w:tcPr>
          <w:p w14:paraId="A5320000">
            <w:pPr>
              <w:widowControl w:val="1"/>
              <w:ind/>
              <w:jc w:val="center"/>
              <w:rPr>
                <w:color w:val="000000"/>
                <w:sz w:val="18"/>
              </w:rPr>
            </w:pPr>
            <w:r>
              <w:rPr>
                <w:color w:val="000000"/>
                <w:sz w:val="18"/>
              </w:rPr>
              <w:t>80</w:t>
            </w:r>
          </w:p>
        </w:tc>
        <w:tc>
          <w:tcPr>
            <w:tcW w:type="dxa" w:w="618"/>
            <w:tcBorders>
              <w:top w:color="000000" w:sz="4" w:val="single"/>
              <w:left w:color="000000" w:sz="4" w:val="single"/>
              <w:bottom w:color="000000" w:sz="4" w:val="single"/>
              <w:right w:color="000000" w:sz="4" w:val="single"/>
            </w:tcBorders>
            <w:shd w:fill="FFFFFF" w:val="clear"/>
            <w:vAlign w:val="center"/>
          </w:tcPr>
          <w:p w14:paraId="A6320000">
            <w:pPr>
              <w:widowControl w:val="1"/>
              <w:ind/>
              <w:jc w:val="center"/>
              <w:rPr>
                <w:sz w:val="18"/>
              </w:rPr>
            </w:pPr>
            <w:r>
              <w:rPr>
                <w:sz w:val="18"/>
              </w:rPr>
              <w:t>98</w:t>
            </w:r>
          </w:p>
        </w:tc>
        <w:tc>
          <w:tcPr>
            <w:tcW w:type="dxa" w:w="993"/>
            <w:tcBorders>
              <w:top w:color="000000" w:sz="4" w:val="single"/>
              <w:left w:color="000000" w:sz="4" w:val="single"/>
              <w:bottom w:color="000000" w:sz="4" w:val="single"/>
              <w:right w:color="000000" w:sz="4" w:val="single"/>
            </w:tcBorders>
            <w:shd w:fill="FFFFFF" w:val="clear"/>
            <w:vAlign w:val="center"/>
          </w:tcPr>
          <w:p w14:paraId="A7320000">
            <w:pPr>
              <w:widowControl w:val="1"/>
              <w:ind/>
              <w:jc w:val="center"/>
              <w:rPr>
                <w:sz w:val="18"/>
              </w:rPr>
            </w:pPr>
            <w:r>
              <w:rPr>
                <w:sz w:val="18"/>
              </w:rPr>
              <w:t>Оказание услуг по ремонту контрольно-кассовой техники</w:t>
            </w:r>
          </w:p>
        </w:tc>
        <w:tc>
          <w:tcPr>
            <w:tcW w:type="dxa" w:w="849"/>
            <w:tcBorders>
              <w:top w:color="000000" w:sz="4" w:val="single"/>
              <w:left w:color="000000" w:sz="4" w:val="single"/>
              <w:bottom w:color="000000" w:sz="4" w:val="single"/>
              <w:right w:color="000000" w:sz="4" w:val="single"/>
            </w:tcBorders>
            <w:shd w:fill="FFFFFF" w:val="clear"/>
            <w:vAlign w:val="center"/>
          </w:tcPr>
          <w:p w14:paraId="A832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A9320000">
            <w:pPr>
              <w:widowControl w:val="1"/>
              <w:ind/>
              <w:jc w:val="center"/>
              <w:rPr>
                <w:sz w:val="18"/>
              </w:rPr>
            </w:pPr>
            <w:r>
              <w:rPr>
                <w:sz w:val="18"/>
              </w:rPr>
              <w:t>200</w:t>
            </w:r>
          </w:p>
        </w:tc>
        <w:tc>
          <w:tcPr>
            <w:tcW w:type="dxa" w:w="991"/>
            <w:tcBorders>
              <w:top w:color="000000" w:sz="4" w:val="single"/>
              <w:left w:color="000000" w:sz="4" w:val="single"/>
              <w:bottom w:color="000000" w:sz="4" w:val="single"/>
              <w:right w:color="000000" w:sz="4" w:val="single"/>
            </w:tcBorders>
            <w:shd w:fill="FFFFFF" w:val="clear"/>
            <w:vAlign w:val="center"/>
          </w:tcPr>
          <w:p w14:paraId="AA320000">
            <w:pPr>
              <w:widowControl w:val="1"/>
              <w:ind/>
              <w:jc w:val="center"/>
              <w:rPr>
                <w:sz w:val="18"/>
              </w:rPr>
            </w:pPr>
            <w:r>
              <w:rPr>
                <w:sz w:val="18"/>
              </w:rPr>
              <w:t>198779,47</w:t>
            </w:r>
          </w:p>
        </w:tc>
        <w:tc>
          <w:tcPr>
            <w:tcW w:type="dxa" w:w="1134"/>
            <w:tcBorders>
              <w:top w:color="000000" w:sz="4" w:val="single"/>
              <w:left w:color="000000" w:sz="4" w:val="single"/>
              <w:bottom w:color="000000" w:sz="4" w:val="single"/>
              <w:right w:color="000000" w:sz="4" w:val="single"/>
            </w:tcBorders>
            <w:shd w:fill="FFFFFF" w:val="clear"/>
            <w:vAlign w:val="center"/>
          </w:tcPr>
          <w:p w14:paraId="AB320000">
            <w:pPr>
              <w:widowControl w:val="1"/>
              <w:ind/>
              <w:jc w:val="center"/>
              <w:rPr>
                <w:sz w:val="18"/>
              </w:rPr>
            </w:pPr>
            <w:r>
              <w:rPr>
                <w:sz w:val="18"/>
              </w:rPr>
              <w:t>234559,77</w:t>
            </w:r>
          </w:p>
        </w:tc>
        <w:tc>
          <w:tcPr>
            <w:tcW w:type="dxa" w:w="993"/>
            <w:tcBorders>
              <w:top w:color="000000" w:sz="4" w:val="single"/>
              <w:left w:color="000000" w:sz="4" w:val="single"/>
              <w:bottom w:color="000000" w:sz="4" w:val="single"/>
              <w:right w:color="000000" w:sz="4" w:val="single"/>
            </w:tcBorders>
            <w:shd w:fill="FFFFFF" w:val="clear"/>
            <w:vAlign w:val="center"/>
          </w:tcPr>
          <w:p w14:paraId="AC320000">
            <w:pPr>
              <w:widowControl w:val="1"/>
              <w:ind/>
              <w:jc w:val="center"/>
              <w:rPr>
                <w:sz w:val="18"/>
              </w:rPr>
            </w:pPr>
            <w:r>
              <w:rPr>
                <w:sz w:val="18"/>
              </w:rPr>
              <w:t>ноябрь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AD32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AE320000">
            <w:pPr>
              <w:widowControl w:val="1"/>
              <w:ind/>
              <w:jc w:val="center"/>
              <w:rPr>
                <w:sz w:val="18"/>
              </w:rPr>
            </w:pPr>
            <w:r>
              <w:rPr>
                <w:sz w:val="18"/>
              </w:rPr>
              <w:t>31807227139</w:t>
            </w:r>
          </w:p>
        </w:tc>
        <w:tc>
          <w:tcPr>
            <w:tcW w:type="dxa" w:w="652"/>
            <w:tcBorders>
              <w:top w:color="000000" w:sz="4" w:val="single"/>
              <w:left w:color="000000" w:sz="4" w:val="single"/>
              <w:bottom w:color="000000" w:sz="4" w:val="single"/>
              <w:right w:color="000000" w:sz="4" w:val="single"/>
            </w:tcBorders>
            <w:shd w:fill="FFFFFF" w:val="clear"/>
            <w:vAlign w:val="center"/>
          </w:tcPr>
          <w:p w14:paraId="AF32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B0320000">
            <w:pPr>
              <w:widowControl w:val="1"/>
              <w:ind/>
              <w:jc w:val="center"/>
              <w:rPr>
                <w:sz w:val="18"/>
              </w:rPr>
            </w:pPr>
            <w:r>
              <w:rPr>
                <w:sz w:val="18"/>
              </w:rPr>
              <w:t>200</w:t>
            </w:r>
          </w:p>
        </w:tc>
        <w:tc>
          <w:tcPr>
            <w:tcW w:type="dxa" w:w="1169"/>
            <w:tcBorders>
              <w:top w:color="000000" w:sz="4" w:val="single"/>
              <w:left w:color="000000" w:sz="4" w:val="single"/>
              <w:bottom w:color="000000" w:sz="4" w:val="single"/>
              <w:right w:color="000000" w:sz="4" w:val="single"/>
            </w:tcBorders>
            <w:shd w:fill="auto" w:val="clear"/>
            <w:vAlign w:val="center"/>
          </w:tcPr>
          <w:p w14:paraId="B1320000">
            <w:pPr>
              <w:widowControl w:val="1"/>
              <w:ind/>
              <w:jc w:val="center"/>
              <w:rPr>
                <w:sz w:val="18"/>
              </w:rPr>
            </w:pPr>
            <w:r>
              <w:rPr>
                <w:sz w:val="18"/>
              </w:rPr>
              <w:t>207627,1</w:t>
            </w:r>
          </w:p>
        </w:tc>
        <w:tc>
          <w:tcPr>
            <w:tcW w:type="dxa" w:w="1185"/>
            <w:tcBorders>
              <w:top w:color="000000" w:sz="4" w:val="single"/>
              <w:left w:color="000000" w:sz="4" w:val="single"/>
              <w:bottom w:color="000000" w:sz="4" w:val="single"/>
              <w:right w:color="000000" w:sz="4" w:val="single"/>
            </w:tcBorders>
            <w:shd w:fill="auto" w:val="clear"/>
            <w:vAlign w:val="center"/>
          </w:tcPr>
          <w:p w14:paraId="B2320000">
            <w:pPr>
              <w:widowControl w:val="1"/>
              <w:ind/>
              <w:jc w:val="center"/>
              <w:rPr>
                <w:sz w:val="18"/>
              </w:rPr>
            </w:pPr>
            <w:r>
              <w:rPr>
                <w:sz w:val="18"/>
              </w:rPr>
              <w:t>245000</w:t>
            </w:r>
          </w:p>
        </w:tc>
        <w:tc>
          <w:tcPr>
            <w:tcW w:type="dxa" w:w="1083"/>
            <w:tcBorders>
              <w:top w:color="000000" w:sz="4" w:val="single"/>
              <w:left w:color="000000" w:sz="4" w:val="single"/>
              <w:bottom w:color="000000" w:sz="4" w:val="single"/>
              <w:right w:color="000000" w:sz="4" w:val="single"/>
            </w:tcBorders>
            <w:shd w:fill="auto" w:val="clear"/>
            <w:vAlign w:val="center"/>
          </w:tcPr>
          <w:p w14:paraId="B3320000">
            <w:pPr>
              <w:widowControl w:val="1"/>
              <w:ind/>
              <w:jc w:val="center"/>
              <w:rPr>
                <w:sz w:val="18"/>
              </w:rPr>
            </w:pPr>
            <w:r>
              <w:rPr>
                <w:sz w:val="18"/>
              </w:rPr>
              <w:t>245000</w:t>
            </w:r>
          </w:p>
        </w:tc>
        <w:tc>
          <w:tcPr>
            <w:tcW w:type="dxa" w:w="771"/>
            <w:tcBorders>
              <w:top w:color="000000" w:sz="4" w:val="single"/>
              <w:left w:color="000000" w:sz="4" w:val="single"/>
              <w:bottom w:color="000000" w:sz="4" w:val="single"/>
              <w:right w:color="000000" w:sz="4" w:val="single"/>
            </w:tcBorders>
            <w:shd w:fill="FFFFFF" w:val="clear"/>
            <w:vAlign w:val="center"/>
          </w:tcPr>
          <w:p w14:paraId="B4320000">
            <w:pPr>
              <w:widowControl w:val="1"/>
              <w:ind/>
              <w:jc w:val="center"/>
              <w:rPr>
                <w:sz w:val="18"/>
              </w:rPr>
            </w:pPr>
            <w:r>
              <w:rPr>
                <w:sz w:val="18"/>
              </w:rPr>
              <w:t>ноябрь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B532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auto" w:val="clear"/>
            <w:vAlign w:val="center"/>
          </w:tcPr>
          <w:p w14:paraId="B6320000">
            <w:pPr>
              <w:widowControl w:val="1"/>
              <w:ind/>
              <w:jc w:val="center"/>
              <w:rPr>
                <w:sz w:val="18"/>
              </w:rPr>
            </w:pPr>
            <w:r>
              <w:rPr>
                <w:sz w:val="18"/>
              </w:rPr>
              <w:t>договор № 129 от 30.11.2018</w:t>
            </w:r>
          </w:p>
        </w:tc>
      </w:tr>
      <w:tr>
        <w:trPr>
          <w:trHeight w:hRule="atLeast" w:val="2115"/>
        </w:trPr>
        <w:tc>
          <w:tcPr>
            <w:tcW w:type="dxa" w:w="708"/>
            <w:tcBorders>
              <w:top w:color="000000" w:sz="4" w:val="single"/>
              <w:left w:color="000000" w:sz="4" w:val="single"/>
              <w:bottom w:color="000000" w:sz="4" w:val="single"/>
              <w:right w:color="000000" w:sz="4" w:val="single"/>
            </w:tcBorders>
            <w:shd w:fill="FFFFFF" w:val="clear"/>
            <w:vAlign w:val="center"/>
          </w:tcPr>
          <w:p w14:paraId="B7320000">
            <w:pPr>
              <w:widowControl w:val="1"/>
              <w:ind/>
              <w:jc w:val="center"/>
              <w:rPr>
                <w:color w:val="000000"/>
                <w:sz w:val="18"/>
              </w:rPr>
            </w:pPr>
            <w:r>
              <w:rPr>
                <w:color w:val="000000"/>
                <w:sz w:val="18"/>
              </w:rPr>
              <w:t>81</w:t>
            </w:r>
          </w:p>
        </w:tc>
        <w:tc>
          <w:tcPr>
            <w:tcW w:type="dxa" w:w="618"/>
            <w:tcBorders>
              <w:top w:color="000000" w:sz="4" w:val="single"/>
              <w:left w:color="000000" w:sz="4" w:val="single"/>
              <w:bottom w:color="000000" w:sz="4" w:val="single"/>
              <w:right w:color="000000" w:sz="4" w:val="single"/>
            </w:tcBorders>
            <w:shd w:fill="FFFFFF" w:val="clear"/>
            <w:vAlign w:val="center"/>
          </w:tcPr>
          <w:p w14:paraId="B8320000">
            <w:pPr>
              <w:widowControl w:val="1"/>
              <w:ind/>
              <w:jc w:val="center"/>
              <w:rPr>
                <w:sz w:val="18"/>
              </w:rPr>
            </w:pPr>
            <w:r>
              <w:rPr>
                <w:sz w:val="18"/>
              </w:rPr>
              <w:t>99</w:t>
            </w:r>
          </w:p>
        </w:tc>
        <w:tc>
          <w:tcPr>
            <w:tcW w:type="dxa" w:w="993"/>
            <w:tcBorders>
              <w:top w:color="000000" w:sz="4" w:val="single"/>
              <w:left w:color="000000" w:sz="4" w:val="single"/>
              <w:bottom w:color="000000" w:sz="4" w:val="single"/>
              <w:right w:color="000000" w:sz="4" w:val="single"/>
            </w:tcBorders>
            <w:shd w:fill="FFFFFF" w:val="clear"/>
            <w:vAlign w:val="center"/>
          </w:tcPr>
          <w:p w14:paraId="B9320000">
            <w:pPr>
              <w:widowControl w:val="1"/>
              <w:ind/>
              <w:jc w:val="center"/>
              <w:rPr>
                <w:sz w:val="18"/>
              </w:rPr>
            </w:pPr>
            <w:r>
              <w:rPr>
                <w:sz w:val="18"/>
              </w:rPr>
              <w:t>Выполнение работ по доработке программного обеспечения АСУПП</w:t>
            </w:r>
          </w:p>
        </w:tc>
        <w:tc>
          <w:tcPr>
            <w:tcW w:type="dxa" w:w="849"/>
            <w:tcBorders>
              <w:top w:color="000000" w:sz="4" w:val="single"/>
              <w:left w:color="000000" w:sz="4" w:val="single"/>
              <w:bottom w:color="000000" w:sz="4" w:val="single"/>
              <w:right w:color="000000" w:sz="4" w:val="single"/>
            </w:tcBorders>
            <w:shd w:fill="FFFFFF" w:val="clear"/>
            <w:vAlign w:val="center"/>
          </w:tcPr>
          <w:p w14:paraId="BA32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B320000">
            <w:pPr>
              <w:widowControl w:val="1"/>
              <w:ind/>
              <w:jc w:val="center"/>
              <w:rPr>
                <w:sz w:val="18"/>
              </w:rPr>
            </w:pPr>
            <w:r>
              <w:rPr>
                <w:sz w:val="18"/>
              </w:rPr>
              <w:t>121</w:t>
            </w:r>
          </w:p>
        </w:tc>
        <w:tc>
          <w:tcPr>
            <w:tcW w:type="dxa" w:w="991"/>
            <w:tcBorders>
              <w:top w:color="000000" w:sz="4" w:val="single"/>
              <w:left w:color="000000" w:sz="4" w:val="single"/>
              <w:bottom w:color="000000" w:sz="4" w:val="single"/>
              <w:right w:color="000000" w:sz="4" w:val="single"/>
            </w:tcBorders>
            <w:shd w:fill="FFFFFF" w:val="clear"/>
            <w:vAlign w:val="center"/>
          </w:tcPr>
          <w:p w14:paraId="BC320000">
            <w:pPr>
              <w:widowControl w:val="1"/>
              <w:ind/>
              <w:jc w:val="center"/>
              <w:rPr>
                <w:sz w:val="18"/>
              </w:rPr>
            </w:pPr>
            <w:r>
              <w:rPr>
                <w:sz w:val="18"/>
              </w:rPr>
              <w:t>167144,00</w:t>
            </w:r>
          </w:p>
        </w:tc>
        <w:tc>
          <w:tcPr>
            <w:tcW w:type="dxa" w:w="1134"/>
            <w:tcBorders>
              <w:top w:color="000000" w:sz="4" w:val="single"/>
              <w:left w:color="000000" w:sz="4" w:val="single"/>
              <w:bottom w:color="000000" w:sz="4" w:val="single"/>
              <w:right w:color="000000" w:sz="4" w:val="single"/>
            </w:tcBorders>
            <w:shd w:fill="FFFFFF" w:val="clear"/>
            <w:vAlign w:val="center"/>
          </w:tcPr>
          <w:p w14:paraId="BD320000">
            <w:pPr>
              <w:widowControl w:val="1"/>
              <w:ind/>
              <w:jc w:val="center"/>
              <w:rPr>
                <w:sz w:val="18"/>
              </w:rPr>
            </w:pPr>
            <w:r>
              <w:rPr>
                <w:sz w:val="18"/>
              </w:rPr>
              <w:t>197230,00</w:t>
            </w:r>
          </w:p>
        </w:tc>
        <w:tc>
          <w:tcPr>
            <w:tcW w:type="dxa" w:w="993"/>
            <w:tcBorders>
              <w:top w:color="000000" w:sz="4" w:val="single"/>
              <w:left w:color="000000" w:sz="4" w:val="single"/>
              <w:bottom w:color="000000" w:sz="4" w:val="single"/>
              <w:right w:color="000000" w:sz="4" w:val="single"/>
            </w:tcBorders>
            <w:shd w:fill="FFFFFF" w:val="clear"/>
            <w:vAlign w:val="center"/>
          </w:tcPr>
          <w:p w14:paraId="BE320000">
            <w:pPr>
              <w:widowControl w:val="1"/>
              <w:ind/>
              <w:jc w:val="center"/>
              <w:rPr>
                <w:sz w:val="18"/>
              </w:rPr>
            </w:pPr>
            <w:r>
              <w:rPr>
                <w:sz w:val="18"/>
              </w:rPr>
              <w:t>ноябрь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BF32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C0320000">
            <w:pPr>
              <w:widowControl w:val="1"/>
              <w:ind/>
              <w:jc w:val="center"/>
              <w:rPr>
                <w:sz w:val="18"/>
              </w:rPr>
            </w:pPr>
            <w:r>
              <w:rPr>
                <w:sz w:val="18"/>
              </w:rPr>
              <w:t>31807229097</w:t>
            </w:r>
          </w:p>
        </w:tc>
        <w:tc>
          <w:tcPr>
            <w:tcW w:type="dxa" w:w="652"/>
            <w:tcBorders>
              <w:top w:color="000000" w:sz="4" w:val="single"/>
              <w:left w:color="000000" w:sz="4" w:val="single"/>
              <w:bottom w:color="000000" w:sz="4" w:val="single"/>
              <w:right w:color="000000" w:sz="4" w:val="single"/>
            </w:tcBorders>
            <w:shd w:fill="FFFFFF" w:val="clear"/>
            <w:vAlign w:val="center"/>
          </w:tcPr>
          <w:p w14:paraId="C132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C2320000">
            <w:pPr>
              <w:widowControl w:val="1"/>
              <w:ind/>
              <w:jc w:val="center"/>
              <w:rPr>
                <w:sz w:val="18"/>
              </w:rPr>
            </w:pPr>
            <w:r>
              <w:rPr>
                <w:sz w:val="18"/>
              </w:rPr>
              <w:t>121</w:t>
            </w:r>
          </w:p>
        </w:tc>
        <w:tc>
          <w:tcPr>
            <w:tcW w:type="dxa" w:w="1169"/>
            <w:tcBorders>
              <w:top w:color="000000" w:sz="4" w:val="single"/>
              <w:left w:color="000000" w:sz="4" w:val="single"/>
              <w:bottom w:color="000000" w:sz="4" w:val="single"/>
              <w:right w:color="000000" w:sz="4" w:val="single"/>
            </w:tcBorders>
            <w:shd w:fill="FFFFFF" w:val="clear"/>
            <w:vAlign w:val="center"/>
          </w:tcPr>
          <w:p w14:paraId="C3320000">
            <w:pPr>
              <w:widowControl w:val="1"/>
              <w:ind/>
              <w:jc w:val="center"/>
              <w:rPr>
                <w:sz w:val="18"/>
              </w:rPr>
            </w:pPr>
            <w:r>
              <w:rPr>
                <w:sz w:val="18"/>
              </w:rPr>
              <w:t>167144,00</w:t>
            </w:r>
          </w:p>
        </w:tc>
        <w:tc>
          <w:tcPr>
            <w:tcW w:type="dxa" w:w="1185"/>
            <w:tcBorders>
              <w:top w:color="000000" w:sz="4" w:val="single"/>
              <w:left w:color="000000" w:sz="4" w:val="single"/>
              <w:bottom w:color="000000" w:sz="4" w:val="single"/>
              <w:right w:color="000000" w:sz="4" w:val="single"/>
            </w:tcBorders>
            <w:shd w:fill="FFFFFF" w:val="clear"/>
            <w:vAlign w:val="center"/>
          </w:tcPr>
          <w:p w14:paraId="C4320000">
            <w:pPr>
              <w:widowControl w:val="1"/>
              <w:ind/>
              <w:jc w:val="center"/>
              <w:rPr>
                <w:sz w:val="18"/>
              </w:rPr>
            </w:pPr>
            <w:r>
              <w:rPr>
                <w:sz w:val="18"/>
              </w:rPr>
              <w:t>197230,00</w:t>
            </w:r>
          </w:p>
        </w:tc>
        <w:tc>
          <w:tcPr>
            <w:tcW w:type="dxa" w:w="1083"/>
            <w:tcBorders>
              <w:top w:color="000000" w:sz="4" w:val="single"/>
              <w:left w:color="000000" w:sz="4" w:val="single"/>
              <w:bottom w:color="000000" w:sz="4" w:val="single"/>
              <w:right w:color="000000" w:sz="4" w:val="single"/>
            </w:tcBorders>
            <w:shd w:fill="FFFFFF" w:val="clear"/>
            <w:vAlign w:val="center"/>
          </w:tcPr>
          <w:p w14:paraId="C5320000">
            <w:pPr>
              <w:widowControl w:val="1"/>
              <w:ind/>
              <w:jc w:val="center"/>
              <w:rPr>
                <w:sz w:val="18"/>
              </w:rPr>
            </w:pPr>
            <w:r>
              <w:rPr>
                <w:sz w:val="18"/>
              </w:rPr>
              <w:t>197230</w:t>
            </w:r>
          </w:p>
        </w:tc>
        <w:tc>
          <w:tcPr>
            <w:tcW w:type="dxa" w:w="771"/>
            <w:tcBorders>
              <w:top w:color="000000" w:sz="4" w:val="single"/>
              <w:left w:color="000000" w:sz="4" w:val="single"/>
              <w:bottom w:color="000000" w:sz="4" w:val="single"/>
              <w:right w:color="000000" w:sz="4" w:val="single"/>
            </w:tcBorders>
            <w:shd w:fill="FFFFFF" w:val="clear"/>
            <w:vAlign w:val="center"/>
          </w:tcPr>
          <w:p w14:paraId="C6320000">
            <w:pPr>
              <w:widowControl w:val="1"/>
              <w:ind/>
              <w:jc w:val="center"/>
              <w:rPr>
                <w:sz w:val="18"/>
              </w:rPr>
            </w:pPr>
            <w:r>
              <w:rPr>
                <w:sz w:val="18"/>
              </w:rPr>
              <w:t>ноябрь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C732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C8320000">
            <w:pPr>
              <w:widowControl w:val="1"/>
              <w:ind/>
              <w:jc w:val="center"/>
              <w:rPr>
                <w:sz w:val="18"/>
              </w:rPr>
            </w:pPr>
            <w:r>
              <w:rPr>
                <w:sz w:val="18"/>
              </w:rPr>
              <w:t>договор № 130 от 30.11.2018</w:t>
            </w:r>
          </w:p>
        </w:tc>
      </w:tr>
      <w:tr>
        <w:trPr>
          <w:trHeight w:hRule="atLeast" w:val="765"/>
        </w:trPr>
        <w:tc>
          <w:tcPr>
            <w:tcW w:type="dxa" w:w="708"/>
            <w:tcBorders>
              <w:top w:color="000000" w:sz="4" w:val="single"/>
              <w:left w:color="000000" w:sz="4" w:val="single"/>
              <w:bottom w:color="000000" w:sz="4" w:val="single"/>
              <w:right w:color="000000" w:sz="4" w:val="single"/>
            </w:tcBorders>
            <w:shd w:fill="FFFFFF" w:val="clear"/>
            <w:vAlign w:val="center"/>
          </w:tcPr>
          <w:p w14:paraId="C9320000">
            <w:pPr>
              <w:widowControl w:val="1"/>
              <w:ind/>
              <w:jc w:val="center"/>
              <w:rPr>
                <w:color w:val="000000"/>
                <w:sz w:val="18"/>
              </w:rPr>
            </w:pPr>
            <w:r>
              <w:rPr>
                <w:color w:val="000000"/>
                <w:sz w:val="18"/>
              </w:rPr>
              <w:t>82</w:t>
            </w:r>
          </w:p>
        </w:tc>
        <w:tc>
          <w:tcPr>
            <w:tcW w:type="dxa" w:w="618"/>
            <w:tcBorders>
              <w:top w:color="000000" w:sz="4" w:val="single"/>
              <w:left w:color="000000" w:sz="4" w:val="single"/>
              <w:bottom w:color="000000" w:sz="4" w:val="single"/>
              <w:right w:color="000000" w:sz="4" w:val="single"/>
            </w:tcBorders>
            <w:shd w:fill="FFFFFF" w:val="clear"/>
            <w:vAlign w:val="center"/>
          </w:tcPr>
          <w:p w14:paraId="CA320000">
            <w:pPr>
              <w:widowControl w:val="1"/>
              <w:ind/>
              <w:jc w:val="center"/>
              <w:rPr>
                <w:sz w:val="18"/>
              </w:rPr>
            </w:pPr>
            <w:r>
              <w:rPr>
                <w:sz w:val="18"/>
              </w:rPr>
              <w:t>100</w:t>
            </w:r>
          </w:p>
        </w:tc>
        <w:tc>
          <w:tcPr>
            <w:tcW w:type="dxa" w:w="993"/>
            <w:tcBorders>
              <w:top w:color="000000" w:sz="4" w:val="single"/>
              <w:left w:color="000000" w:sz="4" w:val="single"/>
              <w:bottom w:color="000000" w:sz="4" w:val="single"/>
              <w:right w:color="000000" w:sz="4" w:val="single"/>
            </w:tcBorders>
            <w:shd w:fill="FFFFFF" w:val="clear"/>
            <w:vAlign w:val="center"/>
          </w:tcPr>
          <w:p w14:paraId="CB320000">
            <w:pPr>
              <w:widowControl w:val="1"/>
              <w:ind/>
              <w:jc w:val="center"/>
              <w:rPr>
                <w:sz w:val="18"/>
              </w:rPr>
            </w:pPr>
            <w:r>
              <w:rPr>
                <w:sz w:val="18"/>
              </w:rPr>
              <w:t>Поставка оргтехники (МФУ)</w:t>
            </w:r>
          </w:p>
        </w:tc>
        <w:tc>
          <w:tcPr>
            <w:tcW w:type="dxa" w:w="849"/>
            <w:tcBorders>
              <w:top w:color="000000" w:sz="4" w:val="single"/>
              <w:left w:color="000000" w:sz="4" w:val="single"/>
              <w:bottom w:color="000000" w:sz="4" w:val="single"/>
              <w:right w:color="000000" w:sz="4" w:val="single"/>
            </w:tcBorders>
            <w:shd w:fill="FFFFFF" w:val="clear"/>
            <w:vAlign w:val="center"/>
          </w:tcPr>
          <w:p w14:paraId="CC32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CD32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CE320000">
            <w:pPr>
              <w:widowControl w:val="1"/>
              <w:ind/>
              <w:jc w:val="center"/>
              <w:rPr>
                <w:sz w:val="18"/>
              </w:rPr>
            </w:pPr>
            <w:r>
              <w:rPr>
                <w:sz w:val="18"/>
              </w:rPr>
              <w:t>286000,00</w:t>
            </w:r>
          </w:p>
        </w:tc>
        <w:tc>
          <w:tcPr>
            <w:tcW w:type="dxa" w:w="1134"/>
            <w:tcBorders>
              <w:top w:color="000000" w:sz="4" w:val="single"/>
              <w:left w:color="000000" w:sz="4" w:val="single"/>
              <w:bottom w:color="000000" w:sz="4" w:val="single"/>
              <w:right w:color="000000" w:sz="4" w:val="single"/>
            </w:tcBorders>
            <w:shd w:fill="FFFFFF" w:val="clear"/>
            <w:vAlign w:val="center"/>
          </w:tcPr>
          <w:p w14:paraId="CF320000">
            <w:pPr>
              <w:widowControl w:val="1"/>
              <w:ind/>
              <w:jc w:val="center"/>
              <w:rPr>
                <w:sz w:val="18"/>
              </w:rPr>
            </w:pPr>
            <w:r>
              <w:rPr>
                <w:sz w:val="18"/>
              </w:rPr>
              <w:t>337480,00</w:t>
            </w:r>
          </w:p>
        </w:tc>
        <w:tc>
          <w:tcPr>
            <w:tcW w:type="dxa" w:w="993"/>
            <w:tcBorders>
              <w:top w:color="000000" w:sz="4" w:val="single"/>
              <w:left w:color="000000" w:sz="4" w:val="single"/>
              <w:bottom w:color="000000" w:sz="4" w:val="single"/>
              <w:right w:color="000000" w:sz="4" w:val="single"/>
            </w:tcBorders>
            <w:shd w:fill="FFFFFF" w:val="clear"/>
            <w:vAlign w:val="center"/>
          </w:tcPr>
          <w:p w14:paraId="D032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D132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D2320000">
            <w:pPr>
              <w:widowControl w:val="1"/>
              <w:ind/>
              <w:jc w:val="center"/>
              <w:rPr>
                <w:sz w:val="18"/>
              </w:rPr>
            </w:pPr>
            <w:r>
              <w:rPr>
                <w:sz w:val="18"/>
              </w:rPr>
              <w:t>31807271980</w:t>
            </w:r>
          </w:p>
        </w:tc>
        <w:tc>
          <w:tcPr>
            <w:tcW w:type="dxa" w:w="652"/>
            <w:tcBorders>
              <w:top w:color="000000" w:sz="4" w:val="single"/>
              <w:left w:color="000000" w:sz="4" w:val="single"/>
              <w:bottom w:color="000000" w:sz="4" w:val="single"/>
              <w:right w:color="000000" w:sz="4" w:val="single"/>
            </w:tcBorders>
            <w:shd w:fill="FFFFFF" w:val="clear"/>
            <w:vAlign w:val="center"/>
          </w:tcPr>
          <w:p w14:paraId="D332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D432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D5320000">
            <w:pPr>
              <w:widowControl w:val="1"/>
              <w:ind/>
              <w:jc w:val="center"/>
              <w:rPr>
                <w:sz w:val="18"/>
              </w:rPr>
            </w:pPr>
            <w:r>
              <w:rPr>
                <w:sz w:val="18"/>
              </w:rPr>
              <w:t>285932</w:t>
            </w:r>
          </w:p>
        </w:tc>
        <w:tc>
          <w:tcPr>
            <w:tcW w:type="dxa" w:w="1185"/>
            <w:tcBorders>
              <w:top w:color="000000" w:sz="4" w:val="single"/>
              <w:left w:color="000000" w:sz="4" w:val="single"/>
              <w:bottom w:color="000000" w:sz="4" w:val="single"/>
              <w:right w:color="000000" w:sz="4" w:val="single"/>
            </w:tcBorders>
            <w:shd w:fill="FFFFFF" w:val="clear"/>
            <w:vAlign w:val="center"/>
          </w:tcPr>
          <w:p w14:paraId="D6320000">
            <w:pPr>
              <w:widowControl w:val="1"/>
              <w:ind/>
              <w:jc w:val="center"/>
              <w:rPr>
                <w:sz w:val="18"/>
              </w:rPr>
            </w:pPr>
            <w:r>
              <w:rPr>
                <w:sz w:val="18"/>
              </w:rPr>
              <w:t>337400</w:t>
            </w:r>
          </w:p>
        </w:tc>
        <w:tc>
          <w:tcPr>
            <w:tcW w:type="dxa" w:w="1083"/>
            <w:tcBorders>
              <w:top w:color="000000" w:sz="4" w:val="single"/>
              <w:left w:color="000000" w:sz="4" w:val="single"/>
              <w:bottom w:color="000000" w:sz="4" w:val="single"/>
              <w:right w:color="000000" w:sz="4" w:val="single"/>
            </w:tcBorders>
            <w:shd w:fill="FFFFFF" w:val="clear"/>
            <w:vAlign w:val="center"/>
          </w:tcPr>
          <w:p w14:paraId="D7320000">
            <w:pPr>
              <w:widowControl w:val="1"/>
              <w:ind/>
              <w:jc w:val="center"/>
              <w:rPr>
                <w:sz w:val="18"/>
              </w:rPr>
            </w:pPr>
            <w:r>
              <w:rPr>
                <w:sz w:val="18"/>
              </w:rPr>
              <w:t>337400</w:t>
            </w:r>
          </w:p>
        </w:tc>
        <w:tc>
          <w:tcPr>
            <w:tcW w:type="dxa" w:w="771"/>
            <w:tcBorders>
              <w:top w:color="000000" w:sz="4" w:val="single"/>
              <w:left w:color="000000" w:sz="4" w:val="single"/>
              <w:bottom w:color="000000" w:sz="4" w:val="single"/>
              <w:right w:color="000000" w:sz="4" w:val="single"/>
            </w:tcBorders>
            <w:shd w:fill="FFFFFF" w:val="clear"/>
            <w:vAlign w:val="center"/>
          </w:tcPr>
          <w:p w14:paraId="D832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D932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DA320000">
            <w:pPr>
              <w:widowControl w:val="1"/>
              <w:ind/>
              <w:jc w:val="center"/>
              <w:rPr>
                <w:sz w:val="18"/>
              </w:rPr>
            </w:pPr>
            <w:r>
              <w:rPr>
                <w:sz w:val="18"/>
              </w:rPr>
              <w:t>договор № 34 от 10.12.2018</w:t>
            </w:r>
          </w:p>
        </w:tc>
      </w:tr>
      <w:tr>
        <w:trPr>
          <w:trHeight w:hRule="atLeast" w:val="1785"/>
        </w:trPr>
        <w:tc>
          <w:tcPr>
            <w:tcW w:type="dxa" w:w="708"/>
            <w:tcBorders>
              <w:top w:color="000000" w:sz="4" w:val="single"/>
              <w:left w:color="000000" w:sz="4" w:val="single"/>
              <w:bottom w:color="000000" w:sz="4" w:val="single"/>
              <w:right w:color="000000" w:sz="4" w:val="single"/>
            </w:tcBorders>
            <w:shd w:fill="FFFFFF" w:val="clear"/>
            <w:vAlign w:val="center"/>
          </w:tcPr>
          <w:p w14:paraId="DB320000">
            <w:pPr>
              <w:widowControl w:val="1"/>
              <w:ind/>
              <w:jc w:val="center"/>
              <w:rPr>
                <w:color w:val="000000"/>
                <w:sz w:val="18"/>
              </w:rPr>
            </w:pPr>
            <w:r>
              <w:rPr>
                <w:color w:val="000000"/>
                <w:sz w:val="18"/>
              </w:rPr>
              <w:t>83</w:t>
            </w:r>
          </w:p>
        </w:tc>
        <w:tc>
          <w:tcPr>
            <w:tcW w:type="dxa" w:w="618"/>
            <w:tcBorders>
              <w:top w:color="000000" w:sz="4" w:val="single"/>
              <w:left w:color="000000" w:sz="4" w:val="single"/>
              <w:bottom w:color="000000" w:sz="4" w:val="single"/>
              <w:right w:color="000000" w:sz="4" w:val="single"/>
            </w:tcBorders>
            <w:shd w:fill="FFFFFF" w:val="clear"/>
            <w:vAlign w:val="center"/>
          </w:tcPr>
          <w:p w14:paraId="DC320000">
            <w:pPr>
              <w:widowControl w:val="1"/>
              <w:ind/>
              <w:jc w:val="center"/>
              <w:rPr>
                <w:sz w:val="18"/>
              </w:rPr>
            </w:pPr>
            <w:r>
              <w:rPr>
                <w:sz w:val="18"/>
              </w:rPr>
              <w:t>101</w:t>
            </w:r>
          </w:p>
        </w:tc>
        <w:tc>
          <w:tcPr>
            <w:tcW w:type="dxa" w:w="993"/>
            <w:tcBorders>
              <w:top w:color="000000" w:sz="4" w:val="single"/>
              <w:left w:color="000000" w:sz="4" w:val="single"/>
              <w:bottom w:color="000000" w:sz="4" w:val="single"/>
              <w:right w:color="000000" w:sz="4" w:val="single"/>
            </w:tcBorders>
            <w:shd w:fill="FFFFFF" w:val="clear"/>
            <w:vAlign w:val="center"/>
          </w:tcPr>
          <w:p w14:paraId="DD320000">
            <w:pPr>
              <w:widowControl w:val="1"/>
              <w:ind/>
              <w:jc w:val="center"/>
              <w:rPr>
                <w:sz w:val="18"/>
              </w:rPr>
            </w:pPr>
            <w:r>
              <w:rPr>
                <w:sz w:val="18"/>
              </w:rPr>
              <w:t>Оказание услуг по подготовке к покраске и окраске кузовов и тамбуров вагонов</w:t>
            </w:r>
          </w:p>
        </w:tc>
        <w:tc>
          <w:tcPr>
            <w:tcW w:type="dxa" w:w="849"/>
            <w:tcBorders>
              <w:top w:color="000000" w:sz="4" w:val="single"/>
              <w:left w:color="000000" w:sz="4" w:val="single"/>
              <w:bottom w:color="000000" w:sz="4" w:val="single"/>
              <w:right w:color="000000" w:sz="4" w:val="single"/>
            </w:tcBorders>
            <w:shd w:fill="FFFFFF" w:val="clear"/>
            <w:vAlign w:val="center"/>
          </w:tcPr>
          <w:p w14:paraId="DE32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DF320000">
            <w:pPr>
              <w:widowControl w:val="1"/>
              <w:ind/>
              <w:jc w:val="center"/>
              <w:rPr>
                <w:sz w:val="18"/>
              </w:rPr>
            </w:pPr>
            <w:r>
              <w:rPr>
                <w:sz w:val="18"/>
              </w:rPr>
              <w:t>20</w:t>
            </w:r>
          </w:p>
        </w:tc>
        <w:tc>
          <w:tcPr>
            <w:tcW w:type="dxa" w:w="991"/>
            <w:tcBorders>
              <w:top w:color="000000" w:sz="4" w:val="single"/>
              <w:left w:color="000000" w:sz="4" w:val="single"/>
              <w:bottom w:color="000000" w:sz="4" w:val="single"/>
              <w:right w:color="000000" w:sz="4" w:val="single"/>
            </w:tcBorders>
            <w:shd w:fill="FFFFFF" w:val="clear"/>
            <w:vAlign w:val="center"/>
          </w:tcPr>
          <w:p w14:paraId="E0320000">
            <w:pPr>
              <w:widowControl w:val="1"/>
              <w:ind/>
              <w:jc w:val="center"/>
              <w:rPr>
                <w:color w:val="000000"/>
                <w:sz w:val="18"/>
              </w:rPr>
            </w:pPr>
            <w:r>
              <w:rPr>
                <w:color w:val="000000"/>
                <w:sz w:val="18"/>
              </w:rPr>
              <w:t>2798950</w:t>
            </w:r>
          </w:p>
        </w:tc>
        <w:tc>
          <w:tcPr>
            <w:tcW w:type="dxa" w:w="1134"/>
            <w:tcBorders>
              <w:top w:color="000000" w:sz="4" w:val="single"/>
              <w:left w:color="000000" w:sz="4" w:val="single"/>
              <w:bottom w:color="000000" w:sz="4" w:val="single"/>
              <w:right w:color="000000" w:sz="4" w:val="single"/>
            </w:tcBorders>
            <w:shd w:fill="FFFFFF" w:val="clear"/>
            <w:vAlign w:val="center"/>
          </w:tcPr>
          <w:p w14:paraId="E1320000">
            <w:pPr>
              <w:widowControl w:val="1"/>
              <w:ind/>
              <w:jc w:val="center"/>
              <w:rPr>
                <w:sz w:val="18"/>
              </w:rPr>
            </w:pPr>
            <w:r>
              <w:rPr>
                <w:sz w:val="18"/>
              </w:rPr>
              <w:t>3 292 141,00</w:t>
            </w:r>
          </w:p>
        </w:tc>
        <w:tc>
          <w:tcPr>
            <w:tcW w:type="dxa" w:w="993"/>
            <w:tcBorders>
              <w:top w:color="000000" w:sz="4" w:val="single"/>
              <w:left w:color="000000" w:sz="4" w:val="single"/>
              <w:bottom w:color="000000" w:sz="4" w:val="single"/>
              <w:right w:color="000000" w:sz="4" w:val="single"/>
            </w:tcBorders>
            <w:shd w:fill="FFFFFF" w:val="clear"/>
            <w:vAlign w:val="center"/>
          </w:tcPr>
          <w:p w14:paraId="E232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E3320000">
            <w:pPr>
              <w:widowControl w:val="1"/>
              <w:ind/>
              <w:jc w:val="center"/>
              <w:rPr>
                <w:sz w:val="18"/>
              </w:rPr>
            </w:pPr>
            <w:r>
              <w:rPr>
                <w:sz w:val="18"/>
              </w:rPr>
              <w:t>январь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E432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E532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E6320000">
            <w:pPr>
              <w:widowControl w:val="1"/>
              <w:ind/>
              <w:jc w:val="center"/>
              <w:rPr>
                <w:sz w:val="18"/>
              </w:rPr>
            </w:pPr>
            <w:r>
              <w:rPr>
                <w:sz w:val="18"/>
              </w:rPr>
              <w:t>20</w:t>
            </w:r>
          </w:p>
        </w:tc>
        <w:tc>
          <w:tcPr>
            <w:tcW w:type="dxa" w:w="1169"/>
            <w:tcBorders>
              <w:top w:color="000000" w:sz="4" w:val="single"/>
              <w:left w:color="000000" w:sz="4" w:val="single"/>
              <w:bottom w:color="000000" w:sz="4" w:val="single"/>
              <w:right w:color="000000" w:sz="4" w:val="single"/>
            </w:tcBorders>
            <w:shd w:fill="FFFFFF" w:val="clear"/>
            <w:vAlign w:val="center"/>
          </w:tcPr>
          <w:p w14:paraId="E7320000">
            <w:pPr>
              <w:widowControl w:val="1"/>
              <w:ind/>
              <w:jc w:val="center"/>
              <w:rPr>
                <w:sz w:val="18"/>
              </w:rPr>
            </w:pPr>
            <w:r>
              <w:rPr>
                <w:sz w:val="18"/>
              </w:rPr>
              <w:t>2 789 950,00</w:t>
            </w:r>
          </w:p>
        </w:tc>
        <w:tc>
          <w:tcPr>
            <w:tcW w:type="dxa" w:w="1185"/>
            <w:tcBorders>
              <w:top w:color="000000" w:sz="4" w:val="single"/>
              <w:left w:color="000000" w:sz="4" w:val="single"/>
              <w:bottom w:color="000000" w:sz="4" w:val="single"/>
              <w:right w:color="000000" w:sz="4" w:val="single"/>
            </w:tcBorders>
            <w:shd w:fill="FFFFFF" w:val="clear"/>
            <w:vAlign w:val="center"/>
          </w:tcPr>
          <w:p w14:paraId="E8320000">
            <w:pPr>
              <w:widowControl w:val="1"/>
              <w:ind/>
              <w:jc w:val="center"/>
              <w:rPr>
                <w:sz w:val="18"/>
              </w:rPr>
            </w:pPr>
            <w:r>
              <w:rPr>
                <w:sz w:val="18"/>
              </w:rPr>
              <w:t>3292141</w:t>
            </w:r>
          </w:p>
        </w:tc>
        <w:tc>
          <w:tcPr>
            <w:tcW w:type="dxa" w:w="1083"/>
            <w:tcBorders>
              <w:top w:color="000000" w:sz="4" w:val="single"/>
              <w:left w:color="000000" w:sz="4" w:val="single"/>
              <w:bottom w:color="000000" w:sz="4" w:val="single"/>
              <w:right w:color="000000" w:sz="4" w:val="single"/>
            </w:tcBorders>
            <w:shd w:fill="FFFFFF" w:val="clear"/>
            <w:vAlign w:val="center"/>
          </w:tcPr>
          <w:p w14:paraId="E9320000">
            <w:pPr>
              <w:widowControl w:val="1"/>
              <w:ind/>
              <w:jc w:val="center"/>
              <w:rPr>
                <w:sz w:val="18"/>
              </w:rPr>
            </w:pPr>
            <w:r>
              <w:rPr>
                <w:sz w:val="18"/>
              </w:rPr>
              <w:t>3292141</w:t>
            </w:r>
          </w:p>
        </w:tc>
        <w:tc>
          <w:tcPr>
            <w:tcW w:type="dxa" w:w="771"/>
            <w:tcBorders>
              <w:top w:color="000000" w:sz="4" w:val="single"/>
              <w:left w:color="000000" w:sz="4" w:val="single"/>
              <w:bottom w:color="000000" w:sz="4" w:val="single"/>
              <w:right w:color="000000" w:sz="4" w:val="single"/>
            </w:tcBorders>
            <w:shd w:fill="FFFFFF" w:val="clear"/>
            <w:vAlign w:val="center"/>
          </w:tcPr>
          <w:p w14:paraId="EA32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B320000">
            <w:pPr>
              <w:widowControl w:val="1"/>
              <w:ind/>
              <w:jc w:val="center"/>
              <w:rPr>
                <w:sz w:val="18"/>
              </w:rPr>
            </w:pPr>
            <w:r>
              <w:rPr>
                <w:sz w:val="18"/>
              </w:rPr>
              <w:t>январь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EC320000">
            <w:pPr>
              <w:widowControl w:val="1"/>
              <w:ind/>
              <w:jc w:val="center"/>
              <w:rPr>
                <w:sz w:val="18"/>
              </w:rPr>
            </w:pPr>
            <w:r>
              <w:rPr>
                <w:sz w:val="18"/>
              </w:rPr>
              <w:t>договор № 1267 от 29.12.2018</w:t>
            </w:r>
          </w:p>
        </w:tc>
      </w:tr>
      <w:tr>
        <w:trPr>
          <w:trHeight w:hRule="atLeast" w:val="2040"/>
        </w:trPr>
        <w:tc>
          <w:tcPr>
            <w:tcW w:type="dxa" w:w="708"/>
            <w:tcBorders>
              <w:top w:color="000000" w:sz="4" w:val="single"/>
              <w:left w:color="000000" w:sz="4" w:val="single"/>
              <w:bottom w:color="000000" w:sz="4" w:val="single"/>
              <w:right w:color="000000" w:sz="4" w:val="single"/>
            </w:tcBorders>
            <w:shd w:fill="auto" w:val="clear"/>
            <w:vAlign w:val="center"/>
          </w:tcPr>
          <w:p w14:paraId="ED320000">
            <w:pPr>
              <w:widowControl w:val="1"/>
              <w:ind/>
              <w:jc w:val="center"/>
              <w:rPr>
                <w:color w:val="000000"/>
                <w:sz w:val="18"/>
              </w:rPr>
            </w:pPr>
            <w:r>
              <w:rPr>
                <w:color w:val="000000"/>
                <w:sz w:val="18"/>
              </w:rPr>
              <w:t>84</w:t>
            </w:r>
          </w:p>
        </w:tc>
        <w:tc>
          <w:tcPr>
            <w:tcW w:type="dxa" w:w="618"/>
            <w:tcBorders>
              <w:top w:color="000000" w:sz="4" w:val="single"/>
              <w:left w:color="000000" w:sz="4" w:val="single"/>
              <w:bottom w:color="000000" w:sz="4" w:val="single"/>
              <w:right w:color="000000" w:sz="4" w:val="single"/>
            </w:tcBorders>
            <w:shd w:fill="FFFFFF" w:val="clear"/>
            <w:vAlign w:val="center"/>
          </w:tcPr>
          <w:p w14:paraId="EE320000">
            <w:pPr>
              <w:widowControl w:val="1"/>
              <w:ind/>
              <w:jc w:val="center"/>
              <w:rPr>
                <w:sz w:val="18"/>
              </w:rPr>
            </w:pPr>
            <w:r>
              <w:rPr>
                <w:sz w:val="18"/>
              </w:rPr>
              <w:t>1/2</w:t>
            </w:r>
          </w:p>
        </w:tc>
        <w:tc>
          <w:tcPr>
            <w:tcW w:type="dxa" w:w="993"/>
            <w:tcBorders>
              <w:top w:color="000000" w:sz="4" w:val="single"/>
              <w:left w:color="000000" w:sz="4" w:val="single"/>
              <w:bottom w:color="000000" w:sz="4" w:val="single"/>
              <w:right w:color="000000" w:sz="4" w:val="single"/>
            </w:tcBorders>
            <w:shd w:fill="FFFFFF" w:val="clear"/>
            <w:vAlign w:val="center"/>
          </w:tcPr>
          <w:p w14:paraId="EF320000">
            <w:pPr>
              <w:widowControl w:val="1"/>
              <w:ind/>
              <w:jc w:val="center"/>
              <w:rPr>
                <w:sz w:val="18"/>
              </w:rPr>
            </w:pPr>
            <w:r>
              <w:rPr>
                <w:sz w:val="18"/>
              </w:rPr>
              <w:t>Оказание услуг по проведению пожарно-технических обследований моторвагонного подвижного состава</w:t>
            </w:r>
          </w:p>
        </w:tc>
        <w:tc>
          <w:tcPr>
            <w:tcW w:type="dxa" w:w="849"/>
            <w:tcBorders>
              <w:top w:color="000000" w:sz="4" w:val="single"/>
              <w:left w:color="000000" w:sz="4" w:val="single"/>
              <w:bottom w:color="000000" w:sz="4" w:val="single"/>
              <w:right w:color="000000" w:sz="4" w:val="single"/>
            </w:tcBorders>
            <w:shd w:fill="FFFFFF" w:val="clear"/>
            <w:vAlign w:val="center"/>
          </w:tcPr>
          <w:p w14:paraId="F032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F132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F2320000">
            <w:pPr>
              <w:widowControl w:val="1"/>
              <w:ind/>
              <w:jc w:val="center"/>
              <w:rPr>
                <w:sz w:val="18"/>
              </w:rPr>
            </w:pPr>
            <w:r>
              <w:rPr>
                <w:sz w:val="18"/>
              </w:rPr>
              <w:t>41720,34</w:t>
            </w:r>
          </w:p>
        </w:tc>
        <w:tc>
          <w:tcPr>
            <w:tcW w:type="dxa" w:w="1134"/>
            <w:tcBorders>
              <w:top w:color="000000" w:sz="4" w:val="single"/>
              <w:left w:color="000000" w:sz="4" w:val="single"/>
              <w:bottom w:color="000000" w:sz="4" w:val="single"/>
              <w:right w:color="000000" w:sz="4" w:val="single"/>
            </w:tcBorders>
            <w:shd w:fill="FFFFFF" w:val="clear"/>
            <w:vAlign w:val="center"/>
          </w:tcPr>
          <w:p w14:paraId="F3320000">
            <w:pPr>
              <w:widowControl w:val="1"/>
              <w:ind/>
              <w:jc w:val="center"/>
              <w:rPr>
                <w:sz w:val="18"/>
              </w:rPr>
            </w:pPr>
            <w:r>
              <w:rPr>
                <w:sz w:val="18"/>
              </w:rPr>
              <w:t>49230,00</w:t>
            </w:r>
          </w:p>
        </w:tc>
        <w:tc>
          <w:tcPr>
            <w:tcW w:type="dxa" w:w="993"/>
            <w:tcBorders>
              <w:top w:color="000000" w:sz="4" w:val="single"/>
              <w:left w:color="000000" w:sz="4" w:val="single"/>
              <w:bottom w:color="000000" w:sz="4" w:val="single"/>
              <w:right w:color="000000" w:sz="4" w:val="single"/>
            </w:tcBorders>
            <w:shd w:fill="FFFFFF" w:val="clear"/>
            <w:vAlign w:val="center"/>
          </w:tcPr>
          <w:p w14:paraId="F432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F5320000">
            <w:pPr>
              <w:widowControl w:val="1"/>
              <w:ind/>
              <w:jc w:val="center"/>
              <w:rPr>
                <w:sz w:val="18"/>
              </w:rPr>
            </w:pPr>
            <w:r>
              <w:rPr>
                <w:sz w:val="18"/>
              </w:rPr>
              <w:t>декабрь 2020 г.</w:t>
            </w:r>
          </w:p>
        </w:tc>
        <w:tc>
          <w:tcPr>
            <w:tcW w:type="dxa" w:w="1334"/>
            <w:tcBorders>
              <w:top w:color="000000" w:sz="4" w:val="single"/>
              <w:left w:color="000000" w:sz="4" w:val="single"/>
              <w:bottom w:color="000000" w:sz="4" w:val="single"/>
              <w:right w:color="000000" w:sz="4" w:val="single"/>
            </w:tcBorders>
            <w:shd w:fill="FFFFFF" w:val="clear"/>
            <w:vAlign w:val="center"/>
          </w:tcPr>
          <w:p w14:paraId="F632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F732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F832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F9320000">
            <w:pPr>
              <w:widowControl w:val="1"/>
              <w:ind/>
              <w:jc w:val="center"/>
              <w:rPr>
                <w:sz w:val="18"/>
              </w:rPr>
            </w:pPr>
            <w:r>
              <w:rPr>
                <w:sz w:val="18"/>
              </w:rPr>
              <w:t>41721,80</w:t>
            </w:r>
          </w:p>
        </w:tc>
        <w:tc>
          <w:tcPr>
            <w:tcW w:type="dxa" w:w="1185"/>
            <w:tcBorders>
              <w:top w:color="000000" w:sz="4" w:val="single"/>
              <w:left w:color="000000" w:sz="4" w:val="single"/>
              <w:bottom w:color="000000" w:sz="4" w:val="single"/>
              <w:right w:color="000000" w:sz="4" w:val="single"/>
            </w:tcBorders>
            <w:shd w:fill="FFFFFF" w:val="clear"/>
            <w:vAlign w:val="center"/>
          </w:tcPr>
          <w:p w14:paraId="FA320000">
            <w:pPr>
              <w:widowControl w:val="1"/>
              <w:ind/>
              <w:jc w:val="center"/>
              <w:rPr>
                <w:sz w:val="18"/>
              </w:rPr>
            </w:pPr>
            <w:r>
              <w:rPr>
                <w:sz w:val="18"/>
              </w:rPr>
              <w:t>49231,78</w:t>
            </w:r>
          </w:p>
        </w:tc>
        <w:tc>
          <w:tcPr>
            <w:tcW w:type="dxa" w:w="1083"/>
            <w:tcBorders>
              <w:top w:color="000000" w:sz="4" w:val="single"/>
              <w:left w:color="000000" w:sz="4" w:val="single"/>
              <w:bottom w:color="000000" w:sz="4" w:val="single"/>
              <w:right w:color="000000" w:sz="4" w:val="single"/>
            </w:tcBorders>
            <w:shd w:fill="FFFFFF" w:val="clear"/>
            <w:vAlign w:val="center"/>
          </w:tcPr>
          <w:p w14:paraId="FB320000">
            <w:pPr>
              <w:widowControl w:val="1"/>
              <w:ind/>
              <w:jc w:val="center"/>
              <w:rPr>
                <w:sz w:val="18"/>
              </w:rPr>
            </w:pPr>
            <w:r>
              <w:rPr>
                <w:sz w:val="18"/>
              </w:rPr>
              <w:t>49231,78</w:t>
            </w:r>
          </w:p>
        </w:tc>
        <w:tc>
          <w:tcPr>
            <w:tcW w:type="dxa" w:w="771"/>
            <w:tcBorders>
              <w:top w:color="000000" w:sz="4" w:val="single"/>
              <w:left w:color="000000" w:sz="4" w:val="single"/>
              <w:bottom w:color="000000" w:sz="4" w:val="single"/>
              <w:right w:color="000000" w:sz="4" w:val="single"/>
            </w:tcBorders>
            <w:shd w:fill="FFFFFF" w:val="clear"/>
            <w:vAlign w:val="center"/>
          </w:tcPr>
          <w:p w14:paraId="FC32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FD320000">
            <w:pPr>
              <w:widowControl w:val="1"/>
              <w:ind/>
              <w:jc w:val="center"/>
              <w:rPr>
                <w:sz w:val="18"/>
              </w:rPr>
            </w:pPr>
            <w:r>
              <w:rPr>
                <w:sz w:val="18"/>
              </w:rPr>
              <w:t>декабрь 2020 г.</w:t>
            </w:r>
          </w:p>
        </w:tc>
        <w:tc>
          <w:tcPr>
            <w:tcW w:type="dxa" w:w="709"/>
            <w:tcBorders>
              <w:top w:color="000000" w:sz="4" w:val="single"/>
              <w:left w:color="000000" w:sz="4" w:val="single"/>
              <w:bottom w:color="000000" w:sz="4" w:val="single"/>
              <w:right w:color="000000" w:sz="4" w:val="single"/>
            </w:tcBorders>
            <w:shd w:fill="FFFFFF" w:val="clear"/>
            <w:vAlign w:val="center"/>
          </w:tcPr>
          <w:p w14:paraId="FE320000">
            <w:pPr>
              <w:widowControl w:val="1"/>
              <w:ind/>
              <w:jc w:val="center"/>
              <w:rPr>
                <w:sz w:val="18"/>
              </w:rPr>
            </w:pPr>
            <w:r>
              <w:rPr>
                <w:sz w:val="18"/>
              </w:rPr>
              <w:t>договор № 57 от 29.03.2018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FF320000">
            <w:pPr>
              <w:widowControl w:val="1"/>
              <w:ind/>
              <w:jc w:val="center"/>
              <w:rPr>
                <w:color w:val="000000"/>
                <w:sz w:val="18"/>
              </w:rPr>
            </w:pPr>
            <w:r>
              <w:rPr>
                <w:color w:val="000000"/>
                <w:sz w:val="18"/>
              </w:rPr>
              <w:t>85</w:t>
            </w:r>
          </w:p>
        </w:tc>
        <w:tc>
          <w:tcPr>
            <w:tcW w:type="dxa" w:w="618"/>
            <w:tcBorders>
              <w:top w:color="000000" w:sz="4" w:val="single"/>
              <w:left w:color="000000" w:sz="4" w:val="single"/>
              <w:bottom w:color="000000" w:sz="4" w:val="single"/>
              <w:right w:color="000000" w:sz="4" w:val="single"/>
            </w:tcBorders>
            <w:shd w:fill="FFFFFF" w:val="clear"/>
            <w:vAlign w:val="center"/>
          </w:tcPr>
          <w:p w14:paraId="00330000">
            <w:pPr>
              <w:widowControl w:val="1"/>
              <w:ind/>
              <w:jc w:val="center"/>
              <w:rPr>
                <w:sz w:val="18"/>
              </w:rPr>
            </w:pPr>
            <w:r>
              <w:rPr>
                <w:sz w:val="18"/>
              </w:rPr>
              <w:t>2/2</w:t>
            </w:r>
          </w:p>
        </w:tc>
        <w:tc>
          <w:tcPr>
            <w:tcW w:type="dxa" w:w="993"/>
            <w:tcBorders>
              <w:top w:color="000000" w:sz="4" w:val="single"/>
              <w:left w:color="000000" w:sz="4" w:val="single"/>
              <w:bottom w:color="000000" w:sz="4" w:val="single"/>
              <w:right w:color="000000" w:sz="4" w:val="single"/>
            </w:tcBorders>
            <w:shd w:fill="FFFFFF" w:val="clear"/>
            <w:vAlign w:val="center"/>
          </w:tcPr>
          <w:p w14:paraId="01330000">
            <w:pPr>
              <w:widowControl w:val="1"/>
              <w:ind/>
              <w:jc w:val="center"/>
              <w:rPr>
                <w:sz w:val="18"/>
              </w:rPr>
            </w:pPr>
            <w:r>
              <w:rPr>
                <w:sz w:val="18"/>
              </w:rPr>
              <w:t>Оказание услуг связи (Vlan)</w:t>
            </w:r>
          </w:p>
        </w:tc>
        <w:tc>
          <w:tcPr>
            <w:tcW w:type="dxa" w:w="849"/>
            <w:tcBorders>
              <w:top w:color="000000" w:sz="4" w:val="single"/>
              <w:left w:color="000000" w:sz="4" w:val="single"/>
              <w:bottom w:color="000000" w:sz="4" w:val="single"/>
              <w:right w:color="000000" w:sz="4" w:val="single"/>
            </w:tcBorders>
            <w:shd w:fill="FFFFFF" w:val="clear"/>
            <w:vAlign w:val="center"/>
          </w:tcPr>
          <w:p w14:paraId="0233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0333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04330000">
            <w:pPr>
              <w:widowControl w:val="1"/>
              <w:ind/>
              <w:jc w:val="center"/>
              <w:rPr>
                <w:sz w:val="18"/>
              </w:rPr>
            </w:pPr>
            <w:r>
              <w:rPr>
                <w:sz w:val="18"/>
              </w:rPr>
              <w:t>52881,60</w:t>
            </w:r>
          </w:p>
        </w:tc>
        <w:tc>
          <w:tcPr>
            <w:tcW w:type="dxa" w:w="1134"/>
            <w:tcBorders>
              <w:top w:color="000000" w:sz="4" w:val="single"/>
              <w:left w:color="000000" w:sz="4" w:val="single"/>
              <w:bottom w:color="000000" w:sz="4" w:val="single"/>
              <w:right w:color="000000" w:sz="4" w:val="single"/>
            </w:tcBorders>
            <w:shd w:fill="FFFFFF" w:val="clear"/>
            <w:vAlign w:val="center"/>
          </w:tcPr>
          <w:p w14:paraId="05330000">
            <w:pPr>
              <w:widowControl w:val="1"/>
              <w:ind/>
              <w:jc w:val="center"/>
              <w:rPr>
                <w:sz w:val="18"/>
              </w:rPr>
            </w:pPr>
            <w:r>
              <w:rPr>
                <w:sz w:val="18"/>
              </w:rPr>
              <w:t>62400,00</w:t>
            </w:r>
          </w:p>
        </w:tc>
        <w:tc>
          <w:tcPr>
            <w:tcW w:type="dxa" w:w="993"/>
            <w:tcBorders>
              <w:top w:color="000000" w:sz="4" w:val="single"/>
              <w:left w:color="000000" w:sz="4" w:val="single"/>
              <w:bottom w:color="000000" w:sz="4" w:val="single"/>
              <w:right w:color="000000" w:sz="4" w:val="single"/>
            </w:tcBorders>
            <w:shd w:fill="FFFFFF" w:val="clear"/>
            <w:vAlign w:val="center"/>
          </w:tcPr>
          <w:p w14:paraId="0633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0733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0833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0933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0A33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0B330000">
            <w:pPr>
              <w:widowControl w:val="1"/>
              <w:ind/>
              <w:jc w:val="center"/>
              <w:rPr>
                <w:sz w:val="18"/>
              </w:rPr>
            </w:pPr>
            <w:r>
              <w:rPr>
                <w:sz w:val="18"/>
              </w:rPr>
              <w:t>52881,00</w:t>
            </w:r>
          </w:p>
        </w:tc>
        <w:tc>
          <w:tcPr>
            <w:tcW w:type="dxa" w:w="1185"/>
            <w:tcBorders>
              <w:top w:color="000000" w:sz="4" w:val="single"/>
              <w:left w:color="000000" w:sz="4" w:val="single"/>
              <w:bottom w:color="000000" w:sz="4" w:val="single"/>
              <w:right w:color="000000" w:sz="4" w:val="single"/>
            </w:tcBorders>
            <w:shd w:fill="FFFFFF" w:val="clear"/>
            <w:vAlign w:val="center"/>
          </w:tcPr>
          <w:p w14:paraId="0C330000">
            <w:pPr>
              <w:widowControl w:val="1"/>
              <w:ind/>
              <w:jc w:val="center"/>
              <w:rPr>
                <w:sz w:val="18"/>
              </w:rPr>
            </w:pPr>
            <w:r>
              <w:rPr>
                <w:sz w:val="18"/>
              </w:rPr>
              <w:t>62400,00</w:t>
            </w:r>
          </w:p>
        </w:tc>
        <w:tc>
          <w:tcPr>
            <w:tcW w:type="dxa" w:w="1083"/>
            <w:tcBorders>
              <w:top w:color="000000" w:sz="4" w:val="single"/>
              <w:left w:color="000000" w:sz="4" w:val="single"/>
              <w:bottom w:color="000000" w:sz="4" w:val="single"/>
              <w:right w:color="000000" w:sz="4" w:val="single"/>
            </w:tcBorders>
            <w:shd w:fill="FFFFFF" w:val="clear"/>
            <w:vAlign w:val="center"/>
          </w:tcPr>
          <w:p w14:paraId="0D330000">
            <w:pPr>
              <w:widowControl w:val="1"/>
              <w:ind/>
              <w:jc w:val="center"/>
              <w:rPr>
                <w:sz w:val="18"/>
              </w:rPr>
            </w:pPr>
            <w:r>
              <w:rPr>
                <w:sz w:val="18"/>
              </w:rPr>
              <w:t>62400,00</w:t>
            </w:r>
          </w:p>
        </w:tc>
        <w:tc>
          <w:tcPr>
            <w:tcW w:type="dxa" w:w="771"/>
            <w:tcBorders>
              <w:top w:color="000000" w:sz="4" w:val="single"/>
              <w:left w:color="000000" w:sz="4" w:val="single"/>
              <w:bottom w:color="000000" w:sz="4" w:val="single"/>
              <w:right w:color="000000" w:sz="4" w:val="single"/>
            </w:tcBorders>
            <w:shd w:fill="FFFFFF" w:val="clear"/>
            <w:vAlign w:val="center"/>
          </w:tcPr>
          <w:p w14:paraId="0E33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0F33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10330000">
            <w:pPr>
              <w:widowControl w:val="1"/>
              <w:ind/>
              <w:jc w:val="center"/>
              <w:rPr>
                <w:sz w:val="18"/>
              </w:rPr>
            </w:pPr>
            <w:r>
              <w:rPr>
                <w:sz w:val="18"/>
              </w:rPr>
              <w:t>договор № 10 от 29.01.2018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11330000">
            <w:pPr>
              <w:widowControl w:val="1"/>
              <w:ind/>
              <w:jc w:val="center"/>
              <w:rPr>
                <w:color w:val="000000"/>
                <w:sz w:val="18"/>
              </w:rPr>
            </w:pPr>
            <w:r>
              <w:rPr>
                <w:color w:val="000000"/>
                <w:sz w:val="18"/>
              </w:rPr>
              <w:t>86</w:t>
            </w:r>
          </w:p>
        </w:tc>
        <w:tc>
          <w:tcPr>
            <w:tcW w:type="dxa" w:w="618"/>
            <w:tcBorders>
              <w:top w:color="000000" w:sz="4" w:val="single"/>
              <w:left w:color="000000" w:sz="4" w:val="single"/>
              <w:bottom w:color="000000" w:sz="4" w:val="single"/>
              <w:right w:color="000000" w:sz="4" w:val="single"/>
            </w:tcBorders>
            <w:shd w:fill="FFFFFF" w:val="clear"/>
            <w:vAlign w:val="center"/>
          </w:tcPr>
          <w:p w14:paraId="12330000">
            <w:pPr>
              <w:widowControl w:val="1"/>
              <w:ind/>
              <w:jc w:val="center"/>
              <w:rPr>
                <w:sz w:val="18"/>
              </w:rPr>
            </w:pPr>
            <w:r>
              <w:rPr>
                <w:sz w:val="18"/>
              </w:rPr>
              <w:t>3/2</w:t>
            </w:r>
          </w:p>
        </w:tc>
        <w:tc>
          <w:tcPr>
            <w:tcW w:type="dxa" w:w="993"/>
            <w:tcBorders>
              <w:top w:color="000000" w:sz="4" w:val="single"/>
              <w:left w:color="000000" w:sz="4" w:val="single"/>
              <w:bottom w:color="000000" w:sz="4" w:val="single"/>
              <w:right w:color="000000" w:sz="4" w:val="single"/>
            </w:tcBorders>
            <w:shd w:fill="FFFFFF" w:val="clear"/>
            <w:vAlign w:val="center"/>
          </w:tcPr>
          <w:p w14:paraId="13330000">
            <w:pPr>
              <w:widowControl w:val="1"/>
              <w:ind/>
              <w:jc w:val="center"/>
              <w:rPr>
                <w:sz w:val="18"/>
              </w:rPr>
            </w:pPr>
            <w:r>
              <w:rPr>
                <w:sz w:val="18"/>
              </w:rPr>
              <w:t>Оказание услуг процессингового центра</w:t>
            </w:r>
          </w:p>
        </w:tc>
        <w:tc>
          <w:tcPr>
            <w:tcW w:type="dxa" w:w="849"/>
            <w:tcBorders>
              <w:top w:color="000000" w:sz="4" w:val="single"/>
              <w:left w:color="000000" w:sz="4" w:val="single"/>
              <w:bottom w:color="000000" w:sz="4" w:val="single"/>
              <w:right w:color="000000" w:sz="4" w:val="single"/>
            </w:tcBorders>
            <w:shd w:fill="FFFFFF" w:val="clear"/>
            <w:vAlign w:val="center"/>
          </w:tcPr>
          <w:p w14:paraId="1433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1533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16330000">
            <w:pPr>
              <w:widowControl w:val="1"/>
              <w:ind/>
              <w:jc w:val="center"/>
              <w:rPr>
                <w:sz w:val="18"/>
              </w:rPr>
            </w:pPr>
            <w:r>
              <w:rPr>
                <w:sz w:val="18"/>
              </w:rPr>
              <w:t>82490,68</w:t>
            </w:r>
          </w:p>
        </w:tc>
        <w:tc>
          <w:tcPr>
            <w:tcW w:type="dxa" w:w="1134"/>
            <w:tcBorders>
              <w:top w:color="000000" w:sz="4" w:val="single"/>
              <w:left w:color="000000" w:sz="4" w:val="single"/>
              <w:bottom w:color="000000" w:sz="4" w:val="single"/>
              <w:right w:color="000000" w:sz="4" w:val="single"/>
            </w:tcBorders>
            <w:shd w:fill="FFFFFF" w:val="clear"/>
            <w:vAlign w:val="center"/>
          </w:tcPr>
          <w:p w14:paraId="17330000">
            <w:pPr>
              <w:widowControl w:val="1"/>
              <w:ind/>
              <w:jc w:val="center"/>
              <w:rPr>
                <w:sz w:val="18"/>
              </w:rPr>
            </w:pPr>
            <w:r>
              <w:rPr>
                <w:sz w:val="18"/>
              </w:rPr>
              <w:t>97339,00</w:t>
            </w:r>
          </w:p>
        </w:tc>
        <w:tc>
          <w:tcPr>
            <w:tcW w:type="dxa" w:w="993"/>
            <w:tcBorders>
              <w:top w:color="000000" w:sz="4" w:val="single"/>
              <w:left w:color="000000" w:sz="4" w:val="single"/>
              <w:bottom w:color="000000" w:sz="4" w:val="single"/>
              <w:right w:color="000000" w:sz="4" w:val="single"/>
            </w:tcBorders>
            <w:shd w:fill="FFFFFF" w:val="clear"/>
            <w:vAlign w:val="center"/>
          </w:tcPr>
          <w:p w14:paraId="1833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1933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1A33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1B33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1C33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1D330000">
            <w:pPr>
              <w:widowControl w:val="1"/>
              <w:ind/>
              <w:jc w:val="center"/>
              <w:rPr>
                <w:sz w:val="18"/>
              </w:rPr>
            </w:pPr>
            <w:r>
              <w:rPr>
                <w:sz w:val="18"/>
              </w:rPr>
              <w:t>75254,00</w:t>
            </w:r>
          </w:p>
        </w:tc>
        <w:tc>
          <w:tcPr>
            <w:tcW w:type="dxa" w:w="1185"/>
            <w:tcBorders>
              <w:top w:color="000000" w:sz="4" w:val="single"/>
              <w:left w:color="000000" w:sz="4" w:val="single"/>
              <w:bottom w:color="000000" w:sz="4" w:val="single"/>
              <w:right w:color="000000" w:sz="4" w:val="single"/>
            </w:tcBorders>
            <w:shd w:fill="FFFFFF" w:val="clear"/>
            <w:vAlign w:val="center"/>
          </w:tcPr>
          <w:p w14:paraId="1E330000">
            <w:pPr>
              <w:widowControl w:val="1"/>
              <w:ind/>
              <w:jc w:val="center"/>
              <w:rPr>
                <w:sz w:val="18"/>
              </w:rPr>
            </w:pPr>
            <w:r>
              <w:rPr>
                <w:sz w:val="18"/>
              </w:rPr>
              <w:t>88800,00</w:t>
            </w:r>
          </w:p>
        </w:tc>
        <w:tc>
          <w:tcPr>
            <w:tcW w:type="dxa" w:w="1083"/>
            <w:tcBorders>
              <w:top w:color="000000" w:sz="4" w:val="single"/>
              <w:left w:color="000000" w:sz="4" w:val="single"/>
              <w:bottom w:color="000000" w:sz="4" w:val="single"/>
              <w:right w:color="000000" w:sz="4" w:val="single"/>
            </w:tcBorders>
            <w:shd w:fill="FFFFFF" w:val="clear"/>
            <w:vAlign w:val="center"/>
          </w:tcPr>
          <w:p w14:paraId="1F330000">
            <w:pPr>
              <w:widowControl w:val="1"/>
              <w:ind/>
              <w:jc w:val="center"/>
              <w:rPr>
                <w:sz w:val="18"/>
              </w:rPr>
            </w:pPr>
            <w:r>
              <w:rPr>
                <w:sz w:val="18"/>
              </w:rPr>
              <w:t>88800,00</w:t>
            </w:r>
          </w:p>
        </w:tc>
        <w:tc>
          <w:tcPr>
            <w:tcW w:type="dxa" w:w="771"/>
            <w:tcBorders>
              <w:top w:color="000000" w:sz="4" w:val="single"/>
              <w:left w:color="000000" w:sz="4" w:val="single"/>
              <w:bottom w:color="000000" w:sz="4" w:val="single"/>
              <w:right w:color="000000" w:sz="4" w:val="single"/>
            </w:tcBorders>
            <w:shd w:fill="FFFFFF" w:val="clear"/>
            <w:vAlign w:val="center"/>
          </w:tcPr>
          <w:p w14:paraId="2033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2133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22330000">
            <w:pPr>
              <w:widowControl w:val="1"/>
              <w:ind/>
              <w:jc w:val="center"/>
              <w:rPr>
                <w:sz w:val="18"/>
              </w:rPr>
            </w:pPr>
            <w:r>
              <w:rPr>
                <w:sz w:val="18"/>
              </w:rPr>
              <w:t>договор № 05/Д-11/18/у от 24.01.2018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23330000">
            <w:pPr>
              <w:widowControl w:val="1"/>
              <w:ind/>
              <w:jc w:val="center"/>
              <w:rPr>
                <w:color w:val="000000"/>
                <w:sz w:val="18"/>
              </w:rPr>
            </w:pPr>
            <w:r>
              <w:rPr>
                <w:color w:val="000000"/>
                <w:sz w:val="18"/>
              </w:rPr>
              <w:t>87</w:t>
            </w:r>
          </w:p>
        </w:tc>
        <w:tc>
          <w:tcPr>
            <w:tcW w:type="dxa" w:w="618"/>
            <w:tcBorders>
              <w:top w:color="000000" w:sz="4" w:val="single"/>
              <w:left w:color="000000" w:sz="4" w:val="single"/>
              <w:bottom w:color="000000" w:sz="4" w:val="single"/>
              <w:right w:color="000000" w:sz="4" w:val="single"/>
            </w:tcBorders>
            <w:shd w:fill="FFFFFF" w:val="clear"/>
            <w:vAlign w:val="center"/>
          </w:tcPr>
          <w:p w14:paraId="24330000">
            <w:pPr>
              <w:widowControl w:val="1"/>
              <w:ind/>
              <w:jc w:val="center"/>
              <w:rPr>
                <w:sz w:val="18"/>
              </w:rPr>
            </w:pPr>
            <w:r>
              <w:rPr>
                <w:sz w:val="18"/>
              </w:rPr>
              <w:t>4/2</w:t>
            </w:r>
          </w:p>
        </w:tc>
        <w:tc>
          <w:tcPr>
            <w:tcW w:type="dxa" w:w="993"/>
            <w:tcBorders>
              <w:top w:color="000000" w:sz="4" w:val="single"/>
              <w:left w:color="000000" w:sz="4" w:val="single"/>
              <w:bottom w:color="000000" w:sz="4" w:val="single"/>
              <w:right w:color="000000" w:sz="4" w:val="single"/>
            </w:tcBorders>
            <w:shd w:fill="FFFFFF" w:val="clear"/>
            <w:vAlign w:val="center"/>
          </w:tcPr>
          <w:p w14:paraId="25330000">
            <w:pPr>
              <w:widowControl w:val="1"/>
              <w:ind/>
              <w:jc w:val="center"/>
              <w:rPr>
                <w:sz w:val="18"/>
              </w:rPr>
            </w:pPr>
            <w:r>
              <w:rPr>
                <w:sz w:val="18"/>
              </w:rPr>
              <w:t>Оказание услуг домена и хостинга</w:t>
            </w:r>
          </w:p>
        </w:tc>
        <w:tc>
          <w:tcPr>
            <w:tcW w:type="dxa" w:w="849"/>
            <w:tcBorders>
              <w:top w:color="000000" w:sz="4" w:val="single"/>
              <w:left w:color="000000" w:sz="4" w:val="single"/>
              <w:bottom w:color="000000" w:sz="4" w:val="single"/>
              <w:right w:color="000000" w:sz="4" w:val="single"/>
            </w:tcBorders>
            <w:shd w:fill="FFFFFF" w:val="clear"/>
            <w:vAlign w:val="center"/>
          </w:tcPr>
          <w:p w14:paraId="2633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2733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28330000">
            <w:pPr>
              <w:widowControl w:val="1"/>
              <w:ind/>
              <w:jc w:val="center"/>
              <w:rPr>
                <w:sz w:val="18"/>
              </w:rPr>
            </w:pPr>
            <w:r>
              <w:rPr>
                <w:sz w:val="18"/>
              </w:rPr>
              <w:t>10400,00</w:t>
            </w:r>
          </w:p>
        </w:tc>
        <w:tc>
          <w:tcPr>
            <w:tcW w:type="dxa" w:w="1134"/>
            <w:tcBorders>
              <w:top w:color="000000" w:sz="4" w:val="single"/>
              <w:left w:color="000000" w:sz="4" w:val="single"/>
              <w:bottom w:color="000000" w:sz="4" w:val="single"/>
              <w:right w:color="000000" w:sz="4" w:val="single"/>
            </w:tcBorders>
            <w:shd w:fill="FFFFFF" w:val="clear"/>
            <w:vAlign w:val="center"/>
          </w:tcPr>
          <w:p w14:paraId="29330000">
            <w:pPr>
              <w:widowControl w:val="1"/>
              <w:ind/>
              <w:jc w:val="center"/>
              <w:rPr>
                <w:sz w:val="18"/>
              </w:rPr>
            </w:pPr>
            <w:r>
              <w:rPr>
                <w:sz w:val="18"/>
              </w:rPr>
              <w:t>12272,00</w:t>
            </w:r>
          </w:p>
        </w:tc>
        <w:tc>
          <w:tcPr>
            <w:tcW w:type="dxa" w:w="993"/>
            <w:tcBorders>
              <w:top w:color="000000" w:sz="4" w:val="single"/>
              <w:left w:color="000000" w:sz="4" w:val="single"/>
              <w:bottom w:color="000000" w:sz="4" w:val="single"/>
              <w:right w:color="000000" w:sz="4" w:val="single"/>
            </w:tcBorders>
            <w:shd w:fill="FFFFFF" w:val="clear"/>
            <w:vAlign w:val="center"/>
          </w:tcPr>
          <w:p w14:paraId="2A33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2B33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2C33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2D33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2E33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2F330000">
            <w:pPr>
              <w:widowControl w:val="1"/>
              <w:ind/>
              <w:jc w:val="center"/>
              <w:rPr>
                <w:sz w:val="18"/>
              </w:rPr>
            </w:pPr>
            <w:r>
              <w:rPr>
                <w:sz w:val="18"/>
              </w:rPr>
              <w:t>9568,00</w:t>
            </w:r>
          </w:p>
        </w:tc>
        <w:tc>
          <w:tcPr>
            <w:tcW w:type="dxa" w:w="1185"/>
            <w:tcBorders>
              <w:top w:color="000000" w:sz="4" w:val="single"/>
              <w:left w:color="000000" w:sz="4" w:val="single"/>
              <w:bottom w:color="000000" w:sz="4" w:val="single"/>
              <w:right w:color="000000" w:sz="4" w:val="single"/>
            </w:tcBorders>
            <w:shd w:fill="FFFFFF" w:val="clear"/>
            <w:vAlign w:val="center"/>
          </w:tcPr>
          <w:p w14:paraId="30330000">
            <w:pPr>
              <w:widowControl w:val="1"/>
              <w:ind/>
              <w:jc w:val="center"/>
              <w:rPr>
                <w:sz w:val="18"/>
              </w:rPr>
            </w:pPr>
            <w:r>
              <w:rPr>
                <w:sz w:val="18"/>
              </w:rPr>
              <w:t>11290,00</w:t>
            </w:r>
          </w:p>
        </w:tc>
        <w:tc>
          <w:tcPr>
            <w:tcW w:type="dxa" w:w="1083"/>
            <w:tcBorders>
              <w:top w:color="000000" w:sz="4" w:val="single"/>
              <w:left w:color="000000" w:sz="4" w:val="single"/>
              <w:bottom w:color="000000" w:sz="4" w:val="single"/>
              <w:right w:color="000000" w:sz="4" w:val="single"/>
            </w:tcBorders>
            <w:shd w:fill="FFFFFF" w:val="clear"/>
            <w:vAlign w:val="center"/>
          </w:tcPr>
          <w:p w14:paraId="31330000">
            <w:pPr>
              <w:widowControl w:val="1"/>
              <w:ind/>
              <w:jc w:val="center"/>
              <w:rPr>
                <w:sz w:val="18"/>
              </w:rPr>
            </w:pPr>
            <w:r>
              <w:rPr>
                <w:sz w:val="18"/>
              </w:rPr>
              <w:t>11290,00</w:t>
            </w:r>
          </w:p>
        </w:tc>
        <w:tc>
          <w:tcPr>
            <w:tcW w:type="dxa" w:w="771"/>
            <w:tcBorders>
              <w:top w:color="000000" w:sz="4" w:val="single"/>
              <w:left w:color="000000" w:sz="4" w:val="single"/>
              <w:bottom w:color="000000" w:sz="4" w:val="single"/>
              <w:right w:color="000000" w:sz="4" w:val="single"/>
            </w:tcBorders>
            <w:shd w:fill="FFFFFF" w:val="clear"/>
            <w:vAlign w:val="center"/>
          </w:tcPr>
          <w:p w14:paraId="3233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3333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34330000">
            <w:pPr>
              <w:widowControl w:val="1"/>
              <w:ind/>
              <w:jc w:val="center"/>
              <w:rPr>
                <w:sz w:val="18"/>
              </w:rPr>
            </w:pPr>
            <w:r>
              <w:rPr>
                <w:sz w:val="18"/>
              </w:rPr>
              <w:t>счет № 2807908-352506/NIC-D от 10.01.2018</w:t>
            </w:r>
          </w:p>
        </w:tc>
      </w:tr>
      <w:tr>
        <w:trPr>
          <w:trHeight w:hRule="atLeast" w:val="1785"/>
        </w:trPr>
        <w:tc>
          <w:tcPr>
            <w:tcW w:type="dxa" w:w="708"/>
            <w:tcBorders>
              <w:top w:color="000000" w:sz="4" w:val="single"/>
              <w:left w:color="000000" w:sz="4" w:val="single"/>
              <w:bottom w:color="000000" w:sz="4" w:val="single"/>
              <w:right w:color="000000" w:sz="4" w:val="single"/>
            </w:tcBorders>
            <w:shd w:fill="auto" w:val="clear"/>
            <w:vAlign w:val="center"/>
          </w:tcPr>
          <w:p w14:paraId="35330000">
            <w:pPr>
              <w:widowControl w:val="1"/>
              <w:ind/>
              <w:jc w:val="center"/>
              <w:rPr>
                <w:color w:val="000000"/>
                <w:sz w:val="18"/>
              </w:rPr>
            </w:pPr>
            <w:r>
              <w:rPr>
                <w:color w:val="000000"/>
                <w:sz w:val="18"/>
              </w:rPr>
              <w:t>88</w:t>
            </w:r>
          </w:p>
        </w:tc>
        <w:tc>
          <w:tcPr>
            <w:tcW w:type="dxa" w:w="618"/>
            <w:tcBorders>
              <w:top w:color="000000" w:sz="4" w:val="single"/>
              <w:left w:color="000000" w:sz="4" w:val="single"/>
              <w:bottom w:color="000000" w:sz="4" w:val="single"/>
              <w:right w:color="000000" w:sz="4" w:val="single"/>
            </w:tcBorders>
            <w:shd w:fill="FFFFFF" w:val="clear"/>
            <w:vAlign w:val="center"/>
          </w:tcPr>
          <w:p w14:paraId="36330000">
            <w:pPr>
              <w:widowControl w:val="1"/>
              <w:ind/>
              <w:jc w:val="center"/>
              <w:rPr>
                <w:color w:val="000000"/>
                <w:sz w:val="18"/>
              </w:rPr>
            </w:pPr>
            <w:r>
              <w:rPr>
                <w:color w:val="000000"/>
                <w:sz w:val="18"/>
              </w:rPr>
              <w:t>5/2</w:t>
            </w:r>
          </w:p>
        </w:tc>
        <w:tc>
          <w:tcPr>
            <w:tcW w:type="dxa" w:w="993"/>
            <w:tcBorders>
              <w:top w:color="000000" w:sz="4" w:val="single"/>
              <w:left w:color="000000" w:sz="4" w:val="single"/>
              <w:bottom w:color="000000" w:sz="4" w:val="single"/>
              <w:right w:color="000000" w:sz="4" w:val="single"/>
            </w:tcBorders>
            <w:shd w:fill="FFFFFF" w:val="clear"/>
            <w:vAlign w:val="center"/>
          </w:tcPr>
          <w:p w14:paraId="37330000">
            <w:pPr>
              <w:widowControl w:val="1"/>
              <w:ind/>
              <w:jc w:val="center"/>
              <w:rPr>
                <w:sz w:val="18"/>
              </w:rPr>
            </w:pPr>
            <w:r>
              <w:rPr>
                <w:sz w:val="18"/>
              </w:rPr>
              <w:t>Оказание услуг по оформлению подписки и доставке периодического издания</w:t>
            </w:r>
          </w:p>
        </w:tc>
        <w:tc>
          <w:tcPr>
            <w:tcW w:type="dxa" w:w="849"/>
            <w:tcBorders>
              <w:top w:color="000000" w:sz="4" w:val="single"/>
              <w:left w:color="000000" w:sz="4" w:val="single"/>
              <w:bottom w:color="000000" w:sz="4" w:val="single"/>
              <w:right w:color="000000" w:sz="4" w:val="single"/>
            </w:tcBorders>
            <w:shd w:fill="FFFFFF" w:val="clear"/>
            <w:vAlign w:val="center"/>
          </w:tcPr>
          <w:p w14:paraId="3833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39330000">
            <w:pPr>
              <w:widowControl w:val="1"/>
              <w:ind/>
              <w:jc w:val="center"/>
              <w:rPr>
                <w:sz w:val="18"/>
              </w:rPr>
            </w:pPr>
            <w:r>
              <w:rPr>
                <w:sz w:val="18"/>
              </w:rPr>
              <w:t>6</w:t>
            </w:r>
          </w:p>
        </w:tc>
        <w:tc>
          <w:tcPr>
            <w:tcW w:type="dxa" w:w="991"/>
            <w:tcBorders>
              <w:top w:color="000000" w:sz="4" w:val="single"/>
              <w:left w:color="000000" w:sz="4" w:val="single"/>
              <w:bottom w:color="000000" w:sz="4" w:val="single"/>
              <w:right w:color="000000" w:sz="4" w:val="single"/>
            </w:tcBorders>
            <w:shd w:fill="FFFFFF" w:val="clear"/>
            <w:vAlign w:val="center"/>
          </w:tcPr>
          <w:p w14:paraId="3A330000">
            <w:pPr>
              <w:widowControl w:val="1"/>
              <w:ind/>
              <w:jc w:val="center"/>
              <w:rPr>
                <w:sz w:val="18"/>
              </w:rPr>
            </w:pPr>
            <w:r>
              <w:rPr>
                <w:sz w:val="18"/>
              </w:rPr>
              <w:t>6600,00</w:t>
            </w:r>
          </w:p>
        </w:tc>
        <w:tc>
          <w:tcPr>
            <w:tcW w:type="dxa" w:w="1134"/>
            <w:tcBorders>
              <w:top w:color="000000" w:sz="4" w:val="single"/>
              <w:left w:color="000000" w:sz="4" w:val="single"/>
              <w:bottom w:color="000000" w:sz="4" w:val="single"/>
              <w:right w:color="000000" w:sz="4" w:val="single"/>
            </w:tcBorders>
            <w:shd w:fill="FFFFFF" w:val="clear"/>
            <w:vAlign w:val="center"/>
          </w:tcPr>
          <w:p w14:paraId="3B330000">
            <w:pPr>
              <w:widowControl w:val="1"/>
              <w:ind/>
              <w:jc w:val="center"/>
              <w:rPr>
                <w:sz w:val="18"/>
              </w:rPr>
            </w:pPr>
            <w:r>
              <w:rPr>
                <w:sz w:val="18"/>
              </w:rPr>
              <w:t>6600,00</w:t>
            </w:r>
          </w:p>
        </w:tc>
        <w:tc>
          <w:tcPr>
            <w:tcW w:type="dxa" w:w="993"/>
            <w:tcBorders>
              <w:top w:color="000000" w:sz="4" w:val="single"/>
              <w:left w:color="000000" w:sz="4" w:val="single"/>
              <w:bottom w:color="000000" w:sz="4" w:val="single"/>
              <w:right w:color="000000" w:sz="4" w:val="single"/>
            </w:tcBorders>
            <w:shd w:fill="FFFFFF" w:val="clear"/>
            <w:vAlign w:val="center"/>
          </w:tcPr>
          <w:p w14:paraId="3C33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3D33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3E33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3F33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40330000">
            <w:pPr>
              <w:widowControl w:val="1"/>
              <w:ind/>
              <w:jc w:val="center"/>
              <w:rPr>
                <w:sz w:val="18"/>
              </w:rPr>
            </w:pPr>
            <w:r>
              <w:rPr>
                <w:sz w:val="18"/>
              </w:rPr>
              <w:t>6</w:t>
            </w:r>
          </w:p>
        </w:tc>
        <w:tc>
          <w:tcPr>
            <w:tcW w:type="dxa" w:w="1169"/>
            <w:tcBorders>
              <w:top w:color="000000" w:sz="4" w:val="single"/>
              <w:left w:color="000000" w:sz="4" w:val="single"/>
              <w:bottom w:color="000000" w:sz="4" w:val="single"/>
              <w:right w:color="000000" w:sz="4" w:val="single"/>
            </w:tcBorders>
            <w:shd w:fill="FFFFFF" w:val="clear"/>
            <w:vAlign w:val="center"/>
          </w:tcPr>
          <w:p w14:paraId="41330000">
            <w:pPr>
              <w:widowControl w:val="1"/>
              <w:ind/>
              <w:jc w:val="center"/>
              <w:rPr>
                <w:sz w:val="18"/>
              </w:rPr>
            </w:pPr>
            <w:r>
              <w:rPr>
                <w:sz w:val="18"/>
              </w:rPr>
              <w:t>6600,00</w:t>
            </w:r>
          </w:p>
        </w:tc>
        <w:tc>
          <w:tcPr>
            <w:tcW w:type="dxa" w:w="1185"/>
            <w:tcBorders>
              <w:top w:color="000000" w:sz="4" w:val="single"/>
              <w:left w:color="000000" w:sz="4" w:val="single"/>
              <w:bottom w:color="000000" w:sz="4" w:val="single"/>
              <w:right w:color="000000" w:sz="4" w:val="single"/>
            </w:tcBorders>
            <w:shd w:fill="FFFFFF" w:val="clear"/>
            <w:vAlign w:val="center"/>
          </w:tcPr>
          <w:p w14:paraId="42330000">
            <w:pPr>
              <w:widowControl w:val="1"/>
              <w:ind/>
              <w:jc w:val="center"/>
              <w:rPr>
                <w:sz w:val="18"/>
              </w:rPr>
            </w:pPr>
            <w:r>
              <w:rPr>
                <w:sz w:val="18"/>
              </w:rPr>
              <w:t>6600,00</w:t>
            </w:r>
          </w:p>
        </w:tc>
        <w:tc>
          <w:tcPr>
            <w:tcW w:type="dxa" w:w="1083"/>
            <w:tcBorders>
              <w:top w:color="000000" w:sz="4" w:val="single"/>
              <w:left w:color="000000" w:sz="4" w:val="single"/>
              <w:bottom w:color="000000" w:sz="4" w:val="single"/>
              <w:right w:color="000000" w:sz="4" w:val="single"/>
            </w:tcBorders>
            <w:shd w:fill="FFFFFF" w:val="clear"/>
            <w:vAlign w:val="center"/>
          </w:tcPr>
          <w:p w14:paraId="43330000">
            <w:pPr>
              <w:widowControl w:val="1"/>
              <w:ind/>
              <w:jc w:val="center"/>
              <w:rPr>
                <w:sz w:val="18"/>
              </w:rPr>
            </w:pPr>
            <w:r>
              <w:rPr>
                <w:sz w:val="18"/>
              </w:rPr>
              <w:t>6600,00</w:t>
            </w:r>
          </w:p>
        </w:tc>
        <w:tc>
          <w:tcPr>
            <w:tcW w:type="dxa" w:w="771"/>
            <w:tcBorders>
              <w:top w:color="000000" w:sz="4" w:val="single"/>
              <w:left w:color="000000" w:sz="4" w:val="single"/>
              <w:bottom w:color="000000" w:sz="4" w:val="single"/>
              <w:right w:color="000000" w:sz="4" w:val="single"/>
            </w:tcBorders>
            <w:shd w:fill="FFFFFF" w:val="clear"/>
            <w:vAlign w:val="center"/>
          </w:tcPr>
          <w:p w14:paraId="4433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4533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46330000">
            <w:pPr>
              <w:widowControl w:val="1"/>
              <w:ind/>
              <w:jc w:val="center"/>
              <w:rPr>
                <w:sz w:val="18"/>
              </w:rPr>
            </w:pPr>
            <w:r>
              <w:rPr>
                <w:sz w:val="18"/>
              </w:rPr>
              <w:t>договор № 30 от 29.03.2018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47330000">
            <w:pPr>
              <w:widowControl w:val="1"/>
              <w:ind/>
              <w:jc w:val="center"/>
              <w:rPr>
                <w:color w:val="000000"/>
                <w:sz w:val="18"/>
              </w:rPr>
            </w:pPr>
            <w:r>
              <w:rPr>
                <w:color w:val="000000"/>
                <w:sz w:val="18"/>
              </w:rPr>
              <w:t>89</w:t>
            </w:r>
          </w:p>
        </w:tc>
        <w:tc>
          <w:tcPr>
            <w:tcW w:type="dxa" w:w="618"/>
            <w:tcBorders>
              <w:top w:color="000000" w:sz="4" w:val="single"/>
              <w:left w:color="000000" w:sz="4" w:val="single"/>
              <w:bottom w:color="000000" w:sz="4" w:val="single"/>
              <w:right w:color="000000" w:sz="4" w:val="single"/>
            </w:tcBorders>
            <w:shd w:fill="FFFFFF" w:val="clear"/>
            <w:vAlign w:val="center"/>
          </w:tcPr>
          <w:p w14:paraId="48330000">
            <w:pPr>
              <w:widowControl w:val="1"/>
              <w:ind/>
              <w:jc w:val="center"/>
              <w:rPr>
                <w:color w:val="000000"/>
                <w:sz w:val="18"/>
              </w:rPr>
            </w:pPr>
            <w:r>
              <w:rPr>
                <w:color w:val="000000"/>
                <w:sz w:val="18"/>
              </w:rPr>
              <w:t>6/2</w:t>
            </w:r>
          </w:p>
        </w:tc>
        <w:tc>
          <w:tcPr>
            <w:tcW w:type="dxa" w:w="993"/>
            <w:tcBorders>
              <w:top w:color="000000" w:sz="4" w:val="single"/>
              <w:left w:color="000000" w:sz="4" w:val="single"/>
              <w:bottom w:color="000000" w:sz="4" w:val="single"/>
              <w:right w:color="000000" w:sz="4" w:val="single"/>
            </w:tcBorders>
            <w:shd w:fill="FFFFFF" w:val="clear"/>
            <w:vAlign w:val="center"/>
          </w:tcPr>
          <w:p w14:paraId="49330000">
            <w:pPr>
              <w:widowControl w:val="1"/>
              <w:ind/>
              <w:jc w:val="center"/>
              <w:rPr>
                <w:sz w:val="18"/>
              </w:rPr>
            </w:pPr>
            <w:r>
              <w:rPr>
                <w:sz w:val="18"/>
              </w:rPr>
              <w:t>Оказание услуг страхования КАСКО Peugeot partner</w:t>
            </w:r>
          </w:p>
        </w:tc>
        <w:tc>
          <w:tcPr>
            <w:tcW w:type="dxa" w:w="849"/>
            <w:tcBorders>
              <w:top w:color="000000" w:sz="4" w:val="single"/>
              <w:left w:color="000000" w:sz="4" w:val="single"/>
              <w:bottom w:color="000000" w:sz="4" w:val="single"/>
              <w:right w:color="000000" w:sz="4" w:val="single"/>
            </w:tcBorders>
            <w:shd w:fill="FFFFFF" w:val="clear"/>
            <w:vAlign w:val="center"/>
          </w:tcPr>
          <w:p w14:paraId="4A33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4B33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4C330000">
            <w:pPr>
              <w:widowControl w:val="1"/>
              <w:ind/>
              <w:jc w:val="center"/>
              <w:rPr>
                <w:sz w:val="18"/>
              </w:rPr>
            </w:pPr>
            <w:r>
              <w:rPr>
                <w:sz w:val="18"/>
              </w:rPr>
              <w:t>45000,00</w:t>
            </w:r>
          </w:p>
        </w:tc>
        <w:tc>
          <w:tcPr>
            <w:tcW w:type="dxa" w:w="1134"/>
            <w:tcBorders>
              <w:top w:color="000000" w:sz="4" w:val="single"/>
              <w:left w:color="000000" w:sz="4" w:val="single"/>
              <w:bottom w:color="000000" w:sz="4" w:val="single"/>
              <w:right w:color="000000" w:sz="4" w:val="single"/>
            </w:tcBorders>
            <w:shd w:fill="FFFFFF" w:val="clear"/>
            <w:vAlign w:val="center"/>
          </w:tcPr>
          <w:p w14:paraId="4D330000">
            <w:pPr>
              <w:widowControl w:val="1"/>
              <w:ind/>
              <w:jc w:val="center"/>
              <w:rPr>
                <w:sz w:val="18"/>
              </w:rPr>
            </w:pPr>
            <w:r>
              <w:rPr>
                <w:sz w:val="18"/>
              </w:rPr>
              <w:t>45000,00</w:t>
            </w:r>
          </w:p>
        </w:tc>
        <w:tc>
          <w:tcPr>
            <w:tcW w:type="dxa" w:w="993"/>
            <w:tcBorders>
              <w:top w:color="000000" w:sz="4" w:val="single"/>
              <w:left w:color="000000" w:sz="4" w:val="single"/>
              <w:bottom w:color="000000" w:sz="4" w:val="single"/>
              <w:right w:color="000000" w:sz="4" w:val="single"/>
            </w:tcBorders>
            <w:shd w:fill="FFFFFF" w:val="clear"/>
            <w:vAlign w:val="center"/>
          </w:tcPr>
          <w:p w14:paraId="4E33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4F330000">
            <w:pPr>
              <w:widowControl w:val="1"/>
              <w:ind/>
              <w:jc w:val="center"/>
              <w:rPr>
                <w:sz w:val="18"/>
              </w:rPr>
            </w:pPr>
            <w:r>
              <w:rPr>
                <w:sz w:val="18"/>
              </w:rPr>
              <w:t>январь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5033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5133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5233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53330000">
            <w:pPr>
              <w:widowControl w:val="1"/>
              <w:ind/>
              <w:jc w:val="center"/>
              <w:rPr>
                <w:sz w:val="18"/>
              </w:rPr>
            </w:pPr>
            <w:r>
              <w:rPr>
                <w:sz w:val="18"/>
              </w:rPr>
              <w:t>43506,00</w:t>
            </w:r>
          </w:p>
        </w:tc>
        <w:tc>
          <w:tcPr>
            <w:tcW w:type="dxa" w:w="1185"/>
            <w:tcBorders>
              <w:top w:color="000000" w:sz="4" w:val="single"/>
              <w:left w:color="000000" w:sz="4" w:val="single"/>
              <w:bottom w:color="000000" w:sz="4" w:val="single"/>
              <w:right w:color="000000" w:sz="4" w:val="single"/>
            </w:tcBorders>
            <w:shd w:fill="FFFFFF" w:val="clear"/>
            <w:vAlign w:val="center"/>
          </w:tcPr>
          <w:p w14:paraId="54330000">
            <w:pPr>
              <w:widowControl w:val="1"/>
              <w:ind/>
              <w:jc w:val="center"/>
              <w:rPr>
                <w:sz w:val="18"/>
              </w:rPr>
            </w:pPr>
            <w:r>
              <w:rPr>
                <w:sz w:val="18"/>
              </w:rPr>
              <w:t>43506,00</w:t>
            </w:r>
          </w:p>
        </w:tc>
        <w:tc>
          <w:tcPr>
            <w:tcW w:type="dxa" w:w="1083"/>
            <w:tcBorders>
              <w:top w:color="000000" w:sz="4" w:val="single"/>
              <w:left w:color="000000" w:sz="4" w:val="single"/>
              <w:bottom w:color="000000" w:sz="4" w:val="single"/>
              <w:right w:color="000000" w:sz="4" w:val="single"/>
            </w:tcBorders>
            <w:shd w:fill="FFFFFF" w:val="clear"/>
            <w:vAlign w:val="center"/>
          </w:tcPr>
          <w:p w14:paraId="55330000">
            <w:pPr>
              <w:widowControl w:val="1"/>
              <w:ind/>
              <w:jc w:val="center"/>
              <w:rPr>
                <w:sz w:val="18"/>
              </w:rPr>
            </w:pPr>
            <w:r>
              <w:rPr>
                <w:sz w:val="18"/>
              </w:rPr>
              <w:t>43506,00</w:t>
            </w:r>
          </w:p>
        </w:tc>
        <w:tc>
          <w:tcPr>
            <w:tcW w:type="dxa" w:w="771"/>
            <w:tcBorders>
              <w:top w:color="000000" w:sz="4" w:val="single"/>
              <w:left w:color="000000" w:sz="4" w:val="single"/>
              <w:bottom w:color="000000" w:sz="4" w:val="single"/>
              <w:right w:color="000000" w:sz="4" w:val="single"/>
            </w:tcBorders>
            <w:shd w:fill="FFFFFF" w:val="clear"/>
            <w:vAlign w:val="center"/>
          </w:tcPr>
          <w:p w14:paraId="5633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7330000">
            <w:pPr>
              <w:widowControl w:val="1"/>
              <w:ind/>
              <w:jc w:val="center"/>
              <w:rPr>
                <w:sz w:val="18"/>
              </w:rPr>
            </w:pPr>
            <w:r>
              <w:rPr>
                <w:sz w:val="18"/>
              </w:rPr>
              <w:t>январь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58330000">
            <w:pPr>
              <w:widowControl w:val="1"/>
              <w:ind/>
              <w:jc w:val="center"/>
              <w:rPr>
                <w:sz w:val="18"/>
              </w:rPr>
            </w:pPr>
            <w:r>
              <w:rPr>
                <w:sz w:val="18"/>
              </w:rPr>
              <w:t>договор № 182630062 от 16.01.2018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59330000">
            <w:pPr>
              <w:widowControl w:val="1"/>
              <w:ind/>
              <w:jc w:val="center"/>
              <w:rPr>
                <w:color w:val="000000"/>
                <w:sz w:val="18"/>
              </w:rPr>
            </w:pPr>
            <w:r>
              <w:rPr>
                <w:color w:val="000000"/>
                <w:sz w:val="18"/>
              </w:rPr>
              <w:t>90</w:t>
            </w:r>
          </w:p>
        </w:tc>
        <w:tc>
          <w:tcPr>
            <w:tcW w:type="dxa" w:w="618"/>
            <w:tcBorders>
              <w:top w:color="000000" w:sz="4" w:val="single"/>
              <w:left w:color="000000" w:sz="4" w:val="single"/>
              <w:bottom w:color="000000" w:sz="4" w:val="single"/>
              <w:right w:color="000000" w:sz="4" w:val="single"/>
            </w:tcBorders>
            <w:shd w:fill="FFFFFF" w:val="clear"/>
            <w:vAlign w:val="center"/>
          </w:tcPr>
          <w:p w14:paraId="5A330000">
            <w:pPr>
              <w:widowControl w:val="1"/>
              <w:ind/>
              <w:jc w:val="center"/>
              <w:rPr>
                <w:color w:val="000000"/>
                <w:sz w:val="18"/>
              </w:rPr>
            </w:pPr>
            <w:r>
              <w:rPr>
                <w:color w:val="000000"/>
                <w:sz w:val="18"/>
              </w:rPr>
              <w:t>7/2</w:t>
            </w:r>
          </w:p>
        </w:tc>
        <w:tc>
          <w:tcPr>
            <w:tcW w:type="dxa" w:w="993"/>
            <w:tcBorders>
              <w:top w:color="000000" w:sz="4" w:val="single"/>
              <w:left w:color="000000" w:sz="4" w:val="single"/>
              <w:bottom w:color="000000" w:sz="4" w:val="single"/>
              <w:right w:color="000000" w:sz="4" w:val="single"/>
            </w:tcBorders>
            <w:shd w:fill="FFFFFF" w:val="clear"/>
            <w:vAlign w:val="center"/>
          </w:tcPr>
          <w:p w14:paraId="5B330000">
            <w:pPr>
              <w:widowControl w:val="1"/>
              <w:ind/>
              <w:jc w:val="center"/>
              <w:rPr>
                <w:sz w:val="18"/>
              </w:rPr>
            </w:pPr>
            <w:r>
              <w:rPr>
                <w:sz w:val="18"/>
              </w:rPr>
              <w:t>Оказание услуг страхования ОСАГО Peugeot partner</w:t>
            </w:r>
          </w:p>
        </w:tc>
        <w:tc>
          <w:tcPr>
            <w:tcW w:type="dxa" w:w="849"/>
            <w:tcBorders>
              <w:top w:color="000000" w:sz="4" w:val="single"/>
              <w:left w:color="000000" w:sz="4" w:val="single"/>
              <w:bottom w:color="000000" w:sz="4" w:val="single"/>
              <w:right w:color="000000" w:sz="4" w:val="single"/>
            </w:tcBorders>
            <w:shd w:fill="FFFFFF" w:val="clear"/>
            <w:vAlign w:val="center"/>
          </w:tcPr>
          <w:p w14:paraId="5C33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5D33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5E330000">
            <w:pPr>
              <w:widowControl w:val="1"/>
              <w:ind/>
              <w:jc w:val="center"/>
              <w:rPr>
                <w:sz w:val="18"/>
              </w:rPr>
            </w:pPr>
            <w:r>
              <w:rPr>
                <w:sz w:val="18"/>
              </w:rPr>
              <w:t>7800,00</w:t>
            </w:r>
          </w:p>
        </w:tc>
        <w:tc>
          <w:tcPr>
            <w:tcW w:type="dxa" w:w="1134"/>
            <w:tcBorders>
              <w:top w:color="000000" w:sz="4" w:val="single"/>
              <w:left w:color="000000" w:sz="4" w:val="single"/>
              <w:bottom w:color="000000" w:sz="4" w:val="single"/>
              <w:right w:color="000000" w:sz="4" w:val="single"/>
            </w:tcBorders>
            <w:shd w:fill="FFFFFF" w:val="clear"/>
            <w:vAlign w:val="center"/>
          </w:tcPr>
          <w:p w14:paraId="5F330000">
            <w:pPr>
              <w:widowControl w:val="1"/>
              <w:ind/>
              <w:jc w:val="center"/>
              <w:rPr>
                <w:sz w:val="18"/>
              </w:rPr>
            </w:pPr>
            <w:r>
              <w:rPr>
                <w:sz w:val="18"/>
              </w:rPr>
              <w:t>7800,00</w:t>
            </w:r>
          </w:p>
        </w:tc>
        <w:tc>
          <w:tcPr>
            <w:tcW w:type="dxa" w:w="993"/>
            <w:tcBorders>
              <w:top w:color="000000" w:sz="4" w:val="single"/>
              <w:left w:color="000000" w:sz="4" w:val="single"/>
              <w:bottom w:color="000000" w:sz="4" w:val="single"/>
              <w:right w:color="000000" w:sz="4" w:val="single"/>
            </w:tcBorders>
            <w:shd w:fill="FFFFFF" w:val="clear"/>
            <w:vAlign w:val="center"/>
          </w:tcPr>
          <w:p w14:paraId="6033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61330000">
            <w:pPr>
              <w:widowControl w:val="1"/>
              <w:ind/>
              <w:jc w:val="center"/>
              <w:rPr>
                <w:sz w:val="18"/>
              </w:rPr>
            </w:pPr>
            <w:r>
              <w:rPr>
                <w:sz w:val="18"/>
              </w:rPr>
              <w:t>январь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6233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6333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6433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65330000">
            <w:pPr>
              <w:widowControl w:val="1"/>
              <w:ind/>
              <w:jc w:val="center"/>
              <w:rPr>
                <w:sz w:val="18"/>
              </w:rPr>
            </w:pPr>
            <w:r>
              <w:rPr>
                <w:sz w:val="18"/>
              </w:rPr>
              <w:t>7002,68</w:t>
            </w:r>
          </w:p>
        </w:tc>
        <w:tc>
          <w:tcPr>
            <w:tcW w:type="dxa" w:w="1185"/>
            <w:tcBorders>
              <w:top w:color="000000" w:sz="4" w:val="single"/>
              <w:left w:color="000000" w:sz="4" w:val="single"/>
              <w:bottom w:color="000000" w:sz="4" w:val="single"/>
              <w:right w:color="000000" w:sz="4" w:val="single"/>
            </w:tcBorders>
            <w:shd w:fill="FFFFFF" w:val="clear"/>
            <w:vAlign w:val="center"/>
          </w:tcPr>
          <w:p w14:paraId="66330000">
            <w:pPr>
              <w:widowControl w:val="1"/>
              <w:ind/>
              <w:jc w:val="center"/>
              <w:rPr>
                <w:sz w:val="18"/>
              </w:rPr>
            </w:pPr>
            <w:r>
              <w:rPr>
                <w:sz w:val="18"/>
              </w:rPr>
              <w:t>7002,68</w:t>
            </w:r>
          </w:p>
        </w:tc>
        <w:tc>
          <w:tcPr>
            <w:tcW w:type="dxa" w:w="1083"/>
            <w:tcBorders>
              <w:top w:color="000000" w:sz="4" w:val="single"/>
              <w:left w:color="000000" w:sz="4" w:val="single"/>
              <w:bottom w:color="000000" w:sz="4" w:val="single"/>
              <w:right w:color="000000" w:sz="4" w:val="single"/>
            </w:tcBorders>
            <w:shd w:fill="FFFFFF" w:val="clear"/>
            <w:vAlign w:val="center"/>
          </w:tcPr>
          <w:p w14:paraId="67330000">
            <w:pPr>
              <w:widowControl w:val="1"/>
              <w:ind/>
              <w:jc w:val="center"/>
              <w:rPr>
                <w:sz w:val="18"/>
              </w:rPr>
            </w:pPr>
            <w:r>
              <w:rPr>
                <w:sz w:val="18"/>
              </w:rPr>
              <w:t>7002,68</w:t>
            </w:r>
          </w:p>
        </w:tc>
        <w:tc>
          <w:tcPr>
            <w:tcW w:type="dxa" w:w="771"/>
            <w:tcBorders>
              <w:top w:color="000000" w:sz="4" w:val="single"/>
              <w:left w:color="000000" w:sz="4" w:val="single"/>
              <w:bottom w:color="000000" w:sz="4" w:val="single"/>
              <w:right w:color="000000" w:sz="4" w:val="single"/>
            </w:tcBorders>
            <w:shd w:fill="FFFFFF" w:val="clear"/>
            <w:vAlign w:val="center"/>
          </w:tcPr>
          <w:p w14:paraId="6833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69330000">
            <w:pPr>
              <w:widowControl w:val="1"/>
              <w:ind/>
              <w:jc w:val="center"/>
              <w:rPr>
                <w:sz w:val="18"/>
              </w:rPr>
            </w:pPr>
            <w:r>
              <w:rPr>
                <w:sz w:val="18"/>
              </w:rPr>
              <w:t>январь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6A330000">
            <w:pPr>
              <w:widowControl w:val="1"/>
              <w:ind/>
              <w:jc w:val="center"/>
              <w:rPr>
                <w:sz w:val="18"/>
              </w:rPr>
            </w:pPr>
            <w:r>
              <w:rPr>
                <w:sz w:val="18"/>
              </w:rPr>
              <w:t>договор № 184220041 от 12.01.2018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6B330000">
            <w:pPr>
              <w:widowControl w:val="1"/>
              <w:ind/>
              <w:jc w:val="center"/>
              <w:rPr>
                <w:color w:val="000000"/>
                <w:sz w:val="18"/>
              </w:rPr>
            </w:pPr>
            <w:r>
              <w:rPr>
                <w:color w:val="000000"/>
                <w:sz w:val="18"/>
              </w:rPr>
              <w:t>91</w:t>
            </w:r>
          </w:p>
        </w:tc>
        <w:tc>
          <w:tcPr>
            <w:tcW w:type="dxa" w:w="618"/>
            <w:tcBorders>
              <w:top w:color="000000" w:sz="4" w:val="single"/>
              <w:left w:color="000000" w:sz="4" w:val="single"/>
              <w:bottom w:color="000000" w:sz="4" w:val="single"/>
              <w:right w:color="000000" w:sz="4" w:val="single"/>
            </w:tcBorders>
            <w:shd w:fill="FFFFFF" w:val="clear"/>
            <w:vAlign w:val="center"/>
          </w:tcPr>
          <w:p w14:paraId="6C330000">
            <w:pPr>
              <w:widowControl w:val="1"/>
              <w:ind/>
              <w:jc w:val="center"/>
              <w:rPr>
                <w:sz w:val="18"/>
              </w:rPr>
            </w:pPr>
            <w:r>
              <w:rPr>
                <w:sz w:val="18"/>
              </w:rPr>
              <w:t>8/2</w:t>
            </w:r>
          </w:p>
        </w:tc>
        <w:tc>
          <w:tcPr>
            <w:tcW w:type="dxa" w:w="993"/>
            <w:tcBorders>
              <w:top w:color="000000" w:sz="4" w:val="single"/>
              <w:left w:color="000000" w:sz="4" w:val="single"/>
              <w:bottom w:color="000000" w:sz="4" w:val="single"/>
              <w:right w:color="000000" w:sz="4" w:val="single"/>
            </w:tcBorders>
            <w:shd w:fill="FFFFFF" w:val="clear"/>
            <w:vAlign w:val="center"/>
          </w:tcPr>
          <w:p w14:paraId="6D330000">
            <w:pPr>
              <w:widowControl w:val="1"/>
              <w:ind/>
              <w:jc w:val="center"/>
              <w:rPr>
                <w:sz w:val="18"/>
              </w:rPr>
            </w:pPr>
            <w:r>
              <w:rPr>
                <w:sz w:val="18"/>
              </w:rPr>
              <w:t>Оказание услуг связи</w:t>
            </w:r>
          </w:p>
        </w:tc>
        <w:tc>
          <w:tcPr>
            <w:tcW w:type="dxa" w:w="849"/>
            <w:tcBorders>
              <w:top w:color="000000" w:sz="4" w:val="single"/>
              <w:left w:color="000000" w:sz="4" w:val="single"/>
              <w:bottom w:color="000000" w:sz="4" w:val="single"/>
              <w:right w:color="000000" w:sz="4" w:val="single"/>
            </w:tcBorders>
            <w:shd w:fill="FFFFFF" w:val="clear"/>
            <w:vAlign w:val="center"/>
          </w:tcPr>
          <w:p w14:paraId="6E33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6F33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70330000">
            <w:pPr>
              <w:widowControl w:val="1"/>
              <w:ind/>
              <w:jc w:val="center"/>
              <w:rPr>
                <w:sz w:val="18"/>
              </w:rPr>
            </w:pPr>
            <w:r>
              <w:rPr>
                <w:sz w:val="18"/>
              </w:rPr>
              <w:t>70755,08</w:t>
            </w:r>
          </w:p>
        </w:tc>
        <w:tc>
          <w:tcPr>
            <w:tcW w:type="dxa" w:w="1134"/>
            <w:tcBorders>
              <w:top w:color="000000" w:sz="4" w:val="single"/>
              <w:left w:color="000000" w:sz="4" w:val="single"/>
              <w:bottom w:color="000000" w:sz="4" w:val="single"/>
              <w:right w:color="000000" w:sz="4" w:val="single"/>
            </w:tcBorders>
            <w:shd w:fill="FFFFFF" w:val="clear"/>
            <w:vAlign w:val="center"/>
          </w:tcPr>
          <w:p w14:paraId="71330000">
            <w:pPr>
              <w:widowControl w:val="1"/>
              <w:ind/>
              <w:jc w:val="center"/>
              <w:rPr>
                <w:sz w:val="18"/>
              </w:rPr>
            </w:pPr>
            <w:r>
              <w:rPr>
                <w:sz w:val="18"/>
              </w:rPr>
              <w:t>83491,00</w:t>
            </w:r>
          </w:p>
        </w:tc>
        <w:tc>
          <w:tcPr>
            <w:tcW w:type="dxa" w:w="993"/>
            <w:tcBorders>
              <w:top w:color="000000" w:sz="4" w:val="single"/>
              <w:left w:color="000000" w:sz="4" w:val="single"/>
              <w:bottom w:color="000000" w:sz="4" w:val="single"/>
              <w:right w:color="000000" w:sz="4" w:val="single"/>
            </w:tcBorders>
            <w:shd w:fill="FFFFFF" w:val="clear"/>
            <w:vAlign w:val="center"/>
          </w:tcPr>
          <w:p w14:paraId="7233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7333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7433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7533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7633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77330000">
            <w:pPr>
              <w:widowControl w:val="1"/>
              <w:ind/>
              <w:jc w:val="center"/>
              <w:rPr>
                <w:sz w:val="18"/>
              </w:rPr>
            </w:pPr>
            <w:r>
              <w:rPr>
                <w:sz w:val="18"/>
              </w:rPr>
              <w:t>70980,00</w:t>
            </w:r>
          </w:p>
        </w:tc>
        <w:tc>
          <w:tcPr>
            <w:tcW w:type="dxa" w:w="1185"/>
            <w:tcBorders>
              <w:top w:color="000000" w:sz="4" w:val="single"/>
              <w:left w:color="000000" w:sz="4" w:val="single"/>
              <w:bottom w:color="000000" w:sz="4" w:val="single"/>
              <w:right w:color="000000" w:sz="4" w:val="single"/>
            </w:tcBorders>
            <w:shd w:fill="FFFFFF" w:val="clear"/>
            <w:vAlign w:val="center"/>
          </w:tcPr>
          <w:p w14:paraId="78330000">
            <w:pPr>
              <w:widowControl w:val="1"/>
              <w:ind/>
              <w:jc w:val="center"/>
              <w:rPr>
                <w:sz w:val="18"/>
              </w:rPr>
            </w:pPr>
            <w:r>
              <w:rPr>
                <w:sz w:val="18"/>
              </w:rPr>
              <w:t>86280,00</w:t>
            </w:r>
          </w:p>
        </w:tc>
        <w:tc>
          <w:tcPr>
            <w:tcW w:type="dxa" w:w="1083"/>
            <w:tcBorders>
              <w:top w:color="000000" w:sz="4" w:val="single"/>
              <w:left w:color="000000" w:sz="4" w:val="single"/>
              <w:bottom w:color="000000" w:sz="4" w:val="single"/>
              <w:right w:color="000000" w:sz="4" w:val="single"/>
            </w:tcBorders>
            <w:shd w:fill="FFFFFF" w:val="clear"/>
            <w:vAlign w:val="center"/>
          </w:tcPr>
          <w:p w14:paraId="79330000">
            <w:pPr>
              <w:widowControl w:val="1"/>
              <w:ind/>
              <w:jc w:val="center"/>
              <w:rPr>
                <w:sz w:val="18"/>
              </w:rPr>
            </w:pPr>
            <w:r>
              <w:rPr>
                <w:sz w:val="18"/>
              </w:rPr>
              <w:t>86280,00</w:t>
            </w:r>
          </w:p>
        </w:tc>
        <w:tc>
          <w:tcPr>
            <w:tcW w:type="dxa" w:w="771"/>
            <w:tcBorders>
              <w:top w:color="000000" w:sz="4" w:val="single"/>
              <w:left w:color="000000" w:sz="4" w:val="single"/>
              <w:bottom w:color="000000" w:sz="4" w:val="single"/>
              <w:right w:color="000000" w:sz="4" w:val="single"/>
            </w:tcBorders>
            <w:shd w:fill="FFFFFF" w:val="clear"/>
            <w:vAlign w:val="center"/>
          </w:tcPr>
          <w:p w14:paraId="7A33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7B33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7C330000">
            <w:pPr>
              <w:widowControl w:val="1"/>
              <w:ind/>
              <w:jc w:val="center"/>
              <w:rPr>
                <w:sz w:val="18"/>
              </w:rPr>
            </w:pPr>
            <w:r>
              <w:rPr>
                <w:sz w:val="18"/>
              </w:rPr>
              <w:t>договор № 9 от 29.01.2018</w:t>
            </w:r>
          </w:p>
        </w:tc>
      </w:tr>
      <w:tr>
        <w:trPr>
          <w:trHeight w:hRule="atLeast" w:val="1785"/>
        </w:trPr>
        <w:tc>
          <w:tcPr>
            <w:tcW w:type="dxa" w:w="708"/>
            <w:tcBorders>
              <w:top w:color="000000" w:sz="4" w:val="single"/>
              <w:left w:color="000000" w:sz="4" w:val="single"/>
              <w:bottom w:color="000000" w:sz="4" w:val="single"/>
              <w:right w:color="000000" w:sz="4" w:val="single"/>
            </w:tcBorders>
            <w:shd w:fill="auto" w:val="clear"/>
            <w:vAlign w:val="center"/>
          </w:tcPr>
          <w:p w14:paraId="7D330000">
            <w:pPr>
              <w:widowControl w:val="1"/>
              <w:ind/>
              <w:jc w:val="center"/>
              <w:rPr>
                <w:color w:val="000000"/>
                <w:sz w:val="18"/>
              </w:rPr>
            </w:pPr>
            <w:r>
              <w:rPr>
                <w:color w:val="000000"/>
                <w:sz w:val="18"/>
              </w:rPr>
              <w:t>92</w:t>
            </w:r>
          </w:p>
        </w:tc>
        <w:tc>
          <w:tcPr>
            <w:tcW w:type="dxa" w:w="618"/>
            <w:tcBorders>
              <w:top w:color="000000" w:sz="4" w:val="single"/>
              <w:left w:color="000000" w:sz="4" w:val="single"/>
              <w:bottom w:color="000000" w:sz="4" w:val="single"/>
              <w:right w:color="000000" w:sz="4" w:val="single"/>
            </w:tcBorders>
            <w:shd w:fill="FFFFFF" w:val="clear"/>
            <w:vAlign w:val="center"/>
          </w:tcPr>
          <w:p w14:paraId="7E330000">
            <w:pPr>
              <w:widowControl w:val="1"/>
              <w:ind/>
              <w:jc w:val="center"/>
              <w:rPr>
                <w:sz w:val="18"/>
              </w:rPr>
            </w:pPr>
            <w:r>
              <w:rPr>
                <w:sz w:val="18"/>
              </w:rPr>
              <w:t>9/2</w:t>
            </w:r>
          </w:p>
        </w:tc>
        <w:tc>
          <w:tcPr>
            <w:tcW w:type="dxa" w:w="993"/>
            <w:tcBorders>
              <w:top w:color="000000" w:sz="4" w:val="single"/>
              <w:left w:color="000000" w:sz="4" w:val="single"/>
              <w:bottom w:color="000000" w:sz="4" w:val="single"/>
              <w:right w:color="000000" w:sz="4" w:val="single"/>
            </w:tcBorders>
            <w:shd w:fill="FFFFFF" w:val="clear"/>
            <w:vAlign w:val="center"/>
          </w:tcPr>
          <w:p w14:paraId="7F330000">
            <w:pPr>
              <w:widowControl w:val="1"/>
              <w:ind/>
              <w:jc w:val="center"/>
              <w:rPr>
                <w:sz w:val="18"/>
              </w:rPr>
            </w:pPr>
            <w:r>
              <w:rPr>
                <w:sz w:val="18"/>
              </w:rPr>
              <w:t>Оказание коммунальных услуг (холодное водоснабжение, водоотведение)</w:t>
            </w:r>
          </w:p>
        </w:tc>
        <w:tc>
          <w:tcPr>
            <w:tcW w:type="dxa" w:w="849"/>
            <w:tcBorders>
              <w:top w:color="000000" w:sz="4" w:val="single"/>
              <w:left w:color="000000" w:sz="4" w:val="single"/>
              <w:bottom w:color="000000" w:sz="4" w:val="single"/>
              <w:right w:color="000000" w:sz="4" w:val="single"/>
            </w:tcBorders>
            <w:shd w:fill="FFFFFF" w:val="clear"/>
            <w:vAlign w:val="center"/>
          </w:tcPr>
          <w:p w14:paraId="8033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8133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82330000">
            <w:pPr>
              <w:widowControl w:val="1"/>
              <w:ind/>
              <w:jc w:val="center"/>
              <w:rPr>
                <w:sz w:val="18"/>
              </w:rPr>
            </w:pPr>
            <w:r>
              <w:rPr>
                <w:sz w:val="18"/>
              </w:rPr>
              <w:t>1148,30</w:t>
            </w:r>
          </w:p>
        </w:tc>
        <w:tc>
          <w:tcPr>
            <w:tcW w:type="dxa" w:w="1134"/>
            <w:tcBorders>
              <w:top w:color="000000" w:sz="4" w:val="single"/>
              <w:left w:color="000000" w:sz="4" w:val="single"/>
              <w:bottom w:color="000000" w:sz="4" w:val="single"/>
              <w:right w:color="000000" w:sz="4" w:val="single"/>
            </w:tcBorders>
            <w:shd w:fill="FFFFFF" w:val="clear"/>
            <w:vAlign w:val="center"/>
          </w:tcPr>
          <w:p w14:paraId="83330000">
            <w:pPr>
              <w:widowControl w:val="1"/>
              <w:ind/>
              <w:jc w:val="center"/>
              <w:rPr>
                <w:sz w:val="18"/>
              </w:rPr>
            </w:pPr>
            <w:r>
              <w:rPr>
                <w:sz w:val="18"/>
              </w:rPr>
              <w:t>1355,00</w:t>
            </w:r>
          </w:p>
        </w:tc>
        <w:tc>
          <w:tcPr>
            <w:tcW w:type="dxa" w:w="993"/>
            <w:tcBorders>
              <w:top w:color="000000" w:sz="4" w:val="single"/>
              <w:left w:color="000000" w:sz="4" w:val="single"/>
              <w:bottom w:color="000000" w:sz="4" w:val="single"/>
              <w:right w:color="000000" w:sz="4" w:val="single"/>
            </w:tcBorders>
            <w:shd w:fill="FFFFFF" w:val="clear"/>
            <w:vAlign w:val="center"/>
          </w:tcPr>
          <w:p w14:paraId="8433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8533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8633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8733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8833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89330000">
            <w:pPr>
              <w:widowControl w:val="1"/>
              <w:ind/>
              <w:jc w:val="center"/>
              <w:rPr>
                <w:sz w:val="18"/>
              </w:rPr>
            </w:pPr>
            <w:r>
              <w:rPr>
                <w:sz w:val="18"/>
              </w:rPr>
              <w:t>1130,50</w:t>
            </w:r>
          </w:p>
        </w:tc>
        <w:tc>
          <w:tcPr>
            <w:tcW w:type="dxa" w:w="1185"/>
            <w:tcBorders>
              <w:top w:color="000000" w:sz="4" w:val="single"/>
              <w:left w:color="000000" w:sz="4" w:val="single"/>
              <w:bottom w:color="000000" w:sz="4" w:val="single"/>
              <w:right w:color="000000" w:sz="4" w:val="single"/>
            </w:tcBorders>
            <w:shd w:fill="FFFFFF" w:val="clear"/>
            <w:vAlign w:val="center"/>
          </w:tcPr>
          <w:p w14:paraId="8A330000">
            <w:pPr>
              <w:widowControl w:val="1"/>
              <w:ind/>
              <w:jc w:val="center"/>
              <w:rPr>
                <w:sz w:val="18"/>
              </w:rPr>
            </w:pPr>
            <w:r>
              <w:rPr>
                <w:sz w:val="18"/>
              </w:rPr>
              <w:t>1333,94</w:t>
            </w:r>
          </w:p>
        </w:tc>
        <w:tc>
          <w:tcPr>
            <w:tcW w:type="dxa" w:w="1083"/>
            <w:tcBorders>
              <w:top w:color="000000" w:sz="4" w:val="single"/>
              <w:left w:color="000000" w:sz="4" w:val="single"/>
              <w:bottom w:color="000000" w:sz="4" w:val="single"/>
              <w:right w:color="000000" w:sz="4" w:val="single"/>
            </w:tcBorders>
            <w:shd w:fill="FFFFFF" w:val="clear"/>
            <w:vAlign w:val="center"/>
          </w:tcPr>
          <w:p w14:paraId="8B330000">
            <w:pPr>
              <w:widowControl w:val="1"/>
              <w:ind/>
              <w:jc w:val="center"/>
              <w:rPr>
                <w:sz w:val="18"/>
              </w:rPr>
            </w:pPr>
            <w:r>
              <w:rPr>
                <w:sz w:val="18"/>
              </w:rPr>
              <w:t>1333,94</w:t>
            </w:r>
          </w:p>
        </w:tc>
        <w:tc>
          <w:tcPr>
            <w:tcW w:type="dxa" w:w="771"/>
            <w:tcBorders>
              <w:top w:color="000000" w:sz="4" w:val="single"/>
              <w:left w:color="000000" w:sz="4" w:val="single"/>
              <w:bottom w:color="000000" w:sz="4" w:val="single"/>
              <w:right w:color="000000" w:sz="4" w:val="single"/>
            </w:tcBorders>
            <w:shd w:fill="FFFFFF" w:val="clear"/>
            <w:vAlign w:val="center"/>
          </w:tcPr>
          <w:p w14:paraId="8C33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8D33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8E330000">
            <w:pPr>
              <w:widowControl w:val="1"/>
              <w:ind/>
              <w:jc w:val="center"/>
              <w:rPr>
                <w:sz w:val="18"/>
              </w:rPr>
            </w:pPr>
            <w:r>
              <w:rPr>
                <w:sz w:val="18"/>
              </w:rPr>
              <w:t>договор № 2368-МКД/н от 16.03.2018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8F330000">
            <w:pPr>
              <w:widowControl w:val="1"/>
              <w:ind/>
              <w:jc w:val="center"/>
              <w:rPr>
                <w:color w:val="000000"/>
                <w:sz w:val="18"/>
              </w:rPr>
            </w:pPr>
            <w:r>
              <w:rPr>
                <w:color w:val="000000"/>
                <w:sz w:val="18"/>
              </w:rPr>
              <w:t>93</w:t>
            </w:r>
          </w:p>
        </w:tc>
        <w:tc>
          <w:tcPr>
            <w:tcW w:type="dxa" w:w="618"/>
            <w:tcBorders>
              <w:top w:color="000000" w:sz="4" w:val="single"/>
              <w:left w:color="000000" w:sz="4" w:val="single"/>
              <w:bottom w:color="000000" w:sz="4" w:val="single"/>
              <w:right w:color="000000" w:sz="4" w:val="single"/>
            </w:tcBorders>
            <w:shd w:fill="FFFFFF" w:val="clear"/>
            <w:vAlign w:val="center"/>
          </w:tcPr>
          <w:p w14:paraId="90330000">
            <w:pPr>
              <w:widowControl w:val="1"/>
              <w:ind/>
              <w:jc w:val="center"/>
              <w:rPr>
                <w:sz w:val="18"/>
              </w:rPr>
            </w:pPr>
            <w:r>
              <w:rPr>
                <w:sz w:val="18"/>
              </w:rPr>
              <w:t>10/2</w:t>
            </w:r>
          </w:p>
        </w:tc>
        <w:tc>
          <w:tcPr>
            <w:tcW w:type="dxa" w:w="993"/>
            <w:tcBorders>
              <w:top w:color="000000" w:sz="4" w:val="single"/>
              <w:left w:color="000000" w:sz="4" w:val="single"/>
              <w:bottom w:color="000000" w:sz="4" w:val="single"/>
              <w:right w:color="000000" w:sz="4" w:val="single"/>
            </w:tcBorders>
            <w:shd w:fill="FFFFFF" w:val="clear"/>
            <w:vAlign w:val="center"/>
          </w:tcPr>
          <w:p w14:paraId="91330000">
            <w:pPr>
              <w:widowControl w:val="1"/>
              <w:ind/>
              <w:jc w:val="center"/>
              <w:rPr>
                <w:sz w:val="18"/>
              </w:rPr>
            </w:pPr>
            <w:r>
              <w:rPr>
                <w:sz w:val="18"/>
              </w:rPr>
              <w:t>Оказание услуг оператора электронного документооборота</w:t>
            </w:r>
          </w:p>
        </w:tc>
        <w:tc>
          <w:tcPr>
            <w:tcW w:type="dxa" w:w="849"/>
            <w:tcBorders>
              <w:top w:color="000000" w:sz="4" w:val="single"/>
              <w:left w:color="000000" w:sz="4" w:val="single"/>
              <w:bottom w:color="000000" w:sz="4" w:val="single"/>
              <w:right w:color="000000" w:sz="4" w:val="single"/>
            </w:tcBorders>
            <w:shd w:fill="FFFFFF" w:val="clear"/>
            <w:vAlign w:val="center"/>
          </w:tcPr>
          <w:p w14:paraId="9233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9333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94330000">
            <w:pPr>
              <w:widowControl w:val="1"/>
              <w:ind/>
              <w:jc w:val="center"/>
              <w:rPr>
                <w:sz w:val="18"/>
              </w:rPr>
            </w:pPr>
            <w:r>
              <w:rPr>
                <w:sz w:val="18"/>
              </w:rPr>
              <w:t>13260,00</w:t>
            </w:r>
          </w:p>
        </w:tc>
        <w:tc>
          <w:tcPr>
            <w:tcW w:type="dxa" w:w="1134"/>
            <w:tcBorders>
              <w:top w:color="000000" w:sz="4" w:val="single"/>
              <w:left w:color="000000" w:sz="4" w:val="single"/>
              <w:bottom w:color="000000" w:sz="4" w:val="single"/>
              <w:right w:color="000000" w:sz="4" w:val="single"/>
            </w:tcBorders>
            <w:shd w:fill="FFFFFF" w:val="clear"/>
            <w:vAlign w:val="center"/>
          </w:tcPr>
          <w:p w14:paraId="95330000">
            <w:pPr>
              <w:widowControl w:val="1"/>
              <w:ind/>
              <w:jc w:val="center"/>
              <w:rPr>
                <w:sz w:val="18"/>
              </w:rPr>
            </w:pPr>
            <w:r>
              <w:rPr>
                <w:sz w:val="18"/>
              </w:rPr>
              <w:t>13260,00</w:t>
            </w:r>
          </w:p>
        </w:tc>
        <w:tc>
          <w:tcPr>
            <w:tcW w:type="dxa" w:w="993"/>
            <w:tcBorders>
              <w:top w:color="000000" w:sz="4" w:val="single"/>
              <w:left w:color="000000" w:sz="4" w:val="single"/>
              <w:bottom w:color="000000" w:sz="4" w:val="single"/>
              <w:right w:color="000000" w:sz="4" w:val="single"/>
            </w:tcBorders>
            <w:shd w:fill="FFFFFF" w:val="clear"/>
            <w:vAlign w:val="center"/>
          </w:tcPr>
          <w:p w14:paraId="9633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7330000">
            <w:pPr>
              <w:widowControl w:val="1"/>
              <w:ind/>
              <w:jc w:val="center"/>
              <w:rPr>
                <w:sz w:val="18"/>
              </w:rPr>
            </w:pPr>
            <w:r>
              <w:rPr>
                <w:sz w:val="18"/>
              </w:rPr>
              <w:t>февраль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9833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9933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9A33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9B330000">
            <w:pPr>
              <w:widowControl w:val="1"/>
              <w:ind/>
              <w:jc w:val="center"/>
              <w:rPr>
                <w:sz w:val="18"/>
              </w:rPr>
            </w:pPr>
            <w:r>
              <w:rPr>
                <w:sz w:val="18"/>
              </w:rPr>
              <w:t>12113,22</w:t>
            </w:r>
          </w:p>
        </w:tc>
        <w:tc>
          <w:tcPr>
            <w:tcW w:type="dxa" w:w="1185"/>
            <w:tcBorders>
              <w:top w:color="000000" w:sz="4" w:val="single"/>
              <w:left w:color="000000" w:sz="4" w:val="single"/>
              <w:bottom w:color="000000" w:sz="4" w:val="single"/>
              <w:right w:color="000000" w:sz="4" w:val="single"/>
            </w:tcBorders>
            <w:shd w:fill="FFFFFF" w:val="clear"/>
            <w:vAlign w:val="center"/>
          </w:tcPr>
          <w:p w14:paraId="9C330000">
            <w:pPr>
              <w:widowControl w:val="1"/>
              <w:ind/>
              <w:jc w:val="center"/>
              <w:rPr>
                <w:sz w:val="18"/>
              </w:rPr>
            </w:pPr>
            <w:r>
              <w:rPr>
                <w:sz w:val="18"/>
              </w:rPr>
              <w:t>12400,00</w:t>
            </w:r>
          </w:p>
        </w:tc>
        <w:tc>
          <w:tcPr>
            <w:tcW w:type="dxa" w:w="1083"/>
            <w:tcBorders>
              <w:top w:color="000000" w:sz="4" w:val="single"/>
              <w:left w:color="000000" w:sz="4" w:val="single"/>
              <w:bottom w:color="000000" w:sz="4" w:val="single"/>
              <w:right w:color="000000" w:sz="4" w:val="single"/>
            </w:tcBorders>
            <w:shd w:fill="FFFFFF" w:val="clear"/>
            <w:vAlign w:val="center"/>
          </w:tcPr>
          <w:p w14:paraId="9D330000">
            <w:pPr>
              <w:widowControl w:val="1"/>
              <w:ind/>
              <w:jc w:val="center"/>
              <w:rPr>
                <w:sz w:val="18"/>
              </w:rPr>
            </w:pPr>
            <w:r>
              <w:rPr>
                <w:sz w:val="18"/>
              </w:rPr>
              <w:t>12400,00</w:t>
            </w:r>
          </w:p>
        </w:tc>
        <w:tc>
          <w:tcPr>
            <w:tcW w:type="dxa" w:w="771"/>
            <w:tcBorders>
              <w:top w:color="000000" w:sz="4" w:val="single"/>
              <w:left w:color="000000" w:sz="4" w:val="single"/>
              <w:bottom w:color="000000" w:sz="4" w:val="single"/>
              <w:right w:color="000000" w:sz="4" w:val="single"/>
            </w:tcBorders>
            <w:shd w:fill="FFFFFF" w:val="clear"/>
            <w:vAlign w:val="center"/>
          </w:tcPr>
          <w:p w14:paraId="9E33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9F330000">
            <w:pPr>
              <w:widowControl w:val="1"/>
              <w:ind/>
              <w:jc w:val="center"/>
              <w:rPr>
                <w:sz w:val="18"/>
              </w:rPr>
            </w:pPr>
            <w:r>
              <w:rPr>
                <w:sz w:val="18"/>
              </w:rPr>
              <w:t>февраль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A0330000">
            <w:pPr>
              <w:widowControl w:val="1"/>
              <w:ind/>
              <w:jc w:val="center"/>
              <w:rPr>
                <w:sz w:val="18"/>
              </w:rPr>
            </w:pPr>
            <w:r>
              <w:rPr>
                <w:sz w:val="18"/>
              </w:rPr>
              <w:t>договор № 14790321/18 от 27.02.2018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A1330000">
            <w:pPr>
              <w:widowControl w:val="1"/>
              <w:ind/>
              <w:jc w:val="center"/>
              <w:rPr>
                <w:color w:val="000000"/>
                <w:sz w:val="18"/>
              </w:rPr>
            </w:pPr>
            <w:r>
              <w:rPr>
                <w:color w:val="000000"/>
                <w:sz w:val="18"/>
              </w:rPr>
              <w:t>94</w:t>
            </w:r>
          </w:p>
        </w:tc>
        <w:tc>
          <w:tcPr>
            <w:tcW w:type="dxa" w:w="618"/>
            <w:tcBorders>
              <w:top w:color="000000" w:sz="4" w:val="single"/>
              <w:left w:color="000000" w:sz="4" w:val="single"/>
              <w:bottom w:color="000000" w:sz="4" w:val="single"/>
              <w:right w:color="000000" w:sz="4" w:val="single"/>
            </w:tcBorders>
            <w:shd w:fill="FFFFFF" w:val="clear"/>
            <w:vAlign w:val="center"/>
          </w:tcPr>
          <w:p w14:paraId="A2330000">
            <w:pPr>
              <w:widowControl w:val="1"/>
              <w:ind/>
              <w:jc w:val="center"/>
              <w:rPr>
                <w:sz w:val="18"/>
              </w:rPr>
            </w:pPr>
            <w:r>
              <w:rPr>
                <w:sz w:val="18"/>
              </w:rPr>
              <w:t>11/2</w:t>
            </w:r>
          </w:p>
        </w:tc>
        <w:tc>
          <w:tcPr>
            <w:tcW w:type="dxa" w:w="993"/>
            <w:tcBorders>
              <w:top w:color="000000" w:sz="4" w:val="single"/>
              <w:left w:color="000000" w:sz="4" w:val="single"/>
              <w:bottom w:color="000000" w:sz="4" w:val="single"/>
              <w:right w:color="000000" w:sz="4" w:val="single"/>
            </w:tcBorders>
            <w:shd w:fill="FFFFFF" w:val="clear"/>
            <w:vAlign w:val="center"/>
          </w:tcPr>
          <w:p w14:paraId="A3330000">
            <w:pPr>
              <w:widowControl w:val="1"/>
              <w:ind/>
              <w:jc w:val="center"/>
              <w:rPr>
                <w:sz w:val="18"/>
              </w:rPr>
            </w:pPr>
            <w:r>
              <w:rPr>
                <w:sz w:val="18"/>
              </w:rPr>
              <w:t>Оказание услуг по обучению персонала</w:t>
            </w:r>
          </w:p>
        </w:tc>
        <w:tc>
          <w:tcPr>
            <w:tcW w:type="dxa" w:w="849"/>
            <w:tcBorders>
              <w:top w:color="000000" w:sz="4" w:val="single"/>
              <w:left w:color="000000" w:sz="4" w:val="single"/>
              <w:bottom w:color="000000" w:sz="4" w:val="single"/>
              <w:right w:color="000000" w:sz="4" w:val="single"/>
            </w:tcBorders>
            <w:shd w:fill="FFFFFF" w:val="clear"/>
            <w:vAlign w:val="center"/>
          </w:tcPr>
          <w:p w14:paraId="A433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A5330000">
            <w:pPr>
              <w:widowControl w:val="1"/>
              <w:ind/>
              <w:jc w:val="center"/>
              <w:rPr>
                <w:sz w:val="18"/>
              </w:rPr>
            </w:pPr>
            <w:r>
              <w:rPr>
                <w:sz w:val="18"/>
              </w:rPr>
              <w:t>2</w:t>
            </w:r>
          </w:p>
        </w:tc>
        <w:tc>
          <w:tcPr>
            <w:tcW w:type="dxa" w:w="991"/>
            <w:tcBorders>
              <w:top w:color="000000" w:sz="4" w:val="single"/>
              <w:left w:color="000000" w:sz="4" w:val="single"/>
              <w:bottom w:color="000000" w:sz="4" w:val="single"/>
              <w:right w:color="000000" w:sz="4" w:val="single"/>
            </w:tcBorders>
            <w:shd w:fill="FFFFFF" w:val="clear"/>
            <w:vAlign w:val="center"/>
          </w:tcPr>
          <w:p w14:paraId="A6330000">
            <w:pPr>
              <w:widowControl w:val="1"/>
              <w:ind/>
              <w:jc w:val="center"/>
              <w:rPr>
                <w:sz w:val="18"/>
              </w:rPr>
            </w:pPr>
            <w:r>
              <w:rPr>
                <w:sz w:val="18"/>
              </w:rPr>
              <w:t>45000,00</w:t>
            </w:r>
          </w:p>
        </w:tc>
        <w:tc>
          <w:tcPr>
            <w:tcW w:type="dxa" w:w="1134"/>
            <w:tcBorders>
              <w:top w:color="000000" w:sz="4" w:val="single"/>
              <w:left w:color="000000" w:sz="4" w:val="single"/>
              <w:bottom w:color="000000" w:sz="4" w:val="single"/>
              <w:right w:color="000000" w:sz="4" w:val="single"/>
            </w:tcBorders>
            <w:shd w:fill="FFFFFF" w:val="clear"/>
            <w:vAlign w:val="center"/>
          </w:tcPr>
          <w:p w14:paraId="A7330000">
            <w:pPr>
              <w:widowControl w:val="1"/>
              <w:ind/>
              <w:jc w:val="center"/>
              <w:rPr>
                <w:sz w:val="18"/>
              </w:rPr>
            </w:pPr>
            <w:r>
              <w:rPr>
                <w:sz w:val="18"/>
              </w:rPr>
              <w:t>45000,00</w:t>
            </w:r>
          </w:p>
        </w:tc>
        <w:tc>
          <w:tcPr>
            <w:tcW w:type="dxa" w:w="993"/>
            <w:tcBorders>
              <w:top w:color="000000" w:sz="4" w:val="single"/>
              <w:left w:color="000000" w:sz="4" w:val="single"/>
              <w:bottom w:color="000000" w:sz="4" w:val="single"/>
              <w:right w:color="000000" w:sz="4" w:val="single"/>
            </w:tcBorders>
            <w:shd w:fill="FFFFFF" w:val="clear"/>
            <w:vAlign w:val="center"/>
          </w:tcPr>
          <w:p w14:paraId="A833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A933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AA33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AB33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AC330000">
            <w:pPr>
              <w:widowControl w:val="1"/>
              <w:ind/>
              <w:jc w:val="center"/>
              <w:rPr>
                <w:sz w:val="18"/>
              </w:rPr>
            </w:pPr>
            <w:r>
              <w:rPr>
                <w:sz w:val="18"/>
              </w:rPr>
              <w:t>2</w:t>
            </w:r>
          </w:p>
        </w:tc>
        <w:tc>
          <w:tcPr>
            <w:tcW w:type="dxa" w:w="1169"/>
            <w:tcBorders>
              <w:top w:color="000000" w:sz="4" w:val="single"/>
              <w:left w:color="000000" w:sz="4" w:val="single"/>
              <w:bottom w:color="000000" w:sz="4" w:val="single"/>
              <w:right w:color="000000" w:sz="4" w:val="single"/>
            </w:tcBorders>
            <w:shd w:fill="FFFFFF" w:val="clear"/>
            <w:vAlign w:val="center"/>
          </w:tcPr>
          <w:p w14:paraId="AD330000">
            <w:pPr>
              <w:widowControl w:val="1"/>
              <w:ind/>
              <w:jc w:val="center"/>
              <w:rPr>
                <w:sz w:val="18"/>
              </w:rPr>
            </w:pPr>
            <w:r>
              <w:rPr>
                <w:sz w:val="18"/>
              </w:rPr>
              <w:t>45000,00</w:t>
            </w:r>
          </w:p>
        </w:tc>
        <w:tc>
          <w:tcPr>
            <w:tcW w:type="dxa" w:w="1185"/>
            <w:tcBorders>
              <w:top w:color="000000" w:sz="4" w:val="single"/>
              <w:left w:color="000000" w:sz="4" w:val="single"/>
              <w:bottom w:color="000000" w:sz="4" w:val="single"/>
              <w:right w:color="000000" w:sz="4" w:val="single"/>
            </w:tcBorders>
            <w:shd w:fill="FFFFFF" w:val="clear"/>
            <w:vAlign w:val="center"/>
          </w:tcPr>
          <w:p w14:paraId="AE330000">
            <w:pPr>
              <w:widowControl w:val="1"/>
              <w:ind/>
              <w:jc w:val="center"/>
              <w:rPr>
                <w:sz w:val="18"/>
              </w:rPr>
            </w:pPr>
            <w:r>
              <w:rPr>
                <w:sz w:val="18"/>
              </w:rPr>
              <w:t>45000,00</w:t>
            </w:r>
          </w:p>
        </w:tc>
        <w:tc>
          <w:tcPr>
            <w:tcW w:type="dxa" w:w="1083"/>
            <w:tcBorders>
              <w:top w:color="000000" w:sz="4" w:val="single"/>
              <w:left w:color="000000" w:sz="4" w:val="single"/>
              <w:bottom w:color="000000" w:sz="4" w:val="single"/>
              <w:right w:color="000000" w:sz="4" w:val="single"/>
            </w:tcBorders>
            <w:shd w:fill="FFFFFF" w:val="clear"/>
            <w:vAlign w:val="center"/>
          </w:tcPr>
          <w:p w14:paraId="AF330000">
            <w:pPr>
              <w:widowControl w:val="1"/>
              <w:ind/>
              <w:jc w:val="center"/>
              <w:rPr>
                <w:sz w:val="18"/>
              </w:rPr>
            </w:pPr>
            <w:r>
              <w:rPr>
                <w:sz w:val="18"/>
              </w:rPr>
              <w:t>45000,00</w:t>
            </w:r>
          </w:p>
        </w:tc>
        <w:tc>
          <w:tcPr>
            <w:tcW w:type="dxa" w:w="771"/>
            <w:tcBorders>
              <w:top w:color="000000" w:sz="4" w:val="single"/>
              <w:left w:color="000000" w:sz="4" w:val="single"/>
              <w:bottom w:color="000000" w:sz="4" w:val="single"/>
              <w:right w:color="000000" w:sz="4" w:val="single"/>
            </w:tcBorders>
            <w:shd w:fill="FFFFFF" w:val="clear"/>
            <w:vAlign w:val="center"/>
          </w:tcPr>
          <w:p w14:paraId="B033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B133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B2330000">
            <w:pPr>
              <w:widowControl w:val="1"/>
              <w:ind/>
              <w:jc w:val="center"/>
              <w:rPr>
                <w:sz w:val="18"/>
              </w:rPr>
            </w:pPr>
            <w:r>
              <w:rPr>
                <w:sz w:val="18"/>
              </w:rPr>
              <w:t>договор № 2018-кв-915 от 24.09.2018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B3330000">
            <w:pPr>
              <w:widowControl w:val="1"/>
              <w:ind/>
              <w:jc w:val="center"/>
              <w:rPr>
                <w:color w:val="000000"/>
                <w:sz w:val="18"/>
              </w:rPr>
            </w:pPr>
            <w:r>
              <w:rPr>
                <w:color w:val="000000"/>
                <w:sz w:val="18"/>
              </w:rPr>
              <w:t>95</w:t>
            </w:r>
          </w:p>
        </w:tc>
        <w:tc>
          <w:tcPr>
            <w:tcW w:type="dxa" w:w="618"/>
            <w:tcBorders>
              <w:top w:color="000000" w:sz="4" w:val="single"/>
              <w:left w:color="000000" w:sz="4" w:val="single"/>
              <w:bottom w:color="000000" w:sz="4" w:val="single"/>
              <w:right w:color="000000" w:sz="4" w:val="single"/>
            </w:tcBorders>
            <w:shd w:fill="FFFFFF" w:val="clear"/>
            <w:vAlign w:val="center"/>
          </w:tcPr>
          <w:p w14:paraId="B4330000">
            <w:pPr>
              <w:widowControl w:val="1"/>
              <w:ind/>
              <w:jc w:val="center"/>
              <w:rPr>
                <w:color w:val="000000"/>
                <w:sz w:val="18"/>
              </w:rPr>
            </w:pPr>
            <w:r>
              <w:rPr>
                <w:color w:val="000000"/>
                <w:sz w:val="18"/>
              </w:rPr>
              <w:t>12/2</w:t>
            </w:r>
          </w:p>
        </w:tc>
        <w:tc>
          <w:tcPr>
            <w:tcW w:type="dxa" w:w="993"/>
            <w:tcBorders>
              <w:top w:color="000000" w:sz="4" w:val="single"/>
              <w:left w:color="000000" w:sz="4" w:val="single"/>
              <w:bottom w:color="000000" w:sz="4" w:val="single"/>
              <w:right w:color="000000" w:sz="4" w:val="single"/>
            </w:tcBorders>
            <w:shd w:fill="FFFFFF" w:val="clear"/>
            <w:vAlign w:val="center"/>
          </w:tcPr>
          <w:p w14:paraId="B5330000">
            <w:pPr>
              <w:widowControl w:val="1"/>
              <w:ind/>
              <w:jc w:val="center"/>
              <w:rPr>
                <w:sz w:val="18"/>
              </w:rPr>
            </w:pPr>
            <w:r>
              <w:rPr>
                <w:sz w:val="18"/>
              </w:rPr>
              <w:t>оказание услуг курьерской службы по доставке грузов</w:t>
            </w:r>
          </w:p>
        </w:tc>
        <w:tc>
          <w:tcPr>
            <w:tcW w:type="dxa" w:w="849"/>
            <w:tcBorders>
              <w:top w:color="000000" w:sz="4" w:val="single"/>
              <w:left w:color="000000" w:sz="4" w:val="single"/>
              <w:bottom w:color="000000" w:sz="4" w:val="single"/>
              <w:right w:color="000000" w:sz="4" w:val="single"/>
            </w:tcBorders>
            <w:shd w:fill="FFFFFF" w:val="clear"/>
            <w:vAlign w:val="center"/>
          </w:tcPr>
          <w:p w14:paraId="B633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7330000">
            <w:pPr>
              <w:widowControl w:val="1"/>
              <w:ind/>
              <w:jc w:val="center"/>
              <w:rPr>
                <w:sz w:val="18"/>
              </w:rPr>
            </w:pPr>
            <w:r>
              <w:rPr>
                <w:sz w:val="18"/>
              </w:rPr>
              <w:t>1000</w:t>
            </w:r>
          </w:p>
        </w:tc>
        <w:tc>
          <w:tcPr>
            <w:tcW w:type="dxa" w:w="991"/>
            <w:tcBorders>
              <w:top w:color="000000" w:sz="4" w:val="single"/>
              <w:left w:color="000000" w:sz="4" w:val="single"/>
              <w:bottom w:color="000000" w:sz="4" w:val="single"/>
              <w:right w:color="000000" w:sz="4" w:val="single"/>
            </w:tcBorders>
            <w:shd w:fill="FFFFFF" w:val="clear"/>
            <w:vAlign w:val="center"/>
          </w:tcPr>
          <w:p w14:paraId="B8330000">
            <w:pPr>
              <w:widowControl w:val="1"/>
              <w:ind/>
              <w:jc w:val="center"/>
              <w:rPr>
                <w:sz w:val="18"/>
              </w:rPr>
            </w:pPr>
            <w:r>
              <w:rPr>
                <w:sz w:val="18"/>
              </w:rPr>
              <w:t>83898,31</w:t>
            </w:r>
          </w:p>
        </w:tc>
        <w:tc>
          <w:tcPr>
            <w:tcW w:type="dxa" w:w="1134"/>
            <w:tcBorders>
              <w:top w:color="000000" w:sz="4" w:val="single"/>
              <w:left w:color="000000" w:sz="4" w:val="single"/>
              <w:bottom w:color="000000" w:sz="4" w:val="single"/>
              <w:right w:color="000000" w:sz="4" w:val="single"/>
            </w:tcBorders>
            <w:shd w:fill="FFFFFF" w:val="clear"/>
            <w:vAlign w:val="center"/>
          </w:tcPr>
          <w:p w14:paraId="B9330000">
            <w:pPr>
              <w:widowControl w:val="1"/>
              <w:ind/>
              <w:jc w:val="center"/>
              <w:rPr>
                <w:sz w:val="18"/>
              </w:rPr>
            </w:pPr>
            <w:r>
              <w:rPr>
                <w:sz w:val="18"/>
              </w:rPr>
              <w:t>99000,00</w:t>
            </w:r>
          </w:p>
        </w:tc>
        <w:tc>
          <w:tcPr>
            <w:tcW w:type="dxa" w:w="993"/>
            <w:tcBorders>
              <w:top w:color="000000" w:sz="4" w:val="single"/>
              <w:left w:color="000000" w:sz="4" w:val="single"/>
              <w:bottom w:color="000000" w:sz="4" w:val="single"/>
              <w:right w:color="000000" w:sz="4" w:val="single"/>
            </w:tcBorders>
            <w:shd w:fill="FFFFFF" w:val="clear"/>
            <w:vAlign w:val="center"/>
          </w:tcPr>
          <w:p w14:paraId="BA33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BB330000">
            <w:pPr>
              <w:widowControl w:val="1"/>
              <w:ind/>
              <w:jc w:val="center"/>
              <w:rPr>
                <w:sz w:val="18"/>
              </w:rPr>
            </w:pPr>
            <w:r>
              <w:rPr>
                <w:sz w:val="18"/>
              </w:rPr>
              <w:t>декабрь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BC33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BD33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BE330000">
            <w:pPr>
              <w:widowControl w:val="1"/>
              <w:ind/>
              <w:jc w:val="center"/>
              <w:rPr>
                <w:sz w:val="18"/>
              </w:rPr>
            </w:pPr>
            <w:r>
              <w:rPr>
                <w:sz w:val="18"/>
              </w:rPr>
              <w:t>1000</w:t>
            </w:r>
          </w:p>
        </w:tc>
        <w:tc>
          <w:tcPr>
            <w:tcW w:type="dxa" w:w="1169"/>
            <w:tcBorders>
              <w:top w:color="000000" w:sz="4" w:val="single"/>
              <w:left w:color="000000" w:sz="4" w:val="single"/>
              <w:bottom w:color="000000" w:sz="4" w:val="single"/>
              <w:right w:color="000000" w:sz="4" w:val="single"/>
            </w:tcBorders>
            <w:shd w:fill="FFFFFF" w:val="clear"/>
            <w:vAlign w:val="center"/>
          </w:tcPr>
          <w:p w14:paraId="BF330000">
            <w:pPr>
              <w:widowControl w:val="1"/>
              <w:ind/>
              <w:jc w:val="center"/>
              <w:rPr>
                <w:sz w:val="18"/>
              </w:rPr>
            </w:pPr>
            <w:r>
              <w:rPr>
                <w:sz w:val="18"/>
              </w:rPr>
              <w:t>83898,31</w:t>
            </w:r>
          </w:p>
        </w:tc>
        <w:tc>
          <w:tcPr>
            <w:tcW w:type="dxa" w:w="1185"/>
            <w:tcBorders>
              <w:top w:color="000000" w:sz="4" w:val="single"/>
              <w:left w:color="000000" w:sz="4" w:val="single"/>
              <w:bottom w:color="000000" w:sz="4" w:val="single"/>
              <w:right w:color="000000" w:sz="4" w:val="single"/>
            </w:tcBorders>
            <w:shd w:fill="FFFFFF" w:val="clear"/>
            <w:vAlign w:val="center"/>
          </w:tcPr>
          <w:p w14:paraId="C0330000">
            <w:pPr>
              <w:widowControl w:val="1"/>
              <w:ind/>
              <w:jc w:val="center"/>
              <w:rPr>
                <w:sz w:val="18"/>
              </w:rPr>
            </w:pPr>
            <w:r>
              <w:rPr>
                <w:sz w:val="18"/>
              </w:rPr>
              <w:t>99000,00</w:t>
            </w:r>
          </w:p>
        </w:tc>
        <w:tc>
          <w:tcPr>
            <w:tcW w:type="dxa" w:w="1083"/>
            <w:tcBorders>
              <w:top w:color="000000" w:sz="4" w:val="single"/>
              <w:left w:color="000000" w:sz="4" w:val="single"/>
              <w:bottom w:color="000000" w:sz="4" w:val="single"/>
              <w:right w:color="000000" w:sz="4" w:val="single"/>
            </w:tcBorders>
            <w:shd w:fill="FFFFFF" w:val="clear"/>
            <w:vAlign w:val="center"/>
          </w:tcPr>
          <w:p w14:paraId="C1330000">
            <w:pPr>
              <w:widowControl w:val="1"/>
              <w:ind/>
              <w:jc w:val="center"/>
              <w:rPr>
                <w:sz w:val="18"/>
              </w:rPr>
            </w:pPr>
            <w:r>
              <w:rPr>
                <w:sz w:val="18"/>
              </w:rPr>
              <w:t>99000,00</w:t>
            </w:r>
          </w:p>
        </w:tc>
        <w:tc>
          <w:tcPr>
            <w:tcW w:type="dxa" w:w="771"/>
            <w:tcBorders>
              <w:top w:color="000000" w:sz="4" w:val="single"/>
              <w:left w:color="000000" w:sz="4" w:val="single"/>
              <w:bottom w:color="000000" w:sz="4" w:val="single"/>
              <w:right w:color="000000" w:sz="4" w:val="single"/>
            </w:tcBorders>
            <w:shd w:fill="FFFFFF" w:val="clear"/>
            <w:vAlign w:val="center"/>
          </w:tcPr>
          <w:p w14:paraId="C233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C3330000">
            <w:pPr>
              <w:widowControl w:val="1"/>
              <w:ind/>
              <w:jc w:val="center"/>
              <w:rPr>
                <w:sz w:val="18"/>
              </w:rPr>
            </w:pPr>
            <w:r>
              <w:rPr>
                <w:sz w:val="18"/>
              </w:rPr>
              <w:t>декабрь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C4330000">
            <w:pPr>
              <w:widowControl w:val="1"/>
              <w:ind/>
              <w:jc w:val="center"/>
              <w:rPr>
                <w:sz w:val="18"/>
              </w:rPr>
            </w:pPr>
            <w:r>
              <w:rPr>
                <w:sz w:val="18"/>
              </w:rPr>
              <w:t>договор № 40/579 от 28.02.2018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C5330000">
            <w:pPr>
              <w:widowControl w:val="1"/>
              <w:ind/>
              <w:jc w:val="center"/>
              <w:rPr>
                <w:color w:val="000000"/>
                <w:sz w:val="18"/>
              </w:rPr>
            </w:pPr>
            <w:r>
              <w:rPr>
                <w:color w:val="000000"/>
                <w:sz w:val="18"/>
              </w:rPr>
              <w:t>96</w:t>
            </w:r>
          </w:p>
        </w:tc>
        <w:tc>
          <w:tcPr>
            <w:tcW w:type="dxa" w:w="618"/>
            <w:tcBorders>
              <w:top w:color="000000" w:sz="4" w:val="single"/>
              <w:left w:color="000000" w:sz="4" w:val="single"/>
              <w:bottom w:color="000000" w:sz="4" w:val="single"/>
              <w:right w:color="000000" w:sz="4" w:val="single"/>
            </w:tcBorders>
            <w:shd w:fill="FFFFFF" w:val="clear"/>
            <w:vAlign w:val="center"/>
          </w:tcPr>
          <w:p w14:paraId="C6330000">
            <w:pPr>
              <w:widowControl w:val="1"/>
              <w:ind/>
              <w:jc w:val="center"/>
              <w:rPr>
                <w:sz w:val="18"/>
              </w:rPr>
            </w:pPr>
            <w:r>
              <w:rPr>
                <w:sz w:val="18"/>
              </w:rPr>
              <w:t>13/2</w:t>
            </w:r>
          </w:p>
        </w:tc>
        <w:tc>
          <w:tcPr>
            <w:tcW w:type="dxa" w:w="993"/>
            <w:tcBorders>
              <w:top w:color="000000" w:sz="4" w:val="single"/>
              <w:left w:color="000000" w:sz="4" w:val="single"/>
              <w:bottom w:color="000000" w:sz="4" w:val="single"/>
              <w:right w:color="000000" w:sz="4" w:val="single"/>
            </w:tcBorders>
            <w:shd w:fill="FFFFFF" w:val="clear"/>
            <w:vAlign w:val="center"/>
          </w:tcPr>
          <w:p w14:paraId="C7330000">
            <w:pPr>
              <w:widowControl w:val="1"/>
              <w:ind/>
              <w:jc w:val="center"/>
              <w:rPr>
                <w:sz w:val="18"/>
              </w:rPr>
            </w:pPr>
            <w:r>
              <w:rPr>
                <w:sz w:val="18"/>
              </w:rPr>
              <w:t>Оказание услуг по обучению персонала</w:t>
            </w:r>
          </w:p>
        </w:tc>
        <w:tc>
          <w:tcPr>
            <w:tcW w:type="dxa" w:w="849"/>
            <w:tcBorders>
              <w:top w:color="000000" w:sz="4" w:val="single"/>
              <w:left w:color="000000" w:sz="4" w:val="single"/>
              <w:bottom w:color="000000" w:sz="4" w:val="single"/>
              <w:right w:color="000000" w:sz="4" w:val="single"/>
            </w:tcBorders>
            <w:shd w:fill="FFFFFF" w:val="clear"/>
            <w:vAlign w:val="center"/>
          </w:tcPr>
          <w:p w14:paraId="C833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C9330000">
            <w:pPr>
              <w:widowControl w:val="1"/>
              <w:ind/>
              <w:jc w:val="center"/>
              <w:rPr>
                <w:sz w:val="18"/>
              </w:rPr>
            </w:pPr>
            <w:r>
              <w:rPr>
                <w:sz w:val="18"/>
              </w:rPr>
              <w:t>10</w:t>
            </w:r>
          </w:p>
        </w:tc>
        <w:tc>
          <w:tcPr>
            <w:tcW w:type="dxa" w:w="991"/>
            <w:tcBorders>
              <w:top w:color="000000" w:sz="4" w:val="single"/>
              <w:left w:color="000000" w:sz="4" w:val="single"/>
              <w:bottom w:color="000000" w:sz="4" w:val="single"/>
              <w:right w:color="000000" w:sz="4" w:val="single"/>
            </w:tcBorders>
            <w:shd w:fill="FFFFFF" w:val="clear"/>
            <w:vAlign w:val="center"/>
          </w:tcPr>
          <w:p w14:paraId="CA330000">
            <w:pPr>
              <w:widowControl w:val="1"/>
              <w:ind/>
              <w:jc w:val="center"/>
              <w:rPr>
                <w:sz w:val="18"/>
              </w:rPr>
            </w:pPr>
            <w:r>
              <w:rPr>
                <w:sz w:val="18"/>
              </w:rPr>
              <w:t>70691,80</w:t>
            </w:r>
          </w:p>
        </w:tc>
        <w:tc>
          <w:tcPr>
            <w:tcW w:type="dxa" w:w="1134"/>
            <w:tcBorders>
              <w:top w:color="000000" w:sz="4" w:val="single"/>
              <w:left w:color="000000" w:sz="4" w:val="single"/>
              <w:bottom w:color="000000" w:sz="4" w:val="single"/>
              <w:right w:color="000000" w:sz="4" w:val="single"/>
            </w:tcBorders>
            <w:shd w:fill="FFFFFF" w:val="clear"/>
            <w:vAlign w:val="center"/>
          </w:tcPr>
          <w:p w14:paraId="CB330000">
            <w:pPr>
              <w:widowControl w:val="1"/>
              <w:ind/>
              <w:jc w:val="center"/>
              <w:rPr>
                <w:sz w:val="18"/>
              </w:rPr>
            </w:pPr>
            <w:r>
              <w:rPr>
                <w:sz w:val="18"/>
              </w:rPr>
              <w:t>83416,32</w:t>
            </w:r>
          </w:p>
        </w:tc>
        <w:tc>
          <w:tcPr>
            <w:tcW w:type="dxa" w:w="993"/>
            <w:tcBorders>
              <w:top w:color="000000" w:sz="4" w:val="single"/>
              <w:left w:color="000000" w:sz="4" w:val="single"/>
              <w:bottom w:color="000000" w:sz="4" w:val="single"/>
              <w:right w:color="000000" w:sz="4" w:val="single"/>
            </w:tcBorders>
            <w:shd w:fill="FFFFFF" w:val="clear"/>
            <w:vAlign w:val="center"/>
          </w:tcPr>
          <w:p w14:paraId="CC33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CD33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CE33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CF33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D0330000">
            <w:pPr>
              <w:widowControl w:val="1"/>
              <w:ind/>
              <w:jc w:val="center"/>
              <w:rPr>
                <w:sz w:val="18"/>
              </w:rPr>
            </w:pPr>
            <w:r>
              <w:rPr>
                <w:sz w:val="18"/>
              </w:rPr>
              <w:t>10</w:t>
            </w:r>
          </w:p>
        </w:tc>
        <w:tc>
          <w:tcPr>
            <w:tcW w:type="dxa" w:w="1169"/>
            <w:tcBorders>
              <w:top w:color="000000" w:sz="4" w:val="single"/>
              <w:left w:color="000000" w:sz="4" w:val="single"/>
              <w:bottom w:color="000000" w:sz="4" w:val="single"/>
              <w:right w:color="000000" w:sz="4" w:val="single"/>
            </w:tcBorders>
            <w:shd w:fill="FFFFFF" w:val="clear"/>
            <w:vAlign w:val="center"/>
          </w:tcPr>
          <w:p w14:paraId="D1330000">
            <w:pPr>
              <w:widowControl w:val="1"/>
              <w:ind/>
              <w:jc w:val="center"/>
              <w:rPr>
                <w:sz w:val="18"/>
              </w:rPr>
            </w:pPr>
            <w:r>
              <w:rPr>
                <w:sz w:val="18"/>
              </w:rPr>
              <w:t>68995,10</w:t>
            </w:r>
          </w:p>
        </w:tc>
        <w:tc>
          <w:tcPr>
            <w:tcW w:type="dxa" w:w="1185"/>
            <w:tcBorders>
              <w:top w:color="000000" w:sz="4" w:val="single"/>
              <w:left w:color="000000" w:sz="4" w:val="single"/>
              <w:bottom w:color="000000" w:sz="4" w:val="single"/>
              <w:right w:color="000000" w:sz="4" w:val="single"/>
            </w:tcBorders>
            <w:shd w:fill="FFFFFF" w:val="clear"/>
            <w:vAlign w:val="center"/>
          </w:tcPr>
          <w:p w14:paraId="D2330000">
            <w:pPr>
              <w:widowControl w:val="1"/>
              <w:ind/>
              <w:jc w:val="center"/>
              <w:rPr>
                <w:sz w:val="18"/>
              </w:rPr>
            </w:pPr>
            <w:r>
              <w:rPr>
                <w:sz w:val="18"/>
              </w:rPr>
              <w:t>81414,20</w:t>
            </w:r>
          </w:p>
        </w:tc>
        <w:tc>
          <w:tcPr>
            <w:tcW w:type="dxa" w:w="1083"/>
            <w:tcBorders>
              <w:top w:color="000000" w:sz="4" w:val="single"/>
              <w:left w:color="000000" w:sz="4" w:val="single"/>
              <w:bottom w:color="000000" w:sz="4" w:val="single"/>
              <w:right w:color="000000" w:sz="4" w:val="single"/>
            </w:tcBorders>
            <w:shd w:fill="FFFFFF" w:val="clear"/>
            <w:vAlign w:val="center"/>
          </w:tcPr>
          <w:p w14:paraId="D3330000">
            <w:pPr>
              <w:widowControl w:val="1"/>
              <w:ind/>
              <w:jc w:val="center"/>
              <w:rPr>
                <w:sz w:val="18"/>
              </w:rPr>
            </w:pPr>
            <w:r>
              <w:rPr>
                <w:sz w:val="18"/>
              </w:rPr>
              <w:t>81414,20</w:t>
            </w:r>
          </w:p>
        </w:tc>
        <w:tc>
          <w:tcPr>
            <w:tcW w:type="dxa" w:w="771"/>
            <w:tcBorders>
              <w:top w:color="000000" w:sz="4" w:val="single"/>
              <w:left w:color="000000" w:sz="4" w:val="single"/>
              <w:bottom w:color="000000" w:sz="4" w:val="single"/>
              <w:right w:color="000000" w:sz="4" w:val="single"/>
            </w:tcBorders>
            <w:shd w:fill="FFFFFF" w:val="clear"/>
            <w:vAlign w:val="center"/>
          </w:tcPr>
          <w:p w14:paraId="D433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D533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D6330000">
            <w:pPr>
              <w:widowControl w:val="1"/>
              <w:ind/>
              <w:jc w:val="center"/>
              <w:rPr>
                <w:sz w:val="18"/>
              </w:rPr>
            </w:pPr>
            <w:r>
              <w:rPr>
                <w:sz w:val="18"/>
              </w:rPr>
              <w:t>договор № 38-18/Ф(ЕНИС)  от 26.02.2018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D7330000">
            <w:pPr>
              <w:widowControl w:val="1"/>
              <w:ind/>
              <w:jc w:val="center"/>
              <w:rPr>
                <w:color w:val="000000"/>
                <w:sz w:val="18"/>
              </w:rPr>
            </w:pPr>
            <w:r>
              <w:rPr>
                <w:color w:val="000000"/>
                <w:sz w:val="18"/>
              </w:rPr>
              <w:t>97</w:t>
            </w:r>
          </w:p>
        </w:tc>
        <w:tc>
          <w:tcPr>
            <w:tcW w:type="dxa" w:w="618"/>
            <w:tcBorders>
              <w:top w:color="000000" w:sz="4" w:val="single"/>
              <w:left w:color="000000" w:sz="4" w:val="single"/>
              <w:bottom w:color="000000" w:sz="4" w:val="single"/>
              <w:right w:color="000000" w:sz="4" w:val="single"/>
            </w:tcBorders>
            <w:shd w:fill="FFFFFF" w:val="clear"/>
            <w:vAlign w:val="center"/>
          </w:tcPr>
          <w:p w14:paraId="D8330000">
            <w:pPr>
              <w:widowControl w:val="1"/>
              <w:ind/>
              <w:jc w:val="center"/>
              <w:rPr>
                <w:color w:val="000000"/>
                <w:sz w:val="18"/>
              </w:rPr>
            </w:pPr>
            <w:r>
              <w:rPr>
                <w:color w:val="000000"/>
                <w:sz w:val="18"/>
              </w:rPr>
              <w:t>14/2</w:t>
            </w:r>
          </w:p>
        </w:tc>
        <w:tc>
          <w:tcPr>
            <w:tcW w:type="dxa" w:w="993"/>
            <w:tcBorders>
              <w:top w:color="000000" w:sz="4" w:val="single"/>
              <w:left w:color="000000" w:sz="4" w:val="single"/>
              <w:bottom w:color="000000" w:sz="4" w:val="single"/>
              <w:right w:color="000000" w:sz="4" w:val="single"/>
            </w:tcBorders>
            <w:shd w:fill="FFFFFF" w:val="clear"/>
            <w:vAlign w:val="center"/>
          </w:tcPr>
          <w:p w14:paraId="D9330000">
            <w:pPr>
              <w:widowControl w:val="1"/>
              <w:ind/>
              <w:jc w:val="center"/>
              <w:rPr>
                <w:sz w:val="18"/>
              </w:rPr>
            </w:pPr>
            <w:r>
              <w:rPr>
                <w:sz w:val="18"/>
              </w:rPr>
              <w:t>Поставка веников</w:t>
            </w:r>
          </w:p>
        </w:tc>
        <w:tc>
          <w:tcPr>
            <w:tcW w:type="dxa" w:w="849"/>
            <w:tcBorders>
              <w:top w:color="000000" w:sz="4" w:val="single"/>
              <w:left w:color="000000" w:sz="4" w:val="single"/>
              <w:bottom w:color="000000" w:sz="4" w:val="single"/>
              <w:right w:color="000000" w:sz="4" w:val="single"/>
            </w:tcBorders>
            <w:shd w:fill="FFFFFF" w:val="clear"/>
            <w:vAlign w:val="center"/>
          </w:tcPr>
          <w:p w14:paraId="DA33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DB330000">
            <w:pPr>
              <w:widowControl w:val="1"/>
              <w:ind/>
              <w:jc w:val="center"/>
              <w:rPr>
                <w:sz w:val="18"/>
              </w:rPr>
            </w:pPr>
            <w:r>
              <w:rPr>
                <w:sz w:val="18"/>
              </w:rPr>
              <w:t>1000</w:t>
            </w:r>
          </w:p>
        </w:tc>
        <w:tc>
          <w:tcPr>
            <w:tcW w:type="dxa" w:w="991"/>
            <w:tcBorders>
              <w:top w:color="000000" w:sz="4" w:val="single"/>
              <w:left w:color="000000" w:sz="4" w:val="single"/>
              <w:bottom w:color="000000" w:sz="4" w:val="single"/>
              <w:right w:color="000000" w:sz="4" w:val="single"/>
            </w:tcBorders>
            <w:shd w:fill="FFFFFF" w:val="clear"/>
            <w:vAlign w:val="center"/>
          </w:tcPr>
          <w:p w14:paraId="DC330000">
            <w:pPr>
              <w:widowControl w:val="1"/>
              <w:ind/>
              <w:jc w:val="center"/>
              <w:rPr>
                <w:sz w:val="18"/>
              </w:rPr>
            </w:pPr>
            <w:r>
              <w:rPr>
                <w:sz w:val="18"/>
              </w:rPr>
              <w:t>62372,88</w:t>
            </w:r>
          </w:p>
        </w:tc>
        <w:tc>
          <w:tcPr>
            <w:tcW w:type="dxa" w:w="1134"/>
            <w:tcBorders>
              <w:top w:color="000000" w:sz="4" w:val="single"/>
              <w:left w:color="000000" w:sz="4" w:val="single"/>
              <w:bottom w:color="000000" w:sz="4" w:val="single"/>
              <w:right w:color="000000" w:sz="4" w:val="single"/>
            </w:tcBorders>
            <w:shd w:fill="FFFFFF" w:val="clear"/>
            <w:vAlign w:val="center"/>
          </w:tcPr>
          <w:p w14:paraId="DD330000">
            <w:pPr>
              <w:widowControl w:val="1"/>
              <w:ind/>
              <w:jc w:val="center"/>
              <w:rPr>
                <w:sz w:val="18"/>
              </w:rPr>
            </w:pPr>
            <w:r>
              <w:rPr>
                <w:sz w:val="18"/>
              </w:rPr>
              <w:t>73600,00</w:t>
            </w:r>
          </w:p>
        </w:tc>
        <w:tc>
          <w:tcPr>
            <w:tcW w:type="dxa" w:w="993"/>
            <w:tcBorders>
              <w:top w:color="000000" w:sz="4" w:val="single"/>
              <w:left w:color="000000" w:sz="4" w:val="single"/>
              <w:bottom w:color="000000" w:sz="4" w:val="single"/>
              <w:right w:color="000000" w:sz="4" w:val="single"/>
            </w:tcBorders>
            <w:shd w:fill="FFFFFF" w:val="clear"/>
            <w:vAlign w:val="center"/>
          </w:tcPr>
          <w:p w14:paraId="DE33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DF33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E033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E133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E2330000">
            <w:pPr>
              <w:widowControl w:val="1"/>
              <w:ind/>
              <w:jc w:val="center"/>
              <w:rPr>
                <w:sz w:val="18"/>
              </w:rPr>
            </w:pPr>
            <w:r>
              <w:rPr>
                <w:sz w:val="18"/>
              </w:rPr>
              <w:t>1000</w:t>
            </w:r>
          </w:p>
        </w:tc>
        <w:tc>
          <w:tcPr>
            <w:tcW w:type="dxa" w:w="1169"/>
            <w:tcBorders>
              <w:top w:color="000000" w:sz="4" w:val="single"/>
              <w:left w:color="000000" w:sz="4" w:val="single"/>
              <w:bottom w:color="000000" w:sz="4" w:val="single"/>
              <w:right w:color="000000" w:sz="4" w:val="single"/>
            </w:tcBorders>
            <w:shd w:fill="FFFFFF" w:val="clear"/>
            <w:vAlign w:val="center"/>
          </w:tcPr>
          <w:p w14:paraId="E3330000">
            <w:pPr>
              <w:widowControl w:val="1"/>
              <w:ind/>
              <w:jc w:val="center"/>
              <w:rPr>
                <w:sz w:val="18"/>
              </w:rPr>
            </w:pPr>
            <w:r>
              <w:rPr>
                <w:sz w:val="18"/>
              </w:rPr>
              <w:t>57288,14</w:t>
            </w:r>
          </w:p>
        </w:tc>
        <w:tc>
          <w:tcPr>
            <w:tcW w:type="dxa" w:w="1185"/>
            <w:tcBorders>
              <w:top w:color="000000" w:sz="4" w:val="single"/>
              <w:left w:color="000000" w:sz="4" w:val="single"/>
              <w:bottom w:color="000000" w:sz="4" w:val="single"/>
              <w:right w:color="000000" w:sz="4" w:val="single"/>
            </w:tcBorders>
            <w:shd w:fill="FFFFFF" w:val="clear"/>
            <w:vAlign w:val="center"/>
          </w:tcPr>
          <w:p w14:paraId="E4330000">
            <w:pPr>
              <w:widowControl w:val="1"/>
              <w:ind/>
              <w:jc w:val="center"/>
              <w:rPr>
                <w:sz w:val="18"/>
              </w:rPr>
            </w:pPr>
            <w:r>
              <w:rPr>
                <w:sz w:val="18"/>
              </w:rPr>
              <w:t>67600,00</w:t>
            </w:r>
          </w:p>
        </w:tc>
        <w:tc>
          <w:tcPr>
            <w:tcW w:type="dxa" w:w="1083"/>
            <w:tcBorders>
              <w:top w:color="000000" w:sz="4" w:val="single"/>
              <w:left w:color="000000" w:sz="4" w:val="single"/>
              <w:bottom w:color="000000" w:sz="4" w:val="single"/>
              <w:right w:color="000000" w:sz="4" w:val="single"/>
            </w:tcBorders>
            <w:shd w:fill="FFFFFF" w:val="clear"/>
            <w:vAlign w:val="center"/>
          </w:tcPr>
          <w:p w14:paraId="E5330000">
            <w:pPr>
              <w:widowControl w:val="1"/>
              <w:ind/>
              <w:jc w:val="center"/>
              <w:rPr>
                <w:sz w:val="18"/>
              </w:rPr>
            </w:pPr>
            <w:r>
              <w:rPr>
                <w:sz w:val="18"/>
              </w:rPr>
              <w:t>67600,00</w:t>
            </w:r>
          </w:p>
        </w:tc>
        <w:tc>
          <w:tcPr>
            <w:tcW w:type="dxa" w:w="771"/>
            <w:tcBorders>
              <w:top w:color="000000" w:sz="4" w:val="single"/>
              <w:left w:color="000000" w:sz="4" w:val="single"/>
              <w:bottom w:color="000000" w:sz="4" w:val="single"/>
              <w:right w:color="000000" w:sz="4" w:val="single"/>
            </w:tcBorders>
            <w:shd w:fill="FFFFFF" w:val="clear"/>
            <w:vAlign w:val="center"/>
          </w:tcPr>
          <w:p w14:paraId="E633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733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E8330000">
            <w:pPr>
              <w:widowControl w:val="1"/>
              <w:ind/>
              <w:jc w:val="center"/>
              <w:rPr>
                <w:sz w:val="18"/>
              </w:rPr>
            </w:pPr>
            <w:r>
              <w:rPr>
                <w:sz w:val="18"/>
              </w:rPr>
              <w:t>договор № 25 от 20.02.2018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E9330000">
            <w:pPr>
              <w:widowControl w:val="1"/>
              <w:ind/>
              <w:jc w:val="center"/>
              <w:rPr>
                <w:color w:val="000000"/>
                <w:sz w:val="18"/>
              </w:rPr>
            </w:pPr>
            <w:r>
              <w:rPr>
                <w:color w:val="000000"/>
                <w:sz w:val="18"/>
              </w:rPr>
              <w:t>98</w:t>
            </w:r>
          </w:p>
        </w:tc>
        <w:tc>
          <w:tcPr>
            <w:tcW w:type="dxa" w:w="618"/>
            <w:tcBorders>
              <w:top w:color="000000" w:sz="4" w:val="single"/>
              <w:left w:color="000000" w:sz="4" w:val="single"/>
              <w:bottom w:color="000000" w:sz="4" w:val="single"/>
              <w:right w:color="000000" w:sz="4" w:val="single"/>
            </w:tcBorders>
            <w:shd w:fill="FFFFFF" w:val="clear"/>
            <w:vAlign w:val="center"/>
          </w:tcPr>
          <w:p w14:paraId="EA330000">
            <w:pPr>
              <w:widowControl w:val="1"/>
              <w:ind/>
              <w:jc w:val="center"/>
              <w:rPr>
                <w:color w:val="000000"/>
                <w:sz w:val="18"/>
              </w:rPr>
            </w:pPr>
            <w:r>
              <w:rPr>
                <w:color w:val="000000"/>
                <w:sz w:val="18"/>
              </w:rPr>
              <w:t>15/2</w:t>
            </w:r>
          </w:p>
        </w:tc>
        <w:tc>
          <w:tcPr>
            <w:tcW w:type="dxa" w:w="993"/>
            <w:tcBorders>
              <w:top w:color="000000" w:sz="4" w:val="single"/>
              <w:left w:color="000000" w:sz="4" w:val="single"/>
              <w:bottom w:color="000000" w:sz="4" w:val="single"/>
              <w:right w:color="000000" w:sz="4" w:val="single"/>
            </w:tcBorders>
            <w:shd w:fill="FFFFFF" w:val="clear"/>
            <w:vAlign w:val="center"/>
          </w:tcPr>
          <w:p w14:paraId="EB330000">
            <w:pPr>
              <w:widowControl w:val="1"/>
              <w:ind/>
              <w:jc w:val="center"/>
              <w:rPr>
                <w:sz w:val="18"/>
              </w:rPr>
            </w:pPr>
            <w:r>
              <w:rPr>
                <w:sz w:val="18"/>
              </w:rPr>
              <w:t>Поставка кремов</w:t>
            </w:r>
          </w:p>
        </w:tc>
        <w:tc>
          <w:tcPr>
            <w:tcW w:type="dxa" w:w="849"/>
            <w:tcBorders>
              <w:top w:color="000000" w:sz="4" w:val="single"/>
              <w:left w:color="000000" w:sz="4" w:val="single"/>
              <w:bottom w:color="000000" w:sz="4" w:val="single"/>
              <w:right w:color="000000" w:sz="4" w:val="single"/>
            </w:tcBorders>
            <w:shd w:fill="FFFFFF" w:val="clear"/>
            <w:vAlign w:val="center"/>
          </w:tcPr>
          <w:p w14:paraId="EC33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ED330000">
            <w:pPr>
              <w:widowControl w:val="1"/>
              <w:ind/>
              <w:jc w:val="center"/>
              <w:rPr>
                <w:sz w:val="18"/>
              </w:rPr>
            </w:pPr>
            <w:r>
              <w:rPr>
                <w:sz w:val="18"/>
              </w:rPr>
              <w:t>1375</w:t>
            </w:r>
          </w:p>
        </w:tc>
        <w:tc>
          <w:tcPr>
            <w:tcW w:type="dxa" w:w="991"/>
            <w:tcBorders>
              <w:top w:color="000000" w:sz="4" w:val="single"/>
              <w:left w:color="000000" w:sz="4" w:val="single"/>
              <w:bottom w:color="000000" w:sz="4" w:val="single"/>
              <w:right w:color="000000" w:sz="4" w:val="single"/>
            </w:tcBorders>
            <w:shd w:fill="FFFFFF" w:val="clear"/>
            <w:vAlign w:val="center"/>
          </w:tcPr>
          <w:p w14:paraId="EE330000">
            <w:pPr>
              <w:widowControl w:val="1"/>
              <w:ind/>
              <w:jc w:val="center"/>
              <w:rPr>
                <w:sz w:val="18"/>
              </w:rPr>
            </w:pPr>
            <w:r>
              <w:rPr>
                <w:sz w:val="18"/>
              </w:rPr>
              <w:t>40254,24</w:t>
            </w:r>
          </w:p>
        </w:tc>
        <w:tc>
          <w:tcPr>
            <w:tcW w:type="dxa" w:w="1134"/>
            <w:tcBorders>
              <w:top w:color="000000" w:sz="4" w:val="single"/>
              <w:left w:color="000000" w:sz="4" w:val="single"/>
              <w:bottom w:color="000000" w:sz="4" w:val="single"/>
              <w:right w:color="000000" w:sz="4" w:val="single"/>
            </w:tcBorders>
            <w:shd w:fill="FFFFFF" w:val="clear"/>
            <w:vAlign w:val="center"/>
          </w:tcPr>
          <w:p w14:paraId="EF330000">
            <w:pPr>
              <w:widowControl w:val="1"/>
              <w:ind/>
              <w:jc w:val="center"/>
              <w:rPr>
                <w:sz w:val="18"/>
              </w:rPr>
            </w:pPr>
            <w:r>
              <w:rPr>
                <w:sz w:val="18"/>
              </w:rPr>
              <w:t>47500,00</w:t>
            </w:r>
          </w:p>
        </w:tc>
        <w:tc>
          <w:tcPr>
            <w:tcW w:type="dxa" w:w="993"/>
            <w:tcBorders>
              <w:top w:color="000000" w:sz="4" w:val="single"/>
              <w:left w:color="000000" w:sz="4" w:val="single"/>
              <w:bottom w:color="000000" w:sz="4" w:val="single"/>
              <w:right w:color="000000" w:sz="4" w:val="single"/>
            </w:tcBorders>
            <w:shd w:fill="FFFFFF" w:val="clear"/>
            <w:vAlign w:val="center"/>
          </w:tcPr>
          <w:p w14:paraId="F033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F133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F233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F333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F4330000">
            <w:pPr>
              <w:widowControl w:val="1"/>
              <w:ind/>
              <w:jc w:val="center"/>
              <w:rPr>
                <w:sz w:val="18"/>
              </w:rPr>
            </w:pPr>
            <w:r>
              <w:rPr>
                <w:sz w:val="18"/>
              </w:rPr>
              <w:t>1375</w:t>
            </w:r>
          </w:p>
        </w:tc>
        <w:tc>
          <w:tcPr>
            <w:tcW w:type="dxa" w:w="1169"/>
            <w:tcBorders>
              <w:top w:color="000000" w:sz="4" w:val="single"/>
              <w:left w:color="000000" w:sz="4" w:val="single"/>
              <w:bottom w:color="000000" w:sz="4" w:val="single"/>
              <w:right w:color="000000" w:sz="4" w:val="single"/>
            </w:tcBorders>
            <w:shd w:fill="FFFFFF" w:val="clear"/>
            <w:vAlign w:val="center"/>
          </w:tcPr>
          <w:p w14:paraId="F5330000">
            <w:pPr>
              <w:widowControl w:val="1"/>
              <w:ind/>
              <w:jc w:val="center"/>
              <w:rPr>
                <w:sz w:val="18"/>
              </w:rPr>
            </w:pPr>
            <w:r>
              <w:rPr>
                <w:sz w:val="18"/>
              </w:rPr>
              <w:t>36355,93</w:t>
            </w:r>
          </w:p>
        </w:tc>
        <w:tc>
          <w:tcPr>
            <w:tcW w:type="dxa" w:w="1185"/>
            <w:tcBorders>
              <w:top w:color="000000" w:sz="4" w:val="single"/>
              <w:left w:color="000000" w:sz="4" w:val="single"/>
              <w:bottom w:color="000000" w:sz="4" w:val="single"/>
              <w:right w:color="000000" w:sz="4" w:val="single"/>
            </w:tcBorders>
            <w:shd w:fill="FFFFFF" w:val="clear"/>
            <w:vAlign w:val="center"/>
          </w:tcPr>
          <w:p w14:paraId="F6330000">
            <w:pPr>
              <w:widowControl w:val="1"/>
              <w:ind/>
              <w:jc w:val="center"/>
              <w:rPr>
                <w:sz w:val="18"/>
              </w:rPr>
            </w:pPr>
            <w:r>
              <w:rPr>
                <w:sz w:val="18"/>
              </w:rPr>
              <w:t>42900,00</w:t>
            </w:r>
          </w:p>
        </w:tc>
        <w:tc>
          <w:tcPr>
            <w:tcW w:type="dxa" w:w="1083"/>
            <w:tcBorders>
              <w:top w:color="000000" w:sz="4" w:val="single"/>
              <w:left w:color="000000" w:sz="4" w:val="single"/>
              <w:bottom w:color="000000" w:sz="4" w:val="single"/>
              <w:right w:color="000000" w:sz="4" w:val="single"/>
            </w:tcBorders>
            <w:shd w:fill="FFFFFF" w:val="clear"/>
            <w:vAlign w:val="center"/>
          </w:tcPr>
          <w:p w14:paraId="F7330000">
            <w:pPr>
              <w:widowControl w:val="1"/>
              <w:ind/>
              <w:jc w:val="center"/>
              <w:rPr>
                <w:sz w:val="18"/>
              </w:rPr>
            </w:pPr>
            <w:r>
              <w:rPr>
                <w:sz w:val="18"/>
              </w:rPr>
              <w:t>42900,00</w:t>
            </w:r>
          </w:p>
        </w:tc>
        <w:tc>
          <w:tcPr>
            <w:tcW w:type="dxa" w:w="771"/>
            <w:tcBorders>
              <w:top w:color="000000" w:sz="4" w:val="single"/>
              <w:left w:color="000000" w:sz="4" w:val="single"/>
              <w:bottom w:color="000000" w:sz="4" w:val="single"/>
              <w:right w:color="000000" w:sz="4" w:val="single"/>
            </w:tcBorders>
            <w:shd w:fill="FFFFFF" w:val="clear"/>
            <w:vAlign w:val="center"/>
          </w:tcPr>
          <w:p w14:paraId="F833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F933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FA330000">
            <w:pPr>
              <w:widowControl w:val="1"/>
              <w:ind/>
              <w:jc w:val="center"/>
              <w:rPr>
                <w:sz w:val="18"/>
              </w:rPr>
            </w:pPr>
            <w:r>
              <w:rPr>
                <w:sz w:val="18"/>
              </w:rPr>
              <w:t>договор № 26 от 20.02.2018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FB330000">
            <w:pPr>
              <w:widowControl w:val="1"/>
              <w:ind/>
              <w:jc w:val="center"/>
              <w:rPr>
                <w:color w:val="000000"/>
                <w:sz w:val="18"/>
              </w:rPr>
            </w:pPr>
            <w:r>
              <w:rPr>
                <w:color w:val="000000"/>
                <w:sz w:val="18"/>
              </w:rPr>
              <w:t>99</w:t>
            </w:r>
          </w:p>
        </w:tc>
        <w:tc>
          <w:tcPr>
            <w:tcW w:type="dxa" w:w="618"/>
            <w:tcBorders>
              <w:top w:color="000000" w:sz="4" w:val="single"/>
              <w:left w:color="000000" w:sz="4" w:val="single"/>
              <w:bottom w:color="000000" w:sz="4" w:val="single"/>
              <w:right w:color="000000" w:sz="4" w:val="single"/>
            </w:tcBorders>
            <w:shd w:fill="FFFFFF" w:val="clear"/>
            <w:vAlign w:val="center"/>
          </w:tcPr>
          <w:p w14:paraId="FC330000">
            <w:pPr>
              <w:widowControl w:val="1"/>
              <w:ind/>
              <w:jc w:val="center"/>
              <w:rPr>
                <w:color w:val="000000"/>
                <w:sz w:val="18"/>
              </w:rPr>
            </w:pPr>
            <w:r>
              <w:rPr>
                <w:color w:val="000000"/>
                <w:sz w:val="18"/>
              </w:rPr>
              <w:t>16/2</w:t>
            </w:r>
          </w:p>
        </w:tc>
        <w:tc>
          <w:tcPr>
            <w:tcW w:type="dxa" w:w="993"/>
            <w:tcBorders>
              <w:top w:color="000000" w:sz="4" w:val="single"/>
              <w:left w:color="000000" w:sz="4" w:val="single"/>
              <w:bottom w:color="000000" w:sz="4" w:val="single"/>
              <w:right w:color="000000" w:sz="4" w:val="single"/>
            </w:tcBorders>
            <w:shd w:fill="FFFFFF" w:val="clear"/>
            <w:vAlign w:val="center"/>
          </w:tcPr>
          <w:p w14:paraId="FD330000">
            <w:pPr>
              <w:widowControl w:val="1"/>
              <w:ind/>
              <w:jc w:val="center"/>
              <w:rPr>
                <w:color w:val="000000"/>
                <w:sz w:val="18"/>
              </w:rPr>
            </w:pPr>
            <w:r>
              <w:rPr>
                <w:color w:val="000000"/>
                <w:sz w:val="18"/>
              </w:rPr>
              <w:t>Поставка офисных кресел и стульев</w:t>
            </w:r>
          </w:p>
        </w:tc>
        <w:tc>
          <w:tcPr>
            <w:tcW w:type="dxa" w:w="849"/>
            <w:tcBorders>
              <w:top w:color="000000" w:sz="4" w:val="single"/>
              <w:left w:color="000000" w:sz="4" w:val="single"/>
              <w:bottom w:color="000000" w:sz="4" w:val="single"/>
              <w:right w:color="000000" w:sz="4" w:val="single"/>
            </w:tcBorders>
            <w:shd w:fill="FFFFFF" w:val="clear"/>
            <w:vAlign w:val="center"/>
          </w:tcPr>
          <w:p w14:paraId="FE33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FF330000">
            <w:pPr>
              <w:widowControl w:val="1"/>
              <w:ind/>
              <w:jc w:val="center"/>
              <w:rPr>
                <w:color w:val="000000"/>
                <w:sz w:val="18"/>
              </w:rPr>
            </w:pPr>
            <w:r>
              <w:rPr>
                <w:color w:val="000000"/>
                <w:sz w:val="18"/>
              </w:rPr>
              <w:t>30</w:t>
            </w:r>
          </w:p>
        </w:tc>
        <w:tc>
          <w:tcPr>
            <w:tcW w:type="dxa" w:w="991"/>
            <w:tcBorders>
              <w:top w:color="000000" w:sz="4" w:val="single"/>
              <w:left w:color="000000" w:sz="4" w:val="single"/>
              <w:bottom w:color="000000" w:sz="4" w:val="single"/>
              <w:right w:color="000000" w:sz="4" w:val="single"/>
            </w:tcBorders>
            <w:shd w:fill="FFFFFF" w:val="clear"/>
            <w:vAlign w:val="center"/>
          </w:tcPr>
          <w:p w14:paraId="00340000">
            <w:pPr>
              <w:widowControl w:val="1"/>
              <w:ind/>
              <w:jc w:val="center"/>
              <w:rPr>
                <w:color w:val="000000"/>
                <w:sz w:val="18"/>
              </w:rPr>
            </w:pPr>
            <w:r>
              <w:rPr>
                <w:color w:val="000000"/>
                <w:sz w:val="18"/>
              </w:rPr>
              <w:t>83898,31</w:t>
            </w:r>
          </w:p>
        </w:tc>
        <w:tc>
          <w:tcPr>
            <w:tcW w:type="dxa" w:w="1134"/>
            <w:tcBorders>
              <w:top w:color="000000" w:sz="4" w:val="single"/>
              <w:left w:color="000000" w:sz="4" w:val="single"/>
              <w:bottom w:color="000000" w:sz="4" w:val="single"/>
              <w:right w:color="000000" w:sz="4" w:val="single"/>
            </w:tcBorders>
            <w:shd w:fill="FFFFFF" w:val="clear"/>
            <w:vAlign w:val="center"/>
          </w:tcPr>
          <w:p w14:paraId="01340000">
            <w:pPr>
              <w:widowControl w:val="1"/>
              <w:ind/>
              <w:jc w:val="center"/>
              <w:rPr>
                <w:color w:val="000000"/>
                <w:sz w:val="18"/>
              </w:rPr>
            </w:pPr>
            <w:r>
              <w:rPr>
                <w:color w:val="000000"/>
                <w:sz w:val="18"/>
              </w:rPr>
              <w:t>99000,00</w:t>
            </w:r>
          </w:p>
        </w:tc>
        <w:tc>
          <w:tcPr>
            <w:tcW w:type="dxa" w:w="993"/>
            <w:tcBorders>
              <w:top w:color="000000" w:sz="4" w:val="single"/>
              <w:left w:color="000000" w:sz="4" w:val="single"/>
              <w:bottom w:color="000000" w:sz="4" w:val="single"/>
              <w:right w:color="000000" w:sz="4" w:val="single"/>
            </w:tcBorders>
            <w:shd w:fill="FFFFFF" w:val="clear"/>
            <w:vAlign w:val="center"/>
          </w:tcPr>
          <w:p w14:paraId="02340000">
            <w:pPr>
              <w:widowControl w:val="1"/>
              <w:ind/>
              <w:jc w:val="center"/>
              <w:rPr>
                <w:color w:val="000000"/>
                <w:sz w:val="18"/>
              </w:rPr>
            </w:pPr>
            <w:r>
              <w:rPr>
                <w:color w:val="000000"/>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03340000">
            <w:pPr>
              <w:widowControl w:val="1"/>
              <w:ind/>
              <w:jc w:val="center"/>
              <w:rPr>
                <w:color w:val="000000"/>
                <w:sz w:val="18"/>
              </w:rPr>
            </w:pPr>
            <w:r>
              <w:rPr>
                <w:color w:val="000000"/>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0434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0534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06340000">
            <w:pPr>
              <w:widowControl w:val="1"/>
              <w:ind/>
              <w:jc w:val="center"/>
              <w:rPr>
                <w:color w:val="000000"/>
                <w:sz w:val="18"/>
              </w:rPr>
            </w:pPr>
            <w:r>
              <w:rPr>
                <w:color w:val="000000"/>
                <w:sz w:val="18"/>
              </w:rPr>
              <w:t>30</w:t>
            </w:r>
          </w:p>
        </w:tc>
        <w:tc>
          <w:tcPr>
            <w:tcW w:type="dxa" w:w="1169"/>
            <w:tcBorders>
              <w:top w:color="000000" w:sz="4" w:val="single"/>
              <w:left w:color="000000" w:sz="4" w:val="single"/>
              <w:bottom w:color="000000" w:sz="4" w:val="single"/>
              <w:right w:color="000000" w:sz="4" w:val="single"/>
            </w:tcBorders>
            <w:shd w:fill="FFFFFF" w:val="clear"/>
            <w:vAlign w:val="center"/>
          </w:tcPr>
          <w:p w14:paraId="07340000">
            <w:pPr>
              <w:widowControl w:val="1"/>
              <w:ind/>
              <w:jc w:val="center"/>
              <w:rPr>
                <w:sz w:val="18"/>
              </w:rPr>
            </w:pPr>
            <w:r>
              <w:rPr>
                <w:sz w:val="18"/>
              </w:rPr>
              <w:t>83186,40</w:t>
            </w:r>
          </w:p>
        </w:tc>
        <w:tc>
          <w:tcPr>
            <w:tcW w:type="dxa" w:w="1185"/>
            <w:tcBorders>
              <w:top w:color="000000" w:sz="4" w:val="single"/>
              <w:left w:color="000000" w:sz="4" w:val="single"/>
              <w:bottom w:color="000000" w:sz="4" w:val="single"/>
              <w:right w:color="000000" w:sz="4" w:val="single"/>
            </w:tcBorders>
            <w:shd w:fill="FFFFFF" w:val="clear"/>
            <w:vAlign w:val="center"/>
          </w:tcPr>
          <w:p w14:paraId="08340000">
            <w:pPr>
              <w:widowControl w:val="1"/>
              <w:ind/>
              <w:jc w:val="center"/>
              <w:rPr>
                <w:sz w:val="18"/>
              </w:rPr>
            </w:pPr>
            <w:r>
              <w:rPr>
                <w:sz w:val="18"/>
              </w:rPr>
              <w:t>98160,00</w:t>
            </w:r>
          </w:p>
        </w:tc>
        <w:tc>
          <w:tcPr>
            <w:tcW w:type="dxa" w:w="1083"/>
            <w:tcBorders>
              <w:top w:color="000000" w:sz="4" w:val="single"/>
              <w:left w:color="000000" w:sz="4" w:val="single"/>
              <w:bottom w:color="000000" w:sz="4" w:val="single"/>
              <w:right w:color="000000" w:sz="4" w:val="single"/>
            </w:tcBorders>
            <w:shd w:fill="FFFFFF" w:val="clear"/>
            <w:vAlign w:val="center"/>
          </w:tcPr>
          <w:p w14:paraId="09340000">
            <w:pPr>
              <w:widowControl w:val="1"/>
              <w:ind/>
              <w:jc w:val="center"/>
              <w:rPr>
                <w:sz w:val="18"/>
              </w:rPr>
            </w:pPr>
            <w:r>
              <w:rPr>
                <w:sz w:val="18"/>
              </w:rPr>
              <w:t>98160,00</w:t>
            </w:r>
          </w:p>
        </w:tc>
        <w:tc>
          <w:tcPr>
            <w:tcW w:type="dxa" w:w="771"/>
            <w:tcBorders>
              <w:top w:color="000000" w:sz="4" w:val="single"/>
              <w:left w:color="000000" w:sz="4" w:val="single"/>
              <w:bottom w:color="000000" w:sz="4" w:val="single"/>
              <w:right w:color="000000" w:sz="4" w:val="single"/>
            </w:tcBorders>
            <w:shd w:fill="FFFFFF" w:val="clear"/>
            <w:vAlign w:val="center"/>
          </w:tcPr>
          <w:p w14:paraId="0A340000">
            <w:pPr>
              <w:widowControl w:val="1"/>
              <w:ind/>
              <w:jc w:val="center"/>
              <w:rPr>
                <w:color w:val="000000"/>
                <w:sz w:val="18"/>
              </w:rPr>
            </w:pPr>
            <w:r>
              <w:rPr>
                <w:color w:val="000000"/>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0B340000">
            <w:pPr>
              <w:widowControl w:val="1"/>
              <w:ind/>
              <w:jc w:val="center"/>
              <w:rPr>
                <w:color w:val="000000"/>
                <w:sz w:val="18"/>
              </w:rPr>
            </w:pPr>
            <w:r>
              <w:rPr>
                <w:color w:val="000000"/>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0C340000">
            <w:pPr>
              <w:widowControl w:val="1"/>
              <w:ind/>
              <w:jc w:val="center"/>
              <w:rPr>
                <w:sz w:val="18"/>
              </w:rPr>
            </w:pPr>
            <w:r>
              <w:rPr>
                <w:sz w:val="18"/>
              </w:rPr>
              <w:t>договор № 28 от 20.02.2018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0D340000">
            <w:pPr>
              <w:widowControl w:val="1"/>
              <w:ind/>
              <w:jc w:val="center"/>
              <w:rPr>
                <w:color w:val="000000"/>
                <w:sz w:val="18"/>
              </w:rPr>
            </w:pPr>
            <w:r>
              <w:rPr>
                <w:color w:val="000000"/>
                <w:sz w:val="18"/>
              </w:rPr>
              <w:t>100</w:t>
            </w:r>
          </w:p>
        </w:tc>
        <w:tc>
          <w:tcPr>
            <w:tcW w:type="dxa" w:w="618"/>
            <w:tcBorders>
              <w:top w:color="000000" w:sz="4" w:val="single"/>
              <w:left w:color="000000" w:sz="4" w:val="single"/>
              <w:bottom w:color="000000" w:sz="4" w:val="single"/>
              <w:right w:color="000000" w:sz="4" w:val="single"/>
            </w:tcBorders>
            <w:shd w:fill="FFFFFF" w:val="clear"/>
            <w:vAlign w:val="center"/>
          </w:tcPr>
          <w:p w14:paraId="0E340000">
            <w:pPr>
              <w:widowControl w:val="1"/>
              <w:ind/>
              <w:jc w:val="center"/>
              <w:rPr>
                <w:color w:val="000000"/>
                <w:sz w:val="18"/>
              </w:rPr>
            </w:pPr>
            <w:r>
              <w:rPr>
                <w:color w:val="000000"/>
                <w:sz w:val="18"/>
              </w:rPr>
              <w:t>17/2</w:t>
            </w:r>
          </w:p>
        </w:tc>
        <w:tc>
          <w:tcPr>
            <w:tcW w:type="dxa" w:w="993"/>
            <w:tcBorders>
              <w:top w:color="000000" w:sz="4" w:val="single"/>
              <w:left w:color="000000" w:sz="4" w:val="single"/>
              <w:bottom w:color="000000" w:sz="4" w:val="single"/>
              <w:right w:color="000000" w:sz="4" w:val="single"/>
            </w:tcBorders>
            <w:shd w:fill="FFFFFF" w:val="clear"/>
            <w:vAlign w:val="center"/>
          </w:tcPr>
          <w:p w14:paraId="0F340000">
            <w:pPr>
              <w:widowControl w:val="1"/>
              <w:ind/>
              <w:jc w:val="center"/>
              <w:rPr>
                <w:color w:val="000000"/>
                <w:sz w:val="18"/>
              </w:rPr>
            </w:pPr>
            <w:r>
              <w:rPr>
                <w:color w:val="000000"/>
                <w:sz w:val="18"/>
              </w:rPr>
              <w:t>Поставка бытовой техники</w:t>
            </w:r>
          </w:p>
        </w:tc>
        <w:tc>
          <w:tcPr>
            <w:tcW w:type="dxa" w:w="849"/>
            <w:tcBorders>
              <w:top w:color="000000" w:sz="4" w:val="single"/>
              <w:left w:color="000000" w:sz="4" w:val="single"/>
              <w:bottom w:color="000000" w:sz="4" w:val="single"/>
              <w:right w:color="000000" w:sz="4" w:val="single"/>
            </w:tcBorders>
            <w:shd w:fill="FFFFFF" w:val="clear"/>
            <w:vAlign w:val="center"/>
          </w:tcPr>
          <w:p w14:paraId="1034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11340000">
            <w:pPr>
              <w:widowControl w:val="1"/>
              <w:ind/>
              <w:jc w:val="center"/>
              <w:rPr>
                <w:color w:val="000000"/>
                <w:sz w:val="18"/>
              </w:rPr>
            </w:pPr>
            <w:r>
              <w:rPr>
                <w:color w:val="000000"/>
                <w:sz w:val="18"/>
              </w:rPr>
              <w:t>30</w:t>
            </w:r>
          </w:p>
        </w:tc>
        <w:tc>
          <w:tcPr>
            <w:tcW w:type="dxa" w:w="991"/>
            <w:tcBorders>
              <w:top w:color="000000" w:sz="4" w:val="single"/>
              <w:left w:color="000000" w:sz="4" w:val="single"/>
              <w:bottom w:color="000000" w:sz="4" w:val="single"/>
              <w:right w:color="000000" w:sz="4" w:val="single"/>
            </w:tcBorders>
            <w:shd w:fill="FFFFFF" w:val="clear"/>
            <w:vAlign w:val="center"/>
          </w:tcPr>
          <w:p w14:paraId="12340000">
            <w:pPr>
              <w:widowControl w:val="1"/>
              <w:ind/>
              <w:jc w:val="center"/>
              <w:rPr>
                <w:color w:val="000000"/>
                <w:sz w:val="18"/>
              </w:rPr>
            </w:pPr>
            <w:r>
              <w:rPr>
                <w:color w:val="000000"/>
                <w:sz w:val="18"/>
              </w:rPr>
              <w:t>83898,31</w:t>
            </w:r>
          </w:p>
        </w:tc>
        <w:tc>
          <w:tcPr>
            <w:tcW w:type="dxa" w:w="1134"/>
            <w:tcBorders>
              <w:top w:color="000000" w:sz="4" w:val="single"/>
              <w:left w:color="000000" w:sz="4" w:val="single"/>
              <w:bottom w:color="000000" w:sz="4" w:val="single"/>
              <w:right w:color="000000" w:sz="4" w:val="single"/>
            </w:tcBorders>
            <w:shd w:fill="FFFFFF" w:val="clear"/>
            <w:vAlign w:val="center"/>
          </w:tcPr>
          <w:p w14:paraId="13340000">
            <w:pPr>
              <w:widowControl w:val="1"/>
              <w:ind/>
              <w:jc w:val="center"/>
              <w:rPr>
                <w:color w:val="000000"/>
                <w:sz w:val="18"/>
              </w:rPr>
            </w:pPr>
            <w:r>
              <w:rPr>
                <w:color w:val="000000"/>
                <w:sz w:val="18"/>
              </w:rPr>
              <w:t>99000,00</w:t>
            </w:r>
          </w:p>
        </w:tc>
        <w:tc>
          <w:tcPr>
            <w:tcW w:type="dxa" w:w="993"/>
            <w:tcBorders>
              <w:top w:color="000000" w:sz="4" w:val="single"/>
              <w:left w:color="000000" w:sz="4" w:val="single"/>
              <w:bottom w:color="000000" w:sz="4" w:val="single"/>
              <w:right w:color="000000" w:sz="4" w:val="single"/>
            </w:tcBorders>
            <w:shd w:fill="FFFFFF" w:val="clear"/>
            <w:vAlign w:val="center"/>
          </w:tcPr>
          <w:p w14:paraId="14340000">
            <w:pPr>
              <w:widowControl w:val="1"/>
              <w:ind/>
              <w:jc w:val="center"/>
              <w:rPr>
                <w:color w:val="000000"/>
                <w:sz w:val="18"/>
              </w:rPr>
            </w:pPr>
            <w:r>
              <w:rPr>
                <w:color w:val="000000"/>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15340000">
            <w:pPr>
              <w:widowControl w:val="1"/>
              <w:ind/>
              <w:jc w:val="center"/>
              <w:rPr>
                <w:color w:val="000000"/>
                <w:sz w:val="18"/>
              </w:rPr>
            </w:pPr>
            <w:r>
              <w:rPr>
                <w:color w:val="000000"/>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1634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1734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18340000">
            <w:pPr>
              <w:widowControl w:val="1"/>
              <w:ind/>
              <w:jc w:val="center"/>
              <w:rPr>
                <w:color w:val="000000"/>
                <w:sz w:val="18"/>
              </w:rPr>
            </w:pPr>
            <w:r>
              <w:rPr>
                <w:color w:val="000000"/>
                <w:sz w:val="18"/>
              </w:rPr>
              <w:t>30</w:t>
            </w:r>
          </w:p>
        </w:tc>
        <w:tc>
          <w:tcPr>
            <w:tcW w:type="dxa" w:w="1169"/>
            <w:tcBorders>
              <w:top w:color="000000" w:sz="4" w:val="single"/>
              <w:left w:color="000000" w:sz="4" w:val="single"/>
              <w:bottom w:color="000000" w:sz="4" w:val="single"/>
              <w:right w:color="000000" w:sz="4" w:val="single"/>
            </w:tcBorders>
            <w:shd w:fill="FFFFFF" w:val="clear"/>
            <w:vAlign w:val="center"/>
          </w:tcPr>
          <w:p w14:paraId="19340000">
            <w:pPr>
              <w:widowControl w:val="1"/>
              <w:ind/>
              <w:jc w:val="center"/>
              <w:rPr>
                <w:sz w:val="18"/>
              </w:rPr>
            </w:pPr>
            <w:r>
              <w:rPr>
                <w:sz w:val="18"/>
              </w:rPr>
              <w:t>81432,20</w:t>
            </w:r>
          </w:p>
        </w:tc>
        <w:tc>
          <w:tcPr>
            <w:tcW w:type="dxa" w:w="1185"/>
            <w:tcBorders>
              <w:top w:color="000000" w:sz="4" w:val="single"/>
              <w:left w:color="000000" w:sz="4" w:val="single"/>
              <w:bottom w:color="000000" w:sz="4" w:val="single"/>
              <w:right w:color="000000" w:sz="4" w:val="single"/>
            </w:tcBorders>
            <w:shd w:fill="FFFFFF" w:val="clear"/>
            <w:vAlign w:val="center"/>
          </w:tcPr>
          <w:p w14:paraId="1A340000">
            <w:pPr>
              <w:widowControl w:val="1"/>
              <w:ind/>
              <w:jc w:val="center"/>
              <w:rPr>
                <w:sz w:val="18"/>
              </w:rPr>
            </w:pPr>
            <w:r>
              <w:rPr>
                <w:sz w:val="18"/>
              </w:rPr>
              <w:t>96090,00</w:t>
            </w:r>
          </w:p>
        </w:tc>
        <w:tc>
          <w:tcPr>
            <w:tcW w:type="dxa" w:w="1083"/>
            <w:tcBorders>
              <w:top w:color="000000" w:sz="4" w:val="single"/>
              <w:left w:color="000000" w:sz="4" w:val="single"/>
              <w:bottom w:color="000000" w:sz="4" w:val="single"/>
              <w:right w:color="000000" w:sz="4" w:val="single"/>
            </w:tcBorders>
            <w:shd w:fill="FFFFFF" w:val="clear"/>
            <w:vAlign w:val="center"/>
          </w:tcPr>
          <w:p w14:paraId="1B340000">
            <w:pPr>
              <w:widowControl w:val="1"/>
              <w:ind/>
              <w:jc w:val="center"/>
              <w:rPr>
                <w:sz w:val="18"/>
              </w:rPr>
            </w:pPr>
            <w:r>
              <w:rPr>
                <w:sz w:val="18"/>
              </w:rPr>
              <w:t>96090,00</w:t>
            </w:r>
          </w:p>
        </w:tc>
        <w:tc>
          <w:tcPr>
            <w:tcW w:type="dxa" w:w="771"/>
            <w:tcBorders>
              <w:top w:color="000000" w:sz="4" w:val="single"/>
              <w:left w:color="000000" w:sz="4" w:val="single"/>
              <w:bottom w:color="000000" w:sz="4" w:val="single"/>
              <w:right w:color="000000" w:sz="4" w:val="single"/>
            </w:tcBorders>
            <w:shd w:fill="FFFFFF" w:val="clear"/>
            <w:vAlign w:val="center"/>
          </w:tcPr>
          <w:p w14:paraId="1C340000">
            <w:pPr>
              <w:widowControl w:val="1"/>
              <w:ind/>
              <w:jc w:val="center"/>
              <w:rPr>
                <w:color w:val="000000"/>
                <w:sz w:val="18"/>
              </w:rPr>
            </w:pPr>
            <w:r>
              <w:rPr>
                <w:color w:val="000000"/>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1D340000">
            <w:pPr>
              <w:widowControl w:val="1"/>
              <w:ind/>
              <w:jc w:val="center"/>
              <w:rPr>
                <w:color w:val="000000"/>
                <w:sz w:val="18"/>
              </w:rPr>
            </w:pPr>
            <w:r>
              <w:rPr>
                <w:color w:val="000000"/>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1E340000">
            <w:pPr>
              <w:widowControl w:val="1"/>
              <w:ind/>
              <w:jc w:val="center"/>
              <w:rPr>
                <w:sz w:val="18"/>
              </w:rPr>
            </w:pPr>
            <w:r>
              <w:rPr>
                <w:sz w:val="18"/>
              </w:rPr>
              <w:t>договор № 22 от 19.02.2018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1F340000">
            <w:pPr>
              <w:widowControl w:val="1"/>
              <w:ind/>
              <w:jc w:val="center"/>
              <w:rPr>
                <w:color w:val="000000"/>
                <w:sz w:val="18"/>
              </w:rPr>
            </w:pPr>
            <w:r>
              <w:rPr>
                <w:color w:val="000000"/>
                <w:sz w:val="18"/>
              </w:rPr>
              <w:t>101</w:t>
            </w:r>
          </w:p>
        </w:tc>
        <w:tc>
          <w:tcPr>
            <w:tcW w:type="dxa" w:w="618"/>
            <w:tcBorders>
              <w:top w:color="000000" w:sz="4" w:val="single"/>
              <w:left w:color="000000" w:sz="4" w:val="single"/>
              <w:bottom w:color="000000" w:sz="4" w:val="single"/>
              <w:right w:color="000000" w:sz="4" w:val="single"/>
            </w:tcBorders>
            <w:shd w:fill="FFFFFF" w:val="clear"/>
            <w:vAlign w:val="center"/>
          </w:tcPr>
          <w:p w14:paraId="20340000">
            <w:pPr>
              <w:widowControl w:val="1"/>
              <w:ind/>
              <w:jc w:val="center"/>
              <w:rPr>
                <w:color w:val="000000"/>
                <w:sz w:val="18"/>
              </w:rPr>
            </w:pPr>
            <w:r>
              <w:rPr>
                <w:color w:val="000000"/>
                <w:sz w:val="18"/>
              </w:rPr>
              <w:t>19/2</w:t>
            </w:r>
          </w:p>
        </w:tc>
        <w:tc>
          <w:tcPr>
            <w:tcW w:type="dxa" w:w="993"/>
            <w:tcBorders>
              <w:top w:color="000000" w:sz="4" w:val="single"/>
              <w:left w:color="000000" w:sz="4" w:val="single"/>
              <w:bottom w:color="000000" w:sz="4" w:val="single"/>
              <w:right w:color="000000" w:sz="4" w:val="single"/>
            </w:tcBorders>
            <w:shd w:fill="FFFFFF" w:val="clear"/>
            <w:vAlign w:val="center"/>
          </w:tcPr>
          <w:p w14:paraId="21340000">
            <w:pPr>
              <w:widowControl w:val="1"/>
              <w:ind/>
              <w:jc w:val="center"/>
              <w:rPr>
                <w:sz w:val="18"/>
              </w:rPr>
            </w:pPr>
            <w:r>
              <w:rPr>
                <w:sz w:val="18"/>
              </w:rPr>
              <w:t>Поставка мешков для мусора</w:t>
            </w:r>
          </w:p>
        </w:tc>
        <w:tc>
          <w:tcPr>
            <w:tcW w:type="dxa" w:w="849"/>
            <w:tcBorders>
              <w:top w:color="000000" w:sz="4" w:val="single"/>
              <w:left w:color="000000" w:sz="4" w:val="single"/>
              <w:bottom w:color="000000" w:sz="4" w:val="single"/>
              <w:right w:color="000000" w:sz="4" w:val="single"/>
            </w:tcBorders>
            <w:shd w:fill="FFFFFF" w:val="clear"/>
            <w:vAlign w:val="center"/>
          </w:tcPr>
          <w:p w14:paraId="2234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23340000">
            <w:pPr>
              <w:widowControl w:val="1"/>
              <w:ind/>
              <w:jc w:val="center"/>
              <w:rPr>
                <w:sz w:val="18"/>
              </w:rPr>
            </w:pPr>
            <w:r>
              <w:rPr>
                <w:sz w:val="18"/>
              </w:rPr>
              <w:t>1998</w:t>
            </w:r>
          </w:p>
        </w:tc>
        <w:tc>
          <w:tcPr>
            <w:tcW w:type="dxa" w:w="991"/>
            <w:tcBorders>
              <w:top w:color="000000" w:sz="4" w:val="single"/>
              <w:left w:color="000000" w:sz="4" w:val="single"/>
              <w:bottom w:color="000000" w:sz="4" w:val="single"/>
              <w:right w:color="000000" w:sz="4" w:val="single"/>
            </w:tcBorders>
            <w:shd w:fill="FFFFFF" w:val="clear"/>
            <w:vAlign w:val="center"/>
          </w:tcPr>
          <w:p w14:paraId="24340000">
            <w:pPr>
              <w:widowControl w:val="1"/>
              <w:ind/>
              <w:jc w:val="center"/>
              <w:rPr>
                <w:sz w:val="18"/>
              </w:rPr>
            </w:pPr>
            <w:r>
              <w:rPr>
                <w:sz w:val="18"/>
              </w:rPr>
              <w:t>77701,69</w:t>
            </w:r>
          </w:p>
        </w:tc>
        <w:tc>
          <w:tcPr>
            <w:tcW w:type="dxa" w:w="1134"/>
            <w:tcBorders>
              <w:top w:color="000000" w:sz="4" w:val="single"/>
              <w:left w:color="000000" w:sz="4" w:val="single"/>
              <w:bottom w:color="000000" w:sz="4" w:val="single"/>
              <w:right w:color="000000" w:sz="4" w:val="single"/>
            </w:tcBorders>
            <w:shd w:fill="FFFFFF" w:val="clear"/>
            <w:vAlign w:val="center"/>
          </w:tcPr>
          <w:p w14:paraId="25340000">
            <w:pPr>
              <w:widowControl w:val="1"/>
              <w:ind/>
              <w:jc w:val="center"/>
              <w:rPr>
                <w:sz w:val="18"/>
              </w:rPr>
            </w:pPr>
            <w:r>
              <w:rPr>
                <w:sz w:val="18"/>
              </w:rPr>
              <w:t>91688,00</w:t>
            </w:r>
          </w:p>
        </w:tc>
        <w:tc>
          <w:tcPr>
            <w:tcW w:type="dxa" w:w="993"/>
            <w:tcBorders>
              <w:top w:color="000000" w:sz="4" w:val="single"/>
              <w:left w:color="000000" w:sz="4" w:val="single"/>
              <w:bottom w:color="000000" w:sz="4" w:val="single"/>
              <w:right w:color="000000" w:sz="4" w:val="single"/>
            </w:tcBorders>
            <w:shd w:fill="FFFFFF" w:val="clear"/>
            <w:vAlign w:val="center"/>
          </w:tcPr>
          <w:p w14:paraId="2634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2734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2834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2934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2A340000">
            <w:pPr>
              <w:widowControl w:val="1"/>
              <w:ind/>
              <w:jc w:val="center"/>
              <w:rPr>
                <w:sz w:val="18"/>
              </w:rPr>
            </w:pPr>
            <w:r>
              <w:rPr>
                <w:sz w:val="18"/>
              </w:rPr>
              <w:t>1998</w:t>
            </w:r>
          </w:p>
        </w:tc>
        <w:tc>
          <w:tcPr>
            <w:tcW w:type="dxa" w:w="1169"/>
            <w:tcBorders>
              <w:top w:color="000000" w:sz="4" w:val="single"/>
              <w:left w:color="000000" w:sz="4" w:val="single"/>
              <w:bottom w:color="000000" w:sz="4" w:val="single"/>
              <w:right w:color="000000" w:sz="4" w:val="single"/>
            </w:tcBorders>
            <w:shd w:fill="FFFFFF" w:val="clear"/>
            <w:vAlign w:val="center"/>
          </w:tcPr>
          <w:p w14:paraId="2B340000">
            <w:pPr>
              <w:widowControl w:val="1"/>
              <w:ind/>
              <w:jc w:val="center"/>
              <w:rPr>
                <w:sz w:val="18"/>
              </w:rPr>
            </w:pPr>
            <w:r>
              <w:rPr>
                <w:sz w:val="18"/>
              </w:rPr>
              <w:t>81964,83</w:t>
            </w:r>
          </w:p>
        </w:tc>
        <w:tc>
          <w:tcPr>
            <w:tcW w:type="dxa" w:w="1185"/>
            <w:tcBorders>
              <w:top w:color="000000" w:sz="4" w:val="single"/>
              <w:left w:color="000000" w:sz="4" w:val="single"/>
              <w:bottom w:color="000000" w:sz="4" w:val="single"/>
              <w:right w:color="000000" w:sz="4" w:val="single"/>
            </w:tcBorders>
            <w:shd w:fill="FFFFFF" w:val="clear"/>
            <w:vAlign w:val="center"/>
          </w:tcPr>
          <w:p w14:paraId="2C340000">
            <w:pPr>
              <w:widowControl w:val="1"/>
              <w:ind/>
              <w:jc w:val="center"/>
              <w:rPr>
                <w:sz w:val="18"/>
              </w:rPr>
            </w:pPr>
            <w:r>
              <w:rPr>
                <w:sz w:val="18"/>
              </w:rPr>
              <w:t>96718,50</w:t>
            </w:r>
          </w:p>
        </w:tc>
        <w:tc>
          <w:tcPr>
            <w:tcW w:type="dxa" w:w="1083"/>
            <w:tcBorders>
              <w:top w:color="000000" w:sz="4" w:val="single"/>
              <w:left w:color="000000" w:sz="4" w:val="single"/>
              <w:bottom w:color="000000" w:sz="4" w:val="single"/>
              <w:right w:color="000000" w:sz="4" w:val="single"/>
            </w:tcBorders>
            <w:shd w:fill="FFFFFF" w:val="clear"/>
            <w:vAlign w:val="center"/>
          </w:tcPr>
          <w:p w14:paraId="2D340000">
            <w:pPr>
              <w:widowControl w:val="1"/>
              <w:ind/>
              <w:jc w:val="center"/>
              <w:rPr>
                <w:sz w:val="18"/>
              </w:rPr>
            </w:pPr>
            <w:r>
              <w:rPr>
                <w:sz w:val="18"/>
              </w:rPr>
              <w:t>96718,50</w:t>
            </w:r>
          </w:p>
        </w:tc>
        <w:tc>
          <w:tcPr>
            <w:tcW w:type="dxa" w:w="771"/>
            <w:tcBorders>
              <w:top w:color="000000" w:sz="4" w:val="single"/>
              <w:left w:color="000000" w:sz="4" w:val="single"/>
              <w:bottom w:color="000000" w:sz="4" w:val="single"/>
              <w:right w:color="000000" w:sz="4" w:val="single"/>
            </w:tcBorders>
            <w:shd w:fill="FFFFFF" w:val="clear"/>
            <w:vAlign w:val="center"/>
          </w:tcPr>
          <w:p w14:paraId="2E34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2F34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30340000">
            <w:pPr>
              <w:widowControl w:val="1"/>
              <w:ind/>
              <w:jc w:val="center"/>
              <w:rPr>
                <w:sz w:val="18"/>
              </w:rPr>
            </w:pPr>
            <w:r>
              <w:rPr>
                <w:sz w:val="18"/>
              </w:rPr>
              <w:t>договор № 29 от 20.02.2018</w:t>
            </w:r>
          </w:p>
        </w:tc>
      </w:tr>
      <w:tr>
        <w:trPr>
          <w:trHeight w:hRule="atLeast" w:val="1785"/>
        </w:trPr>
        <w:tc>
          <w:tcPr>
            <w:tcW w:type="dxa" w:w="708"/>
            <w:tcBorders>
              <w:top w:color="000000" w:sz="4" w:val="single"/>
              <w:left w:color="000000" w:sz="4" w:val="single"/>
              <w:bottom w:color="000000" w:sz="4" w:val="single"/>
              <w:right w:color="000000" w:sz="4" w:val="single"/>
            </w:tcBorders>
            <w:shd w:fill="auto" w:val="clear"/>
            <w:vAlign w:val="center"/>
          </w:tcPr>
          <w:p w14:paraId="31340000">
            <w:pPr>
              <w:widowControl w:val="1"/>
              <w:ind/>
              <w:jc w:val="center"/>
              <w:rPr>
                <w:color w:val="000000"/>
                <w:sz w:val="18"/>
              </w:rPr>
            </w:pPr>
            <w:r>
              <w:rPr>
                <w:color w:val="000000"/>
                <w:sz w:val="18"/>
              </w:rPr>
              <w:t>102</w:t>
            </w:r>
          </w:p>
        </w:tc>
        <w:tc>
          <w:tcPr>
            <w:tcW w:type="dxa" w:w="618"/>
            <w:tcBorders>
              <w:top w:color="000000" w:sz="4" w:val="single"/>
              <w:left w:color="000000" w:sz="4" w:val="single"/>
              <w:bottom w:color="000000" w:sz="4" w:val="single"/>
              <w:right w:color="000000" w:sz="4" w:val="single"/>
            </w:tcBorders>
            <w:shd w:fill="FFFFFF" w:val="clear"/>
            <w:vAlign w:val="center"/>
          </w:tcPr>
          <w:p w14:paraId="32340000">
            <w:pPr>
              <w:widowControl w:val="1"/>
              <w:ind/>
              <w:jc w:val="center"/>
              <w:rPr>
                <w:sz w:val="18"/>
              </w:rPr>
            </w:pPr>
            <w:r>
              <w:rPr>
                <w:sz w:val="18"/>
              </w:rPr>
              <w:t>20/2</w:t>
            </w:r>
          </w:p>
        </w:tc>
        <w:tc>
          <w:tcPr>
            <w:tcW w:type="dxa" w:w="993"/>
            <w:tcBorders>
              <w:top w:color="000000" w:sz="4" w:val="single"/>
              <w:left w:color="000000" w:sz="4" w:val="single"/>
              <w:bottom w:color="000000" w:sz="4" w:val="single"/>
              <w:right w:color="000000" w:sz="4" w:val="single"/>
            </w:tcBorders>
            <w:shd w:fill="FFFFFF" w:val="clear"/>
            <w:vAlign w:val="center"/>
          </w:tcPr>
          <w:p w14:paraId="33340000">
            <w:pPr>
              <w:widowControl w:val="1"/>
              <w:ind/>
              <w:jc w:val="center"/>
              <w:rPr>
                <w:sz w:val="18"/>
              </w:rPr>
            </w:pPr>
            <w:r>
              <w:rPr>
                <w:sz w:val="18"/>
              </w:rPr>
              <w:t>Оказание услуг по освидетельствованию, перезарядке и ремонту огнетушителей</w:t>
            </w:r>
          </w:p>
        </w:tc>
        <w:tc>
          <w:tcPr>
            <w:tcW w:type="dxa" w:w="849"/>
            <w:tcBorders>
              <w:top w:color="000000" w:sz="4" w:val="single"/>
              <w:left w:color="000000" w:sz="4" w:val="single"/>
              <w:bottom w:color="000000" w:sz="4" w:val="single"/>
              <w:right w:color="000000" w:sz="4" w:val="single"/>
            </w:tcBorders>
            <w:shd w:fill="FFFFFF" w:val="clear"/>
            <w:vAlign w:val="center"/>
          </w:tcPr>
          <w:p w14:paraId="3434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35340000">
            <w:pPr>
              <w:widowControl w:val="1"/>
              <w:ind/>
              <w:jc w:val="center"/>
              <w:rPr>
                <w:sz w:val="18"/>
              </w:rPr>
            </w:pPr>
            <w:r>
              <w:rPr>
                <w:sz w:val="18"/>
              </w:rPr>
              <w:t>20</w:t>
            </w:r>
          </w:p>
        </w:tc>
        <w:tc>
          <w:tcPr>
            <w:tcW w:type="dxa" w:w="991"/>
            <w:tcBorders>
              <w:top w:color="000000" w:sz="4" w:val="single"/>
              <w:left w:color="000000" w:sz="4" w:val="single"/>
              <w:bottom w:color="000000" w:sz="4" w:val="single"/>
              <w:right w:color="000000" w:sz="4" w:val="single"/>
            </w:tcBorders>
            <w:shd w:fill="FFFFFF" w:val="clear"/>
            <w:vAlign w:val="center"/>
          </w:tcPr>
          <w:p w14:paraId="36340000">
            <w:pPr>
              <w:widowControl w:val="1"/>
              <w:ind/>
              <w:jc w:val="center"/>
              <w:rPr>
                <w:sz w:val="18"/>
              </w:rPr>
            </w:pPr>
            <w:r>
              <w:rPr>
                <w:sz w:val="18"/>
              </w:rPr>
              <w:t>8000,00</w:t>
            </w:r>
          </w:p>
        </w:tc>
        <w:tc>
          <w:tcPr>
            <w:tcW w:type="dxa" w:w="1134"/>
            <w:tcBorders>
              <w:top w:color="000000" w:sz="4" w:val="single"/>
              <w:left w:color="000000" w:sz="4" w:val="single"/>
              <w:bottom w:color="000000" w:sz="4" w:val="single"/>
              <w:right w:color="000000" w:sz="4" w:val="single"/>
            </w:tcBorders>
            <w:shd w:fill="FFFFFF" w:val="clear"/>
            <w:vAlign w:val="center"/>
          </w:tcPr>
          <w:p w14:paraId="37340000">
            <w:pPr>
              <w:widowControl w:val="1"/>
              <w:ind/>
              <w:jc w:val="center"/>
              <w:rPr>
                <w:sz w:val="18"/>
              </w:rPr>
            </w:pPr>
            <w:r>
              <w:rPr>
                <w:sz w:val="18"/>
              </w:rPr>
              <w:t>8000,00</w:t>
            </w:r>
          </w:p>
        </w:tc>
        <w:tc>
          <w:tcPr>
            <w:tcW w:type="dxa" w:w="993"/>
            <w:tcBorders>
              <w:top w:color="000000" w:sz="4" w:val="single"/>
              <w:left w:color="000000" w:sz="4" w:val="single"/>
              <w:bottom w:color="000000" w:sz="4" w:val="single"/>
              <w:right w:color="000000" w:sz="4" w:val="single"/>
            </w:tcBorders>
            <w:shd w:fill="FFFFFF" w:val="clear"/>
            <w:vAlign w:val="center"/>
          </w:tcPr>
          <w:p w14:paraId="3834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3934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3A34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3B34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3C340000">
            <w:pPr>
              <w:widowControl w:val="1"/>
              <w:ind/>
              <w:jc w:val="center"/>
              <w:rPr>
                <w:sz w:val="18"/>
              </w:rPr>
            </w:pPr>
            <w:r>
              <w:rPr>
                <w:sz w:val="18"/>
              </w:rPr>
              <w:t>20</w:t>
            </w:r>
          </w:p>
        </w:tc>
        <w:tc>
          <w:tcPr>
            <w:tcW w:type="dxa" w:w="1169"/>
            <w:tcBorders>
              <w:top w:color="000000" w:sz="4" w:val="single"/>
              <w:left w:color="000000" w:sz="4" w:val="single"/>
              <w:bottom w:color="000000" w:sz="4" w:val="single"/>
              <w:right w:color="000000" w:sz="4" w:val="single"/>
            </w:tcBorders>
            <w:shd w:fill="FFFFFF" w:val="clear"/>
            <w:vAlign w:val="center"/>
          </w:tcPr>
          <w:p w14:paraId="3D340000">
            <w:pPr>
              <w:widowControl w:val="1"/>
              <w:ind/>
              <w:jc w:val="center"/>
              <w:rPr>
                <w:sz w:val="18"/>
              </w:rPr>
            </w:pPr>
            <w:r>
              <w:rPr>
                <w:sz w:val="18"/>
              </w:rPr>
              <w:t>7950,00</w:t>
            </w:r>
          </w:p>
        </w:tc>
        <w:tc>
          <w:tcPr>
            <w:tcW w:type="dxa" w:w="1185"/>
            <w:tcBorders>
              <w:top w:color="000000" w:sz="4" w:val="single"/>
              <w:left w:color="000000" w:sz="4" w:val="single"/>
              <w:bottom w:color="000000" w:sz="4" w:val="single"/>
              <w:right w:color="000000" w:sz="4" w:val="single"/>
            </w:tcBorders>
            <w:shd w:fill="FFFFFF" w:val="clear"/>
            <w:vAlign w:val="center"/>
          </w:tcPr>
          <w:p w14:paraId="3E340000">
            <w:pPr>
              <w:widowControl w:val="1"/>
              <w:ind/>
              <w:jc w:val="center"/>
              <w:rPr>
                <w:sz w:val="18"/>
              </w:rPr>
            </w:pPr>
            <w:r>
              <w:rPr>
                <w:sz w:val="18"/>
              </w:rPr>
              <w:t>7950,00</w:t>
            </w:r>
          </w:p>
        </w:tc>
        <w:tc>
          <w:tcPr>
            <w:tcW w:type="dxa" w:w="1083"/>
            <w:tcBorders>
              <w:top w:color="000000" w:sz="4" w:val="single"/>
              <w:left w:color="000000" w:sz="4" w:val="single"/>
              <w:bottom w:color="000000" w:sz="4" w:val="single"/>
              <w:right w:color="000000" w:sz="4" w:val="single"/>
            </w:tcBorders>
            <w:shd w:fill="FFFFFF" w:val="clear"/>
            <w:vAlign w:val="center"/>
          </w:tcPr>
          <w:p w14:paraId="3F340000">
            <w:pPr>
              <w:widowControl w:val="1"/>
              <w:ind/>
              <w:jc w:val="center"/>
              <w:rPr>
                <w:sz w:val="18"/>
              </w:rPr>
            </w:pPr>
            <w:r>
              <w:rPr>
                <w:sz w:val="18"/>
              </w:rPr>
              <w:t>7950,00</w:t>
            </w:r>
          </w:p>
        </w:tc>
        <w:tc>
          <w:tcPr>
            <w:tcW w:type="dxa" w:w="771"/>
            <w:tcBorders>
              <w:top w:color="000000" w:sz="4" w:val="single"/>
              <w:left w:color="000000" w:sz="4" w:val="single"/>
              <w:bottom w:color="000000" w:sz="4" w:val="single"/>
              <w:right w:color="000000" w:sz="4" w:val="single"/>
            </w:tcBorders>
            <w:shd w:fill="FFFFFF" w:val="clear"/>
            <w:vAlign w:val="center"/>
          </w:tcPr>
          <w:p w14:paraId="4034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4134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42340000">
            <w:pPr>
              <w:widowControl w:val="1"/>
              <w:ind/>
              <w:jc w:val="center"/>
              <w:rPr>
                <w:sz w:val="18"/>
              </w:rPr>
            </w:pPr>
            <w:r>
              <w:rPr>
                <w:sz w:val="18"/>
              </w:rPr>
              <w:t>договор № 23 от 19.02.2018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43340000">
            <w:pPr>
              <w:widowControl w:val="1"/>
              <w:ind/>
              <w:jc w:val="center"/>
              <w:rPr>
                <w:color w:val="000000"/>
                <w:sz w:val="18"/>
              </w:rPr>
            </w:pPr>
            <w:r>
              <w:rPr>
                <w:color w:val="000000"/>
                <w:sz w:val="18"/>
              </w:rPr>
              <w:t>103</w:t>
            </w:r>
          </w:p>
        </w:tc>
        <w:tc>
          <w:tcPr>
            <w:tcW w:type="dxa" w:w="618"/>
            <w:tcBorders>
              <w:top w:color="000000" w:sz="4" w:val="single"/>
              <w:left w:color="000000" w:sz="4" w:val="single"/>
              <w:bottom w:color="000000" w:sz="4" w:val="single"/>
              <w:right w:color="000000" w:sz="4" w:val="single"/>
            </w:tcBorders>
            <w:shd w:fill="FFFFFF" w:val="clear"/>
            <w:vAlign w:val="center"/>
          </w:tcPr>
          <w:p w14:paraId="44340000">
            <w:pPr>
              <w:widowControl w:val="1"/>
              <w:ind/>
              <w:jc w:val="center"/>
              <w:rPr>
                <w:sz w:val="18"/>
              </w:rPr>
            </w:pPr>
            <w:r>
              <w:rPr>
                <w:sz w:val="18"/>
              </w:rPr>
              <w:t>21/2</w:t>
            </w:r>
          </w:p>
        </w:tc>
        <w:tc>
          <w:tcPr>
            <w:tcW w:type="dxa" w:w="993"/>
            <w:tcBorders>
              <w:top w:color="000000" w:sz="4" w:val="single"/>
              <w:left w:color="000000" w:sz="4" w:val="single"/>
              <w:bottom w:color="000000" w:sz="4" w:val="single"/>
              <w:right w:color="000000" w:sz="4" w:val="single"/>
            </w:tcBorders>
            <w:shd w:fill="FFFFFF" w:val="clear"/>
            <w:vAlign w:val="center"/>
          </w:tcPr>
          <w:p w14:paraId="45340000">
            <w:pPr>
              <w:widowControl w:val="1"/>
              <w:ind/>
              <w:jc w:val="center"/>
              <w:rPr>
                <w:sz w:val="18"/>
              </w:rPr>
            </w:pPr>
            <w:r>
              <w:rPr>
                <w:sz w:val="18"/>
              </w:rPr>
              <w:t>Оказание образовательных услуг по охране труда и пожарной безопасности</w:t>
            </w:r>
          </w:p>
        </w:tc>
        <w:tc>
          <w:tcPr>
            <w:tcW w:type="dxa" w:w="849"/>
            <w:tcBorders>
              <w:top w:color="000000" w:sz="4" w:val="single"/>
              <w:left w:color="000000" w:sz="4" w:val="single"/>
              <w:bottom w:color="000000" w:sz="4" w:val="single"/>
              <w:right w:color="000000" w:sz="4" w:val="single"/>
            </w:tcBorders>
            <w:shd w:fill="FFFFFF" w:val="clear"/>
            <w:vAlign w:val="center"/>
          </w:tcPr>
          <w:p w14:paraId="4634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47340000">
            <w:pPr>
              <w:widowControl w:val="1"/>
              <w:ind/>
              <w:jc w:val="center"/>
              <w:rPr>
                <w:sz w:val="18"/>
              </w:rPr>
            </w:pPr>
            <w:r>
              <w:rPr>
                <w:sz w:val="18"/>
              </w:rPr>
              <w:t>7</w:t>
            </w:r>
          </w:p>
        </w:tc>
        <w:tc>
          <w:tcPr>
            <w:tcW w:type="dxa" w:w="991"/>
            <w:tcBorders>
              <w:top w:color="000000" w:sz="4" w:val="single"/>
              <w:left w:color="000000" w:sz="4" w:val="single"/>
              <w:bottom w:color="000000" w:sz="4" w:val="single"/>
              <w:right w:color="000000" w:sz="4" w:val="single"/>
            </w:tcBorders>
            <w:shd w:fill="FFFFFF" w:val="clear"/>
            <w:vAlign w:val="center"/>
          </w:tcPr>
          <w:p w14:paraId="48340000">
            <w:pPr>
              <w:widowControl w:val="1"/>
              <w:ind/>
              <w:jc w:val="center"/>
              <w:rPr>
                <w:sz w:val="18"/>
              </w:rPr>
            </w:pPr>
            <w:r>
              <w:rPr>
                <w:sz w:val="18"/>
              </w:rPr>
              <w:t>28500,00</w:t>
            </w:r>
          </w:p>
        </w:tc>
        <w:tc>
          <w:tcPr>
            <w:tcW w:type="dxa" w:w="1134"/>
            <w:tcBorders>
              <w:top w:color="000000" w:sz="4" w:val="single"/>
              <w:left w:color="000000" w:sz="4" w:val="single"/>
              <w:bottom w:color="000000" w:sz="4" w:val="single"/>
              <w:right w:color="000000" w:sz="4" w:val="single"/>
            </w:tcBorders>
            <w:shd w:fill="FFFFFF" w:val="clear"/>
            <w:vAlign w:val="center"/>
          </w:tcPr>
          <w:p w14:paraId="49340000">
            <w:pPr>
              <w:widowControl w:val="1"/>
              <w:ind/>
              <w:jc w:val="center"/>
              <w:rPr>
                <w:sz w:val="18"/>
              </w:rPr>
            </w:pPr>
            <w:r>
              <w:rPr>
                <w:sz w:val="18"/>
              </w:rPr>
              <w:t>28500,00</w:t>
            </w:r>
          </w:p>
        </w:tc>
        <w:tc>
          <w:tcPr>
            <w:tcW w:type="dxa" w:w="993"/>
            <w:tcBorders>
              <w:top w:color="000000" w:sz="4" w:val="single"/>
              <w:left w:color="000000" w:sz="4" w:val="single"/>
              <w:bottom w:color="000000" w:sz="4" w:val="single"/>
              <w:right w:color="000000" w:sz="4" w:val="single"/>
            </w:tcBorders>
            <w:shd w:fill="FFFFFF" w:val="clear"/>
            <w:vAlign w:val="center"/>
          </w:tcPr>
          <w:p w14:paraId="4A34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4B34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4C34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4D34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4E340000">
            <w:pPr>
              <w:widowControl w:val="1"/>
              <w:ind/>
              <w:jc w:val="center"/>
              <w:rPr>
                <w:sz w:val="18"/>
              </w:rPr>
            </w:pPr>
            <w:r>
              <w:rPr>
                <w:sz w:val="18"/>
              </w:rPr>
              <w:t>7</w:t>
            </w:r>
          </w:p>
        </w:tc>
        <w:tc>
          <w:tcPr>
            <w:tcW w:type="dxa" w:w="1169"/>
            <w:tcBorders>
              <w:top w:color="000000" w:sz="4" w:val="single"/>
              <w:left w:color="000000" w:sz="4" w:val="single"/>
              <w:bottom w:color="000000" w:sz="4" w:val="single"/>
              <w:right w:color="000000" w:sz="4" w:val="single"/>
            </w:tcBorders>
            <w:shd w:fill="FFFFFF" w:val="clear"/>
            <w:vAlign w:val="center"/>
          </w:tcPr>
          <w:p w14:paraId="4F340000">
            <w:pPr>
              <w:widowControl w:val="1"/>
              <w:ind/>
              <w:jc w:val="center"/>
              <w:rPr>
                <w:sz w:val="18"/>
              </w:rPr>
            </w:pPr>
            <w:r>
              <w:rPr>
                <w:sz w:val="18"/>
              </w:rPr>
              <w:t>26400,00</w:t>
            </w:r>
          </w:p>
        </w:tc>
        <w:tc>
          <w:tcPr>
            <w:tcW w:type="dxa" w:w="1185"/>
            <w:tcBorders>
              <w:top w:color="000000" w:sz="4" w:val="single"/>
              <w:left w:color="000000" w:sz="4" w:val="single"/>
              <w:bottom w:color="000000" w:sz="4" w:val="single"/>
              <w:right w:color="000000" w:sz="4" w:val="single"/>
            </w:tcBorders>
            <w:shd w:fill="FFFFFF" w:val="clear"/>
            <w:vAlign w:val="center"/>
          </w:tcPr>
          <w:p w14:paraId="50340000">
            <w:pPr>
              <w:widowControl w:val="1"/>
              <w:ind/>
              <w:jc w:val="center"/>
              <w:rPr>
                <w:sz w:val="18"/>
              </w:rPr>
            </w:pPr>
            <w:r>
              <w:rPr>
                <w:sz w:val="18"/>
              </w:rPr>
              <w:t>26400,00</w:t>
            </w:r>
          </w:p>
        </w:tc>
        <w:tc>
          <w:tcPr>
            <w:tcW w:type="dxa" w:w="1083"/>
            <w:tcBorders>
              <w:top w:color="000000" w:sz="4" w:val="single"/>
              <w:left w:color="000000" w:sz="4" w:val="single"/>
              <w:bottom w:color="000000" w:sz="4" w:val="single"/>
              <w:right w:color="000000" w:sz="4" w:val="single"/>
            </w:tcBorders>
            <w:shd w:fill="FFFFFF" w:val="clear"/>
            <w:vAlign w:val="center"/>
          </w:tcPr>
          <w:p w14:paraId="51340000">
            <w:pPr>
              <w:widowControl w:val="1"/>
              <w:ind/>
              <w:jc w:val="center"/>
              <w:rPr>
                <w:sz w:val="18"/>
              </w:rPr>
            </w:pPr>
            <w:r>
              <w:rPr>
                <w:sz w:val="18"/>
              </w:rPr>
              <w:t>26400,00</w:t>
            </w:r>
          </w:p>
        </w:tc>
        <w:tc>
          <w:tcPr>
            <w:tcW w:type="dxa" w:w="771"/>
            <w:tcBorders>
              <w:top w:color="000000" w:sz="4" w:val="single"/>
              <w:left w:color="000000" w:sz="4" w:val="single"/>
              <w:bottom w:color="000000" w:sz="4" w:val="single"/>
              <w:right w:color="000000" w:sz="4" w:val="single"/>
            </w:tcBorders>
            <w:shd w:fill="FFFFFF" w:val="clear"/>
            <w:vAlign w:val="center"/>
          </w:tcPr>
          <w:p w14:paraId="5234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334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54340000">
            <w:pPr>
              <w:widowControl w:val="1"/>
              <w:ind/>
              <w:jc w:val="center"/>
              <w:rPr>
                <w:sz w:val="18"/>
              </w:rPr>
            </w:pPr>
            <w:r>
              <w:rPr>
                <w:sz w:val="18"/>
              </w:rPr>
              <w:t>договор № 50 от 12.03.2018</w:t>
            </w:r>
          </w:p>
        </w:tc>
      </w:tr>
      <w:tr>
        <w:trPr>
          <w:trHeight w:hRule="atLeast" w:val="2805"/>
        </w:trPr>
        <w:tc>
          <w:tcPr>
            <w:tcW w:type="dxa" w:w="708"/>
            <w:tcBorders>
              <w:top w:color="000000" w:sz="4" w:val="single"/>
              <w:left w:color="000000" w:sz="4" w:val="single"/>
              <w:bottom w:color="000000" w:sz="4" w:val="single"/>
              <w:right w:color="000000" w:sz="4" w:val="single"/>
            </w:tcBorders>
            <w:shd w:fill="auto" w:val="clear"/>
            <w:vAlign w:val="center"/>
          </w:tcPr>
          <w:p w14:paraId="55340000">
            <w:pPr>
              <w:widowControl w:val="1"/>
              <w:ind/>
              <w:jc w:val="center"/>
              <w:rPr>
                <w:color w:val="000000"/>
                <w:sz w:val="18"/>
              </w:rPr>
            </w:pPr>
            <w:r>
              <w:rPr>
                <w:color w:val="000000"/>
                <w:sz w:val="18"/>
              </w:rPr>
              <w:t>104</w:t>
            </w:r>
          </w:p>
        </w:tc>
        <w:tc>
          <w:tcPr>
            <w:tcW w:type="dxa" w:w="618"/>
            <w:tcBorders>
              <w:top w:color="000000" w:sz="4" w:val="single"/>
              <w:left w:color="000000" w:sz="4" w:val="single"/>
              <w:bottom w:color="000000" w:sz="4" w:val="single"/>
              <w:right w:color="000000" w:sz="4" w:val="single"/>
            </w:tcBorders>
            <w:shd w:fill="FFFFFF" w:val="clear"/>
            <w:vAlign w:val="center"/>
          </w:tcPr>
          <w:p w14:paraId="56340000">
            <w:pPr>
              <w:widowControl w:val="1"/>
              <w:ind/>
              <w:jc w:val="center"/>
              <w:rPr>
                <w:sz w:val="18"/>
              </w:rPr>
            </w:pPr>
            <w:r>
              <w:rPr>
                <w:sz w:val="18"/>
              </w:rPr>
              <w:t>22/2</w:t>
            </w:r>
          </w:p>
        </w:tc>
        <w:tc>
          <w:tcPr>
            <w:tcW w:type="dxa" w:w="993"/>
            <w:tcBorders>
              <w:top w:color="000000" w:sz="4" w:val="single"/>
              <w:left w:color="000000" w:sz="4" w:val="single"/>
              <w:bottom w:color="000000" w:sz="4" w:val="single"/>
              <w:right w:color="000000" w:sz="4" w:val="single"/>
            </w:tcBorders>
            <w:shd w:fill="FFFFFF" w:val="clear"/>
            <w:vAlign w:val="center"/>
          </w:tcPr>
          <w:p w14:paraId="57340000">
            <w:pPr>
              <w:widowControl w:val="1"/>
              <w:ind/>
              <w:jc w:val="center"/>
              <w:rPr>
                <w:sz w:val="18"/>
              </w:rPr>
            </w:pPr>
            <w:r>
              <w:rPr>
                <w:sz w:val="18"/>
              </w:rPr>
              <w:t>выполнение работ по подготовке к работе аккумуляторных батарей АКБ типа 55П для электропоездов ЭД9М 217,218,219</w:t>
            </w:r>
          </w:p>
        </w:tc>
        <w:tc>
          <w:tcPr>
            <w:tcW w:type="dxa" w:w="849"/>
            <w:tcBorders>
              <w:top w:color="000000" w:sz="4" w:val="single"/>
              <w:left w:color="000000" w:sz="4" w:val="single"/>
              <w:bottom w:color="000000" w:sz="4" w:val="single"/>
              <w:right w:color="000000" w:sz="4" w:val="single"/>
            </w:tcBorders>
            <w:shd w:fill="FFFFFF" w:val="clear"/>
            <w:vAlign w:val="center"/>
          </w:tcPr>
          <w:p w14:paraId="5834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59340000">
            <w:pPr>
              <w:widowControl w:val="1"/>
              <w:ind/>
              <w:jc w:val="center"/>
              <w:rPr>
                <w:sz w:val="18"/>
              </w:rPr>
            </w:pPr>
            <w:r>
              <w:rPr>
                <w:sz w:val="18"/>
              </w:rPr>
              <w:t>4</w:t>
            </w:r>
          </w:p>
        </w:tc>
        <w:tc>
          <w:tcPr>
            <w:tcW w:type="dxa" w:w="991"/>
            <w:tcBorders>
              <w:top w:color="000000" w:sz="4" w:val="single"/>
              <w:left w:color="000000" w:sz="4" w:val="single"/>
              <w:bottom w:color="000000" w:sz="4" w:val="single"/>
              <w:right w:color="000000" w:sz="4" w:val="single"/>
            </w:tcBorders>
            <w:shd w:fill="FFFFFF" w:val="clear"/>
            <w:vAlign w:val="center"/>
          </w:tcPr>
          <w:p w14:paraId="5A340000">
            <w:pPr>
              <w:widowControl w:val="1"/>
              <w:ind/>
              <w:jc w:val="center"/>
              <w:rPr>
                <w:sz w:val="18"/>
              </w:rPr>
            </w:pPr>
            <w:r>
              <w:rPr>
                <w:sz w:val="18"/>
              </w:rPr>
              <w:t>43979,83</w:t>
            </w:r>
          </w:p>
        </w:tc>
        <w:tc>
          <w:tcPr>
            <w:tcW w:type="dxa" w:w="1134"/>
            <w:tcBorders>
              <w:top w:color="000000" w:sz="4" w:val="single"/>
              <w:left w:color="000000" w:sz="4" w:val="single"/>
              <w:bottom w:color="000000" w:sz="4" w:val="single"/>
              <w:right w:color="000000" w:sz="4" w:val="single"/>
            </w:tcBorders>
            <w:shd w:fill="FFFFFF" w:val="clear"/>
            <w:vAlign w:val="center"/>
          </w:tcPr>
          <w:p w14:paraId="5B340000">
            <w:pPr>
              <w:widowControl w:val="1"/>
              <w:ind/>
              <w:jc w:val="center"/>
              <w:rPr>
                <w:sz w:val="18"/>
              </w:rPr>
            </w:pPr>
            <w:r>
              <w:rPr>
                <w:sz w:val="18"/>
              </w:rPr>
              <w:t>51896,20</w:t>
            </w:r>
          </w:p>
        </w:tc>
        <w:tc>
          <w:tcPr>
            <w:tcW w:type="dxa" w:w="993"/>
            <w:tcBorders>
              <w:top w:color="000000" w:sz="4" w:val="single"/>
              <w:left w:color="000000" w:sz="4" w:val="single"/>
              <w:bottom w:color="000000" w:sz="4" w:val="single"/>
              <w:right w:color="000000" w:sz="4" w:val="single"/>
            </w:tcBorders>
            <w:shd w:fill="FFFFFF" w:val="clear"/>
            <w:vAlign w:val="center"/>
          </w:tcPr>
          <w:p w14:paraId="5C340000">
            <w:pPr>
              <w:widowControl w:val="1"/>
              <w:ind/>
              <w:jc w:val="center"/>
              <w:rPr>
                <w:sz w:val="18"/>
              </w:rPr>
            </w:pPr>
            <w:r>
              <w:rPr>
                <w:sz w:val="18"/>
              </w:rPr>
              <w:t>апрель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5D340000">
            <w:pPr>
              <w:widowControl w:val="1"/>
              <w:ind/>
              <w:jc w:val="center"/>
              <w:rPr>
                <w:sz w:val="18"/>
              </w:rPr>
            </w:pPr>
            <w:r>
              <w:rPr>
                <w:sz w:val="18"/>
              </w:rPr>
              <w:t>декабрь 2018г.</w:t>
            </w:r>
          </w:p>
        </w:tc>
        <w:tc>
          <w:tcPr>
            <w:tcW w:type="dxa" w:w="1334"/>
            <w:tcBorders>
              <w:top w:color="000000" w:sz="4" w:val="single"/>
              <w:left w:color="000000" w:sz="4" w:val="single"/>
              <w:bottom w:color="000000" w:sz="4" w:val="single"/>
              <w:right w:color="000000" w:sz="4" w:val="single"/>
            </w:tcBorders>
            <w:shd w:fill="FFFFFF" w:val="clear"/>
            <w:vAlign w:val="center"/>
          </w:tcPr>
          <w:p w14:paraId="5E34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5F34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60340000">
            <w:pPr>
              <w:widowControl w:val="1"/>
              <w:ind/>
              <w:jc w:val="center"/>
              <w:rPr>
                <w:sz w:val="18"/>
              </w:rPr>
            </w:pPr>
            <w:r>
              <w:rPr>
                <w:sz w:val="18"/>
              </w:rPr>
              <w:t>4</w:t>
            </w:r>
          </w:p>
        </w:tc>
        <w:tc>
          <w:tcPr>
            <w:tcW w:type="dxa" w:w="1169"/>
            <w:tcBorders>
              <w:top w:color="000000" w:sz="4" w:val="single"/>
              <w:left w:color="000000" w:sz="4" w:val="single"/>
              <w:bottom w:color="000000" w:sz="4" w:val="single"/>
              <w:right w:color="000000" w:sz="4" w:val="single"/>
            </w:tcBorders>
            <w:shd w:fill="FFFFFF" w:val="clear"/>
            <w:vAlign w:val="center"/>
          </w:tcPr>
          <w:p w14:paraId="61340000">
            <w:pPr>
              <w:widowControl w:val="1"/>
              <w:ind/>
              <w:jc w:val="center"/>
              <w:rPr>
                <w:sz w:val="18"/>
              </w:rPr>
            </w:pPr>
            <w:r>
              <w:rPr>
                <w:sz w:val="18"/>
              </w:rPr>
              <w:t>44354,90</w:t>
            </w:r>
          </w:p>
        </w:tc>
        <w:tc>
          <w:tcPr>
            <w:tcW w:type="dxa" w:w="1185"/>
            <w:tcBorders>
              <w:top w:color="000000" w:sz="4" w:val="single"/>
              <w:left w:color="000000" w:sz="4" w:val="single"/>
              <w:bottom w:color="000000" w:sz="4" w:val="single"/>
              <w:right w:color="000000" w:sz="4" w:val="single"/>
            </w:tcBorders>
            <w:shd w:fill="FFFFFF" w:val="clear"/>
            <w:vAlign w:val="center"/>
          </w:tcPr>
          <w:p w14:paraId="62340000">
            <w:pPr>
              <w:widowControl w:val="1"/>
              <w:ind/>
              <w:jc w:val="center"/>
              <w:rPr>
                <w:sz w:val="18"/>
              </w:rPr>
            </w:pPr>
            <w:r>
              <w:rPr>
                <w:sz w:val="18"/>
              </w:rPr>
              <w:t>52338,84</w:t>
            </w:r>
          </w:p>
        </w:tc>
        <w:tc>
          <w:tcPr>
            <w:tcW w:type="dxa" w:w="1083"/>
            <w:tcBorders>
              <w:top w:color="000000" w:sz="4" w:val="single"/>
              <w:left w:color="000000" w:sz="4" w:val="single"/>
              <w:bottom w:color="000000" w:sz="4" w:val="single"/>
              <w:right w:color="000000" w:sz="4" w:val="single"/>
            </w:tcBorders>
            <w:shd w:fill="FFFFFF" w:val="clear"/>
            <w:vAlign w:val="center"/>
          </w:tcPr>
          <w:p w14:paraId="63340000">
            <w:pPr>
              <w:widowControl w:val="1"/>
              <w:ind/>
              <w:jc w:val="center"/>
              <w:rPr>
                <w:sz w:val="18"/>
              </w:rPr>
            </w:pPr>
            <w:r>
              <w:rPr>
                <w:sz w:val="18"/>
              </w:rPr>
              <w:t>52338,84</w:t>
            </w:r>
          </w:p>
        </w:tc>
        <w:tc>
          <w:tcPr>
            <w:tcW w:type="dxa" w:w="771"/>
            <w:tcBorders>
              <w:top w:color="000000" w:sz="4" w:val="single"/>
              <w:left w:color="000000" w:sz="4" w:val="single"/>
              <w:bottom w:color="000000" w:sz="4" w:val="single"/>
              <w:right w:color="000000" w:sz="4" w:val="single"/>
            </w:tcBorders>
            <w:shd w:fill="FFFFFF" w:val="clear"/>
            <w:vAlign w:val="center"/>
          </w:tcPr>
          <w:p w14:paraId="64340000">
            <w:pPr>
              <w:widowControl w:val="1"/>
              <w:ind/>
              <w:jc w:val="center"/>
              <w:rPr>
                <w:sz w:val="18"/>
              </w:rPr>
            </w:pPr>
            <w:r>
              <w:rPr>
                <w:sz w:val="18"/>
              </w:rPr>
              <w:t>апрель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65340000">
            <w:pPr>
              <w:widowControl w:val="1"/>
              <w:ind/>
              <w:jc w:val="center"/>
              <w:rPr>
                <w:sz w:val="18"/>
              </w:rPr>
            </w:pPr>
            <w:r>
              <w:rPr>
                <w:sz w:val="18"/>
              </w:rPr>
              <w:t>декабрь 2018г.</w:t>
            </w:r>
          </w:p>
        </w:tc>
        <w:tc>
          <w:tcPr>
            <w:tcW w:type="dxa" w:w="709"/>
            <w:tcBorders>
              <w:top w:color="000000" w:sz="4" w:val="single"/>
              <w:left w:color="000000" w:sz="4" w:val="single"/>
              <w:bottom w:color="000000" w:sz="4" w:val="single"/>
              <w:right w:color="000000" w:sz="4" w:val="single"/>
            </w:tcBorders>
            <w:shd w:fill="FFFFFF" w:val="clear"/>
            <w:vAlign w:val="center"/>
          </w:tcPr>
          <w:p w14:paraId="66340000">
            <w:pPr>
              <w:widowControl w:val="1"/>
              <w:ind/>
              <w:jc w:val="center"/>
              <w:rPr>
                <w:sz w:val="18"/>
              </w:rPr>
            </w:pPr>
            <w:r>
              <w:rPr>
                <w:sz w:val="18"/>
              </w:rPr>
              <w:t>договор № 10.07 от 13.04.2018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67340000">
            <w:pPr>
              <w:widowControl w:val="1"/>
              <w:ind/>
              <w:jc w:val="center"/>
              <w:rPr>
                <w:color w:val="000000"/>
                <w:sz w:val="18"/>
              </w:rPr>
            </w:pPr>
            <w:r>
              <w:rPr>
                <w:color w:val="000000"/>
                <w:sz w:val="18"/>
              </w:rPr>
              <w:t>105</w:t>
            </w:r>
          </w:p>
        </w:tc>
        <w:tc>
          <w:tcPr>
            <w:tcW w:type="dxa" w:w="618"/>
            <w:tcBorders>
              <w:top w:color="000000" w:sz="4" w:val="single"/>
              <w:left w:color="000000" w:sz="4" w:val="single"/>
              <w:bottom w:color="000000" w:sz="4" w:val="single"/>
              <w:right w:color="000000" w:sz="4" w:val="single"/>
            </w:tcBorders>
            <w:shd w:fill="FFFFFF" w:val="clear"/>
            <w:vAlign w:val="center"/>
          </w:tcPr>
          <w:p w14:paraId="68340000">
            <w:pPr>
              <w:widowControl w:val="1"/>
              <w:ind/>
              <w:jc w:val="center"/>
              <w:rPr>
                <w:sz w:val="18"/>
              </w:rPr>
            </w:pPr>
            <w:r>
              <w:rPr>
                <w:sz w:val="18"/>
              </w:rPr>
              <w:t>23/2</w:t>
            </w:r>
          </w:p>
        </w:tc>
        <w:tc>
          <w:tcPr>
            <w:tcW w:type="dxa" w:w="993"/>
            <w:tcBorders>
              <w:top w:color="000000" w:sz="4" w:val="single"/>
              <w:left w:color="000000" w:sz="4" w:val="single"/>
              <w:bottom w:color="000000" w:sz="4" w:val="single"/>
              <w:right w:color="000000" w:sz="4" w:val="single"/>
            </w:tcBorders>
            <w:shd w:fill="FFFFFF" w:val="clear"/>
            <w:vAlign w:val="center"/>
          </w:tcPr>
          <w:p w14:paraId="69340000">
            <w:pPr>
              <w:widowControl w:val="1"/>
              <w:ind/>
              <w:jc w:val="center"/>
              <w:rPr>
                <w:sz w:val="18"/>
              </w:rPr>
            </w:pPr>
            <w:r>
              <w:rPr>
                <w:sz w:val="18"/>
              </w:rPr>
              <w:t>Поставка питьевой воды г. Абакан</w:t>
            </w:r>
          </w:p>
        </w:tc>
        <w:tc>
          <w:tcPr>
            <w:tcW w:type="dxa" w:w="849"/>
            <w:tcBorders>
              <w:top w:color="000000" w:sz="4" w:val="single"/>
              <w:left w:color="000000" w:sz="4" w:val="single"/>
              <w:bottom w:color="000000" w:sz="4" w:val="single"/>
              <w:right w:color="000000" w:sz="4" w:val="single"/>
            </w:tcBorders>
            <w:shd w:fill="FFFFFF" w:val="clear"/>
            <w:vAlign w:val="center"/>
          </w:tcPr>
          <w:p w14:paraId="6A34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6B340000">
            <w:pPr>
              <w:widowControl w:val="1"/>
              <w:ind/>
              <w:jc w:val="center"/>
              <w:rPr>
                <w:sz w:val="18"/>
              </w:rPr>
            </w:pPr>
            <w:r>
              <w:rPr>
                <w:sz w:val="18"/>
              </w:rPr>
              <w:t>48</w:t>
            </w:r>
          </w:p>
        </w:tc>
        <w:tc>
          <w:tcPr>
            <w:tcW w:type="dxa" w:w="991"/>
            <w:tcBorders>
              <w:top w:color="000000" w:sz="4" w:val="single"/>
              <w:left w:color="000000" w:sz="4" w:val="single"/>
              <w:bottom w:color="000000" w:sz="4" w:val="single"/>
              <w:right w:color="000000" w:sz="4" w:val="single"/>
            </w:tcBorders>
            <w:shd w:fill="FFFFFF" w:val="clear"/>
            <w:vAlign w:val="center"/>
          </w:tcPr>
          <w:p w14:paraId="6C340000">
            <w:pPr>
              <w:widowControl w:val="1"/>
              <w:ind/>
              <w:jc w:val="center"/>
              <w:rPr>
                <w:sz w:val="18"/>
              </w:rPr>
            </w:pPr>
            <w:r>
              <w:rPr>
                <w:sz w:val="18"/>
              </w:rPr>
              <w:t>6720,00</w:t>
            </w:r>
          </w:p>
        </w:tc>
        <w:tc>
          <w:tcPr>
            <w:tcW w:type="dxa" w:w="1134"/>
            <w:tcBorders>
              <w:top w:color="000000" w:sz="4" w:val="single"/>
              <w:left w:color="000000" w:sz="4" w:val="single"/>
              <w:bottom w:color="000000" w:sz="4" w:val="single"/>
              <w:right w:color="000000" w:sz="4" w:val="single"/>
            </w:tcBorders>
            <w:shd w:fill="FFFFFF" w:val="clear"/>
            <w:vAlign w:val="center"/>
          </w:tcPr>
          <w:p w14:paraId="6D340000">
            <w:pPr>
              <w:widowControl w:val="1"/>
              <w:ind/>
              <w:jc w:val="center"/>
              <w:rPr>
                <w:sz w:val="18"/>
              </w:rPr>
            </w:pPr>
            <w:r>
              <w:rPr>
                <w:sz w:val="18"/>
              </w:rPr>
              <w:t>6720,00</w:t>
            </w:r>
          </w:p>
        </w:tc>
        <w:tc>
          <w:tcPr>
            <w:tcW w:type="dxa" w:w="993"/>
            <w:tcBorders>
              <w:top w:color="000000" w:sz="4" w:val="single"/>
              <w:left w:color="000000" w:sz="4" w:val="single"/>
              <w:bottom w:color="000000" w:sz="4" w:val="single"/>
              <w:right w:color="000000" w:sz="4" w:val="single"/>
            </w:tcBorders>
            <w:shd w:fill="FFFFFF" w:val="clear"/>
            <w:vAlign w:val="center"/>
          </w:tcPr>
          <w:p w14:paraId="6E34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6F340000">
            <w:pPr>
              <w:widowControl w:val="1"/>
              <w:ind/>
              <w:jc w:val="center"/>
              <w:rPr>
                <w:sz w:val="18"/>
              </w:rPr>
            </w:pPr>
            <w:r>
              <w:rPr>
                <w:sz w:val="18"/>
              </w:rPr>
              <w:t>март 2020 г.</w:t>
            </w:r>
          </w:p>
        </w:tc>
        <w:tc>
          <w:tcPr>
            <w:tcW w:type="dxa" w:w="1334"/>
            <w:tcBorders>
              <w:top w:color="000000" w:sz="4" w:val="single"/>
              <w:left w:color="000000" w:sz="4" w:val="single"/>
              <w:bottom w:color="000000" w:sz="4" w:val="single"/>
              <w:right w:color="000000" w:sz="4" w:val="single"/>
            </w:tcBorders>
            <w:shd w:fill="FFFFFF" w:val="clear"/>
            <w:vAlign w:val="center"/>
          </w:tcPr>
          <w:p w14:paraId="7034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7134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72340000">
            <w:pPr>
              <w:widowControl w:val="1"/>
              <w:ind/>
              <w:jc w:val="center"/>
              <w:rPr>
                <w:sz w:val="18"/>
              </w:rPr>
            </w:pPr>
            <w:r>
              <w:rPr>
                <w:sz w:val="18"/>
              </w:rPr>
              <w:t>48</w:t>
            </w:r>
          </w:p>
        </w:tc>
        <w:tc>
          <w:tcPr>
            <w:tcW w:type="dxa" w:w="1169"/>
            <w:tcBorders>
              <w:top w:color="000000" w:sz="4" w:val="single"/>
              <w:left w:color="000000" w:sz="4" w:val="single"/>
              <w:bottom w:color="000000" w:sz="4" w:val="single"/>
              <w:right w:color="000000" w:sz="4" w:val="single"/>
            </w:tcBorders>
            <w:shd w:fill="FFFFFF" w:val="clear"/>
            <w:vAlign w:val="center"/>
          </w:tcPr>
          <w:p w14:paraId="73340000">
            <w:pPr>
              <w:widowControl w:val="1"/>
              <w:ind/>
              <w:jc w:val="center"/>
              <w:rPr>
                <w:sz w:val="18"/>
              </w:rPr>
            </w:pPr>
            <w:r>
              <w:rPr>
                <w:sz w:val="18"/>
              </w:rPr>
              <w:t>6720,00</w:t>
            </w:r>
          </w:p>
        </w:tc>
        <w:tc>
          <w:tcPr>
            <w:tcW w:type="dxa" w:w="1185"/>
            <w:tcBorders>
              <w:top w:color="000000" w:sz="4" w:val="single"/>
              <w:left w:color="000000" w:sz="4" w:val="single"/>
              <w:bottom w:color="000000" w:sz="4" w:val="single"/>
              <w:right w:color="000000" w:sz="4" w:val="single"/>
            </w:tcBorders>
            <w:shd w:fill="FFFFFF" w:val="clear"/>
            <w:vAlign w:val="center"/>
          </w:tcPr>
          <w:p w14:paraId="74340000">
            <w:pPr>
              <w:widowControl w:val="1"/>
              <w:ind/>
              <w:jc w:val="center"/>
              <w:rPr>
                <w:sz w:val="18"/>
              </w:rPr>
            </w:pPr>
            <w:r>
              <w:rPr>
                <w:sz w:val="18"/>
              </w:rPr>
              <w:t>6720,00</w:t>
            </w:r>
          </w:p>
        </w:tc>
        <w:tc>
          <w:tcPr>
            <w:tcW w:type="dxa" w:w="1083"/>
            <w:tcBorders>
              <w:top w:color="000000" w:sz="4" w:val="single"/>
              <w:left w:color="000000" w:sz="4" w:val="single"/>
              <w:bottom w:color="000000" w:sz="4" w:val="single"/>
              <w:right w:color="000000" w:sz="4" w:val="single"/>
            </w:tcBorders>
            <w:shd w:fill="FFFFFF" w:val="clear"/>
            <w:vAlign w:val="center"/>
          </w:tcPr>
          <w:p w14:paraId="75340000">
            <w:pPr>
              <w:widowControl w:val="1"/>
              <w:ind/>
              <w:jc w:val="center"/>
              <w:rPr>
                <w:sz w:val="18"/>
              </w:rPr>
            </w:pPr>
            <w:r>
              <w:rPr>
                <w:sz w:val="18"/>
              </w:rPr>
              <w:t>6720,00</w:t>
            </w:r>
          </w:p>
        </w:tc>
        <w:tc>
          <w:tcPr>
            <w:tcW w:type="dxa" w:w="771"/>
            <w:tcBorders>
              <w:top w:color="000000" w:sz="4" w:val="single"/>
              <w:left w:color="000000" w:sz="4" w:val="single"/>
              <w:bottom w:color="000000" w:sz="4" w:val="single"/>
              <w:right w:color="000000" w:sz="4" w:val="single"/>
            </w:tcBorders>
            <w:shd w:fill="FFFFFF" w:val="clear"/>
            <w:vAlign w:val="center"/>
          </w:tcPr>
          <w:p w14:paraId="7634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77340000">
            <w:pPr>
              <w:widowControl w:val="1"/>
              <w:ind/>
              <w:jc w:val="center"/>
              <w:rPr>
                <w:sz w:val="18"/>
              </w:rPr>
            </w:pPr>
            <w:r>
              <w:rPr>
                <w:sz w:val="18"/>
              </w:rPr>
              <w:t>март 2020 г.</w:t>
            </w:r>
          </w:p>
        </w:tc>
        <w:tc>
          <w:tcPr>
            <w:tcW w:type="dxa" w:w="709"/>
            <w:tcBorders>
              <w:top w:color="000000" w:sz="4" w:val="single"/>
              <w:left w:color="000000" w:sz="4" w:val="single"/>
              <w:bottom w:color="000000" w:sz="4" w:val="single"/>
              <w:right w:color="000000" w:sz="4" w:val="single"/>
            </w:tcBorders>
            <w:shd w:fill="FFFFFF" w:val="clear"/>
            <w:vAlign w:val="center"/>
          </w:tcPr>
          <w:p w14:paraId="78340000">
            <w:pPr>
              <w:widowControl w:val="1"/>
              <w:ind/>
              <w:jc w:val="center"/>
              <w:rPr>
                <w:sz w:val="18"/>
              </w:rPr>
            </w:pPr>
            <w:r>
              <w:rPr>
                <w:sz w:val="18"/>
              </w:rPr>
              <w:t>договор № 59 от 01.03.2018</w:t>
            </w:r>
          </w:p>
        </w:tc>
      </w:tr>
      <w:tr>
        <w:trPr>
          <w:trHeight w:hRule="atLeast" w:val="4080"/>
        </w:trPr>
        <w:tc>
          <w:tcPr>
            <w:tcW w:type="dxa" w:w="708"/>
            <w:tcBorders>
              <w:top w:color="000000" w:sz="4" w:val="single"/>
              <w:left w:color="000000" w:sz="4" w:val="single"/>
              <w:bottom w:color="000000" w:sz="4" w:val="single"/>
              <w:right w:color="000000" w:sz="4" w:val="single"/>
            </w:tcBorders>
            <w:shd w:fill="auto" w:val="clear"/>
            <w:vAlign w:val="center"/>
          </w:tcPr>
          <w:p w14:paraId="79340000">
            <w:pPr>
              <w:widowControl w:val="1"/>
              <w:ind/>
              <w:jc w:val="center"/>
              <w:rPr>
                <w:color w:val="000000"/>
                <w:sz w:val="18"/>
              </w:rPr>
            </w:pPr>
            <w:r>
              <w:rPr>
                <w:color w:val="000000"/>
                <w:sz w:val="18"/>
              </w:rPr>
              <w:t>106</w:t>
            </w:r>
          </w:p>
        </w:tc>
        <w:tc>
          <w:tcPr>
            <w:tcW w:type="dxa" w:w="618"/>
            <w:tcBorders>
              <w:top w:color="000000" w:sz="4" w:val="single"/>
              <w:left w:color="000000" w:sz="4" w:val="single"/>
              <w:bottom w:color="000000" w:sz="4" w:val="single"/>
              <w:right w:color="000000" w:sz="4" w:val="single"/>
            </w:tcBorders>
            <w:shd w:fill="FFFFFF" w:val="clear"/>
            <w:vAlign w:val="center"/>
          </w:tcPr>
          <w:p w14:paraId="7A340000">
            <w:pPr>
              <w:widowControl w:val="1"/>
              <w:ind/>
              <w:jc w:val="center"/>
              <w:rPr>
                <w:sz w:val="18"/>
              </w:rPr>
            </w:pPr>
            <w:r>
              <w:rPr>
                <w:sz w:val="18"/>
              </w:rPr>
              <w:t>24/2</w:t>
            </w:r>
          </w:p>
        </w:tc>
        <w:tc>
          <w:tcPr>
            <w:tcW w:type="dxa" w:w="993"/>
            <w:tcBorders>
              <w:top w:color="000000" w:sz="4" w:val="single"/>
              <w:left w:color="000000" w:sz="4" w:val="single"/>
              <w:bottom w:color="000000" w:sz="4" w:val="single"/>
              <w:right w:color="000000" w:sz="4" w:val="single"/>
            </w:tcBorders>
            <w:shd w:fill="FFFFFF" w:val="clear"/>
            <w:vAlign w:val="center"/>
          </w:tcPr>
          <w:p w14:paraId="7B340000">
            <w:pPr>
              <w:widowControl w:val="1"/>
              <w:ind/>
              <w:jc w:val="center"/>
              <w:rPr>
                <w:sz w:val="18"/>
              </w:rPr>
            </w:pPr>
            <w:r>
              <w:rPr>
                <w:sz w:val="18"/>
              </w:rPr>
              <w:t>Оказание услуг по защите имущественных итересов застрахованных лиц, связанных с причинением вреда их здоровью, а также  с их смертью в результате несчастного случая или болезни</w:t>
            </w:r>
          </w:p>
        </w:tc>
        <w:tc>
          <w:tcPr>
            <w:tcW w:type="dxa" w:w="849"/>
            <w:tcBorders>
              <w:top w:color="000000" w:sz="4" w:val="single"/>
              <w:left w:color="000000" w:sz="4" w:val="single"/>
              <w:bottom w:color="000000" w:sz="4" w:val="single"/>
              <w:right w:color="000000" w:sz="4" w:val="single"/>
            </w:tcBorders>
            <w:shd w:fill="FFFFFF" w:val="clear"/>
            <w:vAlign w:val="center"/>
          </w:tcPr>
          <w:p w14:paraId="7C34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7D340000">
            <w:pPr>
              <w:widowControl w:val="1"/>
              <w:ind/>
              <w:jc w:val="center"/>
              <w:rPr>
                <w:sz w:val="18"/>
              </w:rPr>
            </w:pPr>
            <w:r>
              <w:rPr>
                <w:sz w:val="18"/>
              </w:rPr>
              <w:t>164</w:t>
            </w:r>
          </w:p>
        </w:tc>
        <w:tc>
          <w:tcPr>
            <w:tcW w:type="dxa" w:w="991"/>
            <w:tcBorders>
              <w:top w:color="000000" w:sz="4" w:val="single"/>
              <w:left w:color="000000" w:sz="4" w:val="single"/>
              <w:bottom w:color="000000" w:sz="4" w:val="single"/>
              <w:right w:color="000000" w:sz="4" w:val="single"/>
            </w:tcBorders>
            <w:shd w:fill="FFFFFF" w:val="clear"/>
            <w:vAlign w:val="center"/>
          </w:tcPr>
          <w:p w14:paraId="7E340000">
            <w:pPr>
              <w:widowControl w:val="1"/>
              <w:ind/>
              <w:jc w:val="center"/>
              <w:rPr>
                <w:sz w:val="18"/>
              </w:rPr>
            </w:pPr>
            <w:r>
              <w:rPr>
                <w:sz w:val="18"/>
              </w:rPr>
              <w:t>11130,00</w:t>
            </w:r>
          </w:p>
        </w:tc>
        <w:tc>
          <w:tcPr>
            <w:tcW w:type="dxa" w:w="1134"/>
            <w:tcBorders>
              <w:top w:color="000000" w:sz="4" w:val="single"/>
              <w:left w:color="000000" w:sz="4" w:val="single"/>
              <w:bottom w:color="000000" w:sz="4" w:val="single"/>
              <w:right w:color="000000" w:sz="4" w:val="single"/>
            </w:tcBorders>
            <w:shd w:fill="FFFFFF" w:val="clear"/>
            <w:vAlign w:val="center"/>
          </w:tcPr>
          <w:p w14:paraId="7F340000">
            <w:pPr>
              <w:widowControl w:val="1"/>
              <w:ind/>
              <w:jc w:val="center"/>
              <w:rPr>
                <w:sz w:val="18"/>
              </w:rPr>
            </w:pPr>
            <w:r>
              <w:rPr>
                <w:sz w:val="18"/>
              </w:rPr>
              <w:t>11130,00</w:t>
            </w:r>
          </w:p>
        </w:tc>
        <w:tc>
          <w:tcPr>
            <w:tcW w:type="dxa" w:w="993"/>
            <w:tcBorders>
              <w:top w:color="000000" w:sz="4" w:val="single"/>
              <w:left w:color="000000" w:sz="4" w:val="single"/>
              <w:bottom w:color="000000" w:sz="4" w:val="single"/>
              <w:right w:color="000000" w:sz="4" w:val="single"/>
            </w:tcBorders>
            <w:shd w:fill="FFFFFF" w:val="clear"/>
            <w:vAlign w:val="center"/>
          </w:tcPr>
          <w:p w14:paraId="8034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81340000">
            <w:pPr>
              <w:widowControl w:val="1"/>
              <w:ind/>
              <w:jc w:val="center"/>
              <w:rPr>
                <w:sz w:val="18"/>
              </w:rPr>
            </w:pPr>
            <w:r>
              <w:rPr>
                <w:sz w:val="18"/>
              </w:rPr>
              <w:t>март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8234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8334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84340000">
            <w:pPr>
              <w:widowControl w:val="1"/>
              <w:ind/>
              <w:jc w:val="center"/>
              <w:rPr>
                <w:sz w:val="18"/>
              </w:rPr>
            </w:pPr>
            <w:r>
              <w:rPr>
                <w:sz w:val="18"/>
              </w:rPr>
              <w:t>164</w:t>
            </w:r>
          </w:p>
        </w:tc>
        <w:tc>
          <w:tcPr>
            <w:tcW w:type="dxa" w:w="1169"/>
            <w:tcBorders>
              <w:top w:color="000000" w:sz="4" w:val="single"/>
              <w:left w:color="000000" w:sz="4" w:val="single"/>
              <w:bottom w:color="000000" w:sz="4" w:val="single"/>
              <w:right w:color="000000" w:sz="4" w:val="single"/>
            </w:tcBorders>
            <w:shd w:fill="FFFFFF" w:val="clear"/>
            <w:vAlign w:val="center"/>
          </w:tcPr>
          <w:p w14:paraId="85340000">
            <w:pPr>
              <w:widowControl w:val="1"/>
              <w:ind/>
              <w:jc w:val="center"/>
              <w:rPr>
                <w:sz w:val="18"/>
              </w:rPr>
            </w:pPr>
            <w:r>
              <w:rPr>
                <w:sz w:val="18"/>
              </w:rPr>
              <w:t>11152,00</w:t>
            </w:r>
          </w:p>
        </w:tc>
        <w:tc>
          <w:tcPr>
            <w:tcW w:type="dxa" w:w="1185"/>
            <w:tcBorders>
              <w:top w:color="000000" w:sz="4" w:val="single"/>
              <w:left w:color="000000" w:sz="4" w:val="single"/>
              <w:bottom w:color="000000" w:sz="4" w:val="single"/>
              <w:right w:color="000000" w:sz="4" w:val="single"/>
            </w:tcBorders>
            <w:shd w:fill="FFFFFF" w:val="clear"/>
            <w:vAlign w:val="center"/>
          </w:tcPr>
          <w:p w14:paraId="86340000">
            <w:pPr>
              <w:widowControl w:val="1"/>
              <w:ind/>
              <w:jc w:val="center"/>
              <w:rPr>
                <w:sz w:val="18"/>
              </w:rPr>
            </w:pPr>
            <w:r>
              <w:rPr>
                <w:sz w:val="18"/>
              </w:rPr>
              <w:t>11152,00</w:t>
            </w:r>
          </w:p>
        </w:tc>
        <w:tc>
          <w:tcPr>
            <w:tcW w:type="dxa" w:w="1083"/>
            <w:tcBorders>
              <w:top w:color="000000" w:sz="4" w:val="single"/>
              <w:left w:color="000000" w:sz="4" w:val="single"/>
              <w:bottom w:color="000000" w:sz="4" w:val="single"/>
              <w:right w:color="000000" w:sz="4" w:val="single"/>
            </w:tcBorders>
            <w:shd w:fill="FFFFFF" w:val="clear"/>
            <w:vAlign w:val="center"/>
          </w:tcPr>
          <w:p w14:paraId="87340000">
            <w:pPr>
              <w:widowControl w:val="1"/>
              <w:ind/>
              <w:jc w:val="center"/>
              <w:rPr>
                <w:sz w:val="18"/>
              </w:rPr>
            </w:pPr>
            <w:r>
              <w:rPr>
                <w:sz w:val="18"/>
              </w:rPr>
              <w:t>11152,00</w:t>
            </w:r>
          </w:p>
        </w:tc>
        <w:tc>
          <w:tcPr>
            <w:tcW w:type="dxa" w:w="771"/>
            <w:tcBorders>
              <w:top w:color="000000" w:sz="4" w:val="single"/>
              <w:left w:color="000000" w:sz="4" w:val="single"/>
              <w:bottom w:color="000000" w:sz="4" w:val="single"/>
              <w:right w:color="000000" w:sz="4" w:val="single"/>
            </w:tcBorders>
            <w:shd w:fill="FFFFFF" w:val="clear"/>
            <w:vAlign w:val="center"/>
          </w:tcPr>
          <w:p w14:paraId="8834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89340000">
            <w:pPr>
              <w:widowControl w:val="1"/>
              <w:ind/>
              <w:jc w:val="center"/>
              <w:rPr>
                <w:sz w:val="18"/>
              </w:rPr>
            </w:pPr>
            <w:r>
              <w:rPr>
                <w:sz w:val="18"/>
              </w:rPr>
              <w:t>март 2019 г.</w:t>
            </w:r>
          </w:p>
        </w:tc>
        <w:tc>
          <w:tcPr>
            <w:tcW w:type="dxa" w:w="709"/>
            <w:tcBorders>
              <w:top w:color="000000" w:sz="4" w:val="single"/>
              <w:left w:color="000000" w:sz="4" w:val="single"/>
              <w:bottom w:color="000000" w:sz="4" w:val="single"/>
              <w:right w:color="000000" w:sz="4" w:val="single"/>
            </w:tcBorders>
            <w:shd w:fill="FFFFFF" w:val="clear"/>
            <w:vAlign w:val="center"/>
          </w:tcPr>
          <w:p w14:paraId="8A340000">
            <w:pPr>
              <w:widowControl w:val="1"/>
              <w:ind/>
              <w:jc w:val="center"/>
              <w:rPr>
                <w:sz w:val="18"/>
              </w:rPr>
            </w:pPr>
            <w:r>
              <w:rPr>
                <w:sz w:val="18"/>
              </w:rPr>
              <w:t>договор № 182210481 от 12.03.2018</w:t>
            </w:r>
          </w:p>
        </w:tc>
      </w:tr>
      <w:tr>
        <w:trPr>
          <w:trHeight w:hRule="atLeast" w:val="4080"/>
        </w:trPr>
        <w:tc>
          <w:tcPr>
            <w:tcW w:type="dxa" w:w="708"/>
            <w:tcBorders>
              <w:top w:color="000000" w:sz="4" w:val="single"/>
              <w:left w:color="000000" w:sz="4" w:val="single"/>
              <w:bottom w:color="000000" w:sz="4" w:val="single"/>
              <w:right w:color="000000" w:sz="4" w:val="single"/>
            </w:tcBorders>
            <w:shd w:fill="auto" w:val="clear"/>
            <w:vAlign w:val="center"/>
          </w:tcPr>
          <w:p w14:paraId="8B340000">
            <w:pPr>
              <w:widowControl w:val="1"/>
              <w:ind/>
              <w:jc w:val="center"/>
              <w:rPr>
                <w:color w:val="000000"/>
                <w:sz w:val="18"/>
              </w:rPr>
            </w:pPr>
            <w:r>
              <w:rPr>
                <w:color w:val="000000"/>
                <w:sz w:val="18"/>
              </w:rPr>
              <w:t>107</w:t>
            </w:r>
          </w:p>
        </w:tc>
        <w:tc>
          <w:tcPr>
            <w:tcW w:type="dxa" w:w="618"/>
            <w:tcBorders>
              <w:top w:color="000000" w:sz="4" w:val="single"/>
              <w:left w:color="000000" w:sz="4" w:val="single"/>
              <w:bottom w:color="000000" w:sz="4" w:val="single"/>
              <w:right w:color="000000" w:sz="4" w:val="single"/>
            </w:tcBorders>
            <w:shd w:fill="FFFFFF" w:val="clear"/>
            <w:vAlign w:val="center"/>
          </w:tcPr>
          <w:p w14:paraId="8C340000">
            <w:pPr>
              <w:widowControl w:val="1"/>
              <w:ind/>
              <w:jc w:val="center"/>
              <w:rPr>
                <w:sz w:val="18"/>
              </w:rPr>
            </w:pPr>
            <w:r>
              <w:rPr>
                <w:sz w:val="18"/>
              </w:rPr>
              <w:t>25/2</w:t>
            </w:r>
          </w:p>
        </w:tc>
        <w:tc>
          <w:tcPr>
            <w:tcW w:type="dxa" w:w="993"/>
            <w:tcBorders>
              <w:top w:color="000000" w:sz="4" w:val="single"/>
              <w:left w:color="000000" w:sz="4" w:val="single"/>
              <w:bottom w:color="000000" w:sz="4" w:val="single"/>
              <w:right w:color="000000" w:sz="4" w:val="single"/>
            </w:tcBorders>
            <w:shd w:fill="FFFFFF" w:val="clear"/>
            <w:vAlign w:val="center"/>
          </w:tcPr>
          <w:p w14:paraId="8D340000">
            <w:pPr>
              <w:widowControl w:val="1"/>
              <w:ind/>
              <w:jc w:val="center"/>
              <w:rPr>
                <w:sz w:val="18"/>
              </w:rPr>
            </w:pPr>
            <w:r>
              <w:rPr>
                <w:sz w:val="18"/>
              </w:rPr>
              <w:t>Оказание услуг по защите имущественных интересов застрахованных лиц, связанных с риском возникновения затрат при укусе клеща и подозрении на заболевания, передающиеся при укусе клеща</w:t>
            </w:r>
          </w:p>
        </w:tc>
        <w:tc>
          <w:tcPr>
            <w:tcW w:type="dxa" w:w="849"/>
            <w:tcBorders>
              <w:top w:color="000000" w:sz="4" w:val="single"/>
              <w:left w:color="000000" w:sz="4" w:val="single"/>
              <w:bottom w:color="000000" w:sz="4" w:val="single"/>
              <w:right w:color="000000" w:sz="4" w:val="single"/>
            </w:tcBorders>
            <w:shd w:fill="FFFFFF" w:val="clear"/>
            <w:vAlign w:val="center"/>
          </w:tcPr>
          <w:p w14:paraId="8E34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8F340000">
            <w:pPr>
              <w:widowControl w:val="1"/>
              <w:ind/>
              <w:jc w:val="center"/>
              <w:rPr>
                <w:sz w:val="18"/>
              </w:rPr>
            </w:pPr>
            <w:r>
              <w:rPr>
                <w:sz w:val="18"/>
              </w:rPr>
              <w:t>162</w:t>
            </w:r>
          </w:p>
        </w:tc>
        <w:tc>
          <w:tcPr>
            <w:tcW w:type="dxa" w:w="991"/>
            <w:tcBorders>
              <w:top w:color="000000" w:sz="4" w:val="single"/>
              <w:left w:color="000000" w:sz="4" w:val="single"/>
              <w:bottom w:color="000000" w:sz="4" w:val="single"/>
              <w:right w:color="000000" w:sz="4" w:val="single"/>
            </w:tcBorders>
            <w:shd w:fill="FFFFFF" w:val="clear"/>
            <w:vAlign w:val="center"/>
          </w:tcPr>
          <w:p w14:paraId="90340000">
            <w:pPr>
              <w:widowControl w:val="1"/>
              <w:ind/>
              <w:jc w:val="center"/>
              <w:rPr>
                <w:sz w:val="18"/>
              </w:rPr>
            </w:pPr>
            <w:r>
              <w:rPr>
                <w:sz w:val="18"/>
              </w:rPr>
              <w:t>28260,00</w:t>
            </w:r>
          </w:p>
        </w:tc>
        <w:tc>
          <w:tcPr>
            <w:tcW w:type="dxa" w:w="1134"/>
            <w:tcBorders>
              <w:top w:color="000000" w:sz="4" w:val="single"/>
              <w:left w:color="000000" w:sz="4" w:val="single"/>
              <w:bottom w:color="000000" w:sz="4" w:val="single"/>
              <w:right w:color="000000" w:sz="4" w:val="single"/>
            </w:tcBorders>
            <w:shd w:fill="FFFFFF" w:val="clear"/>
            <w:vAlign w:val="center"/>
          </w:tcPr>
          <w:p w14:paraId="91340000">
            <w:pPr>
              <w:widowControl w:val="1"/>
              <w:ind/>
              <w:jc w:val="center"/>
              <w:rPr>
                <w:sz w:val="18"/>
              </w:rPr>
            </w:pPr>
            <w:r>
              <w:rPr>
                <w:sz w:val="18"/>
              </w:rPr>
              <w:t>28260,00</w:t>
            </w:r>
          </w:p>
        </w:tc>
        <w:tc>
          <w:tcPr>
            <w:tcW w:type="dxa" w:w="993"/>
            <w:tcBorders>
              <w:top w:color="000000" w:sz="4" w:val="single"/>
              <w:left w:color="000000" w:sz="4" w:val="single"/>
              <w:bottom w:color="000000" w:sz="4" w:val="single"/>
              <w:right w:color="000000" w:sz="4" w:val="single"/>
            </w:tcBorders>
            <w:shd w:fill="FFFFFF" w:val="clear"/>
            <w:vAlign w:val="center"/>
          </w:tcPr>
          <w:p w14:paraId="9234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3340000">
            <w:pPr>
              <w:widowControl w:val="1"/>
              <w:ind/>
              <w:jc w:val="center"/>
              <w:rPr>
                <w:sz w:val="18"/>
              </w:rPr>
            </w:pPr>
            <w:r>
              <w:rPr>
                <w:sz w:val="18"/>
              </w:rPr>
              <w:t>март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9434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9534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96340000">
            <w:pPr>
              <w:widowControl w:val="1"/>
              <w:ind/>
              <w:jc w:val="center"/>
              <w:rPr>
                <w:sz w:val="18"/>
              </w:rPr>
            </w:pPr>
            <w:r>
              <w:rPr>
                <w:sz w:val="18"/>
              </w:rPr>
              <w:t>162</w:t>
            </w:r>
          </w:p>
        </w:tc>
        <w:tc>
          <w:tcPr>
            <w:tcW w:type="dxa" w:w="1169"/>
            <w:tcBorders>
              <w:top w:color="000000" w:sz="4" w:val="single"/>
              <w:left w:color="000000" w:sz="4" w:val="single"/>
              <w:bottom w:color="000000" w:sz="4" w:val="single"/>
              <w:right w:color="000000" w:sz="4" w:val="single"/>
            </w:tcBorders>
            <w:shd w:fill="FFFFFF" w:val="clear"/>
            <w:vAlign w:val="center"/>
          </w:tcPr>
          <w:p w14:paraId="97340000">
            <w:pPr>
              <w:widowControl w:val="1"/>
              <w:ind/>
              <w:jc w:val="center"/>
              <w:rPr>
                <w:sz w:val="18"/>
              </w:rPr>
            </w:pPr>
            <w:r>
              <w:rPr>
                <w:sz w:val="18"/>
              </w:rPr>
              <w:t>29160,00</w:t>
            </w:r>
          </w:p>
        </w:tc>
        <w:tc>
          <w:tcPr>
            <w:tcW w:type="dxa" w:w="1185"/>
            <w:tcBorders>
              <w:top w:color="000000" w:sz="4" w:val="single"/>
              <w:left w:color="000000" w:sz="4" w:val="single"/>
              <w:bottom w:color="000000" w:sz="4" w:val="single"/>
              <w:right w:color="000000" w:sz="4" w:val="single"/>
            </w:tcBorders>
            <w:shd w:fill="FFFFFF" w:val="clear"/>
            <w:vAlign w:val="center"/>
          </w:tcPr>
          <w:p w14:paraId="98340000">
            <w:pPr>
              <w:widowControl w:val="1"/>
              <w:ind/>
              <w:jc w:val="center"/>
              <w:rPr>
                <w:sz w:val="18"/>
              </w:rPr>
            </w:pPr>
            <w:r>
              <w:rPr>
                <w:sz w:val="18"/>
              </w:rPr>
              <w:t>29160,00</w:t>
            </w:r>
          </w:p>
        </w:tc>
        <w:tc>
          <w:tcPr>
            <w:tcW w:type="dxa" w:w="1083"/>
            <w:tcBorders>
              <w:top w:color="000000" w:sz="4" w:val="single"/>
              <w:left w:color="000000" w:sz="4" w:val="single"/>
              <w:bottom w:color="000000" w:sz="4" w:val="single"/>
              <w:right w:color="000000" w:sz="4" w:val="single"/>
            </w:tcBorders>
            <w:shd w:fill="FFFFFF" w:val="clear"/>
            <w:vAlign w:val="center"/>
          </w:tcPr>
          <w:p w14:paraId="99340000">
            <w:pPr>
              <w:widowControl w:val="1"/>
              <w:ind/>
              <w:jc w:val="center"/>
              <w:rPr>
                <w:sz w:val="18"/>
              </w:rPr>
            </w:pPr>
            <w:r>
              <w:rPr>
                <w:sz w:val="18"/>
              </w:rPr>
              <w:t>29160,00</w:t>
            </w:r>
          </w:p>
        </w:tc>
        <w:tc>
          <w:tcPr>
            <w:tcW w:type="dxa" w:w="771"/>
            <w:tcBorders>
              <w:top w:color="000000" w:sz="4" w:val="single"/>
              <w:left w:color="000000" w:sz="4" w:val="single"/>
              <w:bottom w:color="000000" w:sz="4" w:val="single"/>
              <w:right w:color="000000" w:sz="4" w:val="single"/>
            </w:tcBorders>
            <w:shd w:fill="FFFFFF" w:val="clear"/>
            <w:vAlign w:val="center"/>
          </w:tcPr>
          <w:p w14:paraId="9A34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9B340000">
            <w:pPr>
              <w:widowControl w:val="1"/>
              <w:ind/>
              <w:jc w:val="center"/>
              <w:rPr>
                <w:sz w:val="18"/>
              </w:rPr>
            </w:pPr>
            <w:r>
              <w:rPr>
                <w:sz w:val="18"/>
              </w:rPr>
              <w:t>март 2019 г.</w:t>
            </w:r>
          </w:p>
        </w:tc>
        <w:tc>
          <w:tcPr>
            <w:tcW w:type="dxa" w:w="709"/>
            <w:tcBorders>
              <w:top w:color="000000" w:sz="4" w:val="single"/>
              <w:left w:color="000000" w:sz="4" w:val="single"/>
              <w:bottom w:color="000000" w:sz="4" w:val="single"/>
              <w:right w:color="000000" w:sz="4" w:val="single"/>
            </w:tcBorders>
            <w:shd w:fill="FFFFFF" w:val="clear"/>
            <w:vAlign w:val="center"/>
          </w:tcPr>
          <w:p w14:paraId="9C340000">
            <w:pPr>
              <w:widowControl w:val="1"/>
              <w:ind/>
              <w:jc w:val="center"/>
              <w:rPr>
                <w:sz w:val="18"/>
              </w:rPr>
            </w:pPr>
            <w:r>
              <w:rPr>
                <w:sz w:val="18"/>
              </w:rPr>
              <w:t>договор № 8793/045/Р100005/8 от 14.03.2018</w:t>
            </w:r>
          </w:p>
        </w:tc>
      </w:tr>
      <w:tr>
        <w:trPr>
          <w:trHeight w:hRule="atLeast" w:val="1785"/>
        </w:trPr>
        <w:tc>
          <w:tcPr>
            <w:tcW w:type="dxa" w:w="708"/>
            <w:tcBorders>
              <w:top w:color="000000" w:sz="4" w:val="single"/>
              <w:left w:color="000000" w:sz="4" w:val="single"/>
              <w:bottom w:color="000000" w:sz="4" w:val="single"/>
              <w:right w:color="000000" w:sz="4" w:val="single"/>
            </w:tcBorders>
            <w:shd w:fill="auto" w:val="clear"/>
            <w:vAlign w:val="center"/>
          </w:tcPr>
          <w:p w14:paraId="9D340000">
            <w:pPr>
              <w:widowControl w:val="1"/>
              <w:ind/>
              <w:jc w:val="center"/>
              <w:rPr>
                <w:color w:val="000000"/>
                <w:sz w:val="18"/>
              </w:rPr>
            </w:pPr>
            <w:r>
              <w:rPr>
                <w:color w:val="000000"/>
                <w:sz w:val="18"/>
              </w:rPr>
              <w:t>108</w:t>
            </w:r>
          </w:p>
        </w:tc>
        <w:tc>
          <w:tcPr>
            <w:tcW w:type="dxa" w:w="618"/>
            <w:tcBorders>
              <w:top w:color="000000" w:sz="4" w:val="single"/>
              <w:left w:color="000000" w:sz="4" w:val="single"/>
              <w:bottom w:color="000000" w:sz="4" w:val="single"/>
              <w:right w:color="000000" w:sz="4" w:val="single"/>
            </w:tcBorders>
            <w:shd w:fill="FFFFFF" w:val="clear"/>
            <w:vAlign w:val="center"/>
          </w:tcPr>
          <w:p w14:paraId="9E340000">
            <w:pPr>
              <w:widowControl w:val="1"/>
              <w:ind/>
              <w:jc w:val="center"/>
              <w:rPr>
                <w:sz w:val="18"/>
              </w:rPr>
            </w:pPr>
            <w:r>
              <w:rPr>
                <w:sz w:val="18"/>
              </w:rPr>
              <w:t>26/2</w:t>
            </w:r>
          </w:p>
        </w:tc>
        <w:tc>
          <w:tcPr>
            <w:tcW w:type="dxa" w:w="993"/>
            <w:tcBorders>
              <w:top w:color="000000" w:sz="4" w:val="single"/>
              <w:left w:color="000000" w:sz="4" w:val="single"/>
              <w:bottom w:color="000000" w:sz="4" w:val="single"/>
              <w:right w:color="000000" w:sz="4" w:val="single"/>
            </w:tcBorders>
            <w:shd w:fill="FFFFFF" w:val="clear"/>
            <w:vAlign w:val="center"/>
          </w:tcPr>
          <w:p w14:paraId="9F340000">
            <w:pPr>
              <w:widowControl w:val="1"/>
              <w:ind/>
              <w:jc w:val="center"/>
              <w:rPr>
                <w:sz w:val="18"/>
              </w:rPr>
            </w:pPr>
            <w:r>
              <w:rPr>
                <w:sz w:val="18"/>
              </w:rPr>
              <w:t>Выполнение работ по изготовлению полиграфической продукции (плакаты элпоезд)</w:t>
            </w:r>
          </w:p>
        </w:tc>
        <w:tc>
          <w:tcPr>
            <w:tcW w:type="dxa" w:w="849"/>
            <w:tcBorders>
              <w:top w:color="000000" w:sz="4" w:val="single"/>
              <w:left w:color="000000" w:sz="4" w:val="single"/>
              <w:bottom w:color="000000" w:sz="4" w:val="single"/>
              <w:right w:color="000000" w:sz="4" w:val="single"/>
            </w:tcBorders>
            <w:shd w:fill="FFFFFF" w:val="clear"/>
            <w:vAlign w:val="center"/>
          </w:tcPr>
          <w:p w14:paraId="A034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A1340000">
            <w:pPr>
              <w:widowControl w:val="1"/>
              <w:ind/>
              <w:jc w:val="center"/>
              <w:rPr>
                <w:sz w:val="18"/>
              </w:rPr>
            </w:pPr>
            <w:r>
              <w:rPr>
                <w:sz w:val="18"/>
              </w:rPr>
              <w:t>1720</w:t>
            </w:r>
          </w:p>
        </w:tc>
        <w:tc>
          <w:tcPr>
            <w:tcW w:type="dxa" w:w="991"/>
            <w:tcBorders>
              <w:top w:color="000000" w:sz="4" w:val="single"/>
              <w:left w:color="000000" w:sz="4" w:val="single"/>
              <w:bottom w:color="000000" w:sz="4" w:val="single"/>
              <w:right w:color="000000" w:sz="4" w:val="single"/>
            </w:tcBorders>
            <w:shd w:fill="FFFFFF" w:val="clear"/>
            <w:vAlign w:val="center"/>
          </w:tcPr>
          <w:p w14:paraId="A2340000">
            <w:pPr>
              <w:widowControl w:val="1"/>
              <w:ind/>
              <w:jc w:val="center"/>
              <w:rPr>
                <w:sz w:val="18"/>
              </w:rPr>
            </w:pPr>
            <w:r>
              <w:rPr>
                <w:sz w:val="18"/>
              </w:rPr>
              <w:t>78500,00</w:t>
            </w:r>
          </w:p>
        </w:tc>
        <w:tc>
          <w:tcPr>
            <w:tcW w:type="dxa" w:w="1134"/>
            <w:tcBorders>
              <w:top w:color="000000" w:sz="4" w:val="single"/>
              <w:left w:color="000000" w:sz="4" w:val="single"/>
              <w:bottom w:color="000000" w:sz="4" w:val="single"/>
              <w:right w:color="000000" w:sz="4" w:val="single"/>
            </w:tcBorders>
            <w:shd w:fill="FFFFFF" w:val="clear"/>
            <w:vAlign w:val="center"/>
          </w:tcPr>
          <w:p w14:paraId="A3340000">
            <w:pPr>
              <w:widowControl w:val="1"/>
              <w:ind/>
              <w:jc w:val="center"/>
              <w:rPr>
                <w:sz w:val="18"/>
              </w:rPr>
            </w:pPr>
            <w:r>
              <w:rPr>
                <w:sz w:val="18"/>
              </w:rPr>
              <w:t>78500,00</w:t>
            </w:r>
          </w:p>
        </w:tc>
        <w:tc>
          <w:tcPr>
            <w:tcW w:type="dxa" w:w="993"/>
            <w:tcBorders>
              <w:top w:color="000000" w:sz="4" w:val="single"/>
              <w:left w:color="000000" w:sz="4" w:val="single"/>
              <w:bottom w:color="000000" w:sz="4" w:val="single"/>
              <w:right w:color="000000" w:sz="4" w:val="single"/>
            </w:tcBorders>
            <w:shd w:fill="FFFFFF" w:val="clear"/>
            <w:vAlign w:val="center"/>
          </w:tcPr>
          <w:p w14:paraId="A434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A534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A634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A734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A8340000">
            <w:pPr>
              <w:widowControl w:val="1"/>
              <w:ind/>
              <w:jc w:val="center"/>
              <w:rPr>
                <w:sz w:val="18"/>
              </w:rPr>
            </w:pPr>
            <w:r>
              <w:rPr>
                <w:sz w:val="18"/>
              </w:rPr>
              <w:t>1720</w:t>
            </w:r>
          </w:p>
        </w:tc>
        <w:tc>
          <w:tcPr>
            <w:tcW w:type="dxa" w:w="1169"/>
            <w:tcBorders>
              <w:top w:color="000000" w:sz="4" w:val="single"/>
              <w:left w:color="000000" w:sz="4" w:val="single"/>
              <w:bottom w:color="000000" w:sz="4" w:val="single"/>
              <w:right w:color="000000" w:sz="4" w:val="single"/>
            </w:tcBorders>
            <w:shd w:fill="FFFFFF" w:val="clear"/>
            <w:vAlign w:val="center"/>
          </w:tcPr>
          <w:p w14:paraId="A9340000">
            <w:pPr>
              <w:widowControl w:val="1"/>
              <w:ind/>
              <w:jc w:val="center"/>
              <w:rPr>
                <w:sz w:val="18"/>
              </w:rPr>
            </w:pPr>
            <w:r>
              <w:rPr>
                <w:sz w:val="18"/>
              </w:rPr>
              <w:t>73130,00</w:t>
            </w:r>
          </w:p>
        </w:tc>
        <w:tc>
          <w:tcPr>
            <w:tcW w:type="dxa" w:w="1185"/>
            <w:tcBorders>
              <w:top w:color="000000" w:sz="4" w:val="single"/>
              <w:left w:color="000000" w:sz="4" w:val="single"/>
              <w:bottom w:color="000000" w:sz="4" w:val="single"/>
              <w:right w:color="000000" w:sz="4" w:val="single"/>
            </w:tcBorders>
            <w:shd w:fill="FFFFFF" w:val="clear"/>
            <w:vAlign w:val="center"/>
          </w:tcPr>
          <w:p w14:paraId="AA340000">
            <w:pPr>
              <w:widowControl w:val="1"/>
              <w:ind/>
              <w:jc w:val="center"/>
              <w:rPr>
                <w:sz w:val="18"/>
              </w:rPr>
            </w:pPr>
            <w:r>
              <w:rPr>
                <w:sz w:val="18"/>
              </w:rPr>
              <w:t>73130,00</w:t>
            </w:r>
          </w:p>
        </w:tc>
        <w:tc>
          <w:tcPr>
            <w:tcW w:type="dxa" w:w="1083"/>
            <w:tcBorders>
              <w:top w:color="000000" w:sz="4" w:val="single"/>
              <w:left w:color="000000" w:sz="4" w:val="single"/>
              <w:bottom w:color="000000" w:sz="4" w:val="single"/>
              <w:right w:color="000000" w:sz="4" w:val="single"/>
            </w:tcBorders>
            <w:shd w:fill="FFFFFF" w:val="clear"/>
            <w:vAlign w:val="center"/>
          </w:tcPr>
          <w:p w14:paraId="AB340000">
            <w:pPr>
              <w:widowControl w:val="1"/>
              <w:ind/>
              <w:jc w:val="center"/>
              <w:rPr>
                <w:sz w:val="18"/>
              </w:rPr>
            </w:pPr>
            <w:r>
              <w:rPr>
                <w:sz w:val="18"/>
              </w:rPr>
              <w:t>73130,00</w:t>
            </w:r>
          </w:p>
        </w:tc>
        <w:tc>
          <w:tcPr>
            <w:tcW w:type="dxa" w:w="771"/>
            <w:tcBorders>
              <w:top w:color="000000" w:sz="4" w:val="single"/>
              <w:left w:color="000000" w:sz="4" w:val="single"/>
              <w:bottom w:color="000000" w:sz="4" w:val="single"/>
              <w:right w:color="000000" w:sz="4" w:val="single"/>
            </w:tcBorders>
            <w:shd w:fill="FFFFFF" w:val="clear"/>
            <w:vAlign w:val="center"/>
          </w:tcPr>
          <w:p w14:paraId="AC34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AD34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AE340000">
            <w:pPr>
              <w:widowControl w:val="1"/>
              <w:ind/>
              <w:jc w:val="center"/>
              <w:rPr>
                <w:sz w:val="18"/>
              </w:rPr>
            </w:pPr>
            <w:r>
              <w:rPr>
                <w:sz w:val="18"/>
              </w:rPr>
              <w:t>договор № 59 от 30.03.2018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AF340000">
            <w:pPr>
              <w:widowControl w:val="1"/>
              <w:ind/>
              <w:jc w:val="center"/>
              <w:rPr>
                <w:color w:val="000000"/>
                <w:sz w:val="18"/>
              </w:rPr>
            </w:pPr>
            <w:r>
              <w:rPr>
                <w:color w:val="000000"/>
                <w:sz w:val="18"/>
              </w:rPr>
              <w:t>109</w:t>
            </w:r>
          </w:p>
        </w:tc>
        <w:tc>
          <w:tcPr>
            <w:tcW w:type="dxa" w:w="618"/>
            <w:tcBorders>
              <w:top w:color="000000" w:sz="4" w:val="single"/>
              <w:left w:color="000000" w:sz="4" w:val="single"/>
              <w:bottom w:color="000000" w:sz="4" w:val="single"/>
              <w:right w:color="000000" w:sz="4" w:val="single"/>
            </w:tcBorders>
            <w:shd w:fill="FFFFFF" w:val="clear"/>
            <w:vAlign w:val="center"/>
          </w:tcPr>
          <w:p w14:paraId="B0340000">
            <w:pPr>
              <w:widowControl w:val="1"/>
              <w:ind/>
              <w:jc w:val="center"/>
              <w:rPr>
                <w:color w:val="000000"/>
                <w:sz w:val="18"/>
              </w:rPr>
            </w:pPr>
            <w:r>
              <w:rPr>
                <w:color w:val="000000"/>
                <w:sz w:val="18"/>
              </w:rPr>
              <w:t>27/2</w:t>
            </w:r>
          </w:p>
        </w:tc>
        <w:tc>
          <w:tcPr>
            <w:tcW w:type="dxa" w:w="993"/>
            <w:tcBorders>
              <w:top w:color="000000" w:sz="4" w:val="single"/>
              <w:left w:color="000000" w:sz="4" w:val="single"/>
              <w:bottom w:color="000000" w:sz="4" w:val="single"/>
              <w:right w:color="000000" w:sz="4" w:val="single"/>
            </w:tcBorders>
            <w:shd w:fill="FFFFFF" w:val="clear"/>
            <w:vAlign w:val="center"/>
          </w:tcPr>
          <w:p w14:paraId="B1340000">
            <w:pPr>
              <w:widowControl w:val="1"/>
              <w:ind/>
              <w:jc w:val="center"/>
              <w:rPr>
                <w:color w:val="000000"/>
                <w:sz w:val="18"/>
              </w:rPr>
            </w:pPr>
            <w:r>
              <w:rPr>
                <w:color w:val="000000"/>
                <w:sz w:val="18"/>
              </w:rPr>
              <w:t>оказание услуг адресации доменного имени kraspg.ru</w:t>
            </w:r>
          </w:p>
        </w:tc>
        <w:tc>
          <w:tcPr>
            <w:tcW w:type="dxa" w:w="849"/>
            <w:tcBorders>
              <w:top w:color="000000" w:sz="4" w:val="single"/>
              <w:left w:color="000000" w:sz="4" w:val="single"/>
              <w:bottom w:color="000000" w:sz="4" w:val="single"/>
              <w:right w:color="000000" w:sz="4" w:val="single"/>
            </w:tcBorders>
            <w:shd w:fill="FFFFFF" w:val="clear"/>
            <w:vAlign w:val="center"/>
          </w:tcPr>
          <w:p w14:paraId="B234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334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B4340000">
            <w:pPr>
              <w:widowControl w:val="1"/>
              <w:ind/>
              <w:jc w:val="center"/>
              <w:rPr>
                <w:sz w:val="18"/>
              </w:rPr>
            </w:pPr>
            <w:r>
              <w:rPr>
                <w:sz w:val="18"/>
              </w:rPr>
              <w:t>750,00</w:t>
            </w:r>
          </w:p>
        </w:tc>
        <w:tc>
          <w:tcPr>
            <w:tcW w:type="dxa" w:w="1134"/>
            <w:tcBorders>
              <w:top w:color="000000" w:sz="4" w:val="single"/>
              <w:left w:color="000000" w:sz="4" w:val="single"/>
              <w:bottom w:color="000000" w:sz="4" w:val="single"/>
              <w:right w:color="000000" w:sz="4" w:val="single"/>
            </w:tcBorders>
            <w:shd w:fill="FFFFFF" w:val="clear"/>
            <w:vAlign w:val="center"/>
          </w:tcPr>
          <w:p w14:paraId="B5340000">
            <w:pPr>
              <w:widowControl w:val="1"/>
              <w:ind/>
              <w:jc w:val="center"/>
              <w:rPr>
                <w:sz w:val="18"/>
              </w:rPr>
            </w:pPr>
            <w:r>
              <w:rPr>
                <w:sz w:val="18"/>
              </w:rPr>
              <w:t>750,00</w:t>
            </w:r>
          </w:p>
        </w:tc>
        <w:tc>
          <w:tcPr>
            <w:tcW w:type="dxa" w:w="993"/>
            <w:tcBorders>
              <w:top w:color="000000" w:sz="4" w:val="single"/>
              <w:left w:color="000000" w:sz="4" w:val="single"/>
              <w:bottom w:color="000000" w:sz="4" w:val="single"/>
              <w:right w:color="000000" w:sz="4" w:val="single"/>
            </w:tcBorders>
            <w:shd w:fill="FFFFFF" w:val="clear"/>
            <w:vAlign w:val="center"/>
          </w:tcPr>
          <w:p w14:paraId="B634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B7340000">
            <w:pPr>
              <w:widowControl w:val="1"/>
              <w:ind/>
              <w:jc w:val="center"/>
              <w:rPr>
                <w:sz w:val="18"/>
              </w:rPr>
            </w:pPr>
            <w:r>
              <w:rPr>
                <w:sz w:val="18"/>
              </w:rPr>
              <w:t>апрель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B834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B934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BA34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BB340000">
            <w:pPr>
              <w:widowControl w:val="1"/>
              <w:ind/>
              <w:jc w:val="center"/>
              <w:rPr>
                <w:sz w:val="18"/>
              </w:rPr>
            </w:pPr>
            <w:r>
              <w:rPr>
                <w:sz w:val="18"/>
              </w:rPr>
              <w:t>750,00</w:t>
            </w:r>
          </w:p>
        </w:tc>
        <w:tc>
          <w:tcPr>
            <w:tcW w:type="dxa" w:w="1185"/>
            <w:tcBorders>
              <w:top w:color="000000" w:sz="4" w:val="single"/>
              <w:left w:color="000000" w:sz="4" w:val="single"/>
              <w:bottom w:color="000000" w:sz="4" w:val="single"/>
              <w:right w:color="000000" w:sz="4" w:val="single"/>
            </w:tcBorders>
            <w:shd w:fill="FFFFFF" w:val="clear"/>
            <w:vAlign w:val="center"/>
          </w:tcPr>
          <w:p w14:paraId="BC340000">
            <w:pPr>
              <w:widowControl w:val="1"/>
              <w:ind/>
              <w:jc w:val="center"/>
              <w:rPr>
                <w:sz w:val="18"/>
              </w:rPr>
            </w:pPr>
            <w:r>
              <w:rPr>
                <w:sz w:val="18"/>
              </w:rPr>
              <w:t>750,00</w:t>
            </w:r>
          </w:p>
        </w:tc>
        <w:tc>
          <w:tcPr>
            <w:tcW w:type="dxa" w:w="1083"/>
            <w:tcBorders>
              <w:top w:color="000000" w:sz="4" w:val="single"/>
              <w:left w:color="000000" w:sz="4" w:val="single"/>
              <w:bottom w:color="000000" w:sz="4" w:val="single"/>
              <w:right w:color="000000" w:sz="4" w:val="single"/>
            </w:tcBorders>
            <w:shd w:fill="FFFFFF" w:val="clear"/>
            <w:vAlign w:val="center"/>
          </w:tcPr>
          <w:p w14:paraId="BD340000">
            <w:pPr>
              <w:widowControl w:val="1"/>
              <w:ind/>
              <w:jc w:val="center"/>
              <w:rPr>
                <w:sz w:val="18"/>
              </w:rPr>
            </w:pPr>
            <w:r>
              <w:rPr>
                <w:sz w:val="18"/>
              </w:rPr>
              <w:t>750,00</w:t>
            </w:r>
          </w:p>
        </w:tc>
        <w:tc>
          <w:tcPr>
            <w:tcW w:type="dxa" w:w="771"/>
            <w:tcBorders>
              <w:top w:color="000000" w:sz="4" w:val="single"/>
              <w:left w:color="000000" w:sz="4" w:val="single"/>
              <w:bottom w:color="000000" w:sz="4" w:val="single"/>
              <w:right w:color="000000" w:sz="4" w:val="single"/>
            </w:tcBorders>
            <w:shd w:fill="FFFFFF" w:val="clear"/>
            <w:vAlign w:val="center"/>
          </w:tcPr>
          <w:p w14:paraId="BE34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BF340000">
            <w:pPr>
              <w:widowControl w:val="1"/>
              <w:ind/>
              <w:jc w:val="center"/>
              <w:rPr>
                <w:sz w:val="18"/>
              </w:rPr>
            </w:pPr>
            <w:r>
              <w:rPr>
                <w:sz w:val="18"/>
              </w:rPr>
              <w:t>апрель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C0340000">
            <w:pPr>
              <w:widowControl w:val="1"/>
              <w:ind/>
              <w:jc w:val="center"/>
              <w:rPr>
                <w:sz w:val="18"/>
              </w:rPr>
            </w:pPr>
            <w:r>
              <w:rPr>
                <w:sz w:val="18"/>
              </w:rPr>
              <w:t>счет № 2867730-352506/NIC-D от 30.03.2018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C1340000">
            <w:pPr>
              <w:widowControl w:val="1"/>
              <w:ind/>
              <w:jc w:val="center"/>
              <w:rPr>
                <w:color w:val="000000"/>
                <w:sz w:val="18"/>
              </w:rPr>
            </w:pPr>
            <w:r>
              <w:rPr>
                <w:color w:val="000000"/>
                <w:sz w:val="18"/>
              </w:rPr>
              <w:t>110</w:t>
            </w:r>
          </w:p>
        </w:tc>
        <w:tc>
          <w:tcPr>
            <w:tcW w:type="dxa" w:w="618"/>
            <w:tcBorders>
              <w:top w:color="000000" w:sz="4" w:val="single"/>
              <w:left w:color="000000" w:sz="4" w:val="single"/>
              <w:bottom w:color="000000" w:sz="4" w:val="single"/>
              <w:right w:color="000000" w:sz="4" w:val="single"/>
            </w:tcBorders>
            <w:shd w:fill="FFFFFF" w:val="clear"/>
            <w:vAlign w:val="center"/>
          </w:tcPr>
          <w:p w14:paraId="C2340000">
            <w:pPr>
              <w:widowControl w:val="1"/>
              <w:ind/>
              <w:jc w:val="center"/>
              <w:rPr>
                <w:sz w:val="18"/>
              </w:rPr>
            </w:pPr>
            <w:r>
              <w:rPr>
                <w:sz w:val="18"/>
              </w:rPr>
              <w:t>28/2</w:t>
            </w:r>
          </w:p>
        </w:tc>
        <w:tc>
          <w:tcPr>
            <w:tcW w:type="dxa" w:w="993"/>
            <w:tcBorders>
              <w:top w:color="000000" w:sz="4" w:val="single"/>
              <w:left w:color="000000" w:sz="4" w:val="single"/>
              <w:bottom w:color="000000" w:sz="4" w:val="single"/>
              <w:right w:color="000000" w:sz="4" w:val="single"/>
            </w:tcBorders>
            <w:shd w:fill="FFFFFF" w:val="clear"/>
            <w:vAlign w:val="center"/>
          </w:tcPr>
          <w:p w14:paraId="C3340000">
            <w:pPr>
              <w:widowControl w:val="1"/>
              <w:ind/>
              <w:jc w:val="center"/>
              <w:rPr>
                <w:color w:val="000000"/>
                <w:sz w:val="18"/>
              </w:rPr>
            </w:pPr>
            <w:r>
              <w:rPr>
                <w:color w:val="000000"/>
                <w:sz w:val="18"/>
              </w:rPr>
              <w:t>Оказания услуг страхования ОСАГО ГАЗ 330202</w:t>
            </w:r>
          </w:p>
        </w:tc>
        <w:tc>
          <w:tcPr>
            <w:tcW w:type="dxa" w:w="849"/>
            <w:tcBorders>
              <w:top w:color="000000" w:sz="4" w:val="single"/>
              <w:left w:color="000000" w:sz="4" w:val="single"/>
              <w:bottom w:color="000000" w:sz="4" w:val="single"/>
              <w:right w:color="000000" w:sz="4" w:val="single"/>
            </w:tcBorders>
            <w:shd w:fill="FFFFFF" w:val="clear"/>
            <w:vAlign w:val="center"/>
          </w:tcPr>
          <w:p w14:paraId="C434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C534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C6340000">
            <w:pPr>
              <w:widowControl w:val="1"/>
              <w:ind/>
              <w:jc w:val="center"/>
              <w:rPr>
                <w:sz w:val="18"/>
              </w:rPr>
            </w:pPr>
            <w:r>
              <w:rPr>
                <w:sz w:val="18"/>
              </w:rPr>
              <w:t>9000,00</w:t>
            </w:r>
          </w:p>
        </w:tc>
        <w:tc>
          <w:tcPr>
            <w:tcW w:type="dxa" w:w="1134"/>
            <w:tcBorders>
              <w:top w:color="000000" w:sz="4" w:val="single"/>
              <w:left w:color="000000" w:sz="4" w:val="single"/>
              <w:bottom w:color="000000" w:sz="4" w:val="single"/>
              <w:right w:color="000000" w:sz="4" w:val="single"/>
            </w:tcBorders>
            <w:shd w:fill="FFFFFF" w:val="clear"/>
            <w:vAlign w:val="center"/>
          </w:tcPr>
          <w:p w14:paraId="C7340000">
            <w:pPr>
              <w:widowControl w:val="1"/>
              <w:ind/>
              <w:jc w:val="center"/>
              <w:rPr>
                <w:sz w:val="18"/>
              </w:rPr>
            </w:pPr>
            <w:r>
              <w:rPr>
                <w:sz w:val="18"/>
              </w:rPr>
              <w:t>9000,00</w:t>
            </w:r>
          </w:p>
        </w:tc>
        <w:tc>
          <w:tcPr>
            <w:tcW w:type="dxa" w:w="993"/>
            <w:tcBorders>
              <w:top w:color="000000" w:sz="4" w:val="single"/>
              <w:left w:color="000000" w:sz="4" w:val="single"/>
              <w:bottom w:color="000000" w:sz="4" w:val="single"/>
              <w:right w:color="000000" w:sz="4" w:val="single"/>
            </w:tcBorders>
            <w:shd w:fill="FFFFFF" w:val="clear"/>
            <w:vAlign w:val="center"/>
          </w:tcPr>
          <w:p w14:paraId="C8340000">
            <w:pPr>
              <w:widowControl w:val="1"/>
              <w:ind/>
              <w:jc w:val="center"/>
              <w:rPr>
                <w:sz w:val="18"/>
              </w:rPr>
            </w:pPr>
            <w:r>
              <w:rPr>
                <w:sz w:val="18"/>
              </w:rPr>
              <w:t>апрель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C9340000">
            <w:pPr>
              <w:widowControl w:val="1"/>
              <w:ind/>
              <w:jc w:val="center"/>
              <w:rPr>
                <w:sz w:val="18"/>
              </w:rPr>
            </w:pPr>
            <w:r>
              <w:rPr>
                <w:sz w:val="18"/>
              </w:rPr>
              <w:t>апрель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CA34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CB34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CC34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CD340000">
            <w:pPr>
              <w:widowControl w:val="1"/>
              <w:ind/>
              <w:jc w:val="center"/>
              <w:rPr>
                <w:sz w:val="18"/>
              </w:rPr>
            </w:pPr>
            <w:r>
              <w:rPr>
                <w:sz w:val="18"/>
              </w:rPr>
              <w:t>8503,25</w:t>
            </w:r>
          </w:p>
        </w:tc>
        <w:tc>
          <w:tcPr>
            <w:tcW w:type="dxa" w:w="1185"/>
            <w:tcBorders>
              <w:top w:color="000000" w:sz="4" w:val="single"/>
              <w:left w:color="000000" w:sz="4" w:val="single"/>
              <w:bottom w:color="000000" w:sz="4" w:val="single"/>
              <w:right w:color="000000" w:sz="4" w:val="single"/>
            </w:tcBorders>
            <w:shd w:fill="FFFFFF" w:val="clear"/>
            <w:vAlign w:val="center"/>
          </w:tcPr>
          <w:p w14:paraId="CE340000">
            <w:pPr>
              <w:widowControl w:val="1"/>
              <w:ind/>
              <w:jc w:val="center"/>
              <w:rPr>
                <w:sz w:val="18"/>
              </w:rPr>
            </w:pPr>
            <w:r>
              <w:rPr>
                <w:sz w:val="18"/>
              </w:rPr>
              <w:t>8503,25</w:t>
            </w:r>
          </w:p>
        </w:tc>
        <w:tc>
          <w:tcPr>
            <w:tcW w:type="dxa" w:w="1083"/>
            <w:tcBorders>
              <w:top w:color="000000" w:sz="4" w:val="single"/>
              <w:left w:color="000000" w:sz="4" w:val="single"/>
              <w:bottom w:color="000000" w:sz="4" w:val="single"/>
              <w:right w:color="000000" w:sz="4" w:val="single"/>
            </w:tcBorders>
            <w:shd w:fill="FFFFFF" w:val="clear"/>
            <w:vAlign w:val="center"/>
          </w:tcPr>
          <w:p w14:paraId="CF340000">
            <w:pPr>
              <w:widowControl w:val="1"/>
              <w:ind/>
              <w:jc w:val="center"/>
              <w:rPr>
                <w:sz w:val="18"/>
              </w:rPr>
            </w:pPr>
            <w:r>
              <w:rPr>
                <w:sz w:val="18"/>
              </w:rPr>
              <w:t>8503,25</w:t>
            </w:r>
          </w:p>
        </w:tc>
        <w:tc>
          <w:tcPr>
            <w:tcW w:type="dxa" w:w="771"/>
            <w:tcBorders>
              <w:top w:color="000000" w:sz="4" w:val="single"/>
              <w:left w:color="000000" w:sz="4" w:val="single"/>
              <w:bottom w:color="000000" w:sz="4" w:val="single"/>
              <w:right w:color="000000" w:sz="4" w:val="single"/>
            </w:tcBorders>
            <w:shd w:fill="FFFFFF" w:val="clear"/>
            <w:vAlign w:val="center"/>
          </w:tcPr>
          <w:p w14:paraId="D0340000">
            <w:pPr>
              <w:widowControl w:val="1"/>
              <w:ind/>
              <w:jc w:val="center"/>
              <w:rPr>
                <w:sz w:val="18"/>
              </w:rPr>
            </w:pPr>
            <w:r>
              <w:rPr>
                <w:sz w:val="18"/>
              </w:rPr>
              <w:t>апрель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D1340000">
            <w:pPr>
              <w:widowControl w:val="1"/>
              <w:ind/>
              <w:jc w:val="center"/>
              <w:rPr>
                <w:sz w:val="18"/>
              </w:rPr>
            </w:pPr>
            <w:r>
              <w:rPr>
                <w:sz w:val="18"/>
              </w:rPr>
              <w:t>апрель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D2340000">
            <w:pPr>
              <w:widowControl w:val="1"/>
              <w:ind/>
              <w:jc w:val="center"/>
              <w:rPr>
                <w:sz w:val="18"/>
              </w:rPr>
            </w:pPr>
            <w:r>
              <w:rPr>
                <w:sz w:val="18"/>
              </w:rPr>
              <w:t>договор № 184221004 от 26.04.2018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D3340000">
            <w:pPr>
              <w:widowControl w:val="1"/>
              <w:ind/>
              <w:jc w:val="center"/>
              <w:rPr>
                <w:color w:val="000000"/>
                <w:sz w:val="18"/>
              </w:rPr>
            </w:pPr>
            <w:r>
              <w:rPr>
                <w:color w:val="000000"/>
                <w:sz w:val="18"/>
              </w:rPr>
              <w:t>111</w:t>
            </w:r>
          </w:p>
        </w:tc>
        <w:tc>
          <w:tcPr>
            <w:tcW w:type="dxa" w:w="618"/>
            <w:tcBorders>
              <w:top w:color="000000" w:sz="4" w:val="single"/>
              <w:left w:color="000000" w:sz="4" w:val="single"/>
              <w:bottom w:color="000000" w:sz="4" w:val="single"/>
              <w:right w:color="000000" w:sz="4" w:val="single"/>
            </w:tcBorders>
            <w:shd w:fill="FFFFFF" w:val="clear"/>
            <w:vAlign w:val="center"/>
          </w:tcPr>
          <w:p w14:paraId="D4340000">
            <w:pPr>
              <w:widowControl w:val="1"/>
              <w:ind/>
              <w:jc w:val="center"/>
              <w:rPr>
                <w:sz w:val="18"/>
              </w:rPr>
            </w:pPr>
            <w:r>
              <w:rPr>
                <w:sz w:val="18"/>
              </w:rPr>
              <w:t>30/2</w:t>
            </w:r>
          </w:p>
        </w:tc>
        <w:tc>
          <w:tcPr>
            <w:tcW w:type="dxa" w:w="993"/>
            <w:tcBorders>
              <w:top w:color="000000" w:sz="4" w:val="single"/>
              <w:left w:color="000000" w:sz="4" w:val="single"/>
              <w:bottom w:color="000000" w:sz="4" w:val="single"/>
              <w:right w:color="000000" w:sz="4" w:val="single"/>
            </w:tcBorders>
            <w:shd w:fill="FFFFFF" w:val="clear"/>
            <w:vAlign w:val="center"/>
          </w:tcPr>
          <w:p w14:paraId="D5340000">
            <w:pPr>
              <w:widowControl w:val="1"/>
              <w:ind/>
              <w:jc w:val="center"/>
              <w:rPr>
                <w:sz w:val="18"/>
              </w:rPr>
            </w:pPr>
            <w:r>
              <w:rPr>
                <w:sz w:val="18"/>
              </w:rPr>
              <w:t>Поставка бланков строгого учета</w:t>
            </w:r>
          </w:p>
        </w:tc>
        <w:tc>
          <w:tcPr>
            <w:tcW w:type="dxa" w:w="849"/>
            <w:tcBorders>
              <w:top w:color="000000" w:sz="4" w:val="single"/>
              <w:left w:color="000000" w:sz="4" w:val="single"/>
              <w:bottom w:color="000000" w:sz="4" w:val="single"/>
              <w:right w:color="000000" w:sz="4" w:val="single"/>
            </w:tcBorders>
            <w:shd w:fill="FFFFFF" w:val="clear"/>
            <w:vAlign w:val="center"/>
          </w:tcPr>
          <w:p w14:paraId="D634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D7340000">
            <w:pPr>
              <w:widowControl w:val="1"/>
              <w:ind/>
              <w:jc w:val="center"/>
              <w:rPr>
                <w:sz w:val="18"/>
              </w:rPr>
            </w:pPr>
            <w:r>
              <w:rPr>
                <w:sz w:val="18"/>
              </w:rPr>
              <w:t>10</w:t>
            </w:r>
          </w:p>
        </w:tc>
        <w:tc>
          <w:tcPr>
            <w:tcW w:type="dxa" w:w="991"/>
            <w:tcBorders>
              <w:top w:color="000000" w:sz="4" w:val="single"/>
              <w:left w:color="000000" w:sz="4" w:val="single"/>
              <w:bottom w:color="000000" w:sz="4" w:val="single"/>
              <w:right w:color="000000" w:sz="4" w:val="single"/>
            </w:tcBorders>
            <w:shd w:fill="FFFFFF" w:val="clear"/>
            <w:vAlign w:val="center"/>
          </w:tcPr>
          <w:p w14:paraId="D8340000">
            <w:pPr>
              <w:widowControl w:val="1"/>
              <w:ind/>
              <w:jc w:val="center"/>
              <w:rPr>
                <w:sz w:val="18"/>
              </w:rPr>
            </w:pPr>
            <w:r>
              <w:rPr>
                <w:sz w:val="18"/>
              </w:rPr>
              <w:t>88644,07</w:t>
            </w:r>
          </w:p>
        </w:tc>
        <w:tc>
          <w:tcPr>
            <w:tcW w:type="dxa" w:w="1134"/>
            <w:tcBorders>
              <w:top w:color="000000" w:sz="4" w:val="single"/>
              <w:left w:color="000000" w:sz="4" w:val="single"/>
              <w:bottom w:color="000000" w:sz="4" w:val="single"/>
              <w:right w:color="000000" w:sz="4" w:val="single"/>
            </w:tcBorders>
            <w:shd w:fill="FFFFFF" w:val="clear"/>
            <w:vAlign w:val="center"/>
          </w:tcPr>
          <w:p w14:paraId="D9340000">
            <w:pPr>
              <w:widowControl w:val="1"/>
              <w:ind/>
              <w:jc w:val="center"/>
              <w:rPr>
                <w:sz w:val="18"/>
              </w:rPr>
            </w:pPr>
            <w:r>
              <w:rPr>
                <w:sz w:val="18"/>
              </w:rPr>
              <w:t>104600,00</w:t>
            </w:r>
          </w:p>
        </w:tc>
        <w:tc>
          <w:tcPr>
            <w:tcW w:type="dxa" w:w="993"/>
            <w:tcBorders>
              <w:top w:color="000000" w:sz="4" w:val="single"/>
              <w:left w:color="000000" w:sz="4" w:val="single"/>
              <w:bottom w:color="000000" w:sz="4" w:val="single"/>
              <w:right w:color="000000" w:sz="4" w:val="single"/>
            </w:tcBorders>
            <w:shd w:fill="FFFFFF" w:val="clear"/>
            <w:vAlign w:val="center"/>
          </w:tcPr>
          <w:p w14:paraId="DA340000">
            <w:pPr>
              <w:widowControl w:val="1"/>
              <w:ind/>
              <w:jc w:val="center"/>
              <w:rPr>
                <w:sz w:val="18"/>
              </w:rPr>
            </w:pPr>
            <w:r>
              <w:rPr>
                <w:sz w:val="18"/>
              </w:rPr>
              <w:t>май 2018 г.</w:t>
            </w:r>
          </w:p>
        </w:tc>
        <w:tc>
          <w:tcPr>
            <w:tcW w:type="dxa" w:w="850"/>
            <w:tcBorders>
              <w:top w:color="000000" w:sz="4" w:val="single"/>
              <w:left w:color="000000" w:sz="4" w:val="single"/>
              <w:bottom w:color="000000" w:sz="4" w:val="single"/>
              <w:right w:color="000000" w:sz="4" w:val="single"/>
            </w:tcBorders>
            <w:shd w:fill="FFFFFF" w:val="clear"/>
            <w:vAlign w:val="center"/>
          </w:tcPr>
          <w:p w14:paraId="DB34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DC340000">
            <w:pPr>
              <w:widowControl w:val="1"/>
              <w:ind/>
              <w:jc w:val="center"/>
              <w:rPr>
                <w:sz w:val="18"/>
              </w:rPr>
            </w:pPr>
            <w:r>
              <w:rPr>
                <w:sz w:val="18"/>
              </w:rPr>
              <w:t>31806442221</w:t>
            </w:r>
          </w:p>
        </w:tc>
        <w:tc>
          <w:tcPr>
            <w:tcW w:type="dxa" w:w="652"/>
            <w:tcBorders>
              <w:top w:color="000000" w:sz="4" w:val="single"/>
              <w:left w:color="000000" w:sz="4" w:val="single"/>
              <w:bottom w:color="000000" w:sz="4" w:val="single"/>
              <w:right w:color="000000" w:sz="4" w:val="single"/>
            </w:tcBorders>
            <w:shd w:fill="FFFFFF" w:val="clear"/>
            <w:vAlign w:val="center"/>
          </w:tcPr>
          <w:p w14:paraId="DD34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DE340000">
            <w:pPr>
              <w:widowControl w:val="1"/>
              <w:ind/>
              <w:jc w:val="center"/>
              <w:rPr>
                <w:sz w:val="18"/>
              </w:rPr>
            </w:pPr>
            <w:r>
              <w:rPr>
                <w:sz w:val="18"/>
              </w:rPr>
              <w:t>10</w:t>
            </w:r>
          </w:p>
        </w:tc>
        <w:tc>
          <w:tcPr>
            <w:tcW w:type="dxa" w:w="1169"/>
            <w:tcBorders>
              <w:top w:color="000000" w:sz="4" w:val="single"/>
              <w:left w:color="000000" w:sz="4" w:val="single"/>
              <w:bottom w:color="000000" w:sz="4" w:val="single"/>
              <w:right w:color="000000" w:sz="4" w:val="single"/>
            </w:tcBorders>
            <w:shd w:fill="FFFFFF" w:val="clear"/>
            <w:vAlign w:val="center"/>
          </w:tcPr>
          <w:p w14:paraId="DF340000">
            <w:pPr>
              <w:widowControl w:val="1"/>
              <w:ind/>
              <w:jc w:val="center"/>
              <w:rPr>
                <w:sz w:val="18"/>
              </w:rPr>
            </w:pPr>
            <w:r>
              <w:rPr>
                <w:sz w:val="18"/>
              </w:rPr>
              <w:t>88644,06</w:t>
            </w:r>
          </w:p>
        </w:tc>
        <w:tc>
          <w:tcPr>
            <w:tcW w:type="dxa" w:w="1185"/>
            <w:tcBorders>
              <w:top w:color="000000" w:sz="4" w:val="single"/>
              <w:left w:color="000000" w:sz="4" w:val="single"/>
              <w:bottom w:color="000000" w:sz="4" w:val="single"/>
              <w:right w:color="000000" w:sz="4" w:val="single"/>
            </w:tcBorders>
            <w:shd w:fill="FFFFFF" w:val="clear"/>
            <w:vAlign w:val="center"/>
          </w:tcPr>
          <w:p w14:paraId="E0340000">
            <w:pPr>
              <w:widowControl w:val="1"/>
              <w:ind/>
              <w:jc w:val="center"/>
              <w:rPr>
                <w:sz w:val="18"/>
              </w:rPr>
            </w:pPr>
            <w:r>
              <w:rPr>
                <w:sz w:val="18"/>
              </w:rPr>
              <w:t>104600,00</w:t>
            </w:r>
          </w:p>
        </w:tc>
        <w:tc>
          <w:tcPr>
            <w:tcW w:type="dxa" w:w="1083"/>
            <w:tcBorders>
              <w:top w:color="000000" w:sz="4" w:val="single"/>
              <w:left w:color="000000" w:sz="4" w:val="single"/>
              <w:bottom w:color="000000" w:sz="4" w:val="single"/>
              <w:right w:color="000000" w:sz="4" w:val="single"/>
            </w:tcBorders>
            <w:shd w:fill="FFFFFF" w:val="clear"/>
            <w:vAlign w:val="center"/>
          </w:tcPr>
          <w:p w14:paraId="E1340000">
            <w:pPr>
              <w:widowControl w:val="1"/>
              <w:ind/>
              <w:jc w:val="center"/>
              <w:rPr>
                <w:sz w:val="18"/>
              </w:rPr>
            </w:pPr>
            <w:r>
              <w:rPr>
                <w:sz w:val="18"/>
              </w:rPr>
              <w:t>104600,00</w:t>
            </w:r>
          </w:p>
        </w:tc>
        <w:tc>
          <w:tcPr>
            <w:tcW w:type="dxa" w:w="771"/>
            <w:tcBorders>
              <w:top w:color="000000" w:sz="4" w:val="single"/>
              <w:left w:color="000000" w:sz="4" w:val="single"/>
              <w:bottom w:color="000000" w:sz="4" w:val="single"/>
              <w:right w:color="000000" w:sz="4" w:val="single"/>
            </w:tcBorders>
            <w:shd w:fill="FFFFFF" w:val="clear"/>
            <w:vAlign w:val="center"/>
          </w:tcPr>
          <w:p w14:paraId="E2340000">
            <w:pPr>
              <w:widowControl w:val="1"/>
              <w:ind/>
              <w:jc w:val="center"/>
              <w:rPr>
                <w:sz w:val="18"/>
              </w:rPr>
            </w:pPr>
            <w:r>
              <w:rPr>
                <w:sz w:val="18"/>
              </w:rPr>
              <w:t>май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334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E4340000">
            <w:pPr>
              <w:widowControl w:val="1"/>
              <w:ind/>
              <w:jc w:val="center"/>
              <w:rPr>
                <w:sz w:val="18"/>
              </w:rPr>
            </w:pPr>
            <w:r>
              <w:rPr>
                <w:sz w:val="18"/>
              </w:rPr>
              <w:t>договор № 71 от 03.05.2018</w:t>
            </w:r>
          </w:p>
        </w:tc>
      </w:tr>
      <w:tr>
        <w:trPr>
          <w:trHeight w:hRule="atLeast" w:val="2295"/>
        </w:trPr>
        <w:tc>
          <w:tcPr>
            <w:tcW w:type="dxa" w:w="708"/>
            <w:tcBorders>
              <w:top w:color="000000" w:sz="4" w:val="single"/>
              <w:left w:color="000000" w:sz="4" w:val="single"/>
              <w:bottom w:color="000000" w:sz="4" w:val="single"/>
              <w:right w:color="000000" w:sz="4" w:val="single"/>
            </w:tcBorders>
            <w:shd w:fill="auto" w:val="clear"/>
            <w:vAlign w:val="center"/>
          </w:tcPr>
          <w:p w14:paraId="E5340000">
            <w:pPr>
              <w:widowControl w:val="1"/>
              <w:ind/>
              <w:jc w:val="center"/>
              <w:rPr>
                <w:color w:val="000000"/>
                <w:sz w:val="18"/>
              </w:rPr>
            </w:pPr>
            <w:r>
              <w:rPr>
                <w:color w:val="000000"/>
                <w:sz w:val="18"/>
              </w:rPr>
              <w:t>112</w:t>
            </w:r>
          </w:p>
        </w:tc>
        <w:tc>
          <w:tcPr>
            <w:tcW w:type="dxa" w:w="618"/>
            <w:tcBorders>
              <w:top w:color="000000" w:sz="4" w:val="single"/>
              <w:left w:color="000000" w:sz="4" w:val="single"/>
              <w:bottom w:color="000000" w:sz="4" w:val="single"/>
              <w:right w:color="000000" w:sz="4" w:val="single"/>
            </w:tcBorders>
            <w:shd w:fill="FFFFFF" w:val="clear"/>
            <w:vAlign w:val="center"/>
          </w:tcPr>
          <w:p w14:paraId="E6340000">
            <w:pPr>
              <w:widowControl w:val="1"/>
              <w:ind/>
              <w:jc w:val="center"/>
              <w:rPr>
                <w:sz w:val="18"/>
              </w:rPr>
            </w:pPr>
            <w:r>
              <w:rPr>
                <w:sz w:val="18"/>
              </w:rPr>
              <w:t>31/2</w:t>
            </w:r>
          </w:p>
        </w:tc>
        <w:tc>
          <w:tcPr>
            <w:tcW w:type="dxa" w:w="993"/>
            <w:tcBorders>
              <w:top w:color="000000" w:sz="4" w:val="single"/>
              <w:left w:color="000000" w:sz="4" w:val="single"/>
              <w:bottom w:color="000000" w:sz="4" w:val="single"/>
              <w:right w:color="000000" w:sz="4" w:val="single"/>
            </w:tcBorders>
            <w:shd w:fill="FFFFFF" w:val="clear"/>
            <w:vAlign w:val="center"/>
          </w:tcPr>
          <w:p w14:paraId="E7340000">
            <w:pPr>
              <w:widowControl w:val="1"/>
              <w:ind/>
              <w:jc w:val="center"/>
              <w:rPr>
                <w:color w:val="000000"/>
                <w:sz w:val="18"/>
              </w:rPr>
            </w:pPr>
            <w:r>
              <w:rPr>
                <w:color w:val="000000"/>
                <w:sz w:val="18"/>
              </w:rPr>
              <w:t>Оказание услуг генерации квалифицированного сертификата ключа проверки электронной подписи</w:t>
            </w:r>
          </w:p>
        </w:tc>
        <w:tc>
          <w:tcPr>
            <w:tcW w:type="dxa" w:w="849"/>
            <w:tcBorders>
              <w:top w:color="000000" w:sz="4" w:val="single"/>
              <w:left w:color="000000" w:sz="4" w:val="single"/>
              <w:bottom w:color="000000" w:sz="4" w:val="single"/>
              <w:right w:color="000000" w:sz="4" w:val="single"/>
            </w:tcBorders>
            <w:shd w:fill="FFFFFF" w:val="clear"/>
            <w:vAlign w:val="center"/>
          </w:tcPr>
          <w:p w14:paraId="E834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E934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EA340000">
            <w:pPr>
              <w:widowControl w:val="1"/>
              <w:ind/>
              <w:jc w:val="center"/>
              <w:rPr>
                <w:color w:val="000000"/>
                <w:sz w:val="18"/>
              </w:rPr>
            </w:pPr>
            <w:r>
              <w:rPr>
                <w:color w:val="000000"/>
                <w:sz w:val="18"/>
              </w:rPr>
              <w:t>2000,00</w:t>
            </w:r>
          </w:p>
        </w:tc>
        <w:tc>
          <w:tcPr>
            <w:tcW w:type="dxa" w:w="1134"/>
            <w:tcBorders>
              <w:top w:color="000000" w:sz="4" w:val="single"/>
              <w:left w:color="000000" w:sz="4" w:val="single"/>
              <w:bottom w:color="000000" w:sz="4" w:val="single"/>
              <w:right w:color="000000" w:sz="4" w:val="single"/>
            </w:tcBorders>
            <w:shd w:fill="FFFFFF" w:val="clear"/>
            <w:vAlign w:val="center"/>
          </w:tcPr>
          <w:p w14:paraId="EB340000">
            <w:pPr>
              <w:widowControl w:val="1"/>
              <w:ind/>
              <w:jc w:val="center"/>
              <w:rPr>
                <w:color w:val="000000"/>
                <w:sz w:val="18"/>
              </w:rPr>
            </w:pPr>
            <w:r>
              <w:rPr>
                <w:color w:val="000000"/>
                <w:sz w:val="18"/>
              </w:rPr>
              <w:t>2000,00</w:t>
            </w:r>
          </w:p>
        </w:tc>
        <w:tc>
          <w:tcPr>
            <w:tcW w:type="dxa" w:w="993"/>
            <w:tcBorders>
              <w:top w:color="000000" w:sz="4" w:val="single"/>
              <w:left w:color="000000" w:sz="4" w:val="single"/>
              <w:bottom w:color="000000" w:sz="4" w:val="single"/>
              <w:right w:color="000000" w:sz="4" w:val="single"/>
            </w:tcBorders>
            <w:shd w:fill="FFFFFF" w:val="clear"/>
            <w:vAlign w:val="center"/>
          </w:tcPr>
          <w:p w14:paraId="EC34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ED340000">
            <w:pPr>
              <w:widowControl w:val="1"/>
              <w:ind/>
              <w:jc w:val="center"/>
              <w:rPr>
                <w:sz w:val="18"/>
              </w:rPr>
            </w:pPr>
            <w:r>
              <w:rPr>
                <w:sz w:val="18"/>
              </w:rPr>
              <w:t>июль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EE34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EF34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F034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F1340000">
            <w:pPr>
              <w:widowControl w:val="1"/>
              <w:ind/>
              <w:jc w:val="center"/>
              <w:rPr>
                <w:color w:val="000000"/>
                <w:sz w:val="18"/>
              </w:rPr>
            </w:pPr>
            <w:r>
              <w:rPr>
                <w:color w:val="000000"/>
                <w:sz w:val="18"/>
              </w:rPr>
              <w:t>1950,00</w:t>
            </w:r>
          </w:p>
        </w:tc>
        <w:tc>
          <w:tcPr>
            <w:tcW w:type="dxa" w:w="1185"/>
            <w:tcBorders>
              <w:top w:color="000000" w:sz="4" w:val="single"/>
              <w:left w:color="000000" w:sz="4" w:val="single"/>
              <w:bottom w:color="000000" w:sz="4" w:val="single"/>
              <w:right w:color="000000" w:sz="4" w:val="single"/>
            </w:tcBorders>
            <w:shd w:fill="FFFFFF" w:val="clear"/>
            <w:vAlign w:val="center"/>
          </w:tcPr>
          <w:p w14:paraId="F2340000">
            <w:pPr>
              <w:widowControl w:val="1"/>
              <w:ind/>
              <w:jc w:val="center"/>
              <w:rPr>
                <w:color w:val="000000"/>
                <w:sz w:val="18"/>
              </w:rPr>
            </w:pPr>
            <w:r>
              <w:rPr>
                <w:color w:val="000000"/>
                <w:sz w:val="18"/>
              </w:rPr>
              <w:t>1950,00</w:t>
            </w:r>
          </w:p>
        </w:tc>
        <w:tc>
          <w:tcPr>
            <w:tcW w:type="dxa" w:w="1083"/>
            <w:tcBorders>
              <w:top w:color="000000" w:sz="4" w:val="single"/>
              <w:left w:color="000000" w:sz="4" w:val="single"/>
              <w:bottom w:color="000000" w:sz="4" w:val="single"/>
              <w:right w:color="000000" w:sz="4" w:val="single"/>
            </w:tcBorders>
            <w:shd w:fill="FFFFFF" w:val="clear"/>
            <w:vAlign w:val="center"/>
          </w:tcPr>
          <w:p w14:paraId="F3340000">
            <w:pPr>
              <w:widowControl w:val="1"/>
              <w:ind/>
              <w:jc w:val="center"/>
              <w:rPr>
                <w:color w:val="000000"/>
                <w:sz w:val="18"/>
              </w:rPr>
            </w:pPr>
            <w:r>
              <w:rPr>
                <w:color w:val="000000"/>
                <w:sz w:val="18"/>
              </w:rPr>
              <w:t>1950,00</w:t>
            </w:r>
          </w:p>
        </w:tc>
        <w:tc>
          <w:tcPr>
            <w:tcW w:type="dxa" w:w="771"/>
            <w:tcBorders>
              <w:top w:color="000000" w:sz="4" w:val="single"/>
              <w:left w:color="000000" w:sz="4" w:val="single"/>
              <w:bottom w:color="000000" w:sz="4" w:val="single"/>
              <w:right w:color="000000" w:sz="4" w:val="single"/>
            </w:tcBorders>
            <w:shd w:fill="FFFFFF" w:val="clear"/>
            <w:vAlign w:val="center"/>
          </w:tcPr>
          <w:p w14:paraId="F434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F5340000">
            <w:pPr>
              <w:widowControl w:val="1"/>
              <w:ind/>
              <w:jc w:val="center"/>
              <w:rPr>
                <w:sz w:val="18"/>
              </w:rPr>
            </w:pPr>
            <w:r>
              <w:rPr>
                <w:sz w:val="18"/>
              </w:rPr>
              <w:t>июль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F6340000">
            <w:pPr>
              <w:widowControl w:val="1"/>
              <w:ind/>
              <w:jc w:val="center"/>
              <w:rPr>
                <w:color w:val="000000"/>
                <w:sz w:val="18"/>
              </w:rPr>
            </w:pPr>
            <w:r>
              <w:rPr>
                <w:color w:val="000000"/>
                <w:sz w:val="18"/>
              </w:rPr>
              <w:t>счет № 241807302413 от 30.07.2018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F7340000">
            <w:pPr>
              <w:widowControl w:val="1"/>
              <w:ind/>
              <w:jc w:val="center"/>
              <w:rPr>
                <w:color w:val="000000"/>
                <w:sz w:val="18"/>
              </w:rPr>
            </w:pPr>
            <w:r>
              <w:rPr>
                <w:color w:val="000000"/>
                <w:sz w:val="18"/>
              </w:rPr>
              <w:t>113</w:t>
            </w:r>
          </w:p>
        </w:tc>
        <w:tc>
          <w:tcPr>
            <w:tcW w:type="dxa" w:w="618"/>
            <w:tcBorders>
              <w:top w:color="000000" w:sz="4" w:val="single"/>
              <w:left w:color="000000" w:sz="4" w:val="single"/>
              <w:bottom w:color="000000" w:sz="4" w:val="single"/>
              <w:right w:color="000000" w:sz="4" w:val="single"/>
            </w:tcBorders>
            <w:shd w:fill="FFFFFF" w:val="clear"/>
            <w:vAlign w:val="center"/>
          </w:tcPr>
          <w:p w14:paraId="F8340000">
            <w:pPr>
              <w:widowControl w:val="1"/>
              <w:ind/>
              <w:jc w:val="center"/>
              <w:rPr>
                <w:color w:val="000000"/>
                <w:sz w:val="18"/>
              </w:rPr>
            </w:pPr>
            <w:r>
              <w:rPr>
                <w:color w:val="000000"/>
                <w:sz w:val="18"/>
              </w:rPr>
              <w:t>33/2</w:t>
            </w:r>
          </w:p>
        </w:tc>
        <w:tc>
          <w:tcPr>
            <w:tcW w:type="dxa" w:w="993"/>
            <w:tcBorders>
              <w:top w:color="000000" w:sz="4" w:val="single"/>
              <w:left w:color="000000" w:sz="4" w:val="single"/>
              <w:bottom w:color="000000" w:sz="4" w:val="single"/>
              <w:right w:color="000000" w:sz="4" w:val="single"/>
            </w:tcBorders>
            <w:shd w:fill="FFFFFF" w:val="clear"/>
            <w:vAlign w:val="center"/>
          </w:tcPr>
          <w:p w14:paraId="F9340000">
            <w:pPr>
              <w:widowControl w:val="1"/>
              <w:ind/>
              <w:jc w:val="center"/>
              <w:rPr>
                <w:sz w:val="18"/>
              </w:rPr>
            </w:pPr>
            <w:r>
              <w:rPr>
                <w:sz w:val="18"/>
              </w:rPr>
              <w:t>Об оказании охранных услуг (охрана офиса АО "Краспригород")</w:t>
            </w:r>
          </w:p>
        </w:tc>
        <w:tc>
          <w:tcPr>
            <w:tcW w:type="dxa" w:w="849"/>
            <w:tcBorders>
              <w:top w:color="000000" w:sz="4" w:val="single"/>
              <w:left w:color="000000" w:sz="4" w:val="single"/>
              <w:bottom w:color="000000" w:sz="4" w:val="single"/>
              <w:right w:color="000000" w:sz="4" w:val="single"/>
            </w:tcBorders>
            <w:shd w:fill="FFFFFF" w:val="clear"/>
            <w:vAlign w:val="center"/>
          </w:tcPr>
          <w:p w14:paraId="FA34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FB34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FC340000">
            <w:pPr>
              <w:widowControl w:val="1"/>
              <w:ind/>
              <w:jc w:val="center"/>
              <w:rPr>
                <w:sz w:val="18"/>
              </w:rPr>
            </w:pPr>
            <w:r>
              <w:rPr>
                <w:sz w:val="18"/>
              </w:rPr>
              <w:t>75000,00</w:t>
            </w:r>
          </w:p>
        </w:tc>
        <w:tc>
          <w:tcPr>
            <w:tcW w:type="dxa" w:w="1134"/>
            <w:tcBorders>
              <w:top w:color="000000" w:sz="4" w:val="single"/>
              <w:left w:color="000000" w:sz="4" w:val="single"/>
              <w:bottom w:color="000000" w:sz="4" w:val="single"/>
              <w:right w:color="000000" w:sz="4" w:val="single"/>
            </w:tcBorders>
            <w:shd w:fill="FFFFFF" w:val="clear"/>
            <w:vAlign w:val="center"/>
          </w:tcPr>
          <w:p w14:paraId="FD340000">
            <w:pPr>
              <w:widowControl w:val="1"/>
              <w:ind/>
              <w:jc w:val="center"/>
              <w:rPr>
                <w:sz w:val="18"/>
              </w:rPr>
            </w:pPr>
            <w:r>
              <w:rPr>
                <w:sz w:val="18"/>
              </w:rPr>
              <w:t>75000,00</w:t>
            </w:r>
          </w:p>
        </w:tc>
        <w:tc>
          <w:tcPr>
            <w:tcW w:type="dxa" w:w="993"/>
            <w:tcBorders>
              <w:top w:color="000000" w:sz="4" w:val="single"/>
              <w:left w:color="000000" w:sz="4" w:val="single"/>
              <w:bottom w:color="000000" w:sz="4" w:val="single"/>
              <w:right w:color="000000" w:sz="4" w:val="single"/>
            </w:tcBorders>
            <w:shd w:fill="FFFFFF" w:val="clear"/>
            <w:vAlign w:val="center"/>
          </w:tcPr>
          <w:p w14:paraId="FE34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FF340000">
            <w:pPr>
              <w:widowControl w:val="1"/>
              <w:ind/>
              <w:jc w:val="center"/>
              <w:rPr>
                <w:sz w:val="18"/>
              </w:rPr>
            </w:pPr>
            <w:r>
              <w:rPr>
                <w:sz w:val="18"/>
              </w:rPr>
              <w:t>июнь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0035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0135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0235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03350000">
            <w:pPr>
              <w:widowControl w:val="1"/>
              <w:ind/>
              <w:jc w:val="center"/>
              <w:rPr>
                <w:sz w:val="18"/>
              </w:rPr>
            </w:pPr>
            <w:r>
              <w:rPr>
                <w:sz w:val="18"/>
              </w:rPr>
              <w:t>70800,00</w:t>
            </w:r>
          </w:p>
        </w:tc>
        <w:tc>
          <w:tcPr>
            <w:tcW w:type="dxa" w:w="1185"/>
            <w:tcBorders>
              <w:top w:color="000000" w:sz="4" w:val="single"/>
              <w:left w:color="000000" w:sz="4" w:val="single"/>
              <w:bottom w:color="000000" w:sz="4" w:val="single"/>
              <w:right w:color="000000" w:sz="4" w:val="single"/>
            </w:tcBorders>
            <w:shd w:fill="FFFFFF" w:val="clear"/>
            <w:vAlign w:val="center"/>
          </w:tcPr>
          <w:p w14:paraId="04350000">
            <w:pPr>
              <w:widowControl w:val="1"/>
              <w:ind/>
              <w:jc w:val="center"/>
              <w:rPr>
                <w:sz w:val="18"/>
              </w:rPr>
            </w:pPr>
            <w:r>
              <w:rPr>
                <w:sz w:val="18"/>
              </w:rPr>
              <w:t>70800,00</w:t>
            </w:r>
          </w:p>
        </w:tc>
        <w:tc>
          <w:tcPr>
            <w:tcW w:type="dxa" w:w="1083"/>
            <w:tcBorders>
              <w:top w:color="000000" w:sz="4" w:val="single"/>
              <w:left w:color="000000" w:sz="4" w:val="single"/>
              <w:bottom w:color="000000" w:sz="4" w:val="single"/>
              <w:right w:color="000000" w:sz="4" w:val="single"/>
            </w:tcBorders>
            <w:shd w:fill="FFFFFF" w:val="clear"/>
            <w:vAlign w:val="center"/>
          </w:tcPr>
          <w:p w14:paraId="05350000">
            <w:pPr>
              <w:widowControl w:val="1"/>
              <w:ind/>
              <w:jc w:val="center"/>
              <w:rPr>
                <w:sz w:val="18"/>
              </w:rPr>
            </w:pPr>
            <w:r>
              <w:rPr>
                <w:sz w:val="18"/>
              </w:rPr>
              <w:t>70800,00</w:t>
            </w:r>
          </w:p>
        </w:tc>
        <w:tc>
          <w:tcPr>
            <w:tcW w:type="dxa" w:w="771"/>
            <w:tcBorders>
              <w:top w:color="000000" w:sz="4" w:val="single"/>
              <w:left w:color="000000" w:sz="4" w:val="single"/>
              <w:bottom w:color="000000" w:sz="4" w:val="single"/>
              <w:right w:color="000000" w:sz="4" w:val="single"/>
            </w:tcBorders>
            <w:shd w:fill="FFFFFF" w:val="clear"/>
            <w:vAlign w:val="center"/>
          </w:tcPr>
          <w:p w14:paraId="0635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07350000">
            <w:pPr>
              <w:widowControl w:val="1"/>
              <w:ind/>
              <w:jc w:val="center"/>
              <w:rPr>
                <w:sz w:val="18"/>
              </w:rPr>
            </w:pPr>
            <w:r>
              <w:rPr>
                <w:sz w:val="18"/>
              </w:rPr>
              <w:t>июнь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08350000">
            <w:pPr>
              <w:widowControl w:val="1"/>
              <w:ind/>
              <w:jc w:val="center"/>
              <w:rPr>
                <w:sz w:val="18"/>
              </w:rPr>
            </w:pPr>
            <w:r>
              <w:rPr>
                <w:sz w:val="18"/>
              </w:rPr>
              <w:t>договор № 4825 от 05.06.2018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09350000">
            <w:pPr>
              <w:widowControl w:val="1"/>
              <w:ind/>
              <w:jc w:val="center"/>
              <w:rPr>
                <w:color w:val="000000"/>
                <w:sz w:val="18"/>
              </w:rPr>
            </w:pPr>
            <w:r>
              <w:rPr>
                <w:color w:val="000000"/>
                <w:sz w:val="18"/>
              </w:rPr>
              <w:t>114</w:t>
            </w:r>
          </w:p>
        </w:tc>
        <w:tc>
          <w:tcPr>
            <w:tcW w:type="dxa" w:w="618"/>
            <w:tcBorders>
              <w:top w:color="000000" w:sz="4" w:val="single"/>
              <w:left w:color="000000" w:sz="4" w:val="single"/>
              <w:bottom w:color="000000" w:sz="4" w:val="single"/>
              <w:right w:color="000000" w:sz="4" w:val="single"/>
            </w:tcBorders>
            <w:shd w:fill="FFFFFF" w:val="clear"/>
            <w:vAlign w:val="center"/>
          </w:tcPr>
          <w:p w14:paraId="0A350000">
            <w:pPr>
              <w:widowControl w:val="1"/>
              <w:ind/>
              <w:jc w:val="center"/>
              <w:rPr>
                <w:sz w:val="18"/>
              </w:rPr>
            </w:pPr>
            <w:r>
              <w:rPr>
                <w:sz w:val="18"/>
              </w:rPr>
              <w:t>34/2</w:t>
            </w:r>
          </w:p>
        </w:tc>
        <w:tc>
          <w:tcPr>
            <w:tcW w:type="dxa" w:w="993"/>
            <w:tcBorders>
              <w:top w:color="000000" w:sz="4" w:val="single"/>
              <w:left w:color="000000" w:sz="4" w:val="single"/>
              <w:bottom w:color="000000" w:sz="4" w:val="single"/>
              <w:right w:color="000000" w:sz="4" w:val="single"/>
            </w:tcBorders>
            <w:shd w:fill="FFFFFF" w:val="clear"/>
            <w:vAlign w:val="center"/>
          </w:tcPr>
          <w:p w14:paraId="0B350000">
            <w:pPr>
              <w:widowControl w:val="1"/>
              <w:ind/>
              <w:jc w:val="center"/>
              <w:rPr>
                <w:color w:val="000000"/>
                <w:sz w:val="18"/>
              </w:rPr>
            </w:pPr>
            <w:r>
              <w:rPr>
                <w:color w:val="000000"/>
                <w:sz w:val="18"/>
              </w:rPr>
              <w:t>Оказание услуг общественного питания при проведении ГОСА</w:t>
            </w:r>
          </w:p>
        </w:tc>
        <w:tc>
          <w:tcPr>
            <w:tcW w:type="dxa" w:w="849"/>
            <w:tcBorders>
              <w:top w:color="000000" w:sz="4" w:val="single"/>
              <w:left w:color="000000" w:sz="4" w:val="single"/>
              <w:bottom w:color="000000" w:sz="4" w:val="single"/>
              <w:right w:color="000000" w:sz="4" w:val="single"/>
            </w:tcBorders>
            <w:shd w:fill="FFFFFF" w:val="clear"/>
            <w:vAlign w:val="center"/>
          </w:tcPr>
          <w:p w14:paraId="0C35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0D35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0E350000">
            <w:pPr>
              <w:widowControl w:val="1"/>
              <w:ind/>
              <w:jc w:val="center"/>
              <w:rPr>
                <w:color w:val="000000"/>
                <w:sz w:val="18"/>
              </w:rPr>
            </w:pPr>
            <w:r>
              <w:rPr>
                <w:color w:val="000000"/>
                <w:sz w:val="18"/>
              </w:rPr>
              <w:t>60000,00</w:t>
            </w:r>
          </w:p>
        </w:tc>
        <w:tc>
          <w:tcPr>
            <w:tcW w:type="dxa" w:w="1134"/>
            <w:tcBorders>
              <w:top w:color="000000" w:sz="4" w:val="single"/>
              <w:left w:color="000000" w:sz="4" w:val="single"/>
              <w:bottom w:color="000000" w:sz="4" w:val="single"/>
              <w:right w:color="000000" w:sz="4" w:val="single"/>
            </w:tcBorders>
            <w:shd w:fill="FFFFFF" w:val="clear"/>
            <w:vAlign w:val="center"/>
          </w:tcPr>
          <w:p w14:paraId="0F350000">
            <w:pPr>
              <w:widowControl w:val="1"/>
              <w:ind/>
              <w:jc w:val="center"/>
              <w:rPr>
                <w:color w:val="000000"/>
                <w:sz w:val="18"/>
              </w:rPr>
            </w:pPr>
            <w:r>
              <w:rPr>
                <w:color w:val="000000"/>
                <w:sz w:val="18"/>
              </w:rPr>
              <w:t>60000,00</w:t>
            </w:r>
          </w:p>
        </w:tc>
        <w:tc>
          <w:tcPr>
            <w:tcW w:type="dxa" w:w="993"/>
            <w:tcBorders>
              <w:top w:color="000000" w:sz="4" w:val="single"/>
              <w:left w:color="000000" w:sz="4" w:val="single"/>
              <w:bottom w:color="000000" w:sz="4" w:val="single"/>
              <w:right w:color="000000" w:sz="4" w:val="single"/>
            </w:tcBorders>
            <w:shd w:fill="FFFFFF" w:val="clear"/>
            <w:vAlign w:val="center"/>
          </w:tcPr>
          <w:p w14:paraId="10350000">
            <w:pPr>
              <w:widowControl w:val="1"/>
              <w:ind/>
              <w:jc w:val="center"/>
              <w:rPr>
                <w:color w:val="000000"/>
                <w:sz w:val="18"/>
              </w:rPr>
            </w:pPr>
            <w:r>
              <w:rPr>
                <w:color w:val="000000"/>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11350000">
            <w:pPr>
              <w:widowControl w:val="1"/>
              <w:ind/>
              <w:jc w:val="center"/>
              <w:rPr>
                <w:color w:val="000000"/>
                <w:sz w:val="18"/>
              </w:rPr>
            </w:pPr>
            <w:r>
              <w:rPr>
                <w:color w:val="000000"/>
                <w:sz w:val="18"/>
              </w:rPr>
              <w:t>июнь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12350000">
            <w:pPr>
              <w:widowControl w:val="1"/>
              <w:ind/>
              <w:jc w:val="center"/>
              <w:rPr>
                <w:color w:val="000000"/>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1335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1435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15350000">
            <w:pPr>
              <w:widowControl w:val="1"/>
              <w:ind/>
              <w:jc w:val="center"/>
              <w:rPr>
                <w:sz w:val="18"/>
              </w:rPr>
            </w:pPr>
            <w:r>
              <w:rPr>
                <w:sz w:val="18"/>
              </w:rPr>
              <w:t>62700,00</w:t>
            </w:r>
          </w:p>
        </w:tc>
        <w:tc>
          <w:tcPr>
            <w:tcW w:type="dxa" w:w="1185"/>
            <w:tcBorders>
              <w:top w:color="000000" w:sz="4" w:val="single"/>
              <w:left w:color="000000" w:sz="4" w:val="single"/>
              <w:bottom w:color="000000" w:sz="4" w:val="single"/>
              <w:right w:color="000000" w:sz="4" w:val="single"/>
            </w:tcBorders>
            <w:shd w:fill="FFFFFF" w:val="clear"/>
            <w:vAlign w:val="center"/>
          </w:tcPr>
          <w:p w14:paraId="16350000">
            <w:pPr>
              <w:widowControl w:val="1"/>
              <w:ind/>
              <w:jc w:val="center"/>
              <w:rPr>
                <w:sz w:val="18"/>
              </w:rPr>
            </w:pPr>
            <w:r>
              <w:rPr>
                <w:sz w:val="18"/>
              </w:rPr>
              <w:t>62700,00</w:t>
            </w:r>
          </w:p>
        </w:tc>
        <w:tc>
          <w:tcPr>
            <w:tcW w:type="dxa" w:w="1083"/>
            <w:tcBorders>
              <w:top w:color="000000" w:sz="4" w:val="single"/>
              <w:left w:color="000000" w:sz="4" w:val="single"/>
              <w:bottom w:color="000000" w:sz="4" w:val="single"/>
              <w:right w:color="000000" w:sz="4" w:val="single"/>
            </w:tcBorders>
            <w:shd w:fill="FFFFFF" w:val="clear"/>
            <w:vAlign w:val="center"/>
          </w:tcPr>
          <w:p w14:paraId="17350000">
            <w:pPr>
              <w:widowControl w:val="1"/>
              <w:ind/>
              <w:jc w:val="center"/>
              <w:rPr>
                <w:sz w:val="18"/>
              </w:rPr>
            </w:pPr>
            <w:r>
              <w:rPr>
                <w:sz w:val="18"/>
              </w:rPr>
              <w:t>62700,00</w:t>
            </w:r>
          </w:p>
        </w:tc>
        <w:tc>
          <w:tcPr>
            <w:tcW w:type="dxa" w:w="771"/>
            <w:tcBorders>
              <w:top w:color="000000" w:sz="4" w:val="single"/>
              <w:left w:color="000000" w:sz="4" w:val="single"/>
              <w:bottom w:color="000000" w:sz="4" w:val="single"/>
              <w:right w:color="000000" w:sz="4" w:val="single"/>
            </w:tcBorders>
            <w:shd w:fill="FFFFFF" w:val="clear"/>
            <w:vAlign w:val="center"/>
          </w:tcPr>
          <w:p w14:paraId="18350000">
            <w:pPr>
              <w:widowControl w:val="1"/>
              <w:ind/>
              <w:jc w:val="center"/>
              <w:rPr>
                <w:color w:val="000000"/>
                <w:sz w:val="18"/>
              </w:rPr>
            </w:pPr>
            <w:r>
              <w:rPr>
                <w:color w:val="000000"/>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19350000">
            <w:pPr>
              <w:widowControl w:val="1"/>
              <w:ind/>
              <w:jc w:val="center"/>
              <w:rPr>
                <w:color w:val="000000"/>
                <w:sz w:val="18"/>
              </w:rPr>
            </w:pPr>
            <w:r>
              <w:rPr>
                <w:color w:val="000000"/>
                <w:sz w:val="18"/>
              </w:rPr>
              <w:t>июнь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1A350000">
            <w:pPr>
              <w:widowControl w:val="1"/>
              <w:ind/>
              <w:jc w:val="center"/>
              <w:rPr>
                <w:sz w:val="18"/>
              </w:rPr>
            </w:pPr>
            <w:r>
              <w:rPr>
                <w:sz w:val="18"/>
              </w:rPr>
              <w:t>договор № 55 от 21.06.2018</w:t>
            </w:r>
          </w:p>
        </w:tc>
      </w:tr>
      <w:tr>
        <w:trPr>
          <w:trHeight w:hRule="atLeast" w:val="2040"/>
        </w:trPr>
        <w:tc>
          <w:tcPr>
            <w:tcW w:type="dxa" w:w="708"/>
            <w:tcBorders>
              <w:top w:color="000000" w:sz="4" w:val="single"/>
              <w:left w:color="000000" w:sz="4" w:val="single"/>
              <w:bottom w:color="000000" w:sz="4" w:val="single"/>
              <w:right w:color="000000" w:sz="4" w:val="single"/>
            </w:tcBorders>
            <w:shd w:fill="auto" w:val="clear"/>
            <w:vAlign w:val="center"/>
          </w:tcPr>
          <w:p w14:paraId="1B350000">
            <w:pPr>
              <w:widowControl w:val="1"/>
              <w:ind/>
              <w:jc w:val="center"/>
              <w:rPr>
                <w:color w:val="000000"/>
                <w:sz w:val="18"/>
              </w:rPr>
            </w:pPr>
            <w:r>
              <w:rPr>
                <w:color w:val="000000"/>
                <w:sz w:val="18"/>
              </w:rPr>
              <w:t>115</w:t>
            </w:r>
          </w:p>
        </w:tc>
        <w:tc>
          <w:tcPr>
            <w:tcW w:type="dxa" w:w="618"/>
            <w:tcBorders>
              <w:top w:color="000000" w:sz="4" w:val="single"/>
              <w:left w:color="000000" w:sz="4" w:val="single"/>
              <w:bottom w:color="000000" w:sz="4" w:val="single"/>
              <w:right w:color="000000" w:sz="4" w:val="single"/>
            </w:tcBorders>
            <w:shd w:fill="FFFFFF" w:val="clear"/>
            <w:vAlign w:val="center"/>
          </w:tcPr>
          <w:p w14:paraId="1C350000">
            <w:pPr>
              <w:widowControl w:val="1"/>
              <w:ind/>
              <w:jc w:val="center"/>
              <w:rPr>
                <w:color w:val="000000"/>
                <w:sz w:val="18"/>
              </w:rPr>
            </w:pPr>
            <w:r>
              <w:rPr>
                <w:color w:val="000000"/>
                <w:sz w:val="18"/>
              </w:rPr>
              <w:t>35/2</w:t>
            </w:r>
          </w:p>
        </w:tc>
        <w:tc>
          <w:tcPr>
            <w:tcW w:type="dxa" w:w="993"/>
            <w:tcBorders>
              <w:top w:color="000000" w:sz="4" w:val="single"/>
              <w:left w:color="000000" w:sz="4" w:val="single"/>
              <w:bottom w:color="000000" w:sz="4" w:val="single"/>
              <w:right w:color="000000" w:sz="4" w:val="single"/>
            </w:tcBorders>
            <w:shd w:fill="FFFFFF" w:val="clear"/>
            <w:vAlign w:val="center"/>
          </w:tcPr>
          <w:p w14:paraId="1D350000">
            <w:pPr>
              <w:widowControl w:val="1"/>
              <w:ind/>
              <w:jc w:val="center"/>
              <w:rPr>
                <w:sz w:val="18"/>
              </w:rPr>
            </w:pPr>
            <w:r>
              <w:rPr>
                <w:sz w:val="18"/>
              </w:rPr>
              <w:t>Оказание услуг по проведению периодического медицинского осмотра работников (Абакан)</w:t>
            </w:r>
          </w:p>
        </w:tc>
        <w:tc>
          <w:tcPr>
            <w:tcW w:type="dxa" w:w="849"/>
            <w:tcBorders>
              <w:top w:color="000000" w:sz="4" w:val="single"/>
              <w:left w:color="000000" w:sz="4" w:val="single"/>
              <w:bottom w:color="000000" w:sz="4" w:val="single"/>
              <w:right w:color="000000" w:sz="4" w:val="single"/>
            </w:tcBorders>
            <w:shd w:fill="FFFFFF" w:val="clear"/>
            <w:vAlign w:val="center"/>
          </w:tcPr>
          <w:p w14:paraId="1E35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1F350000">
            <w:pPr>
              <w:widowControl w:val="1"/>
              <w:ind/>
              <w:jc w:val="center"/>
              <w:rPr>
                <w:sz w:val="18"/>
              </w:rPr>
            </w:pPr>
            <w:r>
              <w:rPr>
                <w:sz w:val="18"/>
              </w:rPr>
              <w:t>9</w:t>
            </w:r>
          </w:p>
        </w:tc>
        <w:tc>
          <w:tcPr>
            <w:tcW w:type="dxa" w:w="991"/>
            <w:tcBorders>
              <w:top w:color="000000" w:sz="4" w:val="single"/>
              <w:left w:color="000000" w:sz="4" w:val="single"/>
              <w:bottom w:color="000000" w:sz="4" w:val="single"/>
              <w:right w:color="000000" w:sz="4" w:val="single"/>
            </w:tcBorders>
            <w:shd w:fill="FFFFFF" w:val="clear"/>
            <w:vAlign w:val="center"/>
          </w:tcPr>
          <w:p w14:paraId="20350000">
            <w:pPr>
              <w:widowControl w:val="1"/>
              <w:ind/>
              <w:jc w:val="center"/>
              <w:rPr>
                <w:sz w:val="18"/>
              </w:rPr>
            </w:pPr>
            <w:r>
              <w:rPr>
                <w:sz w:val="18"/>
              </w:rPr>
              <w:t>19060,00</w:t>
            </w:r>
          </w:p>
        </w:tc>
        <w:tc>
          <w:tcPr>
            <w:tcW w:type="dxa" w:w="1134"/>
            <w:tcBorders>
              <w:top w:color="000000" w:sz="4" w:val="single"/>
              <w:left w:color="000000" w:sz="4" w:val="single"/>
              <w:bottom w:color="000000" w:sz="4" w:val="single"/>
              <w:right w:color="000000" w:sz="4" w:val="single"/>
            </w:tcBorders>
            <w:shd w:fill="FFFFFF" w:val="clear"/>
            <w:vAlign w:val="center"/>
          </w:tcPr>
          <w:p w14:paraId="21350000">
            <w:pPr>
              <w:widowControl w:val="1"/>
              <w:ind/>
              <w:jc w:val="center"/>
              <w:rPr>
                <w:sz w:val="18"/>
              </w:rPr>
            </w:pPr>
            <w:r>
              <w:rPr>
                <w:sz w:val="18"/>
              </w:rPr>
              <w:t>19060,00</w:t>
            </w:r>
          </w:p>
        </w:tc>
        <w:tc>
          <w:tcPr>
            <w:tcW w:type="dxa" w:w="993"/>
            <w:tcBorders>
              <w:top w:color="000000" w:sz="4" w:val="single"/>
              <w:left w:color="000000" w:sz="4" w:val="single"/>
              <w:bottom w:color="000000" w:sz="4" w:val="single"/>
              <w:right w:color="000000" w:sz="4" w:val="single"/>
            </w:tcBorders>
            <w:shd w:fill="FFFFFF" w:val="clear"/>
            <w:vAlign w:val="center"/>
          </w:tcPr>
          <w:p w14:paraId="22350000">
            <w:pPr>
              <w:widowControl w:val="1"/>
              <w:ind/>
              <w:jc w:val="center"/>
              <w:rPr>
                <w:sz w:val="18"/>
              </w:rPr>
            </w:pPr>
            <w:r>
              <w:rPr>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23350000">
            <w:pPr>
              <w:widowControl w:val="1"/>
              <w:ind/>
              <w:jc w:val="center"/>
              <w:rPr>
                <w:sz w:val="18"/>
              </w:rPr>
            </w:pPr>
            <w:r>
              <w:rPr>
                <w:sz w:val="18"/>
              </w:rPr>
              <w:t>сентябрь 2018г.</w:t>
            </w:r>
          </w:p>
        </w:tc>
        <w:tc>
          <w:tcPr>
            <w:tcW w:type="dxa" w:w="1334"/>
            <w:tcBorders>
              <w:top w:color="000000" w:sz="4" w:val="single"/>
              <w:left w:color="000000" w:sz="4" w:val="single"/>
              <w:bottom w:color="000000" w:sz="4" w:val="single"/>
              <w:right w:color="000000" w:sz="4" w:val="single"/>
            </w:tcBorders>
            <w:shd w:fill="FFFFFF" w:val="clear"/>
            <w:vAlign w:val="center"/>
          </w:tcPr>
          <w:p w14:paraId="2435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2535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26350000">
            <w:pPr>
              <w:widowControl w:val="1"/>
              <w:ind/>
              <w:jc w:val="center"/>
              <w:rPr>
                <w:sz w:val="18"/>
              </w:rPr>
            </w:pPr>
            <w:r>
              <w:rPr>
                <w:sz w:val="18"/>
              </w:rPr>
              <w:t>9</w:t>
            </w:r>
          </w:p>
        </w:tc>
        <w:tc>
          <w:tcPr>
            <w:tcW w:type="dxa" w:w="1169"/>
            <w:tcBorders>
              <w:top w:color="000000" w:sz="4" w:val="single"/>
              <w:left w:color="000000" w:sz="4" w:val="single"/>
              <w:bottom w:color="000000" w:sz="4" w:val="single"/>
              <w:right w:color="000000" w:sz="4" w:val="single"/>
            </w:tcBorders>
            <w:shd w:fill="FFFFFF" w:val="clear"/>
            <w:vAlign w:val="center"/>
          </w:tcPr>
          <w:p w14:paraId="27350000">
            <w:pPr>
              <w:widowControl w:val="1"/>
              <w:ind/>
              <w:jc w:val="center"/>
              <w:rPr>
                <w:sz w:val="18"/>
              </w:rPr>
            </w:pPr>
            <w:r>
              <w:rPr>
                <w:sz w:val="18"/>
              </w:rPr>
              <w:t>19060,00</w:t>
            </w:r>
          </w:p>
        </w:tc>
        <w:tc>
          <w:tcPr>
            <w:tcW w:type="dxa" w:w="1185"/>
            <w:tcBorders>
              <w:top w:color="000000" w:sz="4" w:val="single"/>
              <w:left w:color="000000" w:sz="4" w:val="single"/>
              <w:bottom w:color="000000" w:sz="4" w:val="single"/>
              <w:right w:color="000000" w:sz="4" w:val="single"/>
            </w:tcBorders>
            <w:shd w:fill="FFFFFF" w:val="clear"/>
            <w:vAlign w:val="center"/>
          </w:tcPr>
          <w:p w14:paraId="28350000">
            <w:pPr>
              <w:widowControl w:val="1"/>
              <w:ind/>
              <w:jc w:val="center"/>
              <w:rPr>
                <w:sz w:val="18"/>
              </w:rPr>
            </w:pPr>
            <w:r>
              <w:rPr>
                <w:sz w:val="18"/>
              </w:rPr>
              <w:t>19060,00</w:t>
            </w:r>
          </w:p>
        </w:tc>
        <w:tc>
          <w:tcPr>
            <w:tcW w:type="dxa" w:w="1083"/>
            <w:tcBorders>
              <w:top w:color="000000" w:sz="4" w:val="single"/>
              <w:left w:color="000000" w:sz="4" w:val="single"/>
              <w:bottom w:color="000000" w:sz="4" w:val="single"/>
              <w:right w:color="000000" w:sz="4" w:val="single"/>
            </w:tcBorders>
            <w:shd w:fill="FFFFFF" w:val="clear"/>
            <w:vAlign w:val="center"/>
          </w:tcPr>
          <w:p w14:paraId="29350000">
            <w:pPr>
              <w:widowControl w:val="1"/>
              <w:ind/>
              <w:jc w:val="center"/>
              <w:rPr>
                <w:sz w:val="18"/>
              </w:rPr>
            </w:pPr>
            <w:r>
              <w:rPr>
                <w:sz w:val="18"/>
              </w:rPr>
              <w:t>19060,00</w:t>
            </w:r>
          </w:p>
        </w:tc>
        <w:tc>
          <w:tcPr>
            <w:tcW w:type="dxa" w:w="771"/>
            <w:tcBorders>
              <w:top w:color="000000" w:sz="4" w:val="single"/>
              <w:left w:color="000000" w:sz="4" w:val="single"/>
              <w:bottom w:color="000000" w:sz="4" w:val="single"/>
              <w:right w:color="000000" w:sz="4" w:val="single"/>
            </w:tcBorders>
            <w:shd w:fill="FFFFFF" w:val="clear"/>
            <w:vAlign w:val="center"/>
          </w:tcPr>
          <w:p w14:paraId="2A350000">
            <w:pPr>
              <w:widowControl w:val="1"/>
              <w:ind/>
              <w:jc w:val="center"/>
              <w:rPr>
                <w:sz w:val="18"/>
              </w:rPr>
            </w:pPr>
            <w:r>
              <w:rPr>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2B350000">
            <w:pPr>
              <w:widowControl w:val="1"/>
              <w:ind/>
              <w:jc w:val="center"/>
              <w:rPr>
                <w:sz w:val="18"/>
              </w:rPr>
            </w:pPr>
            <w:r>
              <w:rPr>
                <w:sz w:val="18"/>
              </w:rPr>
              <w:t>сентябрь 2018г.</w:t>
            </w:r>
          </w:p>
        </w:tc>
        <w:tc>
          <w:tcPr>
            <w:tcW w:type="dxa" w:w="709"/>
            <w:tcBorders>
              <w:top w:color="000000" w:sz="4" w:val="single"/>
              <w:left w:color="000000" w:sz="4" w:val="single"/>
              <w:bottom w:color="000000" w:sz="4" w:val="single"/>
              <w:right w:color="000000" w:sz="4" w:val="single"/>
            </w:tcBorders>
            <w:shd w:fill="FFFFFF" w:val="clear"/>
            <w:vAlign w:val="center"/>
          </w:tcPr>
          <w:p w14:paraId="2C350000">
            <w:pPr>
              <w:widowControl w:val="1"/>
              <w:ind/>
              <w:jc w:val="center"/>
              <w:rPr>
                <w:sz w:val="18"/>
              </w:rPr>
            </w:pPr>
            <w:r>
              <w:rPr>
                <w:sz w:val="18"/>
              </w:rPr>
              <w:t>договор № 90 от 01.08.2018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2D350000">
            <w:pPr>
              <w:widowControl w:val="1"/>
              <w:ind/>
              <w:jc w:val="center"/>
              <w:rPr>
                <w:color w:val="000000"/>
                <w:sz w:val="18"/>
              </w:rPr>
            </w:pPr>
            <w:r>
              <w:rPr>
                <w:color w:val="000000"/>
                <w:sz w:val="18"/>
              </w:rPr>
              <w:t>116</w:t>
            </w:r>
          </w:p>
        </w:tc>
        <w:tc>
          <w:tcPr>
            <w:tcW w:type="dxa" w:w="618"/>
            <w:tcBorders>
              <w:top w:color="000000" w:sz="4" w:val="single"/>
              <w:left w:color="000000" w:sz="4" w:val="single"/>
              <w:bottom w:color="000000" w:sz="4" w:val="single"/>
              <w:right w:color="000000" w:sz="4" w:val="single"/>
            </w:tcBorders>
            <w:shd w:fill="FFFFFF" w:val="clear"/>
            <w:vAlign w:val="center"/>
          </w:tcPr>
          <w:p w14:paraId="2E350000">
            <w:pPr>
              <w:widowControl w:val="1"/>
              <w:ind/>
              <w:jc w:val="center"/>
              <w:rPr>
                <w:color w:val="000000"/>
                <w:sz w:val="18"/>
              </w:rPr>
            </w:pPr>
            <w:r>
              <w:rPr>
                <w:color w:val="000000"/>
                <w:sz w:val="18"/>
              </w:rPr>
              <w:t>36/2</w:t>
            </w:r>
          </w:p>
        </w:tc>
        <w:tc>
          <w:tcPr>
            <w:tcW w:type="dxa" w:w="993"/>
            <w:tcBorders>
              <w:top w:color="000000" w:sz="4" w:val="single"/>
              <w:left w:color="000000" w:sz="4" w:val="single"/>
              <w:bottom w:color="000000" w:sz="4" w:val="single"/>
              <w:right w:color="000000" w:sz="4" w:val="single"/>
            </w:tcBorders>
            <w:shd w:fill="FFFFFF" w:val="clear"/>
            <w:vAlign w:val="center"/>
          </w:tcPr>
          <w:p w14:paraId="2F350000">
            <w:pPr>
              <w:widowControl w:val="1"/>
              <w:ind/>
              <w:jc w:val="center"/>
              <w:rPr>
                <w:color w:val="000000"/>
                <w:sz w:val="18"/>
              </w:rPr>
            </w:pPr>
            <w:r>
              <w:rPr>
                <w:color w:val="000000"/>
                <w:sz w:val="18"/>
              </w:rPr>
              <w:t>Поставка рабочих сумок</w:t>
            </w:r>
          </w:p>
        </w:tc>
        <w:tc>
          <w:tcPr>
            <w:tcW w:type="dxa" w:w="849"/>
            <w:tcBorders>
              <w:top w:color="000000" w:sz="4" w:val="single"/>
              <w:left w:color="000000" w:sz="4" w:val="single"/>
              <w:bottom w:color="000000" w:sz="4" w:val="single"/>
              <w:right w:color="000000" w:sz="4" w:val="single"/>
            </w:tcBorders>
            <w:shd w:fill="FFFFFF" w:val="clear"/>
            <w:vAlign w:val="center"/>
          </w:tcPr>
          <w:p w14:paraId="3035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31350000">
            <w:pPr>
              <w:widowControl w:val="1"/>
              <w:ind/>
              <w:jc w:val="center"/>
              <w:rPr>
                <w:sz w:val="18"/>
              </w:rPr>
            </w:pPr>
            <w:r>
              <w:rPr>
                <w:sz w:val="18"/>
              </w:rPr>
              <w:t>100</w:t>
            </w:r>
          </w:p>
        </w:tc>
        <w:tc>
          <w:tcPr>
            <w:tcW w:type="dxa" w:w="991"/>
            <w:tcBorders>
              <w:top w:color="000000" w:sz="4" w:val="single"/>
              <w:left w:color="000000" w:sz="4" w:val="single"/>
              <w:bottom w:color="000000" w:sz="4" w:val="single"/>
              <w:right w:color="000000" w:sz="4" w:val="single"/>
            </w:tcBorders>
            <w:shd w:fill="FFFFFF" w:val="clear"/>
            <w:vAlign w:val="center"/>
          </w:tcPr>
          <w:p w14:paraId="32350000">
            <w:pPr>
              <w:widowControl w:val="1"/>
              <w:ind/>
              <w:jc w:val="center"/>
              <w:rPr>
                <w:sz w:val="18"/>
              </w:rPr>
            </w:pPr>
            <w:r>
              <w:rPr>
                <w:sz w:val="18"/>
              </w:rPr>
              <w:t>45000,00</w:t>
            </w:r>
          </w:p>
        </w:tc>
        <w:tc>
          <w:tcPr>
            <w:tcW w:type="dxa" w:w="1134"/>
            <w:tcBorders>
              <w:top w:color="000000" w:sz="4" w:val="single"/>
              <w:left w:color="000000" w:sz="4" w:val="single"/>
              <w:bottom w:color="000000" w:sz="4" w:val="single"/>
              <w:right w:color="000000" w:sz="4" w:val="single"/>
            </w:tcBorders>
            <w:shd w:fill="FFFFFF" w:val="clear"/>
            <w:vAlign w:val="center"/>
          </w:tcPr>
          <w:p w14:paraId="33350000">
            <w:pPr>
              <w:widowControl w:val="1"/>
              <w:ind/>
              <w:jc w:val="center"/>
              <w:rPr>
                <w:sz w:val="18"/>
              </w:rPr>
            </w:pPr>
            <w:r>
              <w:rPr>
                <w:sz w:val="18"/>
              </w:rPr>
              <w:t>45000,00</w:t>
            </w:r>
          </w:p>
        </w:tc>
        <w:tc>
          <w:tcPr>
            <w:tcW w:type="dxa" w:w="993"/>
            <w:tcBorders>
              <w:top w:color="000000" w:sz="4" w:val="single"/>
              <w:left w:color="000000" w:sz="4" w:val="single"/>
              <w:bottom w:color="000000" w:sz="4" w:val="single"/>
              <w:right w:color="000000" w:sz="4" w:val="single"/>
            </w:tcBorders>
            <w:shd w:fill="FFFFFF" w:val="clear"/>
            <w:vAlign w:val="center"/>
          </w:tcPr>
          <w:p w14:paraId="3435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3535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3635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3735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38350000">
            <w:pPr>
              <w:widowControl w:val="1"/>
              <w:ind/>
              <w:jc w:val="center"/>
              <w:rPr>
                <w:sz w:val="18"/>
              </w:rPr>
            </w:pPr>
            <w:r>
              <w:rPr>
                <w:sz w:val="18"/>
              </w:rPr>
              <w:t>100</w:t>
            </w:r>
          </w:p>
        </w:tc>
        <w:tc>
          <w:tcPr>
            <w:tcW w:type="dxa" w:w="1169"/>
            <w:tcBorders>
              <w:top w:color="000000" w:sz="4" w:val="single"/>
              <w:left w:color="000000" w:sz="4" w:val="single"/>
              <w:bottom w:color="000000" w:sz="4" w:val="single"/>
              <w:right w:color="000000" w:sz="4" w:val="single"/>
            </w:tcBorders>
            <w:shd w:fill="FFFFFF" w:val="clear"/>
            <w:vAlign w:val="center"/>
          </w:tcPr>
          <w:p w14:paraId="39350000">
            <w:pPr>
              <w:widowControl w:val="1"/>
              <w:ind/>
              <w:jc w:val="center"/>
              <w:rPr>
                <w:sz w:val="18"/>
              </w:rPr>
            </w:pPr>
            <w:r>
              <w:rPr>
                <w:sz w:val="18"/>
              </w:rPr>
              <w:t>45000,00</w:t>
            </w:r>
          </w:p>
        </w:tc>
        <w:tc>
          <w:tcPr>
            <w:tcW w:type="dxa" w:w="1185"/>
            <w:tcBorders>
              <w:top w:color="000000" w:sz="4" w:val="single"/>
              <w:left w:color="000000" w:sz="4" w:val="single"/>
              <w:bottom w:color="000000" w:sz="4" w:val="single"/>
              <w:right w:color="000000" w:sz="4" w:val="single"/>
            </w:tcBorders>
            <w:shd w:fill="FFFFFF" w:val="clear"/>
            <w:vAlign w:val="center"/>
          </w:tcPr>
          <w:p w14:paraId="3A350000">
            <w:pPr>
              <w:widowControl w:val="1"/>
              <w:ind/>
              <w:jc w:val="center"/>
              <w:rPr>
                <w:sz w:val="18"/>
              </w:rPr>
            </w:pPr>
            <w:r>
              <w:rPr>
                <w:sz w:val="18"/>
              </w:rPr>
              <w:t>45000,00</w:t>
            </w:r>
          </w:p>
        </w:tc>
        <w:tc>
          <w:tcPr>
            <w:tcW w:type="dxa" w:w="1083"/>
            <w:tcBorders>
              <w:top w:color="000000" w:sz="4" w:val="single"/>
              <w:left w:color="000000" w:sz="4" w:val="single"/>
              <w:bottom w:color="000000" w:sz="4" w:val="single"/>
              <w:right w:color="000000" w:sz="4" w:val="single"/>
            </w:tcBorders>
            <w:shd w:fill="FFFFFF" w:val="clear"/>
            <w:vAlign w:val="center"/>
          </w:tcPr>
          <w:p w14:paraId="3B350000">
            <w:pPr>
              <w:widowControl w:val="1"/>
              <w:ind/>
              <w:jc w:val="center"/>
              <w:rPr>
                <w:sz w:val="18"/>
              </w:rPr>
            </w:pPr>
            <w:r>
              <w:rPr>
                <w:sz w:val="18"/>
              </w:rPr>
              <w:t>45000,00</w:t>
            </w:r>
          </w:p>
        </w:tc>
        <w:tc>
          <w:tcPr>
            <w:tcW w:type="dxa" w:w="771"/>
            <w:tcBorders>
              <w:top w:color="000000" w:sz="4" w:val="single"/>
              <w:left w:color="000000" w:sz="4" w:val="single"/>
              <w:bottom w:color="000000" w:sz="4" w:val="single"/>
              <w:right w:color="000000" w:sz="4" w:val="single"/>
            </w:tcBorders>
            <w:shd w:fill="FFFFFF" w:val="clear"/>
            <w:vAlign w:val="center"/>
          </w:tcPr>
          <w:p w14:paraId="3C35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3D35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3E350000">
            <w:pPr>
              <w:widowControl w:val="1"/>
              <w:ind/>
              <w:jc w:val="center"/>
              <w:rPr>
                <w:sz w:val="18"/>
              </w:rPr>
            </w:pPr>
            <w:r>
              <w:rPr>
                <w:sz w:val="18"/>
              </w:rPr>
              <w:t>договор № 70 от 02.07.2018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3F350000">
            <w:pPr>
              <w:widowControl w:val="1"/>
              <w:ind/>
              <w:jc w:val="center"/>
              <w:rPr>
                <w:color w:val="000000"/>
                <w:sz w:val="18"/>
              </w:rPr>
            </w:pPr>
            <w:r>
              <w:rPr>
                <w:color w:val="000000"/>
                <w:sz w:val="18"/>
              </w:rPr>
              <w:t>117</w:t>
            </w:r>
          </w:p>
        </w:tc>
        <w:tc>
          <w:tcPr>
            <w:tcW w:type="dxa" w:w="618"/>
            <w:tcBorders>
              <w:top w:color="000000" w:sz="4" w:val="single"/>
              <w:left w:color="000000" w:sz="4" w:val="single"/>
              <w:bottom w:color="000000" w:sz="4" w:val="single"/>
              <w:right w:color="000000" w:sz="4" w:val="single"/>
            </w:tcBorders>
            <w:shd w:fill="FFFFFF" w:val="clear"/>
            <w:vAlign w:val="center"/>
          </w:tcPr>
          <w:p w14:paraId="40350000">
            <w:pPr>
              <w:widowControl w:val="1"/>
              <w:ind/>
              <w:jc w:val="center"/>
              <w:rPr>
                <w:color w:val="000000"/>
                <w:sz w:val="18"/>
              </w:rPr>
            </w:pPr>
            <w:r>
              <w:rPr>
                <w:color w:val="000000"/>
                <w:sz w:val="18"/>
              </w:rPr>
              <w:t>37/2</w:t>
            </w:r>
          </w:p>
        </w:tc>
        <w:tc>
          <w:tcPr>
            <w:tcW w:type="dxa" w:w="993"/>
            <w:tcBorders>
              <w:top w:color="000000" w:sz="4" w:val="single"/>
              <w:left w:color="000000" w:sz="4" w:val="single"/>
              <w:bottom w:color="000000" w:sz="4" w:val="single"/>
              <w:right w:color="000000" w:sz="4" w:val="single"/>
            </w:tcBorders>
            <w:shd w:fill="FFFFFF" w:val="clear"/>
            <w:vAlign w:val="center"/>
          </w:tcPr>
          <w:p w14:paraId="41350000">
            <w:pPr>
              <w:widowControl w:val="1"/>
              <w:ind/>
              <w:jc w:val="center"/>
              <w:rPr>
                <w:color w:val="000000"/>
                <w:sz w:val="18"/>
              </w:rPr>
            </w:pPr>
            <w:r>
              <w:rPr>
                <w:color w:val="000000"/>
                <w:sz w:val="18"/>
              </w:rPr>
              <w:t>Оказание услуг страхования КАСКО AUDI Q7</w:t>
            </w:r>
          </w:p>
        </w:tc>
        <w:tc>
          <w:tcPr>
            <w:tcW w:type="dxa" w:w="849"/>
            <w:tcBorders>
              <w:top w:color="000000" w:sz="4" w:val="single"/>
              <w:left w:color="000000" w:sz="4" w:val="single"/>
              <w:bottom w:color="000000" w:sz="4" w:val="single"/>
              <w:right w:color="000000" w:sz="4" w:val="single"/>
            </w:tcBorders>
            <w:shd w:fill="FFFFFF" w:val="clear"/>
            <w:vAlign w:val="center"/>
          </w:tcPr>
          <w:p w14:paraId="4235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43350000">
            <w:pPr>
              <w:widowControl w:val="1"/>
              <w:ind/>
              <w:jc w:val="center"/>
              <w:rPr>
                <w:color w:val="000000"/>
                <w:sz w:val="18"/>
              </w:rPr>
            </w:pPr>
            <w:r>
              <w:rPr>
                <w:color w:val="000000"/>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44350000">
            <w:pPr>
              <w:widowControl w:val="1"/>
              <w:ind/>
              <w:jc w:val="center"/>
              <w:rPr>
                <w:color w:val="000000"/>
                <w:sz w:val="18"/>
              </w:rPr>
            </w:pPr>
            <w:r>
              <w:rPr>
                <w:color w:val="000000"/>
                <w:sz w:val="18"/>
              </w:rPr>
              <w:t>75000,00</w:t>
            </w:r>
          </w:p>
        </w:tc>
        <w:tc>
          <w:tcPr>
            <w:tcW w:type="dxa" w:w="1134"/>
            <w:tcBorders>
              <w:top w:color="000000" w:sz="4" w:val="single"/>
              <w:left w:color="000000" w:sz="4" w:val="single"/>
              <w:bottom w:color="000000" w:sz="4" w:val="single"/>
              <w:right w:color="000000" w:sz="4" w:val="single"/>
            </w:tcBorders>
            <w:shd w:fill="FFFFFF" w:val="clear"/>
            <w:vAlign w:val="center"/>
          </w:tcPr>
          <w:p w14:paraId="45350000">
            <w:pPr>
              <w:widowControl w:val="1"/>
              <w:ind/>
              <w:jc w:val="center"/>
              <w:rPr>
                <w:color w:val="000000"/>
                <w:sz w:val="18"/>
              </w:rPr>
            </w:pPr>
            <w:r>
              <w:rPr>
                <w:color w:val="000000"/>
                <w:sz w:val="18"/>
              </w:rPr>
              <w:t>75000,00</w:t>
            </w:r>
          </w:p>
        </w:tc>
        <w:tc>
          <w:tcPr>
            <w:tcW w:type="dxa" w:w="993"/>
            <w:tcBorders>
              <w:top w:color="000000" w:sz="4" w:val="single"/>
              <w:left w:color="000000" w:sz="4" w:val="single"/>
              <w:bottom w:color="000000" w:sz="4" w:val="single"/>
              <w:right w:color="000000" w:sz="4" w:val="single"/>
            </w:tcBorders>
            <w:shd w:fill="FFFFFF" w:val="clear"/>
            <w:vAlign w:val="center"/>
          </w:tcPr>
          <w:p w14:paraId="46350000">
            <w:pPr>
              <w:widowControl w:val="1"/>
              <w:ind/>
              <w:jc w:val="center"/>
              <w:rPr>
                <w:color w:val="000000"/>
                <w:sz w:val="18"/>
              </w:rPr>
            </w:pPr>
            <w:r>
              <w:rPr>
                <w:color w:val="000000"/>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47350000">
            <w:pPr>
              <w:widowControl w:val="1"/>
              <w:ind/>
              <w:jc w:val="center"/>
              <w:rPr>
                <w:color w:val="000000"/>
                <w:sz w:val="18"/>
              </w:rPr>
            </w:pPr>
            <w:r>
              <w:rPr>
                <w:color w:val="000000"/>
                <w:sz w:val="18"/>
              </w:rPr>
              <w:t>август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48350000">
            <w:pPr>
              <w:widowControl w:val="1"/>
              <w:ind/>
              <w:jc w:val="center"/>
              <w:rPr>
                <w:color w:val="000000"/>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4935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4A350000">
            <w:pPr>
              <w:widowControl w:val="1"/>
              <w:ind/>
              <w:jc w:val="center"/>
              <w:rPr>
                <w:color w:val="000000"/>
                <w:sz w:val="18"/>
              </w:rPr>
            </w:pPr>
            <w:r>
              <w:rPr>
                <w:color w:val="000000"/>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4B350000">
            <w:pPr>
              <w:widowControl w:val="1"/>
              <w:ind/>
              <w:jc w:val="center"/>
              <w:rPr>
                <w:sz w:val="18"/>
              </w:rPr>
            </w:pPr>
            <w:r>
              <w:rPr>
                <w:sz w:val="18"/>
              </w:rPr>
              <w:t>74250,00</w:t>
            </w:r>
          </w:p>
        </w:tc>
        <w:tc>
          <w:tcPr>
            <w:tcW w:type="dxa" w:w="1185"/>
            <w:tcBorders>
              <w:top w:color="000000" w:sz="4" w:val="single"/>
              <w:left w:color="000000" w:sz="4" w:val="single"/>
              <w:bottom w:color="000000" w:sz="4" w:val="single"/>
              <w:right w:color="000000" w:sz="4" w:val="single"/>
            </w:tcBorders>
            <w:shd w:fill="FFFFFF" w:val="clear"/>
            <w:vAlign w:val="center"/>
          </w:tcPr>
          <w:p w14:paraId="4C350000">
            <w:pPr>
              <w:widowControl w:val="1"/>
              <w:ind/>
              <w:jc w:val="center"/>
              <w:rPr>
                <w:sz w:val="18"/>
              </w:rPr>
            </w:pPr>
            <w:r>
              <w:rPr>
                <w:sz w:val="18"/>
              </w:rPr>
              <w:t>74250,00</w:t>
            </w:r>
          </w:p>
        </w:tc>
        <w:tc>
          <w:tcPr>
            <w:tcW w:type="dxa" w:w="1083"/>
            <w:tcBorders>
              <w:top w:color="000000" w:sz="4" w:val="single"/>
              <w:left w:color="000000" w:sz="4" w:val="single"/>
              <w:bottom w:color="000000" w:sz="4" w:val="single"/>
              <w:right w:color="000000" w:sz="4" w:val="single"/>
            </w:tcBorders>
            <w:shd w:fill="FFFFFF" w:val="clear"/>
            <w:vAlign w:val="center"/>
          </w:tcPr>
          <w:p w14:paraId="4D350000">
            <w:pPr>
              <w:widowControl w:val="1"/>
              <w:ind/>
              <w:jc w:val="center"/>
              <w:rPr>
                <w:sz w:val="18"/>
              </w:rPr>
            </w:pPr>
            <w:r>
              <w:rPr>
                <w:sz w:val="18"/>
              </w:rPr>
              <w:t>74250,00</w:t>
            </w:r>
          </w:p>
        </w:tc>
        <w:tc>
          <w:tcPr>
            <w:tcW w:type="dxa" w:w="771"/>
            <w:tcBorders>
              <w:top w:color="000000" w:sz="4" w:val="single"/>
              <w:left w:color="000000" w:sz="4" w:val="single"/>
              <w:bottom w:color="000000" w:sz="4" w:val="single"/>
              <w:right w:color="000000" w:sz="4" w:val="single"/>
            </w:tcBorders>
            <w:shd w:fill="FFFFFF" w:val="clear"/>
            <w:vAlign w:val="center"/>
          </w:tcPr>
          <w:p w14:paraId="4E350000">
            <w:pPr>
              <w:widowControl w:val="1"/>
              <w:ind/>
              <w:jc w:val="center"/>
              <w:rPr>
                <w:color w:val="000000"/>
                <w:sz w:val="18"/>
              </w:rPr>
            </w:pPr>
            <w:r>
              <w:rPr>
                <w:color w:val="000000"/>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4F350000">
            <w:pPr>
              <w:widowControl w:val="1"/>
              <w:ind/>
              <w:jc w:val="center"/>
              <w:rPr>
                <w:color w:val="000000"/>
                <w:sz w:val="18"/>
              </w:rPr>
            </w:pPr>
            <w:r>
              <w:rPr>
                <w:color w:val="000000"/>
                <w:sz w:val="18"/>
              </w:rPr>
              <w:t>август 2019 г.</w:t>
            </w:r>
          </w:p>
        </w:tc>
        <w:tc>
          <w:tcPr>
            <w:tcW w:type="dxa" w:w="709"/>
            <w:tcBorders>
              <w:top w:color="000000" w:sz="4" w:val="single"/>
              <w:left w:color="000000" w:sz="4" w:val="single"/>
              <w:bottom w:color="000000" w:sz="4" w:val="single"/>
              <w:right w:color="000000" w:sz="4" w:val="single"/>
            </w:tcBorders>
            <w:shd w:fill="FFFFFF" w:val="clear"/>
            <w:vAlign w:val="center"/>
          </w:tcPr>
          <w:p w14:paraId="50350000">
            <w:pPr>
              <w:widowControl w:val="1"/>
              <w:ind/>
              <w:jc w:val="center"/>
              <w:rPr>
                <w:color w:val="000000"/>
                <w:sz w:val="18"/>
              </w:rPr>
            </w:pPr>
            <w:r>
              <w:rPr>
                <w:color w:val="000000"/>
                <w:sz w:val="18"/>
              </w:rPr>
              <w:t>договор № 3718МТ0115 от 14.08.2018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51350000">
            <w:pPr>
              <w:widowControl w:val="1"/>
              <w:ind/>
              <w:jc w:val="center"/>
              <w:rPr>
                <w:color w:val="000000"/>
                <w:sz w:val="18"/>
              </w:rPr>
            </w:pPr>
            <w:r>
              <w:rPr>
                <w:color w:val="000000"/>
                <w:sz w:val="18"/>
              </w:rPr>
              <w:t>118</w:t>
            </w:r>
          </w:p>
        </w:tc>
        <w:tc>
          <w:tcPr>
            <w:tcW w:type="dxa" w:w="618"/>
            <w:tcBorders>
              <w:top w:color="000000" w:sz="4" w:val="single"/>
              <w:left w:color="000000" w:sz="4" w:val="single"/>
              <w:bottom w:color="000000" w:sz="4" w:val="single"/>
              <w:right w:color="000000" w:sz="4" w:val="single"/>
            </w:tcBorders>
            <w:shd w:fill="FFFFFF" w:val="clear"/>
            <w:vAlign w:val="center"/>
          </w:tcPr>
          <w:p w14:paraId="52350000">
            <w:pPr>
              <w:widowControl w:val="1"/>
              <w:ind/>
              <w:jc w:val="center"/>
              <w:rPr>
                <w:sz w:val="18"/>
              </w:rPr>
            </w:pPr>
            <w:r>
              <w:rPr>
                <w:sz w:val="18"/>
              </w:rPr>
              <w:t>38/2</w:t>
            </w:r>
          </w:p>
        </w:tc>
        <w:tc>
          <w:tcPr>
            <w:tcW w:type="dxa" w:w="993"/>
            <w:tcBorders>
              <w:top w:color="000000" w:sz="4" w:val="single"/>
              <w:left w:color="000000" w:sz="4" w:val="single"/>
              <w:bottom w:color="000000" w:sz="4" w:val="single"/>
              <w:right w:color="000000" w:sz="4" w:val="single"/>
            </w:tcBorders>
            <w:shd w:fill="FFFFFF" w:val="clear"/>
            <w:vAlign w:val="center"/>
          </w:tcPr>
          <w:p w14:paraId="53350000">
            <w:pPr>
              <w:widowControl w:val="1"/>
              <w:ind/>
              <w:jc w:val="center"/>
              <w:rPr>
                <w:color w:val="000000"/>
                <w:sz w:val="18"/>
              </w:rPr>
            </w:pPr>
            <w:r>
              <w:rPr>
                <w:color w:val="000000"/>
                <w:sz w:val="18"/>
              </w:rPr>
              <w:t>Оказания услуг страхования ОСАГО AUDI Q7</w:t>
            </w:r>
          </w:p>
        </w:tc>
        <w:tc>
          <w:tcPr>
            <w:tcW w:type="dxa" w:w="849"/>
            <w:tcBorders>
              <w:top w:color="000000" w:sz="4" w:val="single"/>
              <w:left w:color="000000" w:sz="4" w:val="single"/>
              <w:bottom w:color="000000" w:sz="4" w:val="single"/>
              <w:right w:color="000000" w:sz="4" w:val="single"/>
            </w:tcBorders>
            <w:shd w:fill="FFFFFF" w:val="clear"/>
            <w:vAlign w:val="center"/>
          </w:tcPr>
          <w:p w14:paraId="5435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5535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56350000">
            <w:pPr>
              <w:widowControl w:val="1"/>
              <w:ind/>
              <w:jc w:val="center"/>
              <w:rPr>
                <w:sz w:val="18"/>
              </w:rPr>
            </w:pPr>
            <w:r>
              <w:rPr>
                <w:sz w:val="18"/>
              </w:rPr>
              <w:t>12000,00</w:t>
            </w:r>
          </w:p>
        </w:tc>
        <w:tc>
          <w:tcPr>
            <w:tcW w:type="dxa" w:w="1134"/>
            <w:tcBorders>
              <w:top w:color="000000" w:sz="4" w:val="single"/>
              <w:left w:color="000000" w:sz="4" w:val="single"/>
              <w:bottom w:color="000000" w:sz="4" w:val="single"/>
              <w:right w:color="000000" w:sz="4" w:val="single"/>
            </w:tcBorders>
            <w:shd w:fill="FFFFFF" w:val="clear"/>
            <w:vAlign w:val="center"/>
          </w:tcPr>
          <w:p w14:paraId="57350000">
            <w:pPr>
              <w:widowControl w:val="1"/>
              <w:ind/>
              <w:jc w:val="center"/>
              <w:rPr>
                <w:sz w:val="18"/>
              </w:rPr>
            </w:pPr>
            <w:r>
              <w:rPr>
                <w:sz w:val="18"/>
              </w:rPr>
              <w:t>12000,00</w:t>
            </w:r>
          </w:p>
        </w:tc>
        <w:tc>
          <w:tcPr>
            <w:tcW w:type="dxa" w:w="993"/>
            <w:tcBorders>
              <w:top w:color="000000" w:sz="4" w:val="single"/>
              <w:left w:color="000000" w:sz="4" w:val="single"/>
              <w:bottom w:color="000000" w:sz="4" w:val="single"/>
              <w:right w:color="000000" w:sz="4" w:val="single"/>
            </w:tcBorders>
            <w:shd w:fill="FFFFFF" w:val="clear"/>
            <w:vAlign w:val="center"/>
          </w:tcPr>
          <w:p w14:paraId="58350000">
            <w:pPr>
              <w:widowControl w:val="1"/>
              <w:ind/>
              <w:jc w:val="center"/>
              <w:rPr>
                <w:sz w:val="18"/>
              </w:rPr>
            </w:pPr>
            <w:r>
              <w:rPr>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59350000">
            <w:pPr>
              <w:widowControl w:val="1"/>
              <w:ind/>
              <w:jc w:val="center"/>
              <w:rPr>
                <w:sz w:val="18"/>
              </w:rPr>
            </w:pPr>
            <w:r>
              <w:rPr>
                <w:sz w:val="18"/>
              </w:rPr>
              <w:t>август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5A35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5B35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5C35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5D350000">
            <w:pPr>
              <w:widowControl w:val="1"/>
              <w:ind/>
              <w:jc w:val="center"/>
              <w:rPr>
                <w:sz w:val="18"/>
              </w:rPr>
            </w:pPr>
            <w:r>
              <w:rPr>
                <w:sz w:val="18"/>
              </w:rPr>
              <w:t>11337,67</w:t>
            </w:r>
          </w:p>
        </w:tc>
        <w:tc>
          <w:tcPr>
            <w:tcW w:type="dxa" w:w="1185"/>
            <w:tcBorders>
              <w:top w:color="000000" w:sz="4" w:val="single"/>
              <w:left w:color="000000" w:sz="4" w:val="single"/>
              <w:bottom w:color="000000" w:sz="4" w:val="single"/>
              <w:right w:color="000000" w:sz="4" w:val="single"/>
            </w:tcBorders>
            <w:shd w:fill="FFFFFF" w:val="clear"/>
            <w:vAlign w:val="center"/>
          </w:tcPr>
          <w:p w14:paraId="5E350000">
            <w:pPr>
              <w:widowControl w:val="1"/>
              <w:ind/>
              <w:jc w:val="center"/>
              <w:rPr>
                <w:sz w:val="18"/>
              </w:rPr>
            </w:pPr>
            <w:r>
              <w:rPr>
                <w:sz w:val="18"/>
              </w:rPr>
              <w:t>11337,67</w:t>
            </w:r>
          </w:p>
        </w:tc>
        <w:tc>
          <w:tcPr>
            <w:tcW w:type="dxa" w:w="1083"/>
            <w:tcBorders>
              <w:top w:color="000000" w:sz="4" w:val="single"/>
              <w:left w:color="000000" w:sz="4" w:val="single"/>
              <w:bottom w:color="000000" w:sz="4" w:val="single"/>
              <w:right w:color="000000" w:sz="4" w:val="single"/>
            </w:tcBorders>
            <w:shd w:fill="FFFFFF" w:val="clear"/>
            <w:vAlign w:val="center"/>
          </w:tcPr>
          <w:p w14:paraId="5F350000">
            <w:pPr>
              <w:widowControl w:val="1"/>
              <w:ind/>
              <w:jc w:val="center"/>
              <w:rPr>
                <w:sz w:val="18"/>
              </w:rPr>
            </w:pPr>
            <w:r>
              <w:rPr>
                <w:sz w:val="18"/>
              </w:rPr>
              <w:t>11337,67</w:t>
            </w:r>
          </w:p>
        </w:tc>
        <w:tc>
          <w:tcPr>
            <w:tcW w:type="dxa" w:w="771"/>
            <w:tcBorders>
              <w:top w:color="000000" w:sz="4" w:val="single"/>
              <w:left w:color="000000" w:sz="4" w:val="single"/>
              <w:bottom w:color="000000" w:sz="4" w:val="single"/>
              <w:right w:color="000000" w:sz="4" w:val="single"/>
            </w:tcBorders>
            <w:shd w:fill="FFFFFF" w:val="clear"/>
            <w:vAlign w:val="center"/>
          </w:tcPr>
          <w:p w14:paraId="60350000">
            <w:pPr>
              <w:widowControl w:val="1"/>
              <w:ind/>
              <w:jc w:val="center"/>
              <w:rPr>
                <w:sz w:val="18"/>
              </w:rPr>
            </w:pPr>
            <w:r>
              <w:rPr>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61350000">
            <w:pPr>
              <w:widowControl w:val="1"/>
              <w:ind/>
              <w:jc w:val="center"/>
              <w:rPr>
                <w:sz w:val="18"/>
              </w:rPr>
            </w:pPr>
            <w:r>
              <w:rPr>
                <w:sz w:val="18"/>
              </w:rPr>
              <w:t>август 2019 г.</w:t>
            </w:r>
          </w:p>
        </w:tc>
        <w:tc>
          <w:tcPr>
            <w:tcW w:type="dxa" w:w="709"/>
            <w:tcBorders>
              <w:top w:color="000000" w:sz="4" w:val="single"/>
              <w:left w:color="000000" w:sz="4" w:val="single"/>
              <w:bottom w:color="000000" w:sz="4" w:val="single"/>
              <w:right w:color="000000" w:sz="4" w:val="single"/>
            </w:tcBorders>
            <w:shd w:fill="FFFFFF" w:val="clear"/>
            <w:vAlign w:val="center"/>
          </w:tcPr>
          <w:p w14:paraId="62350000">
            <w:pPr>
              <w:widowControl w:val="1"/>
              <w:ind/>
              <w:jc w:val="center"/>
              <w:rPr>
                <w:sz w:val="18"/>
              </w:rPr>
            </w:pPr>
            <w:r>
              <w:rPr>
                <w:sz w:val="18"/>
              </w:rPr>
              <w:t>договор № 3000000000 от 09.08.2018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63350000">
            <w:pPr>
              <w:widowControl w:val="1"/>
              <w:ind/>
              <w:jc w:val="center"/>
              <w:rPr>
                <w:color w:val="000000"/>
                <w:sz w:val="18"/>
              </w:rPr>
            </w:pPr>
            <w:r>
              <w:rPr>
                <w:color w:val="000000"/>
                <w:sz w:val="18"/>
              </w:rPr>
              <w:t>119</w:t>
            </w:r>
          </w:p>
        </w:tc>
        <w:tc>
          <w:tcPr>
            <w:tcW w:type="dxa" w:w="618"/>
            <w:tcBorders>
              <w:top w:color="000000" w:sz="4" w:val="single"/>
              <w:left w:color="000000" w:sz="4" w:val="single"/>
              <w:bottom w:color="000000" w:sz="4" w:val="single"/>
              <w:right w:color="000000" w:sz="4" w:val="single"/>
            </w:tcBorders>
            <w:shd w:fill="FFFFFF" w:val="clear"/>
            <w:vAlign w:val="center"/>
          </w:tcPr>
          <w:p w14:paraId="64350000">
            <w:pPr>
              <w:widowControl w:val="1"/>
              <w:ind/>
              <w:jc w:val="center"/>
              <w:rPr>
                <w:sz w:val="18"/>
              </w:rPr>
            </w:pPr>
            <w:r>
              <w:rPr>
                <w:sz w:val="18"/>
              </w:rPr>
              <w:t>40/2</w:t>
            </w:r>
          </w:p>
        </w:tc>
        <w:tc>
          <w:tcPr>
            <w:tcW w:type="dxa" w:w="993"/>
            <w:tcBorders>
              <w:top w:color="000000" w:sz="4" w:val="single"/>
              <w:left w:color="000000" w:sz="4" w:val="single"/>
              <w:bottom w:color="000000" w:sz="4" w:val="single"/>
              <w:right w:color="000000" w:sz="4" w:val="single"/>
            </w:tcBorders>
            <w:shd w:fill="FFFFFF" w:val="clear"/>
            <w:vAlign w:val="center"/>
          </w:tcPr>
          <w:p w14:paraId="65350000">
            <w:pPr>
              <w:widowControl w:val="1"/>
              <w:ind/>
              <w:jc w:val="center"/>
              <w:rPr>
                <w:sz w:val="18"/>
              </w:rPr>
            </w:pPr>
            <w:r>
              <w:rPr>
                <w:sz w:val="18"/>
              </w:rPr>
              <w:t>Выполнение работ по изготовлению полиграфической продукции (календари)</w:t>
            </w:r>
          </w:p>
        </w:tc>
        <w:tc>
          <w:tcPr>
            <w:tcW w:type="dxa" w:w="849"/>
            <w:tcBorders>
              <w:top w:color="000000" w:sz="4" w:val="single"/>
              <w:left w:color="000000" w:sz="4" w:val="single"/>
              <w:bottom w:color="000000" w:sz="4" w:val="single"/>
              <w:right w:color="000000" w:sz="4" w:val="single"/>
            </w:tcBorders>
            <w:shd w:fill="FFFFFF" w:val="clear"/>
            <w:vAlign w:val="center"/>
          </w:tcPr>
          <w:p w14:paraId="6635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67350000">
            <w:pPr>
              <w:widowControl w:val="1"/>
              <w:ind/>
              <w:jc w:val="center"/>
              <w:rPr>
                <w:sz w:val="18"/>
              </w:rPr>
            </w:pPr>
            <w:r>
              <w:rPr>
                <w:sz w:val="18"/>
              </w:rPr>
              <w:t>370</w:t>
            </w:r>
          </w:p>
        </w:tc>
        <w:tc>
          <w:tcPr>
            <w:tcW w:type="dxa" w:w="991"/>
            <w:tcBorders>
              <w:top w:color="000000" w:sz="4" w:val="single"/>
              <w:left w:color="000000" w:sz="4" w:val="single"/>
              <w:bottom w:color="000000" w:sz="4" w:val="single"/>
              <w:right w:color="000000" w:sz="4" w:val="single"/>
            </w:tcBorders>
            <w:shd w:fill="FFFFFF" w:val="clear"/>
            <w:vAlign w:val="center"/>
          </w:tcPr>
          <w:p w14:paraId="68350000">
            <w:pPr>
              <w:widowControl w:val="1"/>
              <w:ind/>
              <w:jc w:val="center"/>
              <w:rPr>
                <w:sz w:val="18"/>
              </w:rPr>
            </w:pPr>
            <w:r>
              <w:rPr>
                <w:sz w:val="18"/>
              </w:rPr>
              <w:t>36540,00</w:t>
            </w:r>
          </w:p>
        </w:tc>
        <w:tc>
          <w:tcPr>
            <w:tcW w:type="dxa" w:w="1134"/>
            <w:tcBorders>
              <w:top w:color="000000" w:sz="4" w:val="single"/>
              <w:left w:color="000000" w:sz="4" w:val="single"/>
              <w:bottom w:color="000000" w:sz="4" w:val="single"/>
              <w:right w:color="000000" w:sz="4" w:val="single"/>
            </w:tcBorders>
            <w:shd w:fill="FFFFFF" w:val="clear"/>
            <w:vAlign w:val="center"/>
          </w:tcPr>
          <w:p w14:paraId="69350000">
            <w:pPr>
              <w:widowControl w:val="1"/>
              <w:ind/>
              <w:jc w:val="center"/>
              <w:rPr>
                <w:sz w:val="18"/>
              </w:rPr>
            </w:pPr>
            <w:r>
              <w:rPr>
                <w:sz w:val="18"/>
              </w:rPr>
              <w:t>36540,00</w:t>
            </w:r>
          </w:p>
        </w:tc>
        <w:tc>
          <w:tcPr>
            <w:tcW w:type="dxa" w:w="993"/>
            <w:tcBorders>
              <w:top w:color="000000" w:sz="4" w:val="single"/>
              <w:left w:color="000000" w:sz="4" w:val="single"/>
              <w:bottom w:color="000000" w:sz="4" w:val="single"/>
              <w:right w:color="000000" w:sz="4" w:val="single"/>
            </w:tcBorders>
            <w:shd w:fill="FFFFFF" w:val="clear"/>
            <w:vAlign w:val="center"/>
          </w:tcPr>
          <w:p w14:paraId="6A35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6B35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6C35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6D35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6E350000">
            <w:pPr>
              <w:widowControl w:val="1"/>
              <w:ind/>
              <w:jc w:val="center"/>
              <w:rPr>
                <w:sz w:val="18"/>
              </w:rPr>
            </w:pPr>
            <w:r>
              <w:rPr>
                <w:sz w:val="18"/>
              </w:rPr>
              <w:t>370</w:t>
            </w:r>
          </w:p>
        </w:tc>
        <w:tc>
          <w:tcPr>
            <w:tcW w:type="dxa" w:w="1169"/>
            <w:tcBorders>
              <w:top w:color="000000" w:sz="4" w:val="single"/>
              <w:left w:color="000000" w:sz="4" w:val="single"/>
              <w:bottom w:color="000000" w:sz="4" w:val="single"/>
              <w:right w:color="000000" w:sz="4" w:val="single"/>
            </w:tcBorders>
            <w:shd w:fill="auto" w:val="clear"/>
            <w:vAlign w:val="center"/>
          </w:tcPr>
          <w:p w14:paraId="6F350000">
            <w:pPr>
              <w:widowControl w:val="1"/>
              <w:ind/>
              <w:jc w:val="center"/>
              <w:rPr>
                <w:sz w:val="18"/>
              </w:rPr>
            </w:pPr>
            <w:r>
              <w:rPr>
                <w:sz w:val="18"/>
              </w:rPr>
              <w:t>36540</w:t>
            </w:r>
          </w:p>
        </w:tc>
        <w:tc>
          <w:tcPr>
            <w:tcW w:type="dxa" w:w="1185"/>
            <w:tcBorders>
              <w:top w:color="000000" w:sz="4" w:val="single"/>
              <w:left w:color="000000" w:sz="4" w:val="single"/>
              <w:bottom w:color="000000" w:sz="4" w:val="single"/>
              <w:right w:color="000000" w:sz="4" w:val="single"/>
            </w:tcBorders>
            <w:shd w:fill="auto" w:val="clear"/>
            <w:vAlign w:val="center"/>
          </w:tcPr>
          <w:p w14:paraId="70350000">
            <w:pPr>
              <w:widowControl w:val="1"/>
              <w:ind/>
              <w:jc w:val="center"/>
              <w:rPr>
                <w:sz w:val="18"/>
              </w:rPr>
            </w:pPr>
            <w:r>
              <w:rPr>
                <w:sz w:val="18"/>
              </w:rPr>
              <w:t>36540</w:t>
            </w:r>
          </w:p>
        </w:tc>
        <w:tc>
          <w:tcPr>
            <w:tcW w:type="dxa" w:w="1083"/>
            <w:tcBorders>
              <w:top w:color="000000" w:sz="4" w:val="single"/>
              <w:left w:color="000000" w:sz="4" w:val="single"/>
              <w:bottom w:color="000000" w:sz="4" w:val="single"/>
              <w:right w:color="000000" w:sz="4" w:val="single"/>
            </w:tcBorders>
            <w:shd w:fill="auto" w:val="clear"/>
            <w:vAlign w:val="center"/>
          </w:tcPr>
          <w:p w14:paraId="71350000">
            <w:pPr>
              <w:widowControl w:val="1"/>
              <w:ind/>
              <w:jc w:val="center"/>
              <w:rPr>
                <w:sz w:val="18"/>
              </w:rPr>
            </w:pPr>
            <w:r>
              <w:rPr>
                <w:sz w:val="18"/>
              </w:rPr>
              <w:t>36540</w:t>
            </w:r>
          </w:p>
        </w:tc>
        <w:tc>
          <w:tcPr>
            <w:tcW w:type="dxa" w:w="771"/>
            <w:tcBorders>
              <w:top w:color="000000" w:sz="4" w:val="single"/>
              <w:left w:color="000000" w:sz="4" w:val="single"/>
              <w:bottom w:color="000000" w:sz="4" w:val="single"/>
              <w:right w:color="000000" w:sz="4" w:val="single"/>
            </w:tcBorders>
            <w:shd w:fill="FFFFFF" w:val="clear"/>
            <w:vAlign w:val="center"/>
          </w:tcPr>
          <w:p w14:paraId="7235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7335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auto" w:val="clear"/>
            <w:vAlign w:val="center"/>
          </w:tcPr>
          <w:p w14:paraId="74350000">
            <w:pPr>
              <w:widowControl w:val="1"/>
              <w:ind/>
              <w:jc w:val="center"/>
              <w:rPr>
                <w:sz w:val="18"/>
              </w:rPr>
            </w:pPr>
            <w:r>
              <w:rPr>
                <w:sz w:val="18"/>
              </w:rPr>
              <w:t>договор № 116 от 24.10.2018</w:t>
            </w:r>
          </w:p>
        </w:tc>
      </w:tr>
      <w:tr>
        <w:trPr>
          <w:trHeight w:hRule="atLeast" w:val="1785"/>
        </w:trPr>
        <w:tc>
          <w:tcPr>
            <w:tcW w:type="dxa" w:w="708"/>
            <w:tcBorders>
              <w:top w:color="000000" w:sz="4" w:val="single"/>
              <w:left w:color="000000" w:sz="4" w:val="single"/>
              <w:bottom w:color="000000" w:sz="4" w:val="single"/>
              <w:right w:color="000000" w:sz="4" w:val="single"/>
            </w:tcBorders>
            <w:shd w:fill="auto" w:val="clear"/>
            <w:vAlign w:val="center"/>
          </w:tcPr>
          <w:p w14:paraId="75350000">
            <w:pPr>
              <w:widowControl w:val="1"/>
              <w:ind/>
              <w:jc w:val="center"/>
              <w:rPr>
                <w:color w:val="000000"/>
                <w:sz w:val="18"/>
              </w:rPr>
            </w:pPr>
            <w:r>
              <w:rPr>
                <w:color w:val="000000"/>
                <w:sz w:val="18"/>
              </w:rPr>
              <w:t>120</w:t>
            </w:r>
          </w:p>
        </w:tc>
        <w:tc>
          <w:tcPr>
            <w:tcW w:type="dxa" w:w="618"/>
            <w:tcBorders>
              <w:top w:color="000000" w:sz="4" w:val="single"/>
              <w:left w:color="000000" w:sz="4" w:val="single"/>
              <w:bottom w:color="000000" w:sz="4" w:val="single"/>
              <w:right w:color="000000" w:sz="4" w:val="single"/>
            </w:tcBorders>
            <w:shd w:fill="FFFFFF" w:val="clear"/>
            <w:vAlign w:val="center"/>
          </w:tcPr>
          <w:p w14:paraId="76350000">
            <w:pPr>
              <w:widowControl w:val="1"/>
              <w:ind/>
              <w:jc w:val="center"/>
              <w:rPr>
                <w:sz w:val="18"/>
              </w:rPr>
            </w:pPr>
            <w:r>
              <w:rPr>
                <w:sz w:val="18"/>
              </w:rPr>
              <w:t>42/2</w:t>
            </w:r>
          </w:p>
        </w:tc>
        <w:tc>
          <w:tcPr>
            <w:tcW w:type="dxa" w:w="993"/>
            <w:tcBorders>
              <w:top w:color="000000" w:sz="4" w:val="single"/>
              <w:left w:color="000000" w:sz="4" w:val="single"/>
              <w:bottom w:color="000000" w:sz="4" w:val="single"/>
              <w:right w:color="000000" w:sz="4" w:val="single"/>
            </w:tcBorders>
            <w:shd w:fill="FFFFFF" w:val="clear"/>
            <w:vAlign w:val="center"/>
          </w:tcPr>
          <w:p w14:paraId="77350000">
            <w:pPr>
              <w:widowControl w:val="1"/>
              <w:ind/>
              <w:jc w:val="center"/>
              <w:rPr>
                <w:sz w:val="18"/>
              </w:rPr>
            </w:pPr>
            <w:r>
              <w:rPr>
                <w:sz w:val="18"/>
              </w:rPr>
              <w:t>выполнение работ по изготовлению полиграфической продукции (книги расписания)</w:t>
            </w:r>
          </w:p>
        </w:tc>
        <w:tc>
          <w:tcPr>
            <w:tcW w:type="dxa" w:w="849"/>
            <w:tcBorders>
              <w:top w:color="000000" w:sz="4" w:val="single"/>
              <w:left w:color="000000" w:sz="4" w:val="single"/>
              <w:bottom w:color="000000" w:sz="4" w:val="single"/>
              <w:right w:color="000000" w:sz="4" w:val="single"/>
            </w:tcBorders>
            <w:shd w:fill="FFFFFF" w:val="clear"/>
            <w:vAlign w:val="center"/>
          </w:tcPr>
          <w:p w14:paraId="7835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79350000">
            <w:pPr>
              <w:widowControl w:val="1"/>
              <w:ind/>
              <w:jc w:val="center"/>
              <w:rPr>
                <w:sz w:val="18"/>
              </w:rPr>
            </w:pPr>
            <w:r>
              <w:rPr>
                <w:sz w:val="18"/>
              </w:rPr>
              <w:t>120</w:t>
            </w:r>
          </w:p>
        </w:tc>
        <w:tc>
          <w:tcPr>
            <w:tcW w:type="dxa" w:w="991"/>
            <w:tcBorders>
              <w:top w:color="000000" w:sz="4" w:val="single"/>
              <w:left w:color="000000" w:sz="4" w:val="single"/>
              <w:bottom w:color="000000" w:sz="4" w:val="single"/>
              <w:right w:color="000000" w:sz="4" w:val="single"/>
            </w:tcBorders>
            <w:shd w:fill="FFFFFF" w:val="clear"/>
            <w:vAlign w:val="center"/>
          </w:tcPr>
          <w:p w14:paraId="7A350000">
            <w:pPr>
              <w:widowControl w:val="1"/>
              <w:ind/>
              <w:jc w:val="center"/>
              <w:rPr>
                <w:sz w:val="18"/>
              </w:rPr>
            </w:pPr>
            <w:r>
              <w:rPr>
                <w:sz w:val="18"/>
              </w:rPr>
              <w:t>37000,00</w:t>
            </w:r>
          </w:p>
        </w:tc>
        <w:tc>
          <w:tcPr>
            <w:tcW w:type="dxa" w:w="1134"/>
            <w:tcBorders>
              <w:top w:color="000000" w:sz="4" w:val="single"/>
              <w:left w:color="000000" w:sz="4" w:val="single"/>
              <w:bottom w:color="000000" w:sz="4" w:val="single"/>
              <w:right w:color="000000" w:sz="4" w:val="single"/>
            </w:tcBorders>
            <w:shd w:fill="FFFFFF" w:val="clear"/>
            <w:vAlign w:val="center"/>
          </w:tcPr>
          <w:p w14:paraId="7B350000">
            <w:pPr>
              <w:widowControl w:val="1"/>
              <w:ind/>
              <w:jc w:val="center"/>
              <w:rPr>
                <w:sz w:val="18"/>
              </w:rPr>
            </w:pPr>
            <w:r>
              <w:rPr>
                <w:sz w:val="18"/>
              </w:rPr>
              <w:t>37000,00</w:t>
            </w:r>
          </w:p>
        </w:tc>
        <w:tc>
          <w:tcPr>
            <w:tcW w:type="dxa" w:w="993"/>
            <w:tcBorders>
              <w:top w:color="000000" w:sz="4" w:val="single"/>
              <w:left w:color="000000" w:sz="4" w:val="single"/>
              <w:bottom w:color="000000" w:sz="4" w:val="single"/>
              <w:right w:color="000000" w:sz="4" w:val="single"/>
            </w:tcBorders>
            <w:shd w:fill="FFFFFF" w:val="clear"/>
            <w:vAlign w:val="center"/>
          </w:tcPr>
          <w:p w14:paraId="7C350000">
            <w:pPr>
              <w:widowControl w:val="1"/>
              <w:ind/>
              <w:jc w:val="center"/>
              <w:rPr>
                <w:sz w:val="18"/>
              </w:rPr>
            </w:pPr>
            <w:r>
              <w:rPr>
                <w:sz w:val="18"/>
              </w:rPr>
              <w:t>ноябрь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7D35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7E35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7F35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80350000">
            <w:pPr>
              <w:widowControl w:val="1"/>
              <w:ind/>
              <w:jc w:val="center"/>
              <w:rPr>
                <w:sz w:val="18"/>
              </w:rPr>
            </w:pPr>
            <w:r>
              <w:rPr>
                <w:sz w:val="18"/>
              </w:rPr>
              <w:t>120</w:t>
            </w:r>
          </w:p>
        </w:tc>
        <w:tc>
          <w:tcPr>
            <w:tcW w:type="dxa" w:w="1169"/>
            <w:tcBorders>
              <w:top w:color="000000" w:sz="4" w:val="single"/>
              <w:left w:color="000000" w:sz="4" w:val="single"/>
              <w:bottom w:color="000000" w:sz="4" w:val="single"/>
              <w:right w:color="000000" w:sz="4" w:val="single"/>
            </w:tcBorders>
            <w:shd w:fill="auto" w:val="clear"/>
            <w:vAlign w:val="center"/>
          </w:tcPr>
          <w:p w14:paraId="81350000">
            <w:pPr>
              <w:widowControl w:val="1"/>
              <w:ind/>
              <w:jc w:val="center"/>
              <w:rPr>
                <w:sz w:val="18"/>
              </w:rPr>
            </w:pPr>
            <w:r>
              <w:rPr>
                <w:sz w:val="18"/>
              </w:rPr>
              <w:t>36300</w:t>
            </w:r>
          </w:p>
        </w:tc>
        <w:tc>
          <w:tcPr>
            <w:tcW w:type="dxa" w:w="1185"/>
            <w:tcBorders>
              <w:top w:color="000000" w:sz="4" w:val="single"/>
              <w:left w:color="000000" w:sz="4" w:val="single"/>
              <w:bottom w:color="000000" w:sz="4" w:val="single"/>
              <w:right w:color="000000" w:sz="4" w:val="single"/>
            </w:tcBorders>
            <w:shd w:fill="auto" w:val="clear"/>
            <w:vAlign w:val="center"/>
          </w:tcPr>
          <w:p w14:paraId="82350000">
            <w:pPr>
              <w:widowControl w:val="1"/>
              <w:ind/>
              <w:jc w:val="center"/>
              <w:rPr>
                <w:sz w:val="18"/>
              </w:rPr>
            </w:pPr>
            <w:r>
              <w:rPr>
                <w:sz w:val="18"/>
              </w:rPr>
              <w:t>36300</w:t>
            </w:r>
          </w:p>
        </w:tc>
        <w:tc>
          <w:tcPr>
            <w:tcW w:type="dxa" w:w="1083"/>
            <w:tcBorders>
              <w:top w:color="000000" w:sz="4" w:val="single"/>
              <w:left w:color="000000" w:sz="4" w:val="single"/>
              <w:bottom w:color="000000" w:sz="4" w:val="single"/>
              <w:right w:color="000000" w:sz="4" w:val="single"/>
            </w:tcBorders>
            <w:shd w:fill="auto" w:val="clear"/>
            <w:vAlign w:val="center"/>
          </w:tcPr>
          <w:p w14:paraId="83350000">
            <w:pPr>
              <w:widowControl w:val="1"/>
              <w:ind/>
              <w:jc w:val="center"/>
              <w:rPr>
                <w:sz w:val="18"/>
              </w:rPr>
            </w:pPr>
            <w:r>
              <w:rPr>
                <w:sz w:val="18"/>
              </w:rPr>
              <w:t>36300</w:t>
            </w:r>
          </w:p>
        </w:tc>
        <w:tc>
          <w:tcPr>
            <w:tcW w:type="dxa" w:w="771"/>
            <w:tcBorders>
              <w:top w:color="000000" w:sz="4" w:val="single"/>
              <w:left w:color="000000" w:sz="4" w:val="single"/>
              <w:bottom w:color="000000" w:sz="4" w:val="single"/>
              <w:right w:color="000000" w:sz="4" w:val="single"/>
            </w:tcBorders>
            <w:shd w:fill="FFFFFF" w:val="clear"/>
            <w:vAlign w:val="center"/>
          </w:tcPr>
          <w:p w14:paraId="84350000">
            <w:pPr>
              <w:widowControl w:val="1"/>
              <w:ind/>
              <w:jc w:val="center"/>
              <w:rPr>
                <w:sz w:val="18"/>
              </w:rPr>
            </w:pPr>
            <w:r>
              <w:rPr>
                <w:sz w:val="18"/>
              </w:rPr>
              <w:t>ноябрь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8535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auto" w:val="clear"/>
            <w:vAlign w:val="center"/>
          </w:tcPr>
          <w:p w14:paraId="86350000">
            <w:pPr>
              <w:widowControl w:val="1"/>
              <w:ind/>
              <w:jc w:val="center"/>
              <w:rPr>
                <w:sz w:val="18"/>
              </w:rPr>
            </w:pPr>
            <w:r>
              <w:rPr>
                <w:sz w:val="18"/>
              </w:rPr>
              <w:t>договор № 572 от 01.11.2018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87350000">
            <w:pPr>
              <w:widowControl w:val="1"/>
              <w:ind/>
              <w:jc w:val="center"/>
              <w:rPr>
                <w:color w:val="000000"/>
                <w:sz w:val="18"/>
              </w:rPr>
            </w:pPr>
            <w:r>
              <w:rPr>
                <w:color w:val="000000"/>
                <w:sz w:val="18"/>
              </w:rPr>
              <w:t>121</w:t>
            </w:r>
          </w:p>
        </w:tc>
        <w:tc>
          <w:tcPr>
            <w:tcW w:type="dxa" w:w="618"/>
            <w:tcBorders>
              <w:top w:color="000000" w:sz="4" w:val="single"/>
              <w:left w:color="000000" w:sz="4" w:val="single"/>
              <w:bottom w:color="000000" w:sz="4" w:val="single"/>
              <w:right w:color="000000" w:sz="4" w:val="single"/>
            </w:tcBorders>
            <w:shd w:fill="FFFFFF" w:val="clear"/>
            <w:vAlign w:val="center"/>
          </w:tcPr>
          <w:p w14:paraId="88350000">
            <w:pPr>
              <w:widowControl w:val="1"/>
              <w:ind/>
              <w:jc w:val="center"/>
              <w:rPr>
                <w:sz w:val="18"/>
              </w:rPr>
            </w:pPr>
            <w:r>
              <w:rPr>
                <w:sz w:val="18"/>
              </w:rPr>
              <w:t>43/2</w:t>
            </w:r>
          </w:p>
        </w:tc>
        <w:tc>
          <w:tcPr>
            <w:tcW w:type="dxa" w:w="993"/>
            <w:tcBorders>
              <w:top w:color="000000" w:sz="4" w:val="single"/>
              <w:left w:color="000000" w:sz="4" w:val="single"/>
              <w:bottom w:color="000000" w:sz="4" w:val="single"/>
              <w:right w:color="000000" w:sz="4" w:val="single"/>
            </w:tcBorders>
            <w:shd w:fill="FFFFFF" w:val="clear"/>
            <w:vAlign w:val="center"/>
          </w:tcPr>
          <w:p w14:paraId="89350000">
            <w:pPr>
              <w:widowControl w:val="1"/>
              <w:ind/>
              <w:jc w:val="center"/>
              <w:rPr>
                <w:sz w:val="18"/>
              </w:rPr>
            </w:pPr>
            <w:r>
              <w:rPr>
                <w:sz w:val="18"/>
              </w:rPr>
              <w:t>оказание услуг Инкассации, обработки и зачисления на счет наличных денег</w:t>
            </w:r>
          </w:p>
        </w:tc>
        <w:tc>
          <w:tcPr>
            <w:tcW w:type="dxa" w:w="849"/>
            <w:tcBorders>
              <w:top w:color="000000" w:sz="4" w:val="single"/>
              <w:left w:color="000000" w:sz="4" w:val="single"/>
              <w:bottom w:color="000000" w:sz="4" w:val="single"/>
              <w:right w:color="000000" w:sz="4" w:val="single"/>
            </w:tcBorders>
            <w:shd w:fill="FFFFFF" w:val="clear"/>
            <w:vAlign w:val="center"/>
          </w:tcPr>
          <w:p w14:paraId="8A35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8B35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8C350000">
            <w:pPr>
              <w:widowControl w:val="1"/>
              <w:ind/>
              <w:jc w:val="center"/>
              <w:rPr>
                <w:sz w:val="18"/>
              </w:rPr>
            </w:pPr>
            <w:r>
              <w:rPr>
                <w:sz w:val="18"/>
              </w:rPr>
              <w:t>73762,00</w:t>
            </w:r>
          </w:p>
        </w:tc>
        <w:tc>
          <w:tcPr>
            <w:tcW w:type="dxa" w:w="1134"/>
            <w:tcBorders>
              <w:top w:color="000000" w:sz="4" w:val="single"/>
              <w:left w:color="000000" w:sz="4" w:val="single"/>
              <w:bottom w:color="000000" w:sz="4" w:val="single"/>
              <w:right w:color="000000" w:sz="4" w:val="single"/>
            </w:tcBorders>
            <w:shd w:fill="FFFFFF" w:val="clear"/>
            <w:vAlign w:val="center"/>
          </w:tcPr>
          <w:p w14:paraId="8D350000">
            <w:pPr>
              <w:widowControl w:val="1"/>
              <w:ind/>
              <w:jc w:val="center"/>
              <w:rPr>
                <w:sz w:val="18"/>
              </w:rPr>
            </w:pPr>
            <w:r>
              <w:rPr>
                <w:sz w:val="18"/>
              </w:rPr>
              <w:t>84267,16</w:t>
            </w:r>
          </w:p>
        </w:tc>
        <w:tc>
          <w:tcPr>
            <w:tcW w:type="dxa" w:w="993"/>
            <w:tcBorders>
              <w:top w:color="000000" w:sz="4" w:val="single"/>
              <w:left w:color="000000" w:sz="4" w:val="single"/>
              <w:bottom w:color="000000" w:sz="4" w:val="single"/>
              <w:right w:color="000000" w:sz="4" w:val="single"/>
            </w:tcBorders>
            <w:shd w:fill="FFFFFF" w:val="clear"/>
            <w:vAlign w:val="center"/>
          </w:tcPr>
          <w:p w14:paraId="8E35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8F350000">
            <w:pPr>
              <w:widowControl w:val="1"/>
              <w:ind/>
              <w:jc w:val="center"/>
              <w:rPr>
                <w:sz w:val="18"/>
              </w:rPr>
            </w:pPr>
            <w:r>
              <w:rPr>
                <w:sz w:val="18"/>
              </w:rPr>
              <w:t>декабрь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9035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9135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9235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auto" w:val="clear"/>
            <w:vAlign w:val="center"/>
          </w:tcPr>
          <w:p w14:paraId="93350000">
            <w:pPr>
              <w:widowControl w:val="1"/>
              <w:ind/>
              <w:jc w:val="center"/>
              <w:rPr>
                <w:sz w:val="18"/>
              </w:rPr>
            </w:pPr>
            <w:r>
              <w:rPr>
                <w:sz w:val="18"/>
              </w:rPr>
              <w:t>76677,5</w:t>
            </w:r>
          </w:p>
        </w:tc>
        <w:tc>
          <w:tcPr>
            <w:tcW w:type="dxa" w:w="1185"/>
            <w:tcBorders>
              <w:top w:color="000000" w:sz="4" w:val="single"/>
              <w:left w:color="000000" w:sz="4" w:val="single"/>
              <w:bottom w:color="000000" w:sz="4" w:val="single"/>
              <w:right w:color="000000" w:sz="4" w:val="single"/>
            </w:tcBorders>
            <w:shd w:fill="auto" w:val="clear"/>
            <w:vAlign w:val="center"/>
          </w:tcPr>
          <w:p w14:paraId="94350000">
            <w:pPr>
              <w:widowControl w:val="1"/>
              <w:ind/>
              <w:jc w:val="center"/>
              <w:rPr>
                <w:sz w:val="18"/>
              </w:rPr>
            </w:pPr>
            <w:r>
              <w:rPr>
                <w:sz w:val="18"/>
              </w:rPr>
              <w:t>88087</w:t>
            </w:r>
          </w:p>
        </w:tc>
        <w:tc>
          <w:tcPr>
            <w:tcW w:type="dxa" w:w="1083"/>
            <w:tcBorders>
              <w:top w:color="000000" w:sz="4" w:val="single"/>
              <w:left w:color="000000" w:sz="4" w:val="single"/>
              <w:bottom w:color="000000" w:sz="4" w:val="single"/>
              <w:right w:color="000000" w:sz="4" w:val="single"/>
            </w:tcBorders>
            <w:shd w:fill="auto" w:val="clear"/>
            <w:vAlign w:val="center"/>
          </w:tcPr>
          <w:p w14:paraId="95350000">
            <w:pPr>
              <w:widowControl w:val="1"/>
              <w:ind/>
              <w:jc w:val="center"/>
              <w:rPr>
                <w:sz w:val="18"/>
              </w:rPr>
            </w:pPr>
            <w:r>
              <w:rPr>
                <w:sz w:val="18"/>
              </w:rPr>
              <w:t>88087</w:t>
            </w:r>
          </w:p>
        </w:tc>
        <w:tc>
          <w:tcPr>
            <w:tcW w:type="dxa" w:w="771"/>
            <w:tcBorders>
              <w:top w:color="000000" w:sz="4" w:val="single"/>
              <w:left w:color="000000" w:sz="4" w:val="single"/>
              <w:bottom w:color="000000" w:sz="4" w:val="single"/>
              <w:right w:color="000000" w:sz="4" w:val="single"/>
            </w:tcBorders>
            <w:shd w:fill="FFFFFF" w:val="clear"/>
            <w:vAlign w:val="center"/>
          </w:tcPr>
          <w:p w14:paraId="9635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97350000">
            <w:pPr>
              <w:widowControl w:val="1"/>
              <w:ind/>
              <w:jc w:val="center"/>
              <w:rPr>
                <w:sz w:val="18"/>
              </w:rPr>
            </w:pPr>
            <w:r>
              <w:rPr>
                <w:sz w:val="18"/>
              </w:rPr>
              <w:t>декабрь 2019 г.</w:t>
            </w:r>
          </w:p>
        </w:tc>
        <w:tc>
          <w:tcPr>
            <w:tcW w:type="dxa" w:w="709"/>
            <w:tcBorders>
              <w:top w:color="000000" w:sz="4" w:val="single"/>
              <w:left w:color="000000" w:sz="4" w:val="single"/>
              <w:bottom w:color="000000" w:sz="4" w:val="single"/>
              <w:right w:color="000000" w:sz="4" w:val="single"/>
            </w:tcBorders>
            <w:shd w:fill="auto" w:val="clear"/>
            <w:vAlign w:val="center"/>
          </w:tcPr>
          <w:p w14:paraId="98350000">
            <w:pPr>
              <w:widowControl w:val="1"/>
              <w:ind/>
              <w:jc w:val="center"/>
              <w:rPr>
                <w:sz w:val="18"/>
              </w:rPr>
            </w:pPr>
            <w:r>
              <w:rPr>
                <w:sz w:val="18"/>
              </w:rPr>
              <w:t>договор № 882 от 29.12.2018</w:t>
            </w:r>
          </w:p>
        </w:tc>
      </w:tr>
      <w:tr>
        <w:trPr>
          <w:trHeight w:hRule="atLeast" w:val="2805"/>
        </w:trPr>
        <w:tc>
          <w:tcPr>
            <w:tcW w:type="dxa" w:w="708"/>
            <w:tcBorders>
              <w:top w:color="000000" w:sz="4" w:val="single"/>
              <w:left w:color="000000" w:sz="4" w:val="single"/>
              <w:bottom w:color="000000" w:sz="4" w:val="single"/>
              <w:right w:color="000000" w:sz="4" w:val="single"/>
            </w:tcBorders>
            <w:shd w:fill="auto" w:val="clear"/>
            <w:vAlign w:val="center"/>
          </w:tcPr>
          <w:p w14:paraId="99350000">
            <w:pPr>
              <w:widowControl w:val="1"/>
              <w:ind/>
              <w:jc w:val="center"/>
              <w:rPr>
                <w:color w:val="000000"/>
                <w:sz w:val="18"/>
              </w:rPr>
            </w:pPr>
            <w:r>
              <w:rPr>
                <w:color w:val="000000"/>
                <w:sz w:val="18"/>
              </w:rPr>
              <w:t>122</w:t>
            </w:r>
          </w:p>
        </w:tc>
        <w:tc>
          <w:tcPr>
            <w:tcW w:type="dxa" w:w="618"/>
            <w:tcBorders>
              <w:top w:color="000000" w:sz="4" w:val="single"/>
              <w:left w:color="000000" w:sz="4" w:val="single"/>
              <w:bottom w:color="000000" w:sz="4" w:val="single"/>
              <w:right w:color="000000" w:sz="4" w:val="single"/>
            </w:tcBorders>
            <w:shd w:fill="FFFFFF" w:val="clear"/>
            <w:vAlign w:val="center"/>
          </w:tcPr>
          <w:p w14:paraId="9A350000">
            <w:pPr>
              <w:widowControl w:val="1"/>
              <w:ind/>
              <w:jc w:val="center"/>
              <w:rPr>
                <w:sz w:val="18"/>
              </w:rPr>
            </w:pPr>
            <w:r>
              <w:rPr>
                <w:sz w:val="18"/>
              </w:rPr>
              <w:t>44/2</w:t>
            </w:r>
          </w:p>
        </w:tc>
        <w:tc>
          <w:tcPr>
            <w:tcW w:type="dxa" w:w="993"/>
            <w:tcBorders>
              <w:top w:color="000000" w:sz="4" w:val="single"/>
              <w:left w:color="000000" w:sz="4" w:val="single"/>
              <w:bottom w:color="000000" w:sz="4" w:val="single"/>
              <w:right w:color="000000" w:sz="4" w:val="single"/>
            </w:tcBorders>
            <w:shd w:fill="FFFFFF" w:val="clear"/>
            <w:vAlign w:val="center"/>
          </w:tcPr>
          <w:p w14:paraId="9B350000">
            <w:pPr>
              <w:widowControl w:val="1"/>
              <w:ind/>
              <w:jc w:val="center"/>
              <w:rPr>
                <w:sz w:val="18"/>
              </w:rPr>
            </w:pPr>
            <w:r>
              <w:rPr>
                <w:sz w:val="18"/>
              </w:rPr>
              <w:t>Оказание услуг по централизованному наблюдению за объектом и реагировании на тревожные сообщения  (пункт продаж ст. Козулька)</w:t>
            </w:r>
          </w:p>
        </w:tc>
        <w:tc>
          <w:tcPr>
            <w:tcW w:type="dxa" w:w="849"/>
            <w:tcBorders>
              <w:top w:color="000000" w:sz="4" w:val="single"/>
              <w:left w:color="000000" w:sz="4" w:val="single"/>
              <w:bottom w:color="000000" w:sz="4" w:val="single"/>
              <w:right w:color="000000" w:sz="4" w:val="single"/>
            </w:tcBorders>
            <w:shd w:fill="FFFFFF" w:val="clear"/>
            <w:vAlign w:val="center"/>
          </w:tcPr>
          <w:p w14:paraId="9C35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9D35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9E350000">
            <w:pPr>
              <w:widowControl w:val="1"/>
              <w:ind/>
              <w:jc w:val="center"/>
              <w:rPr>
                <w:sz w:val="18"/>
              </w:rPr>
            </w:pPr>
            <w:r>
              <w:rPr>
                <w:sz w:val="18"/>
              </w:rPr>
              <w:t>31000,00</w:t>
            </w:r>
          </w:p>
        </w:tc>
        <w:tc>
          <w:tcPr>
            <w:tcW w:type="dxa" w:w="1134"/>
            <w:tcBorders>
              <w:top w:color="000000" w:sz="4" w:val="single"/>
              <w:left w:color="000000" w:sz="4" w:val="single"/>
              <w:bottom w:color="000000" w:sz="4" w:val="single"/>
              <w:right w:color="000000" w:sz="4" w:val="single"/>
            </w:tcBorders>
            <w:shd w:fill="FFFFFF" w:val="clear"/>
            <w:vAlign w:val="center"/>
          </w:tcPr>
          <w:p w14:paraId="9F350000">
            <w:pPr>
              <w:widowControl w:val="1"/>
              <w:ind/>
              <w:jc w:val="center"/>
              <w:rPr>
                <w:sz w:val="18"/>
              </w:rPr>
            </w:pPr>
            <w:r>
              <w:rPr>
                <w:sz w:val="18"/>
              </w:rPr>
              <w:t>31000,00</w:t>
            </w:r>
          </w:p>
        </w:tc>
        <w:tc>
          <w:tcPr>
            <w:tcW w:type="dxa" w:w="993"/>
            <w:tcBorders>
              <w:top w:color="000000" w:sz="4" w:val="single"/>
              <w:left w:color="000000" w:sz="4" w:val="single"/>
              <w:bottom w:color="000000" w:sz="4" w:val="single"/>
              <w:right w:color="000000" w:sz="4" w:val="single"/>
            </w:tcBorders>
            <w:shd w:fill="FFFFFF" w:val="clear"/>
            <w:vAlign w:val="center"/>
          </w:tcPr>
          <w:p w14:paraId="A035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A1350000">
            <w:pPr>
              <w:widowControl w:val="1"/>
              <w:ind/>
              <w:jc w:val="center"/>
              <w:rPr>
                <w:sz w:val="18"/>
              </w:rPr>
            </w:pPr>
            <w:r>
              <w:rPr>
                <w:sz w:val="18"/>
              </w:rPr>
              <w:t>декабрь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A235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A335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A435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auto" w:val="clear"/>
            <w:vAlign w:val="center"/>
          </w:tcPr>
          <w:p w14:paraId="A5350000">
            <w:pPr>
              <w:widowControl w:val="1"/>
              <w:ind/>
              <w:jc w:val="center"/>
              <w:rPr>
                <w:sz w:val="18"/>
              </w:rPr>
            </w:pPr>
            <w:r>
              <w:rPr>
                <w:sz w:val="18"/>
              </w:rPr>
              <w:t>28287,6</w:t>
            </w:r>
          </w:p>
        </w:tc>
        <w:tc>
          <w:tcPr>
            <w:tcW w:type="dxa" w:w="1185"/>
            <w:tcBorders>
              <w:top w:color="000000" w:sz="4" w:val="single"/>
              <w:left w:color="000000" w:sz="4" w:val="single"/>
              <w:bottom w:color="000000" w:sz="4" w:val="single"/>
              <w:right w:color="000000" w:sz="4" w:val="single"/>
            </w:tcBorders>
            <w:shd w:fill="auto" w:val="clear"/>
            <w:vAlign w:val="center"/>
          </w:tcPr>
          <w:p w14:paraId="A6350000">
            <w:pPr>
              <w:widowControl w:val="1"/>
              <w:ind/>
              <w:jc w:val="center"/>
              <w:rPr>
                <w:sz w:val="18"/>
              </w:rPr>
            </w:pPr>
            <w:r>
              <w:rPr>
                <w:sz w:val="18"/>
              </w:rPr>
              <w:t>28287,6</w:t>
            </w:r>
          </w:p>
        </w:tc>
        <w:tc>
          <w:tcPr>
            <w:tcW w:type="dxa" w:w="1083"/>
            <w:tcBorders>
              <w:top w:color="000000" w:sz="4" w:val="single"/>
              <w:left w:color="000000" w:sz="4" w:val="single"/>
              <w:bottom w:color="000000" w:sz="4" w:val="single"/>
              <w:right w:color="000000" w:sz="4" w:val="single"/>
            </w:tcBorders>
            <w:shd w:fill="auto" w:val="clear"/>
            <w:vAlign w:val="center"/>
          </w:tcPr>
          <w:p w14:paraId="A7350000">
            <w:pPr>
              <w:widowControl w:val="1"/>
              <w:ind/>
              <w:jc w:val="center"/>
              <w:rPr>
                <w:sz w:val="18"/>
              </w:rPr>
            </w:pPr>
            <w:r>
              <w:rPr>
                <w:sz w:val="18"/>
              </w:rPr>
              <w:t>28287,6</w:t>
            </w:r>
          </w:p>
        </w:tc>
        <w:tc>
          <w:tcPr>
            <w:tcW w:type="dxa" w:w="771"/>
            <w:tcBorders>
              <w:top w:color="000000" w:sz="4" w:val="single"/>
              <w:left w:color="000000" w:sz="4" w:val="single"/>
              <w:bottom w:color="000000" w:sz="4" w:val="single"/>
              <w:right w:color="000000" w:sz="4" w:val="single"/>
            </w:tcBorders>
            <w:shd w:fill="FFFFFF" w:val="clear"/>
            <w:vAlign w:val="center"/>
          </w:tcPr>
          <w:p w14:paraId="A835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A9350000">
            <w:pPr>
              <w:widowControl w:val="1"/>
              <w:ind/>
              <w:jc w:val="center"/>
              <w:rPr>
                <w:sz w:val="18"/>
              </w:rPr>
            </w:pPr>
            <w:r>
              <w:rPr>
                <w:sz w:val="18"/>
              </w:rPr>
              <w:t>декабрь 2019 г.</w:t>
            </w:r>
          </w:p>
        </w:tc>
        <w:tc>
          <w:tcPr>
            <w:tcW w:type="dxa" w:w="709"/>
            <w:tcBorders>
              <w:top w:color="000000" w:sz="4" w:val="single"/>
              <w:left w:color="000000" w:sz="4" w:val="single"/>
              <w:bottom w:color="000000" w:sz="4" w:val="single"/>
              <w:right w:color="000000" w:sz="4" w:val="single"/>
            </w:tcBorders>
            <w:shd w:fill="auto" w:val="clear"/>
            <w:vAlign w:val="center"/>
          </w:tcPr>
          <w:p w14:paraId="AA350000">
            <w:pPr>
              <w:widowControl w:val="1"/>
              <w:ind/>
              <w:jc w:val="center"/>
              <w:rPr>
                <w:sz w:val="18"/>
              </w:rPr>
            </w:pPr>
            <w:r>
              <w:rPr>
                <w:sz w:val="18"/>
              </w:rPr>
              <w:t>договор № 2019197/GSM-R от 26.12.2018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AB350000">
            <w:pPr>
              <w:widowControl w:val="1"/>
              <w:ind/>
              <w:jc w:val="center"/>
              <w:rPr>
                <w:color w:val="000000"/>
                <w:sz w:val="18"/>
              </w:rPr>
            </w:pPr>
            <w:r>
              <w:rPr>
                <w:color w:val="000000"/>
                <w:sz w:val="18"/>
              </w:rPr>
              <w:t>123</w:t>
            </w:r>
          </w:p>
        </w:tc>
        <w:tc>
          <w:tcPr>
            <w:tcW w:type="dxa" w:w="618"/>
            <w:tcBorders>
              <w:top w:color="000000" w:sz="4" w:val="single"/>
              <w:left w:color="000000" w:sz="4" w:val="single"/>
              <w:bottom w:color="000000" w:sz="4" w:val="single"/>
              <w:right w:color="000000" w:sz="4" w:val="single"/>
            </w:tcBorders>
            <w:shd w:fill="FFFFFF" w:val="clear"/>
            <w:vAlign w:val="center"/>
          </w:tcPr>
          <w:p w14:paraId="AC350000">
            <w:pPr>
              <w:widowControl w:val="1"/>
              <w:ind/>
              <w:jc w:val="center"/>
              <w:rPr>
                <w:sz w:val="18"/>
              </w:rPr>
            </w:pPr>
            <w:r>
              <w:rPr>
                <w:sz w:val="18"/>
              </w:rPr>
              <w:t>45/2</w:t>
            </w:r>
          </w:p>
        </w:tc>
        <w:tc>
          <w:tcPr>
            <w:tcW w:type="dxa" w:w="993"/>
            <w:tcBorders>
              <w:top w:color="000000" w:sz="4" w:val="single"/>
              <w:left w:color="000000" w:sz="4" w:val="single"/>
              <w:bottom w:color="000000" w:sz="4" w:val="single"/>
              <w:right w:color="000000" w:sz="4" w:val="single"/>
            </w:tcBorders>
            <w:shd w:fill="FFFFFF" w:val="clear"/>
            <w:vAlign w:val="center"/>
          </w:tcPr>
          <w:p w14:paraId="AD350000">
            <w:pPr>
              <w:widowControl w:val="1"/>
              <w:ind/>
              <w:jc w:val="center"/>
              <w:rPr>
                <w:sz w:val="18"/>
              </w:rPr>
            </w:pPr>
            <w:r>
              <w:rPr>
                <w:sz w:val="18"/>
              </w:rPr>
              <w:t>Выполнение электромонтажных работ</w:t>
            </w:r>
          </w:p>
        </w:tc>
        <w:tc>
          <w:tcPr>
            <w:tcW w:type="dxa" w:w="849"/>
            <w:tcBorders>
              <w:top w:color="000000" w:sz="4" w:val="single"/>
              <w:left w:color="000000" w:sz="4" w:val="single"/>
              <w:bottom w:color="000000" w:sz="4" w:val="single"/>
              <w:right w:color="000000" w:sz="4" w:val="single"/>
            </w:tcBorders>
            <w:shd w:fill="FFFFFF" w:val="clear"/>
            <w:vAlign w:val="center"/>
          </w:tcPr>
          <w:p w14:paraId="AE35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AF350000">
            <w:pPr>
              <w:widowControl w:val="1"/>
              <w:ind/>
              <w:jc w:val="center"/>
              <w:rPr>
                <w:sz w:val="18"/>
              </w:rPr>
            </w:pPr>
            <w:r>
              <w:rPr>
                <w:sz w:val="18"/>
              </w:rPr>
              <w:t>99</w:t>
            </w:r>
          </w:p>
        </w:tc>
        <w:tc>
          <w:tcPr>
            <w:tcW w:type="dxa" w:w="991"/>
            <w:tcBorders>
              <w:top w:color="000000" w:sz="4" w:val="single"/>
              <w:left w:color="000000" w:sz="4" w:val="single"/>
              <w:bottom w:color="000000" w:sz="4" w:val="single"/>
              <w:right w:color="000000" w:sz="4" w:val="single"/>
            </w:tcBorders>
            <w:shd w:fill="FFFFFF" w:val="clear"/>
            <w:vAlign w:val="center"/>
          </w:tcPr>
          <w:p w14:paraId="B0350000">
            <w:pPr>
              <w:widowControl w:val="1"/>
              <w:ind/>
              <w:jc w:val="center"/>
              <w:rPr>
                <w:sz w:val="18"/>
              </w:rPr>
            </w:pPr>
            <w:r>
              <w:rPr>
                <w:sz w:val="18"/>
              </w:rPr>
              <w:t>12588,00</w:t>
            </w:r>
          </w:p>
        </w:tc>
        <w:tc>
          <w:tcPr>
            <w:tcW w:type="dxa" w:w="1134"/>
            <w:tcBorders>
              <w:top w:color="000000" w:sz="4" w:val="single"/>
              <w:left w:color="000000" w:sz="4" w:val="single"/>
              <w:bottom w:color="000000" w:sz="4" w:val="single"/>
              <w:right w:color="000000" w:sz="4" w:val="single"/>
            </w:tcBorders>
            <w:shd w:fill="FFFFFF" w:val="clear"/>
            <w:vAlign w:val="center"/>
          </w:tcPr>
          <w:p w14:paraId="B1350000">
            <w:pPr>
              <w:widowControl w:val="1"/>
              <w:ind/>
              <w:jc w:val="center"/>
              <w:rPr>
                <w:sz w:val="18"/>
              </w:rPr>
            </w:pPr>
            <w:r>
              <w:rPr>
                <w:sz w:val="18"/>
              </w:rPr>
              <w:t>14225,00</w:t>
            </w:r>
          </w:p>
        </w:tc>
        <w:tc>
          <w:tcPr>
            <w:tcW w:type="dxa" w:w="993"/>
            <w:tcBorders>
              <w:top w:color="000000" w:sz="4" w:val="single"/>
              <w:left w:color="000000" w:sz="4" w:val="single"/>
              <w:bottom w:color="000000" w:sz="4" w:val="single"/>
              <w:right w:color="000000" w:sz="4" w:val="single"/>
            </w:tcBorders>
            <w:shd w:fill="FFFFFF" w:val="clear"/>
            <w:vAlign w:val="center"/>
          </w:tcPr>
          <w:p w14:paraId="B235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B3350000">
            <w:pPr>
              <w:widowControl w:val="1"/>
              <w:ind/>
              <w:jc w:val="center"/>
              <w:rPr>
                <w:sz w:val="18"/>
              </w:rPr>
            </w:pPr>
            <w:r>
              <w:rPr>
                <w:sz w:val="18"/>
              </w:rPr>
              <w:t>февраль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B435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B535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B6350000">
            <w:pPr>
              <w:widowControl w:val="1"/>
              <w:ind/>
              <w:jc w:val="center"/>
              <w:rPr>
                <w:sz w:val="18"/>
              </w:rPr>
            </w:pPr>
            <w:r>
              <w:rPr>
                <w:sz w:val="18"/>
              </w:rPr>
              <w:t>99</w:t>
            </w:r>
          </w:p>
        </w:tc>
        <w:tc>
          <w:tcPr>
            <w:tcW w:type="dxa" w:w="1169"/>
            <w:tcBorders>
              <w:top w:color="000000" w:sz="4" w:val="single"/>
              <w:left w:color="000000" w:sz="4" w:val="single"/>
              <w:bottom w:color="000000" w:sz="4" w:val="single"/>
              <w:right w:color="000000" w:sz="4" w:val="single"/>
            </w:tcBorders>
            <w:shd w:fill="FFFFFF" w:val="clear"/>
            <w:vAlign w:val="center"/>
          </w:tcPr>
          <w:p w14:paraId="B7350000">
            <w:pPr>
              <w:widowControl w:val="1"/>
              <w:ind/>
              <w:jc w:val="center"/>
              <w:rPr>
                <w:sz w:val="18"/>
              </w:rPr>
            </w:pPr>
            <w:r>
              <w:rPr>
                <w:sz w:val="18"/>
              </w:rPr>
              <w:t>12376,00</w:t>
            </w:r>
          </w:p>
        </w:tc>
        <w:tc>
          <w:tcPr>
            <w:tcW w:type="dxa" w:w="1185"/>
            <w:tcBorders>
              <w:top w:color="000000" w:sz="4" w:val="single"/>
              <w:left w:color="000000" w:sz="4" w:val="single"/>
              <w:bottom w:color="000000" w:sz="4" w:val="single"/>
              <w:right w:color="000000" w:sz="4" w:val="single"/>
            </w:tcBorders>
            <w:shd w:fill="FFFFFF" w:val="clear"/>
            <w:vAlign w:val="center"/>
          </w:tcPr>
          <w:p w14:paraId="B8350000">
            <w:pPr>
              <w:widowControl w:val="1"/>
              <w:ind/>
              <w:jc w:val="center"/>
              <w:rPr>
                <w:sz w:val="18"/>
              </w:rPr>
            </w:pPr>
            <w:r>
              <w:rPr>
                <w:sz w:val="18"/>
              </w:rPr>
              <w:t>14225,00</w:t>
            </w:r>
          </w:p>
        </w:tc>
        <w:tc>
          <w:tcPr>
            <w:tcW w:type="dxa" w:w="1083"/>
            <w:tcBorders>
              <w:top w:color="000000" w:sz="4" w:val="single"/>
              <w:left w:color="000000" w:sz="4" w:val="single"/>
              <w:bottom w:color="000000" w:sz="4" w:val="single"/>
              <w:right w:color="000000" w:sz="4" w:val="single"/>
            </w:tcBorders>
            <w:shd w:fill="FFFFFF" w:val="clear"/>
            <w:vAlign w:val="center"/>
          </w:tcPr>
          <w:p w14:paraId="B9350000">
            <w:pPr>
              <w:widowControl w:val="1"/>
              <w:ind/>
              <w:jc w:val="center"/>
              <w:rPr>
                <w:sz w:val="18"/>
              </w:rPr>
            </w:pPr>
            <w:r>
              <w:rPr>
                <w:sz w:val="18"/>
              </w:rPr>
              <w:t>14225,00</w:t>
            </w:r>
          </w:p>
        </w:tc>
        <w:tc>
          <w:tcPr>
            <w:tcW w:type="dxa" w:w="771"/>
            <w:tcBorders>
              <w:top w:color="000000" w:sz="4" w:val="single"/>
              <w:left w:color="000000" w:sz="4" w:val="single"/>
              <w:bottom w:color="000000" w:sz="4" w:val="single"/>
              <w:right w:color="000000" w:sz="4" w:val="single"/>
            </w:tcBorders>
            <w:shd w:fill="FFFFFF" w:val="clear"/>
            <w:vAlign w:val="center"/>
          </w:tcPr>
          <w:p w14:paraId="BA35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BB350000">
            <w:pPr>
              <w:widowControl w:val="1"/>
              <w:ind/>
              <w:jc w:val="center"/>
              <w:rPr>
                <w:sz w:val="18"/>
              </w:rPr>
            </w:pPr>
            <w:r>
              <w:rPr>
                <w:sz w:val="18"/>
              </w:rPr>
              <w:t>февраль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BC350000">
            <w:pPr>
              <w:widowControl w:val="1"/>
              <w:ind/>
              <w:jc w:val="center"/>
              <w:rPr>
                <w:sz w:val="18"/>
              </w:rPr>
            </w:pPr>
            <w:r>
              <w:rPr>
                <w:sz w:val="18"/>
              </w:rPr>
              <w:t>договор № 15 от 01.02.2018</w:t>
            </w:r>
          </w:p>
        </w:tc>
      </w:tr>
      <w:tr>
        <w:trPr>
          <w:trHeight w:hRule="atLeast" w:val="2295"/>
        </w:trPr>
        <w:tc>
          <w:tcPr>
            <w:tcW w:type="dxa" w:w="708"/>
            <w:tcBorders>
              <w:top w:color="000000" w:sz="4" w:val="single"/>
              <w:left w:color="000000" w:sz="4" w:val="single"/>
              <w:bottom w:color="000000" w:sz="4" w:val="single"/>
              <w:right w:color="000000" w:sz="4" w:val="single"/>
            </w:tcBorders>
            <w:shd w:fill="auto" w:val="clear"/>
            <w:vAlign w:val="center"/>
          </w:tcPr>
          <w:p w14:paraId="BD350000">
            <w:pPr>
              <w:widowControl w:val="1"/>
              <w:ind/>
              <w:jc w:val="center"/>
              <w:rPr>
                <w:color w:val="000000"/>
                <w:sz w:val="18"/>
              </w:rPr>
            </w:pPr>
            <w:r>
              <w:rPr>
                <w:color w:val="000000"/>
                <w:sz w:val="18"/>
              </w:rPr>
              <w:t>124</w:t>
            </w:r>
          </w:p>
        </w:tc>
        <w:tc>
          <w:tcPr>
            <w:tcW w:type="dxa" w:w="618"/>
            <w:tcBorders>
              <w:top w:color="000000" w:sz="4" w:val="single"/>
              <w:left w:color="000000" w:sz="4" w:val="single"/>
              <w:bottom w:color="000000" w:sz="4" w:val="single"/>
              <w:right w:color="000000" w:sz="4" w:val="single"/>
            </w:tcBorders>
            <w:shd w:fill="FFFFFF" w:val="clear"/>
            <w:vAlign w:val="center"/>
          </w:tcPr>
          <w:p w14:paraId="BE350000">
            <w:pPr>
              <w:widowControl w:val="1"/>
              <w:ind/>
              <w:jc w:val="center"/>
              <w:rPr>
                <w:sz w:val="18"/>
              </w:rPr>
            </w:pPr>
            <w:r>
              <w:rPr>
                <w:sz w:val="18"/>
              </w:rPr>
              <w:t>46/2</w:t>
            </w:r>
          </w:p>
        </w:tc>
        <w:tc>
          <w:tcPr>
            <w:tcW w:type="dxa" w:w="993"/>
            <w:tcBorders>
              <w:top w:color="000000" w:sz="4" w:val="single"/>
              <w:left w:color="000000" w:sz="4" w:val="single"/>
              <w:bottom w:color="000000" w:sz="4" w:val="single"/>
              <w:right w:color="000000" w:sz="4" w:val="single"/>
            </w:tcBorders>
            <w:shd w:fill="FFFFFF" w:val="clear"/>
            <w:vAlign w:val="center"/>
          </w:tcPr>
          <w:p w14:paraId="BF350000">
            <w:pPr>
              <w:widowControl w:val="1"/>
              <w:ind/>
              <w:jc w:val="center"/>
              <w:rPr>
                <w:sz w:val="18"/>
              </w:rPr>
            </w:pPr>
            <w:r>
              <w:rPr>
                <w:sz w:val="18"/>
              </w:rPr>
              <w:t>Оказание услуг по изготовлению информационного аудиогида по марщруту движения "Городской  электрички"</w:t>
            </w:r>
          </w:p>
        </w:tc>
        <w:tc>
          <w:tcPr>
            <w:tcW w:type="dxa" w:w="849"/>
            <w:tcBorders>
              <w:top w:color="000000" w:sz="4" w:val="single"/>
              <w:left w:color="000000" w:sz="4" w:val="single"/>
              <w:bottom w:color="000000" w:sz="4" w:val="single"/>
              <w:right w:color="000000" w:sz="4" w:val="single"/>
            </w:tcBorders>
            <w:shd w:fill="FFFFFF" w:val="clear"/>
            <w:vAlign w:val="center"/>
          </w:tcPr>
          <w:p w14:paraId="C035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C135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C2350000">
            <w:pPr>
              <w:widowControl w:val="1"/>
              <w:ind/>
              <w:jc w:val="center"/>
              <w:rPr>
                <w:sz w:val="18"/>
              </w:rPr>
            </w:pPr>
            <w:r>
              <w:rPr>
                <w:sz w:val="18"/>
              </w:rPr>
              <w:t>51327,00</w:t>
            </w:r>
          </w:p>
        </w:tc>
        <w:tc>
          <w:tcPr>
            <w:tcW w:type="dxa" w:w="1134"/>
            <w:tcBorders>
              <w:top w:color="000000" w:sz="4" w:val="single"/>
              <w:left w:color="000000" w:sz="4" w:val="single"/>
              <w:bottom w:color="000000" w:sz="4" w:val="single"/>
              <w:right w:color="000000" w:sz="4" w:val="single"/>
            </w:tcBorders>
            <w:shd w:fill="FFFFFF" w:val="clear"/>
            <w:vAlign w:val="center"/>
          </w:tcPr>
          <w:p w14:paraId="C3350000">
            <w:pPr>
              <w:widowControl w:val="1"/>
              <w:ind/>
              <w:jc w:val="center"/>
              <w:rPr>
                <w:sz w:val="18"/>
              </w:rPr>
            </w:pPr>
            <w:r>
              <w:rPr>
                <w:sz w:val="18"/>
              </w:rPr>
              <w:t>58000,00</w:t>
            </w:r>
          </w:p>
        </w:tc>
        <w:tc>
          <w:tcPr>
            <w:tcW w:type="dxa" w:w="993"/>
            <w:tcBorders>
              <w:top w:color="000000" w:sz="4" w:val="single"/>
              <w:left w:color="000000" w:sz="4" w:val="single"/>
              <w:bottom w:color="000000" w:sz="4" w:val="single"/>
              <w:right w:color="000000" w:sz="4" w:val="single"/>
            </w:tcBorders>
            <w:shd w:fill="FFFFFF" w:val="clear"/>
            <w:vAlign w:val="center"/>
          </w:tcPr>
          <w:p w14:paraId="C435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C5350000">
            <w:pPr>
              <w:widowControl w:val="1"/>
              <w:ind/>
              <w:jc w:val="center"/>
              <w:rPr>
                <w:sz w:val="18"/>
              </w:rPr>
            </w:pPr>
            <w:r>
              <w:rPr>
                <w:sz w:val="18"/>
              </w:rPr>
              <w:t>март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C635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C735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C835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C9350000">
            <w:pPr>
              <w:widowControl w:val="1"/>
              <w:ind/>
              <w:jc w:val="center"/>
              <w:rPr>
                <w:sz w:val="18"/>
              </w:rPr>
            </w:pPr>
            <w:r>
              <w:rPr>
                <w:sz w:val="18"/>
              </w:rPr>
              <w:t>51327,00</w:t>
            </w:r>
          </w:p>
        </w:tc>
        <w:tc>
          <w:tcPr>
            <w:tcW w:type="dxa" w:w="1185"/>
            <w:tcBorders>
              <w:top w:color="000000" w:sz="4" w:val="single"/>
              <w:left w:color="000000" w:sz="4" w:val="single"/>
              <w:bottom w:color="000000" w:sz="4" w:val="single"/>
              <w:right w:color="000000" w:sz="4" w:val="single"/>
            </w:tcBorders>
            <w:shd w:fill="FFFFFF" w:val="clear"/>
            <w:vAlign w:val="center"/>
          </w:tcPr>
          <w:p w14:paraId="CA350000">
            <w:pPr>
              <w:widowControl w:val="1"/>
              <w:ind/>
              <w:jc w:val="center"/>
              <w:rPr>
                <w:sz w:val="18"/>
              </w:rPr>
            </w:pPr>
            <w:r>
              <w:rPr>
                <w:sz w:val="18"/>
              </w:rPr>
              <w:t>58000,00</w:t>
            </w:r>
          </w:p>
        </w:tc>
        <w:tc>
          <w:tcPr>
            <w:tcW w:type="dxa" w:w="1083"/>
            <w:tcBorders>
              <w:top w:color="000000" w:sz="4" w:val="single"/>
              <w:left w:color="000000" w:sz="4" w:val="single"/>
              <w:bottom w:color="000000" w:sz="4" w:val="single"/>
              <w:right w:color="000000" w:sz="4" w:val="single"/>
            </w:tcBorders>
            <w:shd w:fill="FFFFFF" w:val="clear"/>
            <w:vAlign w:val="center"/>
          </w:tcPr>
          <w:p w14:paraId="CB350000">
            <w:pPr>
              <w:widowControl w:val="1"/>
              <w:ind/>
              <w:jc w:val="center"/>
              <w:rPr>
                <w:sz w:val="18"/>
              </w:rPr>
            </w:pPr>
            <w:r>
              <w:rPr>
                <w:sz w:val="18"/>
              </w:rPr>
              <w:t>58000,00</w:t>
            </w:r>
          </w:p>
        </w:tc>
        <w:tc>
          <w:tcPr>
            <w:tcW w:type="dxa" w:w="771"/>
            <w:tcBorders>
              <w:top w:color="000000" w:sz="4" w:val="single"/>
              <w:left w:color="000000" w:sz="4" w:val="single"/>
              <w:bottom w:color="000000" w:sz="4" w:val="single"/>
              <w:right w:color="000000" w:sz="4" w:val="single"/>
            </w:tcBorders>
            <w:shd w:fill="FFFFFF" w:val="clear"/>
            <w:vAlign w:val="center"/>
          </w:tcPr>
          <w:p w14:paraId="CC35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CD350000">
            <w:pPr>
              <w:widowControl w:val="1"/>
              <w:ind/>
              <w:jc w:val="center"/>
              <w:rPr>
                <w:sz w:val="18"/>
              </w:rPr>
            </w:pPr>
            <w:r>
              <w:rPr>
                <w:sz w:val="18"/>
              </w:rPr>
              <w:t>март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CE350000">
            <w:pPr>
              <w:widowControl w:val="1"/>
              <w:ind/>
              <w:jc w:val="center"/>
              <w:rPr>
                <w:sz w:val="18"/>
              </w:rPr>
            </w:pPr>
            <w:r>
              <w:rPr>
                <w:sz w:val="18"/>
              </w:rPr>
              <w:t>договор № 35 от 27.02.2018</w:t>
            </w:r>
          </w:p>
        </w:tc>
      </w:tr>
      <w:tr>
        <w:trPr>
          <w:trHeight w:hRule="atLeast" w:val="1785"/>
        </w:trPr>
        <w:tc>
          <w:tcPr>
            <w:tcW w:type="dxa" w:w="708"/>
            <w:tcBorders>
              <w:top w:color="000000" w:sz="4" w:val="single"/>
              <w:left w:color="000000" w:sz="4" w:val="single"/>
              <w:bottom w:color="000000" w:sz="4" w:val="single"/>
              <w:right w:color="000000" w:sz="4" w:val="single"/>
            </w:tcBorders>
            <w:shd w:fill="auto" w:val="clear"/>
            <w:vAlign w:val="center"/>
          </w:tcPr>
          <w:p w14:paraId="CF350000">
            <w:pPr>
              <w:widowControl w:val="1"/>
              <w:ind/>
              <w:jc w:val="center"/>
              <w:rPr>
                <w:color w:val="000000"/>
                <w:sz w:val="18"/>
              </w:rPr>
            </w:pPr>
            <w:r>
              <w:rPr>
                <w:color w:val="000000"/>
                <w:sz w:val="18"/>
              </w:rPr>
              <w:t>125</w:t>
            </w:r>
          </w:p>
        </w:tc>
        <w:tc>
          <w:tcPr>
            <w:tcW w:type="dxa" w:w="618"/>
            <w:tcBorders>
              <w:top w:color="000000" w:sz="4" w:val="single"/>
              <w:left w:color="000000" w:sz="4" w:val="single"/>
              <w:bottom w:color="000000" w:sz="4" w:val="single"/>
              <w:right w:color="000000" w:sz="4" w:val="single"/>
            </w:tcBorders>
            <w:shd w:fill="FFFFFF" w:val="clear"/>
            <w:vAlign w:val="center"/>
          </w:tcPr>
          <w:p w14:paraId="D0350000">
            <w:pPr>
              <w:widowControl w:val="1"/>
              <w:ind/>
              <w:jc w:val="center"/>
              <w:rPr>
                <w:sz w:val="18"/>
              </w:rPr>
            </w:pPr>
            <w:r>
              <w:rPr>
                <w:sz w:val="18"/>
              </w:rPr>
              <w:t>47/2</w:t>
            </w:r>
          </w:p>
        </w:tc>
        <w:tc>
          <w:tcPr>
            <w:tcW w:type="dxa" w:w="993"/>
            <w:tcBorders>
              <w:top w:color="000000" w:sz="4" w:val="single"/>
              <w:left w:color="000000" w:sz="4" w:val="single"/>
              <w:bottom w:color="000000" w:sz="4" w:val="single"/>
              <w:right w:color="000000" w:sz="4" w:val="single"/>
            </w:tcBorders>
            <w:shd w:fill="FFFFFF" w:val="clear"/>
            <w:vAlign w:val="center"/>
          </w:tcPr>
          <w:p w14:paraId="D1350000">
            <w:pPr>
              <w:widowControl w:val="1"/>
              <w:ind/>
              <w:jc w:val="center"/>
              <w:rPr>
                <w:sz w:val="18"/>
              </w:rPr>
            </w:pPr>
            <w:r>
              <w:rPr>
                <w:sz w:val="18"/>
              </w:rPr>
              <w:t>оказание услуг по оформлению и доставке авиабилетов на рейсы авиакомпаний</w:t>
            </w:r>
          </w:p>
        </w:tc>
        <w:tc>
          <w:tcPr>
            <w:tcW w:type="dxa" w:w="849"/>
            <w:tcBorders>
              <w:top w:color="000000" w:sz="4" w:val="single"/>
              <w:left w:color="000000" w:sz="4" w:val="single"/>
              <w:bottom w:color="000000" w:sz="4" w:val="single"/>
              <w:right w:color="000000" w:sz="4" w:val="single"/>
            </w:tcBorders>
            <w:shd w:fill="FFFFFF" w:val="clear"/>
            <w:vAlign w:val="center"/>
          </w:tcPr>
          <w:p w14:paraId="D235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D335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D4350000">
            <w:pPr>
              <w:widowControl w:val="1"/>
              <w:ind/>
              <w:jc w:val="center"/>
              <w:rPr>
                <w:sz w:val="18"/>
              </w:rPr>
            </w:pPr>
            <w:r>
              <w:rPr>
                <w:sz w:val="18"/>
              </w:rPr>
              <w:t>99000,00</w:t>
            </w:r>
          </w:p>
        </w:tc>
        <w:tc>
          <w:tcPr>
            <w:tcW w:type="dxa" w:w="1134"/>
            <w:tcBorders>
              <w:top w:color="000000" w:sz="4" w:val="single"/>
              <w:left w:color="000000" w:sz="4" w:val="single"/>
              <w:bottom w:color="000000" w:sz="4" w:val="single"/>
              <w:right w:color="000000" w:sz="4" w:val="single"/>
            </w:tcBorders>
            <w:shd w:fill="FFFFFF" w:val="clear"/>
            <w:vAlign w:val="center"/>
          </w:tcPr>
          <w:p w14:paraId="D5350000">
            <w:pPr>
              <w:widowControl w:val="1"/>
              <w:ind/>
              <w:jc w:val="center"/>
              <w:rPr>
                <w:sz w:val="18"/>
              </w:rPr>
            </w:pPr>
            <w:r>
              <w:rPr>
                <w:sz w:val="18"/>
              </w:rPr>
              <w:t>99000,00</w:t>
            </w:r>
          </w:p>
        </w:tc>
        <w:tc>
          <w:tcPr>
            <w:tcW w:type="dxa" w:w="993"/>
            <w:tcBorders>
              <w:top w:color="000000" w:sz="4" w:val="single"/>
              <w:left w:color="000000" w:sz="4" w:val="single"/>
              <w:bottom w:color="000000" w:sz="4" w:val="single"/>
              <w:right w:color="000000" w:sz="4" w:val="single"/>
            </w:tcBorders>
            <w:shd w:fill="FFFFFF" w:val="clear"/>
            <w:vAlign w:val="center"/>
          </w:tcPr>
          <w:p w14:paraId="D635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D735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D835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D935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DA35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DB350000">
            <w:pPr>
              <w:widowControl w:val="1"/>
              <w:ind/>
              <w:jc w:val="center"/>
              <w:rPr>
                <w:sz w:val="18"/>
              </w:rPr>
            </w:pPr>
            <w:r>
              <w:rPr>
                <w:sz w:val="18"/>
              </w:rPr>
              <w:t>99000,00</w:t>
            </w:r>
          </w:p>
        </w:tc>
        <w:tc>
          <w:tcPr>
            <w:tcW w:type="dxa" w:w="1185"/>
            <w:tcBorders>
              <w:top w:color="000000" w:sz="4" w:val="single"/>
              <w:left w:color="000000" w:sz="4" w:val="single"/>
              <w:bottom w:color="000000" w:sz="4" w:val="single"/>
              <w:right w:color="000000" w:sz="4" w:val="single"/>
            </w:tcBorders>
            <w:shd w:fill="FFFFFF" w:val="clear"/>
            <w:vAlign w:val="center"/>
          </w:tcPr>
          <w:p w14:paraId="DC350000">
            <w:pPr>
              <w:widowControl w:val="1"/>
              <w:ind/>
              <w:jc w:val="center"/>
              <w:rPr>
                <w:sz w:val="18"/>
              </w:rPr>
            </w:pPr>
            <w:r>
              <w:rPr>
                <w:sz w:val="18"/>
              </w:rPr>
              <w:t>99000,00</w:t>
            </w:r>
          </w:p>
        </w:tc>
        <w:tc>
          <w:tcPr>
            <w:tcW w:type="dxa" w:w="1083"/>
            <w:tcBorders>
              <w:top w:color="000000" w:sz="4" w:val="single"/>
              <w:left w:color="000000" w:sz="4" w:val="single"/>
              <w:bottom w:color="000000" w:sz="4" w:val="single"/>
              <w:right w:color="000000" w:sz="4" w:val="single"/>
            </w:tcBorders>
            <w:shd w:fill="FFFFFF" w:val="clear"/>
            <w:vAlign w:val="center"/>
          </w:tcPr>
          <w:p w14:paraId="DD350000">
            <w:pPr>
              <w:widowControl w:val="1"/>
              <w:ind/>
              <w:jc w:val="center"/>
              <w:rPr>
                <w:sz w:val="18"/>
              </w:rPr>
            </w:pPr>
            <w:r>
              <w:rPr>
                <w:sz w:val="18"/>
              </w:rPr>
              <w:t>99000,00</w:t>
            </w:r>
          </w:p>
        </w:tc>
        <w:tc>
          <w:tcPr>
            <w:tcW w:type="dxa" w:w="771"/>
            <w:tcBorders>
              <w:top w:color="000000" w:sz="4" w:val="single"/>
              <w:left w:color="000000" w:sz="4" w:val="single"/>
              <w:bottom w:color="000000" w:sz="4" w:val="single"/>
              <w:right w:color="000000" w:sz="4" w:val="single"/>
            </w:tcBorders>
            <w:shd w:fill="FFFFFF" w:val="clear"/>
            <w:vAlign w:val="center"/>
          </w:tcPr>
          <w:p w14:paraId="DE35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DF35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E0350000">
            <w:pPr>
              <w:widowControl w:val="1"/>
              <w:ind/>
              <w:jc w:val="center"/>
              <w:rPr>
                <w:sz w:val="18"/>
              </w:rPr>
            </w:pPr>
            <w:r>
              <w:rPr>
                <w:sz w:val="18"/>
              </w:rPr>
              <w:t>договор № 4 от 28.02.2018</w:t>
            </w:r>
          </w:p>
        </w:tc>
      </w:tr>
      <w:tr>
        <w:trPr>
          <w:trHeight w:hRule="atLeast" w:val="1785"/>
        </w:trPr>
        <w:tc>
          <w:tcPr>
            <w:tcW w:type="dxa" w:w="708"/>
            <w:tcBorders>
              <w:top w:color="000000" w:sz="4" w:val="single"/>
              <w:left w:color="000000" w:sz="4" w:val="single"/>
              <w:bottom w:color="000000" w:sz="4" w:val="single"/>
              <w:right w:color="000000" w:sz="4" w:val="single"/>
            </w:tcBorders>
            <w:shd w:fill="auto" w:val="clear"/>
            <w:vAlign w:val="center"/>
          </w:tcPr>
          <w:p w14:paraId="E1350000">
            <w:pPr>
              <w:widowControl w:val="1"/>
              <w:ind/>
              <w:jc w:val="center"/>
              <w:rPr>
                <w:color w:val="000000"/>
                <w:sz w:val="18"/>
              </w:rPr>
            </w:pPr>
            <w:r>
              <w:rPr>
                <w:color w:val="000000"/>
                <w:sz w:val="18"/>
              </w:rPr>
              <w:t>126</w:t>
            </w:r>
          </w:p>
        </w:tc>
        <w:tc>
          <w:tcPr>
            <w:tcW w:type="dxa" w:w="618"/>
            <w:tcBorders>
              <w:top w:color="000000" w:sz="4" w:val="single"/>
              <w:left w:color="000000" w:sz="4" w:val="single"/>
              <w:bottom w:color="000000" w:sz="4" w:val="single"/>
              <w:right w:color="000000" w:sz="4" w:val="single"/>
            </w:tcBorders>
            <w:shd w:fill="FFFFFF" w:val="clear"/>
            <w:vAlign w:val="center"/>
          </w:tcPr>
          <w:p w14:paraId="E2350000">
            <w:pPr>
              <w:widowControl w:val="1"/>
              <w:ind/>
              <w:jc w:val="center"/>
              <w:rPr>
                <w:sz w:val="18"/>
              </w:rPr>
            </w:pPr>
            <w:r>
              <w:rPr>
                <w:sz w:val="18"/>
              </w:rPr>
              <w:t>48/2</w:t>
            </w:r>
          </w:p>
        </w:tc>
        <w:tc>
          <w:tcPr>
            <w:tcW w:type="dxa" w:w="993"/>
            <w:tcBorders>
              <w:top w:color="000000" w:sz="4" w:val="single"/>
              <w:left w:color="000000" w:sz="4" w:val="single"/>
              <w:bottom w:color="000000" w:sz="4" w:val="single"/>
              <w:right w:color="000000" w:sz="4" w:val="single"/>
            </w:tcBorders>
            <w:shd w:fill="FFFFFF" w:val="clear"/>
            <w:vAlign w:val="center"/>
          </w:tcPr>
          <w:p w14:paraId="E3350000">
            <w:pPr>
              <w:widowControl w:val="1"/>
              <w:ind/>
              <w:jc w:val="center"/>
              <w:rPr>
                <w:sz w:val="18"/>
              </w:rPr>
            </w:pPr>
            <w:r>
              <w:rPr>
                <w:sz w:val="18"/>
              </w:rPr>
              <w:t>поставка печатающего механизма с автоотрезом, с датчиком открытия крышки</w:t>
            </w:r>
          </w:p>
        </w:tc>
        <w:tc>
          <w:tcPr>
            <w:tcW w:type="dxa" w:w="849"/>
            <w:tcBorders>
              <w:top w:color="000000" w:sz="4" w:val="single"/>
              <w:left w:color="000000" w:sz="4" w:val="single"/>
              <w:bottom w:color="000000" w:sz="4" w:val="single"/>
              <w:right w:color="000000" w:sz="4" w:val="single"/>
            </w:tcBorders>
            <w:shd w:fill="FFFFFF" w:val="clear"/>
            <w:vAlign w:val="center"/>
          </w:tcPr>
          <w:p w14:paraId="E435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E535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E6350000">
            <w:pPr>
              <w:widowControl w:val="1"/>
              <w:ind/>
              <w:jc w:val="center"/>
              <w:rPr>
                <w:sz w:val="18"/>
              </w:rPr>
            </w:pPr>
            <w:r>
              <w:rPr>
                <w:sz w:val="18"/>
              </w:rPr>
              <w:t>1100,00</w:t>
            </w:r>
          </w:p>
        </w:tc>
        <w:tc>
          <w:tcPr>
            <w:tcW w:type="dxa" w:w="1134"/>
            <w:tcBorders>
              <w:top w:color="000000" w:sz="4" w:val="single"/>
              <w:left w:color="000000" w:sz="4" w:val="single"/>
              <w:bottom w:color="000000" w:sz="4" w:val="single"/>
              <w:right w:color="000000" w:sz="4" w:val="single"/>
            </w:tcBorders>
            <w:shd w:fill="FFFFFF" w:val="clear"/>
            <w:vAlign w:val="center"/>
          </w:tcPr>
          <w:p w14:paraId="E7350000">
            <w:pPr>
              <w:widowControl w:val="1"/>
              <w:ind/>
              <w:jc w:val="center"/>
              <w:rPr>
                <w:sz w:val="18"/>
              </w:rPr>
            </w:pPr>
            <w:r>
              <w:rPr>
                <w:sz w:val="18"/>
              </w:rPr>
              <w:t>1100,00</w:t>
            </w:r>
          </w:p>
        </w:tc>
        <w:tc>
          <w:tcPr>
            <w:tcW w:type="dxa" w:w="993"/>
            <w:tcBorders>
              <w:top w:color="000000" w:sz="4" w:val="single"/>
              <w:left w:color="000000" w:sz="4" w:val="single"/>
              <w:bottom w:color="000000" w:sz="4" w:val="single"/>
              <w:right w:color="000000" w:sz="4" w:val="single"/>
            </w:tcBorders>
            <w:shd w:fill="FFFFFF" w:val="clear"/>
            <w:vAlign w:val="center"/>
          </w:tcPr>
          <w:p w14:paraId="E835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E9350000">
            <w:pPr>
              <w:widowControl w:val="1"/>
              <w:ind/>
              <w:jc w:val="center"/>
              <w:rPr>
                <w:sz w:val="18"/>
              </w:rPr>
            </w:pPr>
            <w:r>
              <w:rPr>
                <w:sz w:val="18"/>
              </w:rPr>
              <w:t>январь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EA35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EB35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EC35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ED350000">
            <w:pPr>
              <w:widowControl w:val="1"/>
              <w:ind/>
              <w:jc w:val="center"/>
              <w:rPr>
                <w:sz w:val="18"/>
              </w:rPr>
            </w:pPr>
            <w:r>
              <w:rPr>
                <w:sz w:val="18"/>
              </w:rPr>
              <w:t>1100,00</w:t>
            </w:r>
          </w:p>
        </w:tc>
        <w:tc>
          <w:tcPr>
            <w:tcW w:type="dxa" w:w="1185"/>
            <w:tcBorders>
              <w:top w:color="000000" w:sz="4" w:val="single"/>
              <w:left w:color="000000" w:sz="4" w:val="single"/>
              <w:bottom w:color="000000" w:sz="4" w:val="single"/>
              <w:right w:color="000000" w:sz="4" w:val="single"/>
            </w:tcBorders>
            <w:shd w:fill="FFFFFF" w:val="clear"/>
            <w:vAlign w:val="center"/>
          </w:tcPr>
          <w:p w14:paraId="EE350000">
            <w:pPr>
              <w:widowControl w:val="1"/>
              <w:ind/>
              <w:jc w:val="center"/>
              <w:rPr>
                <w:sz w:val="18"/>
              </w:rPr>
            </w:pPr>
            <w:r>
              <w:rPr>
                <w:sz w:val="18"/>
              </w:rPr>
              <w:t>1100,00</w:t>
            </w:r>
          </w:p>
        </w:tc>
        <w:tc>
          <w:tcPr>
            <w:tcW w:type="dxa" w:w="1083"/>
            <w:tcBorders>
              <w:top w:color="000000" w:sz="4" w:val="single"/>
              <w:left w:color="000000" w:sz="4" w:val="single"/>
              <w:bottom w:color="000000" w:sz="4" w:val="single"/>
              <w:right w:color="000000" w:sz="4" w:val="single"/>
            </w:tcBorders>
            <w:shd w:fill="FFFFFF" w:val="clear"/>
            <w:vAlign w:val="center"/>
          </w:tcPr>
          <w:p w14:paraId="EF350000">
            <w:pPr>
              <w:widowControl w:val="1"/>
              <w:ind/>
              <w:jc w:val="center"/>
              <w:rPr>
                <w:sz w:val="18"/>
              </w:rPr>
            </w:pPr>
            <w:r>
              <w:rPr>
                <w:sz w:val="18"/>
              </w:rPr>
              <w:t>1100,00</w:t>
            </w:r>
          </w:p>
        </w:tc>
        <w:tc>
          <w:tcPr>
            <w:tcW w:type="dxa" w:w="771"/>
            <w:tcBorders>
              <w:top w:color="000000" w:sz="4" w:val="single"/>
              <w:left w:color="000000" w:sz="4" w:val="single"/>
              <w:bottom w:color="000000" w:sz="4" w:val="single"/>
              <w:right w:color="000000" w:sz="4" w:val="single"/>
            </w:tcBorders>
            <w:shd w:fill="FFFFFF" w:val="clear"/>
            <w:vAlign w:val="center"/>
          </w:tcPr>
          <w:p w14:paraId="F035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F1350000">
            <w:pPr>
              <w:widowControl w:val="1"/>
              <w:ind/>
              <w:jc w:val="center"/>
              <w:rPr>
                <w:sz w:val="18"/>
              </w:rPr>
            </w:pPr>
            <w:r>
              <w:rPr>
                <w:sz w:val="18"/>
              </w:rPr>
              <w:t>январь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F2350000">
            <w:pPr>
              <w:widowControl w:val="1"/>
              <w:ind/>
              <w:jc w:val="center"/>
              <w:rPr>
                <w:sz w:val="18"/>
              </w:rPr>
            </w:pPr>
            <w:r>
              <w:rPr>
                <w:sz w:val="18"/>
              </w:rPr>
              <w:t>счет № 134 от 31.01.2018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F3350000">
            <w:pPr>
              <w:widowControl w:val="1"/>
              <w:ind/>
              <w:jc w:val="center"/>
              <w:rPr>
                <w:color w:val="000000"/>
                <w:sz w:val="18"/>
              </w:rPr>
            </w:pPr>
            <w:r>
              <w:rPr>
                <w:color w:val="000000"/>
                <w:sz w:val="18"/>
              </w:rPr>
              <w:t>127</w:t>
            </w:r>
          </w:p>
        </w:tc>
        <w:tc>
          <w:tcPr>
            <w:tcW w:type="dxa" w:w="618"/>
            <w:tcBorders>
              <w:top w:color="000000" w:sz="4" w:val="single"/>
              <w:left w:color="000000" w:sz="4" w:val="single"/>
              <w:bottom w:color="000000" w:sz="4" w:val="single"/>
              <w:right w:color="000000" w:sz="4" w:val="single"/>
            </w:tcBorders>
            <w:shd w:fill="FFFFFF" w:val="clear"/>
            <w:vAlign w:val="center"/>
          </w:tcPr>
          <w:p w14:paraId="F4350000">
            <w:pPr>
              <w:widowControl w:val="1"/>
              <w:ind/>
              <w:jc w:val="center"/>
              <w:rPr>
                <w:sz w:val="18"/>
              </w:rPr>
            </w:pPr>
            <w:r>
              <w:rPr>
                <w:sz w:val="18"/>
              </w:rPr>
              <w:t>49/2</w:t>
            </w:r>
          </w:p>
        </w:tc>
        <w:tc>
          <w:tcPr>
            <w:tcW w:type="dxa" w:w="993"/>
            <w:tcBorders>
              <w:top w:color="000000" w:sz="4" w:val="single"/>
              <w:left w:color="000000" w:sz="4" w:val="single"/>
              <w:bottom w:color="000000" w:sz="4" w:val="single"/>
              <w:right w:color="000000" w:sz="4" w:val="single"/>
            </w:tcBorders>
            <w:shd w:fill="FFFFFF" w:val="clear"/>
            <w:vAlign w:val="center"/>
          </w:tcPr>
          <w:p w14:paraId="F5350000">
            <w:pPr>
              <w:widowControl w:val="1"/>
              <w:ind/>
              <w:jc w:val="center"/>
              <w:rPr>
                <w:sz w:val="18"/>
              </w:rPr>
            </w:pPr>
            <w:r>
              <w:rPr>
                <w:sz w:val="18"/>
              </w:rPr>
              <w:t>поставка жалюзи</w:t>
            </w:r>
          </w:p>
        </w:tc>
        <w:tc>
          <w:tcPr>
            <w:tcW w:type="dxa" w:w="849"/>
            <w:tcBorders>
              <w:top w:color="000000" w:sz="4" w:val="single"/>
              <w:left w:color="000000" w:sz="4" w:val="single"/>
              <w:bottom w:color="000000" w:sz="4" w:val="single"/>
              <w:right w:color="000000" w:sz="4" w:val="single"/>
            </w:tcBorders>
            <w:shd w:fill="FFFFFF" w:val="clear"/>
            <w:vAlign w:val="center"/>
          </w:tcPr>
          <w:p w14:paraId="F635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F7350000">
            <w:pPr>
              <w:widowControl w:val="1"/>
              <w:ind/>
              <w:jc w:val="center"/>
              <w:rPr>
                <w:sz w:val="18"/>
              </w:rPr>
            </w:pPr>
            <w:r>
              <w:rPr>
                <w:sz w:val="18"/>
              </w:rPr>
              <w:t>5</w:t>
            </w:r>
          </w:p>
        </w:tc>
        <w:tc>
          <w:tcPr>
            <w:tcW w:type="dxa" w:w="991"/>
            <w:tcBorders>
              <w:top w:color="000000" w:sz="4" w:val="single"/>
              <w:left w:color="000000" w:sz="4" w:val="single"/>
              <w:bottom w:color="000000" w:sz="4" w:val="single"/>
              <w:right w:color="000000" w:sz="4" w:val="single"/>
            </w:tcBorders>
            <w:shd w:fill="FFFFFF" w:val="clear"/>
            <w:vAlign w:val="center"/>
          </w:tcPr>
          <w:p w14:paraId="F8350000">
            <w:pPr>
              <w:widowControl w:val="1"/>
              <w:ind/>
              <w:jc w:val="center"/>
              <w:rPr>
                <w:sz w:val="18"/>
              </w:rPr>
            </w:pPr>
            <w:r>
              <w:rPr>
                <w:sz w:val="18"/>
              </w:rPr>
              <w:t>32400,00</w:t>
            </w:r>
          </w:p>
        </w:tc>
        <w:tc>
          <w:tcPr>
            <w:tcW w:type="dxa" w:w="1134"/>
            <w:tcBorders>
              <w:top w:color="000000" w:sz="4" w:val="single"/>
              <w:left w:color="000000" w:sz="4" w:val="single"/>
              <w:bottom w:color="000000" w:sz="4" w:val="single"/>
              <w:right w:color="000000" w:sz="4" w:val="single"/>
            </w:tcBorders>
            <w:shd w:fill="FFFFFF" w:val="clear"/>
            <w:vAlign w:val="center"/>
          </w:tcPr>
          <w:p w14:paraId="F9350000">
            <w:pPr>
              <w:widowControl w:val="1"/>
              <w:ind/>
              <w:jc w:val="center"/>
              <w:rPr>
                <w:sz w:val="18"/>
              </w:rPr>
            </w:pPr>
            <w:r>
              <w:rPr>
                <w:sz w:val="18"/>
              </w:rPr>
              <w:t>32400,00</w:t>
            </w:r>
          </w:p>
        </w:tc>
        <w:tc>
          <w:tcPr>
            <w:tcW w:type="dxa" w:w="993"/>
            <w:tcBorders>
              <w:top w:color="000000" w:sz="4" w:val="single"/>
              <w:left w:color="000000" w:sz="4" w:val="single"/>
              <w:bottom w:color="000000" w:sz="4" w:val="single"/>
              <w:right w:color="000000" w:sz="4" w:val="single"/>
            </w:tcBorders>
            <w:shd w:fill="FFFFFF" w:val="clear"/>
            <w:vAlign w:val="center"/>
          </w:tcPr>
          <w:p w14:paraId="FA35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FB350000">
            <w:pPr>
              <w:widowControl w:val="1"/>
              <w:ind/>
              <w:jc w:val="center"/>
              <w:rPr>
                <w:sz w:val="18"/>
              </w:rPr>
            </w:pPr>
            <w:r>
              <w:rPr>
                <w:sz w:val="18"/>
              </w:rPr>
              <w:t>февраль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FC35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FD35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FE350000">
            <w:pPr>
              <w:widowControl w:val="1"/>
              <w:ind/>
              <w:jc w:val="center"/>
              <w:rPr>
                <w:sz w:val="18"/>
              </w:rPr>
            </w:pPr>
            <w:r>
              <w:rPr>
                <w:sz w:val="18"/>
              </w:rPr>
              <w:t>5</w:t>
            </w:r>
          </w:p>
        </w:tc>
        <w:tc>
          <w:tcPr>
            <w:tcW w:type="dxa" w:w="1169"/>
            <w:tcBorders>
              <w:top w:color="000000" w:sz="4" w:val="single"/>
              <w:left w:color="000000" w:sz="4" w:val="single"/>
              <w:bottom w:color="000000" w:sz="4" w:val="single"/>
              <w:right w:color="000000" w:sz="4" w:val="single"/>
            </w:tcBorders>
            <w:shd w:fill="FFFFFF" w:val="clear"/>
            <w:vAlign w:val="center"/>
          </w:tcPr>
          <w:p w14:paraId="FF350000">
            <w:pPr>
              <w:widowControl w:val="1"/>
              <w:ind/>
              <w:jc w:val="center"/>
              <w:rPr>
                <w:sz w:val="18"/>
              </w:rPr>
            </w:pPr>
            <w:r>
              <w:rPr>
                <w:sz w:val="18"/>
              </w:rPr>
              <w:t>32400,00</w:t>
            </w:r>
          </w:p>
        </w:tc>
        <w:tc>
          <w:tcPr>
            <w:tcW w:type="dxa" w:w="1185"/>
            <w:tcBorders>
              <w:top w:color="000000" w:sz="4" w:val="single"/>
              <w:left w:color="000000" w:sz="4" w:val="single"/>
              <w:bottom w:color="000000" w:sz="4" w:val="single"/>
              <w:right w:color="000000" w:sz="4" w:val="single"/>
            </w:tcBorders>
            <w:shd w:fill="FFFFFF" w:val="clear"/>
            <w:vAlign w:val="center"/>
          </w:tcPr>
          <w:p w14:paraId="00360000">
            <w:pPr>
              <w:widowControl w:val="1"/>
              <w:ind/>
              <w:jc w:val="center"/>
              <w:rPr>
                <w:sz w:val="18"/>
              </w:rPr>
            </w:pPr>
            <w:r>
              <w:rPr>
                <w:sz w:val="18"/>
              </w:rPr>
              <w:t>32400,00</w:t>
            </w:r>
          </w:p>
        </w:tc>
        <w:tc>
          <w:tcPr>
            <w:tcW w:type="dxa" w:w="1083"/>
            <w:tcBorders>
              <w:top w:color="000000" w:sz="4" w:val="single"/>
              <w:left w:color="000000" w:sz="4" w:val="single"/>
              <w:bottom w:color="000000" w:sz="4" w:val="single"/>
              <w:right w:color="000000" w:sz="4" w:val="single"/>
            </w:tcBorders>
            <w:shd w:fill="FFFFFF" w:val="clear"/>
            <w:vAlign w:val="center"/>
          </w:tcPr>
          <w:p w14:paraId="01360000">
            <w:pPr>
              <w:widowControl w:val="1"/>
              <w:ind/>
              <w:jc w:val="center"/>
              <w:rPr>
                <w:sz w:val="18"/>
              </w:rPr>
            </w:pPr>
            <w:r>
              <w:rPr>
                <w:sz w:val="18"/>
              </w:rPr>
              <w:t>32400,00</w:t>
            </w:r>
          </w:p>
        </w:tc>
        <w:tc>
          <w:tcPr>
            <w:tcW w:type="dxa" w:w="771"/>
            <w:tcBorders>
              <w:top w:color="000000" w:sz="4" w:val="single"/>
              <w:left w:color="000000" w:sz="4" w:val="single"/>
              <w:bottom w:color="000000" w:sz="4" w:val="single"/>
              <w:right w:color="000000" w:sz="4" w:val="single"/>
            </w:tcBorders>
            <w:shd w:fill="FFFFFF" w:val="clear"/>
            <w:vAlign w:val="center"/>
          </w:tcPr>
          <w:p w14:paraId="0236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03360000">
            <w:pPr>
              <w:widowControl w:val="1"/>
              <w:ind/>
              <w:jc w:val="center"/>
              <w:rPr>
                <w:sz w:val="18"/>
              </w:rPr>
            </w:pPr>
            <w:r>
              <w:rPr>
                <w:sz w:val="18"/>
              </w:rPr>
              <w:t>февраль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04360000">
            <w:pPr>
              <w:widowControl w:val="1"/>
              <w:ind/>
              <w:jc w:val="center"/>
              <w:rPr>
                <w:sz w:val="18"/>
              </w:rPr>
            </w:pPr>
            <w:r>
              <w:rPr>
                <w:sz w:val="18"/>
              </w:rPr>
              <w:t>счет № 14 от 24.01.2018</w:t>
            </w:r>
          </w:p>
        </w:tc>
      </w:tr>
      <w:tr>
        <w:trPr>
          <w:trHeight w:hRule="atLeast" w:val="2550"/>
        </w:trPr>
        <w:tc>
          <w:tcPr>
            <w:tcW w:type="dxa" w:w="708"/>
            <w:tcBorders>
              <w:top w:color="000000" w:sz="4" w:val="single"/>
              <w:left w:color="000000" w:sz="4" w:val="single"/>
              <w:bottom w:color="000000" w:sz="4" w:val="single"/>
              <w:right w:color="000000" w:sz="4" w:val="single"/>
            </w:tcBorders>
            <w:shd w:fill="auto" w:val="clear"/>
            <w:vAlign w:val="center"/>
          </w:tcPr>
          <w:p w14:paraId="05360000">
            <w:pPr>
              <w:widowControl w:val="1"/>
              <w:ind/>
              <w:jc w:val="center"/>
              <w:rPr>
                <w:color w:val="000000"/>
                <w:sz w:val="18"/>
              </w:rPr>
            </w:pPr>
            <w:r>
              <w:rPr>
                <w:color w:val="000000"/>
                <w:sz w:val="18"/>
              </w:rPr>
              <w:t>128</w:t>
            </w:r>
          </w:p>
        </w:tc>
        <w:tc>
          <w:tcPr>
            <w:tcW w:type="dxa" w:w="618"/>
            <w:tcBorders>
              <w:top w:color="000000" w:sz="4" w:val="single"/>
              <w:left w:color="000000" w:sz="4" w:val="single"/>
              <w:bottom w:color="000000" w:sz="4" w:val="single"/>
              <w:right w:color="000000" w:sz="4" w:val="single"/>
            </w:tcBorders>
            <w:shd w:fill="FFFFFF" w:val="clear"/>
            <w:vAlign w:val="center"/>
          </w:tcPr>
          <w:p w14:paraId="06360000">
            <w:pPr>
              <w:widowControl w:val="1"/>
              <w:ind/>
              <w:jc w:val="center"/>
              <w:rPr>
                <w:sz w:val="18"/>
              </w:rPr>
            </w:pPr>
            <w:r>
              <w:rPr>
                <w:sz w:val="18"/>
              </w:rPr>
              <w:t>50/2</w:t>
            </w:r>
          </w:p>
        </w:tc>
        <w:tc>
          <w:tcPr>
            <w:tcW w:type="dxa" w:w="993"/>
            <w:tcBorders>
              <w:top w:color="000000" w:sz="4" w:val="single"/>
              <w:left w:color="000000" w:sz="4" w:val="single"/>
              <w:bottom w:color="000000" w:sz="4" w:val="single"/>
              <w:right w:color="000000" w:sz="4" w:val="single"/>
            </w:tcBorders>
            <w:shd w:fill="FFFFFF" w:val="clear"/>
            <w:vAlign w:val="center"/>
          </w:tcPr>
          <w:p w14:paraId="07360000">
            <w:pPr>
              <w:widowControl w:val="1"/>
              <w:ind/>
              <w:jc w:val="center"/>
              <w:rPr>
                <w:sz w:val="18"/>
              </w:rPr>
            </w:pPr>
            <w:r>
              <w:rPr>
                <w:sz w:val="18"/>
              </w:rPr>
              <w:t>оказание услуг по повышению квалификации сотрудниковпо программе "Безопасность движения на железнодорожном транспорте"</w:t>
            </w:r>
          </w:p>
        </w:tc>
        <w:tc>
          <w:tcPr>
            <w:tcW w:type="dxa" w:w="849"/>
            <w:tcBorders>
              <w:top w:color="000000" w:sz="4" w:val="single"/>
              <w:left w:color="000000" w:sz="4" w:val="single"/>
              <w:bottom w:color="000000" w:sz="4" w:val="single"/>
              <w:right w:color="000000" w:sz="4" w:val="single"/>
            </w:tcBorders>
            <w:shd w:fill="FFFFFF" w:val="clear"/>
            <w:vAlign w:val="center"/>
          </w:tcPr>
          <w:p w14:paraId="0836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09360000">
            <w:pPr>
              <w:widowControl w:val="1"/>
              <w:ind/>
              <w:jc w:val="center"/>
              <w:rPr>
                <w:sz w:val="18"/>
              </w:rPr>
            </w:pPr>
            <w:r>
              <w:rPr>
                <w:sz w:val="18"/>
              </w:rPr>
              <w:t>3</w:t>
            </w:r>
          </w:p>
        </w:tc>
        <w:tc>
          <w:tcPr>
            <w:tcW w:type="dxa" w:w="991"/>
            <w:tcBorders>
              <w:top w:color="000000" w:sz="4" w:val="single"/>
              <w:left w:color="000000" w:sz="4" w:val="single"/>
              <w:bottom w:color="000000" w:sz="4" w:val="single"/>
              <w:right w:color="000000" w:sz="4" w:val="single"/>
            </w:tcBorders>
            <w:shd w:fill="FFFFFF" w:val="clear"/>
            <w:vAlign w:val="center"/>
          </w:tcPr>
          <w:p w14:paraId="0A360000">
            <w:pPr>
              <w:widowControl w:val="1"/>
              <w:ind/>
              <w:jc w:val="center"/>
              <w:rPr>
                <w:sz w:val="18"/>
              </w:rPr>
            </w:pPr>
            <w:r>
              <w:rPr>
                <w:sz w:val="18"/>
              </w:rPr>
              <w:t>22500,00</w:t>
            </w:r>
          </w:p>
        </w:tc>
        <w:tc>
          <w:tcPr>
            <w:tcW w:type="dxa" w:w="1134"/>
            <w:tcBorders>
              <w:top w:color="000000" w:sz="4" w:val="single"/>
              <w:left w:color="000000" w:sz="4" w:val="single"/>
              <w:bottom w:color="000000" w:sz="4" w:val="single"/>
              <w:right w:color="000000" w:sz="4" w:val="single"/>
            </w:tcBorders>
            <w:shd w:fill="FFFFFF" w:val="clear"/>
            <w:vAlign w:val="center"/>
          </w:tcPr>
          <w:p w14:paraId="0B360000">
            <w:pPr>
              <w:widowControl w:val="1"/>
              <w:ind/>
              <w:jc w:val="center"/>
              <w:rPr>
                <w:sz w:val="18"/>
              </w:rPr>
            </w:pPr>
            <w:r>
              <w:rPr>
                <w:sz w:val="18"/>
              </w:rPr>
              <w:t>22500,00</w:t>
            </w:r>
          </w:p>
        </w:tc>
        <w:tc>
          <w:tcPr>
            <w:tcW w:type="dxa" w:w="993"/>
            <w:tcBorders>
              <w:top w:color="000000" w:sz="4" w:val="single"/>
              <w:left w:color="000000" w:sz="4" w:val="single"/>
              <w:bottom w:color="000000" w:sz="4" w:val="single"/>
              <w:right w:color="000000" w:sz="4" w:val="single"/>
            </w:tcBorders>
            <w:shd w:fill="FFFFFF" w:val="clear"/>
            <w:vAlign w:val="center"/>
          </w:tcPr>
          <w:p w14:paraId="0C36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0D360000">
            <w:pPr>
              <w:widowControl w:val="1"/>
              <w:ind/>
              <w:jc w:val="center"/>
              <w:rPr>
                <w:sz w:val="18"/>
              </w:rPr>
            </w:pPr>
            <w:r>
              <w:rPr>
                <w:sz w:val="18"/>
              </w:rPr>
              <w:t>январь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0E36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0F36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10360000">
            <w:pPr>
              <w:widowControl w:val="1"/>
              <w:ind/>
              <w:jc w:val="center"/>
              <w:rPr>
                <w:sz w:val="18"/>
              </w:rPr>
            </w:pPr>
            <w:r>
              <w:rPr>
                <w:sz w:val="18"/>
              </w:rPr>
              <w:t>3</w:t>
            </w:r>
          </w:p>
        </w:tc>
        <w:tc>
          <w:tcPr>
            <w:tcW w:type="dxa" w:w="1169"/>
            <w:tcBorders>
              <w:top w:color="000000" w:sz="4" w:val="single"/>
              <w:left w:color="000000" w:sz="4" w:val="single"/>
              <w:bottom w:color="000000" w:sz="4" w:val="single"/>
              <w:right w:color="000000" w:sz="4" w:val="single"/>
            </w:tcBorders>
            <w:shd w:fill="FFFFFF" w:val="clear"/>
            <w:vAlign w:val="center"/>
          </w:tcPr>
          <w:p w14:paraId="11360000">
            <w:pPr>
              <w:widowControl w:val="1"/>
              <w:ind/>
              <w:jc w:val="center"/>
              <w:rPr>
                <w:sz w:val="18"/>
              </w:rPr>
            </w:pPr>
            <w:r>
              <w:rPr>
                <w:sz w:val="18"/>
              </w:rPr>
              <w:t>22500,00</w:t>
            </w:r>
          </w:p>
        </w:tc>
        <w:tc>
          <w:tcPr>
            <w:tcW w:type="dxa" w:w="1185"/>
            <w:tcBorders>
              <w:top w:color="000000" w:sz="4" w:val="single"/>
              <w:left w:color="000000" w:sz="4" w:val="single"/>
              <w:bottom w:color="000000" w:sz="4" w:val="single"/>
              <w:right w:color="000000" w:sz="4" w:val="single"/>
            </w:tcBorders>
            <w:shd w:fill="FFFFFF" w:val="clear"/>
            <w:vAlign w:val="center"/>
          </w:tcPr>
          <w:p w14:paraId="12360000">
            <w:pPr>
              <w:widowControl w:val="1"/>
              <w:ind/>
              <w:jc w:val="center"/>
              <w:rPr>
                <w:sz w:val="18"/>
              </w:rPr>
            </w:pPr>
            <w:r>
              <w:rPr>
                <w:sz w:val="18"/>
              </w:rPr>
              <w:t>22500,00</w:t>
            </w:r>
          </w:p>
        </w:tc>
        <w:tc>
          <w:tcPr>
            <w:tcW w:type="dxa" w:w="1083"/>
            <w:tcBorders>
              <w:top w:color="000000" w:sz="4" w:val="single"/>
              <w:left w:color="000000" w:sz="4" w:val="single"/>
              <w:bottom w:color="000000" w:sz="4" w:val="single"/>
              <w:right w:color="000000" w:sz="4" w:val="single"/>
            </w:tcBorders>
            <w:shd w:fill="FFFFFF" w:val="clear"/>
            <w:vAlign w:val="center"/>
          </w:tcPr>
          <w:p w14:paraId="13360000">
            <w:pPr>
              <w:widowControl w:val="1"/>
              <w:ind/>
              <w:jc w:val="center"/>
              <w:rPr>
                <w:sz w:val="18"/>
              </w:rPr>
            </w:pPr>
            <w:r>
              <w:rPr>
                <w:sz w:val="18"/>
              </w:rPr>
              <w:t>22500,00</w:t>
            </w:r>
          </w:p>
        </w:tc>
        <w:tc>
          <w:tcPr>
            <w:tcW w:type="dxa" w:w="771"/>
            <w:tcBorders>
              <w:top w:color="000000" w:sz="4" w:val="single"/>
              <w:left w:color="000000" w:sz="4" w:val="single"/>
              <w:bottom w:color="000000" w:sz="4" w:val="single"/>
              <w:right w:color="000000" w:sz="4" w:val="single"/>
            </w:tcBorders>
            <w:shd w:fill="FFFFFF" w:val="clear"/>
            <w:vAlign w:val="center"/>
          </w:tcPr>
          <w:p w14:paraId="1436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15360000">
            <w:pPr>
              <w:widowControl w:val="1"/>
              <w:ind/>
              <w:jc w:val="center"/>
              <w:rPr>
                <w:sz w:val="18"/>
              </w:rPr>
            </w:pPr>
            <w:r>
              <w:rPr>
                <w:sz w:val="18"/>
              </w:rPr>
              <w:t>январь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16360000">
            <w:pPr>
              <w:widowControl w:val="1"/>
              <w:ind/>
              <w:jc w:val="center"/>
              <w:rPr>
                <w:sz w:val="18"/>
              </w:rPr>
            </w:pPr>
            <w:r>
              <w:rPr>
                <w:sz w:val="18"/>
              </w:rPr>
              <w:t>счет № 4-К/А от 10.01.2018</w:t>
            </w:r>
          </w:p>
        </w:tc>
      </w:tr>
      <w:tr>
        <w:trPr>
          <w:trHeight w:hRule="atLeast" w:val="2805"/>
        </w:trPr>
        <w:tc>
          <w:tcPr>
            <w:tcW w:type="dxa" w:w="708"/>
            <w:tcBorders>
              <w:top w:color="000000" w:sz="4" w:val="single"/>
              <w:left w:color="000000" w:sz="4" w:val="single"/>
              <w:bottom w:color="000000" w:sz="4" w:val="single"/>
              <w:right w:color="000000" w:sz="4" w:val="single"/>
            </w:tcBorders>
            <w:shd w:fill="auto" w:val="clear"/>
            <w:vAlign w:val="center"/>
          </w:tcPr>
          <w:p w14:paraId="17360000">
            <w:pPr>
              <w:widowControl w:val="1"/>
              <w:ind/>
              <w:jc w:val="center"/>
              <w:rPr>
                <w:color w:val="000000"/>
                <w:sz w:val="18"/>
              </w:rPr>
            </w:pPr>
            <w:r>
              <w:rPr>
                <w:color w:val="000000"/>
                <w:sz w:val="18"/>
              </w:rPr>
              <w:t>129</w:t>
            </w:r>
          </w:p>
        </w:tc>
        <w:tc>
          <w:tcPr>
            <w:tcW w:type="dxa" w:w="618"/>
            <w:tcBorders>
              <w:top w:color="000000" w:sz="4" w:val="single"/>
              <w:left w:color="000000" w:sz="4" w:val="single"/>
              <w:bottom w:color="000000" w:sz="4" w:val="single"/>
              <w:right w:color="000000" w:sz="4" w:val="single"/>
            </w:tcBorders>
            <w:shd w:fill="FFFFFF" w:val="clear"/>
            <w:vAlign w:val="center"/>
          </w:tcPr>
          <w:p w14:paraId="18360000">
            <w:pPr>
              <w:widowControl w:val="1"/>
              <w:ind/>
              <w:jc w:val="center"/>
              <w:rPr>
                <w:sz w:val="18"/>
              </w:rPr>
            </w:pPr>
            <w:r>
              <w:rPr>
                <w:sz w:val="18"/>
              </w:rPr>
              <w:t>51/2</w:t>
            </w:r>
          </w:p>
        </w:tc>
        <w:tc>
          <w:tcPr>
            <w:tcW w:type="dxa" w:w="993"/>
            <w:tcBorders>
              <w:top w:color="000000" w:sz="4" w:val="single"/>
              <w:left w:color="000000" w:sz="4" w:val="single"/>
              <w:bottom w:color="000000" w:sz="4" w:val="single"/>
              <w:right w:color="000000" w:sz="4" w:val="single"/>
            </w:tcBorders>
            <w:shd w:fill="FFFFFF" w:val="clear"/>
            <w:vAlign w:val="center"/>
          </w:tcPr>
          <w:p w14:paraId="19360000">
            <w:pPr>
              <w:widowControl w:val="1"/>
              <w:ind/>
              <w:jc w:val="center"/>
              <w:rPr>
                <w:sz w:val="18"/>
              </w:rPr>
            </w:pPr>
            <w:r>
              <w:rPr>
                <w:sz w:val="18"/>
              </w:rPr>
              <w:t>оказание услуг по повышению квалификации сотрудниковпо программе "Организация перевозок железнодорожным транспортом пассажиров"</w:t>
            </w:r>
          </w:p>
        </w:tc>
        <w:tc>
          <w:tcPr>
            <w:tcW w:type="dxa" w:w="849"/>
            <w:tcBorders>
              <w:top w:color="000000" w:sz="4" w:val="single"/>
              <w:left w:color="000000" w:sz="4" w:val="single"/>
              <w:bottom w:color="000000" w:sz="4" w:val="single"/>
              <w:right w:color="000000" w:sz="4" w:val="single"/>
            </w:tcBorders>
            <w:shd w:fill="FFFFFF" w:val="clear"/>
            <w:vAlign w:val="center"/>
          </w:tcPr>
          <w:p w14:paraId="1A36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1B36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1C360000">
            <w:pPr>
              <w:widowControl w:val="1"/>
              <w:ind/>
              <w:jc w:val="center"/>
              <w:rPr>
                <w:sz w:val="18"/>
              </w:rPr>
            </w:pPr>
            <w:r>
              <w:rPr>
                <w:sz w:val="18"/>
              </w:rPr>
              <w:t>7500,00</w:t>
            </w:r>
          </w:p>
        </w:tc>
        <w:tc>
          <w:tcPr>
            <w:tcW w:type="dxa" w:w="1134"/>
            <w:tcBorders>
              <w:top w:color="000000" w:sz="4" w:val="single"/>
              <w:left w:color="000000" w:sz="4" w:val="single"/>
              <w:bottom w:color="000000" w:sz="4" w:val="single"/>
              <w:right w:color="000000" w:sz="4" w:val="single"/>
            </w:tcBorders>
            <w:shd w:fill="FFFFFF" w:val="clear"/>
            <w:vAlign w:val="center"/>
          </w:tcPr>
          <w:p w14:paraId="1D360000">
            <w:pPr>
              <w:widowControl w:val="1"/>
              <w:ind/>
              <w:jc w:val="center"/>
              <w:rPr>
                <w:sz w:val="18"/>
              </w:rPr>
            </w:pPr>
            <w:r>
              <w:rPr>
                <w:sz w:val="18"/>
              </w:rPr>
              <w:t>7500,00</w:t>
            </w:r>
          </w:p>
        </w:tc>
        <w:tc>
          <w:tcPr>
            <w:tcW w:type="dxa" w:w="993"/>
            <w:tcBorders>
              <w:top w:color="000000" w:sz="4" w:val="single"/>
              <w:left w:color="000000" w:sz="4" w:val="single"/>
              <w:bottom w:color="000000" w:sz="4" w:val="single"/>
              <w:right w:color="000000" w:sz="4" w:val="single"/>
            </w:tcBorders>
            <w:shd w:fill="FFFFFF" w:val="clear"/>
            <w:vAlign w:val="center"/>
          </w:tcPr>
          <w:p w14:paraId="1E36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1F360000">
            <w:pPr>
              <w:widowControl w:val="1"/>
              <w:ind/>
              <w:jc w:val="center"/>
              <w:rPr>
                <w:sz w:val="18"/>
              </w:rPr>
            </w:pPr>
            <w:r>
              <w:rPr>
                <w:sz w:val="18"/>
              </w:rPr>
              <w:t>январь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2036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2136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2236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23360000">
            <w:pPr>
              <w:widowControl w:val="1"/>
              <w:ind/>
              <w:jc w:val="center"/>
              <w:rPr>
                <w:sz w:val="18"/>
              </w:rPr>
            </w:pPr>
            <w:r>
              <w:rPr>
                <w:sz w:val="18"/>
              </w:rPr>
              <w:t>7500,00</w:t>
            </w:r>
          </w:p>
        </w:tc>
        <w:tc>
          <w:tcPr>
            <w:tcW w:type="dxa" w:w="1185"/>
            <w:tcBorders>
              <w:top w:color="000000" w:sz="4" w:val="single"/>
              <w:left w:color="000000" w:sz="4" w:val="single"/>
              <w:bottom w:color="000000" w:sz="4" w:val="single"/>
              <w:right w:color="000000" w:sz="4" w:val="single"/>
            </w:tcBorders>
            <w:shd w:fill="FFFFFF" w:val="clear"/>
            <w:vAlign w:val="center"/>
          </w:tcPr>
          <w:p w14:paraId="24360000">
            <w:pPr>
              <w:widowControl w:val="1"/>
              <w:ind/>
              <w:jc w:val="center"/>
              <w:rPr>
                <w:sz w:val="18"/>
              </w:rPr>
            </w:pPr>
            <w:r>
              <w:rPr>
                <w:sz w:val="18"/>
              </w:rPr>
              <w:t>7500,00</w:t>
            </w:r>
          </w:p>
        </w:tc>
        <w:tc>
          <w:tcPr>
            <w:tcW w:type="dxa" w:w="1083"/>
            <w:tcBorders>
              <w:top w:color="000000" w:sz="4" w:val="single"/>
              <w:left w:color="000000" w:sz="4" w:val="single"/>
              <w:bottom w:color="000000" w:sz="4" w:val="single"/>
              <w:right w:color="000000" w:sz="4" w:val="single"/>
            </w:tcBorders>
            <w:shd w:fill="FFFFFF" w:val="clear"/>
            <w:vAlign w:val="center"/>
          </w:tcPr>
          <w:p w14:paraId="25360000">
            <w:pPr>
              <w:widowControl w:val="1"/>
              <w:ind/>
              <w:jc w:val="center"/>
              <w:rPr>
                <w:sz w:val="18"/>
              </w:rPr>
            </w:pPr>
            <w:r>
              <w:rPr>
                <w:sz w:val="18"/>
              </w:rPr>
              <w:t>7500,00</w:t>
            </w:r>
          </w:p>
        </w:tc>
        <w:tc>
          <w:tcPr>
            <w:tcW w:type="dxa" w:w="771"/>
            <w:tcBorders>
              <w:top w:color="000000" w:sz="4" w:val="single"/>
              <w:left w:color="000000" w:sz="4" w:val="single"/>
              <w:bottom w:color="000000" w:sz="4" w:val="single"/>
              <w:right w:color="000000" w:sz="4" w:val="single"/>
            </w:tcBorders>
            <w:shd w:fill="FFFFFF" w:val="clear"/>
            <w:vAlign w:val="center"/>
          </w:tcPr>
          <w:p w14:paraId="2636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27360000">
            <w:pPr>
              <w:widowControl w:val="1"/>
              <w:ind/>
              <w:jc w:val="center"/>
              <w:rPr>
                <w:sz w:val="18"/>
              </w:rPr>
            </w:pPr>
            <w:r>
              <w:rPr>
                <w:sz w:val="18"/>
              </w:rPr>
              <w:t>январь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28360000">
            <w:pPr>
              <w:widowControl w:val="1"/>
              <w:ind/>
              <w:jc w:val="center"/>
              <w:rPr>
                <w:sz w:val="18"/>
              </w:rPr>
            </w:pPr>
            <w:r>
              <w:rPr>
                <w:sz w:val="18"/>
              </w:rPr>
              <w:t>счет № 5-К/Б от 10.01.2018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29360000">
            <w:pPr>
              <w:widowControl w:val="1"/>
              <w:ind/>
              <w:jc w:val="center"/>
              <w:rPr>
                <w:color w:val="000000"/>
                <w:sz w:val="18"/>
              </w:rPr>
            </w:pPr>
            <w:r>
              <w:rPr>
                <w:color w:val="000000"/>
                <w:sz w:val="18"/>
              </w:rPr>
              <w:t>130</w:t>
            </w:r>
          </w:p>
        </w:tc>
        <w:tc>
          <w:tcPr>
            <w:tcW w:type="dxa" w:w="618"/>
            <w:tcBorders>
              <w:top w:color="000000" w:sz="4" w:val="single"/>
              <w:left w:color="000000" w:sz="4" w:val="single"/>
              <w:bottom w:color="000000" w:sz="4" w:val="single"/>
              <w:right w:color="000000" w:sz="4" w:val="single"/>
            </w:tcBorders>
            <w:shd w:fill="FFFFFF" w:val="clear"/>
            <w:vAlign w:val="center"/>
          </w:tcPr>
          <w:p w14:paraId="2A360000">
            <w:pPr>
              <w:widowControl w:val="1"/>
              <w:ind/>
              <w:jc w:val="center"/>
              <w:rPr>
                <w:sz w:val="18"/>
              </w:rPr>
            </w:pPr>
            <w:r>
              <w:rPr>
                <w:sz w:val="18"/>
              </w:rPr>
              <w:t>52/2</w:t>
            </w:r>
          </w:p>
        </w:tc>
        <w:tc>
          <w:tcPr>
            <w:tcW w:type="dxa" w:w="993"/>
            <w:tcBorders>
              <w:top w:color="000000" w:sz="4" w:val="single"/>
              <w:left w:color="000000" w:sz="4" w:val="single"/>
              <w:bottom w:color="000000" w:sz="4" w:val="single"/>
              <w:right w:color="000000" w:sz="4" w:val="single"/>
            </w:tcBorders>
            <w:shd w:fill="FFFFFF" w:val="clear"/>
            <w:vAlign w:val="center"/>
          </w:tcPr>
          <w:p w14:paraId="2B360000">
            <w:pPr>
              <w:widowControl w:val="1"/>
              <w:ind/>
              <w:jc w:val="center"/>
              <w:rPr>
                <w:sz w:val="18"/>
              </w:rPr>
            </w:pPr>
            <w:r>
              <w:rPr>
                <w:sz w:val="18"/>
              </w:rPr>
              <w:t>оказание услуг по техническому обслуживанию автомобиля AUDI Q7</w:t>
            </w:r>
          </w:p>
        </w:tc>
        <w:tc>
          <w:tcPr>
            <w:tcW w:type="dxa" w:w="849"/>
            <w:tcBorders>
              <w:top w:color="000000" w:sz="4" w:val="single"/>
              <w:left w:color="000000" w:sz="4" w:val="single"/>
              <w:bottom w:color="000000" w:sz="4" w:val="single"/>
              <w:right w:color="000000" w:sz="4" w:val="single"/>
            </w:tcBorders>
            <w:shd w:fill="FFFFFF" w:val="clear"/>
            <w:vAlign w:val="center"/>
          </w:tcPr>
          <w:p w14:paraId="2C36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2D36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2E360000">
            <w:pPr>
              <w:widowControl w:val="1"/>
              <w:ind/>
              <w:jc w:val="center"/>
              <w:rPr>
                <w:sz w:val="18"/>
              </w:rPr>
            </w:pPr>
            <w:r>
              <w:rPr>
                <w:sz w:val="18"/>
              </w:rPr>
              <w:t>29594,29</w:t>
            </w:r>
          </w:p>
        </w:tc>
        <w:tc>
          <w:tcPr>
            <w:tcW w:type="dxa" w:w="1134"/>
            <w:tcBorders>
              <w:top w:color="000000" w:sz="4" w:val="single"/>
              <w:left w:color="000000" w:sz="4" w:val="single"/>
              <w:bottom w:color="000000" w:sz="4" w:val="single"/>
              <w:right w:color="000000" w:sz="4" w:val="single"/>
            </w:tcBorders>
            <w:shd w:fill="FFFFFF" w:val="clear"/>
            <w:vAlign w:val="center"/>
          </w:tcPr>
          <w:p w14:paraId="2F360000">
            <w:pPr>
              <w:widowControl w:val="1"/>
              <w:ind/>
              <w:jc w:val="center"/>
              <w:rPr>
                <w:sz w:val="18"/>
              </w:rPr>
            </w:pPr>
            <w:r>
              <w:rPr>
                <w:sz w:val="18"/>
              </w:rPr>
              <w:t>29594,29</w:t>
            </w:r>
          </w:p>
        </w:tc>
        <w:tc>
          <w:tcPr>
            <w:tcW w:type="dxa" w:w="993"/>
            <w:tcBorders>
              <w:top w:color="000000" w:sz="4" w:val="single"/>
              <w:left w:color="000000" w:sz="4" w:val="single"/>
              <w:bottom w:color="000000" w:sz="4" w:val="single"/>
              <w:right w:color="000000" w:sz="4" w:val="single"/>
            </w:tcBorders>
            <w:shd w:fill="FFFFFF" w:val="clear"/>
            <w:vAlign w:val="center"/>
          </w:tcPr>
          <w:p w14:paraId="3036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31360000">
            <w:pPr>
              <w:widowControl w:val="1"/>
              <w:ind/>
              <w:jc w:val="center"/>
              <w:rPr>
                <w:sz w:val="18"/>
              </w:rPr>
            </w:pPr>
            <w:r>
              <w:rPr>
                <w:sz w:val="18"/>
              </w:rPr>
              <w:t>январь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3236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3336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3436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35360000">
            <w:pPr>
              <w:widowControl w:val="1"/>
              <w:ind/>
              <w:jc w:val="center"/>
              <w:rPr>
                <w:sz w:val="18"/>
              </w:rPr>
            </w:pPr>
            <w:r>
              <w:rPr>
                <w:sz w:val="18"/>
              </w:rPr>
              <w:t>29594,29</w:t>
            </w:r>
          </w:p>
        </w:tc>
        <w:tc>
          <w:tcPr>
            <w:tcW w:type="dxa" w:w="1185"/>
            <w:tcBorders>
              <w:top w:color="000000" w:sz="4" w:val="single"/>
              <w:left w:color="000000" w:sz="4" w:val="single"/>
              <w:bottom w:color="000000" w:sz="4" w:val="single"/>
              <w:right w:color="000000" w:sz="4" w:val="single"/>
            </w:tcBorders>
            <w:shd w:fill="FFFFFF" w:val="clear"/>
            <w:vAlign w:val="center"/>
          </w:tcPr>
          <w:p w14:paraId="36360000">
            <w:pPr>
              <w:widowControl w:val="1"/>
              <w:ind/>
              <w:jc w:val="center"/>
              <w:rPr>
                <w:sz w:val="18"/>
              </w:rPr>
            </w:pPr>
            <w:r>
              <w:rPr>
                <w:sz w:val="18"/>
              </w:rPr>
              <w:t>29594,29</w:t>
            </w:r>
          </w:p>
        </w:tc>
        <w:tc>
          <w:tcPr>
            <w:tcW w:type="dxa" w:w="1083"/>
            <w:tcBorders>
              <w:top w:color="000000" w:sz="4" w:val="single"/>
              <w:left w:color="000000" w:sz="4" w:val="single"/>
              <w:bottom w:color="000000" w:sz="4" w:val="single"/>
              <w:right w:color="000000" w:sz="4" w:val="single"/>
            </w:tcBorders>
            <w:shd w:fill="FFFFFF" w:val="clear"/>
            <w:vAlign w:val="center"/>
          </w:tcPr>
          <w:p w14:paraId="37360000">
            <w:pPr>
              <w:widowControl w:val="1"/>
              <w:ind/>
              <w:jc w:val="center"/>
              <w:rPr>
                <w:sz w:val="18"/>
              </w:rPr>
            </w:pPr>
            <w:r>
              <w:rPr>
                <w:sz w:val="18"/>
              </w:rPr>
              <w:t>29594,29</w:t>
            </w:r>
          </w:p>
        </w:tc>
        <w:tc>
          <w:tcPr>
            <w:tcW w:type="dxa" w:w="771"/>
            <w:tcBorders>
              <w:top w:color="000000" w:sz="4" w:val="single"/>
              <w:left w:color="000000" w:sz="4" w:val="single"/>
              <w:bottom w:color="000000" w:sz="4" w:val="single"/>
              <w:right w:color="000000" w:sz="4" w:val="single"/>
            </w:tcBorders>
            <w:shd w:fill="FFFFFF" w:val="clear"/>
            <w:vAlign w:val="center"/>
          </w:tcPr>
          <w:p w14:paraId="3836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39360000">
            <w:pPr>
              <w:widowControl w:val="1"/>
              <w:ind/>
              <w:jc w:val="center"/>
              <w:rPr>
                <w:sz w:val="18"/>
              </w:rPr>
            </w:pPr>
            <w:r>
              <w:rPr>
                <w:sz w:val="18"/>
              </w:rPr>
              <w:t>январь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3A360000">
            <w:pPr>
              <w:widowControl w:val="1"/>
              <w:ind/>
              <w:jc w:val="center"/>
              <w:rPr>
                <w:sz w:val="18"/>
              </w:rPr>
            </w:pPr>
            <w:r>
              <w:rPr>
                <w:sz w:val="18"/>
              </w:rPr>
              <w:t>счет № 0081819 от 17.01.2018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3B360000">
            <w:pPr>
              <w:widowControl w:val="1"/>
              <w:ind/>
              <w:jc w:val="center"/>
              <w:rPr>
                <w:color w:val="000000"/>
                <w:sz w:val="18"/>
              </w:rPr>
            </w:pPr>
            <w:r>
              <w:rPr>
                <w:color w:val="000000"/>
                <w:sz w:val="18"/>
              </w:rPr>
              <w:t>131</w:t>
            </w:r>
          </w:p>
        </w:tc>
        <w:tc>
          <w:tcPr>
            <w:tcW w:type="dxa" w:w="618"/>
            <w:tcBorders>
              <w:top w:color="000000" w:sz="4" w:val="single"/>
              <w:left w:color="000000" w:sz="4" w:val="single"/>
              <w:bottom w:color="000000" w:sz="4" w:val="single"/>
              <w:right w:color="000000" w:sz="4" w:val="single"/>
            </w:tcBorders>
            <w:shd w:fill="FFFFFF" w:val="clear"/>
            <w:vAlign w:val="center"/>
          </w:tcPr>
          <w:p w14:paraId="3C360000">
            <w:pPr>
              <w:widowControl w:val="1"/>
              <w:ind/>
              <w:jc w:val="center"/>
              <w:rPr>
                <w:sz w:val="18"/>
              </w:rPr>
            </w:pPr>
            <w:r>
              <w:rPr>
                <w:sz w:val="18"/>
              </w:rPr>
              <w:t>53/2</w:t>
            </w:r>
          </w:p>
        </w:tc>
        <w:tc>
          <w:tcPr>
            <w:tcW w:type="dxa" w:w="993"/>
            <w:tcBorders>
              <w:top w:color="000000" w:sz="4" w:val="single"/>
              <w:left w:color="000000" w:sz="4" w:val="single"/>
              <w:bottom w:color="000000" w:sz="4" w:val="single"/>
              <w:right w:color="000000" w:sz="4" w:val="single"/>
            </w:tcBorders>
            <w:shd w:fill="FFFFFF" w:val="clear"/>
            <w:vAlign w:val="center"/>
          </w:tcPr>
          <w:p w14:paraId="3D360000">
            <w:pPr>
              <w:widowControl w:val="1"/>
              <w:ind/>
              <w:jc w:val="center"/>
              <w:rPr>
                <w:sz w:val="18"/>
              </w:rPr>
            </w:pPr>
            <w:r>
              <w:rPr>
                <w:sz w:val="18"/>
              </w:rPr>
              <w:t>оказание услуг по техническому обслуживанию автомобиля ПЕЖО</w:t>
            </w:r>
          </w:p>
        </w:tc>
        <w:tc>
          <w:tcPr>
            <w:tcW w:type="dxa" w:w="849"/>
            <w:tcBorders>
              <w:top w:color="000000" w:sz="4" w:val="single"/>
              <w:left w:color="000000" w:sz="4" w:val="single"/>
              <w:bottom w:color="000000" w:sz="4" w:val="single"/>
              <w:right w:color="000000" w:sz="4" w:val="single"/>
            </w:tcBorders>
            <w:shd w:fill="FFFFFF" w:val="clear"/>
            <w:vAlign w:val="center"/>
          </w:tcPr>
          <w:p w14:paraId="3E36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3F36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40360000">
            <w:pPr>
              <w:widowControl w:val="1"/>
              <w:ind/>
              <w:jc w:val="center"/>
              <w:rPr>
                <w:sz w:val="18"/>
              </w:rPr>
            </w:pPr>
            <w:r>
              <w:rPr>
                <w:sz w:val="18"/>
              </w:rPr>
              <w:t>1680,00</w:t>
            </w:r>
          </w:p>
        </w:tc>
        <w:tc>
          <w:tcPr>
            <w:tcW w:type="dxa" w:w="1134"/>
            <w:tcBorders>
              <w:top w:color="000000" w:sz="4" w:val="single"/>
              <w:left w:color="000000" w:sz="4" w:val="single"/>
              <w:bottom w:color="000000" w:sz="4" w:val="single"/>
              <w:right w:color="000000" w:sz="4" w:val="single"/>
            </w:tcBorders>
            <w:shd w:fill="FFFFFF" w:val="clear"/>
            <w:vAlign w:val="center"/>
          </w:tcPr>
          <w:p w14:paraId="41360000">
            <w:pPr>
              <w:widowControl w:val="1"/>
              <w:ind/>
              <w:jc w:val="center"/>
              <w:rPr>
                <w:sz w:val="18"/>
              </w:rPr>
            </w:pPr>
            <w:r>
              <w:rPr>
                <w:sz w:val="18"/>
              </w:rPr>
              <w:t>1680,00</w:t>
            </w:r>
          </w:p>
        </w:tc>
        <w:tc>
          <w:tcPr>
            <w:tcW w:type="dxa" w:w="993"/>
            <w:tcBorders>
              <w:top w:color="000000" w:sz="4" w:val="single"/>
              <w:left w:color="000000" w:sz="4" w:val="single"/>
              <w:bottom w:color="000000" w:sz="4" w:val="single"/>
              <w:right w:color="000000" w:sz="4" w:val="single"/>
            </w:tcBorders>
            <w:shd w:fill="FFFFFF" w:val="clear"/>
            <w:vAlign w:val="center"/>
          </w:tcPr>
          <w:p w14:paraId="42360000">
            <w:pPr>
              <w:widowControl w:val="1"/>
              <w:ind/>
              <w:jc w:val="center"/>
              <w:rPr>
                <w:sz w:val="18"/>
              </w:rPr>
            </w:pPr>
            <w:r>
              <w:rPr>
                <w:sz w:val="18"/>
              </w:rPr>
              <w:t>январь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43360000">
            <w:pPr>
              <w:widowControl w:val="1"/>
              <w:ind/>
              <w:jc w:val="center"/>
              <w:rPr>
                <w:sz w:val="18"/>
              </w:rPr>
            </w:pPr>
            <w:r>
              <w:rPr>
                <w:sz w:val="18"/>
              </w:rPr>
              <w:t>январь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4436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4536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4636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47360000">
            <w:pPr>
              <w:widowControl w:val="1"/>
              <w:ind/>
              <w:jc w:val="center"/>
              <w:rPr>
                <w:sz w:val="18"/>
              </w:rPr>
            </w:pPr>
            <w:r>
              <w:rPr>
                <w:sz w:val="18"/>
              </w:rPr>
              <w:t>1680,00</w:t>
            </w:r>
          </w:p>
        </w:tc>
        <w:tc>
          <w:tcPr>
            <w:tcW w:type="dxa" w:w="1185"/>
            <w:tcBorders>
              <w:top w:color="000000" w:sz="4" w:val="single"/>
              <w:left w:color="000000" w:sz="4" w:val="single"/>
              <w:bottom w:color="000000" w:sz="4" w:val="single"/>
              <w:right w:color="000000" w:sz="4" w:val="single"/>
            </w:tcBorders>
            <w:shd w:fill="FFFFFF" w:val="clear"/>
            <w:vAlign w:val="center"/>
          </w:tcPr>
          <w:p w14:paraId="48360000">
            <w:pPr>
              <w:widowControl w:val="1"/>
              <w:ind/>
              <w:jc w:val="center"/>
              <w:rPr>
                <w:sz w:val="18"/>
              </w:rPr>
            </w:pPr>
            <w:r>
              <w:rPr>
                <w:sz w:val="18"/>
              </w:rPr>
              <w:t>1680,00</w:t>
            </w:r>
          </w:p>
        </w:tc>
        <w:tc>
          <w:tcPr>
            <w:tcW w:type="dxa" w:w="1083"/>
            <w:tcBorders>
              <w:top w:color="000000" w:sz="4" w:val="single"/>
              <w:left w:color="000000" w:sz="4" w:val="single"/>
              <w:bottom w:color="000000" w:sz="4" w:val="single"/>
              <w:right w:color="000000" w:sz="4" w:val="single"/>
            </w:tcBorders>
            <w:shd w:fill="FFFFFF" w:val="clear"/>
            <w:vAlign w:val="center"/>
          </w:tcPr>
          <w:p w14:paraId="49360000">
            <w:pPr>
              <w:widowControl w:val="1"/>
              <w:ind/>
              <w:jc w:val="center"/>
              <w:rPr>
                <w:sz w:val="18"/>
              </w:rPr>
            </w:pPr>
            <w:r>
              <w:rPr>
                <w:sz w:val="18"/>
              </w:rPr>
              <w:t>1680,00</w:t>
            </w:r>
          </w:p>
        </w:tc>
        <w:tc>
          <w:tcPr>
            <w:tcW w:type="dxa" w:w="771"/>
            <w:tcBorders>
              <w:top w:color="000000" w:sz="4" w:val="single"/>
              <w:left w:color="000000" w:sz="4" w:val="single"/>
              <w:bottom w:color="000000" w:sz="4" w:val="single"/>
              <w:right w:color="000000" w:sz="4" w:val="single"/>
            </w:tcBorders>
            <w:shd w:fill="FFFFFF" w:val="clear"/>
            <w:vAlign w:val="center"/>
          </w:tcPr>
          <w:p w14:paraId="4A360000">
            <w:pPr>
              <w:widowControl w:val="1"/>
              <w:ind/>
              <w:jc w:val="center"/>
              <w:rPr>
                <w:sz w:val="18"/>
              </w:rPr>
            </w:pPr>
            <w:r>
              <w:rPr>
                <w:sz w:val="18"/>
              </w:rPr>
              <w:t>январь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4B360000">
            <w:pPr>
              <w:widowControl w:val="1"/>
              <w:ind/>
              <w:jc w:val="center"/>
              <w:rPr>
                <w:sz w:val="18"/>
              </w:rPr>
            </w:pPr>
            <w:r>
              <w:rPr>
                <w:sz w:val="18"/>
              </w:rPr>
              <w:t>январь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4C360000">
            <w:pPr>
              <w:widowControl w:val="1"/>
              <w:ind/>
              <w:jc w:val="center"/>
              <w:rPr>
                <w:sz w:val="18"/>
              </w:rPr>
            </w:pPr>
            <w:r>
              <w:rPr>
                <w:sz w:val="18"/>
              </w:rPr>
              <w:t>счет № ССР0000021 от 19.01.2018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4D360000">
            <w:pPr>
              <w:widowControl w:val="1"/>
              <w:ind/>
              <w:jc w:val="center"/>
              <w:rPr>
                <w:color w:val="000000"/>
                <w:sz w:val="18"/>
              </w:rPr>
            </w:pPr>
            <w:r>
              <w:rPr>
                <w:color w:val="000000"/>
                <w:sz w:val="18"/>
              </w:rPr>
              <w:t>132</w:t>
            </w:r>
          </w:p>
        </w:tc>
        <w:tc>
          <w:tcPr>
            <w:tcW w:type="dxa" w:w="618"/>
            <w:tcBorders>
              <w:top w:color="000000" w:sz="4" w:val="single"/>
              <w:left w:color="000000" w:sz="4" w:val="single"/>
              <w:bottom w:color="000000" w:sz="4" w:val="single"/>
              <w:right w:color="000000" w:sz="4" w:val="single"/>
            </w:tcBorders>
            <w:shd w:fill="FFFFFF" w:val="clear"/>
            <w:vAlign w:val="center"/>
          </w:tcPr>
          <w:p w14:paraId="4E360000">
            <w:pPr>
              <w:widowControl w:val="1"/>
              <w:ind/>
              <w:jc w:val="center"/>
              <w:rPr>
                <w:sz w:val="18"/>
              </w:rPr>
            </w:pPr>
            <w:r>
              <w:rPr>
                <w:sz w:val="18"/>
              </w:rPr>
              <w:t>54/2</w:t>
            </w:r>
          </w:p>
        </w:tc>
        <w:tc>
          <w:tcPr>
            <w:tcW w:type="dxa" w:w="993"/>
            <w:tcBorders>
              <w:top w:color="000000" w:sz="4" w:val="single"/>
              <w:left w:color="000000" w:sz="4" w:val="single"/>
              <w:bottom w:color="000000" w:sz="4" w:val="single"/>
              <w:right w:color="000000" w:sz="4" w:val="single"/>
            </w:tcBorders>
            <w:shd w:fill="FFFFFF" w:val="clear"/>
            <w:vAlign w:val="center"/>
          </w:tcPr>
          <w:p w14:paraId="4F360000">
            <w:pPr>
              <w:widowControl w:val="1"/>
              <w:ind/>
              <w:jc w:val="center"/>
              <w:rPr>
                <w:sz w:val="18"/>
              </w:rPr>
            </w:pPr>
            <w:r>
              <w:rPr>
                <w:sz w:val="18"/>
              </w:rPr>
              <w:t>поставка термометров</w:t>
            </w:r>
          </w:p>
        </w:tc>
        <w:tc>
          <w:tcPr>
            <w:tcW w:type="dxa" w:w="849"/>
            <w:tcBorders>
              <w:top w:color="000000" w:sz="4" w:val="single"/>
              <w:left w:color="000000" w:sz="4" w:val="single"/>
              <w:bottom w:color="000000" w:sz="4" w:val="single"/>
              <w:right w:color="000000" w:sz="4" w:val="single"/>
            </w:tcBorders>
            <w:shd w:fill="FFFFFF" w:val="clear"/>
            <w:vAlign w:val="center"/>
          </w:tcPr>
          <w:p w14:paraId="5036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51360000">
            <w:pPr>
              <w:widowControl w:val="1"/>
              <w:ind/>
              <w:jc w:val="center"/>
              <w:rPr>
                <w:sz w:val="18"/>
              </w:rPr>
            </w:pPr>
            <w:r>
              <w:rPr>
                <w:sz w:val="18"/>
              </w:rPr>
              <w:t>10</w:t>
            </w:r>
          </w:p>
        </w:tc>
        <w:tc>
          <w:tcPr>
            <w:tcW w:type="dxa" w:w="991"/>
            <w:tcBorders>
              <w:top w:color="000000" w:sz="4" w:val="single"/>
              <w:left w:color="000000" w:sz="4" w:val="single"/>
              <w:bottom w:color="000000" w:sz="4" w:val="single"/>
              <w:right w:color="000000" w:sz="4" w:val="single"/>
            </w:tcBorders>
            <w:shd w:fill="FFFFFF" w:val="clear"/>
            <w:vAlign w:val="center"/>
          </w:tcPr>
          <w:p w14:paraId="52360000">
            <w:pPr>
              <w:widowControl w:val="1"/>
              <w:ind/>
              <w:jc w:val="center"/>
              <w:rPr>
                <w:sz w:val="18"/>
              </w:rPr>
            </w:pPr>
            <w:r>
              <w:rPr>
                <w:sz w:val="18"/>
              </w:rPr>
              <w:t>2372,88</w:t>
            </w:r>
          </w:p>
        </w:tc>
        <w:tc>
          <w:tcPr>
            <w:tcW w:type="dxa" w:w="1134"/>
            <w:tcBorders>
              <w:top w:color="000000" w:sz="4" w:val="single"/>
              <w:left w:color="000000" w:sz="4" w:val="single"/>
              <w:bottom w:color="000000" w:sz="4" w:val="single"/>
              <w:right w:color="000000" w:sz="4" w:val="single"/>
            </w:tcBorders>
            <w:shd w:fill="FFFFFF" w:val="clear"/>
            <w:vAlign w:val="center"/>
          </w:tcPr>
          <w:p w14:paraId="53360000">
            <w:pPr>
              <w:widowControl w:val="1"/>
              <w:ind/>
              <w:jc w:val="center"/>
              <w:rPr>
                <w:sz w:val="18"/>
              </w:rPr>
            </w:pPr>
            <w:r>
              <w:rPr>
                <w:sz w:val="18"/>
              </w:rPr>
              <w:t>2800,00</w:t>
            </w:r>
          </w:p>
        </w:tc>
        <w:tc>
          <w:tcPr>
            <w:tcW w:type="dxa" w:w="993"/>
            <w:tcBorders>
              <w:top w:color="000000" w:sz="4" w:val="single"/>
              <w:left w:color="000000" w:sz="4" w:val="single"/>
              <w:bottom w:color="000000" w:sz="4" w:val="single"/>
              <w:right w:color="000000" w:sz="4" w:val="single"/>
            </w:tcBorders>
            <w:shd w:fill="FFFFFF" w:val="clear"/>
            <w:vAlign w:val="center"/>
          </w:tcPr>
          <w:p w14:paraId="5436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55360000">
            <w:pPr>
              <w:widowControl w:val="1"/>
              <w:ind/>
              <w:jc w:val="center"/>
              <w:rPr>
                <w:sz w:val="18"/>
              </w:rPr>
            </w:pPr>
            <w:r>
              <w:rPr>
                <w:sz w:val="18"/>
              </w:rPr>
              <w:t>февраль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5636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5736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58360000">
            <w:pPr>
              <w:widowControl w:val="1"/>
              <w:ind/>
              <w:jc w:val="center"/>
              <w:rPr>
                <w:sz w:val="18"/>
              </w:rPr>
            </w:pPr>
            <w:r>
              <w:rPr>
                <w:sz w:val="18"/>
              </w:rPr>
              <w:t>10</w:t>
            </w:r>
          </w:p>
        </w:tc>
        <w:tc>
          <w:tcPr>
            <w:tcW w:type="dxa" w:w="1169"/>
            <w:tcBorders>
              <w:top w:color="000000" w:sz="4" w:val="single"/>
              <w:left w:color="000000" w:sz="4" w:val="single"/>
              <w:bottom w:color="000000" w:sz="4" w:val="single"/>
              <w:right w:color="000000" w:sz="4" w:val="single"/>
            </w:tcBorders>
            <w:shd w:fill="FFFFFF" w:val="clear"/>
            <w:vAlign w:val="center"/>
          </w:tcPr>
          <w:p w14:paraId="59360000">
            <w:pPr>
              <w:widowControl w:val="1"/>
              <w:ind/>
              <w:jc w:val="center"/>
              <w:rPr>
                <w:sz w:val="18"/>
              </w:rPr>
            </w:pPr>
            <w:r>
              <w:rPr>
                <w:sz w:val="18"/>
              </w:rPr>
              <w:t>2372,88</w:t>
            </w:r>
          </w:p>
        </w:tc>
        <w:tc>
          <w:tcPr>
            <w:tcW w:type="dxa" w:w="1185"/>
            <w:tcBorders>
              <w:top w:color="000000" w:sz="4" w:val="single"/>
              <w:left w:color="000000" w:sz="4" w:val="single"/>
              <w:bottom w:color="000000" w:sz="4" w:val="single"/>
              <w:right w:color="000000" w:sz="4" w:val="single"/>
            </w:tcBorders>
            <w:shd w:fill="FFFFFF" w:val="clear"/>
            <w:vAlign w:val="center"/>
          </w:tcPr>
          <w:p w14:paraId="5A360000">
            <w:pPr>
              <w:widowControl w:val="1"/>
              <w:ind/>
              <w:jc w:val="center"/>
              <w:rPr>
                <w:sz w:val="18"/>
              </w:rPr>
            </w:pPr>
            <w:r>
              <w:rPr>
                <w:sz w:val="18"/>
              </w:rPr>
              <w:t>2800,00</w:t>
            </w:r>
          </w:p>
        </w:tc>
        <w:tc>
          <w:tcPr>
            <w:tcW w:type="dxa" w:w="1083"/>
            <w:tcBorders>
              <w:top w:color="000000" w:sz="4" w:val="single"/>
              <w:left w:color="000000" w:sz="4" w:val="single"/>
              <w:bottom w:color="000000" w:sz="4" w:val="single"/>
              <w:right w:color="000000" w:sz="4" w:val="single"/>
            </w:tcBorders>
            <w:shd w:fill="FFFFFF" w:val="clear"/>
            <w:vAlign w:val="center"/>
          </w:tcPr>
          <w:p w14:paraId="5B360000">
            <w:pPr>
              <w:widowControl w:val="1"/>
              <w:ind/>
              <w:jc w:val="center"/>
              <w:rPr>
                <w:sz w:val="18"/>
              </w:rPr>
            </w:pPr>
            <w:r>
              <w:rPr>
                <w:sz w:val="18"/>
              </w:rPr>
              <w:t>2800,00</w:t>
            </w:r>
          </w:p>
        </w:tc>
        <w:tc>
          <w:tcPr>
            <w:tcW w:type="dxa" w:w="771"/>
            <w:tcBorders>
              <w:top w:color="000000" w:sz="4" w:val="single"/>
              <w:left w:color="000000" w:sz="4" w:val="single"/>
              <w:bottom w:color="000000" w:sz="4" w:val="single"/>
              <w:right w:color="000000" w:sz="4" w:val="single"/>
            </w:tcBorders>
            <w:shd w:fill="FFFFFF" w:val="clear"/>
            <w:vAlign w:val="center"/>
          </w:tcPr>
          <w:p w14:paraId="5C36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D360000">
            <w:pPr>
              <w:widowControl w:val="1"/>
              <w:ind/>
              <w:jc w:val="center"/>
              <w:rPr>
                <w:sz w:val="18"/>
              </w:rPr>
            </w:pPr>
            <w:r>
              <w:rPr>
                <w:sz w:val="18"/>
              </w:rPr>
              <w:t>февраль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5E360000">
            <w:pPr>
              <w:widowControl w:val="1"/>
              <w:ind/>
              <w:jc w:val="center"/>
              <w:rPr>
                <w:sz w:val="18"/>
              </w:rPr>
            </w:pPr>
            <w:r>
              <w:rPr>
                <w:sz w:val="18"/>
              </w:rPr>
              <w:t>счет № рд1-000442 от 31.01.2018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5F360000">
            <w:pPr>
              <w:widowControl w:val="1"/>
              <w:ind/>
              <w:jc w:val="center"/>
              <w:rPr>
                <w:color w:val="000000"/>
                <w:sz w:val="18"/>
              </w:rPr>
            </w:pPr>
            <w:r>
              <w:rPr>
                <w:color w:val="000000"/>
                <w:sz w:val="18"/>
              </w:rPr>
              <w:t>133</w:t>
            </w:r>
          </w:p>
        </w:tc>
        <w:tc>
          <w:tcPr>
            <w:tcW w:type="dxa" w:w="618"/>
            <w:tcBorders>
              <w:top w:color="000000" w:sz="4" w:val="single"/>
              <w:left w:color="000000" w:sz="4" w:val="single"/>
              <w:bottom w:color="000000" w:sz="4" w:val="single"/>
              <w:right w:color="000000" w:sz="4" w:val="single"/>
            </w:tcBorders>
            <w:shd w:fill="FFFFFF" w:val="clear"/>
            <w:vAlign w:val="center"/>
          </w:tcPr>
          <w:p w14:paraId="60360000">
            <w:pPr>
              <w:widowControl w:val="1"/>
              <w:ind/>
              <w:jc w:val="center"/>
              <w:rPr>
                <w:sz w:val="18"/>
              </w:rPr>
            </w:pPr>
            <w:r>
              <w:rPr>
                <w:sz w:val="18"/>
              </w:rPr>
              <w:t>55/2</w:t>
            </w:r>
          </w:p>
        </w:tc>
        <w:tc>
          <w:tcPr>
            <w:tcW w:type="dxa" w:w="993"/>
            <w:tcBorders>
              <w:top w:color="000000" w:sz="4" w:val="single"/>
              <w:left w:color="000000" w:sz="4" w:val="single"/>
              <w:bottom w:color="000000" w:sz="4" w:val="single"/>
              <w:right w:color="000000" w:sz="4" w:val="single"/>
            </w:tcBorders>
            <w:shd w:fill="FFFFFF" w:val="clear"/>
            <w:vAlign w:val="center"/>
          </w:tcPr>
          <w:p w14:paraId="61360000">
            <w:pPr>
              <w:widowControl w:val="1"/>
              <w:ind/>
              <w:jc w:val="center"/>
              <w:rPr>
                <w:sz w:val="18"/>
              </w:rPr>
            </w:pPr>
            <w:r>
              <w:rPr>
                <w:sz w:val="18"/>
              </w:rPr>
              <w:t>поставка термометров</w:t>
            </w:r>
          </w:p>
        </w:tc>
        <w:tc>
          <w:tcPr>
            <w:tcW w:type="dxa" w:w="849"/>
            <w:tcBorders>
              <w:top w:color="000000" w:sz="4" w:val="single"/>
              <w:left w:color="000000" w:sz="4" w:val="single"/>
              <w:bottom w:color="000000" w:sz="4" w:val="single"/>
              <w:right w:color="000000" w:sz="4" w:val="single"/>
            </w:tcBorders>
            <w:shd w:fill="FFFFFF" w:val="clear"/>
            <w:vAlign w:val="center"/>
          </w:tcPr>
          <w:p w14:paraId="6236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63360000">
            <w:pPr>
              <w:widowControl w:val="1"/>
              <w:ind/>
              <w:jc w:val="center"/>
              <w:rPr>
                <w:sz w:val="18"/>
              </w:rPr>
            </w:pPr>
            <w:r>
              <w:rPr>
                <w:sz w:val="18"/>
              </w:rPr>
              <w:t>14</w:t>
            </w:r>
          </w:p>
        </w:tc>
        <w:tc>
          <w:tcPr>
            <w:tcW w:type="dxa" w:w="991"/>
            <w:tcBorders>
              <w:top w:color="000000" w:sz="4" w:val="single"/>
              <w:left w:color="000000" w:sz="4" w:val="single"/>
              <w:bottom w:color="000000" w:sz="4" w:val="single"/>
              <w:right w:color="000000" w:sz="4" w:val="single"/>
            </w:tcBorders>
            <w:shd w:fill="FFFFFF" w:val="clear"/>
            <w:vAlign w:val="center"/>
          </w:tcPr>
          <w:p w14:paraId="64360000">
            <w:pPr>
              <w:widowControl w:val="1"/>
              <w:ind/>
              <w:jc w:val="center"/>
              <w:rPr>
                <w:sz w:val="18"/>
              </w:rPr>
            </w:pPr>
            <w:r>
              <w:rPr>
                <w:sz w:val="18"/>
              </w:rPr>
              <w:t>4200,00</w:t>
            </w:r>
          </w:p>
        </w:tc>
        <w:tc>
          <w:tcPr>
            <w:tcW w:type="dxa" w:w="1134"/>
            <w:tcBorders>
              <w:top w:color="000000" w:sz="4" w:val="single"/>
              <w:left w:color="000000" w:sz="4" w:val="single"/>
              <w:bottom w:color="000000" w:sz="4" w:val="single"/>
              <w:right w:color="000000" w:sz="4" w:val="single"/>
            </w:tcBorders>
            <w:shd w:fill="FFFFFF" w:val="clear"/>
            <w:vAlign w:val="center"/>
          </w:tcPr>
          <w:p w14:paraId="65360000">
            <w:pPr>
              <w:widowControl w:val="1"/>
              <w:ind/>
              <w:jc w:val="center"/>
              <w:rPr>
                <w:sz w:val="18"/>
              </w:rPr>
            </w:pPr>
            <w:r>
              <w:rPr>
                <w:sz w:val="18"/>
              </w:rPr>
              <w:t>4200,00</w:t>
            </w:r>
          </w:p>
        </w:tc>
        <w:tc>
          <w:tcPr>
            <w:tcW w:type="dxa" w:w="993"/>
            <w:tcBorders>
              <w:top w:color="000000" w:sz="4" w:val="single"/>
              <w:left w:color="000000" w:sz="4" w:val="single"/>
              <w:bottom w:color="000000" w:sz="4" w:val="single"/>
              <w:right w:color="000000" w:sz="4" w:val="single"/>
            </w:tcBorders>
            <w:shd w:fill="FFFFFF" w:val="clear"/>
            <w:vAlign w:val="center"/>
          </w:tcPr>
          <w:p w14:paraId="6636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67360000">
            <w:pPr>
              <w:widowControl w:val="1"/>
              <w:ind/>
              <w:jc w:val="center"/>
              <w:rPr>
                <w:sz w:val="18"/>
              </w:rPr>
            </w:pPr>
            <w:r>
              <w:rPr>
                <w:sz w:val="18"/>
              </w:rPr>
              <w:t>февраль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6836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6936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6A360000">
            <w:pPr>
              <w:widowControl w:val="1"/>
              <w:ind/>
              <w:jc w:val="center"/>
              <w:rPr>
                <w:sz w:val="18"/>
              </w:rPr>
            </w:pPr>
            <w:r>
              <w:rPr>
                <w:sz w:val="18"/>
              </w:rPr>
              <w:t>14</w:t>
            </w:r>
          </w:p>
        </w:tc>
        <w:tc>
          <w:tcPr>
            <w:tcW w:type="dxa" w:w="1169"/>
            <w:tcBorders>
              <w:top w:color="000000" w:sz="4" w:val="single"/>
              <w:left w:color="000000" w:sz="4" w:val="single"/>
              <w:bottom w:color="000000" w:sz="4" w:val="single"/>
              <w:right w:color="000000" w:sz="4" w:val="single"/>
            </w:tcBorders>
            <w:shd w:fill="FFFFFF" w:val="clear"/>
            <w:vAlign w:val="center"/>
          </w:tcPr>
          <w:p w14:paraId="6B360000">
            <w:pPr>
              <w:widowControl w:val="1"/>
              <w:ind/>
              <w:jc w:val="center"/>
              <w:rPr>
                <w:sz w:val="18"/>
              </w:rPr>
            </w:pPr>
            <w:r>
              <w:rPr>
                <w:sz w:val="18"/>
              </w:rPr>
              <w:t>4200,00</w:t>
            </w:r>
          </w:p>
        </w:tc>
        <w:tc>
          <w:tcPr>
            <w:tcW w:type="dxa" w:w="1185"/>
            <w:tcBorders>
              <w:top w:color="000000" w:sz="4" w:val="single"/>
              <w:left w:color="000000" w:sz="4" w:val="single"/>
              <w:bottom w:color="000000" w:sz="4" w:val="single"/>
              <w:right w:color="000000" w:sz="4" w:val="single"/>
            </w:tcBorders>
            <w:shd w:fill="FFFFFF" w:val="clear"/>
            <w:vAlign w:val="center"/>
          </w:tcPr>
          <w:p w14:paraId="6C360000">
            <w:pPr>
              <w:widowControl w:val="1"/>
              <w:ind/>
              <w:jc w:val="center"/>
              <w:rPr>
                <w:sz w:val="18"/>
              </w:rPr>
            </w:pPr>
            <w:r>
              <w:rPr>
                <w:sz w:val="18"/>
              </w:rPr>
              <w:t>4200,00</w:t>
            </w:r>
          </w:p>
        </w:tc>
        <w:tc>
          <w:tcPr>
            <w:tcW w:type="dxa" w:w="1083"/>
            <w:tcBorders>
              <w:top w:color="000000" w:sz="4" w:val="single"/>
              <w:left w:color="000000" w:sz="4" w:val="single"/>
              <w:bottom w:color="000000" w:sz="4" w:val="single"/>
              <w:right w:color="000000" w:sz="4" w:val="single"/>
            </w:tcBorders>
            <w:shd w:fill="FFFFFF" w:val="clear"/>
            <w:vAlign w:val="center"/>
          </w:tcPr>
          <w:p w14:paraId="6D360000">
            <w:pPr>
              <w:widowControl w:val="1"/>
              <w:ind/>
              <w:jc w:val="center"/>
              <w:rPr>
                <w:sz w:val="18"/>
              </w:rPr>
            </w:pPr>
            <w:r>
              <w:rPr>
                <w:sz w:val="18"/>
              </w:rPr>
              <w:t>4200,00</w:t>
            </w:r>
          </w:p>
        </w:tc>
        <w:tc>
          <w:tcPr>
            <w:tcW w:type="dxa" w:w="771"/>
            <w:tcBorders>
              <w:top w:color="000000" w:sz="4" w:val="single"/>
              <w:left w:color="000000" w:sz="4" w:val="single"/>
              <w:bottom w:color="000000" w:sz="4" w:val="single"/>
              <w:right w:color="000000" w:sz="4" w:val="single"/>
            </w:tcBorders>
            <w:shd w:fill="FFFFFF" w:val="clear"/>
            <w:vAlign w:val="center"/>
          </w:tcPr>
          <w:p w14:paraId="6E36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6F360000">
            <w:pPr>
              <w:widowControl w:val="1"/>
              <w:ind/>
              <w:jc w:val="center"/>
              <w:rPr>
                <w:sz w:val="18"/>
              </w:rPr>
            </w:pPr>
            <w:r>
              <w:rPr>
                <w:sz w:val="18"/>
              </w:rPr>
              <w:t>февраль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70360000">
            <w:pPr>
              <w:widowControl w:val="1"/>
              <w:ind/>
              <w:jc w:val="center"/>
              <w:rPr>
                <w:sz w:val="18"/>
              </w:rPr>
            </w:pPr>
            <w:r>
              <w:rPr>
                <w:sz w:val="18"/>
              </w:rPr>
              <w:t>счет № 44 от 06.02.2018</w:t>
            </w:r>
          </w:p>
        </w:tc>
      </w:tr>
      <w:tr>
        <w:trPr>
          <w:trHeight w:hRule="atLeast" w:val="2550"/>
        </w:trPr>
        <w:tc>
          <w:tcPr>
            <w:tcW w:type="dxa" w:w="708"/>
            <w:tcBorders>
              <w:top w:color="000000" w:sz="4" w:val="single"/>
              <w:left w:color="000000" w:sz="4" w:val="single"/>
              <w:bottom w:color="000000" w:sz="4" w:val="single"/>
              <w:right w:color="000000" w:sz="4" w:val="single"/>
            </w:tcBorders>
            <w:shd w:fill="auto" w:val="clear"/>
            <w:vAlign w:val="center"/>
          </w:tcPr>
          <w:p w14:paraId="71360000">
            <w:pPr>
              <w:widowControl w:val="1"/>
              <w:ind/>
              <w:jc w:val="center"/>
              <w:rPr>
                <w:color w:val="000000"/>
                <w:sz w:val="18"/>
              </w:rPr>
            </w:pPr>
            <w:r>
              <w:rPr>
                <w:color w:val="000000"/>
                <w:sz w:val="18"/>
              </w:rPr>
              <w:t>134</w:t>
            </w:r>
          </w:p>
        </w:tc>
        <w:tc>
          <w:tcPr>
            <w:tcW w:type="dxa" w:w="618"/>
            <w:tcBorders>
              <w:top w:color="000000" w:sz="4" w:val="single"/>
              <w:left w:color="000000" w:sz="4" w:val="single"/>
              <w:bottom w:color="000000" w:sz="4" w:val="single"/>
              <w:right w:color="000000" w:sz="4" w:val="single"/>
            </w:tcBorders>
            <w:shd w:fill="FFFFFF" w:val="clear"/>
            <w:vAlign w:val="center"/>
          </w:tcPr>
          <w:p w14:paraId="72360000">
            <w:pPr>
              <w:widowControl w:val="1"/>
              <w:ind/>
              <w:jc w:val="center"/>
              <w:rPr>
                <w:sz w:val="18"/>
              </w:rPr>
            </w:pPr>
            <w:r>
              <w:rPr>
                <w:sz w:val="18"/>
              </w:rPr>
              <w:t>56/2</w:t>
            </w:r>
          </w:p>
        </w:tc>
        <w:tc>
          <w:tcPr>
            <w:tcW w:type="dxa" w:w="993"/>
            <w:tcBorders>
              <w:top w:color="000000" w:sz="4" w:val="single"/>
              <w:left w:color="000000" w:sz="4" w:val="single"/>
              <w:bottom w:color="000000" w:sz="4" w:val="single"/>
              <w:right w:color="000000" w:sz="4" w:val="single"/>
            </w:tcBorders>
            <w:shd w:fill="FFFFFF" w:val="clear"/>
            <w:vAlign w:val="center"/>
          </w:tcPr>
          <w:p w14:paraId="73360000">
            <w:pPr>
              <w:widowControl w:val="1"/>
              <w:ind/>
              <w:jc w:val="center"/>
              <w:rPr>
                <w:sz w:val="18"/>
              </w:rPr>
            </w:pPr>
            <w:r>
              <w:rPr>
                <w:sz w:val="18"/>
              </w:rPr>
              <w:t>оказание услуг по повышению квалификации на тему "Правовое регулирование рабочего времени отдыха и оплаты труда"</w:t>
            </w:r>
          </w:p>
        </w:tc>
        <w:tc>
          <w:tcPr>
            <w:tcW w:type="dxa" w:w="849"/>
            <w:tcBorders>
              <w:top w:color="000000" w:sz="4" w:val="single"/>
              <w:left w:color="000000" w:sz="4" w:val="single"/>
              <w:bottom w:color="000000" w:sz="4" w:val="single"/>
              <w:right w:color="000000" w:sz="4" w:val="single"/>
            </w:tcBorders>
            <w:shd w:fill="FFFFFF" w:val="clear"/>
            <w:vAlign w:val="center"/>
          </w:tcPr>
          <w:p w14:paraId="7436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7536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76360000">
            <w:pPr>
              <w:widowControl w:val="1"/>
              <w:ind/>
              <w:jc w:val="center"/>
              <w:rPr>
                <w:sz w:val="18"/>
              </w:rPr>
            </w:pPr>
            <w:r>
              <w:rPr>
                <w:sz w:val="18"/>
              </w:rPr>
              <w:t>24320,00</w:t>
            </w:r>
          </w:p>
        </w:tc>
        <w:tc>
          <w:tcPr>
            <w:tcW w:type="dxa" w:w="1134"/>
            <w:tcBorders>
              <w:top w:color="000000" w:sz="4" w:val="single"/>
              <w:left w:color="000000" w:sz="4" w:val="single"/>
              <w:bottom w:color="000000" w:sz="4" w:val="single"/>
              <w:right w:color="000000" w:sz="4" w:val="single"/>
            </w:tcBorders>
            <w:shd w:fill="FFFFFF" w:val="clear"/>
            <w:vAlign w:val="center"/>
          </w:tcPr>
          <w:p w14:paraId="77360000">
            <w:pPr>
              <w:widowControl w:val="1"/>
              <w:ind/>
              <w:jc w:val="center"/>
              <w:rPr>
                <w:sz w:val="18"/>
              </w:rPr>
            </w:pPr>
            <w:r>
              <w:rPr>
                <w:sz w:val="18"/>
              </w:rPr>
              <w:t>24320,00</w:t>
            </w:r>
          </w:p>
        </w:tc>
        <w:tc>
          <w:tcPr>
            <w:tcW w:type="dxa" w:w="993"/>
            <w:tcBorders>
              <w:top w:color="000000" w:sz="4" w:val="single"/>
              <w:left w:color="000000" w:sz="4" w:val="single"/>
              <w:bottom w:color="000000" w:sz="4" w:val="single"/>
              <w:right w:color="000000" w:sz="4" w:val="single"/>
            </w:tcBorders>
            <w:shd w:fill="FFFFFF" w:val="clear"/>
            <w:vAlign w:val="center"/>
          </w:tcPr>
          <w:p w14:paraId="78360000">
            <w:pPr>
              <w:widowControl w:val="1"/>
              <w:ind/>
              <w:jc w:val="center"/>
              <w:rPr>
                <w:sz w:val="18"/>
              </w:rPr>
            </w:pPr>
            <w:r>
              <w:rPr>
                <w:sz w:val="18"/>
              </w:rPr>
              <w:t>февраль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79360000">
            <w:pPr>
              <w:widowControl w:val="1"/>
              <w:ind/>
              <w:jc w:val="center"/>
              <w:rPr>
                <w:sz w:val="18"/>
              </w:rPr>
            </w:pPr>
            <w:r>
              <w:rPr>
                <w:sz w:val="18"/>
              </w:rPr>
              <w:t>февраль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7A36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7B36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7C36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7D360000">
            <w:pPr>
              <w:widowControl w:val="1"/>
              <w:ind/>
              <w:jc w:val="center"/>
              <w:rPr>
                <w:sz w:val="18"/>
              </w:rPr>
            </w:pPr>
            <w:r>
              <w:rPr>
                <w:sz w:val="18"/>
              </w:rPr>
              <w:t>24320,00</w:t>
            </w:r>
          </w:p>
        </w:tc>
        <w:tc>
          <w:tcPr>
            <w:tcW w:type="dxa" w:w="1185"/>
            <w:tcBorders>
              <w:top w:color="000000" w:sz="4" w:val="single"/>
              <w:left w:color="000000" w:sz="4" w:val="single"/>
              <w:bottom w:color="000000" w:sz="4" w:val="single"/>
              <w:right w:color="000000" w:sz="4" w:val="single"/>
            </w:tcBorders>
            <w:shd w:fill="FFFFFF" w:val="clear"/>
            <w:vAlign w:val="center"/>
          </w:tcPr>
          <w:p w14:paraId="7E360000">
            <w:pPr>
              <w:widowControl w:val="1"/>
              <w:ind/>
              <w:jc w:val="center"/>
              <w:rPr>
                <w:sz w:val="18"/>
              </w:rPr>
            </w:pPr>
            <w:r>
              <w:rPr>
                <w:sz w:val="18"/>
              </w:rPr>
              <w:t>24320,00</w:t>
            </w:r>
          </w:p>
        </w:tc>
        <w:tc>
          <w:tcPr>
            <w:tcW w:type="dxa" w:w="1083"/>
            <w:tcBorders>
              <w:top w:color="000000" w:sz="4" w:val="single"/>
              <w:left w:color="000000" w:sz="4" w:val="single"/>
              <w:bottom w:color="000000" w:sz="4" w:val="single"/>
              <w:right w:color="000000" w:sz="4" w:val="single"/>
            </w:tcBorders>
            <w:shd w:fill="FFFFFF" w:val="clear"/>
            <w:vAlign w:val="center"/>
          </w:tcPr>
          <w:p w14:paraId="7F360000">
            <w:pPr>
              <w:widowControl w:val="1"/>
              <w:ind/>
              <w:jc w:val="center"/>
              <w:rPr>
                <w:sz w:val="18"/>
              </w:rPr>
            </w:pPr>
            <w:r>
              <w:rPr>
                <w:sz w:val="18"/>
              </w:rPr>
              <w:t>24320,00</w:t>
            </w:r>
          </w:p>
        </w:tc>
        <w:tc>
          <w:tcPr>
            <w:tcW w:type="dxa" w:w="771"/>
            <w:tcBorders>
              <w:top w:color="000000" w:sz="4" w:val="single"/>
              <w:left w:color="000000" w:sz="4" w:val="single"/>
              <w:bottom w:color="000000" w:sz="4" w:val="single"/>
              <w:right w:color="000000" w:sz="4" w:val="single"/>
            </w:tcBorders>
            <w:shd w:fill="FFFFFF" w:val="clear"/>
            <w:vAlign w:val="center"/>
          </w:tcPr>
          <w:p w14:paraId="80360000">
            <w:pPr>
              <w:widowControl w:val="1"/>
              <w:ind/>
              <w:jc w:val="center"/>
              <w:rPr>
                <w:sz w:val="18"/>
              </w:rPr>
            </w:pPr>
            <w:r>
              <w:rPr>
                <w:sz w:val="18"/>
              </w:rPr>
              <w:t>февраль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81360000">
            <w:pPr>
              <w:widowControl w:val="1"/>
              <w:ind/>
              <w:jc w:val="center"/>
              <w:rPr>
                <w:sz w:val="18"/>
              </w:rPr>
            </w:pPr>
            <w:r>
              <w:rPr>
                <w:sz w:val="18"/>
              </w:rPr>
              <w:t>февраль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82360000">
            <w:pPr>
              <w:widowControl w:val="1"/>
              <w:ind/>
              <w:jc w:val="center"/>
              <w:rPr>
                <w:sz w:val="18"/>
              </w:rPr>
            </w:pPr>
            <w:r>
              <w:rPr>
                <w:sz w:val="18"/>
              </w:rPr>
              <w:t>счет № 895 от 06.02.2018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83360000">
            <w:pPr>
              <w:widowControl w:val="1"/>
              <w:ind/>
              <w:jc w:val="center"/>
              <w:rPr>
                <w:color w:val="000000"/>
                <w:sz w:val="18"/>
              </w:rPr>
            </w:pPr>
            <w:r>
              <w:rPr>
                <w:color w:val="000000"/>
                <w:sz w:val="18"/>
              </w:rPr>
              <w:t>135</w:t>
            </w:r>
          </w:p>
        </w:tc>
        <w:tc>
          <w:tcPr>
            <w:tcW w:type="dxa" w:w="618"/>
            <w:tcBorders>
              <w:top w:color="000000" w:sz="4" w:val="single"/>
              <w:left w:color="000000" w:sz="4" w:val="single"/>
              <w:bottom w:color="000000" w:sz="4" w:val="single"/>
              <w:right w:color="000000" w:sz="4" w:val="single"/>
            </w:tcBorders>
            <w:shd w:fill="FFFFFF" w:val="clear"/>
            <w:vAlign w:val="center"/>
          </w:tcPr>
          <w:p w14:paraId="84360000">
            <w:pPr>
              <w:widowControl w:val="1"/>
              <w:ind/>
              <w:jc w:val="center"/>
              <w:rPr>
                <w:sz w:val="18"/>
              </w:rPr>
            </w:pPr>
            <w:r>
              <w:rPr>
                <w:sz w:val="18"/>
              </w:rPr>
              <w:t>58/2</w:t>
            </w:r>
          </w:p>
        </w:tc>
        <w:tc>
          <w:tcPr>
            <w:tcW w:type="dxa" w:w="993"/>
            <w:tcBorders>
              <w:top w:color="000000" w:sz="4" w:val="single"/>
              <w:left w:color="000000" w:sz="4" w:val="single"/>
              <w:bottom w:color="000000" w:sz="4" w:val="single"/>
              <w:right w:color="000000" w:sz="4" w:val="single"/>
            </w:tcBorders>
            <w:shd w:fill="FFFFFF" w:val="clear"/>
            <w:vAlign w:val="center"/>
          </w:tcPr>
          <w:p w14:paraId="85360000">
            <w:pPr>
              <w:widowControl w:val="1"/>
              <w:ind/>
              <w:jc w:val="center"/>
              <w:rPr>
                <w:color w:val="000000"/>
                <w:sz w:val="18"/>
              </w:rPr>
            </w:pPr>
            <w:r>
              <w:rPr>
                <w:color w:val="000000"/>
                <w:sz w:val="18"/>
              </w:rPr>
              <w:t>оказание услуг о продлении   доменного имени kraspg.ru</w:t>
            </w:r>
          </w:p>
        </w:tc>
        <w:tc>
          <w:tcPr>
            <w:tcW w:type="dxa" w:w="849"/>
            <w:tcBorders>
              <w:top w:color="000000" w:sz="4" w:val="single"/>
              <w:left w:color="000000" w:sz="4" w:val="single"/>
              <w:bottom w:color="000000" w:sz="4" w:val="single"/>
              <w:right w:color="000000" w:sz="4" w:val="single"/>
            </w:tcBorders>
            <w:shd w:fill="FFFFFF" w:val="clear"/>
            <w:vAlign w:val="center"/>
          </w:tcPr>
          <w:p w14:paraId="8636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8736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88360000">
            <w:pPr>
              <w:widowControl w:val="1"/>
              <w:ind/>
              <w:jc w:val="center"/>
              <w:rPr>
                <w:sz w:val="18"/>
              </w:rPr>
            </w:pPr>
            <w:r>
              <w:rPr>
                <w:sz w:val="18"/>
              </w:rPr>
              <w:t>890,00</w:t>
            </w:r>
          </w:p>
        </w:tc>
        <w:tc>
          <w:tcPr>
            <w:tcW w:type="dxa" w:w="1134"/>
            <w:tcBorders>
              <w:top w:color="000000" w:sz="4" w:val="single"/>
              <w:left w:color="000000" w:sz="4" w:val="single"/>
              <w:bottom w:color="000000" w:sz="4" w:val="single"/>
              <w:right w:color="000000" w:sz="4" w:val="single"/>
            </w:tcBorders>
            <w:shd w:fill="FFFFFF" w:val="clear"/>
            <w:vAlign w:val="center"/>
          </w:tcPr>
          <w:p w14:paraId="89360000">
            <w:pPr>
              <w:widowControl w:val="1"/>
              <w:ind/>
              <w:jc w:val="center"/>
              <w:rPr>
                <w:sz w:val="18"/>
              </w:rPr>
            </w:pPr>
            <w:r>
              <w:rPr>
                <w:sz w:val="18"/>
              </w:rPr>
              <w:t>890,00</w:t>
            </w:r>
          </w:p>
        </w:tc>
        <w:tc>
          <w:tcPr>
            <w:tcW w:type="dxa" w:w="993"/>
            <w:tcBorders>
              <w:top w:color="000000" w:sz="4" w:val="single"/>
              <w:left w:color="000000" w:sz="4" w:val="single"/>
              <w:bottom w:color="000000" w:sz="4" w:val="single"/>
              <w:right w:color="000000" w:sz="4" w:val="single"/>
            </w:tcBorders>
            <w:shd w:fill="FFFFFF" w:val="clear"/>
            <w:vAlign w:val="center"/>
          </w:tcPr>
          <w:p w14:paraId="8A36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8B360000">
            <w:pPr>
              <w:widowControl w:val="1"/>
              <w:ind/>
              <w:jc w:val="center"/>
              <w:rPr>
                <w:sz w:val="18"/>
              </w:rPr>
            </w:pPr>
            <w:r>
              <w:rPr>
                <w:sz w:val="18"/>
              </w:rPr>
              <w:t>апрель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8C36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8D36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8E36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8F360000">
            <w:pPr>
              <w:widowControl w:val="1"/>
              <w:ind/>
              <w:jc w:val="center"/>
              <w:rPr>
                <w:sz w:val="18"/>
              </w:rPr>
            </w:pPr>
            <w:r>
              <w:rPr>
                <w:sz w:val="18"/>
              </w:rPr>
              <w:t>890,00</w:t>
            </w:r>
          </w:p>
        </w:tc>
        <w:tc>
          <w:tcPr>
            <w:tcW w:type="dxa" w:w="1185"/>
            <w:tcBorders>
              <w:top w:color="000000" w:sz="4" w:val="single"/>
              <w:left w:color="000000" w:sz="4" w:val="single"/>
              <w:bottom w:color="000000" w:sz="4" w:val="single"/>
              <w:right w:color="000000" w:sz="4" w:val="single"/>
            </w:tcBorders>
            <w:shd w:fill="FFFFFF" w:val="clear"/>
            <w:vAlign w:val="center"/>
          </w:tcPr>
          <w:p w14:paraId="90360000">
            <w:pPr>
              <w:widowControl w:val="1"/>
              <w:ind/>
              <w:jc w:val="center"/>
              <w:rPr>
                <w:sz w:val="18"/>
              </w:rPr>
            </w:pPr>
            <w:r>
              <w:rPr>
                <w:sz w:val="18"/>
              </w:rPr>
              <w:t>890,00</w:t>
            </w:r>
          </w:p>
        </w:tc>
        <w:tc>
          <w:tcPr>
            <w:tcW w:type="dxa" w:w="1083"/>
            <w:tcBorders>
              <w:top w:color="000000" w:sz="4" w:val="single"/>
              <w:left w:color="000000" w:sz="4" w:val="single"/>
              <w:bottom w:color="000000" w:sz="4" w:val="single"/>
              <w:right w:color="000000" w:sz="4" w:val="single"/>
            </w:tcBorders>
            <w:shd w:fill="FFFFFF" w:val="clear"/>
            <w:vAlign w:val="center"/>
          </w:tcPr>
          <w:p w14:paraId="91360000">
            <w:pPr>
              <w:widowControl w:val="1"/>
              <w:ind/>
              <w:jc w:val="center"/>
              <w:rPr>
                <w:sz w:val="18"/>
              </w:rPr>
            </w:pPr>
            <w:r>
              <w:rPr>
                <w:sz w:val="18"/>
              </w:rPr>
              <w:t>890,00</w:t>
            </w:r>
          </w:p>
        </w:tc>
        <w:tc>
          <w:tcPr>
            <w:tcW w:type="dxa" w:w="771"/>
            <w:tcBorders>
              <w:top w:color="000000" w:sz="4" w:val="single"/>
              <w:left w:color="000000" w:sz="4" w:val="single"/>
              <w:bottom w:color="000000" w:sz="4" w:val="single"/>
              <w:right w:color="000000" w:sz="4" w:val="single"/>
            </w:tcBorders>
            <w:shd w:fill="FFFFFF" w:val="clear"/>
            <w:vAlign w:val="center"/>
          </w:tcPr>
          <w:p w14:paraId="9236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93360000">
            <w:pPr>
              <w:widowControl w:val="1"/>
              <w:ind/>
              <w:jc w:val="center"/>
              <w:rPr>
                <w:sz w:val="18"/>
              </w:rPr>
            </w:pPr>
            <w:r>
              <w:rPr>
                <w:sz w:val="18"/>
              </w:rPr>
              <w:t>апрель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94360000">
            <w:pPr>
              <w:widowControl w:val="1"/>
              <w:ind/>
              <w:jc w:val="center"/>
              <w:rPr>
                <w:sz w:val="18"/>
              </w:rPr>
            </w:pPr>
            <w:r>
              <w:rPr>
                <w:sz w:val="18"/>
              </w:rPr>
              <w:t>счет № 2850292-352506/NIC-D от 06.03.2018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95360000">
            <w:pPr>
              <w:widowControl w:val="1"/>
              <w:ind/>
              <w:jc w:val="center"/>
              <w:rPr>
                <w:color w:val="000000"/>
                <w:sz w:val="18"/>
              </w:rPr>
            </w:pPr>
            <w:r>
              <w:rPr>
                <w:color w:val="000000"/>
                <w:sz w:val="18"/>
              </w:rPr>
              <w:t>136</w:t>
            </w:r>
          </w:p>
        </w:tc>
        <w:tc>
          <w:tcPr>
            <w:tcW w:type="dxa" w:w="618"/>
            <w:tcBorders>
              <w:top w:color="000000" w:sz="4" w:val="single"/>
              <w:left w:color="000000" w:sz="4" w:val="single"/>
              <w:bottom w:color="000000" w:sz="4" w:val="single"/>
              <w:right w:color="000000" w:sz="4" w:val="single"/>
            </w:tcBorders>
            <w:shd w:fill="FFFFFF" w:val="clear"/>
            <w:vAlign w:val="center"/>
          </w:tcPr>
          <w:p w14:paraId="96360000">
            <w:pPr>
              <w:widowControl w:val="1"/>
              <w:ind/>
              <w:jc w:val="center"/>
              <w:rPr>
                <w:sz w:val="18"/>
              </w:rPr>
            </w:pPr>
            <w:r>
              <w:rPr>
                <w:sz w:val="18"/>
              </w:rPr>
              <w:t>59/2</w:t>
            </w:r>
          </w:p>
        </w:tc>
        <w:tc>
          <w:tcPr>
            <w:tcW w:type="dxa" w:w="993"/>
            <w:tcBorders>
              <w:top w:color="000000" w:sz="4" w:val="single"/>
              <w:left w:color="000000" w:sz="4" w:val="single"/>
              <w:bottom w:color="000000" w:sz="4" w:val="single"/>
              <w:right w:color="000000" w:sz="4" w:val="single"/>
            </w:tcBorders>
            <w:shd w:fill="FFFFFF" w:val="clear"/>
            <w:vAlign w:val="center"/>
          </w:tcPr>
          <w:p w14:paraId="97360000">
            <w:pPr>
              <w:widowControl w:val="1"/>
              <w:ind/>
              <w:jc w:val="center"/>
              <w:rPr>
                <w:sz w:val="18"/>
              </w:rPr>
            </w:pPr>
            <w:r>
              <w:rPr>
                <w:sz w:val="18"/>
              </w:rPr>
              <w:t>оказание услуг по перепрошивке ККТ</w:t>
            </w:r>
          </w:p>
        </w:tc>
        <w:tc>
          <w:tcPr>
            <w:tcW w:type="dxa" w:w="849"/>
            <w:tcBorders>
              <w:top w:color="000000" w:sz="4" w:val="single"/>
              <w:left w:color="000000" w:sz="4" w:val="single"/>
              <w:bottom w:color="000000" w:sz="4" w:val="single"/>
              <w:right w:color="000000" w:sz="4" w:val="single"/>
            </w:tcBorders>
            <w:shd w:fill="FFFFFF" w:val="clear"/>
            <w:vAlign w:val="center"/>
          </w:tcPr>
          <w:p w14:paraId="9836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9936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9A360000">
            <w:pPr>
              <w:widowControl w:val="1"/>
              <w:ind/>
              <w:jc w:val="center"/>
              <w:rPr>
                <w:sz w:val="18"/>
              </w:rPr>
            </w:pPr>
            <w:r>
              <w:rPr>
                <w:sz w:val="18"/>
              </w:rPr>
              <w:t>800,00</w:t>
            </w:r>
          </w:p>
        </w:tc>
        <w:tc>
          <w:tcPr>
            <w:tcW w:type="dxa" w:w="1134"/>
            <w:tcBorders>
              <w:top w:color="000000" w:sz="4" w:val="single"/>
              <w:left w:color="000000" w:sz="4" w:val="single"/>
              <w:bottom w:color="000000" w:sz="4" w:val="single"/>
              <w:right w:color="000000" w:sz="4" w:val="single"/>
            </w:tcBorders>
            <w:shd w:fill="FFFFFF" w:val="clear"/>
            <w:vAlign w:val="center"/>
          </w:tcPr>
          <w:p w14:paraId="9B360000">
            <w:pPr>
              <w:widowControl w:val="1"/>
              <w:ind/>
              <w:jc w:val="center"/>
              <w:rPr>
                <w:sz w:val="18"/>
              </w:rPr>
            </w:pPr>
            <w:r>
              <w:rPr>
                <w:sz w:val="18"/>
              </w:rPr>
              <w:t>800,00</w:t>
            </w:r>
          </w:p>
        </w:tc>
        <w:tc>
          <w:tcPr>
            <w:tcW w:type="dxa" w:w="993"/>
            <w:tcBorders>
              <w:top w:color="000000" w:sz="4" w:val="single"/>
              <w:left w:color="000000" w:sz="4" w:val="single"/>
              <w:bottom w:color="000000" w:sz="4" w:val="single"/>
              <w:right w:color="000000" w:sz="4" w:val="single"/>
            </w:tcBorders>
            <w:shd w:fill="FFFFFF" w:val="clear"/>
            <w:vAlign w:val="center"/>
          </w:tcPr>
          <w:p w14:paraId="9C36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D360000">
            <w:pPr>
              <w:widowControl w:val="1"/>
              <w:ind/>
              <w:jc w:val="center"/>
              <w:rPr>
                <w:sz w:val="18"/>
              </w:rPr>
            </w:pPr>
            <w:r>
              <w:rPr>
                <w:sz w:val="18"/>
              </w:rPr>
              <w:t>апрель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9E36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9F36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A036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A1360000">
            <w:pPr>
              <w:widowControl w:val="1"/>
              <w:ind/>
              <w:jc w:val="center"/>
              <w:rPr>
                <w:sz w:val="18"/>
              </w:rPr>
            </w:pPr>
            <w:r>
              <w:rPr>
                <w:sz w:val="18"/>
              </w:rPr>
              <w:t>800,00</w:t>
            </w:r>
          </w:p>
        </w:tc>
        <w:tc>
          <w:tcPr>
            <w:tcW w:type="dxa" w:w="1185"/>
            <w:tcBorders>
              <w:top w:color="000000" w:sz="4" w:val="single"/>
              <w:left w:color="000000" w:sz="4" w:val="single"/>
              <w:bottom w:color="000000" w:sz="4" w:val="single"/>
              <w:right w:color="000000" w:sz="4" w:val="single"/>
            </w:tcBorders>
            <w:shd w:fill="FFFFFF" w:val="clear"/>
            <w:vAlign w:val="center"/>
          </w:tcPr>
          <w:p w14:paraId="A2360000">
            <w:pPr>
              <w:widowControl w:val="1"/>
              <w:ind/>
              <w:jc w:val="center"/>
              <w:rPr>
                <w:sz w:val="18"/>
              </w:rPr>
            </w:pPr>
            <w:r>
              <w:rPr>
                <w:sz w:val="18"/>
              </w:rPr>
              <w:t>800,00</w:t>
            </w:r>
          </w:p>
        </w:tc>
        <w:tc>
          <w:tcPr>
            <w:tcW w:type="dxa" w:w="1083"/>
            <w:tcBorders>
              <w:top w:color="000000" w:sz="4" w:val="single"/>
              <w:left w:color="000000" w:sz="4" w:val="single"/>
              <w:bottom w:color="000000" w:sz="4" w:val="single"/>
              <w:right w:color="000000" w:sz="4" w:val="single"/>
            </w:tcBorders>
            <w:shd w:fill="FFFFFF" w:val="clear"/>
            <w:vAlign w:val="center"/>
          </w:tcPr>
          <w:p w14:paraId="A3360000">
            <w:pPr>
              <w:widowControl w:val="1"/>
              <w:ind/>
              <w:jc w:val="center"/>
              <w:rPr>
                <w:sz w:val="18"/>
              </w:rPr>
            </w:pPr>
            <w:r>
              <w:rPr>
                <w:sz w:val="18"/>
              </w:rPr>
              <w:t>800,00</w:t>
            </w:r>
          </w:p>
        </w:tc>
        <w:tc>
          <w:tcPr>
            <w:tcW w:type="dxa" w:w="771"/>
            <w:tcBorders>
              <w:top w:color="000000" w:sz="4" w:val="single"/>
              <w:left w:color="000000" w:sz="4" w:val="single"/>
              <w:bottom w:color="000000" w:sz="4" w:val="single"/>
              <w:right w:color="000000" w:sz="4" w:val="single"/>
            </w:tcBorders>
            <w:shd w:fill="FFFFFF" w:val="clear"/>
            <w:vAlign w:val="center"/>
          </w:tcPr>
          <w:p w14:paraId="A436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A5360000">
            <w:pPr>
              <w:widowControl w:val="1"/>
              <w:ind/>
              <w:jc w:val="center"/>
              <w:rPr>
                <w:sz w:val="18"/>
              </w:rPr>
            </w:pPr>
            <w:r>
              <w:rPr>
                <w:sz w:val="18"/>
              </w:rPr>
              <w:t>апрель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A6360000">
            <w:pPr>
              <w:widowControl w:val="1"/>
              <w:ind/>
              <w:jc w:val="center"/>
              <w:rPr>
                <w:sz w:val="18"/>
              </w:rPr>
            </w:pPr>
            <w:r>
              <w:rPr>
                <w:sz w:val="18"/>
              </w:rPr>
              <w:t>счет № 308 от 30.03.2018</w:t>
            </w:r>
          </w:p>
        </w:tc>
      </w:tr>
      <w:tr>
        <w:trPr>
          <w:trHeight w:hRule="atLeast" w:val="2040"/>
        </w:trPr>
        <w:tc>
          <w:tcPr>
            <w:tcW w:type="dxa" w:w="708"/>
            <w:tcBorders>
              <w:top w:color="000000" w:sz="4" w:val="single"/>
              <w:left w:color="000000" w:sz="4" w:val="single"/>
              <w:bottom w:color="000000" w:sz="4" w:val="single"/>
              <w:right w:color="000000" w:sz="4" w:val="single"/>
            </w:tcBorders>
            <w:shd w:fill="auto" w:val="clear"/>
            <w:vAlign w:val="center"/>
          </w:tcPr>
          <w:p w14:paraId="A7360000">
            <w:pPr>
              <w:widowControl w:val="1"/>
              <w:ind/>
              <w:jc w:val="center"/>
              <w:rPr>
                <w:color w:val="000000"/>
                <w:sz w:val="18"/>
              </w:rPr>
            </w:pPr>
            <w:r>
              <w:rPr>
                <w:color w:val="000000"/>
                <w:sz w:val="18"/>
              </w:rPr>
              <w:t>137</w:t>
            </w:r>
          </w:p>
        </w:tc>
        <w:tc>
          <w:tcPr>
            <w:tcW w:type="dxa" w:w="618"/>
            <w:tcBorders>
              <w:top w:color="000000" w:sz="4" w:val="single"/>
              <w:left w:color="000000" w:sz="4" w:val="single"/>
              <w:bottom w:color="000000" w:sz="4" w:val="single"/>
              <w:right w:color="000000" w:sz="4" w:val="single"/>
            </w:tcBorders>
            <w:shd w:fill="FFFFFF" w:val="clear"/>
            <w:vAlign w:val="center"/>
          </w:tcPr>
          <w:p w14:paraId="A8360000">
            <w:pPr>
              <w:widowControl w:val="1"/>
              <w:ind/>
              <w:jc w:val="center"/>
              <w:rPr>
                <w:sz w:val="18"/>
              </w:rPr>
            </w:pPr>
            <w:r>
              <w:rPr>
                <w:sz w:val="18"/>
              </w:rPr>
              <w:t>60/2</w:t>
            </w:r>
          </w:p>
        </w:tc>
        <w:tc>
          <w:tcPr>
            <w:tcW w:type="dxa" w:w="993"/>
            <w:tcBorders>
              <w:top w:color="000000" w:sz="4" w:val="single"/>
              <w:left w:color="000000" w:sz="4" w:val="single"/>
              <w:bottom w:color="000000" w:sz="4" w:val="single"/>
              <w:right w:color="000000" w:sz="4" w:val="single"/>
            </w:tcBorders>
            <w:shd w:fill="FFFFFF" w:val="clear"/>
            <w:vAlign w:val="center"/>
          </w:tcPr>
          <w:p w14:paraId="A9360000">
            <w:pPr>
              <w:widowControl w:val="1"/>
              <w:ind/>
              <w:jc w:val="center"/>
              <w:rPr>
                <w:sz w:val="18"/>
              </w:rPr>
            </w:pPr>
            <w:r>
              <w:rPr>
                <w:sz w:val="18"/>
              </w:rPr>
              <w:t>поставка печатающего механизма для ККТ модели АТОЛ-11ф, с датчиком открытия крышки</w:t>
            </w:r>
          </w:p>
        </w:tc>
        <w:tc>
          <w:tcPr>
            <w:tcW w:type="dxa" w:w="849"/>
            <w:tcBorders>
              <w:top w:color="000000" w:sz="4" w:val="single"/>
              <w:left w:color="000000" w:sz="4" w:val="single"/>
              <w:bottom w:color="000000" w:sz="4" w:val="single"/>
              <w:right w:color="000000" w:sz="4" w:val="single"/>
            </w:tcBorders>
            <w:shd w:fill="FFFFFF" w:val="clear"/>
            <w:vAlign w:val="center"/>
          </w:tcPr>
          <w:p w14:paraId="AA36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AB36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AC360000">
            <w:pPr>
              <w:widowControl w:val="1"/>
              <w:ind/>
              <w:jc w:val="center"/>
              <w:rPr>
                <w:sz w:val="18"/>
              </w:rPr>
            </w:pPr>
            <w:r>
              <w:rPr>
                <w:sz w:val="18"/>
              </w:rPr>
              <w:t>1100,00</w:t>
            </w:r>
          </w:p>
        </w:tc>
        <w:tc>
          <w:tcPr>
            <w:tcW w:type="dxa" w:w="1134"/>
            <w:tcBorders>
              <w:top w:color="000000" w:sz="4" w:val="single"/>
              <w:left w:color="000000" w:sz="4" w:val="single"/>
              <w:bottom w:color="000000" w:sz="4" w:val="single"/>
              <w:right w:color="000000" w:sz="4" w:val="single"/>
            </w:tcBorders>
            <w:shd w:fill="FFFFFF" w:val="clear"/>
            <w:vAlign w:val="center"/>
          </w:tcPr>
          <w:p w14:paraId="AD360000">
            <w:pPr>
              <w:widowControl w:val="1"/>
              <w:ind/>
              <w:jc w:val="center"/>
              <w:rPr>
                <w:sz w:val="18"/>
              </w:rPr>
            </w:pPr>
            <w:r>
              <w:rPr>
                <w:sz w:val="18"/>
              </w:rPr>
              <w:t>1100,00</w:t>
            </w:r>
          </w:p>
        </w:tc>
        <w:tc>
          <w:tcPr>
            <w:tcW w:type="dxa" w:w="993"/>
            <w:tcBorders>
              <w:top w:color="000000" w:sz="4" w:val="single"/>
              <w:left w:color="000000" w:sz="4" w:val="single"/>
              <w:bottom w:color="000000" w:sz="4" w:val="single"/>
              <w:right w:color="000000" w:sz="4" w:val="single"/>
            </w:tcBorders>
            <w:shd w:fill="FFFFFF" w:val="clear"/>
            <w:vAlign w:val="center"/>
          </w:tcPr>
          <w:p w14:paraId="AE36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AF360000">
            <w:pPr>
              <w:widowControl w:val="1"/>
              <w:ind/>
              <w:jc w:val="center"/>
              <w:rPr>
                <w:sz w:val="18"/>
              </w:rPr>
            </w:pPr>
            <w:r>
              <w:rPr>
                <w:sz w:val="18"/>
              </w:rPr>
              <w:t>апрель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B036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B136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B236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B3360000">
            <w:pPr>
              <w:widowControl w:val="1"/>
              <w:ind/>
              <w:jc w:val="center"/>
              <w:rPr>
                <w:sz w:val="18"/>
              </w:rPr>
            </w:pPr>
            <w:r>
              <w:rPr>
                <w:sz w:val="18"/>
              </w:rPr>
              <w:t>1100,00</w:t>
            </w:r>
          </w:p>
        </w:tc>
        <w:tc>
          <w:tcPr>
            <w:tcW w:type="dxa" w:w="1185"/>
            <w:tcBorders>
              <w:top w:color="000000" w:sz="4" w:val="single"/>
              <w:left w:color="000000" w:sz="4" w:val="single"/>
              <w:bottom w:color="000000" w:sz="4" w:val="single"/>
              <w:right w:color="000000" w:sz="4" w:val="single"/>
            </w:tcBorders>
            <w:shd w:fill="FFFFFF" w:val="clear"/>
            <w:vAlign w:val="center"/>
          </w:tcPr>
          <w:p w14:paraId="B4360000">
            <w:pPr>
              <w:widowControl w:val="1"/>
              <w:ind/>
              <w:jc w:val="center"/>
              <w:rPr>
                <w:sz w:val="18"/>
              </w:rPr>
            </w:pPr>
            <w:r>
              <w:rPr>
                <w:sz w:val="18"/>
              </w:rPr>
              <w:t>1100,00</w:t>
            </w:r>
          </w:p>
        </w:tc>
        <w:tc>
          <w:tcPr>
            <w:tcW w:type="dxa" w:w="1083"/>
            <w:tcBorders>
              <w:top w:color="000000" w:sz="4" w:val="single"/>
              <w:left w:color="000000" w:sz="4" w:val="single"/>
              <w:bottom w:color="000000" w:sz="4" w:val="single"/>
              <w:right w:color="000000" w:sz="4" w:val="single"/>
            </w:tcBorders>
            <w:shd w:fill="FFFFFF" w:val="clear"/>
            <w:vAlign w:val="center"/>
          </w:tcPr>
          <w:p w14:paraId="B5360000">
            <w:pPr>
              <w:widowControl w:val="1"/>
              <w:ind/>
              <w:jc w:val="center"/>
              <w:rPr>
                <w:sz w:val="18"/>
              </w:rPr>
            </w:pPr>
            <w:r>
              <w:rPr>
                <w:sz w:val="18"/>
              </w:rPr>
              <w:t>1100,00</w:t>
            </w:r>
          </w:p>
        </w:tc>
        <w:tc>
          <w:tcPr>
            <w:tcW w:type="dxa" w:w="771"/>
            <w:tcBorders>
              <w:top w:color="000000" w:sz="4" w:val="single"/>
              <w:left w:color="000000" w:sz="4" w:val="single"/>
              <w:bottom w:color="000000" w:sz="4" w:val="single"/>
              <w:right w:color="000000" w:sz="4" w:val="single"/>
            </w:tcBorders>
            <w:shd w:fill="FFFFFF" w:val="clear"/>
            <w:vAlign w:val="center"/>
          </w:tcPr>
          <w:p w14:paraId="B636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B7360000">
            <w:pPr>
              <w:widowControl w:val="1"/>
              <w:ind/>
              <w:jc w:val="center"/>
              <w:rPr>
                <w:sz w:val="18"/>
              </w:rPr>
            </w:pPr>
            <w:r>
              <w:rPr>
                <w:sz w:val="18"/>
              </w:rPr>
              <w:t>апрель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B8360000">
            <w:pPr>
              <w:widowControl w:val="1"/>
              <w:ind/>
              <w:jc w:val="center"/>
              <w:rPr>
                <w:sz w:val="18"/>
              </w:rPr>
            </w:pPr>
            <w:r>
              <w:rPr>
                <w:sz w:val="18"/>
              </w:rPr>
              <w:t>счет№ 560 от 30.03.2018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B9360000">
            <w:pPr>
              <w:widowControl w:val="1"/>
              <w:ind/>
              <w:jc w:val="center"/>
              <w:rPr>
                <w:color w:val="000000"/>
                <w:sz w:val="18"/>
              </w:rPr>
            </w:pPr>
            <w:r>
              <w:rPr>
                <w:color w:val="000000"/>
                <w:sz w:val="18"/>
              </w:rPr>
              <w:t>138</w:t>
            </w:r>
          </w:p>
        </w:tc>
        <w:tc>
          <w:tcPr>
            <w:tcW w:type="dxa" w:w="618"/>
            <w:tcBorders>
              <w:top w:color="000000" w:sz="4" w:val="single"/>
              <w:left w:color="000000" w:sz="4" w:val="single"/>
              <w:bottom w:color="000000" w:sz="4" w:val="single"/>
              <w:right w:color="000000" w:sz="4" w:val="single"/>
            </w:tcBorders>
            <w:shd w:fill="FFFFFF" w:val="clear"/>
            <w:vAlign w:val="center"/>
          </w:tcPr>
          <w:p w14:paraId="BA360000">
            <w:pPr>
              <w:widowControl w:val="1"/>
              <w:ind/>
              <w:jc w:val="center"/>
              <w:rPr>
                <w:sz w:val="18"/>
              </w:rPr>
            </w:pPr>
            <w:r>
              <w:rPr>
                <w:sz w:val="18"/>
              </w:rPr>
              <w:t>61/2</w:t>
            </w:r>
          </w:p>
        </w:tc>
        <w:tc>
          <w:tcPr>
            <w:tcW w:type="dxa" w:w="993"/>
            <w:tcBorders>
              <w:top w:color="000000" w:sz="4" w:val="single"/>
              <w:left w:color="000000" w:sz="4" w:val="single"/>
              <w:bottom w:color="000000" w:sz="4" w:val="single"/>
              <w:right w:color="000000" w:sz="4" w:val="single"/>
            </w:tcBorders>
            <w:shd w:fill="FFFFFF" w:val="clear"/>
            <w:vAlign w:val="center"/>
          </w:tcPr>
          <w:p w14:paraId="BB360000">
            <w:pPr>
              <w:widowControl w:val="1"/>
              <w:ind/>
              <w:jc w:val="center"/>
              <w:rPr>
                <w:sz w:val="18"/>
              </w:rPr>
            </w:pPr>
            <w:r>
              <w:rPr>
                <w:sz w:val="18"/>
              </w:rPr>
              <w:t>Поставка полотна вафельного и нетканного</w:t>
            </w:r>
          </w:p>
        </w:tc>
        <w:tc>
          <w:tcPr>
            <w:tcW w:type="dxa" w:w="849"/>
            <w:tcBorders>
              <w:top w:color="000000" w:sz="4" w:val="single"/>
              <w:left w:color="000000" w:sz="4" w:val="single"/>
              <w:bottom w:color="000000" w:sz="4" w:val="single"/>
              <w:right w:color="000000" w:sz="4" w:val="single"/>
            </w:tcBorders>
            <w:shd w:fill="FFFFFF" w:val="clear"/>
            <w:vAlign w:val="center"/>
          </w:tcPr>
          <w:p w14:paraId="BC36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D360000">
            <w:pPr>
              <w:widowControl w:val="1"/>
              <w:ind/>
              <w:jc w:val="center"/>
              <w:rPr>
                <w:sz w:val="18"/>
              </w:rPr>
            </w:pPr>
            <w:r>
              <w:rPr>
                <w:sz w:val="18"/>
              </w:rPr>
              <w:t>1420</w:t>
            </w:r>
          </w:p>
        </w:tc>
        <w:tc>
          <w:tcPr>
            <w:tcW w:type="dxa" w:w="991"/>
            <w:tcBorders>
              <w:top w:color="000000" w:sz="4" w:val="single"/>
              <w:left w:color="000000" w:sz="4" w:val="single"/>
              <w:bottom w:color="000000" w:sz="4" w:val="single"/>
              <w:right w:color="000000" w:sz="4" w:val="single"/>
            </w:tcBorders>
            <w:shd w:fill="FFFFFF" w:val="clear"/>
            <w:vAlign w:val="center"/>
          </w:tcPr>
          <w:p w14:paraId="BE360000">
            <w:pPr>
              <w:widowControl w:val="1"/>
              <w:ind/>
              <w:jc w:val="center"/>
              <w:rPr>
                <w:sz w:val="18"/>
              </w:rPr>
            </w:pPr>
            <w:r>
              <w:rPr>
                <w:sz w:val="18"/>
              </w:rPr>
              <w:t>39127,00</w:t>
            </w:r>
          </w:p>
        </w:tc>
        <w:tc>
          <w:tcPr>
            <w:tcW w:type="dxa" w:w="1134"/>
            <w:tcBorders>
              <w:top w:color="000000" w:sz="4" w:val="single"/>
              <w:left w:color="000000" w:sz="4" w:val="single"/>
              <w:bottom w:color="000000" w:sz="4" w:val="single"/>
              <w:right w:color="000000" w:sz="4" w:val="single"/>
            </w:tcBorders>
            <w:shd w:fill="FFFFFF" w:val="clear"/>
            <w:vAlign w:val="center"/>
          </w:tcPr>
          <w:p w14:paraId="BF360000">
            <w:pPr>
              <w:widowControl w:val="1"/>
              <w:ind/>
              <w:jc w:val="center"/>
              <w:rPr>
                <w:sz w:val="18"/>
              </w:rPr>
            </w:pPr>
            <w:r>
              <w:rPr>
                <w:sz w:val="18"/>
              </w:rPr>
              <w:t>46170,00</w:t>
            </w:r>
          </w:p>
        </w:tc>
        <w:tc>
          <w:tcPr>
            <w:tcW w:type="dxa" w:w="993"/>
            <w:tcBorders>
              <w:top w:color="000000" w:sz="4" w:val="single"/>
              <w:left w:color="000000" w:sz="4" w:val="single"/>
              <w:bottom w:color="000000" w:sz="4" w:val="single"/>
              <w:right w:color="000000" w:sz="4" w:val="single"/>
            </w:tcBorders>
            <w:shd w:fill="FFFFFF" w:val="clear"/>
            <w:vAlign w:val="center"/>
          </w:tcPr>
          <w:p w14:paraId="C036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C1360000">
            <w:pPr>
              <w:widowControl w:val="1"/>
              <w:ind/>
              <w:jc w:val="center"/>
              <w:rPr>
                <w:sz w:val="18"/>
              </w:rPr>
            </w:pPr>
            <w:r>
              <w:rPr>
                <w:sz w:val="18"/>
              </w:rPr>
              <w:t>март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C236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C336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C4360000">
            <w:pPr>
              <w:widowControl w:val="1"/>
              <w:ind/>
              <w:jc w:val="center"/>
              <w:rPr>
                <w:sz w:val="18"/>
              </w:rPr>
            </w:pPr>
            <w:r>
              <w:rPr>
                <w:sz w:val="18"/>
              </w:rPr>
              <w:t>1420</w:t>
            </w:r>
          </w:p>
        </w:tc>
        <w:tc>
          <w:tcPr>
            <w:tcW w:type="dxa" w:w="1169"/>
            <w:tcBorders>
              <w:top w:color="000000" w:sz="4" w:val="single"/>
              <w:left w:color="000000" w:sz="4" w:val="single"/>
              <w:bottom w:color="000000" w:sz="4" w:val="single"/>
              <w:right w:color="000000" w:sz="4" w:val="single"/>
            </w:tcBorders>
            <w:shd w:fill="FFFFFF" w:val="clear"/>
            <w:vAlign w:val="center"/>
          </w:tcPr>
          <w:p w14:paraId="C5360000">
            <w:pPr>
              <w:widowControl w:val="1"/>
              <w:ind/>
              <w:jc w:val="center"/>
              <w:rPr>
                <w:sz w:val="18"/>
              </w:rPr>
            </w:pPr>
            <w:r>
              <w:rPr>
                <w:sz w:val="18"/>
              </w:rPr>
              <w:t>39127,00</w:t>
            </w:r>
          </w:p>
        </w:tc>
        <w:tc>
          <w:tcPr>
            <w:tcW w:type="dxa" w:w="1185"/>
            <w:tcBorders>
              <w:top w:color="000000" w:sz="4" w:val="single"/>
              <w:left w:color="000000" w:sz="4" w:val="single"/>
              <w:bottom w:color="000000" w:sz="4" w:val="single"/>
              <w:right w:color="000000" w:sz="4" w:val="single"/>
            </w:tcBorders>
            <w:shd w:fill="FFFFFF" w:val="clear"/>
            <w:vAlign w:val="center"/>
          </w:tcPr>
          <w:p w14:paraId="C6360000">
            <w:pPr>
              <w:widowControl w:val="1"/>
              <w:ind/>
              <w:jc w:val="center"/>
              <w:rPr>
                <w:sz w:val="18"/>
              </w:rPr>
            </w:pPr>
            <w:r>
              <w:rPr>
                <w:sz w:val="18"/>
              </w:rPr>
              <w:t>46170,00</w:t>
            </w:r>
          </w:p>
        </w:tc>
        <w:tc>
          <w:tcPr>
            <w:tcW w:type="dxa" w:w="1083"/>
            <w:tcBorders>
              <w:top w:color="000000" w:sz="4" w:val="single"/>
              <w:left w:color="000000" w:sz="4" w:val="single"/>
              <w:bottom w:color="000000" w:sz="4" w:val="single"/>
              <w:right w:color="000000" w:sz="4" w:val="single"/>
            </w:tcBorders>
            <w:shd w:fill="FFFFFF" w:val="clear"/>
            <w:vAlign w:val="center"/>
          </w:tcPr>
          <w:p w14:paraId="C7360000">
            <w:pPr>
              <w:widowControl w:val="1"/>
              <w:ind/>
              <w:jc w:val="center"/>
              <w:rPr>
                <w:sz w:val="18"/>
              </w:rPr>
            </w:pPr>
            <w:r>
              <w:rPr>
                <w:sz w:val="18"/>
              </w:rPr>
              <w:t>46170,00</w:t>
            </w:r>
          </w:p>
        </w:tc>
        <w:tc>
          <w:tcPr>
            <w:tcW w:type="dxa" w:w="771"/>
            <w:tcBorders>
              <w:top w:color="000000" w:sz="4" w:val="single"/>
              <w:left w:color="000000" w:sz="4" w:val="single"/>
              <w:bottom w:color="000000" w:sz="4" w:val="single"/>
              <w:right w:color="000000" w:sz="4" w:val="single"/>
            </w:tcBorders>
            <w:shd w:fill="FFFFFF" w:val="clear"/>
            <w:vAlign w:val="center"/>
          </w:tcPr>
          <w:p w14:paraId="C836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C9360000">
            <w:pPr>
              <w:widowControl w:val="1"/>
              <w:ind/>
              <w:jc w:val="center"/>
              <w:rPr>
                <w:sz w:val="18"/>
              </w:rPr>
            </w:pPr>
            <w:r>
              <w:rPr>
                <w:sz w:val="18"/>
              </w:rPr>
              <w:t>март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CA360000">
            <w:pPr>
              <w:widowControl w:val="1"/>
              <w:ind/>
              <w:jc w:val="center"/>
              <w:rPr>
                <w:sz w:val="18"/>
              </w:rPr>
            </w:pPr>
            <w:r>
              <w:rPr>
                <w:sz w:val="18"/>
              </w:rPr>
              <w:t>счет № УТ-34 от 12.03.2018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CB360000">
            <w:pPr>
              <w:widowControl w:val="1"/>
              <w:ind/>
              <w:jc w:val="center"/>
              <w:rPr>
                <w:color w:val="000000"/>
                <w:sz w:val="18"/>
              </w:rPr>
            </w:pPr>
            <w:r>
              <w:rPr>
                <w:color w:val="000000"/>
                <w:sz w:val="18"/>
              </w:rPr>
              <w:t>139</w:t>
            </w:r>
          </w:p>
        </w:tc>
        <w:tc>
          <w:tcPr>
            <w:tcW w:type="dxa" w:w="618"/>
            <w:tcBorders>
              <w:top w:color="000000" w:sz="4" w:val="single"/>
              <w:left w:color="000000" w:sz="4" w:val="single"/>
              <w:bottom w:color="000000" w:sz="4" w:val="single"/>
              <w:right w:color="000000" w:sz="4" w:val="single"/>
            </w:tcBorders>
            <w:shd w:fill="FFFFFF" w:val="clear"/>
            <w:vAlign w:val="center"/>
          </w:tcPr>
          <w:p w14:paraId="CC360000">
            <w:pPr>
              <w:widowControl w:val="1"/>
              <w:ind/>
              <w:jc w:val="center"/>
              <w:rPr>
                <w:sz w:val="18"/>
              </w:rPr>
            </w:pPr>
            <w:r>
              <w:rPr>
                <w:sz w:val="18"/>
              </w:rPr>
              <w:t>62/2</w:t>
            </w:r>
          </w:p>
        </w:tc>
        <w:tc>
          <w:tcPr>
            <w:tcW w:type="dxa" w:w="993"/>
            <w:tcBorders>
              <w:top w:color="000000" w:sz="4" w:val="single"/>
              <w:left w:color="000000" w:sz="4" w:val="single"/>
              <w:bottom w:color="000000" w:sz="4" w:val="single"/>
              <w:right w:color="000000" w:sz="4" w:val="single"/>
            </w:tcBorders>
            <w:shd w:fill="FFFFFF" w:val="clear"/>
            <w:vAlign w:val="center"/>
          </w:tcPr>
          <w:p w14:paraId="CD360000">
            <w:pPr>
              <w:widowControl w:val="1"/>
              <w:ind/>
              <w:jc w:val="center"/>
              <w:rPr>
                <w:sz w:val="18"/>
              </w:rPr>
            </w:pPr>
            <w:r>
              <w:rPr>
                <w:sz w:val="18"/>
              </w:rPr>
              <w:t>поставка антенн</w:t>
            </w:r>
          </w:p>
        </w:tc>
        <w:tc>
          <w:tcPr>
            <w:tcW w:type="dxa" w:w="849"/>
            <w:tcBorders>
              <w:top w:color="000000" w:sz="4" w:val="single"/>
              <w:left w:color="000000" w:sz="4" w:val="single"/>
              <w:bottom w:color="000000" w:sz="4" w:val="single"/>
              <w:right w:color="000000" w:sz="4" w:val="single"/>
            </w:tcBorders>
            <w:shd w:fill="FFFFFF" w:val="clear"/>
            <w:vAlign w:val="center"/>
          </w:tcPr>
          <w:p w14:paraId="CE36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CF360000">
            <w:pPr>
              <w:widowControl w:val="1"/>
              <w:ind/>
              <w:jc w:val="center"/>
              <w:rPr>
                <w:sz w:val="18"/>
              </w:rPr>
            </w:pPr>
            <w:r>
              <w:rPr>
                <w:sz w:val="18"/>
              </w:rPr>
              <w:t>10</w:t>
            </w:r>
          </w:p>
        </w:tc>
        <w:tc>
          <w:tcPr>
            <w:tcW w:type="dxa" w:w="991"/>
            <w:tcBorders>
              <w:top w:color="000000" w:sz="4" w:val="single"/>
              <w:left w:color="000000" w:sz="4" w:val="single"/>
              <w:bottom w:color="000000" w:sz="4" w:val="single"/>
              <w:right w:color="000000" w:sz="4" w:val="single"/>
            </w:tcBorders>
            <w:shd w:fill="FFFFFF" w:val="clear"/>
            <w:vAlign w:val="center"/>
          </w:tcPr>
          <w:p w14:paraId="D0360000">
            <w:pPr>
              <w:widowControl w:val="1"/>
              <w:ind/>
              <w:jc w:val="center"/>
              <w:rPr>
                <w:sz w:val="18"/>
              </w:rPr>
            </w:pPr>
            <w:r>
              <w:rPr>
                <w:sz w:val="18"/>
              </w:rPr>
              <w:t>4900,00</w:t>
            </w:r>
          </w:p>
        </w:tc>
        <w:tc>
          <w:tcPr>
            <w:tcW w:type="dxa" w:w="1134"/>
            <w:tcBorders>
              <w:top w:color="000000" w:sz="4" w:val="single"/>
              <w:left w:color="000000" w:sz="4" w:val="single"/>
              <w:bottom w:color="000000" w:sz="4" w:val="single"/>
              <w:right w:color="000000" w:sz="4" w:val="single"/>
            </w:tcBorders>
            <w:shd w:fill="FFFFFF" w:val="clear"/>
            <w:vAlign w:val="center"/>
          </w:tcPr>
          <w:p w14:paraId="D1360000">
            <w:pPr>
              <w:widowControl w:val="1"/>
              <w:ind/>
              <w:jc w:val="center"/>
              <w:rPr>
                <w:sz w:val="18"/>
              </w:rPr>
            </w:pPr>
            <w:r>
              <w:rPr>
                <w:sz w:val="18"/>
              </w:rPr>
              <w:t>4900,00</w:t>
            </w:r>
          </w:p>
        </w:tc>
        <w:tc>
          <w:tcPr>
            <w:tcW w:type="dxa" w:w="993"/>
            <w:tcBorders>
              <w:top w:color="000000" w:sz="4" w:val="single"/>
              <w:left w:color="000000" w:sz="4" w:val="single"/>
              <w:bottom w:color="000000" w:sz="4" w:val="single"/>
              <w:right w:color="000000" w:sz="4" w:val="single"/>
            </w:tcBorders>
            <w:shd w:fill="FFFFFF" w:val="clear"/>
            <w:vAlign w:val="center"/>
          </w:tcPr>
          <w:p w14:paraId="D236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D3360000">
            <w:pPr>
              <w:widowControl w:val="1"/>
              <w:ind/>
              <w:jc w:val="center"/>
              <w:rPr>
                <w:sz w:val="18"/>
              </w:rPr>
            </w:pPr>
            <w:r>
              <w:rPr>
                <w:sz w:val="18"/>
              </w:rPr>
              <w:t>март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D436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D536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D6360000">
            <w:pPr>
              <w:widowControl w:val="1"/>
              <w:ind/>
              <w:jc w:val="center"/>
              <w:rPr>
                <w:sz w:val="18"/>
              </w:rPr>
            </w:pPr>
            <w:r>
              <w:rPr>
                <w:sz w:val="18"/>
              </w:rPr>
              <w:t>10</w:t>
            </w:r>
          </w:p>
        </w:tc>
        <w:tc>
          <w:tcPr>
            <w:tcW w:type="dxa" w:w="1169"/>
            <w:tcBorders>
              <w:top w:color="000000" w:sz="4" w:val="single"/>
              <w:left w:color="000000" w:sz="4" w:val="single"/>
              <w:bottom w:color="000000" w:sz="4" w:val="single"/>
              <w:right w:color="000000" w:sz="4" w:val="single"/>
            </w:tcBorders>
            <w:shd w:fill="FFFFFF" w:val="clear"/>
            <w:vAlign w:val="center"/>
          </w:tcPr>
          <w:p w14:paraId="D7360000">
            <w:pPr>
              <w:widowControl w:val="1"/>
              <w:ind/>
              <w:jc w:val="center"/>
              <w:rPr>
                <w:sz w:val="18"/>
              </w:rPr>
            </w:pPr>
            <w:r>
              <w:rPr>
                <w:sz w:val="18"/>
              </w:rPr>
              <w:t>4900,00</w:t>
            </w:r>
          </w:p>
        </w:tc>
        <w:tc>
          <w:tcPr>
            <w:tcW w:type="dxa" w:w="1185"/>
            <w:tcBorders>
              <w:top w:color="000000" w:sz="4" w:val="single"/>
              <w:left w:color="000000" w:sz="4" w:val="single"/>
              <w:bottom w:color="000000" w:sz="4" w:val="single"/>
              <w:right w:color="000000" w:sz="4" w:val="single"/>
            </w:tcBorders>
            <w:shd w:fill="FFFFFF" w:val="clear"/>
            <w:vAlign w:val="center"/>
          </w:tcPr>
          <w:p w14:paraId="D8360000">
            <w:pPr>
              <w:widowControl w:val="1"/>
              <w:ind/>
              <w:jc w:val="center"/>
              <w:rPr>
                <w:sz w:val="18"/>
              </w:rPr>
            </w:pPr>
            <w:r>
              <w:rPr>
                <w:sz w:val="18"/>
              </w:rPr>
              <w:t>4900,00</w:t>
            </w:r>
          </w:p>
        </w:tc>
        <w:tc>
          <w:tcPr>
            <w:tcW w:type="dxa" w:w="1083"/>
            <w:tcBorders>
              <w:top w:color="000000" w:sz="4" w:val="single"/>
              <w:left w:color="000000" w:sz="4" w:val="single"/>
              <w:bottom w:color="000000" w:sz="4" w:val="single"/>
              <w:right w:color="000000" w:sz="4" w:val="single"/>
            </w:tcBorders>
            <w:shd w:fill="FFFFFF" w:val="clear"/>
            <w:vAlign w:val="center"/>
          </w:tcPr>
          <w:p w14:paraId="D9360000">
            <w:pPr>
              <w:widowControl w:val="1"/>
              <w:ind/>
              <w:jc w:val="center"/>
              <w:rPr>
                <w:sz w:val="18"/>
              </w:rPr>
            </w:pPr>
            <w:r>
              <w:rPr>
                <w:sz w:val="18"/>
              </w:rPr>
              <w:t>4900,00</w:t>
            </w:r>
          </w:p>
        </w:tc>
        <w:tc>
          <w:tcPr>
            <w:tcW w:type="dxa" w:w="771"/>
            <w:tcBorders>
              <w:top w:color="000000" w:sz="4" w:val="single"/>
              <w:left w:color="000000" w:sz="4" w:val="single"/>
              <w:bottom w:color="000000" w:sz="4" w:val="single"/>
              <w:right w:color="000000" w:sz="4" w:val="single"/>
            </w:tcBorders>
            <w:shd w:fill="FFFFFF" w:val="clear"/>
            <w:vAlign w:val="center"/>
          </w:tcPr>
          <w:p w14:paraId="DA36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DB360000">
            <w:pPr>
              <w:widowControl w:val="1"/>
              <w:ind/>
              <w:jc w:val="center"/>
              <w:rPr>
                <w:sz w:val="18"/>
              </w:rPr>
            </w:pPr>
            <w:r>
              <w:rPr>
                <w:sz w:val="18"/>
              </w:rPr>
              <w:t>март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DC360000">
            <w:pPr>
              <w:widowControl w:val="1"/>
              <w:ind/>
              <w:jc w:val="center"/>
              <w:rPr>
                <w:sz w:val="18"/>
              </w:rPr>
            </w:pPr>
            <w:r>
              <w:rPr>
                <w:sz w:val="18"/>
              </w:rPr>
              <w:t>счет № 408 от 23.03.2018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DD360000">
            <w:pPr>
              <w:widowControl w:val="1"/>
              <w:ind/>
              <w:jc w:val="center"/>
              <w:rPr>
                <w:color w:val="000000"/>
                <w:sz w:val="18"/>
              </w:rPr>
            </w:pPr>
            <w:r>
              <w:rPr>
                <w:color w:val="000000"/>
                <w:sz w:val="18"/>
              </w:rPr>
              <w:t>140</w:t>
            </w:r>
          </w:p>
        </w:tc>
        <w:tc>
          <w:tcPr>
            <w:tcW w:type="dxa" w:w="618"/>
            <w:tcBorders>
              <w:top w:color="000000" w:sz="4" w:val="single"/>
              <w:left w:color="000000" w:sz="4" w:val="single"/>
              <w:bottom w:color="000000" w:sz="4" w:val="single"/>
              <w:right w:color="000000" w:sz="4" w:val="single"/>
            </w:tcBorders>
            <w:shd w:fill="FFFFFF" w:val="clear"/>
            <w:vAlign w:val="center"/>
          </w:tcPr>
          <w:p w14:paraId="DE360000">
            <w:pPr>
              <w:widowControl w:val="1"/>
              <w:ind/>
              <w:jc w:val="center"/>
              <w:rPr>
                <w:sz w:val="18"/>
              </w:rPr>
            </w:pPr>
            <w:r>
              <w:rPr>
                <w:sz w:val="18"/>
              </w:rPr>
              <w:t>63/2</w:t>
            </w:r>
          </w:p>
        </w:tc>
        <w:tc>
          <w:tcPr>
            <w:tcW w:type="dxa" w:w="993"/>
            <w:tcBorders>
              <w:top w:color="000000" w:sz="4" w:val="single"/>
              <w:left w:color="000000" w:sz="4" w:val="single"/>
              <w:bottom w:color="000000" w:sz="4" w:val="single"/>
              <w:right w:color="000000" w:sz="4" w:val="single"/>
            </w:tcBorders>
            <w:shd w:fill="FFFFFF" w:val="clear"/>
            <w:vAlign w:val="center"/>
          </w:tcPr>
          <w:p w14:paraId="DF360000">
            <w:pPr>
              <w:widowControl w:val="1"/>
              <w:ind/>
              <w:jc w:val="center"/>
              <w:rPr>
                <w:sz w:val="18"/>
              </w:rPr>
            </w:pPr>
            <w:r>
              <w:rPr>
                <w:sz w:val="18"/>
              </w:rPr>
              <w:t>оказание услуг по диагностике онлайн ККТ</w:t>
            </w:r>
          </w:p>
        </w:tc>
        <w:tc>
          <w:tcPr>
            <w:tcW w:type="dxa" w:w="849"/>
            <w:tcBorders>
              <w:top w:color="000000" w:sz="4" w:val="single"/>
              <w:left w:color="000000" w:sz="4" w:val="single"/>
              <w:bottom w:color="000000" w:sz="4" w:val="single"/>
              <w:right w:color="000000" w:sz="4" w:val="single"/>
            </w:tcBorders>
            <w:shd w:fill="FFFFFF" w:val="clear"/>
            <w:vAlign w:val="center"/>
          </w:tcPr>
          <w:p w14:paraId="E036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E1360000">
            <w:pPr>
              <w:widowControl w:val="1"/>
              <w:ind/>
              <w:jc w:val="center"/>
              <w:rPr>
                <w:sz w:val="18"/>
              </w:rPr>
            </w:pPr>
            <w:r>
              <w:rPr>
                <w:sz w:val="18"/>
              </w:rPr>
              <w:t>9</w:t>
            </w:r>
          </w:p>
        </w:tc>
        <w:tc>
          <w:tcPr>
            <w:tcW w:type="dxa" w:w="991"/>
            <w:tcBorders>
              <w:top w:color="000000" w:sz="4" w:val="single"/>
              <w:left w:color="000000" w:sz="4" w:val="single"/>
              <w:bottom w:color="000000" w:sz="4" w:val="single"/>
              <w:right w:color="000000" w:sz="4" w:val="single"/>
            </w:tcBorders>
            <w:shd w:fill="FFFFFF" w:val="clear"/>
            <w:vAlign w:val="center"/>
          </w:tcPr>
          <w:p w14:paraId="E2360000">
            <w:pPr>
              <w:widowControl w:val="1"/>
              <w:ind/>
              <w:jc w:val="center"/>
              <w:rPr>
                <w:sz w:val="18"/>
              </w:rPr>
            </w:pPr>
            <w:r>
              <w:rPr>
                <w:sz w:val="18"/>
              </w:rPr>
              <w:t>3150,00</w:t>
            </w:r>
          </w:p>
        </w:tc>
        <w:tc>
          <w:tcPr>
            <w:tcW w:type="dxa" w:w="1134"/>
            <w:tcBorders>
              <w:top w:color="000000" w:sz="4" w:val="single"/>
              <w:left w:color="000000" w:sz="4" w:val="single"/>
              <w:bottom w:color="000000" w:sz="4" w:val="single"/>
              <w:right w:color="000000" w:sz="4" w:val="single"/>
            </w:tcBorders>
            <w:shd w:fill="FFFFFF" w:val="clear"/>
            <w:vAlign w:val="center"/>
          </w:tcPr>
          <w:p w14:paraId="E3360000">
            <w:pPr>
              <w:widowControl w:val="1"/>
              <w:ind/>
              <w:jc w:val="center"/>
              <w:rPr>
                <w:sz w:val="18"/>
              </w:rPr>
            </w:pPr>
            <w:r>
              <w:rPr>
                <w:sz w:val="18"/>
              </w:rPr>
              <w:t>3150,00</w:t>
            </w:r>
          </w:p>
        </w:tc>
        <w:tc>
          <w:tcPr>
            <w:tcW w:type="dxa" w:w="993"/>
            <w:tcBorders>
              <w:top w:color="000000" w:sz="4" w:val="single"/>
              <w:left w:color="000000" w:sz="4" w:val="single"/>
              <w:bottom w:color="000000" w:sz="4" w:val="single"/>
              <w:right w:color="000000" w:sz="4" w:val="single"/>
            </w:tcBorders>
            <w:shd w:fill="FFFFFF" w:val="clear"/>
            <w:vAlign w:val="center"/>
          </w:tcPr>
          <w:p w14:paraId="E436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E5360000">
            <w:pPr>
              <w:widowControl w:val="1"/>
              <w:ind/>
              <w:jc w:val="center"/>
              <w:rPr>
                <w:sz w:val="18"/>
              </w:rPr>
            </w:pPr>
            <w:r>
              <w:rPr>
                <w:sz w:val="18"/>
              </w:rPr>
              <w:t>март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E636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E736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E8360000">
            <w:pPr>
              <w:widowControl w:val="1"/>
              <w:ind/>
              <w:jc w:val="center"/>
              <w:rPr>
                <w:sz w:val="18"/>
              </w:rPr>
            </w:pPr>
            <w:r>
              <w:rPr>
                <w:sz w:val="18"/>
              </w:rPr>
              <w:t>9</w:t>
            </w:r>
          </w:p>
        </w:tc>
        <w:tc>
          <w:tcPr>
            <w:tcW w:type="dxa" w:w="1169"/>
            <w:tcBorders>
              <w:top w:color="000000" w:sz="4" w:val="single"/>
              <w:left w:color="000000" w:sz="4" w:val="single"/>
              <w:bottom w:color="000000" w:sz="4" w:val="single"/>
              <w:right w:color="000000" w:sz="4" w:val="single"/>
            </w:tcBorders>
            <w:shd w:fill="FFFFFF" w:val="clear"/>
            <w:vAlign w:val="center"/>
          </w:tcPr>
          <w:p w14:paraId="E9360000">
            <w:pPr>
              <w:widowControl w:val="1"/>
              <w:ind/>
              <w:jc w:val="center"/>
              <w:rPr>
                <w:sz w:val="18"/>
              </w:rPr>
            </w:pPr>
            <w:r>
              <w:rPr>
                <w:sz w:val="18"/>
              </w:rPr>
              <w:t>3150,00</w:t>
            </w:r>
          </w:p>
        </w:tc>
        <w:tc>
          <w:tcPr>
            <w:tcW w:type="dxa" w:w="1185"/>
            <w:tcBorders>
              <w:top w:color="000000" w:sz="4" w:val="single"/>
              <w:left w:color="000000" w:sz="4" w:val="single"/>
              <w:bottom w:color="000000" w:sz="4" w:val="single"/>
              <w:right w:color="000000" w:sz="4" w:val="single"/>
            </w:tcBorders>
            <w:shd w:fill="FFFFFF" w:val="clear"/>
            <w:vAlign w:val="center"/>
          </w:tcPr>
          <w:p w14:paraId="EA360000">
            <w:pPr>
              <w:widowControl w:val="1"/>
              <w:ind/>
              <w:jc w:val="center"/>
              <w:rPr>
                <w:sz w:val="18"/>
              </w:rPr>
            </w:pPr>
            <w:r>
              <w:rPr>
                <w:sz w:val="18"/>
              </w:rPr>
              <w:t>3150,00</w:t>
            </w:r>
          </w:p>
        </w:tc>
        <w:tc>
          <w:tcPr>
            <w:tcW w:type="dxa" w:w="1083"/>
            <w:tcBorders>
              <w:top w:color="000000" w:sz="4" w:val="single"/>
              <w:left w:color="000000" w:sz="4" w:val="single"/>
              <w:bottom w:color="000000" w:sz="4" w:val="single"/>
              <w:right w:color="000000" w:sz="4" w:val="single"/>
            </w:tcBorders>
            <w:shd w:fill="FFFFFF" w:val="clear"/>
            <w:vAlign w:val="center"/>
          </w:tcPr>
          <w:p w14:paraId="EB360000">
            <w:pPr>
              <w:widowControl w:val="1"/>
              <w:ind/>
              <w:jc w:val="center"/>
              <w:rPr>
                <w:sz w:val="18"/>
              </w:rPr>
            </w:pPr>
            <w:r>
              <w:rPr>
                <w:sz w:val="18"/>
              </w:rPr>
              <w:t>3150,00</w:t>
            </w:r>
          </w:p>
        </w:tc>
        <w:tc>
          <w:tcPr>
            <w:tcW w:type="dxa" w:w="771"/>
            <w:tcBorders>
              <w:top w:color="000000" w:sz="4" w:val="single"/>
              <w:left w:color="000000" w:sz="4" w:val="single"/>
              <w:bottom w:color="000000" w:sz="4" w:val="single"/>
              <w:right w:color="000000" w:sz="4" w:val="single"/>
            </w:tcBorders>
            <w:shd w:fill="FFFFFF" w:val="clear"/>
            <w:vAlign w:val="center"/>
          </w:tcPr>
          <w:p w14:paraId="EC36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D360000">
            <w:pPr>
              <w:widowControl w:val="1"/>
              <w:ind/>
              <w:jc w:val="center"/>
              <w:rPr>
                <w:sz w:val="18"/>
              </w:rPr>
            </w:pPr>
            <w:r>
              <w:rPr>
                <w:sz w:val="18"/>
              </w:rPr>
              <w:t>март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EE360000">
            <w:pPr>
              <w:widowControl w:val="1"/>
              <w:ind/>
              <w:jc w:val="center"/>
              <w:rPr>
                <w:sz w:val="18"/>
              </w:rPr>
            </w:pPr>
            <w:r>
              <w:rPr>
                <w:sz w:val="18"/>
              </w:rPr>
              <w:t>счет № 176 от 23.03.2018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EF360000">
            <w:pPr>
              <w:widowControl w:val="1"/>
              <w:ind/>
              <w:jc w:val="center"/>
              <w:rPr>
                <w:color w:val="000000"/>
                <w:sz w:val="18"/>
              </w:rPr>
            </w:pPr>
            <w:r>
              <w:rPr>
                <w:color w:val="000000"/>
                <w:sz w:val="18"/>
              </w:rPr>
              <w:t>141</w:t>
            </w:r>
          </w:p>
        </w:tc>
        <w:tc>
          <w:tcPr>
            <w:tcW w:type="dxa" w:w="618"/>
            <w:tcBorders>
              <w:top w:color="000000" w:sz="4" w:val="single"/>
              <w:left w:color="000000" w:sz="4" w:val="single"/>
              <w:bottom w:color="000000" w:sz="4" w:val="single"/>
              <w:right w:color="000000" w:sz="4" w:val="single"/>
            </w:tcBorders>
            <w:shd w:fill="FFFFFF" w:val="clear"/>
            <w:vAlign w:val="center"/>
          </w:tcPr>
          <w:p w14:paraId="F0360000">
            <w:pPr>
              <w:widowControl w:val="1"/>
              <w:ind/>
              <w:jc w:val="center"/>
              <w:rPr>
                <w:sz w:val="18"/>
              </w:rPr>
            </w:pPr>
            <w:r>
              <w:rPr>
                <w:sz w:val="18"/>
              </w:rPr>
              <w:t>64/2</w:t>
            </w:r>
          </w:p>
        </w:tc>
        <w:tc>
          <w:tcPr>
            <w:tcW w:type="dxa" w:w="993"/>
            <w:tcBorders>
              <w:top w:color="000000" w:sz="4" w:val="single"/>
              <w:left w:color="000000" w:sz="4" w:val="single"/>
              <w:bottom w:color="000000" w:sz="4" w:val="single"/>
              <w:right w:color="000000" w:sz="4" w:val="single"/>
            </w:tcBorders>
            <w:shd w:fill="FFFFFF" w:val="clear"/>
            <w:vAlign w:val="center"/>
          </w:tcPr>
          <w:p w14:paraId="F1360000">
            <w:pPr>
              <w:widowControl w:val="1"/>
              <w:ind/>
              <w:jc w:val="center"/>
              <w:rPr>
                <w:sz w:val="18"/>
              </w:rPr>
            </w:pPr>
            <w:r>
              <w:rPr>
                <w:sz w:val="18"/>
              </w:rPr>
              <w:t>оказание услуг по замене неисправного оборудования тревожной сигнализации</w:t>
            </w:r>
          </w:p>
        </w:tc>
        <w:tc>
          <w:tcPr>
            <w:tcW w:type="dxa" w:w="849"/>
            <w:tcBorders>
              <w:top w:color="000000" w:sz="4" w:val="single"/>
              <w:left w:color="000000" w:sz="4" w:val="single"/>
              <w:bottom w:color="000000" w:sz="4" w:val="single"/>
              <w:right w:color="000000" w:sz="4" w:val="single"/>
            </w:tcBorders>
            <w:shd w:fill="FFFFFF" w:val="clear"/>
            <w:vAlign w:val="center"/>
          </w:tcPr>
          <w:p w14:paraId="F236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F336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F4360000">
            <w:pPr>
              <w:widowControl w:val="1"/>
              <w:ind/>
              <w:jc w:val="center"/>
              <w:rPr>
                <w:sz w:val="18"/>
              </w:rPr>
            </w:pPr>
            <w:r>
              <w:rPr>
                <w:sz w:val="18"/>
              </w:rPr>
              <w:t>625,00</w:t>
            </w:r>
          </w:p>
        </w:tc>
        <w:tc>
          <w:tcPr>
            <w:tcW w:type="dxa" w:w="1134"/>
            <w:tcBorders>
              <w:top w:color="000000" w:sz="4" w:val="single"/>
              <w:left w:color="000000" w:sz="4" w:val="single"/>
              <w:bottom w:color="000000" w:sz="4" w:val="single"/>
              <w:right w:color="000000" w:sz="4" w:val="single"/>
            </w:tcBorders>
            <w:shd w:fill="FFFFFF" w:val="clear"/>
            <w:vAlign w:val="center"/>
          </w:tcPr>
          <w:p w14:paraId="F5360000">
            <w:pPr>
              <w:widowControl w:val="1"/>
              <w:ind/>
              <w:jc w:val="center"/>
              <w:rPr>
                <w:sz w:val="18"/>
              </w:rPr>
            </w:pPr>
            <w:r>
              <w:rPr>
                <w:sz w:val="18"/>
              </w:rPr>
              <w:t>625,00</w:t>
            </w:r>
          </w:p>
        </w:tc>
        <w:tc>
          <w:tcPr>
            <w:tcW w:type="dxa" w:w="993"/>
            <w:tcBorders>
              <w:top w:color="000000" w:sz="4" w:val="single"/>
              <w:left w:color="000000" w:sz="4" w:val="single"/>
              <w:bottom w:color="000000" w:sz="4" w:val="single"/>
              <w:right w:color="000000" w:sz="4" w:val="single"/>
            </w:tcBorders>
            <w:shd w:fill="FFFFFF" w:val="clear"/>
            <w:vAlign w:val="center"/>
          </w:tcPr>
          <w:p w14:paraId="F6360000">
            <w:pPr>
              <w:widowControl w:val="1"/>
              <w:ind/>
              <w:jc w:val="center"/>
              <w:rPr>
                <w:sz w:val="18"/>
              </w:rPr>
            </w:pPr>
            <w:r>
              <w:rPr>
                <w:sz w:val="18"/>
              </w:rPr>
              <w:t>март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F7360000">
            <w:pPr>
              <w:widowControl w:val="1"/>
              <w:ind/>
              <w:jc w:val="center"/>
              <w:rPr>
                <w:sz w:val="18"/>
              </w:rPr>
            </w:pPr>
            <w:r>
              <w:rPr>
                <w:sz w:val="18"/>
              </w:rPr>
              <w:t>март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F836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F936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FA36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FB360000">
            <w:pPr>
              <w:widowControl w:val="1"/>
              <w:ind/>
              <w:jc w:val="center"/>
              <w:rPr>
                <w:sz w:val="18"/>
              </w:rPr>
            </w:pPr>
            <w:r>
              <w:rPr>
                <w:sz w:val="18"/>
              </w:rPr>
              <w:t>625,00</w:t>
            </w:r>
          </w:p>
        </w:tc>
        <w:tc>
          <w:tcPr>
            <w:tcW w:type="dxa" w:w="1185"/>
            <w:tcBorders>
              <w:top w:color="000000" w:sz="4" w:val="single"/>
              <w:left w:color="000000" w:sz="4" w:val="single"/>
              <w:bottom w:color="000000" w:sz="4" w:val="single"/>
              <w:right w:color="000000" w:sz="4" w:val="single"/>
            </w:tcBorders>
            <w:shd w:fill="FFFFFF" w:val="clear"/>
            <w:vAlign w:val="center"/>
          </w:tcPr>
          <w:p w14:paraId="FC360000">
            <w:pPr>
              <w:widowControl w:val="1"/>
              <w:ind/>
              <w:jc w:val="center"/>
              <w:rPr>
                <w:sz w:val="18"/>
              </w:rPr>
            </w:pPr>
            <w:r>
              <w:rPr>
                <w:sz w:val="18"/>
              </w:rPr>
              <w:t>625,00</w:t>
            </w:r>
          </w:p>
        </w:tc>
        <w:tc>
          <w:tcPr>
            <w:tcW w:type="dxa" w:w="1083"/>
            <w:tcBorders>
              <w:top w:color="000000" w:sz="4" w:val="single"/>
              <w:left w:color="000000" w:sz="4" w:val="single"/>
              <w:bottom w:color="000000" w:sz="4" w:val="single"/>
              <w:right w:color="000000" w:sz="4" w:val="single"/>
            </w:tcBorders>
            <w:shd w:fill="FFFFFF" w:val="clear"/>
            <w:vAlign w:val="center"/>
          </w:tcPr>
          <w:p w14:paraId="FD360000">
            <w:pPr>
              <w:widowControl w:val="1"/>
              <w:ind/>
              <w:jc w:val="center"/>
              <w:rPr>
                <w:sz w:val="18"/>
              </w:rPr>
            </w:pPr>
            <w:r>
              <w:rPr>
                <w:sz w:val="18"/>
              </w:rPr>
              <w:t>625,00</w:t>
            </w:r>
          </w:p>
        </w:tc>
        <w:tc>
          <w:tcPr>
            <w:tcW w:type="dxa" w:w="771"/>
            <w:tcBorders>
              <w:top w:color="000000" w:sz="4" w:val="single"/>
              <w:left w:color="000000" w:sz="4" w:val="single"/>
              <w:bottom w:color="000000" w:sz="4" w:val="single"/>
              <w:right w:color="000000" w:sz="4" w:val="single"/>
            </w:tcBorders>
            <w:shd w:fill="FFFFFF" w:val="clear"/>
            <w:vAlign w:val="center"/>
          </w:tcPr>
          <w:p w14:paraId="FE360000">
            <w:pPr>
              <w:widowControl w:val="1"/>
              <w:ind/>
              <w:jc w:val="center"/>
              <w:rPr>
                <w:sz w:val="18"/>
              </w:rPr>
            </w:pPr>
            <w:r>
              <w:rPr>
                <w:sz w:val="18"/>
              </w:rPr>
              <w:t>март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FF360000">
            <w:pPr>
              <w:widowControl w:val="1"/>
              <w:ind/>
              <w:jc w:val="center"/>
              <w:rPr>
                <w:sz w:val="18"/>
              </w:rPr>
            </w:pPr>
            <w:r>
              <w:rPr>
                <w:sz w:val="18"/>
              </w:rPr>
              <w:t>март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00370000">
            <w:pPr>
              <w:widowControl w:val="1"/>
              <w:ind/>
              <w:jc w:val="center"/>
              <w:rPr>
                <w:sz w:val="18"/>
              </w:rPr>
            </w:pPr>
            <w:r>
              <w:rPr>
                <w:sz w:val="18"/>
              </w:rPr>
              <w:t>счет № 6758 от 20.03.2018</w:t>
            </w:r>
          </w:p>
        </w:tc>
      </w:tr>
      <w:tr>
        <w:trPr>
          <w:trHeight w:hRule="atLeast" w:val="2805"/>
        </w:trPr>
        <w:tc>
          <w:tcPr>
            <w:tcW w:type="dxa" w:w="708"/>
            <w:tcBorders>
              <w:top w:color="000000" w:sz="4" w:val="single"/>
              <w:left w:color="000000" w:sz="4" w:val="single"/>
              <w:bottom w:color="000000" w:sz="4" w:val="single"/>
              <w:right w:color="000000" w:sz="4" w:val="single"/>
            </w:tcBorders>
            <w:shd w:fill="auto" w:val="clear"/>
            <w:vAlign w:val="center"/>
          </w:tcPr>
          <w:p w14:paraId="01370000">
            <w:pPr>
              <w:widowControl w:val="1"/>
              <w:ind/>
              <w:jc w:val="center"/>
              <w:rPr>
                <w:color w:val="000000"/>
                <w:sz w:val="18"/>
              </w:rPr>
            </w:pPr>
            <w:r>
              <w:rPr>
                <w:color w:val="000000"/>
                <w:sz w:val="18"/>
              </w:rPr>
              <w:t>142</w:t>
            </w:r>
          </w:p>
        </w:tc>
        <w:tc>
          <w:tcPr>
            <w:tcW w:type="dxa" w:w="618"/>
            <w:tcBorders>
              <w:top w:color="000000" w:sz="4" w:val="single"/>
              <w:left w:color="000000" w:sz="4" w:val="single"/>
              <w:bottom w:color="000000" w:sz="4" w:val="single"/>
              <w:right w:color="000000" w:sz="4" w:val="single"/>
            </w:tcBorders>
            <w:shd w:fill="FFFFFF" w:val="clear"/>
            <w:vAlign w:val="center"/>
          </w:tcPr>
          <w:p w14:paraId="02370000">
            <w:pPr>
              <w:widowControl w:val="1"/>
              <w:ind/>
              <w:jc w:val="center"/>
              <w:rPr>
                <w:sz w:val="18"/>
              </w:rPr>
            </w:pPr>
            <w:r>
              <w:rPr>
                <w:sz w:val="18"/>
              </w:rPr>
              <w:t>65/2</w:t>
            </w:r>
          </w:p>
        </w:tc>
        <w:tc>
          <w:tcPr>
            <w:tcW w:type="dxa" w:w="993"/>
            <w:tcBorders>
              <w:top w:color="000000" w:sz="4" w:val="single"/>
              <w:left w:color="000000" w:sz="4" w:val="single"/>
              <w:bottom w:color="000000" w:sz="4" w:val="single"/>
              <w:right w:color="000000" w:sz="4" w:val="single"/>
            </w:tcBorders>
            <w:shd w:fill="FFFFFF" w:val="clear"/>
            <w:vAlign w:val="center"/>
          </w:tcPr>
          <w:p w14:paraId="03370000">
            <w:pPr>
              <w:widowControl w:val="1"/>
              <w:ind/>
              <w:jc w:val="center"/>
              <w:rPr>
                <w:sz w:val="18"/>
              </w:rPr>
            </w:pPr>
            <w:r>
              <w:rPr>
                <w:sz w:val="18"/>
              </w:rPr>
              <w:t>Оказание услуг по обучению персонала по программе повышения квалификации "Клиентоориентированная логистика пассажирских перевозок"</w:t>
            </w:r>
          </w:p>
        </w:tc>
        <w:tc>
          <w:tcPr>
            <w:tcW w:type="dxa" w:w="849"/>
            <w:tcBorders>
              <w:top w:color="000000" w:sz="4" w:val="single"/>
              <w:left w:color="000000" w:sz="4" w:val="single"/>
              <w:bottom w:color="000000" w:sz="4" w:val="single"/>
              <w:right w:color="000000" w:sz="4" w:val="single"/>
            </w:tcBorders>
            <w:shd w:fill="FFFFFF" w:val="clear"/>
            <w:vAlign w:val="center"/>
          </w:tcPr>
          <w:p w14:paraId="0437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05370000">
            <w:pPr>
              <w:widowControl w:val="1"/>
              <w:ind/>
              <w:jc w:val="center"/>
              <w:rPr>
                <w:sz w:val="18"/>
              </w:rPr>
            </w:pPr>
            <w:r>
              <w:rPr>
                <w:sz w:val="18"/>
              </w:rPr>
              <w:t>2</w:t>
            </w:r>
          </w:p>
        </w:tc>
        <w:tc>
          <w:tcPr>
            <w:tcW w:type="dxa" w:w="991"/>
            <w:tcBorders>
              <w:top w:color="000000" w:sz="4" w:val="single"/>
              <w:left w:color="000000" w:sz="4" w:val="single"/>
              <w:bottom w:color="000000" w:sz="4" w:val="single"/>
              <w:right w:color="000000" w:sz="4" w:val="single"/>
            </w:tcBorders>
            <w:shd w:fill="FFFFFF" w:val="clear"/>
            <w:vAlign w:val="center"/>
          </w:tcPr>
          <w:p w14:paraId="06370000">
            <w:pPr>
              <w:widowControl w:val="1"/>
              <w:ind/>
              <w:jc w:val="center"/>
              <w:rPr>
                <w:sz w:val="18"/>
              </w:rPr>
            </w:pPr>
            <w:r>
              <w:rPr>
                <w:sz w:val="18"/>
              </w:rPr>
              <w:t>52000,00</w:t>
            </w:r>
          </w:p>
        </w:tc>
        <w:tc>
          <w:tcPr>
            <w:tcW w:type="dxa" w:w="1134"/>
            <w:tcBorders>
              <w:top w:color="000000" w:sz="4" w:val="single"/>
              <w:left w:color="000000" w:sz="4" w:val="single"/>
              <w:bottom w:color="000000" w:sz="4" w:val="single"/>
              <w:right w:color="000000" w:sz="4" w:val="single"/>
            </w:tcBorders>
            <w:shd w:fill="FFFFFF" w:val="clear"/>
            <w:vAlign w:val="center"/>
          </w:tcPr>
          <w:p w14:paraId="07370000">
            <w:pPr>
              <w:widowControl w:val="1"/>
              <w:ind/>
              <w:jc w:val="center"/>
              <w:rPr>
                <w:sz w:val="18"/>
              </w:rPr>
            </w:pPr>
            <w:r>
              <w:rPr>
                <w:sz w:val="18"/>
              </w:rPr>
              <w:t>52000,00</w:t>
            </w:r>
          </w:p>
        </w:tc>
        <w:tc>
          <w:tcPr>
            <w:tcW w:type="dxa" w:w="993"/>
            <w:tcBorders>
              <w:top w:color="000000" w:sz="4" w:val="single"/>
              <w:left w:color="000000" w:sz="4" w:val="single"/>
              <w:bottom w:color="000000" w:sz="4" w:val="single"/>
              <w:right w:color="000000" w:sz="4" w:val="single"/>
            </w:tcBorders>
            <w:shd w:fill="FFFFFF" w:val="clear"/>
            <w:vAlign w:val="center"/>
          </w:tcPr>
          <w:p w14:paraId="08370000">
            <w:pPr>
              <w:widowControl w:val="1"/>
              <w:ind/>
              <w:jc w:val="center"/>
              <w:rPr>
                <w:sz w:val="18"/>
              </w:rPr>
            </w:pPr>
            <w:r>
              <w:rPr>
                <w:sz w:val="18"/>
              </w:rPr>
              <w:t>май 2018 г.</w:t>
            </w:r>
          </w:p>
        </w:tc>
        <w:tc>
          <w:tcPr>
            <w:tcW w:type="dxa" w:w="850"/>
            <w:tcBorders>
              <w:top w:color="000000" w:sz="4" w:val="single"/>
              <w:left w:color="000000" w:sz="4" w:val="single"/>
              <w:bottom w:color="000000" w:sz="4" w:val="single"/>
              <w:right w:color="000000" w:sz="4" w:val="single"/>
            </w:tcBorders>
            <w:shd w:fill="FFFFFF" w:val="clear"/>
            <w:vAlign w:val="center"/>
          </w:tcPr>
          <w:p w14:paraId="09370000">
            <w:pPr>
              <w:widowControl w:val="1"/>
              <w:ind/>
              <w:jc w:val="center"/>
              <w:rPr>
                <w:sz w:val="18"/>
              </w:rPr>
            </w:pPr>
            <w:r>
              <w:rPr>
                <w:sz w:val="18"/>
              </w:rPr>
              <w:t>май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0A37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0B37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0C370000">
            <w:pPr>
              <w:widowControl w:val="1"/>
              <w:ind/>
              <w:jc w:val="center"/>
              <w:rPr>
                <w:sz w:val="18"/>
              </w:rPr>
            </w:pPr>
            <w:r>
              <w:rPr>
                <w:sz w:val="18"/>
              </w:rPr>
              <w:t>2</w:t>
            </w:r>
          </w:p>
        </w:tc>
        <w:tc>
          <w:tcPr>
            <w:tcW w:type="dxa" w:w="1169"/>
            <w:tcBorders>
              <w:top w:color="000000" w:sz="4" w:val="single"/>
              <w:left w:color="000000" w:sz="4" w:val="single"/>
              <w:bottom w:color="000000" w:sz="4" w:val="single"/>
              <w:right w:color="000000" w:sz="4" w:val="single"/>
            </w:tcBorders>
            <w:shd w:fill="FFFFFF" w:val="clear"/>
            <w:vAlign w:val="center"/>
          </w:tcPr>
          <w:p w14:paraId="0D370000">
            <w:pPr>
              <w:widowControl w:val="1"/>
              <w:ind/>
              <w:jc w:val="center"/>
              <w:rPr>
                <w:sz w:val="18"/>
              </w:rPr>
            </w:pPr>
            <w:r>
              <w:rPr>
                <w:sz w:val="18"/>
              </w:rPr>
              <w:t>52000,00</w:t>
            </w:r>
          </w:p>
        </w:tc>
        <w:tc>
          <w:tcPr>
            <w:tcW w:type="dxa" w:w="1185"/>
            <w:tcBorders>
              <w:top w:color="000000" w:sz="4" w:val="single"/>
              <w:left w:color="000000" w:sz="4" w:val="single"/>
              <w:bottom w:color="000000" w:sz="4" w:val="single"/>
              <w:right w:color="000000" w:sz="4" w:val="single"/>
            </w:tcBorders>
            <w:shd w:fill="FFFFFF" w:val="clear"/>
            <w:vAlign w:val="center"/>
          </w:tcPr>
          <w:p w14:paraId="0E370000">
            <w:pPr>
              <w:widowControl w:val="1"/>
              <w:ind/>
              <w:jc w:val="center"/>
              <w:rPr>
                <w:sz w:val="18"/>
              </w:rPr>
            </w:pPr>
            <w:r>
              <w:rPr>
                <w:sz w:val="18"/>
              </w:rPr>
              <w:t>52000,00</w:t>
            </w:r>
          </w:p>
        </w:tc>
        <w:tc>
          <w:tcPr>
            <w:tcW w:type="dxa" w:w="1083"/>
            <w:tcBorders>
              <w:top w:color="000000" w:sz="4" w:val="single"/>
              <w:left w:color="000000" w:sz="4" w:val="single"/>
              <w:bottom w:color="000000" w:sz="4" w:val="single"/>
              <w:right w:color="000000" w:sz="4" w:val="single"/>
            </w:tcBorders>
            <w:shd w:fill="FFFFFF" w:val="clear"/>
            <w:vAlign w:val="center"/>
          </w:tcPr>
          <w:p w14:paraId="0F370000">
            <w:pPr>
              <w:widowControl w:val="1"/>
              <w:ind/>
              <w:jc w:val="center"/>
              <w:rPr>
                <w:sz w:val="18"/>
              </w:rPr>
            </w:pPr>
            <w:r>
              <w:rPr>
                <w:sz w:val="18"/>
              </w:rPr>
              <w:t>52000,00</w:t>
            </w:r>
          </w:p>
        </w:tc>
        <w:tc>
          <w:tcPr>
            <w:tcW w:type="dxa" w:w="771"/>
            <w:tcBorders>
              <w:top w:color="000000" w:sz="4" w:val="single"/>
              <w:left w:color="000000" w:sz="4" w:val="single"/>
              <w:bottom w:color="000000" w:sz="4" w:val="single"/>
              <w:right w:color="000000" w:sz="4" w:val="single"/>
            </w:tcBorders>
            <w:shd w:fill="FFFFFF" w:val="clear"/>
            <w:vAlign w:val="center"/>
          </w:tcPr>
          <w:p w14:paraId="10370000">
            <w:pPr>
              <w:widowControl w:val="1"/>
              <w:ind/>
              <w:jc w:val="center"/>
              <w:rPr>
                <w:sz w:val="18"/>
              </w:rPr>
            </w:pPr>
            <w:r>
              <w:rPr>
                <w:sz w:val="18"/>
              </w:rPr>
              <w:t>май 2018 г.</w:t>
            </w:r>
          </w:p>
        </w:tc>
        <w:tc>
          <w:tcPr>
            <w:tcW w:type="dxa" w:w="612"/>
            <w:tcBorders>
              <w:top w:color="000000" w:sz="4" w:val="single"/>
              <w:left w:color="000000" w:sz="4" w:val="single"/>
              <w:bottom w:color="000000" w:sz="4" w:val="single"/>
              <w:right w:color="000000" w:sz="4" w:val="single"/>
            </w:tcBorders>
            <w:shd w:fill="FFFFFF" w:val="clear"/>
            <w:vAlign w:val="center"/>
          </w:tcPr>
          <w:p w14:paraId="11370000">
            <w:pPr>
              <w:widowControl w:val="1"/>
              <w:ind/>
              <w:jc w:val="center"/>
              <w:rPr>
                <w:sz w:val="18"/>
              </w:rPr>
            </w:pPr>
            <w:r>
              <w:rPr>
                <w:sz w:val="18"/>
              </w:rPr>
              <w:t>май 2018 г.</w:t>
            </w:r>
          </w:p>
        </w:tc>
        <w:tc>
          <w:tcPr>
            <w:tcW w:type="dxa" w:w="709"/>
            <w:tcBorders>
              <w:top w:color="000000" w:sz="4" w:val="single"/>
              <w:left w:color="000000" w:sz="4" w:val="single"/>
              <w:bottom w:color="000000" w:sz="4" w:val="single"/>
              <w:right w:color="000000" w:sz="4" w:val="single"/>
            </w:tcBorders>
            <w:shd w:fill="FFFFFF" w:val="clear"/>
            <w:vAlign w:val="center"/>
          </w:tcPr>
          <w:p w14:paraId="12370000">
            <w:pPr>
              <w:widowControl w:val="1"/>
              <w:ind/>
              <w:jc w:val="center"/>
              <w:rPr>
                <w:sz w:val="18"/>
              </w:rPr>
            </w:pPr>
            <w:r>
              <w:rPr>
                <w:sz w:val="18"/>
              </w:rPr>
              <w:t>договор № 2018-кв-690 от 21.05.2018</w:t>
            </w:r>
          </w:p>
        </w:tc>
      </w:tr>
      <w:tr>
        <w:trPr>
          <w:trHeight w:hRule="atLeast" w:val="2295"/>
        </w:trPr>
        <w:tc>
          <w:tcPr>
            <w:tcW w:type="dxa" w:w="708"/>
            <w:tcBorders>
              <w:top w:color="000000" w:sz="4" w:val="single"/>
              <w:left w:color="000000" w:sz="4" w:val="single"/>
              <w:bottom w:color="000000" w:sz="4" w:val="single"/>
              <w:right w:color="000000" w:sz="4" w:val="single"/>
            </w:tcBorders>
            <w:shd w:fill="auto" w:val="clear"/>
            <w:vAlign w:val="center"/>
          </w:tcPr>
          <w:p w14:paraId="13370000">
            <w:pPr>
              <w:widowControl w:val="1"/>
              <w:ind/>
              <w:jc w:val="center"/>
              <w:rPr>
                <w:color w:val="000000"/>
                <w:sz w:val="18"/>
              </w:rPr>
            </w:pPr>
            <w:r>
              <w:rPr>
                <w:color w:val="000000"/>
                <w:sz w:val="18"/>
              </w:rPr>
              <w:t>143</w:t>
            </w:r>
          </w:p>
        </w:tc>
        <w:tc>
          <w:tcPr>
            <w:tcW w:type="dxa" w:w="618"/>
            <w:tcBorders>
              <w:top w:color="000000" w:sz="4" w:val="single"/>
              <w:left w:color="000000" w:sz="4" w:val="single"/>
              <w:bottom w:color="000000" w:sz="4" w:val="single"/>
              <w:right w:color="000000" w:sz="4" w:val="single"/>
            </w:tcBorders>
            <w:shd w:fill="FFFFFF" w:val="clear"/>
            <w:vAlign w:val="center"/>
          </w:tcPr>
          <w:p w14:paraId="14370000">
            <w:pPr>
              <w:widowControl w:val="1"/>
              <w:ind/>
              <w:jc w:val="center"/>
              <w:rPr>
                <w:sz w:val="18"/>
              </w:rPr>
            </w:pPr>
            <w:r>
              <w:rPr>
                <w:sz w:val="18"/>
              </w:rPr>
              <w:t>66/2</w:t>
            </w:r>
          </w:p>
        </w:tc>
        <w:tc>
          <w:tcPr>
            <w:tcW w:type="dxa" w:w="993"/>
            <w:tcBorders>
              <w:top w:color="000000" w:sz="4" w:val="single"/>
              <w:left w:color="000000" w:sz="4" w:val="single"/>
              <w:bottom w:color="000000" w:sz="4" w:val="single"/>
              <w:right w:color="000000" w:sz="4" w:val="single"/>
            </w:tcBorders>
            <w:shd w:fill="FFFFFF" w:val="clear"/>
            <w:vAlign w:val="center"/>
          </w:tcPr>
          <w:p w14:paraId="15370000">
            <w:pPr>
              <w:widowControl w:val="1"/>
              <w:ind/>
              <w:jc w:val="center"/>
              <w:rPr>
                <w:sz w:val="18"/>
              </w:rPr>
            </w:pPr>
            <w:r>
              <w:rPr>
                <w:sz w:val="18"/>
              </w:rPr>
              <w:t>оказание услуг по обучению по программе повышения квалификации "Переговоры: от борьбы к сотрудничеству"</w:t>
            </w:r>
          </w:p>
        </w:tc>
        <w:tc>
          <w:tcPr>
            <w:tcW w:type="dxa" w:w="849"/>
            <w:tcBorders>
              <w:top w:color="000000" w:sz="4" w:val="single"/>
              <w:left w:color="000000" w:sz="4" w:val="single"/>
              <w:bottom w:color="000000" w:sz="4" w:val="single"/>
              <w:right w:color="000000" w:sz="4" w:val="single"/>
            </w:tcBorders>
            <w:shd w:fill="FFFFFF" w:val="clear"/>
            <w:vAlign w:val="center"/>
          </w:tcPr>
          <w:p w14:paraId="1637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1737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18370000">
            <w:pPr>
              <w:widowControl w:val="1"/>
              <w:ind/>
              <w:jc w:val="center"/>
              <w:rPr>
                <w:sz w:val="18"/>
              </w:rPr>
            </w:pPr>
            <w:r>
              <w:rPr>
                <w:sz w:val="18"/>
              </w:rPr>
              <w:t>19000,00</w:t>
            </w:r>
          </w:p>
        </w:tc>
        <w:tc>
          <w:tcPr>
            <w:tcW w:type="dxa" w:w="1134"/>
            <w:tcBorders>
              <w:top w:color="000000" w:sz="4" w:val="single"/>
              <w:left w:color="000000" w:sz="4" w:val="single"/>
              <w:bottom w:color="000000" w:sz="4" w:val="single"/>
              <w:right w:color="000000" w:sz="4" w:val="single"/>
            </w:tcBorders>
            <w:shd w:fill="FFFFFF" w:val="clear"/>
            <w:vAlign w:val="center"/>
          </w:tcPr>
          <w:p w14:paraId="19370000">
            <w:pPr>
              <w:widowControl w:val="1"/>
              <w:ind/>
              <w:jc w:val="center"/>
              <w:rPr>
                <w:sz w:val="18"/>
              </w:rPr>
            </w:pPr>
            <w:r>
              <w:rPr>
                <w:sz w:val="18"/>
              </w:rPr>
              <w:t>19000,00</w:t>
            </w:r>
          </w:p>
        </w:tc>
        <w:tc>
          <w:tcPr>
            <w:tcW w:type="dxa" w:w="993"/>
            <w:tcBorders>
              <w:top w:color="000000" w:sz="4" w:val="single"/>
              <w:left w:color="000000" w:sz="4" w:val="single"/>
              <w:bottom w:color="000000" w:sz="4" w:val="single"/>
              <w:right w:color="000000" w:sz="4" w:val="single"/>
            </w:tcBorders>
            <w:shd w:fill="FFFFFF" w:val="clear"/>
            <w:vAlign w:val="center"/>
          </w:tcPr>
          <w:p w14:paraId="1A370000">
            <w:pPr>
              <w:widowControl w:val="1"/>
              <w:ind/>
              <w:jc w:val="center"/>
              <w:rPr>
                <w:sz w:val="18"/>
              </w:rPr>
            </w:pPr>
            <w:r>
              <w:rPr>
                <w:sz w:val="18"/>
              </w:rPr>
              <w:t>май 2018 г.</w:t>
            </w:r>
          </w:p>
        </w:tc>
        <w:tc>
          <w:tcPr>
            <w:tcW w:type="dxa" w:w="850"/>
            <w:tcBorders>
              <w:top w:color="000000" w:sz="4" w:val="single"/>
              <w:left w:color="000000" w:sz="4" w:val="single"/>
              <w:bottom w:color="000000" w:sz="4" w:val="single"/>
              <w:right w:color="000000" w:sz="4" w:val="single"/>
            </w:tcBorders>
            <w:shd w:fill="FFFFFF" w:val="clear"/>
            <w:vAlign w:val="center"/>
          </w:tcPr>
          <w:p w14:paraId="1B370000">
            <w:pPr>
              <w:widowControl w:val="1"/>
              <w:ind/>
              <w:jc w:val="center"/>
              <w:rPr>
                <w:sz w:val="18"/>
              </w:rPr>
            </w:pPr>
            <w:r>
              <w:rPr>
                <w:sz w:val="18"/>
              </w:rPr>
              <w:t>май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1C37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1D37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1E37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1F370000">
            <w:pPr>
              <w:widowControl w:val="1"/>
              <w:ind/>
              <w:jc w:val="center"/>
              <w:rPr>
                <w:sz w:val="18"/>
              </w:rPr>
            </w:pPr>
            <w:r>
              <w:rPr>
                <w:sz w:val="18"/>
              </w:rPr>
              <w:t>19000,00</w:t>
            </w:r>
          </w:p>
        </w:tc>
        <w:tc>
          <w:tcPr>
            <w:tcW w:type="dxa" w:w="1185"/>
            <w:tcBorders>
              <w:top w:color="000000" w:sz="4" w:val="single"/>
              <w:left w:color="000000" w:sz="4" w:val="single"/>
              <w:bottom w:color="000000" w:sz="4" w:val="single"/>
              <w:right w:color="000000" w:sz="4" w:val="single"/>
            </w:tcBorders>
            <w:shd w:fill="FFFFFF" w:val="clear"/>
            <w:vAlign w:val="center"/>
          </w:tcPr>
          <w:p w14:paraId="20370000">
            <w:pPr>
              <w:widowControl w:val="1"/>
              <w:ind/>
              <w:jc w:val="center"/>
              <w:rPr>
                <w:sz w:val="18"/>
              </w:rPr>
            </w:pPr>
            <w:r>
              <w:rPr>
                <w:sz w:val="18"/>
              </w:rPr>
              <w:t>19000,00</w:t>
            </w:r>
          </w:p>
        </w:tc>
        <w:tc>
          <w:tcPr>
            <w:tcW w:type="dxa" w:w="1083"/>
            <w:tcBorders>
              <w:top w:color="000000" w:sz="4" w:val="single"/>
              <w:left w:color="000000" w:sz="4" w:val="single"/>
              <w:bottom w:color="000000" w:sz="4" w:val="single"/>
              <w:right w:color="000000" w:sz="4" w:val="single"/>
            </w:tcBorders>
            <w:shd w:fill="FFFFFF" w:val="clear"/>
            <w:vAlign w:val="center"/>
          </w:tcPr>
          <w:p w14:paraId="21370000">
            <w:pPr>
              <w:widowControl w:val="1"/>
              <w:ind/>
              <w:jc w:val="center"/>
              <w:rPr>
                <w:sz w:val="18"/>
              </w:rPr>
            </w:pPr>
            <w:r>
              <w:rPr>
                <w:sz w:val="18"/>
              </w:rPr>
              <w:t>19000,00</w:t>
            </w:r>
          </w:p>
        </w:tc>
        <w:tc>
          <w:tcPr>
            <w:tcW w:type="dxa" w:w="771"/>
            <w:tcBorders>
              <w:top w:color="000000" w:sz="4" w:val="single"/>
              <w:left w:color="000000" w:sz="4" w:val="single"/>
              <w:bottom w:color="000000" w:sz="4" w:val="single"/>
              <w:right w:color="000000" w:sz="4" w:val="single"/>
            </w:tcBorders>
            <w:shd w:fill="FFFFFF" w:val="clear"/>
            <w:vAlign w:val="center"/>
          </w:tcPr>
          <w:p w14:paraId="22370000">
            <w:pPr>
              <w:widowControl w:val="1"/>
              <w:ind/>
              <w:jc w:val="center"/>
              <w:rPr>
                <w:sz w:val="18"/>
              </w:rPr>
            </w:pPr>
            <w:r>
              <w:rPr>
                <w:sz w:val="18"/>
              </w:rPr>
              <w:t>май 2018 г.</w:t>
            </w:r>
          </w:p>
        </w:tc>
        <w:tc>
          <w:tcPr>
            <w:tcW w:type="dxa" w:w="612"/>
            <w:tcBorders>
              <w:top w:color="000000" w:sz="4" w:val="single"/>
              <w:left w:color="000000" w:sz="4" w:val="single"/>
              <w:bottom w:color="000000" w:sz="4" w:val="single"/>
              <w:right w:color="000000" w:sz="4" w:val="single"/>
            </w:tcBorders>
            <w:shd w:fill="FFFFFF" w:val="clear"/>
            <w:vAlign w:val="center"/>
          </w:tcPr>
          <w:p w14:paraId="23370000">
            <w:pPr>
              <w:widowControl w:val="1"/>
              <w:ind/>
              <w:jc w:val="center"/>
              <w:rPr>
                <w:sz w:val="18"/>
              </w:rPr>
            </w:pPr>
            <w:r>
              <w:rPr>
                <w:sz w:val="18"/>
              </w:rPr>
              <w:t>май 2018 г.</w:t>
            </w:r>
          </w:p>
        </w:tc>
        <w:tc>
          <w:tcPr>
            <w:tcW w:type="dxa" w:w="709"/>
            <w:tcBorders>
              <w:top w:color="000000" w:sz="4" w:val="single"/>
              <w:left w:color="000000" w:sz="4" w:val="single"/>
              <w:bottom w:color="000000" w:sz="4" w:val="single"/>
              <w:right w:color="000000" w:sz="4" w:val="single"/>
            </w:tcBorders>
            <w:shd w:fill="FFFFFF" w:val="clear"/>
            <w:vAlign w:val="center"/>
          </w:tcPr>
          <w:p w14:paraId="24370000">
            <w:pPr>
              <w:widowControl w:val="1"/>
              <w:ind/>
              <w:jc w:val="center"/>
              <w:rPr>
                <w:sz w:val="18"/>
              </w:rPr>
            </w:pPr>
            <w:r>
              <w:rPr>
                <w:sz w:val="18"/>
              </w:rPr>
              <w:t>договор № ДК 42-18-ЦРКК от 03.05.2018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25370000">
            <w:pPr>
              <w:widowControl w:val="1"/>
              <w:ind/>
              <w:jc w:val="center"/>
              <w:rPr>
                <w:color w:val="000000"/>
                <w:sz w:val="18"/>
              </w:rPr>
            </w:pPr>
            <w:r>
              <w:rPr>
                <w:color w:val="000000"/>
                <w:sz w:val="18"/>
              </w:rPr>
              <w:t>144</w:t>
            </w:r>
          </w:p>
        </w:tc>
        <w:tc>
          <w:tcPr>
            <w:tcW w:type="dxa" w:w="618"/>
            <w:tcBorders>
              <w:top w:color="000000" w:sz="4" w:val="single"/>
              <w:left w:color="000000" w:sz="4" w:val="single"/>
              <w:bottom w:color="000000" w:sz="4" w:val="single"/>
              <w:right w:color="000000" w:sz="4" w:val="single"/>
            </w:tcBorders>
            <w:shd w:fill="FFFFFF" w:val="clear"/>
            <w:vAlign w:val="center"/>
          </w:tcPr>
          <w:p w14:paraId="26370000">
            <w:pPr>
              <w:widowControl w:val="1"/>
              <w:ind/>
              <w:jc w:val="center"/>
              <w:rPr>
                <w:sz w:val="18"/>
              </w:rPr>
            </w:pPr>
            <w:r>
              <w:rPr>
                <w:sz w:val="18"/>
              </w:rPr>
              <w:t>67/2</w:t>
            </w:r>
          </w:p>
        </w:tc>
        <w:tc>
          <w:tcPr>
            <w:tcW w:type="dxa" w:w="993"/>
            <w:tcBorders>
              <w:top w:color="000000" w:sz="4" w:val="single"/>
              <w:left w:color="000000" w:sz="4" w:val="single"/>
              <w:bottom w:color="000000" w:sz="4" w:val="single"/>
              <w:right w:color="000000" w:sz="4" w:val="single"/>
            </w:tcBorders>
            <w:shd w:fill="FFFFFF" w:val="clear"/>
            <w:vAlign w:val="center"/>
          </w:tcPr>
          <w:p w14:paraId="27370000">
            <w:pPr>
              <w:widowControl w:val="1"/>
              <w:ind/>
              <w:jc w:val="center"/>
              <w:rPr>
                <w:sz w:val="18"/>
              </w:rPr>
            </w:pPr>
            <w:r>
              <w:rPr>
                <w:sz w:val="18"/>
              </w:rPr>
              <w:t>поставка портативного биотуалета</w:t>
            </w:r>
          </w:p>
        </w:tc>
        <w:tc>
          <w:tcPr>
            <w:tcW w:type="dxa" w:w="849"/>
            <w:tcBorders>
              <w:top w:color="000000" w:sz="4" w:val="single"/>
              <w:left w:color="000000" w:sz="4" w:val="single"/>
              <w:bottom w:color="000000" w:sz="4" w:val="single"/>
              <w:right w:color="000000" w:sz="4" w:val="single"/>
            </w:tcBorders>
            <w:shd w:fill="FFFFFF" w:val="clear"/>
            <w:vAlign w:val="center"/>
          </w:tcPr>
          <w:p w14:paraId="2837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2937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2A370000">
            <w:pPr>
              <w:widowControl w:val="1"/>
              <w:ind/>
              <w:jc w:val="center"/>
              <w:rPr>
                <w:sz w:val="18"/>
              </w:rPr>
            </w:pPr>
            <w:r>
              <w:rPr>
                <w:sz w:val="18"/>
              </w:rPr>
              <w:t>5500,00</w:t>
            </w:r>
          </w:p>
        </w:tc>
        <w:tc>
          <w:tcPr>
            <w:tcW w:type="dxa" w:w="1134"/>
            <w:tcBorders>
              <w:top w:color="000000" w:sz="4" w:val="single"/>
              <w:left w:color="000000" w:sz="4" w:val="single"/>
              <w:bottom w:color="000000" w:sz="4" w:val="single"/>
              <w:right w:color="000000" w:sz="4" w:val="single"/>
            </w:tcBorders>
            <w:shd w:fill="FFFFFF" w:val="clear"/>
            <w:vAlign w:val="center"/>
          </w:tcPr>
          <w:p w14:paraId="2B370000">
            <w:pPr>
              <w:widowControl w:val="1"/>
              <w:ind/>
              <w:jc w:val="center"/>
              <w:rPr>
                <w:sz w:val="18"/>
              </w:rPr>
            </w:pPr>
            <w:r>
              <w:rPr>
                <w:sz w:val="18"/>
              </w:rPr>
              <w:t>5500,00</w:t>
            </w:r>
          </w:p>
        </w:tc>
        <w:tc>
          <w:tcPr>
            <w:tcW w:type="dxa" w:w="993"/>
            <w:tcBorders>
              <w:top w:color="000000" w:sz="4" w:val="single"/>
              <w:left w:color="000000" w:sz="4" w:val="single"/>
              <w:bottom w:color="000000" w:sz="4" w:val="single"/>
              <w:right w:color="000000" w:sz="4" w:val="single"/>
            </w:tcBorders>
            <w:shd w:fill="FFFFFF" w:val="clear"/>
            <w:vAlign w:val="center"/>
          </w:tcPr>
          <w:p w14:paraId="2C370000">
            <w:pPr>
              <w:widowControl w:val="1"/>
              <w:ind/>
              <w:jc w:val="center"/>
              <w:rPr>
                <w:sz w:val="18"/>
              </w:rPr>
            </w:pPr>
            <w:r>
              <w:rPr>
                <w:sz w:val="18"/>
              </w:rPr>
              <w:t>апрель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2D370000">
            <w:pPr>
              <w:widowControl w:val="1"/>
              <w:ind/>
              <w:jc w:val="center"/>
              <w:rPr>
                <w:sz w:val="18"/>
              </w:rPr>
            </w:pPr>
            <w:r>
              <w:rPr>
                <w:sz w:val="18"/>
              </w:rPr>
              <w:t>апрель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2E37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2F37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3037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31370000">
            <w:pPr>
              <w:widowControl w:val="1"/>
              <w:ind/>
              <w:jc w:val="center"/>
              <w:rPr>
                <w:sz w:val="18"/>
              </w:rPr>
            </w:pPr>
            <w:r>
              <w:rPr>
                <w:sz w:val="18"/>
              </w:rPr>
              <w:t>15,00</w:t>
            </w:r>
          </w:p>
        </w:tc>
        <w:tc>
          <w:tcPr>
            <w:tcW w:type="dxa" w:w="1185"/>
            <w:tcBorders>
              <w:top w:color="000000" w:sz="4" w:val="single"/>
              <w:left w:color="000000" w:sz="4" w:val="single"/>
              <w:bottom w:color="000000" w:sz="4" w:val="single"/>
              <w:right w:color="000000" w:sz="4" w:val="single"/>
            </w:tcBorders>
            <w:shd w:fill="FFFFFF" w:val="clear"/>
            <w:vAlign w:val="center"/>
          </w:tcPr>
          <w:p w14:paraId="32370000">
            <w:pPr>
              <w:widowControl w:val="1"/>
              <w:ind/>
              <w:jc w:val="center"/>
              <w:rPr>
                <w:sz w:val="18"/>
              </w:rPr>
            </w:pPr>
            <w:r>
              <w:rPr>
                <w:sz w:val="18"/>
              </w:rPr>
              <w:t>5500,00</w:t>
            </w:r>
          </w:p>
        </w:tc>
        <w:tc>
          <w:tcPr>
            <w:tcW w:type="dxa" w:w="1083"/>
            <w:tcBorders>
              <w:top w:color="000000" w:sz="4" w:val="single"/>
              <w:left w:color="000000" w:sz="4" w:val="single"/>
              <w:bottom w:color="000000" w:sz="4" w:val="single"/>
              <w:right w:color="000000" w:sz="4" w:val="single"/>
            </w:tcBorders>
            <w:shd w:fill="FFFFFF" w:val="clear"/>
            <w:vAlign w:val="center"/>
          </w:tcPr>
          <w:p w14:paraId="33370000">
            <w:pPr>
              <w:widowControl w:val="1"/>
              <w:ind/>
              <w:jc w:val="center"/>
              <w:rPr>
                <w:sz w:val="18"/>
              </w:rPr>
            </w:pPr>
            <w:r>
              <w:rPr>
                <w:sz w:val="18"/>
              </w:rPr>
              <w:t>5500,00</w:t>
            </w:r>
          </w:p>
        </w:tc>
        <w:tc>
          <w:tcPr>
            <w:tcW w:type="dxa" w:w="771"/>
            <w:tcBorders>
              <w:top w:color="000000" w:sz="4" w:val="single"/>
              <w:left w:color="000000" w:sz="4" w:val="single"/>
              <w:bottom w:color="000000" w:sz="4" w:val="single"/>
              <w:right w:color="000000" w:sz="4" w:val="single"/>
            </w:tcBorders>
            <w:shd w:fill="FFFFFF" w:val="clear"/>
            <w:vAlign w:val="center"/>
          </w:tcPr>
          <w:p w14:paraId="34370000">
            <w:pPr>
              <w:widowControl w:val="1"/>
              <w:ind/>
              <w:jc w:val="center"/>
              <w:rPr>
                <w:sz w:val="18"/>
              </w:rPr>
            </w:pPr>
            <w:r>
              <w:rPr>
                <w:sz w:val="18"/>
              </w:rPr>
              <w:t>апрель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35370000">
            <w:pPr>
              <w:widowControl w:val="1"/>
              <w:ind/>
              <w:jc w:val="center"/>
              <w:rPr>
                <w:sz w:val="18"/>
              </w:rPr>
            </w:pPr>
            <w:r>
              <w:rPr>
                <w:sz w:val="18"/>
              </w:rPr>
              <w:t>апрель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36370000">
            <w:pPr>
              <w:widowControl w:val="1"/>
              <w:ind/>
              <w:jc w:val="center"/>
              <w:rPr>
                <w:sz w:val="18"/>
              </w:rPr>
            </w:pPr>
            <w:r>
              <w:rPr>
                <w:sz w:val="18"/>
              </w:rPr>
              <w:t>счет № 222 от 02.04.2018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37370000">
            <w:pPr>
              <w:widowControl w:val="1"/>
              <w:ind/>
              <w:jc w:val="center"/>
              <w:rPr>
                <w:color w:val="000000"/>
                <w:sz w:val="18"/>
              </w:rPr>
            </w:pPr>
            <w:r>
              <w:rPr>
                <w:color w:val="000000"/>
                <w:sz w:val="18"/>
              </w:rPr>
              <w:t>145</w:t>
            </w:r>
          </w:p>
        </w:tc>
        <w:tc>
          <w:tcPr>
            <w:tcW w:type="dxa" w:w="618"/>
            <w:tcBorders>
              <w:top w:color="000000" w:sz="4" w:val="single"/>
              <w:left w:color="000000" w:sz="4" w:val="single"/>
              <w:bottom w:color="000000" w:sz="4" w:val="single"/>
              <w:right w:color="000000" w:sz="4" w:val="single"/>
            </w:tcBorders>
            <w:shd w:fill="FFFFFF" w:val="clear"/>
            <w:vAlign w:val="center"/>
          </w:tcPr>
          <w:p w14:paraId="38370000">
            <w:pPr>
              <w:widowControl w:val="1"/>
              <w:ind/>
              <w:jc w:val="center"/>
              <w:rPr>
                <w:sz w:val="18"/>
              </w:rPr>
            </w:pPr>
            <w:r>
              <w:rPr>
                <w:sz w:val="18"/>
              </w:rPr>
              <w:t>68/2</w:t>
            </w:r>
          </w:p>
        </w:tc>
        <w:tc>
          <w:tcPr>
            <w:tcW w:type="dxa" w:w="993"/>
            <w:tcBorders>
              <w:top w:color="000000" w:sz="4" w:val="single"/>
              <w:left w:color="000000" w:sz="4" w:val="single"/>
              <w:bottom w:color="000000" w:sz="4" w:val="single"/>
              <w:right w:color="000000" w:sz="4" w:val="single"/>
            </w:tcBorders>
            <w:shd w:fill="FFFFFF" w:val="clear"/>
            <w:vAlign w:val="center"/>
          </w:tcPr>
          <w:p w14:paraId="39370000">
            <w:pPr>
              <w:widowControl w:val="1"/>
              <w:ind/>
              <w:jc w:val="center"/>
              <w:rPr>
                <w:sz w:val="18"/>
              </w:rPr>
            </w:pPr>
            <w:r>
              <w:rPr>
                <w:sz w:val="18"/>
              </w:rPr>
              <w:t>оказание услуг по перерегистрации в системе раскрытия информации</w:t>
            </w:r>
          </w:p>
        </w:tc>
        <w:tc>
          <w:tcPr>
            <w:tcW w:type="dxa" w:w="849"/>
            <w:tcBorders>
              <w:top w:color="000000" w:sz="4" w:val="single"/>
              <w:left w:color="000000" w:sz="4" w:val="single"/>
              <w:bottom w:color="000000" w:sz="4" w:val="single"/>
              <w:right w:color="000000" w:sz="4" w:val="single"/>
            </w:tcBorders>
            <w:shd w:fill="FFFFFF" w:val="clear"/>
            <w:vAlign w:val="center"/>
          </w:tcPr>
          <w:p w14:paraId="3A37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3B37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3C370000">
            <w:pPr>
              <w:widowControl w:val="1"/>
              <w:ind/>
              <w:jc w:val="center"/>
              <w:rPr>
                <w:sz w:val="18"/>
              </w:rPr>
            </w:pPr>
            <w:r>
              <w:rPr>
                <w:sz w:val="18"/>
              </w:rPr>
              <w:t>3800,00</w:t>
            </w:r>
          </w:p>
        </w:tc>
        <w:tc>
          <w:tcPr>
            <w:tcW w:type="dxa" w:w="1134"/>
            <w:tcBorders>
              <w:top w:color="000000" w:sz="4" w:val="single"/>
              <w:left w:color="000000" w:sz="4" w:val="single"/>
              <w:bottom w:color="000000" w:sz="4" w:val="single"/>
              <w:right w:color="000000" w:sz="4" w:val="single"/>
            </w:tcBorders>
            <w:shd w:fill="FFFFFF" w:val="clear"/>
            <w:vAlign w:val="center"/>
          </w:tcPr>
          <w:p w14:paraId="3D370000">
            <w:pPr>
              <w:widowControl w:val="1"/>
              <w:ind/>
              <w:jc w:val="center"/>
              <w:rPr>
                <w:sz w:val="18"/>
              </w:rPr>
            </w:pPr>
            <w:r>
              <w:rPr>
                <w:sz w:val="18"/>
              </w:rPr>
              <w:t>4484,00</w:t>
            </w:r>
          </w:p>
        </w:tc>
        <w:tc>
          <w:tcPr>
            <w:tcW w:type="dxa" w:w="993"/>
            <w:tcBorders>
              <w:top w:color="000000" w:sz="4" w:val="single"/>
              <w:left w:color="000000" w:sz="4" w:val="single"/>
              <w:bottom w:color="000000" w:sz="4" w:val="single"/>
              <w:right w:color="000000" w:sz="4" w:val="single"/>
            </w:tcBorders>
            <w:shd w:fill="FFFFFF" w:val="clear"/>
            <w:vAlign w:val="center"/>
          </w:tcPr>
          <w:p w14:paraId="3E370000">
            <w:pPr>
              <w:widowControl w:val="1"/>
              <w:ind/>
              <w:jc w:val="center"/>
              <w:rPr>
                <w:sz w:val="18"/>
              </w:rPr>
            </w:pPr>
            <w:r>
              <w:rPr>
                <w:sz w:val="18"/>
              </w:rPr>
              <w:t>апрель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3F370000">
            <w:pPr>
              <w:widowControl w:val="1"/>
              <w:ind/>
              <w:jc w:val="center"/>
              <w:rPr>
                <w:sz w:val="18"/>
              </w:rPr>
            </w:pPr>
            <w:r>
              <w:rPr>
                <w:sz w:val="18"/>
              </w:rPr>
              <w:t>апрель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4037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4137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4237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43370000">
            <w:pPr>
              <w:widowControl w:val="1"/>
              <w:ind/>
              <w:jc w:val="center"/>
              <w:rPr>
                <w:sz w:val="18"/>
              </w:rPr>
            </w:pPr>
            <w:r>
              <w:rPr>
                <w:sz w:val="18"/>
              </w:rPr>
              <w:t>3800,00</w:t>
            </w:r>
          </w:p>
        </w:tc>
        <w:tc>
          <w:tcPr>
            <w:tcW w:type="dxa" w:w="1185"/>
            <w:tcBorders>
              <w:top w:color="000000" w:sz="4" w:val="single"/>
              <w:left w:color="000000" w:sz="4" w:val="single"/>
              <w:bottom w:color="000000" w:sz="4" w:val="single"/>
              <w:right w:color="000000" w:sz="4" w:val="single"/>
            </w:tcBorders>
            <w:shd w:fill="FFFFFF" w:val="clear"/>
            <w:vAlign w:val="center"/>
          </w:tcPr>
          <w:p w14:paraId="44370000">
            <w:pPr>
              <w:widowControl w:val="1"/>
              <w:ind/>
              <w:jc w:val="center"/>
              <w:rPr>
                <w:sz w:val="18"/>
              </w:rPr>
            </w:pPr>
            <w:r>
              <w:rPr>
                <w:sz w:val="18"/>
              </w:rPr>
              <w:t>4484,00</w:t>
            </w:r>
          </w:p>
        </w:tc>
        <w:tc>
          <w:tcPr>
            <w:tcW w:type="dxa" w:w="1083"/>
            <w:tcBorders>
              <w:top w:color="000000" w:sz="4" w:val="single"/>
              <w:left w:color="000000" w:sz="4" w:val="single"/>
              <w:bottom w:color="000000" w:sz="4" w:val="single"/>
              <w:right w:color="000000" w:sz="4" w:val="single"/>
            </w:tcBorders>
            <w:shd w:fill="FFFFFF" w:val="clear"/>
            <w:vAlign w:val="center"/>
          </w:tcPr>
          <w:p w14:paraId="45370000">
            <w:pPr>
              <w:widowControl w:val="1"/>
              <w:ind/>
              <w:jc w:val="center"/>
              <w:rPr>
                <w:sz w:val="18"/>
              </w:rPr>
            </w:pPr>
            <w:r>
              <w:rPr>
                <w:sz w:val="18"/>
              </w:rPr>
              <w:t>4484,00</w:t>
            </w:r>
          </w:p>
        </w:tc>
        <w:tc>
          <w:tcPr>
            <w:tcW w:type="dxa" w:w="771"/>
            <w:tcBorders>
              <w:top w:color="000000" w:sz="4" w:val="single"/>
              <w:left w:color="000000" w:sz="4" w:val="single"/>
              <w:bottom w:color="000000" w:sz="4" w:val="single"/>
              <w:right w:color="000000" w:sz="4" w:val="single"/>
            </w:tcBorders>
            <w:shd w:fill="FFFFFF" w:val="clear"/>
            <w:vAlign w:val="center"/>
          </w:tcPr>
          <w:p w14:paraId="46370000">
            <w:pPr>
              <w:widowControl w:val="1"/>
              <w:ind/>
              <w:jc w:val="center"/>
              <w:rPr>
                <w:sz w:val="18"/>
              </w:rPr>
            </w:pPr>
            <w:r>
              <w:rPr>
                <w:sz w:val="18"/>
              </w:rPr>
              <w:t>апрель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47370000">
            <w:pPr>
              <w:widowControl w:val="1"/>
              <w:ind/>
              <w:jc w:val="center"/>
              <w:rPr>
                <w:sz w:val="18"/>
              </w:rPr>
            </w:pPr>
            <w:r>
              <w:rPr>
                <w:sz w:val="18"/>
              </w:rPr>
              <w:t>апрель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48370000">
            <w:pPr>
              <w:widowControl w:val="1"/>
              <w:ind/>
              <w:jc w:val="center"/>
              <w:rPr>
                <w:sz w:val="18"/>
              </w:rPr>
            </w:pPr>
            <w:r>
              <w:rPr>
                <w:sz w:val="18"/>
              </w:rPr>
              <w:t>счет № 62791 от 11.04.2018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49370000">
            <w:pPr>
              <w:widowControl w:val="1"/>
              <w:ind/>
              <w:jc w:val="center"/>
              <w:rPr>
                <w:color w:val="000000"/>
                <w:sz w:val="18"/>
              </w:rPr>
            </w:pPr>
            <w:r>
              <w:rPr>
                <w:color w:val="000000"/>
                <w:sz w:val="18"/>
              </w:rPr>
              <w:t>146</w:t>
            </w:r>
          </w:p>
        </w:tc>
        <w:tc>
          <w:tcPr>
            <w:tcW w:type="dxa" w:w="618"/>
            <w:tcBorders>
              <w:top w:color="000000" w:sz="4" w:val="single"/>
              <w:left w:color="000000" w:sz="4" w:val="single"/>
              <w:bottom w:color="000000" w:sz="4" w:val="single"/>
              <w:right w:color="000000" w:sz="4" w:val="single"/>
            </w:tcBorders>
            <w:shd w:fill="FFFFFF" w:val="clear"/>
            <w:vAlign w:val="center"/>
          </w:tcPr>
          <w:p w14:paraId="4A370000">
            <w:pPr>
              <w:widowControl w:val="1"/>
              <w:ind/>
              <w:jc w:val="center"/>
              <w:rPr>
                <w:sz w:val="18"/>
              </w:rPr>
            </w:pPr>
            <w:r>
              <w:rPr>
                <w:sz w:val="18"/>
              </w:rPr>
              <w:t>69/2</w:t>
            </w:r>
          </w:p>
        </w:tc>
        <w:tc>
          <w:tcPr>
            <w:tcW w:type="dxa" w:w="993"/>
            <w:tcBorders>
              <w:top w:color="000000" w:sz="4" w:val="single"/>
              <w:left w:color="000000" w:sz="4" w:val="single"/>
              <w:bottom w:color="000000" w:sz="4" w:val="single"/>
              <w:right w:color="000000" w:sz="4" w:val="single"/>
            </w:tcBorders>
            <w:shd w:fill="FFFFFF" w:val="clear"/>
            <w:vAlign w:val="center"/>
          </w:tcPr>
          <w:p w14:paraId="4B370000">
            <w:pPr>
              <w:widowControl w:val="1"/>
              <w:ind/>
              <w:jc w:val="center"/>
              <w:rPr>
                <w:sz w:val="18"/>
              </w:rPr>
            </w:pPr>
            <w:r>
              <w:rPr>
                <w:sz w:val="18"/>
              </w:rPr>
              <w:t>выполнение работ по изготовлению штампа с автоматической оснаской</w:t>
            </w:r>
          </w:p>
        </w:tc>
        <w:tc>
          <w:tcPr>
            <w:tcW w:type="dxa" w:w="849"/>
            <w:tcBorders>
              <w:top w:color="000000" w:sz="4" w:val="single"/>
              <w:left w:color="000000" w:sz="4" w:val="single"/>
              <w:bottom w:color="000000" w:sz="4" w:val="single"/>
              <w:right w:color="000000" w:sz="4" w:val="single"/>
            </w:tcBorders>
            <w:shd w:fill="FFFFFF" w:val="clear"/>
            <w:vAlign w:val="center"/>
          </w:tcPr>
          <w:p w14:paraId="4C37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4D37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4E370000">
            <w:pPr>
              <w:widowControl w:val="1"/>
              <w:ind/>
              <w:jc w:val="center"/>
              <w:rPr>
                <w:sz w:val="18"/>
              </w:rPr>
            </w:pPr>
            <w:r>
              <w:rPr>
                <w:sz w:val="18"/>
              </w:rPr>
              <w:t>900,00</w:t>
            </w:r>
          </w:p>
        </w:tc>
        <w:tc>
          <w:tcPr>
            <w:tcW w:type="dxa" w:w="1134"/>
            <w:tcBorders>
              <w:top w:color="000000" w:sz="4" w:val="single"/>
              <w:left w:color="000000" w:sz="4" w:val="single"/>
              <w:bottom w:color="000000" w:sz="4" w:val="single"/>
              <w:right w:color="000000" w:sz="4" w:val="single"/>
            </w:tcBorders>
            <w:shd w:fill="FFFFFF" w:val="clear"/>
            <w:vAlign w:val="center"/>
          </w:tcPr>
          <w:p w14:paraId="4F370000">
            <w:pPr>
              <w:widowControl w:val="1"/>
              <w:ind/>
              <w:jc w:val="center"/>
              <w:rPr>
                <w:sz w:val="18"/>
              </w:rPr>
            </w:pPr>
            <w:r>
              <w:rPr>
                <w:sz w:val="18"/>
              </w:rPr>
              <w:t>900,00</w:t>
            </w:r>
          </w:p>
        </w:tc>
        <w:tc>
          <w:tcPr>
            <w:tcW w:type="dxa" w:w="993"/>
            <w:tcBorders>
              <w:top w:color="000000" w:sz="4" w:val="single"/>
              <w:left w:color="000000" w:sz="4" w:val="single"/>
              <w:bottom w:color="000000" w:sz="4" w:val="single"/>
              <w:right w:color="000000" w:sz="4" w:val="single"/>
            </w:tcBorders>
            <w:shd w:fill="FFFFFF" w:val="clear"/>
            <w:vAlign w:val="center"/>
          </w:tcPr>
          <w:p w14:paraId="50370000">
            <w:pPr>
              <w:widowControl w:val="1"/>
              <w:ind/>
              <w:jc w:val="center"/>
              <w:rPr>
                <w:sz w:val="18"/>
              </w:rPr>
            </w:pPr>
            <w:r>
              <w:rPr>
                <w:sz w:val="18"/>
              </w:rPr>
              <w:t>апрель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51370000">
            <w:pPr>
              <w:widowControl w:val="1"/>
              <w:ind/>
              <w:jc w:val="center"/>
              <w:rPr>
                <w:sz w:val="18"/>
              </w:rPr>
            </w:pPr>
            <w:r>
              <w:rPr>
                <w:sz w:val="18"/>
              </w:rPr>
              <w:t>апрель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5237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5337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5437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55370000">
            <w:pPr>
              <w:widowControl w:val="1"/>
              <w:ind/>
              <w:jc w:val="center"/>
              <w:rPr>
                <w:sz w:val="18"/>
              </w:rPr>
            </w:pPr>
            <w:r>
              <w:rPr>
                <w:sz w:val="18"/>
              </w:rPr>
              <w:t>900,00</w:t>
            </w:r>
          </w:p>
        </w:tc>
        <w:tc>
          <w:tcPr>
            <w:tcW w:type="dxa" w:w="1185"/>
            <w:tcBorders>
              <w:top w:color="000000" w:sz="4" w:val="single"/>
              <w:left w:color="000000" w:sz="4" w:val="single"/>
              <w:bottom w:color="000000" w:sz="4" w:val="single"/>
              <w:right w:color="000000" w:sz="4" w:val="single"/>
            </w:tcBorders>
            <w:shd w:fill="FFFFFF" w:val="clear"/>
            <w:vAlign w:val="center"/>
          </w:tcPr>
          <w:p w14:paraId="56370000">
            <w:pPr>
              <w:widowControl w:val="1"/>
              <w:ind/>
              <w:jc w:val="center"/>
              <w:rPr>
                <w:sz w:val="18"/>
              </w:rPr>
            </w:pPr>
            <w:r>
              <w:rPr>
                <w:sz w:val="18"/>
              </w:rPr>
              <w:t>900,00</w:t>
            </w:r>
          </w:p>
        </w:tc>
        <w:tc>
          <w:tcPr>
            <w:tcW w:type="dxa" w:w="1083"/>
            <w:tcBorders>
              <w:top w:color="000000" w:sz="4" w:val="single"/>
              <w:left w:color="000000" w:sz="4" w:val="single"/>
              <w:bottom w:color="000000" w:sz="4" w:val="single"/>
              <w:right w:color="000000" w:sz="4" w:val="single"/>
            </w:tcBorders>
            <w:shd w:fill="FFFFFF" w:val="clear"/>
            <w:vAlign w:val="center"/>
          </w:tcPr>
          <w:p w14:paraId="57370000">
            <w:pPr>
              <w:widowControl w:val="1"/>
              <w:ind/>
              <w:jc w:val="center"/>
              <w:rPr>
                <w:sz w:val="18"/>
              </w:rPr>
            </w:pPr>
            <w:r>
              <w:rPr>
                <w:sz w:val="18"/>
              </w:rPr>
              <w:t>900,00</w:t>
            </w:r>
          </w:p>
        </w:tc>
        <w:tc>
          <w:tcPr>
            <w:tcW w:type="dxa" w:w="771"/>
            <w:tcBorders>
              <w:top w:color="000000" w:sz="4" w:val="single"/>
              <w:left w:color="000000" w:sz="4" w:val="single"/>
              <w:bottom w:color="000000" w:sz="4" w:val="single"/>
              <w:right w:color="000000" w:sz="4" w:val="single"/>
            </w:tcBorders>
            <w:shd w:fill="FFFFFF" w:val="clear"/>
            <w:vAlign w:val="center"/>
          </w:tcPr>
          <w:p w14:paraId="58370000">
            <w:pPr>
              <w:widowControl w:val="1"/>
              <w:ind/>
              <w:jc w:val="center"/>
              <w:rPr>
                <w:sz w:val="18"/>
              </w:rPr>
            </w:pPr>
            <w:r>
              <w:rPr>
                <w:sz w:val="18"/>
              </w:rPr>
              <w:t>апрель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9370000">
            <w:pPr>
              <w:widowControl w:val="1"/>
              <w:ind/>
              <w:jc w:val="center"/>
              <w:rPr>
                <w:sz w:val="18"/>
              </w:rPr>
            </w:pPr>
            <w:r>
              <w:rPr>
                <w:sz w:val="18"/>
              </w:rPr>
              <w:t>апрель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5A370000">
            <w:pPr>
              <w:widowControl w:val="1"/>
              <w:ind/>
              <w:jc w:val="center"/>
              <w:rPr>
                <w:sz w:val="18"/>
              </w:rPr>
            </w:pPr>
            <w:r>
              <w:rPr>
                <w:sz w:val="18"/>
              </w:rPr>
              <w:t>счет № 28/201 от 19.04.2018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5B370000">
            <w:pPr>
              <w:widowControl w:val="1"/>
              <w:ind/>
              <w:jc w:val="center"/>
              <w:rPr>
                <w:color w:val="000000"/>
                <w:sz w:val="18"/>
              </w:rPr>
            </w:pPr>
            <w:r>
              <w:rPr>
                <w:color w:val="000000"/>
                <w:sz w:val="18"/>
              </w:rPr>
              <w:t>147</w:t>
            </w:r>
          </w:p>
        </w:tc>
        <w:tc>
          <w:tcPr>
            <w:tcW w:type="dxa" w:w="618"/>
            <w:tcBorders>
              <w:top w:color="000000" w:sz="4" w:val="single"/>
              <w:left w:color="000000" w:sz="4" w:val="single"/>
              <w:bottom w:color="000000" w:sz="4" w:val="single"/>
              <w:right w:color="000000" w:sz="4" w:val="single"/>
            </w:tcBorders>
            <w:shd w:fill="FFFFFF" w:val="clear"/>
            <w:vAlign w:val="center"/>
          </w:tcPr>
          <w:p w14:paraId="5C370000">
            <w:pPr>
              <w:widowControl w:val="1"/>
              <w:ind/>
              <w:jc w:val="center"/>
              <w:rPr>
                <w:sz w:val="18"/>
              </w:rPr>
            </w:pPr>
            <w:r>
              <w:rPr>
                <w:sz w:val="18"/>
              </w:rPr>
              <w:t>70/2</w:t>
            </w:r>
          </w:p>
        </w:tc>
        <w:tc>
          <w:tcPr>
            <w:tcW w:type="dxa" w:w="993"/>
            <w:tcBorders>
              <w:top w:color="000000" w:sz="4" w:val="single"/>
              <w:left w:color="000000" w:sz="4" w:val="single"/>
              <w:bottom w:color="000000" w:sz="4" w:val="single"/>
              <w:right w:color="000000" w:sz="4" w:val="single"/>
            </w:tcBorders>
            <w:shd w:fill="FFFFFF" w:val="clear"/>
            <w:vAlign w:val="center"/>
          </w:tcPr>
          <w:p w14:paraId="5D370000">
            <w:pPr>
              <w:widowControl w:val="1"/>
              <w:ind/>
              <w:jc w:val="center"/>
              <w:rPr>
                <w:sz w:val="18"/>
              </w:rPr>
            </w:pPr>
            <w:r>
              <w:rPr>
                <w:sz w:val="18"/>
              </w:rPr>
              <w:t>оказание услуг по комплексной уборке внутренних помещений</w:t>
            </w:r>
          </w:p>
        </w:tc>
        <w:tc>
          <w:tcPr>
            <w:tcW w:type="dxa" w:w="849"/>
            <w:tcBorders>
              <w:top w:color="000000" w:sz="4" w:val="single"/>
              <w:left w:color="000000" w:sz="4" w:val="single"/>
              <w:bottom w:color="000000" w:sz="4" w:val="single"/>
              <w:right w:color="000000" w:sz="4" w:val="single"/>
            </w:tcBorders>
            <w:shd w:fill="FFFFFF" w:val="clear"/>
            <w:vAlign w:val="center"/>
          </w:tcPr>
          <w:p w14:paraId="5E37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5F370000">
            <w:pPr>
              <w:widowControl w:val="1"/>
              <w:ind/>
              <w:jc w:val="center"/>
              <w:rPr>
                <w:sz w:val="18"/>
              </w:rPr>
            </w:pPr>
            <w:r>
              <w:rPr>
                <w:sz w:val="18"/>
              </w:rPr>
              <w:t>692,9</w:t>
            </w:r>
          </w:p>
        </w:tc>
        <w:tc>
          <w:tcPr>
            <w:tcW w:type="dxa" w:w="991"/>
            <w:tcBorders>
              <w:top w:color="000000" w:sz="4" w:val="single"/>
              <w:left w:color="000000" w:sz="4" w:val="single"/>
              <w:bottom w:color="000000" w:sz="4" w:val="single"/>
              <w:right w:color="000000" w:sz="4" w:val="single"/>
            </w:tcBorders>
            <w:shd w:fill="FFFFFF" w:val="clear"/>
            <w:vAlign w:val="center"/>
          </w:tcPr>
          <w:p w14:paraId="60370000">
            <w:pPr>
              <w:widowControl w:val="1"/>
              <w:ind/>
              <w:jc w:val="center"/>
              <w:rPr>
                <w:sz w:val="18"/>
              </w:rPr>
            </w:pPr>
            <w:r>
              <w:rPr>
                <w:sz w:val="18"/>
              </w:rPr>
              <w:t>20302,00</w:t>
            </w:r>
          </w:p>
        </w:tc>
        <w:tc>
          <w:tcPr>
            <w:tcW w:type="dxa" w:w="1134"/>
            <w:tcBorders>
              <w:top w:color="000000" w:sz="4" w:val="single"/>
              <w:left w:color="000000" w:sz="4" w:val="single"/>
              <w:bottom w:color="000000" w:sz="4" w:val="single"/>
              <w:right w:color="000000" w:sz="4" w:val="single"/>
            </w:tcBorders>
            <w:shd w:fill="FFFFFF" w:val="clear"/>
            <w:vAlign w:val="center"/>
          </w:tcPr>
          <w:p w14:paraId="61370000">
            <w:pPr>
              <w:widowControl w:val="1"/>
              <w:ind/>
              <w:jc w:val="center"/>
              <w:rPr>
                <w:sz w:val="18"/>
              </w:rPr>
            </w:pPr>
            <w:r>
              <w:rPr>
                <w:sz w:val="18"/>
              </w:rPr>
              <w:t>20302,00</w:t>
            </w:r>
          </w:p>
        </w:tc>
        <w:tc>
          <w:tcPr>
            <w:tcW w:type="dxa" w:w="993"/>
            <w:tcBorders>
              <w:top w:color="000000" w:sz="4" w:val="single"/>
              <w:left w:color="000000" w:sz="4" w:val="single"/>
              <w:bottom w:color="000000" w:sz="4" w:val="single"/>
              <w:right w:color="000000" w:sz="4" w:val="single"/>
            </w:tcBorders>
            <w:shd w:fill="FFFFFF" w:val="clear"/>
            <w:vAlign w:val="center"/>
          </w:tcPr>
          <w:p w14:paraId="62370000">
            <w:pPr>
              <w:widowControl w:val="1"/>
              <w:ind/>
              <w:jc w:val="center"/>
              <w:rPr>
                <w:sz w:val="18"/>
              </w:rPr>
            </w:pPr>
            <w:r>
              <w:rPr>
                <w:sz w:val="18"/>
              </w:rPr>
              <w:t>апрель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63370000">
            <w:pPr>
              <w:widowControl w:val="1"/>
              <w:ind/>
              <w:jc w:val="center"/>
              <w:rPr>
                <w:sz w:val="18"/>
              </w:rPr>
            </w:pPr>
            <w:r>
              <w:rPr>
                <w:sz w:val="18"/>
              </w:rPr>
              <w:t>май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6437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6537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66370000">
            <w:pPr>
              <w:widowControl w:val="1"/>
              <w:ind/>
              <w:jc w:val="center"/>
              <w:rPr>
                <w:sz w:val="18"/>
              </w:rPr>
            </w:pPr>
            <w:r>
              <w:rPr>
                <w:sz w:val="18"/>
              </w:rPr>
              <w:t>692,9</w:t>
            </w:r>
          </w:p>
        </w:tc>
        <w:tc>
          <w:tcPr>
            <w:tcW w:type="dxa" w:w="1169"/>
            <w:tcBorders>
              <w:top w:color="000000" w:sz="4" w:val="single"/>
              <w:left w:color="000000" w:sz="4" w:val="single"/>
              <w:bottom w:color="000000" w:sz="4" w:val="single"/>
              <w:right w:color="000000" w:sz="4" w:val="single"/>
            </w:tcBorders>
            <w:shd w:fill="FFFFFF" w:val="clear"/>
            <w:vAlign w:val="center"/>
          </w:tcPr>
          <w:p w14:paraId="67370000">
            <w:pPr>
              <w:widowControl w:val="1"/>
              <w:ind/>
              <w:jc w:val="center"/>
              <w:rPr>
                <w:sz w:val="18"/>
              </w:rPr>
            </w:pPr>
            <w:r>
              <w:rPr>
                <w:sz w:val="18"/>
              </w:rPr>
              <w:t>20302,00</w:t>
            </w:r>
          </w:p>
        </w:tc>
        <w:tc>
          <w:tcPr>
            <w:tcW w:type="dxa" w:w="1185"/>
            <w:tcBorders>
              <w:top w:color="000000" w:sz="4" w:val="single"/>
              <w:left w:color="000000" w:sz="4" w:val="single"/>
              <w:bottom w:color="000000" w:sz="4" w:val="single"/>
              <w:right w:color="000000" w:sz="4" w:val="single"/>
            </w:tcBorders>
            <w:shd w:fill="FFFFFF" w:val="clear"/>
            <w:vAlign w:val="center"/>
          </w:tcPr>
          <w:p w14:paraId="68370000">
            <w:pPr>
              <w:widowControl w:val="1"/>
              <w:ind/>
              <w:jc w:val="center"/>
              <w:rPr>
                <w:sz w:val="18"/>
              </w:rPr>
            </w:pPr>
            <w:r>
              <w:rPr>
                <w:sz w:val="18"/>
              </w:rPr>
              <w:t>20302,00</w:t>
            </w:r>
          </w:p>
        </w:tc>
        <w:tc>
          <w:tcPr>
            <w:tcW w:type="dxa" w:w="1083"/>
            <w:tcBorders>
              <w:top w:color="000000" w:sz="4" w:val="single"/>
              <w:left w:color="000000" w:sz="4" w:val="single"/>
              <w:bottom w:color="000000" w:sz="4" w:val="single"/>
              <w:right w:color="000000" w:sz="4" w:val="single"/>
            </w:tcBorders>
            <w:shd w:fill="FFFFFF" w:val="clear"/>
            <w:vAlign w:val="center"/>
          </w:tcPr>
          <w:p w14:paraId="69370000">
            <w:pPr>
              <w:widowControl w:val="1"/>
              <w:ind/>
              <w:jc w:val="center"/>
              <w:rPr>
                <w:sz w:val="18"/>
              </w:rPr>
            </w:pPr>
            <w:r>
              <w:rPr>
                <w:sz w:val="18"/>
              </w:rPr>
              <w:t>20302,00</w:t>
            </w:r>
          </w:p>
        </w:tc>
        <w:tc>
          <w:tcPr>
            <w:tcW w:type="dxa" w:w="771"/>
            <w:tcBorders>
              <w:top w:color="000000" w:sz="4" w:val="single"/>
              <w:left w:color="000000" w:sz="4" w:val="single"/>
              <w:bottom w:color="000000" w:sz="4" w:val="single"/>
              <w:right w:color="000000" w:sz="4" w:val="single"/>
            </w:tcBorders>
            <w:shd w:fill="FFFFFF" w:val="clear"/>
            <w:vAlign w:val="center"/>
          </w:tcPr>
          <w:p w14:paraId="6A370000">
            <w:pPr>
              <w:widowControl w:val="1"/>
              <w:ind/>
              <w:jc w:val="center"/>
              <w:rPr>
                <w:sz w:val="18"/>
              </w:rPr>
            </w:pPr>
            <w:r>
              <w:rPr>
                <w:sz w:val="18"/>
              </w:rPr>
              <w:t>апрель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6B370000">
            <w:pPr>
              <w:widowControl w:val="1"/>
              <w:ind/>
              <w:jc w:val="center"/>
              <w:rPr>
                <w:sz w:val="18"/>
              </w:rPr>
            </w:pPr>
            <w:r>
              <w:rPr>
                <w:sz w:val="18"/>
              </w:rPr>
              <w:t>май 2018 г.</w:t>
            </w:r>
          </w:p>
        </w:tc>
        <w:tc>
          <w:tcPr>
            <w:tcW w:type="dxa" w:w="709"/>
            <w:tcBorders>
              <w:top w:color="000000" w:sz="4" w:val="single"/>
              <w:left w:color="000000" w:sz="4" w:val="single"/>
              <w:bottom w:color="000000" w:sz="4" w:val="single"/>
              <w:right w:color="000000" w:sz="4" w:val="single"/>
            </w:tcBorders>
            <w:shd w:fill="FFFFFF" w:val="clear"/>
            <w:vAlign w:val="center"/>
          </w:tcPr>
          <w:p w14:paraId="6C370000">
            <w:pPr>
              <w:widowControl w:val="1"/>
              <w:ind/>
              <w:jc w:val="center"/>
              <w:rPr>
                <w:sz w:val="18"/>
              </w:rPr>
            </w:pPr>
            <w:r>
              <w:rPr>
                <w:sz w:val="18"/>
              </w:rPr>
              <w:t>счет № 164 от 25.04.2018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6D370000">
            <w:pPr>
              <w:widowControl w:val="1"/>
              <w:ind/>
              <w:jc w:val="center"/>
              <w:rPr>
                <w:color w:val="000000"/>
                <w:sz w:val="18"/>
              </w:rPr>
            </w:pPr>
            <w:r>
              <w:rPr>
                <w:color w:val="000000"/>
                <w:sz w:val="18"/>
              </w:rPr>
              <w:t>148</w:t>
            </w:r>
          </w:p>
        </w:tc>
        <w:tc>
          <w:tcPr>
            <w:tcW w:type="dxa" w:w="618"/>
            <w:tcBorders>
              <w:top w:color="000000" w:sz="4" w:val="single"/>
              <w:left w:color="000000" w:sz="4" w:val="single"/>
              <w:bottom w:color="000000" w:sz="4" w:val="single"/>
              <w:right w:color="000000" w:sz="4" w:val="single"/>
            </w:tcBorders>
            <w:shd w:fill="FFFFFF" w:val="clear"/>
            <w:vAlign w:val="center"/>
          </w:tcPr>
          <w:p w14:paraId="6E370000">
            <w:pPr>
              <w:widowControl w:val="1"/>
              <w:ind/>
              <w:jc w:val="center"/>
              <w:rPr>
                <w:sz w:val="18"/>
              </w:rPr>
            </w:pPr>
            <w:r>
              <w:rPr>
                <w:sz w:val="18"/>
              </w:rPr>
              <w:t>71/2</w:t>
            </w:r>
          </w:p>
        </w:tc>
        <w:tc>
          <w:tcPr>
            <w:tcW w:type="dxa" w:w="993"/>
            <w:tcBorders>
              <w:top w:color="000000" w:sz="4" w:val="single"/>
              <w:left w:color="000000" w:sz="4" w:val="single"/>
              <w:bottom w:color="000000" w:sz="4" w:val="single"/>
              <w:right w:color="000000" w:sz="4" w:val="single"/>
            </w:tcBorders>
            <w:shd w:fill="FFFFFF" w:val="clear"/>
            <w:vAlign w:val="center"/>
          </w:tcPr>
          <w:p w14:paraId="6F370000">
            <w:pPr>
              <w:widowControl w:val="1"/>
              <w:ind/>
              <w:jc w:val="center"/>
              <w:rPr>
                <w:sz w:val="18"/>
              </w:rPr>
            </w:pPr>
            <w:r>
              <w:rPr>
                <w:sz w:val="18"/>
              </w:rPr>
              <w:t>Оказание услуг по обучению</w:t>
            </w:r>
          </w:p>
        </w:tc>
        <w:tc>
          <w:tcPr>
            <w:tcW w:type="dxa" w:w="849"/>
            <w:tcBorders>
              <w:top w:color="000000" w:sz="4" w:val="single"/>
              <w:left w:color="000000" w:sz="4" w:val="single"/>
              <w:bottom w:color="000000" w:sz="4" w:val="single"/>
              <w:right w:color="000000" w:sz="4" w:val="single"/>
            </w:tcBorders>
            <w:shd w:fill="FFFFFF" w:val="clear"/>
            <w:vAlign w:val="center"/>
          </w:tcPr>
          <w:p w14:paraId="7037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7137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72370000">
            <w:pPr>
              <w:widowControl w:val="1"/>
              <w:ind/>
              <w:jc w:val="center"/>
              <w:rPr>
                <w:sz w:val="18"/>
              </w:rPr>
            </w:pPr>
            <w:r>
              <w:rPr>
                <w:sz w:val="18"/>
              </w:rPr>
              <w:t>7150,00</w:t>
            </w:r>
          </w:p>
        </w:tc>
        <w:tc>
          <w:tcPr>
            <w:tcW w:type="dxa" w:w="1134"/>
            <w:tcBorders>
              <w:top w:color="000000" w:sz="4" w:val="single"/>
              <w:left w:color="000000" w:sz="4" w:val="single"/>
              <w:bottom w:color="000000" w:sz="4" w:val="single"/>
              <w:right w:color="000000" w:sz="4" w:val="single"/>
            </w:tcBorders>
            <w:shd w:fill="FFFFFF" w:val="clear"/>
            <w:vAlign w:val="center"/>
          </w:tcPr>
          <w:p w14:paraId="73370000">
            <w:pPr>
              <w:widowControl w:val="1"/>
              <w:ind/>
              <w:jc w:val="center"/>
              <w:rPr>
                <w:sz w:val="18"/>
              </w:rPr>
            </w:pPr>
            <w:r>
              <w:rPr>
                <w:sz w:val="18"/>
              </w:rPr>
              <w:t>7150,00</w:t>
            </w:r>
          </w:p>
        </w:tc>
        <w:tc>
          <w:tcPr>
            <w:tcW w:type="dxa" w:w="993"/>
            <w:tcBorders>
              <w:top w:color="000000" w:sz="4" w:val="single"/>
              <w:left w:color="000000" w:sz="4" w:val="single"/>
              <w:bottom w:color="000000" w:sz="4" w:val="single"/>
              <w:right w:color="000000" w:sz="4" w:val="single"/>
            </w:tcBorders>
            <w:shd w:fill="FFFFFF" w:val="clear"/>
            <w:vAlign w:val="center"/>
          </w:tcPr>
          <w:p w14:paraId="7437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7537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7637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7737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7837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79370000">
            <w:pPr>
              <w:widowControl w:val="1"/>
              <w:ind/>
              <w:jc w:val="center"/>
              <w:rPr>
                <w:sz w:val="18"/>
              </w:rPr>
            </w:pPr>
            <w:r>
              <w:rPr>
                <w:sz w:val="18"/>
              </w:rPr>
              <w:t>7150,00</w:t>
            </w:r>
          </w:p>
        </w:tc>
        <w:tc>
          <w:tcPr>
            <w:tcW w:type="dxa" w:w="1185"/>
            <w:tcBorders>
              <w:top w:color="000000" w:sz="4" w:val="single"/>
              <w:left w:color="000000" w:sz="4" w:val="single"/>
              <w:bottom w:color="000000" w:sz="4" w:val="single"/>
              <w:right w:color="000000" w:sz="4" w:val="single"/>
            </w:tcBorders>
            <w:shd w:fill="FFFFFF" w:val="clear"/>
            <w:vAlign w:val="center"/>
          </w:tcPr>
          <w:p w14:paraId="7A370000">
            <w:pPr>
              <w:widowControl w:val="1"/>
              <w:ind/>
              <w:jc w:val="center"/>
              <w:rPr>
                <w:sz w:val="18"/>
              </w:rPr>
            </w:pPr>
            <w:r>
              <w:rPr>
                <w:sz w:val="18"/>
              </w:rPr>
              <w:t>7150,00</w:t>
            </w:r>
          </w:p>
        </w:tc>
        <w:tc>
          <w:tcPr>
            <w:tcW w:type="dxa" w:w="1083"/>
            <w:tcBorders>
              <w:top w:color="000000" w:sz="4" w:val="single"/>
              <w:left w:color="000000" w:sz="4" w:val="single"/>
              <w:bottom w:color="000000" w:sz="4" w:val="single"/>
              <w:right w:color="000000" w:sz="4" w:val="single"/>
            </w:tcBorders>
            <w:shd w:fill="FFFFFF" w:val="clear"/>
            <w:vAlign w:val="center"/>
          </w:tcPr>
          <w:p w14:paraId="7B370000">
            <w:pPr>
              <w:widowControl w:val="1"/>
              <w:ind/>
              <w:jc w:val="center"/>
              <w:rPr>
                <w:sz w:val="18"/>
              </w:rPr>
            </w:pPr>
            <w:r>
              <w:rPr>
                <w:sz w:val="18"/>
              </w:rPr>
              <w:t>7150,00</w:t>
            </w:r>
          </w:p>
        </w:tc>
        <w:tc>
          <w:tcPr>
            <w:tcW w:type="dxa" w:w="771"/>
            <w:tcBorders>
              <w:top w:color="000000" w:sz="4" w:val="single"/>
              <w:left w:color="000000" w:sz="4" w:val="single"/>
              <w:bottom w:color="000000" w:sz="4" w:val="single"/>
              <w:right w:color="000000" w:sz="4" w:val="single"/>
            </w:tcBorders>
            <w:shd w:fill="FFFFFF" w:val="clear"/>
            <w:vAlign w:val="center"/>
          </w:tcPr>
          <w:p w14:paraId="7C37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7D37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7E370000">
            <w:pPr>
              <w:widowControl w:val="1"/>
              <w:ind/>
              <w:jc w:val="center"/>
              <w:rPr>
                <w:sz w:val="18"/>
              </w:rPr>
            </w:pPr>
            <w:r>
              <w:rPr>
                <w:sz w:val="18"/>
              </w:rPr>
              <w:t>договор № 236-180 от 13.06.2018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7F370000">
            <w:pPr>
              <w:widowControl w:val="1"/>
              <w:ind/>
              <w:jc w:val="center"/>
              <w:rPr>
                <w:color w:val="000000"/>
                <w:sz w:val="18"/>
              </w:rPr>
            </w:pPr>
            <w:r>
              <w:rPr>
                <w:color w:val="000000"/>
                <w:sz w:val="18"/>
              </w:rPr>
              <w:t>149</w:t>
            </w:r>
          </w:p>
        </w:tc>
        <w:tc>
          <w:tcPr>
            <w:tcW w:type="dxa" w:w="618"/>
            <w:tcBorders>
              <w:top w:color="000000" w:sz="4" w:val="single"/>
              <w:left w:color="000000" w:sz="4" w:val="single"/>
              <w:bottom w:color="000000" w:sz="4" w:val="single"/>
              <w:right w:color="000000" w:sz="4" w:val="single"/>
            </w:tcBorders>
            <w:shd w:fill="FFFFFF" w:val="clear"/>
            <w:vAlign w:val="center"/>
          </w:tcPr>
          <w:p w14:paraId="80370000">
            <w:pPr>
              <w:widowControl w:val="1"/>
              <w:ind/>
              <w:jc w:val="center"/>
              <w:rPr>
                <w:sz w:val="18"/>
              </w:rPr>
            </w:pPr>
            <w:r>
              <w:rPr>
                <w:sz w:val="18"/>
              </w:rPr>
              <w:t>72/2</w:t>
            </w:r>
          </w:p>
        </w:tc>
        <w:tc>
          <w:tcPr>
            <w:tcW w:type="dxa" w:w="993"/>
            <w:tcBorders>
              <w:top w:color="000000" w:sz="4" w:val="single"/>
              <w:left w:color="000000" w:sz="4" w:val="single"/>
              <w:bottom w:color="000000" w:sz="4" w:val="single"/>
              <w:right w:color="000000" w:sz="4" w:val="single"/>
            </w:tcBorders>
            <w:shd w:fill="FFFFFF" w:val="clear"/>
            <w:vAlign w:val="center"/>
          </w:tcPr>
          <w:p w14:paraId="81370000">
            <w:pPr>
              <w:widowControl w:val="1"/>
              <w:ind/>
              <w:jc w:val="center"/>
              <w:rPr>
                <w:sz w:val="18"/>
              </w:rPr>
            </w:pPr>
            <w:r>
              <w:rPr>
                <w:sz w:val="18"/>
              </w:rPr>
              <w:t>оказание услуг по комплексной уборке внутренних помещений</w:t>
            </w:r>
          </w:p>
        </w:tc>
        <w:tc>
          <w:tcPr>
            <w:tcW w:type="dxa" w:w="849"/>
            <w:tcBorders>
              <w:top w:color="000000" w:sz="4" w:val="single"/>
              <w:left w:color="000000" w:sz="4" w:val="single"/>
              <w:bottom w:color="000000" w:sz="4" w:val="single"/>
              <w:right w:color="000000" w:sz="4" w:val="single"/>
            </w:tcBorders>
            <w:shd w:fill="FFFFFF" w:val="clear"/>
            <w:vAlign w:val="center"/>
          </w:tcPr>
          <w:p w14:paraId="8237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83370000">
            <w:pPr>
              <w:widowControl w:val="1"/>
              <w:ind/>
              <w:jc w:val="center"/>
              <w:rPr>
                <w:sz w:val="18"/>
              </w:rPr>
            </w:pPr>
            <w:r>
              <w:rPr>
                <w:sz w:val="18"/>
              </w:rPr>
              <w:t>692,9</w:t>
            </w:r>
          </w:p>
        </w:tc>
        <w:tc>
          <w:tcPr>
            <w:tcW w:type="dxa" w:w="991"/>
            <w:tcBorders>
              <w:top w:color="000000" w:sz="4" w:val="single"/>
              <w:left w:color="000000" w:sz="4" w:val="single"/>
              <w:bottom w:color="000000" w:sz="4" w:val="single"/>
              <w:right w:color="000000" w:sz="4" w:val="single"/>
            </w:tcBorders>
            <w:shd w:fill="FFFFFF" w:val="clear"/>
            <w:vAlign w:val="center"/>
          </w:tcPr>
          <w:p w14:paraId="84370000">
            <w:pPr>
              <w:widowControl w:val="1"/>
              <w:ind/>
              <w:jc w:val="center"/>
              <w:rPr>
                <w:sz w:val="18"/>
              </w:rPr>
            </w:pPr>
            <w:r>
              <w:rPr>
                <w:sz w:val="18"/>
              </w:rPr>
              <w:t>60906,00</w:t>
            </w:r>
          </w:p>
        </w:tc>
        <w:tc>
          <w:tcPr>
            <w:tcW w:type="dxa" w:w="1134"/>
            <w:tcBorders>
              <w:top w:color="000000" w:sz="4" w:val="single"/>
              <w:left w:color="000000" w:sz="4" w:val="single"/>
              <w:bottom w:color="000000" w:sz="4" w:val="single"/>
              <w:right w:color="000000" w:sz="4" w:val="single"/>
            </w:tcBorders>
            <w:shd w:fill="FFFFFF" w:val="clear"/>
            <w:vAlign w:val="center"/>
          </w:tcPr>
          <w:p w14:paraId="85370000">
            <w:pPr>
              <w:widowControl w:val="1"/>
              <w:ind/>
              <w:jc w:val="center"/>
              <w:rPr>
                <w:sz w:val="18"/>
              </w:rPr>
            </w:pPr>
            <w:r>
              <w:rPr>
                <w:sz w:val="18"/>
              </w:rPr>
              <w:t>60906,00</w:t>
            </w:r>
          </w:p>
        </w:tc>
        <w:tc>
          <w:tcPr>
            <w:tcW w:type="dxa" w:w="993"/>
            <w:tcBorders>
              <w:top w:color="000000" w:sz="4" w:val="single"/>
              <w:left w:color="000000" w:sz="4" w:val="single"/>
              <w:bottom w:color="000000" w:sz="4" w:val="single"/>
              <w:right w:color="000000" w:sz="4" w:val="single"/>
            </w:tcBorders>
            <w:shd w:fill="FFFFFF" w:val="clear"/>
            <w:vAlign w:val="center"/>
          </w:tcPr>
          <w:p w14:paraId="8637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8737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8837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8937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8A370000">
            <w:pPr>
              <w:widowControl w:val="1"/>
              <w:ind/>
              <w:jc w:val="center"/>
              <w:rPr>
                <w:sz w:val="18"/>
              </w:rPr>
            </w:pPr>
            <w:r>
              <w:rPr>
                <w:sz w:val="18"/>
              </w:rPr>
              <w:t>692,9</w:t>
            </w:r>
          </w:p>
        </w:tc>
        <w:tc>
          <w:tcPr>
            <w:tcW w:type="dxa" w:w="1169"/>
            <w:tcBorders>
              <w:top w:color="000000" w:sz="4" w:val="single"/>
              <w:left w:color="000000" w:sz="4" w:val="single"/>
              <w:bottom w:color="000000" w:sz="4" w:val="single"/>
              <w:right w:color="000000" w:sz="4" w:val="single"/>
            </w:tcBorders>
            <w:shd w:fill="FFFFFF" w:val="clear"/>
            <w:vAlign w:val="center"/>
          </w:tcPr>
          <w:p w14:paraId="8B370000">
            <w:pPr>
              <w:widowControl w:val="1"/>
              <w:ind/>
              <w:jc w:val="center"/>
              <w:rPr>
                <w:sz w:val="18"/>
              </w:rPr>
            </w:pPr>
            <w:r>
              <w:rPr>
                <w:sz w:val="18"/>
              </w:rPr>
              <w:t>60905,00</w:t>
            </w:r>
          </w:p>
        </w:tc>
        <w:tc>
          <w:tcPr>
            <w:tcW w:type="dxa" w:w="1185"/>
            <w:tcBorders>
              <w:top w:color="000000" w:sz="4" w:val="single"/>
              <w:left w:color="000000" w:sz="4" w:val="single"/>
              <w:bottom w:color="000000" w:sz="4" w:val="single"/>
              <w:right w:color="000000" w:sz="4" w:val="single"/>
            </w:tcBorders>
            <w:shd w:fill="FFFFFF" w:val="clear"/>
            <w:vAlign w:val="center"/>
          </w:tcPr>
          <w:p w14:paraId="8C370000">
            <w:pPr>
              <w:widowControl w:val="1"/>
              <w:ind/>
              <w:jc w:val="center"/>
              <w:rPr>
                <w:sz w:val="18"/>
              </w:rPr>
            </w:pPr>
            <w:r>
              <w:rPr>
                <w:sz w:val="18"/>
              </w:rPr>
              <w:t>60905,00</w:t>
            </w:r>
          </w:p>
        </w:tc>
        <w:tc>
          <w:tcPr>
            <w:tcW w:type="dxa" w:w="1083"/>
            <w:tcBorders>
              <w:top w:color="000000" w:sz="4" w:val="single"/>
              <w:left w:color="000000" w:sz="4" w:val="single"/>
              <w:bottom w:color="000000" w:sz="4" w:val="single"/>
              <w:right w:color="000000" w:sz="4" w:val="single"/>
            </w:tcBorders>
            <w:shd w:fill="FFFFFF" w:val="clear"/>
            <w:vAlign w:val="center"/>
          </w:tcPr>
          <w:p w14:paraId="8D370000">
            <w:pPr>
              <w:widowControl w:val="1"/>
              <w:ind/>
              <w:jc w:val="center"/>
              <w:rPr>
                <w:sz w:val="18"/>
              </w:rPr>
            </w:pPr>
            <w:r>
              <w:rPr>
                <w:sz w:val="18"/>
              </w:rPr>
              <w:t>60905,00</w:t>
            </w:r>
          </w:p>
        </w:tc>
        <w:tc>
          <w:tcPr>
            <w:tcW w:type="dxa" w:w="771"/>
            <w:tcBorders>
              <w:top w:color="000000" w:sz="4" w:val="single"/>
              <w:left w:color="000000" w:sz="4" w:val="single"/>
              <w:bottom w:color="000000" w:sz="4" w:val="single"/>
              <w:right w:color="000000" w:sz="4" w:val="single"/>
            </w:tcBorders>
            <w:shd w:fill="FFFFFF" w:val="clear"/>
            <w:vAlign w:val="center"/>
          </w:tcPr>
          <w:p w14:paraId="8E37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8F37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90370000">
            <w:pPr>
              <w:widowControl w:val="1"/>
              <w:ind/>
              <w:jc w:val="center"/>
              <w:rPr>
                <w:sz w:val="18"/>
              </w:rPr>
            </w:pPr>
            <w:r>
              <w:rPr>
                <w:sz w:val="18"/>
              </w:rPr>
              <w:t>договор № ЕУ-80 Оот 18.06.2018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91370000">
            <w:pPr>
              <w:widowControl w:val="1"/>
              <w:ind/>
              <w:jc w:val="center"/>
              <w:rPr>
                <w:color w:val="000000"/>
                <w:sz w:val="18"/>
              </w:rPr>
            </w:pPr>
            <w:r>
              <w:rPr>
                <w:color w:val="000000"/>
                <w:sz w:val="18"/>
              </w:rPr>
              <w:t>150</w:t>
            </w:r>
          </w:p>
        </w:tc>
        <w:tc>
          <w:tcPr>
            <w:tcW w:type="dxa" w:w="618"/>
            <w:tcBorders>
              <w:top w:color="000000" w:sz="4" w:val="single"/>
              <w:left w:color="000000" w:sz="4" w:val="single"/>
              <w:bottom w:color="000000" w:sz="4" w:val="single"/>
              <w:right w:color="000000" w:sz="4" w:val="single"/>
            </w:tcBorders>
            <w:shd w:fill="FFFFFF" w:val="clear"/>
            <w:vAlign w:val="center"/>
          </w:tcPr>
          <w:p w14:paraId="92370000">
            <w:pPr>
              <w:widowControl w:val="1"/>
              <w:ind/>
              <w:jc w:val="center"/>
              <w:rPr>
                <w:sz w:val="18"/>
              </w:rPr>
            </w:pPr>
            <w:r>
              <w:rPr>
                <w:sz w:val="18"/>
              </w:rPr>
              <w:t>73/2</w:t>
            </w:r>
          </w:p>
        </w:tc>
        <w:tc>
          <w:tcPr>
            <w:tcW w:type="dxa" w:w="993"/>
            <w:tcBorders>
              <w:top w:color="000000" w:sz="4" w:val="single"/>
              <w:left w:color="000000" w:sz="4" w:val="single"/>
              <w:bottom w:color="000000" w:sz="4" w:val="single"/>
              <w:right w:color="000000" w:sz="4" w:val="single"/>
            </w:tcBorders>
            <w:shd w:fill="FFFFFF" w:val="clear"/>
            <w:vAlign w:val="center"/>
          </w:tcPr>
          <w:p w14:paraId="93370000">
            <w:pPr>
              <w:widowControl w:val="1"/>
              <w:ind/>
              <w:jc w:val="center"/>
              <w:rPr>
                <w:sz w:val="18"/>
              </w:rPr>
            </w:pPr>
            <w:r>
              <w:rPr>
                <w:sz w:val="18"/>
              </w:rPr>
              <w:t>выполнение работ по изготовлению штампов</w:t>
            </w:r>
          </w:p>
        </w:tc>
        <w:tc>
          <w:tcPr>
            <w:tcW w:type="dxa" w:w="849"/>
            <w:tcBorders>
              <w:top w:color="000000" w:sz="4" w:val="single"/>
              <w:left w:color="000000" w:sz="4" w:val="single"/>
              <w:bottom w:color="000000" w:sz="4" w:val="single"/>
              <w:right w:color="000000" w:sz="4" w:val="single"/>
            </w:tcBorders>
            <w:shd w:fill="FFFFFF" w:val="clear"/>
            <w:vAlign w:val="center"/>
          </w:tcPr>
          <w:p w14:paraId="9437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95370000">
            <w:pPr>
              <w:widowControl w:val="1"/>
              <w:ind/>
              <w:jc w:val="center"/>
              <w:rPr>
                <w:sz w:val="18"/>
              </w:rPr>
            </w:pPr>
            <w:r>
              <w:rPr>
                <w:sz w:val="18"/>
              </w:rPr>
              <w:t>15</w:t>
            </w:r>
          </w:p>
        </w:tc>
        <w:tc>
          <w:tcPr>
            <w:tcW w:type="dxa" w:w="991"/>
            <w:tcBorders>
              <w:top w:color="000000" w:sz="4" w:val="single"/>
              <w:left w:color="000000" w:sz="4" w:val="single"/>
              <w:bottom w:color="000000" w:sz="4" w:val="single"/>
              <w:right w:color="000000" w:sz="4" w:val="single"/>
            </w:tcBorders>
            <w:shd w:fill="FFFFFF" w:val="clear"/>
            <w:vAlign w:val="center"/>
          </w:tcPr>
          <w:p w14:paraId="96370000">
            <w:pPr>
              <w:widowControl w:val="1"/>
              <w:ind/>
              <w:jc w:val="center"/>
              <w:rPr>
                <w:sz w:val="18"/>
              </w:rPr>
            </w:pPr>
            <w:r>
              <w:rPr>
                <w:sz w:val="18"/>
              </w:rPr>
              <w:t>7500,00</w:t>
            </w:r>
          </w:p>
        </w:tc>
        <w:tc>
          <w:tcPr>
            <w:tcW w:type="dxa" w:w="1134"/>
            <w:tcBorders>
              <w:top w:color="000000" w:sz="4" w:val="single"/>
              <w:left w:color="000000" w:sz="4" w:val="single"/>
              <w:bottom w:color="000000" w:sz="4" w:val="single"/>
              <w:right w:color="000000" w:sz="4" w:val="single"/>
            </w:tcBorders>
            <w:shd w:fill="FFFFFF" w:val="clear"/>
            <w:vAlign w:val="center"/>
          </w:tcPr>
          <w:p w14:paraId="97370000">
            <w:pPr>
              <w:widowControl w:val="1"/>
              <w:ind/>
              <w:jc w:val="center"/>
              <w:rPr>
                <w:sz w:val="18"/>
              </w:rPr>
            </w:pPr>
            <w:r>
              <w:rPr>
                <w:sz w:val="18"/>
              </w:rPr>
              <w:t>7500,00</w:t>
            </w:r>
          </w:p>
        </w:tc>
        <w:tc>
          <w:tcPr>
            <w:tcW w:type="dxa" w:w="993"/>
            <w:tcBorders>
              <w:top w:color="000000" w:sz="4" w:val="single"/>
              <w:left w:color="000000" w:sz="4" w:val="single"/>
              <w:bottom w:color="000000" w:sz="4" w:val="single"/>
              <w:right w:color="000000" w:sz="4" w:val="single"/>
            </w:tcBorders>
            <w:shd w:fill="FFFFFF" w:val="clear"/>
            <w:vAlign w:val="center"/>
          </w:tcPr>
          <w:p w14:paraId="98370000">
            <w:pPr>
              <w:widowControl w:val="1"/>
              <w:ind/>
              <w:jc w:val="center"/>
              <w:rPr>
                <w:sz w:val="18"/>
              </w:rPr>
            </w:pPr>
            <w:r>
              <w:rPr>
                <w:sz w:val="18"/>
              </w:rPr>
              <w:t>май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9370000">
            <w:pPr>
              <w:widowControl w:val="1"/>
              <w:ind/>
              <w:jc w:val="center"/>
              <w:rPr>
                <w:sz w:val="18"/>
              </w:rPr>
            </w:pPr>
            <w:r>
              <w:rPr>
                <w:sz w:val="18"/>
              </w:rPr>
              <w:t>май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9A37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9B37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9C370000">
            <w:pPr>
              <w:widowControl w:val="1"/>
              <w:ind/>
              <w:jc w:val="center"/>
              <w:rPr>
                <w:sz w:val="18"/>
              </w:rPr>
            </w:pPr>
            <w:r>
              <w:rPr>
                <w:sz w:val="18"/>
              </w:rPr>
              <w:t>15</w:t>
            </w:r>
          </w:p>
        </w:tc>
        <w:tc>
          <w:tcPr>
            <w:tcW w:type="dxa" w:w="1169"/>
            <w:tcBorders>
              <w:top w:color="000000" w:sz="4" w:val="single"/>
              <w:left w:color="000000" w:sz="4" w:val="single"/>
              <w:bottom w:color="000000" w:sz="4" w:val="single"/>
              <w:right w:color="000000" w:sz="4" w:val="single"/>
            </w:tcBorders>
            <w:shd w:fill="FFFFFF" w:val="clear"/>
            <w:vAlign w:val="center"/>
          </w:tcPr>
          <w:p w14:paraId="9D370000">
            <w:pPr>
              <w:widowControl w:val="1"/>
              <w:ind/>
              <w:jc w:val="center"/>
              <w:rPr>
                <w:sz w:val="18"/>
              </w:rPr>
            </w:pPr>
            <w:r>
              <w:rPr>
                <w:sz w:val="18"/>
              </w:rPr>
              <w:t>7500,00</w:t>
            </w:r>
          </w:p>
        </w:tc>
        <w:tc>
          <w:tcPr>
            <w:tcW w:type="dxa" w:w="1185"/>
            <w:tcBorders>
              <w:top w:color="000000" w:sz="4" w:val="single"/>
              <w:left w:color="000000" w:sz="4" w:val="single"/>
              <w:bottom w:color="000000" w:sz="4" w:val="single"/>
              <w:right w:color="000000" w:sz="4" w:val="single"/>
            </w:tcBorders>
            <w:shd w:fill="FFFFFF" w:val="clear"/>
            <w:vAlign w:val="center"/>
          </w:tcPr>
          <w:p w14:paraId="9E370000">
            <w:pPr>
              <w:widowControl w:val="1"/>
              <w:ind/>
              <w:jc w:val="center"/>
              <w:rPr>
                <w:sz w:val="18"/>
              </w:rPr>
            </w:pPr>
            <w:r>
              <w:rPr>
                <w:sz w:val="18"/>
              </w:rPr>
              <w:t>7500,00</w:t>
            </w:r>
          </w:p>
        </w:tc>
        <w:tc>
          <w:tcPr>
            <w:tcW w:type="dxa" w:w="1083"/>
            <w:tcBorders>
              <w:top w:color="000000" w:sz="4" w:val="single"/>
              <w:left w:color="000000" w:sz="4" w:val="single"/>
              <w:bottom w:color="000000" w:sz="4" w:val="single"/>
              <w:right w:color="000000" w:sz="4" w:val="single"/>
            </w:tcBorders>
            <w:shd w:fill="FFFFFF" w:val="clear"/>
            <w:vAlign w:val="center"/>
          </w:tcPr>
          <w:p w14:paraId="9F370000">
            <w:pPr>
              <w:widowControl w:val="1"/>
              <w:ind/>
              <w:jc w:val="center"/>
              <w:rPr>
                <w:sz w:val="18"/>
              </w:rPr>
            </w:pPr>
            <w:r>
              <w:rPr>
                <w:sz w:val="18"/>
              </w:rPr>
              <w:t>7500,00</w:t>
            </w:r>
          </w:p>
        </w:tc>
        <w:tc>
          <w:tcPr>
            <w:tcW w:type="dxa" w:w="771"/>
            <w:tcBorders>
              <w:top w:color="000000" w:sz="4" w:val="single"/>
              <w:left w:color="000000" w:sz="4" w:val="single"/>
              <w:bottom w:color="000000" w:sz="4" w:val="single"/>
              <w:right w:color="000000" w:sz="4" w:val="single"/>
            </w:tcBorders>
            <w:shd w:fill="FFFFFF" w:val="clear"/>
            <w:vAlign w:val="center"/>
          </w:tcPr>
          <w:p w14:paraId="A0370000">
            <w:pPr>
              <w:widowControl w:val="1"/>
              <w:ind/>
              <w:jc w:val="center"/>
              <w:rPr>
                <w:sz w:val="18"/>
              </w:rPr>
            </w:pPr>
            <w:r>
              <w:rPr>
                <w:sz w:val="18"/>
              </w:rPr>
              <w:t>май 2018 г.</w:t>
            </w:r>
          </w:p>
        </w:tc>
        <w:tc>
          <w:tcPr>
            <w:tcW w:type="dxa" w:w="612"/>
            <w:tcBorders>
              <w:top w:color="000000" w:sz="4" w:val="single"/>
              <w:left w:color="000000" w:sz="4" w:val="single"/>
              <w:bottom w:color="000000" w:sz="4" w:val="single"/>
              <w:right w:color="000000" w:sz="4" w:val="single"/>
            </w:tcBorders>
            <w:shd w:fill="FFFFFF" w:val="clear"/>
            <w:vAlign w:val="center"/>
          </w:tcPr>
          <w:p w14:paraId="A1370000">
            <w:pPr>
              <w:widowControl w:val="1"/>
              <w:ind/>
              <w:jc w:val="center"/>
              <w:rPr>
                <w:sz w:val="18"/>
              </w:rPr>
            </w:pPr>
            <w:r>
              <w:rPr>
                <w:sz w:val="18"/>
              </w:rPr>
              <w:t>май 2018 г.</w:t>
            </w:r>
          </w:p>
        </w:tc>
        <w:tc>
          <w:tcPr>
            <w:tcW w:type="dxa" w:w="709"/>
            <w:tcBorders>
              <w:top w:color="000000" w:sz="4" w:val="single"/>
              <w:left w:color="000000" w:sz="4" w:val="single"/>
              <w:bottom w:color="000000" w:sz="4" w:val="single"/>
              <w:right w:color="000000" w:sz="4" w:val="single"/>
            </w:tcBorders>
            <w:shd w:fill="FFFFFF" w:val="clear"/>
            <w:vAlign w:val="center"/>
          </w:tcPr>
          <w:p w14:paraId="A2370000">
            <w:pPr>
              <w:widowControl w:val="1"/>
              <w:ind/>
              <w:jc w:val="center"/>
              <w:rPr>
                <w:sz w:val="18"/>
              </w:rPr>
            </w:pPr>
            <w:r>
              <w:rPr>
                <w:sz w:val="18"/>
              </w:rPr>
              <w:t>счет № 28/205 от 14.05.2018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A3370000">
            <w:pPr>
              <w:widowControl w:val="1"/>
              <w:ind/>
              <w:jc w:val="center"/>
              <w:rPr>
                <w:color w:val="000000"/>
                <w:sz w:val="18"/>
              </w:rPr>
            </w:pPr>
            <w:r>
              <w:rPr>
                <w:color w:val="000000"/>
                <w:sz w:val="18"/>
              </w:rPr>
              <w:t>151</w:t>
            </w:r>
          </w:p>
        </w:tc>
        <w:tc>
          <w:tcPr>
            <w:tcW w:type="dxa" w:w="618"/>
            <w:tcBorders>
              <w:top w:color="000000" w:sz="4" w:val="single"/>
              <w:left w:color="000000" w:sz="4" w:val="single"/>
              <w:bottom w:color="000000" w:sz="4" w:val="single"/>
              <w:right w:color="000000" w:sz="4" w:val="single"/>
            </w:tcBorders>
            <w:shd w:fill="FFFFFF" w:val="clear"/>
            <w:vAlign w:val="center"/>
          </w:tcPr>
          <w:p w14:paraId="A4370000">
            <w:pPr>
              <w:widowControl w:val="1"/>
              <w:ind/>
              <w:jc w:val="center"/>
              <w:rPr>
                <w:sz w:val="18"/>
              </w:rPr>
            </w:pPr>
            <w:r>
              <w:rPr>
                <w:sz w:val="18"/>
              </w:rPr>
              <w:t>74/2</w:t>
            </w:r>
          </w:p>
        </w:tc>
        <w:tc>
          <w:tcPr>
            <w:tcW w:type="dxa" w:w="993"/>
            <w:tcBorders>
              <w:top w:color="000000" w:sz="4" w:val="single"/>
              <w:left w:color="000000" w:sz="4" w:val="single"/>
              <w:bottom w:color="000000" w:sz="4" w:val="single"/>
              <w:right w:color="000000" w:sz="4" w:val="single"/>
            </w:tcBorders>
            <w:shd w:fill="FFFFFF" w:val="clear"/>
            <w:vAlign w:val="center"/>
          </w:tcPr>
          <w:p w14:paraId="A5370000">
            <w:pPr>
              <w:widowControl w:val="1"/>
              <w:ind/>
              <w:jc w:val="center"/>
              <w:rPr>
                <w:sz w:val="18"/>
              </w:rPr>
            </w:pPr>
            <w:r>
              <w:rPr>
                <w:sz w:val="18"/>
              </w:rPr>
              <w:t>оказание услуг по обслужтванию биотеалетов</w:t>
            </w:r>
          </w:p>
        </w:tc>
        <w:tc>
          <w:tcPr>
            <w:tcW w:type="dxa" w:w="849"/>
            <w:tcBorders>
              <w:top w:color="000000" w:sz="4" w:val="single"/>
              <w:left w:color="000000" w:sz="4" w:val="single"/>
              <w:bottom w:color="000000" w:sz="4" w:val="single"/>
              <w:right w:color="000000" w:sz="4" w:val="single"/>
            </w:tcBorders>
            <w:shd w:fill="FFFFFF" w:val="clear"/>
            <w:vAlign w:val="center"/>
          </w:tcPr>
          <w:p w14:paraId="A637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A7370000">
            <w:pPr>
              <w:widowControl w:val="1"/>
              <w:ind/>
              <w:jc w:val="center"/>
              <w:rPr>
                <w:sz w:val="18"/>
              </w:rPr>
            </w:pPr>
            <w:r>
              <w:rPr>
                <w:sz w:val="18"/>
              </w:rPr>
              <w:t>16</w:t>
            </w:r>
          </w:p>
        </w:tc>
        <w:tc>
          <w:tcPr>
            <w:tcW w:type="dxa" w:w="991"/>
            <w:tcBorders>
              <w:top w:color="000000" w:sz="4" w:val="single"/>
              <w:left w:color="000000" w:sz="4" w:val="single"/>
              <w:bottom w:color="000000" w:sz="4" w:val="single"/>
              <w:right w:color="000000" w:sz="4" w:val="single"/>
            </w:tcBorders>
            <w:shd w:fill="FFFFFF" w:val="clear"/>
            <w:vAlign w:val="center"/>
          </w:tcPr>
          <w:p w14:paraId="A8370000">
            <w:pPr>
              <w:widowControl w:val="1"/>
              <w:ind/>
              <w:jc w:val="center"/>
              <w:rPr>
                <w:sz w:val="18"/>
              </w:rPr>
            </w:pPr>
            <w:r>
              <w:rPr>
                <w:sz w:val="18"/>
              </w:rPr>
              <w:t>11200,00</w:t>
            </w:r>
          </w:p>
        </w:tc>
        <w:tc>
          <w:tcPr>
            <w:tcW w:type="dxa" w:w="1134"/>
            <w:tcBorders>
              <w:top w:color="000000" w:sz="4" w:val="single"/>
              <w:left w:color="000000" w:sz="4" w:val="single"/>
              <w:bottom w:color="000000" w:sz="4" w:val="single"/>
              <w:right w:color="000000" w:sz="4" w:val="single"/>
            </w:tcBorders>
            <w:shd w:fill="FFFFFF" w:val="clear"/>
            <w:vAlign w:val="center"/>
          </w:tcPr>
          <w:p w14:paraId="A9370000">
            <w:pPr>
              <w:widowControl w:val="1"/>
              <w:ind/>
              <w:jc w:val="center"/>
              <w:rPr>
                <w:sz w:val="18"/>
              </w:rPr>
            </w:pPr>
            <w:r>
              <w:rPr>
                <w:sz w:val="18"/>
              </w:rPr>
              <w:t>11200,00</w:t>
            </w:r>
          </w:p>
        </w:tc>
        <w:tc>
          <w:tcPr>
            <w:tcW w:type="dxa" w:w="993"/>
            <w:tcBorders>
              <w:top w:color="000000" w:sz="4" w:val="single"/>
              <w:left w:color="000000" w:sz="4" w:val="single"/>
              <w:bottom w:color="000000" w:sz="4" w:val="single"/>
              <w:right w:color="000000" w:sz="4" w:val="single"/>
            </w:tcBorders>
            <w:shd w:fill="FFFFFF" w:val="clear"/>
            <w:vAlign w:val="center"/>
          </w:tcPr>
          <w:p w14:paraId="AA370000">
            <w:pPr>
              <w:widowControl w:val="1"/>
              <w:ind/>
              <w:jc w:val="center"/>
              <w:rPr>
                <w:sz w:val="18"/>
              </w:rPr>
            </w:pPr>
            <w:r>
              <w:rPr>
                <w:sz w:val="18"/>
              </w:rPr>
              <w:t>май 2018 г.</w:t>
            </w:r>
          </w:p>
        </w:tc>
        <w:tc>
          <w:tcPr>
            <w:tcW w:type="dxa" w:w="850"/>
            <w:tcBorders>
              <w:top w:color="000000" w:sz="4" w:val="single"/>
              <w:left w:color="000000" w:sz="4" w:val="single"/>
              <w:bottom w:color="000000" w:sz="4" w:val="single"/>
              <w:right w:color="000000" w:sz="4" w:val="single"/>
            </w:tcBorders>
            <w:shd w:fill="FFFFFF" w:val="clear"/>
            <w:vAlign w:val="center"/>
          </w:tcPr>
          <w:p w14:paraId="AB370000">
            <w:pPr>
              <w:widowControl w:val="1"/>
              <w:ind/>
              <w:jc w:val="center"/>
              <w:rPr>
                <w:sz w:val="18"/>
              </w:rPr>
            </w:pPr>
            <w:r>
              <w:rPr>
                <w:sz w:val="18"/>
              </w:rPr>
              <w:t>май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AC37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AD37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AE370000">
            <w:pPr>
              <w:widowControl w:val="1"/>
              <w:ind/>
              <w:jc w:val="center"/>
              <w:rPr>
                <w:sz w:val="18"/>
              </w:rPr>
            </w:pPr>
            <w:r>
              <w:rPr>
                <w:sz w:val="18"/>
              </w:rPr>
              <w:t>16</w:t>
            </w:r>
          </w:p>
        </w:tc>
        <w:tc>
          <w:tcPr>
            <w:tcW w:type="dxa" w:w="1169"/>
            <w:tcBorders>
              <w:top w:color="000000" w:sz="4" w:val="single"/>
              <w:left w:color="000000" w:sz="4" w:val="single"/>
              <w:bottom w:color="000000" w:sz="4" w:val="single"/>
              <w:right w:color="000000" w:sz="4" w:val="single"/>
            </w:tcBorders>
            <w:shd w:fill="FFFFFF" w:val="clear"/>
            <w:vAlign w:val="center"/>
          </w:tcPr>
          <w:p w14:paraId="AF370000">
            <w:pPr>
              <w:widowControl w:val="1"/>
              <w:ind/>
              <w:jc w:val="center"/>
              <w:rPr>
                <w:sz w:val="18"/>
              </w:rPr>
            </w:pPr>
            <w:r>
              <w:rPr>
                <w:sz w:val="18"/>
              </w:rPr>
              <w:t>11200,00</w:t>
            </w:r>
          </w:p>
        </w:tc>
        <w:tc>
          <w:tcPr>
            <w:tcW w:type="dxa" w:w="1185"/>
            <w:tcBorders>
              <w:top w:color="000000" w:sz="4" w:val="single"/>
              <w:left w:color="000000" w:sz="4" w:val="single"/>
              <w:bottom w:color="000000" w:sz="4" w:val="single"/>
              <w:right w:color="000000" w:sz="4" w:val="single"/>
            </w:tcBorders>
            <w:shd w:fill="FFFFFF" w:val="clear"/>
            <w:vAlign w:val="center"/>
          </w:tcPr>
          <w:p w14:paraId="B0370000">
            <w:pPr>
              <w:widowControl w:val="1"/>
              <w:ind/>
              <w:jc w:val="center"/>
              <w:rPr>
                <w:sz w:val="18"/>
              </w:rPr>
            </w:pPr>
            <w:r>
              <w:rPr>
                <w:sz w:val="18"/>
              </w:rPr>
              <w:t>11200,00</w:t>
            </w:r>
          </w:p>
        </w:tc>
        <w:tc>
          <w:tcPr>
            <w:tcW w:type="dxa" w:w="1083"/>
            <w:tcBorders>
              <w:top w:color="000000" w:sz="4" w:val="single"/>
              <w:left w:color="000000" w:sz="4" w:val="single"/>
              <w:bottom w:color="000000" w:sz="4" w:val="single"/>
              <w:right w:color="000000" w:sz="4" w:val="single"/>
            </w:tcBorders>
            <w:shd w:fill="FFFFFF" w:val="clear"/>
            <w:vAlign w:val="center"/>
          </w:tcPr>
          <w:p w14:paraId="B1370000">
            <w:pPr>
              <w:widowControl w:val="1"/>
              <w:ind/>
              <w:jc w:val="center"/>
              <w:rPr>
                <w:sz w:val="18"/>
              </w:rPr>
            </w:pPr>
            <w:r>
              <w:rPr>
                <w:sz w:val="18"/>
              </w:rPr>
              <w:t>11200,00</w:t>
            </w:r>
          </w:p>
        </w:tc>
        <w:tc>
          <w:tcPr>
            <w:tcW w:type="dxa" w:w="771"/>
            <w:tcBorders>
              <w:top w:color="000000" w:sz="4" w:val="single"/>
              <w:left w:color="000000" w:sz="4" w:val="single"/>
              <w:bottom w:color="000000" w:sz="4" w:val="single"/>
              <w:right w:color="000000" w:sz="4" w:val="single"/>
            </w:tcBorders>
            <w:shd w:fill="FFFFFF" w:val="clear"/>
            <w:vAlign w:val="center"/>
          </w:tcPr>
          <w:p w14:paraId="B2370000">
            <w:pPr>
              <w:widowControl w:val="1"/>
              <w:ind/>
              <w:jc w:val="center"/>
              <w:rPr>
                <w:sz w:val="18"/>
              </w:rPr>
            </w:pPr>
            <w:r>
              <w:rPr>
                <w:sz w:val="18"/>
              </w:rPr>
              <w:t>май 2018 г.</w:t>
            </w:r>
          </w:p>
        </w:tc>
        <w:tc>
          <w:tcPr>
            <w:tcW w:type="dxa" w:w="612"/>
            <w:tcBorders>
              <w:top w:color="000000" w:sz="4" w:val="single"/>
              <w:left w:color="000000" w:sz="4" w:val="single"/>
              <w:bottom w:color="000000" w:sz="4" w:val="single"/>
              <w:right w:color="000000" w:sz="4" w:val="single"/>
            </w:tcBorders>
            <w:shd w:fill="FFFFFF" w:val="clear"/>
            <w:vAlign w:val="center"/>
          </w:tcPr>
          <w:p w14:paraId="B3370000">
            <w:pPr>
              <w:widowControl w:val="1"/>
              <w:ind/>
              <w:jc w:val="center"/>
              <w:rPr>
                <w:sz w:val="18"/>
              </w:rPr>
            </w:pPr>
            <w:r>
              <w:rPr>
                <w:sz w:val="18"/>
              </w:rPr>
              <w:t>май 2018 г.</w:t>
            </w:r>
          </w:p>
        </w:tc>
        <w:tc>
          <w:tcPr>
            <w:tcW w:type="dxa" w:w="709"/>
            <w:tcBorders>
              <w:top w:color="000000" w:sz="4" w:val="single"/>
              <w:left w:color="000000" w:sz="4" w:val="single"/>
              <w:bottom w:color="000000" w:sz="4" w:val="single"/>
              <w:right w:color="000000" w:sz="4" w:val="single"/>
            </w:tcBorders>
            <w:shd w:fill="FFFFFF" w:val="clear"/>
            <w:vAlign w:val="center"/>
          </w:tcPr>
          <w:p w14:paraId="B4370000">
            <w:pPr>
              <w:widowControl w:val="1"/>
              <w:ind/>
              <w:jc w:val="center"/>
              <w:rPr>
                <w:sz w:val="18"/>
              </w:rPr>
            </w:pPr>
            <w:r>
              <w:rPr>
                <w:sz w:val="18"/>
              </w:rPr>
              <w:t>счет № 536 от 04.05.2018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B5370000">
            <w:pPr>
              <w:widowControl w:val="1"/>
              <w:ind/>
              <w:jc w:val="center"/>
              <w:rPr>
                <w:color w:val="000000"/>
                <w:sz w:val="18"/>
              </w:rPr>
            </w:pPr>
            <w:r>
              <w:rPr>
                <w:color w:val="000000"/>
                <w:sz w:val="18"/>
              </w:rPr>
              <w:t>152</w:t>
            </w:r>
          </w:p>
        </w:tc>
        <w:tc>
          <w:tcPr>
            <w:tcW w:type="dxa" w:w="618"/>
            <w:tcBorders>
              <w:top w:color="000000" w:sz="4" w:val="single"/>
              <w:left w:color="000000" w:sz="4" w:val="single"/>
              <w:bottom w:color="000000" w:sz="4" w:val="single"/>
              <w:right w:color="000000" w:sz="4" w:val="single"/>
            </w:tcBorders>
            <w:shd w:fill="FFFFFF" w:val="clear"/>
            <w:vAlign w:val="center"/>
          </w:tcPr>
          <w:p w14:paraId="B6370000">
            <w:pPr>
              <w:widowControl w:val="1"/>
              <w:ind/>
              <w:jc w:val="center"/>
              <w:rPr>
                <w:sz w:val="18"/>
              </w:rPr>
            </w:pPr>
            <w:r>
              <w:rPr>
                <w:sz w:val="18"/>
              </w:rPr>
              <w:t>75/2</w:t>
            </w:r>
          </w:p>
        </w:tc>
        <w:tc>
          <w:tcPr>
            <w:tcW w:type="dxa" w:w="993"/>
            <w:tcBorders>
              <w:top w:color="000000" w:sz="4" w:val="single"/>
              <w:left w:color="000000" w:sz="4" w:val="single"/>
              <w:bottom w:color="000000" w:sz="4" w:val="single"/>
              <w:right w:color="000000" w:sz="4" w:val="single"/>
            </w:tcBorders>
            <w:shd w:fill="FFFFFF" w:val="clear"/>
            <w:vAlign w:val="center"/>
          </w:tcPr>
          <w:p w14:paraId="B7370000">
            <w:pPr>
              <w:widowControl w:val="1"/>
              <w:ind/>
              <w:jc w:val="center"/>
              <w:rPr>
                <w:sz w:val="18"/>
              </w:rPr>
            </w:pPr>
            <w:r>
              <w:rPr>
                <w:sz w:val="18"/>
              </w:rPr>
              <w:t>оказание услуг по техническому обслуживанию автомобиля AUDI Q7</w:t>
            </w:r>
          </w:p>
        </w:tc>
        <w:tc>
          <w:tcPr>
            <w:tcW w:type="dxa" w:w="849"/>
            <w:tcBorders>
              <w:top w:color="000000" w:sz="4" w:val="single"/>
              <w:left w:color="000000" w:sz="4" w:val="single"/>
              <w:bottom w:color="000000" w:sz="4" w:val="single"/>
              <w:right w:color="000000" w:sz="4" w:val="single"/>
            </w:tcBorders>
            <w:shd w:fill="FFFFFF" w:val="clear"/>
            <w:vAlign w:val="center"/>
          </w:tcPr>
          <w:p w14:paraId="B837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937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BA370000">
            <w:pPr>
              <w:widowControl w:val="1"/>
              <w:ind/>
              <w:jc w:val="center"/>
              <w:rPr>
                <w:sz w:val="18"/>
              </w:rPr>
            </w:pPr>
            <w:r>
              <w:rPr>
                <w:sz w:val="18"/>
              </w:rPr>
              <w:t>31000,00</w:t>
            </w:r>
          </w:p>
        </w:tc>
        <w:tc>
          <w:tcPr>
            <w:tcW w:type="dxa" w:w="1134"/>
            <w:tcBorders>
              <w:top w:color="000000" w:sz="4" w:val="single"/>
              <w:left w:color="000000" w:sz="4" w:val="single"/>
              <w:bottom w:color="000000" w:sz="4" w:val="single"/>
              <w:right w:color="000000" w:sz="4" w:val="single"/>
            </w:tcBorders>
            <w:shd w:fill="FFFFFF" w:val="clear"/>
            <w:vAlign w:val="center"/>
          </w:tcPr>
          <w:p w14:paraId="BB370000">
            <w:pPr>
              <w:widowControl w:val="1"/>
              <w:ind/>
              <w:jc w:val="center"/>
              <w:rPr>
                <w:sz w:val="18"/>
              </w:rPr>
            </w:pPr>
            <w:r>
              <w:rPr>
                <w:sz w:val="18"/>
              </w:rPr>
              <w:t>31000,00</w:t>
            </w:r>
          </w:p>
        </w:tc>
        <w:tc>
          <w:tcPr>
            <w:tcW w:type="dxa" w:w="993"/>
            <w:tcBorders>
              <w:top w:color="000000" w:sz="4" w:val="single"/>
              <w:left w:color="000000" w:sz="4" w:val="single"/>
              <w:bottom w:color="000000" w:sz="4" w:val="single"/>
              <w:right w:color="000000" w:sz="4" w:val="single"/>
            </w:tcBorders>
            <w:shd w:fill="FFFFFF" w:val="clear"/>
            <w:vAlign w:val="center"/>
          </w:tcPr>
          <w:p w14:paraId="BC370000">
            <w:pPr>
              <w:widowControl w:val="1"/>
              <w:ind/>
              <w:jc w:val="center"/>
              <w:rPr>
                <w:sz w:val="18"/>
              </w:rPr>
            </w:pPr>
            <w:r>
              <w:rPr>
                <w:sz w:val="18"/>
              </w:rPr>
              <w:t>май 2018 г.</w:t>
            </w:r>
          </w:p>
        </w:tc>
        <w:tc>
          <w:tcPr>
            <w:tcW w:type="dxa" w:w="850"/>
            <w:tcBorders>
              <w:top w:color="000000" w:sz="4" w:val="single"/>
              <w:left w:color="000000" w:sz="4" w:val="single"/>
              <w:bottom w:color="000000" w:sz="4" w:val="single"/>
              <w:right w:color="000000" w:sz="4" w:val="single"/>
            </w:tcBorders>
            <w:shd w:fill="FFFFFF" w:val="clear"/>
            <w:vAlign w:val="center"/>
          </w:tcPr>
          <w:p w14:paraId="BD370000">
            <w:pPr>
              <w:widowControl w:val="1"/>
              <w:ind/>
              <w:jc w:val="center"/>
              <w:rPr>
                <w:sz w:val="18"/>
              </w:rPr>
            </w:pPr>
            <w:r>
              <w:rPr>
                <w:sz w:val="18"/>
              </w:rPr>
              <w:t>май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BE37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BF37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C037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C1370000">
            <w:pPr>
              <w:widowControl w:val="1"/>
              <w:ind/>
              <w:jc w:val="center"/>
              <w:rPr>
                <w:sz w:val="18"/>
              </w:rPr>
            </w:pPr>
            <w:r>
              <w:rPr>
                <w:sz w:val="18"/>
              </w:rPr>
              <w:t>31000,00</w:t>
            </w:r>
          </w:p>
        </w:tc>
        <w:tc>
          <w:tcPr>
            <w:tcW w:type="dxa" w:w="1185"/>
            <w:tcBorders>
              <w:top w:color="000000" w:sz="4" w:val="single"/>
              <w:left w:color="000000" w:sz="4" w:val="single"/>
              <w:bottom w:color="000000" w:sz="4" w:val="single"/>
              <w:right w:color="000000" w:sz="4" w:val="single"/>
            </w:tcBorders>
            <w:shd w:fill="FFFFFF" w:val="clear"/>
            <w:vAlign w:val="center"/>
          </w:tcPr>
          <w:p w14:paraId="C2370000">
            <w:pPr>
              <w:widowControl w:val="1"/>
              <w:ind/>
              <w:jc w:val="center"/>
              <w:rPr>
                <w:sz w:val="18"/>
              </w:rPr>
            </w:pPr>
            <w:r>
              <w:rPr>
                <w:sz w:val="18"/>
              </w:rPr>
              <w:t>31000,00</w:t>
            </w:r>
          </w:p>
        </w:tc>
        <w:tc>
          <w:tcPr>
            <w:tcW w:type="dxa" w:w="1083"/>
            <w:tcBorders>
              <w:top w:color="000000" w:sz="4" w:val="single"/>
              <w:left w:color="000000" w:sz="4" w:val="single"/>
              <w:bottom w:color="000000" w:sz="4" w:val="single"/>
              <w:right w:color="000000" w:sz="4" w:val="single"/>
            </w:tcBorders>
            <w:shd w:fill="FFFFFF" w:val="clear"/>
            <w:vAlign w:val="center"/>
          </w:tcPr>
          <w:p w14:paraId="C3370000">
            <w:pPr>
              <w:widowControl w:val="1"/>
              <w:ind/>
              <w:jc w:val="center"/>
              <w:rPr>
                <w:sz w:val="18"/>
              </w:rPr>
            </w:pPr>
            <w:r>
              <w:rPr>
                <w:sz w:val="18"/>
              </w:rPr>
              <w:t>31000,00</w:t>
            </w:r>
          </w:p>
        </w:tc>
        <w:tc>
          <w:tcPr>
            <w:tcW w:type="dxa" w:w="771"/>
            <w:tcBorders>
              <w:top w:color="000000" w:sz="4" w:val="single"/>
              <w:left w:color="000000" w:sz="4" w:val="single"/>
              <w:bottom w:color="000000" w:sz="4" w:val="single"/>
              <w:right w:color="000000" w:sz="4" w:val="single"/>
            </w:tcBorders>
            <w:shd w:fill="FFFFFF" w:val="clear"/>
            <w:vAlign w:val="center"/>
          </w:tcPr>
          <w:p w14:paraId="C4370000">
            <w:pPr>
              <w:widowControl w:val="1"/>
              <w:ind/>
              <w:jc w:val="center"/>
              <w:rPr>
                <w:sz w:val="18"/>
              </w:rPr>
            </w:pPr>
            <w:r>
              <w:rPr>
                <w:sz w:val="18"/>
              </w:rPr>
              <w:t>май 2018 г.</w:t>
            </w:r>
          </w:p>
        </w:tc>
        <w:tc>
          <w:tcPr>
            <w:tcW w:type="dxa" w:w="612"/>
            <w:tcBorders>
              <w:top w:color="000000" w:sz="4" w:val="single"/>
              <w:left w:color="000000" w:sz="4" w:val="single"/>
              <w:bottom w:color="000000" w:sz="4" w:val="single"/>
              <w:right w:color="000000" w:sz="4" w:val="single"/>
            </w:tcBorders>
            <w:shd w:fill="FFFFFF" w:val="clear"/>
            <w:vAlign w:val="center"/>
          </w:tcPr>
          <w:p w14:paraId="C5370000">
            <w:pPr>
              <w:widowControl w:val="1"/>
              <w:ind/>
              <w:jc w:val="center"/>
              <w:rPr>
                <w:sz w:val="18"/>
              </w:rPr>
            </w:pPr>
            <w:r>
              <w:rPr>
                <w:sz w:val="18"/>
              </w:rPr>
              <w:t>май 2018 г.</w:t>
            </w:r>
          </w:p>
        </w:tc>
        <w:tc>
          <w:tcPr>
            <w:tcW w:type="dxa" w:w="709"/>
            <w:tcBorders>
              <w:top w:color="000000" w:sz="4" w:val="single"/>
              <w:left w:color="000000" w:sz="4" w:val="single"/>
              <w:bottom w:color="000000" w:sz="4" w:val="single"/>
              <w:right w:color="000000" w:sz="4" w:val="single"/>
            </w:tcBorders>
            <w:shd w:fill="FFFFFF" w:val="clear"/>
            <w:vAlign w:val="center"/>
          </w:tcPr>
          <w:p w14:paraId="C6370000">
            <w:pPr>
              <w:widowControl w:val="1"/>
              <w:ind/>
              <w:jc w:val="center"/>
              <w:rPr>
                <w:sz w:val="18"/>
              </w:rPr>
            </w:pPr>
            <w:r>
              <w:rPr>
                <w:sz w:val="18"/>
              </w:rPr>
              <w:t>счет № 28 от 28.05.2018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C7370000">
            <w:pPr>
              <w:widowControl w:val="1"/>
              <w:ind/>
              <w:jc w:val="center"/>
              <w:rPr>
                <w:color w:val="000000"/>
                <w:sz w:val="18"/>
              </w:rPr>
            </w:pPr>
            <w:r>
              <w:rPr>
                <w:color w:val="000000"/>
                <w:sz w:val="18"/>
              </w:rPr>
              <w:t>153</w:t>
            </w:r>
          </w:p>
        </w:tc>
        <w:tc>
          <w:tcPr>
            <w:tcW w:type="dxa" w:w="618"/>
            <w:tcBorders>
              <w:top w:color="000000" w:sz="4" w:val="single"/>
              <w:left w:color="000000" w:sz="4" w:val="single"/>
              <w:bottom w:color="000000" w:sz="4" w:val="single"/>
              <w:right w:color="000000" w:sz="4" w:val="single"/>
            </w:tcBorders>
            <w:shd w:fill="FFFFFF" w:val="clear"/>
            <w:vAlign w:val="center"/>
          </w:tcPr>
          <w:p w14:paraId="C8370000">
            <w:pPr>
              <w:widowControl w:val="1"/>
              <w:ind/>
              <w:jc w:val="center"/>
              <w:rPr>
                <w:sz w:val="18"/>
              </w:rPr>
            </w:pPr>
            <w:r>
              <w:rPr>
                <w:sz w:val="18"/>
              </w:rPr>
              <w:t>76/2</w:t>
            </w:r>
          </w:p>
        </w:tc>
        <w:tc>
          <w:tcPr>
            <w:tcW w:type="dxa" w:w="993"/>
            <w:tcBorders>
              <w:top w:color="000000" w:sz="4" w:val="single"/>
              <w:left w:color="000000" w:sz="4" w:val="single"/>
              <w:bottom w:color="000000" w:sz="4" w:val="single"/>
              <w:right w:color="000000" w:sz="4" w:val="single"/>
            </w:tcBorders>
            <w:shd w:fill="FFFFFF" w:val="clear"/>
            <w:vAlign w:val="center"/>
          </w:tcPr>
          <w:p w14:paraId="C9370000">
            <w:pPr>
              <w:widowControl w:val="1"/>
              <w:ind/>
              <w:jc w:val="center"/>
              <w:rPr>
                <w:sz w:val="18"/>
              </w:rPr>
            </w:pPr>
            <w:r>
              <w:rPr>
                <w:sz w:val="18"/>
              </w:rPr>
              <w:t>Оказание услуг по обучению</w:t>
            </w:r>
          </w:p>
        </w:tc>
        <w:tc>
          <w:tcPr>
            <w:tcW w:type="dxa" w:w="849"/>
            <w:tcBorders>
              <w:top w:color="000000" w:sz="4" w:val="single"/>
              <w:left w:color="000000" w:sz="4" w:val="single"/>
              <w:bottom w:color="000000" w:sz="4" w:val="single"/>
              <w:right w:color="000000" w:sz="4" w:val="single"/>
            </w:tcBorders>
            <w:shd w:fill="FFFFFF" w:val="clear"/>
            <w:vAlign w:val="center"/>
          </w:tcPr>
          <w:p w14:paraId="CA37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CB37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CC370000">
            <w:pPr>
              <w:widowControl w:val="1"/>
              <w:ind/>
              <w:jc w:val="center"/>
              <w:rPr>
                <w:sz w:val="18"/>
              </w:rPr>
            </w:pPr>
            <w:r>
              <w:rPr>
                <w:sz w:val="18"/>
              </w:rPr>
              <w:t>4800,00</w:t>
            </w:r>
          </w:p>
        </w:tc>
        <w:tc>
          <w:tcPr>
            <w:tcW w:type="dxa" w:w="1134"/>
            <w:tcBorders>
              <w:top w:color="000000" w:sz="4" w:val="single"/>
              <w:left w:color="000000" w:sz="4" w:val="single"/>
              <w:bottom w:color="000000" w:sz="4" w:val="single"/>
              <w:right w:color="000000" w:sz="4" w:val="single"/>
            </w:tcBorders>
            <w:shd w:fill="FFFFFF" w:val="clear"/>
            <w:vAlign w:val="center"/>
          </w:tcPr>
          <w:p w14:paraId="CD370000">
            <w:pPr>
              <w:widowControl w:val="1"/>
              <w:ind/>
              <w:jc w:val="center"/>
              <w:rPr>
                <w:sz w:val="18"/>
              </w:rPr>
            </w:pPr>
            <w:r>
              <w:rPr>
                <w:sz w:val="18"/>
              </w:rPr>
              <w:t>4800,00</w:t>
            </w:r>
          </w:p>
        </w:tc>
        <w:tc>
          <w:tcPr>
            <w:tcW w:type="dxa" w:w="993"/>
            <w:tcBorders>
              <w:top w:color="000000" w:sz="4" w:val="single"/>
              <w:left w:color="000000" w:sz="4" w:val="single"/>
              <w:bottom w:color="000000" w:sz="4" w:val="single"/>
              <w:right w:color="000000" w:sz="4" w:val="single"/>
            </w:tcBorders>
            <w:shd w:fill="FFFFFF" w:val="clear"/>
            <w:vAlign w:val="center"/>
          </w:tcPr>
          <w:p w14:paraId="CE370000">
            <w:pPr>
              <w:widowControl w:val="1"/>
              <w:ind/>
              <w:jc w:val="center"/>
              <w:rPr>
                <w:sz w:val="18"/>
              </w:rPr>
            </w:pPr>
            <w:r>
              <w:rPr>
                <w:sz w:val="18"/>
              </w:rPr>
              <w:t>май 2018 г.</w:t>
            </w:r>
          </w:p>
        </w:tc>
        <w:tc>
          <w:tcPr>
            <w:tcW w:type="dxa" w:w="850"/>
            <w:tcBorders>
              <w:top w:color="000000" w:sz="4" w:val="single"/>
              <w:left w:color="000000" w:sz="4" w:val="single"/>
              <w:bottom w:color="000000" w:sz="4" w:val="single"/>
              <w:right w:color="000000" w:sz="4" w:val="single"/>
            </w:tcBorders>
            <w:shd w:fill="FFFFFF" w:val="clear"/>
            <w:vAlign w:val="center"/>
          </w:tcPr>
          <w:p w14:paraId="CF370000">
            <w:pPr>
              <w:widowControl w:val="1"/>
              <w:ind/>
              <w:jc w:val="center"/>
              <w:rPr>
                <w:sz w:val="18"/>
              </w:rPr>
            </w:pPr>
            <w:r>
              <w:rPr>
                <w:sz w:val="18"/>
              </w:rPr>
              <w:t>май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D037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D137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D237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D3370000">
            <w:pPr>
              <w:widowControl w:val="1"/>
              <w:ind/>
              <w:jc w:val="center"/>
              <w:rPr>
                <w:sz w:val="18"/>
              </w:rPr>
            </w:pPr>
            <w:r>
              <w:rPr>
                <w:sz w:val="18"/>
              </w:rPr>
              <w:t>4800,00</w:t>
            </w:r>
          </w:p>
        </w:tc>
        <w:tc>
          <w:tcPr>
            <w:tcW w:type="dxa" w:w="1185"/>
            <w:tcBorders>
              <w:top w:color="000000" w:sz="4" w:val="single"/>
              <w:left w:color="000000" w:sz="4" w:val="single"/>
              <w:bottom w:color="000000" w:sz="4" w:val="single"/>
              <w:right w:color="000000" w:sz="4" w:val="single"/>
            </w:tcBorders>
            <w:shd w:fill="FFFFFF" w:val="clear"/>
            <w:vAlign w:val="center"/>
          </w:tcPr>
          <w:p w14:paraId="D4370000">
            <w:pPr>
              <w:widowControl w:val="1"/>
              <w:ind/>
              <w:jc w:val="center"/>
              <w:rPr>
                <w:sz w:val="18"/>
              </w:rPr>
            </w:pPr>
            <w:r>
              <w:rPr>
                <w:sz w:val="18"/>
              </w:rPr>
              <w:t>4800,00</w:t>
            </w:r>
          </w:p>
        </w:tc>
        <w:tc>
          <w:tcPr>
            <w:tcW w:type="dxa" w:w="1083"/>
            <w:tcBorders>
              <w:top w:color="000000" w:sz="4" w:val="single"/>
              <w:left w:color="000000" w:sz="4" w:val="single"/>
              <w:bottom w:color="000000" w:sz="4" w:val="single"/>
              <w:right w:color="000000" w:sz="4" w:val="single"/>
            </w:tcBorders>
            <w:shd w:fill="FFFFFF" w:val="clear"/>
            <w:vAlign w:val="center"/>
          </w:tcPr>
          <w:p w14:paraId="D5370000">
            <w:pPr>
              <w:widowControl w:val="1"/>
              <w:ind/>
              <w:jc w:val="center"/>
              <w:rPr>
                <w:sz w:val="18"/>
              </w:rPr>
            </w:pPr>
            <w:r>
              <w:rPr>
                <w:sz w:val="18"/>
              </w:rPr>
              <w:t>4800,00</w:t>
            </w:r>
          </w:p>
        </w:tc>
        <w:tc>
          <w:tcPr>
            <w:tcW w:type="dxa" w:w="771"/>
            <w:tcBorders>
              <w:top w:color="000000" w:sz="4" w:val="single"/>
              <w:left w:color="000000" w:sz="4" w:val="single"/>
              <w:bottom w:color="000000" w:sz="4" w:val="single"/>
              <w:right w:color="000000" w:sz="4" w:val="single"/>
            </w:tcBorders>
            <w:shd w:fill="FFFFFF" w:val="clear"/>
            <w:vAlign w:val="center"/>
          </w:tcPr>
          <w:p w14:paraId="D6370000">
            <w:pPr>
              <w:widowControl w:val="1"/>
              <w:ind/>
              <w:jc w:val="center"/>
              <w:rPr>
                <w:sz w:val="18"/>
              </w:rPr>
            </w:pPr>
            <w:r>
              <w:rPr>
                <w:sz w:val="18"/>
              </w:rPr>
              <w:t>май 2018 г.</w:t>
            </w:r>
          </w:p>
        </w:tc>
        <w:tc>
          <w:tcPr>
            <w:tcW w:type="dxa" w:w="612"/>
            <w:tcBorders>
              <w:top w:color="000000" w:sz="4" w:val="single"/>
              <w:left w:color="000000" w:sz="4" w:val="single"/>
              <w:bottom w:color="000000" w:sz="4" w:val="single"/>
              <w:right w:color="000000" w:sz="4" w:val="single"/>
            </w:tcBorders>
            <w:shd w:fill="FFFFFF" w:val="clear"/>
            <w:vAlign w:val="center"/>
          </w:tcPr>
          <w:p w14:paraId="D7370000">
            <w:pPr>
              <w:widowControl w:val="1"/>
              <w:ind/>
              <w:jc w:val="center"/>
              <w:rPr>
                <w:sz w:val="18"/>
              </w:rPr>
            </w:pPr>
            <w:r>
              <w:rPr>
                <w:sz w:val="18"/>
              </w:rPr>
              <w:t>май 2018 г.</w:t>
            </w:r>
          </w:p>
        </w:tc>
        <w:tc>
          <w:tcPr>
            <w:tcW w:type="dxa" w:w="709"/>
            <w:tcBorders>
              <w:top w:color="000000" w:sz="4" w:val="single"/>
              <w:left w:color="000000" w:sz="4" w:val="single"/>
              <w:bottom w:color="000000" w:sz="4" w:val="single"/>
              <w:right w:color="000000" w:sz="4" w:val="single"/>
            </w:tcBorders>
            <w:shd w:fill="FFFFFF" w:val="clear"/>
            <w:vAlign w:val="center"/>
          </w:tcPr>
          <w:p w14:paraId="D8370000">
            <w:pPr>
              <w:widowControl w:val="1"/>
              <w:ind/>
              <w:jc w:val="center"/>
              <w:rPr>
                <w:sz w:val="18"/>
              </w:rPr>
            </w:pPr>
            <w:r>
              <w:rPr>
                <w:sz w:val="18"/>
              </w:rPr>
              <w:t>счет № 603 от 10.05.2018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D9370000">
            <w:pPr>
              <w:widowControl w:val="1"/>
              <w:ind/>
              <w:jc w:val="center"/>
              <w:rPr>
                <w:color w:val="000000"/>
                <w:sz w:val="18"/>
              </w:rPr>
            </w:pPr>
            <w:r>
              <w:rPr>
                <w:color w:val="000000"/>
                <w:sz w:val="18"/>
              </w:rPr>
              <w:t>154</w:t>
            </w:r>
          </w:p>
        </w:tc>
        <w:tc>
          <w:tcPr>
            <w:tcW w:type="dxa" w:w="618"/>
            <w:tcBorders>
              <w:top w:color="000000" w:sz="4" w:val="single"/>
              <w:left w:color="000000" w:sz="4" w:val="single"/>
              <w:bottom w:color="000000" w:sz="4" w:val="single"/>
              <w:right w:color="000000" w:sz="4" w:val="single"/>
            </w:tcBorders>
            <w:shd w:fill="FFFFFF" w:val="clear"/>
            <w:vAlign w:val="center"/>
          </w:tcPr>
          <w:p w14:paraId="DA370000">
            <w:pPr>
              <w:widowControl w:val="1"/>
              <w:ind/>
              <w:jc w:val="center"/>
              <w:rPr>
                <w:sz w:val="18"/>
              </w:rPr>
            </w:pPr>
            <w:r>
              <w:rPr>
                <w:sz w:val="18"/>
              </w:rPr>
              <w:t>77/2</w:t>
            </w:r>
          </w:p>
        </w:tc>
        <w:tc>
          <w:tcPr>
            <w:tcW w:type="dxa" w:w="993"/>
            <w:tcBorders>
              <w:top w:color="000000" w:sz="4" w:val="single"/>
              <w:left w:color="000000" w:sz="4" w:val="single"/>
              <w:bottom w:color="000000" w:sz="4" w:val="single"/>
              <w:right w:color="000000" w:sz="4" w:val="single"/>
            </w:tcBorders>
            <w:shd w:fill="FFFFFF" w:val="clear"/>
            <w:vAlign w:val="center"/>
          </w:tcPr>
          <w:p w14:paraId="DB370000">
            <w:pPr>
              <w:widowControl w:val="1"/>
              <w:ind/>
              <w:jc w:val="center"/>
              <w:rPr>
                <w:sz w:val="18"/>
              </w:rPr>
            </w:pPr>
            <w:r>
              <w:rPr>
                <w:sz w:val="18"/>
              </w:rPr>
              <w:t>оказание услуг по настройке коммуникационного оборудования</w:t>
            </w:r>
          </w:p>
        </w:tc>
        <w:tc>
          <w:tcPr>
            <w:tcW w:type="dxa" w:w="849"/>
            <w:tcBorders>
              <w:top w:color="000000" w:sz="4" w:val="single"/>
              <w:left w:color="000000" w:sz="4" w:val="single"/>
              <w:bottom w:color="000000" w:sz="4" w:val="single"/>
              <w:right w:color="000000" w:sz="4" w:val="single"/>
            </w:tcBorders>
            <w:shd w:fill="FFFFFF" w:val="clear"/>
            <w:vAlign w:val="center"/>
          </w:tcPr>
          <w:p w14:paraId="DC37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DD37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DE370000">
            <w:pPr>
              <w:widowControl w:val="1"/>
              <w:ind/>
              <w:jc w:val="center"/>
              <w:rPr>
                <w:sz w:val="18"/>
              </w:rPr>
            </w:pPr>
            <w:r>
              <w:rPr>
                <w:sz w:val="18"/>
              </w:rPr>
              <w:t>4960,00</w:t>
            </w:r>
          </w:p>
        </w:tc>
        <w:tc>
          <w:tcPr>
            <w:tcW w:type="dxa" w:w="1134"/>
            <w:tcBorders>
              <w:top w:color="000000" w:sz="4" w:val="single"/>
              <w:left w:color="000000" w:sz="4" w:val="single"/>
              <w:bottom w:color="000000" w:sz="4" w:val="single"/>
              <w:right w:color="000000" w:sz="4" w:val="single"/>
            </w:tcBorders>
            <w:shd w:fill="FFFFFF" w:val="clear"/>
            <w:vAlign w:val="center"/>
          </w:tcPr>
          <w:p w14:paraId="DF370000">
            <w:pPr>
              <w:widowControl w:val="1"/>
              <w:ind/>
              <w:jc w:val="center"/>
              <w:rPr>
                <w:sz w:val="18"/>
              </w:rPr>
            </w:pPr>
            <w:r>
              <w:rPr>
                <w:sz w:val="18"/>
              </w:rPr>
              <w:t>4960,00</w:t>
            </w:r>
          </w:p>
        </w:tc>
        <w:tc>
          <w:tcPr>
            <w:tcW w:type="dxa" w:w="993"/>
            <w:tcBorders>
              <w:top w:color="000000" w:sz="4" w:val="single"/>
              <w:left w:color="000000" w:sz="4" w:val="single"/>
              <w:bottom w:color="000000" w:sz="4" w:val="single"/>
              <w:right w:color="000000" w:sz="4" w:val="single"/>
            </w:tcBorders>
            <w:shd w:fill="FFFFFF" w:val="clear"/>
            <w:vAlign w:val="center"/>
          </w:tcPr>
          <w:p w14:paraId="E0370000">
            <w:pPr>
              <w:widowControl w:val="1"/>
              <w:ind/>
              <w:jc w:val="center"/>
              <w:rPr>
                <w:sz w:val="18"/>
              </w:rPr>
            </w:pPr>
            <w:r>
              <w:rPr>
                <w:sz w:val="18"/>
              </w:rPr>
              <w:t>май 2018 г.</w:t>
            </w:r>
          </w:p>
        </w:tc>
        <w:tc>
          <w:tcPr>
            <w:tcW w:type="dxa" w:w="850"/>
            <w:tcBorders>
              <w:top w:color="000000" w:sz="4" w:val="single"/>
              <w:left w:color="000000" w:sz="4" w:val="single"/>
              <w:bottom w:color="000000" w:sz="4" w:val="single"/>
              <w:right w:color="000000" w:sz="4" w:val="single"/>
            </w:tcBorders>
            <w:shd w:fill="FFFFFF" w:val="clear"/>
            <w:vAlign w:val="center"/>
          </w:tcPr>
          <w:p w14:paraId="E1370000">
            <w:pPr>
              <w:widowControl w:val="1"/>
              <w:ind/>
              <w:jc w:val="center"/>
              <w:rPr>
                <w:sz w:val="18"/>
              </w:rPr>
            </w:pPr>
            <w:r>
              <w:rPr>
                <w:sz w:val="18"/>
              </w:rPr>
              <w:t>май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E237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E337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E437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E5370000">
            <w:pPr>
              <w:widowControl w:val="1"/>
              <w:ind/>
              <w:jc w:val="center"/>
              <w:rPr>
                <w:sz w:val="18"/>
              </w:rPr>
            </w:pPr>
            <w:r>
              <w:rPr>
                <w:sz w:val="18"/>
              </w:rPr>
              <w:t>4960,00</w:t>
            </w:r>
          </w:p>
        </w:tc>
        <w:tc>
          <w:tcPr>
            <w:tcW w:type="dxa" w:w="1185"/>
            <w:tcBorders>
              <w:top w:color="000000" w:sz="4" w:val="single"/>
              <w:left w:color="000000" w:sz="4" w:val="single"/>
              <w:bottom w:color="000000" w:sz="4" w:val="single"/>
              <w:right w:color="000000" w:sz="4" w:val="single"/>
            </w:tcBorders>
            <w:shd w:fill="FFFFFF" w:val="clear"/>
            <w:vAlign w:val="center"/>
          </w:tcPr>
          <w:p w14:paraId="E6370000">
            <w:pPr>
              <w:widowControl w:val="1"/>
              <w:ind/>
              <w:jc w:val="center"/>
              <w:rPr>
                <w:sz w:val="18"/>
              </w:rPr>
            </w:pPr>
            <w:r>
              <w:rPr>
                <w:sz w:val="18"/>
              </w:rPr>
              <w:t>4960,00</w:t>
            </w:r>
          </w:p>
        </w:tc>
        <w:tc>
          <w:tcPr>
            <w:tcW w:type="dxa" w:w="1083"/>
            <w:tcBorders>
              <w:top w:color="000000" w:sz="4" w:val="single"/>
              <w:left w:color="000000" w:sz="4" w:val="single"/>
              <w:bottom w:color="000000" w:sz="4" w:val="single"/>
              <w:right w:color="000000" w:sz="4" w:val="single"/>
            </w:tcBorders>
            <w:shd w:fill="FFFFFF" w:val="clear"/>
            <w:vAlign w:val="center"/>
          </w:tcPr>
          <w:p w14:paraId="E7370000">
            <w:pPr>
              <w:widowControl w:val="1"/>
              <w:ind/>
              <w:jc w:val="center"/>
              <w:rPr>
                <w:sz w:val="18"/>
              </w:rPr>
            </w:pPr>
            <w:r>
              <w:rPr>
                <w:sz w:val="18"/>
              </w:rPr>
              <w:t>4960,00</w:t>
            </w:r>
          </w:p>
        </w:tc>
        <w:tc>
          <w:tcPr>
            <w:tcW w:type="dxa" w:w="771"/>
            <w:tcBorders>
              <w:top w:color="000000" w:sz="4" w:val="single"/>
              <w:left w:color="000000" w:sz="4" w:val="single"/>
              <w:bottom w:color="000000" w:sz="4" w:val="single"/>
              <w:right w:color="000000" w:sz="4" w:val="single"/>
            </w:tcBorders>
            <w:shd w:fill="FFFFFF" w:val="clear"/>
            <w:vAlign w:val="center"/>
          </w:tcPr>
          <w:p w14:paraId="E8370000">
            <w:pPr>
              <w:widowControl w:val="1"/>
              <w:ind/>
              <w:jc w:val="center"/>
              <w:rPr>
                <w:sz w:val="18"/>
              </w:rPr>
            </w:pPr>
            <w:r>
              <w:rPr>
                <w:sz w:val="18"/>
              </w:rPr>
              <w:t>май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9370000">
            <w:pPr>
              <w:widowControl w:val="1"/>
              <w:ind/>
              <w:jc w:val="center"/>
              <w:rPr>
                <w:sz w:val="18"/>
              </w:rPr>
            </w:pPr>
            <w:r>
              <w:rPr>
                <w:sz w:val="18"/>
              </w:rPr>
              <w:t>май 2018 г.</w:t>
            </w:r>
          </w:p>
        </w:tc>
        <w:tc>
          <w:tcPr>
            <w:tcW w:type="dxa" w:w="709"/>
            <w:tcBorders>
              <w:top w:color="000000" w:sz="4" w:val="single"/>
              <w:left w:color="000000" w:sz="4" w:val="single"/>
              <w:bottom w:color="000000" w:sz="4" w:val="single"/>
              <w:right w:color="000000" w:sz="4" w:val="single"/>
            </w:tcBorders>
            <w:shd w:fill="FFFFFF" w:val="clear"/>
            <w:vAlign w:val="center"/>
          </w:tcPr>
          <w:p w14:paraId="EA370000">
            <w:pPr>
              <w:widowControl w:val="1"/>
              <w:ind/>
              <w:jc w:val="center"/>
              <w:rPr>
                <w:sz w:val="18"/>
              </w:rPr>
            </w:pPr>
            <w:r>
              <w:rPr>
                <w:sz w:val="18"/>
              </w:rPr>
              <w:t>счет № 000007 от 18.05.2018</w:t>
            </w:r>
          </w:p>
        </w:tc>
      </w:tr>
      <w:tr>
        <w:trPr>
          <w:trHeight w:hRule="atLeast" w:val="1785"/>
        </w:trPr>
        <w:tc>
          <w:tcPr>
            <w:tcW w:type="dxa" w:w="708"/>
            <w:tcBorders>
              <w:top w:color="000000" w:sz="4" w:val="single"/>
              <w:left w:color="000000" w:sz="4" w:val="single"/>
              <w:bottom w:color="000000" w:sz="4" w:val="single"/>
              <w:right w:color="000000" w:sz="4" w:val="single"/>
            </w:tcBorders>
            <w:shd w:fill="auto" w:val="clear"/>
            <w:vAlign w:val="center"/>
          </w:tcPr>
          <w:p w14:paraId="EB370000">
            <w:pPr>
              <w:widowControl w:val="1"/>
              <w:ind/>
              <w:jc w:val="center"/>
              <w:rPr>
                <w:color w:val="000000"/>
                <w:sz w:val="18"/>
              </w:rPr>
            </w:pPr>
            <w:r>
              <w:rPr>
                <w:color w:val="000000"/>
                <w:sz w:val="18"/>
              </w:rPr>
              <w:t>155</w:t>
            </w:r>
          </w:p>
        </w:tc>
        <w:tc>
          <w:tcPr>
            <w:tcW w:type="dxa" w:w="618"/>
            <w:tcBorders>
              <w:top w:color="000000" w:sz="4" w:val="single"/>
              <w:left w:color="000000" w:sz="4" w:val="single"/>
              <w:bottom w:color="000000" w:sz="4" w:val="single"/>
              <w:right w:color="000000" w:sz="4" w:val="single"/>
            </w:tcBorders>
            <w:shd w:fill="FFFFFF" w:val="clear"/>
            <w:vAlign w:val="center"/>
          </w:tcPr>
          <w:p w14:paraId="EC370000">
            <w:pPr>
              <w:widowControl w:val="1"/>
              <w:ind/>
              <w:jc w:val="center"/>
              <w:rPr>
                <w:sz w:val="18"/>
              </w:rPr>
            </w:pPr>
            <w:r>
              <w:rPr>
                <w:sz w:val="18"/>
              </w:rPr>
              <w:t>78/2</w:t>
            </w:r>
          </w:p>
        </w:tc>
        <w:tc>
          <w:tcPr>
            <w:tcW w:type="dxa" w:w="993"/>
            <w:tcBorders>
              <w:top w:color="000000" w:sz="4" w:val="single"/>
              <w:left w:color="000000" w:sz="4" w:val="single"/>
              <w:bottom w:color="000000" w:sz="4" w:val="single"/>
              <w:right w:color="000000" w:sz="4" w:val="single"/>
            </w:tcBorders>
            <w:shd w:fill="FFFFFF" w:val="clear"/>
            <w:vAlign w:val="center"/>
          </w:tcPr>
          <w:p w14:paraId="ED370000">
            <w:pPr>
              <w:widowControl w:val="1"/>
              <w:ind/>
              <w:jc w:val="center"/>
              <w:rPr>
                <w:sz w:val="18"/>
              </w:rPr>
            </w:pPr>
            <w:r>
              <w:rPr>
                <w:sz w:val="18"/>
              </w:rPr>
              <w:t>Оказание услуг по проведению периодического медицинского осмотра работников</w:t>
            </w:r>
          </w:p>
        </w:tc>
        <w:tc>
          <w:tcPr>
            <w:tcW w:type="dxa" w:w="849"/>
            <w:tcBorders>
              <w:top w:color="000000" w:sz="4" w:val="single"/>
              <w:left w:color="000000" w:sz="4" w:val="single"/>
              <w:bottom w:color="000000" w:sz="4" w:val="single"/>
              <w:right w:color="000000" w:sz="4" w:val="single"/>
            </w:tcBorders>
            <w:shd w:fill="FFFFFF" w:val="clear"/>
            <w:vAlign w:val="center"/>
          </w:tcPr>
          <w:p w14:paraId="EE37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EF370000">
            <w:pPr>
              <w:widowControl w:val="1"/>
              <w:ind/>
              <w:jc w:val="center"/>
              <w:rPr>
                <w:sz w:val="18"/>
              </w:rPr>
            </w:pPr>
            <w:r>
              <w:rPr>
                <w:sz w:val="18"/>
              </w:rPr>
              <w:t>11</w:t>
            </w:r>
          </w:p>
        </w:tc>
        <w:tc>
          <w:tcPr>
            <w:tcW w:type="dxa" w:w="991"/>
            <w:tcBorders>
              <w:top w:color="000000" w:sz="4" w:val="single"/>
              <w:left w:color="000000" w:sz="4" w:val="single"/>
              <w:bottom w:color="000000" w:sz="4" w:val="single"/>
              <w:right w:color="000000" w:sz="4" w:val="single"/>
            </w:tcBorders>
            <w:shd w:fill="FFFFFF" w:val="clear"/>
            <w:vAlign w:val="center"/>
          </w:tcPr>
          <w:p w14:paraId="F0370000">
            <w:pPr>
              <w:widowControl w:val="1"/>
              <w:ind/>
              <w:jc w:val="center"/>
              <w:rPr>
                <w:sz w:val="18"/>
              </w:rPr>
            </w:pPr>
            <w:r>
              <w:rPr>
                <w:sz w:val="18"/>
              </w:rPr>
              <w:t>30  978,00</w:t>
            </w:r>
          </w:p>
        </w:tc>
        <w:tc>
          <w:tcPr>
            <w:tcW w:type="dxa" w:w="1134"/>
            <w:tcBorders>
              <w:top w:color="000000" w:sz="4" w:val="single"/>
              <w:left w:color="000000" w:sz="4" w:val="single"/>
              <w:bottom w:color="000000" w:sz="4" w:val="single"/>
              <w:right w:color="000000" w:sz="4" w:val="single"/>
            </w:tcBorders>
            <w:shd w:fill="FFFFFF" w:val="clear"/>
            <w:vAlign w:val="center"/>
          </w:tcPr>
          <w:p w14:paraId="F1370000">
            <w:pPr>
              <w:widowControl w:val="1"/>
              <w:ind/>
              <w:jc w:val="center"/>
              <w:rPr>
                <w:sz w:val="18"/>
              </w:rPr>
            </w:pPr>
            <w:r>
              <w:rPr>
                <w:sz w:val="18"/>
              </w:rPr>
              <w:t>30  978,00</w:t>
            </w:r>
          </w:p>
        </w:tc>
        <w:tc>
          <w:tcPr>
            <w:tcW w:type="dxa" w:w="993"/>
            <w:tcBorders>
              <w:top w:color="000000" w:sz="4" w:val="single"/>
              <w:left w:color="000000" w:sz="4" w:val="single"/>
              <w:bottom w:color="000000" w:sz="4" w:val="single"/>
              <w:right w:color="000000" w:sz="4" w:val="single"/>
            </w:tcBorders>
            <w:shd w:fill="FFFFFF" w:val="clear"/>
            <w:vAlign w:val="center"/>
          </w:tcPr>
          <w:p w14:paraId="F237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F3370000">
            <w:pPr>
              <w:widowControl w:val="1"/>
              <w:ind/>
              <w:jc w:val="center"/>
              <w:rPr>
                <w:sz w:val="18"/>
              </w:rPr>
            </w:pPr>
            <w:r>
              <w:rPr>
                <w:sz w:val="18"/>
              </w:rPr>
              <w:t>август 2018г.</w:t>
            </w:r>
          </w:p>
        </w:tc>
        <w:tc>
          <w:tcPr>
            <w:tcW w:type="dxa" w:w="1334"/>
            <w:tcBorders>
              <w:top w:color="000000" w:sz="4" w:val="single"/>
              <w:left w:color="000000" w:sz="4" w:val="single"/>
              <w:bottom w:color="000000" w:sz="4" w:val="single"/>
              <w:right w:color="000000" w:sz="4" w:val="single"/>
            </w:tcBorders>
            <w:shd w:fill="FFFFFF" w:val="clear"/>
            <w:vAlign w:val="center"/>
          </w:tcPr>
          <w:p w14:paraId="F437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F537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F6370000">
            <w:pPr>
              <w:widowControl w:val="1"/>
              <w:ind/>
              <w:jc w:val="center"/>
              <w:rPr>
                <w:sz w:val="18"/>
              </w:rPr>
            </w:pPr>
            <w:r>
              <w:rPr>
                <w:sz w:val="18"/>
              </w:rPr>
              <w:t>11</w:t>
            </w:r>
          </w:p>
        </w:tc>
        <w:tc>
          <w:tcPr>
            <w:tcW w:type="dxa" w:w="1169"/>
            <w:tcBorders>
              <w:top w:color="000000" w:sz="4" w:val="single"/>
              <w:left w:color="000000" w:sz="4" w:val="single"/>
              <w:bottom w:color="000000" w:sz="4" w:val="single"/>
              <w:right w:color="000000" w:sz="4" w:val="single"/>
            </w:tcBorders>
            <w:shd w:fill="FFFFFF" w:val="clear"/>
            <w:vAlign w:val="center"/>
          </w:tcPr>
          <w:p w14:paraId="F7370000">
            <w:pPr>
              <w:widowControl w:val="1"/>
              <w:ind/>
              <w:jc w:val="center"/>
              <w:rPr>
                <w:sz w:val="18"/>
              </w:rPr>
            </w:pPr>
            <w:r>
              <w:rPr>
                <w:sz w:val="18"/>
              </w:rPr>
              <w:t>30978,00</w:t>
            </w:r>
          </w:p>
        </w:tc>
        <w:tc>
          <w:tcPr>
            <w:tcW w:type="dxa" w:w="1185"/>
            <w:tcBorders>
              <w:top w:color="000000" w:sz="4" w:val="single"/>
              <w:left w:color="000000" w:sz="4" w:val="single"/>
              <w:bottom w:color="000000" w:sz="4" w:val="single"/>
              <w:right w:color="000000" w:sz="4" w:val="single"/>
            </w:tcBorders>
            <w:shd w:fill="FFFFFF" w:val="clear"/>
            <w:vAlign w:val="center"/>
          </w:tcPr>
          <w:p w14:paraId="F8370000">
            <w:pPr>
              <w:widowControl w:val="1"/>
              <w:ind/>
              <w:jc w:val="center"/>
              <w:rPr>
                <w:sz w:val="18"/>
              </w:rPr>
            </w:pPr>
            <w:r>
              <w:rPr>
                <w:sz w:val="18"/>
              </w:rPr>
              <w:t>30978,00</w:t>
            </w:r>
          </w:p>
        </w:tc>
        <w:tc>
          <w:tcPr>
            <w:tcW w:type="dxa" w:w="1083"/>
            <w:tcBorders>
              <w:top w:color="000000" w:sz="4" w:val="single"/>
              <w:left w:color="000000" w:sz="4" w:val="single"/>
              <w:bottom w:color="000000" w:sz="4" w:val="single"/>
              <w:right w:color="000000" w:sz="4" w:val="single"/>
            </w:tcBorders>
            <w:shd w:fill="FFFFFF" w:val="clear"/>
            <w:vAlign w:val="center"/>
          </w:tcPr>
          <w:p w14:paraId="F9370000">
            <w:pPr>
              <w:widowControl w:val="1"/>
              <w:ind/>
              <w:jc w:val="center"/>
              <w:rPr>
                <w:sz w:val="18"/>
              </w:rPr>
            </w:pPr>
            <w:r>
              <w:rPr>
                <w:sz w:val="18"/>
              </w:rPr>
              <w:t>30978,00</w:t>
            </w:r>
          </w:p>
        </w:tc>
        <w:tc>
          <w:tcPr>
            <w:tcW w:type="dxa" w:w="771"/>
            <w:tcBorders>
              <w:top w:color="000000" w:sz="4" w:val="single"/>
              <w:left w:color="000000" w:sz="4" w:val="single"/>
              <w:bottom w:color="000000" w:sz="4" w:val="single"/>
              <w:right w:color="000000" w:sz="4" w:val="single"/>
            </w:tcBorders>
            <w:shd w:fill="FFFFFF" w:val="clear"/>
            <w:vAlign w:val="center"/>
          </w:tcPr>
          <w:p w14:paraId="FA37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FB370000">
            <w:pPr>
              <w:widowControl w:val="1"/>
              <w:ind/>
              <w:jc w:val="center"/>
              <w:rPr>
                <w:sz w:val="18"/>
              </w:rPr>
            </w:pPr>
            <w:r>
              <w:rPr>
                <w:sz w:val="18"/>
              </w:rPr>
              <w:t>август 2018г.</w:t>
            </w:r>
          </w:p>
        </w:tc>
        <w:tc>
          <w:tcPr>
            <w:tcW w:type="dxa" w:w="709"/>
            <w:tcBorders>
              <w:top w:color="000000" w:sz="4" w:val="single"/>
              <w:left w:color="000000" w:sz="4" w:val="single"/>
              <w:bottom w:color="000000" w:sz="4" w:val="single"/>
              <w:right w:color="000000" w:sz="4" w:val="single"/>
            </w:tcBorders>
            <w:shd w:fill="FFFFFF" w:val="clear"/>
            <w:vAlign w:val="center"/>
          </w:tcPr>
          <w:p w14:paraId="FC370000">
            <w:pPr>
              <w:widowControl w:val="1"/>
              <w:ind/>
              <w:jc w:val="center"/>
              <w:rPr>
                <w:sz w:val="18"/>
              </w:rPr>
            </w:pPr>
            <w:r>
              <w:rPr>
                <w:sz w:val="18"/>
              </w:rPr>
              <w:t>договор № 83 от 02.07</w:t>
            </w:r>
          </w:p>
        </w:tc>
      </w:tr>
      <w:tr>
        <w:trPr>
          <w:trHeight w:hRule="atLeast" w:val="1785"/>
        </w:trPr>
        <w:tc>
          <w:tcPr>
            <w:tcW w:type="dxa" w:w="708"/>
            <w:tcBorders>
              <w:top w:color="000000" w:sz="4" w:val="single"/>
              <w:left w:color="000000" w:sz="4" w:val="single"/>
              <w:bottom w:color="000000" w:sz="4" w:val="single"/>
              <w:right w:color="000000" w:sz="4" w:val="single"/>
            </w:tcBorders>
            <w:shd w:fill="auto" w:val="clear"/>
            <w:vAlign w:val="center"/>
          </w:tcPr>
          <w:p w14:paraId="FD370000">
            <w:pPr>
              <w:widowControl w:val="1"/>
              <w:ind/>
              <w:jc w:val="center"/>
              <w:rPr>
                <w:color w:val="000000"/>
                <w:sz w:val="18"/>
              </w:rPr>
            </w:pPr>
            <w:r>
              <w:rPr>
                <w:color w:val="000000"/>
                <w:sz w:val="18"/>
              </w:rPr>
              <w:t>156</w:t>
            </w:r>
          </w:p>
        </w:tc>
        <w:tc>
          <w:tcPr>
            <w:tcW w:type="dxa" w:w="618"/>
            <w:tcBorders>
              <w:top w:color="000000" w:sz="4" w:val="single"/>
              <w:left w:color="000000" w:sz="4" w:val="single"/>
              <w:bottom w:color="000000" w:sz="4" w:val="single"/>
              <w:right w:color="000000" w:sz="4" w:val="single"/>
            </w:tcBorders>
            <w:shd w:fill="FFFFFF" w:val="clear"/>
            <w:vAlign w:val="center"/>
          </w:tcPr>
          <w:p w14:paraId="FE370000">
            <w:pPr>
              <w:widowControl w:val="1"/>
              <w:ind/>
              <w:jc w:val="center"/>
              <w:rPr>
                <w:sz w:val="18"/>
              </w:rPr>
            </w:pPr>
            <w:r>
              <w:rPr>
                <w:sz w:val="18"/>
              </w:rPr>
              <w:t>79/2</w:t>
            </w:r>
          </w:p>
        </w:tc>
        <w:tc>
          <w:tcPr>
            <w:tcW w:type="dxa" w:w="993"/>
            <w:tcBorders>
              <w:top w:color="000000" w:sz="4" w:val="single"/>
              <w:left w:color="000000" w:sz="4" w:val="single"/>
              <w:bottom w:color="000000" w:sz="4" w:val="single"/>
              <w:right w:color="000000" w:sz="4" w:val="single"/>
            </w:tcBorders>
            <w:shd w:fill="FFFFFF" w:val="clear"/>
            <w:vAlign w:val="center"/>
          </w:tcPr>
          <w:p w14:paraId="FF370000">
            <w:pPr>
              <w:widowControl w:val="1"/>
              <w:ind/>
              <w:jc w:val="center"/>
              <w:rPr>
                <w:sz w:val="18"/>
              </w:rPr>
            </w:pPr>
            <w:r>
              <w:rPr>
                <w:sz w:val="18"/>
              </w:rPr>
              <w:t>Оказание услуг по проведению периодического медицинского осмотра работников</w:t>
            </w:r>
          </w:p>
        </w:tc>
        <w:tc>
          <w:tcPr>
            <w:tcW w:type="dxa" w:w="849"/>
            <w:tcBorders>
              <w:top w:color="000000" w:sz="4" w:val="single"/>
              <w:left w:color="000000" w:sz="4" w:val="single"/>
              <w:bottom w:color="000000" w:sz="4" w:val="single"/>
              <w:right w:color="000000" w:sz="4" w:val="single"/>
            </w:tcBorders>
            <w:shd w:fill="FFFFFF" w:val="clear"/>
            <w:vAlign w:val="center"/>
          </w:tcPr>
          <w:p w14:paraId="0038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0138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02380000">
            <w:pPr>
              <w:widowControl w:val="1"/>
              <w:ind/>
              <w:jc w:val="center"/>
              <w:rPr>
                <w:sz w:val="18"/>
              </w:rPr>
            </w:pPr>
            <w:r>
              <w:rPr>
                <w:sz w:val="18"/>
              </w:rPr>
              <w:t>25506,00</w:t>
            </w:r>
          </w:p>
        </w:tc>
        <w:tc>
          <w:tcPr>
            <w:tcW w:type="dxa" w:w="1134"/>
            <w:tcBorders>
              <w:top w:color="000000" w:sz="4" w:val="single"/>
              <w:left w:color="000000" w:sz="4" w:val="single"/>
              <w:bottom w:color="000000" w:sz="4" w:val="single"/>
              <w:right w:color="000000" w:sz="4" w:val="single"/>
            </w:tcBorders>
            <w:shd w:fill="FFFFFF" w:val="clear"/>
            <w:vAlign w:val="center"/>
          </w:tcPr>
          <w:p w14:paraId="03380000">
            <w:pPr>
              <w:widowControl w:val="1"/>
              <w:ind/>
              <w:jc w:val="center"/>
              <w:rPr>
                <w:sz w:val="18"/>
              </w:rPr>
            </w:pPr>
            <w:r>
              <w:rPr>
                <w:sz w:val="18"/>
              </w:rPr>
              <w:t>25506,00</w:t>
            </w:r>
          </w:p>
        </w:tc>
        <w:tc>
          <w:tcPr>
            <w:tcW w:type="dxa" w:w="993"/>
            <w:tcBorders>
              <w:top w:color="000000" w:sz="4" w:val="single"/>
              <w:left w:color="000000" w:sz="4" w:val="single"/>
              <w:bottom w:color="000000" w:sz="4" w:val="single"/>
              <w:right w:color="000000" w:sz="4" w:val="single"/>
            </w:tcBorders>
            <w:shd w:fill="FFFFFF" w:val="clear"/>
            <w:vAlign w:val="center"/>
          </w:tcPr>
          <w:p w14:paraId="0438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05380000">
            <w:pPr>
              <w:widowControl w:val="1"/>
              <w:ind/>
              <w:jc w:val="center"/>
              <w:rPr>
                <w:sz w:val="18"/>
              </w:rPr>
            </w:pPr>
            <w:r>
              <w:rPr>
                <w:sz w:val="18"/>
              </w:rPr>
              <w:t>август 2018г.</w:t>
            </w:r>
          </w:p>
        </w:tc>
        <w:tc>
          <w:tcPr>
            <w:tcW w:type="dxa" w:w="1334"/>
            <w:tcBorders>
              <w:top w:color="000000" w:sz="4" w:val="single"/>
              <w:left w:color="000000" w:sz="4" w:val="single"/>
              <w:bottom w:color="000000" w:sz="4" w:val="single"/>
              <w:right w:color="000000" w:sz="4" w:val="single"/>
            </w:tcBorders>
            <w:shd w:fill="FFFFFF" w:val="clear"/>
            <w:vAlign w:val="center"/>
          </w:tcPr>
          <w:p w14:paraId="0638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0738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0838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09380000">
            <w:pPr>
              <w:widowControl w:val="1"/>
              <w:ind/>
              <w:jc w:val="center"/>
              <w:rPr>
                <w:sz w:val="18"/>
              </w:rPr>
            </w:pPr>
            <w:r>
              <w:rPr>
                <w:sz w:val="18"/>
              </w:rPr>
              <w:t>25506,00</w:t>
            </w:r>
          </w:p>
        </w:tc>
        <w:tc>
          <w:tcPr>
            <w:tcW w:type="dxa" w:w="1185"/>
            <w:tcBorders>
              <w:top w:color="000000" w:sz="4" w:val="single"/>
              <w:left w:color="000000" w:sz="4" w:val="single"/>
              <w:bottom w:color="000000" w:sz="4" w:val="single"/>
              <w:right w:color="000000" w:sz="4" w:val="single"/>
            </w:tcBorders>
            <w:shd w:fill="FFFFFF" w:val="clear"/>
            <w:vAlign w:val="center"/>
          </w:tcPr>
          <w:p w14:paraId="0A380000">
            <w:pPr>
              <w:widowControl w:val="1"/>
              <w:ind/>
              <w:jc w:val="center"/>
              <w:rPr>
                <w:sz w:val="18"/>
              </w:rPr>
            </w:pPr>
            <w:r>
              <w:rPr>
                <w:sz w:val="18"/>
              </w:rPr>
              <w:t>25506,00</w:t>
            </w:r>
          </w:p>
        </w:tc>
        <w:tc>
          <w:tcPr>
            <w:tcW w:type="dxa" w:w="1083"/>
            <w:tcBorders>
              <w:top w:color="000000" w:sz="4" w:val="single"/>
              <w:left w:color="000000" w:sz="4" w:val="single"/>
              <w:bottom w:color="000000" w:sz="4" w:val="single"/>
              <w:right w:color="000000" w:sz="4" w:val="single"/>
            </w:tcBorders>
            <w:shd w:fill="FFFFFF" w:val="clear"/>
            <w:vAlign w:val="center"/>
          </w:tcPr>
          <w:p w14:paraId="0B380000">
            <w:pPr>
              <w:widowControl w:val="1"/>
              <w:ind/>
              <w:jc w:val="center"/>
              <w:rPr>
                <w:sz w:val="18"/>
              </w:rPr>
            </w:pPr>
            <w:r>
              <w:rPr>
                <w:sz w:val="18"/>
              </w:rPr>
              <w:t>25506,00</w:t>
            </w:r>
          </w:p>
        </w:tc>
        <w:tc>
          <w:tcPr>
            <w:tcW w:type="dxa" w:w="771"/>
            <w:tcBorders>
              <w:top w:color="000000" w:sz="4" w:val="single"/>
              <w:left w:color="000000" w:sz="4" w:val="single"/>
              <w:bottom w:color="000000" w:sz="4" w:val="single"/>
              <w:right w:color="000000" w:sz="4" w:val="single"/>
            </w:tcBorders>
            <w:shd w:fill="FFFFFF" w:val="clear"/>
            <w:vAlign w:val="center"/>
          </w:tcPr>
          <w:p w14:paraId="0C38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0D380000">
            <w:pPr>
              <w:widowControl w:val="1"/>
              <w:ind/>
              <w:jc w:val="center"/>
              <w:rPr>
                <w:sz w:val="18"/>
              </w:rPr>
            </w:pPr>
            <w:r>
              <w:rPr>
                <w:sz w:val="18"/>
              </w:rPr>
              <w:t>август 2018г.</w:t>
            </w:r>
          </w:p>
        </w:tc>
        <w:tc>
          <w:tcPr>
            <w:tcW w:type="dxa" w:w="709"/>
            <w:tcBorders>
              <w:top w:color="000000" w:sz="4" w:val="single"/>
              <w:left w:color="000000" w:sz="4" w:val="single"/>
              <w:bottom w:color="000000" w:sz="4" w:val="single"/>
              <w:right w:color="000000" w:sz="4" w:val="single"/>
            </w:tcBorders>
            <w:shd w:fill="FFFFFF" w:val="clear"/>
            <w:vAlign w:val="center"/>
          </w:tcPr>
          <w:p w14:paraId="0E380000">
            <w:pPr>
              <w:widowControl w:val="1"/>
              <w:ind/>
              <w:jc w:val="center"/>
              <w:rPr>
                <w:sz w:val="18"/>
              </w:rPr>
            </w:pPr>
            <w:r>
              <w:rPr>
                <w:sz w:val="18"/>
              </w:rPr>
              <w:t>договор № 84 от 02.07.2018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0F380000">
            <w:pPr>
              <w:widowControl w:val="1"/>
              <w:ind/>
              <w:jc w:val="center"/>
              <w:rPr>
                <w:color w:val="000000"/>
                <w:sz w:val="18"/>
              </w:rPr>
            </w:pPr>
            <w:r>
              <w:rPr>
                <w:color w:val="000000"/>
                <w:sz w:val="18"/>
              </w:rPr>
              <w:t>157</w:t>
            </w:r>
          </w:p>
        </w:tc>
        <w:tc>
          <w:tcPr>
            <w:tcW w:type="dxa" w:w="618"/>
            <w:tcBorders>
              <w:top w:color="000000" w:sz="4" w:val="single"/>
              <w:left w:color="000000" w:sz="4" w:val="single"/>
              <w:bottom w:color="000000" w:sz="4" w:val="single"/>
              <w:right w:color="000000" w:sz="4" w:val="single"/>
            </w:tcBorders>
            <w:shd w:fill="FFFFFF" w:val="clear"/>
            <w:vAlign w:val="center"/>
          </w:tcPr>
          <w:p w14:paraId="10380000">
            <w:pPr>
              <w:widowControl w:val="1"/>
              <w:ind/>
              <w:jc w:val="center"/>
              <w:rPr>
                <w:sz w:val="18"/>
              </w:rPr>
            </w:pPr>
            <w:r>
              <w:rPr>
                <w:sz w:val="18"/>
              </w:rPr>
              <w:t>81/2</w:t>
            </w:r>
          </w:p>
        </w:tc>
        <w:tc>
          <w:tcPr>
            <w:tcW w:type="dxa" w:w="993"/>
            <w:tcBorders>
              <w:top w:color="000000" w:sz="4" w:val="single"/>
              <w:left w:color="000000" w:sz="4" w:val="single"/>
              <w:bottom w:color="000000" w:sz="4" w:val="single"/>
              <w:right w:color="000000" w:sz="4" w:val="single"/>
            </w:tcBorders>
            <w:shd w:fill="FFFFFF" w:val="clear"/>
            <w:vAlign w:val="center"/>
          </w:tcPr>
          <w:p w14:paraId="11380000">
            <w:pPr>
              <w:widowControl w:val="1"/>
              <w:ind/>
              <w:jc w:val="center"/>
              <w:rPr>
                <w:sz w:val="18"/>
              </w:rPr>
            </w:pPr>
            <w:r>
              <w:rPr>
                <w:sz w:val="18"/>
              </w:rPr>
              <w:t>выполнение работ по изготовлению штампов</w:t>
            </w:r>
          </w:p>
        </w:tc>
        <w:tc>
          <w:tcPr>
            <w:tcW w:type="dxa" w:w="849"/>
            <w:tcBorders>
              <w:top w:color="000000" w:sz="4" w:val="single"/>
              <w:left w:color="000000" w:sz="4" w:val="single"/>
              <w:bottom w:color="000000" w:sz="4" w:val="single"/>
              <w:right w:color="000000" w:sz="4" w:val="single"/>
            </w:tcBorders>
            <w:shd w:fill="FFFFFF" w:val="clear"/>
            <w:vAlign w:val="center"/>
          </w:tcPr>
          <w:p w14:paraId="1238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1338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14380000">
            <w:pPr>
              <w:widowControl w:val="1"/>
              <w:ind/>
              <w:jc w:val="center"/>
              <w:rPr>
                <w:sz w:val="18"/>
              </w:rPr>
            </w:pPr>
            <w:r>
              <w:rPr>
                <w:sz w:val="18"/>
              </w:rPr>
              <w:t>550,00</w:t>
            </w:r>
          </w:p>
        </w:tc>
        <w:tc>
          <w:tcPr>
            <w:tcW w:type="dxa" w:w="1134"/>
            <w:tcBorders>
              <w:top w:color="000000" w:sz="4" w:val="single"/>
              <w:left w:color="000000" w:sz="4" w:val="single"/>
              <w:bottom w:color="000000" w:sz="4" w:val="single"/>
              <w:right w:color="000000" w:sz="4" w:val="single"/>
            </w:tcBorders>
            <w:shd w:fill="FFFFFF" w:val="clear"/>
            <w:vAlign w:val="center"/>
          </w:tcPr>
          <w:p w14:paraId="15380000">
            <w:pPr>
              <w:widowControl w:val="1"/>
              <w:ind/>
              <w:jc w:val="center"/>
              <w:rPr>
                <w:sz w:val="18"/>
              </w:rPr>
            </w:pPr>
            <w:r>
              <w:rPr>
                <w:sz w:val="18"/>
              </w:rPr>
              <w:t>550,00</w:t>
            </w:r>
          </w:p>
        </w:tc>
        <w:tc>
          <w:tcPr>
            <w:tcW w:type="dxa" w:w="993"/>
            <w:tcBorders>
              <w:top w:color="000000" w:sz="4" w:val="single"/>
              <w:left w:color="000000" w:sz="4" w:val="single"/>
              <w:bottom w:color="000000" w:sz="4" w:val="single"/>
              <w:right w:color="000000" w:sz="4" w:val="single"/>
            </w:tcBorders>
            <w:shd w:fill="FFFFFF" w:val="clear"/>
            <w:vAlign w:val="center"/>
          </w:tcPr>
          <w:p w14:paraId="1638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17380000">
            <w:pPr>
              <w:widowControl w:val="1"/>
              <w:ind/>
              <w:jc w:val="center"/>
              <w:rPr>
                <w:sz w:val="18"/>
              </w:rPr>
            </w:pPr>
            <w:r>
              <w:rPr>
                <w:sz w:val="18"/>
              </w:rPr>
              <w:t>июнь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1838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1938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1A38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1B380000">
            <w:pPr>
              <w:widowControl w:val="1"/>
              <w:ind/>
              <w:jc w:val="center"/>
              <w:rPr>
                <w:sz w:val="18"/>
              </w:rPr>
            </w:pPr>
            <w:r>
              <w:rPr>
                <w:sz w:val="18"/>
              </w:rPr>
              <w:t>550,00</w:t>
            </w:r>
          </w:p>
        </w:tc>
        <w:tc>
          <w:tcPr>
            <w:tcW w:type="dxa" w:w="1185"/>
            <w:tcBorders>
              <w:top w:color="000000" w:sz="4" w:val="single"/>
              <w:left w:color="000000" w:sz="4" w:val="single"/>
              <w:bottom w:color="000000" w:sz="4" w:val="single"/>
              <w:right w:color="000000" w:sz="4" w:val="single"/>
            </w:tcBorders>
            <w:shd w:fill="FFFFFF" w:val="clear"/>
            <w:vAlign w:val="center"/>
          </w:tcPr>
          <w:p w14:paraId="1C380000">
            <w:pPr>
              <w:widowControl w:val="1"/>
              <w:ind/>
              <w:jc w:val="center"/>
              <w:rPr>
                <w:sz w:val="18"/>
              </w:rPr>
            </w:pPr>
            <w:r>
              <w:rPr>
                <w:sz w:val="18"/>
              </w:rPr>
              <w:t>550,00</w:t>
            </w:r>
          </w:p>
        </w:tc>
        <w:tc>
          <w:tcPr>
            <w:tcW w:type="dxa" w:w="1083"/>
            <w:tcBorders>
              <w:top w:color="000000" w:sz="4" w:val="single"/>
              <w:left w:color="000000" w:sz="4" w:val="single"/>
              <w:bottom w:color="000000" w:sz="4" w:val="single"/>
              <w:right w:color="000000" w:sz="4" w:val="single"/>
            </w:tcBorders>
            <w:shd w:fill="FFFFFF" w:val="clear"/>
            <w:vAlign w:val="center"/>
          </w:tcPr>
          <w:p w14:paraId="1D380000">
            <w:pPr>
              <w:widowControl w:val="1"/>
              <w:ind/>
              <w:jc w:val="center"/>
              <w:rPr>
                <w:sz w:val="18"/>
              </w:rPr>
            </w:pPr>
            <w:r>
              <w:rPr>
                <w:sz w:val="18"/>
              </w:rPr>
              <w:t>550,00</w:t>
            </w:r>
          </w:p>
        </w:tc>
        <w:tc>
          <w:tcPr>
            <w:tcW w:type="dxa" w:w="771"/>
            <w:tcBorders>
              <w:top w:color="000000" w:sz="4" w:val="single"/>
              <w:left w:color="000000" w:sz="4" w:val="single"/>
              <w:bottom w:color="000000" w:sz="4" w:val="single"/>
              <w:right w:color="000000" w:sz="4" w:val="single"/>
            </w:tcBorders>
            <w:shd w:fill="FFFFFF" w:val="clear"/>
            <w:vAlign w:val="center"/>
          </w:tcPr>
          <w:p w14:paraId="1E38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1F380000">
            <w:pPr>
              <w:widowControl w:val="1"/>
              <w:ind/>
              <w:jc w:val="center"/>
              <w:rPr>
                <w:sz w:val="18"/>
              </w:rPr>
            </w:pPr>
            <w:r>
              <w:rPr>
                <w:sz w:val="18"/>
              </w:rPr>
              <w:t>июнь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20380000">
            <w:pPr>
              <w:widowControl w:val="1"/>
              <w:ind/>
              <w:jc w:val="center"/>
              <w:rPr>
                <w:sz w:val="18"/>
              </w:rPr>
            </w:pPr>
            <w:r>
              <w:rPr>
                <w:sz w:val="18"/>
              </w:rPr>
              <w:t>счет № 28/212 от 04.04.2018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21380000">
            <w:pPr>
              <w:widowControl w:val="1"/>
              <w:ind/>
              <w:jc w:val="center"/>
              <w:rPr>
                <w:color w:val="000000"/>
                <w:sz w:val="18"/>
              </w:rPr>
            </w:pPr>
            <w:r>
              <w:rPr>
                <w:color w:val="000000"/>
                <w:sz w:val="18"/>
              </w:rPr>
              <w:t>158</w:t>
            </w:r>
          </w:p>
        </w:tc>
        <w:tc>
          <w:tcPr>
            <w:tcW w:type="dxa" w:w="618"/>
            <w:tcBorders>
              <w:top w:color="000000" w:sz="4" w:val="single"/>
              <w:left w:color="000000" w:sz="4" w:val="single"/>
              <w:bottom w:color="000000" w:sz="4" w:val="single"/>
              <w:right w:color="000000" w:sz="4" w:val="single"/>
            </w:tcBorders>
            <w:shd w:fill="FFFFFF" w:val="clear"/>
            <w:vAlign w:val="center"/>
          </w:tcPr>
          <w:p w14:paraId="22380000">
            <w:pPr>
              <w:widowControl w:val="1"/>
              <w:ind/>
              <w:jc w:val="center"/>
              <w:rPr>
                <w:sz w:val="18"/>
              </w:rPr>
            </w:pPr>
            <w:r>
              <w:rPr>
                <w:sz w:val="18"/>
              </w:rPr>
              <w:t>82/2</w:t>
            </w:r>
          </w:p>
        </w:tc>
        <w:tc>
          <w:tcPr>
            <w:tcW w:type="dxa" w:w="993"/>
            <w:tcBorders>
              <w:top w:color="000000" w:sz="4" w:val="single"/>
              <w:left w:color="000000" w:sz="4" w:val="single"/>
              <w:bottom w:color="000000" w:sz="4" w:val="single"/>
              <w:right w:color="000000" w:sz="4" w:val="single"/>
            </w:tcBorders>
            <w:shd w:fill="FFFFFF" w:val="clear"/>
            <w:vAlign w:val="center"/>
          </w:tcPr>
          <w:p w14:paraId="23380000">
            <w:pPr>
              <w:widowControl w:val="1"/>
              <w:ind/>
              <w:jc w:val="center"/>
              <w:rPr>
                <w:color w:val="000000"/>
                <w:sz w:val="18"/>
              </w:rPr>
            </w:pPr>
            <w:r>
              <w:rPr>
                <w:color w:val="000000"/>
                <w:sz w:val="18"/>
              </w:rPr>
              <w:t>Выполнение работ по демонтажу и монтажу кондиционера</w:t>
            </w:r>
          </w:p>
        </w:tc>
        <w:tc>
          <w:tcPr>
            <w:tcW w:type="dxa" w:w="849"/>
            <w:tcBorders>
              <w:top w:color="000000" w:sz="4" w:val="single"/>
              <w:left w:color="000000" w:sz="4" w:val="single"/>
              <w:bottom w:color="000000" w:sz="4" w:val="single"/>
              <w:right w:color="000000" w:sz="4" w:val="single"/>
            </w:tcBorders>
            <w:shd w:fill="FFFFFF" w:val="clear"/>
            <w:vAlign w:val="center"/>
          </w:tcPr>
          <w:p w14:paraId="2438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2538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26380000">
            <w:pPr>
              <w:widowControl w:val="1"/>
              <w:ind/>
              <w:jc w:val="center"/>
              <w:rPr>
                <w:color w:val="000000"/>
                <w:sz w:val="18"/>
              </w:rPr>
            </w:pPr>
            <w:r>
              <w:rPr>
                <w:color w:val="000000"/>
                <w:sz w:val="18"/>
              </w:rPr>
              <w:t>10900,00</w:t>
            </w:r>
          </w:p>
        </w:tc>
        <w:tc>
          <w:tcPr>
            <w:tcW w:type="dxa" w:w="1134"/>
            <w:tcBorders>
              <w:top w:color="000000" w:sz="4" w:val="single"/>
              <w:left w:color="000000" w:sz="4" w:val="single"/>
              <w:bottom w:color="000000" w:sz="4" w:val="single"/>
              <w:right w:color="000000" w:sz="4" w:val="single"/>
            </w:tcBorders>
            <w:shd w:fill="FFFFFF" w:val="clear"/>
            <w:vAlign w:val="center"/>
          </w:tcPr>
          <w:p w14:paraId="27380000">
            <w:pPr>
              <w:widowControl w:val="1"/>
              <w:ind/>
              <w:jc w:val="center"/>
              <w:rPr>
                <w:color w:val="000000"/>
                <w:sz w:val="18"/>
              </w:rPr>
            </w:pPr>
            <w:r>
              <w:rPr>
                <w:color w:val="000000"/>
                <w:sz w:val="18"/>
              </w:rPr>
              <w:t>10900,00</w:t>
            </w:r>
          </w:p>
        </w:tc>
        <w:tc>
          <w:tcPr>
            <w:tcW w:type="dxa" w:w="993"/>
            <w:tcBorders>
              <w:top w:color="000000" w:sz="4" w:val="single"/>
              <w:left w:color="000000" w:sz="4" w:val="single"/>
              <w:bottom w:color="000000" w:sz="4" w:val="single"/>
              <w:right w:color="000000" w:sz="4" w:val="single"/>
            </w:tcBorders>
            <w:shd w:fill="FFFFFF" w:val="clear"/>
            <w:vAlign w:val="center"/>
          </w:tcPr>
          <w:p w14:paraId="2838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29380000">
            <w:pPr>
              <w:widowControl w:val="1"/>
              <w:ind/>
              <w:jc w:val="center"/>
              <w:rPr>
                <w:sz w:val="18"/>
              </w:rPr>
            </w:pPr>
            <w:r>
              <w:rPr>
                <w:sz w:val="18"/>
              </w:rPr>
              <w:t>июнь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2A38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2B38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2C38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2D380000">
            <w:pPr>
              <w:widowControl w:val="1"/>
              <w:ind/>
              <w:jc w:val="center"/>
              <w:rPr>
                <w:color w:val="000000"/>
                <w:sz w:val="18"/>
              </w:rPr>
            </w:pPr>
            <w:r>
              <w:rPr>
                <w:color w:val="000000"/>
                <w:sz w:val="18"/>
              </w:rPr>
              <w:t>10900,00</w:t>
            </w:r>
          </w:p>
        </w:tc>
        <w:tc>
          <w:tcPr>
            <w:tcW w:type="dxa" w:w="1185"/>
            <w:tcBorders>
              <w:top w:color="000000" w:sz="4" w:val="single"/>
              <w:left w:color="000000" w:sz="4" w:val="single"/>
              <w:bottom w:color="000000" w:sz="4" w:val="single"/>
              <w:right w:color="000000" w:sz="4" w:val="single"/>
            </w:tcBorders>
            <w:shd w:fill="FFFFFF" w:val="clear"/>
            <w:vAlign w:val="center"/>
          </w:tcPr>
          <w:p w14:paraId="2E380000">
            <w:pPr>
              <w:widowControl w:val="1"/>
              <w:ind/>
              <w:jc w:val="center"/>
              <w:rPr>
                <w:color w:val="000000"/>
                <w:sz w:val="18"/>
              </w:rPr>
            </w:pPr>
            <w:r>
              <w:rPr>
                <w:color w:val="000000"/>
                <w:sz w:val="18"/>
              </w:rPr>
              <w:t>10900,00</w:t>
            </w:r>
          </w:p>
        </w:tc>
        <w:tc>
          <w:tcPr>
            <w:tcW w:type="dxa" w:w="1083"/>
            <w:tcBorders>
              <w:top w:color="000000" w:sz="4" w:val="single"/>
              <w:left w:color="000000" w:sz="4" w:val="single"/>
              <w:bottom w:color="000000" w:sz="4" w:val="single"/>
              <w:right w:color="000000" w:sz="4" w:val="single"/>
            </w:tcBorders>
            <w:shd w:fill="FFFFFF" w:val="clear"/>
            <w:vAlign w:val="center"/>
          </w:tcPr>
          <w:p w14:paraId="2F380000">
            <w:pPr>
              <w:widowControl w:val="1"/>
              <w:ind/>
              <w:jc w:val="center"/>
              <w:rPr>
                <w:color w:val="000000"/>
                <w:sz w:val="18"/>
              </w:rPr>
            </w:pPr>
            <w:r>
              <w:rPr>
                <w:color w:val="000000"/>
                <w:sz w:val="18"/>
              </w:rPr>
              <w:t>10900,00</w:t>
            </w:r>
          </w:p>
        </w:tc>
        <w:tc>
          <w:tcPr>
            <w:tcW w:type="dxa" w:w="771"/>
            <w:tcBorders>
              <w:top w:color="000000" w:sz="4" w:val="single"/>
              <w:left w:color="000000" w:sz="4" w:val="single"/>
              <w:bottom w:color="000000" w:sz="4" w:val="single"/>
              <w:right w:color="000000" w:sz="4" w:val="single"/>
            </w:tcBorders>
            <w:shd w:fill="FFFFFF" w:val="clear"/>
            <w:vAlign w:val="center"/>
          </w:tcPr>
          <w:p w14:paraId="3038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31380000">
            <w:pPr>
              <w:widowControl w:val="1"/>
              <w:ind/>
              <w:jc w:val="center"/>
              <w:rPr>
                <w:sz w:val="18"/>
              </w:rPr>
            </w:pPr>
            <w:r>
              <w:rPr>
                <w:sz w:val="18"/>
              </w:rPr>
              <w:t>июнь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32380000">
            <w:pPr>
              <w:widowControl w:val="1"/>
              <w:ind/>
              <w:jc w:val="center"/>
              <w:rPr>
                <w:sz w:val="18"/>
              </w:rPr>
            </w:pPr>
            <w:r>
              <w:rPr>
                <w:sz w:val="18"/>
              </w:rPr>
              <w:t>счет № 44 от 04.06.2018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33380000">
            <w:pPr>
              <w:widowControl w:val="1"/>
              <w:ind/>
              <w:jc w:val="center"/>
              <w:rPr>
                <w:color w:val="000000"/>
                <w:sz w:val="18"/>
              </w:rPr>
            </w:pPr>
            <w:r>
              <w:rPr>
                <w:color w:val="000000"/>
                <w:sz w:val="18"/>
              </w:rPr>
              <w:t>159</w:t>
            </w:r>
          </w:p>
        </w:tc>
        <w:tc>
          <w:tcPr>
            <w:tcW w:type="dxa" w:w="618"/>
            <w:tcBorders>
              <w:top w:color="000000" w:sz="4" w:val="single"/>
              <w:left w:color="000000" w:sz="4" w:val="single"/>
              <w:bottom w:color="000000" w:sz="4" w:val="single"/>
              <w:right w:color="000000" w:sz="4" w:val="single"/>
            </w:tcBorders>
            <w:shd w:fill="FFFFFF" w:val="clear"/>
            <w:vAlign w:val="center"/>
          </w:tcPr>
          <w:p w14:paraId="34380000">
            <w:pPr>
              <w:widowControl w:val="1"/>
              <w:ind/>
              <w:jc w:val="center"/>
              <w:rPr>
                <w:sz w:val="18"/>
              </w:rPr>
            </w:pPr>
            <w:r>
              <w:rPr>
                <w:sz w:val="18"/>
              </w:rPr>
              <w:t>83/2</w:t>
            </w:r>
          </w:p>
        </w:tc>
        <w:tc>
          <w:tcPr>
            <w:tcW w:type="dxa" w:w="993"/>
            <w:tcBorders>
              <w:top w:color="000000" w:sz="4" w:val="single"/>
              <w:left w:color="000000" w:sz="4" w:val="single"/>
              <w:bottom w:color="000000" w:sz="4" w:val="single"/>
              <w:right w:color="000000" w:sz="4" w:val="single"/>
            </w:tcBorders>
            <w:shd w:fill="FFFFFF" w:val="clear"/>
            <w:vAlign w:val="center"/>
          </w:tcPr>
          <w:p w14:paraId="35380000">
            <w:pPr>
              <w:widowControl w:val="1"/>
              <w:ind/>
              <w:jc w:val="center"/>
              <w:rPr>
                <w:sz w:val="18"/>
              </w:rPr>
            </w:pPr>
            <w:r>
              <w:rPr>
                <w:sz w:val="18"/>
              </w:rPr>
              <w:t>оказание услуг по диагностике онлайн ККТ</w:t>
            </w:r>
          </w:p>
        </w:tc>
        <w:tc>
          <w:tcPr>
            <w:tcW w:type="dxa" w:w="849"/>
            <w:tcBorders>
              <w:top w:color="000000" w:sz="4" w:val="single"/>
              <w:left w:color="000000" w:sz="4" w:val="single"/>
              <w:bottom w:color="000000" w:sz="4" w:val="single"/>
              <w:right w:color="000000" w:sz="4" w:val="single"/>
            </w:tcBorders>
            <w:shd w:fill="FFFFFF" w:val="clear"/>
            <w:vAlign w:val="center"/>
          </w:tcPr>
          <w:p w14:paraId="3638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37380000">
            <w:pPr>
              <w:widowControl w:val="1"/>
              <w:ind/>
              <w:jc w:val="center"/>
              <w:rPr>
                <w:sz w:val="18"/>
              </w:rPr>
            </w:pPr>
            <w:r>
              <w:rPr>
                <w:sz w:val="18"/>
              </w:rPr>
              <w:t>15</w:t>
            </w:r>
          </w:p>
        </w:tc>
        <w:tc>
          <w:tcPr>
            <w:tcW w:type="dxa" w:w="991"/>
            <w:tcBorders>
              <w:top w:color="000000" w:sz="4" w:val="single"/>
              <w:left w:color="000000" w:sz="4" w:val="single"/>
              <w:bottom w:color="000000" w:sz="4" w:val="single"/>
              <w:right w:color="000000" w:sz="4" w:val="single"/>
            </w:tcBorders>
            <w:shd w:fill="FFFFFF" w:val="clear"/>
            <w:vAlign w:val="center"/>
          </w:tcPr>
          <w:p w14:paraId="38380000">
            <w:pPr>
              <w:widowControl w:val="1"/>
              <w:ind/>
              <w:jc w:val="center"/>
              <w:rPr>
                <w:sz w:val="18"/>
              </w:rPr>
            </w:pPr>
            <w:r>
              <w:rPr>
                <w:sz w:val="18"/>
              </w:rPr>
              <w:t>5250,00</w:t>
            </w:r>
          </w:p>
        </w:tc>
        <w:tc>
          <w:tcPr>
            <w:tcW w:type="dxa" w:w="1134"/>
            <w:tcBorders>
              <w:top w:color="000000" w:sz="4" w:val="single"/>
              <w:left w:color="000000" w:sz="4" w:val="single"/>
              <w:bottom w:color="000000" w:sz="4" w:val="single"/>
              <w:right w:color="000000" w:sz="4" w:val="single"/>
            </w:tcBorders>
            <w:shd w:fill="FFFFFF" w:val="clear"/>
            <w:vAlign w:val="center"/>
          </w:tcPr>
          <w:p w14:paraId="39380000">
            <w:pPr>
              <w:widowControl w:val="1"/>
              <w:ind/>
              <w:jc w:val="center"/>
              <w:rPr>
                <w:sz w:val="18"/>
              </w:rPr>
            </w:pPr>
            <w:r>
              <w:rPr>
                <w:sz w:val="18"/>
              </w:rPr>
              <w:t>5250,00</w:t>
            </w:r>
          </w:p>
        </w:tc>
        <w:tc>
          <w:tcPr>
            <w:tcW w:type="dxa" w:w="993"/>
            <w:tcBorders>
              <w:top w:color="000000" w:sz="4" w:val="single"/>
              <w:left w:color="000000" w:sz="4" w:val="single"/>
              <w:bottom w:color="000000" w:sz="4" w:val="single"/>
              <w:right w:color="000000" w:sz="4" w:val="single"/>
            </w:tcBorders>
            <w:shd w:fill="FFFFFF" w:val="clear"/>
            <w:vAlign w:val="center"/>
          </w:tcPr>
          <w:p w14:paraId="3A38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3B380000">
            <w:pPr>
              <w:widowControl w:val="1"/>
              <w:ind/>
              <w:jc w:val="center"/>
              <w:rPr>
                <w:sz w:val="18"/>
              </w:rPr>
            </w:pPr>
            <w:r>
              <w:rPr>
                <w:sz w:val="18"/>
              </w:rPr>
              <w:t>июнь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3C38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3D38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3E380000">
            <w:pPr>
              <w:widowControl w:val="1"/>
              <w:ind/>
              <w:jc w:val="center"/>
              <w:rPr>
                <w:sz w:val="18"/>
              </w:rPr>
            </w:pPr>
            <w:r>
              <w:rPr>
                <w:sz w:val="18"/>
              </w:rPr>
              <w:t>15</w:t>
            </w:r>
          </w:p>
        </w:tc>
        <w:tc>
          <w:tcPr>
            <w:tcW w:type="dxa" w:w="1169"/>
            <w:tcBorders>
              <w:top w:color="000000" w:sz="4" w:val="single"/>
              <w:left w:color="000000" w:sz="4" w:val="single"/>
              <w:bottom w:color="000000" w:sz="4" w:val="single"/>
              <w:right w:color="000000" w:sz="4" w:val="single"/>
            </w:tcBorders>
            <w:shd w:fill="FFFFFF" w:val="clear"/>
            <w:vAlign w:val="center"/>
          </w:tcPr>
          <w:p w14:paraId="3F380000">
            <w:pPr>
              <w:widowControl w:val="1"/>
              <w:ind/>
              <w:jc w:val="center"/>
              <w:rPr>
                <w:sz w:val="18"/>
              </w:rPr>
            </w:pPr>
            <w:r>
              <w:rPr>
                <w:sz w:val="18"/>
              </w:rPr>
              <w:t>5250,00</w:t>
            </w:r>
          </w:p>
        </w:tc>
        <w:tc>
          <w:tcPr>
            <w:tcW w:type="dxa" w:w="1185"/>
            <w:tcBorders>
              <w:top w:color="000000" w:sz="4" w:val="single"/>
              <w:left w:color="000000" w:sz="4" w:val="single"/>
              <w:bottom w:color="000000" w:sz="4" w:val="single"/>
              <w:right w:color="000000" w:sz="4" w:val="single"/>
            </w:tcBorders>
            <w:shd w:fill="FFFFFF" w:val="clear"/>
            <w:vAlign w:val="center"/>
          </w:tcPr>
          <w:p w14:paraId="40380000">
            <w:pPr>
              <w:widowControl w:val="1"/>
              <w:ind/>
              <w:jc w:val="center"/>
              <w:rPr>
                <w:sz w:val="18"/>
              </w:rPr>
            </w:pPr>
            <w:r>
              <w:rPr>
                <w:sz w:val="18"/>
              </w:rPr>
              <w:t>5250,00</w:t>
            </w:r>
          </w:p>
        </w:tc>
        <w:tc>
          <w:tcPr>
            <w:tcW w:type="dxa" w:w="1083"/>
            <w:tcBorders>
              <w:top w:color="000000" w:sz="4" w:val="single"/>
              <w:left w:color="000000" w:sz="4" w:val="single"/>
              <w:bottom w:color="000000" w:sz="4" w:val="single"/>
              <w:right w:color="000000" w:sz="4" w:val="single"/>
            </w:tcBorders>
            <w:shd w:fill="FFFFFF" w:val="clear"/>
            <w:vAlign w:val="center"/>
          </w:tcPr>
          <w:p w14:paraId="41380000">
            <w:pPr>
              <w:widowControl w:val="1"/>
              <w:ind/>
              <w:jc w:val="center"/>
              <w:rPr>
                <w:sz w:val="18"/>
              </w:rPr>
            </w:pPr>
            <w:r>
              <w:rPr>
                <w:sz w:val="18"/>
              </w:rPr>
              <w:t>5250,00</w:t>
            </w:r>
          </w:p>
        </w:tc>
        <w:tc>
          <w:tcPr>
            <w:tcW w:type="dxa" w:w="771"/>
            <w:tcBorders>
              <w:top w:color="000000" w:sz="4" w:val="single"/>
              <w:left w:color="000000" w:sz="4" w:val="single"/>
              <w:bottom w:color="000000" w:sz="4" w:val="single"/>
              <w:right w:color="000000" w:sz="4" w:val="single"/>
            </w:tcBorders>
            <w:shd w:fill="FFFFFF" w:val="clear"/>
            <w:vAlign w:val="center"/>
          </w:tcPr>
          <w:p w14:paraId="4238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43380000">
            <w:pPr>
              <w:widowControl w:val="1"/>
              <w:ind/>
              <w:jc w:val="center"/>
              <w:rPr>
                <w:sz w:val="18"/>
              </w:rPr>
            </w:pPr>
            <w:r>
              <w:rPr>
                <w:sz w:val="18"/>
              </w:rPr>
              <w:t>июнь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44380000">
            <w:pPr>
              <w:widowControl w:val="1"/>
              <w:ind/>
              <w:jc w:val="center"/>
              <w:rPr>
                <w:sz w:val="18"/>
              </w:rPr>
            </w:pPr>
            <w:r>
              <w:rPr>
                <w:sz w:val="18"/>
              </w:rPr>
              <w:t>счет № 637 от 07.06.2018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45380000">
            <w:pPr>
              <w:widowControl w:val="1"/>
              <w:ind/>
              <w:jc w:val="center"/>
              <w:rPr>
                <w:color w:val="000000"/>
                <w:sz w:val="18"/>
              </w:rPr>
            </w:pPr>
            <w:r>
              <w:rPr>
                <w:color w:val="000000"/>
                <w:sz w:val="18"/>
              </w:rPr>
              <w:t>160</w:t>
            </w:r>
          </w:p>
        </w:tc>
        <w:tc>
          <w:tcPr>
            <w:tcW w:type="dxa" w:w="618"/>
            <w:tcBorders>
              <w:top w:color="000000" w:sz="4" w:val="single"/>
              <w:left w:color="000000" w:sz="4" w:val="single"/>
              <w:bottom w:color="000000" w:sz="4" w:val="single"/>
              <w:right w:color="000000" w:sz="4" w:val="single"/>
            </w:tcBorders>
            <w:shd w:fill="FFFFFF" w:val="clear"/>
            <w:vAlign w:val="center"/>
          </w:tcPr>
          <w:p w14:paraId="46380000">
            <w:pPr>
              <w:widowControl w:val="1"/>
              <w:ind/>
              <w:jc w:val="center"/>
              <w:rPr>
                <w:sz w:val="18"/>
              </w:rPr>
            </w:pPr>
            <w:r>
              <w:rPr>
                <w:sz w:val="18"/>
              </w:rPr>
              <w:t>84/2</w:t>
            </w:r>
          </w:p>
        </w:tc>
        <w:tc>
          <w:tcPr>
            <w:tcW w:type="dxa" w:w="993"/>
            <w:tcBorders>
              <w:top w:color="000000" w:sz="4" w:val="single"/>
              <w:left w:color="000000" w:sz="4" w:val="single"/>
              <w:bottom w:color="000000" w:sz="4" w:val="single"/>
              <w:right w:color="000000" w:sz="4" w:val="single"/>
            </w:tcBorders>
            <w:shd w:fill="FFFFFF" w:val="clear"/>
            <w:vAlign w:val="center"/>
          </w:tcPr>
          <w:p w14:paraId="47380000">
            <w:pPr>
              <w:widowControl w:val="1"/>
              <w:ind/>
              <w:jc w:val="center"/>
              <w:rPr>
                <w:sz w:val="18"/>
              </w:rPr>
            </w:pPr>
            <w:r>
              <w:rPr>
                <w:sz w:val="18"/>
              </w:rPr>
              <w:t>оказание услуг по перепрошивке онлайн ККТ</w:t>
            </w:r>
          </w:p>
        </w:tc>
        <w:tc>
          <w:tcPr>
            <w:tcW w:type="dxa" w:w="849"/>
            <w:tcBorders>
              <w:top w:color="000000" w:sz="4" w:val="single"/>
              <w:left w:color="000000" w:sz="4" w:val="single"/>
              <w:bottom w:color="000000" w:sz="4" w:val="single"/>
              <w:right w:color="000000" w:sz="4" w:val="single"/>
            </w:tcBorders>
            <w:shd w:fill="FFFFFF" w:val="clear"/>
            <w:vAlign w:val="center"/>
          </w:tcPr>
          <w:p w14:paraId="4838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49380000">
            <w:pPr>
              <w:widowControl w:val="1"/>
              <w:ind/>
              <w:jc w:val="center"/>
              <w:rPr>
                <w:sz w:val="18"/>
              </w:rPr>
            </w:pPr>
            <w:r>
              <w:rPr>
                <w:sz w:val="18"/>
              </w:rPr>
              <w:t>8</w:t>
            </w:r>
          </w:p>
        </w:tc>
        <w:tc>
          <w:tcPr>
            <w:tcW w:type="dxa" w:w="991"/>
            <w:tcBorders>
              <w:top w:color="000000" w:sz="4" w:val="single"/>
              <w:left w:color="000000" w:sz="4" w:val="single"/>
              <w:bottom w:color="000000" w:sz="4" w:val="single"/>
              <w:right w:color="000000" w:sz="4" w:val="single"/>
            </w:tcBorders>
            <w:shd w:fill="FFFFFF" w:val="clear"/>
            <w:vAlign w:val="center"/>
          </w:tcPr>
          <w:p w14:paraId="4A380000">
            <w:pPr>
              <w:widowControl w:val="1"/>
              <w:ind/>
              <w:jc w:val="center"/>
              <w:rPr>
                <w:sz w:val="18"/>
              </w:rPr>
            </w:pPr>
            <w:r>
              <w:rPr>
                <w:sz w:val="18"/>
              </w:rPr>
              <w:t>3600,00</w:t>
            </w:r>
          </w:p>
        </w:tc>
        <w:tc>
          <w:tcPr>
            <w:tcW w:type="dxa" w:w="1134"/>
            <w:tcBorders>
              <w:top w:color="000000" w:sz="4" w:val="single"/>
              <w:left w:color="000000" w:sz="4" w:val="single"/>
              <w:bottom w:color="000000" w:sz="4" w:val="single"/>
              <w:right w:color="000000" w:sz="4" w:val="single"/>
            </w:tcBorders>
            <w:shd w:fill="FFFFFF" w:val="clear"/>
            <w:vAlign w:val="center"/>
          </w:tcPr>
          <w:p w14:paraId="4B380000">
            <w:pPr>
              <w:widowControl w:val="1"/>
              <w:ind/>
              <w:jc w:val="center"/>
              <w:rPr>
                <w:sz w:val="18"/>
              </w:rPr>
            </w:pPr>
            <w:r>
              <w:rPr>
                <w:sz w:val="18"/>
              </w:rPr>
              <w:t>3600,00</w:t>
            </w:r>
          </w:p>
        </w:tc>
        <w:tc>
          <w:tcPr>
            <w:tcW w:type="dxa" w:w="993"/>
            <w:tcBorders>
              <w:top w:color="000000" w:sz="4" w:val="single"/>
              <w:left w:color="000000" w:sz="4" w:val="single"/>
              <w:bottom w:color="000000" w:sz="4" w:val="single"/>
              <w:right w:color="000000" w:sz="4" w:val="single"/>
            </w:tcBorders>
            <w:shd w:fill="FFFFFF" w:val="clear"/>
            <w:vAlign w:val="center"/>
          </w:tcPr>
          <w:p w14:paraId="4C38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4D380000">
            <w:pPr>
              <w:widowControl w:val="1"/>
              <w:ind/>
              <w:jc w:val="center"/>
              <w:rPr>
                <w:sz w:val="18"/>
              </w:rPr>
            </w:pPr>
            <w:r>
              <w:rPr>
                <w:sz w:val="18"/>
              </w:rPr>
              <w:t>июнь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4E38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4F38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50380000">
            <w:pPr>
              <w:widowControl w:val="1"/>
              <w:ind/>
              <w:jc w:val="center"/>
              <w:rPr>
                <w:sz w:val="18"/>
              </w:rPr>
            </w:pPr>
            <w:r>
              <w:rPr>
                <w:sz w:val="18"/>
              </w:rPr>
              <w:t>8</w:t>
            </w:r>
          </w:p>
        </w:tc>
        <w:tc>
          <w:tcPr>
            <w:tcW w:type="dxa" w:w="1169"/>
            <w:tcBorders>
              <w:top w:color="000000" w:sz="4" w:val="single"/>
              <w:left w:color="000000" w:sz="4" w:val="single"/>
              <w:bottom w:color="000000" w:sz="4" w:val="single"/>
              <w:right w:color="000000" w:sz="4" w:val="single"/>
            </w:tcBorders>
            <w:shd w:fill="FFFFFF" w:val="clear"/>
            <w:vAlign w:val="center"/>
          </w:tcPr>
          <w:p w14:paraId="51380000">
            <w:pPr>
              <w:widowControl w:val="1"/>
              <w:ind/>
              <w:jc w:val="center"/>
              <w:rPr>
                <w:sz w:val="18"/>
              </w:rPr>
            </w:pPr>
            <w:r>
              <w:rPr>
                <w:sz w:val="18"/>
              </w:rPr>
              <w:t>3600,00</w:t>
            </w:r>
          </w:p>
        </w:tc>
        <w:tc>
          <w:tcPr>
            <w:tcW w:type="dxa" w:w="1185"/>
            <w:tcBorders>
              <w:top w:color="000000" w:sz="4" w:val="single"/>
              <w:left w:color="000000" w:sz="4" w:val="single"/>
              <w:bottom w:color="000000" w:sz="4" w:val="single"/>
              <w:right w:color="000000" w:sz="4" w:val="single"/>
            </w:tcBorders>
            <w:shd w:fill="FFFFFF" w:val="clear"/>
            <w:vAlign w:val="center"/>
          </w:tcPr>
          <w:p w14:paraId="52380000">
            <w:pPr>
              <w:widowControl w:val="1"/>
              <w:ind/>
              <w:jc w:val="center"/>
              <w:rPr>
                <w:sz w:val="18"/>
              </w:rPr>
            </w:pPr>
            <w:r>
              <w:rPr>
                <w:sz w:val="18"/>
              </w:rPr>
              <w:t>3600,00</w:t>
            </w:r>
          </w:p>
        </w:tc>
        <w:tc>
          <w:tcPr>
            <w:tcW w:type="dxa" w:w="1083"/>
            <w:tcBorders>
              <w:top w:color="000000" w:sz="4" w:val="single"/>
              <w:left w:color="000000" w:sz="4" w:val="single"/>
              <w:bottom w:color="000000" w:sz="4" w:val="single"/>
              <w:right w:color="000000" w:sz="4" w:val="single"/>
            </w:tcBorders>
            <w:shd w:fill="FFFFFF" w:val="clear"/>
            <w:vAlign w:val="center"/>
          </w:tcPr>
          <w:p w14:paraId="53380000">
            <w:pPr>
              <w:widowControl w:val="1"/>
              <w:ind/>
              <w:jc w:val="center"/>
              <w:rPr>
                <w:sz w:val="18"/>
              </w:rPr>
            </w:pPr>
            <w:r>
              <w:rPr>
                <w:sz w:val="18"/>
              </w:rPr>
              <w:t>3600,00</w:t>
            </w:r>
          </w:p>
        </w:tc>
        <w:tc>
          <w:tcPr>
            <w:tcW w:type="dxa" w:w="771"/>
            <w:tcBorders>
              <w:top w:color="000000" w:sz="4" w:val="single"/>
              <w:left w:color="000000" w:sz="4" w:val="single"/>
              <w:bottom w:color="000000" w:sz="4" w:val="single"/>
              <w:right w:color="000000" w:sz="4" w:val="single"/>
            </w:tcBorders>
            <w:shd w:fill="FFFFFF" w:val="clear"/>
            <w:vAlign w:val="center"/>
          </w:tcPr>
          <w:p w14:paraId="5438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5380000">
            <w:pPr>
              <w:widowControl w:val="1"/>
              <w:ind/>
              <w:jc w:val="center"/>
              <w:rPr>
                <w:sz w:val="18"/>
              </w:rPr>
            </w:pPr>
            <w:r>
              <w:rPr>
                <w:sz w:val="18"/>
              </w:rPr>
              <w:t>июнь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56380000">
            <w:pPr>
              <w:widowControl w:val="1"/>
              <w:ind/>
              <w:jc w:val="center"/>
              <w:rPr>
                <w:sz w:val="18"/>
              </w:rPr>
            </w:pPr>
            <w:r>
              <w:rPr>
                <w:sz w:val="18"/>
              </w:rPr>
              <w:t>счет № 718 от 07.06.2018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57380000">
            <w:pPr>
              <w:widowControl w:val="1"/>
              <w:ind/>
              <w:jc w:val="center"/>
              <w:rPr>
                <w:color w:val="000000"/>
                <w:sz w:val="18"/>
              </w:rPr>
            </w:pPr>
            <w:r>
              <w:rPr>
                <w:color w:val="000000"/>
                <w:sz w:val="18"/>
              </w:rPr>
              <w:t>161</w:t>
            </w:r>
          </w:p>
        </w:tc>
        <w:tc>
          <w:tcPr>
            <w:tcW w:type="dxa" w:w="618"/>
            <w:tcBorders>
              <w:top w:color="000000" w:sz="4" w:val="single"/>
              <w:left w:color="000000" w:sz="4" w:val="single"/>
              <w:bottom w:color="000000" w:sz="4" w:val="single"/>
              <w:right w:color="000000" w:sz="4" w:val="single"/>
            </w:tcBorders>
            <w:shd w:fill="FFFFFF" w:val="clear"/>
            <w:vAlign w:val="center"/>
          </w:tcPr>
          <w:p w14:paraId="58380000">
            <w:pPr>
              <w:widowControl w:val="1"/>
              <w:ind/>
              <w:jc w:val="center"/>
              <w:rPr>
                <w:sz w:val="18"/>
              </w:rPr>
            </w:pPr>
            <w:r>
              <w:rPr>
                <w:sz w:val="18"/>
              </w:rPr>
              <w:t>85/2</w:t>
            </w:r>
          </w:p>
        </w:tc>
        <w:tc>
          <w:tcPr>
            <w:tcW w:type="dxa" w:w="993"/>
            <w:tcBorders>
              <w:top w:color="000000" w:sz="4" w:val="single"/>
              <w:left w:color="000000" w:sz="4" w:val="single"/>
              <w:bottom w:color="000000" w:sz="4" w:val="single"/>
              <w:right w:color="000000" w:sz="4" w:val="single"/>
            </w:tcBorders>
            <w:shd w:fill="FFFFFF" w:val="clear"/>
            <w:vAlign w:val="center"/>
          </w:tcPr>
          <w:p w14:paraId="59380000">
            <w:pPr>
              <w:widowControl w:val="1"/>
              <w:ind/>
              <w:jc w:val="center"/>
              <w:rPr>
                <w:sz w:val="18"/>
              </w:rPr>
            </w:pPr>
            <w:r>
              <w:rPr>
                <w:sz w:val="18"/>
              </w:rPr>
              <w:t>поставка печатающего механизма для онлайн ККТ</w:t>
            </w:r>
          </w:p>
        </w:tc>
        <w:tc>
          <w:tcPr>
            <w:tcW w:type="dxa" w:w="849"/>
            <w:tcBorders>
              <w:top w:color="000000" w:sz="4" w:val="single"/>
              <w:left w:color="000000" w:sz="4" w:val="single"/>
              <w:bottom w:color="000000" w:sz="4" w:val="single"/>
              <w:right w:color="000000" w:sz="4" w:val="single"/>
            </w:tcBorders>
            <w:shd w:fill="FFFFFF" w:val="clear"/>
            <w:vAlign w:val="center"/>
          </w:tcPr>
          <w:p w14:paraId="5A38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5B38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5C380000">
            <w:pPr>
              <w:widowControl w:val="1"/>
              <w:ind/>
              <w:jc w:val="center"/>
              <w:rPr>
                <w:sz w:val="18"/>
              </w:rPr>
            </w:pPr>
            <w:r>
              <w:rPr>
                <w:sz w:val="18"/>
              </w:rPr>
              <w:t>1100,00</w:t>
            </w:r>
          </w:p>
        </w:tc>
        <w:tc>
          <w:tcPr>
            <w:tcW w:type="dxa" w:w="1134"/>
            <w:tcBorders>
              <w:top w:color="000000" w:sz="4" w:val="single"/>
              <w:left w:color="000000" w:sz="4" w:val="single"/>
              <w:bottom w:color="000000" w:sz="4" w:val="single"/>
              <w:right w:color="000000" w:sz="4" w:val="single"/>
            </w:tcBorders>
            <w:shd w:fill="FFFFFF" w:val="clear"/>
            <w:vAlign w:val="center"/>
          </w:tcPr>
          <w:p w14:paraId="5D380000">
            <w:pPr>
              <w:widowControl w:val="1"/>
              <w:ind/>
              <w:jc w:val="center"/>
              <w:rPr>
                <w:sz w:val="18"/>
              </w:rPr>
            </w:pPr>
            <w:r>
              <w:rPr>
                <w:sz w:val="18"/>
              </w:rPr>
              <w:t>1100,00</w:t>
            </w:r>
          </w:p>
        </w:tc>
        <w:tc>
          <w:tcPr>
            <w:tcW w:type="dxa" w:w="993"/>
            <w:tcBorders>
              <w:top w:color="000000" w:sz="4" w:val="single"/>
              <w:left w:color="000000" w:sz="4" w:val="single"/>
              <w:bottom w:color="000000" w:sz="4" w:val="single"/>
              <w:right w:color="000000" w:sz="4" w:val="single"/>
            </w:tcBorders>
            <w:shd w:fill="FFFFFF" w:val="clear"/>
            <w:vAlign w:val="center"/>
          </w:tcPr>
          <w:p w14:paraId="5E38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5F380000">
            <w:pPr>
              <w:widowControl w:val="1"/>
              <w:ind/>
              <w:jc w:val="center"/>
              <w:rPr>
                <w:sz w:val="18"/>
              </w:rPr>
            </w:pPr>
            <w:r>
              <w:rPr>
                <w:sz w:val="18"/>
              </w:rPr>
              <w:t>июнь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6038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6138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6238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63380000">
            <w:pPr>
              <w:widowControl w:val="1"/>
              <w:ind/>
              <w:jc w:val="center"/>
              <w:rPr>
                <w:sz w:val="18"/>
              </w:rPr>
            </w:pPr>
            <w:r>
              <w:rPr>
                <w:sz w:val="18"/>
              </w:rPr>
              <w:t>1100,00</w:t>
            </w:r>
          </w:p>
        </w:tc>
        <w:tc>
          <w:tcPr>
            <w:tcW w:type="dxa" w:w="1185"/>
            <w:tcBorders>
              <w:top w:color="000000" w:sz="4" w:val="single"/>
              <w:left w:color="000000" w:sz="4" w:val="single"/>
              <w:bottom w:color="000000" w:sz="4" w:val="single"/>
              <w:right w:color="000000" w:sz="4" w:val="single"/>
            </w:tcBorders>
            <w:shd w:fill="FFFFFF" w:val="clear"/>
            <w:vAlign w:val="center"/>
          </w:tcPr>
          <w:p w14:paraId="64380000">
            <w:pPr>
              <w:widowControl w:val="1"/>
              <w:ind/>
              <w:jc w:val="center"/>
              <w:rPr>
                <w:sz w:val="18"/>
              </w:rPr>
            </w:pPr>
            <w:r>
              <w:rPr>
                <w:sz w:val="18"/>
              </w:rPr>
              <w:t>1100,00</w:t>
            </w:r>
          </w:p>
        </w:tc>
        <w:tc>
          <w:tcPr>
            <w:tcW w:type="dxa" w:w="1083"/>
            <w:tcBorders>
              <w:top w:color="000000" w:sz="4" w:val="single"/>
              <w:left w:color="000000" w:sz="4" w:val="single"/>
              <w:bottom w:color="000000" w:sz="4" w:val="single"/>
              <w:right w:color="000000" w:sz="4" w:val="single"/>
            </w:tcBorders>
            <w:shd w:fill="FFFFFF" w:val="clear"/>
            <w:vAlign w:val="center"/>
          </w:tcPr>
          <w:p w14:paraId="65380000">
            <w:pPr>
              <w:widowControl w:val="1"/>
              <w:ind/>
              <w:jc w:val="center"/>
              <w:rPr>
                <w:sz w:val="18"/>
              </w:rPr>
            </w:pPr>
            <w:r>
              <w:rPr>
                <w:sz w:val="18"/>
              </w:rPr>
              <w:t>1100,00</w:t>
            </w:r>
          </w:p>
        </w:tc>
        <w:tc>
          <w:tcPr>
            <w:tcW w:type="dxa" w:w="771"/>
            <w:tcBorders>
              <w:top w:color="000000" w:sz="4" w:val="single"/>
              <w:left w:color="000000" w:sz="4" w:val="single"/>
              <w:bottom w:color="000000" w:sz="4" w:val="single"/>
              <w:right w:color="000000" w:sz="4" w:val="single"/>
            </w:tcBorders>
            <w:shd w:fill="FFFFFF" w:val="clear"/>
            <w:vAlign w:val="center"/>
          </w:tcPr>
          <w:p w14:paraId="6638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67380000">
            <w:pPr>
              <w:widowControl w:val="1"/>
              <w:ind/>
              <w:jc w:val="center"/>
              <w:rPr>
                <w:sz w:val="18"/>
              </w:rPr>
            </w:pPr>
            <w:r>
              <w:rPr>
                <w:sz w:val="18"/>
              </w:rPr>
              <w:t>июнь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68380000">
            <w:pPr>
              <w:widowControl w:val="1"/>
              <w:ind/>
              <w:jc w:val="center"/>
              <w:rPr>
                <w:sz w:val="18"/>
              </w:rPr>
            </w:pPr>
            <w:r>
              <w:rPr>
                <w:sz w:val="18"/>
              </w:rPr>
              <w:t>счет № 1123 от 07.06.2018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69380000">
            <w:pPr>
              <w:widowControl w:val="1"/>
              <w:ind/>
              <w:jc w:val="center"/>
              <w:rPr>
                <w:color w:val="000000"/>
                <w:sz w:val="18"/>
              </w:rPr>
            </w:pPr>
            <w:r>
              <w:rPr>
                <w:color w:val="000000"/>
                <w:sz w:val="18"/>
              </w:rPr>
              <w:t>162</w:t>
            </w:r>
          </w:p>
        </w:tc>
        <w:tc>
          <w:tcPr>
            <w:tcW w:type="dxa" w:w="618"/>
            <w:tcBorders>
              <w:top w:color="000000" w:sz="4" w:val="single"/>
              <w:left w:color="000000" w:sz="4" w:val="single"/>
              <w:bottom w:color="000000" w:sz="4" w:val="single"/>
              <w:right w:color="000000" w:sz="4" w:val="single"/>
            </w:tcBorders>
            <w:shd w:fill="FFFFFF" w:val="clear"/>
            <w:vAlign w:val="center"/>
          </w:tcPr>
          <w:p w14:paraId="6A380000">
            <w:pPr>
              <w:widowControl w:val="1"/>
              <w:ind/>
              <w:jc w:val="center"/>
              <w:rPr>
                <w:sz w:val="18"/>
              </w:rPr>
            </w:pPr>
            <w:r>
              <w:rPr>
                <w:sz w:val="18"/>
              </w:rPr>
              <w:t>86/2</w:t>
            </w:r>
          </w:p>
        </w:tc>
        <w:tc>
          <w:tcPr>
            <w:tcW w:type="dxa" w:w="993"/>
            <w:tcBorders>
              <w:top w:color="000000" w:sz="4" w:val="single"/>
              <w:left w:color="000000" w:sz="4" w:val="single"/>
              <w:bottom w:color="000000" w:sz="4" w:val="single"/>
              <w:right w:color="000000" w:sz="4" w:val="single"/>
            </w:tcBorders>
            <w:shd w:fill="FFFFFF" w:val="clear"/>
            <w:vAlign w:val="center"/>
          </w:tcPr>
          <w:p w14:paraId="6B380000">
            <w:pPr>
              <w:widowControl w:val="1"/>
              <w:ind/>
              <w:jc w:val="center"/>
              <w:rPr>
                <w:sz w:val="18"/>
              </w:rPr>
            </w:pPr>
            <w:r>
              <w:rPr>
                <w:sz w:val="18"/>
              </w:rPr>
              <w:t>поставка молотков аварийных</w:t>
            </w:r>
          </w:p>
        </w:tc>
        <w:tc>
          <w:tcPr>
            <w:tcW w:type="dxa" w:w="849"/>
            <w:tcBorders>
              <w:top w:color="000000" w:sz="4" w:val="single"/>
              <w:left w:color="000000" w:sz="4" w:val="single"/>
              <w:bottom w:color="000000" w:sz="4" w:val="single"/>
              <w:right w:color="000000" w:sz="4" w:val="single"/>
            </w:tcBorders>
            <w:shd w:fill="FFFFFF" w:val="clear"/>
            <w:vAlign w:val="center"/>
          </w:tcPr>
          <w:p w14:paraId="6C38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6D380000">
            <w:pPr>
              <w:widowControl w:val="1"/>
              <w:ind/>
              <w:jc w:val="center"/>
              <w:rPr>
                <w:sz w:val="18"/>
              </w:rPr>
            </w:pPr>
            <w:r>
              <w:rPr>
                <w:sz w:val="18"/>
              </w:rPr>
              <w:t>50</w:t>
            </w:r>
          </w:p>
        </w:tc>
        <w:tc>
          <w:tcPr>
            <w:tcW w:type="dxa" w:w="991"/>
            <w:tcBorders>
              <w:top w:color="000000" w:sz="4" w:val="single"/>
              <w:left w:color="000000" w:sz="4" w:val="single"/>
              <w:bottom w:color="000000" w:sz="4" w:val="single"/>
              <w:right w:color="000000" w:sz="4" w:val="single"/>
            </w:tcBorders>
            <w:shd w:fill="FFFFFF" w:val="clear"/>
            <w:vAlign w:val="center"/>
          </w:tcPr>
          <w:p w14:paraId="6E380000">
            <w:pPr>
              <w:widowControl w:val="1"/>
              <w:ind/>
              <w:jc w:val="center"/>
              <w:rPr>
                <w:sz w:val="18"/>
              </w:rPr>
            </w:pPr>
            <w:r>
              <w:rPr>
                <w:sz w:val="18"/>
              </w:rPr>
              <w:t>7288,00</w:t>
            </w:r>
          </w:p>
        </w:tc>
        <w:tc>
          <w:tcPr>
            <w:tcW w:type="dxa" w:w="1134"/>
            <w:tcBorders>
              <w:top w:color="000000" w:sz="4" w:val="single"/>
              <w:left w:color="000000" w:sz="4" w:val="single"/>
              <w:bottom w:color="000000" w:sz="4" w:val="single"/>
              <w:right w:color="000000" w:sz="4" w:val="single"/>
            </w:tcBorders>
            <w:shd w:fill="FFFFFF" w:val="clear"/>
            <w:vAlign w:val="center"/>
          </w:tcPr>
          <w:p w14:paraId="6F380000">
            <w:pPr>
              <w:widowControl w:val="1"/>
              <w:ind/>
              <w:jc w:val="center"/>
              <w:rPr>
                <w:sz w:val="18"/>
              </w:rPr>
            </w:pPr>
            <w:r>
              <w:rPr>
                <w:sz w:val="18"/>
              </w:rPr>
              <w:t>8600,00</w:t>
            </w:r>
          </w:p>
        </w:tc>
        <w:tc>
          <w:tcPr>
            <w:tcW w:type="dxa" w:w="993"/>
            <w:tcBorders>
              <w:top w:color="000000" w:sz="4" w:val="single"/>
              <w:left w:color="000000" w:sz="4" w:val="single"/>
              <w:bottom w:color="000000" w:sz="4" w:val="single"/>
              <w:right w:color="000000" w:sz="4" w:val="single"/>
            </w:tcBorders>
            <w:shd w:fill="FFFFFF" w:val="clear"/>
            <w:vAlign w:val="center"/>
          </w:tcPr>
          <w:p w14:paraId="7038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71380000">
            <w:pPr>
              <w:widowControl w:val="1"/>
              <w:ind/>
              <w:jc w:val="center"/>
              <w:rPr>
                <w:sz w:val="18"/>
              </w:rPr>
            </w:pPr>
            <w:r>
              <w:rPr>
                <w:sz w:val="18"/>
              </w:rPr>
              <w:t>июнь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7238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7338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74380000">
            <w:pPr>
              <w:widowControl w:val="1"/>
              <w:ind/>
              <w:jc w:val="center"/>
              <w:rPr>
                <w:sz w:val="18"/>
              </w:rPr>
            </w:pPr>
            <w:r>
              <w:rPr>
                <w:sz w:val="18"/>
              </w:rPr>
              <w:t>50</w:t>
            </w:r>
          </w:p>
        </w:tc>
        <w:tc>
          <w:tcPr>
            <w:tcW w:type="dxa" w:w="1169"/>
            <w:tcBorders>
              <w:top w:color="000000" w:sz="4" w:val="single"/>
              <w:left w:color="000000" w:sz="4" w:val="single"/>
              <w:bottom w:color="000000" w:sz="4" w:val="single"/>
              <w:right w:color="000000" w:sz="4" w:val="single"/>
            </w:tcBorders>
            <w:shd w:fill="FFFFFF" w:val="clear"/>
            <w:vAlign w:val="center"/>
          </w:tcPr>
          <w:p w14:paraId="75380000">
            <w:pPr>
              <w:widowControl w:val="1"/>
              <w:ind/>
              <w:jc w:val="center"/>
              <w:rPr>
                <w:sz w:val="18"/>
              </w:rPr>
            </w:pPr>
            <w:r>
              <w:rPr>
                <w:sz w:val="18"/>
              </w:rPr>
              <w:t>7288,00</w:t>
            </w:r>
          </w:p>
        </w:tc>
        <w:tc>
          <w:tcPr>
            <w:tcW w:type="dxa" w:w="1185"/>
            <w:tcBorders>
              <w:top w:color="000000" w:sz="4" w:val="single"/>
              <w:left w:color="000000" w:sz="4" w:val="single"/>
              <w:bottom w:color="000000" w:sz="4" w:val="single"/>
              <w:right w:color="000000" w:sz="4" w:val="single"/>
            </w:tcBorders>
            <w:shd w:fill="FFFFFF" w:val="clear"/>
            <w:vAlign w:val="center"/>
          </w:tcPr>
          <w:p w14:paraId="76380000">
            <w:pPr>
              <w:widowControl w:val="1"/>
              <w:ind/>
              <w:jc w:val="center"/>
              <w:rPr>
                <w:sz w:val="18"/>
              </w:rPr>
            </w:pPr>
            <w:r>
              <w:rPr>
                <w:sz w:val="18"/>
              </w:rPr>
              <w:t>8600,00</w:t>
            </w:r>
          </w:p>
        </w:tc>
        <w:tc>
          <w:tcPr>
            <w:tcW w:type="dxa" w:w="1083"/>
            <w:tcBorders>
              <w:top w:color="000000" w:sz="4" w:val="single"/>
              <w:left w:color="000000" w:sz="4" w:val="single"/>
              <w:bottom w:color="000000" w:sz="4" w:val="single"/>
              <w:right w:color="000000" w:sz="4" w:val="single"/>
            </w:tcBorders>
            <w:shd w:fill="FFFFFF" w:val="clear"/>
            <w:vAlign w:val="center"/>
          </w:tcPr>
          <w:p w14:paraId="77380000">
            <w:pPr>
              <w:widowControl w:val="1"/>
              <w:ind/>
              <w:jc w:val="center"/>
              <w:rPr>
                <w:sz w:val="18"/>
              </w:rPr>
            </w:pPr>
            <w:r>
              <w:rPr>
                <w:sz w:val="18"/>
              </w:rPr>
              <w:t>8600,00</w:t>
            </w:r>
          </w:p>
        </w:tc>
        <w:tc>
          <w:tcPr>
            <w:tcW w:type="dxa" w:w="771"/>
            <w:tcBorders>
              <w:top w:color="000000" w:sz="4" w:val="single"/>
              <w:left w:color="000000" w:sz="4" w:val="single"/>
              <w:bottom w:color="000000" w:sz="4" w:val="single"/>
              <w:right w:color="000000" w:sz="4" w:val="single"/>
            </w:tcBorders>
            <w:shd w:fill="FFFFFF" w:val="clear"/>
            <w:vAlign w:val="center"/>
          </w:tcPr>
          <w:p w14:paraId="7838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79380000">
            <w:pPr>
              <w:widowControl w:val="1"/>
              <w:ind/>
              <w:jc w:val="center"/>
              <w:rPr>
                <w:sz w:val="18"/>
              </w:rPr>
            </w:pPr>
            <w:r>
              <w:rPr>
                <w:sz w:val="18"/>
              </w:rPr>
              <w:t>июнь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7A380000">
            <w:pPr>
              <w:widowControl w:val="1"/>
              <w:ind/>
              <w:jc w:val="center"/>
              <w:rPr>
                <w:sz w:val="18"/>
              </w:rPr>
            </w:pPr>
            <w:r>
              <w:rPr>
                <w:sz w:val="18"/>
              </w:rPr>
              <w:t>счет № 14 от 19.06.2018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7B380000">
            <w:pPr>
              <w:widowControl w:val="1"/>
              <w:ind/>
              <w:jc w:val="center"/>
              <w:rPr>
                <w:color w:val="000000"/>
                <w:sz w:val="18"/>
              </w:rPr>
            </w:pPr>
            <w:r>
              <w:rPr>
                <w:color w:val="000000"/>
                <w:sz w:val="18"/>
              </w:rPr>
              <w:t>163</w:t>
            </w:r>
          </w:p>
        </w:tc>
        <w:tc>
          <w:tcPr>
            <w:tcW w:type="dxa" w:w="618"/>
            <w:tcBorders>
              <w:top w:color="000000" w:sz="4" w:val="single"/>
              <w:left w:color="000000" w:sz="4" w:val="single"/>
              <w:bottom w:color="000000" w:sz="4" w:val="single"/>
              <w:right w:color="000000" w:sz="4" w:val="single"/>
            </w:tcBorders>
            <w:shd w:fill="FFFFFF" w:val="clear"/>
            <w:vAlign w:val="center"/>
          </w:tcPr>
          <w:p w14:paraId="7C380000">
            <w:pPr>
              <w:widowControl w:val="1"/>
              <w:ind/>
              <w:jc w:val="center"/>
              <w:rPr>
                <w:sz w:val="18"/>
              </w:rPr>
            </w:pPr>
            <w:r>
              <w:rPr>
                <w:sz w:val="18"/>
              </w:rPr>
              <w:t>87/2</w:t>
            </w:r>
          </w:p>
        </w:tc>
        <w:tc>
          <w:tcPr>
            <w:tcW w:type="dxa" w:w="993"/>
            <w:tcBorders>
              <w:top w:color="000000" w:sz="4" w:val="single"/>
              <w:left w:color="000000" w:sz="4" w:val="single"/>
              <w:bottom w:color="000000" w:sz="4" w:val="single"/>
              <w:right w:color="000000" w:sz="4" w:val="single"/>
            </w:tcBorders>
            <w:shd w:fill="FFFFFF" w:val="clear"/>
            <w:vAlign w:val="center"/>
          </w:tcPr>
          <w:p w14:paraId="7D380000">
            <w:pPr>
              <w:widowControl w:val="1"/>
              <w:ind/>
              <w:jc w:val="center"/>
              <w:rPr>
                <w:color w:val="000000"/>
                <w:sz w:val="18"/>
              </w:rPr>
            </w:pPr>
            <w:r>
              <w:rPr>
                <w:color w:val="000000"/>
                <w:sz w:val="18"/>
              </w:rPr>
              <w:t>Выполнение работ по демонтажу и монтажу кондиционера</w:t>
            </w:r>
          </w:p>
        </w:tc>
        <w:tc>
          <w:tcPr>
            <w:tcW w:type="dxa" w:w="849"/>
            <w:tcBorders>
              <w:top w:color="000000" w:sz="4" w:val="single"/>
              <w:left w:color="000000" w:sz="4" w:val="single"/>
              <w:bottom w:color="000000" w:sz="4" w:val="single"/>
              <w:right w:color="000000" w:sz="4" w:val="single"/>
            </w:tcBorders>
            <w:shd w:fill="FFFFFF" w:val="clear"/>
            <w:vAlign w:val="center"/>
          </w:tcPr>
          <w:p w14:paraId="7E38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7F38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80380000">
            <w:pPr>
              <w:widowControl w:val="1"/>
              <w:ind/>
              <w:jc w:val="center"/>
              <w:rPr>
                <w:color w:val="000000"/>
                <w:sz w:val="18"/>
              </w:rPr>
            </w:pPr>
            <w:r>
              <w:rPr>
                <w:color w:val="000000"/>
                <w:sz w:val="18"/>
              </w:rPr>
              <w:t>10900,00</w:t>
            </w:r>
          </w:p>
        </w:tc>
        <w:tc>
          <w:tcPr>
            <w:tcW w:type="dxa" w:w="1134"/>
            <w:tcBorders>
              <w:top w:color="000000" w:sz="4" w:val="single"/>
              <w:left w:color="000000" w:sz="4" w:val="single"/>
              <w:bottom w:color="000000" w:sz="4" w:val="single"/>
              <w:right w:color="000000" w:sz="4" w:val="single"/>
            </w:tcBorders>
            <w:shd w:fill="FFFFFF" w:val="clear"/>
            <w:vAlign w:val="center"/>
          </w:tcPr>
          <w:p w14:paraId="81380000">
            <w:pPr>
              <w:widowControl w:val="1"/>
              <w:ind/>
              <w:jc w:val="center"/>
              <w:rPr>
                <w:color w:val="000000"/>
                <w:sz w:val="18"/>
              </w:rPr>
            </w:pPr>
            <w:r>
              <w:rPr>
                <w:color w:val="000000"/>
                <w:sz w:val="18"/>
              </w:rPr>
              <w:t>10900,00</w:t>
            </w:r>
          </w:p>
        </w:tc>
        <w:tc>
          <w:tcPr>
            <w:tcW w:type="dxa" w:w="993"/>
            <w:tcBorders>
              <w:top w:color="000000" w:sz="4" w:val="single"/>
              <w:left w:color="000000" w:sz="4" w:val="single"/>
              <w:bottom w:color="000000" w:sz="4" w:val="single"/>
              <w:right w:color="000000" w:sz="4" w:val="single"/>
            </w:tcBorders>
            <w:shd w:fill="FFFFFF" w:val="clear"/>
            <w:vAlign w:val="center"/>
          </w:tcPr>
          <w:p w14:paraId="8238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83380000">
            <w:pPr>
              <w:widowControl w:val="1"/>
              <w:ind/>
              <w:jc w:val="center"/>
              <w:rPr>
                <w:sz w:val="18"/>
              </w:rPr>
            </w:pPr>
            <w:r>
              <w:rPr>
                <w:sz w:val="18"/>
              </w:rPr>
              <w:t>июнь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8438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8538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8638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87380000">
            <w:pPr>
              <w:widowControl w:val="1"/>
              <w:ind/>
              <w:jc w:val="center"/>
              <w:rPr>
                <w:color w:val="000000"/>
                <w:sz w:val="18"/>
              </w:rPr>
            </w:pPr>
            <w:r>
              <w:rPr>
                <w:color w:val="000000"/>
                <w:sz w:val="18"/>
              </w:rPr>
              <w:t>10900,00</w:t>
            </w:r>
          </w:p>
        </w:tc>
        <w:tc>
          <w:tcPr>
            <w:tcW w:type="dxa" w:w="1185"/>
            <w:tcBorders>
              <w:top w:color="000000" w:sz="4" w:val="single"/>
              <w:left w:color="000000" w:sz="4" w:val="single"/>
              <w:bottom w:color="000000" w:sz="4" w:val="single"/>
              <w:right w:color="000000" w:sz="4" w:val="single"/>
            </w:tcBorders>
            <w:shd w:fill="FFFFFF" w:val="clear"/>
            <w:vAlign w:val="center"/>
          </w:tcPr>
          <w:p w14:paraId="88380000">
            <w:pPr>
              <w:widowControl w:val="1"/>
              <w:ind/>
              <w:jc w:val="center"/>
              <w:rPr>
                <w:color w:val="000000"/>
                <w:sz w:val="18"/>
              </w:rPr>
            </w:pPr>
            <w:r>
              <w:rPr>
                <w:color w:val="000000"/>
                <w:sz w:val="18"/>
              </w:rPr>
              <w:t>10900,00</w:t>
            </w:r>
          </w:p>
        </w:tc>
        <w:tc>
          <w:tcPr>
            <w:tcW w:type="dxa" w:w="1083"/>
            <w:tcBorders>
              <w:top w:color="000000" w:sz="4" w:val="single"/>
              <w:left w:color="000000" w:sz="4" w:val="single"/>
              <w:bottom w:color="000000" w:sz="4" w:val="single"/>
              <w:right w:color="000000" w:sz="4" w:val="single"/>
            </w:tcBorders>
            <w:shd w:fill="FFFFFF" w:val="clear"/>
            <w:vAlign w:val="center"/>
          </w:tcPr>
          <w:p w14:paraId="89380000">
            <w:pPr>
              <w:widowControl w:val="1"/>
              <w:ind/>
              <w:jc w:val="center"/>
              <w:rPr>
                <w:color w:val="000000"/>
                <w:sz w:val="18"/>
              </w:rPr>
            </w:pPr>
            <w:r>
              <w:rPr>
                <w:color w:val="000000"/>
                <w:sz w:val="18"/>
              </w:rPr>
              <w:t>10900,00</w:t>
            </w:r>
          </w:p>
        </w:tc>
        <w:tc>
          <w:tcPr>
            <w:tcW w:type="dxa" w:w="771"/>
            <w:tcBorders>
              <w:top w:color="000000" w:sz="4" w:val="single"/>
              <w:left w:color="000000" w:sz="4" w:val="single"/>
              <w:bottom w:color="000000" w:sz="4" w:val="single"/>
              <w:right w:color="000000" w:sz="4" w:val="single"/>
            </w:tcBorders>
            <w:shd w:fill="FFFFFF" w:val="clear"/>
            <w:vAlign w:val="center"/>
          </w:tcPr>
          <w:p w14:paraId="8A38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8B380000">
            <w:pPr>
              <w:widowControl w:val="1"/>
              <w:ind/>
              <w:jc w:val="center"/>
              <w:rPr>
                <w:sz w:val="18"/>
              </w:rPr>
            </w:pPr>
            <w:r>
              <w:rPr>
                <w:sz w:val="18"/>
              </w:rPr>
              <w:t>июнь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8C380000">
            <w:pPr>
              <w:widowControl w:val="1"/>
              <w:ind/>
              <w:jc w:val="center"/>
              <w:rPr>
                <w:sz w:val="18"/>
              </w:rPr>
            </w:pPr>
            <w:r>
              <w:rPr>
                <w:sz w:val="18"/>
              </w:rPr>
              <w:t>СЧЕТ № 49 от 18.06.2018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8D380000">
            <w:pPr>
              <w:widowControl w:val="1"/>
              <w:ind/>
              <w:jc w:val="center"/>
              <w:rPr>
                <w:color w:val="000000"/>
                <w:sz w:val="18"/>
              </w:rPr>
            </w:pPr>
            <w:r>
              <w:rPr>
                <w:color w:val="000000"/>
                <w:sz w:val="18"/>
              </w:rPr>
              <w:t>164</w:t>
            </w:r>
          </w:p>
        </w:tc>
        <w:tc>
          <w:tcPr>
            <w:tcW w:type="dxa" w:w="618"/>
            <w:tcBorders>
              <w:top w:color="000000" w:sz="4" w:val="single"/>
              <w:left w:color="000000" w:sz="4" w:val="single"/>
              <w:bottom w:color="000000" w:sz="4" w:val="single"/>
              <w:right w:color="000000" w:sz="4" w:val="single"/>
            </w:tcBorders>
            <w:shd w:fill="FFFFFF" w:val="clear"/>
            <w:vAlign w:val="center"/>
          </w:tcPr>
          <w:p w14:paraId="8E380000">
            <w:pPr>
              <w:widowControl w:val="1"/>
              <w:ind/>
              <w:jc w:val="center"/>
              <w:rPr>
                <w:sz w:val="18"/>
              </w:rPr>
            </w:pPr>
            <w:r>
              <w:rPr>
                <w:sz w:val="18"/>
              </w:rPr>
              <w:t>88/2</w:t>
            </w:r>
          </w:p>
        </w:tc>
        <w:tc>
          <w:tcPr>
            <w:tcW w:type="dxa" w:w="993"/>
            <w:tcBorders>
              <w:top w:color="000000" w:sz="4" w:val="single"/>
              <w:left w:color="000000" w:sz="4" w:val="single"/>
              <w:bottom w:color="000000" w:sz="4" w:val="single"/>
              <w:right w:color="000000" w:sz="4" w:val="single"/>
            </w:tcBorders>
            <w:shd w:fill="FFFFFF" w:val="clear"/>
            <w:vAlign w:val="center"/>
          </w:tcPr>
          <w:p w14:paraId="8F380000">
            <w:pPr>
              <w:widowControl w:val="1"/>
              <w:ind/>
              <w:jc w:val="center"/>
              <w:rPr>
                <w:sz w:val="18"/>
              </w:rPr>
            </w:pPr>
            <w:r>
              <w:rPr>
                <w:sz w:val="18"/>
              </w:rPr>
              <w:t>поставка чехлов для диванов</w:t>
            </w:r>
          </w:p>
        </w:tc>
        <w:tc>
          <w:tcPr>
            <w:tcW w:type="dxa" w:w="849"/>
            <w:tcBorders>
              <w:top w:color="000000" w:sz="4" w:val="single"/>
              <w:left w:color="000000" w:sz="4" w:val="single"/>
              <w:bottom w:color="000000" w:sz="4" w:val="single"/>
              <w:right w:color="000000" w:sz="4" w:val="single"/>
            </w:tcBorders>
            <w:shd w:fill="FFFFFF" w:val="clear"/>
            <w:vAlign w:val="center"/>
          </w:tcPr>
          <w:p w14:paraId="9038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91380000">
            <w:pPr>
              <w:widowControl w:val="1"/>
              <w:ind/>
              <w:jc w:val="center"/>
              <w:rPr>
                <w:color w:val="000000"/>
                <w:sz w:val="18"/>
              </w:rPr>
            </w:pPr>
            <w:r>
              <w:rPr>
                <w:color w:val="000000"/>
                <w:sz w:val="18"/>
              </w:rPr>
              <w:t>3</w:t>
            </w:r>
          </w:p>
        </w:tc>
        <w:tc>
          <w:tcPr>
            <w:tcW w:type="dxa" w:w="991"/>
            <w:tcBorders>
              <w:top w:color="000000" w:sz="4" w:val="single"/>
              <w:left w:color="000000" w:sz="4" w:val="single"/>
              <w:bottom w:color="000000" w:sz="4" w:val="single"/>
              <w:right w:color="000000" w:sz="4" w:val="single"/>
            </w:tcBorders>
            <w:shd w:fill="FFFFFF" w:val="clear"/>
            <w:vAlign w:val="center"/>
          </w:tcPr>
          <w:p w14:paraId="92380000">
            <w:pPr>
              <w:widowControl w:val="1"/>
              <w:ind/>
              <w:jc w:val="center"/>
              <w:rPr>
                <w:sz w:val="18"/>
              </w:rPr>
            </w:pPr>
            <w:r>
              <w:rPr>
                <w:sz w:val="18"/>
              </w:rPr>
              <w:t>9028,00</w:t>
            </w:r>
          </w:p>
        </w:tc>
        <w:tc>
          <w:tcPr>
            <w:tcW w:type="dxa" w:w="1134"/>
            <w:tcBorders>
              <w:top w:color="000000" w:sz="4" w:val="single"/>
              <w:left w:color="000000" w:sz="4" w:val="single"/>
              <w:bottom w:color="000000" w:sz="4" w:val="single"/>
              <w:right w:color="000000" w:sz="4" w:val="single"/>
            </w:tcBorders>
            <w:shd w:fill="FFFFFF" w:val="clear"/>
            <w:vAlign w:val="center"/>
          </w:tcPr>
          <w:p w14:paraId="93380000">
            <w:pPr>
              <w:widowControl w:val="1"/>
              <w:ind/>
              <w:jc w:val="center"/>
              <w:rPr>
                <w:sz w:val="18"/>
              </w:rPr>
            </w:pPr>
            <w:r>
              <w:rPr>
                <w:sz w:val="18"/>
              </w:rPr>
              <w:t>9028,00</w:t>
            </w:r>
          </w:p>
        </w:tc>
        <w:tc>
          <w:tcPr>
            <w:tcW w:type="dxa" w:w="993"/>
            <w:tcBorders>
              <w:top w:color="000000" w:sz="4" w:val="single"/>
              <w:left w:color="000000" w:sz="4" w:val="single"/>
              <w:bottom w:color="000000" w:sz="4" w:val="single"/>
              <w:right w:color="000000" w:sz="4" w:val="single"/>
            </w:tcBorders>
            <w:shd w:fill="FFFFFF" w:val="clear"/>
            <w:vAlign w:val="center"/>
          </w:tcPr>
          <w:p w14:paraId="9438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5380000">
            <w:pPr>
              <w:widowControl w:val="1"/>
              <w:ind/>
              <w:jc w:val="center"/>
              <w:rPr>
                <w:sz w:val="18"/>
              </w:rPr>
            </w:pPr>
            <w:r>
              <w:rPr>
                <w:sz w:val="18"/>
              </w:rPr>
              <w:t>июль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9638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9738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98380000">
            <w:pPr>
              <w:widowControl w:val="1"/>
              <w:ind/>
              <w:jc w:val="center"/>
              <w:rPr>
                <w:color w:val="000000"/>
                <w:sz w:val="18"/>
              </w:rPr>
            </w:pPr>
            <w:r>
              <w:rPr>
                <w:color w:val="000000"/>
                <w:sz w:val="18"/>
              </w:rPr>
              <w:t>3</w:t>
            </w:r>
          </w:p>
        </w:tc>
        <w:tc>
          <w:tcPr>
            <w:tcW w:type="dxa" w:w="1169"/>
            <w:tcBorders>
              <w:top w:color="000000" w:sz="4" w:val="single"/>
              <w:left w:color="000000" w:sz="4" w:val="single"/>
              <w:bottom w:color="000000" w:sz="4" w:val="single"/>
              <w:right w:color="000000" w:sz="4" w:val="single"/>
            </w:tcBorders>
            <w:shd w:fill="FFFFFF" w:val="clear"/>
            <w:vAlign w:val="center"/>
          </w:tcPr>
          <w:p w14:paraId="99380000">
            <w:pPr>
              <w:widowControl w:val="1"/>
              <w:ind/>
              <w:jc w:val="center"/>
              <w:rPr>
                <w:sz w:val="18"/>
              </w:rPr>
            </w:pPr>
            <w:r>
              <w:rPr>
                <w:sz w:val="18"/>
              </w:rPr>
              <w:t>9028,00</w:t>
            </w:r>
          </w:p>
        </w:tc>
        <w:tc>
          <w:tcPr>
            <w:tcW w:type="dxa" w:w="1185"/>
            <w:tcBorders>
              <w:top w:color="000000" w:sz="4" w:val="single"/>
              <w:left w:color="000000" w:sz="4" w:val="single"/>
              <w:bottom w:color="000000" w:sz="4" w:val="single"/>
              <w:right w:color="000000" w:sz="4" w:val="single"/>
            </w:tcBorders>
            <w:shd w:fill="FFFFFF" w:val="clear"/>
            <w:vAlign w:val="center"/>
          </w:tcPr>
          <w:p w14:paraId="9A380000">
            <w:pPr>
              <w:widowControl w:val="1"/>
              <w:ind/>
              <w:jc w:val="center"/>
              <w:rPr>
                <w:sz w:val="18"/>
              </w:rPr>
            </w:pPr>
            <w:r>
              <w:rPr>
                <w:sz w:val="18"/>
              </w:rPr>
              <w:t>9028,00</w:t>
            </w:r>
          </w:p>
        </w:tc>
        <w:tc>
          <w:tcPr>
            <w:tcW w:type="dxa" w:w="1083"/>
            <w:tcBorders>
              <w:top w:color="000000" w:sz="4" w:val="single"/>
              <w:left w:color="000000" w:sz="4" w:val="single"/>
              <w:bottom w:color="000000" w:sz="4" w:val="single"/>
              <w:right w:color="000000" w:sz="4" w:val="single"/>
            </w:tcBorders>
            <w:shd w:fill="FFFFFF" w:val="clear"/>
            <w:vAlign w:val="center"/>
          </w:tcPr>
          <w:p w14:paraId="9B380000">
            <w:pPr>
              <w:widowControl w:val="1"/>
              <w:ind/>
              <w:jc w:val="center"/>
              <w:rPr>
                <w:sz w:val="18"/>
              </w:rPr>
            </w:pPr>
            <w:r>
              <w:rPr>
                <w:sz w:val="18"/>
              </w:rPr>
              <w:t>9028,00</w:t>
            </w:r>
          </w:p>
        </w:tc>
        <w:tc>
          <w:tcPr>
            <w:tcW w:type="dxa" w:w="771"/>
            <w:tcBorders>
              <w:top w:color="000000" w:sz="4" w:val="single"/>
              <w:left w:color="000000" w:sz="4" w:val="single"/>
              <w:bottom w:color="000000" w:sz="4" w:val="single"/>
              <w:right w:color="000000" w:sz="4" w:val="single"/>
            </w:tcBorders>
            <w:shd w:fill="FFFFFF" w:val="clear"/>
            <w:vAlign w:val="center"/>
          </w:tcPr>
          <w:p w14:paraId="9C38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9D380000">
            <w:pPr>
              <w:widowControl w:val="1"/>
              <w:ind/>
              <w:jc w:val="center"/>
              <w:rPr>
                <w:sz w:val="18"/>
              </w:rPr>
            </w:pPr>
            <w:r>
              <w:rPr>
                <w:sz w:val="18"/>
              </w:rPr>
              <w:t>июль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9E380000">
            <w:pPr>
              <w:widowControl w:val="1"/>
              <w:ind/>
              <w:jc w:val="center"/>
              <w:rPr>
                <w:sz w:val="18"/>
              </w:rPr>
            </w:pPr>
            <w:r>
              <w:rPr>
                <w:sz w:val="18"/>
              </w:rPr>
              <w:t>счет № 1169 от 19.06.2018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9F380000">
            <w:pPr>
              <w:widowControl w:val="1"/>
              <w:ind/>
              <w:jc w:val="center"/>
              <w:rPr>
                <w:color w:val="000000"/>
                <w:sz w:val="18"/>
              </w:rPr>
            </w:pPr>
            <w:r>
              <w:rPr>
                <w:color w:val="000000"/>
                <w:sz w:val="18"/>
              </w:rPr>
              <w:t>165</w:t>
            </w:r>
          </w:p>
        </w:tc>
        <w:tc>
          <w:tcPr>
            <w:tcW w:type="dxa" w:w="618"/>
            <w:tcBorders>
              <w:top w:color="000000" w:sz="4" w:val="single"/>
              <w:left w:color="000000" w:sz="4" w:val="single"/>
              <w:bottom w:color="000000" w:sz="4" w:val="single"/>
              <w:right w:color="000000" w:sz="4" w:val="single"/>
            </w:tcBorders>
            <w:shd w:fill="FFFFFF" w:val="clear"/>
            <w:vAlign w:val="center"/>
          </w:tcPr>
          <w:p w14:paraId="A0380000">
            <w:pPr>
              <w:widowControl w:val="1"/>
              <w:ind/>
              <w:jc w:val="center"/>
              <w:rPr>
                <w:sz w:val="18"/>
              </w:rPr>
            </w:pPr>
            <w:r>
              <w:rPr>
                <w:sz w:val="18"/>
              </w:rPr>
              <w:t>89/2</w:t>
            </w:r>
          </w:p>
        </w:tc>
        <w:tc>
          <w:tcPr>
            <w:tcW w:type="dxa" w:w="993"/>
            <w:tcBorders>
              <w:top w:color="000000" w:sz="4" w:val="single"/>
              <w:left w:color="000000" w:sz="4" w:val="single"/>
              <w:bottom w:color="000000" w:sz="4" w:val="single"/>
              <w:right w:color="000000" w:sz="4" w:val="single"/>
            </w:tcBorders>
            <w:shd w:fill="FFFFFF" w:val="clear"/>
            <w:vAlign w:val="center"/>
          </w:tcPr>
          <w:p w14:paraId="A1380000">
            <w:pPr>
              <w:widowControl w:val="1"/>
              <w:ind/>
              <w:jc w:val="center"/>
              <w:rPr>
                <w:sz w:val="18"/>
              </w:rPr>
            </w:pPr>
            <w:r>
              <w:rPr>
                <w:sz w:val="18"/>
              </w:rPr>
              <w:t>поставка водонагревателя</w:t>
            </w:r>
          </w:p>
        </w:tc>
        <w:tc>
          <w:tcPr>
            <w:tcW w:type="dxa" w:w="849"/>
            <w:tcBorders>
              <w:top w:color="000000" w:sz="4" w:val="single"/>
              <w:left w:color="000000" w:sz="4" w:val="single"/>
              <w:bottom w:color="000000" w:sz="4" w:val="single"/>
              <w:right w:color="000000" w:sz="4" w:val="single"/>
            </w:tcBorders>
            <w:shd w:fill="FFFFFF" w:val="clear"/>
            <w:vAlign w:val="center"/>
          </w:tcPr>
          <w:p w14:paraId="A238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A338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A4380000">
            <w:pPr>
              <w:widowControl w:val="1"/>
              <w:ind/>
              <w:jc w:val="center"/>
              <w:rPr>
                <w:sz w:val="18"/>
              </w:rPr>
            </w:pPr>
            <w:r>
              <w:rPr>
                <w:sz w:val="18"/>
              </w:rPr>
              <w:t>10838,90</w:t>
            </w:r>
          </w:p>
        </w:tc>
        <w:tc>
          <w:tcPr>
            <w:tcW w:type="dxa" w:w="1134"/>
            <w:tcBorders>
              <w:top w:color="000000" w:sz="4" w:val="single"/>
              <w:left w:color="000000" w:sz="4" w:val="single"/>
              <w:bottom w:color="000000" w:sz="4" w:val="single"/>
              <w:right w:color="000000" w:sz="4" w:val="single"/>
            </w:tcBorders>
            <w:shd w:fill="FFFFFF" w:val="clear"/>
            <w:vAlign w:val="center"/>
          </w:tcPr>
          <w:p w14:paraId="A5380000">
            <w:pPr>
              <w:widowControl w:val="1"/>
              <w:ind/>
              <w:jc w:val="center"/>
              <w:rPr>
                <w:sz w:val="18"/>
              </w:rPr>
            </w:pPr>
            <w:r>
              <w:rPr>
                <w:sz w:val="18"/>
              </w:rPr>
              <w:t>12790,00</w:t>
            </w:r>
          </w:p>
        </w:tc>
        <w:tc>
          <w:tcPr>
            <w:tcW w:type="dxa" w:w="993"/>
            <w:tcBorders>
              <w:top w:color="000000" w:sz="4" w:val="single"/>
              <w:left w:color="000000" w:sz="4" w:val="single"/>
              <w:bottom w:color="000000" w:sz="4" w:val="single"/>
              <w:right w:color="000000" w:sz="4" w:val="single"/>
            </w:tcBorders>
            <w:shd w:fill="FFFFFF" w:val="clear"/>
            <w:vAlign w:val="center"/>
          </w:tcPr>
          <w:p w14:paraId="A638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A7380000">
            <w:pPr>
              <w:widowControl w:val="1"/>
              <w:ind/>
              <w:jc w:val="center"/>
              <w:rPr>
                <w:sz w:val="18"/>
              </w:rPr>
            </w:pPr>
            <w:r>
              <w:rPr>
                <w:sz w:val="18"/>
              </w:rPr>
              <w:t>июнь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A838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A938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AA38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AB380000">
            <w:pPr>
              <w:widowControl w:val="1"/>
              <w:ind/>
              <w:jc w:val="center"/>
              <w:rPr>
                <w:sz w:val="18"/>
              </w:rPr>
            </w:pPr>
            <w:r>
              <w:rPr>
                <w:sz w:val="18"/>
              </w:rPr>
              <w:t>10838,90</w:t>
            </w:r>
          </w:p>
        </w:tc>
        <w:tc>
          <w:tcPr>
            <w:tcW w:type="dxa" w:w="1185"/>
            <w:tcBorders>
              <w:top w:color="000000" w:sz="4" w:val="single"/>
              <w:left w:color="000000" w:sz="4" w:val="single"/>
              <w:bottom w:color="000000" w:sz="4" w:val="single"/>
              <w:right w:color="000000" w:sz="4" w:val="single"/>
            </w:tcBorders>
            <w:shd w:fill="FFFFFF" w:val="clear"/>
            <w:vAlign w:val="center"/>
          </w:tcPr>
          <w:p w14:paraId="AC380000">
            <w:pPr>
              <w:widowControl w:val="1"/>
              <w:ind/>
              <w:jc w:val="center"/>
              <w:rPr>
                <w:sz w:val="18"/>
              </w:rPr>
            </w:pPr>
            <w:r>
              <w:rPr>
                <w:sz w:val="18"/>
              </w:rPr>
              <w:t>12790,00</w:t>
            </w:r>
          </w:p>
        </w:tc>
        <w:tc>
          <w:tcPr>
            <w:tcW w:type="dxa" w:w="1083"/>
            <w:tcBorders>
              <w:top w:color="000000" w:sz="4" w:val="single"/>
              <w:left w:color="000000" w:sz="4" w:val="single"/>
              <w:bottom w:color="000000" w:sz="4" w:val="single"/>
              <w:right w:color="000000" w:sz="4" w:val="single"/>
            </w:tcBorders>
            <w:shd w:fill="FFFFFF" w:val="clear"/>
            <w:vAlign w:val="center"/>
          </w:tcPr>
          <w:p w14:paraId="AD380000">
            <w:pPr>
              <w:widowControl w:val="1"/>
              <w:ind/>
              <w:jc w:val="center"/>
              <w:rPr>
                <w:sz w:val="18"/>
              </w:rPr>
            </w:pPr>
            <w:r>
              <w:rPr>
                <w:sz w:val="18"/>
              </w:rPr>
              <w:t>12790,00</w:t>
            </w:r>
          </w:p>
        </w:tc>
        <w:tc>
          <w:tcPr>
            <w:tcW w:type="dxa" w:w="771"/>
            <w:tcBorders>
              <w:top w:color="000000" w:sz="4" w:val="single"/>
              <w:left w:color="000000" w:sz="4" w:val="single"/>
              <w:bottom w:color="000000" w:sz="4" w:val="single"/>
              <w:right w:color="000000" w:sz="4" w:val="single"/>
            </w:tcBorders>
            <w:shd w:fill="FFFFFF" w:val="clear"/>
            <w:vAlign w:val="center"/>
          </w:tcPr>
          <w:p w14:paraId="AE38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AF380000">
            <w:pPr>
              <w:widowControl w:val="1"/>
              <w:ind/>
              <w:jc w:val="center"/>
              <w:rPr>
                <w:sz w:val="18"/>
              </w:rPr>
            </w:pPr>
            <w:r>
              <w:rPr>
                <w:sz w:val="18"/>
              </w:rPr>
              <w:t>июнь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B0380000">
            <w:pPr>
              <w:widowControl w:val="1"/>
              <w:ind/>
              <w:jc w:val="center"/>
              <w:rPr>
                <w:sz w:val="18"/>
              </w:rPr>
            </w:pPr>
            <w:r>
              <w:rPr>
                <w:sz w:val="18"/>
              </w:rPr>
              <w:t>счет ВВС00020635 ОТ 21.06.2018</w:t>
            </w:r>
          </w:p>
        </w:tc>
      </w:tr>
      <w:tr>
        <w:trPr>
          <w:trHeight w:hRule="atLeast" w:val="1785"/>
        </w:trPr>
        <w:tc>
          <w:tcPr>
            <w:tcW w:type="dxa" w:w="708"/>
            <w:tcBorders>
              <w:top w:color="000000" w:sz="4" w:val="single"/>
              <w:left w:color="000000" w:sz="4" w:val="single"/>
              <w:bottom w:color="000000" w:sz="4" w:val="single"/>
              <w:right w:color="000000" w:sz="4" w:val="single"/>
            </w:tcBorders>
            <w:shd w:fill="auto" w:val="clear"/>
            <w:vAlign w:val="center"/>
          </w:tcPr>
          <w:p w14:paraId="B1380000">
            <w:pPr>
              <w:widowControl w:val="1"/>
              <w:ind/>
              <w:jc w:val="center"/>
              <w:rPr>
                <w:color w:val="000000"/>
                <w:sz w:val="18"/>
              </w:rPr>
            </w:pPr>
            <w:r>
              <w:rPr>
                <w:color w:val="000000"/>
                <w:sz w:val="18"/>
              </w:rPr>
              <w:t>166</w:t>
            </w:r>
          </w:p>
        </w:tc>
        <w:tc>
          <w:tcPr>
            <w:tcW w:type="dxa" w:w="618"/>
            <w:tcBorders>
              <w:top w:color="000000" w:sz="4" w:val="single"/>
              <w:left w:color="000000" w:sz="4" w:val="single"/>
              <w:bottom w:color="000000" w:sz="4" w:val="single"/>
              <w:right w:color="000000" w:sz="4" w:val="single"/>
            </w:tcBorders>
            <w:shd w:fill="FFFFFF" w:val="clear"/>
            <w:vAlign w:val="center"/>
          </w:tcPr>
          <w:p w14:paraId="B2380000">
            <w:pPr>
              <w:widowControl w:val="1"/>
              <w:ind/>
              <w:jc w:val="center"/>
              <w:rPr>
                <w:sz w:val="18"/>
              </w:rPr>
            </w:pPr>
            <w:r>
              <w:rPr>
                <w:sz w:val="18"/>
              </w:rPr>
              <w:t>90/2</w:t>
            </w:r>
          </w:p>
        </w:tc>
        <w:tc>
          <w:tcPr>
            <w:tcW w:type="dxa" w:w="993"/>
            <w:tcBorders>
              <w:top w:color="000000" w:sz="4" w:val="single"/>
              <w:left w:color="000000" w:sz="4" w:val="single"/>
              <w:bottom w:color="000000" w:sz="4" w:val="single"/>
              <w:right w:color="000000" w:sz="4" w:val="single"/>
            </w:tcBorders>
            <w:shd w:fill="FFFFFF" w:val="clear"/>
            <w:vAlign w:val="center"/>
          </w:tcPr>
          <w:p w14:paraId="B3380000">
            <w:pPr>
              <w:widowControl w:val="1"/>
              <w:ind/>
              <w:jc w:val="center"/>
              <w:rPr>
                <w:sz w:val="18"/>
              </w:rPr>
            </w:pPr>
            <w:r>
              <w:rPr>
                <w:sz w:val="18"/>
              </w:rPr>
              <w:t>оказание услуг по производству и размещению видеосюжета на телеканале "Енисей"</w:t>
            </w:r>
          </w:p>
        </w:tc>
        <w:tc>
          <w:tcPr>
            <w:tcW w:type="dxa" w:w="849"/>
            <w:tcBorders>
              <w:top w:color="000000" w:sz="4" w:val="single"/>
              <w:left w:color="000000" w:sz="4" w:val="single"/>
              <w:bottom w:color="000000" w:sz="4" w:val="single"/>
              <w:right w:color="000000" w:sz="4" w:val="single"/>
            </w:tcBorders>
            <w:shd w:fill="FFFFFF" w:val="clear"/>
            <w:vAlign w:val="center"/>
          </w:tcPr>
          <w:p w14:paraId="B438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538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B6380000">
            <w:pPr>
              <w:widowControl w:val="1"/>
              <w:ind/>
              <w:jc w:val="center"/>
              <w:rPr>
                <w:sz w:val="18"/>
              </w:rPr>
            </w:pPr>
            <w:r>
              <w:rPr>
                <w:sz w:val="18"/>
              </w:rPr>
              <w:t>58932,00</w:t>
            </w:r>
          </w:p>
        </w:tc>
        <w:tc>
          <w:tcPr>
            <w:tcW w:type="dxa" w:w="1134"/>
            <w:tcBorders>
              <w:top w:color="000000" w:sz="4" w:val="single"/>
              <w:left w:color="000000" w:sz="4" w:val="single"/>
              <w:bottom w:color="000000" w:sz="4" w:val="single"/>
              <w:right w:color="000000" w:sz="4" w:val="single"/>
            </w:tcBorders>
            <w:shd w:fill="FFFFFF" w:val="clear"/>
            <w:vAlign w:val="center"/>
          </w:tcPr>
          <w:p w14:paraId="B7380000">
            <w:pPr>
              <w:widowControl w:val="1"/>
              <w:ind/>
              <w:jc w:val="center"/>
              <w:rPr>
                <w:sz w:val="18"/>
              </w:rPr>
            </w:pPr>
            <w:r>
              <w:rPr>
                <w:sz w:val="18"/>
              </w:rPr>
              <w:t>69540,00</w:t>
            </w:r>
          </w:p>
        </w:tc>
        <w:tc>
          <w:tcPr>
            <w:tcW w:type="dxa" w:w="993"/>
            <w:tcBorders>
              <w:top w:color="000000" w:sz="4" w:val="single"/>
              <w:left w:color="000000" w:sz="4" w:val="single"/>
              <w:bottom w:color="000000" w:sz="4" w:val="single"/>
              <w:right w:color="000000" w:sz="4" w:val="single"/>
            </w:tcBorders>
            <w:shd w:fill="FFFFFF" w:val="clear"/>
            <w:vAlign w:val="center"/>
          </w:tcPr>
          <w:p w14:paraId="B838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B9380000">
            <w:pPr>
              <w:widowControl w:val="1"/>
              <w:ind/>
              <w:jc w:val="center"/>
              <w:rPr>
                <w:sz w:val="18"/>
              </w:rPr>
            </w:pPr>
            <w:r>
              <w:rPr>
                <w:sz w:val="18"/>
              </w:rPr>
              <w:t>июнь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BA38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BB38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BC38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BD380000">
            <w:pPr>
              <w:widowControl w:val="1"/>
              <w:ind/>
              <w:jc w:val="center"/>
              <w:rPr>
                <w:sz w:val="18"/>
              </w:rPr>
            </w:pPr>
            <w:r>
              <w:rPr>
                <w:sz w:val="18"/>
              </w:rPr>
              <w:t>58932,00</w:t>
            </w:r>
          </w:p>
        </w:tc>
        <w:tc>
          <w:tcPr>
            <w:tcW w:type="dxa" w:w="1185"/>
            <w:tcBorders>
              <w:top w:color="000000" w:sz="4" w:val="single"/>
              <w:left w:color="000000" w:sz="4" w:val="single"/>
              <w:bottom w:color="000000" w:sz="4" w:val="single"/>
              <w:right w:color="000000" w:sz="4" w:val="single"/>
            </w:tcBorders>
            <w:shd w:fill="FFFFFF" w:val="clear"/>
            <w:vAlign w:val="center"/>
          </w:tcPr>
          <w:p w14:paraId="BE380000">
            <w:pPr>
              <w:widowControl w:val="1"/>
              <w:ind/>
              <w:jc w:val="center"/>
              <w:rPr>
                <w:sz w:val="18"/>
              </w:rPr>
            </w:pPr>
            <w:r>
              <w:rPr>
                <w:sz w:val="18"/>
              </w:rPr>
              <w:t>69540,00</w:t>
            </w:r>
          </w:p>
        </w:tc>
        <w:tc>
          <w:tcPr>
            <w:tcW w:type="dxa" w:w="1083"/>
            <w:tcBorders>
              <w:top w:color="000000" w:sz="4" w:val="single"/>
              <w:left w:color="000000" w:sz="4" w:val="single"/>
              <w:bottom w:color="000000" w:sz="4" w:val="single"/>
              <w:right w:color="000000" w:sz="4" w:val="single"/>
            </w:tcBorders>
            <w:shd w:fill="FFFFFF" w:val="clear"/>
            <w:vAlign w:val="center"/>
          </w:tcPr>
          <w:p w14:paraId="BF380000">
            <w:pPr>
              <w:widowControl w:val="1"/>
              <w:ind/>
              <w:jc w:val="center"/>
              <w:rPr>
                <w:sz w:val="18"/>
              </w:rPr>
            </w:pPr>
            <w:r>
              <w:rPr>
                <w:sz w:val="18"/>
              </w:rPr>
              <w:t>69540,00</w:t>
            </w:r>
          </w:p>
        </w:tc>
        <w:tc>
          <w:tcPr>
            <w:tcW w:type="dxa" w:w="771"/>
            <w:tcBorders>
              <w:top w:color="000000" w:sz="4" w:val="single"/>
              <w:left w:color="000000" w:sz="4" w:val="single"/>
              <w:bottom w:color="000000" w:sz="4" w:val="single"/>
              <w:right w:color="000000" w:sz="4" w:val="single"/>
            </w:tcBorders>
            <w:shd w:fill="FFFFFF" w:val="clear"/>
            <w:vAlign w:val="center"/>
          </w:tcPr>
          <w:p w14:paraId="C038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C1380000">
            <w:pPr>
              <w:widowControl w:val="1"/>
              <w:ind/>
              <w:jc w:val="center"/>
              <w:rPr>
                <w:sz w:val="18"/>
              </w:rPr>
            </w:pPr>
            <w:r>
              <w:rPr>
                <w:sz w:val="18"/>
              </w:rPr>
              <w:t>июнь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C2380000">
            <w:pPr>
              <w:widowControl w:val="1"/>
              <w:ind/>
              <w:jc w:val="center"/>
              <w:rPr>
                <w:sz w:val="18"/>
              </w:rPr>
            </w:pPr>
            <w:r>
              <w:rPr>
                <w:sz w:val="18"/>
              </w:rPr>
              <w:t>счет № 225 от 22.06.2018</w:t>
            </w:r>
          </w:p>
        </w:tc>
      </w:tr>
      <w:tr>
        <w:trPr>
          <w:trHeight w:hRule="atLeast" w:val="2295"/>
        </w:trPr>
        <w:tc>
          <w:tcPr>
            <w:tcW w:type="dxa" w:w="708"/>
            <w:tcBorders>
              <w:top w:color="000000" w:sz="4" w:val="single"/>
              <w:left w:color="000000" w:sz="4" w:val="single"/>
              <w:bottom w:color="000000" w:sz="4" w:val="single"/>
              <w:right w:color="000000" w:sz="4" w:val="single"/>
            </w:tcBorders>
            <w:shd w:fill="auto" w:val="clear"/>
            <w:vAlign w:val="center"/>
          </w:tcPr>
          <w:p w14:paraId="C3380000">
            <w:pPr>
              <w:widowControl w:val="1"/>
              <w:ind/>
              <w:jc w:val="center"/>
              <w:rPr>
                <w:color w:val="000000"/>
                <w:sz w:val="18"/>
              </w:rPr>
            </w:pPr>
            <w:r>
              <w:rPr>
                <w:color w:val="000000"/>
                <w:sz w:val="18"/>
              </w:rPr>
              <w:t>167</w:t>
            </w:r>
          </w:p>
        </w:tc>
        <w:tc>
          <w:tcPr>
            <w:tcW w:type="dxa" w:w="618"/>
            <w:tcBorders>
              <w:top w:color="000000" w:sz="4" w:val="single"/>
              <w:left w:color="000000" w:sz="4" w:val="single"/>
              <w:bottom w:color="000000" w:sz="4" w:val="single"/>
              <w:right w:color="000000" w:sz="4" w:val="single"/>
            </w:tcBorders>
            <w:shd w:fill="FFFFFF" w:val="clear"/>
            <w:vAlign w:val="center"/>
          </w:tcPr>
          <w:p w14:paraId="C4380000">
            <w:pPr>
              <w:widowControl w:val="1"/>
              <w:ind/>
              <w:jc w:val="center"/>
              <w:rPr>
                <w:sz w:val="18"/>
              </w:rPr>
            </w:pPr>
            <w:r>
              <w:rPr>
                <w:sz w:val="18"/>
              </w:rPr>
              <w:t>91/2</w:t>
            </w:r>
          </w:p>
        </w:tc>
        <w:tc>
          <w:tcPr>
            <w:tcW w:type="dxa" w:w="993"/>
            <w:tcBorders>
              <w:top w:color="000000" w:sz="4" w:val="single"/>
              <w:left w:color="000000" w:sz="4" w:val="single"/>
              <w:bottom w:color="000000" w:sz="4" w:val="single"/>
              <w:right w:color="000000" w:sz="4" w:val="single"/>
            </w:tcBorders>
            <w:shd w:fill="FFFFFF" w:val="clear"/>
            <w:vAlign w:val="center"/>
          </w:tcPr>
          <w:p w14:paraId="C5380000">
            <w:pPr>
              <w:widowControl w:val="1"/>
              <w:ind/>
              <w:jc w:val="center"/>
              <w:rPr>
                <w:sz w:val="18"/>
              </w:rPr>
            </w:pPr>
            <w:r>
              <w:rPr>
                <w:sz w:val="18"/>
              </w:rPr>
              <w:t>азание услуг генерации квалифицированного сертификата ключа проверки электронной подписи</w:t>
            </w:r>
          </w:p>
        </w:tc>
        <w:tc>
          <w:tcPr>
            <w:tcW w:type="dxa" w:w="849"/>
            <w:tcBorders>
              <w:top w:color="000000" w:sz="4" w:val="single"/>
              <w:left w:color="000000" w:sz="4" w:val="single"/>
              <w:bottom w:color="000000" w:sz="4" w:val="single"/>
              <w:right w:color="000000" w:sz="4" w:val="single"/>
            </w:tcBorders>
            <w:shd w:fill="FFFFFF" w:val="clear"/>
            <w:vAlign w:val="center"/>
          </w:tcPr>
          <w:p w14:paraId="C638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C738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C8380000">
            <w:pPr>
              <w:widowControl w:val="1"/>
              <w:ind/>
              <w:jc w:val="center"/>
              <w:rPr>
                <w:sz w:val="18"/>
              </w:rPr>
            </w:pPr>
            <w:r>
              <w:rPr>
                <w:sz w:val="18"/>
              </w:rPr>
              <w:t>2000,00</w:t>
            </w:r>
          </w:p>
        </w:tc>
        <w:tc>
          <w:tcPr>
            <w:tcW w:type="dxa" w:w="1134"/>
            <w:tcBorders>
              <w:top w:color="000000" w:sz="4" w:val="single"/>
              <w:left w:color="000000" w:sz="4" w:val="single"/>
              <w:bottom w:color="000000" w:sz="4" w:val="single"/>
              <w:right w:color="000000" w:sz="4" w:val="single"/>
            </w:tcBorders>
            <w:shd w:fill="FFFFFF" w:val="clear"/>
            <w:vAlign w:val="center"/>
          </w:tcPr>
          <w:p w14:paraId="C9380000">
            <w:pPr>
              <w:widowControl w:val="1"/>
              <w:ind/>
              <w:jc w:val="center"/>
              <w:rPr>
                <w:sz w:val="18"/>
              </w:rPr>
            </w:pPr>
            <w:r>
              <w:rPr>
                <w:sz w:val="18"/>
              </w:rPr>
              <w:t>2000,00</w:t>
            </w:r>
          </w:p>
        </w:tc>
        <w:tc>
          <w:tcPr>
            <w:tcW w:type="dxa" w:w="993"/>
            <w:tcBorders>
              <w:top w:color="000000" w:sz="4" w:val="single"/>
              <w:left w:color="000000" w:sz="4" w:val="single"/>
              <w:bottom w:color="000000" w:sz="4" w:val="single"/>
              <w:right w:color="000000" w:sz="4" w:val="single"/>
            </w:tcBorders>
            <w:shd w:fill="FFFFFF" w:val="clear"/>
            <w:vAlign w:val="center"/>
          </w:tcPr>
          <w:p w14:paraId="CA38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CB380000">
            <w:pPr>
              <w:widowControl w:val="1"/>
              <w:ind/>
              <w:jc w:val="center"/>
              <w:rPr>
                <w:sz w:val="18"/>
              </w:rPr>
            </w:pPr>
            <w:r>
              <w:rPr>
                <w:sz w:val="18"/>
              </w:rPr>
              <w:t>июнь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CC38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CD38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CE38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CF380000">
            <w:pPr>
              <w:widowControl w:val="1"/>
              <w:ind/>
              <w:jc w:val="center"/>
              <w:rPr>
                <w:sz w:val="18"/>
              </w:rPr>
            </w:pPr>
            <w:r>
              <w:rPr>
                <w:sz w:val="18"/>
              </w:rPr>
              <w:t>2000,00</w:t>
            </w:r>
          </w:p>
        </w:tc>
        <w:tc>
          <w:tcPr>
            <w:tcW w:type="dxa" w:w="1185"/>
            <w:tcBorders>
              <w:top w:color="000000" w:sz="4" w:val="single"/>
              <w:left w:color="000000" w:sz="4" w:val="single"/>
              <w:bottom w:color="000000" w:sz="4" w:val="single"/>
              <w:right w:color="000000" w:sz="4" w:val="single"/>
            </w:tcBorders>
            <w:shd w:fill="FFFFFF" w:val="clear"/>
            <w:vAlign w:val="center"/>
          </w:tcPr>
          <w:p w14:paraId="D0380000">
            <w:pPr>
              <w:widowControl w:val="1"/>
              <w:ind/>
              <w:jc w:val="center"/>
              <w:rPr>
                <w:sz w:val="18"/>
              </w:rPr>
            </w:pPr>
            <w:r>
              <w:rPr>
                <w:sz w:val="18"/>
              </w:rPr>
              <w:t>2000,00</w:t>
            </w:r>
          </w:p>
        </w:tc>
        <w:tc>
          <w:tcPr>
            <w:tcW w:type="dxa" w:w="1083"/>
            <w:tcBorders>
              <w:top w:color="000000" w:sz="4" w:val="single"/>
              <w:left w:color="000000" w:sz="4" w:val="single"/>
              <w:bottom w:color="000000" w:sz="4" w:val="single"/>
              <w:right w:color="000000" w:sz="4" w:val="single"/>
            </w:tcBorders>
            <w:shd w:fill="FFFFFF" w:val="clear"/>
            <w:vAlign w:val="center"/>
          </w:tcPr>
          <w:p w14:paraId="D1380000">
            <w:pPr>
              <w:widowControl w:val="1"/>
              <w:ind/>
              <w:jc w:val="center"/>
              <w:rPr>
                <w:sz w:val="18"/>
              </w:rPr>
            </w:pPr>
            <w:r>
              <w:rPr>
                <w:sz w:val="18"/>
              </w:rPr>
              <w:t>2000,00</w:t>
            </w:r>
          </w:p>
        </w:tc>
        <w:tc>
          <w:tcPr>
            <w:tcW w:type="dxa" w:w="771"/>
            <w:tcBorders>
              <w:top w:color="000000" w:sz="4" w:val="single"/>
              <w:left w:color="000000" w:sz="4" w:val="single"/>
              <w:bottom w:color="000000" w:sz="4" w:val="single"/>
              <w:right w:color="000000" w:sz="4" w:val="single"/>
            </w:tcBorders>
            <w:shd w:fill="FFFFFF" w:val="clear"/>
            <w:vAlign w:val="center"/>
          </w:tcPr>
          <w:p w14:paraId="D238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D3380000">
            <w:pPr>
              <w:widowControl w:val="1"/>
              <w:ind/>
              <w:jc w:val="center"/>
              <w:rPr>
                <w:sz w:val="18"/>
              </w:rPr>
            </w:pPr>
            <w:r>
              <w:rPr>
                <w:sz w:val="18"/>
              </w:rPr>
              <w:t>июнь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D4380000">
            <w:pPr>
              <w:widowControl w:val="1"/>
              <w:ind/>
              <w:jc w:val="center"/>
              <w:rPr>
                <w:sz w:val="18"/>
              </w:rPr>
            </w:pPr>
            <w:r>
              <w:rPr>
                <w:sz w:val="18"/>
              </w:rPr>
              <w:t>счет № 24180621924 от 21.06.2018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D5380000">
            <w:pPr>
              <w:widowControl w:val="1"/>
              <w:ind/>
              <w:jc w:val="center"/>
              <w:rPr>
                <w:color w:val="000000"/>
                <w:sz w:val="18"/>
              </w:rPr>
            </w:pPr>
            <w:r>
              <w:rPr>
                <w:color w:val="000000"/>
                <w:sz w:val="18"/>
              </w:rPr>
              <w:t>168</w:t>
            </w:r>
          </w:p>
        </w:tc>
        <w:tc>
          <w:tcPr>
            <w:tcW w:type="dxa" w:w="618"/>
            <w:tcBorders>
              <w:top w:color="000000" w:sz="4" w:val="single"/>
              <w:left w:color="000000" w:sz="4" w:val="single"/>
              <w:bottom w:color="000000" w:sz="4" w:val="single"/>
              <w:right w:color="000000" w:sz="4" w:val="single"/>
            </w:tcBorders>
            <w:shd w:fill="FFFFFF" w:val="clear"/>
            <w:vAlign w:val="center"/>
          </w:tcPr>
          <w:p w14:paraId="D6380000">
            <w:pPr>
              <w:widowControl w:val="1"/>
              <w:ind/>
              <w:jc w:val="center"/>
              <w:rPr>
                <w:sz w:val="18"/>
              </w:rPr>
            </w:pPr>
            <w:r>
              <w:rPr>
                <w:sz w:val="18"/>
              </w:rPr>
              <w:t>92/2</w:t>
            </w:r>
          </w:p>
        </w:tc>
        <w:tc>
          <w:tcPr>
            <w:tcW w:type="dxa" w:w="993"/>
            <w:tcBorders>
              <w:top w:color="000000" w:sz="4" w:val="single"/>
              <w:left w:color="000000" w:sz="4" w:val="single"/>
              <w:bottom w:color="000000" w:sz="4" w:val="single"/>
              <w:right w:color="000000" w:sz="4" w:val="single"/>
            </w:tcBorders>
            <w:shd w:fill="FFFFFF" w:val="clear"/>
            <w:vAlign w:val="center"/>
          </w:tcPr>
          <w:p w14:paraId="D7380000">
            <w:pPr>
              <w:widowControl w:val="1"/>
              <w:ind/>
              <w:jc w:val="center"/>
              <w:rPr>
                <w:sz w:val="18"/>
              </w:rPr>
            </w:pPr>
            <w:r>
              <w:rPr>
                <w:sz w:val="18"/>
              </w:rPr>
              <w:t>оказание услуг оператора ЭДО, типовой модуль "Интеграция"</w:t>
            </w:r>
          </w:p>
        </w:tc>
        <w:tc>
          <w:tcPr>
            <w:tcW w:type="dxa" w:w="849"/>
            <w:tcBorders>
              <w:top w:color="000000" w:sz="4" w:val="single"/>
              <w:left w:color="000000" w:sz="4" w:val="single"/>
              <w:bottom w:color="000000" w:sz="4" w:val="single"/>
              <w:right w:color="000000" w:sz="4" w:val="single"/>
            </w:tcBorders>
            <w:shd w:fill="FFFFFF" w:val="clear"/>
            <w:vAlign w:val="center"/>
          </w:tcPr>
          <w:p w14:paraId="D838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D938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DA380000">
            <w:pPr>
              <w:widowControl w:val="1"/>
              <w:ind/>
              <w:jc w:val="center"/>
              <w:rPr>
                <w:sz w:val="18"/>
              </w:rPr>
            </w:pPr>
            <w:r>
              <w:rPr>
                <w:sz w:val="18"/>
              </w:rPr>
              <w:t>11800,00</w:t>
            </w:r>
          </w:p>
        </w:tc>
        <w:tc>
          <w:tcPr>
            <w:tcW w:type="dxa" w:w="1134"/>
            <w:tcBorders>
              <w:top w:color="000000" w:sz="4" w:val="single"/>
              <w:left w:color="000000" w:sz="4" w:val="single"/>
              <w:bottom w:color="000000" w:sz="4" w:val="single"/>
              <w:right w:color="000000" w:sz="4" w:val="single"/>
            </w:tcBorders>
            <w:shd w:fill="FFFFFF" w:val="clear"/>
            <w:vAlign w:val="center"/>
          </w:tcPr>
          <w:p w14:paraId="DB380000">
            <w:pPr>
              <w:widowControl w:val="1"/>
              <w:ind/>
              <w:jc w:val="center"/>
              <w:rPr>
                <w:sz w:val="18"/>
              </w:rPr>
            </w:pPr>
            <w:r>
              <w:rPr>
                <w:sz w:val="18"/>
              </w:rPr>
              <w:t>11800,00</w:t>
            </w:r>
          </w:p>
        </w:tc>
        <w:tc>
          <w:tcPr>
            <w:tcW w:type="dxa" w:w="993"/>
            <w:tcBorders>
              <w:top w:color="000000" w:sz="4" w:val="single"/>
              <w:left w:color="000000" w:sz="4" w:val="single"/>
              <w:bottom w:color="000000" w:sz="4" w:val="single"/>
              <w:right w:color="000000" w:sz="4" w:val="single"/>
            </w:tcBorders>
            <w:shd w:fill="FFFFFF" w:val="clear"/>
            <w:vAlign w:val="center"/>
          </w:tcPr>
          <w:p w14:paraId="DC38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DD380000">
            <w:pPr>
              <w:widowControl w:val="1"/>
              <w:ind/>
              <w:jc w:val="center"/>
              <w:rPr>
                <w:sz w:val="18"/>
              </w:rPr>
            </w:pPr>
            <w:r>
              <w:rPr>
                <w:sz w:val="18"/>
              </w:rPr>
              <w:t>июнь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DE38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DF38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E038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E1380000">
            <w:pPr>
              <w:widowControl w:val="1"/>
              <w:ind/>
              <w:jc w:val="center"/>
              <w:rPr>
                <w:sz w:val="18"/>
              </w:rPr>
            </w:pPr>
            <w:r>
              <w:rPr>
                <w:sz w:val="18"/>
              </w:rPr>
              <w:t>11800,00</w:t>
            </w:r>
          </w:p>
        </w:tc>
        <w:tc>
          <w:tcPr>
            <w:tcW w:type="dxa" w:w="1185"/>
            <w:tcBorders>
              <w:top w:color="000000" w:sz="4" w:val="single"/>
              <w:left w:color="000000" w:sz="4" w:val="single"/>
              <w:bottom w:color="000000" w:sz="4" w:val="single"/>
              <w:right w:color="000000" w:sz="4" w:val="single"/>
            </w:tcBorders>
            <w:shd w:fill="FFFFFF" w:val="clear"/>
            <w:vAlign w:val="center"/>
          </w:tcPr>
          <w:p w14:paraId="E2380000">
            <w:pPr>
              <w:widowControl w:val="1"/>
              <w:ind/>
              <w:jc w:val="center"/>
              <w:rPr>
                <w:sz w:val="18"/>
              </w:rPr>
            </w:pPr>
            <w:r>
              <w:rPr>
                <w:sz w:val="18"/>
              </w:rPr>
              <w:t>11800,00</w:t>
            </w:r>
          </w:p>
        </w:tc>
        <w:tc>
          <w:tcPr>
            <w:tcW w:type="dxa" w:w="1083"/>
            <w:tcBorders>
              <w:top w:color="000000" w:sz="4" w:val="single"/>
              <w:left w:color="000000" w:sz="4" w:val="single"/>
              <w:bottom w:color="000000" w:sz="4" w:val="single"/>
              <w:right w:color="000000" w:sz="4" w:val="single"/>
            </w:tcBorders>
            <w:shd w:fill="FFFFFF" w:val="clear"/>
            <w:vAlign w:val="center"/>
          </w:tcPr>
          <w:p w14:paraId="E3380000">
            <w:pPr>
              <w:widowControl w:val="1"/>
              <w:ind/>
              <w:jc w:val="center"/>
              <w:rPr>
                <w:sz w:val="18"/>
              </w:rPr>
            </w:pPr>
            <w:r>
              <w:rPr>
                <w:sz w:val="18"/>
              </w:rPr>
              <w:t>11800,00</w:t>
            </w:r>
          </w:p>
        </w:tc>
        <w:tc>
          <w:tcPr>
            <w:tcW w:type="dxa" w:w="771"/>
            <w:tcBorders>
              <w:top w:color="000000" w:sz="4" w:val="single"/>
              <w:left w:color="000000" w:sz="4" w:val="single"/>
              <w:bottom w:color="000000" w:sz="4" w:val="single"/>
              <w:right w:color="000000" w:sz="4" w:val="single"/>
            </w:tcBorders>
            <w:shd w:fill="FFFFFF" w:val="clear"/>
            <w:vAlign w:val="center"/>
          </w:tcPr>
          <w:p w14:paraId="E438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5380000">
            <w:pPr>
              <w:widowControl w:val="1"/>
              <w:ind/>
              <w:jc w:val="center"/>
              <w:rPr>
                <w:sz w:val="18"/>
              </w:rPr>
            </w:pPr>
            <w:r>
              <w:rPr>
                <w:sz w:val="18"/>
              </w:rPr>
              <w:t>июнь 2019 г.</w:t>
            </w:r>
          </w:p>
        </w:tc>
        <w:tc>
          <w:tcPr>
            <w:tcW w:type="dxa" w:w="709"/>
            <w:tcBorders>
              <w:top w:color="000000" w:sz="4" w:val="single"/>
              <w:left w:color="000000" w:sz="4" w:val="single"/>
              <w:bottom w:color="000000" w:sz="4" w:val="single"/>
              <w:right w:color="000000" w:sz="4" w:val="single"/>
            </w:tcBorders>
            <w:shd w:fill="FFFFFF" w:val="clear"/>
            <w:vAlign w:val="center"/>
          </w:tcPr>
          <w:p w14:paraId="E6380000">
            <w:pPr>
              <w:widowControl w:val="1"/>
              <w:ind/>
              <w:jc w:val="center"/>
              <w:rPr>
                <w:sz w:val="18"/>
              </w:rPr>
            </w:pPr>
            <w:r>
              <w:rPr>
                <w:sz w:val="18"/>
              </w:rPr>
              <w:t>счет № 1893928294</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E7380000">
            <w:pPr>
              <w:widowControl w:val="1"/>
              <w:ind/>
              <w:jc w:val="center"/>
              <w:rPr>
                <w:color w:val="000000"/>
                <w:sz w:val="18"/>
              </w:rPr>
            </w:pPr>
            <w:r>
              <w:rPr>
                <w:color w:val="000000"/>
                <w:sz w:val="18"/>
              </w:rPr>
              <w:t>169</w:t>
            </w:r>
          </w:p>
        </w:tc>
        <w:tc>
          <w:tcPr>
            <w:tcW w:type="dxa" w:w="618"/>
            <w:tcBorders>
              <w:top w:color="000000" w:sz="4" w:val="single"/>
              <w:left w:color="000000" w:sz="4" w:val="single"/>
              <w:bottom w:color="000000" w:sz="4" w:val="single"/>
              <w:right w:color="000000" w:sz="4" w:val="single"/>
            </w:tcBorders>
            <w:shd w:fill="FFFFFF" w:val="clear"/>
            <w:vAlign w:val="center"/>
          </w:tcPr>
          <w:p w14:paraId="E8380000">
            <w:pPr>
              <w:widowControl w:val="1"/>
              <w:ind/>
              <w:jc w:val="center"/>
              <w:rPr>
                <w:sz w:val="18"/>
              </w:rPr>
            </w:pPr>
            <w:r>
              <w:rPr>
                <w:sz w:val="18"/>
              </w:rPr>
              <w:t>93/2</w:t>
            </w:r>
          </w:p>
        </w:tc>
        <w:tc>
          <w:tcPr>
            <w:tcW w:type="dxa" w:w="993"/>
            <w:tcBorders>
              <w:top w:color="000000" w:sz="4" w:val="single"/>
              <w:left w:color="000000" w:sz="4" w:val="single"/>
              <w:bottom w:color="000000" w:sz="4" w:val="single"/>
              <w:right w:color="000000" w:sz="4" w:val="single"/>
            </w:tcBorders>
            <w:shd w:fill="FFFFFF" w:val="clear"/>
            <w:vAlign w:val="center"/>
          </w:tcPr>
          <w:p w14:paraId="E9380000">
            <w:pPr>
              <w:widowControl w:val="1"/>
              <w:ind/>
              <w:jc w:val="center"/>
              <w:rPr>
                <w:sz w:val="18"/>
              </w:rPr>
            </w:pPr>
            <w:r>
              <w:rPr>
                <w:sz w:val="18"/>
              </w:rPr>
              <w:t>поставка чехлов для диванов</w:t>
            </w:r>
          </w:p>
        </w:tc>
        <w:tc>
          <w:tcPr>
            <w:tcW w:type="dxa" w:w="849"/>
            <w:tcBorders>
              <w:top w:color="000000" w:sz="4" w:val="single"/>
              <w:left w:color="000000" w:sz="4" w:val="single"/>
              <w:bottom w:color="000000" w:sz="4" w:val="single"/>
              <w:right w:color="000000" w:sz="4" w:val="single"/>
            </w:tcBorders>
            <w:shd w:fill="FFFFFF" w:val="clear"/>
            <w:vAlign w:val="center"/>
          </w:tcPr>
          <w:p w14:paraId="EA38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EB380000">
            <w:pPr>
              <w:widowControl w:val="1"/>
              <w:ind/>
              <w:jc w:val="center"/>
              <w:rPr>
                <w:color w:val="000000"/>
                <w:sz w:val="18"/>
              </w:rPr>
            </w:pPr>
            <w:r>
              <w:rPr>
                <w:color w:val="000000"/>
                <w:sz w:val="18"/>
              </w:rPr>
              <w:t>2</w:t>
            </w:r>
          </w:p>
        </w:tc>
        <w:tc>
          <w:tcPr>
            <w:tcW w:type="dxa" w:w="991"/>
            <w:tcBorders>
              <w:top w:color="000000" w:sz="4" w:val="single"/>
              <w:left w:color="000000" w:sz="4" w:val="single"/>
              <w:bottom w:color="000000" w:sz="4" w:val="single"/>
              <w:right w:color="000000" w:sz="4" w:val="single"/>
            </w:tcBorders>
            <w:shd w:fill="FFFFFF" w:val="clear"/>
            <w:vAlign w:val="center"/>
          </w:tcPr>
          <w:p w14:paraId="EC380000">
            <w:pPr>
              <w:widowControl w:val="1"/>
              <w:ind/>
              <w:jc w:val="center"/>
              <w:rPr>
                <w:sz w:val="18"/>
              </w:rPr>
            </w:pPr>
            <w:r>
              <w:rPr>
                <w:sz w:val="18"/>
              </w:rPr>
              <w:t>2193,00</w:t>
            </w:r>
          </w:p>
        </w:tc>
        <w:tc>
          <w:tcPr>
            <w:tcW w:type="dxa" w:w="1134"/>
            <w:tcBorders>
              <w:top w:color="000000" w:sz="4" w:val="single"/>
              <w:left w:color="000000" w:sz="4" w:val="single"/>
              <w:bottom w:color="000000" w:sz="4" w:val="single"/>
              <w:right w:color="000000" w:sz="4" w:val="single"/>
            </w:tcBorders>
            <w:shd w:fill="FFFFFF" w:val="clear"/>
            <w:vAlign w:val="center"/>
          </w:tcPr>
          <w:p w14:paraId="ED380000">
            <w:pPr>
              <w:widowControl w:val="1"/>
              <w:ind/>
              <w:jc w:val="center"/>
              <w:rPr>
                <w:sz w:val="18"/>
              </w:rPr>
            </w:pPr>
            <w:r>
              <w:rPr>
                <w:sz w:val="18"/>
              </w:rPr>
              <w:t>2193,00</w:t>
            </w:r>
          </w:p>
        </w:tc>
        <w:tc>
          <w:tcPr>
            <w:tcW w:type="dxa" w:w="993"/>
            <w:tcBorders>
              <w:top w:color="000000" w:sz="4" w:val="single"/>
              <w:left w:color="000000" w:sz="4" w:val="single"/>
              <w:bottom w:color="000000" w:sz="4" w:val="single"/>
              <w:right w:color="000000" w:sz="4" w:val="single"/>
            </w:tcBorders>
            <w:shd w:fill="FFFFFF" w:val="clear"/>
            <w:vAlign w:val="center"/>
          </w:tcPr>
          <w:p w14:paraId="EE38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EF380000">
            <w:pPr>
              <w:widowControl w:val="1"/>
              <w:ind/>
              <w:jc w:val="center"/>
              <w:rPr>
                <w:sz w:val="18"/>
              </w:rPr>
            </w:pPr>
            <w:r>
              <w:rPr>
                <w:sz w:val="18"/>
              </w:rPr>
              <w:t>июль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F038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F138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F2380000">
            <w:pPr>
              <w:widowControl w:val="1"/>
              <w:ind/>
              <w:jc w:val="center"/>
              <w:rPr>
                <w:color w:val="000000"/>
                <w:sz w:val="18"/>
              </w:rPr>
            </w:pPr>
            <w:r>
              <w:rPr>
                <w:color w:val="000000"/>
                <w:sz w:val="18"/>
              </w:rPr>
              <w:t>2</w:t>
            </w:r>
          </w:p>
        </w:tc>
        <w:tc>
          <w:tcPr>
            <w:tcW w:type="dxa" w:w="1169"/>
            <w:tcBorders>
              <w:top w:color="000000" w:sz="4" w:val="single"/>
              <w:left w:color="000000" w:sz="4" w:val="single"/>
              <w:bottom w:color="000000" w:sz="4" w:val="single"/>
              <w:right w:color="000000" w:sz="4" w:val="single"/>
            </w:tcBorders>
            <w:shd w:fill="FFFFFF" w:val="clear"/>
            <w:vAlign w:val="center"/>
          </w:tcPr>
          <w:p w14:paraId="F3380000">
            <w:pPr>
              <w:widowControl w:val="1"/>
              <w:ind/>
              <w:jc w:val="center"/>
              <w:rPr>
                <w:sz w:val="18"/>
              </w:rPr>
            </w:pPr>
            <w:r>
              <w:rPr>
                <w:sz w:val="18"/>
              </w:rPr>
              <w:t>2193,00</w:t>
            </w:r>
          </w:p>
        </w:tc>
        <w:tc>
          <w:tcPr>
            <w:tcW w:type="dxa" w:w="1185"/>
            <w:tcBorders>
              <w:top w:color="000000" w:sz="4" w:val="single"/>
              <w:left w:color="000000" w:sz="4" w:val="single"/>
              <w:bottom w:color="000000" w:sz="4" w:val="single"/>
              <w:right w:color="000000" w:sz="4" w:val="single"/>
            </w:tcBorders>
            <w:shd w:fill="FFFFFF" w:val="clear"/>
            <w:vAlign w:val="center"/>
          </w:tcPr>
          <w:p w14:paraId="F4380000">
            <w:pPr>
              <w:widowControl w:val="1"/>
              <w:ind/>
              <w:jc w:val="center"/>
              <w:rPr>
                <w:sz w:val="18"/>
              </w:rPr>
            </w:pPr>
            <w:r>
              <w:rPr>
                <w:sz w:val="18"/>
              </w:rPr>
              <w:t>2193,00</w:t>
            </w:r>
          </w:p>
        </w:tc>
        <w:tc>
          <w:tcPr>
            <w:tcW w:type="dxa" w:w="1083"/>
            <w:tcBorders>
              <w:top w:color="000000" w:sz="4" w:val="single"/>
              <w:left w:color="000000" w:sz="4" w:val="single"/>
              <w:bottom w:color="000000" w:sz="4" w:val="single"/>
              <w:right w:color="000000" w:sz="4" w:val="single"/>
            </w:tcBorders>
            <w:shd w:fill="FFFFFF" w:val="clear"/>
            <w:vAlign w:val="center"/>
          </w:tcPr>
          <w:p w14:paraId="F5380000">
            <w:pPr>
              <w:widowControl w:val="1"/>
              <w:ind/>
              <w:jc w:val="center"/>
              <w:rPr>
                <w:sz w:val="18"/>
              </w:rPr>
            </w:pPr>
            <w:r>
              <w:rPr>
                <w:sz w:val="18"/>
              </w:rPr>
              <w:t>2193,00</w:t>
            </w:r>
          </w:p>
        </w:tc>
        <w:tc>
          <w:tcPr>
            <w:tcW w:type="dxa" w:w="771"/>
            <w:tcBorders>
              <w:top w:color="000000" w:sz="4" w:val="single"/>
              <w:left w:color="000000" w:sz="4" w:val="single"/>
              <w:bottom w:color="000000" w:sz="4" w:val="single"/>
              <w:right w:color="000000" w:sz="4" w:val="single"/>
            </w:tcBorders>
            <w:shd w:fill="FFFFFF" w:val="clear"/>
            <w:vAlign w:val="center"/>
          </w:tcPr>
          <w:p w14:paraId="F638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F7380000">
            <w:pPr>
              <w:widowControl w:val="1"/>
              <w:ind/>
              <w:jc w:val="center"/>
              <w:rPr>
                <w:sz w:val="18"/>
              </w:rPr>
            </w:pPr>
            <w:r>
              <w:rPr>
                <w:sz w:val="18"/>
              </w:rPr>
              <w:t>июль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F8380000">
            <w:pPr>
              <w:widowControl w:val="1"/>
              <w:ind/>
              <w:jc w:val="center"/>
              <w:rPr>
                <w:sz w:val="18"/>
              </w:rPr>
            </w:pPr>
            <w:r>
              <w:rPr>
                <w:sz w:val="18"/>
              </w:rPr>
              <w:t>счет № 1196 от 25.06.2018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F9380000">
            <w:pPr>
              <w:widowControl w:val="1"/>
              <w:ind/>
              <w:jc w:val="center"/>
              <w:rPr>
                <w:color w:val="000000"/>
                <w:sz w:val="18"/>
              </w:rPr>
            </w:pPr>
            <w:r>
              <w:rPr>
                <w:color w:val="000000"/>
                <w:sz w:val="18"/>
              </w:rPr>
              <w:t>170</w:t>
            </w:r>
          </w:p>
        </w:tc>
        <w:tc>
          <w:tcPr>
            <w:tcW w:type="dxa" w:w="618"/>
            <w:tcBorders>
              <w:top w:color="000000" w:sz="4" w:val="single"/>
              <w:left w:color="000000" w:sz="4" w:val="single"/>
              <w:bottom w:color="000000" w:sz="4" w:val="single"/>
              <w:right w:color="000000" w:sz="4" w:val="single"/>
            </w:tcBorders>
            <w:shd w:fill="FFFFFF" w:val="clear"/>
            <w:vAlign w:val="center"/>
          </w:tcPr>
          <w:p w14:paraId="FA380000">
            <w:pPr>
              <w:widowControl w:val="1"/>
              <w:ind/>
              <w:jc w:val="center"/>
              <w:rPr>
                <w:sz w:val="18"/>
              </w:rPr>
            </w:pPr>
            <w:r>
              <w:rPr>
                <w:sz w:val="18"/>
              </w:rPr>
              <w:t>94/2</w:t>
            </w:r>
          </w:p>
        </w:tc>
        <w:tc>
          <w:tcPr>
            <w:tcW w:type="dxa" w:w="993"/>
            <w:tcBorders>
              <w:top w:color="000000" w:sz="4" w:val="single"/>
              <w:left w:color="000000" w:sz="4" w:val="single"/>
              <w:bottom w:color="000000" w:sz="4" w:val="single"/>
              <w:right w:color="000000" w:sz="4" w:val="single"/>
            </w:tcBorders>
            <w:shd w:fill="FFFFFF" w:val="clear"/>
            <w:vAlign w:val="center"/>
          </w:tcPr>
          <w:p w14:paraId="FB380000">
            <w:pPr>
              <w:widowControl w:val="1"/>
              <w:ind/>
              <w:jc w:val="center"/>
              <w:rPr>
                <w:sz w:val="18"/>
              </w:rPr>
            </w:pPr>
            <w:r>
              <w:rPr>
                <w:sz w:val="18"/>
              </w:rPr>
              <w:t>Оказание услуг по обучению</w:t>
            </w:r>
          </w:p>
        </w:tc>
        <w:tc>
          <w:tcPr>
            <w:tcW w:type="dxa" w:w="849"/>
            <w:tcBorders>
              <w:top w:color="000000" w:sz="4" w:val="single"/>
              <w:left w:color="000000" w:sz="4" w:val="single"/>
              <w:bottom w:color="000000" w:sz="4" w:val="single"/>
              <w:right w:color="000000" w:sz="4" w:val="single"/>
            </w:tcBorders>
            <w:shd w:fill="FFFFFF" w:val="clear"/>
            <w:vAlign w:val="center"/>
          </w:tcPr>
          <w:p w14:paraId="FC38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FD380000">
            <w:pPr>
              <w:widowControl w:val="1"/>
              <w:ind/>
              <w:jc w:val="center"/>
              <w:rPr>
                <w:sz w:val="18"/>
              </w:rPr>
            </w:pPr>
            <w:r>
              <w:rPr>
                <w:sz w:val="18"/>
              </w:rPr>
              <w:t>36</w:t>
            </w:r>
          </w:p>
        </w:tc>
        <w:tc>
          <w:tcPr>
            <w:tcW w:type="dxa" w:w="991"/>
            <w:tcBorders>
              <w:top w:color="000000" w:sz="4" w:val="single"/>
              <w:left w:color="000000" w:sz="4" w:val="single"/>
              <w:bottom w:color="000000" w:sz="4" w:val="single"/>
              <w:right w:color="000000" w:sz="4" w:val="single"/>
            </w:tcBorders>
            <w:shd w:fill="FFFFFF" w:val="clear"/>
            <w:vAlign w:val="center"/>
          </w:tcPr>
          <w:p w14:paraId="FE380000">
            <w:pPr>
              <w:widowControl w:val="1"/>
              <w:ind/>
              <w:jc w:val="center"/>
              <w:rPr>
                <w:sz w:val="18"/>
              </w:rPr>
            </w:pPr>
            <w:r>
              <w:rPr>
                <w:sz w:val="18"/>
              </w:rPr>
              <w:t>44000,00</w:t>
            </w:r>
          </w:p>
        </w:tc>
        <w:tc>
          <w:tcPr>
            <w:tcW w:type="dxa" w:w="1134"/>
            <w:tcBorders>
              <w:top w:color="000000" w:sz="4" w:val="single"/>
              <w:left w:color="000000" w:sz="4" w:val="single"/>
              <w:bottom w:color="000000" w:sz="4" w:val="single"/>
              <w:right w:color="000000" w:sz="4" w:val="single"/>
            </w:tcBorders>
            <w:shd w:fill="FFFFFF" w:val="clear"/>
            <w:vAlign w:val="center"/>
          </w:tcPr>
          <w:p w14:paraId="FF380000">
            <w:pPr>
              <w:widowControl w:val="1"/>
              <w:ind/>
              <w:jc w:val="center"/>
              <w:rPr>
                <w:sz w:val="18"/>
              </w:rPr>
            </w:pPr>
            <w:r>
              <w:rPr>
                <w:sz w:val="18"/>
              </w:rPr>
              <w:t>44000,00</w:t>
            </w:r>
          </w:p>
        </w:tc>
        <w:tc>
          <w:tcPr>
            <w:tcW w:type="dxa" w:w="993"/>
            <w:tcBorders>
              <w:top w:color="000000" w:sz="4" w:val="single"/>
              <w:left w:color="000000" w:sz="4" w:val="single"/>
              <w:bottom w:color="000000" w:sz="4" w:val="single"/>
              <w:right w:color="000000" w:sz="4" w:val="single"/>
            </w:tcBorders>
            <w:shd w:fill="FFFFFF" w:val="clear"/>
            <w:vAlign w:val="center"/>
          </w:tcPr>
          <w:p w14:paraId="00390000">
            <w:pPr>
              <w:widowControl w:val="1"/>
              <w:ind/>
              <w:jc w:val="center"/>
              <w:rPr>
                <w:sz w:val="18"/>
              </w:rPr>
            </w:pPr>
            <w:r>
              <w:rPr>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01390000">
            <w:pPr>
              <w:widowControl w:val="1"/>
              <w:ind/>
              <w:jc w:val="center"/>
              <w:rPr>
                <w:sz w:val="18"/>
              </w:rPr>
            </w:pPr>
            <w:r>
              <w:rPr>
                <w:sz w:val="18"/>
              </w:rPr>
              <w:t>сентябрь 2018г.</w:t>
            </w:r>
          </w:p>
        </w:tc>
        <w:tc>
          <w:tcPr>
            <w:tcW w:type="dxa" w:w="1334"/>
            <w:tcBorders>
              <w:top w:color="000000" w:sz="4" w:val="single"/>
              <w:left w:color="000000" w:sz="4" w:val="single"/>
              <w:bottom w:color="000000" w:sz="4" w:val="single"/>
              <w:right w:color="000000" w:sz="4" w:val="single"/>
            </w:tcBorders>
            <w:shd w:fill="FFFFFF" w:val="clear"/>
            <w:vAlign w:val="center"/>
          </w:tcPr>
          <w:p w14:paraId="0239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0339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04390000">
            <w:pPr>
              <w:widowControl w:val="1"/>
              <w:ind/>
              <w:jc w:val="center"/>
              <w:rPr>
                <w:sz w:val="18"/>
              </w:rPr>
            </w:pPr>
            <w:r>
              <w:rPr>
                <w:sz w:val="18"/>
              </w:rPr>
              <w:t>36</w:t>
            </w:r>
          </w:p>
        </w:tc>
        <w:tc>
          <w:tcPr>
            <w:tcW w:type="dxa" w:w="1169"/>
            <w:tcBorders>
              <w:top w:color="000000" w:sz="4" w:val="single"/>
              <w:left w:color="000000" w:sz="4" w:val="single"/>
              <w:bottom w:color="000000" w:sz="4" w:val="single"/>
              <w:right w:color="000000" w:sz="4" w:val="single"/>
            </w:tcBorders>
            <w:shd w:fill="FFFFFF" w:val="clear"/>
            <w:vAlign w:val="center"/>
          </w:tcPr>
          <w:p w14:paraId="05390000">
            <w:pPr>
              <w:widowControl w:val="1"/>
              <w:ind/>
              <w:jc w:val="center"/>
              <w:rPr>
                <w:sz w:val="18"/>
              </w:rPr>
            </w:pPr>
            <w:r>
              <w:rPr>
                <w:sz w:val="18"/>
              </w:rPr>
              <w:t>44000,00</w:t>
            </w:r>
          </w:p>
        </w:tc>
        <w:tc>
          <w:tcPr>
            <w:tcW w:type="dxa" w:w="1185"/>
            <w:tcBorders>
              <w:top w:color="000000" w:sz="4" w:val="single"/>
              <w:left w:color="000000" w:sz="4" w:val="single"/>
              <w:bottom w:color="000000" w:sz="4" w:val="single"/>
              <w:right w:color="000000" w:sz="4" w:val="single"/>
            </w:tcBorders>
            <w:shd w:fill="FFFFFF" w:val="clear"/>
            <w:vAlign w:val="center"/>
          </w:tcPr>
          <w:p w14:paraId="06390000">
            <w:pPr>
              <w:widowControl w:val="1"/>
              <w:ind/>
              <w:jc w:val="center"/>
              <w:rPr>
                <w:sz w:val="18"/>
              </w:rPr>
            </w:pPr>
            <w:r>
              <w:rPr>
                <w:sz w:val="18"/>
              </w:rPr>
              <w:t>44000,00</w:t>
            </w:r>
          </w:p>
        </w:tc>
        <w:tc>
          <w:tcPr>
            <w:tcW w:type="dxa" w:w="1083"/>
            <w:tcBorders>
              <w:top w:color="000000" w:sz="4" w:val="single"/>
              <w:left w:color="000000" w:sz="4" w:val="single"/>
              <w:bottom w:color="000000" w:sz="4" w:val="single"/>
              <w:right w:color="000000" w:sz="4" w:val="single"/>
            </w:tcBorders>
            <w:shd w:fill="FFFFFF" w:val="clear"/>
            <w:vAlign w:val="center"/>
          </w:tcPr>
          <w:p w14:paraId="07390000">
            <w:pPr>
              <w:widowControl w:val="1"/>
              <w:ind/>
              <w:jc w:val="center"/>
              <w:rPr>
                <w:sz w:val="18"/>
              </w:rPr>
            </w:pPr>
            <w:r>
              <w:rPr>
                <w:sz w:val="18"/>
              </w:rPr>
              <w:t>44000,00</w:t>
            </w:r>
          </w:p>
        </w:tc>
        <w:tc>
          <w:tcPr>
            <w:tcW w:type="dxa" w:w="771"/>
            <w:tcBorders>
              <w:top w:color="000000" w:sz="4" w:val="single"/>
              <w:left w:color="000000" w:sz="4" w:val="single"/>
              <w:bottom w:color="000000" w:sz="4" w:val="single"/>
              <w:right w:color="000000" w:sz="4" w:val="single"/>
            </w:tcBorders>
            <w:shd w:fill="FFFFFF" w:val="clear"/>
            <w:vAlign w:val="center"/>
          </w:tcPr>
          <w:p w14:paraId="08390000">
            <w:pPr>
              <w:widowControl w:val="1"/>
              <w:ind/>
              <w:jc w:val="center"/>
              <w:rPr>
                <w:sz w:val="18"/>
              </w:rPr>
            </w:pPr>
            <w:r>
              <w:rPr>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09390000">
            <w:pPr>
              <w:widowControl w:val="1"/>
              <w:ind/>
              <w:jc w:val="center"/>
              <w:rPr>
                <w:sz w:val="18"/>
              </w:rPr>
            </w:pPr>
            <w:r>
              <w:rPr>
                <w:sz w:val="18"/>
              </w:rPr>
              <w:t>сентябрь 2018г.</w:t>
            </w:r>
          </w:p>
        </w:tc>
        <w:tc>
          <w:tcPr>
            <w:tcW w:type="dxa" w:w="709"/>
            <w:tcBorders>
              <w:top w:color="000000" w:sz="4" w:val="single"/>
              <w:left w:color="000000" w:sz="4" w:val="single"/>
              <w:bottom w:color="000000" w:sz="4" w:val="single"/>
              <w:right w:color="000000" w:sz="4" w:val="single"/>
            </w:tcBorders>
            <w:shd w:fill="FFFFFF" w:val="clear"/>
            <w:vAlign w:val="center"/>
          </w:tcPr>
          <w:p w14:paraId="0A390000">
            <w:pPr>
              <w:widowControl w:val="1"/>
              <w:ind/>
              <w:jc w:val="center"/>
              <w:rPr>
                <w:sz w:val="18"/>
              </w:rPr>
            </w:pPr>
            <w:r>
              <w:rPr>
                <w:sz w:val="18"/>
              </w:rPr>
              <w:t>договор № 91 от 01.08.2018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0B390000">
            <w:pPr>
              <w:widowControl w:val="1"/>
              <w:ind/>
              <w:jc w:val="center"/>
              <w:rPr>
                <w:color w:val="000000"/>
                <w:sz w:val="18"/>
              </w:rPr>
            </w:pPr>
            <w:r>
              <w:rPr>
                <w:color w:val="000000"/>
                <w:sz w:val="18"/>
              </w:rPr>
              <w:t>171</w:t>
            </w:r>
          </w:p>
        </w:tc>
        <w:tc>
          <w:tcPr>
            <w:tcW w:type="dxa" w:w="618"/>
            <w:tcBorders>
              <w:top w:color="000000" w:sz="4" w:val="single"/>
              <w:left w:color="000000" w:sz="4" w:val="single"/>
              <w:bottom w:color="000000" w:sz="4" w:val="single"/>
              <w:right w:color="000000" w:sz="4" w:val="single"/>
            </w:tcBorders>
            <w:shd w:fill="FFFFFF" w:val="clear"/>
            <w:vAlign w:val="center"/>
          </w:tcPr>
          <w:p w14:paraId="0C390000">
            <w:pPr>
              <w:widowControl w:val="1"/>
              <w:ind/>
              <w:jc w:val="center"/>
              <w:rPr>
                <w:sz w:val="18"/>
              </w:rPr>
            </w:pPr>
            <w:r>
              <w:rPr>
                <w:sz w:val="18"/>
              </w:rPr>
              <w:t>95/2</w:t>
            </w:r>
          </w:p>
        </w:tc>
        <w:tc>
          <w:tcPr>
            <w:tcW w:type="dxa" w:w="993"/>
            <w:tcBorders>
              <w:top w:color="000000" w:sz="4" w:val="single"/>
              <w:left w:color="000000" w:sz="4" w:val="single"/>
              <w:bottom w:color="000000" w:sz="4" w:val="single"/>
              <w:right w:color="000000" w:sz="4" w:val="single"/>
            </w:tcBorders>
            <w:shd w:fill="FFFFFF" w:val="clear"/>
            <w:vAlign w:val="center"/>
          </w:tcPr>
          <w:p w14:paraId="0D390000">
            <w:pPr>
              <w:widowControl w:val="1"/>
              <w:ind/>
              <w:jc w:val="center"/>
              <w:rPr>
                <w:color w:val="000000"/>
                <w:sz w:val="18"/>
              </w:rPr>
            </w:pPr>
            <w:r>
              <w:rPr>
                <w:color w:val="000000"/>
                <w:sz w:val="18"/>
              </w:rPr>
              <w:t>Выполнение работ по демонтажу и монтажу кондиционера</w:t>
            </w:r>
          </w:p>
        </w:tc>
        <w:tc>
          <w:tcPr>
            <w:tcW w:type="dxa" w:w="849"/>
            <w:tcBorders>
              <w:top w:color="000000" w:sz="4" w:val="single"/>
              <w:left w:color="000000" w:sz="4" w:val="single"/>
              <w:bottom w:color="000000" w:sz="4" w:val="single"/>
              <w:right w:color="000000" w:sz="4" w:val="single"/>
            </w:tcBorders>
            <w:shd w:fill="FFFFFF" w:val="clear"/>
            <w:vAlign w:val="center"/>
          </w:tcPr>
          <w:p w14:paraId="0E39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0F39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10390000">
            <w:pPr>
              <w:widowControl w:val="1"/>
              <w:ind/>
              <w:jc w:val="center"/>
              <w:rPr>
                <w:color w:val="000000"/>
                <w:sz w:val="18"/>
              </w:rPr>
            </w:pPr>
            <w:r>
              <w:rPr>
                <w:color w:val="000000"/>
                <w:sz w:val="18"/>
              </w:rPr>
              <w:t>10900,00</w:t>
            </w:r>
          </w:p>
        </w:tc>
        <w:tc>
          <w:tcPr>
            <w:tcW w:type="dxa" w:w="1134"/>
            <w:tcBorders>
              <w:top w:color="000000" w:sz="4" w:val="single"/>
              <w:left w:color="000000" w:sz="4" w:val="single"/>
              <w:bottom w:color="000000" w:sz="4" w:val="single"/>
              <w:right w:color="000000" w:sz="4" w:val="single"/>
            </w:tcBorders>
            <w:shd w:fill="FFFFFF" w:val="clear"/>
            <w:vAlign w:val="center"/>
          </w:tcPr>
          <w:p w14:paraId="11390000">
            <w:pPr>
              <w:widowControl w:val="1"/>
              <w:ind/>
              <w:jc w:val="center"/>
              <w:rPr>
                <w:color w:val="000000"/>
                <w:sz w:val="18"/>
              </w:rPr>
            </w:pPr>
            <w:r>
              <w:rPr>
                <w:color w:val="000000"/>
                <w:sz w:val="18"/>
              </w:rPr>
              <w:t>10900,00</w:t>
            </w:r>
          </w:p>
        </w:tc>
        <w:tc>
          <w:tcPr>
            <w:tcW w:type="dxa" w:w="993"/>
            <w:tcBorders>
              <w:top w:color="000000" w:sz="4" w:val="single"/>
              <w:left w:color="000000" w:sz="4" w:val="single"/>
              <w:bottom w:color="000000" w:sz="4" w:val="single"/>
              <w:right w:color="000000" w:sz="4" w:val="single"/>
            </w:tcBorders>
            <w:shd w:fill="FFFFFF" w:val="clear"/>
            <w:vAlign w:val="center"/>
          </w:tcPr>
          <w:p w14:paraId="1239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13390000">
            <w:pPr>
              <w:widowControl w:val="1"/>
              <w:ind/>
              <w:jc w:val="center"/>
              <w:rPr>
                <w:sz w:val="18"/>
              </w:rPr>
            </w:pPr>
            <w:r>
              <w:rPr>
                <w:sz w:val="18"/>
              </w:rPr>
              <w:t>июнь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1439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1539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1639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17390000">
            <w:pPr>
              <w:widowControl w:val="1"/>
              <w:ind/>
              <w:jc w:val="center"/>
              <w:rPr>
                <w:color w:val="000000"/>
                <w:sz w:val="18"/>
              </w:rPr>
            </w:pPr>
            <w:r>
              <w:rPr>
                <w:color w:val="000000"/>
                <w:sz w:val="18"/>
              </w:rPr>
              <w:t>10900,00</w:t>
            </w:r>
          </w:p>
        </w:tc>
        <w:tc>
          <w:tcPr>
            <w:tcW w:type="dxa" w:w="1185"/>
            <w:tcBorders>
              <w:top w:color="000000" w:sz="4" w:val="single"/>
              <w:left w:color="000000" w:sz="4" w:val="single"/>
              <w:bottom w:color="000000" w:sz="4" w:val="single"/>
              <w:right w:color="000000" w:sz="4" w:val="single"/>
            </w:tcBorders>
            <w:shd w:fill="FFFFFF" w:val="clear"/>
            <w:vAlign w:val="center"/>
          </w:tcPr>
          <w:p w14:paraId="18390000">
            <w:pPr>
              <w:widowControl w:val="1"/>
              <w:ind/>
              <w:jc w:val="center"/>
              <w:rPr>
                <w:color w:val="000000"/>
                <w:sz w:val="18"/>
              </w:rPr>
            </w:pPr>
            <w:r>
              <w:rPr>
                <w:color w:val="000000"/>
                <w:sz w:val="18"/>
              </w:rPr>
              <w:t>10900,00</w:t>
            </w:r>
          </w:p>
        </w:tc>
        <w:tc>
          <w:tcPr>
            <w:tcW w:type="dxa" w:w="1083"/>
            <w:tcBorders>
              <w:top w:color="000000" w:sz="4" w:val="single"/>
              <w:left w:color="000000" w:sz="4" w:val="single"/>
              <w:bottom w:color="000000" w:sz="4" w:val="single"/>
              <w:right w:color="000000" w:sz="4" w:val="single"/>
            </w:tcBorders>
            <w:shd w:fill="FFFFFF" w:val="clear"/>
            <w:vAlign w:val="center"/>
          </w:tcPr>
          <w:p w14:paraId="19390000">
            <w:pPr>
              <w:widowControl w:val="1"/>
              <w:ind/>
              <w:jc w:val="center"/>
              <w:rPr>
                <w:color w:val="000000"/>
                <w:sz w:val="18"/>
              </w:rPr>
            </w:pPr>
            <w:r>
              <w:rPr>
                <w:color w:val="000000"/>
                <w:sz w:val="18"/>
              </w:rPr>
              <w:t>10900,00</w:t>
            </w:r>
          </w:p>
        </w:tc>
        <w:tc>
          <w:tcPr>
            <w:tcW w:type="dxa" w:w="771"/>
            <w:tcBorders>
              <w:top w:color="000000" w:sz="4" w:val="single"/>
              <w:left w:color="000000" w:sz="4" w:val="single"/>
              <w:bottom w:color="000000" w:sz="4" w:val="single"/>
              <w:right w:color="000000" w:sz="4" w:val="single"/>
            </w:tcBorders>
            <w:shd w:fill="FFFFFF" w:val="clear"/>
            <w:vAlign w:val="center"/>
          </w:tcPr>
          <w:p w14:paraId="1A39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1B390000">
            <w:pPr>
              <w:widowControl w:val="1"/>
              <w:ind/>
              <w:jc w:val="center"/>
              <w:rPr>
                <w:sz w:val="18"/>
              </w:rPr>
            </w:pPr>
            <w:r>
              <w:rPr>
                <w:sz w:val="18"/>
              </w:rPr>
              <w:t>июнь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1C390000">
            <w:pPr>
              <w:widowControl w:val="1"/>
              <w:ind/>
              <w:jc w:val="center"/>
              <w:rPr>
                <w:sz w:val="18"/>
              </w:rPr>
            </w:pPr>
            <w:r>
              <w:rPr>
                <w:sz w:val="18"/>
              </w:rPr>
              <w:t>счет №66 от 29.06.2018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1D390000">
            <w:pPr>
              <w:widowControl w:val="1"/>
              <w:ind/>
              <w:jc w:val="center"/>
              <w:rPr>
                <w:color w:val="000000"/>
                <w:sz w:val="18"/>
              </w:rPr>
            </w:pPr>
            <w:r>
              <w:rPr>
                <w:color w:val="000000"/>
                <w:sz w:val="18"/>
              </w:rPr>
              <w:t>172</w:t>
            </w:r>
          </w:p>
        </w:tc>
        <w:tc>
          <w:tcPr>
            <w:tcW w:type="dxa" w:w="618"/>
            <w:tcBorders>
              <w:top w:color="000000" w:sz="4" w:val="single"/>
              <w:left w:color="000000" w:sz="4" w:val="single"/>
              <w:bottom w:color="000000" w:sz="4" w:val="single"/>
              <w:right w:color="000000" w:sz="4" w:val="single"/>
            </w:tcBorders>
            <w:shd w:fill="FFFFFF" w:val="clear"/>
            <w:vAlign w:val="center"/>
          </w:tcPr>
          <w:p w14:paraId="1E390000">
            <w:pPr>
              <w:widowControl w:val="1"/>
              <w:ind/>
              <w:jc w:val="center"/>
              <w:rPr>
                <w:sz w:val="18"/>
              </w:rPr>
            </w:pPr>
            <w:r>
              <w:rPr>
                <w:sz w:val="18"/>
              </w:rPr>
              <w:t>96/2</w:t>
            </w:r>
          </w:p>
        </w:tc>
        <w:tc>
          <w:tcPr>
            <w:tcW w:type="dxa" w:w="993"/>
            <w:tcBorders>
              <w:top w:color="000000" w:sz="4" w:val="single"/>
              <w:left w:color="000000" w:sz="4" w:val="single"/>
              <w:bottom w:color="000000" w:sz="4" w:val="single"/>
              <w:right w:color="000000" w:sz="4" w:val="single"/>
            </w:tcBorders>
            <w:shd w:fill="FFFFFF" w:val="clear"/>
            <w:vAlign w:val="center"/>
          </w:tcPr>
          <w:p w14:paraId="1F390000">
            <w:pPr>
              <w:widowControl w:val="1"/>
              <w:ind/>
              <w:jc w:val="center"/>
              <w:rPr>
                <w:sz w:val="18"/>
              </w:rPr>
            </w:pPr>
            <w:r>
              <w:rPr>
                <w:sz w:val="18"/>
              </w:rPr>
              <w:t>поставка чехлов для диванов</w:t>
            </w:r>
          </w:p>
        </w:tc>
        <w:tc>
          <w:tcPr>
            <w:tcW w:type="dxa" w:w="849"/>
            <w:tcBorders>
              <w:top w:color="000000" w:sz="4" w:val="single"/>
              <w:left w:color="000000" w:sz="4" w:val="single"/>
              <w:bottom w:color="000000" w:sz="4" w:val="single"/>
              <w:right w:color="000000" w:sz="4" w:val="single"/>
            </w:tcBorders>
            <w:shd w:fill="FFFFFF" w:val="clear"/>
            <w:vAlign w:val="center"/>
          </w:tcPr>
          <w:p w14:paraId="2039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2139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22390000">
            <w:pPr>
              <w:widowControl w:val="1"/>
              <w:ind/>
              <w:jc w:val="center"/>
              <w:rPr>
                <w:sz w:val="18"/>
              </w:rPr>
            </w:pPr>
            <w:r>
              <w:rPr>
                <w:sz w:val="18"/>
              </w:rPr>
              <w:t>4649,50</w:t>
            </w:r>
          </w:p>
        </w:tc>
        <w:tc>
          <w:tcPr>
            <w:tcW w:type="dxa" w:w="1134"/>
            <w:tcBorders>
              <w:top w:color="000000" w:sz="4" w:val="single"/>
              <w:left w:color="000000" w:sz="4" w:val="single"/>
              <w:bottom w:color="000000" w:sz="4" w:val="single"/>
              <w:right w:color="000000" w:sz="4" w:val="single"/>
            </w:tcBorders>
            <w:shd w:fill="FFFFFF" w:val="clear"/>
            <w:vAlign w:val="center"/>
          </w:tcPr>
          <w:p w14:paraId="23390000">
            <w:pPr>
              <w:widowControl w:val="1"/>
              <w:ind/>
              <w:jc w:val="center"/>
              <w:rPr>
                <w:sz w:val="18"/>
              </w:rPr>
            </w:pPr>
            <w:r>
              <w:rPr>
                <w:sz w:val="18"/>
              </w:rPr>
              <w:t>4649,50</w:t>
            </w:r>
          </w:p>
        </w:tc>
        <w:tc>
          <w:tcPr>
            <w:tcW w:type="dxa" w:w="993"/>
            <w:tcBorders>
              <w:top w:color="000000" w:sz="4" w:val="single"/>
              <w:left w:color="000000" w:sz="4" w:val="single"/>
              <w:bottom w:color="000000" w:sz="4" w:val="single"/>
              <w:right w:color="000000" w:sz="4" w:val="single"/>
            </w:tcBorders>
            <w:shd w:fill="FFFFFF" w:val="clear"/>
            <w:vAlign w:val="center"/>
          </w:tcPr>
          <w:p w14:paraId="2439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25390000">
            <w:pPr>
              <w:widowControl w:val="1"/>
              <w:ind/>
              <w:jc w:val="center"/>
              <w:rPr>
                <w:sz w:val="18"/>
              </w:rPr>
            </w:pPr>
            <w:r>
              <w:rPr>
                <w:sz w:val="18"/>
              </w:rPr>
              <w:t>июль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2639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2739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2839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29390000">
            <w:pPr>
              <w:widowControl w:val="1"/>
              <w:ind/>
              <w:jc w:val="center"/>
              <w:rPr>
                <w:sz w:val="18"/>
              </w:rPr>
            </w:pPr>
            <w:r>
              <w:rPr>
                <w:sz w:val="18"/>
              </w:rPr>
              <w:t>4649,50</w:t>
            </w:r>
          </w:p>
        </w:tc>
        <w:tc>
          <w:tcPr>
            <w:tcW w:type="dxa" w:w="1185"/>
            <w:tcBorders>
              <w:top w:color="000000" w:sz="4" w:val="single"/>
              <w:left w:color="000000" w:sz="4" w:val="single"/>
              <w:bottom w:color="000000" w:sz="4" w:val="single"/>
              <w:right w:color="000000" w:sz="4" w:val="single"/>
            </w:tcBorders>
            <w:shd w:fill="FFFFFF" w:val="clear"/>
            <w:vAlign w:val="center"/>
          </w:tcPr>
          <w:p w14:paraId="2A390000">
            <w:pPr>
              <w:widowControl w:val="1"/>
              <w:ind/>
              <w:jc w:val="center"/>
              <w:rPr>
                <w:sz w:val="18"/>
              </w:rPr>
            </w:pPr>
            <w:r>
              <w:rPr>
                <w:sz w:val="18"/>
              </w:rPr>
              <w:t>4649,50</w:t>
            </w:r>
          </w:p>
        </w:tc>
        <w:tc>
          <w:tcPr>
            <w:tcW w:type="dxa" w:w="1083"/>
            <w:tcBorders>
              <w:top w:color="000000" w:sz="4" w:val="single"/>
              <w:left w:color="000000" w:sz="4" w:val="single"/>
              <w:bottom w:color="000000" w:sz="4" w:val="single"/>
              <w:right w:color="000000" w:sz="4" w:val="single"/>
            </w:tcBorders>
            <w:shd w:fill="FFFFFF" w:val="clear"/>
            <w:vAlign w:val="center"/>
          </w:tcPr>
          <w:p w14:paraId="2B390000">
            <w:pPr>
              <w:widowControl w:val="1"/>
              <w:ind/>
              <w:jc w:val="center"/>
              <w:rPr>
                <w:sz w:val="18"/>
              </w:rPr>
            </w:pPr>
            <w:r>
              <w:rPr>
                <w:sz w:val="18"/>
              </w:rPr>
              <w:t>4649,50</w:t>
            </w:r>
          </w:p>
        </w:tc>
        <w:tc>
          <w:tcPr>
            <w:tcW w:type="dxa" w:w="771"/>
            <w:tcBorders>
              <w:top w:color="000000" w:sz="4" w:val="single"/>
              <w:left w:color="000000" w:sz="4" w:val="single"/>
              <w:bottom w:color="000000" w:sz="4" w:val="single"/>
              <w:right w:color="000000" w:sz="4" w:val="single"/>
            </w:tcBorders>
            <w:shd w:fill="FFFFFF" w:val="clear"/>
            <w:vAlign w:val="center"/>
          </w:tcPr>
          <w:p w14:paraId="2C39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2D390000">
            <w:pPr>
              <w:widowControl w:val="1"/>
              <w:ind/>
              <w:jc w:val="center"/>
              <w:rPr>
                <w:sz w:val="18"/>
              </w:rPr>
            </w:pPr>
            <w:r>
              <w:rPr>
                <w:sz w:val="18"/>
              </w:rPr>
              <w:t>июль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2E390000">
            <w:pPr>
              <w:widowControl w:val="1"/>
              <w:ind/>
              <w:jc w:val="center"/>
              <w:rPr>
                <w:sz w:val="18"/>
              </w:rPr>
            </w:pPr>
            <w:r>
              <w:rPr>
                <w:sz w:val="18"/>
              </w:rPr>
              <w:t>счет № 1322 от 18.07.2018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2F390000">
            <w:pPr>
              <w:widowControl w:val="1"/>
              <w:ind/>
              <w:jc w:val="center"/>
              <w:rPr>
                <w:color w:val="000000"/>
                <w:sz w:val="18"/>
              </w:rPr>
            </w:pPr>
            <w:r>
              <w:rPr>
                <w:color w:val="000000"/>
                <w:sz w:val="18"/>
              </w:rPr>
              <w:t>173</w:t>
            </w:r>
          </w:p>
        </w:tc>
        <w:tc>
          <w:tcPr>
            <w:tcW w:type="dxa" w:w="618"/>
            <w:tcBorders>
              <w:top w:color="000000" w:sz="4" w:val="single"/>
              <w:left w:color="000000" w:sz="4" w:val="single"/>
              <w:bottom w:color="000000" w:sz="4" w:val="single"/>
              <w:right w:color="000000" w:sz="4" w:val="single"/>
            </w:tcBorders>
            <w:shd w:fill="FFFFFF" w:val="clear"/>
            <w:vAlign w:val="center"/>
          </w:tcPr>
          <w:p w14:paraId="30390000">
            <w:pPr>
              <w:widowControl w:val="1"/>
              <w:ind/>
              <w:jc w:val="center"/>
              <w:rPr>
                <w:sz w:val="18"/>
              </w:rPr>
            </w:pPr>
            <w:r>
              <w:rPr>
                <w:sz w:val="18"/>
              </w:rPr>
              <w:t>97/2</w:t>
            </w:r>
          </w:p>
        </w:tc>
        <w:tc>
          <w:tcPr>
            <w:tcW w:type="dxa" w:w="993"/>
            <w:tcBorders>
              <w:top w:color="000000" w:sz="4" w:val="single"/>
              <w:left w:color="000000" w:sz="4" w:val="single"/>
              <w:bottom w:color="000000" w:sz="4" w:val="single"/>
              <w:right w:color="000000" w:sz="4" w:val="single"/>
            </w:tcBorders>
            <w:shd w:fill="FFFFFF" w:val="clear"/>
            <w:vAlign w:val="center"/>
          </w:tcPr>
          <w:p w14:paraId="31390000">
            <w:pPr>
              <w:widowControl w:val="1"/>
              <w:ind/>
              <w:jc w:val="center"/>
              <w:rPr>
                <w:sz w:val="18"/>
              </w:rPr>
            </w:pPr>
            <w:r>
              <w:rPr>
                <w:sz w:val="18"/>
              </w:rPr>
              <w:t>поставка жалюзи</w:t>
            </w:r>
          </w:p>
        </w:tc>
        <w:tc>
          <w:tcPr>
            <w:tcW w:type="dxa" w:w="849"/>
            <w:tcBorders>
              <w:top w:color="000000" w:sz="4" w:val="single"/>
              <w:left w:color="000000" w:sz="4" w:val="single"/>
              <w:bottom w:color="000000" w:sz="4" w:val="single"/>
              <w:right w:color="000000" w:sz="4" w:val="single"/>
            </w:tcBorders>
            <w:shd w:fill="FFFFFF" w:val="clear"/>
            <w:vAlign w:val="center"/>
          </w:tcPr>
          <w:p w14:paraId="3239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3339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34390000">
            <w:pPr>
              <w:widowControl w:val="1"/>
              <w:ind/>
              <w:jc w:val="center"/>
              <w:rPr>
                <w:sz w:val="18"/>
              </w:rPr>
            </w:pPr>
            <w:r>
              <w:rPr>
                <w:sz w:val="18"/>
              </w:rPr>
              <w:t>4320,00</w:t>
            </w:r>
          </w:p>
        </w:tc>
        <w:tc>
          <w:tcPr>
            <w:tcW w:type="dxa" w:w="1134"/>
            <w:tcBorders>
              <w:top w:color="000000" w:sz="4" w:val="single"/>
              <w:left w:color="000000" w:sz="4" w:val="single"/>
              <w:bottom w:color="000000" w:sz="4" w:val="single"/>
              <w:right w:color="000000" w:sz="4" w:val="single"/>
            </w:tcBorders>
            <w:shd w:fill="FFFFFF" w:val="clear"/>
            <w:vAlign w:val="center"/>
          </w:tcPr>
          <w:p w14:paraId="35390000">
            <w:pPr>
              <w:widowControl w:val="1"/>
              <w:ind/>
              <w:jc w:val="center"/>
              <w:rPr>
                <w:sz w:val="18"/>
              </w:rPr>
            </w:pPr>
            <w:r>
              <w:rPr>
                <w:sz w:val="18"/>
              </w:rPr>
              <w:t>4320,00</w:t>
            </w:r>
          </w:p>
        </w:tc>
        <w:tc>
          <w:tcPr>
            <w:tcW w:type="dxa" w:w="993"/>
            <w:tcBorders>
              <w:top w:color="000000" w:sz="4" w:val="single"/>
              <w:left w:color="000000" w:sz="4" w:val="single"/>
              <w:bottom w:color="000000" w:sz="4" w:val="single"/>
              <w:right w:color="000000" w:sz="4" w:val="single"/>
            </w:tcBorders>
            <w:shd w:fill="FFFFFF" w:val="clear"/>
            <w:vAlign w:val="center"/>
          </w:tcPr>
          <w:p w14:paraId="3639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37390000">
            <w:pPr>
              <w:widowControl w:val="1"/>
              <w:ind/>
              <w:jc w:val="center"/>
              <w:rPr>
                <w:sz w:val="18"/>
              </w:rPr>
            </w:pPr>
            <w:r>
              <w:rPr>
                <w:sz w:val="18"/>
              </w:rPr>
              <w:t>июль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3839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3939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3A39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3B390000">
            <w:pPr>
              <w:widowControl w:val="1"/>
              <w:ind/>
              <w:jc w:val="center"/>
              <w:rPr>
                <w:sz w:val="18"/>
              </w:rPr>
            </w:pPr>
            <w:r>
              <w:rPr>
                <w:sz w:val="18"/>
              </w:rPr>
              <w:t>4320,00</w:t>
            </w:r>
          </w:p>
        </w:tc>
        <w:tc>
          <w:tcPr>
            <w:tcW w:type="dxa" w:w="1185"/>
            <w:tcBorders>
              <w:top w:color="000000" w:sz="4" w:val="single"/>
              <w:left w:color="000000" w:sz="4" w:val="single"/>
              <w:bottom w:color="000000" w:sz="4" w:val="single"/>
              <w:right w:color="000000" w:sz="4" w:val="single"/>
            </w:tcBorders>
            <w:shd w:fill="FFFFFF" w:val="clear"/>
            <w:vAlign w:val="center"/>
          </w:tcPr>
          <w:p w14:paraId="3C390000">
            <w:pPr>
              <w:widowControl w:val="1"/>
              <w:ind/>
              <w:jc w:val="center"/>
              <w:rPr>
                <w:sz w:val="18"/>
              </w:rPr>
            </w:pPr>
            <w:r>
              <w:rPr>
                <w:sz w:val="18"/>
              </w:rPr>
              <w:t>4320,00</w:t>
            </w:r>
          </w:p>
        </w:tc>
        <w:tc>
          <w:tcPr>
            <w:tcW w:type="dxa" w:w="1083"/>
            <w:tcBorders>
              <w:top w:color="000000" w:sz="4" w:val="single"/>
              <w:left w:color="000000" w:sz="4" w:val="single"/>
              <w:bottom w:color="000000" w:sz="4" w:val="single"/>
              <w:right w:color="000000" w:sz="4" w:val="single"/>
            </w:tcBorders>
            <w:shd w:fill="FFFFFF" w:val="clear"/>
            <w:vAlign w:val="center"/>
          </w:tcPr>
          <w:p w14:paraId="3D390000">
            <w:pPr>
              <w:widowControl w:val="1"/>
              <w:ind/>
              <w:jc w:val="center"/>
              <w:rPr>
                <w:sz w:val="18"/>
              </w:rPr>
            </w:pPr>
            <w:r>
              <w:rPr>
                <w:sz w:val="18"/>
              </w:rPr>
              <w:t>4320,00</w:t>
            </w:r>
          </w:p>
        </w:tc>
        <w:tc>
          <w:tcPr>
            <w:tcW w:type="dxa" w:w="771"/>
            <w:tcBorders>
              <w:top w:color="000000" w:sz="4" w:val="single"/>
              <w:left w:color="000000" w:sz="4" w:val="single"/>
              <w:bottom w:color="000000" w:sz="4" w:val="single"/>
              <w:right w:color="000000" w:sz="4" w:val="single"/>
            </w:tcBorders>
            <w:shd w:fill="FFFFFF" w:val="clear"/>
            <w:vAlign w:val="center"/>
          </w:tcPr>
          <w:p w14:paraId="3E39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3F390000">
            <w:pPr>
              <w:widowControl w:val="1"/>
              <w:ind/>
              <w:jc w:val="center"/>
              <w:rPr>
                <w:sz w:val="18"/>
              </w:rPr>
            </w:pPr>
            <w:r>
              <w:rPr>
                <w:sz w:val="18"/>
              </w:rPr>
              <w:t>июль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40390000">
            <w:pPr>
              <w:widowControl w:val="1"/>
              <w:ind/>
              <w:jc w:val="center"/>
              <w:rPr>
                <w:sz w:val="18"/>
              </w:rPr>
            </w:pPr>
            <w:r>
              <w:rPr>
                <w:sz w:val="18"/>
              </w:rPr>
              <w:t>счет № 98 от 17.07.2018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41390000">
            <w:pPr>
              <w:widowControl w:val="1"/>
              <w:ind/>
              <w:jc w:val="center"/>
              <w:rPr>
                <w:color w:val="000000"/>
                <w:sz w:val="18"/>
              </w:rPr>
            </w:pPr>
            <w:r>
              <w:rPr>
                <w:color w:val="000000"/>
                <w:sz w:val="18"/>
              </w:rPr>
              <w:t>174</w:t>
            </w:r>
          </w:p>
        </w:tc>
        <w:tc>
          <w:tcPr>
            <w:tcW w:type="dxa" w:w="618"/>
            <w:tcBorders>
              <w:top w:color="000000" w:sz="4" w:val="single"/>
              <w:left w:color="000000" w:sz="4" w:val="single"/>
              <w:bottom w:color="000000" w:sz="4" w:val="single"/>
              <w:right w:color="000000" w:sz="4" w:val="single"/>
            </w:tcBorders>
            <w:shd w:fill="FFFFFF" w:val="clear"/>
            <w:vAlign w:val="center"/>
          </w:tcPr>
          <w:p w14:paraId="42390000">
            <w:pPr>
              <w:widowControl w:val="1"/>
              <w:ind/>
              <w:jc w:val="center"/>
              <w:rPr>
                <w:sz w:val="18"/>
              </w:rPr>
            </w:pPr>
            <w:r>
              <w:rPr>
                <w:sz w:val="18"/>
              </w:rPr>
              <w:t>98/2</w:t>
            </w:r>
          </w:p>
        </w:tc>
        <w:tc>
          <w:tcPr>
            <w:tcW w:type="dxa" w:w="993"/>
            <w:tcBorders>
              <w:top w:color="000000" w:sz="4" w:val="single"/>
              <w:left w:color="000000" w:sz="4" w:val="single"/>
              <w:bottom w:color="000000" w:sz="4" w:val="single"/>
              <w:right w:color="000000" w:sz="4" w:val="single"/>
            </w:tcBorders>
            <w:shd w:fill="FFFFFF" w:val="clear"/>
            <w:vAlign w:val="center"/>
          </w:tcPr>
          <w:p w14:paraId="43390000">
            <w:pPr>
              <w:widowControl w:val="1"/>
              <w:ind/>
              <w:jc w:val="center"/>
              <w:rPr>
                <w:sz w:val="18"/>
              </w:rPr>
            </w:pPr>
            <w:r>
              <w:rPr>
                <w:sz w:val="18"/>
              </w:rPr>
              <w:t>выполнение работ по изготовлению штампов</w:t>
            </w:r>
          </w:p>
        </w:tc>
        <w:tc>
          <w:tcPr>
            <w:tcW w:type="dxa" w:w="849"/>
            <w:tcBorders>
              <w:top w:color="000000" w:sz="4" w:val="single"/>
              <w:left w:color="000000" w:sz="4" w:val="single"/>
              <w:bottom w:color="000000" w:sz="4" w:val="single"/>
              <w:right w:color="000000" w:sz="4" w:val="single"/>
            </w:tcBorders>
            <w:shd w:fill="FFFFFF" w:val="clear"/>
            <w:vAlign w:val="center"/>
          </w:tcPr>
          <w:p w14:paraId="4439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45390000">
            <w:pPr>
              <w:widowControl w:val="1"/>
              <w:ind/>
              <w:jc w:val="center"/>
              <w:rPr>
                <w:sz w:val="18"/>
              </w:rPr>
            </w:pPr>
            <w:r>
              <w:rPr>
                <w:sz w:val="18"/>
              </w:rPr>
              <w:t>4</w:t>
            </w:r>
          </w:p>
        </w:tc>
        <w:tc>
          <w:tcPr>
            <w:tcW w:type="dxa" w:w="991"/>
            <w:tcBorders>
              <w:top w:color="000000" w:sz="4" w:val="single"/>
              <w:left w:color="000000" w:sz="4" w:val="single"/>
              <w:bottom w:color="000000" w:sz="4" w:val="single"/>
              <w:right w:color="000000" w:sz="4" w:val="single"/>
            </w:tcBorders>
            <w:shd w:fill="FFFFFF" w:val="clear"/>
            <w:vAlign w:val="center"/>
          </w:tcPr>
          <w:p w14:paraId="46390000">
            <w:pPr>
              <w:widowControl w:val="1"/>
              <w:ind/>
              <w:jc w:val="center"/>
              <w:rPr>
                <w:sz w:val="18"/>
              </w:rPr>
            </w:pPr>
            <w:r>
              <w:rPr>
                <w:sz w:val="18"/>
              </w:rPr>
              <w:t>2400,00</w:t>
            </w:r>
          </w:p>
        </w:tc>
        <w:tc>
          <w:tcPr>
            <w:tcW w:type="dxa" w:w="1134"/>
            <w:tcBorders>
              <w:top w:color="000000" w:sz="4" w:val="single"/>
              <w:left w:color="000000" w:sz="4" w:val="single"/>
              <w:bottom w:color="000000" w:sz="4" w:val="single"/>
              <w:right w:color="000000" w:sz="4" w:val="single"/>
            </w:tcBorders>
            <w:shd w:fill="FFFFFF" w:val="clear"/>
            <w:vAlign w:val="center"/>
          </w:tcPr>
          <w:p w14:paraId="47390000">
            <w:pPr>
              <w:widowControl w:val="1"/>
              <w:ind/>
              <w:jc w:val="center"/>
              <w:rPr>
                <w:sz w:val="18"/>
              </w:rPr>
            </w:pPr>
            <w:r>
              <w:rPr>
                <w:sz w:val="18"/>
              </w:rPr>
              <w:t>2400,00</w:t>
            </w:r>
          </w:p>
        </w:tc>
        <w:tc>
          <w:tcPr>
            <w:tcW w:type="dxa" w:w="993"/>
            <w:tcBorders>
              <w:top w:color="000000" w:sz="4" w:val="single"/>
              <w:left w:color="000000" w:sz="4" w:val="single"/>
              <w:bottom w:color="000000" w:sz="4" w:val="single"/>
              <w:right w:color="000000" w:sz="4" w:val="single"/>
            </w:tcBorders>
            <w:shd w:fill="FFFFFF" w:val="clear"/>
            <w:vAlign w:val="center"/>
          </w:tcPr>
          <w:p w14:paraId="4839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49390000">
            <w:pPr>
              <w:widowControl w:val="1"/>
              <w:ind/>
              <w:jc w:val="center"/>
              <w:rPr>
                <w:sz w:val="18"/>
              </w:rPr>
            </w:pPr>
            <w:r>
              <w:rPr>
                <w:sz w:val="18"/>
              </w:rPr>
              <w:t>июль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4A39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4B39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4C390000">
            <w:pPr>
              <w:widowControl w:val="1"/>
              <w:ind/>
              <w:jc w:val="center"/>
              <w:rPr>
                <w:sz w:val="18"/>
              </w:rPr>
            </w:pPr>
            <w:r>
              <w:rPr>
                <w:sz w:val="18"/>
              </w:rPr>
              <w:t>4</w:t>
            </w:r>
          </w:p>
        </w:tc>
        <w:tc>
          <w:tcPr>
            <w:tcW w:type="dxa" w:w="1169"/>
            <w:tcBorders>
              <w:top w:color="000000" w:sz="4" w:val="single"/>
              <w:left w:color="000000" w:sz="4" w:val="single"/>
              <w:bottom w:color="000000" w:sz="4" w:val="single"/>
              <w:right w:color="000000" w:sz="4" w:val="single"/>
            </w:tcBorders>
            <w:shd w:fill="FFFFFF" w:val="clear"/>
            <w:vAlign w:val="center"/>
          </w:tcPr>
          <w:p w14:paraId="4D390000">
            <w:pPr>
              <w:widowControl w:val="1"/>
              <w:ind/>
              <w:jc w:val="center"/>
              <w:rPr>
                <w:sz w:val="18"/>
              </w:rPr>
            </w:pPr>
            <w:r>
              <w:rPr>
                <w:sz w:val="18"/>
              </w:rPr>
              <w:t>2400,00</w:t>
            </w:r>
          </w:p>
        </w:tc>
        <w:tc>
          <w:tcPr>
            <w:tcW w:type="dxa" w:w="1185"/>
            <w:tcBorders>
              <w:top w:color="000000" w:sz="4" w:val="single"/>
              <w:left w:color="000000" w:sz="4" w:val="single"/>
              <w:bottom w:color="000000" w:sz="4" w:val="single"/>
              <w:right w:color="000000" w:sz="4" w:val="single"/>
            </w:tcBorders>
            <w:shd w:fill="FFFFFF" w:val="clear"/>
            <w:vAlign w:val="center"/>
          </w:tcPr>
          <w:p w14:paraId="4E390000">
            <w:pPr>
              <w:widowControl w:val="1"/>
              <w:ind/>
              <w:jc w:val="center"/>
              <w:rPr>
                <w:sz w:val="18"/>
              </w:rPr>
            </w:pPr>
            <w:r>
              <w:rPr>
                <w:sz w:val="18"/>
              </w:rPr>
              <w:t>2400,00</w:t>
            </w:r>
          </w:p>
        </w:tc>
        <w:tc>
          <w:tcPr>
            <w:tcW w:type="dxa" w:w="1083"/>
            <w:tcBorders>
              <w:top w:color="000000" w:sz="4" w:val="single"/>
              <w:left w:color="000000" w:sz="4" w:val="single"/>
              <w:bottom w:color="000000" w:sz="4" w:val="single"/>
              <w:right w:color="000000" w:sz="4" w:val="single"/>
            </w:tcBorders>
            <w:shd w:fill="FFFFFF" w:val="clear"/>
            <w:vAlign w:val="center"/>
          </w:tcPr>
          <w:p w14:paraId="4F390000">
            <w:pPr>
              <w:widowControl w:val="1"/>
              <w:ind/>
              <w:jc w:val="center"/>
              <w:rPr>
                <w:sz w:val="18"/>
              </w:rPr>
            </w:pPr>
            <w:r>
              <w:rPr>
                <w:sz w:val="18"/>
              </w:rPr>
              <w:t>2400,00</w:t>
            </w:r>
          </w:p>
        </w:tc>
        <w:tc>
          <w:tcPr>
            <w:tcW w:type="dxa" w:w="771"/>
            <w:tcBorders>
              <w:top w:color="000000" w:sz="4" w:val="single"/>
              <w:left w:color="000000" w:sz="4" w:val="single"/>
              <w:bottom w:color="000000" w:sz="4" w:val="single"/>
              <w:right w:color="000000" w:sz="4" w:val="single"/>
            </w:tcBorders>
            <w:shd w:fill="FFFFFF" w:val="clear"/>
            <w:vAlign w:val="center"/>
          </w:tcPr>
          <w:p w14:paraId="5039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1390000">
            <w:pPr>
              <w:widowControl w:val="1"/>
              <w:ind/>
              <w:jc w:val="center"/>
              <w:rPr>
                <w:sz w:val="18"/>
              </w:rPr>
            </w:pPr>
            <w:r>
              <w:rPr>
                <w:sz w:val="18"/>
              </w:rPr>
              <w:t>июль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52390000">
            <w:pPr>
              <w:widowControl w:val="1"/>
              <w:ind/>
              <w:jc w:val="center"/>
              <w:rPr>
                <w:sz w:val="18"/>
              </w:rPr>
            </w:pPr>
            <w:r>
              <w:rPr>
                <w:sz w:val="18"/>
              </w:rPr>
              <w:t>счет № 28/244 от 25.07.2018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53390000">
            <w:pPr>
              <w:widowControl w:val="1"/>
              <w:ind/>
              <w:jc w:val="center"/>
              <w:rPr>
                <w:color w:val="000000"/>
                <w:sz w:val="18"/>
              </w:rPr>
            </w:pPr>
            <w:r>
              <w:rPr>
                <w:color w:val="000000"/>
                <w:sz w:val="18"/>
              </w:rPr>
              <w:t>175</w:t>
            </w:r>
          </w:p>
        </w:tc>
        <w:tc>
          <w:tcPr>
            <w:tcW w:type="dxa" w:w="618"/>
            <w:tcBorders>
              <w:top w:color="000000" w:sz="4" w:val="single"/>
              <w:left w:color="000000" w:sz="4" w:val="single"/>
              <w:bottom w:color="000000" w:sz="4" w:val="single"/>
              <w:right w:color="000000" w:sz="4" w:val="single"/>
            </w:tcBorders>
            <w:shd w:fill="FFFFFF" w:val="clear"/>
            <w:vAlign w:val="center"/>
          </w:tcPr>
          <w:p w14:paraId="54390000">
            <w:pPr>
              <w:widowControl w:val="1"/>
              <w:ind/>
              <w:jc w:val="center"/>
              <w:rPr>
                <w:sz w:val="18"/>
              </w:rPr>
            </w:pPr>
            <w:r>
              <w:rPr>
                <w:sz w:val="18"/>
              </w:rPr>
              <w:t>99/2</w:t>
            </w:r>
          </w:p>
        </w:tc>
        <w:tc>
          <w:tcPr>
            <w:tcW w:type="dxa" w:w="993"/>
            <w:tcBorders>
              <w:top w:color="000000" w:sz="4" w:val="single"/>
              <w:left w:color="000000" w:sz="4" w:val="single"/>
              <w:bottom w:color="000000" w:sz="4" w:val="single"/>
              <w:right w:color="000000" w:sz="4" w:val="single"/>
            </w:tcBorders>
            <w:shd w:fill="FFFFFF" w:val="clear"/>
            <w:vAlign w:val="center"/>
          </w:tcPr>
          <w:p w14:paraId="55390000">
            <w:pPr>
              <w:widowControl w:val="1"/>
              <w:ind/>
              <w:jc w:val="center"/>
              <w:rPr>
                <w:sz w:val="18"/>
              </w:rPr>
            </w:pPr>
            <w:r>
              <w:rPr>
                <w:sz w:val="18"/>
              </w:rPr>
              <w:t>оказание услуг по техническому обслуживанию автомобиля AUDI Q7</w:t>
            </w:r>
          </w:p>
        </w:tc>
        <w:tc>
          <w:tcPr>
            <w:tcW w:type="dxa" w:w="849"/>
            <w:tcBorders>
              <w:top w:color="000000" w:sz="4" w:val="single"/>
              <w:left w:color="000000" w:sz="4" w:val="single"/>
              <w:bottom w:color="000000" w:sz="4" w:val="single"/>
              <w:right w:color="000000" w:sz="4" w:val="single"/>
            </w:tcBorders>
            <w:shd w:fill="FFFFFF" w:val="clear"/>
            <w:vAlign w:val="center"/>
          </w:tcPr>
          <w:p w14:paraId="5639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5739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58390000">
            <w:pPr>
              <w:widowControl w:val="1"/>
              <w:ind/>
              <w:jc w:val="center"/>
              <w:rPr>
                <w:sz w:val="18"/>
              </w:rPr>
            </w:pPr>
            <w:r>
              <w:rPr>
                <w:sz w:val="18"/>
              </w:rPr>
              <w:t>16548,00</w:t>
            </w:r>
          </w:p>
        </w:tc>
        <w:tc>
          <w:tcPr>
            <w:tcW w:type="dxa" w:w="1134"/>
            <w:tcBorders>
              <w:top w:color="000000" w:sz="4" w:val="single"/>
              <w:left w:color="000000" w:sz="4" w:val="single"/>
              <w:bottom w:color="000000" w:sz="4" w:val="single"/>
              <w:right w:color="000000" w:sz="4" w:val="single"/>
            </w:tcBorders>
            <w:shd w:fill="FFFFFF" w:val="clear"/>
            <w:vAlign w:val="center"/>
          </w:tcPr>
          <w:p w14:paraId="59390000">
            <w:pPr>
              <w:widowControl w:val="1"/>
              <w:ind/>
              <w:jc w:val="center"/>
              <w:rPr>
                <w:sz w:val="18"/>
              </w:rPr>
            </w:pPr>
            <w:r>
              <w:rPr>
                <w:sz w:val="18"/>
              </w:rPr>
              <w:t>16548,00</w:t>
            </w:r>
          </w:p>
        </w:tc>
        <w:tc>
          <w:tcPr>
            <w:tcW w:type="dxa" w:w="993"/>
            <w:tcBorders>
              <w:top w:color="000000" w:sz="4" w:val="single"/>
              <w:left w:color="000000" w:sz="4" w:val="single"/>
              <w:bottom w:color="000000" w:sz="4" w:val="single"/>
              <w:right w:color="000000" w:sz="4" w:val="single"/>
            </w:tcBorders>
            <w:shd w:fill="FFFFFF" w:val="clear"/>
            <w:vAlign w:val="center"/>
          </w:tcPr>
          <w:p w14:paraId="5A390000">
            <w:pPr>
              <w:widowControl w:val="1"/>
              <w:ind/>
              <w:jc w:val="center"/>
              <w:rPr>
                <w:sz w:val="18"/>
              </w:rPr>
            </w:pPr>
            <w:r>
              <w:rPr>
                <w:sz w:val="18"/>
              </w:rPr>
              <w:t>июнь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5B390000">
            <w:pPr>
              <w:widowControl w:val="1"/>
              <w:ind/>
              <w:jc w:val="center"/>
              <w:rPr>
                <w:sz w:val="18"/>
              </w:rPr>
            </w:pPr>
            <w:r>
              <w:rPr>
                <w:sz w:val="18"/>
              </w:rPr>
              <w:t>июнь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5C39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5D39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5E39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5F390000">
            <w:pPr>
              <w:widowControl w:val="1"/>
              <w:ind/>
              <w:jc w:val="center"/>
              <w:rPr>
                <w:sz w:val="18"/>
              </w:rPr>
            </w:pPr>
            <w:r>
              <w:rPr>
                <w:sz w:val="18"/>
              </w:rPr>
              <w:t>16548,00</w:t>
            </w:r>
          </w:p>
        </w:tc>
        <w:tc>
          <w:tcPr>
            <w:tcW w:type="dxa" w:w="1185"/>
            <w:tcBorders>
              <w:top w:color="000000" w:sz="4" w:val="single"/>
              <w:left w:color="000000" w:sz="4" w:val="single"/>
              <w:bottom w:color="000000" w:sz="4" w:val="single"/>
              <w:right w:color="000000" w:sz="4" w:val="single"/>
            </w:tcBorders>
            <w:shd w:fill="FFFFFF" w:val="clear"/>
            <w:vAlign w:val="center"/>
          </w:tcPr>
          <w:p w14:paraId="60390000">
            <w:pPr>
              <w:widowControl w:val="1"/>
              <w:ind/>
              <w:jc w:val="center"/>
              <w:rPr>
                <w:sz w:val="18"/>
              </w:rPr>
            </w:pPr>
            <w:r>
              <w:rPr>
                <w:sz w:val="18"/>
              </w:rPr>
              <w:t>16548,00</w:t>
            </w:r>
          </w:p>
        </w:tc>
        <w:tc>
          <w:tcPr>
            <w:tcW w:type="dxa" w:w="1083"/>
            <w:tcBorders>
              <w:top w:color="000000" w:sz="4" w:val="single"/>
              <w:left w:color="000000" w:sz="4" w:val="single"/>
              <w:bottom w:color="000000" w:sz="4" w:val="single"/>
              <w:right w:color="000000" w:sz="4" w:val="single"/>
            </w:tcBorders>
            <w:shd w:fill="FFFFFF" w:val="clear"/>
            <w:vAlign w:val="center"/>
          </w:tcPr>
          <w:p w14:paraId="61390000">
            <w:pPr>
              <w:widowControl w:val="1"/>
              <w:ind/>
              <w:jc w:val="center"/>
              <w:rPr>
                <w:sz w:val="18"/>
              </w:rPr>
            </w:pPr>
            <w:r>
              <w:rPr>
                <w:sz w:val="18"/>
              </w:rPr>
              <w:t>16548,00</w:t>
            </w:r>
          </w:p>
        </w:tc>
        <w:tc>
          <w:tcPr>
            <w:tcW w:type="dxa" w:w="771"/>
            <w:tcBorders>
              <w:top w:color="000000" w:sz="4" w:val="single"/>
              <w:left w:color="000000" w:sz="4" w:val="single"/>
              <w:bottom w:color="000000" w:sz="4" w:val="single"/>
              <w:right w:color="000000" w:sz="4" w:val="single"/>
            </w:tcBorders>
            <w:shd w:fill="FFFFFF" w:val="clear"/>
            <w:vAlign w:val="center"/>
          </w:tcPr>
          <w:p w14:paraId="62390000">
            <w:pPr>
              <w:widowControl w:val="1"/>
              <w:ind/>
              <w:jc w:val="center"/>
              <w:rPr>
                <w:sz w:val="18"/>
              </w:rPr>
            </w:pPr>
            <w:r>
              <w:rPr>
                <w:sz w:val="18"/>
              </w:rPr>
              <w:t>июнь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63390000">
            <w:pPr>
              <w:widowControl w:val="1"/>
              <w:ind/>
              <w:jc w:val="center"/>
              <w:rPr>
                <w:sz w:val="18"/>
              </w:rPr>
            </w:pPr>
            <w:r>
              <w:rPr>
                <w:sz w:val="18"/>
              </w:rPr>
              <w:t>июнь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64390000">
            <w:pPr>
              <w:widowControl w:val="1"/>
              <w:ind/>
              <w:jc w:val="center"/>
              <w:rPr>
                <w:sz w:val="18"/>
              </w:rPr>
            </w:pPr>
            <w:r>
              <w:rPr>
                <w:sz w:val="18"/>
              </w:rPr>
              <w:t>счет № 0090422 от 29.06.2018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65390000">
            <w:pPr>
              <w:widowControl w:val="1"/>
              <w:ind/>
              <w:jc w:val="center"/>
              <w:rPr>
                <w:color w:val="000000"/>
                <w:sz w:val="18"/>
              </w:rPr>
            </w:pPr>
            <w:r>
              <w:rPr>
                <w:color w:val="000000"/>
                <w:sz w:val="18"/>
              </w:rPr>
              <w:t>176</w:t>
            </w:r>
          </w:p>
        </w:tc>
        <w:tc>
          <w:tcPr>
            <w:tcW w:type="dxa" w:w="618"/>
            <w:tcBorders>
              <w:top w:color="000000" w:sz="4" w:val="single"/>
              <w:left w:color="000000" w:sz="4" w:val="single"/>
              <w:bottom w:color="000000" w:sz="4" w:val="single"/>
              <w:right w:color="000000" w:sz="4" w:val="single"/>
            </w:tcBorders>
            <w:shd w:fill="FFFFFF" w:val="clear"/>
            <w:vAlign w:val="center"/>
          </w:tcPr>
          <w:p w14:paraId="66390000">
            <w:pPr>
              <w:widowControl w:val="1"/>
              <w:ind/>
              <w:jc w:val="center"/>
              <w:rPr>
                <w:sz w:val="18"/>
              </w:rPr>
            </w:pPr>
            <w:r>
              <w:rPr>
                <w:sz w:val="18"/>
              </w:rPr>
              <w:t>100/2</w:t>
            </w:r>
          </w:p>
        </w:tc>
        <w:tc>
          <w:tcPr>
            <w:tcW w:type="dxa" w:w="993"/>
            <w:tcBorders>
              <w:top w:color="000000" w:sz="4" w:val="single"/>
              <w:left w:color="000000" w:sz="4" w:val="single"/>
              <w:bottom w:color="000000" w:sz="4" w:val="single"/>
              <w:right w:color="000000" w:sz="4" w:val="single"/>
            </w:tcBorders>
            <w:shd w:fill="FFFFFF" w:val="clear"/>
            <w:vAlign w:val="center"/>
          </w:tcPr>
          <w:p w14:paraId="67390000">
            <w:pPr>
              <w:widowControl w:val="1"/>
              <w:ind/>
              <w:jc w:val="center"/>
              <w:rPr>
                <w:color w:val="000000"/>
                <w:sz w:val="18"/>
              </w:rPr>
            </w:pPr>
            <w:r>
              <w:rPr>
                <w:color w:val="000000"/>
                <w:sz w:val="18"/>
              </w:rPr>
              <w:t>Поставка офисных кресел</w:t>
            </w:r>
          </w:p>
        </w:tc>
        <w:tc>
          <w:tcPr>
            <w:tcW w:type="dxa" w:w="849"/>
            <w:tcBorders>
              <w:top w:color="000000" w:sz="4" w:val="single"/>
              <w:left w:color="000000" w:sz="4" w:val="single"/>
              <w:bottom w:color="000000" w:sz="4" w:val="single"/>
              <w:right w:color="000000" w:sz="4" w:val="single"/>
            </w:tcBorders>
            <w:shd w:fill="FFFFFF" w:val="clear"/>
            <w:vAlign w:val="center"/>
          </w:tcPr>
          <w:p w14:paraId="6839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69390000">
            <w:pPr>
              <w:widowControl w:val="1"/>
              <w:ind/>
              <w:jc w:val="center"/>
              <w:rPr>
                <w:color w:val="000000"/>
                <w:sz w:val="18"/>
              </w:rPr>
            </w:pPr>
            <w:r>
              <w:rPr>
                <w:color w:val="000000"/>
                <w:sz w:val="18"/>
              </w:rPr>
              <w:t>8</w:t>
            </w:r>
          </w:p>
        </w:tc>
        <w:tc>
          <w:tcPr>
            <w:tcW w:type="dxa" w:w="991"/>
            <w:tcBorders>
              <w:top w:color="000000" w:sz="4" w:val="single"/>
              <w:left w:color="000000" w:sz="4" w:val="single"/>
              <w:bottom w:color="000000" w:sz="4" w:val="single"/>
              <w:right w:color="000000" w:sz="4" w:val="single"/>
            </w:tcBorders>
            <w:shd w:fill="FFFFFF" w:val="clear"/>
            <w:vAlign w:val="center"/>
          </w:tcPr>
          <w:p w14:paraId="6A390000">
            <w:pPr>
              <w:widowControl w:val="1"/>
              <w:ind/>
              <w:jc w:val="center"/>
              <w:rPr>
                <w:color w:val="000000"/>
                <w:sz w:val="18"/>
              </w:rPr>
            </w:pPr>
            <w:r>
              <w:rPr>
                <w:color w:val="000000"/>
                <w:sz w:val="18"/>
              </w:rPr>
              <w:t>30366,10</w:t>
            </w:r>
          </w:p>
        </w:tc>
        <w:tc>
          <w:tcPr>
            <w:tcW w:type="dxa" w:w="1134"/>
            <w:tcBorders>
              <w:top w:color="000000" w:sz="4" w:val="single"/>
              <w:left w:color="000000" w:sz="4" w:val="single"/>
              <w:bottom w:color="000000" w:sz="4" w:val="single"/>
              <w:right w:color="000000" w:sz="4" w:val="single"/>
            </w:tcBorders>
            <w:shd w:fill="FFFFFF" w:val="clear"/>
            <w:vAlign w:val="center"/>
          </w:tcPr>
          <w:p w14:paraId="6B390000">
            <w:pPr>
              <w:widowControl w:val="1"/>
              <w:ind/>
              <w:jc w:val="center"/>
              <w:rPr>
                <w:color w:val="000000"/>
                <w:sz w:val="18"/>
              </w:rPr>
            </w:pPr>
            <w:r>
              <w:rPr>
                <w:color w:val="000000"/>
                <w:sz w:val="18"/>
              </w:rPr>
              <w:t>35832,00</w:t>
            </w:r>
          </w:p>
        </w:tc>
        <w:tc>
          <w:tcPr>
            <w:tcW w:type="dxa" w:w="993"/>
            <w:tcBorders>
              <w:top w:color="000000" w:sz="4" w:val="single"/>
              <w:left w:color="000000" w:sz="4" w:val="single"/>
              <w:bottom w:color="000000" w:sz="4" w:val="single"/>
              <w:right w:color="000000" w:sz="4" w:val="single"/>
            </w:tcBorders>
            <w:shd w:fill="FFFFFF" w:val="clear"/>
            <w:vAlign w:val="center"/>
          </w:tcPr>
          <w:p w14:paraId="6C390000">
            <w:pPr>
              <w:widowControl w:val="1"/>
              <w:ind/>
              <w:jc w:val="center"/>
              <w:rPr>
                <w:color w:val="000000"/>
                <w:sz w:val="18"/>
              </w:rPr>
            </w:pPr>
            <w:r>
              <w:rPr>
                <w:color w:val="000000"/>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6D390000">
            <w:pPr>
              <w:widowControl w:val="1"/>
              <w:ind/>
              <w:jc w:val="center"/>
              <w:rPr>
                <w:color w:val="000000"/>
                <w:sz w:val="18"/>
              </w:rPr>
            </w:pPr>
            <w:r>
              <w:rPr>
                <w:color w:val="000000"/>
                <w:sz w:val="18"/>
              </w:rPr>
              <w:t>июль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6E39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6F39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70390000">
            <w:pPr>
              <w:widowControl w:val="1"/>
              <w:ind/>
              <w:jc w:val="center"/>
              <w:rPr>
                <w:color w:val="000000"/>
                <w:sz w:val="18"/>
              </w:rPr>
            </w:pPr>
            <w:r>
              <w:rPr>
                <w:color w:val="000000"/>
                <w:sz w:val="18"/>
              </w:rPr>
              <w:t>8</w:t>
            </w:r>
          </w:p>
        </w:tc>
        <w:tc>
          <w:tcPr>
            <w:tcW w:type="dxa" w:w="1169"/>
            <w:tcBorders>
              <w:top w:color="000000" w:sz="4" w:val="single"/>
              <w:left w:color="000000" w:sz="4" w:val="single"/>
              <w:bottom w:color="000000" w:sz="4" w:val="single"/>
              <w:right w:color="000000" w:sz="4" w:val="single"/>
            </w:tcBorders>
            <w:shd w:fill="FFFFFF" w:val="clear"/>
            <w:vAlign w:val="center"/>
          </w:tcPr>
          <w:p w14:paraId="71390000">
            <w:pPr>
              <w:widowControl w:val="1"/>
              <w:ind/>
              <w:jc w:val="center"/>
              <w:rPr>
                <w:color w:val="000000"/>
                <w:sz w:val="18"/>
              </w:rPr>
            </w:pPr>
            <w:r>
              <w:rPr>
                <w:color w:val="000000"/>
                <w:sz w:val="18"/>
              </w:rPr>
              <w:t>30366,10</w:t>
            </w:r>
          </w:p>
        </w:tc>
        <w:tc>
          <w:tcPr>
            <w:tcW w:type="dxa" w:w="1185"/>
            <w:tcBorders>
              <w:top w:color="000000" w:sz="4" w:val="single"/>
              <w:left w:color="000000" w:sz="4" w:val="single"/>
              <w:bottom w:color="000000" w:sz="4" w:val="single"/>
              <w:right w:color="000000" w:sz="4" w:val="single"/>
            </w:tcBorders>
            <w:shd w:fill="FFFFFF" w:val="clear"/>
            <w:vAlign w:val="center"/>
          </w:tcPr>
          <w:p w14:paraId="72390000">
            <w:pPr>
              <w:widowControl w:val="1"/>
              <w:ind/>
              <w:jc w:val="center"/>
              <w:rPr>
                <w:color w:val="000000"/>
                <w:sz w:val="18"/>
              </w:rPr>
            </w:pPr>
            <w:r>
              <w:rPr>
                <w:color w:val="000000"/>
                <w:sz w:val="18"/>
              </w:rPr>
              <w:t>35832,00</w:t>
            </w:r>
          </w:p>
        </w:tc>
        <w:tc>
          <w:tcPr>
            <w:tcW w:type="dxa" w:w="1083"/>
            <w:tcBorders>
              <w:top w:color="000000" w:sz="4" w:val="single"/>
              <w:left w:color="000000" w:sz="4" w:val="single"/>
              <w:bottom w:color="000000" w:sz="4" w:val="single"/>
              <w:right w:color="000000" w:sz="4" w:val="single"/>
            </w:tcBorders>
            <w:shd w:fill="FFFFFF" w:val="clear"/>
            <w:vAlign w:val="center"/>
          </w:tcPr>
          <w:p w14:paraId="73390000">
            <w:pPr>
              <w:widowControl w:val="1"/>
              <w:ind/>
              <w:jc w:val="center"/>
              <w:rPr>
                <w:color w:val="000000"/>
                <w:sz w:val="18"/>
              </w:rPr>
            </w:pPr>
            <w:r>
              <w:rPr>
                <w:color w:val="000000"/>
                <w:sz w:val="18"/>
              </w:rPr>
              <w:t>35832,00</w:t>
            </w:r>
          </w:p>
        </w:tc>
        <w:tc>
          <w:tcPr>
            <w:tcW w:type="dxa" w:w="771"/>
            <w:tcBorders>
              <w:top w:color="000000" w:sz="4" w:val="single"/>
              <w:left w:color="000000" w:sz="4" w:val="single"/>
              <w:bottom w:color="000000" w:sz="4" w:val="single"/>
              <w:right w:color="000000" w:sz="4" w:val="single"/>
            </w:tcBorders>
            <w:shd w:fill="FFFFFF" w:val="clear"/>
            <w:vAlign w:val="center"/>
          </w:tcPr>
          <w:p w14:paraId="74390000">
            <w:pPr>
              <w:widowControl w:val="1"/>
              <w:ind/>
              <w:jc w:val="center"/>
              <w:rPr>
                <w:color w:val="000000"/>
                <w:sz w:val="18"/>
              </w:rPr>
            </w:pPr>
            <w:r>
              <w:rPr>
                <w:color w:val="000000"/>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75390000">
            <w:pPr>
              <w:widowControl w:val="1"/>
              <w:ind/>
              <w:jc w:val="center"/>
              <w:rPr>
                <w:color w:val="000000"/>
                <w:sz w:val="18"/>
              </w:rPr>
            </w:pPr>
            <w:r>
              <w:rPr>
                <w:color w:val="000000"/>
                <w:sz w:val="18"/>
              </w:rPr>
              <w:t>июль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76390000">
            <w:pPr>
              <w:widowControl w:val="1"/>
              <w:ind/>
              <w:jc w:val="center"/>
              <w:rPr>
                <w:sz w:val="18"/>
              </w:rPr>
            </w:pPr>
            <w:r>
              <w:rPr>
                <w:sz w:val="18"/>
              </w:rPr>
              <w:t>счет № ДЭСКШ-9514 от 23.07.2018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77390000">
            <w:pPr>
              <w:widowControl w:val="1"/>
              <w:ind/>
              <w:jc w:val="center"/>
              <w:rPr>
                <w:color w:val="000000"/>
                <w:sz w:val="18"/>
              </w:rPr>
            </w:pPr>
            <w:r>
              <w:rPr>
                <w:color w:val="000000"/>
                <w:sz w:val="18"/>
              </w:rPr>
              <w:t>177</w:t>
            </w:r>
          </w:p>
        </w:tc>
        <w:tc>
          <w:tcPr>
            <w:tcW w:type="dxa" w:w="618"/>
            <w:tcBorders>
              <w:top w:color="000000" w:sz="4" w:val="single"/>
              <w:left w:color="000000" w:sz="4" w:val="single"/>
              <w:bottom w:color="000000" w:sz="4" w:val="single"/>
              <w:right w:color="000000" w:sz="4" w:val="single"/>
            </w:tcBorders>
            <w:shd w:fill="FFFFFF" w:val="clear"/>
            <w:vAlign w:val="center"/>
          </w:tcPr>
          <w:p w14:paraId="78390000">
            <w:pPr>
              <w:widowControl w:val="1"/>
              <w:ind/>
              <w:jc w:val="center"/>
              <w:rPr>
                <w:sz w:val="18"/>
              </w:rPr>
            </w:pPr>
            <w:r>
              <w:rPr>
                <w:sz w:val="18"/>
              </w:rPr>
              <w:t>101/2</w:t>
            </w:r>
          </w:p>
        </w:tc>
        <w:tc>
          <w:tcPr>
            <w:tcW w:type="dxa" w:w="993"/>
            <w:tcBorders>
              <w:top w:color="000000" w:sz="4" w:val="single"/>
              <w:left w:color="000000" w:sz="4" w:val="single"/>
              <w:bottom w:color="000000" w:sz="4" w:val="single"/>
              <w:right w:color="000000" w:sz="4" w:val="single"/>
            </w:tcBorders>
            <w:shd w:fill="FFFFFF" w:val="clear"/>
            <w:vAlign w:val="center"/>
          </w:tcPr>
          <w:p w14:paraId="79390000">
            <w:pPr>
              <w:widowControl w:val="1"/>
              <w:ind/>
              <w:jc w:val="center"/>
              <w:rPr>
                <w:sz w:val="18"/>
              </w:rPr>
            </w:pPr>
            <w:r>
              <w:rPr>
                <w:sz w:val="18"/>
              </w:rPr>
              <w:t>оказание услуг по техническому обслуживанию автомобиля ПЕЖО</w:t>
            </w:r>
          </w:p>
        </w:tc>
        <w:tc>
          <w:tcPr>
            <w:tcW w:type="dxa" w:w="849"/>
            <w:tcBorders>
              <w:top w:color="000000" w:sz="4" w:val="single"/>
              <w:left w:color="000000" w:sz="4" w:val="single"/>
              <w:bottom w:color="000000" w:sz="4" w:val="single"/>
              <w:right w:color="000000" w:sz="4" w:val="single"/>
            </w:tcBorders>
            <w:shd w:fill="FFFFFF" w:val="clear"/>
            <w:vAlign w:val="center"/>
          </w:tcPr>
          <w:p w14:paraId="7A39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7B39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7C390000">
            <w:pPr>
              <w:widowControl w:val="1"/>
              <w:ind/>
              <w:jc w:val="center"/>
              <w:rPr>
                <w:sz w:val="18"/>
              </w:rPr>
            </w:pPr>
            <w:r>
              <w:rPr>
                <w:sz w:val="18"/>
              </w:rPr>
              <w:t>6601,00</w:t>
            </w:r>
          </w:p>
        </w:tc>
        <w:tc>
          <w:tcPr>
            <w:tcW w:type="dxa" w:w="1134"/>
            <w:tcBorders>
              <w:top w:color="000000" w:sz="4" w:val="single"/>
              <w:left w:color="000000" w:sz="4" w:val="single"/>
              <w:bottom w:color="000000" w:sz="4" w:val="single"/>
              <w:right w:color="000000" w:sz="4" w:val="single"/>
            </w:tcBorders>
            <w:shd w:fill="FFFFFF" w:val="clear"/>
            <w:vAlign w:val="center"/>
          </w:tcPr>
          <w:p w14:paraId="7D390000">
            <w:pPr>
              <w:widowControl w:val="1"/>
              <w:ind/>
              <w:jc w:val="center"/>
              <w:rPr>
                <w:sz w:val="18"/>
              </w:rPr>
            </w:pPr>
            <w:r>
              <w:rPr>
                <w:sz w:val="18"/>
              </w:rPr>
              <w:t>6601,00</w:t>
            </w:r>
          </w:p>
        </w:tc>
        <w:tc>
          <w:tcPr>
            <w:tcW w:type="dxa" w:w="993"/>
            <w:tcBorders>
              <w:top w:color="000000" w:sz="4" w:val="single"/>
              <w:left w:color="000000" w:sz="4" w:val="single"/>
              <w:bottom w:color="000000" w:sz="4" w:val="single"/>
              <w:right w:color="000000" w:sz="4" w:val="single"/>
            </w:tcBorders>
            <w:shd w:fill="FFFFFF" w:val="clear"/>
            <w:vAlign w:val="center"/>
          </w:tcPr>
          <w:p w14:paraId="7E39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7F390000">
            <w:pPr>
              <w:widowControl w:val="1"/>
              <w:ind/>
              <w:jc w:val="center"/>
              <w:rPr>
                <w:sz w:val="18"/>
              </w:rPr>
            </w:pPr>
            <w:r>
              <w:rPr>
                <w:sz w:val="18"/>
              </w:rPr>
              <w:t>июль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8039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8139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8239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83390000">
            <w:pPr>
              <w:widowControl w:val="1"/>
              <w:ind/>
              <w:jc w:val="center"/>
              <w:rPr>
                <w:sz w:val="18"/>
              </w:rPr>
            </w:pPr>
            <w:r>
              <w:rPr>
                <w:sz w:val="18"/>
              </w:rPr>
              <w:t>6601,00</w:t>
            </w:r>
          </w:p>
        </w:tc>
        <w:tc>
          <w:tcPr>
            <w:tcW w:type="dxa" w:w="1185"/>
            <w:tcBorders>
              <w:top w:color="000000" w:sz="4" w:val="single"/>
              <w:left w:color="000000" w:sz="4" w:val="single"/>
              <w:bottom w:color="000000" w:sz="4" w:val="single"/>
              <w:right w:color="000000" w:sz="4" w:val="single"/>
            </w:tcBorders>
            <w:shd w:fill="FFFFFF" w:val="clear"/>
            <w:vAlign w:val="center"/>
          </w:tcPr>
          <w:p w14:paraId="84390000">
            <w:pPr>
              <w:widowControl w:val="1"/>
              <w:ind/>
              <w:jc w:val="center"/>
              <w:rPr>
                <w:sz w:val="18"/>
              </w:rPr>
            </w:pPr>
            <w:r>
              <w:rPr>
                <w:sz w:val="18"/>
              </w:rPr>
              <w:t>6601,00</w:t>
            </w:r>
          </w:p>
        </w:tc>
        <w:tc>
          <w:tcPr>
            <w:tcW w:type="dxa" w:w="1083"/>
            <w:tcBorders>
              <w:top w:color="000000" w:sz="4" w:val="single"/>
              <w:left w:color="000000" w:sz="4" w:val="single"/>
              <w:bottom w:color="000000" w:sz="4" w:val="single"/>
              <w:right w:color="000000" w:sz="4" w:val="single"/>
            </w:tcBorders>
            <w:shd w:fill="FFFFFF" w:val="clear"/>
            <w:vAlign w:val="center"/>
          </w:tcPr>
          <w:p w14:paraId="85390000">
            <w:pPr>
              <w:widowControl w:val="1"/>
              <w:ind/>
              <w:jc w:val="center"/>
              <w:rPr>
                <w:sz w:val="18"/>
              </w:rPr>
            </w:pPr>
            <w:r>
              <w:rPr>
                <w:sz w:val="18"/>
              </w:rPr>
              <w:t>6601,00</w:t>
            </w:r>
          </w:p>
        </w:tc>
        <w:tc>
          <w:tcPr>
            <w:tcW w:type="dxa" w:w="771"/>
            <w:tcBorders>
              <w:top w:color="000000" w:sz="4" w:val="single"/>
              <w:left w:color="000000" w:sz="4" w:val="single"/>
              <w:bottom w:color="000000" w:sz="4" w:val="single"/>
              <w:right w:color="000000" w:sz="4" w:val="single"/>
            </w:tcBorders>
            <w:shd w:fill="FFFFFF" w:val="clear"/>
            <w:vAlign w:val="center"/>
          </w:tcPr>
          <w:p w14:paraId="8639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87390000">
            <w:pPr>
              <w:widowControl w:val="1"/>
              <w:ind/>
              <w:jc w:val="center"/>
              <w:rPr>
                <w:sz w:val="18"/>
              </w:rPr>
            </w:pPr>
            <w:r>
              <w:rPr>
                <w:sz w:val="18"/>
              </w:rPr>
              <w:t>июль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88390000">
            <w:pPr>
              <w:widowControl w:val="1"/>
              <w:ind/>
              <w:jc w:val="center"/>
              <w:rPr>
                <w:sz w:val="18"/>
              </w:rPr>
            </w:pPr>
            <w:r>
              <w:rPr>
                <w:sz w:val="18"/>
              </w:rPr>
              <w:t>счет № ССР0000333 от 13.07.2018</w:t>
            </w:r>
          </w:p>
        </w:tc>
      </w:tr>
      <w:tr>
        <w:trPr>
          <w:trHeight w:hRule="atLeast" w:val="1785"/>
        </w:trPr>
        <w:tc>
          <w:tcPr>
            <w:tcW w:type="dxa" w:w="708"/>
            <w:tcBorders>
              <w:top w:color="000000" w:sz="4" w:val="single"/>
              <w:left w:color="000000" w:sz="4" w:val="single"/>
              <w:bottom w:color="000000" w:sz="4" w:val="single"/>
              <w:right w:color="000000" w:sz="4" w:val="single"/>
            </w:tcBorders>
            <w:shd w:fill="auto" w:val="clear"/>
            <w:vAlign w:val="center"/>
          </w:tcPr>
          <w:p w14:paraId="89390000">
            <w:pPr>
              <w:widowControl w:val="1"/>
              <w:ind/>
              <w:jc w:val="center"/>
              <w:rPr>
                <w:color w:val="000000"/>
                <w:sz w:val="18"/>
              </w:rPr>
            </w:pPr>
            <w:r>
              <w:rPr>
                <w:color w:val="000000"/>
                <w:sz w:val="18"/>
              </w:rPr>
              <w:t>178</w:t>
            </w:r>
          </w:p>
        </w:tc>
        <w:tc>
          <w:tcPr>
            <w:tcW w:type="dxa" w:w="618"/>
            <w:tcBorders>
              <w:top w:color="000000" w:sz="4" w:val="single"/>
              <w:left w:color="000000" w:sz="4" w:val="single"/>
              <w:bottom w:color="000000" w:sz="4" w:val="single"/>
              <w:right w:color="000000" w:sz="4" w:val="single"/>
            </w:tcBorders>
            <w:shd w:fill="FFFFFF" w:val="clear"/>
            <w:vAlign w:val="center"/>
          </w:tcPr>
          <w:p w14:paraId="8A390000">
            <w:pPr>
              <w:widowControl w:val="1"/>
              <w:ind/>
              <w:jc w:val="center"/>
              <w:rPr>
                <w:sz w:val="18"/>
              </w:rPr>
            </w:pPr>
            <w:r>
              <w:rPr>
                <w:sz w:val="18"/>
              </w:rPr>
              <w:t>102/2</w:t>
            </w:r>
          </w:p>
        </w:tc>
        <w:tc>
          <w:tcPr>
            <w:tcW w:type="dxa" w:w="993"/>
            <w:tcBorders>
              <w:top w:color="000000" w:sz="4" w:val="single"/>
              <w:left w:color="000000" w:sz="4" w:val="single"/>
              <w:bottom w:color="000000" w:sz="4" w:val="single"/>
              <w:right w:color="000000" w:sz="4" w:val="single"/>
            </w:tcBorders>
            <w:shd w:fill="FFFFFF" w:val="clear"/>
            <w:vAlign w:val="center"/>
          </w:tcPr>
          <w:p w14:paraId="8B390000">
            <w:pPr>
              <w:widowControl w:val="1"/>
              <w:ind/>
              <w:jc w:val="center"/>
              <w:rPr>
                <w:sz w:val="18"/>
              </w:rPr>
            </w:pPr>
            <w:r>
              <w:rPr>
                <w:sz w:val="18"/>
              </w:rPr>
              <w:t>Выполнение работ по доработке официального сайта АО "Краспригород"</w:t>
            </w:r>
          </w:p>
        </w:tc>
        <w:tc>
          <w:tcPr>
            <w:tcW w:type="dxa" w:w="849"/>
            <w:tcBorders>
              <w:top w:color="000000" w:sz="4" w:val="single"/>
              <w:left w:color="000000" w:sz="4" w:val="single"/>
              <w:bottom w:color="000000" w:sz="4" w:val="single"/>
              <w:right w:color="000000" w:sz="4" w:val="single"/>
            </w:tcBorders>
            <w:shd w:fill="FFFFFF" w:val="clear"/>
            <w:vAlign w:val="center"/>
          </w:tcPr>
          <w:p w14:paraId="8C39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8D39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8E390000">
            <w:pPr>
              <w:widowControl w:val="1"/>
              <w:ind/>
              <w:jc w:val="center"/>
              <w:rPr>
                <w:sz w:val="18"/>
              </w:rPr>
            </w:pPr>
            <w:r>
              <w:rPr>
                <w:sz w:val="18"/>
              </w:rPr>
              <w:t>19000,00</w:t>
            </w:r>
          </w:p>
        </w:tc>
        <w:tc>
          <w:tcPr>
            <w:tcW w:type="dxa" w:w="1134"/>
            <w:tcBorders>
              <w:top w:color="000000" w:sz="4" w:val="single"/>
              <w:left w:color="000000" w:sz="4" w:val="single"/>
              <w:bottom w:color="000000" w:sz="4" w:val="single"/>
              <w:right w:color="000000" w:sz="4" w:val="single"/>
            </w:tcBorders>
            <w:shd w:fill="FFFFFF" w:val="clear"/>
            <w:vAlign w:val="center"/>
          </w:tcPr>
          <w:p w14:paraId="8F390000">
            <w:pPr>
              <w:widowControl w:val="1"/>
              <w:ind/>
              <w:jc w:val="center"/>
              <w:rPr>
                <w:sz w:val="18"/>
              </w:rPr>
            </w:pPr>
            <w:r>
              <w:rPr>
                <w:sz w:val="18"/>
              </w:rPr>
              <w:t>19000,00</w:t>
            </w:r>
          </w:p>
        </w:tc>
        <w:tc>
          <w:tcPr>
            <w:tcW w:type="dxa" w:w="993"/>
            <w:tcBorders>
              <w:top w:color="000000" w:sz="4" w:val="single"/>
              <w:left w:color="000000" w:sz="4" w:val="single"/>
              <w:bottom w:color="000000" w:sz="4" w:val="single"/>
              <w:right w:color="000000" w:sz="4" w:val="single"/>
            </w:tcBorders>
            <w:shd w:fill="FFFFFF" w:val="clear"/>
            <w:vAlign w:val="center"/>
          </w:tcPr>
          <w:p w14:paraId="9039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1390000">
            <w:pPr>
              <w:widowControl w:val="1"/>
              <w:ind/>
              <w:jc w:val="center"/>
              <w:rPr>
                <w:sz w:val="18"/>
              </w:rPr>
            </w:pPr>
            <w:r>
              <w:rPr>
                <w:sz w:val="18"/>
              </w:rPr>
              <w:t>июль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9239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9339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9439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95390000">
            <w:pPr>
              <w:widowControl w:val="1"/>
              <w:ind/>
              <w:jc w:val="center"/>
              <w:rPr>
                <w:sz w:val="18"/>
              </w:rPr>
            </w:pPr>
            <w:r>
              <w:rPr>
                <w:sz w:val="18"/>
              </w:rPr>
              <w:t>19000,00</w:t>
            </w:r>
          </w:p>
        </w:tc>
        <w:tc>
          <w:tcPr>
            <w:tcW w:type="dxa" w:w="1185"/>
            <w:tcBorders>
              <w:top w:color="000000" w:sz="4" w:val="single"/>
              <w:left w:color="000000" w:sz="4" w:val="single"/>
              <w:bottom w:color="000000" w:sz="4" w:val="single"/>
              <w:right w:color="000000" w:sz="4" w:val="single"/>
            </w:tcBorders>
            <w:shd w:fill="FFFFFF" w:val="clear"/>
            <w:vAlign w:val="center"/>
          </w:tcPr>
          <w:p w14:paraId="96390000">
            <w:pPr>
              <w:widowControl w:val="1"/>
              <w:ind/>
              <w:jc w:val="center"/>
              <w:rPr>
                <w:sz w:val="18"/>
              </w:rPr>
            </w:pPr>
            <w:r>
              <w:rPr>
                <w:sz w:val="18"/>
              </w:rPr>
              <w:t>19000,00</w:t>
            </w:r>
          </w:p>
        </w:tc>
        <w:tc>
          <w:tcPr>
            <w:tcW w:type="dxa" w:w="1083"/>
            <w:tcBorders>
              <w:top w:color="000000" w:sz="4" w:val="single"/>
              <w:left w:color="000000" w:sz="4" w:val="single"/>
              <w:bottom w:color="000000" w:sz="4" w:val="single"/>
              <w:right w:color="000000" w:sz="4" w:val="single"/>
            </w:tcBorders>
            <w:shd w:fill="FFFFFF" w:val="clear"/>
            <w:vAlign w:val="center"/>
          </w:tcPr>
          <w:p w14:paraId="97390000">
            <w:pPr>
              <w:widowControl w:val="1"/>
              <w:ind/>
              <w:jc w:val="center"/>
              <w:rPr>
                <w:sz w:val="18"/>
              </w:rPr>
            </w:pPr>
            <w:r>
              <w:rPr>
                <w:sz w:val="18"/>
              </w:rPr>
              <w:t>19000,00</w:t>
            </w:r>
          </w:p>
        </w:tc>
        <w:tc>
          <w:tcPr>
            <w:tcW w:type="dxa" w:w="771"/>
            <w:tcBorders>
              <w:top w:color="000000" w:sz="4" w:val="single"/>
              <w:left w:color="000000" w:sz="4" w:val="single"/>
              <w:bottom w:color="000000" w:sz="4" w:val="single"/>
              <w:right w:color="000000" w:sz="4" w:val="single"/>
            </w:tcBorders>
            <w:shd w:fill="FFFFFF" w:val="clear"/>
            <w:vAlign w:val="center"/>
          </w:tcPr>
          <w:p w14:paraId="9839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99390000">
            <w:pPr>
              <w:widowControl w:val="1"/>
              <w:ind/>
              <w:jc w:val="center"/>
              <w:rPr>
                <w:sz w:val="18"/>
              </w:rPr>
            </w:pPr>
            <w:r>
              <w:rPr>
                <w:sz w:val="18"/>
              </w:rPr>
              <w:t>июль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9A390000">
            <w:pPr>
              <w:widowControl w:val="1"/>
              <w:ind/>
              <w:jc w:val="center"/>
              <w:rPr>
                <w:sz w:val="18"/>
              </w:rPr>
            </w:pPr>
            <w:r>
              <w:rPr>
                <w:sz w:val="18"/>
              </w:rPr>
              <w:t>счет № 4594 от 20.07.2018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9B390000">
            <w:pPr>
              <w:widowControl w:val="1"/>
              <w:ind/>
              <w:jc w:val="center"/>
              <w:rPr>
                <w:color w:val="000000"/>
                <w:sz w:val="18"/>
              </w:rPr>
            </w:pPr>
            <w:r>
              <w:rPr>
                <w:color w:val="000000"/>
                <w:sz w:val="18"/>
              </w:rPr>
              <w:t>179</w:t>
            </w:r>
          </w:p>
        </w:tc>
        <w:tc>
          <w:tcPr>
            <w:tcW w:type="dxa" w:w="618"/>
            <w:tcBorders>
              <w:top w:color="000000" w:sz="4" w:val="single"/>
              <w:left w:color="000000" w:sz="4" w:val="single"/>
              <w:bottom w:color="000000" w:sz="4" w:val="single"/>
              <w:right w:color="000000" w:sz="4" w:val="single"/>
            </w:tcBorders>
            <w:shd w:fill="FFFFFF" w:val="clear"/>
            <w:vAlign w:val="center"/>
          </w:tcPr>
          <w:p w14:paraId="9C390000">
            <w:pPr>
              <w:widowControl w:val="1"/>
              <w:ind/>
              <w:jc w:val="center"/>
              <w:rPr>
                <w:sz w:val="18"/>
              </w:rPr>
            </w:pPr>
            <w:r>
              <w:rPr>
                <w:sz w:val="18"/>
              </w:rPr>
              <w:t>103/2</w:t>
            </w:r>
          </w:p>
        </w:tc>
        <w:tc>
          <w:tcPr>
            <w:tcW w:type="dxa" w:w="993"/>
            <w:tcBorders>
              <w:top w:color="000000" w:sz="4" w:val="single"/>
              <w:left w:color="000000" w:sz="4" w:val="single"/>
              <w:bottom w:color="000000" w:sz="4" w:val="single"/>
              <w:right w:color="000000" w:sz="4" w:val="single"/>
            </w:tcBorders>
            <w:shd w:fill="FFFFFF" w:val="clear"/>
            <w:vAlign w:val="center"/>
          </w:tcPr>
          <w:p w14:paraId="9D390000">
            <w:pPr>
              <w:widowControl w:val="1"/>
              <w:ind/>
              <w:jc w:val="center"/>
              <w:rPr>
                <w:sz w:val="18"/>
              </w:rPr>
            </w:pPr>
            <w:r>
              <w:rPr>
                <w:sz w:val="18"/>
              </w:rPr>
              <w:t>оказание услуг по изготовлению и размещению РИМ</w:t>
            </w:r>
          </w:p>
        </w:tc>
        <w:tc>
          <w:tcPr>
            <w:tcW w:type="dxa" w:w="849"/>
            <w:tcBorders>
              <w:top w:color="000000" w:sz="4" w:val="single"/>
              <w:left w:color="000000" w:sz="4" w:val="single"/>
              <w:bottom w:color="000000" w:sz="4" w:val="single"/>
              <w:right w:color="000000" w:sz="4" w:val="single"/>
            </w:tcBorders>
            <w:shd w:fill="FFFFFF" w:val="clear"/>
            <w:vAlign w:val="center"/>
          </w:tcPr>
          <w:p w14:paraId="9E39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9F39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A0390000">
            <w:pPr>
              <w:widowControl w:val="1"/>
              <w:ind/>
              <w:jc w:val="center"/>
              <w:rPr>
                <w:sz w:val="18"/>
              </w:rPr>
            </w:pPr>
            <w:r>
              <w:rPr>
                <w:sz w:val="18"/>
              </w:rPr>
              <w:t>48000,00</w:t>
            </w:r>
          </w:p>
        </w:tc>
        <w:tc>
          <w:tcPr>
            <w:tcW w:type="dxa" w:w="1134"/>
            <w:tcBorders>
              <w:top w:color="000000" w:sz="4" w:val="single"/>
              <w:left w:color="000000" w:sz="4" w:val="single"/>
              <w:bottom w:color="000000" w:sz="4" w:val="single"/>
              <w:right w:color="000000" w:sz="4" w:val="single"/>
            </w:tcBorders>
            <w:shd w:fill="FFFFFF" w:val="clear"/>
            <w:vAlign w:val="center"/>
          </w:tcPr>
          <w:p w14:paraId="A1390000">
            <w:pPr>
              <w:widowControl w:val="1"/>
              <w:ind/>
              <w:jc w:val="center"/>
              <w:rPr>
                <w:sz w:val="18"/>
              </w:rPr>
            </w:pPr>
            <w:r>
              <w:rPr>
                <w:sz w:val="18"/>
              </w:rPr>
              <w:t>48000,00</w:t>
            </w:r>
          </w:p>
        </w:tc>
        <w:tc>
          <w:tcPr>
            <w:tcW w:type="dxa" w:w="993"/>
            <w:tcBorders>
              <w:top w:color="000000" w:sz="4" w:val="single"/>
              <w:left w:color="000000" w:sz="4" w:val="single"/>
              <w:bottom w:color="000000" w:sz="4" w:val="single"/>
              <w:right w:color="000000" w:sz="4" w:val="single"/>
            </w:tcBorders>
            <w:shd w:fill="FFFFFF" w:val="clear"/>
            <w:vAlign w:val="center"/>
          </w:tcPr>
          <w:p w14:paraId="A239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A3390000">
            <w:pPr>
              <w:widowControl w:val="1"/>
              <w:ind/>
              <w:jc w:val="center"/>
              <w:rPr>
                <w:sz w:val="18"/>
              </w:rPr>
            </w:pPr>
            <w:r>
              <w:rPr>
                <w:sz w:val="18"/>
              </w:rPr>
              <w:t>август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A439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A539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A639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A7390000">
            <w:pPr>
              <w:widowControl w:val="1"/>
              <w:ind/>
              <w:jc w:val="center"/>
              <w:rPr>
                <w:sz w:val="18"/>
              </w:rPr>
            </w:pPr>
            <w:r>
              <w:rPr>
                <w:sz w:val="18"/>
              </w:rPr>
              <w:t>48000,00</w:t>
            </w:r>
          </w:p>
        </w:tc>
        <w:tc>
          <w:tcPr>
            <w:tcW w:type="dxa" w:w="1185"/>
            <w:tcBorders>
              <w:top w:color="000000" w:sz="4" w:val="single"/>
              <w:left w:color="000000" w:sz="4" w:val="single"/>
              <w:bottom w:color="000000" w:sz="4" w:val="single"/>
              <w:right w:color="000000" w:sz="4" w:val="single"/>
            </w:tcBorders>
            <w:shd w:fill="FFFFFF" w:val="clear"/>
            <w:vAlign w:val="center"/>
          </w:tcPr>
          <w:p w14:paraId="A8390000">
            <w:pPr>
              <w:widowControl w:val="1"/>
              <w:ind/>
              <w:jc w:val="center"/>
              <w:rPr>
                <w:sz w:val="18"/>
              </w:rPr>
            </w:pPr>
            <w:r>
              <w:rPr>
                <w:sz w:val="18"/>
              </w:rPr>
              <w:t>48000,00</w:t>
            </w:r>
          </w:p>
        </w:tc>
        <w:tc>
          <w:tcPr>
            <w:tcW w:type="dxa" w:w="1083"/>
            <w:tcBorders>
              <w:top w:color="000000" w:sz="4" w:val="single"/>
              <w:left w:color="000000" w:sz="4" w:val="single"/>
              <w:bottom w:color="000000" w:sz="4" w:val="single"/>
              <w:right w:color="000000" w:sz="4" w:val="single"/>
            </w:tcBorders>
            <w:shd w:fill="FFFFFF" w:val="clear"/>
            <w:vAlign w:val="center"/>
          </w:tcPr>
          <w:p w14:paraId="A9390000">
            <w:pPr>
              <w:widowControl w:val="1"/>
              <w:ind/>
              <w:jc w:val="center"/>
              <w:rPr>
                <w:sz w:val="18"/>
              </w:rPr>
            </w:pPr>
            <w:r>
              <w:rPr>
                <w:sz w:val="18"/>
              </w:rPr>
              <w:t>48000,00</w:t>
            </w:r>
          </w:p>
        </w:tc>
        <w:tc>
          <w:tcPr>
            <w:tcW w:type="dxa" w:w="771"/>
            <w:tcBorders>
              <w:top w:color="000000" w:sz="4" w:val="single"/>
              <w:left w:color="000000" w:sz="4" w:val="single"/>
              <w:bottom w:color="000000" w:sz="4" w:val="single"/>
              <w:right w:color="000000" w:sz="4" w:val="single"/>
            </w:tcBorders>
            <w:shd w:fill="FFFFFF" w:val="clear"/>
            <w:vAlign w:val="center"/>
          </w:tcPr>
          <w:p w14:paraId="AA39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AB390000">
            <w:pPr>
              <w:widowControl w:val="1"/>
              <w:ind/>
              <w:jc w:val="center"/>
              <w:rPr>
                <w:sz w:val="18"/>
              </w:rPr>
            </w:pPr>
            <w:r>
              <w:rPr>
                <w:sz w:val="18"/>
              </w:rPr>
              <w:t>август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AC390000">
            <w:pPr>
              <w:widowControl w:val="1"/>
              <w:ind/>
              <w:jc w:val="center"/>
              <w:rPr>
                <w:sz w:val="18"/>
              </w:rPr>
            </w:pPr>
            <w:r>
              <w:rPr>
                <w:sz w:val="18"/>
              </w:rPr>
              <w:t>счет № 050 от 02.07.2018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AD390000">
            <w:pPr>
              <w:widowControl w:val="1"/>
              <w:ind/>
              <w:jc w:val="center"/>
              <w:rPr>
                <w:color w:val="000000"/>
                <w:sz w:val="18"/>
              </w:rPr>
            </w:pPr>
            <w:r>
              <w:rPr>
                <w:color w:val="000000"/>
                <w:sz w:val="18"/>
              </w:rPr>
              <w:t>180</w:t>
            </w:r>
          </w:p>
        </w:tc>
        <w:tc>
          <w:tcPr>
            <w:tcW w:type="dxa" w:w="618"/>
            <w:tcBorders>
              <w:top w:color="000000" w:sz="4" w:val="single"/>
              <w:left w:color="000000" w:sz="4" w:val="single"/>
              <w:bottom w:color="000000" w:sz="4" w:val="single"/>
              <w:right w:color="000000" w:sz="4" w:val="single"/>
            </w:tcBorders>
            <w:shd w:fill="FFFFFF" w:val="clear"/>
            <w:vAlign w:val="center"/>
          </w:tcPr>
          <w:p w14:paraId="AE390000">
            <w:pPr>
              <w:widowControl w:val="1"/>
              <w:ind/>
              <w:jc w:val="center"/>
              <w:rPr>
                <w:sz w:val="18"/>
              </w:rPr>
            </w:pPr>
            <w:r>
              <w:rPr>
                <w:sz w:val="18"/>
              </w:rPr>
              <w:t>104/2</w:t>
            </w:r>
          </w:p>
        </w:tc>
        <w:tc>
          <w:tcPr>
            <w:tcW w:type="dxa" w:w="993"/>
            <w:tcBorders>
              <w:top w:color="000000" w:sz="4" w:val="single"/>
              <w:left w:color="000000" w:sz="4" w:val="single"/>
              <w:bottom w:color="000000" w:sz="4" w:val="single"/>
              <w:right w:color="000000" w:sz="4" w:val="single"/>
            </w:tcBorders>
            <w:shd w:fill="FFFFFF" w:val="clear"/>
            <w:vAlign w:val="center"/>
          </w:tcPr>
          <w:p w14:paraId="AF390000">
            <w:pPr>
              <w:widowControl w:val="1"/>
              <w:ind/>
              <w:jc w:val="center"/>
              <w:rPr>
                <w:sz w:val="18"/>
              </w:rPr>
            </w:pPr>
            <w:r>
              <w:rPr>
                <w:sz w:val="18"/>
              </w:rPr>
              <w:t>поставка холодильника автомобильного</w:t>
            </w:r>
          </w:p>
        </w:tc>
        <w:tc>
          <w:tcPr>
            <w:tcW w:type="dxa" w:w="849"/>
            <w:tcBorders>
              <w:top w:color="000000" w:sz="4" w:val="single"/>
              <w:left w:color="000000" w:sz="4" w:val="single"/>
              <w:bottom w:color="000000" w:sz="4" w:val="single"/>
              <w:right w:color="000000" w:sz="4" w:val="single"/>
            </w:tcBorders>
            <w:shd w:fill="FFFFFF" w:val="clear"/>
            <w:vAlign w:val="center"/>
          </w:tcPr>
          <w:p w14:paraId="B039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139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B2390000">
            <w:pPr>
              <w:widowControl w:val="1"/>
              <w:ind/>
              <w:jc w:val="center"/>
              <w:rPr>
                <w:sz w:val="18"/>
              </w:rPr>
            </w:pPr>
            <w:r>
              <w:rPr>
                <w:sz w:val="18"/>
              </w:rPr>
              <w:t>8800,00</w:t>
            </w:r>
          </w:p>
        </w:tc>
        <w:tc>
          <w:tcPr>
            <w:tcW w:type="dxa" w:w="1134"/>
            <w:tcBorders>
              <w:top w:color="000000" w:sz="4" w:val="single"/>
              <w:left w:color="000000" w:sz="4" w:val="single"/>
              <w:bottom w:color="000000" w:sz="4" w:val="single"/>
              <w:right w:color="000000" w:sz="4" w:val="single"/>
            </w:tcBorders>
            <w:shd w:fill="FFFFFF" w:val="clear"/>
            <w:vAlign w:val="center"/>
          </w:tcPr>
          <w:p w14:paraId="B3390000">
            <w:pPr>
              <w:widowControl w:val="1"/>
              <w:ind/>
              <w:jc w:val="center"/>
              <w:rPr>
                <w:sz w:val="18"/>
              </w:rPr>
            </w:pPr>
            <w:r>
              <w:rPr>
                <w:sz w:val="18"/>
              </w:rPr>
              <w:t>8800,00</w:t>
            </w:r>
          </w:p>
        </w:tc>
        <w:tc>
          <w:tcPr>
            <w:tcW w:type="dxa" w:w="993"/>
            <w:tcBorders>
              <w:top w:color="000000" w:sz="4" w:val="single"/>
              <w:left w:color="000000" w:sz="4" w:val="single"/>
              <w:bottom w:color="000000" w:sz="4" w:val="single"/>
              <w:right w:color="000000" w:sz="4" w:val="single"/>
            </w:tcBorders>
            <w:shd w:fill="FFFFFF" w:val="clear"/>
            <w:vAlign w:val="center"/>
          </w:tcPr>
          <w:p w14:paraId="B439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B5390000">
            <w:pPr>
              <w:widowControl w:val="1"/>
              <w:ind/>
              <w:jc w:val="center"/>
              <w:rPr>
                <w:sz w:val="18"/>
              </w:rPr>
            </w:pPr>
            <w:r>
              <w:rPr>
                <w:sz w:val="18"/>
              </w:rPr>
              <w:t>июль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B639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B739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B839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B9390000">
            <w:pPr>
              <w:widowControl w:val="1"/>
              <w:ind/>
              <w:jc w:val="center"/>
              <w:rPr>
                <w:sz w:val="18"/>
              </w:rPr>
            </w:pPr>
            <w:r>
              <w:rPr>
                <w:sz w:val="18"/>
              </w:rPr>
              <w:t>8800,00</w:t>
            </w:r>
          </w:p>
        </w:tc>
        <w:tc>
          <w:tcPr>
            <w:tcW w:type="dxa" w:w="1185"/>
            <w:tcBorders>
              <w:top w:color="000000" w:sz="4" w:val="single"/>
              <w:left w:color="000000" w:sz="4" w:val="single"/>
              <w:bottom w:color="000000" w:sz="4" w:val="single"/>
              <w:right w:color="000000" w:sz="4" w:val="single"/>
            </w:tcBorders>
            <w:shd w:fill="FFFFFF" w:val="clear"/>
            <w:vAlign w:val="center"/>
          </w:tcPr>
          <w:p w14:paraId="BA390000">
            <w:pPr>
              <w:widowControl w:val="1"/>
              <w:ind/>
              <w:jc w:val="center"/>
              <w:rPr>
                <w:sz w:val="18"/>
              </w:rPr>
            </w:pPr>
            <w:r>
              <w:rPr>
                <w:sz w:val="18"/>
              </w:rPr>
              <w:t>8800,00</w:t>
            </w:r>
          </w:p>
        </w:tc>
        <w:tc>
          <w:tcPr>
            <w:tcW w:type="dxa" w:w="1083"/>
            <w:tcBorders>
              <w:top w:color="000000" w:sz="4" w:val="single"/>
              <w:left w:color="000000" w:sz="4" w:val="single"/>
              <w:bottom w:color="000000" w:sz="4" w:val="single"/>
              <w:right w:color="000000" w:sz="4" w:val="single"/>
            </w:tcBorders>
            <w:shd w:fill="FFFFFF" w:val="clear"/>
            <w:vAlign w:val="center"/>
          </w:tcPr>
          <w:p w14:paraId="BB390000">
            <w:pPr>
              <w:widowControl w:val="1"/>
              <w:ind/>
              <w:jc w:val="center"/>
              <w:rPr>
                <w:sz w:val="18"/>
              </w:rPr>
            </w:pPr>
            <w:r>
              <w:rPr>
                <w:sz w:val="18"/>
              </w:rPr>
              <w:t>8800,00</w:t>
            </w:r>
          </w:p>
        </w:tc>
        <w:tc>
          <w:tcPr>
            <w:tcW w:type="dxa" w:w="771"/>
            <w:tcBorders>
              <w:top w:color="000000" w:sz="4" w:val="single"/>
              <w:left w:color="000000" w:sz="4" w:val="single"/>
              <w:bottom w:color="000000" w:sz="4" w:val="single"/>
              <w:right w:color="000000" w:sz="4" w:val="single"/>
            </w:tcBorders>
            <w:shd w:fill="FFFFFF" w:val="clear"/>
            <w:vAlign w:val="center"/>
          </w:tcPr>
          <w:p w14:paraId="BC39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BD390000">
            <w:pPr>
              <w:widowControl w:val="1"/>
              <w:ind/>
              <w:jc w:val="center"/>
              <w:rPr>
                <w:sz w:val="18"/>
              </w:rPr>
            </w:pPr>
            <w:r>
              <w:rPr>
                <w:sz w:val="18"/>
              </w:rPr>
              <w:t>июль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BE390000">
            <w:pPr>
              <w:widowControl w:val="1"/>
              <w:ind/>
              <w:jc w:val="center"/>
              <w:rPr>
                <w:sz w:val="18"/>
              </w:rPr>
            </w:pPr>
            <w:r>
              <w:rPr>
                <w:sz w:val="18"/>
              </w:rPr>
              <w:t>счет № 917 от 04.07.2018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BF390000">
            <w:pPr>
              <w:widowControl w:val="1"/>
              <w:ind/>
              <w:jc w:val="center"/>
              <w:rPr>
                <w:color w:val="000000"/>
                <w:sz w:val="18"/>
              </w:rPr>
            </w:pPr>
            <w:r>
              <w:rPr>
                <w:color w:val="000000"/>
                <w:sz w:val="18"/>
              </w:rPr>
              <w:t>181</w:t>
            </w:r>
          </w:p>
        </w:tc>
        <w:tc>
          <w:tcPr>
            <w:tcW w:type="dxa" w:w="618"/>
            <w:tcBorders>
              <w:top w:color="000000" w:sz="4" w:val="single"/>
              <w:left w:color="000000" w:sz="4" w:val="single"/>
              <w:bottom w:color="000000" w:sz="4" w:val="single"/>
              <w:right w:color="000000" w:sz="4" w:val="single"/>
            </w:tcBorders>
            <w:shd w:fill="FFFFFF" w:val="clear"/>
            <w:vAlign w:val="center"/>
          </w:tcPr>
          <w:p w14:paraId="C0390000">
            <w:pPr>
              <w:widowControl w:val="1"/>
              <w:ind/>
              <w:jc w:val="center"/>
              <w:rPr>
                <w:sz w:val="18"/>
              </w:rPr>
            </w:pPr>
            <w:r>
              <w:rPr>
                <w:sz w:val="18"/>
              </w:rPr>
              <w:t>105/2</w:t>
            </w:r>
          </w:p>
        </w:tc>
        <w:tc>
          <w:tcPr>
            <w:tcW w:type="dxa" w:w="993"/>
            <w:tcBorders>
              <w:top w:color="000000" w:sz="4" w:val="single"/>
              <w:left w:color="000000" w:sz="4" w:val="single"/>
              <w:bottom w:color="000000" w:sz="4" w:val="single"/>
              <w:right w:color="000000" w:sz="4" w:val="single"/>
            </w:tcBorders>
            <w:shd w:fill="FFFFFF" w:val="clear"/>
            <w:vAlign w:val="center"/>
          </w:tcPr>
          <w:p w14:paraId="C1390000">
            <w:pPr>
              <w:widowControl w:val="1"/>
              <w:ind/>
              <w:jc w:val="center"/>
              <w:rPr>
                <w:sz w:val="18"/>
              </w:rPr>
            </w:pPr>
            <w:r>
              <w:rPr>
                <w:sz w:val="18"/>
              </w:rPr>
              <w:t>Поставка демо-систем</w:t>
            </w:r>
          </w:p>
        </w:tc>
        <w:tc>
          <w:tcPr>
            <w:tcW w:type="dxa" w:w="849"/>
            <w:tcBorders>
              <w:top w:color="000000" w:sz="4" w:val="single"/>
              <w:left w:color="000000" w:sz="4" w:val="single"/>
              <w:bottom w:color="000000" w:sz="4" w:val="single"/>
              <w:right w:color="000000" w:sz="4" w:val="single"/>
            </w:tcBorders>
            <w:shd w:fill="FFFFFF" w:val="clear"/>
            <w:vAlign w:val="center"/>
          </w:tcPr>
          <w:p w14:paraId="C239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C3390000">
            <w:pPr>
              <w:widowControl w:val="1"/>
              <w:ind/>
              <w:jc w:val="center"/>
              <w:rPr>
                <w:sz w:val="18"/>
              </w:rPr>
            </w:pPr>
            <w:r>
              <w:rPr>
                <w:sz w:val="18"/>
              </w:rPr>
              <w:t>3</w:t>
            </w:r>
          </w:p>
        </w:tc>
        <w:tc>
          <w:tcPr>
            <w:tcW w:type="dxa" w:w="991"/>
            <w:tcBorders>
              <w:top w:color="000000" w:sz="4" w:val="single"/>
              <w:left w:color="000000" w:sz="4" w:val="single"/>
              <w:bottom w:color="000000" w:sz="4" w:val="single"/>
              <w:right w:color="000000" w:sz="4" w:val="single"/>
            </w:tcBorders>
            <w:shd w:fill="FFFFFF" w:val="clear"/>
            <w:vAlign w:val="center"/>
          </w:tcPr>
          <w:p w14:paraId="C4390000">
            <w:pPr>
              <w:widowControl w:val="1"/>
              <w:ind/>
              <w:jc w:val="center"/>
              <w:rPr>
                <w:sz w:val="18"/>
              </w:rPr>
            </w:pPr>
            <w:r>
              <w:rPr>
                <w:sz w:val="18"/>
              </w:rPr>
              <w:t>6225,40</w:t>
            </w:r>
          </w:p>
        </w:tc>
        <w:tc>
          <w:tcPr>
            <w:tcW w:type="dxa" w:w="1134"/>
            <w:tcBorders>
              <w:top w:color="000000" w:sz="4" w:val="single"/>
              <w:left w:color="000000" w:sz="4" w:val="single"/>
              <w:bottom w:color="000000" w:sz="4" w:val="single"/>
              <w:right w:color="000000" w:sz="4" w:val="single"/>
            </w:tcBorders>
            <w:shd w:fill="FFFFFF" w:val="clear"/>
            <w:vAlign w:val="center"/>
          </w:tcPr>
          <w:p w14:paraId="C5390000">
            <w:pPr>
              <w:widowControl w:val="1"/>
              <w:ind/>
              <w:jc w:val="center"/>
              <w:rPr>
                <w:sz w:val="18"/>
              </w:rPr>
            </w:pPr>
            <w:r>
              <w:rPr>
                <w:sz w:val="18"/>
              </w:rPr>
              <w:t>7346,00</w:t>
            </w:r>
          </w:p>
        </w:tc>
        <w:tc>
          <w:tcPr>
            <w:tcW w:type="dxa" w:w="993"/>
            <w:tcBorders>
              <w:top w:color="000000" w:sz="4" w:val="single"/>
              <w:left w:color="000000" w:sz="4" w:val="single"/>
              <w:bottom w:color="000000" w:sz="4" w:val="single"/>
              <w:right w:color="000000" w:sz="4" w:val="single"/>
            </w:tcBorders>
            <w:shd w:fill="FFFFFF" w:val="clear"/>
            <w:vAlign w:val="center"/>
          </w:tcPr>
          <w:p w14:paraId="C639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C7390000">
            <w:pPr>
              <w:widowControl w:val="1"/>
              <w:ind/>
              <w:jc w:val="center"/>
              <w:rPr>
                <w:sz w:val="18"/>
              </w:rPr>
            </w:pPr>
            <w:r>
              <w:rPr>
                <w:sz w:val="18"/>
              </w:rPr>
              <w:t>август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C839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C939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CA390000">
            <w:pPr>
              <w:widowControl w:val="1"/>
              <w:ind/>
              <w:jc w:val="center"/>
              <w:rPr>
                <w:sz w:val="18"/>
              </w:rPr>
            </w:pPr>
            <w:r>
              <w:rPr>
                <w:sz w:val="18"/>
              </w:rPr>
              <w:t>3</w:t>
            </w:r>
          </w:p>
        </w:tc>
        <w:tc>
          <w:tcPr>
            <w:tcW w:type="dxa" w:w="1169"/>
            <w:tcBorders>
              <w:top w:color="000000" w:sz="4" w:val="single"/>
              <w:left w:color="000000" w:sz="4" w:val="single"/>
              <w:bottom w:color="000000" w:sz="4" w:val="single"/>
              <w:right w:color="000000" w:sz="4" w:val="single"/>
            </w:tcBorders>
            <w:shd w:fill="FFFFFF" w:val="clear"/>
            <w:vAlign w:val="center"/>
          </w:tcPr>
          <w:p w14:paraId="CB390000">
            <w:pPr>
              <w:widowControl w:val="1"/>
              <w:ind/>
              <w:jc w:val="center"/>
              <w:rPr>
                <w:sz w:val="18"/>
              </w:rPr>
            </w:pPr>
            <w:r>
              <w:rPr>
                <w:sz w:val="18"/>
              </w:rPr>
              <w:t>6225,40</w:t>
            </w:r>
          </w:p>
        </w:tc>
        <w:tc>
          <w:tcPr>
            <w:tcW w:type="dxa" w:w="1185"/>
            <w:tcBorders>
              <w:top w:color="000000" w:sz="4" w:val="single"/>
              <w:left w:color="000000" w:sz="4" w:val="single"/>
              <w:bottom w:color="000000" w:sz="4" w:val="single"/>
              <w:right w:color="000000" w:sz="4" w:val="single"/>
            </w:tcBorders>
            <w:shd w:fill="FFFFFF" w:val="clear"/>
            <w:vAlign w:val="center"/>
          </w:tcPr>
          <w:p w14:paraId="CC390000">
            <w:pPr>
              <w:widowControl w:val="1"/>
              <w:ind/>
              <w:jc w:val="center"/>
              <w:rPr>
                <w:sz w:val="18"/>
              </w:rPr>
            </w:pPr>
            <w:r>
              <w:rPr>
                <w:sz w:val="18"/>
              </w:rPr>
              <w:t>7346,00</w:t>
            </w:r>
          </w:p>
        </w:tc>
        <w:tc>
          <w:tcPr>
            <w:tcW w:type="dxa" w:w="1083"/>
            <w:tcBorders>
              <w:top w:color="000000" w:sz="4" w:val="single"/>
              <w:left w:color="000000" w:sz="4" w:val="single"/>
              <w:bottom w:color="000000" w:sz="4" w:val="single"/>
              <w:right w:color="000000" w:sz="4" w:val="single"/>
            </w:tcBorders>
            <w:shd w:fill="FFFFFF" w:val="clear"/>
            <w:vAlign w:val="center"/>
          </w:tcPr>
          <w:p w14:paraId="CD390000">
            <w:pPr>
              <w:widowControl w:val="1"/>
              <w:ind/>
              <w:jc w:val="center"/>
              <w:rPr>
                <w:sz w:val="18"/>
              </w:rPr>
            </w:pPr>
            <w:r>
              <w:rPr>
                <w:sz w:val="18"/>
              </w:rPr>
              <w:t>7346,00</w:t>
            </w:r>
          </w:p>
        </w:tc>
        <w:tc>
          <w:tcPr>
            <w:tcW w:type="dxa" w:w="771"/>
            <w:tcBorders>
              <w:top w:color="000000" w:sz="4" w:val="single"/>
              <w:left w:color="000000" w:sz="4" w:val="single"/>
              <w:bottom w:color="000000" w:sz="4" w:val="single"/>
              <w:right w:color="000000" w:sz="4" w:val="single"/>
            </w:tcBorders>
            <w:shd w:fill="FFFFFF" w:val="clear"/>
            <w:vAlign w:val="center"/>
          </w:tcPr>
          <w:p w14:paraId="CE39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CF390000">
            <w:pPr>
              <w:widowControl w:val="1"/>
              <w:ind/>
              <w:jc w:val="center"/>
              <w:rPr>
                <w:sz w:val="18"/>
              </w:rPr>
            </w:pPr>
            <w:r>
              <w:rPr>
                <w:sz w:val="18"/>
              </w:rPr>
              <w:t>август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D0390000">
            <w:pPr>
              <w:widowControl w:val="1"/>
              <w:ind/>
              <w:jc w:val="center"/>
              <w:rPr>
                <w:sz w:val="18"/>
              </w:rPr>
            </w:pPr>
            <w:r>
              <w:rPr>
                <w:sz w:val="18"/>
              </w:rPr>
              <w:t>счет № 1349 от 23.07.2018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D1390000">
            <w:pPr>
              <w:widowControl w:val="1"/>
              <w:ind/>
              <w:jc w:val="center"/>
              <w:rPr>
                <w:color w:val="000000"/>
                <w:sz w:val="18"/>
              </w:rPr>
            </w:pPr>
            <w:r>
              <w:rPr>
                <w:color w:val="000000"/>
                <w:sz w:val="18"/>
              </w:rPr>
              <w:t>182</w:t>
            </w:r>
          </w:p>
        </w:tc>
        <w:tc>
          <w:tcPr>
            <w:tcW w:type="dxa" w:w="618"/>
            <w:tcBorders>
              <w:top w:color="000000" w:sz="4" w:val="single"/>
              <w:left w:color="000000" w:sz="4" w:val="single"/>
              <w:bottom w:color="000000" w:sz="4" w:val="single"/>
              <w:right w:color="000000" w:sz="4" w:val="single"/>
            </w:tcBorders>
            <w:shd w:fill="FFFFFF" w:val="clear"/>
            <w:vAlign w:val="center"/>
          </w:tcPr>
          <w:p w14:paraId="D2390000">
            <w:pPr>
              <w:widowControl w:val="1"/>
              <w:ind/>
              <w:jc w:val="center"/>
              <w:rPr>
                <w:sz w:val="18"/>
              </w:rPr>
            </w:pPr>
            <w:r>
              <w:rPr>
                <w:sz w:val="18"/>
              </w:rPr>
              <w:t>106/2</w:t>
            </w:r>
          </w:p>
        </w:tc>
        <w:tc>
          <w:tcPr>
            <w:tcW w:type="dxa" w:w="993"/>
            <w:tcBorders>
              <w:top w:color="000000" w:sz="4" w:val="single"/>
              <w:left w:color="000000" w:sz="4" w:val="single"/>
              <w:bottom w:color="000000" w:sz="4" w:val="single"/>
              <w:right w:color="000000" w:sz="4" w:val="single"/>
            </w:tcBorders>
            <w:shd w:fill="FFFFFF" w:val="clear"/>
            <w:vAlign w:val="center"/>
          </w:tcPr>
          <w:p w14:paraId="D3390000">
            <w:pPr>
              <w:widowControl w:val="1"/>
              <w:ind/>
              <w:jc w:val="center"/>
              <w:rPr>
                <w:sz w:val="18"/>
              </w:rPr>
            </w:pPr>
            <w:r>
              <w:rPr>
                <w:sz w:val="18"/>
              </w:rPr>
              <w:t>Поставка комплекта видеонаблюдения</w:t>
            </w:r>
          </w:p>
        </w:tc>
        <w:tc>
          <w:tcPr>
            <w:tcW w:type="dxa" w:w="849"/>
            <w:tcBorders>
              <w:top w:color="000000" w:sz="4" w:val="single"/>
              <w:left w:color="000000" w:sz="4" w:val="single"/>
              <w:bottom w:color="000000" w:sz="4" w:val="single"/>
              <w:right w:color="000000" w:sz="4" w:val="single"/>
            </w:tcBorders>
            <w:shd w:fill="FFFFFF" w:val="clear"/>
            <w:vAlign w:val="center"/>
          </w:tcPr>
          <w:p w14:paraId="D439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D539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D6390000">
            <w:pPr>
              <w:widowControl w:val="1"/>
              <w:ind/>
              <w:jc w:val="center"/>
              <w:rPr>
                <w:sz w:val="18"/>
              </w:rPr>
            </w:pPr>
            <w:r>
              <w:rPr>
                <w:sz w:val="18"/>
              </w:rPr>
              <w:t>52361,00</w:t>
            </w:r>
          </w:p>
        </w:tc>
        <w:tc>
          <w:tcPr>
            <w:tcW w:type="dxa" w:w="1134"/>
            <w:tcBorders>
              <w:top w:color="000000" w:sz="4" w:val="single"/>
              <w:left w:color="000000" w:sz="4" w:val="single"/>
              <w:bottom w:color="000000" w:sz="4" w:val="single"/>
              <w:right w:color="000000" w:sz="4" w:val="single"/>
            </w:tcBorders>
            <w:shd w:fill="FFFFFF" w:val="clear"/>
            <w:vAlign w:val="center"/>
          </w:tcPr>
          <w:p w14:paraId="D7390000">
            <w:pPr>
              <w:widowControl w:val="1"/>
              <w:ind/>
              <w:jc w:val="center"/>
              <w:rPr>
                <w:sz w:val="18"/>
              </w:rPr>
            </w:pPr>
            <w:r>
              <w:rPr>
                <w:sz w:val="18"/>
              </w:rPr>
              <w:t>61787,40</w:t>
            </w:r>
          </w:p>
        </w:tc>
        <w:tc>
          <w:tcPr>
            <w:tcW w:type="dxa" w:w="993"/>
            <w:tcBorders>
              <w:top w:color="000000" w:sz="4" w:val="single"/>
              <w:left w:color="000000" w:sz="4" w:val="single"/>
              <w:bottom w:color="000000" w:sz="4" w:val="single"/>
              <w:right w:color="000000" w:sz="4" w:val="single"/>
            </w:tcBorders>
            <w:shd w:fill="FFFFFF" w:val="clear"/>
            <w:vAlign w:val="center"/>
          </w:tcPr>
          <w:p w14:paraId="D839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D9390000">
            <w:pPr>
              <w:widowControl w:val="1"/>
              <w:ind/>
              <w:jc w:val="center"/>
              <w:rPr>
                <w:sz w:val="18"/>
              </w:rPr>
            </w:pPr>
            <w:r>
              <w:rPr>
                <w:sz w:val="18"/>
              </w:rPr>
              <w:t>август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DA39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DB39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DC39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DD390000">
            <w:pPr>
              <w:widowControl w:val="1"/>
              <w:ind/>
              <w:jc w:val="center"/>
              <w:rPr>
                <w:sz w:val="18"/>
              </w:rPr>
            </w:pPr>
            <w:r>
              <w:rPr>
                <w:sz w:val="18"/>
              </w:rPr>
              <w:t>52361,00</w:t>
            </w:r>
          </w:p>
        </w:tc>
        <w:tc>
          <w:tcPr>
            <w:tcW w:type="dxa" w:w="1185"/>
            <w:tcBorders>
              <w:top w:color="000000" w:sz="4" w:val="single"/>
              <w:left w:color="000000" w:sz="4" w:val="single"/>
              <w:bottom w:color="000000" w:sz="4" w:val="single"/>
              <w:right w:color="000000" w:sz="4" w:val="single"/>
            </w:tcBorders>
            <w:shd w:fill="FFFFFF" w:val="clear"/>
            <w:vAlign w:val="center"/>
          </w:tcPr>
          <w:p w14:paraId="DE390000">
            <w:pPr>
              <w:widowControl w:val="1"/>
              <w:ind/>
              <w:jc w:val="center"/>
              <w:rPr>
                <w:sz w:val="18"/>
              </w:rPr>
            </w:pPr>
            <w:r>
              <w:rPr>
                <w:sz w:val="18"/>
              </w:rPr>
              <w:t>61787,40</w:t>
            </w:r>
          </w:p>
        </w:tc>
        <w:tc>
          <w:tcPr>
            <w:tcW w:type="dxa" w:w="1083"/>
            <w:tcBorders>
              <w:top w:color="000000" w:sz="4" w:val="single"/>
              <w:left w:color="000000" w:sz="4" w:val="single"/>
              <w:bottom w:color="000000" w:sz="4" w:val="single"/>
              <w:right w:color="000000" w:sz="4" w:val="single"/>
            </w:tcBorders>
            <w:shd w:fill="FFFFFF" w:val="clear"/>
            <w:vAlign w:val="center"/>
          </w:tcPr>
          <w:p w14:paraId="DF390000">
            <w:pPr>
              <w:widowControl w:val="1"/>
              <w:ind/>
              <w:jc w:val="center"/>
              <w:rPr>
                <w:sz w:val="18"/>
              </w:rPr>
            </w:pPr>
            <w:r>
              <w:rPr>
                <w:sz w:val="18"/>
              </w:rPr>
              <w:t>61787,40</w:t>
            </w:r>
          </w:p>
        </w:tc>
        <w:tc>
          <w:tcPr>
            <w:tcW w:type="dxa" w:w="771"/>
            <w:tcBorders>
              <w:top w:color="000000" w:sz="4" w:val="single"/>
              <w:left w:color="000000" w:sz="4" w:val="single"/>
              <w:bottom w:color="000000" w:sz="4" w:val="single"/>
              <w:right w:color="000000" w:sz="4" w:val="single"/>
            </w:tcBorders>
            <w:shd w:fill="FFFFFF" w:val="clear"/>
            <w:vAlign w:val="center"/>
          </w:tcPr>
          <w:p w14:paraId="E039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1390000">
            <w:pPr>
              <w:widowControl w:val="1"/>
              <w:ind/>
              <w:jc w:val="center"/>
              <w:rPr>
                <w:sz w:val="18"/>
              </w:rPr>
            </w:pPr>
            <w:r>
              <w:rPr>
                <w:sz w:val="18"/>
              </w:rPr>
              <w:t>август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E2390000">
            <w:pPr>
              <w:widowControl w:val="1"/>
              <w:ind/>
              <w:jc w:val="center"/>
              <w:rPr>
                <w:sz w:val="18"/>
              </w:rPr>
            </w:pPr>
            <w:r>
              <w:rPr>
                <w:sz w:val="18"/>
              </w:rPr>
              <w:t>счет № СЧК20493 от 16.07.2018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E3390000">
            <w:pPr>
              <w:widowControl w:val="1"/>
              <w:ind/>
              <w:jc w:val="center"/>
              <w:rPr>
                <w:color w:val="000000"/>
                <w:sz w:val="18"/>
              </w:rPr>
            </w:pPr>
            <w:r>
              <w:rPr>
                <w:color w:val="000000"/>
                <w:sz w:val="18"/>
              </w:rPr>
              <w:t>183</w:t>
            </w:r>
          </w:p>
        </w:tc>
        <w:tc>
          <w:tcPr>
            <w:tcW w:type="dxa" w:w="618"/>
            <w:tcBorders>
              <w:top w:color="000000" w:sz="4" w:val="single"/>
              <w:left w:color="000000" w:sz="4" w:val="single"/>
              <w:bottom w:color="000000" w:sz="4" w:val="single"/>
              <w:right w:color="000000" w:sz="4" w:val="single"/>
            </w:tcBorders>
            <w:shd w:fill="FFFFFF" w:val="clear"/>
            <w:vAlign w:val="center"/>
          </w:tcPr>
          <w:p w14:paraId="E4390000">
            <w:pPr>
              <w:widowControl w:val="1"/>
              <w:ind/>
              <w:jc w:val="center"/>
              <w:rPr>
                <w:sz w:val="18"/>
              </w:rPr>
            </w:pPr>
            <w:r>
              <w:rPr>
                <w:sz w:val="18"/>
              </w:rPr>
              <w:t>107/2</w:t>
            </w:r>
          </w:p>
        </w:tc>
        <w:tc>
          <w:tcPr>
            <w:tcW w:type="dxa" w:w="993"/>
            <w:tcBorders>
              <w:top w:color="000000" w:sz="4" w:val="single"/>
              <w:left w:color="000000" w:sz="4" w:val="single"/>
              <w:bottom w:color="000000" w:sz="4" w:val="single"/>
              <w:right w:color="000000" w:sz="4" w:val="single"/>
            </w:tcBorders>
            <w:shd w:fill="FFFFFF" w:val="clear"/>
            <w:vAlign w:val="center"/>
          </w:tcPr>
          <w:p w14:paraId="E5390000">
            <w:pPr>
              <w:widowControl w:val="1"/>
              <w:ind/>
              <w:jc w:val="center"/>
              <w:rPr>
                <w:sz w:val="18"/>
              </w:rPr>
            </w:pPr>
            <w:r>
              <w:rPr>
                <w:sz w:val="18"/>
              </w:rPr>
              <w:t>поставка чехлов для ПКТК</w:t>
            </w:r>
          </w:p>
        </w:tc>
        <w:tc>
          <w:tcPr>
            <w:tcW w:type="dxa" w:w="849"/>
            <w:tcBorders>
              <w:top w:color="000000" w:sz="4" w:val="single"/>
              <w:left w:color="000000" w:sz="4" w:val="single"/>
              <w:bottom w:color="000000" w:sz="4" w:val="single"/>
              <w:right w:color="000000" w:sz="4" w:val="single"/>
            </w:tcBorders>
            <w:shd w:fill="FFFFFF" w:val="clear"/>
            <w:vAlign w:val="center"/>
          </w:tcPr>
          <w:p w14:paraId="E639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E7390000">
            <w:pPr>
              <w:widowControl w:val="1"/>
              <w:ind/>
              <w:jc w:val="center"/>
              <w:rPr>
                <w:sz w:val="18"/>
              </w:rPr>
            </w:pPr>
            <w:r>
              <w:rPr>
                <w:sz w:val="18"/>
              </w:rPr>
              <w:t>10</w:t>
            </w:r>
          </w:p>
        </w:tc>
        <w:tc>
          <w:tcPr>
            <w:tcW w:type="dxa" w:w="991"/>
            <w:tcBorders>
              <w:top w:color="000000" w:sz="4" w:val="single"/>
              <w:left w:color="000000" w:sz="4" w:val="single"/>
              <w:bottom w:color="000000" w:sz="4" w:val="single"/>
              <w:right w:color="000000" w:sz="4" w:val="single"/>
            </w:tcBorders>
            <w:shd w:fill="FFFFFF" w:val="clear"/>
            <w:vAlign w:val="center"/>
          </w:tcPr>
          <w:p w14:paraId="E8390000">
            <w:pPr>
              <w:widowControl w:val="1"/>
              <w:ind/>
              <w:jc w:val="center"/>
              <w:rPr>
                <w:sz w:val="18"/>
              </w:rPr>
            </w:pPr>
            <w:r>
              <w:rPr>
                <w:sz w:val="18"/>
              </w:rPr>
              <w:t>19000,00</w:t>
            </w:r>
          </w:p>
        </w:tc>
        <w:tc>
          <w:tcPr>
            <w:tcW w:type="dxa" w:w="1134"/>
            <w:tcBorders>
              <w:top w:color="000000" w:sz="4" w:val="single"/>
              <w:left w:color="000000" w:sz="4" w:val="single"/>
              <w:bottom w:color="000000" w:sz="4" w:val="single"/>
              <w:right w:color="000000" w:sz="4" w:val="single"/>
            </w:tcBorders>
            <w:shd w:fill="FFFFFF" w:val="clear"/>
            <w:vAlign w:val="center"/>
          </w:tcPr>
          <w:p w14:paraId="E9390000">
            <w:pPr>
              <w:widowControl w:val="1"/>
              <w:ind/>
              <w:jc w:val="center"/>
              <w:rPr>
                <w:sz w:val="18"/>
              </w:rPr>
            </w:pPr>
            <w:r>
              <w:rPr>
                <w:sz w:val="18"/>
              </w:rPr>
              <w:t>19000,00</w:t>
            </w:r>
          </w:p>
        </w:tc>
        <w:tc>
          <w:tcPr>
            <w:tcW w:type="dxa" w:w="993"/>
            <w:tcBorders>
              <w:top w:color="000000" w:sz="4" w:val="single"/>
              <w:left w:color="000000" w:sz="4" w:val="single"/>
              <w:bottom w:color="000000" w:sz="4" w:val="single"/>
              <w:right w:color="000000" w:sz="4" w:val="single"/>
            </w:tcBorders>
            <w:shd w:fill="FFFFFF" w:val="clear"/>
            <w:vAlign w:val="center"/>
          </w:tcPr>
          <w:p w14:paraId="EA390000">
            <w:pPr>
              <w:widowControl w:val="1"/>
              <w:ind/>
              <w:jc w:val="center"/>
              <w:rPr>
                <w:sz w:val="18"/>
              </w:rPr>
            </w:pPr>
            <w:r>
              <w:rPr>
                <w:sz w:val="18"/>
              </w:rPr>
              <w:t>июль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EB390000">
            <w:pPr>
              <w:widowControl w:val="1"/>
              <w:ind/>
              <w:jc w:val="center"/>
              <w:rPr>
                <w:sz w:val="18"/>
              </w:rPr>
            </w:pPr>
            <w:r>
              <w:rPr>
                <w:sz w:val="18"/>
              </w:rPr>
              <w:t>август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EC39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ED39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EE390000">
            <w:pPr>
              <w:widowControl w:val="1"/>
              <w:ind/>
              <w:jc w:val="center"/>
              <w:rPr>
                <w:sz w:val="18"/>
              </w:rPr>
            </w:pPr>
            <w:r>
              <w:rPr>
                <w:sz w:val="18"/>
              </w:rPr>
              <w:t>10</w:t>
            </w:r>
          </w:p>
        </w:tc>
        <w:tc>
          <w:tcPr>
            <w:tcW w:type="dxa" w:w="1169"/>
            <w:tcBorders>
              <w:top w:color="000000" w:sz="4" w:val="single"/>
              <w:left w:color="000000" w:sz="4" w:val="single"/>
              <w:bottom w:color="000000" w:sz="4" w:val="single"/>
              <w:right w:color="000000" w:sz="4" w:val="single"/>
            </w:tcBorders>
            <w:shd w:fill="FFFFFF" w:val="clear"/>
            <w:vAlign w:val="center"/>
          </w:tcPr>
          <w:p w14:paraId="EF390000">
            <w:pPr>
              <w:widowControl w:val="1"/>
              <w:ind/>
              <w:jc w:val="center"/>
              <w:rPr>
                <w:sz w:val="18"/>
              </w:rPr>
            </w:pPr>
            <w:r>
              <w:rPr>
                <w:sz w:val="18"/>
              </w:rPr>
              <w:t>19000,00</w:t>
            </w:r>
          </w:p>
        </w:tc>
        <w:tc>
          <w:tcPr>
            <w:tcW w:type="dxa" w:w="1185"/>
            <w:tcBorders>
              <w:top w:color="000000" w:sz="4" w:val="single"/>
              <w:left w:color="000000" w:sz="4" w:val="single"/>
              <w:bottom w:color="000000" w:sz="4" w:val="single"/>
              <w:right w:color="000000" w:sz="4" w:val="single"/>
            </w:tcBorders>
            <w:shd w:fill="FFFFFF" w:val="clear"/>
            <w:vAlign w:val="center"/>
          </w:tcPr>
          <w:p w14:paraId="F0390000">
            <w:pPr>
              <w:widowControl w:val="1"/>
              <w:ind/>
              <w:jc w:val="center"/>
              <w:rPr>
                <w:sz w:val="18"/>
              </w:rPr>
            </w:pPr>
            <w:r>
              <w:rPr>
                <w:sz w:val="18"/>
              </w:rPr>
              <w:t>19000,00</w:t>
            </w:r>
          </w:p>
        </w:tc>
        <w:tc>
          <w:tcPr>
            <w:tcW w:type="dxa" w:w="1083"/>
            <w:tcBorders>
              <w:top w:color="000000" w:sz="4" w:val="single"/>
              <w:left w:color="000000" w:sz="4" w:val="single"/>
              <w:bottom w:color="000000" w:sz="4" w:val="single"/>
              <w:right w:color="000000" w:sz="4" w:val="single"/>
            </w:tcBorders>
            <w:shd w:fill="FFFFFF" w:val="clear"/>
            <w:vAlign w:val="center"/>
          </w:tcPr>
          <w:p w14:paraId="F1390000">
            <w:pPr>
              <w:widowControl w:val="1"/>
              <w:ind/>
              <w:jc w:val="center"/>
              <w:rPr>
                <w:sz w:val="18"/>
              </w:rPr>
            </w:pPr>
            <w:r>
              <w:rPr>
                <w:sz w:val="18"/>
              </w:rPr>
              <w:t>19000,00</w:t>
            </w:r>
          </w:p>
        </w:tc>
        <w:tc>
          <w:tcPr>
            <w:tcW w:type="dxa" w:w="771"/>
            <w:tcBorders>
              <w:top w:color="000000" w:sz="4" w:val="single"/>
              <w:left w:color="000000" w:sz="4" w:val="single"/>
              <w:bottom w:color="000000" w:sz="4" w:val="single"/>
              <w:right w:color="000000" w:sz="4" w:val="single"/>
            </w:tcBorders>
            <w:shd w:fill="FFFFFF" w:val="clear"/>
            <w:vAlign w:val="center"/>
          </w:tcPr>
          <w:p w14:paraId="F2390000">
            <w:pPr>
              <w:widowControl w:val="1"/>
              <w:ind/>
              <w:jc w:val="center"/>
              <w:rPr>
                <w:sz w:val="18"/>
              </w:rPr>
            </w:pPr>
            <w:r>
              <w:rPr>
                <w:sz w:val="18"/>
              </w:rPr>
              <w:t>июль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F3390000">
            <w:pPr>
              <w:widowControl w:val="1"/>
              <w:ind/>
              <w:jc w:val="center"/>
              <w:rPr>
                <w:sz w:val="18"/>
              </w:rPr>
            </w:pPr>
            <w:r>
              <w:rPr>
                <w:sz w:val="18"/>
              </w:rPr>
              <w:t>август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F4390000">
            <w:pPr>
              <w:widowControl w:val="1"/>
              <w:ind/>
              <w:jc w:val="center"/>
              <w:rPr>
                <w:sz w:val="18"/>
              </w:rPr>
            </w:pPr>
            <w:r>
              <w:rPr>
                <w:sz w:val="18"/>
              </w:rPr>
              <w:t>счет № 1826 от 25.07.2018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F5390000">
            <w:pPr>
              <w:widowControl w:val="1"/>
              <w:ind/>
              <w:jc w:val="center"/>
              <w:rPr>
                <w:color w:val="000000"/>
                <w:sz w:val="18"/>
              </w:rPr>
            </w:pPr>
            <w:r>
              <w:rPr>
                <w:color w:val="000000"/>
                <w:sz w:val="18"/>
              </w:rPr>
              <w:t>184</w:t>
            </w:r>
          </w:p>
        </w:tc>
        <w:tc>
          <w:tcPr>
            <w:tcW w:type="dxa" w:w="618"/>
            <w:tcBorders>
              <w:top w:color="000000" w:sz="4" w:val="single"/>
              <w:left w:color="000000" w:sz="4" w:val="single"/>
              <w:bottom w:color="000000" w:sz="4" w:val="single"/>
              <w:right w:color="000000" w:sz="4" w:val="single"/>
            </w:tcBorders>
            <w:shd w:fill="FFFFFF" w:val="clear"/>
            <w:vAlign w:val="center"/>
          </w:tcPr>
          <w:p w14:paraId="F6390000">
            <w:pPr>
              <w:widowControl w:val="1"/>
              <w:ind/>
              <w:jc w:val="center"/>
              <w:rPr>
                <w:sz w:val="18"/>
              </w:rPr>
            </w:pPr>
            <w:r>
              <w:rPr>
                <w:sz w:val="18"/>
              </w:rPr>
              <w:t>108/2</w:t>
            </w:r>
          </w:p>
        </w:tc>
        <w:tc>
          <w:tcPr>
            <w:tcW w:type="dxa" w:w="993"/>
            <w:tcBorders>
              <w:top w:color="000000" w:sz="4" w:val="single"/>
              <w:left w:color="000000" w:sz="4" w:val="single"/>
              <w:bottom w:color="000000" w:sz="4" w:val="single"/>
              <w:right w:color="000000" w:sz="4" w:val="single"/>
            </w:tcBorders>
            <w:shd w:fill="FFFFFF" w:val="clear"/>
            <w:vAlign w:val="center"/>
          </w:tcPr>
          <w:p w14:paraId="F7390000">
            <w:pPr>
              <w:widowControl w:val="1"/>
              <w:ind/>
              <w:jc w:val="center"/>
              <w:rPr>
                <w:sz w:val="18"/>
              </w:rPr>
            </w:pPr>
            <w:r>
              <w:rPr>
                <w:sz w:val="18"/>
              </w:rPr>
              <w:t>Поставка бланков строгого учета</w:t>
            </w:r>
          </w:p>
        </w:tc>
        <w:tc>
          <w:tcPr>
            <w:tcW w:type="dxa" w:w="849"/>
            <w:tcBorders>
              <w:top w:color="000000" w:sz="4" w:val="single"/>
              <w:left w:color="000000" w:sz="4" w:val="single"/>
              <w:bottom w:color="000000" w:sz="4" w:val="single"/>
              <w:right w:color="000000" w:sz="4" w:val="single"/>
            </w:tcBorders>
            <w:shd w:fill="FFFFFF" w:val="clear"/>
            <w:vAlign w:val="center"/>
          </w:tcPr>
          <w:p w14:paraId="F839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F9390000">
            <w:pPr>
              <w:widowControl w:val="1"/>
              <w:ind/>
              <w:jc w:val="center"/>
              <w:rPr>
                <w:sz w:val="18"/>
              </w:rPr>
            </w:pPr>
            <w:r>
              <w:rPr>
                <w:sz w:val="18"/>
              </w:rPr>
              <w:t>10</w:t>
            </w:r>
          </w:p>
        </w:tc>
        <w:tc>
          <w:tcPr>
            <w:tcW w:type="dxa" w:w="991"/>
            <w:tcBorders>
              <w:top w:color="000000" w:sz="4" w:val="single"/>
              <w:left w:color="000000" w:sz="4" w:val="single"/>
              <w:bottom w:color="000000" w:sz="4" w:val="single"/>
              <w:right w:color="000000" w:sz="4" w:val="single"/>
            </w:tcBorders>
            <w:shd w:fill="FFFFFF" w:val="clear"/>
            <w:vAlign w:val="center"/>
          </w:tcPr>
          <w:p w14:paraId="FA390000">
            <w:pPr>
              <w:widowControl w:val="1"/>
              <w:ind/>
              <w:jc w:val="center"/>
              <w:rPr>
                <w:sz w:val="18"/>
              </w:rPr>
            </w:pPr>
            <w:r>
              <w:rPr>
                <w:sz w:val="18"/>
              </w:rPr>
              <w:t>73644,00</w:t>
            </w:r>
          </w:p>
        </w:tc>
        <w:tc>
          <w:tcPr>
            <w:tcW w:type="dxa" w:w="1134"/>
            <w:tcBorders>
              <w:top w:color="000000" w:sz="4" w:val="single"/>
              <w:left w:color="000000" w:sz="4" w:val="single"/>
              <w:bottom w:color="000000" w:sz="4" w:val="single"/>
              <w:right w:color="000000" w:sz="4" w:val="single"/>
            </w:tcBorders>
            <w:shd w:fill="FFFFFF" w:val="clear"/>
            <w:vAlign w:val="center"/>
          </w:tcPr>
          <w:p w14:paraId="FB390000">
            <w:pPr>
              <w:widowControl w:val="1"/>
              <w:ind/>
              <w:jc w:val="center"/>
              <w:rPr>
                <w:sz w:val="18"/>
              </w:rPr>
            </w:pPr>
            <w:r>
              <w:rPr>
                <w:sz w:val="18"/>
              </w:rPr>
              <w:t>86900,00</w:t>
            </w:r>
          </w:p>
        </w:tc>
        <w:tc>
          <w:tcPr>
            <w:tcW w:type="dxa" w:w="993"/>
            <w:tcBorders>
              <w:top w:color="000000" w:sz="4" w:val="single"/>
              <w:left w:color="000000" w:sz="4" w:val="single"/>
              <w:bottom w:color="000000" w:sz="4" w:val="single"/>
              <w:right w:color="000000" w:sz="4" w:val="single"/>
            </w:tcBorders>
            <w:shd w:fill="FFFFFF" w:val="clear"/>
            <w:vAlign w:val="center"/>
          </w:tcPr>
          <w:p w14:paraId="FC39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FD39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FE39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FF39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003A0000">
            <w:pPr>
              <w:widowControl w:val="1"/>
              <w:ind/>
              <w:jc w:val="center"/>
              <w:rPr>
                <w:sz w:val="18"/>
              </w:rPr>
            </w:pPr>
            <w:r>
              <w:rPr>
                <w:sz w:val="18"/>
              </w:rPr>
              <w:t>10</w:t>
            </w:r>
          </w:p>
        </w:tc>
        <w:tc>
          <w:tcPr>
            <w:tcW w:type="dxa" w:w="1169"/>
            <w:tcBorders>
              <w:top w:color="000000" w:sz="4" w:val="single"/>
              <w:left w:color="000000" w:sz="4" w:val="single"/>
              <w:bottom w:color="000000" w:sz="4" w:val="single"/>
              <w:right w:color="000000" w:sz="4" w:val="single"/>
            </w:tcBorders>
            <w:shd w:fill="FFFFFF" w:val="clear"/>
            <w:vAlign w:val="center"/>
          </w:tcPr>
          <w:p w14:paraId="013A0000">
            <w:pPr>
              <w:widowControl w:val="1"/>
              <w:ind/>
              <w:jc w:val="center"/>
              <w:rPr>
                <w:sz w:val="18"/>
              </w:rPr>
            </w:pPr>
            <w:r>
              <w:rPr>
                <w:sz w:val="18"/>
              </w:rPr>
              <w:t>73644,06</w:t>
            </w:r>
          </w:p>
        </w:tc>
        <w:tc>
          <w:tcPr>
            <w:tcW w:type="dxa" w:w="1185"/>
            <w:tcBorders>
              <w:top w:color="000000" w:sz="4" w:val="single"/>
              <w:left w:color="000000" w:sz="4" w:val="single"/>
              <w:bottom w:color="000000" w:sz="4" w:val="single"/>
              <w:right w:color="000000" w:sz="4" w:val="single"/>
            </w:tcBorders>
            <w:shd w:fill="FFFFFF" w:val="clear"/>
            <w:vAlign w:val="center"/>
          </w:tcPr>
          <w:p w14:paraId="023A0000">
            <w:pPr>
              <w:widowControl w:val="1"/>
              <w:ind/>
              <w:jc w:val="center"/>
              <w:rPr>
                <w:sz w:val="18"/>
              </w:rPr>
            </w:pPr>
            <w:r>
              <w:rPr>
                <w:sz w:val="18"/>
              </w:rPr>
              <w:t>86900,00</w:t>
            </w:r>
          </w:p>
        </w:tc>
        <w:tc>
          <w:tcPr>
            <w:tcW w:type="dxa" w:w="1083"/>
            <w:tcBorders>
              <w:top w:color="000000" w:sz="4" w:val="single"/>
              <w:left w:color="000000" w:sz="4" w:val="single"/>
              <w:bottom w:color="000000" w:sz="4" w:val="single"/>
              <w:right w:color="000000" w:sz="4" w:val="single"/>
            </w:tcBorders>
            <w:shd w:fill="FFFFFF" w:val="clear"/>
            <w:vAlign w:val="center"/>
          </w:tcPr>
          <w:p w14:paraId="033A0000">
            <w:pPr>
              <w:widowControl w:val="1"/>
              <w:ind/>
              <w:jc w:val="center"/>
              <w:rPr>
                <w:sz w:val="18"/>
              </w:rPr>
            </w:pPr>
            <w:r>
              <w:rPr>
                <w:sz w:val="18"/>
              </w:rPr>
              <w:t>86900,00</w:t>
            </w:r>
          </w:p>
        </w:tc>
        <w:tc>
          <w:tcPr>
            <w:tcW w:type="dxa" w:w="771"/>
            <w:tcBorders>
              <w:top w:color="000000" w:sz="4" w:val="single"/>
              <w:left w:color="000000" w:sz="4" w:val="single"/>
              <w:bottom w:color="000000" w:sz="4" w:val="single"/>
              <w:right w:color="000000" w:sz="4" w:val="single"/>
            </w:tcBorders>
            <w:shd w:fill="FFFFFF" w:val="clear"/>
            <w:vAlign w:val="center"/>
          </w:tcPr>
          <w:p w14:paraId="043A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053A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063A0000">
            <w:pPr>
              <w:widowControl w:val="1"/>
              <w:ind/>
              <w:jc w:val="center"/>
              <w:rPr>
                <w:sz w:val="18"/>
              </w:rPr>
            </w:pPr>
            <w:r>
              <w:rPr>
                <w:sz w:val="18"/>
              </w:rPr>
              <w:t>договор № 101 от 20.09.2018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073A0000">
            <w:pPr>
              <w:widowControl w:val="1"/>
              <w:ind/>
              <w:jc w:val="center"/>
              <w:rPr>
                <w:color w:val="000000"/>
                <w:sz w:val="18"/>
              </w:rPr>
            </w:pPr>
            <w:r>
              <w:rPr>
                <w:color w:val="000000"/>
                <w:sz w:val="18"/>
              </w:rPr>
              <w:t>185</w:t>
            </w:r>
          </w:p>
        </w:tc>
        <w:tc>
          <w:tcPr>
            <w:tcW w:type="dxa" w:w="618"/>
            <w:tcBorders>
              <w:top w:color="000000" w:sz="4" w:val="single"/>
              <w:left w:color="000000" w:sz="4" w:val="single"/>
              <w:bottom w:color="000000" w:sz="4" w:val="single"/>
              <w:right w:color="000000" w:sz="4" w:val="single"/>
            </w:tcBorders>
            <w:shd w:fill="FFFFFF" w:val="clear"/>
            <w:vAlign w:val="center"/>
          </w:tcPr>
          <w:p w14:paraId="083A0000">
            <w:pPr>
              <w:widowControl w:val="1"/>
              <w:ind/>
              <w:jc w:val="center"/>
              <w:rPr>
                <w:sz w:val="18"/>
              </w:rPr>
            </w:pPr>
            <w:r>
              <w:rPr>
                <w:sz w:val="18"/>
              </w:rPr>
              <w:t>109/2</w:t>
            </w:r>
          </w:p>
        </w:tc>
        <w:tc>
          <w:tcPr>
            <w:tcW w:type="dxa" w:w="993"/>
            <w:tcBorders>
              <w:top w:color="000000" w:sz="4" w:val="single"/>
              <w:left w:color="000000" w:sz="4" w:val="single"/>
              <w:bottom w:color="000000" w:sz="4" w:val="single"/>
              <w:right w:color="000000" w:sz="4" w:val="single"/>
            </w:tcBorders>
            <w:shd w:fill="FFFFFF" w:val="clear"/>
            <w:vAlign w:val="center"/>
          </w:tcPr>
          <w:p w14:paraId="093A0000">
            <w:pPr>
              <w:widowControl w:val="1"/>
              <w:ind/>
              <w:jc w:val="center"/>
              <w:rPr>
                <w:sz w:val="18"/>
              </w:rPr>
            </w:pPr>
            <w:r>
              <w:rPr>
                <w:sz w:val="18"/>
              </w:rPr>
              <w:t>оказание услуг по техническому обслуживанию автомобиля</w:t>
            </w:r>
          </w:p>
        </w:tc>
        <w:tc>
          <w:tcPr>
            <w:tcW w:type="dxa" w:w="849"/>
            <w:tcBorders>
              <w:top w:color="000000" w:sz="4" w:val="single"/>
              <w:left w:color="000000" w:sz="4" w:val="single"/>
              <w:bottom w:color="000000" w:sz="4" w:val="single"/>
              <w:right w:color="000000" w:sz="4" w:val="single"/>
            </w:tcBorders>
            <w:shd w:fill="FFFFFF" w:val="clear"/>
            <w:vAlign w:val="center"/>
          </w:tcPr>
          <w:p w14:paraId="0A3A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0B3A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0C3A0000">
            <w:pPr>
              <w:widowControl w:val="1"/>
              <w:ind/>
              <w:jc w:val="center"/>
              <w:rPr>
                <w:sz w:val="18"/>
              </w:rPr>
            </w:pPr>
            <w:r>
              <w:rPr>
                <w:sz w:val="18"/>
              </w:rPr>
              <w:t>48000,00</w:t>
            </w:r>
          </w:p>
        </w:tc>
        <w:tc>
          <w:tcPr>
            <w:tcW w:type="dxa" w:w="1134"/>
            <w:tcBorders>
              <w:top w:color="000000" w:sz="4" w:val="single"/>
              <w:left w:color="000000" w:sz="4" w:val="single"/>
              <w:bottom w:color="000000" w:sz="4" w:val="single"/>
              <w:right w:color="000000" w:sz="4" w:val="single"/>
            </w:tcBorders>
            <w:shd w:fill="FFFFFF" w:val="clear"/>
            <w:vAlign w:val="center"/>
          </w:tcPr>
          <w:p w14:paraId="0D3A0000">
            <w:pPr>
              <w:widowControl w:val="1"/>
              <w:ind/>
              <w:jc w:val="center"/>
              <w:rPr>
                <w:sz w:val="18"/>
              </w:rPr>
            </w:pPr>
            <w:r>
              <w:rPr>
                <w:sz w:val="18"/>
              </w:rPr>
              <w:t>48000,00</w:t>
            </w:r>
          </w:p>
        </w:tc>
        <w:tc>
          <w:tcPr>
            <w:tcW w:type="dxa" w:w="993"/>
            <w:tcBorders>
              <w:top w:color="000000" w:sz="4" w:val="single"/>
              <w:left w:color="000000" w:sz="4" w:val="single"/>
              <w:bottom w:color="000000" w:sz="4" w:val="single"/>
              <w:right w:color="000000" w:sz="4" w:val="single"/>
            </w:tcBorders>
            <w:shd w:fill="FFFFFF" w:val="clear"/>
            <w:vAlign w:val="center"/>
          </w:tcPr>
          <w:p w14:paraId="0E3A0000">
            <w:pPr>
              <w:widowControl w:val="1"/>
              <w:ind/>
              <w:jc w:val="center"/>
              <w:rPr>
                <w:sz w:val="18"/>
              </w:rPr>
            </w:pPr>
            <w:r>
              <w:rPr>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0F3A0000">
            <w:pPr>
              <w:widowControl w:val="1"/>
              <w:ind/>
              <w:jc w:val="center"/>
              <w:rPr>
                <w:sz w:val="18"/>
              </w:rPr>
            </w:pPr>
            <w:r>
              <w:rPr>
                <w:sz w:val="18"/>
              </w:rPr>
              <w:t>август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103A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113A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123A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133A0000">
            <w:pPr>
              <w:widowControl w:val="1"/>
              <w:ind/>
              <w:jc w:val="center"/>
              <w:rPr>
                <w:sz w:val="18"/>
              </w:rPr>
            </w:pPr>
            <w:r>
              <w:rPr>
                <w:sz w:val="18"/>
              </w:rPr>
              <w:t>48000,00</w:t>
            </w:r>
          </w:p>
        </w:tc>
        <w:tc>
          <w:tcPr>
            <w:tcW w:type="dxa" w:w="1185"/>
            <w:tcBorders>
              <w:top w:color="000000" w:sz="4" w:val="single"/>
              <w:left w:color="000000" w:sz="4" w:val="single"/>
              <w:bottom w:color="000000" w:sz="4" w:val="single"/>
              <w:right w:color="000000" w:sz="4" w:val="single"/>
            </w:tcBorders>
            <w:shd w:fill="FFFFFF" w:val="clear"/>
            <w:vAlign w:val="center"/>
          </w:tcPr>
          <w:p w14:paraId="143A0000">
            <w:pPr>
              <w:widowControl w:val="1"/>
              <w:ind/>
              <w:jc w:val="center"/>
              <w:rPr>
                <w:sz w:val="18"/>
              </w:rPr>
            </w:pPr>
            <w:r>
              <w:rPr>
                <w:sz w:val="18"/>
              </w:rPr>
              <w:t>48000,00</w:t>
            </w:r>
          </w:p>
        </w:tc>
        <w:tc>
          <w:tcPr>
            <w:tcW w:type="dxa" w:w="1083"/>
            <w:tcBorders>
              <w:top w:color="000000" w:sz="4" w:val="single"/>
              <w:left w:color="000000" w:sz="4" w:val="single"/>
              <w:bottom w:color="000000" w:sz="4" w:val="single"/>
              <w:right w:color="000000" w:sz="4" w:val="single"/>
            </w:tcBorders>
            <w:shd w:fill="FFFFFF" w:val="clear"/>
            <w:vAlign w:val="center"/>
          </w:tcPr>
          <w:p w14:paraId="153A0000">
            <w:pPr>
              <w:widowControl w:val="1"/>
              <w:ind/>
              <w:jc w:val="center"/>
              <w:rPr>
                <w:sz w:val="18"/>
              </w:rPr>
            </w:pPr>
            <w:r>
              <w:rPr>
                <w:sz w:val="18"/>
              </w:rPr>
              <w:t>48000,00</w:t>
            </w:r>
          </w:p>
        </w:tc>
        <w:tc>
          <w:tcPr>
            <w:tcW w:type="dxa" w:w="771"/>
            <w:tcBorders>
              <w:top w:color="000000" w:sz="4" w:val="single"/>
              <w:left w:color="000000" w:sz="4" w:val="single"/>
              <w:bottom w:color="000000" w:sz="4" w:val="single"/>
              <w:right w:color="000000" w:sz="4" w:val="single"/>
            </w:tcBorders>
            <w:shd w:fill="FFFFFF" w:val="clear"/>
            <w:vAlign w:val="center"/>
          </w:tcPr>
          <w:p w14:paraId="163A0000">
            <w:pPr>
              <w:widowControl w:val="1"/>
              <w:ind/>
              <w:jc w:val="center"/>
              <w:rPr>
                <w:sz w:val="18"/>
              </w:rPr>
            </w:pPr>
            <w:r>
              <w:rPr>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173A0000">
            <w:pPr>
              <w:widowControl w:val="1"/>
              <w:ind/>
              <w:jc w:val="center"/>
              <w:rPr>
                <w:sz w:val="18"/>
              </w:rPr>
            </w:pPr>
            <w:r>
              <w:rPr>
                <w:sz w:val="18"/>
              </w:rPr>
              <w:t>август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183A0000">
            <w:pPr>
              <w:widowControl w:val="1"/>
              <w:ind/>
              <w:jc w:val="center"/>
              <w:rPr>
                <w:sz w:val="18"/>
              </w:rPr>
            </w:pPr>
            <w:r>
              <w:rPr>
                <w:sz w:val="18"/>
              </w:rPr>
              <w:t>счет № 48 от 01.08.2018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193A0000">
            <w:pPr>
              <w:widowControl w:val="1"/>
              <w:ind/>
              <w:jc w:val="center"/>
              <w:rPr>
                <w:color w:val="000000"/>
                <w:sz w:val="18"/>
              </w:rPr>
            </w:pPr>
            <w:r>
              <w:rPr>
                <w:color w:val="000000"/>
                <w:sz w:val="18"/>
              </w:rPr>
              <w:t>186</w:t>
            </w:r>
          </w:p>
        </w:tc>
        <w:tc>
          <w:tcPr>
            <w:tcW w:type="dxa" w:w="618"/>
            <w:tcBorders>
              <w:top w:color="000000" w:sz="4" w:val="single"/>
              <w:left w:color="000000" w:sz="4" w:val="single"/>
              <w:bottom w:color="000000" w:sz="4" w:val="single"/>
              <w:right w:color="000000" w:sz="4" w:val="single"/>
            </w:tcBorders>
            <w:shd w:fill="FFFFFF" w:val="clear"/>
            <w:vAlign w:val="center"/>
          </w:tcPr>
          <w:p w14:paraId="1A3A0000">
            <w:pPr>
              <w:widowControl w:val="1"/>
              <w:ind/>
              <w:jc w:val="center"/>
              <w:rPr>
                <w:sz w:val="18"/>
              </w:rPr>
            </w:pPr>
            <w:r>
              <w:rPr>
                <w:sz w:val="18"/>
              </w:rPr>
              <w:t>110/2</w:t>
            </w:r>
          </w:p>
        </w:tc>
        <w:tc>
          <w:tcPr>
            <w:tcW w:type="dxa" w:w="993"/>
            <w:tcBorders>
              <w:top w:color="000000" w:sz="4" w:val="single"/>
              <w:left w:color="000000" w:sz="4" w:val="single"/>
              <w:bottom w:color="000000" w:sz="4" w:val="single"/>
              <w:right w:color="000000" w:sz="4" w:val="single"/>
            </w:tcBorders>
            <w:shd w:fill="FFFFFF" w:val="clear"/>
            <w:vAlign w:val="center"/>
          </w:tcPr>
          <w:p w14:paraId="1B3A0000">
            <w:pPr>
              <w:widowControl w:val="1"/>
              <w:ind/>
              <w:jc w:val="center"/>
              <w:rPr>
                <w:color w:val="000000"/>
                <w:sz w:val="18"/>
              </w:rPr>
            </w:pPr>
            <w:r>
              <w:rPr>
                <w:color w:val="000000"/>
                <w:sz w:val="18"/>
              </w:rPr>
              <w:t>Выполнение работ по демонтажу и монтажу кондиционера</w:t>
            </w:r>
          </w:p>
        </w:tc>
        <w:tc>
          <w:tcPr>
            <w:tcW w:type="dxa" w:w="849"/>
            <w:tcBorders>
              <w:top w:color="000000" w:sz="4" w:val="single"/>
              <w:left w:color="000000" w:sz="4" w:val="single"/>
              <w:bottom w:color="000000" w:sz="4" w:val="single"/>
              <w:right w:color="000000" w:sz="4" w:val="single"/>
            </w:tcBorders>
            <w:shd w:fill="FFFFFF" w:val="clear"/>
            <w:vAlign w:val="center"/>
          </w:tcPr>
          <w:p w14:paraId="1C3A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1D3A0000">
            <w:pPr>
              <w:widowControl w:val="1"/>
              <w:ind/>
              <w:jc w:val="center"/>
              <w:rPr>
                <w:color w:val="000000"/>
                <w:sz w:val="18"/>
              </w:rPr>
            </w:pPr>
            <w:r>
              <w:rPr>
                <w:color w:val="000000"/>
                <w:sz w:val="18"/>
              </w:rPr>
              <w:t>4</w:t>
            </w:r>
          </w:p>
        </w:tc>
        <w:tc>
          <w:tcPr>
            <w:tcW w:type="dxa" w:w="991"/>
            <w:tcBorders>
              <w:top w:color="000000" w:sz="4" w:val="single"/>
              <w:left w:color="000000" w:sz="4" w:val="single"/>
              <w:bottom w:color="000000" w:sz="4" w:val="single"/>
              <w:right w:color="000000" w:sz="4" w:val="single"/>
            </w:tcBorders>
            <w:shd w:fill="FFFFFF" w:val="clear"/>
            <w:vAlign w:val="center"/>
          </w:tcPr>
          <w:p w14:paraId="1E3A0000">
            <w:pPr>
              <w:widowControl w:val="1"/>
              <w:ind/>
              <w:jc w:val="center"/>
              <w:rPr>
                <w:color w:val="000000"/>
                <w:sz w:val="18"/>
              </w:rPr>
            </w:pPr>
            <w:r>
              <w:rPr>
                <w:color w:val="000000"/>
                <w:sz w:val="18"/>
              </w:rPr>
              <w:t>21800,00</w:t>
            </w:r>
          </w:p>
        </w:tc>
        <w:tc>
          <w:tcPr>
            <w:tcW w:type="dxa" w:w="1134"/>
            <w:tcBorders>
              <w:top w:color="000000" w:sz="4" w:val="single"/>
              <w:left w:color="000000" w:sz="4" w:val="single"/>
              <w:bottom w:color="000000" w:sz="4" w:val="single"/>
              <w:right w:color="000000" w:sz="4" w:val="single"/>
            </w:tcBorders>
            <w:shd w:fill="FFFFFF" w:val="clear"/>
            <w:vAlign w:val="center"/>
          </w:tcPr>
          <w:p w14:paraId="1F3A0000">
            <w:pPr>
              <w:widowControl w:val="1"/>
              <w:ind/>
              <w:jc w:val="center"/>
              <w:rPr>
                <w:color w:val="000000"/>
                <w:sz w:val="18"/>
              </w:rPr>
            </w:pPr>
            <w:r>
              <w:rPr>
                <w:color w:val="000000"/>
                <w:sz w:val="18"/>
              </w:rPr>
              <w:t>21800,00</w:t>
            </w:r>
          </w:p>
        </w:tc>
        <w:tc>
          <w:tcPr>
            <w:tcW w:type="dxa" w:w="993"/>
            <w:tcBorders>
              <w:top w:color="000000" w:sz="4" w:val="single"/>
              <w:left w:color="000000" w:sz="4" w:val="single"/>
              <w:bottom w:color="000000" w:sz="4" w:val="single"/>
              <w:right w:color="000000" w:sz="4" w:val="single"/>
            </w:tcBorders>
            <w:shd w:fill="FFFFFF" w:val="clear"/>
            <w:vAlign w:val="center"/>
          </w:tcPr>
          <w:p w14:paraId="203A0000">
            <w:pPr>
              <w:widowControl w:val="1"/>
              <w:ind/>
              <w:jc w:val="center"/>
              <w:rPr>
                <w:sz w:val="18"/>
              </w:rPr>
            </w:pPr>
            <w:r>
              <w:rPr>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213A0000">
            <w:pPr>
              <w:widowControl w:val="1"/>
              <w:ind/>
              <w:jc w:val="center"/>
              <w:rPr>
                <w:sz w:val="18"/>
              </w:rPr>
            </w:pPr>
            <w:r>
              <w:rPr>
                <w:sz w:val="18"/>
              </w:rPr>
              <w:t>август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223A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233A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243A0000">
            <w:pPr>
              <w:widowControl w:val="1"/>
              <w:ind/>
              <w:jc w:val="center"/>
              <w:rPr>
                <w:color w:val="000000"/>
                <w:sz w:val="18"/>
              </w:rPr>
            </w:pPr>
            <w:r>
              <w:rPr>
                <w:color w:val="000000"/>
                <w:sz w:val="18"/>
              </w:rPr>
              <w:t>4</w:t>
            </w:r>
          </w:p>
        </w:tc>
        <w:tc>
          <w:tcPr>
            <w:tcW w:type="dxa" w:w="1169"/>
            <w:tcBorders>
              <w:top w:color="000000" w:sz="4" w:val="single"/>
              <w:left w:color="000000" w:sz="4" w:val="single"/>
              <w:bottom w:color="000000" w:sz="4" w:val="single"/>
              <w:right w:color="000000" w:sz="4" w:val="single"/>
            </w:tcBorders>
            <w:shd w:fill="FFFFFF" w:val="clear"/>
            <w:vAlign w:val="center"/>
          </w:tcPr>
          <w:p w14:paraId="253A0000">
            <w:pPr>
              <w:widowControl w:val="1"/>
              <w:ind/>
              <w:jc w:val="center"/>
              <w:rPr>
                <w:color w:val="000000"/>
                <w:sz w:val="18"/>
              </w:rPr>
            </w:pPr>
            <w:r>
              <w:rPr>
                <w:color w:val="000000"/>
                <w:sz w:val="18"/>
              </w:rPr>
              <w:t>21800,00</w:t>
            </w:r>
          </w:p>
        </w:tc>
        <w:tc>
          <w:tcPr>
            <w:tcW w:type="dxa" w:w="1185"/>
            <w:tcBorders>
              <w:top w:color="000000" w:sz="4" w:val="single"/>
              <w:left w:color="000000" w:sz="4" w:val="single"/>
              <w:bottom w:color="000000" w:sz="4" w:val="single"/>
              <w:right w:color="000000" w:sz="4" w:val="single"/>
            </w:tcBorders>
            <w:shd w:fill="FFFFFF" w:val="clear"/>
            <w:vAlign w:val="center"/>
          </w:tcPr>
          <w:p w14:paraId="263A0000">
            <w:pPr>
              <w:widowControl w:val="1"/>
              <w:ind/>
              <w:jc w:val="center"/>
              <w:rPr>
                <w:color w:val="000000"/>
                <w:sz w:val="18"/>
              </w:rPr>
            </w:pPr>
            <w:r>
              <w:rPr>
                <w:color w:val="000000"/>
                <w:sz w:val="18"/>
              </w:rPr>
              <w:t>21800,00</w:t>
            </w:r>
          </w:p>
        </w:tc>
        <w:tc>
          <w:tcPr>
            <w:tcW w:type="dxa" w:w="1083"/>
            <w:tcBorders>
              <w:top w:color="000000" w:sz="4" w:val="single"/>
              <w:left w:color="000000" w:sz="4" w:val="single"/>
              <w:bottom w:color="000000" w:sz="4" w:val="single"/>
              <w:right w:color="000000" w:sz="4" w:val="single"/>
            </w:tcBorders>
            <w:shd w:fill="FFFFFF" w:val="clear"/>
            <w:vAlign w:val="center"/>
          </w:tcPr>
          <w:p w14:paraId="273A0000">
            <w:pPr>
              <w:widowControl w:val="1"/>
              <w:ind/>
              <w:jc w:val="center"/>
              <w:rPr>
                <w:color w:val="000000"/>
                <w:sz w:val="18"/>
              </w:rPr>
            </w:pPr>
            <w:r>
              <w:rPr>
                <w:color w:val="000000"/>
                <w:sz w:val="18"/>
              </w:rPr>
              <w:t>21800,00</w:t>
            </w:r>
          </w:p>
        </w:tc>
        <w:tc>
          <w:tcPr>
            <w:tcW w:type="dxa" w:w="771"/>
            <w:tcBorders>
              <w:top w:color="000000" w:sz="4" w:val="single"/>
              <w:left w:color="000000" w:sz="4" w:val="single"/>
              <w:bottom w:color="000000" w:sz="4" w:val="single"/>
              <w:right w:color="000000" w:sz="4" w:val="single"/>
            </w:tcBorders>
            <w:shd w:fill="FFFFFF" w:val="clear"/>
            <w:vAlign w:val="center"/>
          </w:tcPr>
          <w:p w14:paraId="283A0000">
            <w:pPr>
              <w:widowControl w:val="1"/>
              <w:ind/>
              <w:jc w:val="center"/>
              <w:rPr>
                <w:sz w:val="18"/>
              </w:rPr>
            </w:pPr>
            <w:r>
              <w:rPr>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293A0000">
            <w:pPr>
              <w:widowControl w:val="1"/>
              <w:ind/>
              <w:jc w:val="center"/>
              <w:rPr>
                <w:sz w:val="18"/>
              </w:rPr>
            </w:pPr>
            <w:r>
              <w:rPr>
                <w:sz w:val="18"/>
              </w:rPr>
              <w:t>август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2A3A0000">
            <w:pPr>
              <w:widowControl w:val="1"/>
              <w:ind/>
              <w:jc w:val="center"/>
              <w:rPr>
                <w:sz w:val="18"/>
              </w:rPr>
            </w:pPr>
            <w:r>
              <w:rPr>
                <w:sz w:val="18"/>
              </w:rPr>
              <w:t>счет № 81 от 10.08.2018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2B3A0000">
            <w:pPr>
              <w:widowControl w:val="1"/>
              <w:ind/>
              <w:jc w:val="center"/>
              <w:rPr>
                <w:color w:val="000000"/>
                <w:sz w:val="18"/>
              </w:rPr>
            </w:pPr>
            <w:r>
              <w:rPr>
                <w:color w:val="000000"/>
                <w:sz w:val="18"/>
              </w:rPr>
              <w:t>187</w:t>
            </w:r>
          </w:p>
        </w:tc>
        <w:tc>
          <w:tcPr>
            <w:tcW w:type="dxa" w:w="618"/>
            <w:tcBorders>
              <w:top w:color="000000" w:sz="4" w:val="single"/>
              <w:left w:color="000000" w:sz="4" w:val="single"/>
              <w:bottom w:color="000000" w:sz="4" w:val="single"/>
              <w:right w:color="000000" w:sz="4" w:val="single"/>
            </w:tcBorders>
            <w:shd w:fill="FFFFFF" w:val="clear"/>
            <w:vAlign w:val="center"/>
          </w:tcPr>
          <w:p w14:paraId="2C3A0000">
            <w:pPr>
              <w:widowControl w:val="1"/>
              <w:ind/>
              <w:jc w:val="center"/>
              <w:rPr>
                <w:sz w:val="18"/>
              </w:rPr>
            </w:pPr>
            <w:r>
              <w:rPr>
                <w:sz w:val="18"/>
              </w:rPr>
              <w:t>111/2</w:t>
            </w:r>
          </w:p>
        </w:tc>
        <w:tc>
          <w:tcPr>
            <w:tcW w:type="dxa" w:w="993"/>
            <w:tcBorders>
              <w:top w:color="000000" w:sz="4" w:val="single"/>
              <w:left w:color="000000" w:sz="4" w:val="single"/>
              <w:bottom w:color="000000" w:sz="4" w:val="single"/>
              <w:right w:color="000000" w:sz="4" w:val="single"/>
            </w:tcBorders>
            <w:shd w:fill="FFFFFF" w:val="clear"/>
            <w:vAlign w:val="center"/>
          </w:tcPr>
          <w:p w14:paraId="2D3A0000">
            <w:pPr>
              <w:widowControl w:val="1"/>
              <w:ind/>
              <w:jc w:val="center"/>
              <w:rPr>
                <w:sz w:val="18"/>
              </w:rPr>
            </w:pPr>
            <w:r>
              <w:rPr>
                <w:sz w:val="18"/>
              </w:rPr>
              <w:t>выполнение работ по изготовлению штампов</w:t>
            </w:r>
          </w:p>
        </w:tc>
        <w:tc>
          <w:tcPr>
            <w:tcW w:type="dxa" w:w="849"/>
            <w:tcBorders>
              <w:top w:color="000000" w:sz="4" w:val="single"/>
              <w:left w:color="000000" w:sz="4" w:val="single"/>
              <w:bottom w:color="000000" w:sz="4" w:val="single"/>
              <w:right w:color="000000" w:sz="4" w:val="single"/>
            </w:tcBorders>
            <w:shd w:fill="FFFFFF" w:val="clear"/>
            <w:vAlign w:val="center"/>
          </w:tcPr>
          <w:p w14:paraId="2E3A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2F3A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303A0000">
            <w:pPr>
              <w:widowControl w:val="1"/>
              <w:ind/>
              <w:jc w:val="center"/>
              <w:rPr>
                <w:sz w:val="18"/>
              </w:rPr>
            </w:pPr>
            <w:r>
              <w:rPr>
                <w:sz w:val="18"/>
              </w:rPr>
              <w:t>750,00</w:t>
            </w:r>
          </w:p>
        </w:tc>
        <w:tc>
          <w:tcPr>
            <w:tcW w:type="dxa" w:w="1134"/>
            <w:tcBorders>
              <w:top w:color="000000" w:sz="4" w:val="single"/>
              <w:left w:color="000000" w:sz="4" w:val="single"/>
              <w:bottom w:color="000000" w:sz="4" w:val="single"/>
              <w:right w:color="000000" w:sz="4" w:val="single"/>
            </w:tcBorders>
            <w:shd w:fill="FFFFFF" w:val="clear"/>
            <w:vAlign w:val="center"/>
          </w:tcPr>
          <w:p w14:paraId="313A0000">
            <w:pPr>
              <w:widowControl w:val="1"/>
              <w:ind/>
              <w:jc w:val="center"/>
              <w:rPr>
                <w:sz w:val="18"/>
              </w:rPr>
            </w:pPr>
            <w:r>
              <w:rPr>
                <w:sz w:val="18"/>
              </w:rPr>
              <w:t>750,00</w:t>
            </w:r>
          </w:p>
        </w:tc>
        <w:tc>
          <w:tcPr>
            <w:tcW w:type="dxa" w:w="993"/>
            <w:tcBorders>
              <w:top w:color="000000" w:sz="4" w:val="single"/>
              <w:left w:color="000000" w:sz="4" w:val="single"/>
              <w:bottom w:color="000000" w:sz="4" w:val="single"/>
              <w:right w:color="000000" w:sz="4" w:val="single"/>
            </w:tcBorders>
            <w:shd w:fill="FFFFFF" w:val="clear"/>
            <w:vAlign w:val="center"/>
          </w:tcPr>
          <w:p w14:paraId="323A0000">
            <w:pPr>
              <w:widowControl w:val="1"/>
              <w:ind/>
              <w:jc w:val="center"/>
              <w:rPr>
                <w:sz w:val="18"/>
              </w:rPr>
            </w:pPr>
            <w:r>
              <w:rPr>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333A0000">
            <w:pPr>
              <w:widowControl w:val="1"/>
              <w:ind/>
              <w:jc w:val="center"/>
              <w:rPr>
                <w:sz w:val="18"/>
              </w:rPr>
            </w:pPr>
            <w:r>
              <w:rPr>
                <w:sz w:val="18"/>
              </w:rPr>
              <w:t>август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343A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353A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363A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373A0000">
            <w:pPr>
              <w:widowControl w:val="1"/>
              <w:ind/>
              <w:jc w:val="center"/>
              <w:rPr>
                <w:sz w:val="18"/>
              </w:rPr>
            </w:pPr>
            <w:r>
              <w:rPr>
                <w:sz w:val="18"/>
              </w:rPr>
              <w:t>750,00</w:t>
            </w:r>
          </w:p>
        </w:tc>
        <w:tc>
          <w:tcPr>
            <w:tcW w:type="dxa" w:w="1185"/>
            <w:tcBorders>
              <w:top w:color="000000" w:sz="4" w:val="single"/>
              <w:left w:color="000000" w:sz="4" w:val="single"/>
              <w:bottom w:color="000000" w:sz="4" w:val="single"/>
              <w:right w:color="000000" w:sz="4" w:val="single"/>
            </w:tcBorders>
            <w:shd w:fill="FFFFFF" w:val="clear"/>
            <w:vAlign w:val="center"/>
          </w:tcPr>
          <w:p w14:paraId="383A0000">
            <w:pPr>
              <w:widowControl w:val="1"/>
              <w:ind/>
              <w:jc w:val="center"/>
              <w:rPr>
                <w:sz w:val="18"/>
              </w:rPr>
            </w:pPr>
            <w:r>
              <w:rPr>
                <w:sz w:val="18"/>
              </w:rPr>
              <w:t>750,00</w:t>
            </w:r>
          </w:p>
        </w:tc>
        <w:tc>
          <w:tcPr>
            <w:tcW w:type="dxa" w:w="1083"/>
            <w:tcBorders>
              <w:top w:color="000000" w:sz="4" w:val="single"/>
              <w:left w:color="000000" w:sz="4" w:val="single"/>
              <w:bottom w:color="000000" w:sz="4" w:val="single"/>
              <w:right w:color="000000" w:sz="4" w:val="single"/>
            </w:tcBorders>
            <w:shd w:fill="FFFFFF" w:val="clear"/>
            <w:vAlign w:val="center"/>
          </w:tcPr>
          <w:p w14:paraId="393A0000">
            <w:pPr>
              <w:widowControl w:val="1"/>
              <w:ind/>
              <w:jc w:val="center"/>
              <w:rPr>
                <w:sz w:val="18"/>
              </w:rPr>
            </w:pPr>
            <w:r>
              <w:rPr>
                <w:sz w:val="18"/>
              </w:rPr>
              <w:t>750,00</w:t>
            </w:r>
          </w:p>
        </w:tc>
        <w:tc>
          <w:tcPr>
            <w:tcW w:type="dxa" w:w="771"/>
            <w:tcBorders>
              <w:top w:color="000000" w:sz="4" w:val="single"/>
              <w:left w:color="000000" w:sz="4" w:val="single"/>
              <w:bottom w:color="000000" w:sz="4" w:val="single"/>
              <w:right w:color="000000" w:sz="4" w:val="single"/>
            </w:tcBorders>
            <w:shd w:fill="FFFFFF" w:val="clear"/>
            <w:vAlign w:val="center"/>
          </w:tcPr>
          <w:p w14:paraId="3A3A0000">
            <w:pPr>
              <w:widowControl w:val="1"/>
              <w:ind/>
              <w:jc w:val="center"/>
              <w:rPr>
                <w:sz w:val="18"/>
              </w:rPr>
            </w:pPr>
            <w:r>
              <w:rPr>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3B3A0000">
            <w:pPr>
              <w:widowControl w:val="1"/>
              <w:ind/>
              <w:jc w:val="center"/>
              <w:rPr>
                <w:sz w:val="18"/>
              </w:rPr>
            </w:pPr>
            <w:r>
              <w:rPr>
                <w:sz w:val="18"/>
              </w:rPr>
              <w:t>август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3C3A0000">
            <w:pPr>
              <w:widowControl w:val="1"/>
              <w:ind/>
              <w:jc w:val="center"/>
              <w:rPr>
                <w:sz w:val="18"/>
              </w:rPr>
            </w:pPr>
            <w:r>
              <w:rPr>
                <w:sz w:val="18"/>
              </w:rPr>
              <w:t>счет № 28/256 от 21.08.2018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3D3A0000">
            <w:pPr>
              <w:widowControl w:val="1"/>
              <w:ind/>
              <w:jc w:val="center"/>
              <w:rPr>
                <w:color w:val="000000"/>
                <w:sz w:val="18"/>
              </w:rPr>
            </w:pPr>
            <w:r>
              <w:rPr>
                <w:color w:val="000000"/>
                <w:sz w:val="18"/>
              </w:rPr>
              <w:t>188</w:t>
            </w:r>
          </w:p>
        </w:tc>
        <w:tc>
          <w:tcPr>
            <w:tcW w:type="dxa" w:w="618"/>
            <w:tcBorders>
              <w:top w:color="000000" w:sz="4" w:val="single"/>
              <w:left w:color="000000" w:sz="4" w:val="single"/>
              <w:bottom w:color="000000" w:sz="4" w:val="single"/>
              <w:right w:color="000000" w:sz="4" w:val="single"/>
            </w:tcBorders>
            <w:shd w:fill="FFFFFF" w:val="clear"/>
            <w:vAlign w:val="center"/>
          </w:tcPr>
          <w:p w14:paraId="3E3A0000">
            <w:pPr>
              <w:widowControl w:val="1"/>
              <w:ind/>
              <w:jc w:val="center"/>
              <w:rPr>
                <w:sz w:val="18"/>
              </w:rPr>
            </w:pPr>
            <w:r>
              <w:rPr>
                <w:sz w:val="18"/>
              </w:rPr>
              <w:t>112/2</w:t>
            </w:r>
          </w:p>
        </w:tc>
        <w:tc>
          <w:tcPr>
            <w:tcW w:type="dxa" w:w="993"/>
            <w:tcBorders>
              <w:top w:color="000000" w:sz="4" w:val="single"/>
              <w:left w:color="000000" w:sz="4" w:val="single"/>
              <w:bottom w:color="000000" w:sz="4" w:val="single"/>
              <w:right w:color="000000" w:sz="4" w:val="single"/>
            </w:tcBorders>
            <w:shd w:fill="FFFFFF" w:val="clear"/>
            <w:vAlign w:val="center"/>
          </w:tcPr>
          <w:p w14:paraId="3F3A0000">
            <w:pPr>
              <w:widowControl w:val="1"/>
              <w:ind/>
              <w:jc w:val="center"/>
              <w:rPr>
                <w:sz w:val="18"/>
              </w:rPr>
            </w:pPr>
            <w:r>
              <w:rPr>
                <w:sz w:val="18"/>
              </w:rPr>
              <w:t>поставка доски флипчарт</w:t>
            </w:r>
          </w:p>
        </w:tc>
        <w:tc>
          <w:tcPr>
            <w:tcW w:type="dxa" w:w="849"/>
            <w:tcBorders>
              <w:top w:color="000000" w:sz="4" w:val="single"/>
              <w:left w:color="000000" w:sz="4" w:val="single"/>
              <w:bottom w:color="000000" w:sz="4" w:val="single"/>
              <w:right w:color="000000" w:sz="4" w:val="single"/>
            </w:tcBorders>
            <w:shd w:fill="FFFFFF" w:val="clear"/>
            <w:vAlign w:val="center"/>
          </w:tcPr>
          <w:p w14:paraId="403A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413A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423A0000">
            <w:pPr>
              <w:widowControl w:val="1"/>
              <w:ind/>
              <w:jc w:val="center"/>
              <w:rPr>
                <w:sz w:val="18"/>
              </w:rPr>
            </w:pPr>
            <w:r>
              <w:rPr>
                <w:sz w:val="18"/>
              </w:rPr>
              <w:t>6631,00</w:t>
            </w:r>
          </w:p>
        </w:tc>
        <w:tc>
          <w:tcPr>
            <w:tcW w:type="dxa" w:w="1134"/>
            <w:tcBorders>
              <w:top w:color="000000" w:sz="4" w:val="single"/>
              <w:left w:color="000000" w:sz="4" w:val="single"/>
              <w:bottom w:color="000000" w:sz="4" w:val="single"/>
              <w:right w:color="000000" w:sz="4" w:val="single"/>
            </w:tcBorders>
            <w:shd w:fill="FFFFFF" w:val="clear"/>
            <w:vAlign w:val="center"/>
          </w:tcPr>
          <w:p w14:paraId="433A0000">
            <w:pPr>
              <w:widowControl w:val="1"/>
              <w:ind/>
              <w:jc w:val="center"/>
              <w:rPr>
                <w:sz w:val="18"/>
              </w:rPr>
            </w:pPr>
            <w:r>
              <w:rPr>
                <w:sz w:val="18"/>
              </w:rPr>
              <w:t>7825,00</w:t>
            </w:r>
          </w:p>
        </w:tc>
        <w:tc>
          <w:tcPr>
            <w:tcW w:type="dxa" w:w="993"/>
            <w:tcBorders>
              <w:top w:color="000000" w:sz="4" w:val="single"/>
              <w:left w:color="000000" w:sz="4" w:val="single"/>
              <w:bottom w:color="000000" w:sz="4" w:val="single"/>
              <w:right w:color="000000" w:sz="4" w:val="single"/>
            </w:tcBorders>
            <w:shd w:fill="FFFFFF" w:val="clear"/>
            <w:vAlign w:val="center"/>
          </w:tcPr>
          <w:p w14:paraId="443A0000">
            <w:pPr>
              <w:widowControl w:val="1"/>
              <w:ind/>
              <w:jc w:val="center"/>
              <w:rPr>
                <w:sz w:val="18"/>
              </w:rPr>
            </w:pPr>
            <w:r>
              <w:rPr>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453A0000">
            <w:pPr>
              <w:widowControl w:val="1"/>
              <w:ind/>
              <w:jc w:val="center"/>
              <w:rPr>
                <w:sz w:val="18"/>
              </w:rPr>
            </w:pPr>
            <w:r>
              <w:rPr>
                <w:sz w:val="18"/>
              </w:rPr>
              <w:t>август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463A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473A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483A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493A0000">
            <w:pPr>
              <w:widowControl w:val="1"/>
              <w:ind/>
              <w:jc w:val="center"/>
              <w:rPr>
                <w:sz w:val="18"/>
              </w:rPr>
            </w:pPr>
            <w:r>
              <w:rPr>
                <w:sz w:val="18"/>
              </w:rPr>
              <w:t>6631,00</w:t>
            </w:r>
          </w:p>
        </w:tc>
        <w:tc>
          <w:tcPr>
            <w:tcW w:type="dxa" w:w="1185"/>
            <w:tcBorders>
              <w:top w:color="000000" w:sz="4" w:val="single"/>
              <w:left w:color="000000" w:sz="4" w:val="single"/>
              <w:bottom w:color="000000" w:sz="4" w:val="single"/>
              <w:right w:color="000000" w:sz="4" w:val="single"/>
            </w:tcBorders>
            <w:shd w:fill="FFFFFF" w:val="clear"/>
            <w:vAlign w:val="center"/>
          </w:tcPr>
          <w:p w14:paraId="4A3A0000">
            <w:pPr>
              <w:widowControl w:val="1"/>
              <w:ind/>
              <w:jc w:val="center"/>
              <w:rPr>
                <w:sz w:val="18"/>
              </w:rPr>
            </w:pPr>
            <w:r>
              <w:rPr>
                <w:sz w:val="18"/>
              </w:rPr>
              <w:t>7825,00</w:t>
            </w:r>
          </w:p>
        </w:tc>
        <w:tc>
          <w:tcPr>
            <w:tcW w:type="dxa" w:w="1083"/>
            <w:tcBorders>
              <w:top w:color="000000" w:sz="4" w:val="single"/>
              <w:left w:color="000000" w:sz="4" w:val="single"/>
              <w:bottom w:color="000000" w:sz="4" w:val="single"/>
              <w:right w:color="000000" w:sz="4" w:val="single"/>
            </w:tcBorders>
            <w:shd w:fill="FFFFFF" w:val="clear"/>
            <w:vAlign w:val="center"/>
          </w:tcPr>
          <w:p w14:paraId="4B3A0000">
            <w:pPr>
              <w:widowControl w:val="1"/>
              <w:ind/>
              <w:jc w:val="center"/>
              <w:rPr>
                <w:sz w:val="18"/>
              </w:rPr>
            </w:pPr>
            <w:r>
              <w:rPr>
                <w:sz w:val="18"/>
              </w:rPr>
              <w:t>7825,00</w:t>
            </w:r>
          </w:p>
        </w:tc>
        <w:tc>
          <w:tcPr>
            <w:tcW w:type="dxa" w:w="771"/>
            <w:tcBorders>
              <w:top w:color="000000" w:sz="4" w:val="single"/>
              <w:left w:color="000000" w:sz="4" w:val="single"/>
              <w:bottom w:color="000000" w:sz="4" w:val="single"/>
              <w:right w:color="000000" w:sz="4" w:val="single"/>
            </w:tcBorders>
            <w:shd w:fill="FFFFFF" w:val="clear"/>
            <w:vAlign w:val="center"/>
          </w:tcPr>
          <w:p w14:paraId="4C3A0000">
            <w:pPr>
              <w:widowControl w:val="1"/>
              <w:ind/>
              <w:jc w:val="center"/>
              <w:rPr>
                <w:sz w:val="18"/>
              </w:rPr>
            </w:pPr>
            <w:r>
              <w:rPr>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4D3A0000">
            <w:pPr>
              <w:widowControl w:val="1"/>
              <w:ind/>
              <w:jc w:val="center"/>
              <w:rPr>
                <w:sz w:val="18"/>
              </w:rPr>
            </w:pPr>
            <w:r>
              <w:rPr>
                <w:sz w:val="18"/>
              </w:rPr>
              <w:t>август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4E3A0000">
            <w:pPr>
              <w:widowControl w:val="1"/>
              <w:ind/>
              <w:jc w:val="center"/>
              <w:rPr>
                <w:sz w:val="18"/>
              </w:rPr>
            </w:pPr>
            <w:r>
              <w:rPr>
                <w:sz w:val="18"/>
              </w:rPr>
              <w:t>счет № 1352 от 20.08.2018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4F3A0000">
            <w:pPr>
              <w:widowControl w:val="1"/>
              <w:ind/>
              <w:jc w:val="center"/>
              <w:rPr>
                <w:color w:val="000000"/>
                <w:sz w:val="18"/>
              </w:rPr>
            </w:pPr>
            <w:r>
              <w:rPr>
                <w:color w:val="000000"/>
                <w:sz w:val="18"/>
              </w:rPr>
              <w:t>189</w:t>
            </w:r>
          </w:p>
        </w:tc>
        <w:tc>
          <w:tcPr>
            <w:tcW w:type="dxa" w:w="618"/>
            <w:tcBorders>
              <w:top w:color="000000" w:sz="4" w:val="single"/>
              <w:left w:color="000000" w:sz="4" w:val="single"/>
              <w:bottom w:color="000000" w:sz="4" w:val="single"/>
              <w:right w:color="000000" w:sz="4" w:val="single"/>
            </w:tcBorders>
            <w:shd w:fill="FFFFFF" w:val="clear"/>
            <w:vAlign w:val="center"/>
          </w:tcPr>
          <w:p w14:paraId="503A0000">
            <w:pPr>
              <w:widowControl w:val="1"/>
              <w:ind/>
              <w:jc w:val="center"/>
              <w:rPr>
                <w:sz w:val="18"/>
              </w:rPr>
            </w:pPr>
            <w:r>
              <w:rPr>
                <w:sz w:val="18"/>
              </w:rPr>
              <w:t>113/2</w:t>
            </w:r>
          </w:p>
        </w:tc>
        <w:tc>
          <w:tcPr>
            <w:tcW w:type="dxa" w:w="993"/>
            <w:tcBorders>
              <w:top w:color="000000" w:sz="4" w:val="single"/>
              <w:left w:color="000000" w:sz="4" w:val="single"/>
              <w:bottom w:color="000000" w:sz="4" w:val="single"/>
              <w:right w:color="000000" w:sz="4" w:val="single"/>
            </w:tcBorders>
            <w:shd w:fill="FFFFFF" w:val="clear"/>
            <w:vAlign w:val="center"/>
          </w:tcPr>
          <w:p w14:paraId="513A0000">
            <w:pPr>
              <w:widowControl w:val="1"/>
              <w:ind/>
              <w:jc w:val="center"/>
              <w:rPr>
                <w:sz w:val="18"/>
              </w:rPr>
            </w:pPr>
            <w:r>
              <w:rPr>
                <w:sz w:val="18"/>
              </w:rPr>
              <w:t>оказание услуг по передаче прав на использование ПО VIPNet</w:t>
            </w:r>
          </w:p>
        </w:tc>
        <w:tc>
          <w:tcPr>
            <w:tcW w:type="dxa" w:w="849"/>
            <w:tcBorders>
              <w:top w:color="000000" w:sz="4" w:val="single"/>
              <w:left w:color="000000" w:sz="4" w:val="single"/>
              <w:bottom w:color="000000" w:sz="4" w:val="single"/>
              <w:right w:color="000000" w:sz="4" w:val="single"/>
            </w:tcBorders>
            <w:shd w:fill="FFFFFF" w:val="clear"/>
            <w:vAlign w:val="center"/>
          </w:tcPr>
          <w:p w14:paraId="523A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533A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543A0000">
            <w:pPr>
              <w:widowControl w:val="1"/>
              <w:ind/>
              <w:jc w:val="center"/>
              <w:rPr>
                <w:sz w:val="18"/>
              </w:rPr>
            </w:pPr>
            <w:r>
              <w:rPr>
                <w:sz w:val="18"/>
              </w:rPr>
              <w:t>4839,00</w:t>
            </w:r>
          </w:p>
        </w:tc>
        <w:tc>
          <w:tcPr>
            <w:tcW w:type="dxa" w:w="1134"/>
            <w:tcBorders>
              <w:top w:color="000000" w:sz="4" w:val="single"/>
              <w:left w:color="000000" w:sz="4" w:val="single"/>
              <w:bottom w:color="000000" w:sz="4" w:val="single"/>
              <w:right w:color="000000" w:sz="4" w:val="single"/>
            </w:tcBorders>
            <w:shd w:fill="FFFFFF" w:val="clear"/>
            <w:vAlign w:val="center"/>
          </w:tcPr>
          <w:p w14:paraId="553A0000">
            <w:pPr>
              <w:widowControl w:val="1"/>
              <w:ind/>
              <w:jc w:val="center"/>
              <w:rPr>
                <w:sz w:val="18"/>
              </w:rPr>
            </w:pPr>
            <w:r>
              <w:rPr>
                <w:sz w:val="18"/>
              </w:rPr>
              <w:t>5710,00</w:t>
            </w:r>
          </w:p>
        </w:tc>
        <w:tc>
          <w:tcPr>
            <w:tcW w:type="dxa" w:w="993"/>
            <w:tcBorders>
              <w:top w:color="000000" w:sz="4" w:val="single"/>
              <w:left w:color="000000" w:sz="4" w:val="single"/>
              <w:bottom w:color="000000" w:sz="4" w:val="single"/>
              <w:right w:color="000000" w:sz="4" w:val="single"/>
            </w:tcBorders>
            <w:shd w:fill="FFFFFF" w:val="clear"/>
            <w:vAlign w:val="center"/>
          </w:tcPr>
          <w:p w14:paraId="563A0000">
            <w:pPr>
              <w:widowControl w:val="1"/>
              <w:ind/>
              <w:jc w:val="center"/>
              <w:rPr>
                <w:sz w:val="18"/>
              </w:rPr>
            </w:pPr>
            <w:r>
              <w:rPr>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573A0000">
            <w:pPr>
              <w:widowControl w:val="1"/>
              <w:ind/>
              <w:jc w:val="center"/>
              <w:rPr>
                <w:sz w:val="18"/>
              </w:rPr>
            </w:pPr>
            <w:r>
              <w:rPr>
                <w:sz w:val="18"/>
              </w:rPr>
              <w:t>август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583A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593A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5A3A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5B3A0000">
            <w:pPr>
              <w:widowControl w:val="1"/>
              <w:ind/>
              <w:jc w:val="center"/>
              <w:rPr>
                <w:sz w:val="18"/>
              </w:rPr>
            </w:pPr>
            <w:r>
              <w:rPr>
                <w:sz w:val="18"/>
              </w:rPr>
              <w:t>4839,00</w:t>
            </w:r>
          </w:p>
        </w:tc>
        <w:tc>
          <w:tcPr>
            <w:tcW w:type="dxa" w:w="1185"/>
            <w:tcBorders>
              <w:top w:color="000000" w:sz="4" w:val="single"/>
              <w:left w:color="000000" w:sz="4" w:val="single"/>
              <w:bottom w:color="000000" w:sz="4" w:val="single"/>
              <w:right w:color="000000" w:sz="4" w:val="single"/>
            </w:tcBorders>
            <w:shd w:fill="FFFFFF" w:val="clear"/>
            <w:vAlign w:val="center"/>
          </w:tcPr>
          <w:p w14:paraId="5C3A0000">
            <w:pPr>
              <w:widowControl w:val="1"/>
              <w:ind/>
              <w:jc w:val="center"/>
              <w:rPr>
                <w:sz w:val="18"/>
              </w:rPr>
            </w:pPr>
            <w:r>
              <w:rPr>
                <w:sz w:val="18"/>
              </w:rPr>
              <w:t>5710,00</w:t>
            </w:r>
          </w:p>
        </w:tc>
        <w:tc>
          <w:tcPr>
            <w:tcW w:type="dxa" w:w="1083"/>
            <w:tcBorders>
              <w:top w:color="000000" w:sz="4" w:val="single"/>
              <w:left w:color="000000" w:sz="4" w:val="single"/>
              <w:bottom w:color="000000" w:sz="4" w:val="single"/>
              <w:right w:color="000000" w:sz="4" w:val="single"/>
            </w:tcBorders>
            <w:shd w:fill="FFFFFF" w:val="clear"/>
            <w:vAlign w:val="center"/>
          </w:tcPr>
          <w:p w14:paraId="5D3A0000">
            <w:pPr>
              <w:widowControl w:val="1"/>
              <w:ind/>
              <w:jc w:val="center"/>
              <w:rPr>
                <w:sz w:val="18"/>
              </w:rPr>
            </w:pPr>
            <w:r>
              <w:rPr>
                <w:sz w:val="18"/>
              </w:rPr>
              <w:t>5710,00</w:t>
            </w:r>
          </w:p>
        </w:tc>
        <w:tc>
          <w:tcPr>
            <w:tcW w:type="dxa" w:w="771"/>
            <w:tcBorders>
              <w:top w:color="000000" w:sz="4" w:val="single"/>
              <w:left w:color="000000" w:sz="4" w:val="single"/>
              <w:bottom w:color="000000" w:sz="4" w:val="single"/>
              <w:right w:color="000000" w:sz="4" w:val="single"/>
            </w:tcBorders>
            <w:shd w:fill="FFFFFF" w:val="clear"/>
            <w:vAlign w:val="center"/>
          </w:tcPr>
          <w:p w14:paraId="5E3A0000">
            <w:pPr>
              <w:widowControl w:val="1"/>
              <w:ind/>
              <w:jc w:val="center"/>
              <w:rPr>
                <w:sz w:val="18"/>
              </w:rPr>
            </w:pPr>
            <w:r>
              <w:rPr>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F3A0000">
            <w:pPr>
              <w:widowControl w:val="1"/>
              <w:ind/>
              <w:jc w:val="center"/>
              <w:rPr>
                <w:sz w:val="18"/>
              </w:rPr>
            </w:pPr>
            <w:r>
              <w:rPr>
                <w:sz w:val="18"/>
              </w:rPr>
              <w:t>август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603A0000">
            <w:pPr>
              <w:widowControl w:val="1"/>
              <w:ind/>
              <w:jc w:val="center"/>
              <w:rPr>
                <w:sz w:val="18"/>
              </w:rPr>
            </w:pPr>
            <w:r>
              <w:rPr>
                <w:sz w:val="18"/>
              </w:rPr>
              <w:t>счет № 909-1183117/1 от 31.07.2018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613A0000">
            <w:pPr>
              <w:widowControl w:val="1"/>
              <w:ind/>
              <w:jc w:val="center"/>
              <w:rPr>
                <w:color w:val="000000"/>
                <w:sz w:val="18"/>
              </w:rPr>
            </w:pPr>
            <w:r>
              <w:rPr>
                <w:color w:val="000000"/>
                <w:sz w:val="18"/>
              </w:rPr>
              <w:t>190</w:t>
            </w:r>
          </w:p>
        </w:tc>
        <w:tc>
          <w:tcPr>
            <w:tcW w:type="dxa" w:w="618"/>
            <w:tcBorders>
              <w:top w:color="000000" w:sz="4" w:val="single"/>
              <w:left w:color="000000" w:sz="4" w:val="single"/>
              <w:bottom w:color="000000" w:sz="4" w:val="single"/>
              <w:right w:color="000000" w:sz="4" w:val="single"/>
            </w:tcBorders>
            <w:shd w:fill="FFFFFF" w:val="clear"/>
            <w:vAlign w:val="center"/>
          </w:tcPr>
          <w:p w14:paraId="623A0000">
            <w:pPr>
              <w:widowControl w:val="1"/>
              <w:ind/>
              <w:jc w:val="center"/>
              <w:rPr>
                <w:sz w:val="18"/>
              </w:rPr>
            </w:pPr>
            <w:r>
              <w:rPr>
                <w:sz w:val="18"/>
              </w:rPr>
              <w:t>114/2</w:t>
            </w:r>
          </w:p>
        </w:tc>
        <w:tc>
          <w:tcPr>
            <w:tcW w:type="dxa" w:w="993"/>
            <w:tcBorders>
              <w:top w:color="000000" w:sz="4" w:val="single"/>
              <w:left w:color="000000" w:sz="4" w:val="single"/>
              <w:bottom w:color="000000" w:sz="4" w:val="single"/>
              <w:right w:color="000000" w:sz="4" w:val="single"/>
            </w:tcBorders>
            <w:shd w:fill="FFFFFF" w:val="clear"/>
            <w:vAlign w:val="center"/>
          </w:tcPr>
          <w:p w14:paraId="633A0000">
            <w:pPr>
              <w:widowControl w:val="1"/>
              <w:ind/>
              <w:jc w:val="center"/>
              <w:rPr>
                <w:sz w:val="18"/>
              </w:rPr>
            </w:pPr>
            <w:r>
              <w:rPr>
                <w:sz w:val="18"/>
              </w:rPr>
              <w:t>поставка холодильника</w:t>
            </w:r>
          </w:p>
        </w:tc>
        <w:tc>
          <w:tcPr>
            <w:tcW w:type="dxa" w:w="849"/>
            <w:tcBorders>
              <w:top w:color="000000" w:sz="4" w:val="single"/>
              <w:left w:color="000000" w:sz="4" w:val="single"/>
              <w:bottom w:color="000000" w:sz="4" w:val="single"/>
              <w:right w:color="000000" w:sz="4" w:val="single"/>
            </w:tcBorders>
            <w:shd w:fill="FFFFFF" w:val="clear"/>
            <w:vAlign w:val="center"/>
          </w:tcPr>
          <w:p w14:paraId="643A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653A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663A0000">
            <w:pPr>
              <w:widowControl w:val="1"/>
              <w:ind/>
              <w:jc w:val="center"/>
              <w:rPr>
                <w:sz w:val="18"/>
              </w:rPr>
            </w:pPr>
            <w:r>
              <w:rPr>
                <w:sz w:val="18"/>
              </w:rPr>
              <w:t>8466,00</w:t>
            </w:r>
          </w:p>
        </w:tc>
        <w:tc>
          <w:tcPr>
            <w:tcW w:type="dxa" w:w="1134"/>
            <w:tcBorders>
              <w:top w:color="000000" w:sz="4" w:val="single"/>
              <w:left w:color="000000" w:sz="4" w:val="single"/>
              <w:bottom w:color="000000" w:sz="4" w:val="single"/>
              <w:right w:color="000000" w:sz="4" w:val="single"/>
            </w:tcBorders>
            <w:shd w:fill="FFFFFF" w:val="clear"/>
            <w:vAlign w:val="center"/>
          </w:tcPr>
          <w:p w14:paraId="673A0000">
            <w:pPr>
              <w:widowControl w:val="1"/>
              <w:ind/>
              <w:jc w:val="center"/>
              <w:rPr>
                <w:sz w:val="18"/>
              </w:rPr>
            </w:pPr>
            <w:r>
              <w:rPr>
                <w:sz w:val="18"/>
              </w:rPr>
              <w:t>9990,00</w:t>
            </w:r>
          </w:p>
        </w:tc>
        <w:tc>
          <w:tcPr>
            <w:tcW w:type="dxa" w:w="993"/>
            <w:tcBorders>
              <w:top w:color="000000" w:sz="4" w:val="single"/>
              <w:left w:color="000000" w:sz="4" w:val="single"/>
              <w:bottom w:color="000000" w:sz="4" w:val="single"/>
              <w:right w:color="000000" w:sz="4" w:val="single"/>
            </w:tcBorders>
            <w:shd w:fill="FFFFFF" w:val="clear"/>
            <w:vAlign w:val="center"/>
          </w:tcPr>
          <w:p w14:paraId="683A0000">
            <w:pPr>
              <w:widowControl w:val="1"/>
              <w:ind/>
              <w:jc w:val="center"/>
              <w:rPr>
                <w:sz w:val="18"/>
              </w:rPr>
            </w:pPr>
            <w:r>
              <w:rPr>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693A0000">
            <w:pPr>
              <w:widowControl w:val="1"/>
              <w:ind/>
              <w:jc w:val="center"/>
              <w:rPr>
                <w:sz w:val="18"/>
              </w:rPr>
            </w:pPr>
            <w:r>
              <w:rPr>
                <w:sz w:val="18"/>
              </w:rPr>
              <w:t>август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6A3A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6B3A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6C3A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6D3A0000">
            <w:pPr>
              <w:widowControl w:val="1"/>
              <w:ind/>
              <w:jc w:val="center"/>
              <w:rPr>
                <w:sz w:val="18"/>
              </w:rPr>
            </w:pPr>
            <w:r>
              <w:rPr>
                <w:sz w:val="18"/>
              </w:rPr>
              <w:t>8466,00</w:t>
            </w:r>
          </w:p>
        </w:tc>
        <w:tc>
          <w:tcPr>
            <w:tcW w:type="dxa" w:w="1185"/>
            <w:tcBorders>
              <w:top w:color="000000" w:sz="4" w:val="single"/>
              <w:left w:color="000000" w:sz="4" w:val="single"/>
              <w:bottom w:color="000000" w:sz="4" w:val="single"/>
              <w:right w:color="000000" w:sz="4" w:val="single"/>
            </w:tcBorders>
            <w:shd w:fill="FFFFFF" w:val="clear"/>
            <w:vAlign w:val="center"/>
          </w:tcPr>
          <w:p w14:paraId="6E3A0000">
            <w:pPr>
              <w:widowControl w:val="1"/>
              <w:ind/>
              <w:jc w:val="center"/>
              <w:rPr>
                <w:sz w:val="18"/>
              </w:rPr>
            </w:pPr>
            <w:r>
              <w:rPr>
                <w:sz w:val="18"/>
              </w:rPr>
              <w:t>9990,00</w:t>
            </w:r>
          </w:p>
        </w:tc>
        <w:tc>
          <w:tcPr>
            <w:tcW w:type="dxa" w:w="1083"/>
            <w:tcBorders>
              <w:top w:color="000000" w:sz="4" w:val="single"/>
              <w:left w:color="000000" w:sz="4" w:val="single"/>
              <w:bottom w:color="000000" w:sz="4" w:val="single"/>
              <w:right w:color="000000" w:sz="4" w:val="single"/>
            </w:tcBorders>
            <w:shd w:fill="FFFFFF" w:val="clear"/>
            <w:vAlign w:val="center"/>
          </w:tcPr>
          <w:p w14:paraId="6F3A0000">
            <w:pPr>
              <w:widowControl w:val="1"/>
              <w:ind/>
              <w:jc w:val="center"/>
              <w:rPr>
                <w:sz w:val="18"/>
              </w:rPr>
            </w:pPr>
            <w:r>
              <w:rPr>
                <w:sz w:val="18"/>
              </w:rPr>
              <w:t>9990,00</w:t>
            </w:r>
          </w:p>
        </w:tc>
        <w:tc>
          <w:tcPr>
            <w:tcW w:type="dxa" w:w="771"/>
            <w:tcBorders>
              <w:top w:color="000000" w:sz="4" w:val="single"/>
              <w:left w:color="000000" w:sz="4" w:val="single"/>
              <w:bottom w:color="000000" w:sz="4" w:val="single"/>
              <w:right w:color="000000" w:sz="4" w:val="single"/>
            </w:tcBorders>
            <w:shd w:fill="FFFFFF" w:val="clear"/>
            <w:vAlign w:val="center"/>
          </w:tcPr>
          <w:p w14:paraId="703A0000">
            <w:pPr>
              <w:widowControl w:val="1"/>
              <w:ind/>
              <w:jc w:val="center"/>
              <w:rPr>
                <w:sz w:val="18"/>
              </w:rPr>
            </w:pPr>
            <w:r>
              <w:rPr>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713A0000">
            <w:pPr>
              <w:widowControl w:val="1"/>
              <w:ind/>
              <w:jc w:val="center"/>
              <w:rPr>
                <w:sz w:val="18"/>
              </w:rPr>
            </w:pPr>
            <w:r>
              <w:rPr>
                <w:sz w:val="18"/>
              </w:rPr>
              <w:t>август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723A0000">
            <w:pPr>
              <w:widowControl w:val="1"/>
              <w:ind/>
              <w:jc w:val="center"/>
              <w:rPr>
                <w:sz w:val="18"/>
              </w:rPr>
            </w:pPr>
            <w:r>
              <w:rPr>
                <w:sz w:val="18"/>
              </w:rPr>
              <w:t>счет № РД1-003210 от 02.08.2018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733A0000">
            <w:pPr>
              <w:widowControl w:val="1"/>
              <w:ind/>
              <w:jc w:val="center"/>
              <w:rPr>
                <w:color w:val="000000"/>
                <w:sz w:val="18"/>
              </w:rPr>
            </w:pPr>
            <w:r>
              <w:rPr>
                <w:color w:val="000000"/>
                <w:sz w:val="18"/>
              </w:rPr>
              <w:t>191</w:t>
            </w:r>
          </w:p>
        </w:tc>
        <w:tc>
          <w:tcPr>
            <w:tcW w:type="dxa" w:w="618"/>
            <w:tcBorders>
              <w:top w:color="000000" w:sz="4" w:val="single"/>
              <w:left w:color="000000" w:sz="4" w:val="single"/>
              <w:bottom w:color="000000" w:sz="4" w:val="single"/>
              <w:right w:color="000000" w:sz="4" w:val="single"/>
            </w:tcBorders>
            <w:shd w:fill="FFFFFF" w:val="clear"/>
            <w:vAlign w:val="center"/>
          </w:tcPr>
          <w:p w14:paraId="743A0000">
            <w:pPr>
              <w:widowControl w:val="1"/>
              <w:ind/>
              <w:jc w:val="center"/>
              <w:rPr>
                <w:sz w:val="18"/>
              </w:rPr>
            </w:pPr>
            <w:r>
              <w:rPr>
                <w:sz w:val="18"/>
              </w:rPr>
              <w:t>115/2</w:t>
            </w:r>
          </w:p>
        </w:tc>
        <w:tc>
          <w:tcPr>
            <w:tcW w:type="dxa" w:w="993"/>
            <w:tcBorders>
              <w:top w:color="000000" w:sz="4" w:val="single"/>
              <w:left w:color="000000" w:sz="4" w:val="single"/>
              <w:bottom w:color="000000" w:sz="4" w:val="single"/>
              <w:right w:color="000000" w:sz="4" w:val="single"/>
            </w:tcBorders>
            <w:shd w:fill="FFFFFF" w:val="clear"/>
            <w:vAlign w:val="center"/>
          </w:tcPr>
          <w:p w14:paraId="753A0000">
            <w:pPr>
              <w:widowControl w:val="1"/>
              <w:ind/>
              <w:jc w:val="center"/>
              <w:rPr>
                <w:sz w:val="18"/>
              </w:rPr>
            </w:pPr>
            <w:r>
              <w:rPr>
                <w:sz w:val="18"/>
              </w:rPr>
              <w:t>оказание услуг по размещению рекламных материалов в Вконтакте</w:t>
            </w:r>
          </w:p>
        </w:tc>
        <w:tc>
          <w:tcPr>
            <w:tcW w:type="dxa" w:w="849"/>
            <w:tcBorders>
              <w:top w:color="000000" w:sz="4" w:val="single"/>
              <w:left w:color="000000" w:sz="4" w:val="single"/>
              <w:bottom w:color="000000" w:sz="4" w:val="single"/>
              <w:right w:color="000000" w:sz="4" w:val="single"/>
            </w:tcBorders>
            <w:shd w:fill="FFFFFF" w:val="clear"/>
            <w:vAlign w:val="center"/>
          </w:tcPr>
          <w:p w14:paraId="763A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773A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783A0000">
            <w:pPr>
              <w:widowControl w:val="1"/>
              <w:ind/>
              <w:jc w:val="center"/>
              <w:rPr>
                <w:sz w:val="18"/>
              </w:rPr>
            </w:pPr>
            <w:r>
              <w:rPr>
                <w:sz w:val="18"/>
              </w:rPr>
              <w:t>1186,00</w:t>
            </w:r>
          </w:p>
        </w:tc>
        <w:tc>
          <w:tcPr>
            <w:tcW w:type="dxa" w:w="1134"/>
            <w:tcBorders>
              <w:top w:color="000000" w:sz="4" w:val="single"/>
              <w:left w:color="000000" w:sz="4" w:val="single"/>
              <w:bottom w:color="000000" w:sz="4" w:val="single"/>
              <w:right w:color="000000" w:sz="4" w:val="single"/>
            </w:tcBorders>
            <w:shd w:fill="FFFFFF" w:val="clear"/>
            <w:vAlign w:val="center"/>
          </w:tcPr>
          <w:p w14:paraId="793A0000">
            <w:pPr>
              <w:widowControl w:val="1"/>
              <w:ind/>
              <w:jc w:val="center"/>
              <w:rPr>
                <w:sz w:val="18"/>
              </w:rPr>
            </w:pPr>
            <w:r>
              <w:rPr>
                <w:sz w:val="18"/>
              </w:rPr>
              <w:t>1400,00</w:t>
            </w:r>
          </w:p>
        </w:tc>
        <w:tc>
          <w:tcPr>
            <w:tcW w:type="dxa" w:w="993"/>
            <w:tcBorders>
              <w:top w:color="000000" w:sz="4" w:val="single"/>
              <w:left w:color="000000" w:sz="4" w:val="single"/>
              <w:bottom w:color="000000" w:sz="4" w:val="single"/>
              <w:right w:color="000000" w:sz="4" w:val="single"/>
            </w:tcBorders>
            <w:shd w:fill="FFFFFF" w:val="clear"/>
            <w:vAlign w:val="center"/>
          </w:tcPr>
          <w:p w14:paraId="7A3A0000">
            <w:pPr>
              <w:widowControl w:val="1"/>
              <w:ind/>
              <w:jc w:val="center"/>
              <w:rPr>
                <w:sz w:val="18"/>
              </w:rPr>
            </w:pPr>
            <w:r>
              <w:rPr>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7B3A0000">
            <w:pPr>
              <w:widowControl w:val="1"/>
              <w:ind/>
              <w:jc w:val="center"/>
              <w:rPr>
                <w:sz w:val="18"/>
              </w:rPr>
            </w:pPr>
            <w:r>
              <w:rPr>
                <w:sz w:val="18"/>
              </w:rPr>
              <w:t>август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7C3A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7D3A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7E3A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7F3A0000">
            <w:pPr>
              <w:widowControl w:val="1"/>
              <w:ind/>
              <w:jc w:val="center"/>
              <w:rPr>
                <w:sz w:val="18"/>
              </w:rPr>
            </w:pPr>
            <w:r>
              <w:rPr>
                <w:sz w:val="18"/>
              </w:rPr>
              <w:t>1186,00</w:t>
            </w:r>
          </w:p>
        </w:tc>
        <w:tc>
          <w:tcPr>
            <w:tcW w:type="dxa" w:w="1185"/>
            <w:tcBorders>
              <w:top w:color="000000" w:sz="4" w:val="single"/>
              <w:left w:color="000000" w:sz="4" w:val="single"/>
              <w:bottom w:color="000000" w:sz="4" w:val="single"/>
              <w:right w:color="000000" w:sz="4" w:val="single"/>
            </w:tcBorders>
            <w:shd w:fill="FFFFFF" w:val="clear"/>
            <w:vAlign w:val="center"/>
          </w:tcPr>
          <w:p w14:paraId="803A0000">
            <w:pPr>
              <w:widowControl w:val="1"/>
              <w:ind/>
              <w:jc w:val="center"/>
              <w:rPr>
                <w:sz w:val="18"/>
              </w:rPr>
            </w:pPr>
            <w:r>
              <w:rPr>
                <w:sz w:val="18"/>
              </w:rPr>
              <w:t>1400,00</w:t>
            </w:r>
          </w:p>
        </w:tc>
        <w:tc>
          <w:tcPr>
            <w:tcW w:type="dxa" w:w="1083"/>
            <w:tcBorders>
              <w:top w:color="000000" w:sz="4" w:val="single"/>
              <w:left w:color="000000" w:sz="4" w:val="single"/>
              <w:bottom w:color="000000" w:sz="4" w:val="single"/>
              <w:right w:color="000000" w:sz="4" w:val="single"/>
            </w:tcBorders>
            <w:shd w:fill="FFFFFF" w:val="clear"/>
            <w:vAlign w:val="center"/>
          </w:tcPr>
          <w:p w14:paraId="813A0000">
            <w:pPr>
              <w:widowControl w:val="1"/>
              <w:ind/>
              <w:jc w:val="center"/>
              <w:rPr>
                <w:sz w:val="18"/>
              </w:rPr>
            </w:pPr>
            <w:r>
              <w:rPr>
                <w:sz w:val="18"/>
              </w:rPr>
              <w:t>1400,00</w:t>
            </w:r>
          </w:p>
        </w:tc>
        <w:tc>
          <w:tcPr>
            <w:tcW w:type="dxa" w:w="771"/>
            <w:tcBorders>
              <w:top w:color="000000" w:sz="4" w:val="single"/>
              <w:left w:color="000000" w:sz="4" w:val="single"/>
              <w:bottom w:color="000000" w:sz="4" w:val="single"/>
              <w:right w:color="000000" w:sz="4" w:val="single"/>
            </w:tcBorders>
            <w:shd w:fill="FFFFFF" w:val="clear"/>
            <w:vAlign w:val="center"/>
          </w:tcPr>
          <w:p w14:paraId="823A0000">
            <w:pPr>
              <w:widowControl w:val="1"/>
              <w:ind/>
              <w:jc w:val="center"/>
              <w:rPr>
                <w:sz w:val="18"/>
              </w:rPr>
            </w:pPr>
            <w:r>
              <w:rPr>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833A0000">
            <w:pPr>
              <w:widowControl w:val="1"/>
              <w:ind/>
              <w:jc w:val="center"/>
              <w:rPr>
                <w:sz w:val="18"/>
              </w:rPr>
            </w:pPr>
            <w:r>
              <w:rPr>
                <w:sz w:val="18"/>
              </w:rPr>
              <w:t>август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843A0000">
            <w:pPr>
              <w:widowControl w:val="1"/>
              <w:ind/>
              <w:jc w:val="center"/>
              <w:rPr>
                <w:sz w:val="18"/>
              </w:rPr>
            </w:pPr>
            <w:r>
              <w:rPr>
                <w:sz w:val="18"/>
              </w:rPr>
              <w:t>счет № 7175386 от 27.08.2018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853A0000">
            <w:pPr>
              <w:widowControl w:val="1"/>
              <w:ind/>
              <w:jc w:val="center"/>
              <w:rPr>
                <w:color w:val="000000"/>
                <w:sz w:val="18"/>
              </w:rPr>
            </w:pPr>
            <w:r>
              <w:rPr>
                <w:color w:val="000000"/>
                <w:sz w:val="18"/>
              </w:rPr>
              <w:t>192</w:t>
            </w:r>
          </w:p>
        </w:tc>
        <w:tc>
          <w:tcPr>
            <w:tcW w:type="dxa" w:w="618"/>
            <w:tcBorders>
              <w:top w:color="000000" w:sz="4" w:val="single"/>
              <w:left w:color="000000" w:sz="4" w:val="single"/>
              <w:bottom w:color="000000" w:sz="4" w:val="single"/>
              <w:right w:color="000000" w:sz="4" w:val="single"/>
            </w:tcBorders>
            <w:shd w:fill="FFFFFF" w:val="clear"/>
            <w:vAlign w:val="center"/>
          </w:tcPr>
          <w:p w14:paraId="863A0000">
            <w:pPr>
              <w:widowControl w:val="1"/>
              <w:ind/>
              <w:jc w:val="center"/>
              <w:rPr>
                <w:sz w:val="18"/>
              </w:rPr>
            </w:pPr>
            <w:r>
              <w:rPr>
                <w:sz w:val="18"/>
              </w:rPr>
              <w:t>116/2</w:t>
            </w:r>
          </w:p>
        </w:tc>
        <w:tc>
          <w:tcPr>
            <w:tcW w:type="dxa" w:w="993"/>
            <w:tcBorders>
              <w:top w:color="000000" w:sz="4" w:val="single"/>
              <w:left w:color="000000" w:sz="4" w:val="single"/>
              <w:bottom w:color="000000" w:sz="4" w:val="single"/>
              <w:right w:color="000000" w:sz="4" w:val="single"/>
            </w:tcBorders>
            <w:shd w:fill="FFFFFF" w:val="clear"/>
            <w:vAlign w:val="center"/>
          </w:tcPr>
          <w:p w14:paraId="873A0000">
            <w:pPr>
              <w:widowControl w:val="1"/>
              <w:ind/>
              <w:jc w:val="center"/>
              <w:rPr>
                <w:sz w:val="18"/>
              </w:rPr>
            </w:pPr>
            <w:r>
              <w:rPr>
                <w:sz w:val="18"/>
              </w:rPr>
              <w:t>поставка внешних аккумуляторов</w:t>
            </w:r>
          </w:p>
        </w:tc>
        <w:tc>
          <w:tcPr>
            <w:tcW w:type="dxa" w:w="849"/>
            <w:tcBorders>
              <w:top w:color="000000" w:sz="4" w:val="single"/>
              <w:left w:color="000000" w:sz="4" w:val="single"/>
              <w:bottom w:color="000000" w:sz="4" w:val="single"/>
              <w:right w:color="000000" w:sz="4" w:val="single"/>
            </w:tcBorders>
            <w:shd w:fill="FFFFFF" w:val="clear"/>
            <w:vAlign w:val="center"/>
          </w:tcPr>
          <w:p w14:paraId="883A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893A0000">
            <w:pPr>
              <w:widowControl w:val="1"/>
              <w:ind/>
              <w:jc w:val="center"/>
              <w:rPr>
                <w:sz w:val="18"/>
              </w:rPr>
            </w:pPr>
            <w:r>
              <w:rPr>
                <w:sz w:val="18"/>
              </w:rPr>
              <w:t>8</w:t>
            </w:r>
          </w:p>
        </w:tc>
        <w:tc>
          <w:tcPr>
            <w:tcW w:type="dxa" w:w="991"/>
            <w:tcBorders>
              <w:top w:color="000000" w:sz="4" w:val="single"/>
              <w:left w:color="000000" w:sz="4" w:val="single"/>
              <w:bottom w:color="000000" w:sz="4" w:val="single"/>
              <w:right w:color="000000" w:sz="4" w:val="single"/>
            </w:tcBorders>
            <w:shd w:fill="FFFFFF" w:val="clear"/>
            <w:vAlign w:val="center"/>
          </w:tcPr>
          <w:p w14:paraId="8A3A0000">
            <w:pPr>
              <w:widowControl w:val="1"/>
              <w:ind/>
              <w:jc w:val="center"/>
              <w:rPr>
                <w:sz w:val="18"/>
              </w:rPr>
            </w:pPr>
            <w:r>
              <w:rPr>
                <w:sz w:val="18"/>
              </w:rPr>
              <w:t>7763,00</w:t>
            </w:r>
          </w:p>
        </w:tc>
        <w:tc>
          <w:tcPr>
            <w:tcW w:type="dxa" w:w="1134"/>
            <w:tcBorders>
              <w:top w:color="000000" w:sz="4" w:val="single"/>
              <w:left w:color="000000" w:sz="4" w:val="single"/>
              <w:bottom w:color="000000" w:sz="4" w:val="single"/>
              <w:right w:color="000000" w:sz="4" w:val="single"/>
            </w:tcBorders>
            <w:shd w:fill="FFFFFF" w:val="clear"/>
            <w:vAlign w:val="center"/>
          </w:tcPr>
          <w:p w14:paraId="8B3A0000">
            <w:pPr>
              <w:widowControl w:val="1"/>
              <w:ind/>
              <w:jc w:val="center"/>
              <w:rPr>
                <w:sz w:val="18"/>
              </w:rPr>
            </w:pPr>
            <w:r>
              <w:rPr>
                <w:sz w:val="18"/>
              </w:rPr>
              <w:t>9160,00</w:t>
            </w:r>
          </w:p>
        </w:tc>
        <w:tc>
          <w:tcPr>
            <w:tcW w:type="dxa" w:w="993"/>
            <w:tcBorders>
              <w:top w:color="000000" w:sz="4" w:val="single"/>
              <w:left w:color="000000" w:sz="4" w:val="single"/>
              <w:bottom w:color="000000" w:sz="4" w:val="single"/>
              <w:right w:color="000000" w:sz="4" w:val="single"/>
            </w:tcBorders>
            <w:shd w:fill="FFFFFF" w:val="clear"/>
            <w:vAlign w:val="center"/>
          </w:tcPr>
          <w:p w14:paraId="8C3A0000">
            <w:pPr>
              <w:widowControl w:val="1"/>
              <w:ind/>
              <w:jc w:val="center"/>
              <w:rPr>
                <w:sz w:val="18"/>
              </w:rPr>
            </w:pPr>
            <w:r>
              <w:rPr>
                <w:sz w:val="18"/>
              </w:rPr>
              <w:t>август 2018 г.</w:t>
            </w:r>
          </w:p>
        </w:tc>
        <w:tc>
          <w:tcPr>
            <w:tcW w:type="dxa" w:w="850"/>
            <w:tcBorders>
              <w:top w:color="000000" w:sz="4" w:val="single"/>
              <w:left w:color="000000" w:sz="4" w:val="single"/>
              <w:bottom w:color="000000" w:sz="4" w:val="single"/>
              <w:right w:color="000000" w:sz="4" w:val="single"/>
            </w:tcBorders>
            <w:shd w:fill="FFFFFF" w:val="clear"/>
            <w:vAlign w:val="center"/>
          </w:tcPr>
          <w:p w14:paraId="8D3A0000">
            <w:pPr>
              <w:widowControl w:val="1"/>
              <w:ind/>
              <w:jc w:val="center"/>
              <w:rPr>
                <w:sz w:val="18"/>
              </w:rPr>
            </w:pPr>
            <w:r>
              <w:rPr>
                <w:sz w:val="18"/>
              </w:rPr>
              <w:t>август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8E3A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8F3A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903A0000">
            <w:pPr>
              <w:widowControl w:val="1"/>
              <w:ind/>
              <w:jc w:val="center"/>
              <w:rPr>
                <w:sz w:val="18"/>
              </w:rPr>
            </w:pPr>
            <w:r>
              <w:rPr>
                <w:sz w:val="18"/>
              </w:rPr>
              <w:t>8</w:t>
            </w:r>
          </w:p>
        </w:tc>
        <w:tc>
          <w:tcPr>
            <w:tcW w:type="dxa" w:w="1169"/>
            <w:tcBorders>
              <w:top w:color="000000" w:sz="4" w:val="single"/>
              <w:left w:color="000000" w:sz="4" w:val="single"/>
              <w:bottom w:color="000000" w:sz="4" w:val="single"/>
              <w:right w:color="000000" w:sz="4" w:val="single"/>
            </w:tcBorders>
            <w:shd w:fill="FFFFFF" w:val="clear"/>
            <w:vAlign w:val="center"/>
          </w:tcPr>
          <w:p w14:paraId="913A0000">
            <w:pPr>
              <w:widowControl w:val="1"/>
              <w:ind/>
              <w:jc w:val="center"/>
              <w:rPr>
                <w:sz w:val="18"/>
              </w:rPr>
            </w:pPr>
            <w:r>
              <w:rPr>
                <w:sz w:val="18"/>
              </w:rPr>
              <w:t>7763,00</w:t>
            </w:r>
          </w:p>
        </w:tc>
        <w:tc>
          <w:tcPr>
            <w:tcW w:type="dxa" w:w="1185"/>
            <w:tcBorders>
              <w:top w:color="000000" w:sz="4" w:val="single"/>
              <w:left w:color="000000" w:sz="4" w:val="single"/>
              <w:bottom w:color="000000" w:sz="4" w:val="single"/>
              <w:right w:color="000000" w:sz="4" w:val="single"/>
            </w:tcBorders>
            <w:shd w:fill="FFFFFF" w:val="clear"/>
            <w:vAlign w:val="center"/>
          </w:tcPr>
          <w:p w14:paraId="923A0000">
            <w:pPr>
              <w:widowControl w:val="1"/>
              <w:ind/>
              <w:jc w:val="center"/>
              <w:rPr>
                <w:sz w:val="18"/>
              </w:rPr>
            </w:pPr>
            <w:r>
              <w:rPr>
                <w:sz w:val="18"/>
              </w:rPr>
              <w:t>9160,00</w:t>
            </w:r>
          </w:p>
        </w:tc>
        <w:tc>
          <w:tcPr>
            <w:tcW w:type="dxa" w:w="1083"/>
            <w:tcBorders>
              <w:top w:color="000000" w:sz="4" w:val="single"/>
              <w:left w:color="000000" w:sz="4" w:val="single"/>
              <w:bottom w:color="000000" w:sz="4" w:val="single"/>
              <w:right w:color="000000" w:sz="4" w:val="single"/>
            </w:tcBorders>
            <w:shd w:fill="FFFFFF" w:val="clear"/>
            <w:vAlign w:val="center"/>
          </w:tcPr>
          <w:p w14:paraId="933A0000">
            <w:pPr>
              <w:widowControl w:val="1"/>
              <w:ind/>
              <w:jc w:val="center"/>
              <w:rPr>
                <w:sz w:val="18"/>
              </w:rPr>
            </w:pPr>
            <w:r>
              <w:rPr>
                <w:sz w:val="18"/>
              </w:rPr>
              <w:t>9160,00</w:t>
            </w:r>
          </w:p>
        </w:tc>
        <w:tc>
          <w:tcPr>
            <w:tcW w:type="dxa" w:w="771"/>
            <w:tcBorders>
              <w:top w:color="000000" w:sz="4" w:val="single"/>
              <w:left w:color="000000" w:sz="4" w:val="single"/>
              <w:bottom w:color="000000" w:sz="4" w:val="single"/>
              <w:right w:color="000000" w:sz="4" w:val="single"/>
            </w:tcBorders>
            <w:shd w:fill="FFFFFF" w:val="clear"/>
            <w:vAlign w:val="center"/>
          </w:tcPr>
          <w:p w14:paraId="943A0000">
            <w:pPr>
              <w:widowControl w:val="1"/>
              <w:ind/>
              <w:jc w:val="center"/>
              <w:rPr>
                <w:sz w:val="18"/>
              </w:rPr>
            </w:pPr>
            <w:r>
              <w:rPr>
                <w:sz w:val="18"/>
              </w:rPr>
              <w:t>август 2018 г.</w:t>
            </w:r>
          </w:p>
        </w:tc>
        <w:tc>
          <w:tcPr>
            <w:tcW w:type="dxa" w:w="612"/>
            <w:tcBorders>
              <w:top w:color="000000" w:sz="4" w:val="single"/>
              <w:left w:color="000000" w:sz="4" w:val="single"/>
              <w:bottom w:color="000000" w:sz="4" w:val="single"/>
              <w:right w:color="000000" w:sz="4" w:val="single"/>
            </w:tcBorders>
            <w:shd w:fill="FFFFFF" w:val="clear"/>
            <w:vAlign w:val="center"/>
          </w:tcPr>
          <w:p w14:paraId="953A0000">
            <w:pPr>
              <w:widowControl w:val="1"/>
              <w:ind/>
              <w:jc w:val="center"/>
              <w:rPr>
                <w:sz w:val="18"/>
              </w:rPr>
            </w:pPr>
            <w:r>
              <w:rPr>
                <w:sz w:val="18"/>
              </w:rPr>
              <w:t>август 2018 г.</w:t>
            </w:r>
          </w:p>
        </w:tc>
        <w:tc>
          <w:tcPr>
            <w:tcW w:type="dxa" w:w="709"/>
            <w:tcBorders>
              <w:top w:color="000000" w:sz="4" w:val="single"/>
              <w:left w:color="000000" w:sz="4" w:val="single"/>
              <w:bottom w:color="000000" w:sz="4" w:val="single"/>
              <w:right w:color="000000" w:sz="4" w:val="single"/>
            </w:tcBorders>
            <w:shd w:fill="FFFFFF" w:val="clear"/>
            <w:vAlign w:val="center"/>
          </w:tcPr>
          <w:p w14:paraId="963A0000">
            <w:pPr>
              <w:widowControl w:val="1"/>
              <w:ind/>
              <w:jc w:val="center"/>
              <w:rPr>
                <w:sz w:val="18"/>
              </w:rPr>
            </w:pPr>
            <w:r>
              <w:rPr>
                <w:sz w:val="18"/>
              </w:rPr>
              <w:t>счет № СЧК23128 от 08.08.2018</w:t>
            </w:r>
          </w:p>
        </w:tc>
      </w:tr>
      <w:tr>
        <w:trPr>
          <w:trHeight w:hRule="atLeast" w:val="3060"/>
        </w:trPr>
        <w:tc>
          <w:tcPr>
            <w:tcW w:type="dxa" w:w="708"/>
            <w:tcBorders>
              <w:top w:color="000000" w:sz="4" w:val="single"/>
              <w:left w:color="000000" w:sz="4" w:val="single"/>
              <w:bottom w:color="000000" w:sz="4" w:val="single"/>
              <w:right w:color="000000" w:sz="4" w:val="single"/>
            </w:tcBorders>
            <w:shd w:fill="auto" w:val="clear"/>
            <w:vAlign w:val="center"/>
          </w:tcPr>
          <w:p w14:paraId="973A0000">
            <w:pPr>
              <w:widowControl w:val="1"/>
              <w:ind/>
              <w:jc w:val="center"/>
              <w:rPr>
                <w:color w:val="000000"/>
                <w:sz w:val="18"/>
              </w:rPr>
            </w:pPr>
            <w:r>
              <w:rPr>
                <w:color w:val="000000"/>
                <w:sz w:val="18"/>
              </w:rPr>
              <w:t>193</w:t>
            </w:r>
          </w:p>
        </w:tc>
        <w:tc>
          <w:tcPr>
            <w:tcW w:type="dxa" w:w="618"/>
            <w:tcBorders>
              <w:top w:color="000000" w:sz="4" w:val="single"/>
              <w:left w:color="000000" w:sz="4" w:val="single"/>
              <w:bottom w:color="000000" w:sz="4" w:val="single"/>
              <w:right w:color="000000" w:sz="4" w:val="single"/>
            </w:tcBorders>
            <w:shd w:fill="FFFFFF" w:val="clear"/>
            <w:vAlign w:val="center"/>
          </w:tcPr>
          <w:p w14:paraId="983A0000">
            <w:pPr>
              <w:widowControl w:val="1"/>
              <w:ind/>
              <w:jc w:val="center"/>
              <w:rPr>
                <w:sz w:val="18"/>
              </w:rPr>
            </w:pPr>
            <w:r>
              <w:rPr>
                <w:sz w:val="18"/>
              </w:rPr>
              <w:t>117/2</w:t>
            </w:r>
          </w:p>
        </w:tc>
        <w:tc>
          <w:tcPr>
            <w:tcW w:type="dxa" w:w="993"/>
            <w:tcBorders>
              <w:top w:color="000000" w:sz="4" w:val="single"/>
              <w:left w:color="000000" w:sz="4" w:val="single"/>
              <w:bottom w:color="000000" w:sz="4" w:val="single"/>
              <w:right w:color="000000" w:sz="4" w:val="single"/>
            </w:tcBorders>
            <w:shd w:fill="FFFFFF" w:val="clear"/>
            <w:vAlign w:val="center"/>
          </w:tcPr>
          <w:p w14:paraId="993A0000">
            <w:pPr>
              <w:widowControl w:val="1"/>
              <w:ind/>
              <w:jc w:val="center"/>
              <w:rPr>
                <w:sz w:val="18"/>
              </w:rPr>
            </w:pPr>
            <w:r>
              <w:rPr>
                <w:sz w:val="18"/>
              </w:rPr>
              <w:t>Оказание услуг по централизованному наблюдению за объектом и реагировании на тревожные сообщения  (пункт продаж ст. Дивногорск)</w:t>
            </w:r>
          </w:p>
        </w:tc>
        <w:tc>
          <w:tcPr>
            <w:tcW w:type="dxa" w:w="849"/>
            <w:tcBorders>
              <w:top w:color="000000" w:sz="4" w:val="single"/>
              <w:left w:color="000000" w:sz="4" w:val="single"/>
              <w:bottom w:color="000000" w:sz="4" w:val="single"/>
              <w:right w:color="000000" w:sz="4" w:val="single"/>
            </w:tcBorders>
            <w:shd w:fill="FFFFFF" w:val="clear"/>
            <w:vAlign w:val="center"/>
          </w:tcPr>
          <w:p w14:paraId="9A3A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9B3A0000">
            <w:pPr>
              <w:widowControl w:val="1"/>
              <w:ind/>
              <w:jc w:val="center"/>
              <w:rPr>
                <w:sz w:val="18"/>
              </w:rPr>
            </w:pPr>
            <w:r>
              <w:rPr>
                <w:sz w:val="18"/>
              </w:rPr>
              <w:t>12</w:t>
            </w:r>
          </w:p>
        </w:tc>
        <w:tc>
          <w:tcPr>
            <w:tcW w:type="dxa" w:w="991"/>
            <w:tcBorders>
              <w:top w:color="000000" w:sz="4" w:val="single"/>
              <w:left w:color="000000" w:sz="4" w:val="single"/>
              <w:bottom w:color="000000" w:sz="4" w:val="single"/>
              <w:right w:color="000000" w:sz="4" w:val="single"/>
            </w:tcBorders>
            <w:shd w:fill="FFFFFF" w:val="clear"/>
            <w:vAlign w:val="center"/>
          </w:tcPr>
          <w:p w14:paraId="9C3A0000">
            <w:pPr>
              <w:widowControl w:val="1"/>
              <w:ind/>
              <w:jc w:val="center"/>
              <w:rPr>
                <w:sz w:val="18"/>
              </w:rPr>
            </w:pPr>
            <w:r>
              <w:rPr>
                <w:sz w:val="18"/>
              </w:rPr>
              <w:t>42432,00</w:t>
            </w:r>
          </w:p>
        </w:tc>
        <w:tc>
          <w:tcPr>
            <w:tcW w:type="dxa" w:w="1134"/>
            <w:tcBorders>
              <w:top w:color="000000" w:sz="4" w:val="single"/>
              <w:left w:color="000000" w:sz="4" w:val="single"/>
              <w:bottom w:color="000000" w:sz="4" w:val="single"/>
              <w:right w:color="000000" w:sz="4" w:val="single"/>
            </w:tcBorders>
            <w:shd w:fill="FFFFFF" w:val="clear"/>
            <w:vAlign w:val="center"/>
          </w:tcPr>
          <w:p w14:paraId="9D3A0000">
            <w:pPr>
              <w:widowControl w:val="1"/>
              <w:ind/>
              <w:jc w:val="center"/>
              <w:rPr>
                <w:sz w:val="18"/>
              </w:rPr>
            </w:pPr>
            <w:r>
              <w:rPr>
                <w:sz w:val="18"/>
              </w:rPr>
              <w:t>42432,00</w:t>
            </w:r>
          </w:p>
        </w:tc>
        <w:tc>
          <w:tcPr>
            <w:tcW w:type="dxa" w:w="993"/>
            <w:tcBorders>
              <w:top w:color="000000" w:sz="4" w:val="single"/>
              <w:left w:color="000000" w:sz="4" w:val="single"/>
              <w:bottom w:color="000000" w:sz="4" w:val="single"/>
              <w:right w:color="000000" w:sz="4" w:val="single"/>
            </w:tcBorders>
            <w:shd w:fill="FFFFFF" w:val="clear"/>
            <w:vAlign w:val="center"/>
          </w:tcPr>
          <w:p w14:paraId="9E3A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F3A0000">
            <w:pPr>
              <w:widowControl w:val="1"/>
              <w:ind/>
              <w:jc w:val="center"/>
              <w:rPr>
                <w:sz w:val="18"/>
              </w:rPr>
            </w:pPr>
            <w:r>
              <w:rPr>
                <w:sz w:val="18"/>
              </w:rPr>
              <w:t>октябрь 2019 г.</w:t>
            </w:r>
          </w:p>
        </w:tc>
        <w:tc>
          <w:tcPr>
            <w:tcW w:type="dxa" w:w="1334"/>
            <w:tcBorders>
              <w:top w:color="000000" w:sz="4" w:val="single"/>
              <w:left w:color="000000" w:sz="4" w:val="single"/>
              <w:bottom w:color="000000" w:sz="4" w:val="single"/>
              <w:right w:color="000000" w:sz="4" w:val="single"/>
            </w:tcBorders>
            <w:shd w:fill="FFFFFF" w:val="clear"/>
            <w:vAlign w:val="center"/>
          </w:tcPr>
          <w:p w14:paraId="A03A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A13A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A23A0000">
            <w:pPr>
              <w:widowControl w:val="1"/>
              <w:ind/>
              <w:jc w:val="center"/>
              <w:rPr>
                <w:sz w:val="18"/>
              </w:rPr>
            </w:pPr>
            <w:r>
              <w:rPr>
                <w:sz w:val="18"/>
              </w:rPr>
              <w:t>12</w:t>
            </w:r>
          </w:p>
        </w:tc>
        <w:tc>
          <w:tcPr>
            <w:tcW w:type="dxa" w:w="1169"/>
            <w:tcBorders>
              <w:top w:color="000000" w:sz="4" w:val="single"/>
              <w:left w:color="000000" w:sz="4" w:val="single"/>
              <w:bottom w:color="000000" w:sz="4" w:val="single"/>
              <w:right w:color="000000" w:sz="4" w:val="single"/>
            </w:tcBorders>
            <w:shd w:fill="FFFFFF" w:val="clear"/>
            <w:vAlign w:val="center"/>
          </w:tcPr>
          <w:p w14:paraId="A33A0000">
            <w:pPr>
              <w:widowControl w:val="1"/>
              <w:ind/>
              <w:jc w:val="center"/>
              <w:rPr>
                <w:sz w:val="18"/>
              </w:rPr>
            </w:pPr>
            <w:r>
              <w:rPr>
                <w:sz w:val="18"/>
              </w:rPr>
              <w:t>42431,4</w:t>
            </w:r>
          </w:p>
        </w:tc>
        <w:tc>
          <w:tcPr>
            <w:tcW w:type="dxa" w:w="1185"/>
            <w:tcBorders>
              <w:top w:color="000000" w:sz="4" w:val="single"/>
              <w:left w:color="000000" w:sz="4" w:val="single"/>
              <w:bottom w:color="000000" w:sz="4" w:val="single"/>
              <w:right w:color="000000" w:sz="4" w:val="single"/>
            </w:tcBorders>
            <w:shd w:fill="FFFFFF" w:val="clear"/>
            <w:vAlign w:val="center"/>
          </w:tcPr>
          <w:p w14:paraId="A43A0000">
            <w:pPr>
              <w:widowControl w:val="1"/>
              <w:ind/>
              <w:jc w:val="center"/>
              <w:rPr>
                <w:sz w:val="18"/>
              </w:rPr>
            </w:pPr>
            <w:r>
              <w:rPr>
                <w:sz w:val="18"/>
              </w:rPr>
              <w:t>42431,4</w:t>
            </w:r>
          </w:p>
        </w:tc>
        <w:tc>
          <w:tcPr>
            <w:tcW w:type="dxa" w:w="1083"/>
            <w:tcBorders>
              <w:top w:color="000000" w:sz="4" w:val="single"/>
              <w:left w:color="000000" w:sz="4" w:val="single"/>
              <w:bottom w:color="000000" w:sz="4" w:val="single"/>
              <w:right w:color="000000" w:sz="4" w:val="single"/>
            </w:tcBorders>
            <w:shd w:fill="FFFFFF" w:val="clear"/>
            <w:vAlign w:val="center"/>
          </w:tcPr>
          <w:p w14:paraId="A53A0000">
            <w:pPr>
              <w:widowControl w:val="1"/>
              <w:ind/>
              <w:jc w:val="center"/>
              <w:rPr>
                <w:sz w:val="18"/>
              </w:rPr>
            </w:pPr>
            <w:r>
              <w:rPr>
                <w:sz w:val="18"/>
              </w:rPr>
              <w:t>42431,4</w:t>
            </w:r>
          </w:p>
        </w:tc>
        <w:tc>
          <w:tcPr>
            <w:tcW w:type="dxa" w:w="771"/>
            <w:tcBorders>
              <w:top w:color="000000" w:sz="4" w:val="single"/>
              <w:left w:color="000000" w:sz="4" w:val="single"/>
              <w:bottom w:color="000000" w:sz="4" w:val="single"/>
              <w:right w:color="000000" w:sz="4" w:val="single"/>
            </w:tcBorders>
            <w:shd w:fill="FFFFFF" w:val="clear"/>
            <w:vAlign w:val="center"/>
          </w:tcPr>
          <w:p w14:paraId="A63A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A73A0000">
            <w:pPr>
              <w:widowControl w:val="1"/>
              <w:ind/>
              <w:jc w:val="center"/>
              <w:rPr>
                <w:sz w:val="18"/>
              </w:rPr>
            </w:pPr>
            <w:r>
              <w:rPr>
                <w:sz w:val="18"/>
              </w:rPr>
              <w:t>октябрь 2019 г.</w:t>
            </w:r>
          </w:p>
        </w:tc>
        <w:tc>
          <w:tcPr>
            <w:tcW w:type="dxa" w:w="709"/>
            <w:tcBorders>
              <w:top w:color="000000" w:sz="4" w:val="single"/>
              <w:left w:color="000000" w:sz="4" w:val="single"/>
              <w:bottom w:color="000000" w:sz="4" w:val="single"/>
              <w:right w:color="000000" w:sz="4" w:val="single"/>
            </w:tcBorders>
            <w:shd w:fill="auto" w:val="clear"/>
            <w:vAlign w:val="center"/>
          </w:tcPr>
          <w:p w14:paraId="A83A0000">
            <w:pPr>
              <w:widowControl w:val="1"/>
              <w:ind/>
              <w:jc w:val="center"/>
              <w:rPr>
                <w:sz w:val="18"/>
              </w:rPr>
            </w:pPr>
            <w:r>
              <w:rPr>
                <w:sz w:val="18"/>
              </w:rPr>
              <w:t>договор № 7/18-100 от 10.10.2018</w:t>
            </w:r>
          </w:p>
        </w:tc>
      </w:tr>
      <w:tr>
        <w:trPr>
          <w:trHeight w:hRule="atLeast" w:val="2040"/>
        </w:trPr>
        <w:tc>
          <w:tcPr>
            <w:tcW w:type="dxa" w:w="708"/>
            <w:tcBorders>
              <w:top w:color="000000" w:sz="4" w:val="single"/>
              <w:left w:color="000000" w:sz="4" w:val="single"/>
              <w:bottom w:color="000000" w:sz="4" w:val="single"/>
              <w:right w:color="000000" w:sz="4" w:val="single"/>
            </w:tcBorders>
            <w:shd w:fill="auto" w:val="clear"/>
            <w:vAlign w:val="center"/>
          </w:tcPr>
          <w:p w14:paraId="A93A0000">
            <w:pPr>
              <w:widowControl w:val="1"/>
              <w:ind/>
              <w:jc w:val="center"/>
              <w:rPr>
                <w:color w:val="000000"/>
                <w:sz w:val="18"/>
              </w:rPr>
            </w:pPr>
            <w:r>
              <w:rPr>
                <w:color w:val="000000"/>
                <w:sz w:val="18"/>
              </w:rPr>
              <w:t>194</w:t>
            </w:r>
          </w:p>
        </w:tc>
        <w:tc>
          <w:tcPr>
            <w:tcW w:type="dxa" w:w="618"/>
            <w:tcBorders>
              <w:top w:color="000000" w:sz="4" w:val="single"/>
              <w:left w:color="000000" w:sz="4" w:val="single"/>
              <w:bottom w:color="000000" w:sz="4" w:val="single"/>
              <w:right w:color="000000" w:sz="4" w:val="single"/>
            </w:tcBorders>
            <w:shd w:fill="FFFFFF" w:val="clear"/>
            <w:vAlign w:val="center"/>
          </w:tcPr>
          <w:p w14:paraId="AA3A0000">
            <w:pPr>
              <w:widowControl w:val="1"/>
              <w:ind/>
              <w:jc w:val="center"/>
              <w:rPr>
                <w:sz w:val="18"/>
              </w:rPr>
            </w:pPr>
            <w:r>
              <w:rPr>
                <w:sz w:val="18"/>
              </w:rPr>
              <w:t>118/2</w:t>
            </w:r>
          </w:p>
        </w:tc>
        <w:tc>
          <w:tcPr>
            <w:tcW w:type="dxa" w:w="993"/>
            <w:tcBorders>
              <w:top w:color="000000" w:sz="4" w:val="single"/>
              <w:left w:color="000000" w:sz="4" w:val="single"/>
              <w:bottom w:color="000000" w:sz="4" w:val="single"/>
              <w:right w:color="000000" w:sz="4" w:val="single"/>
            </w:tcBorders>
            <w:shd w:fill="FFFFFF" w:val="clear"/>
            <w:vAlign w:val="center"/>
          </w:tcPr>
          <w:p w14:paraId="AB3A0000">
            <w:pPr>
              <w:widowControl w:val="1"/>
              <w:ind/>
              <w:jc w:val="center"/>
              <w:rPr>
                <w:sz w:val="18"/>
              </w:rPr>
            </w:pPr>
            <w:r>
              <w:rPr>
                <w:sz w:val="18"/>
              </w:rPr>
              <w:t>оказание услуг по открытию банковского счета, расчетно-кассовое обслуживание в валюте РФ</w:t>
            </w:r>
          </w:p>
        </w:tc>
        <w:tc>
          <w:tcPr>
            <w:tcW w:type="dxa" w:w="849"/>
            <w:tcBorders>
              <w:top w:color="000000" w:sz="4" w:val="single"/>
              <w:left w:color="000000" w:sz="4" w:val="single"/>
              <w:bottom w:color="000000" w:sz="4" w:val="single"/>
              <w:right w:color="000000" w:sz="4" w:val="single"/>
            </w:tcBorders>
            <w:shd w:fill="FFFFFF" w:val="clear"/>
            <w:vAlign w:val="center"/>
          </w:tcPr>
          <w:p w14:paraId="AC3A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AD3A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AE3A0000">
            <w:pPr>
              <w:widowControl w:val="1"/>
              <w:ind/>
              <w:jc w:val="center"/>
              <w:rPr>
                <w:sz w:val="18"/>
              </w:rPr>
            </w:pPr>
            <w:r>
              <w:rPr>
                <w:sz w:val="18"/>
              </w:rPr>
              <w:t>3000,00</w:t>
            </w:r>
          </w:p>
        </w:tc>
        <w:tc>
          <w:tcPr>
            <w:tcW w:type="dxa" w:w="1134"/>
            <w:tcBorders>
              <w:top w:color="000000" w:sz="4" w:val="single"/>
              <w:left w:color="000000" w:sz="4" w:val="single"/>
              <w:bottom w:color="000000" w:sz="4" w:val="single"/>
              <w:right w:color="000000" w:sz="4" w:val="single"/>
            </w:tcBorders>
            <w:shd w:fill="FFFFFF" w:val="clear"/>
            <w:vAlign w:val="center"/>
          </w:tcPr>
          <w:p w14:paraId="AF3A0000">
            <w:pPr>
              <w:widowControl w:val="1"/>
              <w:ind/>
              <w:jc w:val="center"/>
              <w:rPr>
                <w:sz w:val="18"/>
              </w:rPr>
            </w:pPr>
            <w:r>
              <w:rPr>
                <w:sz w:val="18"/>
              </w:rPr>
              <w:t>3000,00</w:t>
            </w:r>
          </w:p>
        </w:tc>
        <w:tc>
          <w:tcPr>
            <w:tcW w:type="dxa" w:w="993"/>
            <w:tcBorders>
              <w:top w:color="000000" w:sz="4" w:val="single"/>
              <w:left w:color="000000" w:sz="4" w:val="single"/>
              <w:bottom w:color="000000" w:sz="4" w:val="single"/>
              <w:right w:color="000000" w:sz="4" w:val="single"/>
            </w:tcBorders>
            <w:shd w:fill="FFFFFF" w:val="clear"/>
            <w:vAlign w:val="center"/>
          </w:tcPr>
          <w:p w14:paraId="B03A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B13A0000">
            <w:pPr>
              <w:widowControl w:val="1"/>
              <w:ind/>
              <w:jc w:val="center"/>
              <w:rPr>
                <w:sz w:val="18"/>
              </w:rPr>
            </w:pPr>
            <w:r>
              <w:rPr>
                <w:sz w:val="18"/>
              </w:rPr>
              <w:t>сентябрь 2021 г.</w:t>
            </w:r>
          </w:p>
        </w:tc>
        <w:tc>
          <w:tcPr>
            <w:tcW w:type="dxa" w:w="1334"/>
            <w:tcBorders>
              <w:top w:color="000000" w:sz="4" w:val="single"/>
              <w:left w:color="000000" w:sz="4" w:val="single"/>
              <w:bottom w:color="000000" w:sz="4" w:val="single"/>
              <w:right w:color="000000" w:sz="4" w:val="single"/>
            </w:tcBorders>
            <w:shd w:fill="FFFFFF" w:val="clear"/>
            <w:vAlign w:val="center"/>
          </w:tcPr>
          <w:p w14:paraId="B23A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B33A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B43A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B53A0000">
            <w:pPr>
              <w:widowControl w:val="1"/>
              <w:ind/>
              <w:jc w:val="center"/>
              <w:rPr>
                <w:sz w:val="18"/>
              </w:rPr>
            </w:pPr>
            <w:r>
              <w:rPr>
                <w:sz w:val="18"/>
              </w:rPr>
              <w:t>2532,70</w:t>
            </w:r>
          </w:p>
        </w:tc>
        <w:tc>
          <w:tcPr>
            <w:tcW w:type="dxa" w:w="1185"/>
            <w:tcBorders>
              <w:top w:color="000000" w:sz="4" w:val="single"/>
              <w:left w:color="000000" w:sz="4" w:val="single"/>
              <w:bottom w:color="000000" w:sz="4" w:val="single"/>
              <w:right w:color="000000" w:sz="4" w:val="single"/>
            </w:tcBorders>
            <w:shd w:fill="FFFFFF" w:val="clear"/>
            <w:vAlign w:val="center"/>
          </w:tcPr>
          <w:p w14:paraId="B63A0000">
            <w:pPr>
              <w:widowControl w:val="1"/>
              <w:ind/>
              <w:jc w:val="center"/>
              <w:rPr>
                <w:sz w:val="18"/>
              </w:rPr>
            </w:pPr>
            <w:r>
              <w:rPr>
                <w:sz w:val="18"/>
              </w:rPr>
              <w:t>2988,60</w:t>
            </w:r>
          </w:p>
        </w:tc>
        <w:tc>
          <w:tcPr>
            <w:tcW w:type="dxa" w:w="1083"/>
            <w:tcBorders>
              <w:top w:color="000000" w:sz="4" w:val="single"/>
              <w:left w:color="000000" w:sz="4" w:val="single"/>
              <w:bottom w:color="000000" w:sz="4" w:val="single"/>
              <w:right w:color="000000" w:sz="4" w:val="single"/>
            </w:tcBorders>
            <w:shd w:fill="FFFFFF" w:val="clear"/>
            <w:vAlign w:val="center"/>
          </w:tcPr>
          <w:p w14:paraId="B73A0000">
            <w:pPr>
              <w:widowControl w:val="1"/>
              <w:ind/>
              <w:jc w:val="center"/>
              <w:rPr>
                <w:sz w:val="18"/>
              </w:rPr>
            </w:pPr>
            <w:r>
              <w:rPr>
                <w:sz w:val="18"/>
              </w:rPr>
              <w:t>2988,60</w:t>
            </w:r>
          </w:p>
        </w:tc>
        <w:tc>
          <w:tcPr>
            <w:tcW w:type="dxa" w:w="771"/>
            <w:tcBorders>
              <w:top w:color="000000" w:sz="4" w:val="single"/>
              <w:left w:color="000000" w:sz="4" w:val="single"/>
              <w:bottom w:color="000000" w:sz="4" w:val="single"/>
              <w:right w:color="000000" w:sz="4" w:val="single"/>
            </w:tcBorders>
            <w:shd w:fill="FFFFFF" w:val="clear"/>
            <w:vAlign w:val="center"/>
          </w:tcPr>
          <w:p w14:paraId="B83A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B93A0000">
            <w:pPr>
              <w:widowControl w:val="1"/>
              <w:ind/>
              <w:jc w:val="center"/>
              <w:rPr>
                <w:sz w:val="18"/>
              </w:rPr>
            </w:pPr>
            <w:r>
              <w:rPr>
                <w:sz w:val="18"/>
              </w:rPr>
              <w:t>сентябрь 2021 г.</w:t>
            </w:r>
          </w:p>
        </w:tc>
        <w:tc>
          <w:tcPr>
            <w:tcW w:type="dxa" w:w="709"/>
            <w:tcBorders>
              <w:top w:color="000000" w:sz="4" w:val="single"/>
              <w:left w:color="000000" w:sz="4" w:val="single"/>
              <w:bottom w:color="000000" w:sz="4" w:val="single"/>
              <w:right w:color="000000" w:sz="4" w:val="single"/>
            </w:tcBorders>
            <w:shd w:fill="FFFFFF" w:val="clear"/>
            <w:vAlign w:val="center"/>
          </w:tcPr>
          <w:p w14:paraId="BA3A0000">
            <w:pPr>
              <w:widowControl w:val="1"/>
              <w:ind/>
              <w:jc w:val="center"/>
              <w:rPr>
                <w:sz w:val="18"/>
              </w:rPr>
            </w:pPr>
            <w:r>
              <w:rPr>
                <w:sz w:val="18"/>
              </w:rPr>
              <w:t>договор от 23.10.2018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BB3A0000">
            <w:pPr>
              <w:widowControl w:val="1"/>
              <w:ind/>
              <w:jc w:val="center"/>
              <w:rPr>
                <w:color w:val="000000"/>
                <w:sz w:val="18"/>
              </w:rPr>
            </w:pPr>
            <w:r>
              <w:rPr>
                <w:color w:val="000000"/>
                <w:sz w:val="18"/>
              </w:rPr>
              <w:t>195</w:t>
            </w:r>
          </w:p>
        </w:tc>
        <w:tc>
          <w:tcPr>
            <w:tcW w:type="dxa" w:w="618"/>
            <w:tcBorders>
              <w:top w:color="000000" w:sz="4" w:val="single"/>
              <w:left w:color="000000" w:sz="4" w:val="single"/>
              <w:bottom w:color="000000" w:sz="4" w:val="single"/>
              <w:right w:color="000000" w:sz="4" w:val="single"/>
            </w:tcBorders>
            <w:shd w:fill="FFFFFF" w:val="clear"/>
            <w:vAlign w:val="center"/>
          </w:tcPr>
          <w:p w14:paraId="BC3A0000">
            <w:pPr>
              <w:widowControl w:val="1"/>
              <w:ind/>
              <w:jc w:val="center"/>
              <w:rPr>
                <w:sz w:val="18"/>
              </w:rPr>
            </w:pPr>
            <w:r>
              <w:rPr>
                <w:sz w:val="18"/>
              </w:rPr>
              <w:t>119/2</w:t>
            </w:r>
          </w:p>
        </w:tc>
        <w:tc>
          <w:tcPr>
            <w:tcW w:type="dxa" w:w="993"/>
            <w:tcBorders>
              <w:top w:color="000000" w:sz="4" w:val="single"/>
              <w:left w:color="000000" w:sz="4" w:val="single"/>
              <w:bottom w:color="000000" w:sz="4" w:val="single"/>
              <w:right w:color="000000" w:sz="4" w:val="single"/>
            </w:tcBorders>
            <w:shd w:fill="FFFFFF" w:val="clear"/>
            <w:vAlign w:val="center"/>
          </w:tcPr>
          <w:p w14:paraId="BD3A0000">
            <w:pPr>
              <w:widowControl w:val="1"/>
              <w:ind/>
              <w:jc w:val="center"/>
              <w:rPr>
                <w:sz w:val="18"/>
              </w:rPr>
            </w:pPr>
            <w:r>
              <w:rPr>
                <w:sz w:val="18"/>
              </w:rPr>
              <w:t>поставка портативного биотуалета</w:t>
            </w:r>
          </w:p>
        </w:tc>
        <w:tc>
          <w:tcPr>
            <w:tcW w:type="dxa" w:w="849"/>
            <w:tcBorders>
              <w:top w:color="000000" w:sz="4" w:val="single"/>
              <w:left w:color="000000" w:sz="4" w:val="single"/>
              <w:bottom w:color="000000" w:sz="4" w:val="single"/>
              <w:right w:color="000000" w:sz="4" w:val="single"/>
            </w:tcBorders>
            <w:shd w:fill="FFFFFF" w:val="clear"/>
            <w:vAlign w:val="center"/>
          </w:tcPr>
          <w:p w14:paraId="BE3A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F3A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C03A0000">
            <w:pPr>
              <w:widowControl w:val="1"/>
              <w:ind/>
              <w:jc w:val="center"/>
              <w:rPr>
                <w:sz w:val="18"/>
              </w:rPr>
            </w:pPr>
            <w:r>
              <w:rPr>
                <w:sz w:val="18"/>
              </w:rPr>
              <w:t>5500,00</w:t>
            </w:r>
          </w:p>
        </w:tc>
        <w:tc>
          <w:tcPr>
            <w:tcW w:type="dxa" w:w="1134"/>
            <w:tcBorders>
              <w:top w:color="000000" w:sz="4" w:val="single"/>
              <w:left w:color="000000" w:sz="4" w:val="single"/>
              <w:bottom w:color="000000" w:sz="4" w:val="single"/>
              <w:right w:color="000000" w:sz="4" w:val="single"/>
            </w:tcBorders>
            <w:shd w:fill="FFFFFF" w:val="clear"/>
            <w:vAlign w:val="center"/>
          </w:tcPr>
          <w:p w14:paraId="C13A0000">
            <w:pPr>
              <w:widowControl w:val="1"/>
              <w:ind/>
              <w:jc w:val="center"/>
              <w:rPr>
                <w:sz w:val="18"/>
              </w:rPr>
            </w:pPr>
            <w:r>
              <w:rPr>
                <w:sz w:val="18"/>
              </w:rPr>
              <w:t>5500,00</w:t>
            </w:r>
          </w:p>
        </w:tc>
        <w:tc>
          <w:tcPr>
            <w:tcW w:type="dxa" w:w="993"/>
            <w:tcBorders>
              <w:top w:color="000000" w:sz="4" w:val="single"/>
              <w:left w:color="000000" w:sz="4" w:val="single"/>
              <w:bottom w:color="000000" w:sz="4" w:val="single"/>
              <w:right w:color="000000" w:sz="4" w:val="single"/>
            </w:tcBorders>
            <w:shd w:fill="FFFFFF" w:val="clear"/>
            <w:vAlign w:val="center"/>
          </w:tcPr>
          <w:p w14:paraId="C23A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C33A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C43A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C53A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C63A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C73A0000">
            <w:pPr>
              <w:widowControl w:val="1"/>
              <w:ind/>
              <w:jc w:val="center"/>
              <w:rPr>
                <w:sz w:val="18"/>
              </w:rPr>
            </w:pPr>
            <w:r>
              <w:rPr>
                <w:sz w:val="18"/>
              </w:rPr>
              <w:t>5500,00</w:t>
            </w:r>
          </w:p>
        </w:tc>
        <w:tc>
          <w:tcPr>
            <w:tcW w:type="dxa" w:w="1185"/>
            <w:tcBorders>
              <w:top w:color="000000" w:sz="4" w:val="single"/>
              <w:left w:color="000000" w:sz="4" w:val="single"/>
              <w:bottom w:color="000000" w:sz="4" w:val="single"/>
              <w:right w:color="000000" w:sz="4" w:val="single"/>
            </w:tcBorders>
            <w:shd w:fill="FFFFFF" w:val="clear"/>
            <w:vAlign w:val="center"/>
          </w:tcPr>
          <w:p w14:paraId="C83A0000">
            <w:pPr>
              <w:widowControl w:val="1"/>
              <w:ind/>
              <w:jc w:val="center"/>
              <w:rPr>
                <w:sz w:val="18"/>
              </w:rPr>
            </w:pPr>
            <w:r>
              <w:rPr>
                <w:sz w:val="18"/>
              </w:rPr>
              <w:t>5500,00</w:t>
            </w:r>
          </w:p>
        </w:tc>
        <w:tc>
          <w:tcPr>
            <w:tcW w:type="dxa" w:w="1083"/>
            <w:tcBorders>
              <w:top w:color="000000" w:sz="4" w:val="single"/>
              <w:left w:color="000000" w:sz="4" w:val="single"/>
              <w:bottom w:color="000000" w:sz="4" w:val="single"/>
              <w:right w:color="000000" w:sz="4" w:val="single"/>
            </w:tcBorders>
            <w:shd w:fill="FFFFFF" w:val="clear"/>
            <w:vAlign w:val="center"/>
          </w:tcPr>
          <w:p w14:paraId="C93A0000">
            <w:pPr>
              <w:widowControl w:val="1"/>
              <w:ind/>
              <w:jc w:val="center"/>
              <w:rPr>
                <w:sz w:val="18"/>
              </w:rPr>
            </w:pPr>
            <w:r>
              <w:rPr>
                <w:sz w:val="18"/>
              </w:rPr>
              <w:t>5500,00</w:t>
            </w:r>
          </w:p>
        </w:tc>
        <w:tc>
          <w:tcPr>
            <w:tcW w:type="dxa" w:w="771"/>
            <w:tcBorders>
              <w:top w:color="000000" w:sz="4" w:val="single"/>
              <w:left w:color="000000" w:sz="4" w:val="single"/>
              <w:bottom w:color="000000" w:sz="4" w:val="single"/>
              <w:right w:color="000000" w:sz="4" w:val="single"/>
            </w:tcBorders>
            <w:shd w:fill="FFFFFF" w:val="clear"/>
            <w:vAlign w:val="center"/>
          </w:tcPr>
          <w:p w14:paraId="CA3A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CB3A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CC3A0000">
            <w:pPr>
              <w:widowControl w:val="1"/>
              <w:ind/>
              <w:jc w:val="center"/>
              <w:rPr>
                <w:sz w:val="18"/>
              </w:rPr>
            </w:pPr>
            <w:r>
              <w:rPr>
                <w:sz w:val="18"/>
              </w:rPr>
              <w:t>счет №1288 от 30.08.2018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CD3A0000">
            <w:pPr>
              <w:widowControl w:val="1"/>
              <w:ind/>
              <w:jc w:val="center"/>
              <w:rPr>
                <w:color w:val="000000"/>
                <w:sz w:val="18"/>
              </w:rPr>
            </w:pPr>
            <w:r>
              <w:rPr>
                <w:color w:val="000000"/>
                <w:sz w:val="18"/>
              </w:rPr>
              <w:t>196</w:t>
            </w:r>
          </w:p>
        </w:tc>
        <w:tc>
          <w:tcPr>
            <w:tcW w:type="dxa" w:w="618"/>
            <w:tcBorders>
              <w:top w:color="000000" w:sz="4" w:val="single"/>
              <w:left w:color="000000" w:sz="4" w:val="single"/>
              <w:bottom w:color="000000" w:sz="4" w:val="single"/>
              <w:right w:color="000000" w:sz="4" w:val="single"/>
            </w:tcBorders>
            <w:shd w:fill="FFFFFF" w:val="clear"/>
            <w:vAlign w:val="center"/>
          </w:tcPr>
          <w:p w14:paraId="CE3A0000">
            <w:pPr>
              <w:widowControl w:val="1"/>
              <w:ind/>
              <w:jc w:val="center"/>
              <w:rPr>
                <w:sz w:val="18"/>
              </w:rPr>
            </w:pPr>
            <w:r>
              <w:rPr>
                <w:sz w:val="18"/>
              </w:rPr>
              <w:t>120/2</w:t>
            </w:r>
          </w:p>
        </w:tc>
        <w:tc>
          <w:tcPr>
            <w:tcW w:type="dxa" w:w="993"/>
            <w:tcBorders>
              <w:top w:color="000000" w:sz="4" w:val="single"/>
              <w:left w:color="000000" w:sz="4" w:val="single"/>
              <w:bottom w:color="000000" w:sz="4" w:val="single"/>
              <w:right w:color="000000" w:sz="4" w:val="single"/>
            </w:tcBorders>
            <w:shd w:fill="FFFFFF" w:val="clear"/>
            <w:vAlign w:val="center"/>
          </w:tcPr>
          <w:p w14:paraId="CF3A0000">
            <w:pPr>
              <w:widowControl w:val="1"/>
              <w:ind/>
              <w:jc w:val="center"/>
              <w:rPr>
                <w:sz w:val="18"/>
              </w:rPr>
            </w:pPr>
            <w:r>
              <w:rPr>
                <w:sz w:val="18"/>
              </w:rPr>
              <w:t>выполнение работ по изготовлению штампов</w:t>
            </w:r>
          </w:p>
        </w:tc>
        <w:tc>
          <w:tcPr>
            <w:tcW w:type="dxa" w:w="849"/>
            <w:tcBorders>
              <w:top w:color="000000" w:sz="4" w:val="single"/>
              <w:left w:color="000000" w:sz="4" w:val="single"/>
              <w:bottom w:color="000000" w:sz="4" w:val="single"/>
              <w:right w:color="000000" w:sz="4" w:val="single"/>
            </w:tcBorders>
            <w:shd w:fill="FFFFFF" w:val="clear"/>
            <w:vAlign w:val="center"/>
          </w:tcPr>
          <w:p w14:paraId="D03A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D13A0000">
            <w:pPr>
              <w:widowControl w:val="1"/>
              <w:ind/>
              <w:jc w:val="center"/>
              <w:rPr>
                <w:sz w:val="18"/>
              </w:rPr>
            </w:pPr>
            <w:r>
              <w:rPr>
                <w:sz w:val="18"/>
              </w:rPr>
              <w:t>3</w:t>
            </w:r>
          </w:p>
        </w:tc>
        <w:tc>
          <w:tcPr>
            <w:tcW w:type="dxa" w:w="991"/>
            <w:tcBorders>
              <w:top w:color="000000" w:sz="4" w:val="single"/>
              <w:left w:color="000000" w:sz="4" w:val="single"/>
              <w:bottom w:color="000000" w:sz="4" w:val="single"/>
              <w:right w:color="000000" w:sz="4" w:val="single"/>
            </w:tcBorders>
            <w:shd w:fill="FFFFFF" w:val="clear"/>
            <w:vAlign w:val="center"/>
          </w:tcPr>
          <w:p w14:paraId="D23A0000">
            <w:pPr>
              <w:widowControl w:val="1"/>
              <w:ind/>
              <w:jc w:val="center"/>
              <w:rPr>
                <w:sz w:val="18"/>
              </w:rPr>
            </w:pPr>
            <w:r>
              <w:rPr>
                <w:sz w:val="18"/>
              </w:rPr>
              <w:t>1700,00</w:t>
            </w:r>
          </w:p>
        </w:tc>
        <w:tc>
          <w:tcPr>
            <w:tcW w:type="dxa" w:w="1134"/>
            <w:tcBorders>
              <w:top w:color="000000" w:sz="4" w:val="single"/>
              <w:left w:color="000000" w:sz="4" w:val="single"/>
              <w:bottom w:color="000000" w:sz="4" w:val="single"/>
              <w:right w:color="000000" w:sz="4" w:val="single"/>
            </w:tcBorders>
            <w:shd w:fill="FFFFFF" w:val="clear"/>
            <w:vAlign w:val="center"/>
          </w:tcPr>
          <w:p w14:paraId="D33A0000">
            <w:pPr>
              <w:widowControl w:val="1"/>
              <w:ind/>
              <w:jc w:val="center"/>
              <w:rPr>
                <w:sz w:val="18"/>
              </w:rPr>
            </w:pPr>
            <w:r>
              <w:rPr>
                <w:sz w:val="18"/>
              </w:rPr>
              <w:t>1700,00</w:t>
            </w:r>
          </w:p>
        </w:tc>
        <w:tc>
          <w:tcPr>
            <w:tcW w:type="dxa" w:w="993"/>
            <w:tcBorders>
              <w:top w:color="000000" w:sz="4" w:val="single"/>
              <w:left w:color="000000" w:sz="4" w:val="single"/>
              <w:bottom w:color="000000" w:sz="4" w:val="single"/>
              <w:right w:color="000000" w:sz="4" w:val="single"/>
            </w:tcBorders>
            <w:shd w:fill="FFFFFF" w:val="clear"/>
            <w:vAlign w:val="center"/>
          </w:tcPr>
          <w:p w14:paraId="D43A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D53A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D63A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D73A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D83A0000">
            <w:pPr>
              <w:widowControl w:val="1"/>
              <w:ind/>
              <w:jc w:val="center"/>
              <w:rPr>
                <w:sz w:val="18"/>
              </w:rPr>
            </w:pPr>
            <w:r>
              <w:rPr>
                <w:sz w:val="18"/>
              </w:rPr>
              <w:t>3</w:t>
            </w:r>
          </w:p>
        </w:tc>
        <w:tc>
          <w:tcPr>
            <w:tcW w:type="dxa" w:w="1169"/>
            <w:tcBorders>
              <w:top w:color="000000" w:sz="4" w:val="single"/>
              <w:left w:color="000000" w:sz="4" w:val="single"/>
              <w:bottom w:color="000000" w:sz="4" w:val="single"/>
              <w:right w:color="000000" w:sz="4" w:val="single"/>
            </w:tcBorders>
            <w:shd w:fill="FFFFFF" w:val="clear"/>
            <w:vAlign w:val="center"/>
          </w:tcPr>
          <w:p w14:paraId="D93A0000">
            <w:pPr>
              <w:widowControl w:val="1"/>
              <w:ind/>
              <w:jc w:val="center"/>
              <w:rPr>
                <w:sz w:val="18"/>
              </w:rPr>
            </w:pPr>
            <w:r>
              <w:rPr>
                <w:sz w:val="18"/>
              </w:rPr>
              <w:t>1700,00</w:t>
            </w:r>
          </w:p>
        </w:tc>
        <w:tc>
          <w:tcPr>
            <w:tcW w:type="dxa" w:w="1185"/>
            <w:tcBorders>
              <w:top w:color="000000" w:sz="4" w:val="single"/>
              <w:left w:color="000000" w:sz="4" w:val="single"/>
              <w:bottom w:color="000000" w:sz="4" w:val="single"/>
              <w:right w:color="000000" w:sz="4" w:val="single"/>
            </w:tcBorders>
            <w:shd w:fill="FFFFFF" w:val="clear"/>
            <w:vAlign w:val="center"/>
          </w:tcPr>
          <w:p w14:paraId="DA3A0000">
            <w:pPr>
              <w:widowControl w:val="1"/>
              <w:ind/>
              <w:jc w:val="center"/>
              <w:rPr>
                <w:sz w:val="18"/>
              </w:rPr>
            </w:pPr>
            <w:r>
              <w:rPr>
                <w:sz w:val="18"/>
              </w:rPr>
              <w:t>1700,00</w:t>
            </w:r>
          </w:p>
        </w:tc>
        <w:tc>
          <w:tcPr>
            <w:tcW w:type="dxa" w:w="1083"/>
            <w:tcBorders>
              <w:top w:color="000000" w:sz="4" w:val="single"/>
              <w:left w:color="000000" w:sz="4" w:val="single"/>
              <w:bottom w:color="000000" w:sz="4" w:val="single"/>
              <w:right w:color="000000" w:sz="4" w:val="single"/>
            </w:tcBorders>
            <w:shd w:fill="FFFFFF" w:val="clear"/>
            <w:vAlign w:val="center"/>
          </w:tcPr>
          <w:p w14:paraId="DB3A0000">
            <w:pPr>
              <w:widowControl w:val="1"/>
              <w:ind/>
              <w:jc w:val="center"/>
              <w:rPr>
                <w:sz w:val="18"/>
              </w:rPr>
            </w:pPr>
            <w:r>
              <w:rPr>
                <w:sz w:val="18"/>
              </w:rPr>
              <w:t>1700,00</w:t>
            </w:r>
          </w:p>
        </w:tc>
        <w:tc>
          <w:tcPr>
            <w:tcW w:type="dxa" w:w="771"/>
            <w:tcBorders>
              <w:top w:color="000000" w:sz="4" w:val="single"/>
              <w:left w:color="000000" w:sz="4" w:val="single"/>
              <w:bottom w:color="000000" w:sz="4" w:val="single"/>
              <w:right w:color="000000" w:sz="4" w:val="single"/>
            </w:tcBorders>
            <w:shd w:fill="FFFFFF" w:val="clear"/>
            <w:vAlign w:val="center"/>
          </w:tcPr>
          <w:p w14:paraId="DC3A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DD3A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DE3A0000">
            <w:pPr>
              <w:widowControl w:val="1"/>
              <w:ind/>
              <w:jc w:val="center"/>
              <w:rPr>
                <w:sz w:val="18"/>
              </w:rPr>
            </w:pPr>
            <w:r>
              <w:rPr>
                <w:sz w:val="18"/>
              </w:rPr>
              <w:t>счет № 28/262 от 13.09.2018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DF3A0000">
            <w:pPr>
              <w:widowControl w:val="1"/>
              <w:ind/>
              <w:jc w:val="center"/>
              <w:rPr>
                <w:color w:val="000000"/>
                <w:sz w:val="18"/>
              </w:rPr>
            </w:pPr>
            <w:r>
              <w:rPr>
                <w:color w:val="000000"/>
                <w:sz w:val="18"/>
              </w:rPr>
              <w:t>197</w:t>
            </w:r>
          </w:p>
        </w:tc>
        <w:tc>
          <w:tcPr>
            <w:tcW w:type="dxa" w:w="618"/>
            <w:tcBorders>
              <w:top w:color="000000" w:sz="4" w:val="single"/>
              <w:left w:color="000000" w:sz="4" w:val="single"/>
              <w:bottom w:color="000000" w:sz="4" w:val="single"/>
              <w:right w:color="000000" w:sz="4" w:val="single"/>
            </w:tcBorders>
            <w:shd w:fill="FFFFFF" w:val="clear"/>
            <w:vAlign w:val="center"/>
          </w:tcPr>
          <w:p w14:paraId="E03A0000">
            <w:pPr>
              <w:widowControl w:val="1"/>
              <w:ind/>
              <w:jc w:val="center"/>
              <w:rPr>
                <w:sz w:val="18"/>
              </w:rPr>
            </w:pPr>
            <w:r>
              <w:rPr>
                <w:sz w:val="18"/>
              </w:rPr>
              <w:t>121/2</w:t>
            </w:r>
          </w:p>
        </w:tc>
        <w:tc>
          <w:tcPr>
            <w:tcW w:type="dxa" w:w="993"/>
            <w:tcBorders>
              <w:top w:color="000000" w:sz="4" w:val="single"/>
              <w:left w:color="000000" w:sz="4" w:val="single"/>
              <w:bottom w:color="000000" w:sz="4" w:val="single"/>
              <w:right w:color="000000" w:sz="4" w:val="single"/>
            </w:tcBorders>
            <w:shd w:fill="FFFFFF" w:val="clear"/>
            <w:vAlign w:val="center"/>
          </w:tcPr>
          <w:p w14:paraId="E13A0000">
            <w:pPr>
              <w:widowControl w:val="1"/>
              <w:ind/>
              <w:jc w:val="center"/>
              <w:rPr>
                <w:color w:val="000000"/>
                <w:sz w:val="18"/>
              </w:rPr>
            </w:pPr>
            <w:r>
              <w:rPr>
                <w:color w:val="000000"/>
                <w:sz w:val="18"/>
              </w:rPr>
              <w:t>Выполнение работ по демонтажу и монтажу кондиционера</w:t>
            </w:r>
          </w:p>
        </w:tc>
        <w:tc>
          <w:tcPr>
            <w:tcW w:type="dxa" w:w="849"/>
            <w:tcBorders>
              <w:top w:color="000000" w:sz="4" w:val="single"/>
              <w:left w:color="000000" w:sz="4" w:val="single"/>
              <w:bottom w:color="000000" w:sz="4" w:val="single"/>
              <w:right w:color="000000" w:sz="4" w:val="single"/>
            </w:tcBorders>
            <w:shd w:fill="FFFFFF" w:val="clear"/>
            <w:vAlign w:val="center"/>
          </w:tcPr>
          <w:p w14:paraId="E23A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E33A0000">
            <w:pPr>
              <w:widowControl w:val="1"/>
              <w:ind/>
              <w:jc w:val="center"/>
              <w:rPr>
                <w:color w:val="000000"/>
                <w:sz w:val="18"/>
              </w:rPr>
            </w:pPr>
            <w:r>
              <w:rPr>
                <w:color w:val="000000"/>
                <w:sz w:val="18"/>
              </w:rPr>
              <w:t>2</w:t>
            </w:r>
          </w:p>
        </w:tc>
        <w:tc>
          <w:tcPr>
            <w:tcW w:type="dxa" w:w="991"/>
            <w:tcBorders>
              <w:top w:color="000000" w:sz="4" w:val="single"/>
              <w:left w:color="000000" w:sz="4" w:val="single"/>
              <w:bottom w:color="000000" w:sz="4" w:val="single"/>
              <w:right w:color="000000" w:sz="4" w:val="single"/>
            </w:tcBorders>
            <w:shd w:fill="FFFFFF" w:val="clear"/>
            <w:vAlign w:val="center"/>
          </w:tcPr>
          <w:p w14:paraId="E43A0000">
            <w:pPr>
              <w:widowControl w:val="1"/>
              <w:ind/>
              <w:jc w:val="center"/>
              <w:rPr>
                <w:color w:val="000000"/>
                <w:sz w:val="18"/>
              </w:rPr>
            </w:pPr>
            <w:r>
              <w:rPr>
                <w:color w:val="000000"/>
                <w:sz w:val="18"/>
              </w:rPr>
              <w:t>10900,00</w:t>
            </w:r>
          </w:p>
        </w:tc>
        <w:tc>
          <w:tcPr>
            <w:tcW w:type="dxa" w:w="1134"/>
            <w:tcBorders>
              <w:top w:color="000000" w:sz="4" w:val="single"/>
              <w:left w:color="000000" w:sz="4" w:val="single"/>
              <w:bottom w:color="000000" w:sz="4" w:val="single"/>
              <w:right w:color="000000" w:sz="4" w:val="single"/>
            </w:tcBorders>
            <w:shd w:fill="FFFFFF" w:val="clear"/>
            <w:vAlign w:val="center"/>
          </w:tcPr>
          <w:p w14:paraId="E53A0000">
            <w:pPr>
              <w:widowControl w:val="1"/>
              <w:ind/>
              <w:jc w:val="center"/>
              <w:rPr>
                <w:color w:val="000000"/>
                <w:sz w:val="18"/>
              </w:rPr>
            </w:pPr>
            <w:r>
              <w:rPr>
                <w:color w:val="000000"/>
                <w:sz w:val="18"/>
              </w:rPr>
              <w:t>10900,00</w:t>
            </w:r>
          </w:p>
        </w:tc>
        <w:tc>
          <w:tcPr>
            <w:tcW w:type="dxa" w:w="993"/>
            <w:tcBorders>
              <w:top w:color="000000" w:sz="4" w:val="single"/>
              <w:left w:color="000000" w:sz="4" w:val="single"/>
              <w:bottom w:color="000000" w:sz="4" w:val="single"/>
              <w:right w:color="000000" w:sz="4" w:val="single"/>
            </w:tcBorders>
            <w:shd w:fill="FFFFFF" w:val="clear"/>
            <w:vAlign w:val="center"/>
          </w:tcPr>
          <w:p w14:paraId="E63A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E73A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E83A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E93A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EA3A0000">
            <w:pPr>
              <w:widowControl w:val="1"/>
              <w:ind/>
              <w:jc w:val="center"/>
              <w:rPr>
                <w:color w:val="000000"/>
                <w:sz w:val="18"/>
              </w:rPr>
            </w:pPr>
            <w:r>
              <w:rPr>
                <w:color w:val="000000"/>
                <w:sz w:val="18"/>
              </w:rPr>
              <w:t>2</w:t>
            </w:r>
          </w:p>
        </w:tc>
        <w:tc>
          <w:tcPr>
            <w:tcW w:type="dxa" w:w="1169"/>
            <w:tcBorders>
              <w:top w:color="000000" w:sz="4" w:val="single"/>
              <w:left w:color="000000" w:sz="4" w:val="single"/>
              <w:bottom w:color="000000" w:sz="4" w:val="single"/>
              <w:right w:color="000000" w:sz="4" w:val="single"/>
            </w:tcBorders>
            <w:shd w:fill="FFFFFF" w:val="clear"/>
            <w:vAlign w:val="center"/>
          </w:tcPr>
          <w:p w14:paraId="EB3A0000">
            <w:pPr>
              <w:widowControl w:val="1"/>
              <w:ind/>
              <w:jc w:val="center"/>
              <w:rPr>
                <w:color w:val="000000"/>
                <w:sz w:val="18"/>
              </w:rPr>
            </w:pPr>
            <w:r>
              <w:rPr>
                <w:color w:val="000000"/>
                <w:sz w:val="18"/>
              </w:rPr>
              <w:t>10900,00</w:t>
            </w:r>
          </w:p>
        </w:tc>
        <w:tc>
          <w:tcPr>
            <w:tcW w:type="dxa" w:w="1185"/>
            <w:tcBorders>
              <w:top w:color="000000" w:sz="4" w:val="single"/>
              <w:left w:color="000000" w:sz="4" w:val="single"/>
              <w:bottom w:color="000000" w:sz="4" w:val="single"/>
              <w:right w:color="000000" w:sz="4" w:val="single"/>
            </w:tcBorders>
            <w:shd w:fill="FFFFFF" w:val="clear"/>
            <w:vAlign w:val="center"/>
          </w:tcPr>
          <w:p w14:paraId="EC3A0000">
            <w:pPr>
              <w:widowControl w:val="1"/>
              <w:ind/>
              <w:jc w:val="center"/>
              <w:rPr>
                <w:color w:val="000000"/>
                <w:sz w:val="18"/>
              </w:rPr>
            </w:pPr>
            <w:r>
              <w:rPr>
                <w:color w:val="000000"/>
                <w:sz w:val="18"/>
              </w:rPr>
              <w:t>10900,00</w:t>
            </w:r>
          </w:p>
        </w:tc>
        <w:tc>
          <w:tcPr>
            <w:tcW w:type="dxa" w:w="1083"/>
            <w:tcBorders>
              <w:top w:color="000000" w:sz="4" w:val="single"/>
              <w:left w:color="000000" w:sz="4" w:val="single"/>
              <w:bottom w:color="000000" w:sz="4" w:val="single"/>
              <w:right w:color="000000" w:sz="4" w:val="single"/>
            </w:tcBorders>
            <w:shd w:fill="FFFFFF" w:val="clear"/>
            <w:vAlign w:val="center"/>
          </w:tcPr>
          <w:p w14:paraId="ED3A0000">
            <w:pPr>
              <w:widowControl w:val="1"/>
              <w:ind/>
              <w:jc w:val="center"/>
              <w:rPr>
                <w:color w:val="000000"/>
                <w:sz w:val="18"/>
              </w:rPr>
            </w:pPr>
            <w:r>
              <w:rPr>
                <w:color w:val="000000"/>
                <w:sz w:val="18"/>
              </w:rPr>
              <w:t>10900,00</w:t>
            </w:r>
          </w:p>
        </w:tc>
        <w:tc>
          <w:tcPr>
            <w:tcW w:type="dxa" w:w="771"/>
            <w:tcBorders>
              <w:top w:color="000000" w:sz="4" w:val="single"/>
              <w:left w:color="000000" w:sz="4" w:val="single"/>
              <w:bottom w:color="000000" w:sz="4" w:val="single"/>
              <w:right w:color="000000" w:sz="4" w:val="single"/>
            </w:tcBorders>
            <w:shd w:fill="FFFFFF" w:val="clear"/>
            <w:vAlign w:val="center"/>
          </w:tcPr>
          <w:p w14:paraId="EE3A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F3A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F03A0000">
            <w:pPr>
              <w:widowControl w:val="1"/>
              <w:ind/>
              <w:jc w:val="center"/>
              <w:rPr>
                <w:sz w:val="18"/>
              </w:rPr>
            </w:pPr>
            <w:r>
              <w:rPr>
                <w:sz w:val="18"/>
              </w:rPr>
              <w:t>счет № 90 от 10.09.2018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F13A0000">
            <w:pPr>
              <w:widowControl w:val="1"/>
              <w:ind/>
              <w:jc w:val="center"/>
              <w:rPr>
                <w:color w:val="000000"/>
                <w:sz w:val="18"/>
              </w:rPr>
            </w:pPr>
            <w:r>
              <w:rPr>
                <w:color w:val="000000"/>
                <w:sz w:val="18"/>
              </w:rPr>
              <w:t>198</w:t>
            </w:r>
          </w:p>
        </w:tc>
        <w:tc>
          <w:tcPr>
            <w:tcW w:type="dxa" w:w="618"/>
            <w:tcBorders>
              <w:top w:color="000000" w:sz="4" w:val="single"/>
              <w:left w:color="000000" w:sz="4" w:val="single"/>
              <w:bottom w:color="000000" w:sz="4" w:val="single"/>
              <w:right w:color="000000" w:sz="4" w:val="single"/>
            </w:tcBorders>
            <w:shd w:fill="FFFFFF" w:val="clear"/>
            <w:vAlign w:val="center"/>
          </w:tcPr>
          <w:p w14:paraId="F23A0000">
            <w:pPr>
              <w:widowControl w:val="1"/>
              <w:ind/>
              <w:jc w:val="center"/>
              <w:rPr>
                <w:sz w:val="18"/>
              </w:rPr>
            </w:pPr>
            <w:r>
              <w:rPr>
                <w:sz w:val="18"/>
              </w:rPr>
              <w:t>122/2</w:t>
            </w:r>
          </w:p>
        </w:tc>
        <w:tc>
          <w:tcPr>
            <w:tcW w:type="dxa" w:w="993"/>
            <w:tcBorders>
              <w:top w:color="000000" w:sz="4" w:val="single"/>
              <w:left w:color="000000" w:sz="4" w:val="single"/>
              <w:bottom w:color="000000" w:sz="4" w:val="single"/>
              <w:right w:color="000000" w:sz="4" w:val="single"/>
            </w:tcBorders>
            <w:shd w:fill="FFFFFF" w:val="clear"/>
            <w:vAlign w:val="center"/>
          </w:tcPr>
          <w:p w14:paraId="F33A0000">
            <w:pPr>
              <w:widowControl w:val="1"/>
              <w:ind/>
              <w:jc w:val="center"/>
              <w:rPr>
                <w:sz w:val="18"/>
              </w:rPr>
            </w:pPr>
            <w:r>
              <w:rPr>
                <w:sz w:val="18"/>
              </w:rPr>
              <w:t>оказание услуг по техническому обслуживанию автомобиля AUDI Q7</w:t>
            </w:r>
          </w:p>
        </w:tc>
        <w:tc>
          <w:tcPr>
            <w:tcW w:type="dxa" w:w="849"/>
            <w:tcBorders>
              <w:top w:color="000000" w:sz="4" w:val="single"/>
              <w:left w:color="000000" w:sz="4" w:val="single"/>
              <w:bottom w:color="000000" w:sz="4" w:val="single"/>
              <w:right w:color="000000" w:sz="4" w:val="single"/>
            </w:tcBorders>
            <w:shd w:fill="FFFFFF" w:val="clear"/>
            <w:vAlign w:val="center"/>
          </w:tcPr>
          <w:p w14:paraId="F43A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F53A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F63A0000">
            <w:pPr>
              <w:widowControl w:val="1"/>
              <w:ind/>
              <w:jc w:val="center"/>
              <w:rPr>
                <w:sz w:val="18"/>
              </w:rPr>
            </w:pPr>
            <w:r>
              <w:rPr>
                <w:sz w:val="18"/>
              </w:rPr>
              <w:t>10283,00</w:t>
            </w:r>
          </w:p>
        </w:tc>
        <w:tc>
          <w:tcPr>
            <w:tcW w:type="dxa" w:w="1134"/>
            <w:tcBorders>
              <w:top w:color="000000" w:sz="4" w:val="single"/>
              <w:left w:color="000000" w:sz="4" w:val="single"/>
              <w:bottom w:color="000000" w:sz="4" w:val="single"/>
              <w:right w:color="000000" w:sz="4" w:val="single"/>
            </w:tcBorders>
            <w:shd w:fill="FFFFFF" w:val="clear"/>
            <w:vAlign w:val="center"/>
          </w:tcPr>
          <w:p w14:paraId="F73A0000">
            <w:pPr>
              <w:widowControl w:val="1"/>
              <w:ind/>
              <w:jc w:val="center"/>
              <w:rPr>
                <w:sz w:val="18"/>
              </w:rPr>
            </w:pPr>
            <w:r>
              <w:rPr>
                <w:sz w:val="18"/>
              </w:rPr>
              <w:t>10283,00</w:t>
            </w:r>
          </w:p>
        </w:tc>
        <w:tc>
          <w:tcPr>
            <w:tcW w:type="dxa" w:w="993"/>
            <w:tcBorders>
              <w:top w:color="000000" w:sz="4" w:val="single"/>
              <w:left w:color="000000" w:sz="4" w:val="single"/>
              <w:bottom w:color="000000" w:sz="4" w:val="single"/>
              <w:right w:color="000000" w:sz="4" w:val="single"/>
            </w:tcBorders>
            <w:shd w:fill="FFFFFF" w:val="clear"/>
            <w:vAlign w:val="center"/>
          </w:tcPr>
          <w:p w14:paraId="F83A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F93A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FA3A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FB3A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FC3A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FD3A0000">
            <w:pPr>
              <w:widowControl w:val="1"/>
              <w:ind/>
              <w:jc w:val="center"/>
              <w:rPr>
                <w:sz w:val="18"/>
              </w:rPr>
            </w:pPr>
            <w:r>
              <w:rPr>
                <w:sz w:val="18"/>
              </w:rPr>
              <w:t>10283,00</w:t>
            </w:r>
          </w:p>
        </w:tc>
        <w:tc>
          <w:tcPr>
            <w:tcW w:type="dxa" w:w="1185"/>
            <w:tcBorders>
              <w:top w:color="000000" w:sz="4" w:val="single"/>
              <w:left w:color="000000" w:sz="4" w:val="single"/>
              <w:bottom w:color="000000" w:sz="4" w:val="single"/>
              <w:right w:color="000000" w:sz="4" w:val="single"/>
            </w:tcBorders>
            <w:shd w:fill="FFFFFF" w:val="clear"/>
            <w:vAlign w:val="center"/>
          </w:tcPr>
          <w:p w14:paraId="FE3A0000">
            <w:pPr>
              <w:widowControl w:val="1"/>
              <w:ind/>
              <w:jc w:val="center"/>
              <w:rPr>
                <w:sz w:val="18"/>
              </w:rPr>
            </w:pPr>
            <w:r>
              <w:rPr>
                <w:sz w:val="18"/>
              </w:rPr>
              <w:t>10283,00</w:t>
            </w:r>
          </w:p>
        </w:tc>
        <w:tc>
          <w:tcPr>
            <w:tcW w:type="dxa" w:w="1083"/>
            <w:tcBorders>
              <w:top w:color="000000" w:sz="4" w:val="single"/>
              <w:left w:color="000000" w:sz="4" w:val="single"/>
              <w:bottom w:color="000000" w:sz="4" w:val="single"/>
              <w:right w:color="000000" w:sz="4" w:val="single"/>
            </w:tcBorders>
            <w:shd w:fill="FFFFFF" w:val="clear"/>
            <w:vAlign w:val="center"/>
          </w:tcPr>
          <w:p w14:paraId="FF3A0000">
            <w:pPr>
              <w:widowControl w:val="1"/>
              <w:ind/>
              <w:jc w:val="center"/>
              <w:rPr>
                <w:sz w:val="18"/>
              </w:rPr>
            </w:pPr>
            <w:r>
              <w:rPr>
                <w:sz w:val="18"/>
              </w:rPr>
              <w:t>10283,00</w:t>
            </w:r>
          </w:p>
        </w:tc>
        <w:tc>
          <w:tcPr>
            <w:tcW w:type="dxa" w:w="771"/>
            <w:tcBorders>
              <w:top w:color="000000" w:sz="4" w:val="single"/>
              <w:left w:color="000000" w:sz="4" w:val="single"/>
              <w:bottom w:color="000000" w:sz="4" w:val="single"/>
              <w:right w:color="000000" w:sz="4" w:val="single"/>
            </w:tcBorders>
            <w:shd w:fill="FFFFFF" w:val="clear"/>
            <w:vAlign w:val="center"/>
          </w:tcPr>
          <w:p w14:paraId="003B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013B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023B0000">
            <w:pPr>
              <w:widowControl w:val="1"/>
              <w:ind/>
              <w:jc w:val="center"/>
              <w:rPr>
                <w:sz w:val="18"/>
              </w:rPr>
            </w:pPr>
            <w:r>
              <w:rPr>
                <w:sz w:val="18"/>
              </w:rPr>
              <w:t>счет № 0092268 от 12.09.2018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033B0000">
            <w:pPr>
              <w:widowControl w:val="1"/>
              <w:ind/>
              <w:jc w:val="center"/>
              <w:rPr>
                <w:color w:val="000000"/>
                <w:sz w:val="18"/>
              </w:rPr>
            </w:pPr>
            <w:r>
              <w:rPr>
                <w:color w:val="000000"/>
                <w:sz w:val="18"/>
              </w:rPr>
              <w:t>199</w:t>
            </w:r>
          </w:p>
        </w:tc>
        <w:tc>
          <w:tcPr>
            <w:tcW w:type="dxa" w:w="618"/>
            <w:tcBorders>
              <w:top w:color="000000" w:sz="4" w:val="single"/>
              <w:left w:color="000000" w:sz="4" w:val="single"/>
              <w:bottom w:color="000000" w:sz="4" w:val="single"/>
              <w:right w:color="000000" w:sz="4" w:val="single"/>
            </w:tcBorders>
            <w:shd w:fill="FFFFFF" w:val="clear"/>
            <w:vAlign w:val="center"/>
          </w:tcPr>
          <w:p w14:paraId="043B0000">
            <w:pPr>
              <w:widowControl w:val="1"/>
              <w:ind/>
              <w:jc w:val="center"/>
              <w:rPr>
                <w:sz w:val="18"/>
              </w:rPr>
            </w:pPr>
            <w:r>
              <w:rPr>
                <w:sz w:val="18"/>
              </w:rPr>
              <w:t>123/2</w:t>
            </w:r>
          </w:p>
        </w:tc>
        <w:tc>
          <w:tcPr>
            <w:tcW w:type="dxa" w:w="993"/>
            <w:tcBorders>
              <w:top w:color="000000" w:sz="4" w:val="single"/>
              <w:left w:color="000000" w:sz="4" w:val="single"/>
              <w:bottom w:color="000000" w:sz="4" w:val="single"/>
              <w:right w:color="000000" w:sz="4" w:val="single"/>
            </w:tcBorders>
            <w:shd w:fill="FFFFFF" w:val="clear"/>
            <w:vAlign w:val="center"/>
          </w:tcPr>
          <w:p w14:paraId="053B0000">
            <w:pPr>
              <w:widowControl w:val="1"/>
              <w:ind/>
              <w:jc w:val="center"/>
              <w:rPr>
                <w:sz w:val="18"/>
              </w:rPr>
            </w:pPr>
            <w:r>
              <w:rPr>
                <w:sz w:val="18"/>
              </w:rPr>
              <w:t>поставка чехлов для диванов</w:t>
            </w:r>
          </w:p>
        </w:tc>
        <w:tc>
          <w:tcPr>
            <w:tcW w:type="dxa" w:w="849"/>
            <w:tcBorders>
              <w:top w:color="000000" w:sz="4" w:val="single"/>
              <w:left w:color="000000" w:sz="4" w:val="single"/>
              <w:bottom w:color="000000" w:sz="4" w:val="single"/>
              <w:right w:color="000000" w:sz="4" w:val="single"/>
            </w:tcBorders>
            <w:shd w:fill="FFFFFF" w:val="clear"/>
            <w:vAlign w:val="center"/>
          </w:tcPr>
          <w:p w14:paraId="063B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073B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083B0000">
            <w:pPr>
              <w:widowControl w:val="1"/>
              <w:ind/>
              <w:jc w:val="center"/>
              <w:rPr>
                <w:sz w:val="18"/>
              </w:rPr>
            </w:pPr>
            <w:r>
              <w:rPr>
                <w:sz w:val="18"/>
              </w:rPr>
              <w:t>1861,50</w:t>
            </w:r>
          </w:p>
        </w:tc>
        <w:tc>
          <w:tcPr>
            <w:tcW w:type="dxa" w:w="1134"/>
            <w:tcBorders>
              <w:top w:color="000000" w:sz="4" w:val="single"/>
              <w:left w:color="000000" w:sz="4" w:val="single"/>
              <w:bottom w:color="000000" w:sz="4" w:val="single"/>
              <w:right w:color="000000" w:sz="4" w:val="single"/>
            </w:tcBorders>
            <w:shd w:fill="FFFFFF" w:val="clear"/>
            <w:vAlign w:val="center"/>
          </w:tcPr>
          <w:p w14:paraId="093B0000">
            <w:pPr>
              <w:widowControl w:val="1"/>
              <w:ind/>
              <w:jc w:val="center"/>
              <w:rPr>
                <w:sz w:val="18"/>
              </w:rPr>
            </w:pPr>
            <w:r>
              <w:rPr>
                <w:sz w:val="18"/>
              </w:rPr>
              <w:t>1861,50</w:t>
            </w:r>
          </w:p>
        </w:tc>
        <w:tc>
          <w:tcPr>
            <w:tcW w:type="dxa" w:w="993"/>
            <w:tcBorders>
              <w:top w:color="000000" w:sz="4" w:val="single"/>
              <w:left w:color="000000" w:sz="4" w:val="single"/>
              <w:bottom w:color="000000" w:sz="4" w:val="single"/>
              <w:right w:color="000000" w:sz="4" w:val="single"/>
            </w:tcBorders>
            <w:shd w:fill="FFFFFF" w:val="clear"/>
            <w:vAlign w:val="center"/>
          </w:tcPr>
          <w:p w14:paraId="0A3B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0B3B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0C3B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0D3B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0E3B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0F3B0000">
            <w:pPr>
              <w:widowControl w:val="1"/>
              <w:ind/>
              <w:jc w:val="center"/>
              <w:rPr>
                <w:sz w:val="18"/>
              </w:rPr>
            </w:pPr>
            <w:r>
              <w:rPr>
                <w:sz w:val="18"/>
              </w:rPr>
              <w:t>1861,50</w:t>
            </w:r>
          </w:p>
        </w:tc>
        <w:tc>
          <w:tcPr>
            <w:tcW w:type="dxa" w:w="1185"/>
            <w:tcBorders>
              <w:top w:color="000000" w:sz="4" w:val="single"/>
              <w:left w:color="000000" w:sz="4" w:val="single"/>
              <w:bottom w:color="000000" w:sz="4" w:val="single"/>
              <w:right w:color="000000" w:sz="4" w:val="single"/>
            </w:tcBorders>
            <w:shd w:fill="FFFFFF" w:val="clear"/>
            <w:vAlign w:val="center"/>
          </w:tcPr>
          <w:p w14:paraId="103B0000">
            <w:pPr>
              <w:widowControl w:val="1"/>
              <w:ind/>
              <w:jc w:val="center"/>
              <w:rPr>
                <w:sz w:val="18"/>
              </w:rPr>
            </w:pPr>
            <w:r>
              <w:rPr>
                <w:sz w:val="18"/>
              </w:rPr>
              <w:t>1861,50</w:t>
            </w:r>
          </w:p>
        </w:tc>
        <w:tc>
          <w:tcPr>
            <w:tcW w:type="dxa" w:w="1083"/>
            <w:tcBorders>
              <w:top w:color="000000" w:sz="4" w:val="single"/>
              <w:left w:color="000000" w:sz="4" w:val="single"/>
              <w:bottom w:color="000000" w:sz="4" w:val="single"/>
              <w:right w:color="000000" w:sz="4" w:val="single"/>
            </w:tcBorders>
            <w:shd w:fill="FFFFFF" w:val="clear"/>
            <w:vAlign w:val="center"/>
          </w:tcPr>
          <w:p w14:paraId="113B0000">
            <w:pPr>
              <w:widowControl w:val="1"/>
              <w:ind/>
              <w:jc w:val="center"/>
              <w:rPr>
                <w:sz w:val="18"/>
              </w:rPr>
            </w:pPr>
            <w:r>
              <w:rPr>
                <w:sz w:val="18"/>
              </w:rPr>
              <w:t>1861,50</w:t>
            </w:r>
          </w:p>
        </w:tc>
        <w:tc>
          <w:tcPr>
            <w:tcW w:type="dxa" w:w="771"/>
            <w:tcBorders>
              <w:top w:color="000000" w:sz="4" w:val="single"/>
              <w:left w:color="000000" w:sz="4" w:val="single"/>
              <w:bottom w:color="000000" w:sz="4" w:val="single"/>
              <w:right w:color="000000" w:sz="4" w:val="single"/>
            </w:tcBorders>
            <w:shd w:fill="FFFFFF" w:val="clear"/>
            <w:vAlign w:val="center"/>
          </w:tcPr>
          <w:p w14:paraId="123B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133B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143B0000">
            <w:pPr>
              <w:widowControl w:val="1"/>
              <w:ind/>
              <w:jc w:val="center"/>
              <w:rPr>
                <w:sz w:val="18"/>
              </w:rPr>
            </w:pPr>
            <w:r>
              <w:rPr>
                <w:sz w:val="18"/>
              </w:rPr>
              <w:t>счет № 1132 от 13.09.2018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153B0000">
            <w:pPr>
              <w:widowControl w:val="1"/>
              <w:ind/>
              <w:jc w:val="center"/>
              <w:rPr>
                <w:color w:val="000000"/>
                <w:sz w:val="18"/>
              </w:rPr>
            </w:pPr>
            <w:r>
              <w:rPr>
                <w:color w:val="000000"/>
                <w:sz w:val="18"/>
              </w:rPr>
              <w:t>200</w:t>
            </w:r>
          </w:p>
        </w:tc>
        <w:tc>
          <w:tcPr>
            <w:tcW w:type="dxa" w:w="618"/>
            <w:tcBorders>
              <w:top w:color="000000" w:sz="4" w:val="single"/>
              <w:left w:color="000000" w:sz="4" w:val="single"/>
              <w:bottom w:color="000000" w:sz="4" w:val="single"/>
              <w:right w:color="000000" w:sz="4" w:val="single"/>
            </w:tcBorders>
            <w:shd w:fill="FFFFFF" w:val="clear"/>
            <w:vAlign w:val="center"/>
          </w:tcPr>
          <w:p w14:paraId="163B0000">
            <w:pPr>
              <w:widowControl w:val="1"/>
              <w:ind/>
              <w:jc w:val="center"/>
              <w:rPr>
                <w:sz w:val="18"/>
              </w:rPr>
            </w:pPr>
            <w:r>
              <w:rPr>
                <w:sz w:val="18"/>
              </w:rPr>
              <w:t>124/2</w:t>
            </w:r>
          </w:p>
        </w:tc>
        <w:tc>
          <w:tcPr>
            <w:tcW w:type="dxa" w:w="993"/>
            <w:tcBorders>
              <w:top w:color="000000" w:sz="4" w:val="single"/>
              <w:left w:color="000000" w:sz="4" w:val="single"/>
              <w:bottom w:color="000000" w:sz="4" w:val="single"/>
              <w:right w:color="000000" w:sz="4" w:val="single"/>
            </w:tcBorders>
            <w:shd w:fill="FFFFFF" w:val="clear"/>
            <w:vAlign w:val="center"/>
          </w:tcPr>
          <w:p w14:paraId="173B0000">
            <w:pPr>
              <w:widowControl w:val="1"/>
              <w:ind/>
              <w:jc w:val="center"/>
              <w:rPr>
                <w:sz w:val="18"/>
              </w:rPr>
            </w:pPr>
            <w:r>
              <w:rPr>
                <w:sz w:val="18"/>
              </w:rPr>
              <w:t>поставка контейнеров</w:t>
            </w:r>
          </w:p>
        </w:tc>
        <w:tc>
          <w:tcPr>
            <w:tcW w:type="dxa" w:w="849"/>
            <w:tcBorders>
              <w:top w:color="000000" w:sz="4" w:val="single"/>
              <w:left w:color="000000" w:sz="4" w:val="single"/>
              <w:bottom w:color="000000" w:sz="4" w:val="single"/>
              <w:right w:color="000000" w:sz="4" w:val="single"/>
            </w:tcBorders>
            <w:shd w:fill="FFFFFF" w:val="clear"/>
            <w:vAlign w:val="center"/>
          </w:tcPr>
          <w:p w14:paraId="183B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193B0000">
            <w:pPr>
              <w:widowControl w:val="1"/>
              <w:ind/>
              <w:jc w:val="center"/>
              <w:rPr>
                <w:color w:val="000000"/>
                <w:sz w:val="18"/>
              </w:rPr>
            </w:pPr>
            <w:r>
              <w:rPr>
                <w:color w:val="000000"/>
                <w:sz w:val="18"/>
              </w:rPr>
              <w:t>2</w:t>
            </w:r>
          </w:p>
        </w:tc>
        <w:tc>
          <w:tcPr>
            <w:tcW w:type="dxa" w:w="991"/>
            <w:tcBorders>
              <w:top w:color="000000" w:sz="4" w:val="single"/>
              <w:left w:color="000000" w:sz="4" w:val="single"/>
              <w:bottom w:color="000000" w:sz="4" w:val="single"/>
              <w:right w:color="000000" w:sz="4" w:val="single"/>
            </w:tcBorders>
            <w:shd w:fill="FFFFFF" w:val="clear"/>
            <w:vAlign w:val="center"/>
          </w:tcPr>
          <w:p w14:paraId="1A3B0000">
            <w:pPr>
              <w:widowControl w:val="1"/>
              <w:ind/>
              <w:jc w:val="center"/>
              <w:rPr>
                <w:sz w:val="18"/>
              </w:rPr>
            </w:pPr>
            <w:r>
              <w:rPr>
                <w:sz w:val="18"/>
              </w:rPr>
              <w:t>59322,00</w:t>
            </w:r>
          </w:p>
        </w:tc>
        <w:tc>
          <w:tcPr>
            <w:tcW w:type="dxa" w:w="1134"/>
            <w:tcBorders>
              <w:top w:color="000000" w:sz="4" w:val="single"/>
              <w:left w:color="000000" w:sz="4" w:val="single"/>
              <w:bottom w:color="000000" w:sz="4" w:val="single"/>
              <w:right w:color="000000" w:sz="4" w:val="single"/>
            </w:tcBorders>
            <w:shd w:fill="FFFFFF" w:val="clear"/>
            <w:vAlign w:val="center"/>
          </w:tcPr>
          <w:p w14:paraId="1B3B0000">
            <w:pPr>
              <w:widowControl w:val="1"/>
              <w:ind/>
              <w:jc w:val="center"/>
              <w:rPr>
                <w:sz w:val="18"/>
              </w:rPr>
            </w:pPr>
            <w:r>
              <w:rPr>
                <w:sz w:val="18"/>
              </w:rPr>
              <w:t>70000,00</w:t>
            </w:r>
          </w:p>
        </w:tc>
        <w:tc>
          <w:tcPr>
            <w:tcW w:type="dxa" w:w="993"/>
            <w:tcBorders>
              <w:top w:color="000000" w:sz="4" w:val="single"/>
              <w:left w:color="000000" w:sz="4" w:val="single"/>
              <w:bottom w:color="000000" w:sz="4" w:val="single"/>
              <w:right w:color="000000" w:sz="4" w:val="single"/>
            </w:tcBorders>
            <w:shd w:fill="FFFFFF" w:val="clear"/>
            <w:vAlign w:val="center"/>
          </w:tcPr>
          <w:p w14:paraId="1C3B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1D3B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1E3B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1F3B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203B0000">
            <w:pPr>
              <w:widowControl w:val="1"/>
              <w:ind/>
              <w:jc w:val="center"/>
              <w:rPr>
                <w:color w:val="000000"/>
                <w:sz w:val="18"/>
              </w:rPr>
            </w:pPr>
            <w:r>
              <w:rPr>
                <w:color w:val="000000"/>
                <w:sz w:val="18"/>
              </w:rPr>
              <w:t>2</w:t>
            </w:r>
          </w:p>
        </w:tc>
        <w:tc>
          <w:tcPr>
            <w:tcW w:type="dxa" w:w="1169"/>
            <w:tcBorders>
              <w:top w:color="000000" w:sz="4" w:val="single"/>
              <w:left w:color="000000" w:sz="4" w:val="single"/>
              <w:bottom w:color="000000" w:sz="4" w:val="single"/>
              <w:right w:color="000000" w:sz="4" w:val="single"/>
            </w:tcBorders>
            <w:shd w:fill="FFFFFF" w:val="clear"/>
            <w:vAlign w:val="center"/>
          </w:tcPr>
          <w:p w14:paraId="213B0000">
            <w:pPr>
              <w:widowControl w:val="1"/>
              <w:ind/>
              <w:jc w:val="center"/>
              <w:rPr>
                <w:sz w:val="18"/>
              </w:rPr>
            </w:pPr>
            <w:r>
              <w:rPr>
                <w:sz w:val="18"/>
              </w:rPr>
              <w:t>59322,00</w:t>
            </w:r>
          </w:p>
        </w:tc>
        <w:tc>
          <w:tcPr>
            <w:tcW w:type="dxa" w:w="1185"/>
            <w:tcBorders>
              <w:top w:color="000000" w:sz="4" w:val="single"/>
              <w:left w:color="000000" w:sz="4" w:val="single"/>
              <w:bottom w:color="000000" w:sz="4" w:val="single"/>
              <w:right w:color="000000" w:sz="4" w:val="single"/>
            </w:tcBorders>
            <w:shd w:fill="FFFFFF" w:val="clear"/>
            <w:vAlign w:val="center"/>
          </w:tcPr>
          <w:p w14:paraId="223B0000">
            <w:pPr>
              <w:widowControl w:val="1"/>
              <w:ind/>
              <w:jc w:val="center"/>
              <w:rPr>
                <w:sz w:val="18"/>
              </w:rPr>
            </w:pPr>
            <w:r>
              <w:rPr>
                <w:sz w:val="18"/>
              </w:rPr>
              <w:t>70000,00</w:t>
            </w:r>
          </w:p>
        </w:tc>
        <w:tc>
          <w:tcPr>
            <w:tcW w:type="dxa" w:w="1083"/>
            <w:tcBorders>
              <w:top w:color="000000" w:sz="4" w:val="single"/>
              <w:left w:color="000000" w:sz="4" w:val="single"/>
              <w:bottom w:color="000000" w:sz="4" w:val="single"/>
              <w:right w:color="000000" w:sz="4" w:val="single"/>
            </w:tcBorders>
            <w:shd w:fill="FFFFFF" w:val="clear"/>
            <w:vAlign w:val="center"/>
          </w:tcPr>
          <w:p w14:paraId="233B0000">
            <w:pPr>
              <w:widowControl w:val="1"/>
              <w:ind/>
              <w:jc w:val="center"/>
              <w:rPr>
                <w:sz w:val="18"/>
              </w:rPr>
            </w:pPr>
            <w:r>
              <w:rPr>
                <w:sz w:val="18"/>
              </w:rPr>
              <w:t>70000,00</w:t>
            </w:r>
          </w:p>
        </w:tc>
        <w:tc>
          <w:tcPr>
            <w:tcW w:type="dxa" w:w="771"/>
            <w:tcBorders>
              <w:top w:color="000000" w:sz="4" w:val="single"/>
              <w:left w:color="000000" w:sz="4" w:val="single"/>
              <w:bottom w:color="000000" w:sz="4" w:val="single"/>
              <w:right w:color="000000" w:sz="4" w:val="single"/>
            </w:tcBorders>
            <w:shd w:fill="FFFFFF" w:val="clear"/>
            <w:vAlign w:val="center"/>
          </w:tcPr>
          <w:p w14:paraId="243B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253B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263B0000">
            <w:pPr>
              <w:widowControl w:val="1"/>
              <w:ind/>
              <w:jc w:val="center"/>
              <w:rPr>
                <w:sz w:val="18"/>
              </w:rPr>
            </w:pPr>
            <w:r>
              <w:rPr>
                <w:sz w:val="18"/>
              </w:rPr>
              <w:t>счет № 455 от 14.09.2018</w:t>
            </w:r>
          </w:p>
        </w:tc>
      </w:tr>
      <w:tr>
        <w:trPr>
          <w:trHeight w:hRule="atLeast" w:val="510"/>
        </w:trPr>
        <w:tc>
          <w:tcPr>
            <w:tcW w:type="dxa" w:w="708"/>
            <w:tcBorders>
              <w:top w:color="000000" w:sz="4" w:val="single"/>
              <w:left w:color="000000" w:sz="4" w:val="single"/>
              <w:bottom w:color="000000" w:sz="4" w:val="single"/>
              <w:right w:color="000000" w:sz="4" w:val="single"/>
            </w:tcBorders>
            <w:shd w:fill="auto" w:val="clear"/>
            <w:vAlign w:val="center"/>
          </w:tcPr>
          <w:p w14:paraId="273B0000">
            <w:pPr>
              <w:widowControl w:val="1"/>
              <w:ind/>
              <w:jc w:val="center"/>
              <w:rPr>
                <w:color w:val="000000"/>
                <w:sz w:val="18"/>
              </w:rPr>
            </w:pPr>
            <w:r>
              <w:rPr>
                <w:color w:val="000000"/>
                <w:sz w:val="18"/>
              </w:rPr>
              <w:t>201</w:t>
            </w:r>
          </w:p>
        </w:tc>
        <w:tc>
          <w:tcPr>
            <w:tcW w:type="dxa" w:w="618"/>
            <w:tcBorders>
              <w:top w:color="000000" w:sz="4" w:val="single"/>
              <w:left w:color="000000" w:sz="4" w:val="single"/>
              <w:bottom w:color="000000" w:sz="4" w:val="single"/>
              <w:right w:color="000000" w:sz="4" w:val="single"/>
            </w:tcBorders>
            <w:shd w:fill="FFFFFF" w:val="clear"/>
            <w:vAlign w:val="center"/>
          </w:tcPr>
          <w:p w14:paraId="283B0000">
            <w:pPr>
              <w:widowControl w:val="1"/>
              <w:ind/>
              <w:jc w:val="center"/>
              <w:rPr>
                <w:sz w:val="18"/>
              </w:rPr>
            </w:pPr>
            <w:r>
              <w:rPr>
                <w:sz w:val="18"/>
              </w:rPr>
              <w:t>125/2</w:t>
            </w:r>
          </w:p>
        </w:tc>
        <w:tc>
          <w:tcPr>
            <w:tcW w:type="dxa" w:w="993"/>
            <w:tcBorders>
              <w:top w:color="000000" w:sz="4" w:val="single"/>
              <w:left w:color="000000" w:sz="4" w:val="single"/>
              <w:bottom w:color="000000" w:sz="4" w:val="single"/>
              <w:right w:color="000000" w:sz="4" w:val="single"/>
            </w:tcBorders>
            <w:shd w:fill="FFFFFF" w:val="clear"/>
            <w:vAlign w:val="center"/>
          </w:tcPr>
          <w:p w14:paraId="293B0000">
            <w:pPr>
              <w:widowControl w:val="1"/>
              <w:ind/>
              <w:jc w:val="center"/>
              <w:rPr>
                <w:sz w:val="18"/>
              </w:rPr>
            </w:pPr>
            <w:r>
              <w:rPr>
                <w:sz w:val="18"/>
              </w:rPr>
              <w:t>поставка кресел</w:t>
            </w:r>
          </w:p>
        </w:tc>
        <w:tc>
          <w:tcPr>
            <w:tcW w:type="dxa" w:w="849"/>
            <w:tcBorders>
              <w:top w:color="000000" w:sz="4" w:val="single"/>
              <w:left w:color="000000" w:sz="4" w:val="single"/>
              <w:bottom w:color="000000" w:sz="4" w:val="single"/>
              <w:right w:color="000000" w:sz="4" w:val="single"/>
            </w:tcBorders>
            <w:shd w:fill="FFFFFF" w:val="clear"/>
            <w:vAlign w:val="center"/>
          </w:tcPr>
          <w:p w14:paraId="2A3B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2B3B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2C3B0000">
            <w:pPr>
              <w:widowControl w:val="1"/>
              <w:ind/>
              <w:jc w:val="center"/>
              <w:rPr>
                <w:sz w:val="18"/>
              </w:rPr>
            </w:pPr>
            <w:r>
              <w:rPr>
                <w:sz w:val="18"/>
              </w:rPr>
              <w:t>4900,00</w:t>
            </w:r>
          </w:p>
        </w:tc>
        <w:tc>
          <w:tcPr>
            <w:tcW w:type="dxa" w:w="1134"/>
            <w:tcBorders>
              <w:top w:color="000000" w:sz="4" w:val="single"/>
              <w:left w:color="000000" w:sz="4" w:val="single"/>
              <w:bottom w:color="000000" w:sz="4" w:val="single"/>
              <w:right w:color="000000" w:sz="4" w:val="single"/>
            </w:tcBorders>
            <w:shd w:fill="FFFFFF" w:val="clear"/>
            <w:vAlign w:val="center"/>
          </w:tcPr>
          <w:p w14:paraId="2D3B0000">
            <w:pPr>
              <w:widowControl w:val="1"/>
              <w:ind/>
              <w:jc w:val="center"/>
              <w:rPr>
                <w:sz w:val="18"/>
              </w:rPr>
            </w:pPr>
            <w:r>
              <w:rPr>
                <w:sz w:val="18"/>
              </w:rPr>
              <w:t>4900,00</w:t>
            </w:r>
          </w:p>
        </w:tc>
        <w:tc>
          <w:tcPr>
            <w:tcW w:type="dxa" w:w="993"/>
            <w:tcBorders>
              <w:top w:color="000000" w:sz="4" w:val="single"/>
              <w:left w:color="000000" w:sz="4" w:val="single"/>
              <w:bottom w:color="000000" w:sz="4" w:val="single"/>
              <w:right w:color="000000" w:sz="4" w:val="single"/>
            </w:tcBorders>
            <w:shd w:fill="FFFFFF" w:val="clear"/>
            <w:vAlign w:val="center"/>
          </w:tcPr>
          <w:p w14:paraId="2E3B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2F3B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303B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313B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323B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333B0000">
            <w:pPr>
              <w:widowControl w:val="1"/>
              <w:ind/>
              <w:jc w:val="center"/>
              <w:rPr>
                <w:sz w:val="18"/>
              </w:rPr>
            </w:pPr>
            <w:r>
              <w:rPr>
                <w:sz w:val="18"/>
              </w:rPr>
              <w:t>4900,00</w:t>
            </w:r>
          </w:p>
        </w:tc>
        <w:tc>
          <w:tcPr>
            <w:tcW w:type="dxa" w:w="1185"/>
            <w:tcBorders>
              <w:top w:color="000000" w:sz="4" w:val="single"/>
              <w:left w:color="000000" w:sz="4" w:val="single"/>
              <w:bottom w:color="000000" w:sz="4" w:val="single"/>
              <w:right w:color="000000" w:sz="4" w:val="single"/>
            </w:tcBorders>
            <w:shd w:fill="FFFFFF" w:val="clear"/>
            <w:vAlign w:val="center"/>
          </w:tcPr>
          <w:p w14:paraId="343B0000">
            <w:pPr>
              <w:widowControl w:val="1"/>
              <w:ind/>
              <w:jc w:val="center"/>
              <w:rPr>
                <w:sz w:val="18"/>
              </w:rPr>
            </w:pPr>
            <w:r>
              <w:rPr>
                <w:sz w:val="18"/>
              </w:rPr>
              <w:t>4900,00</w:t>
            </w:r>
          </w:p>
        </w:tc>
        <w:tc>
          <w:tcPr>
            <w:tcW w:type="dxa" w:w="1083"/>
            <w:tcBorders>
              <w:top w:color="000000" w:sz="4" w:val="single"/>
              <w:left w:color="000000" w:sz="4" w:val="single"/>
              <w:bottom w:color="000000" w:sz="4" w:val="single"/>
              <w:right w:color="000000" w:sz="4" w:val="single"/>
            </w:tcBorders>
            <w:shd w:fill="FFFFFF" w:val="clear"/>
            <w:vAlign w:val="center"/>
          </w:tcPr>
          <w:p w14:paraId="353B0000">
            <w:pPr>
              <w:widowControl w:val="1"/>
              <w:ind/>
              <w:jc w:val="center"/>
              <w:rPr>
                <w:sz w:val="18"/>
              </w:rPr>
            </w:pPr>
            <w:r>
              <w:rPr>
                <w:sz w:val="18"/>
              </w:rPr>
              <w:t>4900,00</w:t>
            </w:r>
          </w:p>
        </w:tc>
        <w:tc>
          <w:tcPr>
            <w:tcW w:type="dxa" w:w="771"/>
            <w:tcBorders>
              <w:top w:color="000000" w:sz="4" w:val="single"/>
              <w:left w:color="000000" w:sz="4" w:val="single"/>
              <w:bottom w:color="000000" w:sz="4" w:val="single"/>
              <w:right w:color="000000" w:sz="4" w:val="single"/>
            </w:tcBorders>
            <w:shd w:fill="FFFFFF" w:val="clear"/>
            <w:vAlign w:val="center"/>
          </w:tcPr>
          <w:p w14:paraId="363B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373B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383B0000">
            <w:pPr>
              <w:widowControl w:val="1"/>
              <w:ind/>
              <w:jc w:val="center"/>
              <w:rPr>
                <w:sz w:val="18"/>
              </w:rPr>
            </w:pPr>
            <w:r>
              <w:rPr>
                <w:sz w:val="18"/>
              </w:rPr>
              <w:t>счет № 66 от 11.09.2018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393B0000">
            <w:pPr>
              <w:widowControl w:val="1"/>
              <w:ind/>
              <w:jc w:val="center"/>
              <w:rPr>
                <w:color w:val="000000"/>
                <w:sz w:val="18"/>
              </w:rPr>
            </w:pPr>
            <w:r>
              <w:rPr>
                <w:color w:val="000000"/>
                <w:sz w:val="18"/>
              </w:rPr>
              <w:t>202</w:t>
            </w:r>
          </w:p>
        </w:tc>
        <w:tc>
          <w:tcPr>
            <w:tcW w:type="dxa" w:w="618"/>
            <w:tcBorders>
              <w:top w:color="000000" w:sz="4" w:val="single"/>
              <w:left w:color="000000" w:sz="4" w:val="single"/>
              <w:bottom w:color="000000" w:sz="4" w:val="single"/>
              <w:right w:color="000000" w:sz="4" w:val="single"/>
            </w:tcBorders>
            <w:shd w:fill="FFFFFF" w:val="clear"/>
            <w:vAlign w:val="center"/>
          </w:tcPr>
          <w:p w14:paraId="3A3B0000">
            <w:pPr>
              <w:widowControl w:val="1"/>
              <w:ind/>
              <w:jc w:val="center"/>
              <w:rPr>
                <w:sz w:val="18"/>
              </w:rPr>
            </w:pPr>
            <w:r>
              <w:rPr>
                <w:sz w:val="18"/>
              </w:rPr>
              <w:t>126/2</w:t>
            </w:r>
          </w:p>
        </w:tc>
        <w:tc>
          <w:tcPr>
            <w:tcW w:type="dxa" w:w="993"/>
            <w:tcBorders>
              <w:top w:color="000000" w:sz="4" w:val="single"/>
              <w:left w:color="000000" w:sz="4" w:val="single"/>
              <w:bottom w:color="000000" w:sz="4" w:val="single"/>
              <w:right w:color="000000" w:sz="4" w:val="single"/>
            </w:tcBorders>
            <w:shd w:fill="FFFFFF" w:val="clear"/>
            <w:vAlign w:val="center"/>
          </w:tcPr>
          <w:p w14:paraId="3B3B0000">
            <w:pPr>
              <w:widowControl w:val="1"/>
              <w:ind/>
              <w:jc w:val="center"/>
              <w:rPr>
                <w:sz w:val="18"/>
              </w:rPr>
            </w:pPr>
            <w:r>
              <w:rPr>
                <w:sz w:val="18"/>
              </w:rPr>
              <w:t>оказание услуг по перепрограммированию ККТ</w:t>
            </w:r>
          </w:p>
        </w:tc>
        <w:tc>
          <w:tcPr>
            <w:tcW w:type="dxa" w:w="849"/>
            <w:tcBorders>
              <w:top w:color="000000" w:sz="4" w:val="single"/>
              <w:left w:color="000000" w:sz="4" w:val="single"/>
              <w:bottom w:color="000000" w:sz="4" w:val="single"/>
              <w:right w:color="000000" w:sz="4" w:val="single"/>
            </w:tcBorders>
            <w:shd w:fill="FFFFFF" w:val="clear"/>
            <w:vAlign w:val="center"/>
          </w:tcPr>
          <w:p w14:paraId="3C3B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3D3B0000">
            <w:pPr>
              <w:widowControl w:val="1"/>
              <w:ind/>
              <w:jc w:val="center"/>
              <w:rPr>
                <w:color w:val="000000"/>
                <w:sz w:val="18"/>
              </w:rPr>
            </w:pPr>
            <w:r>
              <w:rPr>
                <w:color w:val="000000"/>
                <w:sz w:val="18"/>
              </w:rPr>
              <w:t>76</w:t>
            </w:r>
          </w:p>
        </w:tc>
        <w:tc>
          <w:tcPr>
            <w:tcW w:type="dxa" w:w="991"/>
            <w:tcBorders>
              <w:top w:color="000000" w:sz="4" w:val="single"/>
              <w:left w:color="000000" w:sz="4" w:val="single"/>
              <w:bottom w:color="000000" w:sz="4" w:val="single"/>
              <w:right w:color="000000" w:sz="4" w:val="single"/>
            </w:tcBorders>
            <w:shd w:fill="FFFFFF" w:val="clear"/>
            <w:vAlign w:val="center"/>
          </w:tcPr>
          <w:p w14:paraId="3E3B0000">
            <w:pPr>
              <w:widowControl w:val="1"/>
              <w:ind/>
              <w:jc w:val="center"/>
              <w:rPr>
                <w:sz w:val="18"/>
              </w:rPr>
            </w:pPr>
            <w:r>
              <w:rPr>
                <w:sz w:val="18"/>
              </w:rPr>
              <w:t>38000,00</w:t>
            </w:r>
          </w:p>
        </w:tc>
        <w:tc>
          <w:tcPr>
            <w:tcW w:type="dxa" w:w="1134"/>
            <w:tcBorders>
              <w:top w:color="000000" w:sz="4" w:val="single"/>
              <w:left w:color="000000" w:sz="4" w:val="single"/>
              <w:bottom w:color="000000" w:sz="4" w:val="single"/>
              <w:right w:color="000000" w:sz="4" w:val="single"/>
            </w:tcBorders>
            <w:shd w:fill="FFFFFF" w:val="clear"/>
            <w:vAlign w:val="center"/>
          </w:tcPr>
          <w:p w14:paraId="3F3B0000">
            <w:pPr>
              <w:widowControl w:val="1"/>
              <w:ind/>
              <w:jc w:val="center"/>
              <w:rPr>
                <w:sz w:val="18"/>
              </w:rPr>
            </w:pPr>
            <w:r>
              <w:rPr>
                <w:sz w:val="18"/>
              </w:rPr>
              <w:t>38000,00</w:t>
            </w:r>
          </w:p>
        </w:tc>
        <w:tc>
          <w:tcPr>
            <w:tcW w:type="dxa" w:w="993"/>
            <w:tcBorders>
              <w:top w:color="000000" w:sz="4" w:val="single"/>
              <w:left w:color="000000" w:sz="4" w:val="single"/>
              <w:bottom w:color="000000" w:sz="4" w:val="single"/>
              <w:right w:color="000000" w:sz="4" w:val="single"/>
            </w:tcBorders>
            <w:shd w:fill="FFFFFF" w:val="clear"/>
            <w:vAlign w:val="center"/>
          </w:tcPr>
          <w:p w14:paraId="403B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413B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423B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433B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443B0000">
            <w:pPr>
              <w:widowControl w:val="1"/>
              <w:ind/>
              <w:jc w:val="center"/>
              <w:rPr>
                <w:color w:val="000000"/>
                <w:sz w:val="18"/>
              </w:rPr>
            </w:pPr>
            <w:r>
              <w:rPr>
                <w:color w:val="000000"/>
                <w:sz w:val="18"/>
              </w:rPr>
              <w:t>76</w:t>
            </w:r>
          </w:p>
        </w:tc>
        <w:tc>
          <w:tcPr>
            <w:tcW w:type="dxa" w:w="1169"/>
            <w:tcBorders>
              <w:top w:color="000000" w:sz="4" w:val="single"/>
              <w:left w:color="000000" w:sz="4" w:val="single"/>
              <w:bottom w:color="000000" w:sz="4" w:val="single"/>
              <w:right w:color="000000" w:sz="4" w:val="single"/>
            </w:tcBorders>
            <w:shd w:fill="FFFFFF" w:val="clear"/>
            <w:vAlign w:val="center"/>
          </w:tcPr>
          <w:p w14:paraId="453B0000">
            <w:pPr>
              <w:widowControl w:val="1"/>
              <w:ind/>
              <w:jc w:val="center"/>
              <w:rPr>
                <w:sz w:val="18"/>
              </w:rPr>
            </w:pPr>
            <w:r>
              <w:rPr>
                <w:sz w:val="18"/>
              </w:rPr>
              <w:t>38000,00</w:t>
            </w:r>
          </w:p>
        </w:tc>
        <w:tc>
          <w:tcPr>
            <w:tcW w:type="dxa" w:w="1185"/>
            <w:tcBorders>
              <w:top w:color="000000" w:sz="4" w:val="single"/>
              <w:left w:color="000000" w:sz="4" w:val="single"/>
              <w:bottom w:color="000000" w:sz="4" w:val="single"/>
              <w:right w:color="000000" w:sz="4" w:val="single"/>
            </w:tcBorders>
            <w:shd w:fill="FFFFFF" w:val="clear"/>
            <w:vAlign w:val="center"/>
          </w:tcPr>
          <w:p w14:paraId="463B0000">
            <w:pPr>
              <w:widowControl w:val="1"/>
              <w:ind/>
              <w:jc w:val="center"/>
              <w:rPr>
                <w:sz w:val="18"/>
              </w:rPr>
            </w:pPr>
            <w:r>
              <w:rPr>
                <w:sz w:val="18"/>
              </w:rPr>
              <w:t>38000,00</w:t>
            </w:r>
          </w:p>
        </w:tc>
        <w:tc>
          <w:tcPr>
            <w:tcW w:type="dxa" w:w="1083"/>
            <w:tcBorders>
              <w:top w:color="000000" w:sz="4" w:val="single"/>
              <w:left w:color="000000" w:sz="4" w:val="single"/>
              <w:bottom w:color="000000" w:sz="4" w:val="single"/>
              <w:right w:color="000000" w:sz="4" w:val="single"/>
            </w:tcBorders>
            <w:shd w:fill="FFFFFF" w:val="clear"/>
            <w:vAlign w:val="center"/>
          </w:tcPr>
          <w:p w14:paraId="473B0000">
            <w:pPr>
              <w:widowControl w:val="1"/>
              <w:ind/>
              <w:jc w:val="center"/>
              <w:rPr>
                <w:sz w:val="18"/>
              </w:rPr>
            </w:pPr>
            <w:r>
              <w:rPr>
                <w:sz w:val="18"/>
              </w:rPr>
              <w:t>38000,00</w:t>
            </w:r>
          </w:p>
        </w:tc>
        <w:tc>
          <w:tcPr>
            <w:tcW w:type="dxa" w:w="771"/>
            <w:tcBorders>
              <w:top w:color="000000" w:sz="4" w:val="single"/>
              <w:left w:color="000000" w:sz="4" w:val="single"/>
              <w:bottom w:color="000000" w:sz="4" w:val="single"/>
              <w:right w:color="000000" w:sz="4" w:val="single"/>
            </w:tcBorders>
            <w:shd w:fill="FFFFFF" w:val="clear"/>
            <w:vAlign w:val="center"/>
          </w:tcPr>
          <w:p w14:paraId="483B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493B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4A3B0000">
            <w:pPr>
              <w:widowControl w:val="1"/>
              <w:ind/>
              <w:jc w:val="center"/>
              <w:rPr>
                <w:sz w:val="18"/>
              </w:rPr>
            </w:pPr>
            <w:r>
              <w:rPr>
                <w:sz w:val="18"/>
              </w:rPr>
              <w:t>счет № 2209 от 06.09.2018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4B3B0000">
            <w:pPr>
              <w:widowControl w:val="1"/>
              <w:ind/>
              <w:jc w:val="center"/>
              <w:rPr>
                <w:color w:val="000000"/>
                <w:sz w:val="18"/>
              </w:rPr>
            </w:pPr>
            <w:r>
              <w:rPr>
                <w:color w:val="000000"/>
                <w:sz w:val="18"/>
              </w:rPr>
              <w:t>203</w:t>
            </w:r>
          </w:p>
        </w:tc>
        <w:tc>
          <w:tcPr>
            <w:tcW w:type="dxa" w:w="618"/>
            <w:tcBorders>
              <w:top w:color="000000" w:sz="4" w:val="single"/>
              <w:left w:color="000000" w:sz="4" w:val="single"/>
              <w:bottom w:color="000000" w:sz="4" w:val="single"/>
              <w:right w:color="000000" w:sz="4" w:val="single"/>
            </w:tcBorders>
            <w:shd w:fill="FFFFFF" w:val="clear"/>
            <w:vAlign w:val="center"/>
          </w:tcPr>
          <w:p w14:paraId="4C3B0000">
            <w:pPr>
              <w:widowControl w:val="1"/>
              <w:ind/>
              <w:jc w:val="center"/>
              <w:rPr>
                <w:sz w:val="18"/>
              </w:rPr>
            </w:pPr>
            <w:r>
              <w:rPr>
                <w:sz w:val="18"/>
              </w:rPr>
              <w:t>127/2</w:t>
            </w:r>
          </w:p>
        </w:tc>
        <w:tc>
          <w:tcPr>
            <w:tcW w:type="dxa" w:w="993"/>
            <w:tcBorders>
              <w:top w:color="000000" w:sz="4" w:val="single"/>
              <w:left w:color="000000" w:sz="4" w:val="single"/>
              <w:bottom w:color="000000" w:sz="4" w:val="single"/>
              <w:right w:color="000000" w:sz="4" w:val="single"/>
            </w:tcBorders>
            <w:shd w:fill="FFFFFF" w:val="clear"/>
            <w:vAlign w:val="center"/>
          </w:tcPr>
          <w:p w14:paraId="4D3B0000">
            <w:pPr>
              <w:widowControl w:val="1"/>
              <w:ind/>
              <w:jc w:val="center"/>
              <w:rPr>
                <w:sz w:val="18"/>
              </w:rPr>
            </w:pPr>
            <w:r>
              <w:rPr>
                <w:sz w:val="18"/>
              </w:rPr>
              <w:t>Оказание услуг по косметическому ремонту помещений</w:t>
            </w:r>
          </w:p>
        </w:tc>
        <w:tc>
          <w:tcPr>
            <w:tcW w:type="dxa" w:w="849"/>
            <w:tcBorders>
              <w:top w:color="000000" w:sz="4" w:val="single"/>
              <w:left w:color="000000" w:sz="4" w:val="single"/>
              <w:bottom w:color="000000" w:sz="4" w:val="single"/>
              <w:right w:color="000000" w:sz="4" w:val="single"/>
            </w:tcBorders>
            <w:shd w:fill="FFFFFF" w:val="clear"/>
            <w:vAlign w:val="center"/>
          </w:tcPr>
          <w:p w14:paraId="4E3B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4F3B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503B0000">
            <w:pPr>
              <w:widowControl w:val="1"/>
              <w:ind/>
              <w:jc w:val="center"/>
              <w:rPr>
                <w:sz w:val="18"/>
              </w:rPr>
            </w:pPr>
            <w:r>
              <w:rPr>
                <w:sz w:val="18"/>
              </w:rPr>
              <w:t>77122,80</w:t>
            </w:r>
          </w:p>
        </w:tc>
        <w:tc>
          <w:tcPr>
            <w:tcW w:type="dxa" w:w="1134"/>
            <w:tcBorders>
              <w:top w:color="000000" w:sz="4" w:val="single"/>
              <w:left w:color="000000" w:sz="4" w:val="single"/>
              <w:bottom w:color="000000" w:sz="4" w:val="single"/>
              <w:right w:color="000000" w:sz="4" w:val="single"/>
            </w:tcBorders>
            <w:shd w:fill="FFFFFF" w:val="clear"/>
            <w:vAlign w:val="center"/>
          </w:tcPr>
          <w:p w14:paraId="513B0000">
            <w:pPr>
              <w:widowControl w:val="1"/>
              <w:ind/>
              <w:jc w:val="center"/>
              <w:rPr>
                <w:sz w:val="18"/>
              </w:rPr>
            </w:pPr>
            <w:r>
              <w:rPr>
                <w:sz w:val="18"/>
              </w:rPr>
              <w:t>91005,00</w:t>
            </w:r>
          </w:p>
        </w:tc>
        <w:tc>
          <w:tcPr>
            <w:tcW w:type="dxa" w:w="993"/>
            <w:tcBorders>
              <w:top w:color="000000" w:sz="4" w:val="single"/>
              <w:left w:color="000000" w:sz="4" w:val="single"/>
              <w:bottom w:color="000000" w:sz="4" w:val="single"/>
              <w:right w:color="000000" w:sz="4" w:val="single"/>
            </w:tcBorders>
            <w:shd w:fill="FFFFFF" w:val="clear"/>
            <w:vAlign w:val="center"/>
          </w:tcPr>
          <w:p w14:paraId="523B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533B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543B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553B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563B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573B0000">
            <w:pPr>
              <w:widowControl w:val="1"/>
              <w:ind/>
              <w:jc w:val="center"/>
              <w:rPr>
                <w:sz w:val="18"/>
              </w:rPr>
            </w:pPr>
            <w:r>
              <w:rPr>
                <w:sz w:val="18"/>
              </w:rPr>
              <w:t>77122,80</w:t>
            </w:r>
          </w:p>
        </w:tc>
        <w:tc>
          <w:tcPr>
            <w:tcW w:type="dxa" w:w="1185"/>
            <w:tcBorders>
              <w:top w:color="000000" w:sz="4" w:val="single"/>
              <w:left w:color="000000" w:sz="4" w:val="single"/>
              <w:bottom w:color="000000" w:sz="4" w:val="single"/>
              <w:right w:color="000000" w:sz="4" w:val="single"/>
            </w:tcBorders>
            <w:shd w:fill="FFFFFF" w:val="clear"/>
            <w:vAlign w:val="center"/>
          </w:tcPr>
          <w:p w14:paraId="583B0000">
            <w:pPr>
              <w:widowControl w:val="1"/>
              <w:ind/>
              <w:jc w:val="center"/>
              <w:rPr>
                <w:sz w:val="18"/>
              </w:rPr>
            </w:pPr>
            <w:r>
              <w:rPr>
                <w:sz w:val="18"/>
              </w:rPr>
              <w:t>91005,00</w:t>
            </w:r>
          </w:p>
        </w:tc>
        <w:tc>
          <w:tcPr>
            <w:tcW w:type="dxa" w:w="1083"/>
            <w:tcBorders>
              <w:top w:color="000000" w:sz="4" w:val="single"/>
              <w:left w:color="000000" w:sz="4" w:val="single"/>
              <w:bottom w:color="000000" w:sz="4" w:val="single"/>
              <w:right w:color="000000" w:sz="4" w:val="single"/>
            </w:tcBorders>
            <w:shd w:fill="FFFFFF" w:val="clear"/>
            <w:vAlign w:val="center"/>
          </w:tcPr>
          <w:p w14:paraId="593B0000">
            <w:pPr>
              <w:widowControl w:val="1"/>
              <w:ind/>
              <w:jc w:val="center"/>
              <w:rPr>
                <w:sz w:val="18"/>
              </w:rPr>
            </w:pPr>
            <w:r>
              <w:rPr>
                <w:sz w:val="18"/>
              </w:rPr>
              <w:t>91005,00</w:t>
            </w:r>
          </w:p>
        </w:tc>
        <w:tc>
          <w:tcPr>
            <w:tcW w:type="dxa" w:w="771"/>
            <w:tcBorders>
              <w:top w:color="000000" w:sz="4" w:val="single"/>
              <w:left w:color="000000" w:sz="4" w:val="single"/>
              <w:bottom w:color="000000" w:sz="4" w:val="single"/>
              <w:right w:color="000000" w:sz="4" w:val="single"/>
            </w:tcBorders>
            <w:shd w:fill="FFFFFF" w:val="clear"/>
            <w:vAlign w:val="center"/>
          </w:tcPr>
          <w:p w14:paraId="5A3B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B3B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5C3B0000">
            <w:pPr>
              <w:widowControl w:val="1"/>
              <w:ind/>
              <w:jc w:val="center"/>
              <w:rPr>
                <w:sz w:val="18"/>
              </w:rPr>
            </w:pPr>
            <w:r>
              <w:rPr>
                <w:sz w:val="18"/>
              </w:rPr>
              <w:t>счет № 284 от 11.09.2018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5D3B0000">
            <w:pPr>
              <w:widowControl w:val="1"/>
              <w:ind/>
              <w:jc w:val="center"/>
              <w:rPr>
                <w:color w:val="000000"/>
                <w:sz w:val="18"/>
              </w:rPr>
            </w:pPr>
            <w:r>
              <w:rPr>
                <w:color w:val="000000"/>
                <w:sz w:val="18"/>
              </w:rPr>
              <w:t>204</w:t>
            </w:r>
          </w:p>
        </w:tc>
        <w:tc>
          <w:tcPr>
            <w:tcW w:type="dxa" w:w="618"/>
            <w:tcBorders>
              <w:top w:color="000000" w:sz="4" w:val="single"/>
              <w:left w:color="000000" w:sz="4" w:val="single"/>
              <w:bottom w:color="000000" w:sz="4" w:val="single"/>
              <w:right w:color="000000" w:sz="4" w:val="single"/>
            </w:tcBorders>
            <w:shd w:fill="FFFFFF" w:val="clear"/>
            <w:vAlign w:val="center"/>
          </w:tcPr>
          <w:p w14:paraId="5E3B0000">
            <w:pPr>
              <w:widowControl w:val="1"/>
              <w:ind/>
              <w:jc w:val="center"/>
              <w:rPr>
                <w:sz w:val="18"/>
              </w:rPr>
            </w:pPr>
            <w:r>
              <w:rPr>
                <w:sz w:val="18"/>
              </w:rPr>
              <w:t>128/2</w:t>
            </w:r>
          </w:p>
        </w:tc>
        <w:tc>
          <w:tcPr>
            <w:tcW w:type="dxa" w:w="993"/>
            <w:tcBorders>
              <w:top w:color="000000" w:sz="4" w:val="single"/>
              <w:left w:color="000000" w:sz="4" w:val="single"/>
              <w:bottom w:color="000000" w:sz="4" w:val="single"/>
              <w:right w:color="000000" w:sz="4" w:val="single"/>
            </w:tcBorders>
            <w:shd w:fill="FFFFFF" w:val="clear"/>
            <w:vAlign w:val="center"/>
          </w:tcPr>
          <w:p w14:paraId="5F3B0000">
            <w:pPr>
              <w:widowControl w:val="1"/>
              <w:ind/>
              <w:jc w:val="center"/>
              <w:rPr>
                <w:sz w:val="18"/>
              </w:rPr>
            </w:pPr>
            <w:r>
              <w:rPr>
                <w:sz w:val="18"/>
              </w:rPr>
              <w:t>выполнение работ по монтажу перегородки из ПВХ профиля</w:t>
            </w:r>
          </w:p>
        </w:tc>
        <w:tc>
          <w:tcPr>
            <w:tcW w:type="dxa" w:w="849"/>
            <w:tcBorders>
              <w:top w:color="000000" w:sz="4" w:val="single"/>
              <w:left w:color="000000" w:sz="4" w:val="single"/>
              <w:bottom w:color="000000" w:sz="4" w:val="single"/>
              <w:right w:color="000000" w:sz="4" w:val="single"/>
            </w:tcBorders>
            <w:shd w:fill="FFFFFF" w:val="clear"/>
            <w:vAlign w:val="center"/>
          </w:tcPr>
          <w:p w14:paraId="603B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613B0000">
            <w:pPr>
              <w:widowControl w:val="1"/>
              <w:ind/>
              <w:jc w:val="center"/>
              <w:rPr>
                <w:color w:val="000000"/>
                <w:sz w:val="18"/>
              </w:rPr>
            </w:pPr>
            <w:r>
              <w:rPr>
                <w:color w:val="000000"/>
                <w:sz w:val="18"/>
              </w:rPr>
              <w:t>76</w:t>
            </w:r>
          </w:p>
        </w:tc>
        <w:tc>
          <w:tcPr>
            <w:tcW w:type="dxa" w:w="991"/>
            <w:tcBorders>
              <w:top w:color="000000" w:sz="4" w:val="single"/>
              <w:left w:color="000000" w:sz="4" w:val="single"/>
              <w:bottom w:color="000000" w:sz="4" w:val="single"/>
              <w:right w:color="000000" w:sz="4" w:val="single"/>
            </w:tcBorders>
            <w:shd w:fill="FFFFFF" w:val="clear"/>
            <w:vAlign w:val="center"/>
          </w:tcPr>
          <w:p w14:paraId="623B0000">
            <w:pPr>
              <w:widowControl w:val="1"/>
              <w:ind/>
              <w:jc w:val="center"/>
              <w:rPr>
                <w:sz w:val="18"/>
              </w:rPr>
            </w:pPr>
            <w:r>
              <w:rPr>
                <w:sz w:val="18"/>
              </w:rPr>
              <w:t>17000,00</w:t>
            </w:r>
          </w:p>
        </w:tc>
        <w:tc>
          <w:tcPr>
            <w:tcW w:type="dxa" w:w="1134"/>
            <w:tcBorders>
              <w:top w:color="000000" w:sz="4" w:val="single"/>
              <w:left w:color="000000" w:sz="4" w:val="single"/>
              <w:bottom w:color="000000" w:sz="4" w:val="single"/>
              <w:right w:color="000000" w:sz="4" w:val="single"/>
            </w:tcBorders>
            <w:shd w:fill="FFFFFF" w:val="clear"/>
            <w:vAlign w:val="center"/>
          </w:tcPr>
          <w:p w14:paraId="633B0000">
            <w:pPr>
              <w:widowControl w:val="1"/>
              <w:ind/>
              <w:jc w:val="center"/>
              <w:rPr>
                <w:sz w:val="18"/>
              </w:rPr>
            </w:pPr>
            <w:r>
              <w:rPr>
                <w:sz w:val="18"/>
              </w:rPr>
              <w:t>17000,00</w:t>
            </w:r>
          </w:p>
        </w:tc>
        <w:tc>
          <w:tcPr>
            <w:tcW w:type="dxa" w:w="993"/>
            <w:tcBorders>
              <w:top w:color="000000" w:sz="4" w:val="single"/>
              <w:left w:color="000000" w:sz="4" w:val="single"/>
              <w:bottom w:color="000000" w:sz="4" w:val="single"/>
              <w:right w:color="000000" w:sz="4" w:val="single"/>
            </w:tcBorders>
            <w:shd w:fill="FFFFFF" w:val="clear"/>
            <w:vAlign w:val="center"/>
          </w:tcPr>
          <w:p w14:paraId="643B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653B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663B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673B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683B0000">
            <w:pPr>
              <w:widowControl w:val="1"/>
              <w:ind/>
              <w:jc w:val="center"/>
              <w:rPr>
                <w:color w:val="000000"/>
                <w:sz w:val="18"/>
              </w:rPr>
            </w:pPr>
            <w:r>
              <w:rPr>
                <w:color w:val="000000"/>
                <w:sz w:val="18"/>
              </w:rPr>
              <w:t>76</w:t>
            </w:r>
          </w:p>
        </w:tc>
        <w:tc>
          <w:tcPr>
            <w:tcW w:type="dxa" w:w="1169"/>
            <w:tcBorders>
              <w:top w:color="000000" w:sz="4" w:val="single"/>
              <w:left w:color="000000" w:sz="4" w:val="single"/>
              <w:bottom w:color="000000" w:sz="4" w:val="single"/>
              <w:right w:color="000000" w:sz="4" w:val="single"/>
            </w:tcBorders>
            <w:shd w:fill="FFFFFF" w:val="clear"/>
            <w:vAlign w:val="center"/>
          </w:tcPr>
          <w:p w14:paraId="693B0000">
            <w:pPr>
              <w:widowControl w:val="1"/>
              <w:ind/>
              <w:jc w:val="center"/>
              <w:rPr>
                <w:sz w:val="18"/>
              </w:rPr>
            </w:pPr>
            <w:r>
              <w:rPr>
                <w:sz w:val="18"/>
              </w:rPr>
              <w:t>17000,00</w:t>
            </w:r>
          </w:p>
        </w:tc>
        <w:tc>
          <w:tcPr>
            <w:tcW w:type="dxa" w:w="1185"/>
            <w:tcBorders>
              <w:top w:color="000000" w:sz="4" w:val="single"/>
              <w:left w:color="000000" w:sz="4" w:val="single"/>
              <w:bottom w:color="000000" w:sz="4" w:val="single"/>
              <w:right w:color="000000" w:sz="4" w:val="single"/>
            </w:tcBorders>
            <w:shd w:fill="FFFFFF" w:val="clear"/>
            <w:vAlign w:val="center"/>
          </w:tcPr>
          <w:p w14:paraId="6A3B0000">
            <w:pPr>
              <w:widowControl w:val="1"/>
              <w:ind/>
              <w:jc w:val="center"/>
              <w:rPr>
                <w:sz w:val="18"/>
              </w:rPr>
            </w:pPr>
            <w:r>
              <w:rPr>
                <w:sz w:val="18"/>
              </w:rPr>
              <w:t>17000,00</w:t>
            </w:r>
          </w:p>
        </w:tc>
        <w:tc>
          <w:tcPr>
            <w:tcW w:type="dxa" w:w="1083"/>
            <w:tcBorders>
              <w:top w:color="000000" w:sz="4" w:val="single"/>
              <w:left w:color="000000" w:sz="4" w:val="single"/>
              <w:bottom w:color="000000" w:sz="4" w:val="single"/>
              <w:right w:color="000000" w:sz="4" w:val="single"/>
            </w:tcBorders>
            <w:shd w:fill="FFFFFF" w:val="clear"/>
            <w:vAlign w:val="center"/>
          </w:tcPr>
          <w:p w14:paraId="6B3B0000">
            <w:pPr>
              <w:widowControl w:val="1"/>
              <w:ind/>
              <w:jc w:val="center"/>
              <w:rPr>
                <w:sz w:val="18"/>
              </w:rPr>
            </w:pPr>
            <w:r>
              <w:rPr>
                <w:sz w:val="18"/>
              </w:rPr>
              <w:t>17000,00</w:t>
            </w:r>
          </w:p>
        </w:tc>
        <w:tc>
          <w:tcPr>
            <w:tcW w:type="dxa" w:w="771"/>
            <w:tcBorders>
              <w:top w:color="000000" w:sz="4" w:val="single"/>
              <w:left w:color="000000" w:sz="4" w:val="single"/>
              <w:bottom w:color="000000" w:sz="4" w:val="single"/>
              <w:right w:color="000000" w:sz="4" w:val="single"/>
            </w:tcBorders>
            <w:shd w:fill="FFFFFF" w:val="clear"/>
            <w:vAlign w:val="center"/>
          </w:tcPr>
          <w:p w14:paraId="6C3B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6D3B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6E3B0000">
            <w:pPr>
              <w:widowControl w:val="1"/>
              <w:ind/>
              <w:jc w:val="center"/>
              <w:rPr>
                <w:sz w:val="18"/>
              </w:rPr>
            </w:pPr>
            <w:r>
              <w:rPr>
                <w:sz w:val="18"/>
              </w:rPr>
              <w:t>счет № 97 от 18.09.2018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6F3B0000">
            <w:pPr>
              <w:widowControl w:val="1"/>
              <w:ind/>
              <w:jc w:val="center"/>
              <w:rPr>
                <w:color w:val="000000"/>
                <w:sz w:val="18"/>
              </w:rPr>
            </w:pPr>
            <w:r>
              <w:rPr>
                <w:color w:val="000000"/>
                <w:sz w:val="18"/>
              </w:rPr>
              <w:t>205</w:t>
            </w:r>
          </w:p>
        </w:tc>
        <w:tc>
          <w:tcPr>
            <w:tcW w:type="dxa" w:w="618"/>
            <w:tcBorders>
              <w:top w:color="000000" w:sz="4" w:val="single"/>
              <w:left w:color="000000" w:sz="4" w:val="single"/>
              <w:bottom w:color="000000" w:sz="4" w:val="single"/>
              <w:right w:color="000000" w:sz="4" w:val="single"/>
            </w:tcBorders>
            <w:shd w:fill="FFFFFF" w:val="clear"/>
            <w:vAlign w:val="center"/>
          </w:tcPr>
          <w:p w14:paraId="703B0000">
            <w:pPr>
              <w:widowControl w:val="1"/>
              <w:ind/>
              <w:jc w:val="center"/>
              <w:rPr>
                <w:sz w:val="18"/>
              </w:rPr>
            </w:pPr>
            <w:r>
              <w:rPr>
                <w:sz w:val="18"/>
              </w:rPr>
              <w:t>129/2</w:t>
            </w:r>
          </w:p>
        </w:tc>
        <w:tc>
          <w:tcPr>
            <w:tcW w:type="dxa" w:w="993"/>
            <w:tcBorders>
              <w:top w:color="000000" w:sz="4" w:val="single"/>
              <w:left w:color="000000" w:sz="4" w:val="single"/>
              <w:bottom w:color="000000" w:sz="4" w:val="single"/>
              <w:right w:color="000000" w:sz="4" w:val="single"/>
            </w:tcBorders>
            <w:shd w:fill="FFFFFF" w:val="clear"/>
            <w:vAlign w:val="center"/>
          </w:tcPr>
          <w:p w14:paraId="713B0000">
            <w:pPr>
              <w:widowControl w:val="1"/>
              <w:ind/>
              <w:jc w:val="center"/>
              <w:rPr>
                <w:sz w:val="18"/>
              </w:rPr>
            </w:pPr>
            <w:r>
              <w:rPr>
                <w:sz w:val="18"/>
              </w:rPr>
              <w:t>поставка стекла лобового для автомобиля Peugeot</w:t>
            </w:r>
          </w:p>
        </w:tc>
        <w:tc>
          <w:tcPr>
            <w:tcW w:type="dxa" w:w="849"/>
            <w:tcBorders>
              <w:top w:color="000000" w:sz="4" w:val="single"/>
              <w:left w:color="000000" w:sz="4" w:val="single"/>
              <w:bottom w:color="000000" w:sz="4" w:val="single"/>
              <w:right w:color="000000" w:sz="4" w:val="single"/>
            </w:tcBorders>
            <w:shd w:fill="FFFFFF" w:val="clear"/>
            <w:vAlign w:val="center"/>
          </w:tcPr>
          <w:p w14:paraId="723B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733B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743B0000">
            <w:pPr>
              <w:widowControl w:val="1"/>
              <w:ind/>
              <w:jc w:val="center"/>
              <w:rPr>
                <w:sz w:val="18"/>
              </w:rPr>
            </w:pPr>
            <w:r>
              <w:rPr>
                <w:sz w:val="18"/>
              </w:rPr>
              <w:t>2987,30</w:t>
            </w:r>
          </w:p>
        </w:tc>
        <w:tc>
          <w:tcPr>
            <w:tcW w:type="dxa" w:w="1134"/>
            <w:tcBorders>
              <w:top w:color="000000" w:sz="4" w:val="single"/>
              <w:left w:color="000000" w:sz="4" w:val="single"/>
              <w:bottom w:color="000000" w:sz="4" w:val="single"/>
              <w:right w:color="000000" w:sz="4" w:val="single"/>
            </w:tcBorders>
            <w:shd w:fill="FFFFFF" w:val="clear"/>
            <w:vAlign w:val="center"/>
          </w:tcPr>
          <w:p w14:paraId="753B0000">
            <w:pPr>
              <w:widowControl w:val="1"/>
              <w:ind/>
              <w:jc w:val="center"/>
              <w:rPr>
                <w:sz w:val="18"/>
              </w:rPr>
            </w:pPr>
            <w:r>
              <w:rPr>
                <w:sz w:val="18"/>
              </w:rPr>
              <w:t>3525,00</w:t>
            </w:r>
          </w:p>
        </w:tc>
        <w:tc>
          <w:tcPr>
            <w:tcW w:type="dxa" w:w="993"/>
            <w:tcBorders>
              <w:top w:color="000000" w:sz="4" w:val="single"/>
              <w:left w:color="000000" w:sz="4" w:val="single"/>
              <w:bottom w:color="000000" w:sz="4" w:val="single"/>
              <w:right w:color="000000" w:sz="4" w:val="single"/>
            </w:tcBorders>
            <w:shd w:fill="FFFFFF" w:val="clear"/>
            <w:vAlign w:val="center"/>
          </w:tcPr>
          <w:p w14:paraId="763B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773B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783B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793B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7A3B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7B3B0000">
            <w:pPr>
              <w:widowControl w:val="1"/>
              <w:ind/>
              <w:jc w:val="center"/>
              <w:rPr>
                <w:sz w:val="18"/>
              </w:rPr>
            </w:pPr>
            <w:r>
              <w:rPr>
                <w:sz w:val="18"/>
              </w:rPr>
              <w:t>2987,30</w:t>
            </w:r>
          </w:p>
        </w:tc>
        <w:tc>
          <w:tcPr>
            <w:tcW w:type="dxa" w:w="1185"/>
            <w:tcBorders>
              <w:top w:color="000000" w:sz="4" w:val="single"/>
              <w:left w:color="000000" w:sz="4" w:val="single"/>
              <w:bottom w:color="000000" w:sz="4" w:val="single"/>
              <w:right w:color="000000" w:sz="4" w:val="single"/>
            </w:tcBorders>
            <w:shd w:fill="FFFFFF" w:val="clear"/>
            <w:vAlign w:val="center"/>
          </w:tcPr>
          <w:p w14:paraId="7C3B0000">
            <w:pPr>
              <w:widowControl w:val="1"/>
              <w:ind/>
              <w:jc w:val="center"/>
              <w:rPr>
                <w:sz w:val="18"/>
              </w:rPr>
            </w:pPr>
            <w:r>
              <w:rPr>
                <w:sz w:val="18"/>
              </w:rPr>
              <w:t>3525,00</w:t>
            </w:r>
          </w:p>
        </w:tc>
        <w:tc>
          <w:tcPr>
            <w:tcW w:type="dxa" w:w="1083"/>
            <w:tcBorders>
              <w:top w:color="000000" w:sz="4" w:val="single"/>
              <w:left w:color="000000" w:sz="4" w:val="single"/>
              <w:bottom w:color="000000" w:sz="4" w:val="single"/>
              <w:right w:color="000000" w:sz="4" w:val="single"/>
            </w:tcBorders>
            <w:shd w:fill="FFFFFF" w:val="clear"/>
            <w:vAlign w:val="center"/>
          </w:tcPr>
          <w:p w14:paraId="7D3B0000">
            <w:pPr>
              <w:widowControl w:val="1"/>
              <w:ind/>
              <w:jc w:val="center"/>
              <w:rPr>
                <w:sz w:val="18"/>
              </w:rPr>
            </w:pPr>
            <w:r>
              <w:rPr>
                <w:sz w:val="18"/>
              </w:rPr>
              <w:t>3525,00</w:t>
            </w:r>
          </w:p>
        </w:tc>
        <w:tc>
          <w:tcPr>
            <w:tcW w:type="dxa" w:w="771"/>
            <w:tcBorders>
              <w:top w:color="000000" w:sz="4" w:val="single"/>
              <w:left w:color="000000" w:sz="4" w:val="single"/>
              <w:bottom w:color="000000" w:sz="4" w:val="single"/>
              <w:right w:color="000000" w:sz="4" w:val="single"/>
            </w:tcBorders>
            <w:shd w:fill="FFFFFF" w:val="clear"/>
            <w:vAlign w:val="center"/>
          </w:tcPr>
          <w:p w14:paraId="7E3B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7F3B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803B0000">
            <w:pPr>
              <w:widowControl w:val="1"/>
              <w:ind/>
              <w:jc w:val="center"/>
              <w:rPr>
                <w:sz w:val="18"/>
              </w:rPr>
            </w:pPr>
            <w:r>
              <w:rPr>
                <w:sz w:val="18"/>
              </w:rPr>
              <w:t>счет № КС00031694 от 24.09.2018</w:t>
            </w:r>
          </w:p>
        </w:tc>
      </w:tr>
      <w:tr>
        <w:trPr>
          <w:trHeight w:hRule="atLeast" w:val="1785"/>
        </w:trPr>
        <w:tc>
          <w:tcPr>
            <w:tcW w:type="dxa" w:w="708"/>
            <w:tcBorders>
              <w:top w:color="000000" w:sz="4" w:val="single"/>
              <w:left w:color="000000" w:sz="4" w:val="single"/>
              <w:bottom w:color="000000" w:sz="4" w:val="single"/>
              <w:right w:color="000000" w:sz="4" w:val="single"/>
            </w:tcBorders>
            <w:shd w:fill="auto" w:val="clear"/>
            <w:vAlign w:val="center"/>
          </w:tcPr>
          <w:p w14:paraId="813B0000">
            <w:pPr>
              <w:widowControl w:val="1"/>
              <w:ind/>
              <w:jc w:val="center"/>
              <w:rPr>
                <w:color w:val="000000"/>
                <w:sz w:val="18"/>
              </w:rPr>
            </w:pPr>
            <w:r>
              <w:rPr>
                <w:color w:val="000000"/>
                <w:sz w:val="18"/>
              </w:rPr>
              <w:t>206</w:t>
            </w:r>
          </w:p>
        </w:tc>
        <w:tc>
          <w:tcPr>
            <w:tcW w:type="dxa" w:w="618"/>
            <w:tcBorders>
              <w:top w:color="000000" w:sz="4" w:val="single"/>
              <w:left w:color="000000" w:sz="4" w:val="single"/>
              <w:bottom w:color="000000" w:sz="4" w:val="single"/>
              <w:right w:color="000000" w:sz="4" w:val="single"/>
            </w:tcBorders>
            <w:shd w:fill="FFFFFF" w:val="clear"/>
            <w:vAlign w:val="center"/>
          </w:tcPr>
          <w:p w14:paraId="823B0000">
            <w:pPr>
              <w:widowControl w:val="1"/>
              <w:ind/>
              <w:jc w:val="center"/>
              <w:rPr>
                <w:sz w:val="18"/>
              </w:rPr>
            </w:pPr>
            <w:r>
              <w:rPr>
                <w:sz w:val="18"/>
              </w:rPr>
              <w:t>130/2</w:t>
            </w:r>
          </w:p>
        </w:tc>
        <w:tc>
          <w:tcPr>
            <w:tcW w:type="dxa" w:w="993"/>
            <w:tcBorders>
              <w:top w:color="000000" w:sz="4" w:val="single"/>
              <w:left w:color="000000" w:sz="4" w:val="single"/>
              <w:bottom w:color="000000" w:sz="4" w:val="single"/>
              <w:right w:color="000000" w:sz="4" w:val="single"/>
            </w:tcBorders>
            <w:shd w:fill="FFFFFF" w:val="clear"/>
            <w:vAlign w:val="center"/>
          </w:tcPr>
          <w:p w14:paraId="833B0000">
            <w:pPr>
              <w:widowControl w:val="1"/>
              <w:ind/>
              <w:jc w:val="center"/>
              <w:rPr>
                <w:sz w:val="18"/>
              </w:rPr>
            </w:pPr>
            <w:r>
              <w:rPr>
                <w:sz w:val="18"/>
              </w:rPr>
              <w:t>выполнение работ по установке лобового стекла автомобиля Peugeot</w:t>
            </w:r>
          </w:p>
        </w:tc>
        <w:tc>
          <w:tcPr>
            <w:tcW w:type="dxa" w:w="849"/>
            <w:tcBorders>
              <w:top w:color="000000" w:sz="4" w:val="single"/>
              <w:left w:color="000000" w:sz="4" w:val="single"/>
              <w:bottom w:color="000000" w:sz="4" w:val="single"/>
              <w:right w:color="000000" w:sz="4" w:val="single"/>
            </w:tcBorders>
            <w:shd w:fill="FFFFFF" w:val="clear"/>
            <w:vAlign w:val="center"/>
          </w:tcPr>
          <w:p w14:paraId="843B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853B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863B0000">
            <w:pPr>
              <w:widowControl w:val="1"/>
              <w:ind/>
              <w:jc w:val="center"/>
              <w:rPr>
                <w:sz w:val="18"/>
              </w:rPr>
            </w:pPr>
            <w:r>
              <w:rPr>
                <w:sz w:val="18"/>
              </w:rPr>
              <w:t>1200,00</w:t>
            </w:r>
          </w:p>
        </w:tc>
        <w:tc>
          <w:tcPr>
            <w:tcW w:type="dxa" w:w="1134"/>
            <w:tcBorders>
              <w:top w:color="000000" w:sz="4" w:val="single"/>
              <w:left w:color="000000" w:sz="4" w:val="single"/>
              <w:bottom w:color="000000" w:sz="4" w:val="single"/>
              <w:right w:color="000000" w:sz="4" w:val="single"/>
            </w:tcBorders>
            <w:shd w:fill="FFFFFF" w:val="clear"/>
            <w:vAlign w:val="center"/>
          </w:tcPr>
          <w:p w14:paraId="873B0000">
            <w:pPr>
              <w:widowControl w:val="1"/>
              <w:ind/>
              <w:jc w:val="center"/>
              <w:rPr>
                <w:sz w:val="18"/>
              </w:rPr>
            </w:pPr>
            <w:r>
              <w:rPr>
                <w:sz w:val="18"/>
              </w:rPr>
              <w:t>1200,00</w:t>
            </w:r>
          </w:p>
        </w:tc>
        <w:tc>
          <w:tcPr>
            <w:tcW w:type="dxa" w:w="993"/>
            <w:tcBorders>
              <w:top w:color="000000" w:sz="4" w:val="single"/>
              <w:left w:color="000000" w:sz="4" w:val="single"/>
              <w:bottom w:color="000000" w:sz="4" w:val="single"/>
              <w:right w:color="000000" w:sz="4" w:val="single"/>
            </w:tcBorders>
            <w:shd w:fill="FFFFFF" w:val="clear"/>
            <w:vAlign w:val="center"/>
          </w:tcPr>
          <w:p w14:paraId="883B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893B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8A3B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8B3B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8C3B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8D3B0000">
            <w:pPr>
              <w:widowControl w:val="1"/>
              <w:ind/>
              <w:jc w:val="center"/>
              <w:rPr>
                <w:sz w:val="18"/>
              </w:rPr>
            </w:pPr>
            <w:r>
              <w:rPr>
                <w:sz w:val="18"/>
              </w:rPr>
              <w:t>1200,00</w:t>
            </w:r>
          </w:p>
        </w:tc>
        <w:tc>
          <w:tcPr>
            <w:tcW w:type="dxa" w:w="1185"/>
            <w:tcBorders>
              <w:top w:color="000000" w:sz="4" w:val="single"/>
              <w:left w:color="000000" w:sz="4" w:val="single"/>
              <w:bottom w:color="000000" w:sz="4" w:val="single"/>
              <w:right w:color="000000" w:sz="4" w:val="single"/>
            </w:tcBorders>
            <w:shd w:fill="FFFFFF" w:val="clear"/>
            <w:vAlign w:val="center"/>
          </w:tcPr>
          <w:p w14:paraId="8E3B0000">
            <w:pPr>
              <w:widowControl w:val="1"/>
              <w:ind/>
              <w:jc w:val="center"/>
              <w:rPr>
                <w:sz w:val="18"/>
              </w:rPr>
            </w:pPr>
            <w:r>
              <w:rPr>
                <w:sz w:val="18"/>
              </w:rPr>
              <w:t>1200,00</w:t>
            </w:r>
          </w:p>
        </w:tc>
        <w:tc>
          <w:tcPr>
            <w:tcW w:type="dxa" w:w="1083"/>
            <w:tcBorders>
              <w:top w:color="000000" w:sz="4" w:val="single"/>
              <w:left w:color="000000" w:sz="4" w:val="single"/>
              <w:bottom w:color="000000" w:sz="4" w:val="single"/>
              <w:right w:color="000000" w:sz="4" w:val="single"/>
            </w:tcBorders>
            <w:shd w:fill="FFFFFF" w:val="clear"/>
            <w:vAlign w:val="center"/>
          </w:tcPr>
          <w:p w14:paraId="8F3B0000">
            <w:pPr>
              <w:widowControl w:val="1"/>
              <w:ind/>
              <w:jc w:val="center"/>
              <w:rPr>
                <w:sz w:val="18"/>
              </w:rPr>
            </w:pPr>
            <w:r>
              <w:rPr>
                <w:sz w:val="18"/>
              </w:rPr>
              <w:t>1200,00</w:t>
            </w:r>
          </w:p>
        </w:tc>
        <w:tc>
          <w:tcPr>
            <w:tcW w:type="dxa" w:w="771"/>
            <w:tcBorders>
              <w:top w:color="000000" w:sz="4" w:val="single"/>
              <w:left w:color="000000" w:sz="4" w:val="single"/>
              <w:bottom w:color="000000" w:sz="4" w:val="single"/>
              <w:right w:color="000000" w:sz="4" w:val="single"/>
            </w:tcBorders>
            <w:shd w:fill="FFFFFF" w:val="clear"/>
            <w:vAlign w:val="center"/>
          </w:tcPr>
          <w:p w14:paraId="903B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913B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923B0000">
            <w:pPr>
              <w:widowControl w:val="1"/>
              <w:ind/>
              <w:jc w:val="center"/>
              <w:rPr>
                <w:sz w:val="18"/>
              </w:rPr>
            </w:pPr>
            <w:r>
              <w:rPr>
                <w:sz w:val="18"/>
              </w:rPr>
              <w:t>счет № ПЮ00925078 от 24.09.2018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933B0000">
            <w:pPr>
              <w:widowControl w:val="1"/>
              <w:ind/>
              <w:jc w:val="center"/>
              <w:rPr>
                <w:color w:val="000000"/>
                <w:sz w:val="18"/>
              </w:rPr>
            </w:pPr>
            <w:r>
              <w:rPr>
                <w:color w:val="000000"/>
                <w:sz w:val="18"/>
              </w:rPr>
              <w:t>207</w:t>
            </w:r>
          </w:p>
        </w:tc>
        <w:tc>
          <w:tcPr>
            <w:tcW w:type="dxa" w:w="618"/>
            <w:tcBorders>
              <w:top w:color="000000" w:sz="4" w:val="single"/>
              <w:left w:color="000000" w:sz="4" w:val="single"/>
              <w:bottom w:color="000000" w:sz="4" w:val="single"/>
              <w:right w:color="000000" w:sz="4" w:val="single"/>
            </w:tcBorders>
            <w:shd w:fill="FFFFFF" w:val="clear"/>
            <w:vAlign w:val="center"/>
          </w:tcPr>
          <w:p w14:paraId="943B0000">
            <w:pPr>
              <w:widowControl w:val="1"/>
              <w:ind/>
              <w:jc w:val="center"/>
              <w:rPr>
                <w:sz w:val="18"/>
              </w:rPr>
            </w:pPr>
            <w:r>
              <w:rPr>
                <w:sz w:val="18"/>
              </w:rPr>
              <w:t>133/2</w:t>
            </w:r>
          </w:p>
        </w:tc>
        <w:tc>
          <w:tcPr>
            <w:tcW w:type="dxa" w:w="993"/>
            <w:tcBorders>
              <w:top w:color="000000" w:sz="4" w:val="single"/>
              <w:left w:color="000000" w:sz="4" w:val="single"/>
              <w:bottom w:color="000000" w:sz="4" w:val="single"/>
              <w:right w:color="000000" w:sz="4" w:val="single"/>
            </w:tcBorders>
            <w:shd w:fill="FFFFFF" w:val="clear"/>
            <w:vAlign w:val="center"/>
          </w:tcPr>
          <w:p w14:paraId="953B0000">
            <w:pPr>
              <w:widowControl w:val="1"/>
              <w:ind/>
              <w:jc w:val="center"/>
              <w:rPr>
                <w:sz w:val="18"/>
              </w:rPr>
            </w:pPr>
            <w:r>
              <w:rPr>
                <w:sz w:val="18"/>
              </w:rPr>
              <w:t>аренда нежилых помещений</w:t>
            </w:r>
          </w:p>
        </w:tc>
        <w:tc>
          <w:tcPr>
            <w:tcW w:type="dxa" w:w="849"/>
            <w:tcBorders>
              <w:top w:color="000000" w:sz="4" w:val="single"/>
              <w:left w:color="000000" w:sz="4" w:val="single"/>
              <w:bottom w:color="000000" w:sz="4" w:val="single"/>
              <w:right w:color="000000" w:sz="4" w:val="single"/>
            </w:tcBorders>
            <w:shd w:fill="FFFFFF" w:val="clear"/>
            <w:vAlign w:val="center"/>
          </w:tcPr>
          <w:p w14:paraId="963B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973B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983B0000">
            <w:pPr>
              <w:widowControl w:val="1"/>
              <w:ind/>
              <w:jc w:val="center"/>
              <w:rPr>
                <w:sz w:val="18"/>
              </w:rPr>
            </w:pPr>
            <w:r>
              <w:rPr>
                <w:sz w:val="18"/>
              </w:rPr>
              <w:t>24000,00</w:t>
            </w:r>
          </w:p>
        </w:tc>
        <w:tc>
          <w:tcPr>
            <w:tcW w:type="dxa" w:w="1134"/>
            <w:tcBorders>
              <w:top w:color="000000" w:sz="4" w:val="single"/>
              <w:left w:color="000000" w:sz="4" w:val="single"/>
              <w:bottom w:color="000000" w:sz="4" w:val="single"/>
              <w:right w:color="000000" w:sz="4" w:val="single"/>
            </w:tcBorders>
            <w:shd w:fill="FFFFFF" w:val="clear"/>
            <w:vAlign w:val="center"/>
          </w:tcPr>
          <w:p w14:paraId="993B0000">
            <w:pPr>
              <w:widowControl w:val="1"/>
              <w:ind/>
              <w:jc w:val="center"/>
              <w:rPr>
                <w:sz w:val="18"/>
              </w:rPr>
            </w:pPr>
            <w:r>
              <w:rPr>
                <w:sz w:val="18"/>
              </w:rPr>
              <w:t>24000,00</w:t>
            </w:r>
          </w:p>
        </w:tc>
        <w:tc>
          <w:tcPr>
            <w:tcW w:type="dxa" w:w="993"/>
            <w:tcBorders>
              <w:top w:color="000000" w:sz="4" w:val="single"/>
              <w:left w:color="000000" w:sz="4" w:val="single"/>
              <w:bottom w:color="000000" w:sz="4" w:val="single"/>
              <w:right w:color="000000" w:sz="4" w:val="single"/>
            </w:tcBorders>
            <w:shd w:fill="FFFFFF" w:val="clear"/>
            <w:vAlign w:val="center"/>
          </w:tcPr>
          <w:p w14:paraId="9A3B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B3B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9C3B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9D3B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9E3B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9F3B0000">
            <w:pPr>
              <w:widowControl w:val="1"/>
              <w:ind/>
              <w:jc w:val="center"/>
              <w:rPr>
                <w:sz w:val="18"/>
              </w:rPr>
            </w:pPr>
            <w:r>
              <w:rPr>
                <w:sz w:val="18"/>
              </w:rPr>
              <w:t>24000,00</w:t>
            </w:r>
          </w:p>
        </w:tc>
        <w:tc>
          <w:tcPr>
            <w:tcW w:type="dxa" w:w="1185"/>
            <w:tcBorders>
              <w:top w:color="000000" w:sz="4" w:val="single"/>
              <w:left w:color="000000" w:sz="4" w:val="single"/>
              <w:bottom w:color="000000" w:sz="4" w:val="single"/>
              <w:right w:color="000000" w:sz="4" w:val="single"/>
            </w:tcBorders>
            <w:shd w:fill="FFFFFF" w:val="clear"/>
            <w:vAlign w:val="center"/>
          </w:tcPr>
          <w:p w14:paraId="A03B0000">
            <w:pPr>
              <w:widowControl w:val="1"/>
              <w:ind/>
              <w:jc w:val="center"/>
              <w:rPr>
                <w:sz w:val="18"/>
              </w:rPr>
            </w:pPr>
            <w:r>
              <w:rPr>
                <w:sz w:val="18"/>
              </w:rPr>
              <w:t>24000,00</w:t>
            </w:r>
          </w:p>
        </w:tc>
        <w:tc>
          <w:tcPr>
            <w:tcW w:type="dxa" w:w="1083"/>
            <w:tcBorders>
              <w:top w:color="000000" w:sz="4" w:val="single"/>
              <w:left w:color="000000" w:sz="4" w:val="single"/>
              <w:bottom w:color="000000" w:sz="4" w:val="single"/>
              <w:right w:color="000000" w:sz="4" w:val="single"/>
            </w:tcBorders>
            <w:shd w:fill="FFFFFF" w:val="clear"/>
            <w:vAlign w:val="center"/>
          </w:tcPr>
          <w:p w14:paraId="A13B0000">
            <w:pPr>
              <w:widowControl w:val="1"/>
              <w:ind/>
              <w:jc w:val="center"/>
              <w:rPr>
                <w:sz w:val="18"/>
              </w:rPr>
            </w:pPr>
            <w:r>
              <w:rPr>
                <w:sz w:val="18"/>
              </w:rPr>
              <w:t>24000,00</w:t>
            </w:r>
          </w:p>
        </w:tc>
        <w:tc>
          <w:tcPr>
            <w:tcW w:type="dxa" w:w="771"/>
            <w:tcBorders>
              <w:top w:color="000000" w:sz="4" w:val="single"/>
              <w:left w:color="000000" w:sz="4" w:val="single"/>
              <w:bottom w:color="000000" w:sz="4" w:val="single"/>
              <w:right w:color="000000" w:sz="4" w:val="single"/>
            </w:tcBorders>
            <w:shd w:fill="FFFFFF" w:val="clear"/>
            <w:vAlign w:val="center"/>
          </w:tcPr>
          <w:p w14:paraId="A23B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A33B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A43B0000">
            <w:pPr>
              <w:widowControl w:val="1"/>
              <w:ind/>
              <w:jc w:val="center"/>
              <w:rPr>
                <w:sz w:val="18"/>
              </w:rPr>
            </w:pPr>
            <w:r>
              <w:rPr>
                <w:sz w:val="18"/>
              </w:rPr>
              <w:t>счет № 10 от 01.10.2018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A53B0000">
            <w:pPr>
              <w:widowControl w:val="1"/>
              <w:ind/>
              <w:jc w:val="center"/>
              <w:rPr>
                <w:color w:val="000000"/>
                <w:sz w:val="18"/>
              </w:rPr>
            </w:pPr>
            <w:r>
              <w:rPr>
                <w:color w:val="000000"/>
                <w:sz w:val="18"/>
              </w:rPr>
              <w:t>208</w:t>
            </w:r>
          </w:p>
        </w:tc>
        <w:tc>
          <w:tcPr>
            <w:tcW w:type="dxa" w:w="618"/>
            <w:tcBorders>
              <w:top w:color="000000" w:sz="4" w:val="single"/>
              <w:left w:color="000000" w:sz="4" w:val="single"/>
              <w:bottom w:color="000000" w:sz="4" w:val="single"/>
              <w:right w:color="000000" w:sz="4" w:val="single"/>
            </w:tcBorders>
            <w:shd w:fill="FFFFFF" w:val="clear"/>
            <w:vAlign w:val="center"/>
          </w:tcPr>
          <w:p w14:paraId="A63B0000">
            <w:pPr>
              <w:widowControl w:val="1"/>
              <w:ind/>
              <w:jc w:val="center"/>
              <w:rPr>
                <w:sz w:val="18"/>
              </w:rPr>
            </w:pPr>
            <w:r>
              <w:rPr>
                <w:sz w:val="18"/>
              </w:rPr>
              <w:t>134/2</w:t>
            </w:r>
          </w:p>
        </w:tc>
        <w:tc>
          <w:tcPr>
            <w:tcW w:type="dxa" w:w="993"/>
            <w:tcBorders>
              <w:top w:color="000000" w:sz="4" w:val="single"/>
              <w:left w:color="000000" w:sz="4" w:val="single"/>
              <w:bottom w:color="000000" w:sz="4" w:val="single"/>
              <w:right w:color="000000" w:sz="4" w:val="single"/>
            </w:tcBorders>
            <w:shd w:fill="FFFFFF" w:val="clear"/>
            <w:vAlign w:val="center"/>
          </w:tcPr>
          <w:p w14:paraId="A73B0000">
            <w:pPr>
              <w:widowControl w:val="1"/>
              <w:ind/>
              <w:jc w:val="center"/>
              <w:rPr>
                <w:sz w:val="18"/>
              </w:rPr>
            </w:pPr>
            <w:r>
              <w:rPr>
                <w:sz w:val="18"/>
              </w:rPr>
              <w:t>оказание услуг по продаже, оформлению и доставке авиабилетов</w:t>
            </w:r>
          </w:p>
        </w:tc>
        <w:tc>
          <w:tcPr>
            <w:tcW w:type="dxa" w:w="849"/>
            <w:tcBorders>
              <w:top w:color="000000" w:sz="4" w:val="single"/>
              <w:left w:color="000000" w:sz="4" w:val="single"/>
              <w:bottom w:color="000000" w:sz="4" w:val="single"/>
              <w:right w:color="000000" w:sz="4" w:val="single"/>
            </w:tcBorders>
            <w:shd w:fill="FFFFFF" w:val="clear"/>
            <w:vAlign w:val="center"/>
          </w:tcPr>
          <w:p w14:paraId="A83B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A93B0000">
            <w:pPr>
              <w:widowControl w:val="1"/>
              <w:ind/>
              <w:jc w:val="center"/>
              <w:rPr>
                <w:color w:val="000000"/>
                <w:sz w:val="18"/>
              </w:rPr>
            </w:pPr>
            <w:r>
              <w:rPr>
                <w:color w:val="000000"/>
                <w:sz w:val="18"/>
              </w:rPr>
              <w:t>76</w:t>
            </w:r>
          </w:p>
        </w:tc>
        <w:tc>
          <w:tcPr>
            <w:tcW w:type="dxa" w:w="991"/>
            <w:tcBorders>
              <w:top w:color="000000" w:sz="4" w:val="single"/>
              <w:left w:color="000000" w:sz="4" w:val="single"/>
              <w:bottom w:color="000000" w:sz="4" w:val="single"/>
              <w:right w:color="000000" w:sz="4" w:val="single"/>
            </w:tcBorders>
            <w:shd w:fill="FFFFFF" w:val="clear"/>
            <w:vAlign w:val="center"/>
          </w:tcPr>
          <w:p w14:paraId="AA3B0000">
            <w:pPr>
              <w:widowControl w:val="1"/>
              <w:ind/>
              <w:jc w:val="center"/>
              <w:rPr>
                <w:sz w:val="18"/>
              </w:rPr>
            </w:pPr>
            <w:r>
              <w:rPr>
                <w:sz w:val="18"/>
              </w:rPr>
              <w:t>20190,00</w:t>
            </w:r>
          </w:p>
        </w:tc>
        <w:tc>
          <w:tcPr>
            <w:tcW w:type="dxa" w:w="1134"/>
            <w:tcBorders>
              <w:top w:color="000000" w:sz="4" w:val="single"/>
              <w:left w:color="000000" w:sz="4" w:val="single"/>
              <w:bottom w:color="000000" w:sz="4" w:val="single"/>
              <w:right w:color="000000" w:sz="4" w:val="single"/>
            </w:tcBorders>
            <w:shd w:fill="FFFFFF" w:val="clear"/>
            <w:vAlign w:val="center"/>
          </w:tcPr>
          <w:p w14:paraId="AB3B0000">
            <w:pPr>
              <w:widowControl w:val="1"/>
              <w:ind/>
              <w:jc w:val="center"/>
              <w:rPr>
                <w:sz w:val="18"/>
              </w:rPr>
            </w:pPr>
            <w:r>
              <w:rPr>
                <w:sz w:val="18"/>
              </w:rPr>
              <w:t>20190,00</w:t>
            </w:r>
          </w:p>
        </w:tc>
        <w:tc>
          <w:tcPr>
            <w:tcW w:type="dxa" w:w="993"/>
            <w:tcBorders>
              <w:top w:color="000000" w:sz="4" w:val="single"/>
              <w:left w:color="000000" w:sz="4" w:val="single"/>
              <w:bottom w:color="000000" w:sz="4" w:val="single"/>
              <w:right w:color="000000" w:sz="4" w:val="single"/>
            </w:tcBorders>
            <w:shd w:fill="FFFFFF" w:val="clear"/>
            <w:vAlign w:val="center"/>
          </w:tcPr>
          <w:p w14:paraId="AC3B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AD3B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AE3B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AF3B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B03B0000">
            <w:pPr>
              <w:widowControl w:val="1"/>
              <w:ind/>
              <w:jc w:val="center"/>
              <w:rPr>
                <w:color w:val="000000"/>
                <w:sz w:val="18"/>
              </w:rPr>
            </w:pPr>
            <w:r>
              <w:rPr>
                <w:color w:val="000000"/>
                <w:sz w:val="18"/>
              </w:rPr>
              <w:t>76</w:t>
            </w:r>
          </w:p>
        </w:tc>
        <w:tc>
          <w:tcPr>
            <w:tcW w:type="dxa" w:w="1169"/>
            <w:tcBorders>
              <w:top w:color="000000" w:sz="4" w:val="single"/>
              <w:left w:color="000000" w:sz="4" w:val="single"/>
              <w:bottom w:color="000000" w:sz="4" w:val="single"/>
              <w:right w:color="000000" w:sz="4" w:val="single"/>
            </w:tcBorders>
            <w:shd w:fill="FFFFFF" w:val="clear"/>
            <w:vAlign w:val="center"/>
          </w:tcPr>
          <w:p w14:paraId="B13B0000">
            <w:pPr>
              <w:widowControl w:val="1"/>
              <w:ind/>
              <w:jc w:val="center"/>
              <w:rPr>
                <w:sz w:val="18"/>
              </w:rPr>
            </w:pPr>
            <w:r>
              <w:rPr>
                <w:sz w:val="18"/>
              </w:rPr>
              <w:t>20190,00</w:t>
            </w:r>
          </w:p>
        </w:tc>
        <w:tc>
          <w:tcPr>
            <w:tcW w:type="dxa" w:w="1185"/>
            <w:tcBorders>
              <w:top w:color="000000" w:sz="4" w:val="single"/>
              <w:left w:color="000000" w:sz="4" w:val="single"/>
              <w:bottom w:color="000000" w:sz="4" w:val="single"/>
              <w:right w:color="000000" w:sz="4" w:val="single"/>
            </w:tcBorders>
            <w:shd w:fill="FFFFFF" w:val="clear"/>
            <w:vAlign w:val="center"/>
          </w:tcPr>
          <w:p w14:paraId="B23B0000">
            <w:pPr>
              <w:widowControl w:val="1"/>
              <w:ind/>
              <w:jc w:val="center"/>
              <w:rPr>
                <w:sz w:val="18"/>
              </w:rPr>
            </w:pPr>
            <w:r>
              <w:rPr>
                <w:sz w:val="18"/>
              </w:rPr>
              <w:t>20190,00</w:t>
            </w:r>
          </w:p>
        </w:tc>
        <w:tc>
          <w:tcPr>
            <w:tcW w:type="dxa" w:w="1083"/>
            <w:tcBorders>
              <w:top w:color="000000" w:sz="4" w:val="single"/>
              <w:left w:color="000000" w:sz="4" w:val="single"/>
              <w:bottom w:color="000000" w:sz="4" w:val="single"/>
              <w:right w:color="000000" w:sz="4" w:val="single"/>
            </w:tcBorders>
            <w:shd w:fill="FFFFFF" w:val="clear"/>
            <w:vAlign w:val="center"/>
          </w:tcPr>
          <w:p w14:paraId="B33B0000">
            <w:pPr>
              <w:widowControl w:val="1"/>
              <w:ind/>
              <w:jc w:val="center"/>
              <w:rPr>
                <w:sz w:val="18"/>
              </w:rPr>
            </w:pPr>
            <w:r>
              <w:rPr>
                <w:sz w:val="18"/>
              </w:rPr>
              <w:t>20190,00</w:t>
            </w:r>
          </w:p>
        </w:tc>
        <w:tc>
          <w:tcPr>
            <w:tcW w:type="dxa" w:w="771"/>
            <w:tcBorders>
              <w:top w:color="000000" w:sz="4" w:val="single"/>
              <w:left w:color="000000" w:sz="4" w:val="single"/>
              <w:bottom w:color="000000" w:sz="4" w:val="single"/>
              <w:right w:color="000000" w:sz="4" w:val="single"/>
            </w:tcBorders>
            <w:shd w:fill="FFFFFF" w:val="clear"/>
            <w:vAlign w:val="center"/>
          </w:tcPr>
          <w:p w14:paraId="B43B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B53B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B63B0000">
            <w:pPr>
              <w:widowControl w:val="1"/>
              <w:ind/>
              <w:jc w:val="center"/>
              <w:rPr>
                <w:sz w:val="18"/>
              </w:rPr>
            </w:pPr>
            <w:r>
              <w:rPr>
                <w:sz w:val="18"/>
              </w:rPr>
              <w:t>счет № 2143 от 03.10.2018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B73B0000">
            <w:pPr>
              <w:widowControl w:val="1"/>
              <w:ind/>
              <w:jc w:val="center"/>
              <w:rPr>
                <w:color w:val="000000"/>
                <w:sz w:val="18"/>
              </w:rPr>
            </w:pPr>
            <w:r>
              <w:rPr>
                <w:color w:val="000000"/>
                <w:sz w:val="18"/>
              </w:rPr>
              <w:t>209</w:t>
            </w:r>
          </w:p>
        </w:tc>
        <w:tc>
          <w:tcPr>
            <w:tcW w:type="dxa" w:w="618"/>
            <w:tcBorders>
              <w:top w:color="000000" w:sz="4" w:val="single"/>
              <w:left w:color="000000" w:sz="4" w:val="single"/>
              <w:bottom w:color="000000" w:sz="4" w:val="single"/>
              <w:right w:color="000000" w:sz="4" w:val="single"/>
            </w:tcBorders>
            <w:shd w:fill="FFFFFF" w:val="clear"/>
            <w:vAlign w:val="center"/>
          </w:tcPr>
          <w:p w14:paraId="B83B0000">
            <w:pPr>
              <w:widowControl w:val="1"/>
              <w:ind/>
              <w:jc w:val="center"/>
              <w:rPr>
                <w:sz w:val="18"/>
              </w:rPr>
            </w:pPr>
            <w:r>
              <w:rPr>
                <w:sz w:val="18"/>
              </w:rPr>
              <w:t>135/2</w:t>
            </w:r>
          </w:p>
        </w:tc>
        <w:tc>
          <w:tcPr>
            <w:tcW w:type="dxa" w:w="993"/>
            <w:tcBorders>
              <w:top w:color="000000" w:sz="4" w:val="single"/>
              <w:left w:color="000000" w:sz="4" w:val="single"/>
              <w:bottom w:color="000000" w:sz="4" w:val="single"/>
              <w:right w:color="000000" w:sz="4" w:val="single"/>
            </w:tcBorders>
            <w:shd w:fill="FFFFFF" w:val="clear"/>
            <w:vAlign w:val="center"/>
          </w:tcPr>
          <w:p w14:paraId="B93B0000">
            <w:pPr>
              <w:widowControl w:val="1"/>
              <w:ind/>
              <w:jc w:val="center"/>
              <w:rPr>
                <w:sz w:val="18"/>
              </w:rPr>
            </w:pPr>
            <w:r>
              <w:rPr>
                <w:sz w:val="18"/>
              </w:rPr>
              <w:t>поставка чехлов для диванов</w:t>
            </w:r>
          </w:p>
        </w:tc>
        <w:tc>
          <w:tcPr>
            <w:tcW w:type="dxa" w:w="849"/>
            <w:tcBorders>
              <w:top w:color="000000" w:sz="4" w:val="single"/>
              <w:left w:color="000000" w:sz="4" w:val="single"/>
              <w:bottom w:color="000000" w:sz="4" w:val="single"/>
              <w:right w:color="000000" w:sz="4" w:val="single"/>
            </w:tcBorders>
            <w:shd w:fill="FFFFFF" w:val="clear"/>
            <w:vAlign w:val="center"/>
          </w:tcPr>
          <w:p w14:paraId="BA3B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B3B0000">
            <w:pPr>
              <w:widowControl w:val="1"/>
              <w:ind/>
              <w:jc w:val="center"/>
              <w:rPr>
                <w:color w:val="000000"/>
                <w:sz w:val="18"/>
              </w:rPr>
            </w:pPr>
            <w:r>
              <w:rPr>
                <w:color w:val="000000"/>
                <w:sz w:val="18"/>
              </w:rPr>
              <w:t>5</w:t>
            </w:r>
          </w:p>
        </w:tc>
        <w:tc>
          <w:tcPr>
            <w:tcW w:type="dxa" w:w="991"/>
            <w:tcBorders>
              <w:top w:color="000000" w:sz="4" w:val="single"/>
              <w:left w:color="000000" w:sz="4" w:val="single"/>
              <w:bottom w:color="000000" w:sz="4" w:val="single"/>
              <w:right w:color="000000" w:sz="4" w:val="single"/>
            </w:tcBorders>
            <w:shd w:fill="FFFFFF" w:val="clear"/>
            <w:vAlign w:val="center"/>
          </w:tcPr>
          <w:p w14:paraId="BC3B0000">
            <w:pPr>
              <w:widowControl w:val="1"/>
              <w:ind/>
              <w:jc w:val="center"/>
              <w:rPr>
                <w:sz w:val="18"/>
              </w:rPr>
            </w:pPr>
            <w:r>
              <w:rPr>
                <w:sz w:val="18"/>
              </w:rPr>
              <w:t>7350,00</w:t>
            </w:r>
          </w:p>
        </w:tc>
        <w:tc>
          <w:tcPr>
            <w:tcW w:type="dxa" w:w="1134"/>
            <w:tcBorders>
              <w:top w:color="000000" w:sz="4" w:val="single"/>
              <w:left w:color="000000" w:sz="4" w:val="single"/>
              <w:bottom w:color="000000" w:sz="4" w:val="single"/>
              <w:right w:color="000000" w:sz="4" w:val="single"/>
            </w:tcBorders>
            <w:shd w:fill="FFFFFF" w:val="clear"/>
            <w:vAlign w:val="center"/>
          </w:tcPr>
          <w:p w14:paraId="BD3B0000">
            <w:pPr>
              <w:widowControl w:val="1"/>
              <w:ind/>
              <w:jc w:val="center"/>
              <w:rPr>
                <w:sz w:val="18"/>
              </w:rPr>
            </w:pPr>
            <w:r>
              <w:rPr>
                <w:sz w:val="18"/>
              </w:rPr>
              <w:t>7350,00</w:t>
            </w:r>
          </w:p>
        </w:tc>
        <w:tc>
          <w:tcPr>
            <w:tcW w:type="dxa" w:w="993"/>
            <w:tcBorders>
              <w:top w:color="000000" w:sz="4" w:val="single"/>
              <w:left w:color="000000" w:sz="4" w:val="single"/>
              <w:bottom w:color="000000" w:sz="4" w:val="single"/>
              <w:right w:color="000000" w:sz="4" w:val="single"/>
            </w:tcBorders>
            <w:shd w:fill="FFFFFF" w:val="clear"/>
            <w:vAlign w:val="center"/>
          </w:tcPr>
          <w:p w14:paraId="BE3B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BF3B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C03B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C13B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C23B0000">
            <w:pPr>
              <w:widowControl w:val="1"/>
              <w:ind/>
              <w:jc w:val="center"/>
              <w:rPr>
                <w:color w:val="000000"/>
                <w:sz w:val="18"/>
              </w:rPr>
            </w:pPr>
            <w:r>
              <w:rPr>
                <w:color w:val="000000"/>
                <w:sz w:val="18"/>
              </w:rPr>
              <w:t>5</w:t>
            </w:r>
          </w:p>
        </w:tc>
        <w:tc>
          <w:tcPr>
            <w:tcW w:type="dxa" w:w="1169"/>
            <w:tcBorders>
              <w:top w:color="000000" w:sz="4" w:val="single"/>
              <w:left w:color="000000" w:sz="4" w:val="single"/>
              <w:bottom w:color="000000" w:sz="4" w:val="single"/>
              <w:right w:color="000000" w:sz="4" w:val="single"/>
            </w:tcBorders>
            <w:shd w:fill="FFFFFF" w:val="clear"/>
            <w:vAlign w:val="center"/>
          </w:tcPr>
          <w:p w14:paraId="C33B0000">
            <w:pPr>
              <w:widowControl w:val="1"/>
              <w:ind/>
              <w:jc w:val="center"/>
              <w:rPr>
                <w:sz w:val="18"/>
              </w:rPr>
            </w:pPr>
            <w:r>
              <w:rPr>
                <w:sz w:val="18"/>
              </w:rPr>
              <w:t>7350,00</w:t>
            </w:r>
          </w:p>
        </w:tc>
        <w:tc>
          <w:tcPr>
            <w:tcW w:type="dxa" w:w="1185"/>
            <w:tcBorders>
              <w:top w:color="000000" w:sz="4" w:val="single"/>
              <w:left w:color="000000" w:sz="4" w:val="single"/>
              <w:bottom w:color="000000" w:sz="4" w:val="single"/>
              <w:right w:color="000000" w:sz="4" w:val="single"/>
            </w:tcBorders>
            <w:shd w:fill="FFFFFF" w:val="clear"/>
            <w:vAlign w:val="center"/>
          </w:tcPr>
          <w:p w14:paraId="C43B0000">
            <w:pPr>
              <w:widowControl w:val="1"/>
              <w:ind/>
              <w:jc w:val="center"/>
              <w:rPr>
                <w:sz w:val="18"/>
              </w:rPr>
            </w:pPr>
            <w:r>
              <w:rPr>
                <w:sz w:val="18"/>
              </w:rPr>
              <w:t>7350,00</w:t>
            </w:r>
          </w:p>
        </w:tc>
        <w:tc>
          <w:tcPr>
            <w:tcW w:type="dxa" w:w="1083"/>
            <w:tcBorders>
              <w:top w:color="000000" w:sz="4" w:val="single"/>
              <w:left w:color="000000" w:sz="4" w:val="single"/>
              <w:bottom w:color="000000" w:sz="4" w:val="single"/>
              <w:right w:color="000000" w:sz="4" w:val="single"/>
            </w:tcBorders>
            <w:shd w:fill="FFFFFF" w:val="clear"/>
            <w:vAlign w:val="center"/>
          </w:tcPr>
          <w:p w14:paraId="C53B0000">
            <w:pPr>
              <w:widowControl w:val="1"/>
              <w:ind/>
              <w:jc w:val="center"/>
              <w:rPr>
                <w:sz w:val="18"/>
              </w:rPr>
            </w:pPr>
            <w:r>
              <w:rPr>
                <w:sz w:val="18"/>
              </w:rPr>
              <w:t>7350,00</w:t>
            </w:r>
          </w:p>
        </w:tc>
        <w:tc>
          <w:tcPr>
            <w:tcW w:type="dxa" w:w="771"/>
            <w:tcBorders>
              <w:top w:color="000000" w:sz="4" w:val="single"/>
              <w:left w:color="000000" w:sz="4" w:val="single"/>
              <w:bottom w:color="000000" w:sz="4" w:val="single"/>
              <w:right w:color="000000" w:sz="4" w:val="single"/>
            </w:tcBorders>
            <w:shd w:fill="FFFFFF" w:val="clear"/>
            <w:vAlign w:val="center"/>
          </w:tcPr>
          <w:p w14:paraId="C63B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C73B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C83B0000">
            <w:pPr>
              <w:widowControl w:val="1"/>
              <w:ind/>
              <w:jc w:val="center"/>
              <w:rPr>
                <w:sz w:val="18"/>
              </w:rPr>
            </w:pPr>
            <w:r>
              <w:rPr>
                <w:sz w:val="18"/>
              </w:rPr>
              <w:t>счет № 1889 от 17.10.2018</w:t>
            </w:r>
          </w:p>
        </w:tc>
      </w:tr>
      <w:tr>
        <w:trPr>
          <w:trHeight w:hRule="atLeast" w:val="1785"/>
        </w:trPr>
        <w:tc>
          <w:tcPr>
            <w:tcW w:type="dxa" w:w="708"/>
            <w:tcBorders>
              <w:top w:color="000000" w:sz="4" w:val="single"/>
              <w:left w:color="000000" w:sz="4" w:val="single"/>
              <w:bottom w:color="000000" w:sz="4" w:val="single"/>
              <w:right w:color="000000" w:sz="4" w:val="single"/>
            </w:tcBorders>
            <w:shd w:fill="auto" w:val="clear"/>
            <w:vAlign w:val="center"/>
          </w:tcPr>
          <w:p w14:paraId="C93B0000">
            <w:pPr>
              <w:widowControl w:val="1"/>
              <w:ind/>
              <w:jc w:val="center"/>
              <w:rPr>
                <w:color w:val="000000"/>
                <w:sz w:val="18"/>
              </w:rPr>
            </w:pPr>
            <w:r>
              <w:rPr>
                <w:color w:val="000000"/>
                <w:sz w:val="18"/>
              </w:rPr>
              <w:t>210</w:t>
            </w:r>
          </w:p>
        </w:tc>
        <w:tc>
          <w:tcPr>
            <w:tcW w:type="dxa" w:w="618"/>
            <w:tcBorders>
              <w:top w:color="000000" w:sz="4" w:val="single"/>
              <w:left w:color="000000" w:sz="4" w:val="single"/>
              <w:bottom w:color="000000" w:sz="4" w:val="single"/>
              <w:right w:color="000000" w:sz="4" w:val="single"/>
            </w:tcBorders>
            <w:shd w:fill="FFFFFF" w:val="clear"/>
            <w:vAlign w:val="center"/>
          </w:tcPr>
          <w:p w14:paraId="CA3B0000">
            <w:pPr>
              <w:widowControl w:val="1"/>
              <w:ind/>
              <w:jc w:val="center"/>
              <w:rPr>
                <w:sz w:val="18"/>
              </w:rPr>
            </w:pPr>
            <w:r>
              <w:rPr>
                <w:sz w:val="18"/>
              </w:rPr>
              <w:t>136/2</w:t>
            </w:r>
          </w:p>
        </w:tc>
        <w:tc>
          <w:tcPr>
            <w:tcW w:type="dxa" w:w="993"/>
            <w:tcBorders>
              <w:top w:color="000000" w:sz="4" w:val="single"/>
              <w:left w:color="000000" w:sz="4" w:val="single"/>
              <w:bottom w:color="000000" w:sz="4" w:val="single"/>
              <w:right w:color="000000" w:sz="4" w:val="single"/>
            </w:tcBorders>
            <w:shd w:fill="FFFFFF" w:val="clear"/>
            <w:vAlign w:val="center"/>
          </w:tcPr>
          <w:p w14:paraId="CB3B0000">
            <w:pPr>
              <w:widowControl w:val="1"/>
              <w:ind/>
              <w:jc w:val="center"/>
              <w:rPr>
                <w:sz w:val="18"/>
              </w:rPr>
            </w:pPr>
            <w:r>
              <w:rPr>
                <w:sz w:val="18"/>
              </w:rPr>
              <w:t>Выполнение работ по доработке официального сайта АО "Краспригород"</w:t>
            </w:r>
          </w:p>
        </w:tc>
        <w:tc>
          <w:tcPr>
            <w:tcW w:type="dxa" w:w="849"/>
            <w:tcBorders>
              <w:top w:color="000000" w:sz="4" w:val="single"/>
              <w:left w:color="000000" w:sz="4" w:val="single"/>
              <w:bottom w:color="000000" w:sz="4" w:val="single"/>
              <w:right w:color="000000" w:sz="4" w:val="single"/>
            </w:tcBorders>
            <w:shd w:fill="FFFFFF" w:val="clear"/>
            <w:vAlign w:val="center"/>
          </w:tcPr>
          <w:p w14:paraId="CC3B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CD3B0000">
            <w:pPr>
              <w:widowControl w:val="1"/>
              <w:ind/>
              <w:jc w:val="center"/>
              <w:rPr>
                <w:sz w:val="18"/>
              </w:rPr>
            </w:pPr>
            <w:r>
              <w:rPr>
                <w:sz w:val="18"/>
              </w:rPr>
              <w:t>13</w:t>
            </w:r>
          </w:p>
        </w:tc>
        <w:tc>
          <w:tcPr>
            <w:tcW w:type="dxa" w:w="991"/>
            <w:tcBorders>
              <w:top w:color="000000" w:sz="4" w:val="single"/>
              <w:left w:color="000000" w:sz="4" w:val="single"/>
              <w:bottom w:color="000000" w:sz="4" w:val="single"/>
              <w:right w:color="000000" w:sz="4" w:val="single"/>
            </w:tcBorders>
            <w:shd w:fill="FFFFFF" w:val="clear"/>
            <w:vAlign w:val="center"/>
          </w:tcPr>
          <w:p w14:paraId="CE3B0000">
            <w:pPr>
              <w:widowControl w:val="1"/>
              <w:ind/>
              <w:jc w:val="center"/>
              <w:rPr>
                <w:sz w:val="18"/>
              </w:rPr>
            </w:pPr>
            <w:r>
              <w:rPr>
                <w:sz w:val="18"/>
              </w:rPr>
              <w:t>13000,00</w:t>
            </w:r>
          </w:p>
        </w:tc>
        <w:tc>
          <w:tcPr>
            <w:tcW w:type="dxa" w:w="1134"/>
            <w:tcBorders>
              <w:top w:color="000000" w:sz="4" w:val="single"/>
              <w:left w:color="000000" w:sz="4" w:val="single"/>
              <w:bottom w:color="000000" w:sz="4" w:val="single"/>
              <w:right w:color="000000" w:sz="4" w:val="single"/>
            </w:tcBorders>
            <w:shd w:fill="FFFFFF" w:val="clear"/>
            <w:vAlign w:val="center"/>
          </w:tcPr>
          <w:p w14:paraId="CF3B0000">
            <w:pPr>
              <w:widowControl w:val="1"/>
              <w:ind/>
              <w:jc w:val="center"/>
              <w:rPr>
                <w:sz w:val="18"/>
              </w:rPr>
            </w:pPr>
            <w:r>
              <w:rPr>
                <w:sz w:val="18"/>
              </w:rPr>
              <w:t>13000,00</w:t>
            </w:r>
          </w:p>
        </w:tc>
        <w:tc>
          <w:tcPr>
            <w:tcW w:type="dxa" w:w="993"/>
            <w:tcBorders>
              <w:top w:color="000000" w:sz="4" w:val="single"/>
              <w:left w:color="000000" w:sz="4" w:val="single"/>
              <w:bottom w:color="000000" w:sz="4" w:val="single"/>
              <w:right w:color="000000" w:sz="4" w:val="single"/>
            </w:tcBorders>
            <w:shd w:fill="FFFFFF" w:val="clear"/>
            <w:vAlign w:val="center"/>
          </w:tcPr>
          <w:p w14:paraId="D03B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D13B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D23B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D33B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D43B0000">
            <w:pPr>
              <w:widowControl w:val="1"/>
              <w:ind/>
              <w:jc w:val="center"/>
              <w:rPr>
                <w:sz w:val="18"/>
              </w:rPr>
            </w:pPr>
            <w:r>
              <w:rPr>
                <w:sz w:val="18"/>
              </w:rPr>
              <w:t>13</w:t>
            </w:r>
          </w:p>
        </w:tc>
        <w:tc>
          <w:tcPr>
            <w:tcW w:type="dxa" w:w="1169"/>
            <w:tcBorders>
              <w:top w:color="000000" w:sz="4" w:val="single"/>
              <w:left w:color="000000" w:sz="4" w:val="single"/>
              <w:bottom w:color="000000" w:sz="4" w:val="single"/>
              <w:right w:color="000000" w:sz="4" w:val="single"/>
            </w:tcBorders>
            <w:shd w:fill="FFFFFF" w:val="clear"/>
            <w:vAlign w:val="center"/>
          </w:tcPr>
          <w:p w14:paraId="D53B0000">
            <w:pPr>
              <w:widowControl w:val="1"/>
              <w:ind/>
              <w:jc w:val="center"/>
              <w:rPr>
                <w:sz w:val="18"/>
              </w:rPr>
            </w:pPr>
            <w:r>
              <w:rPr>
                <w:sz w:val="18"/>
              </w:rPr>
              <w:t>13000,00</w:t>
            </w:r>
          </w:p>
        </w:tc>
        <w:tc>
          <w:tcPr>
            <w:tcW w:type="dxa" w:w="1185"/>
            <w:tcBorders>
              <w:top w:color="000000" w:sz="4" w:val="single"/>
              <w:left w:color="000000" w:sz="4" w:val="single"/>
              <w:bottom w:color="000000" w:sz="4" w:val="single"/>
              <w:right w:color="000000" w:sz="4" w:val="single"/>
            </w:tcBorders>
            <w:shd w:fill="FFFFFF" w:val="clear"/>
            <w:vAlign w:val="center"/>
          </w:tcPr>
          <w:p w14:paraId="D63B0000">
            <w:pPr>
              <w:widowControl w:val="1"/>
              <w:ind/>
              <w:jc w:val="center"/>
              <w:rPr>
                <w:sz w:val="18"/>
              </w:rPr>
            </w:pPr>
            <w:r>
              <w:rPr>
                <w:sz w:val="18"/>
              </w:rPr>
              <w:t>13000,00</w:t>
            </w:r>
          </w:p>
        </w:tc>
        <w:tc>
          <w:tcPr>
            <w:tcW w:type="dxa" w:w="1083"/>
            <w:tcBorders>
              <w:top w:color="000000" w:sz="4" w:val="single"/>
              <w:left w:color="000000" w:sz="4" w:val="single"/>
              <w:bottom w:color="000000" w:sz="4" w:val="single"/>
              <w:right w:color="000000" w:sz="4" w:val="single"/>
            </w:tcBorders>
            <w:shd w:fill="FFFFFF" w:val="clear"/>
            <w:vAlign w:val="center"/>
          </w:tcPr>
          <w:p w14:paraId="D73B0000">
            <w:pPr>
              <w:widowControl w:val="1"/>
              <w:ind/>
              <w:jc w:val="center"/>
              <w:rPr>
                <w:sz w:val="18"/>
              </w:rPr>
            </w:pPr>
            <w:r>
              <w:rPr>
                <w:sz w:val="18"/>
              </w:rPr>
              <w:t>13000,00</w:t>
            </w:r>
          </w:p>
        </w:tc>
        <w:tc>
          <w:tcPr>
            <w:tcW w:type="dxa" w:w="771"/>
            <w:tcBorders>
              <w:top w:color="000000" w:sz="4" w:val="single"/>
              <w:left w:color="000000" w:sz="4" w:val="single"/>
              <w:bottom w:color="000000" w:sz="4" w:val="single"/>
              <w:right w:color="000000" w:sz="4" w:val="single"/>
            </w:tcBorders>
            <w:shd w:fill="FFFFFF" w:val="clear"/>
            <w:vAlign w:val="center"/>
          </w:tcPr>
          <w:p w14:paraId="D83B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D93B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DA3B0000">
            <w:pPr>
              <w:widowControl w:val="1"/>
              <w:ind/>
              <w:jc w:val="center"/>
              <w:rPr>
                <w:sz w:val="18"/>
              </w:rPr>
            </w:pPr>
            <w:r>
              <w:rPr>
                <w:sz w:val="18"/>
              </w:rPr>
              <w:t>счет № 5007 от 19.10.2018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DB3B0000">
            <w:pPr>
              <w:widowControl w:val="1"/>
              <w:ind/>
              <w:jc w:val="center"/>
              <w:rPr>
                <w:color w:val="000000"/>
                <w:sz w:val="18"/>
              </w:rPr>
            </w:pPr>
            <w:r>
              <w:rPr>
                <w:color w:val="000000"/>
                <w:sz w:val="18"/>
              </w:rPr>
              <w:t>211</w:t>
            </w:r>
          </w:p>
        </w:tc>
        <w:tc>
          <w:tcPr>
            <w:tcW w:type="dxa" w:w="618"/>
            <w:tcBorders>
              <w:top w:color="000000" w:sz="4" w:val="single"/>
              <w:left w:color="000000" w:sz="4" w:val="single"/>
              <w:bottom w:color="000000" w:sz="4" w:val="single"/>
              <w:right w:color="000000" w:sz="4" w:val="single"/>
            </w:tcBorders>
            <w:shd w:fill="FFFFFF" w:val="clear"/>
            <w:vAlign w:val="center"/>
          </w:tcPr>
          <w:p w14:paraId="DC3B0000">
            <w:pPr>
              <w:widowControl w:val="1"/>
              <w:ind/>
              <w:jc w:val="center"/>
              <w:rPr>
                <w:sz w:val="18"/>
              </w:rPr>
            </w:pPr>
            <w:r>
              <w:rPr>
                <w:sz w:val="18"/>
              </w:rPr>
              <w:t>137/2</w:t>
            </w:r>
          </w:p>
        </w:tc>
        <w:tc>
          <w:tcPr>
            <w:tcW w:type="dxa" w:w="993"/>
            <w:tcBorders>
              <w:top w:color="000000" w:sz="4" w:val="single"/>
              <w:left w:color="000000" w:sz="4" w:val="single"/>
              <w:bottom w:color="000000" w:sz="4" w:val="single"/>
              <w:right w:color="000000" w:sz="4" w:val="single"/>
            </w:tcBorders>
            <w:shd w:fill="FFFFFF" w:val="clear"/>
            <w:vAlign w:val="center"/>
          </w:tcPr>
          <w:p w14:paraId="DD3B0000">
            <w:pPr>
              <w:widowControl w:val="1"/>
              <w:ind/>
              <w:jc w:val="center"/>
              <w:rPr>
                <w:sz w:val="18"/>
              </w:rPr>
            </w:pPr>
            <w:r>
              <w:rPr>
                <w:sz w:val="18"/>
              </w:rPr>
              <w:t>Оказание услуг по косметическому ремонту помещений</w:t>
            </w:r>
          </w:p>
        </w:tc>
        <w:tc>
          <w:tcPr>
            <w:tcW w:type="dxa" w:w="849"/>
            <w:tcBorders>
              <w:top w:color="000000" w:sz="4" w:val="single"/>
              <w:left w:color="000000" w:sz="4" w:val="single"/>
              <w:bottom w:color="000000" w:sz="4" w:val="single"/>
              <w:right w:color="000000" w:sz="4" w:val="single"/>
            </w:tcBorders>
            <w:shd w:fill="FFFFFF" w:val="clear"/>
            <w:vAlign w:val="center"/>
          </w:tcPr>
          <w:p w14:paraId="DE3B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DF3B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E03B0000">
            <w:pPr>
              <w:widowControl w:val="1"/>
              <w:ind/>
              <w:jc w:val="center"/>
              <w:rPr>
                <w:color w:val="000000"/>
                <w:sz w:val="18"/>
              </w:rPr>
            </w:pPr>
            <w:r>
              <w:rPr>
                <w:color w:val="000000"/>
                <w:sz w:val="18"/>
              </w:rPr>
              <w:t>26603,8</w:t>
            </w:r>
          </w:p>
        </w:tc>
        <w:tc>
          <w:tcPr>
            <w:tcW w:type="dxa" w:w="1134"/>
            <w:tcBorders>
              <w:top w:color="000000" w:sz="4" w:val="single"/>
              <w:left w:color="000000" w:sz="4" w:val="single"/>
              <w:bottom w:color="000000" w:sz="4" w:val="single"/>
              <w:right w:color="000000" w:sz="4" w:val="single"/>
            </w:tcBorders>
            <w:shd w:fill="FFFFFF" w:val="clear"/>
            <w:vAlign w:val="center"/>
          </w:tcPr>
          <w:p w14:paraId="E13B0000">
            <w:pPr>
              <w:widowControl w:val="1"/>
              <w:ind/>
              <w:jc w:val="center"/>
              <w:rPr>
                <w:sz w:val="18"/>
              </w:rPr>
            </w:pPr>
            <w:r>
              <w:rPr>
                <w:sz w:val="18"/>
              </w:rPr>
              <w:t>31392,60</w:t>
            </w:r>
          </w:p>
        </w:tc>
        <w:tc>
          <w:tcPr>
            <w:tcW w:type="dxa" w:w="993"/>
            <w:tcBorders>
              <w:top w:color="000000" w:sz="4" w:val="single"/>
              <w:left w:color="000000" w:sz="4" w:val="single"/>
              <w:bottom w:color="000000" w:sz="4" w:val="single"/>
              <w:right w:color="000000" w:sz="4" w:val="single"/>
            </w:tcBorders>
            <w:shd w:fill="FFFFFF" w:val="clear"/>
            <w:vAlign w:val="center"/>
          </w:tcPr>
          <w:p w14:paraId="E23B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E33B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E43B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E53B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E63B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E73B0000">
            <w:pPr>
              <w:widowControl w:val="1"/>
              <w:ind/>
              <w:jc w:val="center"/>
              <w:rPr>
                <w:color w:val="000000"/>
                <w:sz w:val="18"/>
              </w:rPr>
            </w:pPr>
            <w:r>
              <w:rPr>
                <w:color w:val="000000"/>
                <w:sz w:val="18"/>
              </w:rPr>
              <w:t>26603,8</w:t>
            </w:r>
          </w:p>
        </w:tc>
        <w:tc>
          <w:tcPr>
            <w:tcW w:type="dxa" w:w="1185"/>
            <w:tcBorders>
              <w:top w:color="000000" w:sz="4" w:val="single"/>
              <w:left w:color="000000" w:sz="4" w:val="single"/>
              <w:bottom w:color="000000" w:sz="4" w:val="single"/>
              <w:right w:color="000000" w:sz="4" w:val="single"/>
            </w:tcBorders>
            <w:shd w:fill="FFFFFF" w:val="clear"/>
            <w:vAlign w:val="center"/>
          </w:tcPr>
          <w:p w14:paraId="E83B0000">
            <w:pPr>
              <w:widowControl w:val="1"/>
              <w:ind/>
              <w:jc w:val="center"/>
              <w:rPr>
                <w:sz w:val="18"/>
              </w:rPr>
            </w:pPr>
            <w:r>
              <w:rPr>
                <w:sz w:val="18"/>
              </w:rPr>
              <w:t>31392,60</w:t>
            </w:r>
          </w:p>
        </w:tc>
        <w:tc>
          <w:tcPr>
            <w:tcW w:type="dxa" w:w="1083"/>
            <w:tcBorders>
              <w:top w:color="000000" w:sz="4" w:val="single"/>
              <w:left w:color="000000" w:sz="4" w:val="single"/>
              <w:bottom w:color="000000" w:sz="4" w:val="single"/>
              <w:right w:color="000000" w:sz="4" w:val="single"/>
            </w:tcBorders>
            <w:shd w:fill="FFFFFF" w:val="clear"/>
            <w:vAlign w:val="center"/>
          </w:tcPr>
          <w:p w14:paraId="E93B0000">
            <w:pPr>
              <w:widowControl w:val="1"/>
              <w:ind/>
              <w:jc w:val="center"/>
              <w:rPr>
                <w:sz w:val="18"/>
              </w:rPr>
            </w:pPr>
            <w:r>
              <w:rPr>
                <w:sz w:val="18"/>
              </w:rPr>
              <w:t>31392,60</w:t>
            </w:r>
          </w:p>
        </w:tc>
        <w:tc>
          <w:tcPr>
            <w:tcW w:type="dxa" w:w="771"/>
            <w:tcBorders>
              <w:top w:color="000000" w:sz="4" w:val="single"/>
              <w:left w:color="000000" w:sz="4" w:val="single"/>
              <w:bottom w:color="000000" w:sz="4" w:val="single"/>
              <w:right w:color="000000" w:sz="4" w:val="single"/>
            </w:tcBorders>
            <w:shd w:fill="FFFFFF" w:val="clear"/>
            <w:vAlign w:val="center"/>
          </w:tcPr>
          <w:p w14:paraId="EA3B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B3B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EC3B0000">
            <w:pPr>
              <w:widowControl w:val="1"/>
              <w:ind/>
              <w:jc w:val="center"/>
              <w:rPr>
                <w:sz w:val="18"/>
              </w:rPr>
            </w:pPr>
            <w:r>
              <w:rPr>
                <w:sz w:val="18"/>
              </w:rPr>
              <w:t>счет № 332 от 05.10.2018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ED3B0000">
            <w:pPr>
              <w:widowControl w:val="1"/>
              <w:ind/>
              <w:jc w:val="center"/>
              <w:rPr>
                <w:color w:val="000000"/>
                <w:sz w:val="18"/>
              </w:rPr>
            </w:pPr>
            <w:r>
              <w:rPr>
                <w:color w:val="000000"/>
                <w:sz w:val="18"/>
              </w:rPr>
              <w:t>212</w:t>
            </w:r>
          </w:p>
        </w:tc>
        <w:tc>
          <w:tcPr>
            <w:tcW w:type="dxa" w:w="618"/>
            <w:tcBorders>
              <w:top w:color="000000" w:sz="4" w:val="single"/>
              <w:left w:color="000000" w:sz="4" w:val="single"/>
              <w:bottom w:color="000000" w:sz="4" w:val="single"/>
              <w:right w:color="000000" w:sz="4" w:val="single"/>
            </w:tcBorders>
            <w:shd w:fill="FFFFFF" w:val="clear"/>
            <w:vAlign w:val="center"/>
          </w:tcPr>
          <w:p w14:paraId="EE3B0000">
            <w:pPr>
              <w:widowControl w:val="1"/>
              <w:ind/>
              <w:jc w:val="center"/>
              <w:rPr>
                <w:sz w:val="18"/>
              </w:rPr>
            </w:pPr>
            <w:r>
              <w:rPr>
                <w:sz w:val="18"/>
              </w:rPr>
              <w:t>138/2</w:t>
            </w:r>
          </w:p>
        </w:tc>
        <w:tc>
          <w:tcPr>
            <w:tcW w:type="dxa" w:w="993"/>
            <w:tcBorders>
              <w:top w:color="000000" w:sz="4" w:val="single"/>
              <w:left w:color="000000" w:sz="4" w:val="single"/>
              <w:bottom w:color="000000" w:sz="4" w:val="single"/>
              <w:right w:color="000000" w:sz="4" w:val="single"/>
            </w:tcBorders>
            <w:shd w:fill="FFFFFF" w:val="clear"/>
            <w:vAlign w:val="center"/>
          </w:tcPr>
          <w:p w14:paraId="EF3B0000">
            <w:pPr>
              <w:widowControl w:val="1"/>
              <w:ind/>
              <w:jc w:val="center"/>
              <w:rPr>
                <w:sz w:val="18"/>
              </w:rPr>
            </w:pPr>
            <w:r>
              <w:rPr>
                <w:sz w:val="18"/>
              </w:rPr>
              <w:t>оказание услуг по организации соединительной линии</w:t>
            </w:r>
          </w:p>
        </w:tc>
        <w:tc>
          <w:tcPr>
            <w:tcW w:type="dxa" w:w="849"/>
            <w:tcBorders>
              <w:top w:color="000000" w:sz="4" w:val="single"/>
              <w:left w:color="000000" w:sz="4" w:val="single"/>
              <w:bottom w:color="000000" w:sz="4" w:val="single"/>
              <w:right w:color="000000" w:sz="4" w:val="single"/>
            </w:tcBorders>
            <w:shd w:fill="FFFFFF" w:val="clear"/>
            <w:vAlign w:val="center"/>
          </w:tcPr>
          <w:p w14:paraId="F03B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F13B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F23B0000">
            <w:pPr>
              <w:widowControl w:val="1"/>
              <w:ind/>
              <w:jc w:val="center"/>
              <w:rPr>
                <w:color w:val="000000"/>
                <w:sz w:val="18"/>
              </w:rPr>
            </w:pPr>
            <w:r>
              <w:rPr>
                <w:color w:val="000000"/>
                <w:sz w:val="18"/>
              </w:rPr>
              <w:t>8135,6</w:t>
            </w:r>
          </w:p>
        </w:tc>
        <w:tc>
          <w:tcPr>
            <w:tcW w:type="dxa" w:w="1134"/>
            <w:tcBorders>
              <w:top w:color="000000" w:sz="4" w:val="single"/>
              <w:left w:color="000000" w:sz="4" w:val="single"/>
              <w:bottom w:color="000000" w:sz="4" w:val="single"/>
              <w:right w:color="000000" w:sz="4" w:val="single"/>
            </w:tcBorders>
            <w:shd w:fill="FFFFFF" w:val="clear"/>
            <w:vAlign w:val="center"/>
          </w:tcPr>
          <w:p w14:paraId="F33B0000">
            <w:pPr>
              <w:widowControl w:val="1"/>
              <w:ind/>
              <w:jc w:val="center"/>
              <w:rPr>
                <w:sz w:val="18"/>
              </w:rPr>
            </w:pPr>
            <w:r>
              <w:rPr>
                <w:sz w:val="18"/>
              </w:rPr>
              <w:t>9600,00</w:t>
            </w:r>
          </w:p>
        </w:tc>
        <w:tc>
          <w:tcPr>
            <w:tcW w:type="dxa" w:w="993"/>
            <w:tcBorders>
              <w:top w:color="000000" w:sz="4" w:val="single"/>
              <w:left w:color="000000" w:sz="4" w:val="single"/>
              <w:bottom w:color="000000" w:sz="4" w:val="single"/>
              <w:right w:color="000000" w:sz="4" w:val="single"/>
            </w:tcBorders>
            <w:shd w:fill="FFFFFF" w:val="clear"/>
            <w:vAlign w:val="center"/>
          </w:tcPr>
          <w:p w14:paraId="F43B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F53B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F63B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F73B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F83B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F93B0000">
            <w:pPr>
              <w:widowControl w:val="1"/>
              <w:ind/>
              <w:jc w:val="center"/>
              <w:rPr>
                <w:color w:val="000000"/>
                <w:sz w:val="18"/>
              </w:rPr>
            </w:pPr>
            <w:r>
              <w:rPr>
                <w:color w:val="000000"/>
                <w:sz w:val="18"/>
              </w:rPr>
              <w:t>8135,6</w:t>
            </w:r>
          </w:p>
        </w:tc>
        <w:tc>
          <w:tcPr>
            <w:tcW w:type="dxa" w:w="1185"/>
            <w:tcBorders>
              <w:top w:color="000000" w:sz="4" w:val="single"/>
              <w:left w:color="000000" w:sz="4" w:val="single"/>
              <w:bottom w:color="000000" w:sz="4" w:val="single"/>
              <w:right w:color="000000" w:sz="4" w:val="single"/>
            </w:tcBorders>
            <w:shd w:fill="FFFFFF" w:val="clear"/>
            <w:vAlign w:val="center"/>
          </w:tcPr>
          <w:p w14:paraId="FA3B0000">
            <w:pPr>
              <w:widowControl w:val="1"/>
              <w:ind/>
              <w:jc w:val="center"/>
              <w:rPr>
                <w:sz w:val="18"/>
              </w:rPr>
            </w:pPr>
            <w:r>
              <w:rPr>
                <w:sz w:val="18"/>
              </w:rPr>
              <w:t>9600,00</w:t>
            </w:r>
          </w:p>
        </w:tc>
        <w:tc>
          <w:tcPr>
            <w:tcW w:type="dxa" w:w="1083"/>
            <w:tcBorders>
              <w:top w:color="000000" w:sz="4" w:val="single"/>
              <w:left w:color="000000" w:sz="4" w:val="single"/>
              <w:bottom w:color="000000" w:sz="4" w:val="single"/>
              <w:right w:color="000000" w:sz="4" w:val="single"/>
            </w:tcBorders>
            <w:shd w:fill="FFFFFF" w:val="clear"/>
            <w:vAlign w:val="center"/>
          </w:tcPr>
          <w:p w14:paraId="FB3B0000">
            <w:pPr>
              <w:widowControl w:val="1"/>
              <w:ind/>
              <w:jc w:val="center"/>
              <w:rPr>
                <w:sz w:val="18"/>
              </w:rPr>
            </w:pPr>
            <w:r>
              <w:rPr>
                <w:sz w:val="18"/>
              </w:rPr>
              <w:t>9600,00</w:t>
            </w:r>
          </w:p>
        </w:tc>
        <w:tc>
          <w:tcPr>
            <w:tcW w:type="dxa" w:w="771"/>
            <w:tcBorders>
              <w:top w:color="000000" w:sz="4" w:val="single"/>
              <w:left w:color="000000" w:sz="4" w:val="single"/>
              <w:bottom w:color="000000" w:sz="4" w:val="single"/>
              <w:right w:color="000000" w:sz="4" w:val="single"/>
            </w:tcBorders>
            <w:shd w:fill="FFFFFF" w:val="clear"/>
            <w:vAlign w:val="center"/>
          </w:tcPr>
          <w:p w14:paraId="FC3B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FD3B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FE3B0000">
            <w:pPr>
              <w:widowControl w:val="1"/>
              <w:ind/>
              <w:jc w:val="center"/>
              <w:rPr>
                <w:sz w:val="18"/>
              </w:rPr>
            </w:pPr>
            <w:r>
              <w:rPr>
                <w:sz w:val="18"/>
              </w:rPr>
              <w:t>счет № 81 от 03.10.2018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FF3B0000">
            <w:pPr>
              <w:widowControl w:val="1"/>
              <w:ind/>
              <w:jc w:val="center"/>
              <w:rPr>
                <w:color w:val="000000"/>
                <w:sz w:val="18"/>
              </w:rPr>
            </w:pPr>
            <w:r>
              <w:rPr>
                <w:color w:val="000000"/>
                <w:sz w:val="18"/>
              </w:rPr>
              <w:t>213</w:t>
            </w:r>
          </w:p>
        </w:tc>
        <w:tc>
          <w:tcPr>
            <w:tcW w:type="dxa" w:w="618"/>
            <w:tcBorders>
              <w:top w:color="000000" w:sz="4" w:val="single"/>
              <w:left w:color="000000" w:sz="4" w:val="single"/>
              <w:bottom w:color="000000" w:sz="4" w:val="single"/>
              <w:right w:color="000000" w:sz="4" w:val="single"/>
            </w:tcBorders>
            <w:shd w:fill="FFFFFF" w:val="clear"/>
            <w:vAlign w:val="center"/>
          </w:tcPr>
          <w:p w14:paraId="003C0000">
            <w:pPr>
              <w:widowControl w:val="1"/>
              <w:ind/>
              <w:jc w:val="center"/>
              <w:rPr>
                <w:sz w:val="18"/>
              </w:rPr>
            </w:pPr>
            <w:r>
              <w:rPr>
                <w:sz w:val="18"/>
              </w:rPr>
              <w:t>139/2</w:t>
            </w:r>
          </w:p>
        </w:tc>
        <w:tc>
          <w:tcPr>
            <w:tcW w:type="dxa" w:w="993"/>
            <w:tcBorders>
              <w:top w:color="000000" w:sz="4" w:val="single"/>
              <w:left w:color="000000" w:sz="4" w:val="single"/>
              <w:bottom w:color="000000" w:sz="4" w:val="single"/>
              <w:right w:color="000000" w:sz="4" w:val="single"/>
            </w:tcBorders>
            <w:shd w:fill="FFFFFF" w:val="clear"/>
            <w:vAlign w:val="center"/>
          </w:tcPr>
          <w:p w14:paraId="013C0000">
            <w:pPr>
              <w:widowControl w:val="1"/>
              <w:ind/>
              <w:jc w:val="center"/>
              <w:rPr>
                <w:sz w:val="18"/>
              </w:rPr>
            </w:pPr>
            <w:r>
              <w:rPr>
                <w:sz w:val="18"/>
              </w:rPr>
              <w:t>оказание услуг по размещению рекламных материалов</w:t>
            </w:r>
          </w:p>
        </w:tc>
        <w:tc>
          <w:tcPr>
            <w:tcW w:type="dxa" w:w="849"/>
            <w:tcBorders>
              <w:top w:color="000000" w:sz="4" w:val="single"/>
              <w:left w:color="000000" w:sz="4" w:val="single"/>
              <w:bottom w:color="000000" w:sz="4" w:val="single"/>
              <w:right w:color="000000" w:sz="4" w:val="single"/>
            </w:tcBorders>
            <w:shd w:fill="FFFFFF" w:val="clear"/>
            <w:vAlign w:val="center"/>
          </w:tcPr>
          <w:p w14:paraId="023C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033C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043C0000">
            <w:pPr>
              <w:widowControl w:val="1"/>
              <w:ind/>
              <w:jc w:val="center"/>
              <w:rPr>
                <w:sz w:val="18"/>
              </w:rPr>
            </w:pPr>
            <w:r>
              <w:rPr>
                <w:sz w:val="18"/>
              </w:rPr>
              <w:t>20500,00</w:t>
            </w:r>
          </w:p>
        </w:tc>
        <w:tc>
          <w:tcPr>
            <w:tcW w:type="dxa" w:w="1134"/>
            <w:tcBorders>
              <w:top w:color="000000" w:sz="4" w:val="single"/>
              <w:left w:color="000000" w:sz="4" w:val="single"/>
              <w:bottom w:color="000000" w:sz="4" w:val="single"/>
              <w:right w:color="000000" w:sz="4" w:val="single"/>
            </w:tcBorders>
            <w:shd w:fill="FFFFFF" w:val="clear"/>
            <w:vAlign w:val="center"/>
          </w:tcPr>
          <w:p w14:paraId="053C0000">
            <w:pPr>
              <w:widowControl w:val="1"/>
              <w:ind/>
              <w:jc w:val="center"/>
              <w:rPr>
                <w:sz w:val="18"/>
              </w:rPr>
            </w:pPr>
            <w:r>
              <w:rPr>
                <w:sz w:val="18"/>
              </w:rPr>
              <w:t>20500,00</w:t>
            </w:r>
          </w:p>
        </w:tc>
        <w:tc>
          <w:tcPr>
            <w:tcW w:type="dxa" w:w="993"/>
            <w:tcBorders>
              <w:top w:color="000000" w:sz="4" w:val="single"/>
              <w:left w:color="000000" w:sz="4" w:val="single"/>
              <w:bottom w:color="000000" w:sz="4" w:val="single"/>
              <w:right w:color="000000" w:sz="4" w:val="single"/>
            </w:tcBorders>
            <w:shd w:fill="FFFFFF" w:val="clear"/>
            <w:vAlign w:val="center"/>
          </w:tcPr>
          <w:p w14:paraId="063C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073C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083C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093C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0A3C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0B3C0000">
            <w:pPr>
              <w:widowControl w:val="1"/>
              <w:ind/>
              <w:jc w:val="center"/>
              <w:rPr>
                <w:sz w:val="18"/>
              </w:rPr>
            </w:pPr>
            <w:r>
              <w:rPr>
                <w:sz w:val="18"/>
              </w:rPr>
              <w:t>20500,00</w:t>
            </w:r>
          </w:p>
        </w:tc>
        <w:tc>
          <w:tcPr>
            <w:tcW w:type="dxa" w:w="1185"/>
            <w:tcBorders>
              <w:top w:color="000000" w:sz="4" w:val="single"/>
              <w:left w:color="000000" w:sz="4" w:val="single"/>
              <w:bottom w:color="000000" w:sz="4" w:val="single"/>
              <w:right w:color="000000" w:sz="4" w:val="single"/>
            </w:tcBorders>
            <w:shd w:fill="FFFFFF" w:val="clear"/>
            <w:vAlign w:val="center"/>
          </w:tcPr>
          <w:p w14:paraId="0C3C0000">
            <w:pPr>
              <w:widowControl w:val="1"/>
              <w:ind/>
              <w:jc w:val="center"/>
              <w:rPr>
                <w:sz w:val="18"/>
              </w:rPr>
            </w:pPr>
            <w:r>
              <w:rPr>
                <w:sz w:val="18"/>
              </w:rPr>
              <w:t>20500,00</w:t>
            </w:r>
          </w:p>
        </w:tc>
        <w:tc>
          <w:tcPr>
            <w:tcW w:type="dxa" w:w="1083"/>
            <w:tcBorders>
              <w:top w:color="000000" w:sz="4" w:val="single"/>
              <w:left w:color="000000" w:sz="4" w:val="single"/>
              <w:bottom w:color="000000" w:sz="4" w:val="single"/>
              <w:right w:color="000000" w:sz="4" w:val="single"/>
            </w:tcBorders>
            <w:shd w:fill="FFFFFF" w:val="clear"/>
            <w:vAlign w:val="center"/>
          </w:tcPr>
          <w:p w14:paraId="0D3C0000">
            <w:pPr>
              <w:widowControl w:val="1"/>
              <w:ind/>
              <w:jc w:val="center"/>
              <w:rPr>
                <w:sz w:val="18"/>
              </w:rPr>
            </w:pPr>
            <w:r>
              <w:rPr>
                <w:sz w:val="18"/>
              </w:rPr>
              <w:t>20500,00</w:t>
            </w:r>
          </w:p>
        </w:tc>
        <w:tc>
          <w:tcPr>
            <w:tcW w:type="dxa" w:w="771"/>
            <w:tcBorders>
              <w:top w:color="000000" w:sz="4" w:val="single"/>
              <w:left w:color="000000" w:sz="4" w:val="single"/>
              <w:bottom w:color="000000" w:sz="4" w:val="single"/>
              <w:right w:color="000000" w:sz="4" w:val="single"/>
            </w:tcBorders>
            <w:shd w:fill="FFFFFF" w:val="clear"/>
            <w:vAlign w:val="center"/>
          </w:tcPr>
          <w:p w14:paraId="0E3C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0F3C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103C0000">
            <w:pPr>
              <w:widowControl w:val="1"/>
              <w:ind/>
              <w:jc w:val="center"/>
              <w:rPr>
                <w:sz w:val="18"/>
              </w:rPr>
            </w:pPr>
            <w:r>
              <w:rPr>
                <w:sz w:val="18"/>
              </w:rPr>
              <w:t>счет № 077 от 19.10.2018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113C0000">
            <w:pPr>
              <w:widowControl w:val="1"/>
              <w:ind/>
              <w:jc w:val="center"/>
              <w:rPr>
                <w:color w:val="000000"/>
                <w:sz w:val="18"/>
              </w:rPr>
            </w:pPr>
            <w:r>
              <w:rPr>
                <w:color w:val="000000"/>
                <w:sz w:val="18"/>
              </w:rPr>
              <w:t>214</w:t>
            </w:r>
          </w:p>
        </w:tc>
        <w:tc>
          <w:tcPr>
            <w:tcW w:type="dxa" w:w="618"/>
            <w:tcBorders>
              <w:top w:color="000000" w:sz="4" w:val="single"/>
              <w:left w:color="000000" w:sz="4" w:val="single"/>
              <w:bottom w:color="000000" w:sz="4" w:val="single"/>
              <w:right w:color="000000" w:sz="4" w:val="single"/>
            </w:tcBorders>
            <w:shd w:fill="FFFFFF" w:val="clear"/>
            <w:vAlign w:val="center"/>
          </w:tcPr>
          <w:p w14:paraId="123C0000">
            <w:pPr>
              <w:widowControl w:val="1"/>
              <w:ind/>
              <w:jc w:val="center"/>
              <w:rPr>
                <w:sz w:val="18"/>
              </w:rPr>
            </w:pPr>
            <w:r>
              <w:rPr>
                <w:sz w:val="18"/>
              </w:rPr>
              <w:t>140/2</w:t>
            </w:r>
          </w:p>
        </w:tc>
        <w:tc>
          <w:tcPr>
            <w:tcW w:type="dxa" w:w="993"/>
            <w:tcBorders>
              <w:top w:color="000000" w:sz="4" w:val="single"/>
              <w:left w:color="000000" w:sz="4" w:val="single"/>
              <w:bottom w:color="000000" w:sz="4" w:val="single"/>
              <w:right w:color="000000" w:sz="4" w:val="single"/>
            </w:tcBorders>
            <w:shd w:fill="FFFFFF" w:val="clear"/>
            <w:vAlign w:val="center"/>
          </w:tcPr>
          <w:p w14:paraId="133C0000">
            <w:pPr>
              <w:widowControl w:val="1"/>
              <w:ind/>
              <w:jc w:val="center"/>
              <w:rPr>
                <w:sz w:val="18"/>
              </w:rPr>
            </w:pPr>
            <w:r>
              <w:rPr>
                <w:sz w:val="18"/>
              </w:rPr>
              <w:t>оказание услуг по техническому обслуживанию автомобиля</w:t>
            </w:r>
          </w:p>
        </w:tc>
        <w:tc>
          <w:tcPr>
            <w:tcW w:type="dxa" w:w="849"/>
            <w:tcBorders>
              <w:top w:color="000000" w:sz="4" w:val="single"/>
              <w:left w:color="000000" w:sz="4" w:val="single"/>
              <w:bottom w:color="000000" w:sz="4" w:val="single"/>
              <w:right w:color="000000" w:sz="4" w:val="single"/>
            </w:tcBorders>
            <w:shd w:fill="FFFFFF" w:val="clear"/>
            <w:vAlign w:val="center"/>
          </w:tcPr>
          <w:p w14:paraId="143C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153C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163C0000">
            <w:pPr>
              <w:widowControl w:val="1"/>
              <w:ind/>
              <w:jc w:val="center"/>
              <w:rPr>
                <w:sz w:val="18"/>
              </w:rPr>
            </w:pPr>
            <w:r>
              <w:rPr>
                <w:sz w:val="18"/>
              </w:rPr>
              <w:t>10283,00</w:t>
            </w:r>
          </w:p>
        </w:tc>
        <w:tc>
          <w:tcPr>
            <w:tcW w:type="dxa" w:w="1134"/>
            <w:tcBorders>
              <w:top w:color="000000" w:sz="4" w:val="single"/>
              <w:left w:color="000000" w:sz="4" w:val="single"/>
              <w:bottom w:color="000000" w:sz="4" w:val="single"/>
              <w:right w:color="000000" w:sz="4" w:val="single"/>
            </w:tcBorders>
            <w:shd w:fill="FFFFFF" w:val="clear"/>
            <w:vAlign w:val="center"/>
          </w:tcPr>
          <w:p w14:paraId="173C0000">
            <w:pPr>
              <w:widowControl w:val="1"/>
              <w:ind/>
              <w:jc w:val="center"/>
              <w:rPr>
                <w:sz w:val="18"/>
              </w:rPr>
            </w:pPr>
            <w:r>
              <w:rPr>
                <w:sz w:val="18"/>
              </w:rPr>
              <w:t>10283,00</w:t>
            </w:r>
          </w:p>
        </w:tc>
        <w:tc>
          <w:tcPr>
            <w:tcW w:type="dxa" w:w="993"/>
            <w:tcBorders>
              <w:top w:color="000000" w:sz="4" w:val="single"/>
              <w:left w:color="000000" w:sz="4" w:val="single"/>
              <w:bottom w:color="000000" w:sz="4" w:val="single"/>
              <w:right w:color="000000" w:sz="4" w:val="single"/>
            </w:tcBorders>
            <w:shd w:fill="FFFFFF" w:val="clear"/>
            <w:vAlign w:val="center"/>
          </w:tcPr>
          <w:p w14:paraId="183C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193C0000">
            <w:pPr>
              <w:widowControl w:val="1"/>
              <w:ind/>
              <w:jc w:val="center"/>
              <w:rPr>
                <w:sz w:val="18"/>
              </w:rPr>
            </w:pPr>
            <w:r>
              <w:rPr>
                <w:sz w:val="18"/>
              </w:rPr>
              <w:t>ноябрь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1A3C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1B3C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1C3C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1D3C0000">
            <w:pPr>
              <w:widowControl w:val="1"/>
              <w:ind/>
              <w:jc w:val="center"/>
              <w:rPr>
                <w:sz w:val="18"/>
              </w:rPr>
            </w:pPr>
            <w:r>
              <w:rPr>
                <w:sz w:val="18"/>
              </w:rPr>
              <w:t>10283,00</w:t>
            </w:r>
          </w:p>
        </w:tc>
        <w:tc>
          <w:tcPr>
            <w:tcW w:type="dxa" w:w="1185"/>
            <w:tcBorders>
              <w:top w:color="000000" w:sz="4" w:val="single"/>
              <w:left w:color="000000" w:sz="4" w:val="single"/>
              <w:bottom w:color="000000" w:sz="4" w:val="single"/>
              <w:right w:color="000000" w:sz="4" w:val="single"/>
            </w:tcBorders>
            <w:shd w:fill="FFFFFF" w:val="clear"/>
            <w:vAlign w:val="center"/>
          </w:tcPr>
          <w:p w14:paraId="1E3C0000">
            <w:pPr>
              <w:widowControl w:val="1"/>
              <w:ind/>
              <w:jc w:val="center"/>
              <w:rPr>
                <w:sz w:val="18"/>
              </w:rPr>
            </w:pPr>
            <w:r>
              <w:rPr>
                <w:sz w:val="18"/>
              </w:rPr>
              <w:t>10283,00</w:t>
            </w:r>
          </w:p>
        </w:tc>
        <w:tc>
          <w:tcPr>
            <w:tcW w:type="dxa" w:w="1083"/>
            <w:tcBorders>
              <w:top w:color="000000" w:sz="4" w:val="single"/>
              <w:left w:color="000000" w:sz="4" w:val="single"/>
              <w:bottom w:color="000000" w:sz="4" w:val="single"/>
              <w:right w:color="000000" w:sz="4" w:val="single"/>
            </w:tcBorders>
            <w:shd w:fill="FFFFFF" w:val="clear"/>
            <w:vAlign w:val="center"/>
          </w:tcPr>
          <w:p w14:paraId="1F3C0000">
            <w:pPr>
              <w:widowControl w:val="1"/>
              <w:ind/>
              <w:jc w:val="center"/>
              <w:rPr>
                <w:sz w:val="18"/>
              </w:rPr>
            </w:pPr>
            <w:r>
              <w:rPr>
                <w:sz w:val="18"/>
              </w:rPr>
              <w:t>10283,00</w:t>
            </w:r>
          </w:p>
        </w:tc>
        <w:tc>
          <w:tcPr>
            <w:tcW w:type="dxa" w:w="771"/>
            <w:tcBorders>
              <w:top w:color="000000" w:sz="4" w:val="single"/>
              <w:left w:color="000000" w:sz="4" w:val="single"/>
              <w:bottom w:color="000000" w:sz="4" w:val="single"/>
              <w:right w:color="000000" w:sz="4" w:val="single"/>
            </w:tcBorders>
            <w:shd w:fill="FFFFFF" w:val="clear"/>
            <w:vAlign w:val="center"/>
          </w:tcPr>
          <w:p w14:paraId="203C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213C0000">
            <w:pPr>
              <w:widowControl w:val="1"/>
              <w:ind/>
              <w:jc w:val="center"/>
              <w:rPr>
                <w:sz w:val="18"/>
              </w:rPr>
            </w:pPr>
            <w:r>
              <w:rPr>
                <w:sz w:val="18"/>
              </w:rPr>
              <w:t>ноябрь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223C0000">
            <w:pPr>
              <w:widowControl w:val="1"/>
              <w:ind/>
              <w:jc w:val="center"/>
              <w:rPr>
                <w:sz w:val="18"/>
              </w:rPr>
            </w:pPr>
            <w:r>
              <w:rPr>
                <w:sz w:val="18"/>
              </w:rPr>
              <w:t>счет 255 от 27.10.2018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233C0000">
            <w:pPr>
              <w:widowControl w:val="1"/>
              <w:ind/>
              <w:jc w:val="center"/>
              <w:rPr>
                <w:color w:val="000000"/>
                <w:sz w:val="18"/>
              </w:rPr>
            </w:pPr>
            <w:r>
              <w:rPr>
                <w:color w:val="000000"/>
                <w:sz w:val="18"/>
              </w:rPr>
              <w:t>215</w:t>
            </w:r>
          </w:p>
        </w:tc>
        <w:tc>
          <w:tcPr>
            <w:tcW w:type="dxa" w:w="618"/>
            <w:tcBorders>
              <w:top w:color="000000" w:sz="4" w:val="single"/>
              <w:left w:color="000000" w:sz="4" w:val="single"/>
              <w:bottom w:color="000000" w:sz="4" w:val="single"/>
              <w:right w:color="000000" w:sz="4" w:val="single"/>
            </w:tcBorders>
            <w:shd w:fill="FFFFFF" w:val="clear"/>
            <w:vAlign w:val="center"/>
          </w:tcPr>
          <w:p w14:paraId="243C0000">
            <w:pPr>
              <w:widowControl w:val="1"/>
              <w:ind/>
              <w:jc w:val="center"/>
              <w:rPr>
                <w:sz w:val="18"/>
              </w:rPr>
            </w:pPr>
            <w:r>
              <w:rPr>
                <w:sz w:val="18"/>
              </w:rPr>
              <w:t>141/2</w:t>
            </w:r>
          </w:p>
        </w:tc>
        <w:tc>
          <w:tcPr>
            <w:tcW w:type="dxa" w:w="993"/>
            <w:tcBorders>
              <w:top w:color="000000" w:sz="4" w:val="single"/>
              <w:left w:color="000000" w:sz="4" w:val="single"/>
              <w:bottom w:color="000000" w:sz="4" w:val="single"/>
              <w:right w:color="000000" w:sz="4" w:val="single"/>
            </w:tcBorders>
            <w:shd w:fill="FFFFFF" w:val="clear"/>
            <w:vAlign w:val="center"/>
          </w:tcPr>
          <w:p w14:paraId="253C0000">
            <w:pPr>
              <w:widowControl w:val="1"/>
              <w:ind/>
              <w:jc w:val="center"/>
              <w:rPr>
                <w:sz w:val="18"/>
              </w:rPr>
            </w:pPr>
            <w:r>
              <w:rPr>
                <w:sz w:val="18"/>
              </w:rPr>
              <w:t>оказание информационных услуг</w:t>
            </w:r>
          </w:p>
        </w:tc>
        <w:tc>
          <w:tcPr>
            <w:tcW w:type="dxa" w:w="849"/>
            <w:tcBorders>
              <w:top w:color="000000" w:sz="4" w:val="single"/>
              <w:left w:color="000000" w:sz="4" w:val="single"/>
              <w:bottom w:color="000000" w:sz="4" w:val="single"/>
              <w:right w:color="000000" w:sz="4" w:val="single"/>
            </w:tcBorders>
            <w:shd w:fill="FFFFFF" w:val="clear"/>
            <w:vAlign w:val="center"/>
          </w:tcPr>
          <w:p w14:paraId="263C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273C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283C0000">
            <w:pPr>
              <w:widowControl w:val="1"/>
              <w:ind/>
              <w:jc w:val="center"/>
              <w:rPr>
                <w:color w:val="000000"/>
                <w:sz w:val="18"/>
              </w:rPr>
            </w:pPr>
            <w:r>
              <w:rPr>
                <w:color w:val="000000"/>
                <w:sz w:val="18"/>
              </w:rPr>
              <w:t>1271</w:t>
            </w:r>
          </w:p>
        </w:tc>
        <w:tc>
          <w:tcPr>
            <w:tcW w:type="dxa" w:w="1134"/>
            <w:tcBorders>
              <w:top w:color="000000" w:sz="4" w:val="single"/>
              <w:left w:color="000000" w:sz="4" w:val="single"/>
              <w:bottom w:color="000000" w:sz="4" w:val="single"/>
              <w:right w:color="000000" w:sz="4" w:val="single"/>
            </w:tcBorders>
            <w:shd w:fill="FFFFFF" w:val="clear"/>
            <w:vAlign w:val="center"/>
          </w:tcPr>
          <w:p w14:paraId="293C0000">
            <w:pPr>
              <w:widowControl w:val="1"/>
              <w:ind/>
              <w:jc w:val="center"/>
              <w:rPr>
                <w:sz w:val="18"/>
              </w:rPr>
            </w:pPr>
            <w:r>
              <w:rPr>
                <w:sz w:val="18"/>
              </w:rPr>
              <w:t>1500,00</w:t>
            </w:r>
          </w:p>
        </w:tc>
        <w:tc>
          <w:tcPr>
            <w:tcW w:type="dxa" w:w="993"/>
            <w:tcBorders>
              <w:top w:color="000000" w:sz="4" w:val="single"/>
              <w:left w:color="000000" w:sz="4" w:val="single"/>
              <w:bottom w:color="000000" w:sz="4" w:val="single"/>
              <w:right w:color="000000" w:sz="4" w:val="single"/>
            </w:tcBorders>
            <w:shd w:fill="FFFFFF" w:val="clear"/>
            <w:vAlign w:val="center"/>
          </w:tcPr>
          <w:p w14:paraId="2A3C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2B3C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2C3C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2D3C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2E3C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2F3C0000">
            <w:pPr>
              <w:widowControl w:val="1"/>
              <w:ind/>
              <w:jc w:val="center"/>
              <w:rPr>
                <w:color w:val="000000"/>
                <w:sz w:val="18"/>
              </w:rPr>
            </w:pPr>
            <w:r>
              <w:rPr>
                <w:color w:val="000000"/>
                <w:sz w:val="18"/>
              </w:rPr>
              <w:t>1271</w:t>
            </w:r>
          </w:p>
        </w:tc>
        <w:tc>
          <w:tcPr>
            <w:tcW w:type="dxa" w:w="1185"/>
            <w:tcBorders>
              <w:top w:color="000000" w:sz="4" w:val="single"/>
              <w:left w:color="000000" w:sz="4" w:val="single"/>
              <w:bottom w:color="000000" w:sz="4" w:val="single"/>
              <w:right w:color="000000" w:sz="4" w:val="single"/>
            </w:tcBorders>
            <w:shd w:fill="FFFFFF" w:val="clear"/>
            <w:vAlign w:val="center"/>
          </w:tcPr>
          <w:p w14:paraId="303C0000">
            <w:pPr>
              <w:widowControl w:val="1"/>
              <w:ind/>
              <w:jc w:val="center"/>
              <w:rPr>
                <w:sz w:val="18"/>
              </w:rPr>
            </w:pPr>
            <w:r>
              <w:rPr>
                <w:sz w:val="18"/>
              </w:rPr>
              <w:t>1500,00</w:t>
            </w:r>
          </w:p>
        </w:tc>
        <w:tc>
          <w:tcPr>
            <w:tcW w:type="dxa" w:w="1083"/>
            <w:tcBorders>
              <w:top w:color="000000" w:sz="4" w:val="single"/>
              <w:left w:color="000000" w:sz="4" w:val="single"/>
              <w:bottom w:color="000000" w:sz="4" w:val="single"/>
              <w:right w:color="000000" w:sz="4" w:val="single"/>
            </w:tcBorders>
            <w:shd w:fill="FFFFFF" w:val="clear"/>
            <w:vAlign w:val="center"/>
          </w:tcPr>
          <w:p w14:paraId="313C0000">
            <w:pPr>
              <w:widowControl w:val="1"/>
              <w:ind/>
              <w:jc w:val="center"/>
              <w:rPr>
                <w:sz w:val="18"/>
              </w:rPr>
            </w:pPr>
            <w:r>
              <w:rPr>
                <w:sz w:val="18"/>
              </w:rPr>
              <w:t>1500,00</w:t>
            </w:r>
          </w:p>
        </w:tc>
        <w:tc>
          <w:tcPr>
            <w:tcW w:type="dxa" w:w="771"/>
            <w:tcBorders>
              <w:top w:color="000000" w:sz="4" w:val="single"/>
              <w:left w:color="000000" w:sz="4" w:val="single"/>
              <w:bottom w:color="000000" w:sz="4" w:val="single"/>
              <w:right w:color="000000" w:sz="4" w:val="single"/>
            </w:tcBorders>
            <w:shd w:fill="FFFFFF" w:val="clear"/>
            <w:vAlign w:val="center"/>
          </w:tcPr>
          <w:p w14:paraId="323C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333C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343C0000">
            <w:pPr>
              <w:widowControl w:val="1"/>
              <w:ind/>
              <w:jc w:val="center"/>
              <w:rPr>
                <w:sz w:val="18"/>
              </w:rPr>
            </w:pPr>
            <w:r>
              <w:rPr>
                <w:sz w:val="18"/>
              </w:rPr>
              <w:t>счет № 96155/11 от 22.10.2018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353C0000">
            <w:pPr>
              <w:widowControl w:val="1"/>
              <w:ind/>
              <w:jc w:val="center"/>
              <w:rPr>
                <w:color w:val="000000"/>
                <w:sz w:val="18"/>
              </w:rPr>
            </w:pPr>
            <w:r>
              <w:rPr>
                <w:color w:val="000000"/>
                <w:sz w:val="18"/>
              </w:rPr>
              <w:t>216</w:t>
            </w:r>
          </w:p>
        </w:tc>
        <w:tc>
          <w:tcPr>
            <w:tcW w:type="dxa" w:w="618"/>
            <w:tcBorders>
              <w:top w:color="000000" w:sz="4" w:val="single"/>
              <w:left w:color="000000" w:sz="4" w:val="single"/>
              <w:bottom w:color="000000" w:sz="4" w:val="single"/>
              <w:right w:color="000000" w:sz="4" w:val="single"/>
            </w:tcBorders>
            <w:shd w:fill="FFFFFF" w:val="clear"/>
            <w:vAlign w:val="center"/>
          </w:tcPr>
          <w:p w14:paraId="363C0000">
            <w:pPr>
              <w:widowControl w:val="1"/>
              <w:ind/>
              <w:jc w:val="center"/>
              <w:rPr>
                <w:sz w:val="18"/>
              </w:rPr>
            </w:pPr>
            <w:r>
              <w:rPr>
                <w:sz w:val="18"/>
              </w:rPr>
              <w:t>142/2</w:t>
            </w:r>
          </w:p>
        </w:tc>
        <w:tc>
          <w:tcPr>
            <w:tcW w:type="dxa" w:w="993"/>
            <w:tcBorders>
              <w:top w:color="000000" w:sz="4" w:val="single"/>
              <w:left w:color="000000" w:sz="4" w:val="single"/>
              <w:bottom w:color="000000" w:sz="4" w:val="single"/>
              <w:right w:color="000000" w:sz="4" w:val="single"/>
            </w:tcBorders>
            <w:shd w:fill="FFFFFF" w:val="clear"/>
            <w:vAlign w:val="center"/>
          </w:tcPr>
          <w:p w14:paraId="373C0000">
            <w:pPr>
              <w:widowControl w:val="1"/>
              <w:ind/>
              <w:jc w:val="center"/>
              <w:rPr>
                <w:sz w:val="18"/>
              </w:rPr>
            </w:pPr>
            <w:r>
              <w:rPr>
                <w:sz w:val="18"/>
              </w:rPr>
              <w:t>оказание услуг по продаже, оформлению и доставке авиабилетов</w:t>
            </w:r>
          </w:p>
        </w:tc>
        <w:tc>
          <w:tcPr>
            <w:tcW w:type="dxa" w:w="849"/>
            <w:tcBorders>
              <w:top w:color="000000" w:sz="4" w:val="single"/>
              <w:left w:color="000000" w:sz="4" w:val="single"/>
              <w:bottom w:color="000000" w:sz="4" w:val="single"/>
              <w:right w:color="000000" w:sz="4" w:val="single"/>
            </w:tcBorders>
            <w:shd w:fill="FFFFFF" w:val="clear"/>
            <w:vAlign w:val="center"/>
          </w:tcPr>
          <w:p w14:paraId="383C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393C0000">
            <w:pPr>
              <w:widowControl w:val="1"/>
              <w:ind/>
              <w:jc w:val="center"/>
              <w:rPr>
                <w:color w:val="000000"/>
                <w:sz w:val="18"/>
              </w:rPr>
            </w:pPr>
            <w:r>
              <w:rPr>
                <w:color w:val="000000"/>
                <w:sz w:val="18"/>
              </w:rPr>
              <w:t>76</w:t>
            </w:r>
          </w:p>
        </w:tc>
        <w:tc>
          <w:tcPr>
            <w:tcW w:type="dxa" w:w="991"/>
            <w:tcBorders>
              <w:top w:color="000000" w:sz="4" w:val="single"/>
              <w:left w:color="000000" w:sz="4" w:val="single"/>
              <w:bottom w:color="000000" w:sz="4" w:val="single"/>
              <w:right w:color="000000" w:sz="4" w:val="single"/>
            </w:tcBorders>
            <w:shd w:fill="FFFFFF" w:val="clear"/>
            <w:vAlign w:val="center"/>
          </w:tcPr>
          <w:p w14:paraId="3A3C0000">
            <w:pPr>
              <w:widowControl w:val="1"/>
              <w:ind/>
              <w:jc w:val="center"/>
              <w:rPr>
                <w:sz w:val="18"/>
              </w:rPr>
            </w:pPr>
            <w:r>
              <w:rPr>
                <w:sz w:val="18"/>
              </w:rPr>
              <w:t>29554,00</w:t>
            </w:r>
          </w:p>
        </w:tc>
        <w:tc>
          <w:tcPr>
            <w:tcW w:type="dxa" w:w="1134"/>
            <w:tcBorders>
              <w:top w:color="000000" w:sz="4" w:val="single"/>
              <w:left w:color="000000" w:sz="4" w:val="single"/>
              <w:bottom w:color="000000" w:sz="4" w:val="single"/>
              <w:right w:color="000000" w:sz="4" w:val="single"/>
            </w:tcBorders>
            <w:shd w:fill="FFFFFF" w:val="clear"/>
            <w:vAlign w:val="center"/>
          </w:tcPr>
          <w:p w14:paraId="3B3C0000">
            <w:pPr>
              <w:widowControl w:val="1"/>
              <w:ind/>
              <w:jc w:val="center"/>
              <w:rPr>
                <w:sz w:val="18"/>
              </w:rPr>
            </w:pPr>
            <w:r>
              <w:rPr>
                <w:sz w:val="18"/>
              </w:rPr>
              <w:t>29554,00</w:t>
            </w:r>
          </w:p>
        </w:tc>
        <w:tc>
          <w:tcPr>
            <w:tcW w:type="dxa" w:w="993"/>
            <w:tcBorders>
              <w:top w:color="000000" w:sz="4" w:val="single"/>
              <w:left w:color="000000" w:sz="4" w:val="single"/>
              <w:bottom w:color="000000" w:sz="4" w:val="single"/>
              <w:right w:color="000000" w:sz="4" w:val="single"/>
            </w:tcBorders>
            <w:shd w:fill="FFFFFF" w:val="clear"/>
            <w:vAlign w:val="center"/>
          </w:tcPr>
          <w:p w14:paraId="3C3C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3D3C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3E3C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3F3C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403C0000">
            <w:pPr>
              <w:widowControl w:val="1"/>
              <w:ind/>
              <w:jc w:val="center"/>
              <w:rPr>
                <w:color w:val="000000"/>
                <w:sz w:val="18"/>
              </w:rPr>
            </w:pPr>
            <w:r>
              <w:rPr>
                <w:color w:val="000000"/>
                <w:sz w:val="18"/>
              </w:rPr>
              <w:t>76</w:t>
            </w:r>
          </w:p>
        </w:tc>
        <w:tc>
          <w:tcPr>
            <w:tcW w:type="dxa" w:w="1169"/>
            <w:tcBorders>
              <w:top w:color="000000" w:sz="4" w:val="single"/>
              <w:left w:color="000000" w:sz="4" w:val="single"/>
              <w:bottom w:color="000000" w:sz="4" w:val="single"/>
              <w:right w:color="000000" w:sz="4" w:val="single"/>
            </w:tcBorders>
            <w:shd w:fill="FFFFFF" w:val="clear"/>
            <w:vAlign w:val="center"/>
          </w:tcPr>
          <w:p w14:paraId="413C0000">
            <w:pPr>
              <w:widowControl w:val="1"/>
              <w:ind/>
              <w:jc w:val="center"/>
              <w:rPr>
                <w:sz w:val="18"/>
              </w:rPr>
            </w:pPr>
            <w:r>
              <w:rPr>
                <w:sz w:val="18"/>
              </w:rPr>
              <w:t>29554,00</w:t>
            </w:r>
          </w:p>
        </w:tc>
        <w:tc>
          <w:tcPr>
            <w:tcW w:type="dxa" w:w="1185"/>
            <w:tcBorders>
              <w:top w:color="000000" w:sz="4" w:val="single"/>
              <w:left w:color="000000" w:sz="4" w:val="single"/>
              <w:bottom w:color="000000" w:sz="4" w:val="single"/>
              <w:right w:color="000000" w:sz="4" w:val="single"/>
            </w:tcBorders>
            <w:shd w:fill="FFFFFF" w:val="clear"/>
            <w:vAlign w:val="center"/>
          </w:tcPr>
          <w:p w14:paraId="423C0000">
            <w:pPr>
              <w:widowControl w:val="1"/>
              <w:ind/>
              <w:jc w:val="center"/>
              <w:rPr>
                <w:sz w:val="18"/>
              </w:rPr>
            </w:pPr>
            <w:r>
              <w:rPr>
                <w:sz w:val="18"/>
              </w:rPr>
              <w:t>29554,00</w:t>
            </w:r>
          </w:p>
        </w:tc>
        <w:tc>
          <w:tcPr>
            <w:tcW w:type="dxa" w:w="1083"/>
            <w:tcBorders>
              <w:top w:color="000000" w:sz="4" w:val="single"/>
              <w:left w:color="000000" w:sz="4" w:val="single"/>
              <w:bottom w:color="000000" w:sz="4" w:val="single"/>
              <w:right w:color="000000" w:sz="4" w:val="single"/>
            </w:tcBorders>
            <w:shd w:fill="FFFFFF" w:val="clear"/>
            <w:vAlign w:val="center"/>
          </w:tcPr>
          <w:p w14:paraId="433C0000">
            <w:pPr>
              <w:widowControl w:val="1"/>
              <w:ind/>
              <w:jc w:val="center"/>
              <w:rPr>
                <w:sz w:val="18"/>
              </w:rPr>
            </w:pPr>
            <w:r>
              <w:rPr>
                <w:sz w:val="18"/>
              </w:rPr>
              <w:t>29554,00</w:t>
            </w:r>
          </w:p>
        </w:tc>
        <w:tc>
          <w:tcPr>
            <w:tcW w:type="dxa" w:w="771"/>
            <w:tcBorders>
              <w:top w:color="000000" w:sz="4" w:val="single"/>
              <w:left w:color="000000" w:sz="4" w:val="single"/>
              <w:bottom w:color="000000" w:sz="4" w:val="single"/>
              <w:right w:color="000000" w:sz="4" w:val="single"/>
            </w:tcBorders>
            <w:shd w:fill="FFFFFF" w:val="clear"/>
            <w:vAlign w:val="center"/>
          </w:tcPr>
          <w:p w14:paraId="443C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453C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463C0000">
            <w:pPr>
              <w:widowControl w:val="1"/>
              <w:ind/>
              <w:jc w:val="center"/>
              <w:rPr>
                <w:sz w:val="18"/>
              </w:rPr>
            </w:pPr>
            <w:r>
              <w:rPr>
                <w:sz w:val="18"/>
              </w:rPr>
              <w:t>счет № 2217 от 22.10.2018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473C0000">
            <w:pPr>
              <w:widowControl w:val="1"/>
              <w:ind/>
              <w:jc w:val="center"/>
              <w:rPr>
                <w:color w:val="000000"/>
                <w:sz w:val="18"/>
              </w:rPr>
            </w:pPr>
            <w:r>
              <w:rPr>
                <w:color w:val="000000"/>
                <w:sz w:val="18"/>
              </w:rPr>
              <w:t>217</w:t>
            </w:r>
          </w:p>
        </w:tc>
        <w:tc>
          <w:tcPr>
            <w:tcW w:type="dxa" w:w="618"/>
            <w:tcBorders>
              <w:top w:color="000000" w:sz="4" w:val="single"/>
              <w:left w:color="000000" w:sz="4" w:val="single"/>
              <w:bottom w:color="000000" w:sz="4" w:val="single"/>
              <w:right w:color="000000" w:sz="4" w:val="single"/>
            </w:tcBorders>
            <w:shd w:fill="FFFFFF" w:val="clear"/>
            <w:vAlign w:val="center"/>
          </w:tcPr>
          <w:p w14:paraId="483C0000">
            <w:pPr>
              <w:widowControl w:val="1"/>
              <w:ind/>
              <w:jc w:val="center"/>
              <w:rPr>
                <w:sz w:val="18"/>
              </w:rPr>
            </w:pPr>
            <w:r>
              <w:rPr>
                <w:sz w:val="18"/>
              </w:rPr>
              <w:t>143/2</w:t>
            </w:r>
          </w:p>
        </w:tc>
        <w:tc>
          <w:tcPr>
            <w:tcW w:type="dxa" w:w="993"/>
            <w:tcBorders>
              <w:top w:color="000000" w:sz="4" w:val="single"/>
              <w:left w:color="000000" w:sz="4" w:val="single"/>
              <w:bottom w:color="000000" w:sz="4" w:val="single"/>
              <w:right w:color="000000" w:sz="4" w:val="single"/>
            </w:tcBorders>
            <w:shd w:fill="FFFFFF" w:val="clear"/>
            <w:vAlign w:val="center"/>
          </w:tcPr>
          <w:p w14:paraId="493C0000">
            <w:pPr>
              <w:widowControl w:val="1"/>
              <w:ind/>
              <w:jc w:val="center"/>
              <w:rPr>
                <w:color w:val="000000"/>
                <w:sz w:val="18"/>
              </w:rPr>
            </w:pPr>
            <w:r>
              <w:rPr>
                <w:color w:val="000000"/>
                <w:sz w:val="18"/>
              </w:rPr>
              <w:t>Выполнение работ по демонтажу и монтажу кондиционера</w:t>
            </w:r>
          </w:p>
        </w:tc>
        <w:tc>
          <w:tcPr>
            <w:tcW w:type="dxa" w:w="849"/>
            <w:tcBorders>
              <w:top w:color="000000" w:sz="4" w:val="single"/>
              <w:left w:color="000000" w:sz="4" w:val="single"/>
              <w:bottom w:color="000000" w:sz="4" w:val="single"/>
              <w:right w:color="000000" w:sz="4" w:val="single"/>
            </w:tcBorders>
            <w:shd w:fill="FFFFFF" w:val="clear"/>
            <w:vAlign w:val="center"/>
          </w:tcPr>
          <w:p w14:paraId="4A3C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4B3C0000">
            <w:pPr>
              <w:widowControl w:val="1"/>
              <w:ind/>
              <w:jc w:val="center"/>
              <w:rPr>
                <w:color w:val="000000"/>
                <w:sz w:val="18"/>
              </w:rPr>
            </w:pPr>
            <w:r>
              <w:rPr>
                <w:color w:val="000000"/>
                <w:sz w:val="18"/>
              </w:rPr>
              <w:t>6</w:t>
            </w:r>
          </w:p>
        </w:tc>
        <w:tc>
          <w:tcPr>
            <w:tcW w:type="dxa" w:w="991"/>
            <w:tcBorders>
              <w:top w:color="000000" w:sz="4" w:val="single"/>
              <w:left w:color="000000" w:sz="4" w:val="single"/>
              <w:bottom w:color="000000" w:sz="4" w:val="single"/>
              <w:right w:color="000000" w:sz="4" w:val="single"/>
            </w:tcBorders>
            <w:shd w:fill="FFFFFF" w:val="clear"/>
            <w:vAlign w:val="center"/>
          </w:tcPr>
          <w:p w14:paraId="4C3C0000">
            <w:pPr>
              <w:widowControl w:val="1"/>
              <w:ind/>
              <w:jc w:val="center"/>
              <w:rPr>
                <w:color w:val="000000"/>
                <w:sz w:val="18"/>
              </w:rPr>
            </w:pPr>
            <w:r>
              <w:rPr>
                <w:color w:val="000000"/>
                <w:sz w:val="18"/>
              </w:rPr>
              <w:t>40700,00</w:t>
            </w:r>
          </w:p>
        </w:tc>
        <w:tc>
          <w:tcPr>
            <w:tcW w:type="dxa" w:w="1134"/>
            <w:tcBorders>
              <w:top w:color="000000" w:sz="4" w:val="single"/>
              <w:left w:color="000000" w:sz="4" w:val="single"/>
              <w:bottom w:color="000000" w:sz="4" w:val="single"/>
              <w:right w:color="000000" w:sz="4" w:val="single"/>
            </w:tcBorders>
            <w:shd w:fill="FFFFFF" w:val="clear"/>
            <w:vAlign w:val="center"/>
          </w:tcPr>
          <w:p w14:paraId="4D3C0000">
            <w:pPr>
              <w:widowControl w:val="1"/>
              <w:ind/>
              <w:jc w:val="center"/>
              <w:rPr>
                <w:color w:val="000000"/>
                <w:sz w:val="18"/>
              </w:rPr>
            </w:pPr>
            <w:r>
              <w:rPr>
                <w:color w:val="000000"/>
                <w:sz w:val="18"/>
              </w:rPr>
              <w:t>40700,00</w:t>
            </w:r>
          </w:p>
        </w:tc>
        <w:tc>
          <w:tcPr>
            <w:tcW w:type="dxa" w:w="993"/>
            <w:tcBorders>
              <w:top w:color="000000" w:sz="4" w:val="single"/>
              <w:left w:color="000000" w:sz="4" w:val="single"/>
              <w:bottom w:color="000000" w:sz="4" w:val="single"/>
              <w:right w:color="000000" w:sz="4" w:val="single"/>
            </w:tcBorders>
            <w:shd w:fill="FFFFFF" w:val="clear"/>
            <w:vAlign w:val="center"/>
          </w:tcPr>
          <w:p w14:paraId="4E3C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4F3C0000">
            <w:pPr>
              <w:widowControl w:val="1"/>
              <w:ind/>
              <w:jc w:val="center"/>
              <w:rPr>
                <w:sz w:val="18"/>
              </w:rPr>
            </w:pPr>
            <w:r>
              <w:rPr>
                <w:sz w:val="18"/>
              </w:rPr>
              <w:t>сентябрь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503C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513C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523C0000">
            <w:pPr>
              <w:widowControl w:val="1"/>
              <w:ind/>
              <w:jc w:val="center"/>
              <w:rPr>
                <w:color w:val="000000"/>
                <w:sz w:val="18"/>
              </w:rPr>
            </w:pPr>
            <w:r>
              <w:rPr>
                <w:color w:val="000000"/>
                <w:sz w:val="18"/>
              </w:rPr>
              <w:t>6</w:t>
            </w:r>
          </w:p>
        </w:tc>
        <w:tc>
          <w:tcPr>
            <w:tcW w:type="dxa" w:w="1169"/>
            <w:tcBorders>
              <w:top w:color="000000" w:sz="4" w:val="single"/>
              <w:left w:color="000000" w:sz="4" w:val="single"/>
              <w:bottom w:color="000000" w:sz="4" w:val="single"/>
              <w:right w:color="000000" w:sz="4" w:val="single"/>
            </w:tcBorders>
            <w:shd w:fill="FFFFFF" w:val="clear"/>
            <w:vAlign w:val="center"/>
          </w:tcPr>
          <w:p w14:paraId="533C0000">
            <w:pPr>
              <w:widowControl w:val="1"/>
              <w:ind/>
              <w:jc w:val="center"/>
              <w:rPr>
                <w:color w:val="000000"/>
                <w:sz w:val="18"/>
              </w:rPr>
            </w:pPr>
            <w:r>
              <w:rPr>
                <w:color w:val="000000"/>
                <w:sz w:val="18"/>
              </w:rPr>
              <w:t>40700,00</w:t>
            </w:r>
          </w:p>
        </w:tc>
        <w:tc>
          <w:tcPr>
            <w:tcW w:type="dxa" w:w="1185"/>
            <w:tcBorders>
              <w:top w:color="000000" w:sz="4" w:val="single"/>
              <w:left w:color="000000" w:sz="4" w:val="single"/>
              <w:bottom w:color="000000" w:sz="4" w:val="single"/>
              <w:right w:color="000000" w:sz="4" w:val="single"/>
            </w:tcBorders>
            <w:shd w:fill="FFFFFF" w:val="clear"/>
            <w:vAlign w:val="center"/>
          </w:tcPr>
          <w:p w14:paraId="543C0000">
            <w:pPr>
              <w:widowControl w:val="1"/>
              <w:ind/>
              <w:jc w:val="center"/>
              <w:rPr>
                <w:color w:val="000000"/>
                <w:sz w:val="18"/>
              </w:rPr>
            </w:pPr>
            <w:r>
              <w:rPr>
                <w:color w:val="000000"/>
                <w:sz w:val="18"/>
              </w:rPr>
              <w:t>40700,00</w:t>
            </w:r>
          </w:p>
        </w:tc>
        <w:tc>
          <w:tcPr>
            <w:tcW w:type="dxa" w:w="1083"/>
            <w:tcBorders>
              <w:top w:color="000000" w:sz="4" w:val="single"/>
              <w:left w:color="000000" w:sz="4" w:val="single"/>
              <w:bottom w:color="000000" w:sz="4" w:val="single"/>
              <w:right w:color="000000" w:sz="4" w:val="single"/>
            </w:tcBorders>
            <w:shd w:fill="FFFFFF" w:val="clear"/>
            <w:vAlign w:val="center"/>
          </w:tcPr>
          <w:p w14:paraId="553C0000">
            <w:pPr>
              <w:widowControl w:val="1"/>
              <w:ind/>
              <w:jc w:val="center"/>
              <w:rPr>
                <w:color w:val="000000"/>
                <w:sz w:val="18"/>
              </w:rPr>
            </w:pPr>
            <w:r>
              <w:rPr>
                <w:color w:val="000000"/>
                <w:sz w:val="18"/>
              </w:rPr>
              <w:t>40700,00</w:t>
            </w:r>
          </w:p>
        </w:tc>
        <w:tc>
          <w:tcPr>
            <w:tcW w:type="dxa" w:w="771"/>
            <w:tcBorders>
              <w:top w:color="000000" w:sz="4" w:val="single"/>
              <w:left w:color="000000" w:sz="4" w:val="single"/>
              <w:bottom w:color="000000" w:sz="4" w:val="single"/>
              <w:right w:color="000000" w:sz="4" w:val="single"/>
            </w:tcBorders>
            <w:shd w:fill="FFFFFF" w:val="clear"/>
            <w:vAlign w:val="center"/>
          </w:tcPr>
          <w:p w14:paraId="563C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73C0000">
            <w:pPr>
              <w:widowControl w:val="1"/>
              <w:ind/>
              <w:jc w:val="center"/>
              <w:rPr>
                <w:sz w:val="18"/>
              </w:rPr>
            </w:pPr>
            <w:r>
              <w:rPr>
                <w:sz w:val="18"/>
              </w:rPr>
              <w:t>сентябрь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583C0000">
            <w:pPr>
              <w:widowControl w:val="1"/>
              <w:ind/>
              <w:jc w:val="center"/>
              <w:rPr>
                <w:sz w:val="18"/>
              </w:rPr>
            </w:pPr>
            <w:r>
              <w:rPr>
                <w:sz w:val="18"/>
              </w:rPr>
              <w:t>счет № 102 от 24.09.2018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593C0000">
            <w:pPr>
              <w:widowControl w:val="1"/>
              <w:ind/>
              <w:jc w:val="center"/>
              <w:rPr>
                <w:color w:val="000000"/>
                <w:sz w:val="18"/>
              </w:rPr>
            </w:pPr>
            <w:r>
              <w:rPr>
                <w:color w:val="000000"/>
                <w:sz w:val="18"/>
              </w:rPr>
              <w:t>218</w:t>
            </w:r>
          </w:p>
        </w:tc>
        <w:tc>
          <w:tcPr>
            <w:tcW w:type="dxa" w:w="618"/>
            <w:tcBorders>
              <w:top w:color="000000" w:sz="4" w:val="single"/>
              <w:left w:color="000000" w:sz="4" w:val="single"/>
              <w:bottom w:color="000000" w:sz="4" w:val="single"/>
              <w:right w:color="000000" w:sz="4" w:val="single"/>
            </w:tcBorders>
            <w:shd w:fill="FFFFFF" w:val="clear"/>
            <w:vAlign w:val="center"/>
          </w:tcPr>
          <w:p w14:paraId="5A3C0000">
            <w:pPr>
              <w:widowControl w:val="1"/>
              <w:ind/>
              <w:jc w:val="center"/>
              <w:rPr>
                <w:sz w:val="18"/>
              </w:rPr>
            </w:pPr>
            <w:r>
              <w:rPr>
                <w:sz w:val="18"/>
              </w:rPr>
              <w:t>144/2</w:t>
            </w:r>
          </w:p>
        </w:tc>
        <w:tc>
          <w:tcPr>
            <w:tcW w:type="dxa" w:w="993"/>
            <w:tcBorders>
              <w:top w:color="000000" w:sz="4" w:val="single"/>
              <w:left w:color="000000" w:sz="4" w:val="single"/>
              <w:bottom w:color="000000" w:sz="4" w:val="single"/>
              <w:right w:color="000000" w:sz="4" w:val="single"/>
            </w:tcBorders>
            <w:shd w:fill="FFFFFF" w:val="clear"/>
            <w:vAlign w:val="center"/>
          </w:tcPr>
          <w:p w14:paraId="5B3C0000">
            <w:pPr>
              <w:widowControl w:val="1"/>
              <w:ind/>
              <w:jc w:val="center"/>
              <w:rPr>
                <w:color w:val="000000"/>
                <w:sz w:val="18"/>
              </w:rPr>
            </w:pPr>
            <w:r>
              <w:rPr>
                <w:color w:val="000000"/>
                <w:sz w:val="18"/>
              </w:rPr>
              <w:t>Поставка офисных кресел</w:t>
            </w:r>
          </w:p>
        </w:tc>
        <w:tc>
          <w:tcPr>
            <w:tcW w:type="dxa" w:w="849"/>
            <w:tcBorders>
              <w:top w:color="000000" w:sz="4" w:val="single"/>
              <w:left w:color="000000" w:sz="4" w:val="single"/>
              <w:bottom w:color="000000" w:sz="4" w:val="single"/>
              <w:right w:color="000000" w:sz="4" w:val="single"/>
            </w:tcBorders>
            <w:shd w:fill="FFFFFF" w:val="clear"/>
            <w:vAlign w:val="center"/>
          </w:tcPr>
          <w:p w14:paraId="5C3C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5D3C0000">
            <w:pPr>
              <w:widowControl w:val="1"/>
              <w:ind/>
              <w:jc w:val="center"/>
              <w:rPr>
                <w:color w:val="000000"/>
                <w:sz w:val="18"/>
              </w:rPr>
            </w:pPr>
            <w:r>
              <w:rPr>
                <w:color w:val="000000"/>
                <w:sz w:val="18"/>
              </w:rPr>
              <w:t>2</w:t>
            </w:r>
          </w:p>
        </w:tc>
        <w:tc>
          <w:tcPr>
            <w:tcW w:type="dxa" w:w="991"/>
            <w:tcBorders>
              <w:top w:color="000000" w:sz="4" w:val="single"/>
              <w:left w:color="000000" w:sz="4" w:val="single"/>
              <w:bottom w:color="000000" w:sz="4" w:val="single"/>
              <w:right w:color="000000" w:sz="4" w:val="single"/>
            </w:tcBorders>
            <w:shd w:fill="FFFFFF" w:val="clear"/>
            <w:vAlign w:val="center"/>
          </w:tcPr>
          <w:p w14:paraId="5E3C0000">
            <w:pPr>
              <w:widowControl w:val="1"/>
              <w:ind/>
              <w:jc w:val="center"/>
              <w:rPr>
                <w:color w:val="000000"/>
                <w:sz w:val="18"/>
              </w:rPr>
            </w:pPr>
            <w:r>
              <w:rPr>
                <w:color w:val="000000"/>
                <w:sz w:val="18"/>
              </w:rPr>
              <w:t>7487,3</w:t>
            </w:r>
          </w:p>
        </w:tc>
        <w:tc>
          <w:tcPr>
            <w:tcW w:type="dxa" w:w="1134"/>
            <w:tcBorders>
              <w:top w:color="000000" w:sz="4" w:val="single"/>
              <w:left w:color="000000" w:sz="4" w:val="single"/>
              <w:bottom w:color="000000" w:sz="4" w:val="single"/>
              <w:right w:color="000000" w:sz="4" w:val="single"/>
            </w:tcBorders>
            <w:shd w:fill="FFFFFF" w:val="clear"/>
            <w:vAlign w:val="center"/>
          </w:tcPr>
          <w:p w14:paraId="5F3C0000">
            <w:pPr>
              <w:widowControl w:val="1"/>
              <w:ind/>
              <w:jc w:val="center"/>
              <w:rPr>
                <w:color w:val="000000"/>
                <w:sz w:val="18"/>
              </w:rPr>
            </w:pPr>
            <w:r>
              <w:rPr>
                <w:color w:val="000000"/>
                <w:sz w:val="18"/>
              </w:rPr>
              <w:t>8835,00</w:t>
            </w:r>
          </w:p>
        </w:tc>
        <w:tc>
          <w:tcPr>
            <w:tcW w:type="dxa" w:w="993"/>
            <w:tcBorders>
              <w:top w:color="000000" w:sz="4" w:val="single"/>
              <w:left w:color="000000" w:sz="4" w:val="single"/>
              <w:bottom w:color="000000" w:sz="4" w:val="single"/>
              <w:right w:color="000000" w:sz="4" w:val="single"/>
            </w:tcBorders>
            <w:shd w:fill="FFFFFF" w:val="clear"/>
            <w:vAlign w:val="center"/>
          </w:tcPr>
          <w:p w14:paraId="603C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613C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623C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633C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643C0000">
            <w:pPr>
              <w:widowControl w:val="1"/>
              <w:ind/>
              <w:jc w:val="center"/>
              <w:rPr>
                <w:color w:val="000000"/>
                <w:sz w:val="18"/>
              </w:rPr>
            </w:pPr>
            <w:r>
              <w:rPr>
                <w:color w:val="000000"/>
                <w:sz w:val="18"/>
              </w:rPr>
              <w:t>2</w:t>
            </w:r>
          </w:p>
        </w:tc>
        <w:tc>
          <w:tcPr>
            <w:tcW w:type="dxa" w:w="1169"/>
            <w:tcBorders>
              <w:top w:color="000000" w:sz="4" w:val="single"/>
              <w:left w:color="000000" w:sz="4" w:val="single"/>
              <w:bottom w:color="000000" w:sz="4" w:val="single"/>
              <w:right w:color="000000" w:sz="4" w:val="single"/>
            </w:tcBorders>
            <w:shd w:fill="FFFFFF" w:val="clear"/>
            <w:vAlign w:val="center"/>
          </w:tcPr>
          <w:p w14:paraId="653C0000">
            <w:pPr>
              <w:widowControl w:val="1"/>
              <w:ind/>
              <w:jc w:val="center"/>
              <w:rPr>
                <w:color w:val="000000"/>
                <w:sz w:val="18"/>
              </w:rPr>
            </w:pPr>
            <w:r>
              <w:rPr>
                <w:color w:val="000000"/>
                <w:sz w:val="18"/>
              </w:rPr>
              <w:t>7487,3</w:t>
            </w:r>
          </w:p>
        </w:tc>
        <w:tc>
          <w:tcPr>
            <w:tcW w:type="dxa" w:w="1185"/>
            <w:tcBorders>
              <w:top w:color="000000" w:sz="4" w:val="single"/>
              <w:left w:color="000000" w:sz="4" w:val="single"/>
              <w:bottom w:color="000000" w:sz="4" w:val="single"/>
              <w:right w:color="000000" w:sz="4" w:val="single"/>
            </w:tcBorders>
            <w:shd w:fill="FFFFFF" w:val="clear"/>
            <w:vAlign w:val="center"/>
          </w:tcPr>
          <w:p w14:paraId="663C0000">
            <w:pPr>
              <w:widowControl w:val="1"/>
              <w:ind/>
              <w:jc w:val="center"/>
              <w:rPr>
                <w:color w:val="000000"/>
                <w:sz w:val="18"/>
              </w:rPr>
            </w:pPr>
            <w:r>
              <w:rPr>
                <w:color w:val="000000"/>
                <w:sz w:val="18"/>
              </w:rPr>
              <w:t>8835,00</w:t>
            </w:r>
          </w:p>
        </w:tc>
        <w:tc>
          <w:tcPr>
            <w:tcW w:type="dxa" w:w="1083"/>
            <w:tcBorders>
              <w:top w:color="000000" w:sz="4" w:val="single"/>
              <w:left w:color="000000" w:sz="4" w:val="single"/>
              <w:bottom w:color="000000" w:sz="4" w:val="single"/>
              <w:right w:color="000000" w:sz="4" w:val="single"/>
            </w:tcBorders>
            <w:shd w:fill="FFFFFF" w:val="clear"/>
            <w:vAlign w:val="center"/>
          </w:tcPr>
          <w:p w14:paraId="673C0000">
            <w:pPr>
              <w:widowControl w:val="1"/>
              <w:ind/>
              <w:jc w:val="center"/>
              <w:rPr>
                <w:color w:val="000000"/>
                <w:sz w:val="18"/>
              </w:rPr>
            </w:pPr>
            <w:r>
              <w:rPr>
                <w:color w:val="000000"/>
                <w:sz w:val="18"/>
              </w:rPr>
              <w:t>8835,00</w:t>
            </w:r>
          </w:p>
        </w:tc>
        <w:tc>
          <w:tcPr>
            <w:tcW w:type="dxa" w:w="771"/>
            <w:tcBorders>
              <w:top w:color="000000" w:sz="4" w:val="single"/>
              <w:left w:color="000000" w:sz="4" w:val="single"/>
              <w:bottom w:color="000000" w:sz="4" w:val="single"/>
              <w:right w:color="000000" w:sz="4" w:val="single"/>
            </w:tcBorders>
            <w:shd w:fill="FFFFFF" w:val="clear"/>
            <w:vAlign w:val="center"/>
          </w:tcPr>
          <w:p w14:paraId="683C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693C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6A3C0000">
            <w:pPr>
              <w:widowControl w:val="1"/>
              <w:ind/>
              <w:jc w:val="center"/>
              <w:rPr>
                <w:sz w:val="18"/>
              </w:rPr>
            </w:pPr>
            <w:r>
              <w:rPr>
                <w:sz w:val="18"/>
              </w:rPr>
              <w:t>счет № 433 от 22.10.2018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6B3C0000">
            <w:pPr>
              <w:widowControl w:val="1"/>
              <w:ind/>
              <w:jc w:val="center"/>
              <w:rPr>
                <w:color w:val="000000"/>
                <w:sz w:val="18"/>
              </w:rPr>
            </w:pPr>
            <w:r>
              <w:rPr>
                <w:color w:val="000000"/>
                <w:sz w:val="18"/>
              </w:rPr>
              <w:t>219</w:t>
            </w:r>
          </w:p>
        </w:tc>
        <w:tc>
          <w:tcPr>
            <w:tcW w:type="dxa" w:w="618"/>
            <w:tcBorders>
              <w:top w:color="000000" w:sz="4" w:val="single"/>
              <w:left w:color="000000" w:sz="4" w:val="single"/>
              <w:bottom w:color="000000" w:sz="4" w:val="single"/>
              <w:right w:color="000000" w:sz="4" w:val="single"/>
            </w:tcBorders>
            <w:shd w:fill="FFFFFF" w:val="clear"/>
            <w:vAlign w:val="center"/>
          </w:tcPr>
          <w:p w14:paraId="6C3C0000">
            <w:pPr>
              <w:widowControl w:val="1"/>
              <w:ind/>
              <w:jc w:val="center"/>
              <w:rPr>
                <w:sz w:val="18"/>
              </w:rPr>
            </w:pPr>
            <w:r>
              <w:rPr>
                <w:sz w:val="18"/>
              </w:rPr>
              <w:t>145/2</w:t>
            </w:r>
          </w:p>
        </w:tc>
        <w:tc>
          <w:tcPr>
            <w:tcW w:type="dxa" w:w="993"/>
            <w:tcBorders>
              <w:top w:color="000000" w:sz="4" w:val="single"/>
              <w:left w:color="000000" w:sz="4" w:val="single"/>
              <w:bottom w:color="000000" w:sz="4" w:val="single"/>
              <w:right w:color="000000" w:sz="4" w:val="single"/>
            </w:tcBorders>
            <w:shd w:fill="FFFFFF" w:val="clear"/>
            <w:vAlign w:val="center"/>
          </w:tcPr>
          <w:p w14:paraId="6D3C0000">
            <w:pPr>
              <w:widowControl w:val="1"/>
              <w:ind/>
              <w:jc w:val="center"/>
              <w:rPr>
                <w:sz w:val="18"/>
              </w:rPr>
            </w:pPr>
            <w:r>
              <w:rPr>
                <w:sz w:val="18"/>
              </w:rPr>
              <w:t>Оказание услуг по косметическому ремонту помещений</w:t>
            </w:r>
          </w:p>
        </w:tc>
        <w:tc>
          <w:tcPr>
            <w:tcW w:type="dxa" w:w="849"/>
            <w:tcBorders>
              <w:top w:color="000000" w:sz="4" w:val="single"/>
              <w:left w:color="000000" w:sz="4" w:val="single"/>
              <w:bottom w:color="000000" w:sz="4" w:val="single"/>
              <w:right w:color="000000" w:sz="4" w:val="single"/>
            </w:tcBorders>
            <w:shd w:fill="FFFFFF" w:val="clear"/>
            <w:vAlign w:val="center"/>
          </w:tcPr>
          <w:p w14:paraId="6E3C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6F3C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703C0000">
            <w:pPr>
              <w:widowControl w:val="1"/>
              <w:ind/>
              <w:jc w:val="center"/>
              <w:rPr>
                <w:color w:val="000000"/>
                <w:sz w:val="18"/>
              </w:rPr>
            </w:pPr>
            <w:r>
              <w:rPr>
                <w:color w:val="000000"/>
                <w:sz w:val="18"/>
              </w:rPr>
              <w:t>28373</w:t>
            </w:r>
          </w:p>
        </w:tc>
        <w:tc>
          <w:tcPr>
            <w:tcW w:type="dxa" w:w="1134"/>
            <w:tcBorders>
              <w:top w:color="000000" w:sz="4" w:val="single"/>
              <w:left w:color="000000" w:sz="4" w:val="single"/>
              <w:bottom w:color="000000" w:sz="4" w:val="single"/>
              <w:right w:color="000000" w:sz="4" w:val="single"/>
            </w:tcBorders>
            <w:shd w:fill="FFFFFF" w:val="clear"/>
            <w:vAlign w:val="center"/>
          </w:tcPr>
          <w:p w14:paraId="713C0000">
            <w:pPr>
              <w:widowControl w:val="1"/>
              <w:ind/>
              <w:jc w:val="center"/>
              <w:rPr>
                <w:sz w:val="18"/>
              </w:rPr>
            </w:pPr>
            <w:r>
              <w:rPr>
                <w:sz w:val="18"/>
              </w:rPr>
              <w:t>33480,00</w:t>
            </w:r>
          </w:p>
        </w:tc>
        <w:tc>
          <w:tcPr>
            <w:tcW w:type="dxa" w:w="993"/>
            <w:tcBorders>
              <w:top w:color="000000" w:sz="4" w:val="single"/>
              <w:left w:color="000000" w:sz="4" w:val="single"/>
              <w:bottom w:color="000000" w:sz="4" w:val="single"/>
              <w:right w:color="000000" w:sz="4" w:val="single"/>
            </w:tcBorders>
            <w:shd w:fill="FFFFFF" w:val="clear"/>
            <w:vAlign w:val="center"/>
          </w:tcPr>
          <w:p w14:paraId="723C0000">
            <w:pPr>
              <w:widowControl w:val="1"/>
              <w:ind/>
              <w:jc w:val="center"/>
              <w:rPr>
                <w:sz w:val="18"/>
              </w:rPr>
            </w:pPr>
            <w:r>
              <w:rPr>
                <w:sz w:val="18"/>
              </w:rPr>
              <w:t>сентябрь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733C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743C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753C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763C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773C0000">
            <w:pPr>
              <w:widowControl w:val="1"/>
              <w:ind/>
              <w:jc w:val="center"/>
              <w:rPr>
                <w:color w:val="000000"/>
                <w:sz w:val="18"/>
              </w:rPr>
            </w:pPr>
            <w:r>
              <w:rPr>
                <w:color w:val="000000"/>
                <w:sz w:val="18"/>
              </w:rPr>
              <w:t>28373</w:t>
            </w:r>
          </w:p>
        </w:tc>
        <w:tc>
          <w:tcPr>
            <w:tcW w:type="dxa" w:w="1185"/>
            <w:tcBorders>
              <w:top w:color="000000" w:sz="4" w:val="single"/>
              <w:left w:color="000000" w:sz="4" w:val="single"/>
              <w:bottom w:color="000000" w:sz="4" w:val="single"/>
              <w:right w:color="000000" w:sz="4" w:val="single"/>
            </w:tcBorders>
            <w:shd w:fill="FFFFFF" w:val="clear"/>
            <w:vAlign w:val="center"/>
          </w:tcPr>
          <w:p w14:paraId="783C0000">
            <w:pPr>
              <w:widowControl w:val="1"/>
              <w:ind/>
              <w:jc w:val="center"/>
              <w:rPr>
                <w:sz w:val="18"/>
              </w:rPr>
            </w:pPr>
            <w:r>
              <w:rPr>
                <w:sz w:val="18"/>
              </w:rPr>
              <w:t>33480,00</w:t>
            </w:r>
          </w:p>
        </w:tc>
        <w:tc>
          <w:tcPr>
            <w:tcW w:type="dxa" w:w="1083"/>
            <w:tcBorders>
              <w:top w:color="000000" w:sz="4" w:val="single"/>
              <w:left w:color="000000" w:sz="4" w:val="single"/>
              <w:bottom w:color="000000" w:sz="4" w:val="single"/>
              <w:right w:color="000000" w:sz="4" w:val="single"/>
            </w:tcBorders>
            <w:shd w:fill="FFFFFF" w:val="clear"/>
            <w:vAlign w:val="center"/>
          </w:tcPr>
          <w:p w14:paraId="793C0000">
            <w:pPr>
              <w:widowControl w:val="1"/>
              <w:ind/>
              <w:jc w:val="center"/>
              <w:rPr>
                <w:sz w:val="18"/>
              </w:rPr>
            </w:pPr>
            <w:r>
              <w:rPr>
                <w:sz w:val="18"/>
              </w:rPr>
              <w:t>33480,00</w:t>
            </w:r>
          </w:p>
        </w:tc>
        <w:tc>
          <w:tcPr>
            <w:tcW w:type="dxa" w:w="771"/>
            <w:tcBorders>
              <w:top w:color="000000" w:sz="4" w:val="single"/>
              <w:left w:color="000000" w:sz="4" w:val="single"/>
              <w:bottom w:color="000000" w:sz="4" w:val="single"/>
              <w:right w:color="000000" w:sz="4" w:val="single"/>
            </w:tcBorders>
            <w:shd w:fill="FFFFFF" w:val="clear"/>
            <w:vAlign w:val="center"/>
          </w:tcPr>
          <w:p w14:paraId="7A3C0000">
            <w:pPr>
              <w:widowControl w:val="1"/>
              <w:ind/>
              <w:jc w:val="center"/>
              <w:rPr>
                <w:sz w:val="18"/>
              </w:rPr>
            </w:pPr>
            <w:r>
              <w:rPr>
                <w:sz w:val="18"/>
              </w:rPr>
              <w:t>сентябрь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7B3C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7C3C0000">
            <w:pPr>
              <w:widowControl w:val="1"/>
              <w:ind/>
              <w:jc w:val="center"/>
              <w:rPr>
                <w:sz w:val="18"/>
              </w:rPr>
            </w:pPr>
            <w:r>
              <w:rPr>
                <w:sz w:val="18"/>
              </w:rPr>
              <w:t>счет № 320 от 28.09.2018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7D3C0000">
            <w:pPr>
              <w:widowControl w:val="1"/>
              <w:ind/>
              <w:jc w:val="center"/>
              <w:rPr>
                <w:color w:val="000000"/>
                <w:sz w:val="18"/>
              </w:rPr>
            </w:pPr>
            <w:r>
              <w:rPr>
                <w:color w:val="000000"/>
                <w:sz w:val="18"/>
              </w:rPr>
              <w:t>220</w:t>
            </w:r>
          </w:p>
        </w:tc>
        <w:tc>
          <w:tcPr>
            <w:tcW w:type="dxa" w:w="618"/>
            <w:tcBorders>
              <w:top w:color="000000" w:sz="4" w:val="single"/>
              <w:left w:color="000000" w:sz="4" w:val="single"/>
              <w:bottom w:color="000000" w:sz="4" w:val="single"/>
              <w:right w:color="000000" w:sz="4" w:val="single"/>
            </w:tcBorders>
            <w:shd w:fill="FFFFFF" w:val="clear"/>
            <w:vAlign w:val="center"/>
          </w:tcPr>
          <w:p w14:paraId="7E3C0000">
            <w:pPr>
              <w:widowControl w:val="1"/>
              <w:ind/>
              <w:jc w:val="center"/>
              <w:rPr>
                <w:sz w:val="18"/>
              </w:rPr>
            </w:pPr>
            <w:r>
              <w:rPr>
                <w:sz w:val="18"/>
              </w:rPr>
              <w:t>146/2</w:t>
            </w:r>
          </w:p>
        </w:tc>
        <w:tc>
          <w:tcPr>
            <w:tcW w:type="dxa" w:w="993"/>
            <w:tcBorders>
              <w:top w:color="000000" w:sz="4" w:val="single"/>
              <w:left w:color="000000" w:sz="4" w:val="single"/>
              <w:bottom w:color="000000" w:sz="4" w:val="single"/>
              <w:right w:color="000000" w:sz="4" w:val="single"/>
            </w:tcBorders>
            <w:shd w:fill="FFFFFF" w:val="clear"/>
            <w:vAlign w:val="center"/>
          </w:tcPr>
          <w:p w14:paraId="7F3C0000">
            <w:pPr>
              <w:widowControl w:val="1"/>
              <w:ind/>
              <w:jc w:val="center"/>
              <w:rPr>
                <w:color w:val="000000"/>
                <w:sz w:val="18"/>
              </w:rPr>
            </w:pPr>
            <w:r>
              <w:rPr>
                <w:color w:val="000000"/>
                <w:sz w:val="18"/>
              </w:rPr>
              <w:t>Выполнение работ по демонтажу и монтажу кондиционера</w:t>
            </w:r>
          </w:p>
        </w:tc>
        <w:tc>
          <w:tcPr>
            <w:tcW w:type="dxa" w:w="849"/>
            <w:tcBorders>
              <w:top w:color="000000" w:sz="4" w:val="single"/>
              <w:left w:color="000000" w:sz="4" w:val="single"/>
              <w:bottom w:color="000000" w:sz="4" w:val="single"/>
              <w:right w:color="000000" w:sz="4" w:val="single"/>
            </w:tcBorders>
            <w:shd w:fill="FFFFFF" w:val="clear"/>
            <w:vAlign w:val="center"/>
          </w:tcPr>
          <w:p w14:paraId="803C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813C0000">
            <w:pPr>
              <w:widowControl w:val="1"/>
              <w:ind/>
              <w:jc w:val="center"/>
              <w:rPr>
                <w:color w:val="000000"/>
                <w:sz w:val="18"/>
              </w:rPr>
            </w:pPr>
            <w:r>
              <w:rPr>
                <w:color w:val="000000"/>
                <w:sz w:val="18"/>
              </w:rPr>
              <w:t>7</w:t>
            </w:r>
          </w:p>
        </w:tc>
        <w:tc>
          <w:tcPr>
            <w:tcW w:type="dxa" w:w="991"/>
            <w:tcBorders>
              <w:top w:color="000000" w:sz="4" w:val="single"/>
              <w:left w:color="000000" w:sz="4" w:val="single"/>
              <w:bottom w:color="000000" w:sz="4" w:val="single"/>
              <w:right w:color="000000" w:sz="4" w:val="single"/>
            </w:tcBorders>
            <w:shd w:fill="FFFFFF" w:val="clear"/>
            <w:vAlign w:val="center"/>
          </w:tcPr>
          <w:p w14:paraId="823C0000">
            <w:pPr>
              <w:widowControl w:val="1"/>
              <w:ind/>
              <w:jc w:val="center"/>
              <w:rPr>
                <w:color w:val="000000"/>
                <w:sz w:val="18"/>
              </w:rPr>
            </w:pPr>
            <w:r>
              <w:rPr>
                <w:color w:val="000000"/>
                <w:sz w:val="18"/>
              </w:rPr>
              <w:t>24400,00</w:t>
            </w:r>
          </w:p>
        </w:tc>
        <w:tc>
          <w:tcPr>
            <w:tcW w:type="dxa" w:w="1134"/>
            <w:tcBorders>
              <w:top w:color="000000" w:sz="4" w:val="single"/>
              <w:left w:color="000000" w:sz="4" w:val="single"/>
              <w:bottom w:color="000000" w:sz="4" w:val="single"/>
              <w:right w:color="000000" w:sz="4" w:val="single"/>
            </w:tcBorders>
            <w:shd w:fill="FFFFFF" w:val="clear"/>
            <w:vAlign w:val="center"/>
          </w:tcPr>
          <w:p w14:paraId="833C0000">
            <w:pPr>
              <w:widowControl w:val="1"/>
              <w:ind/>
              <w:jc w:val="center"/>
              <w:rPr>
                <w:color w:val="000000"/>
                <w:sz w:val="18"/>
              </w:rPr>
            </w:pPr>
            <w:r>
              <w:rPr>
                <w:color w:val="000000"/>
                <w:sz w:val="18"/>
              </w:rPr>
              <w:t>24400,00</w:t>
            </w:r>
          </w:p>
        </w:tc>
        <w:tc>
          <w:tcPr>
            <w:tcW w:type="dxa" w:w="993"/>
            <w:tcBorders>
              <w:top w:color="000000" w:sz="4" w:val="single"/>
              <w:left w:color="000000" w:sz="4" w:val="single"/>
              <w:bottom w:color="000000" w:sz="4" w:val="single"/>
              <w:right w:color="000000" w:sz="4" w:val="single"/>
            </w:tcBorders>
            <w:shd w:fill="FFFFFF" w:val="clear"/>
            <w:vAlign w:val="center"/>
          </w:tcPr>
          <w:p w14:paraId="843C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853C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863C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873C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883C0000">
            <w:pPr>
              <w:widowControl w:val="1"/>
              <w:ind/>
              <w:jc w:val="center"/>
              <w:rPr>
                <w:color w:val="000000"/>
                <w:sz w:val="18"/>
              </w:rPr>
            </w:pPr>
            <w:r>
              <w:rPr>
                <w:color w:val="000000"/>
                <w:sz w:val="18"/>
              </w:rPr>
              <w:t>7</w:t>
            </w:r>
          </w:p>
        </w:tc>
        <w:tc>
          <w:tcPr>
            <w:tcW w:type="dxa" w:w="1169"/>
            <w:tcBorders>
              <w:top w:color="000000" w:sz="4" w:val="single"/>
              <w:left w:color="000000" w:sz="4" w:val="single"/>
              <w:bottom w:color="000000" w:sz="4" w:val="single"/>
              <w:right w:color="000000" w:sz="4" w:val="single"/>
            </w:tcBorders>
            <w:shd w:fill="FFFFFF" w:val="clear"/>
            <w:vAlign w:val="center"/>
          </w:tcPr>
          <w:p w14:paraId="893C0000">
            <w:pPr>
              <w:widowControl w:val="1"/>
              <w:ind/>
              <w:jc w:val="center"/>
              <w:rPr>
                <w:color w:val="000000"/>
                <w:sz w:val="18"/>
              </w:rPr>
            </w:pPr>
            <w:r>
              <w:rPr>
                <w:color w:val="000000"/>
                <w:sz w:val="18"/>
              </w:rPr>
              <w:t>24400,00</w:t>
            </w:r>
          </w:p>
        </w:tc>
        <w:tc>
          <w:tcPr>
            <w:tcW w:type="dxa" w:w="1185"/>
            <w:tcBorders>
              <w:top w:color="000000" w:sz="4" w:val="single"/>
              <w:left w:color="000000" w:sz="4" w:val="single"/>
              <w:bottom w:color="000000" w:sz="4" w:val="single"/>
              <w:right w:color="000000" w:sz="4" w:val="single"/>
            </w:tcBorders>
            <w:shd w:fill="FFFFFF" w:val="clear"/>
            <w:vAlign w:val="center"/>
          </w:tcPr>
          <w:p w14:paraId="8A3C0000">
            <w:pPr>
              <w:widowControl w:val="1"/>
              <w:ind/>
              <w:jc w:val="center"/>
              <w:rPr>
                <w:color w:val="000000"/>
                <w:sz w:val="18"/>
              </w:rPr>
            </w:pPr>
            <w:r>
              <w:rPr>
                <w:color w:val="000000"/>
                <w:sz w:val="18"/>
              </w:rPr>
              <w:t>24400,00</w:t>
            </w:r>
          </w:p>
        </w:tc>
        <w:tc>
          <w:tcPr>
            <w:tcW w:type="dxa" w:w="1083"/>
            <w:tcBorders>
              <w:top w:color="000000" w:sz="4" w:val="single"/>
              <w:left w:color="000000" w:sz="4" w:val="single"/>
              <w:bottom w:color="000000" w:sz="4" w:val="single"/>
              <w:right w:color="000000" w:sz="4" w:val="single"/>
            </w:tcBorders>
            <w:shd w:fill="FFFFFF" w:val="clear"/>
            <w:vAlign w:val="center"/>
          </w:tcPr>
          <w:p w14:paraId="8B3C0000">
            <w:pPr>
              <w:widowControl w:val="1"/>
              <w:ind/>
              <w:jc w:val="center"/>
              <w:rPr>
                <w:color w:val="000000"/>
                <w:sz w:val="18"/>
              </w:rPr>
            </w:pPr>
            <w:r>
              <w:rPr>
                <w:color w:val="000000"/>
                <w:sz w:val="18"/>
              </w:rPr>
              <w:t>24400,00</w:t>
            </w:r>
          </w:p>
        </w:tc>
        <w:tc>
          <w:tcPr>
            <w:tcW w:type="dxa" w:w="771"/>
            <w:tcBorders>
              <w:top w:color="000000" w:sz="4" w:val="single"/>
              <w:left w:color="000000" w:sz="4" w:val="single"/>
              <w:bottom w:color="000000" w:sz="4" w:val="single"/>
              <w:right w:color="000000" w:sz="4" w:val="single"/>
            </w:tcBorders>
            <w:shd w:fill="FFFFFF" w:val="clear"/>
            <w:vAlign w:val="center"/>
          </w:tcPr>
          <w:p w14:paraId="8C3C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8D3C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8E3C0000">
            <w:pPr>
              <w:widowControl w:val="1"/>
              <w:ind/>
              <w:jc w:val="center"/>
              <w:rPr>
                <w:sz w:val="18"/>
              </w:rPr>
            </w:pPr>
            <w:r>
              <w:rPr>
                <w:sz w:val="18"/>
              </w:rPr>
              <w:t>счет № 114 от 15.10.2018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8F3C0000">
            <w:pPr>
              <w:widowControl w:val="1"/>
              <w:ind/>
              <w:jc w:val="center"/>
              <w:rPr>
                <w:color w:val="000000"/>
                <w:sz w:val="18"/>
              </w:rPr>
            </w:pPr>
            <w:r>
              <w:rPr>
                <w:color w:val="000000"/>
                <w:sz w:val="18"/>
              </w:rPr>
              <w:t>221</w:t>
            </w:r>
          </w:p>
        </w:tc>
        <w:tc>
          <w:tcPr>
            <w:tcW w:type="dxa" w:w="618"/>
            <w:tcBorders>
              <w:top w:color="000000" w:sz="4" w:val="single"/>
              <w:left w:color="000000" w:sz="4" w:val="single"/>
              <w:bottom w:color="000000" w:sz="4" w:val="single"/>
              <w:right w:color="000000" w:sz="4" w:val="single"/>
            </w:tcBorders>
            <w:shd w:fill="FFFFFF" w:val="clear"/>
            <w:vAlign w:val="center"/>
          </w:tcPr>
          <w:p w14:paraId="903C0000">
            <w:pPr>
              <w:widowControl w:val="1"/>
              <w:ind/>
              <w:jc w:val="center"/>
              <w:rPr>
                <w:sz w:val="18"/>
              </w:rPr>
            </w:pPr>
            <w:r>
              <w:rPr>
                <w:sz w:val="18"/>
              </w:rPr>
              <w:t>147/2</w:t>
            </w:r>
          </w:p>
        </w:tc>
        <w:tc>
          <w:tcPr>
            <w:tcW w:type="dxa" w:w="993"/>
            <w:tcBorders>
              <w:top w:color="000000" w:sz="4" w:val="single"/>
              <w:left w:color="000000" w:sz="4" w:val="single"/>
              <w:bottom w:color="000000" w:sz="4" w:val="single"/>
              <w:right w:color="000000" w:sz="4" w:val="single"/>
            </w:tcBorders>
            <w:shd w:fill="FFFFFF" w:val="clear"/>
            <w:vAlign w:val="center"/>
          </w:tcPr>
          <w:p w14:paraId="913C0000">
            <w:pPr>
              <w:widowControl w:val="1"/>
              <w:ind/>
              <w:jc w:val="center"/>
              <w:rPr>
                <w:sz w:val="18"/>
              </w:rPr>
            </w:pPr>
            <w:r>
              <w:rPr>
                <w:sz w:val="18"/>
              </w:rPr>
              <w:t>выполнение работ по изготовлению штампов</w:t>
            </w:r>
          </w:p>
        </w:tc>
        <w:tc>
          <w:tcPr>
            <w:tcW w:type="dxa" w:w="849"/>
            <w:tcBorders>
              <w:top w:color="000000" w:sz="4" w:val="single"/>
              <w:left w:color="000000" w:sz="4" w:val="single"/>
              <w:bottom w:color="000000" w:sz="4" w:val="single"/>
              <w:right w:color="000000" w:sz="4" w:val="single"/>
            </w:tcBorders>
            <w:shd w:fill="FFFFFF" w:val="clear"/>
            <w:vAlign w:val="center"/>
          </w:tcPr>
          <w:p w14:paraId="923C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933C0000">
            <w:pPr>
              <w:widowControl w:val="1"/>
              <w:ind/>
              <w:jc w:val="center"/>
              <w:rPr>
                <w:sz w:val="18"/>
              </w:rPr>
            </w:pPr>
            <w:r>
              <w:rPr>
                <w:sz w:val="18"/>
              </w:rPr>
              <w:t>153</w:t>
            </w:r>
          </w:p>
        </w:tc>
        <w:tc>
          <w:tcPr>
            <w:tcW w:type="dxa" w:w="991"/>
            <w:tcBorders>
              <w:top w:color="000000" w:sz="4" w:val="single"/>
              <w:left w:color="000000" w:sz="4" w:val="single"/>
              <w:bottom w:color="000000" w:sz="4" w:val="single"/>
              <w:right w:color="000000" w:sz="4" w:val="single"/>
            </w:tcBorders>
            <w:shd w:fill="FFFFFF" w:val="clear"/>
            <w:vAlign w:val="center"/>
          </w:tcPr>
          <w:p w14:paraId="943C0000">
            <w:pPr>
              <w:widowControl w:val="1"/>
              <w:ind/>
              <w:jc w:val="center"/>
              <w:rPr>
                <w:color w:val="000000"/>
                <w:sz w:val="18"/>
              </w:rPr>
            </w:pPr>
            <w:r>
              <w:rPr>
                <w:color w:val="000000"/>
                <w:sz w:val="18"/>
              </w:rPr>
              <w:t>52550,8</w:t>
            </w:r>
          </w:p>
        </w:tc>
        <w:tc>
          <w:tcPr>
            <w:tcW w:type="dxa" w:w="1134"/>
            <w:tcBorders>
              <w:top w:color="000000" w:sz="4" w:val="single"/>
              <w:left w:color="000000" w:sz="4" w:val="single"/>
              <w:bottom w:color="000000" w:sz="4" w:val="single"/>
              <w:right w:color="000000" w:sz="4" w:val="single"/>
            </w:tcBorders>
            <w:shd w:fill="FFFFFF" w:val="clear"/>
            <w:vAlign w:val="center"/>
          </w:tcPr>
          <w:p w14:paraId="953C0000">
            <w:pPr>
              <w:widowControl w:val="1"/>
              <w:ind/>
              <w:jc w:val="center"/>
              <w:rPr>
                <w:sz w:val="18"/>
              </w:rPr>
            </w:pPr>
            <w:r>
              <w:rPr>
                <w:sz w:val="18"/>
              </w:rPr>
              <w:t>62010,00</w:t>
            </w:r>
          </w:p>
        </w:tc>
        <w:tc>
          <w:tcPr>
            <w:tcW w:type="dxa" w:w="993"/>
            <w:tcBorders>
              <w:top w:color="000000" w:sz="4" w:val="single"/>
              <w:left w:color="000000" w:sz="4" w:val="single"/>
              <w:bottom w:color="000000" w:sz="4" w:val="single"/>
              <w:right w:color="000000" w:sz="4" w:val="single"/>
            </w:tcBorders>
            <w:shd w:fill="FFFFFF" w:val="clear"/>
            <w:vAlign w:val="center"/>
          </w:tcPr>
          <w:p w14:paraId="963C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73C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983C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993C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9A3C0000">
            <w:pPr>
              <w:widowControl w:val="1"/>
              <w:ind/>
              <w:jc w:val="center"/>
              <w:rPr>
                <w:sz w:val="18"/>
              </w:rPr>
            </w:pPr>
            <w:r>
              <w:rPr>
                <w:sz w:val="18"/>
              </w:rPr>
              <w:t>153</w:t>
            </w:r>
          </w:p>
        </w:tc>
        <w:tc>
          <w:tcPr>
            <w:tcW w:type="dxa" w:w="1169"/>
            <w:tcBorders>
              <w:top w:color="000000" w:sz="4" w:val="single"/>
              <w:left w:color="000000" w:sz="4" w:val="single"/>
              <w:bottom w:color="000000" w:sz="4" w:val="single"/>
              <w:right w:color="000000" w:sz="4" w:val="single"/>
            </w:tcBorders>
            <w:shd w:fill="FFFFFF" w:val="clear"/>
            <w:vAlign w:val="center"/>
          </w:tcPr>
          <w:p w14:paraId="9B3C0000">
            <w:pPr>
              <w:widowControl w:val="1"/>
              <w:ind/>
              <w:jc w:val="center"/>
              <w:rPr>
                <w:color w:val="000000"/>
                <w:sz w:val="18"/>
              </w:rPr>
            </w:pPr>
            <w:r>
              <w:rPr>
                <w:color w:val="000000"/>
                <w:sz w:val="18"/>
              </w:rPr>
              <w:t>52550,8</w:t>
            </w:r>
          </w:p>
        </w:tc>
        <w:tc>
          <w:tcPr>
            <w:tcW w:type="dxa" w:w="1185"/>
            <w:tcBorders>
              <w:top w:color="000000" w:sz="4" w:val="single"/>
              <w:left w:color="000000" w:sz="4" w:val="single"/>
              <w:bottom w:color="000000" w:sz="4" w:val="single"/>
              <w:right w:color="000000" w:sz="4" w:val="single"/>
            </w:tcBorders>
            <w:shd w:fill="FFFFFF" w:val="clear"/>
            <w:vAlign w:val="center"/>
          </w:tcPr>
          <w:p w14:paraId="9C3C0000">
            <w:pPr>
              <w:widowControl w:val="1"/>
              <w:ind/>
              <w:jc w:val="center"/>
              <w:rPr>
                <w:sz w:val="18"/>
              </w:rPr>
            </w:pPr>
            <w:r>
              <w:rPr>
                <w:sz w:val="18"/>
              </w:rPr>
              <w:t>62010,00</w:t>
            </w:r>
          </w:p>
        </w:tc>
        <w:tc>
          <w:tcPr>
            <w:tcW w:type="dxa" w:w="1083"/>
            <w:tcBorders>
              <w:top w:color="000000" w:sz="4" w:val="single"/>
              <w:left w:color="000000" w:sz="4" w:val="single"/>
              <w:bottom w:color="000000" w:sz="4" w:val="single"/>
              <w:right w:color="000000" w:sz="4" w:val="single"/>
            </w:tcBorders>
            <w:shd w:fill="FFFFFF" w:val="clear"/>
            <w:vAlign w:val="center"/>
          </w:tcPr>
          <w:p w14:paraId="9D3C0000">
            <w:pPr>
              <w:widowControl w:val="1"/>
              <w:ind/>
              <w:jc w:val="center"/>
              <w:rPr>
                <w:sz w:val="18"/>
              </w:rPr>
            </w:pPr>
            <w:r>
              <w:rPr>
                <w:sz w:val="18"/>
              </w:rPr>
              <w:t>62010,00</w:t>
            </w:r>
          </w:p>
        </w:tc>
        <w:tc>
          <w:tcPr>
            <w:tcW w:type="dxa" w:w="771"/>
            <w:tcBorders>
              <w:top w:color="000000" w:sz="4" w:val="single"/>
              <w:left w:color="000000" w:sz="4" w:val="single"/>
              <w:bottom w:color="000000" w:sz="4" w:val="single"/>
              <w:right w:color="000000" w:sz="4" w:val="single"/>
            </w:tcBorders>
            <w:shd w:fill="FFFFFF" w:val="clear"/>
            <w:vAlign w:val="center"/>
          </w:tcPr>
          <w:p w14:paraId="9E3C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9F3C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A03C0000">
            <w:pPr>
              <w:widowControl w:val="1"/>
              <w:ind/>
              <w:jc w:val="center"/>
              <w:rPr>
                <w:sz w:val="18"/>
              </w:rPr>
            </w:pPr>
            <w:r>
              <w:rPr>
                <w:sz w:val="18"/>
              </w:rPr>
              <w:t>счет № 5711 от 17.10.2018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A13C0000">
            <w:pPr>
              <w:widowControl w:val="1"/>
              <w:ind/>
              <w:jc w:val="center"/>
              <w:rPr>
                <w:color w:val="000000"/>
                <w:sz w:val="18"/>
              </w:rPr>
            </w:pPr>
            <w:r>
              <w:rPr>
                <w:color w:val="000000"/>
                <w:sz w:val="18"/>
              </w:rPr>
              <w:t>222</w:t>
            </w:r>
          </w:p>
        </w:tc>
        <w:tc>
          <w:tcPr>
            <w:tcW w:type="dxa" w:w="618"/>
            <w:tcBorders>
              <w:top w:color="000000" w:sz="4" w:val="single"/>
              <w:left w:color="000000" w:sz="4" w:val="single"/>
              <w:bottom w:color="000000" w:sz="4" w:val="single"/>
              <w:right w:color="000000" w:sz="4" w:val="single"/>
            </w:tcBorders>
            <w:shd w:fill="FFFFFF" w:val="clear"/>
            <w:vAlign w:val="center"/>
          </w:tcPr>
          <w:p w14:paraId="A23C0000">
            <w:pPr>
              <w:widowControl w:val="1"/>
              <w:ind/>
              <w:jc w:val="center"/>
              <w:rPr>
                <w:sz w:val="18"/>
              </w:rPr>
            </w:pPr>
            <w:r>
              <w:rPr>
                <w:sz w:val="18"/>
              </w:rPr>
              <w:t>148/2</w:t>
            </w:r>
          </w:p>
        </w:tc>
        <w:tc>
          <w:tcPr>
            <w:tcW w:type="dxa" w:w="993"/>
            <w:tcBorders>
              <w:top w:color="000000" w:sz="4" w:val="single"/>
              <w:left w:color="000000" w:sz="4" w:val="single"/>
              <w:bottom w:color="000000" w:sz="4" w:val="single"/>
              <w:right w:color="000000" w:sz="4" w:val="single"/>
            </w:tcBorders>
            <w:shd w:fill="FFFFFF" w:val="clear"/>
            <w:vAlign w:val="center"/>
          </w:tcPr>
          <w:p w14:paraId="A33C0000">
            <w:pPr>
              <w:widowControl w:val="1"/>
              <w:ind/>
              <w:jc w:val="center"/>
              <w:rPr>
                <w:sz w:val="18"/>
              </w:rPr>
            </w:pPr>
            <w:r>
              <w:rPr>
                <w:sz w:val="18"/>
              </w:rPr>
              <w:t>поставка жесткого диска</w:t>
            </w:r>
          </w:p>
        </w:tc>
        <w:tc>
          <w:tcPr>
            <w:tcW w:type="dxa" w:w="849"/>
            <w:tcBorders>
              <w:top w:color="000000" w:sz="4" w:val="single"/>
              <w:left w:color="000000" w:sz="4" w:val="single"/>
              <w:bottom w:color="000000" w:sz="4" w:val="single"/>
              <w:right w:color="000000" w:sz="4" w:val="single"/>
            </w:tcBorders>
            <w:shd w:fill="FFFFFF" w:val="clear"/>
            <w:vAlign w:val="center"/>
          </w:tcPr>
          <w:p w14:paraId="A43C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A53C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A63C0000">
            <w:pPr>
              <w:widowControl w:val="1"/>
              <w:ind/>
              <w:jc w:val="center"/>
              <w:rPr>
                <w:color w:val="000000"/>
                <w:sz w:val="18"/>
              </w:rPr>
            </w:pPr>
            <w:r>
              <w:rPr>
                <w:color w:val="000000"/>
                <w:sz w:val="18"/>
              </w:rPr>
              <w:t>12711,8</w:t>
            </w:r>
          </w:p>
        </w:tc>
        <w:tc>
          <w:tcPr>
            <w:tcW w:type="dxa" w:w="1134"/>
            <w:tcBorders>
              <w:top w:color="000000" w:sz="4" w:val="single"/>
              <w:left w:color="000000" w:sz="4" w:val="single"/>
              <w:bottom w:color="000000" w:sz="4" w:val="single"/>
              <w:right w:color="000000" w:sz="4" w:val="single"/>
            </w:tcBorders>
            <w:shd w:fill="FFFFFF" w:val="clear"/>
            <w:vAlign w:val="center"/>
          </w:tcPr>
          <w:p w14:paraId="A73C0000">
            <w:pPr>
              <w:widowControl w:val="1"/>
              <w:ind/>
              <w:jc w:val="center"/>
              <w:rPr>
                <w:sz w:val="18"/>
              </w:rPr>
            </w:pPr>
            <w:r>
              <w:rPr>
                <w:sz w:val="18"/>
              </w:rPr>
              <w:t>15000,00</w:t>
            </w:r>
          </w:p>
        </w:tc>
        <w:tc>
          <w:tcPr>
            <w:tcW w:type="dxa" w:w="993"/>
            <w:tcBorders>
              <w:top w:color="000000" w:sz="4" w:val="single"/>
              <w:left w:color="000000" w:sz="4" w:val="single"/>
              <w:bottom w:color="000000" w:sz="4" w:val="single"/>
              <w:right w:color="000000" w:sz="4" w:val="single"/>
            </w:tcBorders>
            <w:shd w:fill="FFFFFF" w:val="clear"/>
            <w:vAlign w:val="center"/>
          </w:tcPr>
          <w:p w14:paraId="A83C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A93C0000">
            <w:pPr>
              <w:widowControl w:val="1"/>
              <w:ind/>
              <w:jc w:val="center"/>
              <w:rPr>
                <w:sz w:val="18"/>
              </w:rPr>
            </w:pPr>
            <w:r>
              <w:rPr>
                <w:sz w:val="18"/>
              </w:rPr>
              <w:t>ноябрь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AA3C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AB3C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AC3C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AD3C0000">
            <w:pPr>
              <w:widowControl w:val="1"/>
              <w:ind/>
              <w:jc w:val="center"/>
              <w:rPr>
                <w:color w:val="000000"/>
                <w:sz w:val="18"/>
              </w:rPr>
            </w:pPr>
            <w:r>
              <w:rPr>
                <w:color w:val="000000"/>
                <w:sz w:val="18"/>
              </w:rPr>
              <w:t>12711,8</w:t>
            </w:r>
          </w:p>
        </w:tc>
        <w:tc>
          <w:tcPr>
            <w:tcW w:type="dxa" w:w="1185"/>
            <w:tcBorders>
              <w:top w:color="000000" w:sz="4" w:val="single"/>
              <w:left w:color="000000" w:sz="4" w:val="single"/>
              <w:bottom w:color="000000" w:sz="4" w:val="single"/>
              <w:right w:color="000000" w:sz="4" w:val="single"/>
            </w:tcBorders>
            <w:shd w:fill="FFFFFF" w:val="clear"/>
            <w:vAlign w:val="center"/>
          </w:tcPr>
          <w:p w14:paraId="AE3C0000">
            <w:pPr>
              <w:widowControl w:val="1"/>
              <w:ind/>
              <w:jc w:val="center"/>
              <w:rPr>
                <w:sz w:val="18"/>
              </w:rPr>
            </w:pPr>
            <w:r>
              <w:rPr>
                <w:sz w:val="18"/>
              </w:rPr>
              <w:t>15000,00</w:t>
            </w:r>
          </w:p>
        </w:tc>
        <w:tc>
          <w:tcPr>
            <w:tcW w:type="dxa" w:w="1083"/>
            <w:tcBorders>
              <w:top w:color="000000" w:sz="4" w:val="single"/>
              <w:left w:color="000000" w:sz="4" w:val="single"/>
              <w:bottom w:color="000000" w:sz="4" w:val="single"/>
              <w:right w:color="000000" w:sz="4" w:val="single"/>
            </w:tcBorders>
            <w:shd w:fill="FFFFFF" w:val="clear"/>
            <w:vAlign w:val="center"/>
          </w:tcPr>
          <w:p w14:paraId="AF3C0000">
            <w:pPr>
              <w:widowControl w:val="1"/>
              <w:ind/>
              <w:jc w:val="center"/>
              <w:rPr>
                <w:sz w:val="18"/>
              </w:rPr>
            </w:pPr>
            <w:r>
              <w:rPr>
                <w:sz w:val="18"/>
              </w:rPr>
              <w:t>15000,00</w:t>
            </w:r>
          </w:p>
        </w:tc>
        <w:tc>
          <w:tcPr>
            <w:tcW w:type="dxa" w:w="771"/>
            <w:tcBorders>
              <w:top w:color="000000" w:sz="4" w:val="single"/>
              <w:left w:color="000000" w:sz="4" w:val="single"/>
              <w:bottom w:color="000000" w:sz="4" w:val="single"/>
              <w:right w:color="000000" w:sz="4" w:val="single"/>
            </w:tcBorders>
            <w:shd w:fill="FFFFFF" w:val="clear"/>
            <w:vAlign w:val="center"/>
          </w:tcPr>
          <w:p w14:paraId="B03C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B13C0000">
            <w:pPr>
              <w:widowControl w:val="1"/>
              <w:ind/>
              <w:jc w:val="center"/>
              <w:rPr>
                <w:sz w:val="18"/>
              </w:rPr>
            </w:pPr>
            <w:r>
              <w:rPr>
                <w:sz w:val="18"/>
              </w:rPr>
              <w:t>ноябрь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B23C0000">
            <w:pPr>
              <w:widowControl w:val="1"/>
              <w:ind/>
              <w:jc w:val="center"/>
              <w:rPr>
                <w:sz w:val="18"/>
              </w:rPr>
            </w:pPr>
            <w:r>
              <w:rPr>
                <w:sz w:val="18"/>
              </w:rPr>
              <w:t>счет № СЧК30840 от 10.10.2018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B33C0000">
            <w:pPr>
              <w:widowControl w:val="1"/>
              <w:ind/>
              <w:jc w:val="center"/>
              <w:rPr>
                <w:color w:val="000000"/>
                <w:sz w:val="18"/>
              </w:rPr>
            </w:pPr>
            <w:r>
              <w:rPr>
                <w:color w:val="000000"/>
                <w:sz w:val="18"/>
              </w:rPr>
              <w:t>223</w:t>
            </w:r>
          </w:p>
        </w:tc>
        <w:tc>
          <w:tcPr>
            <w:tcW w:type="dxa" w:w="618"/>
            <w:tcBorders>
              <w:top w:color="000000" w:sz="4" w:val="single"/>
              <w:left w:color="000000" w:sz="4" w:val="single"/>
              <w:bottom w:color="000000" w:sz="4" w:val="single"/>
              <w:right w:color="000000" w:sz="4" w:val="single"/>
            </w:tcBorders>
            <w:shd w:fill="FFFFFF" w:val="clear"/>
            <w:vAlign w:val="center"/>
          </w:tcPr>
          <w:p w14:paraId="B43C0000">
            <w:pPr>
              <w:widowControl w:val="1"/>
              <w:ind/>
              <w:jc w:val="center"/>
              <w:rPr>
                <w:sz w:val="18"/>
              </w:rPr>
            </w:pPr>
            <w:r>
              <w:rPr>
                <w:sz w:val="18"/>
              </w:rPr>
              <w:t>149/2</w:t>
            </w:r>
          </w:p>
        </w:tc>
        <w:tc>
          <w:tcPr>
            <w:tcW w:type="dxa" w:w="993"/>
            <w:tcBorders>
              <w:top w:color="000000" w:sz="4" w:val="single"/>
              <w:left w:color="000000" w:sz="4" w:val="single"/>
              <w:bottom w:color="000000" w:sz="4" w:val="single"/>
              <w:right w:color="000000" w:sz="4" w:val="single"/>
            </w:tcBorders>
            <w:shd w:fill="FFFFFF" w:val="clear"/>
            <w:vAlign w:val="center"/>
          </w:tcPr>
          <w:p w14:paraId="B53C0000">
            <w:pPr>
              <w:widowControl w:val="1"/>
              <w:ind/>
              <w:jc w:val="center"/>
              <w:rPr>
                <w:sz w:val="18"/>
              </w:rPr>
            </w:pPr>
            <w:r>
              <w:rPr>
                <w:sz w:val="18"/>
              </w:rPr>
              <w:t>поставка видеорегистратора</w:t>
            </w:r>
          </w:p>
        </w:tc>
        <w:tc>
          <w:tcPr>
            <w:tcW w:type="dxa" w:w="849"/>
            <w:tcBorders>
              <w:top w:color="000000" w:sz="4" w:val="single"/>
              <w:left w:color="000000" w:sz="4" w:val="single"/>
              <w:bottom w:color="000000" w:sz="4" w:val="single"/>
              <w:right w:color="000000" w:sz="4" w:val="single"/>
            </w:tcBorders>
            <w:shd w:fill="FFFFFF" w:val="clear"/>
            <w:vAlign w:val="center"/>
          </w:tcPr>
          <w:p w14:paraId="B63C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73C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B83C0000">
            <w:pPr>
              <w:widowControl w:val="1"/>
              <w:ind/>
              <w:jc w:val="center"/>
              <w:rPr>
                <w:color w:val="000000"/>
                <w:sz w:val="18"/>
              </w:rPr>
            </w:pPr>
            <w:r>
              <w:rPr>
                <w:color w:val="000000"/>
                <w:sz w:val="18"/>
              </w:rPr>
              <w:t>35169,5</w:t>
            </w:r>
          </w:p>
        </w:tc>
        <w:tc>
          <w:tcPr>
            <w:tcW w:type="dxa" w:w="1134"/>
            <w:tcBorders>
              <w:top w:color="000000" w:sz="4" w:val="single"/>
              <w:left w:color="000000" w:sz="4" w:val="single"/>
              <w:bottom w:color="000000" w:sz="4" w:val="single"/>
              <w:right w:color="000000" w:sz="4" w:val="single"/>
            </w:tcBorders>
            <w:shd w:fill="FFFFFF" w:val="clear"/>
            <w:vAlign w:val="center"/>
          </w:tcPr>
          <w:p w14:paraId="B93C0000">
            <w:pPr>
              <w:widowControl w:val="1"/>
              <w:ind/>
              <w:jc w:val="center"/>
              <w:rPr>
                <w:sz w:val="18"/>
              </w:rPr>
            </w:pPr>
            <w:r>
              <w:rPr>
                <w:sz w:val="18"/>
              </w:rPr>
              <w:t>41500,00</w:t>
            </w:r>
          </w:p>
        </w:tc>
        <w:tc>
          <w:tcPr>
            <w:tcW w:type="dxa" w:w="993"/>
            <w:tcBorders>
              <w:top w:color="000000" w:sz="4" w:val="single"/>
              <w:left w:color="000000" w:sz="4" w:val="single"/>
              <w:bottom w:color="000000" w:sz="4" w:val="single"/>
              <w:right w:color="000000" w:sz="4" w:val="single"/>
            </w:tcBorders>
            <w:shd w:fill="FFFFFF" w:val="clear"/>
            <w:vAlign w:val="center"/>
          </w:tcPr>
          <w:p w14:paraId="BA3C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BB3C0000">
            <w:pPr>
              <w:widowControl w:val="1"/>
              <w:ind/>
              <w:jc w:val="center"/>
              <w:rPr>
                <w:sz w:val="18"/>
              </w:rPr>
            </w:pPr>
            <w:r>
              <w:rPr>
                <w:sz w:val="18"/>
              </w:rPr>
              <w:t>ноябрь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BC3C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BD3C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BE3C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BF3C0000">
            <w:pPr>
              <w:widowControl w:val="1"/>
              <w:ind/>
              <w:jc w:val="center"/>
              <w:rPr>
                <w:color w:val="000000"/>
                <w:sz w:val="18"/>
              </w:rPr>
            </w:pPr>
            <w:r>
              <w:rPr>
                <w:color w:val="000000"/>
                <w:sz w:val="18"/>
              </w:rPr>
              <w:t>35169,5</w:t>
            </w:r>
          </w:p>
        </w:tc>
        <w:tc>
          <w:tcPr>
            <w:tcW w:type="dxa" w:w="1185"/>
            <w:tcBorders>
              <w:top w:color="000000" w:sz="4" w:val="single"/>
              <w:left w:color="000000" w:sz="4" w:val="single"/>
              <w:bottom w:color="000000" w:sz="4" w:val="single"/>
              <w:right w:color="000000" w:sz="4" w:val="single"/>
            </w:tcBorders>
            <w:shd w:fill="FFFFFF" w:val="clear"/>
            <w:vAlign w:val="center"/>
          </w:tcPr>
          <w:p w14:paraId="C03C0000">
            <w:pPr>
              <w:widowControl w:val="1"/>
              <w:ind/>
              <w:jc w:val="center"/>
              <w:rPr>
                <w:sz w:val="18"/>
              </w:rPr>
            </w:pPr>
            <w:r>
              <w:rPr>
                <w:sz w:val="18"/>
              </w:rPr>
              <w:t>41500,00</w:t>
            </w:r>
          </w:p>
        </w:tc>
        <w:tc>
          <w:tcPr>
            <w:tcW w:type="dxa" w:w="1083"/>
            <w:tcBorders>
              <w:top w:color="000000" w:sz="4" w:val="single"/>
              <w:left w:color="000000" w:sz="4" w:val="single"/>
              <w:bottom w:color="000000" w:sz="4" w:val="single"/>
              <w:right w:color="000000" w:sz="4" w:val="single"/>
            </w:tcBorders>
            <w:shd w:fill="FFFFFF" w:val="clear"/>
            <w:vAlign w:val="center"/>
          </w:tcPr>
          <w:p w14:paraId="C13C0000">
            <w:pPr>
              <w:widowControl w:val="1"/>
              <w:ind/>
              <w:jc w:val="center"/>
              <w:rPr>
                <w:sz w:val="18"/>
              </w:rPr>
            </w:pPr>
            <w:r>
              <w:rPr>
                <w:sz w:val="18"/>
              </w:rPr>
              <w:t>41500,00</w:t>
            </w:r>
          </w:p>
        </w:tc>
        <w:tc>
          <w:tcPr>
            <w:tcW w:type="dxa" w:w="771"/>
            <w:tcBorders>
              <w:top w:color="000000" w:sz="4" w:val="single"/>
              <w:left w:color="000000" w:sz="4" w:val="single"/>
              <w:bottom w:color="000000" w:sz="4" w:val="single"/>
              <w:right w:color="000000" w:sz="4" w:val="single"/>
            </w:tcBorders>
            <w:shd w:fill="FFFFFF" w:val="clear"/>
            <w:vAlign w:val="center"/>
          </w:tcPr>
          <w:p w14:paraId="C23C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C33C0000">
            <w:pPr>
              <w:widowControl w:val="1"/>
              <w:ind/>
              <w:jc w:val="center"/>
              <w:rPr>
                <w:sz w:val="18"/>
              </w:rPr>
            </w:pPr>
            <w:r>
              <w:rPr>
                <w:sz w:val="18"/>
              </w:rPr>
              <w:t>ноябрь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C43C0000">
            <w:pPr>
              <w:widowControl w:val="1"/>
              <w:ind/>
              <w:jc w:val="center"/>
              <w:rPr>
                <w:sz w:val="18"/>
              </w:rPr>
            </w:pPr>
            <w:r>
              <w:rPr>
                <w:sz w:val="18"/>
              </w:rPr>
              <w:t>счет № СЧК30839 от 10.10.2018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C53C0000">
            <w:pPr>
              <w:widowControl w:val="1"/>
              <w:ind/>
              <w:jc w:val="center"/>
              <w:rPr>
                <w:color w:val="000000"/>
                <w:sz w:val="18"/>
              </w:rPr>
            </w:pPr>
            <w:r>
              <w:rPr>
                <w:color w:val="000000"/>
                <w:sz w:val="18"/>
              </w:rPr>
              <w:t>224</w:t>
            </w:r>
          </w:p>
        </w:tc>
        <w:tc>
          <w:tcPr>
            <w:tcW w:type="dxa" w:w="618"/>
            <w:tcBorders>
              <w:top w:color="000000" w:sz="4" w:val="single"/>
              <w:left w:color="000000" w:sz="4" w:val="single"/>
              <w:bottom w:color="000000" w:sz="4" w:val="single"/>
              <w:right w:color="000000" w:sz="4" w:val="single"/>
            </w:tcBorders>
            <w:shd w:fill="FFFFFF" w:val="clear"/>
            <w:vAlign w:val="center"/>
          </w:tcPr>
          <w:p w14:paraId="C63C0000">
            <w:pPr>
              <w:widowControl w:val="1"/>
              <w:ind/>
              <w:jc w:val="center"/>
              <w:rPr>
                <w:sz w:val="18"/>
              </w:rPr>
            </w:pPr>
            <w:r>
              <w:rPr>
                <w:sz w:val="18"/>
              </w:rPr>
              <w:t>150/2</w:t>
            </w:r>
          </w:p>
        </w:tc>
        <w:tc>
          <w:tcPr>
            <w:tcW w:type="dxa" w:w="993"/>
            <w:tcBorders>
              <w:top w:color="000000" w:sz="4" w:val="single"/>
              <w:left w:color="000000" w:sz="4" w:val="single"/>
              <w:bottom w:color="000000" w:sz="4" w:val="single"/>
              <w:right w:color="000000" w:sz="4" w:val="single"/>
            </w:tcBorders>
            <w:shd w:fill="FFFFFF" w:val="clear"/>
            <w:vAlign w:val="center"/>
          </w:tcPr>
          <w:p w14:paraId="C73C0000">
            <w:pPr>
              <w:widowControl w:val="1"/>
              <w:ind/>
              <w:jc w:val="center"/>
              <w:rPr>
                <w:sz w:val="18"/>
              </w:rPr>
            </w:pPr>
            <w:r>
              <w:rPr>
                <w:sz w:val="18"/>
              </w:rPr>
              <w:t>поставка микроволновой печи</w:t>
            </w:r>
          </w:p>
        </w:tc>
        <w:tc>
          <w:tcPr>
            <w:tcW w:type="dxa" w:w="849"/>
            <w:tcBorders>
              <w:top w:color="000000" w:sz="4" w:val="single"/>
              <w:left w:color="000000" w:sz="4" w:val="single"/>
              <w:bottom w:color="000000" w:sz="4" w:val="single"/>
              <w:right w:color="000000" w:sz="4" w:val="single"/>
            </w:tcBorders>
            <w:shd w:fill="FFFFFF" w:val="clear"/>
            <w:vAlign w:val="center"/>
          </w:tcPr>
          <w:p w14:paraId="C83C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C93C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CA3C0000">
            <w:pPr>
              <w:widowControl w:val="1"/>
              <w:ind/>
              <w:jc w:val="center"/>
              <w:rPr>
                <w:color w:val="000000"/>
                <w:sz w:val="18"/>
              </w:rPr>
            </w:pPr>
            <w:r>
              <w:rPr>
                <w:color w:val="000000"/>
                <w:sz w:val="18"/>
              </w:rPr>
              <w:t>8557,6</w:t>
            </w:r>
          </w:p>
        </w:tc>
        <w:tc>
          <w:tcPr>
            <w:tcW w:type="dxa" w:w="1134"/>
            <w:tcBorders>
              <w:top w:color="000000" w:sz="4" w:val="single"/>
              <w:left w:color="000000" w:sz="4" w:val="single"/>
              <w:bottom w:color="000000" w:sz="4" w:val="single"/>
              <w:right w:color="000000" w:sz="4" w:val="single"/>
            </w:tcBorders>
            <w:shd w:fill="FFFFFF" w:val="clear"/>
            <w:vAlign w:val="center"/>
          </w:tcPr>
          <w:p w14:paraId="CB3C0000">
            <w:pPr>
              <w:widowControl w:val="1"/>
              <w:ind/>
              <w:jc w:val="center"/>
              <w:rPr>
                <w:sz w:val="18"/>
              </w:rPr>
            </w:pPr>
            <w:r>
              <w:rPr>
                <w:sz w:val="18"/>
              </w:rPr>
              <w:t>10098,00</w:t>
            </w:r>
          </w:p>
        </w:tc>
        <w:tc>
          <w:tcPr>
            <w:tcW w:type="dxa" w:w="993"/>
            <w:tcBorders>
              <w:top w:color="000000" w:sz="4" w:val="single"/>
              <w:left w:color="000000" w:sz="4" w:val="single"/>
              <w:bottom w:color="000000" w:sz="4" w:val="single"/>
              <w:right w:color="000000" w:sz="4" w:val="single"/>
            </w:tcBorders>
            <w:shd w:fill="FFFFFF" w:val="clear"/>
            <w:vAlign w:val="center"/>
          </w:tcPr>
          <w:p w14:paraId="CC3C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CD3C0000">
            <w:pPr>
              <w:widowControl w:val="1"/>
              <w:ind/>
              <w:jc w:val="center"/>
              <w:rPr>
                <w:sz w:val="18"/>
              </w:rPr>
            </w:pPr>
            <w:r>
              <w:rPr>
                <w:sz w:val="18"/>
              </w:rPr>
              <w:t>октябрь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CE3C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CF3C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D03C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D13C0000">
            <w:pPr>
              <w:widowControl w:val="1"/>
              <w:ind/>
              <w:jc w:val="center"/>
              <w:rPr>
                <w:color w:val="000000"/>
                <w:sz w:val="18"/>
              </w:rPr>
            </w:pPr>
            <w:r>
              <w:rPr>
                <w:color w:val="000000"/>
                <w:sz w:val="18"/>
              </w:rPr>
              <w:t>8557,6</w:t>
            </w:r>
          </w:p>
        </w:tc>
        <w:tc>
          <w:tcPr>
            <w:tcW w:type="dxa" w:w="1185"/>
            <w:tcBorders>
              <w:top w:color="000000" w:sz="4" w:val="single"/>
              <w:left w:color="000000" w:sz="4" w:val="single"/>
              <w:bottom w:color="000000" w:sz="4" w:val="single"/>
              <w:right w:color="000000" w:sz="4" w:val="single"/>
            </w:tcBorders>
            <w:shd w:fill="FFFFFF" w:val="clear"/>
            <w:vAlign w:val="center"/>
          </w:tcPr>
          <w:p w14:paraId="D23C0000">
            <w:pPr>
              <w:widowControl w:val="1"/>
              <w:ind/>
              <w:jc w:val="center"/>
              <w:rPr>
                <w:sz w:val="18"/>
              </w:rPr>
            </w:pPr>
            <w:r>
              <w:rPr>
                <w:sz w:val="18"/>
              </w:rPr>
              <w:t>10098,00</w:t>
            </w:r>
          </w:p>
        </w:tc>
        <w:tc>
          <w:tcPr>
            <w:tcW w:type="dxa" w:w="1083"/>
            <w:tcBorders>
              <w:top w:color="000000" w:sz="4" w:val="single"/>
              <w:left w:color="000000" w:sz="4" w:val="single"/>
              <w:bottom w:color="000000" w:sz="4" w:val="single"/>
              <w:right w:color="000000" w:sz="4" w:val="single"/>
            </w:tcBorders>
            <w:shd w:fill="FFFFFF" w:val="clear"/>
            <w:vAlign w:val="center"/>
          </w:tcPr>
          <w:p w14:paraId="D33C0000">
            <w:pPr>
              <w:widowControl w:val="1"/>
              <w:ind/>
              <w:jc w:val="center"/>
              <w:rPr>
                <w:sz w:val="18"/>
              </w:rPr>
            </w:pPr>
            <w:r>
              <w:rPr>
                <w:sz w:val="18"/>
              </w:rPr>
              <w:t>10098,00</w:t>
            </w:r>
          </w:p>
        </w:tc>
        <w:tc>
          <w:tcPr>
            <w:tcW w:type="dxa" w:w="771"/>
            <w:tcBorders>
              <w:top w:color="000000" w:sz="4" w:val="single"/>
              <w:left w:color="000000" w:sz="4" w:val="single"/>
              <w:bottom w:color="000000" w:sz="4" w:val="single"/>
              <w:right w:color="000000" w:sz="4" w:val="single"/>
            </w:tcBorders>
            <w:shd w:fill="FFFFFF" w:val="clear"/>
            <w:vAlign w:val="center"/>
          </w:tcPr>
          <w:p w14:paraId="D43C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D53C0000">
            <w:pPr>
              <w:widowControl w:val="1"/>
              <w:ind/>
              <w:jc w:val="center"/>
              <w:rPr>
                <w:sz w:val="18"/>
              </w:rPr>
            </w:pPr>
            <w:r>
              <w:rPr>
                <w:sz w:val="18"/>
              </w:rPr>
              <w:t>октябрь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D63C0000">
            <w:pPr>
              <w:widowControl w:val="1"/>
              <w:ind/>
              <w:jc w:val="center"/>
              <w:rPr>
                <w:sz w:val="18"/>
              </w:rPr>
            </w:pPr>
            <w:r>
              <w:rPr>
                <w:sz w:val="18"/>
              </w:rPr>
              <w:t>счет № РД1-004335 от 16.10.2018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D73C0000">
            <w:pPr>
              <w:widowControl w:val="1"/>
              <w:ind/>
              <w:jc w:val="center"/>
              <w:rPr>
                <w:color w:val="000000"/>
                <w:sz w:val="18"/>
              </w:rPr>
            </w:pPr>
            <w:r>
              <w:rPr>
                <w:color w:val="000000"/>
                <w:sz w:val="18"/>
              </w:rPr>
              <w:t>225</w:t>
            </w:r>
          </w:p>
        </w:tc>
        <w:tc>
          <w:tcPr>
            <w:tcW w:type="dxa" w:w="618"/>
            <w:tcBorders>
              <w:top w:color="000000" w:sz="4" w:val="single"/>
              <w:left w:color="000000" w:sz="4" w:val="single"/>
              <w:bottom w:color="000000" w:sz="4" w:val="single"/>
              <w:right w:color="000000" w:sz="4" w:val="single"/>
            </w:tcBorders>
            <w:shd w:fill="FFFFFF" w:val="clear"/>
            <w:vAlign w:val="center"/>
          </w:tcPr>
          <w:p w14:paraId="D83C0000">
            <w:pPr>
              <w:widowControl w:val="1"/>
              <w:ind/>
              <w:jc w:val="center"/>
              <w:rPr>
                <w:sz w:val="18"/>
              </w:rPr>
            </w:pPr>
            <w:r>
              <w:rPr>
                <w:sz w:val="18"/>
              </w:rPr>
              <w:t>151/2</w:t>
            </w:r>
          </w:p>
        </w:tc>
        <w:tc>
          <w:tcPr>
            <w:tcW w:type="dxa" w:w="993"/>
            <w:tcBorders>
              <w:top w:color="000000" w:sz="4" w:val="single"/>
              <w:left w:color="000000" w:sz="4" w:val="single"/>
              <w:bottom w:color="000000" w:sz="4" w:val="single"/>
              <w:right w:color="000000" w:sz="4" w:val="single"/>
            </w:tcBorders>
            <w:shd w:fill="FFFFFF" w:val="clear"/>
            <w:vAlign w:val="center"/>
          </w:tcPr>
          <w:p w14:paraId="D93C0000">
            <w:pPr>
              <w:widowControl w:val="1"/>
              <w:ind/>
              <w:jc w:val="center"/>
              <w:rPr>
                <w:sz w:val="18"/>
              </w:rPr>
            </w:pPr>
            <w:r>
              <w:rPr>
                <w:sz w:val="18"/>
              </w:rPr>
              <w:t>Оказание услуг по проведению тренинга</w:t>
            </w:r>
          </w:p>
        </w:tc>
        <w:tc>
          <w:tcPr>
            <w:tcW w:type="dxa" w:w="849"/>
            <w:tcBorders>
              <w:top w:color="000000" w:sz="4" w:val="single"/>
              <w:left w:color="000000" w:sz="4" w:val="single"/>
              <w:bottom w:color="000000" w:sz="4" w:val="single"/>
              <w:right w:color="000000" w:sz="4" w:val="single"/>
            </w:tcBorders>
            <w:shd w:fill="FFFFFF" w:val="clear"/>
            <w:vAlign w:val="center"/>
          </w:tcPr>
          <w:p w14:paraId="DA3C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DB3C0000">
            <w:pPr>
              <w:widowControl w:val="1"/>
              <w:ind/>
              <w:jc w:val="center"/>
              <w:rPr>
                <w:sz w:val="18"/>
              </w:rPr>
            </w:pPr>
            <w:r>
              <w:rPr>
                <w:sz w:val="18"/>
              </w:rPr>
              <w:t>18</w:t>
            </w:r>
          </w:p>
        </w:tc>
        <w:tc>
          <w:tcPr>
            <w:tcW w:type="dxa" w:w="991"/>
            <w:tcBorders>
              <w:top w:color="000000" w:sz="4" w:val="single"/>
              <w:left w:color="000000" w:sz="4" w:val="single"/>
              <w:bottom w:color="000000" w:sz="4" w:val="single"/>
              <w:right w:color="000000" w:sz="4" w:val="single"/>
            </w:tcBorders>
            <w:shd w:fill="FFFFFF" w:val="clear"/>
            <w:vAlign w:val="center"/>
          </w:tcPr>
          <w:p w14:paraId="DC3C0000">
            <w:pPr>
              <w:widowControl w:val="1"/>
              <w:ind/>
              <w:jc w:val="center"/>
              <w:rPr>
                <w:sz w:val="18"/>
              </w:rPr>
            </w:pPr>
            <w:r>
              <w:rPr>
                <w:sz w:val="18"/>
              </w:rPr>
              <w:t>22 000,00</w:t>
            </w:r>
          </w:p>
        </w:tc>
        <w:tc>
          <w:tcPr>
            <w:tcW w:type="dxa" w:w="1134"/>
            <w:tcBorders>
              <w:top w:color="000000" w:sz="4" w:val="single"/>
              <w:left w:color="000000" w:sz="4" w:val="single"/>
              <w:bottom w:color="000000" w:sz="4" w:val="single"/>
              <w:right w:color="000000" w:sz="4" w:val="single"/>
            </w:tcBorders>
            <w:shd w:fill="FFFFFF" w:val="clear"/>
            <w:vAlign w:val="center"/>
          </w:tcPr>
          <w:p w14:paraId="DD3C0000">
            <w:pPr>
              <w:widowControl w:val="1"/>
              <w:ind/>
              <w:jc w:val="center"/>
              <w:rPr>
                <w:sz w:val="18"/>
              </w:rPr>
            </w:pPr>
            <w:r>
              <w:rPr>
                <w:sz w:val="18"/>
              </w:rPr>
              <w:t>22 000,00</w:t>
            </w:r>
          </w:p>
        </w:tc>
        <w:tc>
          <w:tcPr>
            <w:tcW w:type="dxa" w:w="993"/>
            <w:tcBorders>
              <w:top w:color="000000" w:sz="4" w:val="single"/>
              <w:left w:color="000000" w:sz="4" w:val="single"/>
              <w:bottom w:color="000000" w:sz="4" w:val="single"/>
              <w:right w:color="000000" w:sz="4" w:val="single"/>
            </w:tcBorders>
            <w:shd w:fill="FFFFFF" w:val="clear"/>
            <w:vAlign w:val="center"/>
          </w:tcPr>
          <w:p w14:paraId="DE3C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DF3C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E03C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E13C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E23C0000">
            <w:pPr>
              <w:widowControl w:val="1"/>
              <w:ind/>
              <w:jc w:val="center"/>
              <w:rPr>
                <w:sz w:val="18"/>
              </w:rPr>
            </w:pPr>
            <w:r>
              <w:rPr>
                <w:sz w:val="18"/>
              </w:rPr>
              <w:t>18</w:t>
            </w:r>
          </w:p>
        </w:tc>
        <w:tc>
          <w:tcPr>
            <w:tcW w:type="dxa" w:w="1169"/>
            <w:tcBorders>
              <w:top w:color="000000" w:sz="4" w:val="single"/>
              <w:left w:color="000000" w:sz="4" w:val="single"/>
              <w:bottom w:color="000000" w:sz="4" w:val="single"/>
              <w:right w:color="000000" w:sz="4" w:val="single"/>
            </w:tcBorders>
            <w:shd w:fill="FFFFFF" w:val="clear"/>
            <w:vAlign w:val="center"/>
          </w:tcPr>
          <w:p w14:paraId="E33C0000">
            <w:pPr>
              <w:widowControl w:val="1"/>
              <w:ind/>
              <w:jc w:val="center"/>
              <w:rPr>
                <w:sz w:val="18"/>
              </w:rPr>
            </w:pPr>
            <w:r>
              <w:rPr>
                <w:sz w:val="18"/>
              </w:rPr>
              <w:t>22 000,00</w:t>
            </w:r>
          </w:p>
        </w:tc>
        <w:tc>
          <w:tcPr>
            <w:tcW w:type="dxa" w:w="1185"/>
            <w:tcBorders>
              <w:top w:color="000000" w:sz="4" w:val="single"/>
              <w:left w:color="000000" w:sz="4" w:val="single"/>
              <w:bottom w:color="000000" w:sz="4" w:val="single"/>
              <w:right w:color="000000" w:sz="4" w:val="single"/>
            </w:tcBorders>
            <w:shd w:fill="FFFFFF" w:val="clear"/>
            <w:vAlign w:val="center"/>
          </w:tcPr>
          <w:p w14:paraId="E43C0000">
            <w:pPr>
              <w:widowControl w:val="1"/>
              <w:ind/>
              <w:jc w:val="center"/>
              <w:rPr>
                <w:sz w:val="18"/>
              </w:rPr>
            </w:pPr>
            <w:r>
              <w:rPr>
                <w:sz w:val="18"/>
              </w:rPr>
              <w:t>22 000,00</w:t>
            </w:r>
          </w:p>
        </w:tc>
        <w:tc>
          <w:tcPr>
            <w:tcW w:type="dxa" w:w="1083"/>
            <w:tcBorders>
              <w:top w:color="000000" w:sz="4" w:val="single"/>
              <w:left w:color="000000" w:sz="4" w:val="single"/>
              <w:bottom w:color="000000" w:sz="4" w:val="single"/>
              <w:right w:color="000000" w:sz="4" w:val="single"/>
            </w:tcBorders>
            <w:shd w:fill="FFFFFF" w:val="clear"/>
            <w:vAlign w:val="center"/>
          </w:tcPr>
          <w:p w14:paraId="E53C0000">
            <w:pPr>
              <w:widowControl w:val="1"/>
              <w:ind/>
              <w:jc w:val="center"/>
              <w:rPr>
                <w:sz w:val="18"/>
              </w:rPr>
            </w:pPr>
            <w:r>
              <w:rPr>
                <w:sz w:val="18"/>
              </w:rPr>
              <w:t>22 000,00</w:t>
            </w:r>
          </w:p>
        </w:tc>
        <w:tc>
          <w:tcPr>
            <w:tcW w:type="dxa" w:w="771"/>
            <w:tcBorders>
              <w:top w:color="000000" w:sz="4" w:val="single"/>
              <w:left w:color="000000" w:sz="4" w:val="single"/>
              <w:bottom w:color="000000" w:sz="4" w:val="single"/>
              <w:right w:color="000000" w:sz="4" w:val="single"/>
            </w:tcBorders>
            <w:shd w:fill="FFFFFF" w:val="clear"/>
            <w:vAlign w:val="center"/>
          </w:tcPr>
          <w:p w14:paraId="E63C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73C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auto" w:val="clear"/>
            <w:vAlign w:val="center"/>
          </w:tcPr>
          <w:p w14:paraId="E83C0000">
            <w:pPr>
              <w:widowControl w:val="1"/>
              <w:ind/>
              <w:jc w:val="center"/>
              <w:rPr>
                <w:sz w:val="18"/>
              </w:rPr>
            </w:pPr>
            <w:r>
              <w:rPr>
                <w:sz w:val="18"/>
              </w:rPr>
              <w:t>договор № 140 от 14.12.2018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E93C0000">
            <w:pPr>
              <w:widowControl w:val="1"/>
              <w:ind/>
              <w:jc w:val="center"/>
              <w:rPr>
                <w:color w:val="000000"/>
                <w:sz w:val="18"/>
              </w:rPr>
            </w:pPr>
            <w:r>
              <w:rPr>
                <w:color w:val="000000"/>
                <w:sz w:val="18"/>
              </w:rPr>
              <w:t>226</w:t>
            </w:r>
          </w:p>
        </w:tc>
        <w:tc>
          <w:tcPr>
            <w:tcW w:type="dxa" w:w="618"/>
            <w:tcBorders>
              <w:top w:color="000000" w:sz="4" w:val="single"/>
              <w:left w:color="000000" w:sz="4" w:val="single"/>
              <w:bottom w:color="000000" w:sz="4" w:val="single"/>
              <w:right w:color="000000" w:sz="4" w:val="single"/>
            </w:tcBorders>
            <w:shd w:fill="FFFFFF" w:val="clear"/>
            <w:vAlign w:val="center"/>
          </w:tcPr>
          <w:p w14:paraId="EA3C0000">
            <w:pPr>
              <w:widowControl w:val="1"/>
              <w:ind/>
              <w:jc w:val="center"/>
              <w:rPr>
                <w:sz w:val="18"/>
              </w:rPr>
            </w:pPr>
            <w:r>
              <w:rPr>
                <w:sz w:val="18"/>
              </w:rPr>
              <w:t>152/2</w:t>
            </w:r>
          </w:p>
        </w:tc>
        <w:tc>
          <w:tcPr>
            <w:tcW w:type="dxa" w:w="993"/>
            <w:tcBorders>
              <w:top w:color="000000" w:sz="4" w:val="single"/>
              <w:left w:color="000000" w:sz="4" w:val="single"/>
              <w:bottom w:color="000000" w:sz="4" w:val="single"/>
              <w:right w:color="000000" w:sz="4" w:val="single"/>
            </w:tcBorders>
            <w:shd w:fill="FFFFFF" w:val="clear"/>
            <w:vAlign w:val="center"/>
          </w:tcPr>
          <w:p w14:paraId="EB3C0000">
            <w:pPr>
              <w:widowControl w:val="1"/>
              <w:ind/>
              <w:jc w:val="center"/>
              <w:rPr>
                <w:color w:val="000000"/>
                <w:sz w:val="18"/>
              </w:rPr>
            </w:pPr>
            <w:r>
              <w:rPr>
                <w:color w:val="000000"/>
                <w:sz w:val="18"/>
              </w:rPr>
              <w:t>Выполнение работ по демонтажу и монтажу кондиционера</w:t>
            </w:r>
          </w:p>
        </w:tc>
        <w:tc>
          <w:tcPr>
            <w:tcW w:type="dxa" w:w="849"/>
            <w:tcBorders>
              <w:top w:color="000000" w:sz="4" w:val="single"/>
              <w:left w:color="000000" w:sz="4" w:val="single"/>
              <w:bottom w:color="000000" w:sz="4" w:val="single"/>
              <w:right w:color="000000" w:sz="4" w:val="single"/>
            </w:tcBorders>
            <w:shd w:fill="FFFFFF" w:val="clear"/>
            <w:vAlign w:val="center"/>
          </w:tcPr>
          <w:p w14:paraId="EC3C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ED3C0000">
            <w:pPr>
              <w:widowControl w:val="1"/>
              <w:ind/>
              <w:jc w:val="center"/>
              <w:rPr>
                <w:color w:val="000000"/>
                <w:sz w:val="18"/>
              </w:rPr>
            </w:pPr>
            <w:r>
              <w:rPr>
                <w:color w:val="000000"/>
                <w:sz w:val="18"/>
              </w:rPr>
              <w:t>4</w:t>
            </w:r>
          </w:p>
        </w:tc>
        <w:tc>
          <w:tcPr>
            <w:tcW w:type="dxa" w:w="991"/>
            <w:tcBorders>
              <w:top w:color="000000" w:sz="4" w:val="single"/>
              <w:left w:color="000000" w:sz="4" w:val="single"/>
              <w:bottom w:color="000000" w:sz="4" w:val="single"/>
              <w:right w:color="000000" w:sz="4" w:val="single"/>
            </w:tcBorders>
            <w:shd w:fill="FFFFFF" w:val="clear"/>
            <w:vAlign w:val="center"/>
          </w:tcPr>
          <w:p w14:paraId="EE3C0000">
            <w:pPr>
              <w:widowControl w:val="1"/>
              <w:ind/>
              <w:jc w:val="center"/>
              <w:rPr>
                <w:color w:val="000000"/>
                <w:sz w:val="18"/>
              </w:rPr>
            </w:pPr>
            <w:r>
              <w:rPr>
                <w:color w:val="000000"/>
                <w:sz w:val="18"/>
              </w:rPr>
              <w:t>49000,00</w:t>
            </w:r>
          </w:p>
        </w:tc>
        <w:tc>
          <w:tcPr>
            <w:tcW w:type="dxa" w:w="1134"/>
            <w:tcBorders>
              <w:top w:color="000000" w:sz="4" w:val="single"/>
              <w:left w:color="000000" w:sz="4" w:val="single"/>
              <w:bottom w:color="000000" w:sz="4" w:val="single"/>
              <w:right w:color="000000" w:sz="4" w:val="single"/>
            </w:tcBorders>
            <w:shd w:fill="FFFFFF" w:val="clear"/>
            <w:vAlign w:val="center"/>
          </w:tcPr>
          <w:p w14:paraId="EF3C0000">
            <w:pPr>
              <w:widowControl w:val="1"/>
              <w:ind/>
              <w:jc w:val="center"/>
              <w:rPr>
                <w:color w:val="000000"/>
                <w:sz w:val="18"/>
              </w:rPr>
            </w:pPr>
            <w:r>
              <w:rPr>
                <w:color w:val="000000"/>
                <w:sz w:val="18"/>
              </w:rPr>
              <w:t>49000,00</w:t>
            </w:r>
          </w:p>
        </w:tc>
        <w:tc>
          <w:tcPr>
            <w:tcW w:type="dxa" w:w="993"/>
            <w:tcBorders>
              <w:top w:color="000000" w:sz="4" w:val="single"/>
              <w:left w:color="000000" w:sz="4" w:val="single"/>
              <w:bottom w:color="000000" w:sz="4" w:val="single"/>
              <w:right w:color="000000" w:sz="4" w:val="single"/>
            </w:tcBorders>
            <w:shd w:fill="FFFFFF" w:val="clear"/>
            <w:vAlign w:val="center"/>
          </w:tcPr>
          <w:p w14:paraId="F03C0000">
            <w:pPr>
              <w:widowControl w:val="1"/>
              <w:ind/>
              <w:jc w:val="center"/>
              <w:rPr>
                <w:sz w:val="18"/>
              </w:rPr>
            </w:pPr>
            <w:r>
              <w:rPr>
                <w:sz w:val="18"/>
              </w:rPr>
              <w:t>ноябрь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F13C0000">
            <w:pPr>
              <w:widowControl w:val="1"/>
              <w:ind/>
              <w:jc w:val="center"/>
              <w:rPr>
                <w:sz w:val="18"/>
              </w:rPr>
            </w:pPr>
            <w:r>
              <w:rPr>
                <w:sz w:val="18"/>
              </w:rPr>
              <w:t>ноябрь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F23C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F33C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F43C0000">
            <w:pPr>
              <w:widowControl w:val="1"/>
              <w:ind/>
              <w:jc w:val="center"/>
              <w:rPr>
                <w:color w:val="000000"/>
                <w:sz w:val="18"/>
              </w:rPr>
            </w:pPr>
            <w:r>
              <w:rPr>
                <w:color w:val="000000"/>
                <w:sz w:val="18"/>
              </w:rPr>
              <w:t>4</w:t>
            </w:r>
          </w:p>
        </w:tc>
        <w:tc>
          <w:tcPr>
            <w:tcW w:type="dxa" w:w="1169"/>
            <w:tcBorders>
              <w:top w:color="000000" w:sz="4" w:val="single"/>
              <w:left w:color="000000" w:sz="4" w:val="single"/>
              <w:bottom w:color="000000" w:sz="4" w:val="single"/>
              <w:right w:color="000000" w:sz="4" w:val="single"/>
            </w:tcBorders>
            <w:shd w:fill="FFFFFF" w:val="clear"/>
            <w:vAlign w:val="center"/>
          </w:tcPr>
          <w:p w14:paraId="F53C0000">
            <w:pPr>
              <w:widowControl w:val="1"/>
              <w:ind/>
              <w:jc w:val="center"/>
              <w:rPr>
                <w:color w:val="000000"/>
                <w:sz w:val="18"/>
              </w:rPr>
            </w:pPr>
            <w:r>
              <w:rPr>
                <w:color w:val="000000"/>
                <w:sz w:val="18"/>
              </w:rPr>
              <w:t>49000,00</w:t>
            </w:r>
          </w:p>
        </w:tc>
        <w:tc>
          <w:tcPr>
            <w:tcW w:type="dxa" w:w="1185"/>
            <w:tcBorders>
              <w:top w:color="000000" w:sz="4" w:val="single"/>
              <w:left w:color="000000" w:sz="4" w:val="single"/>
              <w:bottom w:color="000000" w:sz="4" w:val="single"/>
              <w:right w:color="000000" w:sz="4" w:val="single"/>
            </w:tcBorders>
            <w:shd w:fill="FFFFFF" w:val="clear"/>
            <w:vAlign w:val="center"/>
          </w:tcPr>
          <w:p w14:paraId="F63C0000">
            <w:pPr>
              <w:widowControl w:val="1"/>
              <w:ind/>
              <w:jc w:val="center"/>
              <w:rPr>
                <w:color w:val="000000"/>
                <w:sz w:val="18"/>
              </w:rPr>
            </w:pPr>
            <w:r>
              <w:rPr>
                <w:color w:val="000000"/>
                <w:sz w:val="18"/>
              </w:rPr>
              <w:t>49000,00</w:t>
            </w:r>
          </w:p>
        </w:tc>
        <w:tc>
          <w:tcPr>
            <w:tcW w:type="dxa" w:w="1083"/>
            <w:tcBorders>
              <w:top w:color="000000" w:sz="4" w:val="single"/>
              <w:left w:color="000000" w:sz="4" w:val="single"/>
              <w:bottom w:color="000000" w:sz="4" w:val="single"/>
              <w:right w:color="000000" w:sz="4" w:val="single"/>
            </w:tcBorders>
            <w:shd w:fill="FFFFFF" w:val="clear"/>
            <w:vAlign w:val="center"/>
          </w:tcPr>
          <w:p w14:paraId="F73C0000">
            <w:pPr>
              <w:widowControl w:val="1"/>
              <w:ind/>
              <w:jc w:val="center"/>
              <w:rPr>
                <w:color w:val="000000"/>
                <w:sz w:val="18"/>
              </w:rPr>
            </w:pPr>
            <w:r>
              <w:rPr>
                <w:color w:val="000000"/>
                <w:sz w:val="18"/>
              </w:rPr>
              <w:t>49000,00</w:t>
            </w:r>
          </w:p>
        </w:tc>
        <w:tc>
          <w:tcPr>
            <w:tcW w:type="dxa" w:w="771"/>
            <w:tcBorders>
              <w:top w:color="000000" w:sz="4" w:val="single"/>
              <w:left w:color="000000" w:sz="4" w:val="single"/>
              <w:bottom w:color="000000" w:sz="4" w:val="single"/>
              <w:right w:color="000000" w:sz="4" w:val="single"/>
            </w:tcBorders>
            <w:shd w:fill="FFFFFF" w:val="clear"/>
            <w:vAlign w:val="center"/>
          </w:tcPr>
          <w:p w14:paraId="F83C0000">
            <w:pPr>
              <w:widowControl w:val="1"/>
              <w:ind/>
              <w:jc w:val="center"/>
              <w:rPr>
                <w:sz w:val="18"/>
              </w:rPr>
            </w:pPr>
            <w:r>
              <w:rPr>
                <w:sz w:val="18"/>
              </w:rPr>
              <w:t>ноябрь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F93C0000">
            <w:pPr>
              <w:widowControl w:val="1"/>
              <w:ind/>
              <w:jc w:val="center"/>
              <w:rPr>
                <w:sz w:val="18"/>
              </w:rPr>
            </w:pPr>
            <w:r>
              <w:rPr>
                <w:sz w:val="18"/>
              </w:rPr>
              <w:t>ноябрь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FA3C0000">
            <w:pPr>
              <w:widowControl w:val="1"/>
              <w:ind/>
              <w:jc w:val="center"/>
              <w:rPr>
                <w:sz w:val="18"/>
              </w:rPr>
            </w:pPr>
            <w:r>
              <w:rPr>
                <w:sz w:val="18"/>
              </w:rPr>
              <w:t>счет № 120 от 06.11.2018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FB3C0000">
            <w:pPr>
              <w:widowControl w:val="1"/>
              <w:ind/>
              <w:jc w:val="center"/>
              <w:rPr>
                <w:color w:val="000000"/>
                <w:sz w:val="18"/>
              </w:rPr>
            </w:pPr>
            <w:r>
              <w:rPr>
                <w:color w:val="000000"/>
                <w:sz w:val="18"/>
              </w:rPr>
              <w:t>227</w:t>
            </w:r>
          </w:p>
        </w:tc>
        <w:tc>
          <w:tcPr>
            <w:tcW w:type="dxa" w:w="618"/>
            <w:tcBorders>
              <w:top w:color="000000" w:sz="4" w:val="single"/>
              <w:left w:color="000000" w:sz="4" w:val="single"/>
              <w:bottom w:color="000000" w:sz="4" w:val="single"/>
              <w:right w:color="000000" w:sz="4" w:val="single"/>
            </w:tcBorders>
            <w:shd w:fill="FFFFFF" w:val="clear"/>
            <w:vAlign w:val="center"/>
          </w:tcPr>
          <w:p w14:paraId="FC3C0000">
            <w:pPr>
              <w:widowControl w:val="1"/>
              <w:ind/>
              <w:jc w:val="center"/>
              <w:rPr>
                <w:sz w:val="18"/>
              </w:rPr>
            </w:pPr>
            <w:r>
              <w:rPr>
                <w:sz w:val="18"/>
              </w:rPr>
              <w:t>153/2</w:t>
            </w:r>
          </w:p>
        </w:tc>
        <w:tc>
          <w:tcPr>
            <w:tcW w:type="dxa" w:w="993"/>
            <w:tcBorders>
              <w:top w:color="000000" w:sz="4" w:val="single"/>
              <w:left w:color="000000" w:sz="4" w:val="single"/>
              <w:bottom w:color="000000" w:sz="4" w:val="single"/>
              <w:right w:color="000000" w:sz="4" w:val="single"/>
            </w:tcBorders>
            <w:shd w:fill="FFFFFF" w:val="clear"/>
            <w:vAlign w:val="center"/>
          </w:tcPr>
          <w:p w14:paraId="FD3C0000">
            <w:pPr>
              <w:widowControl w:val="1"/>
              <w:ind/>
              <w:jc w:val="center"/>
              <w:rPr>
                <w:sz w:val="18"/>
              </w:rPr>
            </w:pPr>
            <w:r>
              <w:rPr>
                <w:sz w:val="18"/>
              </w:rPr>
              <w:t>оказание услуг по перевозке моторного вагона электропоезда</w:t>
            </w:r>
          </w:p>
        </w:tc>
        <w:tc>
          <w:tcPr>
            <w:tcW w:type="dxa" w:w="849"/>
            <w:tcBorders>
              <w:top w:color="000000" w:sz="4" w:val="single"/>
              <w:left w:color="000000" w:sz="4" w:val="single"/>
              <w:bottom w:color="000000" w:sz="4" w:val="single"/>
              <w:right w:color="000000" w:sz="4" w:val="single"/>
            </w:tcBorders>
            <w:shd w:fill="FFFFFF" w:val="clear"/>
            <w:vAlign w:val="center"/>
          </w:tcPr>
          <w:p w14:paraId="FE3C0000">
            <w:pPr>
              <w:widowControl w:val="1"/>
              <w:ind/>
              <w:jc w:val="center"/>
              <w:rPr>
                <w:sz w:val="18"/>
              </w:rPr>
            </w:pPr>
            <w:r>
              <w:rPr>
                <w:sz w:val="18"/>
              </w:rPr>
              <w:t>ВЗЛ</w:t>
            </w:r>
          </w:p>
        </w:tc>
        <w:tc>
          <w:tcPr>
            <w:tcW w:type="dxa" w:w="709"/>
            <w:tcBorders>
              <w:top w:color="000000" w:sz="4" w:val="single"/>
              <w:left w:color="000000" w:sz="4" w:val="single"/>
              <w:bottom w:color="000000" w:sz="4" w:val="single"/>
              <w:right w:color="000000" w:sz="4" w:val="single"/>
            </w:tcBorders>
            <w:shd w:fill="FFFFFF" w:val="clear"/>
            <w:vAlign w:val="center"/>
          </w:tcPr>
          <w:p w14:paraId="FF3C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003D0000">
            <w:pPr>
              <w:widowControl w:val="1"/>
              <w:ind/>
              <w:jc w:val="center"/>
              <w:rPr>
                <w:sz w:val="18"/>
              </w:rPr>
            </w:pPr>
            <w:r>
              <w:rPr>
                <w:sz w:val="18"/>
              </w:rPr>
              <w:t>4 574,80</w:t>
            </w:r>
          </w:p>
        </w:tc>
        <w:tc>
          <w:tcPr>
            <w:tcW w:type="dxa" w:w="1134"/>
            <w:tcBorders>
              <w:top w:color="000000" w:sz="4" w:val="single"/>
              <w:left w:color="000000" w:sz="4" w:val="single"/>
              <w:bottom w:color="000000" w:sz="4" w:val="single"/>
              <w:right w:color="000000" w:sz="4" w:val="single"/>
            </w:tcBorders>
            <w:shd w:fill="FFFFFF" w:val="clear"/>
            <w:vAlign w:val="center"/>
          </w:tcPr>
          <w:p w14:paraId="013D0000">
            <w:pPr>
              <w:widowControl w:val="1"/>
              <w:ind/>
              <w:jc w:val="center"/>
              <w:rPr>
                <w:sz w:val="18"/>
              </w:rPr>
            </w:pPr>
            <w:r>
              <w:rPr>
                <w:sz w:val="18"/>
              </w:rPr>
              <w:t>5 398,26</w:t>
            </w:r>
          </w:p>
        </w:tc>
        <w:tc>
          <w:tcPr>
            <w:tcW w:type="dxa" w:w="993"/>
            <w:tcBorders>
              <w:top w:color="000000" w:sz="4" w:val="single"/>
              <w:left w:color="000000" w:sz="4" w:val="single"/>
              <w:bottom w:color="000000" w:sz="4" w:val="single"/>
              <w:right w:color="000000" w:sz="4" w:val="single"/>
            </w:tcBorders>
            <w:shd w:fill="FFFFFF" w:val="clear"/>
            <w:vAlign w:val="center"/>
          </w:tcPr>
          <w:p w14:paraId="023D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033D0000">
            <w:pPr>
              <w:widowControl w:val="1"/>
              <w:ind/>
              <w:jc w:val="center"/>
              <w:rPr>
                <w:sz w:val="18"/>
              </w:rPr>
            </w:pPr>
            <w:r>
              <w:rPr>
                <w:sz w:val="18"/>
              </w:rPr>
              <w:t>ноябрь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043D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053D0000">
            <w:pPr>
              <w:widowControl w:val="1"/>
              <w:ind/>
              <w:jc w:val="center"/>
              <w:rPr>
                <w:sz w:val="18"/>
              </w:rPr>
            </w:pPr>
            <w:r>
              <w:rPr>
                <w:sz w:val="18"/>
              </w:rPr>
              <w:t>ВЗЛ</w:t>
            </w:r>
          </w:p>
        </w:tc>
        <w:tc>
          <w:tcPr>
            <w:tcW w:type="dxa" w:w="992"/>
            <w:tcBorders>
              <w:top w:color="000000" w:sz="4" w:val="single"/>
              <w:left w:color="000000" w:sz="4" w:val="single"/>
              <w:bottom w:color="000000" w:sz="4" w:val="single"/>
              <w:right w:color="000000" w:sz="4" w:val="single"/>
            </w:tcBorders>
            <w:shd w:fill="FFFFFF" w:val="clear"/>
            <w:vAlign w:val="center"/>
          </w:tcPr>
          <w:p w14:paraId="063D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073D0000">
            <w:pPr>
              <w:widowControl w:val="1"/>
              <w:ind/>
              <w:jc w:val="center"/>
              <w:rPr>
                <w:sz w:val="18"/>
              </w:rPr>
            </w:pPr>
            <w:r>
              <w:rPr>
                <w:sz w:val="18"/>
              </w:rPr>
              <w:t>4 574,80</w:t>
            </w:r>
          </w:p>
        </w:tc>
        <w:tc>
          <w:tcPr>
            <w:tcW w:type="dxa" w:w="1185"/>
            <w:tcBorders>
              <w:top w:color="000000" w:sz="4" w:val="single"/>
              <w:left w:color="000000" w:sz="4" w:val="single"/>
              <w:bottom w:color="000000" w:sz="4" w:val="single"/>
              <w:right w:color="000000" w:sz="4" w:val="single"/>
            </w:tcBorders>
            <w:shd w:fill="FFFFFF" w:val="clear"/>
            <w:vAlign w:val="center"/>
          </w:tcPr>
          <w:p w14:paraId="083D0000">
            <w:pPr>
              <w:widowControl w:val="1"/>
              <w:ind/>
              <w:jc w:val="center"/>
              <w:rPr>
                <w:sz w:val="18"/>
              </w:rPr>
            </w:pPr>
            <w:r>
              <w:rPr>
                <w:sz w:val="18"/>
              </w:rPr>
              <w:t>5 398,26</w:t>
            </w:r>
          </w:p>
        </w:tc>
        <w:tc>
          <w:tcPr>
            <w:tcW w:type="dxa" w:w="1083"/>
            <w:tcBorders>
              <w:top w:color="000000" w:sz="4" w:val="single"/>
              <w:left w:color="000000" w:sz="4" w:val="single"/>
              <w:bottom w:color="000000" w:sz="4" w:val="single"/>
              <w:right w:color="000000" w:sz="4" w:val="single"/>
            </w:tcBorders>
            <w:shd w:fill="FFFFFF" w:val="clear"/>
            <w:vAlign w:val="center"/>
          </w:tcPr>
          <w:p w14:paraId="093D0000">
            <w:pPr>
              <w:widowControl w:val="1"/>
              <w:ind/>
              <w:jc w:val="center"/>
              <w:rPr>
                <w:sz w:val="18"/>
              </w:rPr>
            </w:pPr>
            <w:r>
              <w:rPr>
                <w:sz w:val="18"/>
              </w:rPr>
              <w:t>5 398,26</w:t>
            </w:r>
          </w:p>
        </w:tc>
        <w:tc>
          <w:tcPr>
            <w:tcW w:type="dxa" w:w="771"/>
            <w:tcBorders>
              <w:top w:color="000000" w:sz="4" w:val="single"/>
              <w:left w:color="000000" w:sz="4" w:val="single"/>
              <w:bottom w:color="000000" w:sz="4" w:val="single"/>
              <w:right w:color="000000" w:sz="4" w:val="single"/>
            </w:tcBorders>
            <w:shd w:fill="FFFFFF" w:val="clear"/>
            <w:vAlign w:val="center"/>
          </w:tcPr>
          <w:p w14:paraId="0A3D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0B3D0000">
            <w:pPr>
              <w:widowControl w:val="1"/>
              <w:ind/>
              <w:jc w:val="center"/>
              <w:rPr>
                <w:sz w:val="18"/>
              </w:rPr>
            </w:pPr>
            <w:r>
              <w:rPr>
                <w:sz w:val="18"/>
              </w:rPr>
              <w:t>ноябрь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0C3D0000">
            <w:pPr>
              <w:widowControl w:val="1"/>
              <w:ind/>
              <w:jc w:val="center"/>
              <w:rPr>
                <w:sz w:val="18"/>
              </w:rPr>
            </w:pPr>
            <w:r>
              <w:rPr>
                <w:sz w:val="18"/>
              </w:rPr>
              <w:t>счет № 13/630 от 30.10.2018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0D3D0000">
            <w:pPr>
              <w:widowControl w:val="1"/>
              <w:ind/>
              <w:jc w:val="center"/>
              <w:rPr>
                <w:color w:val="000000"/>
                <w:sz w:val="18"/>
              </w:rPr>
            </w:pPr>
            <w:r>
              <w:rPr>
                <w:color w:val="000000"/>
                <w:sz w:val="18"/>
              </w:rPr>
              <w:t>228</w:t>
            </w:r>
          </w:p>
        </w:tc>
        <w:tc>
          <w:tcPr>
            <w:tcW w:type="dxa" w:w="618"/>
            <w:tcBorders>
              <w:top w:color="000000" w:sz="4" w:val="single"/>
              <w:left w:color="000000" w:sz="4" w:val="single"/>
              <w:bottom w:color="000000" w:sz="4" w:val="single"/>
              <w:right w:color="000000" w:sz="4" w:val="single"/>
            </w:tcBorders>
            <w:shd w:fill="FFFFFF" w:val="clear"/>
            <w:vAlign w:val="center"/>
          </w:tcPr>
          <w:p w14:paraId="0E3D0000">
            <w:pPr>
              <w:widowControl w:val="1"/>
              <w:ind/>
              <w:jc w:val="center"/>
              <w:rPr>
                <w:sz w:val="18"/>
              </w:rPr>
            </w:pPr>
            <w:r>
              <w:rPr>
                <w:sz w:val="18"/>
              </w:rPr>
              <w:t>154/2</w:t>
            </w:r>
          </w:p>
        </w:tc>
        <w:tc>
          <w:tcPr>
            <w:tcW w:type="dxa" w:w="993"/>
            <w:tcBorders>
              <w:top w:color="000000" w:sz="4" w:val="single"/>
              <w:left w:color="000000" w:sz="4" w:val="single"/>
              <w:bottom w:color="000000" w:sz="4" w:val="single"/>
              <w:right w:color="000000" w:sz="4" w:val="single"/>
            </w:tcBorders>
            <w:shd w:fill="FFFFFF" w:val="clear"/>
            <w:vAlign w:val="center"/>
          </w:tcPr>
          <w:p w14:paraId="0F3D0000">
            <w:pPr>
              <w:widowControl w:val="1"/>
              <w:ind/>
              <w:jc w:val="center"/>
              <w:rPr>
                <w:sz w:val="18"/>
              </w:rPr>
            </w:pPr>
            <w:r>
              <w:rPr>
                <w:sz w:val="18"/>
              </w:rPr>
              <w:t>оказание услуг по перевозке моторного вагона электропоезда</w:t>
            </w:r>
          </w:p>
        </w:tc>
        <w:tc>
          <w:tcPr>
            <w:tcW w:type="dxa" w:w="849"/>
            <w:tcBorders>
              <w:top w:color="000000" w:sz="4" w:val="single"/>
              <w:left w:color="000000" w:sz="4" w:val="single"/>
              <w:bottom w:color="000000" w:sz="4" w:val="single"/>
              <w:right w:color="000000" w:sz="4" w:val="single"/>
            </w:tcBorders>
            <w:shd w:fill="FFFFFF" w:val="clear"/>
            <w:vAlign w:val="center"/>
          </w:tcPr>
          <w:p w14:paraId="103D0000">
            <w:pPr>
              <w:widowControl w:val="1"/>
              <w:ind/>
              <w:jc w:val="center"/>
              <w:rPr>
                <w:sz w:val="18"/>
              </w:rPr>
            </w:pPr>
            <w:r>
              <w:rPr>
                <w:sz w:val="18"/>
              </w:rPr>
              <w:t>ВЗЛ</w:t>
            </w:r>
          </w:p>
        </w:tc>
        <w:tc>
          <w:tcPr>
            <w:tcW w:type="dxa" w:w="709"/>
            <w:tcBorders>
              <w:top w:color="000000" w:sz="4" w:val="single"/>
              <w:left w:color="000000" w:sz="4" w:val="single"/>
              <w:bottom w:color="000000" w:sz="4" w:val="single"/>
              <w:right w:color="000000" w:sz="4" w:val="single"/>
            </w:tcBorders>
            <w:shd w:fill="FFFFFF" w:val="clear"/>
            <w:vAlign w:val="center"/>
          </w:tcPr>
          <w:p w14:paraId="113D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123D0000">
            <w:pPr>
              <w:widowControl w:val="1"/>
              <w:ind/>
              <w:jc w:val="center"/>
              <w:rPr>
                <w:sz w:val="18"/>
              </w:rPr>
            </w:pPr>
            <w:r>
              <w:rPr>
                <w:sz w:val="18"/>
              </w:rPr>
              <w:t>4 574,80</w:t>
            </w:r>
          </w:p>
        </w:tc>
        <w:tc>
          <w:tcPr>
            <w:tcW w:type="dxa" w:w="1134"/>
            <w:tcBorders>
              <w:top w:color="000000" w:sz="4" w:val="single"/>
              <w:left w:color="000000" w:sz="4" w:val="single"/>
              <w:bottom w:color="000000" w:sz="4" w:val="single"/>
              <w:right w:color="000000" w:sz="4" w:val="single"/>
            </w:tcBorders>
            <w:shd w:fill="FFFFFF" w:val="clear"/>
            <w:vAlign w:val="center"/>
          </w:tcPr>
          <w:p w14:paraId="133D0000">
            <w:pPr>
              <w:widowControl w:val="1"/>
              <w:ind/>
              <w:jc w:val="center"/>
              <w:rPr>
                <w:sz w:val="18"/>
              </w:rPr>
            </w:pPr>
            <w:r>
              <w:rPr>
                <w:sz w:val="18"/>
              </w:rPr>
              <w:t>5 398,26</w:t>
            </w:r>
          </w:p>
        </w:tc>
        <w:tc>
          <w:tcPr>
            <w:tcW w:type="dxa" w:w="993"/>
            <w:tcBorders>
              <w:top w:color="000000" w:sz="4" w:val="single"/>
              <w:left w:color="000000" w:sz="4" w:val="single"/>
              <w:bottom w:color="000000" w:sz="4" w:val="single"/>
              <w:right w:color="000000" w:sz="4" w:val="single"/>
            </w:tcBorders>
            <w:shd w:fill="FFFFFF" w:val="clear"/>
            <w:vAlign w:val="center"/>
          </w:tcPr>
          <w:p w14:paraId="143D0000">
            <w:pPr>
              <w:widowControl w:val="1"/>
              <w:ind/>
              <w:jc w:val="center"/>
              <w:rPr>
                <w:sz w:val="18"/>
              </w:rPr>
            </w:pPr>
            <w:r>
              <w:rPr>
                <w:sz w:val="18"/>
              </w:rPr>
              <w:t>ноябрь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153D0000">
            <w:pPr>
              <w:widowControl w:val="1"/>
              <w:ind/>
              <w:jc w:val="center"/>
              <w:rPr>
                <w:sz w:val="18"/>
              </w:rPr>
            </w:pPr>
            <w:r>
              <w:rPr>
                <w:sz w:val="18"/>
              </w:rPr>
              <w:t>ноябрь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163D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173D0000">
            <w:pPr>
              <w:widowControl w:val="1"/>
              <w:ind/>
              <w:jc w:val="center"/>
              <w:rPr>
                <w:sz w:val="18"/>
              </w:rPr>
            </w:pPr>
            <w:r>
              <w:rPr>
                <w:sz w:val="18"/>
              </w:rPr>
              <w:t>ВЗЛ</w:t>
            </w:r>
          </w:p>
        </w:tc>
        <w:tc>
          <w:tcPr>
            <w:tcW w:type="dxa" w:w="992"/>
            <w:tcBorders>
              <w:top w:color="000000" w:sz="4" w:val="single"/>
              <w:left w:color="000000" w:sz="4" w:val="single"/>
              <w:bottom w:color="000000" w:sz="4" w:val="single"/>
              <w:right w:color="000000" w:sz="4" w:val="single"/>
            </w:tcBorders>
            <w:shd w:fill="FFFFFF" w:val="clear"/>
            <w:vAlign w:val="center"/>
          </w:tcPr>
          <w:p w14:paraId="183D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193D0000">
            <w:pPr>
              <w:widowControl w:val="1"/>
              <w:ind/>
              <w:jc w:val="center"/>
              <w:rPr>
                <w:sz w:val="18"/>
              </w:rPr>
            </w:pPr>
            <w:r>
              <w:rPr>
                <w:sz w:val="18"/>
              </w:rPr>
              <w:t>4 574,80</w:t>
            </w:r>
          </w:p>
        </w:tc>
        <w:tc>
          <w:tcPr>
            <w:tcW w:type="dxa" w:w="1185"/>
            <w:tcBorders>
              <w:top w:color="000000" w:sz="4" w:val="single"/>
              <w:left w:color="000000" w:sz="4" w:val="single"/>
              <w:bottom w:color="000000" w:sz="4" w:val="single"/>
              <w:right w:color="000000" w:sz="4" w:val="single"/>
            </w:tcBorders>
            <w:shd w:fill="FFFFFF" w:val="clear"/>
            <w:vAlign w:val="center"/>
          </w:tcPr>
          <w:p w14:paraId="1A3D0000">
            <w:pPr>
              <w:widowControl w:val="1"/>
              <w:ind/>
              <w:jc w:val="center"/>
              <w:rPr>
                <w:sz w:val="18"/>
              </w:rPr>
            </w:pPr>
            <w:r>
              <w:rPr>
                <w:sz w:val="18"/>
              </w:rPr>
              <w:t>5 398,26</w:t>
            </w:r>
          </w:p>
        </w:tc>
        <w:tc>
          <w:tcPr>
            <w:tcW w:type="dxa" w:w="1083"/>
            <w:tcBorders>
              <w:top w:color="000000" w:sz="4" w:val="single"/>
              <w:left w:color="000000" w:sz="4" w:val="single"/>
              <w:bottom w:color="000000" w:sz="4" w:val="single"/>
              <w:right w:color="000000" w:sz="4" w:val="single"/>
            </w:tcBorders>
            <w:shd w:fill="FFFFFF" w:val="clear"/>
            <w:vAlign w:val="center"/>
          </w:tcPr>
          <w:p w14:paraId="1B3D0000">
            <w:pPr>
              <w:widowControl w:val="1"/>
              <w:ind/>
              <w:jc w:val="center"/>
              <w:rPr>
                <w:sz w:val="18"/>
              </w:rPr>
            </w:pPr>
            <w:r>
              <w:rPr>
                <w:sz w:val="18"/>
              </w:rPr>
              <w:t>5 398,26</w:t>
            </w:r>
          </w:p>
        </w:tc>
        <w:tc>
          <w:tcPr>
            <w:tcW w:type="dxa" w:w="771"/>
            <w:tcBorders>
              <w:top w:color="000000" w:sz="4" w:val="single"/>
              <w:left w:color="000000" w:sz="4" w:val="single"/>
              <w:bottom w:color="000000" w:sz="4" w:val="single"/>
              <w:right w:color="000000" w:sz="4" w:val="single"/>
            </w:tcBorders>
            <w:shd w:fill="FFFFFF" w:val="clear"/>
            <w:vAlign w:val="center"/>
          </w:tcPr>
          <w:p w14:paraId="1C3D0000">
            <w:pPr>
              <w:widowControl w:val="1"/>
              <w:ind/>
              <w:jc w:val="center"/>
              <w:rPr>
                <w:sz w:val="18"/>
              </w:rPr>
            </w:pPr>
            <w:r>
              <w:rPr>
                <w:sz w:val="18"/>
              </w:rPr>
              <w:t>ноябрь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1D3D0000">
            <w:pPr>
              <w:widowControl w:val="1"/>
              <w:ind/>
              <w:jc w:val="center"/>
              <w:rPr>
                <w:sz w:val="18"/>
              </w:rPr>
            </w:pPr>
            <w:r>
              <w:rPr>
                <w:sz w:val="18"/>
              </w:rPr>
              <w:t>ноябрь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1E3D0000">
            <w:pPr>
              <w:widowControl w:val="1"/>
              <w:ind/>
              <w:jc w:val="center"/>
              <w:rPr>
                <w:sz w:val="18"/>
              </w:rPr>
            </w:pPr>
            <w:r>
              <w:rPr>
                <w:sz w:val="18"/>
              </w:rPr>
              <w:t>счет № 13/645 от 16.11.2018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1F3D0000">
            <w:pPr>
              <w:widowControl w:val="1"/>
              <w:ind/>
              <w:jc w:val="center"/>
              <w:rPr>
                <w:color w:val="000000"/>
                <w:sz w:val="18"/>
              </w:rPr>
            </w:pPr>
            <w:r>
              <w:rPr>
                <w:color w:val="000000"/>
                <w:sz w:val="18"/>
              </w:rPr>
              <w:t>229</w:t>
            </w:r>
          </w:p>
        </w:tc>
        <w:tc>
          <w:tcPr>
            <w:tcW w:type="dxa" w:w="618"/>
            <w:tcBorders>
              <w:top w:color="000000" w:sz="4" w:val="single"/>
              <w:left w:color="000000" w:sz="4" w:val="single"/>
              <w:bottom w:color="000000" w:sz="4" w:val="single"/>
              <w:right w:color="000000" w:sz="4" w:val="single"/>
            </w:tcBorders>
            <w:shd w:fill="FFFFFF" w:val="clear"/>
            <w:vAlign w:val="center"/>
          </w:tcPr>
          <w:p w14:paraId="203D0000">
            <w:pPr>
              <w:widowControl w:val="1"/>
              <w:ind/>
              <w:jc w:val="center"/>
              <w:rPr>
                <w:sz w:val="18"/>
              </w:rPr>
            </w:pPr>
            <w:r>
              <w:rPr>
                <w:sz w:val="18"/>
              </w:rPr>
              <w:t>155/2</w:t>
            </w:r>
          </w:p>
        </w:tc>
        <w:tc>
          <w:tcPr>
            <w:tcW w:type="dxa" w:w="993"/>
            <w:tcBorders>
              <w:top w:color="000000" w:sz="4" w:val="single"/>
              <w:left w:color="000000" w:sz="4" w:val="single"/>
              <w:bottom w:color="000000" w:sz="4" w:val="single"/>
              <w:right w:color="000000" w:sz="4" w:val="single"/>
            </w:tcBorders>
            <w:shd w:fill="FFFFFF" w:val="clear"/>
            <w:vAlign w:val="center"/>
          </w:tcPr>
          <w:p w14:paraId="213D0000">
            <w:pPr>
              <w:widowControl w:val="1"/>
              <w:ind/>
              <w:jc w:val="center"/>
              <w:rPr>
                <w:sz w:val="18"/>
              </w:rPr>
            </w:pPr>
            <w:r>
              <w:rPr>
                <w:sz w:val="18"/>
              </w:rPr>
              <w:t>поставка стекла лобового для автомобиля AUDI</w:t>
            </w:r>
          </w:p>
        </w:tc>
        <w:tc>
          <w:tcPr>
            <w:tcW w:type="dxa" w:w="849"/>
            <w:tcBorders>
              <w:top w:color="000000" w:sz="4" w:val="single"/>
              <w:left w:color="000000" w:sz="4" w:val="single"/>
              <w:bottom w:color="000000" w:sz="4" w:val="single"/>
              <w:right w:color="000000" w:sz="4" w:val="single"/>
            </w:tcBorders>
            <w:shd w:fill="FFFFFF" w:val="clear"/>
            <w:vAlign w:val="center"/>
          </w:tcPr>
          <w:p w14:paraId="223D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233D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243D0000">
            <w:pPr>
              <w:widowControl w:val="1"/>
              <w:ind/>
              <w:jc w:val="center"/>
              <w:rPr>
                <w:sz w:val="18"/>
              </w:rPr>
            </w:pPr>
            <w:r>
              <w:rPr>
                <w:sz w:val="18"/>
              </w:rPr>
              <w:t>6205,00</w:t>
            </w:r>
          </w:p>
        </w:tc>
        <w:tc>
          <w:tcPr>
            <w:tcW w:type="dxa" w:w="1134"/>
            <w:tcBorders>
              <w:top w:color="000000" w:sz="4" w:val="single"/>
              <w:left w:color="000000" w:sz="4" w:val="single"/>
              <w:bottom w:color="000000" w:sz="4" w:val="single"/>
              <w:right w:color="000000" w:sz="4" w:val="single"/>
            </w:tcBorders>
            <w:shd w:fill="FFFFFF" w:val="clear"/>
            <w:vAlign w:val="center"/>
          </w:tcPr>
          <w:p w14:paraId="253D0000">
            <w:pPr>
              <w:widowControl w:val="1"/>
              <w:ind/>
              <w:jc w:val="center"/>
              <w:rPr>
                <w:sz w:val="18"/>
              </w:rPr>
            </w:pPr>
            <w:r>
              <w:rPr>
                <w:sz w:val="18"/>
              </w:rPr>
              <w:t>6205,00</w:t>
            </w:r>
          </w:p>
        </w:tc>
        <w:tc>
          <w:tcPr>
            <w:tcW w:type="dxa" w:w="993"/>
            <w:tcBorders>
              <w:top w:color="000000" w:sz="4" w:val="single"/>
              <w:left w:color="000000" w:sz="4" w:val="single"/>
              <w:bottom w:color="000000" w:sz="4" w:val="single"/>
              <w:right w:color="000000" w:sz="4" w:val="single"/>
            </w:tcBorders>
            <w:shd w:fill="FFFFFF" w:val="clear"/>
            <w:vAlign w:val="center"/>
          </w:tcPr>
          <w:p w14:paraId="263D0000">
            <w:pPr>
              <w:widowControl w:val="1"/>
              <w:ind/>
              <w:jc w:val="center"/>
              <w:rPr>
                <w:sz w:val="18"/>
              </w:rPr>
            </w:pPr>
            <w:r>
              <w:rPr>
                <w:sz w:val="18"/>
              </w:rPr>
              <w:t>ноябрь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273D0000">
            <w:pPr>
              <w:widowControl w:val="1"/>
              <w:ind/>
              <w:jc w:val="center"/>
              <w:rPr>
                <w:sz w:val="18"/>
              </w:rPr>
            </w:pPr>
            <w:r>
              <w:rPr>
                <w:sz w:val="18"/>
              </w:rPr>
              <w:t>ноябрь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283D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293D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2A3D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2B3D0000">
            <w:pPr>
              <w:widowControl w:val="1"/>
              <w:ind/>
              <w:jc w:val="center"/>
              <w:rPr>
                <w:sz w:val="18"/>
              </w:rPr>
            </w:pPr>
            <w:r>
              <w:rPr>
                <w:sz w:val="18"/>
              </w:rPr>
              <w:t>6205,00</w:t>
            </w:r>
          </w:p>
        </w:tc>
        <w:tc>
          <w:tcPr>
            <w:tcW w:type="dxa" w:w="1185"/>
            <w:tcBorders>
              <w:top w:color="000000" w:sz="4" w:val="single"/>
              <w:left w:color="000000" w:sz="4" w:val="single"/>
              <w:bottom w:color="000000" w:sz="4" w:val="single"/>
              <w:right w:color="000000" w:sz="4" w:val="single"/>
            </w:tcBorders>
            <w:shd w:fill="FFFFFF" w:val="clear"/>
            <w:vAlign w:val="center"/>
          </w:tcPr>
          <w:p w14:paraId="2C3D0000">
            <w:pPr>
              <w:widowControl w:val="1"/>
              <w:ind/>
              <w:jc w:val="center"/>
              <w:rPr>
                <w:sz w:val="18"/>
              </w:rPr>
            </w:pPr>
            <w:r>
              <w:rPr>
                <w:sz w:val="18"/>
              </w:rPr>
              <w:t>6205,00</w:t>
            </w:r>
          </w:p>
        </w:tc>
        <w:tc>
          <w:tcPr>
            <w:tcW w:type="dxa" w:w="1083"/>
            <w:tcBorders>
              <w:top w:color="000000" w:sz="4" w:val="single"/>
              <w:left w:color="000000" w:sz="4" w:val="single"/>
              <w:bottom w:color="000000" w:sz="4" w:val="single"/>
              <w:right w:color="000000" w:sz="4" w:val="single"/>
            </w:tcBorders>
            <w:shd w:fill="FFFFFF" w:val="clear"/>
            <w:vAlign w:val="center"/>
          </w:tcPr>
          <w:p w14:paraId="2D3D0000">
            <w:pPr>
              <w:widowControl w:val="1"/>
              <w:ind/>
              <w:jc w:val="center"/>
              <w:rPr>
                <w:sz w:val="18"/>
              </w:rPr>
            </w:pPr>
            <w:r>
              <w:rPr>
                <w:sz w:val="18"/>
              </w:rPr>
              <w:t>6205,00</w:t>
            </w:r>
          </w:p>
        </w:tc>
        <w:tc>
          <w:tcPr>
            <w:tcW w:type="dxa" w:w="771"/>
            <w:tcBorders>
              <w:top w:color="000000" w:sz="4" w:val="single"/>
              <w:left w:color="000000" w:sz="4" w:val="single"/>
              <w:bottom w:color="000000" w:sz="4" w:val="single"/>
              <w:right w:color="000000" w:sz="4" w:val="single"/>
            </w:tcBorders>
            <w:shd w:fill="FFFFFF" w:val="clear"/>
            <w:vAlign w:val="center"/>
          </w:tcPr>
          <w:p w14:paraId="2E3D0000">
            <w:pPr>
              <w:widowControl w:val="1"/>
              <w:ind/>
              <w:jc w:val="center"/>
              <w:rPr>
                <w:sz w:val="18"/>
              </w:rPr>
            </w:pPr>
            <w:r>
              <w:rPr>
                <w:sz w:val="18"/>
              </w:rPr>
              <w:t>ноябрь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2F3D0000">
            <w:pPr>
              <w:widowControl w:val="1"/>
              <w:ind/>
              <w:jc w:val="center"/>
              <w:rPr>
                <w:sz w:val="18"/>
              </w:rPr>
            </w:pPr>
            <w:r>
              <w:rPr>
                <w:sz w:val="18"/>
              </w:rPr>
              <w:t>ноябрь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303D0000">
            <w:pPr>
              <w:widowControl w:val="1"/>
              <w:ind/>
              <w:jc w:val="center"/>
              <w:rPr>
                <w:sz w:val="18"/>
              </w:rPr>
            </w:pPr>
            <w:r>
              <w:rPr>
                <w:sz w:val="18"/>
              </w:rPr>
              <w:t>счет № кс00036883 от 14.11.2018</w:t>
            </w:r>
          </w:p>
        </w:tc>
      </w:tr>
      <w:tr>
        <w:trPr>
          <w:trHeight w:hRule="atLeast" w:val="1785"/>
        </w:trPr>
        <w:tc>
          <w:tcPr>
            <w:tcW w:type="dxa" w:w="708"/>
            <w:tcBorders>
              <w:top w:color="000000" w:sz="4" w:val="single"/>
              <w:left w:color="000000" w:sz="4" w:val="single"/>
              <w:bottom w:color="000000" w:sz="4" w:val="single"/>
              <w:right w:color="000000" w:sz="4" w:val="single"/>
            </w:tcBorders>
            <w:shd w:fill="auto" w:val="clear"/>
            <w:vAlign w:val="center"/>
          </w:tcPr>
          <w:p w14:paraId="313D0000">
            <w:pPr>
              <w:widowControl w:val="1"/>
              <w:ind/>
              <w:jc w:val="center"/>
              <w:rPr>
                <w:color w:val="000000"/>
                <w:sz w:val="18"/>
              </w:rPr>
            </w:pPr>
            <w:r>
              <w:rPr>
                <w:color w:val="000000"/>
                <w:sz w:val="18"/>
              </w:rPr>
              <w:t>230</w:t>
            </w:r>
          </w:p>
        </w:tc>
        <w:tc>
          <w:tcPr>
            <w:tcW w:type="dxa" w:w="618"/>
            <w:tcBorders>
              <w:top w:color="000000" w:sz="4" w:val="single"/>
              <w:left w:color="000000" w:sz="4" w:val="single"/>
              <w:bottom w:color="000000" w:sz="4" w:val="single"/>
              <w:right w:color="000000" w:sz="4" w:val="single"/>
            </w:tcBorders>
            <w:shd w:fill="FFFFFF" w:val="clear"/>
            <w:vAlign w:val="center"/>
          </w:tcPr>
          <w:p w14:paraId="323D0000">
            <w:pPr>
              <w:widowControl w:val="1"/>
              <w:ind/>
              <w:jc w:val="center"/>
              <w:rPr>
                <w:sz w:val="18"/>
              </w:rPr>
            </w:pPr>
            <w:r>
              <w:rPr>
                <w:sz w:val="18"/>
              </w:rPr>
              <w:t>156/2</w:t>
            </w:r>
          </w:p>
        </w:tc>
        <w:tc>
          <w:tcPr>
            <w:tcW w:type="dxa" w:w="993"/>
            <w:tcBorders>
              <w:top w:color="000000" w:sz="4" w:val="single"/>
              <w:left w:color="000000" w:sz="4" w:val="single"/>
              <w:bottom w:color="000000" w:sz="4" w:val="single"/>
              <w:right w:color="000000" w:sz="4" w:val="single"/>
            </w:tcBorders>
            <w:shd w:fill="FFFFFF" w:val="clear"/>
            <w:vAlign w:val="center"/>
          </w:tcPr>
          <w:p w14:paraId="333D0000">
            <w:pPr>
              <w:widowControl w:val="1"/>
              <w:ind/>
              <w:jc w:val="center"/>
              <w:rPr>
                <w:sz w:val="18"/>
              </w:rPr>
            </w:pPr>
            <w:r>
              <w:rPr>
                <w:sz w:val="18"/>
              </w:rPr>
              <w:t>выполнение работ по установке лобового стекла автомобиля AUDI</w:t>
            </w:r>
          </w:p>
        </w:tc>
        <w:tc>
          <w:tcPr>
            <w:tcW w:type="dxa" w:w="849"/>
            <w:tcBorders>
              <w:top w:color="000000" w:sz="4" w:val="single"/>
              <w:left w:color="000000" w:sz="4" w:val="single"/>
              <w:bottom w:color="000000" w:sz="4" w:val="single"/>
              <w:right w:color="000000" w:sz="4" w:val="single"/>
            </w:tcBorders>
            <w:shd w:fill="FFFFFF" w:val="clear"/>
            <w:vAlign w:val="center"/>
          </w:tcPr>
          <w:p w14:paraId="343D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353D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363D0000">
            <w:pPr>
              <w:widowControl w:val="1"/>
              <w:ind/>
              <w:jc w:val="center"/>
              <w:rPr>
                <w:sz w:val="18"/>
              </w:rPr>
            </w:pPr>
            <w:r>
              <w:rPr>
                <w:sz w:val="18"/>
              </w:rPr>
              <w:t>1800,00</w:t>
            </w:r>
          </w:p>
        </w:tc>
        <w:tc>
          <w:tcPr>
            <w:tcW w:type="dxa" w:w="1134"/>
            <w:tcBorders>
              <w:top w:color="000000" w:sz="4" w:val="single"/>
              <w:left w:color="000000" w:sz="4" w:val="single"/>
              <w:bottom w:color="000000" w:sz="4" w:val="single"/>
              <w:right w:color="000000" w:sz="4" w:val="single"/>
            </w:tcBorders>
            <w:shd w:fill="FFFFFF" w:val="clear"/>
            <w:vAlign w:val="center"/>
          </w:tcPr>
          <w:p w14:paraId="373D0000">
            <w:pPr>
              <w:widowControl w:val="1"/>
              <w:ind/>
              <w:jc w:val="center"/>
              <w:rPr>
                <w:sz w:val="18"/>
              </w:rPr>
            </w:pPr>
            <w:r>
              <w:rPr>
                <w:sz w:val="18"/>
              </w:rPr>
              <w:t>1800,00</w:t>
            </w:r>
          </w:p>
        </w:tc>
        <w:tc>
          <w:tcPr>
            <w:tcW w:type="dxa" w:w="993"/>
            <w:tcBorders>
              <w:top w:color="000000" w:sz="4" w:val="single"/>
              <w:left w:color="000000" w:sz="4" w:val="single"/>
              <w:bottom w:color="000000" w:sz="4" w:val="single"/>
              <w:right w:color="000000" w:sz="4" w:val="single"/>
            </w:tcBorders>
            <w:shd w:fill="FFFFFF" w:val="clear"/>
            <w:vAlign w:val="center"/>
          </w:tcPr>
          <w:p w14:paraId="383D0000">
            <w:pPr>
              <w:widowControl w:val="1"/>
              <w:ind/>
              <w:jc w:val="center"/>
              <w:rPr>
                <w:sz w:val="18"/>
              </w:rPr>
            </w:pPr>
            <w:r>
              <w:rPr>
                <w:sz w:val="18"/>
              </w:rPr>
              <w:t>ноябрь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393D0000">
            <w:pPr>
              <w:widowControl w:val="1"/>
              <w:ind/>
              <w:jc w:val="center"/>
              <w:rPr>
                <w:sz w:val="18"/>
              </w:rPr>
            </w:pPr>
            <w:r>
              <w:rPr>
                <w:sz w:val="18"/>
              </w:rPr>
              <w:t>ноябрь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3A3D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3B3D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3C3D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3D3D0000">
            <w:pPr>
              <w:widowControl w:val="1"/>
              <w:ind/>
              <w:jc w:val="center"/>
              <w:rPr>
                <w:sz w:val="18"/>
              </w:rPr>
            </w:pPr>
            <w:r>
              <w:rPr>
                <w:sz w:val="18"/>
              </w:rPr>
              <w:t>1800,00</w:t>
            </w:r>
          </w:p>
        </w:tc>
        <w:tc>
          <w:tcPr>
            <w:tcW w:type="dxa" w:w="1185"/>
            <w:tcBorders>
              <w:top w:color="000000" w:sz="4" w:val="single"/>
              <w:left w:color="000000" w:sz="4" w:val="single"/>
              <w:bottom w:color="000000" w:sz="4" w:val="single"/>
              <w:right w:color="000000" w:sz="4" w:val="single"/>
            </w:tcBorders>
            <w:shd w:fill="FFFFFF" w:val="clear"/>
            <w:vAlign w:val="center"/>
          </w:tcPr>
          <w:p w14:paraId="3E3D0000">
            <w:pPr>
              <w:widowControl w:val="1"/>
              <w:ind/>
              <w:jc w:val="center"/>
              <w:rPr>
                <w:sz w:val="18"/>
              </w:rPr>
            </w:pPr>
            <w:r>
              <w:rPr>
                <w:sz w:val="18"/>
              </w:rPr>
              <w:t>1800,00</w:t>
            </w:r>
          </w:p>
        </w:tc>
        <w:tc>
          <w:tcPr>
            <w:tcW w:type="dxa" w:w="1083"/>
            <w:tcBorders>
              <w:top w:color="000000" w:sz="4" w:val="single"/>
              <w:left w:color="000000" w:sz="4" w:val="single"/>
              <w:bottom w:color="000000" w:sz="4" w:val="single"/>
              <w:right w:color="000000" w:sz="4" w:val="single"/>
            </w:tcBorders>
            <w:shd w:fill="FFFFFF" w:val="clear"/>
            <w:vAlign w:val="center"/>
          </w:tcPr>
          <w:p w14:paraId="3F3D0000">
            <w:pPr>
              <w:widowControl w:val="1"/>
              <w:ind/>
              <w:jc w:val="center"/>
              <w:rPr>
                <w:sz w:val="18"/>
              </w:rPr>
            </w:pPr>
            <w:r>
              <w:rPr>
                <w:sz w:val="18"/>
              </w:rPr>
              <w:t>1800,00</w:t>
            </w:r>
          </w:p>
        </w:tc>
        <w:tc>
          <w:tcPr>
            <w:tcW w:type="dxa" w:w="771"/>
            <w:tcBorders>
              <w:top w:color="000000" w:sz="4" w:val="single"/>
              <w:left w:color="000000" w:sz="4" w:val="single"/>
              <w:bottom w:color="000000" w:sz="4" w:val="single"/>
              <w:right w:color="000000" w:sz="4" w:val="single"/>
            </w:tcBorders>
            <w:shd w:fill="FFFFFF" w:val="clear"/>
            <w:vAlign w:val="center"/>
          </w:tcPr>
          <w:p w14:paraId="403D0000">
            <w:pPr>
              <w:widowControl w:val="1"/>
              <w:ind/>
              <w:jc w:val="center"/>
              <w:rPr>
                <w:sz w:val="18"/>
              </w:rPr>
            </w:pPr>
            <w:r>
              <w:rPr>
                <w:sz w:val="18"/>
              </w:rPr>
              <w:t>ноябрь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413D0000">
            <w:pPr>
              <w:widowControl w:val="1"/>
              <w:ind/>
              <w:jc w:val="center"/>
              <w:rPr>
                <w:sz w:val="18"/>
              </w:rPr>
            </w:pPr>
            <w:r>
              <w:rPr>
                <w:sz w:val="18"/>
              </w:rPr>
              <w:t>ноябрь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423D0000">
            <w:pPr>
              <w:widowControl w:val="1"/>
              <w:ind/>
              <w:jc w:val="center"/>
              <w:rPr>
                <w:sz w:val="18"/>
              </w:rPr>
            </w:pPr>
            <w:r>
              <w:rPr>
                <w:sz w:val="18"/>
              </w:rPr>
              <w:t>счет № пю00947205</w:t>
            </w:r>
          </w:p>
        </w:tc>
      </w:tr>
      <w:tr>
        <w:trPr>
          <w:trHeight w:hRule="atLeast" w:val="3315"/>
        </w:trPr>
        <w:tc>
          <w:tcPr>
            <w:tcW w:type="dxa" w:w="708"/>
            <w:tcBorders>
              <w:top w:color="000000" w:sz="4" w:val="single"/>
              <w:left w:color="000000" w:sz="4" w:val="single"/>
              <w:bottom w:color="000000" w:sz="4" w:val="single"/>
              <w:right w:color="000000" w:sz="4" w:val="single"/>
            </w:tcBorders>
            <w:shd w:fill="auto" w:val="clear"/>
            <w:vAlign w:val="center"/>
          </w:tcPr>
          <w:p w14:paraId="433D0000">
            <w:pPr>
              <w:widowControl w:val="1"/>
              <w:ind/>
              <w:jc w:val="center"/>
              <w:rPr>
                <w:color w:val="000000"/>
                <w:sz w:val="18"/>
              </w:rPr>
            </w:pPr>
            <w:r>
              <w:rPr>
                <w:color w:val="000000"/>
                <w:sz w:val="18"/>
              </w:rPr>
              <w:t>231</w:t>
            </w:r>
          </w:p>
        </w:tc>
        <w:tc>
          <w:tcPr>
            <w:tcW w:type="dxa" w:w="618"/>
            <w:tcBorders>
              <w:top w:color="000000" w:sz="4" w:val="single"/>
              <w:left w:color="000000" w:sz="4" w:val="single"/>
              <w:bottom w:color="000000" w:sz="4" w:val="single"/>
              <w:right w:color="000000" w:sz="4" w:val="single"/>
            </w:tcBorders>
            <w:shd w:fill="FFFFFF" w:val="clear"/>
            <w:vAlign w:val="center"/>
          </w:tcPr>
          <w:p w14:paraId="443D0000">
            <w:pPr>
              <w:widowControl w:val="1"/>
              <w:ind/>
              <w:jc w:val="center"/>
              <w:rPr>
                <w:sz w:val="18"/>
              </w:rPr>
            </w:pPr>
            <w:r>
              <w:rPr>
                <w:sz w:val="18"/>
              </w:rPr>
              <w:t>157/2</w:t>
            </w:r>
          </w:p>
        </w:tc>
        <w:tc>
          <w:tcPr>
            <w:tcW w:type="dxa" w:w="993"/>
            <w:tcBorders>
              <w:top w:color="000000" w:sz="4" w:val="single"/>
              <w:left w:color="000000" w:sz="4" w:val="single"/>
              <w:bottom w:color="000000" w:sz="4" w:val="single"/>
              <w:right w:color="000000" w:sz="4" w:val="single"/>
            </w:tcBorders>
            <w:shd w:fill="FFFFFF" w:val="clear"/>
            <w:vAlign w:val="center"/>
          </w:tcPr>
          <w:p w14:paraId="453D0000">
            <w:pPr>
              <w:widowControl w:val="1"/>
              <w:ind/>
              <w:jc w:val="center"/>
              <w:rPr>
                <w:sz w:val="18"/>
              </w:rPr>
            </w:pPr>
            <w:r>
              <w:rPr>
                <w:sz w:val="18"/>
              </w:rPr>
              <w:t>поставка материалов для выполнения работ по монтажу и модернизации структурированной кабельной системы и сетей электроснабжения</w:t>
            </w:r>
          </w:p>
        </w:tc>
        <w:tc>
          <w:tcPr>
            <w:tcW w:type="dxa" w:w="849"/>
            <w:tcBorders>
              <w:top w:color="000000" w:sz="4" w:val="single"/>
              <w:left w:color="000000" w:sz="4" w:val="single"/>
              <w:bottom w:color="000000" w:sz="4" w:val="single"/>
              <w:right w:color="000000" w:sz="4" w:val="single"/>
            </w:tcBorders>
            <w:shd w:fill="FFFFFF" w:val="clear"/>
            <w:vAlign w:val="center"/>
          </w:tcPr>
          <w:p w14:paraId="463D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473D0000">
            <w:pPr>
              <w:widowControl w:val="1"/>
              <w:ind/>
              <w:jc w:val="center"/>
              <w:rPr>
                <w:color w:val="000000"/>
                <w:sz w:val="18"/>
              </w:rPr>
            </w:pPr>
            <w:r>
              <w:rPr>
                <w:color w:val="000000"/>
                <w:sz w:val="18"/>
              </w:rPr>
              <w:t>301</w:t>
            </w:r>
          </w:p>
        </w:tc>
        <w:tc>
          <w:tcPr>
            <w:tcW w:type="dxa" w:w="991"/>
            <w:tcBorders>
              <w:top w:color="000000" w:sz="4" w:val="single"/>
              <w:left w:color="000000" w:sz="4" w:val="single"/>
              <w:bottom w:color="000000" w:sz="4" w:val="single"/>
              <w:right w:color="000000" w:sz="4" w:val="single"/>
            </w:tcBorders>
            <w:shd w:fill="FFFFFF" w:val="clear"/>
            <w:vAlign w:val="center"/>
          </w:tcPr>
          <w:p w14:paraId="483D0000">
            <w:pPr>
              <w:widowControl w:val="1"/>
              <w:ind/>
              <w:jc w:val="center"/>
              <w:rPr>
                <w:sz w:val="18"/>
              </w:rPr>
            </w:pPr>
            <w:r>
              <w:rPr>
                <w:sz w:val="18"/>
              </w:rPr>
              <w:t>28 393,20</w:t>
            </w:r>
          </w:p>
        </w:tc>
        <w:tc>
          <w:tcPr>
            <w:tcW w:type="dxa" w:w="1134"/>
            <w:tcBorders>
              <w:top w:color="000000" w:sz="4" w:val="single"/>
              <w:left w:color="000000" w:sz="4" w:val="single"/>
              <w:bottom w:color="000000" w:sz="4" w:val="single"/>
              <w:right w:color="000000" w:sz="4" w:val="single"/>
            </w:tcBorders>
            <w:shd w:fill="FFFFFF" w:val="clear"/>
            <w:vAlign w:val="center"/>
          </w:tcPr>
          <w:p w14:paraId="493D0000">
            <w:pPr>
              <w:widowControl w:val="1"/>
              <w:ind/>
              <w:jc w:val="center"/>
              <w:rPr>
                <w:sz w:val="18"/>
              </w:rPr>
            </w:pPr>
            <w:r>
              <w:rPr>
                <w:sz w:val="18"/>
              </w:rPr>
              <w:t>33 504,00</w:t>
            </w:r>
          </w:p>
        </w:tc>
        <w:tc>
          <w:tcPr>
            <w:tcW w:type="dxa" w:w="993"/>
            <w:tcBorders>
              <w:top w:color="000000" w:sz="4" w:val="single"/>
              <w:left w:color="000000" w:sz="4" w:val="single"/>
              <w:bottom w:color="000000" w:sz="4" w:val="single"/>
              <w:right w:color="000000" w:sz="4" w:val="single"/>
            </w:tcBorders>
            <w:shd w:fill="FFFFFF" w:val="clear"/>
            <w:vAlign w:val="center"/>
          </w:tcPr>
          <w:p w14:paraId="4A3D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4B3D0000">
            <w:pPr>
              <w:widowControl w:val="1"/>
              <w:ind/>
              <w:jc w:val="center"/>
              <w:rPr>
                <w:sz w:val="18"/>
              </w:rPr>
            </w:pPr>
            <w:r>
              <w:rPr>
                <w:sz w:val="18"/>
              </w:rPr>
              <w:t>ноябрь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4C3D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4D3D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4E3D0000">
            <w:pPr>
              <w:widowControl w:val="1"/>
              <w:ind/>
              <w:jc w:val="center"/>
              <w:rPr>
                <w:color w:val="000000"/>
                <w:sz w:val="18"/>
              </w:rPr>
            </w:pPr>
            <w:r>
              <w:rPr>
                <w:color w:val="000000"/>
                <w:sz w:val="18"/>
              </w:rPr>
              <w:t>301</w:t>
            </w:r>
          </w:p>
        </w:tc>
        <w:tc>
          <w:tcPr>
            <w:tcW w:type="dxa" w:w="1169"/>
            <w:tcBorders>
              <w:top w:color="000000" w:sz="4" w:val="single"/>
              <w:left w:color="000000" w:sz="4" w:val="single"/>
              <w:bottom w:color="000000" w:sz="4" w:val="single"/>
              <w:right w:color="000000" w:sz="4" w:val="single"/>
            </w:tcBorders>
            <w:shd w:fill="FFFFFF" w:val="clear"/>
            <w:vAlign w:val="center"/>
          </w:tcPr>
          <w:p w14:paraId="4F3D0000">
            <w:pPr>
              <w:widowControl w:val="1"/>
              <w:ind/>
              <w:jc w:val="center"/>
              <w:rPr>
                <w:sz w:val="18"/>
              </w:rPr>
            </w:pPr>
            <w:r>
              <w:rPr>
                <w:sz w:val="18"/>
              </w:rPr>
              <w:t>28 393,20</w:t>
            </w:r>
          </w:p>
        </w:tc>
        <w:tc>
          <w:tcPr>
            <w:tcW w:type="dxa" w:w="1185"/>
            <w:tcBorders>
              <w:top w:color="000000" w:sz="4" w:val="single"/>
              <w:left w:color="000000" w:sz="4" w:val="single"/>
              <w:bottom w:color="000000" w:sz="4" w:val="single"/>
              <w:right w:color="000000" w:sz="4" w:val="single"/>
            </w:tcBorders>
            <w:shd w:fill="FFFFFF" w:val="clear"/>
            <w:vAlign w:val="center"/>
          </w:tcPr>
          <w:p w14:paraId="503D0000">
            <w:pPr>
              <w:widowControl w:val="1"/>
              <w:ind/>
              <w:jc w:val="center"/>
              <w:rPr>
                <w:sz w:val="18"/>
              </w:rPr>
            </w:pPr>
            <w:r>
              <w:rPr>
                <w:sz w:val="18"/>
              </w:rPr>
              <w:t>33 504,00</w:t>
            </w:r>
          </w:p>
        </w:tc>
        <w:tc>
          <w:tcPr>
            <w:tcW w:type="dxa" w:w="1083"/>
            <w:tcBorders>
              <w:top w:color="000000" w:sz="4" w:val="single"/>
              <w:left w:color="000000" w:sz="4" w:val="single"/>
              <w:bottom w:color="000000" w:sz="4" w:val="single"/>
              <w:right w:color="000000" w:sz="4" w:val="single"/>
            </w:tcBorders>
            <w:shd w:fill="FFFFFF" w:val="clear"/>
            <w:vAlign w:val="center"/>
          </w:tcPr>
          <w:p w14:paraId="513D0000">
            <w:pPr>
              <w:widowControl w:val="1"/>
              <w:ind/>
              <w:jc w:val="center"/>
              <w:rPr>
                <w:sz w:val="18"/>
              </w:rPr>
            </w:pPr>
            <w:r>
              <w:rPr>
                <w:sz w:val="18"/>
              </w:rPr>
              <w:t>33 504,00</w:t>
            </w:r>
          </w:p>
        </w:tc>
        <w:tc>
          <w:tcPr>
            <w:tcW w:type="dxa" w:w="771"/>
            <w:tcBorders>
              <w:top w:color="000000" w:sz="4" w:val="single"/>
              <w:left w:color="000000" w:sz="4" w:val="single"/>
              <w:bottom w:color="000000" w:sz="4" w:val="single"/>
              <w:right w:color="000000" w:sz="4" w:val="single"/>
            </w:tcBorders>
            <w:shd w:fill="FFFFFF" w:val="clear"/>
            <w:vAlign w:val="center"/>
          </w:tcPr>
          <w:p w14:paraId="523D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533D0000">
            <w:pPr>
              <w:widowControl w:val="1"/>
              <w:ind/>
              <w:jc w:val="center"/>
              <w:rPr>
                <w:sz w:val="18"/>
              </w:rPr>
            </w:pPr>
            <w:r>
              <w:rPr>
                <w:sz w:val="18"/>
              </w:rPr>
              <w:t>ноябрь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543D0000">
            <w:pPr>
              <w:widowControl w:val="1"/>
              <w:ind/>
              <w:jc w:val="center"/>
              <w:rPr>
                <w:sz w:val="18"/>
              </w:rPr>
            </w:pPr>
            <w:r>
              <w:rPr>
                <w:sz w:val="18"/>
              </w:rPr>
              <w:t>счет № 83 от 18.10.2018</w:t>
            </w:r>
          </w:p>
        </w:tc>
      </w:tr>
      <w:tr>
        <w:trPr>
          <w:trHeight w:hRule="atLeast" w:val="2805"/>
        </w:trPr>
        <w:tc>
          <w:tcPr>
            <w:tcW w:type="dxa" w:w="708"/>
            <w:tcBorders>
              <w:top w:color="000000" w:sz="4" w:val="single"/>
              <w:left w:color="000000" w:sz="4" w:val="single"/>
              <w:bottom w:color="000000" w:sz="4" w:val="single"/>
              <w:right w:color="000000" w:sz="4" w:val="single"/>
            </w:tcBorders>
            <w:shd w:fill="auto" w:val="clear"/>
            <w:vAlign w:val="center"/>
          </w:tcPr>
          <w:p w14:paraId="553D0000">
            <w:pPr>
              <w:widowControl w:val="1"/>
              <w:ind/>
              <w:jc w:val="center"/>
              <w:rPr>
                <w:color w:val="000000"/>
                <w:sz w:val="18"/>
              </w:rPr>
            </w:pPr>
            <w:r>
              <w:rPr>
                <w:color w:val="000000"/>
                <w:sz w:val="18"/>
              </w:rPr>
              <w:t>232</w:t>
            </w:r>
          </w:p>
        </w:tc>
        <w:tc>
          <w:tcPr>
            <w:tcW w:type="dxa" w:w="618"/>
            <w:tcBorders>
              <w:top w:color="000000" w:sz="4" w:val="single"/>
              <w:left w:color="000000" w:sz="4" w:val="single"/>
              <w:bottom w:color="000000" w:sz="4" w:val="single"/>
              <w:right w:color="000000" w:sz="4" w:val="single"/>
            </w:tcBorders>
            <w:shd w:fill="FFFFFF" w:val="clear"/>
            <w:vAlign w:val="center"/>
          </w:tcPr>
          <w:p w14:paraId="563D0000">
            <w:pPr>
              <w:widowControl w:val="1"/>
              <w:ind/>
              <w:jc w:val="center"/>
              <w:rPr>
                <w:sz w:val="18"/>
              </w:rPr>
            </w:pPr>
            <w:r>
              <w:rPr>
                <w:sz w:val="18"/>
              </w:rPr>
              <w:t>158/2</w:t>
            </w:r>
          </w:p>
        </w:tc>
        <w:tc>
          <w:tcPr>
            <w:tcW w:type="dxa" w:w="993"/>
            <w:tcBorders>
              <w:top w:color="000000" w:sz="4" w:val="single"/>
              <w:left w:color="000000" w:sz="4" w:val="single"/>
              <w:bottom w:color="000000" w:sz="4" w:val="single"/>
              <w:right w:color="000000" w:sz="4" w:val="single"/>
            </w:tcBorders>
            <w:shd w:fill="FFFFFF" w:val="clear"/>
            <w:vAlign w:val="center"/>
          </w:tcPr>
          <w:p w14:paraId="573D0000">
            <w:pPr>
              <w:widowControl w:val="1"/>
              <w:ind/>
              <w:jc w:val="center"/>
              <w:rPr>
                <w:sz w:val="18"/>
              </w:rPr>
            </w:pPr>
            <w:r>
              <w:rPr>
                <w:sz w:val="18"/>
              </w:rPr>
              <w:t>выполнение работ по монтажу и модернизации структурированной кабельной системы и сетей электроснабжения</w:t>
            </w:r>
          </w:p>
        </w:tc>
        <w:tc>
          <w:tcPr>
            <w:tcW w:type="dxa" w:w="849"/>
            <w:tcBorders>
              <w:top w:color="000000" w:sz="4" w:val="single"/>
              <w:left w:color="000000" w:sz="4" w:val="single"/>
              <w:bottom w:color="000000" w:sz="4" w:val="single"/>
              <w:right w:color="000000" w:sz="4" w:val="single"/>
            </w:tcBorders>
            <w:shd w:fill="FFFFFF" w:val="clear"/>
            <w:vAlign w:val="center"/>
          </w:tcPr>
          <w:p w14:paraId="583D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593D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5A3D0000">
            <w:pPr>
              <w:widowControl w:val="1"/>
              <w:ind/>
              <w:jc w:val="center"/>
              <w:rPr>
                <w:sz w:val="18"/>
              </w:rPr>
            </w:pPr>
            <w:r>
              <w:rPr>
                <w:sz w:val="18"/>
              </w:rPr>
              <w:t>53 971,40</w:t>
            </w:r>
          </w:p>
        </w:tc>
        <w:tc>
          <w:tcPr>
            <w:tcW w:type="dxa" w:w="1134"/>
            <w:tcBorders>
              <w:top w:color="000000" w:sz="4" w:val="single"/>
              <w:left w:color="000000" w:sz="4" w:val="single"/>
              <w:bottom w:color="000000" w:sz="4" w:val="single"/>
              <w:right w:color="000000" w:sz="4" w:val="single"/>
            </w:tcBorders>
            <w:shd w:fill="FFFFFF" w:val="clear"/>
            <w:vAlign w:val="center"/>
          </w:tcPr>
          <w:p w14:paraId="5B3D0000">
            <w:pPr>
              <w:widowControl w:val="1"/>
              <w:ind/>
              <w:jc w:val="center"/>
              <w:rPr>
                <w:sz w:val="18"/>
              </w:rPr>
            </w:pPr>
            <w:r>
              <w:rPr>
                <w:sz w:val="18"/>
              </w:rPr>
              <w:t>63 686,20</w:t>
            </w:r>
          </w:p>
        </w:tc>
        <w:tc>
          <w:tcPr>
            <w:tcW w:type="dxa" w:w="993"/>
            <w:tcBorders>
              <w:top w:color="000000" w:sz="4" w:val="single"/>
              <w:left w:color="000000" w:sz="4" w:val="single"/>
              <w:bottom w:color="000000" w:sz="4" w:val="single"/>
              <w:right w:color="000000" w:sz="4" w:val="single"/>
            </w:tcBorders>
            <w:shd w:fill="FFFFFF" w:val="clear"/>
            <w:vAlign w:val="center"/>
          </w:tcPr>
          <w:p w14:paraId="5C3D0000">
            <w:pPr>
              <w:widowControl w:val="1"/>
              <w:ind/>
              <w:jc w:val="center"/>
              <w:rPr>
                <w:sz w:val="18"/>
              </w:rPr>
            </w:pPr>
            <w:r>
              <w:rPr>
                <w:sz w:val="18"/>
              </w:rPr>
              <w:t>октябрь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5D3D0000">
            <w:pPr>
              <w:widowControl w:val="1"/>
              <w:ind/>
              <w:jc w:val="center"/>
              <w:rPr>
                <w:sz w:val="18"/>
              </w:rPr>
            </w:pPr>
            <w:r>
              <w:rPr>
                <w:sz w:val="18"/>
              </w:rPr>
              <w:t>ноябрь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5E3D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5F3D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603D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613D0000">
            <w:pPr>
              <w:widowControl w:val="1"/>
              <w:ind/>
              <w:jc w:val="center"/>
              <w:rPr>
                <w:sz w:val="18"/>
              </w:rPr>
            </w:pPr>
            <w:r>
              <w:rPr>
                <w:sz w:val="18"/>
              </w:rPr>
              <w:t>53 971,40</w:t>
            </w:r>
          </w:p>
        </w:tc>
        <w:tc>
          <w:tcPr>
            <w:tcW w:type="dxa" w:w="1185"/>
            <w:tcBorders>
              <w:top w:color="000000" w:sz="4" w:val="single"/>
              <w:left w:color="000000" w:sz="4" w:val="single"/>
              <w:bottom w:color="000000" w:sz="4" w:val="single"/>
              <w:right w:color="000000" w:sz="4" w:val="single"/>
            </w:tcBorders>
            <w:shd w:fill="FFFFFF" w:val="clear"/>
            <w:vAlign w:val="center"/>
          </w:tcPr>
          <w:p w14:paraId="623D0000">
            <w:pPr>
              <w:widowControl w:val="1"/>
              <w:ind/>
              <w:jc w:val="center"/>
              <w:rPr>
                <w:sz w:val="18"/>
              </w:rPr>
            </w:pPr>
            <w:r>
              <w:rPr>
                <w:sz w:val="18"/>
              </w:rPr>
              <w:t>63 686,20</w:t>
            </w:r>
          </w:p>
        </w:tc>
        <w:tc>
          <w:tcPr>
            <w:tcW w:type="dxa" w:w="1083"/>
            <w:tcBorders>
              <w:top w:color="000000" w:sz="4" w:val="single"/>
              <w:left w:color="000000" w:sz="4" w:val="single"/>
              <w:bottom w:color="000000" w:sz="4" w:val="single"/>
              <w:right w:color="000000" w:sz="4" w:val="single"/>
            </w:tcBorders>
            <w:shd w:fill="FFFFFF" w:val="clear"/>
            <w:vAlign w:val="center"/>
          </w:tcPr>
          <w:p w14:paraId="633D0000">
            <w:pPr>
              <w:widowControl w:val="1"/>
              <w:ind/>
              <w:jc w:val="center"/>
              <w:rPr>
                <w:sz w:val="18"/>
              </w:rPr>
            </w:pPr>
            <w:r>
              <w:rPr>
                <w:sz w:val="18"/>
              </w:rPr>
              <w:t>63 686,20</w:t>
            </w:r>
          </w:p>
        </w:tc>
        <w:tc>
          <w:tcPr>
            <w:tcW w:type="dxa" w:w="771"/>
            <w:tcBorders>
              <w:top w:color="000000" w:sz="4" w:val="single"/>
              <w:left w:color="000000" w:sz="4" w:val="single"/>
              <w:bottom w:color="000000" w:sz="4" w:val="single"/>
              <w:right w:color="000000" w:sz="4" w:val="single"/>
            </w:tcBorders>
            <w:shd w:fill="FFFFFF" w:val="clear"/>
            <w:vAlign w:val="center"/>
          </w:tcPr>
          <w:p w14:paraId="643D0000">
            <w:pPr>
              <w:widowControl w:val="1"/>
              <w:ind/>
              <w:jc w:val="center"/>
              <w:rPr>
                <w:sz w:val="18"/>
              </w:rPr>
            </w:pPr>
            <w:r>
              <w:rPr>
                <w:sz w:val="18"/>
              </w:rPr>
              <w:t>октябрь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653D0000">
            <w:pPr>
              <w:widowControl w:val="1"/>
              <w:ind/>
              <w:jc w:val="center"/>
              <w:rPr>
                <w:sz w:val="18"/>
              </w:rPr>
            </w:pPr>
            <w:r>
              <w:rPr>
                <w:sz w:val="18"/>
              </w:rPr>
              <w:t>ноябрь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663D0000">
            <w:pPr>
              <w:widowControl w:val="1"/>
              <w:ind/>
              <w:jc w:val="center"/>
              <w:rPr>
                <w:sz w:val="18"/>
              </w:rPr>
            </w:pPr>
            <w:r>
              <w:rPr>
                <w:sz w:val="18"/>
              </w:rPr>
              <w:t>счет № 84 от 18.10.2018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673D0000">
            <w:pPr>
              <w:widowControl w:val="1"/>
              <w:ind/>
              <w:jc w:val="center"/>
              <w:rPr>
                <w:color w:val="000000"/>
                <w:sz w:val="18"/>
              </w:rPr>
            </w:pPr>
            <w:r>
              <w:rPr>
                <w:color w:val="000000"/>
                <w:sz w:val="18"/>
              </w:rPr>
              <w:t>233</w:t>
            </w:r>
          </w:p>
        </w:tc>
        <w:tc>
          <w:tcPr>
            <w:tcW w:type="dxa" w:w="618"/>
            <w:tcBorders>
              <w:top w:color="000000" w:sz="4" w:val="single"/>
              <w:left w:color="000000" w:sz="4" w:val="single"/>
              <w:bottom w:color="000000" w:sz="4" w:val="single"/>
              <w:right w:color="000000" w:sz="4" w:val="single"/>
            </w:tcBorders>
            <w:shd w:fill="FFFFFF" w:val="clear"/>
            <w:vAlign w:val="center"/>
          </w:tcPr>
          <w:p w14:paraId="683D0000">
            <w:pPr>
              <w:widowControl w:val="1"/>
              <w:ind/>
              <w:jc w:val="center"/>
              <w:rPr>
                <w:sz w:val="18"/>
              </w:rPr>
            </w:pPr>
            <w:r>
              <w:rPr>
                <w:sz w:val="18"/>
              </w:rPr>
              <w:t>159/2</w:t>
            </w:r>
          </w:p>
        </w:tc>
        <w:tc>
          <w:tcPr>
            <w:tcW w:type="dxa" w:w="993"/>
            <w:tcBorders>
              <w:top w:color="000000" w:sz="4" w:val="single"/>
              <w:left w:color="000000" w:sz="4" w:val="single"/>
              <w:bottom w:color="000000" w:sz="4" w:val="single"/>
              <w:right w:color="000000" w:sz="4" w:val="single"/>
            </w:tcBorders>
            <w:shd w:fill="FFFFFF" w:val="clear"/>
            <w:vAlign w:val="center"/>
          </w:tcPr>
          <w:p w14:paraId="693D0000">
            <w:pPr>
              <w:widowControl w:val="1"/>
              <w:ind/>
              <w:jc w:val="center"/>
              <w:rPr>
                <w:sz w:val="18"/>
              </w:rPr>
            </w:pPr>
            <w:r>
              <w:rPr>
                <w:sz w:val="18"/>
              </w:rPr>
              <w:t>поставка кофеварки</w:t>
            </w:r>
          </w:p>
        </w:tc>
        <w:tc>
          <w:tcPr>
            <w:tcW w:type="dxa" w:w="849"/>
            <w:tcBorders>
              <w:top w:color="000000" w:sz="4" w:val="single"/>
              <w:left w:color="000000" w:sz="4" w:val="single"/>
              <w:bottom w:color="000000" w:sz="4" w:val="single"/>
              <w:right w:color="000000" w:sz="4" w:val="single"/>
            </w:tcBorders>
            <w:shd w:fill="FFFFFF" w:val="clear"/>
            <w:vAlign w:val="center"/>
          </w:tcPr>
          <w:p w14:paraId="6A3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6B3D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6C3D0000">
            <w:pPr>
              <w:widowControl w:val="1"/>
              <w:ind/>
              <w:jc w:val="center"/>
              <w:rPr>
                <w:sz w:val="18"/>
              </w:rPr>
            </w:pPr>
            <w:r>
              <w:rPr>
                <w:sz w:val="18"/>
              </w:rPr>
              <w:t>3399,00</w:t>
            </w:r>
          </w:p>
        </w:tc>
        <w:tc>
          <w:tcPr>
            <w:tcW w:type="dxa" w:w="1134"/>
            <w:tcBorders>
              <w:top w:color="000000" w:sz="4" w:val="single"/>
              <w:left w:color="000000" w:sz="4" w:val="single"/>
              <w:bottom w:color="000000" w:sz="4" w:val="single"/>
              <w:right w:color="000000" w:sz="4" w:val="single"/>
            </w:tcBorders>
            <w:shd w:fill="FFFFFF" w:val="clear"/>
            <w:vAlign w:val="center"/>
          </w:tcPr>
          <w:p w14:paraId="6D3D0000">
            <w:pPr>
              <w:widowControl w:val="1"/>
              <w:ind/>
              <w:jc w:val="center"/>
              <w:rPr>
                <w:sz w:val="18"/>
              </w:rPr>
            </w:pPr>
            <w:r>
              <w:rPr>
                <w:sz w:val="18"/>
              </w:rPr>
              <w:t>3399,00</w:t>
            </w:r>
          </w:p>
        </w:tc>
        <w:tc>
          <w:tcPr>
            <w:tcW w:type="dxa" w:w="993"/>
            <w:tcBorders>
              <w:top w:color="000000" w:sz="4" w:val="single"/>
              <w:left w:color="000000" w:sz="4" w:val="single"/>
              <w:bottom w:color="000000" w:sz="4" w:val="single"/>
              <w:right w:color="000000" w:sz="4" w:val="single"/>
            </w:tcBorders>
            <w:shd w:fill="FFFFFF" w:val="clear"/>
            <w:vAlign w:val="center"/>
          </w:tcPr>
          <w:p w14:paraId="6E3D0000">
            <w:pPr>
              <w:widowControl w:val="1"/>
              <w:ind/>
              <w:jc w:val="center"/>
              <w:rPr>
                <w:sz w:val="18"/>
              </w:rPr>
            </w:pPr>
            <w:r>
              <w:rPr>
                <w:sz w:val="18"/>
              </w:rPr>
              <w:t>ноябрь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6F3D0000">
            <w:pPr>
              <w:widowControl w:val="1"/>
              <w:ind/>
              <w:jc w:val="center"/>
              <w:rPr>
                <w:sz w:val="18"/>
              </w:rPr>
            </w:pPr>
            <w:r>
              <w:rPr>
                <w:sz w:val="18"/>
              </w:rPr>
              <w:t>ноябрь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703D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713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723D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733D0000">
            <w:pPr>
              <w:widowControl w:val="1"/>
              <w:ind/>
              <w:jc w:val="center"/>
              <w:rPr>
                <w:sz w:val="18"/>
              </w:rPr>
            </w:pPr>
            <w:r>
              <w:rPr>
                <w:sz w:val="18"/>
              </w:rPr>
              <w:t>3399,00</w:t>
            </w:r>
          </w:p>
        </w:tc>
        <w:tc>
          <w:tcPr>
            <w:tcW w:type="dxa" w:w="1185"/>
            <w:tcBorders>
              <w:top w:color="000000" w:sz="4" w:val="single"/>
              <w:left w:color="000000" w:sz="4" w:val="single"/>
              <w:bottom w:color="000000" w:sz="4" w:val="single"/>
              <w:right w:color="000000" w:sz="4" w:val="single"/>
            </w:tcBorders>
            <w:shd w:fill="FFFFFF" w:val="clear"/>
            <w:vAlign w:val="center"/>
          </w:tcPr>
          <w:p w14:paraId="743D0000">
            <w:pPr>
              <w:widowControl w:val="1"/>
              <w:ind/>
              <w:jc w:val="center"/>
              <w:rPr>
                <w:sz w:val="18"/>
              </w:rPr>
            </w:pPr>
            <w:r>
              <w:rPr>
                <w:sz w:val="18"/>
              </w:rPr>
              <w:t>3399,00</w:t>
            </w:r>
          </w:p>
        </w:tc>
        <w:tc>
          <w:tcPr>
            <w:tcW w:type="dxa" w:w="1083"/>
            <w:tcBorders>
              <w:top w:color="000000" w:sz="4" w:val="single"/>
              <w:left w:color="000000" w:sz="4" w:val="single"/>
              <w:bottom w:color="000000" w:sz="4" w:val="single"/>
              <w:right w:color="000000" w:sz="4" w:val="single"/>
            </w:tcBorders>
            <w:shd w:fill="FFFFFF" w:val="clear"/>
            <w:vAlign w:val="center"/>
          </w:tcPr>
          <w:p w14:paraId="753D0000">
            <w:pPr>
              <w:widowControl w:val="1"/>
              <w:ind/>
              <w:jc w:val="center"/>
              <w:rPr>
                <w:sz w:val="18"/>
              </w:rPr>
            </w:pPr>
            <w:r>
              <w:rPr>
                <w:sz w:val="18"/>
              </w:rPr>
              <w:t>3399,00</w:t>
            </w:r>
          </w:p>
        </w:tc>
        <w:tc>
          <w:tcPr>
            <w:tcW w:type="dxa" w:w="771"/>
            <w:tcBorders>
              <w:top w:color="000000" w:sz="4" w:val="single"/>
              <w:left w:color="000000" w:sz="4" w:val="single"/>
              <w:bottom w:color="000000" w:sz="4" w:val="single"/>
              <w:right w:color="000000" w:sz="4" w:val="single"/>
            </w:tcBorders>
            <w:shd w:fill="FFFFFF" w:val="clear"/>
            <w:vAlign w:val="center"/>
          </w:tcPr>
          <w:p w14:paraId="763D0000">
            <w:pPr>
              <w:widowControl w:val="1"/>
              <w:ind/>
              <w:jc w:val="center"/>
              <w:rPr>
                <w:sz w:val="18"/>
              </w:rPr>
            </w:pPr>
            <w:r>
              <w:rPr>
                <w:sz w:val="18"/>
              </w:rPr>
              <w:t>ноябрь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773D0000">
            <w:pPr>
              <w:widowControl w:val="1"/>
              <w:ind/>
              <w:jc w:val="center"/>
              <w:rPr>
                <w:sz w:val="18"/>
              </w:rPr>
            </w:pPr>
            <w:r>
              <w:rPr>
                <w:sz w:val="18"/>
              </w:rPr>
              <w:t>ноябрь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783D0000">
            <w:pPr>
              <w:widowControl w:val="1"/>
              <w:ind/>
              <w:jc w:val="center"/>
              <w:rPr>
                <w:sz w:val="18"/>
              </w:rPr>
            </w:pPr>
            <w:r>
              <w:rPr>
                <w:sz w:val="18"/>
              </w:rPr>
              <w:t>счет № рд1-005056 от 29.11.2018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793D0000">
            <w:pPr>
              <w:widowControl w:val="1"/>
              <w:ind/>
              <w:jc w:val="center"/>
              <w:rPr>
                <w:color w:val="000000"/>
                <w:sz w:val="18"/>
              </w:rPr>
            </w:pPr>
            <w:r>
              <w:rPr>
                <w:color w:val="000000"/>
                <w:sz w:val="18"/>
              </w:rPr>
              <w:t>234</w:t>
            </w:r>
          </w:p>
        </w:tc>
        <w:tc>
          <w:tcPr>
            <w:tcW w:type="dxa" w:w="618"/>
            <w:tcBorders>
              <w:top w:color="000000" w:sz="4" w:val="single"/>
              <w:left w:color="000000" w:sz="4" w:val="single"/>
              <w:bottom w:color="000000" w:sz="4" w:val="single"/>
              <w:right w:color="000000" w:sz="4" w:val="single"/>
            </w:tcBorders>
            <w:shd w:fill="FFFFFF" w:val="clear"/>
            <w:vAlign w:val="center"/>
          </w:tcPr>
          <w:p w14:paraId="7A3D0000">
            <w:pPr>
              <w:widowControl w:val="1"/>
              <w:ind/>
              <w:jc w:val="center"/>
              <w:rPr>
                <w:sz w:val="18"/>
              </w:rPr>
            </w:pPr>
            <w:r>
              <w:rPr>
                <w:sz w:val="18"/>
              </w:rPr>
              <w:t>160/2</w:t>
            </w:r>
          </w:p>
        </w:tc>
        <w:tc>
          <w:tcPr>
            <w:tcW w:type="dxa" w:w="993"/>
            <w:tcBorders>
              <w:top w:color="000000" w:sz="4" w:val="single"/>
              <w:left w:color="000000" w:sz="4" w:val="single"/>
              <w:bottom w:color="000000" w:sz="4" w:val="single"/>
              <w:right w:color="000000" w:sz="4" w:val="single"/>
            </w:tcBorders>
            <w:shd w:fill="FFFFFF" w:val="clear"/>
            <w:vAlign w:val="center"/>
          </w:tcPr>
          <w:p w14:paraId="7B3D0000">
            <w:pPr>
              <w:widowControl w:val="1"/>
              <w:ind/>
              <w:jc w:val="center"/>
              <w:rPr>
                <w:sz w:val="18"/>
              </w:rPr>
            </w:pPr>
            <w:r>
              <w:rPr>
                <w:sz w:val="18"/>
              </w:rPr>
              <w:t>оказание услуг по изготовлению карт пропусков</w:t>
            </w:r>
          </w:p>
        </w:tc>
        <w:tc>
          <w:tcPr>
            <w:tcW w:type="dxa" w:w="849"/>
            <w:tcBorders>
              <w:top w:color="000000" w:sz="4" w:val="single"/>
              <w:left w:color="000000" w:sz="4" w:val="single"/>
              <w:bottom w:color="000000" w:sz="4" w:val="single"/>
              <w:right w:color="000000" w:sz="4" w:val="single"/>
            </w:tcBorders>
            <w:shd w:fill="FFFFFF" w:val="clear"/>
            <w:vAlign w:val="center"/>
          </w:tcPr>
          <w:p w14:paraId="7C3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7D3D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7E3D0000">
            <w:pPr>
              <w:widowControl w:val="1"/>
              <w:ind/>
              <w:jc w:val="center"/>
              <w:rPr>
                <w:sz w:val="18"/>
              </w:rPr>
            </w:pPr>
            <w:r>
              <w:rPr>
                <w:sz w:val="18"/>
              </w:rPr>
              <w:t>4 239,80</w:t>
            </w:r>
          </w:p>
        </w:tc>
        <w:tc>
          <w:tcPr>
            <w:tcW w:type="dxa" w:w="1134"/>
            <w:tcBorders>
              <w:top w:color="000000" w:sz="4" w:val="single"/>
              <w:left w:color="000000" w:sz="4" w:val="single"/>
              <w:bottom w:color="000000" w:sz="4" w:val="single"/>
              <w:right w:color="000000" w:sz="4" w:val="single"/>
            </w:tcBorders>
            <w:shd w:fill="FFFFFF" w:val="clear"/>
            <w:vAlign w:val="center"/>
          </w:tcPr>
          <w:p w14:paraId="7F3D0000">
            <w:pPr>
              <w:widowControl w:val="1"/>
              <w:ind/>
              <w:jc w:val="center"/>
              <w:rPr>
                <w:sz w:val="18"/>
              </w:rPr>
            </w:pPr>
            <w:r>
              <w:rPr>
                <w:sz w:val="18"/>
              </w:rPr>
              <w:t>5 003,20</w:t>
            </w:r>
          </w:p>
        </w:tc>
        <w:tc>
          <w:tcPr>
            <w:tcW w:type="dxa" w:w="993"/>
            <w:tcBorders>
              <w:top w:color="000000" w:sz="4" w:val="single"/>
              <w:left w:color="000000" w:sz="4" w:val="single"/>
              <w:bottom w:color="000000" w:sz="4" w:val="single"/>
              <w:right w:color="000000" w:sz="4" w:val="single"/>
            </w:tcBorders>
            <w:shd w:fill="FFFFFF" w:val="clear"/>
            <w:vAlign w:val="center"/>
          </w:tcPr>
          <w:p w14:paraId="803D0000">
            <w:pPr>
              <w:widowControl w:val="1"/>
              <w:ind/>
              <w:jc w:val="center"/>
              <w:rPr>
                <w:sz w:val="18"/>
              </w:rPr>
            </w:pPr>
            <w:r>
              <w:rPr>
                <w:sz w:val="18"/>
              </w:rPr>
              <w:t>ноябрь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813D0000">
            <w:pPr>
              <w:widowControl w:val="1"/>
              <w:ind/>
              <w:jc w:val="center"/>
              <w:rPr>
                <w:sz w:val="18"/>
              </w:rPr>
            </w:pPr>
            <w:r>
              <w:rPr>
                <w:sz w:val="18"/>
              </w:rPr>
              <w:t>ноябрь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823D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833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843D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853D0000">
            <w:pPr>
              <w:widowControl w:val="1"/>
              <w:ind/>
              <w:jc w:val="center"/>
              <w:rPr>
                <w:sz w:val="18"/>
              </w:rPr>
            </w:pPr>
            <w:r>
              <w:rPr>
                <w:sz w:val="18"/>
              </w:rPr>
              <w:t>4 239,80</w:t>
            </w:r>
          </w:p>
        </w:tc>
        <w:tc>
          <w:tcPr>
            <w:tcW w:type="dxa" w:w="1185"/>
            <w:tcBorders>
              <w:top w:color="000000" w:sz="4" w:val="single"/>
              <w:left w:color="000000" w:sz="4" w:val="single"/>
              <w:bottom w:color="000000" w:sz="4" w:val="single"/>
              <w:right w:color="000000" w:sz="4" w:val="single"/>
            </w:tcBorders>
            <w:shd w:fill="FFFFFF" w:val="clear"/>
            <w:vAlign w:val="center"/>
          </w:tcPr>
          <w:p w14:paraId="863D0000">
            <w:pPr>
              <w:widowControl w:val="1"/>
              <w:ind/>
              <w:jc w:val="center"/>
              <w:rPr>
                <w:sz w:val="18"/>
              </w:rPr>
            </w:pPr>
            <w:r>
              <w:rPr>
                <w:sz w:val="18"/>
              </w:rPr>
              <w:t>5 003,20</w:t>
            </w:r>
          </w:p>
        </w:tc>
        <w:tc>
          <w:tcPr>
            <w:tcW w:type="dxa" w:w="1083"/>
            <w:tcBorders>
              <w:top w:color="000000" w:sz="4" w:val="single"/>
              <w:left w:color="000000" w:sz="4" w:val="single"/>
              <w:bottom w:color="000000" w:sz="4" w:val="single"/>
              <w:right w:color="000000" w:sz="4" w:val="single"/>
            </w:tcBorders>
            <w:shd w:fill="FFFFFF" w:val="clear"/>
            <w:vAlign w:val="center"/>
          </w:tcPr>
          <w:p w14:paraId="873D0000">
            <w:pPr>
              <w:widowControl w:val="1"/>
              <w:ind/>
              <w:jc w:val="center"/>
              <w:rPr>
                <w:sz w:val="18"/>
              </w:rPr>
            </w:pPr>
            <w:r>
              <w:rPr>
                <w:sz w:val="18"/>
              </w:rPr>
              <w:t>5 003,20</w:t>
            </w:r>
          </w:p>
        </w:tc>
        <w:tc>
          <w:tcPr>
            <w:tcW w:type="dxa" w:w="771"/>
            <w:tcBorders>
              <w:top w:color="000000" w:sz="4" w:val="single"/>
              <w:left w:color="000000" w:sz="4" w:val="single"/>
              <w:bottom w:color="000000" w:sz="4" w:val="single"/>
              <w:right w:color="000000" w:sz="4" w:val="single"/>
            </w:tcBorders>
            <w:shd w:fill="FFFFFF" w:val="clear"/>
            <w:vAlign w:val="center"/>
          </w:tcPr>
          <w:p w14:paraId="883D0000">
            <w:pPr>
              <w:widowControl w:val="1"/>
              <w:ind/>
              <w:jc w:val="center"/>
              <w:rPr>
                <w:sz w:val="18"/>
              </w:rPr>
            </w:pPr>
            <w:r>
              <w:rPr>
                <w:sz w:val="18"/>
              </w:rPr>
              <w:t>ноябрь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893D0000">
            <w:pPr>
              <w:widowControl w:val="1"/>
              <w:ind/>
              <w:jc w:val="center"/>
              <w:rPr>
                <w:sz w:val="18"/>
              </w:rPr>
            </w:pPr>
            <w:r>
              <w:rPr>
                <w:sz w:val="18"/>
              </w:rPr>
              <w:t>ноябрь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8A3D0000">
            <w:pPr>
              <w:widowControl w:val="1"/>
              <w:ind/>
              <w:jc w:val="center"/>
              <w:rPr>
                <w:sz w:val="18"/>
              </w:rPr>
            </w:pPr>
            <w:r>
              <w:rPr>
                <w:sz w:val="18"/>
              </w:rPr>
              <w:t>счет № 206 от 30.11.2018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8B3D0000">
            <w:pPr>
              <w:widowControl w:val="1"/>
              <w:ind/>
              <w:jc w:val="center"/>
              <w:rPr>
                <w:color w:val="000000"/>
                <w:sz w:val="18"/>
              </w:rPr>
            </w:pPr>
            <w:r>
              <w:rPr>
                <w:color w:val="000000"/>
                <w:sz w:val="18"/>
              </w:rPr>
              <w:t>235</w:t>
            </w:r>
          </w:p>
        </w:tc>
        <w:tc>
          <w:tcPr>
            <w:tcW w:type="dxa" w:w="618"/>
            <w:tcBorders>
              <w:top w:color="000000" w:sz="4" w:val="single"/>
              <w:left w:color="000000" w:sz="4" w:val="single"/>
              <w:bottom w:color="000000" w:sz="4" w:val="single"/>
              <w:right w:color="000000" w:sz="4" w:val="single"/>
            </w:tcBorders>
            <w:shd w:fill="FFFFFF" w:val="clear"/>
            <w:vAlign w:val="center"/>
          </w:tcPr>
          <w:p w14:paraId="8C3D0000">
            <w:pPr>
              <w:widowControl w:val="1"/>
              <w:ind/>
              <w:jc w:val="center"/>
              <w:rPr>
                <w:sz w:val="18"/>
              </w:rPr>
            </w:pPr>
            <w:r>
              <w:rPr>
                <w:sz w:val="18"/>
              </w:rPr>
              <w:t>161/2</w:t>
            </w:r>
          </w:p>
        </w:tc>
        <w:tc>
          <w:tcPr>
            <w:tcW w:type="dxa" w:w="993"/>
            <w:tcBorders>
              <w:top w:color="000000" w:sz="4" w:val="single"/>
              <w:left w:color="000000" w:sz="4" w:val="single"/>
              <w:bottom w:color="000000" w:sz="4" w:val="single"/>
              <w:right w:color="000000" w:sz="4" w:val="single"/>
            </w:tcBorders>
            <w:shd w:fill="FFFFFF" w:val="clear"/>
            <w:vAlign w:val="center"/>
          </w:tcPr>
          <w:p w14:paraId="8D3D0000">
            <w:pPr>
              <w:widowControl w:val="1"/>
              <w:ind/>
              <w:jc w:val="center"/>
              <w:rPr>
                <w:sz w:val="18"/>
              </w:rPr>
            </w:pPr>
            <w:r>
              <w:rPr>
                <w:sz w:val="18"/>
              </w:rPr>
              <w:t>оказание услуг по техническому обслуживанию автомобиля</w:t>
            </w:r>
          </w:p>
        </w:tc>
        <w:tc>
          <w:tcPr>
            <w:tcW w:type="dxa" w:w="849"/>
            <w:tcBorders>
              <w:top w:color="000000" w:sz="4" w:val="single"/>
              <w:left w:color="000000" w:sz="4" w:val="single"/>
              <w:bottom w:color="000000" w:sz="4" w:val="single"/>
              <w:right w:color="000000" w:sz="4" w:val="single"/>
            </w:tcBorders>
            <w:shd w:fill="FFFFFF" w:val="clear"/>
            <w:vAlign w:val="center"/>
          </w:tcPr>
          <w:p w14:paraId="8E3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8F3D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903D0000">
            <w:pPr>
              <w:widowControl w:val="1"/>
              <w:ind/>
              <w:jc w:val="center"/>
              <w:rPr>
                <w:sz w:val="18"/>
              </w:rPr>
            </w:pPr>
            <w:r>
              <w:rPr>
                <w:sz w:val="18"/>
              </w:rPr>
              <w:t>8967,00</w:t>
            </w:r>
          </w:p>
        </w:tc>
        <w:tc>
          <w:tcPr>
            <w:tcW w:type="dxa" w:w="1134"/>
            <w:tcBorders>
              <w:top w:color="000000" w:sz="4" w:val="single"/>
              <w:left w:color="000000" w:sz="4" w:val="single"/>
              <w:bottom w:color="000000" w:sz="4" w:val="single"/>
              <w:right w:color="000000" w:sz="4" w:val="single"/>
            </w:tcBorders>
            <w:shd w:fill="FFFFFF" w:val="clear"/>
            <w:vAlign w:val="center"/>
          </w:tcPr>
          <w:p w14:paraId="913D0000">
            <w:pPr>
              <w:widowControl w:val="1"/>
              <w:ind/>
              <w:jc w:val="center"/>
              <w:rPr>
                <w:sz w:val="18"/>
              </w:rPr>
            </w:pPr>
            <w:r>
              <w:rPr>
                <w:sz w:val="18"/>
              </w:rPr>
              <w:t>8967,00</w:t>
            </w:r>
          </w:p>
        </w:tc>
        <w:tc>
          <w:tcPr>
            <w:tcW w:type="dxa" w:w="993"/>
            <w:tcBorders>
              <w:top w:color="000000" w:sz="4" w:val="single"/>
              <w:left w:color="000000" w:sz="4" w:val="single"/>
              <w:bottom w:color="000000" w:sz="4" w:val="single"/>
              <w:right w:color="000000" w:sz="4" w:val="single"/>
            </w:tcBorders>
            <w:shd w:fill="FFFFFF" w:val="clear"/>
            <w:vAlign w:val="center"/>
          </w:tcPr>
          <w:p w14:paraId="923D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933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943D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953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963D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973D0000">
            <w:pPr>
              <w:widowControl w:val="1"/>
              <w:ind/>
              <w:jc w:val="center"/>
              <w:rPr>
                <w:sz w:val="18"/>
              </w:rPr>
            </w:pPr>
            <w:r>
              <w:rPr>
                <w:sz w:val="18"/>
              </w:rPr>
              <w:t>8967,00</w:t>
            </w:r>
          </w:p>
        </w:tc>
        <w:tc>
          <w:tcPr>
            <w:tcW w:type="dxa" w:w="1185"/>
            <w:tcBorders>
              <w:top w:color="000000" w:sz="4" w:val="single"/>
              <w:left w:color="000000" w:sz="4" w:val="single"/>
              <w:bottom w:color="000000" w:sz="4" w:val="single"/>
              <w:right w:color="000000" w:sz="4" w:val="single"/>
            </w:tcBorders>
            <w:shd w:fill="FFFFFF" w:val="clear"/>
            <w:vAlign w:val="center"/>
          </w:tcPr>
          <w:p w14:paraId="983D0000">
            <w:pPr>
              <w:widowControl w:val="1"/>
              <w:ind/>
              <w:jc w:val="center"/>
              <w:rPr>
                <w:sz w:val="18"/>
              </w:rPr>
            </w:pPr>
            <w:r>
              <w:rPr>
                <w:sz w:val="18"/>
              </w:rPr>
              <w:t>8967,00</w:t>
            </w:r>
          </w:p>
        </w:tc>
        <w:tc>
          <w:tcPr>
            <w:tcW w:type="dxa" w:w="1083"/>
            <w:tcBorders>
              <w:top w:color="000000" w:sz="4" w:val="single"/>
              <w:left w:color="000000" w:sz="4" w:val="single"/>
              <w:bottom w:color="000000" w:sz="4" w:val="single"/>
              <w:right w:color="000000" w:sz="4" w:val="single"/>
            </w:tcBorders>
            <w:shd w:fill="FFFFFF" w:val="clear"/>
            <w:vAlign w:val="center"/>
          </w:tcPr>
          <w:p w14:paraId="993D0000">
            <w:pPr>
              <w:widowControl w:val="1"/>
              <w:ind/>
              <w:jc w:val="center"/>
              <w:rPr>
                <w:sz w:val="18"/>
              </w:rPr>
            </w:pPr>
            <w:r>
              <w:rPr>
                <w:sz w:val="18"/>
              </w:rPr>
              <w:t>8967,00</w:t>
            </w:r>
          </w:p>
        </w:tc>
        <w:tc>
          <w:tcPr>
            <w:tcW w:type="dxa" w:w="771"/>
            <w:tcBorders>
              <w:top w:color="000000" w:sz="4" w:val="single"/>
              <w:left w:color="000000" w:sz="4" w:val="single"/>
              <w:bottom w:color="000000" w:sz="4" w:val="single"/>
              <w:right w:color="000000" w:sz="4" w:val="single"/>
            </w:tcBorders>
            <w:shd w:fill="FFFFFF" w:val="clear"/>
            <w:vAlign w:val="center"/>
          </w:tcPr>
          <w:p w14:paraId="9A3D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9B3D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9C3D0000">
            <w:pPr>
              <w:widowControl w:val="1"/>
              <w:ind/>
              <w:jc w:val="center"/>
              <w:rPr>
                <w:sz w:val="18"/>
              </w:rPr>
            </w:pPr>
            <w:r>
              <w:rPr>
                <w:sz w:val="18"/>
              </w:rPr>
              <w:t>счет № СПСС000260 от 11.12.2018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9D3D0000">
            <w:pPr>
              <w:widowControl w:val="1"/>
              <w:ind/>
              <w:jc w:val="center"/>
              <w:rPr>
                <w:color w:val="000000"/>
                <w:sz w:val="18"/>
              </w:rPr>
            </w:pPr>
            <w:r>
              <w:rPr>
                <w:color w:val="000000"/>
                <w:sz w:val="18"/>
              </w:rPr>
              <w:t>236</w:t>
            </w:r>
          </w:p>
        </w:tc>
        <w:tc>
          <w:tcPr>
            <w:tcW w:type="dxa" w:w="618"/>
            <w:tcBorders>
              <w:top w:color="000000" w:sz="4" w:val="single"/>
              <w:left w:color="000000" w:sz="4" w:val="single"/>
              <w:bottom w:color="000000" w:sz="4" w:val="single"/>
              <w:right w:color="000000" w:sz="4" w:val="single"/>
            </w:tcBorders>
            <w:shd w:fill="FFFFFF" w:val="clear"/>
            <w:vAlign w:val="center"/>
          </w:tcPr>
          <w:p w14:paraId="9E3D0000">
            <w:pPr>
              <w:widowControl w:val="1"/>
              <w:ind/>
              <w:jc w:val="center"/>
              <w:rPr>
                <w:sz w:val="18"/>
              </w:rPr>
            </w:pPr>
            <w:r>
              <w:rPr>
                <w:sz w:val="18"/>
              </w:rPr>
              <w:t>162/2</w:t>
            </w:r>
          </w:p>
        </w:tc>
        <w:tc>
          <w:tcPr>
            <w:tcW w:type="dxa" w:w="993"/>
            <w:tcBorders>
              <w:top w:color="000000" w:sz="4" w:val="single"/>
              <w:left w:color="000000" w:sz="4" w:val="single"/>
              <w:bottom w:color="000000" w:sz="4" w:val="single"/>
              <w:right w:color="000000" w:sz="4" w:val="single"/>
            </w:tcBorders>
            <w:shd w:fill="FFFFFF" w:val="clear"/>
            <w:vAlign w:val="center"/>
          </w:tcPr>
          <w:p w14:paraId="9F3D0000">
            <w:pPr>
              <w:widowControl w:val="1"/>
              <w:ind/>
              <w:jc w:val="center"/>
              <w:rPr>
                <w:sz w:val="18"/>
              </w:rPr>
            </w:pPr>
            <w:r>
              <w:rPr>
                <w:sz w:val="18"/>
              </w:rPr>
              <w:t>оказание информационных услуг</w:t>
            </w:r>
          </w:p>
        </w:tc>
        <w:tc>
          <w:tcPr>
            <w:tcW w:type="dxa" w:w="849"/>
            <w:tcBorders>
              <w:top w:color="000000" w:sz="4" w:val="single"/>
              <w:left w:color="000000" w:sz="4" w:val="single"/>
              <w:bottom w:color="000000" w:sz="4" w:val="single"/>
              <w:right w:color="000000" w:sz="4" w:val="single"/>
            </w:tcBorders>
            <w:shd w:fill="FFFFFF" w:val="clear"/>
            <w:vAlign w:val="center"/>
          </w:tcPr>
          <w:p w14:paraId="A03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A13D0000">
            <w:pPr>
              <w:widowControl w:val="1"/>
              <w:ind/>
              <w:jc w:val="center"/>
              <w:rPr>
                <w:sz w:val="18"/>
              </w:rPr>
            </w:pPr>
            <w:r>
              <w:rPr>
                <w:sz w:val="18"/>
              </w:rPr>
              <w:t>6</w:t>
            </w:r>
          </w:p>
        </w:tc>
        <w:tc>
          <w:tcPr>
            <w:tcW w:type="dxa" w:w="991"/>
            <w:tcBorders>
              <w:top w:color="000000" w:sz="4" w:val="single"/>
              <w:left w:color="000000" w:sz="4" w:val="single"/>
              <w:bottom w:color="000000" w:sz="4" w:val="single"/>
              <w:right w:color="000000" w:sz="4" w:val="single"/>
            </w:tcBorders>
            <w:shd w:fill="FFFFFF" w:val="clear"/>
            <w:vAlign w:val="center"/>
          </w:tcPr>
          <w:p w14:paraId="A23D0000">
            <w:pPr>
              <w:widowControl w:val="1"/>
              <w:ind/>
              <w:jc w:val="center"/>
              <w:rPr>
                <w:sz w:val="18"/>
              </w:rPr>
            </w:pPr>
            <w:r>
              <w:rPr>
                <w:sz w:val="18"/>
              </w:rPr>
              <w:t>3000,00</w:t>
            </w:r>
          </w:p>
        </w:tc>
        <w:tc>
          <w:tcPr>
            <w:tcW w:type="dxa" w:w="1134"/>
            <w:tcBorders>
              <w:top w:color="000000" w:sz="4" w:val="single"/>
              <w:left w:color="000000" w:sz="4" w:val="single"/>
              <w:bottom w:color="000000" w:sz="4" w:val="single"/>
              <w:right w:color="000000" w:sz="4" w:val="single"/>
            </w:tcBorders>
            <w:shd w:fill="FFFFFF" w:val="clear"/>
            <w:vAlign w:val="center"/>
          </w:tcPr>
          <w:p w14:paraId="A33D0000">
            <w:pPr>
              <w:widowControl w:val="1"/>
              <w:ind/>
              <w:jc w:val="center"/>
              <w:rPr>
                <w:sz w:val="18"/>
              </w:rPr>
            </w:pPr>
            <w:r>
              <w:rPr>
                <w:sz w:val="18"/>
              </w:rPr>
              <w:t>3000,00</w:t>
            </w:r>
          </w:p>
        </w:tc>
        <w:tc>
          <w:tcPr>
            <w:tcW w:type="dxa" w:w="993"/>
            <w:tcBorders>
              <w:top w:color="000000" w:sz="4" w:val="single"/>
              <w:left w:color="000000" w:sz="4" w:val="single"/>
              <w:bottom w:color="000000" w:sz="4" w:val="single"/>
              <w:right w:color="000000" w:sz="4" w:val="single"/>
            </w:tcBorders>
            <w:shd w:fill="FFFFFF" w:val="clear"/>
            <w:vAlign w:val="center"/>
          </w:tcPr>
          <w:p w14:paraId="A43D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A53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A63D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A73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A83D0000">
            <w:pPr>
              <w:widowControl w:val="1"/>
              <w:ind/>
              <w:jc w:val="center"/>
              <w:rPr>
                <w:sz w:val="18"/>
              </w:rPr>
            </w:pPr>
            <w:r>
              <w:rPr>
                <w:sz w:val="18"/>
              </w:rPr>
              <w:t>6</w:t>
            </w:r>
          </w:p>
        </w:tc>
        <w:tc>
          <w:tcPr>
            <w:tcW w:type="dxa" w:w="1169"/>
            <w:tcBorders>
              <w:top w:color="000000" w:sz="4" w:val="single"/>
              <w:left w:color="000000" w:sz="4" w:val="single"/>
              <w:bottom w:color="000000" w:sz="4" w:val="single"/>
              <w:right w:color="000000" w:sz="4" w:val="single"/>
            </w:tcBorders>
            <w:shd w:fill="FFFFFF" w:val="clear"/>
            <w:vAlign w:val="center"/>
          </w:tcPr>
          <w:p w14:paraId="A93D0000">
            <w:pPr>
              <w:widowControl w:val="1"/>
              <w:ind/>
              <w:jc w:val="center"/>
              <w:rPr>
                <w:sz w:val="18"/>
              </w:rPr>
            </w:pPr>
            <w:r>
              <w:rPr>
                <w:sz w:val="18"/>
              </w:rPr>
              <w:t>3000,00</w:t>
            </w:r>
          </w:p>
        </w:tc>
        <w:tc>
          <w:tcPr>
            <w:tcW w:type="dxa" w:w="1185"/>
            <w:tcBorders>
              <w:top w:color="000000" w:sz="4" w:val="single"/>
              <w:left w:color="000000" w:sz="4" w:val="single"/>
              <w:bottom w:color="000000" w:sz="4" w:val="single"/>
              <w:right w:color="000000" w:sz="4" w:val="single"/>
            </w:tcBorders>
            <w:shd w:fill="FFFFFF" w:val="clear"/>
            <w:vAlign w:val="center"/>
          </w:tcPr>
          <w:p w14:paraId="AA3D0000">
            <w:pPr>
              <w:widowControl w:val="1"/>
              <w:ind/>
              <w:jc w:val="center"/>
              <w:rPr>
                <w:sz w:val="18"/>
              </w:rPr>
            </w:pPr>
            <w:r>
              <w:rPr>
                <w:sz w:val="18"/>
              </w:rPr>
              <w:t>3000,00</w:t>
            </w:r>
          </w:p>
        </w:tc>
        <w:tc>
          <w:tcPr>
            <w:tcW w:type="dxa" w:w="1083"/>
            <w:tcBorders>
              <w:top w:color="000000" w:sz="4" w:val="single"/>
              <w:left w:color="000000" w:sz="4" w:val="single"/>
              <w:bottom w:color="000000" w:sz="4" w:val="single"/>
              <w:right w:color="000000" w:sz="4" w:val="single"/>
            </w:tcBorders>
            <w:shd w:fill="FFFFFF" w:val="clear"/>
            <w:vAlign w:val="center"/>
          </w:tcPr>
          <w:p w14:paraId="AB3D0000">
            <w:pPr>
              <w:widowControl w:val="1"/>
              <w:ind/>
              <w:jc w:val="center"/>
              <w:rPr>
                <w:sz w:val="18"/>
              </w:rPr>
            </w:pPr>
            <w:r>
              <w:rPr>
                <w:sz w:val="18"/>
              </w:rPr>
              <w:t>3000,00</w:t>
            </w:r>
          </w:p>
        </w:tc>
        <w:tc>
          <w:tcPr>
            <w:tcW w:type="dxa" w:w="771"/>
            <w:tcBorders>
              <w:top w:color="000000" w:sz="4" w:val="single"/>
              <w:left w:color="000000" w:sz="4" w:val="single"/>
              <w:bottom w:color="000000" w:sz="4" w:val="single"/>
              <w:right w:color="000000" w:sz="4" w:val="single"/>
            </w:tcBorders>
            <w:shd w:fill="FFFFFF" w:val="clear"/>
            <w:vAlign w:val="center"/>
          </w:tcPr>
          <w:p w14:paraId="AC3D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AD3D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AE3D0000">
            <w:pPr>
              <w:widowControl w:val="1"/>
              <w:ind/>
              <w:jc w:val="center"/>
              <w:rPr>
                <w:sz w:val="18"/>
              </w:rPr>
            </w:pPr>
            <w:r>
              <w:rPr>
                <w:sz w:val="18"/>
              </w:rPr>
              <w:t>счет № 96155/16 от 04.12.2018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AF3D0000">
            <w:pPr>
              <w:widowControl w:val="1"/>
              <w:ind/>
              <w:jc w:val="center"/>
              <w:rPr>
                <w:color w:val="000000"/>
                <w:sz w:val="18"/>
              </w:rPr>
            </w:pPr>
            <w:r>
              <w:rPr>
                <w:color w:val="000000"/>
                <w:sz w:val="18"/>
              </w:rPr>
              <w:t>237</w:t>
            </w:r>
          </w:p>
        </w:tc>
        <w:tc>
          <w:tcPr>
            <w:tcW w:type="dxa" w:w="618"/>
            <w:tcBorders>
              <w:top w:color="000000" w:sz="4" w:val="single"/>
              <w:left w:color="000000" w:sz="4" w:val="single"/>
              <w:bottom w:color="000000" w:sz="4" w:val="single"/>
              <w:right w:color="000000" w:sz="4" w:val="single"/>
            </w:tcBorders>
            <w:shd w:fill="FFFFFF" w:val="clear"/>
            <w:vAlign w:val="center"/>
          </w:tcPr>
          <w:p w14:paraId="B03D0000">
            <w:pPr>
              <w:widowControl w:val="1"/>
              <w:ind/>
              <w:jc w:val="center"/>
              <w:rPr>
                <w:sz w:val="18"/>
              </w:rPr>
            </w:pPr>
            <w:r>
              <w:rPr>
                <w:sz w:val="18"/>
              </w:rPr>
              <w:t>163/2</w:t>
            </w:r>
          </w:p>
        </w:tc>
        <w:tc>
          <w:tcPr>
            <w:tcW w:type="dxa" w:w="993"/>
            <w:tcBorders>
              <w:top w:color="000000" w:sz="4" w:val="single"/>
              <w:left w:color="000000" w:sz="4" w:val="single"/>
              <w:bottom w:color="000000" w:sz="4" w:val="single"/>
              <w:right w:color="000000" w:sz="4" w:val="single"/>
            </w:tcBorders>
            <w:shd w:fill="FFFFFF" w:val="clear"/>
            <w:vAlign w:val="center"/>
          </w:tcPr>
          <w:p w14:paraId="B13D0000">
            <w:pPr>
              <w:widowControl w:val="1"/>
              <w:ind/>
              <w:jc w:val="center"/>
              <w:rPr>
                <w:color w:val="000000"/>
                <w:sz w:val="18"/>
              </w:rPr>
            </w:pPr>
            <w:r>
              <w:rPr>
                <w:color w:val="000000"/>
                <w:sz w:val="18"/>
              </w:rPr>
              <w:t>Поставка офисных кресел</w:t>
            </w:r>
          </w:p>
        </w:tc>
        <w:tc>
          <w:tcPr>
            <w:tcW w:type="dxa" w:w="849"/>
            <w:tcBorders>
              <w:top w:color="000000" w:sz="4" w:val="single"/>
              <w:left w:color="000000" w:sz="4" w:val="single"/>
              <w:bottom w:color="000000" w:sz="4" w:val="single"/>
              <w:right w:color="000000" w:sz="4" w:val="single"/>
            </w:tcBorders>
            <w:shd w:fill="FFFFFF" w:val="clear"/>
            <w:vAlign w:val="center"/>
          </w:tcPr>
          <w:p w14:paraId="B23D0000">
            <w:pPr>
              <w:widowControl w:val="1"/>
              <w:ind/>
              <w:jc w:val="center"/>
              <w:rPr>
                <w:color w:val="000000"/>
                <w:sz w:val="18"/>
              </w:rPr>
            </w:pPr>
            <w:r>
              <w:rPr>
                <w:color w:val="000000"/>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B33D0000">
            <w:pPr>
              <w:widowControl w:val="1"/>
              <w:ind/>
              <w:jc w:val="center"/>
              <w:rPr>
                <w:color w:val="000000"/>
                <w:sz w:val="18"/>
              </w:rPr>
            </w:pPr>
            <w:r>
              <w:rPr>
                <w:color w:val="000000"/>
                <w:sz w:val="18"/>
              </w:rPr>
              <w:t>16</w:t>
            </w:r>
          </w:p>
        </w:tc>
        <w:tc>
          <w:tcPr>
            <w:tcW w:type="dxa" w:w="991"/>
            <w:tcBorders>
              <w:top w:color="000000" w:sz="4" w:val="single"/>
              <w:left w:color="000000" w:sz="4" w:val="single"/>
              <w:bottom w:color="000000" w:sz="4" w:val="single"/>
              <w:right w:color="000000" w:sz="4" w:val="single"/>
            </w:tcBorders>
            <w:shd w:fill="FFFFFF" w:val="clear"/>
            <w:vAlign w:val="center"/>
          </w:tcPr>
          <w:p w14:paraId="B43D0000">
            <w:pPr>
              <w:widowControl w:val="1"/>
              <w:ind/>
              <w:jc w:val="center"/>
              <w:rPr>
                <w:color w:val="000000"/>
                <w:sz w:val="18"/>
              </w:rPr>
            </w:pPr>
            <w:r>
              <w:rPr>
                <w:color w:val="000000"/>
                <w:sz w:val="18"/>
              </w:rPr>
              <w:t>17711,60</w:t>
            </w:r>
          </w:p>
        </w:tc>
        <w:tc>
          <w:tcPr>
            <w:tcW w:type="dxa" w:w="1134"/>
            <w:tcBorders>
              <w:top w:color="000000" w:sz="4" w:val="single"/>
              <w:left w:color="000000" w:sz="4" w:val="single"/>
              <w:bottom w:color="000000" w:sz="4" w:val="single"/>
              <w:right w:color="000000" w:sz="4" w:val="single"/>
            </w:tcBorders>
            <w:shd w:fill="FFFFFF" w:val="clear"/>
            <w:vAlign w:val="center"/>
          </w:tcPr>
          <w:p w14:paraId="B53D0000">
            <w:pPr>
              <w:widowControl w:val="1"/>
              <w:ind/>
              <w:jc w:val="center"/>
              <w:rPr>
                <w:color w:val="000000"/>
                <w:sz w:val="18"/>
              </w:rPr>
            </w:pPr>
            <w:r>
              <w:rPr>
                <w:color w:val="000000"/>
                <w:sz w:val="18"/>
              </w:rPr>
              <w:t>20900,00</w:t>
            </w:r>
          </w:p>
        </w:tc>
        <w:tc>
          <w:tcPr>
            <w:tcW w:type="dxa" w:w="993"/>
            <w:tcBorders>
              <w:top w:color="000000" w:sz="4" w:val="single"/>
              <w:left w:color="000000" w:sz="4" w:val="single"/>
              <w:bottom w:color="000000" w:sz="4" w:val="single"/>
              <w:right w:color="000000" w:sz="4" w:val="single"/>
            </w:tcBorders>
            <w:shd w:fill="FFFFFF" w:val="clear"/>
            <w:vAlign w:val="center"/>
          </w:tcPr>
          <w:p w14:paraId="B63D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B73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B83D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B93D0000">
            <w:pPr>
              <w:widowControl w:val="1"/>
              <w:ind/>
              <w:jc w:val="center"/>
              <w:rPr>
                <w:color w:val="000000"/>
                <w:sz w:val="18"/>
              </w:rPr>
            </w:pPr>
            <w:r>
              <w:rPr>
                <w:color w:val="000000"/>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BA3D0000">
            <w:pPr>
              <w:widowControl w:val="1"/>
              <w:ind/>
              <w:jc w:val="center"/>
              <w:rPr>
                <w:color w:val="000000"/>
                <w:sz w:val="18"/>
              </w:rPr>
            </w:pPr>
            <w:r>
              <w:rPr>
                <w:color w:val="000000"/>
                <w:sz w:val="18"/>
              </w:rPr>
              <w:t>16</w:t>
            </w:r>
          </w:p>
        </w:tc>
        <w:tc>
          <w:tcPr>
            <w:tcW w:type="dxa" w:w="1169"/>
            <w:tcBorders>
              <w:top w:color="000000" w:sz="4" w:val="single"/>
              <w:left w:color="000000" w:sz="4" w:val="single"/>
              <w:bottom w:color="000000" w:sz="4" w:val="single"/>
              <w:right w:color="000000" w:sz="4" w:val="single"/>
            </w:tcBorders>
            <w:shd w:fill="FFFFFF" w:val="clear"/>
            <w:vAlign w:val="center"/>
          </w:tcPr>
          <w:p w14:paraId="BB3D0000">
            <w:pPr>
              <w:widowControl w:val="1"/>
              <w:ind/>
              <w:jc w:val="center"/>
              <w:rPr>
                <w:color w:val="000000"/>
                <w:sz w:val="18"/>
              </w:rPr>
            </w:pPr>
            <w:r>
              <w:rPr>
                <w:color w:val="000000"/>
                <w:sz w:val="18"/>
              </w:rPr>
              <w:t>17711,60</w:t>
            </w:r>
          </w:p>
        </w:tc>
        <w:tc>
          <w:tcPr>
            <w:tcW w:type="dxa" w:w="1185"/>
            <w:tcBorders>
              <w:top w:color="000000" w:sz="4" w:val="single"/>
              <w:left w:color="000000" w:sz="4" w:val="single"/>
              <w:bottom w:color="000000" w:sz="4" w:val="single"/>
              <w:right w:color="000000" w:sz="4" w:val="single"/>
            </w:tcBorders>
            <w:shd w:fill="FFFFFF" w:val="clear"/>
            <w:vAlign w:val="center"/>
          </w:tcPr>
          <w:p w14:paraId="BC3D0000">
            <w:pPr>
              <w:widowControl w:val="1"/>
              <w:ind/>
              <w:jc w:val="center"/>
              <w:rPr>
                <w:color w:val="000000"/>
                <w:sz w:val="18"/>
              </w:rPr>
            </w:pPr>
            <w:r>
              <w:rPr>
                <w:color w:val="000000"/>
                <w:sz w:val="18"/>
              </w:rPr>
              <w:t>20900,00</w:t>
            </w:r>
          </w:p>
        </w:tc>
        <w:tc>
          <w:tcPr>
            <w:tcW w:type="dxa" w:w="1083"/>
            <w:tcBorders>
              <w:top w:color="000000" w:sz="4" w:val="single"/>
              <w:left w:color="000000" w:sz="4" w:val="single"/>
              <w:bottom w:color="000000" w:sz="4" w:val="single"/>
              <w:right w:color="000000" w:sz="4" w:val="single"/>
            </w:tcBorders>
            <w:shd w:fill="FFFFFF" w:val="clear"/>
            <w:vAlign w:val="center"/>
          </w:tcPr>
          <w:p w14:paraId="BD3D0000">
            <w:pPr>
              <w:widowControl w:val="1"/>
              <w:ind/>
              <w:jc w:val="center"/>
              <w:rPr>
                <w:color w:val="000000"/>
                <w:sz w:val="18"/>
              </w:rPr>
            </w:pPr>
            <w:r>
              <w:rPr>
                <w:color w:val="000000"/>
                <w:sz w:val="18"/>
              </w:rPr>
              <w:t>20900,00</w:t>
            </w:r>
          </w:p>
        </w:tc>
        <w:tc>
          <w:tcPr>
            <w:tcW w:type="dxa" w:w="771"/>
            <w:tcBorders>
              <w:top w:color="000000" w:sz="4" w:val="single"/>
              <w:left w:color="000000" w:sz="4" w:val="single"/>
              <w:bottom w:color="000000" w:sz="4" w:val="single"/>
              <w:right w:color="000000" w:sz="4" w:val="single"/>
            </w:tcBorders>
            <w:shd w:fill="FFFFFF" w:val="clear"/>
            <w:vAlign w:val="center"/>
          </w:tcPr>
          <w:p w14:paraId="BE3D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BF3D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C03D0000">
            <w:pPr>
              <w:widowControl w:val="1"/>
              <w:ind/>
              <w:jc w:val="center"/>
              <w:rPr>
                <w:sz w:val="18"/>
              </w:rPr>
            </w:pPr>
            <w:r>
              <w:rPr>
                <w:sz w:val="18"/>
              </w:rPr>
              <w:t>счет № 519 от 05.12.2018</w:t>
            </w:r>
          </w:p>
        </w:tc>
      </w:tr>
      <w:tr>
        <w:trPr>
          <w:trHeight w:hRule="atLeast" w:val="1275"/>
        </w:trPr>
        <w:tc>
          <w:tcPr>
            <w:tcW w:type="dxa" w:w="708"/>
            <w:tcBorders>
              <w:top w:color="000000" w:sz="4" w:val="single"/>
              <w:left w:color="000000" w:sz="4" w:val="single"/>
              <w:bottom w:color="000000" w:sz="4" w:val="single"/>
              <w:right w:color="000000" w:sz="4" w:val="single"/>
            </w:tcBorders>
            <w:shd w:fill="auto" w:val="clear"/>
            <w:vAlign w:val="center"/>
          </w:tcPr>
          <w:p w14:paraId="C13D0000">
            <w:pPr>
              <w:widowControl w:val="1"/>
              <w:ind/>
              <w:jc w:val="center"/>
              <w:rPr>
                <w:color w:val="000000"/>
                <w:sz w:val="18"/>
              </w:rPr>
            </w:pPr>
            <w:r>
              <w:rPr>
                <w:color w:val="000000"/>
                <w:sz w:val="18"/>
              </w:rPr>
              <w:t>238</w:t>
            </w:r>
          </w:p>
        </w:tc>
        <w:tc>
          <w:tcPr>
            <w:tcW w:type="dxa" w:w="618"/>
            <w:tcBorders>
              <w:top w:color="000000" w:sz="4" w:val="single"/>
              <w:left w:color="000000" w:sz="4" w:val="single"/>
              <w:bottom w:color="000000" w:sz="4" w:val="single"/>
              <w:right w:color="000000" w:sz="4" w:val="single"/>
            </w:tcBorders>
            <w:shd w:fill="FFFFFF" w:val="clear"/>
            <w:vAlign w:val="center"/>
          </w:tcPr>
          <w:p w14:paraId="C23D0000">
            <w:pPr>
              <w:widowControl w:val="1"/>
              <w:ind/>
              <w:jc w:val="center"/>
              <w:rPr>
                <w:sz w:val="18"/>
              </w:rPr>
            </w:pPr>
            <w:r>
              <w:rPr>
                <w:sz w:val="18"/>
              </w:rPr>
              <w:t>164/2</w:t>
            </w:r>
          </w:p>
        </w:tc>
        <w:tc>
          <w:tcPr>
            <w:tcW w:type="dxa" w:w="993"/>
            <w:tcBorders>
              <w:top w:color="000000" w:sz="4" w:val="single"/>
              <w:left w:color="000000" w:sz="4" w:val="single"/>
              <w:bottom w:color="000000" w:sz="4" w:val="single"/>
              <w:right w:color="000000" w:sz="4" w:val="single"/>
            </w:tcBorders>
            <w:shd w:fill="FFFFFF" w:val="clear"/>
            <w:vAlign w:val="center"/>
          </w:tcPr>
          <w:p w14:paraId="C33D0000">
            <w:pPr>
              <w:widowControl w:val="1"/>
              <w:ind/>
              <w:jc w:val="center"/>
              <w:rPr>
                <w:sz w:val="18"/>
              </w:rPr>
            </w:pPr>
            <w:r>
              <w:rPr>
                <w:sz w:val="18"/>
              </w:rPr>
              <w:t>оказание услуг по техническому обслуживанию автомобиля</w:t>
            </w:r>
          </w:p>
        </w:tc>
        <w:tc>
          <w:tcPr>
            <w:tcW w:type="dxa" w:w="849"/>
            <w:tcBorders>
              <w:top w:color="000000" w:sz="4" w:val="single"/>
              <w:left w:color="000000" w:sz="4" w:val="single"/>
              <w:bottom w:color="000000" w:sz="4" w:val="single"/>
              <w:right w:color="000000" w:sz="4" w:val="single"/>
            </w:tcBorders>
            <w:shd w:fill="FFFFFF" w:val="clear"/>
            <w:vAlign w:val="center"/>
          </w:tcPr>
          <w:p w14:paraId="C43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C53D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C63D0000">
            <w:pPr>
              <w:widowControl w:val="1"/>
              <w:ind/>
              <w:jc w:val="center"/>
              <w:rPr>
                <w:sz w:val="18"/>
              </w:rPr>
            </w:pPr>
            <w:r>
              <w:rPr>
                <w:sz w:val="18"/>
              </w:rPr>
              <w:t>16000,00</w:t>
            </w:r>
          </w:p>
        </w:tc>
        <w:tc>
          <w:tcPr>
            <w:tcW w:type="dxa" w:w="1134"/>
            <w:tcBorders>
              <w:top w:color="000000" w:sz="4" w:val="single"/>
              <w:left w:color="000000" w:sz="4" w:val="single"/>
              <w:bottom w:color="000000" w:sz="4" w:val="single"/>
              <w:right w:color="000000" w:sz="4" w:val="single"/>
            </w:tcBorders>
            <w:shd w:fill="FFFFFF" w:val="clear"/>
            <w:vAlign w:val="center"/>
          </w:tcPr>
          <w:p w14:paraId="C73D0000">
            <w:pPr>
              <w:widowControl w:val="1"/>
              <w:ind/>
              <w:jc w:val="center"/>
              <w:rPr>
                <w:sz w:val="18"/>
              </w:rPr>
            </w:pPr>
            <w:r>
              <w:rPr>
                <w:sz w:val="18"/>
              </w:rPr>
              <w:t>16000,00</w:t>
            </w:r>
          </w:p>
        </w:tc>
        <w:tc>
          <w:tcPr>
            <w:tcW w:type="dxa" w:w="993"/>
            <w:tcBorders>
              <w:top w:color="000000" w:sz="4" w:val="single"/>
              <w:left w:color="000000" w:sz="4" w:val="single"/>
              <w:bottom w:color="000000" w:sz="4" w:val="single"/>
              <w:right w:color="000000" w:sz="4" w:val="single"/>
            </w:tcBorders>
            <w:shd w:fill="FFFFFF" w:val="clear"/>
            <w:vAlign w:val="center"/>
          </w:tcPr>
          <w:p w14:paraId="C83D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C93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CA3D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CB3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CC3D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CD3D0000">
            <w:pPr>
              <w:widowControl w:val="1"/>
              <w:ind/>
              <w:jc w:val="center"/>
              <w:rPr>
                <w:sz w:val="18"/>
              </w:rPr>
            </w:pPr>
            <w:r>
              <w:rPr>
                <w:sz w:val="18"/>
              </w:rPr>
              <w:t>16000,00</w:t>
            </w:r>
          </w:p>
        </w:tc>
        <w:tc>
          <w:tcPr>
            <w:tcW w:type="dxa" w:w="1185"/>
            <w:tcBorders>
              <w:top w:color="000000" w:sz="4" w:val="single"/>
              <w:left w:color="000000" w:sz="4" w:val="single"/>
              <w:bottom w:color="000000" w:sz="4" w:val="single"/>
              <w:right w:color="000000" w:sz="4" w:val="single"/>
            </w:tcBorders>
            <w:shd w:fill="FFFFFF" w:val="clear"/>
            <w:vAlign w:val="center"/>
          </w:tcPr>
          <w:p w14:paraId="CE3D0000">
            <w:pPr>
              <w:widowControl w:val="1"/>
              <w:ind/>
              <w:jc w:val="center"/>
              <w:rPr>
                <w:sz w:val="18"/>
              </w:rPr>
            </w:pPr>
            <w:r>
              <w:rPr>
                <w:sz w:val="18"/>
              </w:rPr>
              <w:t>16000,00</w:t>
            </w:r>
          </w:p>
        </w:tc>
        <w:tc>
          <w:tcPr>
            <w:tcW w:type="dxa" w:w="1083"/>
            <w:tcBorders>
              <w:top w:color="000000" w:sz="4" w:val="single"/>
              <w:left w:color="000000" w:sz="4" w:val="single"/>
              <w:bottom w:color="000000" w:sz="4" w:val="single"/>
              <w:right w:color="000000" w:sz="4" w:val="single"/>
            </w:tcBorders>
            <w:shd w:fill="FFFFFF" w:val="clear"/>
            <w:vAlign w:val="center"/>
          </w:tcPr>
          <w:p w14:paraId="CF3D0000">
            <w:pPr>
              <w:widowControl w:val="1"/>
              <w:ind/>
              <w:jc w:val="center"/>
              <w:rPr>
                <w:sz w:val="18"/>
              </w:rPr>
            </w:pPr>
            <w:r>
              <w:rPr>
                <w:sz w:val="18"/>
              </w:rPr>
              <w:t>16000,00</w:t>
            </w:r>
          </w:p>
        </w:tc>
        <w:tc>
          <w:tcPr>
            <w:tcW w:type="dxa" w:w="771"/>
            <w:tcBorders>
              <w:top w:color="000000" w:sz="4" w:val="single"/>
              <w:left w:color="000000" w:sz="4" w:val="single"/>
              <w:bottom w:color="000000" w:sz="4" w:val="single"/>
              <w:right w:color="000000" w:sz="4" w:val="single"/>
            </w:tcBorders>
            <w:shd w:fill="FFFFFF" w:val="clear"/>
            <w:vAlign w:val="center"/>
          </w:tcPr>
          <w:p w14:paraId="D03D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D13D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D23D0000">
            <w:pPr>
              <w:widowControl w:val="1"/>
              <w:ind/>
              <w:jc w:val="center"/>
              <w:rPr>
                <w:sz w:val="18"/>
              </w:rPr>
            </w:pPr>
            <w:r>
              <w:rPr>
                <w:sz w:val="18"/>
              </w:rPr>
              <w:t>счет № 74 от 13.12.2018</w:t>
            </w:r>
          </w:p>
        </w:tc>
      </w:tr>
      <w:tr>
        <w:trPr>
          <w:trHeight w:hRule="atLeast" w:val="1530"/>
        </w:trPr>
        <w:tc>
          <w:tcPr>
            <w:tcW w:type="dxa" w:w="708"/>
            <w:tcBorders>
              <w:top w:color="000000" w:sz="4" w:val="single"/>
              <w:left w:color="000000" w:sz="4" w:val="single"/>
              <w:bottom w:color="000000" w:sz="4" w:val="single"/>
              <w:right w:color="000000" w:sz="4" w:val="single"/>
            </w:tcBorders>
            <w:shd w:fill="auto" w:val="clear"/>
            <w:vAlign w:val="center"/>
          </w:tcPr>
          <w:p w14:paraId="D33D0000">
            <w:pPr>
              <w:widowControl w:val="1"/>
              <w:ind/>
              <w:jc w:val="center"/>
              <w:rPr>
                <w:color w:val="000000"/>
                <w:sz w:val="18"/>
              </w:rPr>
            </w:pPr>
            <w:r>
              <w:rPr>
                <w:color w:val="000000"/>
                <w:sz w:val="18"/>
              </w:rPr>
              <w:t>239</w:t>
            </w:r>
          </w:p>
        </w:tc>
        <w:tc>
          <w:tcPr>
            <w:tcW w:type="dxa" w:w="618"/>
            <w:tcBorders>
              <w:top w:color="000000" w:sz="4" w:val="single"/>
              <w:left w:color="000000" w:sz="4" w:val="single"/>
              <w:bottom w:color="000000" w:sz="4" w:val="single"/>
              <w:right w:color="000000" w:sz="4" w:val="single"/>
            </w:tcBorders>
            <w:shd w:fill="FFFFFF" w:val="clear"/>
            <w:vAlign w:val="center"/>
          </w:tcPr>
          <w:p w14:paraId="D43D0000">
            <w:pPr>
              <w:widowControl w:val="1"/>
              <w:ind/>
              <w:jc w:val="center"/>
              <w:rPr>
                <w:sz w:val="18"/>
              </w:rPr>
            </w:pPr>
            <w:r>
              <w:rPr>
                <w:sz w:val="18"/>
              </w:rPr>
              <w:t>165/2</w:t>
            </w:r>
          </w:p>
        </w:tc>
        <w:tc>
          <w:tcPr>
            <w:tcW w:type="dxa" w:w="993"/>
            <w:tcBorders>
              <w:top w:color="000000" w:sz="4" w:val="single"/>
              <w:left w:color="000000" w:sz="4" w:val="single"/>
              <w:bottom w:color="000000" w:sz="4" w:val="single"/>
              <w:right w:color="000000" w:sz="4" w:val="single"/>
            </w:tcBorders>
            <w:shd w:fill="FFFFFF" w:val="clear"/>
            <w:vAlign w:val="center"/>
          </w:tcPr>
          <w:p w14:paraId="D53D0000">
            <w:pPr>
              <w:widowControl w:val="1"/>
              <w:ind/>
              <w:jc w:val="center"/>
              <w:rPr>
                <w:sz w:val="18"/>
              </w:rPr>
            </w:pPr>
            <w:r>
              <w:rPr>
                <w:sz w:val="18"/>
              </w:rPr>
              <w:t>поставка жесткого диска, видеорегистратора, видеокамеры</w:t>
            </w:r>
          </w:p>
        </w:tc>
        <w:tc>
          <w:tcPr>
            <w:tcW w:type="dxa" w:w="849"/>
            <w:tcBorders>
              <w:top w:color="000000" w:sz="4" w:val="single"/>
              <w:left w:color="000000" w:sz="4" w:val="single"/>
              <w:bottom w:color="000000" w:sz="4" w:val="single"/>
              <w:right w:color="000000" w:sz="4" w:val="single"/>
            </w:tcBorders>
            <w:shd w:fill="FFFFFF" w:val="clear"/>
            <w:vAlign w:val="center"/>
          </w:tcPr>
          <w:p w14:paraId="D63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D73D0000">
            <w:pPr>
              <w:widowControl w:val="1"/>
              <w:ind/>
              <w:jc w:val="center"/>
              <w:rPr>
                <w:color w:val="000000"/>
                <w:sz w:val="18"/>
              </w:rPr>
            </w:pPr>
            <w:r>
              <w:rPr>
                <w:color w:val="000000"/>
                <w:sz w:val="18"/>
              </w:rPr>
              <w:t>3</w:t>
            </w:r>
          </w:p>
        </w:tc>
        <w:tc>
          <w:tcPr>
            <w:tcW w:type="dxa" w:w="991"/>
            <w:tcBorders>
              <w:top w:color="000000" w:sz="4" w:val="single"/>
              <w:left w:color="000000" w:sz="4" w:val="single"/>
              <w:bottom w:color="000000" w:sz="4" w:val="single"/>
              <w:right w:color="000000" w:sz="4" w:val="single"/>
            </w:tcBorders>
            <w:shd w:fill="FFFFFF" w:val="clear"/>
            <w:vAlign w:val="center"/>
          </w:tcPr>
          <w:p w14:paraId="D83D0000">
            <w:pPr>
              <w:widowControl w:val="1"/>
              <w:ind/>
              <w:jc w:val="center"/>
              <w:rPr>
                <w:sz w:val="18"/>
              </w:rPr>
            </w:pPr>
            <w:r>
              <w:rPr>
                <w:sz w:val="18"/>
              </w:rPr>
              <w:t>25940,00</w:t>
            </w:r>
          </w:p>
        </w:tc>
        <w:tc>
          <w:tcPr>
            <w:tcW w:type="dxa" w:w="1134"/>
            <w:tcBorders>
              <w:top w:color="000000" w:sz="4" w:val="single"/>
              <w:left w:color="000000" w:sz="4" w:val="single"/>
              <w:bottom w:color="000000" w:sz="4" w:val="single"/>
              <w:right w:color="000000" w:sz="4" w:val="single"/>
            </w:tcBorders>
            <w:shd w:fill="FFFFFF" w:val="clear"/>
            <w:vAlign w:val="center"/>
          </w:tcPr>
          <w:p w14:paraId="D93D0000">
            <w:pPr>
              <w:widowControl w:val="1"/>
              <w:ind/>
              <w:jc w:val="center"/>
              <w:rPr>
                <w:sz w:val="18"/>
              </w:rPr>
            </w:pPr>
            <w:r>
              <w:rPr>
                <w:sz w:val="18"/>
              </w:rPr>
              <w:t>30610,00</w:t>
            </w:r>
          </w:p>
        </w:tc>
        <w:tc>
          <w:tcPr>
            <w:tcW w:type="dxa" w:w="993"/>
            <w:tcBorders>
              <w:top w:color="000000" w:sz="4" w:val="single"/>
              <w:left w:color="000000" w:sz="4" w:val="single"/>
              <w:bottom w:color="000000" w:sz="4" w:val="single"/>
              <w:right w:color="000000" w:sz="4" w:val="single"/>
            </w:tcBorders>
            <w:shd w:fill="FFFFFF" w:val="clear"/>
            <w:vAlign w:val="center"/>
          </w:tcPr>
          <w:p w14:paraId="DA3D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DB3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DC3D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DD3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DE3D0000">
            <w:pPr>
              <w:widowControl w:val="1"/>
              <w:ind/>
              <w:jc w:val="center"/>
              <w:rPr>
                <w:color w:val="000000"/>
                <w:sz w:val="18"/>
              </w:rPr>
            </w:pPr>
            <w:r>
              <w:rPr>
                <w:color w:val="000000"/>
                <w:sz w:val="18"/>
              </w:rPr>
              <w:t>3</w:t>
            </w:r>
          </w:p>
        </w:tc>
        <w:tc>
          <w:tcPr>
            <w:tcW w:type="dxa" w:w="1169"/>
            <w:tcBorders>
              <w:top w:color="000000" w:sz="4" w:val="single"/>
              <w:left w:color="000000" w:sz="4" w:val="single"/>
              <w:bottom w:color="000000" w:sz="4" w:val="single"/>
              <w:right w:color="000000" w:sz="4" w:val="single"/>
            </w:tcBorders>
            <w:shd w:fill="FFFFFF" w:val="clear"/>
            <w:vAlign w:val="center"/>
          </w:tcPr>
          <w:p w14:paraId="DF3D0000">
            <w:pPr>
              <w:widowControl w:val="1"/>
              <w:ind/>
              <w:jc w:val="center"/>
              <w:rPr>
                <w:sz w:val="18"/>
              </w:rPr>
            </w:pPr>
            <w:r>
              <w:rPr>
                <w:sz w:val="18"/>
              </w:rPr>
              <w:t>25940,00</w:t>
            </w:r>
          </w:p>
        </w:tc>
        <w:tc>
          <w:tcPr>
            <w:tcW w:type="dxa" w:w="1185"/>
            <w:tcBorders>
              <w:top w:color="000000" w:sz="4" w:val="single"/>
              <w:left w:color="000000" w:sz="4" w:val="single"/>
              <w:bottom w:color="000000" w:sz="4" w:val="single"/>
              <w:right w:color="000000" w:sz="4" w:val="single"/>
            </w:tcBorders>
            <w:shd w:fill="FFFFFF" w:val="clear"/>
            <w:vAlign w:val="center"/>
          </w:tcPr>
          <w:p w14:paraId="E03D0000">
            <w:pPr>
              <w:widowControl w:val="1"/>
              <w:ind/>
              <w:jc w:val="center"/>
              <w:rPr>
                <w:sz w:val="18"/>
              </w:rPr>
            </w:pPr>
            <w:r>
              <w:rPr>
                <w:sz w:val="18"/>
              </w:rPr>
              <w:t>30610,00</w:t>
            </w:r>
          </w:p>
        </w:tc>
        <w:tc>
          <w:tcPr>
            <w:tcW w:type="dxa" w:w="1083"/>
            <w:tcBorders>
              <w:top w:color="000000" w:sz="4" w:val="single"/>
              <w:left w:color="000000" w:sz="4" w:val="single"/>
              <w:bottom w:color="000000" w:sz="4" w:val="single"/>
              <w:right w:color="000000" w:sz="4" w:val="single"/>
            </w:tcBorders>
            <w:shd w:fill="FFFFFF" w:val="clear"/>
            <w:vAlign w:val="center"/>
          </w:tcPr>
          <w:p w14:paraId="E13D0000">
            <w:pPr>
              <w:widowControl w:val="1"/>
              <w:ind/>
              <w:jc w:val="center"/>
              <w:rPr>
                <w:sz w:val="18"/>
              </w:rPr>
            </w:pPr>
            <w:r>
              <w:rPr>
                <w:sz w:val="18"/>
              </w:rPr>
              <w:t>30610,00</w:t>
            </w:r>
          </w:p>
        </w:tc>
        <w:tc>
          <w:tcPr>
            <w:tcW w:type="dxa" w:w="771"/>
            <w:tcBorders>
              <w:top w:color="000000" w:sz="4" w:val="single"/>
              <w:left w:color="000000" w:sz="4" w:val="single"/>
              <w:bottom w:color="000000" w:sz="4" w:val="single"/>
              <w:right w:color="000000" w:sz="4" w:val="single"/>
            </w:tcBorders>
            <w:shd w:fill="FFFFFF" w:val="clear"/>
            <w:vAlign w:val="center"/>
          </w:tcPr>
          <w:p w14:paraId="E23D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E33D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E43D0000">
            <w:pPr>
              <w:widowControl w:val="1"/>
              <w:ind/>
              <w:jc w:val="center"/>
              <w:rPr>
                <w:sz w:val="18"/>
              </w:rPr>
            </w:pPr>
            <w:r>
              <w:rPr>
                <w:sz w:val="18"/>
              </w:rPr>
              <w:t>счет № д-002853 от 12.12.2018</w:t>
            </w:r>
          </w:p>
        </w:tc>
      </w:tr>
      <w:tr>
        <w:trPr>
          <w:trHeight w:hRule="atLeast" w:val="1020"/>
        </w:trPr>
        <w:tc>
          <w:tcPr>
            <w:tcW w:type="dxa" w:w="708"/>
            <w:tcBorders>
              <w:top w:color="000000" w:sz="4" w:val="single"/>
              <w:left w:color="000000" w:sz="4" w:val="single"/>
              <w:bottom w:color="000000" w:sz="4" w:val="single"/>
              <w:right w:color="000000" w:sz="4" w:val="single"/>
            </w:tcBorders>
            <w:shd w:fill="auto" w:val="clear"/>
            <w:vAlign w:val="center"/>
          </w:tcPr>
          <w:p w14:paraId="E53D0000">
            <w:pPr>
              <w:widowControl w:val="1"/>
              <w:ind/>
              <w:jc w:val="center"/>
              <w:rPr>
                <w:color w:val="000000"/>
                <w:sz w:val="18"/>
              </w:rPr>
            </w:pPr>
            <w:r>
              <w:rPr>
                <w:color w:val="000000"/>
                <w:sz w:val="18"/>
              </w:rPr>
              <w:t>240</w:t>
            </w:r>
          </w:p>
        </w:tc>
        <w:tc>
          <w:tcPr>
            <w:tcW w:type="dxa" w:w="618"/>
            <w:tcBorders>
              <w:top w:color="000000" w:sz="4" w:val="single"/>
              <w:left w:color="000000" w:sz="4" w:val="single"/>
              <w:bottom w:color="000000" w:sz="4" w:val="single"/>
              <w:right w:color="000000" w:sz="4" w:val="single"/>
            </w:tcBorders>
            <w:shd w:fill="FFFFFF" w:val="clear"/>
            <w:vAlign w:val="center"/>
          </w:tcPr>
          <w:p w14:paraId="E63D0000">
            <w:pPr>
              <w:widowControl w:val="1"/>
              <w:ind/>
              <w:jc w:val="center"/>
              <w:rPr>
                <w:sz w:val="18"/>
              </w:rPr>
            </w:pPr>
            <w:r>
              <w:rPr>
                <w:sz w:val="18"/>
              </w:rPr>
              <w:t>166/2</w:t>
            </w:r>
          </w:p>
        </w:tc>
        <w:tc>
          <w:tcPr>
            <w:tcW w:type="dxa" w:w="993"/>
            <w:tcBorders>
              <w:top w:color="000000" w:sz="4" w:val="single"/>
              <w:left w:color="000000" w:sz="4" w:val="single"/>
              <w:bottom w:color="000000" w:sz="4" w:val="single"/>
              <w:right w:color="000000" w:sz="4" w:val="single"/>
            </w:tcBorders>
            <w:shd w:fill="FFFFFF" w:val="clear"/>
            <w:vAlign w:val="center"/>
          </w:tcPr>
          <w:p w14:paraId="E73D0000">
            <w:pPr>
              <w:widowControl w:val="1"/>
              <w:ind/>
              <w:jc w:val="center"/>
              <w:rPr>
                <w:sz w:val="18"/>
              </w:rPr>
            </w:pPr>
            <w:r>
              <w:rPr>
                <w:sz w:val="18"/>
              </w:rPr>
              <w:t>предоставление права пользования ПО</w:t>
            </w:r>
          </w:p>
        </w:tc>
        <w:tc>
          <w:tcPr>
            <w:tcW w:type="dxa" w:w="849"/>
            <w:tcBorders>
              <w:top w:color="000000" w:sz="4" w:val="single"/>
              <w:left w:color="000000" w:sz="4" w:val="single"/>
              <w:bottom w:color="000000" w:sz="4" w:val="single"/>
              <w:right w:color="000000" w:sz="4" w:val="single"/>
            </w:tcBorders>
            <w:shd w:fill="FFFFFF" w:val="clear"/>
            <w:vAlign w:val="center"/>
          </w:tcPr>
          <w:p w14:paraId="E83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E93D0000">
            <w:pPr>
              <w:widowControl w:val="1"/>
              <w:ind/>
              <w:jc w:val="center"/>
              <w:rPr>
                <w:sz w:val="18"/>
              </w:rPr>
            </w:pPr>
            <w:r>
              <w:rPr>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EA3D0000">
            <w:pPr>
              <w:widowControl w:val="1"/>
              <w:ind/>
              <w:jc w:val="center"/>
              <w:rPr>
                <w:sz w:val="18"/>
              </w:rPr>
            </w:pPr>
            <w:r>
              <w:rPr>
                <w:sz w:val="18"/>
              </w:rPr>
              <w:t>38307,20</w:t>
            </w:r>
          </w:p>
        </w:tc>
        <w:tc>
          <w:tcPr>
            <w:tcW w:type="dxa" w:w="1134"/>
            <w:tcBorders>
              <w:top w:color="000000" w:sz="4" w:val="single"/>
              <w:left w:color="000000" w:sz="4" w:val="single"/>
              <w:bottom w:color="000000" w:sz="4" w:val="single"/>
              <w:right w:color="000000" w:sz="4" w:val="single"/>
            </w:tcBorders>
            <w:shd w:fill="FFFFFF" w:val="clear"/>
            <w:vAlign w:val="center"/>
          </w:tcPr>
          <w:p w14:paraId="EB3D0000">
            <w:pPr>
              <w:widowControl w:val="1"/>
              <w:ind/>
              <w:jc w:val="center"/>
              <w:rPr>
                <w:sz w:val="18"/>
              </w:rPr>
            </w:pPr>
            <w:r>
              <w:rPr>
                <w:sz w:val="18"/>
              </w:rPr>
              <w:t>45202,50</w:t>
            </w:r>
          </w:p>
        </w:tc>
        <w:tc>
          <w:tcPr>
            <w:tcW w:type="dxa" w:w="993"/>
            <w:tcBorders>
              <w:top w:color="000000" w:sz="4" w:val="single"/>
              <w:left w:color="000000" w:sz="4" w:val="single"/>
              <w:bottom w:color="000000" w:sz="4" w:val="single"/>
              <w:right w:color="000000" w:sz="4" w:val="single"/>
            </w:tcBorders>
            <w:shd w:fill="FFFFFF" w:val="clear"/>
            <w:vAlign w:val="center"/>
          </w:tcPr>
          <w:p w14:paraId="EC3D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ED3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EE3D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EF3D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F03D0000">
            <w:pPr>
              <w:widowControl w:val="1"/>
              <w:ind/>
              <w:jc w:val="center"/>
              <w:rPr>
                <w:sz w:val="18"/>
              </w:rPr>
            </w:pPr>
            <w:r>
              <w:rPr>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F13D0000">
            <w:pPr>
              <w:widowControl w:val="1"/>
              <w:ind/>
              <w:jc w:val="center"/>
              <w:rPr>
                <w:sz w:val="18"/>
              </w:rPr>
            </w:pPr>
            <w:r>
              <w:rPr>
                <w:sz w:val="18"/>
              </w:rPr>
              <w:t>38307,20</w:t>
            </w:r>
          </w:p>
        </w:tc>
        <w:tc>
          <w:tcPr>
            <w:tcW w:type="dxa" w:w="1185"/>
            <w:tcBorders>
              <w:top w:color="000000" w:sz="4" w:val="single"/>
              <w:left w:color="000000" w:sz="4" w:val="single"/>
              <w:bottom w:color="000000" w:sz="4" w:val="single"/>
              <w:right w:color="000000" w:sz="4" w:val="single"/>
            </w:tcBorders>
            <w:shd w:fill="FFFFFF" w:val="clear"/>
            <w:vAlign w:val="center"/>
          </w:tcPr>
          <w:p w14:paraId="F23D0000">
            <w:pPr>
              <w:widowControl w:val="1"/>
              <w:ind/>
              <w:jc w:val="center"/>
              <w:rPr>
                <w:sz w:val="18"/>
              </w:rPr>
            </w:pPr>
            <w:r>
              <w:rPr>
                <w:sz w:val="18"/>
              </w:rPr>
              <w:t>45202,50</w:t>
            </w:r>
          </w:p>
        </w:tc>
        <w:tc>
          <w:tcPr>
            <w:tcW w:type="dxa" w:w="1083"/>
            <w:tcBorders>
              <w:top w:color="000000" w:sz="4" w:val="single"/>
              <w:left w:color="000000" w:sz="4" w:val="single"/>
              <w:bottom w:color="000000" w:sz="4" w:val="single"/>
              <w:right w:color="000000" w:sz="4" w:val="single"/>
            </w:tcBorders>
            <w:shd w:fill="FFFFFF" w:val="clear"/>
            <w:vAlign w:val="center"/>
          </w:tcPr>
          <w:p w14:paraId="F33D0000">
            <w:pPr>
              <w:widowControl w:val="1"/>
              <w:ind/>
              <w:jc w:val="center"/>
              <w:rPr>
                <w:sz w:val="18"/>
              </w:rPr>
            </w:pPr>
            <w:r>
              <w:rPr>
                <w:sz w:val="18"/>
              </w:rPr>
              <w:t>45202,50</w:t>
            </w:r>
          </w:p>
        </w:tc>
        <w:tc>
          <w:tcPr>
            <w:tcW w:type="dxa" w:w="771"/>
            <w:tcBorders>
              <w:top w:color="000000" w:sz="4" w:val="single"/>
              <w:left w:color="000000" w:sz="4" w:val="single"/>
              <w:bottom w:color="000000" w:sz="4" w:val="single"/>
              <w:right w:color="000000" w:sz="4" w:val="single"/>
            </w:tcBorders>
            <w:shd w:fill="FFFFFF" w:val="clear"/>
            <w:vAlign w:val="center"/>
          </w:tcPr>
          <w:p w14:paraId="F43D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F53D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F63D0000">
            <w:pPr>
              <w:widowControl w:val="1"/>
              <w:ind/>
              <w:jc w:val="center"/>
              <w:rPr>
                <w:sz w:val="18"/>
              </w:rPr>
            </w:pPr>
            <w:r>
              <w:rPr>
                <w:sz w:val="18"/>
              </w:rPr>
              <w:t>счет № 847-12732118/1 от 25.12.2018</w:t>
            </w:r>
          </w:p>
        </w:tc>
      </w:tr>
      <w:tr>
        <w:trPr>
          <w:trHeight w:hRule="atLeast" w:val="765"/>
        </w:trPr>
        <w:tc>
          <w:tcPr>
            <w:tcW w:type="dxa" w:w="708"/>
            <w:tcBorders>
              <w:top w:color="000000" w:sz="4" w:val="single"/>
              <w:left w:color="000000" w:sz="4" w:val="single"/>
              <w:bottom w:color="000000" w:sz="4" w:val="single"/>
              <w:right w:color="000000" w:sz="4" w:val="single"/>
            </w:tcBorders>
            <w:shd w:fill="auto" w:val="clear"/>
            <w:vAlign w:val="center"/>
          </w:tcPr>
          <w:p w14:paraId="F73D0000">
            <w:pPr>
              <w:widowControl w:val="1"/>
              <w:ind/>
              <w:jc w:val="center"/>
              <w:rPr>
                <w:color w:val="000000"/>
                <w:sz w:val="18"/>
              </w:rPr>
            </w:pPr>
            <w:r>
              <w:rPr>
                <w:color w:val="000000"/>
                <w:sz w:val="18"/>
              </w:rPr>
              <w:t>241</w:t>
            </w:r>
          </w:p>
        </w:tc>
        <w:tc>
          <w:tcPr>
            <w:tcW w:type="dxa" w:w="618"/>
            <w:tcBorders>
              <w:top w:color="000000" w:sz="4" w:val="single"/>
              <w:left w:color="000000" w:sz="4" w:val="single"/>
              <w:bottom w:color="000000" w:sz="4" w:val="single"/>
              <w:right w:color="000000" w:sz="4" w:val="single"/>
            </w:tcBorders>
            <w:shd w:fill="FFFFFF" w:val="clear"/>
            <w:vAlign w:val="center"/>
          </w:tcPr>
          <w:p w14:paraId="F83D0000">
            <w:pPr>
              <w:widowControl w:val="1"/>
              <w:ind/>
              <w:jc w:val="center"/>
              <w:rPr>
                <w:sz w:val="18"/>
              </w:rPr>
            </w:pPr>
            <w:r>
              <w:rPr>
                <w:sz w:val="18"/>
              </w:rPr>
              <w:t>167/2</w:t>
            </w:r>
          </w:p>
        </w:tc>
        <w:tc>
          <w:tcPr>
            <w:tcW w:type="dxa" w:w="993"/>
            <w:tcBorders>
              <w:top w:color="000000" w:sz="4" w:val="single"/>
              <w:left w:color="000000" w:sz="4" w:val="single"/>
              <w:bottom w:color="000000" w:sz="4" w:val="single"/>
              <w:right w:color="000000" w:sz="4" w:val="single"/>
            </w:tcBorders>
            <w:shd w:fill="FFFFFF" w:val="clear"/>
            <w:vAlign w:val="center"/>
          </w:tcPr>
          <w:p w14:paraId="F93D0000">
            <w:pPr>
              <w:widowControl w:val="1"/>
              <w:ind/>
              <w:jc w:val="center"/>
              <w:rPr>
                <w:sz w:val="18"/>
              </w:rPr>
            </w:pPr>
            <w:r>
              <w:rPr>
                <w:sz w:val="18"/>
              </w:rPr>
              <w:t>оказание услуг по заправке картриджа</w:t>
            </w:r>
          </w:p>
        </w:tc>
        <w:tc>
          <w:tcPr>
            <w:tcW w:type="dxa" w:w="849"/>
            <w:tcBorders>
              <w:top w:color="000000" w:sz="4" w:val="single"/>
              <w:left w:color="000000" w:sz="4" w:val="single"/>
              <w:bottom w:color="000000" w:sz="4" w:val="single"/>
              <w:right w:color="000000" w:sz="4" w:val="single"/>
            </w:tcBorders>
            <w:shd w:fill="FFFFFF" w:val="clear"/>
            <w:vAlign w:val="center"/>
          </w:tcPr>
          <w:p w14:paraId="FA3D0000">
            <w:pPr>
              <w:widowControl w:val="1"/>
              <w:ind/>
              <w:jc w:val="center"/>
              <w:rPr>
                <w:sz w:val="18"/>
              </w:rPr>
            </w:pPr>
            <w:r>
              <w:rPr>
                <w:sz w:val="18"/>
              </w:rPr>
              <w:t>ЕИ</w:t>
            </w:r>
          </w:p>
        </w:tc>
        <w:tc>
          <w:tcPr>
            <w:tcW w:type="dxa" w:w="709"/>
            <w:tcBorders>
              <w:top w:color="000000" w:sz="4" w:val="single"/>
              <w:left w:color="000000" w:sz="4" w:val="single"/>
              <w:bottom w:color="000000" w:sz="4" w:val="single"/>
              <w:right w:color="000000" w:sz="4" w:val="single"/>
            </w:tcBorders>
            <w:shd w:fill="FFFFFF" w:val="clear"/>
            <w:vAlign w:val="center"/>
          </w:tcPr>
          <w:p w14:paraId="FB3D0000">
            <w:pPr>
              <w:widowControl w:val="1"/>
              <w:ind/>
              <w:jc w:val="center"/>
              <w:rPr>
                <w:color w:val="000000"/>
                <w:sz w:val="18"/>
              </w:rPr>
            </w:pPr>
            <w:r>
              <w:rPr>
                <w:color w:val="000000"/>
                <w:sz w:val="18"/>
              </w:rPr>
              <w:t>1</w:t>
            </w:r>
          </w:p>
        </w:tc>
        <w:tc>
          <w:tcPr>
            <w:tcW w:type="dxa" w:w="991"/>
            <w:tcBorders>
              <w:top w:color="000000" w:sz="4" w:val="single"/>
              <w:left w:color="000000" w:sz="4" w:val="single"/>
              <w:bottom w:color="000000" w:sz="4" w:val="single"/>
              <w:right w:color="000000" w:sz="4" w:val="single"/>
            </w:tcBorders>
            <w:shd w:fill="FFFFFF" w:val="clear"/>
            <w:vAlign w:val="center"/>
          </w:tcPr>
          <w:p w14:paraId="FC3D0000">
            <w:pPr>
              <w:widowControl w:val="1"/>
              <w:ind/>
              <w:jc w:val="center"/>
              <w:rPr>
                <w:sz w:val="18"/>
              </w:rPr>
            </w:pPr>
            <w:r>
              <w:rPr>
                <w:sz w:val="18"/>
              </w:rPr>
              <w:t>5932,20</w:t>
            </w:r>
          </w:p>
        </w:tc>
        <w:tc>
          <w:tcPr>
            <w:tcW w:type="dxa" w:w="1134"/>
            <w:tcBorders>
              <w:top w:color="000000" w:sz="4" w:val="single"/>
              <w:left w:color="000000" w:sz="4" w:val="single"/>
              <w:bottom w:color="000000" w:sz="4" w:val="single"/>
              <w:right w:color="000000" w:sz="4" w:val="single"/>
            </w:tcBorders>
            <w:shd w:fill="FFFFFF" w:val="clear"/>
            <w:vAlign w:val="center"/>
          </w:tcPr>
          <w:p w14:paraId="FD3D0000">
            <w:pPr>
              <w:widowControl w:val="1"/>
              <w:ind/>
              <w:jc w:val="center"/>
              <w:rPr>
                <w:sz w:val="18"/>
              </w:rPr>
            </w:pPr>
            <w:r>
              <w:rPr>
                <w:sz w:val="18"/>
              </w:rPr>
              <w:t>7000,00</w:t>
            </w:r>
          </w:p>
        </w:tc>
        <w:tc>
          <w:tcPr>
            <w:tcW w:type="dxa" w:w="993"/>
            <w:tcBorders>
              <w:top w:color="000000" w:sz="4" w:val="single"/>
              <w:left w:color="000000" w:sz="4" w:val="single"/>
              <w:bottom w:color="000000" w:sz="4" w:val="single"/>
              <w:right w:color="000000" w:sz="4" w:val="single"/>
            </w:tcBorders>
            <w:shd w:fill="FFFFFF" w:val="clear"/>
            <w:vAlign w:val="center"/>
          </w:tcPr>
          <w:p w14:paraId="FE3D0000">
            <w:pPr>
              <w:widowControl w:val="1"/>
              <w:ind/>
              <w:jc w:val="center"/>
              <w:rPr>
                <w:sz w:val="18"/>
              </w:rPr>
            </w:pPr>
            <w:r>
              <w:rPr>
                <w:sz w:val="18"/>
              </w:rPr>
              <w:t>декабрь 2018 г.</w:t>
            </w:r>
          </w:p>
        </w:tc>
        <w:tc>
          <w:tcPr>
            <w:tcW w:type="dxa" w:w="850"/>
            <w:tcBorders>
              <w:top w:color="000000" w:sz="4" w:val="single"/>
              <w:left w:color="000000" w:sz="4" w:val="single"/>
              <w:bottom w:color="000000" w:sz="4" w:val="single"/>
              <w:right w:color="000000" w:sz="4" w:val="single"/>
            </w:tcBorders>
            <w:shd w:fill="FFFFFF" w:val="clear"/>
            <w:vAlign w:val="center"/>
          </w:tcPr>
          <w:p w14:paraId="FF3D0000">
            <w:pPr>
              <w:widowControl w:val="1"/>
              <w:ind/>
              <w:jc w:val="center"/>
              <w:rPr>
                <w:sz w:val="18"/>
              </w:rPr>
            </w:pPr>
            <w:r>
              <w:rPr>
                <w:sz w:val="18"/>
              </w:rPr>
              <w:t>декабрь 2018 г.</w:t>
            </w:r>
          </w:p>
        </w:tc>
        <w:tc>
          <w:tcPr>
            <w:tcW w:type="dxa" w:w="1334"/>
            <w:tcBorders>
              <w:top w:color="000000" w:sz="4" w:val="single"/>
              <w:left w:color="000000" w:sz="4" w:val="single"/>
              <w:bottom w:color="000000" w:sz="4" w:val="single"/>
              <w:right w:color="000000" w:sz="4" w:val="single"/>
            </w:tcBorders>
            <w:shd w:fill="FFFFFF" w:val="clear"/>
            <w:vAlign w:val="center"/>
          </w:tcPr>
          <w:p w14:paraId="003E0000">
            <w:pPr>
              <w:widowControl w:val="1"/>
              <w:ind/>
              <w:jc w:val="center"/>
              <w:rPr>
                <w:sz w:val="18"/>
              </w:rPr>
            </w:pPr>
          </w:p>
        </w:tc>
        <w:tc>
          <w:tcPr>
            <w:tcW w:type="dxa" w:w="652"/>
            <w:tcBorders>
              <w:top w:color="000000" w:sz="4" w:val="single"/>
              <w:left w:color="000000" w:sz="4" w:val="single"/>
              <w:bottom w:color="000000" w:sz="4" w:val="single"/>
              <w:right w:color="000000" w:sz="4" w:val="single"/>
            </w:tcBorders>
            <w:shd w:fill="FFFFFF" w:val="clear"/>
            <w:vAlign w:val="center"/>
          </w:tcPr>
          <w:p w14:paraId="013E0000">
            <w:pPr>
              <w:widowControl w:val="1"/>
              <w:ind/>
              <w:jc w:val="center"/>
              <w:rPr>
                <w:sz w:val="18"/>
              </w:rPr>
            </w:pPr>
            <w:r>
              <w:rPr>
                <w:sz w:val="18"/>
              </w:rPr>
              <w:t>ЕИ</w:t>
            </w:r>
          </w:p>
        </w:tc>
        <w:tc>
          <w:tcPr>
            <w:tcW w:type="dxa" w:w="992"/>
            <w:tcBorders>
              <w:top w:color="000000" w:sz="4" w:val="single"/>
              <w:left w:color="000000" w:sz="4" w:val="single"/>
              <w:bottom w:color="000000" w:sz="4" w:val="single"/>
              <w:right w:color="000000" w:sz="4" w:val="single"/>
            </w:tcBorders>
            <w:shd w:fill="FFFFFF" w:val="clear"/>
            <w:vAlign w:val="center"/>
          </w:tcPr>
          <w:p w14:paraId="023E0000">
            <w:pPr>
              <w:widowControl w:val="1"/>
              <w:ind/>
              <w:jc w:val="center"/>
              <w:rPr>
                <w:color w:val="000000"/>
                <w:sz w:val="18"/>
              </w:rPr>
            </w:pPr>
            <w:r>
              <w:rPr>
                <w:color w:val="000000"/>
                <w:sz w:val="18"/>
              </w:rPr>
              <w:t>1</w:t>
            </w:r>
          </w:p>
        </w:tc>
        <w:tc>
          <w:tcPr>
            <w:tcW w:type="dxa" w:w="1169"/>
            <w:tcBorders>
              <w:top w:color="000000" w:sz="4" w:val="single"/>
              <w:left w:color="000000" w:sz="4" w:val="single"/>
              <w:bottom w:color="000000" w:sz="4" w:val="single"/>
              <w:right w:color="000000" w:sz="4" w:val="single"/>
            </w:tcBorders>
            <w:shd w:fill="FFFFFF" w:val="clear"/>
            <w:vAlign w:val="center"/>
          </w:tcPr>
          <w:p w14:paraId="033E0000">
            <w:pPr>
              <w:widowControl w:val="1"/>
              <w:ind/>
              <w:jc w:val="center"/>
              <w:rPr>
                <w:sz w:val="18"/>
              </w:rPr>
            </w:pPr>
            <w:r>
              <w:rPr>
                <w:sz w:val="18"/>
              </w:rPr>
              <w:t>5932,20</w:t>
            </w:r>
          </w:p>
        </w:tc>
        <w:tc>
          <w:tcPr>
            <w:tcW w:type="dxa" w:w="1185"/>
            <w:tcBorders>
              <w:top w:color="000000" w:sz="4" w:val="single"/>
              <w:left w:color="000000" w:sz="4" w:val="single"/>
              <w:bottom w:color="000000" w:sz="4" w:val="single"/>
              <w:right w:color="000000" w:sz="4" w:val="single"/>
            </w:tcBorders>
            <w:shd w:fill="FFFFFF" w:val="clear"/>
            <w:vAlign w:val="center"/>
          </w:tcPr>
          <w:p w14:paraId="043E0000">
            <w:pPr>
              <w:widowControl w:val="1"/>
              <w:ind/>
              <w:jc w:val="center"/>
              <w:rPr>
                <w:sz w:val="18"/>
              </w:rPr>
            </w:pPr>
            <w:r>
              <w:rPr>
                <w:sz w:val="18"/>
              </w:rPr>
              <w:t>7000,00</w:t>
            </w:r>
          </w:p>
        </w:tc>
        <w:tc>
          <w:tcPr>
            <w:tcW w:type="dxa" w:w="1083"/>
            <w:tcBorders>
              <w:top w:color="000000" w:sz="4" w:val="single"/>
              <w:left w:color="000000" w:sz="4" w:val="single"/>
              <w:bottom w:color="000000" w:sz="4" w:val="single"/>
              <w:right w:color="000000" w:sz="4" w:val="single"/>
            </w:tcBorders>
            <w:shd w:fill="FFFFFF" w:val="clear"/>
            <w:vAlign w:val="center"/>
          </w:tcPr>
          <w:p w14:paraId="053E0000">
            <w:pPr>
              <w:widowControl w:val="1"/>
              <w:ind/>
              <w:jc w:val="center"/>
              <w:rPr>
                <w:sz w:val="18"/>
              </w:rPr>
            </w:pPr>
            <w:r>
              <w:rPr>
                <w:sz w:val="18"/>
              </w:rPr>
              <w:t>7000,00</w:t>
            </w:r>
          </w:p>
        </w:tc>
        <w:tc>
          <w:tcPr>
            <w:tcW w:type="dxa" w:w="771"/>
            <w:tcBorders>
              <w:top w:color="000000" w:sz="4" w:val="single"/>
              <w:left w:color="000000" w:sz="4" w:val="single"/>
              <w:bottom w:color="000000" w:sz="4" w:val="single"/>
              <w:right w:color="000000" w:sz="4" w:val="single"/>
            </w:tcBorders>
            <w:shd w:fill="FFFFFF" w:val="clear"/>
            <w:vAlign w:val="center"/>
          </w:tcPr>
          <w:p w14:paraId="063E0000">
            <w:pPr>
              <w:widowControl w:val="1"/>
              <w:ind/>
              <w:jc w:val="center"/>
              <w:rPr>
                <w:sz w:val="18"/>
              </w:rPr>
            </w:pPr>
            <w:r>
              <w:rPr>
                <w:sz w:val="18"/>
              </w:rPr>
              <w:t>декабрь 2018 г.</w:t>
            </w:r>
          </w:p>
        </w:tc>
        <w:tc>
          <w:tcPr>
            <w:tcW w:type="dxa" w:w="612"/>
            <w:tcBorders>
              <w:top w:color="000000" w:sz="4" w:val="single"/>
              <w:left w:color="000000" w:sz="4" w:val="single"/>
              <w:bottom w:color="000000" w:sz="4" w:val="single"/>
              <w:right w:color="000000" w:sz="4" w:val="single"/>
            </w:tcBorders>
            <w:shd w:fill="FFFFFF" w:val="clear"/>
            <w:vAlign w:val="center"/>
          </w:tcPr>
          <w:p w14:paraId="073E0000">
            <w:pPr>
              <w:widowControl w:val="1"/>
              <w:ind/>
              <w:jc w:val="center"/>
              <w:rPr>
                <w:sz w:val="18"/>
              </w:rPr>
            </w:pPr>
            <w:r>
              <w:rPr>
                <w:sz w:val="18"/>
              </w:rPr>
              <w:t>декабрь 2018 г.</w:t>
            </w:r>
          </w:p>
        </w:tc>
        <w:tc>
          <w:tcPr>
            <w:tcW w:type="dxa" w:w="709"/>
            <w:tcBorders>
              <w:top w:color="000000" w:sz="4" w:val="single"/>
              <w:left w:color="000000" w:sz="4" w:val="single"/>
              <w:bottom w:color="000000" w:sz="4" w:val="single"/>
              <w:right w:color="000000" w:sz="4" w:val="single"/>
            </w:tcBorders>
            <w:shd w:fill="FFFFFF" w:val="clear"/>
            <w:vAlign w:val="center"/>
          </w:tcPr>
          <w:p w14:paraId="083E0000">
            <w:pPr>
              <w:widowControl w:val="1"/>
              <w:ind/>
              <w:jc w:val="center"/>
              <w:rPr>
                <w:sz w:val="18"/>
              </w:rPr>
            </w:pPr>
            <w:r>
              <w:rPr>
                <w:sz w:val="18"/>
              </w:rPr>
              <w:t>счет № 1502 от 24.12.2018</w:t>
            </w:r>
          </w:p>
        </w:tc>
      </w:tr>
    </w:tbl>
    <w:p w14:paraId="093E0000">
      <w:pPr>
        <w:sectPr>
          <w:headerReference r:id="rId5" w:type="default"/>
          <w:footerReference r:id="rId6" w:type="default"/>
          <w:footerReference r:id="rId22" w:type="even"/>
          <w:pgSz w:h="11907" w:orient="landscape" w:w="16840"/>
          <w:pgMar w:bottom="1134" w:footer="567" w:gutter="0" w:header="720" w:left="1418" w:right="850" w:top="567"/>
          <w:titlePg/>
        </w:sectPr>
      </w:pPr>
    </w:p>
    <w:p w14:paraId="0A3E0000">
      <w:bookmarkStart w:id="50" w:name="__RefHeading___43"/>
      <w:bookmarkEnd w:id="50"/>
      <w:pPr>
        <w:pStyle w:val="Style_10"/>
        <w:rPr>
          <w:rFonts w:ascii="Times New Roman" w:hAnsi="Times New Roman"/>
          <w:i w:val="0"/>
        </w:rPr>
      </w:pPr>
      <w:r>
        <w:rPr>
          <w:rFonts w:ascii="Times New Roman" w:hAnsi="Times New Roman"/>
          <w:i w:val="0"/>
        </w:rPr>
        <w:t>П</w:t>
      </w:r>
      <w:r>
        <w:rPr>
          <w:rFonts w:ascii="Times New Roman" w:hAnsi="Times New Roman"/>
          <w:i w:val="0"/>
        </w:rPr>
        <w:t xml:space="preserve">риложение </w:t>
      </w:r>
      <w:r>
        <w:rPr>
          <w:rFonts w:ascii="Times New Roman" w:hAnsi="Times New Roman"/>
          <w:i w:val="0"/>
        </w:rPr>
        <w:t>5</w:t>
      </w:r>
      <w:r>
        <w:rPr>
          <w:rFonts w:ascii="Times New Roman" w:hAnsi="Times New Roman"/>
          <w:i w:val="0"/>
        </w:rPr>
        <w:t>. Расшифровка дебиторской задолженности  АО "Краспригород" за 201</w:t>
      </w:r>
      <w:r>
        <w:rPr>
          <w:rFonts w:ascii="Times New Roman" w:hAnsi="Times New Roman"/>
          <w:i w:val="0"/>
        </w:rPr>
        <w:t>8</w:t>
      </w:r>
      <w:r>
        <w:rPr>
          <w:rFonts w:ascii="Times New Roman" w:hAnsi="Times New Roman"/>
          <w:i w:val="0"/>
        </w:rPr>
        <w:t xml:space="preserve"> </w:t>
      </w:r>
      <w:r>
        <w:rPr>
          <w:rFonts w:ascii="Times New Roman" w:hAnsi="Times New Roman"/>
          <w:i w:val="0"/>
        </w:rPr>
        <w:t>г</w:t>
      </w:r>
      <w:r>
        <w:rPr>
          <w:rFonts w:ascii="Times New Roman" w:hAnsi="Times New Roman"/>
          <w:i w:val="0"/>
        </w:rPr>
        <w:t xml:space="preserve"> </w:t>
      </w:r>
    </w:p>
    <w:p w14:paraId="0B3E0000">
      <w:pPr>
        <w:pStyle w:val="Style_21"/>
        <w:widowControl w:val="1"/>
        <w:spacing w:after="120" w:before="120"/>
        <w:ind w:firstLine="709"/>
        <w:contextualSpacing w:val="1"/>
        <w:jc w:val="right"/>
      </w:pPr>
      <w:r>
        <w:t>тыс. руб.</w:t>
      </w:r>
    </w:p>
    <w:tbl>
      <w:tblPr>
        <w:tblStyle w:val="Style_4"/>
        <w:tblW w:type="auto" w:w="0"/>
        <w:tblInd w:type="dxa" w:w="89"/>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4697"/>
        <w:gridCol w:w="1640"/>
        <w:gridCol w:w="1160"/>
        <w:gridCol w:w="1160"/>
        <w:gridCol w:w="1620"/>
      </w:tblGrid>
      <w:tr>
        <w:trPr>
          <w:trHeight w:hRule="atLeast" w:val="555"/>
        </w:trPr>
        <w:tc>
          <w:tcPr>
            <w:tcW w:type="dxa" w:w="4697"/>
            <w:tcBorders>
              <w:top w:color="000000" w:sz="4" w:val="single"/>
              <w:left w:color="000000" w:sz="4" w:val="single"/>
              <w:bottom w:color="000000" w:sz="4" w:val="single"/>
              <w:right w:color="000000" w:sz="4" w:val="single"/>
            </w:tcBorders>
            <w:shd w:fill="auto" w:val="clear"/>
            <w:vAlign w:val="center"/>
          </w:tcPr>
          <w:p w14:paraId="0C3E0000">
            <w:pPr>
              <w:widowControl w:val="1"/>
              <w:ind/>
              <w:jc w:val="center"/>
              <w:rPr>
                <w:b w:val="1"/>
                <w:sz w:val="16"/>
              </w:rPr>
            </w:pPr>
            <w:r>
              <w:rPr>
                <w:b w:val="1"/>
                <w:sz w:val="16"/>
              </w:rPr>
              <w:t xml:space="preserve">Дебиторская задолженность </w:t>
            </w:r>
          </w:p>
        </w:tc>
        <w:tc>
          <w:tcPr>
            <w:tcW w:type="dxa" w:w="1640"/>
            <w:tcBorders>
              <w:top w:color="000000" w:sz="4" w:val="single"/>
              <w:left w:color="000000" w:sz="4" w:val="single"/>
              <w:bottom w:color="000000" w:sz="4" w:val="single"/>
              <w:right w:color="000000" w:sz="4" w:val="single"/>
            </w:tcBorders>
            <w:shd w:fill="auto" w:val="clear"/>
            <w:vAlign w:val="center"/>
          </w:tcPr>
          <w:p w14:paraId="0D3E0000">
            <w:pPr>
              <w:widowControl w:val="1"/>
              <w:ind/>
              <w:jc w:val="center"/>
              <w:rPr>
                <w:b w:val="1"/>
                <w:sz w:val="16"/>
              </w:rPr>
            </w:pPr>
            <w:r>
              <w:rPr>
                <w:b w:val="1"/>
                <w:sz w:val="16"/>
              </w:rPr>
              <w:t>Задолженность на 01.01.2018 г.</w:t>
            </w:r>
          </w:p>
        </w:tc>
        <w:tc>
          <w:tcPr>
            <w:tcW w:type="dxa" w:w="2320"/>
            <w:gridSpan w:val="2"/>
            <w:tcBorders>
              <w:top w:color="000000" w:sz="4" w:val="single"/>
              <w:left w:color="000000" w:sz="4" w:val="single"/>
              <w:bottom w:color="000000" w:sz="4" w:val="single"/>
              <w:right w:color="000000" w:sz="4" w:val="single"/>
            </w:tcBorders>
            <w:shd w:fill="auto" w:val="clear"/>
            <w:vAlign w:val="center"/>
          </w:tcPr>
          <w:p w14:paraId="0E3E0000">
            <w:pPr>
              <w:widowControl w:val="1"/>
              <w:ind/>
              <w:jc w:val="center"/>
              <w:rPr>
                <w:b w:val="1"/>
                <w:sz w:val="18"/>
              </w:rPr>
            </w:pPr>
            <w:r>
              <w:rPr>
                <w:b w:val="1"/>
                <w:sz w:val="18"/>
              </w:rPr>
              <w:t>Обороты за 2018 год</w:t>
            </w:r>
          </w:p>
        </w:tc>
        <w:tc>
          <w:tcPr>
            <w:tcW w:type="dxa" w:w="1620"/>
            <w:tcBorders>
              <w:top w:color="000000" w:sz="4" w:val="single"/>
              <w:left w:color="000000" w:sz="4" w:val="single"/>
              <w:bottom w:color="000000" w:sz="4" w:val="single"/>
              <w:right w:color="000000" w:sz="4" w:val="single"/>
            </w:tcBorders>
            <w:shd w:fill="auto" w:val="clear"/>
            <w:vAlign w:val="center"/>
          </w:tcPr>
          <w:p w14:paraId="0F3E0000">
            <w:pPr>
              <w:widowControl w:val="1"/>
              <w:ind/>
              <w:jc w:val="center"/>
              <w:rPr>
                <w:b w:val="1"/>
                <w:sz w:val="18"/>
              </w:rPr>
            </w:pPr>
            <w:r>
              <w:rPr>
                <w:b w:val="1"/>
                <w:sz w:val="18"/>
              </w:rPr>
              <w:t>Задолженность на 31.12.2018 г.</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vAlign w:val="bottom"/>
          </w:tcPr>
          <w:p w14:paraId="103E0000">
            <w:pPr>
              <w:widowControl w:val="1"/>
              <w:ind/>
              <w:jc w:val="center"/>
              <w:rPr>
                <w:sz w:val="18"/>
              </w:rPr>
            </w:pPr>
            <w:r>
              <w:rPr>
                <w:sz w:val="18"/>
              </w:rPr>
              <w:t>1</w:t>
            </w:r>
          </w:p>
        </w:tc>
        <w:tc>
          <w:tcPr>
            <w:tcW w:type="dxa" w:w="1640"/>
            <w:tcBorders>
              <w:top w:color="000000" w:sz="4" w:val="single"/>
              <w:left w:color="000000" w:sz="4" w:val="single"/>
              <w:bottom w:color="000000" w:sz="4" w:val="single"/>
              <w:right w:color="000000" w:sz="4" w:val="single"/>
            </w:tcBorders>
            <w:shd w:fill="auto" w:val="clear"/>
            <w:vAlign w:val="bottom"/>
          </w:tcPr>
          <w:p w14:paraId="113E0000">
            <w:pPr>
              <w:widowControl w:val="1"/>
              <w:ind/>
              <w:jc w:val="center"/>
              <w:rPr>
                <w:b w:val="1"/>
                <w:sz w:val="18"/>
              </w:rPr>
            </w:pPr>
            <w:r>
              <w:rPr>
                <w:b w:val="1"/>
                <w:sz w:val="18"/>
              </w:rPr>
              <w:t>сальдо</w:t>
            </w:r>
          </w:p>
        </w:tc>
        <w:tc>
          <w:tcPr>
            <w:tcW w:type="dxa" w:w="1160"/>
            <w:tcBorders>
              <w:top w:color="000000" w:sz="4" w:val="single"/>
              <w:left w:color="000000" w:sz="4" w:val="single"/>
              <w:bottom w:color="000000" w:sz="4" w:val="single"/>
              <w:right w:color="000000" w:sz="4" w:val="single"/>
            </w:tcBorders>
            <w:shd w:fill="auto" w:val="clear"/>
            <w:vAlign w:val="bottom"/>
          </w:tcPr>
          <w:p w14:paraId="123E0000">
            <w:pPr>
              <w:widowControl w:val="1"/>
              <w:ind/>
              <w:jc w:val="center"/>
              <w:rPr>
                <w:b w:val="1"/>
                <w:sz w:val="18"/>
              </w:rPr>
            </w:pPr>
            <w:r>
              <w:rPr>
                <w:b w:val="1"/>
                <w:sz w:val="18"/>
              </w:rPr>
              <w:t>Возникло</w:t>
            </w:r>
          </w:p>
        </w:tc>
        <w:tc>
          <w:tcPr>
            <w:tcW w:type="dxa" w:w="1160"/>
            <w:tcBorders>
              <w:top w:color="000000" w:sz="4" w:val="single"/>
              <w:left w:color="000000" w:sz="4" w:val="single"/>
              <w:bottom w:color="000000" w:sz="4" w:val="single"/>
              <w:right w:color="000000" w:sz="4" w:val="single"/>
            </w:tcBorders>
            <w:shd w:fill="auto" w:val="clear"/>
            <w:vAlign w:val="bottom"/>
          </w:tcPr>
          <w:p w14:paraId="133E0000">
            <w:pPr>
              <w:widowControl w:val="1"/>
              <w:ind/>
              <w:jc w:val="center"/>
              <w:rPr>
                <w:b w:val="1"/>
                <w:sz w:val="18"/>
              </w:rPr>
            </w:pPr>
            <w:r>
              <w:rPr>
                <w:b w:val="1"/>
                <w:sz w:val="18"/>
              </w:rPr>
              <w:t>Погашено</w:t>
            </w:r>
          </w:p>
        </w:tc>
        <w:tc>
          <w:tcPr>
            <w:tcW w:type="dxa" w:w="1620"/>
            <w:tcBorders>
              <w:top w:color="000000" w:sz="4" w:val="single"/>
              <w:left w:color="000000" w:sz="4" w:val="single"/>
              <w:bottom w:color="000000" w:sz="4" w:val="single"/>
              <w:right w:color="000000" w:sz="4" w:val="single"/>
            </w:tcBorders>
            <w:shd w:fill="auto" w:val="clear"/>
            <w:vAlign w:val="bottom"/>
          </w:tcPr>
          <w:p w14:paraId="143E0000">
            <w:pPr>
              <w:widowControl w:val="1"/>
              <w:ind/>
              <w:jc w:val="center"/>
              <w:rPr>
                <w:b w:val="1"/>
                <w:sz w:val="18"/>
              </w:rPr>
            </w:pPr>
            <w:r>
              <w:rPr>
                <w:b w:val="1"/>
                <w:sz w:val="18"/>
              </w:rPr>
              <w:t>сальдо</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153E0000">
            <w:pPr>
              <w:rPr>
                <w:b w:val="1"/>
                <w:sz w:val="18"/>
              </w:rPr>
            </w:pPr>
            <w:r>
              <w:rPr>
                <w:b w:val="1"/>
                <w:sz w:val="18"/>
              </w:rPr>
              <w:t>ВСЕГО, в том числе</w:t>
            </w:r>
          </w:p>
        </w:tc>
        <w:tc>
          <w:tcPr>
            <w:tcW w:type="dxa" w:w="1640"/>
            <w:tcBorders>
              <w:top w:color="000000" w:sz="4" w:val="single"/>
              <w:left w:color="000000" w:sz="4" w:val="single"/>
              <w:bottom w:color="000000" w:sz="4" w:val="single"/>
              <w:right w:color="000000" w:sz="4" w:val="single"/>
            </w:tcBorders>
            <w:shd w:fill="auto" w:val="clear"/>
            <w:vAlign w:val="center"/>
          </w:tcPr>
          <w:p w14:paraId="163E0000">
            <w:pPr>
              <w:widowControl w:val="1"/>
              <w:ind/>
              <w:jc w:val="right"/>
              <w:rPr>
                <w:b w:val="1"/>
                <w:sz w:val="18"/>
              </w:rPr>
            </w:pPr>
            <w:r>
              <w:rPr>
                <w:b w:val="1"/>
                <w:sz w:val="18"/>
              </w:rPr>
              <w:t>64 617</w:t>
            </w:r>
          </w:p>
        </w:tc>
        <w:tc>
          <w:tcPr>
            <w:tcW w:type="dxa" w:w="1160"/>
            <w:tcBorders>
              <w:top w:color="000000" w:sz="4" w:val="single"/>
              <w:left w:color="000000" w:sz="4" w:val="single"/>
              <w:bottom w:color="000000" w:sz="4" w:val="single"/>
              <w:right w:color="000000" w:sz="4" w:val="single"/>
            </w:tcBorders>
            <w:shd w:fill="auto" w:val="clear"/>
            <w:vAlign w:val="bottom"/>
          </w:tcPr>
          <w:p w14:paraId="173E0000">
            <w:pPr>
              <w:widowControl w:val="1"/>
              <w:ind/>
              <w:jc w:val="right"/>
              <w:rPr>
                <w:b w:val="1"/>
                <w:sz w:val="18"/>
              </w:rPr>
            </w:pPr>
            <w:r>
              <w:rPr>
                <w:b w:val="1"/>
                <w:sz w:val="18"/>
              </w:rPr>
              <w:t>73</w:t>
            </w:r>
            <w:r>
              <w:rPr>
                <w:b w:val="1"/>
                <w:sz w:val="18"/>
              </w:rPr>
              <w:t>1</w:t>
            </w:r>
            <w:r>
              <w:rPr>
                <w:b w:val="1"/>
                <w:sz w:val="18"/>
              </w:rPr>
              <w:t xml:space="preserve"> </w:t>
            </w:r>
            <w:r>
              <w:rPr>
                <w:b w:val="1"/>
                <w:sz w:val="18"/>
              </w:rPr>
              <w:t>156</w:t>
            </w:r>
          </w:p>
        </w:tc>
        <w:tc>
          <w:tcPr>
            <w:tcW w:type="dxa" w:w="1160"/>
            <w:tcBorders>
              <w:top w:color="000000" w:sz="4" w:val="single"/>
              <w:left w:color="000000" w:sz="4" w:val="single"/>
              <w:bottom w:color="000000" w:sz="4" w:val="single"/>
              <w:right w:color="000000" w:sz="4" w:val="single"/>
            </w:tcBorders>
            <w:shd w:fill="auto" w:val="clear"/>
            <w:vAlign w:val="bottom"/>
          </w:tcPr>
          <w:p w14:paraId="183E0000">
            <w:pPr>
              <w:widowControl w:val="1"/>
              <w:ind/>
              <w:jc w:val="right"/>
              <w:rPr>
                <w:b w:val="1"/>
                <w:sz w:val="18"/>
              </w:rPr>
            </w:pPr>
            <w:r>
              <w:rPr>
                <w:b w:val="1"/>
                <w:sz w:val="18"/>
              </w:rPr>
              <w:t xml:space="preserve">762 </w:t>
            </w:r>
            <w:r>
              <w:rPr>
                <w:b w:val="1"/>
                <w:sz w:val="18"/>
              </w:rPr>
              <w:t>670</w:t>
            </w:r>
          </w:p>
        </w:tc>
        <w:tc>
          <w:tcPr>
            <w:tcW w:type="dxa" w:w="1620"/>
            <w:tcBorders>
              <w:top w:color="000000" w:sz="4" w:val="single"/>
              <w:left w:color="000000" w:sz="4" w:val="single"/>
              <w:bottom w:color="000000" w:sz="4" w:val="single"/>
              <w:right w:color="000000" w:sz="4" w:val="single"/>
            </w:tcBorders>
            <w:shd w:fill="auto" w:val="clear"/>
            <w:vAlign w:val="bottom"/>
          </w:tcPr>
          <w:p w14:paraId="193E0000">
            <w:pPr>
              <w:widowControl w:val="1"/>
              <w:ind/>
              <w:jc w:val="right"/>
              <w:rPr>
                <w:b w:val="1"/>
                <w:sz w:val="18"/>
              </w:rPr>
            </w:pPr>
            <w:r>
              <w:rPr>
                <w:b w:val="1"/>
                <w:sz w:val="18"/>
              </w:rPr>
              <w:t>33 104</w:t>
            </w:r>
          </w:p>
        </w:tc>
      </w:tr>
      <w:tr>
        <w:trPr>
          <w:trHeight w:hRule="atLeast" w:val="345"/>
        </w:trPr>
        <w:tc>
          <w:tcPr>
            <w:tcW w:type="dxa" w:w="4697"/>
            <w:tcBorders>
              <w:top w:color="000000" w:sz="4" w:val="single"/>
              <w:left w:color="000000" w:sz="4" w:val="single"/>
              <w:bottom w:color="000000" w:sz="4" w:val="single"/>
              <w:right w:color="000000" w:sz="4" w:val="single"/>
            </w:tcBorders>
            <w:shd w:fill="auto" w:val="clear"/>
            <w:vAlign w:val="center"/>
          </w:tcPr>
          <w:p w14:paraId="1A3E0000">
            <w:pPr>
              <w:rPr>
                <w:sz w:val="18"/>
              </w:rPr>
            </w:pPr>
            <w:r>
              <w:rPr>
                <w:sz w:val="18"/>
              </w:rPr>
              <w:t xml:space="preserve">* долгосрочная задолженность </w:t>
            </w:r>
          </w:p>
        </w:tc>
        <w:tc>
          <w:tcPr>
            <w:tcW w:type="dxa" w:w="1640"/>
            <w:tcBorders>
              <w:top w:color="000000" w:sz="4" w:val="single"/>
              <w:left w:color="000000" w:sz="4" w:val="single"/>
              <w:bottom w:color="000000" w:sz="4" w:val="single"/>
              <w:right w:color="000000" w:sz="4" w:val="single"/>
            </w:tcBorders>
            <w:shd w:fill="auto" w:val="clear"/>
            <w:vAlign w:val="center"/>
          </w:tcPr>
          <w:p w14:paraId="1B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1C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1D3E0000">
            <w:pPr>
              <w:widowControl w:val="1"/>
              <w:ind/>
              <w:jc w:val="right"/>
              <w:rPr>
                <w:sz w:val="18"/>
              </w:rPr>
            </w:pPr>
            <w:r>
              <w:rPr>
                <w:sz w:val="18"/>
              </w:rPr>
              <w:t>0</w:t>
            </w:r>
          </w:p>
        </w:tc>
        <w:tc>
          <w:tcPr>
            <w:tcW w:type="dxa" w:w="1620"/>
            <w:tcBorders>
              <w:top w:color="000000" w:sz="4" w:val="single"/>
              <w:left w:color="000000" w:sz="4" w:val="single"/>
              <w:bottom w:color="000000" w:sz="4" w:val="single"/>
              <w:right w:color="000000" w:sz="4" w:val="single"/>
            </w:tcBorders>
            <w:shd w:fill="auto" w:val="clear"/>
            <w:vAlign w:val="bottom"/>
          </w:tcPr>
          <w:p w14:paraId="1E3E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1F3E0000">
            <w:pPr>
              <w:rPr>
                <w:sz w:val="18"/>
              </w:rPr>
            </w:pPr>
            <w:r>
              <w:rPr>
                <w:sz w:val="18"/>
              </w:rPr>
              <w:t>* краткосрочная задолженность</w:t>
            </w:r>
          </w:p>
        </w:tc>
        <w:tc>
          <w:tcPr>
            <w:tcW w:type="dxa" w:w="1640"/>
            <w:tcBorders>
              <w:top w:color="000000" w:sz="4" w:val="single"/>
              <w:left w:color="000000" w:sz="4" w:val="single"/>
              <w:bottom w:color="000000" w:sz="4" w:val="single"/>
              <w:right w:color="000000" w:sz="4" w:val="single"/>
            </w:tcBorders>
            <w:shd w:fill="auto" w:val="clear"/>
            <w:vAlign w:val="center"/>
          </w:tcPr>
          <w:p w14:paraId="203E0000">
            <w:pPr>
              <w:widowControl w:val="1"/>
              <w:ind/>
              <w:jc w:val="right"/>
              <w:rPr>
                <w:sz w:val="18"/>
              </w:rPr>
            </w:pPr>
            <w:r>
              <w:rPr>
                <w:sz w:val="18"/>
              </w:rPr>
              <w:t>64 617</w:t>
            </w:r>
          </w:p>
        </w:tc>
        <w:tc>
          <w:tcPr>
            <w:tcW w:type="dxa" w:w="1160"/>
            <w:tcBorders>
              <w:top w:color="000000" w:sz="4" w:val="single"/>
              <w:left w:color="000000" w:sz="4" w:val="single"/>
              <w:bottom w:color="000000" w:sz="4" w:val="single"/>
              <w:right w:color="000000" w:sz="4" w:val="single"/>
            </w:tcBorders>
            <w:shd w:fill="auto" w:val="clear"/>
            <w:vAlign w:val="bottom"/>
          </w:tcPr>
          <w:p w14:paraId="213E0000">
            <w:pPr>
              <w:widowControl w:val="1"/>
              <w:ind/>
              <w:jc w:val="right"/>
              <w:rPr>
                <w:sz w:val="18"/>
              </w:rPr>
            </w:pPr>
            <w:r>
              <w:rPr>
                <w:sz w:val="18"/>
              </w:rPr>
              <w:t>73</w:t>
            </w:r>
            <w:r>
              <w:rPr>
                <w:sz w:val="18"/>
              </w:rPr>
              <w:t>1</w:t>
            </w:r>
            <w:r>
              <w:rPr>
                <w:sz w:val="18"/>
              </w:rPr>
              <w:t xml:space="preserve"> </w:t>
            </w:r>
            <w:r>
              <w:rPr>
                <w:sz w:val="18"/>
              </w:rPr>
              <w:t>156</w:t>
            </w:r>
          </w:p>
        </w:tc>
        <w:tc>
          <w:tcPr>
            <w:tcW w:type="dxa" w:w="1160"/>
            <w:tcBorders>
              <w:top w:color="000000" w:sz="4" w:val="single"/>
              <w:left w:color="000000" w:sz="4" w:val="single"/>
              <w:bottom w:color="000000" w:sz="4" w:val="single"/>
              <w:right w:color="000000" w:sz="4" w:val="single"/>
            </w:tcBorders>
            <w:shd w:fill="auto" w:val="clear"/>
            <w:vAlign w:val="bottom"/>
          </w:tcPr>
          <w:p w14:paraId="223E0000">
            <w:pPr>
              <w:widowControl w:val="1"/>
              <w:ind/>
              <w:jc w:val="right"/>
              <w:rPr>
                <w:sz w:val="18"/>
              </w:rPr>
            </w:pPr>
            <w:r>
              <w:rPr>
                <w:sz w:val="18"/>
              </w:rPr>
              <w:t xml:space="preserve">762 </w:t>
            </w:r>
            <w:r>
              <w:rPr>
                <w:sz w:val="18"/>
              </w:rPr>
              <w:t>670</w:t>
            </w:r>
          </w:p>
        </w:tc>
        <w:tc>
          <w:tcPr>
            <w:tcW w:type="dxa" w:w="1620"/>
            <w:tcBorders>
              <w:top w:color="000000" w:sz="4" w:val="single"/>
              <w:left w:color="000000" w:sz="4" w:val="single"/>
              <w:bottom w:color="000000" w:sz="4" w:val="single"/>
              <w:right w:color="000000" w:sz="4" w:val="single"/>
            </w:tcBorders>
            <w:shd w:fill="auto" w:val="clear"/>
            <w:vAlign w:val="bottom"/>
          </w:tcPr>
          <w:p w14:paraId="233E0000">
            <w:pPr>
              <w:widowControl w:val="1"/>
              <w:ind/>
              <w:jc w:val="right"/>
              <w:rPr>
                <w:sz w:val="18"/>
              </w:rPr>
            </w:pPr>
            <w:r>
              <w:rPr>
                <w:sz w:val="18"/>
              </w:rPr>
              <w:t>33 104</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243E0000">
            <w:pPr>
              <w:rPr>
                <w:b w:val="1"/>
                <w:sz w:val="18"/>
              </w:rPr>
            </w:pPr>
            <w:r>
              <w:rPr>
                <w:b w:val="1"/>
                <w:sz w:val="18"/>
              </w:rPr>
              <w:t>Краткосрочная задолженность, в том числе</w:t>
            </w:r>
          </w:p>
        </w:tc>
        <w:tc>
          <w:tcPr>
            <w:tcW w:type="dxa" w:w="1640"/>
            <w:tcBorders>
              <w:top w:color="000000" w:sz="4" w:val="single"/>
              <w:left w:color="000000" w:sz="4" w:val="single"/>
              <w:bottom w:color="000000" w:sz="4" w:val="single"/>
              <w:right w:color="000000" w:sz="4" w:val="single"/>
            </w:tcBorders>
            <w:shd w:fill="auto" w:val="clear"/>
            <w:vAlign w:val="center"/>
          </w:tcPr>
          <w:p w14:paraId="253E0000">
            <w:pPr>
              <w:widowControl w:val="1"/>
              <w:ind/>
              <w:jc w:val="right"/>
              <w:rPr>
                <w:b w:val="1"/>
                <w:sz w:val="18"/>
              </w:rPr>
            </w:pPr>
            <w:r>
              <w:rPr>
                <w:b w:val="1"/>
                <w:sz w:val="18"/>
              </w:rPr>
              <w:t>64 617</w:t>
            </w:r>
          </w:p>
        </w:tc>
        <w:tc>
          <w:tcPr>
            <w:tcW w:type="dxa" w:w="1160"/>
            <w:tcBorders>
              <w:top w:color="000000" w:sz="4" w:val="single"/>
              <w:left w:color="000000" w:sz="4" w:val="single"/>
              <w:bottom w:color="000000" w:sz="4" w:val="single"/>
              <w:right w:color="000000" w:sz="4" w:val="single"/>
            </w:tcBorders>
            <w:shd w:fill="auto" w:val="clear"/>
            <w:vAlign w:val="bottom"/>
          </w:tcPr>
          <w:p w14:paraId="263E0000">
            <w:pPr>
              <w:widowControl w:val="1"/>
              <w:ind/>
              <w:jc w:val="right"/>
              <w:rPr>
                <w:b w:val="1"/>
                <w:sz w:val="18"/>
              </w:rPr>
            </w:pPr>
            <w:r>
              <w:rPr>
                <w:b w:val="1"/>
                <w:sz w:val="18"/>
              </w:rPr>
              <w:t>73</w:t>
            </w:r>
            <w:r>
              <w:rPr>
                <w:b w:val="1"/>
                <w:sz w:val="18"/>
              </w:rPr>
              <w:t>1</w:t>
            </w:r>
            <w:r>
              <w:rPr>
                <w:b w:val="1"/>
                <w:sz w:val="18"/>
              </w:rPr>
              <w:t xml:space="preserve"> </w:t>
            </w:r>
            <w:r>
              <w:rPr>
                <w:b w:val="1"/>
                <w:sz w:val="18"/>
              </w:rPr>
              <w:t>156</w:t>
            </w:r>
          </w:p>
        </w:tc>
        <w:tc>
          <w:tcPr>
            <w:tcW w:type="dxa" w:w="1160"/>
            <w:tcBorders>
              <w:top w:color="000000" w:sz="4" w:val="single"/>
              <w:left w:color="000000" w:sz="4" w:val="single"/>
              <w:bottom w:color="000000" w:sz="4" w:val="single"/>
              <w:right w:color="000000" w:sz="4" w:val="single"/>
            </w:tcBorders>
            <w:shd w:fill="auto" w:val="clear"/>
            <w:vAlign w:val="bottom"/>
          </w:tcPr>
          <w:p w14:paraId="273E0000">
            <w:pPr>
              <w:widowControl w:val="1"/>
              <w:ind/>
              <w:jc w:val="right"/>
              <w:rPr>
                <w:b w:val="1"/>
                <w:sz w:val="18"/>
              </w:rPr>
            </w:pPr>
            <w:r>
              <w:rPr>
                <w:b w:val="1"/>
                <w:sz w:val="18"/>
              </w:rPr>
              <w:t xml:space="preserve">762 </w:t>
            </w:r>
            <w:r>
              <w:rPr>
                <w:b w:val="1"/>
                <w:sz w:val="18"/>
              </w:rPr>
              <w:t>670</w:t>
            </w:r>
          </w:p>
        </w:tc>
        <w:tc>
          <w:tcPr>
            <w:tcW w:type="dxa" w:w="1620"/>
            <w:tcBorders>
              <w:top w:color="000000" w:sz="4" w:val="single"/>
              <w:left w:color="000000" w:sz="4" w:val="single"/>
              <w:bottom w:color="000000" w:sz="4" w:val="single"/>
              <w:right w:color="000000" w:sz="4" w:val="single"/>
            </w:tcBorders>
            <w:shd w:fill="auto" w:val="clear"/>
            <w:vAlign w:val="bottom"/>
          </w:tcPr>
          <w:p w14:paraId="283E0000">
            <w:pPr>
              <w:widowControl w:val="1"/>
              <w:ind/>
              <w:jc w:val="right"/>
              <w:rPr>
                <w:b w:val="1"/>
                <w:sz w:val="18"/>
              </w:rPr>
            </w:pPr>
            <w:r>
              <w:rPr>
                <w:b w:val="1"/>
                <w:sz w:val="18"/>
              </w:rPr>
              <w:t>33 104</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293E0000">
            <w:pPr>
              <w:rPr>
                <w:sz w:val="18"/>
              </w:rPr>
            </w:pPr>
            <w:r>
              <w:rPr>
                <w:sz w:val="18"/>
              </w:rPr>
              <w:t>* покупателей и заказчиков, в т.ч.</w:t>
            </w:r>
          </w:p>
        </w:tc>
        <w:tc>
          <w:tcPr>
            <w:tcW w:type="dxa" w:w="1640"/>
            <w:tcBorders>
              <w:top w:color="000000" w:sz="4" w:val="single"/>
              <w:left w:color="000000" w:sz="4" w:val="single"/>
              <w:bottom w:color="000000" w:sz="4" w:val="single"/>
              <w:right w:color="000000" w:sz="4" w:val="single"/>
            </w:tcBorders>
            <w:shd w:fill="auto" w:val="clear"/>
            <w:vAlign w:val="center"/>
          </w:tcPr>
          <w:p w14:paraId="2A3E0000">
            <w:pPr>
              <w:widowControl w:val="1"/>
              <w:ind/>
              <w:jc w:val="right"/>
              <w:rPr>
                <w:sz w:val="18"/>
              </w:rPr>
            </w:pPr>
            <w:r>
              <w:rPr>
                <w:sz w:val="18"/>
              </w:rPr>
              <w:t>4 969</w:t>
            </w:r>
          </w:p>
        </w:tc>
        <w:tc>
          <w:tcPr>
            <w:tcW w:type="dxa" w:w="1160"/>
            <w:tcBorders>
              <w:top w:color="000000" w:sz="4" w:val="single"/>
              <w:left w:color="000000" w:sz="4" w:val="single"/>
              <w:bottom w:color="000000" w:sz="4" w:val="single"/>
              <w:right w:color="000000" w:sz="4" w:val="single"/>
            </w:tcBorders>
            <w:shd w:fill="auto" w:val="clear"/>
            <w:vAlign w:val="bottom"/>
          </w:tcPr>
          <w:p w14:paraId="2B3E0000">
            <w:pPr>
              <w:widowControl w:val="1"/>
              <w:ind/>
              <w:jc w:val="right"/>
              <w:rPr>
                <w:sz w:val="18"/>
              </w:rPr>
            </w:pPr>
            <w:r>
              <w:rPr>
                <w:sz w:val="18"/>
              </w:rPr>
              <w:t>96 563</w:t>
            </w:r>
          </w:p>
        </w:tc>
        <w:tc>
          <w:tcPr>
            <w:tcW w:type="dxa" w:w="1160"/>
            <w:tcBorders>
              <w:top w:color="000000" w:sz="4" w:val="single"/>
              <w:left w:color="000000" w:sz="4" w:val="single"/>
              <w:bottom w:color="000000" w:sz="4" w:val="single"/>
              <w:right w:color="000000" w:sz="4" w:val="single"/>
            </w:tcBorders>
            <w:shd w:fill="auto" w:val="clear"/>
            <w:vAlign w:val="bottom"/>
          </w:tcPr>
          <w:p w14:paraId="2C3E0000">
            <w:pPr>
              <w:widowControl w:val="1"/>
              <w:ind/>
              <w:jc w:val="right"/>
              <w:rPr>
                <w:sz w:val="18"/>
              </w:rPr>
            </w:pPr>
            <w:r>
              <w:rPr>
                <w:sz w:val="18"/>
              </w:rPr>
              <w:t>96 361</w:t>
            </w:r>
          </w:p>
        </w:tc>
        <w:tc>
          <w:tcPr>
            <w:tcW w:type="dxa" w:w="1620"/>
            <w:tcBorders>
              <w:top w:color="000000" w:sz="4" w:val="single"/>
              <w:left w:color="000000" w:sz="4" w:val="single"/>
              <w:bottom w:color="000000" w:sz="4" w:val="single"/>
              <w:right w:color="000000" w:sz="4" w:val="single"/>
            </w:tcBorders>
            <w:shd w:fill="auto" w:val="clear"/>
            <w:vAlign w:val="bottom"/>
          </w:tcPr>
          <w:p w14:paraId="2D3E0000">
            <w:pPr>
              <w:widowControl w:val="1"/>
              <w:ind/>
              <w:jc w:val="right"/>
              <w:rPr>
                <w:sz w:val="18"/>
              </w:rPr>
            </w:pPr>
            <w:r>
              <w:rPr>
                <w:sz w:val="18"/>
              </w:rPr>
              <w:t>5 172</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2E3E0000">
            <w:pPr>
              <w:rPr>
                <w:i w:val="1"/>
                <w:sz w:val="18"/>
              </w:rPr>
            </w:pPr>
            <w:r>
              <w:rPr>
                <w:i w:val="1"/>
                <w:sz w:val="18"/>
              </w:rPr>
              <w:t xml:space="preserve">           - ОАО "РЖД"</w:t>
            </w:r>
          </w:p>
        </w:tc>
        <w:tc>
          <w:tcPr>
            <w:tcW w:type="dxa" w:w="1640"/>
            <w:tcBorders>
              <w:top w:color="000000" w:sz="4" w:val="single"/>
              <w:left w:color="000000" w:sz="4" w:val="single"/>
              <w:bottom w:color="000000" w:sz="4" w:val="single"/>
              <w:right w:color="000000" w:sz="4" w:val="single"/>
            </w:tcBorders>
            <w:shd w:fill="auto" w:val="clear"/>
            <w:vAlign w:val="center"/>
          </w:tcPr>
          <w:p w14:paraId="2F3E0000">
            <w:pPr>
              <w:widowControl w:val="1"/>
              <w:ind/>
              <w:jc w:val="right"/>
              <w:rPr>
                <w:sz w:val="18"/>
              </w:rPr>
            </w:pPr>
            <w:r>
              <w:rPr>
                <w:sz w:val="18"/>
              </w:rPr>
              <w:t>3 417</w:t>
            </w:r>
          </w:p>
        </w:tc>
        <w:tc>
          <w:tcPr>
            <w:tcW w:type="dxa" w:w="1160"/>
            <w:tcBorders>
              <w:top w:color="000000" w:sz="4" w:val="single"/>
              <w:left w:color="000000" w:sz="4" w:val="single"/>
              <w:bottom w:color="000000" w:sz="4" w:val="single"/>
              <w:right w:color="000000" w:sz="4" w:val="single"/>
            </w:tcBorders>
            <w:shd w:fill="auto" w:val="clear"/>
            <w:vAlign w:val="bottom"/>
          </w:tcPr>
          <w:p w14:paraId="303E0000">
            <w:pPr>
              <w:widowControl w:val="1"/>
              <w:ind/>
              <w:jc w:val="right"/>
              <w:rPr>
                <w:sz w:val="18"/>
              </w:rPr>
            </w:pPr>
            <w:r>
              <w:rPr>
                <w:sz w:val="18"/>
              </w:rPr>
              <w:t>29 281</w:t>
            </w:r>
          </w:p>
        </w:tc>
        <w:tc>
          <w:tcPr>
            <w:tcW w:type="dxa" w:w="1160"/>
            <w:tcBorders>
              <w:top w:color="000000" w:sz="4" w:val="single"/>
              <w:left w:color="000000" w:sz="4" w:val="single"/>
              <w:bottom w:color="000000" w:sz="4" w:val="single"/>
              <w:right w:color="000000" w:sz="4" w:val="single"/>
            </w:tcBorders>
            <w:shd w:fill="auto" w:val="clear"/>
            <w:vAlign w:val="bottom"/>
          </w:tcPr>
          <w:p w14:paraId="313E0000">
            <w:pPr>
              <w:widowControl w:val="1"/>
              <w:ind/>
              <w:jc w:val="right"/>
              <w:rPr>
                <w:sz w:val="18"/>
              </w:rPr>
            </w:pPr>
            <w:r>
              <w:rPr>
                <w:sz w:val="18"/>
              </w:rPr>
              <w:t>28 498</w:t>
            </w:r>
          </w:p>
        </w:tc>
        <w:tc>
          <w:tcPr>
            <w:tcW w:type="dxa" w:w="1620"/>
            <w:tcBorders>
              <w:top w:color="000000" w:sz="4" w:val="single"/>
              <w:left w:color="000000" w:sz="4" w:val="single"/>
              <w:bottom w:color="000000" w:sz="4" w:val="single"/>
              <w:right w:color="000000" w:sz="4" w:val="single"/>
            </w:tcBorders>
            <w:shd w:fill="auto" w:val="clear"/>
            <w:vAlign w:val="bottom"/>
          </w:tcPr>
          <w:p w14:paraId="323E0000">
            <w:pPr>
              <w:widowControl w:val="1"/>
              <w:ind/>
              <w:jc w:val="right"/>
              <w:rPr>
                <w:sz w:val="18"/>
              </w:rPr>
            </w:pPr>
            <w:r>
              <w:rPr>
                <w:sz w:val="18"/>
              </w:rPr>
              <w:t>4 201</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333E0000">
            <w:pPr>
              <w:rPr>
                <w:i w:val="1"/>
                <w:sz w:val="18"/>
              </w:rPr>
            </w:pPr>
            <w:r>
              <w:rPr>
                <w:i w:val="1"/>
                <w:sz w:val="18"/>
              </w:rPr>
              <w:t xml:space="preserve">           - ДЗО ОАО "РЖД"</w:t>
            </w:r>
          </w:p>
        </w:tc>
        <w:tc>
          <w:tcPr>
            <w:tcW w:type="dxa" w:w="1640"/>
            <w:tcBorders>
              <w:top w:color="000000" w:sz="4" w:val="single"/>
              <w:left w:color="000000" w:sz="4" w:val="single"/>
              <w:bottom w:color="000000" w:sz="4" w:val="single"/>
              <w:right w:color="000000" w:sz="4" w:val="single"/>
            </w:tcBorders>
            <w:shd w:fill="auto" w:val="clear"/>
            <w:vAlign w:val="center"/>
          </w:tcPr>
          <w:p w14:paraId="343E0000">
            <w:pPr>
              <w:widowControl w:val="1"/>
              <w:ind/>
              <w:jc w:val="right"/>
              <w:rPr>
                <w:sz w:val="18"/>
              </w:rPr>
            </w:pPr>
            <w:r>
              <w:rPr>
                <w:sz w:val="18"/>
              </w:rPr>
              <w:t>530</w:t>
            </w:r>
          </w:p>
        </w:tc>
        <w:tc>
          <w:tcPr>
            <w:tcW w:type="dxa" w:w="1160"/>
            <w:tcBorders>
              <w:top w:color="000000" w:sz="4" w:val="single"/>
              <w:left w:color="000000" w:sz="4" w:val="single"/>
              <w:bottom w:color="000000" w:sz="4" w:val="single"/>
              <w:right w:color="000000" w:sz="4" w:val="single"/>
            </w:tcBorders>
            <w:shd w:fill="auto" w:val="clear"/>
            <w:vAlign w:val="bottom"/>
          </w:tcPr>
          <w:p w14:paraId="353E0000">
            <w:pPr>
              <w:widowControl w:val="1"/>
              <w:ind/>
              <w:jc w:val="right"/>
              <w:rPr>
                <w:sz w:val="18"/>
              </w:rPr>
            </w:pPr>
            <w:r>
              <w:rPr>
                <w:sz w:val="18"/>
              </w:rPr>
              <w:t>5 355</w:t>
            </w:r>
          </w:p>
        </w:tc>
        <w:tc>
          <w:tcPr>
            <w:tcW w:type="dxa" w:w="1160"/>
            <w:tcBorders>
              <w:top w:color="000000" w:sz="4" w:val="single"/>
              <w:left w:color="000000" w:sz="4" w:val="single"/>
              <w:bottom w:color="000000" w:sz="4" w:val="single"/>
              <w:right w:color="000000" w:sz="4" w:val="single"/>
            </w:tcBorders>
            <w:shd w:fill="auto" w:val="clear"/>
            <w:vAlign w:val="bottom"/>
          </w:tcPr>
          <w:p w14:paraId="363E0000">
            <w:pPr>
              <w:widowControl w:val="1"/>
              <w:ind/>
              <w:jc w:val="right"/>
              <w:rPr>
                <w:sz w:val="18"/>
              </w:rPr>
            </w:pPr>
            <w:r>
              <w:rPr>
                <w:sz w:val="18"/>
              </w:rPr>
              <w:t>5 461</w:t>
            </w:r>
          </w:p>
        </w:tc>
        <w:tc>
          <w:tcPr>
            <w:tcW w:type="dxa" w:w="1620"/>
            <w:tcBorders>
              <w:top w:color="000000" w:sz="4" w:val="single"/>
              <w:left w:color="000000" w:sz="4" w:val="single"/>
              <w:bottom w:color="000000" w:sz="4" w:val="single"/>
              <w:right w:color="000000" w:sz="4" w:val="single"/>
            </w:tcBorders>
            <w:shd w:fill="auto" w:val="clear"/>
            <w:vAlign w:val="bottom"/>
          </w:tcPr>
          <w:p w14:paraId="373E0000">
            <w:pPr>
              <w:widowControl w:val="1"/>
              <w:ind/>
              <w:jc w:val="right"/>
              <w:rPr>
                <w:sz w:val="18"/>
              </w:rPr>
            </w:pPr>
            <w:r>
              <w:rPr>
                <w:sz w:val="18"/>
              </w:rPr>
              <w:t>425</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383E0000">
            <w:pPr>
              <w:rPr>
                <w:i w:val="1"/>
                <w:sz w:val="18"/>
              </w:rPr>
            </w:pPr>
            <w:r>
              <w:rPr>
                <w:i w:val="1"/>
                <w:sz w:val="18"/>
              </w:rPr>
              <w:t xml:space="preserve">           - Субъектов РФ</w:t>
            </w:r>
          </w:p>
        </w:tc>
        <w:tc>
          <w:tcPr>
            <w:tcW w:type="dxa" w:w="1640"/>
            <w:tcBorders>
              <w:top w:color="000000" w:sz="4" w:val="single"/>
              <w:left w:color="000000" w:sz="4" w:val="single"/>
              <w:bottom w:color="000000" w:sz="4" w:val="single"/>
              <w:right w:color="000000" w:sz="4" w:val="single"/>
            </w:tcBorders>
            <w:shd w:fill="auto" w:val="clear"/>
            <w:vAlign w:val="center"/>
          </w:tcPr>
          <w:p w14:paraId="393E0000">
            <w:pPr>
              <w:widowControl w:val="1"/>
              <w:ind/>
              <w:jc w:val="right"/>
              <w:rPr>
                <w:sz w:val="18"/>
              </w:rPr>
            </w:pPr>
            <w:r>
              <w:rPr>
                <w:sz w:val="18"/>
              </w:rPr>
              <w:t>660</w:t>
            </w:r>
          </w:p>
        </w:tc>
        <w:tc>
          <w:tcPr>
            <w:tcW w:type="dxa" w:w="1160"/>
            <w:tcBorders>
              <w:top w:color="000000" w:sz="4" w:val="single"/>
              <w:left w:color="000000" w:sz="4" w:val="single"/>
              <w:bottom w:color="000000" w:sz="4" w:val="single"/>
              <w:right w:color="000000" w:sz="4" w:val="single"/>
            </w:tcBorders>
            <w:shd w:fill="auto" w:val="clear"/>
            <w:vAlign w:val="bottom"/>
          </w:tcPr>
          <w:p w14:paraId="3A3E0000">
            <w:pPr>
              <w:widowControl w:val="1"/>
              <w:ind/>
              <w:jc w:val="right"/>
              <w:rPr>
                <w:sz w:val="18"/>
              </w:rPr>
            </w:pPr>
            <w:r>
              <w:rPr>
                <w:sz w:val="18"/>
              </w:rPr>
              <w:t>56 013</w:t>
            </w:r>
          </w:p>
        </w:tc>
        <w:tc>
          <w:tcPr>
            <w:tcW w:type="dxa" w:w="1160"/>
            <w:tcBorders>
              <w:top w:color="000000" w:sz="4" w:val="single"/>
              <w:left w:color="000000" w:sz="4" w:val="single"/>
              <w:bottom w:color="000000" w:sz="4" w:val="single"/>
              <w:right w:color="000000" w:sz="4" w:val="single"/>
            </w:tcBorders>
            <w:shd w:fill="auto" w:val="clear"/>
            <w:vAlign w:val="bottom"/>
          </w:tcPr>
          <w:p w14:paraId="3B3E0000">
            <w:pPr>
              <w:widowControl w:val="1"/>
              <w:ind/>
              <w:jc w:val="right"/>
              <w:rPr>
                <w:sz w:val="18"/>
              </w:rPr>
            </w:pPr>
            <w:r>
              <w:rPr>
                <w:sz w:val="18"/>
              </w:rPr>
              <w:t>56 496</w:t>
            </w:r>
          </w:p>
        </w:tc>
        <w:tc>
          <w:tcPr>
            <w:tcW w:type="dxa" w:w="1620"/>
            <w:tcBorders>
              <w:top w:color="000000" w:sz="4" w:val="single"/>
              <w:left w:color="000000" w:sz="4" w:val="single"/>
              <w:bottom w:color="000000" w:sz="4" w:val="single"/>
              <w:right w:color="000000" w:sz="4" w:val="single"/>
            </w:tcBorders>
            <w:shd w:fill="auto" w:val="clear"/>
            <w:vAlign w:val="bottom"/>
          </w:tcPr>
          <w:p w14:paraId="3C3E0000">
            <w:pPr>
              <w:widowControl w:val="1"/>
              <w:ind/>
              <w:jc w:val="right"/>
              <w:rPr>
                <w:sz w:val="18"/>
              </w:rPr>
            </w:pPr>
            <w:r>
              <w:rPr>
                <w:sz w:val="18"/>
              </w:rPr>
              <w:t>177</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3D3E0000">
            <w:pPr>
              <w:rPr>
                <w:sz w:val="18"/>
              </w:rPr>
            </w:pPr>
            <w:r>
              <w:rPr>
                <w:sz w:val="18"/>
              </w:rPr>
              <w:t xml:space="preserve">            - прочих контрагентов</w:t>
            </w:r>
          </w:p>
        </w:tc>
        <w:tc>
          <w:tcPr>
            <w:tcW w:type="dxa" w:w="1640"/>
            <w:tcBorders>
              <w:top w:color="000000" w:sz="4" w:val="single"/>
              <w:left w:color="000000" w:sz="4" w:val="single"/>
              <w:bottom w:color="000000" w:sz="4" w:val="single"/>
              <w:right w:color="000000" w:sz="4" w:val="single"/>
            </w:tcBorders>
            <w:shd w:fill="auto" w:val="clear"/>
            <w:vAlign w:val="center"/>
          </w:tcPr>
          <w:p w14:paraId="3E3E0000">
            <w:pPr>
              <w:widowControl w:val="1"/>
              <w:ind/>
              <w:jc w:val="right"/>
              <w:rPr>
                <w:sz w:val="18"/>
              </w:rPr>
            </w:pPr>
            <w:r>
              <w:rPr>
                <w:sz w:val="18"/>
              </w:rPr>
              <w:t>362</w:t>
            </w:r>
          </w:p>
        </w:tc>
        <w:tc>
          <w:tcPr>
            <w:tcW w:type="dxa" w:w="1160"/>
            <w:tcBorders>
              <w:top w:color="000000" w:sz="4" w:val="single"/>
              <w:left w:color="000000" w:sz="4" w:val="single"/>
              <w:bottom w:color="000000" w:sz="4" w:val="single"/>
              <w:right w:color="000000" w:sz="4" w:val="single"/>
            </w:tcBorders>
            <w:shd w:fill="auto" w:val="clear"/>
            <w:vAlign w:val="bottom"/>
          </w:tcPr>
          <w:p w14:paraId="3F3E0000">
            <w:pPr>
              <w:widowControl w:val="1"/>
              <w:ind/>
              <w:jc w:val="right"/>
              <w:rPr>
                <w:sz w:val="18"/>
              </w:rPr>
            </w:pPr>
            <w:r>
              <w:rPr>
                <w:sz w:val="18"/>
              </w:rPr>
              <w:t>5 914</w:t>
            </w:r>
          </w:p>
        </w:tc>
        <w:tc>
          <w:tcPr>
            <w:tcW w:type="dxa" w:w="1160"/>
            <w:tcBorders>
              <w:top w:color="000000" w:sz="4" w:val="single"/>
              <w:left w:color="000000" w:sz="4" w:val="single"/>
              <w:bottom w:color="000000" w:sz="4" w:val="single"/>
              <w:right w:color="000000" w:sz="4" w:val="single"/>
            </w:tcBorders>
            <w:shd w:fill="auto" w:val="clear"/>
            <w:vAlign w:val="bottom"/>
          </w:tcPr>
          <w:p w14:paraId="403E0000">
            <w:pPr>
              <w:widowControl w:val="1"/>
              <w:ind/>
              <w:jc w:val="right"/>
              <w:rPr>
                <w:sz w:val="18"/>
              </w:rPr>
            </w:pPr>
            <w:r>
              <w:rPr>
                <w:sz w:val="18"/>
              </w:rPr>
              <w:t>5 906</w:t>
            </w:r>
          </w:p>
        </w:tc>
        <w:tc>
          <w:tcPr>
            <w:tcW w:type="dxa" w:w="1620"/>
            <w:tcBorders>
              <w:top w:color="000000" w:sz="4" w:val="single"/>
              <w:left w:color="000000" w:sz="4" w:val="single"/>
              <w:bottom w:color="000000" w:sz="4" w:val="single"/>
              <w:right w:color="000000" w:sz="4" w:val="single"/>
            </w:tcBorders>
            <w:shd w:fill="auto" w:val="clear"/>
            <w:vAlign w:val="bottom"/>
          </w:tcPr>
          <w:p w14:paraId="413E0000">
            <w:pPr>
              <w:widowControl w:val="1"/>
              <w:ind/>
              <w:jc w:val="right"/>
              <w:rPr>
                <w:sz w:val="18"/>
              </w:rPr>
            </w:pPr>
            <w:r>
              <w:rPr>
                <w:sz w:val="18"/>
              </w:rPr>
              <w:t>370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423E0000">
            <w:pPr>
              <w:rPr>
                <w:sz w:val="18"/>
              </w:rPr>
            </w:pPr>
            <w:r>
              <w:rPr>
                <w:sz w:val="18"/>
              </w:rPr>
              <w:t xml:space="preserve">            - по векселям к получению</w:t>
            </w:r>
          </w:p>
        </w:tc>
        <w:tc>
          <w:tcPr>
            <w:tcW w:type="dxa" w:w="1640"/>
            <w:tcBorders>
              <w:top w:color="000000" w:sz="4" w:val="single"/>
              <w:left w:color="000000" w:sz="4" w:val="single"/>
              <w:bottom w:color="000000" w:sz="4" w:val="single"/>
              <w:right w:color="000000" w:sz="4" w:val="single"/>
            </w:tcBorders>
            <w:shd w:fill="auto" w:val="clear"/>
            <w:vAlign w:val="center"/>
          </w:tcPr>
          <w:p w14:paraId="43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44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453E0000">
            <w:pPr>
              <w:widowControl w:val="1"/>
              <w:ind/>
              <w:jc w:val="right"/>
              <w:rPr>
                <w:sz w:val="18"/>
              </w:rPr>
            </w:pPr>
            <w:r>
              <w:rPr>
                <w:sz w:val="18"/>
              </w:rPr>
              <w:t>0</w:t>
            </w:r>
          </w:p>
        </w:tc>
        <w:tc>
          <w:tcPr>
            <w:tcW w:type="dxa" w:w="1620"/>
            <w:tcBorders>
              <w:top w:color="000000" w:sz="4" w:val="single"/>
              <w:left w:color="000000" w:sz="4" w:val="single"/>
              <w:bottom w:color="000000" w:sz="4" w:val="single"/>
              <w:right w:color="000000" w:sz="4" w:val="single"/>
            </w:tcBorders>
            <w:shd w:fill="auto" w:val="clear"/>
            <w:vAlign w:val="bottom"/>
          </w:tcPr>
          <w:p w14:paraId="463E0000">
            <w:pPr>
              <w:widowControl w:val="1"/>
              <w:ind/>
              <w:jc w:val="right"/>
              <w:rPr>
                <w:sz w:val="18"/>
              </w:rPr>
            </w:pPr>
            <w:r>
              <w:rPr>
                <w:sz w:val="18"/>
              </w:rPr>
              <w:t>0</w:t>
            </w:r>
          </w:p>
        </w:tc>
      </w:tr>
      <w:tr>
        <w:trPr>
          <w:trHeight w:hRule="atLeast" w:val="240"/>
        </w:trPr>
        <w:tc>
          <w:tcPr>
            <w:tcW w:type="dxa" w:w="4697"/>
            <w:tcBorders>
              <w:top w:color="000000" w:sz="4" w:val="single"/>
              <w:left w:color="000000" w:sz="4" w:val="single"/>
              <w:bottom w:color="000000" w:sz="4" w:val="single"/>
              <w:right w:color="000000" w:sz="4" w:val="single"/>
            </w:tcBorders>
            <w:shd w:fill="auto" w:val="clear"/>
            <w:vAlign w:val="center"/>
          </w:tcPr>
          <w:p w14:paraId="473E0000">
            <w:pPr>
              <w:rPr>
                <w:sz w:val="18"/>
              </w:rPr>
            </w:pPr>
            <w:r>
              <w:rPr>
                <w:sz w:val="18"/>
              </w:rPr>
              <w:t xml:space="preserve">            - участников (учредителей) по взносам в уставный капитал</w:t>
            </w:r>
          </w:p>
        </w:tc>
        <w:tc>
          <w:tcPr>
            <w:tcW w:type="dxa" w:w="1640"/>
            <w:tcBorders>
              <w:top w:color="000000" w:sz="4" w:val="single"/>
              <w:left w:color="000000" w:sz="4" w:val="single"/>
              <w:bottom w:color="000000" w:sz="4" w:val="single"/>
              <w:right w:color="000000" w:sz="4" w:val="single"/>
            </w:tcBorders>
            <w:shd w:fill="auto" w:val="clear"/>
            <w:vAlign w:val="center"/>
          </w:tcPr>
          <w:p w14:paraId="48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49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4A3E0000">
            <w:pPr>
              <w:widowControl w:val="1"/>
              <w:ind/>
              <w:jc w:val="right"/>
              <w:rPr>
                <w:sz w:val="18"/>
              </w:rPr>
            </w:pPr>
            <w:r>
              <w:rPr>
                <w:sz w:val="18"/>
              </w:rPr>
              <w:t>0</w:t>
            </w:r>
          </w:p>
        </w:tc>
        <w:tc>
          <w:tcPr>
            <w:tcW w:type="dxa" w:w="1620"/>
            <w:tcBorders>
              <w:top w:color="000000" w:sz="4" w:val="single"/>
              <w:left w:color="000000" w:sz="4" w:val="single"/>
              <w:bottom w:color="000000" w:sz="4" w:val="single"/>
              <w:right w:color="000000" w:sz="4" w:val="single"/>
            </w:tcBorders>
            <w:shd w:fill="auto" w:val="clear"/>
            <w:vAlign w:val="bottom"/>
          </w:tcPr>
          <w:p w14:paraId="4B3E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4C3E0000">
            <w:pPr>
              <w:rPr>
                <w:sz w:val="18"/>
              </w:rPr>
            </w:pPr>
            <w:r>
              <w:rPr>
                <w:sz w:val="18"/>
              </w:rPr>
              <w:t>* по авансам выданным, в т.ч.</w:t>
            </w:r>
          </w:p>
        </w:tc>
        <w:tc>
          <w:tcPr>
            <w:tcW w:type="dxa" w:w="1640"/>
            <w:tcBorders>
              <w:top w:color="000000" w:sz="4" w:val="single"/>
              <w:left w:color="000000" w:sz="4" w:val="single"/>
              <w:bottom w:color="000000" w:sz="4" w:val="single"/>
              <w:right w:color="000000" w:sz="4" w:val="single"/>
            </w:tcBorders>
            <w:shd w:fill="auto" w:val="clear"/>
            <w:vAlign w:val="center"/>
          </w:tcPr>
          <w:p w14:paraId="4D3E0000">
            <w:pPr>
              <w:widowControl w:val="1"/>
              <w:ind/>
              <w:jc w:val="right"/>
              <w:rPr>
                <w:sz w:val="18"/>
              </w:rPr>
            </w:pPr>
            <w:r>
              <w:rPr>
                <w:sz w:val="18"/>
              </w:rPr>
              <w:t>1 271</w:t>
            </w:r>
          </w:p>
        </w:tc>
        <w:tc>
          <w:tcPr>
            <w:tcW w:type="dxa" w:w="1160"/>
            <w:tcBorders>
              <w:top w:color="000000" w:sz="4" w:val="single"/>
              <w:left w:color="000000" w:sz="4" w:val="single"/>
              <w:bottom w:color="000000" w:sz="4" w:val="single"/>
              <w:right w:color="000000" w:sz="4" w:val="single"/>
            </w:tcBorders>
            <w:shd w:fill="auto" w:val="clear"/>
            <w:vAlign w:val="bottom"/>
          </w:tcPr>
          <w:p w14:paraId="4E3E0000">
            <w:pPr>
              <w:widowControl w:val="1"/>
              <w:ind/>
              <w:jc w:val="right"/>
              <w:rPr>
                <w:sz w:val="18"/>
              </w:rPr>
            </w:pPr>
            <w:r>
              <w:rPr>
                <w:sz w:val="18"/>
              </w:rPr>
              <w:t>129 573</w:t>
            </w:r>
          </w:p>
        </w:tc>
        <w:tc>
          <w:tcPr>
            <w:tcW w:type="dxa" w:w="1160"/>
            <w:tcBorders>
              <w:top w:color="000000" w:sz="4" w:val="single"/>
              <w:left w:color="000000" w:sz="4" w:val="single"/>
              <w:bottom w:color="000000" w:sz="4" w:val="single"/>
              <w:right w:color="000000" w:sz="4" w:val="single"/>
            </w:tcBorders>
            <w:shd w:fill="auto" w:val="clear"/>
            <w:vAlign w:val="bottom"/>
          </w:tcPr>
          <w:p w14:paraId="4F3E0000">
            <w:pPr>
              <w:widowControl w:val="1"/>
              <w:ind/>
              <w:jc w:val="right"/>
              <w:rPr>
                <w:sz w:val="18"/>
              </w:rPr>
            </w:pPr>
            <w:r>
              <w:rPr>
                <w:sz w:val="18"/>
              </w:rPr>
              <w:t>127 640</w:t>
            </w:r>
          </w:p>
        </w:tc>
        <w:tc>
          <w:tcPr>
            <w:tcW w:type="dxa" w:w="1620"/>
            <w:tcBorders>
              <w:top w:color="000000" w:sz="4" w:val="single"/>
              <w:left w:color="000000" w:sz="4" w:val="single"/>
              <w:bottom w:color="000000" w:sz="4" w:val="single"/>
              <w:right w:color="000000" w:sz="4" w:val="single"/>
            </w:tcBorders>
            <w:shd w:fill="auto" w:val="clear"/>
            <w:vAlign w:val="bottom"/>
          </w:tcPr>
          <w:p w14:paraId="503E0000">
            <w:pPr>
              <w:widowControl w:val="1"/>
              <w:ind/>
              <w:jc w:val="right"/>
              <w:rPr>
                <w:sz w:val="18"/>
              </w:rPr>
            </w:pPr>
            <w:r>
              <w:rPr>
                <w:sz w:val="18"/>
              </w:rPr>
              <w:t>3 203</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513E0000">
            <w:pPr>
              <w:rPr>
                <w:i w:val="1"/>
                <w:sz w:val="18"/>
              </w:rPr>
            </w:pPr>
            <w:r>
              <w:rPr>
                <w:i w:val="1"/>
                <w:sz w:val="18"/>
              </w:rPr>
              <w:t xml:space="preserve">           - ОАО "РЖД"</w:t>
            </w:r>
          </w:p>
        </w:tc>
        <w:tc>
          <w:tcPr>
            <w:tcW w:type="dxa" w:w="1640"/>
            <w:tcBorders>
              <w:top w:color="000000" w:sz="4" w:val="single"/>
              <w:left w:color="000000" w:sz="4" w:val="single"/>
              <w:bottom w:color="000000" w:sz="4" w:val="single"/>
              <w:right w:color="000000" w:sz="4" w:val="single"/>
            </w:tcBorders>
            <w:shd w:fill="auto" w:val="clear"/>
            <w:vAlign w:val="center"/>
          </w:tcPr>
          <w:p w14:paraId="523E0000">
            <w:pPr>
              <w:widowControl w:val="1"/>
              <w:ind/>
              <w:jc w:val="right"/>
              <w:rPr>
                <w:sz w:val="18"/>
              </w:rPr>
            </w:pPr>
            <w:r>
              <w:rPr>
                <w:sz w:val="18"/>
              </w:rPr>
              <w:t>665</w:t>
            </w:r>
          </w:p>
        </w:tc>
        <w:tc>
          <w:tcPr>
            <w:tcW w:type="dxa" w:w="1160"/>
            <w:tcBorders>
              <w:top w:color="000000" w:sz="4" w:val="single"/>
              <w:left w:color="000000" w:sz="4" w:val="single"/>
              <w:bottom w:color="000000" w:sz="4" w:val="single"/>
              <w:right w:color="000000" w:sz="4" w:val="single"/>
            </w:tcBorders>
            <w:shd w:fill="auto" w:val="clear"/>
            <w:vAlign w:val="bottom"/>
          </w:tcPr>
          <w:p w14:paraId="533E0000">
            <w:pPr>
              <w:widowControl w:val="1"/>
              <w:ind/>
              <w:jc w:val="right"/>
              <w:rPr>
                <w:sz w:val="18"/>
              </w:rPr>
            </w:pPr>
            <w:r>
              <w:rPr>
                <w:sz w:val="18"/>
              </w:rPr>
              <w:t>63 200</w:t>
            </w:r>
          </w:p>
        </w:tc>
        <w:tc>
          <w:tcPr>
            <w:tcW w:type="dxa" w:w="1160"/>
            <w:tcBorders>
              <w:top w:color="000000" w:sz="4" w:val="single"/>
              <w:left w:color="000000" w:sz="4" w:val="single"/>
              <w:bottom w:color="000000" w:sz="4" w:val="single"/>
              <w:right w:color="000000" w:sz="4" w:val="single"/>
            </w:tcBorders>
            <w:shd w:fill="auto" w:val="clear"/>
            <w:vAlign w:val="bottom"/>
          </w:tcPr>
          <w:p w14:paraId="543E0000">
            <w:pPr>
              <w:widowControl w:val="1"/>
              <w:ind/>
              <w:jc w:val="right"/>
              <w:rPr>
                <w:sz w:val="18"/>
              </w:rPr>
            </w:pPr>
            <w:r>
              <w:rPr>
                <w:sz w:val="18"/>
              </w:rPr>
              <w:t>62 115</w:t>
            </w:r>
          </w:p>
        </w:tc>
        <w:tc>
          <w:tcPr>
            <w:tcW w:type="dxa" w:w="1620"/>
            <w:tcBorders>
              <w:top w:color="000000" w:sz="4" w:val="single"/>
              <w:left w:color="000000" w:sz="4" w:val="single"/>
              <w:bottom w:color="000000" w:sz="4" w:val="single"/>
              <w:right w:color="000000" w:sz="4" w:val="single"/>
            </w:tcBorders>
            <w:shd w:fill="auto" w:val="clear"/>
            <w:vAlign w:val="bottom"/>
          </w:tcPr>
          <w:p w14:paraId="553E0000">
            <w:pPr>
              <w:widowControl w:val="1"/>
              <w:ind/>
              <w:jc w:val="right"/>
              <w:rPr>
                <w:sz w:val="18"/>
              </w:rPr>
            </w:pPr>
            <w:r>
              <w:rPr>
                <w:sz w:val="18"/>
              </w:rPr>
              <w:t>1 750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563E0000">
            <w:pPr>
              <w:rPr>
                <w:i w:val="1"/>
                <w:sz w:val="18"/>
              </w:rPr>
            </w:pPr>
            <w:r>
              <w:rPr>
                <w:i w:val="1"/>
                <w:sz w:val="18"/>
              </w:rPr>
              <w:t xml:space="preserve">           - ДЗО ОАО "РЖД"</w:t>
            </w:r>
          </w:p>
        </w:tc>
        <w:tc>
          <w:tcPr>
            <w:tcW w:type="dxa" w:w="1640"/>
            <w:tcBorders>
              <w:top w:color="000000" w:sz="4" w:val="single"/>
              <w:left w:color="000000" w:sz="4" w:val="single"/>
              <w:bottom w:color="000000" w:sz="4" w:val="single"/>
              <w:right w:color="000000" w:sz="4" w:val="single"/>
            </w:tcBorders>
            <w:shd w:fill="auto" w:val="clear"/>
            <w:vAlign w:val="center"/>
          </w:tcPr>
          <w:p w14:paraId="573E0000">
            <w:pPr>
              <w:widowControl w:val="1"/>
              <w:ind/>
              <w:jc w:val="right"/>
              <w:rPr>
                <w:sz w:val="18"/>
              </w:rPr>
            </w:pPr>
            <w:r>
              <w:rPr>
                <w:sz w:val="18"/>
              </w:rPr>
              <w:t>607</w:t>
            </w:r>
          </w:p>
        </w:tc>
        <w:tc>
          <w:tcPr>
            <w:tcW w:type="dxa" w:w="1160"/>
            <w:tcBorders>
              <w:top w:color="000000" w:sz="4" w:val="single"/>
              <w:left w:color="000000" w:sz="4" w:val="single"/>
              <w:bottom w:color="000000" w:sz="4" w:val="single"/>
              <w:right w:color="000000" w:sz="4" w:val="single"/>
            </w:tcBorders>
            <w:shd w:fill="auto" w:val="clear"/>
            <w:vAlign w:val="bottom"/>
          </w:tcPr>
          <w:p w14:paraId="583E0000">
            <w:pPr>
              <w:widowControl w:val="1"/>
              <w:ind/>
              <w:jc w:val="right"/>
              <w:rPr>
                <w:sz w:val="18"/>
              </w:rPr>
            </w:pPr>
            <w:r>
              <w:rPr>
                <w:sz w:val="18"/>
              </w:rPr>
              <w:t>57 902</w:t>
            </w:r>
          </w:p>
        </w:tc>
        <w:tc>
          <w:tcPr>
            <w:tcW w:type="dxa" w:w="1160"/>
            <w:tcBorders>
              <w:top w:color="000000" w:sz="4" w:val="single"/>
              <w:left w:color="000000" w:sz="4" w:val="single"/>
              <w:bottom w:color="000000" w:sz="4" w:val="single"/>
              <w:right w:color="000000" w:sz="4" w:val="single"/>
            </w:tcBorders>
            <w:shd w:fill="auto" w:val="clear"/>
            <w:vAlign w:val="bottom"/>
          </w:tcPr>
          <w:p w14:paraId="593E0000">
            <w:pPr>
              <w:widowControl w:val="1"/>
              <w:ind/>
              <w:jc w:val="right"/>
              <w:rPr>
                <w:sz w:val="18"/>
              </w:rPr>
            </w:pPr>
            <w:r>
              <w:rPr>
                <w:sz w:val="18"/>
              </w:rPr>
              <w:t>57 055</w:t>
            </w:r>
          </w:p>
        </w:tc>
        <w:tc>
          <w:tcPr>
            <w:tcW w:type="dxa" w:w="1620"/>
            <w:tcBorders>
              <w:top w:color="000000" w:sz="4" w:val="single"/>
              <w:left w:color="000000" w:sz="4" w:val="single"/>
              <w:bottom w:color="000000" w:sz="4" w:val="single"/>
              <w:right w:color="000000" w:sz="4" w:val="single"/>
            </w:tcBorders>
            <w:shd w:fill="auto" w:val="clear"/>
            <w:vAlign w:val="bottom"/>
          </w:tcPr>
          <w:p w14:paraId="5A3E0000">
            <w:pPr>
              <w:widowControl w:val="1"/>
              <w:ind/>
              <w:jc w:val="right"/>
              <w:rPr>
                <w:sz w:val="18"/>
              </w:rPr>
            </w:pPr>
            <w:r>
              <w:rPr>
                <w:sz w:val="18"/>
              </w:rPr>
              <w:t>1 453</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5B3E0000">
            <w:pPr>
              <w:rPr>
                <w:sz w:val="18"/>
              </w:rPr>
            </w:pPr>
            <w:r>
              <w:rPr>
                <w:sz w:val="18"/>
              </w:rPr>
              <w:t xml:space="preserve">            - прочих контрагентов</w:t>
            </w:r>
          </w:p>
        </w:tc>
        <w:tc>
          <w:tcPr>
            <w:tcW w:type="dxa" w:w="1640"/>
            <w:tcBorders>
              <w:top w:color="000000" w:sz="4" w:val="single"/>
              <w:left w:color="000000" w:sz="4" w:val="single"/>
              <w:bottom w:color="000000" w:sz="4" w:val="single"/>
              <w:right w:color="000000" w:sz="4" w:val="single"/>
            </w:tcBorders>
            <w:shd w:fill="auto" w:val="clear"/>
            <w:vAlign w:val="center"/>
          </w:tcPr>
          <w:p w14:paraId="5C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5D3E0000">
            <w:pPr>
              <w:widowControl w:val="1"/>
              <w:ind/>
              <w:jc w:val="right"/>
              <w:rPr>
                <w:sz w:val="18"/>
              </w:rPr>
            </w:pPr>
            <w:r>
              <w:rPr>
                <w:sz w:val="18"/>
              </w:rPr>
              <w:t>8 470</w:t>
            </w:r>
          </w:p>
        </w:tc>
        <w:tc>
          <w:tcPr>
            <w:tcW w:type="dxa" w:w="1160"/>
            <w:tcBorders>
              <w:top w:color="000000" w:sz="4" w:val="single"/>
              <w:left w:color="000000" w:sz="4" w:val="single"/>
              <w:bottom w:color="000000" w:sz="4" w:val="single"/>
              <w:right w:color="000000" w:sz="4" w:val="single"/>
            </w:tcBorders>
            <w:shd w:fill="auto" w:val="clear"/>
            <w:vAlign w:val="bottom"/>
          </w:tcPr>
          <w:p w14:paraId="5E3E0000">
            <w:pPr>
              <w:widowControl w:val="1"/>
              <w:ind/>
              <w:jc w:val="right"/>
              <w:rPr>
                <w:sz w:val="18"/>
              </w:rPr>
            </w:pPr>
            <w:r>
              <w:rPr>
                <w:sz w:val="18"/>
              </w:rPr>
              <w:t>8 470</w:t>
            </w:r>
          </w:p>
        </w:tc>
        <w:tc>
          <w:tcPr>
            <w:tcW w:type="dxa" w:w="1620"/>
            <w:tcBorders>
              <w:top w:color="000000" w:sz="4" w:val="single"/>
              <w:left w:color="000000" w:sz="4" w:val="single"/>
              <w:bottom w:color="000000" w:sz="4" w:val="single"/>
              <w:right w:color="000000" w:sz="4" w:val="single"/>
            </w:tcBorders>
            <w:shd w:fill="auto" w:val="clear"/>
            <w:vAlign w:val="bottom"/>
          </w:tcPr>
          <w:p w14:paraId="5F3E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603E0000">
            <w:pPr>
              <w:rPr>
                <w:sz w:val="18"/>
              </w:rPr>
            </w:pPr>
            <w:r>
              <w:rPr>
                <w:sz w:val="18"/>
              </w:rPr>
              <w:t>* прочих дебиторов, в т.ч.</w:t>
            </w:r>
          </w:p>
        </w:tc>
        <w:tc>
          <w:tcPr>
            <w:tcW w:type="dxa" w:w="1640"/>
            <w:tcBorders>
              <w:top w:color="000000" w:sz="4" w:val="single"/>
              <w:left w:color="000000" w:sz="4" w:val="single"/>
              <w:bottom w:color="000000" w:sz="4" w:val="single"/>
              <w:right w:color="000000" w:sz="4" w:val="single"/>
            </w:tcBorders>
            <w:shd w:fill="auto" w:val="clear"/>
            <w:vAlign w:val="center"/>
          </w:tcPr>
          <w:p w14:paraId="613E0000">
            <w:pPr>
              <w:widowControl w:val="1"/>
              <w:ind/>
              <w:jc w:val="right"/>
              <w:rPr>
                <w:sz w:val="18"/>
              </w:rPr>
            </w:pPr>
            <w:r>
              <w:rPr>
                <w:sz w:val="18"/>
              </w:rPr>
              <w:t>58 377</w:t>
            </w:r>
          </w:p>
        </w:tc>
        <w:tc>
          <w:tcPr>
            <w:tcW w:type="dxa" w:w="1160"/>
            <w:tcBorders>
              <w:top w:color="000000" w:sz="4" w:val="single"/>
              <w:left w:color="000000" w:sz="4" w:val="single"/>
              <w:bottom w:color="000000" w:sz="4" w:val="single"/>
              <w:right w:color="000000" w:sz="4" w:val="single"/>
            </w:tcBorders>
            <w:shd w:fill="auto" w:val="clear"/>
            <w:vAlign w:val="bottom"/>
          </w:tcPr>
          <w:p w14:paraId="623E0000">
            <w:pPr>
              <w:widowControl w:val="1"/>
              <w:ind/>
              <w:jc w:val="right"/>
              <w:rPr>
                <w:sz w:val="18"/>
              </w:rPr>
            </w:pPr>
            <w:r>
              <w:rPr>
                <w:sz w:val="18"/>
              </w:rPr>
              <w:t>505 020</w:t>
            </w:r>
          </w:p>
        </w:tc>
        <w:tc>
          <w:tcPr>
            <w:tcW w:type="dxa" w:w="1160"/>
            <w:tcBorders>
              <w:top w:color="000000" w:sz="4" w:val="single"/>
              <w:left w:color="000000" w:sz="4" w:val="single"/>
              <w:bottom w:color="000000" w:sz="4" w:val="single"/>
              <w:right w:color="000000" w:sz="4" w:val="single"/>
            </w:tcBorders>
            <w:shd w:fill="auto" w:val="clear"/>
            <w:vAlign w:val="bottom"/>
          </w:tcPr>
          <w:p w14:paraId="633E0000">
            <w:pPr>
              <w:widowControl w:val="1"/>
              <w:ind/>
              <w:jc w:val="right"/>
              <w:rPr>
                <w:sz w:val="18"/>
              </w:rPr>
            </w:pPr>
            <w:r>
              <w:rPr>
                <w:sz w:val="18"/>
              </w:rPr>
              <w:t>538 668</w:t>
            </w:r>
          </w:p>
        </w:tc>
        <w:tc>
          <w:tcPr>
            <w:tcW w:type="dxa" w:w="1620"/>
            <w:tcBorders>
              <w:top w:color="000000" w:sz="4" w:val="single"/>
              <w:left w:color="000000" w:sz="4" w:val="single"/>
              <w:bottom w:color="000000" w:sz="4" w:val="single"/>
              <w:right w:color="000000" w:sz="4" w:val="single"/>
            </w:tcBorders>
            <w:shd w:fill="auto" w:val="clear"/>
            <w:vAlign w:val="bottom"/>
          </w:tcPr>
          <w:p w14:paraId="643E0000">
            <w:pPr>
              <w:widowControl w:val="1"/>
              <w:ind/>
              <w:jc w:val="right"/>
              <w:rPr>
                <w:sz w:val="18"/>
              </w:rPr>
            </w:pPr>
            <w:r>
              <w:rPr>
                <w:sz w:val="18"/>
              </w:rPr>
              <w:t>24 72</w:t>
            </w:r>
            <w:r>
              <w:rPr>
                <w:sz w:val="18"/>
              </w:rPr>
              <w:t>8</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653E0000">
            <w:pPr>
              <w:rPr>
                <w:i w:val="1"/>
                <w:sz w:val="18"/>
              </w:rPr>
            </w:pPr>
            <w:r>
              <w:rPr>
                <w:i w:val="1"/>
                <w:sz w:val="18"/>
              </w:rPr>
              <w:t xml:space="preserve">           - Субъектов РФ</w:t>
            </w:r>
          </w:p>
        </w:tc>
        <w:tc>
          <w:tcPr>
            <w:tcW w:type="dxa" w:w="1640"/>
            <w:tcBorders>
              <w:top w:color="000000" w:sz="4" w:val="single"/>
              <w:left w:color="000000" w:sz="4" w:val="single"/>
              <w:bottom w:color="000000" w:sz="4" w:val="single"/>
              <w:right w:color="000000" w:sz="4" w:val="single"/>
            </w:tcBorders>
            <w:shd w:fill="auto" w:val="clear"/>
            <w:vAlign w:val="center"/>
          </w:tcPr>
          <w:p w14:paraId="663E0000">
            <w:pPr>
              <w:widowControl w:val="1"/>
              <w:ind/>
              <w:jc w:val="right"/>
              <w:rPr>
                <w:sz w:val="18"/>
              </w:rPr>
            </w:pPr>
            <w:r>
              <w:rPr>
                <w:sz w:val="18"/>
              </w:rPr>
              <w:t>35 345</w:t>
            </w:r>
          </w:p>
        </w:tc>
        <w:tc>
          <w:tcPr>
            <w:tcW w:type="dxa" w:w="1160"/>
            <w:tcBorders>
              <w:top w:color="000000" w:sz="4" w:val="single"/>
              <w:left w:color="000000" w:sz="4" w:val="single"/>
              <w:bottom w:color="000000" w:sz="4" w:val="single"/>
              <w:right w:color="000000" w:sz="4" w:val="single"/>
            </w:tcBorders>
            <w:shd w:fill="auto" w:val="clear"/>
            <w:vAlign w:val="bottom"/>
          </w:tcPr>
          <w:p w14:paraId="673E0000">
            <w:pPr>
              <w:widowControl w:val="1"/>
              <w:ind/>
              <w:jc w:val="right"/>
              <w:rPr>
                <w:sz w:val="18"/>
              </w:rPr>
            </w:pPr>
            <w:r>
              <w:rPr>
                <w:sz w:val="18"/>
              </w:rPr>
              <w:t>391 398</w:t>
            </w:r>
          </w:p>
        </w:tc>
        <w:tc>
          <w:tcPr>
            <w:tcW w:type="dxa" w:w="1160"/>
            <w:tcBorders>
              <w:top w:color="000000" w:sz="4" w:val="single"/>
              <w:left w:color="000000" w:sz="4" w:val="single"/>
              <w:bottom w:color="000000" w:sz="4" w:val="single"/>
              <w:right w:color="000000" w:sz="4" w:val="single"/>
            </w:tcBorders>
            <w:shd w:fill="auto" w:val="clear"/>
            <w:vAlign w:val="bottom"/>
          </w:tcPr>
          <w:p w14:paraId="683E0000">
            <w:pPr>
              <w:widowControl w:val="1"/>
              <w:ind/>
              <w:jc w:val="right"/>
              <w:rPr>
                <w:sz w:val="18"/>
              </w:rPr>
            </w:pPr>
            <w:r>
              <w:rPr>
                <w:sz w:val="18"/>
              </w:rPr>
              <w:t>426 743</w:t>
            </w:r>
          </w:p>
        </w:tc>
        <w:tc>
          <w:tcPr>
            <w:tcW w:type="dxa" w:w="1620"/>
            <w:tcBorders>
              <w:top w:color="000000" w:sz="4" w:val="single"/>
              <w:left w:color="000000" w:sz="4" w:val="single"/>
              <w:bottom w:color="000000" w:sz="4" w:val="single"/>
              <w:right w:color="000000" w:sz="4" w:val="single"/>
            </w:tcBorders>
            <w:shd w:fill="auto" w:val="clear"/>
            <w:vAlign w:val="bottom"/>
          </w:tcPr>
          <w:p w14:paraId="693E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6A3E0000">
            <w:pPr>
              <w:rPr>
                <w:i w:val="1"/>
                <w:sz w:val="18"/>
              </w:rPr>
            </w:pPr>
            <w:r>
              <w:rPr>
                <w:i w:val="1"/>
                <w:sz w:val="18"/>
              </w:rPr>
              <w:t xml:space="preserve">           - Задолженность работников по оплате труда (счет 70) </w:t>
            </w:r>
          </w:p>
        </w:tc>
        <w:tc>
          <w:tcPr>
            <w:tcW w:type="dxa" w:w="1640"/>
            <w:tcBorders>
              <w:top w:color="000000" w:sz="4" w:val="single"/>
              <w:left w:color="000000" w:sz="4" w:val="single"/>
              <w:bottom w:color="000000" w:sz="4" w:val="single"/>
              <w:right w:color="000000" w:sz="4" w:val="single"/>
            </w:tcBorders>
            <w:shd w:fill="auto" w:val="clear"/>
            <w:vAlign w:val="center"/>
          </w:tcPr>
          <w:p w14:paraId="6B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6C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6D3E0000">
            <w:pPr>
              <w:widowControl w:val="1"/>
              <w:ind/>
              <w:jc w:val="right"/>
              <w:rPr>
                <w:sz w:val="18"/>
              </w:rPr>
            </w:pPr>
            <w:r>
              <w:rPr>
                <w:sz w:val="18"/>
              </w:rPr>
              <w:t>0</w:t>
            </w:r>
          </w:p>
        </w:tc>
        <w:tc>
          <w:tcPr>
            <w:tcW w:type="dxa" w:w="1620"/>
            <w:tcBorders>
              <w:top w:color="000000" w:sz="4" w:val="single"/>
              <w:left w:color="000000" w:sz="4" w:val="single"/>
              <w:bottom w:color="000000" w:sz="4" w:val="single"/>
              <w:right w:color="000000" w:sz="4" w:val="single"/>
            </w:tcBorders>
            <w:shd w:fill="auto" w:val="clear"/>
            <w:vAlign w:val="bottom"/>
          </w:tcPr>
          <w:p w14:paraId="6E3E0000">
            <w:pPr>
              <w:widowControl w:val="1"/>
              <w:ind/>
              <w:jc w:val="right"/>
              <w:rPr>
                <w:sz w:val="18"/>
              </w:rPr>
            </w:pPr>
            <w:r>
              <w:rPr>
                <w:sz w:val="18"/>
              </w:rPr>
              <w:t>0</w:t>
            </w:r>
          </w:p>
        </w:tc>
      </w:tr>
      <w:tr>
        <w:trPr>
          <w:trHeight w:hRule="atLeast" w:val="480"/>
        </w:trPr>
        <w:tc>
          <w:tcPr>
            <w:tcW w:type="dxa" w:w="4697"/>
            <w:tcBorders>
              <w:top w:color="000000" w:sz="4" w:val="single"/>
              <w:left w:color="000000" w:sz="4" w:val="single"/>
              <w:bottom w:color="000000" w:sz="4" w:val="single"/>
              <w:right w:color="000000" w:sz="4" w:val="single"/>
            </w:tcBorders>
            <w:shd w:fill="auto" w:val="clear"/>
            <w:vAlign w:val="center"/>
          </w:tcPr>
          <w:p w14:paraId="6F3E0000">
            <w:pPr>
              <w:rPr>
                <w:i w:val="1"/>
                <w:sz w:val="18"/>
              </w:rPr>
            </w:pPr>
            <w:r>
              <w:rPr>
                <w:i w:val="1"/>
                <w:sz w:val="18"/>
              </w:rPr>
              <w:t xml:space="preserve">           -Задолженность по социальному страхованию и обеспечению (счет 69)</w:t>
            </w:r>
          </w:p>
        </w:tc>
        <w:tc>
          <w:tcPr>
            <w:tcW w:type="dxa" w:w="1640"/>
            <w:tcBorders>
              <w:top w:color="000000" w:sz="4" w:val="single"/>
              <w:left w:color="000000" w:sz="4" w:val="single"/>
              <w:bottom w:color="000000" w:sz="4" w:val="single"/>
              <w:right w:color="000000" w:sz="4" w:val="single"/>
            </w:tcBorders>
            <w:shd w:fill="auto" w:val="clear"/>
            <w:vAlign w:val="center"/>
          </w:tcPr>
          <w:p w14:paraId="703E0000">
            <w:pPr>
              <w:widowControl w:val="1"/>
              <w:ind/>
              <w:jc w:val="right"/>
              <w:rPr>
                <w:sz w:val="18"/>
              </w:rPr>
            </w:pPr>
            <w:r>
              <w:rPr>
                <w:sz w:val="18"/>
              </w:rPr>
              <w:t>622</w:t>
            </w:r>
          </w:p>
        </w:tc>
        <w:tc>
          <w:tcPr>
            <w:tcW w:type="dxa" w:w="1160"/>
            <w:tcBorders>
              <w:top w:color="000000" w:sz="4" w:val="single"/>
              <w:left w:color="000000" w:sz="4" w:val="single"/>
              <w:bottom w:color="000000" w:sz="4" w:val="single"/>
              <w:right w:color="000000" w:sz="4" w:val="single"/>
            </w:tcBorders>
            <w:shd w:fill="auto" w:val="clear"/>
            <w:vAlign w:val="bottom"/>
          </w:tcPr>
          <w:p w14:paraId="713E0000">
            <w:pPr>
              <w:widowControl w:val="1"/>
              <w:ind/>
              <w:jc w:val="right"/>
              <w:rPr>
                <w:sz w:val="18"/>
              </w:rPr>
            </w:pPr>
            <w:r>
              <w:rPr>
                <w:sz w:val="18"/>
              </w:rPr>
              <w:t>7 024</w:t>
            </w:r>
          </w:p>
        </w:tc>
        <w:tc>
          <w:tcPr>
            <w:tcW w:type="dxa" w:w="1160"/>
            <w:tcBorders>
              <w:top w:color="000000" w:sz="4" w:val="single"/>
              <w:left w:color="000000" w:sz="4" w:val="single"/>
              <w:bottom w:color="000000" w:sz="4" w:val="single"/>
              <w:right w:color="000000" w:sz="4" w:val="single"/>
            </w:tcBorders>
            <w:shd w:fill="auto" w:val="clear"/>
            <w:vAlign w:val="bottom"/>
          </w:tcPr>
          <w:p w14:paraId="723E0000">
            <w:pPr>
              <w:widowControl w:val="1"/>
              <w:ind/>
              <w:jc w:val="right"/>
              <w:rPr>
                <w:sz w:val="18"/>
              </w:rPr>
            </w:pPr>
            <w:r>
              <w:rPr>
                <w:sz w:val="18"/>
              </w:rPr>
              <w:t>7 022</w:t>
            </w:r>
          </w:p>
        </w:tc>
        <w:tc>
          <w:tcPr>
            <w:tcW w:type="dxa" w:w="1620"/>
            <w:tcBorders>
              <w:top w:color="000000" w:sz="4" w:val="single"/>
              <w:left w:color="000000" w:sz="4" w:val="single"/>
              <w:bottom w:color="000000" w:sz="4" w:val="single"/>
              <w:right w:color="000000" w:sz="4" w:val="single"/>
            </w:tcBorders>
            <w:shd w:fill="auto" w:val="clear"/>
            <w:vAlign w:val="bottom"/>
          </w:tcPr>
          <w:p w14:paraId="733E0000">
            <w:pPr>
              <w:widowControl w:val="1"/>
              <w:ind/>
              <w:jc w:val="right"/>
              <w:rPr>
                <w:sz w:val="18"/>
              </w:rPr>
            </w:pPr>
            <w:r>
              <w:rPr>
                <w:sz w:val="18"/>
              </w:rPr>
              <w:t>625</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743E0000">
            <w:pPr>
              <w:rPr>
                <w:i w:val="1"/>
                <w:sz w:val="18"/>
              </w:rPr>
            </w:pPr>
            <w:r>
              <w:rPr>
                <w:i w:val="1"/>
                <w:sz w:val="18"/>
              </w:rPr>
              <w:t xml:space="preserve">            -Задолженность бюджетов (счет 68)</w:t>
            </w:r>
          </w:p>
        </w:tc>
        <w:tc>
          <w:tcPr>
            <w:tcW w:type="dxa" w:w="1640"/>
            <w:tcBorders>
              <w:top w:color="000000" w:sz="4" w:val="single"/>
              <w:left w:color="000000" w:sz="4" w:val="single"/>
              <w:bottom w:color="000000" w:sz="4" w:val="single"/>
              <w:right w:color="000000" w:sz="4" w:val="single"/>
            </w:tcBorders>
            <w:shd w:fill="auto" w:val="clear"/>
            <w:vAlign w:val="center"/>
          </w:tcPr>
          <w:p w14:paraId="753E0000">
            <w:pPr>
              <w:widowControl w:val="1"/>
              <w:ind/>
              <w:jc w:val="right"/>
              <w:rPr>
                <w:sz w:val="18"/>
              </w:rPr>
            </w:pPr>
            <w:r>
              <w:rPr>
                <w:sz w:val="18"/>
              </w:rPr>
              <w:t>22 113</w:t>
            </w:r>
          </w:p>
        </w:tc>
        <w:tc>
          <w:tcPr>
            <w:tcW w:type="dxa" w:w="1160"/>
            <w:tcBorders>
              <w:top w:color="000000" w:sz="4" w:val="single"/>
              <w:left w:color="000000" w:sz="4" w:val="single"/>
              <w:bottom w:color="000000" w:sz="4" w:val="single"/>
              <w:right w:color="000000" w:sz="4" w:val="single"/>
            </w:tcBorders>
            <w:shd w:fill="auto" w:val="clear"/>
            <w:vAlign w:val="bottom"/>
          </w:tcPr>
          <w:p w14:paraId="763E0000">
            <w:pPr>
              <w:widowControl w:val="1"/>
              <w:ind/>
              <w:jc w:val="right"/>
              <w:rPr>
                <w:sz w:val="18"/>
              </w:rPr>
            </w:pPr>
            <w:r>
              <w:rPr>
                <w:sz w:val="18"/>
              </w:rPr>
              <w:t>92 195</w:t>
            </w:r>
          </w:p>
        </w:tc>
        <w:tc>
          <w:tcPr>
            <w:tcW w:type="dxa" w:w="1160"/>
            <w:tcBorders>
              <w:top w:color="000000" w:sz="4" w:val="single"/>
              <w:left w:color="000000" w:sz="4" w:val="single"/>
              <w:bottom w:color="000000" w:sz="4" w:val="single"/>
              <w:right w:color="000000" w:sz="4" w:val="single"/>
            </w:tcBorders>
            <w:shd w:fill="auto" w:val="clear"/>
            <w:vAlign w:val="bottom"/>
          </w:tcPr>
          <w:p w14:paraId="773E0000">
            <w:pPr>
              <w:widowControl w:val="1"/>
              <w:ind/>
              <w:jc w:val="right"/>
              <w:rPr>
                <w:sz w:val="18"/>
              </w:rPr>
            </w:pPr>
            <w:r>
              <w:rPr>
                <w:sz w:val="18"/>
              </w:rPr>
              <w:t>90 588</w:t>
            </w:r>
          </w:p>
        </w:tc>
        <w:tc>
          <w:tcPr>
            <w:tcW w:type="dxa" w:w="1620"/>
            <w:tcBorders>
              <w:top w:color="000000" w:sz="4" w:val="single"/>
              <w:left w:color="000000" w:sz="4" w:val="single"/>
              <w:bottom w:color="000000" w:sz="4" w:val="single"/>
              <w:right w:color="000000" w:sz="4" w:val="single"/>
            </w:tcBorders>
            <w:shd w:fill="auto" w:val="clear"/>
            <w:vAlign w:val="bottom"/>
          </w:tcPr>
          <w:p w14:paraId="783E0000">
            <w:pPr>
              <w:widowControl w:val="1"/>
              <w:ind/>
              <w:jc w:val="right"/>
              <w:rPr>
                <w:sz w:val="18"/>
              </w:rPr>
            </w:pPr>
            <w:r>
              <w:rPr>
                <w:sz w:val="18"/>
              </w:rPr>
              <w:t>23 721</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vAlign w:val="center"/>
          </w:tcPr>
          <w:p w14:paraId="793E0000">
            <w:pPr>
              <w:rPr>
                <w:sz w:val="18"/>
              </w:rPr>
            </w:pPr>
            <w:r>
              <w:rPr>
                <w:sz w:val="18"/>
              </w:rPr>
              <w:t xml:space="preserve">            - прочих контрагентов</w:t>
            </w:r>
          </w:p>
        </w:tc>
        <w:tc>
          <w:tcPr>
            <w:tcW w:type="dxa" w:w="1640"/>
            <w:tcBorders>
              <w:top w:color="000000" w:sz="4" w:val="single"/>
              <w:left w:color="000000" w:sz="4" w:val="single"/>
              <w:bottom w:color="000000" w:sz="4" w:val="single"/>
              <w:right w:color="000000" w:sz="4" w:val="single"/>
            </w:tcBorders>
            <w:shd w:fill="auto" w:val="clear"/>
            <w:vAlign w:val="center"/>
          </w:tcPr>
          <w:p w14:paraId="7A3E0000">
            <w:pPr>
              <w:widowControl w:val="1"/>
              <w:ind/>
              <w:jc w:val="right"/>
              <w:rPr>
                <w:sz w:val="18"/>
              </w:rPr>
            </w:pPr>
            <w:r>
              <w:rPr>
                <w:sz w:val="18"/>
              </w:rPr>
              <w:t>296</w:t>
            </w:r>
          </w:p>
        </w:tc>
        <w:tc>
          <w:tcPr>
            <w:tcW w:type="dxa" w:w="1160"/>
            <w:tcBorders>
              <w:top w:color="000000" w:sz="4" w:val="single"/>
              <w:left w:color="000000" w:sz="4" w:val="single"/>
              <w:bottom w:color="000000" w:sz="4" w:val="single"/>
              <w:right w:color="000000" w:sz="4" w:val="single"/>
            </w:tcBorders>
            <w:shd w:fill="auto" w:val="clear"/>
            <w:vAlign w:val="bottom"/>
          </w:tcPr>
          <w:p w14:paraId="7B3E0000">
            <w:pPr>
              <w:widowControl w:val="1"/>
              <w:ind/>
              <w:jc w:val="right"/>
              <w:rPr>
                <w:sz w:val="18"/>
              </w:rPr>
            </w:pPr>
            <w:r>
              <w:rPr>
                <w:sz w:val="18"/>
              </w:rPr>
              <w:t>14 4</w:t>
            </w:r>
            <w:r>
              <w:rPr>
                <w:sz w:val="18"/>
              </w:rPr>
              <w:t>03</w:t>
            </w:r>
          </w:p>
        </w:tc>
        <w:tc>
          <w:tcPr>
            <w:tcW w:type="dxa" w:w="1160"/>
            <w:tcBorders>
              <w:top w:color="000000" w:sz="4" w:val="single"/>
              <w:left w:color="000000" w:sz="4" w:val="single"/>
              <w:bottom w:color="000000" w:sz="4" w:val="single"/>
              <w:right w:color="000000" w:sz="4" w:val="single"/>
            </w:tcBorders>
            <w:shd w:fill="auto" w:val="clear"/>
            <w:vAlign w:val="bottom"/>
          </w:tcPr>
          <w:p w14:paraId="7C3E0000">
            <w:pPr>
              <w:widowControl w:val="1"/>
              <w:ind/>
              <w:jc w:val="right"/>
              <w:rPr>
                <w:sz w:val="18"/>
              </w:rPr>
            </w:pPr>
            <w:r>
              <w:rPr>
                <w:sz w:val="18"/>
              </w:rPr>
              <w:t xml:space="preserve">14 </w:t>
            </w:r>
            <w:r>
              <w:rPr>
                <w:sz w:val="18"/>
              </w:rPr>
              <w:t>316</w:t>
            </w:r>
          </w:p>
        </w:tc>
        <w:tc>
          <w:tcPr>
            <w:tcW w:type="dxa" w:w="1620"/>
            <w:tcBorders>
              <w:top w:color="000000" w:sz="4" w:val="single"/>
              <w:left w:color="000000" w:sz="4" w:val="single"/>
              <w:bottom w:color="000000" w:sz="4" w:val="single"/>
              <w:right w:color="000000" w:sz="4" w:val="single"/>
            </w:tcBorders>
            <w:shd w:fill="auto" w:val="clear"/>
            <w:vAlign w:val="bottom"/>
          </w:tcPr>
          <w:p w14:paraId="7D3E0000">
            <w:pPr>
              <w:widowControl w:val="1"/>
              <w:ind/>
              <w:jc w:val="right"/>
              <w:rPr>
                <w:sz w:val="18"/>
              </w:rPr>
            </w:pPr>
            <w:r>
              <w:rPr>
                <w:sz w:val="18"/>
              </w:rPr>
              <w:t>383</w:t>
            </w:r>
          </w:p>
        </w:tc>
      </w:tr>
      <w:tr>
        <w:trPr>
          <w:trHeight w:hRule="atLeast" w:val="570"/>
        </w:trPr>
        <w:tc>
          <w:tcPr>
            <w:tcW w:type="dxa" w:w="4697"/>
            <w:tcBorders>
              <w:top w:color="000000" w:sz="4" w:val="single"/>
              <w:left w:color="000000" w:sz="4" w:val="single"/>
              <w:bottom w:color="000000" w:sz="4" w:val="single"/>
              <w:right w:color="000000" w:sz="4" w:val="single"/>
            </w:tcBorders>
            <w:shd w:fill="auto" w:val="clear"/>
            <w:vAlign w:val="center"/>
          </w:tcPr>
          <w:p w14:paraId="7E3E0000">
            <w:pPr>
              <w:rPr>
                <w:b w:val="1"/>
                <w:sz w:val="18"/>
              </w:rPr>
            </w:pPr>
            <w:r>
              <w:rPr>
                <w:b w:val="1"/>
                <w:sz w:val="18"/>
              </w:rPr>
              <w:t>Задолженность покупателей и заказчиков (счет 62.01) - всего, в т.ч.</w:t>
            </w:r>
          </w:p>
        </w:tc>
        <w:tc>
          <w:tcPr>
            <w:tcW w:type="dxa" w:w="1640"/>
            <w:tcBorders>
              <w:top w:color="000000" w:sz="4" w:val="single"/>
              <w:left w:color="000000" w:sz="4" w:val="single"/>
              <w:bottom w:color="000000" w:sz="4" w:val="single"/>
              <w:right w:color="000000" w:sz="4" w:val="single"/>
            </w:tcBorders>
            <w:shd w:fill="auto" w:val="clear"/>
            <w:vAlign w:val="center"/>
          </w:tcPr>
          <w:p w14:paraId="7F3E0000">
            <w:pPr>
              <w:widowControl w:val="1"/>
              <w:ind/>
              <w:jc w:val="right"/>
              <w:rPr>
                <w:b w:val="1"/>
                <w:sz w:val="18"/>
              </w:rPr>
            </w:pPr>
            <w:r>
              <w:rPr>
                <w:b w:val="1"/>
                <w:sz w:val="18"/>
              </w:rPr>
              <w:t>4 969</w:t>
            </w:r>
          </w:p>
        </w:tc>
        <w:tc>
          <w:tcPr>
            <w:tcW w:type="dxa" w:w="1160"/>
            <w:tcBorders>
              <w:top w:color="000000" w:sz="4" w:val="single"/>
              <w:left w:color="000000" w:sz="4" w:val="single"/>
              <w:bottom w:color="000000" w:sz="4" w:val="single"/>
              <w:right w:color="000000" w:sz="4" w:val="single"/>
            </w:tcBorders>
            <w:shd w:fill="auto" w:val="clear"/>
            <w:vAlign w:val="bottom"/>
          </w:tcPr>
          <w:p w14:paraId="803E0000">
            <w:pPr>
              <w:widowControl w:val="1"/>
              <w:ind/>
              <w:jc w:val="right"/>
              <w:rPr>
                <w:b w:val="1"/>
                <w:sz w:val="18"/>
              </w:rPr>
            </w:pPr>
            <w:r>
              <w:rPr>
                <w:b w:val="1"/>
                <w:sz w:val="18"/>
              </w:rPr>
              <w:t>96 563</w:t>
            </w:r>
          </w:p>
        </w:tc>
        <w:tc>
          <w:tcPr>
            <w:tcW w:type="dxa" w:w="1160"/>
            <w:tcBorders>
              <w:top w:color="000000" w:sz="4" w:val="single"/>
              <w:left w:color="000000" w:sz="4" w:val="single"/>
              <w:bottom w:color="000000" w:sz="4" w:val="single"/>
              <w:right w:color="000000" w:sz="4" w:val="single"/>
            </w:tcBorders>
            <w:shd w:fill="auto" w:val="clear"/>
            <w:vAlign w:val="bottom"/>
          </w:tcPr>
          <w:p w14:paraId="813E0000">
            <w:pPr>
              <w:widowControl w:val="1"/>
              <w:ind/>
              <w:jc w:val="right"/>
              <w:rPr>
                <w:b w:val="1"/>
                <w:sz w:val="18"/>
              </w:rPr>
            </w:pPr>
            <w:r>
              <w:rPr>
                <w:b w:val="1"/>
                <w:sz w:val="18"/>
              </w:rPr>
              <w:t>96 361</w:t>
            </w:r>
          </w:p>
        </w:tc>
        <w:tc>
          <w:tcPr>
            <w:tcW w:type="dxa" w:w="1620"/>
            <w:tcBorders>
              <w:top w:color="000000" w:sz="4" w:val="single"/>
              <w:left w:color="000000" w:sz="4" w:val="single"/>
              <w:bottom w:color="000000" w:sz="4" w:val="single"/>
              <w:right w:color="000000" w:sz="4" w:val="single"/>
            </w:tcBorders>
            <w:shd w:fill="auto" w:val="clear"/>
            <w:vAlign w:val="bottom"/>
          </w:tcPr>
          <w:p w14:paraId="823E0000">
            <w:pPr>
              <w:widowControl w:val="1"/>
              <w:ind/>
              <w:jc w:val="right"/>
              <w:rPr>
                <w:b w:val="1"/>
                <w:sz w:val="18"/>
              </w:rPr>
            </w:pPr>
            <w:r>
              <w:rPr>
                <w:b w:val="1"/>
                <w:sz w:val="18"/>
              </w:rPr>
              <w:t>5 172</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center"/>
          </w:tcPr>
          <w:p w14:paraId="833E0000">
            <w:pPr>
              <w:rPr>
                <w:b w:val="1"/>
                <w:sz w:val="18"/>
              </w:rPr>
            </w:pPr>
            <w:r>
              <w:rPr>
                <w:b w:val="1"/>
                <w:sz w:val="18"/>
              </w:rPr>
              <w:t xml:space="preserve">            ОАО "РЖД":</w:t>
            </w:r>
          </w:p>
        </w:tc>
        <w:tc>
          <w:tcPr>
            <w:tcW w:type="dxa" w:w="1640"/>
            <w:tcBorders>
              <w:top w:color="000000" w:sz="4" w:val="single"/>
              <w:left w:color="000000" w:sz="4" w:val="single"/>
              <w:bottom w:color="000000" w:sz="4" w:val="single"/>
              <w:right w:color="000000" w:sz="4" w:val="single"/>
            </w:tcBorders>
            <w:shd w:fill="auto" w:val="clear"/>
            <w:vAlign w:val="center"/>
          </w:tcPr>
          <w:p w14:paraId="843E0000">
            <w:pPr>
              <w:widowControl w:val="1"/>
              <w:ind/>
              <w:jc w:val="right"/>
              <w:rPr>
                <w:b w:val="1"/>
                <w:sz w:val="18"/>
              </w:rPr>
            </w:pPr>
            <w:r>
              <w:rPr>
                <w:b w:val="1"/>
                <w:sz w:val="18"/>
              </w:rPr>
              <w:t>3 417</w:t>
            </w:r>
          </w:p>
        </w:tc>
        <w:tc>
          <w:tcPr>
            <w:tcW w:type="dxa" w:w="1160"/>
            <w:tcBorders>
              <w:top w:color="000000" w:sz="4" w:val="single"/>
              <w:left w:color="000000" w:sz="4" w:val="single"/>
              <w:bottom w:color="000000" w:sz="4" w:val="single"/>
              <w:right w:color="000000" w:sz="4" w:val="single"/>
            </w:tcBorders>
            <w:shd w:fill="auto" w:val="clear"/>
            <w:vAlign w:val="bottom"/>
          </w:tcPr>
          <w:p w14:paraId="853E0000">
            <w:pPr>
              <w:widowControl w:val="1"/>
              <w:ind/>
              <w:jc w:val="right"/>
              <w:rPr>
                <w:b w:val="1"/>
                <w:sz w:val="18"/>
              </w:rPr>
            </w:pPr>
            <w:r>
              <w:rPr>
                <w:b w:val="1"/>
                <w:sz w:val="18"/>
              </w:rPr>
              <w:t>29 281</w:t>
            </w:r>
          </w:p>
        </w:tc>
        <w:tc>
          <w:tcPr>
            <w:tcW w:type="dxa" w:w="1160"/>
            <w:tcBorders>
              <w:top w:color="000000" w:sz="4" w:val="single"/>
              <w:left w:color="000000" w:sz="4" w:val="single"/>
              <w:bottom w:color="000000" w:sz="4" w:val="single"/>
              <w:right w:color="000000" w:sz="4" w:val="single"/>
            </w:tcBorders>
            <w:shd w:fill="auto" w:val="clear"/>
            <w:vAlign w:val="bottom"/>
          </w:tcPr>
          <w:p w14:paraId="863E0000">
            <w:pPr>
              <w:widowControl w:val="1"/>
              <w:ind/>
              <w:jc w:val="right"/>
              <w:rPr>
                <w:b w:val="1"/>
                <w:sz w:val="18"/>
              </w:rPr>
            </w:pPr>
            <w:r>
              <w:rPr>
                <w:b w:val="1"/>
                <w:sz w:val="18"/>
              </w:rPr>
              <w:t>28 498</w:t>
            </w:r>
          </w:p>
        </w:tc>
        <w:tc>
          <w:tcPr>
            <w:tcW w:type="dxa" w:w="1620"/>
            <w:tcBorders>
              <w:top w:color="000000" w:sz="4" w:val="single"/>
              <w:left w:color="000000" w:sz="4" w:val="single"/>
              <w:bottom w:color="000000" w:sz="4" w:val="single"/>
              <w:right w:color="000000" w:sz="4" w:val="single"/>
            </w:tcBorders>
            <w:shd w:fill="auto" w:val="clear"/>
            <w:vAlign w:val="bottom"/>
          </w:tcPr>
          <w:p w14:paraId="873E0000">
            <w:pPr>
              <w:widowControl w:val="1"/>
              <w:ind/>
              <w:jc w:val="right"/>
              <w:rPr>
                <w:b w:val="1"/>
                <w:sz w:val="18"/>
              </w:rPr>
            </w:pPr>
            <w:r>
              <w:rPr>
                <w:b w:val="1"/>
                <w:sz w:val="18"/>
              </w:rPr>
              <w:t>4 201</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883E0000">
            <w:pPr>
              <w:widowControl w:val="1"/>
              <w:ind w:firstLine="180"/>
              <w:rPr>
                <w:sz w:val="18"/>
              </w:rPr>
            </w:pPr>
            <w:r>
              <w:rPr>
                <w:sz w:val="18"/>
              </w:rPr>
              <w:t>АХУ Административно-хозяйственное управление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893E0000">
            <w:pPr>
              <w:widowControl w:val="1"/>
              <w:ind/>
              <w:jc w:val="right"/>
              <w:rPr>
                <w:sz w:val="18"/>
              </w:rPr>
            </w:pPr>
            <w:r>
              <w:rPr>
                <w:sz w:val="18"/>
              </w:rPr>
              <w:t>8</w:t>
            </w:r>
          </w:p>
        </w:tc>
        <w:tc>
          <w:tcPr>
            <w:tcW w:type="dxa" w:w="1160"/>
            <w:tcBorders>
              <w:top w:color="000000" w:sz="4" w:val="single"/>
              <w:left w:color="000000" w:sz="4" w:val="single"/>
              <w:bottom w:color="000000" w:sz="4" w:val="single"/>
              <w:right w:color="000000" w:sz="4" w:val="single"/>
            </w:tcBorders>
            <w:shd w:fill="auto" w:val="clear"/>
            <w:vAlign w:val="bottom"/>
          </w:tcPr>
          <w:p w14:paraId="8A3E0000">
            <w:pPr>
              <w:widowControl w:val="1"/>
              <w:ind/>
              <w:jc w:val="right"/>
              <w:rPr>
                <w:sz w:val="18"/>
              </w:rPr>
            </w:pPr>
            <w:r>
              <w:rPr>
                <w:sz w:val="18"/>
              </w:rPr>
              <w:t>35</w:t>
            </w:r>
          </w:p>
        </w:tc>
        <w:tc>
          <w:tcPr>
            <w:tcW w:type="dxa" w:w="1160"/>
            <w:tcBorders>
              <w:top w:color="000000" w:sz="4" w:val="single"/>
              <w:left w:color="000000" w:sz="4" w:val="single"/>
              <w:bottom w:color="000000" w:sz="4" w:val="single"/>
              <w:right w:color="000000" w:sz="4" w:val="single"/>
            </w:tcBorders>
            <w:shd w:fill="auto" w:val="clear"/>
            <w:vAlign w:val="bottom"/>
          </w:tcPr>
          <w:p w14:paraId="8B3E0000">
            <w:pPr>
              <w:widowControl w:val="1"/>
              <w:ind/>
              <w:jc w:val="right"/>
              <w:rPr>
                <w:sz w:val="18"/>
              </w:rPr>
            </w:pPr>
            <w:r>
              <w:rPr>
                <w:sz w:val="18"/>
              </w:rPr>
              <w:t>39</w:t>
            </w:r>
          </w:p>
        </w:tc>
        <w:tc>
          <w:tcPr>
            <w:tcW w:type="dxa" w:w="1620"/>
            <w:tcBorders>
              <w:top w:color="000000" w:sz="4" w:val="single"/>
              <w:left w:color="000000" w:sz="4" w:val="single"/>
              <w:bottom w:color="000000" w:sz="4" w:val="single"/>
              <w:right w:color="000000" w:sz="4" w:val="single"/>
            </w:tcBorders>
            <w:shd w:fill="auto" w:val="clear"/>
            <w:vAlign w:val="bottom"/>
          </w:tcPr>
          <w:p w14:paraId="8C3E0000">
            <w:pPr>
              <w:widowControl w:val="1"/>
              <w:ind/>
              <w:jc w:val="right"/>
              <w:rPr>
                <w:sz w:val="18"/>
              </w:rPr>
            </w:pPr>
            <w:r>
              <w:rPr>
                <w:sz w:val="18"/>
              </w:rPr>
              <w:t>4</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8D3E0000">
            <w:pPr>
              <w:widowControl w:val="1"/>
              <w:ind w:firstLine="180"/>
              <w:rPr>
                <w:sz w:val="18"/>
              </w:rPr>
            </w:pPr>
            <w:r>
              <w:rPr>
                <w:sz w:val="18"/>
              </w:rPr>
              <w:t>АХЦ Административно-хозяйственный центр-СП Красноярской ж.д.-филиала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8E3E0000">
            <w:pPr>
              <w:widowControl w:val="1"/>
              <w:ind/>
              <w:jc w:val="right"/>
              <w:rPr>
                <w:sz w:val="18"/>
              </w:rPr>
            </w:pPr>
            <w:r>
              <w:rPr>
                <w:sz w:val="18"/>
              </w:rPr>
              <w:t>10</w:t>
            </w:r>
          </w:p>
        </w:tc>
        <w:tc>
          <w:tcPr>
            <w:tcW w:type="dxa" w:w="1160"/>
            <w:tcBorders>
              <w:top w:color="000000" w:sz="4" w:val="single"/>
              <w:left w:color="000000" w:sz="4" w:val="single"/>
              <w:bottom w:color="000000" w:sz="4" w:val="single"/>
              <w:right w:color="000000" w:sz="4" w:val="single"/>
            </w:tcBorders>
            <w:shd w:fill="auto" w:val="clear"/>
            <w:vAlign w:val="bottom"/>
          </w:tcPr>
          <w:p w14:paraId="8F3E0000">
            <w:pPr>
              <w:widowControl w:val="1"/>
              <w:ind/>
              <w:jc w:val="right"/>
              <w:rPr>
                <w:sz w:val="18"/>
              </w:rPr>
            </w:pPr>
            <w:r>
              <w:rPr>
                <w:sz w:val="18"/>
              </w:rPr>
              <w:t>40</w:t>
            </w:r>
          </w:p>
        </w:tc>
        <w:tc>
          <w:tcPr>
            <w:tcW w:type="dxa" w:w="1160"/>
            <w:tcBorders>
              <w:top w:color="000000" w:sz="4" w:val="single"/>
              <w:left w:color="000000" w:sz="4" w:val="single"/>
              <w:bottom w:color="000000" w:sz="4" w:val="single"/>
              <w:right w:color="000000" w:sz="4" w:val="single"/>
            </w:tcBorders>
            <w:shd w:fill="auto" w:val="clear"/>
            <w:vAlign w:val="bottom"/>
          </w:tcPr>
          <w:p w14:paraId="903E0000">
            <w:pPr>
              <w:widowControl w:val="1"/>
              <w:ind/>
              <w:jc w:val="right"/>
              <w:rPr>
                <w:sz w:val="18"/>
              </w:rPr>
            </w:pPr>
            <w:r>
              <w:rPr>
                <w:sz w:val="18"/>
              </w:rPr>
              <w:t>43</w:t>
            </w:r>
          </w:p>
        </w:tc>
        <w:tc>
          <w:tcPr>
            <w:tcW w:type="dxa" w:w="1620"/>
            <w:tcBorders>
              <w:top w:color="000000" w:sz="4" w:val="single"/>
              <w:left w:color="000000" w:sz="4" w:val="single"/>
              <w:bottom w:color="000000" w:sz="4" w:val="single"/>
              <w:right w:color="000000" w:sz="4" w:val="single"/>
            </w:tcBorders>
            <w:shd w:fill="auto" w:val="clear"/>
            <w:vAlign w:val="bottom"/>
          </w:tcPr>
          <w:p w14:paraId="913E0000">
            <w:pPr>
              <w:widowControl w:val="1"/>
              <w:ind/>
              <w:jc w:val="right"/>
              <w:rPr>
                <w:sz w:val="18"/>
              </w:rPr>
            </w:pPr>
            <w:r>
              <w:rPr>
                <w:sz w:val="18"/>
              </w:rPr>
              <w:t>6</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923E0000">
            <w:pPr>
              <w:widowControl w:val="1"/>
              <w:ind w:firstLine="180"/>
              <w:rPr>
                <w:sz w:val="18"/>
              </w:rPr>
            </w:pPr>
            <w:r>
              <w:rPr>
                <w:sz w:val="18"/>
              </w:rPr>
              <w:t>ДЖВ З-С ЖД дирекция вокзалов СП дирекции жд вокзалов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93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943E0000">
            <w:pPr>
              <w:widowControl w:val="1"/>
              <w:ind/>
              <w:jc w:val="right"/>
              <w:rPr>
                <w:sz w:val="18"/>
              </w:rPr>
            </w:pPr>
            <w:r>
              <w:rPr>
                <w:sz w:val="18"/>
              </w:rPr>
              <w:t>1</w:t>
            </w:r>
          </w:p>
        </w:tc>
        <w:tc>
          <w:tcPr>
            <w:tcW w:type="dxa" w:w="1160"/>
            <w:tcBorders>
              <w:top w:color="000000" w:sz="4" w:val="single"/>
              <w:left w:color="000000" w:sz="4" w:val="single"/>
              <w:bottom w:color="000000" w:sz="4" w:val="single"/>
              <w:right w:color="000000" w:sz="4" w:val="single"/>
            </w:tcBorders>
            <w:shd w:fill="auto" w:val="clear"/>
            <w:vAlign w:val="bottom"/>
          </w:tcPr>
          <w:p w14:paraId="953E0000">
            <w:pPr>
              <w:widowControl w:val="1"/>
              <w:ind/>
              <w:jc w:val="right"/>
              <w:rPr>
                <w:sz w:val="18"/>
              </w:rPr>
            </w:pPr>
            <w:r>
              <w:rPr>
                <w:sz w:val="18"/>
              </w:rPr>
              <w:t>0</w:t>
            </w:r>
          </w:p>
        </w:tc>
        <w:tc>
          <w:tcPr>
            <w:tcW w:type="dxa" w:w="1620"/>
            <w:tcBorders>
              <w:top w:color="000000" w:sz="4" w:val="single"/>
              <w:left w:color="000000" w:sz="4" w:val="single"/>
              <w:bottom w:color="000000" w:sz="4" w:val="single"/>
              <w:right w:color="000000" w:sz="4" w:val="single"/>
            </w:tcBorders>
            <w:shd w:fill="auto" w:val="clear"/>
            <w:vAlign w:val="bottom"/>
          </w:tcPr>
          <w:p w14:paraId="963E0000">
            <w:pPr>
              <w:widowControl w:val="1"/>
              <w:ind/>
              <w:jc w:val="right"/>
              <w:rPr>
                <w:sz w:val="18"/>
              </w:rPr>
            </w:pPr>
            <w:r>
              <w:rPr>
                <w:sz w:val="18"/>
              </w:rPr>
              <w:t>1</w:t>
            </w:r>
          </w:p>
        </w:tc>
      </w:tr>
      <w:tr>
        <w:trPr>
          <w:trHeight w:hRule="atLeast" w:val="495"/>
        </w:trPr>
        <w:tc>
          <w:tcPr>
            <w:tcW w:type="dxa" w:w="4697"/>
            <w:tcBorders>
              <w:top w:color="000000" w:sz="4" w:val="single"/>
              <w:left w:color="000000" w:sz="4" w:val="single"/>
              <w:bottom w:color="000000" w:sz="4" w:val="single"/>
              <w:right w:color="000000" w:sz="4" w:val="single"/>
            </w:tcBorders>
            <w:shd w:fill="auto" w:val="clear"/>
          </w:tcPr>
          <w:p w14:paraId="973E0000">
            <w:pPr>
              <w:widowControl w:val="1"/>
              <w:ind w:firstLine="180"/>
              <w:rPr>
                <w:sz w:val="18"/>
              </w:rPr>
            </w:pPr>
            <w:r>
              <w:rPr>
                <w:sz w:val="18"/>
              </w:rPr>
              <w:t>ДЖВ Красноярская региональная ЖД дирекция вокзалов СП дирекции жд вокзалов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983E0000">
            <w:pPr>
              <w:widowControl w:val="1"/>
              <w:ind/>
              <w:jc w:val="right"/>
              <w:rPr>
                <w:sz w:val="18"/>
              </w:rPr>
            </w:pPr>
            <w:r>
              <w:rPr>
                <w:sz w:val="18"/>
              </w:rPr>
              <w:t>27</w:t>
            </w:r>
          </w:p>
        </w:tc>
        <w:tc>
          <w:tcPr>
            <w:tcW w:type="dxa" w:w="1160"/>
            <w:tcBorders>
              <w:top w:color="000000" w:sz="4" w:val="single"/>
              <w:left w:color="000000" w:sz="4" w:val="single"/>
              <w:bottom w:color="000000" w:sz="4" w:val="single"/>
              <w:right w:color="000000" w:sz="4" w:val="single"/>
            </w:tcBorders>
            <w:shd w:fill="auto" w:val="clear"/>
            <w:vAlign w:val="bottom"/>
          </w:tcPr>
          <w:p w14:paraId="993E0000">
            <w:pPr>
              <w:widowControl w:val="1"/>
              <w:ind/>
              <w:jc w:val="right"/>
              <w:rPr>
                <w:sz w:val="18"/>
              </w:rPr>
            </w:pPr>
            <w:r>
              <w:rPr>
                <w:sz w:val="18"/>
              </w:rPr>
              <w:t>338</w:t>
            </w:r>
          </w:p>
        </w:tc>
        <w:tc>
          <w:tcPr>
            <w:tcW w:type="dxa" w:w="1160"/>
            <w:tcBorders>
              <w:top w:color="000000" w:sz="4" w:val="single"/>
              <w:left w:color="000000" w:sz="4" w:val="single"/>
              <w:bottom w:color="000000" w:sz="4" w:val="single"/>
              <w:right w:color="000000" w:sz="4" w:val="single"/>
            </w:tcBorders>
            <w:shd w:fill="auto" w:val="clear"/>
            <w:vAlign w:val="bottom"/>
          </w:tcPr>
          <w:p w14:paraId="9A3E0000">
            <w:pPr>
              <w:widowControl w:val="1"/>
              <w:ind/>
              <w:jc w:val="right"/>
              <w:rPr>
                <w:sz w:val="18"/>
              </w:rPr>
            </w:pPr>
            <w:r>
              <w:rPr>
                <w:sz w:val="18"/>
              </w:rPr>
              <w:t>338</w:t>
            </w:r>
          </w:p>
        </w:tc>
        <w:tc>
          <w:tcPr>
            <w:tcW w:type="dxa" w:w="1620"/>
            <w:tcBorders>
              <w:top w:color="000000" w:sz="4" w:val="single"/>
              <w:left w:color="000000" w:sz="4" w:val="single"/>
              <w:bottom w:color="000000" w:sz="4" w:val="single"/>
              <w:right w:color="000000" w:sz="4" w:val="single"/>
            </w:tcBorders>
            <w:shd w:fill="auto" w:val="clear"/>
            <w:vAlign w:val="bottom"/>
          </w:tcPr>
          <w:p w14:paraId="9B3E0000">
            <w:pPr>
              <w:widowControl w:val="1"/>
              <w:ind/>
              <w:jc w:val="right"/>
              <w:rPr>
                <w:sz w:val="18"/>
              </w:rPr>
            </w:pPr>
            <w:r>
              <w:rPr>
                <w:sz w:val="18"/>
              </w:rPr>
              <w:t>27</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9C3E0000">
            <w:pPr>
              <w:widowControl w:val="1"/>
              <w:ind w:firstLine="180"/>
              <w:rPr>
                <w:sz w:val="18"/>
              </w:rPr>
            </w:pPr>
            <w:r>
              <w:rPr>
                <w:sz w:val="18"/>
              </w:rPr>
              <w:t>ДЗ Красноярская (РДМО)</w:t>
            </w:r>
          </w:p>
        </w:tc>
        <w:tc>
          <w:tcPr>
            <w:tcW w:type="dxa" w:w="1640"/>
            <w:tcBorders>
              <w:top w:color="000000" w:sz="4" w:val="single"/>
              <w:left w:color="000000" w:sz="4" w:val="single"/>
              <w:bottom w:color="000000" w:sz="4" w:val="single"/>
              <w:right w:color="000000" w:sz="4" w:val="single"/>
            </w:tcBorders>
            <w:shd w:fill="auto" w:val="clear"/>
            <w:vAlign w:val="bottom"/>
          </w:tcPr>
          <w:p w14:paraId="9D3E0000">
            <w:pPr>
              <w:widowControl w:val="1"/>
              <w:ind/>
              <w:jc w:val="right"/>
              <w:rPr>
                <w:sz w:val="18"/>
              </w:rPr>
            </w:pPr>
            <w:r>
              <w:rPr>
                <w:sz w:val="18"/>
              </w:rPr>
              <w:t>3</w:t>
            </w:r>
          </w:p>
        </w:tc>
        <w:tc>
          <w:tcPr>
            <w:tcW w:type="dxa" w:w="1160"/>
            <w:tcBorders>
              <w:top w:color="000000" w:sz="4" w:val="single"/>
              <w:left w:color="000000" w:sz="4" w:val="single"/>
              <w:bottom w:color="000000" w:sz="4" w:val="single"/>
              <w:right w:color="000000" w:sz="4" w:val="single"/>
            </w:tcBorders>
            <w:shd w:fill="auto" w:val="clear"/>
            <w:vAlign w:val="bottom"/>
          </w:tcPr>
          <w:p w14:paraId="9E3E0000">
            <w:pPr>
              <w:widowControl w:val="1"/>
              <w:ind/>
              <w:jc w:val="right"/>
              <w:rPr>
                <w:sz w:val="18"/>
              </w:rPr>
            </w:pPr>
            <w:r>
              <w:rPr>
                <w:sz w:val="18"/>
              </w:rPr>
              <w:t>17</w:t>
            </w:r>
          </w:p>
        </w:tc>
        <w:tc>
          <w:tcPr>
            <w:tcW w:type="dxa" w:w="1160"/>
            <w:tcBorders>
              <w:top w:color="000000" w:sz="4" w:val="single"/>
              <w:left w:color="000000" w:sz="4" w:val="single"/>
              <w:bottom w:color="000000" w:sz="4" w:val="single"/>
              <w:right w:color="000000" w:sz="4" w:val="single"/>
            </w:tcBorders>
            <w:shd w:fill="auto" w:val="clear"/>
            <w:vAlign w:val="bottom"/>
          </w:tcPr>
          <w:p w14:paraId="9F3E0000">
            <w:pPr>
              <w:widowControl w:val="1"/>
              <w:ind/>
              <w:jc w:val="right"/>
              <w:rPr>
                <w:sz w:val="18"/>
              </w:rPr>
            </w:pPr>
            <w:r>
              <w:rPr>
                <w:sz w:val="18"/>
              </w:rPr>
              <w:t>18</w:t>
            </w:r>
          </w:p>
        </w:tc>
        <w:tc>
          <w:tcPr>
            <w:tcW w:type="dxa" w:w="1620"/>
            <w:tcBorders>
              <w:top w:color="000000" w:sz="4" w:val="single"/>
              <w:left w:color="000000" w:sz="4" w:val="single"/>
              <w:bottom w:color="000000" w:sz="4" w:val="single"/>
              <w:right w:color="000000" w:sz="4" w:val="single"/>
            </w:tcBorders>
            <w:shd w:fill="auto" w:val="clear"/>
            <w:vAlign w:val="bottom"/>
          </w:tcPr>
          <w:p w14:paraId="A03E0000">
            <w:pPr>
              <w:widowControl w:val="1"/>
              <w:ind/>
              <w:jc w:val="right"/>
              <w:rPr>
                <w:sz w:val="18"/>
              </w:rPr>
            </w:pPr>
            <w:r>
              <w:rPr>
                <w:sz w:val="18"/>
              </w:rPr>
              <w:t>1</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A13E0000">
            <w:pPr>
              <w:widowControl w:val="1"/>
              <w:ind w:firstLine="180"/>
              <w:rPr>
                <w:sz w:val="18"/>
              </w:rPr>
            </w:pPr>
            <w:r>
              <w:rPr>
                <w:sz w:val="18"/>
              </w:rPr>
              <w:t>ДИ   РЖД ОАО Центральная дирекция инфраструктуры</w:t>
            </w:r>
          </w:p>
        </w:tc>
        <w:tc>
          <w:tcPr>
            <w:tcW w:type="dxa" w:w="1640"/>
            <w:tcBorders>
              <w:top w:color="000000" w:sz="4" w:val="single"/>
              <w:left w:color="000000" w:sz="4" w:val="single"/>
              <w:bottom w:color="000000" w:sz="4" w:val="single"/>
              <w:right w:color="000000" w:sz="4" w:val="single"/>
            </w:tcBorders>
            <w:shd w:fill="auto" w:val="clear"/>
            <w:vAlign w:val="bottom"/>
          </w:tcPr>
          <w:p w14:paraId="A23E0000">
            <w:pPr>
              <w:widowControl w:val="1"/>
              <w:ind/>
              <w:jc w:val="right"/>
              <w:rPr>
                <w:sz w:val="18"/>
              </w:rPr>
            </w:pPr>
            <w:r>
              <w:rPr>
                <w:sz w:val="18"/>
              </w:rPr>
              <w:t>1 218</w:t>
            </w:r>
          </w:p>
        </w:tc>
        <w:tc>
          <w:tcPr>
            <w:tcW w:type="dxa" w:w="1160"/>
            <w:tcBorders>
              <w:top w:color="000000" w:sz="4" w:val="single"/>
              <w:left w:color="000000" w:sz="4" w:val="single"/>
              <w:bottom w:color="000000" w:sz="4" w:val="single"/>
              <w:right w:color="000000" w:sz="4" w:val="single"/>
            </w:tcBorders>
            <w:shd w:fill="auto" w:val="clear"/>
            <w:vAlign w:val="bottom"/>
          </w:tcPr>
          <w:p w14:paraId="A33E0000">
            <w:pPr>
              <w:widowControl w:val="1"/>
              <w:ind/>
              <w:jc w:val="right"/>
              <w:rPr>
                <w:sz w:val="18"/>
              </w:rPr>
            </w:pPr>
            <w:r>
              <w:rPr>
                <w:sz w:val="18"/>
              </w:rPr>
              <w:t>13 429</w:t>
            </w:r>
          </w:p>
        </w:tc>
        <w:tc>
          <w:tcPr>
            <w:tcW w:type="dxa" w:w="1160"/>
            <w:tcBorders>
              <w:top w:color="000000" w:sz="4" w:val="single"/>
              <w:left w:color="000000" w:sz="4" w:val="single"/>
              <w:bottom w:color="000000" w:sz="4" w:val="single"/>
              <w:right w:color="000000" w:sz="4" w:val="single"/>
            </w:tcBorders>
            <w:shd w:fill="auto" w:val="clear"/>
            <w:vAlign w:val="bottom"/>
          </w:tcPr>
          <w:p w14:paraId="A43E0000">
            <w:pPr>
              <w:widowControl w:val="1"/>
              <w:ind/>
              <w:jc w:val="right"/>
              <w:rPr>
                <w:sz w:val="18"/>
              </w:rPr>
            </w:pPr>
            <w:r>
              <w:rPr>
                <w:sz w:val="18"/>
              </w:rPr>
              <w:t>13 416</w:t>
            </w:r>
          </w:p>
        </w:tc>
        <w:tc>
          <w:tcPr>
            <w:tcW w:type="dxa" w:w="1620"/>
            <w:tcBorders>
              <w:top w:color="000000" w:sz="4" w:val="single"/>
              <w:left w:color="000000" w:sz="4" w:val="single"/>
              <w:bottom w:color="000000" w:sz="4" w:val="single"/>
              <w:right w:color="000000" w:sz="4" w:val="single"/>
            </w:tcBorders>
            <w:shd w:fill="auto" w:val="clear"/>
            <w:vAlign w:val="bottom"/>
          </w:tcPr>
          <w:p w14:paraId="A53E0000">
            <w:pPr>
              <w:widowControl w:val="1"/>
              <w:ind/>
              <w:jc w:val="right"/>
              <w:rPr>
                <w:sz w:val="18"/>
              </w:rPr>
            </w:pPr>
            <w:r>
              <w:rPr>
                <w:sz w:val="18"/>
              </w:rPr>
              <w:t>1 231</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A63E0000">
            <w:pPr>
              <w:widowControl w:val="1"/>
              <w:ind w:firstLine="180"/>
              <w:rPr>
                <w:sz w:val="18"/>
              </w:rPr>
            </w:pPr>
            <w:r>
              <w:rPr>
                <w:sz w:val="18"/>
              </w:rPr>
              <w:t>ДИ   РЖД ОАО Центральная дирекция инфраструктуры</w:t>
            </w:r>
          </w:p>
        </w:tc>
        <w:tc>
          <w:tcPr>
            <w:tcW w:type="dxa" w:w="1640"/>
            <w:tcBorders>
              <w:top w:color="000000" w:sz="4" w:val="single"/>
              <w:left w:color="000000" w:sz="4" w:val="single"/>
              <w:bottom w:color="000000" w:sz="4" w:val="single"/>
              <w:right w:color="000000" w:sz="4" w:val="single"/>
            </w:tcBorders>
            <w:shd w:fill="auto" w:val="clear"/>
            <w:vAlign w:val="bottom"/>
          </w:tcPr>
          <w:p w14:paraId="A7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A83E0000">
            <w:pPr>
              <w:widowControl w:val="1"/>
              <w:ind/>
              <w:jc w:val="right"/>
              <w:rPr>
                <w:sz w:val="18"/>
              </w:rPr>
            </w:pPr>
            <w:r>
              <w:rPr>
                <w:sz w:val="18"/>
              </w:rPr>
              <w:t>349</w:t>
            </w:r>
          </w:p>
        </w:tc>
        <w:tc>
          <w:tcPr>
            <w:tcW w:type="dxa" w:w="1160"/>
            <w:tcBorders>
              <w:top w:color="000000" w:sz="4" w:val="single"/>
              <w:left w:color="000000" w:sz="4" w:val="single"/>
              <w:bottom w:color="000000" w:sz="4" w:val="single"/>
              <w:right w:color="000000" w:sz="4" w:val="single"/>
            </w:tcBorders>
            <w:shd w:fill="auto" w:val="clear"/>
            <w:vAlign w:val="bottom"/>
          </w:tcPr>
          <w:p w14:paraId="A93E0000">
            <w:pPr>
              <w:widowControl w:val="1"/>
              <w:ind/>
              <w:jc w:val="right"/>
              <w:rPr>
                <w:sz w:val="18"/>
              </w:rPr>
            </w:pPr>
            <w:r>
              <w:rPr>
                <w:sz w:val="18"/>
              </w:rPr>
              <w:t>306</w:t>
            </w:r>
          </w:p>
        </w:tc>
        <w:tc>
          <w:tcPr>
            <w:tcW w:type="dxa" w:w="1620"/>
            <w:tcBorders>
              <w:top w:color="000000" w:sz="4" w:val="single"/>
              <w:left w:color="000000" w:sz="4" w:val="single"/>
              <w:bottom w:color="000000" w:sz="4" w:val="single"/>
              <w:right w:color="000000" w:sz="4" w:val="single"/>
            </w:tcBorders>
            <w:shd w:fill="auto" w:val="clear"/>
            <w:vAlign w:val="bottom"/>
          </w:tcPr>
          <w:p w14:paraId="AA3E0000">
            <w:pPr>
              <w:widowControl w:val="1"/>
              <w:ind/>
              <w:jc w:val="right"/>
              <w:rPr>
                <w:sz w:val="18"/>
              </w:rPr>
            </w:pPr>
            <w:r>
              <w:rPr>
                <w:sz w:val="18"/>
              </w:rPr>
              <w:t>44</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AB3E0000">
            <w:pPr>
              <w:widowControl w:val="1"/>
              <w:ind w:firstLine="180"/>
              <w:rPr>
                <w:sz w:val="18"/>
              </w:rPr>
            </w:pPr>
            <w:r>
              <w:rPr>
                <w:sz w:val="18"/>
              </w:rPr>
              <w:t>Дир.МВПС   РЖД ОАО Центральная дирекция МВПС</w:t>
            </w:r>
          </w:p>
        </w:tc>
        <w:tc>
          <w:tcPr>
            <w:tcW w:type="dxa" w:w="1640"/>
            <w:tcBorders>
              <w:top w:color="000000" w:sz="4" w:val="single"/>
              <w:left w:color="000000" w:sz="4" w:val="single"/>
              <w:bottom w:color="000000" w:sz="4" w:val="single"/>
              <w:right w:color="000000" w:sz="4" w:val="single"/>
            </w:tcBorders>
            <w:shd w:fill="auto" w:val="clear"/>
            <w:vAlign w:val="bottom"/>
          </w:tcPr>
          <w:p w14:paraId="AC3E0000">
            <w:pPr>
              <w:widowControl w:val="1"/>
              <w:ind/>
              <w:jc w:val="right"/>
              <w:rPr>
                <w:sz w:val="18"/>
              </w:rPr>
            </w:pPr>
            <w:r>
              <w:rPr>
                <w:sz w:val="18"/>
              </w:rPr>
              <w:t>25</w:t>
            </w:r>
          </w:p>
        </w:tc>
        <w:tc>
          <w:tcPr>
            <w:tcW w:type="dxa" w:w="1160"/>
            <w:tcBorders>
              <w:top w:color="000000" w:sz="4" w:val="single"/>
              <w:left w:color="000000" w:sz="4" w:val="single"/>
              <w:bottom w:color="000000" w:sz="4" w:val="single"/>
              <w:right w:color="000000" w:sz="4" w:val="single"/>
            </w:tcBorders>
            <w:shd w:fill="auto" w:val="clear"/>
            <w:vAlign w:val="bottom"/>
          </w:tcPr>
          <w:p w14:paraId="AD3E0000">
            <w:pPr>
              <w:widowControl w:val="1"/>
              <w:ind/>
              <w:jc w:val="right"/>
              <w:rPr>
                <w:sz w:val="18"/>
              </w:rPr>
            </w:pPr>
            <w:r>
              <w:rPr>
                <w:sz w:val="18"/>
              </w:rPr>
              <w:t>164</w:t>
            </w:r>
          </w:p>
        </w:tc>
        <w:tc>
          <w:tcPr>
            <w:tcW w:type="dxa" w:w="1160"/>
            <w:tcBorders>
              <w:top w:color="000000" w:sz="4" w:val="single"/>
              <w:left w:color="000000" w:sz="4" w:val="single"/>
              <w:bottom w:color="000000" w:sz="4" w:val="single"/>
              <w:right w:color="000000" w:sz="4" w:val="single"/>
            </w:tcBorders>
            <w:shd w:fill="auto" w:val="clear"/>
            <w:vAlign w:val="bottom"/>
          </w:tcPr>
          <w:p w14:paraId="AE3E0000">
            <w:pPr>
              <w:widowControl w:val="1"/>
              <w:ind/>
              <w:jc w:val="right"/>
              <w:rPr>
                <w:sz w:val="18"/>
              </w:rPr>
            </w:pPr>
            <w:r>
              <w:rPr>
                <w:sz w:val="18"/>
              </w:rPr>
              <w:t>152</w:t>
            </w:r>
          </w:p>
        </w:tc>
        <w:tc>
          <w:tcPr>
            <w:tcW w:type="dxa" w:w="1620"/>
            <w:tcBorders>
              <w:top w:color="000000" w:sz="4" w:val="single"/>
              <w:left w:color="000000" w:sz="4" w:val="single"/>
              <w:bottom w:color="000000" w:sz="4" w:val="single"/>
              <w:right w:color="000000" w:sz="4" w:val="single"/>
            </w:tcBorders>
            <w:shd w:fill="auto" w:val="clear"/>
            <w:vAlign w:val="bottom"/>
          </w:tcPr>
          <w:p w14:paraId="AF3E0000">
            <w:pPr>
              <w:widowControl w:val="1"/>
              <w:ind/>
              <w:jc w:val="right"/>
              <w:rPr>
                <w:sz w:val="18"/>
              </w:rPr>
            </w:pPr>
            <w:r>
              <w:rPr>
                <w:sz w:val="18"/>
              </w:rPr>
              <w:t>37</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B03E0000">
            <w:pPr>
              <w:widowControl w:val="1"/>
              <w:ind w:firstLine="180"/>
              <w:rPr>
                <w:sz w:val="18"/>
              </w:rPr>
            </w:pPr>
            <w:r>
              <w:rPr>
                <w:sz w:val="18"/>
              </w:rPr>
              <w:t>ДКС Красноярская дирекция по строительству сетей и связи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B13E0000">
            <w:pPr>
              <w:widowControl w:val="1"/>
              <w:ind/>
              <w:jc w:val="right"/>
              <w:rPr>
                <w:sz w:val="18"/>
              </w:rPr>
            </w:pPr>
            <w:r>
              <w:rPr>
                <w:sz w:val="18"/>
              </w:rPr>
              <w:t>9</w:t>
            </w:r>
          </w:p>
        </w:tc>
        <w:tc>
          <w:tcPr>
            <w:tcW w:type="dxa" w:w="1160"/>
            <w:tcBorders>
              <w:top w:color="000000" w:sz="4" w:val="single"/>
              <w:left w:color="000000" w:sz="4" w:val="single"/>
              <w:bottom w:color="000000" w:sz="4" w:val="single"/>
              <w:right w:color="000000" w:sz="4" w:val="single"/>
            </w:tcBorders>
            <w:shd w:fill="auto" w:val="clear"/>
            <w:vAlign w:val="bottom"/>
          </w:tcPr>
          <w:p w14:paraId="B23E0000">
            <w:pPr>
              <w:widowControl w:val="1"/>
              <w:ind/>
              <w:jc w:val="right"/>
              <w:rPr>
                <w:sz w:val="18"/>
              </w:rPr>
            </w:pPr>
            <w:r>
              <w:rPr>
                <w:sz w:val="18"/>
              </w:rPr>
              <w:t>37</w:t>
            </w:r>
          </w:p>
        </w:tc>
        <w:tc>
          <w:tcPr>
            <w:tcW w:type="dxa" w:w="1160"/>
            <w:tcBorders>
              <w:top w:color="000000" w:sz="4" w:val="single"/>
              <w:left w:color="000000" w:sz="4" w:val="single"/>
              <w:bottom w:color="000000" w:sz="4" w:val="single"/>
              <w:right w:color="000000" w:sz="4" w:val="single"/>
            </w:tcBorders>
            <w:shd w:fill="auto" w:val="clear"/>
            <w:vAlign w:val="bottom"/>
          </w:tcPr>
          <w:p w14:paraId="B33E0000">
            <w:pPr>
              <w:widowControl w:val="1"/>
              <w:ind/>
              <w:jc w:val="right"/>
              <w:rPr>
                <w:sz w:val="18"/>
              </w:rPr>
            </w:pPr>
            <w:r>
              <w:rPr>
                <w:sz w:val="18"/>
              </w:rPr>
              <w:t>44</w:t>
            </w:r>
          </w:p>
        </w:tc>
        <w:tc>
          <w:tcPr>
            <w:tcW w:type="dxa" w:w="1620"/>
            <w:tcBorders>
              <w:top w:color="000000" w:sz="4" w:val="single"/>
              <w:left w:color="000000" w:sz="4" w:val="single"/>
              <w:bottom w:color="000000" w:sz="4" w:val="single"/>
              <w:right w:color="000000" w:sz="4" w:val="single"/>
            </w:tcBorders>
            <w:shd w:fill="auto" w:val="clear"/>
            <w:vAlign w:val="bottom"/>
          </w:tcPr>
          <w:p w14:paraId="B43E0000">
            <w:pPr>
              <w:widowControl w:val="1"/>
              <w:ind/>
              <w:jc w:val="right"/>
              <w:rPr>
                <w:sz w:val="18"/>
              </w:rPr>
            </w:pPr>
            <w:r>
              <w:rPr>
                <w:sz w:val="18"/>
              </w:rPr>
              <w:t>2</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B53E0000">
            <w:pPr>
              <w:widowControl w:val="1"/>
              <w:ind w:firstLine="180"/>
              <w:rPr>
                <w:sz w:val="18"/>
              </w:rPr>
            </w:pPr>
            <w:r>
              <w:rPr>
                <w:sz w:val="18"/>
              </w:rPr>
              <w:t>ДМТО Красноярская дирекция материально-технического обеспечения - СП Росжелдорснаба - ф-ла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B63E0000">
            <w:pPr>
              <w:widowControl w:val="1"/>
              <w:ind/>
              <w:jc w:val="right"/>
              <w:rPr>
                <w:sz w:val="18"/>
              </w:rPr>
            </w:pPr>
            <w:r>
              <w:rPr>
                <w:sz w:val="18"/>
              </w:rPr>
              <w:t>15</w:t>
            </w:r>
          </w:p>
        </w:tc>
        <w:tc>
          <w:tcPr>
            <w:tcW w:type="dxa" w:w="1160"/>
            <w:tcBorders>
              <w:top w:color="000000" w:sz="4" w:val="single"/>
              <w:left w:color="000000" w:sz="4" w:val="single"/>
              <w:bottom w:color="000000" w:sz="4" w:val="single"/>
              <w:right w:color="000000" w:sz="4" w:val="single"/>
            </w:tcBorders>
            <w:shd w:fill="auto" w:val="clear"/>
            <w:vAlign w:val="bottom"/>
          </w:tcPr>
          <w:p w14:paraId="B73E0000">
            <w:pPr>
              <w:widowControl w:val="1"/>
              <w:ind/>
              <w:jc w:val="right"/>
              <w:rPr>
                <w:sz w:val="18"/>
              </w:rPr>
            </w:pPr>
            <w:r>
              <w:rPr>
                <w:sz w:val="18"/>
              </w:rPr>
              <w:t>93</w:t>
            </w:r>
          </w:p>
        </w:tc>
        <w:tc>
          <w:tcPr>
            <w:tcW w:type="dxa" w:w="1160"/>
            <w:tcBorders>
              <w:top w:color="000000" w:sz="4" w:val="single"/>
              <w:left w:color="000000" w:sz="4" w:val="single"/>
              <w:bottom w:color="000000" w:sz="4" w:val="single"/>
              <w:right w:color="000000" w:sz="4" w:val="single"/>
            </w:tcBorders>
            <w:shd w:fill="auto" w:val="clear"/>
            <w:vAlign w:val="bottom"/>
          </w:tcPr>
          <w:p w14:paraId="B83E0000">
            <w:pPr>
              <w:widowControl w:val="1"/>
              <w:ind/>
              <w:jc w:val="right"/>
              <w:rPr>
                <w:sz w:val="18"/>
              </w:rPr>
            </w:pPr>
            <w:r>
              <w:rPr>
                <w:sz w:val="18"/>
              </w:rPr>
              <w:t>94</w:t>
            </w:r>
          </w:p>
        </w:tc>
        <w:tc>
          <w:tcPr>
            <w:tcW w:type="dxa" w:w="1620"/>
            <w:tcBorders>
              <w:top w:color="000000" w:sz="4" w:val="single"/>
              <w:left w:color="000000" w:sz="4" w:val="single"/>
              <w:bottom w:color="000000" w:sz="4" w:val="single"/>
              <w:right w:color="000000" w:sz="4" w:val="single"/>
            </w:tcBorders>
            <w:shd w:fill="auto" w:val="clear"/>
            <w:vAlign w:val="bottom"/>
          </w:tcPr>
          <w:p w14:paraId="B93E0000">
            <w:pPr>
              <w:widowControl w:val="1"/>
              <w:ind/>
              <w:jc w:val="right"/>
              <w:rPr>
                <w:sz w:val="18"/>
              </w:rPr>
            </w:pPr>
            <w:r>
              <w:rPr>
                <w:sz w:val="18"/>
              </w:rPr>
              <w:t>14</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BA3E0000">
            <w:pPr>
              <w:widowControl w:val="1"/>
              <w:ind w:firstLine="180"/>
              <w:rPr>
                <w:sz w:val="18"/>
              </w:rPr>
            </w:pPr>
            <w:r>
              <w:rPr>
                <w:sz w:val="18"/>
              </w:rPr>
              <w:t>ДПО Центральная дирекция пассажирских обустройств РЖД ОАО</w:t>
            </w:r>
          </w:p>
        </w:tc>
        <w:tc>
          <w:tcPr>
            <w:tcW w:type="dxa" w:w="1640"/>
            <w:tcBorders>
              <w:top w:color="000000" w:sz="4" w:val="single"/>
              <w:left w:color="000000" w:sz="4" w:val="single"/>
              <w:bottom w:color="000000" w:sz="4" w:val="single"/>
              <w:right w:color="000000" w:sz="4" w:val="single"/>
            </w:tcBorders>
            <w:shd w:fill="auto" w:val="clear"/>
            <w:vAlign w:val="bottom"/>
          </w:tcPr>
          <w:p w14:paraId="BB3E0000">
            <w:pPr>
              <w:widowControl w:val="1"/>
              <w:ind/>
              <w:jc w:val="right"/>
              <w:rPr>
                <w:sz w:val="18"/>
              </w:rPr>
            </w:pPr>
            <w:r>
              <w:rPr>
                <w:sz w:val="18"/>
              </w:rPr>
              <w:t>87</w:t>
            </w:r>
          </w:p>
        </w:tc>
        <w:tc>
          <w:tcPr>
            <w:tcW w:type="dxa" w:w="1160"/>
            <w:tcBorders>
              <w:top w:color="000000" w:sz="4" w:val="single"/>
              <w:left w:color="000000" w:sz="4" w:val="single"/>
              <w:bottom w:color="000000" w:sz="4" w:val="single"/>
              <w:right w:color="000000" w:sz="4" w:val="single"/>
            </w:tcBorders>
            <w:shd w:fill="auto" w:val="clear"/>
            <w:vAlign w:val="bottom"/>
          </w:tcPr>
          <w:p w14:paraId="BC3E0000">
            <w:pPr>
              <w:widowControl w:val="1"/>
              <w:ind/>
              <w:jc w:val="right"/>
              <w:rPr>
                <w:sz w:val="18"/>
              </w:rPr>
            </w:pPr>
            <w:r>
              <w:rPr>
                <w:sz w:val="18"/>
              </w:rPr>
              <w:t>520</w:t>
            </w:r>
          </w:p>
        </w:tc>
        <w:tc>
          <w:tcPr>
            <w:tcW w:type="dxa" w:w="1160"/>
            <w:tcBorders>
              <w:top w:color="000000" w:sz="4" w:val="single"/>
              <w:left w:color="000000" w:sz="4" w:val="single"/>
              <w:bottom w:color="000000" w:sz="4" w:val="single"/>
              <w:right w:color="000000" w:sz="4" w:val="single"/>
            </w:tcBorders>
            <w:shd w:fill="auto" w:val="clear"/>
            <w:vAlign w:val="bottom"/>
          </w:tcPr>
          <w:p w14:paraId="BD3E0000">
            <w:pPr>
              <w:widowControl w:val="1"/>
              <w:ind/>
              <w:jc w:val="right"/>
              <w:rPr>
                <w:sz w:val="18"/>
              </w:rPr>
            </w:pPr>
            <w:r>
              <w:rPr>
                <w:sz w:val="18"/>
              </w:rPr>
              <w:t>482</w:t>
            </w:r>
          </w:p>
        </w:tc>
        <w:tc>
          <w:tcPr>
            <w:tcW w:type="dxa" w:w="1620"/>
            <w:tcBorders>
              <w:top w:color="000000" w:sz="4" w:val="single"/>
              <w:left w:color="000000" w:sz="4" w:val="single"/>
              <w:bottom w:color="000000" w:sz="4" w:val="single"/>
              <w:right w:color="000000" w:sz="4" w:val="single"/>
            </w:tcBorders>
            <w:shd w:fill="auto" w:val="clear"/>
            <w:vAlign w:val="bottom"/>
          </w:tcPr>
          <w:p w14:paraId="BE3E0000">
            <w:pPr>
              <w:widowControl w:val="1"/>
              <w:ind/>
              <w:jc w:val="right"/>
              <w:rPr>
                <w:sz w:val="18"/>
              </w:rPr>
            </w:pPr>
            <w:r>
              <w:rPr>
                <w:sz w:val="18"/>
              </w:rPr>
              <w:t>125</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BF3E0000">
            <w:pPr>
              <w:widowControl w:val="1"/>
              <w:ind w:firstLine="180"/>
              <w:rPr>
                <w:sz w:val="18"/>
              </w:rPr>
            </w:pPr>
            <w:r>
              <w:rPr>
                <w:sz w:val="18"/>
              </w:rPr>
              <w:t>ДПРОФ Первичная профсоюзная организация Красноярской железной дороги-филиал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C03E0000">
            <w:pPr>
              <w:widowControl w:val="1"/>
              <w:ind/>
              <w:jc w:val="right"/>
              <w:rPr>
                <w:sz w:val="18"/>
              </w:rPr>
            </w:pPr>
            <w:r>
              <w:rPr>
                <w:sz w:val="18"/>
              </w:rPr>
              <w:t>2</w:t>
            </w:r>
          </w:p>
        </w:tc>
        <w:tc>
          <w:tcPr>
            <w:tcW w:type="dxa" w:w="1160"/>
            <w:tcBorders>
              <w:top w:color="000000" w:sz="4" w:val="single"/>
              <w:left w:color="000000" w:sz="4" w:val="single"/>
              <w:bottom w:color="000000" w:sz="4" w:val="single"/>
              <w:right w:color="000000" w:sz="4" w:val="single"/>
            </w:tcBorders>
            <w:shd w:fill="auto" w:val="clear"/>
            <w:vAlign w:val="bottom"/>
          </w:tcPr>
          <w:p w14:paraId="C13E0000">
            <w:pPr>
              <w:widowControl w:val="1"/>
              <w:ind/>
              <w:jc w:val="right"/>
              <w:rPr>
                <w:sz w:val="18"/>
              </w:rPr>
            </w:pPr>
            <w:r>
              <w:rPr>
                <w:sz w:val="18"/>
              </w:rPr>
              <w:t>25</w:t>
            </w:r>
          </w:p>
        </w:tc>
        <w:tc>
          <w:tcPr>
            <w:tcW w:type="dxa" w:w="1160"/>
            <w:tcBorders>
              <w:top w:color="000000" w:sz="4" w:val="single"/>
              <w:left w:color="000000" w:sz="4" w:val="single"/>
              <w:bottom w:color="000000" w:sz="4" w:val="single"/>
              <w:right w:color="000000" w:sz="4" w:val="single"/>
            </w:tcBorders>
            <w:shd w:fill="auto" w:val="clear"/>
            <w:vAlign w:val="bottom"/>
          </w:tcPr>
          <w:p w14:paraId="C23E0000">
            <w:pPr>
              <w:widowControl w:val="1"/>
              <w:ind/>
              <w:jc w:val="right"/>
              <w:rPr>
                <w:sz w:val="18"/>
              </w:rPr>
            </w:pPr>
            <w:r>
              <w:rPr>
                <w:sz w:val="18"/>
              </w:rPr>
              <w:t>23</w:t>
            </w:r>
          </w:p>
        </w:tc>
        <w:tc>
          <w:tcPr>
            <w:tcW w:type="dxa" w:w="1620"/>
            <w:tcBorders>
              <w:top w:color="000000" w:sz="4" w:val="single"/>
              <w:left w:color="000000" w:sz="4" w:val="single"/>
              <w:bottom w:color="000000" w:sz="4" w:val="single"/>
              <w:right w:color="000000" w:sz="4" w:val="single"/>
            </w:tcBorders>
            <w:shd w:fill="auto" w:val="clear"/>
            <w:vAlign w:val="bottom"/>
          </w:tcPr>
          <w:p w14:paraId="C33E0000">
            <w:pPr>
              <w:widowControl w:val="1"/>
              <w:ind/>
              <w:jc w:val="right"/>
              <w:rPr>
                <w:sz w:val="18"/>
              </w:rPr>
            </w:pPr>
            <w:r>
              <w:rPr>
                <w:sz w:val="18"/>
              </w:rPr>
              <w:t>3</w:t>
            </w:r>
          </w:p>
        </w:tc>
      </w:tr>
      <w:tr>
        <w:trPr>
          <w:trHeight w:hRule="atLeast" w:val="540"/>
        </w:trPr>
        <w:tc>
          <w:tcPr>
            <w:tcW w:type="dxa" w:w="4697"/>
            <w:tcBorders>
              <w:top w:color="000000" w:sz="4" w:val="single"/>
              <w:left w:color="000000" w:sz="4" w:val="single"/>
              <w:bottom w:color="000000" w:sz="4" w:val="single"/>
              <w:right w:color="000000" w:sz="4" w:val="single"/>
            </w:tcBorders>
            <w:shd w:fill="auto" w:val="clear"/>
          </w:tcPr>
          <w:p w14:paraId="C43E0000">
            <w:pPr>
              <w:widowControl w:val="1"/>
              <w:ind w:firstLine="180"/>
              <w:rPr>
                <w:sz w:val="18"/>
              </w:rPr>
            </w:pPr>
            <w:r>
              <w:rPr>
                <w:sz w:val="18"/>
              </w:rPr>
              <w:t>ДРП З-С дирекция ремонта пути СП Центральной дирекции ремонта пути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C5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C6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C73E0000">
            <w:pPr>
              <w:widowControl w:val="1"/>
              <w:ind/>
              <w:jc w:val="right"/>
              <w:rPr>
                <w:sz w:val="18"/>
              </w:rPr>
            </w:pPr>
            <w:r>
              <w:rPr>
                <w:sz w:val="18"/>
              </w:rPr>
              <w:t>0</w:t>
            </w:r>
          </w:p>
        </w:tc>
        <w:tc>
          <w:tcPr>
            <w:tcW w:type="dxa" w:w="1620"/>
            <w:tcBorders>
              <w:top w:color="000000" w:sz="4" w:val="single"/>
              <w:left w:color="000000" w:sz="4" w:val="single"/>
              <w:bottom w:color="000000" w:sz="4" w:val="single"/>
              <w:right w:color="000000" w:sz="4" w:val="single"/>
            </w:tcBorders>
            <w:shd w:fill="auto" w:val="clear"/>
            <w:vAlign w:val="bottom"/>
          </w:tcPr>
          <w:p w14:paraId="C83E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C93E0000">
            <w:pPr>
              <w:widowControl w:val="1"/>
              <w:ind w:firstLine="180"/>
              <w:rPr>
                <w:sz w:val="18"/>
              </w:rPr>
            </w:pPr>
            <w:r>
              <w:rPr>
                <w:sz w:val="18"/>
              </w:rPr>
              <w:t>ДРП Красноярская дирекция ремонта пути СП Центральной дирекции ремонта пути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CA3E0000">
            <w:pPr>
              <w:widowControl w:val="1"/>
              <w:ind/>
              <w:jc w:val="right"/>
              <w:rPr>
                <w:sz w:val="18"/>
              </w:rPr>
            </w:pPr>
            <w:r>
              <w:rPr>
                <w:sz w:val="18"/>
              </w:rPr>
              <w:t>177</w:t>
            </w:r>
          </w:p>
        </w:tc>
        <w:tc>
          <w:tcPr>
            <w:tcW w:type="dxa" w:w="1160"/>
            <w:tcBorders>
              <w:top w:color="000000" w:sz="4" w:val="single"/>
              <w:left w:color="000000" w:sz="4" w:val="single"/>
              <w:bottom w:color="000000" w:sz="4" w:val="single"/>
              <w:right w:color="000000" w:sz="4" w:val="single"/>
            </w:tcBorders>
            <w:shd w:fill="auto" w:val="clear"/>
            <w:vAlign w:val="bottom"/>
          </w:tcPr>
          <w:p w14:paraId="CB3E0000">
            <w:pPr>
              <w:widowControl w:val="1"/>
              <w:ind/>
              <w:jc w:val="right"/>
              <w:rPr>
                <w:sz w:val="18"/>
              </w:rPr>
            </w:pPr>
            <w:r>
              <w:rPr>
                <w:sz w:val="18"/>
              </w:rPr>
              <w:t>1 442</w:t>
            </w:r>
          </w:p>
        </w:tc>
        <w:tc>
          <w:tcPr>
            <w:tcW w:type="dxa" w:w="1160"/>
            <w:tcBorders>
              <w:top w:color="000000" w:sz="4" w:val="single"/>
              <w:left w:color="000000" w:sz="4" w:val="single"/>
              <w:bottom w:color="000000" w:sz="4" w:val="single"/>
              <w:right w:color="000000" w:sz="4" w:val="single"/>
            </w:tcBorders>
            <w:shd w:fill="auto" w:val="clear"/>
            <w:vAlign w:val="bottom"/>
          </w:tcPr>
          <w:p w14:paraId="CC3E0000">
            <w:pPr>
              <w:widowControl w:val="1"/>
              <w:ind/>
              <w:jc w:val="right"/>
              <w:rPr>
                <w:sz w:val="18"/>
              </w:rPr>
            </w:pPr>
            <w:r>
              <w:rPr>
                <w:sz w:val="18"/>
              </w:rPr>
              <w:t>1 299</w:t>
            </w:r>
          </w:p>
        </w:tc>
        <w:tc>
          <w:tcPr>
            <w:tcW w:type="dxa" w:w="1620"/>
            <w:tcBorders>
              <w:top w:color="000000" w:sz="4" w:val="single"/>
              <w:left w:color="000000" w:sz="4" w:val="single"/>
              <w:bottom w:color="000000" w:sz="4" w:val="single"/>
              <w:right w:color="000000" w:sz="4" w:val="single"/>
            </w:tcBorders>
            <w:shd w:fill="auto" w:val="clear"/>
            <w:vAlign w:val="bottom"/>
          </w:tcPr>
          <w:p w14:paraId="CD3E0000">
            <w:pPr>
              <w:widowControl w:val="1"/>
              <w:ind/>
              <w:jc w:val="right"/>
              <w:rPr>
                <w:sz w:val="18"/>
              </w:rPr>
            </w:pPr>
            <w:r>
              <w:rPr>
                <w:sz w:val="18"/>
              </w:rPr>
              <w:t>320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CE3E0000">
            <w:pPr>
              <w:widowControl w:val="1"/>
              <w:ind w:firstLine="180"/>
              <w:rPr>
                <w:sz w:val="18"/>
              </w:rPr>
            </w:pPr>
            <w:r>
              <w:rPr>
                <w:sz w:val="18"/>
              </w:rPr>
              <w:t>ДПРОФ Первичная профсоюзная организация Красноярской железной дороги-филиал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CF3E0000">
            <w:pPr>
              <w:widowControl w:val="1"/>
              <w:ind/>
              <w:jc w:val="right"/>
              <w:rPr>
                <w:sz w:val="18"/>
              </w:rPr>
            </w:pPr>
            <w:r>
              <w:rPr>
                <w:sz w:val="18"/>
              </w:rPr>
              <w:t>2</w:t>
            </w:r>
          </w:p>
        </w:tc>
        <w:tc>
          <w:tcPr>
            <w:tcW w:type="dxa" w:w="1160"/>
            <w:tcBorders>
              <w:top w:color="000000" w:sz="4" w:val="single"/>
              <w:left w:color="000000" w:sz="4" w:val="single"/>
              <w:bottom w:color="000000" w:sz="4" w:val="single"/>
              <w:right w:color="000000" w:sz="4" w:val="single"/>
            </w:tcBorders>
            <w:shd w:fill="auto" w:val="clear"/>
            <w:vAlign w:val="bottom"/>
          </w:tcPr>
          <w:p w14:paraId="D03E0000">
            <w:pPr>
              <w:widowControl w:val="1"/>
              <w:ind/>
              <w:jc w:val="right"/>
              <w:rPr>
                <w:sz w:val="18"/>
              </w:rPr>
            </w:pPr>
            <w:r>
              <w:rPr>
                <w:sz w:val="18"/>
              </w:rPr>
              <w:t>25</w:t>
            </w:r>
          </w:p>
        </w:tc>
        <w:tc>
          <w:tcPr>
            <w:tcW w:type="dxa" w:w="1160"/>
            <w:tcBorders>
              <w:top w:color="000000" w:sz="4" w:val="single"/>
              <w:left w:color="000000" w:sz="4" w:val="single"/>
              <w:bottom w:color="000000" w:sz="4" w:val="single"/>
              <w:right w:color="000000" w:sz="4" w:val="single"/>
            </w:tcBorders>
            <w:shd w:fill="auto" w:val="clear"/>
            <w:vAlign w:val="bottom"/>
          </w:tcPr>
          <w:p w14:paraId="D13E0000">
            <w:pPr>
              <w:widowControl w:val="1"/>
              <w:ind/>
              <w:jc w:val="right"/>
              <w:rPr>
                <w:sz w:val="18"/>
              </w:rPr>
            </w:pPr>
            <w:r>
              <w:rPr>
                <w:sz w:val="18"/>
              </w:rPr>
              <w:t>23</w:t>
            </w:r>
          </w:p>
        </w:tc>
        <w:tc>
          <w:tcPr>
            <w:tcW w:type="dxa" w:w="1620"/>
            <w:tcBorders>
              <w:top w:color="000000" w:sz="4" w:val="single"/>
              <w:left w:color="000000" w:sz="4" w:val="single"/>
              <w:bottom w:color="000000" w:sz="4" w:val="single"/>
              <w:right w:color="000000" w:sz="4" w:val="single"/>
            </w:tcBorders>
            <w:shd w:fill="auto" w:val="clear"/>
            <w:vAlign w:val="bottom"/>
          </w:tcPr>
          <w:p w14:paraId="D23E0000">
            <w:pPr>
              <w:widowControl w:val="1"/>
              <w:ind/>
              <w:jc w:val="right"/>
              <w:rPr>
                <w:sz w:val="18"/>
              </w:rPr>
            </w:pPr>
            <w:r>
              <w:rPr>
                <w:sz w:val="18"/>
              </w:rPr>
              <w:t>3</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D33E0000">
            <w:pPr>
              <w:widowControl w:val="1"/>
              <w:ind w:firstLine="180"/>
              <w:rPr>
                <w:sz w:val="18"/>
              </w:rPr>
            </w:pPr>
            <w:r>
              <w:rPr>
                <w:sz w:val="18"/>
              </w:rPr>
              <w:t>ДРП З-С дирекция ремонта пути СП Центральной дирекции ремонта пути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D4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D5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D63E0000">
            <w:pPr>
              <w:widowControl w:val="1"/>
              <w:ind/>
              <w:jc w:val="right"/>
              <w:rPr>
                <w:sz w:val="18"/>
              </w:rPr>
            </w:pPr>
            <w:r>
              <w:rPr>
                <w:sz w:val="18"/>
              </w:rPr>
              <w:t>0</w:t>
            </w:r>
          </w:p>
        </w:tc>
        <w:tc>
          <w:tcPr>
            <w:tcW w:type="dxa" w:w="1620"/>
            <w:tcBorders>
              <w:top w:color="000000" w:sz="4" w:val="single"/>
              <w:left w:color="000000" w:sz="4" w:val="single"/>
              <w:bottom w:color="000000" w:sz="4" w:val="single"/>
              <w:right w:color="000000" w:sz="4" w:val="single"/>
            </w:tcBorders>
            <w:shd w:fill="auto" w:val="clear"/>
            <w:vAlign w:val="bottom"/>
          </w:tcPr>
          <w:p w14:paraId="D73E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D83E0000">
            <w:pPr>
              <w:widowControl w:val="1"/>
              <w:ind w:firstLine="180"/>
              <w:rPr>
                <w:sz w:val="18"/>
              </w:rPr>
            </w:pPr>
            <w:r>
              <w:rPr>
                <w:sz w:val="18"/>
              </w:rPr>
              <w:t>ДРП Красноярская дирекция ремонта пути СП Центральной дирекции ремонта пути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D93E0000">
            <w:pPr>
              <w:widowControl w:val="1"/>
              <w:ind/>
              <w:jc w:val="right"/>
              <w:rPr>
                <w:sz w:val="18"/>
              </w:rPr>
            </w:pPr>
            <w:r>
              <w:rPr>
                <w:sz w:val="18"/>
              </w:rPr>
              <w:t>177</w:t>
            </w:r>
          </w:p>
        </w:tc>
        <w:tc>
          <w:tcPr>
            <w:tcW w:type="dxa" w:w="1160"/>
            <w:tcBorders>
              <w:top w:color="000000" w:sz="4" w:val="single"/>
              <w:left w:color="000000" w:sz="4" w:val="single"/>
              <w:bottom w:color="000000" w:sz="4" w:val="single"/>
              <w:right w:color="000000" w:sz="4" w:val="single"/>
            </w:tcBorders>
            <w:shd w:fill="auto" w:val="clear"/>
            <w:vAlign w:val="bottom"/>
          </w:tcPr>
          <w:p w14:paraId="DA3E0000">
            <w:pPr>
              <w:widowControl w:val="1"/>
              <w:ind/>
              <w:jc w:val="right"/>
              <w:rPr>
                <w:sz w:val="18"/>
              </w:rPr>
            </w:pPr>
            <w:r>
              <w:rPr>
                <w:sz w:val="18"/>
              </w:rPr>
              <w:t>1 442</w:t>
            </w:r>
          </w:p>
        </w:tc>
        <w:tc>
          <w:tcPr>
            <w:tcW w:type="dxa" w:w="1160"/>
            <w:tcBorders>
              <w:top w:color="000000" w:sz="4" w:val="single"/>
              <w:left w:color="000000" w:sz="4" w:val="single"/>
              <w:bottom w:color="000000" w:sz="4" w:val="single"/>
              <w:right w:color="000000" w:sz="4" w:val="single"/>
            </w:tcBorders>
            <w:shd w:fill="auto" w:val="clear"/>
            <w:vAlign w:val="bottom"/>
          </w:tcPr>
          <w:p w14:paraId="DB3E0000">
            <w:pPr>
              <w:widowControl w:val="1"/>
              <w:ind/>
              <w:jc w:val="right"/>
              <w:rPr>
                <w:sz w:val="18"/>
              </w:rPr>
            </w:pPr>
            <w:r>
              <w:rPr>
                <w:sz w:val="18"/>
              </w:rPr>
              <w:t>1 299</w:t>
            </w:r>
          </w:p>
        </w:tc>
        <w:tc>
          <w:tcPr>
            <w:tcW w:type="dxa" w:w="1620"/>
            <w:tcBorders>
              <w:top w:color="000000" w:sz="4" w:val="single"/>
              <w:left w:color="000000" w:sz="4" w:val="single"/>
              <w:bottom w:color="000000" w:sz="4" w:val="single"/>
              <w:right w:color="000000" w:sz="4" w:val="single"/>
            </w:tcBorders>
            <w:shd w:fill="auto" w:val="clear"/>
            <w:vAlign w:val="bottom"/>
          </w:tcPr>
          <w:p w14:paraId="DC3E0000">
            <w:pPr>
              <w:widowControl w:val="1"/>
              <w:ind/>
              <w:jc w:val="right"/>
              <w:rPr>
                <w:sz w:val="18"/>
              </w:rPr>
            </w:pPr>
            <w:r>
              <w:rPr>
                <w:sz w:val="18"/>
              </w:rPr>
              <w:t>320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DD3E0000">
            <w:pPr>
              <w:widowControl w:val="1"/>
              <w:ind w:firstLine="180"/>
              <w:rPr>
                <w:sz w:val="18"/>
              </w:rPr>
            </w:pPr>
            <w:r>
              <w:rPr>
                <w:sz w:val="18"/>
              </w:rPr>
              <w:t>ДРТПС Красноярская дирекция по ремонту тягового подвижного состава СП ДРПТС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DE3E0000">
            <w:pPr>
              <w:widowControl w:val="1"/>
              <w:ind/>
              <w:jc w:val="right"/>
              <w:rPr>
                <w:sz w:val="18"/>
              </w:rPr>
            </w:pPr>
            <w:r>
              <w:rPr>
                <w:sz w:val="18"/>
              </w:rPr>
              <w:t>18</w:t>
            </w:r>
          </w:p>
        </w:tc>
        <w:tc>
          <w:tcPr>
            <w:tcW w:type="dxa" w:w="1160"/>
            <w:tcBorders>
              <w:top w:color="000000" w:sz="4" w:val="single"/>
              <w:left w:color="000000" w:sz="4" w:val="single"/>
              <w:bottom w:color="000000" w:sz="4" w:val="single"/>
              <w:right w:color="000000" w:sz="4" w:val="single"/>
            </w:tcBorders>
            <w:shd w:fill="auto" w:val="clear"/>
            <w:vAlign w:val="bottom"/>
          </w:tcPr>
          <w:p w14:paraId="DF3E0000">
            <w:pPr>
              <w:widowControl w:val="1"/>
              <w:ind/>
              <w:jc w:val="right"/>
              <w:rPr>
                <w:sz w:val="18"/>
              </w:rPr>
            </w:pPr>
            <w:r>
              <w:rPr>
                <w:sz w:val="18"/>
              </w:rPr>
              <w:t>109</w:t>
            </w:r>
          </w:p>
        </w:tc>
        <w:tc>
          <w:tcPr>
            <w:tcW w:type="dxa" w:w="1160"/>
            <w:tcBorders>
              <w:top w:color="000000" w:sz="4" w:val="single"/>
              <w:left w:color="000000" w:sz="4" w:val="single"/>
              <w:bottom w:color="000000" w:sz="4" w:val="single"/>
              <w:right w:color="000000" w:sz="4" w:val="single"/>
            </w:tcBorders>
            <w:shd w:fill="auto" w:val="clear"/>
            <w:vAlign w:val="bottom"/>
          </w:tcPr>
          <w:p w14:paraId="E03E0000">
            <w:pPr>
              <w:widowControl w:val="1"/>
              <w:ind/>
              <w:jc w:val="right"/>
              <w:rPr>
                <w:sz w:val="18"/>
              </w:rPr>
            </w:pPr>
            <w:r>
              <w:rPr>
                <w:sz w:val="18"/>
              </w:rPr>
              <w:t>111</w:t>
            </w:r>
          </w:p>
        </w:tc>
        <w:tc>
          <w:tcPr>
            <w:tcW w:type="dxa" w:w="1620"/>
            <w:tcBorders>
              <w:top w:color="000000" w:sz="4" w:val="single"/>
              <w:left w:color="000000" w:sz="4" w:val="single"/>
              <w:bottom w:color="000000" w:sz="4" w:val="single"/>
              <w:right w:color="000000" w:sz="4" w:val="single"/>
            </w:tcBorders>
            <w:shd w:fill="auto" w:val="clear"/>
            <w:vAlign w:val="bottom"/>
          </w:tcPr>
          <w:p w14:paraId="E13E0000">
            <w:pPr>
              <w:widowControl w:val="1"/>
              <w:ind/>
              <w:jc w:val="right"/>
              <w:rPr>
                <w:sz w:val="18"/>
              </w:rPr>
            </w:pPr>
            <w:r>
              <w:rPr>
                <w:sz w:val="18"/>
              </w:rPr>
              <w:t>17</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E23E0000">
            <w:pPr>
              <w:widowControl w:val="1"/>
              <w:ind w:firstLine="180"/>
              <w:rPr>
                <w:sz w:val="18"/>
              </w:rPr>
            </w:pPr>
            <w:r>
              <w:rPr>
                <w:sz w:val="18"/>
              </w:rPr>
              <w:t>ДС Красноярская дирекция связи Центральной станции связи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E33E0000">
            <w:pPr>
              <w:widowControl w:val="1"/>
              <w:ind/>
              <w:jc w:val="right"/>
              <w:rPr>
                <w:sz w:val="18"/>
              </w:rPr>
            </w:pPr>
            <w:r>
              <w:rPr>
                <w:sz w:val="18"/>
              </w:rPr>
              <w:t>134</w:t>
            </w:r>
          </w:p>
        </w:tc>
        <w:tc>
          <w:tcPr>
            <w:tcW w:type="dxa" w:w="1160"/>
            <w:tcBorders>
              <w:top w:color="000000" w:sz="4" w:val="single"/>
              <w:left w:color="000000" w:sz="4" w:val="single"/>
              <w:bottom w:color="000000" w:sz="4" w:val="single"/>
              <w:right w:color="000000" w:sz="4" w:val="single"/>
            </w:tcBorders>
            <w:shd w:fill="auto" w:val="clear"/>
            <w:vAlign w:val="bottom"/>
          </w:tcPr>
          <w:p w14:paraId="E43E0000">
            <w:pPr>
              <w:widowControl w:val="1"/>
              <w:ind/>
              <w:jc w:val="right"/>
              <w:rPr>
                <w:sz w:val="18"/>
              </w:rPr>
            </w:pPr>
            <w:r>
              <w:rPr>
                <w:sz w:val="18"/>
              </w:rPr>
              <w:t>893</w:t>
            </w:r>
          </w:p>
        </w:tc>
        <w:tc>
          <w:tcPr>
            <w:tcW w:type="dxa" w:w="1160"/>
            <w:tcBorders>
              <w:top w:color="000000" w:sz="4" w:val="single"/>
              <w:left w:color="000000" w:sz="4" w:val="single"/>
              <w:bottom w:color="000000" w:sz="4" w:val="single"/>
              <w:right w:color="000000" w:sz="4" w:val="single"/>
            </w:tcBorders>
            <w:shd w:fill="auto" w:val="clear"/>
            <w:vAlign w:val="bottom"/>
          </w:tcPr>
          <w:p w14:paraId="E53E0000">
            <w:pPr>
              <w:widowControl w:val="1"/>
              <w:ind/>
              <w:jc w:val="right"/>
              <w:rPr>
                <w:sz w:val="18"/>
              </w:rPr>
            </w:pPr>
            <w:r>
              <w:rPr>
                <w:sz w:val="18"/>
              </w:rPr>
              <w:t>890</w:t>
            </w:r>
          </w:p>
        </w:tc>
        <w:tc>
          <w:tcPr>
            <w:tcW w:type="dxa" w:w="1620"/>
            <w:tcBorders>
              <w:top w:color="000000" w:sz="4" w:val="single"/>
              <w:left w:color="000000" w:sz="4" w:val="single"/>
              <w:bottom w:color="000000" w:sz="4" w:val="single"/>
              <w:right w:color="000000" w:sz="4" w:val="single"/>
            </w:tcBorders>
            <w:shd w:fill="auto" w:val="clear"/>
            <w:vAlign w:val="bottom"/>
          </w:tcPr>
          <w:p w14:paraId="E63E0000">
            <w:pPr>
              <w:widowControl w:val="1"/>
              <w:ind/>
              <w:jc w:val="right"/>
              <w:rPr>
                <w:sz w:val="18"/>
              </w:rPr>
            </w:pPr>
            <w:r>
              <w:rPr>
                <w:sz w:val="18"/>
              </w:rPr>
              <w:t>137</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E73E0000">
            <w:pPr>
              <w:widowControl w:val="1"/>
              <w:ind w:firstLine="180"/>
              <w:rPr>
                <w:sz w:val="18"/>
              </w:rPr>
            </w:pPr>
            <w:r>
              <w:rPr>
                <w:sz w:val="18"/>
              </w:rPr>
              <w:t>ДТ Западно-Сибирская дирекция тяги</w:t>
            </w:r>
          </w:p>
        </w:tc>
        <w:tc>
          <w:tcPr>
            <w:tcW w:type="dxa" w:w="1640"/>
            <w:tcBorders>
              <w:top w:color="000000" w:sz="4" w:val="single"/>
              <w:left w:color="000000" w:sz="4" w:val="single"/>
              <w:bottom w:color="000000" w:sz="4" w:val="single"/>
              <w:right w:color="000000" w:sz="4" w:val="single"/>
            </w:tcBorders>
            <w:shd w:fill="auto" w:val="clear"/>
            <w:vAlign w:val="bottom"/>
          </w:tcPr>
          <w:p w14:paraId="E83E0000">
            <w:pPr>
              <w:widowControl w:val="1"/>
              <w:ind/>
              <w:jc w:val="right"/>
              <w:rPr>
                <w:sz w:val="18"/>
              </w:rPr>
            </w:pPr>
            <w:r>
              <w:rPr>
                <w:sz w:val="18"/>
              </w:rPr>
              <w:t>13</w:t>
            </w:r>
          </w:p>
        </w:tc>
        <w:tc>
          <w:tcPr>
            <w:tcW w:type="dxa" w:w="1160"/>
            <w:tcBorders>
              <w:top w:color="000000" w:sz="4" w:val="single"/>
              <w:left w:color="000000" w:sz="4" w:val="single"/>
              <w:bottom w:color="000000" w:sz="4" w:val="single"/>
              <w:right w:color="000000" w:sz="4" w:val="single"/>
            </w:tcBorders>
            <w:shd w:fill="auto" w:val="clear"/>
            <w:vAlign w:val="bottom"/>
          </w:tcPr>
          <w:p w14:paraId="E93E0000">
            <w:pPr>
              <w:widowControl w:val="1"/>
              <w:ind/>
              <w:jc w:val="right"/>
              <w:rPr>
                <w:sz w:val="18"/>
              </w:rPr>
            </w:pPr>
            <w:r>
              <w:rPr>
                <w:sz w:val="18"/>
              </w:rPr>
              <w:t>22</w:t>
            </w:r>
          </w:p>
        </w:tc>
        <w:tc>
          <w:tcPr>
            <w:tcW w:type="dxa" w:w="1160"/>
            <w:tcBorders>
              <w:top w:color="000000" w:sz="4" w:val="single"/>
              <w:left w:color="000000" w:sz="4" w:val="single"/>
              <w:bottom w:color="000000" w:sz="4" w:val="single"/>
              <w:right w:color="000000" w:sz="4" w:val="single"/>
            </w:tcBorders>
            <w:shd w:fill="auto" w:val="clear"/>
            <w:vAlign w:val="bottom"/>
          </w:tcPr>
          <w:p w14:paraId="EA3E0000">
            <w:pPr>
              <w:widowControl w:val="1"/>
              <w:ind/>
              <w:jc w:val="right"/>
              <w:rPr>
                <w:sz w:val="18"/>
              </w:rPr>
            </w:pPr>
            <w:r>
              <w:rPr>
                <w:sz w:val="18"/>
              </w:rPr>
              <w:t>31</w:t>
            </w:r>
          </w:p>
        </w:tc>
        <w:tc>
          <w:tcPr>
            <w:tcW w:type="dxa" w:w="1620"/>
            <w:tcBorders>
              <w:top w:color="000000" w:sz="4" w:val="single"/>
              <w:left w:color="000000" w:sz="4" w:val="single"/>
              <w:bottom w:color="000000" w:sz="4" w:val="single"/>
              <w:right w:color="000000" w:sz="4" w:val="single"/>
            </w:tcBorders>
            <w:shd w:fill="auto" w:val="clear"/>
            <w:vAlign w:val="bottom"/>
          </w:tcPr>
          <w:p w14:paraId="EB3E0000">
            <w:pPr>
              <w:widowControl w:val="1"/>
              <w:ind/>
              <w:jc w:val="right"/>
              <w:rPr>
                <w:sz w:val="18"/>
              </w:rPr>
            </w:pPr>
            <w:r>
              <w:rPr>
                <w:sz w:val="18"/>
              </w:rPr>
              <w:t>3</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EC3E0000">
            <w:pPr>
              <w:widowControl w:val="1"/>
              <w:ind w:firstLine="180"/>
              <w:rPr>
                <w:sz w:val="18"/>
              </w:rPr>
            </w:pPr>
            <w:r>
              <w:rPr>
                <w:sz w:val="18"/>
              </w:rPr>
              <w:t>ДТ Красноярская дирекция тяги</w:t>
            </w:r>
          </w:p>
        </w:tc>
        <w:tc>
          <w:tcPr>
            <w:tcW w:type="dxa" w:w="1640"/>
            <w:tcBorders>
              <w:top w:color="000000" w:sz="4" w:val="single"/>
              <w:left w:color="000000" w:sz="4" w:val="single"/>
              <w:bottom w:color="000000" w:sz="4" w:val="single"/>
              <w:right w:color="000000" w:sz="4" w:val="single"/>
            </w:tcBorders>
            <w:shd w:fill="auto" w:val="clear"/>
            <w:vAlign w:val="bottom"/>
          </w:tcPr>
          <w:p w14:paraId="ED3E0000">
            <w:pPr>
              <w:widowControl w:val="1"/>
              <w:ind/>
              <w:jc w:val="right"/>
              <w:rPr>
                <w:sz w:val="18"/>
              </w:rPr>
            </w:pPr>
            <w:r>
              <w:rPr>
                <w:sz w:val="18"/>
              </w:rPr>
              <w:t>502</w:t>
            </w:r>
          </w:p>
        </w:tc>
        <w:tc>
          <w:tcPr>
            <w:tcW w:type="dxa" w:w="1160"/>
            <w:tcBorders>
              <w:top w:color="000000" w:sz="4" w:val="single"/>
              <w:left w:color="000000" w:sz="4" w:val="single"/>
              <w:bottom w:color="000000" w:sz="4" w:val="single"/>
              <w:right w:color="000000" w:sz="4" w:val="single"/>
            </w:tcBorders>
            <w:shd w:fill="auto" w:val="clear"/>
            <w:vAlign w:val="bottom"/>
          </w:tcPr>
          <w:p w14:paraId="EE3E0000">
            <w:pPr>
              <w:widowControl w:val="1"/>
              <w:ind/>
              <w:jc w:val="right"/>
              <w:rPr>
                <w:sz w:val="18"/>
              </w:rPr>
            </w:pPr>
            <w:r>
              <w:rPr>
                <w:sz w:val="18"/>
              </w:rPr>
              <w:t>2 795</w:t>
            </w:r>
          </w:p>
        </w:tc>
        <w:tc>
          <w:tcPr>
            <w:tcW w:type="dxa" w:w="1160"/>
            <w:tcBorders>
              <w:top w:color="000000" w:sz="4" w:val="single"/>
              <w:left w:color="000000" w:sz="4" w:val="single"/>
              <w:bottom w:color="000000" w:sz="4" w:val="single"/>
              <w:right w:color="000000" w:sz="4" w:val="single"/>
            </w:tcBorders>
            <w:shd w:fill="auto" w:val="clear"/>
            <w:vAlign w:val="bottom"/>
          </w:tcPr>
          <w:p w14:paraId="EF3E0000">
            <w:pPr>
              <w:widowControl w:val="1"/>
              <w:ind/>
              <w:jc w:val="right"/>
              <w:rPr>
                <w:sz w:val="18"/>
              </w:rPr>
            </w:pPr>
            <w:r>
              <w:rPr>
                <w:sz w:val="18"/>
              </w:rPr>
              <w:t>2 751</w:t>
            </w:r>
          </w:p>
        </w:tc>
        <w:tc>
          <w:tcPr>
            <w:tcW w:type="dxa" w:w="1620"/>
            <w:tcBorders>
              <w:top w:color="000000" w:sz="4" w:val="single"/>
              <w:left w:color="000000" w:sz="4" w:val="single"/>
              <w:bottom w:color="000000" w:sz="4" w:val="single"/>
              <w:right w:color="000000" w:sz="4" w:val="single"/>
            </w:tcBorders>
            <w:shd w:fill="auto" w:val="clear"/>
            <w:vAlign w:val="bottom"/>
          </w:tcPr>
          <w:p w14:paraId="F03E0000">
            <w:pPr>
              <w:widowControl w:val="1"/>
              <w:ind/>
              <w:jc w:val="right"/>
              <w:rPr>
                <w:sz w:val="18"/>
              </w:rPr>
            </w:pPr>
            <w:r>
              <w:rPr>
                <w:sz w:val="18"/>
              </w:rPr>
              <w:t>545</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F13E0000">
            <w:pPr>
              <w:widowControl w:val="1"/>
              <w:ind w:firstLine="180"/>
              <w:rPr>
                <w:sz w:val="18"/>
              </w:rPr>
            </w:pPr>
            <w:r>
              <w:rPr>
                <w:sz w:val="18"/>
              </w:rPr>
              <w:t>ДТВС Красноярская дирекция по тепловодоснабжению СП Центральной дирекции по ТВС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F23E0000">
            <w:pPr>
              <w:widowControl w:val="1"/>
              <w:ind/>
              <w:jc w:val="right"/>
              <w:rPr>
                <w:sz w:val="18"/>
              </w:rPr>
            </w:pPr>
            <w:r>
              <w:rPr>
                <w:sz w:val="18"/>
              </w:rPr>
              <w:t>178</w:t>
            </w:r>
          </w:p>
        </w:tc>
        <w:tc>
          <w:tcPr>
            <w:tcW w:type="dxa" w:w="1160"/>
            <w:tcBorders>
              <w:top w:color="000000" w:sz="4" w:val="single"/>
              <w:left w:color="000000" w:sz="4" w:val="single"/>
              <w:bottom w:color="000000" w:sz="4" w:val="single"/>
              <w:right w:color="000000" w:sz="4" w:val="single"/>
            </w:tcBorders>
            <w:shd w:fill="auto" w:val="clear"/>
            <w:vAlign w:val="bottom"/>
          </w:tcPr>
          <w:p w14:paraId="F33E0000">
            <w:pPr>
              <w:widowControl w:val="1"/>
              <w:ind/>
              <w:jc w:val="right"/>
              <w:rPr>
                <w:sz w:val="18"/>
              </w:rPr>
            </w:pPr>
            <w:r>
              <w:rPr>
                <w:sz w:val="18"/>
              </w:rPr>
              <w:t>661</w:t>
            </w:r>
          </w:p>
        </w:tc>
        <w:tc>
          <w:tcPr>
            <w:tcW w:type="dxa" w:w="1160"/>
            <w:tcBorders>
              <w:top w:color="000000" w:sz="4" w:val="single"/>
              <w:left w:color="000000" w:sz="4" w:val="single"/>
              <w:bottom w:color="000000" w:sz="4" w:val="single"/>
              <w:right w:color="000000" w:sz="4" w:val="single"/>
            </w:tcBorders>
            <w:shd w:fill="auto" w:val="clear"/>
            <w:vAlign w:val="bottom"/>
          </w:tcPr>
          <w:p w14:paraId="F43E0000">
            <w:pPr>
              <w:widowControl w:val="1"/>
              <w:ind/>
              <w:jc w:val="right"/>
              <w:rPr>
                <w:sz w:val="18"/>
              </w:rPr>
            </w:pPr>
            <w:r>
              <w:rPr>
                <w:sz w:val="18"/>
              </w:rPr>
              <w:t>597</w:t>
            </w:r>
          </w:p>
        </w:tc>
        <w:tc>
          <w:tcPr>
            <w:tcW w:type="dxa" w:w="1620"/>
            <w:tcBorders>
              <w:top w:color="000000" w:sz="4" w:val="single"/>
              <w:left w:color="000000" w:sz="4" w:val="single"/>
              <w:bottom w:color="000000" w:sz="4" w:val="single"/>
              <w:right w:color="000000" w:sz="4" w:val="single"/>
            </w:tcBorders>
            <w:shd w:fill="auto" w:val="clear"/>
            <w:vAlign w:val="bottom"/>
          </w:tcPr>
          <w:p w14:paraId="F53E0000">
            <w:pPr>
              <w:widowControl w:val="1"/>
              <w:ind/>
              <w:jc w:val="right"/>
              <w:rPr>
                <w:sz w:val="18"/>
              </w:rPr>
            </w:pPr>
            <w:r>
              <w:rPr>
                <w:sz w:val="18"/>
              </w:rPr>
              <w:t>241</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F63E0000">
            <w:pPr>
              <w:widowControl w:val="1"/>
              <w:ind w:firstLine="180"/>
              <w:rPr>
                <w:sz w:val="18"/>
              </w:rPr>
            </w:pPr>
            <w:r>
              <w:rPr>
                <w:sz w:val="18"/>
              </w:rPr>
              <w:t>ДУД Красноярская дирекция управления движением СП Центральной ДУД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F73E0000">
            <w:pPr>
              <w:widowControl w:val="1"/>
              <w:ind/>
              <w:jc w:val="right"/>
              <w:rPr>
                <w:sz w:val="18"/>
              </w:rPr>
            </w:pPr>
            <w:r>
              <w:rPr>
                <w:sz w:val="18"/>
              </w:rPr>
              <w:t>583</w:t>
            </w:r>
          </w:p>
        </w:tc>
        <w:tc>
          <w:tcPr>
            <w:tcW w:type="dxa" w:w="1160"/>
            <w:tcBorders>
              <w:top w:color="000000" w:sz="4" w:val="single"/>
              <w:left w:color="000000" w:sz="4" w:val="single"/>
              <w:bottom w:color="000000" w:sz="4" w:val="single"/>
              <w:right w:color="000000" w:sz="4" w:val="single"/>
            </w:tcBorders>
            <w:shd w:fill="auto" w:val="clear"/>
            <w:vAlign w:val="bottom"/>
          </w:tcPr>
          <w:p w14:paraId="F83E0000">
            <w:pPr>
              <w:widowControl w:val="1"/>
              <w:ind/>
              <w:jc w:val="right"/>
              <w:rPr>
                <w:sz w:val="18"/>
              </w:rPr>
            </w:pPr>
            <w:r>
              <w:rPr>
                <w:sz w:val="18"/>
              </w:rPr>
              <w:t>3 218</w:t>
            </w:r>
          </w:p>
        </w:tc>
        <w:tc>
          <w:tcPr>
            <w:tcW w:type="dxa" w:w="1160"/>
            <w:tcBorders>
              <w:top w:color="000000" w:sz="4" w:val="single"/>
              <w:left w:color="000000" w:sz="4" w:val="single"/>
              <w:bottom w:color="000000" w:sz="4" w:val="single"/>
              <w:right w:color="000000" w:sz="4" w:val="single"/>
            </w:tcBorders>
            <w:shd w:fill="auto" w:val="clear"/>
            <w:vAlign w:val="bottom"/>
          </w:tcPr>
          <w:p w14:paraId="F93E0000">
            <w:pPr>
              <w:widowControl w:val="1"/>
              <w:ind/>
              <w:jc w:val="right"/>
              <w:rPr>
                <w:sz w:val="18"/>
              </w:rPr>
            </w:pPr>
            <w:r>
              <w:rPr>
                <w:sz w:val="18"/>
              </w:rPr>
              <w:t>3 236</w:t>
            </w:r>
          </w:p>
        </w:tc>
        <w:tc>
          <w:tcPr>
            <w:tcW w:type="dxa" w:w="1620"/>
            <w:tcBorders>
              <w:top w:color="000000" w:sz="4" w:val="single"/>
              <w:left w:color="000000" w:sz="4" w:val="single"/>
              <w:bottom w:color="000000" w:sz="4" w:val="single"/>
              <w:right w:color="000000" w:sz="4" w:val="single"/>
            </w:tcBorders>
            <w:shd w:fill="auto" w:val="clear"/>
            <w:vAlign w:val="bottom"/>
          </w:tcPr>
          <w:p w14:paraId="FA3E0000">
            <w:pPr>
              <w:widowControl w:val="1"/>
              <w:ind/>
              <w:jc w:val="right"/>
              <w:rPr>
                <w:sz w:val="18"/>
              </w:rPr>
            </w:pPr>
            <w:r>
              <w:rPr>
                <w:sz w:val="18"/>
              </w:rPr>
              <w:t>565</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FB3E0000">
            <w:pPr>
              <w:widowControl w:val="1"/>
              <w:ind w:firstLine="180"/>
              <w:rPr>
                <w:sz w:val="18"/>
              </w:rPr>
            </w:pPr>
            <w:r>
              <w:rPr>
                <w:sz w:val="18"/>
              </w:rPr>
              <w:t>ДУД Красноярская дирекция управления движением СП Центральной ДУД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FC3E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FD3E0000">
            <w:pPr>
              <w:widowControl w:val="1"/>
              <w:ind/>
              <w:jc w:val="right"/>
              <w:rPr>
                <w:sz w:val="18"/>
              </w:rPr>
            </w:pPr>
            <w:r>
              <w:rPr>
                <w:sz w:val="18"/>
              </w:rPr>
              <w:t>197</w:t>
            </w:r>
          </w:p>
        </w:tc>
        <w:tc>
          <w:tcPr>
            <w:tcW w:type="dxa" w:w="1160"/>
            <w:tcBorders>
              <w:top w:color="000000" w:sz="4" w:val="single"/>
              <w:left w:color="000000" w:sz="4" w:val="single"/>
              <w:bottom w:color="000000" w:sz="4" w:val="single"/>
              <w:right w:color="000000" w:sz="4" w:val="single"/>
            </w:tcBorders>
            <w:shd w:fill="auto" w:val="clear"/>
            <w:vAlign w:val="bottom"/>
          </w:tcPr>
          <w:p w14:paraId="FE3E0000">
            <w:pPr>
              <w:widowControl w:val="1"/>
              <w:ind/>
              <w:jc w:val="right"/>
              <w:rPr>
                <w:sz w:val="18"/>
              </w:rPr>
            </w:pPr>
            <w:r>
              <w:rPr>
                <w:sz w:val="18"/>
              </w:rPr>
              <w:t>197</w:t>
            </w:r>
          </w:p>
        </w:tc>
        <w:tc>
          <w:tcPr>
            <w:tcW w:type="dxa" w:w="1620"/>
            <w:tcBorders>
              <w:top w:color="000000" w:sz="4" w:val="single"/>
              <w:left w:color="000000" w:sz="4" w:val="single"/>
              <w:bottom w:color="000000" w:sz="4" w:val="single"/>
              <w:right w:color="000000" w:sz="4" w:val="single"/>
            </w:tcBorders>
            <w:shd w:fill="auto" w:val="clear"/>
            <w:vAlign w:val="bottom"/>
          </w:tcPr>
          <w:p w14:paraId="FF3E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003F0000">
            <w:pPr>
              <w:widowControl w:val="1"/>
              <w:ind w:firstLine="180"/>
              <w:rPr>
                <w:sz w:val="18"/>
              </w:rPr>
            </w:pPr>
            <w:r>
              <w:rPr>
                <w:sz w:val="18"/>
              </w:rPr>
              <w:t>ДУТСК Красноярская дирекция по управлению терминально-складским комплексом СП ЦДУТСК- ф-ла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013F0000">
            <w:pPr>
              <w:widowControl w:val="1"/>
              <w:ind/>
              <w:jc w:val="right"/>
              <w:rPr>
                <w:sz w:val="18"/>
              </w:rPr>
            </w:pPr>
            <w:r>
              <w:rPr>
                <w:sz w:val="18"/>
              </w:rPr>
              <w:t>33</w:t>
            </w:r>
          </w:p>
        </w:tc>
        <w:tc>
          <w:tcPr>
            <w:tcW w:type="dxa" w:w="1160"/>
            <w:tcBorders>
              <w:top w:color="000000" w:sz="4" w:val="single"/>
              <w:left w:color="000000" w:sz="4" w:val="single"/>
              <w:bottom w:color="000000" w:sz="4" w:val="single"/>
              <w:right w:color="000000" w:sz="4" w:val="single"/>
            </w:tcBorders>
            <w:shd w:fill="auto" w:val="clear"/>
            <w:vAlign w:val="bottom"/>
          </w:tcPr>
          <w:p w14:paraId="023F0000">
            <w:pPr>
              <w:widowControl w:val="1"/>
              <w:ind/>
              <w:jc w:val="right"/>
              <w:rPr>
                <w:sz w:val="18"/>
              </w:rPr>
            </w:pPr>
            <w:r>
              <w:rPr>
                <w:sz w:val="18"/>
              </w:rPr>
              <w:t>52</w:t>
            </w:r>
          </w:p>
        </w:tc>
        <w:tc>
          <w:tcPr>
            <w:tcW w:type="dxa" w:w="1160"/>
            <w:tcBorders>
              <w:top w:color="000000" w:sz="4" w:val="single"/>
              <w:left w:color="000000" w:sz="4" w:val="single"/>
              <w:bottom w:color="000000" w:sz="4" w:val="single"/>
              <w:right w:color="000000" w:sz="4" w:val="single"/>
            </w:tcBorders>
            <w:shd w:fill="auto" w:val="clear"/>
            <w:vAlign w:val="bottom"/>
          </w:tcPr>
          <w:p w14:paraId="033F0000">
            <w:pPr>
              <w:widowControl w:val="1"/>
              <w:ind/>
              <w:jc w:val="right"/>
              <w:rPr>
                <w:sz w:val="18"/>
              </w:rPr>
            </w:pPr>
            <w:r>
              <w:rPr>
                <w:sz w:val="18"/>
              </w:rPr>
              <w:t>72</w:t>
            </w:r>
          </w:p>
        </w:tc>
        <w:tc>
          <w:tcPr>
            <w:tcW w:type="dxa" w:w="1620"/>
            <w:tcBorders>
              <w:top w:color="000000" w:sz="4" w:val="single"/>
              <w:left w:color="000000" w:sz="4" w:val="single"/>
              <w:bottom w:color="000000" w:sz="4" w:val="single"/>
              <w:right w:color="000000" w:sz="4" w:val="single"/>
            </w:tcBorders>
            <w:shd w:fill="auto" w:val="clear"/>
            <w:vAlign w:val="bottom"/>
          </w:tcPr>
          <w:p w14:paraId="043F0000">
            <w:pPr>
              <w:widowControl w:val="1"/>
              <w:ind/>
              <w:jc w:val="right"/>
              <w:rPr>
                <w:sz w:val="18"/>
              </w:rPr>
            </w:pPr>
            <w:r>
              <w:rPr>
                <w:sz w:val="18"/>
              </w:rPr>
              <w:t>13</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053F0000">
            <w:pPr>
              <w:widowControl w:val="1"/>
              <w:ind w:firstLine="180"/>
              <w:rPr>
                <w:sz w:val="18"/>
              </w:rPr>
            </w:pPr>
            <w:r>
              <w:rPr>
                <w:sz w:val="18"/>
              </w:rPr>
              <w:t>З-С Дирекция капитального ремонта и реконструкции объектов электрификации и электроснабжения</w:t>
            </w:r>
          </w:p>
        </w:tc>
        <w:tc>
          <w:tcPr>
            <w:tcW w:type="dxa" w:w="1640"/>
            <w:tcBorders>
              <w:top w:color="000000" w:sz="4" w:val="single"/>
              <w:left w:color="000000" w:sz="4" w:val="single"/>
              <w:bottom w:color="000000" w:sz="4" w:val="single"/>
              <w:right w:color="000000" w:sz="4" w:val="single"/>
            </w:tcBorders>
            <w:shd w:fill="auto" w:val="clear"/>
            <w:vAlign w:val="bottom"/>
          </w:tcPr>
          <w:p w14:paraId="063F0000">
            <w:pPr>
              <w:widowControl w:val="1"/>
              <w:ind/>
              <w:jc w:val="right"/>
              <w:rPr>
                <w:sz w:val="18"/>
              </w:rPr>
            </w:pPr>
            <w:r>
              <w:rPr>
                <w:sz w:val="18"/>
              </w:rPr>
              <w:t>18</w:t>
            </w:r>
          </w:p>
        </w:tc>
        <w:tc>
          <w:tcPr>
            <w:tcW w:type="dxa" w:w="1160"/>
            <w:tcBorders>
              <w:top w:color="000000" w:sz="4" w:val="single"/>
              <w:left w:color="000000" w:sz="4" w:val="single"/>
              <w:bottom w:color="000000" w:sz="4" w:val="single"/>
              <w:right w:color="000000" w:sz="4" w:val="single"/>
            </w:tcBorders>
            <w:shd w:fill="auto" w:val="clear"/>
            <w:vAlign w:val="bottom"/>
          </w:tcPr>
          <w:p w14:paraId="073F0000">
            <w:pPr>
              <w:widowControl w:val="1"/>
              <w:ind/>
              <w:jc w:val="right"/>
              <w:rPr>
                <w:sz w:val="18"/>
              </w:rPr>
            </w:pPr>
            <w:r>
              <w:rPr>
                <w:sz w:val="18"/>
              </w:rPr>
              <w:t>102</w:t>
            </w:r>
          </w:p>
        </w:tc>
        <w:tc>
          <w:tcPr>
            <w:tcW w:type="dxa" w:w="1160"/>
            <w:tcBorders>
              <w:top w:color="000000" w:sz="4" w:val="single"/>
              <w:left w:color="000000" w:sz="4" w:val="single"/>
              <w:bottom w:color="000000" w:sz="4" w:val="single"/>
              <w:right w:color="000000" w:sz="4" w:val="single"/>
            </w:tcBorders>
            <w:shd w:fill="auto" w:val="clear"/>
            <w:vAlign w:val="bottom"/>
          </w:tcPr>
          <w:p w14:paraId="083F0000">
            <w:pPr>
              <w:widowControl w:val="1"/>
              <w:ind/>
              <w:jc w:val="right"/>
              <w:rPr>
                <w:sz w:val="18"/>
              </w:rPr>
            </w:pPr>
            <w:r>
              <w:rPr>
                <w:sz w:val="18"/>
              </w:rPr>
              <w:t>105</w:t>
            </w:r>
          </w:p>
        </w:tc>
        <w:tc>
          <w:tcPr>
            <w:tcW w:type="dxa" w:w="1620"/>
            <w:tcBorders>
              <w:top w:color="000000" w:sz="4" w:val="single"/>
              <w:left w:color="000000" w:sz="4" w:val="single"/>
              <w:bottom w:color="000000" w:sz="4" w:val="single"/>
              <w:right w:color="000000" w:sz="4" w:val="single"/>
            </w:tcBorders>
            <w:shd w:fill="auto" w:val="clear"/>
            <w:vAlign w:val="bottom"/>
          </w:tcPr>
          <w:p w14:paraId="093F0000">
            <w:pPr>
              <w:widowControl w:val="1"/>
              <w:ind/>
              <w:jc w:val="right"/>
              <w:rPr>
                <w:sz w:val="18"/>
              </w:rPr>
            </w:pPr>
            <w:r>
              <w:rPr>
                <w:sz w:val="18"/>
              </w:rPr>
              <w:t>15</w:t>
            </w:r>
          </w:p>
        </w:tc>
      </w:tr>
      <w:tr>
        <w:trPr>
          <w:trHeight w:hRule="atLeast" w:val="375"/>
        </w:trPr>
        <w:tc>
          <w:tcPr>
            <w:tcW w:type="dxa" w:w="4697"/>
            <w:tcBorders>
              <w:top w:color="000000" w:sz="4" w:val="single"/>
              <w:left w:color="000000" w:sz="4" w:val="single"/>
              <w:bottom w:color="000000" w:sz="4" w:val="single"/>
              <w:right w:color="000000" w:sz="4" w:val="single"/>
            </w:tcBorders>
            <w:shd w:fill="auto" w:val="clear"/>
          </w:tcPr>
          <w:p w14:paraId="0A3F0000">
            <w:pPr>
              <w:widowControl w:val="1"/>
              <w:ind w:firstLine="180"/>
              <w:rPr>
                <w:sz w:val="18"/>
              </w:rPr>
            </w:pPr>
            <w:r>
              <w:rPr>
                <w:sz w:val="18"/>
              </w:rPr>
              <w:t>ИВЦ Красноярский информационно-вычислительный центр СП Главного вычислительного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0B3F0000">
            <w:pPr>
              <w:widowControl w:val="1"/>
              <w:ind/>
              <w:jc w:val="right"/>
              <w:rPr>
                <w:sz w:val="18"/>
              </w:rPr>
            </w:pPr>
            <w:r>
              <w:rPr>
                <w:sz w:val="18"/>
              </w:rPr>
              <w:t>12</w:t>
            </w:r>
          </w:p>
        </w:tc>
        <w:tc>
          <w:tcPr>
            <w:tcW w:type="dxa" w:w="1160"/>
            <w:tcBorders>
              <w:top w:color="000000" w:sz="4" w:val="single"/>
              <w:left w:color="000000" w:sz="4" w:val="single"/>
              <w:bottom w:color="000000" w:sz="4" w:val="single"/>
              <w:right w:color="000000" w:sz="4" w:val="single"/>
            </w:tcBorders>
            <w:shd w:fill="auto" w:val="clear"/>
            <w:vAlign w:val="bottom"/>
          </w:tcPr>
          <w:p w14:paraId="0C3F0000">
            <w:pPr>
              <w:widowControl w:val="1"/>
              <w:ind/>
              <w:jc w:val="right"/>
              <w:rPr>
                <w:sz w:val="18"/>
              </w:rPr>
            </w:pPr>
            <w:r>
              <w:rPr>
                <w:sz w:val="18"/>
              </w:rPr>
              <w:t>143</w:t>
            </w:r>
          </w:p>
        </w:tc>
        <w:tc>
          <w:tcPr>
            <w:tcW w:type="dxa" w:w="1160"/>
            <w:tcBorders>
              <w:top w:color="000000" w:sz="4" w:val="single"/>
              <w:left w:color="000000" w:sz="4" w:val="single"/>
              <w:bottom w:color="000000" w:sz="4" w:val="single"/>
              <w:right w:color="000000" w:sz="4" w:val="single"/>
            </w:tcBorders>
            <w:shd w:fill="auto" w:val="clear"/>
            <w:vAlign w:val="bottom"/>
          </w:tcPr>
          <w:p w14:paraId="0D3F0000">
            <w:pPr>
              <w:widowControl w:val="1"/>
              <w:ind/>
              <w:jc w:val="right"/>
              <w:rPr>
                <w:sz w:val="18"/>
              </w:rPr>
            </w:pPr>
            <w:r>
              <w:rPr>
                <w:sz w:val="18"/>
              </w:rPr>
              <w:t>129</w:t>
            </w:r>
          </w:p>
        </w:tc>
        <w:tc>
          <w:tcPr>
            <w:tcW w:type="dxa" w:w="1620"/>
            <w:tcBorders>
              <w:top w:color="000000" w:sz="4" w:val="single"/>
              <w:left w:color="000000" w:sz="4" w:val="single"/>
              <w:bottom w:color="000000" w:sz="4" w:val="single"/>
              <w:right w:color="000000" w:sz="4" w:val="single"/>
            </w:tcBorders>
            <w:shd w:fill="auto" w:val="clear"/>
            <w:vAlign w:val="bottom"/>
          </w:tcPr>
          <w:p w14:paraId="0E3F0000">
            <w:pPr>
              <w:widowControl w:val="1"/>
              <w:ind/>
              <w:jc w:val="right"/>
              <w:rPr>
                <w:sz w:val="18"/>
              </w:rPr>
            </w:pPr>
            <w:r>
              <w:rPr>
                <w:sz w:val="18"/>
              </w:rPr>
              <w:t>26</w:t>
            </w:r>
          </w:p>
        </w:tc>
      </w:tr>
      <w:tr>
        <w:trPr>
          <w:trHeight w:hRule="atLeast" w:val="315"/>
        </w:trPr>
        <w:tc>
          <w:tcPr>
            <w:tcW w:type="dxa" w:w="4697"/>
            <w:tcBorders>
              <w:top w:color="000000" w:sz="4" w:val="single"/>
              <w:left w:color="000000" w:sz="4" w:val="single"/>
              <w:bottom w:color="000000" w:sz="4" w:val="single"/>
              <w:right w:color="000000" w:sz="4" w:val="single"/>
            </w:tcBorders>
            <w:shd w:fill="auto" w:val="clear"/>
          </w:tcPr>
          <w:p w14:paraId="0F3F0000">
            <w:pPr>
              <w:widowControl w:val="1"/>
              <w:ind w:firstLine="180"/>
              <w:rPr>
                <w:sz w:val="18"/>
              </w:rPr>
            </w:pPr>
            <w:r>
              <w:rPr>
                <w:sz w:val="18"/>
              </w:rPr>
              <w:t>ОЦОР Красноярский региональный общий центр обслуживания СП Центра Желдоручет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103F0000">
            <w:pPr>
              <w:widowControl w:val="1"/>
              <w:ind/>
              <w:jc w:val="right"/>
              <w:rPr>
                <w:sz w:val="18"/>
              </w:rPr>
            </w:pPr>
            <w:r>
              <w:rPr>
                <w:sz w:val="18"/>
              </w:rPr>
              <w:t>21</w:t>
            </w:r>
          </w:p>
        </w:tc>
        <w:tc>
          <w:tcPr>
            <w:tcW w:type="dxa" w:w="1160"/>
            <w:tcBorders>
              <w:top w:color="000000" w:sz="4" w:val="single"/>
              <w:left w:color="000000" w:sz="4" w:val="single"/>
              <w:bottom w:color="000000" w:sz="4" w:val="single"/>
              <w:right w:color="000000" w:sz="4" w:val="single"/>
            </w:tcBorders>
            <w:shd w:fill="auto" w:val="clear"/>
            <w:vAlign w:val="bottom"/>
          </w:tcPr>
          <w:p w14:paraId="113F0000">
            <w:pPr>
              <w:widowControl w:val="1"/>
              <w:ind/>
              <w:jc w:val="right"/>
              <w:rPr>
                <w:sz w:val="18"/>
              </w:rPr>
            </w:pPr>
            <w:r>
              <w:rPr>
                <w:sz w:val="18"/>
              </w:rPr>
              <w:t>303</w:t>
            </w:r>
          </w:p>
        </w:tc>
        <w:tc>
          <w:tcPr>
            <w:tcW w:type="dxa" w:w="1160"/>
            <w:tcBorders>
              <w:top w:color="000000" w:sz="4" w:val="single"/>
              <w:left w:color="000000" w:sz="4" w:val="single"/>
              <w:bottom w:color="000000" w:sz="4" w:val="single"/>
              <w:right w:color="000000" w:sz="4" w:val="single"/>
            </w:tcBorders>
            <w:shd w:fill="auto" w:val="clear"/>
            <w:vAlign w:val="bottom"/>
          </w:tcPr>
          <w:p w14:paraId="123F0000">
            <w:pPr>
              <w:widowControl w:val="1"/>
              <w:ind/>
              <w:jc w:val="right"/>
              <w:rPr>
                <w:sz w:val="18"/>
              </w:rPr>
            </w:pPr>
            <w:r>
              <w:rPr>
                <w:sz w:val="18"/>
              </w:rPr>
              <w:t>278</w:t>
            </w:r>
          </w:p>
        </w:tc>
        <w:tc>
          <w:tcPr>
            <w:tcW w:type="dxa" w:w="1620"/>
            <w:tcBorders>
              <w:top w:color="000000" w:sz="4" w:val="single"/>
              <w:left w:color="000000" w:sz="4" w:val="single"/>
              <w:bottom w:color="000000" w:sz="4" w:val="single"/>
              <w:right w:color="000000" w:sz="4" w:val="single"/>
            </w:tcBorders>
            <w:shd w:fill="auto" w:val="clear"/>
            <w:vAlign w:val="bottom"/>
          </w:tcPr>
          <w:p w14:paraId="133F0000">
            <w:pPr>
              <w:widowControl w:val="1"/>
              <w:ind/>
              <w:jc w:val="right"/>
              <w:rPr>
                <w:sz w:val="18"/>
              </w:rPr>
            </w:pPr>
            <w:r>
              <w:rPr>
                <w:sz w:val="18"/>
              </w:rPr>
              <w:t>45</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143F0000">
            <w:pPr>
              <w:widowControl w:val="1"/>
              <w:ind w:firstLine="180"/>
              <w:rPr>
                <w:sz w:val="18"/>
              </w:rPr>
            </w:pPr>
            <w:r>
              <w:rPr>
                <w:sz w:val="18"/>
              </w:rPr>
              <w:t>РЖД ОАО Красноярская железная дорога</w:t>
            </w:r>
          </w:p>
        </w:tc>
        <w:tc>
          <w:tcPr>
            <w:tcW w:type="dxa" w:w="1640"/>
            <w:tcBorders>
              <w:top w:color="000000" w:sz="4" w:val="single"/>
              <w:left w:color="000000" w:sz="4" w:val="single"/>
              <w:bottom w:color="000000" w:sz="4" w:val="single"/>
              <w:right w:color="000000" w:sz="4" w:val="single"/>
            </w:tcBorders>
            <w:shd w:fill="auto" w:val="clear"/>
            <w:vAlign w:val="bottom"/>
          </w:tcPr>
          <w:p w14:paraId="153F0000">
            <w:pPr>
              <w:widowControl w:val="1"/>
              <w:ind/>
              <w:jc w:val="right"/>
              <w:rPr>
                <w:sz w:val="18"/>
              </w:rPr>
            </w:pPr>
            <w:r>
              <w:rPr>
                <w:sz w:val="18"/>
              </w:rPr>
              <w:t>123</w:t>
            </w:r>
          </w:p>
        </w:tc>
        <w:tc>
          <w:tcPr>
            <w:tcW w:type="dxa" w:w="1160"/>
            <w:tcBorders>
              <w:top w:color="000000" w:sz="4" w:val="single"/>
              <w:left w:color="000000" w:sz="4" w:val="single"/>
              <w:bottom w:color="000000" w:sz="4" w:val="single"/>
              <w:right w:color="000000" w:sz="4" w:val="single"/>
            </w:tcBorders>
            <w:shd w:fill="auto" w:val="clear"/>
            <w:vAlign w:val="bottom"/>
          </w:tcPr>
          <w:p w14:paraId="163F0000">
            <w:pPr>
              <w:widowControl w:val="1"/>
              <w:ind/>
              <w:jc w:val="right"/>
              <w:rPr>
                <w:sz w:val="18"/>
              </w:rPr>
            </w:pPr>
            <w:r>
              <w:rPr>
                <w:sz w:val="18"/>
              </w:rPr>
              <w:t>1 740</w:t>
            </w:r>
          </w:p>
        </w:tc>
        <w:tc>
          <w:tcPr>
            <w:tcW w:type="dxa" w:w="1160"/>
            <w:tcBorders>
              <w:top w:color="000000" w:sz="4" w:val="single"/>
              <w:left w:color="000000" w:sz="4" w:val="single"/>
              <w:bottom w:color="000000" w:sz="4" w:val="single"/>
              <w:right w:color="000000" w:sz="4" w:val="single"/>
            </w:tcBorders>
            <w:shd w:fill="auto" w:val="clear"/>
            <w:vAlign w:val="bottom"/>
          </w:tcPr>
          <w:p w14:paraId="173F0000">
            <w:pPr>
              <w:widowControl w:val="1"/>
              <w:ind/>
              <w:jc w:val="right"/>
              <w:rPr>
                <w:sz w:val="18"/>
              </w:rPr>
            </w:pPr>
            <w:r>
              <w:rPr>
                <w:sz w:val="18"/>
              </w:rPr>
              <w:t>1 588</w:t>
            </w:r>
          </w:p>
        </w:tc>
        <w:tc>
          <w:tcPr>
            <w:tcW w:type="dxa" w:w="1620"/>
            <w:tcBorders>
              <w:top w:color="000000" w:sz="4" w:val="single"/>
              <w:left w:color="000000" w:sz="4" w:val="single"/>
              <w:bottom w:color="000000" w:sz="4" w:val="single"/>
              <w:right w:color="000000" w:sz="4" w:val="single"/>
            </w:tcBorders>
            <w:shd w:fill="auto" w:val="clear"/>
            <w:vAlign w:val="bottom"/>
          </w:tcPr>
          <w:p w14:paraId="183F0000">
            <w:pPr>
              <w:widowControl w:val="1"/>
              <w:ind/>
              <w:jc w:val="right"/>
              <w:rPr>
                <w:sz w:val="18"/>
              </w:rPr>
            </w:pPr>
            <w:r>
              <w:rPr>
                <w:sz w:val="18"/>
              </w:rPr>
              <w:t>274</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193F0000">
            <w:pPr>
              <w:widowControl w:val="1"/>
              <w:ind w:firstLine="180"/>
              <w:rPr>
                <w:sz w:val="18"/>
              </w:rPr>
            </w:pPr>
            <w:r>
              <w:rPr>
                <w:sz w:val="18"/>
              </w:rPr>
              <w:t>ТЦФТО Красноярский территориальный центр фирменного обслуживания СП ЦФТО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1A3F0000">
            <w:pPr>
              <w:widowControl w:val="1"/>
              <w:ind/>
              <w:jc w:val="right"/>
              <w:rPr>
                <w:sz w:val="18"/>
              </w:rPr>
            </w:pPr>
            <w:r>
              <w:rPr>
                <w:sz w:val="18"/>
              </w:rPr>
              <w:t>33</w:t>
            </w:r>
          </w:p>
        </w:tc>
        <w:tc>
          <w:tcPr>
            <w:tcW w:type="dxa" w:w="1160"/>
            <w:tcBorders>
              <w:top w:color="000000" w:sz="4" w:val="single"/>
              <w:left w:color="000000" w:sz="4" w:val="single"/>
              <w:bottom w:color="000000" w:sz="4" w:val="single"/>
              <w:right w:color="000000" w:sz="4" w:val="single"/>
            </w:tcBorders>
            <w:shd w:fill="auto" w:val="clear"/>
            <w:vAlign w:val="bottom"/>
          </w:tcPr>
          <w:p w14:paraId="1B3F0000">
            <w:pPr>
              <w:widowControl w:val="1"/>
              <w:ind/>
              <w:jc w:val="right"/>
              <w:rPr>
                <w:sz w:val="18"/>
              </w:rPr>
            </w:pPr>
            <w:r>
              <w:rPr>
                <w:sz w:val="18"/>
              </w:rPr>
              <w:t>200</w:t>
            </w:r>
          </w:p>
        </w:tc>
        <w:tc>
          <w:tcPr>
            <w:tcW w:type="dxa" w:w="1160"/>
            <w:tcBorders>
              <w:top w:color="000000" w:sz="4" w:val="single"/>
              <w:left w:color="000000" w:sz="4" w:val="single"/>
              <w:bottom w:color="000000" w:sz="4" w:val="single"/>
              <w:right w:color="000000" w:sz="4" w:val="single"/>
            </w:tcBorders>
            <w:shd w:fill="auto" w:val="clear"/>
            <w:vAlign w:val="bottom"/>
          </w:tcPr>
          <w:p w14:paraId="1C3F0000">
            <w:pPr>
              <w:widowControl w:val="1"/>
              <w:ind/>
              <w:jc w:val="right"/>
              <w:rPr>
                <w:sz w:val="18"/>
              </w:rPr>
            </w:pPr>
            <w:r>
              <w:rPr>
                <w:sz w:val="18"/>
              </w:rPr>
              <w:t>197</w:t>
            </w:r>
          </w:p>
        </w:tc>
        <w:tc>
          <w:tcPr>
            <w:tcW w:type="dxa" w:w="1620"/>
            <w:tcBorders>
              <w:top w:color="000000" w:sz="4" w:val="single"/>
              <w:left w:color="000000" w:sz="4" w:val="single"/>
              <w:bottom w:color="000000" w:sz="4" w:val="single"/>
              <w:right w:color="000000" w:sz="4" w:val="single"/>
            </w:tcBorders>
            <w:shd w:fill="auto" w:val="clear"/>
            <w:vAlign w:val="bottom"/>
          </w:tcPr>
          <w:p w14:paraId="1D3F0000">
            <w:pPr>
              <w:widowControl w:val="1"/>
              <w:ind/>
              <w:jc w:val="right"/>
              <w:rPr>
                <w:sz w:val="18"/>
              </w:rPr>
            </w:pPr>
            <w:r>
              <w:rPr>
                <w:sz w:val="18"/>
              </w:rPr>
              <w:t>35</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1E3F0000">
            <w:pPr>
              <w:widowControl w:val="1"/>
              <w:ind w:firstLine="180"/>
              <w:rPr>
                <w:sz w:val="18"/>
              </w:rPr>
            </w:pPr>
            <w:r>
              <w:rPr>
                <w:sz w:val="18"/>
              </w:rPr>
              <w:t>ТЭ Красноярская дирекция энергообеспечения</w:t>
            </w:r>
          </w:p>
        </w:tc>
        <w:tc>
          <w:tcPr>
            <w:tcW w:type="dxa" w:w="1640"/>
            <w:tcBorders>
              <w:top w:color="000000" w:sz="4" w:val="single"/>
              <w:left w:color="000000" w:sz="4" w:val="single"/>
              <w:bottom w:color="000000" w:sz="4" w:val="single"/>
              <w:right w:color="000000" w:sz="4" w:val="single"/>
            </w:tcBorders>
            <w:shd w:fill="auto" w:val="clear"/>
            <w:vAlign w:val="bottom"/>
          </w:tcPr>
          <w:p w14:paraId="1F3F0000">
            <w:pPr>
              <w:widowControl w:val="1"/>
              <w:ind/>
              <w:jc w:val="right"/>
              <w:rPr>
                <w:sz w:val="18"/>
              </w:rPr>
            </w:pPr>
            <w:r>
              <w:rPr>
                <w:sz w:val="18"/>
              </w:rPr>
              <w:t>170</w:t>
            </w:r>
          </w:p>
        </w:tc>
        <w:tc>
          <w:tcPr>
            <w:tcW w:type="dxa" w:w="1160"/>
            <w:tcBorders>
              <w:top w:color="000000" w:sz="4" w:val="single"/>
              <w:left w:color="000000" w:sz="4" w:val="single"/>
              <w:bottom w:color="000000" w:sz="4" w:val="single"/>
              <w:right w:color="000000" w:sz="4" w:val="single"/>
            </w:tcBorders>
            <w:shd w:fill="auto" w:val="clear"/>
            <w:vAlign w:val="bottom"/>
          </w:tcPr>
          <w:p w14:paraId="203F0000">
            <w:pPr>
              <w:widowControl w:val="1"/>
              <w:ind/>
              <w:jc w:val="right"/>
              <w:rPr>
                <w:sz w:val="18"/>
              </w:rPr>
            </w:pPr>
            <w:r>
              <w:rPr>
                <w:sz w:val="18"/>
              </w:rPr>
              <w:t>2 357</w:t>
            </w:r>
          </w:p>
        </w:tc>
        <w:tc>
          <w:tcPr>
            <w:tcW w:type="dxa" w:w="1160"/>
            <w:tcBorders>
              <w:top w:color="000000" w:sz="4" w:val="single"/>
              <w:left w:color="000000" w:sz="4" w:val="single"/>
              <w:bottom w:color="000000" w:sz="4" w:val="single"/>
              <w:right w:color="000000" w:sz="4" w:val="single"/>
            </w:tcBorders>
            <w:shd w:fill="auto" w:val="clear"/>
            <w:vAlign w:val="bottom"/>
          </w:tcPr>
          <w:p w14:paraId="213F0000">
            <w:pPr>
              <w:widowControl w:val="1"/>
              <w:ind/>
              <w:jc w:val="right"/>
              <w:rPr>
                <w:sz w:val="18"/>
              </w:rPr>
            </w:pPr>
            <w:r>
              <w:rPr>
                <w:sz w:val="18"/>
              </w:rPr>
              <w:t>2 060</w:t>
            </w:r>
          </w:p>
        </w:tc>
        <w:tc>
          <w:tcPr>
            <w:tcW w:type="dxa" w:w="1620"/>
            <w:tcBorders>
              <w:top w:color="000000" w:sz="4" w:val="single"/>
              <w:left w:color="000000" w:sz="4" w:val="single"/>
              <w:bottom w:color="000000" w:sz="4" w:val="single"/>
              <w:right w:color="000000" w:sz="4" w:val="single"/>
            </w:tcBorders>
            <w:shd w:fill="auto" w:val="clear"/>
            <w:vAlign w:val="bottom"/>
          </w:tcPr>
          <w:p w14:paraId="223F0000">
            <w:pPr>
              <w:widowControl w:val="1"/>
              <w:ind/>
              <w:jc w:val="right"/>
              <w:rPr>
                <w:sz w:val="18"/>
              </w:rPr>
            </w:pPr>
            <w:r>
              <w:rPr>
                <w:sz w:val="18"/>
              </w:rPr>
              <w:t>467</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bottom"/>
          </w:tcPr>
          <w:p w14:paraId="233F0000">
            <w:pPr>
              <w:rPr>
                <w:b w:val="1"/>
                <w:sz w:val="18"/>
              </w:rPr>
            </w:pPr>
            <w:r>
              <w:rPr>
                <w:b w:val="1"/>
                <w:sz w:val="18"/>
              </w:rPr>
              <w:t xml:space="preserve">            ДЗО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243F0000">
            <w:pPr>
              <w:widowControl w:val="1"/>
              <w:ind/>
              <w:jc w:val="right"/>
              <w:rPr>
                <w:b w:val="1"/>
                <w:sz w:val="18"/>
              </w:rPr>
            </w:pPr>
            <w:r>
              <w:rPr>
                <w:b w:val="1"/>
                <w:sz w:val="18"/>
              </w:rPr>
              <w:t>530</w:t>
            </w:r>
          </w:p>
        </w:tc>
        <w:tc>
          <w:tcPr>
            <w:tcW w:type="dxa" w:w="1160"/>
            <w:tcBorders>
              <w:top w:color="000000" w:sz="4" w:val="single"/>
              <w:left w:color="000000" w:sz="4" w:val="single"/>
              <w:bottom w:color="000000" w:sz="4" w:val="single"/>
              <w:right w:color="000000" w:sz="4" w:val="single"/>
            </w:tcBorders>
            <w:shd w:fill="auto" w:val="clear"/>
            <w:vAlign w:val="bottom"/>
          </w:tcPr>
          <w:p w14:paraId="253F0000">
            <w:pPr>
              <w:widowControl w:val="1"/>
              <w:ind/>
              <w:jc w:val="right"/>
              <w:rPr>
                <w:b w:val="1"/>
                <w:sz w:val="18"/>
              </w:rPr>
            </w:pPr>
            <w:r>
              <w:rPr>
                <w:b w:val="1"/>
                <w:sz w:val="18"/>
              </w:rPr>
              <w:t>5 355</w:t>
            </w:r>
          </w:p>
        </w:tc>
        <w:tc>
          <w:tcPr>
            <w:tcW w:type="dxa" w:w="1160"/>
            <w:tcBorders>
              <w:top w:color="000000" w:sz="4" w:val="single"/>
              <w:left w:color="000000" w:sz="4" w:val="single"/>
              <w:bottom w:color="000000" w:sz="4" w:val="single"/>
              <w:right w:color="000000" w:sz="4" w:val="single"/>
            </w:tcBorders>
            <w:shd w:fill="auto" w:val="clear"/>
            <w:vAlign w:val="bottom"/>
          </w:tcPr>
          <w:p w14:paraId="263F0000">
            <w:pPr>
              <w:widowControl w:val="1"/>
              <w:ind/>
              <w:jc w:val="right"/>
              <w:rPr>
                <w:b w:val="1"/>
                <w:sz w:val="18"/>
              </w:rPr>
            </w:pPr>
            <w:r>
              <w:rPr>
                <w:b w:val="1"/>
                <w:sz w:val="18"/>
              </w:rPr>
              <w:t>5 461</w:t>
            </w:r>
          </w:p>
        </w:tc>
        <w:tc>
          <w:tcPr>
            <w:tcW w:type="dxa" w:w="1620"/>
            <w:tcBorders>
              <w:top w:color="000000" w:sz="4" w:val="single"/>
              <w:left w:color="000000" w:sz="4" w:val="single"/>
              <w:bottom w:color="000000" w:sz="4" w:val="single"/>
              <w:right w:color="000000" w:sz="4" w:val="single"/>
            </w:tcBorders>
            <w:shd w:fill="auto" w:val="clear"/>
            <w:vAlign w:val="bottom"/>
          </w:tcPr>
          <w:p w14:paraId="273F0000">
            <w:pPr>
              <w:widowControl w:val="1"/>
              <w:ind/>
              <w:jc w:val="right"/>
              <w:rPr>
                <w:b w:val="1"/>
                <w:sz w:val="18"/>
              </w:rPr>
            </w:pPr>
            <w:r>
              <w:rPr>
                <w:b w:val="1"/>
                <w:sz w:val="18"/>
              </w:rPr>
              <w:t>425</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283F0000">
            <w:pPr>
              <w:widowControl w:val="1"/>
              <w:ind w:firstLine="180"/>
              <w:rPr>
                <w:sz w:val="18"/>
              </w:rPr>
            </w:pPr>
            <w:r>
              <w:rPr>
                <w:sz w:val="18"/>
              </w:rPr>
              <w:t>ФПК АО Енисейский филиал-пассажирское вагонное депо Красноярск</w:t>
            </w:r>
          </w:p>
        </w:tc>
        <w:tc>
          <w:tcPr>
            <w:tcW w:type="dxa" w:w="1640"/>
            <w:tcBorders>
              <w:top w:color="000000" w:sz="4" w:val="single"/>
              <w:left w:color="000000" w:sz="4" w:val="single"/>
              <w:bottom w:color="000000" w:sz="4" w:val="single"/>
              <w:right w:color="000000" w:sz="4" w:val="single"/>
            </w:tcBorders>
            <w:shd w:fill="auto" w:val="clear"/>
            <w:vAlign w:val="bottom"/>
          </w:tcPr>
          <w:p w14:paraId="293F0000">
            <w:pPr>
              <w:widowControl w:val="1"/>
              <w:ind/>
              <w:jc w:val="right"/>
              <w:rPr>
                <w:sz w:val="18"/>
              </w:rPr>
            </w:pPr>
            <w:r>
              <w:rPr>
                <w:sz w:val="18"/>
              </w:rPr>
              <w:t>187</w:t>
            </w:r>
          </w:p>
        </w:tc>
        <w:tc>
          <w:tcPr>
            <w:tcW w:type="dxa" w:w="1160"/>
            <w:tcBorders>
              <w:top w:color="000000" w:sz="4" w:val="single"/>
              <w:left w:color="000000" w:sz="4" w:val="single"/>
              <w:bottom w:color="000000" w:sz="4" w:val="single"/>
              <w:right w:color="000000" w:sz="4" w:val="single"/>
            </w:tcBorders>
            <w:shd w:fill="auto" w:val="clear"/>
            <w:vAlign w:val="bottom"/>
          </w:tcPr>
          <w:p w14:paraId="2A3F0000">
            <w:pPr>
              <w:widowControl w:val="1"/>
              <w:ind/>
              <w:jc w:val="right"/>
              <w:rPr>
                <w:sz w:val="18"/>
              </w:rPr>
            </w:pPr>
            <w:r>
              <w:rPr>
                <w:sz w:val="18"/>
              </w:rPr>
              <w:t>1 160</w:t>
            </w:r>
          </w:p>
        </w:tc>
        <w:tc>
          <w:tcPr>
            <w:tcW w:type="dxa" w:w="1160"/>
            <w:tcBorders>
              <w:top w:color="000000" w:sz="4" w:val="single"/>
              <w:left w:color="000000" w:sz="4" w:val="single"/>
              <w:bottom w:color="000000" w:sz="4" w:val="single"/>
              <w:right w:color="000000" w:sz="4" w:val="single"/>
            </w:tcBorders>
            <w:shd w:fill="auto" w:val="clear"/>
            <w:vAlign w:val="bottom"/>
          </w:tcPr>
          <w:p w14:paraId="2B3F0000">
            <w:pPr>
              <w:widowControl w:val="1"/>
              <w:ind/>
              <w:jc w:val="right"/>
              <w:rPr>
                <w:sz w:val="18"/>
              </w:rPr>
            </w:pPr>
            <w:r>
              <w:rPr>
                <w:sz w:val="18"/>
              </w:rPr>
              <w:t>1 241</w:t>
            </w:r>
          </w:p>
        </w:tc>
        <w:tc>
          <w:tcPr>
            <w:tcW w:type="dxa" w:w="1620"/>
            <w:tcBorders>
              <w:top w:color="000000" w:sz="4" w:val="single"/>
              <w:left w:color="000000" w:sz="4" w:val="single"/>
              <w:bottom w:color="000000" w:sz="4" w:val="single"/>
              <w:right w:color="000000" w:sz="4" w:val="single"/>
            </w:tcBorders>
            <w:shd w:fill="auto" w:val="clear"/>
            <w:vAlign w:val="bottom"/>
          </w:tcPr>
          <w:p w14:paraId="2C3F0000">
            <w:pPr>
              <w:widowControl w:val="1"/>
              <w:ind/>
              <w:jc w:val="right"/>
              <w:rPr>
                <w:sz w:val="18"/>
              </w:rPr>
            </w:pPr>
            <w:r>
              <w:rPr>
                <w:sz w:val="18"/>
              </w:rPr>
              <w:t>106</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2D3F0000">
            <w:pPr>
              <w:widowControl w:val="1"/>
              <w:ind w:firstLine="180"/>
              <w:rPr>
                <w:sz w:val="18"/>
              </w:rPr>
            </w:pPr>
            <w:r>
              <w:rPr>
                <w:sz w:val="18"/>
              </w:rPr>
              <w:t>ФПК АО Енисейский филиал-пассажирское вагонное депо Красноярск</w:t>
            </w:r>
          </w:p>
        </w:tc>
        <w:tc>
          <w:tcPr>
            <w:tcW w:type="dxa" w:w="1640"/>
            <w:tcBorders>
              <w:top w:color="000000" w:sz="4" w:val="single"/>
              <w:left w:color="000000" w:sz="4" w:val="single"/>
              <w:bottom w:color="000000" w:sz="4" w:val="single"/>
              <w:right w:color="000000" w:sz="4" w:val="single"/>
            </w:tcBorders>
            <w:shd w:fill="auto" w:val="clear"/>
            <w:vAlign w:val="bottom"/>
          </w:tcPr>
          <w:p w14:paraId="2E3F0000">
            <w:pPr>
              <w:widowControl w:val="1"/>
              <w:ind/>
              <w:jc w:val="right"/>
              <w:rPr>
                <w:sz w:val="18"/>
              </w:rPr>
            </w:pPr>
            <w:r>
              <w:rPr>
                <w:sz w:val="18"/>
              </w:rPr>
              <w:t>344</w:t>
            </w:r>
          </w:p>
        </w:tc>
        <w:tc>
          <w:tcPr>
            <w:tcW w:type="dxa" w:w="1160"/>
            <w:tcBorders>
              <w:top w:color="000000" w:sz="4" w:val="single"/>
              <w:left w:color="000000" w:sz="4" w:val="single"/>
              <w:bottom w:color="000000" w:sz="4" w:val="single"/>
              <w:right w:color="000000" w:sz="4" w:val="single"/>
            </w:tcBorders>
            <w:shd w:fill="auto" w:val="clear"/>
            <w:vAlign w:val="bottom"/>
          </w:tcPr>
          <w:p w14:paraId="2F3F0000">
            <w:pPr>
              <w:widowControl w:val="1"/>
              <w:ind/>
              <w:jc w:val="right"/>
              <w:rPr>
                <w:sz w:val="18"/>
              </w:rPr>
            </w:pPr>
            <w:r>
              <w:rPr>
                <w:sz w:val="18"/>
              </w:rPr>
              <w:t>4 195</w:t>
            </w:r>
          </w:p>
        </w:tc>
        <w:tc>
          <w:tcPr>
            <w:tcW w:type="dxa" w:w="1160"/>
            <w:tcBorders>
              <w:top w:color="000000" w:sz="4" w:val="single"/>
              <w:left w:color="000000" w:sz="4" w:val="single"/>
              <w:bottom w:color="000000" w:sz="4" w:val="single"/>
              <w:right w:color="000000" w:sz="4" w:val="single"/>
            </w:tcBorders>
            <w:shd w:fill="auto" w:val="clear"/>
            <w:vAlign w:val="bottom"/>
          </w:tcPr>
          <w:p w14:paraId="303F0000">
            <w:pPr>
              <w:widowControl w:val="1"/>
              <w:ind/>
              <w:jc w:val="right"/>
              <w:rPr>
                <w:sz w:val="18"/>
              </w:rPr>
            </w:pPr>
            <w:r>
              <w:rPr>
                <w:sz w:val="18"/>
              </w:rPr>
              <w:t>4 219</w:t>
            </w:r>
          </w:p>
        </w:tc>
        <w:tc>
          <w:tcPr>
            <w:tcW w:type="dxa" w:w="1620"/>
            <w:tcBorders>
              <w:top w:color="000000" w:sz="4" w:val="single"/>
              <w:left w:color="000000" w:sz="4" w:val="single"/>
              <w:bottom w:color="000000" w:sz="4" w:val="single"/>
              <w:right w:color="000000" w:sz="4" w:val="single"/>
            </w:tcBorders>
            <w:shd w:fill="auto" w:val="clear"/>
            <w:vAlign w:val="bottom"/>
          </w:tcPr>
          <w:p w14:paraId="313F0000">
            <w:pPr>
              <w:widowControl w:val="1"/>
              <w:ind/>
              <w:jc w:val="right"/>
              <w:rPr>
                <w:sz w:val="18"/>
              </w:rPr>
            </w:pPr>
            <w:r>
              <w:rPr>
                <w:sz w:val="18"/>
              </w:rPr>
              <w:t>319</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bottom"/>
          </w:tcPr>
          <w:p w14:paraId="323F0000">
            <w:pPr>
              <w:rPr>
                <w:b w:val="1"/>
                <w:sz w:val="18"/>
              </w:rPr>
            </w:pPr>
            <w:r>
              <w:rPr>
                <w:b w:val="1"/>
                <w:sz w:val="18"/>
              </w:rPr>
              <w:t xml:space="preserve">            Субъекты РФ:</w:t>
            </w:r>
          </w:p>
        </w:tc>
        <w:tc>
          <w:tcPr>
            <w:tcW w:type="dxa" w:w="1640"/>
            <w:tcBorders>
              <w:top w:color="000000" w:sz="4" w:val="single"/>
              <w:left w:color="000000" w:sz="4" w:val="single"/>
              <w:bottom w:color="000000" w:sz="4" w:val="single"/>
              <w:right w:color="000000" w:sz="4" w:val="single"/>
            </w:tcBorders>
            <w:shd w:fill="auto" w:val="clear"/>
            <w:vAlign w:val="bottom"/>
          </w:tcPr>
          <w:p w14:paraId="333F0000">
            <w:pPr>
              <w:widowControl w:val="1"/>
              <w:ind/>
              <w:jc w:val="right"/>
              <w:rPr>
                <w:b w:val="1"/>
                <w:sz w:val="18"/>
              </w:rPr>
            </w:pPr>
            <w:r>
              <w:rPr>
                <w:b w:val="1"/>
                <w:sz w:val="18"/>
              </w:rPr>
              <w:t>660</w:t>
            </w:r>
          </w:p>
        </w:tc>
        <w:tc>
          <w:tcPr>
            <w:tcW w:type="dxa" w:w="1160"/>
            <w:tcBorders>
              <w:top w:color="000000" w:sz="4" w:val="single"/>
              <w:left w:color="000000" w:sz="4" w:val="single"/>
              <w:bottom w:color="000000" w:sz="4" w:val="single"/>
              <w:right w:color="000000" w:sz="4" w:val="single"/>
            </w:tcBorders>
            <w:shd w:fill="auto" w:val="clear"/>
            <w:vAlign w:val="bottom"/>
          </w:tcPr>
          <w:p w14:paraId="343F0000">
            <w:pPr>
              <w:widowControl w:val="1"/>
              <w:ind/>
              <w:jc w:val="right"/>
              <w:rPr>
                <w:b w:val="1"/>
                <w:sz w:val="18"/>
              </w:rPr>
            </w:pPr>
            <w:r>
              <w:rPr>
                <w:b w:val="1"/>
                <w:sz w:val="18"/>
              </w:rPr>
              <w:t>56 013</w:t>
            </w:r>
          </w:p>
        </w:tc>
        <w:tc>
          <w:tcPr>
            <w:tcW w:type="dxa" w:w="1160"/>
            <w:tcBorders>
              <w:top w:color="000000" w:sz="4" w:val="single"/>
              <w:left w:color="000000" w:sz="4" w:val="single"/>
              <w:bottom w:color="000000" w:sz="4" w:val="single"/>
              <w:right w:color="000000" w:sz="4" w:val="single"/>
            </w:tcBorders>
            <w:shd w:fill="auto" w:val="clear"/>
            <w:vAlign w:val="bottom"/>
          </w:tcPr>
          <w:p w14:paraId="353F0000">
            <w:pPr>
              <w:widowControl w:val="1"/>
              <w:ind/>
              <w:jc w:val="right"/>
              <w:rPr>
                <w:b w:val="1"/>
                <w:sz w:val="18"/>
              </w:rPr>
            </w:pPr>
            <w:r>
              <w:rPr>
                <w:b w:val="1"/>
                <w:sz w:val="18"/>
              </w:rPr>
              <w:t>56 496</w:t>
            </w:r>
          </w:p>
        </w:tc>
        <w:tc>
          <w:tcPr>
            <w:tcW w:type="dxa" w:w="1620"/>
            <w:tcBorders>
              <w:top w:color="000000" w:sz="4" w:val="single"/>
              <w:left w:color="000000" w:sz="4" w:val="single"/>
              <w:bottom w:color="000000" w:sz="4" w:val="single"/>
              <w:right w:color="000000" w:sz="4" w:val="single"/>
            </w:tcBorders>
            <w:shd w:fill="auto" w:val="clear"/>
            <w:vAlign w:val="bottom"/>
          </w:tcPr>
          <w:p w14:paraId="363F0000">
            <w:pPr>
              <w:widowControl w:val="1"/>
              <w:ind/>
              <w:jc w:val="right"/>
              <w:rPr>
                <w:b w:val="1"/>
                <w:sz w:val="18"/>
              </w:rPr>
            </w:pPr>
            <w:r>
              <w:rPr>
                <w:b w:val="1"/>
                <w:sz w:val="18"/>
              </w:rPr>
              <w:t>177</w:t>
            </w:r>
          </w:p>
        </w:tc>
      </w:tr>
      <w:tr>
        <w:trPr>
          <w:trHeight w:hRule="atLeast" w:val="259"/>
        </w:trPr>
        <w:tc>
          <w:tcPr>
            <w:tcW w:type="dxa" w:w="4697"/>
            <w:tcBorders>
              <w:top w:color="000000" w:sz="4" w:val="single"/>
              <w:left w:color="000000" w:sz="4" w:val="single"/>
              <w:bottom w:color="000000" w:sz="4" w:val="single"/>
              <w:right w:color="000000" w:sz="4" w:val="single"/>
            </w:tcBorders>
            <w:shd w:fill="auto" w:val="clear"/>
          </w:tcPr>
          <w:p w14:paraId="373F0000">
            <w:pPr>
              <w:widowControl w:val="1"/>
              <w:ind w:firstLine="180"/>
              <w:rPr>
                <w:sz w:val="18"/>
              </w:rPr>
            </w:pPr>
            <w:r>
              <w:rPr>
                <w:sz w:val="18"/>
              </w:rPr>
              <w:t>Департамент социальной защиты Кемеровской области</w:t>
            </w:r>
          </w:p>
        </w:tc>
        <w:tc>
          <w:tcPr>
            <w:tcW w:type="dxa" w:w="1640"/>
            <w:tcBorders>
              <w:top w:color="000000" w:sz="4" w:val="single"/>
              <w:left w:color="000000" w:sz="4" w:val="single"/>
              <w:bottom w:color="000000" w:sz="4" w:val="single"/>
              <w:right w:color="000000" w:sz="4" w:val="single"/>
            </w:tcBorders>
            <w:shd w:fill="auto" w:val="clear"/>
            <w:vAlign w:val="bottom"/>
          </w:tcPr>
          <w:p w14:paraId="383F0000">
            <w:pPr>
              <w:widowControl w:val="1"/>
              <w:ind/>
              <w:jc w:val="right"/>
              <w:rPr>
                <w:sz w:val="18"/>
              </w:rPr>
            </w:pPr>
            <w:r>
              <w:rPr>
                <w:sz w:val="18"/>
              </w:rPr>
              <w:t>15</w:t>
            </w:r>
          </w:p>
        </w:tc>
        <w:tc>
          <w:tcPr>
            <w:tcW w:type="dxa" w:w="1160"/>
            <w:tcBorders>
              <w:top w:color="000000" w:sz="4" w:val="single"/>
              <w:left w:color="000000" w:sz="4" w:val="single"/>
              <w:bottom w:color="000000" w:sz="4" w:val="single"/>
              <w:right w:color="000000" w:sz="4" w:val="single"/>
            </w:tcBorders>
            <w:shd w:fill="auto" w:val="clear"/>
            <w:vAlign w:val="bottom"/>
          </w:tcPr>
          <w:p w14:paraId="393F0000">
            <w:pPr>
              <w:widowControl w:val="1"/>
              <w:ind/>
              <w:jc w:val="right"/>
              <w:rPr>
                <w:sz w:val="18"/>
              </w:rPr>
            </w:pPr>
            <w:r>
              <w:rPr>
                <w:sz w:val="18"/>
              </w:rPr>
              <w:t>356</w:t>
            </w:r>
          </w:p>
        </w:tc>
        <w:tc>
          <w:tcPr>
            <w:tcW w:type="dxa" w:w="1160"/>
            <w:tcBorders>
              <w:top w:color="000000" w:sz="4" w:val="single"/>
              <w:left w:color="000000" w:sz="4" w:val="single"/>
              <w:bottom w:color="000000" w:sz="4" w:val="single"/>
              <w:right w:color="000000" w:sz="4" w:val="single"/>
            </w:tcBorders>
            <w:shd w:fill="auto" w:val="clear"/>
            <w:vAlign w:val="bottom"/>
          </w:tcPr>
          <w:p w14:paraId="3A3F0000">
            <w:pPr>
              <w:widowControl w:val="1"/>
              <w:ind/>
              <w:jc w:val="right"/>
              <w:rPr>
                <w:sz w:val="18"/>
              </w:rPr>
            </w:pPr>
            <w:r>
              <w:rPr>
                <w:sz w:val="18"/>
              </w:rPr>
              <w:t>358</w:t>
            </w:r>
          </w:p>
        </w:tc>
        <w:tc>
          <w:tcPr>
            <w:tcW w:type="dxa" w:w="1620"/>
            <w:tcBorders>
              <w:top w:color="000000" w:sz="4" w:val="single"/>
              <w:left w:color="000000" w:sz="4" w:val="single"/>
              <w:bottom w:color="000000" w:sz="4" w:val="single"/>
              <w:right w:color="000000" w:sz="4" w:val="single"/>
            </w:tcBorders>
            <w:shd w:fill="auto" w:val="clear"/>
            <w:vAlign w:val="bottom"/>
          </w:tcPr>
          <w:p w14:paraId="3B3F0000">
            <w:pPr>
              <w:widowControl w:val="1"/>
              <w:ind/>
              <w:jc w:val="right"/>
              <w:rPr>
                <w:sz w:val="18"/>
              </w:rPr>
            </w:pPr>
            <w:r>
              <w:rPr>
                <w:sz w:val="18"/>
              </w:rPr>
              <w:t>12</w:t>
            </w:r>
          </w:p>
        </w:tc>
      </w:tr>
      <w:tr>
        <w:trPr>
          <w:trHeight w:hRule="atLeast" w:val="300"/>
        </w:trPr>
        <w:tc>
          <w:tcPr>
            <w:tcW w:type="dxa" w:w="4697"/>
            <w:tcBorders>
              <w:top w:color="000000" w:sz="4" w:val="single"/>
              <w:left w:color="000000" w:sz="4" w:val="single"/>
              <w:bottom w:color="000000" w:sz="4" w:val="single"/>
              <w:right w:color="000000" w:sz="4" w:val="single"/>
            </w:tcBorders>
            <w:shd w:fill="auto" w:val="clear"/>
          </w:tcPr>
          <w:p w14:paraId="3C3F0000">
            <w:pPr>
              <w:widowControl w:val="1"/>
              <w:ind w:firstLine="180"/>
              <w:rPr>
                <w:sz w:val="18"/>
              </w:rPr>
            </w:pPr>
            <w:r>
              <w:rPr>
                <w:sz w:val="18"/>
              </w:rPr>
              <w:t>Департамент транспорта и связи Кемеровской области</w:t>
            </w:r>
          </w:p>
        </w:tc>
        <w:tc>
          <w:tcPr>
            <w:tcW w:type="dxa" w:w="1640"/>
            <w:tcBorders>
              <w:top w:color="000000" w:sz="4" w:val="single"/>
              <w:left w:color="000000" w:sz="4" w:val="single"/>
              <w:bottom w:color="000000" w:sz="4" w:val="single"/>
              <w:right w:color="000000" w:sz="4" w:val="single"/>
            </w:tcBorders>
            <w:shd w:fill="auto" w:val="clear"/>
            <w:vAlign w:val="bottom"/>
          </w:tcPr>
          <w:p w14:paraId="3D3F0000">
            <w:pPr>
              <w:widowControl w:val="1"/>
              <w:ind/>
              <w:jc w:val="right"/>
              <w:rPr>
                <w:sz w:val="18"/>
              </w:rPr>
            </w:pPr>
            <w:r>
              <w:rPr>
                <w:sz w:val="18"/>
              </w:rPr>
              <w:t>45</w:t>
            </w:r>
          </w:p>
        </w:tc>
        <w:tc>
          <w:tcPr>
            <w:tcW w:type="dxa" w:w="1160"/>
            <w:tcBorders>
              <w:top w:color="000000" w:sz="4" w:val="single"/>
              <w:left w:color="000000" w:sz="4" w:val="single"/>
              <w:bottom w:color="000000" w:sz="4" w:val="single"/>
              <w:right w:color="000000" w:sz="4" w:val="single"/>
            </w:tcBorders>
            <w:shd w:fill="auto" w:val="clear"/>
            <w:vAlign w:val="bottom"/>
          </w:tcPr>
          <w:p w14:paraId="3E3F0000">
            <w:pPr>
              <w:widowControl w:val="1"/>
              <w:ind/>
              <w:jc w:val="right"/>
              <w:rPr>
                <w:sz w:val="18"/>
              </w:rPr>
            </w:pPr>
            <w:r>
              <w:rPr>
                <w:sz w:val="18"/>
              </w:rPr>
              <w:t>2 372</w:t>
            </w:r>
          </w:p>
        </w:tc>
        <w:tc>
          <w:tcPr>
            <w:tcW w:type="dxa" w:w="1160"/>
            <w:tcBorders>
              <w:top w:color="000000" w:sz="4" w:val="single"/>
              <w:left w:color="000000" w:sz="4" w:val="single"/>
              <w:bottom w:color="000000" w:sz="4" w:val="single"/>
              <w:right w:color="000000" w:sz="4" w:val="single"/>
            </w:tcBorders>
            <w:shd w:fill="auto" w:val="clear"/>
            <w:vAlign w:val="bottom"/>
          </w:tcPr>
          <w:p w14:paraId="3F3F0000">
            <w:pPr>
              <w:widowControl w:val="1"/>
              <w:ind/>
              <w:jc w:val="right"/>
              <w:rPr>
                <w:sz w:val="18"/>
              </w:rPr>
            </w:pPr>
            <w:r>
              <w:rPr>
                <w:sz w:val="18"/>
              </w:rPr>
              <w:t>2 417</w:t>
            </w:r>
          </w:p>
        </w:tc>
        <w:tc>
          <w:tcPr>
            <w:tcW w:type="dxa" w:w="1620"/>
            <w:tcBorders>
              <w:top w:color="000000" w:sz="4" w:val="single"/>
              <w:left w:color="000000" w:sz="4" w:val="single"/>
              <w:bottom w:color="000000" w:sz="4" w:val="single"/>
              <w:right w:color="000000" w:sz="4" w:val="single"/>
            </w:tcBorders>
            <w:shd w:fill="auto" w:val="clear"/>
            <w:vAlign w:val="bottom"/>
          </w:tcPr>
          <w:p w14:paraId="40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413F0000">
            <w:pPr>
              <w:widowControl w:val="1"/>
              <w:ind w:firstLine="180"/>
              <w:rPr>
                <w:sz w:val="18"/>
              </w:rPr>
            </w:pPr>
            <w:r>
              <w:rPr>
                <w:sz w:val="18"/>
              </w:rPr>
              <w:t>МИНИСТЕРСТВО СОЦИАЛЬНОЙ ПОЛИТИКИ КРАСНОЯРСКОГО КРАЯ</w:t>
            </w:r>
          </w:p>
        </w:tc>
        <w:tc>
          <w:tcPr>
            <w:tcW w:type="dxa" w:w="1640"/>
            <w:tcBorders>
              <w:top w:color="000000" w:sz="4" w:val="single"/>
              <w:left w:color="000000" w:sz="4" w:val="single"/>
              <w:bottom w:color="000000" w:sz="4" w:val="single"/>
              <w:right w:color="000000" w:sz="4" w:val="single"/>
            </w:tcBorders>
            <w:shd w:fill="auto" w:val="clear"/>
            <w:vAlign w:val="bottom"/>
          </w:tcPr>
          <w:p w14:paraId="423F0000">
            <w:pPr>
              <w:widowControl w:val="1"/>
              <w:ind/>
              <w:jc w:val="right"/>
              <w:rPr>
                <w:sz w:val="18"/>
              </w:rPr>
            </w:pPr>
            <w:r>
              <w:rPr>
                <w:sz w:val="18"/>
              </w:rPr>
              <w:t>25</w:t>
            </w:r>
          </w:p>
        </w:tc>
        <w:tc>
          <w:tcPr>
            <w:tcW w:type="dxa" w:w="1160"/>
            <w:tcBorders>
              <w:top w:color="000000" w:sz="4" w:val="single"/>
              <w:left w:color="000000" w:sz="4" w:val="single"/>
              <w:bottom w:color="000000" w:sz="4" w:val="single"/>
              <w:right w:color="000000" w:sz="4" w:val="single"/>
            </w:tcBorders>
            <w:shd w:fill="auto" w:val="clear"/>
            <w:vAlign w:val="bottom"/>
          </w:tcPr>
          <w:p w14:paraId="433F0000">
            <w:pPr>
              <w:widowControl w:val="1"/>
              <w:ind/>
              <w:jc w:val="right"/>
              <w:rPr>
                <w:sz w:val="18"/>
              </w:rPr>
            </w:pPr>
            <w:r>
              <w:rPr>
                <w:sz w:val="18"/>
              </w:rPr>
              <w:t>31 384</w:t>
            </w:r>
          </w:p>
        </w:tc>
        <w:tc>
          <w:tcPr>
            <w:tcW w:type="dxa" w:w="1160"/>
            <w:tcBorders>
              <w:top w:color="000000" w:sz="4" w:val="single"/>
              <w:left w:color="000000" w:sz="4" w:val="single"/>
              <w:bottom w:color="000000" w:sz="4" w:val="single"/>
              <w:right w:color="000000" w:sz="4" w:val="single"/>
            </w:tcBorders>
            <w:shd w:fill="auto" w:val="clear"/>
            <w:vAlign w:val="bottom"/>
          </w:tcPr>
          <w:p w14:paraId="443F0000">
            <w:pPr>
              <w:widowControl w:val="1"/>
              <w:ind/>
              <w:jc w:val="right"/>
              <w:rPr>
                <w:sz w:val="18"/>
              </w:rPr>
            </w:pPr>
            <w:r>
              <w:rPr>
                <w:sz w:val="18"/>
              </w:rPr>
              <w:t>31 357</w:t>
            </w:r>
          </w:p>
        </w:tc>
        <w:tc>
          <w:tcPr>
            <w:tcW w:type="dxa" w:w="1620"/>
            <w:tcBorders>
              <w:top w:color="000000" w:sz="4" w:val="single"/>
              <w:left w:color="000000" w:sz="4" w:val="single"/>
              <w:bottom w:color="000000" w:sz="4" w:val="single"/>
              <w:right w:color="000000" w:sz="4" w:val="single"/>
            </w:tcBorders>
            <w:shd w:fill="auto" w:val="clear"/>
            <w:vAlign w:val="bottom"/>
          </w:tcPr>
          <w:p w14:paraId="453F0000">
            <w:pPr>
              <w:widowControl w:val="1"/>
              <w:ind/>
              <w:jc w:val="right"/>
              <w:rPr>
                <w:sz w:val="18"/>
              </w:rPr>
            </w:pPr>
            <w:r>
              <w:rPr>
                <w:sz w:val="18"/>
              </w:rPr>
              <w:t>53</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tcPr>
          <w:p w14:paraId="463F0000">
            <w:pPr>
              <w:widowControl w:val="1"/>
              <w:ind w:firstLine="180"/>
              <w:rPr>
                <w:sz w:val="18"/>
              </w:rPr>
            </w:pPr>
            <w:r>
              <w:rPr>
                <w:sz w:val="18"/>
              </w:rPr>
              <w:t>Министерство транспорта и дорожного хоз Р. Хакасия</w:t>
            </w:r>
          </w:p>
        </w:tc>
        <w:tc>
          <w:tcPr>
            <w:tcW w:type="dxa" w:w="1640"/>
            <w:tcBorders>
              <w:top w:color="000000" w:sz="4" w:val="single"/>
              <w:left w:color="000000" w:sz="4" w:val="single"/>
              <w:bottom w:color="000000" w:sz="4" w:val="single"/>
              <w:right w:color="000000" w:sz="4" w:val="single"/>
            </w:tcBorders>
            <w:shd w:fill="auto" w:val="clear"/>
            <w:vAlign w:val="bottom"/>
          </w:tcPr>
          <w:p w14:paraId="473F0000">
            <w:pPr>
              <w:widowControl w:val="1"/>
              <w:ind/>
              <w:jc w:val="right"/>
              <w:rPr>
                <w:sz w:val="18"/>
              </w:rPr>
            </w:pPr>
            <w:r>
              <w:rPr>
                <w:sz w:val="18"/>
              </w:rPr>
              <w:t>184</w:t>
            </w:r>
          </w:p>
        </w:tc>
        <w:tc>
          <w:tcPr>
            <w:tcW w:type="dxa" w:w="1160"/>
            <w:tcBorders>
              <w:top w:color="000000" w:sz="4" w:val="single"/>
              <w:left w:color="000000" w:sz="4" w:val="single"/>
              <w:bottom w:color="000000" w:sz="4" w:val="single"/>
              <w:right w:color="000000" w:sz="4" w:val="single"/>
            </w:tcBorders>
            <w:shd w:fill="auto" w:val="clear"/>
            <w:vAlign w:val="bottom"/>
          </w:tcPr>
          <w:p w14:paraId="483F0000">
            <w:pPr>
              <w:widowControl w:val="1"/>
              <w:ind/>
              <w:jc w:val="right"/>
              <w:rPr>
                <w:sz w:val="18"/>
              </w:rPr>
            </w:pPr>
            <w:r>
              <w:rPr>
                <w:sz w:val="18"/>
              </w:rPr>
              <w:t>655</w:t>
            </w:r>
          </w:p>
        </w:tc>
        <w:tc>
          <w:tcPr>
            <w:tcW w:type="dxa" w:w="1160"/>
            <w:tcBorders>
              <w:top w:color="000000" w:sz="4" w:val="single"/>
              <w:left w:color="000000" w:sz="4" w:val="single"/>
              <w:bottom w:color="000000" w:sz="4" w:val="single"/>
              <w:right w:color="000000" w:sz="4" w:val="single"/>
            </w:tcBorders>
            <w:shd w:fill="auto" w:val="clear"/>
            <w:vAlign w:val="bottom"/>
          </w:tcPr>
          <w:p w14:paraId="493F0000">
            <w:pPr>
              <w:widowControl w:val="1"/>
              <w:ind/>
              <w:jc w:val="right"/>
              <w:rPr>
                <w:sz w:val="18"/>
              </w:rPr>
            </w:pPr>
            <w:r>
              <w:rPr>
                <w:sz w:val="18"/>
              </w:rPr>
              <w:t>839</w:t>
            </w:r>
          </w:p>
        </w:tc>
        <w:tc>
          <w:tcPr>
            <w:tcW w:type="dxa" w:w="1620"/>
            <w:tcBorders>
              <w:top w:color="000000" w:sz="4" w:val="single"/>
              <w:left w:color="000000" w:sz="4" w:val="single"/>
              <w:bottom w:color="000000" w:sz="4" w:val="single"/>
              <w:right w:color="000000" w:sz="4" w:val="single"/>
            </w:tcBorders>
            <w:shd w:fill="auto" w:val="clear"/>
            <w:vAlign w:val="bottom"/>
          </w:tcPr>
          <w:p w14:paraId="4A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4B3F0000">
            <w:pPr>
              <w:widowControl w:val="1"/>
              <w:ind w:firstLine="180"/>
              <w:rPr>
                <w:sz w:val="18"/>
              </w:rPr>
            </w:pPr>
            <w:r>
              <w:rPr>
                <w:sz w:val="18"/>
              </w:rPr>
              <w:t>МИНИСТЕРСТВО ТРАНСПОРТА КРАСНОЯРСКОГО КРАЯ</w:t>
            </w:r>
          </w:p>
        </w:tc>
        <w:tc>
          <w:tcPr>
            <w:tcW w:type="dxa" w:w="1640"/>
            <w:tcBorders>
              <w:top w:color="000000" w:sz="4" w:val="single"/>
              <w:left w:color="000000" w:sz="4" w:val="single"/>
              <w:bottom w:color="000000" w:sz="4" w:val="single"/>
              <w:right w:color="000000" w:sz="4" w:val="single"/>
            </w:tcBorders>
            <w:shd w:fill="auto" w:val="clear"/>
            <w:vAlign w:val="bottom"/>
          </w:tcPr>
          <w:p w14:paraId="4C3F0000">
            <w:pPr>
              <w:widowControl w:val="1"/>
              <w:ind/>
              <w:jc w:val="right"/>
              <w:rPr>
                <w:sz w:val="18"/>
              </w:rPr>
            </w:pPr>
            <w:r>
              <w:rPr>
                <w:sz w:val="18"/>
              </w:rPr>
              <w:t>219</w:t>
            </w:r>
          </w:p>
        </w:tc>
        <w:tc>
          <w:tcPr>
            <w:tcW w:type="dxa" w:w="1160"/>
            <w:tcBorders>
              <w:top w:color="000000" w:sz="4" w:val="single"/>
              <w:left w:color="000000" w:sz="4" w:val="single"/>
              <w:bottom w:color="000000" w:sz="4" w:val="single"/>
              <w:right w:color="000000" w:sz="4" w:val="single"/>
            </w:tcBorders>
            <w:shd w:fill="auto" w:val="clear"/>
            <w:vAlign w:val="bottom"/>
          </w:tcPr>
          <w:p w14:paraId="4D3F0000">
            <w:pPr>
              <w:widowControl w:val="1"/>
              <w:ind/>
              <w:jc w:val="right"/>
              <w:rPr>
                <w:sz w:val="18"/>
              </w:rPr>
            </w:pPr>
            <w:r>
              <w:rPr>
                <w:sz w:val="18"/>
              </w:rPr>
              <w:t>14 136</w:t>
            </w:r>
          </w:p>
        </w:tc>
        <w:tc>
          <w:tcPr>
            <w:tcW w:type="dxa" w:w="1160"/>
            <w:tcBorders>
              <w:top w:color="000000" w:sz="4" w:val="single"/>
              <w:left w:color="000000" w:sz="4" w:val="single"/>
              <w:bottom w:color="000000" w:sz="4" w:val="single"/>
              <w:right w:color="000000" w:sz="4" w:val="single"/>
            </w:tcBorders>
            <w:shd w:fill="auto" w:val="clear"/>
            <w:vAlign w:val="bottom"/>
          </w:tcPr>
          <w:p w14:paraId="4E3F0000">
            <w:pPr>
              <w:widowControl w:val="1"/>
              <w:ind/>
              <w:jc w:val="right"/>
              <w:rPr>
                <w:sz w:val="18"/>
              </w:rPr>
            </w:pPr>
            <w:r>
              <w:rPr>
                <w:sz w:val="18"/>
              </w:rPr>
              <w:t>14 355</w:t>
            </w:r>
          </w:p>
        </w:tc>
        <w:tc>
          <w:tcPr>
            <w:tcW w:type="dxa" w:w="1620"/>
            <w:tcBorders>
              <w:top w:color="000000" w:sz="4" w:val="single"/>
              <w:left w:color="000000" w:sz="4" w:val="single"/>
              <w:bottom w:color="000000" w:sz="4" w:val="single"/>
              <w:right w:color="000000" w:sz="4" w:val="single"/>
            </w:tcBorders>
            <w:shd w:fill="auto" w:val="clear"/>
            <w:vAlign w:val="bottom"/>
          </w:tcPr>
          <w:p w14:paraId="4F3F0000">
            <w:pPr>
              <w:widowControl w:val="1"/>
              <w:ind/>
              <w:jc w:val="right"/>
              <w:rPr>
                <w:sz w:val="18"/>
              </w:rPr>
            </w:pPr>
            <w:r>
              <w:rPr>
                <w:sz w:val="18"/>
              </w:rPr>
              <w:t>0</w:t>
            </w:r>
          </w:p>
        </w:tc>
      </w:tr>
      <w:tr>
        <w:trPr>
          <w:trHeight w:hRule="atLeast" w:val="300"/>
        </w:trPr>
        <w:tc>
          <w:tcPr>
            <w:tcW w:type="dxa" w:w="4697"/>
            <w:tcBorders>
              <w:top w:color="000000" w:sz="4" w:val="single"/>
              <w:left w:color="000000" w:sz="4" w:val="single"/>
              <w:bottom w:color="000000" w:sz="4" w:val="single"/>
              <w:right w:color="000000" w:sz="4" w:val="single"/>
            </w:tcBorders>
            <w:shd w:fill="auto" w:val="clear"/>
          </w:tcPr>
          <w:p w14:paraId="503F0000">
            <w:pPr>
              <w:widowControl w:val="1"/>
              <w:ind w:firstLine="180"/>
              <w:rPr>
                <w:sz w:val="18"/>
              </w:rPr>
            </w:pPr>
            <w:r>
              <w:rPr>
                <w:sz w:val="18"/>
              </w:rPr>
              <w:t>МИНСОЦЗАЩИТЫ РХ</w:t>
            </w:r>
          </w:p>
        </w:tc>
        <w:tc>
          <w:tcPr>
            <w:tcW w:type="dxa" w:w="1640"/>
            <w:tcBorders>
              <w:top w:color="000000" w:sz="4" w:val="single"/>
              <w:left w:color="000000" w:sz="4" w:val="single"/>
              <w:bottom w:color="000000" w:sz="4" w:val="single"/>
              <w:right w:color="000000" w:sz="4" w:val="single"/>
            </w:tcBorders>
            <w:shd w:fill="auto" w:val="clear"/>
            <w:vAlign w:val="bottom"/>
          </w:tcPr>
          <w:p w14:paraId="513F0000">
            <w:pPr>
              <w:widowControl w:val="1"/>
              <w:ind/>
              <w:jc w:val="right"/>
              <w:rPr>
                <w:sz w:val="18"/>
              </w:rPr>
            </w:pPr>
            <w:r>
              <w:rPr>
                <w:sz w:val="18"/>
              </w:rPr>
              <w:t>172</w:t>
            </w:r>
          </w:p>
        </w:tc>
        <w:tc>
          <w:tcPr>
            <w:tcW w:type="dxa" w:w="1160"/>
            <w:tcBorders>
              <w:top w:color="000000" w:sz="4" w:val="single"/>
              <w:left w:color="000000" w:sz="4" w:val="single"/>
              <w:bottom w:color="000000" w:sz="4" w:val="single"/>
              <w:right w:color="000000" w:sz="4" w:val="single"/>
            </w:tcBorders>
            <w:shd w:fill="auto" w:val="clear"/>
            <w:vAlign w:val="bottom"/>
          </w:tcPr>
          <w:p w14:paraId="523F0000">
            <w:pPr>
              <w:widowControl w:val="1"/>
              <w:ind/>
              <w:jc w:val="right"/>
              <w:rPr>
                <w:sz w:val="18"/>
              </w:rPr>
            </w:pPr>
            <w:r>
              <w:rPr>
                <w:sz w:val="18"/>
              </w:rPr>
              <w:t>556</w:t>
            </w:r>
          </w:p>
        </w:tc>
        <w:tc>
          <w:tcPr>
            <w:tcW w:type="dxa" w:w="1160"/>
            <w:tcBorders>
              <w:top w:color="000000" w:sz="4" w:val="single"/>
              <w:left w:color="000000" w:sz="4" w:val="single"/>
              <w:bottom w:color="000000" w:sz="4" w:val="single"/>
              <w:right w:color="000000" w:sz="4" w:val="single"/>
            </w:tcBorders>
            <w:shd w:fill="auto" w:val="clear"/>
            <w:vAlign w:val="bottom"/>
          </w:tcPr>
          <w:p w14:paraId="533F0000">
            <w:pPr>
              <w:widowControl w:val="1"/>
              <w:ind/>
              <w:jc w:val="right"/>
              <w:rPr>
                <w:sz w:val="18"/>
              </w:rPr>
            </w:pPr>
            <w:r>
              <w:rPr>
                <w:sz w:val="18"/>
              </w:rPr>
              <w:t>617</w:t>
            </w:r>
          </w:p>
        </w:tc>
        <w:tc>
          <w:tcPr>
            <w:tcW w:type="dxa" w:w="1620"/>
            <w:tcBorders>
              <w:top w:color="000000" w:sz="4" w:val="single"/>
              <w:left w:color="000000" w:sz="4" w:val="single"/>
              <w:bottom w:color="000000" w:sz="4" w:val="single"/>
              <w:right w:color="000000" w:sz="4" w:val="single"/>
            </w:tcBorders>
            <w:shd w:fill="auto" w:val="clear"/>
            <w:vAlign w:val="bottom"/>
          </w:tcPr>
          <w:p w14:paraId="543F0000">
            <w:pPr>
              <w:widowControl w:val="1"/>
              <w:ind/>
              <w:jc w:val="right"/>
              <w:rPr>
                <w:sz w:val="18"/>
              </w:rPr>
            </w:pPr>
            <w:r>
              <w:rPr>
                <w:sz w:val="18"/>
              </w:rPr>
              <w:t>112</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553F0000">
            <w:pPr>
              <w:widowControl w:val="1"/>
              <w:ind w:firstLine="180"/>
              <w:rPr>
                <w:sz w:val="18"/>
              </w:rPr>
            </w:pPr>
            <w:r>
              <w:rPr>
                <w:sz w:val="18"/>
              </w:rPr>
              <w:t>Министерство труда и социальной защиты Российской Федерации</w:t>
            </w:r>
          </w:p>
        </w:tc>
        <w:tc>
          <w:tcPr>
            <w:tcW w:type="dxa" w:w="1640"/>
            <w:tcBorders>
              <w:top w:color="000000" w:sz="4" w:val="single"/>
              <w:left w:color="000000" w:sz="4" w:val="single"/>
              <w:bottom w:color="000000" w:sz="4" w:val="single"/>
              <w:right w:color="000000" w:sz="4" w:val="single"/>
            </w:tcBorders>
            <w:shd w:fill="auto" w:val="clear"/>
            <w:vAlign w:val="bottom"/>
          </w:tcPr>
          <w:p w14:paraId="56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573F0000">
            <w:pPr>
              <w:widowControl w:val="1"/>
              <w:ind/>
              <w:jc w:val="right"/>
              <w:rPr>
                <w:sz w:val="18"/>
              </w:rPr>
            </w:pPr>
            <w:r>
              <w:rPr>
                <w:sz w:val="18"/>
              </w:rPr>
              <w:t>6 553</w:t>
            </w:r>
          </w:p>
        </w:tc>
        <w:tc>
          <w:tcPr>
            <w:tcW w:type="dxa" w:w="1160"/>
            <w:tcBorders>
              <w:top w:color="000000" w:sz="4" w:val="single"/>
              <w:left w:color="000000" w:sz="4" w:val="single"/>
              <w:bottom w:color="000000" w:sz="4" w:val="single"/>
              <w:right w:color="000000" w:sz="4" w:val="single"/>
            </w:tcBorders>
            <w:shd w:fill="auto" w:val="clear"/>
            <w:vAlign w:val="bottom"/>
          </w:tcPr>
          <w:p w14:paraId="583F0000">
            <w:pPr>
              <w:widowControl w:val="1"/>
              <w:ind/>
              <w:jc w:val="right"/>
              <w:rPr>
                <w:sz w:val="18"/>
              </w:rPr>
            </w:pPr>
            <w:r>
              <w:rPr>
                <w:sz w:val="18"/>
              </w:rPr>
              <w:t>6 553</w:t>
            </w:r>
          </w:p>
        </w:tc>
        <w:tc>
          <w:tcPr>
            <w:tcW w:type="dxa" w:w="1620"/>
            <w:tcBorders>
              <w:top w:color="000000" w:sz="4" w:val="single"/>
              <w:left w:color="000000" w:sz="4" w:val="single"/>
              <w:bottom w:color="000000" w:sz="4" w:val="single"/>
              <w:right w:color="000000" w:sz="4" w:val="single"/>
            </w:tcBorders>
            <w:shd w:fill="auto" w:val="clear"/>
            <w:vAlign w:val="bottom"/>
          </w:tcPr>
          <w:p w14:paraId="59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bottom"/>
          </w:tcPr>
          <w:p w14:paraId="5A3F0000">
            <w:pPr>
              <w:rPr>
                <w:b w:val="1"/>
                <w:sz w:val="18"/>
              </w:rPr>
            </w:pPr>
            <w:r>
              <w:rPr>
                <w:b w:val="1"/>
                <w:sz w:val="18"/>
              </w:rPr>
              <w:t xml:space="preserve">            Прочие контрагенты:</w:t>
            </w:r>
          </w:p>
        </w:tc>
        <w:tc>
          <w:tcPr>
            <w:tcW w:type="dxa" w:w="1640"/>
            <w:tcBorders>
              <w:top w:color="000000" w:sz="4" w:val="single"/>
              <w:left w:color="000000" w:sz="4" w:val="single"/>
              <w:bottom w:color="000000" w:sz="4" w:val="single"/>
              <w:right w:color="000000" w:sz="4" w:val="single"/>
            </w:tcBorders>
            <w:shd w:fill="auto" w:val="clear"/>
            <w:vAlign w:val="bottom"/>
          </w:tcPr>
          <w:p w14:paraId="5B3F0000">
            <w:pPr>
              <w:widowControl w:val="1"/>
              <w:ind/>
              <w:jc w:val="right"/>
              <w:rPr>
                <w:b w:val="1"/>
                <w:sz w:val="18"/>
              </w:rPr>
            </w:pPr>
            <w:r>
              <w:rPr>
                <w:b w:val="1"/>
                <w:sz w:val="18"/>
              </w:rPr>
              <w:t>362</w:t>
            </w:r>
          </w:p>
        </w:tc>
        <w:tc>
          <w:tcPr>
            <w:tcW w:type="dxa" w:w="1160"/>
            <w:tcBorders>
              <w:top w:color="000000" w:sz="4" w:val="single"/>
              <w:left w:color="000000" w:sz="4" w:val="single"/>
              <w:bottom w:color="000000" w:sz="4" w:val="single"/>
              <w:right w:color="000000" w:sz="4" w:val="single"/>
            </w:tcBorders>
            <w:shd w:fill="auto" w:val="clear"/>
            <w:vAlign w:val="bottom"/>
          </w:tcPr>
          <w:p w14:paraId="5C3F0000">
            <w:pPr>
              <w:widowControl w:val="1"/>
              <w:ind/>
              <w:jc w:val="right"/>
              <w:rPr>
                <w:b w:val="1"/>
                <w:sz w:val="18"/>
              </w:rPr>
            </w:pPr>
            <w:r>
              <w:rPr>
                <w:b w:val="1"/>
                <w:sz w:val="18"/>
              </w:rPr>
              <w:t>5 914</w:t>
            </w:r>
          </w:p>
        </w:tc>
        <w:tc>
          <w:tcPr>
            <w:tcW w:type="dxa" w:w="1160"/>
            <w:tcBorders>
              <w:top w:color="000000" w:sz="4" w:val="single"/>
              <w:left w:color="000000" w:sz="4" w:val="single"/>
              <w:bottom w:color="000000" w:sz="4" w:val="single"/>
              <w:right w:color="000000" w:sz="4" w:val="single"/>
            </w:tcBorders>
            <w:shd w:fill="auto" w:val="clear"/>
            <w:vAlign w:val="bottom"/>
          </w:tcPr>
          <w:p w14:paraId="5D3F0000">
            <w:pPr>
              <w:widowControl w:val="1"/>
              <w:ind/>
              <w:jc w:val="right"/>
              <w:rPr>
                <w:b w:val="1"/>
                <w:sz w:val="18"/>
              </w:rPr>
            </w:pPr>
            <w:r>
              <w:rPr>
                <w:b w:val="1"/>
                <w:sz w:val="18"/>
              </w:rPr>
              <w:t>5 906</w:t>
            </w:r>
          </w:p>
        </w:tc>
        <w:tc>
          <w:tcPr>
            <w:tcW w:type="dxa" w:w="1620"/>
            <w:tcBorders>
              <w:top w:color="000000" w:sz="4" w:val="single"/>
              <w:left w:color="000000" w:sz="4" w:val="single"/>
              <w:bottom w:color="000000" w:sz="4" w:val="single"/>
              <w:right w:color="000000" w:sz="4" w:val="single"/>
            </w:tcBorders>
            <w:shd w:fill="auto" w:val="clear"/>
            <w:vAlign w:val="bottom"/>
          </w:tcPr>
          <w:p w14:paraId="5E3F0000">
            <w:pPr>
              <w:widowControl w:val="1"/>
              <w:ind/>
              <w:jc w:val="right"/>
              <w:rPr>
                <w:b w:val="1"/>
                <w:sz w:val="18"/>
              </w:rPr>
            </w:pPr>
            <w:r>
              <w:rPr>
                <w:b w:val="1"/>
                <w:sz w:val="18"/>
              </w:rPr>
              <w:t>370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5F3F0000">
            <w:pPr>
              <w:widowControl w:val="1"/>
              <w:ind w:firstLine="180"/>
              <w:rPr>
                <w:sz w:val="18"/>
              </w:rPr>
            </w:pPr>
            <w:r>
              <w:rPr>
                <w:sz w:val="18"/>
              </w:rPr>
              <w:t>БЛАГОТВОРИТЕЛЬНЫЙ ФОНД "ПОЧЕТ"</w:t>
            </w:r>
          </w:p>
        </w:tc>
        <w:tc>
          <w:tcPr>
            <w:tcW w:type="dxa" w:w="1640"/>
            <w:tcBorders>
              <w:top w:color="000000" w:sz="4" w:val="single"/>
              <w:left w:color="000000" w:sz="4" w:val="single"/>
              <w:bottom w:color="000000" w:sz="4" w:val="single"/>
              <w:right w:color="000000" w:sz="4" w:val="single"/>
            </w:tcBorders>
            <w:shd w:fill="auto" w:val="clear"/>
            <w:vAlign w:val="bottom"/>
          </w:tcPr>
          <w:p w14:paraId="603F0000">
            <w:pPr>
              <w:widowControl w:val="1"/>
              <w:ind/>
              <w:jc w:val="right"/>
              <w:rPr>
                <w:sz w:val="18"/>
              </w:rPr>
            </w:pPr>
            <w:r>
              <w:rPr>
                <w:sz w:val="18"/>
              </w:rPr>
              <w:t>295</w:t>
            </w:r>
          </w:p>
        </w:tc>
        <w:tc>
          <w:tcPr>
            <w:tcW w:type="dxa" w:w="1160"/>
            <w:tcBorders>
              <w:top w:color="000000" w:sz="4" w:val="single"/>
              <w:left w:color="000000" w:sz="4" w:val="single"/>
              <w:bottom w:color="000000" w:sz="4" w:val="single"/>
              <w:right w:color="000000" w:sz="4" w:val="single"/>
            </w:tcBorders>
            <w:shd w:fill="auto" w:val="clear"/>
            <w:vAlign w:val="bottom"/>
          </w:tcPr>
          <w:p w14:paraId="613F0000">
            <w:pPr>
              <w:widowControl w:val="1"/>
              <w:ind/>
              <w:jc w:val="right"/>
              <w:rPr>
                <w:sz w:val="18"/>
              </w:rPr>
            </w:pPr>
            <w:r>
              <w:rPr>
                <w:sz w:val="18"/>
              </w:rPr>
              <w:t>4 966</w:t>
            </w:r>
          </w:p>
        </w:tc>
        <w:tc>
          <w:tcPr>
            <w:tcW w:type="dxa" w:w="1160"/>
            <w:tcBorders>
              <w:top w:color="000000" w:sz="4" w:val="single"/>
              <w:left w:color="000000" w:sz="4" w:val="single"/>
              <w:bottom w:color="000000" w:sz="4" w:val="single"/>
              <w:right w:color="000000" w:sz="4" w:val="single"/>
            </w:tcBorders>
            <w:shd w:fill="auto" w:val="clear"/>
            <w:vAlign w:val="bottom"/>
          </w:tcPr>
          <w:p w14:paraId="623F0000">
            <w:pPr>
              <w:widowControl w:val="1"/>
              <w:ind/>
              <w:jc w:val="right"/>
              <w:rPr>
                <w:sz w:val="18"/>
              </w:rPr>
            </w:pPr>
            <w:r>
              <w:rPr>
                <w:sz w:val="18"/>
              </w:rPr>
              <w:t>4 985</w:t>
            </w:r>
          </w:p>
        </w:tc>
        <w:tc>
          <w:tcPr>
            <w:tcW w:type="dxa" w:w="1620"/>
            <w:tcBorders>
              <w:top w:color="000000" w:sz="4" w:val="single"/>
              <w:left w:color="000000" w:sz="4" w:val="single"/>
              <w:bottom w:color="000000" w:sz="4" w:val="single"/>
              <w:right w:color="000000" w:sz="4" w:val="single"/>
            </w:tcBorders>
            <w:shd w:fill="auto" w:val="clear"/>
            <w:vAlign w:val="bottom"/>
          </w:tcPr>
          <w:p w14:paraId="633F0000">
            <w:pPr>
              <w:widowControl w:val="1"/>
              <w:ind/>
              <w:jc w:val="right"/>
              <w:rPr>
                <w:sz w:val="18"/>
              </w:rPr>
            </w:pPr>
            <w:r>
              <w:rPr>
                <w:sz w:val="18"/>
              </w:rPr>
              <w:t>277</w:t>
            </w:r>
          </w:p>
        </w:tc>
      </w:tr>
      <w:tr>
        <w:trPr>
          <w:trHeight w:hRule="atLeast" w:val="330"/>
        </w:trPr>
        <w:tc>
          <w:tcPr>
            <w:tcW w:type="dxa" w:w="4697"/>
            <w:tcBorders>
              <w:top w:color="000000" w:sz="4" w:val="single"/>
              <w:left w:color="000000" w:sz="4" w:val="single"/>
              <w:bottom w:color="000000" w:sz="4" w:val="single"/>
              <w:right w:color="000000" w:sz="4" w:val="single"/>
            </w:tcBorders>
            <w:shd w:fill="auto" w:val="clear"/>
          </w:tcPr>
          <w:p w14:paraId="643F0000">
            <w:pPr>
              <w:widowControl w:val="1"/>
              <w:ind w:firstLine="180"/>
              <w:rPr>
                <w:sz w:val="18"/>
              </w:rPr>
            </w:pPr>
            <w:r>
              <w:rPr>
                <w:sz w:val="18"/>
              </w:rPr>
              <w:t>ЛокоТех - СЕРВИС ООО</w:t>
            </w:r>
          </w:p>
        </w:tc>
        <w:tc>
          <w:tcPr>
            <w:tcW w:type="dxa" w:w="1640"/>
            <w:tcBorders>
              <w:top w:color="000000" w:sz="4" w:val="single"/>
              <w:left w:color="000000" w:sz="4" w:val="single"/>
              <w:bottom w:color="000000" w:sz="4" w:val="single"/>
              <w:right w:color="000000" w:sz="4" w:val="single"/>
            </w:tcBorders>
            <w:shd w:fill="auto" w:val="clear"/>
            <w:vAlign w:val="bottom"/>
          </w:tcPr>
          <w:p w14:paraId="653F0000">
            <w:pPr>
              <w:widowControl w:val="1"/>
              <w:ind/>
              <w:jc w:val="right"/>
              <w:rPr>
                <w:sz w:val="18"/>
              </w:rPr>
            </w:pPr>
            <w:r>
              <w:rPr>
                <w:sz w:val="18"/>
              </w:rPr>
              <w:t>45</w:t>
            </w:r>
          </w:p>
        </w:tc>
        <w:tc>
          <w:tcPr>
            <w:tcW w:type="dxa" w:w="1160"/>
            <w:tcBorders>
              <w:top w:color="000000" w:sz="4" w:val="single"/>
              <w:left w:color="000000" w:sz="4" w:val="single"/>
              <w:bottom w:color="000000" w:sz="4" w:val="single"/>
              <w:right w:color="000000" w:sz="4" w:val="single"/>
            </w:tcBorders>
            <w:shd w:fill="auto" w:val="clear"/>
            <w:vAlign w:val="bottom"/>
          </w:tcPr>
          <w:p w14:paraId="663F0000">
            <w:pPr>
              <w:widowControl w:val="1"/>
              <w:ind/>
              <w:jc w:val="right"/>
              <w:rPr>
                <w:sz w:val="18"/>
              </w:rPr>
            </w:pPr>
            <w:r>
              <w:rPr>
                <w:sz w:val="18"/>
              </w:rPr>
              <w:t>511</w:t>
            </w:r>
          </w:p>
        </w:tc>
        <w:tc>
          <w:tcPr>
            <w:tcW w:type="dxa" w:w="1160"/>
            <w:tcBorders>
              <w:top w:color="000000" w:sz="4" w:val="single"/>
              <w:left w:color="000000" w:sz="4" w:val="single"/>
              <w:bottom w:color="000000" w:sz="4" w:val="single"/>
              <w:right w:color="000000" w:sz="4" w:val="single"/>
            </w:tcBorders>
            <w:shd w:fill="auto" w:val="clear"/>
            <w:vAlign w:val="bottom"/>
          </w:tcPr>
          <w:p w14:paraId="673F0000">
            <w:pPr>
              <w:widowControl w:val="1"/>
              <w:ind/>
              <w:jc w:val="right"/>
              <w:rPr>
                <w:sz w:val="18"/>
              </w:rPr>
            </w:pPr>
            <w:r>
              <w:rPr>
                <w:sz w:val="18"/>
              </w:rPr>
              <w:t>507</w:t>
            </w:r>
          </w:p>
        </w:tc>
        <w:tc>
          <w:tcPr>
            <w:tcW w:type="dxa" w:w="1620"/>
            <w:tcBorders>
              <w:top w:color="000000" w:sz="4" w:val="single"/>
              <w:left w:color="000000" w:sz="4" w:val="single"/>
              <w:bottom w:color="000000" w:sz="4" w:val="single"/>
              <w:right w:color="000000" w:sz="4" w:val="single"/>
            </w:tcBorders>
            <w:shd w:fill="auto" w:val="clear"/>
            <w:vAlign w:val="bottom"/>
          </w:tcPr>
          <w:p w14:paraId="683F0000">
            <w:pPr>
              <w:widowControl w:val="1"/>
              <w:ind/>
              <w:jc w:val="right"/>
              <w:rPr>
                <w:sz w:val="18"/>
              </w:rPr>
            </w:pPr>
            <w:r>
              <w:rPr>
                <w:sz w:val="18"/>
              </w:rPr>
              <w:t>50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693F0000">
            <w:pPr>
              <w:widowControl w:val="1"/>
              <w:ind w:firstLine="180"/>
              <w:rPr>
                <w:sz w:val="18"/>
              </w:rPr>
            </w:pPr>
            <w:r>
              <w:rPr>
                <w:sz w:val="18"/>
              </w:rPr>
              <w:t>НУЗ Отделенческая поликлиника на ст. Ачинск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6A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6B3F0000">
            <w:pPr>
              <w:widowControl w:val="1"/>
              <w:ind/>
              <w:jc w:val="right"/>
              <w:rPr>
                <w:sz w:val="18"/>
              </w:rPr>
            </w:pPr>
            <w:r>
              <w:rPr>
                <w:sz w:val="18"/>
              </w:rPr>
              <w:t>9</w:t>
            </w:r>
          </w:p>
        </w:tc>
        <w:tc>
          <w:tcPr>
            <w:tcW w:type="dxa" w:w="1160"/>
            <w:tcBorders>
              <w:top w:color="000000" w:sz="4" w:val="single"/>
              <w:left w:color="000000" w:sz="4" w:val="single"/>
              <w:bottom w:color="000000" w:sz="4" w:val="single"/>
              <w:right w:color="000000" w:sz="4" w:val="single"/>
            </w:tcBorders>
            <w:shd w:fill="auto" w:val="clear"/>
            <w:vAlign w:val="bottom"/>
          </w:tcPr>
          <w:p w14:paraId="6C3F0000">
            <w:pPr>
              <w:widowControl w:val="1"/>
              <w:ind/>
              <w:jc w:val="right"/>
              <w:rPr>
                <w:sz w:val="18"/>
              </w:rPr>
            </w:pPr>
            <w:r>
              <w:rPr>
                <w:sz w:val="18"/>
              </w:rPr>
              <w:t>9</w:t>
            </w:r>
          </w:p>
        </w:tc>
        <w:tc>
          <w:tcPr>
            <w:tcW w:type="dxa" w:w="1620"/>
            <w:tcBorders>
              <w:top w:color="000000" w:sz="4" w:val="single"/>
              <w:left w:color="000000" w:sz="4" w:val="single"/>
              <w:bottom w:color="000000" w:sz="4" w:val="single"/>
              <w:right w:color="000000" w:sz="4" w:val="single"/>
            </w:tcBorders>
            <w:shd w:fill="auto" w:val="clear"/>
            <w:vAlign w:val="bottom"/>
          </w:tcPr>
          <w:p w14:paraId="6D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6E3F0000">
            <w:pPr>
              <w:widowControl w:val="1"/>
              <w:ind w:firstLine="180"/>
              <w:rPr>
                <w:sz w:val="18"/>
              </w:rPr>
            </w:pPr>
            <w:r>
              <w:rPr>
                <w:sz w:val="18"/>
              </w:rPr>
              <w:t>Андриенко Анна Алексеевна ИП</w:t>
            </w:r>
          </w:p>
        </w:tc>
        <w:tc>
          <w:tcPr>
            <w:tcW w:type="dxa" w:w="1640"/>
            <w:tcBorders>
              <w:top w:color="000000" w:sz="4" w:val="single"/>
              <w:left w:color="000000" w:sz="4" w:val="single"/>
              <w:bottom w:color="000000" w:sz="4" w:val="single"/>
              <w:right w:color="000000" w:sz="4" w:val="single"/>
            </w:tcBorders>
            <w:shd w:fill="auto" w:val="clear"/>
            <w:vAlign w:val="bottom"/>
          </w:tcPr>
          <w:p w14:paraId="6F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703F0000">
            <w:pPr>
              <w:widowControl w:val="1"/>
              <w:ind/>
              <w:jc w:val="right"/>
              <w:rPr>
                <w:sz w:val="18"/>
              </w:rPr>
            </w:pPr>
            <w:r>
              <w:rPr>
                <w:sz w:val="18"/>
              </w:rPr>
              <w:t>1</w:t>
            </w:r>
          </w:p>
        </w:tc>
        <w:tc>
          <w:tcPr>
            <w:tcW w:type="dxa" w:w="1160"/>
            <w:tcBorders>
              <w:top w:color="000000" w:sz="4" w:val="single"/>
              <w:left w:color="000000" w:sz="4" w:val="single"/>
              <w:bottom w:color="000000" w:sz="4" w:val="single"/>
              <w:right w:color="000000" w:sz="4" w:val="single"/>
            </w:tcBorders>
            <w:shd w:fill="auto" w:val="clear"/>
            <w:vAlign w:val="bottom"/>
          </w:tcPr>
          <w:p w14:paraId="713F0000">
            <w:pPr>
              <w:widowControl w:val="1"/>
              <w:ind/>
              <w:jc w:val="right"/>
              <w:rPr>
                <w:sz w:val="18"/>
              </w:rPr>
            </w:pPr>
            <w:r>
              <w:rPr>
                <w:sz w:val="18"/>
              </w:rPr>
              <w:t>1</w:t>
            </w:r>
          </w:p>
        </w:tc>
        <w:tc>
          <w:tcPr>
            <w:tcW w:type="dxa" w:w="1620"/>
            <w:tcBorders>
              <w:top w:color="000000" w:sz="4" w:val="single"/>
              <w:left w:color="000000" w:sz="4" w:val="single"/>
              <w:bottom w:color="000000" w:sz="4" w:val="single"/>
              <w:right w:color="000000" w:sz="4" w:val="single"/>
            </w:tcBorders>
            <w:shd w:fill="auto" w:val="clear"/>
            <w:vAlign w:val="bottom"/>
          </w:tcPr>
          <w:p w14:paraId="72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733F0000">
            <w:pPr>
              <w:widowControl w:val="1"/>
              <w:ind w:firstLine="180"/>
              <w:rPr>
                <w:sz w:val="18"/>
              </w:rPr>
            </w:pPr>
            <w:r>
              <w:rPr>
                <w:sz w:val="18"/>
              </w:rPr>
              <w:t>Гончарова Татьяна Михайловна</w:t>
            </w:r>
          </w:p>
        </w:tc>
        <w:tc>
          <w:tcPr>
            <w:tcW w:type="dxa" w:w="1640"/>
            <w:tcBorders>
              <w:top w:color="000000" w:sz="4" w:val="single"/>
              <w:left w:color="000000" w:sz="4" w:val="single"/>
              <w:bottom w:color="000000" w:sz="4" w:val="single"/>
              <w:right w:color="000000" w:sz="4" w:val="single"/>
            </w:tcBorders>
            <w:shd w:fill="auto" w:val="clear"/>
            <w:vAlign w:val="bottom"/>
          </w:tcPr>
          <w:p w14:paraId="74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753F0000">
            <w:pPr>
              <w:widowControl w:val="1"/>
              <w:ind/>
              <w:jc w:val="right"/>
              <w:rPr>
                <w:sz w:val="18"/>
              </w:rPr>
            </w:pPr>
            <w:r>
              <w:rPr>
                <w:sz w:val="18"/>
              </w:rPr>
              <w:t>2</w:t>
            </w:r>
          </w:p>
        </w:tc>
        <w:tc>
          <w:tcPr>
            <w:tcW w:type="dxa" w:w="1160"/>
            <w:tcBorders>
              <w:top w:color="000000" w:sz="4" w:val="single"/>
              <w:left w:color="000000" w:sz="4" w:val="single"/>
              <w:bottom w:color="000000" w:sz="4" w:val="single"/>
              <w:right w:color="000000" w:sz="4" w:val="single"/>
            </w:tcBorders>
            <w:shd w:fill="auto" w:val="clear"/>
            <w:vAlign w:val="bottom"/>
          </w:tcPr>
          <w:p w14:paraId="763F0000">
            <w:pPr>
              <w:widowControl w:val="1"/>
              <w:ind/>
              <w:jc w:val="right"/>
              <w:rPr>
                <w:sz w:val="18"/>
              </w:rPr>
            </w:pPr>
            <w:r>
              <w:rPr>
                <w:sz w:val="18"/>
              </w:rPr>
              <w:t>2</w:t>
            </w:r>
          </w:p>
        </w:tc>
        <w:tc>
          <w:tcPr>
            <w:tcW w:type="dxa" w:w="1620"/>
            <w:tcBorders>
              <w:top w:color="000000" w:sz="4" w:val="single"/>
              <w:left w:color="000000" w:sz="4" w:val="single"/>
              <w:bottom w:color="000000" w:sz="4" w:val="single"/>
              <w:right w:color="000000" w:sz="4" w:val="single"/>
            </w:tcBorders>
            <w:shd w:fill="auto" w:val="clear"/>
            <w:vAlign w:val="bottom"/>
          </w:tcPr>
          <w:p w14:paraId="77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783F0000">
            <w:pPr>
              <w:widowControl w:val="1"/>
              <w:ind w:firstLine="180"/>
              <w:rPr>
                <w:sz w:val="18"/>
              </w:rPr>
            </w:pPr>
            <w:r>
              <w:rPr>
                <w:sz w:val="18"/>
              </w:rPr>
              <w:t>Горлова Галина Васильевна</w:t>
            </w:r>
          </w:p>
        </w:tc>
        <w:tc>
          <w:tcPr>
            <w:tcW w:type="dxa" w:w="1640"/>
            <w:tcBorders>
              <w:top w:color="000000" w:sz="4" w:val="single"/>
              <w:left w:color="000000" w:sz="4" w:val="single"/>
              <w:bottom w:color="000000" w:sz="4" w:val="single"/>
              <w:right w:color="000000" w:sz="4" w:val="single"/>
            </w:tcBorders>
            <w:shd w:fill="auto" w:val="clear"/>
            <w:vAlign w:val="bottom"/>
          </w:tcPr>
          <w:p w14:paraId="79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7A3F0000">
            <w:pPr>
              <w:widowControl w:val="1"/>
              <w:ind/>
              <w:jc w:val="right"/>
              <w:rPr>
                <w:sz w:val="18"/>
              </w:rPr>
            </w:pPr>
            <w:r>
              <w:rPr>
                <w:sz w:val="18"/>
              </w:rPr>
              <w:t>3</w:t>
            </w:r>
          </w:p>
        </w:tc>
        <w:tc>
          <w:tcPr>
            <w:tcW w:type="dxa" w:w="1160"/>
            <w:tcBorders>
              <w:top w:color="000000" w:sz="4" w:val="single"/>
              <w:left w:color="000000" w:sz="4" w:val="single"/>
              <w:bottom w:color="000000" w:sz="4" w:val="single"/>
              <w:right w:color="000000" w:sz="4" w:val="single"/>
            </w:tcBorders>
            <w:shd w:fill="auto" w:val="clear"/>
            <w:vAlign w:val="bottom"/>
          </w:tcPr>
          <w:p w14:paraId="7B3F0000">
            <w:pPr>
              <w:widowControl w:val="1"/>
              <w:ind/>
              <w:jc w:val="right"/>
              <w:rPr>
                <w:sz w:val="18"/>
              </w:rPr>
            </w:pPr>
            <w:r>
              <w:rPr>
                <w:sz w:val="18"/>
              </w:rPr>
              <w:t>3</w:t>
            </w:r>
          </w:p>
        </w:tc>
        <w:tc>
          <w:tcPr>
            <w:tcW w:type="dxa" w:w="1620"/>
            <w:tcBorders>
              <w:top w:color="000000" w:sz="4" w:val="single"/>
              <w:left w:color="000000" w:sz="4" w:val="single"/>
              <w:bottom w:color="000000" w:sz="4" w:val="single"/>
              <w:right w:color="000000" w:sz="4" w:val="single"/>
            </w:tcBorders>
            <w:shd w:fill="auto" w:val="clear"/>
            <w:vAlign w:val="bottom"/>
          </w:tcPr>
          <w:p w14:paraId="7C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7D3F0000">
            <w:pPr>
              <w:widowControl w:val="1"/>
              <w:ind w:firstLine="180"/>
              <w:rPr>
                <w:sz w:val="18"/>
              </w:rPr>
            </w:pPr>
            <w:r>
              <w:rPr>
                <w:sz w:val="18"/>
              </w:rPr>
              <w:t>ЛАЙСА АО</w:t>
            </w:r>
          </w:p>
        </w:tc>
        <w:tc>
          <w:tcPr>
            <w:tcW w:type="dxa" w:w="1640"/>
            <w:tcBorders>
              <w:top w:color="000000" w:sz="4" w:val="single"/>
              <w:left w:color="000000" w:sz="4" w:val="single"/>
              <w:bottom w:color="000000" w:sz="4" w:val="single"/>
              <w:right w:color="000000" w:sz="4" w:val="single"/>
            </w:tcBorders>
            <w:shd w:fill="auto" w:val="clear"/>
            <w:vAlign w:val="bottom"/>
          </w:tcPr>
          <w:p w14:paraId="7E3F0000">
            <w:pPr>
              <w:widowControl w:val="1"/>
              <w:ind/>
              <w:jc w:val="right"/>
              <w:rPr>
                <w:sz w:val="18"/>
              </w:rPr>
            </w:pPr>
            <w:r>
              <w:rPr>
                <w:sz w:val="18"/>
              </w:rPr>
              <w:t>3</w:t>
            </w:r>
          </w:p>
        </w:tc>
        <w:tc>
          <w:tcPr>
            <w:tcW w:type="dxa" w:w="1160"/>
            <w:tcBorders>
              <w:top w:color="000000" w:sz="4" w:val="single"/>
              <w:left w:color="000000" w:sz="4" w:val="single"/>
              <w:bottom w:color="000000" w:sz="4" w:val="single"/>
              <w:right w:color="000000" w:sz="4" w:val="single"/>
            </w:tcBorders>
            <w:shd w:fill="auto" w:val="clear"/>
            <w:vAlign w:val="bottom"/>
          </w:tcPr>
          <w:p w14:paraId="7F3F0000">
            <w:pPr>
              <w:widowControl w:val="1"/>
              <w:ind/>
              <w:jc w:val="right"/>
              <w:rPr>
                <w:sz w:val="18"/>
              </w:rPr>
            </w:pPr>
            <w:r>
              <w:rPr>
                <w:sz w:val="18"/>
              </w:rPr>
              <w:t>88</w:t>
            </w:r>
          </w:p>
        </w:tc>
        <w:tc>
          <w:tcPr>
            <w:tcW w:type="dxa" w:w="1160"/>
            <w:tcBorders>
              <w:top w:color="000000" w:sz="4" w:val="single"/>
              <w:left w:color="000000" w:sz="4" w:val="single"/>
              <w:bottom w:color="000000" w:sz="4" w:val="single"/>
              <w:right w:color="000000" w:sz="4" w:val="single"/>
            </w:tcBorders>
            <w:shd w:fill="auto" w:val="clear"/>
            <w:vAlign w:val="bottom"/>
          </w:tcPr>
          <w:p w14:paraId="803F0000">
            <w:pPr>
              <w:widowControl w:val="1"/>
              <w:ind/>
              <w:jc w:val="right"/>
              <w:rPr>
                <w:sz w:val="18"/>
              </w:rPr>
            </w:pPr>
            <w:r>
              <w:rPr>
                <w:sz w:val="18"/>
              </w:rPr>
              <w:t>88</w:t>
            </w:r>
          </w:p>
        </w:tc>
        <w:tc>
          <w:tcPr>
            <w:tcW w:type="dxa" w:w="1620"/>
            <w:tcBorders>
              <w:top w:color="000000" w:sz="4" w:val="single"/>
              <w:left w:color="000000" w:sz="4" w:val="single"/>
              <w:bottom w:color="000000" w:sz="4" w:val="single"/>
              <w:right w:color="000000" w:sz="4" w:val="single"/>
            </w:tcBorders>
            <w:shd w:fill="auto" w:val="clear"/>
            <w:vAlign w:val="bottom"/>
          </w:tcPr>
          <w:p w14:paraId="813F0000">
            <w:pPr>
              <w:widowControl w:val="1"/>
              <w:ind/>
              <w:jc w:val="right"/>
              <w:rPr>
                <w:sz w:val="18"/>
              </w:rPr>
            </w:pPr>
            <w:r>
              <w:rPr>
                <w:sz w:val="18"/>
              </w:rPr>
              <w:t>3</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823F0000">
            <w:pPr>
              <w:widowControl w:val="1"/>
              <w:ind w:firstLine="180"/>
              <w:rPr>
                <w:sz w:val="18"/>
              </w:rPr>
            </w:pPr>
            <w:r>
              <w:rPr>
                <w:sz w:val="18"/>
              </w:rPr>
              <w:t>Михеева Елена Николаевна</w:t>
            </w:r>
          </w:p>
        </w:tc>
        <w:tc>
          <w:tcPr>
            <w:tcW w:type="dxa" w:w="1640"/>
            <w:tcBorders>
              <w:top w:color="000000" w:sz="4" w:val="single"/>
              <w:left w:color="000000" w:sz="4" w:val="single"/>
              <w:bottom w:color="000000" w:sz="4" w:val="single"/>
              <w:right w:color="000000" w:sz="4" w:val="single"/>
            </w:tcBorders>
            <w:shd w:fill="auto" w:val="clear"/>
            <w:vAlign w:val="bottom"/>
          </w:tcPr>
          <w:p w14:paraId="83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843F0000">
            <w:pPr>
              <w:widowControl w:val="1"/>
              <w:ind/>
              <w:jc w:val="right"/>
              <w:rPr>
                <w:sz w:val="18"/>
              </w:rPr>
            </w:pPr>
            <w:r>
              <w:rPr>
                <w:sz w:val="18"/>
              </w:rPr>
              <w:t>1</w:t>
            </w:r>
          </w:p>
        </w:tc>
        <w:tc>
          <w:tcPr>
            <w:tcW w:type="dxa" w:w="1160"/>
            <w:tcBorders>
              <w:top w:color="000000" w:sz="4" w:val="single"/>
              <w:left w:color="000000" w:sz="4" w:val="single"/>
              <w:bottom w:color="000000" w:sz="4" w:val="single"/>
              <w:right w:color="000000" w:sz="4" w:val="single"/>
            </w:tcBorders>
            <w:shd w:fill="auto" w:val="clear"/>
            <w:vAlign w:val="bottom"/>
          </w:tcPr>
          <w:p w14:paraId="853F0000">
            <w:pPr>
              <w:widowControl w:val="1"/>
              <w:ind/>
              <w:jc w:val="right"/>
              <w:rPr>
                <w:sz w:val="18"/>
              </w:rPr>
            </w:pPr>
            <w:r>
              <w:rPr>
                <w:sz w:val="18"/>
              </w:rPr>
              <w:t>1</w:t>
            </w:r>
          </w:p>
        </w:tc>
        <w:tc>
          <w:tcPr>
            <w:tcW w:type="dxa" w:w="1620"/>
            <w:tcBorders>
              <w:top w:color="000000" w:sz="4" w:val="single"/>
              <w:left w:color="000000" w:sz="4" w:val="single"/>
              <w:bottom w:color="000000" w:sz="4" w:val="single"/>
              <w:right w:color="000000" w:sz="4" w:val="single"/>
            </w:tcBorders>
            <w:shd w:fill="auto" w:val="clear"/>
            <w:vAlign w:val="bottom"/>
          </w:tcPr>
          <w:p w14:paraId="86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873F0000">
            <w:pPr>
              <w:widowControl w:val="1"/>
              <w:ind w:firstLine="180"/>
              <w:rPr>
                <w:sz w:val="18"/>
              </w:rPr>
            </w:pPr>
            <w:r>
              <w:rPr>
                <w:sz w:val="18"/>
              </w:rPr>
              <w:t>Ромашов Анатолий Александрович</w:t>
            </w:r>
          </w:p>
        </w:tc>
        <w:tc>
          <w:tcPr>
            <w:tcW w:type="dxa" w:w="1640"/>
            <w:tcBorders>
              <w:top w:color="000000" w:sz="4" w:val="single"/>
              <w:left w:color="000000" w:sz="4" w:val="single"/>
              <w:bottom w:color="000000" w:sz="4" w:val="single"/>
              <w:right w:color="000000" w:sz="4" w:val="single"/>
            </w:tcBorders>
            <w:shd w:fill="auto" w:val="clear"/>
            <w:vAlign w:val="bottom"/>
          </w:tcPr>
          <w:p w14:paraId="88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893F0000">
            <w:pPr>
              <w:widowControl w:val="1"/>
              <w:ind/>
              <w:jc w:val="right"/>
              <w:rPr>
                <w:sz w:val="18"/>
              </w:rPr>
            </w:pPr>
            <w:r>
              <w:rPr>
                <w:sz w:val="18"/>
              </w:rPr>
              <w:t>4</w:t>
            </w:r>
          </w:p>
        </w:tc>
        <w:tc>
          <w:tcPr>
            <w:tcW w:type="dxa" w:w="1160"/>
            <w:tcBorders>
              <w:top w:color="000000" w:sz="4" w:val="single"/>
              <w:left w:color="000000" w:sz="4" w:val="single"/>
              <w:bottom w:color="000000" w:sz="4" w:val="single"/>
              <w:right w:color="000000" w:sz="4" w:val="single"/>
            </w:tcBorders>
            <w:shd w:fill="auto" w:val="clear"/>
            <w:vAlign w:val="bottom"/>
          </w:tcPr>
          <w:p w14:paraId="8A3F0000">
            <w:pPr>
              <w:widowControl w:val="1"/>
              <w:ind/>
              <w:jc w:val="right"/>
              <w:rPr>
                <w:sz w:val="18"/>
              </w:rPr>
            </w:pPr>
            <w:r>
              <w:rPr>
                <w:sz w:val="18"/>
              </w:rPr>
              <w:t>4</w:t>
            </w:r>
          </w:p>
        </w:tc>
        <w:tc>
          <w:tcPr>
            <w:tcW w:type="dxa" w:w="1620"/>
            <w:tcBorders>
              <w:top w:color="000000" w:sz="4" w:val="single"/>
              <w:left w:color="000000" w:sz="4" w:val="single"/>
              <w:bottom w:color="000000" w:sz="4" w:val="single"/>
              <w:right w:color="000000" w:sz="4" w:val="single"/>
            </w:tcBorders>
            <w:shd w:fill="auto" w:val="clear"/>
            <w:vAlign w:val="bottom"/>
          </w:tcPr>
          <w:p w14:paraId="8B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8C3F0000">
            <w:pPr>
              <w:widowControl w:val="1"/>
              <w:ind w:firstLine="180"/>
              <w:rPr>
                <w:sz w:val="18"/>
              </w:rPr>
            </w:pPr>
            <w:r>
              <w:rPr>
                <w:sz w:val="18"/>
              </w:rPr>
              <w:t>ФГП ВО ЖДТ РОССИИ</w:t>
            </w:r>
          </w:p>
        </w:tc>
        <w:tc>
          <w:tcPr>
            <w:tcW w:type="dxa" w:w="1640"/>
            <w:tcBorders>
              <w:top w:color="000000" w:sz="4" w:val="single"/>
              <w:left w:color="000000" w:sz="4" w:val="single"/>
              <w:bottom w:color="000000" w:sz="4" w:val="single"/>
              <w:right w:color="000000" w:sz="4" w:val="single"/>
            </w:tcBorders>
            <w:shd w:fill="auto" w:val="clear"/>
            <w:vAlign w:val="bottom"/>
          </w:tcPr>
          <w:p w14:paraId="8D3F0000">
            <w:pPr>
              <w:widowControl w:val="1"/>
              <w:ind/>
              <w:jc w:val="right"/>
              <w:rPr>
                <w:sz w:val="18"/>
              </w:rPr>
            </w:pPr>
            <w:r>
              <w:rPr>
                <w:sz w:val="18"/>
              </w:rPr>
              <w:t>14</w:t>
            </w:r>
          </w:p>
        </w:tc>
        <w:tc>
          <w:tcPr>
            <w:tcW w:type="dxa" w:w="1160"/>
            <w:tcBorders>
              <w:top w:color="000000" w:sz="4" w:val="single"/>
              <w:left w:color="000000" w:sz="4" w:val="single"/>
              <w:bottom w:color="000000" w:sz="4" w:val="single"/>
              <w:right w:color="000000" w:sz="4" w:val="single"/>
            </w:tcBorders>
            <w:shd w:fill="auto" w:val="clear"/>
            <w:vAlign w:val="bottom"/>
          </w:tcPr>
          <w:p w14:paraId="8E3F0000">
            <w:pPr>
              <w:widowControl w:val="1"/>
              <w:ind/>
              <w:jc w:val="right"/>
              <w:rPr>
                <w:sz w:val="18"/>
              </w:rPr>
            </w:pPr>
            <w:r>
              <w:rPr>
                <w:sz w:val="18"/>
              </w:rPr>
              <w:t>208</w:t>
            </w:r>
          </w:p>
        </w:tc>
        <w:tc>
          <w:tcPr>
            <w:tcW w:type="dxa" w:w="1160"/>
            <w:tcBorders>
              <w:top w:color="000000" w:sz="4" w:val="single"/>
              <w:left w:color="000000" w:sz="4" w:val="single"/>
              <w:bottom w:color="000000" w:sz="4" w:val="single"/>
              <w:right w:color="000000" w:sz="4" w:val="single"/>
            </w:tcBorders>
            <w:shd w:fill="auto" w:val="clear"/>
            <w:vAlign w:val="bottom"/>
          </w:tcPr>
          <w:p w14:paraId="8F3F0000">
            <w:pPr>
              <w:widowControl w:val="1"/>
              <w:ind/>
              <w:jc w:val="right"/>
              <w:rPr>
                <w:sz w:val="18"/>
              </w:rPr>
            </w:pPr>
            <w:r>
              <w:rPr>
                <w:sz w:val="18"/>
              </w:rPr>
              <w:t>196</w:t>
            </w:r>
          </w:p>
        </w:tc>
        <w:tc>
          <w:tcPr>
            <w:tcW w:type="dxa" w:w="1620"/>
            <w:tcBorders>
              <w:top w:color="000000" w:sz="4" w:val="single"/>
              <w:left w:color="000000" w:sz="4" w:val="single"/>
              <w:bottom w:color="000000" w:sz="4" w:val="single"/>
              <w:right w:color="000000" w:sz="4" w:val="single"/>
            </w:tcBorders>
            <w:shd w:fill="auto" w:val="clear"/>
            <w:vAlign w:val="bottom"/>
          </w:tcPr>
          <w:p w14:paraId="903F0000">
            <w:pPr>
              <w:widowControl w:val="1"/>
              <w:ind/>
              <w:jc w:val="right"/>
              <w:rPr>
                <w:sz w:val="18"/>
              </w:rPr>
            </w:pPr>
            <w:r>
              <w:rPr>
                <w:sz w:val="18"/>
              </w:rPr>
              <w:t>25</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913F0000">
            <w:pPr>
              <w:widowControl w:val="1"/>
              <w:ind w:firstLine="180"/>
              <w:rPr>
                <w:sz w:val="18"/>
              </w:rPr>
            </w:pPr>
            <w:r>
              <w:rPr>
                <w:sz w:val="18"/>
              </w:rPr>
              <w:t>Яндекс ООО</w:t>
            </w:r>
          </w:p>
        </w:tc>
        <w:tc>
          <w:tcPr>
            <w:tcW w:type="dxa" w:w="1640"/>
            <w:tcBorders>
              <w:top w:color="000000" w:sz="4" w:val="single"/>
              <w:left w:color="000000" w:sz="4" w:val="single"/>
              <w:bottom w:color="000000" w:sz="4" w:val="single"/>
              <w:right w:color="000000" w:sz="4" w:val="single"/>
            </w:tcBorders>
            <w:shd w:fill="auto" w:val="clear"/>
            <w:vAlign w:val="bottom"/>
          </w:tcPr>
          <w:p w14:paraId="923F0000">
            <w:pPr>
              <w:widowControl w:val="1"/>
              <w:ind/>
              <w:jc w:val="right"/>
              <w:rPr>
                <w:sz w:val="18"/>
              </w:rPr>
            </w:pPr>
            <w:r>
              <w:rPr>
                <w:sz w:val="18"/>
              </w:rPr>
              <w:t>5</w:t>
            </w:r>
          </w:p>
        </w:tc>
        <w:tc>
          <w:tcPr>
            <w:tcW w:type="dxa" w:w="1160"/>
            <w:tcBorders>
              <w:top w:color="000000" w:sz="4" w:val="single"/>
              <w:left w:color="000000" w:sz="4" w:val="single"/>
              <w:bottom w:color="000000" w:sz="4" w:val="single"/>
              <w:right w:color="000000" w:sz="4" w:val="single"/>
            </w:tcBorders>
            <w:shd w:fill="auto" w:val="clear"/>
            <w:vAlign w:val="bottom"/>
          </w:tcPr>
          <w:p w14:paraId="933F0000">
            <w:pPr>
              <w:widowControl w:val="1"/>
              <w:ind/>
              <w:jc w:val="right"/>
              <w:rPr>
                <w:sz w:val="18"/>
              </w:rPr>
            </w:pPr>
            <w:r>
              <w:rPr>
                <w:sz w:val="18"/>
              </w:rPr>
              <w:t>120</w:t>
            </w:r>
          </w:p>
        </w:tc>
        <w:tc>
          <w:tcPr>
            <w:tcW w:type="dxa" w:w="1160"/>
            <w:tcBorders>
              <w:top w:color="000000" w:sz="4" w:val="single"/>
              <w:left w:color="000000" w:sz="4" w:val="single"/>
              <w:bottom w:color="000000" w:sz="4" w:val="single"/>
              <w:right w:color="000000" w:sz="4" w:val="single"/>
            </w:tcBorders>
            <w:shd w:fill="auto" w:val="clear"/>
            <w:vAlign w:val="bottom"/>
          </w:tcPr>
          <w:p w14:paraId="943F0000">
            <w:pPr>
              <w:widowControl w:val="1"/>
              <w:ind/>
              <w:jc w:val="right"/>
              <w:rPr>
                <w:sz w:val="18"/>
              </w:rPr>
            </w:pPr>
            <w:r>
              <w:rPr>
                <w:sz w:val="18"/>
              </w:rPr>
              <w:t>110</w:t>
            </w:r>
          </w:p>
        </w:tc>
        <w:tc>
          <w:tcPr>
            <w:tcW w:type="dxa" w:w="1620"/>
            <w:tcBorders>
              <w:top w:color="000000" w:sz="4" w:val="single"/>
              <w:left w:color="000000" w:sz="4" w:val="single"/>
              <w:bottom w:color="000000" w:sz="4" w:val="single"/>
              <w:right w:color="000000" w:sz="4" w:val="single"/>
            </w:tcBorders>
            <w:shd w:fill="auto" w:val="clear"/>
            <w:vAlign w:val="bottom"/>
          </w:tcPr>
          <w:p w14:paraId="953F0000">
            <w:pPr>
              <w:widowControl w:val="1"/>
              <w:ind/>
              <w:jc w:val="right"/>
              <w:rPr>
                <w:sz w:val="18"/>
              </w:rPr>
            </w:pPr>
            <w:r>
              <w:rPr>
                <w:sz w:val="18"/>
              </w:rPr>
              <w:t>15</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963F0000">
            <w:pPr>
              <w:widowControl w:val="1"/>
              <w:ind w:firstLine="180"/>
              <w:rPr>
                <w:sz w:val="18"/>
              </w:rPr>
            </w:pPr>
            <w:r>
              <w:rPr>
                <w:sz w:val="18"/>
              </w:rPr>
              <w:t>НУЗ Отделенческая поликлиника на ст. Ачинск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97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983F0000">
            <w:pPr>
              <w:widowControl w:val="1"/>
              <w:ind/>
              <w:jc w:val="right"/>
              <w:rPr>
                <w:sz w:val="18"/>
              </w:rPr>
            </w:pPr>
            <w:r>
              <w:rPr>
                <w:sz w:val="18"/>
              </w:rPr>
              <w:t>9</w:t>
            </w:r>
          </w:p>
        </w:tc>
        <w:tc>
          <w:tcPr>
            <w:tcW w:type="dxa" w:w="1160"/>
            <w:tcBorders>
              <w:top w:color="000000" w:sz="4" w:val="single"/>
              <w:left w:color="000000" w:sz="4" w:val="single"/>
              <w:bottom w:color="000000" w:sz="4" w:val="single"/>
              <w:right w:color="000000" w:sz="4" w:val="single"/>
            </w:tcBorders>
            <w:shd w:fill="auto" w:val="clear"/>
            <w:vAlign w:val="bottom"/>
          </w:tcPr>
          <w:p w14:paraId="993F0000">
            <w:pPr>
              <w:widowControl w:val="1"/>
              <w:ind/>
              <w:jc w:val="right"/>
              <w:rPr>
                <w:sz w:val="18"/>
              </w:rPr>
            </w:pPr>
            <w:r>
              <w:rPr>
                <w:sz w:val="18"/>
              </w:rPr>
              <w:t>9</w:t>
            </w:r>
          </w:p>
        </w:tc>
        <w:tc>
          <w:tcPr>
            <w:tcW w:type="dxa" w:w="1620"/>
            <w:tcBorders>
              <w:top w:color="000000" w:sz="4" w:val="single"/>
              <w:left w:color="000000" w:sz="4" w:val="single"/>
              <w:bottom w:color="000000" w:sz="4" w:val="single"/>
              <w:right w:color="000000" w:sz="4" w:val="single"/>
            </w:tcBorders>
            <w:shd w:fill="auto" w:val="clear"/>
            <w:vAlign w:val="bottom"/>
          </w:tcPr>
          <w:p w14:paraId="9A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bottom"/>
          </w:tcPr>
          <w:p w14:paraId="9B3F0000">
            <w:pPr>
              <w:rPr>
                <w:b w:val="1"/>
                <w:sz w:val="18"/>
              </w:rPr>
            </w:pPr>
            <w:r>
              <w:rPr>
                <w:b w:val="1"/>
                <w:sz w:val="18"/>
              </w:rPr>
              <w:t>Авансы выданные (счет 60.02) - всего, в т. ч.</w:t>
            </w:r>
          </w:p>
        </w:tc>
        <w:tc>
          <w:tcPr>
            <w:tcW w:type="dxa" w:w="1640"/>
            <w:tcBorders>
              <w:top w:color="000000" w:sz="4" w:val="single"/>
              <w:left w:color="000000" w:sz="4" w:val="single"/>
              <w:bottom w:color="000000" w:sz="4" w:val="single"/>
              <w:right w:color="000000" w:sz="4" w:val="single"/>
            </w:tcBorders>
            <w:shd w:fill="auto" w:val="clear"/>
            <w:vAlign w:val="bottom"/>
          </w:tcPr>
          <w:p w14:paraId="9C3F0000">
            <w:pPr>
              <w:widowControl w:val="1"/>
              <w:ind/>
              <w:jc w:val="right"/>
              <w:rPr>
                <w:b w:val="1"/>
                <w:sz w:val="18"/>
              </w:rPr>
            </w:pPr>
            <w:r>
              <w:rPr>
                <w:b w:val="1"/>
                <w:sz w:val="18"/>
              </w:rPr>
              <w:t>1 271</w:t>
            </w:r>
          </w:p>
        </w:tc>
        <w:tc>
          <w:tcPr>
            <w:tcW w:type="dxa" w:w="1160"/>
            <w:tcBorders>
              <w:top w:color="000000" w:sz="4" w:val="single"/>
              <w:left w:color="000000" w:sz="4" w:val="single"/>
              <w:bottom w:color="000000" w:sz="4" w:val="single"/>
              <w:right w:color="000000" w:sz="4" w:val="single"/>
            </w:tcBorders>
            <w:shd w:fill="auto" w:val="clear"/>
            <w:vAlign w:val="bottom"/>
          </w:tcPr>
          <w:p w14:paraId="9D3F0000">
            <w:pPr>
              <w:widowControl w:val="1"/>
              <w:ind/>
              <w:jc w:val="right"/>
              <w:rPr>
                <w:b w:val="1"/>
                <w:sz w:val="18"/>
              </w:rPr>
            </w:pPr>
            <w:r>
              <w:rPr>
                <w:b w:val="1"/>
                <w:sz w:val="18"/>
              </w:rPr>
              <w:t>129 573</w:t>
            </w:r>
          </w:p>
        </w:tc>
        <w:tc>
          <w:tcPr>
            <w:tcW w:type="dxa" w:w="1160"/>
            <w:tcBorders>
              <w:top w:color="000000" w:sz="4" w:val="single"/>
              <w:left w:color="000000" w:sz="4" w:val="single"/>
              <w:bottom w:color="000000" w:sz="4" w:val="single"/>
              <w:right w:color="000000" w:sz="4" w:val="single"/>
            </w:tcBorders>
            <w:shd w:fill="auto" w:val="clear"/>
            <w:vAlign w:val="bottom"/>
          </w:tcPr>
          <w:p w14:paraId="9E3F0000">
            <w:pPr>
              <w:widowControl w:val="1"/>
              <w:ind/>
              <w:jc w:val="right"/>
              <w:rPr>
                <w:b w:val="1"/>
                <w:sz w:val="18"/>
              </w:rPr>
            </w:pPr>
            <w:r>
              <w:rPr>
                <w:b w:val="1"/>
                <w:sz w:val="18"/>
              </w:rPr>
              <w:t>127 640</w:t>
            </w:r>
          </w:p>
        </w:tc>
        <w:tc>
          <w:tcPr>
            <w:tcW w:type="dxa" w:w="1620"/>
            <w:tcBorders>
              <w:top w:color="000000" w:sz="4" w:val="single"/>
              <w:left w:color="000000" w:sz="4" w:val="single"/>
              <w:bottom w:color="000000" w:sz="4" w:val="single"/>
              <w:right w:color="000000" w:sz="4" w:val="single"/>
            </w:tcBorders>
            <w:shd w:fill="auto" w:val="clear"/>
            <w:vAlign w:val="bottom"/>
          </w:tcPr>
          <w:p w14:paraId="9F3F0000">
            <w:pPr>
              <w:widowControl w:val="1"/>
              <w:ind/>
              <w:jc w:val="right"/>
              <w:rPr>
                <w:b w:val="1"/>
                <w:sz w:val="18"/>
              </w:rPr>
            </w:pPr>
            <w:r>
              <w:rPr>
                <w:b w:val="1"/>
                <w:sz w:val="18"/>
              </w:rPr>
              <w:t>3 203</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bottom"/>
          </w:tcPr>
          <w:p w14:paraId="A03F0000">
            <w:pPr>
              <w:rPr>
                <w:b w:val="1"/>
                <w:sz w:val="18"/>
              </w:rPr>
            </w:pPr>
            <w:r>
              <w:rPr>
                <w:b w:val="1"/>
                <w:sz w:val="18"/>
              </w:rPr>
              <w:t xml:space="preserve">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A13F0000">
            <w:pPr>
              <w:widowControl w:val="1"/>
              <w:ind/>
              <w:jc w:val="right"/>
              <w:rPr>
                <w:sz w:val="18"/>
              </w:rPr>
            </w:pPr>
            <w:r>
              <w:rPr>
                <w:sz w:val="18"/>
              </w:rPr>
              <w:t>665</w:t>
            </w:r>
          </w:p>
        </w:tc>
        <w:tc>
          <w:tcPr>
            <w:tcW w:type="dxa" w:w="1160"/>
            <w:tcBorders>
              <w:top w:color="000000" w:sz="4" w:val="single"/>
              <w:left w:color="000000" w:sz="4" w:val="single"/>
              <w:bottom w:color="000000" w:sz="4" w:val="single"/>
              <w:right w:color="000000" w:sz="4" w:val="single"/>
            </w:tcBorders>
            <w:shd w:fill="auto" w:val="clear"/>
            <w:vAlign w:val="bottom"/>
          </w:tcPr>
          <w:p w14:paraId="A23F0000">
            <w:pPr>
              <w:widowControl w:val="1"/>
              <w:ind/>
              <w:jc w:val="right"/>
              <w:rPr>
                <w:sz w:val="18"/>
              </w:rPr>
            </w:pPr>
            <w:r>
              <w:rPr>
                <w:sz w:val="18"/>
              </w:rPr>
              <w:t>63 200</w:t>
            </w:r>
          </w:p>
        </w:tc>
        <w:tc>
          <w:tcPr>
            <w:tcW w:type="dxa" w:w="1160"/>
            <w:tcBorders>
              <w:top w:color="000000" w:sz="4" w:val="single"/>
              <w:left w:color="000000" w:sz="4" w:val="single"/>
              <w:bottom w:color="000000" w:sz="4" w:val="single"/>
              <w:right w:color="000000" w:sz="4" w:val="single"/>
            </w:tcBorders>
            <w:shd w:fill="auto" w:val="clear"/>
            <w:vAlign w:val="bottom"/>
          </w:tcPr>
          <w:p w14:paraId="A33F0000">
            <w:pPr>
              <w:widowControl w:val="1"/>
              <w:ind/>
              <w:jc w:val="right"/>
              <w:rPr>
                <w:sz w:val="18"/>
              </w:rPr>
            </w:pPr>
            <w:r>
              <w:rPr>
                <w:sz w:val="18"/>
              </w:rPr>
              <w:t>62 115</w:t>
            </w:r>
          </w:p>
        </w:tc>
        <w:tc>
          <w:tcPr>
            <w:tcW w:type="dxa" w:w="1620"/>
            <w:tcBorders>
              <w:top w:color="000000" w:sz="4" w:val="single"/>
              <w:left w:color="000000" w:sz="4" w:val="single"/>
              <w:bottom w:color="000000" w:sz="4" w:val="single"/>
              <w:right w:color="000000" w:sz="4" w:val="single"/>
            </w:tcBorders>
            <w:shd w:fill="auto" w:val="clear"/>
            <w:vAlign w:val="bottom"/>
          </w:tcPr>
          <w:p w14:paraId="A43F0000">
            <w:pPr>
              <w:widowControl w:val="1"/>
              <w:ind/>
              <w:jc w:val="right"/>
              <w:rPr>
                <w:sz w:val="18"/>
              </w:rPr>
            </w:pPr>
            <w:r>
              <w:rPr>
                <w:sz w:val="18"/>
              </w:rPr>
              <w:t>1 750</w:t>
            </w:r>
          </w:p>
        </w:tc>
      </w:tr>
      <w:tr>
        <w:trPr>
          <w:trHeight w:hRule="atLeast" w:val="480"/>
        </w:trPr>
        <w:tc>
          <w:tcPr>
            <w:tcW w:type="dxa" w:w="4697"/>
            <w:tcBorders>
              <w:top w:color="000000" w:sz="4" w:val="single"/>
              <w:left w:color="000000" w:sz="4" w:val="single"/>
              <w:bottom w:color="000000" w:sz="4" w:val="single"/>
              <w:right w:color="000000" w:sz="4" w:val="single"/>
            </w:tcBorders>
            <w:shd w:fill="auto" w:val="clear"/>
          </w:tcPr>
          <w:p w14:paraId="A53F0000">
            <w:pPr>
              <w:widowControl w:val="1"/>
              <w:ind w:firstLine="180"/>
              <w:rPr>
                <w:sz w:val="18"/>
              </w:rPr>
            </w:pPr>
            <w:r>
              <w:rPr>
                <w:sz w:val="18"/>
              </w:rPr>
              <w:t>Департамент "Казначейство" РЖД ОАО</w:t>
            </w:r>
          </w:p>
        </w:tc>
        <w:tc>
          <w:tcPr>
            <w:tcW w:type="dxa" w:w="1640"/>
            <w:tcBorders>
              <w:top w:color="000000" w:sz="4" w:val="single"/>
              <w:left w:color="000000" w:sz="4" w:val="single"/>
              <w:bottom w:color="000000" w:sz="4" w:val="single"/>
              <w:right w:color="000000" w:sz="4" w:val="single"/>
            </w:tcBorders>
            <w:shd w:fill="auto" w:val="clear"/>
            <w:vAlign w:val="bottom"/>
          </w:tcPr>
          <w:p w14:paraId="A63F0000">
            <w:pPr>
              <w:widowControl w:val="1"/>
              <w:ind/>
              <w:jc w:val="right"/>
              <w:rPr>
                <w:sz w:val="18"/>
              </w:rPr>
            </w:pPr>
            <w:r>
              <w:rPr>
                <w:sz w:val="18"/>
              </w:rPr>
              <w:t>10</w:t>
            </w:r>
          </w:p>
        </w:tc>
        <w:tc>
          <w:tcPr>
            <w:tcW w:type="dxa" w:w="1160"/>
            <w:tcBorders>
              <w:top w:color="000000" w:sz="4" w:val="single"/>
              <w:left w:color="000000" w:sz="4" w:val="single"/>
              <w:bottom w:color="000000" w:sz="4" w:val="single"/>
              <w:right w:color="000000" w:sz="4" w:val="single"/>
            </w:tcBorders>
            <w:shd w:fill="auto" w:val="clear"/>
            <w:vAlign w:val="bottom"/>
          </w:tcPr>
          <w:p w14:paraId="A73F0000">
            <w:pPr>
              <w:widowControl w:val="1"/>
              <w:ind/>
              <w:jc w:val="right"/>
              <w:rPr>
                <w:sz w:val="18"/>
              </w:rPr>
            </w:pPr>
            <w:r>
              <w:rPr>
                <w:sz w:val="18"/>
              </w:rPr>
              <w:t>110</w:t>
            </w:r>
          </w:p>
        </w:tc>
        <w:tc>
          <w:tcPr>
            <w:tcW w:type="dxa" w:w="1160"/>
            <w:tcBorders>
              <w:top w:color="000000" w:sz="4" w:val="single"/>
              <w:left w:color="000000" w:sz="4" w:val="single"/>
              <w:bottom w:color="000000" w:sz="4" w:val="single"/>
              <w:right w:color="000000" w:sz="4" w:val="single"/>
            </w:tcBorders>
            <w:shd w:fill="auto" w:val="clear"/>
            <w:vAlign w:val="bottom"/>
          </w:tcPr>
          <w:p w14:paraId="A83F0000">
            <w:pPr>
              <w:widowControl w:val="1"/>
              <w:ind/>
              <w:jc w:val="right"/>
              <w:rPr>
                <w:sz w:val="18"/>
              </w:rPr>
            </w:pPr>
            <w:r>
              <w:rPr>
                <w:sz w:val="18"/>
              </w:rPr>
              <w:t>120</w:t>
            </w:r>
          </w:p>
        </w:tc>
        <w:tc>
          <w:tcPr>
            <w:tcW w:type="dxa" w:w="1620"/>
            <w:tcBorders>
              <w:top w:color="000000" w:sz="4" w:val="single"/>
              <w:left w:color="000000" w:sz="4" w:val="single"/>
              <w:bottom w:color="000000" w:sz="4" w:val="single"/>
              <w:right w:color="000000" w:sz="4" w:val="single"/>
            </w:tcBorders>
            <w:shd w:fill="auto" w:val="clear"/>
            <w:vAlign w:val="bottom"/>
          </w:tcPr>
          <w:p w14:paraId="A9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AA3F0000">
            <w:pPr>
              <w:widowControl w:val="1"/>
              <w:ind w:firstLine="180"/>
              <w:rPr>
                <w:sz w:val="18"/>
              </w:rPr>
            </w:pPr>
            <w:r>
              <w:rPr>
                <w:sz w:val="18"/>
              </w:rPr>
              <w:t>ДИ   РЖД ОАО Центральная дирекция инфраструктуры</w:t>
            </w:r>
          </w:p>
        </w:tc>
        <w:tc>
          <w:tcPr>
            <w:tcW w:type="dxa" w:w="1640"/>
            <w:tcBorders>
              <w:top w:color="000000" w:sz="4" w:val="single"/>
              <w:left w:color="000000" w:sz="4" w:val="single"/>
              <w:bottom w:color="000000" w:sz="4" w:val="single"/>
              <w:right w:color="000000" w:sz="4" w:val="single"/>
            </w:tcBorders>
            <w:shd w:fill="auto" w:val="clear"/>
            <w:vAlign w:val="bottom"/>
          </w:tcPr>
          <w:p w14:paraId="AB3F0000">
            <w:pPr>
              <w:widowControl w:val="1"/>
              <w:ind/>
              <w:jc w:val="right"/>
              <w:rPr>
                <w:sz w:val="18"/>
              </w:rPr>
            </w:pPr>
            <w:r>
              <w:rPr>
                <w:sz w:val="18"/>
              </w:rPr>
              <w:t>65</w:t>
            </w:r>
          </w:p>
        </w:tc>
        <w:tc>
          <w:tcPr>
            <w:tcW w:type="dxa" w:w="1160"/>
            <w:tcBorders>
              <w:top w:color="000000" w:sz="4" w:val="single"/>
              <w:left w:color="000000" w:sz="4" w:val="single"/>
              <w:bottom w:color="000000" w:sz="4" w:val="single"/>
              <w:right w:color="000000" w:sz="4" w:val="single"/>
            </w:tcBorders>
            <w:shd w:fill="auto" w:val="clear"/>
            <w:vAlign w:val="bottom"/>
          </w:tcPr>
          <w:p w14:paraId="AC3F0000">
            <w:pPr>
              <w:widowControl w:val="1"/>
              <w:ind/>
              <w:jc w:val="right"/>
              <w:rPr>
                <w:sz w:val="18"/>
              </w:rPr>
            </w:pPr>
            <w:r>
              <w:rPr>
                <w:sz w:val="18"/>
              </w:rPr>
              <w:t>5 670</w:t>
            </w:r>
          </w:p>
        </w:tc>
        <w:tc>
          <w:tcPr>
            <w:tcW w:type="dxa" w:w="1160"/>
            <w:tcBorders>
              <w:top w:color="000000" w:sz="4" w:val="single"/>
              <w:left w:color="000000" w:sz="4" w:val="single"/>
              <w:bottom w:color="000000" w:sz="4" w:val="single"/>
              <w:right w:color="000000" w:sz="4" w:val="single"/>
            </w:tcBorders>
            <w:shd w:fill="auto" w:val="clear"/>
            <w:vAlign w:val="bottom"/>
          </w:tcPr>
          <w:p w14:paraId="AD3F0000">
            <w:pPr>
              <w:widowControl w:val="1"/>
              <w:ind/>
              <w:jc w:val="right"/>
              <w:rPr>
                <w:sz w:val="18"/>
              </w:rPr>
            </w:pPr>
            <w:r>
              <w:rPr>
                <w:sz w:val="18"/>
              </w:rPr>
              <w:t>5 726</w:t>
            </w:r>
          </w:p>
        </w:tc>
        <w:tc>
          <w:tcPr>
            <w:tcW w:type="dxa" w:w="1620"/>
            <w:tcBorders>
              <w:top w:color="000000" w:sz="4" w:val="single"/>
              <w:left w:color="000000" w:sz="4" w:val="single"/>
              <w:bottom w:color="000000" w:sz="4" w:val="single"/>
              <w:right w:color="000000" w:sz="4" w:val="single"/>
            </w:tcBorders>
            <w:shd w:fill="auto" w:val="clear"/>
            <w:vAlign w:val="bottom"/>
          </w:tcPr>
          <w:p w14:paraId="AE3F0000">
            <w:pPr>
              <w:widowControl w:val="1"/>
              <w:ind/>
              <w:jc w:val="right"/>
              <w:rPr>
                <w:sz w:val="18"/>
              </w:rPr>
            </w:pPr>
            <w:r>
              <w:rPr>
                <w:sz w:val="18"/>
              </w:rPr>
              <w:t>10</w:t>
            </w:r>
          </w:p>
        </w:tc>
      </w:tr>
      <w:tr>
        <w:trPr>
          <w:trHeight w:hRule="atLeast" w:val="525"/>
        </w:trPr>
        <w:tc>
          <w:tcPr>
            <w:tcW w:type="dxa" w:w="4697"/>
            <w:tcBorders>
              <w:top w:color="000000" w:sz="4" w:val="single"/>
              <w:left w:color="000000" w:sz="4" w:val="single"/>
              <w:bottom w:color="000000" w:sz="4" w:val="single"/>
              <w:right w:color="000000" w:sz="4" w:val="single"/>
            </w:tcBorders>
            <w:shd w:fill="auto" w:val="clear"/>
          </w:tcPr>
          <w:p w14:paraId="AF3F0000">
            <w:pPr>
              <w:widowControl w:val="1"/>
              <w:ind w:firstLine="180"/>
              <w:rPr>
                <w:sz w:val="18"/>
              </w:rPr>
            </w:pPr>
            <w:r>
              <w:rPr>
                <w:sz w:val="18"/>
              </w:rPr>
              <w:t>Дир.МВПС   РЖД ОАО Центральная дирекция МВПС</w:t>
            </w:r>
          </w:p>
        </w:tc>
        <w:tc>
          <w:tcPr>
            <w:tcW w:type="dxa" w:w="1640"/>
            <w:tcBorders>
              <w:top w:color="000000" w:sz="4" w:val="single"/>
              <w:left w:color="000000" w:sz="4" w:val="single"/>
              <w:bottom w:color="000000" w:sz="4" w:val="single"/>
              <w:right w:color="000000" w:sz="4" w:val="single"/>
            </w:tcBorders>
            <w:shd w:fill="auto" w:val="clear"/>
            <w:vAlign w:val="bottom"/>
          </w:tcPr>
          <w:p w14:paraId="B03F0000">
            <w:pPr>
              <w:widowControl w:val="1"/>
              <w:ind/>
              <w:jc w:val="right"/>
              <w:rPr>
                <w:sz w:val="18"/>
              </w:rPr>
            </w:pPr>
            <w:r>
              <w:rPr>
                <w:sz w:val="18"/>
              </w:rPr>
              <w:t>555</w:t>
            </w:r>
          </w:p>
        </w:tc>
        <w:tc>
          <w:tcPr>
            <w:tcW w:type="dxa" w:w="1160"/>
            <w:tcBorders>
              <w:top w:color="000000" w:sz="4" w:val="single"/>
              <w:left w:color="000000" w:sz="4" w:val="single"/>
              <w:bottom w:color="000000" w:sz="4" w:val="single"/>
              <w:right w:color="000000" w:sz="4" w:val="single"/>
            </w:tcBorders>
            <w:shd w:fill="auto" w:val="clear"/>
            <w:vAlign w:val="bottom"/>
          </w:tcPr>
          <w:p w14:paraId="B13F0000">
            <w:pPr>
              <w:widowControl w:val="1"/>
              <w:ind/>
              <w:jc w:val="right"/>
              <w:rPr>
                <w:sz w:val="18"/>
              </w:rPr>
            </w:pPr>
            <w:r>
              <w:rPr>
                <w:sz w:val="18"/>
              </w:rPr>
              <w:t>48 361</w:t>
            </w:r>
          </w:p>
        </w:tc>
        <w:tc>
          <w:tcPr>
            <w:tcW w:type="dxa" w:w="1160"/>
            <w:tcBorders>
              <w:top w:color="000000" w:sz="4" w:val="single"/>
              <w:left w:color="000000" w:sz="4" w:val="single"/>
              <w:bottom w:color="000000" w:sz="4" w:val="single"/>
              <w:right w:color="000000" w:sz="4" w:val="single"/>
            </w:tcBorders>
            <w:shd w:fill="auto" w:val="clear"/>
            <w:vAlign w:val="bottom"/>
          </w:tcPr>
          <w:p w14:paraId="B23F0000">
            <w:pPr>
              <w:widowControl w:val="1"/>
              <w:ind/>
              <w:jc w:val="right"/>
              <w:rPr>
                <w:sz w:val="18"/>
              </w:rPr>
            </w:pPr>
            <w:r>
              <w:rPr>
                <w:sz w:val="18"/>
              </w:rPr>
              <w:t>47 186</w:t>
            </w:r>
          </w:p>
        </w:tc>
        <w:tc>
          <w:tcPr>
            <w:tcW w:type="dxa" w:w="1620"/>
            <w:tcBorders>
              <w:top w:color="000000" w:sz="4" w:val="single"/>
              <w:left w:color="000000" w:sz="4" w:val="single"/>
              <w:bottom w:color="000000" w:sz="4" w:val="single"/>
              <w:right w:color="000000" w:sz="4" w:val="single"/>
            </w:tcBorders>
            <w:shd w:fill="auto" w:val="clear"/>
            <w:vAlign w:val="bottom"/>
          </w:tcPr>
          <w:p w14:paraId="B33F0000">
            <w:pPr>
              <w:widowControl w:val="1"/>
              <w:ind/>
              <w:jc w:val="right"/>
              <w:rPr>
                <w:sz w:val="18"/>
              </w:rPr>
            </w:pPr>
            <w:r>
              <w:rPr>
                <w:sz w:val="18"/>
              </w:rPr>
              <w:t>1 730</w:t>
            </w:r>
          </w:p>
        </w:tc>
      </w:tr>
      <w:tr>
        <w:trPr>
          <w:trHeight w:hRule="atLeast" w:val="570"/>
        </w:trPr>
        <w:tc>
          <w:tcPr>
            <w:tcW w:type="dxa" w:w="4697"/>
            <w:tcBorders>
              <w:top w:color="000000" w:sz="4" w:val="single"/>
              <w:left w:color="000000" w:sz="4" w:val="single"/>
              <w:bottom w:color="000000" w:sz="4" w:val="single"/>
              <w:right w:color="000000" w:sz="4" w:val="single"/>
            </w:tcBorders>
            <w:shd w:fill="auto" w:val="clear"/>
          </w:tcPr>
          <w:p w14:paraId="B43F0000">
            <w:pPr>
              <w:widowControl w:val="1"/>
              <w:ind w:firstLine="180"/>
              <w:rPr>
                <w:sz w:val="18"/>
              </w:rPr>
            </w:pPr>
            <w:r>
              <w:rPr>
                <w:sz w:val="18"/>
              </w:rPr>
              <w:t>ДПО Центральная дирекция пассажирских обустройств РЖД ОАО</w:t>
            </w:r>
          </w:p>
        </w:tc>
        <w:tc>
          <w:tcPr>
            <w:tcW w:type="dxa" w:w="1640"/>
            <w:tcBorders>
              <w:top w:color="000000" w:sz="4" w:val="single"/>
              <w:left w:color="000000" w:sz="4" w:val="single"/>
              <w:bottom w:color="000000" w:sz="4" w:val="single"/>
              <w:right w:color="000000" w:sz="4" w:val="single"/>
            </w:tcBorders>
            <w:shd w:fill="auto" w:val="clear"/>
            <w:vAlign w:val="bottom"/>
          </w:tcPr>
          <w:p w14:paraId="B5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B63F0000">
            <w:pPr>
              <w:widowControl w:val="1"/>
              <w:ind/>
              <w:jc w:val="right"/>
              <w:rPr>
                <w:sz w:val="18"/>
              </w:rPr>
            </w:pPr>
            <w:r>
              <w:rPr>
                <w:sz w:val="18"/>
              </w:rPr>
              <w:t>4</w:t>
            </w:r>
          </w:p>
        </w:tc>
        <w:tc>
          <w:tcPr>
            <w:tcW w:type="dxa" w:w="1160"/>
            <w:tcBorders>
              <w:top w:color="000000" w:sz="4" w:val="single"/>
              <w:left w:color="000000" w:sz="4" w:val="single"/>
              <w:bottom w:color="000000" w:sz="4" w:val="single"/>
              <w:right w:color="000000" w:sz="4" w:val="single"/>
            </w:tcBorders>
            <w:shd w:fill="auto" w:val="clear"/>
            <w:vAlign w:val="bottom"/>
          </w:tcPr>
          <w:p w14:paraId="B73F0000">
            <w:pPr>
              <w:widowControl w:val="1"/>
              <w:ind/>
              <w:jc w:val="right"/>
              <w:rPr>
                <w:sz w:val="18"/>
              </w:rPr>
            </w:pPr>
            <w:r>
              <w:rPr>
                <w:sz w:val="18"/>
              </w:rPr>
              <w:t>4</w:t>
            </w:r>
          </w:p>
        </w:tc>
        <w:tc>
          <w:tcPr>
            <w:tcW w:type="dxa" w:w="1620"/>
            <w:tcBorders>
              <w:top w:color="000000" w:sz="4" w:val="single"/>
              <w:left w:color="000000" w:sz="4" w:val="single"/>
              <w:bottom w:color="000000" w:sz="4" w:val="single"/>
              <w:right w:color="000000" w:sz="4" w:val="single"/>
            </w:tcBorders>
            <w:shd w:fill="auto" w:val="clear"/>
            <w:vAlign w:val="bottom"/>
          </w:tcPr>
          <w:p w14:paraId="B8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B93F0000">
            <w:pPr>
              <w:widowControl w:val="1"/>
              <w:ind w:firstLine="180"/>
              <w:rPr>
                <w:sz w:val="18"/>
              </w:rPr>
            </w:pPr>
            <w:r>
              <w:rPr>
                <w:sz w:val="18"/>
              </w:rPr>
              <w:t>ДТ Красноярская дирекция тяги</w:t>
            </w:r>
          </w:p>
        </w:tc>
        <w:tc>
          <w:tcPr>
            <w:tcW w:type="dxa" w:w="1640"/>
            <w:tcBorders>
              <w:top w:color="000000" w:sz="4" w:val="single"/>
              <w:left w:color="000000" w:sz="4" w:val="single"/>
              <w:bottom w:color="000000" w:sz="4" w:val="single"/>
              <w:right w:color="000000" w:sz="4" w:val="single"/>
            </w:tcBorders>
            <w:shd w:fill="auto" w:val="clear"/>
            <w:vAlign w:val="bottom"/>
          </w:tcPr>
          <w:p w14:paraId="BA3F0000">
            <w:pPr>
              <w:widowControl w:val="1"/>
              <w:ind/>
              <w:jc w:val="right"/>
              <w:rPr>
                <w:sz w:val="18"/>
              </w:rPr>
            </w:pPr>
            <w:r>
              <w:rPr>
                <w:sz w:val="18"/>
              </w:rPr>
              <w:t>34</w:t>
            </w:r>
          </w:p>
        </w:tc>
        <w:tc>
          <w:tcPr>
            <w:tcW w:type="dxa" w:w="1160"/>
            <w:tcBorders>
              <w:top w:color="000000" w:sz="4" w:val="single"/>
              <w:left w:color="000000" w:sz="4" w:val="single"/>
              <w:bottom w:color="000000" w:sz="4" w:val="single"/>
              <w:right w:color="000000" w:sz="4" w:val="single"/>
            </w:tcBorders>
            <w:shd w:fill="auto" w:val="clear"/>
            <w:vAlign w:val="bottom"/>
          </w:tcPr>
          <w:p w14:paraId="BB3F0000">
            <w:pPr>
              <w:widowControl w:val="1"/>
              <w:ind/>
              <w:jc w:val="right"/>
              <w:rPr>
                <w:sz w:val="18"/>
              </w:rPr>
            </w:pPr>
            <w:r>
              <w:rPr>
                <w:sz w:val="18"/>
              </w:rPr>
              <w:t>8 751</w:t>
            </w:r>
          </w:p>
        </w:tc>
        <w:tc>
          <w:tcPr>
            <w:tcW w:type="dxa" w:w="1160"/>
            <w:tcBorders>
              <w:top w:color="000000" w:sz="4" w:val="single"/>
              <w:left w:color="000000" w:sz="4" w:val="single"/>
              <w:bottom w:color="000000" w:sz="4" w:val="single"/>
              <w:right w:color="000000" w:sz="4" w:val="single"/>
            </w:tcBorders>
            <w:shd w:fill="auto" w:val="clear"/>
            <w:vAlign w:val="bottom"/>
          </w:tcPr>
          <w:p w14:paraId="BC3F0000">
            <w:pPr>
              <w:widowControl w:val="1"/>
              <w:ind/>
              <w:jc w:val="right"/>
              <w:rPr>
                <w:sz w:val="18"/>
              </w:rPr>
            </w:pPr>
            <w:r>
              <w:rPr>
                <w:sz w:val="18"/>
              </w:rPr>
              <w:t>8 786</w:t>
            </w:r>
          </w:p>
        </w:tc>
        <w:tc>
          <w:tcPr>
            <w:tcW w:type="dxa" w:w="1620"/>
            <w:tcBorders>
              <w:top w:color="000000" w:sz="4" w:val="single"/>
              <w:left w:color="000000" w:sz="4" w:val="single"/>
              <w:bottom w:color="000000" w:sz="4" w:val="single"/>
              <w:right w:color="000000" w:sz="4" w:val="single"/>
            </w:tcBorders>
            <w:shd w:fill="auto" w:val="clear"/>
            <w:vAlign w:val="bottom"/>
          </w:tcPr>
          <w:p w14:paraId="BD3F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BE3F0000">
            <w:pPr>
              <w:widowControl w:val="1"/>
              <w:ind w:firstLine="180"/>
              <w:rPr>
                <w:sz w:val="18"/>
              </w:rPr>
            </w:pPr>
            <w:r>
              <w:rPr>
                <w:sz w:val="18"/>
              </w:rPr>
              <w:t>ИВЦ Красноярский информационно-вычислительный центр СП Главного вычислительного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BF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C03F0000">
            <w:pPr>
              <w:widowControl w:val="1"/>
              <w:ind/>
              <w:jc w:val="right"/>
              <w:rPr>
                <w:sz w:val="18"/>
              </w:rPr>
            </w:pPr>
            <w:r>
              <w:rPr>
                <w:sz w:val="18"/>
              </w:rPr>
              <w:t>256</w:t>
            </w:r>
          </w:p>
        </w:tc>
        <w:tc>
          <w:tcPr>
            <w:tcW w:type="dxa" w:w="1160"/>
            <w:tcBorders>
              <w:top w:color="000000" w:sz="4" w:val="single"/>
              <w:left w:color="000000" w:sz="4" w:val="single"/>
              <w:bottom w:color="000000" w:sz="4" w:val="single"/>
              <w:right w:color="000000" w:sz="4" w:val="single"/>
            </w:tcBorders>
            <w:shd w:fill="auto" w:val="clear"/>
            <w:vAlign w:val="bottom"/>
          </w:tcPr>
          <w:p w14:paraId="C13F0000">
            <w:pPr>
              <w:widowControl w:val="1"/>
              <w:ind/>
              <w:jc w:val="right"/>
              <w:rPr>
                <w:sz w:val="18"/>
              </w:rPr>
            </w:pPr>
            <w:r>
              <w:rPr>
                <w:sz w:val="18"/>
              </w:rPr>
              <w:t>256</w:t>
            </w:r>
          </w:p>
        </w:tc>
        <w:tc>
          <w:tcPr>
            <w:tcW w:type="dxa" w:w="1620"/>
            <w:tcBorders>
              <w:top w:color="000000" w:sz="4" w:val="single"/>
              <w:left w:color="000000" w:sz="4" w:val="single"/>
              <w:bottom w:color="000000" w:sz="4" w:val="single"/>
              <w:right w:color="000000" w:sz="4" w:val="single"/>
            </w:tcBorders>
            <w:shd w:fill="auto" w:val="clear"/>
            <w:vAlign w:val="bottom"/>
          </w:tcPr>
          <w:p w14:paraId="C23F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C33F0000">
            <w:pPr>
              <w:widowControl w:val="1"/>
              <w:ind w:firstLine="180"/>
              <w:rPr>
                <w:sz w:val="18"/>
              </w:rPr>
            </w:pPr>
            <w:r>
              <w:rPr>
                <w:sz w:val="18"/>
              </w:rPr>
              <w:t>ТЦФТО Красноярский территориальный центр фирменного обслуживания СП ЦФТО - филиала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C4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C53F0000">
            <w:pPr>
              <w:widowControl w:val="1"/>
              <w:ind/>
              <w:jc w:val="right"/>
              <w:rPr>
                <w:sz w:val="18"/>
              </w:rPr>
            </w:pPr>
            <w:r>
              <w:rPr>
                <w:sz w:val="18"/>
              </w:rPr>
              <w:t>48</w:t>
            </w:r>
          </w:p>
        </w:tc>
        <w:tc>
          <w:tcPr>
            <w:tcW w:type="dxa" w:w="1160"/>
            <w:tcBorders>
              <w:top w:color="000000" w:sz="4" w:val="single"/>
              <w:left w:color="000000" w:sz="4" w:val="single"/>
              <w:bottom w:color="000000" w:sz="4" w:val="single"/>
              <w:right w:color="000000" w:sz="4" w:val="single"/>
            </w:tcBorders>
            <w:shd w:fill="auto" w:val="clear"/>
            <w:vAlign w:val="bottom"/>
          </w:tcPr>
          <w:p w14:paraId="C63F0000">
            <w:pPr>
              <w:widowControl w:val="1"/>
              <w:ind/>
              <w:jc w:val="right"/>
              <w:rPr>
                <w:sz w:val="18"/>
              </w:rPr>
            </w:pPr>
            <w:r>
              <w:rPr>
                <w:sz w:val="18"/>
              </w:rPr>
              <w:t>37</w:t>
            </w:r>
          </w:p>
        </w:tc>
        <w:tc>
          <w:tcPr>
            <w:tcW w:type="dxa" w:w="1620"/>
            <w:tcBorders>
              <w:top w:color="000000" w:sz="4" w:val="single"/>
              <w:left w:color="000000" w:sz="4" w:val="single"/>
              <w:bottom w:color="000000" w:sz="4" w:val="single"/>
              <w:right w:color="000000" w:sz="4" w:val="single"/>
            </w:tcBorders>
            <w:shd w:fill="auto" w:val="clear"/>
            <w:vAlign w:val="bottom"/>
          </w:tcPr>
          <w:p w14:paraId="C73F0000">
            <w:pPr>
              <w:widowControl w:val="1"/>
              <w:ind/>
              <w:jc w:val="right"/>
              <w:rPr>
                <w:sz w:val="18"/>
              </w:rPr>
            </w:pPr>
            <w:r>
              <w:rPr>
                <w:sz w:val="18"/>
              </w:rPr>
              <w:t>10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vAlign w:val="bottom"/>
          </w:tcPr>
          <w:p w14:paraId="C83F0000">
            <w:pPr>
              <w:rPr>
                <w:b w:val="1"/>
                <w:sz w:val="18"/>
              </w:rPr>
            </w:pPr>
            <w:r>
              <w:rPr>
                <w:b w:val="1"/>
                <w:sz w:val="18"/>
              </w:rPr>
              <w:t xml:space="preserve">            ДЗО ОАО "РЖД":</w:t>
            </w:r>
          </w:p>
        </w:tc>
        <w:tc>
          <w:tcPr>
            <w:tcW w:type="dxa" w:w="1640"/>
            <w:tcBorders>
              <w:top w:color="000000" w:sz="4" w:val="single"/>
              <w:left w:color="000000" w:sz="4" w:val="single"/>
              <w:bottom w:color="000000" w:sz="4" w:val="single"/>
              <w:right w:color="000000" w:sz="4" w:val="single"/>
            </w:tcBorders>
            <w:shd w:fill="auto" w:val="clear"/>
            <w:vAlign w:val="bottom"/>
          </w:tcPr>
          <w:p w14:paraId="C93F0000">
            <w:pPr>
              <w:widowControl w:val="1"/>
              <w:ind/>
              <w:jc w:val="right"/>
              <w:rPr>
                <w:b w:val="1"/>
                <w:sz w:val="18"/>
              </w:rPr>
            </w:pPr>
            <w:r>
              <w:rPr>
                <w:b w:val="1"/>
                <w:sz w:val="18"/>
              </w:rPr>
              <w:t>607</w:t>
            </w:r>
          </w:p>
        </w:tc>
        <w:tc>
          <w:tcPr>
            <w:tcW w:type="dxa" w:w="1160"/>
            <w:tcBorders>
              <w:top w:color="000000" w:sz="4" w:val="single"/>
              <w:left w:color="000000" w:sz="4" w:val="single"/>
              <w:bottom w:color="000000" w:sz="4" w:val="single"/>
              <w:right w:color="000000" w:sz="4" w:val="single"/>
            </w:tcBorders>
            <w:shd w:fill="auto" w:val="clear"/>
            <w:vAlign w:val="bottom"/>
          </w:tcPr>
          <w:p w14:paraId="CA3F0000">
            <w:pPr>
              <w:widowControl w:val="1"/>
              <w:ind/>
              <w:jc w:val="right"/>
              <w:rPr>
                <w:b w:val="1"/>
                <w:sz w:val="18"/>
              </w:rPr>
            </w:pPr>
            <w:r>
              <w:rPr>
                <w:b w:val="1"/>
                <w:sz w:val="18"/>
              </w:rPr>
              <w:t>57 902</w:t>
            </w:r>
          </w:p>
        </w:tc>
        <w:tc>
          <w:tcPr>
            <w:tcW w:type="dxa" w:w="1160"/>
            <w:tcBorders>
              <w:top w:color="000000" w:sz="4" w:val="single"/>
              <w:left w:color="000000" w:sz="4" w:val="single"/>
              <w:bottom w:color="000000" w:sz="4" w:val="single"/>
              <w:right w:color="000000" w:sz="4" w:val="single"/>
            </w:tcBorders>
            <w:shd w:fill="auto" w:val="clear"/>
            <w:vAlign w:val="bottom"/>
          </w:tcPr>
          <w:p w14:paraId="CB3F0000">
            <w:pPr>
              <w:widowControl w:val="1"/>
              <w:ind/>
              <w:jc w:val="right"/>
              <w:rPr>
                <w:b w:val="1"/>
                <w:sz w:val="18"/>
              </w:rPr>
            </w:pPr>
            <w:r>
              <w:rPr>
                <w:b w:val="1"/>
                <w:sz w:val="18"/>
              </w:rPr>
              <w:t>57 055</w:t>
            </w:r>
          </w:p>
        </w:tc>
        <w:tc>
          <w:tcPr>
            <w:tcW w:type="dxa" w:w="1620"/>
            <w:tcBorders>
              <w:top w:color="000000" w:sz="4" w:val="single"/>
              <w:left w:color="000000" w:sz="4" w:val="single"/>
              <w:bottom w:color="000000" w:sz="4" w:val="single"/>
              <w:right w:color="000000" w:sz="4" w:val="single"/>
            </w:tcBorders>
            <w:shd w:fill="auto" w:val="clear"/>
            <w:vAlign w:val="bottom"/>
          </w:tcPr>
          <w:p w14:paraId="CC3F0000">
            <w:pPr>
              <w:widowControl w:val="1"/>
              <w:ind/>
              <w:jc w:val="right"/>
              <w:rPr>
                <w:b w:val="1"/>
                <w:sz w:val="18"/>
              </w:rPr>
            </w:pPr>
            <w:r>
              <w:rPr>
                <w:b w:val="1"/>
                <w:sz w:val="18"/>
              </w:rPr>
              <w:t>1 453</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CD3F0000">
            <w:pPr>
              <w:widowControl w:val="1"/>
              <w:ind w:firstLine="180"/>
              <w:rPr>
                <w:sz w:val="18"/>
              </w:rPr>
            </w:pPr>
            <w:r>
              <w:rPr>
                <w:sz w:val="18"/>
              </w:rPr>
              <w:t>ФПК АО Енисейский филиал-пассажирское вагонное депо Красноярск</w:t>
            </w:r>
          </w:p>
        </w:tc>
        <w:tc>
          <w:tcPr>
            <w:tcW w:type="dxa" w:w="1640"/>
            <w:tcBorders>
              <w:top w:color="000000" w:sz="4" w:val="single"/>
              <w:left w:color="000000" w:sz="4" w:val="single"/>
              <w:bottom w:color="000000" w:sz="4" w:val="single"/>
              <w:right w:color="000000" w:sz="4" w:val="single"/>
            </w:tcBorders>
            <w:shd w:fill="auto" w:val="clear"/>
            <w:vAlign w:val="bottom"/>
          </w:tcPr>
          <w:p w14:paraId="CE3F0000">
            <w:pPr>
              <w:widowControl w:val="1"/>
              <w:ind/>
              <w:jc w:val="right"/>
              <w:rPr>
                <w:sz w:val="18"/>
              </w:rPr>
            </w:pPr>
            <w:r>
              <w:rPr>
                <w:sz w:val="18"/>
              </w:rPr>
              <w:t>607</w:t>
            </w:r>
          </w:p>
        </w:tc>
        <w:tc>
          <w:tcPr>
            <w:tcW w:type="dxa" w:w="1160"/>
            <w:tcBorders>
              <w:top w:color="000000" w:sz="4" w:val="single"/>
              <w:left w:color="000000" w:sz="4" w:val="single"/>
              <w:bottom w:color="000000" w:sz="4" w:val="single"/>
              <w:right w:color="000000" w:sz="4" w:val="single"/>
            </w:tcBorders>
            <w:shd w:fill="auto" w:val="clear"/>
            <w:vAlign w:val="bottom"/>
          </w:tcPr>
          <w:p w14:paraId="CF3F0000">
            <w:pPr>
              <w:widowControl w:val="1"/>
              <w:ind/>
              <w:jc w:val="right"/>
              <w:rPr>
                <w:sz w:val="18"/>
              </w:rPr>
            </w:pPr>
            <w:r>
              <w:rPr>
                <w:sz w:val="18"/>
              </w:rPr>
              <w:t>57 902</w:t>
            </w:r>
          </w:p>
        </w:tc>
        <w:tc>
          <w:tcPr>
            <w:tcW w:type="dxa" w:w="1160"/>
            <w:tcBorders>
              <w:top w:color="000000" w:sz="4" w:val="single"/>
              <w:left w:color="000000" w:sz="4" w:val="single"/>
              <w:bottom w:color="000000" w:sz="4" w:val="single"/>
              <w:right w:color="000000" w:sz="4" w:val="single"/>
            </w:tcBorders>
            <w:shd w:fill="auto" w:val="clear"/>
            <w:vAlign w:val="bottom"/>
          </w:tcPr>
          <w:p w14:paraId="D03F0000">
            <w:pPr>
              <w:widowControl w:val="1"/>
              <w:ind/>
              <w:jc w:val="right"/>
              <w:rPr>
                <w:sz w:val="18"/>
              </w:rPr>
            </w:pPr>
            <w:r>
              <w:rPr>
                <w:sz w:val="18"/>
              </w:rPr>
              <w:t>57 055</w:t>
            </w:r>
          </w:p>
        </w:tc>
        <w:tc>
          <w:tcPr>
            <w:tcW w:type="dxa" w:w="1620"/>
            <w:tcBorders>
              <w:top w:color="000000" w:sz="4" w:val="single"/>
              <w:left w:color="000000" w:sz="4" w:val="single"/>
              <w:bottom w:color="000000" w:sz="4" w:val="single"/>
              <w:right w:color="000000" w:sz="4" w:val="single"/>
            </w:tcBorders>
            <w:shd w:fill="auto" w:val="clear"/>
            <w:vAlign w:val="bottom"/>
          </w:tcPr>
          <w:p w14:paraId="D13F0000">
            <w:pPr>
              <w:widowControl w:val="1"/>
              <w:ind/>
              <w:jc w:val="right"/>
              <w:rPr>
                <w:sz w:val="18"/>
              </w:rPr>
            </w:pPr>
            <w:r>
              <w:rPr>
                <w:sz w:val="18"/>
              </w:rPr>
              <w:t>1 453</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vAlign w:val="bottom"/>
          </w:tcPr>
          <w:p w14:paraId="D23F0000">
            <w:pPr>
              <w:rPr>
                <w:b w:val="1"/>
                <w:sz w:val="18"/>
              </w:rPr>
            </w:pPr>
            <w:r>
              <w:rPr>
                <w:b w:val="1"/>
                <w:sz w:val="18"/>
              </w:rPr>
              <w:t xml:space="preserve">            Прочие контрагенты:</w:t>
            </w:r>
          </w:p>
        </w:tc>
        <w:tc>
          <w:tcPr>
            <w:tcW w:type="dxa" w:w="1640"/>
            <w:tcBorders>
              <w:top w:color="000000" w:sz="4" w:val="single"/>
              <w:left w:color="000000" w:sz="4" w:val="single"/>
              <w:bottom w:color="000000" w:sz="4" w:val="single"/>
              <w:right w:color="000000" w:sz="4" w:val="single"/>
            </w:tcBorders>
            <w:shd w:fill="auto" w:val="clear"/>
            <w:vAlign w:val="bottom"/>
          </w:tcPr>
          <w:p w14:paraId="D33F0000">
            <w:pPr>
              <w:widowControl w:val="1"/>
              <w:ind/>
              <w:jc w:val="right"/>
              <w:rPr>
                <w:b w:val="1"/>
                <w:sz w:val="18"/>
              </w:rPr>
            </w:pPr>
            <w:r>
              <w:rPr>
                <w:b w:val="1"/>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D43F0000">
            <w:pPr>
              <w:widowControl w:val="1"/>
              <w:ind/>
              <w:jc w:val="right"/>
              <w:rPr>
                <w:b w:val="1"/>
                <w:sz w:val="18"/>
              </w:rPr>
            </w:pPr>
            <w:r>
              <w:rPr>
                <w:b w:val="1"/>
                <w:sz w:val="18"/>
              </w:rPr>
              <w:t>8 470</w:t>
            </w:r>
          </w:p>
        </w:tc>
        <w:tc>
          <w:tcPr>
            <w:tcW w:type="dxa" w:w="1160"/>
            <w:tcBorders>
              <w:top w:color="000000" w:sz="4" w:val="single"/>
              <w:left w:color="000000" w:sz="4" w:val="single"/>
              <w:bottom w:color="000000" w:sz="4" w:val="single"/>
              <w:right w:color="000000" w:sz="4" w:val="single"/>
            </w:tcBorders>
            <w:shd w:fill="auto" w:val="clear"/>
            <w:vAlign w:val="bottom"/>
          </w:tcPr>
          <w:p w14:paraId="D53F0000">
            <w:pPr>
              <w:widowControl w:val="1"/>
              <w:ind/>
              <w:jc w:val="right"/>
              <w:rPr>
                <w:b w:val="1"/>
                <w:sz w:val="18"/>
              </w:rPr>
            </w:pPr>
            <w:r>
              <w:rPr>
                <w:b w:val="1"/>
                <w:sz w:val="18"/>
              </w:rPr>
              <w:t>8 470</w:t>
            </w:r>
          </w:p>
        </w:tc>
        <w:tc>
          <w:tcPr>
            <w:tcW w:type="dxa" w:w="1620"/>
            <w:tcBorders>
              <w:top w:color="000000" w:sz="4" w:val="single"/>
              <w:left w:color="000000" w:sz="4" w:val="single"/>
              <w:bottom w:color="000000" w:sz="4" w:val="single"/>
              <w:right w:color="000000" w:sz="4" w:val="single"/>
            </w:tcBorders>
            <w:shd w:fill="auto" w:val="clear"/>
            <w:vAlign w:val="bottom"/>
          </w:tcPr>
          <w:p w14:paraId="D63F0000">
            <w:pPr>
              <w:widowControl w:val="1"/>
              <w:ind/>
              <w:jc w:val="right"/>
              <w:rPr>
                <w:b w:val="1"/>
                <w:sz w:val="18"/>
              </w:rPr>
            </w:pPr>
            <w:r>
              <w:rPr>
                <w:b w:val="1"/>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D73F0000">
            <w:pPr>
              <w:widowControl w:val="1"/>
              <w:ind w:firstLine="180"/>
              <w:rPr>
                <w:sz w:val="18"/>
              </w:rPr>
            </w:pPr>
            <w:r>
              <w:rPr>
                <w:sz w:val="18"/>
              </w:rPr>
              <w:t>АБАКАНЭНЕРГОСБЫТ ООО</w:t>
            </w:r>
          </w:p>
        </w:tc>
        <w:tc>
          <w:tcPr>
            <w:tcW w:type="dxa" w:w="1640"/>
            <w:tcBorders>
              <w:top w:color="000000" w:sz="4" w:val="single"/>
              <w:left w:color="000000" w:sz="4" w:val="single"/>
              <w:bottom w:color="000000" w:sz="4" w:val="single"/>
              <w:right w:color="000000" w:sz="4" w:val="single"/>
            </w:tcBorders>
            <w:shd w:fill="auto" w:val="clear"/>
            <w:vAlign w:val="bottom"/>
          </w:tcPr>
          <w:p w14:paraId="D8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D93F0000">
            <w:pPr>
              <w:widowControl w:val="1"/>
              <w:ind/>
              <w:jc w:val="right"/>
              <w:rPr>
                <w:sz w:val="18"/>
              </w:rPr>
            </w:pPr>
            <w:r>
              <w:rPr>
                <w:sz w:val="18"/>
              </w:rPr>
              <w:t>13</w:t>
            </w:r>
          </w:p>
        </w:tc>
        <w:tc>
          <w:tcPr>
            <w:tcW w:type="dxa" w:w="1160"/>
            <w:tcBorders>
              <w:top w:color="000000" w:sz="4" w:val="single"/>
              <w:left w:color="000000" w:sz="4" w:val="single"/>
              <w:bottom w:color="000000" w:sz="4" w:val="single"/>
              <w:right w:color="000000" w:sz="4" w:val="single"/>
            </w:tcBorders>
            <w:shd w:fill="auto" w:val="clear"/>
            <w:vAlign w:val="bottom"/>
          </w:tcPr>
          <w:p w14:paraId="DA3F0000">
            <w:pPr>
              <w:widowControl w:val="1"/>
              <w:ind/>
              <w:jc w:val="right"/>
              <w:rPr>
                <w:sz w:val="18"/>
              </w:rPr>
            </w:pPr>
            <w:r>
              <w:rPr>
                <w:sz w:val="18"/>
              </w:rPr>
              <w:t>13</w:t>
            </w:r>
          </w:p>
        </w:tc>
        <w:tc>
          <w:tcPr>
            <w:tcW w:type="dxa" w:w="1620"/>
            <w:tcBorders>
              <w:top w:color="000000" w:sz="4" w:val="single"/>
              <w:left w:color="000000" w:sz="4" w:val="single"/>
              <w:bottom w:color="000000" w:sz="4" w:val="single"/>
              <w:right w:color="000000" w:sz="4" w:val="single"/>
            </w:tcBorders>
            <w:shd w:fill="auto" w:val="clear"/>
            <w:vAlign w:val="bottom"/>
          </w:tcPr>
          <w:p w14:paraId="DB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DC3F0000">
            <w:pPr>
              <w:widowControl w:val="1"/>
              <w:ind w:firstLine="180"/>
              <w:rPr>
                <w:sz w:val="18"/>
              </w:rPr>
            </w:pPr>
            <w:r>
              <w:rPr>
                <w:sz w:val="18"/>
              </w:rPr>
              <w:t>Абсолют ООО</w:t>
            </w:r>
          </w:p>
        </w:tc>
        <w:tc>
          <w:tcPr>
            <w:tcW w:type="dxa" w:w="1640"/>
            <w:tcBorders>
              <w:top w:color="000000" w:sz="4" w:val="single"/>
              <w:left w:color="000000" w:sz="4" w:val="single"/>
              <w:bottom w:color="000000" w:sz="4" w:val="single"/>
              <w:right w:color="000000" w:sz="4" w:val="single"/>
            </w:tcBorders>
            <w:shd w:fill="auto" w:val="clear"/>
            <w:vAlign w:val="bottom"/>
          </w:tcPr>
          <w:p w14:paraId="DD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DE3F0000">
            <w:pPr>
              <w:widowControl w:val="1"/>
              <w:ind/>
              <w:jc w:val="right"/>
              <w:rPr>
                <w:sz w:val="18"/>
              </w:rPr>
            </w:pPr>
            <w:r>
              <w:rPr>
                <w:sz w:val="18"/>
              </w:rPr>
              <w:t>289</w:t>
            </w:r>
          </w:p>
        </w:tc>
        <w:tc>
          <w:tcPr>
            <w:tcW w:type="dxa" w:w="1160"/>
            <w:tcBorders>
              <w:top w:color="000000" w:sz="4" w:val="single"/>
              <w:left w:color="000000" w:sz="4" w:val="single"/>
              <w:bottom w:color="000000" w:sz="4" w:val="single"/>
              <w:right w:color="000000" w:sz="4" w:val="single"/>
            </w:tcBorders>
            <w:shd w:fill="auto" w:val="clear"/>
            <w:vAlign w:val="bottom"/>
          </w:tcPr>
          <w:p w14:paraId="DF3F0000">
            <w:pPr>
              <w:widowControl w:val="1"/>
              <w:ind/>
              <w:jc w:val="right"/>
              <w:rPr>
                <w:sz w:val="18"/>
              </w:rPr>
            </w:pPr>
            <w:r>
              <w:rPr>
                <w:sz w:val="18"/>
              </w:rPr>
              <w:t>289</w:t>
            </w:r>
          </w:p>
        </w:tc>
        <w:tc>
          <w:tcPr>
            <w:tcW w:type="dxa" w:w="1620"/>
            <w:tcBorders>
              <w:top w:color="000000" w:sz="4" w:val="single"/>
              <w:left w:color="000000" w:sz="4" w:val="single"/>
              <w:bottom w:color="000000" w:sz="4" w:val="single"/>
              <w:right w:color="000000" w:sz="4" w:val="single"/>
            </w:tcBorders>
            <w:shd w:fill="auto" w:val="clear"/>
            <w:vAlign w:val="bottom"/>
          </w:tcPr>
          <w:p w14:paraId="E0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E13F0000">
            <w:pPr>
              <w:widowControl w:val="1"/>
              <w:ind w:firstLine="180"/>
              <w:rPr>
                <w:sz w:val="18"/>
              </w:rPr>
            </w:pPr>
            <w:r>
              <w:rPr>
                <w:sz w:val="18"/>
              </w:rPr>
              <w:t>Автодорожно-транспортная газета ООО</w:t>
            </w:r>
          </w:p>
        </w:tc>
        <w:tc>
          <w:tcPr>
            <w:tcW w:type="dxa" w:w="1640"/>
            <w:tcBorders>
              <w:top w:color="000000" w:sz="4" w:val="single"/>
              <w:left w:color="000000" w:sz="4" w:val="single"/>
              <w:bottom w:color="000000" w:sz="4" w:val="single"/>
              <w:right w:color="000000" w:sz="4" w:val="single"/>
            </w:tcBorders>
            <w:shd w:fill="auto" w:val="clear"/>
            <w:vAlign w:val="bottom"/>
          </w:tcPr>
          <w:p w14:paraId="E2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E33F0000">
            <w:pPr>
              <w:widowControl w:val="1"/>
              <w:ind/>
              <w:jc w:val="right"/>
              <w:rPr>
                <w:sz w:val="18"/>
              </w:rPr>
            </w:pPr>
            <w:r>
              <w:rPr>
                <w:sz w:val="18"/>
              </w:rPr>
              <w:t>3</w:t>
            </w:r>
          </w:p>
        </w:tc>
        <w:tc>
          <w:tcPr>
            <w:tcW w:type="dxa" w:w="1160"/>
            <w:tcBorders>
              <w:top w:color="000000" w:sz="4" w:val="single"/>
              <w:left w:color="000000" w:sz="4" w:val="single"/>
              <w:bottom w:color="000000" w:sz="4" w:val="single"/>
              <w:right w:color="000000" w:sz="4" w:val="single"/>
            </w:tcBorders>
            <w:shd w:fill="auto" w:val="clear"/>
            <w:vAlign w:val="bottom"/>
          </w:tcPr>
          <w:p w14:paraId="E43F0000">
            <w:pPr>
              <w:widowControl w:val="1"/>
              <w:ind/>
              <w:jc w:val="right"/>
              <w:rPr>
                <w:sz w:val="18"/>
              </w:rPr>
            </w:pPr>
            <w:r>
              <w:rPr>
                <w:sz w:val="18"/>
              </w:rPr>
              <w:t>3</w:t>
            </w:r>
          </w:p>
        </w:tc>
        <w:tc>
          <w:tcPr>
            <w:tcW w:type="dxa" w:w="1620"/>
            <w:tcBorders>
              <w:top w:color="000000" w:sz="4" w:val="single"/>
              <w:left w:color="000000" w:sz="4" w:val="single"/>
              <w:bottom w:color="000000" w:sz="4" w:val="single"/>
              <w:right w:color="000000" w:sz="4" w:val="single"/>
            </w:tcBorders>
            <w:shd w:fill="auto" w:val="clear"/>
            <w:vAlign w:val="bottom"/>
          </w:tcPr>
          <w:p w14:paraId="E5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E63F0000">
            <w:pPr>
              <w:widowControl w:val="1"/>
              <w:ind w:firstLine="180"/>
              <w:rPr>
                <w:sz w:val="18"/>
              </w:rPr>
            </w:pPr>
            <w:r>
              <w:rPr>
                <w:sz w:val="18"/>
              </w:rPr>
              <w:t>Автотрейд-КСК ООО</w:t>
            </w:r>
          </w:p>
        </w:tc>
        <w:tc>
          <w:tcPr>
            <w:tcW w:type="dxa" w:w="1640"/>
            <w:tcBorders>
              <w:top w:color="000000" w:sz="4" w:val="single"/>
              <w:left w:color="000000" w:sz="4" w:val="single"/>
              <w:bottom w:color="000000" w:sz="4" w:val="single"/>
              <w:right w:color="000000" w:sz="4" w:val="single"/>
            </w:tcBorders>
            <w:shd w:fill="auto" w:val="clear"/>
            <w:vAlign w:val="bottom"/>
          </w:tcPr>
          <w:p w14:paraId="E7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E83F0000">
            <w:pPr>
              <w:widowControl w:val="1"/>
              <w:ind/>
              <w:jc w:val="right"/>
              <w:rPr>
                <w:sz w:val="18"/>
              </w:rPr>
            </w:pPr>
            <w:r>
              <w:rPr>
                <w:sz w:val="18"/>
              </w:rPr>
              <w:t>9</w:t>
            </w:r>
          </w:p>
        </w:tc>
        <w:tc>
          <w:tcPr>
            <w:tcW w:type="dxa" w:w="1160"/>
            <w:tcBorders>
              <w:top w:color="000000" w:sz="4" w:val="single"/>
              <w:left w:color="000000" w:sz="4" w:val="single"/>
              <w:bottom w:color="000000" w:sz="4" w:val="single"/>
              <w:right w:color="000000" w:sz="4" w:val="single"/>
            </w:tcBorders>
            <w:shd w:fill="auto" w:val="clear"/>
            <w:vAlign w:val="bottom"/>
          </w:tcPr>
          <w:p w14:paraId="E93F0000">
            <w:pPr>
              <w:widowControl w:val="1"/>
              <w:ind/>
              <w:jc w:val="right"/>
              <w:rPr>
                <w:sz w:val="18"/>
              </w:rPr>
            </w:pPr>
            <w:r>
              <w:rPr>
                <w:sz w:val="18"/>
              </w:rPr>
              <w:t>9</w:t>
            </w:r>
          </w:p>
        </w:tc>
        <w:tc>
          <w:tcPr>
            <w:tcW w:type="dxa" w:w="1620"/>
            <w:tcBorders>
              <w:top w:color="000000" w:sz="4" w:val="single"/>
              <w:left w:color="000000" w:sz="4" w:val="single"/>
              <w:bottom w:color="000000" w:sz="4" w:val="single"/>
              <w:right w:color="000000" w:sz="4" w:val="single"/>
            </w:tcBorders>
            <w:shd w:fill="auto" w:val="clear"/>
            <w:vAlign w:val="bottom"/>
          </w:tcPr>
          <w:p w14:paraId="EA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EB3F0000">
            <w:pPr>
              <w:widowControl w:val="1"/>
              <w:ind w:firstLine="180"/>
              <w:rPr>
                <w:sz w:val="18"/>
              </w:rPr>
            </w:pPr>
            <w:r>
              <w:rPr>
                <w:sz w:val="18"/>
              </w:rPr>
              <w:t>АВТОЦЕНТР КрасГАЗсервис АО</w:t>
            </w:r>
          </w:p>
        </w:tc>
        <w:tc>
          <w:tcPr>
            <w:tcW w:type="dxa" w:w="1640"/>
            <w:tcBorders>
              <w:top w:color="000000" w:sz="4" w:val="single"/>
              <w:left w:color="000000" w:sz="4" w:val="single"/>
              <w:bottom w:color="000000" w:sz="4" w:val="single"/>
              <w:right w:color="000000" w:sz="4" w:val="single"/>
            </w:tcBorders>
            <w:shd w:fill="auto" w:val="clear"/>
            <w:vAlign w:val="bottom"/>
          </w:tcPr>
          <w:p w14:paraId="EC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ED3F0000">
            <w:pPr>
              <w:widowControl w:val="1"/>
              <w:ind/>
              <w:jc w:val="right"/>
              <w:rPr>
                <w:sz w:val="18"/>
              </w:rPr>
            </w:pPr>
            <w:r>
              <w:rPr>
                <w:sz w:val="18"/>
              </w:rPr>
              <w:t>6</w:t>
            </w:r>
          </w:p>
        </w:tc>
        <w:tc>
          <w:tcPr>
            <w:tcW w:type="dxa" w:w="1160"/>
            <w:tcBorders>
              <w:top w:color="000000" w:sz="4" w:val="single"/>
              <w:left w:color="000000" w:sz="4" w:val="single"/>
              <w:bottom w:color="000000" w:sz="4" w:val="single"/>
              <w:right w:color="000000" w:sz="4" w:val="single"/>
            </w:tcBorders>
            <w:shd w:fill="auto" w:val="clear"/>
            <w:vAlign w:val="bottom"/>
          </w:tcPr>
          <w:p w14:paraId="EE3F0000">
            <w:pPr>
              <w:widowControl w:val="1"/>
              <w:ind/>
              <w:jc w:val="right"/>
              <w:rPr>
                <w:sz w:val="18"/>
              </w:rPr>
            </w:pPr>
            <w:r>
              <w:rPr>
                <w:sz w:val="18"/>
              </w:rPr>
              <w:t>6</w:t>
            </w:r>
          </w:p>
        </w:tc>
        <w:tc>
          <w:tcPr>
            <w:tcW w:type="dxa" w:w="1620"/>
            <w:tcBorders>
              <w:top w:color="000000" w:sz="4" w:val="single"/>
              <w:left w:color="000000" w:sz="4" w:val="single"/>
              <w:bottom w:color="000000" w:sz="4" w:val="single"/>
              <w:right w:color="000000" w:sz="4" w:val="single"/>
            </w:tcBorders>
            <w:shd w:fill="auto" w:val="clear"/>
            <w:vAlign w:val="bottom"/>
          </w:tcPr>
          <w:p w14:paraId="EF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F03F0000">
            <w:pPr>
              <w:widowControl w:val="1"/>
              <w:ind w:firstLine="180"/>
              <w:rPr>
                <w:sz w:val="18"/>
              </w:rPr>
            </w:pPr>
            <w:r>
              <w:rPr>
                <w:sz w:val="18"/>
              </w:rPr>
              <w:t>АК Енисейлес АО</w:t>
            </w:r>
          </w:p>
        </w:tc>
        <w:tc>
          <w:tcPr>
            <w:tcW w:type="dxa" w:w="1640"/>
            <w:tcBorders>
              <w:top w:color="000000" w:sz="4" w:val="single"/>
              <w:left w:color="000000" w:sz="4" w:val="single"/>
              <w:bottom w:color="000000" w:sz="4" w:val="single"/>
              <w:right w:color="000000" w:sz="4" w:val="single"/>
            </w:tcBorders>
            <w:shd w:fill="auto" w:val="clear"/>
            <w:vAlign w:val="bottom"/>
          </w:tcPr>
          <w:p w14:paraId="F1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F23F0000">
            <w:pPr>
              <w:widowControl w:val="1"/>
              <w:ind/>
              <w:jc w:val="right"/>
              <w:rPr>
                <w:sz w:val="18"/>
              </w:rPr>
            </w:pPr>
            <w:r>
              <w:rPr>
                <w:sz w:val="18"/>
              </w:rPr>
              <w:t>1 840</w:t>
            </w:r>
          </w:p>
        </w:tc>
        <w:tc>
          <w:tcPr>
            <w:tcW w:type="dxa" w:w="1160"/>
            <w:tcBorders>
              <w:top w:color="000000" w:sz="4" w:val="single"/>
              <w:left w:color="000000" w:sz="4" w:val="single"/>
              <w:bottom w:color="000000" w:sz="4" w:val="single"/>
              <w:right w:color="000000" w:sz="4" w:val="single"/>
            </w:tcBorders>
            <w:shd w:fill="auto" w:val="clear"/>
            <w:vAlign w:val="bottom"/>
          </w:tcPr>
          <w:p w14:paraId="F33F0000">
            <w:pPr>
              <w:widowControl w:val="1"/>
              <w:ind/>
              <w:jc w:val="right"/>
              <w:rPr>
                <w:sz w:val="18"/>
              </w:rPr>
            </w:pPr>
            <w:r>
              <w:rPr>
                <w:sz w:val="18"/>
              </w:rPr>
              <w:t>1 840</w:t>
            </w:r>
          </w:p>
        </w:tc>
        <w:tc>
          <w:tcPr>
            <w:tcW w:type="dxa" w:w="1620"/>
            <w:tcBorders>
              <w:top w:color="000000" w:sz="4" w:val="single"/>
              <w:left w:color="000000" w:sz="4" w:val="single"/>
              <w:bottom w:color="000000" w:sz="4" w:val="single"/>
              <w:right w:color="000000" w:sz="4" w:val="single"/>
            </w:tcBorders>
            <w:shd w:fill="auto" w:val="clear"/>
            <w:vAlign w:val="bottom"/>
          </w:tcPr>
          <w:p w14:paraId="F4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F53F0000">
            <w:pPr>
              <w:widowControl w:val="1"/>
              <w:ind w:firstLine="180"/>
              <w:rPr>
                <w:sz w:val="18"/>
              </w:rPr>
            </w:pPr>
            <w:r>
              <w:rPr>
                <w:sz w:val="18"/>
              </w:rPr>
              <w:t>АЦ-АВАНГАРД ООО</w:t>
            </w:r>
          </w:p>
        </w:tc>
        <w:tc>
          <w:tcPr>
            <w:tcW w:type="dxa" w:w="1640"/>
            <w:tcBorders>
              <w:top w:color="000000" w:sz="4" w:val="single"/>
              <w:left w:color="000000" w:sz="4" w:val="single"/>
              <w:bottom w:color="000000" w:sz="4" w:val="single"/>
              <w:right w:color="000000" w:sz="4" w:val="single"/>
            </w:tcBorders>
            <w:shd w:fill="auto" w:val="clear"/>
            <w:vAlign w:val="bottom"/>
          </w:tcPr>
          <w:p w14:paraId="F6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F73F0000">
            <w:pPr>
              <w:widowControl w:val="1"/>
              <w:ind/>
              <w:jc w:val="right"/>
              <w:rPr>
                <w:sz w:val="18"/>
              </w:rPr>
            </w:pPr>
            <w:r>
              <w:rPr>
                <w:sz w:val="18"/>
              </w:rPr>
              <w:t>2</w:t>
            </w:r>
          </w:p>
        </w:tc>
        <w:tc>
          <w:tcPr>
            <w:tcW w:type="dxa" w:w="1160"/>
            <w:tcBorders>
              <w:top w:color="000000" w:sz="4" w:val="single"/>
              <w:left w:color="000000" w:sz="4" w:val="single"/>
              <w:bottom w:color="000000" w:sz="4" w:val="single"/>
              <w:right w:color="000000" w:sz="4" w:val="single"/>
            </w:tcBorders>
            <w:shd w:fill="auto" w:val="clear"/>
            <w:vAlign w:val="bottom"/>
          </w:tcPr>
          <w:p w14:paraId="F83F0000">
            <w:pPr>
              <w:widowControl w:val="1"/>
              <w:ind/>
              <w:jc w:val="right"/>
              <w:rPr>
                <w:sz w:val="18"/>
              </w:rPr>
            </w:pPr>
            <w:r>
              <w:rPr>
                <w:sz w:val="18"/>
              </w:rPr>
              <w:t>2</w:t>
            </w:r>
          </w:p>
        </w:tc>
        <w:tc>
          <w:tcPr>
            <w:tcW w:type="dxa" w:w="1620"/>
            <w:tcBorders>
              <w:top w:color="000000" w:sz="4" w:val="single"/>
              <w:left w:color="000000" w:sz="4" w:val="single"/>
              <w:bottom w:color="000000" w:sz="4" w:val="single"/>
              <w:right w:color="000000" w:sz="4" w:val="single"/>
            </w:tcBorders>
            <w:shd w:fill="auto" w:val="clear"/>
            <w:vAlign w:val="bottom"/>
          </w:tcPr>
          <w:p w14:paraId="F9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FA3F0000">
            <w:pPr>
              <w:widowControl w:val="1"/>
              <w:ind w:firstLine="180"/>
              <w:rPr>
                <w:sz w:val="18"/>
              </w:rPr>
            </w:pPr>
            <w:r>
              <w:rPr>
                <w:sz w:val="18"/>
              </w:rPr>
              <w:t>БАС52 ООО</w:t>
            </w:r>
          </w:p>
        </w:tc>
        <w:tc>
          <w:tcPr>
            <w:tcW w:type="dxa" w:w="1640"/>
            <w:tcBorders>
              <w:top w:color="000000" w:sz="4" w:val="single"/>
              <w:left w:color="000000" w:sz="4" w:val="single"/>
              <w:bottom w:color="000000" w:sz="4" w:val="single"/>
              <w:right w:color="000000" w:sz="4" w:val="single"/>
            </w:tcBorders>
            <w:shd w:fill="auto" w:val="clear"/>
            <w:vAlign w:val="bottom"/>
          </w:tcPr>
          <w:p w14:paraId="FB3F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FC3F0000">
            <w:pPr>
              <w:widowControl w:val="1"/>
              <w:ind/>
              <w:jc w:val="right"/>
              <w:rPr>
                <w:sz w:val="18"/>
              </w:rPr>
            </w:pPr>
            <w:r>
              <w:rPr>
                <w:sz w:val="18"/>
              </w:rPr>
              <w:t>9</w:t>
            </w:r>
          </w:p>
        </w:tc>
        <w:tc>
          <w:tcPr>
            <w:tcW w:type="dxa" w:w="1160"/>
            <w:tcBorders>
              <w:top w:color="000000" w:sz="4" w:val="single"/>
              <w:left w:color="000000" w:sz="4" w:val="single"/>
              <w:bottom w:color="000000" w:sz="4" w:val="single"/>
              <w:right w:color="000000" w:sz="4" w:val="single"/>
            </w:tcBorders>
            <w:shd w:fill="auto" w:val="clear"/>
            <w:vAlign w:val="bottom"/>
          </w:tcPr>
          <w:p w14:paraId="FD3F0000">
            <w:pPr>
              <w:widowControl w:val="1"/>
              <w:ind/>
              <w:jc w:val="right"/>
              <w:rPr>
                <w:sz w:val="18"/>
              </w:rPr>
            </w:pPr>
            <w:r>
              <w:rPr>
                <w:sz w:val="18"/>
              </w:rPr>
              <w:t>9</w:t>
            </w:r>
          </w:p>
        </w:tc>
        <w:tc>
          <w:tcPr>
            <w:tcW w:type="dxa" w:w="1620"/>
            <w:tcBorders>
              <w:top w:color="000000" w:sz="4" w:val="single"/>
              <w:left w:color="000000" w:sz="4" w:val="single"/>
              <w:bottom w:color="000000" w:sz="4" w:val="single"/>
              <w:right w:color="000000" w:sz="4" w:val="single"/>
            </w:tcBorders>
            <w:shd w:fill="auto" w:val="clear"/>
            <w:vAlign w:val="bottom"/>
          </w:tcPr>
          <w:p w14:paraId="FE3F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FF3F0000">
            <w:pPr>
              <w:widowControl w:val="1"/>
              <w:ind w:firstLine="180"/>
              <w:rPr>
                <w:sz w:val="18"/>
              </w:rPr>
            </w:pPr>
            <w:r>
              <w:rPr>
                <w:sz w:val="18"/>
              </w:rPr>
              <w:t>Бастион-Канск 2 ООО</w:t>
            </w:r>
          </w:p>
        </w:tc>
        <w:tc>
          <w:tcPr>
            <w:tcW w:type="dxa" w:w="1640"/>
            <w:tcBorders>
              <w:top w:color="000000" w:sz="4" w:val="single"/>
              <w:left w:color="000000" w:sz="4" w:val="single"/>
              <w:bottom w:color="000000" w:sz="4" w:val="single"/>
              <w:right w:color="000000" w:sz="4" w:val="single"/>
            </w:tcBorders>
            <w:shd w:fill="auto" w:val="clear"/>
            <w:vAlign w:val="bottom"/>
          </w:tcPr>
          <w:p w14:paraId="00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01400000">
            <w:pPr>
              <w:widowControl w:val="1"/>
              <w:ind/>
              <w:jc w:val="right"/>
              <w:rPr>
                <w:sz w:val="18"/>
              </w:rPr>
            </w:pPr>
            <w:r>
              <w:rPr>
                <w:sz w:val="18"/>
              </w:rPr>
              <w:t>247</w:t>
            </w:r>
          </w:p>
        </w:tc>
        <w:tc>
          <w:tcPr>
            <w:tcW w:type="dxa" w:w="1160"/>
            <w:tcBorders>
              <w:top w:color="000000" w:sz="4" w:val="single"/>
              <w:left w:color="000000" w:sz="4" w:val="single"/>
              <w:bottom w:color="000000" w:sz="4" w:val="single"/>
              <w:right w:color="000000" w:sz="4" w:val="single"/>
            </w:tcBorders>
            <w:shd w:fill="auto" w:val="clear"/>
            <w:vAlign w:val="bottom"/>
          </w:tcPr>
          <w:p w14:paraId="02400000">
            <w:pPr>
              <w:widowControl w:val="1"/>
              <w:ind/>
              <w:jc w:val="right"/>
              <w:rPr>
                <w:sz w:val="18"/>
              </w:rPr>
            </w:pPr>
            <w:r>
              <w:rPr>
                <w:sz w:val="18"/>
              </w:rPr>
              <w:t>247</w:t>
            </w:r>
          </w:p>
        </w:tc>
        <w:tc>
          <w:tcPr>
            <w:tcW w:type="dxa" w:w="1620"/>
            <w:tcBorders>
              <w:top w:color="000000" w:sz="4" w:val="single"/>
              <w:left w:color="000000" w:sz="4" w:val="single"/>
              <w:bottom w:color="000000" w:sz="4" w:val="single"/>
              <w:right w:color="000000" w:sz="4" w:val="single"/>
            </w:tcBorders>
            <w:shd w:fill="auto" w:val="clear"/>
            <w:vAlign w:val="bottom"/>
          </w:tcPr>
          <w:p w14:paraId="03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04400000">
            <w:pPr>
              <w:widowControl w:val="1"/>
              <w:ind w:firstLine="180"/>
              <w:rPr>
                <w:sz w:val="18"/>
              </w:rPr>
            </w:pPr>
            <w:r>
              <w:rPr>
                <w:sz w:val="18"/>
              </w:rPr>
              <w:t>Белявцев Александр Александрович</w:t>
            </w:r>
          </w:p>
        </w:tc>
        <w:tc>
          <w:tcPr>
            <w:tcW w:type="dxa" w:w="1640"/>
            <w:tcBorders>
              <w:top w:color="000000" w:sz="4" w:val="single"/>
              <w:left w:color="000000" w:sz="4" w:val="single"/>
              <w:bottom w:color="000000" w:sz="4" w:val="single"/>
              <w:right w:color="000000" w:sz="4" w:val="single"/>
            </w:tcBorders>
            <w:shd w:fill="auto" w:val="clear"/>
            <w:vAlign w:val="bottom"/>
          </w:tcPr>
          <w:p w14:paraId="05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06400000">
            <w:pPr>
              <w:widowControl w:val="1"/>
              <w:ind/>
              <w:jc w:val="right"/>
              <w:rPr>
                <w:sz w:val="18"/>
              </w:rPr>
            </w:pPr>
            <w:r>
              <w:rPr>
                <w:sz w:val="18"/>
              </w:rPr>
              <w:t>31</w:t>
            </w:r>
          </w:p>
        </w:tc>
        <w:tc>
          <w:tcPr>
            <w:tcW w:type="dxa" w:w="1160"/>
            <w:tcBorders>
              <w:top w:color="000000" w:sz="4" w:val="single"/>
              <w:left w:color="000000" w:sz="4" w:val="single"/>
              <w:bottom w:color="000000" w:sz="4" w:val="single"/>
              <w:right w:color="000000" w:sz="4" w:val="single"/>
            </w:tcBorders>
            <w:shd w:fill="auto" w:val="clear"/>
            <w:vAlign w:val="bottom"/>
          </w:tcPr>
          <w:p w14:paraId="07400000">
            <w:pPr>
              <w:widowControl w:val="1"/>
              <w:ind/>
              <w:jc w:val="right"/>
              <w:rPr>
                <w:sz w:val="18"/>
              </w:rPr>
            </w:pPr>
            <w:r>
              <w:rPr>
                <w:sz w:val="18"/>
              </w:rPr>
              <w:t>31</w:t>
            </w:r>
          </w:p>
        </w:tc>
        <w:tc>
          <w:tcPr>
            <w:tcW w:type="dxa" w:w="1620"/>
            <w:tcBorders>
              <w:top w:color="000000" w:sz="4" w:val="single"/>
              <w:left w:color="000000" w:sz="4" w:val="single"/>
              <w:bottom w:color="000000" w:sz="4" w:val="single"/>
              <w:right w:color="000000" w:sz="4" w:val="single"/>
            </w:tcBorders>
            <w:shd w:fill="auto" w:val="clear"/>
            <w:vAlign w:val="bottom"/>
          </w:tcPr>
          <w:p w14:paraId="08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09400000">
            <w:pPr>
              <w:widowControl w:val="1"/>
              <w:ind w:firstLine="180"/>
              <w:rPr>
                <w:sz w:val="18"/>
              </w:rPr>
            </w:pPr>
            <w:r>
              <w:rPr>
                <w:sz w:val="18"/>
              </w:rPr>
              <w:t>В КОНТАКТЕ ООО</w:t>
            </w:r>
          </w:p>
        </w:tc>
        <w:tc>
          <w:tcPr>
            <w:tcW w:type="dxa" w:w="1640"/>
            <w:tcBorders>
              <w:top w:color="000000" w:sz="4" w:val="single"/>
              <w:left w:color="000000" w:sz="4" w:val="single"/>
              <w:bottom w:color="000000" w:sz="4" w:val="single"/>
              <w:right w:color="000000" w:sz="4" w:val="single"/>
            </w:tcBorders>
            <w:shd w:fill="auto" w:val="clear"/>
            <w:vAlign w:val="bottom"/>
          </w:tcPr>
          <w:p w14:paraId="0A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0B400000">
            <w:pPr>
              <w:widowControl w:val="1"/>
              <w:ind/>
              <w:jc w:val="right"/>
              <w:rPr>
                <w:sz w:val="18"/>
              </w:rPr>
            </w:pPr>
            <w:r>
              <w:rPr>
                <w:sz w:val="18"/>
              </w:rPr>
              <w:t>1</w:t>
            </w:r>
          </w:p>
        </w:tc>
        <w:tc>
          <w:tcPr>
            <w:tcW w:type="dxa" w:w="1160"/>
            <w:tcBorders>
              <w:top w:color="000000" w:sz="4" w:val="single"/>
              <w:left w:color="000000" w:sz="4" w:val="single"/>
              <w:bottom w:color="000000" w:sz="4" w:val="single"/>
              <w:right w:color="000000" w:sz="4" w:val="single"/>
            </w:tcBorders>
            <w:shd w:fill="auto" w:val="clear"/>
            <w:vAlign w:val="bottom"/>
          </w:tcPr>
          <w:p w14:paraId="0C400000">
            <w:pPr>
              <w:widowControl w:val="1"/>
              <w:ind/>
              <w:jc w:val="right"/>
              <w:rPr>
                <w:sz w:val="18"/>
              </w:rPr>
            </w:pPr>
            <w:r>
              <w:rPr>
                <w:sz w:val="18"/>
              </w:rPr>
              <w:t>1</w:t>
            </w:r>
          </w:p>
        </w:tc>
        <w:tc>
          <w:tcPr>
            <w:tcW w:type="dxa" w:w="1620"/>
            <w:tcBorders>
              <w:top w:color="000000" w:sz="4" w:val="single"/>
              <w:left w:color="000000" w:sz="4" w:val="single"/>
              <w:bottom w:color="000000" w:sz="4" w:val="single"/>
              <w:right w:color="000000" w:sz="4" w:val="single"/>
            </w:tcBorders>
            <w:shd w:fill="auto" w:val="clear"/>
            <w:vAlign w:val="bottom"/>
          </w:tcPr>
          <w:p w14:paraId="0D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0E400000">
            <w:pPr>
              <w:widowControl w:val="1"/>
              <w:ind w:firstLine="180"/>
              <w:rPr>
                <w:sz w:val="18"/>
              </w:rPr>
            </w:pPr>
            <w:r>
              <w:rPr>
                <w:sz w:val="18"/>
              </w:rPr>
              <w:t>ВИТМА-С ООО</w:t>
            </w:r>
          </w:p>
        </w:tc>
        <w:tc>
          <w:tcPr>
            <w:tcW w:type="dxa" w:w="1640"/>
            <w:tcBorders>
              <w:top w:color="000000" w:sz="4" w:val="single"/>
              <w:left w:color="000000" w:sz="4" w:val="single"/>
              <w:bottom w:color="000000" w:sz="4" w:val="single"/>
              <w:right w:color="000000" w:sz="4" w:val="single"/>
            </w:tcBorders>
            <w:shd w:fill="auto" w:val="clear"/>
            <w:vAlign w:val="bottom"/>
          </w:tcPr>
          <w:p w14:paraId="0F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10400000">
            <w:pPr>
              <w:widowControl w:val="1"/>
              <w:ind/>
              <w:jc w:val="right"/>
              <w:rPr>
                <w:sz w:val="18"/>
              </w:rPr>
            </w:pPr>
            <w:r>
              <w:rPr>
                <w:sz w:val="18"/>
              </w:rPr>
              <w:t>27</w:t>
            </w:r>
          </w:p>
        </w:tc>
        <w:tc>
          <w:tcPr>
            <w:tcW w:type="dxa" w:w="1160"/>
            <w:tcBorders>
              <w:top w:color="000000" w:sz="4" w:val="single"/>
              <w:left w:color="000000" w:sz="4" w:val="single"/>
              <w:bottom w:color="000000" w:sz="4" w:val="single"/>
              <w:right w:color="000000" w:sz="4" w:val="single"/>
            </w:tcBorders>
            <w:shd w:fill="auto" w:val="clear"/>
            <w:vAlign w:val="bottom"/>
          </w:tcPr>
          <w:p w14:paraId="11400000">
            <w:pPr>
              <w:widowControl w:val="1"/>
              <w:ind/>
              <w:jc w:val="right"/>
              <w:rPr>
                <w:sz w:val="18"/>
              </w:rPr>
            </w:pPr>
            <w:r>
              <w:rPr>
                <w:sz w:val="18"/>
              </w:rPr>
              <w:t>27</w:t>
            </w:r>
          </w:p>
        </w:tc>
        <w:tc>
          <w:tcPr>
            <w:tcW w:type="dxa" w:w="1620"/>
            <w:tcBorders>
              <w:top w:color="000000" w:sz="4" w:val="single"/>
              <w:left w:color="000000" w:sz="4" w:val="single"/>
              <w:bottom w:color="000000" w:sz="4" w:val="single"/>
              <w:right w:color="000000" w:sz="4" w:val="single"/>
            </w:tcBorders>
            <w:shd w:fill="auto" w:val="clear"/>
            <w:vAlign w:val="bottom"/>
          </w:tcPr>
          <w:p w14:paraId="12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13400000">
            <w:pPr>
              <w:widowControl w:val="1"/>
              <w:ind w:firstLine="180"/>
              <w:rPr>
                <w:sz w:val="18"/>
              </w:rPr>
            </w:pPr>
            <w:r>
              <w:rPr>
                <w:sz w:val="18"/>
              </w:rPr>
              <w:t>ВОДОЛЕЙ - СИБИРЬ ООО</w:t>
            </w:r>
          </w:p>
        </w:tc>
        <w:tc>
          <w:tcPr>
            <w:tcW w:type="dxa" w:w="1640"/>
            <w:tcBorders>
              <w:top w:color="000000" w:sz="4" w:val="single"/>
              <w:left w:color="000000" w:sz="4" w:val="single"/>
              <w:bottom w:color="000000" w:sz="4" w:val="single"/>
              <w:right w:color="000000" w:sz="4" w:val="single"/>
            </w:tcBorders>
            <w:shd w:fill="auto" w:val="clear"/>
            <w:vAlign w:val="bottom"/>
          </w:tcPr>
          <w:p w14:paraId="14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15400000">
            <w:pPr>
              <w:widowControl w:val="1"/>
              <w:ind/>
              <w:jc w:val="right"/>
              <w:rPr>
                <w:sz w:val="18"/>
              </w:rPr>
            </w:pPr>
            <w:r>
              <w:rPr>
                <w:sz w:val="18"/>
              </w:rPr>
              <w:t>13</w:t>
            </w:r>
          </w:p>
        </w:tc>
        <w:tc>
          <w:tcPr>
            <w:tcW w:type="dxa" w:w="1160"/>
            <w:tcBorders>
              <w:top w:color="000000" w:sz="4" w:val="single"/>
              <w:left w:color="000000" w:sz="4" w:val="single"/>
              <w:bottom w:color="000000" w:sz="4" w:val="single"/>
              <w:right w:color="000000" w:sz="4" w:val="single"/>
            </w:tcBorders>
            <w:shd w:fill="auto" w:val="clear"/>
            <w:vAlign w:val="bottom"/>
          </w:tcPr>
          <w:p w14:paraId="16400000">
            <w:pPr>
              <w:widowControl w:val="1"/>
              <w:ind/>
              <w:jc w:val="right"/>
              <w:rPr>
                <w:sz w:val="18"/>
              </w:rPr>
            </w:pPr>
            <w:r>
              <w:rPr>
                <w:sz w:val="18"/>
              </w:rPr>
              <w:t>13</w:t>
            </w:r>
          </w:p>
        </w:tc>
        <w:tc>
          <w:tcPr>
            <w:tcW w:type="dxa" w:w="1620"/>
            <w:tcBorders>
              <w:top w:color="000000" w:sz="4" w:val="single"/>
              <w:left w:color="000000" w:sz="4" w:val="single"/>
              <w:bottom w:color="000000" w:sz="4" w:val="single"/>
              <w:right w:color="000000" w:sz="4" w:val="single"/>
            </w:tcBorders>
            <w:shd w:fill="auto" w:val="clear"/>
            <w:vAlign w:val="bottom"/>
          </w:tcPr>
          <w:p w14:paraId="17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18400000">
            <w:pPr>
              <w:widowControl w:val="1"/>
              <w:ind w:firstLine="180"/>
              <w:rPr>
                <w:sz w:val="18"/>
              </w:rPr>
            </w:pPr>
            <w:r>
              <w:rPr>
                <w:sz w:val="18"/>
              </w:rPr>
              <w:t>ВымпелКом ПАО</w:t>
            </w:r>
          </w:p>
        </w:tc>
        <w:tc>
          <w:tcPr>
            <w:tcW w:type="dxa" w:w="1640"/>
            <w:tcBorders>
              <w:top w:color="000000" w:sz="4" w:val="single"/>
              <w:left w:color="000000" w:sz="4" w:val="single"/>
              <w:bottom w:color="000000" w:sz="4" w:val="single"/>
              <w:right w:color="000000" w:sz="4" w:val="single"/>
            </w:tcBorders>
            <w:shd w:fill="auto" w:val="clear"/>
            <w:vAlign w:val="bottom"/>
          </w:tcPr>
          <w:p w14:paraId="19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1A400000">
            <w:pPr>
              <w:widowControl w:val="1"/>
              <w:ind/>
              <w:jc w:val="right"/>
              <w:rPr>
                <w:sz w:val="18"/>
              </w:rPr>
            </w:pPr>
            <w:r>
              <w:rPr>
                <w:sz w:val="18"/>
              </w:rPr>
              <w:t>1</w:t>
            </w:r>
          </w:p>
        </w:tc>
        <w:tc>
          <w:tcPr>
            <w:tcW w:type="dxa" w:w="1160"/>
            <w:tcBorders>
              <w:top w:color="000000" w:sz="4" w:val="single"/>
              <w:left w:color="000000" w:sz="4" w:val="single"/>
              <w:bottom w:color="000000" w:sz="4" w:val="single"/>
              <w:right w:color="000000" w:sz="4" w:val="single"/>
            </w:tcBorders>
            <w:shd w:fill="auto" w:val="clear"/>
            <w:vAlign w:val="bottom"/>
          </w:tcPr>
          <w:p w14:paraId="1B400000">
            <w:pPr>
              <w:widowControl w:val="1"/>
              <w:ind/>
              <w:jc w:val="right"/>
              <w:rPr>
                <w:sz w:val="18"/>
              </w:rPr>
            </w:pPr>
            <w:r>
              <w:rPr>
                <w:sz w:val="18"/>
              </w:rPr>
              <w:t>1</w:t>
            </w:r>
          </w:p>
        </w:tc>
        <w:tc>
          <w:tcPr>
            <w:tcW w:type="dxa" w:w="1620"/>
            <w:tcBorders>
              <w:top w:color="000000" w:sz="4" w:val="single"/>
              <w:left w:color="000000" w:sz="4" w:val="single"/>
              <w:bottom w:color="000000" w:sz="4" w:val="single"/>
              <w:right w:color="000000" w:sz="4" w:val="single"/>
            </w:tcBorders>
            <w:shd w:fill="auto" w:val="clear"/>
            <w:vAlign w:val="bottom"/>
          </w:tcPr>
          <w:p w14:paraId="1C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1D400000">
            <w:pPr>
              <w:widowControl w:val="1"/>
              <w:ind w:firstLine="180"/>
              <w:rPr>
                <w:sz w:val="18"/>
              </w:rPr>
            </w:pPr>
            <w:r>
              <w:rPr>
                <w:sz w:val="18"/>
              </w:rPr>
              <w:t>Гафурбаев Олег Зарагатович</w:t>
            </w:r>
          </w:p>
        </w:tc>
        <w:tc>
          <w:tcPr>
            <w:tcW w:type="dxa" w:w="1640"/>
            <w:tcBorders>
              <w:top w:color="000000" w:sz="4" w:val="single"/>
              <w:left w:color="000000" w:sz="4" w:val="single"/>
              <w:bottom w:color="000000" w:sz="4" w:val="single"/>
              <w:right w:color="000000" w:sz="4" w:val="single"/>
            </w:tcBorders>
            <w:shd w:fill="auto" w:val="clear"/>
            <w:vAlign w:val="bottom"/>
          </w:tcPr>
          <w:p w14:paraId="1E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1F400000">
            <w:pPr>
              <w:widowControl w:val="1"/>
              <w:ind/>
              <w:jc w:val="right"/>
              <w:rPr>
                <w:sz w:val="18"/>
              </w:rPr>
            </w:pPr>
            <w:r>
              <w:rPr>
                <w:sz w:val="18"/>
              </w:rPr>
              <w:t>5</w:t>
            </w:r>
          </w:p>
        </w:tc>
        <w:tc>
          <w:tcPr>
            <w:tcW w:type="dxa" w:w="1160"/>
            <w:tcBorders>
              <w:top w:color="000000" w:sz="4" w:val="single"/>
              <w:left w:color="000000" w:sz="4" w:val="single"/>
              <w:bottom w:color="000000" w:sz="4" w:val="single"/>
              <w:right w:color="000000" w:sz="4" w:val="single"/>
            </w:tcBorders>
            <w:shd w:fill="auto" w:val="clear"/>
            <w:vAlign w:val="bottom"/>
          </w:tcPr>
          <w:p w14:paraId="20400000">
            <w:pPr>
              <w:widowControl w:val="1"/>
              <w:ind/>
              <w:jc w:val="right"/>
              <w:rPr>
                <w:sz w:val="18"/>
              </w:rPr>
            </w:pPr>
            <w:r>
              <w:rPr>
                <w:sz w:val="18"/>
              </w:rPr>
              <w:t>5</w:t>
            </w:r>
          </w:p>
        </w:tc>
        <w:tc>
          <w:tcPr>
            <w:tcW w:type="dxa" w:w="1620"/>
            <w:tcBorders>
              <w:top w:color="000000" w:sz="4" w:val="single"/>
              <w:left w:color="000000" w:sz="4" w:val="single"/>
              <w:bottom w:color="000000" w:sz="4" w:val="single"/>
              <w:right w:color="000000" w:sz="4" w:val="single"/>
            </w:tcBorders>
            <w:shd w:fill="auto" w:val="clear"/>
            <w:vAlign w:val="bottom"/>
          </w:tcPr>
          <w:p w14:paraId="21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22400000">
            <w:pPr>
              <w:widowControl w:val="1"/>
              <w:ind w:firstLine="180"/>
              <w:rPr>
                <w:sz w:val="18"/>
              </w:rPr>
            </w:pPr>
            <w:r>
              <w:rPr>
                <w:sz w:val="18"/>
              </w:rPr>
              <w:t>ГЛОСТЕР ООО</w:t>
            </w:r>
          </w:p>
        </w:tc>
        <w:tc>
          <w:tcPr>
            <w:tcW w:type="dxa" w:w="1640"/>
            <w:tcBorders>
              <w:top w:color="000000" w:sz="4" w:val="single"/>
              <w:left w:color="000000" w:sz="4" w:val="single"/>
              <w:bottom w:color="000000" w:sz="4" w:val="single"/>
              <w:right w:color="000000" w:sz="4" w:val="single"/>
            </w:tcBorders>
            <w:shd w:fill="auto" w:val="clear"/>
            <w:vAlign w:val="bottom"/>
          </w:tcPr>
          <w:p w14:paraId="23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24400000">
            <w:pPr>
              <w:widowControl w:val="1"/>
              <w:ind/>
              <w:jc w:val="right"/>
              <w:rPr>
                <w:sz w:val="18"/>
              </w:rPr>
            </w:pPr>
            <w:r>
              <w:rPr>
                <w:sz w:val="18"/>
              </w:rPr>
              <w:t>550</w:t>
            </w:r>
          </w:p>
        </w:tc>
        <w:tc>
          <w:tcPr>
            <w:tcW w:type="dxa" w:w="1160"/>
            <w:tcBorders>
              <w:top w:color="000000" w:sz="4" w:val="single"/>
              <w:left w:color="000000" w:sz="4" w:val="single"/>
              <w:bottom w:color="000000" w:sz="4" w:val="single"/>
              <w:right w:color="000000" w:sz="4" w:val="single"/>
            </w:tcBorders>
            <w:shd w:fill="auto" w:val="clear"/>
            <w:vAlign w:val="bottom"/>
          </w:tcPr>
          <w:p w14:paraId="25400000">
            <w:pPr>
              <w:widowControl w:val="1"/>
              <w:ind/>
              <w:jc w:val="right"/>
              <w:rPr>
                <w:sz w:val="18"/>
              </w:rPr>
            </w:pPr>
            <w:r>
              <w:rPr>
                <w:sz w:val="18"/>
              </w:rPr>
              <w:t>550</w:t>
            </w:r>
          </w:p>
        </w:tc>
        <w:tc>
          <w:tcPr>
            <w:tcW w:type="dxa" w:w="1620"/>
            <w:tcBorders>
              <w:top w:color="000000" w:sz="4" w:val="single"/>
              <w:left w:color="000000" w:sz="4" w:val="single"/>
              <w:bottom w:color="000000" w:sz="4" w:val="single"/>
              <w:right w:color="000000" w:sz="4" w:val="single"/>
            </w:tcBorders>
            <w:shd w:fill="auto" w:val="clear"/>
            <w:vAlign w:val="bottom"/>
          </w:tcPr>
          <w:p w14:paraId="26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27400000">
            <w:pPr>
              <w:widowControl w:val="1"/>
              <w:ind w:firstLine="180"/>
              <w:rPr>
                <w:sz w:val="18"/>
              </w:rPr>
            </w:pPr>
            <w:r>
              <w:rPr>
                <w:sz w:val="18"/>
              </w:rPr>
              <w:t>ГОСТИНИЧНЫЙ КОМПЛЕКС СЛАВЯНКА ОАО</w:t>
            </w:r>
          </w:p>
        </w:tc>
        <w:tc>
          <w:tcPr>
            <w:tcW w:type="dxa" w:w="1640"/>
            <w:tcBorders>
              <w:top w:color="000000" w:sz="4" w:val="single"/>
              <w:left w:color="000000" w:sz="4" w:val="single"/>
              <w:bottom w:color="000000" w:sz="4" w:val="single"/>
              <w:right w:color="000000" w:sz="4" w:val="single"/>
            </w:tcBorders>
            <w:shd w:fill="auto" w:val="clear"/>
            <w:vAlign w:val="bottom"/>
          </w:tcPr>
          <w:p w14:paraId="28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29400000">
            <w:pPr>
              <w:widowControl w:val="1"/>
              <w:ind/>
              <w:jc w:val="right"/>
              <w:rPr>
                <w:sz w:val="18"/>
              </w:rPr>
            </w:pPr>
            <w:r>
              <w:rPr>
                <w:sz w:val="18"/>
              </w:rPr>
              <w:t>39</w:t>
            </w:r>
          </w:p>
        </w:tc>
        <w:tc>
          <w:tcPr>
            <w:tcW w:type="dxa" w:w="1160"/>
            <w:tcBorders>
              <w:top w:color="000000" w:sz="4" w:val="single"/>
              <w:left w:color="000000" w:sz="4" w:val="single"/>
              <w:bottom w:color="000000" w:sz="4" w:val="single"/>
              <w:right w:color="000000" w:sz="4" w:val="single"/>
            </w:tcBorders>
            <w:shd w:fill="auto" w:val="clear"/>
            <w:vAlign w:val="bottom"/>
          </w:tcPr>
          <w:p w14:paraId="2A400000">
            <w:pPr>
              <w:widowControl w:val="1"/>
              <w:ind/>
              <w:jc w:val="right"/>
              <w:rPr>
                <w:sz w:val="18"/>
              </w:rPr>
            </w:pPr>
            <w:r>
              <w:rPr>
                <w:sz w:val="18"/>
              </w:rPr>
              <w:t>39</w:t>
            </w:r>
          </w:p>
        </w:tc>
        <w:tc>
          <w:tcPr>
            <w:tcW w:type="dxa" w:w="1620"/>
            <w:tcBorders>
              <w:top w:color="000000" w:sz="4" w:val="single"/>
              <w:left w:color="000000" w:sz="4" w:val="single"/>
              <w:bottom w:color="000000" w:sz="4" w:val="single"/>
              <w:right w:color="000000" w:sz="4" w:val="single"/>
            </w:tcBorders>
            <w:shd w:fill="auto" w:val="clear"/>
            <w:vAlign w:val="bottom"/>
          </w:tcPr>
          <w:p w14:paraId="2B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2C400000">
            <w:pPr>
              <w:widowControl w:val="1"/>
              <w:ind w:firstLine="180"/>
              <w:rPr>
                <w:sz w:val="18"/>
              </w:rPr>
            </w:pPr>
            <w:r>
              <w:rPr>
                <w:sz w:val="18"/>
              </w:rPr>
              <w:t>ДНС Ритейл ООО</w:t>
            </w:r>
          </w:p>
        </w:tc>
        <w:tc>
          <w:tcPr>
            <w:tcW w:type="dxa" w:w="1640"/>
            <w:tcBorders>
              <w:top w:color="000000" w:sz="4" w:val="single"/>
              <w:left w:color="000000" w:sz="4" w:val="single"/>
              <w:bottom w:color="000000" w:sz="4" w:val="single"/>
              <w:right w:color="000000" w:sz="4" w:val="single"/>
            </w:tcBorders>
            <w:shd w:fill="auto" w:val="clear"/>
            <w:vAlign w:val="bottom"/>
          </w:tcPr>
          <w:p w14:paraId="2D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2E400000">
            <w:pPr>
              <w:widowControl w:val="1"/>
              <w:ind/>
              <w:jc w:val="right"/>
              <w:rPr>
                <w:sz w:val="18"/>
              </w:rPr>
            </w:pPr>
            <w:r>
              <w:rPr>
                <w:sz w:val="18"/>
              </w:rPr>
              <w:t>76</w:t>
            </w:r>
          </w:p>
        </w:tc>
        <w:tc>
          <w:tcPr>
            <w:tcW w:type="dxa" w:w="1160"/>
            <w:tcBorders>
              <w:top w:color="000000" w:sz="4" w:val="single"/>
              <w:left w:color="000000" w:sz="4" w:val="single"/>
              <w:bottom w:color="000000" w:sz="4" w:val="single"/>
              <w:right w:color="000000" w:sz="4" w:val="single"/>
            </w:tcBorders>
            <w:shd w:fill="auto" w:val="clear"/>
            <w:vAlign w:val="bottom"/>
          </w:tcPr>
          <w:p w14:paraId="2F400000">
            <w:pPr>
              <w:widowControl w:val="1"/>
              <w:ind/>
              <w:jc w:val="right"/>
              <w:rPr>
                <w:sz w:val="18"/>
              </w:rPr>
            </w:pPr>
            <w:r>
              <w:rPr>
                <w:sz w:val="18"/>
              </w:rPr>
              <w:t>76</w:t>
            </w:r>
          </w:p>
        </w:tc>
        <w:tc>
          <w:tcPr>
            <w:tcW w:type="dxa" w:w="1620"/>
            <w:tcBorders>
              <w:top w:color="000000" w:sz="4" w:val="single"/>
              <w:left w:color="000000" w:sz="4" w:val="single"/>
              <w:bottom w:color="000000" w:sz="4" w:val="single"/>
              <w:right w:color="000000" w:sz="4" w:val="single"/>
            </w:tcBorders>
            <w:shd w:fill="auto" w:val="clear"/>
            <w:vAlign w:val="bottom"/>
          </w:tcPr>
          <w:p w14:paraId="30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31400000">
            <w:pPr>
              <w:widowControl w:val="1"/>
              <w:ind w:firstLine="180"/>
              <w:rPr>
                <w:sz w:val="18"/>
              </w:rPr>
            </w:pPr>
            <w:r>
              <w:rPr>
                <w:sz w:val="18"/>
              </w:rPr>
              <w:t>ДЭФО - КРАСНОЯРСК ООО</w:t>
            </w:r>
          </w:p>
        </w:tc>
        <w:tc>
          <w:tcPr>
            <w:tcW w:type="dxa" w:w="1640"/>
            <w:tcBorders>
              <w:top w:color="000000" w:sz="4" w:val="single"/>
              <w:left w:color="000000" w:sz="4" w:val="single"/>
              <w:bottom w:color="000000" w:sz="4" w:val="single"/>
              <w:right w:color="000000" w:sz="4" w:val="single"/>
            </w:tcBorders>
            <w:shd w:fill="auto" w:val="clear"/>
            <w:vAlign w:val="bottom"/>
          </w:tcPr>
          <w:p w14:paraId="32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33400000">
            <w:pPr>
              <w:widowControl w:val="1"/>
              <w:ind/>
              <w:jc w:val="right"/>
              <w:rPr>
                <w:sz w:val="18"/>
              </w:rPr>
            </w:pPr>
            <w:r>
              <w:rPr>
                <w:sz w:val="18"/>
              </w:rPr>
              <w:t>106</w:t>
            </w:r>
          </w:p>
        </w:tc>
        <w:tc>
          <w:tcPr>
            <w:tcW w:type="dxa" w:w="1160"/>
            <w:tcBorders>
              <w:top w:color="000000" w:sz="4" w:val="single"/>
              <w:left w:color="000000" w:sz="4" w:val="single"/>
              <w:bottom w:color="000000" w:sz="4" w:val="single"/>
              <w:right w:color="000000" w:sz="4" w:val="single"/>
            </w:tcBorders>
            <w:shd w:fill="auto" w:val="clear"/>
            <w:vAlign w:val="bottom"/>
          </w:tcPr>
          <w:p w14:paraId="34400000">
            <w:pPr>
              <w:widowControl w:val="1"/>
              <w:ind/>
              <w:jc w:val="right"/>
              <w:rPr>
                <w:sz w:val="18"/>
              </w:rPr>
            </w:pPr>
            <w:r>
              <w:rPr>
                <w:sz w:val="18"/>
              </w:rPr>
              <w:t>106</w:t>
            </w:r>
          </w:p>
        </w:tc>
        <w:tc>
          <w:tcPr>
            <w:tcW w:type="dxa" w:w="1620"/>
            <w:tcBorders>
              <w:top w:color="000000" w:sz="4" w:val="single"/>
              <w:left w:color="000000" w:sz="4" w:val="single"/>
              <w:bottom w:color="000000" w:sz="4" w:val="single"/>
              <w:right w:color="000000" w:sz="4" w:val="single"/>
            </w:tcBorders>
            <w:shd w:fill="auto" w:val="clear"/>
            <w:vAlign w:val="bottom"/>
          </w:tcPr>
          <w:p w14:paraId="35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36400000">
            <w:pPr>
              <w:widowControl w:val="1"/>
              <w:ind w:firstLine="180"/>
              <w:rPr>
                <w:sz w:val="18"/>
              </w:rPr>
            </w:pPr>
            <w:r>
              <w:rPr>
                <w:sz w:val="18"/>
              </w:rPr>
              <w:t>ЕНИСЕЙСКАЯ ТГК (ТГК-13) АО</w:t>
            </w:r>
          </w:p>
        </w:tc>
        <w:tc>
          <w:tcPr>
            <w:tcW w:type="dxa" w:w="1640"/>
            <w:tcBorders>
              <w:top w:color="000000" w:sz="4" w:val="single"/>
              <w:left w:color="000000" w:sz="4" w:val="single"/>
              <w:bottom w:color="000000" w:sz="4" w:val="single"/>
              <w:right w:color="000000" w:sz="4" w:val="single"/>
            </w:tcBorders>
            <w:shd w:fill="auto" w:val="clear"/>
            <w:vAlign w:val="bottom"/>
          </w:tcPr>
          <w:p w14:paraId="37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38400000">
            <w:pPr>
              <w:widowControl w:val="1"/>
              <w:ind/>
              <w:jc w:val="right"/>
              <w:rPr>
                <w:sz w:val="18"/>
              </w:rPr>
            </w:pPr>
            <w:r>
              <w:rPr>
                <w:sz w:val="18"/>
              </w:rPr>
              <w:t>8</w:t>
            </w:r>
          </w:p>
        </w:tc>
        <w:tc>
          <w:tcPr>
            <w:tcW w:type="dxa" w:w="1160"/>
            <w:tcBorders>
              <w:top w:color="000000" w:sz="4" w:val="single"/>
              <w:left w:color="000000" w:sz="4" w:val="single"/>
              <w:bottom w:color="000000" w:sz="4" w:val="single"/>
              <w:right w:color="000000" w:sz="4" w:val="single"/>
            </w:tcBorders>
            <w:shd w:fill="auto" w:val="clear"/>
            <w:vAlign w:val="bottom"/>
          </w:tcPr>
          <w:p w14:paraId="39400000">
            <w:pPr>
              <w:widowControl w:val="1"/>
              <w:ind/>
              <w:jc w:val="right"/>
              <w:rPr>
                <w:sz w:val="18"/>
              </w:rPr>
            </w:pPr>
            <w:r>
              <w:rPr>
                <w:sz w:val="18"/>
              </w:rPr>
              <w:t>8</w:t>
            </w:r>
          </w:p>
        </w:tc>
        <w:tc>
          <w:tcPr>
            <w:tcW w:type="dxa" w:w="1620"/>
            <w:tcBorders>
              <w:top w:color="000000" w:sz="4" w:val="single"/>
              <w:left w:color="000000" w:sz="4" w:val="single"/>
              <w:bottom w:color="000000" w:sz="4" w:val="single"/>
              <w:right w:color="000000" w:sz="4" w:val="single"/>
            </w:tcBorders>
            <w:shd w:fill="auto" w:val="clear"/>
            <w:vAlign w:val="bottom"/>
          </w:tcPr>
          <w:p w14:paraId="3A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3B400000">
            <w:pPr>
              <w:widowControl w:val="1"/>
              <w:ind w:firstLine="180"/>
              <w:rPr>
                <w:sz w:val="18"/>
              </w:rPr>
            </w:pPr>
            <w:r>
              <w:rPr>
                <w:sz w:val="18"/>
              </w:rPr>
              <w:t>ЖАЛЮЗИ ЦЕНТР ООО</w:t>
            </w:r>
          </w:p>
        </w:tc>
        <w:tc>
          <w:tcPr>
            <w:tcW w:type="dxa" w:w="1640"/>
            <w:tcBorders>
              <w:top w:color="000000" w:sz="4" w:val="single"/>
              <w:left w:color="000000" w:sz="4" w:val="single"/>
              <w:bottom w:color="000000" w:sz="4" w:val="single"/>
              <w:right w:color="000000" w:sz="4" w:val="single"/>
            </w:tcBorders>
            <w:shd w:fill="auto" w:val="clear"/>
            <w:vAlign w:val="bottom"/>
          </w:tcPr>
          <w:p w14:paraId="3C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3D400000">
            <w:pPr>
              <w:widowControl w:val="1"/>
              <w:ind/>
              <w:jc w:val="right"/>
              <w:rPr>
                <w:sz w:val="18"/>
              </w:rPr>
            </w:pPr>
            <w:r>
              <w:rPr>
                <w:sz w:val="18"/>
              </w:rPr>
              <w:t>37</w:t>
            </w:r>
          </w:p>
        </w:tc>
        <w:tc>
          <w:tcPr>
            <w:tcW w:type="dxa" w:w="1160"/>
            <w:tcBorders>
              <w:top w:color="000000" w:sz="4" w:val="single"/>
              <w:left w:color="000000" w:sz="4" w:val="single"/>
              <w:bottom w:color="000000" w:sz="4" w:val="single"/>
              <w:right w:color="000000" w:sz="4" w:val="single"/>
            </w:tcBorders>
            <w:shd w:fill="auto" w:val="clear"/>
            <w:vAlign w:val="bottom"/>
          </w:tcPr>
          <w:p w14:paraId="3E400000">
            <w:pPr>
              <w:widowControl w:val="1"/>
              <w:ind/>
              <w:jc w:val="right"/>
              <w:rPr>
                <w:sz w:val="18"/>
              </w:rPr>
            </w:pPr>
            <w:r>
              <w:rPr>
                <w:sz w:val="18"/>
              </w:rPr>
              <w:t>37</w:t>
            </w:r>
          </w:p>
        </w:tc>
        <w:tc>
          <w:tcPr>
            <w:tcW w:type="dxa" w:w="1620"/>
            <w:tcBorders>
              <w:top w:color="000000" w:sz="4" w:val="single"/>
              <w:left w:color="000000" w:sz="4" w:val="single"/>
              <w:bottom w:color="000000" w:sz="4" w:val="single"/>
              <w:right w:color="000000" w:sz="4" w:val="single"/>
            </w:tcBorders>
            <w:shd w:fill="auto" w:val="clear"/>
            <w:vAlign w:val="bottom"/>
          </w:tcPr>
          <w:p w14:paraId="3F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40400000">
            <w:pPr>
              <w:widowControl w:val="1"/>
              <w:ind w:firstLine="180"/>
              <w:rPr>
                <w:sz w:val="18"/>
              </w:rPr>
            </w:pPr>
            <w:r>
              <w:rPr>
                <w:sz w:val="18"/>
              </w:rPr>
              <w:t>ЗАПОВЕДНАЯ ВОДА ООО</w:t>
            </w:r>
          </w:p>
        </w:tc>
        <w:tc>
          <w:tcPr>
            <w:tcW w:type="dxa" w:w="1640"/>
            <w:tcBorders>
              <w:top w:color="000000" w:sz="4" w:val="single"/>
              <w:left w:color="000000" w:sz="4" w:val="single"/>
              <w:bottom w:color="000000" w:sz="4" w:val="single"/>
              <w:right w:color="000000" w:sz="4" w:val="single"/>
            </w:tcBorders>
            <w:shd w:fill="auto" w:val="clear"/>
            <w:vAlign w:val="bottom"/>
          </w:tcPr>
          <w:p w14:paraId="41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42400000">
            <w:pPr>
              <w:widowControl w:val="1"/>
              <w:ind/>
              <w:jc w:val="right"/>
              <w:rPr>
                <w:sz w:val="18"/>
              </w:rPr>
            </w:pPr>
            <w:r>
              <w:rPr>
                <w:sz w:val="18"/>
              </w:rPr>
              <w:t>1</w:t>
            </w:r>
          </w:p>
        </w:tc>
        <w:tc>
          <w:tcPr>
            <w:tcW w:type="dxa" w:w="1160"/>
            <w:tcBorders>
              <w:top w:color="000000" w:sz="4" w:val="single"/>
              <w:left w:color="000000" w:sz="4" w:val="single"/>
              <w:bottom w:color="000000" w:sz="4" w:val="single"/>
              <w:right w:color="000000" w:sz="4" w:val="single"/>
            </w:tcBorders>
            <w:shd w:fill="auto" w:val="clear"/>
            <w:vAlign w:val="bottom"/>
          </w:tcPr>
          <w:p w14:paraId="43400000">
            <w:pPr>
              <w:widowControl w:val="1"/>
              <w:ind/>
              <w:jc w:val="right"/>
              <w:rPr>
                <w:sz w:val="18"/>
              </w:rPr>
            </w:pPr>
            <w:r>
              <w:rPr>
                <w:sz w:val="18"/>
              </w:rPr>
              <w:t>1</w:t>
            </w:r>
          </w:p>
        </w:tc>
        <w:tc>
          <w:tcPr>
            <w:tcW w:type="dxa" w:w="1620"/>
            <w:tcBorders>
              <w:top w:color="000000" w:sz="4" w:val="single"/>
              <w:left w:color="000000" w:sz="4" w:val="single"/>
              <w:bottom w:color="000000" w:sz="4" w:val="single"/>
              <w:right w:color="000000" w:sz="4" w:val="single"/>
            </w:tcBorders>
            <w:shd w:fill="auto" w:val="clear"/>
            <w:vAlign w:val="bottom"/>
          </w:tcPr>
          <w:p w14:paraId="44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45400000">
            <w:pPr>
              <w:widowControl w:val="1"/>
              <w:ind w:firstLine="180"/>
              <w:rPr>
                <w:sz w:val="18"/>
              </w:rPr>
            </w:pPr>
            <w:r>
              <w:rPr>
                <w:sz w:val="18"/>
              </w:rPr>
              <w:t>Зауральская фабрика текстильной сумки ООО</w:t>
            </w:r>
          </w:p>
        </w:tc>
        <w:tc>
          <w:tcPr>
            <w:tcW w:type="dxa" w:w="1640"/>
            <w:tcBorders>
              <w:top w:color="000000" w:sz="4" w:val="single"/>
              <w:left w:color="000000" w:sz="4" w:val="single"/>
              <w:bottom w:color="000000" w:sz="4" w:val="single"/>
              <w:right w:color="000000" w:sz="4" w:val="single"/>
            </w:tcBorders>
            <w:shd w:fill="auto" w:val="clear"/>
            <w:vAlign w:val="bottom"/>
          </w:tcPr>
          <w:p w14:paraId="46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47400000">
            <w:pPr>
              <w:widowControl w:val="1"/>
              <w:ind/>
              <w:jc w:val="right"/>
              <w:rPr>
                <w:sz w:val="18"/>
              </w:rPr>
            </w:pPr>
            <w:r>
              <w:rPr>
                <w:sz w:val="18"/>
              </w:rPr>
              <w:t>9</w:t>
            </w:r>
          </w:p>
        </w:tc>
        <w:tc>
          <w:tcPr>
            <w:tcW w:type="dxa" w:w="1160"/>
            <w:tcBorders>
              <w:top w:color="000000" w:sz="4" w:val="single"/>
              <w:left w:color="000000" w:sz="4" w:val="single"/>
              <w:bottom w:color="000000" w:sz="4" w:val="single"/>
              <w:right w:color="000000" w:sz="4" w:val="single"/>
            </w:tcBorders>
            <w:shd w:fill="auto" w:val="clear"/>
            <w:vAlign w:val="bottom"/>
          </w:tcPr>
          <w:p w14:paraId="48400000">
            <w:pPr>
              <w:widowControl w:val="1"/>
              <w:ind/>
              <w:jc w:val="right"/>
              <w:rPr>
                <w:sz w:val="18"/>
              </w:rPr>
            </w:pPr>
            <w:r>
              <w:rPr>
                <w:sz w:val="18"/>
              </w:rPr>
              <w:t>9</w:t>
            </w:r>
          </w:p>
        </w:tc>
        <w:tc>
          <w:tcPr>
            <w:tcW w:type="dxa" w:w="1620"/>
            <w:tcBorders>
              <w:top w:color="000000" w:sz="4" w:val="single"/>
              <w:left w:color="000000" w:sz="4" w:val="single"/>
              <w:bottom w:color="000000" w:sz="4" w:val="single"/>
              <w:right w:color="000000" w:sz="4" w:val="single"/>
            </w:tcBorders>
            <w:shd w:fill="auto" w:val="clear"/>
            <w:vAlign w:val="bottom"/>
          </w:tcPr>
          <w:p w14:paraId="49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4A400000">
            <w:pPr>
              <w:widowControl w:val="1"/>
              <w:ind w:firstLine="180"/>
              <w:rPr>
                <w:sz w:val="18"/>
              </w:rPr>
            </w:pPr>
            <w:r>
              <w:rPr>
                <w:sz w:val="18"/>
              </w:rPr>
              <w:t>Земкина Наталья Викторовна</w:t>
            </w:r>
          </w:p>
        </w:tc>
        <w:tc>
          <w:tcPr>
            <w:tcW w:type="dxa" w:w="1640"/>
            <w:tcBorders>
              <w:top w:color="000000" w:sz="4" w:val="single"/>
              <w:left w:color="000000" w:sz="4" w:val="single"/>
              <w:bottom w:color="000000" w:sz="4" w:val="single"/>
              <w:right w:color="000000" w:sz="4" w:val="single"/>
            </w:tcBorders>
            <w:shd w:fill="auto" w:val="clear"/>
            <w:vAlign w:val="bottom"/>
          </w:tcPr>
          <w:p w14:paraId="4B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4C400000">
            <w:pPr>
              <w:widowControl w:val="1"/>
              <w:ind/>
              <w:jc w:val="right"/>
              <w:rPr>
                <w:sz w:val="18"/>
              </w:rPr>
            </w:pPr>
            <w:r>
              <w:rPr>
                <w:sz w:val="18"/>
              </w:rPr>
              <w:t>4</w:t>
            </w:r>
          </w:p>
        </w:tc>
        <w:tc>
          <w:tcPr>
            <w:tcW w:type="dxa" w:w="1160"/>
            <w:tcBorders>
              <w:top w:color="000000" w:sz="4" w:val="single"/>
              <w:left w:color="000000" w:sz="4" w:val="single"/>
              <w:bottom w:color="000000" w:sz="4" w:val="single"/>
              <w:right w:color="000000" w:sz="4" w:val="single"/>
            </w:tcBorders>
            <w:shd w:fill="auto" w:val="clear"/>
            <w:vAlign w:val="bottom"/>
          </w:tcPr>
          <w:p w14:paraId="4D400000">
            <w:pPr>
              <w:widowControl w:val="1"/>
              <w:ind/>
              <w:jc w:val="right"/>
              <w:rPr>
                <w:sz w:val="18"/>
              </w:rPr>
            </w:pPr>
            <w:r>
              <w:rPr>
                <w:sz w:val="18"/>
              </w:rPr>
              <w:t>4</w:t>
            </w:r>
          </w:p>
        </w:tc>
        <w:tc>
          <w:tcPr>
            <w:tcW w:type="dxa" w:w="1620"/>
            <w:tcBorders>
              <w:top w:color="000000" w:sz="4" w:val="single"/>
              <w:left w:color="000000" w:sz="4" w:val="single"/>
              <w:bottom w:color="000000" w:sz="4" w:val="single"/>
              <w:right w:color="000000" w:sz="4" w:val="single"/>
            </w:tcBorders>
            <w:shd w:fill="auto" w:val="clear"/>
            <w:vAlign w:val="bottom"/>
          </w:tcPr>
          <w:p w14:paraId="4E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4F400000">
            <w:pPr>
              <w:widowControl w:val="1"/>
              <w:ind w:firstLine="180"/>
              <w:rPr>
                <w:sz w:val="18"/>
              </w:rPr>
            </w:pPr>
            <w:r>
              <w:rPr>
                <w:sz w:val="18"/>
              </w:rPr>
              <w:t>ИЛИМ ООО</w:t>
            </w:r>
          </w:p>
        </w:tc>
        <w:tc>
          <w:tcPr>
            <w:tcW w:type="dxa" w:w="1640"/>
            <w:tcBorders>
              <w:top w:color="000000" w:sz="4" w:val="single"/>
              <w:left w:color="000000" w:sz="4" w:val="single"/>
              <w:bottom w:color="000000" w:sz="4" w:val="single"/>
              <w:right w:color="000000" w:sz="4" w:val="single"/>
            </w:tcBorders>
            <w:shd w:fill="auto" w:val="clear"/>
            <w:vAlign w:val="bottom"/>
          </w:tcPr>
          <w:p w14:paraId="50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51400000">
            <w:pPr>
              <w:widowControl w:val="1"/>
              <w:ind/>
              <w:jc w:val="right"/>
              <w:rPr>
                <w:sz w:val="18"/>
              </w:rPr>
            </w:pPr>
            <w:r>
              <w:rPr>
                <w:sz w:val="18"/>
              </w:rPr>
              <w:t>1</w:t>
            </w:r>
          </w:p>
        </w:tc>
        <w:tc>
          <w:tcPr>
            <w:tcW w:type="dxa" w:w="1160"/>
            <w:tcBorders>
              <w:top w:color="000000" w:sz="4" w:val="single"/>
              <w:left w:color="000000" w:sz="4" w:val="single"/>
              <w:bottom w:color="000000" w:sz="4" w:val="single"/>
              <w:right w:color="000000" w:sz="4" w:val="single"/>
            </w:tcBorders>
            <w:shd w:fill="auto" w:val="clear"/>
            <w:vAlign w:val="bottom"/>
          </w:tcPr>
          <w:p w14:paraId="52400000">
            <w:pPr>
              <w:widowControl w:val="1"/>
              <w:ind/>
              <w:jc w:val="right"/>
              <w:rPr>
                <w:sz w:val="18"/>
              </w:rPr>
            </w:pPr>
            <w:r>
              <w:rPr>
                <w:sz w:val="18"/>
              </w:rPr>
              <w:t>1</w:t>
            </w:r>
          </w:p>
        </w:tc>
        <w:tc>
          <w:tcPr>
            <w:tcW w:type="dxa" w:w="1620"/>
            <w:tcBorders>
              <w:top w:color="000000" w:sz="4" w:val="single"/>
              <w:left w:color="000000" w:sz="4" w:val="single"/>
              <w:bottom w:color="000000" w:sz="4" w:val="single"/>
              <w:right w:color="000000" w:sz="4" w:val="single"/>
            </w:tcBorders>
            <w:shd w:fill="auto" w:val="clear"/>
            <w:vAlign w:val="bottom"/>
          </w:tcPr>
          <w:p w14:paraId="53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54400000">
            <w:pPr>
              <w:widowControl w:val="1"/>
              <w:ind w:firstLine="180"/>
              <w:rPr>
                <w:sz w:val="18"/>
              </w:rPr>
            </w:pPr>
            <w:r>
              <w:rPr>
                <w:sz w:val="18"/>
              </w:rPr>
              <w:t>ИНСТИТУТ ИННОВАЦИОННЫХ ТРАНСПОРТНЫХ ТЕХНОЛОГИЙ ЧОУ ДПО</w:t>
            </w:r>
          </w:p>
        </w:tc>
        <w:tc>
          <w:tcPr>
            <w:tcW w:type="dxa" w:w="1640"/>
            <w:tcBorders>
              <w:top w:color="000000" w:sz="4" w:val="single"/>
              <w:left w:color="000000" w:sz="4" w:val="single"/>
              <w:bottom w:color="000000" w:sz="4" w:val="single"/>
              <w:right w:color="000000" w:sz="4" w:val="single"/>
            </w:tcBorders>
            <w:shd w:fill="auto" w:val="clear"/>
            <w:vAlign w:val="bottom"/>
          </w:tcPr>
          <w:p w14:paraId="55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56400000">
            <w:pPr>
              <w:widowControl w:val="1"/>
              <w:ind/>
              <w:jc w:val="right"/>
              <w:rPr>
                <w:sz w:val="18"/>
              </w:rPr>
            </w:pPr>
            <w:r>
              <w:rPr>
                <w:sz w:val="18"/>
              </w:rPr>
              <w:t>30</w:t>
            </w:r>
          </w:p>
        </w:tc>
        <w:tc>
          <w:tcPr>
            <w:tcW w:type="dxa" w:w="1160"/>
            <w:tcBorders>
              <w:top w:color="000000" w:sz="4" w:val="single"/>
              <w:left w:color="000000" w:sz="4" w:val="single"/>
              <w:bottom w:color="000000" w:sz="4" w:val="single"/>
              <w:right w:color="000000" w:sz="4" w:val="single"/>
            </w:tcBorders>
            <w:shd w:fill="auto" w:val="clear"/>
            <w:vAlign w:val="bottom"/>
          </w:tcPr>
          <w:p w14:paraId="57400000">
            <w:pPr>
              <w:widowControl w:val="1"/>
              <w:ind/>
              <w:jc w:val="right"/>
              <w:rPr>
                <w:sz w:val="18"/>
              </w:rPr>
            </w:pPr>
            <w:r>
              <w:rPr>
                <w:sz w:val="18"/>
              </w:rPr>
              <w:t>30</w:t>
            </w:r>
          </w:p>
        </w:tc>
        <w:tc>
          <w:tcPr>
            <w:tcW w:type="dxa" w:w="1620"/>
            <w:tcBorders>
              <w:top w:color="000000" w:sz="4" w:val="single"/>
              <w:left w:color="000000" w:sz="4" w:val="single"/>
              <w:bottom w:color="000000" w:sz="4" w:val="single"/>
              <w:right w:color="000000" w:sz="4" w:val="single"/>
            </w:tcBorders>
            <w:shd w:fill="auto" w:val="clear"/>
            <w:vAlign w:val="bottom"/>
          </w:tcPr>
          <w:p w14:paraId="58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59400000">
            <w:pPr>
              <w:widowControl w:val="1"/>
              <w:ind w:firstLine="180"/>
              <w:rPr>
                <w:sz w:val="18"/>
              </w:rPr>
            </w:pPr>
            <w:r>
              <w:rPr>
                <w:sz w:val="18"/>
              </w:rPr>
              <w:t>ИНТЕРНЕТ-МАРКЕТИНГ ООО</w:t>
            </w:r>
          </w:p>
        </w:tc>
        <w:tc>
          <w:tcPr>
            <w:tcW w:type="dxa" w:w="1640"/>
            <w:tcBorders>
              <w:top w:color="000000" w:sz="4" w:val="single"/>
              <w:left w:color="000000" w:sz="4" w:val="single"/>
              <w:bottom w:color="000000" w:sz="4" w:val="single"/>
              <w:right w:color="000000" w:sz="4" w:val="single"/>
            </w:tcBorders>
            <w:shd w:fill="auto" w:val="clear"/>
            <w:vAlign w:val="bottom"/>
          </w:tcPr>
          <w:p w14:paraId="5A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5B400000">
            <w:pPr>
              <w:widowControl w:val="1"/>
              <w:ind/>
              <w:jc w:val="right"/>
              <w:rPr>
                <w:sz w:val="18"/>
              </w:rPr>
            </w:pPr>
            <w:r>
              <w:rPr>
                <w:sz w:val="18"/>
              </w:rPr>
              <w:t>32</w:t>
            </w:r>
          </w:p>
        </w:tc>
        <w:tc>
          <w:tcPr>
            <w:tcW w:type="dxa" w:w="1160"/>
            <w:tcBorders>
              <w:top w:color="000000" w:sz="4" w:val="single"/>
              <w:left w:color="000000" w:sz="4" w:val="single"/>
              <w:bottom w:color="000000" w:sz="4" w:val="single"/>
              <w:right w:color="000000" w:sz="4" w:val="single"/>
            </w:tcBorders>
            <w:shd w:fill="auto" w:val="clear"/>
            <w:vAlign w:val="bottom"/>
          </w:tcPr>
          <w:p w14:paraId="5C400000">
            <w:pPr>
              <w:widowControl w:val="1"/>
              <w:ind/>
              <w:jc w:val="right"/>
              <w:rPr>
                <w:sz w:val="18"/>
              </w:rPr>
            </w:pPr>
            <w:r>
              <w:rPr>
                <w:sz w:val="18"/>
              </w:rPr>
              <w:t>32</w:t>
            </w:r>
          </w:p>
        </w:tc>
        <w:tc>
          <w:tcPr>
            <w:tcW w:type="dxa" w:w="1620"/>
            <w:tcBorders>
              <w:top w:color="000000" w:sz="4" w:val="single"/>
              <w:left w:color="000000" w:sz="4" w:val="single"/>
              <w:bottom w:color="000000" w:sz="4" w:val="single"/>
              <w:right w:color="000000" w:sz="4" w:val="single"/>
            </w:tcBorders>
            <w:shd w:fill="auto" w:val="clear"/>
            <w:vAlign w:val="bottom"/>
          </w:tcPr>
          <w:p w14:paraId="5D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5E400000">
            <w:pPr>
              <w:widowControl w:val="1"/>
              <w:ind w:firstLine="180"/>
              <w:rPr>
                <w:sz w:val="18"/>
              </w:rPr>
            </w:pPr>
            <w:r>
              <w:rPr>
                <w:sz w:val="18"/>
              </w:rPr>
              <w:t>ИНТЕРФАКС - ЦРКИ ООО</w:t>
            </w:r>
          </w:p>
        </w:tc>
        <w:tc>
          <w:tcPr>
            <w:tcW w:type="dxa" w:w="1640"/>
            <w:tcBorders>
              <w:top w:color="000000" w:sz="4" w:val="single"/>
              <w:left w:color="000000" w:sz="4" w:val="single"/>
              <w:bottom w:color="000000" w:sz="4" w:val="single"/>
              <w:right w:color="000000" w:sz="4" w:val="single"/>
            </w:tcBorders>
            <w:shd w:fill="auto" w:val="clear"/>
            <w:vAlign w:val="bottom"/>
          </w:tcPr>
          <w:p w14:paraId="5F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60400000">
            <w:pPr>
              <w:widowControl w:val="1"/>
              <w:ind/>
              <w:jc w:val="right"/>
              <w:rPr>
                <w:sz w:val="18"/>
              </w:rPr>
            </w:pPr>
            <w:r>
              <w:rPr>
                <w:sz w:val="18"/>
              </w:rPr>
              <w:t>4</w:t>
            </w:r>
          </w:p>
        </w:tc>
        <w:tc>
          <w:tcPr>
            <w:tcW w:type="dxa" w:w="1160"/>
            <w:tcBorders>
              <w:top w:color="000000" w:sz="4" w:val="single"/>
              <w:left w:color="000000" w:sz="4" w:val="single"/>
              <w:bottom w:color="000000" w:sz="4" w:val="single"/>
              <w:right w:color="000000" w:sz="4" w:val="single"/>
            </w:tcBorders>
            <w:shd w:fill="auto" w:val="clear"/>
            <w:vAlign w:val="bottom"/>
          </w:tcPr>
          <w:p w14:paraId="61400000">
            <w:pPr>
              <w:widowControl w:val="1"/>
              <w:ind/>
              <w:jc w:val="right"/>
              <w:rPr>
                <w:sz w:val="18"/>
              </w:rPr>
            </w:pPr>
            <w:r>
              <w:rPr>
                <w:sz w:val="18"/>
              </w:rPr>
              <w:t>4</w:t>
            </w:r>
          </w:p>
        </w:tc>
        <w:tc>
          <w:tcPr>
            <w:tcW w:type="dxa" w:w="1620"/>
            <w:tcBorders>
              <w:top w:color="000000" w:sz="4" w:val="single"/>
              <w:left w:color="000000" w:sz="4" w:val="single"/>
              <w:bottom w:color="000000" w:sz="4" w:val="single"/>
              <w:right w:color="000000" w:sz="4" w:val="single"/>
            </w:tcBorders>
            <w:shd w:fill="auto" w:val="clear"/>
            <w:vAlign w:val="bottom"/>
          </w:tcPr>
          <w:p w14:paraId="62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63400000">
            <w:pPr>
              <w:widowControl w:val="1"/>
              <w:ind w:firstLine="180"/>
              <w:rPr>
                <w:sz w:val="18"/>
              </w:rPr>
            </w:pPr>
            <w:r>
              <w:rPr>
                <w:sz w:val="18"/>
              </w:rPr>
              <w:t>ИНФОТЕКС ОАО</w:t>
            </w:r>
          </w:p>
        </w:tc>
        <w:tc>
          <w:tcPr>
            <w:tcW w:type="dxa" w:w="1640"/>
            <w:tcBorders>
              <w:top w:color="000000" w:sz="4" w:val="single"/>
              <w:left w:color="000000" w:sz="4" w:val="single"/>
              <w:bottom w:color="000000" w:sz="4" w:val="single"/>
              <w:right w:color="000000" w:sz="4" w:val="single"/>
            </w:tcBorders>
            <w:shd w:fill="auto" w:val="clear"/>
            <w:vAlign w:val="bottom"/>
          </w:tcPr>
          <w:p w14:paraId="64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65400000">
            <w:pPr>
              <w:widowControl w:val="1"/>
              <w:ind/>
              <w:jc w:val="right"/>
              <w:rPr>
                <w:sz w:val="18"/>
              </w:rPr>
            </w:pPr>
            <w:r>
              <w:rPr>
                <w:sz w:val="18"/>
              </w:rPr>
              <w:t>51</w:t>
            </w:r>
          </w:p>
        </w:tc>
        <w:tc>
          <w:tcPr>
            <w:tcW w:type="dxa" w:w="1160"/>
            <w:tcBorders>
              <w:top w:color="000000" w:sz="4" w:val="single"/>
              <w:left w:color="000000" w:sz="4" w:val="single"/>
              <w:bottom w:color="000000" w:sz="4" w:val="single"/>
              <w:right w:color="000000" w:sz="4" w:val="single"/>
            </w:tcBorders>
            <w:shd w:fill="auto" w:val="clear"/>
            <w:vAlign w:val="bottom"/>
          </w:tcPr>
          <w:p w14:paraId="66400000">
            <w:pPr>
              <w:widowControl w:val="1"/>
              <w:ind/>
              <w:jc w:val="right"/>
              <w:rPr>
                <w:sz w:val="18"/>
              </w:rPr>
            </w:pPr>
            <w:r>
              <w:rPr>
                <w:sz w:val="18"/>
              </w:rPr>
              <w:t>51</w:t>
            </w:r>
          </w:p>
        </w:tc>
        <w:tc>
          <w:tcPr>
            <w:tcW w:type="dxa" w:w="1620"/>
            <w:tcBorders>
              <w:top w:color="000000" w:sz="4" w:val="single"/>
              <w:left w:color="000000" w:sz="4" w:val="single"/>
              <w:bottom w:color="000000" w:sz="4" w:val="single"/>
              <w:right w:color="000000" w:sz="4" w:val="single"/>
            </w:tcBorders>
            <w:shd w:fill="auto" w:val="clear"/>
            <w:vAlign w:val="bottom"/>
          </w:tcPr>
          <w:p w14:paraId="67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68400000">
            <w:pPr>
              <w:widowControl w:val="1"/>
              <w:ind w:firstLine="180"/>
              <w:rPr>
                <w:sz w:val="18"/>
              </w:rPr>
            </w:pPr>
            <w:r>
              <w:rPr>
                <w:sz w:val="18"/>
              </w:rPr>
              <w:t>ИП Демидова Светлана Мингалеевна</w:t>
            </w:r>
          </w:p>
        </w:tc>
        <w:tc>
          <w:tcPr>
            <w:tcW w:type="dxa" w:w="1640"/>
            <w:tcBorders>
              <w:top w:color="000000" w:sz="4" w:val="single"/>
              <w:left w:color="000000" w:sz="4" w:val="single"/>
              <w:bottom w:color="000000" w:sz="4" w:val="single"/>
              <w:right w:color="000000" w:sz="4" w:val="single"/>
            </w:tcBorders>
            <w:shd w:fill="auto" w:val="clear"/>
            <w:vAlign w:val="bottom"/>
          </w:tcPr>
          <w:p w14:paraId="69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6A400000">
            <w:pPr>
              <w:widowControl w:val="1"/>
              <w:ind/>
              <w:jc w:val="right"/>
              <w:rPr>
                <w:sz w:val="18"/>
              </w:rPr>
            </w:pPr>
            <w:r>
              <w:rPr>
                <w:sz w:val="18"/>
              </w:rPr>
              <w:t>31</w:t>
            </w:r>
          </w:p>
        </w:tc>
        <w:tc>
          <w:tcPr>
            <w:tcW w:type="dxa" w:w="1160"/>
            <w:tcBorders>
              <w:top w:color="000000" w:sz="4" w:val="single"/>
              <w:left w:color="000000" w:sz="4" w:val="single"/>
              <w:bottom w:color="000000" w:sz="4" w:val="single"/>
              <w:right w:color="000000" w:sz="4" w:val="single"/>
            </w:tcBorders>
            <w:shd w:fill="auto" w:val="clear"/>
            <w:vAlign w:val="bottom"/>
          </w:tcPr>
          <w:p w14:paraId="6B400000">
            <w:pPr>
              <w:widowControl w:val="1"/>
              <w:ind/>
              <w:jc w:val="right"/>
              <w:rPr>
                <w:sz w:val="18"/>
              </w:rPr>
            </w:pPr>
            <w:r>
              <w:rPr>
                <w:sz w:val="18"/>
              </w:rPr>
              <w:t>31</w:t>
            </w:r>
          </w:p>
        </w:tc>
        <w:tc>
          <w:tcPr>
            <w:tcW w:type="dxa" w:w="1620"/>
            <w:tcBorders>
              <w:top w:color="000000" w:sz="4" w:val="single"/>
              <w:left w:color="000000" w:sz="4" w:val="single"/>
              <w:bottom w:color="000000" w:sz="4" w:val="single"/>
              <w:right w:color="000000" w:sz="4" w:val="single"/>
            </w:tcBorders>
            <w:shd w:fill="auto" w:val="clear"/>
            <w:vAlign w:val="bottom"/>
          </w:tcPr>
          <w:p w14:paraId="6C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6D400000">
            <w:pPr>
              <w:widowControl w:val="1"/>
              <w:ind w:firstLine="180"/>
              <w:rPr>
                <w:sz w:val="18"/>
              </w:rPr>
            </w:pPr>
            <w:r>
              <w:rPr>
                <w:sz w:val="18"/>
              </w:rPr>
              <w:t>ИПО ГАРАНТ ООО</w:t>
            </w:r>
          </w:p>
        </w:tc>
        <w:tc>
          <w:tcPr>
            <w:tcW w:type="dxa" w:w="1640"/>
            <w:tcBorders>
              <w:top w:color="000000" w:sz="4" w:val="single"/>
              <w:left w:color="000000" w:sz="4" w:val="single"/>
              <w:bottom w:color="000000" w:sz="4" w:val="single"/>
              <w:right w:color="000000" w:sz="4" w:val="single"/>
            </w:tcBorders>
            <w:shd w:fill="auto" w:val="clear"/>
            <w:vAlign w:val="bottom"/>
          </w:tcPr>
          <w:p w14:paraId="6E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6F400000">
            <w:pPr>
              <w:widowControl w:val="1"/>
              <w:ind/>
              <w:jc w:val="right"/>
              <w:rPr>
                <w:sz w:val="18"/>
              </w:rPr>
            </w:pPr>
            <w:r>
              <w:rPr>
                <w:sz w:val="18"/>
              </w:rPr>
              <w:t>93</w:t>
            </w:r>
          </w:p>
        </w:tc>
        <w:tc>
          <w:tcPr>
            <w:tcW w:type="dxa" w:w="1160"/>
            <w:tcBorders>
              <w:top w:color="000000" w:sz="4" w:val="single"/>
              <w:left w:color="000000" w:sz="4" w:val="single"/>
              <w:bottom w:color="000000" w:sz="4" w:val="single"/>
              <w:right w:color="000000" w:sz="4" w:val="single"/>
            </w:tcBorders>
            <w:shd w:fill="auto" w:val="clear"/>
            <w:vAlign w:val="bottom"/>
          </w:tcPr>
          <w:p w14:paraId="70400000">
            <w:pPr>
              <w:widowControl w:val="1"/>
              <w:ind/>
              <w:jc w:val="right"/>
              <w:rPr>
                <w:sz w:val="18"/>
              </w:rPr>
            </w:pPr>
            <w:r>
              <w:rPr>
                <w:sz w:val="18"/>
              </w:rPr>
              <w:t>93</w:t>
            </w:r>
          </w:p>
        </w:tc>
        <w:tc>
          <w:tcPr>
            <w:tcW w:type="dxa" w:w="1620"/>
            <w:tcBorders>
              <w:top w:color="000000" w:sz="4" w:val="single"/>
              <w:left w:color="000000" w:sz="4" w:val="single"/>
              <w:bottom w:color="000000" w:sz="4" w:val="single"/>
              <w:right w:color="000000" w:sz="4" w:val="single"/>
            </w:tcBorders>
            <w:shd w:fill="auto" w:val="clear"/>
            <w:vAlign w:val="bottom"/>
          </w:tcPr>
          <w:p w14:paraId="71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72400000">
            <w:pPr>
              <w:widowControl w:val="1"/>
              <w:ind w:firstLine="180"/>
              <w:rPr>
                <w:sz w:val="18"/>
              </w:rPr>
            </w:pPr>
            <w:r>
              <w:rPr>
                <w:sz w:val="18"/>
              </w:rPr>
              <w:t>ИСТОК-БС ООО ТЦ</w:t>
            </w:r>
          </w:p>
        </w:tc>
        <w:tc>
          <w:tcPr>
            <w:tcW w:type="dxa" w:w="1640"/>
            <w:tcBorders>
              <w:top w:color="000000" w:sz="4" w:val="single"/>
              <w:left w:color="000000" w:sz="4" w:val="single"/>
              <w:bottom w:color="000000" w:sz="4" w:val="single"/>
              <w:right w:color="000000" w:sz="4" w:val="single"/>
            </w:tcBorders>
            <w:shd w:fill="auto" w:val="clear"/>
            <w:vAlign w:val="bottom"/>
          </w:tcPr>
          <w:p w14:paraId="73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74400000">
            <w:pPr>
              <w:widowControl w:val="1"/>
              <w:ind/>
              <w:jc w:val="right"/>
              <w:rPr>
                <w:sz w:val="18"/>
              </w:rPr>
            </w:pPr>
            <w:r>
              <w:rPr>
                <w:sz w:val="18"/>
              </w:rPr>
              <w:t>62</w:t>
            </w:r>
          </w:p>
        </w:tc>
        <w:tc>
          <w:tcPr>
            <w:tcW w:type="dxa" w:w="1160"/>
            <w:tcBorders>
              <w:top w:color="000000" w:sz="4" w:val="single"/>
              <w:left w:color="000000" w:sz="4" w:val="single"/>
              <w:bottom w:color="000000" w:sz="4" w:val="single"/>
              <w:right w:color="000000" w:sz="4" w:val="single"/>
            </w:tcBorders>
            <w:shd w:fill="auto" w:val="clear"/>
            <w:vAlign w:val="bottom"/>
          </w:tcPr>
          <w:p w14:paraId="75400000">
            <w:pPr>
              <w:widowControl w:val="1"/>
              <w:ind/>
              <w:jc w:val="right"/>
              <w:rPr>
                <w:sz w:val="18"/>
              </w:rPr>
            </w:pPr>
            <w:r>
              <w:rPr>
                <w:sz w:val="18"/>
              </w:rPr>
              <w:t>62</w:t>
            </w:r>
          </w:p>
        </w:tc>
        <w:tc>
          <w:tcPr>
            <w:tcW w:type="dxa" w:w="1620"/>
            <w:tcBorders>
              <w:top w:color="000000" w:sz="4" w:val="single"/>
              <w:left w:color="000000" w:sz="4" w:val="single"/>
              <w:bottom w:color="000000" w:sz="4" w:val="single"/>
              <w:right w:color="000000" w:sz="4" w:val="single"/>
            </w:tcBorders>
            <w:shd w:fill="auto" w:val="clear"/>
            <w:vAlign w:val="bottom"/>
          </w:tcPr>
          <w:p w14:paraId="76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77400000">
            <w:pPr>
              <w:widowControl w:val="1"/>
              <w:ind w:firstLine="180"/>
              <w:rPr>
                <w:sz w:val="18"/>
              </w:rPr>
            </w:pPr>
            <w:r>
              <w:rPr>
                <w:sz w:val="18"/>
              </w:rPr>
              <w:t>ИТРБ ООО</w:t>
            </w:r>
          </w:p>
        </w:tc>
        <w:tc>
          <w:tcPr>
            <w:tcW w:type="dxa" w:w="1640"/>
            <w:tcBorders>
              <w:top w:color="000000" w:sz="4" w:val="single"/>
              <w:left w:color="000000" w:sz="4" w:val="single"/>
              <w:bottom w:color="000000" w:sz="4" w:val="single"/>
              <w:right w:color="000000" w:sz="4" w:val="single"/>
            </w:tcBorders>
            <w:shd w:fill="auto" w:val="clear"/>
            <w:vAlign w:val="bottom"/>
          </w:tcPr>
          <w:p w14:paraId="78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79400000">
            <w:pPr>
              <w:widowControl w:val="1"/>
              <w:ind/>
              <w:jc w:val="right"/>
              <w:rPr>
                <w:sz w:val="18"/>
              </w:rPr>
            </w:pPr>
            <w:r>
              <w:rPr>
                <w:sz w:val="18"/>
              </w:rPr>
              <w:t>59</w:t>
            </w:r>
          </w:p>
        </w:tc>
        <w:tc>
          <w:tcPr>
            <w:tcW w:type="dxa" w:w="1160"/>
            <w:tcBorders>
              <w:top w:color="000000" w:sz="4" w:val="single"/>
              <w:left w:color="000000" w:sz="4" w:val="single"/>
              <w:bottom w:color="000000" w:sz="4" w:val="single"/>
              <w:right w:color="000000" w:sz="4" w:val="single"/>
            </w:tcBorders>
            <w:shd w:fill="auto" w:val="clear"/>
            <w:vAlign w:val="bottom"/>
          </w:tcPr>
          <w:p w14:paraId="7A400000">
            <w:pPr>
              <w:widowControl w:val="1"/>
              <w:ind/>
              <w:jc w:val="right"/>
              <w:rPr>
                <w:sz w:val="18"/>
              </w:rPr>
            </w:pPr>
            <w:r>
              <w:rPr>
                <w:sz w:val="18"/>
              </w:rPr>
              <w:t>59</w:t>
            </w:r>
          </w:p>
        </w:tc>
        <w:tc>
          <w:tcPr>
            <w:tcW w:type="dxa" w:w="1620"/>
            <w:tcBorders>
              <w:top w:color="000000" w:sz="4" w:val="single"/>
              <w:left w:color="000000" w:sz="4" w:val="single"/>
              <w:bottom w:color="000000" w:sz="4" w:val="single"/>
              <w:right w:color="000000" w:sz="4" w:val="single"/>
            </w:tcBorders>
            <w:shd w:fill="auto" w:val="clear"/>
            <w:vAlign w:val="bottom"/>
          </w:tcPr>
          <w:p w14:paraId="7B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7C400000">
            <w:pPr>
              <w:widowControl w:val="1"/>
              <w:ind w:firstLine="180"/>
              <w:rPr>
                <w:sz w:val="18"/>
              </w:rPr>
            </w:pPr>
            <w:r>
              <w:rPr>
                <w:sz w:val="18"/>
              </w:rPr>
              <w:t>КАСА ТЕКС ООО</w:t>
            </w:r>
          </w:p>
        </w:tc>
        <w:tc>
          <w:tcPr>
            <w:tcW w:type="dxa" w:w="1640"/>
            <w:tcBorders>
              <w:top w:color="000000" w:sz="4" w:val="single"/>
              <w:left w:color="000000" w:sz="4" w:val="single"/>
              <w:bottom w:color="000000" w:sz="4" w:val="single"/>
              <w:right w:color="000000" w:sz="4" w:val="single"/>
            </w:tcBorders>
            <w:shd w:fill="auto" w:val="clear"/>
            <w:vAlign w:val="bottom"/>
          </w:tcPr>
          <w:p w14:paraId="7D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7E400000">
            <w:pPr>
              <w:widowControl w:val="1"/>
              <w:ind/>
              <w:jc w:val="right"/>
              <w:rPr>
                <w:sz w:val="18"/>
              </w:rPr>
            </w:pPr>
            <w:r>
              <w:rPr>
                <w:sz w:val="18"/>
              </w:rPr>
              <w:t>18</w:t>
            </w:r>
          </w:p>
        </w:tc>
        <w:tc>
          <w:tcPr>
            <w:tcW w:type="dxa" w:w="1160"/>
            <w:tcBorders>
              <w:top w:color="000000" w:sz="4" w:val="single"/>
              <w:left w:color="000000" w:sz="4" w:val="single"/>
              <w:bottom w:color="000000" w:sz="4" w:val="single"/>
              <w:right w:color="000000" w:sz="4" w:val="single"/>
            </w:tcBorders>
            <w:shd w:fill="auto" w:val="clear"/>
            <w:vAlign w:val="bottom"/>
          </w:tcPr>
          <w:p w14:paraId="7F400000">
            <w:pPr>
              <w:widowControl w:val="1"/>
              <w:ind/>
              <w:jc w:val="right"/>
              <w:rPr>
                <w:sz w:val="18"/>
              </w:rPr>
            </w:pPr>
            <w:r>
              <w:rPr>
                <w:sz w:val="18"/>
              </w:rPr>
              <w:t>18</w:t>
            </w:r>
          </w:p>
        </w:tc>
        <w:tc>
          <w:tcPr>
            <w:tcW w:type="dxa" w:w="1620"/>
            <w:tcBorders>
              <w:top w:color="000000" w:sz="4" w:val="single"/>
              <w:left w:color="000000" w:sz="4" w:val="single"/>
              <w:bottom w:color="000000" w:sz="4" w:val="single"/>
              <w:right w:color="000000" w:sz="4" w:val="single"/>
            </w:tcBorders>
            <w:shd w:fill="auto" w:val="clear"/>
            <w:vAlign w:val="bottom"/>
          </w:tcPr>
          <w:p w14:paraId="80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81400000">
            <w:pPr>
              <w:widowControl w:val="1"/>
              <w:ind w:firstLine="180"/>
              <w:rPr>
                <w:sz w:val="18"/>
              </w:rPr>
            </w:pPr>
            <w:r>
              <w:rPr>
                <w:sz w:val="18"/>
              </w:rPr>
              <w:t>Катаев Игорь Николаевич</w:t>
            </w:r>
          </w:p>
        </w:tc>
        <w:tc>
          <w:tcPr>
            <w:tcW w:type="dxa" w:w="1640"/>
            <w:tcBorders>
              <w:top w:color="000000" w:sz="4" w:val="single"/>
              <w:left w:color="000000" w:sz="4" w:val="single"/>
              <w:bottom w:color="000000" w:sz="4" w:val="single"/>
              <w:right w:color="000000" w:sz="4" w:val="single"/>
            </w:tcBorders>
            <w:shd w:fill="auto" w:val="clear"/>
            <w:vAlign w:val="bottom"/>
          </w:tcPr>
          <w:p w14:paraId="82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83400000">
            <w:pPr>
              <w:widowControl w:val="1"/>
              <w:ind/>
              <w:jc w:val="right"/>
              <w:rPr>
                <w:sz w:val="18"/>
              </w:rPr>
            </w:pPr>
            <w:r>
              <w:rPr>
                <w:sz w:val="18"/>
              </w:rPr>
              <w:t>30</w:t>
            </w:r>
          </w:p>
        </w:tc>
        <w:tc>
          <w:tcPr>
            <w:tcW w:type="dxa" w:w="1160"/>
            <w:tcBorders>
              <w:top w:color="000000" w:sz="4" w:val="single"/>
              <w:left w:color="000000" w:sz="4" w:val="single"/>
              <w:bottom w:color="000000" w:sz="4" w:val="single"/>
              <w:right w:color="000000" w:sz="4" w:val="single"/>
            </w:tcBorders>
            <w:shd w:fill="auto" w:val="clear"/>
            <w:vAlign w:val="bottom"/>
          </w:tcPr>
          <w:p w14:paraId="84400000">
            <w:pPr>
              <w:widowControl w:val="1"/>
              <w:ind/>
              <w:jc w:val="right"/>
              <w:rPr>
                <w:sz w:val="18"/>
              </w:rPr>
            </w:pPr>
            <w:r>
              <w:rPr>
                <w:sz w:val="18"/>
              </w:rPr>
              <w:t>30</w:t>
            </w:r>
          </w:p>
        </w:tc>
        <w:tc>
          <w:tcPr>
            <w:tcW w:type="dxa" w:w="1620"/>
            <w:tcBorders>
              <w:top w:color="000000" w:sz="4" w:val="single"/>
              <w:left w:color="000000" w:sz="4" w:val="single"/>
              <w:bottom w:color="000000" w:sz="4" w:val="single"/>
              <w:right w:color="000000" w:sz="4" w:val="single"/>
            </w:tcBorders>
            <w:shd w:fill="auto" w:val="clear"/>
            <w:vAlign w:val="bottom"/>
          </w:tcPr>
          <w:p w14:paraId="85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86400000">
            <w:pPr>
              <w:widowControl w:val="1"/>
              <w:ind w:firstLine="180"/>
              <w:rPr>
                <w:sz w:val="18"/>
              </w:rPr>
            </w:pPr>
            <w:r>
              <w:rPr>
                <w:sz w:val="18"/>
              </w:rPr>
              <w:t>КГ СОБЫТИЕ ООО</w:t>
            </w:r>
          </w:p>
        </w:tc>
        <w:tc>
          <w:tcPr>
            <w:tcW w:type="dxa" w:w="1640"/>
            <w:tcBorders>
              <w:top w:color="000000" w:sz="4" w:val="single"/>
              <w:left w:color="000000" w:sz="4" w:val="single"/>
              <w:bottom w:color="000000" w:sz="4" w:val="single"/>
              <w:right w:color="000000" w:sz="4" w:val="single"/>
            </w:tcBorders>
            <w:shd w:fill="auto" w:val="clear"/>
            <w:vAlign w:val="bottom"/>
          </w:tcPr>
          <w:p w14:paraId="87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88400000">
            <w:pPr>
              <w:widowControl w:val="1"/>
              <w:ind/>
              <w:jc w:val="right"/>
              <w:rPr>
                <w:sz w:val="18"/>
              </w:rPr>
            </w:pPr>
            <w:r>
              <w:rPr>
                <w:sz w:val="18"/>
              </w:rPr>
              <w:t>215</w:t>
            </w:r>
          </w:p>
        </w:tc>
        <w:tc>
          <w:tcPr>
            <w:tcW w:type="dxa" w:w="1160"/>
            <w:tcBorders>
              <w:top w:color="000000" w:sz="4" w:val="single"/>
              <w:left w:color="000000" w:sz="4" w:val="single"/>
              <w:bottom w:color="000000" w:sz="4" w:val="single"/>
              <w:right w:color="000000" w:sz="4" w:val="single"/>
            </w:tcBorders>
            <w:shd w:fill="auto" w:val="clear"/>
            <w:vAlign w:val="bottom"/>
          </w:tcPr>
          <w:p w14:paraId="89400000">
            <w:pPr>
              <w:widowControl w:val="1"/>
              <w:ind/>
              <w:jc w:val="right"/>
              <w:rPr>
                <w:sz w:val="18"/>
              </w:rPr>
            </w:pPr>
            <w:r>
              <w:rPr>
                <w:sz w:val="18"/>
              </w:rPr>
              <w:t>215</w:t>
            </w:r>
          </w:p>
        </w:tc>
        <w:tc>
          <w:tcPr>
            <w:tcW w:type="dxa" w:w="1620"/>
            <w:tcBorders>
              <w:top w:color="000000" w:sz="4" w:val="single"/>
              <w:left w:color="000000" w:sz="4" w:val="single"/>
              <w:bottom w:color="000000" w:sz="4" w:val="single"/>
              <w:right w:color="000000" w:sz="4" w:val="single"/>
            </w:tcBorders>
            <w:shd w:fill="auto" w:val="clear"/>
            <w:vAlign w:val="bottom"/>
          </w:tcPr>
          <w:p w14:paraId="8A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8B400000">
            <w:pPr>
              <w:widowControl w:val="1"/>
              <w:ind w:firstLine="180"/>
              <w:rPr>
                <w:sz w:val="18"/>
              </w:rPr>
            </w:pPr>
            <w:r>
              <w:rPr>
                <w:sz w:val="18"/>
              </w:rPr>
              <w:t>КЛАД ООО</w:t>
            </w:r>
          </w:p>
        </w:tc>
        <w:tc>
          <w:tcPr>
            <w:tcW w:type="dxa" w:w="1640"/>
            <w:tcBorders>
              <w:top w:color="000000" w:sz="4" w:val="single"/>
              <w:left w:color="000000" w:sz="4" w:val="single"/>
              <w:bottom w:color="000000" w:sz="4" w:val="single"/>
              <w:right w:color="000000" w:sz="4" w:val="single"/>
            </w:tcBorders>
            <w:shd w:fill="auto" w:val="clear"/>
            <w:vAlign w:val="bottom"/>
          </w:tcPr>
          <w:p w14:paraId="8C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8D400000">
            <w:pPr>
              <w:widowControl w:val="1"/>
              <w:ind/>
              <w:jc w:val="right"/>
              <w:rPr>
                <w:sz w:val="18"/>
              </w:rPr>
            </w:pPr>
            <w:r>
              <w:rPr>
                <w:sz w:val="18"/>
              </w:rPr>
              <w:t>15</w:t>
            </w:r>
          </w:p>
        </w:tc>
        <w:tc>
          <w:tcPr>
            <w:tcW w:type="dxa" w:w="1160"/>
            <w:tcBorders>
              <w:top w:color="000000" w:sz="4" w:val="single"/>
              <w:left w:color="000000" w:sz="4" w:val="single"/>
              <w:bottom w:color="000000" w:sz="4" w:val="single"/>
              <w:right w:color="000000" w:sz="4" w:val="single"/>
            </w:tcBorders>
            <w:shd w:fill="auto" w:val="clear"/>
            <w:vAlign w:val="bottom"/>
          </w:tcPr>
          <w:p w14:paraId="8E400000">
            <w:pPr>
              <w:widowControl w:val="1"/>
              <w:ind/>
              <w:jc w:val="right"/>
              <w:rPr>
                <w:sz w:val="18"/>
              </w:rPr>
            </w:pPr>
            <w:r>
              <w:rPr>
                <w:sz w:val="18"/>
              </w:rPr>
              <w:t>15</w:t>
            </w:r>
          </w:p>
        </w:tc>
        <w:tc>
          <w:tcPr>
            <w:tcW w:type="dxa" w:w="1620"/>
            <w:tcBorders>
              <w:top w:color="000000" w:sz="4" w:val="single"/>
              <w:left w:color="000000" w:sz="4" w:val="single"/>
              <w:bottom w:color="000000" w:sz="4" w:val="single"/>
              <w:right w:color="000000" w:sz="4" w:val="single"/>
            </w:tcBorders>
            <w:shd w:fill="auto" w:val="clear"/>
            <w:vAlign w:val="bottom"/>
          </w:tcPr>
          <w:p w14:paraId="8F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90400000">
            <w:pPr>
              <w:widowControl w:val="1"/>
              <w:ind w:firstLine="180"/>
              <w:rPr>
                <w:sz w:val="18"/>
              </w:rPr>
            </w:pPr>
            <w:r>
              <w:rPr>
                <w:sz w:val="18"/>
              </w:rPr>
              <w:t>КЛЕВЕРЕНС СОФТ ООО</w:t>
            </w:r>
          </w:p>
        </w:tc>
        <w:tc>
          <w:tcPr>
            <w:tcW w:type="dxa" w:w="1640"/>
            <w:tcBorders>
              <w:top w:color="000000" w:sz="4" w:val="single"/>
              <w:left w:color="000000" w:sz="4" w:val="single"/>
              <w:bottom w:color="000000" w:sz="4" w:val="single"/>
              <w:right w:color="000000" w:sz="4" w:val="single"/>
            </w:tcBorders>
            <w:shd w:fill="auto" w:val="clear"/>
            <w:vAlign w:val="bottom"/>
          </w:tcPr>
          <w:p w14:paraId="91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92400000">
            <w:pPr>
              <w:widowControl w:val="1"/>
              <w:ind/>
              <w:jc w:val="right"/>
              <w:rPr>
                <w:sz w:val="18"/>
              </w:rPr>
            </w:pPr>
            <w:r>
              <w:rPr>
                <w:sz w:val="18"/>
              </w:rPr>
              <w:t>30</w:t>
            </w:r>
          </w:p>
        </w:tc>
        <w:tc>
          <w:tcPr>
            <w:tcW w:type="dxa" w:w="1160"/>
            <w:tcBorders>
              <w:top w:color="000000" w:sz="4" w:val="single"/>
              <w:left w:color="000000" w:sz="4" w:val="single"/>
              <w:bottom w:color="000000" w:sz="4" w:val="single"/>
              <w:right w:color="000000" w:sz="4" w:val="single"/>
            </w:tcBorders>
            <w:shd w:fill="auto" w:val="clear"/>
            <w:vAlign w:val="bottom"/>
          </w:tcPr>
          <w:p w14:paraId="93400000">
            <w:pPr>
              <w:widowControl w:val="1"/>
              <w:ind/>
              <w:jc w:val="right"/>
              <w:rPr>
                <w:sz w:val="18"/>
              </w:rPr>
            </w:pPr>
            <w:r>
              <w:rPr>
                <w:sz w:val="18"/>
              </w:rPr>
              <w:t>30</w:t>
            </w:r>
          </w:p>
        </w:tc>
        <w:tc>
          <w:tcPr>
            <w:tcW w:type="dxa" w:w="1620"/>
            <w:tcBorders>
              <w:top w:color="000000" w:sz="4" w:val="single"/>
              <w:left w:color="000000" w:sz="4" w:val="single"/>
              <w:bottom w:color="000000" w:sz="4" w:val="single"/>
              <w:right w:color="000000" w:sz="4" w:val="single"/>
            </w:tcBorders>
            <w:shd w:fill="auto" w:val="clear"/>
            <w:vAlign w:val="bottom"/>
          </w:tcPr>
          <w:p w14:paraId="94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95400000">
            <w:pPr>
              <w:widowControl w:val="1"/>
              <w:ind w:firstLine="180"/>
              <w:rPr>
                <w:sz w:val="18"/>
              </w:rPr>
            </w:pPr>
            <w:r>
              <w:rPr>
                <w:sz w:val="18"/>
              </w:rPr>
              <w:t>Клименко Сергей Андреевич ИП</w:t>
            </w:r>
          </w:p>
        </w:tc>
        <w:tc>
          <w:tcPr>
            <w:tcW w:type="dxa" w:w="1640"/>
            <w:tcBorders>
              <w:top w:color="000000" w:sz="4" w:val="single"/>
              <w:left w:color="000000" w:sz="4" w:val="single"/>
              <w:bottom w:color="000000" w:sz="4" w:val="single"/>
              <w:right w:color="000000" w:sz="4" w:val="single"/>
            </w:tcBorders>
            <w:shd w:fill="auto" w:val="clear"/>
            <w:vAlign w:val="bottom"/>
          </w:tcPr>
          <w:p w14:paraId="96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97400000">
            <w:pPr>
              <w:widowControl w:val="1"/>
              <w:ind/>
              <w:jc w:val="right"/>
              <w:rPr>
                <w:sz w:val="18"/>
              </w:rPr>
            </w:pPr>
            <w:r>
              <w:rPr>
                <w:sz w:val="18"/>
              </w:rPr>
              <w:t>2</w:t>
            </w:r>
          </w:p>
        </w:tc>
        <w:tc>
          <w:tcPr>
            <w:tcW w:type="dxa" w:w="1160"/>
            <w:tcBorders>
              <w:top w:color="000000" w:sz="4" w:val="single"/>
              <w:left w:color="000000" w:sz="4" w:val="single"/>
              <w:bottom w:color="000000" w:sz="4" w:val="single"/>
              <w:right w:color="000000" w:sz="4" w:val="single"/>
            </w:tcBorders>
            <w:shd w:fill="auto" w:val="clear"/>
            <w:vAlign w:val="bottom"/>
          </w:tcPr>
          <w:p w14:paraId="98400000">
            <w:pPr>
              <w:widowControl w:val="1"/>
              <w:ind/>
              <w:jc w:val="right"/>
              <w:rPr>
                <w:sz w:val="18"/>
              </w:rPr>
            </w:pPr>
            <w:r>
              <w:rPr>
                <w:sz w:val="18"/>
              </w:rPr>
              <w:t>2</w:t>
            </w:r>
          </w:p>
        </w:tc>
        <w:tc>
          <w:tcPr>
            <w:tcW w:type="dxa" w:w="1620"/>
            <w:tcBorders>
              <w:top w:color="000000" w:sz="4" w:val="single"/>
              <w:left w:color="000000" w:sz="4" w:val="single"/>
              <w:bottom w:color="000000" w:sz="4" w:val="single"/>
              <w:right w:color="000000" w:sz="4" w:val="single"/>
            </w:tcBorders>
            <w:shd w:fill="auto" w:val="clear"/>
            <w:vAlign w:val="bottom"/>
          </w:tcPr>
          <w:p w14:paraId="99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9A400000">
            <w:pPr>
              <w:widowControl w:val="1"/>
              <w:ind w:firstLine="180"/>
              <w:rPr>
                <w:sz w:val="18"/>
              </w:rPr>
            </w:pPr>
            <w:r>
              <w:rPr>
                <w:sz w:val="18"/>
              </w:rPr>
              <w:t>Комитет муниципальной экономики Г.АБАКАНА</w:t>
            </w:r>
          </w:p>
        </w:tc>
        <w:tc>
          <w:tcPr>
            <w:tcW w:type="dxa" w:w="1640"/>
            <w:tcBorders>
              <w:top w:color="000000" w:sz="4" w:val="single"/>
              <w:left w:color="000000" w:sz="4" w:val="single"/>
              <w:bottom w:color="000000" w:sz="4" w:val="single"/>
              <w:right w:color="000000" w:sz="4" w:val="single"/>
            </w:tcBorders>
            <w:shd w:fill="auto" w:val="clear"/>
            <w:vAlign w:val="bottom"/>
          </w:tcPr>
          <w:p w14:paraId="9B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9C400000">
            <w:pPr>
              <w:widowControl w:val="1"/>
              <w:ind/>
              <w:jc w:val="right"/>
              <w:rPr>
                <w:sz w:val="18"/>
              </w:rPr>
            </w:pPr>
            <w:r>
              <w:rPr>
                <w:sz w:val="18"/>
              </w:rPr>
              <w:t>112</w:t>
            </w:r>
          </w:p>
        </w:tc>
        <w:tc>
          <w:tcPr>
            <w:tcW w:type="dxa" w:w="1160"/>
            <w:tcBorders>
              <w:top w:color="000000" w:sz="4" w:val="single"/>
              <w:left w:color="000000" w:sz="4" w:val="single"/>
              <w:bottom w:color="000000" w:sz="4" w:val="single"/>
              <w:right w:color="000000" w:sz="4" w:val="single"/>
            </w:tcBorders>
            <w:shd w:fill="auto" w:val="clear"/>
            <w:vAlign w:val="bottom"/>
          </w:tcPr>
          <w:p w14:paraId="9D400000">
            <w:pPr>
              <w:widowControl w:val="1"/>
              <w:ind/>
              <w:jc w:val="right"/>
              <w:rPr>
                <w:sz w:val="18"/>
              </w:rPr>
            </w:pPr>
            <w:r>
              <w:rPr>
                <w:sz w:val="18"/>
              </w:rPr>
              <w:t>112</w:t>
            </w:r>
          </w:p>
        </w:tc>
        <w:tc>
          <w:tcPr>
            <w:tcW w:type="dxa" w:w="1620"/>
            <w:tcBorders>
              <w:top w:color="000000" w:sz="4" w:val="single"/>
              <w:left w:color="000000" w:sz="4" w:val="single"/>
              <w:bottom w:color="000000" w:sz="4" w:val="single"/>
              <w:right w:color="000000" w:sz="4" w:val="single"/>
            </w:tcBorders>
            <w:shd w:fill="auto" w:val="clear"/>
            <w:vAlign w:val="bottom"/>
          </w:tcPr>
          <w:p w14:paraId="9E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9F400000">
            <w:pPr>
              <w:widowControl w:val="1"/>
              <w:ind w:firstLine="180"/>
              <w:rPr>
                <w:sz w:val="18"/>
              </w:rPr>
            </w:pPr>
            <w:r>
              <w:rPr>
                <w:sz w:val="18"/>
              </w:rPr>
              <w:t>КОМПАНИЯ ТЕНЗОР ООО</w:t>
            </w:r>
          </w:p>
        </w:tc>
        <w:tc>
          <w:tcPr>
            <w:tcW w:type="dxa" w:w="1640"/>
            <w:tcBorders>
              <w:top w:color="000000" w:sz="4" w:val="single"/>
              <w:left w:color="000000" w:sz="4" w:val="single"/>
              <w:bottom w:color="000000" w:sz="4" w:val="single"/>
              <w:right w:color="000000" w:sz="4" w:val="single"/>
            </w:tcBorders>
            <w:shd w:fill="auto" w:val="clear"/>
            <w:vAlign w:val="bottom"/>
          </w:tcPr>
          <w:p w14:paraId="A0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A1400000">
            <w:pPr>
              <w:widowControl w:val="1"/>
              <w:ind/>
              <w:jc w:val="right"/>
              <w:rPr>
                <w:sz w:val="18"/>
              </w:rPr>
            </w:pPr>
            <w:r>
              <w:rPr>
                <w:sz w:val="18"/>
              </w:rPr>
              <w:t>4</w:t>
            </w:r>
          </w:p>
        </w:tc>
        <w:tc>
          <w:tcPr>
            <w:tcW w:type="dxa" w:w="1160"/>
            <w:tcBorders>
              <w:top w:color="000000" w:sz="4" w:val="single"/>
              <w:left w:color="000000" w:sz="4" w:val="single"/>
              <w:bottom w:color="000000" w:sz="4" w:val="single"/>
              <w:right w:color="000000" w:sz="4" w:val="single"/>
            </w:tcBorders>
            <w:shd w:fill="auto" w:val="clear"/>
            <w:vAlign w:val="bottom"/>
          </w:tcPr>
          <w:p w14:paraId="A2400000">
            <w:pPr>
              <w:widowControl w:val="1"/>
              <w:ind/>
              <w:jc w:val="right"/>
              <w:rPr>
                <w:sz w:val="18"/>
              </w:rPr>
            </w:pPr>
            <w:r>
              <w:rPr>
                <w:sz w:val="18"/>
              </w:rPr>
              <w:t>4</w:t>
            </w:r>
          </w:p>
        </w:tc>
        <w:tc>
          <w:tcPr>
            <w:tcW w:type="dxa" w:w="1620"/>
            <w:tcBorders>
              <w:top w:color="000000" w:sz="4" w:val="single"/>
              <w:left w:color="000000" w:sz="4" w:val="single"/>
              <w:bottom w:color="000000" w:sz="4" w:val="single"/>
              <w:right w:color="000000" w:sz="4" w:val="single"/>
            </w:tcBorders>
            <w:shd w:fill="auto" w:val="clear"/>
            <w:vAlign w:val="bottom"/>
          </w:tcPr>
          <w:p w14:paraId="A3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A4400000">
            <w:pPr>
              <w:widowControl w:val="1"/>
              <w:ind w:firstLine="180"/>
              <w:rPr>
                <w:sz w:val="18"/>
              </w:rPr>
            </w:pPr>
            <w:r>
              <w:rPr>
                <w:sz w:val="18"/>
              </w:rPr>
              <w:t xml:space="preserve">КОНТУР АО ПФ СКБ </w:t>
            </w:r>
          </w:p>
        </w:tc>
        <w:tc>
          <w:tcPr>
            <w:tcW w:type="dxa" w:w="1640"/>
            <w:tcBorders>
              <w:top w:color="000000" w:sz="4" w:val="single"/>
              <w:left w:color="000000" w:sz="4" w:val="single"/>
              <w:bottom w:color="000000" w:sz="4" w:val="single"/>
              <w:right w:color="000000" w:sz="4" w:val="single"/>
            </w:tcBorders>
            <w:shd w:fill="auto" w:val="clear"/>
            <w:vAlign w:val="bottom"/>
          </w:tcPr>
          <w:p w14:paraId="A5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A6400000">
            <w:pPr>
              <w:widowControl w:val="1"/>
              <w:ind/>
              <w:jc w:val="right"/>
              <w:rPr>
                <w:sz w:val="18"/>
              </w:rPr>
            </w:pPr>
            <w:r>
              <w:rPr>
                <w:sz w:val="18"/>
              </w:rPr>
              <w:t>28</w:t>
            </w:r>
          </w:p>
        </w:tc>
        <w:tc>
          <w:tcPr>
            <w:tcW w:type="dxa" w:w="1160"/>
            <w:tcBorders>
              <w:top w:color="000000" w:sz="4" w:val="single"/>
              <w:left w:color="000000" w:sz="4" w:val="single"/>
              <w:bottom w:color="000000" w:sz="4" w:val="single"/>
              <w:right w:color="000000" w:sz="4" w:val="single"/>
            </w:tcBorders>
            <w:shd w:fill="auto" w:val="clear"/>
            <w:vAlign w:val="bottom"/>
          </w:tcPr>
          <w:p w14:paraId="A7400000">
            <w:pPr>
              <w:widowControl w:val="1"/>
              <w:ind/>
              <w:jc w:val="right"/>
              <w:rPr>
                <w:sz w:val="18"/>
              </w:rPr>
            </w:pPr>
            <w:r>
              <w:rPr>
                <w:sz w:val="18"/>
              </w:rPr>
              <w:t>28</w:t>
            </w:r>
          </w:p>
        </w:tc>
        <w:tc>
          <w:tcPr>
            <w:tcW w:type="dxa" w:w="1620"/>
            <w:tcBorders>
              <w:top w:color="000000" w:sz="4" w:val="single"/>
              <w:left w:color="000000" w:sz="4" w:val="single"/>
              <w:bottom w:color="000000" w:sz="4" w:val="single"/>
              <w:right w:color="000000" w:sz="4" w:val="single"/>
            </w:tcBorders>
            <w:shd w:fill="auto" w:val="clear"/>
            <w:vAlign w:val="bottom"/>
          </w:tcPr>
          <w:p w14:paraId="A8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A9400000">
            <w:pPr>
              <w:widowControl w:val="1"/>
              <w:ind w:firstLine="180"/>
              <w:rPr>
                <w:sz w:val="18"/>
              </w:rPr>
            </w:pPr>
            <w:r>
              <w:rPr>
                <w:sz w:val="18"/>
              </w:rPr>
              <w:t>Красноярскгортранс МКУ города Красноярска</w:t>
            </w:r>
          </w:p>
        </w:tc>
        <w:tc>
          <w:tcPr>
            <w:tcW w:type="dxa" w:w="1640"/>
            <w:tcBorders>
              <w:top w:color="000000" w:sz="4" w:val="single"/>
              <w:left w:color="000000" w:sz="4" w:val="single"/>
              <w:bottom w:color="000000" w:sz="4" w:val="single"/>
              <w:right w:color="000000" w:sz="4" w:val="single"/>
            </w:tcBorders>
            <w:shd w:fill="auto" w:val="clear"/>
            <w:vAlign w:val="bottom"/>
          </w:tcPr>
          <w:p w14:paraId="AA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AB400000">
            <w:pPr>
              <w:widowControl w:val="1"/>
              <w:ind/>
              <w:jc w:val="right"/>
              <w:rPr>
                <w:sz w:val="18"/>
              </w:rPr>
            </w:pPr>
            <w:r>
              <w:rPr>
                <w:sz w:val="18"/>
              </w:rPr>
              <w:t>90</w:t>
            </w:r>
          </w:p>
        </w:tc>
        <w:tc>
          <w:tcPr>
            <w:tcW w:type="dxa" w:w="1160"/>
            <w:tcBorders>
              <w:top w:color="000000" w:sz="4" w:val="single"/>
              <w:left w:color="000000" w:sz="4" w:val="single"/>
              <w:bottom w:color="000000" w:sz="4" w:val="single"/>
              <w:right w:color="000000" w:sz="4" w:val="single"/>
            </w:tcBorders>
            <w:shd w:fill="auto" w:val="clear"/>
            <w:vAlign w:val="bottom"/>
          </w:tcPr>
          <w:p w14:paraId="AC400000">
            <w:pPr>
              <w:widowControl w:val="1"/>
              <w:ind/>
              <w:jc w:val="right"/>
              <w:rPr>
                <w:sz w:val="18"/>
              </w:rPr>
            </w:pPr>
            <w:r>
              <w:rPr>
                <w:sz w:val="18"/>
              </w:rPr>
              <w:t>90</w:t>
            </w:r>
          </w:p>
        </w:tc>
        <w:tc>
          <w:tcPr>
            <w:tcW w:type="dxa" w:w="1620"/>
            <w:tcBorders>
              <w:top w:color="000000" w:sz="4" w:val="single"/>
              <w:left w:color="000000" w:sz="4" w:val="single"/>
              <w:bottom w:color="000000" w:sz="4" w:val="single"/>
              <w:right w:color="000000" w:sz="4" w:val="single"/>
            </w:tcBorders>
            <w:shd w:fill="auto" w:val="clear"/>
            <w:vAlign w:val="bottom"/>
          </w:tcPr>
          <w:p w14:paraId="AD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AE400000">
            <w:pPr>
              <w:widowControl w:val="1"/>
              <w:ind w:firstLine="180"/>
              <w:rPr>
                <w:sz w:val="18"/>
              </w:rPr>
            </w:pPr>
            <w:r>
              <w:rPr>
                <w:sz w:val="18"/>
              </w:rPr>
              <w:t>Красноярский центр научно-технической информации и библиотек</w:t>
            </w:r>
          </w:p>
        </w:tc>
        <w:tc>
          <w:tcPr>
            <w:tcW w:type="dxa" w:w="1640"/>
            <w:tcBorders>
              <w:top w:color="000000" w:sz="4" w:val="single"/>
              <w:left w:color="000000" w:sz="4" w:val="single"/>
              <w:bottom w:color="000000" w:sz="4" w:val="single"/>
              <w:right w:color="000000" w:sz="4" w:val="single"/>
            </w:tcBorders>
            <w:shd w:fill="auto" w:val="clear"/>
            <w:vAlign w:val="bottom"/>
          </w:tcPr>
          <w:p w14:paraId="AF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B0400000">
            <w:pPr>
              <w:widowControl w:val="1"/>
              <w:ind/>
              <w:jc w:val="right"/>
              <w:rPr>
                <w:sz w:val="18"/>
              </w:rPr>
            </w:pPr>
            <w:r>
              <w:rPr>
                <w:sz w:val="18"/>
              </w:rPr>
              <w:t>2</w:t>
            </w:r>
          </w:p>
        </w:tc>
        <w:tc>
          <w:tcPr>
            <w:tcW w:type="dxa" w:w="1160"/>
            <w:tcBorders>
              <w:top w:color="000000" w:sz="4" w:val="single"/>
              <w:left w:color="000000" w:sz="4" w:val="single"/>
              <w:bottom w:color="000000" w:sz="4" w:val="single"/>
              <w:right w:color="000000" w:sz="4" w:val="single"/>
            </w:tcBorders>
            <w:shd w:fill="auto" w:val="clear"/>
            <w:vAlign w:val="bottom"/>
          </w:tcPr>
          <w:p w14:paraId="B1400000">
            <w:pPr>
              <w:widowControl w:val="1"/>
              <w:ind/>
              <w:jc w:val="right"/>
              <w:rPr>
                <w:sz w:val="18"/>
              </w:rPr>
            </w:pPr>
            <w:r>
              <w:rPr>
                <w:sz w:val="18"/>
              </w:rPr>
              <w:t>2</w:t>
            </w:r>
          </w:p>
        </w:tc>
        <w:tc>
          <w:tcPr>
            <w:tcW w:type="dxa" w:w="1620"/>
            <w:tcBorders>
              <w:top w:color="000000" w:sz="4" w:val="single"/>
              <w:left w:color="000000" w:sz="4" w:val="single"/>
              <w:bottom w:color="000000" w:sz="4" w:val="single"/>
              <w:right w:color="000000" w:sz="4" w:val="single"/>
            </w:tcBorders>
            <w:shd w:fill="auto" w:val="clear"/>
            <w:vAlign w:val="bottom"/>
          </w:tcPr>
          <w:p w14:paraId="B2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B3400000">
            <w:pPr>
              <w:widowControl w:val="1"/>
              <w:ind w:firstLine="180"/>
              <w:rPr>
                <w:sz w:val="18"/>
              </w:rPr>
            </w:pPr>
            <w:r>
              <w:rPr>
                <w:sz w:val="18"/>
              </w:rPr>
              <w:t>Марков Николай Анатольевич ИП</w:t>
            </w:r>
          </w:p>
        </w:tc>
        <w:tc>
          <w:tcPr>
            <w:tcW w:type="dxa" w:w="1640"/>
            <w:tcBorders>
              <w:top w:color="000000" w:sz="4" w:val="single"/>
              <w:left w:color="000000" w:sz="4" w:val="single"/>
              <w:bottom w:color="000000" w:sz="4" w:val="single"/>
              <w:right w:color="000000" w:sz="4" w:val="single"/>
            </w:tcBorders>
            <w:shd w:fill="auto" w:val="clear"/>
            <w:vAlign w:val="bottom"/>
          </w:tcPr>
          <w:p w14:paraId="B4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B5400000">
            <w:pPr>
              <w:widowControl w:val="1"/>
              <w:ind/>
              <w:jc w:val="right"/>
              <w:rPr>
                <w:sz w:val="18"/>
              </w:rPr>
            </w:pPr>
            <w:r>
              <w:rPr>
                <w:sz w:val="18"/>
              </w:rPr>
              <w:t>61</w:t>
            </w:r>
          </w:p>
        </w:tc>
        <w:tc>
          <w:tcPr>
            <w:tcW w:type="dxa" w:w="1160"/>
            <w:tcBorders>
              <w:top w:color="000000" w:sz="4" w:val="single"/>
              <w:left w:color="000000" w:sz="4" w:val="single"/>
              <w:bottom w:color="000000" w:sz="4" w:val="single"/>
              <w:right w:color="000000" w:sz="4" w:val="single"/>
            </w:tcBorders>
            <w:shd w:fill="auto" w:val="clear"/>
            <w:vAlign w:val="bottom"/>
          </w:tcPr>
          <w:p w14:paraId="B6400000">
            <w:pPr>
              <w:widowControl w:val="1"/>
              <w:ind/>
              <w:jc w:val="right"/>
              <w:rPr>
                <w:sz w:val="18"/>
              </w:rPr>
            </w:pPr>
            <w:r>
              <w:rPr>
                <w:sz w:val="18"/>
              </w:rPr>
              <w:t>61</w:t>
            </w:r>
          </w:p>
        </w:tc>
        <w:tc>
          <w:tcPr>
            <w:tcW w:type="dxa" w:w="1620"/>
            <w:tcBorders>
              <w:top w:color="000000" w:sz="4" w:val="single"/>
              <w:left w:color="000000" w:sz="4" w:val="single"/>
              <w:bottom w:color="000000" w:sz="4" w:val="single"/>
              <w:right w:color="000000" w:sz="4" w:val="single"/>
            </w:tcBorders>
            <w:shd w:fill="auto" w:val="clear"/>
            <w:vAlign w:val="bottom"/>
          </w:tcPr>
          <w:p w14:paraId="B7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B8400000">
            <w:pPr>
              <w:widowControl w:val="1"/>
              <w:ind w:firstLine="180"/>
              <w:rPr>
                <w:sz w:val="18"/>
              </w:rPr>
            </w:pPr>
            <w:r>
              <w:rPr>
                <w:sz w:val="18"/>
              </w:rPr>
              <w:t>МЕДВЕДЬ-СЕРВИС ООО</w:t>
            </w:r>
          </w:p>
        </w:tc>
        <w:tc>
          <w:tcPr>
            <w:tcW w:type="dxa" w:w="1640"/>
            <w:tcBorders>
              <w:top w:color="000000" w:sz="4" w:val="single"/>
              <w:left w:color="000000" w:sz="4" w:val="single"/>
              <w:bottom w:color="000000" w:sz="4" w:val="single"/>
              <w:right w:color="000000" w:sz="4" w:val="single"/>
            </w:tcBorders>
            <w:shd w:fill="auto" w:val="clear"/>
            <w:vAlign w:val="bottom"/>
          </w:tcPr>
          <w:p w14:paraId="B9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BA400000">
            <w:pPr>
              <w:widowControl w:val="1"/>
              <w:ind/>
              <w:jc w:val="right"/>
              <w:rPr>
                <w:sz w:val="18"/>
              </w:rPr>
            </w:pPr>
            <w:r>
              <w:rPr>
                <w:sz w:val="18"/>
              </w:rPr>
              <w:t>7</w:t>
            </w:r>
          </w:p>
        </w:tc>
        <w:tc>
          <w:tcPr>
            <w:tcW w:type="dxa" w:w="1160"/>
            <w:tcBorders>
              <w:top w:color="000000" w:sz="4" w:val="single"/>
              <w:left w:color="000000" w:sz="4" w:val="single"/>
              <w:bottom w:color="000000" w:sz="4" w:val="single"/>
              <w:right w:color="000000" w:sz="4" w:val="single"/>
            </w:tcBorders>
            <w:shd w:fill="auto" w:val="clear"/>
            <w:vAlign w:val="bottom"/>
          </w:tcPr>
          <w:p w14:paraId="BB400000">
            <w:pPr>
              <w:widowControl w:val="1"/>
              <w:ind/>
              <w:jc w:val="right"/>
              <w:rPr>
                <w:sz w:val="18"/>
              </w:rPr>
            </w:pPr>
            <w:r>
              <w:rPr>
                <w:sz w:val="18"/>
              </w:rPr>
              <w:t>7</w:t>
            </w:r>
          </w:p>
        </w:tc>
        <w:tc>
          <w:tcPr>
            <w:tcW w:type="dxa" w:w="1620"/>
            <w:tcBorders>
              <w:top w:color="000000" w:sz="4" w:val="single"/>
              <w:left w:color="000000" w:sz="4" w:val="single"/>
              <w:bottom w:color="000000" w:sz="4" w:val="single"/>
              <w:right w:color="000000" w:sz="4" w:val="single"/>
            </w:tcBorders>
            <w:shd w:fill="auto" w:val="clear"/>
            <w:vAlign w:val="bottom"/>
          </w:tcPr>
          <w:p w14:paraId="BC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BD400000">
            <w:pPr>
              <w:widowControl w:val="1"/>
              <w:ind w:firstLine="180"/>
              <w:rPr>
                <w:sz w:val="18"/>
              </w:rPr>
            </w:pPr>
            <w:r>
              <w:rPr>
                <w:sz w:val="18"/>
              </w:rPr>
              <w:t>НорАрм ООО</w:t>
            </w:r>
          </w:p>
        </w:tc>
        <w:tc>
          <w:tcPr>
            <w:tcW w:type="dxa" w:w="1640"/>
            <w:tcBorders>
              <w:top w:color="000000" w:sz="4" w:val="single"/>
              <w:left w:color="000000" w:sz="4" w:val="single"/>
              <w:bottom w:color="000000" w:sz="4" w:val="single"/>
              <w:right w:color="000000" w:sz="4" w:val="single"/>
            </w:tcBorders>
            <w:shd w:fill="auto" w:val="clear"/>
            <w:vAlign w:val="bottom"/>
          </w:tcPr>
          <w:p w14:paraId="BE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BF400000">
            <w:pPr>
              <w:widowControl w:val="1"/>
              <w:ind/>
              <w:jc w:val="right"/>
              <w:rPr>
                <w:sz w:val="18"/>
              </w:rPr>
            </w:pPr>
            <w:r>
              <w:rPr>
                <w:sz w:val="18"/>
              </w:rPr>
              <w:t>70</w:t>
            </w:r>
          </w:p>
        </w:tc>
        <w:tc>
          <w:tcPr>
            <w:tcW w:type="dxa" w:w="1160"/>
            <w:tcBorders>
              <w:top w:color="000000" w:sz="4" w:val="single"/>
              <w:left w:color="000000" w:sz="4" w:val="single"/>
              <w:bottom w:color="000000" w:sz="4" w:val="single"/>
              <w:right w:color="000000" w:sz="4" w:val="single"/>
            </w:tcBorders>
            <w:shd w:fill="auto" w:val="clear"/>
            <w:vAlign w:val="bottom"/>
          </w:tcPr>
          <w:p w14:paraId="C0400000">
            <w:pPr>
              <w:widowControl w:val="1"/>
              <w:ind/>
              <w:jc w:val="right"/>
              <w:rPr>
                <w:sz w:val="18"/>
              </w:rPr>
            </w:pPr>
            <w:r>
              <w:rPr>
                <w:sz w:val="18"/>
              </w:rPr>
              <w:t>70</w:t>
            </w:r>
          </w:p>
        </w:tc>
        <w:tc>
          <w:tcPr>
            <w:tcW w:type="dxa" w:w="1620"/>
            <w:tcBorders>
              <w:top w:color="000000" w:sz="4" w:val="single"/>
              <w:left w:color="000000" w:sz="4" w:val="single"/>
              <w:bottom w:color="000000" w:sz="4" w:val="single"/>
              <w:right w:color="000000" w:sz="4" w:val="single"/>
            </w:tcBorders>
            <w:shd w:fill="auto" w:val="clear"/>
            <w:vAlign w:val="bottom"/>
          </w:tcPr>
          <w:p w14:paraId="C1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C2400000">
            <w:pPr>
              <w:widowControl w:val="1"/>
              <w:ind w:firstLine="180"/>
              <w:rPr>
                <w:sz w:val="18"/>
              </w:rPr>
            </w:pPr>
            <w:r>
              <w:rPr>
                <w:sz w:val="18"/>
              </w:rPr>
              <w:t>ООО "ДНС Трейд"</w:t>
            </w:r>
          </w:p>
        </w:tc>
        <w:tc>
          <w:tcPr>
            <w:tcW w:type="dxa" w:w="1640"/>
            <w:tcBorders>
              <w:top w:color="000000" w:sz="4" w:val="single"/>
              <w:left w:color="000000" w:sz="4" w:val="single"/>
              <w:bottom w:color="000000" w:sz="4" w:val="single"/>
              <w:right w:color="000000" w:sz="4" w:val="single"/>
            </w:tcBorders>
            <w:shd w:fill="auto" w:val="clear"/>
            <w:vAlign w:val="bottom"/>
          </w:tcPr>
          <w:p w14:paraId="C3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C4400000">
            <w:pPr>
              <w:widowControl w:val="1"/>
              <w:ind/>
              <w:jc w:val="right"/>
              <w:rPr>
                <w:sz w:val="18"/>
              </w:rPr>
            </w:pPr>
            <w:r>
              <w:rPr>
                <w:sz w:val="18"/>
              </w:rPr>
              <w:t>3</w:t>
            </w:r>
          </w:p>
        </w:tc>
        <w:tc>
          <w:tcPr>
            <w:tcW w:type="dxa" w:w="1160"/>
            <w:tcBorders>
              <w:top w:color="000000" w:sz="4" w:val="single"/>
              <w:left w:color="000000" w:sz="4" w:val="single"/>
              <w:bottom w:color="000000" w:sz="4" w:val="single"/>
              <w:right w:color="000000" w:sz="4" w:val="single"/>
            </w:tcBorders>
            <w:shd w:fill="auto" w:val="clear"/>
            <w:vAlign w:val="bottom"/>
          </w:tcPr>
          <w:p w14:paraId="C5400000">
            <w:pPr>
              <w:widowControl w:val="1"/>
              <w:ind/>
              <w:jc w:val="right"/>
              <w:rPr>
                <w:sz w:val="18"/>
              </w:rPr>
            </w:pPr>
            <w:r>
              <w:rPr>
                <w:sz w:val="18"/>
              </w:rPr>
              <w:t>3</w:t>
            </w:r>
          </w:p>
        </w:tc>
        <w:tc>
          <w:tcPr>
            <w:tcW w:type="dxa" w:w="1620"/>
            <w:tcBorders>
              <w:top w:color="000000" w:sz="4" w:val="single"/>
              <w:left w:color="000000" w:sz="4" w:val="single"/>
              <w:bottom w:color="000000" w:sz="4" w:val="single"/>
              <w:right w:color="000000" w:sz="4" w:val="single"/>
            </w:tcBorders>
            <w:shd w:fill="auto" w:val="clear"/>
            <w:vAlign w:val="bottom"/>
          </w:tcPr>
          <w:p w14:paraId="C6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C7400000">
            <w:pPr>
              <w:widowControl w:val="1"/>
              <w:ind w:firstLine="180"/>
              <w:rPr>
                <w:sz w:val="18"/>
              </w:rPr>
            </w:pPr>
            <w:r>
              <w:rPr>
                <w:sz w:val="18"/>
              </w:rPr>
              <w:t>Оружейный магазин Тигр ООО</w:t>
            </w:r>
          </w:p>
        </w:tc>
        <w:tc>
          <w:tcPr>
            <w:tcW w:type="dxa" w:w="1640"/>
            <w:tcBorders>
              <w:top w:color="000000" w:sz="4" w:val="single"/>
              <w:left w:color="000000" w:sz="4" w:val="single"/>
              <w:bottom w:color="000000" w:sz="4" w:val="single"/>
              <w:right w:color="000000" w:sz="4" w:val="single"/>
            </w:tcBorders>
            <w:shd w:fill="auto" w:val="clear"/>
            <w:vAlign w:val="bottom"/>
          </w:tcPr>
          <w:p w14:paraId="C8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C9400000">
            <w:pPr>
              <w:widowControl w:val="1"/>
              <w:ind/>
              <w:jc w:val="right"/>
              <w:rPr>
                <w:sz w:val="18"/>
              </w:rPr>
            </w:pPr>
            <w:r>
              <w:rPr>
                <w:sz w:val="18"/>
              </w:rPr>
              <w:t>9</w:t>
            </w:r>
          </w:p>
        </w:tc>
        <w:tc>
          <w:tcPr>
            <w:tcW w:type="dxa" w:w="1160"/>
            <w:tcBorders>
              <w:top w:color="000000" w:sz="4" w:val="single"/>
              <w:left w:color="000000" w:sz="4" w:val="single"/>
              <w:bottom w:color="000000" w:sz="4" w:val="single"/>
              <w:right w:color="000000" w:sz="4" w:val="single"/>
            </w:tcBorders>
            <w:shd w:fill="auto" w:val="clear"/>
            <w:vAlign w:val="bottom"/>
          </w:tcPr>
          <w:p w14:paraId="CA400000">
            <w:pPr>
              <w:widowControl w:val="1"/>
              <w:ind/>
              <w:jc w:val="right"/>
              <w:rPr>
                <w:sz w:val="18"/>
              </w:rPr>
            </w:pPr>
            <w:r>
              <w:rPr>
                <w:sz w:val="18"/>
              </w:rPr>
              <w:t>9</w:t>
            </w:r>
          </w:p>
        </w:tc>
        <w:tc>
          <w:tcPr>
            <w:tcW w:type="dxa" w:w="1620"/>
            <w:tcBorders>
              <w:top w:color="000000" w:sz="4" w:val="single"/>
              <w:left w:color="000000" w:sz="4" w:val="single"/>
              <w:bottom w:color="000000" w:sz="4" w:val="single"/>
              <w:right w:color="000000" w:sz="4" w:val="single"/>
            </w:tcBorders>
            <w:shd w:fill="auto" w:val="clear"/>
            <w:vAlign w:val="bottom"/>
          </w:tcPr>
          <w:p w14:paraId="CB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CC400000">
            <w:pPr>
              <w:widowControl w:val="1"/>
              <w:ind w:firstLine="180"/>
              <w:rPr>
                <w:sz w:val="18"/>
              </w:rPr>
            </w:pPr>
            <w:r>
              <w:rPr>
                <w:sz w:val="18"/>
              </w:rPr>
              <w:t>ПАРИТЕТ ООО</w:t>
            </w:r>
          </w:p>
        </w:tc>
        <w:tc>
          <w:tcPr>
            <w:tcW w:type="dxa" w:w="1640"/>
            <w:tcBorders>
              <w:top w:color="000000" w:sz="4" w:val="single"/>
              <w:left w:color="000000" w:sz="4" w:val="single"/>
              <w:bottom w:color="000000" w:sz="4" w:val="single"/>
              <w:right w:color="000000" w:sz="4" w:val="single"/>
            </w:tcBorders>
            <w:shd w:fill="auto" w:val="clear"/>
            <w:vAlign w:val="bottom"/>
          </w:tcPr>
          <w:p w14:paraId="CD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CE400000">
            <w:pPr>
              <w:widowControl w:val="1"/>
              <w:ind/>
              <w:jc w:val="right"/>
              <w:rPr>
                <w:sz w:val="18"/>
              </w:rPr>
            </w:pPr>
            <w:r>
              <w:rPr>
                <w:sz w:val="18"/>
              </w:rPr>
              <w:t>3</w:t>
            </w:r>
          </w:p>
        </w:tc>
        <w:tc>
          <w:tcPr>
            <w:tcW w:type="dxa" w:w="1160"/>
            <w:tcBorders>
              <w:top w:color="000000" w:sz="4" w:val="single"/>
              <w:left w:color="000000" w:sz="4" w:val="single"/>
              <w:bottom w:color="000000" w:sz="4" w:val="single"/>
              <w:right w:color="000000" w:sz="4" w:val="single"/>
            </w:tcBorders>
            <w:shd w:fill="auto" w:val="clear"/>
            <w:vAlign w:val="bottom"/>
          </w:tcPr>
          <w:p w14:paraId="CF400000">
            <w:pPr>
              <w:widowControl w:val="1"/>
              <w:ind/>
              <w:jc w:val="right"/>
              <w:rPr>
                <w:sz w:val="18"/>
              </w:rPr>
            </w:pPr>
            <w:r>
              <w:rPr>
                <w:sz w:val="18"/>
              </w:rPr>
              <w:t>3</w:t>
            </w:r>
          </w:p>
        </w:tc>
        <w:tc>
          <w:tcPr>
            <w:tcW w:type="dxa" w:w="1620"/>
            <w:tcBorders>
              <w:top w:color="000000" w:sz="4" w:val="single"/>
              <w:left w:color="000000" w:sz="4" w:val="single"/>
              <w:bottom w:color="000000" w:sz="4" w:val="single"/>
              <w:right w:color="000000" w:sz="4" w:val="single"/>
            </w:tcBorders>
            <w:shd w:fill="auto" w:val="clear"/>
            <w:vAlign w:val="bottom"/>
          </w:tcPr>
          <w:p w14:paraId="D0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D1400000">
            <w:pPr>
              <w:widowControl w:val="1"/>
              <w:ind w:firstLine="180"/>
              <w:rPr>
                <w:sz w:val="18"/>
              </w:rPr>
            </w:pPr>
            <w:r>
              <w:rPr>
                <w:sz w:val="18"/>
              </w:rPr>
              <w:t>Пархомова Юлия Валерьевна 664058, Иркутская область, г. Иркутск, Первомайский мкр.,д.66,кв.21 ИП</w:t>
            </w:r>
          </w:p>
        </w:tc>
        <w:tc>
          <w:tcPr>
            <w:tcW w:type="dxa" w:w="1640"/>
            <w:tcBorders>
              <w:top w:color="000000" w:sz="4" w:val="single"/>
              <w:left w:color="000000" w:sz="4" w:val="single"/>
              <w:bottom w:color="000000" w:sz="4" w:val="single"/>
              <w:right w:color="000000" w:sz="4" w:val="single"/>
            </w:tcBorders>
            <w:shd w:fill="auto" w:val="clear"/>
            <w:vAlign w:val="bottom"/>
          </w:tcPr>
          <w:p w14:paraId="D2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D3400000">
            <w:pPr>
              <w:widowControl w:val="1"/>
              <w:ind/>
              <w:jc w:val="right"/>
              <w:rPr>
                <w:sz w:val="18"/>
              </w:rPr>
            </w:pPr>
            <w:r>
              <w:rPr>
                <w:sz w:val="18"/>
              </w:rPr>
              <w:t>3</w:t>
            </w:r>
          </w:p>
        </w:tc>
        <w:tc>
          <w:tcPr>
            <w:tcW w:type="dxa" w:w="1160"/>
            <w:tcBorders>
              <w:top w:color="000000" w:sz="4" w:val="single"/>
              <w:left w:color="000000" w:sz="4" w:val="single"/>
              <w:bottom w:color="000000" w:sz="4" w:val="single"/>
              <w:right w:color="000000" w:sz="4" w:val="single"/>
            </w:tcBorders>
            <w:shd w:fill="auto" w:val="clear"/>
            <w:vAlign w:val="bottom"/>
          </w:tcPr>
          <w:p w14:paraId="D4400000">
            <w:pPr>
              <w:widowControl w:val="1"/>
              <w:ind/>
              <w:jc w:val="right"/>
              <w:rPr>
                <w:sz w:val="18"/>
              </w:rPr>
            </w:pPr>
            <w:r>
              <w:rPr>
                <w:sz w:val="18"/>
              </w:rPr>
              <w:t>3</w:t>
            </w:r>
          </w:p>
        </w:tc>
        <w:tc>
          <w:tcPr>
            <w:tcW w:type="dxa" w:w="1620"/>
            <w:tcBorders>
              <w:top w:color="000000" w:sz="4" w:val="single"/>
              <w:left w:color="000000" w:sz="4" w:val="single"/>
              <w:bottom w:color="000000" w:sz="4" w:val="single"/>
              <w:right w:color="000000" w:sz="4" w:val="single"/>
            </w:tcBorders>
            <w:shd w:fill="auto" w:val="clear"/>
            <w:vAlign w:val="bottom"/>
          </w:tcPr>
          <w:p w14:paraId="D5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D6400000">
            <w:pPr>
              <w:widowControl w:val="1"/>
              <w:ind w:firstLine="180"/>
              <w:rPr>
                <w:sz w:val="18"/>
              </w:rPr>
            </w:pPr>
            <w:r>
              <w:rPr>
                <w:sz w:val="18"/>
              </w:rPr>
              <w:t>Полиграф-защита ЗАО</w:t>
            </w:r>
          </w:p>
        </w:tc>
        <w:tc>
          <w:tcPr>
            <w:tcW w:type="dxa" w:w="1640"/>
            <w:tcBorders>
              <w:top w:color="000000" w:sz="4" w:val="single"/>
              <w:left w:color="000000" w:sz="4" w:val="single"/>
              <w:bottom w:color="000000" w:sz="4" w:val="single"/>
              <w:right w:color="000000" w:sz="4" w:val="single"/>
            </w:tcBorders>
            <w:shd w:fill="auto" w:val="clear"/>
            <w:vAlign w:val="bottom"/>
          </w:tcPr>
          <w:p w14:paraId="D7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D8400000">
            <w:pPr>
              <w:widowControl w:val="1"/>
              <w:ind/>
              <w:jc w:val="right"/>
              <w:rPr>
                <w:sz w:val="18"/>
              </w:rPr>
            </w:pPr>
            <w:r>
              <w:rPr>
                <w:sz w:val="18"/>
              </w:rPr>
              <w:t>100</w:t>
            </w:r>
          </w:p>
        </w:tc>
        <w:tc>
          <w:tcPr>
            <w:tcW w:type="dxa" w:w="1160"/>
            <w:tcBorders>
              <w:top w:color="000000" w:sz="4" w:val="single"/>
              <w:left w:color="000000" w:sz="4" w:val="single"/>
              <w:bottom w:color="000000" w:sz="4" w:val="single"/>
              <w:right w:color="000000" w:sz="4" w:val="single"/>
            </w:tcBorders>
            <w:shd w:fill="auto" w:val="clear"/>
            <w:vAlign w:val="bottom"/>
          </w:tcPr>
          <w:p w14:paraId="D9400000">
            <w:pPr>
              <w:widowControl w:val="1"/>
              <w:ind/>
              <w:jc w:val="right"/>
              <w:rPr>
                <w:sz w:val="18"/>
              </w:rPr>
            </w:pPr>
            <w:r>
              <w:rPr>
                <w:sz w:val="18"/>
              </w:rPr>
              <w:t>100</w:t>
            </w:r>
          </w:p>
        </w:tc>
        <w:tc>
          <w:tcPr>
            <w:tcW w:type="dxa" w:w="1620"/>
            <w:tcBorders>
              <w:top w:color="000000" w:sz="4" w:val="single"/>
              <w:left w:color="000000" w:sz="4" w:val="single"/>
              <w:bottom w:color="000000" w:sz="4" w:val="single"/>
              <w:right w:color="000000" w:sz="4" w:val="single"/>
            </w:tcBorders>
            <w:shd w:fill="auto" w:val="clear"/>
            <w:vAlign w:val="bottom"/>
          </w:tcPr>
          <w:p w14:paraId="DA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DB400000">
            <w:pPr>
              <w:widowControl w:val="1"/>
              <w:ind w:firstLine="180"/>
              <w:rPr>
                <w:sz w:val="18"/>
              </w:rPr>
            </w:pPr>
            <w:r>
              <w:rPr>
                <w:sz w:val="18"/>
              </w:rPr>
              <w:t>Почта России ФГУП</w:t>
            </w:r>
          </w:p>
        </w:tc>
        <w:tc>
          <w:tcPr>
            <w:tcW w:type="dxa" w:w="1640"/>
            <w:tcBorders>
              <w:top w:color="000000" w:sz="4" w:val="single"/>
              <w:left w:color="000000" w:sz="4" w:val="single"/>
              <w:bottom w:color="000000" w:sz="4" w:val="single"/>
              <w:right w:color="000000" w:sz="4" w:val="single"/>
            </w:tcBorders>
            <w:shd w:fill="auto" w:val="clear"/>
            <w:vAlign w:val="bottom"/>
          </w:tcPr>
          <w:p w14:paraId="DC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DD400000">
            <w:pPr>
              <w:widowControl w:val="1"/>
              <w:ind/>
              <w:jc w:val="right"/>
              <w:rPr>
                <w:sz w:val="18"/>
              </w:rPr>
            </w:pPr>
            <w:r>
              <w:rPr>
                <w:sz w:val="18"/>
              </w:rPr>
              <w:t>61</w:t>
            </w:r>
          </w:p>
        </w:tc>
        <w:tc>
          <w:tcPr>
            <w:tcW w:type="dxa" w:w="1160"/>
            <w:tcBorders>
              <w:top w:color="000000" w:sz="4" w:val="single"/>
              <w:left w:color="000000" w:sz="4" w:val="single"/>
              <w:bottom w:color="000000" w:sz="4" w:val="single"/>
              <w:right w:color="000000" w:sz="4" w:val="single"/>
            </w:tcBorders>
            <w:shd w:fill="auto" w:val="clear"/>
            <w:vAlign w:val="bottom"/>
          </w:tcPr>
          <w:p w14:paraId="DE400000">
            <w:pPr>
              <w:widowControl w:val="1"/>
              <w:ind/>
              <w:jc w:val="right"/>
              <w:rPr>
                <w:sz w:val="18"/>
              </w:rPr>
            </w:pPr>
            <w:r>
              <w:rPr>
                <w:sz w:val="18"/>
              </w:rPr>
              <w:t>61</w:t>
            </w:r>
          </w:p>
        </w:tc>
        <w:tc>
          <w:tcPr>
            <w:tcW w:type="dxa" w:w="1620"/>
            <w:tcBorders>
              <w:top w:color="000000" w:sz="4" w:val="single"/>
              <w:left w:color="000000" w:sz="4" w:val="single"/>
              <w:bottom w:color="000000" w:sz="4" w:val="single"/>
              <w:right w:color="000000" w:sz="4" w:val="single"/>
            </w:tcBorders>
            <w:shd w:fill="auto" w:val="clear"/>
            <w:vAlign w:val="bottom"/>
          </w:tcPr>
          <w:p w14:paraId="DF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E0400000">
            <w:pPr>
              <w:widowControl w:val="1"/>
              <w:ind w:firstLine="180"/>
              <w:rPr>
                <w:sz w:val="18"/>
              </w:rPr>
            </w:pPr>
            <w:r>
              <w:rPr>
                <w:sz w:val="18"/>
              </w:rPr>
              <w:t>РАЗВИТИЕ ООО</w:t>
            </w:r>
          </w:p>
        </w:tc>
        <w:tc>
          <w:tcPr>
            <w:tcW w:type="dxa" w:w="1640"/>
            <w:tcBorders>
              <w:top w:color="000000" w:sz="4" w:val="single"/>
              <w:left w:color="000000" w:sz="4" w:val="single"/>
              <w:bottom w:color="000000" w:sz="4" w:val="single"/>
              <w:right w:color="000000" w:sz="4" w:val="single"/>
            </w:tcBorders>
            <w:shd w:fill="auto" w:val="clear"/>
            <w:vAlign w:val="bottom"/>
          </w:tcPr>
          <w:p w14:paraId="E1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E2400000">
            <w:pPr>
              <w:widowControl w:val="1"/>
              <w:ind/>
              <w:jc w:val="right"/>
              <w:rPr>
                <w:sz w:val="18"/>
              </w:rPr>
            </w:pPr>
            <w:r>
              <w:rPr>
                <w:sz w:val="18"/>
              </w:rPr>
              <w:t>3 396</w:t>
            </w:r>
          </w:p>
        </w:tc>
        <w:tc>
          <w:tcPr>
            <w:tcW w:type="dxa" w:w="1160"/>
            <w:tcBorders>
              <w:top w:color="000000" w:sz="4" w:val="single"/>
              <w:left w:color="000000" w:sz="4" w:val="single"/>
              <w:bottom w:color="000000" w:sz="4" w:val="single"/>
              <w:right w:color="000000" w:sz="4" w:val="single"/>
            </w:tcBorders>
            <w:shd w:fill="auto" w:val="clear"/>
            <w:vAlign w:val="bottom"/>
          </w:tcPr>
          <w:p w14:paraId="E3400000">
            <w:pPr>
              <w:widowControl w:val="1"/>
              <w:ind/>
              <w:jc w:val="right"/>
              <w:rPr>
                <w:sz w:val="18"/>
              </w:rPr>
            </w:pPr>
            <w:r>
              <w:rPr>
                <w:sz w:val="18"/>
              </w:rPr>
              <w:t>3 396</w:t>
            </w:r>
          </w:p>
        </w:tc>
        <w:tc>
          <w:tcPr>
            <w:tcW w:type="dxa" w:w="1620"/>
            <w:tcBorders>
              <w:top w:color="000000" w:sz="4" w:val="single"/>
              <w:left w:color="000000" w:sz="4" w:val="single"/>
              <w:bottom w:color="000000" w:sz="4" w:val="single"/>
              <w:right w:color="000000" w:sz="4" w:val="single"/>
            </w:tcBorders>
            <w:shd w:fill="auto" w:val="clear"/>
            <w:vAlign w:val="bottom"/>
          </w:tcPr>
          <w:p w14:paraId="E4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E5400000">
            <w:pPr>
              <w:widowControl w:val="1"/>
              <w:ind w:firstLine="180"/>
              <w:rPr>
                <w:sz w:val="18"/>
              </w:rPr>
            </w:pPr>
            <w:r>
              <w:rPr>
                <w:sz w:val="18"/>
              </w:rPr>
              <w:t xml:space="preserve">РЕГИСТРАТОР АО ВТБ </w:t>
            </w:r>
          </w:p>
        </w:tc>
        <w:tc>
          <w:tcPr>
            <w:tcW w:type="dxa" w:w="1640"/>
            <w:tcBorders>
              <w:top w:color="000000" w:sz="4" w:val="single"/>
              <w:left w:color="000000" w:sz="4" w:val="single"/>
              <w:bottom w:color="000000" w:sz="4" w:val="single"/>
              <w:right w:color="000000" w:sz="4" w:val="single"/>
            </w:tcBorders>
            <w:shd w:fill="auto" w:val="clear"/>
            <w:vAlign w:val="bottom"/>
          </w:tcPr>
          <w:p w14:paraId="E6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E7400000">
            <w:pPr>
              <w:widowControl w:val="1"/>
              <w:ind/>
              <w:jc w:val="right"/>
              <w:rPr>
                <w:sz w:val="18"/>
              </w:rPr>
            </w:pPr>
            <w:r>
              <w:rPr>
                <w:sz w:val="18"/>
              </w:rPr>
              <w:t>24</w:t>
            </w:r>
          </w:p>
        </w:tc>
        <w:tc>
          <w:tcPr>
            <w:tcW w:type="dxa" w:w="1160"/>
            <w:tcBorders>
              <w:top w:color="000000" w:sz="4" w:val="single"/>
              <w:left w:color="000000" w:sz="4" w:val="single"/>
              <w:bottom w:color="000000" w:sz="4" w:val="single"/>
              <w:right w:color="000000" w:sz="4" w:val="single"/>
            </w:tcBorders>
            <w:shd w:fill="auto" w:val="clear"/>
            <w:vAlign w:val="bottom"/>
          </w:tcPr>
          <w:p w14:paraId="E8400000">
            <w:pPr>
              <w:widowControl w:val="1"/>
              <w:ind/>
              <w:jc w:val="right"/>
              <w:rPr>
                <w:sz w:val="18"/>
              </w:rPr>
            </w:pPr>
            <w:r>
              <w:rPr>
                <w:sz w:val="18"/>
              </w:rPr>
              <w:t>24</w:t>
            </w:r>
          </w:p>
        </w:tc>
        <w:tc>
          <w:tcPr>
            <w:tcW w:type="dxa" w:w="1620"/>
            <w:tcBorders>
              <w:top w:color="000000" w:sz="4" w:val="single"/>
              <w:left w:color="000000" w:sz="4" w:val="single"/>
              <w:bottom w:color="000000" w:sz="4" w:val="single"/>
              <w:right w:color="000000" w:sz="4" w:val="single"/>
            </w:tcBorders>
            <w:shd w:fill="auto" w:val="clear"/>
            <w:vAlign w:val="bottom"/>
          </w:tcPr>
          <w:p w14:paraId="E9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EA400000">
            <w:pPr>
              <w:widowControl w:val="1"/>
              <w:ind w:firstLine="180"/>
              <w:rPr>
                <w:sz w:val="18"/>
              </w:rPr>
            </w:pPr>
            <w:r>
              <w:rPr>
                <w:sz w:val="18"/>
              </w:rPr>
              <w:t>РКТ ООО НПФ</w:t>
            </w:r>
          </w:p>
        </w:tc>
        <w:tc>
          <w:tcPr>
            <w:tcW w:type="dxa" w:w="1640"/>
            <w:tcBorders>
              <w:top w:color="000000" w:sz="4" w:val="single"/>
              <w:left w:color="000000" w:sz="4" w:val="single"/>
              <w:bottom w:color="000000" w:sz="4" w:val="single"/>
              <w:right w:color="000000" w:sz="4" w:val="single"/>
            </w:tcBorders>
            <w:shd w:fill="auto" w:val="clear"/>
            <w:vAlign w:val="bottom"/>
          </w:tcPr>
          <w:p w14:paraId="EB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EC400000">
            <w:pPr>
              <w:widowControl w:val="1"/>
              <w:ind/>
              <w:jc w:val="right"/>
              <w:rPr>
                <w:sz w:val="18"/>
              </w:rPr>
            </w:pPr>
            <w:r>
              <w:rPr>
                <w:sz w:val="18"/>
              </w:rPr>
              <w:t>51</w:t>
            </w:r>
          </w:p>
        </w:tc>
        <w:tc>
          <w:tcPr>
            <w:tcW w:type="dxa" w:w="1160"/>
            <w:tcBorders>
              <w:top w:color="000000" w:sz="4" w:val="single"/>
              <w:left w:color="000000" w:sz="4" w:val="single"/>
              <w:bottom w:color="000000" w:sz="4" w:val="single"/>
              <w:right w:color="000000" w:sz="4" w:val="single"/>
            </w:tcBorders>
            <w:shd w:fill="auto" w:val="clear"/>
            <w:vAlign w:val="bottom"/>
          </w:tcPr>
          <w:p w14:paraId="ED400000">
            <w:pPr>
              <w:widowControl w:val="1"/>
              <w:ind/>
              <w:jc w:val="right"/>
              <w:rPr>
                <w:sz w:val="18"/>
              </w:rPr>
            </w:pPr>
            <w:r>
              <w:rPr>
                <w:sz w:val="18"/>
              </w:rPr>
              <w:t>51</w:t>
            </w:r>
          </w:p>
        </w:tc>
        <w:tc>
          <w:tcPr>
            <w:tcW w:type="dxa" w:w="1620"/>
            <w:tcBorders>
              <w:top w:color="000000" w:sz="4" w:val="single"/>
              <w:left w:color="000000" w:sz="4" w:val="single"/>
              <w:bottom w:color="000000" w:sz="4" w:val="single"/>
              <w:right w:color="000000" w:sz="4" w:val="single"/>
            </w:tcBorders>
            <w:shd w:fill="auto" w:val="clear"/>
            <w:vAlign w:val="bottom"/>
          </w:tcPr>
          <w:p w14:paraId="EE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EF400000">
            <w:pPr>
              <w:widowControl w:val="1"/>
              <w:ind w:firstLine="180"/>
              <w:rPr>
                <w:sz w:val="18"/>
              </w:rPr>
            </w:pPr>
            <w:r>
              <w:rPr>
                <w:sz w:val="18"/>
              </w:rPr>
              <w:t>РСИЦ АО</w:t>
            </w:r>
          </w:p>
        </w:tc>
        <w:tc>
          <w:tcPr>
            <w:tcW w:type="dxa" w:w="1640"/>
            <w:tcBorders>
              <w:top w:color="000000" w:sz="4" w:val="single"/>
              <w:left w:color="000000" w:sz="4" w:val="single"/>
              <w:bottom w:color="000000" w:sz="4" w:val="single"/>
              <w:right w:color="000000" w:sz="4" w:val="single"/>
            </w:tcBorders>
            <w:shd w:fill="auto" w:val="clear"/>
            <w:vAlign w:val="bottom"/>
          </w:tcPr>
          <w:p w14:paraId="F0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F1400000">
            <w:pPr>
              <w:widowControl w:val="1"/>
              <w:ind/>
              <w:jc w:val="right"/>
              <w:rPr>
                <w:sz w:val="18"/>
              </w:rPr>
            </w:pPr>
            <w:r>
              <w:rPr>
                <w:sz w:val="18"/>
              </w:rPr>
              <w:t>13</w:t>
            </w:r>
          </w:p>
        </w:tc>
        <w:tc>
          <w:tcPr>
            <w:tcW w:type="dxa" w:w="1160"/>
            <w:tcBorders>
              <w:top w:color="000000" w:sz="4" w:val="single"/>
              <w:left w:color="000000" w:sz="4" w:val="single"/>
              <w:bottom w:color="000000" w:sz="4" w:val="single"/>
              <w:right w:color="000000" w:sz="4" w:val="single"/>
            </w:tcBorders>
            <w:shd w:fill="auto" w:val="clear"/>
            <w:vAlign w:val="bottom"/>
          </w:tcPr>
          <w:p w14:paraId="F2400000">
            <w:pPr>
              <w:widowControl w:val="1"/>
              <w:ind/>
              <w:jc w:val="right"/>
              <w:rPr>
                <w:sz w:val="18"/>
              </w:rPr>
            </w:pPr>
            <w:r>
              <w:rPr>
                <w:sz w:val="18"/>
              </w:rPr>
              <w:t>13</w:t>
            </w:r>
          </w:p>
        </w:tc>
        <w:tc>
          <w:tcPr>
            <w:tcW w:type="dxa" w:w="1620"/>
            <w:tcBorders>
              <w:top w:color="000000" w:sz="4" w:val="single"/>
              <w:left w:color="000000" w:sz="4" w:val="single"/>
              <w:bottom w:color="000000" w:sz="4" w:val="single"/>
              <w:right w:color="000000" w:sz="4" w:val="single"/>
            </w:tcBorders>
            <w:shd w:fill="auto" w:val="clear"/>
            <w:vAlign w:val="bottom"/>
          </w:tcPr>
          <w:p w14:paraId="F3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F4400000">
            <w:pPr>
              <w:widowControl w:val="1"/>
              <w:ind w:firstLine="180"/>
              <w:rPr>
                <w:sz w:val="18"/>
              </w:rPr>
            </w:pPr>
            <w:r>
              <w:rPr>
                <w:sz w:val="18"/>
              </w:rPr>
              <w:t>РУЦ ТЕЛ ООО</w:t>
            </w:r>
          </w:p>
        </w:tc>
        <w:tc>
          <w:tcPr>
            <w:tcW w:type="dxa" w:w="1640"/>
            <w:tcBorders>
              <w:top w:color="000000" w:sz="4" w:val="single"/>
              <w:left w:color="000000" w:sz="4" w:val="single"/>
              <w:bottom w:color="000000" w:sz="4" w:val="single"/>
              <w:right w:color="000000" w:sz="4" w:val="single"/>
            </w:tcBorders>
            <w:shd w:fill="auto" w:val="clear"/>
            <w:vAlign w:val="bottom"/>
          </w:tcPr>
          <w:p w14:paraId="F5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F6400000">
            <w:pPr>
              <w:widowControl w:val="1"/>
              <w:ind/>
              <w:jc w:val="right"/>
              <w:rPr>
                <w:sz w:val="18"/>
              </w:rPr>
            </w:pPr>
            <w:r>
              <w:rPr>
                <w:sz w:val="18"/>
              </w:rPr>
              <w:t>110</w:t>
            </w:r>
          </w:p>
        </w:tc>
        <w:tc>
          <w:tcPr>
            <w:tcW w:type="dxa" w:w="1160"/>
            <w:tcBorders>
              <w:top w:color="000000" w:sz="4" w:val="single"/>
              <w:left w:color="000000" w:sz="4" w:val="single"/>
              <w:bottom w:color="000000" w:sz="4" w:val="single"/>
              <w:right w:color="000000" w:sz="4" w:val="single"/>
            </w:tcBorders>
            <w:shd w:fill="auto" w:val="clear"/>
            <w:vAlign w:val="bottom"/>
          </w:tcPr>
          <w:p w14:paraId="F7400000">
            <w:pPr>
              <w:widowControl w:val="1"/>
              <w:ind/>
              <w:jc w:val="right"/>
              <w:rPr>
                <w:sz w:val="18"/>
              </w:rPr>
            </w:pPr>
            <w:r>
              <w:rPr>
                <w:sz w:val="18"/>
              </w:rPr>
              <w:t>110</w:t>
            </w:r>
          </w:p>
        </w:tc>
        <w:tc>
          <w:tcPr>
            <w:tcW w:type="dxa" w:w="1620"/>
            <w:tcBorders>
              <w:top w:color="000000" w:sz="4" w:val="single"/>
              <w:left w:color="000000" w:sz="4" w:val="single"/>
              <w:bottom w:color="000000" w:sz="4" w:val="single"/>
              <w:right w:color="000000" w:sz="4" w:val="single"/>
            </w:tcBorders>
            <w:shd w:fill="auto" w:val="clear"/>
            <w:vAlign w:val="bottom"/>
          </w:tcPr>
          <w:p w14:paraId="F8400000">
            <w:pPr>
              <w:widowControl w:val="1"/>
              <w:ind/>
              <w:jc w:val="right"/>
              <w:rPr>
                <w:sz w:val="18"/>
              </w:rPr>
            </w:pPr>
            <w:r>
              <w:rPr>
                <w:sz w:val="18"/>
              </w:rPr>
              <w:t>0</w:t>
            </w:r>
          </w:p>
        </w:tc>
      </w:tr>
      <w:tr>
        <w:trPr>
          <w:trHeight w:hRule="atLeast" w:val="294"/>
        </w:trPr>
        <w:tc>
          <w:tcPr>
            <w:tcW w:type="dxa" w:w="4697"/>
            <w:tcBorders>
              <w:top w:color="000000" w:sz="4" w:val="single"/>
              <w:left w:color="000000" w:sz="4" w:val="single"/>
              <w:bottom w:color="000000" w:sz="4" w:val="single"/>
              <w:right w:color="000000" w:sz="4" w:val="single"/>
            </w:tcBorders>
            <w:shd w:fill="auto" w:val="clear"/>
          </w:tcPr>
          <w:p w14:paraId="F9400000">
            <w:pPr>
              <w:widowControl w:val="1"/>
              <w:ind w:firstLine="180"/>
              <w:rPr>
                <w:sz w:val="18"/>
              </w:rPr>
            </w:pPr>
            <w:r>
              <w:rPr>
                <w:sz w:val="18"/>
              </w:rPr>
              <w:t>СВЯЗЬ-БАНК ПАО АКБ</w:t>
            </w:r>
          </w:p>
        </w:tc>
        <w:tc>
          <w:tcPr>
            <w:tcW w:type="dxa" w:w="1640"/>
            <w:tcBorders>
              <w:top w:color="000000" w:sz="4" w:val="single"/>
              <w:left w:color="000000" w:sz="4" w:val="single"/>
              <w:bottom w:color="000000" w:sz="4" w:val="single"/>
              <w:right w:color="000000" w:sz="4" w:val="single"/>
            </w:tcBorders>
            <w:shd w:fill="auto" w:val="clear"/>
            <w:vAlign w:val="bottom"/>
          </w:tcPr>
          <w:p w14:paraId="FA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FB400000">
            <w:pPr>
              <w:widowControl w:val="1"/>
              <w:ind/>
              <w:jc w:val="right"/>
              <w:rPr>
                <w:sz w:val="18"/>
              </w:rPr>
            </w:pPr>
            <w:r>
              <w:rPr>
                <w:sz w:val="18"/>
              </w:rPr>
              <w:t>2</w:t>
            </w:r>
          </w:p>
        </w:tc>
        <w:tc>
          <w:tcPr>
            <w:tcW w:type="dxa" w:w="1160"/>
            <w:tcBorders>
              <w:top w:color="000000" w:sz="4" w:val="single"/>
              <w:left w:color="000000" w:sz="4" w:val="single"/>
              <w:bottom w:color="000000" w:sz="4" w:val="single"/>
              <w:right w:color="000000" w:sz="4" w:val="single"/>
            </w:tcBorders>
            <w:shd w:fill="auto" w:val="clear"/>
            <w:vAlign w:val="bottom"/>
          </w:tcPr>
          <w:p w14:paraId="FC400000">
            <w:pPr>
              <w:widowControl w:val="1"/>
              <w:ind/>
              <w:jc w:val="right"/>
              <w:rPr>
                <w:sz w:val="18"/>
              </w:rPr>
            </w:pPr>
            <w:r>
              <w:rPr>
                <w:sz w:val="18"/>
              </w:rPr>
              <w:t>2</w:t>
            </w:r>
          </w:p>
        </w:tc>
        <w:tc>
          <w:tcPr>
            <w:tcW w:type="dxa" w:w="1620"/>
            <w:tcBorders>
              <w:top w:color="000000" w:sz="4" w:val="single"/>
              <w:left w:color="000000" w:sz="4" w:val="single"/>
              <w:bottom w:color="000000" w:sz="4" w:val="single"/>
              <w:right w:color="000000" w:sz="4" w:val="single"/>
            </w:tcBorders>
            <w:shd w:fill="auto" w:val="clear"/>
            <w:vAlign w:val="bottom"/>
          </w:tcPr>
          <w:p w14:paraId="FD40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FE400000">
            <w:pPr>
              <w:widowControl w:val="1"/>
              <w:ind w:firstLine="180"/>
              <w:rPr>
                <w:sz w:val="18"/>
              </w:rPr>
            </w:pPr>
            <w:r>
              <w:rPr>
                <w:sz w:val="18"/>
              </w:rPr>
              <w:t>СЦПР АНО ДПО</w:t>
            </w:r>
          </w:p>
        </w:tc>
        <w:tc>
          <w:tcPr>
            <w:tcW w:type="dxa" w:w="1640"/>
            <w:tcBorders>
              <w:top w:color="000000" w:sz="4" w:val="single"/>
              <w:left w:color="000000" w:sz="4" w:val="single"/>
              <w:bottom w:color="000000" w:sz="4" w:val="single"/>
              <w:right w:color="000000" w:sz="4" w:val="single"/>
            </w:tcBorders>
            <w:shd w:fill="auto" w:val="clear"/>
            <w:vAlign w:val="bottom"/>
          </w:tcPr>
          <w:p w14:paraId="FF40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00410000">
            <w:pPr>
              <w:widowControl w:val="1"/>
              <w:ind/>
              <w:jc w:val="right"/>
              <w:rPr>
                <w:sz w:val="18"/>
              </w:rPr>
            </w:pPr>
            <w:r>
              <w:rPr>
                <w:sz w:val="18"/>
              </w:rPr>
              <w:t>5</w:t>
            </w:r>
          </w:p>
        </w:tc>
        <w:tc>
          <w:tcPr>
            <w:tcW w:type="dxa" w:w="1160"/>
            <w:tcBorders>
              <w:top w:color="000000" w:sz="4" w:val="single"/>
              <w:left w:color="000000" w:sz="4" w:val="single"/>
              <w:bottom w:color="000000" w:sz="4" w:val="single"/>
              <w:right w:color="000000" w:sz="4" w:val="single"/>
            </w:tcBorders>
            <w:shd w:fill="auto" w:val="clear"/>
            <w:vAlign w:val="bottom"/>
          </w:tcPr>
          <w:p w14:paraId="01410000">
            <w:pPr>
              <w:widowControl w:val="1"/>
              <w:ind/>
              <w:jc w:val="right"/>
              <w:rPr>
                <w:sz w:val="18"/>
              </w:rPr>
            </w:pPr>
            <w:r>
              <w:rPr>
                <w:sz w:val="18"/>
              </w:rPr>
              <w:t>5</w:t>
            </w:r>
          </w:p>
        </w:tc>
        <w:tc>
          <w:tcPr>
            <w:tcW w:type="dxa" w:w="1620"/>
            <w:tcBorders>
              <w:top w:color="000000" w:sz="4" w:val="single"/>
              <w:left w:color="000000" w:sz="4" w:val="single"/>
              <w:bottom w:color="000000" w:sz="4" w:val="single"/>
              <w:right w:color="000000" w:sz="4" w:val="single"/>
            </w:tcBorders>
            <w:shd w:fill="auto" w:val="clear"/>
            <w:vAlign w:val="bottom"/>
          </w:tcPr>
          <w:p w14:paraId="02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03410000">
            <w:pPr>
              <w:widowControl w:val="1"/>
              <w:ind w:firstLine="180"/>
              <w:rPr>
                <w:sz w:val="18"/>
              </w:rPr>
            </w:pPr>
            <w:r>
              <w:rPr>
                <w:sz w:val="18"/>
              </w:rPr>
              <w:t>ТВ-ЕНИСЕЙ ООО</w:t>
            </w:r>
          </w:p>
        </w:tc>
        <w:tc>
          <w:tcPr>
            <w:tcW w:type="dxa" w:w="1640"/>
            <w:tcBorders>
              <w:top w:color="000000" w:sz="4" w:val="single"/>
              <w:left w:color="000000" w:sz="4" w:val="single"/>
              <w:bottom w:color="000000" w:sz="4" w:val="single"/>
              <w:right w:color="000000" w:sz="4" w:val="single"/>
            </w:tcBorders>
            <w:shd w:fill="auto" w:val="clear"/>
            <w:vAlign w:val="bottom"/>
          </w:tcPr>
          <w:p w14:paraId="04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05410000">
            <w:pPr>
              <w:widowControl w:val="1"/>
              <w:ind/>
              <w:jc w:val="right"/>
              <w:rPr>
                <w:sz w:val="18"/>
              </w:rPr>
            </w:pPr>
            <w:r>
              <w:rPr>
                <w:sz w:val="18"/>
              </w:rPr>
              <w:t>70</w:t>
            </w:r>
          </w:p>
        </w:tc>
        <w:tc>
          <w:tcPr>
            <w:tcW w:type="dxa" w:w="1160"/>
            <w:tcBorders>
              <w:top w:color="000000" w:sz="4" w:val="single"/>
              <w:left w:color="000000" w:sz="4" w:val="single"/>
              <w:bottom w:color="000000" w:sz="4" w:val="single"/>
              <w:right w:color="000000" w:sz="4" w:val="single"/>
            </w:tcBorders>
            <w:shd w:fill="auto" w:val="clear"/>
            <w:vAlign w:val="bottom"/>
          </w:tcPr>
          <w:p w14:paraId="06410000">
            <w:pPr>
              <w:widowControl w:val="1"/>
              <w:ind/>
              <w:jc w:val="right"/>
              <w:rPr>
                <w:sz w:val="18"/>
              </w:rPr>
            </w:pPr>
            <w:r>
              <w:rPr>
                <w:sz w:val="18"/>
              </w:rPr>
              <w:t>70</w:t>
            </w:r>
          </w:p>
        </w:tc>
        <w:tc>
          <w:tcPr>
            <w:tcW w:type="dxa" w:w="1620"/>
            <w:tcBorders>
              <w:top w:color="000000" w:sz="4" w:val="single"/>
              <w:left w:color="000000" w:sz="4" w:val="single"/>
              <w:bottom w:color="000000" w:sz="4" w:val="single"/>
              <w:right w:color="000000" w:sz="4" w:val="single"/>
            </w:tcBorders>
            <w:shd w:fill="auto" w:val="clear"/>
            <w:vAlign w:val="bottom"/>
          </w:tcPr>
          <w:p w14:paraId="07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08410000">
            <w:pPr>
              <w:widowControl w:val="1"/>
              <w:ind w:firstLine="180"/>
              <w:rPr>
                <w:sz w:val="18"/>
              </w:rPr>
            </w:pPr>
            <w:r>
              <w:rPr>
                <w:sz w:val="18"/>
              </w:rPr>
              <w:t>ТЕХНОМАКС-КРАСНОЯРСК ООО</w:t>
            </w:r>
          </w:p>
        </w:tc>
        <w:tc>
          <w:tcPr>
            <w:tcW w:type="dxa" w:w="1640"/>
            <w:tcBorders>
              <w:top w:color="000000" w:sz="4" w:val="single"/>
              <w:left w:color="000000" w:sz="4" w:val="single"/>
              <w:bottom w:color="000000" w:sz="4" w:val="single"/>
              <w:right w:color="000000" w:sz="4" w:val="single"/>
            </w:tcBorders>
            <w:shd w:fill="auto" w:val="clear"/>
            <w:vAlign w:val="bottom"/>
          </w:tcPr>
          <w:p w14:paraId="09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0A410000">
            <w:pPr>
              <w:widowControl w:val="1"/>
              <w:ind/>
              <w:jc w:val="right"/>
              <w:rPr>
                <w:sz w:val="18"/>
              </w:rPr>
            </w:pPr>
            <w:r>
              <w:rPr>
                <w:sz w:val="18"/>
              </w:rPr>
              <w:t>127</w:t>
            </w:r>
          </w:p>
        </w:tc>
        <w:tc>
          <w:tcPr>
            <w:tcW w:type="dxa" w:w="1160"/>
            <w:tcBorders>
              <w:top w:color="000000" w:sz="4" w:val="single"/>
              <w:left w:color="000000" w:sz="4" w:val="single"/>
              <w:bottom w:color="000000" w:sz="4" w:val="single"/>
              <w:right w:color="000000" w:sz="4" w:val="single"/>
            </w:tcBorders>
            <w:shd w:fill="auto" w:val="clear"/>
            <w:vAlign w:val="bottom"/>
          </w:tcPr>
          <w:p w14:paraId="0B410000">
            <w:pPr>
              <w:widowControl w:val="1"/>
              <w:ind/>
              <w:jc w:val="right"/>
              <w:rPr>
                <w:sz w:val="18"/>
              </w:rPr>
            </w:pPr>
            <w:r>
              <w:rPr>
                <w:sz w:val="18"/>
              </w:rPr>
              <w:t>127</w:t>
            </w:r>
          </w:p>
        </w:tc>
        <w:tc>
          <w:tcPr>
            <w:tcW w:type="dxa" w:w="1620"/>
            <w:tcBorders>
              <w:top w:color="000000" w:sz="4" w:val="single"/>
              <w:left w:color="000000" w:sz="4" w:val="single"/>
              <w:bottom w:color="000000" w:sz="4" w:val="single"/>
              <w:right w:color="000000" w:sz="4" w:val="single"/>
            </w:tcBorders>
            <w:shd w:fill="auto" w:val="clear"/>
            <w:vAlign w:val="bottom"/>
          </w:tcPr>
          <w:p w14:paraId="0C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0D410000">
            <w:pPr>
              <w:widowControl w:val="1"/>
              <w:ind w:firstLine="180"/>
              <w:rPr>
                <w:sz w:val="18"/>
              </w:rPr>
            </w:pPr>
            <w:r>
              <w:rPr>
                <w:sz w:val="18"/>
              </w:rPr>
              <w:t>Типография КАСС ООО</w:t>
            </w:r>
          </w:p>
        </w:tc>
        <w:tc>
          <w:tcPr>
            <w:tcW w:type="dxa" w:w="1640"/>
            <w:tcBorders>
              <w:top w:color="000000" w:sz="4" w:val="single"/>
              <w:left w:color="000000" w:sz="4" w:val="single"/>
              <w:bottom w:color="000000" w:sz="4" w:val="single"/>
              <w:right w:color="000000" w:sz="4" w:val="single"/>
            </w:tcBorders>
            <w:shd w:fill="auto" w:val="clear"/>
            <w:vAlign w:val="bottom"/>
          </w:tcPr>
          <w:p w14:paraId="0E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0F410000">
            <w:pPr>
              <w:widowControl w:val="1"/>
              <w:ind/>
              <w:jc w:val="right"/>
              <w:rPr>
                <w:sz w:val="18"/>
              </w:rPr>
            </w:pPr>
            <w:r>
              <w:rPr>
                <w:sz w:val="18"/>
              </w:rPr>
              <w:t>18</w:t>
            </w:r>
          </w:p>
        </w:tc>
        <w:tc>
          <w:tcPr>
            <w:tcW w:type="dxa" w:w="1160"/>
            <w:tcBorders>
              <w:top w:color="000000" w:sz="4" w:val="single"/>
              <w:left w:color="000000" w:sz="4" w:val="single"/>
              <w:bottom w:color="000000" w:sz="4" w:val="single"/>
              <w:right w:color="000000" w:sz="4" w:val="single"/>
            </w:tcBorders>
            <w:shd w:fill="auto" w:val="clear"/>
            <w:vAlign w:val="bottom"/>
          </w:tcPr>
          <w:p w14:paraId="10410000">
            <w:pPr>
              <w:widowControl w:val="1"/>
              <w:ind/>
              <w:jc w:val="right"/>
              <w:rPr>
                <w:sz w:val="18"/>
              </w:rPr>
            </w:pPr>
            <w:r>
              <w:rPr>
                <w:sz w:val="18"/>
              </w:rPr>
              <w:t>18</w:t>
            </w:r>
          </w:p>
        </w:tc>
        <w:tc>
          <w:tcPr>
            <w:tcW w:type="dxa" w:w="1620"/>
            <w:tcBorders>
              <w:top w:color="000000" w:sz="4" w:val="single"/>
              <w:left w:color="000000" w:sz="4" w:val="single"/>
              <w:bottom w:color="000000" w:sz="4" w:val="single"/>
              <w:right w:color="000000" w:sz="4" w:val="single"/>
            </w:tcBorders>
            <w:shd w:fill="auto" w:val="clear"/>
            <w:vAlign w:val="bottom"/>
          </w:tcPr>
          <w:p w14:paraId="11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12410000">
            <w:pPr>
              <w:widowControl w:val="1"/>
              <w:ind w:firstLine="180"/>
              <w:rPr>
                <w:sz w:val="18"/>
              </w:rPr>
            </w:pPr>
            <w:r>
              <w:rPr>
                <w:sz w:val="18"/>
              </w:rPr>
              <w:t xml:space="preserve">ИП Трунина Татьяна Федоровна Красноярский край, г. Минусинск, М. Горького, д.30 </w:t>
            </w:r>
          </w:p>
        </w:tc>
        <w:tc>
          <w:tcPr>
            <w:tcW w:type="dxa" w:w="1640"/>
            <w:tcBorders>
              <w:top w:color="000000" w:sz="4" w:val="single"/>
              <w:left w:color="000000" w:sz="4" w:val="single"/>
              <w:bottom w:color="000000" w:sz="4" w:val="single"/>
              <w:right w:color="000000" w:sz="4" w:val="single"/>
            </w:tcBorders>
            <w:shd w:fill="auto" w:val="clear"/>
            <w:vAlign w:val="bottom"/>
          </w:tcPr>
          <w:p w14:paraId="13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14410000">
            <w:pPr>
              <w:widowControl w:val="1"/>
              <w:ind/>
              <w:jc w:val="right"/>
              <w:rPr>
                <w:sz w:val="18"/>
              </w:rPr>
            </w:pPr>
            <w:r>
              <w:rPr>
                <w:sz w:val="18"/>
              </w:rPr>
              <w:t>24</w:t>
            </w:r>
          </w:p>
        </w:tc>
        <w:tc>
          <w:tcPr>
            <w:tcW w:type="dxa" w:w="1160"/>
            <w:tcBorders>
              <w:top w:color="000000" w:sz="4" w:val="single"/>
              <w:left w:color="000000" w:sz="4" w:val="single"/>
              <w:bottom w:color="000000" w:sz="4" w:val="single"/>
              <w:right w:color="000000" w:sz="4" w:val="single"/>
            </w:tcBorders>
            <w:shd w:fill="auto" w:val="clear"/>
            <w:vAlign w:val="bottom"/>
          </w:tcPr>
          <w:p w14:paraId="15410000">
            <w:pPr>
              <w:widowControl w:val="1"/>
              <w:ind/>
              <w:jc w:val="right"/>
              <w:rPr>
                <w:sz w:val="18"/>
              </w:rPr>
            </w:pPr>
            <w:r>
              <w:rPr>
                <w:sz w:val="18"/>
              </w:rPr>
              <w:t>24</w:t>
            </w:r>
          </w:p>
        </w:tc>
        <w:tc>
          <w:tcPr>
            <w:tcW w:type="dxa" w:w="1620"/>
            <w:tcBorders>
              <w:top w:color="000000" w:sz="4" w:val="single"/>
              <w:left w:color="000000" w:sz="4" w:val="single"/>
              <w:bottom w:color="000000" w:sz="4" w:val="single"/>
              <w:right w:color="000000" w:sz="4" w:val="single"/>
            </w:tcBorders>
            <w:shd w:fill="auto" w:val="clear"/>
            <w:vAlign w:val="bottom"/>
          </w:tcPr>
          <w:p w14:paraId="1641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17410000">
            <w:pPr>
              <w:widowControl w:val="1"/>
              <w:ind w:firstLine="180"/>
              <w:rPr>
                <w:sz w:val="18"/>
              </w:rPr>
            </w:pPr>
            <w:r>
              <w:rPr>
                <w:sz w:val="18"/>
              </w:rPr>
              <w:t>ФГП ВО ЖДТ РОССИИ</w:t>
            </w:r>
          </w:p>
        </w:tc>
        <w:tc>
          <w:tcPr>
            <w:tcW w:type="dxa" w:w="1640"/>
            <w:tcBorders>
              <w:top w:color="000000" w:sz="4" w:val="single"/>
              <w:left w:color="000000" w:sz="4" w:val="single"/>
              <w:bottom w:color="000000" w:sz="4" w:val="single"/>
              <w:right w:color="000000" w:sz="4" w:val="single"/>
            </w:tcBorders>
            <w:shd w:fill="auto" w:val="clear"/>
            <w:vAlign w:val="bottom"/>
          </w:tcPr>
          <w:p w14:paraId="18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19410000">
            <w:pPr>
              <w:widowControl w:val="1"/>
              <w:ind/>
              <w:jc w:val="right"/>
              <w:rPr>
                <w:sz w:val="18"/>
              </w:rPr>
            </w:pPr>
            <w:r>
              <w:rPr>
                <w:sz w:val="18"/>
              </w:rPr>
              <w:t>21</w:t>
            </w:r>
          </w:p>
        </w:tc>
        <w:tc>
          <w:tcPr>
            <w:tcW w:type="dxa" w:w="1160"/>
            <w:tcBorders>
              <w:top w:color="000000" w:sz="4" w:val="single"/>
              <w:left w:color="000000" w:sz="4" w:val="single"/>
              <w:bottom w:color="000000" w:sz="4" w:val="single"/>
              <w:right w:color="000000" w:sz="4" w:val="single"/>
            </w:tcBorders>
            <w:shd w:fill="auto" w:val="clear"/>
            <w:vAlign w:val="bottom"/>
          </w:tcPr>
          <w:p w14:paraId="1A410000">
            <w:pPr>
              <w:widowControl w:val="1"/>
              <w:ind/>
              <w:jc w:val="right"/>
              <w:rPr>
                <w:sz w:val="18"/>
              </w:rPr>
            </w:pPr>
            <w:r>
              <w:rPr>
                <w:sz w:val="18"/>
              </w:rPr>
              <w:t>21</w:t>
            </w:r>
          </w:p>
        </w:tc>
        <w:tc>
          <w:tcPr>
            <w:tcW w:type="dxa" w:w="1620"/>
            <w:tcBorders>
              <w:top w:color="000000" w:sz="4" w:val="single"/>
              <w:left w:color="000000" w:sz="4" w:val="single"/>
              <w:bottom w:color="000000" w:sz="4" w:val="single"/>
              <w:right w:color="000000" w:sz="4" w:val="single"/>
            </w:tcBorders>
            <w:shd w:fill="auto" w:val="clear"/>
            <w:vAlign w:val="bottom"/>
          </w:tcPr>
          <w:p w14:paraId="1B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1C410000">
            <w:pPr>
              <w:widowControl w:val="1"/>
              <w:ind w:firstLine="180"/>
              <w:rPr>
                <w:sz w:val="18"/>
              </w:rPr>
            </w:pPr>
            <w:r>
              <w:rPr>
                <w:sz w:val="18"/>
              </w:rPr>
              <w:t>Филаткин Андрей Николаевич ИП</w:t>
            </w:r>
          </w:p>
        </w:tc>
        <w:tc>
          <w:tcPr>
            <w:tcW w:type="dxa" w:w="1640"/>
            <w:tcBorders>
              <w:top w:color="000000" w:sz="4" w:val="single"/>
              <w:left w:color="000000" w:sz="4" w:val="single"/>
              <w:bottom w:color="000000" w:sz="4" w:val="single"/>
              <w:right w:color="000000" w:sz="4" w:val="single"/>
            </w:tcBorders>
            <w:shd w:fill="auto" w:val="clear"/>
            <w:vAlign w:val="bottom"/>
          </w:tcPr>
          <w:p w14:paraId="1D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1E410000">
            <w:pPr>
              <w:widowControl w:val="1"/>
              <w:ind/>
              <w:jc w:val="right"/>
              <w:rPr>
                <w:sz w:val="18"/>
              </w:rPr>
            </w:pPr>
            <w:r>
              <w:rPr>
                <w:sz w:val="18"/>
              </w:rPr>
              <w:t>37</w:t>
            </w:r>
          </w:p>
        </w:tc>
        <w:tc>
          <w:tcPr>
            <w:tcW w:type="dxa" w:w="1160"/>
            <w:tcBorders>
              <w:top w:color="000000" w:sz="4" w:val="single"/>
              <w:left w:color="000000" w:sz="4" w:val="single"/>
              <w:bottom w:color="000000" w:sz="4" w:val="single"/>
              <w:right w:color="000000" w:sz="4" w:val="single"/>
            </w:tcBorders>
            <w:shd w:fill="auto" w:val="clear"/>
            <w:vAlign w:val="bottom"/>
          </w:tcPr>
          <w:p w14:paraId="1F410000">
            <w:pPr>
              <w:widowControl w:val="1"/>
              <w:ind/>
              <w:jc w:val="right"/>
              <w:rPr>
                <w:sz w:val="18"/>
              </w:rPr>
            </w:pPr>
            <w:r>
              <w:rPr>
                <w:sz w:val="18"/>
              </w:rPr>
              <w:t>37</w:t>
            </w:r>
          </w:p>
        </w:tc>
        <w:tc>
          <w:tcPr>
            <w:tcW w:type="dxa" w:w="1620"/>
            <w:tcBorders>
              <w:top w:color="000000" w:sz="4" w:val="single"/>
              <w:left w:color="000000" w:sz="4" w:val="single"/>
              <w:bottom w:color="000000" w:sz="4" w:val="single"/>
              <w:right w:color="000000" w:sz="4" w:val="single"/>
            </w:tcBorders>
            <w:shd w:fill="auto" w:val="clear"/>
            <w:vAlign w:val="bottom"/>
          </w:tcPr>
          <w:p w14:paraId="20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21410000">
            <w:pPr>
              <w:widowControl w:val="1"/>
              <w:ind w:firstLine="180"/>
              <w:rPr>
                <w:sz w:val="18"/>
              </w:rPr>
            </w:pPr>
            <w:r>
              <w:rPr>
                <w:sz w:val="18"/>
              </w:rPr>
              <w:t>ФИЛИАЛ БАНКА ВТБ (ПАО) В Г.КРАСНОЯРСКЕ</w:t>
            </w:r>
          </w:p>
        </w:tc>
        <w:tc>
          <w:tcPr>
            <w:tcW w:type="dxa" w:w="1640"/>
            <w:tcBorders>
              <w:top w:color="000000" w:sz="4" w:val="single"/>
              <w:left w:color="000000" w:sz="4" w:val="single"/>
              <w:bottom w:color="000000" w:sz="4" w:val="single"/>
              <w:right w:color="000000" w:sz="4" w:val="single"/>
            </w:tcBorders>
            <w:shd w:fill="auto" w:val="clear"/>
            <w:vAlign w:val="bottom"/>
          </w:tcPr>
          <w:p w14:paraId="22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23410000">
            <w:pPr>
              <w:widowControl w:val="1"/>
              <w:ind/>
              <w:jc w:val="right"/>
              <w:rPr>
                <w:sz w:val="18"/>
              </w:rPr>
            </w:pPr>
            <w:r>
              <w:rPr>
                <w:sz w:val="18"/>
              </w:rPr>
              <w:t>1</w:t>
            </w:r>
          </w:p>
        </w:tc>
        <w:tc>
          <w:tcPr>
            <w:tcW w:type="dxa" w:w="1160"/>
            <w:tcBorders>
              <w:top w:color="000000" w:sz="4" w:val="single"/>
              <w:left w:color="000000" w:sz="4" w:val="single"/>
              <w:bottom w:color="000000" w:sz="4" w:val="single"/>
              <w:right w:color="000000" w:sz="4" w:val="single"/>
            </w:tcBorders>
            <w:shd w:fill="auto" w:val="clear"/>
            <w:vAlign w:val="bottom"/>
          </w:tcPr>
          <w:p w14:paraId="24410000">
            <w:pPr>
              <w:widowControl w:val="1"/>
              <w:ind/>
              <w:jc w:val="right"/>
              <w:rPr>
                <w:sz w:val="18"/>
              </w:rPr>
            </w:pPr>
            <w:r>
              <w:rPr>
                <w:sz w:val="18"/>
              </w:rPr>
              <w:t>1</w:t>
            </w:r>
          </w:p>
        </w:tc>
        <w:tc>
          <w:tcPr>
            <w:tcW w:type="dxa" w:w="1620"/>
            <w:tcBorders>
              <w:top w:color="000000" w:sz="4" w:val="single"/>
              <w:left w:color="000000" w:sz="4" w:val="single"/>
              <w:bottom w:color="000000" w:sz="4" w:val="single"/>
              <w:right w:color="000000" w:sz="4" w:val="single"/>
            </w:tcBorders>
            <w:shd w:fill="auto" w:val="clear"/>
            <w:vAlign w:val="bottom"/>
          </w:tcPr>
          <w:p w14:paraId="25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26410000">
            <w:pPr>
              <w:widowControl w:val="1"/>
              <w:ind w:firstLine="180"/>
              <w:rPr>
                <w:sz w:val="18"/>
              </w:rPr>
            </w:pPr>
            <w:r>
              <w:rPr>
                <w:sz w:val="18"/>
              </w:rPr>
              <w:t>ХЭДХАНТЕР ООО</w:t>
            </w:r>
          </w:p>
        </w:tc>
        <w:tc>
          <w:tcPr>
            <w:tcW w:type="dxa" w:w="1640"/>
            <w:tcBorders>
              <w:top w:color="000000" w:sz="4" w:val="single"/>
              <w:left w:color="000000" w:sz="4" w:val="single"/>
              <w:bottom w:color="000000" w:sz="4" w:val="single"/>
              <w:right w:color="000000" w:sz="4" w:val="single"/>
            </w:tcBorders>
            <w:shd w:fill="auto" w:val="clear"/>
            <w:vAlign w:val="bottom"/>
          </w:tcPr>
          <w:p w14:paraId="27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28410000">
            <w:pPr>
              <w:widowControl w:val="1"/>
              <w:ind/>
              <w:jc w:val="right"/>
              <w:rPr>
                <w:sz w:val="18"/>
              </w:rPr>
            </w:pPr>
            <w:r>
              <w:rPr>
                <w:sz w:val="18"/>
              </w:rPr>
              <w:t>9</w:t>
            </w:r>
          </w:p>
        </w:tc>
        <w:tc>
          <w:tcPr>
            <w:tcW w:type="dxa" w:w="1160"/>
            <w:tcBorders>
              <w:top w:color="000000" w:sz="4" w:val="single"/>
              <w:left w:color="000000" w:sz="4" w:val="single"/>
              <w:bottom w:color="000000" w:sz="4" w:val="single"/>
              <w:right w:color="000000" w:sz="4" w:val="single"/>
            </w:tcBorders>
            <w:shd w:fill="auto" w:val="clear"/>
            <w:vAlign w:val="bottom"/>
          </w:tcPr>
          <w:p w14:paraId="29410000">
            <w:pPr>
              <w:widowControl w:val="1"/>
              <w:ind/>
              <w:jc w:val="right"/>
              <w:rPr>
                <w:sz w:val="18"/>
              </w:rPr>
            </w:pPr>
            <w:r>
              <w:rPr>
                <w:sz w:val="18"/>
              </w:rPr>
              <w:t>9</w:t>
            </w:r>
          </w:p>
        </w:tc>
        <w:tc>
          <w:tcPr>
            <w:tcW w:type="dxa" w:w="1620"/>
            <w:tcBorders>
              <w:top w:color="000000" w:sz="4" w:val="single"/>
              <w:left w:color="000000" w:sz="4" w:val="single"/>
              <w:bottom w:color="000000" w:sz="4" w:val="single"/>
              <w:right w:color="000000" w:sz="4" w:val="single"/>
            </w:tcBorders>
            <w:shd w:fill="auto" w:val="clear"/>
            <w:vAlign w:val="bottom"/>
          </w:tcPr>
          <w:p w14:paraId="2A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2B410000">
            <w:pPr>
              <w:widowControl w:val="1"/>
              <w:ind w:firstLine="180"/>
              <w:rPr>
                <w:sz w:val="18"/>
              </w:rPr>
            </w:pPr>
            <w:r>
              <w:rPr>
                <w:sz w:val="18"/>
              </w:rPr>
              <w:t>ЭКОЛОГИЧЕСКИЙ СЕРВИС ООО</w:t>
            </w:r>
          </w:p>
        </w:tc>
        <w:tc>
          <w:tcPr>
            <w:tcW w:type="dxa" w:w="1640"/>
            <w:tcBorders>
              <w:top w:color="000000" w:sz="4" w:val="single"/>
              <w:left w:color="000000" w:sz="4" w:val="single"/>
              <w:bottom w:color="000000" w:sz="4" w:val="single"/>
              <w:right w:color="000000" w:sz="4" w:val="single"/>
            </w:tcBorders>
            <w:shd w:fill="auto" w:val="clear"/>
            <w:vAlign w:val="bottom"/>
          </w:tcPr>
          <w:p w14:paraId="2C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2D410000">
            <w:pPr>
              <w:widowControl w:val="1"/>
              <w:ind/>
              <w:jc w:val="right"/>
              <w:rPr>
                <w:sz w:val="18"/>
              </w:rPr>
            </w:pPr>
            <w:r>
              <w:rPr>
                <w:sz w:val="18"/>
              </w:rPr>
              <w:t>8</w:t>
            </w:r>
          </w:p>
        </w:tc>
        <w:tc>
          <w:tcPr>
            <w:tcW w:type="dxa" w:w="1160"/>
            <w:tcBorders>
              <w:top w:color="000000" w:sz="4" w:val="single"/>
              <w:left w:color="000000" w:sz="4" w:val="single"/>
              <w:bottom w:color="000000" w:sz="4" w:val="single"/>
              <w:right w:color="000000" w:sz="4" w:val="single"/>
            </w:tcBorders>
            <w:shd w:fill="auto" w:val="clear"/>
            <w:vAlign w:val="bottom"/>
          </w:tcPr>
          <w:p w14:paraId="2E410000">
            <w:pPr>
              <w:widowControl w:val="1"/>
              <w:ind/>
              <w:jc w:val="right"/>
              <w:rPr>
                <w:sz w:val="18"/>
              </w:rPr>
            </w:pPr>
            <w:r>
              <w:rPr>
                <w:sz w:val="18"/>
              </w:rPr>
              <w:t>8</w:t>
            </w:r>
          </w:p>
        </w:tc>
        <w:tc>
          <w:tcPr>
            <w:tcW w:type="dxa" w:w="1620"/>
            <w:tcBorders>
              <w:top w:color="000000" w:sz="4" w:val="single"/>
              <w:left w:color="000000" w:sz="4" w:val="single"/>
              <w:bottom w:color="000000" w:sz="4" w:val="single"/>
              <w:right w:color="000000" w:sz="4" w:val="single"/>
            </w:tcBorders>
            <w:shd w:fill="auto" w:val="clear"/>
            <w:vAlign w:val="bottom"/>
          </w:tcPr>
          <w:p w14:paraId="2F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30410000">
            <w:pPr>
              <w:widowControl w:val="1"/>
              <w:ind w:firstLine="180"/>
              <w:rPr>
                <w:sz w:val="18"/>
              </w:rPr>
            </w:pPr>
            <w:r>
              <w:rPr>
                <w:sz w:val="18"/>
              </w:rPr>
              <w:t>ЯРСК-СОФТ ООО</w:t>
            </w:r>
          </w:p>
        </w:tc>
        <w:tc>
          <w:tcPr>
            <w:tcW w:type="dxa" w:w="1640"/>
            <w:tcBorders>
              <w:top w:color="000000" w:sz="4" w:val="single"/>
              <w:left w:color="000000" w:sz="4" w:val="single"/>
              <w:bottom w:color="000000" w:sz="4" w:val="single"/>
              <w:right w:color="000000" w:sz="4" w:val="single"/>
            </w:tcBorders>
            <w:shd w:fill="auto" w:val="clear"/>
            <w:vAlign w:val="bottom"/>
          </w:tcPr>
          <w:p w14:paraId="31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32410000">
            <w:pPr>
              <w:widowControl w:val="1"/>
              <w:ind/>
              <w:jc w:val="right"/>
              <w:rPr>
                <w:sz w:val="18"/>
              </w:rPr>
            </w:pPr>
            <w:r>
              <w:rPr>
                <w:sz w:val="18"/>
              </w:rPr>
              <w:t>5</w:t>
            </w:r>
          </w:p>
        </w:tc>
        <w:tc>
          <w:tcPr>
            <w:tcW w:type="dxa" w:w="1160"/>
            <w:tcBorders>
              <w:top w:color="000000" w:sz="4" w:val="single"/>
              <w:left w:color="000000" w:sz="4" w:val="single"/>
              <w:bottom w:color="000000" w:sz="4" w:val="single"/>
              <w:right w:color="000000" w:sz="4" w:val="single"/>
            </w:tcBorders>
            <w:shd w:fill="auto" w:val="clear"/>
            <w:vAlign w:val="bottom"/>
          </w:tcPr>
          <w:p w14:paraId="33410000">
            <w:pPr>
              <w:widowControl w:val="1"/>
              <w:ind/>
              <w:jc w:val="right"/>
              <w:rPr>
                <w:sz w:val="18"/>
              </w:rPr>
            </w:pPr>
            <w:r>
              <w:rPr>
                <w:sz w:val="18"/>
              </w:rPr>
              <w:t>5</w:t>
            </w:r>
          </w:p>
        </w:tc>
        <w:tc>
          <w:tcPr>
            <w:tcW w:type="dxa" w:w="1620"/>
            <w:tcBorders>
              <w:top w:color="000000" w:sz="4" w:val="single"/>
              <w:left w:color="000000" w:sz="4" w:val="single"/>
              <w:bottom w:color="000000" w:sz="4" w:val="single"/>
              <w:right w:color="000000" w:sz="4" w:val="single"/>
            </w:tcBorders>
            <w:shd w:fill="auto" w:val="clear"/>
            <w:vAlign w:val="bottom"/>
          </w:tcPr>
          <w:p w14:paraId="34410000">
            <w:pPr>
              <w:widowControl w:val="1"/>
              <w:ind/>
              <w:jc w:val="right"/>
              <w:rPr>
                <w:sz w:val="18"/>
              </w:rPr>
            </w:pPr>
            <w:r>
              <w:rPr>
                <w:sz w:val="18"/>
              </w:rPr>
              <w:t>0</w:t>
            </w:r>
          </w:p>
        </w:tc>
      </w:tr>
      <w:tr>
        <w:trPr>
          <w:trHeight w:hRule="atLeast" w:val="300"/>
        </w:trPr>
        <w:tc>
          <w:tcPr>
            <w:tcW w:type="dxa" w:w="4697"/>
            <w:tcBorders>
              <w:top w:color="000000" w:sz="4" w:val="single"/>
              <w:left w:color="000000" w:sz="4" w:val="single"/>
              <w:bottom w:color="000000" w:sz="4" w:val="single"/>
              <w:right w:color="000000" w:sz="4" w:val="single"/>
            </w:tcBorders>
            <w:shd w:fill="auto" w:val="clear"/>
            <w:vAlign w:val="bottom"/>
          </w:tcPr>
          <w:p w14:paraId="35410000">
            <w:pPr>
              <w:rPr>
                <w:b w:val="1"/>
                <w:sz w:val="18"/>
              </w:rPr>
            </w:pPr>
            <w:r>
              <w:rPr>
                <w:b w:val="1"/>
                <w:sz w:val="18"/>
              </w:rPr>
              <w:t>Задолженность прочих дебиторов                                                                      (счет 68, 69, 70, 71, 73, 76) - всего, в т. ч.</w:t>
            </w:r>
          </w:p>
        </w:tc>
        <w:tc>
          <w:tcPr>
            <w:tcW w:type="dxa" w:w="1640"/>
            <w:tcBorders>
              <w:top w:color="000000" w:sz="4" w:val="single"/>
              <w:left w:color="000000" w:sz="4" w:val="single"/>
              <w:bottom w:color="000000" w:sz="4" w:val="single"/>
              <w:right w:color="000000" w:sz="4" w:val="single"/>
            </w:tcBorders>
            <w:shd w:fill="auto" w:val="clear"/>
            <w:vAlign w:val="bottom"/>
          </w:tcPr>
          <w:p w14:paraId="36410000">
            <w:pPr>
              <w:widowControl w:val="1"/>
              <w:ind/>
              <w:jc w:val="right"/>
              <w:rPr>
                <w:b w:val="1"/>
                <w:sz w:val="18"/>
              </w:rPr>
            </w:pPr>
            <w:r>
              <w:rPr>
                <w:b w:val="1"/>
                <w:sz w:val="18"/>
              </w:rPr>
              <w:t>58 377</w:t>
            </w:r>
          </w:p>
        </w:tc>
        <w:tc>
          <w:tcPr>
            <w:tcW w:type="dxa" w:w="1160"/>
            <w:tcBorders>
              <w:top w:color="000000" w:sz="4" w:val="single"/>
              <w:left w:color="000000" w:sz="4" w:val="single"/>
              <w:bottom w:color="000000" w:sz="4" w:val="single"/>
              <w:right w:color="000000" w:sz="4" w:val="single"/>
            </w:tcBorders>
            <w:shd w:fill="auto" w:val="clear"/>
            <w:vAlign w:val="bottom"/>
          </w:tcPr>
          <w:p w14:paraId="37410000">
            <w:pPr>
              <w:widowControl w:val="1"/>
              <w:ind/>
              <w:jc w:val="right"/>
              <w:rPr>
                <w:b w:val="1"/>
                <w:sz w:val="18"/>
              </w:rPr>
            </w:pPr>
            <w:r>
              <w:rPr>
                <w:b w:val="1"/>
                <w:sz w:val="18"/>
              </w:rPr>
              <w:t>505 020</w:t>
            </w:r>
          </w:p>
        </w:tc>
        <w:tc>
          <w:tcPr>
            <w:tcW w:type="dxa" w:w="1160"/>
            <w:tcBorders>
              <w:top w:color="000000" w:sz="4" w:val="single"/>
              <w:left w:color="000000" w:sz="4" w:val="single"/>
              <w:bottom w:color="000000" w:sz="4" w:val="single"/>
              <w:right w:color="000000" w:sz="4" w:val="single"/>
            </w:tcBorders>
            <w:shd w:fill="auto" w:val="clear"/>
            <w:vAlign w:val="bottom"/>
          </w:tcPr>
          <w:p w14:paraId="38410000">
            <w:pPr>
              <w:widowControl w:val="1"/>
              <w:ind/>
              <w:jc w:val="right"/>
              <w:rPr>
                <w:b w:val="1"/>
                <w:sz w:val="18"/>
              </w:rPr>
            </w:pPr>
            <w:r>
              <w:rPr>
                <w:b w:val="1"/>
                <w:sz w:val="18"/>
              </w:rPr>
              <w:t xml:space="preserve">538 </w:t>
            </w:r>
            <w:r>
              <w:rPr>
                <w:b w:val="1"/>
                <w:sz w:val="18"/>
              </w:rPr>
              <w:t>668</w:t>
            </w:r>
          </w:p>
        </w:tc>
        <w:tc>
          <w:tcPr>
            <w:tcW w:type="dxa" w:w="1620"/>
            <w:tcBorders>
              <w:top w:color="000000" w:sz="4" w:val="single"/>
              <w:left w:color="000000" w:sz="4" w:val="single"/>
              <w:bottom w:color="000000" w:sz="4" w:val="single"/>
              <w:right w:color="000000" w:sz="4" w:val="single"/>
            </w:tcBorders>
            <w:shd w:fill="auto" w:val="clear"/>
            <w:vAlign w:val="bottom"/>
          </w:tcPr>
          <w:p w14:paraId="39410000">
            <w:pPr>
              <w:widowControl w:val="1"/>
              <w:ind/>
              <w:jc w:val="right"/>
              <w:rPr>
                <w:b w:val="1"/>
                <w:sz w:val="18"/>
              </w:rPr>
            </w:pPr>
            <w:r>
              <w:rPr>
                <w:b w:val="1"/>
                <w:sz w:val="18"/>
              </w:rPr>
              <w:t>24 729</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vAlign w:val="bottom"/>
          </w:tcPr>
          <w:p w14:paraId="3A410000">
            <w:pPr>
              <w:rPr>
                <w:b w:val="1"/>
                <w:sz w:val="18"/>
              </w:rPr>
            </w:pPr>
            <w:r>
              <w:rPr>
                <w:b w:val="1"/>
                <w:sz w:val="18"/>
              </w:rPr>
              <w:t xml:space="preserve">            Субъекты РФ:</w:t>
            </w:r>
          </w:p>
        </w:tc>
        <w:tc>
          <w:tcPr>
            <w:tcW w:type="dxa" w:w="1640"/>
            <w:tcBorders>
              <w:top w:color="000000" w:sz="4" w:val="single"/>
              <w:left w:color="000000" w:sz="4" w:val="single"/>
              <w:bottom w:color="000000" w:sz="4" w:val="single"/>
              <w:right w:color="000000" w:sz="4" w:val="single"/>
            </w:tcBorders>
            <w:shd w:fill="auto" w:val="clear"/>
            <w:vAlign w:val="bottom"/>
          </w:tcPr>
          <w:p w14:paraId="3B410000">
            <w:pPr>
              <w:widowControl w:val="1"/>
              <w:ind/>
              <w:jc w:val="right"/>
              <w:rPr>
                <w:b w:val="1"/>
                <w:sz w:val="18"/>
              </w:rPr>
            </w:pPr>
            <w:r>
              <w:rPr>
                <w:b w:val="1"/>
                <w:sz w:val="18"/>
              </w:rPr>
              <w:t>35 345</w:t>
            </w:r>
          </w:p>
        </w:tc>
        <w:tc>
          <w:tcPr>
            <w:tcW w:type="dxa" w:w="1160"/>
            <w:tcBorders>
              <w:top w:color="000000" w:sz="4" w:val="single"/>
              <w:left w:color="000000" w:sz="4" w:val="single"/>
              <w:bottom w:color="000000" w:sz="4" w:val="single"/>
              <w:right w:color="000000" w:sz="4" w:val="single"/>
            </w:tcBorders>
            <w:shd w:fill="auto" w:val="clear"/>
            <w:vAlign w:val="bottom"/>
          </w:tcPr>
          <w:p w14:paraId="3C410000">
            <w:pPr>
              <w:widowControl w:val="1"/>
              <w:ind/>
              <w:jc w:val="right"/>
              <w:rPr>
                <w:b w:val="1"/>
                <w:sz w:val="18"/>
              </w:rPr>
            </w:pPr>
            <w:r>
              <w:rPr>
                <w:b w:val="1"/>
                <w:sz w:val="18"/>
              </w:rPr>
              <w:t>391 398</w:t>
            </w:r>
          </w:p>
        </w:tc>
        <w:tc>
          <w:tcPr>
            <w:tcW w:type="dxa" w:w="1160"/>
            <w:tcBorders>
              <w:top w:color="000000" w:sz="4" w:val="single"/>
              <w:left w:color="000000" w:sz="4" w:val="single"/>
              <w:bottom w:color="000000" w:sz="4" w:val="single"/>
              <w:right w:color="000000" w:sz="4" w:val="single"/>
            </w:tcBorders>
            <w:shd w:fill="auto" w:val="clear"/>
            <w:vAlign w:val="bottom"/>
          </w:tcPr>
          <w:p w14:paraId="3D410000">
            <w:pPr>
              <w:widowControl w:val="1"/>
              <w:ind/>
              <w:jc w:val="right"/>
              <w:rPr>
                <w:b w:val="1"/>
                <w:sz w:val="18"/>
              </w:rPr>
            </w:pPr>
            <w:r>
              <w:rPr>
                <w:b w:val="1"/>
                <w:sz w:val="18"/>
              </w:rPr>
              <w:t>426 743</w:t>
            </w:r>
          </w:p>
        </w:tc>
        <w:tc>
          <w:tcPr>
            <w:tcW w:type="dxa" w:w="1620"/>
            <w:tcBorders>
              <w:top w:color="000000" w:sz="4" w:val="single"/>
              <w:left w:color="000000" w:sz="4" w:val="single"/>
              <w:bottom w:color="000000" w:sz="4" w:val="single"/>
              <w:right w:color="000000" w:sz="4" w:val="single"/>
            </w:tcBorders>
            <w:shd w:fill="auto" w:val="clear"/>
            <w:vAlign w:val="bottom"/>
          </w:tcPr>
          <w:p w14:paraId="3E410000">
            <w:pPr>
              <w:widowControl w:val="1"/>
              <w:ind/>
              <w:jc w:val="right"/>
              <w:rPr>
                <w:b w:val="1"/>
                <w:sz w:val="18"/>
              </w:rPr>
            </w:pPr>
            <w:r>
              <w:rPr>
                <w:b w:val="1"/>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3F410000">
            <w:pPr>
              <w:widowControl w:val="1"/>
              <w:ind w:firstLine="180"/>
              <w:rPr>
                <w:sz w:val="18"/>
              </w:rPr>
            </w:pPr>
            <w:r>
              <w:rPr>
                <w:sz w:val="18"/>
              </w:rPr>
              <w:t>Департамент транспорта и связи Кемеровской области</w:t>
            </w:r>
          </w:p>
        </w:tc>
        <w:tc>
          <w:tcPr>
            <w:tcW w:type="dxa" w:w="1640"/>
            <w:tcBorders>
              <w:top w:color="000000" w:sz="4" w:val="single"/>
              <w:left w:color="000000" w:sz="4" w:val="single"/>
              <w:bottom w:color="000000" w:sz="4" w:val="single"/>
              <w:right w:color="000000" w:sz="4" w:val="single"/>
            </w:tcBorders>
            <w:shd w:fill="auto" w:val="clear"/>
            <w:vAlign w:val="bottom"/>
          </w:tcPr>
          <w:p w14:paraId="40410000">
            <w:pPr>
              <w:widowControl w:val="1"/>
              <w:ind/>
              <w:jc w:val="right"/>
              <w:rPr>
                <w:sz w:val="18"/>
              </w:rPr>
            </w:pPr>
            <w:r>
              <w:rPr>
                <w:sz w:val="18"/>
              </w:rPr>
              <w:t>28</w:t>
            </w:r>
          </w:p>
        </w:tc>
        <w:tc>
          <w:tcPr>
            <w:tcW w:type="dxa" w:w="1160"/>
            <w:tcBorders>
              <w:top w:color="000000" w:sz="4" w:val="single"/>
              <w:left w:color="000000" w:sz="4" w:val="single"/>
              <w:bottom w:color="000000" w:sz="4" w:val="single"/>
              <w:right w:color="000000" w:sz="4" w:val="single"/>
            </w:tcBorders>
            <w:shd w:fill="auto" w:val="clear"/>
            <w:vAlign w:val="bottom"/>
          </w:tcPr>
          <w:p w14:paraId="41410000">
            <w:pPr>
              <w:widowControl w:val="1"/>
              <w:ind/>
              <w:jc w:val="right"/>
              <w:rPr>
                <w:sz w:val="18"/>
              </w:rPr>
            </w:pPr>
            <w:r>
              <w:rPr>
                <w:sz w:val="18"/>
              </w:rPr>
              <w:t>7 302</w:t>
            </w:r>
          </w:p>
        </w:tc>
        <w:tc>
          <w:tcPr>
            <w:tcW w:type="dxa" w:w="1160"/>
            <w:tcBorders>
              <w:top w:color="000000" w:sz="4" w:val="single"/>
              <w:left w:color="000000" w:sz="4" w:val="single"/>
              <w:bottom w:color="000000" w:sz="4" w:val="single"/>
              <w:right w:color="000000" w:sz="4" w:val="single"/>
            </w:tcBorders>
            <w:shd w:fill="auto" w:val="clear"/>
            <w:vAlign w:val="bottom"/>
          </w:tcPr>
          <w:p w14:paraId="42410000">
            <w:pPr>
              <w:widowControl w:val="1"/>
              <w:ind/>
              <w:jc w:val="right"/>
              <w:rPr>
                <w:sz w:val="18"/>
              </w:rPr>
            </w:pPr>
            <w:r>
              <w:rPr>
                <w:sz w:val="18"/>
              </w:rPr>
              <w:t>7 330</w:t>
            </w:r>
          </w:p>
        </w:tc>
        <w:tc>
          <w:tcPr>
            <w:tcW w:type="dxa" w:w="1620"/>
            <w:tcBorders>
              <w:top w:color="000000" w:sz="4" w:val="single"/>
              <w:left w:color="000000" w:sz="4" w:val="single"/>
              <w:bottom w:color="000000" w:sz="4" w:val="single"/>
              <w:right w:color="000000" w:sz="4" w:val="single"/>
            </w:tcBorders>
            <w:shd w:fill="auto" w:val="clear"/>
            <w:vAlign w:val="bottom"/>
          </w:tcPr>
          <w:p w14:paraId="43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44410000">
            <w:pPr>
              <w:widowControl w:val="1"/>
              <w:ind w:firstLine="180"/>
              <w:rPr>
                <w:sz w:val="18"/>
              </w:rPr>
            </w:pPr>
            <w:r>
              <w:rPr>
                <w:sz w:val="18"/>
              </w:rPr>
              <w:t>Министерство транспорта и дорожного хоз Р. Хакасия</w:t>
            </w:r>
          </w:p>
        </w:tc>
        <w:tc>
          <w:tcPr>
            <w:tcW w:type="dxa" w:w="1640"/>
            <w:tcBorders>
              <w:top w:color="000000" w:sz="4" w:val="single"/>
              <w:left w:color="000000" w:sz="4" w:val="single"/>
              <w:bottom w:color="000000" w:sz="4" w:val="single"/>
              <w:right w:color="000000" w:sz="4" w:val="single"/>
            </w:tcBorders>
            <w:shd w:fill="auto" w:val="clear"/>
            <w:vAlign w:val="bottom"/>
          </w:tcPr>
          <w:p w14:paraId="45410000">
            <w:pPr>
              <w:widowControl w:val="1"/>
              <w:ind/>
              <w:jc w:val="right"/>
              <w:rPr>
                <w:sz w:val="18"/>
              </w:rPr>
            </w:pPr>
            <w:r>
              <w:rPr>
                <w:sz w:val="18"/>
              </w:rPr>
              <w:t>31 132</w:t>
            </w:r>
          </w:p>
        </w:tc>
        <w:tc>
          <w:tcPr>
            <w:tcW w:type="dxa" w:w="1160"/>
            <w:tcBorders>
              <w:top w:color="000000" w:sz="4" w:val="single"/>
              <w:left w:color="000000" w:sz="4" w:val="single"/>
              <w:bottom w:color="000000" w:sz="4" w:val="single"/>
              <w:right w:color="000000" w:sz="4" w:val="single"/>
            </w:tcBorders>
            <w:shd w:fill="auto" w:val="clear"/>
            <w:vAlign w:val="bottom"/>
          </w:tcPr>
          <w:p w14:paraId="46410000">
            <w:pPr>
              <w:widowControl w:val="1"/>
              <w:ind/>
              <w:jc w:val="right"/>
              <w:rPr>
                <w:sz w:val="18"/>
              </w:rPr>
            </w:pPr>
            <w:r>
              <w:rPr>
                <w:sz w:val="18"/>
              </w:rPr>
              <w:t>42 034</w:t>
            </w:r>
          </w:p>
        </w:tc>
        <w:tc>
          <w:tcPr>
            <w:tcW w:type="dxa" w:w="1160"/>
            <w:tcBorders>
              <w:top w:color="000000" w:sz="4" w:val="single"/>
              <w:left w:color="000000" w:sz="4" w:val="single"/>
              <w:bottom w:color="000000" w:sz="4" w:val="single"/>
              <w:right w:color="000000" w:sz="4" w:val="single"/>
            </w:tcBorders>
            <w:shd w:fill="auto" w:val="clear"/>
            <w:vAlign w:val="bottom"/>
          </w:tcPr>
          <w:p w14:paraId="47410000">
            <w:pPr>
              <w:widowControl w:val="1"/>
              <w:ind/>
              <w:jc w:val="right"/>
              <w:rPr>
                <w:sz w:val="18"/>
              </w:rPr>
            </w:pPr>
            <w:r>
              <w:rPr>
                <w:sz w:val="18"/>
              </w:rPr>
              <w:t>73 166</w:t>
            </w:r>
          </w:p>
        </w:tc>
        <w:tc>
          <w:tcPr>
            <w:tcW w:type="dxa" w:w="1620"/>
            <w:tcBorders>
              <w:top w:color="000000" w:sz="4" w:val="single"/>
              <w:left w:color="000000" w:sz="4" w:val="single"/>
              <w:bottom w:color="000000" w:sz="4" w:val="single"/>
              <w:right w:color="000000" w:sz="4" w:val="single"/>
            </w:tcBorders>
            <w:shd w:fill="auto" w:val="clear"/>
            <w:vAlign w:val="bottom"/>
          </w:tcPr>
          <w:p w14:paraId="48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49410000">
            <w:pPr>
              <w:widowControl w:val="1"/>
              <w:ind w:firstLine="180"/>
              <w:rPr>
                <w:sz w:val="18"/>
              </w:rPr>
            </w:pPr>
            <w:r>
              <w:rPr>
                <w:sz w:val="18"/>
              </w:rPr>
              <w:t>МИНИСТЕРСТВО ТРАНСПОРТА КРАСНОЯРСКОГО КРАЯ</w:t>
            </w:r>
          </w:p>
        </w:tc>
        <w:tc>
          <w:tcPr>
            <w:tcW w:type="dxa" w:w="1640"/>
            <w:tcBorders>
              <w:top w:color="000000" w:sz="4" w:val="single"/>
              <w:left w:color="000000" w:sz="4" w:val="single"/>
              <w:bottom w:color="000000" w:sz="4" w:val="single"/>
              <w:right w:color="000000" w:sz="4" w:val="single"/>
            </w:tcBorders>
            <w:shd w:fill="auto" w:val="clear"/>
            <w:vAlign w:val="bottom"/>
          </w:tcPr>
          <w:p w14:paraId="4A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4B410000">
            <w:pPr>
              <w:widowControl w:val="1"/>
              <w:ind/>
              <w:jc w:val="right"/>
              <w:rPr>
                <w:sz w:val="18"/>
              </w:rPr>
            </w:pPr>
            <w:r>
              <w:rPr>
                <w:sz w:val="18"/>
              </w:rPr>
              <w:t>342 062</w:t>
            </w:r>
          </w:p>
        </w:tc>
        <w:tc>
          <w:tcPr>
            <w:tcW w:type="dxa" w:w="1160"/>
            <w:tcBorders>
              <w:top w:color="000000" w:sz="4" w:val="single"/>
              <w:left w:color="000000" w:sz="4" w:val="single"/>
              <w:bottom w:color="000000" w:sz="4" w:val="single"/>
              <w:right w:color="000000" w:sz="4" w:val="single"/>
            </w:tcBorders>
            <w:shd w:fill="auto" w:val="clear"/>
            <w:vAlign w:val="bottom"/>
          </w:tcPr>
          <w:p w14:paraId="4C410000">
            <w:pPr>
              <w:widowControl w:val="1"/>
              <w:ind/>
              <w:jc w:val="right"/>
              <w:rPr>
                <w:sz w:val="18"/>
              </w:rPr>
            </w:pPr>
            <w:r>
              <w:rPr>
                <w:sz w:val="18"/>
              </w:rPr>
              <w:t>342 062</w:t>
            </w:r>
          </w:p>
        </w:tc>
        <w:tc>
          <w:tcPr>
            <w:tcW w:type="dxa" w:w="1620"/>
            <w:tcBorders>
              <w:top w:color="000000" w:sz="4" w:val="single"/>
              <w:left w:color="000000" w:sz="4" w:val="single"/>
              <w:bottom w:color="000000" w:sz="4" w:val="single"/>
              <w:right w:color="000000" w:sz="4" w:val="single"/>
            </w:tcBorders>
            <w:shd w:fill="auto" w:val="clear"/>
            <w:vAlign w:val="bottom"/>
          </w:tcPr>
          <w:p w14:paraId="4D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4E410000">
            <w:pPr>
              <w:widowControl w:val="1"/>
              <w:ind w:firstLine="180"/>
              <w:rPr>
                <w:sz w:val="18"/>
              </w:rPr>
            </w:pPr>
            <w:r>
              <w:rPr>
                <w:sz w:val="18"/>
              </w:rPr>
              <w:t>МИНФИН ХАКАСИИ</w:t>
            </w:r>
          </w:p>
        </w:tc>
        <w:tc>
          <w:tcPr>
            <w:tcW w:type="dxa" w:w="1640"/>
            <w:tcBorders>
              <w:top w:color="000000" w:sz="4" w:val="single"/>
              <w:left w:color="000000" w:sz="4" w:val="single"/>
              <w:bottom w:color="000000" w:sz="4" w:val="single"/>
              <w:right w:color="000000" w:sz="4" w:val="single"/>
            </w:tcBorders>
            <w:shd w:fill="auto" w:val="clear"/>
            <w:vAlign w:val="bottom"/>
          </w:tcPr>
          <w:p w14:paraId="4F410000">
            <w:pPr>
              <w:widowControl w:val="1"/>
              <w:ind/>
              <w:jc w:val="right"/>
              <w:rPr>
                <w:sz w:val="18"/>
              </w:rPr>
            </w:pPr>
            <w:r>
              <w:rPr>
                <w:sz w:val="18"/>
              </w:rPr>
              <w:t>4 185</w:t>
            </w:r>
          </w:p>
        </w:tc>
        <w:tc>
          <w:tcPr>
            <w:tcW w:type="dxa" w:w="1160"/>
            <w:tcBorders>
              <w:top w:color="000000" w:sz="4" w:val="single"/>
              <w:left w:color="000000" w:sz="4" w:val="single"/>
              <w:bottom w:color="000000" w:sz="4" w:val="single"/>
              <w:right w:color="000000" w:sz="4" w:val="single"/>
            </w:tcBorders>
            <w:shd w:fill="auto" w:val="clear"/>
            <w:vAlign w:val="bottom"/>
          </w:tcPr>
          <w:p w14:paraId="50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51410000">
            <w:pPr>
              <w:widowControl w:val="1"/>
              <w:ind/>
              <w:jc w:val="right"/>
              <w:rPr>
                <w:sz w:val="18"/>
              </w:rPr>
            </w:pPr>
            <w:r>
              <w:rPr>
                <w:sz w:val="18"/>
              </w:rPr>
              <w:t>4 185</w:t>
            </w:r>
          </w:p>
        </w:tc>
        <w:tc>
          <w:tcPr>
            <w:tcW w:type="dxa" w:w="1620"/>
            <w:tcBorders>
              <w:top w:color="000000" w:sz="4" w:val="single"/>
              <w:left w:color="000000" w:sz="4" w:val="single"/>
              <w:bottom w:color="000000" w:sz="4" w:val="single"/>
              <w:right w:color="000000" w:sz="4" w:val="single"/>
            </w:tcBorders>
            <w:shd w:fill="auto" w:val="clear"/>
            <w:vAlign w:val="bottom"/>
          </w:tcPr>
          <w:p w14:paraId="52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vAlign w:val="bottom"/>
          </w:tcPr>
          <w:p w14:paraId="53410000">
            <w:pPr>
              <w:rPr>
                <w:b w:val="1"/>
                <w:sz w:val="18"/>
              </w:rPr>
            </w:pPr>
            <w:r>
              <w:rPr>
                <w:b w:val="1"/>
                <w:sz w:val="18"/>
              </w:rPr>
              <w:t xml:space="preserve">            Прочие контрагенты:</w:t>
            </w:r>
          </w:p>
        </w:tc>
        <w:tc>
          <w:tcPr>
            <w:tcW w:type="dxa" w:w="1640"/>
            <w:tcBorders>
              <w:top w:color="000000" w:sz="4" w:val="single"/>
              <w:left w:color="000000" w:sz="4" w:val="single"/>
              <w:bottom w:color="000000" w:sz="4" w:val="single"/>
              <w:right w:color="000000" w:sz="4" w:val="single"/>
            </w:tcBorders>
            <w:shd w:fill="auto" w:val="clear"/>
            <w:vAlign w:val="bottom"/>
          </w:tcPr>
          <w:p w14:paraId="54410000">
            <w:pPr>
              <w:widowControl w:val="1"/>
              <w:ind/>
              <w:jc w:val="right"/>
              <w:rPr>
                <w:b w:val="1"/>
                <w:sz w:val="18"/>
              </w:rPr>
            </w:pPr>
            <w:r>
              <w:rPr>
                <w:b w:val="1"/>
                <w:sz w:val="18"/>
              </w:rPr>
              <w:t>296</w:t>
            </w:r>
          </w:p>
        </w:tc>
        <w:tc>
          <w:tcPr>
            <w:tcW w:type="dxa" w:w="1160"/>
            <w:tcBorders>
              <w:top w:color="000000" w:sz="4" w:val="single"/>
              <w:left w:color="000000" w:sz="4" w:val="single"/>
              <w:bottom w:color="000000" w:sz="4" w:val="single"/>
              <w:right w:color="000000" w:sz="4" w:val="single"/>
            </w:tcBorders>
            <w:shd w:fill="auto" w:val="clear"/>
            <w:vAlign w:val="bottom"/>
          </w:tcPr>
          <w:p w14:paraId="55410000">
            <w:pPr>
              <w:widowControl w:val="1"/>
              <w:ind/>
              <w:jc w:val="right"/>
              <w:rPr>
                <w:b w:val="1"/>
                <w:sz w:val="18"/>
              </w:rPr>
            </w:pPr>
            <w:r>
              <w:rPr>
                <w:b w:val="1"/>
                <w:sz w:val="18"/>
              </w:rPr>
              <w:t xml:space="preserve">14 </w:t>
            </w:r>
            <w:r>
              <w:rPr>
                <w:b w:val="1"/>
                <w:sz w:val="18"/>
              </w:rPr>
              <w:t>403</w:t>
            </w:r>
          </w:p>
        </w:tc>
        <w:tc>
          <w:tcPr>
            <w:tcW w:type="dxa" w:w="1160"/>
            <w:tcBorders>
              <w:top w:color="000000" w:sz="4" w:val="single"/>
              <w:left w:color="000000" w:sz="4" w:val="single"/>
              <w:bottom w:color="000000" w:sz="4" w:val="single"/>
              <w:right w:color="000000" w:sz="4" w:val="single"/>
            </w:tcBorders>
            <w:shd w:fill="auto" w:val="clear"/>
            <w:vAlign w:val="bottom"/>
          </w:tcPr>
          <w:p w14:paraId="56410000">
            <w:pPr>
              <w:widowControl w:val="1"/>
              <w:ind/>
              <w:jc w:val="right"/>
              <w:rPr>
                <w:b w:val="1"/>
                <w:sz w:val="18"/>
              </w:rPr>
            </w:pPr>
            <w:r>
              <w:rPr>
                <w:b w:val="1"/>
                <w:sz w:val="18"/>
              </w:rPr>
              <w:t xml:space="preserve">14 </w:t>
            </w:r>
            <w:r>
              <w:rPr>
                <w:b w:val="1"/>
                <w:sz w:val="18"/>
              </w:rPr>
              <w:t>316</w:t>
            </w:r>
          </w:p>
        </w:tc>
        <w:tc>
          <w:tcPr>
            <w:tcW w:type="dxa" w:w="1620"/>
            <w:tcBorders>
              <w:top w:color="000000" w:sz="4" w:val="single"/>
              <w:left w:color="000000" w:sz="4" w:val="single"/>
              <w:bottom w:color="000000" w:sz="4" w:val="single"/>
              <w:right w:color="000000" w:sz="4" w:val="single"/>
            </w:tcBorders>
            <w:shd w:fill="auto" w:val="clear"/>
            <w:vAlign w:val="bottom"/>
          </w:tcPr>
          <w:p w14:paraId="57410000">
            <w:pPr>
              <w:widowControl w:val="1"/>
              <w:ind/>
              <w:jc w:val="right"/>
              <w:rPr>
                <w:b w:val="1"/>
                <w:sz w:val="18"/>
              </w:rPr>
            </w:pPr>
            <w:r>
              <w:rPr>
                <w:b w:val="1"/>
                <w:sz w:val="18"/>
              </w:rPr>
              <w:t>383</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58410000">
            <w:pPr>
              <w:widowControl w:val="1"/>
              <w:ind w:firstLine="180"/>
              <w:rPr>
                <w:sz w:val="18"/>
              </w:rPr>
            </w:pPr>
            <w:r>
              <w:rPr>
                <w:sz w:val="18"/>
              </w:rPr>
              <w:t>Бастион-Канск 2 ООО</w:t>
            </w:r>
          </w:p>
        </w:tc>
        <w:tc>
          <w:tcPr>
            <w:tcW w:type="dxa" w:w="1640"/>
            <w:tcBorders>
              <w:top w:color="000000" w:sz="4" w:val="single"/>
              <w:left w:color="000000" w:sz="4" w:val="single"/>
              <w:bottom w:color="000000" w:sz="4" w:val="single"/>
              <w:right w:color="000000" w:sz="4" w:val="single"/>
            </w:tcBorders>
            <w:shd w:fill="auto" w:val="clear"/>
            <w:vAlign w:val="bottom"/>
          </w:tcPr>
          <w:p w14:paraId="59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5A410000">
            <w:pPr>
              <w:widowControl w:val="1"/>
              <w:ind/>
              <w:jc w:val="right"/>
              <w:rPr>
                <w:sz w:val="18"/>
              </w:rPr>
            </w:pPr>
            <w:r>
              <w:rPr>
                <w:sz w:val="18"/>
              </w:rPr>
              <w:t>135</w:t>
            </w:r>
          </w:p>
        </w:tc>
        <w:tc>
          <w:tcPr>
            <w:tcW w:type="dxa" w:w="1160"/>
            <w:tcBorders>
              <w:top w:color="000000" w:sz="4" w:val="single"/>
              <w:left w:color="000000" w:sz="4" w:val="single"/>
              <w:bottom w:color="000000" w:sz="4" w:val="single"/>
              <w:right w:color="000000" w:sz="4" w:val="single"/>
            </w:tcBorders>
            <w:shd w:fill="auto" w:val="clear"/>
            <w:vAlign w:val="bottom"/>
          </w:tcPr>
          <w:p w14:paraId="5B410000">
            <w:pPr>
              <w:widowControl w:val="1"/>
              <w:ind/>
              <w:jc w:val="right"/>
              <w:rPr>
                <w:sz w:val="18"/>
              </w:rPr>
            </w:pPr>
            <w:r>
              <w:rPr>
                <w:sz w:val="18"/>
              </w:rPr>
              <w:t>135</w:t>
            </w:r>
          </w:p>
        </w:tc>
        <w:tc>
          <w:tcPr>
            <w:tcW w:type="dxa" w:w="1620"/>
            <w:tcBorders>
              <w:top w:color="000000" w:sz="4" w:val="single"/>
              <w:left w:color="000000" w:sz="4" w:val="single"/>
              <w:bottom w:color="000000" w:sz="4" w:val="single"/>
              <w:right w:color="000000" w:sz="4" w:val="single"/>
            </w:tcBorders>
            <w:shd w:fill="auto" w:val="clear"/>
            <w:vAlign w:val="bottom"/>
          </w:tcPr>
          <w:p w14:paraId="5C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5D410000">
            <w:pPr>
              <w:widowControl w:val="1"/>
              <w:ind w:firstLine="180"/>
              <w:rPr>
                <w:sz w:val="18"/>
              </w:rPr>
            </w:pPr>
            <w:r>
              <w:rPr>
                <w:sz w:val="18"/>
              </w:rPr>
              <w:t>Батюкова Светлана Николаевна</w:t>
            </w:r>
          </w:p>
        </w:tc>
        <w:tc>
          <w:tcPr>
            <w:tcW w:type="dxa" w:w="1640"/>
            <w:tcBorders>
              <w:top w:color="000000" w:sz="4" w:val="single"/>
              <w:left w:color="000000" w:sz="4" w:val="single"/>
              <w:bottom w:color="000000" w:sz="4" w:val="single"/>
              <w:right w:color="000000" w:sz="4" w:val="single"/>
            </w:tcBorders>
            <w:shd w:fill="auto" w:val="clear"/>
            <w:vAlign w:val="bottom"/>
          </w:tcPr>
          <w:p w14:paraId="5E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5F410000">
            <w:pPr>
              <w:widowControl w:val="1"/>
              <w:ind/>
              <w:jc w:val="right"/>
              <w:rPr>
                <w:sz w:val="18"/>
              </w:rPr>
            </w:pPr>
            <w:r>
              <w:rPr>
                <w:sz w:val="18"/>
              </w:rPr>
              <w:t>1</w:t>
            </w:r>
          </w:p>
        </w:tc>
        <w:tc>
          <w:tcPr>
            <w:tcW w:type="dxa" w:w="1160"/>
            <w:tcBorders>
              <w:top w:color="000000" w:sz="4" w:val="single"/>
              <w:left w:color="000000" w:sz="4" w:val="single"/>
              <w:bottom w:color="000000" w:sz="4" w:val="single"/>
              <w:right w:color="000000" w:sz="4" w:val="single"/>
            </w:tcBorders>
            <w:shd w:fill="auto" w:val="clear"/>
            <w:vAlign w:val="bottom"/>
          </w:tcPr>
          <w:p w14:paraId="60410000">
            <w:pPr>
              <w:widowControl w:val="1"/>
              <w:ind/>
              <w:jc w:val="right"/>
              <w:rPr>
                <w:sz w:val="18"/>
              </w:rPr>
            </w:pPr>
            <w:r>
              <w:rPr>
                <w:sz w:val="18"/>
              </w:rPr>
              <w:t>0</w:t>
            </w:r>
          </w:p>
        </w:tc>
        <w:tc>
          <w:tcPr>
            <w:tcW w:type="dxa" w:w="1620"/>
            <w:tcBorders>
              <w:top w:color="000000" w:sz="4" w:val="single"/>
              <w:left w:color="000000" w:sz="4" w:val="single"/>
              <w:bottom w:color="000000" w:sz="4" w:val="single"/>
              <w:right w:color="000000" w:sz="4" w:val="single"/>
            </w:tcBorders>
            <w:shd w:fill="auto" w:val="clear"/>
            <w:vAlign w:val="bottom"/>
          </w:tcPr>
          <w:p w14:paraId="61410000">
            <w:pPr>
              <w:widowControl w:val="1"/>
              <w:ind/>
              <w:jc w:val="right"/>
              <w:rPr>
                <w:sz w:val="18"/>
              </w:rPr>
            </w:pPr>
            <w:r>
              <w:rPr>
                <w:sz w:val="18"/>
              </w:rPr>
              <w:t>1</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62410000">
            <w:pPr>
              <w:widowControl w:val="1"/>
              <w:ind w:firstLine="180"/>
              <w:rPr>
                <w:sz w:val="18"/>
              </w:rPr>
            </w:pPr>
            <w:r>
              <w:rPr>
                <w:sz w:val="18"/>
              </w:rPr>
              <w:t>Красноярский электровагоноремонтный завод АО</w:t>
            </w:r>
          </w:p>
        </w:tc>
        <w:tc>
          <w:tcPr>
            <w:tcW w:type="dxa" w:w="1640"/>
            <w:tcBorders>
              <w:top w:color="000000" w:sz="4" w:val="single"/>
              <w:left w:color="000000" w:sz="4" w:val="single"/>
              <w:bottom w:color="000000" w:sz="4" w:val="single"/>
              <w:right w:color="000000" w:sz="4" w:val="single"/>
            </w:tcBorders>
            <w:shd w:fill="auto" w:val="clear"/>
            <w:vAlign w:val="bottom"/>
          </w:tcPr>
          <w:p w14:paraId="63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64410000">
            <w:pPr>
              <w:widowControl w:val="1"/>
              <w:ind/>
              <w:jc w:val="right"/>
              <w:rPr>
                <w:sz w:val="18"/>
              </w:rPr>
            </w:pPr>
            <w:r>
              <w:rPr>
                <w:sz w:val="18"/>
              </w:rPr>
              <w:t>32</w:t>
            </w:r>
          </w:p>
        </w:tc>
        <w:tc>
          <w:tcPr>
            <w:tcW w:type="dxa" w:w="1160"/>
            <w:tcBorders>
              <w:top w:color="000000" w:sz="4" w:val="single"/>
              <w:left w:color="000000" w:sz="4" w:val="single"/>
              <w:bottom w:color="000000" w:sz="4" w:val="single"/>
              <w:right w:color="000000" w:sz="4" w:val="single"/>
            </w:tcBorders>
            <w:shd w:fill="auto" w:val="clear"/>
            <w:vAlign w:val="bottom"/>
          </w:tcPr>
          <w:p w14:paraId="65410000">
            <w:pPr>
              <w:widowControl w:val="1"/>
              <w:ind/>
              <w:jc w:val="right"/>
              <w:rPr>
                <w:sz w:val="18"/>
              </w:rPr>
            </w:pPr>
            <w:r>
              <w:rPr>
                <w:sz w:val="18"/>
              </w:rPr>
              <w:t>32</w:t>
            </w:r>
          </w:p>
        </w:tc>
        <w:tc>
          <w:tcPr>
            <w:tcW w:type="dxa" w:w="1620"/>
            <w:tcBorders>
              <w:top w:color="000000" w:sz="4" w:val="single"/>
              <w:left w:color="000000" w:sz="4" w:val="single"/>
              <w:bottom w:color="000000" w:sz="4" w:val="single"/>
              <w:right w:color="000000" w:sz="4" w:val="single"/>
            </w:tcBorders>
            <w:shd w:fill="auto" w:val="clear"/>
            <w:vAlign w:val="bottom"/>
          </w:tcPr>
          <w:p w14:paraId="66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67410000">
            <w:pPr>
              <w:widowControl w:val="1"/>
              <w:ind w:firstLine="180"/>
              <w:rPr>
                <w:sz w:val="18"/>
              </w:rPr>
            </w:pPr>
            <w:r>
              <w:rPr>
                <w:sz w:val="18"/>
              </w:rPr>
              <w:t>Обухов Сергей Викторович</w:t>
            </w:r>
          </w:p>
        </w:tc>
        <w:tc>
          <w:tcPr>
            <w:tcW w:type="dxa" w:w="1640"/>
            <w:tcBorders>
              <w:top w:color="000000" w:sz="4" w:val="single"/>
              <w:left w:color="000000" w:sz="4" w:val="single"/>
              <w:bottom w:color="000000" w:sz="4" w:val="single"/>
              <w:right w:color="000000" w:sz="4" w:val="single"/>
            </w:tcBorders>
            <w:shd w:fill="auto" w:val="clear"/>
            <w:vAlign w:val="bottom"/>
          </w:tcPr>
          <w:p w14:paraId="68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69410000">
            <w:pPr>
              <w:widowControl w:val="1"/>
              <w:ind/>
              <w:jc w:val="right"/>
              <w:rPr>
                <w:sz w:val="18"/>
              </w:rPr>
            </w:pPr>
            <w:r>
              <w:rPr>
                <w:sz w:val="18"/>
              </w:rPr>
              <w:t>1</w:t>
            </w:r>
          </w:p>
        </w:tc>
        <w:tc>
          <w:tcPr>
            <w:tcW w:type="dxa" w:w="1160"/>
            <w:tcBorders>
              <w:top w:color="000000" w:sz="4" w:val="single"/>
              <w:left w:color="000000" w:sz="4" w:val="single"/>
              <w:bottom w:color="000000" w:sz="4" w:val="single"/>
              <w:right w:color="000000" w:sz="4" w:val="single"/>
            </w:tcBorders>
            <w:shd w:fill="auto" w:val="clear"/>
            <w:vAlign w:val="bottom"/>
          </w:tcPr>
          <w:p w14:paraId="6A410000">
            <w:pPr>
              <w:widowControl w:val="1"/>
              <w:ind/>
              <w:jc w:val="right"/>
              <w:rPr>
                <w:sz w:val="18"/>
              </w:rPr>
            </w:pPr>
            <w:r>
              <w:rPr>
                <w:sz w:val="18"/>
              </w:rPr>
              <w:t>1</w:t>
            </w:r>
          </w:p>
        </w:tc>
        <w:tc>
          <w:tcPr>
            <w:tcW w:type="dxa" w:w="1620"/>
            <w:tcBorders>
              <w:top w:color="000000" w:sz="4" w:val="single"/>
              <w:left w:color="000000" w:sz="4" w:val="single"/>
              <w:bottom w:color="000000" w:sz="4" w:val="single"/>
              <w:right w:color="000000" w:sz="4" w:val="single"/>
            </w:tcBorders>
            <w:shd w:fill="auto" w:val="clear"/>
            <w:vAlign w:val="bottom"/>
          </w:tcPr>
          <w:p w14:paraId="6B410000">
            <w:pPr>
              <w:widowControl w:val="1"/>
              <w:ind/>
              <w:jc w:val="right"/>
              <w:rPr>
                <w:sz w:val="18"/>
              </w:rPr>
            </w:pPr>
            <w:r>
              <w:rPr>
                <w:sz w:val="18"/>
              </w:rPr>
              <w:t>0</w:t>
            </w:r>
          </w:p>
        </w:tc>
      </w:tr>
      <w:tr>
        <w:trPr>
          <w:trHeight w:hRule="atLeast" w:val="285"/>
        </w:trPr>
        <w:tc>
          <w:tcPr>
            <w:tcW w:type="dxa" w:w="4697"/>
            <w:tcBorders>
              <w:top w:color="000000" w:sz="4" w:val="single"/>
              <w:left w:color="000000" w:sz="4" w:val="single"/>
              <w:bottom w:color="000000" w:sz="4" w:val="single"/>
              <w:right w:color="000000" w:sz="4" w:val="single"/>
            </w:tcBorders>
            <w:shd w:fill="auto" w:val="clear"/>
          </w:tcPr>
          <w:p w14:paraId="6C410000">
            <w:pPr>
              <w:widowControl w:val="1"/>
              <w:ind w:firstLine="180"/>
              <w:rPr>
                <w:sz w:val="18"/>
              </w:rPr>
            </w:pPr>
            <w:r>
              <w:rPr>
                <w:sz w:val="18"/>
              </w:rPr>
              <w:t>Чиняков Алексей Иванович</w:t>
            </w:r>
          </w:p>
        </w:tc>
        <w:tc>
          <w:tcPr>
            <w:tcW w:type="dxa" w:w="1640"/>
            <w:tcBorders>
              <w:top w:color="000000" w:sz="4" w:val="single"/>
              <w:left w:color="000000" w:sz="4" w:val="single"/>
              <w:bottom w:color="000000" w:sz="4" w:val="single"/>
              <w:right w:color="000000" w:sz="4" w:val="single"/>
            </w:tcBorders>
            <w:shd w:fill="auto" w:val="clear"/>
            <w:vAlign w:val="bottom"/>
          </w:tcPr>
          <w:p w14:paraId="6D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6E410000">
            <w:pPr>
              <w:widowControl w:val="1"/>
              <w:ind/>
              <w:jc w:val="right"/>
              <w:rPr>
                <w:sz w:val="18"/>
              </w:rPr>
            </w:pPr>
            <w:r>
              <w:rPr>
                <w:sz w:val="18"/>
              </w:rPr>
              <w:t>1</w:t>
            </w:r>
          </w:p>
        </w:tc>
        <w:tc>
          <w:tcPr>
            <w:tcW w:type="dxa" w:w="1160"/>
            <w:tcBorders>
              <w:top w:color="000000" w:sz="4" w:val="single"/>
              <w:left w:color="000000" w:sz="4" w:val="single"/>
              <w:bottom w:color="000000" w:sz="4" w:val="single"/>
              <w:right w:color="000000" w:sz="4" w:val="single"/>
            </w:tcBorders>
            <w:shd w:fill="auto" w:val="clear"/>
            <w:vAlign w:val="bottom"/>
          </w:tcPr>
          <w:p w14:paraId="6F410000">
            <w:pPr>
              <w:widowControl w:val="1"/>
              <w:ind/>
              <w:jc w:val="right"/>
              <w:rPr>
                <w:sz w:val="18"/>
              </w:rPr>
            </w:pPr>
            <w:r>
              <w:rPr>
                <w:sz w:val="18"/>
              </w:rPr>
              <w:t>1</w:t>
            </w:r>
          </w:p>
        </w:tc>
        <w:tc>
          <w:tcPr>
            <w:tcW w:type="dxa" w:w="1620"/>
            <w:tcBorders>
              <w:top w:color="000000" w:sz="4" w:val="single"/>
              <w:left w:color="000000" w:sz="4" w:val="single"/>
              <w:bottom w:color="000000" w:sz="4" w:val="single"/>
              <w:right w:color="000000" w:sz="4" w:val="single"/>
            </w:tcBorders>
            <w:shd w:fill="auto" w:val="clear"/>
            <w:vAlign w:val="bottom"/>
          </w:tcPr>
          <w:p w14:paraId="70410000">
            <w:pPr>
              <w:widowControl w:val="1"/>
              <w:ind/>
              <w:jc w:val="right"/>
              <w:rPr>
                <w:sz w:val="18"/>
              </w:rPr>
            </w:pPr>
            <w:r>
              <w:rPr>
                <w:sz w:val="18"/>
              </w:rPr>
              <w:t>0</w:t>
            </w:r>
          </w:p>
        </w:tc>
      </w:tr>
      <w:tr>
        <w:trPr>
          <w:trHeight w:hRule="atLeast" w:val="465"/>
        </w:trPr>
        <w:tc>
          <w:tcPr>
            <w:tcW w:type="dxa" w:w="4697"/>
            <w:tcBorders>
              <w:top w:color="000000" w:sz="4" w:val="single"/>
              <w:left w:color="000000" w:sz="4" w:val="single"/>
              <w:bottom w:color="000000" w:sz="4" w:val="single"/>
              <w:right w:color="000000" w:sz="4" w:val="single"/>
            </w:tcBorders>
            <w:shd w:fill="auto" w:val="clear"/>
          </w:tcPr>
          <w:p w14:paraId="71410000">
            <w:pPr>
              <w:widowControl w:val="1"/>
              <w:ind w:firstLine="180"/>
              <w:rPr>
                <w:sz w:val="18"/>
              </w:rPr>
            </w:pPr>
            <w:r>
              <w:rPr>
                <w:sz w:val="18"/>
              </w:rPr>
              <w:t>Автоэкспресс ЗАО (76.09) автобусные билеты</w:t>
            </w:r>
          </w:p>
        </w:tc>
        <w:tc>
          <w:tcPr>
            <w:tcW w:type="dxa" w:w="1640"/>
            <w:tcBorders>
              <w:top w:color="000000" w:sz="4" w:val="single"/>
              <w:left w:color="000000" w:sz="4" w:val="single"/>
              <w:bottom w:color="000000" w:sz="4" w:val="single"/>
              <w:right w:color="000000" w:sz="4" w:val="single"/>
            </w:tcBorders>
            <w:shd w:fill="auto" w:val="clear"/>
            <w:vAlign w:val="bottom"/>
          </w:tcPr>
          <w:p w14:paraId="72410000">
            <w:pPr>
              <w:widowControl w:val="1"/>
              <w:ind/>
              <w:jc w:val="right"/>
              <w:rPr>
                <w:sz w:val="18"/>
              </w:rPr>
            </w:pPr>
            <w:r>
              <w:rPr>
                <w:sz w:val="18"/>
              </w:rPr>
              <w:t>24</w:t>
            </w:r>
          </w:p>
        </w:tc>
        <w:tc>
          <w:tcPr>
            <w:tcW w:type="dxa" w:w="1160"/>
            <w:tcBorders>
              <w:top w:color="000000" w:sz="4" w:val="single"/>
              <w:left w:color="000000" w:sz="4" w:val="single"/>
              <w:bottom w:color="000000" w:sz="4" w:val="single"/>
              <w:right w:color="000000" w:sz="4" w:val="single"/>
            </w:tcBorders>
            <w:shd w:fill="auto" w:val="clear"/>
            <w:vAlign w:val="bottom"/>
          </w:tcPr>
          <w:p w14:paraId="73410000">
            <w:pPr>
              <w:widowControl w:val="1"/>
              <w:ind/>
              <w:jc w:val="right"/>
              <w:rPr>
                <w:sz w:val="18"/>
              </w:rPr>
            </w:pPr>
            <w:r>
              <w:rPr>
                <w:sz w:val="18"/>
              </w:rPr>
              <w:t>220</w:t>
            </w:r>
          </w:p>
        </w:tc>
        <w:tc>
          <w:tcPr>
            <w:tcW w:type="dxa" w:w="1160"/>
            <w:tcBorders>
              <w:top w:color="000000" w:sz="4" w:val="single"/>
              <w:left w:color="000000" w:sz="4" w:val="single"/>
              <w:bottom w:color="000000" w:sz="4" w:val="single"/>
              <w:right w:color="000000" w:sz="4" w:val="single"/>
            </w:tcBorders>
            <w:shd w:fill="auto" w:val="clear"/>
            <w:vAlign w:val="bottom"/>
          </w:tcPr>
          <w:p w14:paraId="74410000">
            <w:pPr>
              <w:widowControl w:val="1"/>
              <w:ind/>
              <w:jc w:val="right"/>
              <w:rPr>
                <w:sz w:val="18"/>
              </w:rPr>
            </w:pPr>
            <w:r>
              <w:rPr>
                <w:sz w:val="18"/>
              </w:rPr>
              <w:t>206</w:t>
            </w:r>
          </w:p>
        </w:tc>
        <w:tc>
          <w:tcPr>
            <w:tcW w:type="dxa" w:w="1620"/>
            <w:tcBorders>
              <w:top w:color="000000" w:sz="4" w:val="single"/>
              <w:left w:color="000000" w:sz="4" w:val="single"/>
              <w:bottom w:color="000000" w:sz="4" w:val="single"/>
              <w:right w:color="000000" w:sz="4" w:val="single"/>
            </w:tcBorders>
            <w:shd w:fill="auto" w:val="clear"/>
            <w:vAlign w:val="bottom"/>
          </w:tcPr>
          <w:p w14:paraId="75410000">
            <w:pPr>
              <w:widowControl w:val="1"/>
              <w:ind/>
              <w:jc w:val="right"/>
              <w:rPr>
                <w:sz w:val="18"/>
              </w:rPr>
            </w:pPr>
            <w:r>
              <w:rPr>
                <w:sz w:val="18"/>
              </w:rPr>
              <w:t>38</w:t>
            </w:r>
          </w:p>
        </w:tc>
      </w:tr>
      <w:tr>
        <w:trPr>
          <w:trHeight w:hRule="atLeast" w:val="330"/>
        </w:trPr>
        <w:tc>
          <w:tcPr>
            <w:tcW w:type="dxa" w:w="4697"/>
            <w:tcBorders>
              <w:top w:color="000000" w:sz="4" w:val="single"/>
              <w:left w:color="000000" w:sz="4" w:val="single"/>
              <w:bottom w:color="000000" w:sz="4" w:val="single"/>
              <w:right w:color="000000" w:sz="4" w:val="single"/>
            </w:tcBorders>
            <w:shd w:fill="auto" w:val="clear"/>
          </w:tcPr>
          <w:p w14:paraId="76410000">
            <w:pPr>
              <w:widowControl w:val="1"/>
              <w:ind w:firstLine="180"/>
              <w:rPr>
                <w:sz w:val="18"/>
              </w:rPr>
            </w:pPr>
            <w:r>
              <w:rPr>
                <w:sz w:val="18"/>
              </w:rPr>
              <w:t>БИЗНЕС ЭЛЕМЕНТ ООО</w:t>
            </w:r>
          </w:p>
        </w:tc>
        <w:tc>
          <w:tcPr>
            <w:tcW w:type="dxa" w:w="1640"/>
            <w:tcBorders>
              <w:top w:color="000000" w:sz="4" w:val="single"/>
              <w:left w:color="000000" w:sz="4" w:val="single"/>
              <w:bottom w:color="000000" w:sz="4" w:val="single"/>
              <w:right w:color="000000" w:sz="4" w:val="single"/>
            </w:tcBorders>
            <w:shd w:fill="auto" w:val="clear"/>
            <w:vAlign w:val="bottom"/>
          </w:tcPr>
          <w:p w14:paraId="77410000">
            <w:pPr>
              <w:widowControl w:val="1"/>
              <w:ind/>
              <w:jc w:val="right"/>
              <w:rPr>
                <w:sz w:val="18"/>
              </w:rPr>
            </w:pPr>
            <w:r>
              <w:rPr>
                <w:sz w:val="18"/>
              </w:rPr>
              <w:t>8</w:t>
            </w:r>
          </w:p>
        </w:tc>
        <w:tc>
          <w:tcPr>
            <w:tcW w:type="dxa" w:w="1160"/>
            <w:tcBorders>
              <w:top w:color="000000" w:sz="4" w:val="single"/>
              <w:left w:color="000000" w:sz="4" w:val="single"/>
              <w:bottom w:color="000000" w:sz="4" w:val="single"/>
              <w:right w:color="000000" w:sz="4" w:val="single"/>
            </w:tcBorders>
            <w:shd w:fill="auto" w:val="clear"/>
            <w:vAlign w:val="bottom"/>
          </w:tcPr>
          <w:p w14:paraId="78410000">
            <w:pPr>
              <w:widowControl w:val="1"/>
              <w:ind/>
              <w:jc w:val="right"/>
              <w:rPr>
                <w:sz w:val="18"/>
              </w:rPr>
            </w:pPr>
            <w:r>
              <w:rPr>
                <w:sz w:val="18"/>
              </w:rPr>
              <w:t>75</w:t>
            </w:r>
          </w:p>
        </w:tc>
        <w:tc>
          <w:tcPr>
            <w:tcW w:type="dxa" w:w="1160"/>
            <w:tcBorders>
              <w:top w:color="000000" w:sz="4" w:val="single"/>
              <w:left w:color="000000" w:sz="4" w:val="single"/>
              <w:bottom w:color="000000" w:sz="4" w:val="single"/>
              <w:right w:color="000000" w:sz="4" w:val="single"/>
            </w:tcBorders>
            <w:shd w:fill="auto" w:val="clear"/>
            <w:vAlign w:val="bottom"/>
          </w:tcPr>
          <w:p w14:paraId="79410000">
            <w:pPr>
              <w:widowControl w:val="1"/>
              <w:ind/>
              <w:jc w:val="right"/>
              <w:rPr>
                <w:sz w:val="18"/>
              </w:rPr>
            </w:pPr>
            <w:r>
              <w:rPr>
                <w:sz w:val="18"/>
              </w:rPr>
              <w:t>77</w:t>
            </w:r>
          </w:p>
        </w:tc>
        <w:tc>
          <w:tcPr>
            <w:tcW w:type="dxa" w:w="1620"/>
            <w:tcBorders>
              <w:top w:color="000000" w:sz="4" w:val="single"/>
              <w:left w:color="000000" w:sz="4" w:val="single"/>
              <w:bottom w:color="000000" w:sz="4" w:val="single"/>
              <w:right w:color="000000" w:sz="4" w:val="single"/>
            </w:tcBorders>
            <w:shd w:fill="auto" w:val="clear"/>
            <w:vAlign w:val="bottom"/>
          </w:tcPr>
          <w:p w14:paraId="7A410000">
            <w:pPr>
              <w:widowControl w:val="1"/>
              <w:ind/>
              <w:jc w:val="right"/>
              <w:rPr>
                <w:sz w:val="18"/>
              </w:rPr>
            </w:pPr>
            <w:r>
              <w:rPr>
                <w:sz w:val="18"/>
              </w:rPr>
              <w:t>6</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7B410000">
            <w:pPr>
              <w:widowControl w:val="1"/>
              <w:ind w:firstLine="180"/>
              <w:rPr>
                <w:sz w:val="18"/>
              </w:rPr>
            </w:pPr>
            <w:r>
              <w:rPr>
                <w:sz w:val="18"/>
              </w:rPr>
              <w:t>КРАСНОЯРСКАВТОТРАНС ГПКК</w:t>
            </w:r>
          </w:p>
        </w:tc>
        <w:tc>
          <w:tcPr>
            <w:tcW w:type="dxa" w:w="1640"/>
            <w:tcBorders>
              <w:top w:color="000000" w:sz="4" w:val="single"/>
              <w:left w:color="000000" w:sz="4" w:val="single"/>
              <w:bottom w:color="000000" w:sz="4" w:val="single"/>
              <w:right w:color="000000" w:sz="4" w:val="single"/>
            </w:tcBorders>
            <w:shd w:fill="auto" w:val="clear"/>
            <w:vAlign w:val="bottom"/>
          </w:tcPr>
          <w:p w14:paraId="7C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7D410000">
            <w:pPr>
              <w:widowControl w:val="1"/>
              <w:ind/>
              <w:jc w:val="right"/>
              <w:rPr>
                <w:sz w:val="18"/>
              </w:rPr>
            </w:pPr>
            <w:r>
              <w:rPr>
                <w:sz w:val="18"/>
              </w:rPr>
              <w:t>2 085</w:t>
            </w:r>
          </w:p>
        </w:tc>
        <w:tc>
          <w:tcPr>
            <w:tcW w:type="dxa" w:w="1160"/>
            <w:tcBorders>
              <w:top w:color="000000" w:sz="4" w:val="single"/>
              <w:left w:color="000000" w:sz="4" w:val="single"/>
              <w:bottom w:color="000000" w:sz="4" w:val="single"/>
              <w:right w:color="000000" w:sz="4" w:val="single"/>
            </w:tcBorders>
            <w:shd w:fill="auto" w:val="clear"/>
            <w:vAlign w:val="bottom"/>
          </w:tcPr>
          <w:p w14:paraId="7E410000">
            <w:pPr>
              <w:widowControl w:val="1"/>
              <w:ind/>
              <w:jc w:val="right"/>
              <w:rPr>
                <w:sz w:val="18"/>
              </w:rPr>
            </w:pPr>
            <w:r>
              <w:rPr>
                <w:sz w:val="18"/>
              </w:rPr>
              <w:t>2 083</w:t>
            </w:r>
          </w:p>
        </w:tc>
        <w:tc>
          <w:tcPr>
            <w:tcW w:type="dxa" w:w="1620"/>
            <w:tcBorders>
              <w:top w:color="000000" w:sz="4" w:val="single"/>
              <w:left w:color="000000" w:sz="4" w:val="single"/>
              <w:bottom w:color="000000" w:sz="4" w:val="single"/>
              <w:right w:color="000000" w:sz="4" w:val="single"/>
            </w:tcBorders>
            <w:shd w:fill="auto" w:val="clear"/>
            <w:vAlign w:val="bottom"/>
          </w:tcPr>
          <w:p w14:paraId="7F410000">
            <w:pPr>
              <w:widowControl w:val="1"/>
              <w:ind/>
              <w:jc w:val="right"/>
              <w:rPr>
                <w:sz w:val="18"/>
              </w:rPr>
            </w:pPr>
            <w:r>
              <w:rPr>
                <w:sz w:val="18"/>
              </w:rPr>
              <w:t>2</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tcPr>
          <w:p w14:paraId="80410000">
            <w:pPr>
              <w:widowControl w:val="1"/>
              <w:ind w:firstLine="180"/>
              <w:rPr>
                <w:sz w:val="18"/>
              </w:rPr>
            </w:pPr>
            <w:r>
              <w:rPr>
                <w:sz w:val="18"/>
              </w:rPr>
              <w:t>НКО КРАСНОЯРСКИЙ КРАЕВОЙ РАСЧЕТНЫЙ ЦЕНТР ООО</w:t>
            </w:r>
          </w:p>
        </w:tc>
        <w:tc>
          <w:tcPr>
            <w:tcW w:type="dxa" w:w="1640"/>
            <w:tcBorders>
              <w:top w:color="000000" w:sz="4" w:val="single"/>
              <w:left w:color="000000" w:sz="4" w:val="single"/>
              <w:bottom w:color="000000" w:sz="4" w:val="single"/>
              <w:right w:color="000000" w:sz="4" w:val="single"/>
            </w:tcBorders>
            <w:shd w:fill="auto" w:val="clear"/>
            <w:vAlign w:val="bottom"/>
          </w:tcPr>
          <w:p w14:paraId="81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82410000">
            <w:pPr>
              <w:widowControl w:val="1"/>
              <w:ind/>
              <w:jc w:val="right"/>
              <w:rPr>
                <w:sz w:val="18"/>
              </w:rPr>
            </w:pPr>
            <w:r>
              <w:rPr>
                <w:sz w:val="18"/>
              </w:rPr>
              <w:t>11</w:t>
            </w:r>
          </w:p>
        </w:tc>
        <w:tc>
          <w:tcPr>
            <w:tcW w:type="dxa" w:w="1160"/>
            <w:tcBorders>
              <w:top w:color="000000" w:sz="4" w:val="single"/>
              <w:left w:color="000000" w:sz="4" w:val="single"/>
              <w:bottom w:color="000000" w:sz="4" w:val="single"/>
              <w:right w:color="000000" w:sz="4" w:val="single"/>
            </w:tcBorders>
            <w:shd w:fill="auto" w:val="clear"/>
            <w:vAlign w:val="bottom"/>
          </w:tcPr>
          <w:p w14:paraId="83410000">
            <w:pPr>
              <w:widowControl w:val="1"/>
              <w:ind/>
              <w:jc w:val="right"/>
              <w:rPr>
                <w:sz w:val="18"/>
              </w:rPr>
            </w:pPr>
            <w:r>
              <w:rPr>
                <w:sz w:val="18"/>
              </w:rPr>
              <w:t>11</w:t>
            </w:r>
          </w:p>
        </w:tc>
        <w:tc>
          <w:tcPr>
            <w:tcW w:type="dxa" w:w="1620"/>
            <w:tcBorders>
              <w:top w:color="000000" w:sz="4" w:val="single"/>
              <w:left w:color="000000" w:sz="4" w:val="single"/>
              <w:bottom w:color="000000" w:sz="4" w:val="single"/>
              <w:right w:color="000000" w:sz="4" w:val="single"/>
            </w:tcBorders>
            <w:shd w:fill="auto" w:val="clear"/>
            <w:vAlign w:val="bottom"/>
          </w:tcPr>
          <w:p w14:paraId="84410000">
            <w:pPr>
              <w:widowControl w:val="1"/>
              <w:ind/>
              <w:jc w:val="right"/>
              <w:rPr>
                <w:sz w:val="18"/>
              </w:rPr>
            </w:pPr>
            <w:r>
              <w:rPr>
                <w:sz w:val="18"/>
              </w:rPr>
              <w:t>0</w:t>
            </w:r>
          </w:p>
        </w:tc>
      </w:tr>
      <w:tr>
        <w:trPr>
          <w:trHeight w:hRule="atLeast" w:val="255"/>
        </w:trPr>
        <w:tc>
          <w:tcPr>
            <w:tcW w:type="dxa" w:w="4697"/>
            <w:tcBorders>
              <w:top w:color="000000" w:sz="4" w:val="single"/>
              <w:left w:color="000000" w:sz="4" w:val="single"/>
              <w:bottom w:color="000000" w:sz="4" w:val="single"/>
              <w:right w:color="000000" w:sz="4" w:val="single"/>
            </w:tcBorders>
            <w:shd w:fill="auto" w:val="clear"/>
          </w:tcPr>
          <w:p w14:paraId="85410000">
            <w:pPr>
              <w:widowControl w:val="1"/>
              <w:ind w:firstLine="180"/>
              <w:rPr>
                <w:sz w:val="18"/>
              </w:rPr>
            </w:pPr>
            <w:r>
              <w:rPr>
                <w:sz w:val="18"/>
              </w:rPr>
              <w:t>СИБВТОРРЕСУРС ООО</w:t>
            </w:r>
          </w:p>
        </w:tc>
        <w:tc>
          <w:tcPr>
            <w:tcW w:type="dxa" w:w="1640"/>
            <w:tcBorders>
              <w:top w:color="000000" w:sz="4" w:val="single"/>
              <w:left w:color="000000" w:sz="4" w:val="single"/>
              <w:bottom w:color="000000" w:sz="4" w:val="single"/>
              <w:right w:color="000000" w:sz="4" w:val="single"/>
            </w:tcBorders>
            <w:shd w:fill="auto" w:val="clear"/>
            <w:vAlign w:val="bottom"/>
          </w:tcPr>
          <w:p w14:paraId="86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87410000">
            <w:pPr>
              <w:widowControl w:val="1"/>
              <w:ind/>
              <w:jc w:val="right"/>
              <w:rPr>
                <w:sz w:val="18"/>
              </w:rPr>
            </w:pPr>
            <w:r>
              <w:rPr>
                <w:sz w:val="18"/>
              </w:rPr>
              <w:t>25</w:t>
            </w:r>
          </w:p>
        </w:tc>
        <w:tc>
          <w:tcPr>
            <w:tcW w:type="dxa" w:w="1160"/>
            <w:tcBorders>
              <w:top w:color="000000" w:sz="4" w:val="single"/>
              <w:left w:color="000000" w:sz="4" w:val="single"/>
              <w:bottom w:color="000000" w:sz="4" w:val="single"/>
              <w:right w:color="000000" w:sz="4" w:val="single"/>
            </w:tcBorders>
            <w:shd w:fill="auto" w:val="clear"/>
            <w:vAlign w:val="bottom"/>
          </w:tcPr>
          <w:p w14:paraId="88410000">
            <w:pPr>
              <w:widowControl w:val="1"/>
              <w:ind/>
              <w:jc w:val="right"/>
              <w:rPr>
                <w:sz w:val="18"/>
              </w:rPr>
            </w:pPr>
            <w:r>
              <w:rPr>
                <w:sz w:val="18"/>
              </w:rPr>
              <w:t>25</w:t>
            </w:r>
          </w:p>
        </w:tc>
        <w:tc>
          <w:tcPr>
            <w:tcW w:type="dxa" w:w="1620"/>
            <w:tcBorders>
              <w:top w:color="000000" w:sz="4" w:val="single"/>
              <w:left w:color="000000" w:sz="4" w:val="single"/>
              <w:bottom w:color="000000" w:sz="4" w:val="single"/>
              <w:right w:color="000000" w:sz="4" w:val="single"/>
            </w:tcBorders>
            <w:shd w:fill="auto" w:val="clear"/>
            <w:vAlign w:val="bottom"/>
          </w:tcPr>
          <w:p w14:paraId="89410000">
            <w:pPr>
              <w:widowControl w:val="1"/>
              <w:ind/>
              <w:jc w:val="right"/>
              <w:rPr>
                <w:sz w:val="18"/>
              </w:rPr>
            </w:pPr>
            <w:r>
              <w:rPr>
                <w:sz w:val="18"/>
              </w:rPr>
              <w:t>0</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tcPr>
          <w:p w14:paraId="8A410000">
            <w:pPr>
              <w:widowControl w:val="1"/>
              <w:ind w:firstLine="180"/>
              <w:rPr>
                <w:sz w:val="18"/>
              </w:rPr>
            </w:pPr>
            <w:r>
              <w:rPr>
                <w:sz w:val="18"/>
              </w:rPr>
              <w:t>УФК по Республике Хакасия (ГКУ РХ УСПН г. Абакана)</w:t>
            </w:r>
          </w:p>
        </w:tc>
        <w:tc>
          <w:tcPr>
            <w:tcW w:type="dxa" w:w="1640"/>
            <w:tcBorders>
              <w:top w:color="000000" w:sz="4" w:val="single"/>
              <w:left w:color="000000" w:sz="4" w:val="single"/>
              <w:bottom w:color="000000" w:sz="4" w:val="single"/>
              <w:right w:color="000000" w:sz="4" w:val="single"/>
            </w:tcBorders>
            <w:shd w:fill="auto" w:val="clear"/>
            <w:vAlign w:val="bottom"/>
          </w:tcPr>
          <w:p w14:paraId="8B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8C410000">
            <w:pPr>
              <w:widowControl w:val="1"/>
              <w:ind/>
              <w:jc w:val="right"/>
              <w:rPr>
                <w:sz w:val="18"/>
              </w:rPr>
            </w:pPr>
            <w:r>
              <w:rPr>
                <w:sz w:val="18"/>
              </w:rPr>
              <w:t>31</w:t>
            </w:r>
          </w:p>
        </w:tc>
        <w:tc>
          <w:tcPr>
            <w:tcW w:type="dxa" w:w="1160"/>
            <w:tcBorders>
              <w:top w:color="000000" w:sz="4" w:val="single"/>
              <w:left w:color="000000" w:sz="4" w:val="single"/>
              <w:bottom w:color="000000" w:sz="4" w:val="single"/>
              <w:right w:color="000000" w:sz="4" w:val="single"/>
            </w:tcBorders>
            <w:shd w:fill="auto" w:val="clear"/>
            <w:vAlign w:val="bottom"/>
          </w:tcPr>
          <w:p w14:paraId="8D410000">
            <w:pPr>
              <w:widowControl w:val="1"/>
              <w:ind/>
              <w:jc w:val="right"/>
              <w:rPr>
                <w:sz w:val="18"/>
              </w:rPr>
            </w:pPr>
            <w:r>
              <w:rPr>
                <w:sz w:val="18"/>
              </w:rPr>
              <w:t>31</w:t>
            </w:r>
          </w:p>
        </w:tc>
        <w:tc>
          <w:tcPr>
            <w:tcW w:type="dxa" w:w="1620"/>
            <w:tcBorders>
              <w:top w:color="000000" w:sz="4" w:val="single"/>
              <w:left w:color="000000" w:sz="4" w:val="single"/>
              <w:bottom w:color="000000" w:sz="4" w:val="single"/>
              <w:right w:color="000000" w:sz="4" w:val="single"/>
            </w:tcBorders>
            <w:shd w:fill="auto" w:val="clear"/>
            <w:vAlign w:val="bottom"/>
          </w:tcPr>
          <w:p w14:paraId="8E410000">
            <w:pPr>
              <w:widowControl w:val="1"/>
              <w:ind/>
              <w:jc w:val="right"/>
              <w:rPr>
                <w:sz w:val="18"/>
              </w:rPr>
            </w:pPr>
            <w:r>
              <w:rPr>
                <w:sz w:val="18"/>
              </w:rPr>
              <w:t>0</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tcPr>
          <w:p w14:paraId="8F410000">
            <w:pPr>
              <w:widowControl w:val="1"/>
              <w:ind w:firstLine="180"/>
              <w:rPr>
                <w:sz w:val="18"/>
              </w:rPr>
            </w:pPr>
            <w:r>
              <w:rPr>
                <w:sz w:val="18"/>
              </w:rPr>
              <w:t>Эквайринг Банка ВТБ24 (ЗАО)</w:t>
            </w:r>
          </w:p>
        </w:tc>
        <w:tc>
          <w:tcPr>
            <w:tcW w:type="dxa" w:w="1640"/>
            <w:tcBorders>
              <w:top w:color="000000" w:sz="4" w:val="single"/>
              <w:left w:color="000000" w:sz="4" w:val="single"/>
              <w:bottom w:color="000000" w:sz="4" w:val="single"/>
              <w:right w:color="000000" w:sz="4" w:val="single"/>
            </w:tcBorders>
            <w:shd w:fill="auto" w:val="clear"/>
            <w:vAlign w:val="bottom"/>
          </w:tcPr>
          <w:p w14:paraId="90410000">
            <w:pPr>
              <w:widowControl w:val="1"/>
              <w:ind/>
              <w:jc w:val="right"/>
              <w:rPr>
                <w:sz w:val="18"/>
              </w:rPr>
            </w:pPr>
            <w:r>
              <w:rPr>
                <w:sz w:val="18"/>
              </w:rPr>
              <w:t>109</w:t>
            </w:r>
          </w:p>
        </w:tc>
        <w:tc>
          <w:tcPr>
            <w:tcW w:type="dxa" w:w="1160"/>
            <w:tcBorders>
              <w:top w:color="000000" w:sz="4" w:val="single"/>
              <w:left w:color="000000" w:sz="4" w:val="single"/>
              <w:bottom w:color="000000" w:sz="4" w:val="single"/>
              <w:right w:color="000000" w:sz="4" w:val="single"/>
            </w:tcBorders>
            <w:shd w:fill="auto" w:val="clear"/>
            <w:vAlign w:val="bottom"/>
          </w:tcPr>
          <w:p w14:paraId="91410000">
            <w:pPr>
              <w:widowControl w:val="1"/>
              <w:ind/>
              <w:jc w:val="right"/>
              <w:rPr>
                <w:sz w:val="18"/>
              </w:rPr>
            </w:pPr>
            <w:r>
              <w:rPr>
                <w:sz w:val="18"/>
              </w:rPr>
              <w:t>9 852</w:t>
            </w:r>
          </w:p>
        </w:tc>
        <w:tc>
          <w:tcPr>
            <w:tcW w:type="dxa" w:w="1160"/>
            <w:tcBorders>
              <w:top w:color="000000" w:sz="4" w:val="single"/>
              <w:left w:color="000000" w:sz="4" w:val="single"/>
              <w:bottom w:color="000000" w:sz="4" w:val="single"/>
              <w:right w:color="000000" w:sz="4" w:val="single"/>
            </w:tcBorders>
            <w:shd w:fill="auto" w:val="clear"/>
            <w:vAlign w:val="bottom"/>
          </w:tcPr>
          <w:p w14:paraId="92410000">
            <w:pPr>
              <w:widowControl w:val="1"/>
              <w:ind/>
              <w:jc w:val="right"/>
              <w:rPr>
                <w:sz w:val="18"/>
              </w:rPr>
            </w:pPr>
            <w:r>
              <w:rPr>
                <w:sz w:val="18"/>
              </w:rPr>
              <w:t>9 776</w:t>
            </w:r>
          </w:p>
        </w:tc>
        <w:tc>
          <w:tcPr>
            <w:tcW w:type="dxa" w:w="1620"/>
            <w:tcBorders>
              <w:top w:color="000000" w:sz="4" w:val="single"/>
              <w:left w:color="000000" w:sz="4" w:val="single"/>
              <w:bottom w:color="000000" w:sz="4" w:val="single"/>
              <w:right w:color="000000" w:sz="4" w:val="single"/>
            </w:tcBorders>
            <w:shd w:fill="auto" w:val="clear"/>
            <w:vAlign w:val="bottom"/>
          </w:tcPr>
          <w:p w14:paraId="93410000">
            <w:pPr>
              <w:widowControl w:val="1"/>
              <w:ind/>
              <w:jc w:val="right"/>
              <w:rPr>
                <w:sz w:val="18"/>
              </w:rPr>
            </w:pPr>
            <w:r>
              <w:rPr>
                <w:sz w:val="18"/>
              </w:rPr>
              <w:t>185</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tcPr>
          <w:p w14:paraId="94410000">
            <w:pPr>
              <w:widowControl w:val="1"/>
              <w:ind w:firstLine="180"/>
              <w:rPr>
                <w:sz w:val="18"/>
              </w:rPr>
            </w:pPr>
            <w:r>
              <w:rPr>
                <w:sz w:val="18"/>
              </w:rPr>
              <w:t>АльфаСтрахование Красноярский филиал АО</w:t>
            </w:r>
          </w:p>
        </w:tc>
        <w:tc>
          <w:tcPr>
            <w:tcW w:type="dxa" w:w="1640"/>
            <w:tcBorders>
              <w:top w:color="000000" w:sz="4" w:val="single"/>
              <w:left w:color="000000" w:sz="4" w:val="single"/>
              <w:bottom w:color="000000" w:sz="4" w:val="single"/>
              <w:right w:color="000000" w:sz="4" w:val="single"/>
            </w:tcBorders>
            <w:shd w:fill="auto" w:val="clear"/>
            <w:vAlign w:val="bottom"/>
          </w:tcPr>
          <w:p w14:paraId="95410000">
            <w:pPr>
              <w:widowControl w:val="1"/>
              <w:ind/>
              <w:jc w:val="right"/>
              <w:rPr>
                <w:sz w:val="18"/>
              </w:rPr>
            </w:pPr>
            <w:r>
              <w:rPr>
                <w:sz w:val="18"/>
              </w:rPr>
              <w:t>2</w:t>
            </w:r>
          </w:p>
        </w:tc>
        <w:tc>
          <w:tcPr>
            <w:tcW w:type="dxa" w:w="1160"/>
            <w:tcBorders>
              <w:top w:color="000000" w:sz="4" w:val="single"/>
              <w:left w:color="000000" w:sz="4" w:val="single"/>
              <w:bottom w:color="000000" w:sz="4" w:val="single"/>
              <w:right w:color="000000" w:sz="4" w:val="single"/>
            </w:tcBorders>
            <w:shd w:fill="auto" w:val="clear"/>
            <w:vAlign w:val="bottom"/>
          </w:tcPr>
          <w:p w14:paraId="96410000">
            <w:pPr>
              <w:widowControl w:val="1"/>
              <w:ind/>
              <w:jc w:val="right"/>
              <w:rPr>
                <w:sz w:val="18"/>
              </w:rPr>
            </w:pPr>
            <w:r>
              <w:rPr>
                <w:sz w:val="18"/>
              </w:rPr>
              <w:t>146</w:t>
            </w:r>
          </w:p>
        </w:tc>
        <w:tc>
          <w:tcPr>
            <w:tcW w:type="dxa" w:w="1160"/>
            <w:tcBorders>
              <w:top w:color="000000" w:sz="4" w:val="single"/>
              <w:left w:color="000000" w:sz="4" w:val="single"/>
              <w:bottom w:color="000000" w:sz="4" w:val="single"/>
              <w:right w:color="000000" w:sz="4" w:val="single"/>
            </w:tcBorders>
            <w:shd w:fill="auto" w:val="clear"/>
            <w:vAlign w:val="bottom"/>
          </w:tcPr>
          <w:p w14:paraId="97410000">
            <w:pPr>
              <w:widowControl w:val="1"/>
              <w:ind/>
              <w:jc w:val="right"/>
              <w:rPr>
                <w:sz w:val="18"/>
              </w:rPr>
            </w:pPr>
            <w:r>
              <w:rPr>
                <w:sz w:val="18"/>
              </w:rPr>
              <w:t>129</w:t>
            </w:r>
          </w:p>
        </w:tc>
        <w:tc>
          <w:tcPr>
            <w:tcW w:type="dxa" w:w="1620"/>
            <w:tcBorders>
              <w:top w:color="000000" w:sz="4" w:val="single"/>
              <w:left w:color="000000" w:sz="4" w:val="single"/>
              <w:bottom w:color="000000" w:sz="4" w:val="single"/>
              <w:right w:color="000000" w:sz="4" w:val="single"/>
            </w:tcBorders>
            <w:shd w:fill="auto" w:val="clear"/>
            <w:vAlign w:val="bottom"/>
          </w:tcPr>
          <w:p w14:paraId="98410000">
            <w:pPr>
              <w:widowControl w:val="1"/>
              <w:ind/>
              <w:jc w:val="right"/>
              <w:rPr>
                <w:sz w:val="18"/>
              </w:rPr>
            </w:pPr>
            <w:r>
              <w:rPr>
                <w:sz w:val="18"/>
              </w:rPr>
              <w:t>20</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tcPr>
          <w:p w14:paraId="99410000">
            <w:pPr>
              <w:widowControl w:val="1"/>
              <w:ind w:firstLine="180"/>
              <w:rPr>
                <w:sz w:val="18"/>
              </w:rPr>
            </w:pPr>
            <w:r>
              <w:rPr>
                <w:sz w:val="18"/>
              </w:rPr>
              <w:t>Надежда Страховое Общество САО</w:t>
            </w:r>
          </w:p>
        </w:tc>
        <w:tc>
          <w:tcPr>
            <w:tcW w:type="dxa" w:w="1640"/>
            <w:tcBorders>
              <w:top w:color="000000" w:sz="4" w:val="single"/>
              <w:left w:color="000000" w:sz="4" w:val="single"/>
              <w:bottom w:color="000000" w:sz="4" w:val="single"/>
              <w:right w:color="000000" w:sz="4" w:val="single"/>
            </w:tcBorders>
            <w:shd w:fill="auto" w:val="clear"/>
            <w:vAlign w:val="bottom"/>
          </w:tcPr>
          <w:p w14:paraId="9A410000">
            <w:pPr>
              <w:widowControl w:val="1"/>
              <w:ind/>
              <w:jc w:val="right"/>
              <w:rPr>
                <w:sz w:val="18"/>
              </w:rPr>
            </w:pPr>
            <w:r>
              <w:rPr>
                <w:sz w:val="18"/>
              </w:rPr>
              <w:t>69</w:t>
            </w:r>
          </w:p>
        </w:tc>
        <w:tc>
          <w:tcPr>
            <w:tcW w:type="dxa" w:w="1160"/>
            <w:tcBorders>
              <w:top w:color="000000" w:sz="4" w:val="single"/>
              <w:left w:color="000000" w:sz="4" w:val="single"/>
              <w:bottom w:color="000000" w:sz="4" w:val="single"/>
              <w:right w:color="000000" w:sz="4" w:val="single"/>
            </w:tcBorders>
            <w:shd w:fill="auto" w:val="clear"/>
            <w:vAlign w:val="bottom"/>
          </w:tcPr>
          <w:p w14:paraId="9B410000">
            <w:pPr>
              <w:widowControl w:val="1"/>
              <w:ind/>
              <w:jc w:val="right"/>
              <w:rPr>
                <w:sz w:val="18"/>
              </w:rPr>
            </w:pPr>
            <w:r>
              <w:rPr>
                <w:sz w:val="18"/>
              </w:rPr>
              <w:t>70</w:t>
            </w:r>
          </w:p>
        </w:tc>
        <w:tc>
          <w:tcPr>
            <w:tcW w:type="dxa" w:w="1160"/>
            <w:tcBorders>
              <w:top w:color="000000" w:sz="4" w:val="single"/>
              <w:left w:color="000000" w:sz="4" w:val="single"/>
              <w:bottom w:color="000000" w:sz="4" w:val="single"/>
              <w:right w:color="000000" w:sz="4" w:val="single"/>
            </w:tcBorders>
            <w:shd w:fill="auto" w:val="clear"/>
            <w:vAlign w:val="bottom"/>
          </w:tcPr>
          <w:p w14:paraId="9C410000">
            <w:pPr>
              <w:widowControl w:val="1"/>
              <w:ind/>
              <w:jc w:val="right"/>
              <w:rPr>
                <w:sz w:val="18"/>
              </w:rPr>
            </w:pPr>
            <w:r>
              <w:rPr>
                <w:sz w:val="18"/>
              </w:rPr>
              <w:t>131</w:t>
            </w:r>
          </w:p>
        </w:tc>
        <w:tc>
          <w:tcPr>
            <w:tcW w:type="dxa" w:w="1620"/>
            <w:tcBorders>
              <w:top w:color="000000" w:sz="4" w:val="single"/>
              <w:left w:color="000000" w:sz="4" w:val="single"/>
              <w:bottom w:color="000000" w:sz="4" w:val="single"/>
              <w:right w:color="000000" w:sz="4" w:val="single"/>
            </w:tcBorders>
            <w:shd w:fill="auto" w:val="clear"/>
            <w:vAlign w:val="bottom"/>
          </w:tcPr>
          <w:p w14:paraId="9D410000">
            <w:pPr>
              <w:widowControl w:val="1"/>
              <w:ind/>
              <w:jc w:val="right"/>
              <w:rPr>
                <w:sz w:val="18"/>
              </w:rPr>
            </w:pPr>
            <w:r>
              <w:rPr>
                <w:sz w:val="18"/>
              </w:rPr>
              <w:t>7</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tcPr>
          <w:p w14:paraId="9E410000">
            <w:pPr>
              <w:widowControl w:val="1"/>
              <w:ind w:firstLine="180"/>
              <w:rPr>
                <w:sz w:val="18"/>
              </w:rPr>
            </w:pPr>
            <w:r>
              <w:rPr>
                <w:sz w:val="18"/>
              </w:rPr>
              <w:t>Страховое общество газовой промышленности АО</w:t>
            </w:r>
          </w:p>
        </w:tc>
        <w:tc>
          <w:tcPr>
            <w:tcW w:type="dxa" w:w="1640"/>
            <w:tcBorders>
              <w:top w:color="000000" w:sz="4" w:val="single"/>
              <w:left w:color="000000" w:sz="4" w:val="single"/>
              <w:bottom w:color="000000" w:sz="4" w:val="single"/>
              <w:right w:color="000000" w:sz="4" w:val="single"/>
            </w:tcBorders>
            <w:shd w:fill="auto" w:val="clear"/>
            <w:vAlign w:val="bottom"/>
          </w:tcPr>
          <w:p w14:paraId="9F410000">
            <w:pPr>
              <w:widowControl w:val="1"/>
              <w:ind/>
              <w:jc w:val="right"/>
              <w:rPr>
                <w:sz w:val="18"/>
              </w:rPr>
            </w:pPr>
            <w:r>
              <w:rPr>
                <w:sz w:val="18"/>
              </w:rPr>
              <w:t>84</w:t>
            </w:r>
          </w:p>
        </w:tc>
        <w:tc>
          <w:tcPr>
            <w:tcW w:type="dxa" w:w="1160"/>
            <w:tcBorders>
              <w:top w:color="000000" w:sz="4" w:val="single"/>
              <w:left w:color="000000" w:sz="4" w:val="single"/>
              <w:bottom w:color="000000" w:sz="4" w:val="single"/>
              <w:right w:color="000000" w:sz="4" w:val="single"/>
            </w:tcBorders>
            <w:shd w:fill="auto" w:val="clear"/>
            <w:vAlign w:val="bottom"/>
          </w:tcPr>
          <w:p w14:paraId="A0410000">
            <w:pPr>
              <w:widowControl w:val="1"/>
              <w:ind/>
              <w:jc w:val="right"/>
              <w:rPr>
                <w:sz w:val="18"/>
              </w:rPr>
            </w:pPr>
            <w:r>
              <w:rPr>
                <w:sz w:val="18"/>
              </w:rPr>
              <w:t>362</w:t>
            </w:r>
          </w:p>
        </w:tc>
        <w:tc>
          <w:tcPr>
            <w:tcW w:type="dxa" w:w="1160"/>
            <w:tcBorders>
              <w:top w:color="000000" w:sz="4" w:val="single"/>
              <w:left w:color="000000" w:sz="4" w:val="single"/>
              <w:bottom w:color="000000" w:sz="4" w:val="single"/>
              <w:right w:color="000000" w:sz="4" w:val="single"/>
            </w:tcBorders>
            <w:shd w:fill="auto" w:val="clear"/>
            <w:vAlign w:val="bottom"/>
          </w:tcPr>
          <w:p w14:paraId="A1410000">
            <w:pPr>
              <w:widowControl w:val="1"/>
              <w:ind/>
              <w:jc w:val="right"/>
              <w:rPr>
                <w:sz w:val="18"/>
              </w:rPr>
            </w:pPr>
            <w:r>
              <w:rPr>
                <w:sz w:val="18"/>
              </w:rPr>
              <w:t>323</w:t>
            </w:r>
          </w:p>
        </w:tc>
        <w:tc>
          <w:tcPr>
            <w:tcW w:type="dxa" w:w="1620"/>
            <w:tcBorders>
              <w:top w:color="000000" w:sz="4" w:val="single"/>
              <w:left w:color="000000" w:sz="4" w:val="single"/>
              <w:bottom w:color="000000" w:sz="4" w:val="single"/>
              <w:right w:color="000000" w:sz="4" w:val="single"/>
            </w:tcBorders>
            <w:shd w:fill="auto" w:val="clear"/>
            <w:vAlign w:val="bottom"/>
          </w:tcPr>
          <w:p w14:paraId="A2410000">
            <w:pPr>
              <w:widowControl w:val="1"/>
              <w:ind/>
              <w:jc w:val="right"/>
              <w:rPr>
                <w:sz w:val="18"/>
              </w:rPr>
            </w:pPr>
            <w:r>
              <w:rPr>
                <w:sz w:val="18"/>
              </w:rPr>
              <w:t>122</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tcPr>
          <w:p w14:paraId="A3410000">
            <w:pPr>
              <w:widowControl w:val="1"/>
              <w:ind w:firstLine="180"/>
              <w:rPr>
                <w:sz w:val="18"/>
              </w:rPr>
            </w:pPr>
            <w:r>
              <w:rPr>
                <w:sz w:val="18"/>
              </w:rPr>
              <w:t xml:space="preserve">    Сотрудники (расчеты по прочим операциям)</w:t>
            </w:r>
          </w:p>
        </w:tc>
        <w:tc>
          <w:tcPr>
            <w:tcW w:type="dxa" w:w="1640"/>
            <w:tcBorders>
              <w:top w:color="000000" w:sz="4" w:val="single"/>
              <w:left w:color="000000" w:sz="4" w:val="single"/>
              <w:bottom w:color="000000" w:sz="4" w:val="single"/>
              <w:right w:color="000000" w:sz="4" w:val="single"/>
            </w:tcBorders>
            <w:shd w:fill="auto" w:val="clear"/>
            <w:vAlign w:val="bottom"/>
          </w:tcPr>
          <w:p w14:paraId="A4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A5410000">
            <w:pPr>
              <w:widowControl w:val="1"/>
              <w:ind/>
              <w:jc w:val="right"/>
              <w:rPr>
                <w:sz w:val="18"/>
              </w:rPr>
            </w:pPr>
            <w:r>
              <w:rPr>
                <w:sz w:val="18"/>
              </w:rPr>
              <w:t>59</w:t>
            </w:r>
          </w:p>
        </w:tc>
        <w:tc>
          <w:tcPr>
            <w:tcW w:type="dxa" w:w="1160"/>
            <w:tcBorders>
              <w:top w:color="000000" w:sz="4" w:val="single"/>
              <w:left w:color="000000" w:sz="4" w:val="single"/>
              <w:bottom w:color="000000" w:sz="4" w:val="single"/>
              <w:right w:color="000000" w:sz="4" w:val="single"/>
            </w:tcBorders>
            <w:shd w:fill="auto" w:val="clear"/>
            <w:vAlign w:val="bottom"/>
          </w:tcPr>
          <w:p w14:paraId="A6410000">
            <w:pPr>
              <w:widowControl w:val="1"/>
              <w:ind/>
              <w:jc w:val="right"/>
              <w:rPr>
                <w:sz w:val="18"/>
              </w:rPr>
            </w:pPr>
            <w:r>
              <w:rPr>
                <w:sz w:val="18"/>
              </w:rPr>
              <w:t>59</w:t>
            </w:r>
          </w:p>
        </w:tc>
        <w:tc>
          <w:tcPr>
            <w:tcW w:type="dxa" w:w="1620"/>
            <w:tcBorders>
              <w:top w:color="000000" w:sz="4" w:val="single"/>
              <w:left w:color="000000" w:sz="4" w:val="single"/>
              <w:bottom w:color="000000" w:sz="4" w:val="single"/>
              <w:right w:color="000000" w:sz="4" w:val="single"/>
            </w:tcBorders>
            <w:shd w:fill="auto" w:val="clear"/>
            <w:vAlign w:val="bottom"/>
          </w:tcPr>
          <w:p w14:paraId="A7410000">
            <w:pPr>
              <w:widowControl w:val="1"/>
              <w:ind/>
              <w:jc w:val="right"/>
              <w:rPr>
                <w:sz w:val="18"/>
              </w:rPr>
            </w:pPr>
            <w:r>
              <w:rPr>
                <w:sz w:val="18"/>
              </w:rPr>
              <w:t>0</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tcPr>
          <w:p w14:paraId="A8410000">
            <w:pPr>
              <w:widowControl w:val="1"/>
              <w:ind w:firstLine="180"/>
              <w:rPr>
                <w:sz w:val="18"/>
              </w:rPr>
            </w:pPr>
            <w:r>
              <w:rPr>
                <w:sz w:val="18"/>
              </w:rPr>
              <w:t xml:space="preserve">    Сотрудники (подотчет)</w:t>
            </w:r>
          </w:p>
        </w:tc>
        <w:tc>
          <w:tcPr>
            <w:tcW w:type="dxa" w:w="1640"/>
            <w:tcBorders>
              <w:top w:color="000000" w:sz="4" w:val="single"/>
              <w:left w:color="000000" w:sz="4" w:val="single"/>
              <w:bottom w:color="000000" w:sz="4" w:val="single"/>
              <w:right w:color="000000" w:sz="4" w:val="single"/>
            </w:tcBorders>
            <w:shd w:fill="auto" w:val="clear"/>
            <w:vAlign w:val="bottom"/>
          </w:tcPr>
          <w:p w14:paraId="A9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AA410000">
            <w:pPr>
              <w:widowControl w:val="1"/>
              <w:ind/>
              <w:jc w:val="right"/>
              <w:rPr>
                <w:sz w:val="18"/>
              </w:rPr>
            </w:pPr>
            <w:r>
              <w:rPr>
                <w:sz w:val="18"/>
              </w:rPr>
              <w:t>1 296</w:t>
            </w:r>
          </w:p>
        </w:tc>
        <w:tc>
          <w:tcPr>
            <w:tcW w:type="dxa" w:w="1160"/>
            <w:tcBorders>
              <w:top w:color="000000" w:sz="4" w:val="single"/>
              <w:left w:color="000000" w:sz="4" w:val="single"/>
              <w:bottom w:color="000000" w:sz="4" w:val="single"/>
              <w:right w:color="000000" w:sz="4" w:val="single"/>
            </w:tcBorders>
            <w:shd w:fill="auto" w:val="clear"/>
            <w:vAlign w:val="bottom"/>
          </w:tcPr>
          <w:p w14:paraId="AB410000">
            <w:pPr>
              <w:widowControl w:val="1"/>
              <w:ind/>
              <w:jc w:val="right"/>
              <w:rPr>
                <w:sz w:val="18"/>
              </w:rPr>
            </w:pPr>
            <w:r>
              <w:rPr>
                <w:sz w:val="18"/>
              </w:rPr>
              <w:t>1 296</w:t>
            </w:r>
          </w:p>
        </w:tc>
        <w:tc>
          <w:tcPr>
            <w:tcW w:type="dxa" w:w="1620"/>
            <w:tcBorders>
              <w:top w:color="000000" w:sz="4" w:val="single"/>
              <w:left w:color="000000" w:sz="4" w:val="single"/>
              <w:bottom w:color="000000" w:sz="4" w:val="single"/>
              <w:right w:color="000000" w:sz="4" w:val="single"/>
            </w:tcBorders>
            <w:shd w:fill="auto" w:val="clear"/>
            <w:vAlign w:val="bottom"/>
          </w:tcPr>
          <w:p w14:paraId="AC410000">
            <w:pPr>
              <w:widowControl w:val="1"/>
              <w:ind/>
              <w:jc w:val="right"/>
              <w:rPr>
                <w:sz w:val="18"/>
              </w:rPr>
            </w:pPr>
            <w:r>
              <w:rPr>
                <w:sz w:val="18"/>
              </w:rPr>
              <w:t>0</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tcPr>
          <w:p w14:paraId="AD410000">
            <w:pPr>
              <w:widowControl w:val="1"/>
              <w:ind w:firstLine="180"/>
              <w:rPr>
                <w:sz w:val="18"/>
              </w:rPr>
            </w:pPr>
            <w:r>
              <w:rPr>
                <w:sz w:val="18"/>
              </w:rPr>
              <w:t xml:space="preserve">Задолженность работников по оплате труда (счет 70) </w:t>
            </w:r>
          </w:p>
        </w:tc>
        <w:tc>
          <w:tcPr>
            <w:tcW w:type="dxa" w:w="1640"/>
            <w:tcBorders>
              <w:top w:color="000000" w:sz="4" w:val="single"/>
              <w:left w:color="000000" w:sz="4" w:val="single"/>
              <w:bottom w:color="000000" w:sz="4" w:val="single"/>
              <w:right w:color="000000" w:sz="4" w:val="single"/>
            </w:tcBorders>
            <w:shd w:fill="auto" w:val="clear"/>
            <w:vAlign w:val="bottom"/>
          </w:tcPr>
          <w:p w14:paraId="AE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AF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B0410000">
            <w:pPr>
              <w:widowControl w:val="1"/>
              <w:ind/>
              <w:jc w:val="right"/>
              <w:rPr>
                <w:sz w:val="18"/>
              </w:rPr>
            </w:pPr>
            <w:r>
              <w:rPr>
                <w:sz w:val="18"/>
              </w:rPr>
              <w:t>0</w:t>
            </w:r>
          </w:p>
        </w:tc>
        <w:tc>
          <w:tcPr>
            <w:tcW w:type="dxa" w:w="1620"/>
            <w:tcBorders>
              <w:top w:color="000000" w:sz="4" w:val="single"/>
              <w:left w:color="000000" w:sz="4" w:val="single"/>
              <w:bottom w:color="000000" w:sz="4" w:val="single"/>
              <w:right w:color="000000" w:sz="4" w:val="single"/>
            </w:tcBorders>
            <w:shd w:fill="auto" w:val="clear"/>
            <w:vAlign w:val="bottom"/>
          </w:tcPr>
          <w:p w14:paraId="B1410000">
            <w:pPr>
              <w:widowControl w:val="1"/>
              <w:ind/>
              <w:jc w:val="right"/>
              <w:rPr>
                <w:sz w:val="18"/>
              </w:rPr>
            </w:pPr>
            <w:r>
              <w:rPr>
                <w:sz w:val="18"/>
              </w:rPr>
              <w:t>0</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tcPr>
          <w:p w14:paraId="B2410000">
            <w:pPr>
              <w:widowControl w:val="1"/>
              <w:ind w:firstLine="180"/>
              <w:rPr>
                <w:sz w:val="18"/>
              </w:rPr>
            </w:pPr>
            <w:r>
              <w:rPr>
                <w:sz w:val="18"/>
              </w:rPr>
              <w:t>Задолженность по социальному страхованию и обеспечению (счет 69.01)</w:t>
            </w:r>
          </w:p>
        </w:tc>
        <w:tc>
          <w:tcPr>
            <w:tcW w:type="dxa" w:w="1640"/>
            <w:tcBorders>
              <w:top w:color="000000" w:sz="4" w:val="single"/>
              <w:left w:color="000000" w:sz="4" w:val="single"/>
              <w:bottom w:color="000000" w:sz="4" w:val="single"/>
              <w:right w:color="000000" w:sz="4" w:val="single"/>
            </w:tcBorders>
            <w:shd w:fill="auto" w:val="clear"/>
            <w:vAlign w:val="bottom"/>
          </w:tcPr>
          <w:p w14:paraId="B3410000">
            <w:pPr>
              <w:widowControl w:val="1"/>
              <w:ind/>
              <w:jc w:val="right"/>
              <w:rPr>
                <w:sz w:val="18"/>
              </w:rPr>
            </w:pPr>
            <w:r>
              <w:rPr>
                <w:sz w:val="18"/>
              </w:rPr>
              <w:t>622</w:t>
            </w:r>
          </w:p>
        </w:tc>
        <w:tc>
          <w:tcPr>
            <w:tcW w:type="dxa" w:w="1160"/>
            <w:tcBorders>
              <w:top w:color="000000" w:sz="4" w:val="single"/>
              <w:left w:color="000000" w:sz="4" w:val="single"/>
              <w:bottom w:color="000000" w:sz="4" w:val="single"/>
              <w:right w:color="000000" w:sz="4" w:val="single"/>
            </w:tcBorders>
            <w:shd w:fill="auto" w:val="clear"/>
            <w:vAlign w:val="bottom"/>
          </w:tcPr>
          <w:p w14:paraId="B4410000">
            <w:pPr>
              <w:widowControl w:val="1"/>
              <w:ind/>
              <w:jc w:val="right"/>
              <w:rPr>
                <w:sz w:val="18"/>
              </w:rPr>
            </w:pPr>
            <w:r>
              <w:rPr>
                <w:sz w:val="18"/>
              </w:rPr>
              <w:t>7 024</w:t>
            </w:r>
          </w:p>
        </w:tc>
        <w:tc>
          <w:tcPr>
            <w:tcW w:type="dxa" w:w="1160"/>
            <w:tcBorders>
              <w:top w:color="000000" w:sz="4" w:val="single"/>
              <w:left w:color="000000" w:sz="4" w:val="single"/>
              <w:bottom w:color="000000" w:sz="4" w:val="single"/>
              <w:right w:color="000000" w:sz="4" w:val="single"/>
            </w:tcBorders>
            <w:shd w:fill="auto" w:val="clear"/>
            <w:vAlign w:val="bottom"/>
          </w:tcPr>
          <w:p w14:paraId="B5410000">
            <w:pPr>
              <w:widowControl w:val="1"/>
              <w:ind/>
              <w:jc w:val="right"/>
              <w:rPr>
                <w:sz w:val="18"/>
              </w:rPr>
            </w:pPr>
            <w:r>
              <w:rPr>
                <w:sz w:val="18"/>
              </w:rPr>
              <w:t>7 022</w:t>
            </w:r>
          </w:p>
        </w:tc>
        <w:tc>
          <w:tcPr>
            <w:tcW w:type="dxa" w:w="1620"/>
            <w:tcBorders>
              <w:top w:color="000000" w:sz="4" w:val="single"/>
              <w:left w:color="000000" w:sz="4" w:val="single"/>
              <w:bottom w:color="000000" w:sz="4" w:val="single"/>
              <w:right w:color="000000" w:sz="4" w:val="single"/>
            </w:tcBorders>
            <w:shd w:fill="auto" w:val="clear"/>
            <w:vAlign w:val="bottom"/>
          </w:tcPr>
          <w:p w14:paraId="B6410000">
            <w:pPr>
              <w:widowControl w:val="1"/>
              <w:ind/>
              <w:jc w:val="right"/>
              <w:rPr>
                <w:sz w:val="18"/>
              </w:rPr>
            </w:pPr>
            <w:r>
              <w:rPr>
                <w:sz w:val="18"/>
              </w:rPr>
              <w:t>625</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tcPr>
          <w:p w14:paraId="B7410000">
            <w:pPr>
              <w:widowControl w:val="1"/>
              <w:ind w:firstLine="180"/>
              <w:rPr>
                <w:sz w:val="18"/>
              </w:rPr>
            </w:pPr>
            <w:r>
              <w:rPr>
                <w:sz w:val="18"/>
              </w:rPr>
              <w:t>Задолженность бюджетов (счет 68.02)</w:t>
            </w:r>
          </w:p>
        </w:tc>
        <w:tc>
          <w:tcPr>
            <w:tcW w:type="dxa" w:w="1640"/>
            <w:tcBorders>
              <w:top w:color="000000" w:sz="4" w:val="single"/>
              <w:left w:color="000000" w:sz="4" w:val="single"/>
              <w:bottom w:color="000000" w:sz="4" w:val="single"/>
              <w:right w:color="000000" w:sz="4" w:val="single"/>
            </w:tcBorders>
            <w:shd w:fill="auto" w:val="clear"/>
            <w:vAlign w:val="bottom"/>
          </w:tcPr>
          <w:p w14:paraId="B8410000">
            <w:pPr>
              <w:widowControl w:val="1"/>
              <w:ind/>
              <w:jc w:val="right"/>
              <w:rPr>
                <w:sz w:val="18"/>
              </w:rPr>
            </w:pPr>
            <w:r>
              <w:rPr>
                <w:sz w:val="18"/>
              </w:rPr>
              <w:t>22 113</w:t>
            </w:r>
          </w:p>
        </w:tc>
        <w:tc>
          <w:tcPr>
            <w:tcW w:type="dxa" w:w="1160"/>
            <w:tcBorders>
              <w:top w:color="000000" w:sz="4" w:val="single"/>
              <w:left w:color="000000" w:sz="4" w:val="single"/>
              <w:bottom w:color="000000" w:sz="4" w:val="single"/>
              <w:right w:color="000000" w:sz="4" w:val="single"/>
            </w:tcBorders>
            <w:shd w:fill="auto" w:val="clear"/>
            <w:vAlign w:val="bottom"/>
          </w:tcPr>
          <w:p w14:paraId="B9410000">
            <w:pPr>
              <w:widowControl w:val="1"/>
              <w:ind/>
              <w:jc w:val="right"/>
              <w:rPr>
                <w:sz w:val="18"/>
              </w:rPr>
            </w:pPr>
            <w:r>
              <w:rPr>
                <w:sz w:val="18"/>
              </w:rPr>
              <w:t>92 195</w:t>
            </w:r>
          </w:p>
        </w:tc>
        <w:tc>
          <w:tcPr>
            <w:tcW w:type="dxa" w:w="1160"/>
            <w:tcBorders>
              <w:top w:color="000000" w:sz="4" w:val="single"/>
              <w:left w:color="000000" w:sz="4" w:val="single"/>
              <w:bottom w:color="000000" w:sz="4" w:val="single"/>
              <w:right w:color="000000" w:sz="4" w:val="single"/>
            </w:tcBorders>
            <w:shd w:fill="auto" w:val="clear"/>
            <w:vAlign w:val="bottom"/>
          </w:tcPr>
          <w:p w14:paraId="BA410000">
            <w:pPr>
              <w:widowControl w:val="1"/>
              <w:ind/>
              <w:jc w:val="right"/>
              <w:rPr>
                <w:sz w:val="18"/>
              </w:rPr>
            </w:pPr>
            <w:r>
              <w:rPr>
                <w:sz w:val="18"/>
              </w:rPr>
              <w:t>90 588</w:t>
            </w:r>
          </w:p>
        </w:tc>
        <w:tc>
          <w:tcPr>
            <w:tcW w:type="dxa" w:w="1620"/>
            <w:tcBorders>
              <w:top w:color="000000" w:sz="4" w:val="single"/>
              <w:left w:color="000000" w:sz="4" w:val="single"/>
              <w:bottom w:color="000000" w:sz="4" w:val="single"/>
              <w:right w:color="000000" w:sz="4" w:val="single"/>
            </w:tcBorders>
            <w:shd w:fill="auto" w:val="clear"/>
            <w:vAlign w:val="bottom"/>
          </w:tcPr>
          <w:p w14:paraId="BB410000">
            <w:pPr>
              <w:widowControl w:val="1"/>
              <w:ind/>
              <w:jc w:val="right"/>
              <w:rPr>
                <w:sz w:val="18"/>
              </w:rPr>
            </w:pPr>
            <w:r>
              <w:rPr>
                <w:sz w:val="18"/>
              </w:rPr>
              <w:t>23 721</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tcPr>
          <w:p w14:paraId="BC410000">
            <w:pPr>
              <w:widowControl w:val="1"/>
              <w:ind w:firstLine="180"/>
              <w:rPr>
                <w:sz w:val="18"/>
              </w:rPr>
            </w:pPr>
            <w:r>
              <w:rPr>
                <w:sz w:val="18"/>
              </w:rPr>
              <w:t>Долгосрочная задолженность - всего, в т. ч.</w:t>
            </w:r>
          </w:p>
        </w:tc>
        <w:tc>
          <w:tcPr>
            <w:tcW w:type="dxa" w:w="1640"/>
            <w:tcBorders>
              <w:top w:color="000000" w:sz="4" w:val="single"/>
              <w:left w:color="000000" w:sz="4" w:val="single"/>
              <w:bottom w:color="000000" w:sz="4" w:val="single"/>
              <w:right w:color="000000" w:sz="4" w:val="single"/>
            </w:tcBorders>
            <w:shd w:fill="auto" w:val="clear"/>
            <w:vAlign w:val="bottom"/>
          </w:tcPr>
          <w:p w14:paraId="BD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BE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BF410000">
            <w:pPr>
              <w:widowControl w:val="1"/>
              <w:ind/>
              <w:jc w:val="right"/>
              <w:rPr>
                <w:sz w:val="18"/>
              </w:rPr>
            </w:pPr>
            <w:r>
              <w:rPr>
                <w:sz w:val="18"/>
              </w:rPr>
              <w:t>0</w:t>
            </w:r>
          </w:p>
        </w:tc>
        <w:tc>
          <w:tcPr>
            <w:tcW w:type="dxa" w:w="1620"/>
            <w:tcBorders>
              <w:top w:color="000000" w:sz="4" w:val="single"/>
              <w:left w:color="000000" w:sz="4" w:val="single"/>
              <w:bottom w:color="000000" w:sz="4" w:val="single"/>
              <w:right w:color="000000" w:sz="4" w:val="single"/>
            </w:tcBorders>
            <w:shd w:fill="auto" w:val="clear"/>
            <w:vAlign w:val="bottom"/>
          </w:tcPr>
          <w:p w14:paraId="C0410000">
            <w:pPr>
              <w:widowControl w:val="1"/>
              <w:ind/>
              <w:jc w:val="right"/>
              <w:rPr>
                <w:sz w:val="18"/>
              </w:rPr>
            </w:pPr>
            <w:r>
              <w:rPr>
                <w:sz w:val="18"/>
              </w:rPr>
              <w:t>0</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tcPr>
          <w:p w14:paraId="C1410000">
            <w:pPr>
              <w:widowControl w:val="1"/>
              <w:ind w:firstLine="180"/>
              <w:rPr>
                <w:sz w:val="18"/>
              </w:rPr>
            </w:pPr>
            <w:r>
              <w:rPr>
                <w:sz w:val="18"/>
              </w:rPr>
              <w:t>Справочно:</w:t>
            </w:r>
          </w:p>
        </w:tc>
        <w:tc>
          <w:tcPr>
            <w:tcW w:type="dxa" w:w="1640"/>
            <w:tcBorders>
              <w:top w:color="000000" w:sz="4" w:val="single"/>
              <w:left w:color="000000" w:sz="4" w:val="single"/>
              <w:bottom w:color="000000" w:sz="4" w:val="single"/>
              <w:right w:color="000000" w:sz="4" w:val="single"/>
            </w:tcBorders>
            <w:shd w:fill="auto" w:val="clear"/>
            <w:vAlign w:val="bottom"/>
          </w:tcPr>
          <w:p w14:paraId="C2410000">
            <w:pPr>
              <w:widowControl w:val="1"/>
              <w:ind/>
              <w:jc w:val="right"/>
              <w:rPr>
                <w:sz w:val="18"/>
              </w:rPr>
            </w:pPr>
            <w:r>
              <w:rPr>
                <w:sz w:val="18"/>
              </w:rPr>
              <w:t> </w:t>
            </w:r>
          </w:p>
        </w:tc>
        <w:tc>
          <w:tcPr>
            <w:tcW w:type="dxa" w:w="1160"/>
            <w:tcBorders>
              <w:top w:color="000000" w:sz="4" w:val="single"/>
              <w:left w:color="000000" w:sz="4" w:val="single"/>
              <w:bottom w:color="000000" w:sz="4" w:val="single"/>
              <w:right w:color="000000" w:sz="4" w:val="single"/>
            </w:tcBorders>
            <w:shd w:fill="auto" w:val="clear"/>
            <w:vAlign w:val="bottom"/>
          </w:tcPr>
          <w:p w14:paraId="C3410000">
            <w:pPr>
              <w:widowControl w:val="1"/>
              <w:ind/>
              <w:jc w:val="right"/>
              <w:rPr>
                <w:sz w:val="18"/>
              </w:rPr>
            </w:pPr>
            <w:r>
              <w:rPr>
                <w:sz w:val="18"/>
              </w:rPr>
              <w:t> </w:t>
            </w:r>
          </w:p>
        </w:tc>
        <w:tc>
          <w:tcPr>
            <w:tcW w:type="dxa" w:w="1160"/>
            <w:tcBorders>
              <w:top w:color="000000" w:sz="4" w:val="single"/>
              <w:left w:color="000000" w:sz="4" w:val="single"/>
              <w:bottom w:color="000000" w:sz="4" w:val="single"/>
              <w:right w:color="000000" w:sz="4" w:val="single"/>
            </w:tcBorders>
            <w:shd w:fill="auto" w:val="clear"/>
            <w:vAlign w:val="bottom"/>
          </w:tcPr>
          <w:p w14:paraId="C4410000">
            <w:pPr>
              <w:widowControl w:val="1"/>
              <w:ind/>
              <w:jc w:val="right"/>
              <w:rPr>
                <w:sz w:val="18"/>
              </w:rPr>
            </w:pPr>
            <w:r>
              <w:rPr>
                <w:sz w:val="18"/>
              </w:rPr>
              <w:t> </w:t>
            </w:r>
          </w:p>
        </w:tc>
        <w:tc>
          <w:tcPr>
            <w:tcW w:type="dxa" w:w="1620"/>
            <w:tcBorders>
              <w:top w:color="000000" w:sz="4" w:val="single"/>
              <w:left w:color="000000" w:sz="4" w:val="single"/>
              <w:bottom w:color="000000" w:sz="4" w:val="single"/>
              <w:right w:color="000000" w:sz="4" w:val="single"/>
            </w:tcBorders>
            <w:shd w:fill="auto" w:val="clear"/>
            <w:vAlign w:val="bottom"/>
          </w:tcPr>
          <w:p w14:paraId="C5410000">
            <w:pPr>
              <w:widowControl w:val="1"/>
              <w:ind/>
              <w:jc w:val="right"/>
              <w:rPr>
                <w:sz w:val="18"/>
              </w:rPr>
            </w:pPr>
            <w:r>
              <w:rPr>
                <w:sz w:val="18"/>
              </w:rPr>
              <w:t> </w:t>
            </w:r>
          </w:p>
        </w:tc>
      </w:tr>
      <w:tr>
        <w:trPr>
          <w:trHeight w:hRule="atLeast" w:val="270"/>
        </w:trPr>
        <w:tc>
          <w:tcPr>
            <w:tcW w:type="dxa" w:w="4697"/>
            <w:tcBorders>
              <w:top w:color="000000" w:sz="4" w:val="single"/>
              <w:left w:color="000000" w:sz="4" w:val="single"/>
              <w:bottom w:color="000000" w:sz="4" w:val="single"/>
              <w:right w:color="000000" w:sz="4" w:val="single"/>
            </w:tcBorders>
            <w:shd w:fill="auto" w:val="clear"/>
          </w:tcPr>
          <w:p w14:paraId="C6410000">
            <w:pPr>
              <w:widowControl w:val="1"/>
              <w:ind w:firstLine="180"/>
              <w:rPr>
                <w:sz w:val="18"/>
              </w:rPr>
            </w:pPr>
            <w:r>
              <w:rPr>
                <w:sz w:val="18"/>
              </w:rPr>
              <w:t>Резерв по сомнительным долгам</w:t>
            </w:r>
          </w:p>
        </w:tc>
        <w:tc>
          <w:tcPr>
            <w:tcW w:type="dxa" w:w="1640"/>
            <w:tcBorders>
              <w:top w:color="000000" w:sz="4" w:val="single"/>
              <w:left w:color="000000" w:sz="4" w:val="single"/>
              <w:bottom w:color="000000" w:sz="4" w:val="single"/>
              <w:right w:color="000000" w:sz="4" w:val="single"/>
            </w:tcBorders>
            <w:shd w:fill="auto" w:val="clear"/>
            <w:vAlign w:val="bottom"/>
          </w:tcPr>
          <w:p w14:paraId="C7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C8410000">
            <w:pPr>
              <w:widowControl w:val="1"/>
              <w:ind/>
              <w:jc w:val="right"/>
              <w:rPr>
                <w:sz w:val="18"/>
              </w:rPr>
            </w:pPr>
            <w:r>
              <w:rPr>
                <w:sz w:val="18"/>
              </w:rPr>
              <w:t>0</w:t>
            </w:r>
          </w:p>
        </w:tc>
        <w:tc>
          <w:tcPr>
            <w:tcW w:type="dxa" w:w="1160"/>
            <w:tcBorders>
              <w:top w:color="000000" w:sz="4" w:val="single"/>
              <w:left w:color="000000" w:sz="4" w:val="single"/>
              <w:bottom w:color="000000" w:sz="4" w:val="single"/>
              <w:right w:color="000000" w:sz="4" w:val="single"/>
            </w:tcBorders>
            <w:shd w:fill="auto" w:val="clear"/>
            <w:vAlign w:val="bottom"/>
          </w:tcPr>
          <w:p w14:paraId="C9410000">
            <w:pPr>
              <w:widowControl w:val="1"/>
              <w:ind/>
              <w:jc w:val="right"/>
              <w:rPr>
                <w:sz w:val="18"/>
              </w:rPr>
            </w:pPr>
            <w:r>
              <w:rPr>
                <w:sz w:val="18"/>
              </w:rPr>
              <w:t>0</w:t>
            </w:r>
          </w:p>
        </w:tc>
        <w:tc>
          <w:tcPr>
            <w:tcW w:type="dxa" w:w="1620"/>
            <w:tcBorders>
              <w:top w:color="000000" w:sz="4" w:val="single"/>
              <w:left w:color="000000" w:sz="4" w:val="single"/>
              <w:bottom w:color="000000" w:sz="4" w:val="single"/>
              <w:right w:color="000000" w:sz="4" w:val="single"/>
            </w:tcBorders>
            <w:shd w:fill="auto" w:val="clear"/>
            <w:vAlign w:val="bottom"/>
          </w:tcPr>
          <w:p w14:paraId="CA410000">
            <w:pPr>
              <w:widowControl w:val="1"/>
              <w:ind/>
              <w:jc w:val="right"/>
              <w:rPr>
                <w:sz w:val="18"/>
              </w:rPr>
            </w:pPr>
            <w:r>
              <w:rPr>
                <w:sz w:val="18"/>
              </w:rPr>
              <w:t>0</w:t>
            </w:r>
          </w:p>
        </w:tc>
      </w:tr>
    </w:tbl>
    <w:p w14:paraId="CB410000">
      <w:pPr>
        <w:widowControl w:val="1"/>
        <w:ind w:firstLine="709"/>
        <w:contextualSpacing w:val="1"/>
        <w:rPr>
          <w:b w:val="1"/>
        </w:rPr>
      </w:pPr>
    </w:p>
    <w:p w14:paraId="CC410000">
      <w:bookmarkStart w:id="51" w:name="__RefHeading___44"/>
      <w:bookmarkEnd w:id="51"/>
      <w:pPr>
        <w:pStyle w:val="Style_10"/>
        <w:rPr>
          <w:rFonts w:ascii="Times New Roman" w:hAnsi="Times New Roman"/>
          <w:i w:val="0"/>
        </w:rPr>
      </w:pPr>
      <w:r>
        <w:rPr>
          <w:rFonts w:ascii="Times New Roman" w:hAnsi="Times New Roman"/>
          <w:i w:val="0"/>
        </w:rPr>
        <w:t xml:space="preserve">Приложение </w:t>
      </w:r>
      <w:r>
        <w:rPr>
          <w:rFonts w:ascii="Times New Roman" w:hAnsi="Times New Roman"/>
          <w:i w:val="0"/>
        </w:rPr>
        <w:t>6</w:t>
      </w:r>
      <w:r>
        <w:rPr>
          <w:rFonts w:ascii="Times New Roman" w:hAnsi="Times New Roman"/>
          <w:i w:val="0"/>
        </w:rPr>
        <w:t>. Расшифровка кредиторской задолженности АО "Краспригород" за 201</w:t>
      </w:r>
      <w:r>
        <w:rPr>
          <w:rFonts w:ascii="Times New Roman" w:hAnsi="Times New Roman"/>
          <w:i w:val="0"/>
        </w:rPr>
        <w:t>8</w:t>
      </w:r>
      <w:r>
        <w:rPr>
          <w:rFonts w:ascii="Times New Roman" w:hAnsi="Times New Roman"/>
          <w:i w:val="0"/>
        </w:rPr>
        <w:t>г.</w:t>
      </w:r>
      <w:r>
        <w:rPr>
          <w:rFonts w:ascii="Times New Roman" w:hAnsi="Times New Roman"/>
          <w:i w:val="0"/>
        </w:rPr>
        <w:t xml:space="preserve"> </w:t>
      </w:r>
    </w:p>
    <w:p w14:paraId="CD410000">
      <w:pPr>
        <w:widowControl w:val="1"/>
        <w:tabs>
          <w:tab w:leader="none" w:pos="7020" w:val="left"/>
        </w:tabs>
        <w:ind w:firstLine="709"/>
        <w:contextualSpacing w:val="1"/>
        <w:jc w:val="center"/>
        <w:rPr>
          <w:b w:val="1"/>
        </w:rPr>
      </w:pPr>
    </w:p>
    <w:p w14:paraId="CE410000">
      <w:pPr>
        <w:widowControl w:val="1"/>
        <w:tabs>
          <w:tab w:leader="none" w:pos="7020" w:val="left"/>
        </w:tabs>
        <w:ind w:firstLine="709"/>
        <w:contextualSpacing w:val="1"/>
        <w:jc w:val="right"/>
      </w:pPr>
      <w:r>
        <w:t>тыс.руб.</w:t>
      </w:r>
    </w:p>
    <w:tbl>
      <w:tblPr>
        <w:tblStyle w:val="Style_4"/>
        <w:tblW w:type="auto" w:w="0"/>
        <w:tblInd w:type="dxa" w:w="89"/>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4414"/>
        <w:gridCol w:w="1520"/>
        <w:gridCol w:w="1360"/>
        <w:gridCol w:w="1360"/>
        <w:gridCol w:w="1560"/>
      </w:tblGrid>
      <w:tr>
        <w:trPr>
          <w:trHeight w:hRule="atLeast" w:val="420"/>
        </w:trPr>
        <w:tc>
          <w:tcPr>
            <w:tcW w:type="dxa" w:w="4414"/>
            <w:tcBorders>
              <w:top w:color="000000" w:sz="4" w:val="single"/>
              <w:left w:color="000000" w:sz="4" w:val="single"/>
              <w:bottom w:color="000000" w:sz="4" w:val="single"/>
              <w:right w:color="000000" w:sz="4" w:val="single"/>
            </w:tcBorders>
            <w:shd w:fill="auto" w:val="clear"/>
            <w:vAlign w:val="center"/>
          </w:tcPr>
          <w:p w14:paraId="CF410000">
            <w:pPr>
              <w:widowControl w:val="1"/>
              <w:ind/>
              <w:jc w:val="center"/>
              <w:rPr>
                <w:b w:val="1"/>
                <w:sz w:val="15"/>
              </w:rPr>
            </w:pPr>
            <w:r>
              <w:rPr>
                <w:b w:val="1"/>
                <w:sz w:val="15"/>
              </w:rPr>
              <w:t>Кредиторская задолженность</w:t>
            </w:r>
          </w:p>
        </w:tc>
        <w:tc>
          <w:tcPr>
            <w:tcW w:type="dxa" w:w="1520"/>
            <w:tcBorders>
              <w:top w:color="000000" w:sz="4" w:val="single"/>
              <w:left w:color="000000" w:sz="4" w:val="single"/>
              <w:bottom w:color="000000" w:sz="4" w:val="single"/>
              <w:right w:color="000000" w:sz="4" w:val="single"/>
            </w:tcBorders>
            <w:shd w:fill="auto" w:val="clear"/>
            <w:vAlign w:val="center"/>
          </w:tcPr>
          <w:p w14:paraId="D0410000">
            <w:pPr>
              <w:widowControl w:val="1"/>
              <w:ind/>
              <w:jc w:val="center"/>
              <w:rPr>
                <w:b w:val="1"/>
                <w:sz w:val="15"/>
              </w:rPr>
            </w:pPr>
            <w:r>
              <w:rPr>
                <w:b w:val="1"/>
                <w:sz w:val="15"/>
              </w:rPr>
              <w:t>Задолженность на 01.01.2018 г.</w:t>
            </w:r>
          </w:p>
        </w:tc>
        <w:tc>
          <w:tcPr>
            <w:tcW w:type="dxa" w:w="2720"/>
            <w:gridSpan w:val="2"/>
            <w:tcBorders>
              <w:top w:color="000000" w:sz="4" w:val="single"/>
              <w:left w:color="000000" w:sz="4" w:val="single"/>
              <w:bottom w:color="000000" w:sz="4" w:val="single"/>
              <w:right w:color="000000" w:sz="4" w:val="single"/>
            </w:tcBorders>
            <w:shd w:fill="auto" w:val="clear"/>
            <w:vAlign w:val="center"/>
          </w:tcPr>
          <w:p w14:paraId="D1410000">
            <w:pPr>
              <w:widowControl w:val="1"/>
              <w:ind/>
              <w:jc w:val="center"/>
              <w:rPr>
                <w:b w:val="1"/>
                <w:sz w:val="18"/>
              </w:rPr>
            </w:pPr>
            <w:r>
              <w:rPr>
                <w:b w:val="1"/>
                <w:sz w:val="18"/>
              </w:rPr>
              <w:t>Обороты за 2018 год</w:t>
            </w:r>
          </w:p>
        </w:tc>
        <w:tc>
          <w:tcPr>
            <w:tcW w:type="dxa" w:w="1560"/>
            <w:tcBorders>
              <w:top w:color="000000" w:sz="4" w:val="single"/>
              <w:left w:color="000000" w:sz="4" w:val="single"/>
              <w:bottom w:color="000000" w:sz="4" w:val="single"/>
              <w:right w:color="000000" w:sz="4" w:val="single"/>
            </w:tcBorders>
            <w:shd w:fill="auto" w:val="clear"/>
            <w:vAlign w:val="center"/>
          </w:tcPr>
          <w:p w14:paraId="D2410000">
            <w:pPr>
              <w:widowControl w:val="1"/>
              <w:ind/>
              <w:jc w:val="center"/>
              <w:rPr>
                <w:b w:val="1"/>
                <w:sz w:val="18"/>
              </w:rPr>
            </w:pPr>
            <w:r>
              <w:rPr>
                <w:b w:val="1"/>
                <w:sz w:val="18"/>
              </w:rPr>
              <w:t>Задолженность на 31.12.2018 г</w:t>
            </w:r>
          </w:p>
        </w:tc>
      </w:tr>
      <w:tr>
        <w:trPr>
          <w:trHeight w:hRule="atLeast" w:val="270"/>
        </w:trPr>
        <w:tc>
          <w:tcPr>
            <w:tcW w:type="dxa" w:w="4414"/>
            <w:tcBorders>
              <w:top w:color="000000" w:sz="4" w:val="single"/>
              <w:left w:color="000000" w:sz="4" w:val="single"/>
              <w:bottom w:color="000000" w:sz="4" w:val="single"/>
              <w:right w:color="000000" w:sz="4" w:val="single"/>
            </w:tcBorders>
            <w:shd w:fill="auto" w:val="clear"/>
            <w:vAlign w:val="center"/>
          </w:tcPr>
          <w:p w14:paraId="D3410000">
            <w:pPr>
              <w:rPr>
                <w:sz w:val="16"/>
              </w:rPr>
            </w:pPr>
            <w:r>
              <w:rPr>
                <w:sz w:val="16"/>
              </w:rPr>
              <w:t>1</w:t>
            </w:r>
          </w:p>
        </w:tc>
        <w:tc>
          <w:tcPr>
            <w:tcW w:type="dxa" w:w="1520"/>
            <w:tcBorders>
              <w:top w:color="000000" w:sz="4" w:val="single"/>
              <w:left w:color="000000" w:sz="4" w:val="single"/>
              <w:bottom w:color="000000" w:sz="4" w:val="single"/>
              <w:right w:color="000000" w:sz="4" w:val="single"/>
            </w:tcBorders>
            <w:shd w:fill="auto" w:val="clear"/>
            <w:vAlign w:val="center"/>
          </w:tcPr>
          <w:p w14:paraId="D4410000">
            <w:pPr>
              <w:widowControl w:val="1"/>
              <w:ind/>
              <w:jc w:val="right"/>
              <w:rPr>
                <w:b w:val="1"/>
                <w:sz w:val="16"/>
              </w:rPr>
            </w:pPr>
            <w:r>
              <w:rPr>
                <w:b w:val="1"/>
                <w:sz w:val="16"/>
              </w:rPr>
              <w:t>сальдо</w:t>
            </w:r>
          </w:p>
        </w:tc>
        <w:tc>
          <w:tcPr>
            <w:tcW w:type="dxa" w:w="1360"/>
            <w:tcBorders>
              <w:top w:color="000000" w:sz="4" w:val="single"/>
              <w:left w:color="000000" w:sz="4" w:val="single"/>
              <w:bottom w:color="000000" w:sz="4" w:val="single"/>
              <w:right w:color="000000" w:sz="4" w:val="single"/>
            </w:tcBorders>
            <w:shd w:fill="auto" w:val="clear"/>
            <w:vAlign w:val="center"/>
          </w:tcPr>
          <w:p w14:paraId="D5410000">
            <w:pPr>
              <w:widowControl w:val="1"/>
              <w:ind/>
              <w:jc w:val="right"/>
              <w:rPr>
                <w:b w:val="1"/>
                <w:sz w:val="16"/>
              </w:rPr>
            </w:pPr>
            <w:r>
              <w:rPr>
                <w:b w:val="1"/>
                <w:sz w:val="16"/>
              </w:rPr>
              <w:t>Возникло</w:t>
            </w:r>
          </w:p>
        </w:tc>
        <w:tc>
          <w:tcPr>
            <w:tcW w:type="dxa" w:w="1360"/>
            <w:tcBorders>
              <w:top w:color="000000" w:sz="4" w:val="single"/>
              <w:left w:color="000000" w:sz="4" w:val="single"/>
              <w:bottom w:color="000000" w:sz="4" w:val="single"/>
              <w:right w:color="000000" w:sz="4" w:val="single"/>
            </w:tcBorders>
            <w:shd w:fill="auto" w:val="clear"/>
            <w:vAlign w:val="center"/>
          </w:tcPr>
          <w:p w14:paraId="D6410000">
            <w:pPr>
              <w:widowControl w:val="1"/>
              <w:ind/>
              <w:jc w:val="right"/>
              <w:rPr>
                <w:b w:val="1"/>
                <w:sz w:val="16"/>
              </w:rPr>
            </w:pPr>
            <w:r>
              <w:rPr>
                <w:b w:val="1"/>
                <w:sz w:val="16"/>
              </w:rPr>
              <w:t>Погашено</w:t>
            </w:r>
          </w:p>
        </w:tc>
        <w:tc>
          <w:tcPr>
            <w:tcW w:type="dxa" w:w="1560"/>
            <w:tcBorders>
              <w:top w:color="000000" w:sz="4" w:val="single"/>
              <w:left w:color="000000" w:sz="4" w:val="single"/>
              <w:bottom w:color="000000" w:sz="4" w:val="single"/>
              <w:right w:color="000000" w:sz="4" w:val="single"/>
            </w:tcBorders>
            <w:shd w:fill="auto" w:val="clear"/>
            <w:vAlign w:val="center"/>
          </w:tcPr>
          <w:p w14:paraId="D7410000">
            <w:pPr>
              <w:widowControl w:val="1"/>
              <w:ind/>
              <w:jc w:val="right"/>
              <w:rPr>
                <w:b w:val="1"/>
                <w:sz w:val="16"/>
              </w:rPr>
            </w:pPr>
            <w:r>
              <w:rPr>
                <w:b w:val="1"/>
                <w:sz w:val="16"/>
              </w:rPr>
              <w:t>сальдо</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D8410000">
            <w:pPr>
              <w:rPr>
                <w:b w:val="1"/>
                <w:sz w:val="18"/>
              </w:rPr>
            </w:pPr>
            <w:r>
              <w:rPr>
                <w:b w:val="1"/>
                <w:sz w:val="18"/>
              </w:rPr>
              <w:t>ВСЕГО, в том числе</w:t>
            </w:r>
          </w:p>
        </w:tc>
        <w:tc>
          <w:tcPr>
            <w:tcW w:type="dxa" w:w="1520"/>
            <w:tcBorders>
              <w:top w:color="000000" w:sz="4" w:val="single"/>
              <w:left w:color="000000" w:sz="4" w:val="single"/>
              <w:bottom w:color="000000" w:sz="4" w:val="single"/>
              <w:right w:color="000000" w:sz="4" w:val="single"/>
            </w:tcBorders>
            <w:shd w:fill="auto" w:val="clear"/>
            <w:vAlign w:val="bottom"/>
          </w:tcPr>
          <w:p w14:paraId="D9410000">
            <w:pPr>
              <w:widowControl w:val="1"/>
              <w:ind/>
              <w:jc w:val="right"/>
              <w:rPr>
                <w:b w:val="1"/>
                <w:sz w:val="18"/>
              </w:rPr>
            </w:pPr>
            <w:r>
              <w:rPr>
                <w:b w:val="1"/>
                <w:sz w:val="18"/>
              </w:rPr>
              <w:t>291 286</w:t>
            </w:r>
          </w:p>
        </w:tc>
        <w:tc>
          <w:tcPr>
            <w:tcW w:type="dxa" w:w="1360"/>
            <w:tcBorders>
              <w:top w:color="000000" w:sz="4" w:val="single"/>
              <w:left w:color="000000" w:sz="4" w:val="single"/>
              <w:bottom w:color="000000" w:sz="4" w:val="single"/>
              <w:right w:color="000000" w:sz="4" w:val="single"/>
            </w:tcBorders>
            <w:shd w:fill="auto" w:val="clear"/>
            <w:vAlign w:val="bottom"/>
          </w:tcPr>
          <w:p w14:paraId="DA410000">
            <w:pPr>
              <w:widowControl w:val="1"/>
              <w:ind/>
              <w:jc w:val="right"/>
              <w:rPr>
                <w:b w:val="1"/>
                <w:sz w:val="18"/>
              </w:rPr>
            </w:pPr>
            <w:r>
              <w:rPr>
                <w:b w:val="1"/>
                <w:sz w:val="18"/>
              </w:rPr>
              <w:t>727 645</w:t>
            </w:r>
          </w:p>
        </w:tc>
        <w:tc>
          <w:tcPr>
            <w:tcW w:type="dxa" w:w="1360"/>
            <w:tcBorders>
              <w:top w:color="000000" w:sz="4" w:val="single"/>
              <w:left w:color="000000" w:sz="4" w:val="single"/>
              <w:bottom w:color="000000" w:sz="4" w:val="single"/>
              <w:right w:color="000000" w:sz="4" w:val="single"/>
            </w:tcBorders>
            <w:shd w:fill="auto" w:val="clear"/>
            <w:vAlign w:val="bottom"/>
          </w:tcPr>
          <w:p w14:paraId="DB410000">
            <w:pPr>
              <w:widowControl w:val="1"/>
              <w:ind/>
              <w:jc w:val="right"/>
              <w:rPr>
                <w:b w:val="1"/>
                <w:sz w:val="18"/>
              </w:rPr>
            </w:pPr>
            <w:r>
              <w:rPr>
                <w:b w:val="1"/>
                <w:sz w:val="18"/>
              </w:rPr>
              <w:t>743 289</w:t>
            </w:r>
          </w:p>
        </w:tc>
        <w:tc>
          <w:tcPr>
            <w:tcW w:type="dxa" w:w="1560"/>
            <w:tcBorders>
              <w:top w:color="000000" w:sz="4" w:val="single"/>
              <w:left w:color="000000" w:sz="4" w:val="single"/>
              <w:bottom w:color="000000" w:sz="4" w:val="single"/>
              <w:right w:color="000000" w:sz="4" w:val="single"/>
            </w:tcBorders>
            <w:shd w:fill="auto" w:val="clear"/>
            <w:vAlign w:val="bottom"/>
          </w:tcPr>
          <w:p w14:paraId="DC410000">
            <w:pPr>
              <w:widowControl w:val="1"/>
              <w:ind/>
              <w:jc w:val="right"/>
              <w:rPr>
                <w:b w:val="1"/>
                <w:sz w:val="18"/>
              </w:rPr>
            </w:pPr>
            <w:r>
              <w:rPr>
                <w:b w:val="1"/>
                <w:sz w:val="18"/>
              </w:rPr>
              <w:t>275 642</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DD410000">
            <w:pPr>
              <w:rPr>
                <w:sz w:val="18"/>
              </w:rPr>
            </w:pPr>
            <w:r>
              <w:rPr>
                <w:sz w:val="18"/>
              </w:rPr>
              <w:t>* долгосрочная задолженность</w:t>
            </w:r>
          </w:p>
        </w:tc>
        <w:tc>
          <w:tcPr>
            <w:tcW w:type="dxa" w:w="1520"/>
            <w:tcBorders>
              <w:top w:color="000000" w:sz="4" w:val="single"/>
              <w:left w:color="000000" w:sz="4" w:val="single"/>
              <w:bottom w:color="000000" w:sz="4" w:val="single"/>
              <w:right w:color="000000" w:sz="4" w:val="single"/>
            </w:tcBorders>
            <w:shd w:fill="auto" w:val="clear"/>
            <w:vAlign w:val="bottom"/>
          </w:tcPr>
          <w:p w14:paraId="DE410000">
            <w:pPr>
              <w:widowControl w:val="1"/>
              <w:ind/>
              <w:jc w:val="right"/>
              <w:rPr>
                <w:sz w:val="18"/>
              </w:rPr>
            </w:pPr>
            <w:r>
              <w:rPr>
                <w:sz w:val="18"/>
              </w:rPr>
              <w:t>242 563</w:t>
            </w:r>
          </w:p>
        </w:tc>
        <w:tc>
          <w:tcPr>
            <w:tcW w:type="dxa" w:w="1360"/>
            <w:tcBorders>
              <w:top w:color="000000" w:sz="4" w:val="single"/>
              <w:left w:color="000000" w:sz="4" w:val="single"/>
              <w:bottom w:color="000000" w:sz="4" w:val="single"/>
              <w:right w:color="000000" w:sz="4" w:val="single"/>
            </w:tcBorders>
            <w:shd w:fill="auto" w:val="clear"/>
            <w:vAlign w:val="bottom"/>
          </w:tcPr>
          <w:p w14:paraId="DF41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E0410000">
            <w:pPr>
              <w:widowControl w:val="1"/>
              <w:ind/>
              <w:jc w:val="right"/>
              <w:rPr>
                <w:sz w:val="18"/>
              </w:rPr>
            </w:pPr>
            <w:r>
              <w:rPr>
                <w:sz w:val="18"/>
              </w:rPr>
              <w:t>1 181</w:t>
            </w:r>
          </w:p>
        </w:tc>
        <w:tc>
          <w:tcPr>
            <w:tcW w:type="dxa" w:w="1560"/>
            <w:tcBorders>
              <w:top w:color="000000" w:sz="4" w:val="single"/>
              <w:left w:color="000000" w:sz="4" w:val="single"/>
              <w:bottom w:color="000000" w:sz="4" w:val="single"/>
              <w:right w:color="000000" w:sz="4" w:val="single"/>
            </w:tcBorders>
            <w:shd w:fill="auto" w:val="clear"/>
            <w:vAlign w:val="bottom"/>
          </w:tcPr>
          <w:p w14:paraId="E1410000">
            <w:pPr>
              <w:widowControl w:val="1"/>
              <w:ind/>
              <w:jc w:val="right"/>
              <w:rPr>
                <w:sz w:val="18"/>
              </w:rPr>
            </w:pPr>
            <w:r>
              <w:rPr>
                <w:sz w:val="18"/>
              </w:rPr>
              <w:t>241 383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2410000">
            <w:pPr>
              <w:rPr>
                <w:sz w:val="18"/>
              </w:rPr>
            </w:pPr>
            <w:r>
              <w:rPr>
                <w:sz w:val="18"/>
              </w:rPr>
              <w:t>* перед поставщиками и подрядчиками, в т. ч.</w:t>
            </w:r>
          </w:p>
        </w:tc>
        <w:tc>
          <w:tcPr>
            <w:tcW w:type="dxa" w:w="1520"/>
            <w:tcBorders>
              <w:top w:color="000000" w:sz="4" w:val="single"/>
              <w:left w:color="000000" w:sz="4" w:val="single"/>
              <w:bottom w:color="000000" w:sz="4" w:val="single"/>
              <w:right w:color="000000" w:sz="4" w:val="single"/>
            </w:tcBorders>
            <w:shd w:fill="auto" w:val="clear"/>
            <w:vAlign w:val="bottom"/>
          </w:tcPr>
          <w:p w14:paraId="E3410000">
            <w:pPr>
              <w:widowControl w:val="1"/>
              <w:ind/>
              <w:jc w:val="right"/>
              <w:rPr>
                <w:sz w:val="18"/>
              </w:rPr>
            </w:pPr>
            <w:r>
              <w:rPr>
                <w:sz w:val="18"/>
              </w:rPr>
              <w:t>242 563</w:t>
            </w:r>
          </w:p>
        </w:tc>
        <w:tc>
          <w:tcPr>
            <w:tcW w:type="dxa" w:w="1360"/>
            <w:tcBorders>
              <w:top w:color="000000" w:sz="4" w:val="single"/>
              <w:left w:color="000000" w:sz="4" w:val="single"/>
              <w:bottom w:color="000000" w:sz="4" w:val="single"/>
              <w:right w:color="000000" w:sz="4" w:val="single"/>
            </w:tcBorders>
            <w:shd w:fill="auto" w:val="clear"/>
            <w:vAlign w:val="bottom"/>
          </w:tcPr>
          <w:p w14:paraId="E441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E5410000">
            <w:pPr>
              <w:widowControl w:val="1"/>
              <w:ind/>
              <w:jc w:val="right"/>
              <w:rPr>
                <w:sz w:val="18"/>
              </w:rPr>
            </w:pPr>
            <w:r>
              <w:rPr>
                <w:sz w:val="18"/>
              </w:rPr>
              <w:t>1 181</w:t>
            </w:r>
          </w:p>
        </w:tc>
        <w:tc>
          <w:tcPr>
            <w:tcW w:type="dxa" w:w="1560"/>
            <w:tcBorders>
              <w:top w:color="000000" w:sz="4" w:val="single"/>
              <w:left w:color="000000" w:sz="4" w:val="single"/>
              <w:bottom w:color="000000" w:sz="4" w:val="single"/>
              <w:right w:color="000000" w:sz="4" w:val="single"/>
            </w:tcBorders>
            <w:shd w:fill="auto" w:val="clear"/>
            <w:vAlign w:val="bottom"/>
          </w:tcPr>
          <w:p w14:paraId="E6410000">
            <w:pPr>
              <w:widowControl w:val="1"/>
              <w:ind/>
              <w:jc w:val="right"/>
              <w:rPr>
                <w:sz w:val="18"/>
              </w:rPr>
            </w:pPr>
            <w:r>
              <w:rPr>
                <w:sz w:val="18"/>
              </w:rPr>
              <w:t>241 383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7410000">
            <w:pPr>
              <w:rPr>
                <w:i w:val="1"/>
                <w:sz w:val="18"/>
              </w:rPr>
            </w:pPr>
            <w:r>
              <w:rPr>
                <w:i w:val="1"/>
                <w:sz w:val="18"/>
              </w:rPr>
              <w:t xml:space="preserve">           -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E8410000">
            <w:pPr>
              <w:widowControl w:val="1"/>
              <w:ind/>
              <w:jc w:val="right"/>
              <w:rPr>
                <w:sz w:val="18"/>
              </w:rPr>
            </w:pPr>
            <w:r>
              <w:rPr>
                <w:sz w:val="18"/>
              </w:rPr>
              <w:t>242 563</w:t>
            </w:r>
          </w:p>
        </w:tc>
        <w:tc>
          <w:tcPr>
            <w:tcW w:type="dxa" w:w="1360"/>
            <w:tcBorders>
              <w:top w:color="000000" w:sz="4" w:val="single"/>
              <w:left w:color="000000" w:sz="4" w:val="single"/>
              <w:bottom w:color="000000" w:sz="4" w:val="single"/>
              <w:right w:color="000000" w:sz="4" w:val="single"/>
            </w:tcBorders>
            <w:shd w:fill="auto" w:val="clear"/>
            <w:vAlign w:val="bottom"/>
          </w:tcPr>
          <w:p w14:paraId="E941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EA410000">
            <w:pPr>
              <w:widowControl w:val="1"/>
              <w:ind/>
              <w:jc w:val="right"/>
              <w:rPr>
                <w:sz w:val="18"/>
              </w:rPr>
            </w:pPr>
            <w:r>
              <w:rPr>
                <w:sz w:val="18"/>
              </w:rPr>
              <w:t>1 181</w:t>
            </w:r>
          </w:p>
        </w:tc>
        <w:tc>
          <w:tcPr>
            <w:tcW w:type="dxa" w:w="1560"/>
            <w:tcBorders>
              <w:top w:color="000000" w:sz="4" w:val="single"/>
              <w:left w:color="000000" w:sz="4" w:val="single"/>
              <w:bottom w:color="000000" w:sz="4" w:val="single"/>
              <w:right w:color="000000" w:sz="4" w:val="single"/>
            </w:tcBorders>
            <w:shd w:fill="auto" w:val="clear"/>
            <w:vAlign w:val="bottom"/>
          </w:tcPr>
          <w:p w14:paraId="EB410000">
            <w:pPr>
              <w:widowControl w:val="1"/>
              <w:ind/>
              <w:jc w:val="right"/>
              <w:rPr>
                <w:sz w:val="18"/>
              </w:rPr>
            </w:pPr>
            <w:r>
              <w:rPr>
                <w:sz w:val="18"/>
              </w:rPr>
              <w:t>241 383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C410000">
            <w:pPr>
              <w:rPr>
                <w:sz w:val="18"/>
              </w:rPr>
            </w:pPr>
            <w:r>
              <w:rPr>
                <w:sz w:val="18"/>
              </w:rPr>
              <w:t>* краткосрочная задолженность</w:t>
            </w:r>
          </w:p>
        </w:tc>
        <w:tc>
          <w:tcPr>
            <w:tcW w:type="dxa" w:w="1520"/>
            <w:tcBorders>
              <w:top w:color="000000" w:sz="4" w:val="single"/>
              <w:left w:color="000000" w:sz="4" w:val="single"/>
              <w:bottom w:color="000000" w:sz="4" w:val="single"/>
              <w:right w:color="000000" w:sz="4" w:val="single"/>
            </w:tcBorders>
            <w:shd w:fill="auto" w:val="clear"/>
            <w:vAlign w:val="bottom"/>
          </w:tcPr>
          <w:p w14:paraId="ED410000">
            <w:pPr>
              <w:widowControl w:val="1"/>
              <w:ind/>
              <w:jc w:val="right"/>
              <w:rPr>
                <w:sz w:val="18"/>
              </w:rPr>
            </w:pPr>
            <w:r>
              <w:rPr>
                <w:sz w:val="18"/>
              </w:rPr>
              <w:t>48 723</w:t>
            </w:r>
          </w:p>
        </w:tc>
        <w:tc>
          <w:tcPr>
            <w:tcW w:type="dxa" w:w="1360"/>
            <w:tcBorders>
              <w:top w:color="000000" w:sz="4" w:val="single"/>
              <w:left w:color="000000" w:sz="4" w:val="single"/>
              <w:bottom w:color="000000" w:sz="4" w:val="single"/>
              <w:right w:color="000000" w:sz="4" w:val="single"/>
            </w:tcBorders>
            <w:shd w:fill="auto" w:val="clear"/>
            <w:vAlign w:val="bottom"/>
          </w:tcPr>
          <w:p w14:paraId="EE410000">
            <w:pPr>
              <w:widowControl w:val="1"/>
              <w:ind/>
              <w:jc w:val="right"/>
              <w:rPr>
                <w:sz w:val="18"/>
              </w:rPr>
            </w:pPr>
            <w:r>
              <w:rPr>
                <w:sz w:val="18"/>
              </w:rPr>
              <w:t>727 645</w:t>
            </w:r>
          </w:p>
        </w:tc>
        <w:tc>
          <w:tcPr>
            <w:tcW w:type="dxa" w:w="1360"/>
            <w:tcBorders>
              <w:top w:color="000000" w:sz="4" w:val="single"/>
              <w:left w:color="000000" w:sz="4" w:val="single"/>
              <w:bottom w:color="000000" w:sz="4" w:val="single"/>
              <w:right w:color="000000" w:sz="4" w:val="single"/>
            </w:tcBorders>
            <w:shd w:fill="auto" w:val="clear"/>
            <w:vAlign w:val="bottom"/>
          </w:tcPr>
          <w:p w14:paraId="EF410000">
            <w:pPr>
              <w:widowControl w:val="1"/>
              <w:ind/>
              <w:jc w:val="right"/>
              <w:rPr>
                <w:sz w:val="18"/>
              </w:rPr>
            </w:pPr>
            <w:r>
              <w:rPr>
                <w:sz w:val="18"/>
              </w:rPr>
              <w:t>742 109</w:t>
            </w:r>
          </w:p>
        </w:tc>
        <w:tc>
          <w:tcPr>
            <w:tcW w:type="dxa" w:w="1560"/>
            <w:tcBorders>
              <w:top w:color="000000" w:sz="4" w:val="single"/>
              <w:left w:color="000000" w:sz="4" w:val="single"/>
              <w:bottom w:color="000000" w:sz="4" w:val="single"/>
              <w:right w:color="000000" w:sz="4" w:val="single"/>
            </w:tcBorders>
            <w:shd w:fill="auto" w:val="clear"/>
            <w:vAlign w:val="bottom"/>
          </w:tcPr>
          <w:p w14:paraId="F0410000">
            <w:pPr>
              <w:widowControl w:val="1"/>
              <w:ind/>
              <w:jc w:val="right"/>
              <w:rPr>
                <w:sz w:val="18"/>
              </w:rPr>
            </w:pPr>
            <w:r>
              <w:rPr>
                <w:sz w:val="18"/>
              </w:rPr>
              <w:t>34 259</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F1410000">
            <w:pPr>
              <w:rPr>
                <w:b w:val="1"/>
                <w:sz w:val="18"/>
              </w:rPr>
            </w:pPr>
            <w:r>
              <w:rPr>
                <w:b w:val="1"/>
                <w:sz w:val="18"/>
              </w:rPr>
              <w:t>Краткосрочная задолженность, в том числе</w:t>
            </w:r>
          </w:p>
        </w:tc>
        <w:tc>
          <w:tcPr>
            <w:tcW w:type="dxa" w:w="1520"/>
            <w:tcBorders>
              <w:top w:color="000000" w:sz="4" w:val="single"/>
              <w:left w:color="000000" w:sz="4" w:val="single"/>
              <w:bottom w:color="000000" w:sz="4" w:val="single"/>
              <w:right w:color="000000" w:sz="4" w:val="single"/>
            </w:tcBorders>
            <w:shd w:fill="auto" w:val="clear"/>
            <w:vAlign w:val="bottom"/>
          </w:tcPr>
          <w:p w14:paraId="F2410000">
            <w:pPr>
              <w:widowControl w:val="1"/>
              <w:ind/>
              <w:jc w:val="right"/>
              <w:rPr>
                <w:b w:val="1"/>
                <w:sz w:val="18"/>
              </w:rPr>
            </w:pPr>
            <w:r>
              <w:rPr>
                <w:b w:val="1"/>
                <w:sz w:val="18"/>
              </w:rPr>
              <w:t>48 723</w:t>
            </w:r>
          </w:p>
        </w:tc>
        <w:tc>
          <w:tcPr>
            <w:tcW w:type="dxa" w:w="1360"/>
            <w:tcBorders>
              <w:top w:color="000000" w:sz="4" w:val="single"/>
              <w:left w:color="000000" w:sz="4" w:val="single"/>
              <w:bottom w:color="000000" w:sz="4" w:val="single"/>
              <w:right w:color="000000" w:sz="4" w:val="single"/>
            </w:tcBorders>
            <w:shd w:fill="auto" w:val="clear"/>
            <w:vAlign w:val="bottom"/>
          </w:tcPr>
          <w:p w14:paraId="F3410000">
            <w:pPr>
              <w:widowControl w:val="1"/>
              <w:ind/>
              <w:jc w:val="right"/>
              <w:rPr>
                <w:b w:val="1"/>
                <w:sz w:val="18"/>
              </w:rPr>
            </w:pPr>
            <w:r>
              <w:rPr>
                <w:b w:val="1"/>
                <w:sz w:val="18"/>
              </w:rPr>
              <w:t>727 645</w:t>
            </w:r>
          </w:p>
        </w:tc>
        <w:tc>
          <w:tcPr>
            <w:tcW w:type="dxa" w:w="1360"/>
            <w:tcBorders>
              <w:top w:color="000000" w:sz="4" w:val="single"/>
              <w:left w:color="000000" w:sz="4" w:val="single"/>
              <w:bottom w:color="000000" w:sz="4" w:val="single"/>
              <w:right w:color="000000" w:sz="4" w:val="single"/>
            </w:tcBorders>
            <w:shd w:fill="auto" w:val="clear"/>
            <w:vAlign w:val="bottom"/>
          </w:tcPr>
          <w:p w14:paraId="F4410000">
            <w:pPr>
              <w:widowControl w:val="1"/>
              <w:ind/>
              <w:jc w:val="right"/>
              <w:rPr>
                <w:b w:val="1"/>
                <w:sz w:val="18"/>
              </w:rPr>
            </w:pPr>
            <w:r>
              <w:rPr>
                <w:b w:val="1"/>
                <w:sz w:val="18"/>
              </w:rPr>
              <w:t>742 109</w:t>
            </w:r>
          </w:p>
        </w:tc>
        <w:tc>
          <w:tcPr>
            <w:tcW w:type="dxa" w:w="1560"/>
            <w:tcBorders>
              <w:top w:color="000000" w:sz="4" w:val="single"/>
              <w:left w:color="000000" w:sz="4" w:val="single"/>
              <w:bottom w:color="000000" w:sz="4" w:val="single"/>
              <w:right w:color="000000" w:sz="4" w:val="single"/>
            </w:tcBorders>
            <w:shd w:fill="auto" w:val="clear"/>
            <w:vAlign w:val="bottom"/>
          </w:tcPr>
          <w:p w14:paraId="F5410000">
            <w:pPr>
              <w:widowControl w:val="1"/>
              <w:ind/>
              <w:jc w:val="right"/>
              <w:rPr>
                <w:b w:val="1"/>
                <w:sz w:val="18"/>
              </w:rPr>
            </w:pPr>
            <w:r>
              <w:rPr>
                <w:b w:val="1"/>
                <w:sz w:val="18"/>
              </w:rPr>
              <w:t>34 259</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F6410000">
            <w:pPr>
              <w:rPr>
                <w:sz w:val="18"/>
              </w:rPr>
            </w:pPr>
            <w:r>
              <w:rPr>
                <w:sz w:val="18"/>
              </w:rPr>
              <w:t>* перед поставщиками и подрядчиками, в т. ч.</w:t>
            </w:r>
          </w:p>
        </w:tc>
        <w:tc>
          <w:tcPr>
            <w:tcW w:type="dxa" w:w="1520"/>
            <w:tcBorders>
              <w:top w:color="000000" w:sz="4" w:val="single"/>
              <w:left w:color="000000" w:sz="4" w:val="single"/>
              <w:bottom w:color="000000" w:sz="4" w:val="single"/>
              <w:right w:color="000000" w:sz="4" w:val="single"/>
            </w:tcBorders>
            <w:shd w:fill="auto" w:val="clear"/>
            <w:vAlign w:val="bottom"/>
          </w:tcPr>
          <w:p w14:paraId="F7410000">
            <w:pPr>
              <w:widowControl w:val="1"/>
              <w:ind/>
              <w:jc w:val="right"/>
              <w:rPr>
                <w:sz w:val="18"/>
              </w:rPr>
            </w:pPr>
            <w:r>
              <w:rPr>
                <w:sz w:val="18"/>
              </w:rPr>
              <w:t>7 488</w:t>
            </w:r>
          </w:p>
        </w:tc>
        <w:tc>
          <w:tcPr>
            <w:tcW w:type="dxa" w:w="1360"/>
            <w:tcBorders>
              <w:top w:color="000000" w:sz="4" w:val="single"/>
              <w:left w:color="000000" w:sz="4" w:val="single"/>
              <w:bottom w:color="000000" w:sz="4" w:val="single"/>
              <w:right w:color="000000" w:sz="4" w:val="single"/>
            </w:tcBorders>
            <w:shd w:fill="auto" w:val="clear"/>
            <w:vAlign w:val="bottom"/>
          </w:tcPr>
          <w:p w14:paraId="F8410000">
            <w:pPr>
              <w:widowControl w:val="1"/>
              <w:ind/>
              <w:jc w:val="right"/>
              <w:rPr>
                <w:sz w:val="18"/>
              </w:rPr>
            </w:pPr>
            <w:r>
              <w:rPr>
                <w:sz w:val="18"/>
              </w:rPr>
              <w:t>500 361</w:t>
            </w:r>
          </w:p>
        </w:tc>
        <w:tc>
          <w:tcPr>
            <w:tcW w:type="dxa" w:w="1360"/>
            <w:tcBorders>
              <w:top w:color="000000" w:sz="4" w:val="single"/>
              <w:left w:color="000000" w:sz="4" w:val="single"/>
              <w:bottom w:color="000000" w:sz="4" w:val="single"/>
              <w:right w:color="000000" w:sz="4" w:val="single"/>
            </w:tcBorders>
            <w:shd w:fill="auto" w:val="clear"/>
            <w:vAlign w:val="bottom"/>
          </w:tcPr>
          <w:p w14:paraId="F9410000">
            <w:pPr>
              <w:widowControl w:val="1"/>
              <w:ind/>
              <w:jc w:val="right"/>
              <w:rPr>
                <w:sz w:val="18"/>
              </w:rPr>
            </w:pPr>
            <w:r>
              <w:rPr>
                <w:sz w:val="18"/>
              </w:rPr>
              <w:t>499 437</w:t>
            </w:r>
          </w:p>
        </w:tc>
        <w:tc>
          <w:tcPr>
            <w:tcW w:type="dxa" w:w="1560"/>
            <w:tcBorders>
              <w:top w:color="000000" w:sz="4" w:val="single"/>
              <w:left w:color="000000" w:sz="4" w:val="single"/>
              <w:bottom w:color="000000" w:sz="4" w:val="single"/>
              <w:right w:color="000000" w:sz="4" w:val="single"/>
            </w:tcBorders>
            <w:shd w:fill="auto" w:val="clear"/>
            <w:vAlign w:val="bottom"/>
          </w:tcPr>
          <w:p w14:paraId="FA410000">
            <w:pPr>
              <w:widowControl w:val="1"/>
              <w:ind/>
              <w:jc w:val="right"/>
              <w:rPr>
                <w:sz w:val="18"/>
              </w:rPr>
            </w:pPr>
            <w:r>
              <w:rPr>
                <w:sz w:val="18"/>
              </w:rPr>
              <w:t>8 412</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FB410000">
            <w:pPr>
              <w:rPr>
                <w:i w:val="1"/>
                <w:sz w:val="18"/>
              </w:rPr>
            </w:pPr>
            <w:r>
              <w:rPr>
                <w:i w:val="1"/>
                <w:sz w:val="18"/>
              </w:rPr>
              <w:t xml:space="preserve">           -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FC410000">
            <w:pPr>
              <w:widowControl w:val="1"/>
              <w:ind/>
              <w:jc w:val="right"/>
              <w:rPr>
                <w:sz w:val="18"/>
              </w:rPr>
            </w:pPr>
            <w:r>
              <w:rPr>
                <w:sz w:val="18"/>
              </w:rPr>
              <w:t>1 878</w:t>
            </w:r>
          </w:p>
        </w:tc>
        <w:tc>
          <w:tcPr>
            <w:tcW w:type="dxa" w:w="1360"/>
            <w:tcBorders>
              <w:top w:color="000000" w:sz="4" w:val="single"/>
              <w:left w:color="000000" w:sz="4" w:val="single"/>
              <w:bottom w:color="000000" w:sz="4" w:val="single"/>
              <w:right w:color="000000" w:sz="4" w:val="single"/>
            </w:tcBorders>
            <w:shd w:fill="auto" w:val="clear"/>
            <w:vAlign w:val="bottom"/>
          </w:tcPr>
          <w:p w14:paraId="FD410000">
            <w:pPr>
              <w:widowControl w:val="1"/>
              <w:ind/>
              <w:jc w:val="right"/>
              <w:rPr>
                <w:sz w:val="18"/>
              </w:rPr>
            </w:pPr>
            <w:r>
              <w:rPr>
                <w:sz w:val="18"/>
              </w:rPr>
              <w:t>427 103</w:t>
            </w:r>
          </w:p>
        </w:tc>
        <w:tc>
          <w:tcPr>
            <w:tcW w:type="dxa" w:w="1360"/>
            <w:tcBorders>
              <w:top w:color="000000" w:sz="4" w:val="single"/>
              <w:left w:color="000000" w:sz="4" w:val="single"/>
              <w:bottom w:color="000000" w:sz="4" w:val="single"/>
              <w:right w:color="000000" w:sz="4" w:val="single"/>
            </w:tcBorders>
            <w:shd w:fill="auto" w:val="clear"/>
            <w:vAlign w:val="bottom"/>
          </w:tcPr>
          <w:p w14:paraId="FE410000">
            <w:pPr>
              <w:widowControl w:val="1"/>
              <w:ind/>
              <w:jc w:val="right"/>
              <w:rPr>
                <w:sz w:val="18"/>
              </w:rPr>
            </w:pPr>
            <w:r>
              <w:rPr>
                <w:sz w:val="18"/>
              </w:rPr>
              <w:t>427 697</w:t>
            </w:r>
          </w:p>
        </w:tc>
        <w:tc>
          <w:tcPr>
            <w:tcW w:type="dxa" w:w="1560"/>
            <w:tcBorders>
              <w:top w:color="000000" w:sz="4" w:val="single"/>
              <w:left w:color="000000" w:sz="4" w:val="single"/>
              <w:bottom w:color="000000" w:sz="4" w:val="single"/>
              <w:right w:color="000000" w:sz="4" w:val="single"/>
            </w:tcBorders>
            <w:shd w:fill="auto" w:val="clear"/>
            <w:vAlign w:val="bottom"/>
          </w:tcPr>
          <w:p w14:paraId="FF410000">
            <w:pPr>
              <w:widowControl w:val="1"/>
              <w:ind/>
              <w:jc w:val="right"/>
              <w:rPr>
                <w:sz w:val="18"/>
              </w:rPr>
            </w:pPr>
            <w:r>
              <w:rPr>
                <w:sz w:val="18"/>
              </w:rPr>
              <w:t>1 284</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0420000">
            <w:pPr>
              <w:rPr>
                <w:i w:val="1"/>
                <w:sz w:val="18"/>
              </w:rPr>
            </w:pPr>
            <w:r>
              <w:rPr>
                <w:i w:val="1"/>
                <w:sz w:val="18"/>
              </w:rPr>
              <w:t xml:space="preserve">           - ДЗО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01420000">
            <w:pPr>
              <w:widowControl w:val="1"/>
              <w:ind/>
              <w:jc w:val="right"/>
              <w:rPr>
                <w:sz w:val="18"/>
              </w:rPr>
            </w:pPr>
            <w:r>
              <w:rPr>
                <w:sz w:val="18"/>
              </w:rPr>
              <w:t>305</w:t>
            </w:r>
          </w:p>
        </w:tc>
        <w:tc>
          <w:tcPr>
            <w:tcW w:type="dxa" w:w="1360"/>
            <w:tcBorders>
              <w:top w:color="000000" w:sz="4" w:val="single"/>
              <w:left w:color="000000" w:sz="4" w:val="single"/>
              <w:bottom w:color="000000" w:sz="4" w:val="single"/>
              <w:right w:color="000000" w:sz="4" w:val="single"/>
            </w:tcBorders>
            <w:shd w:fill="auto" w:val="clear"/>
            <w:vAlign w:val="bottom"/>
          </w:tcPr>
          <w:p w14:paraId="02420000">
            <w:pPr>
              <w:widowControl w:val="1"/>
              <w:ind/>
              <w:jc w:val="right"/>
              <w:rPr>
                <w:sz w:val="18"/>
              </w:rPr>
            </w:pPr>
            <w:r>
              <w:rPr>
                <w:sz w:val="18"/>
              </w:rPr>
              <w:t>18 590</w:t>
            </w:r>
          </w:p>
        </w:tc>
        <w:tc>
          <w:tcPr>
            <w:tcW w:type="dxa" w:w="1360"/>
            <w:tcBorders>
              <w:top w:color="000000" w:sz="4" w:val="single"/>
              <w:left w:color="000000" w:sz="4" w:val="single"/>
              <w:bottom w:color="000000" w:sz="4" w:val="single"/>
              <w:right w:color="000000" w:sz="4" w:val="single"/>
            </w:tcBorders>
            <w:shd w:fill="auto" w:val="clear"/>
            <w:vAlign w:val="bottom"/>
          </w:tcPr>
          <w:p w14:paraId="03420000">
            <w:pPr>
              <w:widowControl w:val="1"/>
              <w:ind/>
              <w:jc w:val="right"/>
              <w:rPr>
                <w:sz w:val="18"/>
              </w:rPr>
            </w:pPr>
            <w:r>
              <w:rPr>
                <w:sz w:val="18"/>
              </w:rPr>
              <w:t>18 626</w:t>
            </w:r>
          </w:p>
        </w:tc>
        <w:tc>
          <w:tcPr>
            <w:tcW w:type="dxa" w:w="1560"/>
            <w:tcBorders>
              <w:top w:color="000000" w:sz="4" w:val="single"/>
              <w:left w:color="000000" w:sz="4" w:val="single"/>
              <w:bottom w:color="000000" w:sz="4" w:val="single"/>
              <w:right w:color="000000" w:sz="4" w:val="single"/>
            </w:tcBorders>
            <w:shd w:fill="auto" w:val="clear"/>
            <w:vAlign w:val="bottom"/>
          </w:tcPr>
          <w:p w14:paraId="04420000">
            <w:pPr>
              <w:widowControl w:val="1"/>
              <w:ind/>
              <w:jc w:val="right"/>
              <w:rPr>
                <w:sz w:val="18"/>
              </w:rPr>
            </w:pPr>
            <w:r>
              <w:rPr>
                <w:sz w:val="18"/>
              </w:rPr>
              <w:t>269</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5420000">
            <w:pPr>
              <w:rPr>
                <w:i w:val="1"/>
                <w:sz w:val="18"/>
              </w:rPr>
            </w:pPr>
            <w:r>
              <w:rPr>
                <w:i w:val="1"/>
                <w:sz w:val="18"/>
              </w:rPr>
              <w:t xml:space="preserve">           - прочими контрагентами</w:t>
            </w:r>
          </w:p>
        </w:tc>
        <w:tc>
          <w:tcPr>
            <w:tcW w:type="dxa" w:w="1520"/>
            <w:tcBorders>
              <w:top w:color="000000" w:sz="4" w:val="single"/>
              <w:left w:color="000000" w:sz="4" w:val="single"/>
              <w:bottom w:color="000000" w:sz="4" w:val="single"/>
              <w:right w:color="000000" w:sz="4" w:val="single"/>
            </w:tcBorders>
            <w:shd w:fill="auto" w:val="clear"/>
            <w:vAlign w:val="bottom"/>
          </w:tcPr>
          <w:p w14:paraId="06420000">
            <w:pPr>
              <w:widowControl w:val="1"/>
              <w:ind/>
              <w:jc w:val="right"/>
              <w:rPr>
                <w:sz w:val="18"/>
              </w:rPr>
            </w:pPr>
            <w:r>
              <w:rPr>
                <w:sz w:val="18"/>
              </w:rPr>
              <w:t>5 305</w:t>
            </w:r>
          </w:p>
        </w:tc>
        <w:tc>
          <w:tcPr>
            <w:tcW w:type="dxa" w:w="1360"/>
            <w:tcBorders>
              <w:top w:color="000000" w:sz="4" w:val="single"/>
              <w:left w:color="000000" w:sz="4" w:val="single"/>
              <w:bottom w:color="000000" w:sz="4" w:val="single"/>
              <w:right w:color="000000" w:sz="4" w:val="single"/>
            </w:tcBorders>
            <w:shd w:fill="auto" w:val="clear"/>
            <w:vAlign w:val="bottom"/>
          </w:tcPr>
          <w:p w14:paraId="07420000">
            <w:pPr>
              <w:widowControl w:val="1"/>
              <w:ind/>
              <w:jc w:val="right"/>
              <w:rPr>
                <w:sz w:val="18"/>
              </w:rPr>
            </w:pPr>
            <w:r>
              <w:rPr>
                <w:sz w:val="18"/>
              </w:rPr>
              <w:t>54 667</w:t>
            </w:r>
          </w:p>
        </w:tc>
        <w:tc>
          <w:tcPr>
            <w:tcW w:type="dxa" w:w="1360"/>
            <w:tcBorders>
              <w:top w:color="000000" w:sz="4" w:val="single"/>
              <w:left w:color="000000" w:sz="4" w:val="single"/>
              <w:bottom w:color="000000" w:sz="4" w:val="single"/>
              <w:right w:color="000000" w:sz="4" w:val="single"/>
            </w:tcBorders>
            <w:shd w:fill="auto" w:val="clear"/>
            <w:vAlign w:val="bottom"/>
          </w:tcPr>
          <w:p w14:paraId="08420000">
            <w:pPr>
              <w:widowControl w:val="1"/>
              <w:ind/>
              <w:jc w:val="right"/>
              <w:rPr>
                <w:sz w:val="18"/>
              </w:rPr>
            </w:pPr>
            <w:r>
              <w:rPr>
                <w:sz w:val="18"/>
              </w:rPr>
              <w:t>53 113</w:t>
            </w:r>
          </w:p>
        </w:tc>
        <w:tc>
          <w:tcPr>
            <w:tcW w:type="dxa" w:w="1560"/>
            <w:tcBorders>
              <w:top w:color="000000" w:sz="4" w:val="single"/>
              <w:left w:color="000000" w:sz="4" w:val="single"/>
              <w:bottom w:color="000000" w:sz="4" w:val="single"/>
              <w:right w:color="000000" w:sz="4" w:val="single"/>
            </w:tcBorders>
            <w:shd w:fill="auto" w:val="clear"/>
            <w:vAlign w:val="bottom"/>
          </w:tcPr>
          <w:p w14:paraId="09420000">
            <w:pPr>
              <w:widowControl w:val="1"/>
              <w:ind/>
              <w:jc w:val="right"/>
              <w:rPr>
                <w:sz w:val="18"/>
              </w:rPr>
            </w:pPr>
            <w:r>
              <w:rPr>
                <w:sz w:val="18"/>
              </w:rPr>
              <w:t>6 859</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A420000">
            <w:pPr>
              <w:rPr>
                <w:i w:val="1"/>
                <w:sz w:val="18"/>
              </w:rPr>
            </w:pPr>
            <w:r>
              <w:rPr>
                <w:i w:val="1"/>
                <w:sz w:val="18"/>
              </w:rPr>
              <w:t xml:space="preserve">           - по кредитам и займам</w:t>
            </w:r>
          </w:p>
        </w:tc>
        <w:tc>
          <w:tcPr>
            <w:tcW w:type="dxa" w:w="1520"/>
            <w:tcBorders>
              <w:top w:color="000000" w:sz="4" w:val="single"/>
              <w:left w:color="000000" w:sz="4" w:val="single"/>
              <w:bottom w:color="000000" w:sz="4" w:val="single"/>
              <w:right w:color="000000" w:sz="4" w:val="single"/>
            </w:tcBorders>
            <w:shd w:fill="auto" w:val="clear"/>
            <w:vAlign w:val="bottom"/>
          </w:tcPr>
          <w:p w14:paraId="0B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0C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0D420000">
            <w:pPr>
              <w:widowControl w:val="1"/>
              <w:ind/>
              <w:jc w:val="right"/>
              <w:rPr>
                <w:sz w:val="18"/>
              </w:rPr>
            </w:pPr>
            <w:r>
              <w:rPr>
                <w:sz w:val="18"/>
              </w:rPr>
              <w:t>0</w:t>
            </w:r>
          </w:p>
        </w:tc>
        <w:tc>
          <w:tcPr>
            <w:tcW w:type="dxa" w:w="1560"/>
            <w:tcBorders>
              <w:top w:color="000000" w:sz="4" w:val="single"/>
              <w:left w:color="000000" w:sz="4" w:val="single"/>
              <w:bottom w:color="000000" w:sz="4" w:val="single"/>
              <w:right w:color="000000" w:sz="4" w:val="single"/>
            </w:tcBorders>
            <w:shd w:fill="auto" w:val="clear"/>
            <w:vAlign w:val="bottom"/>
          </w:tcPr>
          <w:p w14:paraId="0E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F420000">
            <w:pPr>
              <w:rPr>
                <w:sz w:val="18"/>
              </w:rPr>
            </w:pPr>
            <w:r>
              <w:rPr>
                <w:sz w:val="18"/>
              </w:rPr>
              <w:t xml:space="preserve">* по авансам полученным, в т. ч. от </w:t>
            </w:r>
          </w:p>
        </w:tc>
        <w:tc>
          <w:tcPr>
            <w:tcW w:type="dxa" w:w="1520"/>
            <w:tcBorders>
              <w:top w:color="000000" w:sz="4" w:val="single"/>
              <w:left w:color="000000" w:sz="4" w:val="single"/>
              <w:bottom w:color="000000" w:sz="4" w:val="single"/>
              <w:right w:color="000000" w:sz="4" w:val="single"/>
            </w:tcBorders>
            <w:shd w:fill="auto" w:val="clear"/>
            <w:vAlign w:val="bottom"/>
          </w:tcPr>
          <w:p w14:paraId="10420000">
            <w:pPr>
              <w:widowControl w:val="1"/>
              <w:ind/>
              <w:jc w:val="right"/>
              <w:rPr>
                <w:sz w:val="18"/>
              </w:rPr>
            </w:pPr>
            <w:r>
              <w:rPr>
                <w:sz w:val="18"/>
              </w:rPr>
              <w:t>20 068</w:t>
            </w:r>
          </w:p>
        </w:tc>
        <w:tc>
          <w:tcPr>
            <w:tcW w:type="dxa" w:w="1360"/>
            <w:tcBorders>
              <w:top w:color="000000" w:sz="4" w:val="single"/>
              <w:left w:color="000000" w:sz="4" w:val="single"/>
              <w:bottom w:color="000000" w:sz="4" w:val="single"/>
              <w:right w:color="000000" w:sz="4" w:val="single"/>
            </w:tcBorders>
            <w:shd w:fill="auto" w:val="clear"/>
            <w:vAlign w:val="bottom"/>
          </w:tcPr>
          <w:p w14:paraId="11420000">
            <w:pPr>
              <w:widowControl w:val="1"/>
              <w:ind/>
              <w:jc w:val="right"/>
              <w:rPr>
                <w:sz w:val="18"/>
              </w:rPr>
            </w:pPr>
            <w:r>
              <w:rPr>
                <w:sz w:val="18"/>
              </w:rPr>
              <w:t>7 764</w:t>
            </w:r>
          </w:p>
        </w:tc>
        <w:tc>
          <w:tcPr>
            <w:tcW w:type="dxa" w:w="1360"/>
            <w:tcBorders>
              <w:top w:color="000000" w:sz="4" w:val="single"/>
              <w:left w:color="000000" w:sz="4" w:val="single"/>
              <w:bottom w:color="000000" w:sz="4" w:val="single"/>
              <w:right w:color="000000" w:sz="4" w:val="single"/>
            </w:tcBorders>
            <w:shd w:fill="auto" w:val="clear"/>
            <w:vAlign w:val="bottom"/>
          </w:tcPr>
          <w:p w14:paraId="12420000">
            <w:pPr>
              <w:widowControl w:val="1"/>
              <w:ind/>
              <w:jc w:val="right"/>
              <w:rPr>
                <w:sz w:val="18"/>
              </w:rPr>
            </w:pPr>
            <w:r>
              <w:rPr>
                <w:sz w:val="18"/>
              </w:rPr>
              <w:t>16 521</w:t>
            </w:r>
          </w:p>
        </w:tc>
        <w:tc>
          <w:tcPr>
            <w:tcW w:type="dxa" w:w="1560"/>
            <w:tcBorders>
              <w:top w:color="000000" w:sz="4" w:val="single"/>
              <w:left w:color="000000" w:sz="4" w:val="single"/>
              <w:bottom w:color="000000" w:sz="4" w:val="single"/>
              <w:right w:color="000000" w:sz="4" w:val="single"/>
            </w:tcBorders>
            <w:shd w:fill="auto" w:val="clear"/>
            <w:vAlign w:val="bottom"/>
          </w:tcPr>
          <w:p w14:paraId="13420000">
            <w:pPr>
              <w:widowControl w:val="1"/>
              <w:ind/>
              <w:jc w:val="right"/>
              <w:rPr>
                <w:sz w:val="18"/>
              </w:rPr>
            </w:pPr>
            <w:r>
              <w:rPr>
                <w:sz w:val="18"/>
              </w:rPr>
              <w:t>11 311</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4420000">
            <w:pPr>
              <w:rPr>
                <w:i w:val="1"/>
                <w:sz w:val="18"/>
              </w:rPr>
            </w:pPr>
            <w:r>
              <w:rPr>
                <w:i w:val="1"/>
                <w:sz w:val="18"/>
              </w:rPr>
              <w:t xml:space="preserve">           -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15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16420000">
            <w:pPr>
              <w:widowControl w:val="1"/>
              <w:ind/>
              <w:jc w:val="right"/>
              <w:rPr>
                <w:sz w:val="18"/>
              </w:rPr>
            </w:pPr>
            <w:r>
              <w:rPr>
                <w:sz w:val="18"/>
              </w:rPr>
              <w:t>2</w:t>
            </w:r>
          </w:p>
        </w:tc>
        <w:tc>
          <w:tcPr>
            <w:tcW w:type="dxa" w:w="1360"/>
            <w:tcBorders>
              <w:top w:color="000000" w:sz="4" w:val="single"/>
              <w:left w:color="000000" w:sz="4" w:val="single"/>
              <w:bottom w:color="000000" w:sz="4" w:val="single"/>
              <w:right w:color="000000" w:sz="4" w:val="single"/>
            </w:tcBorders>
            <w:shd w:fill="auto" w:val="clear"/>
            <w:vAlign w:val="bottom"/>
          </w:tcPr>
          <w:p w14:paraId="17420000">
            <w:pPr>
              <w:widowControl w:val="1"/>
              <w:ind/>
              <w:jc w:val="right"/>
              <w:rPr>
                <w:sz w:val="18"/>
              </w:rPr>
            </w:pPr>
            <w:r>
              <w:rPr>
                <w:sz w:val="18"/>
              </w:rPr>
              <w:t>2</w:t>
            </w:r>
          </w:p>
        </w:tc>
        <w:tc>
          <w:tcPr>
            <w:tcW w:type="dxa" w:w="1560"/>
            <w:tcBorders>
              <w:top w:color="000000" w:sz="4" w:val="single"/>
              <w:left w:color="000000" w:sz="4" w:val="single"/>
              <w:bottom w:color="000000" w:sz="4" w:val="single"/>
              <w:right w:color="000000" w:sz="4" w:val="single"/>
            </w:tcBorders>
            <w:shd w:fill="auto" w:val="clear"/>
            <w:vAlign w:val="bottom"/>
          </w:tcPr>
          <w:p w14:paraId="18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9420000">
            <w:pPr>
              <w:rPr>
                <w:i w:val="1"/>
                <w:sz w:val="18"/>
              </w:rPr>
            </w:pPr>
            <w:r>
              <w:rPr>
                <w:i w:val="1"/>
                <w:sz w:val="18"/>
              </w:rPr>
              <w:t xml:space="preserve">           - ДЗО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1A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1B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1C420000">
            <w:pPr>
              <w:widowControl w:val="1"/>
              <w:ind/>
              <w:jc w:val="right"/>
              <w:rPr>
                <w:sz w:val="18"/>
              </w:rPr>
            </w:pPr>
            <w:r>
              <w:rPr>
                <w:sz w:val="18"/>
              </w:rPr>
              <w:t>0</w:t>
            </w:r>
          </w:p>
        </w:tc>
        <w:tc>
          <w:tcPr>
            <w:tcW w:type="dxa" w:w="1560"/>
            <w:tcBorders>
              <w:top w:color="000000" w:sz="4" w:val="single"/>
              <w:left w:color="000000" w:sz="4" w:val="single"/>
              <w:bottom w:color="000000" w:sz="4" w:val="single"/>
              <w:right w:color="000000" w:sz="4" w:val="single"/>
            </w:tcBorders>
            <w:shd w:fill="auto" w:val="clear"/>
            <w:vAlign w:val="bottom"/>
          </w:tcPr>
          <w:p w14:paraId="1D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E420000">
            <w:pPr>
              <w:rPr>
                <w:i w:val="1"/>
                <w:sz w:val="18"/>
              </w:rPr>
            </w:pPr>
            <w:r>
              <w:rPr>
                <w:i w:val="1"/>
                <w:sz w:val="18"/>
              </w:rPr>
              <w:t xml:space="preserve">           - Субъектов РФ</w:t>
            </w:r>
          </w:p>
        </w:tc>
        <w:tc>
          <w:tcPr>
            <w:tcW w:type="dxa" w:w="1520"/>
            <w:tcBorders>
              <w:top w:color="000000" w:sz="4" w:val="single"/>
              <w:left w:color="000000" w:sz="4" w:val="single"/>
              <w:bottom w:color="000000" w:sz="4" w:val="single"/>
              <w:right w:color="000000" w:sz="4" w:val="single"/>
            </w:tcBorders>
            <w:shd w:fill="auto" w:val="clear"/>
            <w:vAlign w:val="bottom"/>
          </w:tcPr>
          <w:p w14:paraId="1F420000">
            <w:pPr>
              <w:widowControl w:val="1"/>
              <w:ind/>
              <w:jc w:val="right"/>
              <w:rPr>
                <w:sz w:val="18"/>
              </w:rPr>
            </w:pPr>
            <w:r>
              <w:rPr>
                <w:sz w:val="18"/>
              </w:rPr>
              <w:t>20 057</w:t>
            </w:r>
          </w:p>
        </w:tc>
        <w:tc>
          <w:tcPr>
            <w:tcW w:type="dxa" w:w="1360"/>
            <w:tcBorders>
              <w:top w:color="000000" w:sz="4" w:val="single"/>
              <w:left w:color="000000" w:sz="4" w:val="single"/>
              <w:bottom w:color="000000" w:sz="4" w:val="single"/>
              <w:right w:color="000000" w:sz="4" w:val="single"/>
            </w:tcBorders>
            <w:shd w:fill="auto" w:val="clear"/>
            <w:vAlign w:val="bottom"/>
          </w:tcPr>
          <w:p w14:paraId="20420000">
            <w:pPr>
              <w:widowControl w:val="1"/>
              <w:ind/>
              <w:jc w:val="right"/>
              <w:rPr>
                <w:sz w:val="18"/>
              </w:rPr>
            </w:pPr>
            <w:r>
              <w:rPr>
                <w:sz w:val="18"/>
              </w:rPr>
              <w:t>6 937</w:t>
            </w:r>
          </w:p>
        </w:tc>
        <w:tc>
          <w:tcPr>
            <w:tcW w:type="dxa" w:w="1360"/>
            <w:tcBorders>
              <w:top w:color="000000" w:sz="4" w:val="single"/>
              <w:left w:color="000000" w:sz="4" w:val="single"/>
              <w:bottom w:color="000000" w:sz="4" w:val="single"/>
              <w:right w:color="000000" w:sz="4" w:val="single"/>
            </w:tcBorders>
            <w:shd w:fill="auto" w:val="clear"/>
            <w:vAlign w:val="bottom"/>
          </w:tcPr>
          <w:p w14:paraId="21420000">
            <w:pPr>
              <w:widowControl w:val="1"/>
              <w:ind/>
              <w:jc w:val="right"/>
              <w:rPr>
                <w:sz w:val="18"/>
              </w:rPr>
            </w:pPr>
            <w:r>
              <w:rPr>
                <w:sz w:val="18"/>
              </w:rPr>
              <w:t>15 699</w:t>
            </w:r>
          </w:p>
        </w:tc>
        <w:tc>
          <w:tcPr>
            <w:tcW w:type="dxa" w:w="1560"/>
            <w:tcBorders>
              <w:top w:color="000000" w:sz="4" w:val="single"/>
              <w:left w:color="000000" w:sz="4" w:val="single"/>
              <w:bottom w:color="000000" w:sz="4" w:val="single"/>
              <w:right w:color="000000" w:sz="4" w:val="single"/>
            </w:tcBorders>
            <w:shd w:fill="auto" w:val="clear"/>
            <w:vAlign w:val="bottom"/>
          </w:tcPr>
          <w:p w14:paraId="22420000">
            <w:pPr>
              <w:widowControl w:val="1"/>
              <w:ind/>
              <w:jc w:val="right"/>
              <w:rPr>
                <w:sz w:val="18"/>
              </w:rPr>
            </w:pPr>
            <w:r>
              <w:rPr>
                <w:sz w:val="18"/>
              </w:rPr>
              <w:t>11 295</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23420000">
            <w:pPr>
              <w:rPr>
                <w:sz w:val="18"/>
              </w:rPr>
            </w:pPr>
            <w:r>
              <w:rPr>
                <w:sz w:val="18"/>
              </w:rPr>
              <w:t>* по оплате труда</w:t>
            </w:r>
          </w:p>
        </w:tc>
        <w:tc>
          <w:tcPr>
            <w:tcW w:type="dxa" w:w="1520"/>
            <w:tcBorders>
              <w:top w:color="000000" w:sz="4" w:val="single"/>
              <w:left w:color="000000" w:sz="4" w:val="single"/>
              <w:bottom w:color="000000" w:sz="4" w:val="single"/>
              <w:right w:color="000000" w:sz="4" w:val="single"/>
            </w:tcBorders>
            <w:shd w:fill="auto" w:val="clear"/>
            <w:vAlign w:val="bottom"/>
          </w:tcPr>
          <w:p w14:paraId="24420000">
            <w:pPr>
              <w:widowControl w:val="1"/>
              <w:ind/>
              <w:jc w:val="right"/>
              <w:rPr>
                <w:sz w:val="18"/>
              </w:rPr>
            </w:pPr>
            <w:r>
              <w:rPr>
                <w:sz w:val="18"/>
              </w:rPr>
              <w:t>8 596</w:t>
            </w:r>
          </w:p>
        </w:tc>
        <w:tc>
          <w:tcPr>
            <w:tcW w:type="dxa" w:w="1360"/>
            <w:tcBorders>
              <w:top w:color="000000" w:sz="4" w:val="single"/>
              <w:left w:color="000000" w:sz="4" w:val="single"/>
              <w:bottom w:color="000000" w:sz="4" w:val="single"/>
              <w:right w:color="000000" w:sz="4" w:val="single"/>
            </w:tcBorders>
            <w:shd w:fill="auto" w:val="clear"/>
            <w:vAlign w:val="bottom"/>
          </w:tcPr>
          <w:p w14:paraId="25420000">
            <w:pPr>
              <w:widowControl w:val="1"/>
              <w:ind/>
              <w:jc w:val="right"/>
              <w:rPr>
                <w:sz w:val="18"/>
              </w:rPr>
            </w:pPr>
            <w:r>
              <w:rPr>
                <w:sz w:val="18"/>
              </w:rPr>
              <w:t>150 943</w:t>
            </w:r>
          </w:p>
        </w:tc>
        <w:tc>
          <w:tcPr>
            <w:tcW w:type="dxa" w:w="1360"/>
            <w:tcBorders>
              <w:top w:color="000000" w:sz="4" w:val="single"/>
              <w:left w:color="000000" w:sz="4" w:val="single"/>
              <w:bottom w:color="000000" w:sz="4" w:val="single"/>
              <w:right w:color="000000" w:sz="4" w:val="single"/>
            </w:tcBorders>
            <w:shd w:fill="auto" w:val="clear"/>
            <w:vAlign w:val="bottom"/>
          </w:tcPr>
          <w:p w14:paraId="26420000">
            <w:pPr>
              <w:widowControl w:val="1"/>
              <w:ind/>
              <w:jc w:val="right"/>
              <w:rPr>
                <w:sz w:val="18"/>
              </w:rPr>
            </w:pPr>
            <w:r>
              <w:rPr>
                <w:sz w:val="18"/>
              </w:rPr>
              <w:t>152 468</w:t>
            </w:r>
          </w:p>
        </w:tc>
        <w:tc>
          <w:tcPr>
            <w:tcW w:type="dxa" w:w="1560"/>
            <w:tcBorders>
              <w:top w:color="000000" w:sz="4" w:val="single"/>
              <w:left w:color="000000" w:sz="4" w:val="single"/>
              <w:bottom w:color="000000" w:sz="4" w:val="single"/>
              <w:right w:color="000000" w:sz="4" w:val="single"/>
            </w:tcBorders>
            <w:shd w:fill="auto" w:val="clear"/>
            <w:vAlign w:val="bottom"/>
          </w:tcPr>
          <w:p w14:paraId="27420000">
            <w:pPr>
              <w:widowControl w:val="1"/>
              <w:ind/>
              <w:jc w:val="right"/>
              <w:rPr>
                <w:sz w:val="18"/>
              </w:rPr>
            </w:pPr>
            <w:r>
              <w:rPr>
                <w:sz w:val="18"/>
              </w:rPr>
              <w:t>7 070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28420000">
            <w:pPr>
              <w:rPr>
                <w:sz w:val="18"/>
              </w:rPr>
            </w:pPr>
            <w:r>
              <w:rPr>
                <w:sz w:val="18"/>
              </w:rPr>
              <w:t>* перед аффилированными лицами эмитента</w:t>
            </w:r>
          </w:p>
        </w:tc>
        <w:tc>
          <w:tcPr>
            <w:tcW w:type="dxa" w:w="1520"/>
            <w:tcBorders>
              <w:top w:color="000000" w:sz="4" w:val="single"/>
              <w:left w:color="000000" w:sz="4" w:val="single"/>
              <w:bottom w:color="000000" w:sz="4" w:val="single"/>
              <w:right w:color="000000" w:sz="4" w:val="single"/>
            </w:tcBorders>
            <w:shd w:fill="auto" w:val="clear"/>
            <w:vAlign w:val="bottom"/>
          </w:tcPr>
          <w:p w14:paraId="29420000">
            <w:pPr>
              <w:widowControl w:val="1"/>
              <w:ind/>
              <w:jc w:val="right"/>
              <w:rPr>
                <w:sz w:val="18"/>
              </w:rPr>
            </w:pPr>
            <w:r>
              <w:rPr>
                <w:sz w:val="18"/>
              </w:rPr>
              <w:t>3</w:t>
            </w:r>
          </w:p>
        </w:tc>
        <w:tc>
          <w:tcPr>
            <w:tcW w:type="dxa" w:w="1360"/>
            <w:tcBorders>
              <w:top w:color="000000" w:sz="4" w:val="single"/>
              <w:left w:color="000000" w:sz="4" w:val="single"/>
              <w:bottom w:color="000000" w:sz="4" w:val="single"/>
              <w:right w:color="000000" w:sz="4" w:val="single"/>
            </w:tcBorders>
            <w:shd w:fill="auto" w:val="clear"/>
            <w:vAlign w:val="bottom"/>
          </w:tcPr>
          <w:p w14:paraId="2A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2B420000">
            <w:pPr>
              <w:widowControl w:val="1"/>
              <w:ind/>
              <w:jc w:val="right"/>
              <w:rPr>
                <w:sz w:val="18"/>
              </w:rPr>
            </w:pPr>
            <w:r>
              <w:rPr>
                <w:sz w:val="18"/>
              </w:rPr>
              <w:t>3</w:t>
            </w:r>
          </w:p>
        </w:tc>
        <w:tc>
          <w:tcPr>
            <w:tcW w:type="dxa" w:w="1560"/>
            <w:tcBorders>
              <w:top w:color="000000" w:sz="4" w:val="single"/>
              <w:left w:color="000000" w:sz="4" w:val="single"/>
              <w:bottom w:color="000000" w:sz="4" w:val="single"/>
              <w:right w:color="000000" w:sz="4" w:val="single"/>
            </w:tcBorders>
            <w:shd w:fill="auto" w:val="clear"/>
            <w:vAlign w:val="bottom"/>
          </w:tcPr>
          <w:p w14:paraId="2C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2D420000">
            <w:pPr>
              <w:rPr>
                <w:sz w:val="18"/>
              </w:rPr>
            </w:pPr>
            <w:r>
              <w:rPr>
                <w:sz w:val="18"/>
              </w:rPr>
              <w:t>* по социальному страхованию и обеспечению</w:t>
            </w:r>
          </w:p>
        </w:tc>
        <w:tc>
          <w:tcPr>
            <w:tcW w:type="dxa" w:w="1520"/>
            <w:tcBorders>
              <w:top w:color="000000" w:sz="4" w:val="single"/>
              <w:left w:color="000000" w:sz="4" w:val="single"/>
              <w:bottom w:color="000000" w:sz="4" w:val="single"/>
              <w:right w:color="000000" w:sz="4" w:val="single"/>
            </w:tcBorders>
            <w:shd w:fill="auto" w:val="clear"/>
            <w:vAlign w:val="bottom"/>
          </w:tcPr>
          <w:p w14:paraId="2E420000">
            <w:pPr>
              <w:widowControl w:val="1"/>
              <w:ind/>
              <w:jc w:val="right"/>
              <w:rPr>
                <w:sz w:val="18"/>
              </w:rPr>
            </w:pPr>
            <w:r>
              <w:rPr>
                <w:sz w:val="18"/>
              </w:rPr>
              <w:t>3 973</w:t>
            </w:r>
          </w:p>
        </w:tc>
        <w:tc>
          <w:tcPr>
            <w:tcW w:type="dxa" w:w="1360"/>
            <w:tcBorders>
              <w:top w:color="000000" w:sz="4" w:val="single"/>
              <w:left w:color="000000" w:sz="4" w:val="single"/>
              <w:bottom w:color="000000" w:sz="4" w:val="single"/>
              <w:right w:color="000000" w:sz="4" w:val="single"/>
            </w:tcBorders>
            <w:shd w:fill="auto" w:val="clear"/>
            <w:vAlign w:val="bottom"/>
          </w:tcPr>
          <w:p w14:paraId="2F420000">
            <w:pPr>
              <w:widowControl w:val="1"/>
              <w:ind/>
              <w:jc w:val="right"/>
              <w:rPr>
                <w:sz w:val="18"/>
              </w:rPr>
            </w:pPr>
            <w:r>
              <w:rPr>
                <w:sz w:val="18"/>
              </w:rPr>
              <w:t>38 668</w:t>
            </w:r>
          </w:p>
        </w:tc>
        <w:tc>
          <w:tcPr>
            <w:tcW w:type="dxa" w:w="1360"/>
            <w:tcBorders>
              <w:top w:color="000000" w:sz="4" w:val="single"/>
              <w:left w:color="000000" w:sz="4" w:val="single"/>
              <w:bottom w:color="000000" w:sz="4" w:val="single"/>
              <w:right w:color="000000" w:sz="4" w:val="single"/>
            </w:tcBorders>
            <w:shd w:fill="auto" w:val="clear"/>
            <w:vAlign w:val="bottom"/>
          </w:tcPr>
          <w:p w14:paraId="30420000">
            <w:pPr>
              <w:widowControl w:val="1"/>
              <w:ind/>
              <w:jc w:val="right"/>
              <w:rPr>
                <w:sz w:val="18"/>
              </w:rPr>
            </w:pPr>
            <w:r>
              <w:rPr>
                <w:sz w:val="18"/>
              </w:rPr>
              <w:t>39 032</w:t>
            </w:r>
          </w:p>
        </w:tc>
        <w:tc>
          <w:tcPr>
            <w:tcW w:type="dxa" w:w="1560"/>
            <w:tcBorders>
              <w:top w:color="000000" w:sz="4" w:val="single"/>
              <w:left w:color="000000" w:sz="4" w:val="single"/>
              <w:bottom w:color="000000" w:sz="4" w:val="single"/>
              <w:right w:color="000000" w:sz="4" w:val="single"/>
            </w:tcBorders>
            <w:shd w:fill="auto" w:val="clear"/>
            <w:vAlign w:val="bottom"/>
          </w:tcPr>
          <w:p w14:paraId="31420000">
            <w:pPr>
              <w:widowControl w:val="1"/>
              <w:ind/>
              <w:jc w:val="right"/>
              <w:rPr>
                <w:sz w:val="18"/>
              </w:rPr>
            </w:pPr>
            <w:r>
              <w:rPr>
                <w:sz w:val="18"/>
              </w:rPr>
              <w:t>3 608</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32420000">
            <w:pPr>
              <w:rPr>
                <w:sz w:val="18"/>
              </w:rPr>
            </w:pPr>
            <w:r>
              <w:rPr>
                <w:sz w:val="18"/>
              </w:rPr>
              <w:t>* перед бюджетом</w:t>
            </w:r>
          </w:p>
        </w:tc>
        <w:tc>
          <w:tcPr>
            <w:tcW w:type="dxa" w:w="1520"/>
            <w:tcBorders>
              <w:top w:color="000000" w:sz="4" w:val="single"/>
              <w:left w:color="000000" w:sz="4" w:val="single"/>
              <w:bottom w:color="000000" w:sz="4" w:val="single"/>
              <w:right w:color="000000" w:sz="4" w:val="single"/>
            </w:tcBorders>
            <w:shd w:fill="auto" w:val="clear"/>
            <w:vAlign w:val="bottom"/>
          </w:tcPr>
          <w:p w14:paraId="33420000">
            <w:pPr>
              <w:widowControl w:val="1"/>
              <w:ind/>
              <w:jc w:val="right"/>
              <w:rPr>
                <w:sz w:val="18"/>
              </w:rPr>
            </w:pPr>
            <w:r>
              <w:rPr>
                <w:sz w:val="18"/>
              </w:rPr>
              <w:t>1 828</w:t>
            </w:r>
          </w:p>
        </w:tc>
        <w:tc>
          <w:tcPr>
            <w:tcW w:type="dxa" w:w="1360"/>
            <w:tcBorders>
              <w:top w:color="000000" w:sz="4" w:val="single"/>
              <w:left w:color="000000" w:sz="4" w:val="single"/>
              <w:bottom w:color="000000" w:sz="4" w:val="single"/>
              <w:right w:color="000000" w:sz="4" w:val="single"/>
            </w:tcBorders>
            <w:shd w:fill="auto" w:val="clear"/>
            <w:vAlign w:val="bottom"/>
          </w:tcPr>
          <w:p w14:paraId="34420000">
            <w:pPr>
              <w:widowControl w:val="1"/>
              <w:ind/>
              <w:jc w:val="right"/>
              <w:rPr>
                <w:sz w:val="18"/>
              </w:rPr>
            </w:pPr>
            <w:r>
              <w:rPr>
                <w:sz w:val="18"/>
              </w:rPr>
              <w:t>21 007</w:t>
            </w:r>
          </w:p>
        </w:tc>
        <w:tc>
          <w:tcPr>
            <w:tcW w:type="dxa" w:w="1360"/>
            <w:tcBorders>
              <w:top w:color="000000" w:sz="4" w:val="single"/>
              <w:left w:color="000000" w:sz="4" w:val="single"/>
              <w:bottom w:color="000000" w:sz="4" w:val="single"/>
              <w:right w:color="000000" w:sz="4" w:val="single"/>
            </w:tcBorders>
            <w:shd w:fill="auto" w:val="clear"/>
            <w:vAlign w:val="bottom"/>
          </w:tcPr>
          <w:p w14:paraId="35420000">
            <w:pPr>
              <w:widowControl w:val="1"/>
              <w:ind/>
              <w:jc w:val="right"/>
              <w:rPr>
                <w:sz w:val="18"/>
              </w:rPr>
            </w:pPr>
            <w:r>
              <w:rPr>
                <w:sz w:val="18"/>
              </w:rPr>
              <w:t>20 150</w:t>
            </w:r>
          </w:p>
        </w:tc>
        <w:tc>
          <w:tcPr>
            <w:tcW w:type="dxa" w:w="1560"/>
            <w:tcBorders>
              <w:top w:color="000000" w:sz="4" w:val="single"/>
              <w:left w:color="000000" w:sz="4" w:val="single"/>
              <w:bottom w:color="000000" w:sz="4" w:val="single"/>
              <w:right w:color="000000" w:sz="4" w:val="single"/>
            </w:tcBorders>
            <w:shd w:fill="auto" w:val="clear"/>
            <w:vAlign w:val="bottom"/>
          </w:tcPr>
          <w:p w14:paraId="36420000">
            <w:pPr>
              <w:widowControl w:val="1"/>
              <w:ind/>
              <w:jc w:val="right"/>
              <w:rPr>
                <w:sz w:val="18"/>
              </w:rPr>
            </w:pPr>
            <w:r>
              <w:rPr>
                <w:sz w:val="18"/>
              </w:rPr>
              <w:t>2 685</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37420000">
            <w:pPr>
              <w:rPr>
                <w:sz w:val="18"/>
              </w:rPr>
            </w:pPr>
            <w:r>
              <w:rPr>
                <w:sz w:val="18"/>
              </w:rPr>
              <w:t xml:space="preserve">* перед прочими кредиторами, в т. ч. </w:t>
            </w:r>
          </w:p>
        </w:tc>
        <w:tc>
          <w:tcPr>
            <w:tcW w:type="dxa" w:w="1520"/>
            <w:tcBorders>
              <w:top w:color="000000" w:sz="4" w:val="single"/>
              <w:left w:color="000000" w:sz="4" w:val="single"/>
              <w:bottom w:color="000000" w:sz="4" w:val="single"/>
              <w:right w:color="000000" w:sz="4" w:val="single"/>
            </w:tcBorders>
            <w:shd w:fill="auto" w:val="clear"/>
            <w:vAlign w:val="bottom"/>
          </w:tcPr>
          <w:p w14:paraId="38420000">
            <w:pPr>
              <w:widowControl w:val="1"/>
              <w:ind/>
              <w:jc w:val="right"/>
              <w:rPr>
                <w:sz w:val="18"/>
              </w:rPr>
            </w:pPr>
            <w:r>
              <w:rPr>
                <w:sz w:val="18"/>
              </w:rPr>
              <w:t>6 767</w:t>
            </w:r>
          </w:p>
        </w:tc>
        <w:tc>
          <w:tcPr>
            <w:tcW w:type="dxa" w:w="1360"/>
            <w:tcBorders>
              <w:top w:color="000000" w:sz="4" w:val="single"/>
              <w:left w:color="000000" w:sz="4" w:val="single"/>
              <w:bottom w:color="000000" w:sz="4" w:val="single"/>
              <w:right w:color="000000" w:sz="4" w:val="single"/>
            </w:tcBorders>
            <w:shd w:fill="auto" w:val="clear"/>
            <w:vAlign w:val="bottom"/>
          </w:tcPr>
          <w:p w14:paraId="39420000">
            <w:pPr>
              <w:widowControl w:val="1"/>
              <w:ind/>
              <w:jc w:val="right"/>
              <w:rPr>
                <w:sz w:val="18"/>
              </w:rPr>
            </w:pPr>
            <w:r>
              <w:rPr>
                <w:sz w:val="18"/>
              </w:rPr>
              <w:t>8 904</w:t>
            </w:r>
          </w:p>
        </w:tc>
        <w:tc>
          <w:tcPr>
            <w:tcW w:type="dxa" w:w="1360"/>
            <w:tcBorders>
              <w:top w:color="000000" w:sz="4" w:val="single"/>
              <w:left w:color="000000" w:sz="4" w:val="single"/>
              <w:bottom w:color="000000" w:sz="4" w:val="single"/>
              <w:right w:color="000000" w:sz="4" w:val="single"/>
            </w:tcBorders>
            <w:shd w:fill="auto" w:val="clear"/>
            <w:vAlign w:val="bottom"/>
          </w:tcPr>
          <w:p w14:paraId="3A420000">
            <w:pPr>
              <w:widowControl w:val="1"/>
              <w:ind/>
              <w:jc w:val="right"/>
              <w:rPr>
                <w:sz w:val="18"/>
              </w:rPr>
            </w:pPr>
            <w:r>
              <w:rPr>
                <w:sz w:val="18"/>
              </w:rPr>
              <w:t>14 498</w:t>
            </w:r>
          </w:p>
        </w:tc>
        <w:tc>
          <w:tcPr>
            <w:tcW w:type="dxa" w:w="1560"/>
            <w:tcBorders>
              <w:top w:color="000000" w:sz="4" w:val="single"/>
              <w:left w:color="000000" w:sz="4" w:val="single"/>
              <w:bottom w:color="000000" w:sz="4" w:val="single"/>
              <w:right w:color="000000" w:sz="4" w:val="single"/>
            </w:tcBorders>
            <w:shd w:fill="auto" w:val="clear"/>
            <w:vAlign w:val="bottom"/>
          </w:tcPr>
          <w:p w14:paraId="3B420000">
            <w:pPr>
              <w:widowControl w:val="1"/>
              <w:ind/>
              <w:jc w:val="right"/>
              <w:rPr>
                <w:sz w:val="18"/>
              </w:rPr>
            </w:pPr>
            <w:r>
              <w:rPr>
                <w:sz w:val="18"/>
              </w:rPr>
              <w:t>1 173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3C420000">
            <w:pPr>
              <w:rPr>
                <w:i w:val="1"/>
                <w:sz w:val="18"/>
              </w:rPr>
            </w:pPr>
            <w:r>
              <w:rPr>
                <w:i w:val="1"/>
                <w:sz w:val="18"/>
              </w:rPr>
              <w:t xml:space="preserve">           -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3D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3E420000">
            <w:pPr>
              <w:widowControl w:val="1"/>
              <w:ind/>
              <w:jc w:val="right"/>
              <w:rPr>
                <w:sz w:val="18"/>
              </w:rPr>
            </w:pPr>
            <w:r>
              <w:rPr>
                <w:sz w:val="18"/>
              </w:rPr>
              <w:t>168</w:t>
            </w:r>
          </w:p>
        </w:tc>
        <w:tc>
          <w:tcPr>
            <w:tcW w:type="dxa" w:w="1360"/>
            <w:tcBorders>
              <w:top w:color="000000" w:sz="4" w:val="single"/>
              <w:left w:color="000000" w:sz="4" w:val="single"/>
              <w:bottom w:color="000000" w:sz="4" w:val="single"/>
              <w:right w:color="000000" w:sz="4" w:val="single"/>
            </w:tcBorders>
            <w:shd w:fill="auto" w:val="clear"/>
            <w:vAlign w:val="bottom"/>
          </w:tcPr>
          <w:p w14:paraId="3F420000">
            <w:pPr>
              <w:widowControl w:val="1"/>
              <w:ind/>
              <w:jc w:val="right"/>
              <w:rPr>
                <w:sz w:val="18"/>
              </w:rPr>
            </w:pPr>
            <w:r>
              <w:rPr>
                <w:sz w:val="18"/>
              </w:rPr>
              <w:t>168</w:t>
            </w:r>
          </w:p>
        </w:tc>
        <w:tc>
          <w:tcPr>
            <w:tcW w:type="dxa" w:w="1560"/>
            <w:tcBorders>
              <w:top w:color="000000" w:sz="4" w:val="single"/>
              <w:left w:color="000000" w:sz="4" w:val="single"/>
              <w:bottom w:color="000000" w:sz="4" w:val="single"/>
              <w:right w:color="000000" w:sz="4" w:val="single"/>
            </w:tcBorders>
            <w:shd w:fill="auto" w:val="clear"/>
            <w:vAlign w:val="bottom"/>
          </w:tcPr>
          <w:p w14:paraId="40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41420000">
            <w:pPr>
              <w:rPr>
                <w:i w:val="1"/>
                <w:sz w:val="18"/>
              </w:rPr>
            </w:pPr>
            <w:r>
              <w:rPr>
                <w:i w:val="1"/>
                <w:sz w:val="18"/>
              </w:rPr>
              <w:t xml:space="preserve">           - ДЗО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42420000">
            <w:pPr>
              <w:widowControl w:val="1"/>
              <w:ind/>
              <w:jc w:val="right"/>
              <w:rPr>
                <w:sz w:val="18"/>
              </w:rPr>
            </w:pPr>
            <w:r>
              <w:rPr>
                <w:sz w:val="18"/>
              </w:rPr>
              <w:t>24</w:t>
            </w:r>
          </w:p>
        </w:tc>
        <w:tc>
          <w:tcPr>
            <w:tcW w:type="dxa" w:w="1360"/>
            <w:tcBorders>
              <w:top w:color="000000" w:sz="4" w:val="single"/>
              <w:left w:color="000000" w:sz="4" w:val="single"/>
              <w:bottom w:color="000000" w:sz="4" w:val="single"/>
              <w:right w:color="000000" w:sz="4" w:val="single"/>
            </w:tcBorders>
            <w:shd w:fill="auto" w:val="clear"/>
            <w:vAlign w:val="bottom"/>
          </w:tcPr>
          <w:p w14:paraId="43420000">
            <w:pPr>
              <w:widowControl w:val="1"/>
              <w:ind/>
              <w:jc w:val="right"/>
              <w:rPr>
                <w:sz w:val="18"/>
              </w:rPr>
            </w:pPr>
            <w:r>
              <w:rPr>
                <w:sz w:val="18"/>
              </w:rPr>
              <w:t>483</w:t>
            </w:r>
          </w:p>
        </w:tc>
        <w:tc>
          <w:tcPr>
            <w:tcW w:type="dxa" w:w="1360"/>
            <w:tcBorders>
              <w:top w:color="000000" w:sz="4" w:val="single"/>
              <w:left w:color="000000" w:sz="4" w:val="single"/>
              <w:bottom w:color="000000" w:sz="4" w:val="single"/>
              <w:right w:color="000000" w:sz="4" w:val="single"/>
            </w:tcBorders>
            <w:shd w:fill="auto" w:val="clear"/>
            <w:vAlign w:val="bottom"/>
          </w:tcPr>
          <w:p w14:paraId="44420000">
            <w:pPr>
              <w:widowControl w:val="1"/>
              <w:ind/>
              <w:jc w:val="right"/>
              <w:rPr>
                <w:sz w:val="18"/>
              </w:rPr>
            </w:pPr>
            <w:r>
              <w:rPr>
                <w:sz w:val="18"/>
              </w:rPr>
              <w:t>494</w:t>
            </w:r>
          </w:p>
        </w:tc>
        <w:tc>
          <w:tcPr>
            <w:tcW w:type="dxa" w:w="1560"/>
            <w:tcBorders>
              <w:top w:color="000000" w:sz="4" w:val="single"/>
              <w:left w:color="000000" w:sz="4" w:val="single"/>
              <w:bottom w:color="000000" w:sz="4" w:val="single"/>
              <w:right w:color="000000" w:sz="4" w:val="single"/>
            </w:tcBorders>
            <w:shd w:fill="auto" w:val="clear"/>
            <w:vAlign w:val="bottom"/>
          </w:tcPr>
          <w:p w14:paraId="45420000">
            <w:pPr>
              <w:widowControl w:val="1"/>
              <w:ind/>
              <w:jc w:val="right"/>
              <w:rPr>
                <w:sz w:val="18"/>
              </w:rPr>
            </w:pPr>
            <w:r>
              <w:rPr>
                <w:sz w:val="18"/>
              </w:rPr>
              <w:t>13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46420000">
            <w:pPr>
              <w:rPr>
                <w:i w:val="1"/>
                <w:sz w:val="18"/>
              </w:rPr>
            </w:pPr>
            <w:r>
              <w:rPr>
                <w:i w:val="1"/>
                <w:sz w:val="18"/>
              </w:rPr>
              <w:t xml:space="preserve">           - Субъектами РФ</w:t>
            </w:r>
          </w:p>
        </w:tc>
        <w:tc>
          <w:tcPr>
            <w:tcW w:type="dxa" w:w="1520"/>
            <w:tcBorders>
              <w:top w:color="000000" w:sz="4" w:val="single"/>
              <w:left w:color="000000" w:sz="4" w:val="single"/>
              <w:bottom w:color="000000" w:sz="4" w:val="single"/>
              <w:right w:color="000000" w:sz="4" w:val="single"/>
            </w:tcBorders>
            <w:shd w:fill="auto" w:val="clear"/>
            <w:vAlign w:val="bottom"/>
          </w:tcPr>
          <w:p w14:paraId="47420000">
            <w:pPr>
              <w:widowControl w:val="1"/>
              <w:ind/>
              <w:jc w:val="right"/>
              <w:rPr>
                <w:sz w:val="18"/>
              </w:rPr>
            </w:pPr>
            <w:r>
              <w:rPr>
                <w:sz w:val="18"/>
              </w:rPr>
              <w:t>6 173</w:t>
            </w:r>
          </w:p>
        </w:tc>
        <w:tc>
          <w:tcPr>
            <w:tcW w:type="dxa" w:w="1360"/>
            <w:tcBorders>
              <w:top w:color="000000" w:sz="4" w:val="single"/>
              <w:left w:color="000000" w:sz="4" w:val="single"/>
              <w:bottom w:color="000000" w:sz="4" w:val="single"/>
              <w:right w:color="000000" w:sz="4" w:val="single"/>
            </w:tcBorders>
            <w:shd w:fill="auto" w:val="clear"/>
            <w:vAlign w:val="bottom"/>
          </w:tcPr>
          <w:p w14:paraId="48420000">
            <w:pPr>
              <w:widowControl w:val="1"/>
              <w:ind/>
              <w:jc w:val="right"/>
              <w:rPr>
                <w:sz w:val="18"/>
              </w:rPr>
            </w:pPr>
            <w:r>
              <w:rPr>
                <w:sz w:val="18"/>
              </w:rPr>
              <w:t>701</w:t>
            </w:r>
          </w:p>
        </w:tc>
        <w:tc>
          <w:tcPr>
            <w:tcW w:type="dxa" w:w="1360"/>
            <w:tcBorders>
              <w:top w:color="000000" w:sz="4" w:val="single"/>
              <w:left w:color="000000" w:sz="4" w:val="single"/>
              <w:bottom w:color="000000" w:sz="4" w:val="single"/>
              <w:right w:color="000000" w:sz="4" w:val="single"/>
            </w:tcBorders>
            <w:shd w:fill="auto" w:val="clear"/>
            <w:vAlign w:val="bottom"/>
          </w:tcPr>
          <w:p w14:paraId="49420000">
            <w:pPr>
              <w:widowControl w:val="1"/>
              <w:ind/>
              <w:jc w:val="right"/>
              <w:rPr>
                <w:sz w:val="18"/>
              </w:rPr>
            </w:pPr>
            <w:r>
              <w:rPr>
                <w:sz w:val="18"/>
              </w:rPr>
              <w:t>6 173</w:t>
            </w:r>
          </w:p>
        </w:tc>
        <w:tc>
          <w:tcPr>
            <w:tcW w:type="dxa" w:w="1560"/>
            <w:tcBorders>
              <w:top w:color="000000" w:sz="4" w:val="single"/>
              <w:left w:color="000000" w:sz="4" w:val="single"/>
              <w:bottom w:color="000000" w:sz="4" w:val="single"/>
              <w:right w:color="000000" w:sz="4" w:val="single"/>
            </w:tcBorders>
            <w:shd w:fill="auto" w:val="clear"/>
            <w:vAlign w:val="bottom"/>
          </w:tcPr>
          <w:p w14:paraId="4A420000">
            <w:pPr>
              <w:widowControl w:val="1"/>
              <w:ind/>
              <w:jc w:val="right"/>
              <w:rPr>
                <w:sz w:val="18"/>
              </w:rPr>
            </w:pPr>
            <w:r>
              <w:rPr>
                <w:sz w:val="18"/>
              </w:rPr>
              <w:t>701</w:t>
            </w:r>
          </w:p>
        </w:tc>
      </w:tr>
      <w:tr>
        <w:trPr>
          <w:trHeight w:hRule="atLeast" w:val="255"/>
        </w:trPr>
        <w:tc>
          <w:tcPr>
            <w:tcW w:type="dxa" w:w="4414"/>
            <w:tcBorders>
              <w:top w:color="000000" w:sz="4" w:val="single"/>
              <w:left w:color="000000" w:sz="4" w:val="single"/>
              <w:bottom w:color="000000" w:sz="4" w:val="single"/>
              <w:right w:color="000000" w:sz="4" w:val="single"/>
            </w:tcBorders>
            <w:shd w:fill="auto" w:val="clear"/>
            <w:vAlign w:val="bottom"/>
          </w:tcPr>
          <w:p w14:paraId="4B420000">
            <w:pPr>
              <w:rPr>
                <w:i w:val="1"/>
                <w:sz w:val="18"/>
              </w:rPr>
            </w:pPr>
            <w:r>
              <w:rPr>
                <w:i w:val="1"/>
                <w:sz w:val="18"/>
              </w:rPr>
              <w:t xml:space="preserve">           - прочими контрагентами</w:t>
            </w:r>
          </w:p>
        </w:tc>
        <w:tc>
          <w:tcPr>
            <w:tcW w:type="dxa" w:w="1520"/>
            <w:tcBorders>
              <w:top w:color="000000" w:sz="4" w:val="single"/>
              <w:left w:color="000000" w:sz="4" w:val="single"/>
              <w:bottom w:color="000000" w:sz="4" w:val="single"/>
              <w:right w:color="000000" w:sz="4" w:val="single"/>
            </w:tcBorders>
            <w:shd w:fill="auto" w:val="clear"/>
            <w:vAlign w:val="bottom"/>
          </w:tcPr>
          <w:p w14:paraId="4C420000">
            <w:pPr>
              <w:widowControl w:val="1"/>
              <w:ind/>
              <w:jc w:val="right"/>
              <w:rPr>
                <w:sz w:val="18"/>
              </w:rPr>
            </w:pPr>
            <w:r>
              <w:rPr>
                <w:sz w:val="18"/>
              </w:rPr>
              <w:t>570</w:t>
            </w:r>
          </w:p>
        </w:tc>
        <w:tc>
          <w:tcPr>
            <w:tcW w:type="dxa" w:w="1360"/>
            <w:tcBorders>
              <w:top w:color="000000" w:sz="4" w:val="single"/>
              <w:left w:color="000000" w:sz="4" w:val="single"/>
              <w:bottom w:color="000000" w:sz="4" w:val="single"/>
              <w:right w:color="000000" w:sz="4" w:val="single"/>
            </w:tcBorders>
            <w:shd w:fill="auto" w:val="clear"/>
            <w:vAlign w:val="bottom"/>
          </w:tcPr>
          <w:p w14:paraId="4D420000">
            <w:pPr>
              <w:widowControl w:val="1"/>
              <w:ind/>
              <w:jc w:val="right"/>
              <w:rPr>
                <w:sz w:val="18"/>
              </w:rPr>
            </w:pPr>
            <w:r>
              <w:rPr>
                <w:sz w:val="18"/>
              </w:rPr>
              <w:t>7 551</w:t>
            </w:r>
          </w:p>
        </w:tc>
        <w:tc>
          <w:tcPr>
            <w:tcW w:type="dxa" w:w="1360"/>
            <w:tcBorders>
              <w:top w:color="000000" w:sz="4" w:val="single"/>
              <w:left w:color="000000" w:sz="4" w:val="single"/>
              <w:bottom w:color="000000" w:sz="4" w:val="single"/>
              <w:right w:color="000000" w:sz="4" w:val="single"/>
            </w:tcBorders>
            <w:shd w:fill="auto" w:val="clear"/>
            <w:vAlign w:val="bottom"/>
          </w:tcPr>
          <w:p w14:paraId="4E420000">
            <w:pPr>
              <w:widowControl w:val="1"/>
              <w:ind/>
              <w:jc w:val="right"/>
              <w:rPr>
                <w:sz w:val="18"/>
              </w:rPr>
            </w:pPr>
            <w:r>
              <w:rPr>
                <w:sz w:val="18"/>
              </w:rPr>
              <w:t>7 662</w:t>
            </w:r>
          </w:p>
        </w:tc>
        <w:tc>
          <w:tcPr>
            <w:tcW w:type="dxa" w:w="1560"/>
            <w:tcBorders>
              <w:top w:color="000000" w:sz="4" w:val="single"/>
              <w:left w:color="000000" w:sz="4" w:val="single"/>
              <w:bottom w:color="000000" w:sz="4" w:val="single"/>
              <w:right w:color="000000" w:sz="4" w:val="single"/>
            </w:tcBorders>
            <w:shd w:fill="auto" w:val="clear"/>
            <w:vAlign w:val="bottom"/>
          </w:tcPr>
          <w:p w14:paraId="4F420000">
            <w:pPr>
              <w:widowControl w:val="1"/>
              <w:ind/>
              <w:jc w:val="right"/>
              <w:rPr>
                <w:sz w:val="18"/>
              </w:rPr>
            </w:pPr>
            <w:r>
              <w:rPr>
                <w:sz w:val="18"/>
              </w:rPr>
              <w:t>460</w:t>
            </w:r>
          </w:p>
        </w:tc>
      </w:tr>
      <w:tr>
        <w:trPr>
          <w:trHeight w:hRule="atLeast" w:val="480"/>
        </w:trPr>
        <w:tc>
          <w:tcPr>
            <w:tcW w:type="dxa" w:w="4414"/>
            <w:tcBorders>
              <w:top w:color="000000" w:sz="4" w:val="single"/>
              <w:left w:color="000000" w:sz="4" w:val="single"/>
              <w:bottom w:color="000000" w:sz="4" w:val="single"/>
              <w:right w:color="000000" w:sz="4" w:val="single"/>
            </w:tcBorders>
            <w:shd w:fill="auto" w:val="clear"/>
            <w:vAlign w:val="bottom"/>
          </w:tcPr>
          <w:p w14:paraId="50420000">
            <w:pPr>
              <w:rPr>
                <w:b w:val="1"/>
                <w:sz w:val="18"/>
              </w:rPr>
            </w:pPr>
            <w:r>
              <w:rPr>
                <w:b w:val="1"/>
                <w:sz w:val="18"/>
              </w:rPr>
              <w:t>Задолженность поставщиков и подрядчиков (счет 60.01) - всего, в т. ч.</w:t>
            </w:r>
          </w:p>
        </w:tc>
        <w:tc>
          <w:tcPr>
            <w:tcW w:type="dxa" w:w="1520"/>
            <w:tcBorders>
              <w:top w:color="000000" w:sz="4" w:val="single"/>
              <w:left w:color="000000" w:sz="4" w:val="single"/>
              <w:bottom w:color="000000" w:sz="4" w:val="single"/>
              <w:right w:color="000000" w:sz="4" w:val="single"/>
            </w:tcBorders>
            <w:shd w:fill="auto" w:val="clear"/>
            <w:vAlign w:val="bottom"/>
          </w:tcPr>
          <w:p w14:paraId="51420000">
            <w:pPr>
              <w:widowControl w:val="1"/>
              <w:ind/>
              <w:jc w:val="right"/>
              <w:rPr>
                <w:b w:val="1"/>
                <w:sz w:val="18"/>
              </w:rPr>
            </w:pPr>
            <w:r>
              <w:rPr>
                <w:b w:val="1"/>
                <w:sz w:val="18"/>
              </w:rPr>
              <w:t>7 488</w:t>
            </w:r>
          </w:p>
        </w:tc>
        <w:tc>
          <w:tcPr>
            <w:tcW w:type="dxa" w:w="1360"/>
            <w:tcBorders>
              <w:top w:color="000000" w:sz="4" w:val="single"/>
              <w:left w:color="000000" w:sz="4" w:val="single"/>
              <w:bottom w:color="000000" w:sz="4" w:val="single"/>
              <w:right w:color="000000" w:sz="4" w:val="single"/>
            </w:tcBorders>
            <w:shd w:fill="auto" w:val="clear"/>
            <w:vAlign w:val="bottom"/>
          </w:tcPr>
          <w:p w14:paraId="52420000">
            <w:pPr>
              <w:widowControl w:val="1"/>
              <w:ind/>
              <w:jc w:val="right"/>
              <w:rPr>
                <w:b w:val="1"/>
                <w:sz w:val="18"/>
              </w:rPr>
            </w:pPr>
            <w:r>
              <w:rPr>
                <w:b w:val="1"/>
                <w:sz w:val="18"/>
              </w:rPr>
              <w:t>500 361</w:t>
            </w:r>
          </w:p>
        </w:tc>
        <w:tc>
          <w:tcPr>
            <w:tcW w:type="dxa" w:w="1360"/>
            <w:tcBorders>
              <w:top w:color="000000" w:sz="4" w:val="single"/>
              <w:left w:color="000000" w:sz="4" w:val="single"/>
              <w:bottom w:color="000000" w:sz="4" w:val="single"/>
              <w:right w:color="000000" w:sz="4" w:val="single"/>
            </w:tcBorders>
            <w:shd w:fill="auto" w:val="clear"/>
            <w:vAlign w:val="bottom"/>
          </w:tcPr>
          <w:p w14:paraId="53420000">
            <w:pPr>
              <w:widowControl w:val="1"/>
              <w:ind/>
              <w:jc w:val="right"/>
              <w:rPr>
                <w:b w:val="1"/>
                <w:sz w:val="18"/>
              </w:rPr>
            </w:pPr>
            <w:r>
              <w:rPr>
                <w:b w:val="1"/>
                <w:sz w:val="18"/>
              </w:rPr>
              <w:t>499 437</w:t>
            </w:r>
          </w:p>
        </w:tc>
        <w:tc>
          <w:tcPr>
            <w:tcW w:type="dxa" w:w="1560"/>
            <w:tcBorders>
              <w:top w:color="000000" w:sz="4" w:val="single"/>
              <w:left w:color="000000" w:sz="4" w:val="single"/>
              <w:bottom w:color="000000" w:sz="4" w:val="single"/>
              <w:right w:color="000000" w:sz="4" w:val="single"/>
            </w:tcBorders>
            <w:shd w:fill="auto" w:val="clear"/>
            <w:vAlign w:val="bottom"/>
          </w:tcPr>
          <w:p w14:paraId="54420000">
            <w:pPr>
              <w:widowControl w:val="1"/>
              <w:ind/>
              <w:jc w:val="right"/>
              <w:rPr>
                <w:b w:val="1"/>
                <w:sz w:val="18"/>
              </w:rPr>
            </w:pPr>
            <w:r>
              <w:rPr>
                <w:b w:val="1"/>
                <w:sz w:val="18"/>
              </w:rPr>
              <w:t>8 412</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55420000">
            <w:pPr>
              <w:rPr>
                <w:b w:val="1"/>
                <w:sz w:val="18"/>
              </w:rPr>
            </w:pPr>
            <w:r>
              <w:rPr>
                <w:b w:val="1"/>
                <w:sz w:val="18"/>
              </w:rPr>
              <w:t xml:space="preserve">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56420000">
            <w:pPr>
              <w:widowControl w:val="1"/>
              <w:ind/>
              <w:jc w:val="right"/>
              <w:rPr>
                <w:b w:val="1"/>
                <w:sz w:val="18"/>
              </w:rPr>
            </w:pPr>
            <w:r>
              <w:rPr>
                <w:b w:val="1"/>
                <w:sz w:val="18"/>
              </w:rPr>
              <w:t>1 878</w:t>
            </w:r>
          </w:p>
        </w:tc>
        <w:tc>
          <w:tcPr>
            <w:tcW w:type="dxa" w:w="1360"/>
            <w:tcBorders>
              <w:top w:color="000000" w:sz="4" w:val="single"/>
              <w:left w:color="000000" w:sz="4" w:val="single"/>
              <w:bottom w:color="000000" w:sz="4" w:val="single"/>
              <w:right w:color="000000" w:sz="4" w:val="single"/>
            </w:tcBorders>
            <w:shd w:fill="auto" w:val="clear"/>
            <w:vAlign w:val="bottom"/>
          </w:tcPr>
          <w:p w14:paraId="57420000">
            <w:pPr>
              <w:widowControl w:val="1"/>
              <w:ind/>
              <w:jc w:val="right"/>
              <w:rPr>
                <w:b w:val="1"/>
                <w:sz w:val="18"/>
              </w:rPr>
            </w:pPr>
            <w:r>
              <w:rPr>
                <w:b w:val="1"/>
                <w:sz w:val="18"/>
              </w:rPr>
              <w:t>427 103</w:t>
            </w:r>
          </w:p>
        </w:tc>
        <w:tc>
          <w:tcPr>
            <w:tcW w:type="dxa" w:w="1360"/>
            <w:tcBorders>
              <w:top w:color="000000" w:sz="4" w:val="single"/>
              <w:left w:color="000000" w:sz="4" w:val="single"/>
              <w:bottom w:color="000000" w:sz="4" w:val="single"/>
              <w:right w:color="000000" w:sz="4" w:val="single"/>
            </w:tcBorders>
            <w:shd w:fill="auto" w:val="clear"/>
            <w:vAlign w:val="bottom"/>
          </w:tcPr>
          <w:p w14:paraId="58420000">
            <w:pPr>
              <w:widowControl w:val="1"/>
              <w:ind/>
              <w:jc w:val="right"/>
              <w:rPr>
                <w:b w:val="1"/>
                <w:sz w:val="18"/>
              </w:rPr>
            </w:pPr>
            <w:r>
              <w:rPr>
                <w:b w:val="1"/>
                <w:sz w:val="18"/>
              </w:rPr>
              <w:t>427 697</w:t>
            </w:r>
          </w:p>
        </w:tc>
        <w:tc>
          <w:tcPr>
            <w:tcW w:type="dxa" w:w="1560"/>
            <w:tcBorders>
              <w:top w:color="000000" w:sz="4" w:val="single"/>
              <w:left w:color="000000" w:sz="4" w:val="single"/>
              <w:bottom w:color="000000" w:sz="4" w:val="single"/>
              <w:right w:color="000000" w:sz="4" w:val="single"/>
            </w:tcBorders>
            <w:shd w:fill="auto" w:val="clear"/>
            <w:vAlign w:val="bottom"/>
          </w:tcPr>
          <w:p w14:paraId="59420000">
            <w:pPr>
              <w:widowControl w:val="1"/>
              <w:ind/>
              <w:jc w:val="right"/>
              <w:rPr>
                <w:b w:val="1"/>
                <w:sz w:val="18"/>
              </w:rPr>
            </w:pPr>
            <w:r>
              <w:rPr>
                <w:b w:val="1"/>
                <w:sz w:val="18"/>
              </w:rPr>
              <w:t>1 284</w:t>
            </w:r>
          </w:p>
        </w:tc>
      </w:tr>
      <w:tr>
        <w:trPr>
          <w:trHeight w:hRule="atLeast" w:val="480"/>
        </w:trPr>
        <w:tc>
          <w:tcPr>
            <w:tcW w:type="dxa" w:w="4414"/>
            <w:tcBorders>
              <w:top w:color="000000" w:sz="4" w:val="single"/>
              <w:left w:color="000000" w:sz="4" w:val="single"/>
              <w:bottom w:color="000000" w:sz="4" w:val="single"/>
              <w:right w:color="000000" w:sz="4" w:val="single"/>
            </w:tcBorders>
            <w:shd w:fill="auto" w:val="clear"/>
            <w:vAlign w:val="bottom"/>
          </w:tcPr>
          <w:p w14:paraId="5A420000">
            <w:pPr>
              <w:rPr>
                <w:sz w:val="18"/>
              </w:rPr>
            </w:pPr>
            <w:r>
              <w:rPr>
                <w:sz w:val="18"/>
              </w:rPr>
              <w:t>Восточно-Сибирская дирекция МВПС</w:t>
            </w:r>
          </w:p>
        </w:tc>
        <w:tc>
          <w:tcPr>
            <w:tcW w:type="dxa" w:w="1520"/>
            <w:tcBorders>
              <w:top w:color="000000" w:sz="4" w:val="single"/>
              <w:left w:color="000000" w:sz="4" w:val="single"/>
              <w:bottom w:color="000000" w:sz="4" w:val="single"/>
              <w:right w:color="000000" w:sz="4" w:val="single"/>
            </w:tcBorders>
            <w:shd w:fill="auto" w:val="clear"/>
            <w:vAlign w:val="bottom"/>
          </w:tcPr>
          <w:p w14:paraId="5B420000">
            <w:pPr>
              <w:widowControl w:val="1"/>
              <w:ind/>
              <w:jc w:val="right"/>
              <w:rPr>
                <w:sz w:val="18"/>
              </w:rPr>
            </w:pPr>
            <w:r>
              <w:rPr>
                <w:sz w:val="18"/>
              </w:rPr>
              <w:t>60</w:t>
            </w:r>
          </w:p>
        </w:tc>
        <w:tc>
          <w:tcPr>
            <w:tcW w:type="dxa" w:w="1360"/>
            <w:tcBorders>
              <w:top w:color="000000" w:sz="4" w:val="single"/>
              <w:left w:color="000000" w:sz="4" w:val="single"/>
              <w:bottom w:color="000000" w:sz="4" w:val="single"/>
              <w:right w:color="000000" w:sz="4" w:val="single"/>
            </w:tcBorders>
            <w:shd w:fill="auto" w:val="clear"/>
            <w:vAlign w:val="bottom"/>
          </w:tcPr>
          <w:p w14:paraId="5C420000">
            <w:pPr>
              <w:widowControl w:val="1"/>
              <w:ind/>
              <w:jc w:val="right"/>
              <w:rPr>
                <w:sz w:val="18"/>
              </w:rPr>
            </w:pPr>
            <w:r>
              <w:rPr>
                <w:sz w:val="18"/>
              </w:rPr>
              <w:t>60</w:t>
            </w:r>
          </w:p>
        </w:tc>
        <w:tc>
          <w:tcPr>
            <w:tcW w:type="dxa" w:w="1360"/>
            <w:tcBorders>
              <w:top w:color="000000" w:sz="4" w:val="single"/>
              <w:left w:color="000000" w:sz="4" w:val="single"/>
              <w:bottom w:color="000000" w:sz="4" w:val="single"/>
              <w:right w:color="000000" w:sz="4" w:val="single"/>
            </w:tcBorders>
            <w:shd w:fill="auto" w:val="clear"/>
            <w:vAlign w:val="bottom"/>
          </w:tcPr>
          <w:p w14:paraId="5D420000">
            <w:pPr>
              <w:widowControl w:val="1"/>
              <w:ind/>
              <w:jc w:val="right"/>
              <w:rPr>
                <w:sz w:val="18"/>
              </w:rPr>
            </w:pPr>
            <w:r>
              <w:rPr>
                <w:sz w:val="18"/>
              </w:rPr>
              <w:t>60</w:t>
            </w:r>
          </w:p>
        </w:tc>
        <w:tc>
          <w:tcPr>
            <w:tcW w:type="dxa" w:w="1560"/>
            <w:tcBorders>
              <w:top w:color="000000" w:sz="4" w:val="single"/>
              <w:left w:color="000000" w:sz="4" w:val="single"/>
              <w:bottom w:color="000000" w:sz="4" w:val="single"/>
              <w:right w:color="000000" w:sz="4" w:val="single"/>
            </w:tcBorders>
            <w:shd w:fill="auto" w:val="clear"/>
            <w:vAlign w:val="bottom"/>
          </w:tcPr>
          <w:p w14:paraId="5E420000">
            <w:pPr>
              <w:widowControl w:val="1"/>
              <w:ind/>
              <w:jc w:val="right"/>
              <w:rPr>
                <w:sz w:val="18"/>
              </w:rPr>
            </w:pPr>
            <w:r>
              <w:rPr>
                <w:sz w:val="18"/>
              </w:rPr>
              <w:t>60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5F420000">
            <w:pPr>
              <w:rPr>
                <w:sz w:val="18"/>
              </w:rPr>
            </w:pPr>
            <w:r>
              <w:rPr>
                <w:sz w:val="18"/>
              </w:rPr>
              <w:t>ДИ   РЖД ОАО Центральная дирекция инфраструктуры</w:t>
            </w:r>
          </w:p>
        </w:tc>
        <w:tc>
          <w:tcPr>
            <w:tcW w:type="dxa" w:w="1520"/>
            <w:tcBorders>
              <w:top w:color="000000" w:sz="4" w:val="single"/>
              <w:left w:color="000000" w:sz="4" w:val="single"/>
              <w:bottom w:color="000000" w:sz="4" w:val="single"/>
              <w:right w:color="000000" w:sz="4" w:val="single"/>
            </w:tcBorders>
            <w:shd w:fill="auto" w:val="clear"/>
            <w:vAlign w:val="bottom"/>
          </w:tcPr>
          <w:p w14:paraId="60420000">
            <w:pPr>
              <w:widowControl w:val="1"/>
              <w:ind/>
              <w:jc w:val="right"/>
              <w:rPr>
                <w:sz w:val="18"/>
              </w:rPr>
            </w:pPr>
            <w:r>
              <w:rPr>
                <w:sz w:val="18"/>
              </w:rPr>
              <w:t>770</w:t>
            </w:r>
          </w:p>
        </w:tc>
        <w:tc>
          <w:tcPr>
            <w:tcW w:type="dxa" w:w="1360"/>
            <w:tcBorders>
              <w:top w:color="000000" w:sz="4" w:val="single"/>
              <w:left w:color="000000" w:sz="4" w:val="single"/>
              <w:bottom w:color="000000" w:sz="4" w:val="single"/>
              <w:right w:color="000000" w:sz="4" w:val="single"/>
            </w:tcBorders>
            <w:shd w:fill="auto" w:val="clear"/>
            <w:vAlign w:val="bottom"/>
          </w:tcPr>
          <w:p w14:paraId="61420000">
            <w:pPr>
              <w:widowControl w:val="1"/>
              <w:ind/>
              <w:jc w:val="right"/>
              <w:rPr>
                <w:sz w:val="18"/>
              </w:rPr>
            </w:pPr>
            <w:r>
              <w:rPr>
                <w:sz w:val="18"/>
              </w:rPr>
              <w:t>771</w:t>
            </w:r>
          </w:p>
        </w:tc>
        <w:tc>
          <w:tcPr>
            <w:tcW w:type="dxa" w:w="1360"/>
            <w:tcBorders>
              <w:top w:color="000000" w:sz="4" w:val="single"/>
              <w:left w:color="000000" w:sz="4" w:val="single"/>
              <w:bottom w:color="000000" w:sz="4" w:val="single"/>
              <w:right w:color="000000" w:sz="4" w:val="single"/>
            </w:tcBorders>
            <w:shd w:fill="auto" w:val="clear"/>
            <w:vAlign w:val="bottom"/>
          </w:tcPr>
          <w:p w14:paraId="62420000">
            <w:pPr>
              <w:widowControl w:val="1"/>
              <w:ind/>
              <w:jc w:val="right"/>
              <w:rPr>
                <w:sz w:val="18"/>
              </w:rPr>
            </w:pPr>
            <w:r>
              <w:rPr>
                <w:sz w:val="18"/>
              </w:rPr>
              <w:t>771</w:t>
            </w:r>
          </w:p>
        </w:tc>
        <w:tc>
          <w:tcPr>
            <w:tcW w:type="dxa" w:w="1560"/>
            <w:tcBorders>
              <w:top w:color="000000" w:sz="4" w:val="single"/>
              <w:left w:color="000000" w:sz="4" w:val="single"/>
              <w:bottom w:color="000000" w:sz="4" w:val="single"/>
              <w:right w:color="000000" w:sz="4" w:val="single"/>
            </w:tcBorders>
            <w:shd w:fill="auto" w:val="clear"/>
            <w:vAlign w:val="bottom"/>
          </w:tcPr>
          <w:p w14:paraId="63420000">
            <w:pPr>
              <w:widowControl w:val="1"/>
              <w:ind/>
              <w:jc w:val="right"/>
              <w:rPr>
                <w:sz w:val="18"/>
              </w:rPr>
            </w:pPr>
            <w:r>
              <w:rPr>
                <w:sz w:val="18"/>
              </w:rPr>
              <w:t>770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64420000">
            <w:pPr>
              <w:rPr>
                <w:sz w:val="18"/>
              </w:rPr>
            </w:pPr>
            <w:r>
              <w:rPr>
                <w:sz w:val="18"/>
              </w:rPr>
              <w:t>Дир.МВПС   РЖД ОАО Центральная дирекция МВПС</w:t>
            </w:r>
          </w:p>
        </w:tc>
        <w:tc>
          <w:tcPr>
            <w:tcW w:type="dxa" w:w="1520"/>
            <w:tcBorders>
              <w:top w:color="000000" w:sz="4" w:val="single"/>
              <w:left w:color="000000" w:sz="4" w:val="single"/>
              <w:bottom w:color="000000" w:sz="4" w:val="single"/>
              <w:right w:color="000000" w:sz="4" w:val="single"/>
            </w:tcBorders>
            <w:shd w:fill="auto" w:val="clear"/>
            <w:vAlign w:val="bottom"/>
          </w:tcPr>
          <w:p w14:paraId="65420000">
            <w:pPr>
              <w:widowControl w:val="1"/>
              <w:ind/>
              <w:jc w:val="right"/>
              <w:rPr>
                <w:sz w:val="18"/>
              </w:rPr>
            </w:pPr>
            <w:r>
              <w:rPr>
                <w:sz w:val="18"/>
              </w:rPr>
              <w:t>598</w:t>
            </w:r>
          </w:p>
        </w:tc>
        <w:tc>
          <w:tcPr>
            <w:tcW w:type="dxa" w:w="1360"/>
            <w:tcBorders>
              <w:top w:color="000000" w:sz="4" w:val="single"/>
              <w:left w:color="000000" w:sz="4" w:val="single"/>
              <w:bottom w:color="000000" w:sz="4" w:val="single"/>
              <w:right w:color="000000" w:sz="4" w:val="single"/>
            </w:tcBorders>
            <w:shd w:fill="auto" w:val="clear"/>
            <w:vAlign w:val="bottom"/>
          </w:tcPr>
          <w:p w14:paraId="66420000">
            <w:pPr>
              <w:widowControl w:val="1"/>
              <w:ind/>
              <w:jc w:val="right"/>
              <w:rPr>
                <w:sz w:val="18"/>
              </w:rPr>
            </w:pPr>
            <w:r>
              <w:rPr>
                <w:sz w:val="18"/>
              </w:rPr>
              <w:t>379 154</w:t>
            </w:r>
          </w:p>
        </w:tc>
        <w:tc>
          <w:tcPr>
            <w:tcW w:type="dxa" w:w="1360"/>
            <w:tcBorders>
              <w:top w:color="000000" w:sz="4" w:val="single"/>
              <w:left w:color="000000" w:sz="4" w:val="single"/>
              <w:bottom w:color="000000" w:sz="4" w:val="single"/>
              <w:right w:color="000000" w:sz="4" w:val="single"/>
            </w:tcBorders>
            <w:shd w:fill="auto" w:val="clear"/>
            <w:vAlign w:val="bottom"/>
          </w:tcPr>
          <w:p w14:paraId="67420000">
            <w:pPr>
              <w:widowControl w:val="1"/>
              <w:ind/>
              <w:jc w:val="right"/>
              <w:rPr>
                <w:sz w:val="18"/>
              </w:rPr>
            </w:pPr>
            <w:r>
              <w:rPr>
                <w:sz w:val="18"/>
              </w:rPr>
              <w:t>379 403</w:t>
            </w:r>
          </w:p>
        </w:tc>
        <w:tc>
          <w:tcPr>
            <w:tcW w:type="dxa" w:w="1560"/>
            <w:tcBorders>
              <w:top w:color="000000" w:sz="4" w:val="single"/>
              <w:left w:color="000000" w:sz="4" w:val="single"/>
              <w:bottom w:color="000000" w:sz="4" w:val="single"/>
              <w:right w:color="000000" w:sz="4" w:val="single"/>
            </w:tcBorders>
            <w:shd w:fill="auto" w:val="clear"/>
            <w:vAlign w:val="bottom"/>
          </w:tcPr>
          <w:p w14:paraId="68420000">
            <w:pPr>
              <w:widowControl w:val="1"/>
              <w:ind/>
              <w:jc w:val="right"/>
              <w:rPr>
                <w:sz w:val="18"/>
              </w:rPr>
            </w:pPr>
            <w:r>
              <w:rPr>
                <w:sz w:val="18"/>
              </w:rPr>
              <w:t>350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69420000">
            <w:pPr>
              <w:rPr>
                <w:sz w:val="18"/>
              </w:rPr>
            </w:pPr>
            <w:r>
              <w:rPr>
                <w:sz w:val="18"/>
              </w:rPr>
              <w:t>ДПО Центральная дирекция пассажирских обустройств РЖД ОАО</w:t>
            </w:r>
          </w:p>
        </w:tc>
        <w:tc>
          <w:tcPr>
            <w:tcW w:type="dxa" w:w="1520"/>
            <w:tcBorders>
              <w:top w:color="000000" w:sz="4" w:val="single"/>
              <w:left w:color="000000" w:sz="4" w:val="single"/>
              <w:bottom w:color="000000" w:sz="4" w:val="single"/>
              <w:right w:color="000000" w:sz="4" w:val="single"/>
            </w:tcBorders>
            <w:shd w:fill="auto" w:val="clear"/>
            <w:vAlign w:val="bottom"/>
          </w:tcPr>
          <w:p w14:paraId="6A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6B420000">
            <w:pPr>
              <w:widowControl w:val="1"/>
              <w:ind/>
              <w:jc w:val="right"/>
              <w:rPr>
                <w:sz w:val="18"/>
              </w:rPr>
            </w:pPr>
            <w:r>
              <w:rPr>
                <w:sz w:val="18"/>
              </w:rPr>
              <w:t>4</w:t>
            </w:r>
          </w:p>
        </w:tc>
        <w:tc>
          <w:tcPr>
            <w:tcW w:type="dxa" w:w="1360"/>
            <w:tcBorders>
              <w:top w:color="000000" w:sz="4" w:val="single"/>
              <w:left w:color="000000" w:sz="4" w:val="single"/>
              <w:bottom w:color="000000" w:sz="4" w:val="single"/>
              <w:right w:color="000000" w:sz="4" w:val="single"/>
            </w:tcBorders>
            <w:shd w:fill="auto" w:val="clear"/>
            <w:vAlign w:val="bottom"/>
          </w:tcPr>
          <w:p w14:paraId="6C420000">
            <w:pPr>
              <w:widowControl w:val="1"/>
              <w:ind/>
              <w:jc w:val="right"/>
              <w:rPr>
                <w:sz w:val="18"/>
              </w:rPr>
            </w:pPr>
            <w:r>
              <w:rPr>
                <w:sz w:val="18"/>
              </w:rPr>
              <w:t>4</w:t>
            </w:r>
          </w:p>
        </w:tc>
        <w:tc>
          <w:tcPr>
            <w:tcW w:type="dxa" w:w="1560"/>
            <w:tcBorders>
              <w:top w:color="000000" w:sz="4" w:val="single"/>
              <w:left w:color="000000" w:sz="4" w:val="single"/>
              <w:bottom w:color="000000" w:sz="4" w:val="single"/>
              <w:right w:color="000000" w:sz="4" w:val="single"/>
            </w:tcBorders>
            <w:shd w:fill="auto" w:val="clear"/>
            <w:vAlign w:val="bottom"/>
          </w:tcPr>
          <w:p w14:paraId="6D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6E420000">
            <w:pPr>
              <w:rPr>
                <w:sz w:val="18"/>
              </w:rPr>
            </w:pPr>
            <w:r>
              <w:rPr>
                <w:sz w:val="18"/>
              </w:rPr>
              <w:t>ДС Красноярская дирекция связи Центральной станции связи - филиала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6F420000">
            <w:pPr>
              <w:widowControl w:val="1"/>
              <w:ind/>
              <w:jc w:val="right"/>
              <w:rPr>
                <w:sz w:val="18"/>
              </w:rPr>
            </w:pPr>
            <w:r>
              <w:rPr>
                <w:sz w:val="18"/>
              </w:rPr>
              <w:t>4</w:t>
            </w:r>
          </w:p>
        </w:tc>
        <w:tc>
          <w:tcPr>
            <w:tcW w:type="dxa" w:w="1360"/>
            <w:tcBorders>
              <w:top w:color="000000" w:sz="4" w:val="single"/>
              <w:left w:color="000000" w:sz="4" w:val="single"/>
              <w:bottom w:color="000000" w:sz="4" w:val="single"/>
              <w:right w:color="000000" w:sz="4" w:val="single"/>
            </w:tcBorders>
            <w:shd w:fill="auto" w:val="clear"/>
            <w:vAlign w:val="bottom"/>
          </w:tcPr>
          <w:p w14:paraId="70420000">
            <w:pPr>
              <w:widowControl w:val="1"/>
              <w:ind/>
              <w:jc w:val="right"/>
              <w:rPr>
                <w:sz w:val="18"/>
              </w:rPr>
            </w:pPr>
            <w:r>
              <w:rPr>
                <w:sz w:val="18"/>
              </w:rPr>
              <w:t>45</w:t>
            </w:r>
          </w:p>
        </w:tc>
        <w:tc>
          <w:tcPr>
            <w:tcW w:type="dxa" w:w="1360"/>
            <w:tcBorders>
              <w:top w:color="000000" w:sz="4" w:val="single"/>
              <w:left w:color="000000" w:sz="4" w:val="single"/>
              <w:bottom w:color="000000" w:sz="4" w:val="single"/>
              <w:right w:color="000000" w:sz="4" w:val="single"/>
            </w:tcBorders>
            <w:shd w:fill="auto" w:val="clear"/>
            <w:vAlign w:val="bottom"/>
          </w:tcPr>
          <w:p w14:paraId="71420000">
            <w:pPr>
              <w:widowControl w:val="1"/>
              <w:ind/>
              <w:jc w:val="right"/>
              <w:rPr>
                <w:sz w:val="18"/>
              </w:rPr>
            </w:pPr>
            <w:r>
              <w:rPr>
                <w:sz w:val="18"/>
              </w:rPr>
              <w:t>46</w:t>
            </w:r>
          </w:p>
        </w:tc>
        <w:tc>
          <w:tcPr>
            <w:tcW w:type="dxa" w:w="1560"/>
            <w:tcBorders>
              <w:top w:color="000000" w:sz="4" w:val="single"/>
              <w:left w:color="000000" w:sz="4" w:val="single"/>
              <w:bottom w:color="000000" w:sz="4" w:val="single"/>
              <w:right w:color="000000" w:sz="4" w:val="single"/>
            </w:tcBorders>
            <w:shd w:fill="auto" w:val="clear"/>
            <w:vAlign w:val="bottom"/>
          </w:tcPr>
          <w:p w14:paraId="72420000">
            <w:pPr>
              <w:widowControl w:val="1"/>
              <w:ind/>
              <w:jc w:val="right"/>
              <w:rPr>
                <w:sz w:val="18"/>
              </w:rPr>
            </w:pPr>
            <w:r>
              <w:rPr>
                <w:sz w:val="18"/>
              </w:rPr>
              <w:t>3</w:t>
            </w:r>
          </w:p>
        </w:tc>
      </w:tr>
      <w:tr>
        <w:trPr>
          <w:trHeight w:hRule="atLeast" w:val="510"/>
        </w:trPr>
        <w:tc>
          <w:tcPr>
            <w:tcW w:type="dxa" w:w="4414"/>
            <w:tcBorders>
              <w:top w:color="000000" w:sz="4" w:val="single"/>
              <w:left w:color="000000" w:sz="4" w:val="single"/>
              <w:bottom w:color="000000" w:sz="4" w:val="single"/>
              <w:right w:color="000000" w:sz="4" w:val="single"/>
            </w:tcBorders>
            <w:shd w:fill="auto" w:val="clear"/>
            <w:vAlign w:val="bottom"/>
          </w:tcPr>
          <w:p w14:paraId="73420000">
            <w:pPr>
              <w:rPr>
                <w:sz w:val="18"/>
              </w:rPr>
            </w:pPr>
            <w:r>
              <w:rPr>
                <w:sz w:val="18"/>
              </w:rPr>
              <w:t>ДТ Красноярская дирекция тяги</w:t>
            </w:r>
          </w:p>
        </w:tc>
        <w:tc>
          <w:tcPr>
            <w:tcW w:type="dxa" w:w="1520"/>
            <w:tcBorders>
              <w:top w:color="000000" w:sz="4" w:val="single"/>
              <w:left w:color="000000" w:sz="4" w:val="single"/>
              <w:bottom w:color="000000" w:sz="4" w:val="single"/>
              <w:right w:color="000000" w:sz="4" w:val="single"/>
            </w:tcBorders>
            <w:shd w:fill="auto" w:val="clear"/>
            <w:vAlign w:val="bottom"/>
          </w:tcPr>
          <w:p w14:paraId="74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75420000">
            <w:pPr>
              <w:widowControl w:val="1"/>
              <w:ind/>
              <w:jc w:val="right"/>
              <w:rPr>
                <w:sz w:val="18"/>
              </w:rPr>
            </w:pPr>
            <w:r>
              <w:rPr>
                <w:sz w:val="18"/>
              </w:rPr>
              <w:t>46 582</w:t>
            </w:r>
          </w:p>
        </w:tc>
        <w:tc>
          <w:tcPr>
            <w:tcW w:type="dxa" w:w="1360"/>
            <w:tcBorders>
              <w:top w:color="000000" w:sz="4" w:val="single"/>
              <w:left w:color="000000" w:sz="4" w:val="single"/>
              <w:bottom w:color="000000" w:sz="4" w:val="single"/>
              <w:right w:color="000000" w:sz="4" w:val="single"/>
            </w:tcBorders>
            <w:shd w:fill="auto" w:val="clear"/>
            <w:vAlign w:val="bottom"/>
          </w:tcPr>
          <w:p w14:paraId="76420000">
            <w:pPr>
              <w:widowControl w:val="1"/>
              <w:ind/>
              <w:jc w:val="right"/>
              <w:rPr>
                <w:sz w:val="18"/>
              </w:rPr>
            </w:pPr>
            <w:r>
              <w:rPr>
                <w:sz w:val="18"/>
              </w:rPr>
              <w:t>46 530</w:t>
            </w:r>
          </w:p>
        </w:tc>
        <w:tc>
          <w:tcPr>
            <w:tcW w:type="dxa" w:w="1560"/>
            <w:tcBorders>
              <w:top w:color="000000" w:sz="4" w:val="single"/>
              <w:left w:color="000000" w:sz="4" w:val="single"/>
              <w:bottom w:color="000000" w:sz="4" w:val="single"/>
              <w:right w:color="000000" w:sz="4" w:val="single"/>
            </w:tcBorders>
            <w:shd w:fill="auto" w:val="clear"/>
            <w:vAlign w:val="bottom"/>
          </w:tcPr>
          <w:p w14:paraId="77420000">
            <w:pPr>
              <w:widowControl w:val="1"/>
              <w:ind/>
              <w:jc w:val="right"/>
              <w:rPr>
                <w:sz w:val="18"/>
              </w:rPr>
            </w:pPr>
            <w:r>
              <w:rPr>
                <w:sz w:val="18"/>
              </w:rPr>
              <w:t>52</w:t>
            </w:r>
          </w:p>
        </w:tc>
      </w:tr>
      <w:tr>
        <w:trPr>
          <w:trHeight w:hRule="atLeast" w:val="480"/>
        </w:trPr>
        <w:tc>
          <w:tcPr>
            <w:tcW w:type="dxa" w:w="4414"/>
            <w:tcBorders>
              <w:top w:color="000000" w:sz="4" w:val="single"/>
              <w:left w:color="000000" w:sz="4" w:val="single"/>
              <w:bottom w:color="000000" w:sz="4" w:val="single"/>
              <w:right w:color="000000" w:sz="4" w:val="single"/>
            </w:tcBorders>
            <w:shd w:fill="auto" w:val="clear"/>
            <w:vAlign w:val="bottom"/>
          </w:tcPr>
          <w:p w14:paraId="78420000">
            <w:pPr>
              <w:rPr>
                <w:sz w:val="18"/>
              </w:rPr>
            </w:pPr>
            <w:r>
              <w:rPr>
                <w:sz w:val="18"/>
              </w:rPr>
              <w:t>РЖД ОАО</w:t>
            </w:r>
          </w:p>
        </w:tc>
        <w:tc>
          <w:tcPr>
            <w:tcW w:type="dxa" w:w="1520"/>
            <w:tcBorders>
              <w:top w:color="000000" w:sz="4" w:val="single"/>
              <w:left w:color="000000" w:sz="4" w:val="single"/>
              <w:bottom w:color="000000" w:sz="4" w:val="single"/>
              <w:right w:color="000000" w:sz="4" w:val="single"/>
            </w:tcBorders>
            <w:shd w:fill="auto" w:val="clear"/>
            <w:vAlign w:val="bottom"/>
          </w:tcPr>
          <w:p w14:paraId="79420000">
            <w:pPr>
              <w:widowControl w:val="1"/>
              <w:ind/>
              <w:jc w:val="right"/>
              <w:rPr>
                <w:sz w:val="18"/>
              </w:rPr>
            </w:pPr>
            <w:r>
              <w:rPr>
                <w:sz w:val="18"/>
              </w:rPr>
              <w:t>400</w:t>
            </w:r>
          </w:p>
        </w:tc>
        <w:tc>
          <w:tcPr>
            <w:tcW w:type="dxa" w:w="1360"/>
            <w:tcBorders>
              <w:top w:color="000000" w:sz="4" w:val="single"/>
              <w:left w:color="000000" w:sz="4" w:val="single"/>
              <w:bottom w:color="000000" w:sz="4" w:val="single"/>
              <w:right w:color="000000" w:sz="4" w:val="single"/>
            </w:tcBorders>
            <w:shd w:fill="auto" w:val="clear"/>
            <w:vAlign w:val="bottom"/>
          </w:tcPr>
          <w:p w14:paraId="7A420000">
            <w:pPr>
              <w:widowControl w:val="1"/>
              <w:ind/>
              <w:jc w:val="right"/>
              <w:rPr>
                <w:sz w:val="18"/>
              </w:rPr>
            </w:pPr>
            <w:r>
              <w:rPr>
                <w:sz w:val="18"/>
              </w:rPr>
              <w:t>400</w:t>
            </w:r>
          </w:p>
        </w:tc>
        <w:tc>
          <w:tcPr>
            <w:tcW w:type="dxa" w:w="1360"/>
            <w:tcBorders>
              <w:top w:color="000000" w:sz="4" w:val="single"/>
              <w:left w:color="000000" w:sz="4" w:val="single"/>
              <w:bottom w:color="000000" w:sz="4" w:val="single"/>
              <w:right w:color="000000" w:sz="4" w:val="single"/>
            </w:tcBorders>
            <w:shd w:fill="auto" w:val="clear"/>
            <w:vAlign w:val="bottom"/>
          </w:tcPr>
          <w:p w14:paraId="7B420000">
            <w:pPr>
              <w:widowControl w:val="1"/>
              <w:ind/>
              <w:jc w:val="right"/>
              <w:rPr>
                <w:sz w:val="18"/>
              </w:rPr>
            </w:pPr>
            <w:r>
              <w:rPr>
                <w:sz w:val="18"/>
              </w:rPr>
              <w:t>800</w:t>
            </w:r>
          </w:p>
        </w:tc>
        <w:tc>
          <w:tcPr>
            <w:tcW w:type="dxa" w:w="1560"/>
            <w:tcBorders>
              <w:top w:color="000000" w:sz="4" w:val="single"/>
              <w:left w:color="000000" w:sz="4" w:val="single"/>
              <w:bottom w:color="000000" w:sz="4" w:val="single"/>
              <w:right w:color="000000" w:sz="4" w:val="single"/>
            </w:tcBorders>
            <w:shd w:fill="auto" w:val="clear"/>
            <w:vAlign w:val="bottom"/>
          </w:tcPr>
          <w:p w14:paraId="7C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7D420000">
            <w:pPr>
              <w:rPr>
                <w:sz w:val="18"/>
              </w:rPr>
            </w:pPr>
            <w:r>
              <w:rPr>
                <w:sz w:val="18"/>
              </w:rPr>
              <w:t>Центр организации закупочной деятельности-структурное подразделение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7E420000">
            <w:pPr>
              <w:widowControl w:val="1"/>
              <w:ind/>
              <w:jc w:val="right"/>
              <w:rPr>
                <w:sz w:val="18"/>
              </w:rPr>
            </w:pPr>
            <w:r>
              <w:rPr>
                <w:sz w:val="18"/>
              </w:rPr>
              <w:t>44</w:t>
            </w:r>
          </w:p>
        </w:tc>
        <w:tc>
          <w:tcPr>
            <w:tcW w:type="dxa" w:w="1360"/>
            <w:tcBorders>
              <w:top w:color="000000" w:sz="4" w:val="single"/>
              <w:left w:color="000000" w:sz="4" w:val="single"/>
              <w:bottom w:color="000000" w:sz="4" w:val="single"/>
              <w:right w:color="000000" w:sz="4" w:val="single"/>
            </w:tcBorders>
            <w:shd w:fill="auto" w:val="clear"/>
            <w:vAlign w:val="bottom"/>
          </w:tcPr>
          <w:p w14:paraId="7F420000">
            <w:pPr>
              <w:widowControl w:val="1"/>
              <w:ind/>
              <w:jc w:val="right"/>
              <w:rPr>
                <w:sz w:val="18"/>
              </w:rPr>
            </w:pPr>
            <w:r>
              <w:rPr>
                <w:sz w:val="18"/>
              </w:rPr>
              <w:t>87</w:t>
            </w:r>
          </w:p>
        </w:tc>
        <w:tc>
          <w:tcPr>
            <w:tcW w:type="dxa" w:w="1360"/>
            <w:tcBorders>
              <w:top w:color="000000" w:sz="4" w:val="single"/>
              <w:left w:color="000000" w:sz="4" w:val="single"/>
              <w:bottom w:color="000000" w:sz="4" w:val="single"/>
              <w:right w:color="000000" w:sz="4" w:val="single"/>
            </w:tcBorders>
            <w:shd w:fill="auto" w:val="clear"/>
            <w:vAlign w:val="bottom"/>
          </w:tcPr>
          <w:p w14:paraId="80420000">
            <w:pPr>
              <w:widowControl w:val="1"/>
              <w:ind/>
              <w:jc w:val="right"/>
              <w:rPr>
                <w:sz w:val="18"/>
              </w:rPr>
            </w:pPr>
            <w:r>
              <w:rPr>
                <w:sz w:val="18"/>
              </w:rPr>
              <w:t>83</w:t>
            </w:r>
          </w:p>
        </w:tc>
        <w:tc>
          <w:tcPr>
            <w:tcW w:type="dxa" w:w="1560"/>
            <w:tcBorders>
              <w:top w:color="000000" w:sz="4" w:val="single"/>
              <w:left w:color="000000" w:sz="4" w:val="single"/>
              <w:bottom w:color="000000" w:sz="4" w:val="single"/>
              <w:right w:color="000000" w:sz="4" w:val="single"/>
            </w:tcBorders>
            <w:shd w:fill="auto" w:val="clear"/>
            <w:vAlign w:val="bottom"/>
          </w:tcPr>
          <w:p w14:paraId="81420000">
            <w:pPr>
              <w:widowControl w:val="1"/>
              <w:ind/>
              <w:jc w:val="right"/>
              <w:rPr>
                <w:sz w:val="18"/>
              </w:rPr>
            </w:pPr>
            <w:r>
              <w:rPr>
                <w:sz w:val="18"/>
              </w:rPr>
              <w:t>48</w:t>
            </w:r>
          </w:p>
        </w:tc>
      </w:tr>
      <w:tr>
        <w:trPr>
          <w:trHeight w:hRule="atLeast" w:val="480"/>
        </w:trPr>
        <w:tc>
          <w:tcPr>
            <w:tcW w:type="dxa" w:w="4414"/>
            <w:tcBorders>
              <w:top w:color="000000" w:sz="4" w:val="single"/>
              <w:left w:color="000000" w:sz="4" w:val="single"/>
              <w:bottom w:color="000000" w:sz="4" w:val="single"/>
              <w:right w:color="000000" w:sz="4" w:val="single"/>
            </w:tcBorders>
            <w:shd w:fill="auto" w:val="clear"/>
            <w:vAlign w:val="bottom"/>
          </w:tcPr>
          <w:p w14:paraId="82420000">
            <w:pPr>
              <w:rPr>
                <w:b w:val="1"/>
                <w:sz w:val="18"/>
              </w:rPr>
            </w:pPr>
            <w:r>
              <w:rPr>
                <w:b w:val="1"/>
                <w:sz w:val="18"/>
              </w:rPr>
              <w:t xml:space="preserve">            ДЗО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83420000">
            <w:pPr>
              <w:widowControl w:val="1"/>
              <w:ind/>
              <w:jc w:val="right"/>
              <w:rPr>
                <w:b w:val="1"/>
                <w:sz w:val="18"/>
              </w:rPr>
            </w:pPr>
            <w:r>
              <w:rPr>
                <w:b w:val="1"/>
                <w:sz w:val="18"/>
              </w:rPr>
              <w:t>305</w:t>
            </w:r>
          </w:p>
        </w:tc>
        <w:tc>
          <w:tcPr>
            <w:tcW w:type="dxa" w:w="1360"/>
            <w:tcBorders>
              <w:top w:color="000000" w:sz="4" w:val="single"/>
              <w:left w:color="000000" w:sz="4" w:val="single"/>
              <w:bottom w:color="000000" w:sz="4" w:val="single"/>
              <w:right w:color="000000" w:sz="4" w:val="single"/>
            </w:tcBorders>
            <w:shd w:fill="auto" w:val="clear"/>
            <w:vAlign w:val="bottom"/>
          </w:tcPr>
          <w:p w14:paraId="84420000">
            <w:pPr>
              <w:widowControl w:val="1"/>
              <w:ind/>
              <w:jc w:val="right"/>
              <w:rPr>
                <w:b w:val="1"/>
                <w:sz w:val="18"/>
              </w:rPr>
            </w:pPr>
            <w:r>
              <w:rPr>
                <w:b w:val="1"/>
                <w:sz w:val="18"/>
              </w:rPr>
              <w:t>18 590</w:t>
            </w:r>
          </w:p>
        </w:tc>
        <w:tc>
          <w:tcPr>
            <w:tcW w:type="dxa" w:w="1360"/>
            <w:tcBorders>
              <w:top w:color="000000" w:sz="4" w:val="single"/>
              <w:left w:color="000000" w:sz="4" w:val="single"/>
              <w:bottom w:color="000000" w:sz="4" w:val="single"/>
              <w:right w:color="000000" w:sz="4" w:val="single"/>
            </w:tcBorders>
            <w:shd w:fill="auto" w:val="clear"/>
            <w:vAlign w:val="bottom"/>
          </w:tcPr>
          <w:p w14:paraId="85420000">
            <w:pPr>
              <w:widowControl w:val="1"/>
              <w:ind/>
              <w:jc w:val="right"/>
              <w:rPr>
                <w:b w:val="1"/>
                <w:sz w:val="18"/>
              </w:rPr>
            </w:pPr>
            <w:r>
              <w:rPr>
                <w:b w:val="1"/>
                <w:sz w:val="18"/>
              </w:rPr>
              <w:t>18 626</w:t>
            </w:r>
          </w:p>
        </w:tc>
        <w:tc>
          <w:tcPr>
            <w:tcW w:type="dxa" w:w="1560"/>
            <w:tcBorders>
              <w:top w:color="000000" w:sz="4" w:val="single"/>
              <w:left w:color="000000" w:sz="4" w:val="single"/>
              <w:bottom w:color="000000" w:sz="4" w:val="single"/>
              <w:right w:color="000000" w:sz="4" w:val="single"/>
            </w:tcBorders>
            <w:shd w:fill="auto" w:val="clear"/>
            <w:vAlign w:val="bottom"/>
          </w:tcPr>
          <w:p w14:paraId="86420000">
            <w:pPr>
              <w:widowControl w:val="1"/>
              <w:ind/>
              <w:jc w:val="right"/>
              <w:rPr>
                <w:b w:val="1"/>
                <w:sz w:val="18"/>
              </w:rPr>
            </w:pPr>
            <w:r>
              <w:rPr>
                <w:b w:val="1"/>
                <w:sz w:val="18"/>
              </w:rPr>
              <w:t>269</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87420000">
            <w:pPr>
              <w:rPr>
                <w:sz w:val="18"/>
              </w:rPr>
            </w:pPr>
            <w:r>
              <w:rPr>
                <w:sz w:val="18"/>
              </w:rPr>
              <w:t>ИЗДАТЕЛЬСКИЙ ДОМ ГУДОК АО</w:t>
            </w:r>
          </w:p>
        </w:tc>
        <w:tc>
          <w:tcPr>
            <w:tcW w:type="dxa" w:w="1520"/>
            <w:tcBorders>
              <w:top w:color="000000" w:sz="4" w:val="single"/>
              <w:left w:color="000000" w:sz="4" w:val="single"/>
              <w:bottom w:color="000000" w:sz="4" w:val="single"/>
              <w:right w:color="000000" w:sz="4" w:val="single"/>
            </w:tcBorders>
            <w:shd w:fill="auto" w:val="clear"/>
            <w:vAlign w:val="bottom"/>
          </w:tcPr>
          <w:p w14:paraId="88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89420000">
            <w:pPr>
              <w:widowControl w:val="1"/>
              <w:ind/>
              <w:jc w:val="right"/>
              <w:rPr>
                <w:sz w:val="18"/>
              </w:rPr>
            </w:pPr>
            <w:r>
              <w:rPr>
                <w:sz w:val="18"/>
              </w:rPr>
              <w:t>185</w:t>
            </w:r>
          </w:p>
        </w:tc>
        <w:tc>
          <w:tcPr>
            <w:tcW w:type="dxa" w:w="1360"/>
            <w:tcBorders>
              <w:top w:color="000000" w:sz="4" w:val="single"/>
              <w:left w:color="000000" w:sz="4" w:val="single"/>
              <w:bottom w:color="000000" w:sz="4" w:val="single"/>
              <w:right w:color="000000" w:sz="4" w:val="single"/>
            </w:tcBorders>
            <w:shd w:fill="auto" w:val="clear"/>
            <w:vAlign w:val="bottom"/>
          </w:tcPr>
          <w:p w14:paraId="8A420000">
            <w:pPr>
              <w:widowControl w:val="1"/>
              <w:ind/>
              <w:jc w:val="right"/>
              <w:rPr>
                <w:sz w:val="18"/>
              </w:rPr>
            </w:pPr>
            <w:r>
              <w:rPr>
                <w:sz w:val="18"/>
              </w:rPr>
              <w:t>185</w:t>
            </w:r>
          </w:p>
        </w:tc>
        <w:tc>
          <w:tcPr>
            <w:tcW w:type="dxa" w:w="1560"/>
            <w:tcBorders>
              <w:top w:color="000000" w:sz="4" w:val="single"/>
              <w:left w:color="000000" w:sz="4" w:val="single"/>
              <w:bottom w:color="000000" w:sz="4" w:val="single"/>
              <w:right w:color="000000" w:sz="4" w:val="single"/>
            </w:tcBorders>
            <w:shd w:fill="auto" w:val="clear"/>
            <w:vAlign w:val="bottom"/>
          </w:tcPr>
          <w:p w14:paraId="8B420000">
            <w:pPr>
              <w:widowControl w:val="1"/>
              <w:ind/>
              <w:jc w:val="right"/>
              <w:rPr>
                <w:sz w:val="18"/>
              </w:rPr>
            </w:pPr>
            <w:r>
              <w:rPr>
                <w:sz w:val="18"/>
              </w:rPr>
              <w:t>0</w:t>
            </w:r>
          </w:p>
        </w:tc>
      </w:tr>
      <w:tr>
        <w:trPr>
          <w:trHeight w:hRule="atLeast" w:val="480"/>
        </w:trPr>
        <w:tc>
          <w:tcPr>
            <w:tcW w:type="dxa" w:w="4414"/>
            <w:tcBorders>
              <w:top w:color="000000" w:sz="4" w:val="single"/>
              <w:left w:color="000000" w:sz="4" w:val="single"/>
              <w:bottom w:color="000000" w:sz="4" w:val="single"/>
              <w:right w:color="000000" w:sz="4" w:val="single"/>
            </w:tcBorders>
            <w:shd w:fill="auto" w:val="clear"/>
            <w:vAlign w:val="bottom"/>
          </w:tcPr>
          <w:p w14:paraId="8C420000">
            <w:pPr>
              <w:rPr>
                <w:sz w:val="18"/>
              </w:rPr>
            </w:pPr>
            <w:r>
              <w:rPr>
                <w:sz w:val="18"/>
              </w:rPr>
              <w:t>СибТрансТелеком ЗАО</w:t>
            </w:r>
          </w:p>
        </w:tc>
        <w:tc>
          <w:tcPr>
            <w:tcW w:type="dxa" w:w="1520"/>
            <w:tcBorders>
              <w:top w:color="000000" w:sz="4" w:val="single"/>
              <w:left w:color="000000" w:sz="4" w:val="single"/>
              <w:bottom w:color="000000" w:sz="4" w:val="single"/>
              <w:right w:color="000000" w:sz="4" w:val="single"/>
            </w:tcBorders>
            <w:shd w:fill="auto" w:val="clear"/>
            <w:vAlign w:val="bottom"/>
          </w:tcPr>
          <w:p w14:paraId="8D420000">
            <w:pPr>
              <w:widowControl w:val="1"/>
              <w:ind/>
              <w:jc w:val="right"/>
              <w:rPr>
                <w:sz w:val="18"/>
              </w:rPr>
            </w:pPr>
            <w:r>
              <w:rPr>
                <w:sz w:val="18"/>
              </w:rPr>
              <w:t>18</w:t>
            </w:r>
          </w:p>
        </w:tc>
        <w:tc>
          <w:tcPr>
            <w:tcW w:type="dxa" w:w="1360"/>
            <w:tcBorders>
              <w:top w:color="000000" w:sz="4" w:val="single"/>
              <w:left w:color="000000" w:sz="4" w:val="single"/>
              <w:bottom w:color="000000" w:sz="4" w:val="single"/>
              <w:right w:color="000000" w:sz="4" w:val="single"/>
            </w:tcBorders>
            <w:shd w:fill="auto" w:val="clear"/>
            <w:vAlign w:val="bottom"/>
          </w:tcPr>
          <w:p w14:paraId="8E420000">
            <w:pPr>
              <w:widowControl w:val="1"/>
              <w:ind/>
              <w:jc w:val="right"/>
              <w:rPr>
                <w:sz w:val="18"/>
              </w:rPr>
            </w:pPr>
            <w:r>
              <w:rPr>
                <w:sz w:val="18"/>
              </w:rPr>
              <w:t>212</w:t>
            </w:r>
          </w:p>
        </w:tc>
        <w:tc>
          <w:tcPr>
            <w:tcW w:type="dxa" w:w="1360"/>
            <w:tcBorders>
              <w:top w:color="000000" w:sz="4" w:val="single"/>
              <w:left w:color="000000" w:sz="4" w:val="single"/>
              <w:bottom w:color="000000" w:sz="4" w:val="single"/>
              <w:right w:color="000000" w:sz="4" w:val="single"/>
            </w:tcBorders>
            <w:shd w:fill="auto" w:val="clear"/>
            <w:vAlign w:val="bottom"/>
          </w:tcPr>
          <w:p w14:paraId="8F420000">
            <w:pPr>
              <w:widowControl w:val="1"/>
              <w:ind/>
              <w:jc w:val="right"/>
              <w:rPr>
                <w:sz w:val="18"/>
              </w:rPr>
            </w:pPr>
            <w:r>
              <w:rPr>
                <w:sz w:val="18"/>
              </w:rPr>
              <w:t>212</w:t>
            </w:r>
          </w:p>
        </w:tc>
        <w:tc>
          <w:tcPr>
            <w:tcW w:type="dxa" w:w="1560"/>
            <w:tcBorders>
              <w:top w:color="000000" w:sz="4" w:val="single"/>
              <w:left w:color="000000" w:sz="4" w:val="single"/>
              <w:bottom w:color="000000" w:sz="4" w:val="single"/>
              <w:right w:color="000000" w:sz="4" w:val="single"/>
            </w:tcBorders>
            <w:shd w:fill="auto" w:val="clear"/>
            <w:vAlign w:val="bottom"/>
          </w:tcPr>
          <w:p w14:paraId="90420000">
            <w:pPr>
              <w:widowControl w:val="1"/>
              <w:ind/>
              <w:jc w:val="right"/>
              <w:rPr>
                <w:sz w:val="18"/>
              </w:rPr>
            </w:pPr>
            <w:r>
              <w:rPr>
                <w:sz w:val="18"/>
              </w:rPr>
              <w:t>18</w:t>
            </w:r>
          </w:p>
        </w:tc>
      </w:tr>
      <w:tr>
        <w:trPr>
          <w:trHeight w:hRule="atLeast" w:val="480"/>
        </w:trPr>
        <w:tc>
          <w:tcPr>
            <w:tcW w:type="dxa" w:w="4414"/>
            <w:tcBorders>
              <w:top w:color="000000" w:sz="4" w:val="single"/>
              <w:left w:color="000000" w:sz="4" w:val="single"/>
              <w:bottom w:color="000000" w:sz="4" w:val="single"/>
              <w:right w:color="000000" w:sz="4" w:val="single"/>
            </w:tcBorders>
            <w:shd w:fill="auto" w:val="clear"/>
            <w:vAlign w:val="bottom"/>
          </w:tcPr>
          <w:p w14:paraId="91420000">
            <w:pPr>
              <w:rPr>
                <w:sz w:val="18"/>
              </w:rPr>
            </w:pPr>
            <w:r>
              <w:rPr>
                <w:sz w:val="18"/>
              </w:rPr>
              <w:t>ФПК АО Енисейский филиал-пассажирское вагонное депо Красноярск</w:t>
            </w:r>
          </w:p>
        </w:tc>
        <w:tc>
          <w:tcPr>
            <w:tcW w:type="dxa" w:w="1520"/>
            <w:tcBorders>
              <w:top w:color="000000" w:sz="4" w:val="single"/>
              <w:left w:color="000000" w:sz="4" w:val="single"/>
              <w:bottom w:color="000000" w:sz="4" w:val="single"/>
              <w:right w:color="000000" w:sz="4" w:val="single"/>
            </w:tcBorders>
            <w:shd w:fill="auto" w:val="clear"/>
            <w:vAlign w:val="bottom"/>
          </w:tcPr>
          <w:p w14:paraId="92420000">
            <w:pPr>
              <w:widowControl w:val="1"/>
              <w:ind/>
              <w:jc w:val="right"/>
              <w:rPr>
                <w:sz w:val="18"/>
              </w:rPr>
            </w:pPr>
            <w:r>
              <w:rPr>
                <w:sz w:val="18"/>
              </w:rPr>
              <w:t>287</w:t>
            </w:r>
          </w:p>
        </w:tc>
        <w:tc>
          <w:tcPr>
            <w:tcW w:type="dxa" w:w="1360"/>
            <w:tcBorders>
              <w:top w:color="000000" w:sz="4" w:val="single"/>
              <w:left w:color="000000" w:sz="4" w:val="single"/>
              <w:bottom w:color="000000" w:sz="4" w:val="single"/>
              <w:right w:color="000000" w:sz="4" w:val="single"/>
            </w:tcBorders>
            <w:shd w:fill="auto" w:val="clear"/>
            <w:vAlign w:val="bottom"/>
          </w:tcPr>
          <w:p w14:paraId="93420000">
            <w:pPr>
              <w:widowControl w:val="1"/>
              <w:ind/>
              <w:jc w:val="right"/>
              <w:rPr>
                <w:sz w:val="18"/>
              </w:rPr>
            </w:pPr>
            <w:r>
              <w:rPr>
                <w:sz w:val="18"/>
              </w:rPr>
              <w:t>18 193</w:t>
            </w:r>
          </w:p>
        </w:tc>
        <w:tc>
          <w:tcPr>
            <w:tcW w:type="dxa" w:w="1360"/>
            <w:tcBorders>
              <w:top w:color="000000" w:sz="4" w:val="single"/>
              <w:left w:color="000000" w:sz="4" w:val="single"/>
              <w:bottom w:color="000000" w:sz="4" w:val="single"/>
              <w:right w:color="000000" w:sz="4" w:val="single"/>
            </w:tcBorders>
            <w:shd w:fill="auto" w:val="clear"/>
            <w:vAlign w:val="bottom"/>
          </w:tcPr>
          <w:p w14:paraId="94420000">
            <w:pPr>
              <w:widowControl w:val="1"/>
              <w:ind/>
              <w:jc w:val="right"/>
              <w:rPr>
                <w:sz w:val="18"/>
              </w:rPr>
            </w:pPr>
            <w:r>
              <w:rPr>
                <w:sz w:val="18"/>
              </w:rPr>
              <w:t>18 229</w:t>
            </w:r>
          </w:p>
        </w:tc>
        <w:tc>
          <w:tcPr>
            <w:tcW w:type="dxa" w:w="1560"/>
            <w:tcBorders>
              <w:top w:color="000000" w:sz="4" w:val="single"/>
              <w:left w:color="000000" w:sz="4" w:val="single"/>
              <w:bottom w:color="000000" w:sz="4" w:val="single"/>
              <w:right w:color="000000" w:sz="4" w:val="single"/>
            </w:tcBorders>
            <w:shd w:fill="auto" w:val="clear"/>
            <w:vAlign w:val="bottom"/>
          </w:tcPr>
          <w:p w14:paraId="95420000">
            <w:pPr>
              <w:widowControl w:val="1"/>
              <w:ind/>
              <w:jc w:val="right"/>
              <w:rPr>
                <w:sz w:val="18"/>
              </w:rPr>
            </w:pPr>
            <w:r>
              <w:rPr>
                <w:sz w:val="18"/>
              </w:rPr>
              <w:t>252</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96420000">
            <w:pPr>
              <w:rPr>
                <w:b w:val="1"/>
                <w:sz w:val="18"/>
              </w:rPr>
            </w:pPr>
            <w:r>
              <w:rPr>
                <w:b w:val="1"/>
                <w:sz w:val="18"/>
              </w:rPr>
              <w:t xml:space="preserve">            Прочие контрагенты:</w:t>
            </w:r>
          </w:p>
        </w:tc>
        <w:tc>
          <w:tcPr>
            <w:tcW w:type="dxa" w:w="1520"/>
            <w:tcBorders>
              <w:top w:color="000000" w:sz="4" w:val="single"/>
              <w:left w:color="000000" w:sz="4" w:val="single"/>
              <w:bottom w:color="000000" w:sz="4" w:val="single"/>
              <w:right w:color="000000" w:sz="4" w:val="single"/>
            </w:tcBorders>
            <w:shd w:fill="auto" w:val="clear"/>
            <w:vAlign w:val="bottom"/>
          </w:tcPr>
          <w:p w14:paraId="97420000">
            <w:pPr>
              <w:widowControl w:val="1"/>
              <w:ind/>
              <w:jc w:val="right"/>
              <w:rPr>
                <w:b w:val="1"/>
                <w:sz w:val="18"/>
              </w:rPr>
            </w:pPr>
            <w:r>
              <w:rPr>
                <w:b w:val="1"/>
                <w:sz w:val="18"/>
              </w:rPr>
              <w:t>5 305</w:t>
            </w:r>
          </w:p>
        </w:tc>
        <w:tc>
          <w:tcPr>
            <w:tcW w:type="dxa" w:w="1360"/>
            <w:tcBorders>
              <w:top w:color="000000" w:sz="4" w:val="single"/>
              <w:left w:color="000000" w:sz="4" w:val="single"/>
              <w:bottom w:color="000000" w:sz="4" w:val="single"/>
              <w:right w:color="000000" w:sz="4" w:val="single"/>
            </w:tcBorders>
            <w:shd w:fill="auto" w:val="clear"/>
            <w:vAlign w:val="bottom"/>
          </w:tcPr>
          <w:p w14:paraId="98420000">
            <w:pPr>
              <w:widowControl w:val="1"/>
              <w:ind/>
              <w:jc w:val="right"/>
              <w:rPr>
                <w:b w:val="1"/>
                <w:sz w:val="18"/>
              </w:rPr>
            </w:pPr>
            <w:r>
              <w:rPr>
                <w:b w:val="1"/>
                <w:sz w:val="18"/>
              </w:rPr>
              <w:t>54 667</w:t>
            </w:r>
          </w:p>
        </w:tc>
        <w:tc>
          <w:tcPr>
            <w:tcW w:type="dxa" w:w="1360"/>
            <w:tcBorders>
              <w:top w:color="000000" w:sz="4" w:val="single"/>
              <w:left w:color="000000" w:sz="4" w:val="single"/>
              <w:bottom w:color="000000" w:sz="4" w:val="single"/>
              <w:right w:color="000000" w:sz="4" w:val="single"/>
            </w:tcBorders>
            <w:shd w:fill="auto" w:val="clear"/>
            <w:vAlign w:val="bottom"/>
          </w:tcPr>
          <w:p w14:paraId="99420000">
            <w:pPr>
              <w:widowControl w:val="1"/>
              <w:ind/>
              <w:jc w:val="right"/>
              <w:rPr>
                <w:b w:val="1"/>
                <w:sz w:val="18"/>
              </w:rPr>
            </w:pPr>
            <w:r>
              <w:rPr>
                <w:b w:val="1"/>
                <w:sz w:val="18"/>
              </w:rPr>
              <w:t>53 113</w:t>
            </w:r>
          </w:p>
        </w:tc>
        <w:tc>
          <w:tcPr>
            <w:tcW w:type="dxa" w:w="1560"/>
            <w:tcBorders>
              <w:top w:color="000000" w:sz="4" w:val="single"/>
              <w:left w:color="000000" w:sz="4" w:val="single"/>
              <w:bottom w:color="000000" w:sz="4" w:val="single"/>
              <w:right w:color="000000" w:sz="4" w:val="single"/>
            </w:tcBorders>
            <w:shd w:fill="auto" w:val="clear"/>
            <w:vAlign w:val="bottom"/>
          </w:tcPr>
          <w:p w14:paraId="9A420000">
            <w:pPr>
              <w:widowControl w:val="1"/>
              <w:ind/>
              <w:jc w:val="right"/>
              <w:rPr>
                <w:b w:val="1"/>
                <w:sz w:val="18"/>
              </w:rPr>
            </w:pPr>
            <w:r>
              <w:rPr>
                <w:b w:val="1"/>
                <w:sz w:val="18"/>
              </w:rPr>
              <w:t>6 859</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9B420000">
            <w:pPr>
              <w:rPr>
                <w:sz w:val="18"/>
              </w:rPr>
            </w:pPr>
            <w:r>
              <w:rPr>
                <w:sz w:val="18"/>
              </w:rPr>
              <w:t>АБАКАН-АКВА ООО</w:t>
            </w:r>
          </w:p>
        </w:tc>
        <w:tc>
          <w:tcPr>
            <w:tcW w:type="dxa" w:w="1520"/>
            <w:tcBorders>
              <w:top w:color="000000" w:sz="4" w:val="single"/>
              <w:left w:color="000000" w:sz="4" w:val="single"/>
              <w:bottom w:color="000000" w:sz="4" w:val="single"/>
              <w:right w:color="000000" w:sz="4" w:val="single"/>
            </w:tcBorders>
            <w:shd w:fill="auto" w:val="clear"/>
            <w:vAlign w:val="bottom"/>
          </w:tcPr>
          <w:p w14:paraId="9C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9D420000">
            <w:pPr>
              <w:widowControl w:val="1"/>
              <w:ind/>
              <w:jc w:val="right"/>
              <w:rPr>
                <w:sz w:val="18"/>
              </w:rPr>
            </w:pPr>
            <w:r>
              <w:rPr>
                <w:sz w:val="18"/>
              </w:rPr>
              <w:t>3</w:t>
            </w:r>
          </w:p>
        </w:tc>
        <w:tc>
          <w:tcPr>
            <w:tcW w:type="dxa" w:w="1360"/>
            <w:tcBorders>
              <w:top w:color="000000" w:sz="4" w:val="single"/>
              <w:left w:color="000000" w:sz="4" w:val="single"/>
              <w:bottom w:color="000000" w:sz="4" w:val="single"/>
              <w:right w:color="000000" w:sz="4" w:val="single"/>
            </w:tcBorders>
            <w:shd w:fill="auto" w:val="clear"/>
            <w:vAlign w:val="bottom"/>
          </w:tcPr>
          <w:p w14:paraId="9E420000">
            <w:pPr>
              <w:widowControl w:val="1"/>
              <w:ind/>
              <w:jc w:val="right"/>
              <w:rPr>
                <w:sz w:val="18"/>
              </w:rPr>
            </w:pPr>
            <w:r>
              <w:rPr>
                <w:sz w:val="18"/>
              </w:rPr>
              <w:t>2</w:t>
            </w:r>
          </w:p>
        </w:tc>
        <w:tc>
          <w:tcPr>
            <w:tcW w:type="dxa" w:w="1560"/>
            <w:tcBorders>
              <w:top w:color="000000" w:sz="4" w:val="single"/>
              <w:left w:color="000000" w:sz="4" w:val="single"/>
              <w:bottom w:color="000000" w:sz="4" w:val="single"/>
              <w:right w:color="000000" w:sz="4" w:val="single"/>
            </w:tcBorders>
            <w:shd w:fill="auto" w:val="clear"/>
            <w:vAlign w:val="bottom"/>
          </w:tcPr>
          <w:p w14:paraId="9F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A0420000">
            <w:pPr>
              <w:rPr>
                <w:sz w:val="18"/>
              </w:rPr>
            </w:pPr>
            <w:r>
              <w:rPr>
                <w:sz w:val="18"/>
              </w:rPr>
              <w:t>АБАКАНЭНЕРГОСБЫТ ООО</w:t>
            </w:r>
          </w:p>
        </w:tc>
        <w:tc>
          <w:tcPr>
            <w:tcW w:type="dxa" w:w="1520"/>
            <w:tcBorders>
              <w:top w:color="000000" w:sz="4" w:val="single"/>
              <w:left w:color="000000" w:sz="4" w:val="single"/>
              <w:bottom w:color="000000" w:sz="4" w:val="single"/>
              <w:right w:color="000000" w:sz="4" w:val="single"/>
            </w:tcBorders>
            <w:shd w:fill="auto" w:val="clear"/>
            <w:vAlign w:val="bottom"/>
          </w:tcPr>
          <w:p w14:paraId="A1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A2420000">
            <w:pPr>
              <w:widowControl w:val="1"/>
              <w:ind/>
              <w:jc w:val="right"/>
              <w:rPr>
                <w:sz w:val="18"/>
              </w:rPr>
            </w:pPr>
            <w:r>
              <w:rPr>
                <w:sz w:val="18"/>
              </w:rPr>
              <w:t>7</w:t>
            </w:r>
          </w:p>
        </w:tc>
        <w:tc>
          <w:tcPr>
            <w:tcW w:type="dxa" w:w="1360"/>
            <w:tcBorders>
              <w:top w:color="000000" w:sz="4" w:val="single"/>
              <w:left w:color="000000" w:sz="4" w:val="single"/>
              <w:bottom w:color="000000" w:sz="4" w:val="single"/>
              <w:right w:color="000000" w:sz="4" w:val="single"/>
            </w:tcBorders>
            <w:shd w:fill="auto" w:val="clear"/>
            <w:vAlign w:val="bottom"/>
          </w:tcPr>
          <w:p w14:paraId="A3420000">
            <w:pPr>
              <w:widowControl w:val="1"/>
              <w:ind/>
              <w:jc w:val="right"/>
              <w:rPr>
                <w:sz w:val="18"/>
              </w:rPr>
            </w:pPr>
            <w:r>
              <w:rPr>
                <w:sz w:val="18"/>
              </w:rPr>
              <w:t>6</w:t>
            </w:r>
          </w:p>
        </w:tc>
        <w:tc>
          <w:tcPr>
            <w:tcW w:type="dxa" w:w="1560"/>
            <w:tcBorders>
              <w:top w:color="000000" w:sz="4" w:val="single"/>
              <w:left w:color="000000" w:sz="4" w:val="single"/>
              <w:bottom w:color="000000" w:sz="4" w:val="single"/>
              <w:right w:color="000000" w:sz="4" w:val="single"/>
            </w:tcBorders>
            <w:shd w:fill="auto" w:val="clear"/>
            <w:vAlign w:val="bottom"/>
          </w:tcPr>
          <w:p w14:paraId="A4420000">
            <w:pPr>
              <w:widowControl w:val="1"/>
              <w:ind/>
              <w:jc w:val="right"/>
              <w:rPr>
                <w:sz w:val="18"/>
              </w:rPr>
            </w:pPr>
            <w:r>
              <w:rPr>
                <w:sz w:val="18"/>
              </w:rPr>
              <w:t>1</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A5420000">
            <w:pPr>
              <w:rPr>
                <w:sz w:val="18"/>
              </w:rPr>
            </w:pPr>
            <w:r>
              <w:rPr>
                <w:sz w:val="18"/>
              </w:rPr>
              <w:t>АВАНГАРД СИБИРЬ ООО</w:t>
            </w:r>
          </w:p>
        </w:tc>
        <w:tc>
          <w:tcPr>
            <w:tcW w:type="dxa" w:w="1520"/>
            <w:tcBorders>
              <w:top w:color="000000" w:sz="4" w:val="single"/>
              <w:left w:color="000000" w:sz="4" w:val="single"/>
              <w:bottom w:color="000000" w:sz="4" w:val="single"/>
              <w:right w:color="000000" w:sz="4" w:val="single"/>
            </w:tcBorders>
            <w:shd w:fill="auto" w:val="clear"/>
            <w:vAlign w:val="bottom"/>
          </w:tcPr>
          <w:p w14:paraId="A6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A7420000">
            <w:pPr>
              <w:widowControl w:val="1"/>
              <w:ind/>
              <w:jc w:val="right"/>
              <w:rPr>
                <w:sz w:val="18"/>
              </w:rPr>
            </w:pPr>
            <w:r>
              <w:rPr>
                <w:sz w:val="18"/>
              </w:rPr>
              <w:t>688</w:t>
            </w:r>
          </w:p>
        </w:tc>
        <w:tc>
          <w:tcPr>
            <w:tcW w:type="dxa" w:w="1360"/>
            <w:tcBorders>
              <w:top w:color="000000" w:sz="4" w:val="single"/>
              <w:left w:color="000000" w:sz="4" w:val="single"/>
              <w:bottom w:color="000000" w:sz="4" w:val="single"/>
              <w:right w:color="000000" w:sz="4" w:val="single"/>
            </w:tcBorders>
            <w:shd w:fill="auto" w:val="clear"/>
            <w:vAlign w:val="bottom"/>
          </w:tcPr>
          <w:p w14:paraId="A8420000">
            <w:pPr>
              <w:widowControl w:val="1"/>
              <w:ind/>
              <w:jc w:val="right"/>
              <w:rPr>
                <w:sz w:val="18"/>
              </w:rPr>
            </w:pPr>
            <w:r>
              <w:rPr>
                <w:sz w:val="18"/>
              </w:rPr>
              <w:t>688</w:t>
            </w:r>
          </w:p>
        </w:tc>
        <w:tc>
          <w:tcPr>
            <w:tcW w:type="dxa" w:w="1560"/>
            <w:tcBorders>
              <w:top w:color="000000" w:sz="4" w:val="single"/>
              <w:left w:color="000000" w:sz="4" w:val="single"/>
              <w:bottom w:color="000000" w:sz="4" w:val="single"/>
              <w:right w:color="000000" w:sz="4" w:val="single"/>
            </w:tcBorders>
            <w:shd w:fill="auto" w:val="clear"/>
            <w:vAlign w:val="bottom"/>
          </w:tcPr>
          <w:p w14:paraId="A9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AA420000">
            <w:pPr>
              <w:rPr>
                <w:sz w:val="18"/>
              </w:rPr>
            </w:pPr>
            <w:r>
              <w:rPr>
                <w:sz w:val="18"/>
              </w:rPr>
              <w:t>АВИАКОМПАНИЯ ИКАР ООО</w:t>
            </w:r>
          </w:p>
        </w:tc>
        <w:tc>
          <w:tcPr>
            <w:tcW w:type="dxa" w:w="1520"/>
            <w:tcBorders>
              <w:top w:color="000000" w:sz="4" w:val="single"/>
              <w:left w:color="000000" w:sz="4" w:val="single"/>
              <w:bottom w:color="000000" w:sz="4" w:val="single"/>
              <w:right w:color="000000" w:sz="4" w:val="single"/>
            </w:tcBorders>
            <w:shd w:fill="auto" w:val="clear"/>
            <w:vAlign w:val="bottom"/>
          </w:tcPr>
          <w:p w14:paraId="AB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AC420000">
            <w:pPr>
              <w:widowControl w:val="1"/>
              <w:ind/>
              <w:jc w:val="right"/>
              <w:rPr>
                <w:sz w:val="18"/>
              </w:rPr>
            </w:pPr>
            <w:r>
              <w:rPr>
                <w:sz w:val="18"/>
              </w:rPr>
              <w:t>4</w:t>
            </w:r>
          </w:p>
        </w:tc>
        <w:tc>
          <w:tcPr>
            <w:tcW w:type="dxa" w:w="1360"/>
            <w:tcBorders>
              <w:top w:color="000000" w:sz="4" w:val="single"/>
              <w:left w:color="000000" w:sz="4" w:val="single"/>
              <w:bottom w:color="000000" w:sz="4" w:val="single"/>
              <w:right w:color="000000" w:sz="4" w:val="single"/>
            </w:tcBorders>
            <w:shd w:fill="auto" w:val="clear"/>
            <w:vAlign w:val="bottom"/>
          </w:tcPr>
          <w:p w14:paraId="AD420000">
            <w:pPr>
              <w:widowControl w:val="1"/>
              <w:ind/>
              <w:jc w:val="right"/>
              <w:rPr>
                <w:sz w:val="18"/>
              </w:rPr>
            </w:pPr>
            <w:r>
              <w:rPr>
                <w:sz w:val="18"/>
              </w:rPr>
              <w:t>4</w:t>
            </w:r>
          </w:p>
        </w:tc>
        <w:tc>
          <w:tcPr>
            <w:tcW w:type="dxa" w:w="1560"/>
            <w:tcBorders>
              <w:top w:color="000000" w:sz="4" w:val="single"/>
              <w:left w:color="000000" w:sz="4" w:val="single"/>
              <w:bottom w:color="000000" w:sz="4" w:val="single"/>
              <w:right w:color="000000" w:sz="4" w:val="single"/>
            </w:tcBorders>
            <w:shd w:fill="auto" w:val="clear"/>
            <w:vAlign w:val="bottom"/>
          </w:tcPr>
          <w:p w14:paraId="AE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AF420000">
            <w:pPr>
              <w:rPr>
                <w:sz w:val="18"/>
              </w:rPr>
            </w:pPr>
            <w:r>
              <w:rPr>
                <w:sz w:val="18"/>
              </w:rPr>
              <w:t>Автодорожно-транспортная газета ООО</w:t>
            </w:r>
          </w:p>
        </w:tc>
        <w:tc>
          <w:tcPr>
            <w:tcW w:type="dxa" w:w="1520"/>
            <w:tcBorders>
              <w:top w:color="000000" w:sz="4" w:val="single"/>
              <w:left w:color="000000" w:sz="4" w:val="single"/>
              <w:bottom w:color="000000" w:sz="4" w:val="single"/>
              <w:right w:color="000000" w:sz="4" w:val="single"/>
            </w:tcBorders>
            <w:shd w:fill="auto" w:val="clear"/>
            <w:vAlign w:val="bottom"/>
          </w:tcPr>
          <w:p w14:paraId="B0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B1420000">
            <w:pPr>
              <w:widowControl w:val="1"/>
              <w:ind/>
              <w:jc w:val="right"/>
              <w:rPr>
                <w:sz w:val="18"/>
              </w:rPr>
            </w:pPr>
            <w:r>
              <w:rPr>
                <w:sz w:val="18"/>
              </w:rPr>
              <w:t>3</w:t>
            </w:r>
          </w:p>
        </w:tc>
        <w:tc>
          <w:tcPr>
            <w:tcW w:type="dxa" w:w="1360"/>
            <w:tcBorders>
              <w:top w:color="000000" w:sz="4" w:val="single"/>
              <w:left w:color="000000" w:sz="4" w:val="single"/>
              <w:bottom w:color="000000" w:sz="4" w:val="single"/>
              <w:right w:color="000000" w:sz="4" w:val="single"/>
            </w:tcBorders>
            <w:shd w:fill="auto" w:val="clear"/>
            <w:vAlign w:val="bottom"/>
          </w:tcPr>
          <w:p w14:paraId="B2420000">
            <w:pPr>
              <w:widowControl w:val="1"/>
              <w:ind/>
              <w:jc w:val="right"/>
              <w:rPr>
                <w:sz w:val="18"/>
              </w:rPr>
            </w:pPr>
            <w:r>
              <w:rPr>
                <w:sz w:val="18"/>
              </w:rPr>
              <w:t>3</w:t>
            </w:r>
          </w:p>
        </w:tc>
        <w:tc>
          <w:tcPr>
            <w:tcW w:type="dxa" w:w="1560"/>
            <w:tcBorders>
              <w:top w:color="000000" w:sz="4" w:val="single"/>
              <w:left w:color="000000" w:sz="4" w:val="single"/>
              <w:bottom w:color="000000" w:sz="4" w:val="single"/>
              <w:right w:color="000000" w:sz="4" w:val="single"/>
            </w:tcBorders>
            <w:shd w:fill="auto" w:val="clear"/>
            <w:vAlign w:val="bottom"/>
          </w:tcPr>
          <w:p w14:paraId="B3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B4420000">
            <w:pPr>
              <w:rPr>
                <w:sz w:val="18"/>
              </w:rPr>
            </w:pPr>
            <w:r>
              <w:rPr>
                <w:sz w:val="18"/>
              </w:rPr>
              <w:t>АВТОЦЕНТР КрасГАЗсервис АО</w:t>
            </w:r>
          </w:p>
        </w:tc>
        <w:tc>
          <w:tcPr>
            <w:tcW w:type="dxa" w:w="1520"/>
            <w:tcBorders>
              <w:top w:color="000000" w:sz="4" w:val="single"/>
              <w:left w:color="000000" w:sz="4" w:val="single"/>
              <w:bottom w:color="000000" w:sz="4" w:val="single"/>
              <w:right w:color="000000" w:sz="4" w:val="single"/>
            </w:tcBorders>
            <w:shd w:fill="auto" w:val="clear"/>
            <w:vAlign w:val="bottom"/>
          </w:tcPr>
          <w:p w14:paraId="B5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B6420000">
            <w:pPr>
              <w:widowControl w:val="1"/>
              <w:ind/>
              <w:jc w:val="right"/>
              <w:rPr>
                <w:sz w:val="18"/>
              </w:rPr>
            </w:pPr>
            <w:r>
              <w:rPr>
                <w:sz w:val="18"/>
              </w:rPr>
              <w:t>1</w:t>
            </w:r>
          </w:p>
        </w:tc>
        <w:tc>
          <w:tcPr>
            <w:tcW w:type="dxa" w:w="1360"/>
            <w:tcBorders>
              <w:top w:color="000000" w:sz="4" w:val="single"/>
              <w:left w:color="000000" w:sz="4" w:val="single"/>
              <w:bottom w:color="000000" w:sz="4" w:val="single"/>
              <w:right w:color="000000" w:sz="4" w:val="single"/>
            </w:tcBorders>
            <w:shd w:fill="auto" w:val="clear"/>
            <w:vAlign w:val="bottom"/>
          </w:tcPr>
          <w:p w14:paraId="B7420000">
            <w:pPr>
              <w:widowControl w:val="1"/>
              <w:ind/>
              <w:jc w:val="right"/>
              <w:rPr>
                <w:sz w:val="18"/>
              </w:rPr>
            </w:pPr>
            <w:r>
              <w:rPr>
                <w:sz w:val="18"/>
              </w:rPr>
              <w:t>1</w:t>
            </w:r>
          </w:p>
        </w:tc>
        <w:tc>
          <w:tcPr>
            <w:tcW w:type="dxa" w:w="1560"/>
            <w:tcBorders>
              <w:top w:color="000000" w:sz="4" w:val="single"/>
              <w:left w:color="000000" w:sz="4" w:val="single"/>
              <w:bottom w:color="000000" w:sz="4" w:val="single"/>
              <w:right w:color="000000" w:sz="4" w:val="single"/>
            </w:tcBorders>
            <w:shd w:fill="auto" w:val="clear"/>
            <w:vAlign w:val="bottom"/>
          </w:tcPr>
          <w:p w14:paraId="B8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B9420000">
            <w:pPr>
              <w:rPr>
                <w:sz w:val="18"/>
              </w:rPr>
            </w:pPr>
            <w:r>
              <w:rPr>
                <w:sz w:val="18"/>
              </w:rPr>
              <w:t>АЗИМУТ НТ ООО</w:t>
            </w:r>
          </w:p>
        </w:tc>
        <w:tc>
          <w:tcPr>
            <w:tcW w:type="dxa" w:w="1520"/>
            <w:tcBorders>
              <w:top w:color="000000" w:sz="4" w:val="single"/>
              <w:left w:color="000000" w:sz="4" w:val="single"/>
              <w:bottom w:color="000000" w:sz="4" w:val="single"/>
              <w:right w:color="000000" w:sz="4" w:val="single"/>
            </w:tcBorders>
            <w:shd w:fill="auto" w:val="clear"/>
            <w:vAlign w:val="bottom"/>
          </w:tcPr>
          <w:p w14:paraId="BA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BB420000">
            <w:pPr>
              <w:widowControl w:val="1"/>
              <w:ind/>
              <w:jc w:val="right"/>
              <w:rPr>
                <w:sz w:val="18"/>
              </w:rPr>
            </w:pPr>
            <w:r>
              <w:rPr>
                <w:sz w:val="18"/>
              </w:rPr>
              <w:t>931</w:t>
            </w:r>
          </w:p>
        </w:tc>
        <w:tc>
          <w:tcPr>
            <w:tcW w:type="dxa" w:w="1360"/>
            <w:tcBorders>
              <w:top w:color="000000" w:sz="4" w:val="single"/>
              <w:left w:color="000000" w:sz="4" w:val="single"/>
              <w:bottom w:color="000000" w:sz="4" w:val="single"/>
              <w:right w:color="000000" w:sz="4" w:val="single"/>
            </w:tcBorders>
            <w:shd w:fill="auto" w:val="clear"/>
            <w:vAlign w:val="bottom"/>
          </w:tcPr>
          <w:p w14:paraId="BC420000">
            <w:pPr>
              <w:widowControl w:val="1"/>
              <w:ind/>
              <w:jc w:val="right"/>
              <w:rPr>
                <w:sz w:val="18"/>
              </w:rPr>
            </w:pPr>
            <w:r>
              <w:rPr>
                <w:sz w:val="18"/>
              </w:rPr>
              <w:t>931</w:t>
            </w:r>
          </w:p>
        </w:tc>
        <w:tc>
          <w:tcPr>
            <w:tcW w:type="dxa" w:w="1560"/>
            <w:tcBorders>
              <w:top w:color="000000" w:sz="4" w:val="single"/>
              <w:left w:color="000000" w:sz="4" w:val="single"/>
              <w:bottom w:color="000000" w:sz="4" w:val="single"/>
              <w:right w:color="000000" w:sz="4" w:val="single"/>
            </w:tcBorders>
            <w:shd w:fill="auto" w:val="clear"/>
            <w:vAlign w:val="bottom"/>
          </w:tcPr>
          <w:p w14:paraId="BD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BE420000">
            <w:pPr>
              <w:rPr>
                <w:sz w:val="18"/>
              </w:rPr>
            </w:pPr>
            <w:r>
              <w:rPr>
                <w:sz w:val="18"/>
              </w:rPr>
              <w:t>АК Енисейлес АО</w:t>
            </w:r>
          </w:p>
        </w:tc>
        <w:tc>
          <w:tcPr>
            <w:tcW w:type="dxa" w:w="1520"/>
            <w:tcBorders>
              <w:top w:color="000000" w:sz="4" w:val="single"/>
              <w:left w:color="000000" w:sz="4" w:val="single"/>
              <w:bottom w:color="000000" w:sz="4" w:val="single"/>
              <w:right w:color="000000" w:sz="4" w:val="single"/>
            </w:tcBorders>
            <w:shd w:fill="auto" w:val="clear"/>
            <w:vAlign w:val="bottom"/>
          </w:tcPr>
          <w:p w14:paraId="BF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C0420000">
            <w:pPr>
              <w:widowControl w:val="1"/>
              <w:ind/>
              <w:jc w:val="right"/>
              <w:rPr>
                <w:sz w:val="18"/>
              </w:rPr>
            </w:pPr>
            <w:r>
              <w:rPr>
                <w:sz w:val="18"/>
              </w:rPr>
              <w:t>5</w:t>
            </w:r>
          </w:p>
        </w:tc>
        <w:tc>
          <w:tcPr>
            <w:tcW w:type="dxa" w:w="1360"/>
            <w:tcBorders>
              <w:top w:color="000000" w:sz="4" w:val="single"/>
              <w:left w:color="000000" w:sz="4" w:val="single"/>
              <w:bottom w:color="000000" w:sz="4" w:val="single"/>
              <w:right w:color="000000" w:sz="4" w:val="single"/>
            </w:tcBorders>
            <w:shd w:fill="auto" w:val="clear"/>
            <w:vAlign w:val="bottom"/>
          </w:tcPr>
          <w:p w14:paraId="C1420000">
            <w:pPr>
              <w:widowControl w:val="1"/>
              <w:ind/>
              <w:jc w:val="right"/>
              <w:rPr>
                <w:sz w:val="18"/>
              </w:rPr>
            </w:pPr>
            <w:r>
              <w:rPr>
                <w:sz w:val="18"/>
              </w:rPr>
              <w:t>5</w:t>
            </w:r>
          </w:p>
        </w:tc>
        <w:tc>
          <w:tcPr>
            <w:tcW w:type="dxa" w:w="1560"/>
            <w:tcBorders>
              <w:top w:color="000000" w:sz="4" w:val="single"/>
              <w:left w:color="000000" w:sz="4" w:val="single"/>
              <w:bottom w:color="000000" w:sz="4" w:val="single"/>
              <w:right w:color="000000" w:sz="4" w:val="single"/>
            </w:tcBorders>
            <w:shd w:fill="auto" w:val="clear"/>
            <w:vAlign w:val="bottom"/>
          </w:tcPr>
          <w:p w14:paraId="C2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C3420000">
            <w:pPr>
              <w:rPr>
                <w:sz w:val="18"/>
              </w:rPr>
            </w:pPr>
            <w:r>
              <w:rPr>
                <w:sz w:val="18"/>
              </w:rPr>
              <w:t>АЛЬФАТЕЛ ПЛЮС ООО</w:t>
            </w:r>
          </w:p>
        </w:tc>
        <w:tc>
          <w:tcPr>
            <w:tcW w:type="dxa" w:w="1520"/>
            <w:tcBorders>
              <w:top w:color="000000" w:sz="4" w:val="single"/>
              <w:left w:color="000000" w:sz="4" w:val="single"/>
              <w:bottom w:color="000000" w:sz="4" w:val="single"/>
              <w:right w:color="000000" w:sz="4" w:val="single"/>
            </w:tcBorders>
            <w:shd w:fill="auto" w:val="clear"/>
            <w:vAlign w:val="bottom"/>
          </w:tcPr>
          <w:p w14:paraId="C4420000">
            <w:pPr>
              <w:widowControl w:val="1"/>
              <w:ind/>
              <w:jc w:val="right"/>
              <w:rPr>
                <w:sz w:val="18"/>
              </w:rPr>
            </w:pPr>
            <w:r>
              <w:rPr>
                <w:sz w:val="18"/>
              </w:rPr>
              <w:t>1</w:t>
            </w:r>
          </w:p>
        </w:tc>
        <w:tc>
          <w:tcPr>
            <w:tcW w:type="dxa" w:w="1360"/>
            <w:tcBorders>
              <w:top w:color="000000" w:sz="4" w:val="single"/>
              <w:left w:color="000000" w:sz="4" w:val="single"/>
              <w:bottom w:color="000000" w:sz="4" w:val="single"/>
              <w:right w:color="000000" w:sz="4" w:val="single"/>
            </w:tcBorders>
            <w:shd w:fill="auto" w:val="clear"/>
            <w:vAlign w:val="bottom"/>
          </w:tcPr>
          <w:p w14:paraId="C5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C6420000">
            <w:pPr>
              <w:widowControl w:val="1"/>
              <w:ind/>
              <w:jc w:val="right"/>
              <w:rPr>
                <w:sz w:val="18"/>
              </w:rPr>
            </w:pPr>
            <w:r>
              <w:rPr>
                <w:sz w:val="18"/>
              </w:rPr>
              <w:t>1</w:t>
            </w:r>
          </w:p>
        </w:tc>
        <w:tc>
          <w:tcPr>
            <w:tcW w:type="dxa" w:w="1560"/>
            <w:tcBorders>
              <w:top w:color="000000" w:sz="4" w:val="single"/>
              <w:left w:color="000000" w:sz="4" w:val="single"/>
              <w:bottom w:color="000000" w:sz="4" w:val="single"/>
              <w:right w:color="000000" w:sz="4" w:val="single"/>
            </w:tcBorders>
            <w:shd w:fill="auto" w:val="clear"/>
            <w:vAlign w:val="bottom"/>
          </w:tcPr>
          <w:p w14:paraId="C7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C8420000">
            <w:pPr>
              <w:rPr>
                <w:sz w:val="18"/>
              </w:rPr>
            </w:pPr>
            <w:r>
              <w:rPr>
                <w:sz w:val="18"/>
              </w:rPr>
              <w:t>АЦ-АВАНГАРД ООО</w:t>
            </w:r>
          </w:p>
        </w:tc>
        <w:tc>
          <w:tcPr>
            <w:tcW w:type="dxa" w:w="1520"/>
            <w:tcBorders>
              <w:top w:color="000000" w:sz="4" w:val="single"/>
              <w:left w:color="000000" w:sz="4" w:val="single"/>
              <w:bottom w:color="000000" w:sz="4" w:val="single"/>
              <w:right w:color="000000" w:sz="4" w:val="single"/>
            </w:tcBorders>
            <w:shd w:fill="auto" w:val="clear"/>
            <w:vAlign w:val="bottom"/>
          </w:tcPr>
          <w:p w14:paraId="C9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CA420000">
            <w:pPr>
              <w:widowControl w:val="1"/>
              <w:ind/>
              <w:jc w:val="right"/>
              <w:rPr>
                <w:sz w:val="18"/>
              </w:rPr>
            </w:pPr>
            <w:r>
              <w:rPr>
                <w:sz w:val="18"/>
              </w:rPr>
              <w:t>56</w:t>
            </w:r>
          </w:p>
        </w:tc>
        <w:tc>
          <w:tcPr>
            <w:tcW w:type="dxa" w:w="1360"/>
            <w:tcBorders>
              <w:top w:color="000000" w:sz="4" w:val="single"/>
              <w:left w:color="000000" w:sz="4" w:val="single"/>
              <w:bottom w:color="000000" w:sz="4" w:val="single"/>
              <w:right w:color="000000" w:sz="4" w:val="single"/>
            </w:tcBorders>
            <w:shd w:fill="auto" w:val="clear"/>
            <w:vAlign w:val="bottom"/>
          </w:tcPr>
          <w:p w14:paraId="CB420000">
            <w:pPr>
              <w:widowControl w:val="1"/>
              <w:ind/>
              <w:jc w:val="right"/>
              <w:rPr>
                <w:sz w:val="18"/>
              </w:rPr>
            </w:pPr>
            <w:r>
              <w:rPr>
                <w:sz w:val="18"/>
              </w:rPr>
              <w:t>56</w:t>
            </w:r>
          </w:p>
        </w:tc>
        <w:tc>
          <w:tcPr>
            <w:tcW w:type="dxa" w:w="1560"/>
            <w:tcBorders>
              <w:top w:color="000000" w:sz="4" w:val="single"/>
              <w:left w:color="000000" w:sz="4" w:val="single"/>
              <w:bottom w:color="000000" w:sz="4" w:val="single"/>
              <w:right w:color="000000" w:sz="4" w:val="single"/>
            </w:tcBorders>
            <w:shd w:fill="auto" w:val="clear"/>
            <w:vAlign w:val="bottom"/>
          </w:tcPr>
          <w:p w14:paraId="CC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CD420000">
            <w:pPr>
              <w:rPr>
                <w:sz w:val="18"/>
              </w:rPr>
            </w:pPr>
            <w:r>
              <w:rPr>
                <w:sz w:val="18"/>
              </w:rPr>
              <w:t>АЭРОФЛОТ ПАО</w:t>
            </w:r>
          </w:p>
        </w:tc>
        <w:tc>
          <w:tcPr>
            <w:tcW w:type="dxa" w:w="1520"/>
            <w:tcBorders>
              <w:top w:color="000000" w:sz="4" w:val="single"/>
              <w:left w:color="000000" w:sz="4" w:val="single"/>
              <w:bottom w:color="000000" w:sz="4" w:val="single"/>
              <w:right w:color="000000" w:sz="4" w:val="single"/>
            </w:tcBorders>
            <w:shd w:fill="auto" w:val="clear"/>
            <w:vAlign w:val="bottom"/>
          </w:tcPr>
          <w:p w14:paraId="CE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CF420000">
            <w:pPr>
              <w:widowControl w:val="1"/>
              <w:ind/>
              <w:jc w:val="right"/>
              <w:rPr>
                <w:sz w:val="18"/>
              </w:rPr>
            </w:pPr>
            <w:r>
              <w:rPr>
                <w:sz w:val="18"/>
              </w:rPr>
              <w:t>90</w:t>
            </w:r>
          </w:p>
        </w:tc>
        <w:tc>
          <w:tcPr>
            <w:tcW w:type="dxa" w:w="1360"/>
            <w:tcBorders>
              <w:top w:color="000000" w:sz="4" w:val="single"/>
              <w:left w:color="000000" w:sz="4" w:val="single"/>
              <w:bottom w:color="000000" w:sz="4" w:val="single"/>
              <w:right w:color="000000" w:sz="4" w:val="single"/>
            </w:tcBorders>
            <w:shd w:fill="auto" w:val="clear"/>
            <w:vAlign w:val="bottom"/>
          </w:tcPr>
          <w:p w14:paraId="D0420000">
            <w:pPr>
              <w:widowControl w:val="1"/>
              <w:ind/>
              <w:jc w:val="right"/>
              <w:rPr>
                <w:sz w:val="18"/>
              </w:rPr>
            </w:pPr>
            <w:r>
              <w:rPr>
                <w:sz w:val="18"/>
              </w:rPr>
              <w:t>90</w:t>
            </w:r>
          </w:p>
        </w:tc>
        <w:tc>
          <w:tcPr>
            <w:tcW w:type="dxa" w:w="1560"/>
            <w:tcBorders>
              <w:top w:color="000000" w:sz="4" w:val="single"/>
              <w:left w:color="000000" w:sz="4" w:val="single"/>
              <w:bottom w:color="000000" w:sz="4" w:val="single"/>
              <w:right w:color="000000" w:sz="4" w:val="single"/>
            </w:tcBorders>
            <w:shd w:fill="auto" w:val="clear"/>
            <w:vAlign w:val="bottom"/>
          </w:tcPr>
          <w:p w14:paraId="D1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D2420000">
            <w:pPr>
              <w:rPr>
                <w:sz w:val="18"/>
              </w:rPr>
            </w:pPr>
            <w:r>
              <w:rPr>
                <w:sz w:val="18"/>
              </w:rPr>
              <w:t>Бабич Светлана Александровна</w:t>
            </w:r>
          </w:p>
        </w:tc>
        <w:tc>
          <w:tcPr>
            <w:tcW w:type="dxa" w:w="1520"/>
            <w:tcBorders>
              <w:top w:color="000000" w:sz="4" w:val="single"/>
              <w:left w:color="000000" w:sz="4" w:val="single"/>
              <w:bottom w:color="000000" w:sz="4" w:val="single"/>
              <w:right w:color="000000" w:sz="4" w:val="single"/>
            </w:tcBorders>
            <w:shd w:fill="auto" w:val="clear"/>
            <w:vAlign w:val="bottom"/>
          </w:tcPr>
          <w:p w14:paraId="D3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D4420000">
            <w:pPr>
              <w:widowControl w:val="1"/>
              <w:ind/>
              <w:jc w:val="right"/>
              <w:rPr>
                <w:sz w:val="18"/>
              </w:rPr>
            </w:pPr>
            <w:r>
              <w:rPr>
                <w:sz w:val="18"/>
              </w:rPr>
              <w:t>6</w:t>
            </w:r>
          </w:p>
        </w:tc>
        <w:tc>
          <w:tcPr>
            <w:tcW w:type="dxa" w:w="1360"/>
            <w:tcBorders>
              <w:top w:color="000000" w:sz="4" w:val="single"/>
              <w:left w:color="000000" w:sz="4" w:val="single"/>
              <w:bottom w:color="000000" w:sz="4" w:val="single"/>
              <w:right w:color="000000" w:sz="4" w:val="single"/>
            </w:tcBorders>
            <w:shd w:fill="auto" w:val="clear"/>
            <w:vAlign w:val="bottom"/>
          </w:tcPr>
          <w:p w14:paraId="D5420000">
            <w:pPr>
              <w:widowControl w:val="1"/>
              <w:ind/>
              <w:jc w:val="right"/>
              <w:rPr>
                <w:sz w:val="18"/>
              </w:rPr>
            </w:pPr>
            <w:r>
              <w:rPr>
                <w:sz w:val="18"/>
              </w:rPr>
              <w:t>6</w:t>
            </w:r>
          </w:p>
        </w:tc>
        <w:tc>
          <w:tcPr>
            <w:tcW w:type="dxa" w:w="1560"/>
            <w:tcBorders>
              <w:top w:color="000000" w:sz="4" w:val="single"/>
              <w:left w:color="000000" w:sz="4" w:val="single"/>
              <w:bottom w:color="000000" w:sz="4" w:val="single"/>
              <w:right w:color="000000" w:sz="4" w:val="single"/>
            </w:tcBorders>
            <w:shd w:fill="auto" w:val="clear"/>
            <w:vAlign w:val="bottom"/>
          </w:tcPr>
          <w:p w14:paraId="D6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D7420000">
            <w:pPr>
              <w:rPr>
                <w:sz w:val="18"/>
              </w:rPr>
            </w:pPr>
            <w:r>
              <w:rPr>
                <w:sz w:val="18"/>
              </w:rPr>
              <w:t>Бастион-Канск 2 ООО</w:t>
            </w:r>
          </w:p>
        </w:tc>
        <w:tc>
          <w:tcPr>
            <w:tcW w:type="dxa" w:w="1520"/>
            <w:tcBorders>
              <w:top w:color="000000" w:sz="4" w:val="single"/>
              <w:left w:color="000000" w:sz="4" w:val="single"/>
              <w:bottom w:color="000000" w:sz="4" w:val="single"/>
              <w:right w:color="000000" w:sz="4" w:val="single"/>
            </w:tcBorders>
            <w:shd w:fill="auto" w:val="clear"/>
            <w:vAlign w:val="bottom"/>
          </w:tcPr>
          <w:p w14:paraId="D8420000">
            <w:pPr>
              <w:widowControl w:val="1"/>
              <w:ind/>
              <w:jc w:val="right"/>
              <w:rPr>
                <w:sz w:val="18"/>
              </w:rPr>
            </w:pPr>
            <w:r>
              <w:rPr>
                <w:sz w:val="18"/>
              </w:rPr>
              <w:t>298</w:t>
            </w:r>
          </w:p>
        </w:tc>
        <w:tc>
          <w:tcPr>
            <w:tcW w:type="dxa" w:w="1360"/>
            <w:tcBorders>
              <w:top w:color="000000" w:sz="4" w:val="single"/>
              <w:left w:color="000000" w:sz="4" w:val="single"/>
              <w:bottom w:color="000000" w:sz="4" w:val="single"/>
              <w:right w:color="000000" w:sz="4" w:val="single"/>
            </w:tcBorders>
            <w:shd w:fill="auto" w:val="clear"/>
            <w:vAlign w:val="bottom"/>
          </w:tcPr>
          <w:p w14:paraId="D9420000">
            <w:pPr>
              <w:widowControl w:val="1"/>
              <w:ind/>
              <w:jc w:val="right"/>
              <w:rPr>
                <w:sz w:val="18"/>
              </w:rPr>
            </w:pPr>
            <w:r>
              <w:rPr>
                <w:sz w:val="18"/>
              </w:rPr>
              <w:t>2 629</w:t>
            </w:r>
          </w:p>
        </w:tc>
        <w:tc>
          <w:tcPr>
            <w:tcW w:type="dxa" w:w="1360"/>
            <w:tcBorders>
              <w:top w:color="000000" w:sz="4" w:val="single"/>
              <w:left w:color="000000" w:sz="4" w:val="single"/>
              <w:bottom w:color="000000" w:sz="4" w:val="single"/>
              <w:right w:color="000000" w:sz="4" w:val="single"/>
            </w:tcBorders>
            <w:shd w:fill="auto" w:val="clear"/>
            <w:vAlign w:val="bottom"/>
          </w:tcPr>
          <w:p w14:paraId="DA420000">
            <w:pPr>
              <w:widowControl w:val="1"/>
              <w:ind/>
              <w:jc w:val="right"/>
              <w:rPr>
                <w:sz w:val="18"/>
              </w:rPr>
            </w:pPr>
            <w:r>
              <w:rPr>
                <w:sz w:val="18"/>
              </w:rPr>
              <w:t>2 638</w:t>
            </w:r>
          </w:p>
        </w:tc>
        <w:tc>
          <w:tcPr>
            <w:tcW w:type="dxa" w:w="1560"/>
            <w:tcBorders>
              <w:top w:color="000000" w:sz="4" w:val="single"/>
              <w:left w:color="000000" w:sz="4" w:val="single"/>
              <w:bottom w:color="000000" w:sz="4" w:val="single"/>
              <w:right w:color="000000" w:sz="4" w:val="single"/>
            </w:tcBorders>
            <w:shd w:fill="auto" w:val="clear"/>
            <w:vAlign w:val="bottom"/>
          </w:tcPr>
          <w:p w14:paraId="DB420000">
            <w:pPr>
              <w:widowControl w:val="1"/>
              <w:ind/>
              <w:jc w:val="right"/>
              <w:rPr>
                <w:sz w:val="18"/>
              </w:rPr>
            </w:pPr>
            <w:r>
              <w:rPr>
                <w:sz w:val="18"/>
              </w:rPr>
              <w:t>289</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DC420000">
            <w:pPr>
              <w:rPr>
                <w:sz w:val="18"/>
              </w:rPr>
            </w:pPr>
            <w:r>
              <w:rPr>
                <w:sz w:val="18"/>
              </w:rPr>
              <w:t>Белявцев Александр Александрович</w:t>
            </w:r>
          </w:p>
        </w:tc>
        <w:tc>
          <w:tcPr>
            <w:tcW w:type="dxa" w:w="1520"/>
            <w:tcBorders>
              <w:top w:color="000000" w:sz="4" w:val="single"/>
              <w:left w:color="000000" w:sz="4" w:val="single"/>
              <w:bottom w:color="000000" w:sz="4" w:val="single"/>
              <w:right w:color="000000" w:sz="4" w:val="single"/>
            </w:tcBorders>
            <w:shd w:fill="auto" w:val="clear"/>
            <w:vAlign w:val="bottom"/>
          </w:tcPr>
          <w:p w14:paraId="DD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DE420000">
            <w:pPr>
              <w:widowControl w:val="1"/>
              <w:ind/>
              <w:jc w:val="right"/>
              <w:rPr>
                <w:sz w:val="18"/>
              </w:rPr>
            </w:pPr>
            <w:r>
              <w:rPr>
                <w:sz w:val="18"/>
              </w:rPr>
              <w:t>75</w:t>
            </w:r>
          </w:p>
        </w:tc>
        <w:tc>
          <w:tcPr>
            <w:tcW w:type="dxa" w:w="1360"/>
            <w:tcBorders>
              <w:top w:color="000000" w:sz="4" w:val="single"/>
              <w:left w:color="000000" w:sz="4" w:val="single"/>
              <w:bottom w:color="000000" w:sz="4" w:val="single"/>
              <w:right w:color="000000" w:sz="4" w:val="single"/>
            </w:tcBorders>
            <w:shd w:fill="auto" w:val="clear"/>
            <w:vAlign w:val="bottom"/>
          </w:tcPr>
          <w:p w14:paraId="DF420000">
            <w:pPr>
              <w:widowControl w:val="1"/>
              <w:ind/>
              <w:jc w:val="right"/>
              <w:rPr>
                <w:sz w:val="18"/>
              </w:rPr>
            </w:pPr>
            <w:r>
              <w:rPr>
                <w:sz w:val="18"/>
              </w:rPr>
              <w:t>75</w:t>
            </w:r>
          </w:p>
        </w:tc>
        <w:tc>
          <w:tcPr>
            <w:tcW w:type="dxa" w:w="1560"/>
            <w:tcBorders>
              <w:top w:color="000000" w:sz="4" w:val="single"/>
              <w:left w:color="000000" w:sz="4" w:val="single"/>
              <w:bottom w:color="000000" w:sz="4" w:val="single"/>
              <w:right w:color="000000" w:sz="4" w:val="single"/>
            </w:tcBorders>
            <w:shd w:fill="auto" w:val="clear"/>
            <w:vAlign w:val="bottom"/>
          </w:tcPr>
          <w:p w14:paraId="E0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1420000">
            <w:pPr>
              <w:rPr>
                <w:sz w:val="18"/>
              </w:rPr>
            </w:pPr>
            <w:r>
              <w:rPr>
                <w:sz w:val="18"/>
              </w:rPr>
              <w:t>БОСГРУП ООО</w:t>
            </w:r>
          </w:p>
        </w:tc>
        <w:tc>
          <w:tcPr>
            <w:tcW w:type="dxa" w:w="1520"/>
            <w:tcBorders>
              <w:top w:color="000000" w:sz="4" w:val="single"/>
              <w:left w:color="000000" w:sz="4" w:val="single"/>
              <w:bottom w:color="000000" w:sz="4" w:val="single"/>
              <w:right w:color="000000" w:sz="4" w:val="single"/>
            </w:tcBorders>
            <w:shd w:fill="auto" w:val="clear"/>
            <w:vAlign w:val="bottom"/>
          </w:tcPr>
          <w:p w14:paraId="E2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E3420000">
            <w:pPr>
              <w:widowControl w:val="1"/>
              <w:ind/>
              <w:jc w:val="right"/>
              <w:rPr>
                <w:sz w:val="18"/>
              </w:rPr>
            </w:pPr>
            <w:r>
              <w:rPr>
                <w:sz w:val="18"/>
              </w:rPr>
              <w:t>139</w:t>
            </w:r>
          </w:p>
        </w:tc>
        <w:tc>
          <w:tcPr>
            <w:tcW w:type="dxa" w:w="1360"/>
            <w:tcBorders>
              <w:top w:color="000000" w:sz="4" w:val="single"/>
              <w:left w:color="000000" w:sz="4" w:val="single"/>
              <w:bottom w:color="000000" w:sz="4" w:val="single"/>
              <w:right w:color="000000" w:sz="4" w:val="single"/>
            </w:tcBorders>
            <w:shd w:fill="auto" w:val="clear"/>
            <w:vAlign w:val="bottom"/>
          </w:tcPr>
          <w:p w14:paraId="E4420000">
            <w:pPr>
              <w:widowControl w:val="1"/>
              <w:ind/>
              <w:jc w:val="right"/>
              <w:rPr>
                <w:sz w:val="18"/>
              </w:rPr>
            </w:pPr>
            <w:r>
              <w:rPr>
                <w:sz w:val="18"/>
              </w:rPr>
              <w:t>139</w:t>
            </w:r>
          </w:p>
        </w:tc>
        <w:tc>
          <w:tcPr>
            <w:tcW w:type="dxa" w:w="1560"/>
            <w:tcBorders>
              <w:top w:color="000000" w:sz="4" w:val="single"/>
              <w:left w:color="000000" w:sz="4" w:val="single"/>
              <w:bottom w:color="000000" w:sz="4" w:val="single"/>
              <w:right w:color="000000" w:sz="4" w:val="single"/>
            </w:tcBorders>
            <w:shd w:fill="auto" w:val="clear"/>
            <w:vAlign w:val="bottom"/>
          </w:tcPr>
          <w:p w14:paraId="E5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6420000">
            <w:pPr>
              <w:rPr>
                <w:sz w:val="18"/>
              </w:rPr>
            </w:pPr>
            <w:r>
              <w:rPr>
                <w:sz w:val="18"/>
              </w:rPr>
              <w:t>БТК ООО</w:t>
            </w:r>
          </w:p>
        </w:tc>
        <w:tc>
          <w:tcPr>
            <w:tcW w:type="dxa" w:w="1520"/>
            <w:tcBorders>
              <w:top w:color="000000" w:sz="4" w:val="single"/>
              <w:left w:color="000000" w:sz="4" w:val="single"/>
              <w:bottom w:color="000000" w:sz="4" w:val="single"/>
              <w:right w:color="000000" w:sz="4" w:val="single"/>
            </w:tcBorders>
            <w:shd w:fill="auto" w:val="clear"/>
            <w:vAlign w:val="bottom"/>
          </w:tcPr>
          <w:p w14:paraId="E7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E8420000">
            <w:pPr>
              <w:widowControl w:val="1"/>
              <w:ind/>
              <w:jc w:val="right"/>
              <w:rPr>
                <w:sz w:val="18"/>
              </w:rPr>
            </w:pPr>
            <w:r>
              <w:rPr>
                <w:sz w:val="18"/>
              </w:rPr>
              <w:t>107</w:t>
            </w:r>
          </w:p>
        </w:tc>
        <w:tc>
          <w:tcPr>
            <w:tcW w:type="dxa" w:w="1360"/>
            <w:tcBorders>
              <w:top w:color="000000" w:sz="4" w:val="single"/>
              <w:left w:color="000000" w:sz="4" w:val="single"/>
              <w:bottom w:color="000000" w:sz="4" w:val="single"/>
              <w:right w:color="000000" w:sz="4" w:val="single"/>
            </w:tcBorders>
            <w:shd w:fill="auto" w:val="clear"/>
            <w:vAlign w:val="bottom"/>
          </w:tcPr>
          <w:p w14:paraId="E9420000">
            <w:pPr>
              <w:widowControl w:val="1"/>
              <w:ind/>
              <w:jc w:val="right"/>
              <w:rPr>
                <w:sz w:val="18"/>
              </w:rPr>
            </w:pPr>
            <w:r>
              <w:rPr>
                <w:sz w:val="18"/>
              </w:rPr>
              <w:t>107</w:t>
            </w:r>
          </w:p>
        </w:tc>
        <w:tc>
          <w:tcPr>
            <w:tcW w:type="dxa" w:w="1560"/>
            <w:tcBorders>
              <w:top w:color="000000" w:sz="4" w:val="single"/>
              <w:left w:color="000000" w:sz="4" w:val="single"/>
              <w:bottom w:color="000000" w:sz="4" w:val="single"/>
              <w:right w:color="000000" w:sz="4" w:val="single"/>
            </w:tcBorders>
            <w:shd w:fill="auto" w:val="clear"/>
            <w:vAlign w:val="bottom"/>
          </w:tcPr>
          <w:p w14:paraId="EA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B420000">
            <w:pPr>
              <w:rPr>
                <w:sz w:val="18"/>
              </w:rPr>
            </w:pPr>
            <w:r>
              <w:rPr>
                <w:sz w:val="18"/>
              </w:rPr>
              <w:t>ВАГОН-СЕРВИС ЗАО</w:t>
            </w:r>
          </w:p>
        </w:tc>
        <w:tc>
          <w:tcPr>
            <w:tcW w:type="dxa" w:w="1520"/>
            <w:tcBorders>
              <w:top w:color="000000" w:sz="4" w:val="single"/>
              <w:left w:color="000000" w:sz="4" w:val="single"/>
              <w:bottom w:color="000000" w:sz="4" w:val="single"/>
              <w:right w:color="000000" w:sz="4" w:val="single"/>
            </w:tcBorders>
            <w:shd w:fill="auto" w:val="clear"/>
            <w:vAlign w:val="bottom"/>
          </w:tcPr>
          <w:p w14:paraId="EC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ED420000">
            <w:pPr>
              <w:widowControl w:val="1"/>
              <w:ind/>
              <w:jc w:val="right"/>
              <w:rPr>
                <w:sz w:val="18"/>
              </w:rPr>
            </w:pPr>
            <w:r>
              <w:rPr>
                <w:sz w:val="18"/>
              </w:rPr>
              <w:t>3 292</w:t>
            </w:r>
          </w:p>
        </w:tc>
        <w:tc>
          <w:tcPr>
            <w:tcW w:type="dxa" w:w="1360"/>
            <w:tcBorders>
              <w:top w:color="000000" w:sz="4" w:val="single"/>
              <w:left w:color="000000" w:sz="4" w:val="single"/>
              <w:bottom w:color="000000" w:sz="4" w:val="single"/>
              <w:right w:color="000000" w:sz="4" w:val="single"/>
            </w:tcBorders>
            <w:shd w:fill="auto" w:val="clear"/>
            <w:vAlign w:val="bottom"/>
          </w:tcPr>
          <w:p w14:paraId="EE420000">
            <w:pPr>
              <w:widowControl w:val="1"/>
              <w:ind/>
              <w:jc w:val="right"/>
              <w:rPr>
                <w:sz w:val="18"/>
              </w:rPr>
            </w:pPr>
            <w:r>
              <w:rPr>
                <w:sz w:val="18"/>
              </w:rPr>
              <w:t>0</w:t>
            </w:r>
          </w:p>
        </w:tc>
        <w:tc>
          <w:tcPr>
            <w:tcW w:type="dxa" w:w="1560"/>
            <w:tcBorders>
              <w:top w:color="000000" w:sz="4" w:val="single"/>
              <w:left w:color="000000" w:sz="4" w:val="single"/>
              <w:bottom w:color="000000" w:sz="4" w:val="single"/>
              <w:right w:color="000000" w:sz="4" w:val="single"/>
            </w:tcBorders>
            <w:shd w:fill="auto" w:val="clear"/>
            <w:vAlign w:val="bottom"/>
          </w:tcPr>
          <w:p w14:paraId="EF420000">
            <w:pPr>
              <w:widowControl w:val="1"/>
              <w:ind/>
              <w:jc w:val="right"/>
              <w:rPr>
                <w:sz w:val="18"/>
              </w:rPr>
            </w:pPr>
            <w:r>
              <w:rPr>
                <w:sz w:val="18"/>
              </w:rPr>
              <w:t>3 292</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F0420000">
            <w:pPr>
              <w:rPr>
                <w:sz w:val="18"/>
              </w:rPr>
            </w:pPr>
            <w:r>
              <w:rPr>
                <w:sz w:val="18"/>
              </w:rPr>
              <w:t>ВИРАЖ ООО</w:t>
            </w:r>
          </w:p>
        </w:tc>
        <w:tc>
          <w:tcPr>
            <w:tcW w:type="dxa" w:w="1520"/>
            <w:tcBorders>
              <w:top w:color="000000" w:sz="4" w:val="single"/>
              <w:left w:color="000000" w:sz="4" w:val="single"/>
              <w:bottom w:color="000000" w:sz="4" w:val="single"/>
              <w:right w:color="000000" w:sz="4" w:val="single"/>
            </w:tcBorders>
            <w:shd w:fill="auto" w:val="clear"/>
            <w:vAlign w:val="bottom"/>
          </w:tcPr>
          <w:p w14:paraId="F1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F2420000">
            <w:pPr>
              <w:widowControl w:val="1"/>
              <w:ind/>
              <w:jc w:val="right"/>
              <w:rPr>
                <w:sz w:val="18"/>
              </w:rPr>
            </w:pPr>
            <w:r>
              <w:rPr>
                <w:sz w:val="18"/>
              </w:rPr>
              <w:t>2</w:t>
            </w:r>
          </w:p>
        </w:tc>
        <w:tc>
          <w:tcPr>
            <w:tcW w:type="dxa" w:w="1360"/>
            <w:tcBorders>
              <w:top w:color="000000" w:sz="4" w:val="single"/>
              <w:left w:color="000000" w:sz="4" w:val="single"/>
              <w:bottom w:color="000000" w:sz="4" w:val="single"/>
              <w:right w:color="000000" w:sz="4" w:val="single"/>
            </w:tcBorders>
            <w:shd w:fill="auto" w:val="clear"/>
            <w:vAlign w:val="bottom"/>
          </w:tcPr>
          <w:p w14:paraId="F3420000">
            <w:pPr>
              <w:widowControl w:val="1"/>
              <w:ind/>
              <w:jc w:val="right"/>
              <w:rPr>
                <w:sz w:val="18"/>
              </w:rPr>
            </w:pPr>
            <w:r>
              <w:rPr>
                <w:sz w:val="18"/>
              </w:rPr>
              <w:t>2</w:t>
            </w:r>
          </w:p>
        </w:tc>
        <w:tc>
          <w:tcPr>
            <w:tcW w:type="dxa" w:w="1560"/>
            <w:tcBorders>
              <w:top w:color="000000" w:sz="4" w:val="single"/>
              <w:left w:color="000000" w:sz="4" w:val="single"/>
              <w:bottom w:color="000000" w:sz="4" w:val="single"/>
              <w:right w:color="000000" w:sz="4" w:val="single"/>
            </w:tcBorders>
            <w:shd w:fill="auto" w:val="clear"/>
            <w:vAlign w:val="bottom"/>
          </w:tcPr>
          <w:p w14:paraId="F4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F5420000">
            <w:pPr>
              <w:rPr>
                <w:sz w:val="18"/>
              </w:rPr>
            </w:pPr>
            <w:r>
              <w:rPr>
                <w:sz w:val="18"/>
              </w:rPr>
              <w:t>ВИТМА ООО</w:t>
            </w:r>
          </w:p>
        </w:tc>
        <w:tc>
          <w:tcPr>
            <w:tcW w:type="dxa" w:w="1520"/>
            <w:tcBorders>
              <w:top w:color="000000" w:sz="4" w:val="single"/>
              <w:left w:color="000000" w:sz="4" w:val="single"/>
              <w:bottom w:color="000000" w:sz="4" w:val="single"/>
              <w:right w:color="000000" w:sz="4" w:val="single"/>
            </w:tcBorders>
            <w:shd w:fill="auto" w:val="clear"/>
            <w:vAlign w:val="bottom"/>
          </w:tcPr>
          <w:p w14:paraId="F6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F7420000">
            <w:pPr>
              <w:widowControl w:val="1"/>
              <w:ind/>
              <w:jc w:val="right"/>
              <w:rPr>
                <w:sz w:val="18"/>
              </w:rPr>
            </w:pPr>
            <w:r>
              <w:rPr>
                <w:sz w:val="18"/>
              </w:rPr>
              <w:t>245</w:t>
            </w:r>
          </w:p>
        </w:tc>
        <w:tc>
          <w:tcPr>
            <w:tcW w:type="dxa" w:w="1360"/>
            <w:tcBorders>
              <w:top w:color="000000" w:sz="4" w:val="single"/>
              <w:left w:color="000000" w:sz="4" w:val="single"/>
              <w:bottom w:color="000000" w:sz="4" w:val="single"/>
              <w:right w:color="000000" w:sz="4" w:val="single"/>
            </w:tcBorders>
            <w:shd w:fill="auto" w:val="clear"/>
            <w:vAlign w:val="bottom"/>
          </w:tcPr>
          <w:p w14:paraId="F8420000">
            <w:pPr>
              <w:widowControl w:val="1"/>
              <w:ind/>
              <w:jc w:val="right"/>
              <w:rPr>
                <w:sz w:val="18"/>
              </w:rPr>
            </w:pPr>
            <w:r>
              <w:rPr>
                <w:sz w:val="18"/>
              </w:rPr>
              <w:t>245</w:t>
            </w:r>
          </w:p>
        </w:tc>
        <w:tc>
          <w:tcPr>
            <w:tcW w:type="dxa" w:w="1560"/>
            <w:tcBorders>
              <w:top w:color="000000" w:sz="4" w:val="single"/>
              <w:left w:color="000000" w:sz="4" w:val="single"/>
              <w:bottom w:color="000000" w:sz="4" w:val="single"/>
              <w:right w:color="000000" w:sz="4" w:val="single"/>
            </w:tcBorders>
            <w:shd w:fill="auto" w:val="clear"/>
            <w:vAlign w:val="bottom"/>
          </w:tcPr>
          <w:p w14:paraId="F9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FA420000">
            <w:pPr>
              <w:rPr>
                <w:sz w:val="18"/>
              </w:rPr>
            </w:pPr>
            <w:r>
              <w:rPr>
                <w:sz w:val="18"/>
              </w:rPr>
              <w:t>ВИТМА-С ООО</w:t>
            </w:r>
          </w:p>
        </w:tc>
        <w:tc>
          <w:tcPr>
            <w:tcW w:type="dxa" w:w="1520"/>
            <w:tcBorders>
              <w:top w:color="000000" w:sz="4" w:val="single"/>
              <w:left w:color="000000" w:sz="4" w:val="single"/>
              <w:bottom w:color="000000" w:sz="4" w:val="single"/>
              <w:right w:color="000000" w:sz="4" w:val="single"/>
            </w:tcBorders>
            <w:shd w:fill="auto" w:val="clear"/>
            <w:vAlign w:val="bottom"/>
          </w:tcPr>
          <w:p w14:paraId="FB42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FC420000">
            <w:pPr>
              <w:widowControl w:val="1"/>
              <w:ind/>
              <w:jc w:val="right"/>
              <w:rPr>
                <w:sz w:val="18"/>
              </w:rPr>
            </w:pPr>
            <w:r>
              <w:rPr>
                <w:sz w:val="18"/>
              </w:rPr>
              <w:t>13</w:t>
            </w:r>
          </w:p>
        </w:tc>
        <w:tc>
          <w:tcPr>
            <w:tcW w:type="dxa" w:w="1360"/>
            <w:tcBorders>
              <w:top w:color="000000" w:sz="4" w:val="single"/>
              <w:left w:color="000000" w:sz="4" w:val="single"/>
              <w:bottom w:color="000000" w:sz="4" w:val="single"/>
              <w:right w:color="000000" w:sz="4" w:val="single"/>
            </w:tcBorders>
            <w:shd w:fill="auto" w:val="clear"/>
            <w:vAlign w:val="bottom"/>
          </w:tcPr>
          <w:p w14:paraId="FD420000">
            <w:pPr>
              <w:widowControl w:val="1"/>
              <w:ind/>
              <w:jc w:val="right"/>
              <w:rPr>
                <w:sz w:val="18"/>
              </w:rPr>
            </w:pPr>
            <w:r>
              <w:rPr>
                <w:sz w:val="18"/>
              </w:rPr>
              <w:t>13</w:t>
            </w:r>
          </w:p>
        </w:tc>
        <w:tc>
          <w:tcPr>
            <w:tcW w:type="dxa" w:w="1560"/>
            <w:tcBorders>
              <w:top w:color="000000" w:sz="4" w:val="single"/>
              <w:left w:color="000000" w:sz="4" w:val="single"/>
              <w:bottom w:color="000000" w:sz="4" w:val="single"/>
              <w:right w:color="000000" w:sz="4" w:val="single"/>
            </w:tcBorders>
            <w:shd w:fill="auto" w:val="clear"/>
            <w:vAlign w:val="bottom"/>
          </w:tcPr>
          <w:p w14:paraId="FE42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FF420000">
            <w:pPr>
              <w:rPr>
                <w:sz w:val="18"/>
              </w:rPr>
            </w:pPr>
            <w:r>
              <w:rPr>
                <w:sz w:val="18"/>
              </w:rPr>
              <w:t>ВОДОКАНАЛ МУП</w:t>
            </w:r>
          </w:p>
        </w:tc>
        <w:tc>
          <w:tcPr>
            <w:tcW w:type="dxa" w:w="1520"/>
            <w:tcBorders>
              <w:top w:color="000000" w:sz="4" w:val="single"/>
              <w:left w:color="000000" w:sz="4" w:val="single"/>
              <w:bottom w:color="000000" w:sz="4" w:val="single"/>
              <w:right w:color="000000" w:sz="4" w:val="single"/>
            </w:tcBorders>
            <w:shd w:fill="auto" w:val="clear"/>
            <w:vAlign w:val="bottom"/>
          </w:tcPr>
          <w:p w14:paraId="00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01430000">
            <w:pPr>
              <w:widowControl w:val="1"/>
              <w:ind/>
              <w:jc w:val="right"/>
              <w:rPr>
                <w:sz w:val="18"/>
              </w:rPr>
            </w:pPr>
            <w:r>
              <w:rPr>
                <w:sz w:val="18"/>
              </w:rPr>
              <w:t>1</w:t>
            </w:r>
          </w:p>
        </w:tc>
        <w:tc>
          <w:tcPr>
            <w:tcW w:type="dxa" w:w="1360"/>
            <w:tcBorders>
              <w:top w:color="000000" w:sz="4" w:val="single"/>
              <w:left w:color="000000" w:sz="4" w:val="single"/>
              <w:bottom w:color="000000" w:sz="4" w:val="single"/>
              <w:right w:color="000000" w:sz="4" w:val="single"/>
            </w:tcBorders>
            <w:shd w:fill="auto" w:val="clear"/>
            <w:vAlign w:val="bottom"/>
          </w:tcPr>
          <w:p w14:paraId="02430000">
            <w:pPr>
              <w:widowControl w:val="1"/>
              <w:ind/>
              <w:jc w:val="right"/>
              <w:rPr>
                <w:sz w:val="18"/>
              </w:rPr>
            </w:pPr>
            <w:r>
              <w:rPr>
                <w:sz w:val="18"/>
              </w:rPr>
              <w:t>1</w:t>
            </w:r>
          </w:p>
        </w:tc>
        <w:tc>
          <w:tcPr>
            <w:tcW w:type="dxa" w:w="1560"/>
            <w:tcBorders>
              <w:top w:color="000000" w:sz="4" w:val="single"/>
              <w:left w:color="000000" w:sz="4" w:val="single"/>
              <w:bottom w:color="000000" w:sz="4" w:val="single"/>
              <w:right w:color="000000" w:sz="4" w:val="single"/>
            </w:tcBorders>
            <w:shd w:fill="auto" w:val="clear"/>
            <w:vAlign w:val="bottom"/>
          </w:tcPr>
          <w:p w14:paraId="03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4430000">
            <w:pPr>
              <w:rPr>
                <w:sz w:val="18"/>
              </w:rPr>
            </w:pPr>
            <w:r>
              <w:rPr>
                <w:sz w:val="18"/>
              </w:rPr>
              <w:t>ВымпелКом ПАО</w:t>
            </w:r>
          </w:p>
        </w:tc>
        <w:tc>
          <w:tcPr>
            <w:tcW w:type="dxa" w:w="1520"/>
            <w:tcBorders>
              <w:top w:color="000000" w:sz="4" w:val="single"/>
              <w:left w:color="000000" w:sz="4" w:val="single"/>
              <w:bottom w:color="000000" w:sz="4" w:val="single"/>
              <w:right w:color="000000" w:sz="4" w:val="single"/>
            </w:tcBorders>
            <w:shd w:fill="auto" w:val="clear"/>
            <w:vAlign w:val="bottom"/>
          </w:tcPr>
          <w:p w14:paraId="05430000">
            <w:pPr>
              <w:widowControl w:val="1"/>
              <w:ind/>
              <w:jc w:val="right"/>
              <w:rPr>
                <w:sz w:val="18"/>
              </w:rPr>
            </w:pPr>
            <w:r>
              <w:rPr>
                <w:sz w:val="18"/>
              </w:rPr>
              <w:t>103</w:t>
            </w:r>
          </w:p>
        </w:tc>
        <w:tc>
          <w:tcPr>
            <w:tcW w:type="dxa" w:w="1360"/>
            <w:tcBorders>
              <w:top w:color="000000" w:sz="4" w:val="single"/>
              <w:left w:color="000000" w:sz="4" w:val="single"/>
              <w:bottom w:color="000000" w:sz="4" w:val="single"/>
              <w:right w:color="000000" w:sz="4" w:val="single"/>
            </w:tcBorders>
            <w:shd w:fill="auto" w:val="clear"/>
            <w:vAlign w:val="bottom"/>
          </w:tcPr>
          <w:p w14:paraId="06430000">
            <w:pPr>
              <w:widowControl w:val="1"/>
              <w:ind/>
              <w:jc w:val="right"/>
              <w:rPr>
                <w:sz w:val="18"/>
              </w:rPr>
            </w:pPr>
            <w:r>
              <w:rPr>
                <w:sz w:val="18"/>
              </w:rPr>
              <w:t>814</w:t>
            </w:r>
          </w:p>
        </w:tc>
        <w:tc>
          <w:tcPr>
            <w:tcW w:type="dxa" w:w="1360"/>
            <w:tcBorders>
              <w:top w:color="000000" w:sz="4" w:val="single"/>
              <w:left w:color="000000" w:sz="4" w:val="single"/>
              <w:bottom w:color="000000" w:sz="4" w:val="single"/>
              <w:right w:color="000000" w:sz="4" w:val="single"/>
            </w:tcBorders>
            <w:shd w:fill="auto" w:val="clear"/>
            <w:vAlign w:val="bottom"/>
          </w:tcPr>
          <w:p w14:paraId="07430000">
            <w:pPr>
              <w:widowControl w:val="1"/>
              <w:ind/>
              <w:jc w:val="right"/>
              <w:rPr>
                <w:sz w:val="18"/>
              </w:rPr>
            </w:pPr>
            <w:r>
              <w:rPr>
                <w:sz w:val="18"/>
              </w:rPr>
              <w:t>854</w:t>
            </w:r>
          </w:p>
        </w:tc>
        <w:tc>
          <w:tcPr>
            <w:tcW w:type="dxa" w:w="1560"/>
            <w:tcBorders>
              <w:top w:color="000000" w:sz="4" w:val="single"/>
              <w:left w:color="000000" w:sz="4" w:val="single"/>
              <w:bottom w:color="000000" w:sz="4" w:val="single"/>
              <w:right w:color="000000" w:sz="4" w:val="single"/>
            </w:tcBorders>
            <w:shd w:fill="auto" w:val="clear"/>
            <w:vAlign w:val="bottom"/>
          </w:tcPr>
          <w:p w14:paraId="08430000">
            <w:pPr>
              <w:widowControl w:val="1"/>
              <w:ind/>
              <w:jc w:val="right"/>
              <w:rPr>
                <w:sz w:val="18"/>
              </w:rPr>
            </w:pPr>
            <w:r>
              <w:rPr>
                <w:sz w:val="18"/>
              </w:rPr>
              <w:t>64</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9430000">
            <w:pPr>
              <w:rPr>
                <w:sz w:val="18"/>
              </w:rPr>
            </w:pPr>
            <w:r>
              <w:rPr>
                <w:sz w:val="18"/>
              </w:rPr>
              <w:t>ГАРАНТ Ц ООО</w:t>
            </w:r>
          </w:p>
        </w:tc>
        <w:tc>
          <w:tcPr>
            <w:tcW w:type="dxa" w:w="1520"/>
            <w:tcBorders>
              <w:top w:color="000000" w:sz="4" w:val="single"/>
              <w:left w:color="000000" w:sz="4" w:val="single"/>
              <w:bottom w:color="000000" w:sz="4" w:val="single"/>
              <w:right w:color="000000" w:sz="4" w:val="single"/>
            </w:tcBorders>
            <w:shd w:fill="auto" w:val="clear"/>
            <w:vAlign w:val="bottom"/>
          </w:tcPr>
          <w:p w14:paraId="0A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0B430000">
            <w:pPr>
              <w:widowControl w:val="1"/>
              <w:ind/>
              <w:jc w:val="right"/>
              <w:rPr>
                <w:sz w:val="18"/>
              </w:rPr>
            </w:pPr>
            <w:r>
              <w:rPr>
                <w:sz w:val="18"/>
              </w:rPr>
              <w:t>51</w:t>
            </w:r>
          </w:p>
        </w:tc>
        <w:tc>
          <w:tcPr>
            <w:tcW w:type="dxa" w:w="1360"/>
            <w:tcBorders>
              <w:top w:color="000000" w:sz="4" w:val="single"/>
              <w:left w:color="000000" w:sz="4" w:val="single"/>
              <w:bottom w:color="000000" w:sz="4" w:val="single"/>
              <w:right w:color="000000" w:sz="4" w:val="single"/>
            </w:tcBorders>
            <w:shd w:fill="auto" w:val="clear"/>
            <w:vAlign w:val="bottom"/>
          </w:tcPr>
          <w:p w14:paraId="0C430000">
            <w:pPr>
              <w:widowControl w:val="1"/>
              <w:ind/>
              <w:jc w:val="right"/>
              <w:rPr>
                <w:sz w:val="18"/>
              </w:rPr>
            </w:pPr>
            <w:r>
              <w:rPr>
                <w:sz w:val="18"/>
              </w:rPr>
              <w:t>41</w:t>
            </w:r>
          </w:p>
        </w:tc>
        <w:tc>
          <w:tcPr>
            <w:tcW w:type="dxa" w:w="1560"/>
            <w:tcBorders>
              <w:top w:color="000000" w:sz="4" w:val="single"/>
              <w:left w:color="000000" w:sz="4" w:val="single"/>
              <w:bottom w:color="000000" w:sz="4" w:val="single"/>
              <w:right w:color="000000" w:sz="4" w:val="single"/>
            </w:tcBorders>
            <w:shd w:fill="auto" w:val="clear"/>
            <w:vAlign w:val="bottom"/>
          </w:tcPr>
          <w:p w14:paraId="0D430000">
            <w:pPr>
              <w:widowControl w:val="1"/>
              <w:ind/>
              <w:jc w:val="right"/>
              <w:rPr>
                <w:sz w:val="18"/>
              </w:rPr>
            </w:pPr>
            <w:r>
              <w:rPr>
                <w:sz w:val="18"/>
              </w:rPr>
              <w:t>9</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E430000">
            <w:pPr>
              <w:rPr>
                <w:sz w:val="18"/>
              </w:rPr>
            </w:pPr>
            <w:r>
              <w:rPr>
                <w:sz w:val="18"/>
              </w:rPr>
              <w:t>ГОСТИНИЧНЫЙ КОМПЛЕКС СЛАВЯНКА ОАО</w:t>
            </w:r>
          </w:p>
        </w:tc>
        <w:tc>
          <w:tcPr>
            <w:tcW w:type="dxa" w:w="1520"/>
            <w:tcBorders>
              <w:top w:color="000000" w:sz="4" w:val="single"/>
              <w:left w:color="000000" w:sz="4" w:val="single"/>
              <w:bottom w:color="000000" w:sz="4" w:val="single"/>
              <w:right w:color="000000" w:sz="4" w:val="single"/>
            </w:tcBorders>
            <w:shd w:fill="auto" w:val="clear"/>
            <w:vAlign w:val="bottom"/>
          </w:tcPr>
          <w:p w14:paraId="0F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10430000">
            <w:pPr>
              <w:widowControl w:val="1"/>
              <w:ind/>
              <w:jc w:val="right"/>
              <w:rPr>
                <w:sz w:val="18"/>
              </w:rPr>
            </w:pPr>
            <w:r>
              <w:rPr>
                <w:sz w:val="18"/>
              </w:rPr>
              <w:t>19</w:t>
            </w:r>
          </w:p>
        </w:tc>
        <w:tc>
          <w:tcPr>
            <w:tcW w:type="dxa" w:w="1360"/>
            <w:tcBorders>
              <w:top w:color="000000" w:sz="4" w:val="single"/>
              <w:left w:color="000000" w:sz="4" w:val="single"/>
              <w:bottom w:color="000000" w:sz="4" w:val="single"/>
              <w:right w:color="000000" w:sz="4" w:val="single"/>
            </w:tcBorders>
            <w:shd w:fill="auto" w:val="clear"/>
            <w:vAlign w:val="bottom"/>
          </w:tcPr>
          <w:p w14:paraId="11430000">
            <w:pPr>
              <w:widowControl w:val="1"/>
              <w:ind/>
              <w:jc w:val="right"/>
              <w:rPr>
                <w:sz w:val="18"/>
              </w:rPr>
            </w:pPr>
            <w:r>
              <w:rPr>
                <w:sz w:val="18"/>
              </w:rPr>
              <w:t>19</w:t>
            </w:r>
          </w:p>
        </w:tc>
        <w:tc>
          <w:tcPr>
            <w:tcW w:type="dxa" w:w="1560"/>
            <w:tcBorders>
              <w:top w:color="000000" w:sz="4" w:val="single"/>
              <w:left w:color="000000" w:sz="4" w:val="single"/>
              <w:bottom w:color="000000" w:sz="4" w:val="single"/>
              <w:right w:color="000000" w:sz="4" w:val="single"/>
            </w:tcBorders>
            <w:shd w:fill="auto" w:val="clear"/>
            <w:vAlign w:val="bottom"/>
          </w:tcPr>
          <w:p w14:paraId="12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3430000">
            <w:pPr>
              <w:rPr>
                <w:sz w:val="18"/>
              </w:rPr>
            </w:pPr>
            <w:r>
              <w:rPr>
                <w:sz w:val="18"/>
              </w:rPr>
              <w:t>ГРАНЬ ООО</w:t>
            </w:r>
          </w:p>
        </w:tc>
        <w:tc>
          <w:tcPr>
            <w:tcW w:type="dxa" w:w="1520"/>
            <w:tcBorders>
              <w:top w:color="000000" w:sz="4" w:val="single"/>
              <w:left w:color="000000" w:sz="4" w:val="single"/>
              <w:bottom w:color="000000" w:sz="4" w:val="single"/>
              <w:right w:color="000000" w:sz="4" w:val="single"/>
            </w:tcBorders>
            <w:shd w:fill="auto" w:val="clear"/>
            <w:vAlign w:val="bottom"/>
          </w:tcPr>
          <w:p w14:paraId="14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15430000">
            <w:pPr>
              <w:widowControl w:val="1"/>
              <w:ind/>
              <w:jc w:val="right"/>
              <w:rPr>
                <w:sz w:val="18"/>
              </w:rPr>
            </w:pPr>
            <w:r>
              <w:rPr>
                <w:sz w:val="18"/>
              </w:rPr>
              <w:t>7</w:t>
            </w:r>
          </w:p>
        </w:tc>
        <w:tc>
          <w:tcPr>
            <w:tcW w:type="dxa" w:w="1360"/>
            <w:tcBorders>
              <w:top w:color="000000" w:sz="4" w:val="single"/>
              <w:left w:color="000000" w:sz="4" w:val="single"/>
              <w:bottom w:color="000000" w:sz="4" w:val="single"/>
              <w:right w:color="000000" w:sz="4" w:val="single"/>
            </w:tcBorders>
            <w:shd w:fill="auto" w:val="clear"/>
            <w:vAlign w:val="bottom"/>
          </w:tcPr>
          <w:p w14:paraId="16430000">
            <w:pPr>
              <w:widowControl w:val="1"/>
              <w:ind/>
              <w:jc w:val="right"/>
              <w:rPr>
                <w:sz w:val="18"/>
              </w:rPr>
            </w:pPr>
            <w:r>
              <w:rPr>
                <w:sz w:val="18"/>
              </w:rPr>
              <w:t>7</w:t>
            </w:r>
          </w:p>
        </w:tc>
        <w:tc>
          <w:tcPr>
            <w:tcW w:type="dxa" w:w="1560"/>
            <w:tcBorders>
              <w:top w:color="000000" w:sz="4" w:val="single"/>
              <w:left w:color="000000" w:sz="4" w:val="single"/>
              <w:bottom w:color="000000" w:sz="4" w:val="single"/>
              <w:right w:color="000000" w:sz="4" w:val="single"/>
            </w:tcBorders>
            <w:shd w:fill="auto" w:val="clear"/>
            <w:vAlign w:val="bottom"/>
          </w:tcPr>
          <w:p w14:paraId="17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8430000">
            <w:pPr>
              <w:rPr>
                <w:sz w:val="18"/>
              </w:rPr>
            </w:pPr>
            <w:r>
              <w:rPr>
                <w:sz w:val="18"/>
              </w:rPr>
              <w:t>Достовалова Ирина Антоновна ИП</w:t>
            </w:r>
          </w:p>
        </w:tc>
        <w:tc>
          <w:tcPr>
            <w:tcW w:type="dxa" w:w="1520"/>
            <w:tcBorders>
              <w:top w:color="000000" w:sz="4" w:val="single"/>
              <w:left w:color="000000" w:sz="4" w:val="single"/>
              <w:bottom w:color="000000" w:sz="4" w:val="single"/>
              <w:right w:color="000000" w:sz="4" w:val="single"/>
            </w:tcBorders>
            <w:shd w:fill="auto" w:val="clear"/>
            <w:vAlign w:val="bottom"/>
          </w:tcPr>
          <w:p w14:paraId="19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1A430000">
            <w:pPr>
              <w:widowControl w:val="1"/>
              <w:ind/>
              <w:jc w:val="right"/>
              <w:rPr>
                <w:sz w:val="18"/>
              </w:rPr>
            </w:pPr>
            <w:r>
              <w:rPr>
                <w:sz w:val="18"/>
              </w:rPr>
              <w:t>9</w:t>
            </w:r>
          </w:p>
        </w:tc>
        <w:tc>
          <w:tcPr>
            <w:tcW w:type="dxa" w:w="1360"/>
            <w:tcBorders>
              <w:top w:color="000000" w:sz="4" w:val="single"/>
              <w:left w:color="000000" w:sz="4" w:val="single"/>
              <w:bottom w:color="000000" w:sz="4" w:val="single"/>
              <w:right w:color="000000" w:sz="4" w:val="single"/>
            </w:tcBorders>
            <w:shd w:fill="auto" w:val="clear"/>
            <w:vAlign w:val="bottom"/>
          </w:tcPr>
          <w:p w14:paraId="1B430000">
            <w:pPr>
              <w:widowControl w:val="1"/>
              <w:ind/>
              <w:jc w:val="right"/>
              <w:rPr>
                <w:sz w:val="18"/>
              </w:rPr>
            </w:pPr>
            <w:r>
              <w:rPr>
                <w:sz w:val="18"/>
              </w:rPr>
              <w:t>9</w:t>
            </w:r>
          </w:p>
        </w:tc>
        <w:tc>
          <w:tcPr>
            <w:tcW w:type="dxa" w:w="1560"/>
            <w:tcBorders>
              <w:top w:color="000000" w:sz="4" w:val="single"/>
              <w:left w:color="000000" w:sz="4" w:val="single"/>
              <w:bottom w:color="000000" w:sz="4" w:val="single"/>
              <w:right w:color="000000" w:sz="4" w:val="single"/>
            </w:tcBorders>
            <w:shd w:fill="auto" w:val="clear"/>
            <w:vAlign w:val="bottom"/>
          </w:tcPr>
          <w:p w14:paraId="1C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D430000">
            <w:pPr>
              <w:rPr>
                <w:sz w:val="18"/>
              </w:rPr>
            </w:pPr>
            <w:r>
              <w:rPr>
                <w:sz w:val="18"/>
              </w:rPr>
              <w:t>ДЭФО - КРАСНОЯРСК ООО</w:t>
            </w:r>
          </w:p>
        </w:tc>
        <w:tc>
          <w:tcPr>
            <w:tcW w:type="dxa" w:w="1520"/>
            <w:tcBorders>
              <w:top w:color="000000" w:sz="4" w:val="single"/>
              <w:left w:color="000000" w:sz="4" w:val="single"/>
              <w:bottom w:color="000000" w:sz="4" w:val="single"/>
              <w:right w:color="000000" w:sz="4" w:val="single"/>
            </w:tcBorders>
            <w:shd w:fill="auto" w:val="clear"/>
            <w:vAlign w:val="bottom"/>
          </w:tcPr>
          <w:p w14:paraId="1E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1F430000">
            <w:pPr>
              <w:widowControl w:val="1"/>
              <w:ind/>
              <w:jc w:val="right"/>
              <w:rPr>
                <w:sz w:val="18"/>
              </w:rPr>
            </w:pPr>
            <w:r>
              <w:rPr>
                <w:sz w:val="18"/>
              </w:rPr>
              <w:t>27</w:t>
            </w:r>
          </w:p>
        </w:tc>
        <w:tc>
          <w:tcPr>
            <w:tcW w:type="dxa" w:w="1360"/>
            <w:tcBorders>
              <w:top w:color="000000" w:sz="4" w:val="single"/>
              <w:left w:color="000000" w:sz="4" w:val="single"/>
              <w:bottom w:color="000000" w:sz="4" w:val="single"/>
              <w:right w:color="000000" w:sz="4" w:val="single"/>
            </w:tcBorders>
            <w:shd w:fill="auto" w:val="clear"/>
            <w:vAlign w:val="bottom"/>
          </w:tcPr>
          <w:p w14:paraId="20430000">
            <w:pPr>
              <w:widowControl w:val="1"/>
              <w:ind/>
              <w:jc w:val="right"/>
              <w:rPr>
                <w:sz w:val="18"/>
              </w:rPr>
            </w:pPr>
            <w:r>
              <w:rPr>
                <w:sz w:val="18"/>
              </w:rPr>
              <w:t>27</w:t>
            </w:r>
          </w:p>
        </w:tc>
        <w:tc>
          <w:tcPr>
            <w:tcW w:type="dxa" w:w="1560"/>
            <w:tcBorders>
              <w:top w:color="000000" w:sz="4" w:val="single"/>
              <w:left w:color="000000" w:sz="4" w:val="single"/>
              <w:bottom w:color="000000" w:sz="4" w:val="single"/>
              <w:right w:color="000000" w:sz="4" w:val="single"/>
            </w:tcBorders>
            <w:shd w:fill="auto" w:val="clear"/>
            <w:vAlign w:val="bottom"/>
          </w:tcPr>
          <w:p w14:paraId="21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22430000">
            <w:pPr>
              <w:rPr>
                <w:sz w:val="18"/>
              </w:rPr>
            </w:pPr>
            <w:r>
              <w:rPr>
                <w:sz w:val="18"/>
              </w:rPr>
              <w:t>ЕНИСЕЙСКАЯ ТГК (ТГК-13) АО</w:t>
            </w:r>
          </w:p>
        </w:tc>
        <w:tc>
          <w:tcPr>
            <w:tcW w:type="dxa" w:w="1520"/>
            <w:tcBorders>
              <w:top w:color="000000" w:sz="4" w:val="single"/>
              <w:left w:color="000000" w:sz="4" w:val="single"/>
              <w:bottom w:color="000000" w:sz="4" w:val="single"/>
              <w:right w:color="000000" w:sz="4" w:val="single"/>
            </w:tcBorders>
            <w:shd w:fill="auto" w:val="clear"/>
            <w:vAlign w:val="bottom"/>
          </w:tcPr>
          <w:p w14:paraId="23430000">
            <w:pPr>
              <w:widowControl w:val="1"/>
              <w:ind/>
              <w:jc w:val="right"/>
              <w:rPr>
                <w:sz w:val="18"/>
              </w:rPr>
            </w:pPr>
            <w:r>
              <w:rPr>
                <w:sz w:val="18"/>
              </w:rPr>
              <w:t>1</w:t>
            </w:r>
          </w:p>
        </w:tc>
        <w:tc>
          <w:tcPr>
            <w:tcW w:type="dxa" w:w="1360"/>
            <w:tcBorders>
              <w:top w:color="000000" w:sz="4" w:val="single"/>
              <w:left w:color="000000" w:sz="4" w:val="single"/>
              <w:bottom w:color="000000" w:sz="4" w:val="single"/>
              <w:right w:color="000000" w:sz="4" w:val="single"/>
            </w:tcBorders>
            <w:shd w:fill="auto" w:val="clear"/>
            <w:vAlign w:val="bottom"/>
          </w:tcPr>
          <w:p w14:paraId="24430000">
            <w:pPr>
              <w:widowControl w:val="1"/>
              <w:ind/>
              <w:jc w:val="right"/>
              <w:rPr>
                <w:sz w:val="18"/>
              </w:rPr>
            </w:pPr>
            <w:r>
              <w:rPr>
                <w:sz w:val="18"/>
              </w:rPr>
              <w:t>3</w:t>
            </w:r>
          </w:p>
        </w:tc>
        <w:tc>
          <w:tcPr>
            <w:tcW w:type="dxa" w:w="1360"/>
            <w:tcBorders>
              <w:top w:color="000000" w:sz="4" w:val="single"/>
              <w:left w:color="000000" w:sz="4" w:val="single"/>
              <w:bottom w:color="000000" w:sz="4" w:val="single"/>
              <w:right w:color="000000" w:sz="4" w:val="single"/>
            </w:tcBorders>
            <w:shd w:fill="auto" w:val="clear"/>
            <w:vAlign w:val="bottom"/>
          </w:tcPr>
          <w:p w14:paraId="25430000">
            <w:pPr>
              <w:widowControl w:val="1"/>
              <w:ind/>
              <w:jc w:val="right"/>
              <w:rPr>
                <w:sz w:val="18"/>
              </w:rPr>
            </w:pPr>
            <w:r>
              <w:rPr>
                <w:sz w:val="18"/>
              </w:rPr>
              <w:t>4</w:t>
            </w:r>
          </w:p>
        </w:tc>
        <w:tc>
          <w:tcPr>
            <w:tcW w:type="dxa" w:w="1560"/>
            <w:tcBorders>
              <w:top w:color="000000" w:sz="4" w:val="single"/>
              <w:left w:color="000000" w:sz="4" w:val="single"/>
              <w:bottom w:color="000000" w:sz="4" w:val="single"/>
              <w:right w:color="000000" w:sz="4" w:val="single"/>
            </w:tcBorders>
            <w:shd w:fill="auto" w:val="clear"/>
            <w:vAlign w:val="bottom"/>
          </w:tcPr>
          <w:p w14:paraId="26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27430000">
            <w:pPr>
              <w:rPr>
                <w:sz w:val="18"/>
              </w:rPr>
            </w:pPr>
            <w:r>
              <w:rPr>
                <w:sz w:val="18"/>
              </w:rPr>
              <w:t>ЗАПОВЕДНАЯ ВОДА ООО</w:t>
            </w:r>
          </w:p>
        </w:tc>
        <w:tc>
          <w:tcPr>
            <w:tcW w:type="dxa" w:w="1520"/>
            <w:tcBorders>
              <w:top w:color="000000" w:sz="4" w:val="single"/>
              <w:left w:color="000000" w:sz="4" w:val="single"/>
              <w:bottom w:color="000000" w:sz="4" w:val="single"/>
              <w:right w:color="000000" w:sz="4" w:val="single"/>
            </w:tcBorders>
            <w:shd w:fill="auto" w:val="clear"/>
            <w:vAlign w:val="bottom"/>
          </w:tcPr>
          <w:p w14:paraId="28430000">
            <w:pPr>
              <w:widowControl w:val="1"/>
              <w:ind/>
              <w:jc w:val="right"/>
              <w:rPr>
                <w:sz w:val="18"/>
              </w:rPr>
            </w:pPr>
            <w:r>
              <w:rPr>
                <w:sz w:val="18"/>
              </w:rPr>
              <w:t>10</w:t>
            </w:r>
          </w:p>
        </w:tc>
        <w:tc>
          <w:tcPr>
            <w:tcW w:type="dxa" w:w="1360"/>
            <w:tcBorders>
              <w:top w:color="000000" w:sz="4" w:val="single"/>
              <w:left w:color="000000" w:sz="4" w:val="single"/>
              <w:bottom w:color="000000" w:sz="4" w:val="single"/>
              <w:right w:color="000000" w:sz="4" w:val="single"/>
            </w:tcBorders>
            <w:shd w:fill="auto" w:val="clear"/>
            <w:vAlign w:val="bottom"/>
          </w:tcPr>
          <w:p w14:paraId="29430000">
            <w:pPr>
              <w:widowControl w:val="1"/>
              <w:ind/>
              <w:jc w:val="right"/>
              <w:rPr>
                <w:sz w:val="18"/>
              </w:rPr>
            </w:pPr>
            <w:r>
              <w:rPr>
                <w:sz w:val="18"/>
              </w:rPr>
              <w:t>53</w:t>
            </w:r>
          </w:p>
        </w:tc>
        <w:tc>
          <w:tcPr>
            <w:tcW w:type="dxa" w:w="1360"/>
            <w:tcBorders>
              <w:top w:color="000000" w:sz="4" w:val="single"/>
              <w:left w:color="000000" w:sz="4" w:val="single"/>
              <w:bottom w:color="000000" w:sz="4" w:val="single"/>
              <w:right w:color="000000" w:sz="4" w:val="single"/>
            </w:tcBorders>
            <w:shd w:fill="auto" w:val="clear"/>
            <w:vAlign w:val="bottom"/>
          </w:tcPr>
          <w:p w14:paraId="2A430000">
            <w:pPr>
              <w:widowControl w:val="1"/>
              <w:ind/>
              <w:jc w:val="right"/>
              <w:rPr>
                <w:sz w:val="18"/>
              </w:rPr>
            </w:pPr>
            <w:r>
              <w:rPr>
                <w:sz w:val="18"/>
              </w:rPr>
              <w:t>59</w:t>
            </w:r>
          </w:p>
        </w:tc>
        <w:tc>
          <w:tcPr>
            <w:tcW w:type="dxa" w:w="1560"/>
            <w:tcBorders>
              <w:top w:color="000000" w:sz="4" w:val="single"/>
              <w:left w:color="000000" w:sz="4" w:val="single"/>
              <w:bottom w:color="000000" w:sz="4" w:val="single"/>
              <w:right w:color="000000" w:sz="4" w:val="single"/>
            </w:tcBorders>
            <w:shd w:fill="auto" w:val="clear"/>
            <w:vAlign w:val="bottom"/>
          </w:tcPr>
          <w:p w14:paraId="2B430000">
            <w:pPr>
              <w:widowControl w:val="1"/>
              <w:ind/>
              <w:jc w:val="right"/>
              <w:rPr>
                <w:sz w:val="18"/>
              </w:rPr>
            </w:pPr>
            <w:r>
              <w:rPr>
                <w:sz w:val="18"/>
              </w:rPr>
              <w:t>4</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2C430000">
            <w:pPr>
              <w:rPr>
                <w:sz w:val="18"/>
              </w:rPr>
            </w:pPr>
            <w:r>
              <w:rPr>
                <w:sz w:val="18"/>
              </w:rPr>
              <w:t>Зауральская фабрика текстильной сумки ООО</w:t>
            </w:r>
          </w:p>
        </w:tc>
        <w:tc>
          <w:tcPr>
            <w:tcW w:type="dxa" w:w="1520"/>
            <w:tcBorders>
              <w:top w:color="000000" w:sz="4" w:val="single"/>
              <w:left w:color="000000" w:sz="4" w:val="single"/>
              <w:bottom w:color="000000" w:sz="4" w:val="single"/>
              <w:right w:color="000000" w:sz="4" w:val="single"/>
            </w:tcBorders>
            <w:shd w:fill="auto" w:val="clear"/>
            <w:vAlign w:val="bottom"/>
          </w:tcPr>
          <w:p w14:paraId="2D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2E430000">
            <w:pPr>
              <w:widowControl w:val="1"/>
              <w:ind/>
              <w:jc w:val="right"/>
              <w:rPr>
                <w:sz w:val="18"/>
              </w:rPr>
            </w:pPr>
            <w:r>
              <w:rPr>
                <w:sz w:val="18"/>
              </w:rPr>
              <w:t>36</w:t>
            </w:r>
          </w:p>
        </w:tc>
        <w:tc>
          <w:tcPr>
            <w:tcW w:type="dxa" w:w="1360"/>
            <w:tcBorders>
              <w:top w:color="000000" w:sz="4" w:val="single"/>
              <w:left w:color="000000" w:sz="4" w:val="single"/>
              <w:bottom w:color="000000" w:sz="4" w:val="single"/>
              <w:right w:color="000000" w:sz="4" w:val="single"/>
            </w:tcBorders>
            <w:shd w:fill="auto" w:val="clear"/>
            <w:vAlign w:val="bottom"/>
          </w:tcPr>
          <w:p w14:paraId="2F430000">
            <w:pPr>
              <w:widowControl w:val="1"/>
              <w:ind/>
              <w:jc w:val="right"/>
              <w:rPr>
                <w:sz w:val="18"/>
              </w:rPr>
            </w:pPr>
            <w:r>
              <w:rPr>
                <w:sz w:val="18"/>
              </w:rPr>
              <w:t>36</w:t>
            </w:r>
          </w:p>
        </w:tc>
        <w:tc>
          <w:tcPr>
            <w:tcW w:type="dxa" w:w="1560"/>
            <w:tcBorders>
              <w:top w:color="000000" w:sz="4" w:val="single"/>
              <w:left w:color="000000" w:sz="4" w:val="single"/>
              <w:bottom w:color="000000" w:sz="4" w:val="single"/>
              <w:right w:color="000000" w:sz="4" w:val="single"/>
            </w:tcBorders>
            <w:shd w:fill="auto" w:val="clear"/>
            <w:vAlign w:val="bottom"/>
          </w:tcPr>
          <w:p w14:paraId="30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31430000">
            <w:pPr>
              <w:rPr>
                <w:sz w:val="18"/>
              </w:rPr>
            </w:pPr>
            <w:r>
              <w:rPr>
                <w:sz w:val="18"/>
              </w:rPr>
              <w:t>Земкина Наталья Викторовна</w:t>
            </w:r>
          </w:p>
        </w:tc>
        <w:tc>
          <w:tcPr>
            <w:tcW w:type="dxa" w:w="1520"/>
            <w:tcBorders>
              <w:top w:color="000000" w:sz="4" w:val="single"/>
              <w:left w:color="000000" w:sz="4" w:val="single"/>
              <w:bottom w:color="000000" w:sz="4" w:val="single"/>
              <w:right w:color="000000" w:sz="4" w:val="single"/>
            </w:tcBorders>
            <w:shd w:fill="auto" w:val="clear"/>
            <w:vAlign w:val="bottom"/>
          </w:tcPr>
          <w:p w14:paraId="32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33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34430000">
            <w:pPr>
              <w:widowControl w:val="1"/>
              <w:ind/>
              <w:jc w:val="right"/>
              <w:rPr>
                <w:sz w:val="18"/>
              </w:rPr>
            </w:pPr>
            <w:r>
              <w:rPr>
                <w:sz w:val="18"/>
              </w:rPr>
              <w:t>0</w:t>
            </w:r>
          </w:p>
        </w:tc>
        <w:tc>
          <w:tcPr>
            <w:tcW w:type="dxa" w:w="1560"/>
            <w:tcBorders>
              <w:top w:color="000000" w:sz="4" w:val="single"/>
              <w:left w:color="000000" w:sz="4" w:val="single"/>
              <w:bottom w:color="000000" w:sz="4" w:val="single"/>
              <w:right w:color="000000" w:sz="4" w:val="single"/>
            </w:tcBorders>
            <w:shd w:fill="auto" w:val="clear"/>
            <w:vAlign w:val="bottom"/>
          </w:tcPr>
          <w:p w14:paraId="35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36430000">
            <w:pPr>
              <w:rPr>
                <w:sz w:val="18"/>
              </w:rPr>
            </w:pPr>
            <w:r>
              <w:rPr>
                <w:sz w:val="18"/>
              </w:rPr>
              <w:t>ИЛИМ ООО</w:t>
            </w:r>
          </w:p>
        </w:tc>
        <w:tc>
          <w:tcPr>
            <w:tcW w:type="dxa" w:w="1520"/>
            <w:tcBorders>
              <w:top w:color="000000" w:sz="4" w:val="single"/>
              <w:left w:color="000000" w:sz="4" w:val="single"/>
              <w:bottom w:color="000000" w:sz="4" w:val="single"/>
              <w:right w:color="000000" w:sz="4" w:val="single"/>
            </w:tcBorders>
            <w:shd w:fill="auto" w:val="clear"/>
            <w:vAlign w:val="bottom"/>
          </w:tcPr>
          <w:p w14:paraId="37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38430000">
            <w:pPr>
              <w:widowControl w:val="1"/>
              <w:ind/>
              <w:jc w:val="right"/>
              <w:rPr>
                <w:sz w:val="18"/>
              </w:rPr>
            </w:pPr>
            <w:r>
              <w:rPr>
                <w:sz w:val="18"/>
              </w:rPr>
              <w:t>409</w:t>
            </w:r>
          </w:p>
        </w:tc>
        <w:tc>
          <w:tcPr>
            <w:tcW w:type="dxa" w:w="1360"/>
            <w:tcBorders>
              <w:top w:color="000000" w:sz="4" w:val="single"/>
              <w:left w:color="000000" w:sz="4" w:val="single"/>
              <w:bottom w:color="000000" w:sz="4" w:val="single"/>
              <w:right w:color="000000" w:sz="4" w:val="single"/>
            </w:tcBorders>
            <w:shd w:fill="auto" w:val="clear"/>
            <w:vAlign w:val="bottom"/>
          </w:tcPr>
          <w:p w14:paraId="39430000">
            <w:pPr>
              <w:widowControl w:val="1"/>
              <w:ind/>
              <w:jc w:val="right"/>
              <w:rPr>
                <w:sz w:val="18"/>
              </w:rPr>
            </w:pPr>
            <w:r>
              <w:rPr>
                <w:sz w:val="18"/>
              </w:rPr>
              <w:t>409</w:t>
            </w:r>
          </w:p>
        </w:tc>
        <w:tc>
          <w:tcPr>
            <w:tcW w:type="dxa" w:w="1560"/>
            <w:tcBorders>
              <w:top w:color="000000" w:sz="4" w:val="single"/>
              <w:left w:color="000000" w:sz="4" w:val="single"/>
              <w:bottom w:color="000000" w:sz="4" w:val="single"/>
              <w:right w:color="000000" w:sz="4" w:val="single"/>
            </w:tcBorders>
            <w:shd w:fill="auto" w:val="clear"/>
            <w:vAlign w:val="bottom"/>
          </w:tcPr>
          <w:p w14:paraId="3A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3B430000">
            <w:pPr>
              <w:rPr>
                <w:sz w:val="18"/>
              </w:rPr>
            </w:pPr>
            <w:r>
              <w:rPr>
                <w:sz w:val="18"/>
              </w:rPr>
              <w:t>ИНЖИНИРИНГ ООО</w:t>
            </w:r>
          </w:p>
        </w:tc>
        <w:tc>
          <w:tcPr>
            <w:tcW w:type="dxa" w:w="1520"/>
            <w:tcBorders>
              <w:top w:color="000000" w:sz="4" w:val="single"/>
              <w:left w:color="000000" w:sz="4" w:val="single"/>
              <w:bottom w:color="000000" w:sz="4" w:val="single"/>
              <w:right w:color="000000" w:sz="4" w:val="single"/>
            </w:tcBorders>
            <w:shd w:fill="auto" w:val="clear"/>
            <w:vAlign w:val="bottom"/>
          </w:tcPr>
          <w:p w14:paraId="3C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3D430000">
            <w:pPr>
              <w:widowControl w:val="1"/>
              <w:ind/>
              <w:jc w:val="right"/>
              <w:rPr>
                <w:sz w:val="18"/>
              </w:rPr>
            </w:pPr>
            <w:r>
              <w:rPr>
                <w:sz w:val="18"/>
              </w:rPr>
              <w:t>114</w:t>
            </w:r>
          </w:p>
        </w:tc>
        <w:tc>
          <w:tcPr>
            <w:tcW w:type="dxa" w:w="1360"/>
            <w:tcBorders>
              <w:top w:color="000000" w:sz="4" w:val="single"/>
              <w:left w:color="000000" w:sz="4" w:val="single"/>
              <w:bottom w:color="000000" w:sz="4" w:val="single"/>
              <w:right w:color="000000" w:sz="4" w:val="single"/>
            </w:tcBorders>
            <w:shd w:fill="auto" w:val="clear"/>
            <w:vAlign w:val="bottom"/>
          </w:tcPr>
          <w:p w14:paraId="3E430000">
            <w:pPr>
              <w:widowControl w:val="1"/>
              <w:ind/>
              <w:jc w:val="right"/>
              <w:rPr>
                <w:sz w:val="18"/>
              </w:rPr>
            </w:pPr>
            <w:r>
              <w:rPr>
                <w:sz w:val="18"/>
              </w:rPr>
              <w:t>76</w:t>
            </w:r>
          </w:p>
        </w:tc>
        <w:tc>
          <w:tcPr>
            <w:tcW w:type="dxa" w:w="1560"/>
            <w:tcBorders>
              <w:top w:color="000000" w:sz="4" w:val="single"/>
              <w:left w:color="000000" w:sz="4" w:val="single"/>
              <w:bottom w:color="000000" w:sz="4" w:val="single"/>
              <w:right w:color="000000" w:sz="4" w:val="single"/>
            </w:tcBorders>
            <w:shd w:fill="auto" w:val="clear"/>
            <w:vAlign w:val="bottom"/>
          </w:tcPr>
          <w:p w14:paraId="3F430000">
            <w:pPr>
              <w:widowControl w:val="1"/>
              <w:ind/>
              <w:jc w:val="right"/>
              <w:rPr>
                <w:sz w:val="18"/>
              </w:rPr>
            </w:pPr>
            <w:r>
              <w:rPr>
                <w:sz w:val="18"/>
              </w:rPr>
              <w:t>38</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40430000">
            <w:pPr>
              <w:rPr>
                <w:sz w:val="18"/>
              </w:rPr>
            </w:pPr>
            <w:r>
              <w:rPr>
                <w:sz w:val="18"/>
              </w:rPr>
              <w:t>ИНТЕРБИТ ООО НТЦ</w:t>
            </w:r>
          </w:p>
        </w:tc>
        <w:tc>
          <w:tcPr>
            <w:tcW w:type="dxa" w:w="1520"/>
            <w:tcBorders>
              <w:top w:color="000000" w:sz="4" w:val="single"/>
              <w:left w:color="000000" w:sz="4" w:val="single"/>
              <w:bottom w:color="000000" w:sz="4" w:val="single"/>
              <w:right w:color="000000" w:sz="4" w:val="single"/>
            </w:tcBorders>
            <w:shd w:fill="auto" w:val="clear"/>
            <w:vAlign w:val="bottom"/>
          </w:tcPr>
          <w:p w14:paraId="41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42430000">
            <w:pPr>
              <w:widowControl w:val="1"/>
              <w:ind/>
              <w:jc w:val="right"/>
              <w:rPr>
                <w:sz w:val="18"/>
              </w:rPr>
            </w:pPr>
            <w:r>
              <w:rPr>
                <w:sz w:val="18"/>
              </w:rPr>
              <w:t>334</w:t>
            </w:r>
          </w:p>
        </w:tc>
        <w:tc>
          <w:tcPr>
            <w:tcW w:type="dxa" w:w="1360"/>
            <w:tcBorders>
              <w:top w:color="000000" w:sz="4" w:val="single"/>
              <w:left w:color="000000" w:sz="4" w:val="single"/>
              <w:bottom w:color="000000" w:sz="4" w:val="single"/>
              <w:right w:color="000000" w:sz="4" w:val="single"/>
            </w:tcBorders>
            <w:shd w:fill="auto" w:val="clear"/>
            <w:vAlign w:val="bottom"/>
          </w:tcPr>
          <w:p w14:paraId="43430000">
            <w:pPr>
              <w:widowControl w:val="1"/>
              <w:ind/>
              <w:jc w:val="right"/>
              <w:rPr>
                <w:sz w:val="18"/>
              </w:rPr>
            </w:pPr>
            <w:r>
              <w:rPr>
                <w:sz w:val="18"/>
              </w:rPr>
              <w:t>334</w:t>
            </w:r>
          </w:p>
        </w:tc>
        <w:tc>
          <w:tcPr>
            <w:tcW w:type="dxa" w:w="1560"/>
            <w:tcBorders>
              <w:top w:color="000000" w:sz="4" w:val="single"/>
              <w:left w:color="000000" w:sz="4" w:val="single"/>
              <w:bottom w:color="000000" w:sz="4" w:val="single"/>
              <w:right w:color="000000" w:sz="4" w:val="single"/>
            </w:tcBorders>
            <w:shd w:fill="auto" w:val="clear"/>
            <w:vAlign w:val="bottom"/>
          </w:tcPr>
          <w:p w14:paraId="44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45430000">
            <w:pPr>
              <w:rPr>
                <w:sz w:val="18"/>
              </w:rPr>
            </w:pPr>
            <w:r>
              <w:rPr>
                <w:sz w:val="18"/>
              </w:rPr>
              <w:t>ИНТРАЛАЙН ООО</w:t>
            </w:r>
          </w:p>
        </w:tc>
        <w:tc>
          <w:tcPr>
            <w:tcW w:type="dxa" w:w="1520"/>
            <w:tcBorders>
              <w:top w:color="000000" w:sz="4" w:val="single"/>
              <w:left w:color="000000" w:sz="4" w:val="single"/>
              <w:bottom w:color="000000" w:sz="4" w:val="single"/>
              <w:right w:color="000000" w:sz="4" w:val="single"/>
            </w:tcBorders>
            <w:shd w:fill="auto" w:val="clear"/>
            <w:vAlign w:val="bottom"/>
          </w:tcPr>
          <w:p w14:paraId="46430000">
            <w:pPr>
              <w:widowControl w:val="1"/>
              <w:ind/>
              <w:jc w:val="right"/>
              <w:rPr>
                <w:sz w:val="18"/>
              </w:rPr>
            </w:pPr>
            <w:r>
              <w:rPr>
                <w:sz w:val="18"/>
              </w:rPr>
              <w:t>21</w:t>
            </w:r>
          </w:p>
        </w:tc>
        <w:tc>
          <w:tcPr>
            <w:tcW w:type="dxa" w:w="1360"/>
            <w:tcBorders>
              <w:top w:color="000000" w:sz="4" w:val="single"/>
              <w:left w:color="000000" w:sz="4" w:val="single"/>
              <w:bottom w:color="000000" w:sz="4" w:val="single"/>
              <w:right w:color="000000" w:sz="4" w:val="single"/>
            </w:tcBorders>
            <w:shd w:fill="auto" w:val="clear"/>
            <w:vAlign w:val="bottom"/>
          </w:tcPr>
          <w:p w14:paraId="47430000">
            <w:pPr>
              <w:widowControl w:val="1"/>
              <w:ind/>
              <w:jc w:val="right"/>
              <w:rPr>
                <w:sz w:val="18"/>
              </w:rPr>
            </w:pPr>
            <w:r>
              <w:rPr>
                <w:sz w:val="18"/>
              </w:rPr>
              <w:t>246</w:t>
            </w:r>
          </w:p>
        </w:tc>
        <w:tc>
          <w:tcPr>
            <w:tcW w:type="dxa" w:w="1360"/>
            <w:tcBorders>
              <w:top w:color="000000" w:sz="4" w:val="single"/>
              <w:left w:color="000000" w:sz="4" w:val="single"/>
              <w:bottom w:color="000000" w:sz="4" w:val="single"/>
              <w:right w:color="000000" w:sz="4" w:val="single"/>
            </w:tcBorders>
            <w:shd w:fill="auto" w:val="clear"/>
            <w:vAlign w:val="bottom"/>
          </w:tcPr>
          <w:p w14:paraId="48430000">
            <w:pPr>
              <w:widowControl w:val="1"/>
              <w:ind/>
              <w:jc w:val="right"/>
              <w:rPr>
                <w:sz w:val="18"/>
              </w:rPr>
            </w:pPr>
            <w:r>
              <w:rPr>
                <w:sz w:val="18"/>
              </w:rPr>
              <w:t>246</w:t>
            </w:r>
          </w:p>
        </w:tc>
        <w:tc>
          <w:tcPr>
            <w:tcW w:type="dxa" w:w="1560"/>
            <w:tcBorders>
              <w:top w:color="000000" w:sz="4" w:val="single"/>
              <w:left w:color="000000" w:sz="4" w:val="single"/>
              <w:bottom w:color="000000" w:sz="4" w:val="single"/>
              <w:right w:color="000000" w:sz="4" w:val="single"/>
            </w:tcBorders>
            <w:shd w:fill="auto" w:val="clear"/>
            <w:vAlign w:val="bottom"/>
          </w:tcPr>
          <w:p w14:paraId="49430000">
            <w:pPr>
              <w:widowControl w:val="1"/>
              <w:ind/>
              <w:jc w:val="right"/>
              <w:rPr>
                <w:sz w:val="18"/>
              </w:rPr>
            </w:pPr>
            <w:r>
              <w:rPr>
                <w:sz w:val="18"/>
              </w:rPr>
              <w:t>21</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4A430000">
            <w:pPr>
              <w:rPr>
                <w:sz w:val="18"/>
              </w:rPr>
            </w:pPr>
            <w:r>
              <w:rPr>
                <w:sz w:val="18"/>
              </w:rPr>
              <w:t>ИП Пасичниченко Виталий Викторович г. Красноярск, пр-т Металлургов, д.2д, стр.5</w:t>
            </w:r>
          </w:p>
        </w:tc>
        <w:tc>
          <w:tcPr>
            <w:tcW w:type="dxa" w:w="1520"/>
            <w:tcBorders>
              <w:top w:color="000000" w:sz="4" w:val="single"/>
              <w:left w:color="000000" w:sz="4" w:val="single"/>
              <w:bottom w:color="000000" w:sz="4" w:val="single"/>
              <w:right w:color="000000" w:sz="4" w:val="single"/>
            </w:tcBorders>
            <w:shd w:fill="auto" w:val="clear"/>
            <w:vAlign w:val="bottom"/>
          </w:tcPr>
          <w:p w14:paraId="4B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4C430000">
            <w:pPr>
              <w:widowControl w:val="1"/>
              <w:ind/>
              <w:jc w:val="right"/>
              <w:rPr>
                <w:sz w:val="18"/>
              </w:rPr>
            </w:pPr>
            <w:r>
              <w:rPr>
                <w:sz w:val="18"/>
              </w:rPr>
              <w:t>24</w:t>
            </w:r>
          </w:p>
        </w:tc>
        <w:tc>
          <w:tcPr>
            <w:tcW w:type="dxa" w:w="1360"/>
            <w:tcBorders>
              <w:top w:color="000000" w:sz="4" w:val="single"/>
              <w:left w:color="000000" w:sz="4" w:val="single"/>
              <w:bottom w:color="000000" w:sz="4" w:val="single"/>
              <w:right w:color="000000" w:sz="4" w:val="single"/>
            </w:tcBorders>
            <w:shd w:fill="auto" w:val="clear"/>
            <w:vAlign w:val="bottom"/>
          </w:tcPr>
          <w:p w14:paraId="4D430000">
            <w:pPr>
              <w:widowControl w:val="1"/>
              <w:ind/>
              <w:jc w:val="right"/>
              <w:rPr>
                <w:sz w:val="18"/>
              </w:rPr>
            </w:pPr>
            <w:r>
              <w:rPr>
                <w:sz w:val="18"/>
              </w:rPr>
              <w:t>24</w:t>
            </w:r>
          </w:p>
        </w:tc>
        <w:tc>
          <w:tcPr>
            <w:tcW w:type="dxa" w:w="1560"/>
            <w:tcBorders>
              <w:top w:color="000000" w:sz="4" w:val="single"/>
              <w:left w:color="000000" w:sz="4" w:val="single"/>
              <w:bottom w:color="000000" w:sz="4" w:val="single"/>
              <w:right w:color="000000" w:sz="4" w:val="single"/>
            </w:tcBorders>
            <w:shd w:fill="auto" w:val="clear"/>
            <w:vAlign w:val="bottom"/>
          </w:tcPr>
          <w:p w14:paraId="4E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4F430000">
            <w:pPr>
              <w:rPr>
                <w:sz w:val="18"/>
              </w:rPr>
            </w:pPr>
            <w:r>
              <w:rPr>
                <w:sz w:val="18"/>
              </w:rPr>
              <w:t>ИПО ГАРАНТ ООО</w:t>
            </w:r>
          </w:p>
        </w:tc>
        <w:tc>
          <w:tcPr>
            <w:tcW w:type="dxa" w:w="1520"/>
            <w:tcBorders>
              <w:top w:color="000000" w:sz="4" w:val="single"/>
              <w:left w:color="000000" w:sz="4" w:val="single"/>
              <w:bottom w:color="000000" w:sz="4" w:val="single"/>
              <w:right w:color="000000" w:sz="4" w:val="single"/>
            </w:tcBorders>
            <w:shd w:fill="auto" w:val="clear"/>
            <w:vAlign w:val="bottom"/>
          </w:tcPr>
          <w:p w14:paraId="50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51430000">
            <w:pPr>
              <w:widowControl w:val="1"/>
              <w:ind/>
              <w:jc w:val="right"/>
              <w:rPr>
                <w:sz w:val="18"/>
              </w:rPr>
            </w:pPr>
            <w:r>
              <w:rPr>
                <w:sz w:val="18"/>
              </w:rPr>
              <w:t>56</w:t>
            </w:r>
          </w:p>
        </w:tc>
        <w:tc>
          <w:tcPr>
            <w:tcW w:type="dxa" w:w="1360"/>
            <w:tcBorders>
              <w:top w:color="000000" w:sz="4" w:val="single"/>
              <w:left w:color="000000" w:sz="4" w:val="single"/>
              <w:bottom w:color="000000" w:sz="4" w:val="single"/>
              <w:right w:color="000000" w:sz="4" w:val="single"/>
            </w:tcBorders>
            <w:shd w:fill="auto" w:val="clear"/>
            <w:vAlign w:val="bottom"/>
          </w:tcPr>
          <w:p w14:paraId="52430000">
            <w:pPr>
              <w:widowControl w:val="1"/>
              <w:ind/>
              <w:jc w:val="right"/>
              <w:rPr>
                <w:sz w:val="18"/>
              </w:rPr>
            </w:pPr>
            <w:r>
              <w:rPr>
                <w:sz w:val="18"/>
              </w:rPr>
              <w:t>42</w:t>
            </w:r>
          </w:p>
        </w:tc>
        <w:tc>
          <w:tcPr>
            <w:tcW w:type="dxa" w:w="1560"/>
            <w:tcBorders>
              <w:top w:color="000000" w:sz="4" w:val="single"/>
              <w:left w:color="000000" w:sz="4" w:val="single"/>
              <w:bottom w:color="000000" w:sz="4" w:val="single"/>
              <w:right w:color="000000" w:sz="4" w:val="single"/>
            </w:tcBorders>
            <w:shd w:fill="auto" w:val="clear"/>
            <w:vAlign w:val="bottom"/>
          </w:tcPr>
          <w:p w14:paraId="53430000">
            <w:pPr>
              <w:widowControl w:val="1"/>
              <w:ind/>
              <w:jc w:val="right"/>
              <w:rPr>
                <w:sz w:val="18"/>
              </w:rPr>
            </w:pPr>
            <w:r>
              <w:rPr>
                <w:sz w:val="18"/>
              </w:rPr>
              <w:t>14</w:t>
            </w:r>
          </w:p>
        </w:tc>
      </w:tr>
      <w:tr>
        <w:trPr>
          <w:trHeight w:hRule="atLeast" w:val="249"/>
        </w:trPr>
        <w:tc>
          <w:tcPr>
            <w:tcW w:type="dxa" w:w="4414"/>
            <w:tcBorders>
              <w:top w:color="000000" w:sz="4" w:val="single"/>
              <w:left w:color="000000" w:sz="4" w:val="single"/>
              <w:bottom w:color="000000" w:sz="4" w:val="single"/>
              <w:right w:color="000000" w:sz="4" w:val="single"/>
            </w:tcBorders>
            <w:shd w:fill="auto" w:val="clear"/>
            <w:vAlign w:val="bottom"/>
          </w:tcPr>
          <w:p w14:paraId="54430000">
            <w:pPr>
              <w:rPr>
                <w:sz w:val="18"/>
              </w:rPr>
            </w:pPr>
            <w:r>
              <w:rPr>
                <w:sz w:val="18"/>
              </w:rPr>
              <w:t>ИТЕО ООО</w:t>
            </w:r>
          </w:p>
        </w:tc>
        <w:tc>
          <w:tcPr>
            <w:tcW w:type="dxa" w:w="1520"/>
            <w:tcBorders>
              <w:top w:color="000000" w:sz="4" w:val="single"/>
              <w:left w:color="000000" w:sz="4" w:val="single"/>
              <w:bottom w:color="000000" w:sz="4" w:val="single"/>
              <w:right w:color="000000" w:sz="4" w:val="single"/>
            </w:tcBorders>
            <w:shd w:fill="auto" w:val="clear"/>
            <w:vAlign w:val="bottom"/>
          </w:tcPr>
          <w:p w14:paraId="55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56430000">
            <w:pPr>
              <w:widowControl w:val="1"/>
              <w:ind/>
              <w:jc w:val="right"/>
              <w:rPr>
                <w:sz w:val="18"/>
              </w:rPr>
            </w:pPr>
            <w:r>
              <w:rPr>
                <w:sz w:val="18"/>
              </w:rPr>
              <w:t>290</w:t>
            </w:r>
          </w:p>
        </w:tc>
        <w:tc>
          <w:tcPr>
            <w:tcW w:type="dxa" w:w="1360"/>
            <w:tcBorders>
              <w:top w:color="000000" w:sz="4" w:val="single"/>
              <w:left w:color="000000" w:sz="4" w:val="single"/>
              <w:bottom w:color="000000" w:sz="4" w:val="single"/>
              <w:right w:color="000000" w:sz="4" w:val="single"/>
            </w:tcBorders>
            <w:shd w:fill="auto" w:val="clear"/>
            <w:vAlign w:val="bottom"/>
          </w:tcPr>
          <w:p w14:paraId="57430000">
            <w:pPr>
              <w:widowControl w:val="1"/>
              <w:ind/>
              <w:jc w:val="right"/>
              <w:rPr>
                <w:sz w:val="18"/>
              </w:rPr>
            </w:pPr>
            <w:r>
              <w:rPr>
                <w:sz w:val="18"/>
              </w:rPr>
              <w:t>290</w:t>
            </w:r>
          </w:p>
        </w:tc>
        <w:tc>
          <w:tcPr>
            <w:tcW w:type="dxa" w:w="1560"/>
            <w:tcBorders>
              <w:top w:color="000000" w:sz="4" w:val="single"/>
              <w:left w:color="000000" w:sz="4" w:val="single"/>
              <w:bottom w:color="000000" w:sz="4" w:val="single"/>
              <w:right w:color="000000" w:sz="4" w:val="single"/>
            </w:tcBorders>
            <w:shd w:fill="auto" w:val="clear"/>
            <w:vAlign w:val="bottom"/>
          </w:tcPr>
          <w:p w14:paraId="58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59430000">
            <w:pPr>
              <w:rPr>
                <w:sz w:val="18"/>
              </w:rPr>
            </w:pPr>
            <w:r>
              <w:rPr>
                <w:sz w:val="18"/>
              </w:rPr>
              <w:t>ИТРБ ООО</w:t>
            </w:r>
          </w:p>
        </w:tc>
        <w:tc>
          <w:tcPr>
            <w:tcW w:type="dxa" w:w="1520"/>
            <w:tcBorders>
              <w:top w:color="000000" w:sz="4" w:val="single"/>
              <w:left w:color="000000" w:sz="4" w:val="single"/>
              <w:bottom w:color="000000" w:sz="4" w:val="single"/>
              <w:right w:color="000000" w:sz="4" w:val="single"/>
            </w:tcBorders>
            <w:shd w:fill="auto" w:val="clear"/>
            <w:vAlign w:val="bottom"/>
          </w:tcPr>
          <w:p w14:paraId="5A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5B430000">
            <w:pPr>
              <w:widowControl w:val="1"/>
              <w:ind/>
              <w:jc w:val="right"/>
              <w:rPr>
                <w:sz w:val="18"/>
              </w:rPr>
            </w:pPr>
            <w:r>
              <w:rPr>
                <w:sz w:val="18"/>
              </w:rPr>
              <w:t>389</w:t>
            </w:r>
          </w:p>
        </w:tc>
        <w:tc>
          <w:tcPr>
            <w:tcW w:type="dxa" w:w="1360"/>
            <w:tcBorders>
              <w:top w:color="000000" w:sz="4" w:val="single"/>
              <w:left w:color="000000" w:sz="4" w:val="single"/>
              <w:bottom w:color="000000" w:sz="4" w:val="single"/>
              <w:right w:color="000000" w:sz="4" w:val="single"/>
            </w:tcBorders>
            <w:shd w:fill="auto" w:val="clear"/>
            <w:vAlign w:val="bottom"/>
          </w:tcPr>
          <w:p w14:paraId="5C430000">
            <w:pPr>
              <w:widowControl w:val="1"/>
              <w:ind/>
              <w:jc w:val="right"/>
              <w:rPr>
                <w:sz w:val="18"/>
              </w:rPr>
            </w:pPr>
            <w:r>
              <w:rPr>
                <w:sz w:val="18"/>
              </w:rPr>
              <w:t>386</w:t>
            </w:r>
          </w:p>
        </w:tc>
        <w:tc>
          <w:tcPr>
            <w:tcW w:type="dxa" w:w="1560"/>
            <w:tcBorders>
              <w:top w:color="000000" w:sz="4" w:val="single"/>
              <w:left w:color="000000" w:sz="4" w:val="single"/>
              <w:bottom w:color="000000" w:sz="4" w:val="single"/>
              <w:right w:color="000000" w:sz="4" w:val="single"/>
            </w:tcBorders>
            <w:shd w:fill="auto" w:val="clear"/>
            <w:vAlign w:val="bottom"/>
          </w:tcPr>
          <w:p w14:paraId="5D430000">
            <w:pPr>
              <w:widowControl w:val="1"/>
              <w:ind/>
              <w:jc w:val="right"/>
              <w:rPr>
                <w:sz w:val="18"/>
              </w:rPr>
            </w:pPr>
            <w:r>
              <w:rPr>
                <w:sz w:val="18"/>
              </w:rPr>
              <w:t>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5E430000">
            <w:pPr>
              <w:rPr>
                <w:sz w:val="18"/>
              </w:rPr>
            </w:pPr>
            <w:r>
              <w:rPr>
                <w:sz w:val="18"/>
              </w:rPr>
              <w:t>КАСА ТЕКС ООО</w:t>
            </w:r>
          </w:p>
        </w:tc>
        <w:tc>
          <w:tcPr>
            <w:tcW w:type="dxa" w:w="1520"/>
            <w:tcBorders>
              <w:top w:color="000000" w:sz="4" w:val="single"/>
              <w:left w:color="000000" w:sz="4" w:val="single"/>
              <w:bottom w:color="000000" w:sz="4" w:val="single"/>
              <w:right w:color="000000" w:sz="4" w:val="single"/>
            </w:tcBorders>
            <w:shd w:fill="auto" w:val="clear"/>
            <w:vAlign w:val="bottom"/>
          </w:tcPr>
          <w:p w14:paraId="5F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60430000">
            <w:pPr>
              <w:widowControl w:val="1"/>
              <w:ind/>
              <w:jc w:val="right"/>
              <w:rPr>
                <w:sz w:val="18"/>
              </w:rPr>
            </w:pPr>
            <w:r>
              <w:rPr>
                <w:sz w:val="18"/>
              </w:rPr>
              <w:t>7</w:t>
            </w:r>
          </w:p>
        </w:tc>
        <w:tc>
          <w:tcPr>
            <w:tcW w:type="dxa" w:w="1360"/>
            <w:tcBorders>
              <w:top w:color="000000" w:sz="4" w:val="single"/>
              <w:left w:color="000000" w:sz="4" w:val="single"/>
              <w:bottom w:color="000000" w:sz="4" w:val="single"/>
              <w:right w:color="000000" w:sz="4" w:val="single"/>
            </w:tcBorders>
            <w:shd w:fill="auto" w:val="clear"/>
            <w:vAlign w:val="bottom"/>
          </w:tcPr>
          <w:p w14:paraId="61430000">
            <w:pPr>
              <w:widowControl w:val="1"/>
              <w:ind/>
              <w:jc w:val="right"/>
              <w:rPr>
                <w:sz w:val="18"/>
              </w:rPr>
            </w:pPr>
            <w:r>
              <w:rPr>
                <w:sz w:val="18"/>
              </w:rPr>
              <w:t>7</w:t>
            </w:r>
          </w:p>
        </w:tc>
        <w:tc>
          <w:tcPr>
            <w:tcW w:type="dxa" w:w="1560"/>
            <w:tcBorders>
              <w:top w:color="000000" w:sz="4" w:val="single"/>
              <w:left w:color="000000" w:sz="4" w:val="single"/>
              <w:bottom w:color="000000" w:sz="4" w:val="single"/>
              <w:right w:color="000000" w:sz="4" w:val="single"/>
            </w:tcBorders>
            <w:shd w:fill="auto" w:val="clear"/>
            <w:vAlign w:val="bottom"/>
          </w:tcPr>
          <w:p w14:paraId="62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63430000">
            <w:pPr>
              <w:rPr>
                <w:sz w:val="18"/>
              </w:rPr>
            </w:pPr>
            <w:r>
              <w:rPr>
                <w:sz w:val="18"/>
              </w:rPr>
              <w:t>КИТ ООО</w:t>
            </w:r>
          </w:p>
        </w:tc>
        <w:tc>
          <w:tcPr>
            <w:tcW w:type="dxa" w:w="1520"/>
            <w:tcBorders>
              <w:top w:color="000000" w:sz="4" w:val="single"/>
              <w:left w:color="000000" w:sz="4" w:val="single"/>
              <w:bottom w:color="000000" w:sz="4" w:val="single"/>
              <w:right w:color="000000" w:sz="4" w:val="single"/>
            </w:tcBorders>
            <w:shd w:fill="auto" w:val="clear"/>
            <w:vAlign w:val="bottom"/>
          </w:tcPr>
          <w:p w14:paraId="64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65430000">
            <w:pPr>
              <w:widowControl w:val="1"/>
              <w:ind/>
              <w:jc w:val="right"/>
              <w:rPr>
                <w:sz w:val="18"/>
              </w:rPr>
            </w:pPr>
            <w:r>
              <w:rPr>
                <w:sz w:val="18"/>
              </w:rPr>
              <w:t>1 254</w:t>
            </w:r>
          </w:p>
        </w:tc>
        <w:tc>
          <w:tcPr>
            <w:tcW w:type="dxa" w:w="1360"/>
            <w:tcBorders>
              <w:top w:color="000000" w:sz="4" w:val="single"/>
              <w:left w:color="000000" w:sz="4" w:val="single"/>
              <w:bottom w:color="000000" w:sz="4" w:val="single"/>
              <w:right w:color="000000" w:sz="4" w:val="single"/>
            </w:tcBorders>
            <w:shd w:fill="auto" w:val="clear"/>
            <w:vAlign w:val="bottom"/>
          </w:tcPr>
          <w:p w14:paraId="66430000">
            <w:pPr>
              <w:widowControl w:val="1"/>
              <w:ind/>
              <w:jc w:val="right"/>
              <w:rPr>
                <w:sz w:val="18"/>
              </w:rPr>
            </w:pPr>
            <w:r>
              <w:rPr>
                <w:sz w:val="18"/>
              </w:rPr>
              <w:t>1 254</w:t>
            </w:r>
          </w:p>
        </w:tc>
        <w:tc>
          <w:tcPr>
            <w:tcW w:type="dxa" w:w="1560"/>
            <w:tcBorders>
              <w:top w:color="000000" w:sz="4" w:val="single"/>
              <w:left w:color="000000" w:sz="4" w:val="single"/>
              <w:bottom w:color="000000" w:sz="4" w:val="single"/>
              <w:right w:color="000000" w:sz="4" w:val="single"/>
            </w:tcBorders>
            <w:shd w:fill="auto" w:val="clear"/>
            <w:vAlign w:val="bottom"/>
          </w:tcPr>
          <w:p w14:paraId="67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68430000">
            <w:pPr>
              <w:rPr>
                <w:sz w:val="18"/>
              </w:rPr>
            </w:pPr>
            <w:r>
              <w:rPr>
                <w:sz w:val="18"/>
              </w:rPr>
              <w:t>КЛАД ООО</w:t>
            </w:r>
          </w:p>
        </w:tc>
        <w:tc>
          <w:tcPr>
            <w:tcW w:type="dxa" w:w="1520"/>
            <w:tcBorders>
              <w:top w:color="000000" w:sz="4" w:val="single"/>
              <w:left w:color="000000" w:sz="4" w:val="single"/>
              <w:bottom w:color="000000" w:sz="4" w:val="single"/>
              <w:right w:color="000000" w:sz="4" w:val="single"/>
            </w:tcBorders>
            <w:shd w:fill="auto" w:val="clear"/>
            <w:vAlign w:val="bottom"/>
          </w:tcPr>
          <w:p w14:paraId="69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6A430000">
            <w:pPr>
              <w:widowControl w:val="1"/>
              <w:ind/>
              <w:jc w:val="right"/>
              <w:rPr>
                <w:sz w:val="18"/>
              </w:rPr>
            </w:pPr>
            <w:r>
              <w:rPr>
                <w:sz w:val="18"/>
              </w:rPr>
              <w:t>169</w:t>
            </w:r>
          </w:p>
        </w:tc>
        <w:tc>
          <w:tcPr>
            <w:tcW w:type="dxa" w:w="1360"/>
            <w:tcBorders>
              <w:top w:color="000000" w:sz="4" w:val="single"/>
              <w:left w:color="000000" w:sz="4" w:val="single"/>
              <w:bottom w:color="000000" w:sz="4" w:val="single"/>
              <w:right w:color="000000" w:sz="4" w:val="single"/>
            </w:tcBorders>
            <w:shd w:fill="auto" w:val="clear"/>
            <w:vAlign w:val="bottom"/>
          </w:tcPr>
          <w:p w14:paraId="6B430000">
            <w:pPr>
              <w:widowControl w:val="1"/>
              <w:ind/>
              <w:jc w:val="right"/>
              <w:rPr>
                <w:sz w:val="18"/>
              </w:rPr>
            </w:pPr>
            <w:r>
              <w:rPr>
                <w:sz w:val="18"/>
              </w:rPr>
              <w:t>169</w:t>
            </w:r>
          </w:p>
        </w:tc>
        <w:tc>
          <w:tcPr>
            <w:tcW w:type="dxa" w:w="1560"/>
            <w:tcBorders>
              <w:top w:color="000000" w:sz="4" w:val="single"/>
              <w:left w:color="000000" w:sz="4" w:val="single"/>
              <w:bottom w:color="000000" w:sz="4" w:val="single"/>
              <w:right w:color="000000" w:sz="4" w:val="single"/>
            </w:tcBorders>
            <w:shd w:fill="auto" w:val="clear"/>
            <w:vAlign w:val="bottom"/>
          </w:tcPr>
          <w:p w14:paraId="6C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6D430000">
            <w:pPr>
              <w:rPr>
                <w:sz w:val="18"/>
              </w:rPr>
            </w:pPr>
            <w:r>
              <w:rPr>
                <w:sz w:val="18"/>
              </w:rPr>
              <w:t>КЛЕВЕРЕНС СОФТ ООО</w:t>
            </w:r>
          </w:p>
        </w:tc>
        <w:tc>
          <w:tcPr>
            <w:tcW w:type="dxa" w:w="1520"/>
            <w:tcBorders>
              <w:top w:color="000000" w:sz="4" w:val="single"/>
              <w:left w:color="000000" w:sz="4" w:val="single"/>
              <w:bottom w:color="000000" w:sz="4" w:val="single"/>
              <w:right w:color="000000" w:sz="4" w:val="single"/>
            </w:tcBorders>
            <w:shd w:fill="auto" w:val="clear"/>
            <w:vAlign w:val="bottom"/>
          </w:tcPr>
          <w:p w14:paraId="6E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6F430000">
            <w:pPr>
              <w:widowControl w:val="1"/>
              <w:ind/>
              <w:jc w:val="right"/>
              <w:rPr>
                <w:sz w:val="18"/>
              </w:rPr>
            </w:pPr>
            <w:r>
              <w:rPr>
                <w:sz w:val="18"/>
              </w:rPr>
              <w:t>170</w:t>
            </w:r>
          </w:p>
        </w:tc>
        <w:tc>
          <w:tcPr>
            <w:tcW w:type="dxa" w:w="1360"/>
            <w:tcBorders>
              <w:top w:color="000000" w:sz="4" w:val="single"/>
              <w:left w:color="000000" w:sz="4" w:val="single"/>
              <w:bottom w:color="000000" w:sz="4" w:val="single"/>
              <w:right w:color="000000" w:sz="4" w:val="single"/>
            </w:tcBorders>
            <w:shd w:fill="auto" w:val="clear"/>
            <w:vAlign w:val="bottom"/>
          </w:tcPr>
          <w:p w14:paraId="70430000">
            <w:pPr>
              <w:widowControl w:val="1"/>
              <w:ind/>
              <w:jc w:val="right"/>
              <w:rPr>
                <w:sz w:val="18"/>
              </w:rPr>
            </w:pPr>
            <w:r>
              <w:rPr>
                <w:sz w:val="18"/>
              </w:rPr>
              <w:t>170</w:t>
            </w:r>
          </w:p>
        </w:tc>
        <w:tc>
          <w:tcPr>
            <w:tcW w:type="dxa" w:w="1560"/>
            <w:tcBorders>
              <w:top w:color="000000" w:sz="4" w:val="single"/>
              <w:left w:color="000000" w:sz="4" w:val="single"/>
              <w:bottom w:color="000000" w:sz="4" w:val="single"/>
              <w:right w:color="000000" w:sz="4" w:val="single"/>
            </w:tcBorders>
            <w:shd w:fill="auto" w:val="clear"/>
            <w:vAlign w:val="bottom"/>
          </w:tcPr>
          <w:p w14:paraId="71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72430000">
            <w:pPr>
              <w:rPr>
                <w:sz w:val="18"/>
              </w:rPr>
            </w:pPr>
            <w:r>
              <w:rPr>
                <w:sz w:val="18"/>
              </w:rPr>
              <w:t>Клименко Сергей Андреевич ИП</w:t>
            </w:r>
          </w:p>
        </w:tc>
        <w:tc>
          <w:tcPr>
            <w:tcW w:type="dxa" w:w="1520"/>
            <w:tcBorders>
              <w:top w:color="000000" w:sz="4" w:val="single"/>
              <w:left w:color="000000" w:sz="4" w:val="single"/>
              <w:bottom w:color="000000" w:sz="4" w:val="single"/>
              <w:right w:color="000000" w:sz="4" w:val="single"/>
            </w:tcBorders>
            <w:shd w:fill="auto" w:val="clear"/>
            <w:vAlign w:val="bottom"/>
          </w:tcPr>
          <w:p w14:paraId="73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74430000">
            <w:pPr>
              <w:widowControl w:val="1"/>
              <w:ind/>
              <w:jc w:val="right"/>
              <w:rPr>
                <w:sz w:val="18"/>
              </w:rPr>
            </w:pPr>
            <w:r>
              <w:rPr>
                <w:sz w:val="18"/>
              </w:rPr>
              <w:t>12</w:t>
            </w:r>
          </w:p>
        </w:tc>
        <w:tc>
          <w:tcPr>
            <w:tcW w:type="dxa" w:w="1360"/>
            <w:tcBorders>
              <w:top w:color="000000" w:sz="4" w:val="single"/>
              <w:left w:color="000000" w:sz="4" w:val="single"/>
              <w:bottom w:color="000000" w:sz="4" w:val="single"/>
              <w:right w:color="000000" w:sz="4" w:val="single"/>
            </w:tcBorders>
            <w:shd w:fill="auto" w:val="clear"/>
            <w:vAlign w:val="bottom"/>
          </w:tcPr>
          <w:p w14:paraId="75430000">
            <w:pPr>
              <w:widowControl w:val="1"/>
              <w:ind/>
              <w:jc w:val="right"/>
              <w:rPr>
                <w:sz w:val="18"/>
              </w:rPr>
            </w:pPr>
            <w:r>
              <w:rPr>
                <w:sz w:val="18"/>
              </w:rPr>
              <w:t>12</w:t>
            </w:r>
          </w:p>
        </w:tc>
        <w:tc>
          <w:tcPr>
            <w:tcW w:type="dxa" w:w="1560"/>
            <w:tcBorders>
              <w:top w:color="000000" w:sz="4" w:val="single"/>
              <w:left w:color="000000" w:sz="4" w:val="single"/>
              <w:bottom w:color="000000" w:sz="4" w:val="single"/>
              <w:right w:color="000000" w:sz="4" w:val="single"/>
            </w:tcBorders>
            <w:shd w:fill="auto" w:val="clear"/>
            <w:vAlign w:val="bottom"/>
          </w:tcPr>
          <w:p w14:paraId="76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77430000">
            <w:pPr>
              <w:rPr>
                <w:sz w:val="18"/>
              </w:rPr>
            </w:pPr>
            <w:r>
              <w:rPr>
                <w:sz w:val="18"/>
              </w:rPr>
              <w:t>КМК-ТРЕЙД ООО</w:t>
            </w:r>
          </w:p>
        </w:tc>
        <w:tc>
          <w:tcPr>
            <w:tcW w:type="dxa" w:w="1520"/>
            <w:tcBorders>
              <w:top w:color="000000" w:sz="4" w:val="single"/>
              <w:left w:color="000000" w:sz="4" w:val="single"/>
              <w:bottom w:color="000000" w:sz="4" w:val="single"/>
              <w:right w:color="000000" w:sz="4" w:val="single"/>
            </w:tcBorders>
            <w:shd w:fill="auto" w:val="clear"/>
            <w:vAlign w:val="bottom"/>
          </w:tcPr>
          <w:p w14:paraId="78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79430000">
            <w:pPr>
              <w:widowControl w:val="1"/>
              <w:ind/>
              <w:jc w:val="right"/>
              <w:rPr>
                <w:sz w:val="18"/>
              </w:rPr>
            </w:pPr>
            <w:r>
              <w:rPr>
                <w:sz w:val="18"/>
              </w:rPr>
              <w:t>294</w:t>
            </w:r>
          </w:p>
        </w:tc>
        <w:tc>
          <w:tcPr>
            <w:tcW w:type="dxa" w:w="1360"/>
            <w:tcBorders>
              <w:top w:color="000000" w:sz="4" w:val="single"/>
              <w:left w:color="000000" w:sz="4" w:val="single"/>
              <w:bottom w:color="000000" w:sz="4" w:val="single"/>
              <w:right w:color="000000" w:sz="4" w:val="single"/>
            </w:tcBorders>
            <w:shd w:fill="auto" w:val="clear"/>
            <w:vAlign w:val="bottom"/>
          </w:tcPr>
          <w:p w14:paraId="7A430000">
            <w:pPr>
              <w:widowControl w:val="1"/>
              <w:ind/>
              <w:jc w:val="right"/>
              <w:rPr>
                <w:sz w:val="18"/>
              </w:rPr>
            </w:pPr>
            <w:r>
              <w:rPr>
                <w:sz w:val="18"/>
              </w:rPr>
              <w:t>294</w:t>
            </w:r>
          </w:p>
        </w:tc>
        <w:tc>
          <w:tcPr>
            <w:tcW w:type="dxa" w:w="1560"/>
            <w:tcBorders>
              <w:top w:color="000000" w:sz="4" w:val="single"/>
              <w:left w:color="000000" w:sz="4" w:val="single"/>
              <w:bottom w:color="000000" w:sz="4" w:val="single"/>
              <w:right w:color="000000" w:sz="4" w:val="single"/>
            </w:tcBorders>
            <w:shd w:fill="auto" w:val="clear"/>
            <w:vAlign w:val="bottom"/>
          </w:tcPr>
          <w:p w14:paraId="7B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7C430000">
            <w:pPr>
              <w:rPr>
                <w:sz w:val="18"/>
              </w:rPr>
            </w:pPr>
            <w:r>
              <w:rPr>
                <w:sz w:val="18"/>
              </w:rPr>
              <w:t>Комсомольская правда Издательский дом АО</w:t>
            </w:r>
          </w:p>
        </w:tc>
        <w:tc>
          <w:tcPr>
            <w:tcW w:type="dxa" w:w="1520"/>
            <w:tcBorders>
              <w:top w:color="000000" w:sz="4" w:val="single"/>
              <w:left w:color="000000" w:sz="4" w:val="single"/>
              <w:bottom w:color="000000" w:sz="4" w:val="single"/>
              <w:right w:color="000000" w:sz="4" w:val="single"/>
            </w:tcBorders>
            <w:shd w:fill="auto" w:val="clear"/>
            <w:vAlign w:val="bottom"/>
          </w:tcPr>
          <w:p w14:paraId="7D430000">
            <w:pPr>
              <w:widowControl w:val="1"/>
              <w:ind/>
              <w:jc w:val="right"/>
              <w:rPr>
                <w:sz w:val="18"/>
              </w:rPr>
            </w:pPr>
            <w:r>
              <w:rPr>
                <w:sz w:val="18"/>
              </w:rPr>
              <w:t>20</w:t>
            </w:r>
          </w:p>
        </w:tc>
        <w:tc>
          <w:tcPr>
            <w:tcW w:type="dxa" w:w="1360"/>
            <w:tcBorders>
              <w:top w:color="000000" w:sz="4" w:val="single"/>
              <w:left w:color="000000" w:sz="4" w:val="single"/>
              <w:bottom w:color="000000" w:sz="4" w:val="single"/>
              <w:right w:color="000000" w:sz="4" w:val="single"/>
            </w:tcBorders>
            <w:shd w:fill="auto" w:val="clear"/>
            <w:vAlign w:val="bottom"/>
          </w:tcPr>
          <w:p w14:paraId="7E430000">
            <w:pPr>
              <w:widowControl w:val="1"/>
              <w:ind/>
              <w:jc w:val="right"/>
              <w:rPr>
                <w:sz w:val="18"/>
              </w:rPr>
            </w:pPr>
            <w:r>
              <w:rPr>
                <w:sz w:val="18"/>
              </w:rPr>
              <w:t>237</w:t>
            </w:r>
          </w:p>
        </w:tc>
        <w:tc>
          <w:tcPr>
            <w:tcW w:type="dxa" w:w="1360"/>
            <w:tcBorders>
              <w:top w:color="000000" w:sz="4" w:val="single"/>
              <w:left w:color="000000" w:sz="4" w:val="single"/>
              <w:bottom w:color="000000" w:sz="4" w:val="single"/>
              <w:right w:color="000000" w:sz="4" w:val="single"/>
            </w:tcBorders>
            <w:shd w:fill="auto" w:val="clear"/>
            <w:vAlign w:val="bottom"/>
          </w:tcPr>
          <w:p w14:paraId="7F430000">
            <w:pPr>
              <w:widowControl w:val="1"/>
              <w:ind/>
              <w:jc w:val="right"/>
              <w:rPr>
                <w:sz w:val="18"/>
              </w:rPr>
            </w:pPr>
            <w:r>
              <w:rPr>
                <w:sz w:val="18"/>
              </w:rPr>
              <w:t>229</w:t>
            </w:r>
          </w:p>
        </w:tc>
        <w:tc>
          <w:tcPr>
            <w:tcW w:type="dxa" w:w="1560"/>
            <w:tcBorders>
              <w:top w:color="000000" w:sz="4" w:val="single"/>
              <w:left w:color="000000" w:sz="4" w:val="single"/>
              <w:bottom w:color="000000" w:sz="4" w:val="single"/>
              <w:right w:color="000000" w:sz="4" w:val="single"/>
            </w:tcBorders>
            <w:shd w:fill="auto" w:val="clear"/>
            <w:vAlign w:val="bottom"/>
          </w:tcPr>
          <w:p w14:paraId="80430000">
            <w:pPr>
              <w:widowControl w:val="1"/>
              <w:ind/>
              <w:jc w:val="right"/>
              <w:rPr>
                <w:sz w:val="18"/>
              </w:rPr>
            </w:pPr>
            <w:r>
              <w:rPr>
                <w:sz w:val="18"/>
              </w:rPr>
              <w:t>28</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81430000">
            <w:pPr>
              <w:rPr>
                <w:sz w:val="18"/>
              </w:rPr>
            </w:pPr>
            <w:r>
              <w:rPr>
                <w:sz w:val="18"/>
              </w:rPr>
              <w:t>КОРПОРАТИВНЫЙ УНИВЕРСИТЕТ РЖД АНО ДПО</w:t>
            </w:r>
          </w:p>
        </w:tc>
        <w:tc>
          <w:tcPr>
            <w:tcW w:type="dxa" w:w="1520"/>
            <w:tcBorders>
              <w:top w:color="000000" w:sz="4" w:val="single"/>
              <w:left w:color="000000" w:sz="4" w:val="single"/>
              <w:bottom w:color="000000" w:sz="4" w:val="single"/>
              <w:right w:color="000000" w:sz="4" w:val="single"/>
            </w:tcBorders>
            <w:shd w:fill="auto" w:val="clear"/>
            <w:vAlign w:val="bottom"/>
          </w:tcPr>
          <w:p w14:paraId="82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83430000">
            <w:pPr>
              <w:widowControl w:val="1"/>
              <w:ind/>
              <w:jc w:val="right"/>
              <w:rPr>
                <w:sz w:val="18"/>
              </w:rPr>
            </w:pPr>
            <w:r>
              <w:rPr>
                <w:sz w:val="18"/>
              </w:rPr>
              <w:t>46</w:t>
            </w:r>
          </w:p>
        </w:tc>
        <w:tc>
          <w:tcPr>
            <w:tcW w:type="dxa" w:w="1360"/>
            <w:tcBorders>
              <w:top w:color="000000" w:sz="4" w:val="single"/>
              <w:left w:color="000000" w:sz="4" w:val="single"/>
              <w:bottom w:color="000000" w:sz="4" w:val="single"/>
              <w:right w:color="000000" w:sz="4" w:val="single"/>
            </w:tcBorders>
            <w:shd w:fill="auto" w:val="clear"/>
            <w:vAlign w:val="bottom"/>
          </w:tcPr>
          <w:p w14:paraId="84430000">
            <w:pPr>
              <w:widowControl w:val="1"/>
              <w:ind/>
              <w:jc w:val="right"/>
              <w:rPr>
                <w:sz w:val="18"/>
              </w:rPr>
            </w:pPr>
            <w:r>
              <w:rPr>
                <w:sz w:val="18"/>
              </w:rPr>
              <w:t>46</w:t>
            </w:r>
          </w:p>
        </w:tc>
        <w:tc>
          <w:tcPr>
            <w:tcW w:type="dxa" w:w="1560"/>
            <w:tcBorders>
              <w:top w:color="000000" w:sz="4" w:val="single"/>
              <w:left w:color="000000" w:sz="4" w:val="single"/>
              <w:bottom w:color="000000" w:sz="4" w:val="single"/>
              <w:right w:color="000000" w:sz="4" w:val="single"/>
            </w:tcBorders>
            <w:shd w:fill="auto" w:val="clear"/>
            <w:vAlign w:val="bottom"/>
          </w:tcPr>
          <w:p w14:paraId="85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86430000">
            <w:pPr>
              <w:rPr>
                <w:sz w:val="18"/>
              </w:rPr>
            </w:pPr>
            <w:r>
              <w:rPr>
                <w:sz w:val="18"/>
              </w:rPr>
              <w:t>КРАСИНФОРМ АО</w:t>
            </w:r>
          </w:p>
        </w:tc>
        <w:tc>
          <w:tcPr>
            <w:tcW w:type="dxa" w:w="1520"/>
            <w:tcBorders>
              <w:top w:color="000000" w:sz="4" w:val="single"/>
              <w:left w:color="000000" w:sz="4" w:val="single"/>
              <w:bottom w:color="000000" w:sz="4" w:val="single"/>
              <w:right w:color="000000" w:sz="4" w:val="single"/>
            </w:tcBorders>
            <w:shd w:fill="auto" w:val="clear"/>
            <w:vAlign w:val="bottom"/>
          </w:tcPr>
          <w:p w14:paraId="87430000">
            <w:pPr>
              <w:widowControl w:val="1"/>
              <w:ind/>
              <w:jc w:val="right"/>
              <w:rPr>
                <w:sz w:val="18"/>
              </w:rPr>
            </w:pPr>
            <w:r>
              <w:rPr>
                <w:sz w:val="18"/>
              </w:rPr>
              <w:t>1 351</w:t>
            </w:r>
          </w:p>
        </w:tc>
        <w:tc>
          <w:tcPr>
            <w:tcW w:type="dxa" w:w="1360"/>
            <w:tcBorders>
              <w:top w:color="000000" w:sz="4" w:val="single"/>
              <w:left w:color="000000" w:sz="4" w:val="single"/>
              <w:bottom w:color="000000" w:sz="4" w:val="single"/>
              <w:right w:color="000000" w:sz="4" w:val="single"/>
            </w:tcBorders>
            <w:shd w:fill="auto" w:val="clear"/>
            <w:vAlign w:val="bottom"/>
          </w:tcPr>
          <w:p w14:paraId="88430000">
            <w:pPr>
              <w:widowControl w:val="1"/>
              <w:ind/>
              <w:jc w:val="right"/>
              <w:rPr>
                <w:sz w:val="18"/>
              </w:rPr>
            </w:pPr>
            <w:r>
              <w:rPr>
                <w:sz w:val="18"/>
              </w:rPr>
              <w:t>1 253</w:t>
            </w:r>
          </w:p>
        </w:tc>
        <w:tc>
          <w:tcPr>
            <w:tcW w:type="dxa" w:w="1360"/>
            <w:tcBorders>
              <w:top w:color="000000" w:sz="4" w:val="single"/>
              <w:left w:color="000000" w:sz="4" w:val="single"/>
              <w:bottom w:color="000000" w:sz="4" w:val="single"/>
              <w:right w:color="000000" w:sz="4" w:val="single"/>
            </w:tcBorders>
            <w:shd w:fill="auto" w:val="clear"/>
            <w:vAlign w:val="bottom"/>
          </w:tcPr>
          <w:p w14:paraId="89430000">
            <w:pPr>
              <w:widowControl w:val="1"/>
              <w:ind/>
              <w:jc w:val="right"/>
              <w:rPr>
                <w:sz w:val="18"/>
              </w:rPr>
            </w:pPr>
            <w:r>
              <w:rPr>
                <w:sz w:val="18"/>
              </w:rPr>
              <w:t>2 089</w:t>
            </w:r>
          </w:p>
        </w:tc>
        <w:tc>
          <w:tcPr>
            <w:tcW w:type="dxa" w:w="1560"/>
            <w:tcBorders>
              <w:top w:color="000000" w:sz="4" w:val="single"/>
              <w:left w:color="000000" w:sz="4" w:val="single"/>
              <w:bottom w:color="000000" w:sz="4" w:val="single"/>
              <w:right w:color="000000" w:sz="4" w:val="single"/>
            </w:tcBorders>
            <w:shd w:fill="auto" w:val="clear"/>
            <w:vAlign w:val="bottom"/>
          </w:tcPr>
          <w:p w14:paraId="8A430000">
            <w:pPr>
              <w:widowControl w:val="1"/>
              <w:ind/>
              <w:jc w:val="right"/>
              <w:rPr>
                <w:sz w:val="18"/>
              </w:rPr>
            </w:pPr>
            <w:r>
              <w:rPr>
                <w:sz w:val="18"/>
              </w:rPr>
              <w:t>515</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8B430000">
            <w:pPr>
              <w:rPr>
                <w:sz w:val="18"/>
              </w:rPr>
            </w:pPr>
            <w:r>
              <w:rPr>
                <w:sz w:val="18"/>
              </w:rPr>
              <w:t>КРАСНОЯРСКАВТОТРАНС ГПКК</w:t>
            </w:r>
          </w:p>
        </w:tc>
        <w:tc>
          <w:tcPr>
            <w:tcW w:type="dxa" w:w="1520"/>
            <w:tcBorders>
              <w:top w:color="000000" w:sz="4" w:val="single"/>
              <w:left w:color="000000" w:sz="4" w:val="single"/>
              <w:bottom w:color="000000" w:sz="4" w:val="single"/>
              <w:right w:color="000000" w:sz="4" w:val="single"/>
            </w:tcBorders>
            <w:shd w:fill="auto" w:val="clear"/>
            <w:vAlign w:val="bottom"/>
          </w:tcPr>
          <w:p w14:paraId="8C430000">
            <w:pPr>
              <w:widowControl w:val="1"/>
              <w:ind/>
              <w:jc w:val="right"/>
              <w:rPr>
                <w:sz w:val="18"/>
              </w:rPr>
            </w:pPr>
            <w:r>
              <w:rPr>
                <w:sz w:val="18"/>
              </w:rPr>
              <w:t>19</w:t>
            </w:r>
          </w:p>
        </w:tc>
        <w:tc>
          <w:tcPr>
            <w:tcW w:type="dxa" w:w="1360"/>
            <w:tcBorders>
              <w:top w:color="000000" w:sz="4" w:val="single"/>
              <w:left w:color="000000" w:sz="4" w:val="single"/>
              <w:bottom w:color="000000" w:sz="4" w:val="single"/>
              <w:right w:color="000000" w:sz="4" w:val="single"/>
            </w:tcBorders>
            <w:shd w:fill="auto" w:val="clear"/>
            <w:vAlign w:val="bottom"/>
          </w:tcPr>
          <w:p w14:paraId="8D430000">
            <w:pPr>
              <w:widowControl w:val="1"/>
              <w:ind/>
              <w:jc w:val="right"/>
              <w:rPr>
                <w:sz w:val="18"/>
              </w:rPr>
            </w:pPr>
            <w:r>
              <w:rPr>
                <w:sz w:val="18"/>
              </w:rPr>
              <w:t>37</w:t>
            </w:r>
          </w:p>
        </w:tc>
        <w:tc>
          <w:tcPr>
            <w:tcW w:type="dxa" w:w="1360"/>
            <w:tcBorders>
              <w:top w:color="000000" w:sz="4" w:val="single"/>
              <w:left w:color="000000" w:sz="4" w:val="single"/>
              <w:bottom w:color="000000" w:sz="4" w:val="single"/>
              <w:right w:color="000000" w:sz="4" w:val="single"/>
            </w:tcBorders>
            <w:shd w:fill="auto" w:val="clear"/>
            <w:vAlign w:val="bottom"/>
          </w:tcPr>
          <w:p w14:paraId="8E430000">
            <w:pPr>
              <w:widowControl w:val="1"/>
              <w:ind/>
              <w:jc w:val="right"/>
              <w:rPr>
                <w:sz w:val="18"/>
              </w:rPr>
            </w:pPr>
            <w:r>
              <w:rPr>
                <w:sz w:val="18"/>
              </w:rPr>
              <w:t>56</w:t>
            </w:r>
          </w:p>
        </w:tc>
        <w:tc>
          <w:tcPr>
            <w:tcW w:type="dxa" w:w="1560"/>
            <w:tcBorders>
              <w:top w:color="000000" w:sz="4" w:val="single"/>
              <w:left w:color="000000" w:sz="4" w:val="single"/>
              <w:bottom w:color="000000" w:sz="4" w:val="single"/>
              <w:right w:color="000000" w:sz="4" w:val="single"/>
            </w:tcBorders>
            <w:shd w:fill="auto" w:val="clear"/>
            <w:vAlign w:val="bottom"/>
          </w:tcPr>
          <w:p w14:paraId="8F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90430000">
            <w:pPr>
              <w:rPr>
                <w:sz w:val="18"/>
              </w:rPr>
            </w:pPr>
            <w:r>
              <w:rPr>
                <w:sz w:val="18"/>
              </w:rPr>
              <w:t>Красноярскгортранс МКУ города Красноярска</w:t>
            </w:r>
          </w:p>
        </w:tc>
        <w:tc>
          <w:tcPr>
            <w:tcW w:type="dxa" w:w="1520"/>
            <w:tcBorders>
              <w:top w:color="000000" w:sz="4" w:val="single"/>
              <w:left w:color="000000" w:sz="4" w:val="single"/>
              <w:bottom w:color="000000" w:sz="4" w:val="single"/>
              <w:right w:color="000000" w:sz="4" w:val="single"/>
            </w:tcBorders>
            <w:shd w:fill="auto" w:val="clear"/>
            <w:vAlign w:val="bottom"/>
          </w:tcPr>
          <w:p w14:paraId="91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92430000">
            <w:pPr>
              <w:widowControl w:val="1"/>
              <w:ind/>
              <w:jc w:val="right"/>
              <w:rPr>
                <w:sz w:val="18"/>
              </w:rPr>
            </w:pPr>
            <w:r>
              <w:rPr>
                <w:sz w:val="18"/>
              </w:rPr>
              <w:t>139</w:t>
            </w:r>
          </w:p>
        </w:tc>
        <w:tc>
          <w:tcPr>
            <w:tcW w:type="dxa" w:w="1360"/>
            <w:tcBorders>
              <w:top w:color="000000" w:sz="4" w:val="single"/>
              <w:left w:color="000000" w:sz="4" w:val="single"/>
              <w:bottom w:color="000000" w:sz="4" w:val="single"/>
              <w:right w:color="000000" w:sz="4" w:val="single"/>
            </w:tcBorders>
            <w:shd w:fill="auto" w:val="clear"/>
            <w:vAlign w:val="bottom"/>
          </w:tcPr>
          <w:p w14:paraId="93430000">
            <w:pPr>
              <w:widowControl w:val="1"/>
              <w:ind/>
              <w:jc w:val="right"/>
              <w:rPr>
                <w:sz w:val="18"/>
              </w:rPr>
            </w:pPr>
            <w:r>
              <w:rPr>
                <w:sz w:val="18"/>
              </w:rPr>
              <w:t>139</w:t>
            </w:r>
          </w:p>
        </w:tc>
        <w:tc>
          <w:tcPr>
            <w:tcW w:type="dxa" w:w="1560"/>
            <w:tcBorders>
              <w:top w:color="000000" w:sz="4" w:val="single"/>
              <w:left w:color="000000" w:sz="4" w:val="single"/>
              <w:bottom w:color="000000" w:sz="4" w:val="single"/>
              <w:right w:color="000000" w:sz="4" w:val="single"/>
            </w:tcBorders>
            <w:shd w:fill="auto" w:val="clear"/>
            <w:vAlign w:val="bottom"/>
          </w:tcPr>
          <w:p w14:paraId="94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95430000">
            <w:pPr>
              <w:rPr>
                <w:sz w:val="18"/>
              </w:rPr>
            </w:pPr>
            <w:r>
              <w:rPr>
                <w:sz w:val="18"/>
              </w:rPr>
              <w:t>Красноярский центр научно-технической информации и библиотек</w:t>
            </w:r>
          </w:p>
        </w:tc>
        <w:tc>
          <w:tcPr>
            <w:tcW w:type="dxa" w:w="1520"/>
            <w:tcBorders>
              <w:top w:color="000000" w:sz="4" w:val="single"/>
              <w:left w:color="000000" w:sz="4" w:val="single"/>
              <w:bottom w:color="000000" w:sz="4" w:val="single"/>
              <w:right w:color="000000" w:sz="4" w:val="single"/>
            </w:tcBorders>
            <w:shd w:fill="auto" w:val="clear"/>
            <w:vAlign w:val="bottom"/>
          </w:tcPr>
          <w:p w14:paraId="96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97430000">
            <w:pPr>
              <w:widowControl w:val="1"/>
              <w:ind/>
              <w:jc w:val="right"/>
              <w:rPr>
                <w:sz w:val="18"/>
              </w:rPr>
            </w:pPr>
            <w:r>
              <w:rPr>
                <w:sz w:val="18"/>
              </w:rPr>
              <w:t>1</w:t>
            </w:r>
          </w:p>
        </w:tc>
        <w:tc>
          <w:tcPr>
            <w:tcW w:type="dxa" w:w="1360"/>
            <w:tcBorders>
              <w:top w:color="000000" w:sz="4" w:val="single"/>
              <w:left w:color="000000" w:sz="4" w:val="single"/>
              <w:bottom w:color="000000" w:sz="4" w:val="single"/>
              <w:right w:color="000000" w:sz="4" w:val="single"/>
            </w:tcBorders>
            <w:shd w:fill="auto" w:val="clear"/>
            <w:vAlign w:val="bottom"/>
          </w:tcPr>
          <w:p w14:paraId="98430000">
            <w:pPr>
              <w:widowControl w:val="1"/>
              <w:ind/>
              <w:jc w:val="right"/>
              <w:rPr>
                <w:sz w:val="18"/>
              </w:rPr>
            </w:pPr>
            <w:r>
              <w:rPr>
                <w:sz w:val="18"/>
              </w:rPr>
              <w:t>1</w:t>
            </w:r>
          </w:p>
        </w:tc>
        <w:tc>
          <w:tcPr>
            <w:tcW w:type="dxa" w:w="1560"/>
            <w:tcBorders>
              <w:top w:color="000000" w:sz="4" w:val="single"/>
              <w:left w:color="000000" w:sz="4" w:val="single"/>
              <w:bottom w:color="000000" w:sz="4" w:val="single"/>
              <w:right w:color="000000" w:sz="4" w:val="single"/>
            </w:tcBorders>
            <w:shd w:fill="auto" w:val="clear"/>
            <w:vAlign w:val="bottom"/>
          </w:tcPr>
          <w:p w14:paraId="99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9A430000">
            <w:pPr>
              <w:rPr>
                <w:sz w:val="18"/>
              </w:rPr>
            </w:pPr>
            <w:r>
              <w:rPr>
                <w:sz w:val="18"/>
              </w:rPr>
              <w:t>Красноярский электровагоноремонтный завод АО</w:t>
            </w:r>
          </w:p>
        </w:tc>
        <w:tc>
          <w:tcPr>
            <w:tcW w:type="dxa" w:w="1520"/>
            <w:tcBorders>
              <w:top w:color="000000" w:sz="4" w:val="single"/>
              <w:left w:color="000000" w:sz="4" w:val="single"/>
              <w:bottom w:color="000000" w:sz="4" w:val="single"/>
              <w:right w:color="000000" w:sz="4" w:val="single"/>
            </w:tcBorders>
            <w:shd w:fill="auto" w:val="clear"/>
            <w:vAlign w:val="bottom"/>
          </w:tcPr>
          <w:p w14:paraId="9B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9C430000">
            <w:pPr>
              <w:widowControl w:val="1"/>
              <w:ind/>
              <w:jc w:val="right"/>
              <w:rPr>
                <w:sz w:val="18"/>
              </w:rPr>
            </w:pPr>
            <w:r>
              <w:rPr>
                <w:sz w:val="18"/>
              </w:rPr>
              <w:t>2 656</w:t>
            </w:r>
          </w:p>
        </w:tc>
        <w:tc>
          <w:tcPr>
            <w:tcW w:type="dxa" w:w="1360"/>
            <w:tcBorders>
              <w:top w:color="000000" w:sz="4" w:val="single"/>
              <w:left w:color="000000" w:sz="4" w:val="single"/>
              <w:bottom w:color="000000" w:sz="4" w:val="single"/>
              <w:right w:color="000000" w:sz="4" w:val="single"/>
            </w:tcBorders>
            <w:shd w:fill="auto" w:val="clear"/>
            <w:vAlign w:val="bottom"/>
          </w:tcPr>
          <w:p w14:paraId="9D430000">
            <w:pPr>
              <w:widowControl w:val="1"/>
              <w:ind/>
              <w:jc w:val="right"/>
              <w:rPr>
                <w:sz w:val="18"/>
              </w:rPr>
            </w:pPr>
            <w:r>
              <w:rPr>
                <w:sz w:val="18"/>
              </w:rPr>
              <w:t>2 656</w:t>
            </w:r>
          </w:p>
        </w:tc>
        <w:tc>
          <w:tcPr>
            <w:tcW w:type="dxa" w:w="1560"/>
            <w:tcBorders>
              <w:top w:color="000000" w:sz="4" w:val="single"/>
              <w:left w:color="000000" w:sz="4" w:val="single"/>
              <w:bottom w:color="000000" w:sz="4" w:val="single"/>
              <w:right w:color="000000" w:sz="4" w:val="single"/>
            </w:tcBorders>
            <w:shd w:fill="auto" w:val="clear"/>
            <w:vAlign w:val="bottom"/>
          </w:tcPr>
          <w:p w14:paraId="9E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9F430000">
            <w:pPr>
              <w:rPr>
                <w:sz w:val="18"/>
              </w:rPr>
            </w:pPr>
            <w:r>
              <w:rPr>
                <w:sz w:val="18"/>
              </w:rPr>
              <w:t>КРАФТЛАЙН ООО ТД</w:t>
            </w:r>
          </w:p>
        </w:tc>
        <w:tc>
          <w:tcPr>
            <w:tcW w:type="dxa" w:w="1520"/>
            <w:tcBorders>
              <w:top w:color="000000" w:sz="4" w:val="single"/>
              <w:left w:color="000000" w:sz="4" w:val="single"/>
              <w:bottom w:color="000000" w:sz="4" w:val="single"/>
              <w:right w:color="000000" w:sz="4" w:val="single"/>
            </w:tcBorders>
            <w:shd w:fill="auto" w:val="clear"/>
            <w:vAlign w:val="bottom"/>
          </w:tcPr>
          <w:p w14:paraId="A0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A1430000">
            <w:pPr>
              <w:widowControl w:val="1"/>
              <w:ind/>
              <w:jc w:val="right"/>
              <w:rPr>
                <w:sz w:val="18"/>
              </w:rPr>
            </w:pPr>
            <w:r>
              <w:rPr>
                <w:sz w:val="18"/>
              </w:rPr>
              <w:t>8</w:t>
            </w:r>
          </w:p>
        </w:tc>
        <w:tc>
          <w:tcPr>
            <w:tcW w:type="dxa" w:w="1360"/>
            <w:tcBorders>
              <w:top w:color="000000" w:sz="4" w:val="single"/>
              <w:left w:color="000000" w:sz="4" w:val="single"/>
              <w:bottom w:color="000000" w:sz="4" w:val="single"/>
              <w:right w:color="000000" w:sz="4" w:val="single"/>
            </w:tcBorders>
            <w:shd w:fill="auto" w:val="clear"/>
            <w:vAlign w:val="bottom"/>
          </w:tcPr>
          <w:p w14:paraId="A2430000">
            <w:pPr>
              <w:widowControl w:val="1"/>
              <w:ind/>
              <w:jc w:val="right"/>
              <w:rPr>
                <w:sz w:val="18"/>
              </w:rPr>
            </w:pPr>
            <w:r>
              <w:rPr>
                <w:sz w:val="18"/>
              </w:rPr>
              <w:t>8</w:t>
            </w:r>
          </w:p>
        </w:tc>
        <w:tc>
          <w:tcPr>
            <w:tcW w:type="dxa" w:w="1560"/>
            <w:tcBorders>
              <w:top w:color="000000" w:sz="4" w:val="single"/>
              <w:left w:color="000000" w:sz="4" w:val="single"/>
              <w:bottom w:color="000000" w:sz="4" w:val="single"/>
              <w:right w:color="000000" w:sz="4" w:val="single"/>
            </w:tcBorders>
            <w:shd w:fill="auto" w:val="clear"/>
            <w:vAlign w:val="bottom"/>
          </w:tcPr>
          <w:p w14:paraId="A3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A4430000">
            <w:pPr>
              <w:rPr>
                <w:sz w:val="18"/>
              </w:rPr>
            </w:pPr>
            <w:r>
              <w:rPr>
                <w:sz w:val="18"/>
              </w:rPr>
              <w:t>КРИТО ЧУ ДПО</w:t>
            </w:r>
          </w:p>
        </w:tc>
        <w:tc>
          <w:tcPr>
            <w:tcW w:type="dxa" w:w="1520"/>
            <w:tcBorders>
              <w:top w:color="000000" w:sz="4" w:val="single"/>
              <w:left w:color="000000" w:sz="4" w:val="single"/>
              <w:bottom w:color="000000" w:sz="4" w:val="single"/>
              <w:right w:color="000000" w:sz="4" w:val="single"/>
            </w:tcBorders>
            <w:shd w:fill="auto" w:val="clear"/>
            <w:vAlign w:val="bottom"/>
          </w:tcPr>
          <w:p w14:paraId="A5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A6430000">
            <w:pPr>
              <w:widowControl w:val="1"/>
              <w:ind/>
              <w:jc w:val="right"/>
              <w:rPr>
                <w:sz w:val="18"/>
              </w:rPr>
            </w:pPr>
            <w:r>
              <w:rPr>
                <w:sz w:val="18"/>
              </w:rPr>
              <w:t>26</w:t>
            </w:r>
          </w:p>
        </w:tc>
        <w:tc>
          <w:tcPr>
            <w:tcW w:type="dxa" w:w="1360"/>
            <w:tcBorders>
              <w:top w:color="000000" w:sz="4" w:val="single"/>
              <w:left w:color="000000" w:sz="4" w:val="single"/>
              <w:bottom w:color="000000" w:sz="4" w:val="single"/>
              <w:right w:color="000000" w:sz="4" w:val="single"/>
            </w:tcBorders>
            <w:shd w:fill="auto" w:val="clear"/>
            <w:vAlign w:val="bottom"/>
          </w:tcPr>
          <w:p w14:paraId="A7430000">
            <w:pPr>
              <w:widowControl w:val="1"/>
              <w:ind/>
              <w:jc w:val="right"/>
              <w:rPr>
                <w:sz w:val="18"/>
              </w:rPr>
            </w:pPr>
            <w:r>
              <w:rPr>
                <w:sz w:val="18"/>
              </w:rPr>
              <w:t>26</w:t>
            </w:r>
          </w:p>
        </w:tc>
        <w:tc>
          <w:tcPr>
            <w:tcW w:type="dxa" w:w="1560"/>
            <w:tcBorders>
              <w:top w:color="000000" w:sz="4" w:val="single"/>
              <w:left w:color="000000" w:sz="4" w:val="single"/>
              <w:bottom w:color="000000" w:sz="4" w:val="single"/>
              <w:right w:color="000000" w:sz="4" w:val="single"/>
            </w:tcBorders>
            <w:shd w:fill="auto" w:val="clear"/>
            <w:vAlign w:val="bottom"/>
          </w:tcPr>
          <w:p w14:paraId="A8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A9430000">
            <w:pPr>
              <w:rPr>
                <w:sz w:val="18"/>
              </w:rPr>
            </w:pPr>
            <w:r>
              <w:rPr>
                <w:sz w:val="18"/>
              </w:rPr>
              <w:t>Ксеон-К ООО</w:t>
            </w:r>
          </w:p>
        </w:tc>
        <w:tc>
          <w:tcPr>
            <w:tcW w:type="dxa" w:w="1520"/>
            <w:tcBorders>
              <w:top w:color="000000" w:sz="4" w:val="single"/>
              <w:left w:color="000000" w:sz="4" w:val="single"/>
              <w:bottom w:color="000000" w:sz="4" w:val="single"/>
              <w:right w:color="000000" w:sz="4" w:val="single"/>
            </w:tcBorders>
            <w:shd w:fill="auto" w:val="clear"/>
            <w:vAlign w:val="bottom"/>
          </w:tcPr>
          <w:p w14:paraId="AA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AB430000">
            <w:pPr>
              <w:widowControl w:val="1"/>
              <w:ind/>
              <w:jc w:val="right"/>
              <w:rPr>
                <w:sz w:val="18"/>
              </w:rPr>
            </w:pPr>
            <w:r>
              <w:rPr>
                <w:sz w:val="18"/>
              </w:rPr>
              <w:t>38</w:t>
            </w:r>
          </w:p>
        </w:tc>
        <w:tc>
          <w:tcPr>
            <w:tcW w:type="dxa" w:w="1360"/>
            <w:tcBorders>
              <w:top w:color="000000" w:sz="4" w:val="single"/>
              <w:left w:color="000000" w:sz="4" w:val="single"/>
              <w:bottom w:color="000000" w:sz="4" w:val="single"/>
              <w:right w:color="000000" w:sz="4" w:val="single"/>
            </w:tcBorders>
            <w:shd w:fill="auto" w:val="clear"/>
            <w:vAlign w:val="bottom"/>
          </w:tcPr>
          <w:p w14:paraId="AC430000">
            <w:pPr>
              <w:widowControl w:val="1"/>
              <w:ind/>
              <w:jc w:val="right"/>
              <w:rPr>
                <w:sz w:val="18"/>
              </w:rPr>
            </w:pPr>
            <w:r>
              <w:rPr>
                <w:sz w:val="18"/>
              </w:rPr>
              <w:t>38</w:t>
            </w:r>
          </w:p>
        </w:tc>
        <w:tc>
          <w:tcPr>
            <w:tcW w:type="dxa" w:w="1560"/>
            <w:tcBorders>
              <w:top w:color="000000" w:sz="4" w:val="single"/>
              <w:left w:color="000000" w:sz="4" w:val="single"/>
              <w:bottom w:color="000000" w:sz="4" w:val="single"/>
              <w:right w:color="000000" w:sz="4" w:val="single"/>
            </w:tcBorders>
            <w:shd w:fill="auto" w:val="clear"/>
            <w:vAlign w:val="bottom"/>
          </w:tcPr>
          <w:p w14:paraId="AD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AE430000">
            <w:pPr>
              <w:rPr>
                <w:sz w:val="18"/>
              </w:rPr>
            </w:pPr>
            <w:r>
              <w:rPr>
                <w:sz w:val="18"/>
              </w:rPr>
              <w:t>КСК24 ООО</w:t>
            </w:r>
          </w:p>
        </w:tc>
        <w:tc>
          <w:tcPr>
            <w:tcW w:type="dxa" w:w="1520"/>
            <w:tcBorders>
              <w:top w:color="000000" w:sz="4" w:val="single"/>
              <w:left w:color="000000" w:sz="4" w:val="single"/>
              <w:bottom w:color="000000" w:sz="4" w:val="single"/>
              <w:right w:color="000000" w:sz="4" w:val="single"/>
            </w:tcBorders>
            <w:shd w:fill="auto" w:val="clear"/>
            <w:vAlign w:val="bottom"/>
          </w:tcPr>
          <w:p w14:paraId="AF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B0430000">
            <w:pPr>
              <w:widowControl w:val="1"/>
              <w:ind/>
              <w:jc w:val="right"/>
              <w:rPr>
                <w:sz w:val="18"/>
              </w:rPr>
            </w:pPr>
            <w:r>
              <w:rPr>
                <w:sz w:val="18"/>
              </w:rPr>
              <w:t>10</w:t>
            </w:r>
          </w:p>
        </w:tc>
        <w:tc>
          <w:tcPr>
            <w:tcW w:type="dxa" w:w="1360"/>
            <w:tcBorders>
              <w:top w:color="000000" w:sz="4" w:val="single"/>
              <w:left w:color="000000" w:sz="4" w:val="single"/>
              <w:bottom w:color="000000" w:sz="4" w:val="single"/>
              <w:right w:color="000000" w:sz="4" w:val="single"/>
            </w:tcBorders>
            <w:shd w:fill="auto" w:val="clear"/>
            <w:vAlign w:val="bottom"/>
          </w:tcPr>
          <w:p w14:paraId="B1430000">
            <w:pPr>
              <w:widowControl w:val="1"/>
              <w:ind/>
              <w:jc w:val="right"/>
              <w:rPr>
                <w:sz w:val="18"/>
              </w:rPr>
            </w:pPr>
            <w:r>
              <w:rPr>
                <w:sz w:val="18"/>
              </w:rPr>
              <w:t>10</w:t>
            </w:r>
          </w:p>
        </w:tc>
        <w:tc>
          <w:tcPr>
            <w:tcW w:type="dxa" w:w="1560"/>
            <w:tcBorders>
              <w:top w:color="000000" w:sz="4" w:val="single"/>
              <w:left w:color="000000" w:sz="4" w:val="single"/>
              <w:bottom w:color="000000" w:sz="4" w:val="single"/>
              <w:right w:color="000000" w:sz="4" w:val="single"/>
            </w:tcBorders>
            <w:shd w:fill="auto" w:val="clear"/>
            <w:vAlign w:val="bottom"/>
          </w:tcPr>
          <w:p w14:paraId="B2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B3430000">
            <w:pPr>
              <w:rPr>
                <w:sz w:val="18"/>
              </w:rPr>
            </w:pPr>
            <w:r>
              <w:rPr>
                <w:sz w:val="18"/>
              </w:rPr>
              <w:t>КУРС ООО</w:t>
            </w:r>
          </w:p>
        </w:tc>
        <w:tc>
          <w:tcPr>
            <w:tcW w:type="dxa" w:w="1520"/>
            <w:tcBorders>
              <w:top w:color="000000" w:sz="4" w:val="single"/>
              <w:left w:color="000000" w:sz="4" w:val="single"/>
              <w:bottom w:color="000000" w:sz="4" w:val="single"/>
              <w:right w:color="000000" w:sz="4" w:val="single"/>
            </w:tcBorders>
            <w:shd w:fill="auto" w:val="clear"/>
            <w:vAlign w:val="bottom"/>
          </w:tcPr>
          <w:p w14:paraId="B4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B5430000">
            <w:pPr>
              <w:widowControl w:val="1"/>
              <w:ind/>
              <w:jc w:val="right"/>
              <w:rPr>
                <w:sz w:val="18"/>
              </w:rPr>
            </w:pPr>
            <w:r>
              <w:rPr>
                <w:sz w:val="18"/>
              </w:rPr>
              <w:t>467</w:t>
            </w:r>
          </w:p>
        </w:tc>
        <w:tc>
          <w:tcPr>
            <w:tcW w:type="dxa" w:w="1360"/>
            <w:tcBorders>
              <w:top w:color="000000" w:sz="4" w:val="single"/>
              <w:left w:color="000000" w:sz="4" w:val="single"/>
              <w:bottom w:color="000000" w:sz="4" w:val="single"/>
              <w:right w:color="000000" w:sz="4" w:val="single"/>
            </w:tcBorders>
            <w:shd w:fill="auto" w:val="clear"/>
            <w:vAlign w:val="bottom"/>
          </w:tcPr>
          <w:p w14:paraId="B6430000">
            <w:pPr>
              <w:widowControl w:val="1"/>
              <w:ind/>
              <w:jc w:val="right"/>
              <w:rPr>
                <w:sz w:val="18"/>
              </w:rPr>
            </w:pPr>
            <w:r>
              <w:rPr>
                <w:sz w:val="18"/>
              </w:rPr>
              <w:t>467</w:t>
            </w:r>
          </w:p>
        </w:tc>
        <w:tc>
          <w:tcPr>
            <w:tcW w:type="dxa" w:w="1560"/>
            <w:tcBorders>
              <w:top w:color="000000" w:sz="4" w:val="single"/>
              <w:left w:color="000000" w:sz="4" w:val="single"/>
              <w:bottom w:color="000000" w:sz="4" w:val="single"/>
              <w:right w:color="000000" w:sz="4" w:val="single"/>
            </w:tcBorders>
            <w:shd w:fill="auto" w:val="clear"/>
            <w:vAlign w:val="bottom"/>
          </w:tcPr>
          <w:p w14:paraId="B7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B8430000">
            <w:pPr>
              <w:rPr>
                <w:sz w:val="18"/>
              </w:rPr>
            </w:pPr>
            <w:r>
              <w:rPr>
                <w:sz w:val="18"/>
              </w:rPr>
              <w:t>Лагутин Алексей Анатольевич</w:t>
            </w:r>
          </w:p>
        </w:tc>
        <w:tc>
          <w:tcPr>
            <w:tcW w:type="dxa" w:w="1520"/>
            <w:tcBorders>
              <w:top w:color="000000" w:sz="4" w:val="single"/>
              <w:left w:color="000000" w:sz="4" w:val="single"/>
              <w:bottom w:color="000000" w:sz="4" w:val="single"/>
              <w:right w:color="000000" w:sz="4" w:val="single"/>
            </w:tcBorders>
            <w:shd w:fill="auto" w:val="clear"/>
            <w:vAlign w:val="bottom"/>
          </w:tcPr>
          <w:p w14:paraId="B9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BA430000">
            <w:pPr>
              <w:widowControl w:val="1"/>
              <w:ind/>
              <w:jc w:val="right"/>
              <w:rPr>
                <w:sz w:val="18"/>
              </w:rPr>
            </w:pPr>
            <w:r>
              <w:rPr>
                <w:sz w:val="18"/>
              </w:rPr>
              <w:t>66</w:t>
            </w:r>
          </w:p>
        </w:tc>
        <w:tc>
          <w:tcPr>
            <w:tcW w:type="dxa" w:w="1360"/>
            <w:tcBorders>
              <w:top w:color="000000" w:sz="4" w:val="single"/>
              <w:left w:color="000000" w:sz="4" w:val="single"/>
              <w:bottom w:color="000000" w:sz="4" w:val="single"/>
              <w:right w:color="000000" w:sz="4" w:val="single"/>
            </w:tcBorders>
            <w:shd w:fill="auto" w:val="clear"/>
            <w:vAlign w:val="bottom"/>
          </w:tcPr>
          <w:p w14:paraId="BB430000">
            <w:pPr>
              <w:widowControl w:val="1"/>
              <w:ind/>
              <w:jc w:val="right"/>
              <w:rPr>
                <w:sz w:val="18"/>
              </w:rPr>
            </w:pPr>
            <w:r>
              <w:rPr>
                <w:sz w:val="18"/>
              </w:rPr>
              <w:t>66</w:t>
            </w:r>
          </w:p>
        </w:tc>
        <w:tc>
          <w:tcPr>
            <w:tcW w:type="dxa" w:w="1560"/>
            <w:tcBorders>
              <w:top w:color="000000" w:sz="4" w:val="single"/>
              <w:left w:color="000000" w:sz="4" w:val="single"/>
              <w:bottom w:color="000000" w:sz="4" w:val="single"/>
              <w:right w:color="000000" w:sz="4" w:val="single"/>
            </w:tcBorders>
            <w:shd w:fill="auto" w:val="clear"/>
            <w:vAlign w:val="bottom"/>
          </w:tcPr>
          <w:p w14:paraId="BC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BD430000">
            <w:pPr>
              <w:rPr>
                <w:sz w:val="18"/>
              </w:rPr>
            </w:pPr>
            <w:r>
              <w:rPr>
                <w:sz w:val="18"/>
              </w:rPr>
              <w:t>Лахтычкин Андрей Сергеевич ИП</w:t>
            </w:r>
          </w:p>
        </w:tc>
        <w:tc>
          <w:tcPr>
            <w:tcW w:type="dxa" w:w="1520"/>
            <w:tcBorders>
              <w:top w:color="000000" w:sz="4" w:val="single"/>
              <w:left w:color="000000" w:sz="4" w:val="single"/>
              <w:bottom w:color="000000" w:sz="4" w:val="single"/>
              <w:right w:color="000000" w:sz="4" w:val="single"/>
            </w:tcBorders>
            <w:shd w:fill="auto" w:val="clear"/>
            <w:vAlign w:val="bottom"/>
          </w:tcPr>
          <w:p w14:paraId="BE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BF430000">
            <w:pPr>
              <w:widowControl w:val="1"/>
              <w:ind/>
              <w:jc w:val="right"/>
              <w:rPr>
                <w:sz w:val="18"/>
              </w:rPr>
            </w:pPr>
            <w:r>
              <w:rPr>
                <w:sz w:val="18"/>
              </w:rPr>
              <w:t>293</w:t>
            </w:r>
          </w:p>
        </w:tc>
        <w:tc>
          <w:tcPr>
            <w:tcW w:type="dxa" w:w="1360"/>
            <w:tcBorders>
              <w:top w:color="000000" w:sz="4" w:val="single"/>
              <w:left w:color="000000" w:sz="4" w:val="single"/>
              <w:bottom w:color="000000" w:sz="4" w:val="single"/>
              <w:right w:color="000000" w:sz="4" w:val="single"/>
            </w:tcBorders>
            <w:shd w:fill="auto" w:val="clear"/>
            <w:vAlign w:val="bottom"/>
          </w:tcPr>
          <w:p w14:paraId="C0430000">
            <w:pPr>
              <w:widowControl w:val="1"/>
              <w:ind/>
              <w:jc w:val="right"/>
              <w:rPr>
                <w:sz w:val="18"/>
              </w:rPr>
            </w:pPr>
            <w:r>
              <w:rPr>
                <w:sz w:val="18"/>
              </w:rPr>
              <w:t>293</w:t>
            </w:r>
          </w:p>
        </w:tc>
        <w:tc>
          <w:tcPr>
            <w:tcW w:type="dxa" w:w="1560"/>
            <w:tcBorders>
              <w:top w:color="000000" w:sz="4" w:val="single"/>
              <w:left w:color="000000" w:sz="4" w:val="single"/>
              <w:bottom w:color="000000" w:sz="4" w:val="single"/>
              <w:right w:color="000000" w:sz="4" w:val="single"/>
            </w:tcBorders>
            <w:shd w:fill="auto" w:val="clear"/>
            <w:vAlign w:val="bottom"/>
          </w:tcPr>
          <w:p w14:paraId="C1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C2430000">
            <w:pPr>
              <w:rPr>
                <w:sz w:val="18"/>
              </w:rPr>
            </w:pPr>
            <w:r>
              <w:rPr>
                <w:sz w:val="18"/>
              </w:rPr>
              <w:t>ЛЕРУА МЕРЛЕН ВОСТОК ООО</w:t>
            </w:r>
          </w:p>
        </w:tc>
        <w:tc>
          <w:tcPr>
            <w:tcW w:type="dxa" w:w="1520"/>
            <w:tcBorders>
              <w:top w:color="000000" w:sz="4" w:val="single"/>
              <w:left w:color="000000" w:sz="4" w:val="single"/>
              <w:bottom w:color="000000" w:sz="4" w:val="single"/>
              <w:right w:color="000000" w:sz="4" w:val="single"/>
            </w:tcBorders>
            <w:shd w:fill="auto" w:val="clear"/>
            <w:vAlign w:val="bottom"/>
          </w:tcPr>
          <w:p w14:paraId="C3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C4430000">
            <w:pPr>
              <w:widowControl w:val="1"/>
              <w:ind/>
              <w:jc w:val="right"/>
              <w:rPr>
                <w:sz w:val="18"/>
              </w:rPr>
            </w:pPr>
            <w:r>
              <w:rPr>
                <w:sz w:val="18"/>
              </w:rPr>
              <w:t>14</w:t>
            </w:r>
          </w:p>
        </w:tc>
        <w:tc>
          <w:tcPr>
            <w:tcW w:type="dxa" w:w="1360"/>
            <w:tcBorders>
              <w:top w:color="000000" w:sz="4" w:val="single"/>
              <w:left w:color="000000" w:sz="4" w:val="single"/>
              <w:bottom w:color="000000" w:sz="4" w:val="single"/>
              <w:right w:color="000000" w:sz="4" w:val="single"/>
            </w:tcBorders>
            <w:shd w:fill="auto" w:val="clear"/>
            <w:vAlign w:val="bottom"/>
          </w:tcPr>
          <w:p w14:paraId="C5430000">
            <w:pPr>
              <w:widowControl w:val="1"/>
              <w:ind/>
              <w:jc w:val="right"/>
              <w:rPr>
                <w:sz w:val="18"/>
              </w:rPr>
            </w:pPr>
            <w:r>
              <w:rPr>
                <w:sz w:val="18"/>
              </w:rPr>
              <w:t>14</w:t>
            </w:r>
          </w:p>
        </w:tc>
        <w:tc>
          <w:tcPr>
            <w:tcW w:type="dxa" w:w="1560"/>
            <w:tcBorders>
              <w:top w:color="000000" w:sz="4" w:val="single"/>
              <w:left w:color="000000" w:sz="4" w:val="single"/>
              <w:bottom w:color="000000" w:sz="4" w:val="single"/>
              <w:right w:color="000000" w:sz="4" w:val="single"/>
            </w:tcBorders>
            <w:shd w:fill="auto" w:val="clear"/>
            <w:vAlign w:val="bottom"/>
          </w:tcPr>
          <w:p w14:paraId="C6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C7430000">
            <w:pPr>
              <w:rPr>
                <w:sz w:val="18"/>
              </w:rPr>
            </w:pPr>
            <w:r>
              <w:rPr>
                <w:sz w:val="18"/>
              </w:rPr>
              <w:t>Марков Николай Анатольевич ИП</w:t>
            </w:r>
          </w:p>
        </w:tc>
        <w:tc>
          <w:tcPr>
            <w:tcW w:type="dxa" w:w="1520"/>
            <w:tcBorders>
              <w:top w:color="000000" w:sz="4" w:val="single"/>
              <w:left w:color="000000" w:sz="4" w:val="single"/>
              <w:bottom w:color="000000" w:sz="4" w:val="single"/>
              <w:right w:color="000000" w:sz="4" w:val="single"/>
            </w:tcBorders>
            <w:shd w:fill="auto" w:val="clear"/>
            <w:vAlign w:val="bottom"/>
          </w:tcPr>
          <w:p w14:paraId="C8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C9430000">
            <w:pPr>
              <w:widowControl w:val="1"/>
              <w:ind/>
              <w:jc w:val="right"/>
              <w:rPr>
                <w:sz w:val="18"/>
              </w:rPr>
            </w:pPr>
            <w:r>
              <w:rPr>
                <w:sz w:val="18"/>
              </w:rPr>
              <w:t>8</w:t>
            </w:r>
          </w:p>
        </w:tc>
        <w:tc>
          <w:tcPr>
            <w:tcW w:type="dxa" w:w="1360"/>
            <w:tcBorders>
              <w:top w:color="000000" w:sz="4" w:val="single"/>
              <w:left w:color="000000" w:sz="4" w:val="single"/>
              <w:bottom w:color="000000" w:sz="4" w:val="single"/>
              <w:right w:color="000000" w:sz="4" w:val="single"/>
            </w:tcBorders>
            <w:shd w:fill="auto" w:val="clear"/>
            <w:vAlign w:val="bottom"/>
          </w:tcPr>
          <w:p w14:paraId="CA430000">
            <w:pPr>
              <w:widowControl w:val="1"/>
              <w:ind/>
              <w:jc w:val="right"/>
              <w:rPr>
                <w:sz w:val="18"/>
              </w:rPr>
            </w:pPr>
            <w:r>
              <w:rPr>
                <w:sz w:val="18"/>
              </w:rPr>
              <w:t>8</w:t>
            </w:r>
          </w:p>
        </w:tc>
        <w:tc>
          <w:tcPr>
            <w:tcW w:type="dxa" w:w="1560"/>
            <w:tcBorders>
              <w:top w:color="000000" w:sz="4" w:val="single"/>
              <w:left w:color="000000" w:sz="4" w:val="single"/>
              <w:bottom w:color="000000" w:sz="4" w:val="single"/>
              <w:right w:color="000000" w:sz="4" w:val="single"/>
            </w:tcBorders>
            <w:shd w:fill="auto" w:val="clear"/>
            <w:vAlign w:val="bottom"/>
          </w:tcPr>
          <w:p w14:paraId="CB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CC430000">
            <w:pPr>
              <w:rPr>
                <w:sz w:val="18"/>
              </w:rPr>
            </w:pPr>
            <w:r>
              <w:rPr>
                <w:sz w:val="18"/>
              </w:rPr>
              <w:t>МЕДВЕДЬ-СЕРВИС ООО</w:t>
            </w:r>
          </w:p>
        </w:tc>
        <w:tc>
          <w:tcPr>
            <w:tcW w:type="dxa" w:w="1520"/>
            <w:tcBorders>
              <w:top w:color="000000" w:sz="4" w:val="single"/>
              <w:left w:color="000000" w:sz="4" w:val="single"/>
              <w:bottom w:color="000000" w:sz="4" w:val="single"/>
              <w:right w:color="000000" w:sz="4" w:val="single"/>
            </w:tcBorders>
            <w:shd w:fill="auto" w:val="clear"/>
            <w:vAlign w:val="bottom"/>
          </w:tcPr>
          <w:p w14:paraId="CD430000">
            <w:pPr>
              <w:widowControl w:val="1"/>
              <w:ind/>
              <w:jc w:val="right"/>
              <w:rPr>
                <w:sz w:val="18"/>
              </w:rPr>
            </w:pPr>
            <w:r>
              <w:rPr>
                <w:sz w:val="18"/>
              </w:rPr>
              <w:t>30</w:t>
            </w:r>
          </w:p>
        </w:tc>
        <w:tc>
          <w:tcPr>
            <w:tcW w:type="dxa" w:w="1360"/>
            <w:tcBorders>
              <w:top w:color="000000" w:sz="4" w:val="single"/>
              <w:left w:color="000000" w:sz="4" w:val="single"/>
              <w:bottom w:color="000000" w:sz="4" w:val="single"/>
              <w:right w:color="000000" w:sz="4" w:val="single"/>
            </w:tcBorders>
            <w:shd w:fill="auto" w:val="clear"/>
            <w:vAlign w:val="bottom"/>
          </w:tcPr>
          <w:p w14:paraId="CE430000">
            <w:pPr>
              <w:widowControl w:val="1"/>
              <w:ind/>
              <w:jc w:val="right"/>
              <w:rPr>
                <w:sz w:val="18"/>
              </w:rPr>
            </w:pPr>
            <w:r>
              <w:rPr>
                <w:sz w:val="18"/>
              </w:rPr>
              <w:t>11</w:t>
            </w:r>
          </w:p>
        </w:tc>
        <w:tc>
          <w:tcPr>
            <w:tcW w:type="dxa" w:w="1360"/>
            <w:tcBorders>
              <w:top w:color="000000" w:sz="4" w:val="single"/>
              <w:left w:color="000000" w:sz="4" w:val="single"/>
              <w:bottom w:color="000000" w:sz="4" w:val="single"/>
              <w:right w:color="000000" w:sz="4" w:val="single"/>
            </w:tcBorders>
            <w:shd w:fill="auto" w:val="clear"/>
            <w:vAlign w:val="bottom"/>
          </w:tcPr>
          <w:p w14:paraId="CF430000">
            <w:pPr>
              <w:widowControl w:val="1"/>
              <w:ind/>
              <w:jc w:val="right"/>
              <w:rPr>
                <w:sz w:val="18"/>
              </w:rPr>
            </w:pPr>
            <w:r>
              <w:rPr>
                <w:sz w:val="18"/>
              </w:rPr>
              <w:t>41</w:t>
            </w:r>
          </w:p>
        </w:tc>
        <w:tc>
          <w:tcPr>
            <w:tcW w:type="dxa" w:w="1560"/>
            <w:tcBorders>
              <w:top w:color="000000" w:sz="4" w:val="single"/>
              <w:left w:color="000000" w:sz="4" w:val="single"/>
              <w:bottom w:color="000000" w:sz="4" w:val="single"/>
              <w:right w:color="000000" w:sz="4" w:val="single"/>
            </w:tcBorders>
            <w:shd w:fill="auto" w:val="clear"/>
            <w:vAlign w:val="bottom"/>
          </w:tcPr>
          <w:p w14:paraId="D0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D1430000">
            <w:pPr>
              <w:rPr>
                <w:sz w:val="18"/>
              </w:rPr>
            </w:pPr>
            <w:r>
              <w:rPr>
                <w:sz w:val="18"/>
              </w:rPr>
              <w:t>МОСКОВСКАЯ УТИЛИЗИРУЮЩАЯ КОМПАНИЯ ООО</w:t>
            </w:r>
          </w:p>
        </w:tc>
        <w:tc>
          <w:tcPr>
            <w:tcW w:type="dxa" w:w="1520"/>
            <w:tcBorders>
              <w:top w:color="000000" w:sz="4" w:val="single"/>
              <w:left w:color="000000" w:sz="4" w:val="single"/>
              <w:bottom w:color="000000" w:sz="4" w:val="single"/>
              <w:right w:color="000000" w:sz="4" w:val="single"/>
            </w:tcBorders>
            <w:shd w:fill="auto" w:val="clear"/>
            <w:vAlign w:val="bottom"/>
          </w:tcPr>
          <w:p w14:paraId="D2430000">
            <w:pPr>
              <w:widowControl w:val="1"/>
              <w:ind/>
              <w:jc w:val="right"/>
              <w:rPr>
                <w:sz w:val="18"/>
              </w:rPr>
            </w:pPr>
            <w:r>
              <w:rPr>
                <w:sz w:val="18"/>
              </w:rPr>
              <w:t>29</w:t>
            </w:r>
          </w:p>
        </w:tc>
        <w:tc>
          <w:tcPr>
            <w:tcW w:type="dxa" w:w="1360"/>
            <w:tcBorders>
              <w:top w:color="000000" w:sz="4" w:val="single"/>
              <w:left w:color="000000" w:sz="4" w:val="single"/>
              <w:bottom w:color="000000" w:sz="4" w:val="single"/>
              <w:right w:color="000000" w:sz="4" w:val="single"/>
            </w:tcBorders>
            <w:shd w:fill="auto" w:val="clear"/>
            <w:vAlign w:val="bottom"/>
          </w:tcPr>
          <w:p w14:paraId="D3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D4430000">
            <w:pPr>
              <w:widowControl w:val="1"/>
              <w:ind/>
              <w:jc w:val="right"/>
              <w:rPr>
                <w:sz w:val="18"/>
              </w:rPr>
            </w:pPr>
            <w:r>
              <w:rPr>
                <w:sz w:val="18"/>
              </w:rPr>
              <w:t>29</w:t>
            </w:r>
          </w:p>
        </w:tc>
        <w:tc>
          <w:tcPr>
            <w:tcW w:type="dxa" w:w="1560"/>
            <w:tcBorders>
              <w:top w:color="000000" w:sz="4" w:val="single"/>
              <w:left w:color="000000" w:sz="4" w:val="single"/>
              <w:bottom w:color="000000" w:sz="4" w:val="single"/>
              <w:right w:color="000000" w:sz="4" w:val="single"/>
            </w:tcBorders>
            <w:shd w:fill="auto" w:val="clear"/>
            <w:vAlign w:val="bottom"/>
          </w:tcPr>
          <w:p w14:paraId="D5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D6430000">
            <w:pPr>
              <w:rPr>
                <w:sz w:val="18"/>
              </w:rPr>
            </w:pPr>
            <w:r>
              <w:rPr>
                <w:sz w:val="18"/>
              </w:rPr>
              <w:t>МУНИЦИПАЛЬНАЯ УЖК ООО</w:t>
            </w:r>
          </w:p>
        </w:tc>
        <w:tc>
          <w:tcPr>
            <w:tcW w:type="dxa" w:w="1520"/>
            <w:tcBorders>
              <w:top w:color="000000" w:sz="4" w:val="single"/>
              <w:left w:color="000000" w:sz="4" w:val="single"/>
              <w:bottom w:color="000000" w:sz="4" w:val="single"/>
              <w:right w:color="000000" w:sz="4" w:val="single"/>
            </w:tcBorders>
            <w:shd w:fill="auto" w:val="clear"/>
            <w:vAlign w:val="bottom"/>
          </w:tcPr>
          <w:p w14:paraId="D7430000">
            <w:pPr>
              <w:widowControl w:val="1"/>
              <w:ind/>
              <w:jc w:val="right"/>
              <w:rPr>
                <w:sz w:val="18"/>
              </w:rPr>
            </w:pPr>
            <w:r>
              <w:rPr>
                <w:sz w:val="18"/>
              </w:rPr>
              <w:t>1</w:t>
            </w:r>
          </w:p>
        </w:tc>
        <w:tc>
          <w:tcPr>
            <w:tcW w:type="dxa" w:w="1360"/>
            <w:tcBorders>
              <w:top w:color="000000" w:sz="4" w:val="single"/>
              <w:left w:color="000000" w:sz="4" w:val="single"/>
              <w:bottom w:color="000000" w:sz="4" w:val="single"/>
              <w:right w:color="000000" w:sz="4" w:val="single"/>
            </w:tcBorders>
            <w:shd w:fill="auto" w:val="clear"/>
            <w:vAlign w:val="bottom"/>
          </w:tcPr>
          <w:p w14:paraId="D8430000">
            <w:pPr>
              <w:widowControl w:val="1"/>
              <w:ind/>
              <w:jc w:val="right"/>
              <w:rPr>
                <w:sz w:val="18"/>
              </w:rPr>
            </w:pPr>
            <w:r>
              <w:rPr>
                <w:sz w:val="18"/>
              </w:rPr>
              <w:t>19</w:t>
            </w:r>
          </w:p>
        </w:tc>
        <w:tc>
          <w:tcPr>
            <w:tcW w:type="dxa" w:w="1360"/>
            <w:tcBorders>
              <w:top w:color="000000" w:sz="4" w:val="single"/>
              <w:left w:color="000000" w:sz="4" w:val="single"/>
              <w:bottom w:color="000000" w:sz="4" w:val="single"/>
              <w:right w:color="000000" w:sz="4" w:val="single"/>
            </w:tcBorders>
            <w:shd w:fill="auto" w:val="clear"/>
            <w:vAlign w:val="bottom"/>
          </w:tcPr>
          <w:p w14:paraId="D9430000">
            <w:pPr>
              <w:widowControl w:val="1"/>
              <w:ind/>
              <w:jc w:val="right"/>
              <w:rPr>
                <w:sz w:val="18"/>
              </w:rPr>
            </w:pPr>
            <w:r>
              <w:rPr>
                <w:sz w:val="18"/>
              </w:rPr>
              <w:t>19</w:t>
            </w:r>
          </w:p>
        </w:tc>
        <w:tc>
          <w:tcPr>
            <w:tcW w:type="dxa" w:w="1560"/>
            <w:tcBorders>
              <w:top w:color="000000" w:sz="4" w:val="single"/>
              <w:left w:color="000000" w:sz="4" w:val="single"/>
              <w:bottom w:color="000000" w:sz="4" w:val="single"/>
              <w:right w:color="000000" w:sz="4" w:val="single"/>
            </w:tcBorders>
            <w:shd w:fill="auto" w:val="clear"/>
            <w:vAlign w:val="bottom"/>
          </w:tcPr>
          <w:p w14:paraId="DA430000">
            <w:pPr>
              <w:widowControl w:val="1"/>
              <w:ind/>
              <w:jc w:val="right"/>
              <w:rPr>
                <w:sz w:val="18"/>
              </w:rPr>
            </w:pPr>
            <w:r>
              <w:rPr>
                <w:sz w:val="18"/>
              </w:rPr>
              <w:t>1</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DB430000">
            <w:pPr>
              <w:rPr>
                <w:sz w:val="18"/>
              </w:rPr>
            </w:pPr>
            <w:r>
              <w:rPr>
                <w:sz w:val="18"/>
              </w:rPr>
              <w:t>НБК ТРЕЙД ООО</w:t>
            </w:r>
          </w:p>
        </w:tc>
        <w:tc>
          <w:tcPr>
            <w:tcW w:type="dxa" w:w="1520"/>
            <w:tcBorders>
              <w:top w:color="000000" w:sz="4" w:val="single"/>
              <w:left w:color="000000" w:sz="4" w:val="single"/>
              <w:bottom w:color="000000" w:sz="4" w:val="single"/>
              <w:right w:color="000000" w:sz="4" w:val="single"/>
            </w:tcBorders>
            <w:shd w:fill="auto" w:val="clear"/>
            <w:vAlign w:val="bottom"/>
          </w:tcPr>
          <w:p w14:paraId="DC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DD430000">
            <w:pPr>
              <w:widowControl w:val="1"/>
              <w:ind/>
              <w:jc w:val="right"/>
              <w:rPr>
                <w:sz w:val="18"/>
              </w:rPr>
            </w:pPr>
            <w:r>
              <w:rPr>
                <w:sz w:val="18"/>
              </w:rPr>
              <w:t>500</w:t>
            </w:r>
          </w:p>
        </w:tc>
        <w:tc>
          <w:tcPr>
            <w:tcW w:type="dxa" w:w="1360"/>
            <w:tcBorders>
              <w:top w:color="000000" w:sz="4" w:val="single"/>
              <w:left w:color="000000" w:sz="4" w:val="single"/>
              <w:bottom w:color="000000" w:sz="4" w:val="single"/>
              <w:right w:color="000000" w:sz="4" w:val="single"/>
            </w:tcBorders>
            <w:shd w:fill="auto" w:val="clear"/>
            <w:vAlign w:val="bottom"/>
          </w:tcPr>
          <w:p w14:paraId="DE430000">
            <w:pPr>
              <w:widowControl w:val="1"/>
              <w:ind/>
              <w:jc w:val="right"/>
              <w:rPr>
                <w:sz w:val="18"/>
              </w:rPr>
            </w:pPr>
            <w:r>
              <w:rPr>
                <w:sz w:val="18"/>
              </w:rPr>
              <w:t>500</w:t>
            </w:r>
          </w:p>
        </w:tc>
        <w:tc>
          <w:tcPr>
            <w:tcW w:type="dxa" w:w="1560"/>
            <w:tcBorders>
              <w:top w:color="000000" w:sz="4" w:val="single"/>
              <w:left w:color="000000" w:sz="4" w:val="single"/>
              <w:bottom w:color="000000" w:sz="4" w:val="single"/>
              <w:right w:color="000000" w:sz="4" w:val="single"/>
            </w:tcBorders>
            <w:shd w:fill="auto" w:val="clear"/>
            <w:vAlign w:val="bottom"/>
          </w:tcPr>
          <w:p w14:paraId="DF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0430000">
            <w:pPr>
              <w:rPr>
                <w:sz w:val="18"/>
              </w:rPr>
            </w:pPr>
            <w:r>
              <w:rPr>
                <w:sz w:val="18"/>
              </w:rPr>
              <w:t>НордСтар АК АО</w:t>
            </w:r>
          </w:p>
        </w:tc>
        <w:tc>
          <w:tcPr>
            <w:tcW w:type="dxa" w:w="1520"/>
            <w:tcBorders>
              <w:top w:color="000000" w:sz="4" w:val="single"/>
              <w:left w:color="000000" w:sz="4" w:val="single"/>
              <w:bottom w:color="000000" w:sz="4" w:val="single"/>
              <w:right w:color="000000" w:sz="4" w:val="single"/>
            </w:tcBorders>
            <w:shd w:fill="auto" w:val="clear"/>
            <w:vAlign w:val="bottom"/>
          </w:tcPr>
          <w:p w14:paraId="E1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E2430000">
            <w:pPr>
              <w:widowControl w:val="1"/>
              <w:ind/>
              <w:jc w:val="right"/>
              <w:rPr>
                <w:sz w:val="18"/>
              </w:rPr>
            </w:pPr>
            <w:r>
              <w:rPr>
                <w:sz w:val="18"/>
              </w:rPr>
              <w:t>6</w:t>
            </w:r>
          </w:p>
        </w:tc>
        <w:tc>
          <w:tcPr>
            <w:tcW w:type="dxa" w:w="1360"/>
            <w:tcBorders>
              <w:top w:color="000000" w:sz="4" w:val="single"/>
              <w:left w:color="000000" w:sz="4" w:val="single"/>
              <w:bottom w:color="000000" w:sz="4" w:val="single"/>
              <w:right w:color="000000" w:sz="4" w:val="single"/>
            </w:tcBorders>
            <w:shd w:fill="auto" w:val="clear"/>
            <w:vAlign w:val="bottom"/>
          </w:tcPr>
          <w:p w14:paraId="E3430000">
            <w:pPr>
              <w:widowControl w:val="1"/>
              <w:ind/>
              <w:jc w:val="right"/>
              <w:rPr>
                <w:sz w:val="18"/>
              </w:rPr>
            </w:pPr>
            <w:r>
              <w:rPr>
                <w:sz w:val="18"/>
              </w:rPr>
              <w:t>6</w:t>
            </w:r>
          </w:p>
        </w:tc>
        <w:tc>
          <w:tcPr>
            <w:tcW w:type="dxa" w:w="1560"/>
            <w:tcBorders>
              <w:top w:color="000000" w:sz="4" w:val="single"/>
              <w:left w:color="000000" w:sz="4" w:val="single"/>
              <w:bottom w:color="000000" w:sz="4" w:val="single"/>
              <w:right w:color="000000" w:sz="4" w:val="single"/>
            </w:tcBorders>
            <w:shd w:fill="auto" w:val="clear"/>
            <w:vAlign w:val="bottom"/>
          </w:tcPr>
          <w:p w14:paraId="E4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5430000">
            <w:pPr>
              <w:rPr>
                <w:sz w:val="18"/>
              </w:rPr>
            </w:pPr>
            <w:r>
              <w:rPr>
                <w:sz w:val="18"/>
              </w:rPr>
              <w:t>ООО "Охранная фирма "Тамерлан"</w:t>
            </w:r>
          </w:p>
        </w:tc>
        <w:tc>
          <w:tcPr>
            <w:tcW w:type="dxa" w:w="1520"/>
            <w:tcBorders>
              <w:top w:color="000000" w:sz="4" w:val="single"/>
              <w:left w:color="000000" w:sz="4" w:val="single"/>
              <w:bottom w:color="000000" w:sz="4" w:val="single"/>
              <w:right w:color="000000" w:sz="4" w:val="single"/>
            </w:tcBorders>
            <w:shd w:fill="auto" w:val="clear"/>
            <w:vAlign w:val="bottom"/>
          </w:tcPr>
          <w:p w14:paraId="E6430000">
            <w:pPr>
              <w:widowControl w:val="1"/>
              <w:ind/>
              <w:jc w:val="right"/>
              <w:rPr>
                <w:sz w:val="18"/>
              </w:rPr>
            </w:pPr>
            <w:r>
              <w:rPr>
                <w:sz w:val="18"/>
              </w:rPr>
              <w:t>18</w:t>
            </w:r>
          </w:p>
        </w:tc>
        <w:tc>
          <w:tcPr>
            <w:tcW w:type="dxa" w:w="1360"/>
            <w:tcBorders>
              <w:top w:color="000000" w:sz="4" w:val="single"/>
              <w:left w:color="000000" w:sz="4" w:val="single"/>
              <w:bottom w:color="000000" w:sz="4" w:val="single"/>
              <w:right w:color="000000" w:sz="4" w:val="single"/>
            </w:tcBorders>
            <w:shd w:fill="auto" w:val="clear"/>
            <w:vAlign w:val="bottom"/>
          </w:tcPr>
          <w:p w14:paraId="E7430000">
            <w:pPr>
              <w:widowControl w:val="1"/>
              <w:ind/>
              <w:jc w:val="right"/>
              <w:rPr>
                <w:sz w:val="18"/>
              </w:rPr>
            </w:pPr>
            <w:r>
              <w:rPr>
                <w:sz w:val="18"/>
              </w:rPr>
              <w:t>185</w:t>
            </w:r>
          </w:p>
        </w:tc>
        <w:tc>
          <w:tcPr>
            <w:tcW w:type="dxa" w:w="1360"/>
            <w:tcBorders>
              <w:top w:color="000000" w:sz="4" w:val="single"/>
              <w:left w:color="000000" w:sz="4" w:val="single"/>
              <w:bottom w:color="000000" w:sz="4" w:val="single"/>
              <w:right w:color="000000" w:sz="4" w:val="single"/>
            </w:tcBorders>
            <w:shd w:fill="auto" w:val="clear"/>
            <w:vAlign w:val="bottom"/>
          </w:tcPr>
          <w:p w14:paraId="E8430000">
            <w:pPr>
              <w:widowControl w:val="1"/>
              <w:ind/>
              <w:jc w:val="right"/>
              <w:rPr>
                <w:sz w:val="18"/>
              </w:rPr>
            </w:pPr>
            <w:r>
              <w:rPr>
                <w:sz w:val="18"/>
              </w:rPr>
              <w:t>192</w:t>
            </w:r>
          </w:p>
        </w:tc>
        <w:tc>
          <w:tcPr>
            <w:tcW w:type="dxa" w:w="1560"/>
            <w:tcBorders>
              <w:top w:color="000000" w:sz="4" w:val="single"/>
              <w:left w:color="000000" w:sz="4" w:val="single"/>
              <w:bottom w:color="000000" w:sz="4" w:val="single"/>
              <w:right w:color="000000" w:sz="4" w:val="single"/>
            </w:tcBorders>
            <w:shd w:fill="auto" w:val="clear"/>
            <w:vAlign w:val="bottom"/>
          </w:tcPr>
          <w:p w14:paraId="E9430000">
            <w:pPr>
              <w:widowControl w:val="1"/>
              <w:ind/>
              <w:jc w:val="right"/>
              <w:rPr>
                <w:sz w:val="18"/>
              </w:rPr>
            </w:pPr>
            <w:r>
              <w:rPr>
                <w:sz w:val="18"/>
              </w:rPr>
              <w:t>10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A430000">
            <w:pPr>
              <w:rPr>
                <w:sz w:val="18"/>
              </w:rPr>
            </w:pPr>
            <w:r>
              <w:rPr>
                <w:sz w:val="18"/>
              </w:rPr>
              <w:t>Орион телеком ООО</w:t>
            </w:r>
          </w:p>
        </w:tc>
        <w:tc>
          <w:tcPr>
            <w:tcW w:type="dxa" w:w="1520"/>
            <w:tcBorders>
              <w:top w:color="000000" w:sz="4" w:val="single"/>
              <w:left w:color="000000" w:sz="4" w:val="single"/>
              <w:bottom w:color="000000" w:sz="4" w:val="single"/>
              <w:right w:color="000000" w:sz="4" w:val="single"/>
            </w:tcBorders>
            <w:shd w:fill="auto" w:val="clear"/>
            <w:vAlign w:val="bottom"/>
          </w:tcPr>
          <w:p w14:paraId="EB430000">
            <w:pPr>
              <w:widowControl w:val="1"/>
              <w:ind/>
              <w:jc w:val="right"/>
              <w:rPr>
                <w:sz w:val="18"/>
              </w:rPr>
            </w:pPr>
            <w:r>
              <w:rPr>
                <w:sz w:val="18"/>
              </w:rPr>
              <w:t>12</w:t>
            </w:r>
          </w:p>
        </w:tc>
        <w:tc>
          <w:tcPr>
            <w:tcW w:type="dxa" w:w="1360"/>
            <w:tcBorders>
              <w:top w:color="000000" w:sz="4" w:val="single"/>
              <w:left w:color="000000" w:sz="4" w:val="single"/>
              <w:bottom w:color="000000" w:sz="4" w:val="single"/>
              <w:right w:color="000000" w:sz="4" w:val="single"/>
            </w:tcBorders>
            <w:shd w:fill="auto" w:val="clear"/>
            <w:vAlign w:val="bottom"/>
          </w:tcPr>
          <w:p w14:paraId="EC430000">
            <w:pPr>
              <w:widowControl w:val="1"/>
              <w:ind/>
              <w:jc w:val="right"/>
              <w:rPr>
                <w:sz w:val="18"/>
              </w:rPr>
            </w:pPr>
            <w:r>
              <w:rPr>
                <w:sz w:val="18"/>
              </w:rPr>
              <w:t>146</w:t>
            </w:r>
          </w:p>
        </w:tc>
        <w:tc>
          <w:tcPr>
            <w:tcW w:type="dxa" w:w="1360"/>
            <w:tcBorders>
              <w:top w:color="000000" w:sz="4" w:val="single"/>
              <w:left w:color="000000" w:sz="4" w:val="single"/>
              <w:bottom w:color="000000" w:sz="4" w:val="single"/>
              <w:right w:color="000000" w:sz="4" w:val="single"/>
            </w:tcBorders>
            <w:shd w:fill="auto" w:val="clear"/>
            <w:vAlign w:val="bottom"/>
          </w:tcPr>
          <w:p w14:paraId="ED430000">
            <w:pPr>
              <w:widowControl w:val="1"/>
              <w:ind/>
              <w:jc w:val="right"/>
              <w:rPr>
                <w:sz w:val="18"/>
              </w:rPr>
            </w:pPr>
            <w:r>
              <w:rPr>
                <w:sz w:val="18"/>
              </w:rPr>
              <w:t>146</w:t>
            </w:r>
          </w:p>
        </w:tc>
        <w:tc>
          <w:tcPr>
            <w:tcW w:type="dxa" w:w="1560"/>
            <w:tcBorders>
              <w:top w:color="000000" w:sz="4" w:val="single"/>
              <w:left w:color="000000" w:sz="4" w:val="single"/>
              <w:bottom w:color="000000" w:sz="4" w:val="single"/>
              <w:right w:color="000000" w:sz="4" w:val="single"/>
            </w:tcBorders>
            <w:shd w:fill="auto" w:val="clear"/>
            <w:vAlign w:val="bottom"/>
          </w:tcPr>
          <w:p w14:paraId="EE430000">
            <w:pPr>
              <w:widowControl w:val="1"/>
              <w:ind/>
              <w:jc w:val="right"/>
              <w:rPr>
                <w:sz w:val="18"/>
              </w:rPr>
            </w:pPr>
            <w:r>
              <w:rPr>
                <w:sz w:val="18"/>
              </w:rPr>
              <w:t>12</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F430000">
            <w:pPr>
              <w:rPr>
                <w:sz w:val="18"/>
              </w:rPr>
            </w:pPr>
            <w:r>
              <w:rPr>
                <w:sz w:val="18"/>
              </w:rPr>
              <w:t>Поиск Аудиторская Компания ООО</w:t>
            </w:r>
          </w:p>
        </w:tc>
        <w:tc>
          <w:tcPr>
            <w:tcW w:type="dxa" w:w="1520"/>
            <w:tcBorders>
              <w:top w:color="000000" w:sz="4" w:val="single"/>
              <w:left w:color="000000" w:sz="4" w:val="single"/>
              <w:bottom w:color="000000" w:sz="4" w:val="single"/>
              <w:right w:color="000000" w:sz="4" w:val="single"/>
            </w:tcBorders>
            <w:shd w:fill="auto" w:val="clear"/>
            <w:vAlign w:val="bottom"/>
          </w:tcPr>
          <w:p w14:paraId="F0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F1430000">
            <w:pPr>
              <w:widowControl w:val="1"/>
              <w:ind/>
              <w:jc w:val="right"/>
              <w:rPr>
                <w:sz w:val="18"/>
              </w:rPr>
            </w:pPr>
            <w:r>
              <w:rPr>
                <w:sz w:val="18"/>
              </w:rPr>
              <w:t>126</w:t>
            </w:r>
          </w:p>
        </w:tc>
        <w:tc>
          <w:tcPr>
            <w:tcW w:type="dxa" w:w="1360"/>
            <w:tcBorders>
              <w:top w:color="000000" w:sz="4" w:val="single"/>
              <w:left w:color="000000" w:sz="4" w:val="single"/>
              <w:bottom w:color="000000" w:sz="4" w:val="single"/>
              <w:right w:color="000000" w:sz="4" w:val="single"/>
            </w:tcBorders>
            <w:shd w:fill="auto" w:val="clear"/>
            <w:vAlign w:val="bottom"/>
          </w:tcPr>
          <w:p w14:paraId="F2430000">
            <w:pPr>
              <w:widowControl w:val="1"/>
              <w:ind/>
              <w:jc w:val="right"/>
              <w:rPr>
                <w:sz w:val="18"/>
              </w:rPr>
            </w:pPr>
            <w:r>
              <w:rPr>
                <w:sz w:val="18"/>
              </w:rPr>
              <w:t>126</w:t>
            </w:r>
          </w:p>
        </w:tc>
        <w:tc>
          <w:tcPr>
            <w:tcW w:type="dxa" w:w="1560"/>
            <w:tcBorders>
              <w:top w:color="000000" w:sz="4" w:val="single"/>
              <w:left w:color="000000" w:sz="4" w:val="single"/>
              <w:bottom w:color="000000" w:sz="4" w:val="single"/>
              <w:right w:color="000000" w:sz="4" w:val="single"/>
            </w:tcBorders>
            <w:shd w:fill="auto" w:val="clear"/>
            <w:vAlign w:val="bottom"/>
          </w:tcPr>
          <w:p w14:paraId="F3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F4430000">
            <w:pPr>
              <w:rPr>
                <w:sz w:val="18"/>
              </w:rPr>
            </w:pPr>
            <w:r>
              <w:rPr>
                <w:sz w:val="18"/>
              </w:rPr>
              <w:t>Полиграф-защита ЗАО</w:t>
            </w:r>
          </w:p>
        </w:tc>
        <w:tc>
          <w:tcPr>
            <w:tcW w:type="dxa" w:w="1520"/>
            <w:tcBorders>
              <w:top w:color="000000" w:sz="4" w:val="single"/>
              <w:left w:color="000000" w:sz="4" w:val="single"/>
              <w:bottom w:color="000000" w:sz="4" w:val="single"/>
              <w:right w:color="000000" w:sz="4" w:val="single"/>
            </w:tcBorders>
            <w:shd w:fill="auto" w:val="clear"/>
            <w:vAlign w:val="bottom"/>
          </w:tcPr>
          <w:p w14:paraId="F5430000">
            <w:pPr>
              <w:widowControl w:val="1"/>
              <w:ind/>
              <w:jc w:val="right"/>
              <w:rPr>
                <w:sz w:val="18"/>
              </w:rPr>
            </w:pPr>
            <w:r>
              <w:rPr>
                <w:sz w:val="18"/>
              </w:rPr>
              <w:t>50</w:t>
            </w:r>
          </w:p>
        </w:tc>
        <w:tc>
          <w:tcPr>
            <w:tcW w:type="dxa" w:w="1360"/>
            <w:tcBorders>
              <w:top w:color="000000" w:sz="4" w:val="single"/>
              <w:left w:color="000000" w:sz="4" w:val="single"/>
              <w:bottom w:color="000000" w:sz="4" w:val="single"/>
              <w:right w:color="000000" w:sz="4" w:val="single"/>
            </w:tcBorders>
            <w:shd w:fill="auto" w:val="clear"/>
            <w:vAlign w:val="bottom"/>
          </w:tcPr>
          <w:p w14:paraId="F6430000">
            <w:pPr>
              <w:widowControl w:val="1"/>
              <w:ind/>
              <w:jc w:val="right"/>
              <w:rPr>
                <w:sz w:val="18"/>
              </w:rPr>
            </w:pPr>
            <w:r>
              <w:rPr>
                <w:sz w:val="18"/>
              </w:rPr>
              <w:t>91</w:t>
            </w:r>
          </w:p>
        </w:tc>
        <w:tc>
          <w:tcPr>
            <w:tcW w:type="dxa" w:w="1360"/>
            <w:tcBorders>
              <w:top w:color="000000" w:sz="4" w:val="single"/>
              <w:left w:color="000000" w:sz="4" w:val="single"/>
              <w:bottom w:color="000000" w:sz="4" w:val="single"/>
              <w:right w:color="000000" w:sz="4" w:val="single"/>
            </w:tcBorders>
            <w:shd w:fill="auto" w:val="clear"/>
            <w:vAlign w:val="bottom"/>
          </w:tcPr>
          <w:p w14:paraId="F7430000">
            <w:pPr>
              <w:widowControl w:val="1"/>
              <w:ind/>
              <w:jc w:val="right"/>
              <w:rPr>
                <w:sz w:val="18"/>
              </w:rPr>
            </w:pPr>
            <w:r>
              <w:rPr>
                <w:sz w:val="18"/>
              </w:rPr>
              <w:t>142</w:t>
            </w:r>
          </w:p>
        </w:tc>
        <w:tc>
          <w:tcPr>
            <w:tcW w:type="dxa" w:w="1560"/>
            <w:tcBorders>
              <w:top w:color="000000" w:sz="4" w:val="single"/>
              <w:left w:color="000000" w:sz="4" w:val="single"/>
              <w:bottom w:color="000000" w:sz="4" w:val="single"/>
              <w:right w:color="000000" w:sz="4" w:val="single"/>
            </w:tcBorders>
            <w:shd w:fill="auto" w:val="clear"/>
            <w:vAlign w:val="bottom"/>
          </w:tcPr>
          <w:p w14:paraId="F843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F9430000">
            <w:pPr>
              <w:rPr>
                <w:sz w:val="18"/>
              </w:rPr>
            </w:pPr>
            <w:r>
              <w:rPr>
                <w:sz w:val="18"/>
              </w:rPr>
              <w:t>Почта России ФГУП</w:t>
            </w:r>
          </w:p>
        </w:tc>
        <w:tc>
          <w:tcPr>
            <w:tcW w:type="dxa" w:w="1520"/>
            <w:tcBorders>
              <w:top w:color="000000" w:sz="4" w:val="single"/>
              <w:left w:color="000000" w:sz="4" w:val="single"/>
              <w:bottom w:color="000000" w:sz="4" w:val="single"/>
              <w:right w:color="000000" w:sz="4" w:val="single"/>
            </w:tcBorders>
            <w:shd w:fill="auto" w:val="clear"/>
            <w:vAlign w:val="bottom"/>
          </w:tcPr>
          <w:p w14:paraId="FA430000">
            <w:pPr>
              <w:widowControl w:val="1"/>
              <w:ind/>
              <w:jc w:val="right"/>
              <w:rPr>
                <w:sz w:val="18"/>
              </w:rPr>
            </w:pPr>
            <w:r>
              <w:rPr>
                <w:sz w:val="18"/>
              </w:rPr>
              <w:t>18</w:t>
            </w:r>
          </w:p>
        </w:tc>
        <w:tc>
          <w:tcPr>
            <w:tcW w:type="dxa" w:w="1360"/>
            <w:tcBorders>
              <w:top w:color="000000" w:sz="4" w:val="single"/>
              <w:left w:color="000000" w:sz="4" w:val="single"/>
              <w:bottom w:color="000000" w:sz="4" w:val="single"/>
              <w:right w:color="000000" w:sz="4" w:val="single"/>
            </w:tcBorders>
            <w:shd w:fill="auto" w:val="clear"/>
            <w:vAlign w:val="bottom"/>
          </w:tcPr>
          <w:p w14:paraId="FB430000">
            <w:pPr>
              <w:widowControl w:val="1"/>
              <w:ind/>
              <w:jc w:val="right"/>
              <w:rPr>
                <w:sz w:val="18"/>
              </w:rPr>
            </w:pPr>
            <w:r>
              <w:rPr>
                <w:sz w:val="18"/>
              </w:rPr>
              <w:t>59</w:t>
            </w:r>
          </w:p>
        </w:tc>
        <w:tc>
          <w:tcPr>
            <w:tcW w:type="dxa" w:w="1360"/>
            <w:tcBorders>
              <w:top w:color="000000" w:sz="4" w:val="single"/>
              <w:left w:color="000000" w:sz="4" w:val="single"/>
              <w:bottom w:color="000000" w:sz="4" w:val="single"/>
              <w:right w:color="000000" w:sz="4" w:val="single"/>
            </w:tcBorders>
            <w:shd w:fill="auto" w:val="clear"/>
            <w:vAlign w:val="bottom"/>
          </w:tcPr>
          <w:p w14:paraId="FC430000">
            <w:pPr>
              <w:widowControl w:val="1"/>
              <w:ind/>
              <w:jc w:val="right"/>
              <w:rPr>
                <w:sz w:val="18"/>
              </w:rPr>
            </w:pPr>
            <w:r>
              <w:rPr>
                <w:sz w:val="18"/>
              </w:rPr>
              <w:t>69</w:t>
            </w:r>
          </w:p>
        </w:tc>
        <w:tc>
          <w:tcPr>
            <w:tcW w:type="dxa" w:w="1560"/>
            <w:tcBorders>
              <w:top w:color="000000" w:sz="4" w:val="single"/>
              <w:left w:color="000000" w:sz="4" w:val="single"/>
              <w:bottom w:color="000000" w:sz="4" w:val="single"/>
              <w:right w:color="000000" w:sz="4" w:val="single"/>
            </w:tcBorders>
            <w:shd w:fill="auto" w:val="clear"/>
            <w:vAlign w:val="bottom"/>
          </w:tcPr>
          <w:p w14:paraId="FD430000">
            <w:pPr>
              <w:widowControl w:val="1"/>
              <w:ind/>
              <w:jc w:val="right"/>
              <w:rPr>
                <w:sz w:val="18"/>
              </w:rPr>
            </w:pPr>
            <w:r>
              <w:rPr>
                <w:sz w:val="18"/>
              </w:rPr>
              <w:t>8</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FE430000">
            <w:pPr>
              <w:rPr>
                <w:sz w:val="18"/>
              </w:rPr>
            </w:pPr>
            <w:r>
              <w:rPr>
                <w:sz w:val="18"/>
              </w:rPr>
              <w:t>ПРИМЕКС-КРАСНОЯРСК ООО</w:t>
            </w:r>
          </w:p>
        </w:tc>
        <w:tc>
          <w:tcPr>
            <w:tcW w:type="dxa" w:w="1520"/>
            <w:tcBorders>
              <w:top w:color="000000" w:sz="4" w:val="single"/>
              <w:left w:color="000000" w:sz="4" w:val="single"/>
              <w:bottom w:color="000000" w:sz="4" w:val="single"/>
              <w:right w:color="000000" w:sz="4" w:val="single"/>
            </w:tcBorders>
            <w:shd w:fill="auto" w:val="clear"/>
            <w:vAlign w:val="bottom"/>
          </w:tcPr>
          <w:p w14:paraId="FF43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00440000">
            <w:pPr>
              <w:widowControl w:val="1"/>
              <w:ind/>
              <w:jc w:val="right"/>
              <w:rPr>
                <w:sz w:val="18"/>
              </w:rPr>
            </w:pPr>
            <w:r>
              <w:rPr>
                <w:sz w:val="18"/>
              </w:rPr>
              <w:t>183</w:t>
            </w:r>
          </w:p>
        </w:tc>
        <w:tc>
          <w:tcPr>
            <w:tcW w:type="dxa" w:w="1360"/>
            <w:tcBorders>
              <w:top w:color="000000" w:sz="4" w:val="single"/>
              <w:left w:color="000000" w:sz="4" w:val="single"/>
              <w:bottom w:color="000000" w:sz="4" w:val="single"/>
              <w:right w:color="000000" w:sz="4" w:val="single"/>
            </w:tcBorders>
            <w:shd w:fill="auto" w:val="clear"/>
            <w:vAlign w:val="bottom"/>
          </w:tcPr>
          <w:p w14:paraId="01440000">
            <w:pPr>
              <w:widowControl w:val="1"/>
              <w:ind/>
              <w:jc w:val="right"/>
              <w:rPr>
                <w:sz w:val="18"/>
              </w:rPr>
            </w:pPr>
            <w:r>
              <w:rPr>
                <w:sz w:val="18"/>
              </w:rPr>
              <w:t>154</w:t>
            </w:r>
          </w:p>
        </w:tc>
        <w:tc>
          <w:tcPr>
            <w:tcW w:type="dxa" w:w="1560"/>
            <w:tcBorders>
              <w:top w:color="000000" w:sz="4" w:val="single"/>
              <w:left w:color="000000" w:sz="4" w:val="single"/>
              <w:bottom w:color="000000" w:sz="4" w:val="single"/>
              <w:right w:color="000000" w:sz="4" w:val="single"/>
            </w:tcBorders>
            <w:shd w:fill="auto" w:val="clear"/>
            <w:vAlign w:val="bottom"/>
          </w:tcPr>
          <w:p w14:paraId="02440000">
            <w:pPr>
              <w:widowControl w:val="1"/>
              <w:ind/>
              <w:jc w:val="right"/>
              <w:rPr>
                <w:sz w:val="18"/>
              </w:rPr>
            </w:pPr>
            <w:r>
              <w:rPr>
                <w:sz w:val="18"/>
              </w:rPr>
              <w:t>29</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3440000">
            <w:pPr>
              <w:rPr>
                <w:sz w:val="18"/>
              </w:rPr>
            </w:pPr>
            <w:r>
              <w:rPr>
                <w:sz w:val="18"/>
              </w:rPr>
              <w:t>ПРО-БРАЙТ КРАСНОЯРСК ООО</w:t>
            </w:r>
          </w:p>
        </w:tc>
        <w:tc>
          <w:tcPr>
            <w:tcW w:type="dxa" w:w="1520"/>
            <w:tcBorders>
              <w:top w:color="000000" w:sz="4" w:val="single"/>
              <w:left w:color="000000" w:sz="4" w:val="single"/>
              <w:bottom w:color="000000" w:sz="4" w:val="single"/>
              <w:right w:color="000000" w:sz="4" w:val="single"/>
            </w:tcBorders>
            <w:shd w:fill="auto" w:val="clear"/>
            <w:vAlign w:val="bottom"/>
          </w:tcPr>
          <w:p w14:paraId="04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05440000">
            <w:pPr>
              <w:widowControl w:val="1"/>
              <w:ind/>
              <w:jc w:val="right"/>
              <w:rPr>
                <w:sz w:val="18"/>
              </w:rPr>
            </w:pPr>
            <w:r>
              <w:rPr>
                <w:sz w:val="18"/>
              </w:rPr>
              <w:t>174</w:t>
            </w:r>
          </w:p>
        </w:tc>
        <w:tc>
          <w:tcPr>
            <w:tcW w:type="dxa" w:w="1360"/>
            <w:tcBorders>
              <w:top w:color="000000" w:sz="4" w:val="single"/>
              <w:left w:color="000000" w:sz="4" w:val="single"/>
              <w:bottom w:color="000000" w:sz="4" w:val="single"/>
              <w:right w:color="000000" w:sz="4" w:val="single"/>
            </w:tcBorders>
            <w:shd w:fill="auto" w:val="clear"/>
            <w:vAlign w:val="bottom"/>
          </w:tcPr>
          <w:p w14:paraId="06440000">
            <w:pPr>
              <w:widowControl w:val="1"/>
              <w:ind/>
              <w:jc w:val="right"/>
              <w:rPr>
                <w:sz w:val="18"/>
              </w:rPr>
            </w:pPr>
            <w:r>
              <w:rPr>
                <w:sz w:val="18"/>
              </w:rPr>
              <w:t>174</w:t>
            </w:r>
          </w:p>
        </w:tc>
        <w:tc>
          <w:tcPr>
            <w:tcW w:type="dxa" w:w="1560"/>
            <w:tcBorders>
              <w:top w:color="000000" w:sz="4" w:val="single"/>
              <w:left w:color="000000" w:sz="4" w:val="single"/>
              <w:bottom w:color="000000" w:sz="4" w:val="single"/>
              <w:right w:color="000000" w:sz="4" w:val="single"/>
            </w:tcBorders>
            <w:shd w:fill="auto" w:val="clear"/>
            <w:vAlign w:val="bottom"/>
          </w:tcPr>
          <w:p w14:paraId="07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8440000">
            <w:pPr>
              <w:rPr>
                <w:sz w:val="18"/>
              </w:rPr>
            </w:pPr>
            <w:r>
              <w:rPr>
                <w:sz w:val="18"/>
              </w:rPr>
              <w:t>ПРОФПОШИВ ООО</w:t>
            </w:r>
          </w:p>
        </w:tc>
        <w:tc>
          <w:tcPr>
            <w:tcW w:type="dxa" w:w="1520"/>
            <w:tcBorders>
              <w:top w:color="000000" w:sz="4" w:val="single"/>
              <w:left w:color="000000" w:sz="4" w:val="single"/>
              <w:bottom w:color="000000" w:sz="4" w:val="single"/>
              <w:right w:color="000000" w:sz="4" w:val="single"/>
            </w:tcBorders>
            <w:shd w:fill="auto" w:val="clear"/>
            <w:vAlign w:val="bottom"/>
          </w:tcPr>
          <w:p w14:paraId="09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0A440000">
            <w:pPr>
              <w:widowControl w:val="1"/>
              <w:ind/>
              <w:jc w:val="right"/>
              <w:rPr>
                <w:sz w:val="18"/>
              </w:rPr>
            </w:pPr>
            <w:r>
              <w:rPr>
                <w:sz w:val="18"/>
              </w:rPr>
              <w:t>60</w:t>
            </w:r>
          </w:p>
        </w:tc>
        <w:tc>
          <w:tcPr>
            <w:tcW w:type="dxa" w:w="1360"/>
            <w:tcBorders>
              <w:top w:color="000000" w:sz="4" w:val="single"/>
              <w:left w:color="000000" w:sz="4" w:val="single"/>
              <w:bottom w:color="000000" w:sz="4" w:val="single"/>
              <w:right w:color="000000" w:sz="4" w:val="single"/>
            </w:tcBorders>
            <w:shd w:fill="auto" w:val="clear"/>
            <w:vAlign w:val="bottom"/>
          </w:tcPr>
          <w:p w14:paraId="0B440000">
            <w:pPr>
              <w:widowControl w:val="1"/>
              <w:ind/>
              <w:jc w:val="right"/>
              <w:rPr>
                <w:sz w:val="18"/>
              </w:rPr>
            </w:pPr>
            <w:r>
              <w:rPr>
                <w:sz w:val="18"/>
              </w:rPr>
              <w:t>60</w:t>
            </w:r>
          </w:p>
        </w:tc>
        <w:tc>
          <w:tcPr>
            <w:tcW w:type="dxa" w:w="1560"/>
            <w:tcBorders>
              <w:top w:color="000000" w:sz="4" w:val="single"/>
              <w:left w:color="000000" w:sz="4" w:val="single"/>
              <w:bottom w:color="000000" w:sz="4" w:val="single"/>
              <w:right w:color="000000" w:sz="4" w:val="single"/>
            </w:tcBorders>
            <w:shd w:fill="auto" w:val="clear"/>
            <w:vAlign w:val="bottom"/>
          </w:tcPr>
          <w:p w14:paraId="0C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D440000">
            <w:pPr>
              <w:rPr>
                <w:sz w:val="18"/>
              </w:rPr>
            </w:pPr>
            <w:r>
              <w:rPr>
                <w:sz w:val="18"/>
              </w:rPr>
              <w:t xml:space="preserve">РЕГИСТРАТОР АО ВТБ </w:t>
            </w:r>
          </w:p>
        </w:tc>
        <w:tc>
          <w:tcPr>
            <w:tcW w:type="dxa" w:w="1520"/>
            <w:tcBorders>
              <w:top w:color="000000" w:sz="4" w:val="single"/>
              <w:left w:color="000000" w:sz="4" w:val="single"/>
              <w:bottom w:color="000000" w:sz="4" w:val="single"/>
              <w:right w:color="000000" w:sz="4" w:val="single"/>
            </w:tcBorders>
            <w:shd w:fill="auto" w:val="clear"/>
            <w:vAlign w:val="bottom"/>
          </w:tcPr>
          <w:p w14:paraId="0E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0F440000">
            <w:pPr>
              <w:widowControl w:val="1"/>
              <w:ind/>
              <w:jc w:val="right"/>
              <w:rPr>
                <w:sz w:val="18"/>
              </w:rPr>
            </w:pPr>
            <w:r>
              <w:rPr>
                <w:sz w:val="18"/>
              </w:rPr>
              <w:t>24</w:t>
            </w:r>
          </w:p>
        </w:tc>
        <w:tc>
          <w:tcPr>
            <w:tcW w:type="dxa" w:w="1360"/>
            <w:tcBorders>
              <w:top w:color="000000" w:sz="4" w:val="single"/>
              <w:left w:color="000000" w:sz="4" w:val="single"/>
              <w:bottom w:color="000000" w:sz="4" w:val="single"/>
              <w:right w:color="000000" w:sz="4" w:val="single"/>
            </w:tcBorders>
            <w:shd w:fill="auto" w:val="clear"/>
            <w:vAlign w:val="bottom"/>
          </w:tcPr>
          <w:p w14:paraId="10440000">
            <w:pPr>
              <w:widowControl w:val="1"/>
              <w:ind/>
              <w:jc w:val="right"/>
              <w:rPr>
                <w:sz w:val="18"/>
              </w:rPr>
            </w:pPr>
            <w:r>
              <w:rPr>
                <w:sz w:val="18"/>
              </w:rPr>
              <w:t>24</w:t>
            </w:r>
          </w:p>
        </w:tc>
        <w:tc>
          <w:tcPr>
            <w:tcW w:type="dxa" w:w="1560"/>
            <w:tcBorders>
              <w:top w:color="000000" w:sz="4" w:val="single"/>
              <w:left w:color="000000" w:sz="4" w:val="single"/>
              <w:bottom w:color="000000" w:sz="4" w:val="single"/>
              <w:right w:color="000000" w:sz="4" w:val="single"/>
            </w:tcBorders>
            <w:shd w:fill="auto" w:val="clear"/>
            <w:vAlign w:val="bottom"/>
          </w:tcPr>
          <w:p w14:paraId="11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2440000">
            <w:pPr>
              <w:rPr>
                <w:sz w:val="18"/>
              </w:rPr>
            </w:pPr>
            <w:r>
              <w:rPr>
                <w:sz w:val="18"/>
              </w:rPr>
              <w:t>РКТ ООО НПФ</w:t>
            </w:r>
          </w:p>
        </w:tc>
        <w:tc>
          <w:tcPr>
            <w:tcW w:type="dxa" w:w="1520"/>
            <w:tcBorders>
              <w:top w:color="000000" w:sz="4" w:val="single"/>
              <w:left w:color="000000" w:sz="4" w:val="single"/>
              <w:bottom w:color="000000" w:sz="4" w:val="single"/>
              <w:right w:color="000000" w:sz="4" w:val="single"/>
            </w:tcBorders>
            <w:shd w:fill="auto" w:val="clear"/>
            <w:vAlign w:val="bottom"/>
          </w:tcPr>
          <w:p w14:paraId="13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14440000">
            <w:pPr>
              <w:widowControl w:val="1"/>
              <w:ind/>
              <w:jc w:val="right"/>
              <w:rPr>
                <w:sz w:val="18"/>
              </w:rPr>
            </w:pPr>
            <w:r>
              <w:rPr>
                <w:sz w:val="18"/>
              </w:rPr>
              <w:t>294</w:t>
            </w:r>
          </w:p>
        </w:tc>
        <w:tc>
          <w:tcPr>
            <w:tcW w:type="dxa" w:w="1360"/>
            <w:tcBorders>
              <w:top w:color="000000" w:sz="4" w:val="single"/>
              <w:left w:color="000000" w:sz="4" w:val="single"/>
              <w:bottom w:color="000000" w:sz="4" w:val="single"/>
              <w:right w:color="000000" w:sz="4" w:val="single"/>
            </w:tcBorders>
            <w:shd w:fill="auto" w:val="clear"/>
            <w:vAlign w:val="bottom"/>
          </w:tcPr>
          <w:p w14:paraId="15440000">
            <w:pPr>
              <w:widowControl w:val="1"/>
              <w:ind/>
              <w:jc w:val="right"/>
              <w:rPr>
                <w:sz w:val="18"/>
              </w:rPr>
            </w:pPr>
            <w:r>
              <w:rPr>
                <w:sz w:val="18"/>
              </w:rPr>
              <w:t>294</w:t>
            </w:r>
          </w:p>
        </w:tc>
        <w:tc>
          <w:tcPr>
            <w:tcW w:type="dxa" w:w="1560"/>
            <w:tcBorders>
              <w:top w:color="000000" w:sz="4" w:val="single"/>
              <w:left w:color="000000" w:sz="4" w:val="single"/>
              <w:bottom w:color="000000" w:sz="4" w:val="single"/>
              <w:right w:color="000000" w:sz="4" w:val="single"/>
            </w:tcBorders>
            <w:shd w:fill="auto" w:val="clear"/>
            <w:vAlign w:val="bottom"/>
          </w:tcPr>
          <w:p w14:paraId="16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7440000">
            <w:pPr>
              <w:rPr>
                <w:sz w:val="18"/>
              </w:rPr>
            </w:pPr>
            <w:r>
              <w:rPr>
                <w:sz w:val="18"/>
              </w:rPr>
              <w:t>РОСИНКАС Кемеровское областное управление инкассации</w:t>
            </w:r>
          </w:p>
        </w:tc>
        <w:tc>
          <w:tcPr>
            <w:tcW w:type="dxa" w:w="1520"/>
            <w:tcBorders>
              <w:top w:color="000000" w:sz="4" w:val="single"/>
              <w:left w:color="000000" w:sz="4" w:val="single"/>
              <w:bottom w:color="000000" w:sz="4" w:val="single"/>
              <w:right w:color="000000" w:sz="4" w:val="single"/>
            </w:tcBorders>
            <w:shd w:fill="auto" w:val="clear"/>
            <w:vAlign w:val="bottom"/>
          </w:tcPr>
          <w:p w14:paraId="18440000">
            <w:pPr>
              <w:widowControl w:val="1"/>
              <w:ind/>
              <w:jc w:val="right"/>
              <w:rPr>
                <w:sz w:val="18"/>
              </w:rPr>
            </w:pPr>
            <w:r>
              <w:rPr>
                <w:sz w:val="18"/>
              </w:rPr>
              <w:t>5</w:t>
            </w:r>
          </w:p>
        </w:tc>
        <w:tc>
          <w:tcPr>
            <w:tcW w:type="dxa" w:w="1360"/>
            <w:tcBorders>
              <w:top w:color="000000" w:sz="4" w:val="single"/>
              <w:left w:color="000000" w:sz="4" w:val="single"/>
              <w:bottom w:color="000000" w:sz="4" w:val="single"/>
              <w:right w:color="000000" w:sz="4" w:val="single"/>
            </w:tcBorders>
            <w:shd w:fill="auto" w:val="clear"/>
            <w:vAlign w:val="bottom"/>
          </w:tcPr>
          <w:p w14:paraId="19440000">
            <w:pPr>
              <w:widowControl w:val="1"/>
              <w:ind/>
              <w:jc w:val="right"/>
              <w:rPr>
                <w:sz w:val="18"/>
              </w:rPr>
            </w:pPr>
            <w:r>
              <w:rPr>
                <w:sz w:val="18"/>
              </w:rPr>
              <w:t>74</w:t>
            </w:r>
          </w:p>
        </w:tc>
        <w:tc>
          <w:tcPr>
            <w:tcW w:type="dxa" w:w="1360"/>
            <w:tcBorders>
              <w:top w:color="000000" w:sz="4" w:val="single"/>
              <w:left w:color="000000" w:sz="4" w:val="single"/>
              <w:bottom w:color="000000" w:sz="4" w:val="single"/>
              <w:right w:color="000000" w:sz="4" w:val="single"/>
            </w:tcBorders>
            <w:shd w:fill="auto" w:val="clear"/>
            <w:vAlign w:val="bottom"/>
          </w:tcPr>
          <w:p w14:paraId="1A440000">
            <w:pPr>
              <w:widowControl w:val="1"/>
              <w:ind/>
              <w:jc w:val="right"/>
              <w:rPr>
                <w:sz w:val="18"/>
              </w:rPr>
            </w:pPr>
            <w:r>
              <w:rPr>
                <w:sz w:val="18"/>
              </w:rPr>
              <w:t>76</w:t>
            </w:r>
          </w:p>
        </w:tc>
        <w:tc>
          <w:tcPr>
            <w:tcW w:type="dxa" w:w="1560"/>
            <w:tcBorders>
              <w:top w:color="000000" w:sz="4" w:val="single"/>
              <w:left w:color="000000" w:sz="4" w:val="single"/>
              <w:bottom w:color="000000" w:sz="4" w:val="single"/>
              <w:right w:color="000000" w:sz="4" w:val="single"/>
            </w:tcBorders>
            <w:shd w:fill="auto" w:val="clear"/>
            <w:vAlign w:val="bottom"/>
          </w:tcPr>
          <w:p w14:paraId="1B440000">
            <w:pPr>
              <w:widowControl w:val="1"/>
              <w:ind/>
              <w:jc w:val="right"/>
              <w:rPr>
                <w:sz w:val="18"/>
              </w:rPr>
            </w:pPr>
            <w:r>
              <w:rPr>
                <w:sz w:val="18"/>
              </w:rPr>
              <w:t>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C440000">
            <w:pPr>
              <w:rPr>
                <w:sz w:val="18"/>
              </w:rPr>
            </w:pPr>
            <w:r>
              <w:rPr>
                <w:sz w:val="18"/>
              </w:rPr>
              <w:t>РОССЕЛЬХОЗБАНК АО Красноярский филиал</w:t>
            </w:r>
          </w:p>
        </w:tc>
        <w:tc>
          <w:tcPr>
            <w:tcW w:type="dxa" w:w="1520"/>
            <w:tcBorders>
              <w:top w:color="000000" w:sz="4" w:val="single"/>
              <w:left w:color="000000" w:sz="4" w:val="single"/>
              <w:bottom w:color="000000" w:sz="4" w:val="single"/>
              <w:right w:color="000000" w:sz="4" w:val="single"/>
            </w:tcBorders>
            <w:shd w:fill="auto" w:val="clear"/>
            <w:vAlign w:val="bottom"/>
          </w:tcPr>
          <w:p w14:paraId="1D440000">
            <w:pPr>
              <w:widowControl w:val="1"/>
              <w:ind/>
              <w:jc w:val="right"/>
              <w:rPr>
                <w:sz w:val="18"/>
              </w:rPr>
            </w:pPr>
            <w:r>
              <w:rPr>
                <w:sz w:val="18"/>
              </w:rPr>
              <w:t>436</w:t>
            </w:r>
          </w:p>
        </w:tc>
        <w:tc>
          <w:tcPr>
            <w:tcW w:type="dxa" w:w="1360"/>
            <w:tcBorders>
              <w:top w:color="000000" w:sz="4" w:val="single"/>
              <w:left w:color="000000" w:sz="4" w:val="single"/>
              <w:bottom w:color="000000" w:sz="4" w:val="single"/>
              <w:right w:color="000000" w:sz="4" w:val="single"/>
            </w:tcBorders>
            <w:shd w:fill="auto" w:val="clear"/>
            <w:vAlign w:val="bottom"/>
          </w:tcPr>
          <w:p w14:paraId="1E440000">
            <w:pPr>
              <w:widowControl w:val="1"/>
              <w:ind/>
              <w:jc w:val="right"/>
              <w:rPr>
                <w:sz w:val="18"/>
              </w:rPr>
            </w:pPr>
            <w:r>
              <w:rPr>
                <w:sz w:val="18"/>
              </w:rPr>
              <w:t>4 182</w:t>
            </w:r>
          </w:p>
        </w:tc>
        <w:tc>
          <w:tcPr>
            <w:tcW w:type="dxa" w:w="1360"/>
            <w:tcBorders>
              <w:top w:color="000000" w:sz="4" w:val="single"/>
              <w:left w:color="000000" w:sz="4" w:val="single"/>
              <w:bottom w:color="000000" w:sz="4" w:val="single"/>
              <w:right w:color="000000" w:sz="4" w:val="single"/>
            </w:tcBorders>
            <w:shd w:fill="auto" w:val="clear"/>
            <w:vAlign w:val="bottom"/>
          </w:tcPr>
          <w:p w14:paraId="1F440000">
            <w:pPr>
              <w:widowControl w:val="1"/>
              <w:ind/>
              <w:jc w:val="right"/>
              <w:rPr>
                <w:sz w:val="18"/>
              </w:rPr>
            </w:pPr>
            <w:r>
              <w:rPr>
                <w:sz w:val="18"/>
              </w:rPr>
              <w:t>4 370</w:t>
            </w:r>
          </w:p>
        </w:tc>
        <w:tc>
          <w:tcPr>
            <w:tcW w:type="dxa" w:w="1560"/>
            <w:tcBorders>
              <w:top w:color="000000" w:sz="4" w:val="single"/>
              <w:left w:color="000000" w:sz="4" w:val="single"/>
              <w:bottom w:color="000000" w:sz="4" w:val="single"/>
              <w:right w:color="000000" w:sz="4" w:val="single"/>
            </w:tcBorders>
            <w:shd w:fill="auto" w:val="clear"/>
            <w:vAlign w:val="bottom"/>
          </w:tcPr>
          <w:p w14:paraId="20440000">
            <w:pPr>
              <w:widowControl w:val="1"/>
              <w:ind/>
              <w:jc w:val="right"/>
              <w:rPr>
                <w:sz w:val="18"/>
              </w:rPr>
            </w:pPr>
            <w:r>
              <w:rPr>
                <w:sz w:val="18"/>
              </w:rPr>
              <w:t>248</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21440000">
            <w:pPr>
              <w:rPr>
                <w:sz w:val="18"/>
              </w:rPr>
            </w:pPr>
            <w:r>
              <w:rPr>
                <w:sz w:val="18"/>
              </w:rPr>
              <w:t>Ростелеком ПАО</w:t>
            </w:r>
          </w:p>
        </w:tc>
        <w:tc>
          <w:tcPr>
            <w:tcW w:type="dxa" w:w="1520"/>
            <w:tcBorders>
              <w:top w:color="000000" w:sz="4" w:val="single"/>
              <w:left w:color="000000" w:sz="4" w:val="single"/>
              <w:bottom w:color="000000" w:sz="4" w:val="single"/>
              <w:right w:color="000000" w:sz="4" w:val="single"/>
            </w:tcBorders>
            <w:shd w:fill="auto" w:val="clear"/>
            <w:vAlign w:val="bottom"/>
          </w:tcPr>
          <w:p w14:paraId="22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23440000">
            <w:pPr>
              <w:widowControl w:val="1"/>
              <w:ind/>
              <w:jc w:val="right"/>
              <w:rPr>
                <w:sz w:val="18"/>
              </w:rPr>
            </w:pPr>
            <w:r>
              <w:rPr>
                <w:sz w:val="18"/>
              </w:rPr>
              <w:t>4</w:t>
            </w:r>
          </w:p>
        </w:tc>
        <w:tc>
          <w:tcPr>
            <w:tcW w:type="dxa" w:w="1360"/>
            <w:tcBorders>
              <w:top w:color="000000" w:sz="4" w:val="single"/>
              <w:left w:color="000000" w:sz="4" w:val="single"/>
              <w:bottom w:color="000000" w:sz="4" w:val="single"/>
              <w:right w:color="000000" w:sz="4" w:val="single"/>
            </w:tcBorders>
            <w:shd w:fill="auto" w:val="clear"/>
            <w:vAlign w:val="bottom"/>
          </w:tcPr>
          <w:p w14:paraId="24440000">
            <w:pPr>
              <w:widowControl w:val="1"/>
              <w:ind/>
              <w:jc w:val="right"/>
              <w:rPr>
                <w:sz w:val="18"/>
              </w:rPr>
            </w:pPr>
            <w:r>
              <w:rPr>
                <w:sz w:val="18"/>
              </w:rPr>
              <w:t>4</w:t>
            </w:r>
          </w:p>
        </w:tc>
        <w:tc>
          <w:tcPr>
            <w:tcW w:type="dxa" w:w="1560"/>
            <w:tcBorders>
              <w:top w:color="000000" w:sz="4" w:val="single"/>
              <w:left w:color="000000" w:sz="4" w:val="single"/>
              <w:bottom w:color="000000" w:sz="4" w:val="single"/>
              <w:right w:color="000000" w:sz="4" w:val="single"/>
            </w:tcBorders>
            <w:shd w:fill="auto" w:val="clear"/>
            <w:vAlign w:val="bottom"/>
          </w:tcPr>
          <w:p w14:paraId="25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26440000">
            <w:pPr>
              <w:rPr>
                <w:sz w:val="18"/>
              </w:rPr>
            </w:pPr>
            <w:r>
              <w:rPr>
                <w:sz w:val="18"/>
              </w:rPr>
              <w:t>РУСЛАЙН АО АК</w:t>
            </w:r>
          </w:p>
        </w:tc>
        <w:tc>
          <w:tcPr>
            <w:tcW w:type="dxa" w:w="1520"/>
            <w:tcBorders>
              <w:top w:color="000000" w:sz="4" w:val="single"/>
              <w:left w:color="000000" w:sz="4" w:val="single"/>
              <w:bottom w:color="000000" w:sz="4" w:val="single"/>
              <w:right w:color="000000" w:sz="4" w:val="single"/>
            </w:tcBorders>
            <w:shd w:fill="auto" w:val="clear"/>
            <w:vAlign w:val="bottom"/>
          </w:tcPr>
          <w:p w14:paraId="27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28440000">
            <w:pPr>
              <w:widowControl w:val="1"/>
              <w:ind/>
              <w:jc w:val="right"/>
              <w:rPr>
                <w:sz w:val="18"/>
              </w:rPr>
            </w:pPr>
            <w:r>
              <w:rPr>
                <w:sz w:val="18"/>
              </w:rPr>
              <w:t>12</w:t>
            </w:r>
          </w:p>
        </w:tc>
        <w:tc>
          <w:tcPr>
            <w:tcW w:type="dxa" w:w="1360"/>
            <w:tcBorders>
              <w:top w:color="000000" w:sz="4" w:val="single"/>
              <w:left w:color="000000" w:sz="4" w:val="single"/>
              <w:bottom w:color="000000" w:sz="4" w:val="single"/>
              <w:right w:color="000000" w:sz="4" w:val="single"/>
            </w:tcBorders>
            <w:shd w:fill="auto" w:val="clear"/>
            <w:vAlign w:val="bottom"/>
          </w:tcPr>
          <w:p w14:paraId="29440000">
            <w:pPr>
              <w:widowControl w:val="1"/>
              <w:ind/>
              <w:jc w:val="right"/>
              <w:rPr>
                <w:sz w:val="18"/>
              </w:rPr>
            </w:pPr>
            <w:r>
              <w:rPr>
                <w:sz w:val="18"/>
              </w:rPr>
              <w:t>12</w:t>
            </w:r>
          </w:p>
        </w:tc>
        <w:tc>
          <w:tcPr>
            <w:tcW w:type="dxa" w:w="1560"/>
            <w:tcBorders>
              <w:top w:color="000000" w:sz="4" w:val="single"/>
              <w:left w:color="000000" w:sz="4" w:val="single"/>
              <w:bottom w:color="000000" w:sz="4" w:val="single"/>
              <w:right w:color="000000" w:sz="4" w:val="single"/>
            </w:tcBorders>
            <w:shd w:fill="auto" w:val="clear"/>
            <w:vAlign w:val="bottom"/>
          </w:tcPr>
          <w:p w14:paraId="2A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2B440000">
            <w:pPr>
              <w:rPr>
                <w:sz w:val="18"/>
              </w:rPr>
            </w:pPr>
            <w:r>
              <w:rPr>
                <w:sz w:val="18"/>
              </w:rPr>
              <w:t>РУТ (МИИТ)</w:t>
            </w:r>
          </w:p>
        </w:tc>
        <w:tc>
          <w:tcPr>
            <w:tcW w:type="dxa" w:w="1520"/>
            <w:tcBorders>
              <w:top w:color="000000" w:sz="4" w:val="single"/>
              <w:left w:color="000000" w:sz="4" w:val="single"/>
              <w:bottom w:color="000000" w:sz="4" w:val="single"/>
              <w:right w:color="000000" w:sz="4" w:val="single"/>
            </w:tcBorders>
            <w:shd w:fill="auto" w:val="clear"/>
            <w:vAlign w:val="bottom"/>
          </w:tcPr>
          <w:p w14:paraId="2C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2D440000">
            <w:pPr>
              <w:widowControl w:val="1"/>
              <w:ind/>
              <w:jc w:val="right"/>
              <w:rPr>
                <w:sz w:val="18"/>
              </w:rPr>
            </w:pPr>
            <w:r>
              <w:rPr>
                <w:sz w:val="18"/>
              </w:rPr>
              <w:t>97</w:t>
            </w:r>
          </w:p>
        </w:tc>
        <w:tc>
          <w:tcPr>
            <w:tcW w:type="dxa" w:w="1360"/>
            <w:tcBorders>
              <w:top w:color="000000" w:sz="4" w:val="single"/>
              <w:left w:color="000000" w:sz="4" w:val="single"/>
              <w:bottom w:color="000000" w:sz="4" w:val="single"/>
              <w:right w:color="000000" w:sz="4" w:val="single"/>
            </w:tcBorders>
            <w:shd w:fill="auto" w:val="clear"/>
            <w:vAlign w:val="bottom"/>
          </w:tcPr>
          <w:p w14:paraId="2E440000">
            <w:pPr>
              <w:widowControl w:val="1"/>
              <w:ind/>
              <w:jc w:val="right"/>
              <w:rPr>
                <w:sz w:val="18"/>
              </w:rPr>
            </w:pPr>
            <w:r>
              <w:rPr>
                <w:sz w:val="18"/>
              </w:rPr>
              <w:t>97</w:t>
            </w:r>
          </w:p>
        </w:tc>
        <w:tc>
          <w:tcPr>
            <w:tcW w:type="dxa" w:w="1560"/>
            <w:tcBorders>
              <w:top w:color="000000" w:sz="4" w:val="single"/>
              <w:left w:color="000000" w:sz="4" w:val="single"/>
              <w:bottom w:color="000000" w:sz="4" w:val="single"/>
              <w:right w:color="000000" w:sz="4" w:val="single"/>
            </w:tcBorders>
            <w:shd w:fill="auto" w:val="clear"/>
            <w:vAlign w:val="bottom"/>
          </w:tcPr>
          <w:p w14:paraId="2F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30440000">
            <w:pPr>
              <w:rPr>
                <w:sz w:val="18"/>
              </w:rPr>
            </w:pPr>
            <w:r>
              <w:rPr>
                <w:sz w:val="18"/>
              </w:rPr>
              <w:t>САТУРН ООО</w:t>
            </w:r>
          </w:p>
        </w:tc>
        <w:tc>
          <w:tcPr>
            <w:tcW w:type="dxa" w:w="1520"/>
            <w:tcBorders>
              <w:top w:color="000000" w:sz="4" w:val="single"/>
              <w:left w:color="000000" w:sz="4" w:val="single"/>
              <w:bottom w:color="000000" w:sz="4" w:val="single"/>
              <w:right w:color="000000" w:sz="4" w:val="single"/>
            </w:tcBorders>
            <w:shd w:fill="auto" w:val="clear"/>
            <w:vAlign w:val="bottom"/>
          </w:tcPr>
          <w:p w14:paraId="31440000">
            <w:pPr>
              <w:widowControl w:val="1"/>
              <w:ind/>
              <w:jc w:val="right"/>
              <w:rPr>
                <w:sz w:val="18"/>
              </w:rPr>
            </w:pPr>
            <w:r>
              <w:rPr>
                <w:sz w:val="18"/>
              </w:rPr>
              <w:t>28</w:t>
            </w:r>
          </w:p>
        </w:tc>
        <w:tc>
          <w:tcPr>
            <w:tcW w:type="dxa" w:w="1360"/>
            <w:tcBorders>
              <w:top w:color="000000" w:sz="4" w:val="single"/>
              <w:left w:color="000000" w:sz="4" w:val="single"/>
              <w:bottom w:color="000000" w:sz="4" w:val="single"/>
              <w:right w:color="000000" w:sz="4" w:val="single"/>
            </w:tcBorders>
            <w:shd w:fill="auto" w:val="clear"/>
            <w:vAlign w:val="bottom"/>
          </w:tcPr>
          <w:p w14:paraId="32440000">
            <w:pPr>
              <w:widowControl w:val="1"/>
              <w:ind/>
              <w:jc w:val="right"/>
              <w:rPr>
                <w:sz w:val="18"/>
              </w:rPr>
            </w:pPr>
            <w:r>
              <w:rPr>
                <w:sz w:val="18"/>
              </w:rPr>
              <w:t>203</w:t>
            </w:r>
          </w:p>
        </w:tc>
        <w:tc>
          <w:tcPr>
            <w:tcW w:type="dxa" w:w="1360"/>
            <w:tcBorders>
              <w:top w:color="000000" w:sz="4" w:val="single"/>
              <w:left w:color="000000" w:sz="4" w:val="single"/>
              <w:bottom w:color="000000" w:sz="4" w:val="single"/>
              <w:right w:color="000000" w:sz="4" w:val="single"/>
            </w:tcBorders>
            <w:shd w:fill="auto" w:val="clear"/>
            <w:vAlign w:val="bottom"/>
          </w:tcPr>
          <w:p w14:paraId="33440000">
            <w:pPr>
              <w:widowControl w:val="1"/>
              <w:ind/>
              <w:jc w:val="right"/>
              <w:rPr>
                <w:sz w:val="18"/>
              </w:rPr>
            </w:pPr>
            <w:r>
              <w:rPr>
                <w:sz w:val="18"/>
              </w:rPr>
              <w:t>231</w:t>
            </w:r>
          </w:p>
        </w:tc>
        <w:tc>
          <w:tcPr>
            <w:tcW w:type="dxa" w:w="1560"/>
            <w:tcBorders>
              <w:top w:color="000000" w:sz="4" w:val="single"/>
              <w:left w:color="000000" w:sz="4" w:val="single"/>
              <w:bottom w:color="000000" w:sz="4" w:val="single"/>
              <w:right w:color="000000" w:sz="4" w:val="single"/>
            </w:tcBorders>
            <w:shd w:fill="auto" w:val="clear"/>
            <w:vAlign w:val="bottom"/>
          </w:tcPr>
          <w:p w14:paraId="34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35440000">
            <w:pPr>
              <w:rPr>
                <w:sz w:val="18"/>
              </w:rPr>
            </w:pPr>
            <w:r>
              <w:rPr>
                <w:sz w:val="18"/>
              </w:rPr>
              <w:t>СДЛ ООО</w:t>
            </w:r>
          </w:p>
        </w:tc>
        <w:tc>
          <w:tcPr>
            <w:tcW w:type="dxa" w:w="1520"/>
            <w:tcBorders>
              <w:top w:color="000000" w:sz="4" w:val="single"/>
              <w:left w:color="000000" w:sz="4" w:val="single"/>
              <w:bottom w:color="000000" w:sz="4" w:val="single"/>
              <w:right w:color="000000" w:sz="4" w:val="single"/>
            </w:tcBorders>
            <w:shd w:fill="auto" w:val="clear"/>
            <w:vAlign w:val="bottom"/>
          </w:tcPr>
          <w:p w14:paraId="36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37440000">
            <w:pPr>
              <w:widowControl w:val="1"/>
              <w:ind/>
              <w:jc w:val="right"/>
              <w:rPr>
                <w:sz w:val="18"/>
              </w:rPr>
            </w:pPr>
            <w:r>
              <w:rPr>
                <w:sz w:val="18"/>
              </w:rPr>
              <w:t>63</w:t>
            </w:r>
          </w:p>
        </w:tc>
        <w:tc>
          <w:tcPr>
            <w:tcW w:type="dxa" w:w="1360"/>
            <w:tcBorders>
              <w:top w:color="000000" w:sz="4" w:val="single"/>
              <w:left w:color="000000" w:sz="4" w:val="single"/>
              <w:bottom w:color="000000" w:sz="4" w:val="single"/>
              <w:right w:color="000000" w:sz="4" w:val="single"/>
            </w:tcBorders>
            <w:shd w:fill="auto" w:val="clear"/>
            <w:vAlign w:val="bottom"/>
          </w:tcPr>
          <w:p w14:paraId="38440000">
            <w:pPr>
              <w:widowControl w:val="1"/>
              <w:ind/>
              <w:jc w:val="right"/>
              <w:rPr>
                <w:sz w:val="18"/>
              </w:rPr>
            </w:pPr>
            <w:r>
              <w:rPr>
                <w:sz w:val="18"/>
              </w:rPr>
              <w:t>63</w:t>
            </w:r>
          </w:p>
        </w:tc>
        <w:tc>
          <w:tcPr>
            <w:tcW w:type="dxa" w:w="1560"/>
            <w:tcBorders>
              <w:top w:color="000000" w:sz="4" w:val="single"/>
              <w:left w:color="000000" w:sz="4" w:val="single"/>
              <w:bottom w:color="000000" w:sz="4" w:val="single"/>
              <w:right w:color="000000" w:sz="4" w:val="single"/>
            </w:tcBorders>
            <w:shd w:fill="auto" w:val="clear"/>
            <w:vAlign w:val="bottom"/>
          </w:tcPr>
          <w:p w14:paraId="39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3A440000">
            <w:pPr>
              <w:rPr>
                <w:sz w:val="18"/>
              </w:rPr>
            </w:pPr>
            <w:r>
              <w:rPr>
                <w:sz w:val="18"/>
              </w:rPr>
              <w:t>СИБИНТЕК ООО</w:t>
            </w:r>
          </w:p>
        </w:tc>
        <w:tc>
          <w:tcPr>
            <w:tcW w:type="dxa" w:w="1520"/>
            <w:tcBorders>
              <w:top w:color="000000" w:sz="4" w:val="single"/>
              <w:left w:color="000000" w:sz="4" w:val="single"/>
              <w:bottom w:color="000000" w:sz="4" w:val="single"/>
              <w:right w:color="000000" w:sz="4" w:val="single"/>
            </w:tcBorders>
            <w:shd w:fill="auto" w:val="clear"/>
            <w:vAlign w:val="bottom"/>
          </w:tcPr>
          <w:p w14:paraId="3B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3C440000">
            <w:pPr>
              <w:widowControl w:val="1"/>
              <w:ind/>
              <w:jc w:val="right"/>
              <w:rPr>
                <w:sz w:val="18"/>
              </w:rPr>
            </w:pPr>
            <w:r>
              <w:rPr>
                <w:sz w:val="18"/>
              </w:rPr>
              <w:t>97</w:t>
            </w:r>
          </w:p>
        </w:tc>
        <w:tc>
          <w:tcPr>
            <w:tcW w:type="dxa" w:w="1360"/>
            <w:tcBorders>
              <w:top w:color="000000" w:sz="4" w:val="single"/>
              <w:left w:color="000000" w:sz="4" w:val="single"/>
              <w:bottom w:color="000000" w:sz="4" w:val="single"/>
              <w:right w:color="000000" w:sz="4" w:val="single"/>
            </w:tcBorders>
            <w:shd w:fill="auto" w:val="clear"/>
            <w:vAlign w:val="bottom"/>
          </w:tcPr>
          <w:p w14:paraId="3D440000">
            <w:pPr>
              <w:widowControl w:val="1"/>
              <w:ind/>
              <w:jc w:val="right"/>
              <w:rPr>
                <w:sz w:val="18"/>
              </w:rPr>
            </w:pPr>
            <w:r>
              <w:rPr>
                <w:sz w:val="18"/>
              </w:rPr>
              <w:t>97</w:t>
            </w:r>
          </w:p>
        </w:tc>
        <w:tc>
          <w:tcPr>
            <w:tcW w:type="dxa" w:w="1560"/>
            <w:tcBorders>
              <w:top w:color="000000" w:sz="4" w:val="single"/>
              <w:left w:color="000000" w:sz="4" w:val="single"/>
              <w:bottom w:color="000000" w:sz="4" w:val="single"/>
              <w:right w:color="000000" w:sz="4" w:val="single"/>
            </w:tcBorders>
            <w:shd w:fill="auto" w:val="clear"/>
            <w:vAlign w:val="bottom"/>
          </w:tcPr>
          <w:p w14:paraId="3E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3F440000">
            <w:pPr>
              <w:rPr>
                <w:sz w:val="18"/>
              </w:rPr>
            </w:pPr>
            <w:r>
              <w:rPr>
                <w:sz w:val="18"/>
              </w:rPr>
              <w:t>Сибирь Авиакомпания ПАО</w:t>
            </w:r>
          </w:p>
        </w:tc>
        <w:tc>
          <w:tcPr>
            <w:tcW w:type="dxa" w:w="1520"/>
            <w:tcBorders>
              <w:top w:color="000000" w:sz="4" w:val="single"/>
              <w:left w:color="000000" w:sz="4" w:val="single"/>
              <w:bottom w:color="000000" w:sz="4" w:val="single"/>
              <w:right w:color="000000" w:sz="4" w:val="single"/>
            </w:tcBorders>
            <w:shd w:fill="auto" w:val="clear"/>
            <w:vAlign w:val="bottom"/>
          </w:tcPr>
          <w:p w14:paraId="40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41440000">
            <w:pPr>
              <w:widowControl w:val="1"/>
              <w:ind/>
              <w:jc w:val="right"/>
              <w:rPr>
                <w:sz w:val="18"/>
              </w:rPr>
            </w:pPr>
            <w:r>
              <w:rPr>
                <w:sz w:val="18"/>
              </w:rPr>
              <w:t>49</w:t>
            </w:r>
          </w:p>
        </w:tc>
        <w:tc>
          <w:tcPr>
            <w:tcW w:type="dxa" w:w="1360"/>
            <w:tcBorders>
              <w:top w:color="000000" w:sz="4" w:val="single"/>
              <w:left w:color="000000" w:sz="4" w:val="single"/>
              <w:bottom w:color="000000" w:sz="4" w:val="single"/>
              <w:right w:color="000000" w:sz="4" w:val="single"/>
            </w:tcBorders>
            <w:shd w:fill="auto" w:val="clear"/>
            <w:vAlign w:val="bottom"/>
          </w:tcPr>
          <w:p w14:paraId="42440000">
            <w:pPr>
              <w:widowControl w:val="1"/>
              <w:ind/>
              <w:jc w:val="right"/>
              <w:rPr>
                <w:sz w:val="18"/>
              </w:rPr>
            </w:pPr>
            <w:r>
              <w:rPr>
                <w:sz w:val="18"/>
              </w:rPr>
              <w:t>49</w:t>
            </w:r>
          </w:p>
        </w:tc>
        <w:tc>
          <w:tcPr>
            <w:tcW w:type="dxa" w:w="1560"/>
            <w:tcBorders>
              <w:top w:color="000000" w:sz="4" w:val="single"/>
              <w:left w:color="000000" w:sz="4" w:val="single"/>
              <w:bottom w:color="000000" w:sz="4" w:val="single"/>
              <w:right w:color="000000" w:sz="4" w:val="single"/>
            </w:tcBorders>
            <w:shd w:fill="auto" w:val="clear"/>
            <w:vAlign w:val="bottom"/>
          </w:tcPr>
          <w:p w14:paraId="43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44440000">
            <w:pPr>
              <w:rPr>
                <w:sz w:val="18"/>
              </w:rPr>
            </w:pPr>
            <w:r>
              <w:rPr>
                <w:sz w:val="18"/>
              </w:rPr>
              <w:t>СИБИРЬШВЕЙПРОМ ООО</w:t>
            </w:r>
          </w:p>
        </w:tc>
        <w:tc>
          <w:tcPr>
            <w:tcW w:type="dxa" w:w="1520"/>
            <w:tcBorders>
              <w:top w:color="000000" w:sz="4" w:val="single"/>
              <w:left w:color="000000" w:sz="4" w:val="single"/>
              <w:bottom w:color="000000" w:sz="4" w:val="single"/>
              <w:right w:color="000000" w:sz="4" w:val="single"/>
            </w:tcBorders>
            <w:shd w:fill="auto" w:val="clear"/>
            <w:vAlign w:val="bottom"/>
          </w:tcPr>
          <w:p w14:paraId="45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46440000">
            <w:pPr>
              <w:widowControl w:val="1"/>
              <w:ind/>
              <w:jc w:val="right"/>
              <w:rPr>
                <w:sz w:val="18"/>
              </w:rPr>
            </w:pPr>
            <w:r>
              <w:rPr>
                <w:sz w:val="18"/>
              </w:rPr>
              <w:t>887</w:t>
            </w:r>
          </w:p>
        </w:tc>
        <w:tc>
          <w:tcPr>
            <w:tcW w:type="dxa" w:w="1360"/>
            <w:tcBorders>
              <w:top w:color="000000" w:sz="4" w:val="single"/>
              <w:left w:color="000000" w:sz="4" w:val="single"/>
              <w:bottom w:color="000000" w:sz="4" w:val="single"/>
              <w:right w:color="000000" w:sz="4" w:val="single"/>
            </w:tcBorders>
            <w:shd w:fill="auto" w:val="clear"/>
            <w:vAlign w:val="bottom"/>
          </w:tcPr>
          <w:p w14:paraId="47440000">
            <w:pPr>
              <w:widowControl w:val="1"/>
              <w:ind/>
              <w:jc w:val="right"/>
              <w:rPr>
                <w:sz w:val="18"/>
              </w:rPr>
            </w:pPr>
            <w:r>
              <w:rPr>
                <w:sz w:val="18"/>
              </w:rPr>
              <w:t>848</w:t>
            </w:r>
          </w:p>
        </w:tc>
        <w:tc>
          <w:tcPr>
            <w:tcW w:type="dxa" w:w="1560"/>
            <w:tcBorders>
              <w:top w:color="000000" w:sz="4" w:val="single"/>
              <w:left w:color="000000" w:sz="4" w:val="single"/>
              <w:bottom w:color="000000" w:sz="4" w:val="single"/>
              <w:right w:color="000000" w:sz="4" w:val="single"/>
            </w:tcBorders>
            <w:shd w:fill="auto" w:val="clear"/>
            <w:vAlign w:val="bottom"/>
          </w:tcPr>
          <w:p w14:paraId="48440000">
            <w:pPr>
              <w:widowControl w:val="1"/>
              <w:ind/>
              <w:jc w:val="right"/>
              <w:rPr>
                <w:sz w:val="18"/>
              </w:rPr>
            </w:pPr>
            <w:r>
              <w:rPr>
                <w:sz w:val="18"/>
              </w:rPr>
              <w:t>39</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49440000">
            <w:pPr>
              <w:rPr>
                <w:sz w:val="18"/>
              </w:rPr>
            </w:pPr>
            <w:r>
              <w:rPr>
                <w:sz w:val="18"/>
              </w:rPr>
              <w:t>СИБТЕКСТИЛЬ ООО</w:t>
            </w:r>
          </w:p>
        </w:tc>
        <w:tc>
          <w:tcPr>
            <w:tcW w:type="dxa" w:w="1520"/>
            <w:tcBorders>
              <w:top w:color="000000" w:sz="4" w:val="single"/>
              <w:left w:color="000000" w:sz="4" w:val="single"/>
              <w:bottom w:color="000000" w:sz="4" w:val="single"/>
              <w:right w:color="000000" w:sz="4" w:val="single"/>
            </w:tcBorders>
            <w:shd w:fill="auto" w:val="clear"/>
            <w:vAlign w:val="bottom"/>
          </w:tcPr>
          <w:p w14:paraId="4A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4B440000">
            <w:pPr>
              <w:widowControl w:val="1"/>
              <w:ind/>
              <w:jc w:val="right"/>
              <w:rPr>
                <w:sz w:val="18"/>
              </w:rPr>
            </w:pPr>
            <w:r>
              <w:rPr>
                <w:sz w:val="18"/>
              </w:rPr>
              <w:t>251</w:t>
            </w:r>
          </w:p>
        </w:tc>
        <w:tc>
          <w:tcPr>
            <w:tcW w:type="dxa" w:w="1360"/>
            <w:tcBorders>
              <w:top w:color="000000" w:sz="4" w:val="single"/>
              <w:left w:color="000000" w:sz="4" w:val="single"/>
              <w:bottom w:color="000000" w:sz="4" w:val="single"/>
              <w:right w:color="000000" w:sz="4" w:val="single"/>
            </w:tcBorders>
            <w:shd w:fill="auto" w:val="clear"/>
            <w:vAlign w:val="bottom"/>
          </w:tcPr>
          <w:p w14:paraId="4C440000">
            <w:pPr>
              <w:widowControl w:val="1"/>
              <w:ind/>
              <w:jc w:val="right"/>
              <w:rPr>
                <w:sz w:val="18"/>
              </w:rPr>
            </w:pPr>
            <w:r>
              <w:rPr>
                <w:sz w:val="18"/>
              </w:rPr>
              <w:t>251</w:t>
            </w:r>
          </w:p>
        </w:tc>
        <w:tc>
          <w:tcPr>
            <w:tcW w:type="dxa" w:w="1560"/>
            <w:tcBorders>
              <w:top w:color="000000" w:sz="4" w:val="single"/>
              <w:left w:color="000000" w:sz="4" w:val="single"/>
              <w:bottom w:color="000000" w:sz="4" w:val="single"/>
              <w:right w:color="000000" w:sz="4" w:val="single"/>
            </w:tcBorders>
            <w:shd w:fill="auto" w:val="clear"/>
            <w:vAlign w:val="bottom"/>
          </w:tcPr>
          <w:p w14:paraId="4D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4E440000">
            <w:pPr>
              <w:rPr>
                <w:sz w:val="18"/>
              </w:rPr>
            </w:pPr>
            <w:r>
              <w:rPr>
                <w:sz w:val="18"/>
              </w:rPr>
              <w:t>СИТИ24 ООО</w:t>
            </w:r>
          </w:p>
        </w:tc>
        <w:tc>
          <w:tcPr>
            <w:tcW w:type="dxa" w:w="1520"/>
            <w:tcBorders>
              <w:top w:color="000000" w:sz="4" w:val="single"/>
              <w:left w:color="000000" w:sz="4" w:val="single"/>
              <w:bottom w:color="000000" w:sz="4" w:val="single"/>
              <w:right w:color="000000" w:sz="4" w:val="single"/>
            </w:tcBorders>
            <w:shd w:fill="auto" w:val="clear"/>
            <w:vAlign w:val="bottom"/>
          </w:tcPr>
          <w:p w14:paraId="4F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50440000">
            <w:pPr>
              <w:widowControl w:val="1"/>
              <w:ind/>
              <w:jc w:val="right"/>
              <w:rPr>
                <w:sz w:val="18"/>
              </w:rPr>
            </w:pPr>
            <w:r>
              <w:rPr>
                <w:sz w:val="18"/>
              </w:rPr>
              <w:t>123</w:t>
            </w:r>
          </w:p>
        </w:tc>
        <w:tc>
          <w:tcPr>
            <w:tcW w:type="dxa" w:w="1360"/>
            <w:tcBorders>
              <w:top w:color="000000" w:sz="4" w:val="single"/>
              <w:left w:color="000000" w:sz="4" w:val="single"/>
              <w:bottom w:color="000000" w:sz="4" w:val="single"/>
              <w:right w:color="000000" w:sz="4" w:val="single"/>
            </w:tcBorders>
            <w:shd w:fill="auto" w:val="clear"/>
            <w:vAlign w:val="bottom"/>
          </w:tcPr>
          <w:p w14:paraId="51440000">
            <w:pPr>
              <w:widowControl w:val="1"/>
              <w:ind/>
              <w:jc w:val="right"/>
              <w:rPr>
                <w:sz w:val="18"/>
              </w:rPr>
            </w:pPr>
            <w:r>
              <w:rPr>
                <w:sz w:val="18"/>
              </w:rPr>
              <w:t>123</w:t>
            </w:r>
          </w:p>
        </w:tc>
        <w:tc>
          <w:tcPr>
            <w:tcW w:type="dxa" w:w="1560"/>
            <w:tcBorders>
              <w:top w:color="000000" w:sz="4" w:val="single"/>
              <w:left w:color="000000" w:sz="4" w:val="single"/>
              <w:bottom w:color="000000" w:sz="4" w:val="single"/>
              <w:right w:color="000000" w:sz="4" w:val="single"/>
            </w:tcBorders>
            <w:shd w:fill="auto" w:val="clear"/>
            <w:vAlign w:val="bottom"/>
          </w:tcPr>
          <w:p w14:paraId="52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53440000">
            <w:pPr>
              <w:rPr>
                <w:sz w:val="18"/>
              </w:rPr>
            </w:pPr>
            <w:r>
              <w:rPr>
                <w:sz w:val="18"/>
              </w:rPr>
              <w:t>СОЛОМОН ООО ЦРД</w:t>
            </w:r>
          </w:p>
        </w:tc>
        <w:tc>
          <w:tcPr>
            <w:tcW w:type="dxa" w:w="1520"/>
            <w:tcBorders>
              <w:top w:color="000000" w:sz="4" w:val="single"/>
              <w:left w:color="000000" w:sz="4" w:val="single"/>
              <w:bottom w:color="000000" w:sz="4" w:val="single"/>
              <w:right w:color="000000" w:sz="4" w:val="single"/>
            </w:tcBorders>
            <w:shd w:fill="auto" w:val="clear"/>
            <w:vAlign w:val="bottom"/>
          </w:tcPr>
          <w:p w14:paraId="54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55440000">
            <w:pPr>
              <w:widowControl w:val="1"/>
              <w:ind/>
              <w:jc w:val="right"/>
              <w:rPr>
                <w:sz w:val="18"/>
              </w:rPr>
            </w:pPr>
            <w:r>
              <w:rPr>
                <w:sz w:val="18"/>
              </w:rPr>
              <w:t>24</w:t>
            </w:r>
          </w:p>
        </w:tc>
        <w:tc>
          <w:tcPr>
            <w:tcW w:type="dxa" w:w="1360"/>
            <w:tcBorders>
              <w:top w:color="000000" w:sz="4" w:val="single"/>
              <w:left w:color="000000" w:sz="4" w:val="single"/>
              <w:bottom w:color="000000" w:sz="4" w:val="single"/>
              <w:right w:color="000000" w:sz="4" w:val="single"/>
            </w:tcBorders>
            <w:shd w:fill="auto" w:val="clear"/>
            <w:vAlign w:val="bottom"/>
          </w:tcPr>
          <w:p w14:paraId="56440000">
            <w:pPr>
              <w:widowControl w:val="1"/>
              <w:ind/>
              <w:jc w:val="right"/>
              <w:rPr>
                <w:sz w:val="18"/>
              </w:rPr>
            </w:pPr>
            <w:r>
              <w:rPr>
                <w:sz w:val="18"/>
              </w:rPr>
              <w:t>24</w:t>
            </w:r>
          </w:p>
        </w:tc>
        <w:tc>
          <w:tcPr>
            <w:tcW w:type="dxa" w:w="1560"/>
            <w:tcBorders>
              <w:top w:color="000000" w:sz="4" w:val="single"/>
              <w:left w:color="000000" w:sz="4" w:val="single"/>
              <w:bottom w:color="000000" w:sz="4" w:val="single"/>
              <w:right w:color="000000" w:sz="4" w:val="single"/>
            </w:tcBorders>
            <w:shd w:fill="auto" w:val="clear"/>
            <w:vAlign w:val="bottom"/>
          </w:tcPr>
          <w:p w14:paraId="57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58440000">
            <w:pPr>
              <w:rPr>
                <w:sz w:val="18"/>
              </w:rPr>
            </w:pPr>
            <w:r>
              <w:rPr>
                <w:sz w:val="18"/>
              </w:rPr>
              <w:t>Солопов Алексей Владимирович</w:t>
            </w:r>
          </w:p>
        </w:tc>
        <w:tc>
          <w:tcPr>
            <w:tcW w:type="dxa" w:w="1520"/>
            <w:tcBorders>
              <w:top w:color="000000" w:sz="4" w:val="single"/>
              <w:left w:color="000000" w:sz="4" w:val="single"/>
              <w:bottom w:color="000000" w:sz="4" w:val="single"/>
              <w:right w:color="000000" w:sz="4" w:val="single"/>
            </w:tcBorders>
            <w:shd w:fill="auto" w:val="clear"/>
            <w:vAlign w:val="bottom"/>
          </w:tcPr>
          <w:p w14:paraId="59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5A440000">
            <w:pPr>
              <w:widowControl w:val="1"/>
              <w:ind/>
              <w:jc w:val="right"/>
              <w:rPr>
                <w:sz w:val="18"/>
              </w:rPr>
            </w:pPr>
            <w:r>
              <w:rPr>
                <w:sz w:val="18"/>
              </w:rPr>
              <w:t>172</w:t>
            </w:r>
          </w:p>
        </w:tc>
        <w:tc>
          <w:tcPr>
            <w:tcW w:type="dxa" w:w="1360"/>
            <w:tcBorders>
              <w:top w:color="000000" w:sz="4" w:val="single"/>
              <w:left w:color="000000" w:sz="4" w:val="single"/>
              <w:bottom w:color="000000" w:sz="4" w:val="single"/>
              <w:right w:color="000000" w:sz="4" w:val="single"/>
            </w:tcBorders>
            <w:shd w:fill="auto" w:val="clear"/>
            <w:vAlign w:val="bottom"/>
          </w:tcPr>
          <w:p w14:paraId="5B440000">
            <w:pPr>
              <w:widowControl w:val="1"/>
              <w:ind/>
              <w:jc w:val="right"/>
              <w:rPr>
                <w:sz w:val="18"/>
              </w:rPr>
            </w:pPr>
            <w:r>
              <w:rPr>
                <w:sz w:val="18"/>
              </w:rPr>
              <w:t>172</w:t>
            </w:r>
          </w:p>
        </w:tc>
        <w:tc>
          <w:tcPr>
            <w:tcW w:type="dxa" w:w="1560"/>
            <w:tcBorders>
              <w:top w:color="000000" w:sz="4" w:val="single"/>
              <w:left w:color="000000" w:sz="4" w:val="single"/>
              <w:bottom w:color="000000" w:sz="4" w:val="single"/>
              <w:right w:color="000000" w:sz="4" w:val="single"/>
            </w:tcBorders>
            <w:shd w:fill="auto" w:val="clear"/>
            <w:vAlign w:val="bottom"/>
          </w:tcPr>
          <w:p w14:paraId="5C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5D440000">
            <w:pPr>
              <w:rPr>
                <w:sz w:val="18"/>
              </w:rPr>
            </w:pPr>
            <w:r>
              <w:rPr>
                <w:sz w:val="18"/>
              </w:rPr>
              <w:t>СТРОЙОТДЕЛ ООО</w:t>
            </w:r>
          </w:p>
        </w:tc>
        <w:tc>
          <w:tcPr>
            <w:tcW w:type="dxa" w:w="1520"/>
            <w:tcBorders>
              <w:top w:color="000000" w:sz="4" w:val="single"/>
              <w:left w:color="000000" w:sz="4" w:val="single"/>
              <w:bottom w:color="000000" w:sz="4" w:val="single"/>
              <w:right w:color="000000" w:sz="4" w:val="single"/>
            </w:tcBorders>
            <w:shd w:fill="auto" w:val="clear"/>
            <w:vAlign w:val="bottom"/>
          </w:tcPr>
          <w:p w14:paraId="5E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5F440000">
            <w:pPr>
              <w:widowControl w:val="1"/>
              <w:ind/>
              <w:jc w:val="right"/>
              <w:rPr>
                <w:sz w:val="18"/>
              </w:rPr>
            </w:pPr>
            <w:r>
              <w:rPr>
                <w:sz w:val="18"/>
              </w:rPr>
              <w:t>156</w:t>
            </w:r>
          </w:p>
        </w:tc>
        <w:tc>
          <w:tcPr>
            <w:tcW w:type="dxa" w:w="1360"/>
            <w:tcBorders>
              <w:top w:color="000000" w:sz="4" w:val="single"/>
              <w:left w:color="000000" w:sz="4" w:val="single"/>
              <w:bottom w:color="000000" w:sz="4" w:val="single"/>
              <w:right w:color="000000" w:sz="4" w:val="single"/>
            </w:tcBorders>
            <w:shd w:fill="auto" w:val="clear"/>
            <w:vAlign w:val="bottom"/>
          </w:tcPr>
          <w:p w14:paraId="60440000">
            <w:pPr>
              <w:widowControl w:val="1"/>
              <w:ind/>
              <w:jc w:val="right"/>
              <w:rPr>
                <w:sz w:val="18"/>
              </w:rPr>
            </w:pPr>
            <w:r>
              <w:rPr>
                <w:sz w:val="18"/>
              </w:rPr>
              <w:t>156</w:t>
            </w:r>
          </w:p>
        </w:tc>
        <w:tc>
          <w:tcPr>
            <w:tcW w:type="dxa" w:w="1560"/>
            <w:tcBorders>
              <w:top w:color="000000" w:sz="4" w:val="single"/>
              <w:left w:color="000000" w:sz="4" w:val="single"/>
              <w:bottom w:color="000000" w:sz="4" w:val="single"/>
              <w:right w:color="000000" w:sz="4" w:val="single"/>
            </w:tcBorders>
            <w:shd w:fill="auto" w:val="clear"/>
            <w:vAlign w:val="bottom"/>
          </w:tcPr>
          <w:p w14:paraId="61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62440000">
            <w:pPr>
              <w:rPr>
                <w:sz w:val="18"/>
              </w:rPr>
            </w:pPr>
            <w:r>
              <w:rPr>
                <w:sz w:val="18"/>
              </w:rPr>
              <w:t>ТЕХНОМАКС-КРАСНОЯРСК ООО</w:t>
            </w:r>
          </w:p>
        </w:tc>
        <w:tc>
          <w:tcPr>
            <w:tcW w:type="dxa" w:w="1520"/>
            <w:tcBorders>
              <w:top w:color="000000" w:sz="4" w:val="single"/>
              <w:left w:color="000000" w:sz="4" w:val="single"/>
              <w:bottom w:color="000000" w:sz="4" w:val="single"/>
              <w:right w:color="000000" w:sz="4" w:val="single"/>
            </w:tcBorders>
            <w:shd w:fill="auto" w:val="clear"/>
            <w:vAlign w:val="bottom"/>
          </w:tcPr>
          <w:p w14:paraId="63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64440000">
            <w:pPr>
              <w:widowControl w:val="1"/>
              <w:ind/>
              <w:jc w:val="right"/>
              <w:rPr>
                <w:sz w:val="18"/>
              </w:rPr>
            </w:pPr>
            <w:r>
              <w:rPr>
                <w:sz w:val="18"/>
              </w:rPr>
              <w:t>740</w:t>
            </w:r>
          </w:p>
        </w:tc>
        <w:tc>
          <w:tcPr>
            <w:tcW w:type="dxa" w:w="1360"/>
            <w:tcBorders>
              <w:top w:color="000000" w:sz="4" w:val="single"/>
              <w:left w:color="000000" w:sz="4" w:val="single"/>
              <w:bottom w:color="000000" w:sz="4" w:val="single"/>
              <w:right w:color="000000" w:sz="4" w:val="single"/>
            </w:tcBorders>
            <w:shd w:fill="auto" w:val="clear"/>
            <w:vAlign w:val="bottom"/>
          </w:tcPr>
          <w:p w14:paraId="65440000">
            <w:pPr>
              <w:widowControl w:val="1"/>
              <w:ind/>
              <w:jc w:val="right"/>
              <w:rPr>
                <w:sz w:val="18"/>
              </w:rPr>
            </w:pPr>
            <w:r>
              <w:rPr>
                <w:sz w:val="18"/>
              </w:rPr>
              <w:t>740</w:t>
            </w:r>
          </w:p>
        </w:tc>
        <w:tc>
          <w:tcPr>
            <w:tcW w:type="dxa" w:w="1560"/>
            <w:tcBorders>
              <w:top w:color="000000" w:sz="4" w:val="single"/>
              <w:left w:color="000000" w:sz="4" w:val="single"/>
              <w:bottom w:color="000000" w:sz="4" w:val="single"/>
              <w:right w:color="000000" w:sz="4" w:val="single"/>
            </w:tcBorders>
            <w:shd w:fill="auto" w:val="clear"/>
            <w:vAlign w:val="bottom"/>
          </w:tcPr>
          <w:p w14:paraId="66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67440000">
            <w:pPr>
              <w:rPr>
                <w:sz w:val="18"/>
              </w:rPr>
            </w:pPr>
            <w:r>
              <w:rPr>
                <w:sz w:val="18"/>
              </w:rPr>
              <w:t>Типография КАСС ООО</w:t>
            </w:r>
          </w:p>
        </w:tc>
        <w:tc>
          <w:tcPr>
            <w:tcW w:type="dxa" w:w="1520"/>
            <w:tcBorders>
              <w:top w:color="000000" w:sz="4" w:val="single"/>
              <w:left w:color="000000" w:sz="4" w:val="single"/>
              <w:bottom w:color="000000" w:sz="4" w:val="single"/>
              <w:right w:color="000000" w:sz="4" w:val="single"/>
            </w:tcBorders>
            <w:shd w:fill="auto" w:val="clear"/>
            <w:vAlign w:val="bottom"/>
          </w:tcPr>
          <w:p w14:paraId="68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69440000">
            <w:pPr>
              <w:widowControl w:val="1"/>
              <w:ind/>
              <w:jc w:val="right"/>
              <w:rPr>
                <w:sz w:val="18"/>
              </w:rPr>
            </w:pPr>
            <w:r>
              <w:rPr>
                <w:sz w:val="18"/>
              </w:rPr>
              <w:t>18</w:t>
            </w:r>
          </w:p>
        </w:tc>
        <w:tc>
          <w:tcPr>
            <w:tcW w:type="dxa" w:w="1360"/>
            <w:tcBorders>
              <w:top w:color="000000" w:sz="4" w:val="single"/>
              <w:left w:color="000000" w:sz="4" w:val="single"/>
              <w:bottom w:color="000000" w:sz="4" w:val="single"/>
              <w:right w:color="000000" w:sz="4" w:val="single"/>
            </w:tcBorders>
            <w:shd w:fill="auto" w:val="clear"/>
            <w:vAlign w:val="bottom"/>
          </w:tcPr>
          <w:p w14:paraId="6A440000">
            <w:pPr>
              <w:widowControl w:val="1"/>
              <w:ind/>
              <w:jc w:val="right"/>
              <w:rPr>
                <w:sz w:val="18"/>
              </w:rPr>
            </w:pPr>
            <w:r>
              <w:rPr>
                <w:sz w:val="18"/>
              </w:rPr>
              <w:t>18</w:t>
            </w:r>
          </w:p>
        </w:tc>
        <w:tc>
          <w:tcPr>
            <w:tcW w:type="dxa" w:w="1560"/>
            <w:tcBorders>
              <w:top w:color="000000" w:sz="4" w:val="single"/>
              <w:left w:color="000000" w:sz="4" w:val="single"/>
              <w:bottom w:color="000000" w:sz="4" w:val="single"/>
              <w:right w:color="000000" w:sz="4" w:val="single"/>
            </w:tcBorders>
            <w:shd w:fill="auto" w:val="clear"/>
            <w:vAlign w:val="bottom"/>
          </w:tcPr>
          <w:p w14:paraId="6B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6C440000">
            <w:pPr>
              <w:rPr>
                <w:sz w:val="18"/>
              </w:rPr>
            </w:pPr>
            <w:r>
              <w:rPr>
                <w:sz w:val="18"/>
              </w:rPr>
              <w:t>ТОНЕР24 ООО</w:t>
            </w:r>
          </w:p>
        </w:tc>
        <w:tc>
          <w:tcPr>
            <w:tcW w:type="dxa" w:w="1520"/>
            <w:tcBorders>
              <w:top w:color="000000" w:sz="4" w:val="single"/>
              <w:left w:color="000000" w:sz="4" w:val="single"/>
              <w:bottom w:color="000000" w:sz="4" w:val="single"/>
              <w:right w:color="000000" w:sz="4" w:val="single"/>
            </w:tcBorders>
            <w:shd w:fill="auto" w:val="clear"/>
            <w:vAlign w:val="bottom"/>
          </w:tcPr>
          <w:p w14:paraId="6D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6E440000">
            <w:pPr>
              <w:widowControl w:val="1"/>
              <w:ind/>
              <w:jc w:val="right"/>
              <w:rPr>
                <w:sz w:val="18"/>
              </w:rPr>
            </w:pPr>
            <w:r>
              <w:rPr>
                <w:sz w:val="18"/>
              </w:rPr>
              <w:t>1</w:t>
            </w:r>
          </w:p>
        </w:tc>
        <w:tc>
          <w:tcPr>
            <w:tcW w:type="dxa" w:w="1360"/>
            <w:tcBorders>
              <w:top w:color="000000" w:sz="4" w:val="single"/>
              <w:left w:color="000000" w:sz="4" w:val="single"/>
              <w:bottom w:color="000000" w:sz="4" w:val="single"/>
              <w:right w:color="000000" w:sz="4" w:val="single"/>
            </w:tcBorders>
            <w:shd w:fill="auto" w:val="clear"/>
            <w:vAlign w:val="bottom"/>
          </w:tcPr>
          <w:p w14:paraId="6F440000">
            <w:pPr>
              <w:widowControl w:val="1"/>
              <w:ind/>
              <w:jc w:val="right"/>
              <w:rPr>
                <w:sz w:val="18"/>
              </w:rPr>
            </w:pPr>
            <w:r>
              <w:rPr>
                <w:sz w:val="18"/>
              </w:rPr>
              <w:t>1</w:t>
            </w:r>
          </w:p>
        </w:tc>
        <w:tc>
          <w:tcPr>
            <w:tcW w:type="dxa" w:w="1560"/>
            <w:tcBorders>
              <w:top w:color="000000" w:sz="4" w:val="single"/>
              <w:left w:color="000000" w:sz="4" w:val="single"/>
              <w:bottom w:color="000000" w:sz="4" w:val="single"/>
              <w:right w:color="000000" w:sz="4" w:val="single"/>
            </w:tcBorders>
            <w:shd w:fill="auto" w:val="clear"/>
            <w:vAlign w:val="bottom"/>
          </w:tcPr>
          <w:p w14:paraId="70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71440000">
            <w:pPr>
              <w:rPr>
                <w:sz w:val="18"/>
              </w:rPr>
            </w:pPr>
            <w:r>
              <w:rPr>
                <w:sz w:val="18"/>
              </w:rPr>
              <w:t>Торгашев Сергей Евгеньевич</w:t>
            </w:r>
          </w:p>
        </w:tc>
        <w:tc>
          <w:tcPr>
            <w:tcW w:type="dxa" w:w="1520"/>
            <w:tcBorders>
              <w:top w:color="000000" w:sz="4" w:val="single"/>
              <w:left w:color="000000" w:sz="4" w:val="single"/>
              <w:bottom w:color="000000" w:sz="4" w:val="single"/>
              <w:right w:color="000000" w:sz="4" w:val="single"/>
            </w:tcBorders>
            <w:shd w:fill="auto" w:val="clear"/>
            <w:vAlign w:val="bottom"/>
          </w:tcPr>
          <w:p w14:paraId="72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73440000">
            <w:pPr>
              <w:widowControl w:val="1"/>
              <w:ind/>
              <w:jc w:val="right"/>
              <w:rPr>
                <w:sz w:val="18"/>
              </w:rPr>
            </w:pPr>
            <w:r>
              <w:rPr>
                <w:sz w:val="18"/>
              </w:rPr>
              <w:t>276</w:t>
            </w:r>
          </w:p>
        </w:tc>
        <w:tc>
          <w:tcPr>
            <w:tcW w:type="dxa" w:w="1360"/>
            <w:tcBorders>
              <w:top w:color="000000" w:sz="4" w:val="single"/>
              <w:left w:color="000000" w:sz="4" w:val="single"/>
              <w:bottom w:color="000000" w:sz="4" w:val="single"/>
              <w:right w:color="000000" w:sz="4" w:val="single"/>
            </w:tcBorders>
            <w:shd w:fill="auto" w:val="clear"/>
            <w:vAlign w:val="bottom"/>
          </w:tcPr>
          <w:p w14:paraId="74440000">
            <w:pPr>
              <w:widowControl w:val="1"/>
              <w:ind/>
              <w:jc w:val="right"/>
              <w:rPr>
                <w:sz w:val="18"/>
              </w:rPr>
            </w:pPr>
            <w:r>
              <w:rPr>
                <w:sz w:val="18"/>
              </w:rPr>
              <w:t>276</w:t>
            </w:r>
          </w:p>
        </w:tc>
        <w:tc>
          <w:tcPr>
            <w:tcW w:type="dxa" w:w="1560"/>
            <w:tcBorders>
              <w:top w:color="000000" w:sz="4" w:val="single"/>
              <w:left w:color="000000" w:sz="4" w:val="single"/>
              <w:bottom w:color="000000" w:sz="4" w:val="single"/>
              <w:right w:color="000000" w:sz="4" w:val="single"/>
            </w:tcBorders>
            <w:shd w:fill="auto" w:val="clear"/>
            <w:vAlign w:val="bottom"/>
          </w:tcPr>
          <w:p w14:paraId="75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76440000">
            <w:pPr>
              <w:rPr>
                <w:sz w:val="18"/>
              </w:rPr>
            </w:pPr>
            <w:r>
              <w:rPr>
                <w:sz w:val="18"/>
              </w:rPr>
              <w:t>ТРАНСРЕМКОМ ООО</w:t>
            </w:r>
          </w:p>
        </w:tc>
        <w:tc>
          <w:tcPr>
            <w:tcW w:type="dxa" w:w="1520"/>
            <w:tcBorders>
              <w:top w:color="000000" w:sz="4" w:val="single"/>
              <w:left w:color="000000" w:sz="4" w:val="single"/>
              <w:bottom w:color="000000" w:sz="4" w:val="single"/>
              <w:right w:color="000000" w:sz="4" w:val="single"/>
            </w:tcBorders>
            <w:shd w:fill="auto" w:val="clear"/>
            <w:vAlign w:val="bottom"/>
          </w:tcPr>
          <w:p w14:paraId="77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78440000">
            <w:pPr>
              <w:widowControl w:val="1"/>
              <w:ind/>
              <w:jc w:val="right"/>
              <w:rPr>
                <w:sz w:val="18"/>
              </w:rPr>
            </w:pPr>
            <w:r>
              <w:rPr>
                <w:sz w:val="18"/>
              </w:rPr>
              <w:t>52</w:t>
            </w:r>
          </w:p>
        </w:tc>
        <w:tc>
          <w:tcPr>
            <w:tcW w:type="dxa" w:w="1360"/>
            <w:tcBorders>
              <w:top w:color="000000" w:sz="4" w:val="single"/>
              <w:left w:color="000000" w:sz="4" w:val="single"/>
              <w:bottom w:color="000000" w:sz="4" w:val="single"/>
              <w:right w:color="000000" w:sz="4" w:val="single"/>
            </w:tcBorders>
            <w:shd w:fill="auto" w:val="clear"/>
            <w:vAlign w:val="bottom"/>
          </w:tcPr>
          <w:p w14:paraId="79440000">
            <w:pPr>
              <w:widowControl w:val="1"/>
              <w:ind/>
              <w:jc w:val="right"/>
              <w:rPr>
                <w:sz w:val="18"/>
              </w:rPr>
            </w:pPr>
            <w:r>
              <w:rPr>
                <w:sz w:val="18"/>
              </w:rPr>
              <w:t>52</w:t>
            </w:r>
          </w:p>
        </w:tc>
        <w:tc>
          <w:tcPr>
            <w:tcW w:type="dxa" w:w="1560"/>
            <w:tcBorders>
              <w:top w:color="000000" w:sz="4" w:val="single"/>
              <w:left w:color="000000" w:sz="4" w:val="single"/>
              <w:bottom w:color="000000" w:sz="4" w:val="single"/>
              <w:right w:color="000000" w:sz="4" w:val="single"/>
            </w:tcBorders>
            <w:shd w:fill="auto" w:val="clear"/>
            <w:vAlign w:val="bottom"/>
          </w:tcPr>
          <w:p w14:paraId="7A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7B440000">
            <w:pPr>
              <w:rPr>
                <w:sz w:val="18"/>
              </w:rPr>
            </w:pPr>
            <w:r>
              <w:rPr>
                <w:sz w:val="18"/>
              </w:rPr>
              <w:t>Трунина Татьяна Федоровна Красноярский край, г. Минусинск, М.Горького, д.30 ИП</w:t>
            </w:r>
          </w:p>
        </w:tc>
        <w:tc>
          <w:tcPr>
            <w:tcW w:type="dxa" w:w="1520"/>
            <w:tcBorders>
              <w:top w:color="000000" w:sz="4" w:val="single"/>
              <w:left w:color="000000" w:sz="4" w:val="single"/>
              <w:bottom w:color="000000" w:sz="4" w:val="single"/>
              <w:right w:color="000000" w:sz="4" w:val="single"/>
            </w:tcBorders>
            <w:shd w:fill="auto" w:val="clear"/>
            <w:vAlign w:val="bottom"/>
          </w:tcPr>
          <w:p w14:paraId="7C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7D440000">
            <w:pPr>
              <w:widowControl w:val="1"/>
              <w:ind/>
              <w:jc w:val="right"/>
              <w:rPr>
                <w:sz w:val="18"/>
              </w:rPr>
            </w:pPr>
            <w:r>
              <w:rPr>
                <w:sz w:val="18"/>
              </w:rPr>
              <w:t>48</w:t>
            </w:r>
          </w:p>
        </w:tc>
        <w:tc>
          <w:tcPr>
            <w:tcW w:type="dxa" w:w="1360"/>
            <w:tcBorders>
              <w:top w:color="000000" w:sz="4" w:val="single"/>
              <w:left w:color="000000" w:sz="4" w:val="single"/>
              <w:bottom w:color="000000" w:sz="4" w:val="single"/>
              <w:right w:color="000000" w:sz="4" w:val="single"/>
            </w:tcBorders>
            <w:shd w:fill="auto" w:val="clear"/>
            <w:vAlign w:val="bottom"/>
          </w:tcPr>
          <w:p w14:paraId="7E440000">
            <w:pPr>
              <w:widowControl w:val="1"/>
              <w:ind/>
              <w:jc w:val="right"/>
              <w:rPr>
                <w:sz w:val="18"/>
              </w:rPr>
            </w:pPr>
            <w:r>
              <w:rPr>
                <w:sz w:val="18"/>
              </w:rPr>
              <w:t>24</w:t>
            </w:r>
          </w:p>
        </w:tc>
        <w:tc>
          <w:tcPr>
            <w:tcW w:type="dxa" w:w="1560"/>
            <w:tcBorders>
              <w:top w:color="000000" w:sz="4" w:val="single"/>
              <w:left w:color="000000" w:sz="4" w:val="single"/>
              <w:bottom w:color="000000" w:sz="4" w:val="single"/>
              <w:right w:color="000000" w:sz="4" w:val="single"/>
            </w:tcBorders>
            <w:shd w:fill="auto" w:val="clear"/>
            <w:vAlign w:val="bottom"/>
          </w:tcPr>
          <w:p w14:paraId="7F440000">
            <w:pPr>
              <w:widowControl w:val="1"/>
              <w:ind/>
              <w:jc w:val="right"/>
              <w:rPr>
                <w:sz w:val="18"/>
              </w:rPr>
            </w:pPr>
            <w:r>
              <w:rPr>
                <w:sz w:val="18"/>
              </w:rPr>
              <w:t>24</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80440000">
            <w:pPr>
              <w:rPr>
                <w:sz w:val="18"/>
              </w:rPr>
            </w:pPr>
            <w:r>
              <w:rPr>
                <w:sz w:val="18"/>
              </w:rPr>
              <w:t>УВО ВНГ РОССИИ ПО КРАСНОЯРСКОМУ КРАЮ ФГКУ (Ачинск)</w:t>
            </w:r>
          </w:p>
        </w:tc>
        <w:tc>
          <w:tcPr>
            <w:tcW w:type="dxa" w:w="1520"/>
            <w:tcBorders>
              <w:top w:color="000000" w:sz="4" w:val="single"/>
              <w:left w:color="000000" w:sz="4" w:val="single"/>
              <w:bottom w:color="000000" w:sz="4" w:val="single"/>
              <w:right w:color="000000" w:sz="4" w:val="single"/>
            </w:tcBorders>
            <w:shd w:fill="auto" w:val="clear"/>
            <w:vAlign w:val="bottom"/>
          </w:tcPr>
          <w:p w14:paraId="81440000">
            <w:pPr>
              <w:widowControl w:val="1"/>
              <w:ind/>
              <w:jc w:val="right"/>
              <w:rPr>
                <w:sz w:val="18"/>
              </w:rPr>
            </w:pPr>
            <w:r>
              <w:rPr>
                <w:sz w:val="18"/>
              </w:rPr>
              <w:t>2</w:t>
            </w:r>
          </w:p>
        </w:tc>
        <w:tc>
          <w:tcPr>
            <w:tcW w:type="dxa" w:w="1360"/>
            <w:tcBorders>
              <w:top w:color="000000" w:sz="4" w:val="single"/>
              <w:left w:color="000000" w:sz="4" w:val="single"/>
              <w:bottom w:color="000000" w:sz="4" w:val="single"/>
              <w:right w:color="000000" w:sz="4" w:val="single"/>
            </w:tcBorders>
            <w:shd w:fill="auto" w:val="clear"/>
            <w:vAlign w:val="bottom"/>
          </w:tcPr>
          <w:p w14:paraId="82440000">
            <w:pPr>
              <w:widowControl w:val="1"/>
              <w:ind/>
              <w:jc w:val="right"/>
              <w:rPr>
                <w:sz w:val="18"/>
              </w:rPr>
            </w:pPr>
            <w:r>
              <w:rPr>
                <w:sz w:val="18"/>
              </w:rPr>
              <w:t>28</w:t>
            </w:r>
          </w:p>
        </w:tc>
        <w:tc>
          <w:tcPr>
            <w:tcW w:type="dxa" w:w="1360"/>
            <w:tcBorders>
              <w:top w:color="000000" w:sz="4" w:val="single"/>
              <w:left w:color="000000" w:sz="4" w:val="single"/>
              <w:bottom w:color="000000" w:sz="4" w:val="single"/>
              <w:right w:color="000000" w:sz="4" w:val="single"/>
            </w:tcBorders>
            <w:shd w:fill="auto" w:val="clear"/>
            <w:vAlign w:val="bottom"/>
          </w:tcPr>
          <w:p w14:paraId="83440000">
            <w:pPr>
              <w:widowControl w:val="1"/>
              <w:ind/>
              <w:jc w:val="right"/>
              <w:rPr>
                <w:sz w:val="18"/>
              </w:rPr>
            </w:pPr>
            <w:r>
              <w:rPr>
                <w:sz w:val="18"/>
              </w:rPr>
              <w:t>28</w:t>
            </w:r>
          </w:p>
        </w:tc>
        <w:tc>
          <w:tcPr>
            <w:tcW w:type="dxa" w:w="1560"/>
            <w:tcBorders>
              <w:top w:color="000000" w:sz="4" w:val="single"/>
              <w:left w:color="000000" w:sz="4" w:val="single"/>
              <w:bottom w:color="000000" w:sz="4" w:val="single"/>
              <w:right w:color="000000" w:sz="4" w:val="single"/>
            </w:tcBorders>
            <w:shd w:fill="auto" w:val="clear"/>
            <w:vAlign w:val="bottom"/>
          </w:tcPr>
          <w:p w14:paraId="84440000">
            <w:pPr>
              <w:widowControl w:val="1"/>
              <w:ind/>
              <w:jc w:val="right"/>
              <w:rPr>
                <w:sz w:val="18"/>
              </w:rPr>
            </w:pPr>
            <w:r>
              <w:rPr>
                <w:sz w:val="18"/>
              </w:rPr>
              <w:t>2</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85440000">
            <w:pPr>
              <w:rPr>
                <w:sz w:val="18"/>
              </w:rPr>
            </w:pPr>
            <w:r>
              <w:rPr>
                <w:sz w:val="18"/>
              </w:rPr>
              <w:t>УВО ВНГ РОССИИ ПО КРАСНОЯРСКОМУ КРАЮ ФГКУ (Дивногорск)</w:t>
            </w:r>
          </w:p>
        </w:tc>
        <w:tc>
          <w:tcPr>
            <w:tcW w:type="dxa" w:w="1520"/>
            <w:tcBorders>
              <w:top w:color="000000" w:sz="4" w:val="single"/>
              <w:left w:color="000000" w:sz="4" w:val="single"/>
              <w:bottom w:color="000000" w:sz="4" w:val="single"/>
              <w:right w:color="000000" w:sz="4" w:val="single"/>
            </w:tcBorders>
            <w:shd w:fill="auto" w:val="clear"/>
            <w:vAlign w:val="bottom"/>
          </w:tcPr>
          <w:p w14:paraId="86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87440000">
            <w:pPr>
              <w:widowControl w:val="1"/>
              <w:ind/>
              <w:jc w:val="right"/>
              <w:rPr>
                <w:sz w:val="18"/>
              </w:rPr>
            </w:pPr>
            <w:r>
              <w:rPr>
                <w:sz w:val="18"/>
              </w:rPr>
              <w:t>10</w:t>
            </w:r>
          </w:p>
        </w:tc>
        <w:tc>
          <w:tcPr>
            <w:tcW w:type="dxa" w:w="1360"/>
            <w:tcBorders>
              <w:top w:color="000000" w:sz="4" w:val="single"/>
              <w:left w:color="000000" w:sz="4" w:val="single"/>
              <w:bottom w:color="000000" w:sz="4" w:val="single"/>
              <w:right w:color="000000" w:sz="4" w:val="single"/>
            </w:tcBorders>
            <w:shd w:fill="auto" w:val="clear"/>
            <w:vAlign w:val="bottom"/>
          </w:tcPr>
          <w:p w14:paraId="88440000">
            <w:pPr>
              <w:widowControl w:val="1"/>
              <w:ind/>
              <w:jc w:val="right"/>
              <w:rPr>
                <w:sz w:val="18"/>
              </w:rPr>
            </w:pPr>
            <w:r>
              <w:rPr>
                <w:sz w:val="18"/>
              </w:rPr>
              <w:t>6</w:t>
            </w:r>
          </w:p>
        </w:tc>
        <w:tc>
          <w:tcPr>
            <w:tcW w:type="dxa" w:w="1560"/>
            <w:tcBorders>
              <w:top w:color="000000" w:sz="4" w:val="single"/>
              <w:left w:color="000000" w:sz="4" w:val="single"/>
              <w:bottom w:color="000000" w:sz="4" w:val="single"/>
              <w:right w:color="000000" w:sz="4" w:val="single"/>
            </w:tcBorders>
            <w:shd w:fill="auto" w:val="clear"/>
            <w:vAlign w:val="bottom"/>
          </w:tcPr>
          <w:p w14:paraId="89440000">
            <w:pPr>
              <w:widowControl w:val="1"/>
              <w:ind/>
              <w:jc w:val="right"/>
              <w:rPr>
                <w:sz w:val="18"/>
              </w:rPr>
            </w:pPr>
            <w:r>
              <w:rPr>
                <w:sz w:val="18"/>
              </w:rPr>
              <w:t>4</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8A440000">
            <w:pPr>
              <w:rPr>
                <w:sz w:val="18"/>
              </w:rPr>
            </w:pPr>
            <w:r>
              <w:rPr>
                <w:sz w:val="18"/>
              </w:rPr>
              <w:t>УниФирма ООО</w:t>
            </w:r>
          </w:p>
        </w:tc>
        <w:tc>
          <w:tcPr>
            <w:tcW w:type="dxa" w:w="1520"/>
            <w:tcBorders>
              <w:top w:color="000000" w:sz="4" w:val="single"/>
              <w:left w:color="000000" w:sz="4" w:val="single"/>
              <w:bottom w:color="000000" w:sz="4" w:val="single"/>
              <w:right w:color="000000" w:sz="4" w:val="single"/>
            </w:tcBorders>
            <w:shd w:fill="auto" w:val="clear"/>
            <w:vAlign w:val="bottom"/>
          </w:tcPr>
          <w:p w14:paraId="8B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8C440000">
            <w:pPr>
              <w:widowControl w:val="1"/>
              <w:ind/>
              <w:jc w:val="right"/>
              <w:rPr>
                <w:sz w:val="18"/>
              </w:rPr>
            </w:pPr>
            <w:r>
              <w:rPr>
                <w:sz w:val="18"/>
              </w:rPr>
              <w:t>46</w:t>
            </w:r>
          </w:p>
        </w:tc>
        <w:tc>
          <w:tcPr>
            <w:tcW w:type="dxa" w:w="1360"/>
            <w:tcBorders>
              <w:top w:color="000000" w:sz="4" w:val="single"/>
              <w:left w:color="000000" w:sz="4" w:val="single"/>
              <w:bottom w:color="000000" w:sz="4" w:val="single"/>
              <w:right w:color="000000" w:sz="4" w:val="single"/>
            </w:tcBorders>
            <w:shd w:fill="auto" w:val="clear"/>
            <w:vAlign w:val="bottom"/>
          </w:tcPr>
          <w:p w14:paraId="8D440000">
            <w:pPr>
              <w:widowControl w:val="1"/>
              <w:ind/>
              <w:jc w:val="right"/>
              <w:rPr>
                <w:sz w:val="18"/>
              </w:rPr>
            </w:pPr>
            <w:r>
              <w:rPr>
                <w:sz w:val="18"/>
              </w:rPr>
              <w:t>46</w:t>
            </w:r>
          </w:p>
        </w:tc>
        <w:tc>
          <w:tcPr>
            <w:tcW w:type="dxa" w:w="1560"/>
            <w:tcBorders>
              <w:top w:color="000000" w:sz="4" w:val="single"/>
              <w:left w:color="000000" w:sz="4" w:val="single"/>
              <w:bottom w:color="000000" w:sz="4" w:val="single"/>
              <w:right w:color="000000" w:sz="4" w:val="single"/>
            </w:tcBorders>
            <w:shd w:fill="auto" w:val="clear"/>
            <w:vAlign w:val="bottom"/>
          </w:tcPr>
          <w:p w14:paraId="8E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8F440000">
            <w:pPr>
              <w:rPr>
                <w:sz w:val="18"/>
              </w:rPr>
            </w:pPr>
            <w:r>
              <w:rPr>
                <w:sz w:val="18"/>
              </w:rPr>
              <w:t>ФГБОУ ВО ИРГУПС</w:t>
            </w:r>
          </w:p>
        </w:tc>
        <w:tc>
          <w:tcPr>
            <w:tcW w:type="dxa" w:w="1520"/>
            <w:tcBorders>
              <w:top w:color="000000" w:sz="4" w:val="single"/>
              <w:left w:color="000000" w:sz="4" w:val="single"/>
              <w:bottom w:color="000000" w:sz="4" w:val="single"/>
              <w:right w:color="000000" w:sz="4" w:val="single"/>
            </w:tcBorders>
            <w:shd w:fill="auto" w:val="clear"/>
            <w:vAlign w:val="bottom"/>
          </w:tcPr>
          <w:p w14:paraId="90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91440000">
            <w:pPr>
              <w:widowControl w:val="1"/>
              <w:ind/>
              <w:jc w:val="right"/>
              <w:rPr>
                <w:sz w:val="18"/>
              </w:rPr>
            </w:pPr>
            <w:r>
              <w:rPr>
                <w:sz w:val="18"/>
              </w:rPr>
              <w:t>7</w:t>
            </w:r>
          </w:p>
        </w:tc>
        <w:tc>
          <w:tcPr>
            <w:tcW w:type="dxa" w:w="1360"/>
            <w:tcBorders>
              <w:top w:color="000000" w:sz="4" w:val="single"/>
              <w:left w:color="000000" w:sz="4" w:val="single"/>
              <w:bottom w:color="000000" w:sz="4" w:val="single"/>
              <w:right w:color="000000" w:sz="4" w:val="single"/>
            </w:tcBorders>
            <w:shd w:fill="auto" w:val="clear"/>
            <w:vAlign w:val="bottom"/>
          </w:tcPr>
          <w:p w14:paraId="92440000">
            <w:pPr>
              <w:widowControl w:val="1"/>
              <w:ind/>
              <w:jc w:val="right"/>
              <w:rPr>
                <w:sz w:val="18"/>
              </w:rPr>
            </w:pPr>
            <w:r>
              <w:rPr>
                <w:sz w:val="18"/>
              </w:rPr>
              <w:t>7</w:t>
            </w:r>
          </w:p>
        </w:tc>
        <w:tc>
          <w:tcPr>
            <w:tcW w:type="dxa" w:w="1560"/>
            <w:tcBorders>
              <w:top w:color="000000" w:sz="4" w:val="single"/>
              <w:left w:color="000000" w:sz="4" w:val="single"/>
              <w:bottom w:color="000000" w:sz="4" w:val="single"/>
              <w:right w:color="000000" w:sz="4" w:val="single"/>
            </w:tcBorders>
            <w:shd w:fill="auto" w:val="clear"/>
            <w:vAlign w:val="bottom"/>
          </w:tcPr>
          <w:p w14:paraId="93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94440000">
            <w:pPr>
              <w:rPr>
                <w:sz w:val="18"/>
              </w:rPr>
            </w:pPr>
            <w:r>
              <w:rPr>
                <w:sz w:val="18"/>
              </w:rPr>
              <w:t>ФГП ВО ЖДТ РОССИИ</w:t>
            </w:r>
          </w:p>
        </w:tc>
        <w:tc>
          <w:tcPr>
            <w:tcW w:type="dxa" w:w="1520"/>
            <w:tcBorders>
              <w:top w:color="000000" w:sz="4" w:val="single"/>
              <w:left w:color="000000" w:sz="4" w:val="single"/>
              <w:bottom w:color="000000" w:sz="4" w:val="single"/>
              <w:right w:color="000000" w:sz="4" w:val="single"/>
            </w:tcBorders>
            <w:shd w:fill="auto" w:val="clear"/>
            <w:vAlign w:val="bottom"/>
          </w:tcPr>
          <w:p w14:paraId="95440000">
            <w:pPr>
              <w:widowControl w:val="1"/>
              <w:ind/>
              <w:jc w:val="right"/>
              <w:rPr>
                <w:sz w:val="18"/>
              </w:rPr>
            </w:pPr>
            <w:r>
              <w:rPr>
                <w:sz w:val="18"/>
              </w:rPr>
              <w:t>38</w:t>
            </w:r>
          </w:p>
        </w:tc>
        <w:tc>
          <w:tcPr>
            <w:tcW w:type="dxa" w:w="1360"/>
            <w:tcBorders>
              <w:top w:color="000000" w:sz="4" w:val="single"/>
              <w:left w:color="000000" w:sz="4" w:val="single"/>
              <w:bottom w:color="000000" w:sz="4" w:val="single"/>
              <w:right w:color="000000" w:sz="4" w:val="single"/>
            </w:tcBorders>
            <w:shd w:fill="auto" w:val="clear"/>
            <w:vAlign w:val="bottom"/>
          </w:tcPr>
          <w:p w14:paraId="96440000">
            <w:pPr>
              <w:widowControl w:val="1"/>
              <w:ind/>
              <w:jc w:val="right"/>
              <w:rPr>
                <w:sz w:val="18"/>
              </w:rPr>
            </w:pPr>
            <w:r>
              <w:rPr>
                <w:sz w:val="18"/>
              </w:rPr>
              <w:t>470</w:t>
            </w:r>
          </w:p>
        </w:tc>
        <w:tc>
          <w:tcPr>
            <w:tcW w:type="dxa" w:w="1360"/>
            <w:tcBorders>
              <w:top w:color="000000" w:sz="4" w:val="single"/>
              <w:left w:color="000000" w:sz="4" w:val="single"/>
              <w:bottom w:color="000000" w:sz="4" w:val="single"/>
              <w:right w:color="000000" w:sz="4" w:val="single"/>
            </w:tcBorders>
            <w:shd w:fill="auto" w:val="clear"/>
            <w:vAlign w:val="bottom"/>
          </w:tcPr>
          <w:p w14:paraId="97440000">
            <w:pPr>
              <w:widowControl w:val="1"/>
              <w:ind/>
              <w:jc w:val="right"/>
              <w:rPr>
                <w:sz w:val="18"/>
              </w:rPr>
            </w:pPr>
            <w:r>
              <w:rPr>
                <w:sz w:val="18"/>
              </w:rPr>
              <w:t>470</w:t>
            </w:r>
          </w:p>
        </w:tc>
        <w:tc>
          <w:tcPr>
            <w:tcW w:type="dxa" w:w="1560"/>
            <w:tcBorders>
              <w:top w:color="000000" w:sz="4" w:val="single"/>
              <w:left w:color="000000" w:sz="4" w:val="single"/>
              <w:bottom w:color="000000" w:sz="4" w:val="single"/>
              <w:right w:color="000000" w:sz="4" w:val="single"/>
            </w:tcBorders>
            <w:shd w:fill="auto" w:val="clear"/>
            <w:vAlign w:val="bottom"/>
          </w:tcPr>
          <w:p w14:paraId="98440000">
            <w:pPr>
              <w:widowControl w:val="1"/>
              <w:ind/>
              <w:jc w:val="right"/>
              <w:rPr>
                <w:sz w:val="18"/>
              </w:rPr>
            </w:pPr>
            <w:r>
              <w:rPr>
                <w:sz w:val="18"/>
              </w:rPr>
              <w:t>38</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99440000">
            <w:pPr>
              <w:rPr>
                <w:sz w:val="18"/>
              </w:rPr>
            </w:pPr>
            <w:r>
              <w:rPr>
                <w:sz w:val="18"/>
              </w:rPr>
              <w:t>Филаткин Андрей Николаевич ИП</w:t>
            </w:r>
          </w:p>
        </w:tc>
        <w:tc>
          <w:tcPr>
            <w:tcW w:type="dxa" w:w="1520"/>
            <w:tcBorders>
              <w:top w:color="000000" w:sz="4" w:val="single"/>
              <w:left w:color="000000" w:sz="4" w:val="single"/>
              <w:bottom w:color="000000" w:sz="4" w:val="single"/>
              <w:right w:color="000000" w:sz="4" w:val="single"/>
            </w:tcBorders>
            <w:shd w:fill="auto" w:val="clear"/>
            <w:vAlign w:val="bottom"/>
          </w:tcPr>
          <w:p w14:paraId="9A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9B440000">
            <w:pPr>
              <w:widowControl w:val="1"/>
              <w:ind/>
              <w:jc w:val="right"/>
              <w:rPr>
                <w:sz w:val="18"/>
              </w:rPr>
            </w:pPr>
            <w:r>
              <w:rPr>
                <w:sz w:val="18"/>
              </w:rPr>
              <w:t>37</w:t>
            </w:r>
          </w:p>
        </w:tc>
        <w:tc>
          <w:tcPr>
            <w:tcW w:type="dxa" w:w="1360"/>
            <w:tcBorders>
              <w:top w:color="000000" w:sz="4" w:val="single"/>
              <w:left w:color="000000" w:sz="4" w:val="single"/>
              <w:bottom w:color="000000" w:sz="4" w:val="single"/>
              <w:right w:color="000000" w:sz="4" w:val="single"/>
            </w:tcBorders>
            <w:shd w:fill="auto" w:val="clear"/>
            <w:vAlign w:val="bottom"/>
          </w:tcPr>
          <w:p w14:paraId="9C440000">
            <w:pPr>
              <w:widowControl w:val="1"/>
              <w:ind/>
              <w:jc w:val="right"/>
              <w:rPr>
                <w:sz w:val="18"/>
              </w:rPr>
            </w:pPr>
            <w:r>
              <w:rPr>
                <w:sz w:val="18"/>
              </w:rPr>
              <w:t>37</w:t>
            </w:r>
          </w:p>
        </w:tc>
        <w:tc>
          <w:tcPr>
            <w:tcW w:type="dxa" w:w="1560"/>
            <w:tcBorders>
              <w:top w:color="000000" w:sz="4" w:val="single"/>
              <w:left w:color="000000" w:sz="4" w:val="single"/>
              <w:bottom w:color="000000" w:sz="4" w:val="single"/>
              <w:right w:color="000000" w:sz="4" w:val="single"/>
            </w:tcBorders>
            <w:shd w:fill="auto" w:val="clear"/>
            <w:vAlign w:val="bottom"/>
          </w:tcPr>
          <w:p w14:paraId="9D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9E440000">
            <w:pPr>
              <w:rPr>
                <w:sz w:val="18"/>
              </w:rPr>
            </w:pPr>
            <w:r>
              <w:rPr>
                <w:sz w:val="18"/>
              </w:rPr>
              <w:t>Филиал Банка ВТБ (ПАО) в г. Красноярске</w:t>
            </w:r>
          </w:p>
        </w:tc>
        <w:tc>
          <w:tcPr>
            <w:tcW w:type="dxa" w:w="1520"/>
            <w:tcBorders>
              <w:top w:color="000000" w:sz="4" w:val="single"/>
              <w:left w:color="000000" w:sz="4" w:val="single"/>
              <w:bottom w:color="000000" w:sz="4" w:val="single"/>
              <w:right w:color="000000" w:sz="4" w:val="single"/>
            </w:tcBorders>
            <w:shd w:fill="auto" w:val="clear"/>
            <w:vAlign w:val="bottom"/>
          </w:tcPr>
          <w:p w14:paraId="9F440000">
            <w:pPr>
              <w:widowControl w:val="1"/>
              <w:ind/>
              <w:jc w:val="right"/>
              <w:rPr>
                <w:sz w:val="18"/>
              </w:rPr>
            </w:pPr>
            <w:r>
              <w:rPr>
                <w:sz w:val="18"/>
              </w:rPr>
              <w:t>1</w:t>
            </w:r>
          </w:p>
        </w:tc>
        <w:tc>
          <w:tcPr>
            <w:tcW w:type="dxa" w:w="1360"/>
            <w:tcBorders>
              <w:top w:color="000000" w:sz="4" w:val="single"/>
              <w:left w:color="000000" w:sz="4" w:val="single"/>
              <w:bottom w:color="000000" w:sz="4" w:val="single"/>
              <w:right w:color="000000" w:sz="4" w:val="single"/>
            </w:tcBorders>
            <w:shd w:fill="auto" w:val="clear"/>
            <w:vAlign w:val="bottom"/>
          </w:tcPr>
          <w:p w14:paraId="A0440000">
            <w:pPr>
              <w:widowControl w:val="1"/>
              <w:ind/>
              <w:jc w:val="right"/>
              <w:rPr>
                <w:sz w:val="18"/>
              </w:rPr>
            </w:pPr>
            <w:r>
              <w:rPr>
                <w:sz w:val="18"/>
              </w:rPr>
              <w:t>5</w:t>
            </w:r>
          </w:p>
        </w:tc>
        <w:tc>
          <w:tcPr>
            <w:tcW w:type="dxa" w:w="1360"/>
            <w:tcBorders>
              <w:top w:color="000000" w:sz="4" w:val="single"/>
              <w:left w:color="000000" w:sz="4" w:val="single"/>
              <w:bottom w:color="000000" w:sz="4" w:val="single"/>
              <w:right w:color="000000" w:sz="4" w:val="single"/>
            </w:tcBorders>
            <w:shd w:fill="auto" w:val="clear"/>
            <w:vAlign w:val="bottom"/>
          </w:tcPr>
          <w:p w14:paraId="A1440000">
            <w:pPr>
              <w:widowControl w:val="1"/>
              <w:ind/>
              <w:jc w:val="right"/>
              <w:rPr>
                <w:sz w:val="18"/>
              </w:rPr>
            </w:pPr>
            <w:r>
              <w:rPr>
                <w:sz w:val="18"/>
              </w:rPr>
              <w:t>5</w:t>
            </w:r>
          </w:p>
        </w:tc>
        <w:tc>
          <w:tcPr>
            <w:tcW w:type="dxa" w:w="1560"/>
            <w:tcBorders>
              <w:top w:color="000000" w:sz="4" w:val="single"/>
              <w:left w:color="000000" w:sz="4" w:val="single"/>
              <w:bottom w:color="000000" w:sz="4" w:val="single"/>
              <w:right w:color="000000" w:sz="4" w:val="single"/>
            </w:tcBorders>
            <w:shd w:fill="auto" w:val="clear"/>
            <w:vAlign w:val="bottom"/>
          </w:tcPr>
          <w:p w14:paraId="A2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A3440000">
            <w:pPr>
              <w:rPr>
                <w:sz w:val="18"/>
              </w:rPr>
            </w:pPr>
            <w:r>
              <w:rPr>
                <w:sz w:val="18"/>
              </w:rPr>
              <w:t>ХЭДХАНТЕР ООО</w:t>
            </w:r>
          </w:p>
        </w:tc>
        <w:tc>
          <w:tcPr>
            <w:tcW w:type="dxa" w:w="1520"/>
            <w:tcBorders>
              <w:top w:color="000000" w:sz="4" w:val="single"/>
              <w:left w:color="000000" w:sz="4" w:val="single"/>
              <w:bottom w:color="000000" w:sz="4" w:val="single"/>
              <w:right w:color="000000" w:sz="4" w:val="single"/>
            </w:tcBorders>
            <w:shd w:fill="auto" w:val="clear"/>
            <w:vAlign w:val="bottom"/>
          </w:tcPr>
          <w:p w14:paraId="A4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A5440000">
            <w:pPr>
              <w:widowControl w:val="1"/>
              <w:ind/>
              <w:jc w:val="right"/>
              <w:rPr>
                <w:sz w:val="18"/>
              </w:rPr>
            </w:pPr>
            <w:r>
              <w:rPr>
                <w:sz w:val="18"/>
              </w:rPr>
              <w:t>6</w:t>
            </w:r>
          </w:p>
        </w:tc>
        <w:tc>
          <w:tcPr>
            <w:tcW w:type="dxa" w:w="1360"/>
            <w:tcBorders>
              <w:top w:color="000000" w:sz="4" w:val="single"/>
              <w:left w:color="000000" w:sz="4" w:val="single"/>
              <w:bottom w:color="000000" w:sz="4" w:val="single"/>
              <w:right w:color="000000" w:sz="4" w:val="single"/>
            </w:tcBorders>
            <w:shd w:fill="auto" w:val="clear"/>
            <w:vAlign w:val="bottom"/>
          </w:tcPr>
          <w:p w14:paraId="A6440000">
            <w:pPr>
              <w:widowControl w:val="1"/>
              <w:ind/>
              <w:jc w:val="right"/>
              <w:rPr>
                <w:sz w:val="18"/>
              </w:rPr>
            </w:pPr>
            <w:r>
              <w:rPr>
                <w:sz w:val="18"/>
              </w:rPr>
              <w:t>6</w:t>
            </w:r>
          </w:p>
        </w:tc>
        <w:tc>
          <w:tcPr>
            <w:tcW w:type="dxa" w:w="1560"/>
            <w:tcBorders>
              <w:top w:color="000000" w:sz="4" w:val="single"/>
              <w:left w:color="000000" w:sz="4" w:val="single"/>
              <w:bottom w:color="000000" w:sz="4" w:val="single"/>
              <w:right w:color="000000" w:sz="4" w:val="single"/>
            </w:tcBorders>
            <w:shd w:fill="auto" w:val="clear"/>
            <w:vAlign w:val="bottom"/>
          </w:tcPr>
          <w:p w14:paraId="A7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A8440000">
            <w:pPr>
              <w:rPr>
                <w:sz w:val="18"/>
              </w:rPr>
            </w:pPr>
            <w:r>
              <w:rPr>
                <w:sz w:val="18"/>
              </w:rPr>
              <w:t>ЦТЛ ГПКК</w:t>
            </w:r>
          </w:p>
        </w:tc>
        <w:tc>
          <w:tcPr>
            <w:tcW w:type="dxa" w:w="1520"/>
            <w:tcBorders>
              <w:top w:color="000000" w:sz="4" w:val="single"/>
              <w:left w:color="000000" w:sz="4" w:val="single"/>
              <w:bottom w:color="000000" w:sz="4" w:val="single"/>
              <w:right w:color="000000" w:sz="4" w:val="single"/>
            </w:tcBorders>
            <w:shd w:fill="auto" w:val="clear"/>
            <w:vAlign w:val="bottom"/>
          </w:tcPr>
          <w:p w14:paraId="A9440000">
            <w:pPr>
              <w:widowControl w:val="1"/>
              <w:ind/>
              <w:jc w:val="right"/>
              <w:rPr>
                <w:sz w:val="18"/>
              </w:rPr>
            </w:pPr>
            <w:r>
              <w:rPr>
                <w:sz w:val="18"/>
              </w:rPr>
              <w:t>2 150</w:t>
            </w:r>
          </w:p>
        </w:tc>
        <w:tc>
          <w:tcPr>
            <w:tcW w:type="dxa" w:w="1360"/>
            <w:tcBorders>
              <w:top w:color="000000" w:sz="4" w:val="single"/>
              <w:left w:color="000000" w:sz="4" w:val="single"/>
              <w:bottom w:color="000000" w:sz="4" w:val="single"/>
              <w:right w:color="000000" w:sz="4" w:val="single"/>
            </w:tcBorders>
            <w:shd w:fill="auto" w:val="clear"/>
            <w:vAlign w:val="bottom"/>
          </w:tcPr>
          <w:p w14:paraId="AA440000">
            <w:pPr>
              <w:widowControl w:val="1"/>
              <w:ind/>
              <w:jc w:val="right"/>
              <w:rPr>
                <w:sz w:val="18"/>
              </w:rPr>
            </w:pPr>
            <w:r>
              <w:rPr>
                <w:sz w:val="18"/>
              </w:rPr>
              <w:t>25 805</w:t>
            </w:r>
          </w:p>
        </w:tc>
        <w:tc>
          <w:tcPr>
            <w:tcW w:type="dxa" w:w="1360"/>
            <w:tcBorders>
              <w:top w:color="000000" w:sz="4" w:val="single"/>
              <w:left w:color="000000" w:sz="4" w:val="single"/>
              <w:bottom w:color="000000" w:sz="4" w:val="single"/>
              <w:right w:color="000000" w:sz="4" w:val="single"/>
            </w:tcBorders>
            <w:shd w:fill="auto" w:val="clear"/>
            <w:vAlign w:val="bottom"/>
          </w:tcPr>
          <w:p w14:paraId="AB440000">
            <w:pPr>
              <w:widowControl w:val="1"/>
              <w:ind/>
              <w:jc w:val="right"/>
              <w:rPr>
                <w:sz w:val="18"/>
              </w:rPr>
            </w:pPr>
            <w:r>
              <w:rPr>
                <w:sz w:val="18"/>
              </w:rPr>
              <w:t>25 805</w:t>
            </w:r>
          </w:p>
        </w:tc>
        <w:tc>
          <w:tcPr>
            <w:tcW w:type="dxa" w:w="1560"/>
            <w:tcBorders>
              <w:top w:color="000000" w:sz="4" w:val="single"/>
              <w:left w:color="000000" w:sz="4" w:val="single"/>
              <w:bottom w:color="000000" w:sz="4" w:val="single"/>
              <w:right w:color="000000" w:sz="4" w:val="single"/>
            </w:tcBorders>
            <w:shd w:fill="auto" w:val="clear"/>
            <w:vAlign w:val="bottom"/>
          </w:tcPr>
          <w:p w14:paraId="AC440000">
            <w:pPr>
              <w:widowControl w:val="1"/>
              <w:ind/>
              <w:jc w:val="right"/>
              <w:rPr>
                <w:sz w:val="18"/>
              </w:rPr>
            </w:pPr>
            <w:r>
              <w:rPr>
                <w:sz w:val="18"/>
              </w:rPr>
              <w:t>2 150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AD440000">
            <w:pPr>
              <w:rPr>
                <w:sz w:val="18"/>
              </w:rPr>
            </w:pPr>
            <w:r>
              <w:rPr>
                <w:sz w:val="18"/>
              </w:rPr>
              <w:t>ЧИСТЫЙ ТЕКСТИЛЬ ООО</w:t>
            </w:r>
          </w:p>
        </w:tc>
        <w:tc>
          <w:tcPr>
            <w:tcW w:type="dxa" w:w="1520"/>
            <w:tcBorders>
              <w:top w:color="000000" w:sz="4" w:val="single"/>
              <w:left w:color="000000" w:sz="4" w:val="single"/>
              <w:bottom w:color="000000" w:sz="4" w:val="single"/>
              <w:right w:color="000000" w:sz="4" w:val="single"/>
            </w:tcBorders>
            <w:shd w:fill="auto" w:val="clear"/>
            <w:vAlign w:val="bottom"/>
          </w:tcPr>
          <w:p w14:paraId="AE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AF440000">
            <w:pPr>
              <w:widowControl w:val="1"/>
              <w:ind/>
              <w:jc w:val="right"/>
              <w:rPr>
                <w:sz w:val="18"/>
              </w:rPr>
            </w:pPr>
            <w:r>
              <w:rPr>
                <w:sz w:val="18"/>
              </w:rPr>
              <w:t>4</w:t>
            </w:r>
          </w:p>
        </w:tc>
        <w:tc>
          <w:tcPr>
            <w:tcW w:type="dxa" w:w="1360"/>
            <w:tcBorders>
              <w:top w:color="000000" w:sz="4" w:val="single"/>
              <w:left w:color="000000" w:sz="4" w:val="single"/>
              <w:bottom w:color="000000" w:sz="4" w:val="single"/>
              <w:right w:color="000000" w:sz="4" w:val="single"/>
            </w:tcBorders>
            <w:shd w:fill="auto" w:val="clear"/>
            <w:vAlign w:val="bottom"/>
          </w:tcPr>
          <w:p w14:paraId="B0440000">
            <w:pPr>
              <w:widowControl w:val="1"/>
              <w:ind/>
              <w:jc w:val="right"/>
              <w:rPr>
                <w:sz w:val="18"/>
              </w:rPr>
            </w:pPr>
            <w:r>
              <w:rPr>
                <w:sz w:val="18"/>
              </w:rPr>
              <w:t>4</w:t>
            </w:r>
          </w:p>
        </w:tc>
        <w:tc>
          <w:tcPr>
            <w:tcW w:type="dxa" w:w="1560"/>
            <w:tcBorders>
              <w:top w:color="000000" w:sz="4" w:val="single"/>
              <w:left w:color="000000" w:sz="4" w:val="single"/>
              <w:bottom w:color="000000" w:sz="4" w:val="single"/>
              <w:right w:color="000000" w:sz="4" w:val="single"/>
            </w:tcBorders>
            <w:shd w:fill="auto" w:val="clear"/>
            <w:vAlign w:val="bottom"/>
          </w:tcPr>
          <w:p w14:paraId="B1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B2440000">
            <w:pPr>
              <w:rPr>
                <w:sz w:val="18"/>
              </w:rPr>
            </w:pPr>
            <w:r>
              <w:rPr>
                <w:sz w:val="18"/>
              </w:rPr>
              <w:t>ЧОО СТРАЖ 2 ООО</w:t>
            </w:r>
          </w:p>
        </w:tc>
        <w:tc>
          <w:tcPr>
            <w:tcW w:type="dxa" w:w="1520"/>
            <w:tcBorders>
              <w:top w:color="000000" w:sz="4" w:val="single"/>
              <w:left w:color="000000" w:sz="4" w:val="single"/>
              <w:bottom w:color="000000" w:sz="4" w:val="single"/>
              <w:right w:color="000000" w:sz="4" w:val="single"/>
            </w:tcBorders>
            <w:shd w:fill="auto" w:val="clear"/>
            <w:vAlign w:val="bottom"/>
          </w:tcPr>
          <w:p w14:paraId="B3440000">
            <w:pPr>
              <w:widowControl w:val="1"/>
              <w:ind/>
              <w:jc w:val="right"/>
              <w:rPr>
                <w:sz w:val="18"/>
              </w:rPr>
            </w:pPr>
            <w:r>
              <w:rPr>
                <w:sz w:val="18"/>
              </w:rPr>
              <w:t>1</w:t>
            </w:r>
          </w:p>
        </w:tc>
        <w:tc>
          <w:tcPr>
            <w:tcW w:type="dxa" w:w="1360"/>
            <w:tcBorders>
              <w:top w:color="000000" w:sz="4" w:val="single"/>
              <w:left w:color="000000" w:sz="4" w:val="single"/>
              <w:bottom w:color="000000" w:sz="4" w:val="single"/>
              <w:right w:color="000000" w:sz="4" w:val="single"/>
            </w:tcBorders>
            <w:shd w:fill="auto" w:val="clear"/>
            <w:vAlign w:val="bottom"/>
          </w:tcPr>
          <w:p w14:paraId="B4440000">
            <w:pPr>
              <w:widowControl w:val="1"/>
              <w:ind/>
              <w:jc w:val="right"/>
              <w:rPr>
                <w:sz w:val="18"/>
              </w:rPr>
            </w:pPr>
            <w:r>
              <w:rPr>
                <w:sz w:val="18"/>
              </w:rPr>
              <w:t>14</w:t>
            </w:r>
          </w:p>
        </w:tc>
        <w:tc>
          <w:tcPr>
            <w:tcW w:type="dxa" w:w="1360"/>
            <w:tcBorders>
              <w:top w:color="000000" w:sz="4" w:val="single"/>
              <w:left w:color="000000" w:sz="4" w:val="single"/>
              <w:bottom w:color="000000" w:sz="4" w:val="single"/>
              <w:right w:color="000000" w:sz="4" w:val="single"/>
            </w:tcBorders>
            <w:shd w:fill="auto" w:val="clear"/>
            <w:vAlign w:val="bottom"/>
          </w:tcPr>
          <w:p w14:paraId="B5440000">
            <w:pPr>
              <w:widowControl w:val="1"/>
              <w:ind/>
              <w:jc w:val="right"/>
              <w:rPr>
                <w:sz w:val="18"/>
              </w:rPr>
            </w:pPr>
            <w:r>
              <w:rPr>
                <w:sz w:val="18"/>
              </w:rPr>
              <w:t>14</w:t>
            </w:r>
          </w:p>
        </w:tc>
        <w:tc>
          <w:tcPr>
            <w:tcW w:type="dxa" w:w="1560"/>
            <w:tcBorders>
              <w:top w:color="000000" w:sz="4" w:val="single"/>
              <w:left w:color="000000" w:sz="4" w:val="single"/>
              <w:bottom w:color="000000" w:sz="4" w:val="single"/>
              <w:right w:color="000000" w:sz="4" w:val="single"/>
            </w:tcBorders>
            <w:shd w:fill="auto" w:val="clear"/>
            <w:vAlign w:val="bottom"/>
          </w:tcPr>
          <w:p w14:paraId="B6440000">
            <w:pPr>
              <w:widowControl w:val="1"/>
              <w:ind/>
              <w:jc w:val="right"/>
              <w:rPr>
                <w:sz w:val="18"/>
              </w:rPr>
            </w:pPr>
            <w:r>
              <w:rPr>
                <w:sz w:val="18"/>
              </w:rPr>
              <w:t>1</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B7440000">
            <w:pPr>
              <w:rPr>
                <w:sz w:val="18"/>
              </w:rPr>
            </w:pPr>
            <w:r>
              <w:rPr>
                <w:sz w:val="18"/>
              </w:rPr>
              <w:t>ЭКОЛОГИЧЕСКИЙ СЕРВИС ООО</w:t>
            </w:r>
          </w:p>
        </w:tc>
        <w:tc>
          <w:tcPr>
            <w:tcW w:type="dxa" w:w="1520"/>
            <w:tcBorders>
              <w:top w:color="000000" w:sz="4" w:val="single"/>
              <w:left w:color="000000" w:sz="4" w:val="single"/>
              <w:bottom w:color="000000" w:sz="4" w:val="single"/>
              <w:right w:color="000000" w:sz="4" w:val="single"/>
            </w:tcBorders>
            <w:shd w:fill="auto" w:val="clear"/>
            <w:vAlign w:val="bottom"/>
          </w:tcPr>
          <w:p w14:paraId="B8440000">
            <w:pPr>
              <w:widowControl w:val="1"/>
              <w:ind/>
              <w:jc w:val="right"/>
              <w:rPr>
                <w:sz w:val="18"/>
              </w:rPr>
            </w:pPr>
            <w:r>
              <w:rPr>
                <w:sz w:val="18"/>
              </w:rPr>
              <w:t>3</w:t>
            </w:r>
          </w:p>
        </w:tc>
        <w:tc>
          <w:tcPr>
            <w:tcW w:type="dxa" w:w="1360"/>
            <w:tcBorders>
              <w:top w:color="000000" w:sz="4" w:val="single"/>
              <w:left w:color="000000" w:sz="4" w:val="single"/>
              <w:bottom w:color="000000" w:sz="4" w:val="single"/>
              <w:right w:color="000000" w:sz="4" w:val="single"/>
            </w:tcBorders>
            <w:shd w:fill="auto" w:val="clear"/>
            <w:vAlign w:val="bottom"/>
          </w:tcPr>
          <w:p w14:paraId="B9440000">
            <w:pPr>
              <w:widowControl w:val="1"/>
              <w:ind/>
              <w:jc w:val="right"/>
              <w:rPr>
                <w:sz w:val="18"/>
              </w:rPr>
            </w:pPr>
            <w:r>
              <w:rPr>
                <w:sz w:val="18"/>
              </w:rPr>
              <w:t>148</w:t>
            </w:r>
          </w:p>
        </w:tc>
        <w:tc>
          <w:tcPr>
            <w:tcW w:type="dxa" w:w="1360"/>
            <w:tcBorders>
              <w:top w:color="000000" w:sz="4" w:val="single"/>
              <w:left w:color="000000" w:sz="4" w:val="single"/>
              <w:bottom w:color="000000" w:sz="4" w:val="single"/>
              <w:right w:color="000000" w:sz="4" w:val="single"/>
            </w:tcBorders>
            <w:shd w:fill="auto" w:val="clear"/>
            <w:vAlign w:val="bottom"/>
          </w:tcPr>
          <w:p w14:paraId="BA440000">
            <w:pPr>
              <w:widowControl w:val="1"/>
              <w:ind/>
              <w:jc w:val="right"/>
              <w:rPr>
                <w:sz w:val="18"/>
              </w:rPr>
            </w:pPr>
            <w:r>
              <w:rPr>
                <w:sz w:val="18"/>
              </w:rPr>
              <w:t>148</w:t>
            </w:r>
          </w:p>
        </w:tc>
        <w:tc>
          <w:tcPr>
            <w:tcW w:type="dxa" w:w="1560"/>
            <w:tcBorders>
              <w:top w:color="000000" w:sz="4" w:val="single"/>
              <w:left w:color="000000" w:sz="4" w:val="single"/>
              <w:bottom w:color="000000" w:sz="4" w:val="single"/>
              <w:right w:color="000000" w:sz="4" w:val="single"/>
            </w:tcBorders>
            <w:shd w:fill="auto" w:val="clear"/>
            <w:vAlign w:val="bottom"/>
          </w:tcPr>
          <w:p w14:paraId="BB440000">
            <w:pPr>
              <w:widowControl w:val="1"/>
              <w:ind/>
              <w:jc w:val="right"/>
              <w:rPr>
                <w:sz w:val="18"/>
              </w:rPr>
            </w:pPr>
            <w:r>
              <w:rPr>
                <w:sz w:val="18"/>
              </w:rPr>
              <w:t>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BC440000">
            <w:pPr>
              <w:rPr>
                <w:sz w:val="18"/>
              </w:rPr>
            </w:pPr>
            <w:r>
              <w:rPr>
                <w:sz w:val="18"/>
              </w:rPr>
              <w:t>ЭКСПЕРТ ООО</w:t>
            </w:r>
          </w:p>
        </w:tc>
        <w:tc>
          <w:tcPr>
            <w:tcW w:type="dxa" w:w="1520"/>
            <w:tcBorders>
              <w:top w:color="000000" w:sz="4" w:val="single"/>
              <w:left w:color="000000" w:sz="4" w:val="single"/>
              <w:bottom w:color="000000" w:sz="4" w:val="single"/>
              <w:right w:color="000000" w:sz="4" w:val="single"/>
            </w:tcBorders>
            <w:shd w:fill="auto" w:val="clear"/>
            <w:vAlign w:val="bottom"/>
          </w:tcPr>
          <w:p w14:paraId="BD440000">
            <w:pPr>
              <w:widowControl w:val="1"/>
              <w:ind/>
              <w:jc w:val="right"/>
              <w:rPr>
                <w:sz w:val="18"/>
              </w:rPr>
            </w:pPr>
            <w:r>
              <w:rPr>
                <w:sz w:val="18"/>
              </w:rPr>
              <w:t>636</w:t>
            </w:r>
          </w:p>
        </w:tc>
        <w:tc>
          <w:tcPr>
            <w:tcW w:type="dxa" w:w="1360"/>
            <w:tcBorders>
              <w:top w:color="000000" w:sz="4" w:val="single"/>
              <w:left w:color="000000" w:sz="4" w:val="single"/>
              <w:bottom w:color="000000" w:sz="4" w:val="single"/>
              <w:right w:color="000000" w:sz="4" w:val="single"/>
            </w:tcBorders>
            <w:shd w:fill="auto" w:val="clear"/>
            <w:vAlign w:val="bottom"/>
          </w:tcPr>
          <w:p w14:paraId="BE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BF440000">
            <w:pPr>
              <w:widowControl w:val="1"/>
              <w:ind/>
              <w:jc w:val="right"/>
              <w:rPr>
                <w:sz w:val="18"/>
              </w:rPr>
            </w:pPr>
            <w:r>
              <w:rPr>
                <w:sz w:val="18"/>
              </w:rPr>
              <w:t>636</w:t>
            </w:r>
          </w:p>
        </w:tc>
        <w:tc>
          <w:tcPr>
            <w:tcW w:type="dxa" w:w="1560"/>
            <w:tcBorders>
              <w:top w:color="000000" w:sz="4" w:val="single"/>
              <w:left w:color="000000" w:sz="4" w:val="single"/>
              <w:bottom w:color="000000" w:sz="4" w:val="single"/>
              <w:right w:color="000000" w:sz="4" w:val="single"/>
            </w:tcBorders>
            <w:shd w:fill="auto" w:val="clear"/>
            <w:vAlign w:val="bottom"/>
          </w:tcPr>
          <w:p w14:paraId="C0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C1440000">
            <w:pPr>
              <w:rPr>
                <w:sz w:val="18"/>
              </w:rPr>
            </w:pPr>
            <w:r>
              <w:rPr>
                <w:sz w:val="18"/>
              </w:rPr>
              <w:t>ЭЛЕКТРОБЫТТЕХНИКА ООО</w:t>
            </w:r>
          </w:p>
        </w:tc>
        <w:tc>
          <w:tcPr>
            <w:tcW w:type="dxa" w:w="1520"/>
            <w:tcBorders>
              <w:top w:color="000000" w:sz="4" w:val="single"/>
              <w:left w:color="000000" w:sz="4" w:val="single"/>
              <w:bottom w:color="000000" w:sz="4" w:val="single"/>
              <w:right w:color="000000" w:sz="4" w:val="single"/>
            </w:tcBorders>
            <w:shd w:fill="auto" w:val="clear"/>
            <w:vAlign w:val="bottom"/>
          </w:tcPr>
          <w:p w14:paraId="C2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C3440000">
            <w:pPr>
              <w:widowControl w:val="1"/>
              <w:ind/>
              <w:jc w:val="right"/>
              <w:rPr>
                <w:sz w:val="18"/>
              </w:rPr>
            </w:pPr>
            <w:r>
              <w:rPr>
                <w:sz w:val="18"/>
              </w:rPr>
              <w:t>123</w:t>
            </w:r>
          </w:p>
        </w:tc>
        <w:tc>
          <w:tcPr>
            <w:tcW w:type="dxa" w:w="1360"/>
            <w:tcBorders>
              <w:top w:color="000000" w:sz="4" w:val="single"/>
              <w:left w:color="000000" w:sz="4" w:val="single"/>
              <w:bottom w:color="000000" w:sz="4" w:val="single"/>
              <w:right w:color="000000" w:sz="4" w:val="single"/>
            </w:tcBorders>
            <w:shd w:fill="auto" w:val="clear"/>
            <w:vAlign w:val="bottom"/>
          </w:tcPr>
          <w:p w14:paraId="C4440000">
            <w:pPr>
              <w:widowControl w:val="1"/>
              <w:ind/>
              <w:jc w:val="right"/>
              <w:rPr>
                <w:sz w:val="18"/>
              </w:rPr>
            </w:pPr>
            <w:r>
              <w:rPr>
                <w:sz w:val="18"/>
              </w:rPr>
              <w:t>123</w:t>
            </w:r>
          </w:p>
        </w:tc>
        <w:tc>
          <w:tcPr>
            <w:tcW w:type="dxa" w:w="1560"/>
            <w:tcBorders>
              <w:top w:color="000000" w:sz="4" w:val="single"/>
              <w:left w:color="000000" w:sz="4" w:val="single"/>
              <w:bottom w:color="000000" w:sz="4" w:val="single"/>
              <w:right w:color="000000" w:sz="4" w:val="single"/>
            </w:tcBorders>
            <w:shd w:fill="auto" w:val="clear"/>
            <w:vAlign w:val="bottom"/>
          </w:tcPr>
          <w:p w14:paraId="C5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C6440000">
            <w:pPr>
              <w:rPr>
                <w:sz w:val="18"/>
              </w:rPr>
            </w:pPr>
            <w:r>
              <w:rPr>
                <w:sz w:val="18"/>
              </w:rPr>
              <w:t>ЭСК АО</w:t>
            </w:r>
          </w:p>
        </w:tc>
        <w:tc>
          <w:tcPr>
            <w:tcW w:type="dxa" w:w="1520"/>
            <w:tcBorders>
              <w:top w:color="000000" w:sz="4" w:val="single"/>
              <w:left w:color="000000" w:sz="4" w:val="single"/>
              <w:bottom w:color="000000" w:sz="4" w:val="single"/>
              <w:right w:color="000000" w:sz="4" w:val="single"/>
            </w:tcBorders>
            <w:shd w:fill="auto" w:val="clear"/>
            <w:vAlign w:val="bottom"/>
          </w:tcPr>
          <w:p w14:paraId="C7440000">
            <w:pPr>
              <w:widowControl w:val="1"/>
              <w:ind/>
              <w:jc w:val="right"/>
              <w:rPr>
                <w:sz w:val="18"/>
              </w:rPr>
            </w:pPr>
            <w:r>
              <w:rPr>
                <w:sz w:val="18"/>
              </w:rPr>
              <w:t>23</w:t>
            </w:r>
          </w:p>
        </w:tc>
        <w:tc>
          <w:tcPr>
            <w:tcW w:type="dxa" w:w="1360"/>
            <w:tcBorders>
              <w:top w:color="000000" w:sz="4" w:val="single"/>
              <w:left w:color="000000" w:sz="4" w:val="single"/>
              <w:bottom w:color="000000" w:sz="4" w:val="single"/>
              <w:right w:color="000000" w:sz="4" w:val="single"/>
            </w:tcBorders>
            <w:shd w:fill="auto" w:val="clear"/>
            <w:vAlign w:val="bottom"/>
          </w:tcPr>
          <w:p w14:paraId="C8440000">
            <w:pPr>
              <w:widowControl w:val="1"/>
              <w:ind/>
              <w:jc w:val="right"/>
              <w:rPr>
                <w:sz w:val="18"/>
              </w:rPr>
            </w:pPr>
            <w:r>
              <w:rPr>
                <w:sz w:val="18"/>
              </w:rPr>
              <w:t>175</w:t>
            </w:r>
          </w:p>
        </w:tc>
        <w:tc>
          <w:tcPr>
            <w:tcW w:type="dxa" w:w="1360"/>
            <w:tcBorders>
              <w:top w:color="000000" w:sz="4" w:val="single"/>
              <w:left w:color="000000" w:sz="4" w:val="single"/>
              <w:bottom w:color="000000" w:sz="4" w:val="single"/>
              <w:right w:color="000000" w:sz="4" w:val="single"/>
            </w:tcBorders>
            <w:shd w:fill="auto" w:val="clear"/>
            <w:vAlign w:val="bottom"/>
          </w:tcPr>
          <w:p w14:paraId="C9440000">
            <w:pPr>
              <w:widowControl w:val="1"/>
              <w:ind/>
              <w:jc w:val="right"/>
              <w:rPr>
                <w:sz w:val="18"/>
              </w:rPr>
            </w:pPr>
            <w:r>
              <w:rPr>
                <w:sz w:val="18"/>
              </w:rPr>
              <w:t>190</w:t>
            </w:r>
          </w:p>
        </w:tc>
        <w:tc>
          <w:tcPr>
            <w:tcW w:type="dxa" w:w="1560"/>
            <w:tcBorders>
              <w:top w:color="000000" w:sz="4" w:val="single"/>
              <w:left w:color="000000" w:sz="4" w:val="single"/>
              <w:bottom w:color="000000" w:sz="4" w:val="single"/>
              <w:right w:color="000000" w:sz="4" w:val="single"/>
            </w:tcBorders>
            <w:shd w:fill="auto" w:val="clear"/>
            <w:vAlign w:val="bottom"/>
          </w:tcPr>
          <w:p w14:paraId="CA440000">
            <w:pPr>
              <w:widowControl w:val="1"/>
              <w:ind/>
              <w:jc w:val="right"/>
              <w:rPr>
                <w:sz w:val="18"/>
              </w:rPr>
            </w:pPr>
            <w:r>
              <w:rPr>
                <w:sz w:val="18"/>
              </w:rPr>
              <w:t>8</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CB440000">
            <w:pPr>
              <w:rPr>
                <w:b w:val="1"/>
                <w:sz w:val="18"/>
              </w:rPr>
            </w:pPr>
            <w:r>
              <w:rPr>
                <w:b w:val="1"/>
                <w:sz w:val="18"/>
              </w:rPr>
              <w:t>Авансы полученные (счет 62.02) - всего, в т. ч.</w:t>
            </w:r>
          </w:p>
        </w:tc>
        <w:tc>
          <w:tcPr>
            <w:tcW w:type="dxa" w:w="1520"/>
            <w:tcBorders>
              <w:top w:color="000000" w:sz="4" w:val="single"/>
              <w:left w:color="000000" w:sz="4" w:val="single"/>
              <w:bottom w:color="000000" w:sz="4" w:val="single"/>
              <w:right w:color="000000" w:sz="4" w:val="single"/>
            </w:tcBorders>
            <w:shd w:fill="auto" w:val="clear"/>
            <w:vAlign w:val="bottom"/>
          </w:tcPr>
          <w:p w14:paraId="CC440000">
            <w:pPr>
              <w:widowControl w:val="1"/>
              <w:ind/>
              <w:jc w:val="right"/>
              <w:rPr>
                <w:b w:val="1"/>
                <w:sz w:val="18"/>
              </w:rPr>
            </w:pPr>
            <w:r>
              <w:rPr>
                <w:b w:val="1"/>
                <w:sz w:val="18"/>
              </w:rPr>
              <w:t>20 068</w:t>
            </w:r>
          </w:p>
        </w:tc>
        <w:tc>
          <w:tcPr>
            <w:tcW w:type="dxa" w:w="1360"/>
            <w:tcBorders>
              <w:top w:color="000000" w:sz="4" w:val="single"/>
              <w:left w:color="000000" w:sz="4" w:val="single"/>
              <w:bottom w:color="000000" w:sz="4" w:val="single"/>
              <w:right w:color="000000" w:sz="4" w:val="single"/>
            </w:tcBorders>
            <w:shd w:fill="auto" w:val="clear"/>
            <w:vAlign w:val="bottom"/>
          </w:tcPr>
          <w:p w14:paraId="CD440000">
            <w:pPr>
              <w:widowControl w:val="1"/>
              <w:ind/>
              <w:jc w:val="right"/>
              <w:rPr>
                <w:b w:val="1"/>
                <w:sz w:val="18"/>
              </w:rPr>
            </w:pPr>
            <w:r>
              <w:rPr>
                <w:b w:val="1"/>
                <w:sz w:val="18"/>
              </w:rPr>
              <w:t>7 764</w:t>
            </w:r>
          </w:p>
        </w:tc>
        <w:tc>
          <w:tcPr>
            <w:tcW w:type="dxa" w:w="1360"/>
            <w:tcBorders>
              <w:top w:color="000000" w:sz="4" w:val="single"/>
              <w:left w:color="000000" w:sz="4" w:val="single"/>
              <w:bottom w:color="000000" w:sz="4" w:val="single"/>
              <w:right w:color="000000" w:sz="4" w:val="single"/>
            </w:tcBorders>
            <w:shd w:fill="auto" w:val="clear"/>
            <w:vAlign w:val="bottom"/>
          </w:tcPr>
          <w:p w14:paraId="CE440000">
            <w:pPr>
              <w:widowControl w:val="1"/>
              <w:ind/>
              <w:jc w:val="right"/>
              <w:rPr>
                <w:b w:val="1"/>
                <w:sz w:val="18"/>
              </w:rPr>
            </w:pPr>
            <w:r>
              <w:rPr>
                <w:b w:val="1"/>
                <w:sz w:val="18"/>
              </w:rPr>
              <w:t>16 521</w:t>
            </w:r>
          </w:p>
        </w:tc>
        <w:tc>
          <w:tcPr>
            <w:tcW w:type="dxa" w:w="1560"/>
            <w:tcBorders>
              <w:top w:color="000000" w:sz="4" w:val="single"/>
              <w:left w:color="000000" w:sz="4" w:val="single"/>
              <w:bottom w:color="000000" w:sz="4" w:val="single"/>
              <w:right w:color="000000" w:sz="4" w:val="single"/>
            </w:tcBorders>
            <w:shd w:fill="auto" w:val="clear"/>
            <w:vAlign w:val="bottom"/>
          </w:tcPr>
          <w:p w14:paraId="CF440000">
            <w:pPr>
              <w:widowControl w:val="1"/>
              <w:ind/>
              <w:jc w:val="right"/>
              <w:rPr>
                <w:b w:val="1"/>
                <w:sz w:val="18"/>
              </w:rPr>
            </w:pPr>
            <w:r>
              <w:rPr>
                <w:b w:val="1"/>
                <w:sz w:val="18"/>
              </w:rPr>
              <w:t>11 311</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D0440000">
            <w:pPr>
              <w:rPr>
                <w:b w:val="1"/>
                <w:sz w:val="18"/>
              </w:rPr>
            </w:pPr>
            <w:r>
              <w:rPr>
                <w:b w:val="1"/>
                <w:sz w:val="18"/>
              </w:rPr>
              <w:t xml:space="preserve">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D1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D2440000">
            <w:pPr>
              <w:widowControl w:val="1"/>
              <w:ind/>
              <w:jc w:val="right"/>
              <w:rPr>
                <w:sz w:val="18"/>
              </w:rPr>
            </w:pPr>
            <w:r>
              <w:rPr>
                <w:sz w:val="18"/>
              </w:rPr>
              <w:t>2</w:t>
            </w:r>
          </w:p>
        </w:tc>
        <w:tc>
          <w:tcPr>
            <w:tcW w:type="dxa" w:w="1360"/>
            <w:tcBorders>
              <w:top w:color="000000" w:sz="4" w:val="single"/>
              <w:left w:color="000000" w:sz="4" w:val="single"/>
              <w:bottom w:color="000000" w:sz="4" w:val="single"/>
              <w:right w:color="000000" w:sz="4" w:val="single"/>
            </w:tcBorders>
            <w:shd w:fill="auto" w:val="clear"/>
            <w:vAlign w:val="bottom"/>
          </w:tcPr>
          <w:p w14:paraId="D3440000">
            <w:pPr>
              <w:widowControl w:val="1"/>
              <w:ind/>
              <w:jc w:val="right"/>
              <w:rPr>
                <w:sz w:val="18"/>
              </w:rPr>
            </w:pPr>
            <w:r>
              <w:rPr>
                <w:sz w:val="18"/>
              </w:rPr>
              <w:t>2</w:t>
            </w:r>
          </w:p>
        </w:tc>
        <w:tc>
          <w:tcPr>
            <w:tcW w:type="dxa" w:w="1560"/>
            <w:tcBorders>
              <w:top w:color="000000" w:sz="4" w:val="single"/>
              <w:left w:color="000000" w:sz="4" w:val="single"/>
              <w:bottom w:color="000000" w:sz="4" w:val="single"/>
              <w:right w:color="000000" w:sz="4" w:val="single"/>
            </w:tcBorders>
            <w:shd w:fill="auto" w:val="clear"/>
            <w:vAlign w:val="bottom"/>
          </w:tcPr>
          <w:p w14:paraId="D4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D5440000">
            <w:pPr>
              <w:rPr>
                <w:sz w:val="18"/>
              </w:rPr>
            </w:pPr>
            <w:r>
              <w:rPr>
                <w:sz w:val="18"/>
              </w:rPr>
              <w:t>ДИ   РЖД ОАО Центральная дирекция инфраструктуры</w:t>
            </w:r>
          </w:p>
        </w:tc>
        <w:tc>
          <w:tcPr>
            <w:tcW w:type="dxa" w:w="1520"/>
            <w:tcBorders>
              <w:top w:color="000000" w:sz="4" w:val="single"/>
              <w:left w:color="000000" w:sz="4" w:val="single"/>
              <w:bottom w:color="000000" w:sz="4" w:val="single"/>
              <w:right w:color="000000" w:sz="4" w:val="single"/>
            </w:tcBorders>
            <w:shd w:fill="auto" w:val="clear"/>
            <w:vAlign w:val="bottom"/>
          </w:tcPr>
          <w:p w14:paraId="D6440000">
            <w:pPr>
              <w:widowControl w:val="1"/>
              <w:ind/>
              <w:jc w:val="right"/>
              <w:rPr>
                <w:sz w:val="18"/>
              </w:rPr>
            </w:pPr>
            <w:r>
              <w:rPr>
                <w:sz w:val="18"/>
              </w:rPr>
              <w:t> </w:t>
            </w:r>
          </w:p>
        </w:tc>
        <w:tc>
          <w:tcPr>
            <w:tcW w:type="dxa" w:w="1360"/>
            <w:tcBorders>
              <w:top w:color="000000" w:sz="4" w:val="single"/>
              <w:left w:color="000000" w:sz="4" w:val="single"/>
              <w:bottom w:color="000000" w:sz="4" w:val="single"/>
              <w:right w:color="000000" w:sz="4" w:val="single"/>
            </w:tcBorders>
            <w:shd w:fill="auto" w:val="clear"/>
            <w:vAlign w:val="bottom"/>
          </w:tcPr>
          <w:p w14:paraId="D7440000">
            <w:pPr>
              <w:widowControl w:val="1"/>
              <w:ind/>
              <w:jc w:val="right"/>
              <w:rPr>
                <w:sz w:val="18"/>
              </w:rPr>
            </w:pPr>
            <w:r>
              <w:rPr>
                <w:sz w:val="18"/>
              </w:rPr>
              <w:t>2</w:t>
            </w:r>
          </w:p>
        </w:tc>
        <w:tc>
          <w:tcPr>
            <w:tcW w:type="dxa" w:w="1360"/>
            <w:tcBorders>
              <w:top w:color="000000" w:sz="4" w:val="single"/>
              <w:left w:color="000000" w:sz="4" w:val="single"/>
              <w:bottom w:color="000000" w:sz="4" w:val="single"/>
              <w:right w:color="000000" w:sz="4" w:val="single"/>
            </w:tcBorders>
            <w:shd w:fill="auto" w:val="clear"/>
            <w:vAlign w:val="bottom"/>
          </w:tcPr>
          <w:p w14:paraId="D8440000">
            <w:pPr>
              <w:widowControl w:val="1"/>
              <w:ind/>
              <w:jc w:val="right"/>
              <w:rPr>
                <w:sz w:val="18"/>
              </w:rPr>
            </w:pPr>
            <w:r>
              <w:rPr>
                <w:sz w:val="18"/>
              </w:rPr>
              <w:t>2</w:t>
            </w:r>
          </w:p>
        </w:tc>
        <w:tc>
          <w:tcPr>
            <w:tcW w:type="dxa" w:w="1560"/>
            <w:tcBorders>
              <w:top w:color="000000" w:sz="4" w:val="single"/>
              <w:left w:color="000000" w:sz="4" w:val="single"/>
              <w:bottom w:color="000000" w:sz="4" w:val="single"/>
              <w:right w:color="000000" w:sz="4" w:val="single"/>
            </w:tcBorders>
            <w:shd w:fill="auto" w:val="clear"/>
            <w:vAlign w:val="bottom"/>
          </w:tcPr>
          <w:p w14:paraId="D944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tcPr>
          <w:p w14:paraId="DA440000">
            <w:pPr>
              <w:rPr>
                <w:b w:val="1"/>
                <w:sz w:val="18"/>
              </w:rPr>
            </w:pPr>
            <w:r>
              <w:rPr>
                <w:b w:val="1"/>
                <w:sz w:val="18"/>
              </w:rPr>
              <w:t xml:space="preserve">            ДЗО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DB440000">
            <w:pPr>
              <w:widowControl w:val="1"/>
              <w:ind/>
              <w:jc w:val="right"/>
              <w:rPr>
                <w:b w:val="1"/>
                <w:sz w:val="18"/>
              </w:rPr>
            </w:pPr>
            <w:r>
              <w:rPr>
                <w:b w:val="1"/>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DC440000">
            <w:pPr>
              <w:widowControl w:val="1"/>
              <w:ind/>
              <w:jc w:val="right"/>
              <w:rPr>
                <w:b w:val="1"/>
                <w:sz w:val="18"/>
              </w:rPr>
            </w:pPr>
            <w:r>
              <w:rPr>
                <w:b w:val="1"/>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DD440000">
            <w:pPr>
              <w:widowControl w:val="1"/>
              <w:ind/>
              <w:jc w:val="right"/>
              <w:rPr>
                <w:b w:val="1"/>
                <w:sz w:val="18"/>
              </w:rPr>
            </w:pPr>
            <w:r>
              <w:rPr>
                <w:b w:val="1"/>
                <w:sz w:val="18"/>
              </w:rPr>
              <w:t>0</w:t>
            </w:r>
          </w:p>
        </w:tc>
        <w:tc>
          <w:tcPr>
            <w:tcW w:type="dxa" w:w="1560"/>
            <w:tcBorders>
              <w:top w:color="000000" w:sz="4" w:val="single"/>
              <w:left w:color="000000" w:sz="4" w:val="single"/>
              <w:bottom w:color="000000" w:sz="4" w:val="single"/>
              <w:right w:color="000000" w:sz="4" w:val="single"/>
            </w:tcBorders>
            <w:shd w:fill="auto" w:val="clear"/>
            <w:vAlign w:val="bottom"/>
          </w:tcPr>
          <w:p w14:paraId="DE440000">
            <w:pPr>
              <w:widowControl w:val="1"/>
              <w:ind/>
              <w:jc w:val="right"/>
              <w:rPr>
                <w:b w:val="1"/>
                <w:sz w:val="18"/>
              </w:rPr>
            </w:pPr>
            <w:r>
              <w:rPr>
                <w:b w:val="1"/>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DF440000">
            <w:pPr>
              <w:rPr>
                <w:b w:val="1"/>
                <w:sz w:val="18"/>
              </w:rPr>
            </w:pPr>
            <w:r>
              <w:rPr>
                <w:b w:val="1"/>
                <w:sz w:val="18"/>
              </w:rPr>
              <w:t xml:space="preserve">            Субъекты РФ:</w:t>
            </w:r>
          </w:p>
        </w:tc>
        <w:tc>
          <w:tcPr>
            <w:tcW w:type="dxa" w:w="1520"/>
            <w:tcBorders>
              <w:top w:color="000000" w:sz="4" w:val="single"/>
              <w:left w:color="000000" w:sz="4" w:val="single"/>
              <w:bottom w:color="000000" w:sz="4" w:val="single"/>
              <w:right w:color="000000" w:sz="4" w:val="single"/>
            </w:tcBorders>
            <w:shd w:fill="auto" w:val="clear"/>
            <w:vAlign w:val="bottom"/>
          </w:tcPr>
          <w:p w14:paraId="E0440000">
            <w:pPr>
              <w:widowControl w:val="1"/>
              <w:ind/>
              <w:jc w:val="right"/>
              <w:rPr>
                <w:b w:val="1"/>
                <w:sz w:val="18"/>
              </w:rPr>
            </w:pPr>
            <w:r>
              <w:rPr>
                <w:b w:val="1"/>
                <w:sz w:val="18"/>
              </w:rPr>
              <w:t>20 057</w:t>
            </w:r>
          </w:p>
        </w:tc>
        <w:tc>
          <w:tcPr>
            <w:tcW w:type="dxa" w:w="1360"/>
            <w:tcBorders>
              <w:top w:color="000000" w:sz="4" w:val="single"/>
              <w:left w:color="000000" w:sz="4" w:val="single"/>
              <w:bottom w:color="000000" w:sz="4" w:val="single"/>
              <w:right w:color="000000" w:sz="4" w:val="single"/>
            </w:tcBorders>
            <w:shd w:fill="auto" w:val="clear"/>
            <w:vAlign w:val="bottom"/>
          </w:tcPr>
          <w:p w14:paraId="E1440000">
            <w:pPr>
              <w:widowControl w:val="1"/>
              <w:ind/>
              <w:jc w:val="right"/>
              <w:rPr>
                <w:b w:val="1"/>
                <w:sz w:val="18"/>
              </w:rPr>
            </w:pPr>
            <w:r>
              <w:rPr>
                <w:b w:val="1"/>
                <w:sz w:val="18"/>
              </w:rPr>
              <w:t>6 937</w:t>
            </w:r>
          </w:p>
        </w:tc>
        <w:tc>
          <w:tcPr>
            <w:tcW w:type="dxa" w:w="1360"/>
            <w:tcBorders>
              <w:top w:color="000000" w:sz="4" w:val="single"/>
              <w:left w:color="000000" w:sz="4" w:val="single"/>
              <w:bottom w:color="000000" w:sz="4" w:val="single"/>
              <w:right w:color="000000" w:sz="4" w:val="single"/>
            </w:tcBorders>
            <w:shd w:fill="auto" w:val="clear"/>
            <w:vAlign w:val="bottom"/>
          </w:tcPr>
          <w:p w14:paraId="E2440000">
            <w:pPr>
              <w:widowControl w:val="1"/>
              <w:ind/>
              <w:jc w:val="right"/>
              <w:rPr>
                <w:b w:val="1"/>
                <w:sz w:val="18"/>
              </w:rPr>
            </w:pPr>
            <w:r>
              <w:rPr>
                <w:b w:val="1"/>
                <w:sz w:val="18"/>
              </w:rPr>
              <w:t>15 699</w:t>
            </w:r>
          </w:p>
        </w:tc>
        <w:tc>
          <w:tcPr>
            <w:tcW w:type="dxa" w:w="1560"/>
            <w:tcBorders>
              <w:top w:color="000000" w:sz="4" w:val="single"/>
              <w:left w:color="000000" w:sz="4" w:val="single"/>
              <w:bottom w:color="000000" w:sz="4" w:val="single"/>
              <w:right w:color="000000" w:sz="4" w:val="single"/>
            </w:tcBorders>
            <w:shd w:fill="auto" w:val="clear"/>
            <w:vAlign w:val="bottom"/>
          </w:tcPr>
          <w:p w14:paraId="E3440000">
            <w:pPr>
              <w:widowControl w:val="1"/>
              <w:ind/>
              <w:jc w:val="right"/>
              <w:rPr>
                <w:b w:val="1"/>
                <w:sz w:val="18"/>
              </w:rPr>
            </w:pPr>
            <w:r>
              <w:rPr>
                <w:b w:val="1"/>
                <w:sz w:val="18"/>
              </w:rPr>
              <w:t>11 295</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4440000">
            <w:pPr>
              <w:rPr>
                <w:sz w:val="18"/>
              </w:rPr>
            </w:pPr>
            <w:r>
              <w:rPr>
                <w:sz w:val="18"/>
              </w:rPr>
              <w:t>Департамент социальной защиты Кемеровской обл.</w:t>
            </w:r>
          </w:p>
        </w:tc>
        <w:tc>
          <w:tcPr>
            <w:tcW w:type="dxa" w:w="1520"/>
            <w:tcBorders>
              <w:top w:color="000000" w:sz="4" w:val="single"/>
              <w:left w:color="000000" w:sz="4" w:val="single"/>
              <w:bottom w:color="000000" w:sz="4" w:val="single"/>
              <w:right w:color="000000" w:sz="4" w:val="single"/>
            </w:tcBorders>
            <w:shd w:fill="auto" w:val="clear"/>
            <w:vAlign w:val="bottom"/>
          </w:tcPr>
          <w:p w14:paraId="E5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E6440000">
            <w:pPr>
              <w:widowControl w:val="1"/>
              <w:ind/>
              <w:jc w:val="right"/>
              <w:rPr>
                <w:sz w:val="18"/>
              </w:rPr>
            </w:pPr>
            <w:r>
              <w:rPr>
                <w:sz w:val="18"/>
              </w:rPr>
              <w:t>29</w:t>
            </w:r>
          </w:p>
        </w:tc>
        <w:tc>
          <w:tcPr>
            <w:tcW w:type="dxa" w:w="1360"/>
            <w:tcBorders>
              <w:top w:color="000000" w:sz="4" w:val="single"/>
              <w:left w:color="000000" w:sz="4" w:val="single"/>
              <w:bottom w:color="000000" w:sz="4" w:val="single"/>
              <w:right w:color="000000" w:sz="4" w:val="single"/>
            </w:tcBorders>
            <w:shd w:fill="auto" w:val="clear"/>
            <w:vAlign w:val="bottom"/>
          </w:tcPr>
          <w:p w14:paraId="E7440000">
            <w:pPr>
              <w:widowControl w:val="1"/>
              <w:ind/>
              <w:jc w:val="right"/>
              <w:rPr>
                <w:sz w:val="18"/>
              </w:rPr>
            </w:pPr>
            <w:r>
              <w:rPr>
                <w:sz w:val="18"/>
              </w:rPr>
              <w:t>25</w:t>
            </w:r>
          </w:p>
        </w:tc>
        <w:tc>
          <w:tcPr>
            <w:tcW w:type="dxa" w:w="1560"/>
            <w:tcBorders>
              <w:top w:color="000000" w:sz="4" w:val="single"/>
              <w:left w:color="000000" w:sz="4" w:val="single"/>
              <w:bottom w:color="000000" w:sz="4" w:val="single"/>
              <w:right w:color="000000" w:sz="4" w:val="single"/>
            </w:tcBorders>
            <w:shd w:fill="auto" w:val="clear"/>
            <w:vAlign w:val="bottom"/>
          </w:tcPr>
          <w:p w14:paraId="E8440000">
            <w:pPr>
              <w:widowControl w:val="1"/>
              <w:ind/>
              <w:jc w:val="right"/>
              <w:rPr>
                <w:sz w:val="18"/>
              </w:rPr>
            </w:pPr>
            <w:r>
              <w:rPr>
                <w:sz w:val="18"/>
              </w:rPr>
              <w:t>4</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9440000">
            <w:pPr>
              <w:rPr>
                <w:sz w:val="18"/>
              </w:rPr>
            </w:pPr>
            <w:r>
              <w:rPr>
                <w:sz w:val="18"/>
              </w:rPr>
              <w:t>Министерство транспорта и дорожного хоз Р. Хакасия</w:t>
            </w:r>
          </w:p>
        </w:tc>
        <w:tc>
          <w:tcPr>
            <w:tcW w:type="dxa" w:w="1520"/>
            <w:tcBorders>
              <w:top w:color="000000" w:sz="4" w:val="single"/>
              <w:left w:color="000000" w:sz="4" w:val="single"/>
              <w:bottom w:color="000000" w:sz="4" w:val="single"/>
              <w:right w:color="000000" w:sz="4" w:val="single"/>
            </w:tcBorders>
            <w:shd w:fill="auto" w:val="clear"/>
            <w:vAlign w:val="bottom"/>
          </w:tcPr>
          <w:p w14:paraId="EA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EB440000">
            <w:pPr>
              <w:widowControl w:val="1"/>
              <w:ind/>
              <w:jc w:val="right"/>
              <w:rPr>
                <w:sz w:val="18"/>
              </w:rPr>
            </w:pPr>
            <w:r>
              <w:rPr>
                <w:sz w:val="18"/>
              </w:rPr>
              <w:t>112</w:t>
            </w:r>
          </w:p>
        </w:tc>
        <w:tc>
          <w:tcPr>
            <w:tcW w:type="dxa" w:w="1360"/>
            <w:tcBorders>
              <w:top w:color="000000" w:sz="4" w:val="single"/>
              <w:left w:color="000000" w:sz="4" w:val="single"/>
              <w:bottom w:color="000000" w:sz="4" w:val="single"/>
              <w:right w:color="000000" w:sz="4" w:val="single"/>
            </w:tcBorders>
            <w:shd w:fill="auto" w:val="clear"/>
            <w:vAlign w:val="bottom"/>
          </w:tcPr>
          <w:p w14:paraId="EC440000">
            <w:pPr>
              <w:widowControl w:val="1"/>
              <w:ind/>
              <w:jc w:val="right"/>
              <w:rPr>
                <w:sz w:val="18"/>
              </w:rPr>
            </w:pPr>
            <w:r>
              <w:rPr>
                <w:sz w:val="18"/>
              </w:rPr>
              <w:t>75</w:t>
            </w:r>
          </w:p>
        </w:tc>
        <w:tc>
          <w:tcPr>
            <w:tcW w:type="dxa" w:w="1560"/>
            <w:tcBorders>
              <w:top w:color="000000" w:sz="4" w:val="single"/>
              <w:left w:color="000000" w:sz="4" w:val="single"/>
              <w:bottom w:color="000000" w:sz="4" w:val="single"/>
              <w:right w:color="000000" w:sz="4" w:val="single"/>
            </w:tcBorders>
            <w:shd w:fill="auto" w:val="clear"/>
            <w:vAlign w:val="bottom"/>
          </w:tcPr>
          <w:p w14:paraId="ED440000">
            <w:pPr>
              <w:widowControl w:val="1"/>
              <w:ind/>
              <w:jc w:val="right"/>
              <w:rPr>
                <w:sz w:val="18"/>
              </w:rPr>
            </w:pPr>
            <w:r>
              <w:rPr>
                <w:sz w:val="18"/>
              </w:rPr>
              <w:t>37</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E440000">
            <w:pPr>
              <w:rPr>
                <w:sz w:val="18"/>
              </w:rPr>
            </w:pPr>
            <w:r>
              <w:rPr>
                <w:sz w:val="18"/>
              </w:rPr>
              <w:t>МИНИСТЕРСТВО ТРАНСПОРТА КРАСНОЯРСКОГО КРАЯ</w:t>
            </w:r>
          </w:p>
        </w:tc>
        <w:tc>
          <w:tcPr>
            <w:tcW w:type="dxa" w:w="1520"/>
            <w:tcBorders>
              <w:top w:color="000000" w:sz="4" w:val="single"/>
              <w:left w:color="000000" w:sz="4" w:val="single"/>
              <w:bottom w:color="000000" w:sz="4" w:val="single"/>
              <w:right w:color="000000" w:sz="4" w:val="single"/>
            </w:tcBorders>
            <w:shd w:fill="auto" w:val="clear"/>
            <w:vAlign w:val="bottom"/>
          </w:tcPr>
          <w:p w14:paraId="EF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F0440000">
            <w:pPr>
              <w:widowControl w:val="1"/>
              <w:ind/>
              <w:jc w:val="right"/>
              <w:rPr>
                <w:sz w:val="18"/>
              </w:rPr>
            </w:pPr>
            <w:r>
              <w:rPr>
                <w:sz w:val="18"/>
              </w:rPr>
              <w:t>1 523</w:t>
            </w:r>
          </w:p>
        </w:tc>
        <w:tc>
          <w:tcPr>
            <w:tcW w:type="dxa" w:w="1360"/>
            <w:tcBorders>
              <w:top w:color="000000" w:sz="4" w:val="single"/>
              <w:left w:color="000000" w:sz="4" w:val="single"/>
              <w:bottom w:color="000000" w:sz="4" w:val="single"/>
              <w:right w:color="000000" w:sz="4" w:val="single"/>
            </w:tcBorders>
            <w:shd w:fill="auto" w:val="clear"/>
            <w:vAlign w:val="bottom"/>
          </w:tcPr>
          <w:p w14:paraId="F1440000">
            <w:pPr>
              <w:widowControl w:val="1"/>
              <w:ind/>
              <w:jc w:val="right"/>
              <w:rPr>
                <w:sz w:val="18"/>
              </w:rPr>
            </w:pPr>
            <w:r>
              <w:rPr>
                <w:sz w:val="18"/>
              </w:rPr>
              <w:t>1 420</w:t>
            </w:r>
          </w:p>
        </w:tc>
        <w:tc>
          <w:tcPr>
            <w:tcW w:type="dxa" w:w="1560"/>
            <w:tcBorders>
              <w:top w:color="000000" w:sz="4" w:val="single"/>
              <w:left w:color="000000" w:sz="4" w:val="single"/>
              <w:bottom w:color="000000" w:sz="4" w:val="single"/>
              <w:right w:color="000000" w:sz="4" w:val="single"/>
            </w:tcBorders>
            <w:shd w:fill="auto" w:val="clear"/>
            <w:vAlign w:val="bottom"/>
          </w:tcPr>
          <w:p w14:paraId="F2440000">
            <w:pPr>
              <w:widowControl w:val="1"/>
              <w:ind/>
              <w:jc w:val="right"/>
              <w:rPr>
                <w:sz w:val="18"/>
              </w:rPr>
            </w:pPr>
            <w:r>
              <w:rPr>
                <w:sz w:val="18"/>
              </w:rPr>
              <w:t>103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F3440000">
            <w:pPr>
              <w:rPr>
                <w:sz w:val="18"/>
              </w:rPr>
            </w:pPr>
            <w:r>
              <w:rPr>
                <w:sz w:val="18"/>
              </w:rPr>
              <w:t>Министерство труда и социальной защиты Российской Федерации</w:t>
            </w:r>
          </w:p>
        </w:tc>
        <w:tc>
          <w:tcPr>
            <w:tcW w:type="dxa" w:w="1520"/>
            <w:tcBorders>
              <w:top w:color="000000" w:sz="4" w:val="single"/>
              <w:left w:color="000000" w:sz="4" w:val="single"/>
              <w:bottom w:color="000000" w:sz="4" w:val="single"/>
              <w:right w:color="000000" w:sz="4" w:val="single"/>
            </w:tcBorders>
            <w:shd w:fill="auto" w:val="clear"/>
            <w:vAlign w:val="bottom"/>
          </w:tcPr>
          <w:p w14:paraId="F4440000">
            <w:pPr>
              <w:widowControl w:val="1"/>
              <w:ind/>
              <w:jc w:val="right"/>
              <w:rPr>
                <w:sz w:val="18"/>
              </w:rPr>
            </w:pPr>
            <w:r>
              <w:rPr>
                <w:sz w:val="18"/>
              </w:rPr>
              <w:t>20 057</w:t>
            </w:r>
          </w:p>
        </w:tc>
        <w:tc>
          <w:tcPr>
            <w:tcW w:type="dxa" w:w="1360"/>
            <w:tcBorders>
              <w:top w:color="000000" w:sz="4" w:val="single"/>
              <w:left w:color="000000" w:sz="4" w:val="single"/>
              <w:bottom w:color="000000" w:sz="4" w:val="single"/>
              <w:right w:color="000000" w:sz="4" w:val="single"/>
            </w:tcBorders>
            <w:shd w:fill="auto" w:val="clear"/>
            <w:vAlign w:val="bottom"/>
          </w:tcPr>
          <w:p w14:paraId="F5440000">
            <w:pPr>
              <w:widowControl w:val="1"/>
              <w:ind/>
              <w:jc w:val="right"/>
              <w:rPr>
                <w:sz w:val="18"/>
              </w:rPr>
            </w:pPr>
            <w:r>
              <w:rPr>
                <w:sz w:val="18"/>
              </w:rPr>
              <w:t>5 274</w:t>
            </w:r>
          </w:p>
        </w:tc>
        <w:tc>
          <w:tcPr>
            <w:tcW w:type="dxa" w:w="1360"/>
            <w:tcBorders>
              <w:top w:color="000000" w:sz="4" w:val="single"/>
              <w:left w:color="000000" w:sz="4" w:val="single"/>
              <w:bottom w:color="000000" w:sz="4" w:val="single"/>
              <w:right w:color="000000" w:sz="4" w:val="single"/>
            </w:tcBorders>
            <w:shd w:fill="auto" w:val="clear"/>
            <w:vAlign w:val="bottom"/>
          </w:tcPr>
          <w:p w14:paraId="F6440000">
            <w:pPr>
              <w:widowControl w:val="1"/>
              <w:ind/>
              <w:jc w:val="right"/>
              <w:rPr>
                <w:sz w:val="18"/>
              </w:rPr>
            </w:pPr>
            <w:r>
              <w:rPr>
                <w:sz w:val="18"/>
              </w:rPr>
              <w:t>14 180</w:t>
            </w:r>
          </w:p>
        </w:tc>
        <w:tc>
          <w:tcPr>
            <w:tcW w:type="dxa" w:w="1560"/>
            <w:tcBorders>
              <w:top w:color="000000" w:sz="4" w:val="single"/>
              <w:left w:color="000000" w:sz="4" w:val="single"/>
              <w:bottom w:color="000000" w:sz="4" w:val="single"/>
              <w:right w:color="000000" w:sz="4" w:val="single"/>
            </w:tcBorders>
            <w:shd w:fill="auto" w:val="clear"/>
            <w:vAlign w:val="bottom"/>
          </w:tcPr>
          <w:p w14:paraId="F7440000">
            <w:pPr>
              <w:widowControl w:val="1"/>
              <w:ind/>
              <w:jc w:val="right"/>
              <w:rPr>
                <w:sz w:val="18"/>
              </w:rPr>
            </w:pPr>
            <w:r>
              <w:rPr>
                <w:sz w:val="18"/>
              </w:rPr>
              <w:t>11 151</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F8440000">
            <w:pPr>
              <w:rPr>
                <w:b w:val="1"/>
                <w:sz w:val="18"/>
              </w:rPr>
            </w:pPr>
            <w:r>
              <w:rPr>
                <w:b w:val="1"/>
                <w:sz w:val="18"/>
              </w:rPr>
              <w:t xml:space="preserve">            Прочие контрагенты:</w:t>
            </w:r>
          </w:p>
        </w:tc>
        <w:tc>
          <w:tcPr>
            <w:tcW w:type="dxa" w:w="1520"/>
            <w:tcBorders>
              <w:top w:color="000000" w:sz="4" w:val="single"/>
              <w:left w:color="000000" w:sz="4" w:val="single"/>
              <w:bottom w:color="000000" w:sz="4" w:val="single"/>
              <w:right w:color="000000" w:sz="4" w:val="single"/>
            </w:tcBorders>
            <w:shd w:fill="auto" w:val="clear"/>
            <w:vAlign w:val="bottom"/>
          </w:tcPr>
          <w:p w14:paraId="F9440000">
            <w:pPr>
              <w:widowControl w:val="1"/>
              <w:ind/>
              <w:jc w:val="right"/>
              <w:rPr>
                <w:b w:val="1"/>
                <w:sz w:val="18"/>
              </w:rPr>
            </w:pPr>
            <w:r>
              <w:rPr>
                <w:b w:val="1"/>
                <w:sz w:val="18"/>
              </w:rPr>
              <w:t>11</w:t>
            </w:r>
          </w:p>
        </w:tc>
        <w:tc>
          <w:tcPr>
            <w:tcW w:type="dxa" w:w="1360"/>
            <w:tcBorders>
              <w:top w:color="000000" w:sz="4" w:val="single"/>
              <w:left w:color="000000" w:sz="4" w:val="single"/>
              <w:bottom w:color="000000" w:sz="4" w:val="single"/>
              <w:right w:color="000000" w:sz="4" w:val="single"/>
            </w:tcBorders>
            <w:shd w:fill="auto" w:val="clear"/>
            <w:vAlign w:val="bottom"/>
          </w:tcPr>
          <w:p w14:paraId="FA440000">
            <w:pPr>
              <w:widowControl w:val="1"/>
              <w:ind/>
              <w:jc w:val="right"/>
              <w:rPr>
                <w:b w:val="1"/>
                <w:sz w:val="18"/>
              </w:rPr>
            </w:pPr>
            <w:r>
              <w:rPr>
                <w:b w:val="1"/>
                <w:sz w:val="18"/>
              </w:rPr>
              <w:t>824</w:t>
            </w:r>
          </w:p>
        </w:tc>
        <w:tc>
          <w:tcPr>
            <w:tcW w:type="dxa" w:w="1360"/>
            <w:tcBorders>
              <w:top w:color="000000" w:sz="4" w:val="single"/>
              <w:left w:color="000000" w:sz="4" w:val="single"/>
              <w:bottom w:color="000000" w:sz="4" w:val="single"/>
              <w:right w:color="000000" w:sz="4" w:val="single"/>
            </w:tcBorders>
            <w:shd w:fill="auto" w:val="clear"/>
            <w:vAlign w:val="bottom"/>
          </w:tcPr>
          <w:p w14:paraId="FB440000">
            <w:pPr>
              <w:widowControl w:val="1"/>
              <w:ind/>
              <w:jc w:val="right"/>
              <w:rPr>
                <w:b w:val="1"/>
                <w:sz w:val="18"/>
              </w:rPr>
            </w:pPr>
            <w:r>
              <w:rPr>
                <w:b w:val="1"/>
                <w:sz w:val="18"/>
              </w:rPr>
              <w:t>819</w:t>
            </w:r>
          </w:p>
        </w:tc>
        <w:tc>
          <w:tcPr>
            <w:tcW w:type="dxa" w:w="1560"/>
            <w:tcBorders>
              <w:top w:color="000000" w:sz="4" w:val="single"/>
              <w:left w:color="000000" w:sz="4" w:val="single"/>
              <w:bottom w:color="000000" w:sz="4" w:val="single"/>
              <w:right w:color="000000" w:sz="4" w:val="single"/>
            </w:tcBorders>
            <w:shd w:fill="auto" w:val="clear"/>
            <w:vAlign w:val="bottom"/>
          </w:tcPr>
          <w:p w14:paraId="FC440000">
            <w:pPr>
              <w:widowControl w:val="1"/>
              <w:ind/>
              <w:jc w:val="right"/>
              <w:rPr>
                <w:b w:val="1"/>
                <w:sz w:val="18"/>
              </w:rPr>
            </w:pPr>
            <w:r>
              <w:rPr>
                <w:b w:val="1"/>
                <w:sz w:val="18"/>
              </w:rPr>
              <w:t>15</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FD440000">
            <w:pPr>
              <w:rPr>
                <w:sz w:val="18"/>
              </w:rPr>
            </w:pPr>
            <w:r>
              <w:rPr>
                <w:sz w:val="18"/>
              </w:rPr>
              <w:t>АЗИМУТ ООО</w:t>
            </w:r>
          </w:p>
        </w:tc>
        <w:tc>
          <w:tcPr>
            <w:tcW w:type="dxa" w:w="1520"/>
            <w:tcBorders>
              <w:top w:color="000000" w:sz="4" w:val="single"/>
              <w:left w:color="000000" w:sz="4" w:val="single"/>
              <w:bottom w:color="000000" w:sz="4" w:val="single"/>
              <w:right w:color="000000" w:sz="4" w:val="single"/>
            </w:tcBorders>
            <w:shd w:fill="auto" w:val="clear"/>
            <w:vAlign w:val="bottom"/>
          </w:tcPr>
          <w:p w14:paraId="FE44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FF440000">
            <w:pPr>
              <w:widowControl w:val="1"/>
              <w:ind/>
              <w:jc w:val="right"/>
              <w:rPr>
                <w:sz w:val="18"/>
              </w:rPr>
            </w:pPr>
            <w:r>
              <w:rPr>
                <w:sz w:val="18"/>
              </w:rPr>
              <w:t>635</w:t>
            </w:r>
          </w:p>
        </w:tc>
        <w:tc>
          <w:tcPr>
            <w:tcW w:type="dxa" w:w="1360"/>
            <w:tcBorders>
              <w:top w:color="000000" w:sz="4" w:val="single"/>
              <w:left w:color="000000" w:sz="4" w:val="single"/>
              <w:bottom w:color="000000" w:sz="4" w:val="single"/>
              <w:right w:color="000000" w:sz="4" w:val="single"/>
            </w:tcBorders>
            <w:shd w:fill="auto" w:val="clear"/>
            <w:vAlign w:val="bottom"/>
          </w:tcPr>
          <w:p w14:paraId="00450000">
            <w:pPr>
              <w:widowControl w:val="1"/>
              <w:ind/>
              <w:jc w:val="right"/>
              <w:rPr>
                <w:sz w:val="18"/>
              </w:rPr>
            </w:pPr>
            <w:r>
              <w:rPr>
                <w:sz w:val="18"/>
              </w:rPr>
              <w:t>635</w:t>
            </w:r>
          </w:p>
        </w:tc>
        <w:tc>
          <w:tcPr>
            <w:tcW w:type="dxa" w:w="1560"/>
            <w:tcBorders>
              <w:top w:color="000000" w:sz="4" w:val="single"/>
              <w:left w:color="000000" w:sz="4" w:val="single"/>
              <w:bottom w:color="000000" w:sz="4" w:val="single"/>
              <w:right w:color="000000" w:sz="4" w:val="single"/>
            </w:tcBorders>
            <w:shd w:fill="auto" w:val="clear"/>
            <w:vAlign w:val="bottom"/>
          </w:tcPr>
          <w:p w14:paraId="01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2450000">
            <w:pPr>
              <w:rPr>
                <w:sz w:val="18"/>
              </w:rPr>
            </w:pPr>
            <w:r>
              <w:rPr>
                <w:sz w:val="18"/>
              </w:rPr>
              <w:t>Гончарова Татьяна Михайловна</w:t>
            </w:r>
          </w:p>
        </w:tc>
        <w:tc>
          <w:tcPr>
            <w:tcW w:type="dxa" w:w="1520"/>
            <w:tcBorders>
              <w:top w:color="000000" w:sz="4" w:val="single"/>
              <w:left w:color="000000" w:sz="4" w:val="single"/>
              <w:bottom w:color="000000" w:sz="4" w:val="single"/>
              <w:right w:color="000000" w:sz="4" w:val="single"/>
            </w:tcBorders>
            <w:shd w:fill="auto" w:val="clear"/>
            <w:vAlign w:val="bottom"/>
          </w:tcPr>
          <w:p w14:paraId="03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04450000">
            <w:pPr>
              <w:widowControl w:val="1"/>
              <w:ind/>
              <w:jc w:val="right"/>
              <w:rPr>
                <w:sz w:val="18"/>
              </w:rPr>
            </w:pPr>
            <w:r>
              <w:rPr>
                <w:sz w:val="18"/>
              </w:rPr>
              <w:t>4</w:t>
            </w:r>
          </w:p>
        </w:tc>
        <w:tc>
          <w:tcPr>
            <w:tcW w:type="dxa" w:w="1360"/>
            <w:tcBorders>
              <w:top w:color="000000" w:sz="4" w:val="single"/>
              <w:left w:color="000000" w:sz="4" w:val="single"/>
              <w:bottom w:color="000000" w:sz="4" w:val="single"/>
              <w:right w:color="000000" w:sz="4" w:val="single"/>
            </w:tcBorders>
            <w:shd w:fill="auto" w:val="clear"/>
            <w:vAlign w:val="bottom"/>
          </w:tcPr>
          <w:p w14:paraId="05450000">
            <w:pPr>
              <w:widowControl w:val="1"/>
              <w:ind/>
              <w:jc w:val="right"/>
              <w:rPr>
                <w:sz w:val="18"/>
              </w:rPr>
            </w:pPr>
            <w:r>
              <w:rPr>
                <w:sz w:val="18"/>
              </w:rPr>
              <w:t>4</w:t>
            </w:r>
          </w:p>
        </w:tc>
        <w:tc>
          <w:tcPr>
            <w:tcW w:type="dxa" w:w="1560"/>
            <w:tcBorders>
              <w:top w:color="000000" w:sz="4" w:val="single"/>
              <w:left w:color="000000" w:sz="4" w:val="single"/>
              <w:bottom w:color="000000" w:sz="4" w:val="single"/>
              <w:right w:color="000000" w:sz="4" w:val="single"/>
            </w:tcBorders>
            <w:shd w:fill="auto" w:val="clear"/>
            <w:vAlign w:val="bottom"/>
          </w:tcPr>
          <w:p w14:paraId="06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7450000">
            <w:pPr>
              <w:rPr>
                <w:sz w:val="18"/>
              </w:rPr>
            </w:pPr>
            <w:r>
              <w:rPr>
                <w:sz w:val="18"/>
              </w:rPr>
              <w:t>Горлова Галина Васильевна</w:t>
            </w:r>
          </w:p>
        </w:tc>
        <w:tc>
          <w:tcPr>
            <w:tcW w:type="dxa" w:w="1520"/>
            <w:tcBorders>
              <w:top w:color="000000" w:sz="4" w:val="single"/>
              <w:left w:color="000000" w:sz="4" w:val="single"/>
              <w:bottom w:color="000000" w:sz="4" w:val="single"/>
              <w:right w:color="000000" w:sz="4" w:val="single"/>
            </w:tcBorders>
            <w:shd w:fill="auto" w:val="clear"/>
            <w:vAlign w:val="bottom"/>
          </w:tcPr>
          <w:p w14:paraId="08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09450000">
            <w:pPr>
              <w:widowControl w:val="1"/>
              <w:ind/>
              <w:jc w:val="right"/>
              <w:rPr>
                <w:sz w:val="18"/>
              </w:rPr>
            </w:pPr>
            <w:r>
              <w:rPr>
                <w:sz w:val="18"/>
              </w:rPr>
              <w:t>2</w:t>
            </w:r>
          </w:p>
        </w:tc>
        <w:tc>
          <w:tcPr>
            <w:tcW w:type="dxa" w:w="1360"/>
            <w:tcBorders>
              <w:top w:color="000000" w:sz="4" w:val="single"/>
              <w:left w:color="000000" w:sz="4" w:val="single"/>
              <w:bottom w:color="000000" w:sz="4" w:val="single"/>
              <w:right w:color="000000" w:sz="4" w:val="single"/>
            </w:tcBorders>
            <w:shd w:fill="auto" w:val="clear"/>
            <w:vAlign w:val="bottom"/>
          </w:tcPr>
          <w:p w14:paraId="0A450000">
            <w:pPr>
              <w:widowControl w:val="1"/>
              <w:ind/>
              <w:jc w:val="right"/>
              <w:rPr>
                <w:sz w:val="18"/>
              </w:rPr>
            </w:pPr>
            <w:r>
              <w:rPr>
                <w:sz w:val="18"/>
              </w:rPr>
              <w:t>2</w:t>
            </w:r>
          </w:p>
        </w:tc>
        <w:tc>
          <w:tcPr>
            <w:tcW w:type="dxa" w:w="1560"/>
            <w:tcBorders>
              <w:top w:color="000000" w:sz="4" w:val="single"/>
              <w:left w:color="000000" w:sz="4" w:val="single"/>
              <w:bottom w:color="000000" w:sz="4" w:val="single"/>
              <w:right w:color="000000" w:sz="4" w:val="single"/>
            </w:tcBorders>
            <w:shd w:fill="auto" w:val="clear"/>
            <w:vAlign w:val="bottom"/>
          </w:tcPr>
          <w:p w14:paraId="0B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C450000">
            <w:pPr>
              <w:rPr>
                <w:sz w:val="18"/>
              </w:rPr>
            </w:pPr>
            <w:r>
              <w:rPr>
                <w:sz w:val="18"/>
              </w:rPr>
              <w:t>Детский сад № 199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0D450000">
            <w:pPr>
              <w:widowControl w:val="1"/>
              <w:ind/>
              <w:jc w:val="right"/>
              <w:rPr>
                <w:sz w:val="18"/>
              </w:rPr>
            </w:pPr>
            <w:r>
              <w:rPr>
                <w:sz w:val="18"/>
              </w:rPr>
              <w:t>2</w:t>
            </w:r>
          </w:p>
        </w:tc>
        <w:tc>
          <w:tcPr>
            <w:tcW w:type="dxa" w:w="1360"/>
            <w:tcBorders>
              <w:top w:color="000000" w:sz="4" w:val="single"/>
              <w:left w:color="000000" w:sz="4" w:val="single"/>
              <w:bottom w:color="000000" w:sz="4" w:val="single"/>
              <w:right w:color="000000" w:sz="4" w:val="single"/>
            </w:tcBorders>
            <w:shd w:fill="auto" w:val="clear"/>
            <w:vAlign w:val="bottom"/>
          </w:tcPr>
          <w:p w14:paraId="0E450000">
            <w:pPr>
              <w:widowControl w:val="1"/>
              <w:ind/>
              <w:jc w:val="right"/>
              <w:rPr>
                <w:sz w:val="18"/>
              </w:rPr>
            </w:pPr>
            <w:r>
              <w:rPr>
                <w:sz w:val="18"/>
              </w:rPr>
              <w:t>20</w:t>
            </w:r>
          </w:p>
        </w:tc>
        <w:tc>
          <w:tcPr>
            <w:tcW w:type="dxa" w:w="1360"/>
            <w:tcBorders>
              <w:top w:color="000000" w:sz="4" w:val="single"/>
              <w:left w:color="000000" w:sz="4" w:val="single"/>
              <w:bottom w:color="000000" w:sz="4" w:val="single"/>
              <w:right w:color="000000" w:sz="4" w:val="single"/>
            </w:tcBorders>
            <w:shd w:fill="auto" w:val="clear"/>
            <w:vAlign w:val="bottom"/>
          </w:tcPr>
          <w:p w14:paraId="0F450000">
            <w:pPr>
              <w:widowControl w:val="1"/>
              <w:ind/>
              <w:jc w:val="right"/>
              <w:rPr>
                <w:sz w:val="18"/>
              </w:rPr>
            </w:pPr>
            <w:r>
              <w:rPr>
                <w:sz w:val="18"/>
              </w:rPr>
              <w:t>22</w:t>
            </w:r>
          </w:p>
        </w:tc>
        <w:tc>
          <w:tcPr>
            <w:tcW w:type="dxa" w:w="1560"/>
            <w:tcBorders>
              <w:top w:color="000000" w:sz="4" w:val="single"/>
              <w:left w:color="000000" w:sz="4" w:val="single"/>
              <w:bottom w:color="000000" w:sz="4" w:val="single"/>
              <w:right w:color="000000" w:sz="4" w:val="single"/>
            </w:tcBorders>
            <w:shd w:fill="auto" w:val="clear"/>
            <w:vAlign w:val="bottom"/>
          </w:tcPr>
          <w:p w14:paraId="10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1450000">
            <w:pPr>
              <w:rPr>
                <w:sz w:val="18"/>
              </w:rPr>
            </w:pPr>
            <w:r>
              <w:rPr>
                <w:sz w:val="18"/>
              </w:rPr>
              <w:t>НУЗ Отделенческая поликлиника на ст. Абакан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12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13450000">
            <w:pPr>
              <w:widowControl w:val="1"/>
              <w:ind/>
              <w:jc w:val="right"/>
              <w:rPr>
                <w:sz w:val="18"/>
              </w:rPr>
            </w:pPr>
            <w:r>
              <w:rPr>
                <w:sz w:val="18"/>
              </w:rPr>
              <w:t>5</w:t>
            </w:r>
          </w:p>
        </w:tc>
        <w:tc>
          <w:tcPr>
            <w:tcW w:type="dxa" w:w="1360"/>
            <w:tcBorders>
              <w:top w:color="000000" w:sz="4" w:val="single"/>
              <w:left w:color="000000" w:sz="4" w:val="single"/>
              <w:bottom w:color="000000" w:sz="4" w:val="single"/>
              <w:right w:color="000000" w:sz="4" w:val="single"/>
            </w:tcBorders>
            <w:shd w:fill="auto" w:val="clear"/>
            <w:vAlign w:val="bottom"/>
          </w:tcPr>
          <w:p w14:paraId="14450000">
            <w:pPr>
              <w:widowControl w:val="1"/>
              <w:ind/>
              <w:jc w:val="right"/>
              <w:rPr>
                <w:sz w:val="18"/>
              </w:rPr>
            </w:pPr>
            <w:r>
              <w:rPr>
                <w:sz w:val="18"/>
              </w:rPr>
              <w:t>4</w:t>
            </w:r>
          </w:p>
        </w:tc>
        <w:tc>
          <w:tcPr>
            <w:tcW w:type="dxa" w:w="1560"/>
            <w:tcBorders>
              <w:top w:color="000000" w:sz="4" w:val="single"/>
              <w:left w:color="000000" w:sz="4" w:val="single"/>
              <w:bottom w:color="000000" w:sz="4" w:val="single"/>
              <w:right w:color="000000" w:sz="4" w:val="single"/>
            </w:tcBorders>
            <w:shd w:fill="auto" w:val="clear"/>
            <w:vAlign w:val="bottom"/>
          </w:tcPr>
          <w:p w14:paraId="15450000">
            <w:pPr>
              <w:widowControl w:val="1"/>
              <w:ind/>
              <w:jc w:val="right"/>
              <w:rPr>
                <w:sz w:val="18"/>
              </w:rPr>
            </w:pPr>
            <w:r>
              <w:rPr>
                <w:sz w:val="18"/>
              </w:rPr>
              <w:t>1</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6450000">
            <w:pPr>
              <w:rPr>
                <w:sz w:val="18"/>
              </w:rPr>
            </w:pPr>
            <w:r>
              <w:rPr>
                <w:sz w:val="18"/>
              </w:rPr>
              <w:t>НУЗ Отделенческая поликлиника на ст. Ачинск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17450000">
            <w:pPr>
              <w:widowControl w:val="1"/>
              <w:ind/>
              <w:jc w:val="right"/>
              <w:rPr>
                <w:sz w:val="18"/>
              </w:rPr>
            </w:pPr>
            <w:r>
              <w:rPr>
                <w:sz w:val="18"/>
              </w:rPr>
              <w:t>8</w:t>
            </w:r>
          </w:p>
        </w:tc>
        <w:tc>
          <w:tcPr>
            <w:tcW w:type="dxa" w:w="1360"/>
            <w:tcBorders>
              <w:top w:color="000000" w:sz="4" w:val="single"/>
              <w:left w:color="000000" w:sz="4" w:val="single"/>
              <w:bottom w:color="000000" w:sz="4" w:val="single"/>
              <w:right w:color="000000" w:sz="4" w:val="single"/>
            </w:tcBorders>
            <w:shd w:fill="auto" w:val="clear"/>
            <w:vAlign w:val="bottom"/>
          </w:tcPr>
          <w:p w14:paraId="18450000">
            <w:pPr>
              <w:widowControl w:val="1"/>
              <w:ind/>
              <w:jc w:val="right"/>
              <w:rPr>
                <w:sz w:val="18"/>
              </w:rPr>
            </w:pPr>
            <w:r>
              <w:rPr>
                <w:sz w:val="18"/>
              </w:rPr>
              <w:t>151</w:t>
            </w:r>
          </w:p>
        </w:tc>
        <w:tc>
          <w:tcPr>
            <w:tcW w:type="dxa" w:w="1360"/>
            <w:tcBorders>
              <w:top w:color="000000" w:sz="4" w:val="single"/>
              <w:left w:color="000000" w:sz="4" w:val="single"/>
              <w:bottom w:color="000000" w:sz="4" w:val="single"/>
              <w:right w:color="000000" w:sz="4" w:val="single"/>
            </w:tcBorders>
            <w:shd w:fill="auto" w:val="clear"/>
            <w:vAlign w:val="bottom"/>
          </w:tcPr>
          <w:p w14:paraId="19450000">
            <w:pPr>
              <w:widowControl w:val="1"/>
              <w:ind/>
              <w:jc w:val="right"/>
              <w:rPr>
                <w:sz w:val="18"/>
              </w:rPr>
            </w:pPr>
            <w:r>
              <w:rPr>
                <w:sz w:val="18"/>
              </w:rPr>
              <w:t>145</w:t>
            </w:r>
          </w:p>
        </w:tc>
        <w:tc>
          <w:tcPr>
            <w:tcW w:type="dxa" w:w="1560"/>
            <w:tcBorders>
              <w:top w:color="000000" w:sz="4" w:val="single"/>
              <w:left w:color="000000" w:sz="4" w:val="single"/>
              <w:bottom w:color="000000" w:sz="4" w:val="single"/>
              <w:right w:color="000000" w:sz="4" w:val="single"/>
            </w:tcBorders>
            <w:shd w:fill="auto" w:val="clear"/>
            <w:vAlign w:val="bottom"/>
          </w:tcPr>
          <w:p w14:paraId="1A450000">
            <w:pPr>
              <w:widowControl w:val="1"/>
              <w:ind/>
              <w:jc w:val="right"/>
              <w:rPr>
                <w:sz w:val="18"/>
              </w:rPr>
            </w:pPr>
            <w:r>
              <w:rPr>
                <w:sz w:val="18"/>
              </w:rPr>
              <w:t>14</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B450000">
            <w:pPr>
              <w:rPr>
                <w:sz w:val="18"/>
              </w:rPr>
            </w:pPr>
            <w:r>
              <w:rPr>
                <w:sz w:val="18"/>
              </w:rPr>
              <w:t>Андриенко Анна Алексеевна ИП</w:t>
            </w:r>
          </w:p>
        </w:tc>
        <w:tc>
          <w:tcPr>
            <w:tcW w:type="dxa" w:w="1520"/>
            <w:tcBorders>
              <w:top w:color="000000" w:sz="4" w:val="single"/>
              <w:left w:color="000000" w:sz="4" w:val="single"/>
              <w:bottom w:color="000000" w:sz="4" w:val="single"/>
              <w:right w:color="000000" w:sz="4" w:val="single"/>
            </w:tcBorders>
            <w:shd w:fill="auto" w:val="clear"/>
            <w:vAlign w:val="bottom"/>
          </w:tcPr>
          <w:p w14:paraId="1C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1D450000">
            <w:pPr>
              <w:widowControl w:val="1"/>
              <w:ind/>
              <w:jc w:val="right"/>
              <w:rPr>
                <w:sz w:val="18"/>
              </w:rPr>
            </w:pPr>
            <w:r>
              <w:rPr>
                <w:sz w:val="18"/>
              </w:rPr>
              <w:t>2</w:t>
            </w:r>
          </w:p>
        </w:tc>
        <w:tc>
          <w:tcPr>
            <w:tcW w:type="dxa" w:w="1360"/>
            <w:tcBorders>
              <w:top w:color="000000" w:sz="4" w:val="single"/>
              <w:left w:color="000000" w:sz="4" w:val="single"/>
              <w:bottom w:color="000000" w:sz="4" w:val="single"/>
              <w:right w:color="000000" w:sz="4" w:val="single"/>
            </w:tcBorders>
            <w:shd w:fill="auto" w:val="clear"/>
            <w:vAlign w:val="bottom"/>
          </w:tcPr>
          <w:p w14:paraId="1E450000">
            <w:pPr>
              <w:widowControl w:val="1"/>
              <w:ind/>
              <w:jc w:val="right"/>
              <w:rPr>
                <w:sz w:val="18"/>
              </w:rPr>
            </w:pPr>
            <w:r>
              <w:rPr>
                <w:sz w:val="18"/>
              </w:rPr>
              <w:t>2</w:t>
            </w:r>
          </w:p>
        </w:tc>
        <w:tc>
          <w:tcPr>
            <w:tcW w:type="dxa" w:w="1560"/>
            <w:tcBorders>
              <w:top w:color="000000" w:sz="4" w:val="single"/>
              <w:left w:color="000000" w:sz="4" w:val="single"/>
              <w:bottom w:color="000000" w:sz="4" w:val="single"/>
              <w:right w:color="000000" w:sz="4" w:val="single"/>
            </w:tcBorders>
            <w:shd w:fill="auto" w:val="clear"/>
            <w:vAlign w:val="bottom"/>
          </w:tcPr>
          <w:p w14:paraId="1F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20450000">
            <w:pPr>
              <w:rPr>
                <w:sz w:val="18"/>
              </w:rPr>
            </w:pPr>
            <w:r>
              <w:rPr>
                <w:sz w:val="18"/>
              </w:rPr>
              <w:t>Ромашов Анатолий Александрович</w:t>
            </w:r>
          </w:p>
        </w:tc>
        <w:tc>
          <w:tcPr>
            <w:tcW w:type="dxa" w:w="1520"/>
            <w:tcBorders>
              <w:top w:color="000000" w:sz="4" w:val="single"/>
              <w:left w:color="000000" w:sz="4" w:val="single"/>
              <w:bottom w:color="000000" w:sz="4" w:val="single"/>
              <w:right w:color="000000" w:sz="4" w:val="single"/>
            </w:tcBorders>
            <w:shd w:fill="auto" w:val="clear"/>
            <w:vAlign w:val="bottom"/>
          </w:tcPr>
          <w:p w14:paraId="21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22450000">
            <w:pPr>
              <w:widowControl w:val="1"/>
              <w:ind/>
              <w:jc w:val="right"/>
              <w:rPr>
                <w:sz w:val="18"/>
              </w:rPr>
            </w:pPr>
            <w:r>
              <w:rPr>
                <w:sz w:val="18"/>
              </w:rPr>
              <w:t>4</w:t>
            </w:r>
          </w:p>
        </w:tc>
        <w:tc>
          <w:tcPr>
            <w:tcW w:type="dxa" w:w="1360"/>
            <w:tcBorders>
              <w:top w:color="000000" w:sz="4" w:val="single"/>
              <w:left w:color="000000" w:sz="4" w:val="single"/>
              <w:bottom w:color="000000" w:sz="4" w:val="single"/>
              <w:right w:color="000000" w:sz="4" w:val="single"/>
            </w:tcBorders>
            <w:shd w:fill="auto" w:val="clear"/>
            <w:vAlign w:val="bottom"/>
          </w:tcPr>
          <w:p w14:paraId="23450000">
            <w:pPr>
              <w:widowControl w:val="1"/>
              <w:ind/>
              <w:jc w:val="right"/>
              <w:rPr>
                <w:sz w:val="18"/>
              </w:rPr>
            </w:pPr>
            <w:r>
              <w:rPr>
                <w:sz w:val="18"/>
              </w:rPr>
              <w:t>4</w:t>
            </w:r>
          </w:p>
        </w:tc>
        <w:tc>
          <w:tcPr>
            <w:tcW w:type="dxa" w:w="1560"/>
            <w:tcBorders>
              <w:top w:color="000000" w:sz="4" w:val="single"/>
              <w:left w:color="000000" w:sz="4" w:val="single"/>
              <w:bottom w:color="000000" w:sz="4" w:val="single"/>
              <w:right w:color="000000" w:sz="4" w:val="single"/>
            </w:tcBorders>
            <w:shd w:fill="auto" w:val="clear"/>
            <w:vAlign w:val="bottom"/>
          </w:tcPr>
          <w:p w14:paraId="24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25450000">
            <w:pPr>
              <w:rPr>
                <w:b w:val="1"/>
                <w:sz w:val="18"/>
              </w:rPr>
            </w:pPr>
            <w:r>
              <w:rPr>
                <w:b w:val="1"/>
                <w:sz w:val="18"/>
              </w:rPr>
              <w:t>Задолженность перед аффилированными лицами (счет 76.09) - всего, в т. ч.</w:t>
            </w:r>
          </w:p>
        </w:tc>
        <w:tc>
          <w:tcPr>
            <w:tcW w:type="dxa" w:w="1520"/>
            <w:tcBorders>
              <w:top w:color="000000" w:sz="4" w:val="single"/>
              <w:left w:color="000000" w:sz="4" w:val="single"/>
              <w:bottom w:color="000000" w:sz="4" w:val="single"/>
              <w:right w:color="000000" w:sz="4" w:val="single"/>
            </w:tcBorders>
            <w:shd w:fill="auto" w:val="clear"/>
            <w:vAlign w:val="bottom"/>
          </w:tcPr>
          <w:p w14:paraId="26450000">
            <w:pPr>
              <w:widowControl w:val="1"/>
              <w:ind/>
              <w:jc w:val="right"/>
              <w:rPr>
                <w:b w:val="1"/>
                <w:sz w:val="18"/>
              </w:rPr>
            </w:pPr>
            <w:r>
              <w:rPr>
                <w:b w:val="1"/>
                <w:sz w:val="18"/>
              </w:rPr>
              <w:t>3</w:t>
            </w:r>
          </w:p>
        </w:tc>
        <w:tc>
          <w:tcPr>
            <w:tcW w:type="dxa" w:w="1360"/>
            <w:tcBorders>
              <w:top w:color="000000" w:sz="4" w:val="single"/>
              <w:left w:color="000000" w:sz="4" w:val="single"/>
              <w:bottom w:color="000000" w:sz="4" w:val="single"/>
              <w:right w:color="000000" w:sz="4" w:val="single"/>
            </w:tcBorders>
            <w:shd w:fill="auto" w:val="clear"/>
            <w:vAlign w:val="bottom"/>
          </w:tcPr>
          <w:p w14:paraId="27450000">
            <w:pPr>
              <w:widowControl w:val="1"/>
              <w:ind/>
              <w:jc w:val="right"/>
              <w:rPr>
                <w:b w:val="1"/>
                <w:sz w:val="18"/>
              </w:rPr>
            </w:pPr>
            <w:r>
              <w:rPr>
                <w:b w:val="1"/>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28450000">
            <w:pPr>
              <w:widowControl w:val="1"/>
              <w:ind/>
              <w:jc w:val="right"/>
              <w:rPr>
                <w:b w:val="1"/>
                <w:sz w:val="18"/>
              </w:rPr>
            </w:pPr>
            <w:r>
              <w:rPr>
                <w:b w:val="1"/>
                <w:sz w:val="18"/>
              </w:rPr>
              <w:t>3</w:t>
            </w:r>
          </w:p>
        </w:tc>
        <w:tc>
          <w:tcPr>
            <w:tcW w:type="dxa" w:w="1560"/>
            <w:tcBorders>
              <w:top w:color="000000" w:sz="4" w:val="single"/>
              <w:left w:color="000000" w:sz="4" w:val="single"/>
              <w:bottom w:color="000000" w:sz="4" w:val="single"/>
              <w:right w:color="000000" w:sz="4" w:val="single"/>
            </w:tcBorders>
            <w:shd w:fill="auto" w:val="clear"/>
            <w:vAlign w:val="bottom"/>
          </w:tcPr>
          <w:p w14:paraId="29450000">
            <w:pPr>
              <w:widowControl w:val="1"/>
              <w:ind/>
              <w:jc w:val="right"/>
              <w:rPr>
                <w:b w:val="1"/>
                <w:sz w:val="18"/>
              </w:rPr>
            </w:pPr>
            <w:r>
              <w:rPr>
                <w:b w:val="1"/>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2A450000">
            <w:pPr>
              <w:rPr>
                <w:sz w:val="18"/>
              </w:rPr>
            </w:pPr>
            <w:r>
              <w:rPr>
                <w:sz w:val="18"/>
              </w:rPr>
              <w:t>Члены Совета директоров</w:t>
            </w:r>
          </w:p>
        </w:tc>
        <w:tc>
          <w:tcPr>
            <w:tcW w:type="dxa" w:w="1520"/>
            <w:tcBorders>
              <w:top w:color="000000" w:sz="4" w:val="single"/>
              <w:left w:color="000000" w:sz="4" w:val="single"/>
              <w:bottom w:color="000000" w:sz="4" w:val="single"/>
              <w:right w:color="000000" w:sz="4" w:val="single"/>
            </w:tcBorders>
            <w:shd w:fill="auto" w:val="clear"/>
            <w:vAlign w:val="bottom"/>
          </w:tcPr>
          <w:p w14:paraId="2B450000">
            <w:pPr>
              <w:widowControl w:val="1"/>
              <w:ind/>
              <w:jc w:val="right"/>
              <w:rPr>
                <w:sz w:val="18"/>
              </w:rPr>
            </w:pPr>
            <w:r>
              <w:rPr>
                <w:sz w:val="18"/>
              </w:rPr>
              <w:t>3</w:t>
            </w:r>
          </w:p>
        </w:tc>
        <w:tc>
          <w:tcPr>
            <w:tcW w:type="dxa" w:w="1360"/>
            <w:tcBorders>
              <w:top w:color="000000" w:sz="4" w:val="single"/>
              <w:left w:color="000000" w:sz="4" w:val="single"/>
              <w:bottom w:color="000000" w:sz="4" w:val="single"/>
              <w:right w:color="000000" w:sz="4" w:val="single"/>
            </w:tcBorders>
            <w:shd w:fill="auto" w:val="clear"/>
            <w:vAlign w:val="bottom"/>
          </w:tcPr>
          <w:p w14:paraId="2C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2D450000">
            <w:pPr>
              <w:widowControl w:val="1"/>
              <w:ind/>
              <w:jc w:val="right"/>
              <w:rPr>
                <w:sz w:val="18"/>
              </w:rPr>
            </w:pPr>
            <w:r>
              <w:rPr>
                <w:sz w:val="18"/>
              </w:rPr>
              <w:t>3</w:t>
            </w:r>
          </w:p>
        </w:tc>
        <w:tc>
          <w:tcPr>
            <w:tcW w:type="dxa" w:w="1560"/>
            <w:tcBorders>
              <w:top w:color="000000" w:sz="4" w:val="single"/>
              <w:left w:color="000000" w:sz="4" w:val="single"/>
              <w:bottom w:color="000000" w:sz="4" w:val="single"/>
              <w:right w:color="000000" w:sz="4" w:val="single"/>
            </w:tcBorders>
            <w:shd w:fill="auto" w:val="clear"/>
            <w:vAlign w:val="bottom"/>
          </w:tcPr>
          <w:p w14:paraId="2E450000">
            <w:pPr>
              <w:widowControl w:val="1"/>
              <w:ind/>
              <w:jc w:val="right"/>
              <w:rPr>
                <w:sz w:val="18"/>
              </w:rPr>
            </w:pPr>
            <w:r>
              <w:rPr>
                <w:sz w:val="18"/>
              </w:rPr>
              <w:t>0</w:t>
            </w:r>
          </w:p>
        </w:tc>
      </w:tr>
      <w:tr>
        <w:trPr>
          <w:trHeight w:hRule="atLeast" w:val="285"/>
        </w:trPr>
        <w:tc>
          <w:tcPr>
            <w:tcW w:type="dxa" w:w="4414"/>
            <w:tcBorders>
              <w:top w:color="000000" w:sz="4" w:val="single"/>
              <w:left w:color="000000" w:sz="4" w:val="single"/>
              <w:bottom w:color="000000" w:sz="4" w:val="single"/>
              <w:right w:color="000000" w:sz="4" w:val="single"/>
            </w:tcBorders>
            <w:shd w:fill="auto" w:val="clear"/>
            <w:vAlign w:val="bottom"/>
          </w:tcPr>
          <w:p w14:paraId="2F450000">
            <w:pPr>
              <w:rPr>
                <w:b w:val="1"/>
                <w:sz w:val="18"/>
              </w:rPr>
            </w:pPr>
            <w:r>
              <w:rPr>
                <w:b w:val="1"/>
                <w:sz w:val="18"/>
              </w:rPr>
              <w:t>Задолженность перед прочими кредиторами (счет 71, 73, 76) - всего, в т. ч.</w:t>
            </w:r>
          </w:p>
        </w:tc>
        <w:tc>
          <w:tcPr>
            <w:tcW w:type="dxa" w:w="1520"/>
            <w:tcBorders>
              <w:top w:color="000000" w:sz="4" w:val="single"/>
              <w:left w:color="000000" w:sz="4" w:val="single"/>
              <w:bottom w:color="000000" w:sz="4" w:val="single"/>
              <w:right w:color="000000" w:sz="4" w:val="single"/>
            </w:tcBorders>
            <w:shd w:fill="auto" w:val="clear"/>
            <w:vAlign w:val="bottom"/>
          </w:tcPr>
          <w:p w14:paraId="30450000">
            <w:pPr>
              <w:widowControl w:val="1"/>
              <w:ind/>
              <w:jc w:val="right"/>
              <w:rPr>
                <w:b w:val="1"/>
                <w:sz w:val="18"/>
              </w:rPr>
            </w:pPr>
            <w:r>
              <w:rPr>
                <w:b w:val="1"/>
                <w:sz w:val="18"/>
              </w:rPr>
              <w:t>6 767</w:t>
            </w:r>
          </w:p>
        </w:tc>
        <w:tc>
          <w:tcPr>
            <w:tcW w:type="dxa" w:w="1360"/>
            <w:tcBorders>
              <w:top w:color="000000" w:sz="4" w:val="single"/>
              <w:left w:color="000000" w:sz="4" w:val="single"/>
              <w:bottom w:color="000000" w:sz="4" w:val="single"/>
              <w:right w:color="000000" w:sz="4" w:val="single"/>
            </w:tcBorders>
            <w:shd w:fill="auto" w:val="clear"/>
            <w:vAlign w:val="bottom"/>
          </w:tcPr>
          <w:p w14:paraId="31450000">
            <w:pPr>
              <w:widowControl w:val="1"/>
              <w:ind/>
              <w:jc w:val="right"/>
              <w:rPr>
                <w:b w:val="1"/>
                <w:sz w:val="18"/>
              </w:rPr>
            </w:pPr>
            <w:r>
              <w:rPr>
                <w:b w:val="1"/>
                <w:sz w:val="18"/>
              </w:rPr>
              <w:t>8 904</w:t>
            </w:r>
          </w:p>
        </w:tc>
        <w:tc>
          <w:tcPr>
            <w:tcW w:type="dxa" w:w="1360"/>
            <w:tcBorders>
              <w:top w:color="000000" w:sz="4" w:val="single"/>
              <w:left w:color="000000" w:sz="4" w:val="single"/>
              <w:bottom w:color="000000" w:sz="4" w:val="single"/>
              <w:right w:color="000000" w:sz="4" w:val="single"/>
            </w:tcBorders>
            <w:shd w:fill="auto" w:val="clear"/>
            <w:vAlign w:val="bottom"/>
          </w:tcPr>
          <w:p w14:paraId="32450000">
            <w:pPr>
              <w:widowControl w:val="1"/>
              <w:ind/>
              <w:jc w:val="right"/>
              <w:rPr>
                <w:b w:val="1"/>
                <w:sz w:val="18"/>
              </w:rPr>
            </w:pPr>
            <w:r>
              <w:rPr>
                <w:b w:val="1"/>
                <w:sz w:val="18"/>
              </w:rPr>
              <w:t>14 498</w:t>
            </w:r>
          </w:p>
        </w:tc>
        <w:tc>
          <w:tcPr>
            <w:tcW w:type="dxa" w:w="1560"/>
            <w:tcBorders>
              <w:top w:color="000000" w:sz="4" w:val="single"/>
              <w:left w:color="000000" w:sz="4" w:val="single"/>
              <w:bottom w:color="000000" w:sz="4" w:val="single"/>
              <w:right w:color="000000" w:sz="4" w:val="single"/>
            </w:tcBorders>
            <w:shd w:fill="auto" w:val="clear"/>
            <w:vAlign w:val="bottom"/>
          </w:tcPr>
          <w:p w14:paraId="33450000">
            <w:pPr>
              <w:widowControl w:val="1"/>
              <w:ind/>
              <w:jc w:val="right"/>
              <w:rPr>
                <w:b w:val="1"/>
                <w:sz w:val="18"/>
              </w:rPr>
            </w:pPr>
            <w:r>
              <w:rPr>
                <w:b w:val="1"/>
                <w:sz w:val="18"/>
              </w:rPr>
              <w:t>1 173</w:t>
            </w:r>
          </w:p>
        </w:tc>
      </w:tr>
      <w:tr>
        <w:trPr>
          <w:trHeight w:hRule="atLeast" w:val="495"/>
        </w:trPr>
        <w:tc>
          <w:tcPr>
            <w:tcW w:type="dxa" w:w="4414"/>
            <w:tcBorders>
              <w:top w:color="000000" w:sz="4" w:val="single"/>
              <w:left w:color="000000" w:sz="4" w:val="single"/>
              <w:bottom w:color="000000" w:sz="4" w:val="single"/>
              <w:right w:color="000000" w:sz="4" w:val="single"/>
            </w:tcBorders>
            <w:shd w:fill="auto" w:val="clear"/>
            <w:vAlign w:val="bottom"/>
          </w:tcPr>
          <w:p w14:paraId="34450000">
            <w:pPr>
              <w:rPr>
                <w:b w:val="1"/>
                <w:sz w:val="18"/>
              </w:rPr>
            </w:pPr>
            <w:r>
              <w:rPr>
                <w:b w:val="1"/>
                <w:sz w:val="18"/>
              </w:rPr>
              <w:t xml:space="preserve">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35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36450000">
            <w:pPr>
              <w:widowControl w:val="1"/>
              <w:ind/>
              <w:jc w:val="right"/>
              <w:rPr>
                <w:sz w:val="18"/>
              </w:rPr>
            </w:pPr>
            <w:r>
              <w:rPr>
                <w:sz w:val="18"/>
              </w:rPr>
              <w:t>168</w:t>
            </w:r>
          </w:p>
        </w:tc>
        <w:tc>
          <w:tcPr>
            <w:tcW w:type="dxa" w:w="1360"/>
            <w:tcBorders>
              <w:top w:color="000000" w:sz="4" w:val="single"/>
              <w:left w:color="000000" w:sz="4" w:val="single"/>
              <w:bottom w:color="000000" w:sz="4" w:val="single"/>
              <w:right w:color="000000" w:sz="4" w:val="single"/>
            </w:tcBorders>
            <w:shd w:fill="auto" w:val="clear"/>
            <w:vAlign w:val="bottom"/>
          </w:tcPr>
          <w:p w14:paraId="37450000">
            <w:pPr>
              <w:widowControl w:val="1"/>
              <w:ind/>
              <w:jc w:val="right"/>
              <w:rPr>
                <w:sz w:val="18"/>
              </w:rPr>
            </w:pPr>
            <w:r>
              <w:rPr>
                <w:sz w:val="18"/>
              </w:rPr>
              <w:t>168</w:t>
            </w:r>
          </w:p>
        </w:tc>
        <w:tc>
          <w:tcPr>
            <w:tcW w:type="dxa" w:w="1560"/>
            <w:tcBorders>
              <w:top w:color="000000" w:sz="4" w:val="single"/>
              <w:left w:color="000000" w:sz="4" w:val="single"/>
              <w:bottom w:color="000000" w:sz="4" w:val="single"/>
              <w:right w:color="000000" w:sz="4" w:val="single"/>
            </w:tcBorders>
            <w:shd w:fill="auto" w:val="clear"/>
            <w:vAlign w:val="bottom"/>
          </w:tcPr>
          <w:p w14:paraId="38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39450000">
            <w:pPr>
              <w:rPr>
                <w:sz w:val="18"/>
              </w:rPr>
            </w:pPr>
            <w:r>
              <w:rPr>
                <w:sz w:val="18"/>
              </w:rPr>
              <w:t>РЖД ОАО Дирекция социальной сферы структурное подразделение КЖД</w:t>
            </w:r>
          </w:p>
        </w:tc>
        <w:tc>
          <w:tcPr>
            <w:tcW w:type="dxa" w:w="1520"/>
            <w:tcBorders>
              <w:top w:color="000000" w:sz="4" w:val="single"/>
              <w:left w:color="000000" w:sz="4" w:val="single"/>
              <w:bottom w:color="000000" w:sz="4" w:val="single"/>
              <w:right w:color="000000" w:sz="4" w:val="single"/>
            </w:tcBorders>
            <w:shd w:fill="auto" w:val="clear"/>
            <w:vAlign w:val="bottom"/>
          </w:tcPr>
          <w:p w14:paraId="3A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3B450000">
            <w:pPr>
              <w:widowControl w:val="1"/>
              <w:ind/>
              <w:jc w:val="right"/>
              <w:rPr>
                <w:sz w:val="18"/>
              </w:rPr>
            </w:pPr>
            <w:r>
              <w:rPr>
                <w:sz w:val="18"/>
              </w:rPr>
              <w:t>168</w:t>
            </w:r>
          </w:p>
        </w:tc>
        <w:tc>
          <w:tcPr>
            <w:tcW w:type="dxa" w:w="1360"/>
            <w:tcBorders>
              <w:top w:color="000000" w:sz="4" w:val="single"/>
              <w:left w:color="000000" w:sz="4" w:val="single"/>
              <w:bottom w:color="000000" w:sz="4" w:val="single"/>
              <w:right w:color="000000" w:sz="4" w:val="single"/>
            </w:tcBorders>
            <w:shd w:fill="auto" w:val="clear"/>
            <w:vAlign w:val="bottom"/>
          </w:tcPr>
          <w:p w14:paraId="3C450000">
            <w:pPr>
              <w:widowControl w:val="1"/>
              <w:ind/>
              <w:jc w:val="right"/>
              <w:rPr>
                <w:sz w:val="18"/>
              </w:rPr>
            </w:pPr>
            <w:r>
              <w:rPr>
                <w:sz w:val="18"/>
              </w:rPr>
              <w:t>168</w:t>
            </w:r>
          </w:p>
        </w:tc>
        <w:tc>
          <w:tcPr>
            <w:tcW w:type="dxa" w:w="1560"/>
            <w:tcBorders>
              <w:top w:color="000000" w:sz="4" w:val="single"/>
              <w:left w:color="000000" w:sz="4" w:val="single"/>
              <w:bottom w:color="000000" w:sz="4" w:val="single"/>
              <w:right w:color="000000" w:sz="4" w:val="single"/>
            </w:tcBorders>
            <w:shd w:fill="auto" w:val="clear"/>
            <w:vAlign w:val="bottom"/>
          </w:tcPr>
          <w:p w14:paraId="3D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3E450000">
            <w:pPr>
              <w:rPr>
                <w:b w:val="1"/>
                <w:sz w:val="18"/>
              </w:rPr>
            </w:pPr>
            <w:r>
              <w:rPr>
                <w:b w:val="1"/>
                <w:sz w:val="18"/>
              </w:rPr>
              <w:t xml:space="preserve">            ДЗО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3F450000">
            <w:pPr>
              <w:widowControl w:val="1"/>
              <w:ind/>
              <w:jc w:val="right"/>
              <w:rPr>
                <w:b w:val="1"/>
                <w:sz w:val="18"/>
              </w:rPr>
            </w:pPr>
            <w:r>
              <w:rPr>
                <w:b w:val="1"/>
                <w:sz w:val="18"/>
              </w:rPr>
              <w:t>24</w:t>
            </w:r>
          </w:p>
        </w:tc>
        <w:tc>
          <w:tcPr>
            <w:tcW w:type="dxa" w:w="1360"/>
            <w:tcBorders>
              <w:top w:color="000000" w:sz="4" w:val="single"/>
              <w:left w:color="000000" w:sz="4" w:val="single"/>
              <w:bottom w:color="000000" w:sz="4" w:val="single"/>
              <w:right w:color="000000" w:sz="4" w:val="single"/>
            </w:tcBorders>
            <w:shd w:fill="auto" w:val="clear"/>
            <w:vAlign w:val="bottom"/>
          </w:tcPr>
          <w:p w14:paraId="40450000">
            <w:pPr>
              <w:widowControl w:val="1"/>
              <w:ind/>
              <w:jc w:val="right"/>
              <w:rPr>
                <w:b w:val="1"/>
                <w:sz w:val="18"/>
              </w:rPr>
            </w:pPr>
            <w:r>
              <w:rPr>
                <w:b w:val="1"/>
                <w:sz w:val="18"/>
              </w:rPr>
              <w:t>483</w:t>
            </w:r>
          </w:p>
        </w:tc>
        <w:tc>
          <w:tcPr>
            <w:tcW w:type="dxa" w:w="1360"/>
            <w:tcBorders>
              <w:top w:color="000000" w:sz="4" w:val="single"/>
              <w:left w:color="000000" w:sz="4" w:val="single"/>
              <w:bottom w:color="000000" w:sz="4" w:val="single"/>
              <w:right w:color="000000" w:sz="4" w:val="single"/>
            </w:tcBorders>
            <w:shd w:fill="auto" w:val="clear"/>
            <w:vAlign w:val="bottom"/>
          </w:tcPr>
          <w:p w14:paraId="41450000">
            <w:pPr>
              <w:widowControl w:val="1"/>
              <w:ind/>
              <w:jc w:val="right"/>
              <w:rPr>
                <w:b w:val="1"/>
                <w:sz w:val="18"/>
              </w:rPr>
            </w:pPr>
            <w:r>
              <w:rPr>
                <w:b w:val="1"/>
                <w:sz w:val="18"/>
              </w:rPr>
              <w:t>494</w:t>
            </w:r>
          </w:p>
        </w:tc>
        <w:tc>
          <w:tcPr>
            <w:tcW w:type="dxa" w:w="1560"/>
            <w:tcBorders>
              <w:top w:color="000000" w:sz="4" w:val="single"/>
              <w:left w:color="000000" w:sz="4" w:val="single"/>
              <w:bottom w:color="000000" w:sz="4" w:val="single"/>
              <w:right w:color="000000" w:sz="4" w:val="single"/>
            </w:tcBorders>
            <w:shd w:fill="auto" w:val="clear"/>
            <w:vAlign w:val="bottom"/>
          </w:tcPr>
          <w:p w14:paraId="42450000">
            <w:pPr>
              <w:widowControl w:val="1"/>
              <w:ind/>
              <w:jc w:val="right"/>
              <w:rPr>
                <w:b w:val="1"/>
                <w:sz w:val="18"/>
              </w:rPr>
            </w:pPr>
            <w:r>
              <w:rPr>
                <w:b w:val="1"/>
                <w:sz w:val="18"/>
              </w:rPr>
              <w:t>13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43450000">
            <w:pPr>
              <w:rPr>
                <w:sz w:val="18"/>
              </w:rPr>
            </w:pPr>
            <w:r>
              <w:rPr>
                <w:sz w:val="18"/>
              </w:rPr>
              <w:t>Кузбасс-Пригород ОАО</w:t>
            </w:r>
          </w:p>
        </w:tc>
        <w:tc>
          <w:tcPr>
            <w:tcW w:type="dxa" w:w="1520"/>
            <w:tcBorders>
              <w:top w:color="000000" w:sz="4" w:val="single"/>
              <w:left w:color="000000" w:sz="4" w:val="single"/>
              <w:bottom w:color="000000" w:sz="4" w:val="single"/>
              <w:right w:color="000000" w:sz="4" w:val="single"/>
            </w:tcBorders>
            <w:shd w:fill="auto" w:val="clear"/>
            <w:vAlign w:val="bottom"/>
          </w:tcPr>
          <w:p w14:paraId="44450000">
            <w:pPr>
              <w:widowControl w:val="1"/>
              <w:ind/>
              <w:jc w:val="right"/>
              <w:rPr>
                <w:sz w:val="18"/>
              </w:rPr>
            </w:pPr>
            <w:r>
              <w:rPr>
                <w:sz w:val="18"/>
              </w:rPr>
              <w:t>24</w:t>
            </w:r>
          </w:p>
        </w:tc>
        <w:tc>
          <w:tcPr>
            <w:tcW w:type="dxa" w:w="1360"/>
            <w:tcBorders>
              <w:top w:color="000000" w:sz="4" w:val="single"/>
              <w:left w:color="000000" w:sz="4" w:val="single"/>
              <w:bottom w:color="000000" w:sz="4" w:val="single"/>
              <w:right w:color="000000" w:sz="4" w:val="single"/>
            </w:tcBorders>
            <w:shd w:fill="auto" w:val="clear"/>
            <w:vAlign w:val="bottom"/>
          </w:tcPr>
          <w:p w14:paraId="45450000">
            <w:pPr>
              <w:widowControl w:val="1"/>
              <w:ind/>
              <w:jc w:val="right"/>
              <w:rPr>
                <w:sz w:val="18"/>
              </w:rPr>
            </w:pPr>
            <w:r>
              <w:rPr>
                <w:sz w:val="18"/>
              </w:rPr>
              <w:t>483</w:t>
            </w:r>
          </w:p>
        </w:tc>
        <w:tc>
          <w:tcPr>
            <w:tcW w:type="dxa" w:w="1360"/>
            <w:tcBorders>
              <w:top w:color="000000" w:sz="4" w:val="single"/>
              <w:left w:color="000000" w:sz="4" w:val="single"/>
              <w:bottom w:color="000000" w:sz="4" w:val="single"/>
              <w:right w:color="000000" w:sz="4" w:val="single"/>
            </w:tcBorders>
            <w:shd w:fill="auto" w:val="clear"/>
            <w:vAlign w:val="bottom"/>
          </w:tcPr>
          <w:p w14:paraId="46450000">
            <w:pPr>
              <w:widowControl w:val="1"/>
              <w:ind/>
              <w:jc w:val="right"/>
              <w:rPr>
                <w:sz w:val="18"/>
              </w:rPr>
            </w:pPr>
            <w:r>
              <w:rPr>
                <w:sz w:val="18"/>
              </w:rPr>
              <w:t>494</w:t>
            </w:r>
          </w:p>
        </w:tc>
        <w:tc>
          <w:tcPr>
            <w:tcW w:type="dxa" w:w="1560"/>
            <w:tcBorders>
              <w:top w:color="000000" w:sz="4" w:val="single"/>
              <w:left w:color="000000" w:sz="4" w:val="single"/>
              <w:bottom w:color="000000" w:sz="4" w:val="single"/>
              <w:right w:color="000000" w:sz="4" w:val="single"/>
            </w:tcBorders>
            <w:shd w:fill="auto" w:val="clear"/>
            <w:vAlign w:val="bottom"/>
          </w:tcPr>
          <w:p w14:paraId="47450000">
            <w:pPr>
              <w:widowControl w:val="1"/>
              <w:ind/>
              <w:jc w:val="right"/>
              <w:rPr>
                <w:sz w:val="18"/>
              </w:rPr>
            </w:pPr>
            <w:r>
              <w:rPr>
                <w:sz w:val="18"/>
              </w:rPr>
              <w:t>13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48450000">
            <w:pPr>
              <w:rPr>
                <w:b w:val="1"/>
                <w:sz w:val="18"/>
              </w:rPr>
            </w:pPr>
            <w:r>
              <w:rPr>
                <w:b w:val="1"/>
                <w:sz w:val="18"/>
              </w:rPr>
              <w:t xml:space="preserve">            Субъекты РФ:</w:t>
            </w:r>
          </w:p>
        </w:tc>
        <w:tc>
          <w:tcPr>
            <w:tcW w:type="dxa" w:w="1520"/>
            <w:tcBorders>
              <w:top w:color="000000" w:sz="4" w:val="single"/>
              <w:left w:color="000000" w:sz="4" w:val="single"/>
              <w:bottom w:color="000000" w:sz="4" w:val="single"/>
              <w:right w:color="000000" w:sz="4" w:val="single"/>
            </w:tcBorders>
            <w:shd w:fill="auto" w:val="clear"/>
            <w:vAlign w:val="bottom"/>
          </w:tcPr>
          <w:p w14:paraId="49450000">
            <w:pPr>
              <w:widowControl w:val="1"/>
              <w:ind/>
              <w:jc w:val="right"/>
              <w:rPr>
                <w:b w:val="1"/>
                <w:sz w:val="18"/>
              </w:rPr>
            </w:pPr>
            <w:r>
              <w:rPr>
                <w:b w:val="1"/>
                <w:sz w:val="18"/>
              </w:rPr>
              <w:t>6 173</w:t>
            </w:r>
          </w:p>
        </w:tc>
        <w:tc>
          <w:tcPr>
            <w:tcW w:type="dxa" w:w="1360"/>
            <w:tcBorders>
              <w:top w:color="000000" w:sz="4" w:val="single"/>
              <w:left w:color="000000" w:sz="4" w:val="single"/>
              <w:bottom w:color="000000" w:sz="4" w:val="single"/>
              <w:right w:color="000000" w:sz="4" w:val="single"/>
            </w:tcBorders>
            <w:shd w:fill="auto" w:val="clear"/>
            <w:vAlign w:val="bottom"/>
          </w:tcPr>
          <w:p w14:paraId="4A450000">
            <w:pPr>
              <w:widowControl w:val="1"/>
              <w:ind/>
              <w:jc w:val="right"/>
              <w:rPr>
                <w:b w:val="1"/>
                <w:sz w:val="18"/>
              </w:rPr>
            </w:pPr>
            <w:r>
              <w:rPr>
                <w:b w:val="1"/>
                <w:sz w:val="18"/>
              </w:rPr>
              <w:t>701</w:t>
            </w:r>
          </w:p>
        </w:tc>
        <w:tc>
          <w:tcPr>
            <w:tcW w:type="dxa" w:w="1360"/>
            <w:tcBorders>
              <w:top w:color="000000" w:sz="4" w:val="single"/>
              <w:left w:color="000000" w:sz="4" w:val="single"/>
              <w:bottom w:color="000000" w:sz="4" w:val="single"/>
              <w:right w:color="000000" w:sz="4" w:val="single"/>
            </w:tcBorders>
            <w:shd w:fill="auto" w:val="clear"/>
            <w:vAlign w:val="bottom"/>
          </w:tcPr>
          <w:p w14:paraId="4B450000">
            <w:pPr>
              <w:widowControl w:val="1"/>
              <w:ind/>
              <w:jc w:val="right"/>
              <w:rPr>
                <w:b w:val="1"/>
                <w:sz w:val="18"/>
              </w:rPr>
            </w:pPr>
            <w:r>
              <w:rPr>
                <w:b w:val="1"/>
                <w:sz w:val="18"/>
              </w:rPr>
              <w:t>6 173</w:t>
            </w:r>
          </w:p>
        </w:tc>
        <w:tc>
          <w:tcPr>
            <w:tcW w:type="dxa" w:w="1560"/>
            <w:tcBorders>
              <w:top w:color="000000" w:sz="4" w:val="single"/>
              <w:left w:color="000000" w:sz="4" w:val="single"/>
              <w:bottom w:color="000000" w:sz="4" w:val="single"/>
              <w:right w:color="000000" w:sz="4" w:val="single"/>
            </w:tcBorders>
            <w:shd w:fill="auto" w:val="clear"/>
            <w:vAlign w:val="bottom"/>
          </w:tcPr>
          <w:p w14:paraId="4C450000">
            <w:pPr>
              <w:widowControl w:val="1"/>
              <w:ind/>
              <w:jc w:val="right"/>
              <w:rPr>
                <w:b w:val="1"/>
                <w:sz w:val="18"/>
              </w:rPr>
            </w:pPr>
            <w:r>
              <w:rPr>
                <w:b w:val="1"/>
                <w:sz w:val="18"/>
              </w:rPr>
              <w:t>701</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4D450000">
            <w:pPr>
              <w:rPr>
                <w:sz w:val="18"/>
              </w:rPr>
            </w:pPr>
            <w:r>
              <w:rPr>
                <w:sz w:val="18"/>
              </w:rPr>
              <w:t>Министерство транспорта Красноярского края</w:t>
            </w:r>
          </w:p>
        </w:tc>
        <w:tc>
          <w:tcPr>
            <w:tcW w:type="dxa" w:w="1520"/>
            <w:tcBorders>
              <w:top w:color="000000" w:sz="4" w:val="single"/>
              <w:left w:color="000000" w:sz="4" w:val="single"/>
              <w:bottom w:color="000000" w:sz="4" w:val="single"/>
              <w:right w:color="000000" w:sz="4" w:val="single"/>
            </w:tcBorders>
            <w:shd w:fill="auto" w:val="clear"/>
            <w:vAlign w:val="bottom"/>
          </w:tcPr>
          <w:p w14:paraId="4E450000">
            <w:pPr>
              <w:widowControl w:val="1"/>
              <w:ind/>
              <w:jc w:val="right"/>
              <w:rPr>
                <w:sz w:val="18"/>
              </w:rPr>
            </w:pPr>
            <w:r>
              <w:rPr>
                <w:sz w:val="18"/>
              </w:rPr>
              <w:t>6 173</w:t>
            </w:r>
          </w:p>
        </w:tc>
        <w:tc>
          <w:tcPr>
            <w:tcW w:type="dxa" w:w="1360"/>
            <w:tcBorders>
              <w:top w:color="000000" w:sz="4" w:val="single"/>
              <w:left w:color="000000" w:sz="4" w:val="single"/>
              <w:bottom w:color="000000" w:sz="4" w:val="single"/>
              <w:right w:color="000000" w:sz="4" w:val="single"/>
            </w:tcBorders>
            <w:shd w:fill="auto" w:val="clear"/>
            <w:vAlign w:val="bottom"/>
          </w:tcPr>
          <w:p w14:paraId="4F450000">
            <w:pPr>
              <w:widowControl w:val="1"/>
              <w:ind/>
              <w:jc w:val="right"/>
              <w:rPr>
                <w:sz w:val="18"/>
              </w:rPr>
            </w:pPr>
            <w:r>
              <w:rPr>
                <w:sz w:val="18"/>
              </w:rPr>
              <w:t>657</w:t>
            </w:r>
          </w:p>
        </w:tc>
        <w:tc>
          <w:tcPr>
            <w:tcW w:type="dxa" w:w="1360"/>
            <w:tcBorders>
              <w:top w:color="000000" w:sz="4" w:val="single"/>
              <w:left w:color="000000" w:sz="4" w:val="single"/>
              <w:bottom w:color="000000" w:sz="4" w:val="single"/>
              <w:right w:color="000000" w:sz="4" w:val="single"/>
            </w:tcBorders>
            <w:shd w:fill="auto" w:val="clear"/>
            <w:vAlign w:val="bottom"/>
          </w:tcPr>
          <w:p w14:paraId="50450000">
            <w:pPr>
              <w:widowControl w:val="1"/>
              <w:ind/>
              <w:jc w:val="right"/>
              <w:rPr>
                <w:sz w:val="18"/>
              </w:rPr>
            </w:pPr>
            <w:r>
              <w:rPr>
                <w:sz w:val="18"/>
              </w:rPr>
              <w:t>6 173</w:t>
            </w:r>
          </w:p>
        </w:tc>
        <w:tc>
          <w:tcPr>
            <w:tcW w:type="dxa" w:w="1560"/>
            <w:tcBorders>
              <w:top w:color="000000" w:sz="4" w:val="single"/>
              <w:left w:color="000000" w:sz="4" w:val="single"/>
              <w:bottom w:color="000000" w:sz="4" w:val="single"/>
              <w:right w:color="000000" w:sz="4" w:val="single"/>
            </w:tcBorders>
            <w:shd w:fill="auto" w:val="clear"/>
            <w:vAlign w:val="bottom"/>
          </w:tcPr>
          <w:p w14:paraId="51450000">
            <w:pPr>
              <w:widowControl w:val="1"/>
              <w:ind/>
              <w:jc w:val="right"/>
              <w:rPr>
                <w:sz w:val="18"/>
              </w:rPr>
            </w:pPr>
            <w:r>
              <w:rPr>
                <w:sz w:val="18"/>
              </w:rPr>
              <w:t>657</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52450000">
            <w:pPr>
              <w:rPr>
                <w:sz w:val="18"/>
              </w:rPr>
            </w:pPr>
            <w:r>
              <w:rPr>
                <w:sz w:val="18"/>
              </w:rPr>
              <w:t>Департамент транспорта Кемеровской области</w:t>
            </w:r>
          </w:p>
        </w:tc>
        <w:tc>
          <w:tcPr>
            <w:tcW w:type="dxa" w:w="1520"/>
            <w:tcBorders>
              <w:top w:color="000000" w:sz="4" w:val="single"/>
              <w:left w:color="000000" w:sz="4" w:val="single"/>
              <w:bottom w:color="000000" w:sz="4" w:val="single"/>
              <w:right w:color="000000" w:sz="4" w:val="single"/>
            </w:tcBorders>
            <w:shd w:fill="auto" w:val="clear"/>
            <w:vAlign w:val="bottom"/>
          </w:tcPr>
          <w:p w14:paraId="53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54450000">
            <w:pPr>
              <w:widowControl w:val="1"/>
              <w:ind/>
              <w:jc w:val="right"/>
              <w:rPr>
                <w:sz w:val="18"/>
              </w:rPr>
            </w:pPr>
            <w:r>
              <w:rPr>
                <w:sz w:val="18"/>
              </w:rPr>
              <w:t>44</w:t>
            </w:r>
          </w:p>
        </w:tc>
        <w:tc>
          <w:tcPr>
            <w:tcW w:type="dxa" w:w="1360"/>
            <w:tcBorders>
              <w:top w:color="000000" w:sz="4" w:val="single"/>
              <w:left w:color="000000" w:sz="4" w:val="single"/>
              <w:bottom w:color="000000" w:sz="4" w:val="single"/>
              <w:right w:color="000000" w:sz="4" w:val="single"/>
            </w:tcBorders>
            <w:shd w:fill="auto" w:val="clear"/>
            <w:vAlign w:val="bottom"/>
          </w:tcPr>
          <w:p w14:paraId="55450000">
            <w:pPr>
              <w:widowControl w:val="1"/>
              <w:ind/>
              <w:jc w:val="right"/>
              <w:rPr>
                <w:sz w:val="18"/>
              </w:rPr>
            </w:pPr>
            <w:r>
              <w:rPr>
                <w:sz w:val="18"/>
              </w:rPr>
              <w:t>0</w:t>
            </w:r>
          </w:p>
        </w:tc>
        <w:tc>
          <w:tcPr>
            <w:tcW w:type="dxa" w:w="1560"/>
            <w:tcBorders>
              <w:top w:color="000000" w:sz="4" w:val="single"/>
              <w:left w:color="000000" w:sz="4" w:val="single"/>
              <w:bottom w:color="000000" w:sz="4" w:val="single"/>
              <w:right w:color="000000" w:sz="4" w:val="single"/>
            </w:tcBorders>
            <w:shd w:fill="auto" w:val="clear"/>
            <w:vAlign w:val="bottom"/>
          </w:tcPr>
          <w:p w14:paraId="56450000">
            <w:pPr>
              <w:widowControl w:val="1"/>
              <w:ind/>
              <w:jc w:val="right"/>
              <w:rPr>
                <w:sz w:val="18"/>
              </w:rPr>
            </w:pPr>
            <w:r>
              <w:rPr>
                <w:sz w:val="18"/>
              </w:rPr>
              <w:t>44</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57450000">
            <w:pPr>
              <w:rPr>
                <w:b w:val="1"/>
                <w:sz w:val="18"/>
              </w:rPr>
            </w:pPr>
            <w:r>
              <w:rPr>
                <w:b w:val="1"/>
                <w:sz w:val="18"/>
              </w:rPr>
              <w:t xml:space="preserve">            Прочие контрагенты:</w:t>
            </w:r>
          </w:p>
        </w:tc>
        <w:tc>
          <w:tcPr>
            <w:tcW w:type="dxa" w:w="1520"/>
            <w:tcBorders>
              <w:top w:color="000000" w:sz="4" w:val="single"/>
              <w:left w:color="000000" w:sz="4" w:val="single"/>
              <w:bottom w:color="000000" w:sz="4" w:val="single"/>
              <w:right w:color="000000" w:sz="4" w:val="single"/>
            </w:tcBorders>
            <w:shd w:fill="auto" w:val="clear"/>
            <w:vAlign w:val="bottom"/>
          </w:tcPr>
          <w:p w14:paraId="58450000">
            <w:pPr>
              <w:widowControl w:val="1"/>
              <w:ind/>
              <w:jc w:val="right"/>
              <w:rPr>
                <w:sz w:val="18"/>
              </w:rPr>
            </w:pPr>
            <w:r>
              <w:rPr>
                <w:sz w:val="18"/>
              </w:rPr>
              <w:t>570</w:t>
            </w:r>
          </w:p>
        </w:tc>
        <w:tc>
          <w:tcPr>
            <w:tcW w:type="dxa" w:w="1360"/>
            <w:tcBorders>
              <w:top w:color="000000" w:sz="4" w:val="single"/>
              <w:left w:color="000000" w:sz="4" w:val="single"/>
              <w:bottom w:color="000000" w:sz="4" w:val="single"/>
              <w:right w:color="000000" w:sz="4" w:val="single"/>
            </w:tcBorders>
            <w:shd w:fill="auto" w:val="clear"/>
            <w:vAlign w:val="bottom"/>
          </w:tcPr>
          <w:p w14:paraId="59450000">
            <w:pPr>
              <w:widowControl w:val="1"/>
              <w:ind/>
              <w:jc w:val="right"/>
              <w:rPr>
                <w:sz w:val="18"/>
              </w:rPr>
            </w:pPr>
            <w:r>
              <w:rPr>
                <w:sz w:val="18"/>
              </w:rPr>
              <w:t>7 551</w:t>
            </w:r>
          </w:p>
        </w:tc>
        <w:tc>
          <w:tcPr>
            <w:tcW w:type="dxa" w:w="1360"/>
            <w:tcBorders>
              <w:top w:color="000000" w:sz="4" w:val="single"/>
              <w:left w:color="000000" w:sz="4" w:val="single"/>
              <w:bottom w:color="000000" w:sz="4" w:val="single"/>
              <w:right w:color="000000" w:sz="4" w:val="single"/>
            </w:tcBorders>
            <w:shd w:fill="auto" w:val="clear"/>
            <w:vAlign w:val="bottom"/>
          </w:tcPr>
          <w:p w14:paraId="5A450000">
            <w:pPr>
              <w:widowControl w:val="1"/>
              <w:ind/>
              <w:jc w:val="right"/>
              <w:rPr>
                <w:sz w:val="18"/>
              </w:rPr>
            </w:pPr>
            <w:r>
              <w:rPr>
                <w:sz w:val="18"/>
              </w:rPr>
              <w:t>7 662</w:t>
            </w:r>
          </w:p>
        </w:tc>
        <w:tc>
          <w:tcPr>
            <w:tcW w:type="dxa" w:w="1560"/>
            <w:tcBorders>
              <w:top w:color="000000" w:sz="4" w:val="single"/>
              <w:left w:color="000000" w:sz="4" w:val="single"/>
              <w:bottom w:color="000000" w:sz="4" w:val="single"/>
              <w:right w:color="000000" w:sz="4" w:val="single"/>
            </w:tcBorders>
            <w:shd w:fill="auto" w:val="clear"/>
            <w:vAlign w:val="bottom"/>
          </w:tcPr>
          <w:p w14:paraId="5B450000">
            <w:pPr>
              <w:widowControl w:val="1"/>
              <w:ind/>
              <w:jc w:val="right"/>
              <w:rPr>
                <w:sz w:val="18"/>
              </w:rPr>
            </w:pPr>
            <w:r>
              <w:rPr>
                <w:sz w:val="18"/>
              </w:rPr>
              <w:t>460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5C450000">
            <w:pPr>
              <w:rPr>
                <w:sz w:val="18"/>
              </w:rPr>
            </w:pPr>
            <w:r>
              <w:rPr>
                <w:sz w:val="18"/>
              </w:rPr>
              <w:t>АБАКАНСКАЯ МКБ ГБУЗ РХ</w:t>
            </w:r>
          </w:p>
        </w:tc>
        <w:tc>
          <w:tcPr>
            <w:tcW w:type="dxa" w:w="1520"/>
            <w:tcBorders>
              <w:top w:color="000000" w:sz="4" w:val="single"/>
              <w:left w:color="000000" w:sz="4" w:val="single"/>
              <w:bottom w:color="000000" w:sz="4" w:val="single"/>
              <w:right w:color="000000" w:sz="4" w:val="single"/>
            </w:tcBorders>
            <w:shd w:fill="auto" w:val="clear"/>
            <w:vAlign w:val="bottom"/>
          </w:tcPr>
          <w:p w14:paraId="5D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5E450000">
            <w:pPr>
              <w:widowControl w:val="1"/>
              <w:ind/>
              <w:jc w:val="right"/>
              <w:rPr>
                <w:sz w:val="18"/>
              </w:rPr>
            </w:pPr>
            <w:r>
              <w:rPr>
                <w:sz w:val="18"/>
              </w:rPr>
              <w:t>19</w:t>
            </w:r>
          </w:p>
        </w:tc>
        <w:tc>
          <w:tcPr>
            <w:tcW w:type="dxa" w:w="1360"/>
            <w:tcBorders>
              <w:top w:color="000000" w:sz="4" w:val="single"/>
              <w:left w:color="000000" w:sz="4" w:val="single"/>
              <w:bottom w:color="000000" w:sz="4" w:val="single"/>
              <w:right w:color="000000" w:sz="4" w:val="single"/>
            </w:tcBorders>
            <w:shd w:fill="auto" w:val="clear"/>
            <w:vAlign w:val="bottom"/>
          </w:tcPr>
          <w:p w14:paraId="5F450000">
            <w:pPr>
              <w:widowControl w:val="1"/>
              <w:ind/>
              <w:jc w:val="right"/>
              <w:rPr>
                <w:sz w:val="18"/>
              </w:rPr>
            </w:pPr>
            <w:r>
              <w:rPr>
                <w:sz w:val="18"/>
              </w:rPr>
              <w:t>19</w:t>
            </w:r>
          </w:p>
        </w:tc>
        <w:tc>
          <w:tcPr>
            <w:tcW w:type="dxa" w:w="1560"/>
            <w:tcBorders>
              <w:top w:color="000000" w:sz="4" w:val="single"/>
              <w:left w:color="000000" w:sz="4" w:val="single"/>
              <w:bottom w:color="000000" w:sz="4" w:val="single"/>
              <w:right w:color="000000" w:sz="4" w:val="single"/>
            </w:tcBorders>
            <w:shd w:fill="auto" w:val="clear"/>
            <w:vAlign w:val="bottom"/>
          </w:tcPr>
          <w:p w14:paraId="60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61450000">
            <w:pPr>
              <w:rPr>
                <w:sz w:val="18"/>
              </w:rPr>
            </w:pPr>
            <w:r>
              <w:rPr>
                <w:sz w:val="18"/>
              </w:rPr>
              <w:t>АЧИНСКАЯ МРБ КГБУЗ</w:t>
            </w:r>
          </w:p>
        </w:tc>
        <w:tc>
          <w:tcPr>
            <w:tcW w:type="dxa" w:w="1520"/>
            <w:tcBorders>
              <w:top w:color="000000" w:sz="4" w:val="single"/>
              <w:left w:color="000000" w:sz="4" w:val="single"/>
              <w:bottom w:color="000000" w:sz="4" w:val="single"/>
              <w:right w:color="000000" w:sz="4" w:val="single"/>
            </w:tcBorders>
            <w:shd w:fill="auto" w:val="clear"/>
            <w:vAlign w:val="bottom"/>
          </w:tcPr>
          <w:p w14:paraId="62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63450000">
            <w:pPr>
              <w:widowControl w:val="1"/>
              <w:ind/>
              <w:jc w:val="right"/>
              <w:rPr>
                <w:sz w:val="18"/>
              </w:rPr>
            </w:pPr>
            <w:r>
              <w:rPr>
                <w:sz w:val="18"/>
              </w:rPr>
              <w:t>26</w:t>
            </w:r>
          </w:p>
        </w:tc>
        <w:tc>
          <w:tcPr>
            <w:tcW w:type="dxa" w:w="1360"/>
            <w:tcBorders>
              <w:top w:color="000000" w:sz="4" w:val="single"/>
              <w:left w:color="000000" w:sz="4" w:val="single"/>
              <w:bottom w:color="000000" w:sz="4" w:val="single"/>
              <w:right w:color="000000" w:sz="4" w:val="single"/>
            </w:tcBorders>
            <w:shd w:fill="auto" w:val="clear"/>
            <w:vAlign w:val="bottom"/>
          </w:tcPr>
          <w:p w14:paraId="64450000">
            <w:pPr>
              <w:widowControl w:val="1"/>
              <w:ind/>
              <w:jc w:val="right"/>
              <w:rPr>
                <w:sz w:val="18"/>
              </w:rPr>
            </w:pPr>
            <w:r>
              <w:rPr>
                <w:sz w:val="18"/>
              </w:rPr>
              <w:t>26</w:t>
            </w:r>
          </w:p>
        </w:tc>
        <w:tc>
          <w:tcPr>
            <w:tcW w:type="dxa" w:w="1560"/>
            <w:tcBorders>
              <w:top w:color="000000" w:sz="4" w:val="single"/>
              <w:left w:color="000000" w:sz="4" w:val="single"/>
              <w:bottom w:color="000000" w:sz="4" w:val="single"/>
              <w:right w:color="000000" w:sz="4" w:val="single"/>
            </w:tcBorders>
            <w:shd w:fill="auto" w:val="clear"/>
            <w:vAlign w:val="bottom"/>
          </w:tcPr>
          <w:p w14:paraId="65450000">
            <w:pPr>
              <w:widowControl w:val="1"/>
              <w:ind/>
              <w:jc w:val="right"/>
              <w:rPr>
                <w:sz w:val="18"/>
              </w:rPr>
            </w:pPr>
            <w:r>
              <w:rPr>
                <w:sz w:val="18"/>
              </w:rPr>
              <w:t>0</w:t>
            </w:r>
          </w:p>
        </w:tc>
      </w:tr>
      <w:tr>
        <w:trPr>
          <w:trHeight w:hRule="atLeast" w:val="480"/>
        </w:trPr>
        <w:tc>
          <w:tcPr>
            <w:tcW w:type="dxa" w:w="4414"/>
            <w:tcBorders>
              <w:top w:color="000000" w:sz="4" w:val="single"/>
              <w:left w:color="000000" w:sz="4" w:val="single"/>
              <w:bottom w:color="000000" w:sz="4" w:val="single"/>
              <w:right w:color="000000" w:sz="4" w:val="single"/>
            </w:tcBorders>
            <w:shd w:fill="auto" w:val="clear"/>
            <w:vAlign w:val="bottom"/>
          </w:tcPr>
          <w:p w14:paraId="66450000">
            <w:pPr>
              <w:rPr>
                <w:sz w:val="18"/>
              </w:rPr>
            </w:pPr>
            <w:r>
              <w:rPr>
                <w:sz w:val="18"/>
              </w:rPr>
              <w:t>ДОРОЖНАЯ КЛИНИЧЕСКАЯ БОЛЬНИЦА НА СТ.КРАСНОЯРСК ОАО РЖД НУЗ</w:t>
            </w:r>
          </w:p>
        </w:tc>
        <w:tc>
          <w:tcPr>
            <w:tcW w:type="dxa" w:w="1520"/>
            <w:tcBorders>
              <w:top w:color="000000" w:sz="4" w:val="single"/>
              <w:left w:color="000000" w:sz="4" w:val="single"/>
              <w:bottom w:color="000000" w:sz="4" w:val="single"/>
              <w:right w:color="000000" w:sz="4" w:val="single"/>
            </w:tcBorders>
            <w:shd w:fill="auto" w:val="clear"/>
            <w:vAlign w:val="bottom"/>
          </w:tcPr>
          <w:p w14:paraId="67450000">
            <w:pPr>
              <w:widowControl w:val="1"/>
              <w:ind/>
              <w:jc w:val="right"/>
              <w:rPr>
                <w:sz w:val="18"/>
              </w:rPr>
            </w:pPr>
            <w:r>
              <w:rPr>
                <w:sz w:val="18"/>
              </w:rPr>
              <w:t>3</w:t>
            </w:r>
          </w:p>
        </w:tc>
        <w:tc>
          <w:tcPr>
            <w:tcW w:type="dxa" w:w="1360"/>
            <w:tcBorders>
              <w:top w:color="000000" w:sz="4" w:val="single"/>
              <w:left w:color="000000" w:sz="4" w:val="single"/>
              <w:bottom w:color="000000" w:sz="4" w:val="single"/>
              <w:right w:color="000000" w:sz="4" w:val="single"/>
            </w:tcBorders>
            <w:shd w:fill="auto" w:val="clear"/>
            <w:vAlign w:val="bottom"/>
          </w:tcPr>
          <w:p w14:paraId="68450000">
            <w:pPr>
              <w:widowControl w:val="1"/>
              <w:ind/>
              <w:jc w:val="right"/>
              <w:rPr>
                <w:sz w:val="18"/>
              </w:rPr>
            </w:pPr>
            <w:r>
              <w:rPr>
                <w:sz w:val="18"/>
              </w:rPr>
              <w:t>30</w:t>
            </w:r>
          </w:p>
        </w:tc>
        <w:tc>
          <w:tcPr>
            <w:tcW w:type="dxa" w:w="1360"/>
            <w:tcBorders>
              <w:top w:color="000000" w:sz="4" w:val="single"/>
              <w:left w:color="000000" w:sz="4" w:val="single"/>
              <w:bottom w:color="000000" w:sz="4" w:val="single"/>
              <w:right w:color="000000" w:sz="4" w:val="single"/>
            </w:tcBorders>
            <w:shd w:fill="auto" w:val="clear"/>
            <w:vAlign w:val="bottom"/>
          </w:tcPr>
          <w:p w14:paraId="69450000">
            <w:pPr>
              <w:widowControl w:val="1"/>
              <w:ind/>
              <w:jc w:val="right"/>
              <w:rPr>
                <w:sz w:val="18"/>
              </w:rPr>
            </w:pPr>
            <w:r>
              <w:rPr>
                <w:sz w:val="18"/>
              </w:rPr>
              <w:t>31</w:t>
            </w:r>
          </w:p>
        </w:tc>
        <w:tc>
          <w:tcPr>
            <w:tcW w:type="dxa" w:w="1560"/>
            <w:tcBorders>
              <w:top w:color="000000" w:sz="4" w:val="single"/>
              <w:left w:color="000000" w:sz="4" w:val="single"/>
              <w:bottom w:color="000000" w:sz="4" w:val="single"/>
              <w:right w:color="000000" w:sz="4" w:val="single"/>
            </w:tcBorders>
            <w:shd w:fill="auto" w:val="clear"/>
            <w:vAlign w:val="bottom"/>
          </w:tcPr>
          <w:p w14:paraId="6A450000">
            <w:pPr>
              <w:widowControl w:val="1"/>
              <w:ind/>
              <w:jc w:val="right"/>
              <w:rPr>
                <w:sz w:val="18"/>
              </w:rPr>
            </w:pPr>
            <w:r>
              <w:rPr>
                <w:sz w:val="18"/>
              </w:rPr>
              <w:t>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6B450000">
            <w:pPr>
              <w:rPr>
                <w:sz w:val="18"/>
              </w:rPr>
            </w:pPr>
            <w:r>
              <w:rPr>
                <w:sz w:val="18"/>
              </w:rPr>
              <w:t>ИЛАНСКАЯ РБ КГБУЗ</w:t>
            </w:r>
          </w:p>
        </w:tc>
        <w:tc>
          <w:tcPr>
            <w:tcW w:type="dxa" w:w="1520"/>
            <w:tcBorders>
              <w:top w:color="000000" w:sz="4" w:val="single"/>
              <w:left w:color="000000" w:sz="4" w:val="single"/>
              <w:bottom w:color="000000" w:sz="4" w:val="single"/>
              <w:right w:color="000000" w:sz="4" w:val="single"/>
            </w:tcBorders>
            <w:shd w:fill="auto" w:val="clear"/>
            <w:vAlign w:val="bottom"/>
          </w:tcPr>
          <w:p w14:paraId="6C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6D450000">
            <w:pPr>
              <w:widowControl w:val="1"/>
              <w:ind/>
              <w:jc w:val="right"/>
              <w:rPr>
                <w:sz w:val="18"/>
              </w:rPr>
            </w:pPr>
            <w:r>
              <w:rPr>
                <w:sz w:val="18"/>
              </w:rPr>
              <w:t>31</w:t>
            </w:r>
          </w:p>
        </w:tc>
        <w:tc>
          <w:tcPr>
            <w:tcW w:type="dxa" w:w="1360"/>
            <w:tcBorders>
              <w:top w:color="000000" w:sz="4" w:val="single"/>
              <w:left w:color="000000" w:sz="4" w:val="single"/>
              <w:bottom w:color="000000" w:sz="4" w:val="single"/>
              <w:right w:color="000000" w:sz="4" w:val="single"/>
            </w:tcBorders>
            <w:shd w:fill="auto" w:val="clear"/>
            <w:vAlign w:val="bottom"/>
          </w:tcPr>
          <w:p w14:paraId="6E450000">
            <w:pPr>
              <w:widowControl w:val="1"/>
              <w:ind/>
              <w:jc w:val="right"/>
              <w:rPr>
                <w:sz w:val="18"/>
              </w:rPr>
            </w:pPr>
            <w:r>
              <w:rPr>
                <w:sz w:val="18"/>
              </w:rPr>
              <w:t>31</w:t>
            </w:r>
          </w:p>
        </w:tc>
        <w:tc>
          <w:tcPr>
            <w:tcW w:type="dxa" w:w="1560"/>
            <w:tcBorders>
              <w:top w:color="000000" w:sz="4" w:val="single"/>
              <w:left w:color="000000" w:sz="4" w:val="single"/>
              <w:bottom w:color="000000" w:sz="4" w:val="single"/>
              <w:right w:color="000000" w:sz="4" w:val="single"/>
            </w:tcBorders>
            <w:shd w:fill="auto" w:val="clear"/>
            <w:vAlign w:val="bottom"/>
          </w:tcPr>
          <w:p w14:paraId="6F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70450000">
            <w:pPr>
              <w:rPr>
                <w:sz w:val="18"/>
              </w:rPr>
            </w:pPr>
            <w:r>
              <w:rPr>
                <w:sz w:val="18"/>
              </w:rPr>
              <w:t>КМП № 5 КГБУЗ</w:t>
            </w:r>
          </w:p>
        </w:tc>
        <w:tc>
          <w:tcPr>
            <w:tcW w:type="dxa" w:w="1520"/>
            <w:tcBorders>
              <w:top w:color="000000" w:sz="4" w:val="single"/>
              <w:left w:color="000000" w:sz="4" w:val="single"/>
              <w:bottom w:color="000000" w:sz="4" w:val="single"/>
              <w:right w:color="000000" w:sz="4" w:val="single"/>
            </w:tcBorders>
            <w:shd w:fill="auto" w:val="clear"/>
            <w:vAlign w:val="bottom"/>
          </w:tcPr>
          <w:p w14:paraId="71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72450000">
            <w:pPr>
              <w:widowControl w:val="1"/>
              <w:ind/>
              <w:jc w:val="right"/>
              <w:rPr>
                <w:sz w:val="18"/>
              </w:rPr>
            </w:pPr>
            <w:r>
              <w:rPr>
                <w:sz w:val="18"/>
              </w:rPr>
              <w:t>82</w:t>
            </w:r>
          </w:p>
        </w:tc>
        <w:tc>
          <w:tcPr>
            <w:tcW w:type="dxa" w:w="1360"/>
            <w:tcBorders>
              <w:top w:color="000000" w:sz="4" w:val="single"/>
              <w:left w:color="000000" w:sz="4" w:val="single"/>
              <w:bottom w:color="000000" w:sz="4" w:val="single"/>
              <w:right w:color="000000" w:sz="4" w:val="single"/>
            </w:tcBorders>
            <w:shd w:fill="auto" w:val="clear"/>
            <w:vAlign w:val="bottom"/>
          </w:tcPr>
          <w:p w14:paraId="73450000">
            <w:pPr>
              <w:widowControl w:val="1"/>
              <w:ind/>
              <w:jc w:val="right"/>
              <w:rPr>
                <w:sz w:val="18"/>
              </w:rPr>
            </w:pPr>
            <w:r>
              <w:rPr>
                <w:sz w:val="18"/>
              </w:rPr>
              <w:t>82</w:t>
            </w:r>
          </w:p>
        </w:tc>
        <w:tc>
          <w:tcPr>
            <w:tcW w:type="dxa" w:w="1560"/>
            <w:tcBorders>
              <w:top w:color="000000" w:sz="4" w:val="single"/>
              <w:left w:color="000000" w:sz="4" w:val="single"/>
              <w:bottom w:color="000000" w:sz="4" w:val="single"/>
              <w:right w:color="000000" w:sz="4" w:val="single"/>
            </w:tcBorders>
            <w:shd w:fill="auto" w:val="clear"/>
            <w:vAlign w:val="bottom"/>
          </w:tcPr>
          <w:p w14:paraId="74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75450000">
            <w:pPr>
              <w:rPr>
                <w:sz w:val="18"/>
              </w:rPr>
            </w:pPr>
            <w:r>
              <w:rPr>
                <w:sz w:val="18"/>
              </w:rPr>
              <w:t>РЕГИОН24 ООО</w:t>
            </w:r>
          </w:p>
        </w:tc>
        <w:tc>
          <w:tcPr>
            <w:tcW w:type="dxa" w:w="1520"/>
            <w:tcBorders>
              <w:top w:color="000000" w:sz="4" w:val="single"/>
              <w:left w:color="000000" w:sz="4" w:val="single"/>
              <w:bottom w:color="000000" w:sz="4" w:val="single"/>
              <w:right w:color="000000" w:sz="4" w:val="single"/>
            </w:tcBorders>
            <w:shd w:fill="auto" w:val="clear"/>
            <w:vAlign w:val="bottom"/>
          </w:tcPr>
          <w:p w14:paraId="76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77450000">
            <w:pPr>
              <w:widowControl w:val="1"/>
              <w:ind/>
              <w:jc w:val="right"/>
              <w:rPr>
                <w:sz w:val="18"/>
              </w:rPr>
            </w:pPr>
            <w:r>
              <w:rPr>
                <w:sz w:val="18"/>
              </w:rPr>
              <w:t>150</w:t>
            </w:r>
          </w:p>
        </w:tc>
        <w:tc>
          <w:tcPr>
            <w:tcW w:type="dxa" w:w="1360"/>
            <w:tcBorders>
              <w:top w:color="000000" w:sz="4" w:val="single"/>
              <w:left w:color="000000" w:sz="4" w:val="single"/>
              <w:bottom w:color="000000" w:sz="4" w:val="single"/>
              <w:right w:color="000000" w:sz="4" w:val="single"/>
            </w:tcBorders>
            <w:shd w:fill="auto" w:val="clear"/>
            <w:vAlign w:val="bottom"/>
          </w:tcPr>
          <w:p w14:paraId="78450000">
            <w:pPr>
              <w:widowControl w:val="1"/>
              <w:ind/>
              <w:jc w:val="right"/>
              <w:rPr>
                <w:sz w:val="18"/>
              </w:rPr>
            </w:pPr>
            <w:r>
              <w:rPr>
                <w:sz w:val="18"/>
              </w:rPr>
              <w:t>150</w:t>
            </w:r>
          </w:p>
        </w:tc>
        <w:tc>
          <w:tcPr>
            <w:tcW w:type="dxa" w:w="1560"/>
            <w:tcBorders>
              <w:top w:color="000000" w:sz="4" w:val="single"/>
              <w:left w:color="000000" w:sz="4" w:val="single"/>
              <w:bottom w:color="000000" w:sz="4" w:val="single"/>
              <w:right w:color="000000" w:sz="4" w:val="single"/>
            </w:tcBorders>
            <w:shd w:fill="auto" w:val="clear"/>
            <w:vAlign w:val="bottom"/>
          </w:tcPr>
          <w:p w14:paraId="79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7A450000">
            <w:pPr>
              <w:rPr>
                <w:sz w:val="18"/>
              </w:rPr>
            </w:pPr>
            <w:r>
              <w:rPr>
                <w:sz w:val="18"/>
              </w:rPr>
              <w:t>Закалюжная Ольга Ивановна</w:t>
            </w:r>
          </w:p>
        </w:tc>
        <w:tc>
          <w:tcPr>
            <w:tcW w:type="dxa" w:w="1520"/>
            <w:tcBorders>
              <w:top w:color="000000" w:sz="4" w:val="single"/>
              <w:left w:color="000000" w:sz="4" w:val="single"/>
              <w:bottom w:color="000000" w:sz="4" w:val="single"/>
              <w:right w:color="000000" w:sz="4" w:val="single"/>
            </w:tcBorders>
            <w:shd w:fill="auto" w:val="clear"/>
            <w:vAlign w:val="bottom"/>
          </w:tcPr>
          <w:p w14:paraId="7B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7C450000">
            <w:pPr>
              <w:widowControl w:val="1"/>
              <w:ind/>
              <w:jc w:val="right"/>
              <w:rPr>
                <w:sz w:val="18"/>
              </w:rPr>
            </w:pPr>
            <w:r>
              <w:rPr>
                <w:sz w:val="18"/>
              </w:rPr>
              <w:t>10</w:t>
            </w:r>
          </w:p>
        </w:tc>
        <w:tc>
          <w:tcPr>
            <w:tcW w:type="dxa" w:w="1360"/>
            <w:tcBorders>
              <w:top w:color="000000" w:sz="4" w:val="single"/>
              <w:left w:color="000000" w:sz="4" w:val="single"/>
              <w:bottom w:color="000000" w:sz="4" w:val="single"/>
              <w:right w:color="000000" w:sz="4" w:val="single"/>
            </w:tcBorders>
            <w:shd w:fill="auto" w:val="clear"/>
            <w:vAlign w:val="bottom"/>
          </w:tcPr>
          <w:p w14:paraId="7D450000">
            <w:pPr>
              <w:widowControl w:val="1"/>
              <w:ind/>
              <w:jc w:val="right"/>
              <w:rPr>
                <w:sz w:val="18"/>
              </w:rPr>
            </w:pPr>
            <w:r>
              <w:rPr>
                <w:sz w:val="18"/>
              </w:rPr>
              <w:t>10</w:t>
            </w:r>
          </w:p>
        </w:tc>
        <w:tc>
          <w:tcPr>
            <w:tcW w:type="dxa" w:w="1560"/>
            <w:tcBorders>
              <w:top w:color="000000" w:sz="4" w:val="single"/>
              <w:left w:color="000000" w:sz="4" w:val="single"/>
              <w:bottom w:color="000000" w:sz="4" w:val="single"/>
              <w:right w:color="000000" w:sz="4" w:val="single"/>
            </w:tcBorders>
            <w:shd w:fill="auto" w:val="clear"/>
            <w:vAlign w:val="bottom"/>
          </w:tcPr>
          <w:p w14:paraId="7E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7F450000">
            <w:pPr>
              <w:rPr>
                <w:sz w:val="18"/>
              </w:rPr>
            </w:pPr>
            <w:r>
              <w:rPr>
                <w:sz w:val="18"/>
              </w:rPr>
              <w:t>УГАН НОТБ СФО Ространснадзора</w:t>
            </w:r>
          </w:p>
        </w:tc>
        <w:tc>
          <w:tcPr>
            <w:tcW w:type="dxa" w:w="1520"/>
            <w:tcBorders>
              <w:top w:color="000000" w:sz="4" w:val="single"/>
              <w:left w:color="000000" w:sz="4" w:val="single"/>
              <w:bottom w:color="000000" w:sz="4" w:val="single"/>
              <w:right w:color="000000" w:sz="4" w:val="single"/>
            </w:tcBorders>
            <w:shd w:fill="auto" w:val="clear"/>
            <w:vAlign w:val="bottom"/>
          </w:tcPr>
          <w:p w14:paraId="80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81450000">
            <w:pPr>
              <w:widowControl w:val="1"/>
              <w:ind/>
              <w:jc w:val="right"/>
              <w:rPr>
                <w:sz w:val="18"/>
              </w:rPr>
            </w:pPr>
            <w:r>
              <w:rPr>
                <w:sz w:val="18"/>
              </w:rPr>
              <w:t>50</w:t>
            </w:r>
          </w:p>
        </w:tc>
        <w:tc>
          <w:tcPr>
            <w:tcW w:type="dxa" w:w="1360"/>
            <w:tcBorders>
              <w:top w:color="000000" w:sz="4" w:val="single"/>
              <w:left w:color="000000" w:sz="4" w:val="single"/>
              <w:bottom w:color="000000" w:sz="4" w:val="single"/>
              <w:right w:color="000000" w:sz="4" w:val="single"/>
            </w:tcBorders>
            <w:shd w:fill="auto" w:val="clear"/>
            <w:vAlign w:val="bottom"/>
          </w:tcPr>
          <w:p w14:paraId="82450000">
            <w:pPr>
              <w:widowControl w:val="1"/>
              <w:ind/>
              <w:jc w:val="right"/>
              <w:rPr>
                <w:sz w:val="18"/>
              </w:rPr>
            </w:pPr>
            <w:r>
              <w:rPr>
                <w:sz w:val="18"/>
              </w:rPr>
              <w:t>50</w:t>
            </w:r>
          </w:p>
        </w:tc>
        <w:tc>
          <w:tcPr>
            <w:tcW w:type="dxa" w:w="1560"/>
            <w:tcBorders>
              <w:top w:color="000000" w:sz="4" w:val="single"/>
              <w:left w:color="000000" w:sz="4" w:val="single"/>
              <w:bottom w:color="000000" w:sz="4" w:val="single"/>
              <w:right w:color="000000" w:sz="4" w:val="single"/>
            </w:tcBorders>
            <w:shd w:fill="auto" w:val="clear"/>
            <w:vAlign w:val="bottom"/>
          </w:tcPr>
          <w:p w14:paraId="83450000">
            <w:pPr>
              <w:widowControl w:val="1"/>
              <w:ind/>
              <w:jc w:val="right"/>
              <w:rPr>
                <w:sz w:val="18"/>
              </w:rPr>
            </w:pPr>
            <w:r>
              <w:rPr>
                <w:sz w:val="18"/>
              </w:rPr>
              <w:t>0</w:t>
            </w:r>
          </w:p>
        </w:tc>
      </w:tr>
      <w:tr>
        <w:trPr>
          <w:trHeight w:hRule="atLeast" w:val="480"/>
        </w:trPr>
        <w:tc>
          <w:tcPr>
            <w:tcW w:type="dxa" w:w="4414"/>
            <w:tcBorders>
              <w:top w:color="000000" w:sz="4" w:val="single"/>
              <w:left w:color="000000" w:sz="4" w:val="single"/>
              <w:bottom w:color="000000" w:sz="4" w:val="single"/>
              <w:right w:color="000000" w:sz="4" w:val="single"/>
            </w:tcBorders>
            <w:shd w:fill="auto" w:val="clear"/>
            <w:vAlign w:val="bottom"/>
          </w:tcPr>
          <w:p w14:paraId="84450000">
            <w:pPr>
              <w:rPr>
                <w:sz w:val="18"/>
              </w:rPr>
            </w:pPr>
            <w:r>
              <w:rPr>
                <w:sz w:val="18"/>
              </w:rPr>
              <w:t>УФК по Красноярскому краю ОСП по Железнодорожному району</w:t>
            </w:r>
          </w:p>
        </w:tc>
        <w:tc>
          <w:tcPr>
            <w:tcW w:type="dxa" w:w="1520"/>
            <w:tcBorders>
              <w:top w:color="000000" w:sz="4" w:val="single"/>
              <w:left w:color="000000" w:sz="4" w:val="single"/>
              <w:bottom w:color="000000" w:sz="4" w:val="single"/>
              <w:right w:color="000000" w:sz="4" w:val="single"/>
            </w:tcBorders>
            <w:shd w:fill="auto" w:val="clear"/>
            <w:vAlign w:val="bottom"/>
          </w:tcPr>
          <w:p w14:paraId="85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86450000">
            <w:pPr>
              <w:widowControl w:val="1"/>
              <w:ind/>
              <w:jc w:val="right"/>
              <w:rPr>
                <w:sz w:val="18"/>
              </w:rPr>
            </w:pPr>
            <w:r>
              <w:rPr>
                <w:sz w:val="18"/>
              </w:rPr>
              <w:t>80</w:t>
            </w:r>
          </w:p>
        </w:tc>
        <w:tc>
          <w:tcPr>
            <w:tcW w:type="dxa" w:w="1360"/>
            <w:tcBorders>
              <w:top w:color="000000" w:sz="4" w:val="single"/>
              <w:left w:color="000000" w:sz="4" w:val="single"/>
              <w:bottom w:color="000000" w:sz="4" w:val="single"/>
              <w:right w:color="000000" w:sz="4" w:val="single"/>
            </w:tcBorders>
            <w:shd w:fill="auto" w:val="clear"/>
            <w:vAlign w:val="bottom"/>
          </w:tcPr>
          <w:p w14:paraId="87450000">
            <w:pPr>
              <w:widowControl w:val="1"/>
              <w:ind/>
              <w:jc w:val="right"/>
              <w:rPr>
                <w:sz w:val="18"/>
              </w:rPr>
            </w:pPr>
            <w:r>
              <w:rPr>
                <w:sz w:val="18"/>
              </w:rPr>
              <w:t>80</w:t>
            </w:r>
          </w:p>
        </w:tc>
        <w:tc>
          <w:tcPr>
            <w:tcW w:type="dxa" w:w="1560"/>
            <w:tcBorders>
              <w:top w:color="000000" w:sz="4" w:val="single"/>
              <w:left w:color="000000" w:sz="4" w:val="single"/>
              <w:bottom w:color="000000" w:sz="4" w:val="single"/>
              <w:right w:color="000000" w:sz="4" w:val="single"/>
            </w:tcBorders>
            <w:shd w:fill="auto" w:val="clear"/>
            <w:vAlign w:val="bottom"/>
          </w:tcPr>
          <w:p w14:paraId="88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89450000">
            <w:pPr>
              <w:rPr>
                <w:sz w:val="18"/>
              </w:rPr>
            </w:pPr>
            <w:r>
              <w:rPr>
                <w:sz w:val="18"/>
              </w:rPr>
              <w:t>СФ АО АКБ "МЕЖДУНАРОДНЫЙ ФИНАНСОВЫЙ КЛУБ"</w:t>
            </w:r>
          </w:p>
        </w:tc>
        <w:tc>
          <w:tcPr>
            <w:tcW w:type="dxa" w:w="1520"/>
            <w:tcBorders>
              <w:top w:color="000000" w:sz="4" w:val="single"/>
              <w:left w:color="000000" w:sz="4" w:val="single"/>
              <w:bottom w:color="000000" w:sz="4" w:val="single"/>
              <w:right w:color="000000" w:sz="4" w:val="single"/>
            </w:tcBorders>
            <w:shd w:fill="auto" w:val="clear"/>
            <w:vAlign w:val="bottom"/>
          </w:tcPr>
          <w:p w14:paraId="8A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8B450000">
            <w:pPr>
              <w:widowControl w:val="1"/>
              <w:ind/>
              <w:jc w:val="right"/>
              <w:rPr>
                <w:sz w:val="18"/>
              </w:rPr>
            </w:pPr>
            <w:r>
              <w:rPr>
                <w:sz w:val="18"/>
              </w:rPr>
              <w:t>43</w:t>
            </w:r>
          </w:p>
        </w:tc>
        <w:tc>
          <w:tcPr>
            <w:tcW w:type="dxa" w:w="1360"/>
            <w:tcBorders>
              <w:top w:color="000000" w:sz="4" w:val="single"/>
              <w:left w:color="000000" w:sz="4" w:val="single"/>
              <w:bottom w:color="000000" w:sz="4" w:val="single"/>
              <w:right w:color="000000" w:sz="4" w:val="single"/>
            </w:tcBorders>
            <w:shd w:fill="auto" w:val="clear"/>
            <w:vAlign w:val="bottom"/>
          </w:tcPr>
          <w:p w14:paraId="8C450000">
            <w:pPr>
              <w:widowControl w:val="1"/>
              <w:ind/>
              <w:jc w:val="right"/>
              <w:rPr>
                <w:sz w:val="18"/>
              </w:rPr>
            </w:pPr>
            <w:r>
              <w:rPr>
                <w:sz w:val="18"/>
              </w:rPr>
              <w:t>43</w:t>
            </w:r>
          </w:p>
        </w:tc>
        <w:tc>
          <w:tcPr>
            <w:tcW w:type="dxa" w:w="1560"/>
            <w:tcBorders>
              <w:top w:color="000000" w:sz="4" w:val="single"/>
              <w:left w:color="000000" w:sz="4" w:val="single"/>
              <w:bottom w:color="000000" w:sz="4" w:val="single"/>
              <w:right w:color="000000" w:sz="4" w:val="single"/>
            </w:tcBorders>
            <w:shd w:fill="auto" w:val="clear"/>
            <w:vAlign w:val="bottom"/>
          </w:tcPr>
          <w:p w14:paraId="8D450000">
            <w:pPr>
              <w:widowControl w:val="1"/>
              <w:ind/>
              <w:jc w:val="right"/>
              <w:rPr>
                <w:sz w:val="18"/>
              </w:rPr>
            </w:pPr>
            <w:r>
              <w:rPr>
                <w:sz w:val="18"/>
              </w:rPr>
              <w:t>0</w:t>
            </w:r>
          </w:p>
        </w:tc>
      </w:tr>
      <w:tr>
        <w:trPr>
          <w:trHeight w:hRule="atLeast" w:val="480"/>
        </w:trPr>
        <w:tc>
          <w:tcPr>
            <w:tcW w:type="dxa" w:w="4414"/>
            <w:tcBorders>
              <w:top w:color="000000" w:sz="4" w:val="single"/>
              <w:left w:color="000000" w:sz="4" w:val="single"/>
              <w:bottom w:color="000000" w:sz="4" w:val="single"/>
              <w:right w:color="000000" w:sz="4" w:val="single"/>
            </w:tcBorders>
            <w:shd w:fill="auto" w:val="clear"/>
            <w:vAlign w:val="bottom"/>
          </w:tcPr>
          <w:p w14:paraId="8E450000">
            <w:pPr>
              <w:rPr>
                <w:sz w:val="18"/>
              </w:rPr>
            </w:pPr>
            <w:r>
              <w:rPr>
                <w:sz w:val="18"/>
              </w:rPr>
              <w:t>Желдортранс Объединение</w:t>
            </w:r>
          </w:p>
        </w:tc>
        <w:tc>
          <w:tcPr>
            <w:tcW w:type="dxa" w:w="1520"/>
            <w:tcBorders>
              <w:top w:color="000000" w:sz="4" w:val="single"/>
              <w:left w:color="000000" w:sz="4" w:val="single"/>
              <w:bottom w:color="000000" w:sz="4" w:val="single"/>
              <w:right w:color="000000" w:sz="4" w:val="single"/>
            </w:tcBorders>
            <w:shd w:fill="auto" w:val="clear"/>
            <w:vAlign w:val="bottom"/>
          </w:tcPr>
          <w:p w14:paraId="8F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90450000">
            <w:pPr>
              <w:widowControl w:val="1"/>
              <w:ind/>
              <w:jc w:val="right"/>
              <w:rPr>
                <w:sz w:val="18"/>
              </w:rPr>
            </w:pPr>
            <w:r>
              <w:rPr>
                <w:sz w:val="18"/>
              </w:rPr>
              <w:t>156</w:t>
            </w:r>
          </w:p>
        </w:tc>
        <w:tc>
          <w:tcPr>
            <w:tcW w:type="dxa" w:w="1360"/>
            <w:tcBorders>
              <w:top w:color="000000" w:sz="4" w:val="single"/>
              <w:left w:color="000000" w:sz="4" w:val="single"/>
              <w:bottom w:color="000000" w:sz="4" w:val="single"/>
              <w:right w:color="000000" w:sz="4" w:val="single"/>
            </w:tcBorders>
            <w:shd w:fill="auto" w:val="clear"/>
            <w:vAlign w:val="bottom"/>
          </w:tcPr>
          <w:p w14:paraId="91450000">
            <w:pPr>
              <w:widowControl w:val="1"/>
              <w:ind/>
              <w:jc w:val="right"/>
              <w:rPr>
                <w:sz w:val="18"/>
              </w:rPr>
            </w:pPr>
            <w:r>
              <w:rPr>
                <w:sz w:val="18"/>
              </w:rPr>
              <w:t>156</w:t>
            </w:r>
          </w:p>
        </w:tc>
        <w:tc>
          <w:tcPr>
            <w:tcW w:type="dxa" w:w="1560"/>
            <w:tcBorders>
              <w:top w:color="000000" w:sz="4" w:val="single"/>
              <w:left w:color="000000" w:sz="4" w:val="single"/>
              <w:bottom w:color="000000" w:sz="4" w:val="single"/>
              <w:right w:color="000000" w:sz="4" w:val="single"/>
            </w:tcBorders>
            <w:shd w:fill="auto" w:val="clear"/>
            <w:vAlign w:val="bottom"/>
          </w:tcPr>
          <w:p w14:paraId="92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93450000">
            <w:pPr>
              <w:rPr>
                <w:sz w:val="18"/>
              </w:rPr>
            </w:pPr>
            <w:r>
              <w:rPr>
                <w:sz w:val="18"/>
              </w:rPr>
              <w:t>Росприроднадзора Управление по Красноярскому краю</w:t>
            </w:r>
          </w:p>
        </w:tc>
        <w:tc>
          <w:tcPr>
            <w:tcW w:type="dxa" w:w="1520"/>
            <w:tcBorders>
              <w:top w:color="000000" w:sz="4" w:val="single"/>
              <w:left w:color="000000" w:sz="4" w:val="single"/>
              <w:bottom w:color="000000" w:sz="4" w:val="single"/>
              <w:right w:color="000000" w:sz="4" w:val="single"/>
            </w:tcBorders>
            <w:shd w:fill="auto" w:val="clear"/>
            <w:vAlign w:val="bottom"/>
          </w:tcPr>
          <w:p w14:paraId="94450000">
            <w:pPr>
              <w:widowControl w:val="1"/>
              <w:ind/>
              <w:jc w:val="right"/>
              <w:rPr>
                <w:sz w:val="18"/>
              </w:rPr>
            </w:pPr>
            <w:r>
              <w:rPr>
                <w:sz w:val="18"/>
              </w:rPr>
              <w:t>3</w:t>
            </w:r>
          </w:p>
        </w:tc>
        <w:tc>
          <w:tcPr>
            <w:tcW w:type="dxa" w:w="1360"/>
            <w:tcBorders>
              <w:top w:color="000000" w:sz="4" w:val="single"/>
              <w:left w:color="000000" w:sz="4" w:val="single"/>
              <w:bottom w:color="000000" w:sz="4" w:val="single"/>
              <w:right w:color="000000" w:sz="4" w:val="single"/>
            </w:tcBorders>
            <w:shd w:fill="auto" w:val="clear"/>
            <w:vAlign w:val="bottom"/>
          </w:tcPr>
          <w:p w14:paraId="95450000">
            <w:pPr>
              <w:widowControl w:val="1"/>
              <w:ind/>
              <w:jc w:val="right"/>
              <w:rPr>
                <w:sz w:val="18"/>
              </w:rPr>
            </w:pPr>
            <w:r>
              <w:rPr>
                <w:sz w:val="18"/>
              </w:rPr>
              <w:t>10</w:t>
            </w:r>
          </w:p>
        </w:tc>
        <w:tc>
          <w:tcPr>
            <w:tcW w:type="dxa" w:w="1360"/>
            <w:tcBorders>
              <w:top w:color="000000" w:sz="4" w:val="single"/>
              <w:left w:color="000000" w:sz="4" w:val="single"/>
              <w:bottom w:color="000000" w:sz="4" w:val="single"/>
              <w:right w:color="000000" w:sz="4" w:val="single"/>
            </w:tcBorders>
            <w:shd w:fill="auto" w:val="clear"/>
            <w:vAlign w:val="bottom"/>
          </w:tcPr>
          <w:p w14:paraId="96450000">
            <w:pPr>
              <w:widowControl w:val="1"/>
              <w:ind/>
              <w:jc w:val="right"/>
              <w:rPr>
                <w:sz w:val="18"/>
              </w:rPr>
            </w:pPr>
            <w:r>
              <w:rPr>
                <w:sz w:val="18"/>
              </w:rPr>
              <w:t>11</w:t>
            </w:r>
          </w:p>
        </w:tc>
        <w:tc>
          <w:tcPr>
            <w:tcW w:type="dxa" w:w="1560"/>
            <w:tcBorders>
              <w:top w:color="000000" w:sz="4" w:val="single"/>
              <w:left w:color="000000" w:sz="4" w:val="single"/>
              <w:bottom w:color="000000" w:sz="4" w:val="single"/>
              <w:right w:color="000000" w:sz="4" w:val="single"/>
            </w:tcBorders>
            <w:shd w:fill="auto" w:val="clear"/>
            <w:vAlign w:val="bottom"/>
          </w:tcPr>
          <w:p w14:paraId="97450000">
            <w:pPr>
              <w:widowControl w:val="1"/>
              <w:ind/>
              <w:jc w:val="right"/>
              <w:rPr>
                <w:sz w:val="18"/>
              </w:rPr>
            </w:pPr>
            <w:r>
              <w:rPr>
                <w:sz w:val="18"/>
              </w:rPr>
              <w:t>2</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98450000">
            <w:pPr>
              <w:rPr>
                <w:sz w:val="18"/>
              </w:rPr>
            </w:pPr>
            <w:r>
              <w:rPr>
                <w:sz w:val="18"/>
              </w:rPr>
              <w:t>СВЯЗЬ-БАНК ПАО АКБ</w:t>
            </w:r>
          </w:p>
        </w:tc>
        <w:tc>
          <w:tcPr>
            <w:tcW w:type="dxa" w:w="1520"/>
            <w:tcBorders>
              <w:top w:color="000000" w:sz="4" w:val="single"/>
              <w:left w:color="000000" w:sz="4" w:val="single"/>
              <w:bottom w:color="000000" w:sz="4" w:val="single"/>
              <w:right w:color="000000" w:sz="4" w:val="single"/>
            </w:tcBorders>
            <w:shd w:fill="auto" w:val="clear"/>
            <w:vAlign w:val="bottom"/>
          </w:tcPr>
          <w:p w14:paraId="99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9A450000">
            <w:pPr>
              <w:widowControl w:val="1"/>
              <w:ind/>
              <w:jc w:val="right"/>
              <w:rPr>
                <w:sz w:val="18"/>
              </w:rPr>
            </w:pPr>
            <w:r>
              <w:rPr>
                <w:sz w:val="18"/>
              </w:rPr>
              <w:t>44</w:t>
            </w:r>
          </w:p>
        </w:tc>
        <w:tc>
          <w:tcPr>
            <w:tcW w:type="dxa" w:w="1360"/>
            <w:tcBorders>
              <w:top w:color="000000" w:sz="4" w:val="single"/>
              <w:left w:color="000000" w:sz="4" w:val="single"/>
              <w:bottom w:color="000000" w:sz="4" w:val="single"/>
              <w:right w:color="000000" w:sz="4" w:val="single"/>
            </w:tcBorders>
            <w:shd w:fill="auto" w:val="clear"/>
            <w:vAlign w:val="bottom"/>
          </w:tcPr>
          <w:p w14:paraId="9B450000">
            <w:pPr>
              <w:widowControl w:val="1"/>
              <w:ind/>
              <w:jc w:val="right"/>
              <w:rPr>
                <w:sz w:val="18"/>
              </w:rPr>
            </w:pPr>
            <w:r>
              <w:rPr>
                <w:sz w:val="18"/>
              </w:rPr>
              <w:t>44</w:t>
            </w:r>
          </w:p>
        </w:tc>
        <w:tc>
          <w:tcPr>
            <w:tcW w:type="dxa" w:w="1560"/>
            <w:tcBorders>
              <w:top w:color="000000" w:sz="4" w:val="single"/>
              <w:left w:color="000000" w:sz="4" w:val="single"/>
              <w:bottom w:color="000000" w:sz="4" w:val="single"/>
              <w:right w:color="000000" w:sz="4" w:val="single"/>
            </w:tcBorders>
            <w:shd w:fill="auto" w:val="clear"/>
            <w:vAlign w:val="bottom"/>
          </w:tcPr>
          <w:p w14:paraId="9C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9D450000">
            <w:pPr>
              <w:rPr>
                <w:sz w:val="18"/>
              </w:rPr>
            </w:pPr>
            <w:r>
              <w:rPr>
                <w:sz w:val="18"/>
              </w:rPr>
              <w:t>Свиридова Ольга Сергеевна</w:t>
            </w:r>
          </w:p>
        </w:tc>
        <w:tc>
          <w:tcPr>
            <w:tcW w:type="dxa" w:w="1520"/>
            <w:tcBorders>
              <w:top w:color="000000" w:sz="4" w:val="single"/>
              <w:left w:color="000000" w:sz="4" w:val="single"/>
              <w:bottom w:color="000000" w:sz="4" w:val="single"/>
              <w:right w:color="000000" w:sz="4" w:val="single"/>
            </w:tcBorders>
            <w:shd w:fill="auto" w:val="clear"/>
            <w:vAlign w:val="bottom"/>
          </w:tcPr>
          <w:p w14:paraId="9E450000">
            <w:pPr>
              <w:widowControl w:val="1"/>
              <w:ind/>
              <w:jc w:val="right"/>
              <w:rPr>
                <w:sz w:val="18"/>
              </w:rPr>
            </w:pPr>
            <w:r>
              <w:rPr>
                <w:sz w:val="18"/>
              </w:rPr>
              <w:t>23</w:t>
            </w:r>
          </w:p>
        </w:tc>
        <w:tc>
          <w:tcPr>
            <w:tcW w:type="dxa" w:w="1360"/>
            <w:tcBorders>
              <w:top w:color="000000" w:sz="4" w:val="single"/>
              <w:left w:color="000000" w:sz="4" w:val="single"/>
              <w:bottom w:color="000000" w:sz="4" w:val="single"/>
              <w:right w:color="000000" w:sz="4" w:val="single"/>
            </w:tcBorders>
            <w:shd w:fill="auto" w:val="clear"/>
            <w:vAlign w:val="bottom"/>
          </w:tcPr>
          <w:p w14:paraId="9F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A0450000">
            <w:pPr>
              <w:widowControl w:val="1"/>
              <w:ind/>
              <w:jc w:val="right"/>
              <w:rPr>
                <w:sz w:val="18"/>
              </w:rPr>
            </w:pPr>
            <w:r>
              <w:rPr>
                <w:sz w:val="18"/>
              </w:rPr>
              <w:t>23</w:t>
            </w:r>
          </w:p>
        </w:tc>
        <w:tc>
          <w:tcPr>
            <w:tcW w:type="dxa" w:w="1560"/>
            <w:tcBorders>
              <w:top w:color="000000" w:sz="4" w:val="single"/>
              <w:left w:color="000000" w:sz="4" w:val="single"/>
              <w:bottom w:color="000000" w:sz="4" w:val="single"/>
              <w:right w:color="000000" w:sz="4" w:val="single"/>
            </w:tcBorders>
            <w:shd w:fill="auto" w:val="clear"/>
            <w:vAlign w:val="bottom"/>
          </w:tcPr>
          <w:p w14:paraId="A1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A2450000">
            <w:pPr>
              <w:rPr>
                <w:sz w:val="18"/>
              </w:rPr>
            </w:pPr>
            <w:r>
              <w:rPr>
                <w:sz w:val="18"/>
              </w:rPr>
              <w:t>Поиск Аудиторская Компания ООО</w:t>
            </w:r>
          </w:p>
        </w:tc>
        <w:tc>
          <w:tcPr>
            <w:tcW w:type="dxa" w:w="1520"/>
            <w:tcBorders>
              <w:top w:color="000000" w:sz="4" w:val="single"/>
              <w:left w:color="000000" w:sz="4" w:val="single"/>
              <w:bottom w:color="000000" w:sz="4" w:val="single"/>
              <w:right w:color="000000" w:sz="4" w:val="single"/>
            </w:tcBorders>
            <w:shd w:fill="auto" w:val="clear"/>
            <w:vAlign w:val="bottom"/>
          </w:tcPr>
          <w:p w14:paraId="A3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A4450000">
            <w:pPr>
              <w:widowControl w:val="1"/>
              <w:ind/>
              <w:jc w:val="right"/>
              <w:rPr>
                <w:sz w:val="18"/>
              </w:rPr>
            </w:pPr>
            <w:r>
              <w:rPr>
                <w:sz w:val="18"/>
              </w:rPr>
              <w:t>39</w:t>
            </w:r>
          </w:p>
        </w:tc>
        <w:tc>
          <w:tcPr>
            <w:tcW w:type="dxa" w:w="1360"/>
            <w:tcBorders>
              <w:top w:color="000000" w:sz="4" w:val="single"/>
              <w:left w:color="000000" w:sz="4" w:val="single"/>
              <w:bottom w:color="000000" w:sz="4" w:val="single"/>
              <w:right w:color="000000" w:sz="4" w:val="single"/>
            </w:tcBorders>
            <w:shd w:fill="auto" w:val="clear"/>
            <w:vAlign w:val="bottom"/>
          </w:tcPr>
          <w:p w14:paraId="A5450000">
            <w:pPr>
              <w:widowControl w:val="1"/>
              <w:ind/>
              <w:jc w:val="right"/>
              <w:rPr>
                <w:sz w:val="18"/>
              </w:rPr>
            </w:pPr>
            <w:r>
              <w:rPr>
                <w:sz w:val="18"/>
              </w:rPr>
              <w:t>7</w:t>
            </w:r>
          </w:p>
        </w:tc>
        <w:tc>
          <w:tcPr>
            <w:tcW w:type="dxa" w:w="1560"/>
            <w:tcBorders>
              <w:top w:color="000000" w:sz="4" w:val="single"/>
              <w:left w:color="000000" w:sz="4" w:val="single"/>
              <w:bottom w:color="000000" w:sz="4" w:val="single"/>
              <w:right w:color="000000" w:sz="4" w:val="single"/>
            </w:tcBorders>
            <w:shd w:fill="auto" w:val="clear"/>
            <w:vAlign w:val="bottom"/>
          </w:tcPr>
          <w:p w14:paraId="A6450000">
            <w:pPr>
              <w:widowControl w:val="1"/>
              <w:ind/>
              <w:jc w:val="right"/>
              <w:rPr>
                <w:sz w:val="18"/>
              </w:rPr>
            </w:pPr>
            <w:r>
              <w:rPr>
                <w:sz w:val="18"/>
              </w:rPr>
              <w:t>33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A7450000">
            <w:pPr>
              <w:rPr>
                <w:sz w:val="18"/>
              </w:rPr>
            </w:pPr>
            <w:r>
              <w:rPr>
                <w:sz w:val="18"/>
              </w:rPr>
              <w:t>Красноярскавтотранс ГП КК</w:t>
            </w:r>
          </w:p>
        </w:tc>
        <w:tc>
          <w:tcPr>
            <w:tcW w:type="dxa" w:w="1520"/>
            <w:tcBorders>
              <w:top w:color="000000" w:sz="4" w:val="single"/>
              <w:left w:color="000000" w:sz="4" w:val="single"/>
              <w:bottom w:color="000000" w:sz="4" w:val="single"/>
              <w:right w:color="000000" w:sz="4" w:val="single"/>
            </w:tcBorders>
            <w:shd w:fill="auto" w:val="clear"/>
            <w:vAlign w:val="bottom"/>
          </w:tcPr>
          <w:p w14:paraId="A8450000">
            <w:pPr>
              <w:widowControl w:val="1"/>
              <w:ind/>
              <w:jc w:val="right"/>
              <w:rPr>
                <w:sz w:val="18"/>
              </w:rPr>
            </w:pPr>
            <w:r>
              <w:rPr>
                <w:sz w:val="18"/>
              </w:rPr>
              <w:t>145</w:t>
            </w:r>
          </w:p>
        </w:tc>
        <w:tc>
          <w:tcPr>
            <w:tcW w:type="dxa" w:w="1360"/>
            <w:tcBorders>
              <w:top w:color="000000" w:sz="4" w:val="single"/>
              <w:left w:color="000000" w:sz="4" w:val="single"/>
              <w:bottom w:color="000000" w:sz="4" w:val="single"/>
              <w:right w:color="000000" w:sz="4" w:val="single"/>
            </w:tcBorders>
            <w:shd w:fill="auto" w:val="clear"/>
            <w:vAlign w:val="bottom"/>
          </w:tcPr>
          <w:p w14:paraId="A9450000">
            <w:pPr>
              <w:widowControl w:val="1"/>
              <w:ind/>
              <w:jc w:val="right"/>
              <w:rPr>
                <w:sz w:val="18"/>
              </w:rPr>
            </w:pPr>
            <w:r>
              <w:rPr>
                <w:sz w:val="18"/>
              </w:rPr>
              <w:t>1 309</w:t>
            </w:r>
          </w:p>
        </w:tc>
        <w:tc>
          <w:tcPr>
            <w:tcW w:type="dxa" w:w="1360"/>
            <w:tcBorders>
              <w:top w:color="000000" w:sz="4" w:val="single"/>
              <w:left w:color="000000" w:sz="4" w:val="single"/>
              <w:bottom w:color="000000" w:sz="4" w:val="single"/>
              <w:right w:color="000000" w:sz="4" w:val="single"/>
            </w:tcBorders>
            <w:shd w:fill="auto" w:val="clear"/>
            <w:vAlign w:val="bottom"/>
          </w:tcPr>
          <w:p w14:paraId="AA450000">
            <w:pPr>
              <w:widowControl w:val="1"/>
              <w:ind/>
              <w:jc w:val="right"/>
              <w:rPr>
                <w:sz w:val="18"/>
              </w:rPr>
            </w:pPr>
            <w:r>
              <w:rPr>
                <w:sz w:val="18"/>
              </w:rPr>
              <w:t>1 452</w:t>
            </w:r>
          </w:p>
        </w:tc>
        <w:tc>
          <w:tcPr>
            <w:tcW w:type="dxa" w:w="1560"/>
            <w:tcBorders>
              <w:top w:color="000000" w:sz="4" w:val="single"/>
              <w:left w:color="000000" w:sz="4" w:val="single"/>
              <w:bottom w:color="000000" w:sz="4" w:val="single"/>
              <w:right w:color="000000" w:sz="4" w:val="single"/>
            </w:tcBorders>
            <w:shd w:fill="auto" w:val="clear"/>
            <w:vAlign w:val="bottom"/>
          </w:tcPr>
          <w:p w14:paraId="AB450000">
            <w:pPr>
              <w:widowControl w:val="1"/>
              <w:ind/>
              <w:jc w:val="right"/>
              <w:rPr>
                <w:sz w:val="18"/>
              </w:rPr>
            </w:pPr>
            <w:r>
              <w:rPr>
                <w:sz w:val="18"/>
              </w:rPr>
              <w:t>2</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AC450000">
            <w:pPr>
              <w:rPr>
                <w:sz w:val="18"/>
              </w:rPr>
            </w:pPr>
            <w:r>
              <w:rPr>
                <w:sz w:val="18"/>
              </w:rPr>
              <w:t>Шуманов Александр Иванович</w:t>
            </w:r>
          </w:p>
        </w:tc>
        <w:tc>
          <w:tcPr>
            <w:tcW w:type="dxa" w:w="1520"/>
            <w:tcBorders>
              <w:top w:color="000000" w:sz="4" w:val="single"/>
              <w:left w:color="000000" w:sz="4" w:val="single"/>
              <w:bottom w:color="000000" w:sz="4" w:val="single"/>
              <w:right w:color="000000" w:sz="4" w:val="single"/>
            </w:tcBorders>
            <w:shd w:fill="auto" w:val="clear"/>
            <w:vAlign w:val="bottom"/>
          </w:tcPr>
          <w:p w14:paraId="AD450000">
            <w:pPr>
              <w:widowControl w:val="1"/>
              <w:ind/>
              <w:jc w:val="right"/>
              <w:rPr>
                <w:sz w:val="18"/>
              </w:rPr>
            </w:pPr>
            <w:r>
              <w:rPr>
                <w:sz w:val="18"/>
              </w:rPr>
              <w:t>10</w:t>
            </w:r>
          </w:p>
        </w:tc>
        <w:tc>
          <w:tcPr>
            <w:tcW w:type="dxa" w:w="1360"/>
            <w:tcBorders>
              <w:top w:color="000000" w:sz="4" w:val="single"/>
              <w:left w:color="000000" w:sz="4" w:val="single"/>
              <w:bottom w:color="000000" w:sz="4" w:val="single"/>
              <w:right w:color="000000" w:sz="4" w:val="single"/>
            </w:tcBorders>
            <w:shd w:fill="auto" w:val="clear"/>
            <w:vAlign w:val="bottom"/>
          </w:tcPr>
          <w:p w14:paraId="AE450000">
            <w:pPr>
              <w:widowControl w:val="1"/>
              <w:ind/>
              <w:jc w:val="right"/>
              <w:rPr>
                <w:sz w:val="18"/>
              </w:rPr>
            </w:pPr>
            <w:r>
              <w:rPr>
                <w:sz w:val="18"/>
              </w:rPr>
              <w:t>489</w:t>
            </w:r>
          </w:p>
        </w:tc>
        <w:tc>
          <w:tcPr>
            <w:tcW w:type="dxa" w:w="1360"/>
            <w:tcBorders>
              <w:top w:color="000000" w:sz="4" w:val="single"/>
              <w:left w:color="000000" w:sz="4" w:val="single"/>
              <w:bottom w:color="000000" w:sz="4" w:val="single"/>
              <w:right w:color="000000" w:sz="4" w:val="single"/>
            </w:tcBorders>
            <w:shd w:fill="auto" w:val="clear"/>
            <w:vAlign w:val="bottom"/>
          </w:tcPr>
          <w:p w14:paraId="AF450000">
            <w:pPr>
              <w:widowControl w:val="1"/>
              <w:ind/>
              <w:jc w:val="right"/>
              <w:rPr>
                <w:sz w:val="18"/>
              </w:rPr>
            </w:pPr>
            <w:r>
              <w:rPr>
                <w:sz w:val="18"/>
              </w:rPr>
              <w:t>489</w:t>
            </w:r>
          </w:p>
        </w:tc>
        <w:tc>
          <w:tcPr>
            <w:tcW w:type="dxa" w:w="1560"/>
            <w:tcBorders>
              <w:top w:color="000000" w:sz="4" w:val="single"/>
              <w:left w:color="000000" w:sz="4" w:val="single"/>
              <w:bottom w:color="000000" w:sz="4" w:val="single"/>
              <w:right w:color="000000" w:sz="4" w:val="single"/>
            </w:tcBorders>
            <w:shd w:fill="auto" w:val="clear"/>
            <w:vAlign w:val="bottom"/>
          </w:tcPr>
          <w:p w14:paraId="B0450000">
            <w:pPr>
              <w:widowControl w:val="1"/>
              <w:ind/>
              <w:jc w:val="right"/>
              <w:rPr>
                <w:sz w:val="18"/>
              </w:rPr>
            </w:pPr>
            <w:r>
              <w:rPr>
                <w:sz w:val="18"/>
              </w:rPr>
              <w:t>11</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B1450000">
            <w:pPr>
              <w:rPr>
                <w:sz w:val="18"/>
              </w:rPr>
            </w:pPr>
            <w:r>
              <w:rPr>
                <w:sz w:val="18"/>
              </w:rPr>
              <w:t>Сотрудники (расчеты по прочим операциям)</w:t>
            </w:r>
          </w:p>
        </w:tc>
        <w:tc>
          <w:tcPr>
            <w:tcW w:type="dxa" w:w="1520"/>
            <w:tcBorders>
              <w:top w:color="000000" w:sz="4" w:val="single"/>
              <w:left w:color="000000" w:sz="4" w:val="single"/>
              <w:bottom w:color="000000" w:sz="4" w:val="single"/>
              <w:right w:color="000000" w:sz="4" w:val="single"/>
            </w:tcBorders>
            <w:shd w:fill="auto" w:val="clear"/>
            <w:vAlign w:val="bottom"/>
          </w:tcPr>
          <w:p w14:paraId="B2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B3450000">
            <w:pPr>
              <w:widowControl w:val="1"/>
              <w:ind/>
              <w:jc w:val="right"/>
              <w:rPr>
                <w:sz w:val="18"/>
              </w:rPr>
            </w:pPr>
            <w:r>
              <w:rPr>
                <w:sz w:val="18"/>
              </w:rPr>
              <w:t>629</w:t>
            </w:r>
          </w:p>
        </w:tc>
        <w:tc>
          <w:tcPr>
            <w:tcW w:type="dxa" w:w="1360"/>
            <w:tcBorders>
              <w:top w:color="000000" w:sz="4" w:val="single"/>
              <w:left w:color="000000" w:sz="4" w:val="single"/>
              <w:bottom w:color="000000" w:sz="4" w:val="single"/>
              <w:right w:color="000000" w:sz="4" w:val="single"/>
            </w:tcBorders>
            <w:shd w:fill="auto" w:val="clear"/>
            <w:vAlign w:val="bottom"/>
          </w:tcPr>
          <w:p w14:paraId="B4450000">
            <w:pPr>
              <w:widowControl w:val="1"/>
              <w:ind/>
              <w:jc w:val="right"/>
              <w:rPr>
                <w:sz w:val="18"/>
              </w:rPr>
            </w:pPr>
            <w:r>
              <w:rPr>
                <w:sz w:val="18"/>
              </w:rPr>
              <w:t>596</w:t>
            </w:r>
          </w:p>
        </w:tc>
        <w:tc>
          <w:tcPr>
            <w:tcW w:type="dxa" w:w="1560"/>
            <w:tcBorders>
              <w:top w:color="000000" w:sz="4" w:val="single"/>
              <w:left w:color="000000" w:sz="4" w:val="single"/>
              <w:bottom w:color="000000" w:sz="4" w:val="single"/>
              <w:right w:color="000000" w:sz="4" w:val="single"/>
            </w:tcBorders>
            <w:shd w:fill="auto" w:val="clear"/>
            <w:vAlign w:val="bottom"/>
          </w:tcPr>
          <w:p w14:paraId="B5450000">
            <w:pPr>
              <w:widowControl w:val="1"/>
              <w:ind/>
              <w:jc w:val="right"/>
              <w:rPr>
                <w:sz w:val="18"/>
              </w:rPr>
            </w:pPr>
            <w:r>
              <w:rPr>
                <w:sz w:val="18"/>
              </w:rPr>
              <w:t>33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B6450000">
            <w:pPr>
              <w:rPr>
                <w:sz w:val="18"/>
              </w:rPr>
            </w:pPr>
            <w:r>
              <w:rPr>
                <w:sz w:val="18"/>
              </w:rPr>
              <w:t>Быкова Елена Викторовна</w:t>
            </w:r>
          </w:p>
        </w:tc>
        <w:tc>
          <w:tcPr>
            <w:tcW w:type="dxa" w:w="1520"/>
            <w:tcBorders>
              <w:top w:color="000000" w:sz="4" w:val="single"/>
              <w:left w:color="000000" w:sz="4" w:val="single"/>
              <w:bottom w:color="000000" w:sz="4" w:val="single"/>
              <w:right w:color="000000" w:sz="4" w:val="single"/>
            </w:tcBorders>
            <w:shd w:fill="auto" w:val="clear"/>
            <w:vAlign w:val="bottom"/>
          </w:tcPr>
          <w:p w14:paraId="B7450000">
            <w:pPr>
              <w:widowControl w:val="1"/>
              <w:ind/>
              <w:jc w:val="right"/>
              <w:rPr>
                <w:sz w:val="18"/>
              </w:rPr>
            </w:pPr>
            <w:r>
              <w:rPr>
                <w:sz w:val="18"/>
              </w:rPr>
              <w:t>60</w:t>
            </w:r>
          </w:p>
        </w:tc>
        <w:tc>
          <w:tcPr>
            <w:tcW w:type="dxa" w:w="1360"/>
            <w:tcBorders>
              <w:top w:color="000000" w:sz="4" w:val="single"/>
              <w:left w:color="000000" w:sz="4" w:val="single"/>
              <w:bottom w:color="000000" w:sz="4" w:val="single"/>
              <w:right w:color="000000" w:sz="4" w:val="single"/>
            </w:tcBorders>
            <w:shd w:fill="auto" w:val="clear"/>
            <w:vAlign w:val="bottom"/>
          </w:tcPr>
          <w:p w14:paraId="B8450000">
            <w:pPr>
              <w:widowControl w:val="1"/>
              <w:ind/>
              <w:jc w:val="right"/>
              <w:rPr>
                <w:sz w:val="18"/>
              </w:rPr>
            </w:pPr>
            <w:r>
              <w:rPr>
                <w:sz w:val="18"/>
              </w:rPr>
              <w:t>784</w:t>
            </w:r>
          </w:p>
        </w:tc>
        <w:tc>
          <w:tcPr>
            <w:tcW w:type="dxa" w:w="1360"/>
            <w:tcBorders>
              <w:top w:color="000000" w:sz="4" w:val="single"/>
              <w:left w:color="000000" w:sz="4" w:val="single"/>
              <w:bottom w:color="000000" w:sz="4" w:val="single"/>
              <w:right w:color="000000" w:sz="4" w:val="single"/>
            </w:tcBorders>
            <w:shd w:fill="auto" w:val="clear"/>
            <w:vAlign w:val="bottom"/>
          </w:tcPr>
          <w:p w14:paraId="B9450000">
            <w:pPr>
              <w:widowControl w:val="1"/>
              <w:ind/>
              <w:jc w:val="right"/>
              <w:rPr>
                <w:sz w:val="18"/>
              </w:rPr>
            </w:pPr>
            <w:r>
              <w:rPr>
                <w:sz w:val="18"/>
              </w:rPr>
              <w:t>748</w:t>
            </w:r>
          </w:p>
        </w:tc>
        <w:tc>
          <w:tcPr>
            <w:tcW w:type="dxa" w:w="1560"/>
            <w:tcBorders>
              <w:top w:color="000000" w:sz="4" w:val="single"/>
              <w:left w:color="000000" w:sz="4" w:val="single"/>
              <w:bottom w:color="000000" w:sz="4" w:val="single"/>
              <w:right w:color="000000" w:sz="4" w:val="single"/>
            </w:tcBorders>
            <w:shd w:fill="auto" w:val="clear"/>
            <w:vAlign w:val="bottom"/>
          </w:tcPr>
          <w:p w14:paraId="BA450000">
            <w:pPr>
              <w:widowControl w:val="1"/>
              <w:ind/>
              <w:jc w:val="right"/>
              <w:rPr>
                <w:sz w:val="18"/>
              </w:rPr>
            </w:pPr>
            <w:r>
              <w:rPr>
                <w:sz w:val="18"/>
              </w:rPr>
              <w:t>96</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BB450000">
            <w:pPr>
              <w:rPr>
                <w:sz w:val="18"/>
              </w:rPr>
            </w:pPr>
            <w:r>
              <w:rPr>
                <w:sz w:val="18"/>
              </w:rPr>
              <w:t>Купреева Ксения Викторовна</w:t>
            </w:r>
          </w:p>
        </w:tc>
        <w:tc>
          <w:tcPr>
            <w:tcW w:type="dxa" w:w="1520"/>
            <w:tcBorders>
              <w:top w:color="000000" w:sz="4" w:val="single"/>
              <w:left w:color="000000" w:sz="4" w:val="single"/>
              <w:bottom w:color="000000" w:sz="4" w:val="single"/>
              <w:right w:color="000000" w:sz="4" w:val="single"/>
            </w:tcBorders>
            <w:shd w:fill="auto" w:val="clear"/>
            <w:vAlign w:val="bottom"/>
          </w:tcPr>
          <w:p w14:paraId="BC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BD450000">
            <w:pPr>
              <w:widowControl w:val="1"/>
              <w:ind/>
              <w:jc w:val="right"/>
              <w:rPr>
                <w:sz w:val="18"/>
              </w:rPr>
            </w:pPr>
            <w:r>
              <w:rPr>
                <w:sz w:val="18"/>
              </w:rPr>
              <w:t>80</w:t>
            </w:r>
          </w:p>
        </w:tc>
        <w:tc>
          <w:tcPr>
            <w:tcW w:type="dxa" w:w="1360"/>
            <w:tcBorders>
              <w:top w:color="000000" w:sz="4" w:val="single"/>
              <w:left w:color="000000" w:sz="4" w:val="single"/>
              <w:bottom w:color="000000" w:sz="4" w:val="single"/>
              <w:right w:color="000000" w:sz="4" w:val="single"/>
            </w:tcBorders>
            <w:shd w:fill="auto" w:val="clear"/>
            <w:vAlign w:val="bottom"/>
          </w:tcPr>
          <w:p w14:paraId="BE450000">
            <w:pPr>
              <w:widowControl w:val="1"/>
              <w:ind/>
              <w:jc w:val="right"/>
              <w:rPr>
                <w:sz w:val="18"/>
              </w:rPr>
            </w:pPr>
            <w:r>
              <w:rPr>
                <w:sz w:val="18"/>
              </w:rPr>
              <w:t>72</w:t>
            </w:r>
          </w:p>
        </w:tc>
        <w:tc>
          <w:tcPr>
            <w:tcW w:type="dxa" w:w="1560"/>
            <w:tcBorders>
              <w:top w:color="000000" w:sz="4" w:val="single"/>
              <w:left w:color="000000" w:sz="4" w:val="single"/>
              <w:bottom w:color="000000" w:sz="4" w:val="single"/>
              <w:right w:color="000000" w:sz="4" w:val="single"/>
            </w:tcBorders>
            <w:shd w:fill="auto" w:val="clear"/>
            <w:vAlign w:val="bottom"/>
          </w:tcPr>
          <w:p w14:paraId="BF450000">
            <w:pPr>
              <w:widowControl w:val="1"/>
              <w:ind/>
              <w:jc w:val="right"/>
              <w:rPr>
                <w:sz w:val="18"/>
              </w:rPr>
            </w:pPr>
            <w:r>
              <w:rPr>
                <w:sz w:val="18"/>
              </w:rPr>
              <w:t>8</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C0450000">
            <w:pPr>
              <w:rPr>
                <w:sz w:val="18"/>
              </w:rPr>
            </w:pPr>
            <w:r>
              <w:rPr>
                <w:sz w:val="18"/>
              </w:rPr>
              <w:t>ОСП по г. Дивногорску УФССП России по Красноярскому краю</w:t>
            </w:r>
          </w:p>
        </w:tc>
        <w:tc>
          <w:tcPr>
            <w:tcW w:type="dxa" w:w="1520"/>
            <w:tcBorders>
              <w:top w:color="000000" w:sz="4" w:val="single"/>
              <w:left w:color="000000" w:sz="4" w:val="single"/>
              <w:bottom w:color="000000" w:sz="4" w:val="single"/>
              <w:right w:color="000000" w:sz="4" w:val="single"/>
            </w:tcBorders>
            <w:shd w:fill="auto" w:val="clear"/>
            <w:vAlign w:val="bottom"/>
          </w:tcPr>
          <w:p w14:paraId="C1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C2450000">
            <w:pPr>
              <w:widowControl w:val="1"/>
              <w:ind/>
              <w:jc w:val="right"/>
              <w:rPr>
                <w:sz w:val="18"/>
              </w:rPr>
            </w:pPr>
            <w:r>
              <w:rPr>
                <w:sz w:val="18"/>
              </w:rPr>
              <w:t>34</w:t>
            </w:r>
          </w:p>
        </w:tc>
        <w:tc>
          <w:tcPr>
            <w:tcW w:type="dxa" w:w="1360"/>
            <w:tcBorders>
              <w:top w:color="000000" w:sz="4" w:val="single"/>
              <w:left w:color="000000" w:sz="4" w:val="single"/>
              <w:bottom w:color="000000" w:sz="4" w:val="single"/>
              <w:right w:color="000000" w:sz="4" w:val="single"/>
            </w:tcBorders>
            <w:shd w:fill="auto" w:val="clear"/>
            <w:vAlign w:val="bottom"/>
          </w:tcPr>
          <w:p w14:paraId="C3450000">
            <w:pPr>
              <w:widowControl w:val="1"/>
              <w:ind/>
              <w:jc w:val="right"/>
              <w:rPr>
                <w:sz w:val="18"/>
              </w:rPr>
            </w:pPr>
            <w:r>
              <w:rPr>
                <w:sz w:val="18"/>
              </w:rPr>
              <w:t>17</w:t>
            </w:r>
          </w:p>
        </w:tc>
        <w:tc>
          <w:tcPr>
            <w:tcW w:type="dxa" w:w="1560"/>
            <w:tcBorders>
              <w:top w:color="000000" w:sz="4" w:val="single"/>
              <w:left w:color="000000" w:sz="4" w:val="single"/>
              <w:bottom w:color="000000" w:sz="4" w:val="single"/>
              <w:right w:color="000000" w:sz="4" w:val="single"/>
            </w:tcBorders>
            <w:shd w:fill="auto" w:val="clear"/>
            <w:vAlign w:val="bottom"/>
          </w:tcPr>
          <w:p w14:paraId="C4450000">
            <w:pPr>
              <w:widowControl w:val="1"/>
              <w:ind/>
              <w:jc w:val="right"/>
              <w:rPr>
                <w:sz w:val="18"/>
              </w:rPr>
            </w:pPr>
            <w:r>
              <w:rPr>
                <w:sz w:val="18"/>
              </w:rPr>
              <w:t>17</w:t>
            </w:r>
          </w:p>
        </w:tc>
      </w:tr>
      <w:tr>
        <w:trPr>
          <w:trHeight w:hRule="atLeast" w:val="480"/>
        </w:trPr>
        <w:tc>
          <w:tcPr>
            <w:tcW w:type="dxa" w:w="4414"/>
            <w:tcBorders>
              <w:top w:color="000000" w:sz="4" w:val="single"/>
              <w:left w:color="000000" w:sz="4" w:val="single"/>
              <w:bottom w:color="000000" w:sz="4" w:val="single"/>
              <w:right w:color="000000" w:sz="4" w:val="single"/>
            </w:tcBorders>
            <w:shd w:fill="auto" w:val="clear"/>
            <w:vAlign w:val="bottom"/>
          </w:tcPr>
          <w:p w14:paraId="C5450000">
            <w:pPr>
              <w:rPr>
                <w:sz w:val="18"/>
              </w:rPr>
            </w:pPr>
            <w:r>
              <w:rPr>
                <w:sz w:val="18"/>
              </w:rPr>
              <w:t>УФК по Красноярскому краю (ВР 190020000 МОСП по г. Ачинску и Ачинскому и Большеулуйскому районам УФС</w:t>
            </w:r>
          </w:p>
        </w:tc>
        <w:tc>
          <w:tcPr>
            <w:tcW w:type="dxa" w:w="1520"/>
            <w:tcBorders>
              <w:top w:color="000000" w:sz="4" w:val="single"/>
              <w:left w:color="000000" w:sz="4" w:val="single"/>
              <w:bottom w:color="000000" w:sz="4" w:val="single"/>
              <w:right w:color="000000" w:sz="4" w:val="single"/>
            </w:tcBorders>
            <w:shd w:fill="auto" w:val="clear"/>
            <w:vAlign w:val="bottom"/>
          </w:tcPr>
          <w:p w14:paraId="C6450000">
            <w:pPr>
              <w:widowControl w:val="1"/>
              <w:ind/>
              <w:jc w:val="right"/>
              <w:rPr>
                <w:sz w:val="18"/>
              </w:rPr>
            </w:pPr>
            <w:r>
              <w:rPr>
                <w:sz w:val="18"/>
              </w:rPr>
              <w:t>1</w:t>
            </w:r>
          </w:p>
        </w:tc>
        <w:tc>
          <w:tcPr>
            <w:tcW w:type="dxa" w:w="1360"/>
            <w:tcBorders>
              <w:top w:color="000000" w:sz="4" w:val="single"/>
              <w:left w:color="000000" w:sz="4" w:val="single"/>
              <w:bottom w:color="000000" w:sz="4" w:val="single"/>
              <w:right w:color="000000" w:sz="4" w:val="single"/>
            </w:tcBorders>
            <w:shd w:fill="auto" w:val="clear"/>
            <w:vAlign w:val="bottom"/>
          </w:tcPr>
          <w:p w14:paraId="C7450000">
            <w:pPr>
              <w:widowControl w:val="1"/>
              <w:ind/>
              <w:jc w:val="right"/>
              <w:rPr>
                <w:sz w:val="18"/>
              </w:rPr>
            </w:pPr>
            <w:r>
              <w:rPr>
                <w:sz w:val="18"/>
              </w:rPr>
              <w:t>25</w:t>
            </w:r>
          </w:p>
        </w:tc>
        <w:tc>
          <w:tcPr>
            <w:tcW w:type="dxa" w:w="1360"/>
            <w:tcBorders>
              <w:top w:color="000000" w:sz="4" w:val="single"/>
              <w:left w:color="000000" w:sz="4" w:val="single"/>
              <w:bottom w:color="000000" w:sz="4" w:val="single"/>
              <w:right w:color="000000" w:sz="4" w:val="single"/>
            </w:tcBorders>
            <w:shd w:fill="auto" w:val="clear"/>
            <w:vAlign w:val="bottom"/>
          </w:tcPr>
          <w:p w14:paraId="C8450000">
            <w:pPr>
              <w:widowControl w:val="1"/>
              <w:ind/>
              <w:jc w:val="right"/>
              <w:rPr>
                <w:sz w:val="18"/>
              </w:rPr>
            </w:pPr>
            <w:r>
              <w:rPr>
                <w:sz w:val="18"/>
              </w:rPr>
              <w:t>13</w:t>
            </w:r>
          </w:p>
        </w:tc>
        <w:tc>
          <w:tcPr>
            <w:tcW w:type="dxa" w:w="1560"/>
            <w:tcBorders>
              <w:top w:color="000000" w:sz="4" w:val="single"/>
              <w:left w:color="000000" w:sz="4" w:val="single"/>
              <w:bottom w:color="000000" w:sz="4" w:val="single"/>
              <w:right w:color="000000" w:sz="4" w:val="single"/>
            </w:tcBorders>
            <w:shd w:fill="auto" w:val="clear"/>
            <w:vAlign w:val="bottom"/>
          </w:tcPr>
          <w:p w14:paraId="C9450000">
            <w:pPr>
              <w:widowControl w:val="1"/>
              <w:ind/>
              <w:jc w:val="right"/>
              <w:rPr>
                <w:sz w:val="18"/>
              </w:rPr>
            </w:pPr>
            <w:r>
              <w:rPr>
                <w:sz w:val="18"/>
              </w:rPr>
              <w:t>13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CA450000">
            <w:pPr>
              <w:rPr>
                <w:sz w:val="18"/>
              </w:rPr>
            </w:pPr>
            <w:r>
              <w:rPr>
                <w:sz w:val="18"/>
              </w:rPr>
              <w:t>УФК по Красноярскому краю (ВР 190490000 Отдел судебных приставов по Уярскому и Партизанскому районам</w:t>
            </w:r>
          </w:p>
        </w:tc>
        <w:tc>
          <w:tcPr>
            <w:tcW w:type="dxa" w:w="1520"/>
            <w:tcBorders>
              <w:top w:color="000000" w:sz="4" w:val="single"/>
              <w:left w:color="000000" w:sz="4" w:val="single"/>
              <w:bottom w:color="000000" w:sz="4" w:val="single"/>
              <w:right w:color="000000" w:sz="4" w:val="single"/>
            </w:tcBorders>
            <w:shd w:fill="auto" w:val="clear"/>
            <w:vAlign w:val="bottom"/>
          </w:tcPr>
          <w:p w14:paraId="CB450000">
            <w:pPr>
              <w:widowControl w:val="1"/>
              <w:ind/>
              <w:jc w:val="right"/>
              <w:rPr>
                <w:sz w:val="18"/>
              </w:rPr>
            </w:pPr>
            <w:r>
              <w:rPr>
                <w:sz w:val="18"/>
              </w:rPr>
              <w:t>6</w:t>
            </w:r>
          </w:p>
        </w:tc>
        <w:tc>
          <w:tcPr>
            <w:tcW w:type="dxa" w:w="1360"/>
            <w:tcBorders>
              <w:top w:color="000000" w:sz="4" w:val="single"/>
              <w:left w:color="000000" w:sz="4" w:val="single"/>
              <w:bottom w:color="000000" w:sz="4" w:val="single"/>
              <w:right w:color="000000" w:sz="4" w:val="single"/>
            </w:tcBorders>
            <w:shd w:fill="auto" w:val="clear"/>
            <w:vAlign w:val="bottom"/>
          </w:tcPr>
          <w:p w14:paraId="CC450000">
            <w:pPr>
              <w:widowControl w:val="1"/>
              <w:ind/>
              <w:jc w:val="right"/>
              <w:rPr>
                <w:sz w:val="18"/>
              </w:rPr>
            </w:pPr>
            <w:r>
              <w:rPr>
                <w:sz w:val="18"/>
              </w:rPr>
              <w:t>20</w:t>
            </w:r>
          </w:p>
        </w:tc>
        <w:tc>
          <w:tcPr>
            <w:tcW w:type="dxa" w:w="1360"/>
            <w:tcBorders>
              <w:top w:color="000000" w:sz="4" w:val="single"/>
              <w:left w:color="000000" w:sz="4" w:val="single"/>
              <w:bottom w:color="000000" w:sz="4" w:val="single"/>
              <w:right w:color="000000" w:sz="4" w:val="single"/>
            </w:tcBorders>
            <w:shd w:fill="auto" w:val="clear"/>
            <w:vAlign w:val="bottom"/>
          </w:tcPr>
          <w:p w14:paraId="CD450000">
            <w:pPr>
              <w:widowControl w:val="1"/>
              <w:ind/>
              <w:jc w:val="right"/>
              <w:rPr>
                <w:sz w:val="18"/>
              </w:rPr>
            </w:pPr>
            <w:r>
              <w:rPr>
                <w:sz w:val="18"/>
              </w:rPr>
              <w:t>26</w:t>
            </w:r>
          </w:p>
        </w:tc>
        <w:tc>
          <w:tcPr>
            <w:tcW w:type="dxa" w:w="1560"/>
            <w:tcBorders>
              <w:top w:color="000000" w:sz="4" w:val="single"/>
              <w:left w:color="000000" w:sz="4" w:val="single"/>
              <w:bottom w:color="000000" w:sz="4" w:val="single"/>
              <w:right w:color="000000" w:sz="4" w:val="single"/>
            </w:tcBorders>
            <w:shd w:fill="auto" w:val="clear"/>
            <w:vAlign w:val="bottom"/>
          </w:tcPr>
          <w:p w14:paraId="CE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CF450000">
            <w:pPr>
              <w:rPr>
                <w:sz w:val="18"/>
              </w:rPr>
            </w:pPr>
            <w:r>
              <w:rPr>
                <w:sz w:val="18"/>
              </w:rPr>
              <w:t>УФК по Красноярскому краю (ВР190360000 Отдел судебных приставов по Манскому р-ну УФССПП России по Красноярскому краю</w:t>
            </w:r>
          </w:p>
        </w:tc>
        <w:tc>
          <w:tcPr>
            <w:tcW w:type="dxa" w:w="1520"/>
            <w:tcBorders>
              <w:top w:color="000000" w:sz="4" w:val="single"/>
              <w:left w:color="000000" w:sz="4" w:val="single"/>
              <w:bottom w:color="000000" w:sz="4" w:val="single"/>
              <w:right w:color="000000" w:sz="4" w:val="single"/>
            </w:tcBorders>
            <w:shd w:fill="auto" w:val="clear"/>
            <w:vAlign w:val="bottom"/>
          </w:tcPr>
          <w:p w14:paraId="D0450000">
            <w:pPr>
              <w:widowControl w:val="1"/>
              <w:ind/>
              <w:jc w:val="right"/>
              <w:rPr>
                <w:sz w:val="18"/>
              </w:rPr>
            </w:pPr>
            <w:r>
              <w:rPr>
                <w:sz w:val="18"/>
              </w:rPr>
              <w:t>12</w:t>
            </w:r>
          </w:p>
        </w:tc>
        <w:tc>
          <w:tcPr>
            <w:tcW w:type="dxa" w:w="1360"/>
            <w:tcBorders>
              <w:top w:color="000000" w:sz="4" w:val="single"/>
              <w:left w:color="000000" w:sz="4" w:val="single"/>
              <w:bottom w:color="000000" w:sz="4" w:val="single"/>
              <w:right w:color="000000" w:sz="4" w:val="single"/>
            </w:tcBorders>
            <w:shd w:fill="auto" w:val="clear"/>
            <w:vAlign w:val="bottom"/>
          </w:tcPr>
          <w:p w14:paraId="D1450000">
            <w:pPr>
              <w:widowControl w:val="1"/>
              <w:ind/>
              <w:jc w:val="right"/>
              <w:rPr>
                <w:sz w:val="18"/>
              </w:rPr>
            </w:pPr>
            <w:r>
              <w:rPr>
                <w:sz w:val="18"/>
              </w:rPr>
              <w:t>113</w:t>
            </w:r>
          </w:p>
        </w:tc>
        <w:tc>
          <w:tcPr>
            <w:tcW w:type="dxa" w:w="1360"/>
            <w:tcBorders>
              <w:top w:color="000000" w:sz="4" w:val="single"/>
              <w:left w:color="000000" w:sz="4" w:val="single"/>
              <w:bottom w:color="000000" w:sz="4" w:val="single"/>
              <w:right w:color="000000" w:sz="4" w:val="single"/>
            </w:tcBorders>
            <w:shd w:fill="auto" w:val="clear"/>
            <w:vAlign w:val="bottom"/>
          </w:tcPr>
          <w:p w14:paraId="D2450000">
            <w:pPr>
              <w:widowControl w:val="1"/>
              <w:ind/>
              <w:jc w:val="right"/>
              <w:rPr>
                <w:sz w:val="18"/>
              </w:rPr>
            </w:pPr>
            <w:r>
              <w:rPr>
                <w:sz w:val="18"/>
              </w:rPr>
              <w:t>114</w:t>
            </w:r>
          </w:p>
        </w:tc>
        <w:tc>
          <w:tcPr>
            <w:tcW w:type="dxa" w:w="1560"/>
            <w:tcBorders>
              <w:top w:color="000000" w:sz="4" w:val="single"/>
              <w:left w:color="000000" w:sz="4" w:val="single"/>
              <w:bottom w:color="000000" w:sz="4" w:val="single"/>
              <w:right w:color="000000" w:sz="4" w:val="single"/>
            </w:tcBorders>
            <w:shd w:fill="auto" w:val="clear"/>
            <w:vAlign w:val="bottom"/>
          </w:tcPr>
          <w:p w14:paraId="D3450000">
            <w:pPr>
              <w:widowControl w:val="1"/>
              <w:ind/>
              <w:jc w:val="right"/>
              <w:rPr>
                <w:sz w:val="18"/>
              </w:rPr>
            </w:pPr>
            <w:r>
              <w:rPr>
                <w:sz w:val="18"/>
              </w:rPr>
              <w:t>11</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D4450000">
            <w:pPr>
              <w:rPr>
                <w:sz w:val="18"/>
              </w:rPr>
            </w:pPr>
            <w:r>
              <w:rPr>
                <w:sz w:val="18"/>
              </w:rPr>
              <w:t>УФК по Красноярскому краю (ВР190610000 Отдел судебных приставов по Октябрьскому району г. Красноярск</w:t>
            </w:r>
          </w:p>
        </w:tc>
        <w:tc>
          <w:tcPr>
            <w:tcW w:type="dxa" w:w="1520"/>
            <w:tcBorders>
              <w:top w:color="000000" w:sz="4" w:val="single"/>
              <w:left w:color="000000" w:sz="4" w:val="single"/>
              <w:bottom w:color="000000" w:sz="4" w:val="single"/>
              <w:right w:color="000000" w:sz="4" w:val="single"/>
            </w:tcBorders>
            <w:shd w:fill="auto" w:val="clear"/>
            <w:vAlign w:val="bottom"/>
          </w:tcPr>
          <w:p w14:paraId="D5450000">
            <w:pPr>
              <w:widowControl w:val="1"/>
              <w:ind/>
              <w:jc w:val="right"/>
              <w:rPr>
                <w:sz w:val="18"/>
              </w:rPr>
            </w:pPr>
            <w:r>
              <w:rPr>
                <w:sz w:val="18"/>
              </w:rPr>
              <w:t>21</w:t>
            </w:r>
          </w:p>
        </w:tc>
        <w:tc>
          <w:tcPr>
            <w:tcW w:type="dxa" w:w="1360"/>
            <w:tcBorders>
              <w:top w:color="000000" w:sz="4" w:val="single"/>
              <w:left w:color="000000" w:sz="4" w:val="single"/>
              <w:bottom w:color="000000" w:sz="4" w:val="single"/>
              <w:right w:color="000000" w:sz="4" w:val="single"/>
            </w:tcBorders>
            <w:shd w:fill="auto" w:val="clear"/>
            <w:vAlign w:val="bottom"/>
          </w:tcPr>
          <w:p w14:paraId="D6450000">
            <w:pPr>
              <w:widowControl w:val="1"/>
              <w:ind/>
              <w:jc w:val="right"/>
              <w:rPr>
                <w:sz w:val="18"/>
              </w:rPr>
            </w:pPr>
            <w:r>
              <w:rPr>
                <w:sz w:val="18"/>
              </w:rPr>
              <w:t>229</w:t>
            </w:r>
          </w:p>
        </w:tc>
        <w:tc>
          <w:tcPr>
            <w:tcW w:type="dxa" w:w="1360"/>
            <w:tcBorders>
              <w:top w:color="000000" w:sz="4" w:val="single"/>
              <w:left w:color="000000" w:sz="4" w:val="single"/>
              <w:bottom w:color="000000" w:sz="4" w:val="single"/>
              <w:right w:color="000000" w:sz="4" w:val="single"/>
            </w:tcBorders>
            <w:shd w:fill="auto" w:val="clear"/>
            <w:vAlign w:val="bottom"/>
          </w:tcPr>
          <w:p w14:paraId="D7450000">
            <w:pPr>
              <w:widowControl w:val="1"/>
              <w:ind/>
              <w:jc w:val="right"/>
              <w:rPr>
                <w:sz w:val="18"/>
              </w:rPr>
            </w:pPr>
            <w:r>
              <w:rPr>
                <w:sz w:val="18"/>
              </w:rPr>
              <w:t>239</w:t>
            </w:r>
          </w:p>
        </w:tc>
        <w:tc>
          <w:tcPr>
            <w:tcW w:type="dxa" w:w="1560"/>
            <w:tcBorders>
              <w:top w:color="000000" w:sz="4" w:val="single"/>
              <w:left w:color="000000" w:sz="4" w:val="single"/>
              <w:bottom w:color="000000" w:sz="4" w:val="single"/>
              <w:right w:color="000000" w:sz="4" w:val="single"/>
            </w:tcBorders>
            <w:shd w:fill="auto" w:val="clear"/>
            <w:vAlign w:val="bottom"/>
          </w:tcPr>
          <w:p w14:paraId="D8450000">
            <w:pPr>
              <w:widowControl w:val="1"/>
              <w:ind/>
              <w:jc w:val="right"/>
              <w:rPr>
                <w:sz w:val="18"/>
              </w:rPr>
            </w:pPr>
            <w:r>
              <w:rPr>
                <w:sz w:val="18"/>
              </w:rPr>
              <w:t>12</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D9450000">
            <w:pPr>
              <w:rPr>
                <w:sz w:val="18"/>
              </w:rPr>
            </w:pPr>
            <w:r>
              <w:rPr>
                <w:sz w:val="18"/>
              </w:rPr>
              <w:t>УФК по Красноярскому краю (ВР190620000 Отдел судебных приставов по Ленинскому р-ну г. Красноярска УФС</w:t>
            </w:r>
          </w:p>
        </w:tc>
        <w:tc>
          <w:tcPr>
            <w:tcW w:type="dxa" w:w="1520"/>
            <w:tcBorders>
              <w:top w:color="000000" w:sz="4" w:val="single"/>
              <w:left w:color="000000" w:sz="4" w:val="single"/>
              <w:bottom w:color="000000" w:sz="4" w:val="single"/>
              <w:right w:color="000000" w:sz="4" w:val="single"/>
            </w:tcBorders>
            <w:shd w:fill="auto" w:val="clear"/>
            <w:vAlign w:val="bottom"/>
          </w:tcPr>
          <w:p w14:paraId="DA450000">
            <w:pPr>
              <w:widowControl w:val="1"/>
              <w:ind/>
              <w:jc w:val="right"/>
              <w:rPr>
                <w:sz w:val="18"/>
              </w:rPr>
            </w:pPr>
            <w:r>
              <w:rPr>
                <w:sz w:val="18"/>
              </w:rPr>
              <w:t>15</w:t>
            </w:r>
          </w:p>
        </w:tc>
        <w:tc>
          <w:tcPr>
            <w:tcW w:type="dxa" w:w="1360"/>
            <w:tcBorders>
              <w:top w:color="000000" w:sz="4" w:val="single"/>
              <w:left w:color="000000" w:sz="4" w:val="single"/>
              <w:bottom w:color="000000" w:sz="4" w:val="single"/>
              <w:right w:color="000000" w:sz="4" w:val="single"/>
            </w:tcBorders>
            <w:shd w:fill="auto" w:val="clear"/>
            <w:vAlign w:val="bottom"/>
          </w:tcPr>
          <w:p w14:paraId="DB450000">
            <w:pPr>
              <w:widowControl w:val="1"/>
              <w:ind/>
              <w:jc w:val="right"/>
              <w:rPr>
                <w:sz w:val="18"/>
              </w:rPr>
            </w:pPr>
            <w:r>
              <w:rPr>
                <w:sz w:val="18"/>
              </w:rPr>
              <w:t>5</w:t>
            </w:r>
          </w:p>
        </w:tc>
        <w:tc>
          <w:tcPr>
            <w:tcW w:type="dxa" w:w="1360"/>
            <w:tcBorders>
              <w:top w:color="000000" w:sz="4" w:val="single"/>
              <w:left w:color="000000" w:sz="4" w:val="single"/>
              <w:bottom w:color="000000" w:sz="4" w:val="single"/>
              <w:right w:color="000000" w:sz="4" w:val="single"/>
            </w:tcBorders>
            <w:shd w:fill="auto" w:val="clear"/>
            <w:vAlign w:val="bottom"/>
          </w:tcPr>
          <w:p w14:paraId="DC450000">
            <w:pPr>
              <w:widowControl w:val="1"/>
              <w:ind/>
              <w:jc w:val="right"/>
              <w:rPr>
                <w:sz w:val="18"/>
              </w:rPr>
            </w:pPr>
            <w:r>
              <w:rPr>
                <w:sz w:val="18"/>
              </w:rPr>
              <w:t>20</w:t>
            </w:r>
          </w:p>
        </w:tc>
        <w:tc>
          <w:tcPr>
            <w:tcW w:type="dxa" w:w="1560"/>
            <w:tcBorders>
              <w:top w:color="000000" w:sz="4" w:val="single"/>
              <w:left w:color="000000" w:sz="4" w:val="single"/>
              <w:bottom w:color="000000" w:sz="4" w:val="single"/>
              <w:right w:color="000000" w:sz="4" w:val="single"/>
            </w:tcBorders>
            <w:shd w:fill="auto" w:val="clear"/>
            <w:vAlign w:val="bottom"/>
          </w:tcPr>
          <w:p w14:paraId="DD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DE450000">
            <w:pPr>
              <w:rPr>
                <w:sz w:val="18"/>
              </w:rPr>
            </w:pPr>
            <w:r>
              <w:rPr>
                <w:sz w:val="18"/>
              </w:rPr>
              <w:t>УФК по Красноярскому краю (ВР190620000Отдел судебных приставов по Свердловскому р-ну г. Красноярска У</w:t>
            </w:r>
          </w:p>
        </w:tc>
        <w:tc>
          <w:tcPr>
            <w:tcW w:type="dxa" w:w="1520"/>
            <w:tcBorders>
              <w:top w:color="000000" w:sz="4" w:val="single"/>
              <w:left w:color="000000" w:sz="4" w:val="single"/>
              <w:bottom w:color="000000" w:sz="4" w:val="single"/>
              <w:right w:color="000000" w:sz="4" w:val="single"/>
            </w:tcBorders>
            <w:shd w:fill="auto" w:val="clear"/>
            <w:vAlign w:val="bottom"/>
          </w:tcPr>
          <w:p w14:paraId="DF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E0450000">
            <w:pPr>
              <w:widowControl w:val="1"/>
              <w:ind/>
              <w:jc w:val="right"/>
              <w:rPr>
                <w:sz w:val="18"/>
              </w:rPr>
            </w:pPr>
            <w:r>
              <w:rPr>
                <w:sz w:val="18"/>
              </w:rPr>
              <w:t>26</w:t>
            </w:r>
          </w:p>
        </w:tc>
        <w:tc>
          <w:tcPr>
            <w:tcW w:type="dxa" w:w="1360"/>
            <w:tcBorders>
              <w:top w:color="000000" w:sz="4" w:val="single"/>
              <w:left w:color="000000" w:sz="4" w:val="single"/>
              <w:bottom w:color="000000" w:sz="4" w:val="single"/>
              <w:right w:color="000000" w:sz="4" w:val="single"/>
            </w:tcBorders>
            <w:shd w:fill="auto" w:val="clear"/>
            <w:vAlign w:val="bottom"/>
          </w:tcPr>
          <w:p w14:paraId="E1450000">
            <w:pPr>
              <w:widowControl w:val="1"/>
              <w:ind/>
              <w:jc w:val="right"/>
              <w:rPr>
                <w:sz w:val="18"/>
              </w:rPr>
            </w:pPr>
            <w:r>
              <w:rPr>
                <w:sz w:val="18"/>
              </w:rPr>
              <w:t>26</w:t>
            </w:r>
          </w:p>
        </w:tc>
        <w:tc>
          <w:tcPr>
            <w:tcW w:type="dxa" w:w="1560"/>
            <w:tcBorders>
              <w:top w:color="000000" w:sz="4" w:val="single"/>
              <w:left w:color="000000" w:sz="4" w:val="single"/>
              <w:bottom w:color="000000" w:sz="4" w:val="single"/>
              <w:right w:color="000000" w:sz="4" w:val="single"/>
            </w:tcBorders>
            <w:shd w:fill="auto" w:val="clear"/>
            <w:vAlign w:val="bottom"/>
          </w:tcPr>
          <w:p w14:paraId="E2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3450000">
            <w:pPr>
              <w:rPr>
                <w:sz w:val="18"/>
              </w:rPr>
            </w:pPr>
            <w:r>
              <w:rPr>
                <w:sz w:val="18"/>
              </w:rPr>
              <w:t>УФК по Красноярскому краю (ВР190630000 ОСП №3 по Советскому району г. Красноярска УФССП России по Красноярскому краю</w:t>
            </w:r>
          </w:p>
        </w:tc>
        <w:tc>
          <w:tcPr>
            <w:tcW w:type="dxa" w:w="1520"/>
            <w:tcBorders>
              <w:top w:color="000000" w:sz="4" w:val="single"/>
              <w:left w:color="000000" w:sz="4" w:val="single"/>
              <w:bottom w:color="000000" w:sz="4" w:val="single"/>
              <w:right w:color="000000" w:sz="4" w:val="single"/>
            </w:tcBorders>
            <w:shd w:fill="auto" w:val="clear"/>
            <w:vAlign w:val="bottom"/>
          </w:tcPr>
          <w:p w14:paraId="E4450000">
            <w:pPr>
              <w:widowControl w:val="1"/>
              <w:ind/>
              <w:jc w:val="right"/>
              <w:rPr>
                <w:sz w:val="18"/>
              </w:rPr>
            </w:pPr>
            <w:r>
              <w:rPr>
                <w:sz w:val="18"/>
              </w:rPr>
              <w:t>13</w:t>
            </w:r>
          </w:p>
        </w:tc>
        <w:tc>
          <w:tcPr>
            <w:tcW w:type="dxa" w:w="1360"/>
            <w:tcBorders>
              <w:top w:color="000000" w:sz="4" w:val="single"/>
              <w:left w:color="000000" w:sz="4" w:val="single"/>
              <w:bottom w:color="000000" w:sz="4" w:val="single"/>
              <w:right w:color="000000" w:sz="4" w:val="single"/>
            </w:tcBorders>
            <w:shd w:fill="auto" w:val="clear"/>
            <w:vAlign w:val="bottom"/>
          </w:tcPr>
          <w:p w14:paraId="E5450000">
            <w:pPr>
              <w:widowControl w:val="1"/>
              <w:ind/>
              <w:jc w:val="right"/>
              <w:rPr>
                <w:sz w:val="18"/>
              </w:rPr>
            </w:pPr>
            <w:r>
              <w:rPr>
                <w:sz w:val="18"/>
              </w:rPr>
              <w:t>28</w:t>
            </w:r>
          </w:p>
        </w:tc>
        <w:tc>
          <w:tcPr>
            <w:tcW w:type="dxa" w:w="1360"/>
            <w:tcBorders>
              <w:top w:color="000000" w:sz="4" w:val="single"/>
              <w:left w:color="000000" w:sz="4" w:val="single"/>
              <w:bottom w:color="000000" w:sz="4" w:val="single"/>
              <w:right w:color="000000" w:sz="4" w:val="single"/>
            </w:tcBorders>
            <w:shd w:fill="auto" w:val="clear"/>
            <w:vAlign w:val="bottom"/>
          </w:tcPr>
          <w:p w14:paraId="E6450000">
            <w:pPr>
              <w:widowControl w:val="1"/>
              <w:ind/>
              <w:jc w:val="right"/>
              <w:rPr>
                <w:sz w:val="18"/>
              </w:rPr>
            </w:pPr>
            <w:r>
              <w:rPr>
                <w:sz w:val="18"/>
              </w:rPr>
              <w:t>41</w:t>
            </w:r>
          </w:p>
        </w:tc>
        <w:tc>
          <w:tcPr>
            <w:tcW w:type="dxa" w:w="1560"/>
            <w:tcBorders>
              <w:top w:color="000000" w:sz="4" w:val="single"/>
              <w:left w:color="000000" w:sz="4" w:val="single"/>
              <w:bottom w:color="000000" w:sz="4" w:val="single"/>
              <w:right w:color="000000" w:sz="4" w:val="single"/>
            </w:tcBorders>
            <w:shd w:fill="auto" w:val="clear"/>
            <w:vAlign w:val="bottom"/>
          </w:tcPr>
          <w:p w14:paraId="E745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8450000">
            <w:pPr>
              <w:rPr>
                <w:sz w:val="18"/>
              </w:rPr>
            </w:pPr>
            <w:r>
              <w:rPr>
                <w:sz w:val="18"/>
              </w:rPr>
              <w:t>УФК по Красноярскому краю (ОСП ВАШ по г. Красноярску и Емельяновскому району УФССП России по Красноярскому краю</w:t>
            </w:r>
          </w:p>
        </w:tc>
        <w:tc>
          <w:tcPr>
            <w:tcW w:type="dxa" w:w="1520"/>
            <w:tcBorders>
              <w:top w:color="000000" w:sz="4" w:val="single"/>
              <w:left w:color="000000" w:sz="4" w:val="single"/>
              <w:bottom w:color="000000" w:sz="4" w:val="single"/>
              <w:right w:color="000000" w:sz="4" w:val="single"/>
            </w:tcBorders>
            <w:shd w:fill="auto" w:val="clear"/>
            <w:vAlign w:val="bottom"/>
          </w:tcPr>
          <w:p w14:paraId="E9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EA450000">
            <w:pPr>
              <w:widowControl w:val="1"/>
              <w:ind/>
              <w:jc w:val="right"/>
              <w:rPr>
                <w:sz w:val="18"/>
              </w:rPr>
            </w:pPr>
            <w:r>
              <w:rPr>
                <w:sz w:val="18"/>
              </w:rPr>
              <w:t>11</w:t>
            </w:r>
          </w:p>
        </w:tc>
        <w:tc>
          <w:tcPr>
            <w:tcW w:type="dxa" w:w="1360"/>
            <w:tcBorders>
              <w:top w:color="000000" w:sz="4" w:val="single"/>
              <w:left w:color="000000" w:sz="4" w:val="single"/>
              <w:bottom w:color="000000" w:sz="4" w:val="single"/>
              <w:right w:color="000000" w:sz="4" w:val="single"/>
            </w:tcBorders>
            <w:shd w:fill="auto" w:val="clear"/>
            <w:vAlign w:val="bottom"/>
          </w:tcPr>
          <w:p w14:paraId="EB450000">
            <w:pPr>
              <w:widowControl w:val="1"/>
              <w:ind/>
              <w:jc w:val="right"/>
              <w:rPr>
                <w:sz w:val="18"/>
              </w:rPr>
            </w:pPr>
            <w:r>
              <w:rPr>
                <w:sz w:val="18"/>
              </w:rPr>
              <w:t>3</w:t>
            </w:r>
          </w:p>
        </w:tc>
        <w:tc>
          <w:tcPr>
            <w:tcW w:type="dxa" w:w="1560"/>
            <w:tcBorders>
              <w:top w:color="000000" w:sz="4" w:val="single"/>
              <w:left w:color="000000" w:sz="4" w:val="single"/>
              <w:bottom w:color="000000" w:sz="4" w:val="single"/>
              <w:right w:color="000000" w:sz="4" w:val="single"/>
            </w:tcBorders>
            <w:shd w:fill="auto" w:val="clear"/>
            <w:vAlign w:val="bottom"/>
          </w:tcPr>
          <w:p w14:paraId="EC450000">
            <w:pPr>
              <w:widowControl w:val="1"/>
              <w:ind/>
              <w:jc w:val="right"/>
              <w:rPr>
                <w:sz w:val="18"/>
              </w:rPr>
            </w:pPr>
            <w:r>
              <w:rPr>
                <w:sz w:val="18"/>
              </w:rPr>
              <w:t>9</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ED450000">
            <w:pPr>
              <w:rPr>
                <w:sz w:val="18"/>
              </w:rPr>
            </w:pPr>
            <w:r>
              <w:rPr>
                <w:sz w:val="18"/>
              </w:rPr>
              <w:t>УФК по Красноярскому краю (ОСП по Рыбинскому району и г. Бородино УФССП по Красноярскому краю л/с 05</w:t>
            </w:r>
          </w:p>
        </w:tc>
        <w:tc>
          <w:tcPr>
            <w:tcW w:type="dxa" w:w="1520"/>
            <w:tcBorders>
              <w:top w:color="000000" w:sz="4" w:val="single"/>
              <w:left w:color="000000" w:sz="4" w:val="single"/>
              <w:bottom w:color="000000" w:sz="4" w:val="single"/>
              <w:right w:color="000000" w:sz="4" w:val="single"/>
            </w:tcBorders>
            <w:shd w:fill="auto" w:val="clear"/>
            <w:vAlign w:val="bottom"/>
          </w:tcPr>
          <w:p w14:paraId="EE45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EF450000">
            <w:pPr>
              <w:widowControl w:val="1"/>
              <w:ind/>
              <w:jc w:val="right"/>
              <w:rPr>
                <w:sz w:val="18"/>
              </w:rPr>
            </w:pPr>
            <w:r>
              <w:rPr>
                <w:sz w:val="18"/>
              </w:rPr>
              <w:t>2</w:t>
            </w:r>
          </w:p>
        </w:tc>
        <w:tc>
          <w:tcPr>
            <w:tcW w:type="dxa" w:w="1360"/>
            <w:tcBorders>
              <w:top w:color="000000" w:sz="4" w:val="single"/>
              <w:left w:color="000000" w:sz="4" w:val="single"/>
              <w:bottom w:color="000000" w:sz="4" w:val="single"/>
              <w:right w:color="000000" w:sz="4" w:val="single"/>
            </w:tcBorders>
            <w:shd w:fill="auto" w:val="clear"/>
            <w:vAlign w:val="bottom"/>
          </w:tcPr>
          <w:p w14:paraId="F0450000">
            <w:pPr>
              <w:widowControl w:val="1"/>
              <w:ind/>
              <w:jc w:val="right"/>
              <w:rPr>
                <w:sz w:val="18"/>
              </w:rPr>
            </w:pPr>
            <w:r>
              <w:rPr>
                <w:sz w:val="18"/>
              </w:rPr>
              <w:t>2</w:t>
            </w:r>
          </w:p>
        </w:tc>
        <w:tc>
          <w:tcPr>
            <w:tcW w:type="dxa" w:w="1560"/>
            <w:tcBorders>
              <w:top w:color="000000" w:sz="4" w:val="single"/>
              <w:left w:color="000000" w:sz="4" w:val="single"/>
              <w:bottom w:color="000000" w:sz="4" w:val="single"/>
              <w:right w:color="000000" w:sz="4" w:val="single"/>
            </w:tcBorders>
            <w:shd w:fill="auto" w:val="clear"/>
            <w:vAlign w:val="bottom"/>
          </w:tcPr>
          <w:p w14:paraId="F1450000">
            <w:pPr>
              <w:widowControl w:val="1"/>
              <w:ind/>
              <w:jc w:val="right"/>
              <w:rPr>
                <w:sz w:val="18"/>
              </w:rPr>
            </w:pPr>
            <w:r>
              <w:rPr>
                <w:sz w:val="18"/>
              </w:rPr>
              <w:t>0</w:t>
            </w:r>
          </w:p>
        </w:tc>
      </w:tr>
      <w:tr>
        <w:trPr>
          <w:trHeight w:hRule="atLeast" w:val="85"/>
        </w:trPr>
        <w:tc>
          <w:tcPr>
            <w:tcW w:type="dxa" w:w="4414"/>
            <w:tcBorders>
              <w:top w:color="000000" w:sz="4" w:val="single"/>
              <w:left w:color="000000" w:sz="4" w:val="single"/>
              <w:bottom w:color="000000" w:sz="4" w:val="single"/>
              <w:right w:color="000000" w:sz="4" w:val="single"/>
            </w:tcBorders>
            <w:shd w:fill="auto" w:val="clear"/>
            <w:vAlign w:val="bottom"/>
          </w:tcPr>
          <w:p w14:paraId="F2450000">
            <w:pPr>
              <w:rPr>
                <w:sz w:val="18"/>
              </w:rPr>
            </w:pPr>
            <w:r>
              <w:rPr>
                <w:sz w:val="18"/>
              </w:rPr>
              <w:t>УФК по Красноярскому краю (Отдел судебных приставов по Кировскому району г. Красноярска УФССП России</w:t>
            </w:r>
          </w:p>
        </w:tc>
        <w:tc>
          <w:tcPr>
            <w:tcW w:type="dxa" w:w="1520"/>
            <w:tcBorders>
              <w:top w:color="000000" w:sz="4" w:val="single"/>
              <w:left w:color="000000" w:sz="4" w:val="single"/>
              <w:bottom w:color="000000" w:sz="4" w:val="single"/>
              <w:right w:color="000000" w:sz="4" w:val="single"/>
            </w:tcBorders>
            <w:shd w:fill="auto" w:val="clear"/>
            <w:vAlign w:val="bottom"/>
          </w:tcPr>
          <w:p w14:paraId="F3450000">
            <w:pPr>
              <w:widowControl w:val="1"/>
              <w:ind/>
              <w:jc w:val="right"/>
              <w:rPr>
                <w:sz w:val="18"/>
              </w:rPr>
            </w:pPr>
            <w:r>
              <w:rPr>
                <w:sz w:val="18"/>
              </w:rPr>
              <w:t>33</w:t>
            </w:r>
          </w:p>
        </w:tc>
        <w:tc>
          <w:tcPr>
            <w:tcW w:type="dxa" w:w="1360"/>
            <w:tcBorders>
              <w:top w:color="000000" w:sz="4" w:val="single"/>
              <w:left w:color="000000" w:sz="4" w:val="single"/>
              <w:bottom w:color="000000" w:sz="4" w:val="single"/>
              <w:right w:color="000000" w:sz="4" w:val="single"/>
            </w:tcBorders>
            <w:shd w:fill="auto" w:val="clear"/>
            <w:vAlign w:val="bottom"/>
          </w:tcPr>
          <w:p w14:paraId="F4450000">
            <w:pPr>
              <w:widowControl w:val="1"/>
              <w:ind/>
              <w:jc w:val="right"/>
              <w:rPr>
                <w:sz w:val="18"/>
              </w:rPr>
            </w:pPr>
            <w:r>
              <w:rPr>
                <w:sz w:val="18"/>
              </w:rPr>
              <w:t>233</w:t>
            </w:r>
          </w:p>
        </w:tc>
        <w:tc>
          <w:tcPr>
            <w:tcW w:type="dxa" w:w="1360"/>
            <w:tcBorders>
              <w:top w:color="000000" w:sz="4" w:val="single"/>
              <w:left w:color="000000" w:sz="4" w:val="single"/>
              <w:bottom w:color="000000" w:sz="4" w:val="single"/>
              <w:right w:color="000000" w:sz="4" w:val="single"/>
            </w:tcBorders>
            <w:shd w:fill="auto" w:val="clear"/>
            <w:vAlign w:val="bottom"/>
          </w:tcPr>
          <w:p w14:paraId="F5450000">
            <w:pPr>
              <w:widowControl w:val="1"/>
              <w:ind/>
              <w:jc w:val="right"/>
              <w:rPr>
                <w:sz w:val="18"/>
              </w:rPr>
            </w:pPr>
            <w:r>
              <w:rPr>
                <w:sz w:val="18"/>
              </w:rPr>
              <w:t>239</w:t>
            </w:r>
          </w:p>
        </w:tc>
        <w:tc>
          <w:tcPr>
            <w:tcW w:type="dxa" w:w="1560"/>
            <w:tcBorders>
              <w:top w:color="000000" w:sz="4" w:val="single"/>
              <w:left w:color="000000" w:sz="4" w:val="single"/>
              <w:bottom w:color="000000" w:sz="4" w:val="single"/>
              <w:right w:color="000000" w:sz="4" w:val="single"/>
            </w:tcBorders>
            <w:shd w:fill="auto" w:val="clear"/>
            <w:vAlign w:val="bottom"/>
          </w:tcPr>
          <w:p w14:paraId="F6450000">
            <w:pPr>
              <w:widowControl w:val="1"/>
              <w:ind/>
              <w:jc w:val="right"/>
              <w:rPr>
                <w:sz w:val="18"/>
              </w:rPr>
            </w:pPr>
            <w:r>
              <w:rPr>
                <w:sz w:val="18"/>
              </w:rPr>
              <w:t>27</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F7450000">
            <w:pPr>
              <w:rPr>
                <w:sz w:val="18"/>
              </w:rPr>
            </w:pPr>
            <w:r>
              <w:rPr>
                <w:sz w:val="18"/>
              </w:rPr>
              <w:t>УФК по Красноярскому краю (Отдел судебных приставов по Козульскому району УФССП России по Красноярск</w:t>
            </w:r>
          </w:p>
        </w:tc>
        <w:tc>
          <w:tcPr>
            <w:tcW w:type="dxa" w:w="1520"/>
            <w:tcBorders>
              <w:top w:color="000000" w:sz="4" w:val="single"/>
              <w:left w:color="000000" w:sz="4" w:val="single"/>
              <w:bottom w:color="000000" w:sz="4" w:val="single"/>
              <w:right w:color="000000" w:sz="4" w:val="single"/>
            </w:tcBorders>
            <w:shd w:fill="auto" w:val="clear"/>
            <w:vAlign w:val="bottom"/>
          </w:tcPr>
          <w:p w14:paraId="F8450000">
            <w:pPr>
              <w:widowControl w:val="1"/>
              <w:ind/>
              <w:jc w:val="right"/>
              <w:rPr>
                <w:sz w:val="18"/>
              </w:rPr>
            </w:pPr>
            <w:r>
              <w:rPr>
                <w:sz w:val="18"/>
              </w:rPr>
              <w:t>49</w:t>
            </w:r>
          </w:p>
        </w:tc>
        <w:tc>
          <w:tcPr>
            <w:tcW w:type="dxa" w:w="1360"/>
            <w:tcBorders>
              <w:top w:color="000000" w:sz="4" w:val="single"/>
              <w:left w:color="000000" w:sz="4" w:val="single"/>
              <w:bottom w:color="000000" w:sz="4" w:val="single"/>
              <w:right w:color="000000" w:sz="4" w:val="single"/>
            </w:tcBorders>
            <w:shd w:fill="auto" w:val="clear"/>
            <w:vAlign w:val="bottom"/>
          </w:tcPr>
          <w:p w14:paraId="F9450000">
            <w:pPr>
              <w:widowControl w:val="1"/>
              <w:ind/>
              <w:jc w:val="right"/>
              <w:rPr>
                <w:sz w:val="18"/>
              </w:rPr>
            </w:pPr>
            <w:r>
              <w:rPr>
                <w:sz w:val="18"/>
              </w:rPr>
              <w:t>250</w:t>
            </w:r>
          </w:p>
        </w:tc>
        <w:tc>
          <w:tcPr>
            <w:tcW w:type="dxa" w:w="1360"/>
            <w:tcBorders>
              <w:top w:color="000000" w:sz="4" w:val="single"/>
              <w:left w:color="000000" w:sz="4" w:val="single"/>
              <w:bottom w:color="000000" w:sz="4" w:val="single"/>
              <w:right w:color="000000" w:sz="4" w:val="single"/>
            </w:tcBorders>
            <w:shd w:fill="auto" w:val="clear"/>
            <w:vAlign w:val="bottom"/>
          </w:tcPr>
          <w:p w14:paraId="FA450000">
            <w:pPr>
              <w:widowControl w:val="1"/>
              <w:ind/>
              <w:jc w:val="right"/>
              <w:rPr>
                <w:sz w:val="18"/>
              </w:rPr>
            </w:pPr>
            <w:r>
              <w:rPr>
                <w:sz w:val="18"/>
              </w:rPr>
              <w:t>276</w:t>
            </w:r>
          </w:p>
        </w:tc>
        <w:tc>
          <w:tcPr>
            <w:tcW w:type="dxa" w:w="1560"/>
            <w:tcBorders>
              <w:top w:color="000000" w:sz="4" w:val="single"/>
              <w:left w:color="000000" w:sz="4" w:val="single"/>
              <w:bottom w:color="000000" w:sz="4" w:val="single"/>
              <w:right w:color="000000" w:sz="4" w:val="single"/>
            </w:tcBorders>
            <w:shd w:fill="auto" w:val="clear"/>
            <w:vAlign w:val="bottom"/>
          </w:tcPr>
          <w:p w14:paraId="FB450000">
            <w:pPr>
              <w:widowControl w:val="1"/>
              <w:ind/>
              <w:jc w:val="right"/>
              <w:rPr>
                <w:sz w:val="18"/>
              </w:rPr>
            </w:pPr>
            <w:r>
              <w:rPr>
                <w:sz w:val="18"/>
              </w:rPr>
              <w:t>23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FC450000">
            <w:pPr>
              <w:rPr>
                <w:sz w:val="18"/>
              </w:rPr>
            </w:pPr>
            <w:r>
              <w:rPr>
                <w:sz w:val="18"/>
              </w:rPr>
              <w:t>УФК по Красноярскому краю (Отдел судебных приставов по Новоселовскому району УФССП России по Красноярскому краю</w:t>
            </w:r>
          </w:p>
        </w:tc>
        <w:tc>
          <w:tcPr>
            <w:tcW w:type="dxa" w:w="1520"/>
            <w:tcBorders>
              <w:top w:color="000000" w:sz="4" w:val="single"/>
              <w:left w:color="000000" w:sz="4" w:val="single"/>
              <w:bottom w:color="000000" w:sz="4" w:val="single"/>
              <w:right w:color="000000" w:sz="4" w:val="single"/>
            </w:tcBorders>
            <w:shd w:fill="auto" w:val="clear"/>
            <w:vAlign w:val="bottom"/>
          </w:tcPr>
          <w:p w14:paraId="FD450000">
            <w:pPr>
              <w:widowControl w:val="1"/>
              <w:ind/>
              <w:jc w:val="right"/>
              <w:rPr>
                <w:sz w:val="18"/>
              </w:rPr>
            </w:pPr>
            <w:r>
              <w:rPr>
                <w:sz w:val="18"/>
              </w:rPr>
              <w:t>5</w:t>
            </w:r>
          </w:p>
        </w:tc>
        <w:tc>
          <w:tcPr>
            <w:tcW w:type="dxa" w:w="1360"/>
            <w:tcBorders>
              <w:top w:color="000000" w:sz="4" w:val="single"/>
              <w:left w:color="000000" w:sz="4" w:val="single"/>
              <w:bottom w:color="000000" w:sz="4" w:val="single"/>
              <w:right w:color="000000" w:sz="4" w:val="single"/>
            </w:tcBorders>
            <w:shd w:fill="auto" w:val="clear"/>
            <w:vAlign w:val="bottom"/>
          </w:tcPr>
          <w:p w14:paraId="FE450000">
            <w:pPr>
              <w:widowControl w:val="1"/>
              <w:ind/>
              <w:jc w:val="right"/>
              <w:rPr>
                <w:sz w:val="18"/>
              </w:rPr>
            </w:pPr>
            <w:r>
              <w:rPr>
                <w:sz w:val="18"/>
              </w:rPr>
              <w:t>63</w:t>
            </w:r>
          </w:p>
        </w:tc>
        <w:tc>
          <w:tcPr>
            <w:tcW w:type="dxa" w:w="1360"/>
            <w:tcBorders>
              <w:top w:color="000000" w:sz="4" w:val="single"/>
              <w:left w:color="000000" w:sz="4" w:val="single"/>
              <w:bottom w:color="000000" w:sz="4" w:val="single"/>
              <w:right w:color="000000" w:sz="4" w:val="single"/>
            </w:tcBorders>
            <w:shd w:fill="auto" w:val="clear"/>
            <w:vAlign w:val="bottom"/>
          </w:tcPr>
          <w:p w14:paraId="FF450000">
            <w:pPr>
              <w:widowControl w:val="1"/>
              <w:ind/>
              <w:jc w:val="right"/>
              <w:rPr>
                <w:sz w:val="18"/>
              </w:rPr>
            </w:pPr>
            <w:r>
              <w:rPr>
                <w:sz w:val="18"/>
              </w:rPr>
              <w:t>68</w:t>
            </w:r>
          </w:p>
        </w:tc>
        <w:tc>
          <w:tcPr>
            <w:tcW w:type="dxa" w:w="1560"/>
            <w:tcBorders>
              <w:top w:color="000000" w:sz="4" w:val="single"/>
              <w:left w:color="000000" w:sz="4" w:val="single"/>
              <w:bottom w:color="000000" w:sz="4" w:val="single"/>
              <w:right w:color="000000" w:sz="4" w:val="single"/>
            </w:tcBorders>
            <w:shd w:fill="auto" w:val="clear"/>
            <w:vAlign w:val="bottom"/>
          </w:tcPr>
          <w:p w14:paraId="0046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1460000">
            <w:pPr>
              <w:rPr>
                <w:sz w:val="18"/>
              </w:rPr>
            </w:pPr>
            <w:r>
              <w:rPr>
                <w:sz w:val="18"/>
              </w:rPr>
              <w:t>УФК по Красноярскому краю ОСП по Железнодорожному району</w:t>
            </w:r>
          </w:p>
        </w:tc>
        <w:tc>
          <w:tcPr>
            <w:tcW w:type="dxa" w:w="1520"/>
            <w:tcBorders>
              <w:top w:color="000000" w:sz="4" w:val="single"/>
              <w:left w:color="000000" w:sz="4" w:val="single"/>
              <w:bottom w:color="000000" w:sz="4" w:val="single"/>
              <w:right w:color="000000" w:sz="4" w:val="single"/>
            </w:tcBorders>
            <w:shd w:fill="auto" w:val="clear"/>
            <w:vAlign w:val="bottom"/>
          </w:tcPr>
          <w:p w14:paraId="02460000">
            <w:pPr>
              <w:widowControl w:val="1"/>
              <w:ind/>
              <w:jc w:val="right"/>
              <w:rPr>
                <w:sz w:val="18"/>
              </w:rPr>
            </w:pPr>
            <w:r>
              <w:rPr>
                <w:sz w:val="18"/>
              </w:rPr>
              <w:t>17</w:t>
            </w:r>
          </w:p>
        </w:tc>
        <w:tc>
          <w:tcPr>
            <w:tcW w:type="dxa" w:w="1360"/>
            <w:tcBorders>
              <w:top w:color="000000" w:sz="4" w:val="single"/>
              <w:left w:color="000000" w:sz="4" w:val="single"/>
              <w:bottom w:color="000000" w:sz="4" w:val="single"/>
              <w:right w:color="000000" w:sz="4" w:val="single"/>
            </w:tcBorders>
            <w:shd w:fill="auto" w:val="clear"/>
            <w:vAlign w:val="bottom"/>
          </w:tcPr>
          <w:p w14:paraId="03460000">
            <w:pPr>
              <w:widowControl w:val="1"/>
              <w:ind/>
              <w:jc w:val="right"/>
              <w:rPr>
                <w:sz w:val="18"/>
              </w:rPr>
            </w:pPr>
            <w:r>
              <w:rPr>
                <w:sz w:val="18"/>
              </w:rPr>
              <w:t>4</w:t>
            </w:r>
          </w:p>
        </w:tc>
        <w:tc>
          <w:tcPr>
            <w:tcW w:type="dxa" w:w="1360"/>
            <w:tcBorders>
              <w:top w:color="000000" w:sz="4" w:val="single"/>
              <w:left w:color="000000" w:sz="4" w:val="single"/>
              <w:bottom w:color="000000" w:sz="4" w:val="single"/>
              <w:right w:color="000000" w:sz="4" w:val="single"/>
            </w:tcBorders>
            <w:shd w:fill="auto" w:val="clear"/>
            <w:vAlign w:val="bottom"/>
          </w:tcPr>
          <w:p w14:paraId="04460000">
            <w:pPr>
              <w:widowControl w:val="1"/>
              <w:ind/>
              <w:jc w:val="right"/>
              <w:rPr>
                <w:sz w:val="18"/>
              </w:rPr>
            </w:pPr>
            <w:r>
              <w:rPr>
                <w:sz w:val="18"/>
              </w:rPr>
              <w:t>17</w:t>
            </w:r>
          </w:p>
        </w:tc>
        <w:tc>
          <w:tcPr>
            <w:tcW w:type="dxa" w:w="1560"/>
            <w:tcBorders>
              <w:top w:color="000000" w:sz="4" w:val="single"/>
              <w:left w:color="000000" w:sz="4" w:val="single"/>
              <w:bottom w:color="000000" w:sz="4" w:val="single"/>
              <w:right w:color="000000" w:sz="4" w:val="single"/>
            </w:tcBorders>
            <w:shd w:fill="auto" w:val="clear"/>
            <w:vAlign w:val="bottom"/>
          </w:tcPr>
          <w:p w14:paraId="05460000">
            <w:pPr>
              <w:widowControl w:val="1"/>
              <w:ind/>
              <w:jc w:val="right"/>
              <w:rPr>
                <w:sz w:val="18"/>
              </w:rPr>
            </w:pPr>
            <w:r>
              <w:rPr>
                <w:sz w:val="18"/>
              </w:rPr>
              <w:t>4</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6460000">
            <w:pPr>
              <w:rPr>
                <w:sz w:val="18"/>
              </w:rPr>
            </w:pPr>
            <w:r>
              <w:rPr>
                <w:sz w:val="18"/>
              </w:rPr>
              <w:t>УФК по Республике Хакасия (МО и ВИП УФССП России по Республике Хакасия л/с 05801834320)</w:t>
            </w:r>
          </w:p>
        </w:tc>
        <w:tc>
          <w:tcPr>
            <w:tcW w:type="dxa" w:w="1520"/>
            <w:tcBorders>
              <w:top w:color="000000" w:sz="4" w:val="single"/>
              <w:left w:color="000000" w:sz="4" w:val="single"/>
              <w:bottom w:color="000000" w:sz="4" w:val="single"/>
              <w:right w:color="000000" w:sz="4" w:val="single"/>
            </w:tcBorders>
            <w:shd w:fill="auto" w:val="clear"/>
            <w:vAlign w:val="bottom"/>
          </w:tcPr>
          <w:p w14:paraId="07460000">
            <w:pPr>
              <w:widowControl w:val="1"/>
              <w:ind/>
              <w:jc w:val="right"/>
              <w:rPr>
                <w:sz w:val="18"/>
              </w:rPr>
            </w:pPr>
            <w:r>
              <w:rPr>
                <w:sz w:val="18"/>
              </w:rPr>
              <w:t>1</w:t>
            </w:r>
          </w:p>
        </w:tc>
        <w:tc>
          <w:tcPr>
            <w:tcW w:type="dxa" w:w="1360"/>
            <w:tcBorders>
              <w:top w:color="000000" w:sz="4" w:val="single"/>
              <w:left w:color="000000" w:sz="4" w:val="single"/>
              <w:bottom w:color="000000" w:sz="4" w:val="single"/>
              <w:right w:color="000000" w:sz="4" w:val="single"/>
            </w:tcBorders>
            <w:shd w:fill="auto" w:val="clear"/>
            <w:vAlign w:val="bottom"/>
          </w:tcPr>
          <w:p w14:paraId="0846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09460000">
            <w:pPr>
              <w:widowControl w:val="1"/>
              <w:ind/>
              <w:jc w:val="right"/>
              <w:rPr>
                <w:sz w:val="18"/>
              </w:rPr>
            </w:pPr>
            <w:r>
              <w:rPr>
                <w:sz w:val="18"/>
              </w:rPr>
              <w:t>1</w:t>
            </w:r>
          </w:p>
        </w:tc>
        <w:tc>
          <w:tcPr>
            <w:tcW w:type="dxa" w:w="1560"/>
            <w:tcBorders>
              <w:top w:color="000000" w:sz="4" w:val="single"/>
              <w:left w:color="000000" w:sz="4" w:val="single"/>
              <w:bottom w:color="000000" w:sz="4" w:val="single"/>
              <w:right w:color="000000" w:sz="4" w:val="single"/>
            </w:tcBorders>
            <w:shd w:fill="auto" w:val="clear"/>
            <w:vAlign w:val="bottom"/>
          </w:tcPr>
          <w:p w14:paraId="0A46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0B460000">
            <w:pPr>
              <w:rPr>
                <w:sz w:val="18"/>
              </w:rPr>
            </w:pPr>
            <w:r>
              <w:rPr>
                <w:sz w:val="18"/>
              </w:rPr>
              <w:t>ВымпелКом ПАО</w:t>
            </w:r>
          </w:p>
        </w:tc>
        <w:tc>
          <w:tcPr>
            <w:tcW w:type="dxa" w:w="1520"/>
            <w:tcBorders>
              <w:top w:color="000000" w:sz="4" w:val="single"/>
              <w:left w:color="000000" w:sz="4" w:val="single"/>
              <w:bottom w:color="000000" w:sz="4" w:val="single"/>
              <w:right w:color="000000" w:sz="4" w:val="single"/>
            </w:tcBorders>
            <w:shd w:fill="auto" w:val="clear"/>
            <w:vAlign w:val="bottom"/>
          </w:tcPr>
          <w:p w14:paraId="0C46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0D460000">
            <w:pPr>
              <w:widowControl w:val="1"/>
              <w:ind/>
              <w:jc w:val="right"/>
              <w:rPr>
                <w:sz w:val="18"/>
              </w:rPr>
            </w:pPr>
            <w:r>
              <w:rPr>
                <w:sz w:val="18"/>
              </w:rPr>
              <w:t>66</w:t>
            </w:r>
          </w:p>
        </w:tc>
        <w:tc>
          <w:tcPr>
            <w:tcW w:type="dxa" w:w="1360"/>
            <w:tcBorders>
              <w:top w:color="000000" w:sz="4" w:val="single"/>
              <w:left w:color="000000" w:sz="4" w:val="single"/>
              <w:bottom w:color="000000" w:sz="4" w:val="single"/>
              <w:right w:color="000000" w:sz="4" w:val="single"/>
            </w:tcBorders>
            <w:shd w:fill="auto" w:val="clear"/>
            <w:vAlign w:val="bottom"/>
          </w:tcPr>
          <w:p w14:paraId="0E460000">
            <w:pPr>
              <w:widowControl w:val="1"/>
              <w:ind/>
              <w:jc w:val="right"/>
              <w:rPr>
                <w:sz w:val="18"/>
              </w:rPr>
            </w:pPr>
            <w:r>
              <w:rPr>
                <w:sz w:val="18"/>
              </w:rPr>
              <w:t>66</w:t>
            </w:r>
          </w:p>
        </w:tc>
        <w:tc>
          <w:tcPr>
            <w:tcW w:type="dxa" w:w="1560"/>
            <w:tcBorders>
              <w:top w:color="000000" w:sz="4" w:val="single"/>
              <w:left w:color="000000" w:sz="4" w:val="single"/>
              <w:bottom w:color="000000" w:sz="4" w:val="single"/>
              <w:right w:color="000000" w:sz="4" w:val="single"/>
            </w:tcBorders>
            <w:shd w:fill="auto" w:val="clear"/>
            <w:vAlign w:val="bottom"/>
          </w:tcPr>
          <w:p w14:paraId="0F46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0460000">
            <w:pPr>
              <w:rPr>
                <w:sz w:val="18"/>
              </w:rPr>
            </w:pPr>
            <w:r>
              <w:rPr>
                <w:sz w:val="18"/>
              </w:rPr>
              <w:t>Дорпрофжел Красноярской железной дороги</w:t>
            </w:r>
          </w:p>
        </w:tc>
        <w:tc>
          <w:tcPr>
            <w:tcW w:type="dxa" w:w="1520"/>
            <w:tcBorders>
              <w:top w:color="000000" w:sz="4" w:val="single"/>
              <w:left w:color="000000" w:sz="4" w:val="single"/>
              <w:bottom w:color="000000" w:sz="4" w:val="single"/>
              <w:right w:color="000000" w:sz="4" w:val="single"/>
            </w:tcBorders>
            <w:shd w:fill="auto" w:val="clear"/>
            <w:vAlign w:val="bottom"/>
          </w:tcPr>
          <w:p w14:paraId="11460000">
            <w:pPr>
              <w:widowControl w:val="1"/>
              <w:ind/>
              <w:jc w:val="right"/>
              <w:rPr>
                <w:sz w:val="18"/>
              </w:rPr>
            </w:pPr>
            <w:r>
              <w:rPr>
                <w:sz w:val="18"/>
              </w:rPr>
              <w:t>154</w:t>
            </w:r>
          </w:p>
        </w:tc>
        <w:tc>
          <w:tcPr>
            <w:tcW w:type="dxa" w:w="1360"/>
            <w:tcBorders>
              <w:top w:color="000000" w:sz="4" w:val="single"/>
              <w:left w:color="000000" w:sz="4" w:val="single"/>
              <w:bottom w:color="000000" w:sz="4" w:val="single"/>
              <w:right w:color="000000" w:sz="4" w:val="single"/>
            </w:tcBorders>
            <w:shd w:fill="auto" w:val="clear"/>
            <w:vAlign w:val="bottom"/>
          </w:tcPr>
          <w:p w14:paraId="12460000">
            <w:pPr>
              <w:widowControl w:val="1"/>
              <w:ind/>
              <w:jc w:val="right"/>
              <w:rPr>
                <w:sz w:val="18"/>
              </w:rPr>
            </w:pPr>
            <w:r>
              <w:rPr>
                <w:sz w:val="18"/>
              </w:rPr>
              <w:t>1 721</w:t>
            </w:r>
          </w:p>
        </w:tc>
        <w:tc>
          <w:tcPr>
            <w:tcW w:type="dxa" w:w="1360"/>
            <w:tcBorders>
              <w:top w:color="000000" w:sz="4" w:val="single"/>
              <w:left w:color="000000" w:sz="4" w:val="single"/>
              <w:bottom w:color="000000" w:sz="4" w:val="single"/>
              <w:right w:color="000000" w:sz="4" w:val="single"/>
            </w:tcBorders>
            <w:shd w:fill="auto" w:val="clear"/>
            <w:vAlign w:val="bottom"/>
          </w:tcPr>
          <w:p w14:paraId="13460000">
            <w:pPr>
              <w:widowControl w:val="1"/>
              <w:ind/>
              <w:jc w:val="right"/>
              <w:rPr>
                <w:sz w:val="18"/>
              </w:rPr>
            </w:pPr>
            <w:r>
              <w:rPr>
                <w:sz w:val="18"/>
              </w:rPr>
              <w:t>1 717</w:t>
            </w:r>
          </w:p>
        </w:tc>
        <w:tc>
          <w:tcPr>
            <w:tcW w:type="dxa" w:w="1560"/>
            <w:tcBorders>
              <w:top w:color="000000" w:sz="4" w:val="single"/>
              <w:left w:color="000000" w:sz="4" w:val="single"/>
              <w:bottom w:color="000000" w:sz="4" w:val="single"/>
              <w:right w:color="000000" w:sz="4" w:val="single"/>
            </w:tcBorders>
            <w:shd w:fill="auto" w:val="clear"/>
            <w:vAlign w:val="bottom"/>
          </w:tcPr>
          <w:p w14:paraId="14460000">
            <w:pPr>
              <w:widowControl w:val="1"/>
              <w:ind/>
              <w:jc w:val="right"/>
              <w:rPr>
                <w:sz w:val="18"/>
              </w:rPr>
            </w:pPr>
            <w:r>
              <w:rPr>
                <w:sz w:val="18"/>
              </w:rPr>
              <w:t>159</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5460000">
            <w:pPr>
              <w:rPr>
                <w:sz w:val="18"/>
              </w:rPr>
            </w:pPr>
            <w:r>
              <w:rPr>
                <w:sz w:val="18"/>
              </w:rPr>
              <w:t>Сотрудники (расчеты по прочим операциям)</w:t>
            </w:r>
          </w:p>
        </w:tc>
        <w:tc>
          <w:tcPr>
            <w:tcW w:type="dxa" w:w="1520"/>
            <w:tcBorders>
              <w:top w:color="000000" w:sz="4" w:val="single"/>
              <w:left w:color="000000" w:sz="4" w:val="single"/>
              <w:bottom w:color="000000" w:sz="4" w:val="single"/>
              <w:right w:color="000000" w:sz="4" w:val="single"/>
            </w:tcBorders>
            <w:shd w:fill="auto" w:val="clear"/>
            <w:vAlign w:val="bottom"/>
          </w:tcPr>
          <w:p w14:paraId="1646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17460000">
            <w:pPr>
              <w:widowControl w:val="1"/>
              <w:ind/>
              <w:jc w:val="right"/>
              <w:rPr>
                <w:sz w:val="18"/>
              </w:rPr>
            </w:pPr>
            <w:r>
              <w:rPr>
                <w:sz w:val="18"/>
              </w:rPr>
              <w:t>5</w:t>
            </w:r>
          </w:p>
        </w:tc>
        <w:tc>
          <w:tcPr>
            <w:tcW w:type="dxa" w:w="1360"/>
            <w:tcBorders>
              <w:top w:color="000000" w:sz="4" w:val="single"/>
              <w:left w:color="000000" w:sz="4" w:val="single"/>
              <w:bottom w:color="000000" w:sz="4" w:val="single"/>
              <w:right w:color="000000" w:sz="4" w:val="single"/>
            </w:tcBorders>
            <w:shd w:fill="auto" w:val="clear"/>
            <w:vAlign w:val="bottom"/>
          </w:tcPr>
          <w:p w14:paraId="18460000">
            <w:pPr>
              <w:widowControl w:val="1"/>
              <w:ind/>
              <w:jc w:val="right"/>
              <w:rPr>
                <w:sz w:val="18"/>
              </w:rPr>
            </w:pPr>
            <w:r>
              <w:rPr>
                <w:sz w:val="18"/>
              </w:rPr>
              <w:t>5</w:t>
            </w:r>
          </w:p>
        </w:tc>
        <w:tc>
          <w:tcPr>
            <w:tcW w:type="dxa" w:w="1560"/>
            <w:tcBorders>
              <w:top w:color="000000" w:sz="4" w:val="single"/>
              <w:left w:color="000000" w:sz="4" w:val="single"/>
              <w:bottom w:color="000000" w:sz="4" w:val="single"/>
              <w:right w:color="000000" w:sz="4" w:val="single"/>
            </w:tcBorders>
            <w:shd w:fill="auto" w:val="clear"/>
            <w:vAlign w:val="bottom"/>
          </w:tcPr>
          <w:p w14:paraId="1946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A460000">
            <w:pPr>
              <w:rPr>
                <w:sz w:val="18"/>
              </w:rPr>
            </w:pPr>
            <w:r>
              <w:rPr>
                <w:sz w:val="18"/>
              </w:rPr>
              <w:t>Сотрудники (расчеты по прочим операциям)</w:t>
            </w:r>
          </w:p>
        </w:tc>
        <w:tc>
          <w:tcPr>
            <w:tcW w:type="dxa" w:w="1520"/>
            <w:tcBorders>
              <w:top w:color="000000" w:sz="4" w:val="single"/>
              <w:left w:color="000000" w:sz="4" w:val="single"/>
              <w:bottom w:color="000000" w:sz="4" w:val="single"/>
              <w:right w:color="000000" w:sz="4" w:val="single"/>
            </w:tcBorders>
            <w:shd w:fill="auto" w:val="clear"/>
            <w:vAlign w:val="bottom"/>
          </w:tcPr>
          <w:p w14:paraId="1B46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1C460000">
            <w:pPr>
              <w:widowControl w:val="1"/>
              <w:ind/>
              <w:jc w:val="right"/>
              <w:rPr>
                <w:sz w:val="18"/>
              </w:rPr>
            </w:pPr>
            <w:r>
              <w:rPr>
                <w:sz w:val="18"/>
              </w:rPr>
              <w:t>567</w:t>
            </w:r>
          </w:p>
        </w:tc>
        <w:tc>
          <w:tcPr>
            <w:tcW w:type="dxa" w:w="1360"/>
            <w:tcBorders>
              <w:top w:color="000000" w:sz="4" w:val="single"/>
              <w:left w:color="000000" w:sz="4" w:val="single"/>
              <w:bottom w:color="000000" w:sz="4" w:val="single"/>
              <w:right w:color="000000" w:sz="4" w:val="single"/>
            </w:tcBorders>
            <w:shd w:fill="auto" w:val="clear"/>
            <w:vAlign w:val="bottom"/>
          </w:tcPr>
          <w:p w14:paraId="1D460000">
            <w:pPr>
              <w:widowControl w:val="1"/>
              <w:ind/>
              <w:jc w:val="right"/>
              <w:rPr>
                <w:sz w:val="18"/>
              </w:rPr>
            </w:pPr>
            <w:r>
              <w:rPr>
                <w:sz w:val="18"/>
              </w:rPr>
              <w:t>567</w:t>
            </w:r>
          </w:p>
        </w:tc>
        <w:tc>
          <w:tcPr>
            <w:tcW w:type="dxa" w:w="1560"/>
            <w:tcBorders>
              <w:top w:color="000000" w:sz="4" w:val="single"/>
              <w:left w:color="000000" w:sz="4" w:val="single"/>
              <w:bottom w:color="000000" w:sz="4" w:val="single"/>
              <w:right w:color="000000" w:sz="4" w:val="single"/>
            </w:tcBorders>
            <w:shd w:fill="auto" w:val="clear"/>
            <w:vAlign w:val="bottom"/>
          </w:tcPr>
          <w:p w14:paraId="1E46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1F460000">
            <w:pPr>
              <w:rPr>
                <w:sz w:val="18"/>
              </w:rPr>
            </w:pPr>
            <w:r>
              <w:rPr>
                <w:sz w:val="18"/>
              </w:rPr>
              <w:t>Сотрудники (подотчет)</w:t>
            </w:r>
          </w:p>
        </w:tc>
        <w:tc>
          <w:tcPr>
            <w:tcW w:type="dxa" w:w="1520"/>
            <w:tcBorders>
              <w:top w:color="000000" w:sz="4" w:val="single"/>
              <w:left w:color="000000" w:sz="4" w:val="single"/>
              <w:bottom w:color="000000" w:sz="4" w:val="single"/>
              <w:right w:color="000000" w:sz="4" w:val="single"/>
            </w:tcBorders>
            <w:shd w:fill="auto" w:val="clear"/>
            <w:vAlign w:val="bottom"/>
          </w:tcPr>
          <w:p w14:paraId="20460000">
            <w:pPr>
              <w:widowControl w:val="1"/>
              <w:ind/>
              <w:jc w:val="right"/>
              <w:rPr>
                <w:sz w:val="18"/>
              </w:rPr>
            </w:pPr>
            <w:r>
              <w:rPr>
                <w:sz w:val="18"/>
              </w:rPr>
              <w:t>1</w:t>
            </w:r>
          </w:p>
        </w:tc>
        <w:tc>
          <w:tcPr>
            <w:tcW w:type="dxa" w:w="1360"/>
            <w:tcBorders>
              <w:top w:color="000000" w:sz="4" w:val="single"/>
              <w:left w:color="000000" w:sz="4" w:val="single"/>
              <w:bottom w:color="000000" w:sz="4" w:val="single"/>
              <w:right w:color="000000" w:sz="4" w:val="single"/>
            </w:tcBorders>
            <w:shd w:fill="auto" w:val="clear"/>
            <w:vAlign w:val="bottom"/>
          </w:tcPr>
          <w:p w14:paraId="21460000">
            <w:pPr>
              <w:widowControl w:val="1"/>
              <w:ind/>
              <w:jc w:val="right"/>
              <w:rPr>
                <w:sz w:val="18"/>
              </w:rPr>
            </w:pPr>
            <w:r>
              <w:rPr>
                <w:sz w:val="18"/>
              </w:rPr>
              <w:t>88</w:t>
            </w:r>
          </w:p>
        </w:tc>
        <w:tc>
          <w:tcPr>
            <w:tcW w:type="dxa" w:w="1360"/>
            <w:tcBorders>
              <w:top w:color="000000" w:sz="4" w:val="single"/>
              <w:left w:color="000000" w:sz="4" w:val="single"/>
              <w:bottom w:color="000000" w:sz="4" w:val="single"/>
              <w:right w:color="000000" w:sz="4" w:val="single"/>
            </w:tcBorders>
            <w:shd w:fill="auto" w:val="clear"/>
            <w:vAlign w:val="bottom"/>
          </w:tcPr>
          <w:p w14:paraId="22460000">
            <w:pPr>
              <w:widowControl w:val="1"/>
              <w:ind/>
              <w:jc w:val="right"/>
              <w:rPr>
                <w:sz w:val="18"/>
              </w:rPr>
            </w:pPr>
            <w:r>
              <w:rPr>
                <w:sz w:val="18"/>
              </w:rPr>
              <w:t>89</w:t>
            </w:r>
          </w:p>
        </w:tc>
        <w:tc>
          <w:tcPr>
            <w:tcW w:type="dxa" w:w="1560"/>
            <w:tcBorders>
              <w:top w:color="000000" w:sz="4" w:val="single"/>
              <w:left w:color="000000" w:sz="4" w:val="single"/>
              <w:bottom w:color="000000" w:sz="4" w:val="single"/>
              <w:right w:color="000000" w:sz="4" w:val="single"/>
            </w:tcBorders>
            <w:shd w:fill="auto" w:val="clear"/>
            <w:vAlign w:val="bottom"/>
          </w:tcPr>
          <w:p w14:paraId="23460000">
            <w:pPr>
              <w:widowControl w:val="1"/>
              <w:ind/>
              <w:jc w:val="right"/>
              <w:rPr>
                <w:sz w:val="18"/>
              </w:rPr>
            </w:pPr>
            <w:r>
              <w:rPr>
                <w:sz w:val="18"/>
              </w:rPr>
              <w:t>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24460000">
            <w:pPr>
              <w:rPr>
                <w:b w:val="1"/>
                <w:sz w:val="18"/>
              </w:rPr>
            </w:pPr>
            <w:r>
              <w:rPr>
                <w:b w:val="1"/>
                <w:sz w:val="18"/>
              </w:rPr>
              <w:t xml:space="preserve">Задолженность по оплате труда (счет 70) </w:t>
            </w:r>
          </w:p>
        </w:tc>
        <w:tc>
          <w:tcPr>
            <w:tcW w:type="dxa" w:w="1520"/>
            <w:tcBorders>
              <w:top w:color="000000" w:sz="4" w:val="single"/>
              <w:left w:color="000000" w:sz="4" w:val="single"/>
              <w:bottom w:color="000000" w:sz="4" w:val="single"/>
              <w:right w:color="000000" w:sz="4" w:val="single"/>
            </w:tcBorders>
            <w:shd w:fill="auto" w:val="clear"/>
            <w:vAlign w:val="bottom"/>
          </w:tcPr>
          <w:p w14:paraId="25460000">
            <w:pPr>
              <w:widowControl w:val="1"/>
              <w:ind/>
              <w:jc w:val="right"/>
              <w:rPr>
                <w:b w:val="1"/>
                <w:sz w:val="18"/>
              </w:rPr>
            </w:pPr>
            <w:r>
              <w:rPr>
                <w:b w:val="1"/>
                <w:sz w:val="18"/>
              </w:rPr>
              <w:t>8 596</w:t>
            </w:r>
          </w:p>
        </w:tc>
        <w:tc>
          <w:tcPr>
            <w:tcW w:type="dxa" w:w="1360"/>
            <w:tcBorders>
              <w:top w:color="000000" w:sz="4" w:val="single"/>
              <w:left w:color="000000" w:sz="4" w:val="single"/>
              <w:bottom w:color="000000" w:sz="4" w:val="single"/>
              <w:right w:color="000000" w:sz="4" w:val="single"/>
            </w:tcBorders>
            <w:shd w:fill="auto" w:val="clear"/>
            <w:vAlign w:val="bottom"/>
          </w:tcPr>
          <w:p w14:paraId="26460000">
            <w:pPr>
              <w:widowControl w:val="1"/>
              <w:ind/>
              <w:jc w:val="right"/>
              <w:rPr>
                <w:b w:val="1"/>
                <w:sz w:val="18"/>
              </w:rPr>
            </w:pPr>
            <w:r>
              <w:rPr>
                <w:b w:val="1"/>
                <w:sz w:val="18"/>
              </w:rPr>
              <w:t>150 943</w:t>
            </w:r>
          </w:p>
        </w:tc>
        <w:tc>
          <w:tcPr>
            <w:tcW w:type="dxa" w:w="1360"/>
            <w:tcBorders>
              <w:top w:color="000000" w:sz="4" w:val="single"/>
              <w:left w:color="000000" w:sz="4" w:val="single"/>
              <w:bottom w:color="000000" w:sz="4" w:val="single"/>
              <w:right w:color="000000" w:sz="4" w:val="single"/>
            </w:tcBorders>
            <w:shd w:fill="auto" w:val="clear"/>
            <w:vAlign w:val="bottom"/>
          </w:tcPr>
          <w:p w14:paraId="27460000">
            <w:pPr>
              <w:widowControl w:val="1"/>
              <w:ind/>
              <w:jc w:val="right"/>
              <w:rPr>
                <w:b w:val="1"/>
                <w:sz w:val="18"/>
              </w:rPr>
            </w:pPr>
            <w:r>
              <w:rPr>
                <w:b w:val="1"/>
                <w:sz w:val="18"/>
              </w:rPr>
              <w:t>152 468</w:t>
            </w:r>
          </w:p>
        </w:tc>
        <w:tc>
          <w:tcPr>
            <w:tcW w:type="dxa" w:w="1560"/>
            <w:tcBorders>
              <w:top w:color="000000" w:sz="4" w:val="single"/>
              <w:left w:color="000000" w:sz="4" w:val="single"/>
              <w:bottom w:color="000000" w:sz="4" w:val="single"/>
              <w:right w:color="000000" w:sz="4" w:val="single"/>
            </w:tcBorders>
            <w:shd w:fill="auto" w:val="clear"/>
            <w:vAlign w:val="bottom"/>
          </w:tcPr>
          <w:p w14:paraId="28460000">
            <w:pPr>
              <w:widowControl w:val="1"/>
              <w:ind/>
              <w:jc w:val="right"/>
              <w:rPr>
                <w:b w:val="1"/>
                <w:sz w:val="18"/>
              </w:rPr>
            </w:pPr>
            <w:r>
              <w:rPr>
                <w:b w:val="1"/>
                <w:sz w:val="18"/>
              </w:rPr>
              <w:t>7 070</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29460000">
            <w:pPr>
              <w:rPr>
                <w:b w:val="1"/>
                <w:sz w:val="18"/>
              </w:rPr>
            </w:pPr>
            <w:r>
              <w:rPr>
                <w:b w:val="1"/>
                <w:sz w:val="18"/>
              </w:rPr>
              <w:t>Задолженность по социальному страхованию и обеспечению (счет 69.01, 02.7, 03.1, 11)</w:t>
            </w:r>
          </w:p>
        </w:tc>
        <w:tc>
          <w:tcPr>
            <w:tcW w:type="dxa" w:w="1520"/>
            <w:tcBorders>
              <w:top w:color="000000" w:sz="4" w:val="single"/>
              <w:left w:color="000000" w:sz="4" w:val="single"/>
              <w:bottom w:color="000000" w:sz="4" w:val="single"/>
              <w:right w:color="000000" w:sz="4" w:val="single"/>
            </w:tcBorders>
            <w:shd w:fill="auto" w:val="clear"/>
            <w:vAlign w:val="bottom"/>
          </w:tcPr>
          <w:p w14:paraId="2A460000">
            <w:pPr>
              <w:widowControl w:val="1"/>
              <w:ind/>
              <w:jc w:val="right"/>
              <w:rPr>
                <w:b w:val="1"/>
                <w:sz w:val="18"/>
              </w:rPr>
            </w:pPr>
            <w:r>
              <w:rPr>
                <w:b w:val="1"/>
                <w:sz w:val="18"/>
              </w:rPr>
              <w:t>3 973</w:t>
            </w:r>
          </w:p>
        </w:tc>
        <w:tc>
          <w:tcPr>
            <w:tcW w:type="dxa" w:w="1360"/>
            <w:tcBorders>
              <w:top w:color="000000" w:sz="4" w:val="single"/>
              <w:left w:color="000000" w:sz="4" w:val="single"/>
              <w:bottom w:color="000000" w:sz="4" w:val="single"/>
              <w:right w:color="000000" w:sz="4" w:val="single"/>
            </w:tcBorders>
            <w:shd w:fill="auto" w:val="clear"/>
            <w:vAlign w:val="bottom"/>
          </w:tcPr>
          <w:p w14:paraId="2B460000">
            <w:pPr>
              <w:widowControl w:val="1"/>
              <w:ind/>
              <w:jc w:val="right"/>
              <w:rPr>
                <w:b w:val="1"/>
                <w:sz w:val="18"/>
              </w:rPr>
            </w:pPr>
            <w:r>
              <w:rPr>
                <w:b w:val="1"/>
                <w:sz w:val="18"/>
              </w:rPr>
              <w:t>38 668</w:t>
            </w:r>
          </w:p>
        </w:tc>
        <w:tc>
          <w:tcPr>
            <w:tcW w:type="dxa" w:w="1360"/>
            <w:tcBorders>
              <w:top w:color="000000" w:sz="4" w:val="single"/>
              <w:left w:color="000000" w:sz="4" w:val="single"/>
              <w:bottom w:color="000000" w:sz="4" w:val="single"/>
              <w:right w:color="000000" w:sz="4" w:val="single"/>
            </w:tcBorders>
            <w:shd w:fill="auto" w:val="clear"/>
            <w:vAlign w:val="bottom"/>
          </w:tcPr>
          <w:p w14:paraId="2C460000">
            <w:pPr>
              <w:widowControl w:val="1"/>
              <w:ind/>
              <w:jc w:val="right"/>
              <w:rPr>
                <w:b w:val="1"/>
                <w:sz w:val="18"/>
              </w:rPr>
            </w:pPr>
            <w:r>
              <w:rPr>
                <w:b w:val="1"/>
                <w:sz w:val="18"/>
              </w:rPr>
              <w:t>39 032</w:t>
            </w:r>
          </w:p>
        </w:tc>
        <w:tc>
          <w:tcPr>
            <w:tcW w:type="dxa" w:w="1560"/>
            <w:tcBorders>
              <w:top w:color="000000" w:sz="4" w:val="single"/>
              <w:left w:color="000000" w:sz="4" w:val="single"/>
              <w:bottom w:color="000000" w:sz="4" w:val="single"/>
              <w:right w:color="000000" w:sz="4" w:val="single"/>
            </w:tcBorders>
            <w:shd w:fill="auto" w:val="clear"/>
            <w:vAlign w:val="bottom"/>
          </w:tcPr>
          <w:p w14:paraId="2D460000">
            <w:pPr>
              <w:widowControl w:val="1"/>
              <w:ind/>
              <w:jc w:val="right"/>
              <w:rPr>
                <w:b w:val="1"/>
                <w:sz w:val="18"/>
              </w:rPr>
            </w:pPr>
            <w:r>
              <w:rPr>
                <w:b w:val="1"/>
                <w:sz w:val="18"/>
              </w:rPr>
              <w:t>3 608</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2E460000">
            <w:pPr>
              <w:rPr>
                <w:b w:val="1"/>
                <w:sz w:val="18"/>
              </w:rPr>
            </w:pPr>
            <w:r>
              <w:rPr>
                <w:b w:val="1"/>
                <w:sz w:val="18"/>
              </w:rPr>
              <w:t>Задолженность перед бюждетом (счет 68.01, 04.1, 07, 08)</w:t>
            </w:r>
          </w:p>
        </w:tc>
        <w:tc>
          <w:tcPr>
            <w:tcW w:type="dxa" w:w="1520"/>
            <w:tcBorders>
              <w:top w:color="000000" w:sz="4" w:val="single"/>
              <w:left w:color="000000" w:sz="4" w:val="single"/>
              <w:bottom w:color="000000" w:sz="4" w:val="single"/>
              <w:right w:color="000000" w:sz="4" w:val="single"/>
            </w:tcBorders>
            <w:shd w:fill="auto" w:val="clear"/>
            <w:vAlign w:val="bottom"/>
          </w:tcPr>
          <w:p w14:paraId="2F460000">
            <w:pPr>
              <w:widowControl w:val="1"/>
              <w:ind/>
              <w:jc w:val="right"/>
              <w:rPr>
                <w:b w:val="1"/>
                <w:sz w:val="18"/>
              </w:rPr>
            </w:pPr>
            <w:r>
              <w:rPr>
                <w:b w:val="1"/>
                <w:sz w:val="18"/>
              </w:rPr>
              <w:t>1 828</w:t>
            </w:r>
          </w:p>
        </w:tc>
        <w:tc>
          <w:tcPr>
            <w:tcW w:type="dxa" w:w="1360"/>
            <w:tcBorders>
              <w:top w:color="000000" w:sz="4" w:val="single"/>
              <w:left w:color="000000" w:sz="4" w:val="single"/>
              <w:bottom w:color="000000" w:sz="4" w:val="single"/>
              <w:right w:color="000000" w:sz="4" w:val="single"/>
            </w:tcBorders>
            <w:shd w:fill="auto" w:val="clear"/>
            <w:vAlign w:val="bottom"/>
          </w:tcPr>
          <w:p w14:paraId="30460000">
            <w:pPr>
              <w:widowControl w:val="1"/>
              <w:ind/>
              <w:jc w:val="right"/>
              <w:rPr>
                <w:b w:val="1"/>
                <w:sz w:val="18"/>
              </w:rPr>
            </w:pPr>
            <w:r>
              <w:rPr>
                <w:b w:val="1"/>
                <w:sz w:val="18"/>
              </w:rPr>
              <w:t>21 007</w:t>
            </w:r>
          </w:p>
        </w:tc>
        <w:tc>
          <w:tcPr>
            <w:tcW w:type="dxa" w:w="1360"/>
            <w:tcBorders>
              <w:top w:color="000000" w:sz="4" w:val="single"/>
              <w:left w:color="000000" w:sz="4" w:val="single"/>
              <w:bottom w:color="000000" w:sz="4" w:val="single"/>
              <w:right w:color="000000" w:sz="4" w:val="single"/>
            </w:tcBorders>
            <w:shd w:fill="auto" w:val="clear"/>
            <w:vAlign w:val="bottom"/>
          </w:tcPr>
          <w:p w14:paraId="31460000">
            <w:pPr>
              <w:widowControl w:val="1"/>
              <w:ind/>
              <w:jc w:val="right"/>
              <w:rPr>
                <w:b w:val="1"/>
                <w:sz w:val="18"/>
              </w:rPr>
            </w:pPr>
            <w:r>
              <w:rPr>
                <w:b w:val="1"/>
                <w:sz w:val="18"/>
              </w:rPr>
              <w:t>20 150</w:t>
            </w:r>
          </w:p>
        </w:tc>
        <w:tc>
          <w:tcPr>
            <w:tcW w:type="dxa" w:w="1560"/>
            <w:tcBorders>
              <w:top w:color="000000" w:sz="4" w:val="single"/>
              <w:left w:color="000000" w:sz="4" w:val="single"/>
              <w:bottom w:color="000000" w:sz="4" w:val="single"/>
              <w:right w:color="000000" w:sz="4" w:val="single"/>
            </w:tcBorders>
            <w:shd w:fill="auto" w:val="clear"/>
            <w:vAlign w:val="bottom"/>
          </w:tcPr>
          <w:p w14:paraId="32460000">
            <w:pPr>
              <w:widowControl w:val="1"/>
              <w:ind/>
              <w:jc w:val="right"/>
              <w:rPr>
                <w:b w:val="1"/>
                <w:sz w:val="18"/>
              </w:rPr>
            </w:pPr>
            <w:r>
              <w:rPr>
                <w:b w:val="1"/>
                <w:sz w:val="18"/>
              </w:rPr>
              <w:t>2 685</w:t>
            </w:r>
          </w:p>
        </w:tc>
      </w:tr>
      <w:tr>
        <w:trPr>
          <w:trHeight w:hRule="atLeast" w:val="255"/>
        </w:trPr>
        <w:tc>
          <w:tcPr>
            <w:tcW w:type="dxa" w:w="4414"/>
            <w:tcBorders>
              <w:top w:color="000000" w:sz="4" w:val="single"/>
              <w:left w:color="000000" w:sz="4" w:val="single"/>
              <w:bottom w:color="000000" w:sz="4" w:val="single"/>
              <w:right w:color="000000" w:sz="4" w:val="single"/>
            </w:tcBorders>
            <w:shd w:fill="auto" w:val="clear"/>
            <w:vAlign w:val="bottom"/>
          </w:tcPr>
          <w:p w14:paraId="33460000">
            <w:pPr>
              <w:rPr>
                <w:b w:val="1"/>
                <w:sz w:val="18"/>
              </w:rPr>
            </w:pPr>
            <w:r>
              <w:rPr>
                <w:b w:val="1"/>
                <w:sz w:val="18"/>
              </w:rPr>
              <w:t>Задолженность долгосрочная всего, в т. ч.</w:t>
            </w:r>
          </w:p>
        </w:tc>
        <w:tc>
          <w:tcPr>
            <w:tcW w:type="dxa" w:w="1520"/>
            <w:tcBorders>
              <w:top w:color="000000" w:sz="4" w:val="single"/>
              <w:left w:color="000000" w:sz="4" w:val="single"/>
              <w:bottom w:color="000000" w:sz="4" w:val="single"/>
              <w:right w:color="000000" w:sz="4" w:val="single"/>
            </w:tcBorders>
            <w:shd w:fill="auto" w:val="clear"/>
            <w:vAlign w:val="bottom"/>
          </w:tcPr>
          <w:p w14:paraId="34460000">
            <w:pPr>
              <w:widowControl w:val="1"/>
              <w:ind/>
              <w:jc w:val="right"/>
              <w:rPr>
                <w:b w:val="1"/>
                <w:sz w:val="18"/>
              </w:rPr>
            </w:pPr>
            <w:r>
              <w:rPr>
                <w:b w:val="1"/>
                <w:sz w:val="18"/>
              </w:rPr>
              <w:t>242 563</w:t>
            </w:r>
          </w:p>
        </w:tc>
        <w:tc>
          <w:tcPr>
            <w:tcW w:type="dxa" w:w="1360"/>
            <w:tcBorders>
              <w:top w:color="000000" w:sz="4" w:val="single"/>
              <w:left w:color="000000" w:sz="4" w:val="single"/>
              <w:bottom w:color="000000" w:sz="4" w:val="single"/>
              <w:right w:color="000000" w:sz="4" w:val="single"/>
            </w:tcBorders>
            <w:shd w:fill="auto" w:val="clear"/>
            <w:vAlign w:val="bottom"/>
          </w:tcPr>
          <w:p w14:paraId="35460000">
            <w:pPr>
              <w:widowControl w:val="1"/>
              <w:ind/>
              <w:jc w:val="right"/>
              <w:rPr>
                <w:b w:val="1"/>
                <w:sz w:val="18"/>
              </w:rPr>
            </w:pPr>
            <w:r>
              <w:rPr>
                <w:b w:val="1"/>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36460000">
            <w:pPr>
              <w:widowControl w:val="1"/>
              <w:ind/>
              <w:jc w:val="right"/>
              <w:rPr>
                <w:b w:val="1"/>
                <w:sz w:val="18"/>
              </w:rPr>
            </w:pPr>
            <w:r>
              <w:rPr>
                <w:b w:val="1"/>
                <w:sz w:val="18"/>
              </w:rPr>
              <w:t>1 181</w:t>
            </w:r>
          </w:p>
        </w:tc>
        <w:tc>
          <w:tcPr>
            <w:tcW w:type="dxa" w:w="1560"/>
            <w:tcBorders>
              <w:top w:color="000000" w:sz="4" w:val="single"/>
              <w:left w:color="000000" w:sz="4" w:val="single"/>
              <w:bottom w:color="000000" w:sz="4" w:val="single"/>
              <w:right w:color="000000" w:sz="4" w:val="single"/>
            </w:tcBorders>
            <w:shd w:fill="auto" w:val="clear"/>
            <w:vAlign w:val="bottom"/>
          </w:tcPr>
          <w:p w14:paraId="37460000">
            <w:pPr>
              <w:widowControl w:val="1"/>
              <w:ind/>
              <w:jc w:val="right"/>
              <w:rPr>
                <w:b w:val="1"/>
                <w:sz w:val="18"/>
              </w:rPr>
            </w:pPr>
            <w:r>
              <w:rPr>
                <w:b w:val="1"/>
                <w:sz w:val="18"/>
              </w:rPr>
              <w:t>241 383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38460000">
            <w:pPr>
              <w:rPr>
                <w:sz w:val="18"/>
              </w:rPr>
            </w:pPr>
            <w:r>
              <w:rPr>
                <w:sz w:val="18"/>
              </w:rPr>
              <w:t>* перед поставщиками и подрядчиками, в т. ч.</w:t>
            </w:r>
          </w:p>
        </w:tc>
        <w:tc>
          <w:tcPr>
            <w:tcW w:type="dxa" w:w="1520"/>
            <w:tcBorders>
              <w:top w:color="000000" w:sz="4" w:val="single"/>
              <w:left w:color="000000" w:sz="4" w:val="single"/>
              <w:bottom w:color="000000" w:sz="4" w:val="single"/>
              <w:right w:color="000000" w:sz="4" w:val="single"/>
            </w:tcBorders>
            <w:shd w:fill="auto" w:val="clear"/>
            <w:vAlign w:val="bottom"/>
          </w:tcPr>
          <w:p w14:paraId="39460000">
            <w:pPr>
              <w:widowControl w:val="1"/>
              <w:ind/>
              <w:jc w:val="right"/>
              <w:rPr>
                <w:sz w:val="18"/>
              </w:rPr>
            </w:pPr>
            <w:r>
              <w:rPr>
                <w:sz w:val="18"/>
              </w:rPr>
              <w:t>242 563</w:t>
            </w:r>
          </w:p>
        </w:tc>
        <w:tc>
          <w:tcPr>
            <w:tcW w:type="dxa" w:w="1360"/>
            <w:tcBorders>
              <w:top w:color="000000" w:sz="4" w:val="single"/>
              <w:left w:color="000000" w:sz="4" w:val="single"/>
              <w:bottom w:color="000000" w:sz="4" w:val="single"/>
              <w:right w:color="000000" w:sz="4" w:val="single"/>
            </w:tcBorders>
            <w:shd w:fill="auto" w:val="clear"/>
            <w:vAlign w:val="bottom"/>
          </w:tcPr>
          <w:p w14:paraId="3A46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3B460000">
            <w:pPr>
              <w:widowControl w:val="1"/>
              <w:ind/>
              <w:jc w:val="right"/>
              <w:rPr>
                <w:sz w:val="18"/>
              </w:rPr>
            </w:pPr>
            <w:r>
              <w:rPr>
                <w:sz w:val="18"/>
              </w:rPr>
              <w:t>1 181</w:t>
            </w:r>
          </w:p>
        </w:tc>
        <w:tc>
          <w:tcPr>
            <w:tcW w:type="dxa" w:w="1560"/>
            <w:tcBorders>
              <w:top w:color="000000" w:sz="4" w:val="single"/>
              <w:left w:color="000000" w:sz="4" w:val="single"/>
              <w:bottom w:color="000000" w:sz="4" w:val="single"/>
              <w:right w:color="000000" w:sz="4" w:val="single"/>
            </w:tcBorders>
            <w:shd w:fill="auto" w:val="clear"/>
            <w:vAlign w:val="bottom"/>
          </w:tcPr>
          <w:p w14:paraId="3C460000">
            <w:pPr>
              <w:widowControl w:val="1"/>
              <w:ind/>
              <w:jc w:val="right"/>
              <w:rPr>
                <w:sz w:val="18"/>
              </w:rPr>
            </w:pPr>
            <w:r>
              <w:rPr>
                <w:sz w:val="18"/>
              </w:rPr>
              <w:t>241 383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3D460000">
            <w:pPr>
              <w:rPr>
                <w:i w:val="1"/>
                <w:sz w:val="18"/>
              </w:rPr>
            </w:pPr>
            <w:r>
              <w:rPr>
                <w:i w:val="1"/>
                <w:sz w:val="18"/>
              </w:rPr>
              <w:t xml:space="preserve">           - ОАО "РЖД"</w:t>
            </w:r>
          </w:p>
        </w:tc>
        <w:tc>
          <w:tcPr>
            <w:tcW w:type="dxa" w:w="1520"/>
            <w:tcBorders>
              <w:top w:color="000000" w:sz="4" w:val="single"/>
              <w:left w:color="000000" w:sz="4" w:val="single"/>
              <w:bottom w:color="000000" w:sz="4" w:val="single"/>
              <w:right w:color="000000" w:sz="4" w:val="single"/>
            </w:tcBorders>
            <w:shd w:fill="auto" w:val="clear"/>
            <w:vAlign w:val="bottom"/>
          </w:tcPr>
          <w:p w14:paraId="3E460000">
            <w:pPr>
              <w:widowControl w:val="1"/>
              <w:ind/>
              <w:jc w:val="right"/>
              <w:rPr>
                <w:sz w:val="18"/>
              </w:rPr>
            </w:pPr>
            <w:r>
              <w:rPr>
                <w:sz w:val="18"/>
              </w:rPr>
              <w:t>242 563</w:t>
            </w:r>
          </w:p>
        </w:tc>
        <w:tc>
          <w:tcPr>
            <w:tcW w:type="dxa" w:w="1360"/>
            <w:tcBorders>
              <w:top w:color="000000" w:sz="4" w:val="single"/>
              <w:left w:color="000000" w:sz="4" w:val="single"/>
              <w:bottom w:color="000000" w:sz="4" w:val="single"/>
              <w:right w:color="000000" w:sz="4" w:val="single"/>
            </w:tcBorders>
            <w:shd w:fill="auto" w:val="clear"/>
            <w:vAlign w:val="bottom"/>
          </w:tcPr>
          <w:p w14:paraId="3F46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40460000">
            <w:pPr>
              <w:widowControl w:val="1"/>
              <w:ind/>
              <w:jc w:val="right"/>
              <w:rPr>
                <w:sz w:val="18"/>
              </w:rPr>
            </w:pPr>
            <w:r>
              <w:rPr>
                <w:sz w:val="18"/>
              </w:rPr>
              <w:t>1 181</w:t>
            </w:r>
          </w:p>
        </w:tc>
        <w:tc>
          <w:tcPr>
            <w:tcW w:type="dxa" w:w="1560"/>
            <w:tcBorders>
              <w:top w:color="000000" w:sz="4" w:val="single"/>
              <w:left w:color="000000" w:sz="4" w:val="single"/>
              <w:bottom w:color="000000" w:sz="4" w:val="single"/>
              <w:right w:color="000000" w:sz="4" w:val="single"/>
            </w:tcBorders>
            <w:shd w:fill="auto" w:val="clear"/>
            <w:vAlign w:val="bottom"/>
          </w:tcPr>
          <w:p w14:paraId="41460000">
            <w:pPr>
              <w:widowControl w:val="1"/>
              <w:ind/>
              <w:jc w:val="right"/>
              <w:rPr>
                <w:sz w:val="18"/>
              </w:rPr>
            </w:pPr>
            <w:r>
              <w:rPr>
                <w:sz w:val="18"/>
              </w:rPr>
              <w:t>241 383</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42460000">
            <w:pPr>
              <w:rPr>
                <w:sz w:val="18"/>
              </w:rPr>
            </w:pPr>
            <w:r>
              <w:rPr>
                <w:sz w:val="18"/>
              </w:rPr>
              <w:t>РЖД ОАО Центральная дирекция МВПС КЖД</w:t>
            </w:r>
          </w:p>
        </w:tc>
        <w:tc>
          <w:tcPr>
            <w:tcW w:type="dxa" w:w="1520"/>
            <w:tcBorders>
              <w:top w:color="000000" w:sz="4" w:val="single"/>
              <w:left w:color="000000" w:sz="4" w:val="single"/>
              <w:bottom w:color="000000" w:sz="4" w:val="single"/>
              <w:right w:color="000000" w:sz="4" w:val="single"/>
            </w:tcBorders>
            <w:shd w:fill="auto" w:val="clear"/>
            <w:vAlign w:val="bottom"/>
          </w:tcPr>
          <w:p w14:paraId="43460000">
            <w:pPr>
              <w:widowControl w:val="1"/>
              <w:ind/>
              <w:jc w:val="right"/>
              <w:rPr>
                <w:sz w:val="18"/>
              </w:rPr>
            </w:pPr>
            <w:r>
              <w:rPr>
                <w:sz w:val="18"/>
              </w:rPr>
              <w:t>93 495</w:t>
            </w:r>
          </w:p>
        </w:tc>
        <w:tc>
          <w:tcPr>
            <w:tcW w:type="dxa" w:w="1360"/>
            <w:tcBorders>
              <w:top w:color="000000" w:sz="4" w:val="single"/>
              <w:left w:color="000000" w:sz="4" w:val="single"/>
              <w:bottom w:color="000000" w:sz="4" w:val="single"/>
              <w:right w:color="000000" w:sz="4" w:val="single"/>
            </w:tcBorders>
            <w:shd w:fill="auto" w:val="clear"/>
            <w:vAlign w:val="bottom"/>
          </w:tcPr>
          <w:p w14:paraId="4446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45460000">
            <w:pPr>
              <w:widowControl w:val="1"/>
              <w:ind/>
              <w:jc w:val="right"/>
              <w:rPr>
                <w:sz w:val="18"/>
              </w:rPr>
            </w:pPr>
            <w:r>
              <w:rPr>
                <w:sz w:val="18"/>
              </w:rPr>
              <w:t>350</w:t>
            </w:r>
          </w:p>
        </w:tc>
        <w:tc>
          <w:tcPr>
            <w:tcW w:type="dxa" w:w="1560"/>
            <w:tcBorders>
              <w:top w:color="000000" w:sz="4" w:val="single"/>
              <w:left w:color="000000" w:sz="4" w:val="single"/>
              <w:bottom w:color="000000" w:sz="4" w:val="single"/>
              <w:right w:color="000000" w:sz="4" w:val="single"/>
            </w:tcBorders>
            <w:shd w:fill="auto" w:val="clear"/>
            <w:vAlign w:val="bottom"/>
          </w:tcPr>
          <w:p w14:paraId="46460000">
            <w:pPr>
              <w:widowControl w:val="1"/>
              <w:ind/>
              <w:jc w:val="right"/>
              <w:rPr>
                <w:sz w:val="18"/>
              </w:rPr>
            </w:pPr>
            <w:r>
              <w:rPr>
                <w:sz w:val="18"/>
              </w:rPr>
              <w:t>93 145</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47460000">
            <w:pPr>
              <w:rPr>
                <w:sz w:val="18"/>
              </w:rPr>
            </w:pPr>
            <w:r>
              <w:rPr>
                <w:sz w:val="18"/>
              </w:rPr>
              <w:t>Восточно-Сибирская дирекция МВПС</w:t>
            </w:r>
          </w:p>
        </w:tc>
        <w:tc>
          <w:tcPr>
            <w:tcW w:type="dxa" w:w="1520"/>
            <w:tcBorders>
              <w:top w:color="000000" w:sz="4" w:val="single"/>
              <w:left w:color="000000" w:sz="4" w:val="single"/>
              <w:bottom w:color="000000" w:sz="4" w:val="single"/>
              <w:right w:color="000000" w:sz="4" w:val="single"/>
            </w:tcBorders>
            <w:shd w:fill="auto" w:val="clear"/>
            <w:vAlign w:val="bottom"/>
          </w:tcPr>
          <w:p w14:paraId="48460000">
            <w:pPr>
              <w:widowControl w:val="1"/>
              <w:ind/>
              <w:jc w:val="right"/>
              <w:rPr>
                <w:sz w:val="18"/>
              </w:rPr>
            </w:pPr>
            <w:r>
              <w:rPr>
                <w:sz w:val="18"/>
              </w:rPr>
              <w:t>37 012</w:t>
            </w:r>
          </w:p>
        </w:tc>
        <w:tc>
          <w:tcPr>
            <w:tcW w:type="dxa" w:w="1360"/>
            <w:tcBorders>
              <w:top w:color="000000" w:sz="4" w:val="single"/>
              <w:left w:color="000000" w:sz="4" w:val="single"/>
              <w:bottom w:color="000000" w:sz="4" w:val="single"/>
              <w:right w:color="000000" w:sz="4" w:val="single"/>
            </w:tcBorders>
            <w:shd w:fill="auto" w:val="clear"/>
            <w:vAlign w:val="bottom"/>
          </w:tcPr>
          <w:p w14:paraId="4946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4A460000">
            <w:pPr>
              <w:widowControl w:val="1"/>
              <w:ind/>
              <w:jc w:val="right"/>
              <w:rPr>
                <w:sz w:val="18"/>
              </w:rPr>
            </w:pPr>
            <w:r>
              <w:rPr>
                <w:sz w:val="18"/>
              </w:rPr>
              <w:t>60</w:t>
            </w:r>
          </w:p>
        </w:tc>
        <w:tc>
          <w:tcPr>
            <w:tcW w:type="dxa" w:w="1560"/>
            <w:tcBorders>
              <w:top w:color="000000" w:sz="4" w:val="single"/>
              <w:left w:color="000000" w:sz="4" w:val="single"/>
              <w:bottom w:color="000000" w:sz="4" w:val="single"/>
              <w:right w:color="000000" w:sz="4" w:val="single"/>
            </w:tcBorders>
            <w:shd w:fill="auto" w:val="clear"/>
            <w:vAlign w:val="bottom"/>
          </w:tcPr>
          <w:p w14:paraId="4B460000">
            <w:pPr>
              <w:widowControl w:val="1"/>
              <w:ind/>
              <w:jc w:val="right"/>
              <w:rPr>
                <w:sz w:val="18"/>
              </w:rPr>
            </w:pPr>
            <w:r>
              <w:rPr>
                <w:sz w:val="18"/>
              </w:rPr>
              <w:t>36 952</w:t>
            </w:r>
          </w:p>
        </w:tc>
      </w:tr>
      <w:tr>
        <w:trPr>
          <w:trHeight w:hRule="atLeast" w:val="240"/>
        </w:trPr>
        <w:tc>
          <w:tcPr>
            <w:tcW w:type="dxa" w:w="4414"/>
            <w:tcBorders>
              <w:top w:color="000000" w:sz="4" w:val="single"/>
              <w:left w:color="000000" w:sz="4" w:val="single"/>
              <w:bottom w:color="000000" w:sz="4" w:val="single"/>
              <w:right w:color="000000" w:sz="4" w:val="single"/>
            </w:tcBorders>
            <w:shd w:fill="auto" w:val="clear"/>
            <w:vAlign w:val="bottom"/>
          </w:tcPr>
          <w:p w14:paraId="4C460000">
            <w:pPr>
              <w:rPr>
                <w:sz w:val="18"/>
              </w:rPr>
            </w:pPr>
            <w:r>
              <w:rPr>
                <w:sz w:val="18"/>
              </w:rPr>
              <w:t>ДИ   РЖД ОАО Центральная дирекция инфраструктуры</w:t>
            </w:r>
          </w:p>
        </w:tc>
        <w:tc>
          <w:tcPr>
            <w:tcW w:type="dxa" w:w="1520"/>
            <w:tcBorders>
              <w:top w:color="000000" w:sz="4" w:val="single"/>
              <w:left w:color="000000" w:sz="4" w:val="single"/>
              <w:bottom w:color="000000" w:sz="4" w:val="single"/>
              <w:right w:color="000000" w:sz="4" w:val="single"/>
            </w:tcBorders>
            <w:shd w:fill="auto" w:val="clear"/>
            <w:vAlign w:val="bottom"/>
          </w:tcPr>
          <w:p w14:paraId="4D460000">
            <w:pPr>
              <w:widowControl w:val="1"/>
              <w:ind/>
              <w:jc w:val="right"/>
              <w:rPr>
                <w:sz w:val="18"/>
              </w:rPr>
            </w:pPr>
            <w:r>
              <w:rPr>
                <w:sz w:val="18"/>
              </w:rPr>
              <w:t>112 056</w:t>
            </w:r>
          </w:p>
        </w:tc>
        <w:tc>
          <w:tcPr>
            <w:tcW w:type="dxa" w:w="1360"/>
            <w:tcBorders>
              <w:top w:color="000000" w:sz="4" w:val="single"/>
              <w:left w:color="000000" w:sz="4" w:val="single"/>
              <w:bottom w:color="000000" w:sz="4" w:val="single"/>
              <w:right w:color="000000" w:sz="4" w:val="single"/>
            </w:tcBorders>
            <w:shd w:fill="auto" w:val="clear"/>
            <w:vAlign w:val="bottom"/>
          </w:tcPr>
          <w:p w14:paraId="4E460000">
            <w:pPr>
              <w:widowControl w:val="1"/>
              <w:ind/>
              <w:jc w:val="right"/>
              <w:rPr>
                <w:sz w:val="18"/>
              </w:rPr>
            </w:pPr>
            <w:r>
              <w:rPr>
                <w:sz w:val="18"/>
              </w:rPr>
              <w:t>0</w:t>
            </w:r>
          </w:p>
        </w:tc>
        <w:tc>
          <w:tcPr>
            <w:tcW w:type="dxa" w:w="1360"/>
            <w:tcBorders>
              <w:top w:color="000000" w:sz="4" w:val="single"/>
              <w:left w:color="000000" w:sz="4" w:val="single"/>
              <w:bottom w:color="000000" w:sz="4" w:val="single"/>
              <w:right w:color="000000" w:sz="4" w:val="single"/>
            </w:tcBorders>
            <w:shd w:fill="auto" w:val="clear"/>
            <w:vAlign w:val="bottom"/>
          </w:tcPr>
          <w:p w14:paraId="4F460000">
            <w:pPr>
              <w:widowControl w:val="1"/>
              <w:ind/>
              <w:jc w:val="right"/>
              <w:rPr>
                <w:sz w:val="18"/>
              </w:rPr>
            </w:pPr>
            <w:r>
              <w:rPr>
                <w:sz w:val="18"/>
              </w:rPr>
              <w:t>770</w:t>
            </w:r>
          </w:p>
        </w:tc>
        <w:tc>
          <w:tcPr>
            <w:tcW w:type="dxa" w:w="1560"/>
            <w:tcBorders>
              <w:top w:color="000000" w:sz="4" w:val="single"/>
              <w:left w:color="000000" w:sz="4" w:val="single"/>
              <w:bottom w:color="000000" w:sz="4" w:val="single"/>
              <w:right w:color="000000" w:sz="4" w:val="single"/>
            </w:tcBorders>
            <w:shd w:fill="auto" w:val="clear"/>
            <w:vAlign w:val="bottom"/>
          </w:tcPr>
          <w:p w14:paraId="50460000">
            <w:pPr>
              <w:widowControl w:val="1"/>
              <w:ind/>
              <w:jc w:val="right"/>
              <w:rPr>
                <w:sz w:val="18"/>
              </w:rPr>
            </w:pPr>
            <w:r>
              <w:rPr>
                <w:sz w:val="18"/>
              </w:rPr>
              <w:t>111 286</w:t>
            </w:r>
          </w:p>
        </w:tc>
      </w:tr>
    </w:tbl>
    <w:p w14:paraId="51460000">
      <w:pPr>
        <w:widowControl w:val="1"/>
        <w:ind w:firstLine="709"/>
        <w:contextualSpacing w:val="1"/>
        <w:rPr>
          <w:b w:val="1"/>
        </w:rPr>
      </w:pPr>
    </w:p>
    <w:p w14:paraId="52460000">
      <w:pPr>
        <w:pStyle w:val="Style_10"/>
        <w:rPr>
          <w:rFonts w:ascii="Times New Roman" w:hAnsi="Times New Roman"/>
          <w:i w:val="0"/>
          <w:highlight w:val="yellow"/>
        </w:rPr>
      </w:pPr>
    </w:p>
    <w:p w14:paraId="53460000">
      <w:bookmarkStart w:id="52" w:name="__RefHeading___45"/>
      <w:bookmarkEnd w:id="52"/>
      <w:pPr>
        <w:pStyle w:val="Style_10"/>
        <w:rPr>
          <w:rFonts w:ascii="Times New Roman" w:hAnsi="Times New Roman"/>
          <w:i w:val="0"/>
        </w:rPr>
      </w:pPr>
      <w:r>
        <w:rPr>
          <w:rFonts w:ascii="Times New Roman" w:hAnsi="Times New Roman"/>
          <w:i w:val="0"/>
        </w:rPr>
        <w:t xml:space="preserve">Приложение </w:t>
      </w:r>
      <w:r>
        <w:rPr>
          <w:rFonts w:ascii="Times New Roman" w:hAnsi="Times New Roman"/>
          <w:i w:val="0"/>
        </w:rPr>
        <w:t>7</w:t>
      </w:r>
      <w:r>
        <w:rPr>
          <w:rFonts w:ascii="Times New Roman" w:hAnsi="Times New Roman"/>
          <w:i w:val="0"/>
        </w:rPr>
        <w:t>. Информация о реализации непрофильных активов за 201</w:t>
      </w:r>
      <w:r>
        <w:rPr>
          <w:rFonts w:ascii="Times New Roman" w:hAnsi="Times New Roman"/>
          <w:i w:val="0"/>
        </w:rPr>
        <w:t>8</w:t>
      </w:r>
      <w:r>
        <w:rPr>
          <w:rFonts w:ascii="Times New Roman" w:hAnsi="Times New Roman"/>
          <w:i w:val="0"/>
        </w:rPr>
        <w:t>г.</w:t>
      </w:r>
      <w:r>
        <w:rPr>
          <w:rFonts w:ascii="Times New Roman" w:hAnsi="Times New Roman"/>
          <w:i w:val="0"/>
        </w:rPr>
        <w:t xml:space="preserve"> </w:t>
      </w:r>
    </w:p>
    <w:p w14:paraId="54460000">
      <w:pPr>
        <w:widowControl w:val="1"/>
        <w:tabs>
          <w:tab w:leader="none" w:pos="7020" w:val="left"/>
        </w:tabs>
        <w:ind w:firstLine="709"/>
        <w:contextualSpacing w:val="1"/>
        <w:rPr>
          <w:b w:val="1"/>
        </w:rPr>
      </w:pPr>
    </w:p>
    <w:p w14:paraId="55460000">
      <w:pPr>
        <w:widowControl w:val="1"/>
        <w:tabs>
          <w:tab w:leader="none" w:pos="10206" w:val="left"/>
        </w:tabs>
        <w:spacing w:line="360" w:lineRule="auto"/>
        <w:ind w:firstLine="709"/>
        <w:contextualSpacing w:val="1"/>
        <w:jc w:val="both"/>
      </w:pPr>
      <w:r>
        <w:t>Порядок организации работ по отчуждению непрофильных активов АО "Краспригород"  утвержден решением Совета директоров АО "Краспригород"</w:t>
      </w:r>
      <w:r>
        <w:t xml:space="preserve"> -</w:t>
      </w:r>
      <w:r>
        <w:t xml:space="preserve"> протокол № </w:t>
      </w:r>
      <w:r>
        <w:t>6</w:t>
      </w:r>
      <w:r>
        <w:t xml:space="preserve"> от 28.10.2016г. </w:t>
      </w:r>
    </w:p>
    <w:p w14:paraId="56460000">
      <w:pPr>
        <w:widowControl w:val="1"/>
        <w:tabs>
          <w:tab w:leader="none" w:pos="10206" w:val="left"/>
        </w:tabs>
        <w:spacing w:line="360" w:lineRule="auto"/>
        <w:ind w:firstLine="709"/>
        <w:contextualSpacing w:val="1"/>
        <w:jc w:val="both"/>
      </w:pPr>
      <w:r>
        <w:t>Решением Совета директоров АО "Краспригород" - протокол № 6 от 28.10.2016г. у</w:t>
      </w:r>
      <w:r>
        <w:t>тверждены формы Реестра непрофильных активов, отчета о выполнении плана мероприятий по реализации непрофильных активов,  отчета об отчуждении непрофильных активов.</w:t>
      </w:r>
    </w:p>
    <w:p w14:paraId="57460000">
      <w:pPr>
        <w:widowControl w:val="1"/>
        <w:tabs>
          <w:tab w:leader="none" w:pos="10206" w:val="left"/>
        </w:tabs>
        <w:spacing w:line="360" w:lineRule="auto"/>
        <w:ind w:firstLine="709"/>
        <w:contextualSpacing w:val="1"/>
      </w:pPr>
      <w:r>
        <w:t>На балансе АО "Краспригород" в течение 201</w:t>
      </w:r>
      <w:r>
        <w:t>8</w:t>
      </w:r>
      <w:r>
        <w:t xml:space="preserve"> года объект</w:t>
      </w:r>
      <w:r>
        <w:t>ы</w:t>
      </w:r>
      <w:r>
        <w:t xml:space="preserve"> недвижимости (в том числе и земельны</w:t>
      </w:r>
      <w:r>
        <w:t>е</w:t>
      </w:r>
      <w:r>
        <w:t xml:space="preserve"> участк</w:t>
      </w:r>
      <w:r>
        <w:t>и</w:t>
      </w:r>
      <w:r>
        <w:t xml:space="preserve">) </w:t>
      </w:r>
      <w:r>
        <w:t>отсутств</w:t>
      </w:r>
      <w:r>
        <w:t>овали</w:t>
      </w:r>
      <w:r>
        <w:t xml:space="preserve">. </w:t>
      </w:r>
      <w:r>
        <w:t xml:space="preserve"> </w:t>
      </w:r>
      <w:r>
        <w:t>Непрофильные  активы у АО "Краспригород" в 201</w:t>
      </w:r>
      <w:r>
        <w:t>8</w:t>
      </w:r>
      <w:r>
        <w:t xml:space="preserve"> году отсутствовали. </w:t>
      </w:r>
    </w:p>
    <w:p w14:paraId="58460000">
      <w:pPr>
        <w:widowControl w:val="1"/>
        <w:tabs>
          <w:tab w:leader="none" w:pos="10206" w:val="left"/>
        </w:tabs>
        <w:spacing w:line="360" w:lineRule="auto"/>
        <w:ind w:firstLine="709"/>
        <w:contextualSpacing w:val="1"/>
      </w:pPr>
      <w:r>
        <w:t>Продаж</w:t>
      </w:r>
      <w:r>
        <w:t>у</w:t>
      </w:r>
      <w:r>
        <w:t xml:space="preserve"> и передач</w:t>
      </w:r>
      <w:r>
        <w:t>у</w:t>
      </w:r>
      <w:r>
        <w:t xml:space="preserve"> объектов недвижимости безвозмездно в 201</w:t>
      </w:r>
      <w:r>
        <w:t>8</w:t>
      </w:r>
      <w:r>
        <w:t xml:space="preserve"> году АО "Краспригород"</w:t>
      </w:r>
      <w:r>
        <w:t xml:space="preserve"> не осуществляло.</w:t>
      </w:r>
      <w:r>
        <w:t xml:space="preserve"> </w:t>
      </w:r>
    </w:p>
    <w:p w14:paraId="59460000">
      <w:pPr>
        <w:sectPr>
          <w:headerReference r:id="rId7" w:type="default"/>
          <w:footerReference r:id="rId8" w:type="default"/>
          <w:footerReference r:id="rId20" w:type="even"/>
          <w:pgSz w:h="16840" w:orient="portrait" w:w="11907"/>
          <w:pgMar w:bottom="539" w:footer="567" w:gutter="0" w:header="720" w:left="1418" w:right="850" w:top="720"/>
          <w:titlePg/>
        </w:sectPr>
      </w:pPr>
    </w:p>
    <w:p w14:paraId="5A460000">
      <w:bookmarkStart w:id="53" w:name="__RefHeading___46"/>
      <w:bookmarkEnd w:id="53"/>
      <w:pPr>
        <w:pStyle w:val="Style_10"/>
        <w:rPr>
          <w:rFonts w:ascii="Times New Roman" w:hAnsi="Times New Roman"/>
          <w:i w:val="0"/>
        </w:rPr>
      </w:pPr>
      <w:r>
        <w:rPr>
          <w:rFonts w:ascii="Times New Roman" w:hAnsi="Times New Roman"/>
          <w:i w:val="0"/>
        </w:rPr>
        <w:t xml:space="preserve"> </w:t>
      </w:r>
      <w:r>
        <w:rPr>
          <w:rFonts w:ascii="Times New Roman" w:hAnsi="Times New Roman"/>
          <w:i w:val="0"/>
        </w:rPr>
        <w:t xml:space="preserve">Приложение </w:t>
      </w:r>
      <w:r>
        <w:rPr>
          <w:rFonts w:ascii="Times New Roman" w:hAnsi="Times New Roman"/>
          <w:i w:val="0"/>
        </w:rPr>
        <w:t>8</w:t>
      </w:r>
      <w:r>
        <w:rPr>
          <w:rFonts w:ascii="Times New Roman" w:hAnsi="Times New Roman"/>
          <w:i w:val="0"/>
        </w:rPr>
        <w:t>. Схема "Структура Общества"</w:t>
      </w:r>
    </w:p>
    <w:p w14:paraId="5B460000">
      <w:pPr>
        <w:widowControl w:val="1"/>
        <w:ind w:firstLine="709"/>
        <w:contextualSpacing w:val="1"/>
      </w:pPr>
    </w:p>
    <w:p w14:paraId="5C460000">
      <w:pPr>
        <w:widowControl w:val="1"/>
        <w:ind/>
        <w:contextualSpacing w:val="1"/>
        <w:jc w:val="center"/>
        <w:rPr>
          <w:b w:val="1"/>
        </w:rPr>
      </w:pPr>
      <w:r>
        <w:rPr>
          <w:b w:val="1"/>
        </w:rPr>
        <w:drawing>
          <wp:inline>
            <wp:extent cx="6478651" cy="9148572"/>
            <wp:docPr hidden="false" id="38" name="Picture 38"/>
            <a:graphic>
              <a:graphicData uri="http://schemas.openxmlformats.org/drawingml/2006/picture">
                <pic:pic>
                  <pic:nvPicPr>
                    <pic:cNvPr hidden="false" id="39" name="Picture 39"/>
                    <pic:cNvPicPr preferRelativeResize="true"/>
                  </pic:nvPicPr>
                  <pic:blipFill>
                    <a:blip r:embed="rId41"/>
                    <a:srcRect b="0" l="0" r="0" t="0"/>
                    <a:stretch/>
                  </pic:blipFill>
                  <pic:spPr>
                    <a:xfrm flipH="false" flipV="false" rot="0">
                      <a:ext cx="6478651" cy="9148572"/>
                    </a:xfrm>
                    <a:prstGeom prst="rect"/>
                  </pic:spPr>
                </pic:pic>
              </a:graphicData>
            </a:graphic>
          </wp:inline>
        </w:drawing>
      </w:r>
    </w:p>
    <w:p w14:paraId="5D460000">
      <w:pPr>
        <w:widowControl w:val="1"/>
        <w:ind w:firstLine="709"/>
        <w:contextualSpacing w:val="1"/>
        <w:jc w:val="center"/>
        <w:rPr>
          <w:b w:val="1"/>
        </w:rPr>
      </w:pPr>
    </w:p>
    <w:p w14:paraId="5E460000">
      <w:pPr>
        <w:widowControl w:val="1"/>
        <w:ind w:firstLine="709"/>
        <w:contextualSpacing w:val="1"/>
        <w:jc w:val="center"/>
        <w:rPr>
          <w:b w:val="1"/>
        </w:rPr>
      </w:pPr>
    </w:p>
    <w:p w14:paraId="5F460000">
      <w:pPr>
        <w:widowControl w:val="1"/>
        <w:ind w:firstLine="709"/>
        <w:contextualSpacing w:val="1"/>
        <w:jc w:val="center"/>
        <w:rPr>
          <w:b w:val="1"/>
        </w:rPr>
      </w:pPr>
    </w:p>
    <w:p w14:paraId="60460000">
      <w:pPr>
        <w:widowControl w:val="1"/>
        <w:ind w:firstLine="709"/>
        <w:contextualSpacing w:val="1"/>
        <w:jc w:val="center"/>
        <w:rPr>
          <w:b w:val="1"/>
        </w:rPr>
      </w:pPr>
    </w:p>
    <w:p w14:paraId="61460000">
      <w:pPr>
        <w:widowControl w:val="1"/>
        <w:ind w:firstLine="709"/>
        <w:contextualSpacing w:val="1"/>
        <w:jc w:val="center"/>
        <w:rPr>
          <w:b w:val="1"/>
        </w:rPr>
      </w:pPr>
    </w:p>
    <w:p w14:paraId="62460000">
      <w:pPr>
        <w:widowControl w:val="1"/>
        <w:ind w:firstLine="709"/>
        <w:contextualSpacing w:val="1"/>
        <w:jc w:val="center"/>
        <w:rPr>
          <w:b w:val="1"/>
        </w:rPr>
      </w:pPr>
    </w:p>
    <w:p w14:paraId="63460000">
      <w:pPr>
        <w:widowControl w:val="1"/>
        <w:ind w:firstLine="709"/>
        <w:contextualSpacing w:val="1"/>
        <w:jc w:val="center"/>
        <w:rPr>
          <w:b w:val="1"/>
        </w:rPr>
      </w:pPr>
    </w:p>
    <w:p w14:paraId="64460000">
      <w:pPr>
        <w:widowControl w:val="1"/>
        <w:ind w:firstLine="709"/>
        <w:contextualSpacing w:val="1"/>
        <w:jc w:val="center"/>
        <w:rPr>
          <w:b w:val="1"/>
        </w:rPr>
      </w:pPr>
    </w:p>
    <w:p w14:paraId="65460000">
      <w:pPr>
        <w:widowControl w:val="1"/>
        <w:ind w:firstLine="709"/>
        <w:contextualSpacing w:val="1"/>
        <w:jc w:val="center"/>
        <w:rPr>
          <w:b w:val="1"/>
        </w:rPr>
      </w:pPr>
    </w:p>
    <w:p w14:paraId="66460000">
      <w:pPr>
        <w:widowControl w:val="1"/>
        <w:ind w:firstLine="709"/>
        <w:contextualSpacing w:val="1"/>
        <w:jc w:val="center"/>
        <w:rPr>
          <w:b w:val="1"/>
        </w:rPr>
      </w:pPr>
    </w:p>
    <w:p w14:paraId="67460000">
      <w:pPr>
        <w:widowControl w:val="1"/>
        <w:ind w:firstLine="709"/>
        <w:contextualSpacing w:val="1"/>
        <w:jc w:val="center"/>
        <w:rPr>
          <w:b w:val="1"/>
        </w:rPr>
      </w:pPr>
    </w:p>
    <w:p w14:paraId="68460000">
      <w:pPr>
        <w:widowControl w:val="1"/>
        <w:ind w:firstLine="709"/>
        <w:contextualSpacing w:val="1"/>
        <w:jc w:val="center"/>
        <w:rPr>
          <w:b w:val="1"/>
        </w:rPr>
      </w:pPr>
    </w:p>
    <w:p w14:paraId="69460000">
      <w:pPr>
        <w:widowControl w:val="1"/>
        <w:ind w:firstLine="709"/>
        <w:contextualSpacing w:val="1"/>
        <w:jc w:val="center"/>
        <w:rPr>
          <w:b w:val="1"/>
        </w:rPr>
      </w:pPr>
    </w:p>
    <w:p w14:paraId="6A460000">
      <w:pPr>
        <w:widowControl w:val="1"/>
        <w:ind w:firstLine="709"/>
        <w:contextualSpacing w:val="1"/>
        <w:jc w:val="center"/>
        <w:rPr>
          <w:b w:val="1"/>
        </w:rPr>
      </w:pPr>
    </w:p>
    <w:p w14:paraId="6B460000">
      <w:pPr>
        <w:widowControl w:val="1"/>
        <w:ind w:firstLine="709"/>
        <w:contextualSpacing w:val="1"/>
        <w:jc w:val="center"/>
        <w:rPr>
          <w:b w:val="1"/>
        </w:rPr>
      </w:pPr>
    </w:p>
    <w:p w14:paraId="6C460000">
      <w:pPr>
        <w:widowControl w:val="1"/>
        <w:ind w:firstLine="709"/>
        <w:contextualSpacing w:val="1"/>
        <w:jc w:val="center"/>
        <w:rPr>
          <w:b w:val="1"/>
        </w:rPr>
      </w:pPr>
    </w:p>
    <w:p w14:paraId="6D460000">
      <w:pPr>
        <w:widowControl w:val="1"/>
        <w:ind w:firstLine="709"/>
        <w:contextualSpacing w:val="1"/>
        <w:jc w:val="center"/>
        <w:rPr>
          <w:b w:val="1"/>
        </w:rPr>
      </w:pPr>
    </w:p>
    <w:p w14:paraId="6E460000">
      <w:pPr>
        <w:widowControl w:val="1"/>
        <w:ind w:firstLine="709"/>
        <w:contextualSpacing w:val="1"/>
        <w:jc w:val="center"/>
        <w:rPr>
          <w:b w:val="1"/>
        </w:rPr>
      </w:pPr>
    </w:p>
    <w:p w14:paraId="6F460000">
      <w:pPr>
        <w:widowControl w:val="1"/>
        <w:ind w:firstLine="709"/>
        <w:contextualSpacing w:val="1"/>
        <w:jc w:val="center"/>
        <w:rPr>
          <w:b w:val="1"/>
        </w:rPr>
      </w:pPr>
    </w:p>
    <w:p w14:paraId="70460000">
      <w:pPr>
        <w:widowControl w:val="1"/>
        <w:ind w:firstLine="709"/>
        <w:contextualSpacing w:val="1"/>
        <w:jc w:val="center"/>
        <w:rPr>
          <w:b w:val="1"/>
        </w:rPr>
      </w:pPr>
    </w:p>
    <w:p w14:paraId="71460000">
      <w:pPr>
        <w:widowControl w:val="1"/>
        <w:ind w:firstLine="709"/>
        <w:contextualSpacing w:val="1"/>
        <w:jc w:val="center"/>
        <w:rPr>
          <w:b w:val="1"/>
        </w:rPr>
      </w:pPr>
    </w:p>
    <w:p w14:paraId="72460000">
      <w:pPr>
        <w:widowControl w:val="1"/>
        <w:ind w:firstLine="709"/>
        <w:contextualSpacing w:val="1"/>
        <w:jc w:val="center"/>
        <w:rPr>
          <w:b w:val="1"/>
        </w:rPr>
      </w:pPr>
    </w:p>
    <w:p w14:paraId="73460000">
      <w:pPr>
        <w:widowControl w:val="1"/>
        <w:ind w:firstLine="709"/>
        <w:contextualSpacing w:val="1"/>
        <w:jc w:val="center"/>
        <w:rPr>
          <w:b w:val="1"/>
        </w:rPr>
      </w:pPr>
    </w:p>
    <w:sectPr>
      <w:headerReference r:id="rId14" w:type="default"/>
      <w:footerReference r:id="rId15" w:type="default"/>
      <w:footerReference r:id="rId9" w:type="even"/>
      <w:pgSz w:h="16840" w:orient="portrait" w:w="11907"/>
      <w:pgMar w:bottom="720" w:footer="567" w:gutter="0" w:header="720" w:left="1418" w:right="850" w:top="539"/>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02000000">
    <w:pPr>
      <w:pStyle w:val="Style_2"/>
      <w:widowControl w:val="1"/>
      <w:ind w:right="360"/>
    </w:pPr>
  </w:p>
</w:ftr>
</file>

<file path=word/footer3.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5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04000000">
    <w:pPr>
      <w:pStyle w:val="Style_2"/>
      <w:widowControl w:val="1"/>
      <w:ind w:right="360"/>
    </w:pPr>
  </w:p>
</w:ftr>
</file>

<file path=word/footer4.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7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06000000">
    <w:pPr>
      <w:pStyle w:val="Style_2"/>
      <w:widowControl w:val="1"/>
      <w:ind w:right="360"/>
    </w:pPr>
  </w:p>
</w:ftr>
</file>

<file path=word/footer6.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A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09000000">
    <w:pPr>
      <w:pStyle w:val="Style_2"/>
      <w:widowControl w:val="1"/>
      <w:ind w:right="360"/>
    </w:pPr>
  </w:p>
</w:ftr>
</file>

<file path=word/footer8.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D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0C000000">
    <w:pPr>
      <w:pStyle w:val="Style_2"/>
      <w:widowControl w:val="1"/>
      <w:ind w:right="360"/>
    </w:pPr>
  </w:p>
</w:ftr>
</file>

<file path=word/footer9.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F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0E000000">
    <w:pPr>
      <w:pStyle w:val="Style_2"/>
      <w:widowControl w:val="1"/>
      <w:ind w:right="360"/>
    </w:pPr>
  </w:p>
</w:ftr>
</file>

<file path=word/footer10.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11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10000000">
    <w:pPr>
      <w:pStyle w:val="Style_2"/>
      <w:widowControl w:val="1"/>
      <w:ind w:right="360"/>
    </w:pPr>
  </w:p>
</w:ftr>
</file>

<file path=word/footer1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14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13000000">
    <w:pPr>
      <w:pStyle w:val="Style_2"/>
      <w:widowControl w:val="1"/>
      <w:ind w:right="360"/>
    </w:pPr>
  </w:p>
</w:ftr>
</file>

<file path=word/footer13.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16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15000000">
    <w:pPr>
      <w:pStyle w:val="Style_2"/>
      <w:widowControl w:val="1"/>
      <w:ind w:right="360"/>
    </w:pPr>
  </w:p>
</w:ftr>
</file>

<file path=word/footer15.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19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18000000">
    <w:pPr>
      <w:pStyle w:val="Style_2"/>
      <w:widowControl w:val="1"/>
      <w:ind w:right="360"/>
    </w:pPr>
  </w:p>
</w:ftr>
</file>

<file path=word/footer16.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1B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1A000000">
    <w:pPr>
      <w:pStyle w:val="Style_2"/>
      <w:widowControl w:val="1"/>
      <w:ind w:right="360"/>
    </w:pPr>
  </w:p>
</w:ftr>
</file>

<file path=word/footer18.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1E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1D000000">
    <w:pPr>
      <w:pStyle w:val="Style_2"/>
      <w:widowControl w:val="1"/>
      <w:ind w:right="360"/>
    </w:pPr>
  </w:p>
</w:ftr>
</file>

<file path=word/footer19.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20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1F000000">
    <w:pPr>
      <w:pStyle w:val="Style_2"/>
      <w:widowControl w:val="1"/>
      <w:ind w:right="360"/>
    </w:pPr>
  </w:p>
</w:ftr>
</file>

<file path=word/footer20.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22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21000000">
    <w:pPr>
      <w:pStyle w:val="Style_2"/>
      <w:widowControl w:val="1"/>
      <w:ind w:right="360"/>
    </w:pPr>
  </w:p>
</w:ftr>
</file>

<file path=word/footer21.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24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23000000">
    <w:pPr>
      <w:pStyle w:val="Style_2"/>
      <w:widowControl w:val="1"/>
      <w:ind w:right="360"/>
    </w:pPr>
  </w:p>
</w:ftr>
</file>

<file path=word/footer2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26000000">
    <w:pPr>
      <w:pStyle w:val="Style_2"/>
      <w:framePr w:h="0" w:hAnchor="margin" w:hSpace="0" w:vAnchor="text" w:vSpace="0" w:wrap="around" w:xAlign="right" w:y="1"/>
      <w:pBdr>
        <w:top w:val="nil"/>
        <w:left w:val="nil"/>
        <w:bottom w:val="nil"/>
        <w:right w:val="nil"/>
        <w:between w:val="nil"/>
      </w:pBdr>
      <w:ind/>
      <w:jc w:val="left"/>
      <w:rPr>
        <w:rStyle w:val="Style_3_ch"/>
      </w:rPr>
    </w:pPr>
    <w:r>
      <w:rPr>
        <w:rStyle w:val="Style_3_ch"/>
      </w:rPr>
      <w:fldChar w:fldCharType="begin"/>
    </w:r>
    <w:r>
      <w:rPr>
        <w:rStyle w:val="Style_3_ch"/>
      </w:rPr>
      <w:instrText xml:space="preserve">PAGE </w:instrText>
    </w:r>
    <w:r>
      <w:rPr>
        <w:rStyle w:val="Style_3_ch"/>
      </w:rPr>
      <w:fldChar w:fldCharType="separate"/>
    </w:r>
    <w:r>
      <w:rPr>
        <w:rStyle w:val="Style_3_ch"/>
      </w:rPr>
      <w:t xml:space="preserve"> </w:t>
    </w:r>
    <w:r>
      <w:rPr>
        <w:rStyle w:val="Style_3_ch"/>
      </w:rPr>
      <w:fldChar w:fldCharType="end"/>
    </w:r>
  </w:p>
  <w:p w14:paraId="25000000">
    <w:pPr>
      <w:pStyle w:val="Style_2"/>
      <w:widowControl w:val="1"/>
      <w:ind w:right="360"/>
    </w:pPr>
  </w:p>
</w:ftr>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jc w:val="center"/>
    </w:pPr>
    <w:r>
      <w:t xml:space="preserve">- </w:t>
    </w:r>
    <w:r>
      <w:fldChar w:fldCharType="begin"/>
    </w:r>
    <w:r>
      <w:instrText xml:space="preserve">PAGE </w:instrText>
    </w:r>
    <w:r>
      <w:fldChar w:fldCharType="separate"/>
    </w:r>
    <w:r>
      <w:t xml:space="preserve"> </w:t>
    </w:r>
    <w:r>
      <w:fldChar w:fldCharType="end"/>
    </w:r>
    <w:r>
      <w:t xml:space="preserve"> -</w:t>
    </w:r>
  </w:p>
</w:hdr>
</file>

<file path=word/header5.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8000000">
    <w:pPr>
      <w:pStyle w:val="Style_1"/>
      <w:widowControl w:val="1"/>
      <w:ind/>
      <w:jc w:val="center"/>
    </w:pPr>
    <w:r>
      <w:t xml:space="preserve">- </w:t>
    </w:r>
    <w:r>
      <w:fldChar w:fldCharType="begin"/>
    </w:r>
    <w:r>
      <w:instrText xml:space="preserve">PAGE </w:instrText>
    </w:r>
    <w:r>
      <w:fldChar w:fldCharType="separate"/>
    </w:r>
    <w:r>
      <w:t xml:space="preserve"> </w:t>
    </w:r>
    <w:r>
      <w:fldChar w:fldCharType="end"/>
    </w:r>
    <w:r>
      <w:t xml:space="preserve"> -</w:t>
    </w:r>
  </w:p>
</w:hdr>
</file>

<file path=word/header7.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B000000">
    <w:pPr>
      <w:pStyle w:val="Style_1"/>
      <w:widowControl w:val="1"/>
      <w:ind/>
      <w:jc w:val="center"/>
    </w:pPr>
    <w:r>
      <w:t xml:space="preserve">- </w:t>
    </w:r>
    <w:r>
      <w:fldChar w:fldCharType="begin"/>
    </w:r>
    <w:r>
      <w:instrText xml:space="preserve">PAGE </w:instrText>
    </w:r>
    <w:r>
      <w:fldChar w:fldCharType="separate"/>
    </w:r>
    <w:r>
      <w:t xml:space="preserve"> </w:t>
    </w:r>
    <w:r>
      <w:fldChar w:fldCharType="end"/>
    </w:r>
    <w:r>
      <w:t xml:space="preserve"> -</w:t>
    </w:r>
  </w:p>
</w:hdr>
</file>

<file path=word/header1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12000000">
    <w:pPr>
      <w:pStyle w:val="Style_1"/>
      <w:widowControl w:val="1"/>
      <w:ind/>
      <w:jc w:val="center"/>
    </w:pPr>
    <w:r>
      <w:t xml:space="preserve">- </w:t>
    </w:r>
    <w:r>
      <w:fldChar w:fldCharType="begin"/>
    </w:r>
    <w:r>
      <w:instrText xml:space="preserve">PAGE </w:instrText>
    </w:r>
    <w:r>
      <w:fldChar w:fldCharType="separate"/>
    </w:r>
    <w:r>
      <w:t xml:space="preserve"> </w:t>
    </w:r>
    <w:r>
      <w:fldChar w:fldCharType="end"/>
    </w:r>
    <w:r>
      <w:t xml:space="preserve"> -</w:t>
    </w:r>
  </w:p>
</w:hdr>
</file>

<file path=word/header14.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17000000">
    <w:pPr>
      <w:pStyle w:val="Style_1"/>
      <w:widowControl w:val="1"/>
      <w:ind/>
      <w:jc w:val="center"/>
    </w:pPr>
    <w:r>
      <w:t xml:space="preserve">- </w:t>
    </w:r>
    <w:r>
      <w:fldChar w:fldCharType="begin"/>
    </w:r>
    <w:r>
      <w:instrText xml:space="preserve">PAGE </w:instrText>
    </w:r>
    <w:r>
      <w:fldChar w:fldCharType="separate"/>
    </w:r>
    <w:r>
      <w:t xml:space="preserve"> </w:t>
    </w:r>
    <w:r>
      <w:fldChar w:fldCharType="end"/>
    </w:r>
    <w:r>
      <w:t xml:space="preserve"> -</w:t>
    </w:r>
  </w:p>
</w:hdr>
</file>

<file path=word/header17.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1C000000">
    <w:pPr>
      <w:pStyle w:val="Style_1"/>
      <w:widowControl w:val="1"/>
      <w:ind/>
      <w:jc w:val="center"/>
    </w:pPr>
    <w:r>
      <w:t xml:space="preserve">- </w:t>
    </w:r>
    <w:r>
      <w:fldChar w:fldCharType="begin"/>
    </w:r>
    <w:r>
      <w:instrText xml:space="preserve">PAGE </w:instrText>
    </w:r>
    <w:r>
      <w:fldChar w:fldCharType="separate"/>
    </w:r>
    <w:r>
      <w:t xml:space="preserve"> </w:t>
    </w:r>
    <w:r>
      <w:fldChar w:fldCharType="end"/>
    </w:r>
    <w:r>
      <w:t xml:space="preserve"> -</w:t>
    </w:r>
  </w:p>
</w:hd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ind w:hanging="360" w:left="502"/>
      </w:pPr>
    </w:lvl>
    <w:lvl w:ilvl="1">
      <w:start w:val="1"/>
      <w:numFmt w:val="decimal"/>
      <w:lvlText w:val="%1.%2."/>
      <w:lvlJc w:val="left"/>
      <w:pPr>
        <w:widowControl w:val="1"/>
        <w:ind w:hanging="360" w:left="1260"/>
      </w:pPr>
    </w:lvl>
    <w:lvl w:ilvl="2">
      <w:start w:val="1"/>
      <w:numFmt w:val="decimal"/>
      <w:lvlText w:val="%1.%2.%3."/>
      <w:lvlJc w:val="left"/>
      <w:pPr>
        <w:widowControl w:val="1"/>
        <w:ind w:hanging="720" w:left="2520"/>
      </w:pPr>
    </w:lvl>
    <w:lvl w:ilvl="3">
      <w:start w:val="1"/>
      <w:numFmt w:val="decimal"/>
      <w:lvlText w:val="%1.%2.%3.%4."/>
      <w:lvlJc w:val="left"/>
      <w:pPr>
        <w:widowControl w:val="1"/>
        <w:ind w:hanging="720" w:left="3420"/>
      </w:pPr>
    </w:lvl>
    <w:lvl w:ilvl="4">
      <w:start w:val="1"/>
      <w:numFmt w:val="decimal"/>
      <w:lvlText w:val="%1.%2.%3.%4.%5."/>
      <w:lvlJc w:val="left"/>
      <w:pPr>
        <w:widowControl w:val="1"/>
        <w:ind w:hanging="1080" w:left="4680"/>
      </w:pPr>
    </w:lvl>
    <w:lvl w:ilvl="5">
      <w:start w:val="1"/>
      <w:numFmt w:val="decimal"/>
      <w:lvlText w:val="%1.%2.%3.%4.%5.%6."/>
      <w:lvlJc w:val="left"/>
      <w:pPr>
        <w:widowControl w:val="1"/>
        <w:ind w:hanging="1080" w:left="5580"/>
      </w:pPr>
    </w:lvl>
    <w:lvl w:ilvl="6">
      <w:start w:val="1"/>
      <w:numFmt w:val="decimal"/>
      <w:lvlText w:val="%1.%2.%3.%4.%5.%6.%7."/>
      <w:lvlJc w:val="left"/>
      <w:pPr>
        <w:widowControl w:val="1"/>
        <w:ind w:hanging="1440" w:left="6840"/>
      </w:pPr>
    </w:lvl>
    <w:lvl w:ilvl="7">
      <w:start w:val="1"/>
      <w:numFmt w:val="decimal"/>
      <w:lvlText w:val="%1.%2.%3.%4.%5.%6.%7.%8."/>
      <w:lvlJc w:val="left"/>
      <w:pPr>
        <w:widowControl w:val="1"/>
        <w:ind w:hanging="1440" w:left="7740"/>
      </w:pPr>
    </w:lvl>
    <w:lvl w:ilvl="8">
      <w:start w:val="1"/>
      <w:numFmt w:val="decimal"/>
      <w:lvlText w:val="%1.%2.%3.%4.%5.%6.%7.%8.%9."/>
      <w:lvlJc w:val="left"/>
      <w:pPr>
        <w:widowControl w:val="1"/>
        <w:ind w:hanging="1800" w:left="9000"/>
      </w:pPr>
    </w:lvl>
  </w:abstractNum>
  <w:abstractNum w:abstractNumId="1">
    <w:lvl w:ilvl="0">
      <w:start w:val="1"/>
      <w:numFmt w:val="decimal"/>
      <w:lvlText w:val="%1."/>
      <w:lvlJc w:val="left"/>
      <w:pPr>
        <w:widowControl w:val="1"/>
        <w:tabs>
          <w:tab w:leader="none" w:pos="2438" w:val="left"/>
        </w:tabs>
        <w:ind w:firstLine="113" w:left="2438"/>
      </w:pPr>
      <w:rPr>
        <w:b w:val="0"/>
      </w:rPr>
    </w:lvl>
    <w:lvl w:ilvl="1">
      <w:start w:val="1"/>
      <w:numFmt w:val="lowerLetter"/>
      <w:lvlText w:val="%2."/>
      <w:lvlJc w:val="left"/>
      <w:pPr>
        <w:widowControl w:val="1"/>
        <w:ind w:hanging="360" w:left="3205"/>
      </w:pPr>
    </w:lvl>
    <w:lvl w:ilvl="2">
      <w:start w:val="1"/>
      <w:numFmt w:val="lowerRoman"/>
      <w:lvlText w:val="%3."/>
      <w:lvlJc w:val="right"/>
      <w:pPr>
        <w:widowControl w:val="1"/>
        <w:ind w:hanging="180" w:left="3925"/>
      </w:pPr>
    </w:lvl>
    <w:lvl w:ilvl="3">
      <w:start w:val="1"/>
      <w:numFmt w:val="decimal"/>
      <w:lvlText w:val="%4."/>
      <w:lvlJc w:val="left"/>
      <w:pPr>
        <w:widowControl w:val="1"/>
        <w:ind w:hanging="360" w:left="4645"/>
      </w:pPr>
    </w:lvl>
    <w:lvl w:ilvl="4">
      <w:start w:val="1"/>
      <w:numFmt w:val="lowerLetter"/>
      <w:lvlText w:val="%5."/>
      <w:lvlJc w:val="left"/>
      <w:pPr>
        <w:widowControl w:val="1"/>
        <w:ind w:hanging="360" w:left="5365"/>
      </w:pPr>
    </w:lvl>
    <w:lvl w:ilvl="5">
      <w:start w:val="1"/>
      <w:numFmt w:val="lowerRoman"/>
      <w:lvlText w:val="%6."/>
      <w:lvlJc w:val="right"/>
      <w:pPr>
        <w:widowControl w:val="1"/>
        <w:ind w:hanging="180" w:left="6085"/>
      </w:pPr>
    </w:lvl>
    <w:lvl w:ilvl="6">
      <w:start w:val="1"/>
      <w:numFmt w:val="decimal"/>
      <w:lvlText w:val="%7."/>
      <w:lvlJc w:val="left"/>
      <w:pPr>
        <w:widowControl w:val="1"/>
        <w:ind w:hanging="360" w:left="6805"/>
      </w:pPr>
    </w:lvl>
    <w:lvl w:ilvl="7">
      <w:start w:val="1"/>
      <w:numFmt w:val="lowerLetter"/>
      <w:lvlText w:val="%8."/>
      <w:lvlJc w:val="left"/>
      <w:pPr>
        <w:widowControl w:val="1"/>
        <w:ind w:hanging="360" w:left="7525"/>
      </w:pPr>
    </w:lvl>
    <w:lvl w:ilvl="8">
      <w:start w:val="1"/>
      <w:numFmt w:val="lowerRoman"/>
      <w:lvlText w:val="%9."/>
      <w:lvlJc w:val="right"/>
      <w:pPr>
        <w:widowControl w:val="1"/>
        <w:ind w:hanging="180" w:left="8245"/>
      </w:pPr>
    </w:lvl>
  </w:abstractNum>
  <w:abstractNum w:abstractNumId="2">
    <w:lvl w:ilvl="0">
      <w:start w:val="1"/>
      <w:numFmt w:val="bullet"/>
      <w:lvlText w:val=""/>
      <w:lvlJc w:val="left"/>
      <w:pPr>
        <w:widowControl w:val="1"/>
        <w:tabs>
          <w:tab w:leader="none" w:pos="928" w:val="left"/>
        </w:tabs>
        <w:ind w:hanging="360" w:left="928"/>
      </w:pPr>
      <w:rPr>
        <w:rFonts w:ascii="Symbol" w:hAnsi="Symbol"/>
      </w:rPr>
    </w:lvl>
    <w:lvl w:ilvl="1">
      <w:start w:val="1"/>
      <w:numFmt w:val="bullet"/>
      <w:lvlText w:val="o"/>
      <w:lvlJc w:val="left"/>
      <w:pPr>
        <w:widowControl w:val="1"/>
        <w:tabs>
          <w:tab w:leader="none" w:pos="1440" w:val="left"/>
        </w:tabs>
        <w:ind w:hanging="360" w:left="1440"/>
      </w:pPr>
      <w:rPr>
        <w:rFonts w:ascii="Courier New" w:hAnsi="Courier New"/>
      </w:rPr>
    </w:lvl>
    <w:lvl w:ilvl="2">
      <w:start w:val="1"/>
      <w:numFmt w:val="bullet"/>
      <w:lvlText w:val=""/>
      <w:lvlJc w:val="left"/>
      <w:pPr>
        <w:widowControl w:val="1"/>
        <w:tabs>
          <w:tab w:leader="none" w:pos="2160" w:val="left"/>
        </w:tabs>
        <w:ind w:hanging="360" w:left="2160"/>
      </w:pPr>
      <w:rPr>
        <w:rFonts w:ascii="Wingdings" w:hAnsi="Wingdings"/>
      </w:rPr>
    </w:lvl>
    <w:lvl w:ilvl="3">
      <w:start w:val="1"/>
      <w:numFmt w:val="bullet"/>
      <w:lvlText w:val=""/>
      <w:lvlJc w:val="left"/>
      <w:pPr>
        <w:widowControl w:val="1"/>
        <w:tabs>
          <w:tab w:leader="none" w:pos="2880" w:val="left"/>
        </w:tabs>
        <w:ind w:hanging="360" w:left="2880"/>
      </w:pPr>
      <w:rPr>
        <w:rFonts w:ascii="Symbol" w:hAnsi="Symbol"/>
      </w:rPr>
    </w:lvl>
    <w:lvl w:ilvl="4">
      <w:start w:val="1"/>
      <w:numFmt w:val="bullet"/>
      <w:lvlText w:val="o"/>
      <w:lvlJc w:val="left"/>
      <w:pPr>
        <w:widowControl w:val="1"/>
        <w:tabs>
          <w:tab w:leader="none" w:pos="3600" w:val="left"/>
        </w:tabs>
        <w:ind w:hanging="360" w:left="3600"/>
      </w:pPr>
      <w:rPr>
        <w:rFonts w:ascii="Courier New" w:hAnsi="Courier New"/>
      </w:rPr>
    </w:lvl>
    <w:lvl w:ilvl="5">
      <w:start w:val="1"/>
      <w:numFmt w:val="bullet"/>
      <w:lvlText w:val=""/>
      <w:lvlJc w:val="left"/>
      <w:pPr>
        <w:widowControl w:val="1"/>
        <w:tabs>
          <w:tab w:leader="none" w:pos="4320" w:val="left"/>
        </w:tabs>
        <w:ind w:hanging="360" w:left="4320"/>
      </w:pPr>
      <w:rPr>
        <w:rFonts w:ascii="Wingdings" w:hAnsi="Wingdings"/>
      </w:rPr>
    </w:lvl>
    <w:lvl w:ilvl="6">
      <w:start w:val="1"/>
      <w:numFmt w:val="bullet"/>
      <w:lvlText w:val=""/>
      <w:lvlJc w:val="left"/>
      <w:pPr>
        <w:widowControl w:val="1"/>
        <w:tabs>
          <w:tab w:leader="none" w:pos="5040" w:val="left"/>
        </w:tabs>
        <w:ind w:hanging="360" w:left="5040"/>
      </w:pPr>
      <w:rPr>
        <w:rFonts w:ascii="Symbol" w:hAnsi="Symbol"/>
      </w:rPr>
    </w:lvl>
    <w:lvl w:ilvl="7">
      <w:start w:val="1"/>
      <w:numFmt w:val="bullet"/>
      <w:lvlText w:val="o"/>
      <w:lvlJc w:val="left"/>
      <w:pPr>
        <w:widowControl w:val="1"/>
        <w:tabs>
          <w:tab w:leader="none" w:pos="5760" w:val="left"/>
        </w:tabs>
        <w:ind w:hanging="360" w:left="5760"/>
      </w:pPr>
      <w:rPr>
        <w:rFonts w:ascii="Courier New" w:hAnsi="Courier New"/>
      </w:rPr>
    </w:lvl>
    <w:lvl w:ilvl="8">
      <w:start w:val="1"/>
      <w:numFmt w:val="bullet"/>
      <w:lvlText w:val=""/>
      <w:lvlJc w:val="left"/>
      <w:pPr>
        <w:widowControl w:val="1"/>
        <w:tabs>
          <w:tab w:leader="none" w:pos="6480" w:val="left"/>
        </w:tabs>
        <w:ind w:hanging="360" w:left="6480"/>
      </w:pPr>
      <w:rPr>
        <w:rFonts w:ascii="Wingdings" w:hAnsi="Wingdings"/>
      </w:rPr>
    </w:lvl>
  </w:abstractNum>
  <w:abstractNum w:abstractNumId="3">
    <w:lvl w:ilvl="0">
      <w:start w:val="1"/>
      <w:numFmt w:val="bullet"/>
      <w:lvlText w:val=""/>
      <w:lvlJc w:val="left"/>
      <w:pPr>
        <w:widowControl w:val="1"/>
        <w:tabs>
          <w:tab w:leader="none" w:pos="930" w:val="left"/>
        </w:tabs>
        <w:ind w:hanging="360" w:left="928"/>
      </w:pPr>
      <w:rPr>
        <w:rFonts w:ascii="Symbol" w:hAnsi="Symbol"/>
      </w:rPr>
    </w:lvl>
    <w:lvl w:ilvl="1">
      <w:start w:val="1"/>
      <w:numFmt w:val="bullet"/>
      <w:lvlText w:val="o"/>
      <w:lvlJc w:val="left"/>
      <w:pPr>
        <w:widowControl w:val="1"/>
        <w:ind w:hanging="360" w:left="1440"/>
      </w:pPr>
      <w:rPr>
        <w:rFonts w:ascii="Courier New" w:hAnsi="Courier New"/>
      </w:rPr>
    </w:lvl>
    <w:lvl w:ilvl="2">
      <w:start w:val="1"/>
      <w:numFmt w:val="bullet"/>
      <w:lvlText w:val=""/>
      <w:lvlJc w:val="left"/>
      <w:pPr>
        <w:widowControl w:val="1"/>
        <w:ind w:hanging="360" w:left="2160"/>
      </w:pPr>
      <w:rPr>
        <w:rFonts w:ascii="Wingdings" w:hAnsi="Wingdings"/>
      </w:rPr>
    </w:lvl>
    <w:lvl w:ilvl="3">
      <w:start w:val="1"/>
      <w:numFmt w:val="bullet"/>
      <w:lvlText w:val=""/>
      <w:lvlJc w:val="left"/>
      <w:pPr>
        <w:widowControl w:val="1"/>
        <w:ind w:hanging="360" w:left="2880"/>
      </w:pPr>
      <w:rPr>
        <w:rFonts w:ascii="Symbol" w:hAnsi="Symbol"/>
      </w:rPr>
    </w:lvl>
    <w:lvl w:ilvl="4">
      <w:start w:val="1"/>
      <w:numFmt w:val="bullet"/>
      <w:lvlText w:val="o"/>
      <w:lvlJc w:val="left"/>
      <w:pPr>
        <w:widowControl w:val="1"/>
        <w:ind w:hanging="360" w:left="3600"/>
      </w:pPr>
      <w:rPr>
        <w:rFonts w:ascii="Courier New" w:hAnsi="Courier New"/>
      </w:rPr>
    </w:lvl>
    <w:lvl w:ilvl="5">
      <w:start w:val="1"/>
      <w:numFmt w:val="bullet"/>
      <w:lvlText w:val=""/>
      <w:lvlJc w:val="left"/>
      <w:pPr>
        <w:widowControl w:val="1"/>
        <w:ind w:hanging="360" w:left="4320"/>
      </w:pPr>
      <w:rPr>
        <w:rFonts w:ascii="Wingdings" w:hAnsi="Wingdings"/>
      </w:rPr>
    </w:lvl>
    <w:lvl w:ilvl="6">
      <w:start w:val="1"/>
      <w:numFmt w:val="bullet"/>
      <w:lvlText w:val=""/>
      <w:lvlJc w:val="left"/>
      <w:pPr>
        <w:widowControl w:val="1"/>
        <w:ind w:hanging="360" w:left="5040"/>
      </w:pPr>
      <w:rPr>
        <w:rFonts w:ascii="Symbol" w:hAnsi="Symbol"/>
      </w:rPr>
    </w:lvl>
    <w:lvl w:ilvl="7">
      <w:start w:val="1"/>
      <w:numFmt w:val="bullet"/>
      <w:lvlText w:val="o"/>
      <w:lvlJc w:val="left"/>
      <w:pPr>
        <w:widowControl w:val="1"/>
        <w:ind w:hanging="360" w:left="5760"/>
      </w:pPr>
      <w:rPr>
        <w:rFonts w:ascii="Courier New" w:hAnsi="Courier New"/>
      </w:rPr>
    </w:lvl>
    <w:lvl w:ilvl="8">
      <w:start w:val="1"/>
      <w:numFmt w:val="bullet"/>
      <w:lvlText w:val=""/>
      <w:lvlJc w:val="left"/>
      <w:pPr>
        <w:widowControl w:val="1"/>
        <w:ind w:hanging="360" w:left="6480"/>
      </w:pPr>
      <w:rPr>
        <w:rFonts w:ascii="Wingdings" w:hAnsi="Wingdings"/>
      </w:rPr>
    </w:lvl>
  </w:abstractNum>
  <w:abstractNum w:abstractNumId="4">
    <w:lvl w:ilvl="0">
      <w:start w:val="1"/>
      <w:numFmt w:val="bullet"/>
      <w:lvlText w:val=""/>
      <w:lvlJc w:val="left"/>
      <w:pPr>
        <w:widowControl w:val="1"/>
        <w:tabs>
          <w:tab w:leader="none" w:pos="1639" w:val="left"/>
        </w:tabs>
        <w:ind w:hanging="360" w:left="1637"/>
      </w:pPr>
      <w:rPr>
        <w:rFonts w:ascii="Symbol" w:hAnsi="Symbol"/>
      </w:rPr>
    </w:lvl>
    <w:lvl w:ilvl="1">
      <w:start w:val="1"/>
      <w:numFmt w:val="bullet"/>
      <w:lvlText w:val="o"/>
      <w:lvlJc w:val="left"/>
      <w:pPr>
        <w:widowControl w:val="1"/>
        <w:ind w:hanging="360" w:left="2149"/>
      </w:pPr>
      <w:rPr>
        <w:rFonts w:ascii="Courier New" w:hAnsi="Courier New"/>
      </w:rPr>
    </w:lvl>
    <w:lvl w:ilvl="2">
      <w:start w:val="1"/>
      <w:numFmt w:val="bullet"/>
      <w:lvlText w:val=""/>
      <w:lvlJc w:val="left"/>
      <w:pPr>
        <w:widowControl w:val="1"/>
        <w:ind w:hanging="360" w:left="2869"/>
      </w:pPr>
      <w:rPr>
        <w:rFonts w:ascii="Wingdings" w:hAnsi="Wingdings"/>
      </w:rPr>
    </w:lvl>
    <w:lvl w:ilvl="3">
      <w:start w:val="1"/>
      <w:numFmt w:val="bullet"/>
      <w:lvlText w:val=""/>
      <w:lvlJc w:val="left"/>
      <w:pPr>
        <w:widowControl w:val="1"/>
        <w:ind w:hanging="360" w:left="3589"/>
      </w:pPr>
      <w:rPr>
        <w:rFonts w:ascii="Symbol" w:hAnsi="Symbol"/>
      </w:rPr>
    </w:lvl>
    <w:lvl w:ilvl="4">
      <w:start w:val="1"/>
      <w:numFmt w:val="bullet"/>
      <w:lvlText w:val="o"/>
      <w:lvlJc w:val="left"/>
      <w:pPr>
        <w:widowControl w:val="1"/>
        <w:ind w:hanging="360" w:left="4309"/>
      </w:pPr>
      <w:rPr>
        <w:rFonts w:ascii="Courier New" w:hAnsi="Courier New"/>
      </w:rPr>
    </w:lvl>
    <w:lvl w:ilvl="5">
      <w:start w:val="1"/>
      <w:numFmt w:val="bullet"/>
      <w:lvlText w:val=""/>
      <w:lvlJc w:val="left"/>
      <w:pPr>
        <w:widowControl w:val="1"/>
        <w:ind w:hanging="360" w:left="5029"/>
      </w:pPr>
      <w:rPr>
        <w:rFonts w:ascii="Wingdings" w:hAnsi="Wingdings"/>
      </w:rPr>
    </w:lvl>
    <w:lvl w:ilvl="6">
      <w:start w:val="1"/>
      <w:numFmt w:val="bullet"/>
      <w:lvlText w:val=""/>
      <w:lvlJc w:val="left"/>
      <w:pPr>
        <w:widowControl w:val="1"/>
        <w:ind w:hanging="360" w:left="5749"/>
      </w:pPr>
      <w:rPr>
        <w:rFonts w:ascii="Symbol" w:hAnsi="Symbol"/>
      </w:rPr>
    </w:lvl>
    <w:lvl w:ilvl="7">
      <w:start w:val="1"/>
      <w:numFmt w:val="bullet"/>
      <w:lvlText w:val="o"/>
      <w:lvlJc w:val="left"/>
      <w:pPr>
        <w:widowControl w:val="1"/>
        <w:ind w:hanging="360" w:left="6469"/>
      </w:pPr>
      <w:rPr>
        <w:rFonts w:ascii="Courier New" w:hAnsi="Courier New"/>
      </w:rPr>
    </w:lvl>
    <w:lvl w:ilvl="8">
      <w:start w:val="1"/>
      <w:numFmt w:val="bullet"/>
      <w:lvlText w:val=""/>
      <w:lvlJc w:val="left"/>
      <w:pPr>
        <w:widowControl w:val="1"/>
        <w:ind w:hanging="360" w:left="7189"/>
      </w:pPr>
      <w:rPr>
        <w:rFonts w:ascii="Wingdings" w:hAnsi="Wingdings"/>
      </w:rPr>
    </w:lvl>
  </w:abstractNum>
  <w:abstractNum w:abstractNumId="5">
    <w:lvl w:ilvl="0">
      <w:start w:val="1"/>
      <w:numFmt w:val="bullet"/>
      <w:lvlText w:val=""/>
      <w:lvlJc w:val="left"/>
      <w:pPr>
        <w:widowControl w:val="1"/>
        <w:tabs>
          <w:tab w:leader="none" w:pos="1639" w:val="left"/>
        </w:tabs>
        <w:ind w:hanging="360" w:left="1637"/>
      </w:pPr>
      <w:rPr>
        <w:rFonts w:ascii="Symbol" w:hAnsi="Symbol"/>
      </w:rPr>
    </w:lvl>
    <w:lvl w:ilvl="1">
      <w:start w:val="1"/>
      <w:numFmt w:val="bullet"/>
      <w:lvlText w:val="o"/>
      <w:lvlJc w:val="left"/>
      <w:pPr>
        <w:widowControl w:val="1"/>
        <w:ind w:hanging="360" w:left="2149"/>
      </w:pPr>
      <w:rPr>
        <w:rFonts w:ascii="Courier New" w:hAnsi="Courier New"/>
      </w:rPr>
    </w:lvl>
    <w:lvl w:ilvl="2">
      <w:start w:val="1"/>
      <w:numFmt w:val="bullet"/>
      <w:lvlText w:val=""/>
      <w:lvlJc w:val="left"/>
      <w:pPr>
        <w:widowControl w:val="1"/>
        <w:ind w:hanging="360" w:left="2869"/>
      </w:pPr>
      <w:rPr>
        <w:rFonts w:ascii="Wingdings" w:hAnsi="Wingdings"/>
      </w:rPr>
    </w:lvl>
    <w:lvl w:ilvl="3">
      <w:start w:val="1"/>
      <w:numFmt w:val="bullet"/>
      <w:lvlText w:val=""/>
      <w:lvlJc w:val="left"/>
      <w:pPr>
        <w:widowControl w:val="1"/>
        <w:ind w:hanging="360" w:left="3589"/>
      </w:pPr>
      <w:rPr>
        <w:rFonts w:ascii="Symbol" w:hAnsi="Symbol"/>
      </w:rPr>
    </w:lvl>
    <w:lvl w:ilvl="4">
      <w:start w:val="1"/>
      <w:numFmt w:val="bullet"/>
      <w:lvlText w:val="o"/>
      <w:lvlJc w:val="left"/>
      <w:pPr>
        <w:widowControl w:val="1"/>
        <w:ind w:hanging="360" w:left="4309"/>
      </w:pPr>
      <w:rPr>
        <w:rFonts w:ascii="Courier New" w:hAnsi="Courier New"/>
      </w:rPr>
    </w:lvl>
    <w:lvl w:ilvl="5">
      <w:start w:val="1"/>
      <w:numFmt w:val="bullet"/>
      <w:lvlText w:val=""/>
      <w:lvlJc w:val="left"/>
      <w:pPr>
        <w:widowControl w:val="1"/>
        <w:ind w:hanging="360" w:left="5029"/>
      </w:pPr>
      <w:rPr>
        <w:rFonts w:ascii="Wingdings" w:hAnsi="Wingdings"/>
      </w:rPr>
    </w:lvl>
    <w:lvl w:ilvl="6">
      <w:start w:val="1"/>
      <w:numFmt w:val="bullet"/>
      <w:lvlText w:val=""/>
      <w:lvlJc w:val="left"/>
      <w:pPr>
        <w:widowControl w:val="1"/>
        <w:ind w:hanging="360" w:left="5749"/>
      </w:pPr>
      <w:rPr>
        <w:rFonts w:ascii="Symbol" w:hAnsi="Symbol"/>
      </w:rPr>
    </w:lvl>
    <w:lvl w:ilvl="7">
      <w:start w:val="1"/>
      <w:numFmt w:val="bullet"/>
      <w:lvlText w:val="o"/>
      <w:lvlJc w:val="left"/>
      <w:pPr>
        <w:widowControl w:val="1"/>
        <w:ind w:hanging="360" w:left="6469"/>
      </w:pPr>
      <w:rPr>
        <w:rFonts w:ascii="Courier New" w:hAnsi="Courier New"/>
      </w:rPr>
    </w:lvl>
    <w:lvl w:ilvl="8">
      <w:start w:val="1"/>
      <w:numFmt w:val="bullet"/>
      <w:lvlText w:val=""/>
      <w:lvlJc w:val="left"/>
      <w:pPr>
        <w:widowControl w:val="1"/>
        <w:ind w:hanging="360" w:left="7189"/>
      </w:pPr>
      <w:rPr>
        <w:rFonts w:ascii="Wingdings" w:hAnsi="Wingdings"/>
      </w:rPr>
    </w:lvl>
  </w:abstractNum>
  <w:abstractNum w:abstractNumId="6">
    <w:lvl w:ilvl="0">
      <w:start w:val="1"/>
      <w:numFmt w:val="bullet"/>
      <w:lvlText w:val=""/>
      <w:lvlJc w:val="left"/>
      <w:pPr>
        <w:widowControl w:val="1"/>
        <w:tabs>
          <w:tab w:leader="none" w:pos="720" w:val="left"/>
        </w:tabs>
        <w:ind w:hanging="360" w:left="720"/>
      </w:pPr>
      <w:rPr>
        <w:rFonts w:ascii="Symbol" w:hAnsi="Symbol"/>
        <w:sz w:val="24"/>
      </w:rPr>
    </w:lvl>
    <w:lvl w:ilvl="1">
      <w:start w:val="1"/>
      <w:numFmt w:val="decimal"/>
      <w:lvlText w:val="%2."/>
      <w:lvlJc w:val="left"/>
      <w:pPr>
        <w:widowControl w:val="1"/>
        <w:tabs>
          <w:tab w:leader="none" w:pos="1440" w:val="left"/>
        </w:tabs>
        <w:ind w:hanging="360" w:left="1440"/>
      </w:pPr>
    </w:lvl>
    <w:lvl w:ilvl="2">
      <w:start w:val="1"/>
      <w:numFmt w:val="bullet"/>
      <w:lvlText w:val=""/>
      <w:lvlJc w:val="left"/>
      <w:pPr>
        <w:widowControl w:val="1"/>
        <w:tabs>
          <w:tab w:leader="none" w:pos="2160" w:val="left"/>
        </w:tabs>
        <w:ind w:hanging="360" w:left="2160"/>
      </w:pPr>
      <w:rPr>
        <w:rFonts w:ascii="Wingdings" w:hAnsi="Wingdings"/>
      </w:rPr>
    </w:lvl>
    <w:lvl w:ilvl="3">
      <w:start w:val="1"/>
      <w:numFmt w:val="bullet"/>
      <w:lvlText w:val=""/>
      <w:lvlJc w:val="left"/>
      <w:pPr>
        <w:widowControl w:val="1"/>
        <w:tabs>
          <w:tab w:leader="none" w:pos="2880" w:val="left"/>
        </w:tabs>
        <w:ind w:hanging="360" w:left="2880"/>
      </w:pPr>
      <w:rPr>
        <w:rFonts w:ascii="Symbol" w:hAnsi="Symbol"/>
      </w:rPr>
    </w:lvl>
    <w:lvl w:ilvl="4">
      <w:start w:val="1"/>
      <w:numFmt w:val="bullet"/>
      <w:lvlText w:val="o"/>
      <w:lvlJc w:val="left"/>
      <w:pPr>
        <w:widowControl w:val="1"/>
        <w:tabs>
          <w:tab w:leader="none" w:pos="3600" w:val="left"/>
        </w:tabs>
        <w:ind w:hanging="360" w:left="3600"/>
      </w:pPr>
      <w:rPr>
        <w:rFonts w:ascii="Courier New" w:hAnsi="Courier New"/>
      </w:rPr>
    </w:lvl>
    <w:lvl w:ilvl="5">
      <w:start w:val="1"/>
      <w:numFmt w:val="bullet"/>
      <w:lvlText w:val=""/>
      <w:lvlJc w:val="left"/>
      <w:pPr>
        <w:widowControl w:val="1"/>
        <w:tabs>
          <w:tab w:leader="none" w:pos="4320" w:val="left"/>
        </w:tabs>
        <w:ind w:hanging="360" w:left="4320"/>
      </w:pPr>
      <w:rPr>
        <w:rFonts w:ascii="Wingdings" w:hAnsi="Wingdings"/>
      </w:rPr>
    </w:lvl>
    <w:lvl w:ilvl="6">
      <w:start w:val="1"/>
      <w:numFmt w:val="bullet"/>
      <w:lvlText w:val=""/>
      <w:lvlJc w:val="left"/>
      <w:pPr>
        <w:widowControl w:val="1"/>
        <w:tabs>
          <w:tab w:leader="none" w:pos="5040" w:val="left"/>
        </w:tabs>
        <w:ind w:hanging="360" w:left="5040"/>
      </w:pPr>
      <w:rPr>
        <w:rFonts w:ascii="Symbol" w:hAnsi="Symbol"/>
      </w:rPr>
    </w:lvl>
    <w:lvl w:ilvl="7">
      <w:start w:val="1"/>
      <w:numFmt w:val="bullet"/>
      <w:lvlText w:val="o"/>
      <w:lvlJc w:val="left"/>
      <w:pPr>
        <w:widowControl w:val="1"/>
        <w:tabs>
          <w:tab w:leader="none" w:pos="5760" w:val="left"/>
        </w:tabs>
        <w:ind w:hanging="360" w:left="5760"/>
      </w:pPr>
      <w:rPr>
        <w:rFonts w:ascii="Courier New" w:hAnsi="Courier New"/>
      </w:rPr>
    </w:lvl>
    <w:lvl w:ilvl="8">
      <w:start w:val="1"/>
      <w:numFmt w:val="bullet"/>
      <w:lvlText w:val=""/>
      <w:lvlJc w:val="left"/>
      <w:pPr>
        <w:widowControl w:val="1"/>
        <w:tabs>
          <w:tab w:leader="none" w:pos="6480" w:val="left"/>
        </w:tabs>
        <w:ind w:hanging="360" w:left="6480"/>
      </w:pPr>
      <w:rPr>
        <w:rFonts w:ascii="Wingdings" w:hAnsi="Wingdings"/>
      </w:rPr>
    </w:lvl>
  </w:abstractNum>
  <w:abstractNum w:abstractNumId="7">
    <w:lvl w:ilvl="0">
      <w:start w:val="1"/>
      <w:numFmt w:val="bullet"/>
      <w:lvlText w:val=""/>
      <w:lvlJc w:val="left"/>
      <w:pPr>
        <w:widowControl w:val="1"/>
        <w:ind w:hanging="360" w:left="720"/>
      </w:pPr>
      <w:rPr>
        <w:rFonts w:ascii="Wingdings" w:hAnsi="Wingdings"/>
      </w:rPr>
    </w:lvl>
    <w:lvl w:ilvl="1">
      <w:start w:val="1"/>
      <w:numFmt w:val="bullet"/>
      <w:lvlText w:val="o"/>
      <w:lvlJc w:val="left"/>
      <w:pPr>
        <w:widowControl w:val="1"/>
        <w:ind w:hanging="360" w:left="1440"/>
      </w:pPr>
      <w:rPr>
        <w:rFonts w:ascii="Courier New" w:hAnsi="Courier New"/>
      </w:rPr>
    </w:lvl>
    <w:lvl w:ilvl="2">
      <w:start w:val="1"/>
      <w:numFmt w:val="bullet"/>
      <w:lvlText w:val=""/>
      <w:lvlJc w:val="left"/>
      <w:pPr>
        <w:widowControl w:val="1"/>
        <w:ind w:hanging="360" w:left="2160"/>
      </w:pPr>
      <w:rPr>
        <w:rFonts w:ascii="Wingdings" w:hAnsi="Wingdings"/>
      </w:rPr>
    </w:lvl>
    <w:lvl w:ilvl="3">
      <w:start w:val="1"/>
      <w:numFmt w:val="bullet"/>
      <w:lvlText w:val=""/>
      <w:lvlJc w:val="left"/>
      <w:pPr>
        <w:widowControl w:val="1"/>
        <w:ind w:hanging="360" w:left="2880"/>
      </w:pPr>
      <w:rPr>
        <w:rFonts w:ascii="Symbol" w:hAnsi="Symbol"/>
      </w:rPr>
    </w:lvl>
    <w:lvl w:ilvl="4">
      <w:start w:val="1"/>
      <w:numFmt w:val="bullet"/>
      <w:lvlText w:val="o"/>
      <w:lvlJc w:val="left"/>
      <w:pPr>
        <w:widowControl w:val="1"/>
        <w:ind w:hanging="360" w:left="3600"/>
      </w:pPr>
      <w:rPr>
        <w:rFonts w:ascii="Courier New" w:hAnsi="Courier New"/>
      </w:rPr>
    </w:lvl>
    <w:lvl w:ilvl="5">
      <w:start w:val="1"/>
      <w:numFmt w:val="bullet"/>
      <w:lvlText w:val=""/>
      <w:lvlJc w:val="left"/>
      <w:pPr>
        <w:widowControl w:val="1"/>
        <w:ind w:hanging="360" w:left="4320"/>
      </w:pPr>
      <w:rPr>
        <w:rFonts w:ascii="Wingdings" w:hAnsi="Wingdings"/>
      </w:rPr>
    </w:lvl>
    <w:lvl w:ilvl="6">
      <w:start w:val="1"/>
      <w:numFmt w:val="bullet"/>
      <w:lvlText w:val=""/>
      <w:lvlJc w:val="left"/>
      <w:pPr>
        <w:widowControl w:val="1"/>
        <w:ind w:hanging="360" w:left="5040"/>
      </w:pPr>
      <w:rPr>
        <w:rFonts w:ascii="Symbol" w:hAnsi="Symbol"/>
      </w:rPr>
    </w:lvl>
    <w:lvl w:ilvl="7">
      <w:start w:val="1"/>
      <w:numFmt w:val="bullet"/>
      <w:lvlText w:val="o"/>
      <w:lvlJc w:val="left"/>
      <w:pPr>
        <w:widowControl w:val="1"/>
        <w:ind w:hanging="360" w:left="5760"/>
      </w:pPr>
      <w:rPr>
        <w:rFonts w:ascii="Courier New" w:hAnsi="Courier New"/>
      </w:rPr>
    </w:lvl>
    <w:lvl w:ilvl="8">
      <w:start w:val="1"/>
      <w:numFmt w:val="bullet"/>
      <w:lvlText w:val=""/>
      <w:lvlJc w:val="left"/>
      <w:pPr>
        <w:widowControl w:val="1"/>
        <w:ind w:hanging="360" w:left="6480"/>
      </w:pPr>
      <w:rPr>
        <w:rFonts w:ascii="Wingdings" w:hAnsi="Wingdings"/>
      </w:rPr>
    </w:lvl>
  </w:abstractNum>
  <w:abstractNum w:abstractNumId="8">
    <w:lvl w:ilvl="0">
      <w:start w:val="1"/>
      <w:numFmt w:val="bullet"/>
      <w:lvlText w:val=""/>
      <w:lvlJc w:val="left"/>
      <w:pPr>
        <w:widowControl w:val="1"/>
        <w:tabs>
          <w:tab w:leader="none" w:pos="1639" w:val="left"/>
        </w:tabs>
        <w:ind w:hanging="360" w:left="1637"/>
      </w:pPr>
      <w:rPr>
        <w:rFonts w:ascii="Symbol" w:hAnsi="Symbol"/>
      </w:rPr>
    </w:lvl>
    <w:lvl w:ilvl="1">
      <w:start w:val="1"/>
      <w:numFmt w:val="bullet"/>
      <w:lvlText w:val="o"/>
      <w:lvlJc w:val="left"/>
      <w:pPr>
        <w:widowControl w:val="1"/>
        <w:ind w:hanging="360" w:left="2149"/>
      </w:pPr>
      <w:rPr>
        <w:rFonts w:ascii="Courier New" w:hAnsi="Courier New"/>
      </w:rPr>
    </w:lvl>
    <w:lvl w:ilvl="2">
      <w:start w:val="1"/>
      <w:numFmt w:val="bullet"/>
      <w:lvlText w:val=""/>
      <w:lvlJc w:val="left"/>
      <w:pPr>
        <w:widowControl w:val="1"/>
        <w:ind w:hanging="360" w:left="2869"/>
      </w:pPr>
      <w:rPr>
        <w:rFonts w:ascii="Wingdings" w:hAnsi="Wingdings"/>
      </w:rPr>
    </w:lvl>
    <w:lvl w:ilvl="3">
      <w:start w:val="1"/>
      <w:numFmt w:val="bullet"/>
      <w:lvlText w:val=""/>
      <w:lvlJc w:val="left"/>
      <w:pPr>
        <w:widowControl w:val="1"/>
        <w:ind w:hanging="360" w:left="3589"/>
      </w:pPr>
      <w:rPr>
        <w:rFonts w:ascii="Symbol" w:hAnsi="Symbol"/>
      </w:rPr>
    </w:lvl>
    <w:lvl w:ilvl="4">
      <w:start w:val="1"/>
      <w:numFmt w:val="bullet"/>
      <w:lvlText w:val="o"/>
      <w:lvlJc w:val="left"/>
      <w:pPr>
        <w:widowControl w:val="1"/>
        <w:ind w:hanging="360" w:left="4309"/>
      </w:pPr>
      <w:rPr>
        <w:rFonts w:ascii="Courier New" w:hAnsi="Courier New"/>
      </w:rPr>
    </w:lvl>
    <w:lvl w:ilvl="5">
      <w:start w:val="1"/>
      <w:numFmt w:val="bullet"/>
      <w:lvlText w:val=""/>
      <w:lvlJc w:val="left"/>
      <w:pPr>
        <w:widowControl w:val="1"/>
        <w:ind w:hanging="360" w:left="5029"/>
      </w:pPr>
      <w:rPr>
        <w:rFonts w:ascii="Wingdings" w:hAnsi="Wingdings"/>
      </w:rPr>
    </w:lvl>
    <w:lvl w:ilvl="6">
      <w:start w:val="1"/>
      <w:numFmt w:val="bullet"/>
      <w:lvlText w:val=""/>
      <w:lvlJc w:val="left"/>
      <w:pPr>
        <w:widowControl w:val="1"/>
        <w:ind w:hanging="360" w:left="5749"/>
      </w:pPr>
      <w:rPr>
        <w:rFonts w:ascii="Symbol" w:hAnsi="Symbol"/>
      </w:rPr>
    </w:lvl>
    <w:lvl w:ilvl="7">
      <w:start w:val="1"/>
      <w:numFmt w:val="bullet"/>
      <w:lvlText w:val="o"/>
      <w:lvlJc w:val="left"/>
      <w:pPr>
        <w:widowControl w:val="1"/>
        <w:ind w:hanging="360" w:left="6469"/>
      </w:pPr>
      <w:rPr>
        <w:rFonts w:ascii="Courier New" w:hAnsi="Courier New"/>
      </w:rPr>
    </w:lvl>
    <w:lvl w:ilvl="8">
      <w:start w:val="1"/>
      <w:numFmt w:val="bullet"/>
      <w:lvlText w:val=""/>
      <w:lvlJc w:val="left"/>
      <w:pPr>
        <w:widowControl w:val="1"/>
        <w:ind w:hanging="360" w:left="7189"/>
      </w:pPr>
      <w:rPr>
        <w:rFonts w:ascii="Wingdings" w:hAnsi="Wingdings"/>
      </w:rPr>
    </w:lvl>
  </w:abstractNum>
  <w:abstractNum w:abstractNumId="9">
    <w:lvl w:ilvl="0">
      <w:start w:val="1"/>
      <w:numFmt w:val="decimal"/>
      <w:lvlText w:val="%1."/>
      <w:lvlJc w:val="left"/>
      <w:pPr>
        <w:widowControl w:val="1"/>
        <w:tabs>
          <w:tab w:leader="none" w:pos="720" w:val="left"/>
        </w:tabs>
        <w:ind w:hanging="360" w:left="720"/>
      </w:pPr>
    </w:lvl>
    <w:lvl w:ilvl="1">
      <w:start w:val="1"/>
      <w:numFmt w:val="lowerLetter"/>
      <w:lvlText w:val="%2."/>
      <w:lvlJc w:val="left"/>
      <w:pPr>
        <w:widowControl w:val="1"/>
        <w:tabs>
          <w:tab w:leader="none" w:pos="1440" w:val="left"/>
        </w:tabs>
        <w:ind w:hanging="360" w:left="1440"/>
      </w:pPr>
    </w:lvl>
    <w:lvl w:ilvl="2">
      <w:start w:val="1"/>
      <w:numFmt w:val="lowerRoman"/>
      <w:lvlText w:val="%3."/>
      <w:lvlJc w:val="right"/>
      <w:pPr>
        <w:widowControl w:val="1"/>
        <w:tabs>
          <w:tab w:leader="none" w:pos="2160" w:val="left"/>
        </w:tabs>
        <w:ind w:hanging="180" w:left="2160"/>
      </w:pPr>
    </w:lvl>
    <w:lvl w:ilvl="3">
      <w:start w:val="1"/>
      <w:numFmt w:val="decimal"/>
      <w:lvlText w:val="%4."/>
      <w:lvlJc w:val="left"/>
      <w:pPr>
        <w:widowControl w:val="1"/>
        <w:tabs>
          <w:tab w:leader="none" w:pos="1070" w:val="left"/>
        </w:tabs>
        <w:ind w:hanging="360" w:left="1070"/>
      </w:pPr>
    </w:lvl>
    <w:lvl w:ilvl="4">
      <w:start w:val="1"/>
      <w:numFmt w:val="lowerLetter"/>
      <w:lvlText w:val="%5."/>
      <w:lvlJc w:val="left"/>
      <w:pPr>
        <w:widowControl w:val="1"/>
        <w:tabs>
          <w:tab w:leader="none" w:pos="3600" w:val="left"/>
        </w:tabs>
        <w:ind w:hanging="360" w:left="3600"/>
      </w:pPr>
    </w:lvl>
    <w:lvl w:ilvl="5">
      <w:start w:val="1"/>
      <w:numFmt w:val="lowerRoman"/>
      <w:lvlText w:val="%6."/>
      <w:lvlJc w:val="right"/>
      <w:pPr>
        <w:widowControl w:val="1"/>
        <w:tabs>
          <w:tab w:leader="none" w:pos="4320" w:val="left"/>
        </w:tabs>
        <w:ind w:hanging="180" w:left="4320"/>
      </w:pPr>
    </w:lvl>
    <w:lvl w:ilvl="6">
      <w:start w:val="1"/>
      <w:numFmt w:val="decimal"/>
      <w:lvlText w:val="%7."/>
      <w:lvlJc w:val="left"/>
      <w:pPr>
        <w:widowControl w:val="1"/>
        <w:tabs>
          <w:tab w:leader="none" w:pos="5040" w:val="left"/>
        </w:tabs>
        <w:ind w:hanging="360" w:left="5040"/>
      </w:pPr>
    </w:lvl>
    <w:lvl w:ilvl="7">
      <w:start w:val="1"/>
      <w:numFmt w:val="lowerLetter"/>
      <w:lvlText w:val="%8."/>
      <w:lvlJc w:val="left"/>
      <w:pPr>
        <w:widowControl w:val="1"/>
        <w:tabs>
          <w:tab w:leader="none" w:pos="5760" w:val="left"/>
        </w:tabs>
        <w:ind w:hanging="360" w:left="5760"/>
      </w:pPr>
    </w:lvl>
    <w:lvl w:ilvl="8">
      <w:start w:val="1"/>
      <w:numFmt w:val="lowerRoman"/>
      <w:lvlText w:val="%9."/>
      <w:lvlJc w:val="right"/>
      <w:pPr>
        <w:widowControl w:val="1"/>
        <w:tabs>
          <w:tab w:leader="none" w:pos="6480" w:val="left"/>
        </w:tabs>
        <w:ind w:hanging="180" w:left="6480"/>
      </w:pPr>
    </w:lvl>
  </w:abstractNum>
  <w:abstractNum w:abstractNumId="10">
    <w:lvl w:ilvl="0">
      <w:start w:val="1"/>
      <w:numFmt w:val="bullet"/>
      <w:lvlText w:val=""/>
      <w:lvlJc w:val="left"/>
      <w:pPr>
        <w:widowControl w:val="1"/>
        <w:tabs>
          <w:tab w:leader="none" w:pos="360" w:val="left"/>
        </w:tabs>
        <w:ind w:hanging="360" w:left="360"/>
      </w:pPr>
      <w:rPr>
        <w:rFonts w:ascii="Symbol" w:hAnsi="Symbol"/>
        <w:color w:val="000000"/>
      </w:rPr>
    </w:lvl>
  </w:abstractNum>
  <w:abstractNum w:abstractNumId="11">
    <w:lvl w:ilvl="0">
      <w:start w:val="1"/>
      <w:numFmt w:val="bullet"/>
      <w:lvlText w:val=""/>
      <w:lvlJc w:val="left"/>
      <w:pPr>
        <w:widowControl w:val="1"/>
        <w:tabs>
          <w:tab w:leader="none" w:pos="786" w:val="left"/>
        </w:tabs>
        <w:ind w:hanging="360" w:left="786"/>
      </w:pPr>
      <w:rPr>
        <w:rFonts w:ascii="Symbol" w:hAnsi="Symbol"/>
      </w:rPr>
    </w:lvl>
    <w:lvl w:ilvl="1">
      <w:start w:val="1"/>
      <w:numFmt w:val="bullet"/>
      <w:lvlText w:val="o"/>
      <w:lvlJc w:val="left"/>
      <w:pPr>
        <w:widowControl w:val="1"/>
        <w:tabs>
          <w:tab w:leader="none" w:pos="1506" w:val="left"/>
        </w:tabs>
        <w:ind w:hanging="360" w:left="1506"/>
      </w:pPr>
      <w:rPr>
        <w:rFonts w:ascii="Courier New" w:hAnsi="Courier New"/>
      </w:rPr>
    </w:lvl>
    <w:lvl w:ilvl="2">
      <w:start w:val="1"/>
      <w:numFmt w:val="bullet"/>
      <w:lvlText w:val=""/>
      <w:lvlJc w:val="left"/>
      <w:pPr>
        <w:widowControl w:val="1"/>
        <w:tabs>
          <w:tab w:leader="none" w:pos="2226" w:val="left"/>
        </w:tabs>
        <w:ind w:hanging="360" w:left="2226"/>
      </w:pPr>
      <w:rPr>
        <w:rFonts w:ascii="Wingdings" w:hAnsi="Wingdings"/>
      </w:rPr>
    </w:lvl>
    <w:lvl w:ilvl="3">
      <w:start w:val="1"/>
      <w:numFmt w:val="bullet"/>
      <w:lvlText w:val=""/>
      <w:lvlJc w:val="left"/>
      <w:pPr>
        <w:widowControl w:val="1"/>
        <w:tabs>
          <w:tab w:leader="none" w:pos="2946" w:val="left"/>
        </w:tabs>
        <w:ind w:hanging="360" w:left="2946"/>
      </w:pPr>
      <w:rPr>
        <w:rFonts w:ascii="Symbol" w:hAnsi="Symbol"/>
      </w:rPr>
    </w:lvl>
    <w:lvl w:ilvl="4">
      <w:start w:val="1"/>
      <w:numFmt w:val="bullet"/>
      <w:lvlText w:val="o"/>
      <w:lvlJc w:val="left"/>
      <w:pPr>
        <w:widowControl w:val="1"/>
        <w:tabs>
          <w:tab w:leader="none" w:pos="3666" w:val="left"/>
        </w:tabs>
        <w:ind w:hanging="360" w:left="3666"/>
      </w:pPr>
      <w:rPr>
        <w:rFonts w:ascii="Courier New" w:hAnsi="Courier New"/>
      </w:rPr>
    </w:lvl>
    <w:lvl w:ilvl="5">
      <w:start w:val="1"/>
      <w:numFmt w:val="bullet"/>
      <w:lvlText w:val=""/>
      <w:lvlJc w:val="left"/>
      <w:pPr>
        <w:widowControl w:val="1"/>
        <w:tabs>
          <w:tab w:leader="none" w:pos="4386" w:val="left"/>
        </w:tabs>
        <w:ind w:hanging="360" w:left="4386"/>
      </w:pPr>
      <w:rPr>
        <w:rFonts w:ascii="Wingdings" w:hAnsi="Wingdings"/>
      </w:rPr>
    </w:lvl>
    <w:lvl w:ilvl="6">
      <w:start w:val="1"/>
      <w:numFmt w:val="bullet"/>
      <w:lvlText w:val=""/>
      <w:lvlJc w:val="left"/>
      <w:pPr>
        <w:widowControl w:val="1"/>
        <w:tabs>
          <w:tab w:leader="none" w:pos="5106" w:val="left"/>
        </w:tabs>
        <w:ind w:hanging="360" w:left="5106"/>
      </w:pPr>
      <w:rPr>
        <w:rFonts w:ascii="Symbol" w:hAnsi="Symbol"/>
      </w:rPr>
    </w:lvl>
    <w:lvl w:ilvl="7">
      <w:start w:val="1"/>
      <w:numFmt w:val="bullet"/>
      <w:lvlText w:val="o"/>
      <w:lvlJc w:val="left"/>
      <w:pPr>
        <w:widowControl w:val="1"/>
        <w:tabs>
          <w:tab w:leader="none" w:pos="5826" w:val="left"/>
        </w:tabs>
        <w:ind w:hanging="360" w:left="5826"/>
      </w:pPr>
      <w:rPr>
        <w:rFonts w:ascii="Courier New" w:hAnsi="Courier New"/>
      </w:rPr>
    </w:lvl>
    <w:lvl w:ilvl="8">
      <w:start w:val="1"/>
      <w:numFmt w:val="bullet"/>
      <w:lvlText w:val=""/>
      <w:lvlJc w:val="left"/>
      <w:pPr>
        <w:widowControl w:val="1"/>
        <w:tabs>
          <w:tab w:leader="none" w:pos="6546" w:val="left"/>
        </w:tabs>
        <w:ind w:hanging="360" w:left="6546"/>
      </w:pPr>
      <w:rPr>
        <w:rFonts w:ascii="Wingdings" w:hAnsi="Wingdings"/>
      </w:rPr>
    </w:lvl>
  </w:abstractNum>
  <w:abstractNum w:abstractNumId="12">
    <w:lvl w:ilvl="0">
      <w:start w:val="1"/>
      <w:numFmt w:val="bullet"/>
      <w:lvlText w:val=""/>
      <w:lvlJc w:val="left"/>
      <w:pPr>
        <w:widowControl w:val="1"/>
        <w:tabs>
          <w:tab w:leader="none" w:pos="720" w:val="left"/>
        </w:tabs>
        <w:ind w:hanging="360" w:left="720"/>
      </w:pPr>
      <w:rPr>
        <w:rFonts w:ascii="Symbol" w:hAnsi="Symbol"/>
      </w:rPr>
    </w:lvl>
    <w:lvl w:ilvl="1">
      <w:start w:val="1"/>
      <w:numFmt w:val="bullet"/>
      <w:lvlText w:val="o"/>
      <w:lvlJc w:val="left"/>
      <w:pPr>
        <w:widowControl w:val="1"/>
        <w:tabs>
          <w:tab w:leader="none" w:pos="1440" w:val="left"/>
        </w:tabs>
        <w:ind w:hanging="360" w:left="1440"/>
      </w:pPr>
      <w:rPr>
        <w:rFonts w:ascii="Courier New" w:hAnsi="Courier New"/>
      </w:rPr>
    </w:lvl>
    <w:lvl w:ilvl="2">
      <w:start w:val="1"/>
      <w:numFmt w:val="bullet"/>
      <w:lvlText w:val=""/>
      <w:lvlJc w:val="left"/>
      <w:pPr>
        <w:widowControl w:val="1"/>
        <w:tabs>
          <w:tab w:leader="none" w:pos="2160" w:val="left"/>
        </w:tabs>
        <w:ind w:hanging="360" w:left="2160"/>
      </w:pPr>
      <w:rPr>
        <w:rFonts w:ascii="Wingdings" w:hAnsi="Wingdings"/>
      </w:rPr>
    </w:lvl>
    <w:lvl w:ilvl="3">
      <w:start w:val="1"/>
      <w:numFmt w:val="bullet"/>
      <w:lvlText w:val=""/>
      <w:lvlJc w:val="left"/>
      <w:pPr>
        <w:widowControl w:val="1"/>
        <w:tabs>
          <w:tab w:leader="none" w:pos="2880" w:val="left"/>
        </w:tabs>
        <w:ind w:hanging="360" w:left="2880"/>
      </w:pPr>
      <w:rPr>
        <w:rFonts w:ascii="Symbol" w:hAnsi="Symbol"/>
      </w:rPr>
    </w:lvl>
    <w:lvl w:ilvl="4">
      <w:start w:val="1"/>
      <w:numFmt w:val="bullet"/>
      <w:lvlText w:val="o"/>
      <w:lvlJc w:val="left"/>
      <w:pPr>
        <w:widowControl w:val="1"/>
        <w:tabs>
          <w:tab w:leader="none" w:pos="3600" w:val="left"/>
        </w:tabs>
        <w:ind w:hanging="360" w:left="3600"/>
      </w:pPr>
      <w:rPr>
        <w:rFonts w:ascii="Courier New" w:hAnsi="Courier New"/>
      </w:rPr>
    </w:lvl>
    <w:lvl w:ilvl="5">
      <w:start w:val="1"/>
      <w:numFmt w:val="bullet"/>
      <w:lvlText w:val=""/>
      <w:lvlJc w:val="left"/>
      <w:pPr>
        <w:widowControl w:val="1"/>
        <w:tabs>
          <w:tab w:leader="none" w:pos="4320" w:val="left"/>
        </w:tabs>
        <w:ind w:hanging="360" w:left="4320"/>
      </w:pPr>
      <w:rPr>
        <w:rFonts w:ascii="Wingdings" w:hAnsi="Wingdings"/>
      </w:rPr>
    </w:lvl>
    <w:lvl w:ilvl="6">
      <w:start w:val="1"/>
      <w:numFmt w:val="bullet"/>
      <w:lvlText w:val=""/>
      <w:lvlJc w:val="left"/>
      <w:pPr>
        <w:widowControl w:val="1"/>
        <w:tabs>
          <w:tab w:leader="none" w:pos="5040" w:val="left"/>
        </w:tabs>
        <w:ind w:hanging="360" w:left="5040"/>
      </w:pPr>
      <w:rPr>
        <w:rFonts w:ascii="Symbol" w:hAnsi="Symbol"/>
      </w:rPr>
    </w:lvl>
    <w:lvl w:ilvl="7">
      <w:start w:val="1"/>
      <w:numFmt w:val="bullet"/>
      <w:lvlText w:val="o"/>
      <w:lvlJc w:val="left"/>
      <w:pPr>
        <w:widowControl w:val="1"/>
        <w:tabs>
          <w:tab w:leader="none" w:pos="5760" w:val="left"/>
        </w:tabs>
        <w:ind w:hanging="360" w:left="5760"/>
      </w:pPr>
      <w:rPr>
        <w:rFonts w:ascii="Courier New" w:hAnsi="Courier New"/>
      </w:rPr>
    </w:lvl>
    <w:lvl w:ilvl="8">
      <w:start w:val="1"/>
      <w:numFmt w:val="bullet"/>
      <w:lvlText w:val=""/>
      <w:lvlJc w:val="left"/>
      <w:pPr>
        <w:widowControl w:val="1"/>
        <w:tabs>
          <w:tab w:leader="none" w:pos="6480" w:val="left"/>
        </w:tabs>
        <w:ind w:hanging="360" w:left="6480"/>
      </w:pPr>
      <w:rPr>
        <w:rFonts w:ascii="Wingdings" w:hAnsi="Wingdings"/>
      </w:rPr>
    </w:lvl>
  </w:abstractNum>
  <w:abstractNum w:abstractNumId="13">
    <w:lvl w:ilvl="0">
      <w:start w:val="1"/>
      <w:numFmt w:val="bullet"/>
      <w:lvlText w:val=""/>
      <w:lvlJc w:val="left"/>
      <w:pPr>
        <w:widowControl w:val="1"/>
        <w:ind w:hanging="360" w:left="1440"/>
      </w:pPr>
      <w:rPr>
        <w:rFonts w:ascii="Wingdings" w:hAnsi="Wingdings"/>
      </w:rPr>
    </w:lvl>
    <w:lvl w:ilvl="1">
      <w:start w:val="1"/>
      <w:numFmt w:val="bullet"/>
      <w:lvlText w:val="o"/>
      <w:lvlJc w:val="left"/>
      <w:pPr>
        <w:widowControl w:val="1"/>
        <w:ind w:hanging="360" w:left="2160"/>
      </w:pPr>
      <w:rPr>
        <w:rFonts w:ascii="Courier New" w:hAnsi="Courier New"/>
      </w:rPr>
    </w:lvl>
    <w:lvl w:ilvl="2">
      <w:start w:val="1"/>
      <w:numFmt w:val="bullet"/>
      <w:lvlText w:val=""/>
      <w:lvlJc w:val="left"/>
      <w:pPr>
        <w:widowControl w:val="1"/>
        <w:ind w:hanging="360" w:left="2880"/>
      </w:pPr>
      <w:rPr>
        <w:rFonts w:ascii="Wingdings" w:hAnsi="Wingdings"/>
      </w:rPr>
    </w:lvl>
    <w:lvl w:ilvl="3">
      <w:start w:val="1"/>
      <w:numFmt w:val="bullet"/>
      <w:lvlText w:val=""/>
      <w:lvlJc w:val="left"/>
      <w:pPr>
        <w:widowControl w:val="1"/>
        <w:ind w:hanging="360" w:left="3600"/>
      </w:pPr>
      <w:rPr>
        <w:rFonts w:ascii="Symbol" w:hAnsi="Symbol"/>
      </w:rPr>
    </w:lvl>
    <w:lvl w:ilvl="4">
      <w:start w:val="1"/>
      <w:numFmt w:val="bullet"/>
      <w:lvlText w:val="o"/>
      <w:lvlJc w:val="left"/>
      <w:pPr>
        <w:widowControl w:val="1"/>
        <w:ind w:hanging="360" w:left="4320"/>
      </w:pPr>
      <w:rPr>
        <w:rFonts w:ascii="Courier New" w:hAnsi="Courier New"/>
      </w:rPr>
    </w:lvl>
    <w:lvl w:ilvl="5">
      <w:start w:val="1"/>
      <w:numFmt w:val="bullet"/>
      <w:lvlText w:val=""/>
      <w:lvlJc w:val="left"/>
      <w:pPr>
        <w:widowControl w:val="1"/>
        <w:ind w:hanging="360" w:left="5040"/>
      </w:pPr>
      <w:rPr>
        <w:rFonts w:ascii="Wingdings" w:hAnsi="Wingdings"/>
      </w:rPr>
    </w:lvl>
    <w:lvl w:ilvl="6">
      <w:start w:val="1"/>
      <w:numFmt w:val="bullet"/>
      <w:lvlText w:val=""/>
      <w:lvlJc w:val="left"/>
      <w:pPr>
        <w:widowControl w:val="1"/>
        <w:ind w:hanging="360" w:left="5760"/>
      </w:pPr>
      <w:rPr>
        <w:rFonts w:ascii="Symbol" w:hAnsi="Symbol"/>
      </w:rPr>
    </w:lvl>
    <w:lvl w:ilvl="7">
      <w:start w:val="1"/>
      <w:numFmt w:val="bullet"/>
      <w:lvlText w:val="o"/>
      <w:lvlJc w:val="left"/>
      <w:pPr>
        <w:widowControl w:val="1"/>
        <w:ind w:hanging="360" w:left="6480"/>
      </w:pPr>
      <w:rPr>
        <w:rFonts w:ascii="Courier New" w:hAnsi="Courier New"/>
      </w:rPr>
    </w:lvl>
    <w:lvl w:ilvl="8">
      <w:start w:val="1"/>
      <w:numFmt w:val="bullet"/>
      <w:lvlText w:val=""/>
      <w:lvlJc w:val="left"/>
      <w:pPr>
        <w:widowControl w:val="1"/>
        <w:ind w:hanging="360" w:left="7200"/>
      </w:pPr>
      <w:rPr>
        <w:rFonts w:ascii="Wingdings" w:hAnsi="Wingdings"/>
      </w:rPr>
    </w:lvl>
  </w:abstractNum>
  <w:abstractNum w:abstractNumId="14">
    <w:lvl w:ilvl="0">
      <w:start w:val="1"/>
      <w:numFmt w:val="bullet"/>
      <w:lvlText w:val="o"/>
      <w:lvlJc w:val="left"/>
      <w:pPr>
        <w:widowControl w:val="1"/>
        <w:ind w:hanging="360" w:left="1440"/>
      </w:pPr>
      <w:rPr>
        <w:rFonts w:ascii="Courier New" w:hAnsi="Courier New"/>
      </w:rPr>
    </w:lvl>
    <w:lvl w:ilvl="1">
      <w:start w:val="1"/>
      <w:numFmt w:val="bullet"/>
      <w:lvlText w:val="o"/>
      <w:lvlJc w:val="left"/>
      <w:pPr>
        <w:widowControl w:val="1"/>
        <w:ind w:hanging="360" w:left="2160"/>
      </w:pPr>
      <w:rPr>
        <w:rFonts w:ascii="Courier New" w:hAnsi="Courier New"/>
      </w:rPr>
    </w:lvl>
    <w:lvl w:ilvl="2">
      <w:start w:val="1"/>
      <w:numFmt w:val="bullet"/>
      <w:lvlText w:val=""/>
      <w:lvlJc w:val="left"/>
      <w:pPr>
        <w:widowControl w:val="1"/>
        <w:ind w:hanging="360" w:left="2880"/>
      </w:pPr>
      <w:rPr>
        <w:rFonts w:ascii="Wingdings" w:hAnsi="Wingdings"/>
      </w:rPr>
    </w:lvl>
    <w:lvl w:ilvl="3">
      <w:start w:val="1"/>
      <w:numFmt w:val="bullet"/>
      <w:lvlText w:val=""/>
      <w:lvlJc w:val="left"/>
      <w:pPr>
        <w:widowControl w:val="1"/>
        <w:ind w:hanging="360" w:left="3600"/>
      </w:pPr>
      <w:rPr>
        <w:rFonts w:ascii="Symbol" w:hAnsi="Symbol"/>
      </w:rPr>
    </w:lvl>
    <w:lvl w:ilvl="4">
      <w:start w:val="1"/>
      <w:numFmt w:val="bullet"/>
      <w:lvlText w:val="o"/>
      <w:lvlJc w:val="left"/>
      <w:pPr>
        <w:widowControl w:val="1"/>
        <w:ind w:hanging="360" w:left="4320"/>
      </w:pPr>
      <w:rPr>
        <w:rFonts w:ascii="Courier New" w:hAnsi="Courier New"/>
      </w:rPr>
    </w:lvl>
    <w:lvl w:ilvl="5">
      <w:start w:val="1"/>
      <w:numFmt w:val="bullet"/>
      <w:lvlText w:val=""/>
      <w:lvlJc w:val="left"/>
      <w:pPr>
        <w:widowControl w:val="1"/>
        <w:ind w:hanging="360" w:left="5040"/>
      </w:pPr>
      <w:rPr>
        <w:rFonts w:ascii="Wingdings" w:hAnsi="Wingdings"/>
      </w:rPr>
    </w:lvl>
    <w:lvl w:ilvl="6">
      <w:start w:val="1"/>
      <w:numFmt w:val="bullet"/>
      <w:lvlText w:val=""/>
      <w:lvlJc w:val="left"/>
      <w:pPr>
        <w:widowControl w:val="1"/>
        <w:ind w:hanging="360" w:left="5760"/>
      </w:pPr>
      <w:rPr>
        <w:rFonts w:ascii="Symbol" w:hAnsi="Symbol"/>
      </w:rPr>
    </w:lvl>
    <w:lvl w:ilvl="7">
      <w:start w:val="1"/>
      <w:numFmt w:val="bullet"/>
      <w:lvlText w:val="o"/>
      <w:lvlJc w:val="left"/>
      <w:pPr>
        <w:widowControl w:val="1"/>
        <w:ind w:hanging="360" w:left="6480"/>
      </w:pPr>
      <w:rPr>
        <w:rFonts w:ascii="Courier New" w:hAnsi="Courier New"/>
      </w:rPr>
    </w:lvl>
    <w:lvl w:ilvl="8">
      <w:start w:val="1"/>
      <w:numFmt w:val="bullet"/>
      <w:lvlText w:val=""/>
      <w:lvlJc w:val="left"/>
      <w:pPr>
        <w:widowControl w:val="1"/>
        <w:ind w:hanging="360" w:left="7200"/>
      </w:pPr>
      <w:rPr>
        <w:rFonts w:ascii="Wingdings" w:hAnsi="Wingdings"/>
      </w:rPr>
    </w:lvl>
  </w:abstractNum>
  <w:abstractNum w:abstractNumId="15">
    <w:lvl w:ilvl="0">
      <w:start w:val="1"/>
      <w:numFmt w:val="bullet"/>
      <w:lvlText w:val="o"/>
      <w:lvlJc w:val="left"/>
      <w:pPr>
        <w:widowControl w:val="1"/>
        <w:ind w:hanging="360" w:left="720"/>
      </w:pPr>
      <w:rPr>
        <w:rFonts w:ascii="Courier New" w:hAnsi="Courier New"/>
      </w:rPr>
    </w:lvl>
    <w:lvl w:ilvl="1">
      <w:start w:val="1"/>
      <w:numFmt w:val="bullet"/>
      <w:lvlText w:val="o"/>
      <w:lvlJc w:val="left"/>
      <w:pPr>
        <w:widowControl w:val="1"/>
        <w:ind w:hanging="360" w:left="1440"/>
      </w:pPr>
      <w:rPr>
        <w:rFonts w:ascii="Courier New" w:hAnsi="Courier New"/>
      </w:rPr>
    </w:lvl>
    <w:lvl w:ilvl="2">
      <w:start w:val="1"/>
      <w:numFmt w:val="bullet"/>
      <w:lvlText w:val=""/>
      <w:lvlJc w:val="left"/>
      <w:pPr>
        <w:widowControl w:val="1"/>
        <w:ind w:hanging="360" w:left="2160"/>
      </w:pPr>
      <w:rPr>
        <w:rFonts w:ascii="Wingdings" w:hAnsi="Wingdings"/>
      </w:rPr>
    </w:lvl>
    <w:lvl w:ilvl="3">
      <w:start w:val="1"/>
      <w:numFmt w:val="bullet"/>
      <w:lvlText w:val=""/>
      <w:lvlJc w:val="left"/>
      <w:pPr>
        <w:widowControl w:val="1"/>
        <w:ind w:hanging="360" w:left="2880"/>
      </w:pPr>
      <w:rPr>
        <w:rFonts w:ascii="Symbol" w:hAnsi="Symbol"/>
      </w:rPr>
    </w:lvl>
    <w:lvl w:ilvl="4">
      <w:start w:val="1"/>
      <w:numFmt w:val="bullet"/>
      <w:lvlText w:val="o"/>
      <w:lvlJc w:val="left"/>
      <w:pPr>
        <w:widowControl w:val="1"/>
        <w:ind w:hanging="360" w:left="3600"/>
      </w:pPr>
      <w:rPr>
        <w:rFonts w:ascii="Courier New" w:hAnsi="Courier New"/>
      </w:rPr>
    </w:lvl>
    <w:lvl w:ilvl="5">
      <w:start w:val="1"/>
      <w:numFmt w:val="bullet"/>
      <w:lvlText w:val=""/>
      <w:lvlJc w:val="left"/>
      <w:pPr>
        <w:widowControl w:val="1"/>
        <w:ind w:hanging="360" w:left="4320"/>
      </w:pPr>
      <w:rPr>
        <w:rFonts w:ascii="Wingdings" w:hAnsi="Wingdings"/>
      </w:rPr>
    </w:lvl>
    <w:lvl w:ilvl="6">
      <w:start w:val="1"/>
      <w:numFmt w:val="bullet"/>
      <w:lvlText w:val=""/>
      <w:lvlJc w:val="left"/>
      <w:pPr>
        <w:widowControl w:val="1"/>
        <w:ind w:hanging="360" w:left="5040"/>
      </w:pPr>
      <w:rPr>
        <w:rFonts w:ascii="Symbol" w:hAnsi="Symbol"/>
      </w:rPr>
    </w:lvl>
    <w:lvl w:ilvl="7">
      <w:start w:val="1"/>
      <w:numFmt w:val="bullet"/>
      <w:lvlText w:val="o"/>
      <w:lvlJc w:val="left"/>
      <w:pPr>
        <w:widowControl w:val="1"/>
        <w:ind w:hanging="360" w:left="5760"/>
      </w:pPr>
      <w:rPr>
        <w:rFonts w:ascii="Courier New" w:hAnsi="Courier New"/>
      </w:rPr>
    </w:lvl>
    <w:lvl w:ilvl="8">
      <w:start w:val="1"/>
      <w:numFmt w:val="bullet"/>
      <w:lvlText w:val=""/>
      <w:lvlJc w:val="left"/>
      <w:pPr>
        <w:widowControl w:val="1"/>
        <w:ind w:hanging="360" w:left="6480"/>
      </w:pPr>
      <w:rPr>
        <w:rFonts w:ascii="Wingdings" w:hAnsi="Wingdings"/>
      </w:rPr>
    </w:lvl>
  </w:abstractNum>
  <w:abstractNum w:abstractNumId="16">
    <w:lvl w:ilvl="0">
      <w:start w:val="1"/>
      <w:numFmt w:val="bullet"/>
      <w:lvlText w:val=""/>
      <w:lvlJc w:val="left"/>
      <w:pPr>
        <w:widowControl w:val="1"/>
        <w:ind w:hanging="360" w:left="720"/>
      </w:pPr>
      <w:rPr>
        <w:rFonts w:ascii="Wingdings" w:hAnsi="Wingdings"/>
      </w:rPr>
    </w:lvl>
    <w:lvl w:ilvl="1">
      <w:start w:val="1"/>
      <w:numFmt w:val="bullet"/>
      <w:lvlText w:val="o"/>
      <w:lvlJc w:val="left"/>
      <w:pPr>
        <w:widowControl w:val="1"/>
        <w:ind w:hanging="360" w:left="1440"/>
      </w:pPr>
      <w:rPr>
        <w:rFonts w:ascii="Courier New" w:hAnsi="Courier New"/>
      </w:rPr>
    </w:lvl>
    <w:lvl w:ilvl="2">
      <w:start w:val="1"/>
      <w:numFmt w:val="bullet"/>
      <w:lvlText w:val=""/>
      <w:lvlJc w:val="left"/>
      <w:pPr>
        <w:widowControl w:val="1"/>
        <w:ind w:hanging="360" w:left="2160"/>
      </w:pPr>
      <w:rPr>
        <w:rFonts w:ascii="Wingdings" w:hAnsi="Wingdings"/>
      </w:rPr>
    </w:lvl>
    <w:lvl w:ilvl="3">
      <w:start w:val="1"/>
      <w:numFmt w:val="bullet"/>
      <w:lvlText w:val=""/>
      <w:lvlJc w:val="left"/>
      <w:pPr>
        <w:widowControl w:val="1"/>
        <w:ind w:hanging="360" w:left="2880"/>
      </w:pPr>
      <w:rPr>
        <w:rFonts w:ascii="Symbol" w:hAnsi="Symbol"/>
      </w:rPr>
    </w:lvl>
    <w:lvl w:ilvl="4">
      <w:start w:val="1"/>
      <w:numFmt w:val="bullet"/>
      <w:lvlText w:val="o"/>
      <w:lvlJc w:val="left"/>
      <w:pPr>
        <w:widowControl w:val="1"/>
        <w:ind w:hanging="360" w:left="3600"/>
      </w:pPr>
      <w:rPr>
        <w:rFonts w:ascii="Courier New" w:hAnsi="Courier New"/>
      </w:rPr>
    </w:lvl>
    <w:lvl w:ilvl="5">
      <w:start w:val="1"/>
      <w:numFmt w:val="bullet"/>
      <w:lvlText w:val=""/>
      <w:lvlJc w:val="left"/>
      <w:pPr>
        <w:widowControl w:val="1"/>
        <w:ind w:hanging="360" w:left="4320"/>
      </w:pPr>
      <w:rPr>
        <w:rFonts w:ascii="Wingdings" w:hAnsi="Wingdings"/>
      </w:rPr>
    </w:lvl>
    <w:lvl w:ilvl="6">
      <w:start w:val="1"/>
      <w:numFmt w:val="bullet"/>
      <w:lvlText w:val=""/>
      <w:lvlJc w:val="left"/>
      <w:pPr>
        <w:widowControl w:val="1"/>
        <w:ind w:hanging="360" w:left="5040"/>
      </w:pPr>
      <w:rPr>
        <w:rFonts w:ascii="Symbol" w:hAnsi="Symbol"/>
      </w:rPr>
    </w:lvl>
    <w:lvl w:ilvl="7">
      <w:start w:val="1"/>
      <w:numFmt w:val="bullet"/>
      <w:lvlText w:val="o"/>
      <w:lvlJc w:val="left"/>
      <w:pPr>
        <w:widowControl w:val="1"/>
        <w:ind w:hanging="360" w:left="5760"/>
      </w:pPr>
      <w:rPr>
        <w:rFonts w:ascii="Courier New" w:hAnsi="Courier New"/>
      </w:rPr>
    </w:lvl>
    <w:lvl w:ilvl="8">
      <w:start w:val="1"/>
      <w:numFmt w:val="bullet"/>
      <w:lvlText w:val=""/>
      <w:lvlJc w:val="left"/>
      <w:pPr>
        <w:widowControl w:val="1"/>
        <w:ind w:hanging="360" w:left="6480"/>
      </w:pPr>
      <w:rPr>
        <w:rFonts w:ascii="Wingdings" w:hAnsi="Wingdings"/>
      </w:rPr>
    </w:lvl>
  </w:abstractNum>
  <w:abstractNum w:abstractNumId="17">
    <w:lvl w:ilvl="0">
      <w:start w:val="1"/>
      <w:numFmt w:val="bullet"/>
      <w:lvlText w:val="o"/>
      <w:lvlJc w:val="left"/>
      <w:pPr>
        <w:widowControl w:val="1"/>
        <w:ind w:hanging="360" w:left="720"/>
      </w:pPr>
      <w:rPr>
        <w:rFonts w:ascii="Courier New" w:hAnsi="Courier New"/>
      </w:rPr>
    </w:lvl>
    <w:lvl w:ilvl="1">
      <w:start w:val="1"/>
      <w:numFmt w:val="bullet"/>
      <w:lvlText w:val="o"/>
      <w:lvlJc w:val="left"/>
      <w:pPr>
        <w:widowControl w:val="1"/>
        <w:ind w:hanging="360" w:left="1440"/>
      </w:pPr>
      <w:rPr>
        <w:rFonts w:ascii="Courier New" w:hAnsi="Courier New"/>
      </w:rPr>
    </w:lvl>
    <w:lvl w:ilvl="2">
      <w:start w:val="1"/>
      <w:numFmt w:val="bullet"/>
      <w:lvlText w:val=""/>
      <w:lvlJc w:val="left"/>
      <w:pPr>
        <w:widowControl w:val="1"/>
        <w:ind w:hanging="360" w:left="2160"/>
      </w:pPr>
      <w:rPr>
        <w:rFonts w:ascii="Wingdings" w:hAnsi="Wingdings"/>
      </w:rPr>
    </w:lvl>
    <w:lvl w:ilvl="3">
      <w:start w:val="1"/>
      <w:numFmt w:val="bullet"/>
      <w:lvlText w:val=""/>
      <w:lvlJc w:val="left"/>
      <w:pPr>
        <w:widowControl w:val="1"/>
        <w:ind w:hanging="360" w:left="2880"/>
      </w:pPr>
      <w:rPr>
        <w:rFonts w:ascii="Symbol" w:hAnsi="Symbol"/>
      </w:rPr>
    </w:lvl>
    <w:lvl w:ilvl="4">
      <w:start w:val="1"/>
      <w:numFmt w:val="bullet"/>
      <w:lvlText w:val="o"/>
      <w:lvlJc w:val="left"/>
      <w:pPr>
        <w:widowControl w:val="1"/>
        <w:ind w:hanging="360" w:left="3600"/>
      </w:pPr>
      <w:rPr>
        <w:rFonts w:ascii="Courier New" w:hAnsi="Courier New"/>
      </w:rPr>
    </w:lvl>
    <w:lvl w:ilvl="5">
      <w:start w:val="1"/>
      <w:numFmt w:val="bullet"/>
      <w:lvlText w:val=""/>
      <w:lvlJc w:val="left"/>
      <w:pPr>
        <w:widowControl w:val="1"/>
        <w:ind w:hanging="360" w:left="4320"/>
      </w:pPr>
      <w:rPr>
        <w:rFonts w:ascii="Wingdings" w:hAnsi="Wingdings"/>
      </w:rPr>
    </w:lvl>
    <w:lvl w:ilvl="6">
      <w:start w:val="1"/>
      <w:numFmt w:val="bullet"/>
      <w:lvlText w:val=""/>
      <w:lvlJc w:val="left"/>
      <w:pPr>
        <w:widowControl w:val="1"/>
        <w:ind w:hanging="360" w:left="5040"/>
      </w:pPr>
      <w:rPr>
        <w:rFonts w:ascii="Symbol" w:hAnsi="Symbol"/>
      </w:rPr>
    </w:lvl>
    <w:lvl w:ilvl="7">
      <w:start w:val="1"/>
      <w:numFmt w:val="bullet"/>
      <w:lvlText w:val="o"/>
      <w:lvlJc w:val="left"/>
      <w:pPr>
        <w:widowControl w:val="1"/>
        <w:ind w:hanging="360" w:left="5760"/>
      </w:pPr>
      <w:rPr>
        <w:rFonts w:ascii="Courier New" w:hAnsi="Courier New"/>
      </w:rPr>
    </w:lvl>
    <w:lvl w:ilvl="8">
      <w:start w:val="1"/>
      <w:numFmt w:val="bullet"/>
      <w:lvlText w:val=""/>
      <w:lvlJc w:val="left"/>
      <w:pPr>
        <w:widowControl w:val="1"/>
        <w:ind w:hanging="360" w:left="6480"/>
      </w:pPr>
      <w:rPr>
        <w:rFonts w:ascii="Wingdings" w:hAnsi="Wingdings"/>
      </w:rPr>
    </w:lvl>
  </w:abstractNum>
  <w:abstractNum w:abstractNumId="18">
    <w:lvl w:ilvl="0">
      <w:start w:val="1"/>
      <w:numFmt w:val="bullet"/>
      <w:lvlText w:val="o"/>
      <w:lvlJc w:val="left"/>
      <w:pPr>
        <w:widowControl w:val="1"/>
        <w:ind w:hanging="360" w:left="1440"/>
      </w:pPr>
      <w:rPr>
        <w:rFonts w:ascii="Courier New" w:hAnsi="Courier New"/>
      </w:rPr>
    </w:lvl>
    <w:lvl w:ilvl="1">
      <w:start w:val="1"/>
      <w:numFmt w:val="bullet"/>
      <w:lvlText w:val="o"/>
      <w:lvlJc w:val="left"/>
      <w:pPr>
        <w:widowControl w:val="1"/>
        <w:ind w:hanging="360" w:left="2160"/>
      </w:pPr>
      <w:rPr>
        <w:rFonts w:ascii="Courier New" w:hAnsi="Courier New"/>
      </w:rPr>
    </w:lvl>
    <w:lvl w:ilvl="2">
      <w:start w:val="1"/>
      <w:numFmt w:val="bullet"/>
      <w:lvlText w:val=""/>
      <w:lvlJc w:val="left"/>
      <w:pPr>
        <w:widowControl w:val="1"/>
        <w:ind w:hanging="360" w:left="2880"/>
      </w:pPr>
      <w:rPr>
        <w:rFonts w:ascii="Wingdings" w:hAnsi="Wingdings"/>
      </w:rPr>
    </w:lvl>
    <w:lvl w:ilvl="3">
      <w:start w:val="1"/>
      <w:numFmt w:val="bullet"/>
      <w:lvlText w:val=""/>
      <w:lvlJc w:val="left"/>
      <w:pPr>
        <w:widowControl w:val="1"/>
        <w:ind w:hanging="360" w:left="3600"/>
      </w:pPr>
      <w:rPr>
        <w:rFonts w:ascii="Symbol" w:hAnsi="Symbol"/>
      </w:rPr>
    </w:lvl>
    <w:lvl w:ilvl="4">
      <w:start w:val="1"/>
      <w:numFmt w:val="bullet"/>
      <w:lvlText w:val="o"/>
      <w:lvlJc w:val="left"/>
      <w:pPr>
        <w:widowControl w:val="1"/>
        <w:ind w:hanging="360" w:left="4320"/>
      </w:pPr>
      <w:rPr>
        <w:rFonts w:ascii="Courier New" w:hAnsi="Courier New"/>
      </w:rPr>
    </w:lvl>
    <w:lvl w:ilvl="5">
      <w:start w:val="1"/>
      <w:numFmt w:val="bullet"/>
      <w:lvlText w:val=""/>
      <w:lvlJc w:val="left"/>
      <w:pPr>
        <w:widowControl w:val="1"/>
        <w:ind w:hanging="360" w:left="5040"/>
      </w:pPr>
      <w:rPr>
        <w:rFonts w:ascii="Wingdings" w:hAnsi="Wingdings"/>
      </w:rPr>
    </w:lvl>
    <w:lvl w:ilvl="6">
      <w:start w:val="1"/>
      <w:numFmt w:val="bullet"/>
      <w:lvlText w:val=""/>
      <w:lvlJc w:val="left"/>
      <w:pPr>
        <w:widowControl w:val="1"/>
        <w:ind w:hanging="360" w:left="5760"/>
      </w:pPr>
      <w:rPr>
        <w:rFonts w:ascii="Symbol" w:hAnsi="Symbol"/>
      </w:rPr>
    </w:lvl>
    <w:lvl w:ilvl="7">
      <w:start w:val="1"/>
      <w:numFmt w:val="bullet"/>
      <w:lvlText w:val="o"/>
      <w:lvlJc w:val="left"/>
      <w:pPr>
        <w:widowControl w:val="1"/>
        <w:ind w:hanging="360" w:left="6480"/>
      </w:pPr>
      <w:rPr>
        <w:rFonts w:ascii="Courier New" w:hAnsi="Courier New"/>
      </w:rPr>
    </w:lvl>
    <w:lvl w:ilvl="8">
      <w:start w:val="1"/>
      <w:numFmt w:val="bullet"/>
      <w:lvlText w:val=""/>
      <w:lvlJc w:val="left"/>
      <w:pPr>
        <w:widowControl w:val="1"/>
        <w:ind w:hanging="360" w:left="7200"/>
      </w:pPr>
      <w:rPr>
        <w:rFonts w:ascii="Wingdings" w:hAnsi="Wingdings"/>
      </w:rPr>
    </w:lvl>
  </w:abstractNum>
  <w:abstractNum w:abstractNumId="19">
    <w:lvl w:ilvl="0">
      <w:start w:val="1"/>
      <w:numFmt w:val="bullet"/>
      <w:lvlText w:val="o"/>
      <w:lvlJc w:val="left"/>
      <w:pPr>
        <w:widowControl w:val="1"/>
        <w:ind w:hanging="360" w:left="1069"/>
      </w:pPr>
      <w:rPr>
        <w:rFonts w:ascii="Courier New" w:hAnsi="Courier New"/>
      </w:rPr>
    </w:lvl>
    <w:lvl w:ilvl="1">
      <w:start w:val="1"/>
      <w:numFmt w:val="bullet"/>
      <w:lvlText w:val="o"/>
      <w:lvlJc w:val="left"/>
      <w:pPr>
        <w:widowControl w:val="1"/>
        <w:ind w:hanging="360" w:left="1789"/>
      </w:pPr>
      <w:rPr>
        <w:rFonts w:ascii="Courier New" w:hAnsi="Courier New"/>
      </w:rPr>
    </w:lvl>
    <w:lvl w:ilvl="2">
      <w:start w:val="1"/>
      <w:numFmt w:val="bullet"/>
      <w:lvlText w:val=""/>
      <w:lvlJc w:val="left"/>
      <w:pPr>
        <w:widowControl w:val="1"/>
        <w:ind w:hanging="360" w:left="2509"/>
      </w:pPr>
      <w:rPr>
        <w:rFonts w:ascii="Wingdings" w:hAnsi="Wingdings"/>
      </w:rPr>
    </w:lvl>
    <w:lvl w:ilvl="3">
      <w:start w:val="1"/>
      <w:numFmt w:val="bullet"/>
      <w:lvlText w:val=""/>
      <w:lvlJc w:val="left"/>
      <w:pPr>
        <w:widowControl w:val="1"/>
        <w:ind w:hanging="360" w:left="3229"/>
      </w:pPr>
      <w:rPr>
        <w:rFonts w:ascii="Symbol" w:hAnsi="Symbol"/>
      </w:rPr>
    </w:lvl>
    <w:lvl w:ilvl="4">
      <w:start w:val="1"/>
      <w:numFmt w:val="bullet"/>
      <w:lvlText w:val="o"/>
      <w:lvlJc w:val="left"/>
      <w:pPr>
        <w:widowControl w:val="1"/>
        <w:ind w:hanging="360" w:left="3949"/>
      </w:pPr>
      <w:rPr>
        <w:rFonts w:ascii="Courier New" w:hAnsi="Courier New"/>
      </w:rPr>
    </w:lvl>
    <w:lvl w:ilvl="5">
      <w:start w:val="1"/>
      <w:numFmt w:val="bullet"/>
      <w:lvlText w:val=""/>
      <w:lvlJc w:val="left"/>
      <w:pPr>
        <w:widowControl w:val="1"/>
        <w:ind w:hanging="360" w:left="4669"/>
      </w:pPr>
      <w:rPr>
        <w:rFonts w:ascii="Wingdings" w:hAnsi="Wingdings"/>
      </w:rPr>
    </w:lvl>
    <w:lvl w:ilvl="6">
      <w:start w:val="1"/>
      <w:numFmt w:val="bullet"/>
      <w:lvlText w:val=""/>
      <w:lvlJc w:val="left"/>
      <w:pPr>
        <w:widowControl w:val="1"/>
        <w:ind w:hanging="360" w:left="5389"/>
      </w:pPr>
      <w:rPr>
        <w:rFonts w:ascii="Symbol" w:hAnsi="Symbol"/>
      </w:rPr>
    </w:lvl>
    <w:lvl w:ilvl="7">
      <w:start w:val="1"/>
      <w:numFmt w:val="bullet"/>
      <w:lvlText w:val="o"/>
      <w:lvlJc w:val="left"/>
      <w:pPr>
        <w:widowControl w:val="1"/>
        <w:ind w:hanging="360" w:left="6109"/>
      </w:pPr>
      <w:rPr>
        <w:rFonts w:ascii="Courier New" w:hAnsi="Courier New"/>
      </w:rPr>
    </w:lvl>
    <w:lvl w:ilvl="8">
      <w:start w:val="1"/>
      <w:numFmt w:val="bullet"/>
      <w:lvlText w:val=""/>
      <w:lvlJc w:val="left"/>
      <w:pPr>
        <w:widowControl w:val="1"/>
        <w:ind w:hanging="360" w:left="6829"/>
      </w:pPr>
      <w:rPr>
        <w:rFonts w:ascii="Wingdings" w:hAnsi="Wingdings"/>
      </w:rPr>
    </w:lvl>
  </w:abstractNum>
  <w:abstractNum w:abstractNumId="20">
    <w:lvl w:ilvl="0">
      <w:start w:val="1"/>
      <w:numFmt w:val="bullet"/>
      <w:lvlText w:val="o"/>
      <w:lvlJc w:val="left"/>
      <w:pPr>
        <w:widowControl w:val="1"/>
        <w:tabs>
          <w:tab w:leader="none" w:pos="1429" w:val="left"/>
        </w:tabs>
        <w:ind w:hanging="360" w:left="1428"/>
      </w:pPr>
      <w:rPr>
        <w:rFonts w:ascii="Courier New" w:hAnsi="Courier New"/>
      </w:rPr>
    </w:lvl>
    <w:lvl w:ilvl="1">
      <w:start w:val="1"/>
      <w:numFmt w:val="bullet"/>
      <w:lvlText w:val="o"/>
      <w:lvlJc w:val="left"/>
      <w:pPr>
        <w:widowControl w:val="1"/>
        <w:ind w:hanging="360" w:left="2148"/>
      </w:pPr>
      <w:rPr>
        <w:rFonts w:ascii="Courier New" w:hAnsi="Courier New"/>
      </w:rPr>
    </w:lvl>
    <w:lvl w:ilvl="2">
      <w:start w:val="1"/>
      <w:numFmt w:val="bullet"/>
      <w:lvlText w:val=""/>
      <w:lvlJc w:val="left"/>
      <w:pPr>
        <w:widowControl w:val="1"/>
        <w:ind w:hanging="360" w:left="2868"/>
      </w:pPr>
      <w:rPr>
        <w:rFonts w:ascii="Wingdings" w:hAnsi="Wingdings"/>
      </w:rPr>
    </w:lvl>
    <w:lvl w:ilvl="3">
      <w:start w:val="1"/>
      <w:numFmt w:val="bullet"/>
      <w:lvlText w:val=""/>
      <w:lvlJc w:val="left"/>
      <w:pPr>
        <w:widowControl w:val="1"/>
        <w:ind w:hanging="360" w:left="3588"/>
      </w:pPr>
      <w:rPr>
        <w:rFonts w:ascii="Symbol" w:hAnsi="Symbol"/>
      </w:rPr>
    </w:lvl>
    <w:lvl w:ilvl="4">
      <w:start w:val="1"/>
      <w:numFmt w:val="bullet"/>
      <w:lvlText w:val="o"/>
      <w:lvlJc w:val="left"/>
      <w:pPr>
        <w:widowControl w:val="1"/>
        <w:ind w:hanging="360" w:left="4308"/>
      </w:pPr>
      <w:rPr>
        <w:rFonts w:ascii="Courier New" w:hAnsi="Courier New"/>
      </w:rPr>
    </w:lvl>
    <w:lvl w:ilvl="5">
      <w:start w:val="1"/>
      <w:numFmt w:val="bullet"/>
      <w:lvlText w:val=""/>
      <w:lvlJc w:val="left"/>
      <w:pPr>
        <w:widowControl w:val="1"/>
        <w:ind w:hanging="360" w:left="5028"/>
      </w:pPr>
      <w:rPr>
        <w:rFonts w:ascii="Wingdings" w:hAnsi="Wingdings"/>
      </w:rPr>
    </w:lvl>
    <w:lvl w:ilvl="6">
      <w:start w:val="1"/>
      <w:numFmt w:val="bullet"/>
      <w:lvlText w:val=""/>
      <w:lvlJc w:val="left"/>
      <w:pPr>
        <w:widowControl w:val="1"/>
        <w:ind w:hanging="360" w:left="5748"/>
      </w:pPr>
      <w:rPr>
        <w:rFonts w:ascii="Symbol" w:hAnsi="Symbol"/>
      </w:rPr>
    </w:lvl>
    <w:lvl w:ilvl="7">
      <w:start w:val="1"/>
      <w:numFmt w:val="bullet"/>
      <w:lvlText w:val="o"/>
      <w:lvlJc w:val="left"/>
      <w:pPr>
        <w:widowControl w:val="1"/>
        <w:ind w:hanging="360" w:left="6468"/>
      </w:pPr>
      <w:rPr>
        <w:rFonts w:ascii="Courier New" w:hAnsi="Courier New"/>
      </w:rPr>
    </w:lvl>
    <w:lvl w:ilvl="8">
      <w:start w:val="1"/>
      <w:numFmt w:val="bullet"/>
      <w:lvlText w:val=""/>
      <w:lvlJc w:val="left"/>
      <w:pPr>
        <w:widowControl w:val="1"/>
        <w:ind w:hanging="360" w:left="7188"/>
      </w:pPr>
      <w:rPr>
        <w:rFonts w:ascii="Wingdings" w:hAnsi="Wingdings"/>
      </w:rPr>
    </w:lvl>
  </w:abstractNum>
  <w:abstractNum w:abstractNumId="21">
    <w:lvl w:ilvl="0">
      <w:start w:val="1"/>
      <w:numFmt w:val="bullet"/>
      <w:lvlText w:val=""/>
      <w:lvlJc w:val="left"/>
      <w:pPr>
        <w:widowControl w:val="1"/>
        <w:tabs>
          <w:tab w:leader="none" w:pos="720" w:val="left"/>
        </w:tabs>
        <w:ind w:hanging="360" w:left="720"/>
      </w:pPr>
      <w:rPr>
        <w:rFonts w:ascii="Wingdings" w:hAnsi="Wingdings"/>
      </w:rPr>
    </w:lvl>
    <w:lvl w:ilvl="1">
      <w:start w:val="1"/>
      <w:numFmt w:val="bullet"/>
      <w:lvlText w:val="o"/>
      <w:lvlJc w:val="left"/>
      <w:pPr>
        <w:widowControl w:val="1"/>
        <w:tabs>
          <w:tab w:leader="none" w:pos="360" w:val="left"/>
        </w:tabs>
        <w:ind w:hanging="360" w:left="360"/>
      </w:pPr>
      <w:rPr>
        <w:rFonts w:ascii="Courier New" w:hAnsi="Courier New"/>
      </w:rPr>
    </w:lvl>
    <w:lvl w:ilvl="2">
      <w:start w:val="1"/>
      <w:numFmt w:val="bullet"/>
      <w:lvlText w:val=""/>
      <w:lvlJc w:val="left"/>
      <w:pPr>
        <w:widowControl w:val="1"/>
        <w:tabs>
          <w:tab w:leader="none" w:pos="2160" w:val="left"/>
        </w:tabs>
        <w:ind w:hanging="360" w:left="2160"/>
      </w:pPr>
      <w:rPr>
        <w:rFonts w:ascii="Symbol" w:hAnsi="Symbol"/>
      </w:rPr>
    </w:lvl>
    <w:lvl w:ilvl="3">
      <w:start w:val="1"/>
      <w:numFmt w:val="bullet"/>
      <w:lvlText w:val=""/>
      <w:lvlJc w:val="left"/>
      <w:pPr>
        <w:widowControl w:val="1"/>
        <w:tabs>
          <w:tab w:leader="none" w:pos="2880" w:val="left"/>
        </w:tabs>
        <w:ind w:hanging="360" w:left="2880"/>
      </w:pPr>
      <w:rPr>
        <w:rFonts w:ascii="Symbol" w:hAnsi="Symbol"/>
      </w:rPr>
    </w:lvl>
    <w:lvl w:ilvl="4">
      <w:start w:val="1"/>
      <w:numFmt w:val="bullet"/>
      <w:lvlText w:val="o"/>
      <w:lvlJc w:val="left"/>
      <w:pPr>
        <w:widowControl w:val="1"/>
        <w:tabs>
          <w:tab w:leader="none" w:pos="3600" w:val="left"/>
        </w:tabs>
        <w:ind w:hanging="360" w:left="3600"/>
      </w:pPr>
      <w:rPr>
        <w:rFonts w:ascii="Courier New" w:hAnsi="Courier New"/>
      </w:rPr>
    </w:lvl>
    <w:lvl w:ilvl="5">
      <w:start w:val="1"/>
      <w:numFmt w:val="bullet"/>
      <w:lvlText w:val=""/>
      <w:lvlJc w:val="left"/>
      <w:pPr>
        <w:widowControl w:val="1"/>
        <w:tabs>
          <w:tab w:leader="none" w:pos="4320" w:val="left"/>
        </w:tabs>
        <w:ind w:hanging="360" w:left="4320"/>
      </w:pPr>
      <w:rPr>
        <w:rFonts w:ascii="Wingdings" w:hAnsi="Wingdings"/>
      </w:rPr>
    </w:lvl>
    <w:lvl w:ilvl="6">
      <w:start w:val="1"/>
      <w:numFmt w:val="bullet"/>
      <w:lvlText w:val=""/>
      <w:lvlJc w:val="left"/>
      <w:pPr>
        <w:widowControl w:val="1"/>
        <w:tabs>
          <w:tab w:leader="none" w:pos="5040" w:val="left"/>
        </w:tabs>
        <w:ind w:hanging="360" w:left="5040"/>
      </w:pPr>
      <w:rPr>
        <w:rFonts w:ascii="Symbol" w:hAnsi="Symbol"/>
      </w:rPr>
    </w:lvl>
    <w:lvl w:ilvl="7">
      <w:start w:val="1"/>
      <w:numFmt w:val="bullet"/>
      <w:lvlText w:val="o"/>
      <w:lvlJc w:val="left"/>
      <w:pPr>
        <w:widowControl w:val="1"/>
        <w:tabs>
          <w:tab w:leader="none" w:pos="5760" w:val="left"/>
        </w:tabs>
        <w:ind w:hanging="360" w:left="5760"/>
      </w:pPr>
      <w:rPr>
        <w:rFonts w:ascii="Courier New" w:hAnsi="Courier New"/>
      </w:rPr>
    </w:lvl>
    <w:lvl w:ilvl="8">
      <w:start w:val="1"/>
      <w:numFmt w:val="bullet"/>
      <w:lvlText w:val=""/>
      <w:lvlJc w:val="left"/>
      <w:pPr>
        <w:widowControl w:val="1"/>
        <w:tabs>
          <w:tab w:leader="none" w:pos="6480" w:val="left"/>
        </w:tabs>
        <w:ind w:hanging="360" w:left="6480"/>
      </w:pPr>
      <w:rPr>
        <w:rFonts w:ascii="Wingdings" w:hAnsi="Wingdings"/>
      </w:rPr>
    </w:lvl>
  </w:abstractNum>
  <w:abstractNum w:abstractNumId="22">
    <w:lvl w:ilvl="0">
      <w:start w:val="1"/>
      <w:numFmt w:val="bullet"/>
      <w:lvlText w:val=""/>
      <w:lvlJc w:val="left"/>
      <w:pPr>
        <w:widowControl w:val="1"/>
        <w:tabs>
          <w:tab w:leader="none" w:pos="720" w:val="left"/>
        </w:tabs>
        <w:ind w:hanging="360" w:left="720"/>
      </w:pPr>
      <w:rPr>
        <w:rFonts w:ascii="Wingdings" w:hAnsi="Wingdings"/>
      </w:rPr>
    </w:lvl>
    <w:lvl w:ilvl="1">
      <w:start w:val="1"/>
      <w:numFmt w:val="bullet"/>
      <w:lvlText w:val="o"/>
      <w:lvlJc w:val="left"/>
      <w:pPr>
        <w:widowControl w:val="1"/>
        <w:ind w:hanging="360" w:left="1865"/>
      </w:pPr>
      <w:rPr>
        <w:rFonts w:ascii="Courier New" w:hAnsi="Courier New"/>
      </w:rPr>
    </w:lvl>
    <w:lvl w:ilvl="2">
      <w:start w:val="1"/>
      <w:numFmt w:val="bullet"/>
      <w:lvlText w:val=""/>
      <w:lvlJc w:val="left"/>
      <w:pPr>
        <w:widowControl w:val="1"/>
        <w:ind w:hanging="360" w:left="2585"/>
      </w:pPr>
      <w:rPr>
        <w:rFonts w:ascii="Wingdings" w:hAnsi="Wingdings"/>
      </w:rPr>
    </w:lvl>
    <w:lvl w:ilvl="3">
      <w:start w:val="1"/>
      <w:numFmt w:val="bullet"/>
      <w:lvlText w:val=""/>
      <w:lvlJc w:val="left"/>
      <w:pPr>
        <w:widowControl w:val="1"/>
        <w:ind w:hanging="360" w:left="3305"/>
      </w:pPr>
      <w:rPr>
        <w:rFonts w:ascii="Symbol" w:hAnsi="Symbol"/>
      </w:rPr>
    </w:lvl>
    <w:lvl w:ilvl="4">
      <w:start w:val="1"/>
      <w:numFmt w:val="bullet"/>
      <w:lvlText w:val="o"/>
      <w:lvlJc w:val="left"/>
      <w:pPr>
        <w:widowControl w:val="1"/>
        <w:ind w:hanging="360" w:left="4025"/>
      </w:pPr>
      <w:rPr>
        <w:rFonts w:ascii="Courier New" w:hAnsi="Courier New"/>
      </w:rPr>
    </w:lvl>
    <w:lvl w:ilvl="5">
      <w:start w:val="1"/>
      <w:numFmt w:val="bullet"/>
      <w:lvlText w:val=""/>
      <w:lvlJc w:val="left"/>
      <w:pPr>
        <w:widowControl w:val="1"/>
        <w:ind w:hanging="360" w:left="4745"/>
      </w:pPr>
      <w:rPr>
        <w:rFonts w:ascii="Wingdings" w:hAnsi="Wingdings"/>
      </w:rPr>
    </w:lvl>
    <w:lvl w:ilvl="6">
      <w:start w:val="1"/>
      <w:numFmt w:val="bullet"/>
      <w:lvlText w:val=""/>
      <w:lvlJc w:val="left"/>
      <w:pPr>
        <w:widowControl w:val="1"/>
        <w:ind w:hanging="360" w:left="5465"/>
      </w:pPr>
      <w:rPr>
        <w:rFonts w:ascii="Symbol" w:hAnsi="Symbol"/>
      </w:rPr>
    </w:lvl>
    <w:lvl w:ilvl="7">
      <w:start w:val="1"/>
      <w:numFmt w:val="bullet"/>
      <w:lvlText w:val="o"/>
      <w:lvlJc w:val="left"/>
      <w:pPr>
        <w:widowControl w:val="1"/>
        <w:ind w:hanging="360" w:left="6185"/>
      </w:pPr>
      <w:rPr>
        <w:rFonts w:ascii="Courier New" w:hAnsi="Courier New"/>
      </w:rPr>
    </w:lvl>
    <w:lvl w:ilvl="8">
      <w:start w:val="1"/>
      <w:numFmt w:val="bullet"/>
      <w:lvlText w:val=""/>
      <w:lvlJc w:val="left"/>
      <w:pPr>
        <w:widowControl w:val="1"/>
        <w:ind w:hanging="360" w:left="6905"/>
      </w:pPr>
      <w:rPr>
        <w:rFonts w:ascii="Wingdings" w:hAnsi="Wingdings"/>
      </w:rPr>
    </w:lvl>
  </w:abstractNum>
  <w:abstractNum w:abstractNumId="23">
    <w:lvl w:ilvl="0">
      <w:start w:val="1"/>
      <w:numFmt w:val="bullet"/>
      <w:lvlText w:val=""/>
      <w:lvlJc w:val="left"/>
      <w:pPr>
        <w:widowControl w:val="1"/>
        <w:tabs>
          <w:tab w:leader="none" w:pos="720" w:val="left"/>
        </w:tabs>
        <w:ind w:hanging="360" w:left="720"/>
      </w:pPr>
      <w:rPr>
        <w:rFonts w:ascii="Wingdings" w:hAnsi="Wingdings"/>
      </w:rPr>
    </w:lvl>
    <w:lvl w:ilvl="1">
      <w:start w:val="1"/>
      <w:numFmt w:val="bullet"/>
      <w:lvlText w:val="o"/>
      <w:lvlJc w:val="left"/>
      <w:pPr>
        <w:widowControl w:val="1"/>
        <w:tabs>
          <w:tab w:leader="none" w:pos="1211" w:val="left"/>
        </w:tabs>
        <w:ind w:hanging="360" w:left="1211"/>
      </w:pPr>
      <w:rPr>
        <w:rFonts w:ascii="Courier New" w:hAnsi="Courier New"/>
      </w:rPr>
    </w:lvl>
    <w:lvl w:ilvl="2">
      <w:start w:val="1"/>
      <w:numFmt w:val="bullet"/>
      <w:lvlText w:val=""/>
      <w:lvlJc w:val="left"/>
      <w:pPr>
        <w:widowControl w:val="1"/>
        <w:tabs>
          <w:tab w:leader="none" w:pos="2160" w:val="left"/>
        </w:tabs>
        <w:ind w:hanging="360" w:left="2160"/>
      </w:pPr>
      <w:rPr>
        <w:rFonts w:ascii="Wingdings" w:hAnsi="Wingdings"/>
      </w:rPr>
    </w:lvl>
    <w:lvl w:ilvl="3">
      <w:start w:val="1"/>
      <w:numFmt w:val="bullet"/>
      <w:lvlText w:val=""/>
      <w:lvlJc w:val="left"/>
      <w:pPr>
        <w:widowControl w:val="1"/>
        <w:tabs>
          <w:tab w:leader="none" w:pos="2880" w:val="left"/>
        </w:tabs>
        <w:ind w:hanging="360" w:left="2880"/>
      </w:pPr>
      <w:rPr>
        <w:rFonts w:ascii="Symbol" w:hAnsi="Symbol"/>
      </w:rPr>
    </w:lvl>
    <w:lvl w:ilvl="4">
      <w:start w:val="1"/>
      <w:numFmt w:val="bullet"/>
      <w:lvlText w:val="o"/>
      <w:lvlJc w:val="left"/>
      <w:pPr>
        <w:widowControl w:val="1"/>
        <w:tabs>
          <w:tab w:leader="none" w:pos="3600" w:val="left"/>
        </w:tabs>
        <w:ind w:hanging="360" w:left="3600"/>
      </w:pPr>
      <w:rPr>
        <w:rFonts w:ascii="Courier New" w:hAnsi="Courier New"/>
      </w:rPr>
    </w:lvl>
    <w:lvl w:ilvl="5">
      <w:start w:val="1"/>
      <w:numFmt w:val="bullet"/>
      <w:lvlText w:val=""/>
      <w:lvlJc w:val="left"/>
      <w:pPr>
        <w:widowControl w:val="1"/>
        <w:tabs>
          <w:tab w:leader="none" w:pos="4320" w:val="left"/>
        </w:tabs>
        <w:ind w:hanging="360" w:left="4320"/>
      </w:pPr>
      <w:rPr>
        <w:rFonts w:ascii="Wingdings" w:hAnsi="Wingdings"/>
      </w:rPr>
    </w:lvl>
    <w:lvl w:ilvl="6">
      <w:start w:val="1"/>
      <w:numFmt w:val="bullet"/>
      <w:lvlText w:val=""/>
      <w:lvlJc w:val="left"/>
      <w:pPr>
        <w:widowControl w:val="1"/>
        <w:tabs>
          <w:tab w:leader="none" w:pos="5040" w:val="left"/>
        </w:tabs>
        <w:ind w:hanging="360" w:left="5040"/>
      </w:pPr>
      <w:rPr>
        <w:rFonts w:ascii="Symbol" w:hAnsi="Symbol"/>
      </w:rPr>
    </w:lvl>
    <w:lvl w:ilvl="7">
      <w:start w:val="1"/>
      <w:numFmt w:val="bullet"/>
      <w:lvlText w:val="o"/>
      <w:lvlJc w:val="left"/>
      <w:pPr>
        <w:widowControl w:val="1"/>
        <w:tabs>
          <w:tab w:leader="none" w:pos="5760" w:val="left"/>
        </w:tabs>
        <w:ind w:hanging="360" w:left="5760"/>
      </w:pPr>
      <w:rPr>
        <w:rFonts w:ascii="Courier New" w:hAnsi="Courier New"/>
      </w:rPr>
    </w:lvl>
    <w:lvl w:ilvl="8">
      <w:start w:val="1"/>
      <w:numFmt w:val="bullet"/>
      <w:lvlText w:val=""/>
      <w:lvlJc w:val="left"/>
      <w:pPr>
        <w:widowControl w:val="1"/>
        <w:tabs>
          <w:tab w:leader="none" w:pos="6480" w:val="left"/>
        </w:tabs>
        <w:ind w:hanging="360" w:left="6480"/>
      </w:pPr>
      <w:rPr>
        <w:rFonts w:ascii="Wingdings" w:hAnsi="Wingdings"/>
      </w:rPr>
    </w:lvl>
  </w:abstractNum>
  <w:abstractNum w:abstractNumId="24">
    <w:lvl w:ilvl="0">
      <w:start w:val="1"/>
      <w:numFmt w:val="bullet"/>
      <w:lvlText w:val=""/>
      <w:lvlJc w:val="left"/>
      <w:pPr>
        <w:widowControl w:val="1"/>
        <w:ind w:hanging="360" w:left="720"/>
      </w:pPr>
      <w:rPr>
        <w:rFonts w:ascii="Wingdings" w:hAnsi="Wingdings"/>
      </w:rPr>
    </w:lvl>
    <w:lvl w:ilvl="1">
      <w:start w:val="1"/>
      <w:numFmt w:val="bullet"/>
      <w:lvlText w:val="o"/>
      <w:lvlJc w:val="left"/>
      <w:pPr>
        <w:widowControl w:val="1"/>
        <w:ind w:hanging="360" w:left="1440"/>
      </w:pPr>
      <w:rPr>
        <w:rFonts w:ascii="Courier New" w:hAnsi="Courier New"/>
      </w:rPr>
    </w:lvl>
    <w:lvl w:ilvl="2">
      <w:start w:val="1"/>
      <w:numFmt w:val="bullet"/>
      <w:lvlText w:val=""/>
      <w:lvlJc w:val="left"/>
      <w:pPr>
        <w:widowControl w:val="1"/>
        <w:ind w:hanging="360" w:left="2160"/>
      </w:pPr>
      <w:rPr>
        <w:rFonts w:ascii="Wingdings" w:hAnsi="Wingdings"/>
      </w:rPr>
    </w:lvl>
    <w:lvl w:ilvl="3">
      <w:start w:val="1"/>
      <w:numFmt w:val="bullet"/>
      <w:lvlText w:val=""/>
      <w:lvlJc w:val="left"/>
      <w:pPr>
        <w:widowControl w:val="1"/>
        <w:ind w:hanging="360" w:left="2880"/>
      </w:pPr>
      <w:rPr>
        <w:rFonts w:ascii="Symbol" w:hAnsi="Symbol"/>
      </w:rPr>
    </w:lvl>
    <w:lvl w:ilvl="4">
      <w:start w:val="1"/>
      <w:numFmt w:val="bullet"/>
      <w:lvlText w:val="o"/>
      <w:lvlJc w:val="left"/>
      <w:pPr>
        <w:widowControl w:val="1"/>
        <w:ind w:hanging="360" w:left="3600"/>
      </w:pPr>
      <w:rPr>
        <w:rFonts w:ascii="Courier New" w:hAnsi="Courier New"/>
      </w:rPr>
    </w:lvl>
    <w:lvl w:ilvl="5">
      <w:start w:val="1"/>
      <w:numFmt w:val="bullet"/>
      <w:lvlText w:val=""/>
      <w:lvlJc w:val="left"/>
      <w:pPr>
        <w:widowControl w:val="1"/>
        <w:ind w:hanging="360" w:left="4320"/>
      </w:pPr>
      <w:rPr>
        <w:rFonts w:ascii="Wingdings" w:hAnsi="Wingdings"/>
      </w:rPr>
    </w:lvl>
    <w:lvl w:ilvl="6">
      <w:start w:val="1"/>
      <w:numFmt w:val="bullet"/>
      <w:lvlText w:val=""/>
      <w:lvlJc w:val="left"/>
      <w:pPr>
        <w:widowControl w:val="1"/>
        <w:ind w:hanging="360" w:left="5040"/>
      </w:pPr>
      <w:rPr>
        <w:rFonts w:ascii="Symbol" w:hAnsi="Symbol"/>
      </w:rPr>
    </w:lvl>
    <w:lvl w:ilvl="7">
      <w:start w:val="1"/>
      <w:numFmt w:val="bullet"/>
      <w:lvlText w:val="o"/>
      <w:lvlJc w:val="left"/>
      <w:pPr>
        <w:widowControl w:val="1"/>
        <w:ind w:hanging="360" w:left="5760"/>
      </w:pPr>
      <w:rPr>
        <w:rFonts w:ascii="Courier New" w:hAnsi="Courier New"/>
      </w:rPr>
    </w:lvl>
    <w:lvl w:ilvl="8">
      <w:start w:val="1"/>
      <w:numFmt w:val="bullet"/>
      <w:lvlText w:val=""/>
      <w:lvlJc w:val="left"/>
      <w:pPr>
        <w:widowControl w:val="1"/>
        <w:ind w:hanging="360" w:left="6480"/>
      </w:pPr>
      <w:rPr>
        <w:rFonts w:ascii="Wingdings" w:hAnsi="Wingdings"/>
      </w:rPr>
    </w:lvl>
  </w:abstractNum>
  <w:abstractNum w:abstractNumId="25">
    <w:lvl w:ilvl="0">
      <w:start w:val="1"/>
      <w:numFmt w:val="bullet"/>
      <w:lvlText w:val="o"/>
      <w:lvlJc w:val="left"/>
      <w:pPr>
        <w:widowControl w:val="1"/>
        <w:tabs>
          <w:tab w:leader="none" w:pos="1980" w:val="left"/>
        </w:tabs>
        <w:ind w:hanging="360" w:left="1980"/>
      </w:pPr>
      <w:rPr>
        <w:rFonts w:ascii="Courier New" w:hAnsi="Courier New"/>
      </w:rPr>
    </w:lvl>
    <w:lvl w:ilvl="1">
      <w:start w:val="1"/>
      <w:numFmt w:val="bullet"/>
      <w:lvlText w:val="o"/>
      <w:lvlJc w:val="left"/>
      <w:pPr>
        <w:widowControl w:val="1"/>
        <w:tabs>
          <w:tab w:leader="none" w:pos="2478" w:val="left"/>
        </w:tabs>
        <w:ind w:hanging="360" w:left="2478"/>
      </w:pPr>
      <w:rPr>
        <w:rFonts w:ascii="Courier New" w:hAnsi="Courier New"/>
      </w:rPr>
    </w:lvl>
    <w:lvl w:ilvl="2">
      <w:start w:val="1"/>
      <w:numFmt w:val="bullet"/>
      <w:lvlText w:val=""/>
      <w:lvlJc w:val="left"/>
      <w:pPr>
        <w:widowControl w:val="1"/>
        <w:tabs>
          <w:tab w:leader="none" w:pos="3198" w:val="left"/>
        </w:tabs>
        <w:ind w:hanging="360" w:left="3198"/>
      </w:pPr>
      <w:rPr>
        <w:rFonts w:ascii="Wingdings" w:hAnsi="Wingdings"/>
      </w:rPr>
    </w:lvl>
    <w:lvl w:ilvl="3">
      <w:start w:val="1"/>
      <w:numFmt w:val="bullet"/>
      <w:lvlText w:val=""/>
      <w:lvlJc w:val="left"/>
      <w:pPr>
        <w:widowControl w:val="1"/>
        <w:tabs>
          <w:tab w:leader="none" w:pos="3918" w:val="left"/>
        </w:tabs>
        <w:ind w:hanging="360" w:left="3918"/>
      </w:pPr>
      <w:rPr>
        <w:rFonts w:ascii="Symbol" w:hAnsi="Symbol"/>
      </w:rPr>
    </w:lvl>
    <w:lvl w:ilvl="4">
      <w:start w:val="1"/>
      <w:numFmt w:val="bullet"/>
      <w:lvlText w:val="o"/>
      <w:lvlJc w:val="left"/>
      <w:pPr>
        <w:widowControl w:val="1"/>
        <w:tabs>
          <w:tab w:leader="none" w:pos="4638" w:val="left"/>
        </w:tabs>
        <w:ind w:hanging="360" w:left="4638"/>
      </w:pPr>
      <w:rPr>
        <w:rFonts w:ascii="Courier New" w:hAnsi="Courier New"/>
      </w:rPr>
    </w:lvl>
    <w:lvl w:ilvl="5">
      <w:start w:val="1"/>
      <w:numFmt w:val="bullet"/>
      <w:lvlText w:val=""/>
      <w:lvlJc w:val="left"/>
      <w:pPr>
        <w:widowControl w:val="1"/>
        <w:tabs>
          <w:tab w:leader="none" w:pos="5358" w:val="left"/>
        </w:tabs>
        <w:ind w:hanging="360" w:left="5358"/>
      </w:pPr>
      <w:rPr>
        <w:rFonts w:ascii="Wingdings" w:hAnsi="Wingdings"/>
      </w:rPr>
    </w:lvl>
    <w:lvl w:ilvl="6">
      <w:start w:val="1"/>
      <w:numFmt w:val="bullet"/>
      <w:lvlText w:val=""/>
      <w:lvlJc w:val="left"/>
      <w:pPr>
        <w:widowControl w:val="1"/>
        <w:tabs>
          <w:tab w:leader="none" w:pos="6078" w:val="left"/>
        </w:tabs>
        <w:ind w:hanging="360" w:left="6078"/>
      </w:pPr>
      <w:rPr>
        <w:rFonts w:ascii="Symbol" w:hAnsi="Symbol"/>
      </w:rPr>
    </w:lvl>
    <w:lvl w:ilvl="7">
      <w:start w:val="1"/>
      <w:numFmt w:val="bullet"/>
      <w:lvlText w:val="o"/>
      <w:lvlJc w:val="left"/>
      <w:pPr>
        <w:widowControl w:val="1"/>
        <w:tabs>
          <w:tab w:leader="none" w:pos="6798" w:val="left"/>
        </w:tabs>
        <w:ind w:hanging="360" w:left="6798"/>
      </w:pPr>
      <w:rPr>
        <w:rFonts w:ascii="Courier New" w:hAnsi="Courier New"/>
      </w:rPr>
    </w:lvl>
    <w:lvl w:ilvl="8">
      <w:start w:val="1"/>
      <w:numFmt w:val="bullet"/>
      <w:lvlText w:val=""/>
      <w:lvlJc w:val="left"/>
      <w:pPr>
        <w:widowControl w:val="1"/>
        <w:tabs>
          <w:tab w:leader="none" w:pos="7518" w:val="left"/>
        </w:tabs>
        <w:ind w:hanging="360" w:left="7518"/>
      </w:pPr>
      <w:rPr>
        <w:rFonts w:ascii="Wingdings" w:hAnsi="Wingdings"/>
      </w:rPr>
    </w:lvl>
  </w:abstractNum>
  <w:abstractNum w:abstractNumId="26">
    <w:lvl w:ilvl="0">
      <w:start w:val="1"/>
      <w:numFmt w:val="bullet"/>
      <w:lvlText w:val="o"/>
      <w:lvlJc w:val="left"/>
      <w:pPr>
        <w:widowControl w:val="1"/>
        <w:ind w:hanging="360" w:left="720"/>
      </w:pPr>
      <w:rPr>
        <w:rFonts w:ascii="Courier New" w:hAnsi="Courier New"/>
      </w:rPr>
    </w:lvl>
    <w:lvl w:ilvl="1">
      <w:start w:val="1"/>
      <w:numFmt w:val="bullet"/>
      <w:lvlText w:val="o"/>
      <w:lvlJc w:val="left"/>
      <w:pPr>
        <w:widowControl w:val="1"/>
        <w:ind w:hanging="360" w:left="1440"/>
      </w:pPr>
      <w:rPr>
        <w:rFonts w:ascii="Courier New" w:hAnsi="Courier New"/>
      </w:rPr>
    </w:lvl>
    <w:lvl w:ilvl="2">
      <w:start w:val="1"/>
      <w:numFmt w:val="bullet"/>
      <w:lvlText w:val=""/>
      <w:lvlJc w:val="left"/>
      <w:pPr>
        <w:widowControl w:val="1"/>
        <w:ind w:hanging="360" w:left="2160"/>
      </w:pPr>
      <w:rPr>
        <w:rFonts w:ascii="Wingdings" w:hAnsi="Wingdings"/>
      </w:rPr>
    </w:lvl>
    <w:lvl w:ilvl="3">
      <w:start w:val="1"/>
      <w:numFmt w:val="bullet"/>
      <w:lvlText w:val=""/>
      <w:lvlJc w:val="left"/>
      <w:pPr>
        <w:widowControl w:val="1"/>
        <w:ind w:hanging="360" w:left="2880"/>
      </w:pPr>
      <w:rPr>
        <w:rFonts w:ascii="Symbol" w:hAnsi="Symbol"/>
      </w:rPr>
    </w:lvl>
    <w:lvl w:ilvl="4">
      <w:start w:val="1"/>
      <w:numFmt w:val="bullet"/>
      <w:lvlText w:val="o"/>
      <w:lvlJc w:val="left"/>
      <w:pPr>
        <w:widowControl w:val="1"/>
        <w:ind w:hanging="360" w:left="3600"/>
      </w:pPr>
      <w:rPr>
        <w:rFonts w:ascii="Courier New" w:hAnsi="Courier New"/>
      </w:rPr>
    </w:lvl>
    <w:lvl w:ilvl="5">
      <w:start w:val="1"/>
      <w:numFmt w:val="bullet"/>
      <w:lvlText w:val=""/>
      <w:lvlJc w:val="left"/>
      <w:pPr>
        <w:widowControl w:val="1"/>
        <w:ind w:hanging="360" w:left="4320"/>
      </w:pPr>
      <w:rPr>
        <w:rFonts w:ascii="Wingdings" w:hAnsi="Wingdings"/>
      </w:rPr>
    </w:lvl>
    <w:lvl w:ilvl="6">
      <w:start w:val="1"/>
      <w:numFmt w:val="bullet"/>
      <w:lvlText w:val=""/>
      <w:lvlJc w:val="left"/>
      <w:pPr>
        <w:widowControl w:val="1"/>
        <w:ind w:hanging="360" w:left="5040"/>
      </w:pPr>
      <w:rPr>
        <w:rFonts w:ascii="Symbol" w:hAnsi="Symbol"/>
      </w:rPr>
    </w:lvl>
    <w:lvl w:ilvl="7">
      <w:start w:val="1"/>
      <w:numFmt w:val="bullet"/>
      <w:lvlText w:val="o"/>
      <w:lvlJc w:val="left"/>
      <w:pPr>
        <w:widowControl w:val="1"/>
        <w:ind w:hanging="360" w:left="5760"/>
      </w:pPr>
      <w:rPr>
        <w:rFonts w:ascii="Courier New" w:hAnsi="Courier New"/>
      </w:rPr>
    </w:lvl>
    <w:lvl w:ilvl="8">
      <w:start w:val="1"/>
      <w:numFmt w:val="bullet"/>
      <w:lvlText w:val=""/>
      <w:lvlJc w:val="left"/>
      <w:pPr>
        <w:widowControl w:val="1"/>
        <w:ind w:hanging="360" w:left="6480"/>
      </w:pPr>
      <w:rPr>
        <w:rFonts w:ascii="Wingdings" w:hAnsi="Wingdings"/>
      </w:rPr>
    </w:lvl>
  </w:abstractNum>
  <w:abstractNum w:abstractNumId="27">
    <w:lvl w:ilvl="0">
      <w:start w:val="1"/>
      <w:numFmt w:val="bullet"/>
      <w:lvlText w:val="o"/>
      <w:lvlJc w:val="left"/>
      <w:pPr>
        <w:widowControl w:val="1"/>
        <w:tabs>
          <w:tab w:leader="none" w:pos="540" w:val="left"/>
        </w:tabs>
        <w:ind w:hanging="360" w:left="540"/>
      </w:pPr>
      <w:rPr>
        <w:rFonts w:ascii="Courier New" w:hAnsi="Courier New"/>
      </w:rPr>
    </w:lvl>
    <w:lvl w:ilvl="1">
      <w:start w:val="1"/>
      <w:numFmt w:val="bullet"/>
      <w:lvlText w:val="o"/>
      <w:lvlJc w:val="left"/>
      <w:pPr>
        <w:widowControl w:val="1"/>
        <w:tabs>
          <w:tab w:leader="none" w:pos="1260" w:val="left"/>
        </w:tabs>
        <w:ind w:hanging="360" w:left="1260"/>
      </w:pPr>
      <w:rPr>
        <w:rFonts w:ascii="Courier New" w:hAnsi="Courier New"/>
      </w:rPr>
    </w:lvl>
    <w:lvl w:ilvl="2">
      <w:start w:val="1"/>
      <w:numFmt w:val="bullet"/>
      <w:lvlText w:val=""/>
      <w:lvlJc w:val="left"/>
      <w:pPr>
        <w:widowControl w:val="1"/>
        <w:tabs>
          <w:tab w:leader="none" w:pos="1980" w:val="left"/>
        </w:tabs>
        <w:ind w:hanging="360" w:left="1980"/>
      </w:pPr>
      <w:rPr>
        <w:rFonts w:ascii="Wingdings" w:hAnsi="Wingdings"/>
      </w:rPr>
    </w:lvl>
    <w:lvl w:ilvl="3">
      <w:start w:val="1"/>
      <w:numFmt w:val="bullet"/>
      <w:lvlText w:val=""/>
      <w:lvlJc w:val="left"/>
      <w:pPr>
        <w:widowControl w:val="1"/>
        <w:tabs>
          <w:tab w:leader="none" w:pos="2700" w:val="left"/>
        </w:tabs>
        <w:ind w:hanging="360" w:left="2700"/>
      </w:pPr>
      <w:rPr>
        <w:rFonts w:ascii="Symbol" w:hAnsi="Symbol"/>
      </w:rPr>
    </w:lvl>
    <w:lvl w:ilvl="4">
      <w:start w:val="1"/>
      <w:numFmt w:val="bullet"/>
      <w:lvlText w:val="o"/>
      <w:lvlJc w:val="left"/>
      <w:pPr>
        <w:widowControl w:val="1"/>
        <w:tabs>
          <w:tab w:leader="none" w:pos="3420" w:val="left"/>
        </w:tabs>
        <w:ind w:hanging="360" w:left="3420"/>
      </w:pPr>
      <w:rPr>
        <w:rFonts w:ascii="Courier New" w:hAnsi="Courier New"/>
      </w:rPr>
    </w:lvl>
    <w:lvl w:ilvl="5">
      <w:start w:val="1"/>
      <w:numFmt w:val="bullet"/>
      <w:lvlText w:val=""/>
      <w:lvlJc w:val="left"/>
      <w:pPr>
        <w:widowControl w:val="1"/>
        <w:tabs>
          <w:tab w:leader="none" w:pos="4140" w:val="left"/>
        </w:tabs>
        <w:ind w:hanging="360" w:left="4140"/>
      </w:pPr>
      <w:rPr>
        <w:rFonts w:ascii="Wingdings" w:hAnsi="Wingdings"/>
      </w:rPr>
    </w:lvl>
    <w:lvl w:ilvl="6">
      <w:start w:val="1"/>
      <w:numFmt w:val="bullet"/>
      <w:lvlText w:val=""/>
      <w:lvlJc w:val="left"/>
      <w:pPr>
        <w:widowControl w:val="1"/>
        <w:tabs>
          <w:tab w:leader="none" w:pos="4860" w:val="left"/>
        </w:tabs>
        <w:ind w:hanging="360" w:left="4860"/>
      </w:pPr>
      <w:rPr>
        <w:rFonts w:ascii="Symbol" w:hAnsi="Symbol"/>
      </w:rPr>
    </w:lvl>
    <w:lvl w:ilvl="7">
      <w:start w:val="1"/>
      <w:numFmt w:val="bullet"/>
      <w:lvlText w:val="o"/>
      <w:lvlJc w:val="left"/>
      <w:pPr>
        <w:widowControl w:val="1"/>
        <w:tabs>
          <w:tab w:leader="none" w:pos="5580" w:val="left"/>
        </w:tabs>
        <w:ind w:hanging="360" w:left="5580"/>
      </w:pPr>
      <w:rPr>
        <w:rFonts w:ascii="Courier New" w:hAnsi="Courier New"/>
      </w:rPr>
    </w:lvl>
    <w:lvl w:ilvl="8">
      <w:start w:val="1"/>
      <w:numFmt w:val="bullet"/>
      <w:lvlText w:val=""/>
      <w:lvlJc w:val="left"/>
      <w:pPr>
        <w:widowControl w:val="1"/>
        <w:tabs>
          <w:tab w:leader="none" w:pos="6300" w:val="left"/>
        </w:tabs>
        <w:ind w:hanging="360" w:left="6300"/>
      </w:pPr>
      <w:rPr>
        <w:rFonts w:ascii="Wingdings" w:hAnsi="Wingdings"/>
      </w:rPr>
    </w:lvl>
  </w:abstractNum>
  <w:abstractNum w:abstractNumId="28">
    <w:lvl w:ilvl="0">
      <w:start w:val="1"/>
      <w:numFmt w:val="russianLower"/>
      <w:lvlText w:val="%1)"/>
      <w:lvlJc w:val="left"/>
      <w:pPr>
        <w:widowControl w:val="1"/>
        <w:ind w:hanging="360" w:left="720"/>
      </w:pPr>
    </w:lvl>
    <w:lvl w:ilvl="1">
      <w:start w:val="1"/>
      <w:numFmt w:val="lowerLetter"/>
      <w:lvlText w:val="%2."/>
      <w:lvlJc w:val="left"/>
      <w:pPr>
        <w:widowControl w:val="1"/>
        <w:ind w:hanging="360" w:left="1440"/>
      </w:pPr>
    </w:lvl>
    <w:lvl w:ilvl="2">
      <w:start w:val="1"/>
      <w:numFmt w:val="lowerRoman"/>
      <w:lvlText w:val="%3."/>
      <w:lvlJc w:val="right"/>
      <w:pPr>
        <w:widowControl w:val="1"/>
        <w:ind w:hanging="180" w:left="2160"/>
      </w:pPr>
    </w:lvl>
    <w:lvl w:ilvl="3">
      <w:start w:val="1"/>
      <w:numFmt w:val="decimal"/>
      <w:lvlText w:val="%4."/>
      <w:lvlJc w:val="left"/>
      <w:pPr>
        <w:widowControl w:val="1"/>
        <w:ind w:hanging="360" w:left="2880"/>
      </w:pPr>
    </w:lvl>
    <w:lvl w:ilvl="4">
      <w:start w:val="1"/>
      <w:numFmt w:val="lowerLetter"/>
      <w:lvlText w:val="%5."/>
      <w:lvlJc w:val="left"/>
      <w:pPr>
        <w:widowControl w:val="1"/>
        <w:ind w:hanging="360" w:left="3600"/>
      </w:pPr>
    </w:lvl>
    <w:lvl w:ilvl="5">
      <w:start w:val="1"/>
      <w:numFmt w:val="lowerRoman"/>
      <w:lvlText w:val="%6."/>
      <w:lvlJc w:val="right"/>
      <w:pPr>
        <w:widowControl w:val="1"/>
        <w:ind w:hanging="180" w:left="4320"/>
      </w:pPr>
    </w:lvl>
    <w:lvl w:ilvl="6">
      <w:start w:val="1"/>
      <w:numFmt w:val="decimal"/>
      <w:lvlText w:val="%7."/>
      <w:lvlJc w:val="left"/>
      <w:pPr>
        <w:widowControl w:val="1"/>
        <w:ind w:hanging="360" w:left="5040"/>
      </w:pPr>
    </w:lvl>
    <w:lvl w:ilvl="7">
      <w:start w:val="1"/>
      <w:numFmt w:val="lowerLetter"/>
      <w:lvlText w:val="%8."/>
      <w:lvlJc w:val="left"/>
      <w:pPr>
        <w:widowControl w:val="1"/>
        <w:ind w:hanging="360" w:left="5760"/>
      </w:pPr>
    </w:lvl>
    <w:lvl w:ilvl="8">
      <w:start w:val="1"/>
      <w:numFmt w:val="lowerRoman"/>
      <w:lvlText w:val="%9."/>
      <w:lvlJc w:val="right"/>
      <w:pPr>
        <w:widowControl w:val="1"/>
        <w:ind w:hanging="180" w:left="6480"/>
      </w:pPr>
    </w:lvl>
  </w:abstractNum>
  <w:abstractNum w:abstractNumId="29">
    <w:lvl w:ilvl="0">
      <w:start w:val="1"/>
      <w:numFmt w:val="decimal"/>
      <w:lvlText w:val="%1."/>
      <w:lvlJc w:val="left"/>
      <w:pPr>
        <w:widowControl w:val="1"/>
        <w:tabs>
          <w:tab w:leader="none" w:pos="357" w:val="left"/>
        </w:tabs>
        <w:ind w:hanging="360" w:left="360"/>
      </w:pPr>
    </w:lvl>
    <w:lvl w:ilvl="1">
      <w:start w:val="1"/>
      <w:numFmt w:val="lowerLetter"/>
      <w:lvlText w:val="%2."/>
      <w:lvlJc w:val="left"/>
      <w:pPr>
        <w:widowControl w:val="1"/>
        <w:ind w:hanging="360" w:left="1080"/>
      </w:pPr>
    </w:lvl>
    <w:lvl w:ilvl="2">
      <w:start w:val="1"/>
      <w:numFmt w:val="lowerRoman"/>
      <w:lvlText w:val="%3."/>
      <w:lvlJc w:val="right"/>
      <w:pPr>
        <w:widowControl w:val="1"/>
        <w:ind w:hanging="180" w:left="1800"/>
      </w:pPr>
    </w:lvl>
    <w:lvl w:ilvl="3">
      <w:start w:val="1"/>
      <w:numFmt w:val="decimal"/>
      <w:lvlText w:val="%4."/>
      <w:lvlJc w:val="left"/>
      <w:pPr>
        <w:widowControl w:val="1"/>
        <w:ind w:hanging="360" w:left="2520"/>
      </w:pPr>
    </w:lvl>
    <w:lvl w:ilvl="4">
      <w:start w:val="1"/>
      <w:numFmt w:val="lowerLetter"/>
      <w:lvlText w:val="%5."/>
      <w:lvlJc w:val="left"/>
      <w:pPr>
        <w:widowControl w:val="1"/>
        <w:ind w:hanging="360" w:left="3240"/>
      </w:pPr>
    </w:lvl>
    <w:lvl w:ilvl="5">
      <w:start w:val="1"/>
      <w:numFmt w:val="lowerRoman"/>
      <w:lvlText w:val="%6."/>
      <w:lvlJc w:val="right"/>
      <w:pPr>
        <w:widowControl w:val="1"/>
        <w:ind w:hanging="180" w:left="3960"/>
      </w:pPr>
    </w:lvl>
    <w:lvl w:ilvl="6">
      <w:start w:val="1"/>
      <w:numFmt w:val="decimal"/>
      <w:lvlText w:val="%7."/>
      <w:lvlJc w:val="left"/>
      <w:pPr>
        <w:widowControl w:val="1"/>
        <w:ind w:hanging="360" w:left="4680"/>
      </w:pPr>
    </w:lvl>
    <w:lvl w:ilvl="7">
      <w:start w:val="1"/>
      <w:numFmt w:val="lowerLetter"/>
      <w:lvlText w:val="%8."/>
      <w:lvlJc w:val="left"/>
      <w:pPr>
        <w:widowControl w:val="1"/>
        <w:ind w:hanging="360" w:left="5400"/>
      </w:pPr>
    </w:lvl>
    <w:lvl w:ilvl="8">
      <w:start w:val="1"/>
      <w:numFmt w:val="lowerRoman"/>
      <w:lvlText w:val="%9."/>
      <w:lvlJc w:val="right"/>
      <w:pPr>
        <w:widowControl w:val="1"/>
        <w:ind w:hanging="180" w:left="6120"/>
      </w:pPr>
    </w:lvl>
  </w:abstractNum>
  <w:abstractNum w:abstractNumId="30">
    <w:lvl w:ilvl="0">
      <w:start w:val="1"/>
      <w:numFmt w:val="decimal"/>
      <w:lvlText w:val="%1."/>
      <w:lvlJc w:val="left"/>
      <w:pPr>
        <w:widowControl w:val="1"/>
        <w:tabs>
          <w:tab w:leader="none" w:pos="1066" w:val="left"/>
        </w:tabs>
        <w:ind w:hanging="360" w:left="1069"/>
      </w:pPr>
    </w:lvl>
    <w:lvl w:ilvl="1">
      <w:start w:val="1"/>
      <w:numFmt w:val="lowerLetter"/>
      <w:lvlText w:val="%2."/>
      <w:lvlJc w:val="left"/>
      <w:pPr>
        <w:widowControl w:val="1"/>
        <w:ind w:hanging="360" w:left="2149"/>
      </w:pPr>
    </w:lvl>
    <w:lvl w:ilvl="2">
      <w:start w:val="1"/>
      <w:numFmt w:val="lowerRoman"/>
      <w:lvlText w:val="%3."/>
      <w:lvlJc w:val="right"/>
      <w:pPr>
        <w:widowControl w:val="1"/>
        <w:ind w:hanging="180" w:left="2869"/>
      </w:pPr>
    </w:lvl>
    <w:lvl w:ilvl="3">
      <w:start w:val="1"/>
      <w:numFmt w:val="decimal"/>
      <w:lvlText w:val="%4."/>
      <w:lvlJc w:val="left"/>
      <w:pPr>
        <w:widowControl w:val="1"/>
        <w:ind w:hanging="360" w:left="3589"/>
      </w:pPr>
    </w:lvl>
    <w:lvl w:ilvl="4">
      <w:start w:val="1"/>
      <w:numFmt w:val="lowerLetter"/>
      <w:lvlText w:val="%5."/>
      <w:lvlJc w:val="left"/>
      <w:pPr>
        <w:widowControl w:val="1"/>
        <w:ind w:hanging="360" w:left="4309"/>
      </w:pPr>
    </w:lvl>
    <w:lvl w:ilvl="5">
      <w:start w:val="1"/>
      <w:numFmt w:val="lowerRoman"/>
      <w:lvlText w:val="%6."/>
      <w:lvlJc w:val="right"/>
      <w:pPr>
        <w:widowControl w:val="1"/>
        <w:ind w:hanging="180" w:left="5029"/>
      </w:pPr>
    </w:lvl>
    <w:lvl w:ilvl="6">
      <w:start w:val="1"/>
      <w:numFmt w:val="decimal"/>
      <w:lvlText w:val="%7."/>
      <w:lvlJc w:val="left"/>
      <w:pPr>
        <w:widowControl w:val="1"/>
        <w:ind w:hanging="360" w:left="5749"/>
      </w:pPr>
    </w:lvl>
    <w:lvl w:ilvl="7">
      <w:start w:val="1"/>
      <w:numFmt w:val="lowerLetter"/>
      <w:lvlText w:val="%8."/>
      <w:lvlJc w:val="left"/>
      <w:pPr>
        <w:widowControl w:val="1"/>
        <w:ind w:hanging="360" w:left="6469"/>
      </w:pPr>
    </w:lvl>
    <w:lvl w:ilvl="8">
      <w:start w:val="1"/>
      <w:numFmt w:val="lowerRoman"/>
      <w:lvlText w:val="%9."/>
      <w:lvlJc w:val="right"/>
      <w:pPr>
        <w:widowControl w:val="1"/>
        <w:ind w:hanging="180" w:left="7189"/>
      </w:pPr>
    </w:lvl>
  </w:abstractNum>
  <w:abstractNum w:abstractNumId="31">
    <w:lvl w:ilvl="0">
      <w:start w:val="1"/>
      <w:numFmt w:val="bullet"/>
      <w:lvlText w:val=""/>
      <w:lvlJc w:val="left"/>
      <w:pPr>
        <w:widowControl w:val="1"/>
        <w:tabs>
          <w:tab w:leader="none" w:pos="1428" w:val="left"/>
        </w:tabs>
        <w:ind w:hanging="360" w:left="1428"/>
      </w:pPr>
      <w:rPr>
        <w:rFonts w:ascii="Symbol" w:hAnsi="Symbol"/>
      </w:rPr>
    </w:lvl>
    <w:lvl w:ilvl="1">
      <w:start w:val="1"/>
      <w:numFmt w:val="bullet"/>
      <w:lvlText w:val="o"/>
      <w:lvlJc w:val="left"/>
      <w:pPr>
        <w:widowControl w:val="1"/>
        <w:tabs>
          <w:tab w:leader="none" w:pos="2148" w:val="left"/>
        </w:tabs>
        <w:ind w:hanging="360" w:left="2148"/>
      </w:pPr>
      <w:rPr>
        <w:rFonts w:ascii="Courier New" w:hAnsi="Courier New"/>
      </w:rPr>
    </w:lvl>
    <w:lvl w:ilvl="2">
      <w:start w:val="1"/>
      <w:numFmt w:val="bullet"/>
      <w:lvlText w:val=""/>
      <w:lvlJc w:val="left"/>
      <w:pPr>
        <w:widowControl w:val="1"/>
        <w:tabs>
          <w:tab w:leader="none" w:pos="2868" w:val="left"/>
        </w:tabs>
        <w:ind w:hanging="360" w:left="2868"/>
      </w:pPr>
      <w:rPr>
        <w:rFonts w:ascii="Wingdings" w:hAnsi="Wingdings"/>
      </w:rPr>
    </w:lvl>
    <w:lvl w:ilvl="3">
      <w:start w:val="1"/>
      <w:numFmt w:val="bullet"/>
      <w:lvlText w:val=""/>
      <w:lvlJc w:val="left"/>
      <w:pPr>
        <w:widowControl w:val="1"/>
        <w:tabs>
          <w:tab w:leader="none" w:pos="3588" w:val="left"/>
        </w:tabs>
        <w:ind w:hanging="360" w:left="3588"/>
      </w:pPr>
      <w:rPr>
        <w:rFonts w:ascii="Symbol" w:hAnsi="Symbol"/>
      </w:rPr>
    </w:lvl>
    <w:lvl w:ilvl="4">
      <w:start w:val="1"/>
      <w:numFmt w:val="bullet"/>
      <w:lvlText w:val="o"/>
      <w:lvlJc w:val="left"/>
      <w:pPr>
        <w:widowControl w:val="1"/>
        <w:tabs>
          <w:tab w:leader="none" w:pos="4308" w:val="left"/>
        </w:tabs>
        <w:ind w:hanging="360" w:left="4308"/>
      </w:pPr>
      <w:rPr>
        <w:rFonts w:ascii="Courier New" w:hAnsi="Courier New"/>
      </w:rPr>
    </w:lvl>
    <w:lvl w:ilvl="5">
      <w:start w:val="1"/>
      <w:numFmt w:val="bullet"/>
      <w:lvlText w:val=""/>
      <w:lvlJc w:val="left"/>
      <w:pPr>
        <w:widowControl w:val="1"/>
        <w:tabs>
          <w:tab w:leader="none" w:pos="5028" w:val="left"/>
        </w:tabs>
        <w:ind w:hanging="360" w:left="5028"/>
      </w:pPr>
      <w:rPr>
        <w:rFonts w:ascii="Wingdings" w:hAnsi="Wingdings"/>
      </w:rPr>
    </w:lvl>
    <w:lvl w:ilvl="6">
      <w:start w:val="1"/>
      <w:numFmt w:val="bullet"/>
      <w:lvlText w:val=""/>
      <w:lvlJc w:val="left"/>
      <w:pPr>
        <w:widowControl w:val="1"/>
        <w:tabs>
          <w:tab w:leader="none" w:pos="5748" w:val="left"/>
        </w:tabs>
        <w:ind w:hanging="360" w:left="5748"/>
      </w:pPr>
      <w:rPr>
        <w:rFonts w:ascii="Symbol" w:hAnsi="Symbol"/>
      </w:rPr>
    </w:lvl>
    <w:lvl w:ilvl="7">
      <w:start w:val="1"/>
      <w:numFmt w:val="bullet"/>
      <w:lvlText w:val="o"/>
      <w:lvlJc w:val="left"/>
      <w:pPr>
        <w:widowControl w:val="1"/>
        <w:tabs>
          <w:tab w:leader="none" w:pos="6468" w:val="left"/>
        </w:tabs>
        <w:ind w:hanging="360" w:left="6468"/>
      </w:pPr>
      <w:rPr>
        <w:rFonts w:ascii="Courier New" w:hAnsi="Courier New"/>
      </w:rPr>
    </w:lvl>
    <w:lvl w:ilvl="8">
      <w:start w:val="1"/>
      <w:numFmt w:val="bullet"/>
      <w:lvlText w:val=""/>
      <w:lvlJc w:val="left"/>
      <w:pPr>
        <w:widowControl w:val="1"/>
        <w:tabs>
          <w:tab w:leader="none" w:pos="7188" w:val="left"/>
        </w:tabs>
        <w:ind w:hanging="360" w:left="7188"/>
      </w:pPr>
      <w:rPr>
        <w:rFonts w:ascii="Wingdings" w:hAnsi="Wingdings"/>
      </w:rPr>
    </w:lvl>
  </w:abstractNum>
  <w:abstractNum w:abstractNumId="32">
    <w:lvl w:ilvl="0">
      <w:start w:val="1"/>
      <w:numFmt w:val="bullet"/>
      <w:lvlText w:val=""/>
      <w:lvlJc w:val="left"/>
      <w:pPr>
        <w:widowControl w:val="1"/>
        <w:tabs>
          <w:tab w:leader="none" w:pos="360" w:val="left"/>
        </w:tabs>
        <w:ind w:hanging="360" w:left="360"/>
      </w:pPr>
      <w:rPr>
        <w:rFonts w:ascii="Symbol" w:hAnsi="Symbol"/>
      </w:rPr>
    </w:lvl>
    <w:lvl w:ilvl="1">
      <w:start w:val="1"/>
      <w:numFmt w:val="bullet"/>
      <w:lvlText w:val="o"/>
      <w:lvlJc w:val="left"/>
      <w:pPr>
        <w:widowControl w:val="1"/>
        <w:tabs>
          <w:tab w:leader="none" w:pos="1080" w:val="left"/>
        </w:tabs>
        <w:ind w:hanging="360" w:left="1080"/>
      </w:pPr>
      <w:rPr>
        <w:rFonts w:ascii="Courier New" w:hAnsi="Courier New"/>
      </w:rPr>
    </w:lvl>
    <w:lvl w:ilvl="2">
      <w:start w:val="1"/>
      <w:numFmt w:val="bullet"/>
      <w:lvlText w:val=""/>
      <w:lvlJc w:val="left"/>
      <w:pPr>
        <w:widowControl w:val="1"/>
        <w:tabs>
          <w:tab w:leader="none" w:pos="1800" w:val="left"/>
        </w:tabs>
        <w:ind w:hanging="360" w:left="1800"/>
      </w:pPr>
      <w:rPr>
        <w:rFonts w:ascii="Wingdings" w:hAnsi="Wingdings"/>
      </w:rPr>
    </w:lvl>
    <w:lvl w:ilvl="3">
      <w:start w:val="1"/>
      <w:numFmt w:val="bullet"/>
      <w:lvlText w:val=""/>
      <w:lvlJc w:val="left"/>
      <w:pPr>
        <w:widowControl w:val="1"/>
        <w:tabs>
          <w:tab w:leader="none" w:pos="2520" w:val="left"/>
        </w:tabs>
        <w:ind w:hanging="360" w:left="2520"/>
      </w:pPr>
      <w:rPr>
        <w:rFonts w:ascii="Symbol" w:hAnsi="Symbol"/>
      </w:rPr>
    </w:lvl>
    <w:lvl w:ilvl="4">
      <w:start w:val="1"/>
      <w:numFmt w:val="bullet"/>
      <w:lvlText w:val="o"/>
      <w:lvlJc w:val="left"/>
      <w:pPr>
        <w:widowControl w:val="1"/>
        <w:tabs>
          <w:tab w:leader="none" w:pos="3240" w:val="left"/>
        </w:tabs>
        <w:ind w:hanging="360" w:left="3240"/>
      </w:pPr>
      <w:rPr>
        <w:rFonts w:ascii="Courier New" w:hAnsi="Courier New"/>
      </w:rPr>
    </w:lvl>
    <w:lvl w:ilvl="5">
      <w:start w:val="1"/>
      <w:numFmt w:val="bullet"/>
      <w:lvlText w:val=""/>
      <w:lvlJc w:val="left"/>
      <w:pPr>
        <w:widowControl w:val="1"/>
        <w:tabs>
          <w:tab w:leader="none" w:pos="3960" w:val="left"/>
        </w:tabs>
        <w:ind w:hanging="360" w:left="3960"/>
      </w:pPr>
      <w:rPr>
        <w:rFonts w:ascii="Wingdings" w:hAnsi="Wingdings"/>
      </w:rPr>
    </w:lvl>
    <w:lvl w:ilvl="6">
      <w:start w:val="1"/>
      <w:numFmt w:val="bullet"/>
      <w:lvlText w:val=""/>
      <w:lvlJc w:val="left"/>
      <w:pPr>
        <w:widowControl w:val="1"/>
        <w:tabs>
          <w:tab w:leader="none" w:pos="4680" w:val="left"/>
        </w:tabs>
        <w:ind w:hanging="360" w:left="4680"/>
      </w:pPr>
      <w:rPr>
        <w:rFonts w:ascii="Symbol" w:hAnsi="Symbol"/>
      </w:rPr>
    </w:lvl>
    <w:lvl w:ilvl="7">
      <w:start w:val="1"/>
      <w:numFmt w:val="bullet"/>
      <w:lvlText w:val="o"/>
      <w:lvlJc w:val="left"/>
      <w:pPr>
        <w:widowControl w:val="1"/>
        <w:tabs>
          <w:tab w:leader="none" w:pos="5400" w:val="left"/>
        </w:tabs>
        <w:ind w:hanging="360" w:left="5400"/>
      </w:pPr>
      <w:rPr>
        <w:rFonts w:ascii="Courier New" w:hAnsi="Courier New"/>
      </w:rPr>
    </w:lvl>
    <w:lvl w:ilvl="8">
      <w:start w:val="1"/>
      <w:numFmt w:val="bullet"/>
      <w:lvlText w:val=""/>
      <w:lvlJc w:val="left"/>
      <w:pPr>
        <w:widowControl w:val="1"/>
        <w:tabs>
          <w:tab w:leader="none" w:pos="6120" w:val="left"/>
        </w:tabs>
        <w:ind w:hanging="360" w:left="6120"/>
      </w:pPr>
      <w:rPr>
        <w:rFonts w:ascii="Wingdings" w:hAnsi="Wingdings"/>
      </w:rPr>
    </w:lvl>
  </w:abstractNum>
  <w:abstractNum w:abstractNumId="33">
    <w:lvl w:ilvl="0">
      <w:start w:val="1"/>
      <w:numFmt w:val="bullet"/>
      <w:lvlText w:val=""/>
      <w:lvlJc w:val="left"/>
      <w:pPr>
        <w:widowControl w:val="1"/>
        <w:tabs>
          <w:tab w:leader="none" w:pos="360" w:val="left"/>
        </w:tabs>
        <w:ind w:hanging="360" w:left="360"/>
      </w:pPr>
      <w:rPr>
        <w:rFonts w:ascii="Symbol" w:hAnsi="Symbol"/>
      </w:rPr>
    </w:lvl>
    <w:lvl w:ilvl="1">
      <w:start w:val="1"/>
      <w:numFmt w:val="bullet"/>
      <w:lvlText w:val="o"/>
      <w:lvlJc w:val="left"/>
      <w:pPr>
        <w:widowControl w:val="1"/>
        <w:tabs>
          <w:tab w:leader="none" w:pos="2291" w:val="left"/>
        </w:tabs>
        <w:ind w:hanging="360" w:left="2291"/>
      </w:pPr>
      <w:rPr>
        <w:rFonts w:ascii="Courier New" w:hAnsi="Courier New"/>
      </w:rPr>
    </w:lvl>
    <w:lvl w:ilvl="2">
      <w:start w:val="1"/>
      <w:numFmt w:val="bullet"/>
      <w:lvlText w:val=""/>
      <w:lvlJc w:val="left"/>
      <w:pPr>
        <w:widowControl w:val="1"/>
        <w:tabs>
          <w:tab w:leader="none" w:pos="3011" w:val="left"/>
        </w:tabs>
        <w:ind w:hanging="360" w:left="3011"/>
      </w:pPr>
      <w:rPr>
        <w:rFonts w:ascii="Wingdings" w:hAnsi="Wingdings"/>
      </w:rPr>
    </w:lvl>
    <w:lvl w:ilvl="3">
      <w:start w:val="1"/>
      <w:numFmt w:val="bullet"/>
      <w:lvlText w:val=""/>
      <w:lvlJc w:val="left"/>
      <w:pPr>
        <w:widowControl w:val="1"/>
        <w:tabs>
          <w:tab w:leader="none" w:pos="3731" w:val="left"/>
        </w:tabs>
        <w:ind w:hanging="360" w:left="3731"/>
      </w:pPr>
      <w:rPr>
        <w:rFonts w:ascii="Symbol" w:hAnsi="Symbol"/>
      </w:rPr>
    </w:lvl>
    <w:lvl w:ilvl="4">
      <w:start w:val="1"/>
      <w:numFmt w:val="bullet"/>
      <w:lvlText w:val="o"/>
      <w:lvlJc w:val="left"/>
      <w:pPr>
        <w:widowControl w:val="1"/>
        <w:tabs>
          <w:tab w:leader="none" w:pos="4451" w:val="left"/>
        </w:tabs>
        <w:ind w:hanging="360" w:left="4451"/>
      </w:pPr>
      <w:rPr>
        <w:rFonts w:ascii="Courier New" w:hAnsi="Courier New"/>
      </w:rPr>
    </w:lvl>
    <w:lvl w:ilvl="5">
      <w:start w:val="1"/>
      <w:numFmt w:val="bullet"/>
      <w:lvlText w:val=""/>
      <w:lvlJc w:val="left"/>
      <w:pPr>
        <w:widowControl w:val="1"/>
        <w:tabs>
          <w:tab w:leader="none" w:pos="5171" w:val="left"/>
        </w:tabs>
        <w:ind w:hanging="360" w:left="5171"/>
      </w:pPr>
      <w:rPr>
        <w:rFonts w:ascii="Wingdings" w:hAnsi="Wingdings"/>
      </w:rPr>
    </w:lvl>
    <w:lvl w:ilvl="6">
      <w:start w:val="1"/>
      <w:numFmt w:val="bullet"/>
      <w:lvlText w:val=""/>
      <w:lvlJc w:val="left"/>
      <w:pPr>
        <w:widowControl w:val="1"/>
        <w:tabs>
          <w:tab w:leader="none" w:pos="5891" w:val="left"/>
        </w:tabs>
        <w:ind w:hanging="360" w:left="5891"/>
      </w:pPr>
      <w:rPr>
        <w:rFonts w:ascii="Symbol" w:hAnsi="Symbol"/>
      </w:rPr>
    </w:lvl>
    <w:lvl w:ilvl="7">
      <w:start w:val="1"/>
      <w:numFmt w:val="bullet"/>
      <w:lvlText w:val="o"/>
      <w:lvlJc w:val="left"/>
      <w:pPr>
        <w:widowControl w:val="1"/>
        <w:tabs>
          <w:tab w:leader="none" w:pos="6611" w:val="left"/>
        </w:tabs>
        <w:ind w:hanging="360" w:left="6611"/>
      </w:pPr>
      <w:rPr>
        <w:rFonts w:ascii="Courier New" w:hAnsi="Courier New"/>
      </w:rPr>
    </w:lvl>
    <w:lvl w:ilvl="8">
      <w:start w:val="1"/>
      <w:numFmt w:val="bullet"/>
      <w:lvlText w:val=""/>
      <w:lvlJc w:val="left"/>
      <w:pPr>
        <w:widowControl w:val="1"/>
        <w:tabs>
          <w:tab w:leader="none" w:pos="7331" w:val="left"/>
        </w:tabs>
        <w:ind w:hanging="360" w:left="7331"/>
      </w:pPr>
      <w:rPr>
        <w:rFonts w:ascii="Wingdings" w:hAnsi="Wingdings"/>
      </w:rPr>
    </w:lvl>
  </w:abstractNum>
  <w:abstractNum w:abstractNumId="34">
    <w:lvl w:ilvl="0">
      <w:start w:val="1"/>
      <w:numFmt w:val="bullet"/>
      <w:lvlText w:val=""/>
      <w:lvlJc w:val="left"/>
      <w:pPr>
        <w:widowControl w:val="1"/>
        <w:tabs>
          <w:tab w:leader="none" w:pos="357" w:val="left"/>
        </w:tabs>
        <w:ind w:hanging="360" w:left="360"/>
      </w:pPr>
      <w:rPr>
        <w:rFonts w:ascii="Symbol" w:hAnsi="Symbol"/>
      </w:rPr>
    </w:lvl>
    <w:lvl w:ilvl="1">
      <w:start w:val="1"/>
      <w:numFmt w:val="bullet"/>
      <w:lvlText w:val="o"/>
      <w:lvlJc w:val="left"/>
      <w:pPr>
        <w:widowControl w:val="1"/>
        <w:ind w:hanging="360" w:left="2149"/>
      </w:pPr>
      <w:rPr>
        <w:rFonts w:ascii="Courier New" w:hAnsi="Courier New"/>
      </w:rPr>
    </w:lvl>
    <w:lvl w:ilvl="2">
      <w:start w:val="1"/>
      <w:numFmt w:val="bullet"/>
      <w:lvlText w:val=""/>
      <w:lvlJc w:val="left"/>
      <w:pPr>
        <w:widowControl w:val="1"/>
        <w:ind w:hanging="360" w:left="2869"/>
      </w:pPr>
      <w:rPr>
        <w:rFonts w:ascii="Wingdings" w:hAnsi="Wingdings"/>
      </w:rPr>
    </w:lvl>
    <w:lvl w:ilvl="3">
      <w:start w:val="1"/>
      <w:numFmt w:val="bullet"/>
      <w:lvlText w:val=""/>
      <w:lvlJc w:val="left"/>
      <w:pPr>
        <w:widowControl w:val="1"/>
        <w:ind w:hanging="360" w:left="3589"/>
      </w:pPr>
      <w:rPr>
        <w:rFonts w:ascii="Symbol" w:hAnsi="Symbol"/>
      </w:rPr>
    </w:lvl>
    <w:lvl w:ilvl="4">
      <w:start w:val="1"/>
      <w:numFmt w:val="bullet"/>
      <w:lvlText w:val="o"/>
      <w:lvlJc w:val="left"/>
      <w:pPr>
        <w:widowControl w:val="1"/>
        <w:ind w:hanging="360" w:left="4309"/>
      </w:pPr>
      <w:rPr>
        <w:rFonts w:ascii="Courier New" w:hAnsi="Courier New"/>
      </w:rPr>
    </w:lvl>
    <w:lvl w:ilvl="5">
      <w:start w:val="1"/>
      <w:numFmt w:val="bullet"/>
      <w:lvlText w:val=""/>
      <w:lvlJc w:val="left"/>
      <w:pPr>
        <w:widowControl w:val="1"/>
        <w:ind w:hanging="360" w:left="5029"/>
      </w:pPr>
      <w:rPr>
        <w:rFonts w:ascii="Wingdings" w:hAnsi="Wingdings"/>
      </w:rPr>
    </w:lvl>
    <w:lvl w:ilvl="6">
      <w:start w:val="1"/>
      <w:numFmt w:val="bullet"/>
      <w:lvlText w:val=""/>
      <w:lvlJc w:val="left"/>
      <w:pPr>
        <w:widowControl w:val="1"/>
        <w:ind w:hanging="360" w:left="5749"/>
      </w:pPr>
      <w:rPr>
        <w:rFonts w:ascii="Symbol" w:hAnsi="Symbol"/>
      </w:rPr>
    </w:lvl>
    <w:lvl w:ilvl="7">
      <w:start w:val="1"/>
      <w:numFmt w:val="bullet"/>
      <w:lvlText w:val="o"/>
      <w:lvlJc w:val="left"/>
      <w:pPr>
        <w:widowControl w:val="1"/>
        <w:ind w:hanging="360" w:left="6469"/>
      </w:pPr>
      <w:rPr>
        <w:rFonts w:ascii="Courier New" w:hAnsi="Courier New"/>
      </w:rPr>
    </w:lvl>
    <w:lvl w:ilvl="8">
      <w:start w:val="1"/>
      <w:numFmt w:val="bullet"/>
      <w:lvlText w:val=""/>
      <w:lvlJc w:val="left"/>
      <w:pPr>
        <w:widowControl w:val="1"/>
        <w:ind w:hanging="360" w:left="7189"/>
      </w:pPr>
      <w:rPr>
        <w:rFonts w:ascii="Wingdings" w:hAnsi="Wingdings"/>
      </w:rPr>
    </w:lvl>
  </w:abstractNum>
  <w:abstractNum w:abstractNumId="35">
    <w:lvl w:ilvl="0">
      <w:start w:val="1"/>
      <w:numFmt w:val="decimal"/>
      <w:lvlText w:val="%1."/>
      <w:lvlJc w:val="left"/>
      <w:pPr>
        <w:widowControl w:val="1"/>
        <w:tabs>
          <w:tab w:leader="none" w:pos="1005" w:val="left"/>
        </w:tabs>
        <w:ind w:hanging="645" w:left="1005"/>
      </w:pPr>
    </w:lvl>
    <w:lvl w:ilvl="1">
      <w:start w:val="0"/>
      <w:numFmt w:val="decimal"/>
      <w:lvlJc w:val="left"/>
      <w:pPr>
        <w:widowControl w:val="1"/>
        <w:tabs>
          <w:tab w:leader="none" w:pos="360" w:val="left"/>
        </w:tabs>
        <w:ind/>
      </w:pPr>
    </w:lvl>
    <w:lvl w:ilvl="2">
      <w:start w:val="0"/>
      <w:numFmt w:val="decimal"/>
      <w:lvlJc w:val="left"/>
      <w:pPr>
        <w:widowControl w:val="1"/>
        <w:tabs>
          <w:tab w:leader="none" w:pos="360" w:val="left"/>
        </w:tabs>
        <w:ind/>
      </w:pPr>
    </w:lvl>
    <w:lvl w:ilvl="3">
      <w:start w:val="0"/>
      <w:numFmt w:val="decimal"/>
      <w:lvlJc w:val="left"/>
      <w:pPr>
        <w:widowControl w:val="1"/>
        <w:tabs>
          <w:tab w:leader="none" w:pos="360" w:val="left"/>
        </w:tabs>
        <w:ind/>
      </w:pPr>
    </w:lvl>
    <w:lvl w:ilvl="4">
      <w:start w:val="0"/>
      <w:numFmt w:val="decimal"/>
      <w:lvlJc w:val="left"/>
      <w:pPr>
        <w:widowControl w:val="1"/>
        <w:tabs>
          <w:tab w:leader="none" w:pos="360" w:val="left"/>
        </w:tabs>
        <w:ind/>
      </w:pPr>
    </w:lvl>
    <w:lvl w:ilvl="5">
      <w:start w:val="0"/>
      <w:numFmt w:val="decimal"/>
      <w:lvlJc w:val="left"/>
      <w:pPr>
        <w:widowControl w:val="1"/>
        <w:tabs>
          <w:tab w:leader="none" w:pos="360" w:val="left"/>
        </w:tabs>
        <w:ind/>
      </w:pPr>
    </w:lvl>
    <w:lvl w:ilvl="6">
      <w:start w:val="0"/>
      <w:numFmt w:val="decimal"/>
      <w:lvlJc w:val="left"/>
      <w:pPr>
        <w:widowControl w:val="1"/>
        <w:tabs>
          <w:tab w:leader="none" w:pos="360" w:val="left"/>
        </w:tabs>
        <w:ind/>
      </w:pPr>
    </w:lvl>
    <w:lvl w:ilvl="7">
      <w:start w:val="0"/>
      <w:numFmt w:val="decimal"/>
      <w:lvlJc w:val="left"/>
      <w:pPr>
        <w:widowControl w:val="1"/>
        <w:tabs>
          <w:tab w:leader="none" w:pos="360" w:val="left"/>
        </w:tabs>
        <w:ind/>
      </w:pPr>
    </w:lvl>
    <w:lvl w:ilvl="8">
      <w:start w:val="0"/>
      <w:numFmt w:val="decimal"/>
      <w:lvlJc w:val="left"/>
      <w:pPr>
        <w:widowControl w:val="1"/>
        <w:tabs>
          <w:tab w:leader="none" w:pos="360" w:val="left"/>
        </w:tabs>
        <w:ind/>
      </w:pPr>
    </w:lvl>
  </w:abstractNum>
  <w:abstractNum w:abstractNumId="36">
    <w:lvl w:ilvl="0">
      <w:start w:val="1"/>
      <w:numFmt w:val="bullet"/>
      <w:lvlText w:val=""/>
      <w:lvlJc w:val="left"/>
      <w:pPr>
        <w:widowControl w:val="1"/>
        <w:tabs>
          <w:tab w:leader="none" w:pos="360" w:val="left"/>
        </w:tabs>
        <w:ind w:hanging="360" w:left="360"/>
      </w:pPr>
      <w:rPr>
        <w:rFonts w:ascii="Symbol" w:hAnsi="Symbol"/>
      </w:rPr>
    </w:lvl>
  </w:abstractNum>
  <w:abstractNum w:abstractNumId="37">
    <w:lvl w:ilvl="0">
      <w:start w:val="1"/>
      <w:numFmt w:val="bullet"/>
      <w:lvlText w:val=""/>
      <w:lvlJc w:val="left"/>
      <w:pPr>
        <w:widowControl w:val="1"/>
        <w:tabs>
          <w:tab w:leader="none" w:pos="1571" w:val="left"/>
        </w:tabs>
        <w:ind w:hanging="360" w:left="1571"/>
      </w:pPr>
      <w:rPr>
        <w:rFonts w:ascii="Symbol" w:hAnsi="Symbol"/>
      </w:rPr>
    </w:lvl>
    <w:lvl w:ilvl="1">
      <w:start w:val="1"/>
      <w:numFmt w:val="bullet"/>
      <w:lvlText w:val="o"/>
      <w:lvlJc w:val="left"/>
      <w:pPr>
        <w:widowControl w:val="1"/>
        <w:tabs>
          <w:tab w:leader="none" w:pos="2291" w:val="left"/>
        </w:tabs>
        <w:ind w:hanging="360" w:left="2291"/>
      </w:pPr>
      <w:rPr>
        <w:rFonts w:ascii="Courier New" w:hAnsi="Courier New"/>
      </w:rPr>
    </w:lvl>
    <w:lvl w:ilvl="2">
      <w:start w:val="1"/>
      <w:numFmt w:val="bullet"/>
      <w:lvlText w:val=""/>
      <w:lvlJc w:val="left"/>
      <w:pPr>
        <w:widowControl w:val="1"/>
        <w:tabs>
          <w:tab w:leader="none" w:pos="3011" w:val="left"/>
        </w:tabs>
        <w:ind w:hanging="360" w:left="3011"/>
      </w:pPr>
      <w:rPr>
        <w:rFonts w:ascii="Wingdings" w:hAnsi="Wingdings"/>
      </w:rPr>
    </w:lvl>
    <w:lvl w:ilvl="3">
      <w:start w:val="1"/>
      <w:numFmt w:val="bullet"/>
      <w:lvlText w:val=""/>
      <w:lvlJc w:val="left"/>
      <w:pPr>
        <w:widowControl w:val="1"/>
        <w:tabs>
          <w:tab w:leader="none" w:pos="3731" w:val="left"/>
        </w:tabs>
        <w:ind w:hanging="360" w:left="3731"/>
      </w:pPr>
      <w:rPr>
        <w:rFonts w:ascii="Symbol" w:hAnsi="Symbol"/>
      </w:rPr>
    </w:lvl>
    <w:lvl w:ilvl="4">
      <w:start w:val="1"/>
      <w:numFmt w:val="bullet"/>
      <w:lvlText w:val="o"/>
      <w:lvlJc w:val="left"/>
      <w:pPr>
        <w:widowControl w:val="1"/>
        <w:tabs>
          <w:tab w:leader="none" w:pos="4451" w:val="left"/>
        </w:tabs>
        <w:ind w:hanging="360" w:left="4451"/>
      </w:pPr>
      <w:rPr>
        <w:rFonts w:ascii="Courier New" w:hAnsi="Courier New"/>
      </w:rPr>
    </w:lvl>
    <w:lvl w:ilvl="5">
      <w:start w:val="1"/>
      <w:numFmt w:val="bullet"/>
      <w:lvlText w:val=""/>
      <w:lvlJc w:val="left"/>
      <w:pPr>
        <w:widowControl w:val="1"/>
        <w:tabs>
          <w:tab w:leader="none" w:pos="5171" w:val="left"/>
        </w:tabs>
        <w:ind w:hanging="360" w:left="5171"/>
      </w:pPr>
      <w:rPr>
        <w:rFonts w:ascii="Wingdings" w:hAnsi="Wingdings"/>
      </w:rPr>
    </w:lvl>
    <w:lvl w:ilvl="6">
      <w:start w:val="1"/>
      <w:numFmt w:val="bullet"/>
      <w:lvlText w:val=""/>
      <w:lvlJc w:val="left"/>
      <w:pPr>
        <w:widowControl w:val="1"/>
        <w:tabs>
          <w:tab w:leader="none" w:pos="5891" w:val="left"/>
        </w:tabs>
        <w:ind w:hanging="360" w:left="5891"/>
      </w:pPr>
      <w:rPr>
        <w:rFonts w:ascii="Symbol" w:hAnsi="Symbol"/>
      </w:rPr>
    </w:lvl>
    <w:lvl w:ilvl="7">
      <w:start w:val="1"/>
      <w:numFmt w:val="bullet"/>
      <w:lvlText w:val="o"/>
      <w:lvlJc w:val="left"/>
      <w:pPr>
        <w:widowControl w:val="1"/>
        <w:tabs>
          <w:tab w:leader="none" w:pos="6611" w:val="left"/>
        </w:tabs>
        <w:ind w:hanging="360" w:left="6611"/>
      </w:pPr>
      <w:rPr>
        <w:rFonts w:ascii="Courier New" w:hAnsi="Courier New"/>
      </w:rPr>
    </w:lvl>
    <w:lvl w:ilvl="8">
      <w:start w:val="1"/>
      <w:numFmt w:val="bullet"/>
      <w:lvlText w:val=""/>
      <w:lvlJc w:val="left"/>
      <w:pPr>
        <w:widowControl w:val="1"/>
        <w:tabs>
          <w:tab w:leader="none" w:pos="7331" w:val="left"/>
        </w:tabs>
        <w:ind w:hanging="360" w:left="7331"/>
      </w:pPr>
      <w:rPr>
        <w:rFonts w:ascii="Wingdings" w:hAnsi="Wingdings"/>
      </w:rPr>
    </w:lvl>
  </w:abstractNum>
  <w:abstractNum w:abstractNumId="38">
    <w:lvl w:ilvl="0">
      <w:start w:val="1"/>
      <w:numFmt w:val="decimal"/>
      <w:lvlText w:val="%1."/>
      <w:lvlJc w:val="left"/>
      <w:pPr>
        <w:widowControl w:val="1"/>
        <w:ind w:hanging="405" w:left="405"/>
      </w:pPr>
    </w:lvl>
    <w:lvl w:ilvl="1">
      <w:start w:val="1"/>
      <w:numFmt w:val="decimal"/>
      <w:lvlText w:val="%1.%2."/>
      <w:lvlJc w:val="left"/>
      <w:pPr>
        <w:widowControl w:val="1"/>
        <w:ind w:hanging="405" w:left="405"/>
      </w:pPr>
    </w:lvl>
    <w:lvl w:ilvl="2">
      <w:start w:val="1"/>
      <w:numFmt w:val="decimal"/>
      <w:lvlText w:val="%1.%2.%3."/>
      <w:lvlJc w:val="left"/>
      <w:pPr>
        <w:widowControl w:val="1"/>
        <w:ind w:hanging="720" w:left="720"/>
      </w:pPr>
    </w:lvl>
    <w:lvl w:ilvl="3">
      <w:start w:val="1"/>
      <w:numFmt w:val="decimal"/>
      <w:lvlText w:val="%1.%2.%3.%4."/>
      <w:lvlJc w:val="left"/>
      <w:pPr>
        <w:widowControl w:val="1"/>
        <w:ind w:hanging="720" w:left="720"/>
      </w:pPr>
    </w:lvl>
    <w:lvl w:ilvl="4">
      <w:start w:val="1"/>
      <w:numFmt w:val="decimal"/>
      <w:lvlText w:val="%1.%2.%3.%4.%5."/>
      <w:lvlJc w:val="left"/>
      <w:pPr>
        <w:widowControl w:val="1"/>
        <w:ind w:hanging="1080" w:left="1080"/>
      </w:pPr>
    </w:lvl>
    <w:lvl w:ilvl="5">
      <w:start w:val="1"/>
      <w:numFmt w:val="decimal"/>
      <w:lvlText w:val="%1.%2.%3.%4.%5.%6."/>
      <w:lvlJc w:val="left"/>
      <w:pPr>
        <w:widowControl w:val="1"/>
        <w:ind w:hanging="1080" w:left="1080"/>
      </w:pPr>
    </w:lvl>
    <w:lvl w:ilvl="6">
      <w:start w:val="1"/>
      <w:numFmt w:val="decimal"/>
      <w:lvlText w:val="%1.%2.%3.%4.%5.%6.%7."/>
      <w:lvlJc w:val="left"/>
      <w:pPr>
        <w:widowControl w:val="1"/>
        <w:ind w:hanging="1440" w:left="1440"/>
      </w:pPr>
    </w:lvl>
    <w:lvl w:ilvl="7">
      <w:start w:val="1"/>
      <w:numFmt w:val="decimal"/>
      <w:lvlText w:val="%1.%2.%3.%4.%5.%6.%7.%8."/>
      <w:lvlJc w:val="left"/>
      <w:pPr>
        <w:widowControl w:val="1"/>
        <w:ind w:hanging="1440" w:left="1440"/>
      </w:pPr>
    </w:lvl>
    <w:lvl w:ilvl="8">
      <w:start w:val="1"/>
      <w:numFmt w:val="decimal"/>
      <w:lvlText w:val="%1.%2.%3.%4.%5.%6.%7.%8.%9."/>
      <w:lvlJc w:val="left"/>
      <w:pPr>
        <w:widowControl w:val="1"/>
        <w:ind w:hanging="1800" w:left="1800"/>
      </w:pPr>
    </w:lvl>
  </w:abstractNum>
  <w:abstractNum w:abstractNumId="39">
    <w:lvl w:ilvl="0">
      <w:start w:val="1"/>
      <w:numFmt w:val="decimal"/>
      <w:lvlText w:val="%1."/>
      <w:lvlJc w:val="left"/>
      <w:pPr>
        <w:widowControl w:val="1"/>
        <w:tabs>
          <w:tab w:leader="none" w:pos="720" w:val="left"/>
        </w:tabs>
        <w:ind w:hanging="360" w:left="720"/>
      </w:pPr>
    </w:lvl>
    <w:lvl w:ilvl="1">
      <w:start w:val="1"/>
      <w:numFmt w:val="lowerLetter"/>
      <w:lvlText w:val="%2."/>
      <w:lvlJc w:val="left"/>
      <w:pPr>
        <w:widowControl w:val="1"/>
        <w:tabs>
          <w:tab w:leader="none" w:pos="1440" w:val="left"/>
        </w:tabs>
        <w:ind w:hanging="360" w:left="1440"/>
      </w:pPr>
    </w:lvl>
    <w:lvl w:ilvl="2">
      <w:start w:val="1"/>
      <w:numFmt w:val="lowerRoman"/>
      <w:lvlText w:val="%3."/>
      <w:lvlJc w:val="right"/>
      <w:pPr>
        <w:widowControl w:val="1"/>
        <w:tabs>
          <w:tab w:leader="none" w:pos="2160" w:val="left"/>
        </w:tabs>
        <w:ind w:hanging="180" w:left="2160"/>
      </w:pPr>
    </w:lvl>
    <w:lvl w:ilvl="3">
      <w:start w:val="1"/>
      <w:numFmt w:val="decimal"/>
      <w:lvlText w:val="%4."/>
      <w:lvlJc w:val="left"/>
      <w:pPr>
        <w:widowControl w:val="1"/>
        <w:tabs>
          <w:tab w:leader="none" w:pos="2880" w:val="left"/>
        </w:tabs>
        <w:ind w:hanging="360" w:left="2880"/>
      </w:pPr>
    </w:lvl>
    <w:lvl w:ilvl="4">
      <w:start w:val="1"/>
      <w:numFmt w:val="lowerLetter"/>
      <w:lvlText w:val="%5."/>
      <w:lvlJc w:val="left"/>
      <w:pPr>
        <w:widowControl w:val="1"/>
        <w:tabs>
          <w:tab w:leader="none" w:pos="3600" w:val="left"/>
        </w:tabs>
        <w:ind w:hanging="360" w:left="3600"/>
      </w:pPr>
    </w:lvl>
    <w:lvl w:ilvl="5">
      <w:start w:val="1"/>
      <w:numFmt w:val="lowerRoman"/>
      <w:lvlText w:val="%6."/>
      <w:lvlJc w:val="right"/>
      <w:pPr>
        <w:widowControl w:val="1"/>
        <w:tabs>
          <w:tab w:leader="none" w:pos="4320" w:val="left"/>
        </w:tabs>
        <w:ind w:hanging="180" w:left="4320"/>
      </w:pPr>
    </w:lvl>
    <w:lvl w:ilvl="6">
      <w:start w:val="1"/>
      <w:numFmt w:val="decimal"/>
      <w:lvlText w:val="%7."/>
      <w:lvlJc w:val="left"/>
      <w:pPr>
        <w:widowControl w:val="1"/>
        <w:tabs>
          <w:tab w:leader="none" w:pos="5040" w:val="left"/>
        </w:tabs>
        <w:ind w:hanging="360" w:left="5040"/>
      </w:pPr>
    </w:lvl>
    <w:lvl w:ilvl="7">
      <w:start w:val="1"/>
      <w:numFmt w:val="lowerLetter"/>
      <w:lvlText w:val="%8."/>
      <w:lvlJc w:val="left"/>
      <w:pPr>
        <w:widowControl w:val="1"/>
        <w:tabs>
          <w:tab w:leader="none" w:pos="5760" w:val="left"/>
        </w:tabs>
        <w:ind w:hanging="360" w:left="5760"/>
      </w:pPr>
    </w:lvl>
    <w:lvl w:ilvl="8">
      <w:start w:val="1"/>
      <w:numFmt w:val="lowerRoman"/>
      <w:lvlText w:val="%9."/>
      <w:lvlJc w:val="right"/>
      <w:pPr>
        <w:widowControl w:val="1"/>
        <w:tabs>
          <w:tab w:leader="none" w:pos="6480" w:val="left"/>
        </w:tabs>
        <w:ind w:hanging="180" w:left="6480"/>
      </w:pPr>
    </w:lvl>
  </w:abstractNum>
  <w:abstractNum w:abstractNumId="40">
    <w:lvl w:ilvl="0">
      <w:start w:val="1"/>
      <w:numFmt w:val="decimal"/>
      <w:lvlText w:val="%1."/>
      <w:lvlJc w:val="left"/>
      <w:pPr>
        <w:widowControl w:val="1"/>
        <w:tabs>
          <w:tab w:leader="none" w:pos="720" w:val="left"/>
        </w:tabs>
        <w:ind w:hanging="360" w:left="720"/>
      </w:pPr>
    </w:lvl>
    <w:lvl w:ilvl="1">
      <w:start w:val="1"/>
      <w:numFmt w:val="decimal"/>
      <w:lvlText w:val="%1.%2."/>
      <w:lvlJc w:val="left"/>
      <w:pPr>
        <w:widowControl w:val="1"/>
        <w:ind w:hanging="480" w:left="840"/>
      </w:pPr>
    </w:lvl>
    <w:lvl w:ilvl="2">
      <w:start w:val="1"/>
      <w:numFmt w:val="decimal"/>
      <w:lvlText w:val="%1.%2.%3."/>
      <w:lvlJc w:val="left"/>
      <w:pPr>
        <w:widowControl w:val="1"/>
        <w:ind w:hanging="720" w:left="1080"/>
      </w:pPr>
    </w:lvl>
    <w:lvl w:ilvl="3">
      <w:start w:val="1"/>
      <w:numFmt w:val="decimal"/>
      <w:lvlText w:val="%1.%2.%3.%4."/>
      <w:lvlJc w:val="left"/>
      <w:pPr>
        <w:widowControl w:val="1"/>
        <w:ind w:hanging="720" w:left="1080"/>
      </w:pPr>
    </w:lvl>
    <w:lvl w:ilvl="4">
      <w:start w:val="1"/>
      <w:numFmt w:val="decimal"/>
      <w:lvlText w:val="%1.%2.%3.%4.%5."/>
      <w:lvlJc w:val="left"/>
      <w:pPr>
        <w:widowControl w:val="1"/>
        <w:ind w:hanging="1080" w:left="1440"/>
      </w:pPr>
    </w:lvl>
    <w:lvl w:ilvl="5">
      <w:start w:val="1"/>
      <w:numFmt w:val="decimal"/>
      <w:lvlText w:val="%1.%2.%3.%4.%5.%6."/>
      <w:lvlJc w:val="left"/>
      <w:pPr>
        <w:widowControl w:val="1"/>
        <w:ind w:hanging="1080" w:left="1440"/>
      </w:pPr>
    </w:lvl>
    <w:lvl w:ilvl="6">
      <w:start w:val="1"/>
      <w:numFmt w:val="decimal"/>
      <w:lvlText w:val="%1.%2.%3.%4.%5.%6.%7."/>
      <w:lvlJc w:val="left"/>
      <w:pPr>
        <w:widowControl w:val="1"/>
        <w:ind w:hanging="1440" w:left="1800"/>
      </w:pPr>
    </w:lvl>
    <w:lvl w:ilvl="7">
      <w:start w:val="1"/>
      <w:numFmt w:val="decimal"/>
      <w:lvlText w:val="%1.%2.%3.%4.%5.%6.%7.%8."/>
      <w:lvlJc w:val="left"/>
      <w:pPr>
        <w:widowControl w:val="1"/>
        <w:ind w:hanging="1440" w:left="1800"/>
      </w:pPr>
    </w:lvl>
    <w:lvl w:ilvl="8">
      <w:start w:val="1"/>
      <w:numFmt w:val="decimal"/>
      <w:lvlText w:val="%1.%2.%3.%4.%5.%6.%7.%8.%9."/>
      <w:lvlJc w:val="left"/>
      <w:pPr>
        <w:widowControl w:val="1"/>
        <w:ind w:hanging="1800" w:left="2160"/>
      </w:pPr>
    </w:lvl>
  </w:abstractNum>
  <w:abstractNum w:abstractNumId="41">
    <w:lvl w:ilvl="0">
      <w:start w:val="1"/>
      <w:numFmt w:val="upperRoman"/>
      <w:pStyle w:val="Style_37"/>
      <w:lvlText w:val="%1"/>
      <w:lvlJc w:val="left"/>
      <w:pPr>
        <w:widowControl w:val="1"/>
        <w:tabs>
          <w:tab w:leader="none" w:pos="567" w:val="left"/>
        </w:tabs>
        <w:ind w:hanging="567" w:left="567"/>
      </w:pPr>
      <w:rPr>
        <w:rFonts w:ascii="Arial" w:hAnsi="Arial"/>
        <w:sz w:val="28"/>
      </w:rPr>
    </w:lvl>
    <w:lvl w:ilvl="1">
      <w:start w:val="1"/>
      <w:numFmt w:val="decimal"/>
      <w:pStyle w:val="Style_38"/>
      <w:lvlJc w:val="left"/>
      <w:pPr>
        <w:widowControl w:val="1"/>
        <w:tabs>
          <w:tab w:leader="none" w:pos="567" w:val="left"/>
        </w:tabs>
        <w:ind w:hanging="567" w:left="567"/>
      </w:pPr>
      <w:rPr>
        <w:rFonts w:ascii="Arial" w:hAnsi="Arial"/>
        <w:b w:val="1"/>
        <w:i w:val="0"/>
        <w:sz w:val="24"/>
      </w:rPr>
    </w:lvl>
    <w:lvl w:ilvl="2">
      <w:start w:val="1"/>
      <w:numFmt w:val="decimal"/>
      <w:pStyle w:val="Style_61"/>
      <w:lvlText w:val="Статья %3"/>
      <w:lvlJc w:val="left"/>
      <w:pPr>
        <w:widowControl w:val="1"/>
        <w:tabs>
          <w:tab w:leader="none" w:pos="1985" w:val="left"/>
        </w:tabs>
        <w:ind w:hanging="1134" w:left="1985"/>
      </w:pPr>
      <w:rPr>
        <w:rFonts w:ascii="Arial Narrow" w:hAnsi="Arial Narrow"/>
        <w:b w:val="1"/>
        <w:i w:val="0"/>
        <w:sz w:val="24"/>
      </w:rPr>
    </w:lvl>
    <w:lvl w:ilvl="3">
      <w:start w:val="1"/>
      <w:numFmt w:val="decimal"/>
      <w:pStyle w:val="Style_27"/>
      <w:lvlText w:val="%3.%4"/>
      <w:lvlJc w:val="left"/>
      <w:pPr>
        <w:widowControl w:val="1"/>
        <w:tabs>
          <w:tab w:leader="none" w:pos="1423" w:val="left"/>
        </w:tabs>
        <w:ind w:hanging="397" w:left="1423"/>
      </w:pPr>
      <w:rPr>
        <w:rFonts w:ascii="Arial Narrow" w:hAnsi="Arial Narrow"/>
        <w:b w:val="1"/>
        <w:i w:val="0"/>
        <w:sz w:val="24"/>
      </w:rPr>
    </w:lvl>
    <w:lvl w:ilvl="4">
      <w:start w:val="1"/>
      <w:numFmt w:val="decimal"/>
      <w:pStyle w:val="Style_47"/>
      <w:lvlJc w:val="left"/>
      <w:pPr>
        <w:widowControl w:val="1"/>
        <w:tabs>
          <w:tab w:leader="none" w:pos="1134" w:val="left"/>
        </w:tabs>
        <w:ind w:hanging="567" w:left="1134"/>
      </w:pPr>
      <w:rPr>
        <w:rFonts w:ascii="Arial Narrow" w:hAnsi="Arial Narrow"/>
        <w:b w:val="1"/>
        <w:i w:val="0"/>
        <w:sz w:val="22"/>
      </w:rPr>
    </w:lvl>
    <w:lvl w:ilvl="5">
      <w:start w:val="1"/>
      <w:numFmt w:val="decimal"/>
      <w:pStyle w:val="Style_161"/>
      <w:lvlText w:val="%6)"/>
      <w:lvlJc w:val="left"/>
      <w:pPr>
        <w:widowControl w:val="1"/>
        <w:tabs>
          <w:tab w:leader="none" w:pos="1477" w:val="left"/>
        </w:tabs>
        <w:ind w:hanging="397" w:left="1477"/>
      </w:pPr>
      <w:rPr>
        <w:rFonts w:ascii="Arial Narrow" w:hAnsi="Arial Narrow"/>
        <w:b w:val="0"/>
        <w:i w:val="0"/>
        <w:sz w:val="24"/>
      </w:rPr>
    </w:lvl>
    <w:lvl w:ilvl="6">
      <w:start w:val="1"/>
      <w:numFmt w:val="bullet"/>
      <w:pStyle w:val="Style_214"/>
      <w:lvlText w:val=""/>
      <w:lvlJc w:val="left"/>
      <w:pPr>
        <w:widowControl w:val="1"/>
        <w:tabs>
          <w:tab w:leader="none" w:pos="1701" w:val="left"/>
        </w:tabs>
        <w:ind w:hanging="397" w:left="1701"/>
      </w:pPr>
      <w:rPr>
        <w:rFonts w:ascii="Symbol" w:hAnsi="Symbol"/>
        <w:b w:val="1"/>
        <w:i w:val="0"/>
        <w:sz w:val="24"/>
      </w:rPr>
    </w:lvl>
    <w:lvl w:ilvl="7">
      <w:start w:val="1"/>
      <w:numFmt w:val="lowerLetter"/>
      <w:lvlText w:val="%8."/>
      <w:lvlJc w:val="left"/>
      <w:pPr>
        <w:widowControl w:val="1"/>
        <w:tabs>
          <w:tab w:leader="none" w:pos="2007" w:val="left"/>
        </w:tabs>
        <w:ind w:hanging="432" w:left="2007"/>
      </w:pPr>
    </w:lvl>
    <w:lvl w:ilvl="8">
      <w:start w:val="1"/>
      <w:numFmt w:val="lowerRoman"/>
      <w:lvlText w:val="%9."/>
      <w:lvlJc w:val="right"/>
      <w:pPr>
        <w:widowControl w:val="1"/>
        <w:tabs>
          <w:tab w:leader="none" w:pos="2151" w:val="left"/>
        </w:tabs>
        <w:ind w:hanging="144" w:left="2151"/>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0" w:uiPriority="9" w:unhideWhenUsed="0"/>
    <w:lsdException w:name="heading 7" w:qFormat="1" w:semiHidden="0" w:uiPriority="9" w:unhideWhenUsed="0"/>
    <w:lsdException w:name="heading 8" w:qFormat="1" w:semiHidden="0" w:uiPriority="9" w:unhideWhenUsed="0"/>
    <w:lsdException w:name="heading 9" w:qFormat="1" w:semiHidden="0" w:uiPriority="9" w:unhideWhenUsed="0"/>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34" w:type="paragraph">
    <w:name w:val="Normal"/>
    <w:link w:val="Style_34_ch"/>
    <w:uiPriority w:val="0"/>
    <w:qFormat/>
    <w:rPr>
      <w:sz w:val="24"/>
    </w:rPr>
  </w:style>
  <w:style w:default="1" w:styleId="Style_34_ch" w:type="character">
    <w:name w:val="Normal"/>
    <w:link w:val="Style_34"/>
    <w:rPr>
      <w:sz w:val="24"/>
    </w:rPr>
  </w:style>
  <w:style w:styleId="Style_35" w:type="paragraph">
    <w:name w:val="xl20"/>
    <w:basedOn w:val="Style_34"/>
    <w:link w:val="Style_35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sz w:val="20"/>
    </w:rPr>
  </w:style>
  <w:style w:styleId="Style_35_ch" w:type="character">
    <w:name w:val="xl20"/>
    <w:basedOn w:val="Style_34_ch"/>
    <w:link w:val="Style_35"/>
    <w:rPr>
      <w:sz w:val="20"/>
    </w:rPr>
  </w:style>
  <w:style w:styleId="Style_36" w:type="paragraph">
    <w:name w:val="Обычный5"/>
    <w:link w:val="Style_36_ch"/>
  </w:style>
  <w:style w:styleId="Style_36_ch" w:type="character">
    <w:name w:val="Обычный5"/>
    <w:link w:val="Style_36"/>
  </w:style>
  <w:style w:styleId="Style_37" w:type="paragraph">
    <w:name w:val="Д_Глава"/>
    <w:basedOn w:val="Style_34"/>
    <w:next w:val="Style_38"/>
    <w:link w:val="Style_37_ch"/>
    <w:pPr>
      <w:widowControl w:val="1"/>
      <w:numPr>
        <w:ilvl w:val="0"/>
        <w:numId w:val="42"/>
      </w:numPr>
      <w:tabs>
        <w:tab w:leader="none" w:pos="567" w:val="left"/>
      </w:tabs>
      <w:spacing w:after="120" w:before="240"/>
      <w:ind w:hanging="567" w:left="567"/>
    </w:pPr>
    <w:rPr>
      <w:rFonts w:ascii="Arial" w:hAnsi="Arial"/>
      <w:b w:val="1"/>
      <w:sz w:val="28"/>
    </w:rPr>
  </w:style>
  <w:style w:styleId="Style_37_ch" w:type="character">
    <w:name w:val="Д_Глава"/>
    <w:basedOn w:val="Style_34_ch"/>
    <w:link w:val="Style_37"/>
    <w:rPr>
      <w:rFonts w:ascii="Arial" w:hAnsi="Arial"/>
      <w:b w:val="1"/>
      <w:sz w:val="28"/>
    </w:rPr>
  </w:style>
  <w:style w:styleId="Style_39" w:type="paragraph">
    <w:name w:val="xl89"/>
    <w:basedOn w:val="Style_34"/>
    <w:link w:val="Style_39_ch"/>
    <w:pPr>
      <w:widowControl w:val="1"/>
      <w:pBdr>
        <w:top w:color="000000" w:space="0" w:sz="4" w:val="single"/>
        <w:left w:color="000000" w:space="0" w:sz="8" w:val="single"/>
        <w:right w:color="000000" w:space="0" w:sz="4" w:val="single"/>
      </w:pBdr>
      <w:spacing w:afterAutospacing="on" w:beforeAutospacing="on"/>
      <w:ind/>
    </w:pPr>
    <w:rPr>
      <w:b w:val="1"/>
    </w:rPr>
  </w:style>
  <w:style w:styleId="Style_39_ch" w:type="character">
    <w:name w:val="xl89"/>
    <w:basedOn w:val="Style_34_ch"/>
    <w:link w:val="Style_39"/>
    <w:rPr>
      <w:b w:val="1"/>
    </w:rPr>
  </w:style>
  <w:style w:styleId="Style_24" w:type="paragraph">
    <w:name w:val="ConsPlusNormal"/>
    <w:link w:val="Style_24_ch"/>
    <w:pPr>
      <w:widowControl w:val="0"/>
      <w:ind w:firstLine="720"/>
    </w:pPr>
    <w:rPr>
      <w:rFonts w:ascii="Arial" w:hAnsi="Arial"/>
      <w:sz w:val="16"/>
    </w:rPr>
  </w:style>
  <w:style w:styleId="Style_24_ch" w:type="character">
    <w:name w:val="ConsPlusNormal"/>
    <w:link w:val="Style_24"/>
    <w:rPr>
      <w:rFonts w:ascii="Arial" w:hAnsi="Arial"/>
      <w:sz w:val="16"/>
    </w:rPr>
  </w:style>
  <w:style w:styleId="Style_40" w:type="paragraph">
    <w:name w:val="xl45"/>
    <w:basedOn w:val="Style_34"/>
    <w:link w:val="Style_40_ch"/>
    <w:pPr>
      <w:widowControl w:val="1"/>
      <w:pBdr>
        <w:top w:color="000000" w:space="0" w:sz="4" w:val="single"/>
        <w:left w:color="000000" w:space="9" w:sz="4" w:val="single"/>
        <w:bottom w:color="000000" w:space="0" w:sz="4" w:val="single"/>
        <w:right w:color="000000" w:space="0" w:sz="4" w:val="single"/>
      </w:pBdr>
      <w:spacing w:afterAutospacing="on" w:beforeAutospacing="on"/>
      <w:ind/>
    </w:pPr>
  </w:style>
  <w:style w:styleId="Style_40_ch" w:type="character">
    <w:name w:val="xl45"/>
    <w:basedOn w:val="Style_34_ch"/>
    <w:link w:val="Style_40"/>
  </w:style>
  <w:style w:styleId="Style_41" w:type="paragraph">
    <w:name w:val="Обычный текст + 12 пт"/>
    <w:basedOn w:val="Style_17"/>
    <w:link w:val="Style_41_ch"/>
    <w:pPr>
      <w:widowControl w:val="1"/>
      <w:spacing w:after="0"/>
      <w:ind w:right="-2"/>
      <w:jc w:val="both"/>
    </w:pPr>
    <w:rPr>
      <w:sz w:val="24"/>
    </w:rPr>
  </w:style>
  <w:style w:styleId="Style_41_ch" w:type="character">
    <w:name w:val="Обычный текст + 12 пт"/>
    <w:basedOn w:val="Style_17_ch"/>
    <w:link w:val="Style_41"/>
    <w:rPr>
      <w:sz w:val="24"/>
    </w:rPr>
  </w:style>
  <w:style w:styleId="Style_42" w:type="paragraph">
    <w:name w:val="xl74"/>
    <w:basedOn w:val="Style_34"/>
    <w:link w:val="Style_42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rFonts w:ascii="Arial CYR" w:hAnsi="Arial CYR"/>
      <w:b w:val="1"/>
      <w:sz w:val="16"/>
    </w:rPr>
  </w:style>
  <w:style w:styleId="Style_42_ch" w:type="character">
    <w:name w:val="xl74"/>
    <w:basedOn w:val="Style_34_ch"/>
    <w:link w:val="Style_42"/>
    <w:rPr>
      <w:rFonts w:ascii="Arial CYR" w:hAnsi="Arial CYR"/>
      <w:b w:val="1"/>
      <w:sz w:val="16"/>
    </w:rPr>
  </w:style>
  <w:style w:styleId="Style_6" w:type="paragraph">
    <w:name w:val="toc 2"/>
    <w:basedOn w:val="Style_34"/>
    <w:next w:val="Style_34"/>
    <w:link w:val="Style_6_ch"/>
    <w:uiPriority w:val="39"/>
    <w:pPr>
      <w:widowControl w:val="1"/>
      <w:tabs>
        <w:tab w:leader="none" w:pos="709" w:val="left"/>
        <w:tab w:leader="none" w:pos="851" w:val="left"/>
        <w:tab w:leader="dot" w:pos="9639" w:val="right"/>
      </w:tabs>
      <w:ind/>
    </w:pPr>
  </w:style>
  <w:style w:styleId="Style_6_ch" w:type="character">
    <w:name w:val="toc 2"/>
    <w:basedOn w:val="Style_34_ch"/>
    <w:link w:val="Style_6"/>
  </w:style>
  <w:style w:styleId="Style_43" w:type="paragraph">
    <w:name w:val="Комментарий пользователя"/>
    <w:basedOn w:val="Style_44"/>
    <w:next w:val="Style_34"/>
    <w:link w:val="Style_43_ch"/>
    <w:pPr>
      <w:widowControl w:val="1"/>
      <w:ind/>
      <w:jc w:val="left"/>
    </w:pPr>
    <w:rPr>
      <w:color w:val="000080"/>
    </w:rPr>
  </w:style>
  <w:style w:styleId="Style_43_ch" w:type="character">
    <w:name w:val="Комментарий пользователя"/>
    <w:basedOn w:val="Style_44_ch"/>
    <w:link w:val="Style_43"/>
    <w:rPr>
      <w:color w:val="000080"/>
    </w:rPr>
  </w:style>
  <w:style w:styleId="Style_45" w:type="paragraph">
    <w:name w:val="xl64"/>
    <w:basedOn w:val="Style_34"/>
    <w:link w:val="Style_45_ch"/>
    <w:pPr>
      <w:widowControl w:val="1"/>
      <w:pBdr>
        <w:right w:color="969696" w:space="0" w:sz="4" w:val="dotted"/>
      </w:pBdr>
      <w:spacing w:afterAutospacing="on" w:beforeAutospacing="on"/>
      <w:ind/>
    </w:pPr>
  </w:style>
  <w:style w:styleId="Style_45_ch" w:type="character">
    <w:name w:val="xl64"/>
    <w:basedOn w:val="Style_34_ch"/>
    <w:link w:val="Style_45"/>
  </w:style>
  <w:style w:styleId="Style_46" w:type="paragraph">
    <w:name w:val="xl86"/>
    <w:basedOn w:val="Style_34"/>
    <w:link w:val="Style_46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rFonts w:ascii="Arial" w:hAnsi="Arial"/>
    </w:rPr>
  </w:style>
  <w:style w:styleId="Style_46_ch" w:type="character">
    <w:name w:val="xl86"/>
    <w:basedOn w:val="Style_34_ch"/>
    <w:link w:val="Style_46"/>
    <w:rPr>
      <w:rFonts w:ascii="Arial" w:hAnsi="Arial"/>
    </w:rPr>
  </w:style>
  <w:style w:styleId="Style_47" w:type="paragraph">
    <w:name w:val="Д_СтПунктБ№"/>
    <w:basedOn w:val="Style_34"/>
    <w:link w:val="Style_47_ch"/>
    <w:pPr>
      <w:widowControl w:val="1"/>
      <w:numPr>
        <w:ilvl w:val="4"/>
        <w:numId w:val="42"/>
      </w:numPr>
      <w:tabs>
        <w:tab w:leader="none" w:pos="1134" w:val="left"/>
      </w:tabs>
      <w:spacing w:after="120"/>
      <w:ind w:hanging="567" w:left="1134"/>
    </w:pPr>
    <w:rPr>
      <w:rFonts w:ascii="Arial Narrow" w:hAnsi="Arial Narrow"/>
    </w:rPr>
  </w:style>
  <w:style w:styleId="Style_47_ch" w:type="character">
    <w:name w:val="Д_СтПунктБ№"/>
    <w:basedOn w:val="Style_34_ch"/>
    <w:link w:val="Style_47"/>
    <w:rPr>
      <w:rFonts w:ascii="Arial Narrow" w:hAnsi="Arial Narrow"/>
    </w:rPr>
  </w:style>
  <w:style w:styleId="Style_48" w:type="paragraph">
    <w:name w:val="HTML Preformatted"/>
    <w:basedOn w:val="Style_34"/>
    <w:link w:val="Style_48_ch"/>
    <w:pPr>
      <w:widowControl w:val="1"/>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ind/>
    </w:pPr>
    <w:rPr>
      <w:rFonts w:ascii="Arial Unicode MS" w:hAnsi="Arial Unicode MS"/>
      <w:sz w:val="20"/>
    </w:rPr>
  </w:style>
  <w:style w:styleId="Style_48_ch" w:type="character">
    <w:name w:val="HTML Preformatted"/>
    <w:basedOn w:val="Style_34_ch"/>
    <w:link w:val="Style_48"/>
    <w:rPr>
      <w:rFonts w:ascii="Arial Unicode MS" w:hAnsi="Arial Unicode MS"/>
      <w:sz w:val="20"/>
    </w:rPr>
  </w:style>
  <w:style w:styleId="Style_49" w:type="paragraph">
    <w:name w:val="Знак Знак Знак Знак Знак Знак Знак Знак"/>
    <w:basedOn w:val="Style_34"/>
    <w:link w:val="Style_49_ch"/>
    <w:pPr>
      <w:widowControl w:val="1"/>
      <w:tabs>
        <w:tab w:leader="none" w:pos="360" w:val="left"/>
      </w:tabs>
      <w:spacing w:after="160" w:line="240" w:lineRule="exact"/>
      <w:ind/>
    </w:pPr>
    <w:rPr>
      <w:rFonts w:ascii="Verdana" w:hAnsi="Verdana"/>
      <w:sz w:val="20"/>
    </w:rPr>
  </w:style>
  <w:style w:styleId="Style_49_ch" w:type="character">
    <w:name w:val="Знак Знак Знак Знак Знак Знак Знак Знак"/>
    <w:basedOn w:val="Style_34_ch"/>
    <w:link w:val="Style_49"/>
    <w:rPr>
      <w:rFonts w:ascii="Verdana" w:hAnsi="Verdana"/>
      <w:sz w:val="20"/>
    </w:rPr>
  </w:style>
  <w:style w:styleId="Style_50" w:type="paragraph">
    <w:name w:val="xl60"/>
    <w:basedOn w:val="Style_34"/>
    <w:link w:val="Style_50_ch"/>
    <w:pPr>
      <w:widowControl w:val="1"/>
      <w:pBdr>
        <w:top w:color="000000" w:space="0" w:sz="4" w:val="single"/>
        <w:left w:color="000000" w:space="0" w:sz="4" w:val="single"/>
        <w:right w:color="000000" w:space="0" w:sz="8" w:val="single"/>
      </w:pBdr>
      <w:spacing w:afterAutospacing="on" w:beforeAutospacing="on"/>
      <w:ind/>
      <w:jc w:val="right"/>
    </w:pPr>
  </w:style>
  <w:style w:styleId="Style_50_ch" w:type="character">
    <w:name w:val="xl60"/>
    <w:basedOn w:val="Style_34_ch"/>
    <w:link w:val="Style_50"/>
  </w:style>
  <w:style w:styleId="Style_51" w:type="paragraph">
    <w:name w:val="toc 4"/>
    <w:basedOn w:val="Style_34"/>
    <w:next w:val="Style_34"/>
    <w:link w:val="Style_51_ch"/>
    <w:uiPriority w:val="39"/>
    <w:pPr>
      <w:widowControl w:val="1"/>
      <w:spacing w:after="100" w:line="276" w:lineRule="auto"/>
      <w:ind w:left="660"/>
    </w:pPr>
    <w:rPr>
      <w:rFonts w:ascii="Calibri" w:hAnsi="Calibri"/>
      <w:sz w:val="22"/>
    </w:rPr>
  </w:style>
  <w:style w:styleId="Style_51_ch" w:type="character">
    <w:name w:val="toc 4"/>
    <w:basedOn w:val="Style_34_ch"/>
    <w:link w:val="Style_51"/>
    <w:rPr>
      <w:rFonts w:ascii="Calibri" w:hAnsi="Calibri"/>
      <w:sz w:val="22"/>
    </w:rPr>
  </w:style>
  <w:style w:styleId="Style_52" w:type="paragraph">
    <w:name w:val="xl78"/>
    <w:basedOn w:val="Style_34"/>
    <w:link w:val="Style_52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color w:val="000000"/>
    </w:rPr>
  </w:style>
  <w:style w:styleId="Style_52_ch" w:type="character">
    <w:name w:val="xl78"/>
    <w:basedOn w:val="Style_34_ch"/>
    <w:link w:val="Style_52"/>
    <w:rPr>
      <w:color w:val="000000"/>
    </w:rPr>
  </w:style>
  <w:style w:styleId="Style_53" w:type="paragraph">
    <w:name w:val="Body Text Indent 3"/>
    <w:basedOn w:val="Style_34"/>
    <w:link w:val="Style_53_ch"/>
    <w:pPr>
      <w:widowControl w:val="1"/>
      <w:spacing w:after="120"/>
      <w:ind w:left="283"/>
    </w:pPr>
    <w:rPr>
      <w:sz w:val="16"/>
    </w:rPr>
  </w:style>
  <w:style w:styleId="Style_53_ch" w:type="character">
    <w:name w:val="Body Text Indent 3"/>
    <w:basedOn w:val="Style_34_ch"/>
    <w:link w:val="Style_53"/>
    <w:rPr>
      <w:sz w:val="16"/>
    </w:rPr>
  </w:style>
  <w:style w:styleId="Style_54" w:type="paragraph">
    <w:name w:val="xl91"/>
    <w:basedOn w:val="Style_34"/>
    <w:link w:val="Style_54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b w:val="1"/>
    </w:rPr>
  </w:style>
  <w:style w:styleId="Style_54_ch" w:type="character">
    <w:name w:val="xl91"/>
    <w:basedOn w:val="Style_34_ch"/>
    <w:link w:val="Style_54"/>
    <w:rPr>
      <w:b w:val="1"/>
    </w:rPr>
  </w:style>
  <w:style w:styleId="Style_55" w:type="paragraph">
    <w:name w:val="Document Map"/>
    <w:basedOn w:val="Style_34"/>
    <w:link w:val="Style_55_ch"/>
    <w:rPr>
      <w:b w:val="1"/>
      <w:sz w:val="44"/>
    </w:rPr>
  </w:style>
  <w:style w:styleId="Style_55_ch" w:type="character">
    <w:name w:val="Document Map"/>
    <w:basedOn w:val="Style_34_ch"/>
    <w:link w:val="Style_55"/>
    <w:rPr>
      <w:b w:val="1"/>
      <w:sz w:val="44"/>
    </w:rPr>
  </w:style>
  <w:style w:styleId="Style_56" w:type="paragraph">
    <w:name w:val="font6"/>
    <w:basedOn w:val="Style_34"/>
    <w:link w:val="Style_56_ch"/>
    <w:pPr>
      <w:widowControl w:val="1"/>
      <w:spacing w:afterAutospacing="on" w:beforeAutospacing="on"/>
      <w:ind/>
    </w:pPr>
    <w:rPr>
      <w:rFonts w:ascii="Arial" w:hAnsi="Arial"/>
      <w:b w:val="1"/>
      <w:sz w:val="20"/>
    </w:rPr>
  </w:style>
  <w:style w:styleId="Style_56_ch" w:type="character">
    <w:name w:val="font6"/>
    <w:basedOn w:val="Style_34_ch"/>
    <w:link w:val="Style_56"/>
    <w:rPr>
      <w:rFonts w:ascii="Arial" w:hAnsi="Arial"/>
      <w:b w:val="1"/>
      <w:sz w:val="20"/>
    </w:rPr>
  </w:style>
  <w:style w:styleId="Style_57" w:type="paragraph">
    <w:name w:val="heading 7"/>
    <w:basedOn w:val="Style_34"/>
    <w:next w:val="Style_34"/>
    <w:link w:val="Style_57_ch"/>
    <w:uiPriority w:val="9"/>
    <w:qFormat/>
    <w:pPr>
      <w:keepNext w:val="1"/>
      <w:widowControl w:val="1"/>
      <w:ind/>
      <w:jc w:val="center"/>
      <w:outlineLvl w:val="6"/>
    </w:pPr>
    <w:rPr>
      <w:rFonts w:ascii="Arial" w:hAnsi="Arial"/>
      <w:b w:val="1"/>
      <w:sz w:val="18"/>
    </w:rPr>
  </w:style>
  <w:style w:styleId="Style_57_ch" w:type="character">
    <w:name w:val="heading 7"/>
    <w:basedOn w:val="Style_34_ch"/>
    <w:link w:val="Style_57"/>
    <w:rPr>
      <w:rFonts w:ascii="Arial" w:hAnsi="Arial"/>
      <w:b w:val="1"/>
      <w:sz w:val="18"/>
    </w:rPr>
  </w:style>
  <w:style w:styleId="Style_58" w:type="paragraph">
    <w:name w:val="Колонтитул (правый)"/>
    <w:basedOn w:val="Style_59"/>
    <w:next w:val="Style_34"/>
    <w:link w:val="Style_58_ch"/>
    <w:rPr>
      <w:sz w:val="14"/>
    </w:rPr>
  </w:style>
  <w:style w:styleId="Style_58_ch" w:type="character">
    <w:name w:val="Колонтитул (правый)"/>
    <w:basedOn w:val="Style_59_ch"/>
    <w:link w:val="Style_58"/>
    <w:rPr>
      <w:sz w:val="14"/>
    </w:rPr>
  </w:style>
  <w:style w:styleId="Style_60" w:type="paragraph">
    <w:name w:val="xl118"/>
    <w:basedOn w:val="Style_34"/>
    <w:link w:val="Style_60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style>
  <w:style w:styleId="Style_60_ch" w:type="character">
    <w:name w:val="xl118"/>
    <w:basedOn w:val="Style_34_ch"/>
    <w:link w:val="Style_60"/>
  </w:style>
  <w:style w:styleId="Style_38" w:type="paragraph">
    <w:name w:val="Д_Раздел"/>
    <w:basedOn w:val="Style_34"/>
    <w:next w:val="Style_61"/>
    <w:link w:val="Style_38_ch"/>
    <w:pPr>
      <w:widowControl w:val="1"/>
      <w:numPr>
        <w:ilvl w:val="1"/>
        <w:numId w:val="42"/>
      </w:numPr>
      <w:tabs>
        <w:tab w:leader="none" w:pos="567" w:val="left"/>
      </w:tabs>
      <w:spacing w:after="120" w:before="240"/>
      <w:ind w:hanging="567" w:left="567"/>
    </w:pPr>
    <w:rPr>
      <w:rFonts w:ascii="Arial" w:hAnsi="Arial"/>
      <w:b w:val="1"/>
      <w:sz w:val="28"/>
    </w:rPr>
  </w:style>
  <w:style w:styleId="Style_38_ch" w:type="character">
    <w:name w:val="Д_Раздел"/>
    <w:basedOn w:val="Style_34_ch"/>
    <w:link w:val="Style_38"/>
    <w:rPr>
      <w:rFonts w:ascii="Arial" w:hAnsi="Arial"/>
      <w:b w:val="1"/>
      <w:sz w:val="28"/>
    </w:rPr>
  </w:style>
  <w:style w:styleId="Style_62" w:type="paragraph">
    <w:name w:val="s2"/>
    <w:basedOn w:val="Style_63"/>
    <w:link w:val="Style_62_ch"/>
  </w:style>
  <w:style w:styleId="Style_62_ch" w:type="character">
    <w:name w:val="s2"/>
    <w:basedOn w:val="Style_63_ch"/>
    <w:link w:val="Style_62"/>
  </w:style>
  <w:style w:styleId="Style_8" w:type="paragraph">
    <w:name w:val="ConsPlusTitle"/>
    <w:link w:val="Style_8_ch"/>
    <w:rPr>
      <w:rFonts w:ascii="Arial" w:hAnsi="Arial"/>
      <w:b w:val="1"/>
    </w:rPr>
  </w:style>
  <w:style w:styleId="Style_8_ch" w:type="character">
    <w:name w:val="ConsPlusTitle"/>
    <w:link w:val="Style_8"/>
    <w:rPr>
      <w:rFonts w:ascii="Arial" w:hAnsi="Arial"/>
      <w:b w:val="1"/>
    </w:rPr>
  </w:style>
  <w:style w:styleId="Style_64" w:type="paragraph">
    <w:name w:val="Утратил силу"/>
    <w:link w:val="Style_64_ch"/>
    <w:rPr>
      <w:b w:val="1"/>
      <w:strike w:val="1"/>
      <w:color w:val="808000"/>
      <w:sz w:val="20"/>
    </w:rPr>
  </w:style>
  <w:style w:styleId="Style_64_ch" w:type="character">
    <w:name w:val="Утратил силу"/>
    <w:link w:val="Style_64"/>
    <w:rPr>
      <w:b w:val="1"/>
      <w:strike w:val="1"/>
      <w:color w:val="808000"/>
      <w:sz w:val="20"/>
    </w:rPr>
  </w:style>
  <w:style w:styleId="Style_65" w:type="paragraph">
    <w:name w:val="toc 6"/>
    <w:basedOn w:val="Style_34"/>
    <w:next w:val="Style_34"/>
    <w:link w:val="Style_65_ch"/>
    <w:uiPriority w:val="39"/>
    <w:pPr>
      <w:widowControl w:val="1"/>
      <w:spacing w:after="100" w:line="276" w:lineRule="auto"/>
      <w:ind w:left="1100"/>
    </w:pPr>
    <w:rPr>
      <w:rFonts w:ascii="Calibri" w:hAnsi="Calibri"/>
      <w:sz w:val="22"/>
    </w:rPr>
  </w:style>
  <w:style w:styleId="Style_65_ch" w:type="character">
    <w:name w:val="toc 6"/>
    <w:basedOn w:val="Style_34_ch"/>
    <w:link w:val="Style_65"/>
    <w:rPr>
      <w:rFonts w:ascii="Calibri" w:hAnsi="Calibri"/>
      <w:sz w:val="22"/>
    </w:rPr>
  </w:style>
  <w:style w:styleId="Style_66" w:type="paragraph">
    <w:name w:val="xl126"/>
    <w:basedOn w:val="Style_34"/>
    <w:link w:val="Style_66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style>
  <w:style w:styleId="Style_66_ch" w:type="character">
    <w:name w:val="xl126"/>
    <w:basedOn w:val="Style_34_ch"/>
    <w:link w:val="Style_66"/>
  </w:style>
  <w:style w:styleId="Style_31" w:type="paragraph">
    <w:name w:val="Plain Text"/>
    <w:basedOn w:val="Style_34"/>
    <w:link w:val="Style_31_ch"/>
    <w:rPr>
      <w:rFonts w:ascii="Courier New" w:hAnsi="Courier New"/>
      <w:sz w:val="20"/>
    </w:rPr>
  </w:style>
  <w:style w:styleId="Style_31_ch" w:type="character">
    <w:name w:val="Plain Text"/>
    <w:basedOn w:val="Style_34_ch"/>
    <w:link w:val="Style_31"/>
    <w:rPr>
      <w:rFonts w:ascii="Courier New" w:hAnsi="Courier New"/>
      <w:sz w:val="20"/>
    </w:rPr>
  </w:style>
  <w:style w:styleId="Style_67" w:type="paragraph">
    <w:name w:val="Стратегия"/>
    <w:basedOn w:val="Style_34"/>
    <w:link w:val="Style_67_ch"/>
    <w:pPr>
      <w:widowControl w:val="1"/>
      <w:spacing w:line="360" w:lineRule="auto"/>
      <w:ind w:firstLine="900"/>
      <w:jc w:val="both"/>
    </w:pPr>
    <w:rPr>
      <w:sz w:val="28"/>
    </w:rPr>
  </w:style>
  <w:style w:styleId="Style_67_ch" w:type="character">
    <w:name w:val="Стратегия"/>
    <w:basedOn w:val="Style_34_ch"/>
    <w:link w:val="Style_67"/>
    <w:rPr>
      <w:sz w:val="28"/>
    </w:rPr>
  </w:style>
  <w:style w:styleId="Style_68" w:type="paragraph">
    <w:name w:val="toc 7"/>
    <w:basedOn w:val="Style_34"/>
    <w:next w:val="Style_34"/>
    <w:link w:val="Style_68_ch"/>
    <w:uiPriority w:val="39"/>
    <w:pPr>
      <w:widowControl w:val="1"/>
      <w:spacing w:after="100" w:line="276" w:lineRule="auto"/>
      <w:ind w:left="1320"/>
    </w:pPr>
    <w:rPr>
      <w:rFonts w:ascii="Calibri" w:hAnsi="Calibri"/>
      <w:sz w:val="22"/>
    </w:rPr>
  </w:style>
  <w:style w:styleId="Style_68_ch" w:type="character">
    <w:name w:val="toc 7"/>
    <w:basedOn w:val="Style_34_ch"/>
    <w:link w:val="Style_68"/>
    <w:rPr>
      <w:rFonts w:ascii="Calibri" w:hAnsi="Calibri"/>
      <w:sz w:val="22"/>
    </w:rPr>
  </w:style>
  <w:style w:styleId="Style_69" w:type="paragraph">
    <w:name w:val="Font Style57"/>
    <w:link w:val="Style_69_ch"/>
    <w:rPr>
      <w:rFonts w:ascii="Times New Roman" w:hAnsi="Times New Roman"/>
      <w:sz w:val="24"/>
    </w:rPr>
  </w:style>
  <w:style w:styleId="Style_69_ch" w:type="character">
    <w:name w:val="Font Style57"/>
    <w:link w:val="Style_69"/>
    <w:rPr>
      <w:rFonts w:ascii="Times New Roman" w:hAnsi="Times New Roman"/>
      <w:sz w:val="24"/>
    </w:rPr>
  </w:style>
  <w:style w:styleId="Style_70" w:type="paragraph">
    <w:name w:val=" Знак"/>
    <w:basedOn w:val="Style_34"/>
    <w:link w:val="Style_70_ch"/>
    <w:pPr>
      <w:widowControl w:val="1"/>
      <w:spacing w:after="160" w:line="240" w:lineRule="exact"/>
      <w:ind/>
    </w:pPr>
    <w:rPr>
      <w:rFonts w:ascii="Verdana" w:hAnsi="Verdana"/>
      <w:sz w:val="20"/>
    </w:rPr>
  </w:style>
  <w:style w:styleId="Style_70_ch" w:type="character">
    <w:name w:val=" Знак"/>
    <w:basedOn w:val="Style_34_ch"/>
    <w:link w:val="Style_70"/>
    <w:rPr>
      <w:rFonts w:ascii="Verdana" w:hAnsi="Verdana"/>
      <w:sz w:val="20"/>
    </w:rPr>
  </w:style>
  <w:style w:styleId="Style_71" w:type="paragraph">
    <w:name w:val="10"/>
    <w:basedOn w:val="Style_34"/>
    <w:link w:val="Style_71_ch"/>
    <w:pPr>
      <w:widowControl w:val="1"/>
      <w:ind/>
      <w:jc w:val="center"/>
    </w:pPr>
    <w:rPr>
      <w:rFonts w:ascii="Arial" w:hAnsi="Arial"/>
      <w:color w:val="000000"/>
      <w:sz w:val="20"/>
    </w:rPr>
  </w:style>
  <w:style w:styleId="Style_71_ch" w:type="character">
    <w:name w:val="10"/>
    <w:basedOn w:val="Style_34_ch"/>
    <w:link w:val="Style_71"/>
    <w:rPr>
      <w:rFonts w:ascii="Arial" w:hAnsi="Arial"/>
      <w:color w:val="000000"/>
      <w:sz w:val="20"/>
    </w:rPr>
  </w:style>
  <w:style w:styleId="Style_72" w:type="paragraph">
    <w:name w:val="xl175"/>
    <w:basedOn w:val="Style_34"/>
    <w:link w:val="Style_72_ch"/>
    <w:pPr>
      <w:widowControl w:val="1"/>
      <w:pBdr>
        <w:top w:color="000000" w:space="0" w:sz="4" w:val="single"/>
        <w:left w:color="000000" w:space="0" w:sz="4" w:val="single"/>
        <w:bottom w:color="000000" w:space="0" w:sz="4" w:val="single"/>
      </w:pBdr>
      <w:spacing w:afterAutospacing="on" w:beforeAutospacing="on"/>
      <w:ind/>
    </w:pPr>
    <w:rPr>
      <w:i w:val="1"/>
      <w:color w:val="000000"/>
    </w:rPr>
  </w:style>
  <w:style w:styleId="Style_72_ch" w:type="character">
    <w:name w:val="xl175"/>
    <w:basedOn w:val="Style_34_ch"/>
    <w:link w:val="Style_72"/>
    <w:rPr>
      <w:i w:val="1"/>
      <w:color w:val="000000"/>
    </w:rPr>
  </w:style>
  <w:style w:styleId="Style_73" w:type="paragraph">
    <w:name w:val="Основной текст 21"/>
    <w:basedOn w:val="Style_34"/>
    <w:link w:val="Style_73_ch"/>
    <w:pPr>
      <w:widowControl w:val="1"/>
      <w:ind w:firstLine="851"/>
      <w:jc w:val="both"/>
    </w:pPr>
  </w:style>
  <w:style w:styleId="Style_73_ch" w:type="character">
    <w:name w:val="Основной текст 21"/>
    <w:basedOn w:val="Style_34_ch"/>
    <w:link w:val="Style_73"/>
  </w:style>
  <w:style w:styleId="Style_74" w:type="paragraph">
    <w:name w:val="j"/>
    <w:basedOn w:val="Style_34"/>
    <w:link w:val="Style_74_ch"/>
    <w:pPr>
      <w:widowControl w:val="1"/>
      <w:spacing w:afterAutospacing="on" w:beforeAutospacing="on"/>
      <w:ind/>
      <w:jc w:val="both"/>
    </w:pPr>
    <w:rPr>
      <w:rFonts w:ascii="Arial" w:hAnsi="Arial"/>
      <w:sz w:val="26"/>
    </w:rPr>
  </w:style>
  <w:style w:styleId="Style_74_ch" w:type="character">
    <w:name w:val="j"/>
    <w:basedOn w:val="Style_34_ch"/>
    <w:link w:val="Style_74"/>
    <w:rPr>
      <w:rFonts w:ascii="Arial" w:hAnsi="Arial"/>
      <w:sz w:val="26"/>
    </w:rPr>
  </w:style>
  <w:style w:styleId="Style_75" w:type="paragraph">
    <w:name w:val="Продолжение ссылки"/>
    <w:basedOn w:val="Style_76"/>
    <w:link w:val="Style_75_ch"/>
  </w:style>
  <w:style w:styleId="Style_75_ch" w:type="character">
    <w:name w:val="Продолжение ссылки"/>
    <w:basedOn w:val="Style_76_ch"/>
    <w:link w:val="Style_75"/>
  </w:style>
  <w:style w:styleId="Style_13" w:type="paragraph">
    <w:name w:val="Normal (Web)"/>
    <w:basedOn w:val="Style_34"/>
    <w:link w:val="Style_13_ch"/>
  </w:style>
  <w:style w:styleId="Style_13_ch" w:type="character">
    <w:name w:val="Normal (Web)"/>
    <w:basedOn w:val="Style_34_ch"/>
    <w:link w:val="Style_13"/>
  </w:style>
  <w:style w:styleId="Style_77" w:type="paragraph">
    <w:name w:val="xl146"/>
    <w:basedOn w:val="Style_34"/>
    <w:link w:val="Style_77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b w:val="1"/>
    </w:rPr>
  </w:style>
  <w:style w:styleId="Style_77_ch" w:type="character">
    <w:name w:val="xl146"/>
    <w:basedOn w:val="Style_34_ch"/>
    <w:link w:val="Style_77"/>
    <w:rPr>
      <w:b w:val="1"/>
    </w:rPr>
  </w:style>
  <w:style w:styleId="Style_78" w:type="paragraph">
    <w:name w:val="xl173"/>
    <w:basedOn w:val="Style_34"/>
    <w:link w:val="Style_78_ch"/>
    <w:pPr>
      <w:widowControl w:val="1"/>
      <w:pBdr>
        <w:top w:color="000000" w:space="0" w:sz="4" w:val="single"/>
        <w:left w:color="000000" w:space="0" w:sz="4" w:val="single"/>
        <w:bottom w:color="000000" w:space="0" w:sz="4" w:val="single"/>
      </w:pBdr>
      <w:spacing w:afterAutospacing="on" w:beforeAutospacing="on"/>
      <w:ind/>
    </w:pPr>
    <w:rPr>
      <w:b w:val="1"/>
      <w:color w:val="000000"/>
    </w:rPr>
  </w:style>
  <w:style w:styleId="Style_78_ch" w:type="character">
    <w:name w:val="xl173"/>
    <w:basedOn w:val="Style_34_ch"/>
    <w:link w:val="Style_78"/>
    <w:rPr>
      <w:b w:val="1"/>
      <w:color w:val="000000"/>
    </w:rPr>
  </w:style>
  <w:style w:styleId="Style_79" w:type="paragraph">
    <w:name w:val="Основной текст (3) + 10"/>
    <w:link w:val="Style_79_ch"/>
    <w:rPr>
      <w:rFonts w:ascii="Times New Roman" w:hAnsi="Times New Roman"/>
      <w:sz w:val="21"/>
      <w:highlight w:val="white"/>
    </w:rPr>
  </w:style>
  <w:style w:styleId="Style_79_ch" w:type="character">
    <w:name w:val="Основной текст (3) + 10"/>
    <w:link w:val="Style_79"/>
    <w:rPr>
      <w:rFonts w:ascii="Times New Roman" w:hAnsi="Times New Roman"/>
      <w:sz w:val="21"/>
      <w:highlight w:val="white"/>
    </w:rPr>
  </w:style>
  <w:style w:styleId="Style_80" w:type="paragraph">
    <w:name w:val="xl42"/>
    <w:basedOn w:val="Style_34"/>
    <w:link w:val="Style_80_ch"/>
    <w:pPr>
      <w:widowControl w:val="1"/>
      <w:pBdr>
        <w:left w:color="000000" w:space="0" w:sz="4" w:val="single"/>
        <w:bottom w:color="000000" w:space="0" w:sz="4" w:val="single"/>
        <w:right w:color="000000" w:space="0" w:sz="4" w:val="single"/>
      </w:pBdr>
      <w:spacing w:afterAutospacing="on" w:beforeAutospacing="on"/>
      <w:ind/>
      <w:jc w:val="right"/>
    </w:pPr>
  </w:style>
  <w:style w:styleId="Style_80_ch" w:type="character">
    <w:name w:val="xl42"/>
    <w:basedOn w:val="Style_34_ch"/>
    <w:link w:val="Style_80"/>
  </w:style>
  <w:style w:styleId="Style_81" w:type="paragraph">
    <w:name w:val="subtitle21"/>
    <w:link w:val="Style_81_ch"/>
    <w:rPr>
      <w:rFonts w:ascii="Arial" w:hAnsi="Arial"/>
      <w:b w:val="1"/>
      <w:color w:val="3B4B5B"/>
      <w:sz w:val="22"/>
    </w:rPr>
  </w:style>
  <w:style w:styleId="Style_81_ch" w:type="character">
    <w:name w:val="subtitle21"/>
    <w:link w:val="Style_81"/>
    <w:rPr>
      <w:rFonts w:ascii="Arial" w:hAnsi="Arial"/>
      <w:b w:val="1"/>
      <w:color w:val="3B4B5B"/>
      <w:sz w:val="22"/>
    </w:rPr>
  </w:style>
  <w:style w:styleId="Style_82" w:type="paragraph">
    <w:name w:val="xl94"/>
    <w:basedOn w:val="Style_34"/>
    <w:link w:val="Style_82_ch"/>
    <w:pPr>
      <w:widowControl w:val="1"/>
      <w:spacing w:afterAutospacing="on" w:beforeAutospacing="on"/>
      <w:ind/>
    </w:pPr>
  </w:style>
  <w:style w:styleId="Style_82_ch" w:type="character">
    <w:name w:val="xl94"/>
    <w:basedOn w:val="Style_34_ch"/>
    <w:link w:val="Style_82"/>
  </w:style>
  <w:style w:styleId="Style_83" w:type="paragraph">
    <w:name w:val="wmi-callto"/>
    <w:basedOn w:val="Style_63"/>
    <w:link w:val="Style_83_ch"/>
  </w:style>
  <w:style w:styleId="Style_83_ch" w:type="character">
    <w:name w:val="wmi-callto"/>
    <w:basedOn w:val="Style_63_ch"/>
    <w:link w:val="Style_83"/>
  </w:style>
  <w:style w:styleId="Style_84" w:type="paragraph">
    <w:name w:val="xl122"/>
    <w:basedOn w:val="Style_34"/>
    <w:link w:val="Style_84_ch"/>
    <w:pPr>
      <w:widowControl w:val="1"/>
      <w:spacing w:afterAutospacing="on" w:beforeAutospacing="on"/>
      <w:ind/>
    </w:pPr>
    <w:rPr>
      <w:b w:val="1"/>
    </w:rPr>
  </w:style>
  <w:style w:styleId="Style_84_ch" w:type="character">
    <w:name w:val="xl122"/>
    <w:basedOn w:val="Style_34_ch"/>
    <w:link w:val="Style_84"/>
    <w:rPr>
      <w:b w:val="1"/>
    </w:rPr>
  </w:style>
  <w:style w:styleId="Style_85" w:type="paragraph">
    <w:name w:val="Style13"/>
    <w:basedOn w:val="Style_34"/>
    <w:link w:val="Style_85_ch"/>
    <w:pPr>
      <w:widowControl w:val="0"/>
      <w:spacing w:line="276" w:lineRule="exact"/>
      <w:ind w:firstLine="571"/>
      <w:jc w:val="both"/>
    </w:pPr>
  </w:style>
  <w:style w:styleId="Style_85_ch" w:type="character">
    <w:name w:val="Style13"/>
    <w:basedOn w:val="Style_34_ch"/>
    <w:link w:val="Style_85"/>
  </w:style>
  <w:style w:styleId="Style_86" w:type="paragraph">
    <w:name w:val="xl176"/>
    <w:basedOn w:val="Style_34"/>
    <w:link w:val="Style_86_ch"/>
    <w:pPr>
      <w:widowControl w:val="1"/>
      <w:pBdr>
        <w:top w:color="000000" w:space="0" w:sz="4" w:val="single"/>
        <w:left w:color="000000" w:space="0" w:sz="4" w:val="single"/>
        <w:bottom w:color="000000" w:space="0" w:sz="4" w:val="single"/>
      </w:pBdr>
      <w:spacing w:afterAutospacing="on" w:beforeAutospacing="on"/>
      <w:ind/>
    </w:pPr>
  </w:style>
  <w:style w:styleId="Style_86_ch" w:type="character">
    <w:name w:val="xl176"/>
    <w:basedOn w:val="Style_34_ch"/>
    <w:link w:val="Style_86"/>
  </w:style>
  <w:style w:styleId="Style_15" w:type="paragraph">
    <w:name w:val="List Paragraph"/>
    <w:basedOn w:val="Style_34"/>
    <w:link w:val="Style_15_ch"/>
    <w:pPr>
      <w:widowControl w:val="1"/>
      <w:spacing w:after="200" w:line="276" w:lineRule="auto"/>
      <w:ind w:left="720"/>
      <w:contextualSpacing w:val="1"/>
    </w:pPr>
    <w:rPr>
      <w:rFonts w:ascii="Calibri" w:hAnsi="Calibri"/>
      <w:sz w:val="22"/>
    </w:rPr>
  </w:style>
  <w:style w:styleId="Style_15_ch" w:type="character">
    <w:name w:val="List Paragraph"/>
    <w:basedOn w:val="Style_34_ch"/>
    <w:link w:val="Style_15"/>
    <w:rPr>
      <w:rFonts w:ascii="Calibri" w:hAnsi="Calibri"/>
      <w:sz w:val="22"/>
    </w:rPr>
  </w:style>
  <w:style w:styleId="Style_87" w:type="paragraph">
    <w:name w:val="xl88"/>
    <w:basedOn w:val="Style_34"/>
    <w:link w:val="Style_87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rFonts w:ascii="Arial" w:hAnsi="Arial"/>
    </w:rPr>
  </w:style>
  <w:style w:styleId="Style_87_ch" w:type="character">
    <w:name w:val="xl88"/>
    <w:basedOn w:val="Style_34_ch"/>
    <w:link w:val="Style_87"/>
    <w:rPr>
      <w:rFonts w:ascii="Arial" w:hAnsi="Arial"/>
    </w:rPr>
  </w:style>
  <w:style w:styleId="Style_88" w:type="paragraph">
    <w:name w:val="xl101"/>
    <w:basedOn w:val="Style_34"/>
    <w:link w:val="Style_88_ch"/>
    <w:pPr>
      <w:widowControl w:val="1"/>
      <w:pBdr>
        <w:top w:color="000000" w:space="0" w:sz="4" w:val="single"/>
        <w:left w:color="000000" w:space="0" w:sz="4" w:val="single"/>
        <w:right w:color="000000" w:space="0" w:sz="4" w:val="single"/>
      </w:pBdr>
      <w:spacing w:afterAutospacing="on" w:beforeAutospacing="on"/>
      <w:ind/>
      <w:jc w:val="center"/>
    </w:pPr>
    <w:rPr>
      <w:b w:val="1"/>
    </w:rPr>
  </w:style>
  <w:style w:styleId="Style_88_ch" w:type="character">
    <w:name w:val="xl101"/>
    <w:basedOn w:val="Style_34_ch"/>
    <w:link w:val="Style_88"/>
    <w:rPr>
      <w:b w:val="1"/>
    </w:rPr>
  </w:style>
  <w:style w:styleId="Style_89" w:type="paragraph">
    <w:name w:val="xl139"/>
    <w:basedOn w:val="Style_34"/>
    <w:link w:val="Style_89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b w:val="1"/>
    </w:rPr>
  </w:style>
  <w:style w:styleId="Style_89_ch" w:type="character">
    <w:name w:val="xl139"/>
    <w:basedOn w:val="Style_34_ch"/>
    <w:link w:val="Style_89"/>
    <w:rPr>
      <w:b w:val="1"/>
    </w:rPr>
  </w:style>
  <w:style w:styleId="Style_11" w:type="paragraph">
    <w:name w:val="Body Text Indent"/>
    <w:basedOn w:val="Style_34"/>
    <w:link w:val="Style_11_ch"/>
    <w:pPr>
      <w:widowControl w:val="1"/>
      <w:spacing w:after="120"/>
      <w:ind w:left="283"/>
    </w:pPr>
    <w:rPr>
      <w:sz w:val="20"/>
    </w:rPr>
  </w:style>
  <w:style w:styleId="Style_11_ch" w:type="character">
    <w:name w:val="Body Text Indent"/>
    <w:basedOn w:val="Style_34_ch"/>
    <w:link w:val="Style_11"/>
    <w:rPr>
      <w:sz w:val="20"/>
    </w:rPr>
  </w:style>
  <w:style w:styleId="Style_90" w:type="paragraph">
    <w:name w:val="Plain Text Char"/>
    <w:link w:val="Style_90_ch"/>
    <w:rPr>
      <w:rFonts w:ascii="Consolas" w:hAnsi="Consolas"/>
      <w:sz w:val="21"/>
    </w:rPr>
  </w:style>
  <w:style w:styleId="Style_90_ch" w:type="character">
    <w:name w:val="Plain Text Char"/>
    <w:link w:val="Style_90"/>
    <w:rPr>
      <w:rFonts w:ascii="Consolas" w:hAnsi="Consolas"/>
      <w:sz w:val="21"/>
    </w:rPr>
  </w:style>
  <w:style w:styleId="Style_91" w:type="paragraph">
    <w:name w:val="xl114"/>
    <w:basedOn w:val="Style_34"/>
    <w:link w:val="Style_91_ch"/>
    <w:pPr>
      <w:widowControl w:val="1"/>
      <w:pBdr>
        <w:top w:color="000000" w:space="0" w:sz="4" w:val="single"/>
        <w:left w:color="000000" w:space="0" w:sz="4" w:val="single"/>
        <w:bottom w:color="000000" w:space="0" w:sz="4" w:val="single"/>
        <w:right w:color="000000" w:space="0" w:sz="4" w:val="single"/>
      </w:pBdr>
      <w:spacing w:afterAutospacing="on" w:beforeAutospacing="on"/>
      <w:ind/>
    </w:pPr>
  </w:style>
  <w:style w:styleId="Style_91_ch" w:type="character">
    <w:name w:val="xl114"/>
    <w:basedOn w:val="Style_34_ch"/>
    <w:link w:val="Style_91"/>
  </w:style>
  <w:style w:styleId="Style_92" w:type="paragraph">
    <w:name w:val="Endnote"/>
    <w:link w:val="Style_92_ch"/>
    <w:pPr>
      <w:ind w:firstLine="851" w:left="0"/>
      <w:jc w:val="both"/>
    </w:pPr>
    <w:rPr>
      <w:rFonts w:ascii="XO Thames" w:hAnsi="XO Thames"/>
      <w:sz w:val="22"/>
    </w:rPr>
  </w:style>
  <w:style w:styleId="Style_92_ch" w:type="character">
    <w:name w:val="Endnote"/>
    <w:link w:val="Style_92"/>
    <w:rPr>
      <w:rFonts w:ascii="XO Thames" w:hAnsi="XO Thames"/>
      <w:sz w:val="22"/>
    </w:rPr>
  </w:style>
  <w:style w:styleId="Style_18" w:type="paragraph">
    <w:name w:val="heading 3"/>
    <w:basedOn w:val="Style_34"/>
    <w:next w:val="Style_34"/>
    <w:link w:val="Style_18_ch"/>
    <w:uiPriority w:val="9"/>
    <w:qFormat/>
    <w:pPr>
      <w:keepNext w:val="1"/>
      <w:widowControl w:val="1"/>
      <w:ind w:right="-2"/>
      <w:jc w:val="center"/>
      <w:outlineLvl w:val="2"/>
    </w:pPr>
    <w:rPr>
      <w:b w:val="1"/>
      <w:sz w:val="28"/>
    </w:rPr>
  </w:style>
  <w:style w:styleId="Style_18_ch" w:type="character">
    <w:name w:val="heading 3"/>
    <w:basedOn w:val="Style_34_ch"/>
    <w:link w:val="Style_18"/>
    <w:rPr>
      <w:b w:val="1"/>
      <w:sz w:val="28"/>
    </w:rPr>
  </w:style>
  <w:style w:styleId="Style_93" w:type="paragraph">
    <w:name w:val="Таблица"/>
    <w:basedOn w:val="Style_34"/>
    <w:link w:val="Style_93_ch"/>
    <w:pPr>
      <w:widowControl w:val="1"/>
      <w:tabs>
        <w:tab w:leader="none" w:pos="8789" w:val="left"/>
      </w:tabs>
      <w:spacing w:after="20" w:before="20"/>
      <w:ind/>
    </w:pPr>
    <w:rPr>
      <w:sz w:val="22"/>
    </w:rPr>
  </w:style>
  <w:style w:styleId="Style_93_ch" w:type="character">
    <w:name w:val="Таблица"/>
    <w:basedOn w:val="Style_34_ch"/>
    <w:link w:val="Style_93"/>
    <w:rPr>
      <w:sz w:val="22"/>
    </w:rPr>
  </w:style>
  <w:style w:styleId="Style_94" w:type="paragraph">
    <w:name w:val="xl67"/>
    <w:basedOn w:val="Style_34"/>
    <w:link w:val="Style_94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rFonts w:ascii="Arial CYR" w:hAnsi="Arial CYR"/>
      <w:sz w:val="18"/>
    </w:rPr>
  </w:style>
  <w:style w:styleId="Style_94_ch" w:type="character">
    <w:name w:val="xl67"/>
    <w:basedOn w:val="Style_34_ch"/>
    <w:link w:val="Style_94"/>
    <w:rPr>
      <w:rFonts w:ascii="Arial CYR" w:hAnsi="Arial CYR"/>
      <w:sz w:val="18"/>
    </w:rPr>
  </w:style>
  <w:style w:styleId="Style_27" w:type="paragraph">
    <w:name w:val="Д_СтПункт№"/>
    <w:basedOn w:val="Style_34"/>
    <w:link w:val="Style_27_ch"/>
    <w:pPr>
      <w:widowControl w:val="1"/>
      <w:numPr>
        <w:ilvl w:val="3"/>
        <w:numId w:val="42"/>
      </w:numPr>
      <w:tabs>
        <w:tab w:leader="none" w:pos="1423" w:val="left"/>
      </w:tabs>
      <w:spacing w:after="120"/>
      <w:ind w:hanging="397" w:left="1423"/>
    </w:pPr>
    <w:rPr>
      <w:rFonts w:ascii="Arial Narrow" w:hAnsi="Arial Narrow"/>
    </w:rPr>
  </w:style>
  <w:style w:styleId="Style_27_ch" w:type="character">
    <w:name w:val="Д_СтПункт№"/>
    <w:basedOn w:val="Style_34_ch"/>
    <w:link w:val="Style_27"/>
    <w:rPr>
      <w:rFonts w:ascii="Arial Narrow" w:hAnsi="Arial Narrow"/>
    </w:rPr>
  </w:style>
  <w:style w:styleId="Style_95" w:type="paragraph">
    <w:name w:val="Стиль3"/>
    <w:basedOn w:val="Style_5"/>
    <w:link w:val="Style_95_ch"/>
    <w:pPr>
      <w:widowControl w:val="1"/>
      <w:tabs>
        <w:tab w:leader="dot" w:pos="9639" w:val="right"/>
      </w:tabs>
      <w:ind/>
    </w:pPr>
    <w:rPr>
      <w:b w:val="1"/>
      <w:sz w:val="24"/>
    </w:rPr>
  </w:style>
  <w:style w:styleId="Style_95_ch" w:type="character">
    <w:name w:val="Стиль3"/>
    <w:basedOn w:val="Style_5_ch"/>
    <w:link w:val="Style_95"/>
    <w:rPr>
      <w:b w:val="1"/>
      <w:sz w:val="24"/>
    </w:rPr>
  </w:style>
  <w:style w:styleId="Style_96" w:type="paragraph">
    <w:name w:val="xl96"/>
    <w:basedOn w:val="Style_34"/>
    <w:link w:val="Style_96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b w:val="1"/>
    </w:rPr>
  </w:style>
  <w:style w:styleId="Style_96_ch" w:type="character">
    <w:name w:val="xl96"/>
    <w:basedOn w:val="Style_34_ch"/>
    <w:link w:val="Style_96"/>
    <w:rPr>
      <w:b w:val="1"/>
    </w:rPr>
  </w:style>
  <w:style w:styleId="Style_97" w:type="paragraph">
    <w:name w:val="xl189"/>
    <w:basedOn w:val="Style_34"/>
    <w:link w:val="Style_97_ch"/>
    <w:pPr>
      <w:widowControl w:val="1"/>
      <w:spacing w:afterAutospacing="on" w:beforeAutospacing="on"/>
      <w:ind/>
      <w:jc w:val="center"/>
    </w:pPr>
    <w:rPr>
      <w:b w:val="1"/>
    </w:rPr>
  </w:style>
  <w:style w:styleId="Style_97_ch" w:type="character">
    <w:name w:val="xl189"/>
    <w:basedOn w:val="Style_34_ch"/>
    <w:link w:val="Style_97"/>
    <w:rPr>
      <w:b w:val="1"/>
    </w:rPr>
  </w:style>
  <w:style w:styleId="Style_98" w:type="paragraph">
    <w:name w:val="annotation text"/>
    <w:basedOn w:val="Style_34"/>
    <w:link w:val="Style_98_ch"/>
    <w:rPr>
      <w:sz w:val="20"/>
    </w:rPr>
  </w:style>
  <w:style w:styleId="Style_98_ch" w:type="character">
    <w:name w:val="annotation text"/>
    <w:basedOn w:val="Style_34_ch"/>
    <w:link w:val="Style_98"/>
    <w:rPr>
      <w:sz w:val="20"/>
    </w:rPr>
  </w:style>
  <w:style w:styleId="Style_99" w:type="paragraph">
    <w:name w:val="xl191"/>
    <w:basedOn w:val="Style_34"/>
    <w:link w:val="Style_99_ch"/>
    <w:pPr>
      <w:widowControl w:val="1"/>
      <w:pBdr>
        <w:left w:color="000000" w:space="0" w:sz="4" w:val="single"/>
        <w:bottom w:color="000000" w:space="0" w:sz="4" w:val="single"/>
        <w:right w:color="000000" w:space="0" w:sz="4" w:val="single"/>
      </w:pBdr>
      <w:spacing w:afterAutospacing="on" w:beforeAutospacing="on"/>
      <w:ind/>
      <w:jc w:val="center"/>
    </w:pPr>
    <w:rPr>
      <w:b w:val="1"/>
    </w:rPr>
  </w:style>
  <w:style w:styleId="Style_99_ch" w:type="character">
    <w:name w:val="xl191"/>
    <w:basedOn w:val="Style_34_ch"/>
    <w:link w:val="Style_99"/>
    <w:rPr>
      <w:b w:val="1"/>
    </w:rPr>
  </w:style>
  <w:style w:styleId="Style_100" w:type="paragraph">
    <w:name w:val="Шапка таблицы"/>
    <w:basedOn w:val="Style_34"/>
    <w:link w:val="Style_100_ch"/>
    <w:pPr>
      <w:widowControl w:val="1"/>
      <w:tabs>
        <w:tab w:leader="none" w:pos="8789" w:val="left"/>
      </w:tabs>
      <w:spacing w:after="20" w:before="20"/>
      <w:ind/>
      <w:jc w:val="center"/>
    </w:pPr>
    <w:rPr>
      <w:b w:val="1"/>
      <w:sz w:val="20"/>
    </w:rPr>
  </w:style>
  <w:style w:styleId="Style_100_ch" w:type="character">
    <w:name w:val="Шапка таблицы"/>
    <w:basedOn w:val="Style_34_ch"/>
    <w:link w:val="Style_100"/>
    <w:rPr>
      <w:b w:val="1"/>
      <w:sz w:val="20"/>
    </w:rPr>
  </w:style>
  <w:style w:styleId="Style_101" w:type="paragraph">
    <w:name w:val="Знак Знак2"/>
    <w:link w:val="Style_101_ch"/>
    <w:rPr>
      <w:sz w:val="16"/>
    </w:rPr>
  </w:style>
  <w:style w:styleId="Style_101_ch" w:type="character">
    <w:name w:val="Знак Знак2"/>
    <w:link w:val="Style_101"/>
    <w:rPr>
      <w:sz w:val="16"/>
    </w:rPr>
  </w:style>
  <w:style w:styleId="Style_102" w:type="paragraph">
    <w:name w:val="xl179"/>
    <w:basedOn w:val="Style_34"/>
    <w:link w:val="Style_102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b w:val="1"/>
      <w:sz w:val="22"/>
    </w:rPr>
  </w:style>
  <w:style w:styleId="Style_102_ch" w:type="character">
    <w:name w:val="xl179"/>
    <w:basedOn w:val="Style_34_ch"/>
    <w:link w:val="Style_102"/>
    <w:rPr>
      <w:b w:val="1"/>
      <w:sz w:val="22"/>
    </w:rPr>
  </w:style>
  <w:style w:styleId="Style_103" w:type="paragraph">
    <w:name w:val="xl53"/>
    <w:basedOn w:val="Style_34"/>
    <w:link w:val="Style_103_ch"/>
    <w:pPr>
      <w:widowControl w:val="1"/>
      <w:pBdr>
        <w:left w:color="000000" w:space="0" w:sz="4" w:val="single"/>
        <w:bottom w:color="000000" w:space="0" w:sz="8" w:val="single"/>
        <w:right w:color="000000" w:space="0" w:sz="4" w:val="single"/>
      </w:pBdr>
      <w:spacing w:afterAutospacing="on" w:beforeAutospacing="on"/>
      <w:ind/>
      <w:jc w:val="right"/>
    </w:pPr>
  </w:style>
  <w:style w:styleId="Style_103_ch" w:type="character">
    <w:name w:val="xl53"/>
    <w:basedOn w:val="Style_34_ch"/>
    <w:link w:val="Style_103"/>
  </w:style>
  <w:style w:styleId="Style_104" w:type="paragraph">
    <w:name w:val="Emphasis"/>
    <w:link w:val="Style_104_ch"/>
    <w:rPr>
      <w:i w:val="1"/>
    </w:rPr>
  </w:style>
  <w:style w:styleId="Style_104_ch" w:type="character">
    <w:name w:val="Emphasis"/>
    <w:link w:val="Style_104"/>
    <w:rPr>
      <w:i w:val="1"/>
    </w:rPr>
  </w:style>
  <w:style w:styleId="Style_105" w:type="paragraph">
    <w:name w:val="xl24"/>
    <w:basedOn w:val="Style_34"/>
    <w:link w:val="Style_105_ch"/>
    <w:pPr>
      <w:widowControl w:val="1"/>
      <w:pBdr>
        <w:top w:color="000000" w:space="0" w:sz="8" w:val="single"/>
        <w:left w:color="000000" w:space="0" w:sz="8" w:val="single"/>
        <w:right w:color="000000" w:space="0" w:sz="4" w:val="single"/>
      </w:pBdr>
      <w:spacing w:afterAutospacing="on" w:beforeAutospacing="on"/>
      <w:ind/>
      <w:jc w:val="center"/>
    </w:pPr>
    <w:rPr>
      <w:b w:val="1"/>
      <w:sz w:val="20"/>
    </w:rPr>
  </w:style>
  <w:style w:styleId="Style_105_ch" w:type="character">
    <w:name w:val="xl24"/>
    <w:basedOn w:val="Style_34_ch"/>
    <w:link w:val="Style_105"/>
    <w:rPr>
      <w:b w:val="1"/>
      <w:sz w:val="20"/>
    </w:rPr>
  </w:style>
  <w:style w:styleId="Style_106" w:type="paragraph">
    <w:name w:val="xl119"/>
    <w:basedOn w:val="Style_34"/>
    <w:link w:val="Style_106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b w:val="1"/>
    </w:rPr>
  </w:style>
  <w:style w:styleId="Style_106_ch" w:type="character">
    <w:name w:val="xl119"/>
    <w:basedOn w:val="Style_34_ch"/>
    <w:link w:val="Style_106"/>
    <w:rPr>
      <w:b w:val="1"/>
    </w:rPr>
  </w:style>
  <w:style w:styleId="Style_107" w:type="paragraph">
    <w:name w:val="xl158"/>
    <w:basedOn w:val="Style_34"/>
    <w:link w:val="Style_107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b w:val="1"/>
      <w:sz w:val="22"/>
    </w:rPr>
  </w:style>
  <w:style w:styleId="Style_107_ch" w:type="character">
    <w:name w:val="xl158"/>
    <w:basedOn w:val="Style_34_ch"/>
    <w:link w:val="Style_107"/>
    <w:rPr>
      <w:b w:val="1"/>
      <w:sz w:val="22"/>
    </w:rPr>
  </w:style>
  <w:style w:styleId="Style_108" w:type="paragraph">
    <w:name w:val="xl103"/>
    <w:basedOn w:val="Style_34"/>
    <w:link w:val="Style_108_ch"/>
    <w:pPr>
      <w:widowControl w:val="1"/>
      <w:pBdr>
        <w:left w:color="000000" w:space="0" w:sz="4" w:val="single"/>
        <w:bottom w:color="000000" w:space="0" w:sz="4" w:val="single"/>
        <w:right w:color="000000" w:space="0" w:sz="4" w:val="single"/>
      </w:pBdr>
      <w:spacing w:afterAutospacing="on" w:beforeAutospacing="on"/>
      <w:ind/>
      <w:jc w:val="center"/>
    </w:pPr>
    <w:rPr>
      <w:b w:val="1"/>
    </w:rPr>
  </w:style>
  <w:style w:styleId="Style_108_ch" w:type="character">
    <w:name w:val="xl103"/>
    <w:basedOn w:val="Style_34_ch"/>
    <w:link w:val="Style_108"/>
    <w:rPr>
      <w:b w:val="1"/>
    </w:rPr>
  </w:style>
  <w:style w:styleId="Style_109" w:type="paragraph">
    <w:name w:val="xl83"/>
    <w:basedOn w:val="Style_34"/>
    <w:link w:val="Style_109_ch"/>
    <w:pPr>
      <w:widowControl w:val="1"/>
      <w:pBdr>
        <w:top w:color="000000" w:space="0" w:sz="4" w:val="single"/>
        <w:left w:color="000000" w:space="0" w:sz="8" w:val="single"/>
        <w:bottom w:color="000000" w:space="0" w:sz="4" w:val="single"/>
        <w:right w:color="000000" w:space="0" w:sz="4" w:val="single"/>
      </w:pBdr>
      <w:spacing w:afterAutospacing="on" w:beforeAutospacing="on"/>
      <w:ind/>
      <w:jc w:val="center"/>
    </w:pPr>
  </w:style>
  <w:style w:styleId="Style_109_ch" w:type="character">
    <w:name w:val="xl83"/>
    <w:basedOn w:val="Style_34_ch"/>
    <w:link w:val="Style_109"/>
  </w:style>
  <w:style w:styleId="Style_110" w:type="paragraph">
    <w:name w:val="List 2"/>
    <w:basedOn w:val="Style_34"/>
    <w:link w:val="Style_110_ch"/>
    <w:pPr>
      <w:widowControl w:val="1"/>
      <w:ind w:hanging="283" w:left="566"/>
    </w:pPr>
  </w:style>
  <w:style w:styleId="Style_110_ch" w:type="character">
    <w:name w:val="List 2"/>
    <w:basedOn w:val="Style_34_ch"/>
    <w:link w:val="Style_110"/>
  </w:style>
  <w:style w:styleId="Style_111" w:type="paragraph">
    <w:name w:val="xl163"/>
    <w:basedOn w:val="Style_34"/>
    <w:link w:val="Style_111_ch"/>
    <w:pPr>
      <w:widowControl w:val="1"/>
      <w:pBdr>
        <w:top w:color="000000" w:space="0" w:sz="4" w:val="single"/>
        <w:left w:color="000000" w:space="0" w:sz="4" w:val="single"/>
        <w:bottom w:color="000000" w:space="0" w:sz="4" w:val="single"/>
        <w:right w:color="000000" w:space="0" w:sz="4" w:val="single"/>
      </w:pBdr>
      <w:spacing w:afterAutospacing="on" w:beforeAutospacing="on"/>
      <w:ind/>
    </w:pPr>
  </w:style>
  <w:style w:styleId="Style_111_ch" w:type="character">
    <w:name w:val="xl163"/>
    <w:basedOn w:val="Style_34_ch"/>
    <w:link w:val="Style_111"/>
  </w:style>
  <w:style w:styleId="Style_112" w:type="paragraph">
    <w:name w:val="xl133"/>
    <w:basedOn w:val="Style_34"/>
    <w:link w:val="Style_112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style>
  <w:style w:styleId="Style_112_ch" w:type="character">
    <w:name w:val="xl133"/>
    <w:basedOn w:val="Style_34_ch"/>
    <w:link w:val="Style_112"/>
  </w:style>
  <w:style w:styleId="Style_113" w:type="paragraph">
    <w:name w:val="xl111"/>
    <w:basedOn w:val="Style_34"/>
    <w:link w:val="Style_113_ch"/>
    <w:pPr>
      <w:widowControl w:val="1"/>
      <w:pBdr>
        <w:top w:color="000000" w:space="0" w:sz="4" w:val="single"/>
        <w:left w:color="000000" w:space="0" w:sz="4" w:val="single"/>
        <w:bottom w:color="000000" w:space="0" w:sz="4" w:val="single"/>
        <w:right w:color="000000" w:space="0" w:sz="4" w:val="single"/>
      </w:pBdr>
      <w:spacing w:afterAutospacing="on" w:beforeAutospacing="on"/>
      <w:ind/>
    </w:pPr>
  </w:style>
  <w:style w:styleId="Style_113_ch" w:type="character">
    <w:name w:val="xl111"/>
    <w:basedOn w:val="Style_34_ch"/>
    <w:link w:val="Style_113"/>
  </w:style>
  <w:style w:styleId="Style_114" w:type="paragraph">
    <w:name w:val="xl136"/>
    <w:basedOn w:val="Style_34"/>
    <w:link w:val="Style_114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style>
  <w:style w:styleId="Style_114_ch" w:type="character">
    <w:name w:val="xl136"/>
    <w:basedOn w:val="Style_34_ch"/>
    <w:link w:val="Style_114"/>
  </w:style>
  <w:style w:styleId="Style_115" w:type="paragraph">
    <w:name w:val="xl28"/>
    <w:basedOn w:val="Style_34"/>
    <w:link w:val="Style_115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sz w:val="20"/>
    </w:rPr>
  </w:style>
  <w:style w:styleId="Style_115_ch" w:type="character">
    <w:name w:val="xl28"/>
    <w:basedOn w:val="Style_34_ch"/>
    <w:link w:val="Style_115"/>
    <w:rPr>
      <w:sz w:val="20"/>
    </w:rPr>
  </w:style>
  <w:style w:styleId="Style_116" w:type="paragraph">
    <w:name w:val="xl188"/>
    <w:basedOn w:val="Style_34"/>
    <w:link w:val="Style_116_ch"/>
    <w:pPr>
      <w:widowControl w:val="1"/>
      <w:spacing w:afterAutospacing="on" w:beforeAutospacing="on"/>
      <w:ind/>
      <w:jc w:val="center"/>
    </w:pPr>
    <w:rPr>
      <w:b w:val="1"/>
    </w:rPr>
  </w:style>
  <w:style w:styleId="Style_116_ch" w:type="character">
    <w:name w:val="xl188"/>
    <w:basedOn w:val="Style_34_ch"/>
    <w:link w:val="Style_116"/>
    <w:rPr>
      <w:b w:val="1"/>
    </w:rPr>
  </w:style>
  <w:style w:styleId="Style_117" w:type="paragraph">
    <w:name w:val="Iau?iue"/>
    <w:link w:val="Style_117_ch"/>
  </w:style>
  <w:style w:styleId="Style_117_ch" w:type="character">
    <w:name w:val="Iau?iue"/>
    <w:link w:val="Style_117"/>
  </w:style>
  <w:style w:styleId="Style_118" w:type="paragraph">
    <w:link w:val="Style_118_ch"/>
    <w:semiHidden w:val="1"/>
    <w:unhideWhenUsed w:val="1"/>
    <w:rPr>
      <w:sz w:val="24"/>
    </w:rPr>
  </w:style>
  <w:style w:styleId="Style_118_ch" w:type="character">
    <w:link w:val="Style_118"/>
    <w:semiHidden w:val="1"/>
    <w:unhideWhenUsed w:val="1"/>
    <w:rPr>
      <w:sz w:val="24"/>
    </w:rPr>
  </w:style>
  <w:style w:styleId="Style_119" w:type="paragraph">
    <w:name w:val="xl104"/>
    <w:basedOn w:val="Style_34"/>
    <w:link w:val="Style_119_ch"/>
    <w:pPr>
      <w:widowControl w:val="1"/>
      <w:pBdr>
        <w:top w:color="000000" w:space="0" w:sz="4" w:val="single"/>
        <w:left w:color="000000" w:space="0" w:sz="4" w:val="single"/>
        <w:bottom w:color="000000" w:space="0" w:sz="4" w:val="single"/>
        <w:right w:color="000000" w:space="0" w:sz="4" w:val="single"/>
      </w:pBdr>
      <w:spacing w:afterAutospacing="on" w:beforeAutospacing="on"/>
      <w:ind/>
    </w:pPr>
  </w:style>
  <w:style w:styleId="Style_119_ch" w:type="character">
    <w:name w:val="xl104"/>
    <w:basedOn w:val="Style_34_ch"/>
    <w:link w:val="Style_119"/>
  </w:style>
  <w:style w:styleId="Style_120" w:type="paragraph">
    <w:name w:val="xl85"/>
    <w:basedOn w:val="Style_34"/>
    <w:link w:val="Style_120_ch"/>
    <w:pPr>
      <w:widowControl w:val="1"/>
      <w:pBdr>
        <w:top w:color="000000" w:space="0" w:sz="4" w:val="single"/>
        <w:left w:color="000000" w:space="0" w:sz="8" w:val="single"/>
        <w:bottom w:color="000000" w:space="0" w:sz="4" w:val="single"/>
        <w:right w:color="000000" w:space="0" w:sz="4" w:val="single"/>
      </w:pBdr>
      <w:spacing w:afterAutospacing="on" w:beforeAutospacing="on"/>
      <w:ind/>
    </w:pPr>
    <w:rPr>
      <w:b w:val="1"/>
    </w:rPr>
  </w:style>
  <w:style w:styleId="Style_120_ch" w:type="character">
    <w:name w:val="xl85"/>
    <w:basedOn w:val="Style_34_ch"/>
    <w:link w:val="Style_120"/>
    <w:rPr>
      <w:b w:val="1"/>
    </w:rPr>
  </w:style>
  <w:style w:styleId="Style_121" w:type="paragraph">
    <w:name w:val="mw-headline"/>
    <w:basedOn w:val="Style_63"/>
    <w:link w:val="Style_121_ch"/>
  </w:style>
  <w:style w:styleId="Style_121_ch" w:type="character">
    <w:name w:val="mw-headline"/>
    <w:basedOn w:val="Style_63_ch"/>
    <w:link w:val="Style_121"/>
  </w:style>
  <w:style w:styleId="Style_122" w:type="paragraph">
    <w:name w:val="xl57"/>
    <w:basedOn w:val="Style_34"/>
    <w:link w:val="Style_122_ch"/>
    <w:pPr>
      <w:widowControl w:val="1"/>
      <w:pBdr>
        <w:top w:color="000000" w:space="0" w:sz="4" w:val="single"/>
        <w:left w:color="000000" w:space="0" w:sz="4" w:val="single"/>
        <w:bottom w:color="000000" w:space="0" w:sz="8" w:val="single"/>
        <w:right w:color="000000" w:space="0" w:sz="4" w:val="single"/>
      </w:pBdr>
      <w:spacing w:afterAutospacing="on" w:beforeAutospacing="on"/>
      <w:ind/>
      <w:jc w:val="right"/>
    </w:pPr>
  </w:style>
  <w:style w:styleId="Style_122_ch" w:type="character">
    <w:name w:val="xl57"/>
    <w:basedOn w:val="Style_34_ch"/>
    <w:link w:val="Style_122"/>
  </w:style>
  <w:style w:styleId="Style_123" w:type="paragraph">
    <w:name w:val="Block Text"/>
    <w:basedOn w:val="Style_34"/>
    <w:link w:val="Style_123_ch"/>
    <w:pPr>
      <w:widowControl w:val="1"/>
      <w:spacing w:line="360" w:lineRule="auto"/>
      <w:ind w:firstLine="360" w:left="900" w:right="-6"/>
      <w:jc w:val="both"/>
    </w:pPr>
  </w:style>
  <w:style w:styleId="Style_123_ch" w:type="character">
    <w:name w:val="Block Text"/>
    <w:basedOn w:val="Style_34_ch"/>
    <w:link w:val="Style_123"/>
  </w:style>
  <w:style w:styleId="Style_124" w:type="paragraph">
    <w:name w:val="xl167"/>
    <w:basedOn w:val="Style_34"/>
    <w:link w:val="Style_124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i w:val="1"/>
      <w:color w:val="000000"/>
    </w:rPr>
  </w:style>
  <w:style w:styleId="Style_124_ch" w:type="character">
    <w:name w:val="xl167"/>
    <w:basedOn w:val="Style_34_ch"/>
    <w:link w:val="Style_124"/>
    <w:rPr>
      <w:i w:val="1"/>
      <w:color w:val="000000"/>
    </w:rPr>
  </w:style>
  <w:style w:styleId="Style_125" w:type="paragraph">
    <w:name w:val="xl120"/>
    <w:basedOn w:val="Style_34"/>
    <w:link w:val="Style_125_ch"/>
    <w:pPr>
      <w:widowControl w:val="1"/>
      <w:spacing w:afterAutospacing="on" w:beforeAutospacing="on"/>
      <w:ind/>
    </w:pPr>
    <w:rPr>
      <w:b w:val="1"/>
    </w:rPr>
  </w:style>
  <w:style w:styleId="Style_125_ch" w:type="character">
    <w:name w:val="xl120"/>
    <w:basedOn w:val="Style_34_ch"/>
    <w:link w:val="Style_125"/>
    <w:rPr>
      <w:b w:val="1"/>
    </w:rPr>
  </w:style>
  <w:style w:styleId="Style_126" w:type="paragraph">
    <w:name w:val="xl93"/>
    <w:basedOn w:val="Style_34"/>
    <w:link w:val="Style_126_ch"/>
    <w:pPr>
      <w:widowControl w:val="1"/>
      <w:spacing w:afterAutospacing="on" w:beforeAutospacing="on"/>
      <w:ind/>
    </w:pPr>
  </w:style>
  <w:style w:styleId="Style_126_ch" w:type="character">
    <w:name w:val="xl93"/>
    <w:basedOn w:val="Style_34_ch"/>
    <w:link w:val="Style_126"/>
  </w:style>
  <w:style w:styleId="Style_127" w:type="paragraph">
    <w:name w:val="xl156"/>
    <w:basedOn w:val="Style_34"/>
    <w:link w:val="Style_127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style>
  <w:style w:styleId="Style_127_ch" w:type="character">
    <w:name w:val="xl156"/>
    <w:basedOn w:val="Style_34_ch"/>
    <w:link w:val="Style_127"/>
  </w:style>
  <w:style w:styleId="Style_128" w:type="paragraph">
    <w:name w:val="xl174"/>
    <w:basedOn w:val="Style_34"/>
    <w:link w:val="Style_128_ch"/>
    <w:pPr>
      <w:widowControl w:val="1"/>
      <w:pBdr>
        <w:top w:color="000000" w:space="0" w:sz="4" w:val="single"/>
        <w:left w:color="000000" w:space="0" w:sz="4" w:val="single"/>
        <w:bottom w:color="000000" w:space="0" w:sz="4" w:val="single"/>
      </w:pBdr>
      <w:spacing w:afterAutospacing="on" w:beforeAutospacing="on"/>
      <w:ind/>
    </w:pPr>
    <w:rPr>
      <w:i w:val="1"/>
      <w:color w:val="000000"/>
    </w:rPr>
  </w:style>
  <w:style w:styleId="Style_128_ch" w:type="character">
    <w:name w:val="xl174"/>
    <w:basedOn w:val="Style_34_ch"/>
    <w:link w:val="Style_128"/>
    <w:rPr>
      <w:i w:val="1"/>
      <w:color w:val="000000"/>
    </w:rPr>
  </w:style>
  <w:style w:styleId="Style_129" w:type="paragraph">
    <w:name w:val="xl84"/>
    <w:basedOn w:val="Style_34"/>
    <w:link w:val="Style_129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b w:val="1"/>
    </w:rPr>
  </w:style>
  <w:style w:styleId="Style_129_ch" w:type="character">
    <w:name w:val="xl84"/>
    <w:basedOn w:val="Style_34_ch"/>
    <w:link w:val="Style_129"/>
    <w:rPr>
      <w:b w:val="1"/>
    </w:rPr>
  </w:style>
  <w:style w:styleId="Style_130" w:type="paragraph">
    <w:name w:val="xl47"/>
    <w:basedOn w:val="Style_34"/>
    <w:link w:val="Style_130_ch"/>
    <w:pPr>
      <w:widowControl w:val="1"/>
      <w:pBdr>
        <w:top w:color="000000" w:space="0" w:sz="4" w:val="single"/>
        <w:left w:color="000000" w:space="0" w:sz="8" w:val="single"/>
        <w:bottom w:color="000000" w:space="0" w:sz="4" w:val="single"/>
        <w:right w:color="000000" w:space="0" w:sz="4" w:val="single"/>
      </w:pBdr>
      <w:spacing w:afterAutospacing="on" w:beforeAutospacing="on"/>
      <w:ind/>
      <w:jc w:val="center"/>
    </w:pPr>
  </w:style>
  <w:style w:styleId="Style_130_ch" w:type="character">
    <w:name w:val="xl47"/>
    <w:basedOn w:val="Style_34_ch"/>
    <w:link w:val="Style_130"/>
  </w:style>
  <w:style w:styleId="Style_131" w:type="paragraph">
    <w:name w:val="xl144"/>
    <w:basedOn w:val="Style_34"/>
    <w:link w:val="Style_131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b w:val="1"/>
      <w:i w:val="1"/>
    </w:rPr>
  </w:style>
  <w:style w:styleId="Style_131_ch" w:type="character">
    <w:name w:val="xl144"/>
    <w:basedOn w:val="Style_34_ch"/>
    <w:link w:val="Style_131"/>
    <w:rPr>
      <w:b w:val="1"/>
      <w:i w:val="1"/>
    </w:rPr>
  </w:style>
  <w:style w:styleId="Style_132" w:type="paragraph">
    <w:name w:val="xl147"/>
    <w:basedOn w:val="Style_34"/>
    <w:link w:val="Style_132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style>
  <w:style w:styleId="Style_132_ch" w:type="character">
    <w:name w:val="xl147"/>
    <w:basedOn w:val="Style_34_ch"/>
    <w:link w:val="Style_132"/>
  </w:style>
  <w:style w:styleId="Style_133" w:type="paragraph">
    <w:name w:val="xl187"/>
    <w:basedOn w:val="Style_34"/>
    <w:link w:val="Style_133_ch"/>
    <w:pPr>
      <w:widowControl w:val="1"/>
      <w:pBdr>
        <w:top w:color="000000" w:space="0" w:sz="4" w:val="single"/>
        <w:bottom w:color="000000" w:space="0" w:sz="4" w:val="single"/>
        <w:right w:color="000000" w:space="0" w:sz="4" w:val="single"/>
      </w:pBdr>
      <w:spacing w:afterAutospacing="on" w:beforeAutospacing="on"/>
      <w:ind/>
      <w:jc w:val="center"/>
    </w:pPr>
    <w:rPr>
      <w:b w:val="1"/>
    </w:rPr>
  </w:style>
  <w:style w:styleId="Style_133_ch" w:type="character">
    <w:name w:val="xl187"/>
    <w:basedOn w:val="Style_34_ch"/>
    <w:link w:val="Style_133"/>
    <w:rPr>
      <w:b w:val="1"/>
    </w:rPr>
  </w:style>
  <w:style w:styleId="Style_134" w:type="paragraph">
    <w:name w:val="consnonformat0"/>
    <w:basedOn w:val="Style_34"/>
    <w:link w:val="Style_134_ch"/>
    <w:pPr>
      <w:widowControl w:val="1"/>
      <w:spacing w:afterAutospacing="on" w:beforeAutospacing="on"/>
      <w:ind/>
    </w:pPr>
  </w:style>
  <w:style w:styleId="Style_134_ch" w:type="character">
    <w:name w:val="consnonformat0"/>
    <w:basedOn w:val="Style_34_ch"/>
    <w:link w:val="Style_134"/>
  </w:style>
  <w:style w:styleId="Style_135" w:type="paragraph">
    <w:name w:val="heading 9"/>
    <w:basedOn w:val="Style_34"/>
    <w:next w:val="Style_34"/>
    <w:link w:val="Style_135_ch"/>
    <w:uiPriority w:val="9"/>
    <w:qFormat/>
    <w:pPr>
      <w:keepNext w:val="1"/>
      <w:widowControl w:val="1"/>
      <w:ind w:firstLine="165"/>
      <w:jc w:val="center"/>
      <w:outlineLvl w:val="8"/>
    </w:pPr>
    <w:rPr>
      <w:b w:val="1"/>
      <w:sz w:val="22"/>
    </w:rPr>
  </w:style>
  <w:style w:styleId="Style_135_ch" w:type="character">
    <w:name w:val="heading 9"/>
    <w:basedOn w:val="Style_34_ch"/>
    <w:link w:val="Style_135"/>
    <w:rPr>
      <w:b w:val="1"/>
      <w:sz w:val="22"/>
    </w:rPr>
  </w:style>
  <w:style w:styleId="Style_136" w:type="paragraph">
    <w:name w:val="Переменная часть"/>
    <w:basedOn w:val="Style_137"/>
    <w:next w:val="Style_34"/>
    <w:link w:val="Style_136_ch"/>
  </w:style>
  <w:style w:styleId="Style_136_ch" w:type="character">
    <w:name w:val="Переменная часть"/>
    <w:basedOn w:val="Style_137_ch"/>
    <w:link w:val="Style_136"/>
  </w:style>
  <w:style w:styleId="Style_138" w:type="paragraph">
    <w:name w:val="xl92"/>
    <w:basedOn w:val="Style_34"/>
    <w:link w:val="Style_138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b w:val="1"/>
    </w:rPr>
  </w:style>
  <w:style w:styleId="Style_138_ch" w:type="character">
    <w:name w:val="xl92"/>
    <w:basedOn w:val="Style_34_ch"/>
    <w:link w:val="Style_138"/>
    <w:rPr>
      <w:b w:val="1"/>
    </w:rPr>
  </w:style>
  <w:style w:styleId="Style_139" w:type="paragraph">
    <w:name w:val="Текст выноски Знак"/>
    <w:link w:val="Style_139_ch"/>
    <w:rPr>
      <w:rFonts w:ascii="Tahoma" w:hAnsi="Tahoma"/>
      <w:sz w:val="16"/>
    </w:rPr>
  </w:style>
  <w:style w:styleId="Style_139_ch" w:type="character">
    <w:name w:val="Текст выноски Знак"/>
    <w:link w:val="Style_139"/>
    <w:rPr>
      <w:rFonts w:ascii="Tahoma" w:hAnsi="Tahoma"/>
      <w:sz w:val="16"/>
    </w:rPr>
  </w:style>
  <w:style w:styleId="Style_140" w:type="paragraph">
    <w:name w:val="xl108"/>
    <w:basedOn w:val="Style_34"/>
    <w:link w:val="Style_140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style>
  <w:style w:styleId="Style_140_ch" w:type="character">
    <w:name w:val="xl108"/>
    <w:basedOn w:val="Style_34_ch"/>
    <w:link w:val="Style_140"/>
  </w:style>
  <w:style w:styleId="Style_141" w:type="paragraph">
    <w:name w:val="xl56"/>
    <w:basedOn w:val="Style_34"/>
    <w:link w:val="Style_141_ch"/>
    <w:pPr>
      <w:widowControl w:val="1"/>
      <w:pBdr>
        <w:top w:color="000000" w:space="0" w:sz="4" w:val="single"/>
        <w:left w:color="000000" w:space="9" w:sz="4" w:val="single"/>
        <w:bottom w:color="000000" w:space="0" w:sz="8" w:val="single"/>
        <w:right w:color="000000" w:space="0" w:sz="4" w:val="single"/>
      </w:pBdr>
      <w:spacing w:afterAutospacing="on" w:beforeAutospacing="on"/>
      <w:ind/>
    </w:pPr>
  </w:style>
  <w:style w:styleId="Style_141_ch" w:type="character">
    <w:name w:val="xl56"/>
    <w:basedOn w:val="Style_34_ch"/>
    <w:link w:val="Style_141"/>
  </w:style>
  <w:style w:styleId="Style_142" w:type="paragraph">
    <w:name w:val="xl183"/>
    <w:basedOn w:val="Style_34"/>
    <w:link w:val="Style_142_ch"/>
    <w:pPr>
      <w:widowControl w:val="1"/>
      <w:pBdr>
        <w:bottom w:color="000000" w:space="0" w:sz="4" w:val="single"/>
      </w:pBdr>
      <w:spacing w:afterAutospacing="on" w:beforeAutospacing="on"/>
      <w:ind/>
    </w:pPr>
  </w:style>
  <w:style w:styleId="Style_142_ch" w:type="character">
    <w:name w:val="xl183"/>
    <w:basedOn w:val="Style_34_ch"/>
    <w:link w:val="Style_142"/>
  </w:style>
  <w:style w:styleId="Style_143" w:type="paragraph">
    <w:name w:val="xl23"/>
    <w:basedOn w:val="Style_34"/>
    <w:link w:val="Style_143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b w:val="1"/>
      <w:sz w:val="20"/>
    </w:rPr>
  </w:style>
  <w:style w:styleId="Style_143_ch" w:type="character">
    <w:name w:val="xl23"/>
    <w:basedOn w:val="Style_34_ch"/>
    <w:link w:val="Style_143"/>
    <w:rPr>
      <w:b w:val="1"/>
      <w:sz w:val="20"/>
    </w:rPr>
  </w:style>
  <w:style w:styleId="Style_144" w:type="paragraph">
    <w:name w:val="xl70"/>
    <w:basedOn w:val="Style_34"/>
    <w:link w:val="Style_144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rFonts w:ascii="Arial CYR" w:hAnsi="Arial CYR"/>
      <w:sz w:val="18"/>
    </w:rPr>
  </w:style>
  <w:style w:styleId="Style_144_ch" w:type="character">
    <w:name w:val="xl70"/>
    <w:basedOn w:val="Style_34_ch"/>
    <w:link w:val="Style_144"/>
    <w:rPr>
      <w:rFonts w:ascii="Arial CYR" w:hAnsi="Arial CYR"/>
      <w:sz w:val="18"/>
    </w:rPr>
  </w:style>
  <w:style w:styleId="Style_145" w:type="paragraph">
    <w:name w:val="Обычный1"/>
    <w:link w:val="Style_145_ch"/>
    <w:rPr>
      <w:b w:val="1"/>
      <w:sz w:val="24"/>
    </w:rPr>
  </w:style>
  <w:style w:styleId="Style_145_ch" w:type="character">
    <w:name w:val="Обычный1"/>
    <w:link w:val="Style_145"/>
    <w:rPr>
      <w:b w:val="1"/>
      <w:sz w:val="24"/>
    </w:rPr>
  </w:style>
  <w:style w:styleId="Style_146" w:type="paragraph">
    <w:name w:val=" Знак Знак5"/>
    <w:link w:val="Style_146_ch"/>
    <w:rPr>
      <w:b w:val="1"/>
      <w:sz w:val="44"/>
    </w:rPr>
  </w:style>
  <w:style w:styleId="Style_146_ch" w:type="character">
    <w:name w:val=" Знак Знак5"/>
    <w:link w:val="Style_146"/>
    <w:rPr>
      <w:b w:val="1"/>
      <w:sz w:val="44"/>
    </w:rPr>
  </w:style>
  <w:style w:styleId="Style_147" w:type="paragraph">
    <w:name w:val="Таблицы (моноширинный)"/>
    <w:basedOn w:val="Style_34"/>
    <w:next w:val="Style_34"/>
    <w:link w:val="Style_147_ch"/>
    <w:pPr>
      <w:widowControl w:val="0"/>
      <w:ind/>
      <w:jc w:val="both"/>
    </w:pPr>
    <w:rPr>
      <w:rFonts w:ascii="Courier New" w:hAnsi="Courier New"/>
      <w:sz w:val="20"/>
    </w:rPr>
  </w:style>
  <w:style w:styleId="Style_147_ch" w:type="character">
    <w:name w:val="Таблицы (моноширинный)"/>
    <w:basedOn w:val="Style_34_ch"/>
    <w:link w:val="Style_147"/>
    <w:rPr>
      <w:rFonts w:ascii="Courier New" w:hAnsi="Courier New"/>
      <w:sz w:val="20"/>
    </w:rPr>
  </w:style>
  <w:style w:styleId="Style_148" w:type="paragraph">
    <w:name w:val="Standard"/>
    <w:basedOn w:val="Style_34"/>
    <w:link w:val="Style_148_ch"/>
  </w:style>
  <w:style w:styleId="Style_148_ch" w:type="character">
    <w:name w:val="Standard"/>
    <w:basedOn w:val="Style_34_ch"/>
    <w:link w:val="Style_148"/>
  </w:style>
  <w:style w:styleId="Style_149" w:type="paragraph">
    <w:name w:val="xl38"/>
    <w:basedOn w:val="Style_34"/>
    <w:link w:val="Style_149_ch"/>
    <w:pPr>
      <w:widowControl w:val="1"/>
      <w:pBdr>
        <w:left w:color="000000" w:space="0" w:sz="4" w:val="single"/>
        <w:bottom w:color="000000" w:space="0" w:sz="4" w:val="single"/>
        <w:right w:color="000000" w:space="0" w:sz="8" w:val="single"/>
      </w:pBdr>
      <w:spacing w:afterAutospacing="on" w:beforeAutospacing="on"/>
      <w:ind/>
      <w:jc w:val="right"/>
    </w:pPr>
  </w:style>
  <w:style w:styleId="Style_149_ch" w:type="character">
    <w:name w:val="xl38"/>
    <w:basedOn w:val="Style_34_ch"/>
    <w:link w:val="Style_149"/>
  </w:style>
  <w:style w:styleId="Style_150" w:type="paragraph">
    <w:name w:val="xl76"/>
    <w:basedOn w:val="Style_34"/>
    <w:link w:val="Style_150_ch"/>
    <w:pPr>
      <w:widowControl w:val="1"/>
      <w:spacing w:afterAutospacing="on" w:beforeAutospacing="on"/>
      <w:ind/>
      <w:jc w:val="center"/>
    </w:pPr>
    <w:rPr>
      <w:rFonts w:ascii="Arial CYR" w:hAnsi="Arial CYR"/>
      <w:sz w:val="28"/>
    </w:rPr>
  </w:style>
  <w:style w:styleId="Style_150_ch" w:type="character">
    <w:name w:val="xl76"/>
    <w:basedOn w:val="Style_34_ch"/>
    <w:link w:val="Style_150"/>
    <w:rPr>
      <w:rFonts w:ascii="Arial CYR" w:hAnsi="Arial CYR"/>
      <w:sz w:val="28"/>
    </w:rPr>
  </w:style>
  <w:style w:styleId="Style_151" w:type="paragraph">
    <w:name w:val="xl151"/>
    <w:basedOn w:val="Style_34"/>
    <w:link w:val="Style_151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b w:val="1"/>
    </w:rPr>
  </w:style>
  <w:style w:styleId="Style_151_ch" w:type="character">
    <w:name w:val="xl151"/>
    <w:basedOn w:val="Style_34_ch"/>
    <w:link w:val="Style_151"/>
    <w:rPr>
      <w:b w:val="1"/>
    </w:rPr>
  </w:style>
  <w:style w:styleId="Style_152" w:type="paragraph">
    <w:name w:val="Style9"/>
    <w:basedOn w:val="Style_34"/>
    <w:link w:val="Style_152_ch"/>
    <w:pPr>
      <w:widowControl w:val="0"/>
      <w:spacing w:line="405" w:lineRule="exact"/>
      <w:ind w:firstLine="778"/>
      <w:jc w:val="both"/>
    </w:pPr>
  </w:style>
  <w:style w:styleId="Style_152_ch" w:type="character">
    <w:name w:val="Style9"/>
    <w:basedOn w:val="Style_34_ch"/>
    <w:link w:val="Style_152"/>
  </w:style>
  <w:style w:styleId="Style_153" w:type="paragraph">
    <w:name w:val="Font Style12"/>
    <w:link w:val="Style_153_ch"/>
    <w:rPr>
      <w:rFonts w:ascii="Times New Roman" w:hAnsi="Times New Roman"/>
      <w:sz w:val="24"/>
    </w:rPr>
  </w:style>
  <w:style w:styleId="Style_153_ch" w:type="character">
    <w:name w:val="Font Style12"/>
    <w:link w:val="Style_153"/>
    <w:rPr>
      <w:rFonts w:ascii="Times New Roman" w:hAnsi="Times New Roman"/>
      <w:sz w:val="24"/>
    </w:rPr>
  </w:style>
  <w:style w:styleId="Style_154" w:type="paragraph">
    <w:name w:val="xl48"/>
    <w:basedOn w:val="Style_34"/>
    <w:link w:val="Style_154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style>
  <w:style w:styleId="Style_154_ch" w:type="character">
    <w:name w:val="xl48"/>
    <w:basedOn w:val="Style_34_ch"/>
    <w:link w:val="Style_154"/>
  </w:style>
  <w:style w:styleId="Style_30" w:type="paragraph">
    <w:name w:val="Body Text 2"/>
    <w:basedOn w:val="Style_34"/>
    <w:link w:val="Style_30_ch"/>
    <w:pPr>
      <w:widowControl w:val="1"/>
      <w:ind/>
      <w:jc w:val="center"/>
    </w:pPr>
    <w:rPr>
      <w:rFonts w:ascii="Journal" w:hAnsi="Journal"/>
      <w:sz w:val="20"/>
    </w:rPr>
  </w:style>
  <w:style w:styleId="Style_30_ch" w:type="character">
    <w:name w:val="Body Text 2"/>
    <w:basedOn w:val="Style_34_ch"/>
    <w:link w:val="Style_30"/>
    <w:rPr>
      <w:rFonts w:ascii="Journal" w:hAnsi="Journal"/>
      <w:sz w:val="20"/>
    </w:rPr>
  </w:style>
  <w:style w:styleId="Style_155" w:type="paragraph">
    <w:name w:val="xl40"/>
    <w:basedOn w:val="Style_34"/>
    <w:link w:val="Style_155_ch"/>
    <w:pPr>
      <w:widowControl w:val="1"/>
      <w:pBdr>
        <w:left w:color="000000" w:space="9" w:sz="4" w:val="single"/>
        <w:right w:color="000000" w:space="0" w:sz="4" w:val="single"/>
      </w:pBdr>
      <w:spacing w:afterAutospacing="on" w:beforeAutospacing="on"/>
      <w:ind/>
    </w:pPr>
  </w:style>
  <w:style w:styleId="Style_155_ch" w:type="character">
    <w:name w:val="xl40"/>
    <w:basedOn w:val="Style_34_ch"/>
    <w:link w:val="Style_155"/>
  </w:style>
  <w:style w:styleId="Style_156" w:type="paragraph">
    <w:name w:val="xl129"/>
    <w:basedOn w:val="Style_34"/>
    <w:link w:val="Style_156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b w:val="1"/>
    </w:rPr>
  </w:style>
  <w:style w:styleId="Style_156_ch" w:type="character">
    <w:name w:val="xl129"/>
    <w:basedOn w:val="Style_34_ch"/>
    <w:link w:val="Style_156"/>
    <w:rPr>
      <w:b w:val="1"/>
    </w:rPr>
  </w:style>
  <w:style w:styleId="Style_157" w:type="paragraph">
    <w:name w:val="apple-converted-space"/>
    <w:basedOn w:val="Style_63"/>
    <w:link w:val="Style_157_ch"/>
  </w:style>
  <w:style w:styleId="Style_157_ch" w:type="character">
    <w:name w:val="apple-converted-space"/>
    <w:basedOn w:val="Style_63_ch"/>
    <w:link w:val="Style_157"/>
  </w:style>
  <w:style w:styleId="Style_158" w:type="paragraph">
    <w:name w:val="xl155"/>
    <w:basedOn w:val="Style_34"/>
    <w:link w:val="Style_158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b w:val="1"/>
      <w:i w:val="1"/>
      <w:sz w:val="22"/>
    </w:rPr>
  </w:style>
  <w:style w:styleId="Style_158_ch" w:type="character">
    <w:name w:val="xl155"/>
    <w:basedOn w:val="Style_34_ch"/>
    <w:link w:val="Style_158"/>
    <w:rPr>
      <w:b w:val="1"/>
      <w:i w:val="1"/>
      <w:sz w:val="22"/>
    </w:rPr>
  </w:style>
  <w:style w:styleId="Style_159" w:type="paragraph">
    <w:name w:val="xl186"/>
    <w:basedOn w:val="Style_34"/>
    <w:link w:val="Style_159_ch"/>
    <w:pPr>
      <w:widowControl w:val="1"/>
      <w:pBdr>
        <w:top w:color="000000" w:space="0" w:sz="4" w:val="single"/>
        <w:left w:color="000000" w:space="0" w:sz="4" w:val="single"/>
        <w:bottom w:color="000000" w:space="0" w:sz="4" w:val="single"/>
      </w:pBdr>
      <w:spacing w:afterAutospacing="on" w:beforeAutospacing="on"/>
      <w:ind/>
      <w:jc w:val="center"/>
    </w:pPr>
    <w:rPr>
      <w:b w:val="1"/>
    </w:rPr>
  </w:style>
  <w:style w:styleId="Style_159_ch" w:type="character">
    <w:name w:val="xl186"/>
    <w:basedOn w:val="Style_34_ch"/>
    <w:link w:val="Style_159"/>
    <w:rPr>
      <w:b w:val="1"/>
    </w:rPr>
  </w:style>
  <w:style w:styleId="Style_160" w:type="paragraph">
    <w:name w:val="apple-style-span"/>
    <w:basedOn w:val="Style_63"/>
    <w:link w:val="Style_160_ch"/>
  </w:style>
  <w:style w:styleId="Style_160_ch" w:type="character">
    <w:name w:val="apple-style-span"/>
    <w:basedOn w:val="Style_63_ch"/>
    <w:link w:val="Style_160"/>
  </w:style>
  <w:style w:styleId="Style_161" w:type="paragraph">
    <w:name w:val="Д_СтПунктП№"/>
    <w:basedOn w:val="Style_34"/>
    <w:link w:val="Style_161_ch"/>
    <w:pPr>
      <w:widowControl w:val="1"/>
      <w:numPr>
        <w:ilvl w:val="5"/>
        <w:numId w:val="42"/>
      </w:numPr>
      <w:tabs>
        <w:tab w:leader="none" w:pos="1477" w:val="left"/>
      </w:tabs>
      <w:spacing w:after="120"/>
      <w:ind w:hanging="397" w:left="1477"/>
    </w:pPr>
    <w:rPr>
      <w:rFonts w:ascii="Arial Narrow" w:hAnsi="Arial Narrow"/>
    </w:rPr>
  </w:style>
  <w:style w:styleId="Style_161_ch" w:type="character">
    <w:name w:val="Д_СтПунктП№"/>
    <w:basedOn w:val="Style_34_ch"/>
    <w:link w:val="Style_161"/>
    <w:rPr>
      <w:rFonts w:ascii="Arial Narrow" w:hAnsi="Arial Narrow"/>
    </w:rPr>
  </w:style>
  <w:style w:styleId="Style_162" w:type="paragraph">
    <w:name w:val="xl138"/>
    <w:basedOn w:val="Style_34"/>
    <w:link w:val="Style_162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b w:val="1"/>
    </w:rPr>
  </w:style>
  <w:style w:styleId="Style_162_ch" w:type="character">
    <w:name w:val="xl138"/>
    <w:basedOn w:val="Style_34_ch"/>
    <w:link w:val="Style_162"/>
    <w:rPr>
      <w:b w:val="1"/>
    </w:rPr>
  </w:style>
  <w:style w:styleId="Style_3" w:type="paragraph">
    <w:name w:val="page number"/>
    <w:basedOn w:val="Style_63"/>
    <w:link w:val="Style_3_ch"/>
  </w:style>
  <w:style w:styleId="Style_3_ch" w:type="character">
    <w:name w:val="page number"/>
    <w:basedOn w:val="Style_63_ch"/>
    <w:link w:val="Style_3"/>
  </w:style>
  <w:style w:styleId="Style_1" w:type="paragraph">
    <w:name w:val="header"/>
    <w:basedOn w:val="Style_34"/>
    <w:link w:val="Style_1_ch"/>
    <w:pPr>
      <w:widowControl w:val="1"/>
      <w:tabs>
        <w:tab w:leader="none" w:pos="4677" w:val="center"/>
        <w:tab w:leader="none" w:pos="9355" w:val="right"/>
      </w:tabs>
      <w:ind/>
    </w:pPr>
    <w:rPr>
      <w:sz w:val="20"/>
    </w:rPr>
  </w:style>
  <w:style w:styleId="Style_1_ch" w:type="character">
    <w:name w:val="header"/>
    <w:basedOn w:val="Style_34_ch"/>
    <w:link w:val="Style_1"/>
    <w:rPr>
      <w:sz w:val="20"/>
    </w:rPr>
  </w:style>
  <w:style w:styleId="Style_25" w:type="paragraph">
    <w:name w:val="Обычный4"/>
    <w:link w:val="Style_25_ch"/>
  </w:style>
  <w:style w:styleId="Style_25_ch" w:type="character">
    <w:name w:val="Обычный4"/>
    <w:link w:val="Style_25"/>
  </w:style>
  <w:style w:styleId="Style_163" w:type="paragraph">
    <w:name w:val="xl41"/>
    <w:basedOn w:val="Style_34"/>
    <w:link w:val="Style_163_ch"/>
    <w:pPr>
      <w:widowControl w:val="1"/>
      <w:pBdr>
        <w:top w:color="000000" w:space="0" w:sz="4" w:val="single"/>
        <w:left w:color="000000" w:space="27" w:sz="4" w:val="single"/>
        <w:bottom w:color="000000" w:space="0" w:sz="4" w:val="single"/>
        <w:right w:color="000000" w:space="0" w:sz="4" w:val="single"/>
      </w:pBdr>
      <w:spacing w:afterAutospacing="on" w:beforeAutospacing="on"/>
      <w:ind/>
    </w:pPr>
  </w:style>
  <w:style w:styleId="Style_163_ch" w:type="character">
    <w:name w:val="xl41"/>
    <w:basedOn w:val="Style_34_ch"/>
    <w:link w:val="Style_163"/>
  </w:style>
  <w:style w:styleId="Style_164" w:type="paragraph">
    <w:name w:val="xl181"/>
    <w:basedOn w:val="Style_34"/>
    <w:link w:val="Style_164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i w:val="1"/>
      <w:sz w:val="22"/>
    </w:rPr>
  </w:style>
  <w:style w:styleId="Style_164_ch" w:type="character">
    <w:name w:val="xl181"/>
    <w:basedOn w:val="Style_34_ch"/>
    <w:link w:val="Style_164"/>
    <w:rPr>
      <w:i w:val="1"/>
      <w:sz w:val="22"/>
    </w:rPr>
  </w:style>
  <w:style w:styleId="Style_165" w:type="paragraph">
    <w:name w:val="xl44"/>
    <w:basedOn w:val="Style_34"/>
    <w:link w:val="Style_165_ch"/>
    <w:pPr>
      <w:widowControl w:val="1"/>
      <w:pBdr>
        <w:top w:color="000000" w:space="0" w:sz="4" w:val="single"/>
        <w:left w:color="000000" w:space="0" w:sz="8" w:val="single"/>
        <w:bottom w:color="000000" w:space="0" w:sz="4" w:val="single"/>
        <w:right w:color="000000" w:space="0" w:sz="4" w:val="single"/>
      </w:pBdr>
      <w:spacing w:afterAutospacing="on" w:beforeAutospacing="on"/>
      <w:ind/>
      <w:jc w:val="center"/>
    </w:pPr>
  </w:style>
  <w:style w:styleId="Style_165_ch" w:type="character">
    <w:name w:val="xl44"/>
    <w:basedOn w:val="Style_34_ch"/>
    <w:link w:val="Style_165"/>
  </w:style>
  <w:style w:styleId="Style_166" w:type="paragraph">
    <w:name w:val="xl63"/>
    <w:basedOn w:val="Style_34"/>
    <w:link w:val="Style_166_ch"/>
    <w:pPr>
      <w:widowControl w:val="1"/>
      <w:pBdr>
        <w:top w:color="969696" w:space="0" w:sz="4" w:val="dotted"/>
        <w:right w:color="969696" w:space="0" w:sz="4" w:val="dotted"/>
      </w:pBdr>
      <w:spacing w:afterAutospacing="on" w:beforeAutospacing="on"/>
      <w:ind/>
    </w:pPr>
  </w:style>
  <w:style w:styleId="Style_166_ch" w:type="character">
    <w:name w:val="xl63"/>
    <w:basedOn w:val="Style_34_ch"/>
    <w:link w:val="Style_166"/>
  </w:style>
  <w:style w:styleId="Style_167" w:type="paragraph">
    <w:name w:val=" Знак1"/>
    <w:basedOn w:val="Style_34"/>
    <w:link w:val="Style_167_ch"/>
    <w:pPr>
      <w:widowControl w:val="1"/>
      <w:spacing w:after="160" w:line="240" w:lineRule="exact"/>
      <w:ind/>
    </w:pPr>
    <w:rPr>
      <w:rFonts w:ascii="Verdana" w:hAnsi="Verdana"/>
    </w:rPr>
  </w:style>
  <w:style w:styleId="Style_167_ch" w:type="character">
    <w:name w:val=" Знак1"/>
    <w:basedOn w:val="Style_34_ch"/>
    <w:link w:val="Style_167"/>
    <w:rPr>
      <w:rFonts w:ascii="Verdana" w:hAnsi="Verdana"/>
    </w:rPr>
  </w:style>
  <w:style w:styleId="Style_168" w:type="paragraph">
    <w:name w:val="xl127"/>
    <w:basedOn w:val="Style_34"/>
    <w:link w:val="Style_168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b w:val="1"/>
    </w:rPr>
  </w:style>
  <w:style w:styleId="Style_168_ch" w:type="character">
    <w:name w:val="xl127"/>
    <w:basedOn w:val="Style_34_ch"/>
    <w:link w:val="Style_168"/>
    <w:rPr>
      <w:b w:val="1"/>
    </w:rPr>
  </w:style>
  <w:style w:styleId="Style_169" w:type="paragraph">
    <w:name w:val="Font Style55"/>
    <w:link w:val="Style_169_ch"/>
    <w:rPr>
      <w:rFonts w:ascii="Times New Roman" w:hAnsi="Times New Roman"/>
      <w:b w:val="1"/>
      <w:sz w:val="26"/>
    </w:rPr>
  </w:style>
  <w:style w:styleId="Style_169_ch" w:type="character">
    <w:name w:val="Font Style55"/>
    <w:link w:val="Style_169"/>
    <w:rPr>
      <w:rFonts w:ascii="Times New Roman" w:hAnsi="Times New Roman"/>
      <w:b w:val="1"/>
      <w:sz w:val="26"/>
    </w:rPr>
  </w:style>
  <w:style w:styleId="Style_170" w:type="paragraph">
    <w:name w:val="Strong"/>
    <w:link w:val="Style_170_ch"/>
    <w:rPr>
      <w:b w:val="1"/>
    </w:rPr>
  </w:style>
  <w:style w:styleId="Style_170_ch" w:type="character">
    <w:name w:val="Strong"/>
    <w:link w:val="Style_170"/>
    <w:rPr>
      <w:b w:val="1"/>
    </w:rPr>
  </w:style>
  <w:style w:styleId="Style_171" w:type="paragraph">
    <w:name w:val="xl110"/>
    <w:basedOn w:val="Style_34"/>
    <w:link w:val="Style_171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b w:val="1"/>
    </w:rPr>
  </w:style>
  <w:style w:styleId="Style_171_ch" w:type="character">
    <w:name w:val="xl110"/>
    <w:basedOn w:val="Style_34_ch"/>
    <w:link w:val="Style_171"/>
    <w:rPr>
      <w:b w:val="1"/>
    </w:rPr>
  </w:style>
  <w:style w:styleId="Style_172" w:type="paragraph">
    <w:name w:val="xl32"/>
    <w:basedOn w:val="Style_34"/>
    <w:link w:val="Style_172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rFonts w:ascii="Arial" w:hAnsi="Arial"/>
      <w:b w:val="1"/>
      <w:sz w:val="20"/>
    </w:rPr>
  </w:style>
  <w:style w:styleId="Style_172_ch" w:type="character">
    <w:name w:val="xl32"/>
    <w:basedOn w:val="Style_34_ch"/>
    <w:link w:val="Style_172"/>
    <w:rPr>
      <w:rFonts w:ascii="Arial" w:hAnsi="Arial"/>
      <w:b w:val="1"/>
      <w:sz w:val="20"/>
    </w:rPr>
  </w:style>
  <w:style w:styleId="Style_173" w:type="paragraph">
    <w:name w:val="Знак"/>
    <w:basedOn w:val="Style_34"/>
    <w:link w:val="Style_173_ch"/>
    <w:pPr>
      <w:widowControl w:val="0"/>
      <w:spacing w:after="160" w:line="240" w:lineRule="exact"/>
      <w:ind/>
      <w:jc w:val="right"/>
    </w:pPr>
    <w:rPr>
      <w:sz w:val="20"/>
    </w:rPr>
  </w:style>
  <w:style w:styleId="Style_173_ch" w:type="character">
    <w:name w:val="Знак"/>
    <w:basedOn w:val="Style_34_ch"/>
    <w:link w:val="Style_173"/>
    <w:rPr>
      <w:sz w:val="20"/>
    </w:rPr>
  </w:style>
  <w:style w:styleId="Style_174" w:type="paragraph">
    <w:name w:val="Знак11"/>
    <w:basedOn w:val="Style_34"/>
    <w:link w:val="Style_174_ch"/>
    <w:pPr>
      <w:widowControl w:val="1"/>
      <w:spacing w:after="160" w:line="240" w:lineRule="exact"/>
      <w:ind/>
    </w:pPr>
    <w:rPr>
      <w:rFonts w:ascii="Verdana" w:hAnsi="Verdana"/>
    </w:rPr>
  </w:style>
  <w:style w:styleId="Style_174_ch" w:type="character">
    <w:name w:val="Знак11"/>
    <w:basedOn w:val="Style_34_ch"/>
    <w:link w:val="Style_174"/>
    <w:rPr>
      <w:rFonts w:ascii="Verdana" w:hAnsi="Verdana"/>
    </w:rPr>
  </w:style>
  <w:style w:styleId="Style_175" w:type="paragraph">
    <w:name w:val="xl157"/>
    <w:basedOn w:val="Style_34"/>
    <w:link w:val="Style_175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sz w:val="22"/>
    </w:rPr>
  </w:style>
  <w:style w:styleId="Style_175_ch" w:type="character">
    <w:name w:val="xl157"/>
    <w:basedOn w:val="Style_34_ch"/>
    <w:link w:val="Style_175"/>
    <w:rPr>
      <w:sz w:val="22"/>
    </w:rPr>
  </w:style>
  <w:style w:styleId="Style_176" w:type="paragraph">
    <w:name w:val="xl43"/>
    <w:basedOn w:val="Style_34"/>
    <w:link w:val="Style_176_ch"/>
    <w:pPr>
      <w:widowControl w:val="1"/>
      <w:pBdr>
        <w:top w:color="000000" w:space="0" w:sz="4" w:val="single"/>
        <w:left w:color="000000" w:space="0" w:sz="4" w:val="single"/>
        <w:bottom w:color="000000" w:space="0" w:sz="4" w:val="single"/>
        <w:right w:color="000000" w:space="0" w:sz="8" w:val="single"/>
      </w:pBdr>
      <w:spacing w:afterAutospacing="on" w:beforeAutospacing="on"/>
      <w:ind/>
      <w:jc w:val="right"/>
    </w:pPr>
  </w:style>
  <w:style w:styleId="Style_176_ch" w:type="character">
    <w:name w:val="xl43"/>
    <w:basedOn w:val="Style_34_ch"/>
    <w:link w:val="Style_176"/>
  </w:style>
  <w:style w:styleId="Style_177" w:type="paragraph">
    <w:name w:val="Default"/>
    <w:link w:val="Style_177_ch"/>
    <w:rPr>
      <w:rFonts w:ascii="Tahoma" w:hAnsi="Tahoma"/>
      <w:color w:val="000000"/>
      <w:sz w:val="24"/>
    </w:rPr>
  </w:style>
  <w:style w:styleId="Style_177_ch" w:type="character">
    <w:name w:val="Default"/>
    <w:link w:val="Style_177"/>
    <w:rPr>
      <w:rFonts w:ascii="Tahoma" w:hAnsi="Tahoma"/>
      <w:color w:val="000000"/>
      <w:sz w:val="24"/>
    </w:rPr>
  </w:style>
  <w:style w:styleId="Style_178" w:type="paragraph">
    <w:name w:val="annotation subject"/>
    <w:basedOn w:val="Style_98"/>
    <w:next w:val="Style_98"/>
    <w:link w:val="Style_178_ch"/>
    <w:rPr>
      <w:b w:val="1"/>
    </w:rPr>
  </w:style>
  <w:style w:styleId="Style_178_ch" w:type="character">
    <w:name w:val="annotation subject"/>
    <w:basedOn w:val="Style_98_ch"/>
    <w:link w:val="Style_178"/>
    <w:rPr>
      <w:b w:val="1"/>
    </w:rPr>
  </w:style>
  <w:style w:styleId="Style_179" w:type="paragraph">
    <w:name w:val="xl169"/>
    <w:basedOn w:val="Style_34"/>
    <w:link w:val="Style_179_ch"/>
    <w:pPr>
      <w:widowControl w:val="1"/>
      <w:pBdr>
        <w:top w:color="000000" w:space="0" w:sz="4" w:val="single"/>
        <w:left w:color="000000" w:space="0" w:sz="4" w:val="single"/>
        <w:bottom w:color="000000" w:space="0" w:sz="4" w:val="single"/>
      </w:pBdr>
      <w:spacing w:afterAutospacing="on" w:beforeAutospacing="on"/>
      <w:ind/>
    </w:pPr>
    <w:rPr>
      <w:color w:val="000000"/>
    </w:rPr>
  </w:style>
  <w:style w:styleId="Style_179_ch" w:type="character">
    <w:name w:val="xl169"/>
    <w:basedOn w:val="Style_34_ch"/>
    <w:link w:val="Style_179"/>
    <w:rPr>
      <w:color w:val="000000"/>
    </w:rPr>
  </w:style>
  <w:style w:styleId="Style_180" w:type="paragraph">
    <w:name w:val="xl159"/>
    <w:basedOn w:val="Style_34"/>
    <w:link w:val="Style_180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sz w:val="22"/>
    </w:rPr>
  </w:style>
  <w:style w:styleId="Style_180_ch" w:type="character">
    <w:name w:val="xl159"/>
    <w:basedOn w:val="Style_34_ch"/>
    <w:link w:val="Style_180"/>
    <w:rPr>
      <w:sz w:val="22"/>
    </w:rPr>
  </w:style>
  <w:style w:styleId="Style_181" w:type="paragraph">
    <w:name w:val="Title Char"/>
    <w:link w:val="Style_181_ch"/>
    <w:rPr>
      <w:b w:val="1"/>
      <w:sz w:val="28"/>
    </w:rPr>
  </w:style>
  <w:style w:styleId="Style_181_ch" w:type="character">
    <w:name w:val="Title Char"/>
    <w:link w:val="Style_181"/>
    <w:rPr>
      <w:b w:val="1"/>
      <w:sz w:val="28"/>
    </w:rPr>
  </w:style>
  <w:style w:styleId="Style_182" w:type="paragraph">
    <w:name w:val="Обычный6"/>
    <w:link w:val="Style_182_ch"/>
  </w:style>
  <w:style w:styleId="Style_182_ch" w:type="character">
    <w:name w:val="Обычный6"/>
    <w:link w:val="Style_182"/>
  </w:style>
  <w:style w:styleId="Style_183" w:type="paragraph">
    <w:name w:val="xl178"/>
    <w:basedOn w:val="Style_34"/>
    <w:link w:val="Style_183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sz w:val="22"/>
    </w:rPr>
  </w:style>
  <w:style w:styleId="Style_183_ch" w:type="character">
    <w:name w:val="xl178"/>
    <w:basedOn w:val="Style_34_ch"/>
    <w:link w:val="Style_183"/>
    <w:rPr>
      <w:sz w:val="22"/>
    </w:rPr>
  </w:style>
  <w:style w:styleId="Style_184" w:type="paragraph">
    <w:name w:val="FollowedHyperlink"/>
    <w:link w:val="Style_184_ch"/>
    <w:rPr>
      <w:color w:val="800080"/>
      <w:u w:val="single"/>
    </w:rPr>
  </w:style>
  <w:style w:styleId="Style_184_ch" w:type="character">
    <w:name w:val="FollowedHyperlink"/>
    <w:link w:val="Style_184"/>
    <w:rPr>
      <w:color w:val="800080"/>
      <w:u w:val="single"/>
    </w:rPr>
  </w:style>
  <w:style w:styleId="Style_185" w:type="paragraph">
    <w:name w:val="Body Text 2"/>
    <w:basedOn w:val="Style_34"/>
    <w:link w:val="Style_185_ch"/>
    <w:pPr>
      <w:widowControl w:val="1"/>
      <w:ind w:firstLine="851"/>
      <w:jc w:val="both"/>
    </w:pPr>
  </w:style>
  <w:style w:styleId="Style_185_ch" w:type="character">
    <w:name w:val="Body Text 2"/>
    <w:basedOn w:val="Style_34_ch"/>
    <w:link w:val="Style_185"/>
  </w:style>
  <w:style w:styleId="Style_186" w:type="paragraph">
    <w:name w:val="toc 3"/>
    <w:basedOn w:val="Style_34"/>
    <w:next w:val="Style_34"/>
    <w:link w:val="Style_186_ch"/>
    <w:uiPriority w:val="39"/>
    <w:pPr>
      <w:widowControl w:val="1"/>
      <w:tabs>
        <w:tab w:leader="dot" w:pos="9607" w:val="right"/>
      </w:tabs>
      <w:ind/>
    </w:pPr>
  </w:style>
  <w:style w:styleId="Style_186_ch" w:type="character">
    <w:name w:val="toc 3"/>
    <w:basedOn w:val="Style_34_ch"/>
    <w:link w:val="Style_186"/>
  </w:style>
  <w:style w:styleId="Style_187" w:type="paragraph">
    <w:name w:val="xl140"/>
    <w:basedOn w:val="Style_34"/>
    <w:link w:val="Style_187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style>
  <w:style w:styleId="Style_187_ch" w:type="character">
    <w:name w:val="xl140"/>
    <w:basedOn w:val="Style_34_ch"/>
    <w:link w:val="Style_187"/>
  </w:style>
  <w:style w:styleId="Style_188" w:type="paragraph">
    <w:name w:val="ConsCell"/>
    <w:link w:val="Style_188_ch"/>
    <w:pPr>
      <w:widowControl w:val="0"/>
      <w:ind/>
    </w:pPr>
    <w:rPr>
      <w:rFonts w:ascii="Arial" w:hAnsi="Arial"/>
    </w:rPr>
  </w:style>
  <w:style w:styleId="Style_188_ch" w:type="character">
    <w:name w:val="ConsCell"/>
    <w:link w:val="Style_188"/>
    <w:rPr>
      <w:rFonts w:ascii="Arial" w:hAnsi="Arial"/>
    </w:rPr>
  </w:style>
  <w:style w:styleId="Style_32" w:type="paragraph">
    <w:name w:val="ConsTitle"/>
    <w:link w:val="Style_32_ch"/>
    <w:rPr>
      <w:rFonts w:ascii="Arial" w:hAnsi="Arial"/>
      <w:b w:val="1"/>
      <w:sz w:val="24"/>
    </w:rPr>
  </w:style>
  <w:style w:styleId="Style_32_ch" w:type="character">
    <w:name w:val="ConsTitle"/>
    <w:link w:val="Style_32"/>
    <w:rPr>
      <w:rFonts w:ascii="Arial" w:hAnsi="Arial"/>
      <w:b w:val="1"/>
      <w:sz w:val="24"/>
    </w:rPr>
  </w:style>
  <w:style w:styleId="Style_189" w:type="paragraph">
    <w:name w:val="xl190"/>
    <w:basedOn w:val="Style_34"/>
    <w:link w:val="Style_189_ch"/>
    <w:pPr>
      <w:widowControl w:val="1"/>
      <w:pBdr>
        <w:top w:color="000000" w:space="0" w:sz="4" w:val="single"/>
        <w:left w:color="000000" w:space="0" w:sz="4" w:val="single"/>
        <w:right w:color="000000" w:space="0" w:sz="4" w:val="single"/>
      </w:pBdr>
      <w:spacing w:afterAutospacing="on" w:beforeAutospacing="on"/>
      <w:ind/>
      <w:jc w:val="center"/>
    </w:pPr>
    <w:rPr>
      <w:b w:val="1"/>
    </w:rPr>
  </w:style>
  <w:style w:styleId="Style_189_ch" w:type="character">
    <w:name w:val="xl190"/>
    <w:basedOn w:val="Style_34_ch"/>
    <w:link w:val="Style_189"/>
    <w:rPr>
      <w:b w:val="1"/>
    </w:rPr>
  </w:style>
  <w:style w:styleId="Style_190" w:type="paragraph">
    <w:name w:val=" Знак Знак9"/>
    <w:link w:val="Style_190_ch"/>
    <w:rPr>
      <w:sz w:val="22"/>
    </w:rPr>
  </w:style>
  <w:style w:styleId="Style_190_ch" w:type="character">
    <w:name w:val=" Знак Знак9"/>
    <w:link w:val="Style_190"/>
    <w:rPr>
      <w:sz w:val="22"/>
    </w:rPr>
  </w:style>
  <w:style w:styleId="Style_191" w:type="paragraph">
    <w:name w:val="prilozhenie"/>
    <w:basedOn w:val="Style_34"/>
    <w:link w:val="Style_191_ch"/>
    <w:pPr>
      <w:widowControl w:val="1"/>
      <w:ind w:firstLine="709"/>
      <w:jc w:val="both"/>
    </w:pPr>
    <w:rPr>
      <w:rFonts w:ascii="Arial" w:hAnsi="Arial"/>
    </w:rPr>
  </w:style>
  <w:style w:styleId="Style_191_ch" w:type="character">
    <w:name w:val="prilozhenie"/>
    <w:basedOn w:val="Style_34_ch"/>
    <w:link w:val="Style_191"/>
    <w:rPr>
      <w:rFonts w:ascii="Arial" w:hAnsi="Arial"/>
    </w:rPr>
  </w:style>
  <w:style w:styleId="Style_192" w:type="paragraph">
    <w:name w:val="xl77"/>
    <w:basedOn w:val="Style_34"/>
    <w:link w:val="Style_192_ch"/>
    <w:pPr>
      <w:widowControl w:val="1"/>
      <w:pBdr>
        <w:top w:color="000000" w:space="0" w:sz="4" w:val="single"/>
        <w:left w:color="000000" w:space="0" w:sz="4" w:val="single"/>
        <w:right w:color="000000" w:space="0" w:sz="4" w:val="single"/>
      </w:pBdr>
      <w:spacing w:afterAutospacing="on" w:beforeAutospacing="on"/>
      <w:ind/>
    </w:pPr>
  </w:style>
  <w:style w:styleId="Style_192_ch" w:type="character">
    <w:name w:val="xl77"/>
    <w:basedOn w:val="Style_34_ch"/>
    <w:link w:val="Style_192"/>
  </w:style>
  <w:style w:styleId="Style_193" w:type="paragraph">
    <w:name w:val="font0"/>
    <w:basedOn w:val="Style_34"/>
    <w:link w:val="Style_193_ch"/>
    <w:pPr>
      <w:widowControl w:val="1"/>
      <w:spacing w:afterAutospacing="on" w:beforeAutospacing="on"/>
      <w:ind/>
    </w:pPr>
    <w:rPr>
      <w:rFonts w:ascii="Arial CYR" w:hAnsi="Arial CYR"/>
      <w:sz w:val="20"/>
    </w:rPr>
  </w:style>
  <w:style w:styleId="Style_193_ch" w:type="character">
    <w:name w:val="font0"/>
    <w:basedOn w:val="Style_34_ch"/>
    <w:link w:val="Style_193"/>
    <w:rPr>
      <w:rFonts w:ascii="Arial CYR" w:hAnsi="Arial CYR"/>
      <w:sz w:val="20"/>
    </w:rPr>
  </w:style>
  <w:style w:styleId="Style_194" w:type="paragraph">
    <w:name w:val="Обычный7"/>
    <w:link w:val="Style_194_ch"/>
  </w:style>
  <w:style w:styleId="Style_194_ch" w:type="character">
    <w:name w:val="Обычный7"/>
    <w:link w:val="Style_194"/>
  </w:style>
  <w:style w:styleId="Style_195" w:type="paragraph">
    <w:name w:val="xl105"/>
    <w:basedOn w:val="Style_34"/>
    <w:link w:val="Style_195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b w:val="1"/>
    </w:rPr>
  </w:style>
  <w:style w:styleId="Style_195_ch" w:type="character">
    <w:name w:val="xl105"/>
    <w:basedOn w:val="Style_34_ch"/>
    <w:link w:val="Style_195"/>
    <w:rPr>
      <w:b w:val="1"/>
    </w:rPr>
  </w:style>
  <w:style w:styleId="Style_196" w:type="paragraph">
    <w:name w:val="annotation reference"/>
    <w:link w:val="Style_196_ch"/>
    <w:rPr>
      <w:sz w:val="16"/>
    </w:rPr>
  </w:style>
  <w:style w:styleId="Style_196_ch" w:type="character">
    <w:name w:val="annotation reference"/>
    <w:link w:val="Style_196"/>
    <w:rPr>
      <w:sz w:val="16"/>
    </w:rPr>
  </w:style>
  <w:style w:styleId="Style_197" w:type="paragraph">
    <w:name w:val="xl160"/>
    <w:basedOn w:val="Style_34"/>
    <w:link w:val="Style_197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i w:val="1"/>
      <w:sz w:val="22"/>
    </w:rPr>
  </w:style>
  <w:style w:styleId="Style_197_ch" w:type="character">
    <w:name w:val="xl160"/>
    <w:basedOn w:val="Style_34_ch"/>
    <w:link w:val="Style_197"/>
    <w:rPr>
      <w:i w:val="1"/>
      <w:sz w:val="22"/>
    </w:rPr>
  </w:style>
  <w:style w:styleId="Style_198" w:type="paragraph">
    <w:name w:val="Постоянная часть"/>
    <w:basedOn w:val="Style_137"/>
    <w:next w:val="Style_34"/>
    <w:link w:val="Style_198_ch"/>
    <w:rPr>
      <w:b w:val="1"/>
      <w:u w:val="single"/>
    </w:rPr>
  </w:style>
  <w:style w:styleId="Style_198_ch" w:type="character">
    <w:name w:val="Постоянная часть"/>
    <w:basedOn w:val="Style_137_ch"/>
    <w:link w:val="Style_198"/>
    <w:rPr>
      <w:b w:val="1"/>
      <w:u w:val="single"/>
    </w:rPr>
  </w:style>
  <w:style w:styleId="Style_199" w:type="paragraph">
    <w:name w:val="xl185"/>
    <w:basedOn w:val="Style_34"/>
    <w:link w:val="Style_199_ch"/>
    <w:pPr>
      <w:widowControl w:val="1"/>
      <w:pBdr>
        <w:left w:color="000000" w:space="0" w:sz="4" w:val="single"/>
        <w:bottom w:color="000000" w:space="0" w:sz="4" w:val="single"/>
        <w:right w:color="000000" w:space="0" w:sz="4" w:val="single"/>
      </w:pBdr>
      <w:spacing w:afterAutospacing="on" w:beforeAutospacing="on"/>
      <w:ind/>
      <w:jc w:val="center"/>
    </w:pPr>
    <w:rPr>
      <w:b w:val="1"/>
    </w:rPr>
  </w:style>
  <w:style w:styleId="Style_199_ch" w:type="character">
    <w:name w:val="xl185"/>
    <w:basedOn w:val="Style_34_ch"/>
    <w:link w:val="Style_199"/>
    <w:rPr>
      <w:b w:val="1"/>
    </w:rPr>
  </w:style>
  <w:style w:styleId="Style_200" w:type="paragraph">
    <w:name w:val="xl130"/>
    <w:basedOn w:val="Style_34"/>
    <w:link w:val="Style_200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style>
  <w:style w:styleId="Style_200_ch" w:type="character">
    <w:name w:val="xl130"/>
    <w:basedOn w:val="Style_34_ch"/>
    <w:link w:val="Style_200"/>
  </w:style>
  <w:style w:styleId="Style_201" w:type="paragraph">
    <w:name w:val="Balloon Text"/>
    <w:basedOn w:val="Style_34"/>
    <w:link w:val="Style_201_ch"/>
    <w:rPr>
      <w:rFonts w:ascii="Tahoma" w:hAnsi="Tahoma"/>
      <w:sz w:val="16"/>
    </w:rPr>
  </w:style>
  <w:style w:styleId="Style_201_ch" w:type="character">
    <w:name w:val="Balloon Text"/>
    <w:basedOn w:val="Style_34_ch"/>
    <w:link w:val="Style_201"/>
    <w:rPr>
      <w:rFonts w:ascii="Tahoma" w:hAnsi="Tahoma"/>
      <w:sz w:val="16"/>
    </w:rPr>
  </w:style>
  <w:style w:styleId="Style_202" w:type="paragraph">
    <w:name w:val="xl137"/>
    <w:basedOn w:val="Style_34"/>
    <w:link w:val="Style_202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b w:val="1"/>
    </w:rPr>
  </w:style>
  <w:style w:styleId="Style_202_ch" w:type="character">
    <w:name w:val="xl137"/>
    <w:basedOn w:val="Style_34_ch"/>
    <w:link w:val="Style_202"/>
    <w:rPr>
      <w:b w:val="1"/>
    </w:rPr>
  </w:style>
  <w:style w:styleId="Style_203" w:type="paragraph">
    <w:name w:val="Знак Знак10"/>
    <w:link w:val="Style_203_ch"/>
    <w:rPr>
      <w:b w:val="1"/>
      <w:sz w:val="28"/>
    </w:rPr>
  </w:style>
  <w:style w:styleId="Style_203_ch" w:type="character">
    <w:name w:val="Знак Знак10"/>
    <w:link w:val="Style_203"/>
    <w:rPr>
      <w:b w:val="1"/>
      <w:sz w:val="28"/>
    </w:rPr>
  </w:style>
  <w:style w:styleId="Style_204" w:type="paragraph">
    <w:name w:val="xl82"/>
    <w:basedOn w:val="Style_34"/>
    <w:link w:val="Style_204_ch"/>
    <w:pPr>
      <w:widowControl w:val="1"/>
      <w:pBdr>
        <w:top w:color="000000" w:space="0" w:sz="8" w:val="single"/>
        <w:left w:color="000000" w:space="0" w:sz="4" w:val="single"/>
        <w:bottom w:color="000000" w:space="0" w:sz="4" w:val="single"/>
        <w:right w:color="000000" w:space="0" w:sz="4" w:val="single"/>
      </w:pBdr>
      <w:spacing w:afterAutospacing="on" w:beforeAutospacing="on"/>
      <w:ind/>
      <w:jc w:val="center"/>
    </w:pPr>
    <w:rPr>
      <w:b w:val="1"/>
    </w:rPr>
  </w:style>
  <w:style w:styleId="Style_204_ch" w:type="character">
    <w:name w:val="xl82"/>
    <w:basedOn w:val="Style_34_ch"/>
    <w:link w:val="Style_204"/>
    <w:rPr>
      <w:b w:val="1"/>
    </w:rPr>
  </w:style>
  <w:style w:styleId="Style_205" w:type="paragraph">
    <w:name w:val="Основной текст с отступом Знак1"/>
    <w:link w:val="Style_205_ch"/>
  </w:style>
  <w:style w:styleId="Style_205_ch" w:type="character">
    <w:name w:val="Основной текст с отступом Знак1"/>
    <w:link w:val="Style_205"/>
  </w:style>
  <w:style w:styleId="Style_206" w:type="paragraph">
    <w:name w:val="xl102"/>
    <w:basedOn w:val="Style_34"/>
    <w:link w:val="Style_206_ch"/>
    <w:pPr>
      <w:widowControl w:val="1"/>
      <w:pBdr>
        <w:left w:color="000000" w:space="0" w:sz="4" w:val="single"/>
        <w:bottom w:color="000000" w:space="0" w:sz="4" w:val="single"/>
        <w:right w:color="000000" w:space="0" w:sz="4" w:val="single"/>
      </w:pBdr>
      <w:spacing w:afterAutospacing="on" w:beforeAutospacing="on"/>
      <w:ind/>
      <w:jc w:val="center"/>
    </w:pPr>
    <w:rPr>
      <w:b w:val="1"/>
    </w:rPr>
  </w:style>
  <w:style w:styleId="Style_206_ch" w:type="character">
    <w:name w:val="xl102"/>
    <w:basedOn w:val="Style_34_ch"/>
    <w:link w:val="Style_206"/>
    <w:rPr>
      <w:b w:val="1"/>
    </w:rPr>
  </w:style>
  <w:style w:styleId="Style_207" w:type="paragraph">
    <w:name w:val="PEStyleFont6"/>
    <w:link w:val="Style_207_ch"/>
    <w:rPr>
      <w:rFonts w:ascii="PEW Report" w:hAnsi="PEW Report"/>
      <w:b w:val="1"/>
      <w:spacing w:val="0"/>
      <w:sz w:val="16"/>
      <w:u w:val="none"/>
    </w:rPr>
  </w:style>
  <w:style w:styleId="Style_207_ch" w:type="character">
    <w:name w:val="PEStyleFont6"/>
    <w:link w:val="Style_207"/>
    <w:rPr>
      <w:rFonts w:ascii="PEW Report" w:hAnsi="PEW Report"/>
      <w:b w:val="1"/>
      <w:spacing w:val="0"/>
      <w:sz w:val="16"/>
      <w:u w:val="none"/>
    </w:rPr>
  </w:style>
  <w:style w:styleId="Style_208" w:type="paragraph">
    <w:name w:val="xl164"/>
    <w:basedOn w:val="Style_34"/>
    <w:link w:val="Style_208_ch"/>
    <w:pPr>
      <w:widowControl w:val="1"/>
      <w:pBdr>
        <w:top w:color="000000" w:space="0" w:sz="4" w:val="single"/>
        <w:left w:color="000000" w:space="0" w:sz="4" w:val="single"/>
        <w:bottom w:color="000000" w:space="0" w:sz="4" w:val="single"/>
        <w:right w:color="000000" w:space="0" w:sz="4" w:val="single"/>
      </w:pBdr>
      <w:spacing w:afterAutospacing="on" w:beforeAutospacing="on"/>
      <w:ind/>
    </w:pPr>
  </w:style>
  <w:style w:styleId="Style_208_ch" w:type="character">
    <w:name w:val="xl164"/>
    <w:basedOn w:val="Style_34_ch"/>
    <w:link w:val="Style_208"/>
  </w:style>
  <w:style w:styleId="Style_209" w:type="paragraph">
    <w:name w:val="xl125"/>
    <w:basedOn w:val="Style_34"/>
    <w:link w:val="Style_209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b w:val="1"/>
    </w:rPr>
  </w:style>
  <w:style w:styleId="Style_209_ch" w:type="character">
    <w:name w:val="xl125"/>
    <w:basedOn w:val="Style_34_ch"/>
    <w:link w:val="Style_209"/>
    <w:rPr>
      <w:b w:val="1"/>
    </w:rPr>
  </w:style>
  <w:style w:styleId="Style_210" w:type="paragraph">
    <w:name w:val="font5"/>
    <w:basedOn w:val="Style_34"/>
    <w:link w:val="Style_210_ch"/>
    <w:pPr>
      <w:widowControl w:val="1"/>
      <w:spacing w:afterAutospacing="on" w:beforeAutospacing="on"/>
      <w:ind/>
    </w:pPr>
    <w:rPr>
      <w:rFonts w:ascii="Arial" w:hAnsi="Arial"/>
      <w:b w:val="1"/>
      <w:sz w:val="20"/>
    </w:rPr>
  </w:style>
  <w:style w:styleId="Style_210_ch" w:type="character">
    <w:name w:val="font5"/>
    <w:basedOn w:val="Style_34_ch"/>
    <w:link w:val="Style_210"/>
    <w:rPr>
      <w:rFonts w:ascii="Arial" w:hAnsi="Arial"/>
      <w:b w:val="1"/>
      <w:sz w:val="20"/>
    </w:rPr>
  </w:style>
  <w:style w:styleId="Style_211" w:type="paragraph">
    <w:name w:val="xl34"/>
    <w:basedOn w:val="Style_34"/>
    <w:link w:val="Style_211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rFonts w:ascii="Arial" w:hAnsi="Arial"/>
      <w:sz w:val="18"/>
    </w:rPr>
  </w:style>
  <w:style w:styleId="Style_211_ch" w:type="character">
    <w:name w:val="xl34"/>
    <w:basedOn w:val="Style_34_ch"/>
    <w:link w:val="Style_211"/>
    <w:rPr>
      <w:rFonts w:ascii="Arial" w:hAnsi="Arial"/>
      <w:sz w:val="18"/>
    </w:rPr>
  </w:style>
  <w:style w:styleId="Style_212" w:type="paragraph">
    <w:name w:val="xl113"/>
    <w:basedOn w:val="Style_34"/>
    <w:link w:val="Style_212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b w:val="1"/>
    </w:rPr>
  </w:style>
  <w:style w:styleId="Style_212_ch" w:type="character">
    <w:name w:val="xl113"/>
    <w:basedOn w:val="Style_34_ch"/>
    <w:link w:val="Style_212"/>
    <w:rPr>
      <w:b w:val="1"/>
    </w:rPr>
  </w:style>
  <w:style w:styleId="Style_59" w:type="paragraph">
    <w:name w:val="Текст (прав. подпись)"/>
    <w:basedOn w:val="Style_34"/>
    <w:next w:val="Style_34"/>
    <w:link w:val="Style_59_ch"/>
    <w:pPr>
      <w:widowControl w:val="0"/>
      <w:ind/>
      <w:jc w:val="right"/>
    </w:pPr>
    <w:rPr>
      <w:rFonts w:ascii="Arial" w:hAnsi="Arial"/>
      <w:sz w:val="20"/>
    </w:rPr>
  </w:style>
  <w:style w:styleId="Style_59_ch" w:type="character">
    <w:name w:val="Текст (прав. подпись)"/>
    <w:basedOn w:val="Style_34_ch"/>
    <w:link w:val="Style_59"/>
    <w:rPr>
      <w:rFonts w:ascii="Arial" w:hAnsi="Arial"/>
      <w:sz w:val="20"/>
    </w:rPr>
  </w:style>
  <w:style w:styleId="Style_213" w:type="paragraph">
    <w:name w:val="heading 5"/>
    <w:basedOn w:val="Style_34"/>
    <w:next w:val="Style_34"/>
    <w:link w:val="Style_213_ch"/>
    <w:uiPriority w:val="9"/>
    <w:qFormat/>
    <w:pPr>
      <w:keepNext w:val="1"/>
      <w:widowControl w:val="1"/>
      <w:ind/>
      <w:outlineLvl w:val="4"/>
    </w:pPr>
  </w:style>
  <w:style w:styleId="Style_213_ch" w:type="character">
    <w:name w:val="heading 5"/>
    <w:basedOn w:val="Style_34_ch"/>
    <w:link w:val="Style_213"/>
  </w:style>
  <w:style w:styleId="Style_214" w:type="paragraph">
    <w:name w:val="Д_СтПунктПб№"/>
    <w:basedOn w:val="Style_34"/>
    <w:link w:val="Style_214_ch"/>
    <w:pPr>
      <w:widowControl w:val="1"/>
      <w:numPr>
        <w:ilvl w:val="6"/>
        <w:numId w:val="42"/>
      </w:numPr>
      <w:tabs>
        <w:tab w:leader="none" w:pos="1701" w:val="left"/>
      </w:tabs>
      <w:spacing w:after="120"/>
      <w:ind w:hanging="397" w:left="1701"/>
    </w:pPr>
    <w:rPr>
      <w:rFonts w:ascii="Arial Narrow" w:hAnsi="Arial Narrow"/>
    </w:rPr>
  </w:style>
  <w:style w:styleId="Style_214_ch" w:type="character">
    <w:name w:val="Д_СтПунктПб№"/>
    <w:basedOn w:val="Style_34_ch"/>
    <w:link w:val="Style_214"/>
    <w:rPr>
      <w:rFonts w:ascii="Arial Narrow" w:hAnsi="Arial Narrow"/>
    </w:rPr>
  </w:style>
  <w:style w:styleId="Style_215" w:type="paragraph">
    <w:name w:val="TOC Heading"/>
    <w:basedOn w:val="Style_7"/>
    <w:next w:val="Style_34"/>
    <w:link w:val="Style_215_ch"/>
    <w:pPr>
      <w:keepLines w:val="1"/>
      <w:widowControl w:val="1"/>
      <w:spacing w:before="480" w:line="276" w:lineRule="auto"/>
      <w:ind/>
      <w:outlineLvl w:val="8"/>
    </w:pPr>
    <w:rPr>
      <w:rFonts w:ascii="Cambria" w:hAnsi="Cambria"/>
      <w:b w:val="1"/>
      <w:color w:val="365F91"/>
    </w:rPr>
  </w:style>
  <w:style w:styleId="Style_215_ch" w:type="character">
    <w:name w:val="TOC Heading"/>
    <w:basedOn w:val="Style_7_ch"/>
    <w:link w:val="Style_215"/>
    <w:rPr>
      <w:rFonts w:ascii="Cambria" w:hAnsi="Cambria"/>
      <w:b w:val="1"/>
      <w:color w:val="365F91"/>
    </w:rPr>
  </w:style>
  <w:style w:styleId="Style_216" w:type="paragraph">
    <w:name w:val="xl124"/>
    <w:basedOn w:val="Style_34"/>
    <w:link w:val="Style_216_ch"/>
    <w:pPr>
      <w:widowControl w:val="1"/>
      <w:pBdr>
        <w:top w:color="000000" w:space="0" w:sz="4" w:val="single"/>
        <w:left w:color="000000" w:space="0" w:sz="4" w:val="single"/>
        <w:bottom w:color="000000" w:space="0" w:sz="4" w:val="single"/>
        <w:right w:color="000000" w:space="0" w:sz="4" w:val="single"/>
      </w:pBdr>
      <w:spacing w:afterAutospacing="on" w:beforeAutospacing="on"/>
      <w:ind/>
    </w:pPr>
  </w:style>
  <w:style w:styleId="Style_216_ch" w:type="character">
    <w:name w:val="xl124"/>
    <w:basedOn w:val="Style_34_ch"/>
    <w:link w:val="Style_216"/>
  </w:style>
  <w:style w:styleId="Style_217" w:type="paragraph">
    <w:name w:val="Список с точкой"/>
    <w:basedOn w:val="Style_34"/>
    <w:link w:val="Style_217_ch"/>
    <w:pPr>
      <w:widowControl w:val="1"/>
      <w:tabs>
        <w:tab w:leader="none" w:pos="1080" w:val="left"/>
      </w:tabs>
      <w:spacing w:after="60" w:before="60"/>
      <w:ind w:hanging="11" w:left="731"/>
      <w:jc w:val="both"/>
    </w:pPr>
  </w:style>
  <w:style w:styleId="Style_217_ch" w:type="character">
    <w:name w:val="Список с точкой"/>
    <w:basedOn w:val="Style_34_ch"/>
    <w:link w:val="Style_217"/>
  </w:style>
  <w:style w:styleId="Style_218" w:type="paragraph">
    <w:name w:val="xl177"/>
    <w:basedOn w:val="Style_34"/>
    <w:link w:val="Style_218_ch"/>
    <w:pPr>
      <w:widowControl w:val="1"/>
      <w:pBdr>
        <w:top w:color="000000" w:space="0" w:sz="4" w:val="single"/>
        <w:left w:color="000000" w:space="0" w:sz="4" w:val="single"/>
        <w:bottom w:color="000000" w:space="0" w:sz="4" w:val="single"/>
      </w:pBdr>
      <w:spacing w:afterAutospacing="on" w:beforeAutospacing="on"/>
      <w:ind/>
    </w:pPr>
    <w:rPr>
      <w:b w:val="1"/>
      <w:i w:val="1"/>
      <w:color w:val="000000"/>
    </w:rPr>
  </w:style>
  <w:style w:styleId="Style_218_ch" w:type="character">
    <w:name w:val="xl177"/>
    <w:basedOn w:val="Style_34_ch"/>
    <w:link w:val="Style_218"/>
    <w:rPr>
      <w:b w:val="1"/>
      <w:i w:val="1"/>
      <w:color w:val="000000"/>
    </w:rPr>
  </w:style>
  <w:style w:styleId="Style_219" w:type="paragraph">
    <w:name w:val="xl143"/>
    <w:basedOn w:val="Style_34"/>
    <w:link w:val="Style_219_ch"/>
    <w:pPr>
      <w:widowControl w:val="1"/>
      <w:pBdr>
        <w:top w:color="000000" w:space="0" w:sz="4" w:val="single"/>
        <w:left w:color="000000" w:space="31" w:sz="4" w:val="single"/>
        <w:bottom w:color="000000" w:space="0" w:sz="4" w:val="single"/>
        <w:right w:color="000000" w:space="0" w:sz="4" w:val="single"/>
      </w:pBdr>
      <w:spacing w:afterAutospacing="on" w:beforeAutospacing="on"/>
      <w:ind/>
    </w:pPr>
    <w:rPr>
      <w:i w:val="1"/>
    </w:rPr>
  </w:style>
  <w:style w:styleId="Style_219_ch" w:type="character">
    <w:name w:val="xl143"/>
    <w:basedOn w:val="Style_34_ch"/>
    <w:link w:val="Style_219"/>
    <w:rPr>
      <w:i w:val="1"/>
    </w:rPr>
  </w:style>
  <w:style w:styleId="Style_137" w:type="paragraph">
    <w:name w:val="Основное меню"/>
    <w:basedOn w:val="Style_34"/>
    <w:next w:val="Style_34"/>
    <w:link w:val="Style_137_ch"/>
    <w:pPr>
      <w:widowControl w:val="0"/>
      <w:ind w:firstLine="720"/>
      <w:jc w:val="both"/>
    </w:pPr>
    <w:rPr>
      <w:rFonts w:ascii="Verdana" w:hAnsi="Verdana"/>
      <w:sz w:val="18"/>
    </w:rPr>
  </w:style>
  <w:style w:styleId="Style_137_ch" w:type="character">
    <w:name w:val="Основное меню"/>
    <w:basedOn w:val="Style_34_ch"/>
    <w:link w:val="Style_137"/>
    <w:rPr>
      <w:rFonts w:ascii="Verdana" w:hAnsi="Verdana"/>
      <w:sz w:val="18"/>
    </w:rPr>
  </w:style>
  <w:style w:styleId="Style_220" w:type="paragraph">
    <w:name w:val="Normal1"/>
    <w:link w:val="Style_220_ch"/>
  </w:style>
  <w:style w:styleId="Style_220_ch" w:type="character">
    <w:name w:val="Normal1"/>
    <w:link w:val="Style_220"/>
  </w:style>
  <w:style w:styleId="Style_221" w:type="paragraph">
    <w:name w:val="xl49"/>
    <w:basedOn w:val="Style_34"/>
    <w:link w:val="Style_221_ch"/>
    <w:pPr>
      <w:widowControl w:val="1"/>
      <w:pBdr>
        <w:top w:color="000000" w:space="0" w:sz="4" w:val="single"/>
        <w:left w:color="000000" w:space="0" w:sz="8" w:val="single"/>
        <w:bottom w:color="000000" w:space="0" w:sz="8" w:val="single"/>
        <w:right w:color="000000" w:space="0" w:sz="4" w:val="single"/>
      </w:pBdr>
      <w:spacing w:afterAutospacing="on" w:beforeAutospacing="on"/>
      <w:ind/>
      <w:jc w:val="center"/>
    </w:pPr>
  </w:style>
  <w:style w:styleId="Style_221_ch" w:type="character">
    <w:name w:val="xl49"/>
    <w:basedOn w:val="Style_34_ch"/>
    <w:link w:val="Style_221"/>
  </w:style>
  <w:style w:styleId="Style_222" w:type="paragraph">
    <w:name w:val="xl22"/>
    <w:basedOn w:val="Style_34"/>
    <w:link w:val="Style_222_ch"/>
    <w:pPr>
      <w:widowControl w:val="1"/>
      <w:pBdr>
        <w:top w:color="000000" w:space="0" w:sz="4" w:val="single"/>
        <w:left w:color="000000" w:space="0" w:sz="4" w:val="single"/>
        <w:bottom w:color="000000" w:space="0" w:sz="4" w:val="single"/>
        <w:right w:color="000000" w:space="0" w:sz="4" w:val="single"/>
      </w:pBdr>
      <w:spacing w:afterAutospacing="on" w:beforeAutospacing="on"/>
      <w:ind/>
      <w:jc w:val="both"/>
    </w:pPr>
    <w:rPr>
      <w:sz w:val="20"/>
    </w:rPr>
  </w:style>
  <w:style w:styleId="Style_222_ch" w:type="character">
    <w:name w:val="xl22"/>
    <w:basedOn w:val="Style_34_ch"/>
    <w:link w:val="Style_222"/>
    <w:rPr>
      <w:sz w:val="20"/>
    </w:rPr>
  </w:style>
  <w:style w:styleId="Style_223" w:type="paragraph">
    <w:name w:val=" Знак Знак12"/>
    <w:link w:val="Style_223_ch"/>
    <w:rPr>
      <w:sz w:val="28"/>
    </w:rPr>
  </w:style>
  <w:style w:styleId="Style_223_ch" w:type="character">
    <w:name w:val=" Знак Знак12"/>
    <w:link w:val="Style_223"/>
    <w:rPr>
      <w:sz w:val="28"/>
    </w:rPr>
  </w:style>
  <w:style w:styleId="Style_224" w:type="paragraph">
    <w:name w:val="xl73"/>
    <w:basedOn w:val="Style_34"/>
    <w:link w:val="Style_224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rFonts w:ascii="Arial CYR" w:hAnsi="Arial CYR"/>
      <w:b w:val="1"/>
      <w:sz w:val="16"/>
    </w:rPr>
  </w:style>
  <w:style w:styleId="Style_224_ch" w:type="character">
    <w:name w:val="xl73"/>
    <w:basedOn w:val="Style_34_ch"/>
    <w:link w:val="Style_224"/>
    <w:rPr>
      <w:rFonts w:ascii="Arial CYR" w:hAnsi="Arial CYR"/>
      <w:b w:val="1"/>
      <w:sz w:val="16"/>
    </w:rPr>
  </w:style>
  <w:style w:styleId="Style_225" w:type="paragraph">
    <w:name w:val="Перечисл. марк. 2"/>
    <w:basedOn w:val="Style_34"/>
    <w:link w:val="Style_225_ch"/>
    <w:pPr>
      <w:widowControl w:val="1"/>
      <w:ind w:hanging="567" w:left="1287"/>
      <w:jc w:val="both"/>
    </w:pPr>
  </w:style>
  <w:style w:styleId="Style_225_ch" w:type="character">
    <w:name w:val="Перечисл. марк. 2"/>
    <w:basedOn w:val="Style_34_ch"/>
    <w:link w:val="Style_225"/>
  </w:style>
  <w:style w:styleId="Style_7" w:type="paragraph">
    <w:name w:val="heading 1"/>
    <w:basedOn w:val="Style_34"/>
    <w:next w:val="Style_34"/>
    <w:link w:val="Style_7_ch"/>
    <w:uiPriority w:val="9"/>
    <w:qFormat/>
    <w:pPr>
      <w:keepNext w:val="1"/>
      <w:widowControl w:val="1"/>
      <w:ind/>
      <w:outlineLvl w:val="0"/>
    </w:pPr>
    <w:rPr>
      <w:color w:val="339966"/>
      <w:sz w:val="28"/>
    </w:rPr>
  </w:style>
  <w:style w:styleId="Style_7_ch" w:type="character">
    <w:name w:val="heading 1"/>
    <w:basedOn w:val="Style_34_ch"/>
    <w:link w:val="Style_7"/>
    <w:rPr>
      <w:color w:val="339966"/>
      <w:sz w:val="28"/>
    </w:rPr>
  </w:style>
  <w:style w:styleId="Style_226" w:type="paragraph">
    <w:name w:val="xl149"/>
    <w:basedOn w:val="Style_34"/>
    <w:link w:val="Style_226_ch"/>
    <w:pPr>
      <w:widowControl w:val="1"/>
      <w:spacing w:afterAutospacing="on" w:beforeAutospacing="on"/>
      <w:ind/>
      <w:jc w:val="center"/>
    </w:pPr>
  </w:style>
  <w:style w:styleId="Style_226_ch" w:type="character">
    <w:name w:val="xl149"/>
    <w:basedOn w:val="Style_34_ch"/>
    <w:link w:val="Style_226"/>
  </w:style>
  <w:style w:styleId="Style_227" w:type="paragraph">
    <w:name w:val=" Знак Знак10"/>
    <w:link w:val="Style_227_ch"/>
    <w:rPr>
      <w:b w:val="1"/>
      <w:sz w:val="28"/>
    </w:rPr>
  </w:style>
  <w:style w:styleId="Style_227_ch" w:type="character">
    <w:name w:val=" Знак Знак10"/>
    <w:link w:val="Style_227"/>
    <w:rPr>
      <w:b w:val="1"/>
      <w:sz w:val="28"/>
    </w:rPr>
  </w:style>
  <w:style w:styleId="Style_228" w:type="paragraph">
    <w:name w:val="xl121"/>
    <w:basedOn w:val="Style_34"/>
    <w:link w:val="Style_228_ch"/>
    <w:pPr>
      <w:widowControl w:val="1"/>
      <w:spacing w:afterAutospacing="on" w:beforeAutospacing="on"/>
      <w:ind/>
    </w:pPr>
    <w:rPr>
      <w:b w:val="1"/>
    </w:rPr>
  </w:style>
  <w:style w:styleId="Style_228_ch" w:type="character">
    <w:name w:val="xl121"/>
    <w:basedOn w:val="Style_34_ch"/>
    <w:link w:val="Style_228"/>
    <w:rPr>
      <w:b w:val="1"/>
    </w:rPr>
  </w:style>
  <w:style w:styleId="Style_229" w:type="paragraph">
    <w:name w:val="xl117"/>
    <w:basedOn w:val="Style_34"/>
    <w:link w:val="Style_229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style>
  <w:style w:styleId="Style_229_ch" w:type="character">
    <w:name w:val="xl117"/>
    <w:basedOn w:val="Style_34_ch"/>
    <w:link w:val="Style_229"/>
  </w:style>
  <w:style w:styleId="Style_230" w:type="paragraph">
    <w:name w:val="Текст (справка)"/>
    <w:basedOn w:val="Style_34"/>
    <w:next w:val="Style_34"/>
    <w:link w:val="Style_230_ch"/>
    <w:pPr>
      <w:widowControl w:val="0"/>
      <w:ind w:left="170" w:right="170"/>
    </w:pPr>
    <w:rPr>
      <w:rFonts w:ascii="Arial" w:hAnsi="Arial"/>
      <w:sz w:val="20"/>
    </w:rPr>
  </w:style>
  <w:style w:styleId="Style_230_ch" w:type="character">
    <w:name w:val="Текст (справка)"/>
    <w:basedOn w:val="Style_34_ch"/>
    <w:link w:val="Style_230"/>
    <w:rPr>
      <w:rFonts w:ascii="Arial" w:hAnsi="Arial"/>
      <w:sz w:val="20"/>
    </w:rPr>
  </w:style>
  <w:style w:styleId="Style_231" w:type="paragraph">
    <w:name w:val="xl80"/>
    <w:basedOn w:val="Style_34"/>
    <w:link w:val="Style_231_ch"/>
    <w:pPr>
      <w:widowControl w:val="1"/>
      <w:spacing w:afterAutospacing="on" w:beforeAutospacing="on"/>
      <w:ind/>
    </w:pPr>
  </w:style>
  <w:style w:styleId="Style_231_ch" w:type="character">
    <w:name w:val="xl80"/>
    <w:basedOn w:val="Style_34_ch"/>
    <w:link w:val="Style_231"/>
  </w:style>
  <w:style w:styleId="Style_14" w:type="paragraph">
    <w:name w:val="Hyperlink"/>
    <w:link w:val="Style_14_ch"/>
    <w:rPr>
      <w:color w:val="0000FF"/>
      <w:u w:val="single"/>
    </w:rPr>
  </w:style>
  <w:style w:styleId="Style_14_ch" w:type="character">
    <w:name w:val="Hyperlink"/>
    <w:link w:val="Style_14"/>
    <w:rPr>
      <w:color w:val="0000FF"/>
      <w:u w:val="single"/>
    </w:rPr>
  </w:style>
  <w:style w:styleId="Style_232" w:type="paragraph">
    <w:name w:val="Footnote"/>
    <w:basedOn w:val="Style_34"/>
    <w:link w:val="Style_232_ch"/>
    <w:rPr>
      <w:rFonts w:ascii="TimesET" w:hAnsi="TimesET"/>
      <w:sz w:val="20"/>
    </w:rPr>
  </w:style>
  <w:style w:styleId="Style_232_ch" w:type="character">
    <w:name w:val="Footnote"/>
    <w:basedOn w:val="Style_34_ch"/>
    <w:link w:val="Style_232"/>
    <w:rPr>
      <w:rFonts w:ascii="TimesET" w:hAnsi="TimesET"/>
      <w:sz w:val="20"/>
    </w:rPr>
  </w:style>
  <w:style w:styleId="Style_233" w:type="paragraph">
    <w:name w:val="xl106"/>
    <w:basedOn w:val="Style_34"/>
    <w:link w:val="Style_233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b w:val="1"/>
    </w:rPr>
  </w:style>
  <w:style w:styleId="Style_233_ch" w:type="character">
    <w:name w:val="xl106"/>
    <w:basedOn w:val="Style_34_ch"/>
    <w:link w:val="Style_233"/>
    <w:rPr>
      <w:b w:val="1"/>
    </w:rPr>
  </w:style>
  <w:style w:styleId="Style_234" w:type="paragraph">
    <w:name w:val="Колонтитул (левый)"/>
    <w:basedOn w:val="Style_235"/>
    <w:next w:val="Style_34"/>
    <w:link w:val="Style_234_ch"/>
    <w:rPr>
      <w:sz w:val="14"/>
    </w:rPr>
  </w:style>
  <w:style w:styleId="Style_234_ch" w:type="character">
    <w:name w:val="Колонтитул (левый)"/>
    <w:basedOn w:val="Style_235_ch"/>
    <w:link w:val="Style_234"/>
    <w:rPr>
      <w:sz w:val="14"/>
    </w:rPr>
  </w:style>
  <w:style w:styleId="Style_236" w:type="paragraph">
    <w:name w:val="heading 8"/>
    <w:basedOn w:val="Style_34"/>
    <w:next w:val="Style_34"/>
    <w:link w:val="Style_236_ch"/>
    <w:uiPriority w:val="9"/>
    <w:qFormat/>
    <w:pPr>
      <w:keepNext w:val="1"/>
      <w:widowControl w:val="1"/>
      <w:ind/>
      <w:jc w:val="center"/>
      <w:outlineLvl w:val="7"/>
    </w:pPr>
    <w:rPr>
      <w:rFonts w:ascii="Arial" w:hAnsi="Arial"/>
      <w:b w:val="1"/>
      <w:sz w:val="20"/>
    </w:rPr>
  </w:style>
  <w:style w:styleId="Style_236_ch" w:type="character">
    <w:name w:val="heading 8"/>
    <w:basedOn w:val="Style_34_ch"/>
    <w:link w:val="Style_236"/>
    <w:rPr>
      <w:rFonts w:ascii="Arial" w:hAnsi="Arial"/>
      <w:b w:val="1"/>
      <w:sz w:val="20"/>
    </w:rPr>
  </w:style>
  <w:style w:styleId="Style_237" w:type="paragraph">
    <w:name w:val="Знак Знак5"/>
    <w:link w:val="Style_237_ch"/>
    <w:rPr>
      <w:b w:val="1"/>
      <w:sz w:val="44"/>
    </w:rPr>
  </w:style>
  <w:style w:styleId="Style_237_ch" w:type="character">
    <w:name w:val="Знак Знак5"/>
    <w:link w:val="Style_237"/>
    <w:rPr>
      <w:b w:val="1"/>
      <w:sz w:val="44"/>
    </w:rPr>
  </w:style>
  <w:style w:styleId="Style_238" w:type="paragraph">
    <w:name w:val="xl97"/>
    <w:basedOn w:val="Style_34"/>
    <w:link w:val="Style_238_ch"/>
    <w:pPr>
      <w:widowControl w:val="1"/>
      <w:pBdr>
        <w:top w:color="000000" w:space="0" w:sz="4" w:val="single"/>
        <w:left w:color="000000" w:space="0" w:sz="4" w:val="single"/>
        <w:right w:color="000000" w:space="0" w:sz="4" w:val="single"/>
      </w:pBdr>
      <w:spacing w:afterAutospacing="on" w:beforeAutospacing="on"/>
      <w:ind/>
      <w:jc w:val="center"/>
    </w:pPr>
    <w:rPr>
      <w:b w:val="1"/>
    </w:rPr>
  </w:style>
  <w:style w:styleId="Style_238_ch" w:type="character">
    <w:name w:val="xl97"/>
    <w:basedOn w:val="Style_34_ch"/>
    <w:link w:val="Style_238"/>
    <w:rPr>
      <w:b w:val="1"/>
    </w:rPr>
  </w:style>
  <w:style w:styleId="Style_239" w:type="paragraph">
    <w:name w:val="xl162"/>
    <w:basedOn w:val="Style_34"/>
    <w:link w:val="Style_239_ch"/>
    <w:pPr>
      <w:widowControl w:val="1"/>
      <w:pBdr>
        <w:top w:color="000000" w:space="0" w:sz="4" w:val="single"/>
        <w:left w:color="000000" w:space="0" w:sz="4" w:val="single"/>
        <w:bottom w:color="000000" w:space="0" w:sz="4" w:val="single"/>
        <w:right w:color="000000" w:space="0" w:sz="4" w:val="single"/>
      </w:pBdr>
      <w:spacing w:afterAutospacing="on" w:beforeAutospacing="on"/>
      <w:ind/>
    </w:pPr>
  </w:style>
  <w:style w:styleId="Style_239_ch" w:type="character">
    <w:name w:val="xl162"/>
    <w:basedOn w:val="Style_34_ch"/>
    <w:link w:val="Style_239"/>
  </w:style>
  <w:style w:styleId="Style_240" w:type="paragraph">
    <w:name w:val="List Paragraph"/>
    <w:basedOn w:val="Style_34"/>
    <w:link w:val="Style_240_ch"/>
    <w:pPr>
      <w:widowControl w:val="1"/>
      <w:spacing w:after="200" w:line="276" w:lineRule="auto"/>
      <w:ind w:left="720"/>
      <w:contextualSpacing w:val="1"/>
    </w:pPr>
    <w:rPr>
      <w:rFonts w:ascii="Calibri" w:hAnsi="Calibri"/>
      <w:sz w:val="22"/>
    </w:rPr>
  </w:style>
  <w:style w:styleId="Style_240_ch" w:type="character">
    <w:name w:val="List Paragraph"/>
    <w:basedOn w:val="Style_34_ch"/>
    <w:link w:val="Style_240"/>
    <w:rPr>
      <w:rFonts w:ascii="Calibri" w:hAnsi="Calibri"/>
      <w:sz w:val="22"/>
    </w:rPr>
  </w:style>
  <w:style w:styleId="Style_241" w:type="paragraph">
    <w:name w:val="Message Header"/>
    <w:basedOn w:val="Style_17"/>
    <w:link w:val="Style_241_ch"/>
    <w:pPr>
      <w:keepLines w:val="1"/>
      <w:widowControl w:val="1"/>
      <w:pBdr>
        <w:bottom w:color="000000" w:space="2" w:sz="6" w:val="single"/>
        <w:between w:color="000000" w:space="2" w:sz="6" w:val="single"/>
      </w:pBdr>
      <w:tabs>
        <w:tab w:leader="none" w:pos="993" w:val="left"/>
        <w:tab w:leader="none" w:pos="4320" w:val="left"/>
        <w:tab w:leader="none" w:pos="5245" w:val="left"/>
        <w:tab w:leader="none" w:pos="8640" w:val="right"/>
      </w:tabs>
      <w:spacing w:after="0" w:line="440" w:lineRule="atLeast"/>
      <w:ind w:hanging="993" w:left="993"/>
    </w:pPr>
    <w:rPr>
      <w:rFonts w:ascii="Arial" w:hAnsi="Arial"/>
      <w:spacing w:val="-5"/>
    </w:rPr>
  </w:style>
  <w:style w:styleId="Style_241_ch" w:type="character">
    <w:name w:val="Message Header"/>
    <w:basedOn w:val="Style_17_ch"/>
    <w:link w:val="Style_241"/>
    <w:rPr>
      <w:rFonts w:ascii="Arial" w:hAnsi="Arial"/>
      <w:spacing w:val="-5"/>
    </w:rPr>
  </w:style>
  <w:style w:styleId="Style_5" w:type="paragraph">
    <w:name w:val="toc 1"/>
    <w:basedOn w:val="Style_34"/>
    <w:next w:val="Style_34"/>
    <w:link w:val="Style_5_ch"/>
    <w:uiPriority w:val="39"/>
    <w:pPr>
      <w:widowControl w:val="1"/>
      <w:tabs>
        <w:tab w:leader="dot" w:pos="9629" w:val="right"/>
      </w:tabs>
      <w:spacing w:after="120" w:before="120"/>
      <w:ind/>
    </w:pPr>
    <w:rPr>
      <w:caps w:val="1"/>
    </w:rPr>
  </w:style>
  <w:style w:styleId="Style_5_ch" w:type="character">
    <w:name w:val="toc 1"/>
    <w:basedOn w:val="Style_34_ch"/>
    <w:link w:val="Style_5"/>
    <w:rPr>
      <w:caps w:val="1"/>
    </w:rPr>
  </w:style>
  <w:style w:styleId="Style_242" w:type="paragraph">
    <w:name w:val="xl81"/>
    <w:basedOn w:val="Style_34"/>
    <w:link w:val="Style_242_ch"/>
    <w:pPr>
      <w:widowControl w:val="1"/>
      <w:pBdr>
        <w:top w:color="000000" w:space="0" w:sz="8" w:val="single"/>
        <w:left w:color="000000" w:space="0" w:sz="8" w:val="single"/>
        <w:bottom w:color="000000" w:space="0" w:sz="4" w:val="single"/>
        <w:right w:color="000000" w:space="0" w:sz="4" w:val="single"/>
      </w:pBdr>
      <w:spacing w:afterAutospacing="on" w:beforeAutospacing="on"/>
      <w:ind/>
      <w:jc w:val="center"/>
    </w:pPr>
    <w:rPr>
      <w:b w:val="1"/>
    </w:rPr>
  </w:style>
  <w:style w:styleId="Style_242_ch" w:type="character">
    <w:name w:val="xl81"/>
    <w:basedOn w:val="Style_34_ch"/>
    <w:link w:val="Style_242"/>
    <w:rPr>
      <w:b w:val="1"/>
    </w:rPr>
  </w:style>
  <w:style w:styleId="Style_243" w:type="paragraph">
    <w:name w:val="Стиль"/>
    <w:link w:val="Style_243_ch"/>
    <w:pPr>
      <w:widowControl w:val="0"/>
      <w:ind/>
    </w:pPr>
    <w:rPr>
      <w:sz w:val="24"/>
    </w:rPr>
  </w:style>
  <w:style w:styleId="Style_243_ch" w:type="character">
    <w:name w:val="Стиль"/>
    <w:link w:val="Style_243"/>
    <w:rPr>
      <w:sz w:val="24"/>
    </w:rPr>
  </w:style>
  <w:style w:styleId="Style_244" w:type="paragraph">
    <w:name w:val="Основной текст 22"/>
    <w:basedOn w:val="Style_34"/>
    <w:link w:val="Style_244_ch"/>
    <w:pPr>
      <w:widowControl w:val="1"/>
      <w:ind w:firstLine="851"/>
      <w:jc w:val="both"/>
    </w:pPr>
  </w:style>
  <w:style w:styleId="Style_244_ch" w:type="character">
    <w:name w:val="Основной текст 22"/>
    <w:basedOn w:val="Style_34_ch"/>
    <w:link w:val="Style_244"/>
  </w:style>
  <w:style w:styleId="Style_245" w:type="paragraph">
    <w:name w:val="xl98"/>
    <w:basedOn w:val="Style_34"/>
    <w:link w:val="Style_245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style>
  <w:style w:styleId="Style_245_ch" w:type="character">
    <w:name w:val="xl98"/>
    <w:basedOn w:val="Style_34_ch"/>
    <w:link w:val="Style_245"/>
  </w:style>
  <w:style w:styleId="Style_246" w:type="paragraph">
    <w:name w:val="xl131"/>
    <w:basedOn w:val="Style_34"/>
    <w:link w:val="Style_246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style>
  <w:style w:styleId="Style_246_ch" w:type="character">
    <w:name w:val="xl131"/>
    <w:basedOn w:val="Style_34_ch"/>
    <w:link w:val="Style_246"/>
  </w:style>
  <w:style w:styleId="Style_247" w:type="paragraph">
    <w:name w:val="Знак Знак19"/>
    <w:link w:val="Style_247_ch"/>
  </w:style>
  <w:style w:styleId="Style_247_ch" w:type="character">
    <w:name w:val="Знак Знак19"/>
    <w:link w:val="Style_247"/>
  </w:style>
  <w:style w:styleId="Style_248" w:type="paragraph">
    <w:name w:val="Header and Footer"/>
    <w:link w:val="Style_248_ch"/>
    <w:pPr>
      <w:spacing w:line="240" w:lineRule="auto"/>
      <w:ind/>
      <w:jc w:val="both"/>
    </w:pPr>
    <w:rPr>
      <w:rFonts w:ascii="XO Thames" w:hAnsi="XO Thames"/>
      <w:sz w:val="28"/>
    </w:rPr>
  </w:style>
  <w:style w:styleId="Style_248_ch" w:type="character">
    <w:name w:val="Header and Footer"/>
    <w:link w:val="Style_248"/>
    <w:rPr>
      <w:rFonts w:ascii="XO Thames" w:hAnsi="XO Thames"/>
      <w:sz w:val="28"/>
    </w:rPr>
  </w:style>
  <w:style w:styleId="Style_61" w:type="paragraph">
    <w:name w:val="Д_Статья"/>
    <w:basedOn w:val="Style_34"/>
    <w:next w:val="Style_27"/>
    <w:link w:val="Style_61_ch"/>
    <w:pPr>
      <w:keepNext w:val="1"/>
      <w:keepLines w:val="1"/>
      <w:widowControl w:val="1"/>
      <w:numPr>
        <w:ilvl w:val="2"/>
        <w:numId w:val="42"/>
      </w:numPr>
      <w:tabs>
        <w:tab w:leader="none" w:pos="1985" w:val="left"/>
      </w:tabs>
      <w:spacing w:after="120" w:before="240"/>
      <w:ind w:hanging="1134" w:left="1985"/>
      <w:jc w:val="both"/>
    </w:pPr>
    <w:rPr>
      <w:rFonts w:ascii="Arial Narrow" w:hAnsi="Arial Narrow"/>
      <w:b w:val="1"/>
    </w:rPr>
  </w:style>
  <w:style w:styleId="Style_61_ch" w:type="character">
    <w:name w:val="Д_Статья"/>
    <w:basedOn w:val="Style_34_ch"/>
    <w:link w:val="Style_61"/>
    <w:rPr>
      <w:rFonts w:ascii="Arial Narrow" w:hAnsi="Arial Narrow"/>
      <w:b w:val="1"/>
    </w:rPr>
  </w:style>
  <w:style w:styleId="Style_249" w:type="paragraph">
    <w:name w:val="Знак Знак6"/>
    <w:link w:val="Style_249_ch"/>
    <w:rPr>
      <w:rFonts w:ascii="Courier New" w:hAnsi="Courier New"/>
    </w:rPr>
  </w:style>
  <w:style w:styleId="Style_249_ch" w:type="character">
    <w:name w:val="Знак Знак6"/>
    <w:link w:val="Style_249"/>
    <w:rPr>
      <w:rFonts w:ascii="Courier New" w:hAnsi="Courier New"/>
    </w:rPr>
  </w:style>
  <w:style w:styleId="Style_250" w:type="paragraph">
    <w:name w:val="xl87"/>
    <w:basedOn w:val="Style_34"/>
    <w:link w:val="Style_250_ch"/>
    <w:pPr>
      <w:widowControl w:val="1"/>
      <w:pBdr>
        <w:top w:color="000000" w:space="0" w:sz="4" w:val="single"/>
        <w:left w:color="000000" w:space="0" w:sz="8" w:val="single"/>
        <w:right w:color="000000" w:space="0" w:sz="4" w:val="single"/>
      </w:pBdr>
      <w:spacing w:afterAutospacing="on" w:beforeAutospacing="on"/>
      <w:ind/>
    </w:pPr>
    <w:rPr>
      <w:rFonts w:ascii="Arial" w:hAnsi="Arial"/>
    </w:rPr>
  </w:style>
  <w:style w:styleId="Style_250_ch" w:type="character">
    <w:name w:val="xl87"/>
    <w:basedOn w:val="Style_34_ch"/>
    <w:link w:val="Style_250"/>
    <w:rPr>
      <w:rFonts w:ascii="Arial" w:hAnsi="Arial"/>
    </w:rPr>
  </w:style>
  <w:style w:styleId="Style_251" w:type="paragraph">
    <w:name w:val="xl59"/>
    <w:basedOn w:val="Style_34"/>
    <w:link w:val="Style_251_ch"/>
    <w:pPr>
      <w:widowControl w:val="1"/>
      <w:pBdr>
        <w:top w:color="000000" w:space="0" w:sz="4" w:val="single"/>
        <w:left w:color="000000" w:space="0" w:sz="4" w:val="single"/>
        <w:right w:color="000000" w:space="0" w:sz="4" w:val="single"/>
      </w:pBdr>
      <w:spacing w:afterAutospacing="on" w:beforeAutospacing="on"/>
      <w:ind/>
      <w:jc w:val="right"/>
    </w:pPr>
  </w:style>
  <w:style w:styleId="Style_251_ch" w:type="character">
    <w:name w:val="xl59"/>
    <w:basedOn w:val="Style_34_ch"/>
    <w:link w:val="Style_251"/>
  </w:style>
  <w:style w:styleId="Style_252" w:type="paragraph">
    <w:name w:val="xl135"/>
    <w:basedOn w:val="Style_34"/>
    <w:link w:val="Style_252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style>
  <w:style w:styleId="Style_252_ch" w:type="character">
    <w:name w:val="xl135"/>
    <w:basedOn w:val="Style_34_ch"/>
    <w:link w:val="Style_252"/>
  </w:style>
  <w:style w:styleId="Style_253" w:type="paragraph">
    <w:name w:val="Font Style56"/>
    <w:link w:val="Style_253_ch"/>
    <w:rPr>
      <w:rFonts w:ascii="Times New Roman" w:hAnsi="Times New Roman"/>
      <w:b w:val="1"/>
      <w:i w:val="1"/>
      <w:sz w:val="26"/>
    </w:rPr>
  </w:style>
  <w:style w:styleId="Style_253_ch" w:type="character">
    <w:name w:val="Font Style56"/>
    <w:link w:val="Style_253"/>
    <w:rPr>
      <w:rFonts w:ascii="Times New Roman" w:hAnsi="Times New Roman"/>
      <w:b w:val="1"/>
      <w:i w:val="1"/>
      <w:sz w:val="26"/>
    </w:rPr>
  </w:style>
  <w:style w:styleId="Style_254" w:type="paragraph">
    <w:name w:val="extended-text__short"/>
    <w:basedOn w:val="Style_63"/>
    <w:link w:val="Style_254_ch"/>
  </w:style>
  <w:style w:styleId="Style_254_ch" w:type="character">
    <w:name w:val="extended-text__short"/>
    <w:basedOn w:val="Style_63_ch"/>
    <w:link w:val="Style_254"/>
  </w:style>
  <w:style w:styleId="Style_255" w:type="paragraph">
    <w:name w:val="xl51"/>
    <w:basedOn w:val="Style_34"/>
    <w:link w:val="Style_255_ch"/>
    <w:pPr>
      <w:widowControl w:val="1"/>
      <w:pBdr>
        <w:top w:color="000000" w:space="0" w:sz="4" w:val="single"/>
        <w:left w:color="000000" w:space="0" w:sz="4" w:val="single"/>
        <w:bottom w:color="000000" w:space="0" w:sz="8" w:val="single"/>
        <w:right w:color="000000" w:space="0" w:sz="8" w:val="single"/>
      </w:pBdr>
      <w:spacing w:afterAutospacing="on" w:beforeAutospacing="on"/>
      <w:ind/>
      <w:jc w:val="right"/>
    </w:pPr>
  </w:style>
  <w:style w:styleId="Style_255_ch" w:type="character">
    <w:name w:val="xl51"/>
    <w:basedOn w:val="Style_34_ch"/>
    <w:link w:val="Style_255"/>
  </w:style>
  <w:style w:styleId="Style_256" w:type="paragraph">
    <w:name w:val="xl161"/>
    <w:basedOn w:val="Style_34"/>
    <w:link w:val="Style_256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b w:val="1"/>
    </w:rPr>
  </w:style>
  <w:style w:styleId="Style_256_ch" w:type="character">
    <w:name w:val="xl161"/>
    <w:basedOn w:val="Style_34_ch"/>
    <w:link w:val="Style_256"/>
    <w:rPr>
      <w:b w:val="1"/>
    </w:rPr>
  </w:style>
  <w:style w:styleId="Style_257" w:type="paragraph">
    <w:name w:val="xl55"/>
    <w:basedOn w:val="Style_34"/>
    <w:link w:val="Style_257_ch"/>
    <w:pPr>
      <w:widowControl w:val="1"/>
      <w:pBdr>
        <w:top w:color="000000" w:space="0" w:sz="4" w:val="single"/>
        <w:left w:color="000000" w:space="0" w:sz="8" w:val="single"/>
        <w:bottom w:color="000000" w:space="0" w:sz="8" w:val="single"/>
        <w:right w:color="000000" w:space="0" w:sz="4" w:val="single"/>
      </w:pBdr>
      <w:spacing w:afterAutospacing="on" w:beforeAutospacing="on"/>
      <w:ind/>
      <w:jc w:val="center"/>
    </w:pPr>
  </w:style>
  <w:style w:styleId="Style_257_ch" w:type="character">
    <w:name w:val="xl55"/>
    <w:basedOn w:val="Style_34_ch"/>
    <w:link w:val="Style_257"/>
  </w:style>
  <w:style w:styleId="Style_258" w:type="paragraph">
    <w:name w:val="xl132"/>
    <w:basedOn w:val="Style_34"/>
    <w:link w:val="Style_258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i w:val="1"/>
    </w:rPr>
  </w:style>
  <w:style w:styleId="Style_258_ch" w:type="character">
    <w:name w:val="xl132"/>
    <w:basedOn w:val="Style_34_ch"/>
    <w:link w:val="Style_258"/>
    <w:rPr>
      <w:i w:val="1"/>
    </w:rPr>
  </w:style>
  <w:style w:styleId="Style_259" w:type="paragraph">
    <w:name w:val="xl145"/>
    <w:basedOn w:val="Style_34"/>
    <w:link w:val="Style_259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style>
  <w:style w:styleId="Style_259_ch" w:type="character">
    <w:name w:val="xl145"/>
    <w:basedOn w:val="Style_34_ch"/>
    <w:link w:val="Style_259"/>
  </w:style>
  <w:style w:styleId="Style_260" w:type="paragraph">
    <w:name w:val="xl182"/>
    <w:basedOn w:val="Style_34"/>
    <w:link w:val="Style_260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b w:val="1"/>
      <w:i w:val="1"/>
      <w:sz w:val="22"/>
    </w:rPr>
  </w:style>
  <w:style w:styleId="Style_260_ch" w:type="character">
    <w:name w:val="xl182"/>
    <w:basedOn w:val="Style_34_ch"/>
    <w:link w:val="Style_260"/>
    <w:rPr>
      <w:b w:val="1"/>
      <w:i w:val="1"/>
      <w:sz w:val="22"/>
    </w:rPr>
  </w:style>
  <w:style w:styleId="Style_261" w:type="paragraph">
    <w:name w:val="xl166"/>
    <w:basedOn w:val="Style_34"/>
    <w:link w:val="Style_261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b w:val="1"/>
      <w:color w:val="000000"/>
    </w:rPr>
  </w:style>
  <w:style w:styleId="Style_261_ch" w:type="character">
    <w:name w:val="xl166"/>
    <w:basedOn w:val="Style_34_ch"/>
    <w:link w:val="Style_261"/>
    <w:rPr>
      <w:b w:val="1"/>
      <w:color w:val="000000"/>
    </w:rPr>
  </w:style>
  <w:style w:styleId="Style_262" w:type="paragraph">
    <w:name w:val="!3-Текст"/>
    <w:basedOn w:val="Style_34"/>
    <w:link w:val="Style_262_ch"/>
    <w:pPr>
      <w:widowControl w:val="1"/>
      <w:ind w:firstLine="709"/>
    </w:pPr>
    <w:rPr>
      <w:sz w:val="20"/>
    </w:rPr>
  </w:style>
  <w:style w:styleId="Style_262_ch" w:type="character">
    <w:name w:val="!3-Текст"/>
    <w:basedOn w:val="Style_34_ch"/>
    <w:link w:val="Style_262"/>
    <w:rPr>
      <w:sz w:val="20"/>
    </w:rPr>
  </w:style>
  <w:style w:styleId="Style_263" w:type="paragraph">
    <w:name w:val="Без интервала1"/>
    <w:link w:val="Style_263_ch"/>
    <w:rPr>
      <w:rFonts w:ascii="Calibri" w:hAnsi="Calibri"/>
      <w:sz w:val="22"/>
    </w:rPr>
  </w:style>
  <w:style w:styleId="Style_263_ch" w:type="character">
    <w:name w:val="Без интервала1"/>
    <w:link w:val="Style_263"/>
    <w:rPr>
      <w:rFonts w:ascii="Calibri" w:hAnsi="Calibri"/>
      <w:sz w:val="22"/>
    </w:rPr>
  </w:style>
  <w:style w:styleId="Style_264" w:type="paragraph">
    <w:name w:val="xl27"/>
    <w:basedOn w:val="Style_34"/>
    <w:link w:val="Style_264_ch"/>
    <w:pPr>
      <w:widowControl w:val="1"/>
      <w:pBdr>
        <w:top w:color="000000" w:space="0" w:sz="4" w:val="single"/>
        <w:right w:color="000000" w:space="0" w:sz="4" w:val="single"/>
      </w:pBdr>
      <w:spacing w:afterAutospacing="on" w:beforeAutospacing="on"/>
      <w:ind/>
      <w:jc w:val="center"/>
    </w:pPr>
    <w:rPr>
      <w:sz w:val="20"/>
    </w:rPr>
  </w:style>
  <w:style w:styleId="Style_264_ch" w:type="character">
    <w:name w:val="xl27"/>
    <w:basedOn w:val="Style_34_ch"/>
    <w:link w:val="Style_264"/>
    <w:rPr>
      <w:sz w:val="20"/>
    </w:rPr>
  </w:style>
  <w:style w:styleId="Style_265" w:type="paragraph">
    <w:name w:val="xl65"/>
    <w:basedOn w:val="Style_34"/>
    <w:link w:val="Style_265_ch"/>
    <w:pPr>
      <w:widowControl w:val="1"/>
      <w:pBdr>
        <w:bottom w:color="969696" w:space="0" w:sz="4" w:val="dotted"/>
        <w:right w:color="969696" w:space="0" w:sz="4" w:val="dotted"/>
      </w:pBdr>
      <w:spacing w:afterAutospacing="on" w:beforeAutospacing="on"/>
      <w:ind/>
    </w:pPr>
  </w:style>
  <w:style w:styleId="Style_265_ch" w:type="character">
    <w:name w:val="xl65"/>
    <w:basedOn w:val="Style_34_ch"/>
    <w:link w:val="Style_265"/>
  </w:style>
  <w:style w:styleId="Style_12" w:type="paragraph">
    <w:name w:val="ConsNonformat"/>
    <w:link w:val="Style_12_ch"/>
    <w:pPr>
      <w:widowControl w:val="0"/>
      <w:ind/>
    </w:pPr>
    <w:rPr>
      <w:rFonts w:ascii="Courier New" w:hAnsi="Courier New"/>
      <w:sz w:val="16"/>
    </w:rPr>
  </w:style>
  <w:style w:styleId="Style_12_ch" w:type="character">
    <w:name w:val="ConsNonformat"/>
    <w:link w:val="Style_12"/>
    <w:rPr>
      <w:rFonts w:ascii="Courier New" w:hAnsi="Courier New"/>
      <w:sz w:val="16"/>
    </w:rPr>
  </w:style>
  <w:style w:styleId="Style_266" w:type="paragraph">
    <w:name w:val="caaieiaie 4"/>
    <w:basedOn w:val="Style_117"/>
    <w:next w:val="Style_117"/>
    <w:link w:val="Style_266_ch"/>
    <w:pPr>
      <w:keepNext w:val="1"/>
      <w:widowControl w:val="0"/>
      <w:ind/>
      <w:jc w:val="center"/>
    </w:pPr>
    <w:rPr>
      <w:sz w:val="24"/>
    </w:rPr>
  </w:style>
  <w:style w:styleId="Style_266_ch" w:type="character">
    <w:name w:val="caaieiaie 4"/>
    <w:basedOn w:val="Style_117_ch"/>
    <w:link w:val="Style_266"/>
    <w:rPr>
      <w:sz w:val="24"/>
    </w:rPr>
  </w:style>
  <w:style w:styleId="Style_267" w:type="paragraph">
    <w:name w:val="toc 9"/>
    <w:basedOn w:val="Style_34"/>
    <w:next w:val="Style_34"/>
    <w:link w:val="Style_267_ch"/>
    <w:uiPriority w:val="39"/>
    <w:pPr>
      <w:widowControl w:val="1"/>
      <w:spacing w:after="100" w:line="276" w:lineRule="auto"/>
      <w:ind w:left="1760"/>
    </w:pPr>
    <w:rPr>
      <w:rFonts w:ascii="Calibri" w:hAnsi="Calibri"/>
      <w:sz w:val="22"/>
    </w:rPr>
  </w:style>
  <w:style w:styleId="Style_267_ch" w:type="character">
    <w:name w:val="toc 9"/>
    <w:basedOn w:val="Style_34_ch"/>
    <w:link w:val="Style_267"/>
    <w:rPr>
      <w:rFonts w:ascii="Calibri" w:hAnsi="Calibri"/>
      <w:sz w:val="22"/>
    </w:rPr>
  </w:style>
  <w:style w:styleId="Style_268" w:type="paragraph">
    <w:name w:val="xl99"/>
    <w:basedOn w:val="Style_34"/>
    <w:link w:val="Style_268_ch"/>
    <w:pPr>
      <w:widowControl w:val="1"/>
      <w:pBdr>
        <w:left w:color="000000" w:space="0" w:sz="4" w:val="single"/>
        <w:right w:color="000000" w:space="0" w:sz="4" w:val="single"/>
      </w:pBdr>
      <w:spacing w:afterAutospacing="on" w:beforeAutospacing="on"/>
      <w:ind/>
      <w:jc w:val="center"/>
    </w:pPr>
    <w:rPr>
      <w:b w:val="1"/>
    </w:rPr>
  </w:style>
  <w:style w:styleId="Style_268_ch" w:type="character">
    <w:name w:val="xl99"/>
    <w:basedOn w:val="Style_34_ch"/>
    <w:link w:val="Style_268"/>
    <w:rPr>
      <w:b w:val="1"/>
    </w:rPr>
  </w:style>
  <w:style w:styleId="Style_269" w:type="paragraph">
    <w:name w:val="ConsPlusNonformat"/>
    <w:link w:val="Style_269_ch"/>
    <w:pPr>
      <w:widowControl w:val="0"/>
      <w:ind/>
    </w:pPr>
    <w:rPr>
      <w:rFonts w:ascii="Courier New" w:hAnsi="Courier New"/>
      <w:sz w:val="16"/>
    </w:rPr>
  </w:style>
  <w:style w:styleId="Style_269_ch" w:type="character">
    <w:name w:val="ConsPlusNonformat"/>
    <w:link w:val="Style_269"/>
    <w:rPr>
      <w:rFonts w:ascii="Courier New" w:hAnsi="Courier New"/>
      <w:sz w:val="16"/>
    </w:rPr>
  </w:style>
  <w:style w:styleId="Style_270" w:type="paragraph">
    <w:name w:val="Знак Знак11"/>
    <w:link w:val="Style_270_ch"/>
    <w:rPr>
      <w:b w:val="1"/>
      <w:sz w:val="28"/>
    </w:rPr>
  </w:style>
  <w:style w:styleId="Style_270_ch" w:type="character">
    <w:name w:val="Знак Знак11"/>
    <w:link w:val="Style_270"/>
    <w:rPr>
      <w:b w:val="1"/>
      <w:sz w:val="28"/>
    </w:rPr>
  </w:style>
  <w:style w:styleId="Style_271" w:type="paragraph">
    <w:name w:val="xl54"/>
    <w:basedOn w:val="Style_34"/>
    <w:link w:val="Style_271_ch"/>
    <w:pPr>
      <w:widowControl w:val="1"/>
      <w:pBdr>
        <w:left w:color="000000" w:space="0" w:sz="4" w:val="single"/>
        <w:bottom w:color="000000" w:space="0" w:sz="8" w:val="single"/>
        <w:right w:color="000000" w:space="0" w:sz="8" w:val="single"/>
      </w:pBdr>
      <w:spacing w:afterAutospacing="on" w:beforeAutospacing="on"/>
      <w:ind/>
      <w:jc w:val="right"/>
    </w:pPr>
  </w:style>
  <w:style w:styleId="Style_271_ch" w:type="character">
    <w:name w:val="xl54"/>
    <w:basedOn w:val="Style_34_ch"/>
    <w:link w:val="Style_271"/>
  </w:style>
  <w:style w:styleId="Style_272" w:type="paragraph">
    <w:name w:val="xl75"/>
    <w:basedOn w:val="Style_34"/>
    <w:link w:val="Style_272_ch"/>
    <w:pPr>
      <w:widowControl w:val="1"/>
      <w:spacing w:afterAutospacing="on" w:beforeAutospacing="on"/>
      <w:ind/>
      <w:jc w:val="center"/>
    </w:pPr>
    <w:rPr>
      <w:rFonts w:ascii="Arial CYR" w:hAnsi="Arial CYR"/>
      <w:b w:val="1"/>
      <w:sz w:val="28"/>
    </w:rPr>
  </w:style>
  <w:style w:styleId="Style_272_ch" w:type="character">
    <w:name w:val="xl75"/>
    <w:basedOn w:val="Style_34_ch"/>
    <w:link w:val="Style_272"/>
    <w:rPr>
      <w:rFonts w:ascii="Arial CYR" w:hAnsi="Arial CYR"/>
      <w:b w:val="1"/>
      <w:sz w:val="28"/>
    </w:rPr>
  </w:style>
  <w:style w:styleId="Style_273" w:type="paragraph">
    <w:name w:val="__SUBST"/>
    <w:link w:val="Style_273_ch"/>
    <w:rPr>
      <w:b w:val="1"/>
      <w:i w:val="1"/>
      <w:sz w:val="20"/>
    </w:rPr>
  </w:style>
  <w:style w:styleId="Style_273_ch" w:type="character">
    <w:name w:val="__SUBST"/>
    <w:link w:val="Style_273"/>
    <w:rPr>
      <w:b w:val="1"/>
      <w:i w:val="1"/>
      <w:sz w:val="20"/>
    </w:rPr>
  </w:style>
  <w:style w:styleId="Style_274" w:type="paragraph">
    <w:name w:val="xl68"/>
    <w:basedOn w:val="Style_34"/>
    <w:link w:val="Style_274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rFonts w:ascii="Arial CYR" w:hAnsi="Arial CYR"/>
      <w:sz w:val="18"/>
    </w:rPr>
  </w:style>
  <w:style w:styleId="Style_274_ch" w:type="character">
    <w:name w:val="xl68"/>
    <w:basedOn w:val="Style_34_ch"/>
    <w:link w:val="Style_274"/>
    <w:rPr>
      <w:rFonts w:ascii="Arial CYR" w:hAnsi="Arial CYR"/>
      <w:sz w:val="18"/>
    </w:rPr>
  </w:style>
  <w:style w:styleId="Style_275" w:type="paragraph">
    <w:name w:val="Абзац списка4"/>
    <w:basedOn w:val="Style_34"/>
    <w:link w:val="Style_275_ch"/>
    <w:pPr>
      <w:widowControl w:val="1"/>
      <w:spacing w:after="200" w:line="276" w:lineRule="auto"/>
      <w:ind w:left="720"/>
      <w:contextualSpacing w:val="1"/>
    </w:pPr>
    <w:rPr>
      <w:rFonts w:ascii="Calibri" w:hAnsi="Calibri"/>
      <w:sz w:val="22"/>
    </w:rPr>
  </w:style>
  <w:style w:styleId="Style_275_ch" w:type="character">
    <w:name w:val="Абзац списка4"/>
    <w:basedOn w:val="Style_34_ch"/>
    <w:link w:val="Style_275"/>
    <w:rPr>
      <w:rFonts w:ascii="Calibri" w:hAnsi="Calibri"/>
      <w:sz w:val="22"/>
    </w:rPr>
  </w:style>
  <w:style w:styleId="Style_276" w:type="paragraph">
    <w:name w:val="xl30"/>
    <w:basedOn w:val="Style_34"/>
    <w:link w:val="Style_276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b w:val="1"/>
      <w:sz w:val="20"/>
    </w:rPr>
  </w:style>
  <w:style w:styleId="Style_276_ch" w:type="character">
    <w:name w:val="xl30"/>
    <w:basedOn w:val="Style_34_ch"/>
    <w:link w:val="Style_276"/>
    <w:rPr>
      <w:b w:val="1"/>
      <w:sz w:val="20"/>
    </w:rPr>
  </w:style>
  <w:style w:styleId="Style_277" w:type="paragraph">
    <w:name w:val="xl29"/>
    <w:basedOn w:val="Style_34"/>
    <w:link w:val="Style_277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rFonts w:ascii="Arial" w:hAnsi="Arial"/>
      <w:b w:val="1"/>
      <w:sz w:val="20"/>
    </w:rPr>
  </w:style>
  <w:style w:styleId="Style_277_ch" w:type="character">
    <w:name w:val="xl29"/>
    <w:basedOn w:val="Style_34_ch"/>
    <w:link w:val="Style_277"/>
    <w:rPr>
      <w:rFonts w:ascii="Arial" w:hAnsi="Arial"/>
      <w:b w:val="1"/>
      <w:sz w:val="20"/>
    </w:rPr>
  </w:style>
  <w:style w:styleId="Style_278" w:type="paragraph">
    <w:name w:val="Обычный2"/>
    <w:link w:val="Style_278_ch"/>
    <w:pPr>
      <w:widowControl w:val="1"/>
      <w:spacing w:after="100" w:before="100"/>
      <w:ind/>
    </w:pPr>
    <w:rPr>
      <w:sz w:val="24"/>
    </w:rPr>
  </w:style>
  <w:style w:styleId="Style_278_ch" w:type="character">
    <w:name w:val="Обычный2"/>
    <w:link w:val="Style_278"/>
    <w:rPr>
      <w:sz w:val="24"/>
    </w:rPr>
  </w:style>
  <w:style w:styleId="Style_279" w:type="paragraph">
    <w:name w:val="xl165"/>
    <w:basedOn w:val="Style_34"/>
    <w:link w:val="Style_279_ch"/>
    <w:pPr>
      <w:widowControl w:val="1"/>
      <w:pBdr>
        <w:top w:color="000000" w:space="0" w:sz="4" w:val="single"/>
        <w:left w:color="000000" w:space="0" w:sz="4" w:val="single"/>
        <w:bottom w:color="000000" w:space="0" w:sz="4" w:val="single"/>
      </w:pBdr>
      <w:spacing w:afterAutospacing="on" w:beforeAutospacing="on"/>
      <w:ind/>
    </w:pPr>
  </w:style>
  <w:style w:styleId="Style_279_ch" w:type="character">
    <w:name w:val="xl165"/>
    <w:basedOn w:val="Style_34_ch"/>
    <w:link w:val="Style_279"/>
  </w:style>
  <w:style w:styleId="Style_280" w:type="paragraph">
    <w:name w:val="Заголовок статьи"/>
    <w:basedOn w:val="Style_34"/>
    <w:next w:val="Style_34"/>
    <w:link w:val="Style_280_ch"/>
    <w:pPr>
      <w:widowControl w:val="0"/>
      <w:ind w:hanging="892" w:left="1612"/>
      <w:jc w:val="both"/>
    </w:pPr>
    <w:rPr>
      <w:rFonts w:ascii="Arial" w:hAnsi="Arial"/>
      <w:sz w:val="20"/>
    </w:rPr>
  </w:style>
  <w:style w:styleId="Style_280_ch" w:type="character">
    <w:name w:val="Заголовок статьи"/>
    <w:basedOn w:val="Style_34_ch"/>
    <w:link w:val="Style_280"/>
    <w:rPr>
      <w:rFonts w:ascii="Arial" w:hAnsi="Arial"/>
      <w:sz w:val="20"/>
    </w:rPr>
  </w:style>
  <w:style w:styleId="Style_281" w:type="paragraph">
    <w:name w:val="xl168"/>
    <w:basedOn w:val="Style_34"/>
    <w:link w:val="Style_281_ch"/>
    <w:pPr>
      <w:widowControl w:val="1"/>
      <w:pBdr>
        <w:top w:color="000000" w:space="0" w:sz="4" w:val="single"/>
        <w:left w:color="000000" w:space="0" w:sz="4" w:val="single"/>
        <w:bottom w:color="000000" w:space="0" w:sz="4" w:val="single"/>
      </w:pBdr>
      <w:spacing w:afterAutospacing="on" w:beforeAutospacing="on"/>
      <w:ind/>
    </w:pPr>
    <w:rPr>
      <w:color w:val="000000"/>
    </w:rPr>
  </w:style>
  <w:style w:styleId="Style_281_ch" w:type="character">
    <w:name w:val="xl168"/>
    <w:basedOn w:val="Style_34_ch"/>
    <w:link w:val="Style_281"/>
    <w:rPr>
      <w:color w:val="000000"/>
    </w:rPr>
  </w:style>
  <w:style w:styleId="Style_282" w:type="paragraph">
    <w:name w:val="Словарная статья"/>
    <w:basedOn w:val="Style_34"/>
    <w:next w:val="Style_34"/>
    <w:link w:val="Style_282_ch"/>
    <w:pPr>
      <w:widowControl w:val="0"/>
      <w:ind w:right="118"/>
      <w:jc w:val="both"/>
    </w:pPr>
    <w:rPr>
      <w:rFonts w:ascii="Arial" w:hAnsi="Arial"/>
      <w:sz w:val="20"/>
    </w:rPr>
  </w:style>
  <w:style w:styleId="Style_282_ch" w:type="character">
    <w:name w:val="Словарная статья"/>
    <w:basedOn w:val="Style_34_ch"/>
    <w:link w:val="Style_282"/>
    <w:rPr>
      <w:rFonts w:ascii="Arial" w:hAnsi="Arial"/>
      <w:sz w:val="20"/>
    </w:rPr>
  </w:style>
  <w:style w:styleId="Style_283" w:type="paragraph">
    <w:name w:val="xl123"/>
    <w:basedOn w:val="Style_34"/>
    <w:link w:val="Style_283_ch"/>
    <w:pPr>
      <w:widowControl w:val="1"/>
      <w:spacing w:afterAutospacing="on" w:beforeAutospacing="on"/>
      <w:ind/>
    </w:pPr>
  </w:style>
  <w:style w:styleId="Style_283_ch" w:type="character">
    <w:name w:val="xl123"/>
    <w:basedOn w:val="Style_34_ch"/>
    <w:link w:val="Style_283"/>
  </w:style>
  <w:style w:styleId="Style_284" w:type="paragraph">
    <w:name w:val="line number"/>
    <w:basedOn w:val="Style_63"/>
    <w:link w:val="Style_284_ch"/>
  </w:style>
  <w:style w:styleId="Style_284_ch" w:type="character">
    <w:name w:val="line number"/>
    <w:basedOn w:val="Style_63_ch"/>
    <w:link w:val="Style_284"/>
  </w:style>
  <w:style w:styleId="Style_63" w:type="paragraph">
    <w:name w:val="Default Paragraph Font"/>
    <w:link w:val="Style_63_ch"/>
  </w:style>
  <w:style w:styleId="Style_63_ch" w:type="character">
    <w:name w:val="Default Paragraph Font"/>
    <w:link w:val="Style_63"/>
  </w:style>
  <w:style w:styleId="Style_285" w:type="paragraph">
    <w:name w:val="xl46"/>
    <w:basedOn w:val="Style_34"/>
    <w:link w:val="Style_285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style>
  <w:style w:styleId="Style_285_ch" w:type="character">
    <w:name w:val="xl46"/>
    <w:basedOn w:val="Style_34_ch"/>
    <w:link w:val="Style_285"/>
  </w:style>
  <w:style w:styleId="Style_286" w:type="paragraph">
    <w:name w:val="Знак Знак1 Знак Знак Знак Знак Знак Знак Знак1 Знак Знак Знак Знак Знак Знак Знак Знак Знак"/>
    <w:basedOn w:val="Style_34"/>
    <w:link w:val="Style_286_ch"/>
    <w:pPr>
      <w:widowControl w:val="1"/>
      <w:spacing w:after="160" w:line="240" w:lineRule="exact"/>
      <w:ind/>
    </w:pPr>
    <w:rPr>
      <w:rFonts w:ascii="Verdana" w:hAnsi="Verdana"/>
      <w:color w:val="000000"/>
    </w:rPr>
  </w:style>
  <w:style w:styleId="Style_286_ch" w:type="character">
    <w:name w:val="Знак Знак1 Знак Знак Знак Знак Знак Знак Знак1 Знак Знак Знак Знак Знак Знак Знак Знак Знак"/>
    <w:basedOn w:val="Style_34_ch"/>
    <w:link w:val="Style_286"/>
    <w:rPr>
      <w:rFonts w:ascii="Verdana" w:hAnsi="Verdana"/>
      <w:color w:val="000000"/>
    </w:rPr>
  </w:style>
  <w:style w:styleId="Style_287" w:type="paragraph">
    <w:name w:val="Font Style16"/>
    <w:link w:val="Style_287_ch"/>
    <w:rPr>
      <w:rFonts w:ascii="Times New Roman" w:hAnsi="Times New Roman"/>
      <w:sz w:val="22"/>
    </w:rPr>
  </w:style>
  <w:style w:styleId="Style_287_ch" w:type="character">
    <w:name w:val="Font Style16"/>
    <w:link w:val="Style_287"/>
    <w:rPr>
      <w:rFonts w:ascii="Times New Roman" w:hAnsi="Times New Roman"/>
      <w:sz w:val="22"/>
    </w:rPr>
  </w:style>
  <w:style w:styleId="Style_288" w:type="paragraph">
    <w:name w:val="Прижатый влево"/>
    <w:basedOn w:val="Style_34"/>
    <w:next w:val="Style_34"/>
    <w:link w:val="Style_288_ch"/>
    <w:pPr>
      <w:widowControl w:val="0"/>
      <w:ind/>
    </w:pPr>
    <w:rPr>
      <w:rFonts w:ascii="Arial" w:hAnsi="Arial"/>
      <w:sz w:val="20"/>
    </w:rPr>
  </w:style>
  <w:style w:styleId="Style_288_ch" w:type="character">
    <w:name w:val="Прижатый влево"/>
    <w:basedOn w:val="Style_34_ch"/>
    <w:link w:val="Style_288"/>
    <w:rPr>
      <w:rFonts w:ascii="Arial" w:hAnsi="Arial"/>
      <w:sz w:val="20"/>
    </w:rPr>
  </w:style>
  <w:style w:styleId="Style_289" w:type="paragraph">
    <w:name w:val="xl184"/>
    <w:basedOn w:val="Style_34"/>
    <w:link w:val="Style_289_ch"/>
    <w:pPr>
      <w:widowControl w:val="1"/>
      <w:pBdr>
        <w:top w:color="000000" w:space="0" w:sz="4" w:val="single"/>
        <w:left w:color="000000" w:space="0" w:sz="4" w:val="single"/>
        <w:right w:color="000000" w:space="0" w:sz="4" w:val="single"/>
      </w:pBdr>
      <w:spacing w:afterAutospacing="on" w:beforeAutospacing="on"/>
      <w:ind/>
      <w:jc w:val="center"/>
    </w:pPr>
    <w:rPr>
      <w:b w:val="1"/>
    </w:rPr>
  </w:style>
  <w:style w:styleId="Style_289_ch" w:type="character">
    <w:name w:val="xl184"/>
    <w:basedOn w:val="Style_34_ch"/>
    <w:link w:val="Style_289"/>
    <w:rPr>
      <w:b w:val="1"/>
    </w:rPr>
  </w:style>
  <w:style w:styleId="Style_290" w:type="paragraph">
    <w:name w:val="toc 8"/>
    <w:basedOn w:val="Style_34"/>
    <w:next w:val="Style_34"/>
    <w:link w:val="Style_290_ch"/>
    <w:uiPriority w:val="39"/>
    <w:pPr>
      <w:widowControl w:val="1"/>
      <w:spacing w:after="100" w:line="276" w:lineRule="auto"/>
      <w:ind w:left="1540"/>
    </w:pPr>
    <w:rPr>
      <w:rFonts w:ascii="Calibri" w:hAnsi="Calibri"/>
      <w:sz w:val="22"/>
    </w:rPr>
  </w:style>
  <w:style w:styleId="Style_290_ch" w:type="character">
    <w:name w:val="toc 8"/>
    <w:basedOn w:val="Style_34_ch"/>
    <w:link w:val="Style_290"/>
    <w:rPr>
      <w:rFonts w:ascii="Calibri" w:hAnsi="Calibri"/>
      <w:sz w:val="22"/>
    </w:rPr>
  </w:style>
  <w:style w:styleId="Style_291" w:type="paragraph">
    <w:name w:val="Перечисл. марк. 1"/>
    <w:basedOn w:val="Style_34"/>
    <w:link w:val="Style_291_ch"/>
    <w:pPr>
      <w:widowControl w:val="1"/>
      <w:spacing w:after="120" w:before="120"/>
      <w:ind w:hanging="360" w:left="720"/>
      <w:jc w:val="both"/>
    </w:pPr>
  </w:style>
  <w:style w:styleId="Style_291_ch" w:type="character">
    <w:name w:val="Перечисл. марк. 1"/>
    <w:basedOn w:val="Style_34_ch"/>
    <w:link w:val="Style_291"/>
  </w:style>
  <w:style w:styleId="Style_292" w:type="paragraph">
    <w:name w:val="xl95"/>
    <w:basedOn w:val="Style_34"/>
    <w:link w:val="Style_292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b w:val="1"/>
    </w:rPr>
  </w:style>
  <w:style w:styleId="Style_292_ch" w:type="character">
    <w:name w:val="xl95"/>
    <w:basedOn w:val="Style_34_ch"/>
    <w:link w:val="Style_292"/>
    <w:rPr>
      <w:b w:val="1"/>
    </w:rPr>
  </w:style>
  <w:style w:styleId="Style_23" w:type="paragraph">
    <w:name w:val="Body Text 3"/>
    <w:basedOn w:val="Style_34"/>
    <w:link w:val="Style_23_ch"/>
    <w:pPr>
      <w:widowControl w:val="1"/>
      <w:ind/>
      <w:jc w:val="both"/>
    </w:pPr>
    <w:rPr>
      <w:sz w:val="28"/>
    </w:rPr>
  </w:style>
  <w:style w:styleId="Style_23_ch" w:type="character">
    <w:name w:val="Body Text 3"/>
    <w:basedOn w:val="Style_34_ch"/>
    <w:link w:val="Style_23"/>
    <w:rPr>
      <w:sz w:val="28"/>
    </w:rPr>
  </w:style>
  <w:style w:styleId="Style_293" w:type="paragraph">
    <w:name w:val="Level 1"/>
    <w:link w:val="Style_293_ch"/>
    <w:pPr>
      <w:widowControl w:val="0"/>
      <w:tabs>
        <w:tab w:leader="none" w:pos="720" w:val="left"/>
        <w:tab w:leader="none" w:pos="1425" w:val="left"/>
        <w:tab w:leader="none" w:pos="2355" w:val="left"/>
        <w:tab w:leader="none" w:pos="10440" w:val="right"/>
      </w:tabs>
      <w:spacing w:after="288"/>
      <w:ind w:left="720"/>
      <w:jc w:val="both"/>
    </w:pPr>
    <w:rPr>
      <w:b w:val="1"/>
      <w:caps w:val="1"/>
      <w:color w:val="000000"/>
      <w:sz w:val="24"/>
    </w:rPr>
  </w:style>
  <w:style w:styleId="Style_293_ch" w:type="character">
    <w:name w:val="Level 1"/>
    <w:link w:val="Style_293"/>
    <w:rPr>
      <w:b w:val="1"/>
      <w:caps w:val="1"/>
      <w:color w:val="000000"/>
      <w:sz w:val="24"/>
    </w:rPr>
  </w:style>
  <w:style w:styleId="Style_294" w:type="paragraph">
    <w:name w:val="xl153"/>
    <w:basedOn w:val="Style_34"/>
    <w:link w:val="Style_294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b w:val="1"/>
    </w:rPr>
  </w:style>
  <w:style w:styleId="Style_294_ch" w:type="character">
    <w:name w:val="xl153"/>
    <w:basedOn w:val="Style_34_ch"/>
    <w:link w:val="Style_294"/>
    <w:rPr>
      <w:b w:val="1"/>
    </w:rPr>
  </w:style>
  <w:style w:styleId="Style_295" w:type="paragraph">
    <w:name w:val="a"/>
    <w:basedOn w:val="Style_63"/>
    <w:link w:val="Style_295_ch"/>
  </w:style>
  <w:style w:styleId="Style_295_ch" w:type="character">
    <w:name w:val="a"/>
    <w:basedOn w:val="Style_63_ch"/>
    <w:link w:val="Style_295"/>
  </w:style>
  <w:style w:styleId="Style_33" w:type="paragraph">
    <w:name w:val="s5"/>
    <w:basedOn w:val="Style_63"/>
    <w:link w:val="Style_33_ch"/>
  </w:style>
  <w:style w:styleId="Style_33_ch" w:type="character">
    <w:name w:val="s5"/>
    <w:basedOn w:val="Style_63_ch"/>
    <w:link w:val="Style_33"/>
  </w:style>
  <w:style w:styleId="Style_296" w:type="paragraph">
    <w:name w:val="Верхний колонтитул Знак1"/>
    <w:link w:val="Style_296_ch"/>
  </w:style>
  <w:style w:styleId="Style_296_ch" w:type="character">
    <w:name w:val="Верхний колонтитул Знак1"/>
    <w:link w:val="Style_296"/>
  </w:style>
  <w:style w:styleId="Style_297" w:type="paragraph">
    <w:name w:val="xl100"/>
    <w:basedOn w:val="Style_34"/>
    <w:link w:val="Style_297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b w:val="1"/>
    </w:rPr>
  </w:style>
  <w:style w:styleId="Style_297_ch" w:type="character">
    <w:name w:val="xl100"/>
    <w:basedOn w:val="Style_34_ch"/>
    <w:link w:val="Style_297"/>
    <w:rPr>
      <w:b w:val="1"/>
    </w:rPr>
  </w:style>
  <w:style w:styleId="Style_298" w:type="paragraph">
    <w:name w:val="xl50"/>
    <w:basedOn w:val="Style_34"/>
    <w:link w:val="Style_298_ch"/>
    <w:pPr>
      <w:widowControl w:val="1"/>
      <w:pBdr>
        <w:top w:color="000000" w:space="0" w:sz="4" w:val="single"/>
        <w:left w:color="000000" w:space="0" w:sz="4" w:val="single"/>
        <w:bottom w:color="000000" w:space="0" w:sz="8" w:val="single"/>
        <w:right w:color="000000" w:space="0" w:sz="4" w:val="single"/>
      </w:pBdr>
      <w:spacing w:afterAutospacing="on" w:beforeAutospacing="on"/>
      <w:ind/>
      <w:jc w:val="right"/>
    </w:pPr>
  </w:style>
  <w:style w:styleId="Style_298_ch" w:type="character">
    <w:name w:val="xl50"/>
    <w:basedOn w:val="Style_34_ch"/>
    <w:link w:val="Style_298"/>
  </w:style>
  <w:style w:styleId="Style_299" w:type="paragraph">
    <w:name w:val="xl115"/>
    <w:basedOn w:val="Style_34"/>
    <w:link w:val="Style_299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b w:val="1"/>
    </w:rPr>
  </w:style>
  <w:style w:styleId="Style_299_ch" w:type="character">
    <w:name w:val="xl115"/>
    <w:basedOn w:val="Style_34_ch"/>
    <w:link w:val="Style_299"/>
    <w:rPr>
      <w:b w:val="1"/>
    </w:rPr>
  </w:style>
  <w:style w:styleId="Style_300" w:type="paragraph">
    <w:name w:val="xl134"/>
    <w:basedOn w:val="Style_34"/>
    <w:link w:val="Style_300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style>
  <w:style w:styleId="Style_300_ch" w:type="character">
    <w:name w:val="xl134"/>
    <w:basedOn w:val="Style_34_ch"/>
    <w:link w:val="Style_300"/>
  </w:style>
  <w:style w:styleId="Style_301" w:type="paragraph">
    <w:name w:val="xl90"/>
    <w:basedOn w:val="Style_34"/>
    <w:link w:val="Style_301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b w:val="1"/>
    </w:rPr>
  </w:style>
  <w:style w:styleId="Style_301_ch" w:type="character">
    <w:name w:val="xl90"/>
    <w:basedOn w:val="Style_34_ch"/>
    <w:link w:val="Style_301"/>
    <w:rPr>
      <w:b w:val="1"/>
    </w:rPr>
  </w:style>
  <w:style w:styleId="Style_302" w:type="paragraph">
    <w:name w:val="xl72"/>
    <w:basedOn w:val="Style_34"/>
    <w:link w:val="Style_302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rFonts w:ascii="Arial CYR" w:hAnsi="Arial CYR"/>
      <w:sz w:val="18"/>
    </w:rPr>
  </w:style>
  <w:style w:styleId="Style_302_ch" w:type="character">
    <w:name w:val="xl72"/>
    <w:basedOn w:val="Style_34_ch"/>
    <w:link w:val="Style_302"/>
    <w:rPr>
      <w:rFonts w:ascii="Arial CYR" w:hAnsi="Arial CYR"/>
      <w:sz w:val="18"/>
    </w:rPr>
  </w:style>
  <w:style w:styleId="Style_28" w:type="paragraph">
    <w:name w:val="Normal_0"/>
    <w:link w:val="Style_28_ch"/>
  </w:style>
  <w:style w:styleId="Style_28_ch" w:type="character">
    <w:name w:val="Normal_0"/>
    <w:link w:val="Style_28"/>
  </w:style>
  <w:style w:styleId="Style_303" w:type="paragraph">
    <w:name w:val="xl172"/>
    <w:basedOn w:val="Style_34"/>
    <w:link w:val="Style_303_ch"/>
    <w:pPr>
      <w:widowControl w:val="1"/>
      <w:pBdr>
        <w:top w:color="000000" w:space="0" w:sz="4" w:val="single"/>
        <w:left w:color="000000" w:space="0" w:sz="4" w:val="single"/>
        <w:bottom w:color="000000" w:space="0" w:sz="4" w:val="single"/>
      </w:pBdr>
      <w:spacing w:afterAutospacing="on" w:beforeAutospacing="on"/>
      <w:ind/>
    </w:pPr>
    <w:rPr>
      <w:b w:val="1"/>
      <w:color w:val="000000"/>
    </w:rPr>
  </w:style>
  <w:style w:styleId="Style_303_ch" w:type="character">
    <w:name w:val="xl172"/>
    <w:basedOn w:val="Style_34_ch"/>
    <w:link w:val="Style_303"/>
    <w:rPr>
      <w:b w:val="1"/>
      <w:color w:val="000000"/>
    </w:rPr>
  </w:style>
  <w:style w:styleId="Style_304" w:type="paragraph">
    <w:name w:val="Абзац списка3"/>
    <w:basedOn w:val="Style_34"/>
    <w:link w:val="Style_304_ch"/>
    <w:pPr>
      <w:widowControl w:val="1"/>
      <w:ind w:left="720"/>
    </w:pPr>
    <w:rPr>
      <w:sz w:val="20"/>
    </w:rPr>
  </w:style>
  <w:style w:styleId="Style_304_ch" w:type="character">
    <w:name w:val="Абзац списка3"/>
    <w:basedOn w:val="Style_34_ch"/>
    <w:link w:val="Style_304"/>
    <w:rPr>
      <w:sz w:val="20"/>
    </w:rPr>
  </w:style>
  <w:style w:styleId="Style_305" w:type="paragraph">
    <w:name w:val="xl180"/>
    <w:basedOn w:val="Style_34"/>
    <w:link w:val="Style_305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sz w:val="22"/>
    </w:rPr>
  </w:style>
  <w:style w:styleId="Style_305_ch" w:type="character">
    <w:name w:val="xl180"/>
    <w:basedOn w:val="Style_34_ch"/>
    <w:link w:val="Style_305"/>
    <w:rPr>
      <w:sz w:val="22"/>
    </w:rPr>
  </w:style>
  <w:style w:styleId="Style_306" w:type="paragraph">
    <w:name w:val="Не вступил в силу"/>
    <w:link w:val="Style_306_ch"/>
    <w:rPr>
      <w:b w:val="1"/>
      <w:color w:val="008080"/>
      <w:sz w:val="20"/>
    </w:rPr>
  </w:style>
  <w:style w:styleId="Style_306_ch" w:type="character">
    <w:name w:val="Не вступил в силу"/>
    <w:link w:val="Style_306"/>
    <w:rPr>
      <w:b w:val="1"/>
      <w:color w:val="008080"/>
      <w:sz w:val="20"/>
    </w:rPr>
  </w:style>
  <w:style w:styleId="Style_307" w:type="paragraph">
    <w:name w:val="Стиль2"/>
    <w:basedOn w:val="Style_34"/>
    <w:link w:val="Style_307_ch"/>
    <w:pPr>
      <w:widowControl w:val="1"/>
      <w:ind w:firstLine="900"/>
      <w:jc w:val="both"/>
    </w:pPr>
    <w:rPr>
      <w:color w:val="000000"/>
    </w:rPr>
  </w:style>
  <w:style w:styleId="Style_307_ch" w:type="character">
    <w:name w:val="Стиль2"/>
    <w:basedOn w:val="Style_34_ch"/>
    <w:link w:val="Style_307"/>
    <w:rPr>
      <w:color w:val="000000"/>
    </w:rPr>
  </w:style>
  <w:style w:styleId="Style_308" w:type="paragraph">
    <w:name w:val="Style 4"/>
    <w:basedOn w:val="Style_34"/>
    <w:link w:val="Style_308_ch"/>
    <w:pPr>
      <w:widowControl w:val="0"/>
      <w:spacing w:before="240" w:line="240" w:lineRule="atLeast"/>
      <w:ind/>
    </w:pPr>
    <w:rPr>
      <w:sz w:val="23"/>
    </w:rPr>
  </w:style>
  <w:style w:styleId="Style_308_ch" w:type="character">
    <w:name w:val="Style 4"/>
    <w:basedOn w:val="Style_34_ch"/>
    <w:link w:val="Style_308"/>
    <w:rPr>
      <w:sz w:val="23"/>
    </w:rPr>
  </w:style>
  <w:style w:styleId="Style_309" w:type="paragraph">
    <w:name w:val="xl58"/>
    <w:basedOn w:val="Style_34"/>
    <w:link w:val="Style_309_ch"/>
    <w:pPr>
      <w:widowControl w:val="1"/>
      <w:pBdr>
        <w:top w:color="000000" w:space="0" w:sz="4" w:val="single"/>
        <w:left w:color="000000" w:space="0" w:sz="4" w:val="single"/>
        <w:bottom w:color="000000" w:space="0" w:sz="8" w:val="single"/>
        <w:right w:color="000000" w:space="0" w:sz="4" w:val="single"/>
      </w:pBdr>
      <w:spacing w:afterAutospacing="on" w:beforeAutospacing="on"/>
      <w:ind/>
      <w:jc w:val="right"/>
    </w:pPr>
  </w:style>
  <w:style w:styleId="Style_309_ch" w:type="character">
    <w:name w:val="xl58"/>
    <w:basedOn w:val="Style_34_ch"/>
    <w:link w:val="Style_309"/>
  </w:style>
  <w:style w:styleId="Style_310" w:type="paragraph">
    <w:name w:val="footnote reference"/>
    <w:link w:val="Style_310_ch"/>
    <w:rPr>
      <w:vertAlign w:val="superscript"/>
    </w:rPr>
  </w:style>
  <w:style w:styleId="Style_310_ch" w:type="character">
    <w:name w:val="footnote reference"/>
    <w:link w:val="Style_310"/>
    <w:rPr>
      <w:vertAlign w:val="superscript"/>
    </w:rPr>
  </w:style>
  <w:style w:styleId="Style_311" w:type="paragraph">
    <w:name w:val="toc 5"/>
    <w:basedOn w:val="Style_34"/>
    <w:next w:val="Style_34"/>
    <w:link w:val="Style_311_ch"/>
    <w:uiPriority w:val="39"/>
    <w:pPr>
      <w:widowControl w:val="1"/>
      <w:spacing w:after="100" w:line="276" w:lineRule="auto"/>
      <w:ind w:left="880"/>
    </w:pPr>
    <w:rPr>
      <w:rFonts w:ascii="Calibri" w:hAnsi="Calibri"/>
      <w:sz w:val="22"/>
    </w:rPr>
  </w:style>
  <w:style w:styleId="Style_311_ch" w:type="character">
    <w:name w:val="toc 5"/>
    <w:basedOn w:val="Style_34_ch"/>
    <w:link w:val="Style_311"/>
    <w:rPr>
      <w:rFonts w:ascii="Calibri" w:hAnsi="Calibri"/>
      <w:sz w:val="22"/>
    </w:rPr>
  </w:style>
  <w:style w:styleId="Style_20" w:type="paragraph">
    <w:name w:val="Body Text 21"/>
    <w:basedOn w:val="Style_34"/>
    <w:link w:val="Style_20_ch"/>
    <w:pPr>
      <w:widowControl w:val="1"/>
      <w:ind/>
      <w:jc w:val="both"/>
    </w:pPr>
  </w:style>
  <w:style w:styleId="Style_20_ch" w:type="character">
    <w:name w:val="Body Text 21"/>
    <w:basedOn w:val="Style_34_ch"/>
    <w:link w:val="Style_20"/>
  </w:style>
  <w:style w:styleId="Style_312" w:type="paragraph">
    <w:name w:val="xl31"/>
    <w:basedOn w:val="Style_34"/>
    <w:link w:val="Style_312_ch"/>
    <w:pPr>
      <w:widowControl w:val="1"/>
      <w:pBdr>
        <w:left w:color="000000" w:space="0" w:sz="4" w:val="single"/>
        <w:bottom w:color="000000" w:space="0" w:sz="8" w:val="single"/>
        <w:right w:color="000000" w:space="0" w:sz="4" w:val="single"/>
      </w:pBdr>
      <w:spacing w:afterAutospacing="on" w:beforeAutospacing="on"/>
      <w:ind/>
      <w:jc w:val="center"/>
    </w:pPr>
  </w:style>
  <w:style w:styleId="Style_312_ch" w:type="character">
    <w:name w:val="xl31"/>
    <w:basedOn w:val="Style_34_ch"/>
    <w:link w:val="Style_312"/>
  </w:style>
  <w:style w:styleId="Style_313" w:type="paragraph">
    <w:name w:val="font1"/>
    <w:basedOn w:val="Style_34"/>
    <w:link w:val="Style_313_ch"/>
    <w:pPr>
      <w:widowControl w:val="1"/>
      <w:spacing w:afterAutospacing="on" w:beforeAutospacing="on"/>
      <w:ind/>
    </w:pPr>
    <w:rPr>
      <w:rFonts w:ascii="Arial CYR" w:hAnsi="Arial CYR"/>
      <w:sz w:val="20"/>
    </w:rPr>
  </w:style>
  <w:style w:styleId="Style_313_ch" w:type="character">
    <w:name w:val="font1"/>
    <w:basedOn w:val="Style_34_ch"/>
    <w:link w:val="Style_313"/>
    <w:rPr>
      <w:rFonts w:ascii="Arial CYR" w:hAnsi="Arial CYR"/>
      <w:sz w:val="20"/>
    </w:rPr>
  </w:style>
  <w:style w:styleId="Style_314" w:type="paragraph">
    <w:name w:val="gen"/>
    <w:basedOn w:val="Style_34"/>
    <w:link w:val="Style_314_ch"/>
    <w:pPr>
      <w:widowControl w:val="1"/>
      <w:ind w:hanging="113"/>
      <w:jc w:val="both"/>
    </w:pPr>
  </w:style>
  <w:style w:styleId="Style_314_ch" w:type="character">
    <w:name w:val="gen"/>
    <w:basedOn w:val="Style_34_ch"/>
    <w:link w:val="Style_314"/>
  </w:style>
  <w:style w:styleId="Style_315" w:type="paragraph">
    <w:name w:val="Стиль1"/>
    <w:basedOn w:val="Style_34"/>
    <w:link w:val="Style_315_ch"/>
    <w:rPr>
      <w:sz w:val="28"/>
    </w:rPr>
  </w:style>
  <w:style w:styleId="Style_315_ch" w:type="character">
    <w:name w:val="Стиль1"/>
    <w:basedOn w:val="Style_34_ch"/>
    <w:link w:val="Style_315"/>
    <w:rPr>
      <w:sz w:val="28"/>
    </w:rPr>
  </w:style>
  <w:style w:styleId="Style_316" w:type="paragraph">
    <w:name w:val="xl150"/>
    <w:basedOn w:val="Style_34"/>
    <w:link w:val="Style_316_ch"/>
    <w:pPr>
      <w:widowControl w:val="1"/>
      <w:spacing w:afterAutospacing="on" w:beforeAutospacing="on"/>
      <w:ind/>
    </w:pPr>
    <w:rPr>
      <w:b w:val="1"/>
    </w:rPr>
  </w:style>
  <w:style w:styleId="Style_316_ch" w:type="character">
    <w:name w:val="xl150"/>
    <w:basedOn w:val="Style_34_ch"/>
    <w:link w:val="Style_316"/>
    <w:rPr>
      <w:b w:val="1"/>
    </w:rPr>
  </w:style>
  <w:style w:styleId="Style_317" w:type="paragraph">
    <w:name w:val="xl25"/>
    <w:basedOn w:val="Style_34"/>
    <w:link w:val="Style_317_ch"/>
    <w:pPr>
      <w:widowControl w:val="1"/>
      <w:pBdr>
        <w:left w:color="000000" w:space="0" w:sz="8" w:val="single"/>
        <w:bottom w:color="000000" w:space="0" w:sz="8" w:val="single"/>
        <w:right w:color="000000" w:space="0" w:sz="4" w:val="single"/>
      </w:pBdr>
      <w:spacing w:afterAutospacing="on" w:beforeAutospacing="on"/>
      <w:ind/>
      <w:jc w:val="center"/>
    </w:pPr>
  </w:style>
  <w:style w:styleId="Style_317_ch" w:type="character">
    <w:name w:val="xl25"/>
    <w:basedOn w:val="Style_34_ch"/>
    <w:link w:val="Style_317"/>
  </w:style>
  <w:style w:styleId="Style_318" w:type="paragraph">
    <w:name w:val="1"/>
    <w:basedOn w:val="Style_34"/>
    <w:next w:val="Style_13"/>
    <w:link w:val="Style_318_ch"/>
    <w:pPr>
      <w:widowControl w:val="1"/>
      <w:spacing w:afterAutospacing="on" w:beforeAutospacing="on"/>
      <w:ind/>
    </w:pPr>
  </w:style>
  <w:style w:styleId="Style_318_ch" w:type="character">
    <w:name w:val="1"/>
    <w:basedOn w:val="Style_34_ch"/>
    <w:link w:val="Style_318"/>
  </w:style>
  <w:style w:styleId="Style_319" w:type="paragraph">
    <w:name w:val="xl142"/>
    <w:basedOn w:val="Style_34"/>
    <w:link w:val="Style_319_ch"/>
    <w:pPr>
      <w:widowControl w:val="1"/>
      <w:pBdr>
        <w:top w:color="000000" w:space="0" w:sz="4" w:val="single"/>
        <w:left w:color="000000" w:space="24" w:sz="4" w:val="single"/>
        <w:bottom w:color="000000" w:space="0" w:sz="4" w:val="single"/>
        <w:right w:color="000000" w:space="0" w:sz="4" w:val="single"/>
      </w:pBdr>
      <w:spacing w:afterAutospacing="on" w:beforeAutospacing="on"/>
      <w:ind/>
    </w:pPr>
  </w:style>
  <w:style w:styleId="Style_319_ch" w:type="character">
    <w:name w:val="xl142"/>
    <w:basedOn w:val="Style_34_ch"/>
    <w:link w:val="Style_319"/>
  </w:style>
  <w:style w:styleId="Style_16" w:type="paragraph">
    <w:name w:val="ВСТП Обычный"/>
    <w:basedOn w:val="Style_34"/>
    <w:link w:val="Style_16_ch"/>
    <w:pPr>
      <w:widowControl w:val="1"/>
      <w:spacing w:line="360" w:lineRule="auto"/>
      <w:ind w:firstLine="709"/>
      <w:jc w:val="both"/>
    </w:pPr>
    <w:rPr>
      <w:rFonts w:ascii="Arial" w:hAnsi="Arial"/>
    </w:rPr>
  </w:style>
  <w:style w:styleId="Style_16_ch" w:type="character">
    <w:name w:val="ВСТП Обычный"/>
    <w:basedOn w:val="Style_34_ch"/>
    <w:link w:val="Style_16"/>
    <w:rPr>
      <w:rFonts w:ascii="Arial" w:hAnsi="Arial"/>
    </w:rPr>
  </w:style>
  <w:style w:styleId="Style_44" w:type="paragraph">
    <w:name w:val="Комментарий"/>
    <w:basedOn w:val="Style_34"/>
    <w:next w:val="Style_34"/>
    <w:link w:val="Style_44_ch"/>
    <w:pPr>
      <w:widowControl w:val="0"/>
      <w:ind w:left="170"/>
      <w:jc w:val="both"/>
    </w:pPr>
    <w:rPr>
      <w:rFonts w:ascii="Arial" w:hAnsi="Arial"/>
      <w:i w:val="1"/>
      <w:color w:val="800080"/>
      <w:sz w:val="20"/>
    </w:rPr>
  </w:style>
  <w:style w:styleId="Style_44_ch" w:type="character">
    <w:name w:val="Комментарий"/>
    <w:basedOn w:val="Style_34_ch"/>
    <w:link w:val="Style_44"/>
    <w:rPr>
      <w:rFonts w:ascii="Arial" w:hAnsi="Arial"/>
      <w:i w:val="1"/>
      <w:color w:val="800080"/>
      <w:sz w:val="20"/>
    </w:rPr>
  </w:style>
  <w:style w:styleId="Style_320" w:type="paragraph">
    <w:name w:val="xl154"/>
    <w:basedOn w:val="Style_34"/>
    <w:link w:val="Style_320_ch"/>
    <w:pPr>
      <w:widowControl w:val="1"/>
      <w:pBdr>
        <w:left w:color="000000" w:space="0" w:sz="4" w:val="single"/>
        <w:bottom w:color="000000" w:space="0" w:sz="4" w:val="single"/>
        <w:right w:color="000000" w:space="0" w:sz="4" w:val="single"/>
      </w:pBdr>
      <w:spacing w:afterAutospacing="on" w:beforeAutospacing="on"/>
      <w:ind/>
      <w:jc w:val="center"/>
    </w:pPr>
    <w:rPr>
      <w:b w:val="1"/>
    </w:rPr>
  </w:style>
  <w:style w:styleId="Style_320_ch" w:type="character">
    <w:name w:val="xl154"/>
    <w:basedOn w:val="Style_34_ch"/>
    <w:link w:val="Style_320"/>
    <w:rPr>
      <w:b w:val="1"/>
    </w:rPr>
  </w:style>
  <w:style w:styleId="Style_321" w:type="paragraph">
    <w:name w:val="xl35"/>
    <w:basedOn w:val="Style_34"/>
    <w:link w:val="Style_321_ch"/>
    <w:pPr>
      <w:widowControl w:val="1"/>
      <w:pBdr>
        <w:left w:color="000000" w:space="0" w:sz="4" w:val="single"/>
        <w:bottom w:color="000000" w:space="0" w:sz="4" w:val="single"/>
        <w:right w:color="000000" w:space="0" w:sz="4" w:val="single"/>
      </w:pBdr>
      <w:spacing w:afterAutospacing="on" w:beforeAutospacing="on"/>
      <w:ind/>
    </w:pPr>
    <w:rPr>
      <w:rFonts w:ascii="Arial" w:hAnsi="Arial"/>
      <w:sz w:val="20"/>
    </w:rPr>
  </w:style>
  <w:style w:styleId="Style_321_ch" w:type="character">
    <w:name w:val="xl35"/>
    <w:basedOn w:val="Style_34_ch"/>
    <w:link w:val="Style_321"/>
    <w:rPr>
      <w:rFonts w:ascii="Arial" w:hAnsi="Arial"/>
      <w:sz w:val="20"/>
    </w:rPr>
  </w:style>
  <w:style w:styleId="Style_322" w:type="paragraph">
    <w:name w:val="xl21"/>
    <w:basedOn w:val="Style_34"/>
    <w:link w:val="Style_322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rFonts w:ascii="Arial" w:hAnsi="Arial"/>
      <w:b w:val="1"/>
      <w:sz w:val="20"/>
    </w:rPr>
  </w:style>
  <w:style w:styleId="Style_322_ch" w:type="character">
    <w:name w:val="xl21"/>
    <w:basedOn w:val="Style_34_ch"/>
    <w:link w:val="Style_322"/>
    <w:rPr>
      <w:rFonts w:ascii="Arial" w:hAnsi="Arial"/>
      <w:b w:val="1"/>
      <w:sz w:val="20"/>
    </w:rPr>
  </w:style>
  <w:style w:styleId="Style_323" w:type="paragraph">
    <w:name w:val="PEStyleFont8"/>
    <w:link w:val="Style_323_ch"/>
    <w:rPr>
      <w:rFonts w:ascii="PEW Report" w:hAnsi="PEW Report"/>
      <w:spacing w:val="0"/>
      <w:sz w:val="16"/>
      <w:u w:val="none"/>
    </w:rPr>
  </w:style>
  <w:style w:styleId="Style_323_ch" w:type="character">
    <w:name w:val="PEStyleFont8"/>
    <w:link w:val="Style_323"/>
    <w:rPr>
      <w:rFonts w:ascii="PEW Report" w:hAnsi="PEW Report"/>
      <w:spacing w:val="0"/>
      <w:sz w:val="16"/>
      <w:u w:val="none"/>
    </w:rPr>
  </w:style>
  <w:style w:styleId="Style_324" w:type="paragraph">
    <w:name w:val="xl36"/>
    <w:basedOn w:val="Style_34"/>
    <w:link w:val="Style_324_ch"/>
    <w:pPr>
      <w:widowControl w:val="1"/>
      <w:pBdr>
        <w:top w:color="000000" w:space="0" w:sz="8" w:val="single"/>
        <w:left w:color="000000" w:space="0" w:sz="4" w:val="single"/>
        <w:bottom w:color="000000" w:space="0" w:sz="4" w:val="single"/>
        <w:right w:color="000000" w:space="0" w:sz="4" w:val="single"/>
      </w:pBdr>
      <w:spacing w:afterAutospacing="on" w:beforeAutospacing="on"/>
      <w:ind/>
    </w:pPr>
    <w:rPr>
      <w:rFonts w:ascii="Arial" w:hAnsi="Arial"/>
      <w:sz w:val="18"/>
    </w:rPr>
  </w:style>
  <w:style w:styleId="Style_324_ch" w:type="character">
    <w:name w:val="xl36"/>
    <w:basedOn w:val="Style_34_ch"/>
    <w:link w:val="Style_324"/>
    <w:rPr>
      <w:rFonts w:ascii="Arial" w:hAnsi="Arial"/>
      <w:sz w:val="18"/>
    </w:rPr>
  </w:style>
  <w:style w:styleId="Style_325" w:type="paragraph">
    <w:name w:val="xl79"/>
    <w:basedOn w:val="Style_34"/>
    <w:link w:val="Style_325_ch"/>
    <w:pPr>
      <w:widowControl w:val="1"/>
      <w:spacing w:afterAutospacing="on" w:beforeAutospacing="on"/>
      <w:ind/>
    </w:pPr>
  </w:style>
  <w:style w:styleId="Style_325_ch" w:type="character">
    <w:name w:val="xl79"/>
    <w:basedOn w:val="Style_34_ch"/>
    <w:link w:val="Style_325"/>
  </w:style>
  <w:style w:styleId="Style_2" w:type="paragraph">
    <w:name w:val="footer"/>
    <w:basedOn w:val="Style_34"/>
    <w:link w:val="Style_2_ch"/>
    <w:pPr>
      <w:widowControl w:val="1"/>
      <w:tabs>
        <w:tab w:leader="none" w:pos="4677" w:val="center"/>
        <w:tab w:leader="none" w:pos="9355" w:val="right"/>
      </w:tabs>
      <w:ind/>
    </w:pPr>
    <w:rPr>
      <w:sz w:val="20"/>
    </w:rPr>
  </w:style>
  <w:style w:styleId="Style_2_ch" w:type="character">
    <w:name w:val="footer"/>
    <w:basedOn w:val="Style_34_ch"/>
    <w:link w:val="Style_2"/>
    <w:rPr>
      <w:sz w:val="20"/>
    </w:rPr>
  </w:style>
  <w:style w:styleId="Style_326" w:type="paragraph">
    <w:name w:val="Абзац списка2"/>
    <w:basedOn w:val="Style_34"/>
    <w:link w:val="Style_326_ch"/>
    <w:pPr>
      <w:widowControl w:val="1"/>
      <w:ind w:left="720"/>
    </w:pPr>
    <w:rPr>
      <w:sz w:val="20"/>
    </w:rPr>
  </w:style>
  <w:style w:styleId="Style_326_ch" w:type="character">
    <w:name w:val="Абзац списка2"/>
    <w:basedOn w:val="Style_34_ch"/>
    <w:link w:val="Style_326"/>
    <w:rPr>
      <w:sz w:val="20"/>
    </w:rPr>
  </w:style>
  <w:style w:styleId="Style_327" w:type="paragraph">
    <w:name w:val="Оглавление"/>
    <w:basedOn w:val="Style_147"/>
    <w:next w:val="Style_34"/>
    <w:link w:val="Style_327_ch"/>
    <w:pPr>
      <w:widowControl w:val="1"/>
      <w:ind w:left="140"/>
    </w:pPr>
  </w:style>
  <w:style w:styleId="Style_327_ch" w:type="character">
    <w:name w:val="Оглавление"/>
    <w:basedOn w:val="Style_147_ch"/>
    <w:link w:val="Style_327"/>
  </w:style>
  <w:style w:styleId="Style_328" w:type="paragraph">
    <w:name w:val="xl141"/>
    <w:basedOn w:val="Style_34"/>
    <w:link w:val="Style_328_ch"/>
    <w:pPr>
      <w:widowControl w:val="1"/>
      <w:pBdr>
        <w:top w:color="000000" w:space="0" w:sz="4" w:val="single"/>
        <w:left w:color="000000" w:space="24" w:sz="4" w:val="single"/>
        <w:bottom w:color="000000" w:space="0" w:sz="4" w:val="single"/>
        <w:right w:color="000000" w:space="0" w:sz="4" w:val="single"/>
      </w:pBdr>
      <w:spacing w:afterAutospacing="on" w:beforeAutospacing="on"/>
      <w:ind/>
    </w:pPr>
  </w:style>
  <w:style w:styleId="Style_328_ch" w:type="character">
    <w:name w:val="xl141"/>
    <w:basedOn w:val="Style_34_ch"/>
    <w:link w:val="Style_328"/>
  </w:style>
  <w:style w:styleId="Style_329" w:type="paragraph">
    <w:name w:val="Знак1"/>
    <w:basedOn w:val="Style_34"/>
    <w:link w:val="Style_329_ch"/>
    <w:pPr>
      <w:widowControl w:val="1"/>
      <w:spacing w:after="160" w:line="240" w:lineRule="exact"/>
      <w:ind/>
    </w:pPr>
    <w:rPr>
      <w:rFonts w:ascii="Verdana" w:hAnsi="Verdana"/>
    </w:rPr>
  </w:style>
  <w:style w:styleId="Style_329_ch" w:type="character">
    <w:name w:val="Знак1"/>
    <w:basedOn w:val="Style_34_ch"/>
    <w:link w:val="Style_329"/>
    <w:rPr>
      <w:rFonts w:ascii="Verdana" w:hAnsi="Verdana"/>
    </w:rPr>
  </w:style>
  <w:style w:styleId="Style_29" w:type="paragraph">
    <w:name w:val="Абзац списка1"/>
    <w:basedOn w:val="Style_34"/>
    <w:link w:val="Style_29_ch"/>
    <w:pPr>
      <w:widowControl w:val="1"/>
      <w:ind w:left="720"/>
      <w:contextualSpacing w:val="1"/>
    </w:pPr>
  </w:style>
  <w:style w:styleId="Style_29_ch" w:type="character">
    <w:name w:val="Абзац списка1"/>
    <w:basedOn w:val="Style_34_ch"/>
    <w:link w:val="Style_29"/>
  </w:style>
  <w:style w:styleId="Style_330" w:type="paragraph">
    <w:name w:val="Знак Знак3"/>
    <w:link w:val="Style_330_ch"/>
    <w:rPr>
      <w:b w:val="1"/>
      <w:sz w:val="44"/>
    </w:rPr>
  </w:style>
  <w:style w:styleId="Style_330_ch" w:type="character">
    <w:name w:val="Знак Знак3"/>
    <w:link w:val="Style_330"/>
    <w:rPr>
      <w:b w:val="1"/>
      <w:sz w:val="44"/>
    </w:rPr>
  </w:style>
  <w:style w:styleId="Style_331" w:type="paragraph">
    <w:name w:val="xl62"/>
    <w:basedOn w:val="Style_34"/>
    <w:link w:val="Style_331_ch"/>
    <w:pPr>
      <w:widowControl w:val="1"/>
      <w:pBdr>
        <w:bottom w:color="969696" w:space="0" w:sz="4" w:val="dotted"/>
        <w:right w:color="969696" w:space="0" w:sz="4" w:val="dotted"/>
      </w:pBdr>
      <w:spacing w:afterAutospacing="on" w:beforeAutospacing="on"/>
      <w:ind/>
    </w:pPr>
  </w:style>
  <w:style w:styleId="Style_331_ch" w:type="character">
    <w:name w:val="xl62"/>
    <w:basedOn w:val="Style_34_ch"/>
    <w:link w:val="Style_331"/>
  </w:style>
  <w:style w:styleId="Style_332" w:type="paragraph">
    <w:name w:val="xl52"/>
    <w:basedOn w:val="Style_34"/>
    <w:link w:val="Style_332_ch"/>
    <w:pPr>
      <w:widowControl w:val="1"/>
      <w:pBdr>
        <w:left w:color="000000" w:space="0" w:sz="4" w:val="single"/>
        <w:bottom w:color="000000" w:space="0" w:sz="8" w:val="single"/>
        <w:right w:color="000000" w:space="0" w:sz="4" w:val="single"/>
      </w:pBdr>
      <w:spacing w:afterAutospacing="on" w:beforeAutospacing="on"/>
      <w:ind/>
    </w:pPr>
  </w:style>
  <w:style w:styleId="Style_332_ch" w:type="character">
    <w:name w:val="xl52"/>
    <w:basedOn w:val="Style_34_ch"/>
    <w:link w:val="Style_332"/>
  </w:style>
  <w:style w:styleId="Style_17" w:type="paragraph">
    <w:name w:val="Body Text"/>
    <w:basedOn w:val="Style_34"/>
    <w:link w:val="Style_17_ch"/>
    <w:pPr>
      <w:widowControl w:val="1"/>
      <w:spacing w:after="120"/>
      <w:ind/>
    </w:pPr>
    <w:rPr>
      <w:sz w:val="20"/>
    </w:rPr>
  </w:style>
  <w:style w:styleId="Style_17_ch" w:type="character">
    <w:name w:val="Body Text"/>
    <w:basedOn w:val="Style_34_ch"/>
    <w:link w:val="Style_17"/>
    <w:rPr>
      <w:sz w:val="20"/>
    </w:rPr>
  </w:style>
  <w:style w:styleId="Style_333" w:type="paragraph">
    <w:name w:val="8"/>
    <w:basedOn w:val="Style_71"/>
    <w:link w:val="Style_333_ch"/>
  </w:style>
  <w:style w:styleId="Style_333_ch" w:type="character">
    <w:name w:val="8"/>
    <w:basedOn w:val="Style_71_ch"/>
    <w:link w:val="Style_333"/>
  </w:style>
  <w:style w:styleId="Style_334" w:type="paragraph">
    <w:name w:val="Subtitle"/>
    <w:next w:val="Style_34"/>
    <w:link w:val="Style_334_ch"/>
    <w:uiPriority w:val="11"/>
    <w:qFormat/>
    <w:pPr>
      <w:ind/>
      <w:jc w:val="both"/>
    </w:pPr>
    <w:rPr>
      <w:rFonts w:ascii="XO Thames" w:hAnsi="XO Thames"/>
      <w:i w:val="1"/>
      <w:sz w:val="24"/>
    </w:rPr>
  </w:style>
  <w:style w:styleId="Style_334_ch" w:type="character">
    <w:name w:val="Subtitle"/>
    <w:link w:val="Style_334"/>
    <w:rPr>
      <w:rFonts w:ascii="XO Thames" w:hAnsi="XO Thames"/>
      <w:i w:val="1"/>
      <w:sz w:val="24"/>
    </w:rPr>
  </w:style>
  <w:style w:styleId="Style_335" w:type="paragraph">
    <w:name w:val="Основной текст с отступом 21"/>
    <w:basedOn w:val="Style_34"/>
    <w:link w:val="Style_335_ch"/>
    <w:pPr>
      <w:widowControl w:val="1"/>
      <w:tabs>
        <w:tab w:leader="none" w:pos="993" w:val="left"/>
      </w:tabs>
      <w:ind w:firstLine="709"/>
      <w:jc w:val="both"/>
    </w:pPr>
  </w:style>
  <w:style w:styleId="Style_335_ch" w:type="character">
    <w:name w:val="Основной текст с отступом 21"/>
    <w:basedOn w:val="Style_34_ch"/>
    <w:link w:val="Style_335"/>
  </w:style>
  <w:style w:styleId="Style_336" w:type="paragraph">
    <w:name w:val="xl71"/>
    <w:basedOn w:val="Style_34"/>
    <w:link w:val="Style_336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rFonts w:ascii="Arial CYR" w:hAnsi="Arial CYR"/>
      <w:sz w:val="18"/>
    </w:rPr>
  </w:style>
  <w:style w:styleId="Style_336_ch" w:type="character">
    <w:name w:val="xl71"/>
    <w:basedOn w:val="Style_34_ch"/>
    <w:link w:val="Style_336"/>
    <w:rPr>
      <w:rFonts w:ascii="Arial CYR" w:hAnsi="Arial CYR"/>
      <w:sz w:val="18"/>
    </w:rPr>
  </w:style>
  <w:style w:styleId="Style_19" w:type="paragraph">
    <w:name w:val="xl116"/>
    <w:basedOn w:val="Style_34"/>
    <w:link w:val="Style_19_ch"/>
    <w:pPr>
      <w:widowControl w:val="1"/>
      <w:pBdr>
        <w:right w:color="000000" w:space="0" w:sz="4" w:val="single"/>
      </w:pBdr>
      <w:spacing w:afterAutospacing="on" w:beforeAutospacing="on"/>
      <w:ind/>
      <w:jc w:val="center"/>
    </w:pPr>
    <w:rPr>
      <w:rFonts w:ascii="Arial" w:hAnsi="Arial"/>
      <w:b w:val="1"/>
    </w:rPr>
  </w:style>
  <w:style w:styleId="Style_19_ch" w:type="character">
    <w:name w:val="xl116"/>
    <w:basedOn w:val="Style_34_ch"/>
    <w:link w:val="Style_19"/>
    <w:rPr>
      <w:rFonts w:ascii="Arial" w:hAnsi="Arial"/>
      <w:b w:val="1"/>
    </w:rPr>
  </w:style>
  <w:style w:styleId="Style_337" w:type="paragraph">
    <w:name w:val="xl152"/>
    <w:basedOn w:val="Style_34"/>
    <w:link w:val="Style_337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b w:val="1"/>
    </w:rPr>
  </w:style>
  <w:style w:styleId="Style_337_ch" w:type="character">
    <w:name w:val="xl152"/>
    <w:basedOn w:val="Style_34_ch"/>
    <w:link w:val="Style_337"/>
    <w:rPr>
      <w:b w:val="1"/>
    </w:rPr>
  </w:style>
  <w:style w:styleId="Style_338" w:type="paragraph">
    <w:name w:val="xl61"/>
    <w:basedOn w:val="Style_34"/>
    <w:link w:val="Style_338_ch"/>
    <w:pPr>
      <w:widowControl w:val="1"/>
      <w:pBdr>
        <w:left w:color="000000" w:space="0" w:sz="4" w:val="single"/>
        <w:bottom w:color="000000" w:space="0" w:sz="4" w:val="single"/>
        <w:right w:color="000000" w:space="0" w:sz="4" w:val="single"/>
      </w:pBdr>
      <w:spacing w:afterAutospacing="on" w:beforeAutospacing="on"/>
      <w:ind/>
    </w:pPr>
  </w:style>
  <w:style w:styleId="Style_338_ch" w:type="character">
    <w:name w:val="xl61"/>
    <w:basedOn w:val="Style_34_ch"/>
    <w:link w:val="Style_338"/>
  </w:style>
  <w:style w:styleId="Style_76" w:type="paragraph">
    <w:name w:val="Гипертекстовая ссылка"/>
    <w:link w:val="Style_76_ch"/>
    <w:rPr>
      <w:b w:val="1"/>
      <w:color w:val="008000"/>
      <w:sz w:val="20"/>
      <w:u w:val="single"/>
    </w:rPr>
  </w:style>
  <w:style w:styleId="Style_76_ch" w:type="character">
    <w:name w:val="Гипертекстовая ссылка"/>
    <w:link w:val="Style_76"/>
    <w:rPr>
      <w:b w:val="1"/>
      <w:color w:val="008000"/>
      <w:sz w:val="20"/>
      <w:u w:val="single"/>
    </w:rPr>
  </w:style>
  <w:style w:styleId="Style_339" w:type="paragraph">
    <w:name w:val="Схема документа Знак1"/>
    <w:link w:val="Style_339_ch"/>
    <w:rPr>
      <w:rFonts w:ascii="Tahoma" w:hAnsi="Tahoma"/>
      <w:sz w:val="16"/>
    </w:rPr>
  </w:style>
  <w:style w:styleId="Style_339_ch" w:type="character">
    <w:name w:val="Схема документа Знак1"/>
    <w:link w:val="Style_339"/>
    <w:rPr>
      <w:rFonts w:ascii="Tahoma" w:hAnsi="Tahoma"/>
      <w:sz w:val="16"/>
    </w:rPr>
  </w:style>
  <w:style w:styleId="Style_340" w:type="paragraph">
    <w:name w:val="Title"/>
    <w:basedOn w:val="Style_34"/>
    <w:link w:val="Style_340_ch"/>
    <w:uiPriority w:val="10"/>
    <w:qFormat/>
    <w:pPr>
      <w:widowControl w:val="1"/>
      <w:ind/>
      <w:jc w:val="center"/>
    </w:pPr>
    <w:rPr>
      <w:b w:val="1"/>
      <w:color w:val="008080"/>
      <w:sz w:val="32"/>
    </w:rPr>
  </w:style>
  <w:style w:styleId="Style_340_ch" w:type="character">
    <w:name w:val="Title"/>
    <w:basedOn w:val="Style_34_ch"/>
    <w:link w:val="Style_340"/>
    <w:rPr>
      <w:b w:val="1"/>
      <w:color w:val="008080"/>
      <w:sz w:val="32"/>
    </w:rPr>
  </w:style>
  <w:style w:styleId="Style_341" w:type="paragraph">
    <w:name w:val="heading 4"/>
    <w:basedOn w:val="Style_34"/>
    <w:next w:val="Style_34"/>
    <w:link w:val="Style_341_ch"/>
    <w:uiPriority w:val="9"/>
    <w:qFormat/>
    <w:pPr>
      <w:keepNext w:val="1"/>
      <w:widowControl w:val="1"/>
      <w:ind/>
      <w:outlineLvl w:val="3"/>
    </w:pPr>
    <w:rPr>
      <w:b w:val="1"/>
      <w:color w:val="008080"/>
      <w:sz w:val="28"/>
    </w:rPr>
  </w:style>
  <w:style w:styleId="Style_341_ch" w:type="character">
    <w:name w:val="heading 4"/>
    <w:basedOn w:val="Style_34_ch"/>
    <w:link w:val="Style_341"/>
    <w:rPr>
      <w:b w:val="1"/>
      <w:color w:val="008080"/>
      <w:sz w:val="28"/>
    </w:rPr>
  </w:style>
  <w:style w:styleId="Style_342" w:type="paragraph">
    <w:name w:val="Найденные слова"/>
    <w:link w:val="Style_342_ch"/>
    <w:rPr>
      <w:b w:val="1"/>
      <w:color w:val="000080"/>
      <w:sz w:val="20"/>
    </w:rPr>
  </w:style>
  <w:style w:styleId="Style_342_ch" w:type="character">
    <w:name w:val="Найденные слова"/>
    <w:link w:val="Style_342"/>
    <w:rPr>
      <w:b w:val="1"/>
      <w:color w:val="000080"/>
      <w:sz w:val="20"/>
    </w:rPr>
  </w:style>
  <w:style w:styleId="Style_343" w:type="paragraph">
    <w:name w:val="xl19"/>
    <w:basedOn w:val="Style_34"/>
    <w:link w:val="Style_343_ch"/>
    <w:pPr>
      <w:widowControl w:val="1"/>
      <w:pBdr>
        <w:top w:color="000000" w:space="0" w:sz="4" w:val="single"/>
        <w:left w:color="000000" w:space="0" w:sz="8" w:val="single"/>
        <w:right w:color="000000" w:space="0" w:sz="4" w:val="single"/>
      </w:pBdr>
      <w:spacing w:afterAutospacing="on" w:beforeAutospacing="on"/>
      <w:ind/>
    </w:pPr>
    <w:rPr>
      <w:sz w:val="20"/>
    </w:rPr>
  </w:style>
  <w:style w:styleId="Style_343_ch" w:type="character">
    <w:name w:val="xl19"/>
    <w:basedOn w:val="Style_34_ch"/>
    <w:link w:val="Style_343"/>
    <w:rPr>
      <w:sz w:val="20"/>
    </w:rPr>
  </w:style>
  <w:style w:styleId="Style_344" w:type="paragraph">
    <w:name w:val="xl128"/>
    <w:basedOn w:val="Style_34"/>
    <w:link w:val="Style_344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rPr>
      <w:b w:val="1"/>
    </w:rPr>
  </w:style>
  <w:style w:styleId="Style_344_ch" w:type="character">
    <w:name w:val="xl128"/>
    <w:basedOn w:val="Style_34_ch"/>
    <w:link w:val="Style_344"/>
    <w:rPr>
      <w:b w:val="1"/>
    </w:rPr>
  </w:style>
  <w:style w:styleId="Style_345" w:type="paragraph">
    <w:name w:val="xl37"/>
    <w:basedOn w:val="Style_34"/>
    <w:link w:val="Style_345_ch"/>
    <w:pPr>
      <w:widowControl w:val="1"/>
      <w:pBdr>
        <w:top w:color="000000" w:space="0" w:sz="4" w:val="single"/>
        <w:left w:color="000000" w:space="0" w:sz="4" w:val="single"/>
        <w:bottom w:color="000000" w:space="0" w:sz="8" w:val="single"/>
        <w:right w:color="000000" w:space="0" w:sz="4" w:val="single"/>
      </w:pBdr>
      <w:spacing w:afterAutospacing="on" w:beforeAutospacing="on"/>
      <w:ind/>
    </w:pPr>
    <w:rPr>
      <w:rFonts w:ascii="Arial" w:hAnsi="Arial"/>
      <w:sz w:val="18"/>
    </w:rPr>
  </w:style>
  <w:style w:styleId="Style_345_ch" w:type="character">
    <w:name w:val="xl37"/>
    <w:basedOn w:val="Style_34_ch"/>
    <w:link w:val="Style_345"/>
    <w:rPr>
      <w:rFonts w:ascii="Arial" w:hAnsi="Arial"/>
      <w:sz w:val="18"/>
    </w:rPr>
  </w:style>
  <w:style w:styleId="Style_26" w:type="paragraph">
    <w:name w:val="caption"/>
    <w:basedOn w:val="Style_34"/>
    <w:next w:val="Style_34"/>
    <w:link w:val="Style_26_ch"/>
    <w:rPr>
      <w:b w:val="1"/>
      <w:sz w:val="20"/>
    </w:rPr>
  </w:style>
  <w:style w:styleId="Style_26_ch" w:type="character">
    <w:name w:val="caption"/>
    <w:basedOn w:val="Style_34_ch"/>
    <w:link w:val="Style_26"/>
    <w:rPr>
      <w:b w:val="1"/>
      <w:sz w:val="20"/>
    </w:rPr>
  </w:style>
  <w:style w:styleId="Style_346" w:type="paragraph">
    <w:name w:val="xl170"/>
    <w:basedOn w:val="Style_34"/>
    <w:link w:val="Style_346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color w:val="000000"/>
    </w:rPr>
  </w:style>
  <w:style w:styleId="Style_346_ch" w:type="character">
    <w:name w:val="xl170"/>
    <w:basedOn w:val="Style_34_ch"/>
    <w:link w:val="Style_346"/>
    <w:rPr>
      <w:color w:val="000000"/>
    </w:rPr>
  </w:style>
  <w:style w:styleId="Style_347" w:type="paragraph">
    <w:name w:val="xl33"/>
    <w:basedOn w:val="Style_34"/>
    <w:link w:val="Style_347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rFonts w:ascii="Arial" w:hAnsi="Arial"/>
      <w:sz w:val="20"/>
    </w:rPr>
  </w:style>
  <w:style w:styleId="Style_347_ch" w:type="character">
    <w:name w:val="xl33"/>
    <w:basedOn w:val="Style_34_ch"/>
    <w:link w:val="Style_347"/>
    <w:rPr>
      <w:rFonts w:ascii="Arial" w:hAnsi="Arial"/>
      <w:sz w:val="20"/>
    </w:rPr>
  </w:style>
  <w:style w:styleId="Style_348" w:type="paragraph">
    <w:name w:val="Обычный3"/>
    <w:link w:val="Style_348_ch"/>
  </w:style>
  <w:style w:styleId="Style_348_ch" w:type="character">
    <w:name w:val="Обычный3"/>
    <w:link w:val="Style_348"/>
  </w:style>
  <w:style w:styleId="Style_235" w:type="paragraph">
    <w:name w:val="Текст (лев. подпись)"/>
    <w:basedOn w:val="Style_34"/>
    <w:next w:val="Style_34"/>
    <w:link w:val="Style_235_ch"/>
    <w:pPr>
      <w:widowControl w:val="0"/>
      <w:ind/>
    </w:pPr>
    <w:rPr>
      <w:rFonts w:ascii="Arial" w:hAnsi="Arial"/>
      <w:sz w:val="20"/>
    </w:rPr>
  </w:style>
  <w:style w:styleId="Style_235_ch" w:type="character">
    <w:name w:val="Текст (лев. подпись)"/>
    <w:basedOn w:val="Style_34_ch"/>
    <w:link w:val="Style_235"/>
    <w:rPr>
      <w:rFonts w:ascii="Arial" w:hAnsi="Arial"/>
      <w:sz w:val="20"/>
    </w:rPr>
  </w:style>
  <w:style w:styleId="Style_349" w:type="paragraph">
    <w:name w:val="Цветовое выделение"/>
    <w:link w:val="Style_349_ch"/>
    <w:rPr>
      <w:b w:val="1"/>
      <w:color w:val="000080"/>
      <w:sz w:val="20"/>
    </w:rPr>
  </w:style>
  <w:style w:styleId="Style_349_ch" w:type="character">
    <w:name w:val="Цветовое выделение"/>
    <w:link w:val="Style_349"/>
    <w:rPr>
      <w:b w:val="1"/>
      <w:color w:val="000080"/>
      <w:sz w:val="20"/>
    </w:rPr>
  </w:style>
  <w:style w:styleId="Style_350" w:type="paragraph">
    <w:name w:val="xl66"/>
    <w:basedOn w:val="Style_34"/>
    <w:link w:val="Style_350_ch"/>
    <w:pPr>
      <w:widowControl w:val="1"/>
      <w:pBdr>
        <w:top w:color="000000" w:space="0" w:sz="4" w:val="single"/>
        <w:left w:color="000000" w:space="0" w:sz="4" w:val="single"/>
        <w:bottom w:color="000000" w:space="0" w:sz="4" w:val="single"/>
        <w:right w:color="000000" w:space="0" w:sz="4" w:val="single"/>
      </w:pBdr>
      <w:spacing w:afterAutospacing="on" w:beforeAutospacing="on"/>
      <w:ind/>
      <w:jc w:val="center"/>
    </w:pPr>
    <w:rPr>
      <w:rFonts w:ascii="Arial CYR" w:hAnsi="Arial CYR"/>
      <w:sz w:val="18"/>
    </w:rPr>
  </w:style>
  <w:style w:styleId="Style_350_ch" w:type="character">
    <w:name w:val="xl66"/>
    <w:basedOn w:val="Style_34_ch"/>
    <w:link w:val="Style_350"/>
    <w:rPr>
      <w:rFonts w:ascii="Arial CYR" w:hAnsi="Arial CYR"/>
      <w:sz w:val="18"/>
    </w:rPr>
  </w:style>
  <w:style w:styleId="Style_351" w:type="paragraph">
    <w:name w:val="xl107"/>
    <w:basedOn w:val="Style_34"/>
    <w:link w:val="Style_351_ch"/>
    <w:pPr>
      <w:widowControl w:val="1"/>
      <w:pBdr>
        <w:top w:color="000000" w:space="0" w:sz="4" w:val="single"/>
        <w:left w:color="000000" w:space="0" w:sz="4" w:val="single"/>
        <w:bottom w:color="000000" w:space="0" w:sz="4" w:val="single"/>
        <w:right w:color="000000" w:space="0" w:sz="4" w:val="single"/>
      </w:pBdr>
      <w:spacing w:afterAutospacing="on" w:beforeAutospacing="on"/>
      <w:ind/>
    </w:pPr>
  </w:style>
  <w:style w:styleId="Style_351_ch" w:type="character">
    <w:name w:val="xl107"/>
    <w:basedOn w:val="Style_34_ch"/>
    <w:link w:val="Style_351"/>
  </w:style>
  <w:style w:styleId="Style_10" w:type="paragraph">
    <w:name w:val="heading 2"/>
    <w:basedOn w:val="Style_34"/>
    <w:next w:val="Style_34"/>
    <w:link w:val="Style_10_ch"/>
    <w:uiPriority w:val="9"/>
    <w:qFormat/>
    <w:pPr>
      <w:keepNext w:val="1"/>
      <w:widowControl w:val="1"/>
      <w:spacing w:after="60" w:before="240"/>
      <w:ind/>
      <w:outlineLvl w:val="1"/>
    </w:pPr>
    <w:rPr>
      <w:rFonts w:ascii="Arial" w:hAnsi="Arial"/>
      <w:b w:val="1"/>
      <w:i w:val="1"/>
      <w:sz w:val="28"/>
    </w:rPr>
  </w:style>
  <w:style w:styleId="Style_10_ch" w:type="character">
    <w:name w:val="heading 2"/>
    <w:basedOn w:val="Style_34_ch"/>
    <w:link w:val="Style_10"/>
    <w:rPr>
      <w:rFonts w:ascii="Arial" w:hAnsi="Arial"/>
      <w:b w:val="1"/>
      <w:i w:val="1"/>
      <w:sz w:val="28"/>
    </w:rPr>
  </w:style>
  <w:style w:styleId="Style_352" w:type="paragraph">
    <w:name w:val="xl39"/>
    <w:basedOn w:val="Style_34"/>
    <w:link w:val="Style_352_ch"/>
    <w:pPr>
      <w:widowControl w:val="1"/>
      <w:pBdr>
        <w:left w:color="000000" w:space="0" w:sz="8" w:val="single"/>
        <w:bottom w:color="000000" w:space="0" w:sz="4" w:val="single"/>
        <w:right w:color="000000" w:space="0" w:sz="4" w:val="single"/>
      </w:pBdr>
      <w:spacing w:afterAutospacing="on" w:beforeAutospacing="on"/>
      <w:ind/>
      <w:jc w:val="center"/>
    </w:pPr>
  </w:style>
  <w:style w:styleId="Style_352_ch" w:type="character">
    <w:name w:val="xl39"/>
    <w:basedOn w:val="Style_34_ch"/>
    <w:link w:val="Style_352"/>
  </w:style>
  <w:style w:styleId="Style_353" w:type="paragraph">
    <w:name w:val="xl171"/>
    <w:basedOn w:val="Style_34"/>
    <w:link w:val="Style_353_ch"/>
    <w:pPr>
      <w:widowControl w:val="1"/>
      <w:pBdr>
        <w:top w:color="000000" w:space="0" w:sz="4" w:val="single"/>
        <w:left w:color="000000" w:space="0" w:sz="4" w:val="single"/>
        <w:bottom w:color="000000" w:space="0" w:sz="4" w:val="single"/>
        <w:right w:color="000000" w:space="0" w:sz="4" w:val="single"/>
      </w:pBdr>
      <w:spacing w:afterAutospacing="on" w:beforeAutospacing="on"/>
      <w:ind/>
    </w:pPr>
  </w:style>
  <w:style w:styleId="Style_353_ch" w:type="character">
    <w:name w:val="xl171"/>
    <w:basedOn w:val="Style_34_ch"/>
    <w:link w:val="Style_353"/>
  </w:style>
  <w:style w:styleId="Style_354" w:type="paragraph">
    <w:name w:val="xl112"/>
    <w:basedOn w:val="Style_34"/>
    <w:link w:val="Style_354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b w:val="1"/>
    </w:rPr>
  </w:style>
  <w:style w:styleId="Style_354_ch" w:type="character">
    <w:name w:val="xl112"/>
    <w:basedOn w:val="Style_34_ch"/>
    <w:link w:val="Style_354"/>
    <w:rPr>
      <w:b w:val="1"/>
    </w:rPr>
  </w:style>
  <w:style w:styleId="Style_9" w:type="paragraph">
    <w:name w:val="Body Text Indent 2"/>
    <w:basedOn w:val="Style_34"/>
    <w:link w:val="Style_9_ch"/>
    <w:pPr>
      <w:widowControl w:val="1"/>
      <w:spacing w:line="360" w:lineRule="auto"/>
      <w:ind w:firstLine="900"/>
      <w:jc w:val="both"/>
    </w:pPr>
    <w:rPr>
      <w:sz w:val="28"/>
    </w:rPr>
  </w:style>
  <w:style w:styleId="Style_9_ch" w:type="character">
    <w:name w:val="Body Text Indent 2"/>
    <w:basedOn w:val="Style_34_ch"/>
    <w:link w:val="Style_9"/>
    <w:rPr>
      <w:sz w:val="28"/>
    </w:rPr>
  </w:style>
  <w:style w:styleId="Style_355" w:type="paragraph">
    <w:name w:val="xl109"/>
    <w:basedOn w:val="Style_34"/>
    <w:link w:val="Style_355_ch"/>
    <w:pPr>
      <w:widowControl w:val="1"/>
      <w:pBdr>
        <w:top w:color="000000" w:space="0" w:sz="4" w:val="single"/>
        <w:left w:color="000000" w:space="0" w:sz="4" w:val="single"/>
        <w:bottom w:color="000000" w:space="0" w:sz="4" w:val="single"/>
        <w:right w:color="000000" w:space="0" w:sz="4" w:val="single"/>
      </w:pBdr>
      <w:spacing w:afterAutospacing="on" w:beforeAutospacing="on"/>
      <w:ind/>
      <w:jc w:val="right"/>
    </w:pPr>
  </w:style>
  <w:style w:styleId="Style_355_ch" w:type="character">
    <w:name w:val="xl109"/>
    <w:basedOn w:val="Style_34_ch"/>
    <w:link w:val="Style_355"/>
  </w:style>
  <w:style w:styleId="Style_22" w:type="paragraph">
    <w:name w:val="No Spacing"/>
    <w:link w:val="Style_22_ch"/>
    <w:pPr>
      <w:widowControl w:val="1"/>
      <w:ind/>
      <w:jc w:val="both"/>
    </w:pPr>
    <w:rPr>
      <w:sz w:val="28"/>
    </w:rPr>
  </w:style>
  <w:style w:styleId="Style_22_ch" w:type="character">
    <w:name w:val="No Spacing"/>
    <w:link w:val="Style_22"/>
    <w:rPr>
      <w:sz w:val="28"/>
    </w:rPr>
  </w:style>
  <w:style w:styleId="Style_356" w:type="paragraph">
    <w:name w:val="xl26"/>
    <w:basedOn w:val="Style_34"/>
    <w:link w:val="Style_356_ch"/>
    <w:pPr>
      <w:widowControl w:val="1"/>
      <w:pBdr>
        <w:top w:color="000000" w:space="0" w:sz="8" w:val="single"/>
        <w:left w:color="000000" w:space="0" w:sz="4" w:val="single"/>
        <w:right w:color="000000" w:space="0" w:sz="4" w:val="single"/>
      </w:pBdr>
      <w:spacing w:afterAutospacing="on" w:beforeAutospacing="on"/>
      <w:ind/>
      <w:jc w:val="center"/>
    </w:pPr>
    <w:rPr>
      <w:b w:val="1"/>
      <w:sz w:val="20"/>
    </w:rPr>
  </w:style>
  <w:style w:styleId="Style_356_ch" w:type="character">
    <w:name w:val="xl26"/>
    <w:basedOn w:val="Style_34_ch"/>
    <w:link w:val="Style_356"/>
    <w:rPr>
      <w:b w:val="1"/>
      <w:sz w:val="20"/>
    </w:rPr>
  </w:style>
  <w:style w:styleId="Style_357" w:type="paragraph">
    <w:name w:val="xl69"/>
    <w:basedOn w:val="Style_34"/>
    <w:link w:val="Style_357_ch"/>
    <w:pPr>
      <w:widowControl w:val="1"/>
      <w:pBdr>
        <w:top w:color="000000" w:space="0" w:sz="4" w:val="single"/>
        <w:left w:color="000000" w:space="0" w:sz="4" w:val="single"/>
        <w:bottom w:color="000000" w:space="0" w:sz="4" w:val="single"/>
        <w:right w:color="000000" w:space="0" w:sz="4" w:val="single"/>
      </w:pBdr>
      <w:spacing w:afterAutospacing="on" w:beforeAutospacing="on"/>
      <w:ind/>
    </w:pPr>
    <w:rPr>
      <w:rFonts w:ascii="Arial CYR" w:hAnsi="Arial CYR"/>
      <w:sz w:val="18"/>
    </w:rPr>
  </w:style>
  <w:style w:styleId="Style_357_ch" w:type="character">
    <w:name w:val="xl69"/>
    <w:basedOn w:val="Style_34_ch"/>
    <w:link w:val="Style_357"/>
    <w:rPr>
      <w:rFonts w:ascii="Arial CYR" w:hAnsi="Arial CYR"/>
      <w:sz w:val="18"/>
    </w:rPr>
  </w:style>
  <w:style w:styleId="Style_358" w:type="paragraph">
    <w:name w:val="heading 6"/>
    <w:basedOn w:val="Style_34"/>
    <w:next w:val="Style_34"/>
    <w:link w:val="Style_358_ch"/>
    <w:uiPriority w:val="9"/>
    <w:qFormat/>
    <w:pPr>
      <w:widowControl w:val="1"/>
      <w:spacing w:after="60" w:before="240"/>
      <w:ind/>
      <w:outlineLvl w:val="5"/>
    </w:pPr>
    <w:rPr>
      <w:b w:val="1"/>
      <w:sz w:val="22"/>
    </w:rPr>
  </w:style>
  <w:style w:styleId="Style_358_ch" w:type="character">
    <w:name w:val="heading 6"/>
    <w:basedOn w:val="Style_34_ch"/>
    <w:link w:val="Style_358"/>
    <w:rPr>
      <w:b w:val="1"/>
      <w:sz w:val="22"/>
    </w:rPr>
  </w:style>
  <w:style w:styleId="Style_21" w:type="paragraph">
    <w:name w:val="ConsNormal"/>
    <w:link w:val="Style_21_ch"/>
    <w:pPr>
      <w:widowControl w:val="1"/>
      <w:ind w:firstLine="720"/>
    </w:pPr>
    <w:rPr>
      <w:sz w:val="24"/>
    </w:rPr>
  </w:style>
  <w:style w:styleId="Style_21_ch" w:type="character">
    <w:name w:val="ConsNormal"/>
    <w:link w:val="Style_21"/>
    <w:rPr>
      <w:sz w:val="24"/>
    </w:rPr>
  </w:style>
  <w:style w:styleId="Style_359" w:type="paragraph">
    <w:name w:val="xl148"/>
    <w:basedOn w:val="Style_34"/>
    <w:link w:val="Style_359_ch"/>
    <w:pPr>
      <w:widowControl w:val="1"/>
      <w:spacing w:afterAutospacing="on" w:beforeAutospacing="on"/>
      <w:ind/>
    </w:pPr>
    <w:rPr>
      <w:b w:val="1"/>
    </w:rPr>
  </w:style>
  <w:style w:styleId="Style_359_ch" w:type="character">
    <w:name w:val="xl148"/>
    <w:basedOn w:val="Style_34_ch"/>
    <w:link w:val="Style_359"/>
    <w:rPr>
      <w:b w:val="1"/>
    </w:rPr>
  </w:style>
  <w:style w:styleId="Style_360" w:type="table">
    <w:name w:val="Table Grid"/>
    <w:basedOn w:val="Style_4"/>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4" w:type="table">
    <w:name w:val="Normal Table"/>
    <w:tblPr>
      <w:tblInd w:type="dxa" w:w="0"/>
      <w:tblCellMar>
        <w:top w:type="dxa" w:w="0"/>
        <w:left w:type="dxa" w:w="108"/>
        <w:bottom w:type="dxa" w:w="0"/>
        <w:right w:type="dxa" w:w="108"/>
      </w:tblCellMar>
    </w:tblPr>
  </w:style>
  <w:style w:styleId="Style_361" w:type="table">
    <w:name w:val="Сетка таблицы1"/>
    <w:basedOn w:val="Style_4"/>
    <w:pPr>
      <w:widowControl w:val="0"/>
      <w:ind w:firstLine="720"/>
      <w:jc w:val="both"/>
    </w:pPr>
    <w:rPr>
      <w:rFonts w:ascii="Arial" w:hAnsi="Arial"/>
    </w:rPr>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35" Target="media/13.wmf" Type="http://schemas.openxmlformats.org/officeDocument/2006/relationships/image"/>
  <Relationship Id="rId15" Target="footer15.xml" Type="http://schemas.openxmlformats.org/officeDocument/2006/relationships/footer"/>
  <Relationship Id="rId42" Target="fontTable.xml" Type="http://schemas.openxmlformats.org/officeDocument/2006/relationships/fontTable"/>
  <Relationship Id="rId36" Target="media/14.png" Type="http://schemas.openxmlformats.org/officeDocument/2006/relationships/image"/>
  <Relationship Id="rId34" Target="media/12.wmf" Type="http://schemas.openxmlformats.org/officeDocument/2006/relationships/image"/>
  <Relationship Id="rId30" Target="media/8.png" Type="http://schemas.openxmlformats.org/officeDocument/2006/relationships/image"/>
  <Relationship Id="rId27" Target="media/5.png" Type="http://schemas.openxmlformats.org/officeDocument/2006/relationships/image"/>
  <Relationship Id="rId3" Target="footer3.xml" Type="http://schemas.openxmlformats.org/officeDocument/2006/relationships/footer"/>
  <Relationship Id="rId41" Target="media/19.emf" Type="http://schemas.openxmlformats.org/officeDocument/2006/relationships/image"/>
  <Relationship Id="rId29" Target="media/7.png" Type="http://schemas.openxmlformats.org/officeDocument/2006/relationships/image"/>
  <Relationship Id="rId5" Target="header5.xml" Type="http://schemas.openxmlformats.org/officeDocument/2006/relationships/header"/>
  <Relationship Id="rId12" Target="footer12.xml" Type="http://schemas.openxmlformats.org/officeDocument/2006/relationships/footer"/>
  <Relationship Id="rId43" Target="settings.xml" Type="http://schemas.openxmlformats.org/officeDocument/2006/relationships/settings"/>
  <Relationship Id="rId48" Target="numbering.xml" Type="http://schemas.openxmlformats.org/officeDocument/2006/relationships/numbering"/>
  <Relationship Id="rId31" Target="media/9.png" Type="http://schemas.openxmlformats.org/officeDocument/2006/relationships/image"/>
  <Relationship Id="rId13" Target="footer13.xml" Type="http://schemas.openxmlformats.org/officeDocument/2006/relationships/footer"/>
  <Relationship Id="rId6" Target="footer6.xml" Type="http://schemas.openxmlformats.org/officeDocument/2006/relationships/footer"/>
  <Relationship Id="rId39" Target="media/17.png" Type="http://schemas.openxmlformats.org/officeDocument/2006/relationships/image"/>
  <Relationship Id="rId4" Target="footer4.xml" Type="http://schemas.openxmlformats.org/officeDocument/2006/relationships/footer"/>
  <Relationship Id="rId44" Target="styles.xml" Type="http://schemas.openxmlformats.org/officeDocument/2006/relationships/styles"/>
  <Relationship Id="rId47" Target="theme/theme1.xml" Type="http://schemas.openxmlformats.org/officeDocument/2006/relationships/theme"/>
  <Relationship Id="rId23" Target="media/1.jpeg" Type="http://schemas.openxmlformats.org/officeDocument/2006/relationships/image"/>
  <Relationship Id="rId21" Target="footer21.xml" Type="http://schemas.openxmlformats.org/officeDocument/2006/relationships/footer"/>
  <Relationship Id="rId22" Target="footer22.xml" Type="http://schemas.openxmlformats.org/officeDocument/2006/relationships/footer"/>
  <Relationship Id="rId37" Target="media/15.png" Type="http://schemas.openxmlformats.org/officeDocument/2006/relationships/image"/>
  <Relationship Id="rId28" Target="media/6.png" Type="http://schemas.openxmlformats.org/officeDocument/2006/relationships/image"/>
  <Relationship Id="rId8" Target="footer8.xml" Type="http://schemas.openxmlformats.org/officeDocument/2006/relationships/footer"/>
  <Relationship Id="rId32" Target="media/10.wmf" Type="http://schemas.openxmlformats.org/officeDocument/2006/relationships/image"/>
  <Relationship Id="rId9" Target="footer9.xml" Type="http://schemas.openxmlformats.org/officeDocument/2006/relationships/footer"/>
  <Relationship Id="rId45" Target="stylesWithEffects.xml" Type="http://schemas.microsoft.com/office/2007/relationships/stylesWithEffects"/>
  <Relationship Id="rId20" Target="footer20.xml" Type="http://schemas.openxmlformats.org/officeDocument/2006/relationships/footer"/>
  <Relationship Id="rId19" Target="footer19.xml" Type="http://schemas.openxmlformats.org/officeDocument/2006/relationships/footer"/>
  <Relationship Id="rId11" Target="header11.xml" Type="http://schemas.openxmlformats.org/officeDocument/2006/relationships/header"/>
  <Relationship Id="rId40" Target="media/18.png" Type="http://schemas.openxmlformats.org/officeDocument/2006/relationships/image"/>
  <Relationship Id="rId14" Target="header14.xml" Type="http://schemas.openxmlformats.org/officeDocument/2006/relationships/header"/>
  <Relationship Id="rId16" Target="footer16.xml" Type="http://schemas.openxmlformats.org/officeDocument/2006/relationships/footer"/>
  <Relationship Id="rId10" Target="footer10.xml" Type="http://schemas.openxmlformats.org/officeDocument/2006/relationships/footer"/>
  <Relationship Id="rId7" Target="header7.xml" Type="http://schemas.openxmlformats.org/officeDocument/2006/relationships/header"/>
  <Relationship Id="rId33" Target="media/11.wmf" Type="http://schemas.openxmlformats.org/officeDocument/2006/relationships/image"/>
  <Relationship Id="rId25" Target="media/3.png" Type="http://schemas.openxmlformats.org/officeDocument/2006/relationships/image"/>
  <Relationship Id="rId17" Target="header17.xml" Type="http://schemas.openxmlformats.org/officeDocument/2006/relationships/header"/>
  <Relationship Id="rId46" Target="webSettings.xml" Type="http://schemas.openxmlformats.org/officeDocument/2006/relationships/webSettings"/>
  <Relationship Id="rId26" Target="media/4.png" Type="http://schemas.openxmlformats.org/officeDocument/2006/relationships/image"/>
  <Relationship Id="rId1" Target="header1.xml" Type="http://schemas.openxmlformats.org/officeDocument/2006/relationships/header"/>
  <Relationship Id="rId2" Target="footer2.xml" Type="http://schemas.openxmlformats.org/officeDocument/2006/relationships/footer"/>
  <Relationship Id="rId18" Target="footer18.xml" Type="http://schemas.openxmlformats.org/officeDocument/2006/relationships/footer"/>
  <Relationship Id="rId24" Target="media/2.png" Type="http://schemas.openxmlformats.org/officeDocument/2006/relationships/image"/>
  <Relationship Id="rId38" Target="media/16.png" Type="http://schemas.openxmlformats.org/officeDocument/2006/relationships/imag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MyOffice-CoreFramework-Linux/37-1367.1091.10011.1001.1@92c86c4fc59398dd64f1786b019b76a317813c64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2026-05-22T07:52:41Z</dcterms:created>
  <dcterms:modified xsi:type="dcterms:W3CDTF">2026-05-22T07:52:41Z</dcterms:modified>
</cp:coreProperties>
</file>